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E51569" w14:textId="77777777" w:rsidR="00636102" w:rsidRPr="00CF31E0" w:rsidRDefault="00636102" w:rsidP="00636102">
      <w:pPr>
        <w:rPr>
          <w:rFonts w:ascii="Calibri" w:eastAsia="Calibri" w:hAnsi="Calibri" w:cs="Arial"/>
          <w:color w:val="000000" w:themeColor="text1"/>
          <w:lang w:val="en-US" w:eastAsia="en-US"/>
        </w:rPr>
      </w:pPr>
      <w:r w:rsidRPr="00CF31E0">
        <w:rPr>
          <w:rFonts w:ascii="Calibri" w:eastAsia="Calibri" w:hAnsi="Calibri" w:cs="Arial"/>
          <w:noProof/>
          <w:color w:val="000000" w:themeColor="text1"/>
        </w:rPr>
        <w:drawing>
          <wp:inline distT="0" distB="0" distL="0" distR="0" wp14:anchorId="6E0C226A" wp14:editId="6291245B">
            <wp:extent cx="3029090" cy="1224951"/>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OS_PRIMARY_LOGO_LINEAR_BLACK.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4308" cy="1247281"/>
                    </a:xfrm>
                    <a:prstGeom prst="rect">
                      <a:avLst/>
                    </a:prstGeom>
                  </pic:spPr>
                </pic:pic>
              </a:graphicData>
            </a:graphic>
          </wp:inline>
        </w:drawing>
      </w:r>
    </w:p>
    <w:p w14:paraId="0C7324DB" w14:textId="77777777" w:rsidR="00636102" w:rsidRPr="00CF31E0" w:rsidRDefault="00636102" w:rsidP="00636102">
      <w:pPr>
        <w:rPr>
          <w:rFonts w:ascii="Calibri" w:eastAsia="Calibri" w:hAnsi="Calibri" w:cs="Arial"/>
          <w:color w:val="000000" w:themeColor="text1"/>
          <w:lang w:val="en-US" w:eastAsia="en-US"/>
        </w:rPr>
      </w:pPr>
    </w:p>
    <w:p w14:paraId="38599284" w14:textId="77777777" w:rsidR="00636102" w:rsidRPr="00CF31E0" w:rsidRDefault="00636102" w:rsidP="00636102">
      <w:pPr>
        <w:rPr>
          <w:rFonts w:ascii="Calibri" w:eastAsia="Calibri" w:hAnsi="Calibri" w:cs="Arial"/>
          <w:color w:val="000000" w:themeColor="text1"/>
          <w:lang w:val="en-US" w:eastAsia="en-US"/>
        </w:rPr>
      </w:pPr>
    </w:p>
    <w:p w14:paraId="5F56AB31" w14:textId="77777777" w:rsidR="00636102" w:rsidRPr="00CF31E0" w:rsidRDefault="00636102" w:rsidP="00636102">
      <w:pPr>
        <w:rPr>
          <w:rFonts w:ascii="Calibri" w:eastAsia="Calibri" w:hAnsi="Calibri" w:cs="Arial"/>
          <w:color w:val="000000" w:themeColor="text1"/>
          <w:lang w:val="en-US" w:eastAsia="en-US"/>
        </w:rPr>
      </w:pPr>
    </w:p>
    <w:p w14:paraId="1AF25D75" w14:textId="77777777" w:rsidR="00636102" w:rsidRPr="00CF31E0" w:rsidRDefault="00636102" w:rsidP="00636102">
      <w:pPr>
        <w:rPr>
          <w:rFonts w:ascii="Calibri" w:eastAsia="Calibri" w:hAnsi="Calibri" w:cs="Arial"/>
          <w:color w:val="000000" w:themeColor="text1"/>
          <w:lang w:val="en-US" w:eastAsia="en-US"/>
        </w:rPr>
      </w:pPr>
    </w:p>
    <w:p w14:paraId="5EF7FF22" w14:textId="77777777" w:rsidR="00636102" w:rsidRPr="00CF31E0" w:rsidRDefault="00636102" w:rsidP="00636102">
      <w:pPr>
        <w:rPr>
          <w:rFonts w:ascii="Calibri" w:eastAsia="Calibri" w:hAnsi="Calibri" w:cs="Arial"/>
          <w:color w:val="000000" w:themeColor="text1"/>
          <w:lang w:val="en-US" w:eastAsia="en-US"/>
        </w:rPr>
      </w:pPr>
    </w:p>
    <w:p w14:paraId="6B03ACF1" w14:textId="77777777" w:rsidR="00636102" w:rsidRPr="00CF31E0" w:rsidRDefault="00636102" w:rsidP="00636102">
      <w:pPr>
        <w:rPr>
          <w:rFonts w:ascii="Calibri" w:eastAsia="Calibri" w:hAnsi="Calibri" w:cs="Arial"/>
          <w:color w:val="000000" w:themeColor="text1"/>
          <w:lang w:val="en-US" w:eastAsia="en-US"/>
        </w:rPr>
      </w:pPr>
    </w:p>
    <w:p w14:paraId="070E817B" w14:textId="77777777" w:rsidR="00636102" w:rsidRPr="00CF31E0" w:rsidRDefault="00636102" w:rsidP="00636102">
      <w:pPr>
        <w:rPr>
          <w:rFonts w:ascii="Calibri" w:eastAsia="Calibri" w:hAnsi="Calibri" w:cs="Arial"/>
          <w:color w:val="000000" w:themeColor="text1"/>
          <w:lang w:val="en-US" w:eastAsia="en-US"/>
        </w:rPr>
      </w:pPr>
    </w:p>
    <w:p w14:paraId="5647E0E7" w14:textId="0D585428" w:rsidR="00636102" w:rsidRPr="00CF31E0" w:rsidRDefault="00636102" w:rsidP="00D476D1">
      <w:pPr>
        <w:jc w:val="center"/>
        <w:rPr>
          <w:rFonts w:ascii="TUOS Blake" w:eastAsia="Calibri" w:hAnsi="TUOS Blake" w:cs="Arial"/>
          <w:b/>
          <w:color w:val="000000" w:themeColor="text1"/>
          <w:sz w:val="28"/>
          <w:szCs w:val="28"/>
          <w:lang w:eastAsia="en-US"/>
        </w:rPr>
      </w:pPr>
      <w:r w:rsidRPr="00CF31E0">
        <w:rPr>
          <w:rFonts w:ascii="TUOS Blake" w:eastAsia="Calibri" w:hAnsi="TUOS Blake" w:cs="Arial"/>
          <w:b/>
          <w:color w:val="000000" w:themeColor="text1"/>
          <w:sz w:val="28"/>
          <w:szCs w:val="28"/>
          <w:lang w:eastAsia="en-US"/>
        </w:rPr>
        <w:t xml:space="preserve">Perceptions of Hijazi </w:t>
      </w:r>
      <w:r w:rsidR="00D476D1">
        <w:rPr>
          <w:rFonts w:ascii="TUOS Blake" w:eastAsia="Calibri" w:hAnsi="TUOS Blake" w:cs="Arial"/>
          <w:b/>
          <w:color w:val="000000" w:themeColor="text1"/>
          <w:sz w:val="28"/>
          <w:szCs w:val="28"/>
          <w:lang w:eastAsia="en-US"/>
        </w:rPr>
        <w:t xml:space="preserve">Arabic </w:t>
      </w:r>
      <w:r w:rsidRPr="00CF31E0">
        <w:rPr>
          <w:rFonts w:ascii="TUOS Blake" w:eastAsia="Calibri" w:hAnsi="TUOS Blake" w:cs="Arial"/>
          <w:b/>
          <w:color w:val="000000" w:themeColor="text1"/>
          <w:sz w:val="28"/>
          <w:szCs w:val="28"/>
          <w:lang w:eastAsia="en-US"/>
        </w:rPr>
        <w:t>Dialects: An Attitudinal Approach</w:t>
      </w:r>
    </w:p>
    <w:p w14:paraId="5289FCC3" w14:textId="1FE2AE5D" w:rsidR="00636102" w:rsidRPr="00CF31E0" w:rsidRDefault="00636102" w:rsidP="00D476D1">
      <w:pPr>
        <w:jc w:val="center"/>
        <w:rPr>
          <w:rFonts w:ascii="TUOS Blake" w:eastAsia="Calibri" w:hAnsi="TUOS Blake" w:cs="Arial"/>
          <w:b/>
          <w:color w:val="000000" w:themeColor="text1"/>
          <w:sz w:val="28"/>
          <w:szCs w:val="28"/>
          <w:lang w:eastAsia="en-US"/>
        </w:rPr>
      </w:pPr>
    </w:p>
    <w:p w14:paraId="12B29DB5" w14:textId="77777777" w:rsidR="00636102" w:rsidRPr="00CF31E0" w:rsidRDefault="00636102" w:rsidP="00636102">
      <w:pPr>
        <w:rPr>
          <w:rFonts w:ascii="TUOS Blake" w:eastAsia="Calibri" w:hAnsi="TUOS Blake" w:cs="Arial"/>
          <w:b/>
          <w:color w:val="000000" w:themeColor="text1"/>
          <w:sz w:val="28"/>
          <w:szCs w:val="28"/>
          <w:lang w:val="en-US" w:eastAsia="en-US"/>
        </w:rPr>
      </w:pPr>
    </w:p>
    <w:p w14:paraId="6958EC90" w14:textId="77777777" w:rsidR="00636102" w:rsidRPr="00CF31E0" w:rsidRDefault="00636102" w:rsidP="00636102">
      <w:pPr>
        <w:rPr>
          <w:rFonts w:ascii="TUOS Blake" w:eastAsia="Calibri" w:hAnsi="TUOS Blake" w:cs="Arial"/>
          <w:b/>
          <w:color w:val="000000" w:themeColor="text1"/>
          <w:sz w:val="28"/>
          <w:szCs w:val="28"/>
          <w:lang w:val="en-US" w:eastAsia="en-US"/>
        </w:rPr>
      </w:pPr>
    </w:p>
    <w:p w14:paraId="137838EA" w14:textId="77777777" w:rsidR="00636102" w:rsidRPr="00CF31E0" w:rsidRDefault="00636102" w:rsidP="00636102">
      <w:pPr>
        <w:rPr>
          <w:rFonts w:ascii="TUOS Blake" w:eastAsia="Calibri" w:hAnsi="TUOS Blake" w:cs="Arial"/>
          <w:b/>
          <w:color w:val="000000" w:themeColor="text1"/>
          <w:sz w:val="28"/>
          <w:szCs w:val="28"/>
          <w:lang w:val="en-US" w:eastAsia="en-US"/>
        </w:rPr>
      </w:pPr>
    </w:p>
    <w:p w14:paraId="062C325E" w14:textId="77777777" w:rsidR="00636102" w:rsidRPr="00CF31E0" w:rsidRDefault="00636102" w:rsidP="00636102">
      <w:pPr>
        <w:rPr>
          <w:rFonts w:ascii="TUOS Blake" w:eastAsia="Calibri" w:hAnsi="TUOS Blake" w:cs="Arial"/>
          <w:b/>
          <w:color w:val="000000" w:themeColor="text1"/>
          <w:sz w:val="28"/>
          <w:szCs w:val="28"/>
          <w:lang w:val="en-US" w:eastAsia="en-US"/>
        </w:rPr>
      </w:pPr>
    </w:p>
    <w:p w14:paraId="6894ECF4" w14:textId="77777777" w:rsidR="00636102" w:rsidRPr="00CF31E0" w:rsidRDefault="00636102" w:rsidP="00636102">
      <w:pPr>
        <w:rPr>
          <w:rFonts w:ascii="TUOS Blake" w:eastAsia="Calibri" w:hAnsi="TUOS Blake" w:cs="Arial"/>
          <w:b/>
          <w:color w:val="000000" w:themeColor="text1"/>
          <w:sz w:val="28"/>
          <w:szCs w:val="28"/>
          <w:lang w:val="en-US" w:eastAsia="en-US"/>
        </w:rPr>
      </w:pPr>
    </w:p>
    <w:p w14:paraId="34533E4F" w14:textId="35A4F9D5" w:rsidR="00636102" w:rsidRPr="00CF31E0" w:rsidRDefault="00636102" w:rsidP="00B4491B">
      <w:pPr>
        <w:jc w:val="center"/>
        <w:rPr>
          <w:rFonts w:ascii="TUOS Blake" w:eastAsia="Calibri" w:hAnsi="TUOS Blake" w:cs="Arial"/>
          <w:b/>
          <w:color w:val="000000" w:themeColor="text1"/>
          <w:sz w:val="28"/>
          <w:szCs w:val="28"/>
          <w:lang w:val="en-US" w:eastAsia="en-US"/>
        </w:rPr>
      </w:pPr>
      <w:r w:rsidRPr="00CF31E0">
        <w:rPr>
          <w:rFonts w:ascii="TUOS Blake" w:eastAsia="Calibri" w:hAnsi="TUOS Blake" w:cs="Arial"/>
          <w:b/>
          <w:color w:val="000000" w:themeColor="text1"/>
          <w:sz w:val="28"/>
          <w:szCs w:val="28"/>
          <w:lang w:val="en-US" w:eastAsia="en-US"/>
        </w:rPr>
        <w:t>By:</w:t>
      </w:r>
    </w:p>
    <w:p w14:paraId="788A253A" w14:textId="77777777" w:rsidR="00636102" w:rsidRPr="00CF31E0" w:rsidRDefault="00636102" w:rsidP="00B4491B">
      <w:pPr>
        <w:jc w:val="center"/>
        <w:rPr>
          <w:rFonts w:ascii="TUOS Pro Blake" w:eastAsia="Calibri" w:hAnsi="TUOS Pro Blake" w:cs="Arial"/>
          <w:b/>
          <w:color w:val="000000" w:themeColor="text1"/>
          <w:sz w:val="28"/>
          <w:szCs w:val="28"/>
          <w:lang w:val="en-US" w:eastAsia="en-US"/>
        </w:rPr>
      </w:pPr>
    </w:p>
    <w:p w14:paraId="66C31BAD" w14:textId="0895E39B" w:rsidR="00636102" w:rsidRPr="00CF31E0" w:rsidRDefault="008F2AC2" w:rsidP="00B4491B">
      <w:pPr>
        <w:jc w:val="center"/>
        <w:rPr>
          <w:rFonts w:ascii="TUOS Blake" w:eastAsia="Calibri" w:hAnsi="TUOS Blake" w:cs="Arial"/>
          <w:b/>
          <w:color w:val="000000" w:themeColor="text1"/>
          <w:sz w:val="28"/>
          <w:szCs w:val="28"/>
          <w:lang w:val="en-US" w:eastAsia="en-US"/>
        </w:rPr>
      </w:pPr>
      <w:r>
        <w:rPr>
          <w:rFonts w:ascii="TUOS Blake" w:eastAsia="Calibri" w:hAnsi="TUOS Blake" w:cs="Arial"/>
          <w:color w:val="000000" w:themeColor="text1"/>
          <w:sz w:val="28"/>
          <w:szCs w:val="28"/>
          <w:lang w:val="en-US" w:eastAsia="en-US"/>
        </w:rPr>
        <w:t>Laila M. Alhazmi</w:t>
      </w:r>
    </w:p>
    <w:p w14:paraId="6609B48E" w14:textId="77777777" w:rsidR="00636102" w:rsidRPr="00CF31E0" w:rsidRDefault="00636102" w:rsidP="00B4491B">
      <w:pPr>
        <w:jc w:val="center"/>
        <w:rPr>
          <w:rFonts w:ascii="TUOS Blake" w:eastAsia="Calibri" w:hAnsi="TUOS Blake" w:cs="Arial"/>
          <w:color w:val="000000" w:themeColor="text1"/>
          <w:lang w:val="en-US" w:eastAsia="en-US"/>
        </w:rPr>
      </w:pPr>
    </w:p>
    <w:p w14:paraId="402FBB94" w14:textId="77777777" w:rsidR="00636102" w:rsidRPr="00CF31E0" w:rsidRDefault="00636102" w:rsidP="00D551B7">
      <w:pPr>
        <w:rPr>
          <w:rFonts w:ascii="TUOS Blake" w:eastAsia="Calibri" w:hAnsi="TUOS Blake" w:cs="Arial"/>
          <w:color w:val="000000" w:themeColor="text1"/>
          <w:lang w:val="en-US" w:eastAsia="en-US"/>
        </w:rPr>
      </w:pPr>
    </w:p>
    <w:p w14:paraId="023BEF6A" w14:textId="77777777" w:rsidR="00636102" w:rsidRPr="00CF31E0" w:rsidRDefault="00636102" w:rsidP="00B4491B">
      <w:pPr>
        <w:jc w:val="center"/>
        <w:rPr>
          <w:rFonts w:ascii="TUOS Blake" w:eastAsia="Calibri" w:hAnsi="TUOS Blake" w:cs="Arial"/>
          <w:color w:val="000000" w:themeColor="text1"/>
          <w:lang w:val="en-US" w:eastAsia="en-US"/>
        </w:rPr>
      </w:pPr>
    </w:p>
    <w:p w14:paraId="505C7665" w14:textId="77777777" w:rsidR="00636102" w:rsidRPr="00CF31E0" w:rsidRDefault="00636102" w:rsidP="00B4491B">
      <w:pPr>
        <w:jc w:val="center"/>
        <w:rPr>
          <w:rFonts w:ascii="TUOS Blake" w:eastAsia="Calibri" w:hAnsi="TUOS Blake" w:cs="Arial"/>
          <w:color w:val="000000" w:themeColor="text1"/>
          <w:lang w:val="en-US" w:eastAsia="en-US"/>
        </w:rPr>
      </w:pPr>
      <w:r w:rsidRPr="00CF31E0">
        <w:rPr>
          <w:rFonts w:ascii="TUOS Blake" w:eastAsia="Calibri" w:hAnsi="TUOS Blake" w:cs="Arial"/>
          <w:color w:val="000000" w:themeColor="text1"/>
          <w:lang w:val="en-US" w:eastAsia="en-US"/>
        </w:rPr>
        <w:t>A thesis submitted in partial fulfilment of the requirements for the degree of</w:t>
      </w:r>
    </w:p>
    <w:p w14:paraId="0636E613" w14:textId="77777777" w:rsidR="00636102" w:rsidRPr="00CF31E0" w:rsidRDefault="00636102" w:rsidP="00B4491B">
      <w:pPr>
        <w:jc w:val="center"/>
        <w:rPr>
          <w:rFonts w:ascii="TUOS Blake" w:eastAsia="Calibri" w:hAnsi="TUOS Blake" w:cs="Arial"/>
          <w:color w:val="000000" w:themeColor="text1"/>
          <w:lang w:val="en-US" w:eastAsia="en-US"/>
        </w:rPr>
      </w:pPr>
      <w:r w:rsidRPr="00CF31E0">
        <w:rPr>
          <w:rFonts w:ascii="TUOS Blake" w:eastAsia="Calibri" w:hAnsi="TUOS Blake" w:cs="Arial"/>
          <w:color w:val="000000" w:themeColor="text1"/>
          <w:lang w:val="en-US" w:eastAsia="en-US"/>
        </w:rPr>
        <w:t>Doctor of Philosophy</w:t>
      </w:r>
    </w:p>
    <w:p w14:paraId="086AFBEC" w14:textId="77777777" w:rsidR="00636102" w:rsidRPr="00CF31E0" w:rsidRDefault="00636102" w:rsidP="00D551B7">
      <w:pPr>
        <w:rPr>
          <w:rFonts w:ascii="TUOS Blake" w:eastAsia="Calibri" w:hAnsi="TUOS Blake" w:cs="Arial"/>
          <w:color w:val="000000" w:themeColor="text1"/>
          <w:lang w:val="en-US" w:eastAsia="en-US"/>
        </w:rPr>
      </w:pPr>
    </w:p>
    <w:p w14:paraId="0B4F43CF" w14:textId="77777777" w:rsidR="00636102" w:rsidRPr="00CF31E0" w:rsidRDefault="00636102" w:rsidP="00B4491B">
      <w:pPr>
        <w:jc w:val="center"/>
        <w:rPr>
          <w:rFonts w:ascii="TUOS Blake" w:eastAsia="Calibri" w:hAnsi="TUOS Blake" w:cs="Arial"/>
          <w:color w:val="000000" w:themeColor="text1"/>
          <w:lang w:val="en-US" w:eastAsia="en-US"/>
        </w:rPr>
      </w:pPr>
    </w:p>
    <w:p w14:paraId="7AE92314" w14:textId="77777777" w:rsidR="00636102" w:rsidRPr="00CF31E0" w:rsidRDefault="00636102" w:rsidP="00B4491B">
      <w:pPr>
        <w:jc w:val="center"/>
        <w:rPr>
          <w:rFonts w:ascii="TUOS Blake" w:eastAsia="Calibri" w:hAnsi="TUOS Blake" w:cs="Arial"/>
          <w:color w:val="000000" w:themeColor="text1"/>
          <w:lang w:val="en-US" w:eastAsia="en-US"/>
        </w:rPr>
      </w:pPr>
    </w:p>
    <w:p w14:paraId="5CF3B006" w14:textId="77777777" w:rsidR="00636102" w:rsidRPr="00CF31E0" w:rsidRDefault="00636102" w:rsidP="00B4491B">
      <w:pPr>
        <w:jc w:val="center"/>
        <w:rPr>
          <w:rFonts w:ascii="TUOS Blake" w:eastAsia="Calibri" w:hAnsi="TUOS Blake" w:cs="Arial"/>
          <w:color w:val="000000" w:themeColor="text1"/>
          <w:lang w:val="en-US" w:eastAsia="en-US"/>
        </w:rPr>
      </w:pPr>
      <w:r w:rsidRPr="00CF31E0">
        <w:rPr>
          <w:rFonts w:ascii="TUOS Blake" w:eastAsia="Calibri" w:hAnsi="TUOS Blake" w:cs="Arial"/>
          <w:color w:val="000000" w:themeColor="text1"/>
          <w:lang w:val="en-US" w:eastAsia="en-US"/>
        </w:rPr>
        <w:t>The University of Sheffield</w:t>
      </w:r>
    </w:p>
    <w:p w14:paraId="0BB4B677" w14:textId="7BDF70C2" w:rsidR="00636102" w:rsidRPr="00CF31E0" w:rsidRDefault="00B4491B" w:rsidP="00B4491B">
      <w:pPr>
        <w:jc w:val="center"/>
        <w:rPr>
          <w:rFonts w:ascii="TUOS Blake" w:eastAsia="Calibri" w:hAnsi="TUOS Blake" w:cs="Arial"/>
          <w:color w:val="000000" w:themeColor="text1"/>
          <w:lang w:val="en-US" w:eastAsia="en-US"/>
        </w:rPr>
      </w:pPr>
      <w:r>
        <w:rPr>
          <w:rFonts w:ascii="TUOS Blake" w:eastAsia="Calibri" w:hAnsi="TUOS Blake" w:cs="Arial"/>
          <w:color w:val="000000" w:themeColor="text1"/>
          <w:lang w:val="en-US" w:eastAsia="en-US"/>
        </w:rPr>
        <w:t>Faculty of Arts and Humanities</w:t>
      </w:r>
    </w:p>
    <w:p w14:paraId="2EC8B65E" w14:textId="3F442DFC" w:rsidR="00636102" w:rsidRPr="00CF31E0" w:rsidRDefault="00B4491B" w:rsidP="00B4491B">
      <w:pPr>
        <w:jc w:val="center"/>
        <w:rPr>
          <w:rFonts w:ascii="TUOS Blake" w:eastAsia="Calibri" w:hAnsi="TUOS Blake" w:cs="Arial"/>
          <w:color w:val="000000" w:themeColor="text1"/>
          <w:lang w:val="en-US" w:eastAsia="en-US"/>
        </w:rPr>
      </w:pPr>
      <w:r>
        <w:rPr>
          <w:rFonts w:ascii="TUOS Blake" w:eastAsia="Calibri" w:hAnsi="TUOS Blake" w:cs="Arial"/>
          <w:color w:val="000000" w:themeColor="text1"/>
          <w:lang w:val="en-US" w:eastAsia="en-US"/>
        </w:rPr>
        <w:t>School of English</w:t>
      </w:r>
    </w:p>
    <w:p w14:paraId="65090465" w14:textId="77777777" w:rsidR="00636102" w:rsidRPr="00CF31E0" w:rsidRDefault="00636102" w:rsidP="00B4491B">
      <w:pPr>
        <w:jc w:val="center"/>
        <w:rPr>
          <w:rFonts w:ascii="TUOS Blake" w:eastAsia="Calibri" w:hAnsi="TUOS Blake" w:cs="Arial"/>
          <w:color w:val="000000" w:themeColor="text1"/>
          <w:lang w:val="en-US" w:eastAsia="en-US"/>
        </w:rPr>
      </w:pPr>
    </w:p>
    <w:p w14:paraId="3B23E22F" w14:textId="77777777" w:rsidR="00636102" w:rsidRPr="00CF31E0" w:rsidRDefault="00636102" w:rsidP="00D551B7">
      <w:pPr>
        <w:rPr>
          <w:rFonts w:ascii="TUOS Blake" w:eastAsia="Calibri" w:hAnsi="TUOS Blake" w:cs="Arial"/>
          <w:color w:val="000000" w:themeColor="text1"/>
          <w:lang w:val="en-US" w:eastAsia="en-US"/>
        </w:rPr>
      </w:pPr>
    </w:p>
    <w:p w14:paraId="73E3553E" w14:textId="77777777" w:rsidR="00636102" w:rsidRDefault="00636102" w:rsidP="00B4491B">
      <w:pPr>
        <w:jc w:val="center"/>
        <w:rPr>
          <w:rFonts w:ascii="TUOS Blake" w:eastAsia="Calibri" w:hAnsi="TUOS Blake" w:cs="Arial"/>
          <w:color w:val="000000" w:themeColor="text1"/>
          <w:lang w:val="en-US" w:eastAsia="en-US"/>
        </w:rPr>
      </w:pPr>
      <w:r w:rsidRPr="00CF31E0">
        <w:rPr>
          <w:rFonts w:ascii="TUOS Blake" w:eastAsia="Calibri" w:hAnsi="TUOS Blake" w:cs="Arial"/>
          <w:color w:val="000000" w:themeColor="text1"/>
          <w:lang w:val="en-US" w:eastAsia="en-US"/>
        </w:rPr>
        <w:t>Submission Date</w:t>
      </w:r>
    </w:p>
    <w:p w14:paraId="748C2813" w14:textId="77777777" w:rsidR="00615065" w:rsidRDefault="00615065" w:rsidP="00B4491B">
      <w:pPr>
        <w:jc w:val="center"/>
        <w:rPr>
          <w:rFonts w:ascii="TUOS Blake" w:eastAsia="Calibri" w:hAnsi="TUOS Blake" w:cs="Arial"/>
          <w:color w:val="000000" w:themeColor="text1"/>
          <w:lang w:val="en-US" w:eastAsia="en-US"/>
        </w:rPr>
      </w:pPr>
    </w:p>
    <w:p w14:paraId="3FEA4C80" w14:textId="27509A45" w:rsidR="00615065" w:rsidRDefault="00D551B7" w:rsidP="00B4491B">
      <w:pPr>
        <w:jc w:val="center"/>
        <w:rPr>
          <w:rFonts w:ascii="TUOS Blake" w:eastAsia="Calibri" w:hAnsi="TUOS Blake" w:cs="Arial"/>
          <w:color w:val="000000" w:themeColor="text1"/>
          <w:lang w:val="en-US" w:eastAsia="en-US"/>
        </w:rPr>
      </w:pPr>
      <w:r>
        <w:rPr>
          <w:rFonts w:ascii="TUOS Blake" w:eastAsia="Calibri" w:hAnsi="TUOS Blake" w:cs="Arial"/>
          <w:color w:val="000000" w:themeColor="text1"/>
          <w:lang w:val="en-US" w:eastAsia="en-US"/>
        </w:rPr>
        <w:t>December 2018</w:t>
      </w:r>
    </w:p>
    <w:p w14:paraId="1A859E0C" w14:textId="77777777" w:rsidR="00615065" w:rsidRPr="00CF31E0" w:rsidRDefault="00615065" w:rsidP="00B4491B">
      <w:pPr>
        <w:jc w:val="center"/>
        <w:rPr>
          <w:rFonts w:ascii="TUOS Blake" w:eastAsia="Calibri" w:hAnsi="TUOS Blake" w:cs="Arial"/>
          <w:color w:val="000000" w:themeColor="text1"/>
          <w:lang w:val="en-US" w:eastAsia="en-US"/>
        </w:rPr>
        <w:sectPr w:rsidR="00615065" w:rsidRPr="00CF31E0" w:rsidSect="00603CB7">
          <w:footerReference w:type="even" r:id="rId9"/>
          <w:footerReference w:type="default" r:id="rId10"/>
          <w:pgSz w:w="11900" w:h="16840"/>
          <w:pgMar w:top="1440" w:right="2268" w:bottom="1440" w:left="2268" w:header="709" w:footer="709" w:gutter="0"/>
          <w:cols w:space="708"/>
          <w:docGrid w:linePitch="360"/>
        </w:sectPr>
      </w:pPr>
    </w:p>
    <w:p w14:paraId="79005DD5" w14:textId="77777777" w:rsidR="00467EF6" w:rsidRPr="00CF31E0" w:rsidRDefault="00467EF6" w:rsidP="00467EF6">
      <w:pPr>
        <w:autoSpaceDE w:val="0"/>
        <w:autoSpaceDN w:val="0"/>
        <w:adjustRightInd w:val="0"/>
        <w:rPr>
          <w:rFonts w:eastAsia="Calibri"/>
          <w:color w:val="000000" w:themeColor="text1"/>
          <w:lang w:eastAsia="en-US"/>
        </w:rPr>
      </w:pPr>
      <w:r w:rsidRPr="00CF31E0">
        <w:rPr>
          <w:rFonts w:eastAsia="Calibri"/>
          <w:noProof/>
          <w:color w:val="000000" w:themeColor="text1"/>
        </w:rPr>
        <w:lastRenderedPageBreak/>
        <w:drawing>
          <wp:anchor distT="0" distB="0" distL="114300" distR="114300" simplePos="0" relativeHeight="251663360" behindDoc="0" locked="0" layoutInCell="1" allowOverlap="1" wp14:anchorId="6FB1EA3E" wp14:editId="1774437A">
            <wp:simplePos x="0" y="0"/>
            <wp:positionH relativeFrom="column">
              <wp:posOffset>1310652</wp:posOffset>
            </wp:positionH>
            <wp:positionV relativeFrom="paragraph">
              <wp:posOffset>-310515</wp:posOffset>
            </wp:positionV>
            <wp:extent cx="3036570" cy="1104265"/>
            <wp:effectExtent l="0" t="0" r="0" b="0"/>
            <wp:wrapNone/>
            <wp:docPr id="24" name="Picture 24"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14:paraId="1E1C9A82" w14:textId="77777777" w:rsidR="00467EF6" w:rsidRPr="00CF31E0" w:rsidRDefault="00467EF6" w:rsidP="00467EF6">
      <w:pPr>
        <w:autoSpaceDE w:val="0"/>
        <w:autoSpaceDN w:val="0"/>
        <w:adjustRightInd w:val="0"/>
        <w:rPr>
          <w:rFonts w:eastAsia="Calibri"/>
          <w:color w:val="000000" w:themeColor="text1"/>
          <w:lang w:eastAsia="en-US"/>
        </w:rPr>
      </w:pPr>
    </w:p>
    <w:p w14:paraId="4A6036E1" w14:textId="77777777" w:rsidR="00467EF6" w:rsidRPr="00CF31E0" w:rsidRDefault="00467EF6" w:rsidP="00467EF6">
      <w:pPr>
        <w:autoSpaceDE w:val="0"/>
        <w:autoSpaceDN w:val="0"/>
        <w:adjustRightInd w:val="0"/>
        <w:rPr>
          <w:rFonts w:eastAsia="Calibri"/>
          <w:color w:val="000000" w:themeColor="text1"/>
          <w:lang w:eastAsia="en-US"/>
        </w:rPr>
      </w:pPr>
    </w:p>
    <w:p w14:paraId="682644C8" w14:textId="77777777" w:rsidR="00467EF6" w:rsidRPr="00CF31E0" w:rsidRDefault="00467EF6" w:rsidP="00467EF6">
      <w:pPr>
        <w:autoSpaceDE w:val="0"/>
        <w:autoSpaceDN w:val="0"/>
        <w:adjustRightInd w:val="0"/>
        <w:rPr>
          <w:rFonts w:eastAsia="Calibri"/>
          <w:color w:val="000000" w:themeColor="text1"/>
          <w:lang w:eastAsia="en-US"/>
        </w:rPr>
      </w:pPr>
    </w:p>
    <w:p w14:paraId="1F298DD7" w14:textId="77777777" w:rsidR="00467EF6" w:rsidRPr="00CF31E0" w:rsidRDefault="00467EF6" w:rsidP="00467EF6">
      <w:pPr>
        <w:autoSpaceDE w:val="0"/>
        <w:autoSpaceDN w:val="0"/>
        <w:adjustRightInd w:val="0"/>
        <w:jc w:val="center"/>
        <w:rPr>
          <w:rFonts w:eastAsia="Calibri"/>
          <w:color w:val="000000" w:themeColor="text1"/>
          <w:lang w:eastAsia="en-US"/>
        </w:rPr>
      </w:pPr>
    </w:p>
    <w:p w14:paraId="18333B23" w14:textId="77777777" w:rsidR="00467EF6" w:rsidRPr="00CF31E0" w:rsidRDefault="00467EF6" w:rsidP="00467EF6">
      <w:pPr>
        <w:autoSpaceDE w:val="0"/>
        <w:autoSpaceDN w:val="0"/>
        <w:adjustRightInd w:val="0"/>
        <w:jc w:val="center"/>
        <w:rPr>
          <w:rFonts w:eastAsia="Calibri"/>
          <w:color w:val="000000" w:themeColor="text1"/>
          <w:lang w:eastAsia="en-US"/>
        </w:rPr>
      </w:pPr>
    </w:p>
    <w:p w14:paraId="007072E1" w14:textId="77777777" w:rsidR="00467EF6" w:rsidRPr="00CF31E0" w:rsidRDefault="00467EF6" w:rsidP="00467EF6">
      <w:pPr>
        <w:autoSpaceDE w:val="0"/>
        <w:autoSpaceDN w:val="0"/>
        <w:adjustRightInd w:val="0"/>
        <w:jc w:val="center"/>
        <w:rPr>
          <w:rFonts w:eastAsia="Calibri"/>
          <w:color w:val="000000" w:themeColor="text1"/>
          <w:lang w:eastAsia="en-US"/>
        </w:rPr>
      </w:pPr>
    </w:p>
    <w:p w14:paraId="74F3C7F3" w14:textId="77777777" w:rsidR="00467EF6" w:rsidRPr="00CF31E0" w:rsidRDefault="00467EF6" w:rsidP="00467EF6">
      <w:pPr>
        <w:autoSpaceDE w:val="0"/>
        <w:autoSpaceDN w:val="0"/>
        <w:adjustRightInd w:val="0"/>
        <w:jc w:val="center"/>
        <w:rPr>
          <w:rFonts w:eastAsia="Calibri"/>
          <w:color w:val="000000" w:themeColor="text1"/>
          <w:lang w:eastAsia="en-US"/>
        </w:rPr>
      </w:pPr>
    </w:p>
    <w:p w14:paraId="474AA78B" w14:textId="77777777" w:rsidR="00467EF6" w:rsidRPr="00CF31E0" w:rsidRDefault="00467EF6" w:rsidP="00467EF6">
      <w:pPr>
        <w:autoSpaceDE w:val="0"/>
        <w:autoSpaceDN w:val="0"/>
        <w:adjustRightInd w:val="0"/>
        <w:jc w:val="center"/>
        <w:rPr>
          <w:rFonts w:eastAsia="Calibri"/>
          <w:color w:val="000000" w:themeColor="text1"/>
          <w:lang w:eastAsia="en-US"/>
        </w:rPr>
      </w:pPr>
    </w:p>
    <w:p w14:paraId="160A64E1" w14:textId="77777777" w:rsidR="00467EF6" w:rsidRPr="00CF31E0" w:rsidRDefault="00467EF6" w:rsidP="00467EF6">
      <w:pPr>
        <w:autoSpaceDE w:val="0"/>
        <w:autoSpaceDN w:val="0"/>
        <w:adjustRightInd w:val="0"/>
        <w:jc w:val="center"/>
        <w:rPr>
          <w:rFonts w:eastAsia="Calibri"/>
          <w:color w:val="000000" w:themeColor="text1"/>
          <w:lang w:eastAsia="en-US"/>
        </w:rPr>
      </w:pPr>
    </w:p>
    <w:p w14:paraId="27CCB600" w14:textId="77777777" w:rsidR="00467EF6" w:rsidRPr="00CF31E0" w:rsidRDefault="00467EF6" w:rsidP="00467EF6">
      <w:pPr>
        <w:autoSpaceDE w:val="0"/>
        <w:autoSpaceDN w:val="0"/>
        <w:adjustRightInd w:val="0"/>
        <w:jc w:val="center"/>
        <w:rPr>
          <w:rFonts w:eastAsia="Calibri"/>
          <w:color w:val="000000" w:themeColor="text1"/>
          <w:lang w:eastAsia="en-US"/>
        </w:rPr>
      </w:pPr>
    </w:p>
    <w:p w14:paraId="736EE28E" w14:textId="15AE4A4A" w:rsidR="00467EF6" w:rsidRPr="00CF31E0" w:rsidRDefault="00467EF6" w:rsidP="00467EF6">
      <w:pPr>
        <w:autoSpaceDE w:val="0"/>
        <w:autoSpaceDN w:val="0"/>
        <w:adjustRightInd w:val="0"/>
        <w:jc w:val="center"/>
        <w:rPr>
          <w:rFonts w:eastAsia="Calibri"/>
          <w:b/>
          <w:bCs/>
          <w:color w:val="000000" w:themeColor="text1"/>
          <w:sz w:val="28"/>
          <w:szCs w:val="28"/>
          <w:shd w:val="clear" w:color="auto" w:fill="FFFFFF"/>
          <w:lang w:eastAsia="en-US"/>
        </w:rPr>
      </w:pPr>
      <w:r w:rsidRPr="00CF31E0">
        <w:rPr>
          <w:rFonts w:eastAsia="Calibri"/>
          <w:b/>
          <w:bCs/>
          <w:color w:val="000000" w:themeColor="text1"/>
          <w:sz w:val="28"/>
          <w:szCs w:val="28"/>
          <w:shd w:val="clear" w:color="auto" w:fill="FFFFFF"/>
          <w:lang w:eastAsia="en-US"/>
        </w:rPr>
        <w:t xml:space="preserve">Perceptions of Hijazi </w:t>
      </w:r>
      <w:r w:rsidR="00A11282">
        <w:rPr>
          <w:rFonts w:eastAsia="Calibri"/>
          <w:b/>
          <w:bCs/>
          <w:color w:val="000000" w:themeColor="text1"/>
          <w:sz w:val="28"/>
          <w:szCs w:val="28"/>
          <w:shd w:val="clear" w:color="auto" w:fill="FFFFFF"/>
          <w:lang w:eastAsia="en-US"/>
        </w:rPr>
        <w:t xml:space="preserve">Arabic </w:t>
      </w:r>
      <w:r w:rsidRPr="00CF31E0">
        <w:rPr>
          <w:rFonts w:eastAsia="Calibri"/>
          <w:b/>
          <w:bCs/>
          <w:color w:val="000000" w:themeColor="text1"/>
          <w:sz w:val="28"/>
          <w:szCs w:val="28"/>
          <w:shd w:val="clear" w:color="auto" w:fill="FFFFFF"/>
          <w:lang w:eastAsia="en-US"/>
        </w:rPr>
        <w:t xml:space="preserve">Dialects: An Attitudinal Approach </w:t>
      </w:r>
      <w:r w:rsidRPr="00CF31E0">
        <w:rPr>
          <w:rFonts w:eastAsia="Calibri"/>
          <w:b/>
          <w:bCs/>
          <w:color w:val="000000" w:themeColor="text1"/>
          <w:sz w:val="28"/>
          <w:szCs w:val="28"/>
          <w:lang w:eastAsia="en-US"/>
        </w:rPr>
        <w:br/>
      </w:r>
      <w:r w:rsidRPr="00CF31E0">
        <w:rPr>
          <w:rFonts w:eastAsia="Calibri"/>
          <w:b/>
          <w:bCs/>
          <w:color w:val="000000" w:themeColor="text1"/>
          <w:sz w:val="28"/>
          <w:szCs w:val="28"/>
          <w:lang w:eastAsia="en-US"/>
        </w:rPr>
        <w:br/>
      </w:r>
    </w:p>
    <w:p w14:paraId="7FF66981" w14:textId="77777777" w:rsidR="00467EF6" w:rsidRPr="00CF31E0" w:rsidRDefault="00467EF6" w:rsidP="00467EF6">
      <w:pPr>
        <w:autoSpaceDE w:val="0"/>
        <w:autoSpaceDN w:val="0"/>
        <w:adjustRightInd w:val="0"/>
        <w:rPr>
          <w:rFonts w:eastAsia="Calibri"/>
          <w:color w:val="000000" w:themeColor="text1"/>
          <w:lang w:eastAsia="en-US"/>
        </w:rPr>
      </w:pPr>
    </w:p>
    <w:p w14:paraId="2B3A66BC" w14:textId="77777777" w:rsidR="00467EF6" w:rsidRPr="00CF31E0" w:rsidRDefault="00467EF6" w:rsidP="00467EF6">
      <w:pPr>
        <w:autoSpaceDE w:val="0"/>
        <w:autoSpaceDN w:val="0"/>
        <w:adjustRightInd w:val="0"/>
        <w:jc w:val="center"/>
        <w:rPr>
          <w:rFonts w:eastAsia="Calibri"/>
          <w:color w:val="000000" w:themeColor="text1"/>
          <w:lang w:eastAsia="en-US"/>
        </w:rPr>
      </w:pPr>
    </w:p>
    <w:p w14:paraId="7A841149" w14:textId="77777777" w:rsidR="00467EF6" w:rsidRPr="00CF31E0" w:rsidRDefault="00467EF6" w:rsidP="00467EF6">
      <w:pPr>
        <w:autoSpaceDE w:val="0"/>
        <w:autoSpaceDN w:val="0"/>
        <w:adjustRightInd w:val="0"/>
        <w:jc w:val="center"/>
        <w:rPr>
          <w:rFonts w:eastAsia="Calibri"/>
          <w:color w:val="000000" w:themeColor="text1"/>
          <w:lang w:eastAsia="en-US"/>
        </w:rPr>
      </w:pPr>
    </w:p>
    <w:p w14:paraId="3798194D" w14:textId="77777777" w:rsidR="00467EF6" w:rsidRPr="00CF31E0" w:rsidRDefault="00467EF6" w:rsidP="00467EF6">
      <w:pPr>
        <w:autoSpaceDE w:val="0"/>
        <w:autoSpaceDN w:val="0"/>
        <w:adjustRightInd w:val="0"/>
        <w:jc w:val="center"/>
        <w:rPr>
          <w:rFonts w:eastAsia="Calibri"/>
          <w:b/>
          <w:bCs/>
          <w:color w:val="000000" w:themeColor="text1"/>
          <w:lang w:eastAsia="en-US"/>
        </w:rPr>
      </w:pPr>
      <w:r w:rsidRPr="00CF31E0">
        <w:rPr>
          <w:rFonts w:eastAsia="Calibri"/>
          <w:b/>
          <w:bCs/>
          <w:color w:val="000000" w:themeColor="text1"/>
          <w:lang w:eastAsia="en-US"/>
        </w:rPr>
        <w:t>By:</w:t>
      </w:r>
    </w:p>
    <w:p w14:paraId="610F7B82" w14:textId="77777777" w:rsidR="00467EF6" w:rsidRPr="00CF31E0" w:rsidRDefault="00467EF6" w:rsidP="00467EF6">
      <w:pPr>
        <w:autoSpaceDE w:val="0"/>
        <w:autoSpaceDN w:val="0"/>
        <w:adjustRightInd w:val="0"/>
        <w:jc w:val="center"/>
        <w:rPr>
          <w:rFonts w:eastAsia="Calibri"/>
          <w:color w:val="000000" w:themeColor="text1"/>
          <w:lang w:eastAsia="en-US"/>
        </w:rPr>
      </w:pPr>
    </w:p>
    <w:p w14:paraId="2A021095" w14:textId="57CF81D8" w:rsidR="00467EF6" w:rsidRPr="00CF31E0" w:rsidRDefault="00615065" w:rsidP="00467EF6">
      <w:pPr>
        <w:autoSpaceDE w:val="0"/>
        <w:autoSpaceDN w:val="0"/>
        <w:adjustRightInd w:val="0"/>
        <w:jc w:val="center"/>
        <w:rPr>
          <w:rFonts w:eastAsia="Calibri"/>
          <w:color w:val="000000" w:themeColor="text1"/>
          <w:sz w:val="28"/>
          <w:szCs w:val="28"/>
          <w:lang w:eastAsia="en-US"/>
        </w:rPr>
      </w:pPr>
      <w:r>
        <w:rPr>
          <w:rFonts w:eastAsia="Calibri"/>
          <w:color w:val="000000" w:themeColor="text1"/>
          <w:sz w:val="28"/>
          <w:szCs w:val="28"/>
          <w:lang w:eastAsia="en-US"/>
        </w:rPr>
        <w:t>Laila M. Alhazmi</w:t>
      </w:r>
    </w:p>
    <w:p w14:paraId="2C42DC40" w14:textId="77777777" w:rsidR="00467EF6" w:rsidRPr="00CF31E0" w:rsidRDefault="00467EF6" w:rsidP="00467EF6">
      <w:pPr>
        <w:autoSpaceDE w:val="0"/>
        <w:autoSpaceDN w:val="0"/>
        <w:adjustRightInd w:val="0"/>
        <w:rPr>
          <w:rFonts w:eastAsia="Calibri"/>
          <w:color w:val="000000" w:themeColor="text1"/>
          <w:sz w:val="28"/>
          <w:szCs w:val="28"/>
          <w:lang w:eastAsia="en-US"/>
        </w:rPr>
      </w:pPr>
    </w:p>
    <w:p w14:paraId="1C085EF7" w14:textId="77777777" w:rsidR="00467EF6" w:rsidRPr="00CF31E0" w:rsidRDefault="00467EF6" w:rsidP="00467EF6">
      <w:pPr>
        <w:autoSpaceDE w:val="0"/>
        <w:autoSpaceDN w:val="0"/>
        <w:adjustRightInd w:val="0"/>
        <w:rPr>
          <w:rFonts w:eastAsia="Calibri"/>
          <w:color w:val="000000" w:themeColor="text1"/>
          <w:lang w:eastAsia="en-US"/>
        </w:rPr>
      </w:pPr>
    </w:p>
    <w:p w14:paraId="082FE9CC" w14:textId="77777777" w:rsidR="00467EF6" w:rsidRPr="00CF31E0" w:rsidRDefault="00467EF6" w:rsidP="00467EF6">
      <w:pPr>
        <w:autoSpaceDE w:val="0"/>
        <w:autoSpaceDN w:val="0"/>
        <w:adjustRightInd w:val="0"/>
        <w:rPr>
          <w:rFonts w:eastAsia="Calibri"/>
          <w:color w:val="000000" w:themeColor="text1"/>
          <w:lang w:eastAsia="en-US"/>
        </w:rPr>
      </w:pPr>
    </w:p>
    <w:p w14:paraId="3128F633" w14:textId="77777777" w:rsidR="00467EF6" w:rsidRPr="00CF31E0" w:rsidRDefault="00467EF6" w:rsidP="00467EF6">
      <w:pPr>
        <w:autoSpaceDE w:val="0"/>
        <w:autoSpaceDN w:val="0"/>
        <w:adjustRightInd w:val="0"/>
        <w:rPr>
          <w:rFonts w:eastAsia="Calibri"/>
          <w:color w:val="000000" w:themeColor="text1"/>
          <w:lang w:eastAsia="en-US"/>
        </w:rPr>
      </w:pPr>
    </w:p>
    <w:p w14:paraId="0B79DA1F" w14:textId="77777777" w:rsidR="00467EF6" w:rsidRPr="00CF31E0" w:rsidRDefault="00467EF6" w:rsidP="00467EF6">
      <w:pPr>
        <w:autoSpaceDE w:val="0"/>
        <w:autoSpaceDN w:val="0"/>
        <w:adjustRightInd w:val="0"/>
        <w:jc w:val="center"/>
        <w:rPr>
          <w:rFonts w:eastAsia="Calibri"/>
          <w:color w:val="000000" w:themeColor="text1"/>
          <w:lang w:eastAsia="en-US"/>
        </w:rPr>
      </w:pPr>
      <w:r w:rsidRPr="00CF31E0">
        <w:rPr>
          <w:rFonts w:eastAsia="Calibri"/>
          <w:color w:val="000000" w:themeColor="text1"/>
          <w:lang w:eastAsia="en-US"/>
        </w:rPr>
        <w:t>A thesis submitted in partial fulfilment of the requirements for the degree of</w:t>
      </w:r>
    </w:p>
    <w:p w14:paraId="5CB197B3" w14:textId="77777777" w:rsidR="00467EF6" w:rsidRPr="00CF31E0" w:rsidRDefault="00467EF6" w:rsidP="00467EF6">
      <w:pPr>
        <w:spacing w:after="200" w:line="276" w:lineRule="auto"/>
        <w:jc w:val="center"/>
        <w:rPr>
          <w:rFonts w:eastAsia="Calibri"/>
          <w:color w:val="000000" w:themeColor="text1"/>
          <w:lang w:eastAsia="en-US"/>
        </w:rPr>
      </w:pPr>
      <w:r w:rsidRPr="00CF31E0">
        <w:rPr>
          <w:rFonts w:eastAsia="Calibri"/>
          <w:color w:val="000000" w:themeColor="text1"/>
          <w:lang w:eastAsia="en-US"/>
        </w:rPr>
        <w:t xml:space="preserve">Doctor of Philosophy </w:t>
      </w:r>
    </w:p>
    <w:p w14:paraId="24158FF6" w14:textId="77777777" w:rsidR="00467EF6" w:rsidRPr="00CF31E0" w:rsidRDefault="00467EF6" w:rsidP="00467EF6">
      <w:pPr>
        <w:spacing w:after="200" w:line="276" w:lineRule="auto"/>
        <w:jc w:val="center"/>
        <w:rPr>
          <w:rFonts w:eastAsia="Calibri"/>
          <w:color w:val="000000" w:themeColor="text1"/>
          <w:lang w:eastAsia="en-US"/>
        </w:rPr>
      </w:pPr>
    </w:p>
    <w:p w14:paraId="6A40935A" w14:textId="77777777" w:rsidR="00467EF6" w:rsidRPr="00CF31E0" w:rsidRDefault="00467EF6" w:rsidP="00467EF6">
      <w:pPr>
        <w:spacing w:after="200" w:line="276" w:lineRule="auto"/>
        <w:jc w:val="center"/>
        <w:rPr>
          <w:rFonts w:eastAsia="Calibri"/>
          <w:color w:val="000000" w:themeColor="text1"/>
          <w:lang w:eastAsia="en-US"/>
        </w:rPr>
      </w:pPr>
    </w:p>
    <w:p w14:paraId="4A61CC5F" w14:textId="77777777" w:rsidR="00467EF6" w:rsidRPr="00CF31E0" w:rsidRDefault="00467EF6" w:rsidP="00467EF6">
      <w:pPr>
        <w:spacing w:after="200" w:line="276" w:lineRule="auto"/>
        <w:jc w:val="center"/>
        <w:rPr>
          <w:rFonts w:eastAsia="Calibri"/>
          <w:color w:val="000000" w:themeColor="text1"/>
          <w:lang w:eastAsia="en-US"/>
        </w:rPr>
      </w:pPr>
    </w:p>
    <w:p w14:paraId="24EA28D6" w14:textId="77777777" w:rsidR="00467EF6" w:rsidRPr="00CF31E0" w:rsidRDefault="00467EF6" w:rsidP="00467EF6">
      <w:pPr>
        <w:jc w:val="center"/>
        <w:rPr>
          <w:rFonts w:eastAsia="Calibri"/>
          <w:color w:val="000000" w:themeColor="text1"/>
          <w:lang w:eastAsia="en-US"/>
        </w:rPr>
      </w:pPr>
      <w:r w:rsidRPr="00CF31E0">
        <w:rPr>
          <w:rFonts w:eastAsia="Calibri"/>
          <w:color w:val="000000" w:themeColor="text1"/>
          <w:lang w:eastAsia="en-US"/>
        </w:rPr>
        <w:t>The University of Sheffield</w:t>
      </w:r>
    </w:p>
    <w:p w14:paraId="462D68CB" w14:textId="7836A76E" w:rsidR="00467EF6" w:rsidRPr="00CF31E0" w:rsidRDefault="00615065" w:rsidP="00467EF6">
      <w:pPr>
        <w:autoSpaceDE w:val="0"/>
        <w:autoSpaceDN w:val="0"/>
        <w:adjustRightInd w:val="0"/>
        <w:jc w:val="center"/>
        <w:rPr>
          <w:rFonts w:eastAsia="Calibri"/>
          <w:color w:val="000000" w:themeColor="text1"/>
          <w:lang w:eastAsia="en-US"/>
        </w:rPr>
      </w:pPr>
      <w:r>
        <w:rPr>
          <w:rFonts w:eastAsia="Calibri"/>
          <w:color w:val="000000" w:themeColor="text1"/>
          <w:lang w:eastAsia="en-US"/>
        </w:rPr>
        <w:t>Faculty of Arts and Humanities</w:t>
      </w:r>
    </w:p>
    <w:p w14:paraId="5719FF6C" w14:textId="0879FC28" w:rsidR="00467EF6" w:rsidRPr="00CF31E0" w:rsidRDefault="00615065" w:rsidP="00467EF6">
      <w:pPr>
        <w:spacing w:after="200" w:line="276" w:lineRule="auto"/>
        <w:jc w:val="center"/>
        <w:rPr>
          <w:rFonts w:eastAsia="Calibri"/>
          <w:color w:val="000000" w:themeColor="text1"/>
          <w:lang w:eastAsia="en-US"/>
        </w:rPr>
      </w:pPr>
      <w:r>
        <w:rPr>
          <w:rFonts w:eastAsia="Calibri"/>
          <w:color w:val="000000" w:themeColor="text1"/>
          <w:lang w:eastAsia="en-US"/>
        </w:rPr>
        <w:t>School of English</w:t>
      </w:r>
    </w:p>
    <w:p w14:paraId="1B68BD9C" w14:textId="77777777" w:rsidR="00467EF6" w:rsidRPr="00CF31E0" w:rsidRDefault="00467EF6" w:rsidP="00467EF6">
      <w:pPr>
        <w:spacing w:after="200" w:line="276" w:lineRule="auto"/>
        <w:jc w:val="center"/>
        <w:rPr>
          <w:rFonts w:eastAsia="Calibri"/>
          <w:color w:val="000000" w:themeColor="text1"/>
          <w:lang w:eastAsia="en-US"/>
        </w:rPr>
      </w:pPr>
    </w:p>
    <w:p w14:paraId="6111BF6B" w14:textId="4ACB4E6A" w:rsidR="00467EF6" w:rsidRPr="00CF31E0" w:rsidRDefault="00467EF6" w:rsidP="00615065">
      <w:pPr>
        <w:spacing w:after="200" w:line="276" w:lineRule="auto"/>
        <w:jc w:val="center"/>
        <w:rPr>
          <w:rFonts w:eastAsia="Calibri"/>
          <w:color w:val="000000" w:themeColor="text1"/>
          <w:lang w:eastAsia="en-US"/>
        </w:rPr>
      </w:pPr>
      <w:r w:rsidRPr="00CF31E0">
        <w:rPr>
          <w:rFonts w:eastAsia="Calibri"/>
          <w:color w:val="000000" w:themeColor="text1"/>
          <w:lang w:eastAsia="en-US"/>
        </w:rPr>
        <w:t xml:space="preserve"> </w:t>
      </w:r>
    </w:p>
    <w:p w14:paraId="00E94B8F" w14:textId="77777777" w:rsidR="00467EF6" w:rsidRPr="00CF31E0" w:rsidRDefault="00467EF6" w:rsidP="00467EF6">
      <w:pPr>
        <w:spacing w:after="200" w:line="276" w:lineRule="auto"/>
        <w:jc w:val="center"/>
        <w:rPr>
          <w:rFonts w:eastAsia="Calibri"/>
          <w:color w:val="000000" w:themeColor="text1"/>
          <w:lang w:eastAsia="en-US"/>
        </w:rPr>
      </w:pPr>
    </w:p>
    <w:p w14:paraId="11045EB4" w14:textId="77777777" w:rsidR="00467EF6" w:rsidRPr="00CF31E0" w:rsidRDefault="00467EF6" w:rsidP="00467EF6">
      <w:pPr>
        <w:spacing w:after="200" w:line="276" w:lineRule="auto"/>
        <w:jc w:val="center"/>
        <w:rPr>
          <w:rFonts w:eastAsia="Calibri"/>
          <w:color w:val="000000" w:themeColor="text1"/>
          <w:lang w:eastAsia="en-US"/>
        </w:rPr>
      </w:pPr>
      <w:r w:rsidRPr="00CF31E0">
        <w:rPr>
          <w:rFonts w:eastAsia="Calibri"/>
          <w:color w:val="000000" w:themeColor="text1"/>
          <w:lang w:eastAsia="en-US"/>
        </w:rPr>
        <w:t>Submission Date</w:t>
      </w:r>
    </w:p>
    <w:p w14:paraId="2AEA90ED" w14:textId="77777777" w:rsidR="000970BE" w:rsidRDefault="000970BE" w:rsidP="00636102">
      <w:pPr>
        <w:rPr>
          <w:rFonts w:ascii="TUOS Blake" w:eastAsia="Calibri" w:hAnsi="TUOS Blake" w:cs="Arial"/>
          <w:color w:val="000000" w:themeColor="text1"/>
          <w:lang w:val="en-US" w:eastAsia="en-US"/>
        </w:rPr>
      </w:pPr>
    </w:p>
    <w:p w14:paraId="5E66D59F" w14:textId="6D19DF3C" w:rsidR="00D551B7" w:rsidRPr="00CF31E0" w:rsidRDefault="00D551B7" w:rsidP="00D551B7">
      <w:pPr>
        <w:jc w:val="center"/>
        <w:rPr>
          <w:rFonts w:ascii="TUOS Blake" w:eastAsia="Calibri" w:hAnsi="TUOS Blake" w:cs="Arial"/>
          <w:color w:val="000000" w:themeColor="text1"/>
          <w:lang w:val="en-US" w:eastAsia="en-US"/>
        </w:rPr>
        <w:sectPr w:rsidR="00D551B7" w:rsidRPr="00CF31E0" w:rsidSect="00603CB7">
          <w:footerReference w:type="default" r:id="rId12"/>
          <w:pgSz w:w="11900" w:h="16840"/>
          <w:pgMar w:top="1440" w:right="2268" w:bottom="1440" w:left="2268" w:header="709" w:footer="709" w:gutter="0"/>
          <w:pgNumType w:fmt="lowerRoman" w:start="1"/>
          <w:cols w:space="708"/>
          <w:docGrid w:linePitch="360"/>
        </w:sectPr>
      </w:pPr>
      <w:r>
        <w:rPr>
          <w:rFonts w:ascii="TUOS Blake" w:eastAsia="Calibri" w:hAnsi="TUOS Blake" w:cs="Arial"/>
          <w:color w:val="000000" w:themeColor="text1"/>
          <w:lang w:val="en-US" w:eastAsia="en-US"/>
        </w:rPr>
        <w:t>December 2018</w:t>
      </w:r>
    </w:p>
    <w:p w14:paraId="264FF702" w14:textId="271CBF12" w:rsidR="00636102" w:rsidRPr="00CF31E0" w:rsidRDefault="00467EF6" w:rsidP="004F45D7">
      <w:pPr>
        <w:pStyle w:val="Title"/>
        <w:spacing w:after="500"/>
        <w:contextualSpacing w:val="0"/>
        <w:rPr>
          <w:rFonts w:eastAsia="Times New Roman"/>
          <w:color w:val="000000" w:themeColor="text1"/>
          <w:lang w:val="en-US" w:eastAsia="en-US"/>
        </w:rPr>
      </w:pPr>
      <w:bookmarkStart w:id="0" w:name="_Toc6472610"/>
      <w:r w:rsidRPr="00CF31E0">
        <w:rPr>
          <w:rFonts w:eastAsia="Times New Roman"/>
          <w:color w:val="000000" w:themeColor="text1"/>
          <w:lang w:val="en-US" w:eastAsia="en-US"/>
        </w:rPr>
        <w:lastRenderedPageBreak/>
        <w:t>Acknowledgements</w:t>
      </w:r>
      <w:bookmarkEnd w:id="0"/>
    </w:p>
    <w:p w14:paraId="44518889" w14:textId="77777777" w:rsidR="006A61D7" w:rsidRPr="00CF31E0" w:rsidRDefault="006A61D7" w:rsidP="004F45D7">
      <w:pPr>
        <w:pStyle w:val="Paragraph"/>
      </w:pPr>
      <w:r w:rsidRPr="00CF31E0">
        <w:t>First and foremost, praise is to Allah, the almighty, for giving me the opportunity, strength and determination to achieve the completion of this thesis. Without his blessings and mercy, this work would not have been possible.</w:t>
      </w:r>
    </w:p>
    <w:p w14:paraId="34ABDE68" w14:textId="06EFC4E4" w:rsidR="006A61D7" w:rsidRPr="00CF31E0" w:rsidRDefault="006A61D7" w:rsidP="004F45D7">
      <w:pPr>
        <w:pStyle w:val="Paragraph"/>
      </w:pPr>
      <w:r w:rsidRPr="00CF31E0">
        <w:t xml:space="preserve">This thesis could not have been completed without the funding of the Saudi government through King Abdul-Aziz University. I am very indebted to the Saudi government, which gave me the opportunity to undertake this research study. </w:t>
      </w:r>
    </w:p>
    <w:p w14:paraId="40801D0A" w14:textId="77777777" w:rsidR="006A61D7" w:rsidRPr="00CF31E0" w:rsidRDefault="006A61D7" w:rsidP="004F45D7">
      <w:pPr>
        <w:pStyle w:val="Paragraph"/>
      </w:pPr>
      <w:r w:rsidRPr="00CF31E0">
        <w:t>I would like to express my deep and profound gratitude to my supervisors Prof. Susan Fitzmaurice and Dr. Chris Montgomery for their constant support and advice throughout my PhD, which has enabled me to broaden my research from various standpoints. The present research greatly benefitted from their immense knowledge and broad experience. I could not have imagined having better supervisors for my PhD study.</w:t>
      </w:r>
    </w:p>
    <w:p w14:paraId="0DE6D9A2" w14:textId="75BA82D8" w:rsidR="006A61D7" w:rsidRPr="00CF31E0" w:rsidRDefault="006A61D7" w:rsidP="004F45D7">
      <w:pPr>
        <w:pStyle w:val="Paragraph"/>
      </w:pPr>
      <w:r w:rsidRPr="00CF31E0">
        <w:t xml:space="preserve">My sincere thanks go also to tutors in the </w:t>
      </w:r>
      <w:r w:rsidR="0087529E" w:rsidRPr="00CF31E0">
        <w:t>mathematics and statistics he</w:t>
      </w:r>
      <w:r w:rsidR="00B56EA9" w:rsidRPr="00CF31E0">
        <w:t>l</w:t>
      </w:r>
      <w:r w:rsidR="0087529E" w:rsidRPr="00CF31E0">
        <w:t xml:space="preserve">p </w:t>
      </w:r>
      <w:r w:rsidRPr="00CF31E0">
        <w:t xml:space="preserve">department at the University of Sheffield for their constant advice on the statistical part of the thesis. </w:t>
      </w:r>
    </w:p>
    <w:p w14:paraId="6C37DCE3" w14:textId="77777777" w:rsidR="006A61D7" w:rsidRPr="00CF31E0" w:rsidRDefault="006A61D7" w:rsidP="004F45D7">
      <w:pPr>
        <w:pStyle w:val="Paragraph"/>
      </w:pPr>
      <w:r w:rsidRPr="00CF31E0">
        <w:t xml:space="preserve">I am very thankful to all Hijazi participants who agreed to take part in the study; without them the study could not have been completed. </w:t>
      </w:r>
    </w:p>
    <w:p w14:paraId="3621E3C8" w14:textId="77777777" w:rsidR="006A61D7" w:rsidRPr="00CF31E0" w:rsidRDefault="006A61D7" w:rsidP="004F45D7">
      <w:pPr>
        <w:pStyle w:val="Paragraph"/>
      </w:pPr>
      <w:r w:rsidRPr="00CF31E0">
        <w:t xml:space="preserve">I owe my deepest gratitude to my parents, Fatimah Al-Matrafi and Mubarak Alhazmi, for their constant prayers and their endless support throughout my years of study. They are always my ultimate role models. </w:t>
      </w:r>
    </w:p>
    <w:p w14:paraId="4D2C381D" w14:textId="3DB5779C" w:rsidR="006A61D7" w:rsidRPr="00CF31E0" w:rsidRDefault="006A61D7" w:rsidP="004F45D7">
      <w:pPr>
        <w:pStyle w:val="Paragraph"/>
      </w:pPr>
      <w:r w:rsidRPr="00CF31E0">
        <w:t>I am deeply grateful to all members of my family</w:t>
      </w:r>
      <w:r w:rsidR="004F45D7" w:rsidRPr="00CF31E0">
        <w:t xml:space="preserve"> including Fahd, Khadij</w:t>
      </w:r>
      <w:r w:rsidR="00B56EA9" w:rsidRPr="00CF31E0">
        <w:t>a, Fozya, Auatif, Haifa and Mofi</w:t>
      </w:r>
      <w:r w:rsidR="004F45D7" w:rsidRPr="00CF31E0">
        <w:t>dah</w:t>
      </w:r>
      <w:r w:rsidRPr="00CF31E0">
        <w:t xml:space="preserve"> for their motivational support. Special than</w:t>
      </w:r>
      <w:r w:rsidR="004F45D7" w:rsidRPr="00CF31E0">
        <w:t>ks go to my sister Maram</w:t>
      </w:r>
      <w:r w:rsidRPr="00CF31E0">
        <w:t xml:space="preserve"> for supporting me spiritually throughout my years of study in the UK. I would also like t</w:t>
      </w:r>
      <w:r w:rsidR="004F45D7" w:rsidRPr="00CF31E0">
        <w:t>o thank my nephews Mr. Turki Alle</w:t>
      </w:r>
      <w:r w:rsidRPr="00CF31E0">
        <w:t xml:space="preserve">haibi and Mr. Mohammed Alhazmi for their content reassurance and support. </w:t>
      </w:r>
    </w:p>
    <w:p w14:paraId="34717CD0" w14:textId="7895DBEB" w:rsidR="006A61D7" w:rsidRPr="00CF31E0" w:rsidRDefault="00CE0412" w:rsidP="004F45D7">
      <w:pPr>
        <w:pStyle w:val="Paragraph"/>
      </w:pPr>
      <w:r w:rsidRPr="00CF31E0">
        <w:lastRenderedPageBreak/>
        <w:t>I would like to thank my dear</w:t>
      </w:r>
      <w:r w:rsidR="006A61D7" w:rsidRPr="00CF31E0">
        <w:t xml:space="preserve"> friend Dr. Rania Alqurashi for offering me self-help advice whenever needed, and for helping me to overcome many of the obstacles I faced throughout my years of study. Special thanks go to my dear friend Dr. Nada Alotaibi; without her motivational words, the writing up of this thesis could not have been completed. </w:t>
      </w:r>
    </w:p>
    <w:p w14:paraId="00CE0DF6" w14:textId="77777777" w:rsidR="006A61D7" w:rsidRPr="00CF31E0" w:rsidRDefault="006A61D7" w:rsidP="004F45D7">
      <w:pPr>
        <w:pStyle w:val="Paragraph"/>
      </w:pPr>
      <w:r w:rsidRPr="00CF31E0">
        <w:t>Last but not least, my love and thanks go to my children Bader and Battal for the unending inspiration they gave me during my study. Thank you for being patient, enduring and motivational boys. I have to admit that the thesis has been produced as a result of my children’s love.</w:t>
      </w:r>
    </w:p>
    <w:p w14:paraId="7BFA3409" w14:textId="77777777" w:rsidR="006A61D7" w:rsidRPr="00CF31E0" w:rsidRDefault="006A61D7" w:rsidP="006A61D7">
      <w:pPr>
        <w:rPr>
          <w:color w:val="000000" w:themeColor="text1"/>
        </w:rPr>
      </w:pPr>
    </w:p>
    <w:p w14:paraId="5DDE3C2C" w14:textId="77777777" w:rsidR="006A61D7" w:rsidRPr="00CF31E0" w:rsidRDefault="006A61D7" w:rsidP="006042F1">
      <w:pPr>
        <w:rPr>
          <w:color w:val="000000" w:themeColor="text1"/>
        </w:rPr>
      </w:pPr>
    </w:p>
    <w:p w14:paraId="37440B3F" w14:textId="77777777" w:rsidR="00F60C91" w:rsidRPr="00CF31E0" w:rsidRDefault="00F60C91" w:rsidP="006042F1">
      <w:pPr>
        <w:rPr>
          <w:color w:val="000000" w:themeColor="text1"/>
        </w:rPr>
        <w:sectPr w:rsidR="00F60C91" w:rsidRPr="00CF31E0" w:rsidSect="00603CB7">
          <w:footerReference w:type="default" r:id="rId13"/>
          <w:pgSz w:w="11900" w:h="16840"/>
          <w:pgMar w:top="1440" w:right="2268" w:bottom="1440" w:left="2268" w:header="709" w:footer="709" w:gutter="0"/>
          <w:pgNumType w:fmt="lowerRoman" w:start="1"/>
          <w:cols w:space="708"/>
          <w:docGrid w:linePitch="360"/>
        </w:sectPr>
      </w:pPr>
    </w:p>
    <w:p w14:paraId="7E3EA40F" w14:textId="77777777" w:rsidR="00F60C91" w:rsidRPr="00CF31E0" w:rsidRDefault="00F60C91" w:rsidP="004F45D7">
      <w:pPr>
        <w:pStyle w:val="Title"/>
        <w:spacing w:after="500"/>
        <w:contextualSpacing w:val="0"/>
        <w:rPr>
          <w:rFonts w:eastAsia="Times New Roman"/>
          <w:color w:val="000000" w:themeColor="text1"/>
          <w:lang w:eastAsia="zh-CN"/>
        </w:rPr>
      </w:pPr>
      <w:bookmarkStart w:id="1" w:name="_Toc6472611"/>
      <w:r w:rsidRPr="00CF31E0">
        <w:rPr>
          <w:rFonts w:eastAsia="Times New Roman"/>
          <w:color w:val="000000" w:themeColor="text1"/>
          <w:lang w:eastAsia="zh-CN"/>
        </w:rPr>
        <w:lastRenderedPageBreak/>
        <w:t>Abstract</w:t>
      </w:r>
      <w:bookmarkEnd w:id="1"/>
    </w:p>
    <w:p w14:paraId="4428E14A" w14:textId="58736140" w:rsidR="00F60C91" w:rsidRPr="00CF31E0" w:rsidRDefault="00F60C91" w:rsidP="004F45D7">
      <w:pPr>
        <w:pStyle w:val="Paragraph"/>
        <w:rPr>
          <w:lang w:eastAsia="en-US"/>
        </w:rPr>
      </w:pPr>
      <w:r w:rsidRPr="00CF31E0">
        <w:rPr>
          <w:lang w:eastAsia="en-US"/>
        </w:rPr>
        <w:t xml:space="preserve">Language attitude research is mainly concerned with </w:t>
      </w:r>
      <w:r w:rsidR="00351D0F" w:rsidRPr="00CF31E0">
        <w:rPr>
          <w:lang w:eastAsia="en-US"/>
        </w:rPr>
        <w:t xml:space="preserve">the </w:t>
      </w:r>
      <w:r w:rsidRPr="00CF31E0">
        <w:rPr>
          <w:lang w:eastAsia="en-US"/>
        </w:rPr>
        <w:t xml:space="preserve">opinions, beliefs, stereotypes and prejudices that speakers </w:t>
      </w:r>
      <w:r w:rsidR="00351D0F" w:rsidRPr="00CF31E0">
        <w:rPr>
          <w:lang w:eastAsia="en-US"/>
        </w:rPr>
        <w:t xml:space="preserve">hold </w:t>
      </w:r>
      <w:r w:rsidRPr="00CF31E0">
        <w:rPr>
          <w:lang w:eastAsia="en-US"/>
        </w:rPr>
        <w:t xml:space="preserve">with respect to certain language or speech </w:t>
      </w:r>
      <w:r w:rsidR="00351D0F" w:rsidRPr="00CF31E0">
        <w:rPr>
          <w:lang w:eastAsia="en-US"/>
        </w:rPr>
        <w:t xml:space="preserve">varieties </w:t>
      </w:r>
      <w:r w:rsidRPr="00CF31E0">
        <w:rPr>
          <w:lang w:eastAsia="en-US"/>
        </w:rPr>
        <w:fldChar w:fldCharType="begin"/>
      </w:r>
      <w:r w:rsidR="00CD34CA" w:rsidRPr="00CF31E0">
        <w:rPr>
          <w:lang w:eastAsia="en-US"/>
        </w:rPr>
        <w:instrText xml:space="preserve"> ADDIN ZOTERO_ITEM CSL_CITATION {"citationID":"v4n3J5cw","properties":{"formattedCitation":"(Garrett, 2010, p. 33)","plainCitation":"(Garrett, 2010, p. 33)","dontUpdate":true,"noteIndex":0},"citationItems":[{"id":29,"uris":["http://zotero.org/users/1939618/items/NF3PAHT2"],"uri":["http://zotero.org/users/1939618/items/NF3PAHT2"],"itemData":{"id":29,"type":"book","title":"Attitudes to Language","publisher":"Cambridge University Press","publisher-place":"New York, NY","number-of-pages":"269","source":"Google Books","event-place":"New York, NY","abstract":"Just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behaviour.","ISBN":"978-1-139-48682-8","language":"en","author":[{"family":"Garrett","given":"Peter"}],"issued":{"date-parts":[["2010",4,8]]}},"locator":"33","label":"page"}],"schema":"https://github.com/citation-style-language/schema/raw/master/csl-citation.json"} </w:instrText>
      </w:r>
      <w:r w:rsidRPr="00CF31E0">
        <w:rPr>
          <w:lang w:eastAsia="en-US"/>
        </w:rPr>
        <w:fldChar w:fldCharType="separate"/>
      </w:r>
      <w:r w:rsidRPr="00CF31E0">
        <w:rPr>
          <w:noProof/>
          <w:lang w:eastAsia="en-US"/>
        </w:rPr>
        <w:t>(Garrett, 2010)</w:t>
      </w:r>
      <w:r w:rsidRPr="00CF31E0">
        <w:rPr>
          <w:lang w:eastAsia="en-US"/>
        </w:rPr>
        <w:fldChar w:fldCharType="end"/>
      </w:r>
      <w:r w:rsidRPr="00CF31E0">
        <w:rPr>
          <w:lang w:eastAsia="en-US"/>
        </w:rPr>
        <w:t xml:space="preserve">. In doing so, it involves investigating how cognitive processes, which </w:t>
      </w:r>
      <w:r w:rsidR="00351D0F" w:rsidRPr="00CF31E0">
        <w:rPr>
          <w:lang w:eastAsia="en-US"/>
        </w:rPr>
        <w:t xml:space="preserve">include </w:t>
      </w:r>
      <w:r w:rsidRPr="00CF31E0">
        <w:rPr>
          <w:lang w:eastAsia="en-US"/>
        </w:rPr>
        <w:t xml:space="preserve">stored beliefs about languages or speech </w:t>
      </w:r>
      <w:r w:rsidR="00351D0F" w:rsidRPr="00CF31E0">
        <w:rPr>
          <w:lang w:eastAsia="en-US"/>
        </w:rPr>
        <w:t>varieties</w:t>
      </w:r>
      <w:r w:rsidRPr="00CF31E0">
        <w:rPr>
          <w:lang w:eastAsia="en-US"/>
        </w:rPr>
        <w:t xml:space="preserve">, within one’s mental lexicon </w:t>
      </w:r>
      <w:r w:rsidR="00351D0F" w:rsidRPr="00CF31E0">
        <w:rPr>
          <w:lang w:eastAsia="en-US"/>
        </w:rPr>
        <w:t>result in</w:t>
      </w:r>
      <w:r w:rsidRPr="00CF31E0">
        <w:rPr>
          <w:lang w:eastAsia="en-US"/>
        </w:rPr>
        <w:t xml:space="preserve"> an act of being positive or negative about a certain speech variety or language </w:t>
      </w:r>
      <w:r w:rsidRPr="00CF31E0">
        <w:rPr>
          <w:lang w:eastAsia="en-US"/>
        </w:rPr>
        <w:fldChar w:fldCharType="begin"/>
      </w:r>
      <w:r w:rsidRPr="00CF31E0">
        <w:rPr>
          <w:lang w:eastAsia="en-US"/>
        </w:rPr>
        <w:instrText xml:space="preserve"> ADDIN ZOTERO_ITEM CSL_CITATION {"citationID":"a7mpuo74cn","properties":{"formattedCitation":"(Cargile, Giles, Ryan, &amp; Bradac, 1994; Kristiansen, Garrett, &amp; Coupland, 2005)","plainCitation":"(Cargile, Giles, Ryan, &amp; Bradac, 1994; Kristiansen, Garrett, &amp; Coupland, 2005)","noteIndex":0},"citationItems":[{"id":329,"uris":["http://zotero.org/users/1939618/items/9LEG7T6Y"],"uri":["http://zotero.org/users/1939618/items/9LEG7T6Y"],"itemData":{"id":329,"type":"article-journal","title":"Language attitudes as a social process: A conceptual model and new directions","container-title":"Special Issue Language Attitutes","page":"211-236","volume":"14","issue":"3","DOI":"10.1016/0271-5309(94)90001-9","ISSN":"0271-5309","journalAbbreviation":"Language &amp; Communication","author":[{"family":"Cargile","given":"Aaron C."},{"family":"Giles","given":"Howard"},{"family":"Ryan","given":"Ellen B."},{"family":"Bradac","given":"James J."}],"issued":{"date-parts":[["1994",7,1]]}},"label":"page"},{"id":303,"uris":["http://zotero.org/users/1939618/items/C4CULAJ5"],"uri":["http://zotero.org/users/1939618/items/C4CULAJ5"],"itemData":{"id":303,"type":"article-journal","title":"Introducing subjectivities in language variation and change","container-title":"Acta Linguistica Hafniensia","page":"9-35","volume":"37","issue":"1","source":"www-tandfonline-com.sheffield.idm.oclc.org (Atypon)","abstract":"This volume is devoted both to the theoretical question of which roles subjective processes play in language variation and change (LVC), and to the many methodological questions raised by the study of these subjective processes. Obviously, to talk about ‘subjective’ processes implies that there are also ‘objective’ processes, and more generally it suggests that LVC should be studied in terms of a distinction between the ‘subjective’ and the ‘objective’. Such a distinction is not, however, what we normally meet within the literature, where the factors involved in LVC are commonly divided and grouped in terms like internal versus external, linguistic versus social versus (socio)psychological, macro versus micro, and not to forget, the tripartite division introduced by Labov in his summing up of his own life work: internal versus social versus cognitive (Labov 1994, 2001, forthcoming.).","DOI":"10.1080/03740463.2005.10416081","ISSN":"0374-0463","journalAbbreviation":"Acta Linguistica Hafniensia","author":[{"family":"Kristiansen","given":"Tore"},{"family":"Garrett","given":"Peter"},{"family":"Coupland","given":"Nikolas"}],"issued":{"date-parts":[["2005",1,1]]}},"label":"page"}],"schema":"https://github.com/citation-style-language/schema/raw/master/csl-citation.json"} </w:instrText>
      </w:r>
      <w:r w:rsidRPr="00CF31E0">
        <w:rPr>
          <w:lang w:eastAsia="en-US"/>
        </w:rPr>
        <w:fldChar w:fldCharType="separate"/>
      </w:r>
      <w:r w:rsidRPr="00CF31E0">
        <w:rPr>
          <w:noProof/>
          <w:lang w:eastAsia="en-US"/>
        </w:rPr>
        <w:t>(Cargile, Giles, Ryan, &amp; Bradac, 1994; Kristiansen, Garrett, &amp; Coupland, 2005)</w:t>
      </w:r>
      <w:r w:rsidRPr="00CF31E0">
        <w:rPr>
          <w:lang w:eastAsia="en-US"/>
        </w:rPr>
        <w:fldChar w:fldCharType="end"/>
      </w:r>
      <w:r w:rsidRPr="00CF31E0">
        <w:rPr>
          <w:lang w:eastAsia="en-US"/>
        </w:rPr>
        <w:t xml:space="preserve">. Simply put, </w:t>
      </w:r>
      <w:r w:rsidR="00351D0F" w:rsidRPr="00CF31E0">
        <w:rPr>
          <w:lang w:eastAsia="en-US"/>
        </w:rPr>
        <w:t>l</w:t>
      </w:r>
      <w:r w:rsidRPr="00CF31E0">
        <w:rPr>
          <w:lang w:eastAsia="en-US"/>
        </w:rPr>
        <w:t>anguage attitude research explores how behavioural input such as stereotype</w:t>
      </w:r>
      <w:r w:rsidR="00351D0F" w:rsidRPr="00CF31E0">
        <w:rPr>
          <w:lang w:eastAsia="en-US"/>
        </w:rPr>
        <w:t>s</w:t>
      </w:r>
      <w:r w:rsidRPr="00CF31E0">
        <w:rPr>
          <w:lang w:eastAsia="en-US"/>
        </w:rPr>
        <w:t xml:space="preserve"> and beliefs might lead to behavioural output such as language variation and change processes (</w:t>
      </w:r>
      <w:r w:rsidRPr="00CF31E0">
        <w:rPr>
          <w:noProof/>
          <w:lang w:eastAsia="en-US"/>
        </w:rPr>
        <w:t>Garrett, 2010</w:t>
      </w:r>
      <w:r w:rsidRPr="00CF31E0">
        <w:rPr>
          <w:lang w:eastAsia="en-US"/>
        </w:rPr>
        <w:t xml:space="preserve">; </w:t>
      </w:r>
      <w:r w:rsidRPr="00CF31E0">
        <w:rPr>
          <w:noProof/>
          <w:lang w:eastAsia="en-US"/>
        </w:rPr>
        <w:t>Oppenheim, 1982)</w:t>
      </w:r>
      <w:r w:rsidRPr="00CF31E0">
        <w:rPr>
          <w:lang w:eastAsia="en-US"/>
        </w:rPr>
        <w:t xml:space="preserve">. </w:t>
      </w:r>
    </w:p>
    <w:p w14:paraId="6F57A7E0" w14:textId="0613213D" w:rsidR="00F60C91" w:rsidRPr="00CF31E0" w:rsidRDefault="00F60C91" w:rsidP="004F45D7">
      <w:pPr>
        <w:pStyle w:val="Paragraph"/>
        <w:rPr>
          <w:lang w:val="en-US" w:eastAsia="en-US"/>
        </w:rPr>
      </w:pPr>
      <w:r w:rsidRPr="00CF31E0">
        <w:rPr>
          <w:lang w:eastAsia="en-US"/>
        </w:rPr>
        <w:t xml:space="preserve">Using an attitudinal approach, the present study examines how </w:t>
      </w:r>
      <w:r w:rsidRPr="00CF31E0">
        <w:rPr>
          <w:lang w:val="en-US" w:eastAsia="en-US"/>
        </w:rPr>
        <w:t xml:space="preserve">the historical background of </w:t>
      </w:r>
      <w:r w:rsidR="00D30B2F">
        <w:rPr>
          <w:lang w:val="en-US" w:eastAsia="en-US"/>
        </w:rPr>
        <w:t>Makkah</w:t>
      </w:r>
      <w:r w:rsidRPr="00CF31E0">
        <w:rPr>
          <w:lang w:val="en-US" w:eastAsia="en-US"/>
        </w:rPr>
        <w:t xml:space="preserve"> city within </w:t>
      </w:r>
      <w:r w:rsidR="00351D0F" w:rsidRPr="00CF31E0">
        <w:rPr>
          <w:lang w:val="en-US" w:eastAsia="en-US"/>
        </w:rPr>
        <w:t xml:space="preserve">the </w:t>
      </w:r>
      <w:r w:rsidRPr="00CF31E0">
        <w:rPr>
          <w:lang w:val="en-US" w:eastAsia="en-US"/>
        </w:rPr>
        <w:t xml:space="preserve">Hijaz region and the rapid urbanization </w:t>
      </w:r>
      <w:r w:rsidR="00351D0F" w:rsidRPr="00CF31E0">
        <w:rPr>
          <w:lang w:val="en-US" w:eastAsia="en-US"/>
        </w:rPr>
        <w:t xml:space="preserve">of </w:t>
      </w:r>
      <w:r w:rsidRPr="00CF31E0">
        <w:rPr>
          <w:lang w:val="en-US" w:eastAsia="en-US"/>
        </w:rPr>
        <w:t xml:space="preserve">Saudi Arabia affected the make-up of the social structure and led to </w:t>
      </w:r>
      <w:r w:rsidR="006471AB" w:rsidRPr="00CF31E0">
        <w:rPr>
          <w:lang w:val="en-US" w:eastAsia="en-US"/>
        </w:rPr>
        <w:t xml:space="preserve">a </w:t>
      </w:r>
      <w:r w:rsidRPr="00CF31E0">
        <w:rPr>
          <w:lang w:val="en-US" w:eastAsia="en-US"/>
        </w:rPr>
        <w:t xml:space="preserve">dichotomous dialect situation in Hijaz. Thus, two main dialects have emerged in </w:t>
      </w:r>
      <w:r w:rsidR="006471AB" w:rsidRPr="00CF31E0">
        <w:rPr>
          <w:lang w:val="en-US" w:eastAsia="en-US"/>
        </w:rPr>
        <w:t xml:space="preserve">the </w:t>
      </w:r>
      <w:r w:rsidRPr="00CF31E0">
        <w:rPr>
          <w:lang w:val="en-US" w:eastAsia="en-US"/>
        </w:rPr>
        <w:t>Hijaz region</w:t>
      </w:r>
      <w:r w:rsidR="006471AB" w:rsidRPr="00CF31E0">
        <w:rPr>
          <w:lang w:val="en-US" w:eastAsia="en-US"/>
        </w:rPr>
        <w:t xml:space="preserve">: the </w:t>
      </w:r>
      <w:r w:rsidR="003207DB" w:rsidRPr="00CF31E0">
        <w:rPr>
          <w:lang w:val="en-US" w:eastAsia="en-US"/>
        </w:rPr>
        <w:t>urban Bedouin</w:t>
      </w:r>
      <w:r w:rsidRPr="00CF31E0">
        <w:rPr>
          <w:lang w:val="en-US" w:eastAsia="en-US"/>
        </w:rPr>
        <w:t xml:space="preserve"> Hijazi dialect and </w:t>
      </w:r>
      <w:r w:rsidR="006471AB" w:rsidRPr="00CF31E0">
        <w:rPr>
          <w:lang w:val="en-US" w:eastAsia="en-US"/>
        </w:rPr>
        <w:t xml:space="preserve">the </w:t>
      </w:r>
      <w:r w:rsidRPr="00CF31E0">
        <w:rPr>
          <w:lang w:val="en-US" w:eastAsia="en-US"/>
        </w:rPr>
        <w:t xml:space="preserve">Hadari Hijazi dialect. </w:t>
      </w:r>
      <w:r w:rsidRPr="00CF31E0">
        <w:rPr>
          <w:lang w:eastAsia="en-US"/>
        </w:rPr>
        <w:t>I adopted an integrated approach where I used direct and indirect measures to study Hijazi Saudi attitudes to</w:t>
      </w:r>
      <w:r w:rsidR="006471AB" w:rsidRPr="00CF31E0">
        <w:rPr>
          <w:lang w:eastAsia="en-US"/>
        </w:rPr>
        <w:t>wards</w:t>
      </w:r>
      <w:r w:rsidRPr="00CF31E0">
        <w:rPr>
          <w:lang w:eastAsia="en-US"/>
        </w:rPr>
        <w:t xml:space="preserve"> dialect variation in Hijaz</w:t>
      </w:r>
      <w:r w:rsidRPr="00CF31E0">
        <w:rPr>
          <w:lang w:val="en-US" w:eastAsia="en-US"/>
        </w:rPr>
        <w:t>.</w:t>
      </w:r>
    </w:p>
    <w:p w14:paraId="346CF2F4" w14:textId="77777777" w:rsidR="00F60C91" w:rsidRPr="00CF31E0" w:rsidRDefault="00F60C91" w:rsidP="004F45D7">
      <w:pPr>
        <w:pStyle w:val="Paragraph"/>
        <w:rPr>
          <w:lang w:eastAsia="en-US"/>
        </w:rPr>
      </w:pPr>
      <w:r w:rsidRPr="00CF31E0">
        <w:rPr>
          <w:lang w:eastAsia="en-US"/>
        </w:rPr>
        <w:t>Three research questions are addressed:</w:t>
      </w:r>
    </w:p>
    <w:p w14:paraId="52B14292" w14:textId="140D875C" w:rsidR="00F60C91" w:rsidRPr="00CF31E0" w:rsidRDefault="00F60C91" w:rsidP="004F45D7">
      <w:pPr>
        <w:pStyle w:val="Paragraph"/>
        <w:rPr>
          <w:lang w:eastAsia="en-US"/>
        </w:rPr>
      </w:pPr>
      <w:r w:rsidRPr="00CF31E0">
        <w:rPr>
          <w:b/>
          <w:bCs/>
          <w:lang w:eastAsia="en-US"/>
        </w:rPr>
        <w:t>RQ1:</w:t>
      </w:r>
      <w:r w:rsidRPr="00CF31E0">
        <w:rPr>
          <w:lang w:eastAsia="en-US"/>
        </w:rPr>
        <w:t xml:space="preserve"> What do Hijazi people perceive to be o</w:t>
      </w:r>
      <w:r w:rsidR="001A4CC4" w:rsidRPr="00CF31E0">
        <w:rPr>
          <w:lang w:eastAsia="en-US"/>
        </w:rPr>
        <w:t>ccurring linguistically in Hijaz</w:t>
      </w:r>
      <w:r w:rsidRPr="00CF31E0">
        <w:rPr>
          <w:lang w:eastAsia="en-US"/>
        </w:rPr>
        <w:t>?</w:t>
      </w:r>
    </w:p>
    <w:p w14:paraId="7553C343" w14:textId="649FAA7F" w:rsidR="00F60C91" w:rsidRPr="00CF31E0" w:rsidRDefault="00F60C91" w:rsidP="004F45D7">
      <w:pPr>
        <w:pStyle w:val="Paragraph"/>
        <w:rPr>
          <w:lang w:eastAsia="en-US"/>
        </w:rPr>
      </w:pPr>
      <w:r w:rsidRPr="00CF31E0">
        <w:rPr>
          <w:b/>
          <w:bCs/>
          <w:lang w:eastAsia="en-US"/>
        </w:rPr>
        <w:t>RQ2:</w:t>
      </w:r>
      <w:r w:rsidRPr="00CF31E0">
        <w:rPr>
          <w:lang w:eastAsia="en-US"/>
        </w:rPr>
        <w:t xml:space="preserve"> What are the most common characteristics tha</w:t>
      </w:r>
      <w:r w:rsidR="007D73CD">
        <w:rPr>
          <w:lang w:eastAsia="en-US"/>
        </w:rPr>
        <w:t>t are associated with the urban</w:t>
      </w:r>
      <w:r w:rsidRPr="00CF31E0">
        <w:rPr>
          <w:lang w:eastAsia="en-US"/>
        </w:rPr>
        <w:t xml:space="preserve"> </w:t>
      </w:r>
      <w:r w:rsidR="006C0659">
        <w:rPr>
          <w:lang w:eastAsia="en-US"/>
        </w:rPr>
        <w:t xml:space="preserve">Bedouin </w:t>
      </w:r>
      <w:r w:rsidRPr="00CF31E0">
        <w:rPr>
          <w:lang w:eastAsia="en-US"/>
        </w:rPr>
        <w:t>Hijazi and Hadari Hijazi dialects, and what are the dimensions behind the observed characteristics?</w:t>
      </w:r>
    </w:p>
    <w:p w14:paraId="2976D495" w14:textId="3FF64BAA" w:rsidR="00F60C91" w:rsidRPr="00CF31E0" w:rsidRDefault="00F60C91" w:rsidP="004F45D7">
      <w:pPr>
        <w:pStyle w:val="Paragraph"/>
        <w:rPr>
          <w:lang w:eastAsia="en-US"/>
        </w:rPr>
      </w:pPr>
      <w:r w:rsidRPr="00CF31E0">
        <w:rPr>
          <w:b/>
          <w:bCs/>
          <w:lang w:eastAsia="en-US"/>
        </w:rPr>
        <w:t xml:space="preserve">RQ3: </w:t>
      </w:r>
      <w:r w:rsidRPr="00CF31E0">
        <w:rPr>
          <w:lang w:eastAsia="en-US"/>
        </w:rPr>
        <w:t xml:space="preserve">How </w:t>
      </w:r>
      <w:r w:rsidR="008E5FC3">
        <w:rPr>
          <w:lang w:eastAsia="en-US"/>
        </w:rPr>
        <w:t>do Hijazi people identify urban</w:t>
      </w:r>
      <w:r w:rsidRPr="00CF31E0">
        <w:rPr>
          <w:lang w:eastAsia="en-US"/>
        </w:rPr>
        <w:t xml:space="preserve"> </w:t>
      </w:r>
      <w:r w:rsidR="006C0659">
        <w:rPr>
          <w:lang w:eastAsia="en-US"/>
        </w:rPr>
        <w:t xml:space="preserve">Bedouin </w:t>
      </w:r>
      <w:r w:rsidRPr="00CF31E0">
        <w:rPr>
          <w:lang w:eastAsia="en-US"/>
        </w:rPr>
        <w:t>Hijazi and Hadari Hijazi? Do they rely on linguistic factors or metalinguistic factors in the identification of dialects?</w:t>
      </w:r>
    </w:p>
    <w:p w14:paraId="4EC6198A" w14:textId="10A858D1" w:rsidR="00F60C91" w:rsidRPr="00CF31E0" w:rsidRDefault="00F60C91" w:rsidP="004F45D7">
      <w:pPr>
        <w:pStyle w:val="Paragraph"/>
        <w:rPr>
          <w:lang w:eastAsia="en-US"/>
        </w:rPr>
      </w:pPr>
      <w:r w:rsidRPr="00CF31E0">
        <w:rPr>
          <w:lang w:eastAsia="en-US"/>
        </w:rPr>
        <w:lastRenderedPageBreak/>
        <w:t xml:space="preserve">Findings were discussed and compared to studies in the field of language attitude research </w:t>
      </w:r>
      <w:r w:rsidRPr="00CF31E0">
        <w:rPr>
          <w:lang w:eastAsia="en-US"/>
        </w:rPr>
        <w:fldChar w:fldCharType="begin"/>
      </w:r>
      <w:r w:rsidR="00CD34CA" w:rsidRPr="00CF31E0">
        <w:rPr>
          <w:lang w:eastAsia="en-US"/>
        </w:rPr>
        <w:instrText xml:space="preserve"> ADDIN ZOTERO_ITEM CSL_CITATION {"citationID":"atv1c3947f","properties":{"formattedCitation":"(Garrett, Williams, &amp; Evans, 2005a; Giles, 1970; Ladegaard, 1998a; Stewart, Ryan, &amp; Giles, 1985a)","plainCitation":"(Garrett, Williams, &amp; Evans, 2005a; Giles, 1970; Ladegaard, 1998a; Stewart, Ryan, &amp; Giles, 1985a)","noteIndex":0},"citationItems":[{"id":298,"uris":["http://zotero.org/users/1939618/items/VGGFH99T"],"uri":["http://zotero.org/users/1939618/items/VGGFH99T"],"itemData":{"id":298,"type":"article-journal","title":"Accessing social meanings: Values of keywords, values in keywords","container-title":"Acta Linguistica Hafniensia","page":"37–54","volume":"37","issue":"1","source":"Google Scholar","shortTitle":"Accessing social meanings","author":[{"family":"Garrett","given":"Peter"},{"family":"Williams","given":"Angie"},{"family":"Evans","given":"Betsy"}],"issued":{"date-parts":[["2005"]]}},"label":"page"},{"id":62,"uris":["http://zotero.org/users/1939618/items/ZXQ48QBG"],"uri":["http://zotero.org/users/1939618/items/ZXQ48QBG"],"itemData":{"id":62,"type":"article-journal","title":"Evaluative reactions to accents","container-title":"Educational review","page":"211–227","volume":"22","issue":"3","source":"Google Scholar","author":[{"family":"Giles","given":"Howard"}],"issued":{"date-parts":[["1970"]]}},"label":"page"},{"id":235,"uris":["http://zotero.org/users/1939618/items/255XMBZ9"],"uri":["http://zotero.org/users/1939618/items/255XMBZ9"],"itemData":{"id":235,"type":"article-journal","title":"Assessing national stereotypes in language attitude studies: The case of class-consciousness in Denmark","container-title":"Journal of Multilingual and Multicultural Development","page":"182–198","volume":"19","issue":"3","source":"Google Scholar","shortTitle":"Assessing national stereotypes in language attitude studies","author":[{"family":"Ladegaard","given":"Hans J."}],"issued":{"date-parts":[["1998"]]}},"label":"page"},{"id":64,"uris":["http://zotero.org/users/1939618/items/TPBM3MJW"],"uri":["http://zotero.org/users/1939618/items/TPBM3MJW"],"itemData":{"id":64,"type":"article-journal","title":"Accent and social class effects on status and solidarity evaluations","container-title":"Personality and Social Psychology Bulletin","page":"98–105","volume":"11","issue":"1","source":"Google Scholar","author":[{"family":"Stewart","given":"Mark A."},{"family":"Ryan","given":"Ellen Bouchard"},{"family":"Giles","given":"Howard"}],"issued":{"date-parts":[["1985"]]}},"label":"page"}],"schema":"https://github.com/citation-style-language/schema/raw/master/csl-citation.json"} </w:instrText>
      </w:r>
      <w:r w:rsidRPr="00CF31E0">
        <w:rPr>
          <w:lang w:eastAsia="en-US"/>
        </w:rPr>
        <w:fldChar w:fldCharType="separate"/>
      </w:r>
      <w:r w:rsidR="00CD34CA" w:rsidRPr="00CF31E0">
        <w:rPr>
          <w:noProof/>
          <w:lang w:eastAsia="en-US"/>
        </w:rPr>
        <w:t>(Garrett, Williams, &amp; Evans, 2005a; Giles, 1970; Ladegaard, 1998</w:t>
      </w:r>
      <w:r w:rsidR="00CA2735" w:rsidRPr="00CF31E0">
        <w:rPr>
          <w:noProof/>
          <w:lang w:eastAsia="en-US"/>
        </w:rPr>
        <w:t>; Stewart, Ryan, &amp; Giles, 1985</w:t>
      </w:r>
      <w:r w:rsidR="00CD34CA" w:rsidRPr="00CF31E0">
        <w:rPr>
          <w:noProof/>
          <w:lang w:eastAsia="en-US"/>
        </w:rPr>
        <w:t>)</w:t>
      </w:r>
      <w:r w:rsidRPr="00CF31E0">
        <w:rPr>
          <w:lang w:eastAsia="en-US"/>
        </w:rPr>
        <w:fldChar w:fldCharType="end"/>
      </w:r>
      <w:r w:rsidRPr="00CF31E0">
        <w:rPr>
          <w:lang w:eastAsia="en-US"/>
        </w:rPr>
        <w:t xml:space="preserve">, socio-phonetic research </w:t>
      </w:r>
      <w:r w:rsidRPr="00CF31E0">
        <w:rPr>
          <w:lang w:eastAsia="en-US"/>
        </w:rPr>
        <w:fldChar w:fldCharType="begin"/>
      </w:r>
      <w:r w:rsidR="00A54129" w:rsidRPr="00CF31E0">
        <w:rPr>
          <w:lang w:eastAsia="en-US"/>
        </w:rPr>
        <w:instrText xml:space="preserve"> ADDIN ZOTERO_ITEM CSL_CITATION {"citationID":"aj952k2sjo","properties":{"formattedCitation":"(Hay, Jennifer &amp; Drager, Katie, 2010; Jennifer Hay, Nolan, &amp; Drager, 2006a; Niedzielski, 1999)","plainCitation":"(Hay, Jennifer &amp; Drager, Katie, 2010; Jennifer Hay, Nolan, &amp; Drager, 2006a; Niedzielski, 1999)","noteIndex":0},"citationItems":[{"id":345,"uris":["http://zotero.org/users/1939618/items/8WESUNPI"],"uri":["http://zotero.org/users/1939618/items/8WESUNPI"],"itemData":{"id":345,"type":"article-journal","title":"From fush to feesh: Exemplar priming in speech perception","container-title":"The Linguistic Review","page":"351–379","volume":"23","issue":"3","source":"find.shef.ac.uk","abstract":"Niedzielski (1999) reports on an experiment which demonstrates that individuals in Detroit ‘hear’ more Canadian Raising in the speech of a speaker when they think that speaker is Canadian. We describe an experiment designed to follow up on this result in a New Zealand context. Participants listened to a New Zealand English (NZE) speaker reading a list of sentences. Each sentence appeared on the answer-sheet, with a target word underlined. For each sentence, participants were asked to select from a synthesized vowel continuum the token that best matched the target vowel produced by the speaker. Half the participants had an answer-sheet with the word ‘Australian’ written on it, and half had an answer-sheet with ‘New Zealander’ written on it. Participants in the two conditions behaved significantly differently from one another. For example, they were more likely to hear a higher fronter / i / vowel when ‘Australian’ appeared on the answer sheet, and more likely to hear a centralized version when ‘New Zealander’ appeared – a trend which reflects production differences between the two dialects. This is despite the fact that nearly all participants reported that they knew they were listening to a New Zealander. We discuss the implication of these results, and argue that they support exemplar models of speech perception.","DOI":"10.1515/TLR.2006.014","ISSN":"0167-6318","shortTitle":"From fush to feesh","author":[{"family":"Hay","given":"Jennifer"},{"family":"Nolan","given":"Aaron"},{"family":"Drager","given":"Katie"}],"issued":{"literal":"2006a"}},"label":"page"},{"id":"wgwhcNH1/bYd88gIU","uris":["http://zotero.org/users/1939618/items/J2RHJYXU"],"uri":["http://zotero.org/users/1939618/items/J2RHJYXU"],"itemData":{"id":291,"type":"article-journal","title":"Stuffed toys and speech perception : Linguistics","volume":"48","issue":"4","URL":"https://www.degruyter.com/view/j/ling.2010.48.issue-4/ling.2010.027/ling.2010.027.xml","author":[{"literal":"Hay, Jennifer"},{"literal":"Drager, Katie"}],"issued":{"date-parts":[["2010"]]},"accessed":{"date-parts":[["2017",12,28]]}},"label":"page"},{"id":293,"uris":["http://zotero.org/users/1939618/items/IR99WY6K"],"uri":["http://zotero.org/users/1939618/items/IR99WY6K"],"itemData":{"id":293,"type":"article-journal","title":"The effect of social information on the perception of sociolinguistic variables","container-title":"Journal of language and social psychology","page":"62–85","volume":"18","issue":"1","source":"Google Scholar","author":[{"family":"Niedzielski","given":"Nancy"}],"issued":{"date-parts":[["1999"]]}},"label":"page"}],"schema":"https://github.com/citation-style-language/schema/raw/master/csl-citation.json"} </w:instrText>
      </w:r>
      <w:r w:rsidRPr="00CF31E0">
        <w:rPr>
          <w:lang w:eastAsia="en-US"/>
        </w:rPr>
        <w:fldChar w:fldCharType="separate"/>
      </w:r>
      <w:r w:rsidR="00CD34CA" w:rsidRPr="00CF31E0">
        <w:rPr>
          <w:noProof/>
          <w:lang w:eastAsia="en-US"/>
        </w:rPr>
        <w:t xml:space="preserve">(Hay &amp; Drager, 2010; </w:t>
      </w:r>
      <w:r w:rsidR="00074CE4" w:rsidRPr="00CF31E0">
        <w:rPr>
          <w:noProof/>
          <w:lang w:eastAsia="en-US"/>
        </w:rPr>
        <w:t>Hay, Nolan, &amp; Drager, 2006</w:t>
      </w:r>
      <w:r w:rsidR="00CD34CA" w:rsidRPr="00CF31E0">
        <w:rPr>
          <w:noProof/>
          <w:lang w:eastAsia="en-US"/>
        </w:rPr>
        <w:t>; Niedzielski, 1999)</w:t>
      </w:r>
      <w:r w:rsidRPr="00CF31E0">
        <w:rPr>
          <w:lang w:eastAsia="en-US"/>
        </w:rPr>
        <w:fldChar w:fldCharType="end"/>
      </w:r>
      <w:r w:rsidRPr="00CF31E0">
        <w:rPr>
          <w:lang w:eastAsia="en-US"/>
        </w:rPr>
        <w:t xml:space="preserve">, Hijaz region historical research </w:t>
      </w:r>
      <w:r w:rsidRPr="00CF31E0">
        <w:rPr>
          <w:lang w:eastAsia="en-US"/>
        </w:rPr>
        <w:fldChar w:fldCharType="begin"/>
      </w:r>
      <w:r w:rsidR="00CD34CA" w:rsidRPr="00CF31E0">
        <w:rPr>
          <w:lang w:eastAsia="en-US"/>
        </w:rPr>
        <w:instrText xml:space="preserve"> ADDIN ZOTERO_ITEM CSL_CITATION {"citationID":"i8Sr0KyX","properties":{"formattedCitation":"(Bianchi, 2004; Munt, 2014; Tagliacozzo &amp; Toorawa, 2016)","plainCitation":"(Bianchi, 2004; Munt, 2014; Tagliacozzo &amp; Toorawa, 2016)","noteIndex":0},"citationItems":[{"id":364,"uris":["http://zotero.org/users/1939618/items/MPTGYXG9"],"uri":["http://zotero.org/users/1939618/items/MPTGYXG9"],"itemData":{"id":364,"type":"book","title":"Guests of God: pilgrimage and politics in the Islamic world","publisher":"Oxford University Press","publisher-place":"New York, NY","event-place":"New York, NY","shortTitle":"Guests of God","author":[{"family":"Bianchi","given":"Robert"}],"issued":{"date-parts":[["2004"]]}},"label":"page"},{"id":366,"uris":["http://zotero.org/users/1939618/items/WAA9WGYX"],"uri":["http://zotero.org/users/1939618/items/WAA9WGYX"],"itemData":{"id":366,"type":"book","title":"The holy city of Medina: sacred space in early Islamic Arabia","collection-title":"Cambridge studies in Islamic civilization","publisher":"Cambridge University Press","publisher-place":"Cambridge","source":"find.shef.ac.uk","event-place":"Cambridge","URL":"https://doi.org/10.1017/CBO9781107323773","ISBN":"978-1-107-32377-3","shortTitle":"The holy city of Medina","language":"eng","author":[{"family":"Munt","given":"Harry"}],"issued":{"date-parts":[["2014"]]},"accessed":{"date-parts":[["2018",4,2]]}},"label":"page"},{"id":367,"uris":["http://zotero.org/users/1939618/items/VTLWJHCV"],"uri":["http://zotero.org/users/1939618/items/VTLWJHCV"],"itemData":{"id":367,"type":"book","title":"The Hajj: pilgrimage in Islam","publisher":"Cambridge University Press","publisher-place":"Cambridge","source":"find.shef.ac.uk","event-place":"Cambridge","abstract":"Machine generated contents note: Introduction Eric Tagliacozzo and Shawkat Toorawa; 1. Pilgrimage in pre-Islamic Arabia and late Antiquity Harry Munt; 2. Why Mecca? Abraham and the Hajj in the Islamic tradition Fareeha Khan; 3. The early Hajj, seventh-eighth centuries CE Travis Zadeh; 4. Women and the Hajj Asma Sayeed; 5. Hajj by land Benjamin C. Brower; 6. Hajj by sea Eric Tagliacozzo; 7. Hajj by air Robert Bianchi; 8. Economics: agents, pilgrims, and profits on the Hajj Sylvia Chiffoleau; 9. The pilgrimage to Mecca and international health regulations Valeska Huber; 10. The Saudis as managers of the Hajj Saud al-Sarhan; 11. Performing the Haj</w:instrText>
      </w:r>
      <w:r w:rsidR="00CD34CA" w:rsidRPr="000E3509">
        <w:rPr>
          <w:lang w:val="it-IT" w:eastAsia="en-US"/>
        </w:rPr>
        <w:instrText xml:space="preserve">j Shawkat Toorawa; 12. Decoding the Hajj in cyberspace Gary R. Bunt; 13. A pilgrim's complaint: recent accounts of the Hajj Michael Wolfe; 14. Visualizing the Hajj: imagining a sacred landscape past and present Juan Campo., Every year hundreds of thousands of pilgrims from all over the world converge on Mecca and its precincts to perform the rituals associated with the Hajj and have been doing so since the seventh century. In this volume, scholars from a range of fields - including history, religion, anthropology, and literature - together tell the story of the Hajj and explain its significance as one of the key events in the Muslim religious calendar. By outlining the parameters of the Hajj from its beginnings to the present day, the contributors have produced a global study that takes in the vast geographies of belief in the world of Islam. This volume pays attention to the diverse aspects of the Hajj, as lived every year by hundreds of millions of Muslims, touching on its rituals, its regional forms, the role of gender, its representation in art, and its organization on a global scale.","URL":"https://doi.org/10.1017/CBO9781139343794","ISBN":"978-1-139-34379-4","shortTitle":"The Hajj","language":"eng","author":[{"family":"Tagliacozzo","given":"Eric"},{"family":"Toorawa","given":"Shawkat"}],"issued":{"date-parts":[["2016"]]},"accessed":{"date-parts":[["2018",4,2]]}},"label":"page"}],"schema":"https://github.com/citation-style-language/schema/raw/master/csl-citation.json"} </w:instrText>
      </w:r>
      <w:r w:rsidRPr="00CF31E0">
        <w:rPr>
          <w:lang w:eastAsia="en-US"/>
        </w:rPr>
        <w:fldChar w:fldCharType="separate"/>
      </w:r>
      <w:r w:rsidRPr="00CF31E0">
        <w:rPr>
          <w:noProof/>
          <w:lang w:val="it-IT" w:eastAsia="en-US"/>
        </w:rPr>
        <w:t>(Bianchi, 2004; Munt, 2</w:t>
      </w:r>
      <w:r w:rsidR="00E44A3C" w:rsidRPr="00CF31E0">
        <w:rPr>
          <w:noProof/>
          <w:lang w:val="it-IT" w:eastAsia="en-US"/>
        </w:rPr>
        <w:t>014; Tagliacozzo &amp; Toorawa, 2015</w:t>
      </w:r>
      <w:r w:rsidRPr="00CF31E0">
        <w:rPr>
          <w:noProof/>
          <w:lang w:val="it-IT" w:eastAsia="en-US"/>
        </w:rPr>
        <w:t>)</w:t>
      </w:r>
      <w:r w:rsidRPr="00CF31E0">
        <w:rPr>
          <w:lang w:eastAsia="en-US"/>
        </w:rPr>
        <w:fldChar w:fldCharType="end"/>
      </w:r>
      <w:r w:rsidRPr="00CF31E0">
        <w:rPr>
          <w:lang w:val="it-IT" w:eastAsia="en-US"/>
        </w:rPr>
        <w:t xml:space="preserve">, migration and urbanization in </w:t>
      </w:r>
      <w:r w:rsidR="00CB2457" w:rsidRPr="00CF31E0">
        <w:rPr>
          <w:lang w:val="it-IT" w:eastAsia="en-US"/>
        </w:rPr>
        <w:t xml:space="preserve">Saudi Arabia </w:t>
      </w:r>
      <w:r w:rsidRPr="00CF31E0">
        <w:rPr>
          <w:lang w:val="it-IT" w:eastAsia="en-US"/>
        </w:rPr>
        <w:t xml:space="preserve">research </w:t>
      </w:r>
      <w:r w:rsidRPr="00CF31E0">
        <w:rPr>
          <w:lang w:eastAsia="en-US"/>
        </w:rPr>
        <w:fldChar w:fldCharType="begin"/>
      </w:r>
      <w:r w:rsidR="00CD34CA" w:rsidRPr="00CF31E0">
        <w:rPr>
          <w:lang w:val="it-IT" w:eastAsia="en-US"/>
        </w:rPr>
        <w:instrText xml:space="preserve"> ADDIN ZOTERO_ITEM CSL_CITATION {"citationID":"UMhaUCvV","properties":{"formattedCitation":"(Al-Rasheed, 2010; Weston, 2011; Wilson &amp; Graham, 2016)","plainCitation":"(Al-Rasheed, 2010; Weston, 2011; Wilson &amp; Graham, 2016)","noteIndex":0},"citationItems":[{"id":170,"uris":["http://zotero.org/users/1939618/items/5PRQ9KEN"],"uri":["http://zotero.org/users/1939618/items/5PRQ9KEN"],"itemData":{"id":170,"type":"book","title":"A history of Saudi Arabia","publisher":"Cambridge University Press","publisher-place":"Cambridge","source":"Google Scholar","event-place":"Cambridge","URL":"https://books.google.co.uk/books?hl=en&amp;lr=&amp;id=ReoiwJiOqQAC&amp;oi=fnd&amp;pg=PR10&amp;dq=Al-Rasheed,+M.+(2010).+A+history+of+Saudi+Arabia.+Cambridge,+Cambridge+University+Press.&amp;ots=NaKXTzyoyc&amp;sig=nZSLxW_SacQ6E1xRWtPUxRhNG6g","author":[{"family":"Al-Rasheed","given":"Madawi"}],"issued":{"date-parts":[["2010"]]},"accessed":{"date-parts":[["2015",9,28]]}},"label":"page"},{"id":106,"uris":["http://zotero.org/users/1939618/items/PHBAX56R"],"uri":["http://zotero.org/users/1939618/items/PHBAX56R"],"itemData":{"id":106,"type":"book","title":"Prophets and pr</w:instrText>
      </w:r>
      <w:r w:rsidR="00CD34CA" w:rsidRPr="000E3509">
        <w:rPr>
          <w:lang w:eastAsia="en-US"/>
        </w:rPr>
        <w:instrText xml:space="preserve">inces: Saudi Arabia from Muhammad to the present","publisher":"John Wiley &amp; Sons","publisher-place":"New Jersey","source":"Google Scholar","event-place":"New Jersey","URL":"http://books.google.co.uk/books?hl=en&amp;lr=&amp;id=KRjdyYPH6wQC&amp;oi=fnd&amp;pg=PT13&amp;dq=prophets+and+princes+,saudi+arabia+&amp;ots=ZdmBKfpUQh&amp;sig=WykRl4AinvtTZB0HeL49RAZ6AlU","shortTitle":"Prophets and princes","author":[{"family":"Weston","given":"Mark"}],"issued":{"date-parts":[["2011"]]},"accessed":{"date-parts":[["2015",1,21]]}},"label":"page"},{"id":418,"uris":["http://zotero.org/users/1939618/items/3ZU6KTWY"],"uri":["http://zotero.org/users/1939618/items/3ZU6KTWY"],"itemData":{"id":418,"type":"book","title":"Saudi Arabia: The Coming Storm: The Coming Storm","publisher":"Routledge","publisher-place":"New York, NY","number-of-pages":"339","source":"Google Books","event-place":"New York, NY","abstract":"Some of the best writings on issues involving local government can be found in journals published by the American Society for Public Administration or journals with which ASPA is associated. This volume includes 30 of the most outstanding articles that have been published.","ISBN":"978-1-315-28699-0","note":"Google-Books-ID: tIoYDQAAQBAJ","shortTitle":"Saudi Arabia","language":"en","author":[{"family":"Wilson","given":"Peter W."},{"family":"Graham","given":"Douglas F."}],"issued":{"date-parts":[["2016",9,16]]}},"label":"page"}],"schema":"https://github.com/citation-style-language/schema/raw/master/csl-citation.json"} </w:instrText>
      </w:r>
      <w:r w:rsidRPr="00CF31E0">
        <w:rPr>
          <w:lang w:eastAsia="en-US"/>
        </w:rPr>
        <w:fldChar w:fldCharType="separate"/>
      </w:r>
      <w:r w:rsidRPr="00CF31E0">
        <w:rPr>
          <w:noProof/>
          <w:lang w:eastAsia="en-US"/>
        </w:rPr>
        <w:t>( Weston, 2011; Wilson &amp; Graham, 2016)</w:t>
      </w:r>
      <w:r w:rsidRPr="00CF31E0">
        <w:rPr>
          <w:lang w:eastAsia="en-US"/>
        </w:rPr>
        <w:fldChar w:fldCharType="end"/>
      </w:r>
      <w:r w:rsidRPr="00CF31E0">
        <w:rPr>
          <w:lang w:eastAsia="en-US"/>
        </w:rPr>
        <w:t xml:space="preserve">, </w:t>
      </w:r>
      <w:r w:rsidR="007D68A0" w:rsidRPr="00CF31E0">
        <w:rPr>
          <w:lang w:eastAsia="en-US"/>
        </w:rPr>
        <w:t xml:space="preserve">and </w:t>
      </w:r>
      <w:r w:rsidRPr="00CF31E0">
        <w:rPr>
          <w:lang w:eastAsia="en-US"/>
        </w:rPr>
        <w:t>dialectology research in SA</w:t>
      </w:r>
      <w:r w:rsidR="005B22A4" w:rsidRPr="00CF31E0">
        <w:rPr>
          <w:lang w:eastAsia="en-US"/>
        </w:rPr>
        <w:t xml:space="preserve"> </w:t>
      </w:r>
      <w:r w:rsidRPr="00CF31E0">
        <w:rPr>
          <w:lang w:eastAsia="en-US"/>
        </w:rPr>
        <w:fldChar w:fldCharType="begin"/>
      </w:r>
      <w:r w:rsidR="00A54129" w:rsidRPr="00CF31E0">
        <w:rPr>
          <w:lang w:eastAsia="en-US"/>
        </w:rPr>
        <w:instrText xml:space="preserve"> ADDIN ZOTERO_ITEM CSL_CITATION {"citationID":"tFvKsRoY","properties":{"formattedCitation":"(A Alrumaih, 2002; Alahmadi, 2016; Ingham, 1971, 1982)","plainCitation":"(A Alrumaih, 2002; Alahmadi, 2016; Ingham, 1971, 1982)","noteIndex":0},"citationItems":[{"id":357,"uris":["http://zotero.org/users/1939618/items/RCNXI4E5"],"uri":["http://zotero.org/users/1939618/items/RCNXI4E5"],"itemData":{"id":357,"type":"thesis","title":"Najdi perceptions of Saudi regional speech","publisher":"Michigan state university","source":"ResearchGate","abstract":"Thesis (M.A.)--Michigan State University. Dept. of Linguistics and Languages, 2002. Includes bibliographical references","author":[{"family":"A Alrumaih","given":"Ahmad"}],"issued":{"date-parts":[["2002"]]}},"label":"page"},{"id":470,"uris":["http://zotero.org/users/1939618/items/65KMBJ76"],"uri":["http://zotero.org/users/1939618/items/65KMBJ76"],"itemData":{"id":470,"type":"article-journal","title":"Insight into the Attitudes of Speakers of Urban Meccan Hijazi Arabic towards their Dialect","container-title":"Advances in Language and Literary Studies","page":"249-256","volume":"7","issue":"2","source":"ResearchGate","DOI":"10.7575/aiac.alls.v.7n.2p.249","author":[{"family":"Alahmadi","given":"Sameeha"}],"issued":{"date-parts":[["2016",4,1]]}},"label":"page"},{"id":131,"uris":["http://zotero.org/users/1939618/items/RDKBEK7V"],"uri":["http://zotero.org/users/1939618/items/RDKBEK7V"],"itemData":{"id":131,"type":"article-journal","title":"Some characteristics of Meccan speech","container-title":"Bulletin of the School of Oriental and African Studies","page":"273–297","volume":"34","issue":"02","source":"Google Scholar","author":[{"family":"Ingham","given":"Bruce"}],"issued":{"date-parts":[["1971"]]}},"label":"page"},{"id":133,"uris":["http://zotero.org/users/1939618/items/RNWI55AQ"],"uri":["http://zotero.org/users/1939618/items/RNWI55AQ"],"itemData":{"id":133,"type":"article-journal","title":"Notes on the dialect of the Ḍhafr of north-eastern Arabia","container-title":"Bulletin of the School of Oriental and African Studies","page":"245–259","volume":"45","issue":"02","source":"Google Scholar","author":[{"family":"Ingham","given":"Bruce"}],"issued":{"date-parts":[["1982"]]}},"label":"page"}],"schema":"https://github.com/citation-style-language/schema/raw/master/csl-citation.json"} </w:instrText>
      </w:r>
      <w:r w:rsidRPr="00CF31E0">
        <w:rPr>
          <w:lang w:eastAsia="en-US"/>
        </w:rPr>
        <w:fldChar w:fldCharType="separate"/>
      </w:r>
      <w:r w:rsidR="00AF4A50" w:rsidRPr="00CF31E0">
        <w:rPr>
          <w:noProof/>
          <w:lang w:eastAsia="en-US"/>
        </w:rPr>
        <w:t>(</w:t>
      </w:r>
      <w:r w:rsidR="00CD34CA" w:rsidRPr="00CF31E0">
        <w:rPr>
          <w:noProof/>
          <w:lang w:eastAsia="en-US"/>
        </w:rPr>
        <w:t>Alrumaih, 2002; Alahmadi, 2016; Ingham, 1971, 1982)</w:t>
      </w:r>
      <w:r w:rsidRPr="00CF31E0">
        <w:rPr>
          <w:lang w:eastAsia="en-US"/>
        </w:rPr>
        <w:fldChar w:fldCharType="end"/>
      </w:r>
      <w:r w:rsidRPr="00CF31E0">
        <w:rPr>
          <w:lang w:eastAsia="en-US"/>
        </w:rPr>
        <w:t xml:space="preserve">. </w:t>
      </w:r>
    </w:p>
    <w:p w14:paraId="5538D98D" w14:textId="77777777" w:rsidR="00F60C91" w:rsidRPr="00CF31E0" w:rsidRDefault="00F60C91" w:rsidP="006042F1">
      <w:pPr>
        <w:rPr>
          <w:color w:val="000000" w:themeColor="text1"/>
        </w:rPr>
        <w:sectPr w:rsidR="00F60C91" w:rsidRPr="00CF31E0" w:rsidSect="00603CB7">
          <w:pgSz w:w="11900" w:h="16840"/>
          <w:pgMar w:top="1440" w:right="2268" w:bottom="1440" w:left="2268" w:header="709" w:footer="709" w:gutter="0"/>
          <w:pgNumType w:fmt="lowerRoman"/>
          <w:cols w:space="708"/>
          <w:docGrid w:linePitch="360"/>
        </w:sectPr>
      </w:pPr>
    </w:p>
    <w:p w14:paraId="62E83FC1" w14:textId="6C151DEA" w:rsidR="006042F1" w:rsidRPr="00CF31E0" w:rsidRDefault="00467EF6" w:rsidP="00467EF6">
      <w:pPr>
        <w:pStyle w:val="Title"/>
        <w:rPr>
          <w:color w:val="000000" w:themeColor="text1"/>
        </w:rPr>
      </w:pPr>
      <w:bookmarkStart w:id="2" w:name="_Toc522526921"/>
      <w:bookmarkStart w:id="3" w:name="_Toc522627462"/>
      <w:bookmarkStart w:id="4" w:name="_Toc6472612"/>
      <w:r w:rsidRPr="00CF31E0">
        <w:rPr>
          <w:color w:val="000000" w:themeColor="text1"/>
        </w:rPr>
        <w:lastRenderedPageBreak/>
        <w:t xml:space="preserve">Table of </w:t>
      </w:r>
      <w:r w:rsidR="007F25EF" w:rsidRPr="00CF31E0">
        <w:rPr>
          <w:color w:val="000000" w:themeColor="text1"/>
        </w:rPr>
        <w:t>c</w:t>
      </w:r>
      <w:r w:rsidRPr="00CF31E0">
        <w:rPr>
          <w:color w:val="000000" w:themeColor="text1"/>
        </w:rPr>
        <w:t>ontents</w:t>
      </w:r>
      <w:bookmarkEnd w:id="2"/>
      <w:bookmarkEnd w:id="3"/>
      <w:bookmarkEnd w:id="4"/>
    </w:p>
    <w:p w14:paraId="62F8240F" w14:textId="77777777" w:rsidR="00467EF6" w:rsidRPr="00CF31E0" w:rsidRDefault="00467EF6" w:rsidP="00467EF6">
      <w:pPr>
        <w:rPr>
          <w:color w:val="000000" w:themeColor="text1"/>
        </w:rPr>
      </w:pPr>
    </w:p>
    <w:p w14:paraId="54ABCBC4" w14:textId="77777777" w:rsidR="007F2617" w:rsidRDefault="00540455" w:rsidP="007F2617">
      <w:pPr>
        <w:pStyle w:val="TOC1"/>
        <w:rPr>
          <w:rFonts w:asciiTheme="minorHAnsi" w:eastAsiaTheme="minorEastAsia" w:hAnsiTheme="minorHAnsi" w:cstheme="minorBidi"/>
          <w:sz w:val="22"/>
          <w:szCs w:val="22"/>
        </w:rPr>
      </w:pPr>
      <w:r w:rsidRPr="00CF31E0">
        <w:fldChar w:fldCharType="begin"/>
      </w:r>
      <w:r w:rsidRPr="00CF31E0">
        <w:instrText xml:space="preserve"> TOC \h \z \t "Title,1,A head,1,B head,2,C head,3,D head,4" </w:instrText>
      </w:r>
      <w:r w:rsidRPr="00CF31E0">
        <w:fldChar w:fldCharType="separate"/>
      </w:r>
      <w:hyperlink w:anchor="_Toc6472610" w:history="1">
        <w:r w:rsidR="007F2617" w:rsidRPr="00EE65B1">
          <w:rPr>
            <w:rStyle w:val="Hyperlink"/>
            <w:rFonts w:eastAsia="Times New Roman"/>
            <w:i/>
            <w:iCs/>
            <w:lang w:val="en-US" w:eastAsia="en-US"/>
          </w:rPr>
          <w:t>Acknowledgements</w:t>
        </w:r>
        <w:r w:rsidR="007F2617">
          <w:rPr>
            <w:webHidden/>
          </w:rPr>
          <w:tab/>
        </w:r>
        <w:r w:rsidR="007F2617">
          <w:rPr>
            <w:webHidden/>
          </w:rPr>
          <w:fldChar w:fldCharType="begin"/>
        </w:r>
        <w:r w:rsidR="007F2617">
          <w:rPr>
            <w:webHidden/>
          </w:rPr>
          <w:instrText xml:space="preserve"> PAGEREF _Toc6472610 \h </w:instrText>
        </w:r>
        <w:r w:rsidR="007F2617">
          <w:rPr>
            <w:webHidden/>
          </w:rPr>
        </w:r>
        <w:r w:rsidR="007F2617">
          <w:rPr>
            <w:webHidden/>
          </w:rPr>
          <w:fldChar w:fldCharType="separate"/>
        </w:r>
        <w:r w:rsidR="00301AD4">
          <w:rPr>
            <w:webHidden/>
          </w:rPr>
          <w:t>i</w:t>
        </w:r>
        <w:r w:rsidR="007F2617">
          <w:rPr>
            <w:webHidden/>
          </w:rPr>
          <w:fldChar w:fldCharType="end"/>
        </w:r>
      </w:hyperlink>
    </w:p>
    <w:p w14:paraId="5DB504EE" w14:textId="7D95A2B3" w:rsidR="007F2617" w:rsidRDefault="000E3509" w:rsidP="007F2617">
      <w:pPr>
        <w:pStyle w:val="TOC1"/>
        <w:rPr>
          <w:rFonts w:asciiTheme="minorHAnsi" w:eastAsiaTheme="minorEastAsia" w:hAnsiTheme="minorHAnsi" w:cstheme="minorBidi"/>
          <w:sz w:val="22"/>
          <w:szCs w:val="22"/>
        </w:rPr>
      </w:pPr>
      <w:hyperlink w:anchor="_Toc6472611" w:history="1">
        <w:r w:rsidR="007F2617" w:rsidRPr="00EE65B1">
          <w:rPr>
            <w:rStyle w:val="Hyperlink"/>
            <w:rFonts w:eastAsia="Times New Roman"/>
            <w:i/>
            <w:iCs/>
            <w:lang w:eastAsia="zh-CN"/>
          </w:rPr>
          <w:t>Abstract</w:t>
        </w:r>
        <w:r w:rsidR="007F2617">
          <w:rPr>
            <w:webHidden/>
          </w:rPr>
          <w:tab/>
        </w:r>
        <w:r w:rsidR="007F2617">
          <w:rPr>
            <w:webHidden/>
          </w:rPr>
          <w:fldChar w:fldCharType="begin"/>
        </w:r>
        <w:r w:rsidR="007F2617">
          <w:rPr>
            <w:webHidden/>
          </w:rPr>
          <w:instrText xml:space="preserve"> PAGEREF _Toc6472611 \h </w:instrText>
        </w:r>
        <w:r w:rsidR="007F2617">
          <w:rPr>
            <w:webHidden/>
          </w:rPr>
        </w:r>
        <w:r w:rsidR="007F2617">
          <w:rPr>
            <w:webHidden/>
          </w:rPr>
          <w:fldChar w:fldCharType="separate"/>
        </w:r>
        <w:r w:rsidR="00301AD4">
          <w:rPr>
            <w:webHidden/>
          </w:rPr>
          <w:t>iii</w:t>
        </w:r>
        <w:r w:rsidR="007F2617">
          <w:rPr>
            <w:webHidden/>
          </w:rPr>
          <w:fldChar w:fldCharType="end"/>
        </w:r>
      </w:hyperlink>
    </w:p>
    <w:p w14:paraId="048AF96E" w14:textId="77777777" w:rsidR="007F2617" w:rsidRDefault="000E3509" w:rsidP="007F2617">
      <w:pPr>
        <w:pStyle w:val="TOC1"/>
        <w:rPr>
          <w:rFonts w:asciiTheme="minorHAnsi" w:eastAsiaTheme="minorEastAsia" w:hAnsiTheme="minorHAnsi" w:cstheme="minorBidi"/>
          <w:sz w:val="22"/>
          <w:szCs w:val="22"/>
        </w:rPr>
      </w:pPr>
      <w:hyperlink w:anchor="_Toc6472612" w:history="1">
        <w:r w:rsidR="007F2617" w:rsidRPr="00EE65B1">
          <w:rPr>
            <w:rStyle w:val="Hyperlink"/>
            <w:i/>
            <w:iCs/>
          </w:rPr>
          <w:t>Table of contents</w:t>
        </w:r>
        <w:r w:rsidR="007F2617">
          <w:rPr>
            <w:webHidden/>
          </w:rPr>
          <w:tab/>
        </w:r>
        <w:r w:rsidR="007F2617">
          <w:rPr>
            <w:webHidden/>
          </w:rPr>
          <w:fldChar w:fldCharType="begin"/>
        </w:r>
        <w:r w:rsidR="007F2617">
          <w:rPr>
            <w:webHidden/>
          </w:rPr>
          <w:instrText xml:space="preserve"> PAGEREF _Toc6472612 \h </w:instrText>
        </w:r>
        <w:r w:rsidR="007F2617">
          <w:rPr>
            <w:webHidden/>
          </w:rPr>
        </w:r>
        <w:r w:rsidR="007F2617">
          <w:rPr>
            <w:webHidden/>
          </w:rPr>
          <w:fldChar w:fldCharType="separate"/>
        </w:r>
        <w:r w:rsidR="00301AD4">
          <w:rPr>
            <w:webHidden/>
          </w:rPr>
          <w:t>v</w:t>
        </w:r>
        <w:r w:rsidR="007F2617">
          <w:rPr>
            <w:webHidden/>
          </w:rPr>
          <w:fldChar w:fldCharType="end"/>
        </w:r>
      </w:hyperlink>
    </w:p>
    <w:p w14:paraId="628F91B4" w14:textId="77777777" w:rsidR="007F2617" w:rsidRDefault="000E3509" w:rsidP="007F2617">
      <w:pPr>
        <w:pStyle w:val="TOC1"/>
        <w:rPr>
          <w:rFonts w:asciiTheme="minorHAnsi" w:eastAsiaTheme="minorEastAsia" w:hAnsiTheme="minorHAnsi" w:cstheme="minorBidi"/>
          <w:sz w:val="22"/>
          <w:szCs w:val="22"/>
        </w:rPr>
      </w:pPr>
      <w:hyperlink w:anchor="_Toc6472613" w:history="1">
        <w:r w:rsidR="007F2617" w:rsidRPr="00017D27">
          <w:rPr>
            <w:rStyle w:val="Hyperlink"/>
            <w:i/>
            <w:iCs/>
          </w:rPr>
          <w:t>List of figures</w:t>
        </w:r>
        <w:r w:rsidR="007F2617">
          <w:rPr>
            <w:webHidden/>
          </w:rPr>
          <w:tab/>
        </w:r>
        <w:r w:rsidR="007F2617">
          <w:rPr>
            <w:webHidden/>
          </w:rPr>
          <w:fldChar w:fldCharType="begin"/>
        </w:r>
        <w:r w:rsidR="007F2617">
          <w:rPr>
            <w:webHidden/>
          </w:rPr>
          <w:instrText xml:space="preserve"> PAGEREF _Toc6472613 \h </w:instrText>
        </w:r>
        <w:r w:rsidR="007F2617">
          <w:rPr>
            <w:webHidden/>
          </w:rPr>
        </w:r>
        <w:r w:rsidR="007F2617">
          <w:rPr>
            <w:webHidden/>
          </w:rPr>
          <w:fldChar w:fldCharType="separate"/>
        </w:r>
        <w:r w:rsidR="00301AD4">
          <w:rPr>
            <w:webHidden/>
          </w:rPr>
          <w:t>xviii</w:t>
        </w:r>
        <w:r w:rsidR="007F2617">
          <w:rPr>
            <w:webHidden/>
          </w:rPr>
          <w:fldChar w:fldCharType="end"/>
        </w:r>
      </w:hyperlink>
    </w:p>
    <w:p w14:paraId="38D58EB1" w14:textId="77777777" w:rsidR="007F2617" w:rsidRDefault="000E3509" w:rsidP="007F2617">
      <w:pPr>
        <w:pStyle w:val="TOC1"/>
        <w:rPr>
          <w:rFonts w:asciiTheme="minorHAnsi" w:eastAsiaTheme="minorEastAsia" w:hAnsiTheme="minorHAnsi" w:cstheme="minorBidi"/>
          <w:sz w:val="22"/>
          <w:szCs w:val="22"/>
        </w:rPr>
      </w:pPr>
      <w:hyperlink w:anchor="_Toc6472614" w:history="1">
        <w:r w:rsidR="007F2617" w:rsidRPr="00017D27">
          <w:rPr>
            <w:rStyle w:val="Hyperlink"/>
            <w:i/>
            <w:iCs/>
          </w:rPr>
          <w:t>List of tables</w:t>
        </w:r>
        <w:r w:rsidR="007F2617">
          <w:rPr>
            <w:webHidden/>
          </w:rPr>
          <w:tab/>
        </w:r>
        <w:r w:rsidR="007F2617">
          <w:rPr>
            <w:webHidden/>
          </w:rPr>
          <w:fldChar w:fldCharType="begin"/>
        </w:r>
        <w:r w:rsidR="007F2617">
          <w:rPr>
            <w:webHidden/>
          </w:rPr>
          <w:instrText xml:space="preserve"> PAGEREF _Toc6472614 \h </w:instrText>
        </w:r>
        <w:r w:rsidR="007F2617">
          <w:rPr>
            <w:webHidden/>
          </w:rPr>
        </w:r>
        <w:r w:rsidR="007F2617">
          <w:rPr>
            <w:webHidden/>
          </w:rPr>
          <w:fldChar w:fldCharType="separate"/>
        </w:r>
        <w:r w:rsidR="00301AD4">
          <w:rPr>
            <w:webHidden/>
          </w:rPr>
          <w:t>xx</w:t>
        </w:r>
        <w:r w:rsidR="007F2617">
          <w:rPr>
            <w:webHidden/>
          </w:rPr>
          <w:fldChar w:fldCharType="end"/>
        </w:r>
      </w:hyperlink>
    </w:p>
    <w:p w14:paraId="73CFF025" w14:textId="77777777" w:rsidR="007F2617" w:rsidRDefault="000E3509" w:rsidP="00017D27">
      <w:pPr>
        <w:pStyle w:val="TOC1"/>
        <w:spacing w:after="240"/>
        <w:rPr>
          <w:rFonts w:asciiTheme="minorHAnsi" w:eastAsiaTheme="minorEastAsia" w:hAnsiTheme="minorHAnsi" w:cstheme="minorBidi"/>
          <w:sz w:val="22"/>
          <w:szCs w:val="22"/>
        </w:rPr>
      </w:pPr>
      <w:hyperlink w:anchor="_Toc6472615" w:history="1">
        <w:r w:rsidR="007F2617" w:rsidRPr="00017D27">
          <w:rPr>
            <w:rStyle w:val="Hyperlink"/>
            <w:i/>
            <w:iCs/>
          </w:rPr>
          <w:t>List of abbreviations</w:t>
        </w:r>
        <w:r w:rsidR="007F2617">
          <w:rPr>
            <w:webHidden/>
          </w:rPr>
          <w:tab/>
        </w:r>
        <w:r w:rsidR="007F2617">
          <w:rPr>
            <w:webHidden/>
          </w:rPr>
          <w:fldChar w:fldCharType="begin"/>
        </w:r>
        <w:r w:rsidR="007F2617">
          <w:rPr>
            <w:webHidden/>
          </w:rPr>
          <w:instrText xml:space="preserve"> PAGEREF _Toc6472615 \h </w:instrText>
        </w:r>
        <w:r w:rsidR="007F2617">
          <w:rPr>
            <w:webHidden/>
          </w:rPr>
        </w:r>
        <w:r w:rsidR="007F2617">
          <w:rPr>
            <w:webHidden/>
          </w:rPr>
          <w:fldChar w:fldCharType="separate"/>
        </w:r>
        <w:r w:rsidR="00301AD4">
          <w:rPr>
            <w:webHidden/>
          </w:rPr>
          <w:t>xxxiii</w:t>
        </w:r>
        <w:r w:rsidR="007F2617">
          <w:rPr>
            <w:webHidden/>
          </w:rPr>
          <w:fldChar w:fldCharType="end"/>
        </w:r>
      </w:hyperlink>
    </w:p>
    <w:p w14:paraId="0B3C9F19" w14:textId="77777777" w:rsidR="007F2617" w:rsidRDefault="000E3509" w:rsidP="007F2617">
      <w:pPr>
        <w:pStyle w:val="TOC1"/>
        <w:rPr>
          <w:rFonts w:asciiTheme="minorHAnsi" w:eastAsiaTheme="minorEastAsia" w:hAnsiTheme="minorHAnsi" w:cstheme="minorBidi"/>
          <w:sz w:val="22"/>
          <w:szCs w:val="22"/>
        </w:rPr>
      </w:pPr>
      <w:hyperlink w:anchor="_Toc6472616" w:history="1">
        <w:r w:rsidR="007F2617" w:rsidRPr="00017D27">
          <w:rPr>
            <w:rStyle w:val="Hyperlink"/>
            <w:b/>
            <w:bCs w:val="0"/>
          </w:rPr>
          <w:t>Chapter 1: Introduction</w:t>
        </w:r>
        <w:r w:rsidR="007F2617">
          <w:rPr>
            <w:webHidden/>
          </w:rPr>
          <w:tab/>
        </w:r>
        <w:r w:rsidR="007F2617">
          <w:rPr>
            <w:webHidden/>
          </w:rPr>
          <w:fldChar w:fldCharType="begin"/>
        </w:r>
        <w:r w:rsidR="007F2617">
          <w:rPr>
            <w:webHidden/>
          </w:rPr>
          <w:instrText xml:space="preserve"> PAGEREF _Toc6472616 \h </w:instrText>
        </w:r>
        <w:r w:rsidR="007F2617">
          <w:rPr>
            <w:webHidden/>
          </w:rPr>
        </w:r>
        <w:r w:rsidR="007F2617">
          <w:rPr>
            <w:webHidden/>
          </w:rPr>
          <w:fldChar w:fldCharType="separate"/>
        </w:r>
        <w:r w:rsidR="00301AD4">
          <w:rPr>
            <w:webHidden/>
          </w:rPr>
          <w:t>1</w:t>
        </w:r>
        <w:r w:rsidR="007F2617">
          <w:rPr>
            <w:webHidden/>
          </w:rPr>
          <w:fldChar w:fldCharType="end"/>
        </w:r>
      </w:hyperlink>
    </w:p>
    <w:p w14:paraId="2FB04BE3" w14:textId="77777777" w:rsidR="007F2617" w:rsidRDefault="000E3509" w:rsidP="00017D27">
      <w:pPr>
        <w:pStyle w:val="TOC1"/>
        <w:spacing w:after="240"/>
        <w:rPr>
          <w:rFonts w:asciiTheme="minorHAnsi" w:eastAsiaTheme="minorEastAsia" w:hAnsiTheme="minorHAnsi" w:cstheme="minorBidi"/>
          <w:sz w:val="22"/>
          <w:szCs w:val="22"/>
        </w:rPr>
      </w:pPr>
      <w:hyperlink w:anchor="_Toc6472617" w:history="1">
        <w:r w:rsidR="007F2617" w:rsidRPr="003F35AD">
          <w:rPr>
            <w:rStyle w:val="Hyperlink"/>
          </w:rPr>
          <w:t>1.1. Introduction</w:t>
        </w:r>
        <w:r w:rsidR="007F2617">
          <w:rPr>
            <w:webHidden/>
          </w:rPr>
          <w:tab/>
        </w:r>
        <w:r w:rsidR="007F2617">
          <w:rPr>
            <w:webHidden/>
          </w:rPr>
          <w:fldChar w:fldCharType="begin"/>
        </w:r>
        <w:r w:rsidR="007F2617">
          <w:rPr>
            <w:webHidden/>
          </w:rPr>
          <w:instrText xml:space="preserve"> PAGEREF _Toc6472617 \h </w:instrText>
        </w:r>
        <w:r w:rsidR="007F2617">
          <w:rPr>
            <w:webHidden/>
          </w:rPr>
        </w:r>
        <w:r w:rsidR="007F2617">
          <w:rPr>
            <w:webHidden/>
          </w:rPr>
          <w:fldChar w:fldCharType="separate"/>
        </w:r>
        <w:r w:rsidR="00301AD4">
          <w:rPr>
            <w:webHidden/>
          </w:rPr>
          <w:t>1</w:t>
        </w:r>
        <w:r w:rsidR="007F2617">
          <w:rPr>
            <w:webHidden/>
          </w:rPr>
          <w:fldChar w:fldCharType="end"/>
        </w:r>
      </w:hyperlink>
    </w:p>
    <w:p w14:paraId="195C1A16" w14:textId="77777777" w:rsidR="007F2617" w:rsidRDefault="000E3509" w:rsidP="007F2617">
      <w:pPr>
        <w:pStyle w:val="TOC1"/>
        <w:rPr>
          <w:rFonts w:asciiTheme="minorHAnsi" w:eastAsiaTheme="minorEastAsia" w:hAnsiTheme="minorHAnsi" w:cstheme="minorBidi"/>
          <w:sz w:val="22"/>
          <w:szCs w:val="22"/>
        </w:rPr>
      </w:pPr>
      <w:hyperlink w:anchor="_Toc6472618" w:history="1">
        <w:r w:rsidR="007F2617" w:rsidRPr="00017D27">
          <w:rPr>
            <w:rStyle w:val="Hyperlink"/>
            <w:b/>
            <w:bCs w:val="0"/>
          </w:rPr>
          <w:t>Chapter 2: Historical background of Hijaz region and Saudi Arabia</w:t>
        </w:r>
        <w:r w:rsidR="007F2617">
          <w:rPr>
            <w:webHidden/>
          </w:rPr>
          <w:tab/>
        </w:r>
        <w:r w:rsidR="007F2617">
          <w:rPr>
            <w:webHidden/>
          </w:rPr>
          <w:fldChar w:fldCharType="begin"/>
        </w:r>
        <w:r w:rsidR="007F2617">
          <w:rPr>
            <w:webHidden/>
          </w:rPr>
          <w:instrText xml:space="preserve"> PAGEREF _Toc6472618 \h </w:instrText>
        </w:r>
        <w:r w:rsidR="007F2617">
          <w:rPr>
            <w:webHidden/>
          </w:rPr>
        </w:r>
        <w:r w:rsidR="007F2617">
          <w:rPr>
            <w:webHidden/>
          </w:rPr>
          <w:fldChar w:fldCharType="separate"/>
        </w:r>
        <w:r w:rsidR="00301AD4">
          <w:rPr>
            <w:webHidden/>
          </w:rPr>
          <w:t>5</w:t>
        </w:r>
        <w:r w:rsidR="007F2617">
          <w:rPr>
            <w:webHidden/>
          </w:rPr>
          <w:fldChar w:fldCharType="end"/>
        </w:r>
      </w:hyperlink>
    </w:p>
    <w:p w14:paraId="7D617091" w14:textId="77777777" w:rsidR="007F2617" w:rsidRDefault="000E3509" w:rsidP="007F2617">
      <w:pPr>
        <w:pStyle w:val="TOC1"/>
        <w:rPr>
          <w:rFonts w:asciiTheme="minorHAnsi" w:eastAsiaTheme="minorEastAsia" w:hAnsiTheme="minorHAnsi" w:cstheme="minorBidi"/>
          <w:sz w:val="22"/>
          <w:szCs w:val="22"/>
        </w:rPr>
      </w:pPr>
      <w:hyperlink w:anchor="_Toc6472619" w:history="1">
        <w:r w:rsidR="007F2617" w:rsidRPr="003F35AD">
          <w:rPr>
            <w:rStyle w:val="Hyperlink"/>
          </w:rPr>
          <w:t>2.1</w:t>
        </w:r>
        <w:r w:rsidR="007F2617">
          <w:rPr>
            <w:rFonts w:asciiTheme="minorHAnsi" w:eastAsiaTheme="minorEastAsia" w:hAnsiTheme="minorHAnsi" w:cstheme="minorBidi"/>
            <w:sz w:val="22"/>
            <w:szCs w:val="22"/>
          </w:rPr>
          <w:tab/>
        </w:r>
        <w:r w:rsidR="007F2617" w:rsidRPr="003F35AD">
          <w:rPr>
            <w:rStyle w:val="Hyperlink"/>
          </w:rPr>
          <w:t>Introduction</w:t>
        </w:r>
        <w:r w:rsidR="007F2617">
          <w:rPr>
            <w:webHidden/>
          </w:rPr>
          <w:tab/>
        </w:r>
        <w:r w:rsidR="007F2617">
          <w:rPr>
            <w:webHidden/>
          </w:rPr>
          <w:fldChar w:fldCharType="begin"/>
        </w:r>
        <w:r w:rsidR="007F2617">
          <w:rPr>
            <w:webHidden/>
          </w:rPr>
          <w:instrText xml:space="preserve"> PAGEREF _Toc6472619 \h </w:instrText>
        </w:r>
        <w:r w:rsidR="007F2617">
          <w:rPr>
            <w:webHidden/>
          </w:rPr>
        </w:r>
        <w:r w:rsidR="007F2617">
          <w:rPr>
            <w:webHidden/>
          </w:rPr>
          <w:fldChar w:fldCharType="separate"/>
        </w:r>
        <w:r w:rsidR="00301AD4">
          <w:rPr>
            <w:webHidden/>
          </w:rPr>
          <w:t>5</w:t>
        </w:r>
        <w:r w:rsidR="007F2617">
          <w:rPr>
            <w:webHidden/>
          </w:rPr>
          <w:fldChar w:fldCharType="end"/>
        </w:r>
      </w:hyperlink>
    </w:p>
    <w:p w14:paraId="1E285BD2" w14:textId="77777777" w:rsidR="007F2617" w:rsidRDefault="000E3509" w:rsidP="007F2617">
      <w:pPr>
        <w:pStyle w:val="TOC1"/>
        <w:rPr>
          <w:rFonts w:asciiTheme="minorHAnsi" w:eastAsiaTheme="minorEastAsia" w:hAnsiTheme="minorHAnsi" w:cstheme="minorBidi"/>
          <w:sz w:val="22"/>
          <w:szCs w:val="22"/>
        </w:rPr>
      </w:pPr>
      <w:hyperlink w:anchor="_Toc6472620" w:history="1">
        <w:r w:rsidR="007F2617" w:rsidRPr="003F35AD">
          <w:rPr>
            <w:rStyle w:val="Hyperlink"/>
          </w:rPr>
          <w:t>2.2.</w:t>
        </w:r>
        <w:r w:rsidR="007F2617">
          <w:rPr>
            <w:rFonts w:asciiTheme="minorHAnsi" w:eastAsiaTheme="minorEastAsia" w:hAnsiTheme="minorHAnsi" w:cstheme="minorBidi"/>
            <w:sz w:val="22"/>
            <w:szCs w:val="22"/>
          </w:rPr>
          <w:tab/>
        </w:r>
        <w:r w:rsidR="007F2617" w:rsidRPr="003F35AD">
          <w:rPr>
            <w:rStyle w:val="Hyperlink"/>
          </w:rPr>
          <w:t>Geography of the Hijaz region</w:t>
        </w:r>
        <w:r w:rsidR="007F2617">
          <w:rPr>
            <w:webHidden/>
          </w:rPr>
          <w:tab/>
        </w:r>
        <w:r w:rsidR="007F2617">
          <w:rPr>
            <w:webHidden/>
          </w:rPr>
          <w:fldChar w:fldCharType="begin"/>
        </w:r>
        <w:r w:rsidR="007F2617">
          <w:rPr>
            <w:webHidden/>
          </w:rPr>
          <w:instrText xml:space="preserve"> PAGEREF _Toc6472620 \h </w:instrText>
        </w:r>
        <w:r w:rsidR="007F2617">
          <w:rPr>
            <w:webHidden/>
          </w:rPr>
        </w:r>
        <w:r w:rsidR="007F2617">
          <w:rPr>
            <w:webHidden/>
          </w:rPr>
          <w:fldChar w:fldCharType="separate"/>
        </w:r>
        <w:r w:rsidR="00301AD4">
          <w:rPr>
            <w:webHidden/>
          </w:rPr>
          <w:t>5</w:t>
        </w:r>
        <w:r w:rsidR="007F2617">
          <w:rPr>
            <w:webHidden/>
          </w:rPr>
          <w:fldChar w:fldCharType="end"/>
        </w:r>
      </w:hyperlink>
    </w:p>
    <w:p w14:paraId="0D574568" w14:textId="77777777" w:rsidR="007F2617" w:rsidRDefault="000E3509" w:rsidP="007F2617">
      <w:pPr>
        <w:pStyle w:val="TOC1"/>
        <w:rPr>
          <w:rFonts w:asciiTheme="minorHAnsi" w:eastAsiaTheme="minorEastAsia" w:hAnsiTheme="minorHAnsi" w:cstheme="minorBidi"/>
          <w:sz w:val="22"/>
          <w:szCs w:val="22"/>
        </w:rPr>
      </w:pPr>
      <w:hyperlink w:anchor="_Toc6472621" w:history="1">
        <w:r w:rsidR="007F2617" w:rsidRPr="003F35AD">
          <w:rPr>
            <w:rStyle w:val="Hyperlink"/>
          </w:rPr>
          <w:t>2.3.</w:t>
        </w:r>
        <w:r w:rsidR="007F2617">
          <w:rPr>
            <w:rFonts w:asciiTheme="minorHAnsi" w:eastAsiaTheme="minorEastAsia" w:hAnsiTheme="minorHAnsi" w:cstheme="minorBidi"/>
            <w:sz w:val="22"/>
            <w:szCs w:val="22"/>
          </w:rPr>
          <w:tab/>
        </w:r>
        <w:r w:rsidR="007F2617" w:rsidRPr="003F35AD">
          <w:rPr>
            <w:rStyle w:val="Hyperlink"/>
          </w:rPr>
          <w:t>Historical background of Makkah city</w:t>
        </w:r>
        <w:r w:rsidR="007F2617">
          <w:rPr>
            <w:webHidden/>
          </w:rPr>
          <w:tab/>
        </w:r>
        <w:r w:rsidR="007F2617">
          <w:rPr>
            <w:webHidden/>
          </w:rPr>
          <w:fldChar w:fldCharType="begin"/>
        </w:r>
        <w:r w:rsidR="007F2617">
          <w:rPr>
            <w:webHidden/>
          </w:rPr>
          <w:instrText xml:space="preserve"> PAGEREF _Toc6472621 \h </w:instrText>
        </w:r>
        <w:r w:rsidR="007F2617">
          <w:rPr>
            <w:webHidden/>
          </w:rPr>
        </w:r>
        <w:r w:rsidR="007F2617">
          <w:rPr>
            <w:webHidden/>
          </w:rPr>
          <w:fldChar w:fldCharType="separate"/>
        </w:r>
        <w:r w:rsidR="00301AD4">
          <w:rPr>
            <w:webHidden/>
          </w:rPr>
          <w:t>6</w:t>
        </w:r>
        <w:r w:rsidR="007F2617">
          <w:rPr>
            <w:webHidden/>
          </w:rPr>
          <w:fldChar w:fldCharType="end"/>
        </w:r>
      </w:hyperlink>
    </w:p>
    <w:p w14:paraId="680E7082" w14:textId="77777777" w:rsidR="007F2617" w:rsidRDefault="000E3509" w:rsidP="007F2617">
      <w:pPr>
        <w:pStyle w:val="TOC1"/>
        <w:rPr>
          <w:rFonts w:asciiTheme="minorHAnsi" w:eastAsiaTheme="minorEastAsia" w:hAnsiTheme="minorHAnsi" w:cstheme="minorBidi"/>
          <w:sz w:val="22"/>
          <w:szCs w:val="22"/>
        </w:rPr>
      </w:pPr>
      <w:hyperlink w:anchor="_Toc6472622" w:history="1">
        <w:r w:rsidR="007F2617" w:rsidRPr="003F35AD">
          <w:rPr>
            <w:rStyle w:val="Hyperlink"/>
          </w:rPr>
          <w:t>2.4.</w:t>
        </w:r>
        <w:r w:rsidR="007F2617">
          <w:rPr>
            <w:rFonts w:asciiTheme="minorHAnsi" w:eastAsiaTheme="minorEastAsia" w:hAnsiTheme="minorHAnsi" w:cstheme="minorBidi"/>
            <w:sz w:val="22"/>
            <w:szCs w:val="22"/>
          </w:rPr>
          <w:tab/>
        </w:r>
        <w:r w:rsidR="007F2617" w:rsidRPr="003F35AD">
          <w:rPr>
            <w:rStyle w:val="Hyperlink"/>
          </w:rPr>
          <w:t>The Hajj to Makkah in the Islamic era and its effects on external migration</w:t>
        </w:r>
        <w:r w:rsidR="007F2617">
          <w:rPr>
            <w:webHidden/>
          </w:rPr>
          <w:tab/>
        </w:r>
        <w:r w:rsidR="007F2617">
          <w:rPr>
            <w:webHidden/>
          </w:rPr>
          <w:fldChar w:fldCharType="begin"/>
        </w:r>
        <w:r w:rsidR="007F2617">
          <w:rPr>
            <w:webHidden/>
          </w:rPr>
          <w:instrText xml:space="preserve"> PAGEREF _Toc6472622 \h </w:instrText>
        </w:r>
        <w:r w:rsidR="007F2617">
          <w:rPr>
            <w:webHidden/>
          </w:rPr>
        </w:r>
        <w:r w:rsidR="007F2617">
          <w:rPr>
            <w:webHidden/>
          </w:rPr>
          <w:fldChar w:fldCharType="separate"/>
        </w:r>
        <w:r w:rsidR="00301AD4">
          <w:rPr>
            <w:webHidden/>
          </w:rPr>
          <w:t>9</w:t>
        </w:r>
        <w:r w:rsidR="007F2617">
          <w:rPr>
            <w:webHidden/>
          </w:rPr>
          <w:fldChar w:fldCharType="end"/>
        </w:r>
      </w:hyperlink>
    </w:p>
    <w:p w14:paraId="0CFF213E" w14:textId="77777777" w:rsidR="007F2617" w:rsidRDefault="000E3509" w:rsidP="007F2617">
      <w:pPr>
        <w:pStyle w:val="TOC1"/>
        <w:rPr>
          <w:rFonts w:asciiTheme="minorHAnsi" w:eastAsiaTheme="minorEastAsia" w:hAnsiTheme="minorHAnsi" w:cstheme="minorBidi"/>
          <w:sz w:val="22"/>
          <w:szCs w:val="22"/>
        </w:rPr>
      </w:pPr>
      <w:hyperlink w:anchor="_Toc6472623" w:history="1">
        <w:r w:rsidR="007F2617" w:rsidRPr="003F35AD">
          <w:rPr>
            <w:rStyle w:val="Hyperlink"/>
          </w:rPr>
          <w:t>2.5.</w:t>
        </w:r>
        <w:r w:rsidR="007F2617">
          <w:rPr>
            <w:rFonts w:asciiTheme="minorHAnsi" w:eastAsiaTheme="minorEastAsia" w:hAnsiTheme="minorHAnsi" w:cstheme="minorBidi"/>
            <w:sz w:val="22"/>
            <w:szCs w:val="22"/>
          </w:rPr>
          <w:tab/>
        </w:r>
        <w:r w:rsidR="007F2617" w:rsidRPr="003F35AD">
          <w:rPr>
            <w:rStyle w:val="Hyperlink"/>
          </w:rPr>
          <w:t>The different societal groups in Hijaz</w:t>
        </w:r>
        <w:r w:rsidR="007F2617">
          <w:rPr>
            <w:webHidden/>
          </w:rPr>
          <w:tab/>
        </w:r>
        <w:r w:rsidR="007F2617">
          <w:rPr>
            <w:webHidden/>
          </w:rPr>
          <w:fldChar w:fldCharType="begin"/>
        </w:r>
        <w:r w:rsidR="007F2617">
          <w:rPr>
            <w:webHidden/>
          </w:rPr>
          <w:instrText xml:space="preserve"> PAGEREF _Toc6472623 \h </w:instrText>
        </w:r>
        <w:r w:rsidR="007F2617">
          <w:rPr>
            <w:webHidden/>
          </w:rPr>
        </w:r>
        <w:r w:rsidR="007F2617">
          <w:rPr>
            <w:webHidden/>
          </w:rPr>
          <w:fldChar w:fldCharType="separate"/>
        </w:r>
        <w:r w:rsidR="00301AD4">
          <w:rPr>
            <w:webHidden/>
          </w:rPr>
          <w:t>14</w:t>
        </w:r>
        <w:r w:rsidR="007F2617">
          <w:rPr>
            <w:webHidden/>
          </w:rPr>
          <w:fldChar w:fldCharType="end"/>
        </w:r>
      </w:hyperlink>
    </w:p>
    <w:p w14:paraId="32AAFE39" w14:textId="77777777" w:rsidR="007F2617" w:rsidRDefault="000E3509" w:rsidP="007F2617">
      <w:pPr>
        <w:pStyle w:val="TOC1"/>
        <w:rPr>
          <w:rFonts w:asciiTheme="minorHAnsi" w:eastAsiaTheme="minorEastAsia" w:hAnsiTheme="minorHAnsi" w:cstheme="minorBidi"/>
          <w:sz w:val="22"/>
          <w:szCs w:val="22"/>
        </w:rPr>
      </w:pPr>
      <w:hyperlink w:anchor="_Toc6472624" w:history="1">
        <w:r w:rsidR="007F2617" w:rsidRPr="003F35AD">
          <w:rPr>
            <w:rStyle w:val="Hyperlink"/>
          </w:rPr>
          <w:t>2.6.</w:t>
        </w:r>
        <w:r w:rsidR="007F2617">
          <w:rPr>
            <w:rFonts w:asciiTheme="minorHAnsi" w:eastAsiaTheme="minorEastAsia" w:hAnsiTheme="minorHAnsi" w:cstheme="minorBidi"/>
            <w:sz w:val="22"/>
            <w:szCs w:val="22"/>
          </w:rPr>
          <w:tab/>
        </w:r>
        <w:r w:rsidR="007F2617" w:rsidRPr="003F35AD">
          <w:rPr>
            <w:rStyle w:val="Hyperlink"/>
          </w:rPr>
          <w:t>Hijaz before the emergence of the SA state</w:t>
        </w:r>
        <w:r w:rsidR="007F2617">
          <w:rPr>
            <w:webHidden/>
          </w:rPr>
          <w:tab/>
        </w:r>
        <w:r w:rsidR="007F2617">
          <w:rPr>
            <w:webHidden/>
          </w:rPr>
          <w:fldChar w:fldCharType="begin"/>
        </w:r>
        <w:r w:rsidR="007F2617">
          <w:rPr>
            <w:webHidden/>
          </w:rPr>
          <w:instrText xml:space="preserve"> PAGEREF _Toc6472624 \h </w:instrText>
        </w:r>
        <w:r w:rsidR="007F2617">
          <w:rPr>
            <w:webHidden/>
          </w:rPr>
        </w:r>
        <w:r w:rsidR="007F2617">
          <w:rPr>
            <w:webHidden/>
          </w:rPr>
          <w:fldChar w:fldCharType="separate"/>
        </w:r>
        <w:r w:rsidR="00301AD4">
          <w:rPr>
            <w:webHidden/>
          </w:rPr>
          <w:t>16</w:t>
        </w:r>
        <w:r w:rsidR="007F2617">
          <w:rPr>
            <w:webHidden/>
          </w:rPr>
          <w:fldChar w:fldCharType="end"/>
        </w:r>
      </w:hyperlink>
    </w:p>
    <w:p w14:paraId="64E79B1C" w14:textId="77777777" w:rsidR="007F2617" w:rsidRDefault="000E3509" w:rsidP="007F2617">
      <w:pPr>
        <w:pStyle w:val="TOC1"/>
        <w:rPr>
          <w:rFonts w:asciiTheme="minorHAnsi" w:eastAsiaTheme="minorEastAsia" w:hAnsiTheme="minorHAnsi" w:cstheme="minorBidi"/>
          <w:sz w:val="22"/>
          <w:szCs w:val="22"/>
        </w:rPr>
      </w:pPr>
      <w:hyperlink w:anchor="_Toc6472625" w:history="1">
        <w:r w:rsidR="007F2617" w:rsidRPr="003F35AD">
          <w:rPr>
            <w:rStyle w:val="Hyperlink"/>
          </w:rPr>
          <w:t>2.7.</w:t>
        </w:r>
        <w:r w:rsidR="007F2617">
          <w:rPr>
            <w:rFonts w:asciiTheme="minorHAnsi" w:eastAsiaTheme="minorEastAsia" w:hAnsiTheme="minorHAnsi" w:cstheme="minorBidi"/>
            <w:sz w:val="22"/>
            <w:szCs w:val="22"/>
          </w:rPr>
          <w:tab/>
        </w:r>
        <w:r w:rsidR="007F2617" w:rsidRPr="003F35AD">
          <w:rPr>
            <w:rStyle w:val="Hyperlink"/>
          </w:rPr>
          <w:t>The emergence of the SA state</w:t>
        </w:r>
        <w:r w:rsidR="007F2617">
          <w:rPr>
            <w:webHidden/>
          </w:rPr>
          <w:tab/>
        </w:r>
        <w:r w:rsidR="007F2617">
          <w:rPr>
            <w:webHidden/>
          </w:rPr>
          <w:fldChar w:fldCharType="begin"/>
        </w:r>
        <w:r w:rsidR="007F2617">
          <w:rPr>
            <w:webHidden/>
          </w:rPr>
          <w:instrText xml:space="preserve"> PAGEREF _Toc6472625 \h </w:instrText>
        </w:r>
        <w:r w:rsidR="007F2617">
          <w:rPr>
            <w:webHidden/>
          </w:rPr>
        </w:r>
        <w:r w:rsidR="007F2617">
          <w:rPr>
            <w:webHidden/>
          </w:rPr>
          <w:fldChar w:fldCharType="separate"/>
        </w:r>
        <w:r w:rsidR="00301AD4">
          <w:rPr>
            <w:webHidden/>
          </w:rPr>
          <w:t>16</w:t>
        </w:r>
        <w:r w:rsidR="007F2617">
          <w:rPr>
            <w:webHidden/>
          </w:rPr>
          <w:fldChar w:fldCharType="end"/>
        </w:r>
      </w:hyperlink>
    </w:p>
    <w:p w14:paraId="2436692D" w14:textId="77777777" w:rsidR="007F2617" w:rsidRDefault="000E3509" w:rsidP="007F2617">
      <w:pPr>
        <w:pStyle w:val="TOC1"/>
        <w:rPr>
          <w:rFonts w:asciiTheme="minorHAnsi" w:eastAsiaTheme="minorEastAsia" w:hAnsiTheme="minorHAnsi" w:cstheme="minorBidi"/>
          <w:sz w:val="22"/>
          <w:szCs w:val="22"/>
        </w:rPr>
      </w:pPr>
      <w:hyperlink w:anchor="_Toc6472626" w:history="1">
        <w:r w:rsidR="007F2617" w:rsidRPr="003F35AD">
          <w:rPr>
            <w:rStyle w:val="Hyperlink"/>
          </w:rPr>
          <w:t>2.8.</w:t>
        </w:r>
        <w:r w:rsidR="007F2617">
          <w:rPr>
            <w:rFonts w:asciiTheme="minorHAnsi" w:eastAsiaTheme="minorEastAsia" w:hAnsiTheme="minorHAnsi" w:cstheme="minorBidi"/>
            <w:sz w:val="22"/>
            <w:szCs w:val="22"/>
          </w:rPr>
          <w:tab/>
        </w:r>
        <w:r w:rsidR="007F2617" w:rsidRPr="003F35AD">
          <w:rPr>
            <w:rStyle w:val="Hyperlink"/>
          </w:rPr>
          <w:t>The discovery of oil in SA</w:t>
        </w:r>
        <w:r w:rsidR="007F2617">
          <w:rPr>
            <w:webHidden/>
          </w:rPr>
          <w:tab/>
        </w:r>
        <w:r w:rsidR="007F2617">
          <w:rPr>
            <w:webHidden/>
          </w:rPr>
          <w:fldChar w:fldCharType="begin"/>
        </w:r>
        <w:r w:rsidR="007F2617">
          <w:rPr>
            <w:webHidden/>
          </w:rPr>
          <w:instrText xml:space="preserve"> PAGEREF _Toc6472626 \h </w:instrText>
        </w:r>
        <w:r w:rsidR="007F2617">
          <w:rPr>
            <w:webHidden/>
          </w:rPr>
        </w:r>
        <w:r w:rsidR="007F2617">
          <w:rPr>
            <w:webHidden/>
          </w:rPr>
          <w:fldChar w:fldCharType="separate"/>
        </w:r>
        <w:r w:rsidR="00301AD4">
          <w:rPr>
            <w:webHidden/>
          </w:rPr>
          <w:t>17</w:t>
        </w:r>
        <w:r w:rsidR="007F2617">
          <w:rPr>
            <w:webHidden/>
          </w:rPr>
          <w:fldChar w:fldCharType="end"/>
        </w:r>
      </w:hyperlink>
    </w:p>
    <w:p w14:paraId="566D9B51" w14:textId="77777777" w:rsidR="007F2617" w:rsidRDefault="000E3509" w:rsidP="007F2617">
      <w:pPr>
        <w:pStyle w:val="TOC1"/>
        <w:rPr>
          <w:rFonts w:asciiTheme="minorHAnsi" w:eastAsiaTheme="minorEastAsia" w:hAnsiTheme="minorHAnsi" w:cstheme="minorBidi"/>
          <w:sz w:val="22"/>
          <w:szCs w:val="22"/>
        </w:rPr>
      </w:pPr>
      <w:hyperlink w:anchor="_Toc6472627" w:history="1">
        <w:r w:rsidR="007F2617" w:rsidRPr="003F35AD">
          <w:rPr>
            <w:rStyle w:val="Hyperlink"/>
          </w:rPr>
          <w:t>2.9.</w:t>
        </w:r>
        <w:r w:rsidR="007F2617">
          <w:rPr>
            <w:rFonts w:asciiTheme="minorHAnsi" w:eastAsiaTheme="minorEastAsia" w:hAnsiTheme="minorHAnsi" w:cstheme="minorBidi"/>
            <w:sz w:val="22"/>
            <w:szCs w:val="22"/>
          </w:rPr>
          <w:tab/>
        </w:r>
        <w:r w:rsidR="007F2617" w:rsidRPr="003F35AD">
          <w:rPr>
            <w:rStyle w:val="Hyperlink"/>
          </w:rPr>
          <w:t>Development of the country’s infrastructure</w:t>
        </w:r>
        <w:r w:rsidR="007F2617">
          <w:rPr>
            <w:webHidden/>
          </w:rPr>
          <w:tab/>
        </w:r>
        <w:r w:rsidR="007F2617">
          <w:rPr>
            <w:webHidden/>
          </w:rPr>
          <w:fldChar w:fldCharType="begin"/>
        </w:r>
        <w:r w:rsidR="007F2617">
          <w:rPr>
            <w:webHidden/>
          </w:rPr>
          <w:instrText xml:space="preserve"> PAGEREF _Toc6472627 \h </w:instrText>
        </w:r>
        <w:r w:rsidR="007F2617">
          <w:rPr>
            <w:webHidden/>
          </w:rPr>
        </w:r>
        <w:r w:rsidR="007F2617">
          <w:rPr>
            <w:webHidden/>
          </w:rPr>
          <w:fldChar w:fldCharType="separate"/>
        </w:r>
        <w:r w:rsidR="00301AD4">
          <w:rPr>
            <w:webHidden/>
          </w:rPr>
          <w:t>18</w:t>
        </w:r>
        <w:r w:rsidR="007F2617">
          <w:rPr>
            <w:webHidden/>
          </w:rPr>
          <w:fldChar w:fldCharType="end"/>
        </w:r>
      </w:hyperlink>
    </w:p>
    <w:p w14:paraId="45EC6691" w14:textId="77777777" w:rsidR="007F2617" w:rsidRDefault="000E3509" w:rsidP="007F2617">
      <w:pPr>
        <w:pStyle w:val="TOC1"/>
        <w:rPr>
          <w:rFonts w:asciiTheme="minorHAnsi" w:eastAsiaTheme="minorEastAsia" w:hAnsiTheme="minorHAnsi" w:cstheme="minorBidi"/>
          <w:sz w:val="22"/>
          <w:szCs w:val="22"/>
        </w:rPr>
      </w:pPr>
      <w:hyperlink w:anchor="_Toc6472628" w:history="1">
        <w:r w:rsidR="007F2617" w:rsidRPr="003F35AD">
          <w:rPr>
            <w:rStyle w:val="Hyperlink"/>
          </w:rPr>
          <w:t>2.10.</w:t>
        </w:r>
        <w:r w:rsidR="007F2617">
          <w:rPr>
            <w:rFonts w:asciiTheme="minorHAnsi" w:eastAsiaTheme="minorEastAsia" w:hAnsiTheme="minorHAnsi" w:cstheme="minorBidi"/>
            <w:sz w:val="22"/>
            <w:szCs w:val="22"/>
          </w:rPr>
          <w:tab/>
        </w:r>
        <w:r w:rsidR="007F2617" w:rsidRPr="003F35AD">
          <w:rPr>
            <w:rStyle w:val="Hyperlink"/>
          </w:rPr>
          <w:t>The economic system</w:t>
        </w:r>
        <w:r w:rsidR="007F2617">
          <w:rPr>
            <w:webHidden/>
          </w:rPr>
          <w:tab/>
        </w:r>
        <w:r w:rsidR="007F2617">
          <w:rPr>
            <w:webHidden/>
          </w:rPr>
          <w:fldChar w:fldCharType="begin"/>
        </w:r>
        <w:r w:rsidR="007F2617">
          <w:rPr>
            <w:webHidden/>
          </w:rPr>
          <w:instrText xml:space="preserve"> PAGEREF _Toc6472628 \h </w:instrText>
        </w:r>
        <w:r w:rsidR="007F2617">
          <w:rPr>
            <w:webHidden/>
          </w:rPr>
        </w:r>
        <w:r w:rsidR="007F2617">
          <w:rPr>
            <w:webHidden/>
          </w:rPr>
          <w:fldChar w:fldCharType="separate"/>
        </w:r>
        <w:r w:rsidR="00301AD4">
          <w:rPr>
            <w:webHidden/>
          </w:rPr>
          <w:t>19</w:t>
        </w:r>
        <w:r w:rsidR="007F2617">
          <w:rPr>
            <w:webHidden/>
          </w:rPr>
          <w:fldChar w:fldCharType="end"/>
        </w:r>
      </w:hyperlink>
    </w:p>
    <w:p w14:paraId="192790FC" w14:textId="77777777" w:rsidR="007F2617" w:rsidRDefault="000E3509" w:rsidP="007F2617">
      <w:pPr>
        <w:pStyle w:val="TOC1"/>
        <w:rPr>
          <w:rFonts w:asciiTheme="minorHAnsi" w:eastAsiaTheme="minorEastAsia" w:hAnsiTheme="minorHAnsi" w:cstheme="minorBidi"/>
          <w:sz w:val="22"/>
          <w:szCs w:val="22"/>
        </w:rPr>
      </w:pPr>
      <w:hyperlink w:anchor="_Toc6472629" w:history="1">
        <w:r w:rsidR="007F2617" w:rsidRPr="003F35AD">
          <w:rPr>
            <w:rStyle w:val="Hyperlink"/>
          </w:rPr>
          <w:t>2.11.</w:t>
        </w:r>
        <w:r w:rsidR="007F2617">
          <w:rPr>
            <w:rFonts w:asciiTheme="minorHAnsi" w:eastAsiaTheme="minorEastAsia" w:hAnsiTheme="minorHAnsi" w:cstheme="minorBidi"/>
            <w:sz w:val="22"/>
            <w:szCs w:val="22"/>
          </w:rPr>
          <w:tab/>
        </w:r>
        <w:r w:rsidR="007F2617" w:rsidRPr="003F35AD">
          <w:rPr>
            <w:rStyle w:val="Hyperlink"/>
          </w:rPr>
          <w:t>The educational system</w:t>
        </w:r>
        <w:r w:rsidR="007F2617">
          <w:rPr>
            <w:webHidden/>
          </w:rPr>
          <w:tab/>
        </w:r>
        <w:r w:rsidR="007F2617">
          <w:rPr>
            <w:webHidden/>
          </w:rPr>
          <w:fldChar w:fldCharType="begin"/>
        </w:r>
        <w:r w:rsidR="007F2617">
          <w:rPr>
            <w:webHidden/>
          </w:rPr>
          <w:instrText xml:space="preserve"> PAGEREF _Toc6472629 \h </w:instrText>
        </w:r>
        <w:r w:rsidR="007F2617">
          <w:rPr>
            <w:webHidden/>
          </w:rPr>
        </w:r>
        <w:r w:rsidR="007F2617">
          <w:rPr>
            <w:webHidden/>
          </w:rPr>
          <w:fldChar w:fldCharType="separate"/>
        </w:r>
        <w:r w:rsidR="00301AD4">
          <w:rPr>
            <w:webHidden/>
          </w:rPr>
          <w:t>20</w:t>
        </w:r>
        <w:r w:rsidR="007F2617">
          <w:rPr>
            <w:webHidden/>
          </w:rPr>
          <w:fldChar w:fldCharType="end"/>
        </w:r>
      </w:hyperlink>
    </w:p>
    <w:p w14:paraId="1DF1D1E4" w14:textId="77777777" w:rsidR="007F2617" w:rsidRDefault="000E3509" w:rsidP="007F2617">
      <w:pPr>
        <w:pStyle w:val="TOC1"/>
        <w:rPr>
          <w:rFonts w:asciiTheme="minorHAnsi" w:eastAsiaTheme="minorEastAsia" w:hAnsiTheme="minorHAnsi" w:cstheme="minorBidi"/>
          <w:sz w:val="22"/>
          <w:szCs w:val="22"/>
        </w:rPr>
      </w:pPr>
      <w:hyperlink w:anchor="_Toc6472630" w:history="1">
        <w:r w:rsidR="007F2617" w:rsidRPr="003F35AD">
          <w:rPr>
            <w:rStyle w:val="Hyperlink"/>
          </w:rPr>
          <w:t>2.12.</w:t>
        </w:r>
        <w:r w:rsidR="007F2617">
          <w:rPr>
            <w:rFonts w:asciiTheme="minorHAnsi" w:eastAsiaTheme="minorEastAsia" w:hAnsiTheme="minorHAnsi" w:cstheme="minorBidi"/>
            <w:sz w:val="22"/>
            <w:szCs w:val="22"/>
          </w:rPr>
          <w:tab/>
        </w:r>
        <w:r w:rsidR="007F2617" w:rsidRPr="003F35AD">
          <w:rPr>
            <w:rStyle w:val="Hyperlink"/>
          </w:rPr>
          <w:t>The transportation and communication system</w:t>
        </w:r>
        <w:r w:rsidR="007F2617">
          <w:rPr>
            <w:webHidden/>
          </w:rPr>
          <w:tab/>
        </w:r>
        <w:r w:rsidR="007F2617">
          <w:rPr>
            <w:webHidden/>
          </w:rPr>
          <w:fldChar w:fldCharType="begin"/>
        </w:r>
        <w:r w:rsidR="007F2617">
          <w:rPr>
            <w:webHidden/>
          </w:rPr>
          <w:instrText xml:space="preserve"> PAGEREF _Toc6472630 \h </w:instrText>
        </w:r>
        <w:r w:rsidR="007F2617">
          <w:rPr>
            <w:webHidden/>
          </w:rPr>
        </w:r>
        <w:r w:rsidR="007F2617">
          <w:rPr>
            <w:webHidden/>
          </w:rPr>
          <w:fldChar w:fldCharType="separate"/>
        </w:r>
        <w:r w:rsidR="00301AD4">
          <w:rPr>
            <w:webHidden/>
          </w:rPr>
          <w:t>21</w:t>
        </w:r>
        <w:r w:rsidR="007F2617">
          <w:rPr>
            <w:webHidden/>
          </w:rPr>
          <w:fldChar w:fldCharType="end"/>
        </w:r>
      </w:hyperlink>
    </w:p>
    <w:p w14:paraId="610DD019" w14:textId="77777777" w:rsidR="007F2617" w:rsidRDefault="000E3509" w:rsidP="007F2617">
      <w:pPr>
        <w:pStyle w:val="TOC1"/>
        <w:rPr>
          <w:rFonts w:asciiTheme="minorHAnsi" w:eastAsiaTheme="minorEastAsia" w:hAnsiTheme="minorHAnsi" w:cstheme="minorBidi"/>
          <w:sz w:val="22"/>
          <w:szCs w:val="22"/>
        </w:rPr>
      </w:pPr>
      <w:hyperlink w:anchor="_Toc6472631" w:history="1">
        <w:r w:rsidR="007F2617" w:rsidRPr="003F35AD">
          <w:rPr>
            <w:rStyle w:val="Hyperlink"/>
          </w:rPr>
          <w:t>2.13.</w:t>
        </w:r>
        <w:r w:rsidR="007F2617">
          <w:rPr>
            <w:rFonts w:asciiTheme="minorHAnsi" w:eastAsiaTheme="minorEastAsia" w:hAnsiTheme="minorHAnsi" w:cstheme="minorBidi"/>
            <w:sz w:val="22"/>
            <w:szCs w:val="22"/>
          </w:rPr>
          <w:tab/>
        </w:r>
        <w:r w:rsidR="007F2617" w:rsidRPr="003F35AD">
          <w:rPr>
            <w:rStyle w:val="Hyperlink"/>
          </w:rPr>
          <w:t>Internal migration</w:t>
        </w:r>
        <w:r w:rsidR="007F2617">
          <w:rPr>
            <w:webHidden/>
          </w:rPr>
          <w:tab/>
        </w:r>
        <w:r w:rsidR="007F2617">
          <w:rPr>
            <w:webHidden/>
          </w:rPr>
          <w:fldChar w:fldCharType="begin"/>
        </w:r>
        <w:r w:rsidR="007F2617">
          <w:rPr>
            <w:webHidden/>
          </w:rPr>
          <w:instrText xml:space="preserve"> PAGEREF _Toc6472631 \h </w:instrText>
        </w:r>
        <w:r w:rsidR="007F2617">
          <w:rPr>
            <w:webHidden/>
          </w:rPr>
        </w:r>
        <w:r w:rsidR="007F2617">
          <w:rPr>
            <w:webHidden/>
          </w:rPr>
          <w:fldChar w:fldCharType="separate"/>
        </w:r>
        <w:r w:rsidR="00301AD4">
          <w:rPr>
            <w:webHidden/>
          </w:rPr>
          <w:t>24</w:t>
        </w:r>
        <w:r w:rsidR="007F2617">
          <w:rPr>
            <w:webHidden/>
          </w:rPr>
          <w:fldChar w:fldCharType="end"/>
        </w:r>
      </w:hyperlink>
    </w:p>
    <w:p w14:paraId="69F538BB" w14:textId="77777777" w:rsidR="007F2617" w:rsidRDefault="000E3509" w:rsidP="007F2617">
      <w:pPr>
        <w:pStyle w:val="TOC1"/>
        <w:rPr>
          <w:rFonts w:asciiTheme="minorHAnsi" w:eastAsiaTheme="minorEastAsia" w:hAnsiTheme="minorHAnsi" w:cstheme="minorBidi"/>
          <w:sz w:val="22"/>
          <w:szCs w:val="22"/>
        </w:rPr>
      </w:pPr>
      <w:hyperlink w:anchor="_Toc6472632" w:history="1">
        <w:r w:rsidR="007F2617" w:rsidRPr="003F35AD">
          <w:rPr>
            <w:rStyle w:val="Hyperlink"/>
          </w:rPr>
          <w:t>2.14.</w:t>
        </w:r>
        <w:r w:rsidR="007F2617">
          <w:rPr>
            <w:rFonts w:asciiTheme="minorHAnsi" w:eastAsiaTheme="minorEastAsia" w:hAnsiTheme="minorHAnsi" w:cstheme="minorBidi"/>
            <w:sz w:val="22"/>
            <w:szCs w:val="22"/>
          </w:rPr>
          <w:tab/>
        </w:r>
        <w:r w:rsidR="007F2617" w:rsidRPr="003F35AD">
          <w:rPr>
            <w:rStyle w:val="Hyperlink"/>
          </w:rPr>
          <w:t>External migration</w:t>
        </w:r>
        <w:r w:rsidR="007F2617">
          <w:rPr>
            <w:webHidden/>
          </w:rPr>
          <w:tab/>
        </w:r>
        <w:r w:rsidR="007F2617">
          <w:rPr>
            <w:webHidden/>
          </w:rPr>
          <w:fldChar w:fldCharType="begin"/>
        </w:r>
        <w:r w:rsidR="007F2617">
          <w:rPr>
            <w:webHidden/>
          </w:rPr>
          <w:instrText xml:space="preserve"> PAGEREF _Toc6472632 \h </w:instrText>
        </w:r>
        <w:r w:rsidR="007F2617">
          <w:rPr>
            <w:webHidden/>
          </w:rPr>
        </w:r>
        <w:r w:rsidR="007F2617">
          <w:rPr>
            <w:webHidden/>
          </w:rPr>
          <w:fldChar w:fldCharType="separate"/>
        </w:r>
        <w:r w:rsidR="00301AD4">
          <w:rPr>
            <w:webHidden/>
          </w:rPr>
          <w:t>26</w:t>
        </w:r>
        <w:r w:rsidR="007F2617">
          <w:rPr>
            <w:webHidden/>
          </w:rPr>
          <w:fldChar w:fldCharType="end"/>
        </w:r>
      </w:hyperlink>
    </w:p>
    <w:p w14:paraId="7F8E3C1D" w14:textId="77777777" w:rsidR="007F2617" w:rsidRDefault="000E3509" w:rsidP="007F2617">
      <w:pPr>
        <w:pStyle w:val="TOC1"/>
        <w:rPr>
          <w:rFonts w:asciiTheme="minorHAnsi" w:eastAsiaTheme="minorEastAsia" w:hAnsiTheme="minorHAnsi" w:cstheme="minorBidi"/>
          <w:sz w:val="22"/>
          <w:szCs w:val="22"/>
        </w:rPr>
      </w:pPr>
      <w:hyperlink w:anchor="_Toc6472633" w:history="1">
        <w:r w:rsidR="007F2617" w:rsidRPr="003F35AD">
          <w:rPr>
            <w:rStyle w:val="Hyperlink"/>
          </w:rPr>
          <w:t>2.15.</w:t>
        </w:r>
        <w:r w:rsidR="007F2617">
          <w:rPr>
            <w:rFonts w:asciiTheme="minorHAnsi" w:eastAsiaTheme="minorEastAsia" w:hAnsiTheme="minorHAnsi" w:cstheme="minorBidi"/>
            <w:sz w:val="22"/>
            <w:szCs w:val="22"/>
          </w:rPr>
          <w:tab/>
        </w:r>
        <w:r w:rsidR="007F2617" w:rsidRPr="003F35AD">
          <w:rPr>
            <w:rStyle w:val="Hyperlink"/>
          </w:rPr>
          <w:t>Effects of migration on population growth</w:t>
        </w:r>
        <w:r w:rsidR="007F2617">
          <w:rPr>
            <w:webHidden/>
          </w:rPr>
          <w:tab/>
        </w:r>
        <w:r w:rsidR="007F2617">
          <w:rPr>
            <w:webHidden/>
          </w:rPr>
          <w:fldChar w:fldCharType="begin"/>
        </w:r>
        <w:r w:rsidR="007F2617">
          <w:rPr>
            <w:webHidden/>
          </w:rPr>
          <w:instrText xml:space="preserve"> PAGEREF _Toc6472633 \h </w:instrText>
        </w:r>
        <w:r w:rsidR="007F2617">
          <w:rPr>
            <w:webHidden/>
          </w:rPr>
        </w:r>
        <w:r w:rsidR="007F2617">
          <w:rPr>
            <w:webHidden/>
          </w:rPr>
          <w:fldChar w:fldCharType="separate"/>
        </w:r>
        <w:r w:rsidR="00301AD4">
          <w:rPr>
            <w:webHidden/>
          </w:rPr>
          <w:t>27</w:t>
        </w:r>
        <w:r w:rsidR="007F2617">
          <w:rPr>
            <w:webHidden/>
          </w:rPr>
          <w:fldChar w:fldCharType="end"/>
        </w:r>
      </w:hyperlink>
    </w:p>
    <w:p w14:paraId="0EA5311B" w14:textId="77777777" w:rsidR="007F2617" w:rsidRDefault="000E3509" w:rsidP="007F2617">
      <w:pPr>
        <w:pStyle w:val="TOC1"/>
        <w:rPr>
          <w:rFonts w:asciiTheme="minorHAnsi" w:eastAsiaTheme="minorEastAsia" w:hAnsiTheme="minorHAnsi" w:cstheme="minorBidi"/>
          <w:sz w:val="22"/>
          <w:szCs w:val="22"/>
        </w:rPr>
      </w:pPr>
      <w:hyperlink w:anchor="_Toc6472634" w:history="1">
        <w:r w:rsidR="007F2617" w:rsidRPr="003F35AD">
          <w:rPr>
            <w:rStyle w:val="Hyperlink"/>
          </w:rPr>
          <w:t>2.16.</w:t>
        </w:r>
        <w:r w:rsidR="007F2617">
          <w:rPr>
            <w:rFonts w:asciiTheme="minorHAnsi" w:eastAsiaTheme="minorEastAsia" w:hAnsiTheme="minorHAnsi" w:cstheme="minorBidi"/>
            <w:sz w:val="22"/>
            <w:szCs w:val="22"/>
          </w:rPr>
          <w:tab/>
        </w:r>
        <w:r w:rsidR="007F2617" w:rsidRPr="003F35AD">
          <w:rPr>
            <w:rStyle w:val="Hyperlink"/>
          </w:rPr>
          <w:t>Changes in SA social structure: from a rural to urban society</w:t>
        </w:r>
        <w:r w:rsidR="007F2617">
          <w:rPr>
            <w:webHidden/>
          </w:rPr>
          <w:tab/>
        </w:r>
        <w:r w:rsidR="007F2617">
          <w:rPr>
            <w:webHidden/>
          </w:rPr>
          <w:fldChar w:fldCharType="begin"/>
        </w:r>
        <w:r w:rsidR="007F2617">
          <w:rPr>
            <w:webHidden/>
          </w:rPr>
          <w:instrText xml:space="preserve"> PAGEREF _Toc6472634 \h </w:instrText>
        </w:r>
        <w:r w:rsidR="007F2617">
          <w:rPr>
            <w:webHidden/>
          </w:rPr>
        </w:r>
        <w:r w:rsidR="007F2617">
          <w:rPr>
            <w:webHidden/>
          </w:rPr>
          <w:fldChar w:fldCharType="separate"/>
        </w:r>
        <w:r w:rsidR="00301AD4">
          <w:rPr>
            <w:webHidden/>
          </w:rPr>
          <w:t>29</w:t>
        </w:r>
        <w:r w:rsidR="007F2617">
          <w:rPr>
            <w:webHidden/>
          </w:rPr>
          <w:fldChar w:fldCharType="end"/>
        </w:r>
      </w:hyperlink>
    </w:p>
    <w:p w14:paraId="725982FE" w14:textId="77E8AF5C" w:rsidR="007F2617" w:rsidRDefault="000E3509" w:rsidP="007F2617">
      <w:pPr>
        <w:pStyle w:val="TOC1"/>
        <w:rPr>
          <w:rFonts w:asciiTheme="minorHAnsi" w:eastAsiaTheme="minorEastAsia" w:hAnsiTheme="minorHAnsi" w:cstheme="minorBidi"/>
          <w:sz w:val="22"/>
          <w:szCs w:val="22"/>
        </w:rPr>
      </w:pPr>
      <w:hyperlink w:anchor="_Toc6472635" w:history="1">
        <w:r w:rsidR="007F2617" w:rsidRPr="003F35AD">
          <w:rPr>
            <w:rStyle w:val="Hyperlink"/>
          </w:rPr>
          <w:t>2.17.</w:t>
        </w:r>
        <w:r w:rsidR="007F2617">
          <w:rPr>
            <w:rFonts w:asciiTheme="minorHAnsi" w:eastAsiaTheme="minorEastAsia" w:hAnsiTheme="minorHAnsi" w:cstheme="minorBidi"/>
            <w:sz w:val="22"/>
            <w:szCs w:val="22"/>
          </w:rPr>
          <w:tab/>
        </w:r>
        <w:r w:rsidR="007F2617" w:rsidRPr="003F35AD">
          <w:rPr>
            <w:rStyle w:val="Hyperlink"/>
          </w:rPr>
          <w:t xml:space="preserve">Changes in Hijaz social structure: emergence of social </w:t>
        </w:r>
        <w:r w:rsidR="007F2617">
          <w:rPr>
            <w:rStyle w:val="Hyperlink"/>
          </w:rPr>
          <w:br/>
        </w:r>
        <w:r w:rsidR="007F2617" w:rsidRPr="003F35AD">
          <w:rPr>
            <w:rStyle w:val="Hyperlink"/>
          </w:rPr>
          <w:t>and linguistic dichotomy</w:t>
        </w:r>
        <w:r w:rsidR="007F2617">
          <w:rPr>
            <w:webHidden/>
          </w:rPr>
          <w:tab/>
        </w:r>
        <w:r w:rsidR="007F2617">
          <w:rPr>
            <w:webHidden/>
          </w:rPr>
          <w:fldChar w:fldCharType="begin"/>
        </w:r>
        <w:r w:rsidR="007F2617">
          <w:rPr>
            <w:webHidden/>
          </w:rPr>
          <w:instrText xml:space="preserve"> PAGEREF _Toc6472635 \h </w:instrText>
        </w:r>
        <w:r w:rsidR="007F2617">
          <w:rPr>
            <w:webHidden/>
          </w:rPr>
        </w:r>
        <w:r w:rsidR="007F2617">
          <w:rPr>
            <w:webHidden/>
          </w:rPr>
          <w:fldChar w:fldCharType="separate"/>
        </w:r>
        <w:r w:rsidR="00301AD4">
          <w:rPr>
            <w:webHidden/>
          </w:rPr>
          <w:t>30</w:t>
        </w:r>
        <w:r w:rsidR="007F2617">
          <w:rPr>
            <w:webHidden/>
          </w:rPr>
          <w:fldChar w:fldCharType="end"/>
        </w:r>
      </w:hyperlink>
    </w:p>
    <w:p w14:paraId="6F032E3A" w14:textId="77777777" w:rsidR="007F2617" w:rsidRDefault="000E3509" w:rsidP="00017D27">
      <w:pPr>
        <w:pStyle w:val="TOC1"/>
        <w:spacing w:after="240"/>
        <w:rPr>
          <w:rFonts w:asciiTheme="minorHAnsi" w:eastAsiaTheme="minorEastAsia" w:hAnsiTheme="minorHAnsi" w:cstheme="minorBidi"/>
          <w:sz w:val="22"/>
          <w:szCs w:val="22"/>
        </w:rPr>
      </w:pPr>
      <w:hyperlink w:anchor="_Toc6472636" w:history="1">
        <w:r w:rsidR="007F2617" w:rsidRPr="003F35AD">
          <w:rPr>
            <w:rStyle w:val="Hyperlink"/>
          </w:rPr>
          <w:t>2.18.</w:t>
        </w:r>
        <w:r w:rsidR="007F2617">
          <w:rPr>
            <w:rFonts w:asciiTheme="minorHAnsi" w:eastAsiaTheme="minorEastAsia" w:hAnsiTheme="minorHAnsi" w:cstheme="minorBidi"/>
            <w:sz w:val="22"/>
            <w:szCs w:val="22"/>
          </w:rPr>
          <w:tab/>
        </w:r>
        <w:r w:rsidR="007F2617" w:rsidRPr="003F35AD">
          <w:rPr>
            <w:rStyle w:val="Hyperlink"/>
          </w:rPr>
          <w:t>Conclusion</w:t>
        </w:r>
        <w:r w:rsidR="007F2617">
          <w:rPr>
            <w:webHidden/>
          </w:rPr>
          <w:tab/>
        </w:r>
        <w:r w:rsidR="007F2617">
          <w:rPr>
            <w:webHidden/>
          </w:rPr>
          <w:fldChar w:fldCharType="begin"/>
        </w:r>
        <w:r w:rsidR="007F2617">
          <w:rPr>
            <w:webHidden/>
          </w:rPr>
          <w:instrText xml:space="preserve"> PAGEREF _Toc6472636 \h </w:instrText>
        </w:r>
        <w:r w:rsidR="007F2617">
          <w:rPr>
            <w:webHidden/>
          </w:rPr>
        </w:r>
        <w:r w:rsidR="007F2617">
          <w:rPr>
            <w:webHidden/>
          </w:rPr>
          <w:fldChar w:fldCharType="separate"/>
        </w:r>
        <w:r w:rsidR="00301AD4">
          <w:rPr>
            <w:webHidden/>
          </w:rPr>
          <w:t>38</w:t>
        </w:r>
        <w:r w:rsidR="007F2617">
          <w:rPr>
            <w:webHidden/>
          </w:rPr>
          <w:fldChar w:fldCharType="end"/>
        </w:r>
      </w:hyperlink>
    </w:p>
    <w:p w14:paraId="68114CBF" w14:textId="77777777" w:rsidR="007F2617" w:rsidRDefault="000E3509" w:rsidP="007F2617">
      <w:pPr>
        <w:pStyle w:val="TOC1"/>
        <w:rPr>
          <w:rFonts w:asciiTheme="minorHAnsi" w:eastAsiaTheme="minorEastAsia" w:hAnsiTheme="minorHAnsi" w:cstheme="minorBidi"/>
          <w:sz w:val="22"/>
          <w:szCs w:val="22"/>
        </w:rPr>
      </w:pPr>
      <w:hyperlink w:anchor="_Toc6472637" w:history="1">
        <w:r w:rsidR="007F2617" w:rsidRPr="00017D27">
          <w:rPr>
            <w:rStyle w:val="Hyperlink"/>
            <w:rFonts w:eastAsia="Times New Roman"/>
            <w:b/>
            <w:bCs w:val="0"/>
            <w:lang w:eastAsia="en-US"/>
          </w:rPr>
          <w:t>Chapter 3: The dialect situation in Saudi Arabia</w:t>
        </w:r>
        <w:r w:rsidR="007F2617">
          <w:rPr>
            <w:webHidden/>
          </w:rPr>
          <w:tab/>
        </w:r>
        <w:r w:rsidR="007F2617">
          <w:rPr>
            <w:webHidden/>
          </w:rPr>
          <w:fldChar w:fldCharType="begin"/>
        </w:r>
        <w:r w:rsidR="007F2617">
          <w:rPr>
            <w:webHidden/>
          </w:rPr>
          <w:instrText xml:space="preserve"> PAGEREF _Toc6472637 \h </w:instrText>
        </w:r>
        <w:r w:rsidR="007F2617">
          <w:rPr>
            <w:webHidden/>
          </w:rPr>
        </w:r>
        <w:r w:rsidR="007F2617">
          <w:rPr>
            <w:webHidden/>
          </w:rPr>
          <w:fldChar w:fldCharType="separate"/>
        </w:r>
        <w:r w:rsidR="00301AD4">
          <w:rPr>
            <w:webHidden/>
          </w:rPr>
          <w:t>40</w:t>
        </w:r>
        <w:r w:rsidR="007F2617">
          <w:rPr>
            <w:webHidden/>
          </w:rPr>
          <w:fldChar w:fldCharType="end"/>
        </w:r>
      </w:hyperlink>
    </w:p>
    <w:p w14:paraId="7ABA27F4" w14:textId="77777777" w:rsidR="007F2617" w:rsidRDefault="000E3509" w:rsidP="007F2617">
      <w:pPr>
        <w:pStyle w:val="TOC1"/>
        <w:rPr>
          <w:rFonts w:asciiTheme="minorHAnsi" w:eastAsiaTheme="minorEastAsia" w:hAnsiTheme="minorHAnsi" w:cstheme="minorBidi"/>
          <w:sz w:val="22"/>
          <w:szCs w:val="22"/>
        </w:rPr>
      </w:pPr>
      <w:hyperlink w:anchor="_Toc6472638" w:history="1">
        <w:r w:rsidR="007F2617" w:rsidRPr="003F35AD">
          <w:rPr>
            <w:rStyle w:val="Hyperlink"/>
            <w:rFonts w:eastAsia="Times New Roman"/>
          </w:rPr>
          <w:t>3.1.</w:t>
        </w:r>
        <w:r w:rsidR="007F2617">
          <w:rPr>
            <w:rFonts w:asciiTheme="minorHAnsi" w:eastAsiaTheme="minorEastAsia" w:hAnsiTheme="minorHAnsi" w:cstheme="minorBidi"/>
            <w:sz w:val="22"/>
            <w:szCs w:val="22"/>
          </w:rPr>
          <w:tab/>
        </w:r>
        <w:r w:rsidR="007F2617" w:rsidRPr="003F35AD">
          <w:rPr>
            <w:rStyle w:val="Hyperlink"/>
            <w:rFonts w:eastAsia="Times New Roman"/>
          </w:rPr>
          <w:t>Introduction</w:t>
        </w:r>
        <w:r w:rsidR="007F2617">
          <w:rPr>
            <w:webHidden/>
          </w:rPr>
          <w:tab/>
        </w:r>
        <w:r w:rsidR="007F2617">
          <w:rPr>
            <w:webHidden/>
          </w:rPr>
          <w:fldChar w:fldCharType="begin"/>
        </w:r>
        <w:r w:rsidR="007F2617">
          <w:rPr>
            <w:webHidden/>
          </w:rPr>
          <w:instrText xml:space="preserve"> PAGEREF _Toc6472638 \h </w:instrText>
        </w:r>
        <w:r w:rsidR="007F2617">
          <w:rPr>
            <w:webHidden/>
          </w:rPr>
        </w:r>
        <w:r w:rsidR="007F2617">
          <w:rPr>
            <w:webHidden/>
          </w:rPr>
          <w:fldChar w:fldCharType="separate"/>
        </w:r>
        <w:r w:rsidR="00301AD4">
          <w:rPr>
            <w:webHidden/>
          </w:rPr>
          <w:t>40</w:t>
        </w:r>
        <w:r w:rsidR="007F2617">
          <w:rPr>
            <w:webHidden/>
          </w:rPr>
          <w:fldChar w:fldCharType="end"/>
        </w:r>
      </w:hyperlink>
    </w:p>
    <w:p w14:paraId="529BC369" w14:textId="77777777" w:rsidR="007F2617" w:rsidRDefault="000E3509" w:rsidP="007F2617">
      <w:pPr>
        <w:pStyle w:val="TOC1"/>
        <w:rPr>
          <w:rFonts w:asciiTheme="minorHAnsi" w:eastAsiaTheme="minorEastAsia" w:hAnsiTheme="minorHAnsi" w:cstheme="minorBidi"/>
          <w:sz w:val="22"/>
          <w:szCs w:val="22"/>
        </w:rPr>
      </w:pPr>
      <w:hyperlink w:anchor="_Toc6472639" w:history="1">
        <w:r w:rsidR="007F2617" w:rsidRPr="003F35AD">
          <w:rPr>
            <w:rStyle w:val="Hyperlink"/>
            <w:rFonts w:eastAsia="Times New Roman"/>
          </w:rPr>
          <w:t>3.2.</w:t>
        </w:r>
        <w:r w:rsidR="007F2617">
          <w:rPr>
            <w:rFonts w:asciiTheme="minorHAnsi" w:eastAsiaTheme="minorEastAsia" w:hAnsiTheme="minorHAnsi" w:cstheme="minorBidi"/>
            <w:sz w:val="22"/>
            <w:szCs w:val="22"/>
          </w:rPr>
          <w:tab/>
        </w:r>
        <w:r w:rsidR="007F2617" w:rsidRPr="003F35AD">
          <w:rPr>
            <w:rStyle w:val="Hyperlink"/>
            <w:rFonts w:eastAsia="Times New Roman"/>
          </w:rPr>
          <w:t>Geography of Arabic countries and SA</w:t>
        </w:r>
        <w:r w:rsidR="007F2617">
          <w:rPr>
            <w:webHidden/>
          </w:rPr>
          <w:tab/>
        </w:r>
        <w:r w:rsidR="007F2617">
          <w:rPr>
            <w:webHidden/>
          </w:rPr>
          <w:fldChar w:fldCharType="begin"/>
        </w:r>
        <w:r w:rsidR="007F2617">
          <w:rPr>
            <w:webHidden/>
          </w:rPr>
          <w:instrText xml:space="preserve"> PAGEREF _Toc6472639 \h </w:instrText>
        </w:r>
        <w:r w:rsidR="007F2617">
          <w:rPr>
            <w:webHidden/>
          </w:rPr>
        </w:r>
        <w:r w:rsidR="007F2617">
          <w:rPr>
            <w:webHidden/>
          </w:rPr>
          <w:fldChar w:fldCharType="separate"/>
        </w:r>
        <w:r w:rsidR="00301AD4">
          <w:rPr>
            <w:webHidden/>
          </w:rPr>
          <w:t>40</w:t>
        </w:r>
        <w:r w:rsidR="007F2617">
          <w:rPr>
            <w:webHidden/>
          </w:rPr>
          <w:fldChar w:fldCharType="end"/>
        </w:r>
      </w:hyperlink>
    </w:p>
    <w:p w14:paraId="3CA47214" w14:textId="1B4803C0" w:rsidR="007F2617" w:rsidRDefault="000E3509" w:rsidP="007F2617">
      <w:pPr>
        <w:pStyle w:val="TOC1"/>
        <w:rPr>
          <w:rFonts w:asciiTheme="minorHAnsi" w:eastAsiaTheme="minorEastAsia" w:hAnsiTheme="minorHAnsi" w:cstheme="minorBidi"/>
          <w:sz w:val="22"/>
          <w:szCs w:val="22"/>
        </w:rPr>
      </w:pPr>
      <w:hyperlink w:anchor="_Toc6472640" w:history="1">
        <w:r w:rsidR="007F2617" w:rsidRPr="003F35AD">
          <w:rPr>
            <w:rStyle w:val="Hyperlink"/>
            <w:rFonts w:eastAsia="Times New Roman"/>
          </w:rPr>
          <w:t>3.3.</w:t>
        </w:r>
        <w:r w:rsidR="007F2617">
          <w:rPr>
            <w:rFonts w:asciiTheme="minorHAnsi" w:eastAsiaTheme="minorEastAsia" w:hAnsiTheme="minorHAnsi" w:cstheme="minorBidi"/>
            <w:sz w:val="22"/>
            <w:szCs w:val="22"/>
          </w:rPr>
          <w:tab/>
        </w:r>
        <w:r w:rsidR="007F2617" w:rsidRPr="003F35AD">
          <w:rPr>
            <w:rStyle w:val="Hyperlink"/>
            <w:rFonts w:eastAsia="Times New Roman"/>
          </w:rPr>
          <w:t xml:space="preserve">Factors that affected dialect classification in the Arab world </w:t>
        </w:r>
        <w:r w:rsidR="007F2617">
          <w:rPr>
            <w:rStyle w:val="Hyperlink"/>
            <w:rFonts w:eastAsia="Times New Roman"/>
          </w:rPr>
          <w:br/>
        </w:r>
        <w:r w:rsidR="007F2617" w:rsidRPr="003F35AD">
          <w:rPr>
            <w:rStyle w:val="Hyperlink"/>
            <w:rFonts w:eastAsia="Times New Roman"/>
          </w:rPr>
          <w:t>and SA</w:t>
        </w:r>
        <w:r w:rsidR="007F2617">
          <w:rPr>
            <w:webHidden/>
          </w:rPr>
          <w:tab/>
        </w:r>
        <w:r w:rsidR="007F2617">
          <w:rPr>
            <w:webHidden/>
          </w:rPr>
          <w:fldChar w:fldCharType="begin"/>
        </w:r>
        <w:r w:rsidR="007F2617">
          <w:rPr>
            <w:webHidden/>
          </w:rPr>
          <w:instrText xml:space="preserve"> PAGEREF _Toc6472640 \h </w:instrText>
        </w:r>
        <w:r w:rsidR="007F2617">
          <w:rPr>
            <w:webHidden/>
          </w:rPr>
        </w:r>
        <w:r w:rsidR="007F2617">
          <w:rPr>
            <w:webHidden/>
          </w:rPr>
          <w:fldChar w:fldCharType="separate"/>
        </w:r>
        <w:r w:rsidR="00301AD4">
          <w:rPr>
            <w:webHidden/>
          </w:rPr>
          <w:t>45</w:t>
        </w:r>
        <w:r w:rsidR="007F2617">
          <w:rPr>
            <w:webHidden/>
          </w:rPr>
          <w:fldChar w:fldCharType="end"/>
        </w:r>
      </w:hyperlink>
    </w:p>
    <w:p w14:paraId="0BB9486E" w14:textId="001DB474" w:rsidR="007F2617" w:rsidRDefault="000E3509">
      <w:pPr>
        <w:pStyle w:val="TOC2"/>
        <w:rPr>
          <w:rFonts w:asciiTheme="minorHAnsi" w:eastAsiaTheme="minorEastAsia" w:hAnsiTheme="minorHAnsi" w:cstheme="minorBidi"/>
          <w:bCs w:val="0"/>
          <w:noProof/>
          <w:sz w:val="22"/>
        </w:rPr>
      </w:pPr>
      <w:hyperlink w:anchor="_Toc6472641" w:history="1">
        <w:r w:rsidR="007F2617" w:rsidRPr="003F35AD">
          <w:rPr>
            <w:rStyle w:val="Hyperlink"/>
            <w:noProof/>
          </w:rPr>
          <w:t>3.3.1.</w:t>
        </w:r>
        <w:r w:rsidR="007F2617">
          <w:rPr>
            <w:rFonts w:asciiTheme="minorHAnsi" w:eastAsiaTheme="minorEastAsia" w:hAnsiTheme="minorHAnsi" w:cstheme="minorBidi"/>
            <w:bCs w:val="0"/>
            <w:noProof/>
            <w:sz w:val="22"/>
          </w:rPr>
          <w:tab/>
        </w:r>
        <w:r w:rsidR="007F2617" w:rsidRPr="003F35AD">
          <w:rPr>
            <w:rStyle w:val="Hyperlink"/>
            <w:noProof/>
          </w:rPr>
          <w:t xml:space="preserve">Traditional nature of the Arabian peninsula and its </w:t>
        </w:r>
        <w:r w:rsidR="00F0603B">
          <w:rPr>
            <w:rStyle w:val="Hyperlink"/>
            <w:noProof/>
          </w:rPr>
          <w:br/>
        </w:r>
        <w:r w:rsidR="007F2617" w:rsidRPr="003F35AD">
          <w:rPr>
            <w:rStyle w:val="Hyperlink"/>
            <w:noProof/>
          </w:rPr>
          <w:t>influence on classification</w:t>
        </w:r>
        <w:r w:rsidR="007F2617">
          <w:rPr>
            <w:noProof/>
            <w:webHidden/>
          </w:rPr>
          <w:tab/>
        </w:r>
        <w:r w:rsidR="007F2617">
          <w:rPr>
            <w:noProof/>
            <w:webHidden/>
          </w:rPr>
          <w:fldChar w:fldCharType="begin"/>
        </w:r>
        <w:r w:rsidR="007F2617">
          <w:rPr>
            <w:noProof/>
            <w:webHidden/>
          </w:rPr>
          <w:instrText xml:space="preserve"> PAGEREF _Toc6472641 \h </w:instrText>
        </w:r>
        <w:r w:rsidR="007F2617">
          <w:rPr>
            <w:noProof/>
            <w:webHidden/>
          </w:rPr>
        </w:r>
        <w:r w:rsidR="007F2617">
          <w:rPr>
            <w:noProof/>
            <w:webHidden/>
          </w:rPr>
          <w:fldChar w:fldCharType="separate"/>
        </w:r>
        <w:r w:rsidR="00301AD4">
          <w:rPr>
            <w:noProof/>
            <w:webHidden/>
          </w:rPr>
          <w:t>46</w:t>
        </w:r>
        <w:r w:rsidR="007F2617">
          <w:rPr>
            <w:noProof/>
            <w:webHidden/>
          </w:rPr>
          <w:fldChar w:fldCharType="end"/>
        </w:r>
      </w:hyperlink>
    </w:p>
    <w:p w14:paraId="5E1C4B4C" w14:textId="77777777" w:rsidR="007F2617" w:rsidRDefault="000E3509">
      <w:pPr>
        <w:pStyle w:val="TOC2"/>
        <w:rPr>
          <w:rFonts w:asciiTheme="minorHAnsi" w:eastAsiaTheme="minorEastAsia" w:hAnsiTheme="minorHAnsi" w:cstheme="minorBidi"/>
          <w:bCs w:val="0"/>
          <w:noProof/>
          <w:sz w:val="22"/>
        </w:rPr>
      </w:pPr>
      <w:hyperlink w:anchor="_Toc6472642" w:history="1">
        <w:r w:rsidR="007F2617" w:rsidRPr="003F35AD">
          <w:rPr>
            <w:rStyle w:val="Hyperlink"/>
            <w:noProof/>
          </w:rPr>
          <w:t>3.3.2.</w:t>
        </w:r>
        <w:r w:rsidR="007F2617">
          <w:rPr>
            <w:rFonts w:asciiTheme="minorHAnsi" w:eastAsiaTheme="minorEastAsia" w:hAnsiTheme="minorHAnsi" w:cstheme="minorBidi"/>
            <w:bCs w:val="0"/>
            <w:noProof/>
            <w:sz w:val="22"/>
          </w:rPr>
          <w:tab/>
        </w:r>
        <w:r w:rsidR="007F2617" w:rsidRPr="003F35AD">
          <w:rPr>
            <w:rStyle w:val="Hyperlink"/>
            <w:noProof/>
          </w:rPr>
          <w:t>Modern influences on dialect classification</w:t>
        </w:r>
        <w:r w:rsidR="007F2617">
          <w:rPr>
            <w:noProof/>
            <w:webHidden/>
          </w:rPr>
          <w:tab/>
        </w:r>
        <w:r w:rsidR="007F2617">
          <w:rPr>
            <w:noProof/>
            <w:webHidden/>
          </w:rPr>
          <w:fldChar w:fldCharType="begin"/>
        </w:r>
        <w:r w:rsidR="007F2617">
          <w:rPr>
            <w:noProof/>
            <w:webHidden/>
          </w:rPr>
          <w:instrText xml:space="preserve"> PAGEREF _Toc6472642 \h </w:instrText>
        </w:r>
        <w:r w:rsidR="007F2617">
          <w:rPr>
            <w:noProof/>
            <w:webHidden/>
          </w:rPr>
        </w:r>
        <w:r w:rsidR="007F2617">
          <w:rPr>
            <w:noProof/>
            <w:webHidden/>
          </w:rPr>
          <w:fldChar w:fldCharType="separate"/>
        </w:r>
        <w:r w:rsidR="00301AD4">
          <w:rPr>
            <w:noProof/>
            <w:webHidden/>
          </w:rPr>
          <w:t>50</w:t>
        </w:r>
        <w:r w:rsidR="007F2617">
          <w:rPr>
            <w:noProof/>
            <w:webHidden/>
          </w:rPr>
          <w:fldChar w:fldCharType="end"/>
        </w:r>
      </w:hyperlink>
    </w:p>
    <w:p w14:paraId="7E818A4E" w14:textId="77777777" w:rsidR="007F2617" w:rsidRDefault="000E3509" w:rsidP="00017D27">
      <w:pPr>
        <w:pStyle w:val="TOC1"/>
        <w:spacing w:after="240"/>
        <w:rPr>
          <w:rFonts w:asciiTheme="minorHAnsi" w:eastAsiaTheme="minorEastAsia" w:hAnsiTheme="minorHAnsi" w:cstheme="minorBidi"/>
          <w:sz w:val="22"/>
          <w:szCs w:val="22"/>
        </w:rPr>
      </w:pPr>
      <w:hyperlink w:anchor="_Toc6472643" w:history="1">
        <w:r w:rsidR="007F2617" w:rsidRPr="003F35AD">
          <w:rPr>
            <w:rStyle w:val="Hyperlink"/>
            <w:rFonts w:eastAsia="Times New Roman"/>
          </w:rPr>
          <w:t>3.4</w:t>
        </w:r>
        <w:r w:rsidR="007F2617">
          <w:rPr>
            <w:rFonts w:asciiTheme="minorHAnsi" w:eastAsiaTheme="minorEastAsia" w:hAnsiTheme="minorHAnsi" w:cstheme="minorBidi"/>
            <w:sz w:val="22"/>
            <w:szCs w:val="22"/>
          </w:rPr>
          <w:tab/>
        </w:r>
        <w:r w:rsidR="007F2617" w:rsidRPr="003F35AD">
          <w:rPr>
            <w:rStyle w:val="Hyperlink"/>
            <w:rFonts w:eastAsia="Times New Roman"/>
          </w:rPr>
          <w:t>Conclusion</w:t>
        </w:r>
        <w:r w:rsidR="007F2617">
          <w:rPr>
            <w:webHidden/>
          </w:rPr>
          <w:tab/>
        </w:r>
        <w:r w:rsidR="007F2617">
          <w:rPr>
            <w:webHidden/>
          </w:rPr>
          <w:fldChar w:fldCharType="begin"/>
        </w:r>
        <w:r w:rsidR="007F2617">
          <w:rPr>
            <w:webHidden/>
          </w:rPr>
          <w:instrText xml:space="preserve"> PAGEREF _Toc6472643 \h </w:instrText>
        </w:r>
        <w:r w:rsidR="007F2617">
          <w:rPr>
            <w:webHidden/>
          </w:rPr>
        </w:r>
        <w:r w:rsidR="007F2617">
          <w:rPr>
            <w:webHidden/>
          </w:rPr>
          <w:fldChar w:fldCharType="separate"/>
        </w:r>
        <w:r w:rsidR="00301AD4">
          <w:rPr>
            <w:webHidden/>
          </w:rPr>
          <w:t>56</w:t>
        </w:r>
        <w:r w:rsidR="007F2617">
          <w:rPr>
            <w:webHidden/>
          </w:rPr>
          <w:fldChar w:fldCharType="end"/>
        </w:r>
      </w:hyperlink>
    </w:p>
    <w:p w14:paraId="4AA3E186" w14:textId="77777777" w:rsidR="007F2617" w:rsidRDefault="000E3509" w:rsidP="007F2617">
      <w:pPr>
        <w:pStyle w:val="TOC1"/>
        <w:rPr>
          <w:rFonts w:asciiTheme="minorHAnsi" w:eastAsiaTheme="minorEastAsia" w:hAnsiTheme="minorHAnsi" w:cstheme="minorBidi"/>
          <w:sz w:val="22"/>
          <w:szCs w:val="22"/>
        </w:rPr>
      </w:pPr>
      <w:hyperlink w:anchor="_Toc6472644" w:history="1">
        <w:r w:rsidR="007F2617" w:rsidRPr="00017D27">
          <w:rPr>
            <w:rStyle w:val="Hyperlink"/>
            <w:rFonts w:eastAsia="Times New Roman"/>
            <w:b/>
            <w:bCs w:val="0"/>
            <w:lang w:eastAsia="zh-CN"/>
          </w:rPr>
          <w:t>Chapter 4: Language attitudes research</w:t>
        </w:r>
        <w:r w:rsidR="007F2617">
          <w:rPr>
            <w:webHidden/>
          </w:rPr>
          <w:tab/>
        </w:r>
        <w:r w:rsidR="007F2617">
          <w:rPr>
            <w:webHidden/>
          </w:rPr>
          <w:fldChar w:fldCharType="begin"/>
        </w:r>
        <w:r w:rsidR="007F2617">
          <w:rPr>
            <w:webHidden/>
          </w:rPr>
          <w:instrText xml:space="preserve"> PAGEREF _Toc6472644 \h </w:instrText>
        </w:r>
        <w:r w:rsidR="007F2617">
          <w:rPr>
            <w:webHidden/>
          </w:rPr>
        </w:r>
        <w:r w:rsidR="007F2617">
          <w:rPr>
            <w:webHidden/>
          </w:rPr>
          <w:fldChar w:fldCharType="separate"/>
        </w:r>
        <w:r w:rsidR="00301AD4">
          <w:rPr>
            <w:webHidden/>
          </w:rPr>
          <w:t>58</w:t>
        </w:r>
        <w:r w:rsidR="007F2617">
          <w:rPr>
            <w:webHidden/>
          </w:rPr>
          <w:fldChar w:fldCharType="end"/>
        </w:r>
      </w:hyperlink>
    </w:p>
    <w:p w14:paraId="0C0FB005" w14:textId="77777777" w:rsidR="007F2617" w:rsidRDefault="000E3509" w:rsidP="007F2617">
      <w:pPr>
        <w:pStyle w:val="TOC1"/>
        <w:rPr>
          <w:rFonts w:asciiTheme="minorHAnsi" w:eastAsiaTheme="minorEastAsia" w:hAnsiTheme="minorHAnsi" w:cstheme="minorBidi"/>
          <w:sz w:val="22"/>
          <w:szCs w:val="22"/>
        </w:rPr>
      </w:pPr>
      <w:hyperlink w:anchor="_Toc6472645" w:history="1">
        <w:r w:rsidR="007F2617" w:rsidRPr="003F35AD">
          <w:rPr>
            <w:rStyle w:val="Hyperlink"/>
            <w:rFonts w:eastAsia="Times New Roman"/>
          </w:rPr>
          <w:t>4.1.</w:t>
        </w:r>
        <w:r w:rsidR="007F2617">
          <w:rPr>
            <w:rFonts w:asciiTheme="minorHAnsi" w:eastAsiaTheme="minorEastAsia" w:hAnsiTheme="minorHAnsi" w:cstheme="minorBidi"/>
            <w:sz w:val="22"/>
            <w:szCs w:val="22"/>
          </w:rPr>
          <w:tab/>
        </w:r>
        <w:r w:rsidR="007F2617" w:rsidRPr="003F35AD">
          <w:rPr>
            <w:rStyle w:val="Hyperlink"/>
            <w:rFonts w:eastAsia="Times New Roman"/>
          </w:rPr>
          <w:t>Introduction</w:t>
        </w:r>
        <w:r w:rsidR="007F2617">
          <w:rPr>
            <w:webHidden/>
          </w:rPr>
          <w:tab/>
        </w:r>
        <w:r w:rsidR="007F2617">
          <w:rPr>
            <w:webHidden/>
          </w:rPr>
          <w:fldChar w:fldCharType="begin"/>
        </w:r>
        <w:r w:rsidR="007F2617">
          <w:rPr>
            <w:webHidden/>
          </w:rPr>
          <w:instrText xml:space="preserve"> PAGEREF _Toc6472645 \h </w:instrText>
        </w:r>
        <w:r w:rsidR="007F2617">
          <w:rPr>
            <w:webHidden/>
          </w:rPr>
        </w:r>
        <w:r w:rsidR="007F2617">
          <w:rPr>
            <w:webHidden/>
          </w:rPr>
          <w:fldChar w:fldCharType="separate"/>
        </w:r>
        <w:r w:rsidR="00301AD4">
          <w:rPr>
            <w:webHidden/>
          </w:rPr>
          <w:t>58</w:t>
        </w:r>
        <w:r w:rsidR="007F2617">
          <w:rPr>
            <w:webHidden/>
          </w:rPr>
          <w:fldChar w:fldCharType="end"/>
        </w:r>
      </w:hyperlink>
    </w:p>
    <w:p w14:paraId="50E0573A" w14:textId="77777777" w:rsidR="007F2617" w:rsidRDefault="000E3509" w:rsidP="007F2617">
      <w:pPr>
        <w:pStyle w:val="TOC1"/>
        <w:rPr>
          <w:rFonts w:asciiTheme="minorHAnsi" w:eastAsiaTheme="minorEastAsia" w:hAnsiTheme="minorHAnsi" w:cstheme="minorBidi"/>
          <w:sz w:val="22"/>
          <w:szCs w:val="22"/>
        </w:rPr>
      </w:pPr>
      <w:hyperlink w:anchor="_Toc6472646" w:history="1">
        <w:r w:rsidR="007F2617" w:rsidRPr="003F35AD">
          <w:rPr>
            <w:rStyle w:val="Hyperlink"/>
            <w:rFonts w:eastAsia="Times New Roman"/>
          </w:rPr>
          <w:t>4.2.</w:t>
        </w:r>
        <w:r w:rsidR="007F2617">
          <w:rPr>
            <w:rFonts w:asciiTheme="minorHAnsi" w:eastAsiaTheme="minorEastAsia" w:hAnsiTheme="minorHAnsi" w:cstheme="minorBidi"/>
            <w:sz w:val="22"/>
            <w:szCs w:val="22"/>
          </w:rPr>
          <w:tab/>
        </w:r>
        <w:r w:rsidR="007F2617" w:rsidRPr="003F35AD">
          <w:rPr>
            <w:rStyle w:val="Hyperlink"/>
            <w:rFonts w:eastAsia="Times New Roman"/>
          </w:rPr>
          <w:t>Defining attitude</w:t>
        </w:r>
        <w:r w:rsidR="007F2617">
          <w:rPr>
            <w:webHidden/>
          </w:rPr>
          <w:tab/>
        </w:r>
        <w:r w:rsidR="007F2617">
          <w:rPr>
            <w:webHidden/>
          </w:rPr>
          <w:fldChar w:fldCharType="begin"/>
        </w:r>
        <w:r w:rsidR="007F2617">
          <w:rPr>
            <w:webHidden/>
          </w:rPr>
          <w:instrText xml:space="preserve"> PAGEREF _Toc6472646 \h </w:instrText>
        </w:r>
        <w:r w:rsidR="007F2617">
          <w:rPr>
            <w:webHidden/>
          </w:rPr>
        </w:r>
        <w:r w:rsidR="007F2617">
          <w:rPr>
            <w:webHidden/>
          </w:rPr>
          <w:fldChar w:fldCharType="separate"/>
        </w:r>
        <w:r w:rsidR="00301AD4">
          <w:rPr>
            <w:webHidden/>
          </w:rPr>
          <w:t>59</w:t>
        </w:r>
        <w:r w:rsidR="007F2617">
          <w:rPr>
            <w:webHidden/>
          </w:rPr>
          <w:fldChar w:fldCharType="end"/>
        </w:r>
      </w:hyperlink>
    </w:p>
    <w:p w14:paraId="497F3ABD" w14:textId="77777777" w:rsidR="007F2617" w:rsidRDefault="000E3509" w:rsidP="007F2617">
      <w:pPr>
        <w:pStyle w:val="TOC1"/>
        <w:rPr>
          <w:rFonts w:asciiTheme="minorHAnsi" w:eastAsiaTheme="minorEastAsia" w:hAnsiTheme="minorHAnsi" w:cstheme="minorBidi"/>
          <w:sz w:val="22"/>
          <w:szCs w:val="22"/>
        </w:rPr>
      </w:pPr>
      <w:hyperlink w:anchor="_Toc6472647" w:history="1">
        <w:r w:rsidR="007F2617" w:rsidRPr="003F35AD">
          <w:rPr>
            <w:rStyle w:val="Hyperlink"/>
            <w:rFonts w:eastAsia="Times New Roman"/>
          </w:rPr>
          <w:t>4.3.</w:t>
        </w:r>
        <w:r w:rsidR="007F2617">
          <w:rPr>
            <w:rFonts w:asciiTheme="minorHAnsi" w:eastAsiaTheme="minorEastAsia" w:hAnsiTheme="minorHAnsi" w:cstheme="minorBidi"/>
            <w:sz w:val="22"/>
            <w:szCs w:val="22"/>
          </w:rPr>
          <w:tab/>
        </w:r>
        <w:r w:rsidR="007F2617" w:rsidRPr="003F35AD">
          <w:rPr>
            <w:rStyle w:val="Hyperlink"/>
            <w:rFonts w:eastAsia="Times New Roman"/>
          </w:rPr>
          <w:t>Social stereotypes and language ideology</w:t>
        </w:r>
        <w:r w:rsidR="007F2617">
          <w:rPr>
            <w:webHidden/>
          </w:rPr>
          <w:tab/>
        </w:r>
        <w:r w:rsidR="007F2617">
          <w:rPr>
            <w:webHidden/>
          </w:rPr>
          <w:fldChar w:fldCharType="begin"/>
        </w:r>
        <w:r w:rsidR="007F2617">
          <w:rPr>
            <w:webHidden/>
          </w:rPr>
          <w:instrText xml:space="preserve"> PAGEREF _Toc6472647 \h </w:instrText>
        </w:r>
        <w:r w:rsidR="007F2617">
          <w:rPr>
            <w:webHidden/>
          </w:rPr>
        </w:r>
        <w:r w:rsidR="007F2617">
          <w:rPr>
            <w:webHidden/>
          </w:rPr>
          <w:fldChar w:fldCharType="separate"/>
        </w:r>
        <w:r w:rsidR="00301AD4">
          <w:rPr>
            <w:webHidden/>
          </w:rPr>
          <w:t>62</w:t>
        </w:r>
        <w:r w:rsidR="007F2617">
          <w:rPr>
            <w:webHidden/>
          </w:rPr>
          <w:fldChar w:fldCharType="end"/>
        </w:r>
      </w:hyperlink>
    </w:p>
    <w:p w14:paraId="30FD495D" w14:textId="77777777" w:rsidR="007F2617" w:rsidRDefault="000E3509" w:rsidP="007F2617">
      <w:pPr>
        <w:pStyle w:val="TOC1"/>
        <w:rPr>
          <w:rFonts w:asciiTheme="minorHAnsi" w:eastAsiaTheme="minorEastAsia" w:hAnsiTheme="minorHAnsi" w:cstheme="minorBidi"/>
          <w:sz w:val="22"/>
          <w:szCs w:val="22"/>
        </w:rPr>
      </w:pPr>
      <w:hyperlink w:anchor="_Toc6472648" w:history="1">
        <w:r w:rsidR="007F2617" w:rsidRPr="003F35AD">
          <w:rPr>
            <w:rStyle w:val="Hyperlink"/>
            <w:rFonts w:eastAsia="Times New Roman"/>
          </w:rPr>
          <w:t>4.4.</w:t>
        </w:r>
        <w:r w:rsidR="007F2617">
          <w:rPr>
            <w:rFonts w:asciiTheme="minorHAnsi" w:eastAsiaTheme="minorEastAsia" w:hAnsiTheme="minorHAnsi" w:cstheme="minorBidi"/>
            <w:sz w:val="22"/>
            <w:szCs w:val="22"/>
          </w:rPr>
          <w:tab/>
        </w:r>
        <w:r w:rsidR="007F2617" w:rsidRPr="003F35AD">
          <w:rPr>
            <w:rStyle w:val="Hyperlink"/>
            <w:rFonts w:eastAsia="Times New Roman"/>
          </w:rPr>
          <w:t>Methodological approaches in language attitude research</w:t>
        </w:r>
        <w:r w:rsidR="007F2617">
          <w:rPr>
            <w:webHidden/>
          </w:rPr>
          <w:tab/>
        </w:r>
        <w:r w:rsidR="007F2617">
          <w:rPr>
            <w:webHidden/>
          </w:rPr>
          <w:fldChar w:fldCharType="begin"/>
        </w:r>
        <w:r w:rsidR="007F2617">
          <w:rPr>
            <w:webHidden/>
          </w:rPr>
          <w:instrText xml:space="preserve"> PAGEREF _Toc6472648 \h </w:instrText>
        </w:r>
        <w:r w:rsidR="007F2617">
          <w:rPr>
            <w:webHidden/>
          </w:rPr>
        </w:r>
        <w:r w:rsidR="007F2617">
          <w:rPr>
            <w:webHidden/>
          </w:rPr>
          <w:fldChar w:fldCharType="separate"/>
        </w:r>
        <w:r w:rsidR="00301AD4">
          <w:rPr>
            <w:webHidden/>
          </w:rPr>
          <w:t>63</w:t>
        </w:r>
        <w:r w:rsidR="007F2617">
          <w:rPr>
            <w:webHidden/>
          </w:rPr>
          <w:fldChar w:fldCharType="end"/>
        </w:r>
      </w:hyperlink>
    </w:p>
    <w:p w14:paraId="7FF4536A" w14:textId="77777777" w:rsidR="007F2617" w:rsidRDefault="000E3509">
      <w:pPr>
        <w:pStyle w:val="TOC2"/>
        <w:rPr>
          <w:rFonts w:asciiTheme="minorHAnsi" w:eastAsiaTheme="minorEastAsia" w:hAnsiTheme="minorHAnsi" w:cstheme="minorBidi"/>
          <w:bCs w:val="0"/>
          <w:noProof/>
          <w:sz w:val="22"/>
        </w:rPr>
      </w:pPr>
      <w:hyperlink w:anchor="_Toc6472649" w:history="1">
        <w:r w:rsidR="007F2617" w:rsidRPr="003F35AD">
          <w:rPr>
            <w:rStyle w:val="Hyperlink"/>
            <w:noProof/>
          </w:rPr>
          <w:t>4.4.1.</w:t>
        </w:r>
        <w:r w:rsidR="007F2617">
          <w:rPr>
            <w:rFonts w:asciiTheme="minorHAnsi" w:eastAsiaTheme="minorEastAsia" w:hAnsiTheme="minorHAnsi" w:cstheme="minorBidi"/>
            <w:bCs w:val="0"/>
            <w:noProof/>
            <w:sz w:val="22"/>
          </w:rPr>
          <w:tab/>
        </w:r>
        <w:r w:rsidR="007F2617" w:rsidRPr="003F35AD">
          <w:rPr>
            <w:rStyle w:val="Hyperlink"/>
            <w:noProof/>
          </w:rPr>
          <w:t>Direct approach</w:t>
        </w:r>
        <w:r w:rsidR="007F2617">
          <w:rPr>
            <w:noProof/>
            <w:webHidden/>
          </w:rPr>
          <w:tab/>
        </w:r>
        <w:r w:rsidR="007F2617">
          <w:rPr>
            <w:noProof/>
            <w:webHidden/>
          </w:rPr>
          <w:fldChar w:fldCharType="begin"/>
        </w:r>
        <w:r w:rsidR="007F2617">
          <w:rPr>
            <w:noProof/>
            <w:webHidden/>
          </w:rPr>
          <w:instrText xml:space="preserve"> PAGEREF _Toc6472649 \h </w:instrText>
        </w:r>
        <w:r w:rsidR="007F2617">
          <w:rPr>
            <w:noProof/>
            <w:webHidden/>
          </w:rPr>
        </w:r>
        <w:r w:rsidR="007F2617">
          <w:rPr>
            <w:noProof/>
            <w:webHidden/>
          </w:rPr>
          <w:fldChar w:fldCharType="separate"/>
        </w:r>
        <w:r w:rsidR="00301AD4">
          <w:rPr>
            <w:noProof/>
            <w:webHidden/>
          </w:rPr>
          <w:t>64</w:t>
        </w:r>
        <w:r w:rsidR="007F2617">
          <w:rPr>
            <w:noProof/>
            <w:webHidden/>
          </w:rPr>
          <w:fldChar w:fldCharType="end"/>
        </w:r>
      </w:hyperlink>
    </w:p>
    <w:p w14:paraId="5B311985" w14:textId="77777777" w:rsidR="007F2617" w:rsidRDefault="000E3509">
      <w:pPr>
        <w:pStyle w:val="TOC2"/>
        <w:rPr>
          <w:rFonts w:asciiTheme="minorHAnsi" w:eastAsiaTheme="minorEastAsia" w:hAnsiTheme="minorHAnsi" w:cstheme="minorBidi"/>
          <w:bCs w:val="0"/>
          <w:noProof/>
          <w:sz w:val="22"/>
        </w:rPr>
      </w:pPr>
      <w:hyperlink w:anchor="_Toc6472650" w:history="1">
        <w:r w:rsidR="007F2617" w:rsidRPr="003F35AD">
          <w:rPr>
            <w:rStyle w:val="Hyperlink"/>
            <w:noProof/>
          </w:rPr>
          <w:t>4.4.2.</w:t>
        </w:r>
        <w:r w:rsidR="007F2617">
          <w:rPr>
            <w:rFonts w:asciiTheme="minorHAnsi" w:eastAsiaTheme="minorEastAsia" w:hAnsiTheme="minorHAnsi" w:cstheme="minorBidi"/>
            <w:bCs w:val="0"/>
            <w:noProof/>
            <w:sz w:val="22"/>
          </w:rPr>
          <w:tab/>
        </w:r>
        <w:r w:rsidR="007F2617" w:rsidRPr="003F35AD">
          <w:rPr>
            <w:rStyle w:val="Hyperlink"/>
            <w:noProof/>
          </w:rPr>
          <w:t>Indirect approach</w:t>
        </w:r>
        <w:r w:rsidR="007F2617">
          <w:rPr>
            <w:noProof/>
            <w:webHidden/>
          </w:rPr>
          <w:tab/>
        </w:r>
        <w:r w:rsidR="007F2617">
          <w:rPr>
            <w:noProof/>
            <w:webHidden/>
          </w:rPr>
          <w:fldChar w:fldCharType="begin"/>
        </w:r>
        <w:r w:rsidR="007F2617">
          <w:rPr>
            <w:noProof/>
            <w:webHidden/>
          </w:rPr>
          <w:instrText xml:space="preserve"> PAGEREF _Toc6472650 \h </w:instrText>
        </w:r>
        <w:r w:rsidR="007F2617">
          <w:rPr>
            <w:noProof/>
            <w:webHidden/>
          </w:rPr>
        </w:r>
        <w:r w:rsidR="007F2617">
          <w:rPr>
            <w:noProof/>
            <w:webHidden/>
          </w:rPr>
          <w:fldChar w:fldCharType="separate"/>
        </w:r>
        <w:r w:rsidR="00301AD4">
          <w:rPr>
            <w:noProof/>
            <w:webHidden/>
          </w:rPr>
          <w:t>65</w:t>
        </w:r>
        <w:r w:rsidR="007F2617">
          <w:rPr>
            <w:noProof/>
            <w:webHidden/>
          </w:rPr>
          <w:fldChar w:fldCharType="end"/>
        </w:r>
      </w:hyperlink>
    </w:p>
    <w:p w14:paraId="05ACE181" w14:textId="77777777" w:rsidR="007F2617" w:rsidRDefault="000E3509" w:rsidP="007F2617">
      <w:pPr>
        <w:pStyle w:val="TOC1"/>
        <w:rPr>
          <w:rFonts w:asciiTheme="minorHAnsi" w:eastAsiaTheme="minorEastAsia" w:hAnsiTheme="minorHAnsi" w:cstheme="minorBidi"/>
          <w:sz w:val="22"/>
          <w:szCs w:val="22"/>
        </w:rPr>
      </w:pPr>
      <w:hyperlink w:anchor="_Toc6472651" w:history="1">
        <w:r w:rsidR="007F2617" w:rsidRPr="003F35AD">
          <w:rPr>
            <w:rStyle w:val="Hyperlink"/>
            <w:rFonts w:eastAsia="Times New Roman"/>
          </w:rPr>
          <w:t>4.5.</w:t>
        </w:r>
        <w:r w:rsidR="007F2617">
          <w:rPr>
            <w:rFonts w:asciiTheme="minorHAnsi" w:eastAsiaTheme="minorEastAsia" w:hAnsiTheme="minorHAnsi" w:cstheme="minorBidi"/>
            <w:sz w:val="22"/>
            <w:szCs w:val="22"/>
          </w:rPr>
          <w:tab/>
        </w:r>
        <w:r w:rsidR="007F2617" w:rsidRPr="003F35AD">
          <w:rPr>
            <w:rStyle w:val="Hyperlink"/>
            <w:rFonts w:eastAsia="Times New Roman"/>
          </w:rPr>
          <w:t>Presentation of attitude objects in language attitude research</w:t>
        </w:r>
        <w:r w:rsidR="007F2617">
          <w:rPr>
            <w:webHidden/>
          </w:rPr>
          <w:tab/>
        </w:r>
        <w:r w:rsidR="007F2617">
          <w:rPr>
            <w:webHidden/>
          </w:rPr>
          <w:fldChar w:fldCharType="begin"/>
        </w:r>
        <w:r w:rsidR="007F2617">
          <w:rPr>
            <w:webHidden/>
          </w:rPr>
          <w:instrText xml:space="preserve"> PAGEREF _Toc6472651 \h </w:instrText>
        </w:r>
        <w:r w:rsidR="007F2617">
          <w:rPr>
            <w:webHidden/>
          </w:rPr>
        </w:r>
        <w:r w:rsidR="007F2617">
          <w:rPr>
            <w:webHidden/>
          </w:rPr>
          <w:fldChar w:fldCharType="separate"/>
        </w:r>
        <w:r w:rsidR="00301AD4">
          <w:rPr>
            <w:webHidden/>
          </w:rPr>
          <w:t>69</w:t>
        </w:r>
        <w:r w:rsidR="007F2617">
          <w:rPr>
            <w:webHidden/>
          </w:rPr>
          <w:fldChar w:fldCharType="end"/>
        </w:r>
      </w:hyperlink>
    </w:p>
    <w:p w14:paraId="5453D1B4" w14:textId="77777777" w:rsidR="007F2617" w:rsidRDefault="000E3509">
      <w:pPr>
        <w:pStyle w:val="TOC2"/>
        <w:rPr>
          <w:rFonts w:asciiTheme="minorHAnsi" w:eastAsiaTheme="minorEastAsia" w:hAnsiTheme="minorHAnsi" w:cstheme="minorBidi"/>
          <w:bCs w:val="0"/>
          <w:noProof/>
          <w:sz w:val="22"/>
        </w:rPr>
      </w:pPr>
      <w:hyperlink w:anchor="_Toc6472652" w:history="1">
        <w:r w:rsidR="007F2617" w:rsidRPr="003F35AD">
          <w:rPr>
            <w:rStyle w:val="Hyperlink"/>
            <w:noProof/>
          </w:rPr>
          <w:t>4.5.1.</w:t>
        </w:r>
        <w:r w:rsidR="007F2617">
          <w:rPr>
            <w:rFonts w:asciiTheme="minorHAnsi" w:eastAsiaTheme="minorEastAsia" w:hAnsiTheme="minorHAnsi" w:cstheme="minorBidi"/>
            <w:bCs w:val="0"/>
            <w:noProof/>
            <w:sz w:val="22"/>
          </w:rPr>
          <w:tab/>
        </w:r>
        <w:r w:rsidR="007F2617" w:rsidRPr="003F35AD">
          <w:rPr>
            <w:rStyle w:val="Hyperlink"/>
            <w:noProof/>
          </w:rPr>
          <w:t>Conceptually presented approach</w:t>
        </w:r>
        <w:r w:rsidR="007F2617">
          <w:rPr>
            <w:noProof/>
            <w:webHidden/>
          </w:rPr>
          <w:tab/>
        </w:r>
        <w:r w:rsidR="007F2617">
          <w:rPr>
            <w:noProof/>
            <w:webHidden/>
          </w:rPr>
          <w:fldChar w:fldCharType="begin"/>
        </w:r>
        <w:r w:rsidR="007F2617">
          <w:rPr>
            <w:noProof/>
            <w:webHidden/>
          </w:rPr>
          <w:instrText xml:space="preserve"> PAGEREF _Toc6472652 \h </w:instrText>
        </w:r>
        <w:r w:rsidR="007F2617">
          <w:rPr>
            <w:noProof/>
            <w:webHidden/>
          </w:rPr>
        </w:r>
        <w:r w:rsidR="007F2617">
          <w:rPr>
            <w:noProof/>
            <w:webHidden/>
          </w:rPr>
          <w:fldChar w:fldCharType="separate"/>
        </w:r>
        <w:r w:rsidR="00301AD4">
          <w:rPr>
            <w:noProof/>
            <w:webHidden/>
          </w:rPr>
          <w:t>70</w:t>
        </w:r>
        <w:r w:rsidR="007F2617">
          <w:rPr>
            <w:noProof/>
            <w:webHidden/>
          </w:rPr>
          <w:fldChar w:fldCharType="end"/>
        </w:r>
      </w:hyperlink>
    </w:p>
    <w:p w14:paraId="2EA0B6F1" w14:textId="77777777" w:rsidR="007F2617" w:rsidRDefault="000E3509">
      <w:pPr>
        <w:pStyle w:val="TOC2"/>
        <w:rPr>
          <w:rFonts w:asciiTheme="minorHAnsi" w:eastAsiaTheme="minorEastAsia" w:hAnsiTheme="minorHAnsi" w:cstheme="minorBidi"/>
          <w:bCs w:val="0"/>
          <w:noProof/>
          <w:sz w:val="22"/>
        </w:rPr>
      </w:pPr>
      <w:hyperlink w:anchor="_Toc6472653" w:history="1">
        <w:r w:rsidR="007F2617" w:rsidRPr="003F35AD">
          <w:rPr>
            <w:rStyle w:val="Hyperlink"/>
            <w:noProof/>
          </w:rPr>
          <w:t>4.5.2.</w:t>
        </w:r>
        <w:r w:rsidR="007F2617">
          <w:rPr>
            <w:rFonts w:asciiTheme="minorHAnsi" w:eastAsiaTheme="minorEastAsia" w:hAnsiTheme="minorHAnsi" w:cstheme="minorBidi"/>
            <w:bCs w:val="0"/>
            <w:noProof/>
            <w:sz w:val="22"/>
          </w:rPr>
          <w:tab/>
        </w:r>
        <w:r w:rsidR="007F2617" w:rsidRPr="003F35AD">
          <w:rPr>
            <w:rStyle w:val="Hyperlink"/>
            <w:noProof/>
          </w:rPr>
          <w:t>Vocally presented approach; socio-phonetic research</w:t>
        </w:r>
        <w:r w:rsidR="007F2617">
          <w:rPr>
            <w:noProof/>
            <w:webHidden/>
          </w:rPr>
          <w:tab/>
        </w:r>
        <w:r w:rsidR="007F2617">
          <w:rPr>
            <w:noProof/>
            <w:webHidden/>
          </w:rPr>
          <w:fldChar w:fldCharType="begin"/>
        </w:r>
        <w:r w:rsidR="007F2617">
          <w:rPr>
            <w:noProof/>
            <w:webHidden/>
          </w:rPr>
          <w:instrText xml:space="preserve"> PAGEREF _Toc6472653 \h </w:instrText>
        </w:r>
        <w:r w:rsidR="007F2617">
          <w:rPr>
            <w:noProof/>
            <w:webHidden/>
          </w:rPr>
        </w:r>
        <w:r w:rsidR="007F2617">
          <w:rPr>
            <w:noProof/>
            <w:webHidden/>
          </w:rPr>
          <w:fldChar w:fldCharType="separate"/>
        </w:r>
        <w:r w:rsidR="00301AD4">
          <w:rPr>
            <w:noProof/>
            <w:webHidden/>
          </w:rPr>
          <w:t>73</w:t>
        </w:r>
        <w:r w:rsidR="007F2617">
          <w:rPr>
            <w:noProof/>
            <w:webHidden/>
          </w:rPr>
          <w:fldChar w:fldCharType="end"/>
        </w:r>
      </w:hyperlink>
    </w:p>
    <w:p w14:paraId="6696F924" w14:textId="77777777" w:rsidR="007F2617" w:rsidRDefault="000E3509" w:rsidP="007F2617">
      <w:pPr>
        <w:pStyle w:val="TOC1"/>
        <w:rPr>
          <w:rFonts w:asciiTheme="minorHAnsi" w:eastAsiaTheme="minorEastAsia" w:hAnsiTheme="minorHAnsi" w:cstheme="minorBidi"/>
          <w:sz w:val="22"/>
          <w:szCs w:val="22"/>
        </w:rPr>
      </w:pPr>
      <w:hyperlink w:anchor="_Toc6472654" w:history="1">
        <w:r w:rsidR="007F2617" w:rsidRPr="003F35AD">
          <w:rPr>
            <w:rStyle w:val="Hyperlink"/>
            <w:rFonts w:eastAsia="Times New Roman"/>
          </w:rPr>
          <w:t>4.6</w:t>
        </w:r>
        <w:r w:rsidR="007F2617">
          <w:rPr>
            <w:rFonts w:asciiTheme="minorHAnsi" w:eastAsiaTheme="minorEastAsia" w:hAnsiTheme="minorHAnsi" w:cstheme="minorBidi"/>
            <w:sz w:val="22"/>
            <w:szCs w:val="22"/>
          </w:rPr>
          <w:tab/>
        </w:r>
        <w:r w:rsidR="007F2617" w:rsidRPr="003F35AD">
          <w:rPr>
            <w:rStyle w:val="Hyperlink"/>
            <w:rFonts w:eastAsia="Times New Roman"/>
          </w:rPr>
          <w:t>Data collection methods in language attitude   research</w:t>
        </w:r>
        <w:r w:rsidR="007F2617">
          <w:rPr>
            <w:webHidden/>
          </w:rPr>
          <w:tab/>
        </w:r>
        <w:r w:rsidR="007F2617">
          <w:rPr>
            <w:webHidden/>
          </w:rPr>
          <w:fldChar w:fldCharType="begin"/>
        </w:r>
        <w:r w:rsidR="007F2617">
          <w:rPr>
            <w:webHidden/>
          </w:rPr>
          <w:instrText xml:space="preserve"> PAGEREF _Toc6472654 \h </w:instrText>
        </w:r>
        <w:r w:rsidR="007F2617">
          <w:rPr>
            <w:webHidden/>
          </w:rPr>
        </w:r>
        <w:r w:rsidR="007F2617">
          <w:rPr>
            <w:webHidden/>
          </w:rPr>
          <w:fldChar w:fldCharType="separate"/>
        </w:r>
        <w:r w:rsidR="00301AD4">
          <w:rPr>
            <w:webHidden/>
          </w:rPr>
          <w:t>75</w:t>
        </w:r>
        <w:r w:rsidR="007F2617">
          <w:rPr>
            <w:webHidden/>
          </w:rPr>
          <w:fldChar w:fldCharType="end"/>
        </w:r>
      </w:hyperlink>
    </w:p>
    <w:p w14:paraId="48E0BFC1" w14:textId="77777777" w:rsidR="007F2617" w:rsidRDefault="000E3509">
      <w:pPr>
        <w:pStyle w:val="TOC2"/>
        <w:rPr>
          <w:rFonts w:asciiTheme="minorHAnsi" w:eastAsiaTheme="minorEastAsia" w:hAnsiTheme="minorHAnsi" w:cstheme="minorBidi"/>
          <w:bCs w:val="0"/>
          <w:noProof/>
          <w:sz w:val="22"/>
        </w:rPr>
      </w:pPr>
      <w:hyperlink w:anchor="_Toc6472655" w:history="1">
        <w:r w:rsidR="007F2617" w:rsidRPr="003F35AD">
          <w:rPr>
            <w:rStyle w:val="Hyperlink"/>
            <w:noProof/>
          </w:rPr>
          <w:t>4.6.1.</w:t>
        </w:r>
        <w:r w:rsidR="007F2617">
          <w:rPr>
            <w:rFonts w:asciiTheme="minorHAnsi" w:eastAsiaTheme="minorEastAsia" w:hAnsiTheme="minorHAnsi" w:cstheme="minorBidi"/>
            <w:bCs w:val="0"/>
            <w:noProof/>
            <w:sz w:val="22"/>
          </w:rPr>
          <w:tab/>
        </w:r>
        <w:r w:rsidR="007F2617" w:rsidRPr="003F35AD">
          <w:rPr>
            <w:rStyle w:val="Hyperlink"/>
            <w:noProof/>
          </w:rPr>
          <w:t>Questionnaire</w:t>
        </w:r>
        <w:r w:rsidR="007F2617">
          <w:rPr>
            <w:noProof/>
            <w:webHidden/>
          </w:rPr>
          <w:tab/>
        </w:r>
        <w:r w:rsidR="007F2617">
          <w:rPr>
            <w:noProof/>
            <w:webHidden/>
          </w:rPr>
          <w:fldChar w:fldCharType="begin"/>
        </w:r>
        <w:r w:rsidR="007F2617">
          <w:rPr>
            <w:noProof/>
            <w:webHidden/>
          </w:rPr>
          <w:instrText xml:space="preserve"> PAGEREF _Toc6472655 \h </w:instrText>
        </w:r>
        <w:r w:rsidR="007F2617">
          <w:rPr>
            <w:noProof/>
            <w:webHidden/>
          </w:rPr>
        </w:r>
        <w:r w:rsidR="007F2617">
          <w:rPr>
            <w:noProof/>
            <w:webHidden/>
          </w:rPr>
          <w:fldChar w:fldCharType="separate"/>
        </w:r>
        <w:r w:rsidR="00301AD4">
          <w:rPr>
            <w:noProof/>
            <w:webHidden/>
          </w:rPr>
          <w:t>76</w:t>
        </w:r>
        <w:r w:rsidR="007F2617">
          <w:rPr>
            <w:noProof/>
            <w:webHidden/>
          </w:rPr>
          <w:fldChar w:fldCharType="end"/>
        </w:r>
      </w:hyperlink>
    </w:p>
    <w:p w14:paraId="71293B9B" w14:textId="77777777" w:rsidR="007F2617" w:rsidRDefault="000E3509">
      <w:pPr>
        <w:pStyle w:val="TOC2"/>
        <w:rPr>
          <w:rFonts w:asciiTheme="minorHAnsi" w:eastAsiaTheme="minorEastAsia" w:hAnsiTheme="minorHAnsi" w:cstheme="minorBidi"/>
          <w:bCs w:val="0"/>
          <w:noProof/>
          <w:sz w:val="22"/>
        </w:rPr>
      </w:pPr>
      <w:hyperlink w:anchor="_Toc6472656" w:history="1">
        <w:r w:rsidR="007F2617" w:rsidRPr="003F35AD">
          <w:rPr>
            <w:rStyle w:val="Hyperlink"/>
            <w:noProof/>
          </w:rPr>
          <w:t>4.6.2.</w:t>
        </w:r>
        <w:r w:rsidR="007F2617">
          <w:rPr>
            <w:rFonts w:asciiTheme="minorHAnsi" w:eastAsiaTheme="minorEastAsia" w:hAnsiTheme="minorHAnsi" w:cstheme="minorBidi"/>
            <w:bCs w:val="0"/>
            <w:noProof/>
            <w:sz w:val="22"/>
          </w:rPr>
          <w:tab/>
        </w:r>
        <w:r w:rsidR="007F2617" w:rsidRPr="003F35AD">
          <w:rPr>
            <w:rStyle w:val="Hyperlink"/>
            <w:noProof/>
          </w:rPr>
          <w:t>Online questionnaires</w:t>
        </w:r>
        <w:r w:rsidR="007F2617">
          <w:rPr>
            <w:noProof/>
            <w:webHidden/>
          </w:rPr>
          <w:tab/>
        </w:r>
        <w:r w:rsidR="007F2617">
          <w:rPr>
            <w:noProof/>
            <w:webHidden/>
          </w:rPr>
          <w:fldChar w:fldCharType="begin"/>
        </w:r>
        <w:r w:rsidR="007F2617">
          <w:rPr>
            <w:noProof/>
            <w:webHidden/>
          </w:rPr>
          <w:instrText xml:space="preserve"> PAGEREF _Toc6472656 \h </w:instrText>
        </w:r>
        <w:r w:rsidR="007F2617">
          <w:rPr>
            <w:noProof/>
            <w:webHidden/>
          </w:rPr>
        </w:r>
        <w:r w:rsidR="007F2617">
          <w:rPr>
            <w:noProof/>
            <w:webHidden/>
          </w:rPr>
          <w:fldChar w:fldCharType="separate"/>
        </w:r>
        <w:r w:rsidR="00301AD4">
          <w:rPr>
            <w:noProof/>
            <w:webHidden/>
          </w:rPr>
          <w:t>77</w:t>
        </w:r>
        <w:r w:rsidR="007F2617">
          <w:rPr>
            <w:noProof/>
            <w:webHidden/>
          </w:rPr>
          <w:fldChar w:fldCharType="end"/>
        </w:r>
      </w:hyperlink>
    </w:p>
    <w:p w14:paraId="55E0AA1C" w14:textId="77777777" w:rsidR="007F2617" w:rsidRDefault="000E3509" w:rsidP="007F2617">
      <w:pPr>
        <w:pStyle w:val="TOC1"/>
        <w:rPr>
          <w:rFonts w:asciiTheme="minorHAnsi" w:eastAsiaTheme="minorEastAsia" w:hAnsiTheme="minorHAnsi" w:cstheme="minorBidi"/>
          <w:sz w:val="22"/>
          <w:szCs w:val="22"/>
        </w:rPr>
      </w:pPr>
      <w:hyperlink w:anchor="_Toc6472657" w:history="1">
        <w:r w:rsidR="007F2617" w:rsidRPr="003F35AD">
          <w:rPr>
            <w:rStyle w:val="Hyperlink"/>
            <w:rFonts w:eastAsia="Times New Roman"/>
          </w:rPr>
          <w:t>4.7.</w:t>
        </w:r>
        <w:r w:rsidR="007F2617">
          <w:rPr>
            <w:rFonts w:asciiTheme="minorHAnsi" w:eastAsiaTheme="minorEastAsia" w:hAnsiTheme="minorHAnsi" w:cstheme="minorBidi"/>
            <w:sz w:val="22"/>
            <w:szCs w:val="22"/>
          </w:rPr>
          <w:tab/>
        </w:r>
        <w:r w:rsidR="007F2617" w:rsidRPr="003F35AD">
          <w:rPr>
            <w:rStyle w:val="Hyperlink"/>
            <w:rFonts w:eastAsia="Times New Roman"/>
          </w:rPr>
          <w:t>Rating scales in language attitude research</w:t>
        </w:r>
        <w:r w:rsidR="007F2617">
          <w:rPr>
            <w:webHidden/>
          </w:rPr>
          <w:tab/>
        </w:r>
        <w:r w:rsidR="007F2617">
          <w:rPr>
            <w:webHidden/>
          </w:rPr>
          <w:fldChar w:fldCharType="begin"/>
        </w:r>
        <w:r w:rsidR="007F2617">
          <w:rPr>
            <w:webHidden/>
          </w:rPr>
          <w:instrText xml:space="preserve"> PAGEREF _Toc6472657 \h </w:instrText>
        </w:r>
        <w:r w:rsidR="007F2617">
          <w:rPr>
            <w:webHidden/>
          </w:rPr>
        </w:r>
        <w:r w:rsidR="007F2617">
          <w:rPr>
            <w:webHidden/>
          </w:rPr>
          <w:fldChar w:fldCharType="separate"/>
        </w:r>
        <w:r w:rsidR="00301AD4">
          <w:rPr>
            <w:webHidden/>
          </w:rPr>
          <w:t>77</w:t>
        </w:r>
        <w:r w:rsidR="007F2617">
          <w:rPr>
            <w:webHidden/>
          </w:rPr>
          <w:fldChar w:fldCharType="end"/>
        </w:r>
      </w:hyperlink>
    </w:p>
    <w:p w14:paraId="26EAD74E" w14:textId="77777777" w:rsidR="007F2617" w:rsidRDefault="000E3509">
      <w:pPr>
        <w:pStyle w:val="TOC2"/>
        <w:rPr>
          <w:rFonts w:asciiTheme="minorHAnsi" w:eastAsiaTheme="minorEastAsia" w:hAnsiTheme="minorHAnsi" w:cstheme="minorBidi"/>
          <w:bCs w:val="0"/>
          <w:noProof/>
          <w:sz w:val="22"/>
        </w:rPr>
      </w:pPr>
      <w:hyperlink w:anchor="_Toc6472658" w:history="1">
        <w:r w:rsidR="007F2617" w:rsidRPr="003F35AD">
          <w:rPr>
            <w:rStyle w:val="Hyperlink"/>
            <w:noProof/>
          </w:rPr>
          <w:t>4.7.1.</w:t>
        </w:r>
        <w:r w:rsidR="007F2617">
          <w:rPr>
            <w:rFonts w:asciiTheme="minorHAnsi" w:eastAsiaTheme="minorEastAsia" w:hAnsiTheme="minorHAnsi" w:cstheme="minorBidi"/>
            <w:bCs w:val="0"/>
            <w:noProof/>
            <w:sz w:val="22"/>
          </w:rPr>
          <w:tab/>
        </w:r>
        <w:r w:rsidR="007F2617" w:rsidRPr="003F35AD">
          <w:rPr>
            <w:rStyle w:val="Hyperlink"/>
            <w:noProof/>
          </w:rPr>
          <w:t>Thurstone scale</w:t>
        </w:r>
        <w:r w:rsidR="007F2617">
          <w:rPr>
            <w:noProof/>
            <w:webHidden/>
          </w:rPr>
          <w:tab/>
        </w:r>
        <w:r w:rsidR="007F2617">
          <w:rPr>
            <w:noProof/>
            <w:webHidden/>
          </w:rPr>
          <w:fldChar w:fldCharType="begin"/>
        </w:r>
        <w:r w:rsidR="007F2617">
          <w:rPr>
            <w:noProof/>
            <w:webHidden/>
          </w:rPr>
          <w:instrText xml:space="preserve"> PAGEREF _Toc6472658 \h </w:instrText>
        </w:r>
        <w:r w:rsidR="007F2617">
          <w:rPr>
            <w:noProof/>
            <w:webHidden/>
          </w:rPr>
        </w:r>
        <w:r w:rsidR="007F2617">
          <w:rPr>
            <w:noProof/>
            <w:webHidden/>
          </w:rPr>
          <w:fldChar w:fldCharType="separate"/>
        </w:r>
        <w:r w:rsidR="00301AD4">
          <w:rPr>
            <w:noProof/>
            <w:webHidden/>
          </w:rPr>
          <w:t>78</w:t>
        </w:r>
        <w:r w:rsidR="007F2617">
          <w:rPr>
            <w:noProof/>
            <w:webHidden/>
          </w:rPr>
          <w:fldChar w:fldCharType="end"/>
        </w:r>
      </w:hyperlink>
    </w:p>
    <w:p w14:paraId="1A528ABA" w14:textId="77777777" w:rsidR="007F2617" w:rsidRDefault="000E3509">
      <w:pPr>
        <w:pStyle w:val="TOC2"/>
        <w:rPr>
          <w:rFonts w:asciiTheme="minorHAnsi" w:eastAsiaTheme="minorEastAsia" w:hAnsiTheme="minorHAnsi" w:cstheme="minorBidi"/>
          <w:bCs w:val="0"/>
          <w:noProof/>
          <w:sz w:val="22"/>
        </w:rPr>
      </w:pPr>
      <w:hyperlink w:anchor="_Toc6472659" w:history="1">
        <w:r w:rsidR="007F2617" w:rsidRPr="003F35AD">
          <w:rPr>
            <w:rStyle w:val="Hyperlink"/>
            <w:noProof/>
          </w:rPr>
          <w:t>4.7.2.</w:t>
        </w:r>
        <w:r w:rsidR="007F2617">
          <w:rPr>
            <w:rFonts w:asciiTheme="minorHAnsi" w:eastAsiaTheme="minorEastAsia" w:hAnsiTheme="minorHAnsi" w:cstheme="minorBidi"/>
            <w:bCs w:val="0"/>
            <w:noProof/>
            <w:sz w:val="22"/>
          </w:rPr>
          <w:tab/>
        </w:r>
        <w:r w:rsidR="007F2617" w:rsidRPr="003F35AD">
          <w:rPr>
            <w:rStyle w:val="Hyperlink"/>
            <w:noProof/>
          </w:rPr>
          <w:t>Likert scale</w:t>
        </w:r>
        <w:r w:rsidR="007F2617">
          <w:rPr>
            <w:noProof/>
            <w:webHidden/>
          </w:rPr>
          <w:tab/>
        </w:r>
        <w:r w:rsidR="007F2617">
          <w:rPr>
            <w:noProof/>
            <w:webHidden/>
          </w:rPr>
          <w:fldChar w:fldCharType="begin"/>
        </w:r>
        <w:r w:rsidR="007F2617">
          <w:rPr>
            <w:noProof/>
            <w:webHidden/>
          </w:rPr>
          <w:instrText xml:space="preserve"> PAGEREF _Toc6472659 \h </w:instrText>
        </w:r>
        <w:r w:rsidR="007F2617">
          <w:rPr>
            <w:noProof/>
            <w:webHidden/>
          </w:rPr>
        </w:r>
        <w:r w:rsidR="007F2617">
          <w:rPr>
            <w:noProof/>
            <w:webHidden/>
          </w:rPr>
          <w:fldChar w:fldCharType="separate"/>
        </w:r>
        <w:r w:rsidR="00301AD4">
          <w:rPr>
            <w:noProof/>
            <w:webHidden/>
          </w:rPr>
          <w:t>78</w:t>
        </w:r>
        <w:r w:rsidR="007F2617">
          <w:rPr>
            <w:noProof/>
            <w:webHidden/>
          </w:rPr>
          <w:fldChar w:fldCharType="end"/>
        </w:r>
      </w:hyperlink>
    </w:p>
    <w:p w14:paraId="6BA0CEAB" w14:textId="77777777" w:rsidR="007F2617" w:rsidRDefault="000E3509">
      <w:pPr>
        <w:pStyle w:val="TOC2"/>
        <w:rPr>
          <w:rFonts w:asciiTheme="minorHAnsi" w:eastAsiaTheme="minorEastAsia" w:hAnsiTheme="minorHAnsi" w:cstheme="minorBidi"/>
          <w:bCs w:val="0"/>
          <w:noProof/>
          <w:sz w:val="22"/>
        </w:rPr>
      </w:pPr>
      <w:hyperlink w:anchor="_Toc6472660" w:history="1">
        <w:r w:rsidR="007F2617" w:rsidRPr="003F35AD">
          <w:rPr>
            <w:rStyle w:val="Hyperlink"/>
            <w:noProof/>
          </w:rPr>
          <w:t>4.7.3.</w:t>
        </w:r>
        <w:r w:rsidR="007F2617">
          <w:rPr>
            <w:rFonts w:asciiTheme="minorHAnsi" w:eastAsiaTheme="minorEastAsia" w:hAnsiTheme="minorHAnsi" w:cstheme="minorBidi"/>
            <w:bCs w:val="0"/>
            <w:noProof/>
            <w:sz w:val="22"/>
          </w:rPr>
          <w:tab/>
        </w:r>
        <w:r w:rsidR="007F2617" w:rsidRPr="003F35AD">
          <w:rPr>
            <w:rStyle w:val="Hyperlink"/>
            <w:noProof/>
          </w:rPr>
          <w:t>Semantic differential scale</w:t>
        </w:r>
        <w:r w:rsidR="007F2617">
          <w:rPr>
            <w:noProof/>
            <w:webHidden/>
          </w:rPr>
          <w:tab/>
        </w:r>
        <w:r w:rsidR="007F2617">
          <w:rPr>
            <w:noProof/>
            <w:webHidden/>
          </w:rPr>
          <w:fldChar w:fldCharType="begin"/>
        </w:r>
        <w:r w:rsidR="007F2617">
          <w:rPr>
            <w:noProof/>
            <w:webHidden/>
          </w:rPr>
          <w:instrText xml:space="preserve"> PAGEREF _Toc6472660 \h </w:instrText>
        </w:r>
        <w:r w:rsidR="007F2617">
          <w:rPr>
            <w:noProof/>
            <w:webHidden/>
          </w:rPr>
        </w:r>
        <w:r w:rsidR="007F2617">
          <w:rPr>
            <w:noProof/>
            <w:webHidden/>
          </w:rPr>
          <w:fldChar w:fldCharType="separate"/>
        </w:r>
        <w:r w:rsidR="00301AD4">
          <w:rPr>
            <w:noProof/>
            <w:webHidden/>
          </w:rPr>
          <w:t>79</w:t>
        </w:r>
        <w:r w:rsidR="007F2617">
          <w:rPr>
            <w:noProof/>
            <w:webHidden/>
          </w:rPr>
          <w:fldChar w:fldCharType="end"/>
        </w:r>
      </w:hyperlink>
    </w:p>
    <w:p w14:paraId="132572CE" w14:textId="77777777" w:rsidR="007F2617" w:rsidRDefault="000E3509" w:rsidP="007F2617">
      <w:pPr>
        <w:pStyle w:val="TOC1"/>
        <w:rPr>
          <w:rFonts w:asciiTheme="minorHAnsi" w:eastAsiaTheme="minorEastAsia" w:hAnsiTheme="minorHAnsi" w:cstheme="minorBidi"/>
          <w:sz w:val="22"/>
          <w:szCs w:val="22"/>
        </w:rPr>
      </w:pPr>
      <w:hyperlink w:anchor="_Toc6472661" w:history="1">
        <w:r w:rsidR="007F2617" w:rsidRPr="003F35AD">
          <w:rPr>
            <w:rStyle w:val="Hyperlink"/>
            <w:rFonts w:eastAsia="Times New Roman"/>
          </w:rPr>
          <w:t>4.8.</w:t>
        </w:r>
        <w:r w:rsidR="007F2617">
          <w:rPr>
            <w:rFonts w:asciiTheme="minorHAnsi" w:eastAsiaTheme="minorEastAsia" w:hAnsiTheme="minorHAnsi" w:cstheme="minorBidi"/>
            <w:sz w:val="22"/>
            <w:szCs w:val="22"/>
          </w:rPr>
          <w:tab/>
        </w:r>
        <w:r w:rsidR="007F2617" w:rsidRPr="003F35AD">
          <w:rPr>
            <w:rStyle w:val="Hyperlink"/>
            <w:rFonts w:eastAsia="Times New Roman"/>
          </w:rPr>
          <w:t>Perceptual dialectology research in language regard</w:t>
        </w:r>
        <w:r w:rsidR="007F2617">
          <w:rPr>
            <w:webHidden/>
          </w:rPr>
          <w:tab/>
        </w:r>
        <w:r w:rsidR="007F2617">
          <w:rPr>
            <w:webHidden/>
          </w:rPr>
          <w:fldChar w:fldCharType="begin"/>
        </w:r>
        <w:r w:rsidR="007F2617">
          <w:rPr>
            <w:webHidden/>
          </w:rPr>
          <w:instrText xml:space="preserve"> PAGEREF _Toc6472661 \h </w:instrText>
        </w:r>
        <w:r w:rsidR="007F2617">
          <w:rPr>
            <w:webHidden/>
          </w:rPr>
        </w:r>
        <w:r w:rsidR="007F2617">
          <w:rPr>
            <w:webHidden/>
          </w:rPr>
          <w:fldChar w:fldCharType="separate"/>
        </w:r>
        <w:r w:rsidR="00301AD4">
          <w:rPr>
            <w:webHidden/>
          </w:rPr>
          <w:t>82</w:t>
        </w:r>
        <w:r w:rsidR="007F2617">
          <w:rPr>
            <w:webHidden/>
          </w:rPr>
          <w:fldChar w:fldCharType="end"/>
        </w:r>
      </w:hyperlink>
    </w:p>
    <w:p w14:paraId="1EB205E8" w14:textId="77777777" w:rsidR="007F2617" w:rsidRDefault="000E3509" w:rsidP="007F2617">
      <w:pPr>
        <w:pStyle w:val="TOC1"/>
        <w:rPr>
          <w:rFonts w:asciiTheme="minorHAnsi" w:eastAsiaTheme="minorEastAsia" w:hAnsiTheme="minorHAnsi" w:cstheme="minorBidi"/>
          <w:sz w:val="22"/>
          <w:szCs w:val="22"/>
        </w:rPr>
      </w:pPr>
      <w:hyperlink w:anchor="_Toc6472662" w:history="1">
        <w:r w:rsidR="007F2617" w:rsidRPr="003F35AD">
          <w:rPr>
            <w:rStyle w:val="Hyperlink"/>
            <w:rFonts w:eastAsia="Times New Roman"/>
          </w:rPr>
          <w:t>4.9.</w:t>
        </w:r>
        <w:r w:rsidR="007F2617">
          <w:rPr>
            <w:rFonts w:asciiTheme="minorHAnsi" w:eastAsiaTheme="minorEastAsia" w:hAnsiTheme="minorHAnsi" w:cstheme="minorBidi"/>
            <w:sz w:val="22"/>
            <w:szCs w:val="22"/>
          </w:rPr>
          <w:tab/>
        </w:r>
        <w:r w:rsidR="007F2617" w:rsidRPr="003F35AD">
          <w:rPr>
            <w:rStyle w:val="Hyperlink"/>
            <w:rFonts w:eastAsia="Times New Roman"/>
          </w:rPr>
          <w:t>Socio-phonetic research on language regard</w:t>
        </w:r>
        <w:r w:rsidR="007F2617">
          <w:rPr>
            <w:webHidden/>
          </w:rPr>
          <w:tab/>
        </w:r>
        <w:r w:rsidR="007F2617">
          <w:rPr>
            <w:webHidden/>
          </w:rPr>
          <w:fldChar w:fldCharType="begin"/>
        </w:r>
        <w:r w:rsidR="007F2617">
          <w:rPr>
            <w:webHidden/>
          </w:rPr>
          <w:instrText xml:space="preserve"> PAGEREF _Toc6472662 \h </w:instrText>
        </w:r>
        <w:r w:rsidR="007F2617">
          <w:rPr>
            <w:webHidden/>
          </w:rPr>
        </w:r>
        <w:r w:rsidR="007F2617">
          <w:rPr>
            <w:webHidden/>
          </w:rPr>
          <w:fldChar w:fldCharType="separate"/>
        </w:r>
        <w:r w:rsidR="00301AD4">
          <w:rPr>
            <w:webHidden/>
          </w:rPr>
          <w:t>86</w:t>
        </w:r>
        <w:r w:rsidR="007F2617">
          <w:rPr>
            <w:webHidden/>
          </w:rPr>
          <w:fldChar w:fldCharType="end"/>
        </w:r>
      </w:hyperlink>
    </w:p>
    <w:p w14:paraId="2E994A2F" w14:textId="77777777" w:rsidR="007F2617" w:rsidRDefault="000E3509" w:rsidP="00017D27">
      <w:pPr>
        <w:pStyle w:val="TOC1"/>
        <w:spacing w:after="240"/>
        <w:rPr>
          <w:rFonts w:asciiTheme="minorHAnsi" w:eastAsiaTheme="minorEastAsia" w:hAnsiTheme="minorHAnsi" w:cstheme="minorBidi"/>
          <w:sz w:val="22"/>
          <w:szCs w:val="22"/>
        </w:rPr>
      </w:pPr>
      <w:hyperlink w:anchor="_Toc6472663" w:history="1">
        <w:r w:rsidR="007F2617" w:rsidRPr="003F35AD">
          <w:rPr>
            <w:rStyle w:val="Hyperlink"/>
            <w:rFonts w:eastAsia="Times New Roman"/>
          </w:rPr>
          <w:t>4.10.</w:t>
        </w:r>
        <w:r w:rsidR="007F2617">
          <w:rPr>
            <w:rFonts w:asciiTheme="minorHAnsi" w:eastAsiaTheme="minorEastAsia" w:hAnsiTheme="minorHAnsi" w:cstheme="minorBidi"/>
            <w:sz w:val="22"/>
            <w:szCs w:val="22"/>
          </w:rPr>
          <w:tab/>
        </w:r>
        <w:r w:rsidR="007F2617" w:rsidRPr="003F35AD">
          <w:rPr>
            <w:rStyle w:val="Hyperlink"/>
            <w:rFonts w:eastAsia="Times New Roman"/>
          </w:rPr>
          <w:t>Conclusion</w:t>
        </w:r>
        <w:r w:rsidR="007F2617">
          <w:rPr>
            <w:webHidden/>
          </w:rPr>
          <w:tab/>
        </w:r>
        <w:r w:rsidR="007F2617">
          <w:rPr>
            <w:webHidden/>
          </w:rPr>
          <w:fldChar w:fldCharType="begin"/>
        </w:r>
        <w:r w:rsidR="007F2617">
          <w:rPr>
            <w:webHidden/>
          </w:rPr>
          <w:instrText xml:space="preserve"> PAGEREF _Toc6472663 \h </w:instrText>
        </w:r>
        <w:r w:rsidR="007F2617">
          <w:rPr>
            <w:webHidden/>
          </w:rPr>
        </w:r>
        <w:r w:rsidR="007F2617">
          <w:rPr>
            <w:webHidden/>
          </w:rPr>
          <w:fldChar w:fldCharType="separate"/>
        </w:r>
        <w:r w:rsidR="00301AD4">
          <w:rPr>
            <w:webHidden/>
          </w:rPr>
          <w:t>90</w:t>
        </w:r>
        <w:r w:rsidR="007F2617">
          <w:rPr>
            <w:webHidden/>
          </w:rPr>
          <w:fldChar w:fldCharType="end"/>
        </w:r>
      </w:hyperlink>
    </w:p>
    <w:p w14:paraId="49BFA9B1" w14:textId="77777777" w:rsidR="007F2617" w:rsidRDefault="000E3509" w:rsidP="007F2617">
      <w:pPr>
        <w:pStyle w:val="TOC1"/>
        <w:rPr>
          <w:rFonts w:asciiTheme="minorHAnsi" w:eastAsiaTheme="minorEastAsia" w:hAnsiTheme="minorHAnsi" w:cstheme="minorBidi"/>
          <w:sz w:val="22"/>
          <w:szCs w:val="22"/>
        </w:rPr>
      </w:pPr>
      <w:hyperlink w:anchor="_Toc6472664" w:history="1">
        <w:r w:rsidR="007F2617" w:rsidRPr="00017D27">
          <w:rPr>
            <w:rStyle w:val="Hyperlink"/>
            <w:b/>
            <w:bCs w:val="0"/>
          </w:rPr>
          <w:t>Chapter 5: Methodology</w:t>
        </w:r>
        <w:r w:rsidR="007F2617">
          <w:rPr>
            <w:webHidden/>
          </w:rPr>
          <w:tab/>
        </w:r>
        <w:r w:rsidR="007F2617">
          <w:rPr>
            <w:webHidden/>
          </w:rPr>
          <w:fldChar w:fldCharType="begin"/>
        </w:r>
        <w:r w:rsidR="007F2617">
          <w:rPr>
            <w:webHidden/>
          </w:rPr>
          <w:instrText xml:space="preserve"> PAGEREF _Toc6472664 \h </w:instrText>
        </w:r>
        <w:r w:rsidR="007F2617">
          <w:rPr>
            <w:webHidden/>
          </w:rPr>
        </w:r>
        <w:r w:rsidR="007F2617">
          <w:rPr>
            <w:webHidden/>
          </w:rPr>
          <w:fldChar w:fldCharType="separate"/>
        </w:r>
        <w:r w:rsidR="00301AD4">
          <w:rPr>
            <w:webHidden/>
          </w:rPr>
          <w:t>92</w:t>
        </w:r>
        <w:r w:rsidR="007F2617">
          <w:rPr>
            <w:webHidden/>
          </w:rPr>
          <w:fldChar w:fldCharType="end"/>
        </w:r>
      </w:hyperlink>
    </w:p>
    <w:p w14:paraId="58DDC31E" w14:textId="77777777" w:rsidR="007F2617" w:rsidRDefault="000E3509" w:rsidP="007F2617">
      <w:pPr>
        <w:pStyle w:val="TOC1"/>
        <w:rPr>
          <w:rFonts w:asciiTheme="minorHAnsi" w:eastAsiaTheme="minorEastAsia" w:hAnsiTheme="minorHAnsi" w:cstheme="minorBidi"/>
          <w:sz w:val="22"/>
          <w:szCs w:val="22"/>
        </w:rPr>
      </w:pPr>
      <w:hyperlink w:anchor="_Toc6472665" w:history="1">
        <w:r w:rsidR="007F2617" w:rsidRPr="003F35AD">
          <w:rPr>
            <w:rStyle w:val="Hyperlink"/>
            <w:rFonts w:eastAsia="Times New Roman"/>
          </w:rPr>
          <w:t>5.1.</w:t>
        </w:r>
        <w:r w:rsidR="007F2617">
          <w:rPr>
            <w:rFonts w:asciiTheme="minorHAnsi" w:eastAsiaTheme="minorEastAsia" w:hAnsiTheme="minorHAnsi" w:cstheme="minorBidi"/>
            <w:sz w:val="22"/>
            <w:szCs w:val="22"/>
          </w:rPr>
          <w:tab/>
        </w:r>
        <w:r w:rsidR="007F2617" w:rsidRPr="003F35AD">
          <w:rPr>
            <w:rStyle w:val="Hyperlink"/>
          </w:rPr>
          <w:t>Introduction</w:t>
        </w:r>
        <w:r w:rsidR="007F2617">
          <w:rPr>
            <w:webHidden/>
          </w:rPr>
          <w:tab/>
        </w:r>
        <w:r w:rsidR="007F2617">
          <w:rPr>
            <w:webHidden/>
          </w:rPr>
          <w:fldChar w:fldCharType="begin"/>
        </w:r>
        <w:r w:rsidR="007F2617">
          <w:rPr>
            <w:webHidden/>
          </w:rPr>
          <w:instrText xml:space="preserve"> PAGEREF _Toc6472665 \h </w:instrText>
        </w:r>
        <w:r w:rsidR="007F2617">
          <w:rPr>
            <w:webHidden/>
          </w:rPr>
        </w:r>
        <w:r w:rsidR="007F2617">
          <w:rPr>
            <w:webHidden/>
          </w:rPr>
          <w:fldChar w:fldCharType="separate"/>
        </w:r>
        <w:r w:rsidR="00301AD4">
          <w:rPr>
            <w:webHidden/>
          </w:rPr>
          <w:t>92</w:t>
        </w:r>
        <w:r w:rsidR="007F2617">
          <w:rPr>
            <w:webHidden/>
          </w:rPr>
          <w:fldChar w:fldCharType="end"/>
        </w:r>
      </w:hyperlink>
    </w:p>
    <w:p w14:paraId="4E932B3E" w14:textId="77777777" w:rsidR="007F2617" w:rsidRDefault="000E3509" w:rsidP="007F2617">
      <w:pPr>
        <w:pStyle w:val="TOC1"/>
        <w:rPr>
          <w:rFonts w:asciiTheme="minorHAnsi" w:eastAsiaTheme="minorEastAsia" w:hAnsiTheme="minorHAnsi" w:cstheme="minorBidi"/>
          <w:sz w:val="22"/>
          <w:szCs w:val="22"/>
        </w:rPr>
      </w:pPr>
      <w:hyperlink w:anchor="_Toc6472666" w:history="1">
        <w:r w:rsidR="007F2617" w:rsidRPr="003F35AD">
          <w:rPr>
            <w:rStyle w:val="Hyperlink"/>
            <w:rFonts w:eastAsia="Times New Roman"/>
          </w:rPr>
          <w:t>5.2.</w:t>
        </w:r>
        <w:r w:rsidR="007F2617">
          <w:rPr>
            <w:rFonts w:asciiTheme="minorHAnsi" w:eastAsiaTheme="minorEastAsia" w:hAnsiTheme="minorHAnsi" w:cstheme="minorBidi"/>
            <w:sz w:val="22"/>
            <w:szCs w:val="22"/>
          </w:rPr>
          <w:tab/>
        </w:r>
        <w:r w:rsidR="007F2617" w:rsidRPr="003F35AD">
          <w:rPr>
            <w:rStyle w:val="Hyperlink"/>
            <w:rFonts w:eastAsia="Times New Roman"/>
          </w:rPr>
          <w:t>Pilot study: An overview, results and recommendations</w:t>
        </w:r>
        <w:r w:rsidR="007F2617">
          <w:rPr>
            <w:webHidden/>
          </w:rPr>
          <w:tab/>
        </w:r>
        <w:r w:rsidR="007F2617">
          <w:rPr>
            <w:webHidden/>
          </w:rPr>
          <w:fldChar w:fldCharType="begin"/>
        </w:r>
        <w:r w:rsidR="007F2617">
          <w:rPr>
            <w:webHidden/>
          </w:rPr>
          <w:instrText xml:space="preserve"> PAGEREF _Toc6472666 \h </w:instrText>
        </w:r>
        <w:r w:rsidR="007F2617">
          <w:rPr>
            <w:webHidden/>
          </w:rPr>
        </w:r>
        <w:r w:rsidR="007F2617">
          <w:rPr>
            <w:webHidden/>
          </w:rPr>
          <w:fldChar w:fldCharType="separate"/>
        </w:r>
        <w:r w:rsidR="00301AD4">
          <w:rPr>
            <w:webHidden/>
          </w:rPr>
          <w:t>93</w:t>
        </w:r>
        <w:r w:rsidR="007F2617">
          <w:rPr>
            <w:webHidden/>
          </w:rPr>
          <w:fldChar w:fldCharType="end"/>
        </w:r>
      </w:hyperlink>
    </w:p>
    <w:p w14:paraId="7EEEBF17" w14:textId="77777777" w:rsidR="007F2617" w:rsidRDefault="000E3509" w:rsidP="007F2617">
      <w:pPr>
        <w:pStyle w:val="TOC1"/>
        <w:rPr>
          <w:rFonts w:asciiTheme="minorHAnsi" w:eastAsiaTheme="minorEastAsia" w:hAnsiTheme="minorHAnsi" w:cstheme="minorBidi"/>
          <w:sz w:val="22"/>
          <w:szCs w:val="22"/>
        </w:rPr>
      </w:pPr>
      <w:hyperlink w:anchor="_Toc6472667" w:history="1">
        <w:r w:rsidR="007F2617" w:rsidRPr="003F35AD">
          <w:rPr>
            <w:rStyle w:val="Hyperlink"/>
            <w:rFonts w:eastAsia="Times New Roman"/>
          </w:rPr>
          <w:t>5.3.</w:t>
        </w:r>
        <w:r w:rsidR="007F2617">
          <w:rPr>
            <w:rFonts w:asciiTheme="minorHAnsi" w:eastAsiaTheme="minorEastAsia" w:hAnsiTheme="minorHAnsi" w:cstheme="minorBidi"/>
            <w:sz w:val="22"/>
            <w:szCs w:val="22"/>
          </w:rPr>
          <w:tab/>
        </w:r>
        <w:r w:rsidR="007F2617" w:rsidRPr="003F35AD">
          <w:rPr>
            <w:rStyle w:val="Hyperlink"/>
            <w:rFonts w:eastAsia="Times New Roman"/>
          </w:rPr>
          <w:t>Population and sampling</w:t>
        </w:r>
        <w:r w:rsidR="007F2617">
          <w:rPr>
            <w:webHidden/>
          </w:rPr>
          <w:tab/>
        </w:r>
        <w:r w:rsidR="007F2617">
          <w:rPr>
            <w:webHidden/>
          </w:rPr>
          <w:fldChar w:fldCharType="begin"/>
        </w:r>
        <w:r w:rsidR="007F2617">
          <w:rPr>
            <w:webHidden/>
          </w:rPr>
          <w:instrText xml:space="preserve"> PAGEREF _Toc6472667 \h </w:instrText>
        </w:r>
        <w:r w:rsidR="007F2617">
          <w:rPr>
            <w:webHidden/>
          </w:rPr>
        </w:r>
        <w:r w:rsidR="007F2617">
          <w:rPr>
            <w:webHidden/>
          </w:rPr>
          <w:fldChar w:fldCharType="separate"/>
        </w:r>
        <w:r w:rsidR="00301AD4">
          <w:rPr>
            <w:webHidden/>
          </w:rPr>
          <w:t>99</w:t>
        </w:r>
        <w:r w:rsidR="007F2617">
          <w:rPr>
            <w:webHidden/>
          </w:rPr>
          <w:fldChar w:fldCharType="end"/>
        </w:r>
      </w:hyperlink>
    </w:p>
    <w:p w14:paraId="2825BFD5" w14:textId="77777777" w:rsidR="007F2617" w:rsidRDefault="000E3509" w:rsidP="007F2617">
      <w:pPr>
        <w:pStyle w:val="TOC1"/>
        <w:rPr>
          <w:rFonts w:asciiTheme="minorHAnsi" w:eastAsiaTheme="minorEastAsia" w:hAnsiTheme="minorHAnsi" w:cstheme="minorBidi"/>
          <w:sz w:val="22"/>
          <w:szCs w:val="22"/>
        </w:rPr>
      </w:pPr>
      <w:hyperlink w:anchor="_Toc6472668" w:history="1">
        <w:r w:rsidR="007F2617" w:rsidRPr="003F35AD">
          <w:rPr>
            <w:rStyle w:val="Hyperlink"/>
            <w:rFonts w:eastAsia="Times New Roman"/>
          </w:rPr>
          <w:t>5.4.</w:t>
        </w:r>
        <w:r w:rsidR="007F2617">
          <w:rPr>
            <w:rFonts w:asciiTheme="minorHAnsi" w:eastAsiaTheme="minorEastAsia" w:hAnsiTheme="minorHAnsi" w:cstheme="minorBidi"/>
            <w:sz w:val="22"/>
            <w:szCs w:val="22"/>
          </w:rPr>
          <w:tab/>
        </w:r>
        <w:r w:rsidR="007F2617" w:rsidRPr="003F35AD">
          <w:rPr>
            <w:rStyle w:val="Hyperlink"/>
            <w:rFonts w:eastAsia="Times New Roman"/>
          </w:rPr>
          <w:t>Approaches in the study</w:t>
        </w:r>
        <w:r w:rsidR="007F2617">
          <w:rPr>
            <w:webHidden/>
          </w:rPr>
          <w:tab/>
        </w:r>
        <w:r w:rsidR="007F2617">
          <w:rPr>
            <w:webHidden/>
          </w:rPr>
          <w:fldChar w:fldCharType="begin"/>
        </w:r>
        <w:r w:rsidR="007F2617">
          <w:rPr>
            <w:webHidden/>
          </w:rPr>
          <w:instrText xml:space="preserve"> PAGEREF _Toc6472668 \h </w:instrText>
        </w:r>
        <w:r w:rsidR="007F2617">
          <w:rPr>
            <w:webHidden/>
          </w:rPr>
        </w:r>
        <w:r w:rsidR="007F2617">
          <w:rPr>
            <w:webHidden/>
          </w:rPr>
          <w:fldChar w:fldCharType="separate"/>
        </w:r>
        <w:r w:rsidR="00301AD4">
          <w:rPr>
            <w:webHidden/>
          </w:rPr>
          <w:t>99</w:t>
        </w:r>
        <w:r w:rsidR="007F2617">
          <w:rPr>
            <w:webHidden/>
          </w:rPr>
          <w:fldChar w:fldCharType="end"/>
        </w:r>
      </w:hyperlink>
    </w:p>
    <w:p w14:paraId="4B3D0633" w14:textId="77777777" w:rsidR="007F2617" w:rsidRDefault="000E3509" w:rsidP="007F2617">
      <w:pPr>
        <w:pStyle w:val="TOC1"/>
        <w:rPr>
          <w:rFonts w:asciiTheme="minorHAnsi" w:eastAsiaTheme="minorEastAsia" w:hAnsiTheme="minorHAnsi" w:cstheme="minorBidi"/>
          <w:sz w:val="22"/>
          <w:szCs w:val="22"/>
        </w:rPr>
      </w:pPr>
      <w:hyperlink w:anchor="_Toc6472669" w:history="1">
        <w:r w:rsidR="007F2617" w:rsidRPr="003F35AD">
          <w:rPr>
            <w:rStyle w:val="Hyperlink"/>
            <w:rFonts w:eastAsia="Times New Roman"/>
          </w:rPr>
          <w:t>5.5.</w:t>
        </w:r>
        <w:r w:rsidR="007F2617">
          <w:rPr>
            <w:rFonts w:asciiTheme="minorHAnsi" w:eastAsiaTheme="minorEastAsia" w:hAnsiTheme="minorHAnsi" w:cstheme="minorBidi"/>
            <w:sz w:val="22"/>
            <w:szCs w:val="22"/>
          </w:rPr>
          <w:tab/>
        </w:r>
        <w:r w:rsidR="007F2617" w:rsidRPr="003F35AD">
          <w:rPr>
            <w:rStyle w:val="Hyperlink"/>
            <w:rFonts w:eastAsia="Times New Roman"/>
          </w:rPr>
          <w:t>Methods in the study</w:t>
        </w:r>
        <w:r w:rsidR="007F2617">
          <w:rPr>
            <w:webHidden/>
          </w:rPr>
          <w:tab/>
        </w:r>
        <w:r w:rsidR="007F2617">
          <w:rPr>
            <w:webHidden/>
          </w:rPr>
          <w:fldChar w:fldCharType="begin"/>
        </w:r>
        <w:r w:rsidR="007F2617">
          <w:rPr>
            <w:webHidden/>
          </w:rPr>
          <w:instrText xml:space="preserve"> PAGEREF _Toc6472669 \h </w:instrText>
        </w:r>
        <w:r w:rsidR="007F2617">
          <w:rPr>
            <w:webHidden/>
          </w:rPr>
        </w:r>
        <w:r w:rsidR="007F2617">
          <w:rPr>
            <w:webHidden/>
          </w:rPr>
          <w:fldChar w:fldCharType="separate"/>
        </w:r>
        <w:r w:rsidR="00301AD4">
          <w:rPr>
            <w:webHidden/>
          </w:rPr>
          <w:t>102</w:t>
        </w:r>
        <w:r w:rsidR="007F2617">
          <w:rPr>
            <w:webHidden/>
          </w:rPr>
          <w:fldChar w:fldCharType="end"/>
        </w:r>
      </w:hyperlink>
    </w:p>
    <w:p w14:paraId="7F23B8BA" w14:textId="77777777" w:rsidR="007F2617" w:rsidRDefault="000E3509">
      <w:pPr>
        <w:pStyle w:val="TOC2"/>
        <w:rPr>
          <w:rFonts w:asciiTheme="minorHAnsi" w:eastAsiaTheme="minorEastAsia" w:hAnsiTheme="minorHAnsi" w:cstheme="minorBidi"/>
          <w:bCs w:val="0"/>
          <w:noProof/>
          <w:sz w:val="22"/>
        </w:rPr>
      </w:pPr>
      <w:hyperlink w:anchor="_Toc6472670" w:history="1">
        <w:r w:rsidR="007F2617" w:rsidRPr="003F35AD">
          <w:rPr>
            <w:rStyle w:val="Hyperlink"/>
            <w:noProof/>
          </w:rPr>
          <w:t>5.5.1.</w:t>
        </w:r>
        <w:r w:rsidR="007F2617">
          <w:rPr>
            <w:rFonts w:asciiTheme="minorHAnsi" w:eastAsiaTheme="minorEastAsia" w:hAnsiTheme="minorHAnsi" w:cstheme="minorBidi"/>
            <w:bCs w:val="0"/>
            <w:noProof/>
            <w:sz w:val="22"/>
          </w:rPr>
          <w:tab/>
        </w:r>
        <w:r w:rsidR="007F2617" w:rsidRPr="003F35AD">
          <w:rPr>
            <w:rStyle w:val="Hyperlink"/>
            <w:noProof/>
          </w:rPr>
          <w:t>First questionnaire: Free-adjective questionnaire</w:t>
        </w:r>
        <w:r w:rsidR="007F2617">
          <w:rPr>
            <w:noProof/>
            <w:webHidden/>
          </w:rPr>
          <w:tab/>
        </w:r>
        <w:r w:rsidR="007F2617">
          <w:rPr>
            <w:noProof/>
            <w:webHidden/>
          </w:rPr>
          <w:fldChar w:fldCharType="begin"/>
        </w:r>
        <w:r w:rsidR="007F2617">
          <w:rPr>
            <w:noProof/>
            <w:webHidden/>
          </w:rPr>
          <w:instrText xml:space="preserve"> PAGEREF _Toc6472670 \h </w:instrText>
        </w:r>
        <w:r w:rsidR="007F2617">
          <w:rPr>
            <w:noProof/>
            <w:webHidden/>
          </w:rPr>
        </w:r>
        <w:r w:rsidR="007F2617">
          <w:rPr>
            <w:noProof/>
            <w:webHidden/>
          </w:rPr>
          <w:fldChar w:fldCharType="separate"/>
        </w:r>
        <w:r w:rsidR="00301AD4">
          <w:rPr>
            <w:noProof/>
            <w:webHidden/>
          </w:rPr>
          <w:t>103</w:t>
        </w:r>
        <w:r w:rsidR="007F2617">
          <w:rPr>
            <w:noProof/>
            <w:webHidden/>
          </w:rPr>
          <w:fldChar w:fldCharType="end"/>
        </w:r>
      </w:hyperlink>
    </w:p>
    <w:p w14:paraId="1872AE7C" w14:textId="77777777" w:rsidR="007F2617" w:rsidRDefault="000E3509">
      <w:pPr>
        <w:pStyle w:val="TOC2"/>
        <w:rPr>
          <w:rFonts w:asciiTheme="minorHAnsi" w:eastAsiaTheme="minorEastAsia" w:hAnsiTheme="minorHAnsi" w:cstheme="minorBidi"/>
          <w:bCs w:val="0"/>
          <w:noProof/>
          <w:sz w:val="22"/>
        </w:rPr>
      </w:pPr>
      <w:hyperlink w:anchor="_Toc6472671" w:history="1">
        <w:r w:rsidR="007F2617" w:rsidRPr="003F35AD">
          <w:rPr>
            <w:rStyle w:val="Hyperlink"/>
            <w:noProof/>
          </w:rPr>
          <w:t>5.5.2.</w:t>
        </w:r>
        <w:r w:rsidR="007F2617">
          <w:rPr>
            <w:rFonts w:asciiTheme="minorHAnsi" w:eastAsiaTheme="minorEastAsia" w:hAnsiTheme="minorHAnsi" w:cstheme="minorBidi"/>
            <w:bCs w:val="0"/>
            <w:noProof/>
            <w:sz w:val="22"/>
          </w:rPr>
          <w:tab/>
        </w:r>
        <w:r w:rsidR="007F2617" w:rsidRPr="003F35AD">
          <w:rPr>
            <w:rStyle w:val="Hyperlink"/>
            <w:noProof/>
          </w:rPr>
          <w:t>Final questionnaire</w:t>
        </w:r>
        <w:r w:rsidR="007F2617">
          <w:rPr>
            <w:noProof/>
            <w:webHidden/>
          </w:rPr>
          <w:tab/>
        </w:r>
        <w:r w:rsidR="007F2617">
          <w:rPr>
            <w:noProof/>
            <w:webHidden/>
          </w:rPr>
          <w:fldChar w:fldCharType="begin"/>
        </w:r>
        <w:r w:rsidR="007F2617">
          <w:rPr>
            <w:noProof/>
            <w:webHidden/>
          </w:rPr>
          <w:instrText xml:space="preserve"> PAGEREF _Toc6472671 \h </w:instrText>
        </w:r>
        <w:r w:rsidR="007F2617">
          <w:rPr>
            <w:noProof/>
            <w:webHidden/>
          </w:rPr>
        </w:r>
        <w:r w:rsidR="007F2617">
          <w:rPr>
            <w:noProof/>
            <w:webHidden/>
          </w:rPr>
          <w:fldChar w:fldCharType="separate"/>
        </w:r>
        <w:r w:rsidR="00301AD4">
          <w:rPr>
            <w:noProof/>
            <w:webHidden/>
          </w:rPr>
          <w:t>105</w:t>
        </w:r>
        <w:r w:rsidR="007F2617">
          <w:rPr>
            <w:noProof/>
            <w:webHidden/>
          </w:rPr>
          <w:fldChar w:fldCharType="end"/>
        </w:r>
      </w:hyperlink>
    </w:p>
    <w:p w14:paraId="029C88B8" w14:textId="77777777" w:rsidR="007F2617" w:rsidRDefault="000E3509">
      <w:pPr>
        <w:pStyle w:val="TOC3"/>
        <w:rPr>
          <w:rFonts w:asciiTheme="minorHAnsi" w:eastAsiaTheme="minorEastAsia" w:hAnsiTheme="minorHAnsi" w:cstheme="minorBidi"/>
          <w:noProof/>
          <w:sz w:val="22"/>
        </w:rPr>
      </w:pPr>
      <w:hyperlink w:anchor="_Toc6472672" w:history="1">
        <w:r w:rsidR="007F2617" w:rsidRPr="003F35AD">
          <w:rPr>
            <w:rStyle w:val="Hyperlink"/>
            <w:noProof/>
          </w:rPr>
          <w:t>5.5.2.1.</w:t>
        </w:r>
        <w:r w:rsidR="007F2617">
          <w:rPr>
            <w:rFonts w:asciiTheme="minorHAnsi" w:eastAsiaTheme="minorEastAsia" w:hAnsiTheme="minorHAnsi" w:cstheme="minorBidi"/>
            <w:noProof/>
            <w:sz w:val="22"/>
          </w:rPr>
          <w:tab/>
        </w:r>
        <w:r w:rsidR="007F2617" w:rsidRPr="003F35AD">
          <w:rPr>
            <w:rStyle w:val="Hyperlink"/>
            <w:noProof/>
          </w:rPr>
          <w:t>Section 1: Background questionnaire</w:t>
        </w:r>
        <w:r w:rsidR="007F2617">
          <w:rPr>
            <w:noProof/>
            <w:webHidden/>
          </w:rPr>
          <w:tab/>
        </w:r>
        <w:r w:rsidR="007F2617">
          <w:rPr>
            <w:noProof/>
            <w:webHidden/>
          </w:rPr>
          <w:fldChar w:fldCharType="begin"/>
        </w:r>
        <w:r w:rsidR="007F2617">
          <w:rPr>
            <w:noProof/>
            <w:webHidden/>
          </w:rPr>
          <w:instrText xml:space="preserve"> PAGEREF _Toc6472672 \h </w:instrText>
        </w:r>
        <w:r w:rsidR="007F2617">
          <w:rPr>
            <w:noProof/>
            <w:webHidden/>
          </w:rPr>
        </w:r>
        <w:r w:rsidR="007F2617">
          <w:rPr>
            <w:noProof/>
            <w:webHidden/>
          </w:rPr>
          <w:fldChar w:fldCharType="separate"/>
        </w:r>
        <w:r w:rsidR="00301AD4">
          <w:rPr>
            <w:noProof/>
            <w:webHidden/>
          </w:rPr>
          <w:t>105</w:t>
        </w:r>
        <w:r w:rsidR="007F2617">
          <w:rPr>
            <w:noProof/>
            <w:webHidden/>
          </w:rPr>
          <w:fldChar w:fldCharType="end"/>
        </w:r>
      </w:hyperlink>
    </w:p>
    <w:p w14:paraId="4A359AC3" w14:textId="77777777" w:rsidR="007F2617" w:rsidRDefault="000E3509">
      <w:pPr>
        <w:pStyle w:val="TOC3"/>
        <w:rPr>
          <w:rFonts w:asciiTheme="minorHAnsi" w:eastAsiaTheme="minorEastAsia" w:hAnsiTheme="minorHAnsi" w:cstheme="minorBidi"/>
          <w:noProof/>
          <w:sz w:val="22"/>
        </w:rPr>
      </w:pPr>
      <w:hyperlink w:anchor="_Toc6472673" w:history="1">
        <w:r w:rsidR="007F2617" w:rsidRPr="003F35AD">
          <w:rPr>
            <w:rStyle w:val="Hyperlink"/>
            <w:noProof/>
          </w:rPr>
          <w:t>5.5.2.2.</w:t>
        </w:r>
        <w:r w:rsidR="007F2617">
          <w:rPr>
            <w:rFonts w:asciiTheme="minorHAnsi" w:eastAsiaTheme="minorEastAsia" w:hAnsiTheme="minorHAnsi" w:cstheme="minorBidi"/>
            <w:noProof/>
            <w:sz w:val="22"/>
          </w:rPr>
          <w:tab/>
        </w:r>
        <w:r w:rsidR="007F2617" w:rsidRPr="003F35AD">
          <w:rPr>
            <w:rStyle w:val="Hyperlink"/>
            <w:noProof/>
          </w:rPr>
          <w:t>Section 2: Closed-ended items; multiple choice</w:t>
        </w:r>
        <w:r w:rsidR="007F2617">
          <w:rPr>
            <w:noProof/>
            <w:webHidden/>
          </w:rPr>
          <w:tab/>
        </w:r>
        <w:r w:rsidR="007F2617">
          <w:rPr>
            <w:noProof/>
            <w:webHidden/>
          </w:rPr>
          <w:fldChar w:fldCharType="begin"/>
        </w:r>
        <w:r w:rsidR="007F2617">
          <w:rPr>
            <w:noProof/>
            <w:webHidden/>
          </w:rPr>
          <w:instrText xml:space="preserve"> PAGEREF _Toc6472673 \h </w:instrText>
        </w:r>
        <w:r w:rsidR="007F2617">
          <w:rPr>
            <w:noProof/>
            <w:webHidden/>
          </w:rPr>
        </w:r>
        <w:r w:rsidR="007F2617">
          <w:rPr>
            <w:noProof/>
            <w:webHidden/>
          </w:rPr>
          <w:fldChar w:fldCharType="separate"/>
        </w:r>
        <w:r w:rsidR="00301AD4">
          <w:rPr>
            <w:noProof/>
            <w:webHidden/>
          </w:rPr>
          <w:t>106</w:t>
        </w:r>
        <w:r w:rsidR="007F2617">
          <w:rPr>
            <w:noProof/>
            <w:webHidden/>
          </w:rPr>
          <w:fldChar w:fldCharType="end"/>
        </w:r>
      </w:hyperlink>
    </w:p>
    <w:p w14:paraId="057F1339" w14:textId="77777777" w:rsidR="007F2617" w:rsidRDefault="000E3509">
      <w:pPr>
        <w:pStyle w:val="TOC3"/>
        <w:rPr>
          <w:rFonts w:asciiTheme="minorHAnsi" w:eastAsiaTheme="minorEastAsia" w:hAnsiTheme="minorHAnsi" w:cstheme="minorBidi"/>
          <w:noProof/>
          <w:sz w:val="22"/>
        </w:rPr>
      </w:pPr>
      <w:hyperlink w:anchor="_Toc6472674" w:history="1">
        <w:r w:rsidR="007F2617" w:rsidRPr="003F35AD">
          <w:rPr>
            <w:rStyle w:val="Hyperlink"/>
            <w:noProof/>
          </w:rPr>
          <w:t>5.5.2.3.</w:t>
        </w:r>
        <w:r w:rsidR="007F2617">
          <w:rPr>
            <w:rFonts w:asciiTheme="minorHAnsi" w:eastAsiaTheme="minorEastAsia" w:hAnsiTheme="minorHAnsi" w:cstheme="minorBidi"/>
            <w:noProof/>
            <w:sz w:val="22"/>
          </w:rPr>
          <w:tab/>
        </w:r>
        <w:r w:rsidR="007F2617" w:rsidRPr="003F35AD">
          <w:rPr>
            <w:rStyle w:val="Hyperlink"/>
            <w:noProof/>
          </w:rPr>
          <w:t>Section 3: Rating scale</w:t>
        </w:r>
        <w:r w:rsidR="007F2617">
          <w:rPr>
            <w:noProof/>
            <w:webHidden/>
          </w:rPr>
          <w:tab/>
        </w:r>
        <w:r w:rsidR="007F2617">
          <w:rPr>
            <w:noProof/>
            <w:webHidden/>
          </w:rPr>
          <w:fldChar w:fldCharType="begin"/>
        </w:r>
        <w:r w:rsidR="007F2617">
          <w:rPr>
            <w:noProof/>
            <w:webHidden/>
          </w:rPr>
          <w:instrText xml:space="preserve"> PAGEREF _Toc6472674 \h </w:instrText>
        </w:r>
        <w:r w:rsidR="007F2617">
          <w:rPr>
            <w:noProof/>
            <w:webHidden/>
          </w:rPr>
        </w:r>
        <w:r w:rsidR="007F2617">
          <w:rPr>
            <w:noProof/>
            <w:webHidden/>
          </w:rPr>
          <w:fldChar w:fldCharType="separate"/>
        </w:r>
        <w:r w:rsidR="00301AD4">
          <w:rPr>
            <w:noProof/>
            <w:webHidden/>
          </w:rPr>
          <w:t>106</w:t>
        </w:r>
        <w:r w:rsidR="007F2617">
          <w:rPr>
            <w:noProof/>
            <w:webHidden/>
          </w:rPr>
          <w:fldChar w:fldCharType="end"/>
        </w:r>
      </w:hyperlink>
    </w:p>
    <w:p w14:paraId="771116CB" w14:textId="77777777" w:rsidR="007F2617" w:rsidRDefault="000E3509">
      <w:pPr>
        <w:pStyle w:val="TOC3"/>
        <w:rPr>
          <w:rFonts w:asciiTheme="minorHAnsi" w:eastAsiaTheme="minorEastAsia" w:hAnsiTheme="minorHAnsi" w:cstheme="minorBidi"/>
          <w:noProof/>
          <w:sz w:val="22"/>
        </w:rPr>
      </w:pPr>
      <w:hyperlink w:anchor="_Toc6472675" w:history="1">
        <w:r w:rsidR="007F2617" w:rsidRPr="003F35AD">
          <w:rPr>
            <w:rStyle w:val="Hyperlink"/>
            <w:noProof/>
          </w:rPr>
          <w:t>5.5.2.4.</w:t>
        </w:r>
        <w:r w:rsidR="007F2617">
          <w:rPr>
            <w:rFonts w:asciiTheme="minorHAnsi" w:eastAsiaTheme="minorEastAsia" w:hAnsiTheme="minorHAnsi" w:cstheme="minorBidi"/>
            <w:noProof/>
            <w:sz w:val="22"/>
          </w:rPr>
          <w:tab/>
        </w:r>
        <w:r w:rsidR="007F2617" w:rsidRPr="003F35AD">
          <w:rPr>
            <w:rStyle w:val="Hyperlink"/>
            <w:noProof/>
          </w:rPr>
          <w:t>Section 4: Voice allocation and rating task</w:t>
        </w:r>
        <w:r w:rsidR="007F2617">
          <w:rPr>
            <w:noProof/>
            <w:webHidden/>
          </w:rPr>
          <w:tab/>
        </w:r>
        <w:r w:rsidR="007F2617">
          <w:rPr>
            <w:noProof/>
            <w:webHidden/>
          </w:rPr>
          <w:fldChar w:fldCharType="begin"/>
        </w:r>
        <w:r w:rsidR="007F2617">
          <w:rPr>
            <w:noProof/>
            <w:webHidden/>
          </w:rPr>
          <w:instrText xml:space="preserve"> PAGEREF _Toc6472675 \h </w:instrText>
        </w:r>
        <w:r w:rsidR="007F2617">
          <w:rPr>
            <w:noProof/>
            <w:webHidden/>
          </w:rPr>
        </w:r>
        <w:r w:rsidR="007F2617">
          <w:rPr>
            <w:noProof/>
            <w:webHidden/>
          </w:rPr>
          <w:fldChar w:fldCharType="separate"/>
        </w:r>
        <w:r w:rsidR="00301AD4">
          <w:rPr>
            <w:noProof/>
            <w:webHidden/>
          </w:rPr>
          <w:t>108</w:t>
        </w:r>
        <w:r w:rsidR="007F2617">
          <w:rPr>
            <w:noProof/>
            <w:webHidden/>
          </w:rPr>
          <w:fldChar w:fldCharType="end"/>
        </w:r>
      </w:hyperlink>
    </w:p>
    <w:p w14:paraId="65A46693" w14:textId="77777777" w:rsidR="007F2617" w:rsidRDefault="000E3509">
      <w:pPr>
        <w:pStyle w:val="TOC4"/>
        <w:rPr>
          <w:rFonts w:asciiTheme="minorHAnsi" w:eastAsiaTheme="minorEastAsia" w:hAnsiTheme="minorHAnsi" w:cstheme="minorBidi"/>
          <w:noProof/>
          <w:sz w:val="22"/>
          <w:szCs w:val="22"/>
        </w:rPr>
      </w:pPr>
      <w:hyperlink w:anchor="_Toc6472676" w:history="1">
        <w:r w:rsidR="007F2617" w:rsidRPr="003F35AD">
          <w:rPr>
            <w:rStyle w:val="Hyperlink"/>
            <w:noProof/>
          </w:rPr>
          <w:t>5.5.2.4.1.</w:t>
        </w:r>
        <w:r w:rsidR="007F2617">
          <w:rPr>
            <w:rFonts w:asciiTheme="minorHAnsi" w:eastAsiaTheme="minorEastAsia" w:hAnsiTheme="minorHAnsi" w:cstheme="minorBidi"/>
            <w:noProof/>
            <w:sz w:val="22"/>
            <w:szCs w:val="22"/>
          </w:rPr>
          <w:tab/>
        </w:r>
        <w:r w:rsidR="007F2617" w:rsidRPr="003F35AD">
          <w:rPr>
            <w:rStyle w:val="Hyperlink"/>
            <w:noProof/>
          </w:rPr>
          <w:t>The voice allocation task</w:t>
        </w:r>
        <w:r w:rsidR="007F2617">
          <w:rPr>
            <w:noProof/>
            <w:webHidden/>
          </w:rPr>
          <w:tab/>
        </w:r>
        <w:r w:rsidR="007F2617">
          <w:rPr>
            <w:noProof/>
            <w:webHidden/>
          </w:rPr>
          <w:fldChar w:fldCharType="begin"/>
        </w:r>
        <w:r w:rsidR="007F2617">
          <w:rPr>
            <w:noProof/>
            <w:webHidden/>
          </w:rPr>
          <w:instrText xml:space="preserve"> PAGEREF _Toc6472676 \h </w:instrText>
        </w:r>
        <w:r w:rsidR="007F2617">
          <w:rPr>
            <w:noProof/>
            <w:webHidden/>
          </w:rPr>
        </w:r>
        <w:r w:rsidR="007F2617">
          <w:rPr>
            <w:noProof/>
            <w:webHidden/>
          </w:rPr>
          <w:fldChar w:fldCharType="separate"/>
        </w:r>
        <w:r w:rsidR="00301AD4">
          <w:rPr>
            <w:noProof/>
            <w:webHidden/>
          </w:rPr>
          <w:t>108</w:t>
        </w:r>
        <w:r w:rsidR="007F2617">
          <w:rPr>
            <w:noProof/>
            <w:webHidden/>
          </w:rPr>
          <w:fldChar w:fldCharType="end"/>
        </w:r>
      </w:hyperlink>
    </w:p>
    <w:p w14:paraId="6F0006C4" w14:textId="77777777" w:rsidR="007F2617" w:rsidRDefault="000E3509">
      <w:pPr>
        <w:pStyle w:val="TOC4"/>
        <w:rPr>
          <w:rFonts w:asciiTheme="minorHAnsi" w:eastAsiaTheme="minorEastAsia" w:hAnsiTheme="minorHAnsi" w:cstheme="minorBidi"/>
          <w:noProof/>
          <w:sz w:val="22"/>
          <w:szCs w:val="22"/>
        </w:rPr>
      </w:pPr>
      <w:hyperlink w:anchor="_Toc6472677" w:history="1">
        <w:r w:rsidR="007F2617" w:rsidRPr="003F35AD">
          <w:rPr>
            <w:rStyle w:val="Hyperlink"/>
            <w:noProof/>
          </w:rPr>
          <w:t>5.5.2.4.2.</w:t>
        </w:r>
        <w:r w:rsidR="007F2617">
          <w:rPr>
            <w:rFonts w:asciiTheme="minorHAnsi" w:eastAsiaTheme="minorEastAsia" w:hAnsiTheme="minorHAnsi" w:cstheme="minorBidi"/>
            <w:noProof/>
            <w:sz w:val="22"/>
            <w:szCs w:val="22"/>
          </w:rPr>
          <w:tab/>
        </w:r>
        <w:r w:rsidR="007F2617" w:rsidRPr="003F35AD">
          <w:rPr>
            <w:rStyle w:val="Hyperlink"/>
            <w:noProof/>
          </w:rPr>
          <w:t>The voice rating task</w:t>
        </w:r>
        <w:r w:rsidR="007F2617">
          <w:rPr>
            <w:noProof/>
            <w:webHidden/>
          </w:rPr>
          <w:tab/>
        </w:r>
        <w:r w:rsidR="007F2617">
          <w:rPr>
            <w:noProof/>
            <w:webHidden/>
          </w:rPr>
          <w:fldChar w:fldCharType="begin"/>
        </w:r>
        <w:r w:rsidR="007F2617">
          <w:rPr>
            <w:noProof/>
            <w:webHidden/>
          </w:rPr>
          <w:instrText xml:space="preserve"> PAGEREF _Toc6472677 \h </w:instrText>
        </w:r>
        <w:r w:rsidR="007F2617">
          <w:rPr>
            <w:noProof/>
            <w:webHidden/>
          </w:rPr>
        </w:r>
        <w:r w:rsidR="007F2617">
          <w:rPr>
            <w:noProof/>
            <w:webHidden/>
          </w:rPr>
          <w:fldChar w:fldCharType="separate"/>
        </w:r>
        <w:r w:rsidR="00301AD4">
          <w:rPr>
            <w:noProof/>
            <w:webHidden/>
          </w:rPr>
          <w:t>111</w:t>
        </w:r>
        <w:r w:rsidR="007F2617">
          <w:rPr>
            <w:noProof/>
            <w:webHidden/>
          </w:rPr>
          <w:fldChar w:fldCharType="end"/>
        </w:r>
      </w:hyperlink>
    </w:p>
    <w:p w14:paraId="6F108696" w14:textId="77777777" w:rsidR="007F2617" w:rsidRDefault="000E3509" w:rsidP="007F2617">
      <w:pPr>
        <w:pStyle w:val="TOC1"/>
        <w:rPr>
          <w:rFonts w:asciiTheme="minorHAnsi" w:eastAsiaTheme="minorEastAsia" w:hAnsiTheme="minorHAnsi" w:cstheme="minorBidi"/>
          <w:sz w:val="22"/>
          <w:szCs w:val="22"/>
        </w:rPr>
      </w:pPr>
      <w:hyperlink w:anchor="_Toc6472678" w:history="1">
        <w:r w:rsidR="007F2617" w:rsidRPr="003F35AD">
          <w:rPr>
            <w:rStyle w:val="Hyperlink"/>
            <w:rFonts w:eastAsia="Times New Roman"/>
          </w:rPr>
          <w:t>5.6.</w:t>
        </w:r>
        <w:r w:rsidR="007F2617">
          <w:rPr>
            <w:rFonts w:asciiTheme="minorHAnsi" w:eastAsiaTheme="minorEastAsia" w:hAnsiTheme="minorHAnsi" w:cstheme="minorBidi"/>
            <w:sz w:val="22"/>
            <w:szCs w:val="22"/>
          </w:rPr>
          <w:tab/>
        </w:r>
        <w:r w:rsidR="007F2617" w:rsidRPr="003F35AD">
          <w:rPr>
            <w:rStyle w:val="Hyperlink"/>
            <w:rFonts w:eastAsia="Times New Roman"/>
          </w:rPr>
          <w:t>Ethical considerations</w:t>
        </w:r>
        <w:r w:rsidR="007F2617">
          <w:rPr>
            <w:webHidden/>
          </w:rPr>
          <w:tab/>
        </w:r>
        <w:r w:rsidR="007F2617">
          <w:rPr>
            <w:webHidden/>
          </w:rPr>
          <w:fldChar w:fldCharType="begin"/>
        </w:r>
        <w:r w:rsidR="007F2617">
          <w:rPr>
            <w:webHidden/>
          </w:rPr>
          <w:instrText xml:space="preserve"> PAGEREF _Toc6472678 \h </w:instrText>
        </w:r>
        <w:r w:rsidR="007F2617">
          <w:rPr>
            <w:webHidden/>
          </w:rPr>
        </w:r>
        <w:r w:rsidR="007F2617">
          <w:rPr>
            <w:webHidden/>
          </w:rPr>
          <w:fldChar w:fldCharType="separate"/>
        </w:r>
        <w:r w:rsidR="00301AD4">
          <w:rPr>
            <w:webHidden/>
          </w:rPr>
          <w:t>113</w:t>
        </w:r>
        <w:r w:rsidR="007F2617">
          <w:rPr>
            <w:webHidden/>
          </w:rPr>
          <w:fldChar w:fldCharType="end"/>
        </w:r>
      </w:hyperlink>
    </w:p>
    <w:p w14:paraId="68080C38" w14:textId="77777777" w:rsidR="007F2617" w:rsidRDefault="000E3509" w:rsidP="00017D27">
      <w:pPr>
        <w:pStyle w:val="TOC1"/>
        <w:spacing w:after="240"/>
        <w:rPr>
          <w:rFonts w:asciiTheme="minorHAnsi" w:eastAsiaTheme="minorEastAsia" w:hAnsiTheme="minorHAnsi" w:cstheme="minorBidi"/>
          <w:sz w:val="22"/>
          <w:szCs w:val="22"/>
        </w:rPr>
      </w:pPr>
      <w:hyperlink w:anchor="_Toc6472679" w:history="1">
        <w:r w:rsidR="007F2617" w:rsidRPr="003F35AD">
          <w:rPr>
            <w:rStyle w:val="Hyperlink"/>
            <w:rFonts w:eastAsia="Times New Roman"/>
          </w:rPr>
          <w:t>5.7.</w:t>
        </w:r>
        <w:r w:rsidR="007F2617">
          <w:rPr>
            <w:rFonts w:asciiTheme="minorHAnsi" w:eastAsiaTheme="minorEastAsia" w:hAnsiTheme="minorHAnsi" w:cstheme="minorBidi"/>
            <w:sz w:val="22"/>
            <w:szCs w:val="22"/>
          </w:rPr>
          <w:tab/>
        </w:r>
        <w:r w:rsidR="007F2617" w:rsidRPr="003F35AD">
          <w:rPr>
            <w:rStyle w:val="Hyperlink"/>
          </w:rPr>
          <w:t>Conclusion</w:t>
        </w:r>
        <w:r w:rsidR="007F2617">
          <w:rPr>
            <w:webHidden/>
          </w:rPr>
          <w:tab/>
        </w:r>
        <w:r w:rsidR="007F2617">
          <w:rPr>
            <w:webHidden/>
          </w:rPr>
          <w:fldChar w:fldCharType="begin"/>
        </w:r>
        <w:r w:rsidR="007F2617">
          <w:rPr>
            <w:webHidden/>
          </w:rPr>
          <w:instrText xml:space="preserve"> PAGEREF _Toc6472679 \h </w:instrText>
        </w:r>
        <w:r w:rsidR="007F2617">
          <w:rPr>
            <w:webHidden/>
          </w:rPr>
        </w:r>
        <w:r w:rsidR="007F2617">
          <w:rPr>
            <w:webHidden/>
          </w:rPr>
          <w:fldChar w:fldCharType="separate"/>
        </w:r>
        <w:r w:rsidR="00301AD4">
          <w:rPr>
            <w:webHidden/>
          </w:rPr>
          <w:t>113</w:t>
        </w:r>
        <w:r w:rsidR="007F2617">
          <w:rPr>
            <w:webHidden/>
          </w:rPr>
          <w:fldChar w:fldCharType="end"/>
        </w:r>
      </w:hyperlink>
    </w:p>
    <w:p w14:paraId="17C9B78F" w14:textId="3DD9D887" w:rsidR="007F2617" w:rsidRDefault="000E3509" w:rsidP="007F2617">
      <w:pPr>
        <w:pStyle w:val="TOC1"/>
        <w:rPr>
          <w:rFonts w:asciiTheme="minorHAnsi" w:eastAsiaTheme="minorEastAsia" w:hAnsiTheme="minorHAnsi" w:cstheme="minorBidi"/>
          <w:sz w:val="22"/>
          <w:szCs w:val="22"/>
        </w:rPr>
      </w:pPr>
      <w:hyperlink w:anchor="_Toc6472680" w:history="1">
        <w:r w:rsidR="007F2617" w:rsidRPr="00017D27">
          <w:rPr>
            <w:rStyle w:val="Hyperlink"/>
            <w:b/>
            <w:bCs w:val="0"/>
          </w:rPr>
          <w:t xml:space="preserve">Chapter 6: Social background variables, administration of </w:t>
        </w:r>
        <w:r w:rsidR="00F0603B">
          <w:rPr>
            <w:rStyle w:val="Hyperlink"/>
            <w:b/>
            <w:bCs w:val="0"/>
          </w:rPr>
          <w:t xml:space="preserve">   </w:t>
        </w:r>
        <w:r w:rsidR="00F0603B">
          <w:rPr>
            <w:rStyle w:val="Hyperlink"/>
            <w:b/>
            <w:bCs w:val="0"/>
          </w:rPr>
          <w:br/>
          <w:t xml:space="preserve">       </w:t>
        </w:r>
        <w:r w:rsidR="007F2617" w:rsidRPr="00017D27">
          <w:rPr>
            <w:rStyle w:val="Hyperlink"/>
            <w:b/>
            <w:bCs w:val="0"/>
          </w:rPr>
          <w:t>questionnaire and sampling techniques</w:t>
        </w:r>
        <w:r w:rsidR="007F2617">
          <w:rPr>
            <w:webHidden/>
          </w:rPr>
          <w:tab/>
        </w:r>
        <w:r w:rsidR="007F2617">
          <w:rPr>
            <w:webHidden/>
          </w:rPr>
          <w:fldChar w:fldCharType="begin"/>
        </w:r>
        <w:r w:rsidR="007F2617">
          <w:rPr>
            <w:webHidden/>
          </w:rPr>
          <w:instrText xml:space="preserve"> PAGEREF _Toc6472680 \h </w:instrText>
        </w:r>
        <w:r w:rsidR="007F2617">
          <w:rPr>
            <w:webHidden/>
          </w:rPr>
        </w:r>
        <w:r w:rsidR="007F2617">
          <w:rPr>
            <w:webHidden/>
          </w:rPr>
          <w:fldChar w:fldCharType="separate"/>
        </w:r>
        <w:r w:rsidR="00301AD4">
          <w:rPr>
            <w:webHidden/>
          </w:rPr>
          <w:t>114</w:t>
        </w:r>
        <w:r w:rsidR="007F2617">
          <w:rPr>
            <w:webHidden/>
          </w:rPr>
          <w:fldChar w:fldCharType="end"/>
        </w:r>
      </w:hyperlink>
    </w:p>
    <w:p w14:paraId="30939C0D" w14:textId="77777777" w:rsidR="007F2617" w:rsidRDefault="000E3509" w:rsidP="007F2617">
      <w:pPr>
        <w:pStyle w:val="TOC1"/>
        <w:rPr>
          <w:rFonts w:asciiTheme="minorHAnsi" w:eastAsiaTheme="minorEastAsia" w:hAnsiTheme="minorHAnsi" w:cstheme="minorBidi"/>
          <w:sz w:val="22"/>
          <w:szCs w:val="22"/>
        </w:rPr>
      </w:pPr>
      <w:hyperlink w:anchor="_Toc6472681" w:history="1">
        <w:r w:rsidR="007F2617" w:rsidRPr="003F35AD">
          <w:rPr>
            <w:rStyle w:val="Hyperlink"/>
            <w:rFonts w:eastAsia="Times New Roman"/>
          </w:rPr>
          <w:t>6.1.</w:t>
        </w:r>
        <w:r w:rsidR="007F2617">
          <w:rPr>
            <w:rFonts w:asciiTheme="minorHAnsi" w:eastAsiaTheme="minorEastAsia" w:hAnsiTheme="minorHAnsi" w:cstheme="minorBidi"/>
            <w:sz w:val="22"/>
            <w:szCs w:val="22"/>
          </w:rPr>
          <w:tab/>
        </w:r>
        <w:r w:rsidR="007F2617" w:rsidRPr="003F35AD">
          <w:rPr>
            <w:rStyle w:val="Hyperlink"/>
            <w:rFonts w:eastAsia="Times New Roman"/>
          </w:rPr>
          <w:t>Introduction</w:t>
        </w:r>
        <w:r w:rsidR="007F2617">
          <w:rPr>
            <w:webHidden/>
          </w:rPr>
          <w:tab/>
        </w:r>
        <w:r w:rsidR="007F2617">
          <w:rPr>
            <w:webHidden/>
          </w:rPr>
          <w:fldChar w:fldCharType="begin"/>
        </w:r>
        <w:r w:rsidR="007F2617">
          <w:rPr>
            <w:webHidden/>
          </w:rPr>
          <w:instrText xml:space="preserve"> PAGEREF _Toc6472681 \h </w:instrText>
        </w:r>
        <w:r w:rsidR="007F2617">
          <w:rPr>
            <w:webHidden/>
          </w:rPr>
        </w:r>
        <w:r w:rsidR="007F2617">
          <w:rPr>
            <w:webHidden/>
          </w:rPr>
          <w:fldChar w:fldCharType="separate"/>
        </w:r>
        <w:r w:rsidR="00301AD4">
          <w:rPr>
            <w:webHidden/>
          </w:rPr>
          <w:t>114</w:t>
        </w:r>
        <w:r w:rsidR="007F2617">
          <w:rPr>
            <w:webHidden/>
          </w:rPr>
          <w:fldChar w:fldCharType="end"/>
        </w:r>
      </w:hyperlink>
    </w:p>
    <w:p w14:paraId="29D673EB" w14:textId="77777777" w:rsidR="007F2617" w:rsidRDefault="000E3509" w:rsidP="007F2617">
      <w:pPr>
        <w:pStyle w:val="TOC1"/>
        <w:rPr>
          <w:rFonts w:asciiTheme="minorHAnsi" w:eastAsiaTheme="minorEastAsia" w:hAnsiTheme="minorHAnsi" w:cstheme="minorBidi"/>
          <w:sz w:val="22"/>
          <w:szCs w:val="22"/>
        </w:rPr>
      </w:pPr>
      <w:hyperlink w:anchor="_Toc6472682" w:history="1">
        <w:r w:rsidR="007F2617" w:rsidRPr="003F35AD">
          <w:rPr>
            <w:rStyle w:val="Hyperlink"/>
            <w:rFonts w:eastAsia="Times New Roman"/>
          </w:rPr>
          <w:t>6.2.</w:t>
        </w:r>
        <w:r w:rsidR="007F2617">
          <w:rPr>
            <w:rFonts w:asciiTheme="minorHAnsi" w:eastAsiaTheme="minorEastAsia" w:hAnsiTheme="minorHAnsi" w:cstheme="minorBidi"/>
            <w:sz w:val="22"/>
            <w:szCs w:val="22"/>
          </w:rPr>
          <w:tab/>
        </w:r>
        <w:r w:rsidR="007F2617" w:rsidRPr="003F35AD">
          <w:rPr>
            <w:rStyle w:val="Hyperlink"/>
            <w:rFonts w:eastAsia="Times New Roman"/>
          </w:rPr>
          <w:t>Frequency distribution of gender</w:t>
        </w:r>
        <w:r w:rsidR="007F2617">
          <w:rPr>
            <w:webHidden/>
          </w:rPr>
          <w:tab/>
        </w:r>
        <w:r w:rsidR="007F2617">
          <w:rPr>
            <w:webHidden/>
          </w:rPr>
          <w:fldChar w:fldCharType="begin"/>
        </w:r>
        <w:r w:rsidR="007F2617">
          <w:rPr>
            <w:webHidden/>
          </w:rPr>
          <w:instrText xml:space="preserve"> PAGEREF _Toc6472682 \h </w:instrText>
        </w:r>
        <w:r w:rsidR="007F2617">
          <w:rPr>
            <w:webHidden/>
          </w:rPr>
        </w:r>
        <w:r w:rsidR="007F2617">
          <w:rPr>
            <w:webHidden/>
          </w:rPr>
          <w:fldChar w:fldCharType="separate"/>
        </w:r>
        <w:r w:rsidR="00301AD4">
          <w:rPr>
            <w:webHidden/>
          </w:rPr>
          <w:t>114</w:t>
        </w:r>
        <w:r w:rsidR="007F2617">
          <w:rPr>
            <w:webHidden/>
          </w:rPr>
          <w:fldChar w:fldCharType="end"/>
        </w:r>
      </w:hyperlink>
    </w:p>
    <w:p w14:paraId="2329C601" w14:textId="77777777" w:rsidR="007F2617" w:rsidRDefault="000E3509" w:rsidP="007F2617">
      <w:pPr>
        <w:pStyle w:val="TOC1"/>
        <w:rPr>
          <w:rFonts w:asciiTheme="minorHAnsi" w:eastAsiaTheme="minorEastAsia" w:hAnsiTheme="minorHAnsi" w:cstheme="minorBidi"/>
          <w:sz w:val="22"/>
          <w:szCs w:val="22"/>
        </w:rPr>
      </w:pPr>
      <w:hyperlink w:anchor="_Toc6472683" w:history="1">
        <w:r w:rsidR="007F2617" w:rsidRPr="003F35AD">
          <w:rPr>
            <w:rStyle w:val="Hyperlink"/>
            <w:rFonts w:eastAsia="Times New Roman"/>
          </w:rPr>
          <w:t>6.3.</w:t>
        </w:r>
        <w:r w:rsidR="007F2617">
          <w:rPr>
            <w:rFonts w:asciiTheme="minorHAnsi" w:eastAsiaTheme="minorEastAsia" w:hAnsiTheme="minorHAnsi" w:cstheme="minorBidi"/>
            <w:sz w:val="22"/>
            <w:szCs w:val="22"/>
          </w:rPr>
          <w:tab/>
        </w:r>
        <w:r w:rsidR="007F2617" w:rsidRPr="003F35AD">
          <w:rPr>
            <w:rStyle w:val="Hyperlink"/>
            <w:rFonts w:eastAsia="Times New Roman"/>
          </w:rPr>
          <w:t>Frequency distribution of age</w:t>
        </w:r>
        <w:r w:rsidR="007F2617">
          <w:rPr>
            <w:webHidden/>
          </w:rPr>
          <w:tab/>
        </w:r>
        <w:r w:rsidR="007F2617">
          <w:rPr>
            <w:webHidden/>
          </w:rPr>
          <w:fldChar w:fldCharType="begin"/>
        </w:r>
        <w:r w:rsidR="007F2617">
          <w:rPr>
            <w:webHidden/>
          </w:rPr>
          <w:instrText xml:space="preserve"> PAGEREF _Toc6472683 \h </w:instrText>
        </w:r>
        <w:r w:rsidR="007F2617">
          <w:rPr>
            <w:webHidden/>
          </w:rPr>
        </w:r>
        <w:r w:rsidR="007F2617">
          <w:rPr>
            <w:webHidden/>
          </w:rPr>
          <w:fldChar w:fldCharType="separate"/>
        </w:r>
        <w:r w:rsidR="00301AD4">
          <w:rPr>
            <w:webHidden/>
          </w:rPr>
          <w:t>114</w:t>
        </w:r>
        <w:r w:rsidR="007F2617">
          <w:rPr>
            <w:webHidden/>
          </w:rPr>
          <w:fldChar w:fldCharType="end"/>
        </w:r>
      </w:hyperlink>
    </w:p>
    <w:p w14:paraId="149DE0B8" w14:textId="77777777" w:rsidR="007F2617" w:rsidRDefault="000E3509" w:rsidP="007F2617">
      <w:pPr>
        <w:pStyle w:val="TOC1"/>
        <w:rPr>
          <w:rFonts w:asciiTheme="minorHAnsi" w:eastAsiaTheme="minorEastAsia" w:hAnsiTheme="minorHAnsi" w:cstheme="minorBidi"/>
          <w:sz w:val="22"/>
          <w:szCs w:val="22"/>
        </w:rPr>
      </w:pPr>
      <w:hyperlink w:anchor="_Toc6472684" w:history="1">
        <w:r w:rsidR="007F2617" w:rsidRPr="003F35AD">
          <w:rPr>
            <w:rStyle w:val="Hyperlink"/>
            <w:rFonts w:eastAsia="Times New Roman"/>
          </w:rPr>
          <w:t>6.4.</w:t>
        </w:r>
        <w:r w:rsidR="007F2617">
          <w:rPr>
            <w:rFonts w:asciiTheme="minorHAnsi" w:eastAsiaTheme="minorEastAsia" w:hAnsiTheme="minorHAnsi" w:cstheme="minorBidi"/>
            <w:sz w:val="22"/>
            <w:szCs w:val="22"/>
          </w:rPr>
          <w:tab/>
        </w:r>
        <w:r w:rsidR="007F2617" w:rsidRPr="003F35AD">
          <w:rPr>
            <w:rStyle w:val="Hyperlink"/>
            <w:rFonts w:eastAsia="Times New Roman"/>
          </w:rPr>
          <w:t>Frequency distribution of place of birth</w:t>
        </w:r>
        <w:r w:rsidR="007F2617">
          <w:rPr>
            <w:webHidden/>
          </w:rPr>
          <w:tab/>
        </w:r>
        <w:r w:rsidR="007F2617">
          <w:rPr>
            <w:webHidden/>
          </w:rPr>
          <w:fldChar w:fldCharType="begin"/>
        </w:r>
        <w:r w:rsidR="007F2617">
          <w:rPr>
            <w:webHidden/>
          </w:rPr>
          <w:instrText xml:space="preserve"> PAGEREF _Toc6472684 \h </w:instrText>
        </w:r>
        <w:r w:rsidR="007F2617">
          <w:rPr>
            <w:webHidden/>
          </w:rPr>
        </w:r>
        <w:r w:rsidR="007F2617">
          <w:rPr>
            <w:webHidden/>
          </w:rPr>
          <w:fldChar w:fldCharType="separate"/>
        </w:r>
        <w:r w:rsidR="00301AD4">
          <w:rPr>
            <w:webHidden/>
          </w:rPr>
          <w:t>115</w:t>
        </w:r>
        <w:r w:rsidR="007F2617">
          <w:rPr>
            <w:webHidden/>
          </w:rPr>
          <w:fldChar w:fldCharType="end"/>
        </w:r>
      </w:hyperlink>
    </w:p>
    <w:p w14:paraId="07C2A9D8" w14:textId="469078EF" w:rsidR="007F2617" w:rsidRDefault="000E3509" w:rsidP="007F2617">
      <w:pPr>
        <w:pStyle w:val="TOC1"/>
        <w:rPr>
          <w:rFonts w:asciiTheme="minorHAnsi" w:eastAsiaTheme="minorEastAsia" w:hAnsiTheme="minorHAnsi" w:cstheme="minorBidi"/>
          <w:sz w:val="22"/>
          <w:szCs w:val="22"/>
        </w:rPr>
      </w:pPr>
      <w:hyperlink w:anchor="_Toc6472685" w:history="1">
        <w:r w:rsidR="007F2617" w:rsidRPr="003F35AD">
          <w:rPr>
            <w:rStyle w:val="Hyperlink"/>
            <w:rFonts w:eastAsia="Times New Roman"/>
          </w:rPr>
          <w:t>6.5.</w:t>
        </w:r>
        <w:r w:rsidR="007F2617">
          <w:rPr>
            <w:rFonts w:asciiTheme="minorHAnsi" w:eastAsiaTheme="minorEastAsia" w:hAnsiTheme="minorHAnsi" w:cstheme="minorBidi"/>
            <w:sz w:val="22"/>
            <w:szCs w:val="22"/>
          </w:rPr>
          <w:tab/>
        </w:r>
        <w:r w:rsidR="007F2617" w:rsidRPr="003F35AD">
          <w:rPr>
            <w:rStyle w:val="Hyperlink"/>
            <w:rFonts w:eastAsia="Times New Roman"/>
          </w:rPr>
          <w:t xml:space="preserve">Frequency distribution of participants’ place of residence in </w:t>
        </w:r>
        <w:r w:rsidR="007F2617">
          <w:rPr>
            <w:rStyle w:val="Hyperlink"/>
            <w:rFonts w:eastAsia="Times New Roman"/>
          </w:rPr>
          <w:br/>
        </w:r>
        <w:r w:rsidR="007F2617" w:rsidRPr="003F35AD">
          <w:rPr>
            <w:rStyle w:val="Hyperlink"/>
            <w:rFonts w:eastAsia="Times New Roman"/>
          </w:rPr>
          <w:t>the last ten years</w:t>
        </w:r>
        <w:r w:rsidR="007F2617">
          <w:rPr>
            <w:webHidden/>
          </w:rPr>
          <w:tab/>
        </w:r>
        <w:r w:rsidR="007F2617">
          <w:rPr>
            <w:webHidden/>
          </w:rPr>
          <w:fldChar w:fldCharType="begin"/>
        </w:r>
        <w:r w:rsidR="007F2617">
          <w:rPr>
            <w:webHidden/>
          </w:rPr>
          <w:instrText xml:space="preserve"> PAGEREF _Toc6472685 \h </w:instrText>
        </w:r>
        <w:r w:rsidR="007F2617">
          <w:rPr>
            <w:webHidden/>
          </w:rPr>
        </w:r>
        <w:r w:rsidR="007F2617">
          <w:rPr>
            <w:webHidden/>
          </w:rPr>
          <w:fldChar w:fldCharType="separate"/>
        </w:r>
        <w:r w:rsidR="00301AD4">
          <w:rPr>
            <w:webHidden/>
          </w:rPr>
          <w:t>116</w:t>
        </w:r>
        <w:r w:rsidR="007F2617">
          <w:rPr>
            <w:webHidden/>
          </w:rPr>
          <w:fldChar w:fldCharType="end"/>
        </w:r>
      </w:hyperlink>
    </w:p>
    <w:p w14:paraId="51FA8362" w14:textId="77777777" w:rsidR="007F2617" w:rsidRDefault="000E3509" w:rsidP="007F2617">
      <w:pPr>
        <w:pStyle w:val="TOC1"/>
        <w:rPr>
          <w:rFonts w:asciiTheme="minorHAnsi" w:eastAsiaTheme="minorEastAsia" w:hAnsiTheme="minorHAnsi" w:cstheme="minorBidi"/>
          <w:sz w:val="22"/>
          <w:szCs w:val="22"/>
        </w:rPr>
      </w:pPr>
      <w:hyperlink w:anchor="_Toc6472686" w:history="1">
        <w:r w:rsidR="007F2617" w:rsidRPr="003F35AD">
          <w:rPr>
            <w:rStyle w:val="Hyperlink"/>
            <w:rFonts w:eastAsia="Times New Roman"/>
          </w:rPr>
          <w:t>6.6.</w:t>
        </w:r>
        <w:r w:rsidR="007F2617">
          <w:rPr>
            <w:rFonts w:asciiTheme="minorHAnsi" w:eastAsiaTheme="minorEastAsia" w:hAnsiTheme="minorHAnsi" w:cstheme="minorBidi"/>
            <w:sz w:val="22"/>
            <w:szCs w:val="22"/>
          </w:rPr>
          <w:tab/>
        </w:r>
        <w:r w:rsidR="007F2617" w:rsidRPr="003F35AD">
          <w:rPr>
            <w:rStyle w:val="Hyperlink"/>
            <w:rFonts w:eastAsia="Times New Roman"/>
          </w:rPr>
          <w:t>Frequency distribution of marital status</w:t>
        </w:r>
        <w:r w:rsidR="007F2617">
          <w:rPr>
            <w:webHidden/>
          </w:rPr>
          <w:tab/>
        </w:r>
        <w:r w:rsidR="007F2617">
          <w:rPr>
            <w:webHidden/>
          </w:rPr>
          <w:fldChar w:fldCharType="begin"/>
        </w:r>
        <w:r w:rsidR="007F2617">
          <w:rPr>
            <w:webHidden/>
          </w:rPr>
          <w:instrText xml:space="preserve"> PAGEREF _Toc6472686 \h </w:instrText>
        </w:r>
        <w:r w:rsidR="007F2617">
          <w:rPr>
            <w:webHidden/>
          </w:rPr>
        </w:r>
        <w:r w:rsidR="007F2617">
          <w:rPr>
            <w:webHidden/>
          </w:rPr>
          <w:fldChar w:fldCharType="separate"/>
        </w:r>
        <w:r w:rsidR="00301AD4">
          <w:rPr>
            <w:webHidden/>
          </w:rPr>
          <w:t>116</w:t>
        </w:r>
        <w:r w:rsidR="007F2617">
          <w:rPr>
            <w:webHidden/>
          </w:rPr>
          <w:fldChar w:fldCharType="end"/>
        </w:r>
      </w:hyperlink>
    </w:p>
    <w:p w14:paraId="128F1E1F" w14:textId="77777777" w:rsidR="007F2617" w:rsidRDefault="000E3509" w:rsidP="007F2617">
      <w:pPr>
        <w:pStyle w:val="TOC1"/>
        <w:rPr>
          <w:rFonts w:asciiTheme="minorHAnsi" w:eastAsiaTheme="minorEastAsia" w:hAnsiTheme="minorHAnsi" w:cstheme="minorBidi"/>
          <w:sz w:val="22"/>
          <w:szCs w:val="22"/>
        </w:rPr>
      </w:pPr>
      <w:hyperlink w:anchor="_Toc6472687" w:history="1">
        <w:r w:rsidR="007F2617" w:rsidRPr="003F35AD">
          <w:rPr>
            <w:rStyle w:val="Hyperlink"/>
            <w:rFonts w:eastAsia="Times New Roman"/>
          </w:rPr>
          <w:t>6.7.</w:t>
        </w:r>
        <w:r w:rsidR="007F2617">
          <w:rPr>
            <w:rFonts w:asciiTheme="minorHAnsi" w:eastAsiaTheme="minorEastAsia" w:hAnsiTheme="minorHAnsi" w:cstheme="minorBidi"/>
            <w:sz w:val="22"/>
            <w:szCs w:val="22"/>
          </w:rPr>
          <w:tab/>
        </w:r>
        <w:r w:rsidR="007F2617" w:rsidRPr="003F35AD">
          <w:rPr>
            <w:rStyle w:val="Hyperlink"/>
            <w:rFonts w:eastAsia="Times New Roman"/>
          </w:rPr>
          <w:t>Frequency distribution of education level</w:t>
        </w:r>
        <w:r w:rsidR="007F2617">
          <w:rPr>
            <w:webHidden/>
          </w:rPr>
          <w:tab/>
        </w:r>
        <w:r w:rsidR="007F2617">
          <w:rPr>
            <w:webHidden/>
          </w:rPr>
          <w:fldChar w:fldCharType="begin"/>
        </w:r>
        <w:r w:rsidR="007F2617">
          <w:rPr>
            <w:webHidden/>
          </w:rPr>
          <w:instrText xml:space="preserve"> PAGEREF _Toc6472687 \h </w:instrText>
        </w:r>
        <w:r w:rsidR="007F2617">
          <w:rPr>
            <w:webHidden/>
          </w:rPr>
        </w:r>
        <w:r w:rsidR="007F2617">
          <w:rPr>
            <w:webHidden/>
          </w:rPr>
          <w:fldChar w:fldCharType="separate"/>
        </w:r>
        <w:r w:rsidR="00301AD4">
          <w:rPr>
            <w:webHidden/>
          </w:rPr>
          <w:t>117</w:t>
        </w:r>
        <w:r w:rsidR="007F2617">
          <w:rPr>
            <w:webHidden/>
          </w:rPr>
          <w:fldChar w:fldCharType="end"/>
        </w:r>
      </w:hyperlink>
    </w:p>
    <w:p w14:paraId="178344BC" w14:textId="77777777" w:rsidR="007F2617" w:rsidRDefault="000E3509" w:rsidP="007F2617">
      <w:pPr>
        <w:pStyle w:val="TOC1"/>
        <w:rPr>
          <w:rFonts w:asciiTheme="minorHAnsi" w:eastAsiaTheme="minorEastAsia" w:hAnsiTheme="minorHAnsi" w:cstheme="minorBidi"/>
          <w:sz w:val="22"/>
          <w:szCs w:val="22"/>
        </w:rPr>
      </w:pPr>
      <w:hyperlink w:anchor="_Toc6472688" w:history="1">
        <w:r w:rsidR="007F2617" w:rsidRPr="003F35AD">
          <w:rPr>
            <w:rStyle w:val="Hyperlink"/>
            <w:rFonts w:eastAsia="Times New Roman"/>
          </w:rPr>
          <w:t>6.8.</w:t>
        </w:r>
        <w:r w:rsidR="007F2617">
          <w:rPr>
            <w:rFonts w:asciiTheme="minorHAnsi" w:eastAsiaTheme="minorEastAsia" w:hAnsiTheme="minorHAnsi" w:cstheme="minorBidi"/>
            <w:sz w:val="22"/>
            <w:szCs w:val="22"/>
          </w:rPr>
          <w:tab/>
        </w:r>
        <w:r w:rsidR="007F2617" w:rsidRPr="003F35AD">
          <w:rPr>
            <w:rStyle w:val="Hyperlink"/>
            <w:rFonts w:eastAsia="Times New Roman"/>
          </w:rPr>
          <w:t>Frequency distribution of social group</w:t>
        </w:r>
        <w:r w:rsidR="007F2617">
          <w:rPr>
            <w:webHidden/>
          </w:rPr>
          <w:tab/>
        </w:r>
        <w:r w:rsidR="007F2617">
          <w:rPr>
            <w:webHidden/>
          </w:rPr>
          <w:fldChar w:fldCharType="begin"/>
        </w:r>
        <w:r w:rsidR="007F2617">
          <w:rPr>
            <w:webHidden/>
          </w:rPr>
          <w:instrText xml:space="preserve"> PAGEREF _Toc6472688 \h </w:instrText>
        </w:r>
        <w:r w:rsidR="007F2617">
          <w:rPr>
            <w:webHidden/>
          </w:rPr>
        </w:r>
        <w:r w:rsidR="007F2617">
          <w:rPr>
            <w:webHidden/>
          </w:rPr>
          <w:fldChar w:fldCharType="separate"/>
        </w:r>
        <w:r w:rsidR="00301AD4">
          <w:rPr>
            <w:webHidden/>
          </w:rPr>
          <w:t>117</w:t>
        </w:r>
        <w:r w:rsidR="007F2617">
          <w:rPr>
            <w:webHidden/>
          </w:rPr>
          <w:fldChar w:fldCharType="end"/>
        </w:r>
      </w:hyperlink>
    </w:p>
    <w:p w14:paraId="21F09FFD" w14:textId="77777777" w:rsidR="007F2617" w:rsidRDefault="000E3509" w:rsidP="007F2617">
      <w:pPr>
        <w:pStyle w:val="TOC1"/>
        <w:rPr>
          <w:rFonts w:asciiTheme="minorHAnsi" w:eastAsiaTheme="minorEastAsia" w:hAnsiTheme="minorHAnsi" w:cstheme="minorBidi"/>
          <w:sz w:val="22"/>
          <w:szCs w:val="22"/>
        </w:rPr>
      </w:pPr>
      <w:hyperlink w:anchor="_Toc6472689" w:history="1">
        <w:r w:rsidR="007F2617" w:rsidRPr="003F35AD">
          <w:rPr>
            <w:rStyle w:val="Hyperlink"/>
            <w:rFonts w:eastAsia="Times New Roman"/>
          </w:rPr>
          <w:t>6.9.</w:t>
        </w:r>
        <w:r w:rsidR="007F2617">
          <w:rPr>
            <w:rFonts w:asciiTheme="minorHAnsi" w:eastAsiaTheme="minorEastAsia" w:hAnsiTheme="minorHAnsi" w:cstheme="minorBidi"/>
            <w:sz w:val="22"/>
            <w:szCs w:val="22"/>
          </w:rPr>
          <w:tab/>
        </w:r>
        <w:r w:rsidR="007F2617" w:rsidRPr="003F35AD">
          <w:rPr>
            <w:rStyle w:val="Hyperlink"/>
            <w:rFonts w:eastAsia="Times New Roman"/>
          </w:rPr>
          <w:t>Frequency distribution of mother’s social group</w:t>
        </w:r>
        <w:r w:rsidR="007F2617">
          <w:rPr>
            <w:webHidden/>
          </w:rPr>
          <w:tab/>
        </w:r>
        <w:r w:rsidR="007F2617">
          <w:rPr>
            <w:webHidden/>
          </w:rPr>
          <w:fldChar w:fldCharType="begin"/>
        </w:r>
        <w:r w:rsidR="007F2617">
          <w:rPr>
            <w:webHidden/>
          </w:rPr>
          <w:instrText xml:space="preserve"> PAGEREF _Toc6472689 \h </w:instrText>
        </w:r>
        <w:r w:rsidR="007F2617">
          <w:rPr>
            <w:webHidden/>
          </w:rPr>
        </w:r>
        <w:r w:rsidR="007F2617">
          <w:rPr>
            <w:webHidden/>
          </w:rPr>
          <w:fldChar w:fldCharType="separate"/>
        </w:r>
        <w:r w:rsidR="00301AD4">
          <w:rPr>
            <w:webHidden/>
          </w:rPr>
          <w:t>118</w:t>
        </w:r>
        <w:r w:rsidR="007F2617">
          <w:rPr>
            <w:webHidden/>
          </w:rPr>
          <w:fldChar w:fldCharType="end"/>
        </w:r>
      </w:hyperlink>
    </w:p>
    <w:p w14:paraId="27366F86" w14:textId="77777777" w:rsidR="007F2617" w:rsidRDefault="000E3509" w:rsidP="007F2617">
      <w:pPr>
        <w:pStyle w:val="TOC1"/>
        <w:rPr>
          <w:rFonts w:asciiTheme="minorHAnsi" w:eastAsiaTheme="minorEastAsia" w:hAnsiTheme="minorHAnsi" w:cstheme="minorBidi"/>
          <w:sz w:val="22"/>
          <w:szCs w:val="22"/>
        </w:rPr>
      </w:pPr>
      <w:hyperlink w:anchor="_Toc6472690" w:history="1">
        <w:r w:rsidR="007F2617" w:rsidRPr="003F35AD">
          <w:rPr>
            <w:rStyle w:val="Hyperlink"/>
            <w:rFonts w:eastAsia="Times New Roman"/>
          </w:rPr>
          <w:t>6.10.</w:t>
        </w:r>
        <w:r w:rsidR="007F2617">
          <w:rPr>
            <w:rFonts w:asciiTheme="minorHAnsi" w:eastAsiaTheme="minorEastAsia" w:hAnsiTheme="minorHAnsi" w:cstheme="minorBidi"/>
            <w:sz w:val="22"/>
            <w:szCs w:val="22"/>
          </w:rPr>
          <w:tab/>
        </w:r>
        <w:r w:rsidR="007F2617" w:rsidRPr="003F35AD">
          <w:rPr>
            <w:rStyle w:val="Hyperlink"/>
            <w:rFonts w:eastAsia="Times New Roman"/>
          </w:rPr>
          <w:t>Frequency distribution of spouse’s social group</w:t>
        </w:r>
        <w:r w:rsidR="007F2617">
          <w:rPr>
            <w:webHidden/>
          </w:rPr>
          <w:tab/>
        </w:r>
        <w:r w:rsidR="007F2617">
          <w:rPr>
            <w:webHidden/>
          </w:rPr>
          <w:fldChar w:fldCharType="begin"/>
        </w:r>
        <w:r w:rsidR="007F2617">
          <w:rPr>
            <w:webHidden/>
          </w:rPr>
          <w:instrText xml:space="preserve"> PAGEREF _Toc6472690 \h </w:instrText>
        </w:r>
        <w:r w:rsidR="007F2617">
          <w:rPr>
            <w:webHidden/>
          </w:rPr>
        </w:r>
        <w:r w:rsidR="007F2617">
          <w:rPr>
            <w:webHidden/>
          </w:rPr>
          <w:fldChar w:fldCharType="separate"/>
        </w:r>
        <w:r w:rsidR="00301AD4">
          <w:rPr>
            <w:webHidden/>
          </w:rPr>
          <w:t>118</w:t>
        </w:r>
        <w:r w:rsidR="007F2617">
          <w:rPr>
            <w:webHidden/>
          </w:rPr>
          <w:fldChar w:fldCharType="end"/>
        </w:r>
      </w:hyperlink>
    </w:p>
    <w:p w14:paraId="6E612D83" w14:textId="77777777" w:rsidR="007F2617" w:rsidRDefault="000E3509" w:rsidP="007F2617">
      <w:pPr>
        <w:pStyle w:val="TOC1"/>
        <w:rPr>
          <w:rFonts w:asciiTheme="minorHAnsi" w:eastAsiaTheme="minorEastAsia" w:hAnsiTheme="minorHAnsi" w:cstheme="minorBidi"/>
          <w:sz w:val="22"/>
          <w:szCs w:val="22"/>
        </w:rPr>
      </w:pPr>
      <w:hyperlink w:anchor="_Toc6472691" w:history="1">
        <w:r w:rsidR="007F2617" w:rsidRPr="003F35AD">
          <w:rPr>
            <w:rStyle w:val="Hyperlink"/>
            <w:rFonts w:eastAsia="Times New Roman"/>
          </w:rPr>
          <w:t>6.11.</w:t>
        </w:r>
        <w:r w:rsidR="007F2617">
          <w:rPr>
            <w:rFonts w:asciiTheme="minorHAnsi" w:eastAsiaTheme="minorEastAsia" w:hAnsiTheme="minorHAnsi" w:cstheme="minorBidi"/>
            <w:sz w:val="22"/>
            <w:szCs w:val="22"/>
          </w:rPr>
          <w:tab/>
        </w:r>
        <w:r w:rsidR="007F2617" w:rsidRPr="003F35AD">
          <w:rPr>
            <w:rStyle w:val="Hyperlink"/>
            <w:rFonts w:eastAsia="Times New Roman"/>
          </w:rPr>
          <w:t>The administration of the questionnaire</w:t>
        </w:r>
        <w:r w:rsidR="007F2617">
          <w:rPr>
            <w:webHidden/>
          </w:rPr>
          <w:tab/>
        </w:r>
        <w:r w:rsidR="007F2617">
          <w:rPr>
            <w:webHidden/>
          </w:rPr>
          <w:fldChar w:fldCharType="begin"/>
        </w:r>
        <w:r w:rsidR="007F2617">
          <w:rPr>
            <w:webHidden/>
          </w:rPr>
          <w:instrText xml:space="preserve"> PAGEREF _Toc6472691 \h </w:instrText>
        </w:r>
        <w:r w:rsidR="007F2617">
          <w:rPr>
            <w:webHidden/>
          </w:rPr>
        </w:r>
        <w:r w:rsidR="007F2617">
          <w:rPr>
            <w:webHidden/>
          </w:rPr>
          <w:fldChar w:fldCharType="separate"/>
        </w:r>
        <w:r w:rsidR="00301AD4">
          <w:rPr>
            <w:webHidden/>
          </w:rPr>
          <w:t>119</w:t>
        </w:r>
        <w:r w:rsidR="007F2617">
          <w:rPr>
            <w:webHidden/>
          </w:rPr>
          <w:fldChar w:fldCharType="end"/>
        </w:r>
      </w:hyperlink>
    </w:p>
    <w:p w14:paraId="211BDF85" w14:textId="77777777" w:rsidR="007F2617" w:rsidRDefault="000E3509">
      <w:pPr>
        <w:pStyle w:val="TOC2"/>
        <w:rPr>
          <w:rFonts w:asciiTheme="minorHAnsi" w:eastAsiaTheme="minorEastAsia" w:hAnsiTheme="minorHAnsi" w:cstheme="minorBidi"/>
          <w:bCs w:val="0"/>
          <w:noProof/>
          <w:sz w:val="22"/>
        </w:rPr>
      </w:pPr>
      <w:hyperlink w:anchor="_Toc6472692" w:history="1">
        <w:r w:rsidR="007F2617" w:rsidRPr="003F35AD">
          <w:rPr>
            <w:rStyle w:val="Hyperlink"/>
            <w:noProof/>
          </w:rPr>
          <w:t>6.11.1.</w:t>
        </w:r>
        <w:r w:rsidR="007F2617">
          <w:rPr>
            <w:rFonts w:asciiTheme="minorHAnsi" w:eastAsiaTheme="minorEastAsia" w:hAnsiTheme="minorHAnsi" w:cstheme="minorBidi"/>
            <w:bCs w:val="0"/>
            <w:noProof/>
            <w:sz w:val="22"/>
          </w:rPr>
          <w:tab/>
        </w:r>
        <w:r w:rsidR="007F2617" w:rsidRPr="003F35AD">
          <w:rPr>
            <w:rStyle w:val="Hyperlink"/>
            <w:noProof/>
          </w:rPr>
          <w:t>The group-administered questionnaire</w:t>
        </w:r>
        <w:r w:rsidR="007F2617">
          <w:rPr>
            <w:noProof/>
            <w:webHidden/>
          </w:rPr>
          <w:tab/>
        </w:r>
        <w:r w:rsidR="007F2617">
          <w:rPr>
            <w:noProof/>
            <w:webHidden/>
          </w:rPr>
          <w:fldChar w:fldCharType="begin"/>
        </w:r>
        <w:r w:rsidR="007F2617">
          <w:rPr>
            <w:noProof/>
            <w:webHidden/>
          </w:rPr>
          <w:instrText xml:space="preserve"> PAGEREF _Toc6472692 \h </w:instrText>
        </w:r>
        <w:r w:rsidR="007F2617">
          <w:rPr>
            <w:noProof/>
            <w:webHidden/>
          </w:rPr>
        </w:r>
        <w:r w:rsidR="007F2617">
          <w:rPr>
            <w:noProof/>
            <w:webHidden/>
          </w:rPr>
          <w:fldChar w:fldCharType="separate"/>
        </w:r>
        <w:r w:rsidR="00301AD4">
          <w:rPr>
            <w:noProof/>
            <w:webHidden/>
          </w:rPr>
          <w:t>119</w:t>
        </w:r>
        <w:r w:rsidR="007F2617">
          <w:rPr>
            <w:noProof/>
            <w:webHidden/>
          </w:rPr>
          <w:fldChar w:fldCharType="end"/>
        </w:r>
      </w:hyperlink>
    </w:p>
    <w:p w14:paraId="455ABE91" w14:textId="77777777" w:rsidR="007F2617" w:rsidRDefault="000E3509">
      <w:pPr>
        <w:pStyle w:val="TOC2"/>
        <w:rPr>
          <w:rFonts w:asciiTheme="minorHAnsi" w:eastAsiaTheme="minorEastAsia" w:hAnsiTheme="minorHAnsi" w:cstheme="minorBidi"/>
          <w:bCs w:val="0"/>
          <w:noProof/>
          <w:sz w:val="22"/>
        </w:rPr>
      </w:pPr>
      <w:hyperlink w:anchor="_Toc6472693" w:history="1">
        <w:r w:rsidR="007F2617" w:rsidRPr="003F35AD">
          <w:rPr>
            <w:rStyle w:val="Hyperlink"/>
            <w:noProof/>
          </w:rPr>
          <w:t>6.11.2.</w:t>
        </w:r>
        <w:r w:rsidR="007F2617">
          <w:rPr>
            <w:rFonts w:asciiTheme="minorHAnsi" w:eastAsiaTheme="minorEastAsia" w:hAnsiTheme="minorHAnsi" w:cstheme="minorBidi"/>
            <w:bCs w:val="0"/>
            <w:noProof/>
            <w:sz w:val="22"/>
          </w:rPr>
          <w:tab/>
        </w:r>
        <w:r w:rsidR="007F2617" w:rsidRPr="003F35AD">
          <w:rPr>
            <w:rStyle w:val="Hyperlink"/>
            <w:noProof/>
          </w:rPr>
          <w:t>The online-based questionnaire</w:t>
        </w:r>
        <w:r w:rsidR="007F2617">
          <w:rPr>
            <w:noProof/>
            <w:webHidden/>
          </w:rPr>
          <w:tab/>
        </w:r>
        <w:r w:rsidR="007F2617">
          <w:rPr>
            <w:noProof/>
            <w:webHidden/>
          </w:rPr>
          <w:fldChar w:fldCharType="begin"/>
        </w:r>
        <w:r w:rsidR="007F2617">
          <w:rPr>
            <w:noProof/>
            <w:webHidden/>
          </w:rPr>
          <w:instrText xml:space="preserve"> PAGEREF _Toc6472693 \h </w:instrText>
        </w:r>
        <w:r w:rsidR="007F2617">
          <w:rPr>
            <w:noProof/>
            <w:webHidden/>
          </w:rPr>
        </w:r>
        <w:r w:rsidR="007F2617">
          <w:rPr>
            <w:noProof/>
            <w:webHidden/>
          </w:rPr>
          <w:fldChar w:fldCharType="separate"/>
        </w:r>
        <w:r w:rsidR="00301AD4">
          <w:rPr>
            <w:noProof/>
            <w:webHidden/>
          </w:rPr>
          <w:t>121</w:t>
        </w:r>
        <w:r w:rsidR="007F2617">
          <w:rPr>
            <w:noProof/>
            <w:webHidden/>
          </w:rPr>
          <w:fldChar w:fldCharType="end"/>
        </w:r>
      </w:hyperlink>
    </w:p>
    <w:p w14:paraId="454DA4EE" w14:textId="77777777" w:rsidR="007F2617" w:rsidRDefault="000E3509" w:rsidP="007F2617">
      <w:pPr>
        <w:pStyle w:val="TOC1"/>
        <w:rPr>
          <w:rFonts w:asciiTheme="minorHAnsi" w:eastAsiaTheme="minorEastAsia" w:hAnsiTheme="minorHAnsi" w:cstheme="minorBidi"/>
          <w:sz w:val="22"/>
          <w:szCs w:val="22"/>
        </w:rPr>
      </w:pPr>
      <w:hyperlink w:anchor="_Toc6472694" w:history="1">
        <w:r w:rsidR="007F2617" w:rsidRPr="003F35AD">
          <w:rPr>
            <w:rStyle w:val="Hyperlink"/>
            <w:rFonts w:eastAsia="MS Mincho"/>
          </w:rPr>
          <w:t>6.12.</w:t>
        </w:r>
        <w:r w:rsidR="007F2617">
          <w:rPr>
            <w:rFonts w:asciiTheme="minorHAnsi" w:eastAsiaTheme="minorEastAsia" w:hAnsiTheme="minorHAnsi" w:cstheme="minorBidi"/>
            <w:sz w:val="22"/>
            <w:szCs w:val="22"/>
          </w:rPr>
          <w:tab/>
        </w:r>
        <w:r w:rsidR="007F2617" w:rsidRPr="003F35AD">
          <w:rPr>
            <w:rStyle w:val="Hyperlink"/>
            <w:rFonts w:eastAsia="MS Mincho"/>
          </w:rPr>
          <w:t>Sampling technique for the paper-based and online-based questionnaires</w:t>
        </w:r>
        <w:r w:rsidR="007F2617">
          <w:rPr>
            <w:webHidden/>
          </w:rPr>
          <w:tab/>
        </w:r>
        <w:r w:rsidR="007F2617">
          <w:rPr>
            <w:webHidden/>
          </w:rPr>
          <w:fldChar w:fldCharType="begin"/>
        </w:r>
        <w:r w:rsidR="007F2617">
          <w:rPr>
            <w:webHidden/>
          </w:rPr>
          <w:instrText xml:space="preserve"> PAGEREF _Toc6472694 \h </w:instrText>
        </w:r>
        <w:r w:rsidR="007F2617">
          <w:rPr>
            <w:webHidden/>
          </w:rPr>
        </w:r>
        <w:r w:rsidR="007F2617">
          <w:rPr>
            <w:webHidden/>
          </w:rPr>
          <w:fldChar w:fldCharType="separate"/>
        </w:r>
        <w:r w:rsidR="00301AD4">
          <w:rPr>
            <w:webHidden/>
          </w:rPr>
          <w:t>122</w:t>
        </w:r>
        <w:r w:rsidR="007F2617">
          <w:rPr>
            <w:webHidden/>
          </w:rPr>
          <w:fldChar w:fldCharType="end"/>
        </w:r>
      </w:hyperlink>
    </w:p>
    <w:p w14:paraId="4EBD19A6" w14:textId="77777777" w:rsidR="007F2617" w:rsidRDefault="000E3509" w:rsidP="007F2617">
      <w:pPr>
        <w:pStyle w:val="TOC1"/>
        <w:rPr>
          <w:rFonts w:asciiTheme="minorHAnsi" w:eastAsiaTheme="minorEastAsia" w:hAnsiTheme="minorHAnsi" w:cstheme="minorBidi"/>
          <w:sz w:val="22"/>
          <w:szCs w:val="22"/>
        </w:rPr>
      </w:pPr>
      <w:hyperlink w:anchor="_Toc6472695" w:history="1">
        <w:r w:rsidR="007F2617" w:rsidRPr="003F35AD">
          <w:rPr>
            <w:rStyle w:val="Hyperlink"/>
            <w:rFonts w:eastAsia="Times New Roman"/>
          </w:rPr>
          <w:t>6.13.</w:t>
        </w:r>
        <w:r w:rsidR="007F2617">
          <w:rPr>
            <w:rFonts w:asciiTheme="minorHAnsi" w:eastAsiaTheme="minorEastAsia" w:hAnsiTheme="minorHAnsi" w:cstheme="minorBidi"/>
            <w:sz w:val="22"/>
            <w:szCs w:val="22"/>
          </w:rPr>
          <w:tab/>
        </w:r>
        <w:r w:rsidR="007F2617" w:rsidRPr="003F35AD">
          <w:rPr>
            <w:rStyle w:val="Hyperlink"/>
            <w:rFonts w:eastAsia="Times New Roman"/>
          </w:rPr>
          <w:t>Exclusion processes</w:t>
        </w:r>
        <w:r w:rsidR="007F2617">
          <w:rPr>
            <w:webHidden/>
          </w:rPr>
          <w:tab/>
        </w:r>
        <w:r w:rsidR="007F2617">
          <w:rPr>
            <w:webHidden/>
          </w:rPr>
          <w:fldChar w:fldCharType="begin"/>
        </w:r>
        <w:r w:rsidR="007F2617">
          <w:rPr>
            <w:webHidden/>
          </w:rPr>
          <w:instrText xml:space="preserve"> PAGEREF _Toc6472695 \h </w:instrText>
        </w:r>
        <w:r w:rsidR="007F2617">
          <w:rPr>
            <w:webHidden/>
          </w:rPr>
        </w:r>
        <w:r w:rsidR="007F2617">
          <w:rPr>
            <w:webHidden/>
          </w:rPr>
          <w:fldChar w:fldCharType="separate"/>
        </w:r>
        <w:r w:rsidR="00301AD4">
          <w:rPr>
            <w:webHidden/>
          </w:rPr>
          <w:t>123</w:t>
        </w:r>
        <w:r w:rsidR="007F2617">
          <w:rPr>
            <w:webHidden/>
          </w:rPr>
          <w:fldChar w:fldCharType="end"/>
        </w:r>
      </w:hyperlink>
    </w:p>
    <w:p w14:paraId="478DD151" w14:textId="77777777" w:rsidR="007F2617" w:rsidRDefault="000E3509" w:rsidP="00017D27">
      <w:pPr>
        <w:pStyle w:val="TOC1"/>
        <w:spacing w:after="240"/>
        <w:rPr>
          <w:rFonts w:asciiTheme="minorHAnsi" w:eastAsiaTheme="minorEastAsia" w:hAnsiTheme="minorHAnsi" w:cstheme="minorBidi"/>
          <w:sz w:val="22"/>
          <w:szCs w:val="22"/>
        </w:rPr>
      </w:pPr>
      <w:hyperlink w:anchor="_Toc6472696" w:history="1">
        <w:r w:rsidR="007F2617" w:rsidRPr="003F35AD">
          <w:rPr>
            <w:rStyle w:val="Hyperlink"/>
            <w:rFonts w:eastAsia="Times New Roman"/>
          </w:rPr>
          <w:t>6.14.</w:t>
        </w:r>
        <w:r w:rsidR="007F2617">
          <w:rPr>
            <w:rFonts w:asciiTheme="minorHAnsi" w:eastAsiaTheme="minorEastAsia" w:hAnsiTheme="minorHAnsi" w:cstheme="minorBidi"/>
            <w:sz w:val="22"/>
            <w:szCs w:val="22"/>
          </w:rPr>
          <w:tab/>
        </w:r>
        <w:r w:rsidR="007F2617" w:rsidRPr="003F35AD">
          <w:rPr>
            <w:rStyle w:val="Hyperlink"/>
            <w:rFonts w:eastAsia="Times New Roman"/>
          </w:rPr>
          <w:t>Conclusion</w:t>
        </w:r>
        <w:r w:rsidR="007F2617">
          <w:rPr>
            <w:webHidden/>
          </w:rPr>
          <w:tab/>
        </w:r>
        <w:r w:rsidR="007F2617">
          <w:rPr>
            <w:webHidden/>
          </w:rPr>
          <w:fldChar w:fldCharType="begin"/>
        </w:r>
        <w:r w:rsidR="007F2617">
          <w:rPr>
            <w:webHidden/>
          </w:rPr>
          <w:instrText xml:space="preserve"> PAGEREF _Toc6472696 \h </w:instrText>
        </w:r>
        <w:r w:rsidR="007F2617">
          <w:rPr>
            <w:webHidden/>
          </w:rPr>
        </w:r>
        <w:r w:rsidR="007F2617">
          <w:rPr>
            <w:webHidden/>
          </w:rPr>
          <w:fldChar w:fldCharType="separate"/>
        </w:r>
        <w:r w:rsidR="00301AD4">
          <w:rPr>
            <w:webHidden/>
          </w:rPr>
          <w:t>123</w:t>
        </w:r>
        <w:r w:rsidR="007F2617">
          <w:rPr>
            <w:webHidden/>
          </w:rPr>
          <w:fldChar w:fldCharType="end"/>
        </w:r>
      </w:hyperlink>
    </w:p>
    <w:p w14:paraId="26A3EC5D" w14:textId="77777777" w:rsidR="007F2617" w:rsidRDefault="000E3509" w:rsidP="007F2617">
      <w:pPr>
        <w:pStyle w:val="TOC1"/>
        <w:rPr>
          <w:rFonts w:asciiTheme="minorHAnsi" w:eastAsiaTheme="minorEastAsia" w:hAnsiTheme="minorHAnsi" w:cstheme="minorBidi"/>
          <w:sz w:val="22"/>
          <w:szCs w:val="22"/>
        </w:rPr>
      </w:pPr>
      <w:hyperlink w:anchor="_Toc6472697" w:history="1">
        <w:r w:rsidR="007F2617" w:rsidRPr="00017D27">
          <w:rPr>
            <w:rStyle w:val="Hyperlink"/>
            <w:rFonts w:eastAsia="Times New Roman"/>
            <w:b/>
            <w:bCs w:val="0"/>
          </w:rPr>
          <w:t>Chapter 7: Results chapter for RQ1</w:t>
        </w:r>
        <w:r w:rsidR="007F2617">
          <w:rPr>
            <w:webHidden/>
          </w:rPr>
          <w:tab/>
        </w:r>
        <w:r w:rsidR="007F2617">
          <w:rPr>
            <w:webHidden/>
          </w:rPr>
          <w:fldChar w:fldCharType="begin"/>
        </w:r>
        <w:r w:rsidR="007F2617">
          <w:rPr>
            <w:webHidden/>
          </w:rPr>
          <w:instrText xml:space="preserve"> PAGEREF _Toc6472697 \h </w:instrText>
        </w:r>
        <w:r w:rsidR="007F2617">
          <w:rPr>
            <w:webHidden/>
          </w:rPr>
        </w:r>
        <w:r w:rsidR="007F2617">
          <w:rPr>
            <w:webHidden/>
          </w:rPr>
          <w:fldChar w:fldCharType="separate"/>
        </w:r>
        <w:r w:rsidR="00301AD4">
          <w:rPr>
            <w:webHidden/>
          </w:rPr>
          <w:t>125</w:t>
        </w:r>
        <w:r w:rsidR="007F2617">
          <w:rPr>
            <w:webHidden/>
          </w:rPr>
          <w:fldChar w:fldCharType="end"/>
        </w:r>
      </w:hyperlink>
    </w:p>
    <w:p w14:paraId="79AF80C0" w14:textId="77777777" w:rsidR="007F2617" w:rsidRDefault="000E3509" w:rsidP="007F2617">
      <w:pPr>
        <w:pStyle w:val="TOC1"/>
        <w:rPr>
          <w:rFonts w:asciiTheme="minorHAnsi" w:eastAsiaTheme="minorEastAsia" w:hAnsiTheme="minorHAnsi" w:cstheme="minorBidi"/>
          <w:sz w:val="22"/>
          <w:szCs w:val="22"/>
        </w:rPr>
      </w:pPr>
      <w:hyperlink w:anchor="_Toc6472698" w:history="1">
        <w:r w:rsidR="007F2617" w:rsidRPr="003F35AD">
          <w:rPr>
            <w:rStyle w:val="Hyperlink"/>
          </w:rPr>
          <w:t>7.1.</w:t>
        </w:r>
        <w:r w:rsidR="007F2617">
          <w:rPr>
            <w:rFonts w:asciiTheme="minorHAnsi" w:eastAsiaTheme="minorEastAsia" w:hAnsiTheme="minorHAnsi" w:cstheme="minorBidi"/>
            <w:sz w:val="22"/>
            <w:szCs w:val="22"/>
          </w:rPr>
          <w:tab/>
        </w:r>
        <w:r w:rsidR="007F2617" w:rsidRPr="003F35AD">
          <w:rPr>
            <w:rStyle w:val="Hyperlink"/>
          </w:rPr>
          <w:t>Introduction</w:t>
        </w:r>
        <w:r w:rsidR="007F2617">
          <w:rPr>
            <w:webHidden/>
          </w:rPr>
          <w:tab/>
        </w:r>
        <w:r w:rsidR="007F2617">
          <w:rPr>
            <w:webHidden/>
          </w:rPr>
          <w:fldChar w:fldCharType="begin"/>
        </w:r>
        <w:r w:rsidR="007F2617">
          <w:rPr>
            <w:webHidden/>
          </w:rPr>
          <w:instrText xml:space="preserve"> PAGEREF _Toc6472698 \h </w:instrText>
        </w:r>
        <w:r w:rsidR="007F2617">
          <w:rPr>
            <w:webHidden/>
          </w:rPr>
        </w:r>
        <w:r w:rsidR="007F2617">
          <w:rPr>
            <w:webHidden/>
          </w:rPr>
          <w:fldChar w:fldCharType="separate"/>
        </w:r>
        <w:r w:rsidR="00301AD4">
          <w:rPr>
            <w:webHidden/>
          </w:rPr>
          <w:t>125</w:t>
        </w:r>
        <w:r w:rsidR="007F2617">
          <w:rPr>
            <w:webHidden/>
          </w:rPr>
          <w:fldChar w:fldCharType="end"/>
        </w:r>
      </w:hyperlink>
    </w:p>
    <w:p w14:paraId="5CEB4534" w14:textId="77777777" w:rsidR="007F2617" w:rsidRDefault="000E3509" w:rsidP="007F2617">
      <w:pPr>
        <w:pStyle w:val="TOC1"/>
        <w:rPr>
          <w:rFonts w:asciiTheme="minorHAnsi" w:eastAsiaTheme="minorEastAsia" w:hAnsiTheme="minorHAnsi" w:cstheme="minorBidi"/>
          <w:sz w:val="22"/>
          <w:szCs w:val="22"/>
        </w:rPr>
      </w:pPr>
      <w:hyperlink w:anchor="_Toc6472699" w:history="1">
        <w:r w:rsidR="007F2617" w:rsidRPr="003F35AD">
          <w:rPr>
            <w:rStyle w:val="Hyperlink"/>
            <w:rFonts w:eastAsia="Times New Roman"/>
          </w:rPr>
          <w:t>7.2.</w:t>
        </w:r>
        <w:r w:rsidR="007F2617">
          <w:rPr>
            <w:rFonts w:asciiTheme="minorHAnsi" w:eastAsiaTheme="minorEastAsia" w:hAnsiTheme="minorHAnsi" w:cstheme="minorBidi"/>
            <w:sz w:val="22"/>
            <w:szCs w:val="22"/>
          </w:rPr>
          <w:tab/>
        </w:r>
        <w:r w:rsidR="007F2617" w:rsidRPr="003F35AD">
          <w:rPr>
            <w:rStyle w:val="Hyperlink"/>
            <w:rFonts w:eastAsia="Times New Roman"/>
          </w:rPr>
          <w:t>Q1: What does the Hijazi dialect refer to?</w:t>
        </w:r>
        <w:r w:rsidR="007F2617">
          <w:rPr>
            <w:webHidden/>
          </w:rPr>
          <w:tab/>
        </w:r>
        <w:r w:rsidR="007F2617">
          <w:rPr>
            <w:webHidden/>
          </w:rPr>
          <w:fldChar w:fldCharType="begin"/>
        </w:r>
        <w:r w:rsidR="007F2617">
          <w:rPr>
            <w:webHidden/>
          </w:rPr>
          <w:instrText xml:space="preserve"> PAGEREF _Toc6472699 \h </w:instrText>
        </w:r>
        <w:r w:rsidR="007F2617">
          <w:rPr>
            <w:webHidden/>
          </w:rPr>
        </w:r>
        <w:r w:rsidR="007F2617">
          <w:rPr>
            <w:webHidden/>
          </w:rPr>
          <w:fldChar w:fldCharType="separate"/>
        </w:r>
        <w:r w:rsidR="00301AD4">
          <w:rPr>
            <w:webHidden/>
          </w:rPr>
          <w:t>125</w:t>
        </w:r>
        <w:r w:rsidR="007F2617">
          <w:rPr>
            <w:webHidden/>
          </w:rPr>
          <w:fldChar w:fldCharType="end"/>
        </w:r>
      </w:hyperlink>
    </w:p>
    <w:p w14:paraId="48CAB4AE" w14:textId="77777777" w:rsidR="007F2617" w:rsidRDefault="000E3509">
      <w:pPr>
        <w:pStyle w:val="TOC2"/>
        <w:rPr>
          <w:rFonts w:asciiTheme="minorHAnsi" w:eastAsiaTheme="minorEastAsia" w:hAnsiTheme="minorHAnsi" w:cstheme="minorBidi"/>
          <w:bCs w:val="0"/>
          <w:noProof/>
          <w:sz w:val="22"/>
        </w:rPr>
      </w:pPr>
      <w:hyperlink w:anchor="_Toc6472700" w:history="1">
        <w:r w:rsidR="007F2617" w:rsidRPr="003F35AD">
          <w:rPr>
            <w:rStyle w:val="Hyperlink"/>
            <w:noProof/>
          </w:rPr>
          <w:t>7.2.1.</w:t>
        </w:r>
        <w:r w:rsidR="007F2617">
          <w:rPr>
            <w:rFonts w:asciiTheme="minorHAnsi" w:eastAsiaTheme="minorEastAsia" w:hAnsiTheme="minorHAnsi" w:cstheme="minorBidi"/>
            <w:bCs w:val="0"/>
            <w:noProof/>
            <w:sz w:val="22"/>
          </w:rPr>
          <w:tab/>
        </w:r>
        <w:r w:rsidR="007F2617" w:rsidRPr="003F35AD">
          <w:rPr>
            <w:rStyle w:val="Hyperlink"/>
            <w:noProof/>
          </w:rPr>
          <w:t>Effects of demographic variables on the data</w:t>
        </w:r>
        <w:r w:rsidR="007F2617">
          <w:rPr>
            <w:noProof/>
            <w:webHidden/>
          </w:rPr>
          <w:tab/>
        </w:r>
        <w:r w:rsidR="007F2617">
          <w:rPr>
            <w:noProof/>
            <w:webHidden/>
          </w:rPr>
          <w:fldChar w:fldCharType="begin"/>
        </w:r>
        <w:r w:rsidR="007F2617">
          <w:rPr>
            <w:noProof/>
            <w:webHidden/>
          </w:rPr>
          <w:instrText xml:space="preserve"> PAGEREF _Toc6472700 \h </w:instrText>
        </w:r>
        <w:r w:rsidR="007F2617">
          <w:rPr>
            <w:noProof/>
            <w:webHidden/>
          </w:rPr>
        </w:r>
        <w:r w:rsidR="007F2617">
          <w:rPr>
            <w:noProof/>
            <w:webHidden/>
          </w:rPr>
          <w:fldChar w:fldCharType="separate"/>
        </w:r>
        <w:r w:rsidR="00301AD4">
          <w:rPr>
            <w:noProof/>
            <w:webHidden/>
          </w:rPr>
          <w:t>126</w:t>
        </w:r>
        <w:r w:rsidR="007F2617">
          <w:rPr>
            <w:noProof/>
            <w:webHidden/>
          </w:rPr>
          <w:fldChar w:fldCharType="end"/>
        </w:r>
      </w:hyperlink>
    </w:p>
    <w:p w14:paraId="23825A6B" w14:textId="77777777" w:rsidR="007F2617" w:rsidRDefault="000E3509" w:rsidP="007F2617">
      <w:pPr>
        <w:pStyle w:val="TOC1"/>
        <w:rPr>
          <w:rFonts w:asciiTheme="minorHAnsi" w:eastAsiaTheme="minorEastAsia" w:hAnsiTheme="minorHAnsi" w:cstheme="minorBidi"/>
          <w:sz w:val="22"/>
          <w:szCs w:val="22"/>
        </w:rPr>
      </w:pPr>
      <w:hyperlink w:anchor="_Toc6472701" w:history="1">
        <w:r w:rsidR="007F2617" w:rsidRPr="003F35AD">
          <w:rPr>
            <w:rStyle w:val="Hyperlink"/>
            <w:rFonts w:eastAsia="Times New Roman"/>
          </w:rPr>
          <w:t>7.3.</w:t>
        </w:r>
        <w:r w:rsidR="007F2617">
          <w:rPr>
            <w:rFonts w:asciiTheme="minorHAnsi" w:eastAsiaTheme="minorEastAsia" w:hAnsiTheme="minorHAnsi" w:cstheme="minorBidi"/>
            <w:sz w:val="22"/>
            <w:szCs w:val="22"/>
          </w:rPr>
          <w:tab/>
        </w:r>
        <w:r w:rsidR="007F2617" w:rsidRPr="003F35AD">
          <w:rPr>
            <w:rStyle w:val="Hyperlink"/>
            <w:rFonts w:eastAsia="Times New Roman"/>
          </w:rPr>
          <w:t>Q2: What is the dominant dialect in Hijaz?</w:t>
        </w:r>
        <w:r w:rsidR="007F2617">
          <w:rPr>
            <w:webHidden/>
          </w:rPr>
          <w:tab/>
        </w:r>
        <w:r w:rsidR="007F2617">
          <w:rPr>
            <w:webHidden/>
          </w:rPr>
          <w:fldChar w:fldCharType="begin"/>
        </w:r>
        <w:r w:rsidR="007F2617">
          <w:rPr>
            <w:webHidden/>
          </w:rPr>
          <w:instrText xml:space="preserve"> PAGEREF _Toc6472701 \h </w:instrText>
        </w:r>
        <w:r w:rsidR="007F2617">
          <w:rPr>
            <w:webHidden/>
          </w:rPr>
        </w:r>
        <w:r w:rsidR="007F2617">
          <w:rPr>
            <w:webHidden/>
          </w:rPr>
          <w:fldChar w:fldCharType="separate"/>
        </w:r>
        <w:r w:rsidR="00301AD4">
          <w:rPr>
            <w:webHidden/>
          </w:rPr>
          <w:t>128</w:t>
        </w:r>
        <w:r w:rsidR="007F2617">
          <w:rPr>
            <w:webHidden/>
          </w:rPr>
          <w:fldChar w:fldCharType="end"/>
        </w:r>
      </w:hyperlink>
    </w:p>
    <w:p w14:paraId="5AD3813A" w14:textId="77777777" w:rsidR="007F2617" w:rsidRDefault="000E3509">
      <w:pPr>
        <w:pStyle w:val="TOC2"/>
        <w:rPr>
          <w:rFonts w:asciiTheme="minorHAnsi" w:eastAsiaTheme="minorEastAsia" w:hAnsiTheme="minorHAnsi" w:cstheme="minorBidi"/>
          <w:bCs w:val="0"/>
          <w:noProof/>
          <w:sz w:val="22"/>
        </w:rPr>
      </w:pPr>
      <w:hyperlink w:anchor="_Toc6472702" w:history="1">
        <w:r w:rsidR="007F2617" w:rsidRPr="003F35AD">
          <w:rPr>
            <w:rStyle w:val="Hyperlink"/>
            <w:noProof/>
          </w:rPr>
          <w:t>7.3.1.</w:t>
        </w:r>
        <w:r w:rsidR="007F2617">
          <w:rPr>
            <w:rFonts w:asciiTheme="minorHAnsi" w:eastAsiaTheme="minorEastAsia" w:hAnsiTheme="minorHAnsi" w:cstheme="minorBidi"/>
            <w:bCs w:val="0"/>
            <w:noProof/>
            <w:sz w:val="22"/>
          </w:rPr>
          <w:tab/>
        </w:r>
        <w:r w:rsidR="007F2617" w:rsidRPr="003F35AD">
          <w:rPr>
            <w:rStyle w:val="Hyperlink"/>
            <w:noProof/>
          </w:rPr>
          <w:t>Effects of demographic variables on the data</w:t>
        </w:r>
        <w:r w:rsidR="007F2617">
          <w:rPr>
            <w:noProof/>
            <w:webHidden/>
          </w:rPr>
          <w:tab/>
        </w:r>
        <w:r w:rsidR="007F2617">
          <w:rPr>
            <w:noProof/>
            <w:webHidden/>
          </w:rPr>
          <w:fldChar w:fldCharType="begin"/>
        </w:r>
        <w:r w:rsidR="007F2617">
          <w:rPr>
            <w:noProof/>
            <w:webHidden/>
          </w:rPr>
          <w:instrText xml:space="preserve"> PAGEREF _Toc6472702 \h </w:instrText>
        </w:r>
        <w:r w:rsidR="007F2617">
          <w:rPr>
            <w:noProof/>
            <w:webHidden/>
          </w:rPr>
        </w:r>
        <w:r w:rsidR="007F2617">
          <w:rPr>
            <w:noProof/>
            <w:webHidden/>
          </w:rPr>
          <w:fldChar w:fldCharType="separate"/>
        </w:r>
        <w:r w:rsidR="00301AD4">
          <w:rPr>
            <w:noProof/>
            <w:webHidden/>
          </w:rPr>
          <w:t>128</w:t>
        </w:r>
        <w:r w:rsidR="007F2617">
          <w:rPr>
            <w:noProof/>
            <w:webHidden/>
          </w:rPr>
          <w:fldChar w:fldCharType="end"/>
        </w:r>
      </w:hyperlink>
    </w:p>
    <w:p w14:paraId="7F117D69" w14:textId="77777777" w:rsidR="007F2617" w:rsidRDefault="000E3509">
      <w:pPr>
        <w:pStyle w:val="TOC3"/>
        <w:rPr>
          <w:rFonts w:asciiTheme="minorHAnsi" w:eastAsiaTheme="minorEastAsia" w:hAnsiTheme="minorHAnsi" w:cstheme="minorBidi"/>
          <w:noProof/>
          <w:sz w:val="22"/>
        </w:rPr>
      </w:pPr>
      <w:hyperlink w:anchor="_Toc6472703" w:history="1">
        <w:r w:rsidR="007F2617" w:rsidRPr="003F35AD">
          <w:rPr>
            <w:rStyle w:val="Hyperlink"/>
            <w:noProof/>
          </w:rPr>
          <w:t>7.3.1.1.</w:t>
        </w:r>
        <w:r w:rsidR="007F2617">
          <w:rPr>
            <w:rFonts w:asciiTheme="minorHAnsi" w:eastAsiaTheme="minorEastAsia" w:hAnsiTheme="minorHAnsi" w:cstheme="minorBidi"/>
            <w:noProof/>
            <w:sz w:val="22"/>
          </w:rPr>
          <w:tab/>
        </w:r>
        <w:r w:rsidR="007F2617" w:rsidRPr="003F35AD">
          <w:rPr>
            <w:rStyle w:val="Hyperlink"/>
            <w:noProof/>
          </w:rPr>
          <w:t>Gender demographic variable</w:t>
        </w:r>
        <w:r w:rsidR="007F2617">
          <w:rPr>
            <w:noProof/>
            <w:webHidden/>
          </w:rPr>
          <w:tab/>
        </w:r>
        <w:r w:rsidR="007F2617">
          <w:rPr>
            <w:noProof/>
            <w:webHidden/>
          </w:rPr>
          <w:fldChar w:fldCharType="begin"/>
        </w:r>
        <w:r w:rsidR="007F2617">
          <w:rPr>
            <w:noProof/>
            <w:webHidden/>
          </w:rPr>
          <w:instrText xml:space="preserve"> PAGEREF _Toc6472703 \h </w:instrText>
        </w:r>
        <w:r w:rsidR="007F2617">
          <w:rPr>
            <w:noProof/>
            <w:webHidden/>
          </w:rPr>
        </w:r>
        <w:r w:rsidR="007F2617">
          <w:rPr>
            <w:noProof/>
            <w:webHidden/>
          </w:rPr>
          <w:fldChar w:fldCharType="separate"/>
        </w:r>
        <w:r w:rsidR="00301AD4">
          <w:rPr>
            <w:noProof/>
            <w:webHidden/>
          </w:rPr>
          <w:t>129</w:t>
        </w:r>
        <w:r w:rsidR="007F2617">
          <w:rPr>
            <w:noProof/>
            <w:webHidden/>
          </w:rPr>
          <w:fldChar w:fldCharType="end"/>
        </w:r>
      </w:hyperlink>
    </w:p>
    <w:p w14:paraId="5D052233" w14:textId="77777777" w:rsidR="007F2617" w:rsidRDefault="000E3509">
      <w:pPr>
        <w:pStyle w:val="TOC3"/>
        <w:rPr>
          <w:rFonts w:asciiTheme="minorHAnsi" w:eastAsiaTheme="minorEastAsia" w:hAnsiTheme="minorHAnsi" w:cstheme="minorBidi"/>
          <w:noProof/>
          <w:sz w:val="22"/>
        </w:rPr>
      </w:pPr>
      <w:hyperlink w:anchor="_Toc6472704" w:history="1">
        <w:r w:rsidR="007F2617" w:rsidRPr="003F35AD">
          <w:rPr>
            <w:rStyle w:val="Hyperlink"/>
            <w:noProof/>
          </w:rPr>
          <w:t>7.3.1.2.</w:t>
        </w:r>
        <w:r w:rsidR="007F2617">
          <w:rPr>
            <w:rFonts w:asciiTheme="minorHAnsi" w:eastAsiaTheme="minorEastAsia" w:hAnsiTheme="minorHAnsi" w:cstheme="minorBidi"/>
            <w:noProof/>
            <w:sz w:val="22"/>
          </w:rPr>
          <w:tab/>
        </w:r>
        <w:r w:rsidR="007F2617" w:rsidRPr="003F35AD">
          <w:rPr>
            <w:rStyle w:val="Hyperlink"/>
            <w:noProof/>
          </w:rPr>
          <w:t>Social group demographic variable</w:t>
        </w:r>
        <w:r w:rsidR="007F2617">
          <w:rPr>
            <w:noProof/>
            <w:webHidden/>
          </w:rPr>
          <w:tab/>
        </w:r>
        <w:r w:rsidR="007F2617">
          <w:rPr>
            <w:noProof/>
            <w:webHidden/>
          </w:rPr>
          <w:fldChar w:fldCharType="begin"/>
        </w:r>
        <w:r w:rsidR="007F2617">
          <w:rPr>
            <w:noProof/>
            <w:webHidden/>
          </w:rPr>
          <w:instrText xml:space="preserve"> PAGEREF _Toc6472704 \h </w:instrText>
        </w:r>
        <w:r w:rsidR="007F2617">
          <w:rPr>
            <w:noProof/>
            <w:webHidden/>
          </w:rPr>
        </w:r>
        <w:r w:rsidR="007F2617">
          <w:rPr>
            <w:noProof/>
            <w:webHidden/>
          </w:rPr>
          <w:fldChar w:fldCharType="separate"/>
        </w:r>
        <w:r w:rsidR="00301AD4">
          <w:rPr>
            <w:noProof/>
            <w:webHidden/>
          </w:rPr>
          <w:t>130</w:t>
        </w:r>
        <w:r w:rsidR="007F2617">
          <w:rPr>
            <w:noProof/>
            <w:webHidden/>
          </w:rPr>
          <w:fldChar w:fldCharType="end"/>
        </w:r>
      </w:hyperlink>
    </w:p>
    <w:p w14:paraId="28FDDE83" w14:textId="77777777" w:rsidR="007F2617" w:rsidRDefault="000E3509">
      <w:pPr>
        <w:pStyle w:val="TOC3"/>
        <w:rPr>
          <w:rFonts w:asciiTheme="minorHAnsi" w:eastAsiaTheme="minorEastAsia" w:hAnsiTheme="minorHAnsi" w:cstheme="minorBidi"/>
          <w:noProof/>
          <w:sz w:val="22"/>
        </w:rPr>
      </w:pPr>
      <w:hyperlink w:anchor="_Toc6472705" w:history="1">
        <w:r w:rsidR="007F2617" w:rsidRPr="003F35AD">
          <w:rPr>
            <w:rStyle w:val="Hyperlink"/>
            <w:noProof/>
          </w:rPr>
          <w:t>7.3.1.3.</w:t>
        </w:r>
        <w:r w:rsidR="007F2617">
          <w:rPr>
            <w:rFonts w:asciiTheme="minorHAnsi" w:eastAsiaTheme="minorEastAsia" w:hAnsiTheme="minorHAnsi" w:cstheme="minorBidi"/>
            <w:noProof/>
            <w:sz w:val="22"/>
          </w:rPr>
          <w:tab/>
        </w:r>
        <w:r w:rsidR="007F2617" w:rsidRPr="003F35AD">
          <w:rPr>
            <w:rStyle w:val="Hyperlink"/>
            <w:noProof/>
          </w:rPr>
          <w:t>Mother’s social group demographic variable</w:t>
        </w:r>
        <w:r w:rsidR="007F2617">
          <w:rPr>
            <w:noProof/>
            <w:webHidden/>
          </w:rPr>
          <w:tab/>
        </w:r>
        <w:r w:rsidR="007F2617">
          <w:rPr>
            <w:noProof/>
            <w:webHidden/>
          </w:rPr>
          <w:fldChar w:fldCharType="begin"/>
        </w:r>
        <w:r w:rsidR="007F2617">
          <w:rPr>
            <w:noProof/>
            <w:webHidden/>
          </w:rPr>
          <w:instrText xml:space="preserve"> PAGEREF _Toc6472705 \h </w:instrText>
        </w:r>
        <w:r w:rsidR="007F2617">
          <w:rPr>
            <w:noProof/>
            <w:webHidden/>
          </w:rPr>
        </w:r>
        <w:r w:rsidR="007F2617">
          <w:rPr>
            <w:noProof/>
            <w:webHidden/>
          </w:rPr>
          <w:fldChar w:fldCharType="separate"/>
        </w:r>
        <w:r w:rsidR="00301AD4">
          <w:rPr>
            <w:noProof/>
            <w:webHidden/>
          </w:rPr>
          <w:t>131</w:t>
        </w:r>
        <w:r w:rsidR="007F2617">
          <w:rPr>
            <w:noProof/>
            <w:webHidden/>
          </w:rPr>
          <w:fldChar w:fldCharType="end"/>
        </w:r>
      </w:hyperlink>
    </w:p>
    <w:p w14:paraId="2E4E1538" w14:textId="77777777" w:rsidR="007F2617" w:rsidRDefault="000E3509">
      <w:pPr>
        <w:pStyle w:val="TOC3"/>
        <w:rPr>
          <w:rFonts w:asciiTheme="minorHAnsi" w:eastAsiaTheme="minorEastAsia" w:hAnsiTheme="minorHAnsi" w:cstheme="minorBidi"/>
          <w:noProof/>
          <w:sz w:val="22"/>
        </w:rPr>
      </w:pPr>
      <w:hyperlink w:anchor="_Toc6472706" w:history="1">
        <w:r w:rsidR="007F2617" w:rsidRPr="003F35AD">
          <w:rPr>
            <w:rStyle w:val="Hyperlink"/>
            <w:noProof/>
          </w:rPr>
          <w:t>7.3.1.4.</w:t>
        </w:r>
        <w:r w:rsidR="007F2617">
          <w:rPr>
            <w:rFonts w:asciiTheme="minorHAnsi" w:eastAsiaTheme="minorEastAsia" w:hAnsiTheme="minorHAnsi" w:cstheme="minorBidi"/>
            <w:noProof/>
            <w:sz w:val="22"/>
          </w:rPr>
          <w:tab/>
        </w:r>
        <w:r w:rsidR="007F2617" w:rsidRPr="003F35AD">
          <w:rPr>
            <w:rStyle w:val="Hyperlink"/>
            <w:noProof/>
          </w:rPr>
          <w:t>Spouse’s social group</w:t>
        </w:r>
        <w:r w:rsidR="007F2617">
          <w:rPr>
            <w:noProof/>
            <w:webHidden/>
          </w:rPr>
          <w:tab/>
        </w:r>
        <w:r w:rsidR="007F2617">
          <w:rPr>
            <w:noProof/>
            <w:webHidden/>
          </w:rPr>
          <w:fldChar w:fldCharType="begin"/>
        </w:r>
        <w:r w:rsidR="007F2617">
          <w:rPr>
            <w:noProof/>
            <w:webHidden/>
          </w:rPr>
          <w:instrText xml:space="preserve"> PAGEREF _Toc6472706 \h </w:instrText>
        </w:r>
        <w:r w:rsidR="007F2617">
          <w:rPr>
            <w:noProof/>
            <w:webHidden/>
          </w:rPr>
        </w:r>
        <w:r w:rsidR="007F2617">
          <w:rPr>
            <w:noProof/>
            <w:webHidden/>
          </w:rPr>
          <w:fldChar w:fldCharType="separate"/>
        </w:r>
        <w:r w:rsidR="00301AD4">
          <w:rPr>
            <w:noProof/>
            <w:webHidden/>
          </w:rPr>
          <w:t>133</w:t>
        </w:r>
        <w:r w:rsidR="007F2617">
          <w:rPr>
            <w:noProof/>
            <w:webHidden/>
          </w:rPr>
          <w:fldChar w:fldCharType="end"/>
        </w:r>
      </w:hyperlink>
    </w:p>
    <w:p w14:paraId="0490BFB8" w14:textId="77777777" w:rsidR="007F2617" w:rsidRDefault="000E3509" w:rsidP="007F2617">
      <w:pPr>
        <w:pStyle w:val="TOC1"/>
        <w:rPr>
          <w:rFonts w:asciiTheme="minorHAnsi" w:eastAsiaTheme="minorEastAsia" w:hAnsiTheme="minorHAnsi" w:cstheme="minorBidi"/>
          <w:sz w:val="22"/>
          <w:szCs w:val="22"/>
        </w:rPr>
      </w:pPr>
      <w:hyperlink w:anchor="_Toc6472707" w:history="1">
        <w:r w:rsidR="007F2617" w:rsidRPr="003F35AD">
          <w:rPr>
            <w:rStyle w:val="Hyperlink"/>
            <w:rFonts w:eastAsia="Times New Roman"/>
          </w:rPr>
          <w:t>7.4.</w:t>
        </w:r>
        <w:r w:rsidR="007F2617">
          <w:rPr>
            <w:rFonts w:asciiTheme="minorHAnsi" w:eastAsiaTheme="minorEastAsia" w:hAnsiTheme="minorHAnsi" w:cstheme="minorBidi"/>
            <w:sz w:val="22"/>
            <w:szCs w:val="22"/>
          </w:rPr>
          <w:tab/>
        </w:r>
        <w:r w:rsidR="007F2617" w:rsidRPr="003F35AD">
          <w:rPr>
            <w:rStyle w:val="Hyperlink"/>
            <w:rFonts w:eastAsia="Times New Roman"/>
          </w:rPr>
          <w:t>Q3: What is the degree of difference between the two dialects?</w:t>
        </w:r>
        <w:r w:rsidR="007F2617">
          <w:rPr>
            <w:webHidden/>
          </w:rPr>
          <w:tab/>
        </w:r>
        <w:r w:rsidR="007F2617">
          <w:rPr>
            <w:webHidden/>
          </w:rPr>
          <w:fldChar w:fldCharType="begin"/>
        </w:r>
        <w:r w:rsidR="007F2617">
          <w:rPr>
            <w:webHidden/>
          </w:rPr>
          <w:instrText xml:space="preserve"> PAGEREF _Toc6472707 \h </w:instrText>
        </w:r>
        <w:r w:rsidR="007F2617">
          <w:rPr>
            <w:webHidden/>
          </w:rPr>
        </w:r>
        <w:r w:rsidR="007F2617">
          <w:rPr>
            <w:webHidden/>
          </w:rPr>
          <w:fldChar w:fldCharType="separate"/>
        </w:r>
        <w:r w:rsidR="00301AD4">
          <w:rPr>
            <w:webHidden/>
          </w:rPr>
          <w:t>134</w:t>
        </w:r>
        <w:r w:rsidR="007F2617">
          <w:rPr>
            <w:webHidden/>
          </w:rPr>
          <w:fldChar w:fldCharType="end"/>
        </w:r>
      </w:hyperlink>
    </w:p>
    <w:p w14:paraId="40179610" w14:textId="77777777" w:rsidR="007F2617" w:rsidRDefault="000E3509" w:rsidP="007F2617">
      <w:pPr>
        <w:pStyle w:val="TOC1"/>
        <w:rPr>
          <w:rFonts w:asciiTheme="minorHAnsi" w:eastAsiaTheme="minorEastAsia" w:hAnsiTheme="minorHAnsi" w:cstheme="minorBidi"/>
          <w:sz w:val="22"/>
          <w:szCs w:val="22"/>
        </w:rPr>
      </w:pPr>
      <w:hyperlink w:anchor="_Toc6472708" w:history="1">
        <w:r w:rsidR="007F2617" w:rsidRPr="003F35AD">
          <w:rPr>
            <w:rStyle w:val="Hyperlink"/>
            <w:rFonts w:eastAsia="Times New Roman"/>
          </w:rPr>
          <w:t>7.5.</w:t>
        </w:r>
        <w:r w:rsidR="007F2617">
          <w:rPr>
            <w:rFonts w:asciiTheme="minorHAnsi" w:eastAsiaTheme="minorEastAsia" w:hAnsiTheme="minorHAnsi" w:cstheme="minorBidi"/>
            <w:sz w:val="22"/>
            <w:szCs w:val="22"/>
          </w:rPr>
          <w:tab/>
        </w:r>
        <w:r w:rsidR="007F2617" w:rsidRPr="003F35AD">
          <w:rPr>
            <w:rStyle w:val="Hyperlink"/>
            <w:rFonts w:eastAsia="Times New Roman"/>
          </w:rPr>
          <w:t>Q4: What distinguishes the HH dialect from the UBH dialect?</w:t>
        </w:r>
        <w:r w:rsidR="007F2617">
          <w:rPr>
            <w:webHidden/>
          </w:rPr>
          <w:tab/>
        </w:r>
        <w:r w:rsidR="007F2617">
          <w:rPr>
            <w:webHidden/>
          </w:rPr>
          <w:fldChar w:fldCharType="begin"/>
        </w:r>
        <w:r w:rsidR="007F2617">
          <w:rPr>
            <w:webHidden/>
          </w:rPr>
          <w:instrText xml:space="preserve"> PAGEREF _Toc6472708 \h </w:instrText>
        </w:r>
        <w:r w:rsidR="007F2617">
          <w:rPr>
            <w:webHidden/>
          </w:rPr>
        </w:r>
        <w:r w:rsidR="007F2617">
          <w:rPr>
            <w:webHidden/>
          </w:rPr>
          <w:fldChar w:fldCharType="separate"/>
        </w:r>
        <w:r w:rsidR="00301AD4">
          <w:rPr>
            <w:webHidden/>
          </w:rPr>
          <w:t>135</w:t>
        </w:r>
        <w:r w:rsidR="007F2617">
          <w:rPr>
            <w:webHidden/>
          </w:rPr>
          <w:fldChar w:fldCharType="end"/>
        </w:r>
      </w:hyperlink>
    </w:p>
    <w:p w14:paraId="63E4C1B2" w14:textId="78DAA2ED" w:rsidR="007F2617" w:rsidRDefault="000E3509" w:rsidP="007F2617">
      <w:pPr>
        <w:pStyle w:val="TOC1"/>
        <w:rPr>
          <w:rFonts w:asciiTheme="minorHAnsi" w:eastAsiaTheme="minorEastAsia" w:hAnsiTheme="minorHAnsi" w:cstheme="minorBidi"/>
          <w:sz w:val="22"/>
          <w:szCs w:val="22"/>
        </w:rPr>
      </w:pPr>
      <w:hyperlink w:anchor="_Toc6472709" w:history="1">
        <w:r w:rsidR="007F2617" w:rsidRPr="003F35AD">
          <w:rPr>
            <w:rStyle w:val="Hyperlink"/>
            <w:rFonts w:eastAsia="Times New Roman"/>
          </w:rPr>
          <w:t>7.6.</w:t>
        </w:r>
        <w:r w:rsidR="007F2617">
          <w:rPr>
            <w:rFonts w:asciiTheme="minorHAnsi" w:eastAsiaTheme="minorEastAsia" w:hAnsiTheme="minorHAnsi" w:cstheme="minorBidi"/>
            <w:sz w:val="22"/>
            <w:szCs w:val="22"/>
          </w:rPr>
          <w:tab/>
        </w:r>
        <w:r w:rsidR="007F2617" w:rsidRPr="003F35AD">
          <w:rPr>
            <w:rStyle w:val="Hyperlink"/>
            <w:rFonts w:eastAsia="Times New Roman"/>
          </w:rPr>
          <w:t xml:space="preserve">Q5: What are the Arabic dialects that the HH dialect is </w:t>
        </w:r>
        <w:r w:rsidR="007F2617">
          <w:rPr>
            <w:rStyle w:val="Hyperlink"/>
            <w:rFonts w:eastAsia="Times New Roman"/>
          </w:rPr>
          <w:br/>
        </w:r>
        <w:r w:rsidR="007F2617" w:rsidRPr="003F35AD">
          <w:rPr>
            <w:rStyle w:val="Hyperlink"/>
            <w:rFonts w:eastAsia="Times New Roman"/>
          </w:rPr>
          <w:t>similar to?</w:t>
        </w:r>
        <w:r w:rsidR="007F2617">
          <w:rPr>
            <w:webHidden/>
          </w:rPr>
          <w:tab/>
        </w:r>
        <w:r w:rsidR="007F2617">
          <w:rPr>
            <w:webHidden/>
          </w:rPr>
          <w:fldChar w:fldCharType="begin"/>
        </w:r>
        <w:r w:rsidR="007F2617">
          <w:rPr>
            <w:webHidden/>
          </w:rPr>
          <w:instrText xml:space="preserve"> PAGEREF _Toc6472709 \h </w:instrText>
        </w:r>
        <w:r w:rsidR="007F2617">
          <w:rPr>
            <w:webHidden/>
          </w:rPr>
        </w:r>
        <w:r w:rsidR="007F2617">
          <w:rPr>
            <w:webHidden/>
          </w:rPr>
          <w:fldChar w:fldCharType="separate"/>
        </w:r>
        <w:r w:rsidR="00301AD4">
          <w:rPr>
            <w:webHidden/>
          </w:rPr>
          <w:t>136</w:t>
        </w:r>
        <w:r w:rsidR="007F2617">
          <w:rPr>
            <w:webHidden/>
          </w:rPr>
          <w:fldChar w:fldCharType="end"/>
        </w:r>
      </w:hyperlink>
    </w:p>
    <w:p w14:paraId="59E7BA5B" w14:textId="77777777" w:rsidR="007F2617" w:rsidRDefault="000E3509">
      <w:pPr>
        <w:pStyle w:val="TOC2"/>
        <w:rPr>
          <w:rFonts w:asciiTheme="minorHAnsi" w:eastAsiaTheme="minorEastAsia" w:hAnsiTheme="minorHAnsi" w:cstheme="minorBidi"/>
          <w:bCs w:val="0"/>
          <w:noProof/>
          <w:sz w:val="22"/>
        </w:rPr>
      </w:pPr>
      <w:hyperlink w:anchor="_Toc6472710" w:history="1">
        <w:r w:rsidR="007F2617" w:rsidRPr="003F35AD">
          <w:rPr>
            <w:rStyle w:val="Hyperlink"/>
            <w:noProof/>
          </w:rPr>
          <w:t>7.6.1.</w:t>
        </w:r>
        <w:r w:rsidR="007F2617">
          <w:rPr>
            <w:rFonts w:asciiTheme="minorHAnsi" w:eastAsiaTheme="minorEastAsia" w:hAnsiTheme="minorHAnsi" w:cstheme="minorBidi"/>
            <w:bCs w:val="0"/>
            <w:noProof/>
            <w:sz w:val="22"/>
          </w:rPr>
          <w:tab/>
        </w:r>
        <w:r w:rsidR="007F2617" w:rsidRPr="003F35AD">
          <w:rPr>
            <w:rStyle w:val="Hyperlink"/>
            <w:noProof/>
          </w:rPr>
          <w:t>Effects of demographic variables on the data</w:t>
        </w:r>
        <w:r w:rsidR="007F2617">
          <w:rPr>
            <w:noProof/>
            <w:webHidden/>
          </w:rPr>
          <w:tab/>
        </w:r>
        <w:r w:rsidR="007F2617">
          <w:rPr>
            <w:noProof/>
            <w:webHidden/>
          </w:rPr>
          <w:fldChar w:fldCharType="begin"/>
        </w:r>
        <w:r w:rsidR="007F2617">
          <w:rPr>
            <w:noProof/>
            <w:webHidden/>
          </w:rPr>
          <w:instrText xml:space="preserve"> PAGEREF _Toc6472710 \h </w:instrText>
        </w:r>
        <w:r w:rsidR="007F2617">
          <w:rPr>
            <w:noProof/>
            <w:webHidden/>
          </w:rPr>
        </w:r>
        <w:r w:rsidR="007F2617">
          <w:rPr>
            <w:noProof/>
            <w:webHidden/>
          </w:rPr>
          <w:fldChar w:fldCharType="separate"/>
        </w:r>
        <w:r w:rsidR="00301AD4">
          <w:rPr>
            <w:noProof/>
            <w:webHidden/>
          </w:rPr>
          <w:t>137</w:t>
        </w:r>
        <w:r w:rsidR="007F2617">
          <w:rPr>
            <w:noProof/>
            <w:webHidden/>
          </w:rPr>
          <w:fldChar w:fldCharType="end"/>
        </w:r>
      </w:hyperlink>
    </w:p>
    <w:p w14:paraId="29E51618" w14:textId="77777777" w:rsidR="007F2617" w:rsidRDefault="000E3509">
      <w:pPr>
        <w:pStyle w:val="TOC3"/>
        <w:rPr>
          <w:rFonts w:asciiTheme="minorHAnsi" w:eastAsiaTheme="minorEastAsia" w:hAnsiTheme="minorHAnsi" w:cstheme="minorBidi"/>
          <w:noProof/>
          <w:sz w:val="22"/>
        </w:rPr>
      </w:pPr>
      <w:hyperlink w:anchor="_Toc6472711" w:history="1">
        <w:r w:rsidR="007F2617" w:rsidRPr="003F35AD">
          <w:rPr>
            <w:rStyle w:val="Hyperlink"/>
            <w:noProof/>
          </w:rPr>
          <w:t>7.6.1.1.</w:t>
        </w:r>
        <w:r w:rsidR="007F2617">
          <w:rPr>
            <w:rFonts w:asciiTheme="minorHAnsi" w:eastAsiaTheme="minorEastAsia" w:hAnsiTheme="minorHAnsi" w:cstheme="minorBidi"/>
            <w:noProof/>
            <w:sz w:val="22"/>
          </w:rPr>
          <w:tab/>
        </w:r>
        <w:r w:rsidR="007F2617" w:rsidRPr="003F35AD">
          <w:rPr>
            <w:rStyle w:val="Hyperlink"/>
            <w:noProof/>
          </w:rPr>
          <w:t>Social group demographic variable</w:t>
        </w:r>
        <w:r w:rsidR="007F2617">
          <w:rPr>
            <w:noProof/>
            <w:webHidden/>
          </w:rPr>
          <w:tab/>
        </w:r>
        <w:r w:rsidR="007F2617">
          <w:rPr>
            <w:noProof/>
            <w:webHidden/>
          </w:rPr>
          <w:fldChar w:fldCharType="begin"/>
        </w:r>
        <w:r w:rsidR="007F2617">
          <w:rPr>
            <w:noProof/>
            <w:webHidden/>
          </w:rPr>
          <w:instrText xml:space="preserve"> PAGEREF _Toc6472711 \h </w:instrText>
        </w:r>
        <w:r w:rsidR="007F2617">
          <w:rPr>
            <w:noProof/>
            <w:webHidden/>
          </w:rPr>
        </w:r>
        <w:r w:rsidR="007F2617">
          <w:rPr>
            <w:noProof/>
            <w:webHidden/>
          </w:rPr>
          <w:fldChar w:fldCharType="separate"/>
        </w:r>
        <w:r w:rsidR="00301AD4">
          <w:rPr>
            <w:noProof/>
            <w:webHidden/>
          </w:rPr>
          <w:t>137</w:t>
        </w:r>
        <w:r w:rsidR="007F2617">
          <w:rPr>
            <w:noProof/>
            <w:webHidden/>
          </w:rPr>
          <w:fldChar w:fldCharType="end"/>
        </w:r>
      </w:hyperlink>
    </w:p>
    <w:p w14:paraId="548D52CF" w14:textId="77777777" w:rsidR="007F2617" w:rsidRDefault="000E3509" w:rsidP="007F2617">
      <w:pPr>
        <w:pStyle w:val="TOC1"/>
        <w:rPr>
          <w:rFonts w:asciiTheme="minorHAnsi" w:eastAsiaTheme="minorEastAsia" w:hAnsiTheme="minorHAnsi" w:cstheme="minorBidi"/>
          <w:sz w:val="22"/>
          <w:szCs w:val="22"/>
        </w:rPr>
      </w:pPr>
      <w:hyperlink w:anchor="_Toc6472712" w:history="1">
        <w:r w:rsidR="007F2617" w:rsidRPr="003F35AD">
          <w:rPr>
            <w:rStyle w:val="Hyperlink"/>
            <w:rFonts w:eastAsia="Times New Roman"/>
          </w:rPr>
          <w:t>7.7.</w:t>
        </w:r>
        <w:r w:rsidR="007F2617">
          <w:rPr>
            <w:rFonts w:asciiTheme="minorHAnsi" w:eastAsiaTheme="minorEastAsia" w:hAnsiTheme="minorHAnsi" w:cstheme="minorBidi"/>
            <w:sz w:val="22"/>
            <w:szCs w:val="22"/>
          </w:rPr>
          <w:tab/>
        </w:r>
        <w:r w:rsidR="007F2617" w:rsidRPr="003F35AD">
          <w:rPr>
            <w:rStyle w:val="Hyperlink"/>
            <w:rFonts w:eastAsia="Times New Roman"/>
          </w:rPr>
          <w:t>Q6: To what extent do UBH people speak the HH dialect?</w:t>
        </w:r>
        <w:r w:rsidR="007F2617">
          <w:rPr>
            <w:webHidden/>
          </w:rPr>
          <w:tab/>
        </w:r>
        <w:r w:rsidR="007F2617">
          <w:rPr>
            <w:webHidden/>
          </w:rPr>
          <w:fldChar w:fldCharType="begin"/>
        </w:r>
        <w:r w:rsidR="007F2617">
          <w:rPr>
            <w:webHidden/>
          </w:rPr>
          <w:instrText xml:space="preserve"> PAGEREF _Toc6472712 \h </w:instrText>
        </w:r>
        <w:r w:rsidR="007F2617">
          <w:rPr>
            <w:webHidden/>
          </w:rPr>
        </w:r>
        <w:r w:rsidR="007F2617">
          <w:rPr>
            <w:webHidden/>
          </w:rPr>
          <w:fldChar w:fldCharType="separate"/>
        </w:r>
        <w:r w:rsidR="00301AD4">
          <w:rPr>
            <w:webHidden/>
          </w:rPr>
          <w:t>139</w:t>
        </w:r>
        <w:r w:rsidR="007F2617">
          <w:rPr>
            <w:webHidden/>
          </w:rPr>
          <w:fldChar w:fldCharType="end"/>
        </w:r>
      </w:hyperlink>
    </w:p>
    <w:p w14:paraId="4CAEC2F7" w14:textId="77777777" w:rsidR="007F2617" w:rsidRDefault="000E3509">
      <w:pPr>
        <w:pStyle w:val="TOC2"/>
        <w:rPr>
          <w:rFonts w:asciiTheme="minorHAnsi" w:eastAsiaTheme="minorEastAsia" w:hAnsiTheme="minorHAnsi" w:cstheme="minorBidi"/>
          <w:bCs w:val="0"/>
          <w:noProof/>
          <w:sz w:val="22"/>
        </w:rPr>
      </w:pPr>
      <w:hyperlink w:anchor="_Toc6472713" w:history="1">
        <w:r w:rsidR="007F2617" w:rsidRPr="003F35AD">
          <w:rPr>
            <w:rStyle w:val="Hyperlink"/>
            <w:noProof/>
          </w:rPr>
          <w:t>7.7.1.</w:t>
        </w:r>
        <w:r w:rsidR="007F2617">
          <w:rPr>
            <w:rFonts w:asciiTheme="minorHAnsi" w:eastAsiaTheme="minorEastAsia" w:hAnsiTheme="minorHAnsi" w:cstheme="minorBidi"/>
            <w:bCs w:val="0"/>
            <w:noProof/>
            <w:sz w:val="22"/>
          </w:rPr>
          <w:tab/>
        </w:r>
        <w:r w:rsidR="007F2617" w:rsidRPr="003F35AD">
          <w:rPr>
            <w:rStyle w:val="Hyperlink"/>
            <w:noProof/>
          </w:rPr>
          <w:t>Effects of demographic variables on the data</w:t>
        </w:r>
        <w:r w:rsidR="007F2617">
          <w:rPr>
            <w:noProof/>
            <w:webHidden/>
          </w:rPr>
          <w:tab/>
        </w:r>
        <w:r w:rsidR="007F2617">
          <w:rPr>
            <w:noProof/>
            <w:webHidden/>
          </w:rPr>
          <w:fldChar w:fldCharType="begin"/>
        </w:r>
        <w:r w:rsidR="007F2617">
          <w:rPr>
            <w:noProof/>
            <w:webHidden/>
          </w:rPr>
          <w:instrText xml:space="preserve"> PAGEREF _Toc6472713 \h </w:instrText>
        </w:r>
        <w:r w:rsidR="007F2617">
          <w:rPr>
            <w:noProof/>
            <w:webHidden/>
          </w:rPr>
        </w:r>
        <w:r w:rsidR="007F2617">
          <w:rPr>
            <w:noProof/>
            <w:webHidden/>
          </w:rPr>
          <w:fldChar w:fldCharType="separate"/>
        </w:r>
        <w:r w:rsidR="00301AD4">
          <w:rPr>
            <w:noProof/>
            <w:webHidden/>
          </w:rPr>
          <w:t>140</w:t>
        </w:r>
        <w:r w:rsidR="007F2617">
          <w:rPr>
            <w:noProof/>
            <w:webHidden/>
          </w:rPr>
          <w:fldChar w:fldCharType="end"/>
        </w:r>
      </w:hyperlink>
    </w:p>
    <w:p w14:paraId="677A498E" w14:textId="77777777" w:rsidR="007F2617" w:rsidRDefault="000E3509">
      <w:pPr>
        <w:pStyle w:val="TOC3"/>
        <w:rPr>
          <w:rFonts w:asciiTheme="minorHAnsi" w:eastAsiaTheme="minorEastAsia" w:hAnsiTheme="minorHAnsi" w:cstheme="minorBidi"/>
          <w:noProof/>
          <w:sz w:val="22"/>
        </w:rPr>
      </w:pPr>
      <w:hyperlink w:anchor="_Toc6472714" w:history="1">
        <w:r w:rsidR="007F2617" w:rsidRPr="003F35AD">
          <w:rPr>
            <w:rStyle w:val="Hyperlink"/>
            <w:bCs/>
            <w:noProof/>
          </w:rPr>
          <w:t>7.7.1.1.</w:t>
        </w:r>
        <w:r w:rsidR="007F2617">
          <w:rPr>
            <w:rFonts w:asciiTheme="minorHAnsi" w:eastAsiaTheme="minorEastAsia" w:hAnsiTheme="minorHAnsi" w:cstheme="minorBidi"/>
            <w:noProof/>
            <w:sz w:val="22"/>
          </w:rPr>
          <w:tab/>
        </w:r>
        <w:r w:rsidR="007F2617" w:rsidRPr="003F35AD">
          <w:rPr>
            <w:rStyle w:val="Hyperlink"/>
            <w:noProof/>
          </w:rPr>
          <w:t>Social group demographic variable</w:t>
        </w:r>
        <w:r w:rsidR="007F2617">
          <w:rPr>
            <w:noProof/>
            <w:webHidden/>
          </w:rPr>
          <w:tab/>
        </w:r>
        <w:r w:rsidR="007F2617">
          <w:rPr>
            <w:noProof/>
            <w:webHidden/>
          </w:rPr>
          <w:fldChar w:fldCharType="begin"/>
        </w:r>
        <w:r w:rsidR="007F2617">
          <w:rPr>
            <w:noProof/>
            <w:webHidden/>
          </w:rPr>
          <w:instrText xml:space="preserve"> PAGEREF _Toc6472714 \h </w:instrText>
        </w:r>
        <w:r w:rsidR="007F2617">
          <w:rPr>
            <w:noProof/>
            <w:webHidden/>
          </w:rPr>
        </w:r>
        <w:r w:rsidR="007F2617">
          <w:rPr>
            <w:noProof/>
            <w:webHidden/>
          </w:rPr>
          <w:fldChar w:fldCharType="separate"/>
        </w:r>
        <w:r w:rsidR="00301AD4">
          <w:rPr>
            <w:noProof/>
            <w:webHidden/>
          </w:rPr>
          <w:t>140</w:t>
        </w:r>
        <w:r w:rsidR="007F2617">
          <w:rPr>
            <w:noProof/>
            <w:webHidden/>
          </w:rPr>
          <w:fldChar w:fldCharType="end"/>
        </w:r>
      </w:hyperlink>
    </w:p>
    <w:p w14:paraId="5964C5E5" w14:textId="77777777" w:rsidR="007F2617" w:rsidRDefault="000E3509" w:rsidP="007F2617">
      <w:pPr>
        <w:pStyle w:val="TOC1"/>
        <w:rPr>
          <w:rFonts w:asciiTheme="minorHAnsi" w:eastAsiaTheme="minorEastAsia" w:hAnsiTheme="minorHAnsi" w:cstheme="minorBidi"/>
          <w:sz w:val="22"/>
          <w:szCs w:val="22"/>
        </w:rPr>
      </w:pPr>
      <w:hyperlink w:anchor="_Toc6472715" w:history="1">
        <w:r w:rsidR="007F2617" w:rsidRPr="003F35AD">
          <w:rPr>
            <w:rStyle w:val="Hyperlink"/>
            <w:rFonts w:eastAsia="Times New Roman"/>
          </w:rPr>
          <w:t>7.8.</w:t>
        </w:r>
        <w:r w:rsidR="007F2617">
          <w:rPr>
            <w:rFonts w:asciiTheme="minorHAnsi" w:eastAsiaTheme="minorEastAsia" w:hAnsiTheme="minorHAnsi" w:cstheme="minorBidi"/>
            <w:sz w:val="22"/>
            <w:szCs w:val="22"/>
          </w:rPr>
          <w:tab/>
        </w:r>
        <w:r w:rsidR="007F2617" w:rsidRPr="003F35AD">
          <w:rPr>
            <w:rStyle w:val="Hyperlink"/>
            <w:rFonts w:eastAsia="Times New Roman"/>
          </w:rPr>
          <w:t>Q7: To what extent do HH people speak the UBH dialect?</w:t>
        </w:r>
        <w:r w:rsidR="007F2617">
          <w:rPr>
            <w:webHidden/>
          </w:rPr>
          <w:tab/>
        </w:r>
        <w:r w:rsidR="007F2617">
          <w:rPr>
            <w:webHidden/>
          </w:rPr>
          <w:fldChar w:fldCharType="begin"/>
        </w:r>
        <w:r w:rsidR="007F2617">
          <w:rPr>
            <w:webHidden/>
          </w:rPr>
          <w:instrText xml:space="preserve"> PAGEREF _Toc6472715 \h </w:instrText>
        </w:r>
        <w:r w:rsidR="007F2617">
          <w:rPr>
            <w:webHidden/>
          </w:rPr>
        </w:r>
        <w:r w:rsidR="007F2617">
          <w:rPr>
            <w:webHidden/>
          </w:rPr>
          <w:fldChar w:fldCharType="separate"/>
        </w:r>
        <w:r w:rsidR="00301AD4">
          <w:rPr>
            <w:webHidden/>
          </w:rPr>
          <w:t>141</w:t>
        </w:r>
        <w:r w:rsidR="007F2617">
          <w:rPr>
            <w:webHidden/>
          </w:rPr>
          <w:fldChar w:fldCharType="end"/>
        </w:r>
      </w:hyperlink>
    </w:p>
    <w:p w14:paraId="0A08BEF5" w14:textId="77777777" w:rsidR="007F2617" w:rsidRDefault="000E3509">
      <w:pPr>
        <w:pStyle w:val="TOC2"/>
        <w:rPr>
          <w:rFonts w:asciiTheme="minorHAnsi" w:eastAsiaTheme="minorEastAsia" w:hAnsiTheme="minorHAnsi" w:cstheme="minorBidi"/>
          <w:bCs w:val="0"/>
          <w:noProof/>
          <w:sz w:val="22"/>
        </w:rPr>
      </w:pPr>
      <w:hyperlink w:anchor="_Toc6472716" w:history="1">
        <w:r w:rsidR="007F2617" w:rsidRPr="003F35AD">
          <w:rPr>
            <w:rStyle w:val="Hyperlink"/>
            <w:noProof/>
          </w:rPr>
          <w:t>7.8.1.</w:t>
        </w:r>
        <w:r w:rsidR="007F2617">
          <w:rPr>
            <w:rFonts w:asciiTheme="minorHAnsi" w:eastAsiaTheme="minorEastAsia" w:hAnsiTheme="minorHAnsi" w:cstheme="minorBidi"/>
            <w:bCs w:val="0"/>
            <w:noProof/>
            <w:sz w:val="22"/>
          </w:rPr>
          <w:tab/>
        </w:r>
        <w:r w:rsidR="007F2617" w:rsidRPr="003F35AD">
          <w:rPr>
            <w:rStyle w:val="Hyperlink"/>
            <w:noProof/>
          </w:rPr>
          <w:t>Effects of demographic variables on the data</w:t>
        </w:r>
        <w:r w:rsidR="007F2617">
          <w:rPr>
            <w:noProof/>
            <w:webHidden/>
          </w:rPr>
          <w:tab/>
        </w:r>
        <w:r w:rsidR="007F2617">
          <w:rPr>
            <w:noProof/>
            <w:webHidden/>
          </w:rPr>
          <w:fldChar w:fldCharType="begin"/>
        </w:r>
        <w:r w:rsidR="007F2617">
          <w:rPr>
            <w:noProof/>
            <w:webHidden/>
          </w:rPr>
          <w:instrText xml:space="preserve"> PAGEREF _Toc6472716 \h </w:instrText>
        </w:r>
        <w:r w:rsidR="007F2617">
          <w:rPr>
            <w:noProof/>
            <w:webHidden/>
          </w:rPr>
        </w:r>
        <w:r w:rsidR="007F2617">
          <w:rPr>
            <w:noProof/>
            <w:webHidden/>
          </w:rPr>
          <w:fldChar w:fldCharType="separate"/>
        </w:r>
        <w:r w:rsidR="00301AD4">
          <w:rPr>
            <w:noProof/>
            <w:webHidden/>
          </w:rPr>
          <w:t>142</w:t>
        </w:r>
        <w:r w:rsidR="007F2617">
          <w:rPr>
            <w:noProof/>
            <w:webHidden/>
          </w:rPr>
          <w:fldChar w:fldCharType="end"/>
        </w:r>
      </w:hyperlink>
    </w:p>
    <w:p w14:paraId="0C926B8A" w14:textId="77777777" w:rsidR="007F2617" w:rsidRDefault="000E3509">
      <w:pPr>
        <w:pStyle w:val="TOC3"/>
        <w:rPr>
          <w:rFonts w:asciiTheme="minorHAnsi" w:eastAsiaTheme="minorEastAsia" w:hAnsiTheme="minorHAnsi" w:cstheme="minorBidi"/>
          <w:noProof/>
          <w:sz w:val="22"/>
        </w:rPr>
      </w:pPr>
      <w:hyperlink w:anchor="_Toc6472717" w:history="1">
        <w:r w:rsidR="007F2617" w:rsidRPr="003F35AD">
          <w:rPr>
            <w:rStyle w:val="Hyperlink"/>
            <w:noProof/>
          </w:rPr>
          <w:t>7.8.1.1.</w:t>
        </w:r>
        <w:r w:rsidR="007F2617">
          <w:rPr>
            <w:rFonts w:asciiTheme="minorHAnsi" w:eastAsiaTheme="minorEastAsia" w:hAnsiTheme="minorHAnsi" w:cstheme="minorBidi"/>
            <w:noProof/>
            <w:sz w:val="22"/>
          </w:rPr>
          <w:tab/>
        </w:r>
        <w:r w:rsidR="007F2617" w:rsidRPr="003F35AD">
          <w:rPr>
            <w:rStyle w:val="Hyperlink"/>
            <w:noProof/>
          </w:rPr>
          <w:t>Gender</w:t>
        </w:r>
        <w:r w:rsidR="007F2617">
          <w:rPr>
            <w:noProof/>
            <w:webHidden/>
          </w:rPr>
          <w:tab/>
        </w:r>
        <w:r w:rsidR="007F2617">
          <w:rPr>
            <w:noProof/>
            <w:webHidden/>
          </w:rPr>
          <w:fldChar w:fldCharType="begin"/>
        </w:r>
        <w:r w:rsidR="007F2617">
          <w:rPr>
            <w:noProof/>
            <w:webHidden/>
          </w:rPr>
          <w:instrText xml:space="preserve"> PAGEREF _Toc6472717 \h </w:instrText>
        </w:r>
        <w:r w:rsidR="007F2617">
          <w:rPr>
            <w:noProof/>
            <w:webHidden/>
          </w:rPr>
        </w:r>
        <w:r w:rsidR="007F2617">
          <w:rPr>
            <w:noProof/>
            <w:webHidden/>
          </w:rPr>
          <w:fldChar w:fldCharType="separate"/>
        </w:r>
        <w:r w:rsidR="00301AD4">
          <w:rPr>
            <w:noProof/>
            <w:webHidden/>
          </w:rPr>
          <w:t>142</w:t>
        </w:r>
        <w:r w:rsidR="007F2617">
          <w:rPr>
            <w:noProof/>
            <w:webHidden/>
          </w:rPr>
          <w:fldChar w:fldCharType="end"/>
        </w:r>
      </w:hyperlink>
    </w:p>
    <w:p w14:paraId="683438E4" w14:textId="77777777" w:rsidR="007F2617" w:rsidRDefault="000E3509">
      <w:pPr>
        <w:pStyle w:val="TOC3"/>
        <w:rPr>
          <w:rFonts w:asciiTheme="minorHAnsi" w:eastAsiaTheme="minorEastAsia" w:hAnsiTheme="minorHAnsi" w:cstheme="minorBidi"/>
          <w:noProof/>
          <w:sz w:val="22"/>
        </w:rPr>
      </w:pPr>
      <w:hyperlink w:anchor="_Toc6472718" w:history="1">
        <w:r w:rsidR="007F2617" w:rsidRPr="003F35AD">
          <w:rPr>
            <w:rStyle w:val="Hyperlink"/>
            <w:noProof/>
          </w:rPr>
          <w:t>7.8.1.2.</w:t>
        </w:r>
        <w:r w:rsidR="007F2617">
          <w:rPr>
            <w:rFonts w:asciiTheme="minorHAnsi" w:eastAsiaTheme="minorEastAsia" w:hAnsiTheme="minorHAnsi" w:cstheme="minorBidi"/>
            <w:noProof/>
            <w:sz w:val="22"/>
          </w:rPr>
          <w:tab/>
        </w:r>
        <w:r w:rsidR="007F2617" w:rsidRPr="003F35AD">
          <w:rPr>
            <w:rStyle w:val="Hyperlink"/>
            <w:noProof/>
          </w:rPr>
          <w:t>Social group</w:t>
        </w:r>
        <w:r w:rsidR="007F2617">
          <w:rPr>
            <w:noProof/>
            <w:webHidden/>
          </w:rPr>
          <w:tab/>
        </w:r>
        <w:r w:rsidR="007F2617">
          <w:rPr>
            <w:noProof/>
            <w:webHidden/>
          </w:rPr>
          <w:fldChar w:fldCharType="begin"/>
        </w:r>
        <w:r w:rsidR="007F2617">
          <w:rPr>
            <w:noProof/>
            <w:webHidden/>
          </w:rPr>
          <w:instrText xml:space="preserve"> PAGEREF _Toc6472718 \h </w:instrText>
        </w:r>
        <w:r w:rsidR="007F2617">
          <w:rPr>
            <w:noProof/>
            <w:webHidden/>
          </w:rPr>
        </w:r>
        <w:r w:rsidR="007F2617">
          <w:rPr>
            <w:noProof/>
            <w:webHidden/>
          </w:rPr>
          <w:fldChar w:fldCharType="separate"/>
        </w:r>
        <w:r w:rsidR="00301AD4">
          <w:rPr>
            <w:noProof/>
            <w:webHidden/>
          </w:rPr>
          <w:t>144</w:t>
        </w:r>
        <w:r w:rsidR="007F2617">
          <w:rPr>
            <w:noProof/>
            <w:webHidden/>
          </w:rPr>
          <w:fldChar w:fldCharType="end"/>
        </w:r>
      </w:hyperlink>
    </w:p>
    <w:p w14:paraId="36775FAA" w14:textId="323052B4" w:rsidR="007F2617" w:rsidRDefault="000E3509" w:rsidP="007F2617">
      <w:pPr>
        <w:pStyle w:val="TOC1"/>
        <w:rPr>
          <w:rFonts w:asciiTheme="minorHAnsi" w:eastAsiaTheme="minorEastAsia" w:hAnsiTheme="minorHAnsi" w:cstheme="minorBidi"/>
          <w:sz w:val="22"/>
          <w:szCs w:val="22"/>
        </w:rPr>
      </w:pPr>
      <w:hyperlink w:anchor="_Toc6472719" w:history="1">
        <w:r w:rsidR="007F2617" w:rsidRPr="003F35AD">
          <w:rPr>
            <w:rStyle w:val="Hyperlink"/>
            <w:rFonts w:eastAsia="Times New Roman"/>
          </w:rPr>
          <w:t>7.9.</w:t>
        </w:r>
        <w:r w:rsidR="007F2617">
          <w:rPr>
            <w:rFonts w:asciiTheme="minorHAnsi" w:eastAsiaTheme="minorEastAsia" w:hAnsiTheme="minorHAnsi" w:cstheme="minorBidi"/>
            <w:sz w:val="22"/>
            <w:szCs w:val="22"/>
          </w:rPr>
          <w:tab/>
        </w:r>
        <w:r w:rsidR="007F2617" w:rsidRPr="003F35AD">
          <w:rPr>
            <w:rStyle w:val="Hyperlink"/>
            <w:rFonts w:eastAsia="Times New Roman"/>
          </w:rPr>
          <w:t xml:space="preserve">Q8: When does intermarriage start to happen between the </w:t>
        </w:r>
        <w:r w:rsidR="007F2617">
          <w:rPr>
            <w:rStyle w:val="Hyperlink"/>
            <w:rFonts w:eastAsia="Times New Roman"/>
          </w:rPr>
          <w:br/>
        </w:r>
        <w:r w:rsidR="007F2617" w:rsidRPr="003F35AD">
          <w:rPr>
            <w:rStyle w:val="Hyperlink"/>
            <w:rFonts w:eastAsia="Times New Roman"/>
          </w:rPr>
          <w:t>two social groups?</w:t>
        </w:r>
        <w:r w:rsidR="007F2617">
          <w:rPr>
            <w:webHidden/>
          </w:rPr>
          <w:tab/>
        </w:r>
        <w:r w:rsidR="007F2617">
          <w:rPr>
            <w:webHidden/>
          </w:rPr>
          <w:fldChar w:fldCharType="begin"/>
        </w:r>
        <w:r w:rsidR="007F2617">
          <w:rPr>
            <w:webHidden/>
          </w:rPr>
          <w:instrText xml:space="preserve"> PAGEREF _Toc6472719 \h </w:instrText>
        </w:r>
        <w:r w:rsidR="007F2617">
          <w:rPr>
            <w:webHidden/>
          </w:rPr>
        </w:r>
        <w:r w:rsidR="007F2617">
          <w:rPr>
            <w:webHidden/>
          </w:rPr>
          <w:fldChar w:fldCharType="separate"/>
        </w:r>
        <w:r w:rsidR="00301AD4">
          <w:rPr>
            <w:webHidden/>
          </w:rPr>
          <w:t>145</w:t>
        </w:r>
        <w:r w:rsidR="007F2617">
          <w:rPr>
            <w:webHidden/>
          </w:rPr>
          <w:fldChar w:fldCharType="end"/>
        </w:r>
      </w:hyperlink>
    </w:p>
    <w:p w14:paraId="1C9DD89F" w14:textId="77777777" w:rsidR="007F2617" w:rsidRDefault="000E3509" w:rsidP="007F2617">
      <w:pPr>
        <w:pStyle w:val="TOC1"/>
        <w:rPr>
          <w:rFonts w:asciiTheme="minorHAnsi" w:eastAsiaTheme="minorEastAsia" w:hAnsiTheme="minorHAnsi" w:cstheme="minorBidi"/>
          <w:sz w:val="22"/>
          <w:szCs w:val="22"/>
        </w:rPr>
      </w:pPr>
      <w:hyperlink w:anchor="_Toc6472720" w:history="1">
        <w:r w:rsidR="007F2617" w:rsidRPr="003F35AD">
          <w:rPr>
            <w:rStyle w:val="Hyperlink"/>
            <w:rFonts w:eastAsia="Times New Roman"/>
          </w:rPr>
          <w:t>7.10.</w:t>
        </w:r>
        <w:r w:rsidR="007F2617">
          <w:rPr>
            <w:rFonts w:asciiTheme="minorHAnsi" w:eastAsiaTheme="minorEastAsia" w:hAnsiTheme="minorHAnsi" w:cstheme="minorBidi"/>
            <w:sz w:val="22"/>
            <w:szCs w:val="22"/>
          </w:rPr>
          <w:tab/>
        </w:r>
        <w:r w:rsidR="007F2617" w:rsidRPr="003F35AD">
          <w:rPr>
            <w:rStyle w:val="Hyperlink"/>
            <w:rFonts w:eastAsia="Times New Roman"/>
          </w:rPr>
          <w:t>Q9: Is intermarriage acceptable among UBHs?</w:t>
        </w:r>
        <w:r w:rsidR="007F2617">
          <w:rPr>
            <w:webHidden/>
          </w:rPr>
          <w:tab/>
        </w:r>
        <w:r w:rsidR="007F2617">
          <w:rPr>
            <w:webHidden/>
          </w:rPr>
          <w:fldChar w:fldCharType="begin"/>
        </w:r>
        <w:r w:rsidR="007F2617">
          <w:rPr>
            <w:webHidden/>
          </w:rPr>
          <w:instrText xml:space="preserve"> PAGEREF _Toc6472720 \h </w:instrText>
        </w:r>
        <w:r w:rsidR="007F2617">
          <w:rPr>
            <w:webHidden/>
          </w:rPr>
        </w:r>
        <w:r w:rsidR="007F2617">
          <w:rPr>
            <w:webHidden/>
          </w:rPr>
          <w:fldChar w:fldCharType="separate"/>
        </w:r>
        <w:r w:rsidR="00301AD4">
          <w:rPr>
            <w:webHidden/>
          </w:rPr>
          <w:t>146</w:t>
        </w:r>
        <w:r w:rsidR="007F2617">
          <w:rPr>
            <w:webHidden/>
          </w:rPr>
          <w:fldChar w:fldCharType="end"/>
        </w:r>
      </w:hyperlink>
    </w:p>
    <w:p w14:paraId="6E8C19C2" w14:textId="77777777" w:rsidR="007F2617" w:rsidRDefault="000E3509">
      <w:pPr>
        <w:pStyle w:val="TOC2"/>
        <w:rPr>
          <w:rFonts w:asciiTheme="minorHAnsi" w:eastAsiaTheme="minorEastAsia" w:hAnsiTheme="minorHAnsi" w:cstheme="minorBidi"/>
          <w:bCs w:val="0"/>
          <w:noProof/>
          <w:sz w:val="22"/>
        </w:rPr>
      </w:pPr>
      <w:hyperlink w:anchor="_Toc6472721" w:history="1">
        <w:r w:rsidR="007F2617" w:rsidRPr="003F35AD">
          <w:rPr>
            <w:rStyle w:val="Hyperlink"/>
            <w:noProof/>
          </w:rPr>
          <w:t>7.10.1.</w:t>
        </w:r>
        <w:r w:rsidR="007F2617">
          <w:rPr>
            <w:rFonts w:asciiTheme="minorHAnsi" w:eastAsiaTheme="minorEastAsia" w:hAnsiTheme="minorHAnsi" w:cstheme="minorBidi"/>
            <w:bCs w:val="0"/>
            <w:noProof/>
            <w:sz w:val="22"/>
          </w:rPr>
          <w:tab/>
        </w:r>
        <w:r w:rsidR="007F2617" w:rsidRPr="003F35AD">
          <w:rPr>
            <w:rStyle w:val="Hyperlink"/>
            <w:noProof/>
          </w:rPr>
          <w:t>Effects of demographic variables on the data</w:t>
        </w:r>
        <w:r w:rsidR="007F2617">
          <w:rPr>
            <w:noProof/>
            <w:webHidden/>
          </w:rPr>
          <w:tab/>
        </w:r>
        <w:r w:rsidR="007F2617">
          <w:rPr>
            <w:noProof/>
            <w:webHidden/>
          </w:rPr>
          <w:fldChar w:fldCharType="begin"/>
        </w:r>
        <w:r w:rsidR="007F2617">
          <w:rPr>
            <w:noProof/>
            <w:webHidden/>
          </w:rPr>
          <w:instrText xml:space="preserve"> PAGEREF _Toc6472721 \h </w:instrText>
        </w:r>
        <w:r w:rsidR="007F2617">
          <w:rPr>
            <w:noProof/>
            <w:webHidden/>
          </w:rPr>
        </w:r>
        <w:r w:rsidR="007F2617">
          <w:rPr>
            <w:noProof/>
            <w:webHidden/>
          </w:rPr>
          <w:fldChar w:fldCharType="separate"/>
        </w:r>
        <w:r w:rsidR="00301AD4">
          <w:rPr>
            <w:noProof/>
            <w:webHidden/>
          </w:rPr>
          <w:t>146</w:t>
        </w:r>
        <w:r w:rsidR="007F2617">
          <w:rPr>
            <w:noProof/>
            <w:webHidden/>
          </w:rPr>
          <w:fldChar w:fldCharType="end"/>
        </w:r>
      </w:hyperlink>
    </w:p>
    <w:p w14:paraId="0FC52B0E" w14:textId="77777777" w:rsidR="007F2617" w:rsidRDefault="000E3509">
      <w:pPr>
        <w:pStyle w:val="TOC3"/>
        <w:rPr>
          <w:rFonts w:asciiTheme="minorHAnsi" w:eastAsiaTheme="minorEastAsia" w:hAnsiTheme="minorHAnsi" w:cstheme="minorBidi"/>
          <w:noProof/>
          <w:sz w:val="22"/>
        </w:rPr>
      </w:pPr>
      <w:hyperlink w:anchor="_Toc6472722" w:history="1">
        <w:r w:rsidR="007F2617" w:rsidRPr="003F35AD">
          <w:rPr>
            <w:rStyle w:val="Hyperlink"/>
            <w:noProof/>
          </w:rPr>
          <w:t>7.10.1.1.</w:t>
        </w:r>
        <w:r w:rsidR="007F2617">
          <w:rPr>
            <w:rFonts w:asciiTheme="minorHAnsi" w:eastAsiaTheme="minorEastAsia" w:hAnsiTheme="minorHAnsi" w:cstheme="minorBidi"/>
            <w:noProof/>
            <w:sz w:val="22"/>
          </w:rPr>
          <w:tab/>
        </w:r>
        <w:r w:rsidR="007F2617" w:rsidRPr="003F35AD">
          <w:rPr>
            <w:rStyle w:val="Hyperlink"/>
            <w:noProof/>
          </w:rPr>
          <w:t>Social group</w:t>
        </w:r>
        <w:r w:rsidR="007F2617">
          <w:rPr>
            <w:noProof/>
            <w:webHidden/>
          </w:rPr>
          <w:tab/>
        </w:r>
        <w:r w:rsidR="007F2617">
          <w:rPr>
            <w:noProof/>
            <w:webHidden/>
          </w:rPr>
          <w:fldChar w:fldCharType="begin"/>
        </w:r>
        <w:r w:rsidR="007F2617">
          <w:rPr>
            <w:noProof/>
            <w:webHidden/>
          </w:rPr>
          <w:instrText xml:space="preserve"> PAGEREF _Toc6472722 \h </w:instrText>
        </w:r>
        <w:r w:rsidR="007F2617">
          <w:rPr>
            <w:noProof/>
            <w:webHidden/>
          </w:rPr>
        </w:r>
        <w:r w:rsidR="007F2617">
          <w:rPr>
            <w:noProof/>
            <w:webHidden/>
          </w:rPr>
          <w:fldChar w:fldCharType="separate"/>
        </w:r>
        <w:r w:rsidR="00301AD4">
          <w:rPr>
            <w:noProof/>
            <w:webHidden/>
          </w:rPr>
          <w:t>147</w:t>
        </w:r>
        <w:r w:rsidR="007F2617">
          <w:rPr>
            <w:noProof/>
            <w:webHidden/>
          </w:rPr>
          <w:fldChar w:fldCharType="end"/>
        </w:r>
      </w:hyperlink>
    </w:p>
    <w:p w14:paraId="1A116A11" w14:textId="77777777" w:rsidR="007F2617" w:rsidRDefault="000E3509" w:rsidP="007F2617">
      <w:pPr>
        <w:pStyle w:val="TOC1"/>
        <w:rPr>
          <w:rFonts w:asciiTheme="minorHAnsi" w:eastAsiaTheme="minorEastAsia" w:hAnsiTheme="minorHAnsi" w:cstheme="minorBidi"/>
          <w:sz w:val="22"/>
          <w:szCs w:val="22"/>
        </w:rPr>
      </w:pPr>
      <w:hyperlink w:anchor="_Toc6472723" w:history="1">
        <w:r w:rsidR="007F2617" w:rsidRPr="003F35AD">
          <w:rPr>
            <w:rStyle w:val="Hyperlink"/>
            <w:rFonts w:eastAsia="Times New Roman"/>
          </w:rPr>
          <w:t>7.11.</w:t>
        </w:r>
        <w:r w:rsidR="007F2617">
          <w:rPr>
            <w:rFonts w:asciiTheme="minorHAnsi" w:eastAsiaTheme="minorEastAsia" w:hAnsiTheme="minorHAnsi" w:cstheme="minorBidi"/>
            <w:sz w:val="22"/>
            <w:szCs w:val="22"/>
          </w:rPr>
          <w:tab/>
        </w:r>
        <w:r w:rsidR="007F2617" w:rsidRPr="003F35AD">
          <w:rPr>
            <w:rStyle w:val="Hyperlink"/>
            <w:rFonts w:eastAsia="Times New Roman"/>
          </w:rPr>
          <w:t>Q10: Is intermarriage acceptable among HH people?</w:t>
        </w:r>
        <w:r w:rsidR="007F2617">
          <w:rPr>
            <w:webHidden/>
          </w:rPr>
          <w:tab/>
        </w:r>
        <w:r w:rsidR="007F2617">
          <w:rPr>
            <w:webHidden/>
          </w:rPr>
          <w:fldChar w:fldCharType="begin"/>
        </w:r>
        <w:r w:rsidR="007F2617">
          <w:rPr>
            <w:webHidden/>
          </w:rPr>
          <w:instrText xml:space="preserve"> PAGEREF _Toc6472723 \h </w:instrText>
        </w:r>
        <w:r w:rsidR="007F2617">
          <w:rPr>
            <w:webHidden/>
          </w:rPr>
        </w:r>
        <w:r w:rsidR="007F2617">
          <w:rPr>
            <w:webHidden/>
          </w:rPr>
          <w:fldChar w:fldCharType="separate"/>
        </w:r>
        <w:r w:rsidR="00301AD4">
          <w:rPr>
            <w:webHidden/>
          </w:rPr>
          <w:t>148</w:t>
        </w:r>
        <w:r w:rsidR="007F2617">
          <w:rPr>
            <w:webHidden/>
          </w:rPr>
          <w:fldChar w:fldCharType="end"/>
        </w:r>
      </w:hyperlink>
    </w:p>
    <w:p w14:paraId="291EC793" w14:textId="77777777" w:rsidR="007F2617" w:rsidRDefault="000E3509">
      <w:pPr>
        <w:pStyle w:val="TOC2"/>
        <w:rPr>
          <w:rFonts w:asciiTheme="minorHAnsi" w:eastAsiaTheme="minorEastAsia" w:hAnsiTheme="minorHAnsi" w:cstheme="minorBidi"/>
          <w:bCs w:val="0"/>
          <w:noProof/>
          <w:sz w:val="22"/>
        </w:rPr>
      </w:pPr>
      <w:hyperlink w:anchor="_Toc6472724" w:history="1">
        <w:r w:rsidR="007F2617" w:rsidRPr="003F35AD">
          <w:rPr>
            <w:rStyle w:val="Hyperlink"/>
            <w:noProof/>
          </w:rPr>
          <w:t>7.11.1.</w:t>
        </w:r>
        <w:r w:rsidR="007F2617">
          <w:rPr>
            <w:rFonts w:asciiTheme="minorHAnsi" w:eastAsiaTheme="minorEastAsia" w:hAnsiTheme="minorHAnsi" w:cstheme="minorBidi"/>
            <w:bCs w:val="0"/>
            <w:noProof/>
            <w:sz w:val="22"/>
          </w:rPr>
          <w:tab/>
        </w:r>
        <w:r w:rsidR="007F2617" w:rsidRPr="003F35AD">
          <w:rPr>
            <w:rStyle w:val="Hyperlink"/>
            <w:noProof/>
          </w:rPr>
          <w:t>Effects of demographic variables on the data</w:t>
        </w:r>
        <w:r w:rsidR="007F2617">
          <w:rPr>
            <w:noProof/>
            <w:webHidden/>
          </w:rPr>
          <w:tab/>
        </w:r>
        <w:r w:rsidR="007F2617">
          <w:rPr>
            <w:noProof/>
            <w:webHidden/>
          </w:rPr>
          <w:fldChar w:fldCharType="begin"/>
        </w:r>
        <w:r w:rsidR="007F2617">
          <w:rPr>
            <w:noProof/>
            <w:webHidden/>
          </w:rPr>
          <w:instrText xml:space="preserve"> PAGEREF _Toc6472724 \h </w:instrText>
        </w:r>
        <w:r w:rsidR="007F2617">
          <w:rPr>
            <w:noProof/>
            <w:webHidden/>
          </w:rPr>
        </w:r>
        <w:r w:rsidR="007F2617">
          <w:rPr>
            <w:noProof/>
            <w:webHidden/>
          </w:rPr>
          <w:fldChar w:fldCharType="separate"/>
        </w:r>
        <w:r w:rsidR="00301AD4">
          <w:rPr>
            <w:noProof/>
            <w:webHidden/>
          </w:rPr>
          <w:t>149</w:t>
        </w:r>
        <w:r w:rsidR="007F2617">
          <w:rPr>
            <w:noProof/>
            <w:webHidden/>
          </w:rPr>
          <w:fldChar w:fldCharType="end"/>
        </w:r>
      </w:hyperlink>
    </w:p>
    <w:p w14:paraId="1CDB0B20" w14:textId="77777777" w:rsidR="007F2617" w:rsidRDefault="000E3509">
      <w:pPr>
        <w:pStyle w:val="TOC3"/>
        <w:rPr>
          <w:rFonts w:asciiTheme="minorHAnsi" w:eastAsiaTheme="minorEastAsia" w:hAnsiTheme="minorHAnsi" w:cstheme="minorBidi"/>
          <w:noProof/>
          <w:sz w:val="22"/>
        </w:rPr>
      </w:pPr>
      <w:hyperlink w:anchor="_Toc6472725" w:history="1">
        <w:r w:rsidR="007F2617" w:rsidRPr="003F35AD">
          <w:rPr>
            <w:rStyle w:val="Hyperlink"/>
            <w:noProof/>
          </w:rPr>
          <w:t>7.11.1.1.</w:t>
        </w:r>
        <w:r w:rsidR="007F2617">
          <w:rPr>
            <w:rFonts w:asciiTheme="minorHAnsi" w:eastAsiaTheme="minorEastAsia" w:hAnsiTheme="minorHAnsi" w:cstheme="minorBidi"/>
            <w:noProof/>
            <w:sz w:val="22"/>
          </w:rPr>
          <w:tab/>
        </w:r>
        <w:r w:rsidR="007F2617" w:rsidRPr="003F35AD">
          <w:rPr>
            <w:rStyle w:val="Hyperlink"/>
            <w:noProof/>
          </w:rPr>
          <w:t>Social group</w:t>
        </w:r>
        <w:r w:rsidR="007F2617">
          <w:rPr>
            <w:noProof/>
            <w:webHidden/>
          </w:rPr>
          <w:tab/>
        </w:r>
        <w:r w:rsidR="007F2617">
          <w:rPr>
            <w:noProof/>
            <w:webHidden/>
          </w:rPr>
          <w:fldChar w:fldCharType="begin"/>
        </w:r>
        <w:r w:rsidR="007F2617">
          <w:rPr>
            <w:noProof/>
            <w:webHidden/>
          </w:rPr>
          <w:instrText xml:space="preserve"> PAGEREF _Toc6472725 \h </w:instrText>
        </w:r>
        <w:r w:rsidR="007F2617">
          <w:rPr>
            <w:noProof/>
            <w:webHidden/>
          </w:rPr>
        </w:r>
        <w:r w:rsidR="007F2617">
          <w:rPr>
            <w:noProof/>
            <w:webHidden/>
          </w:rPr>
          <w:fldChar w:fldCharType="separate"/>
        </w:r>
        <w:r w:rsidR="00301AD4">
          <w:rPr>
            <w:noProof/>
            <w:webHidden/>
          </w:rPr>
          <w:t>149</w:t>
        </w:r>
        <w:r w:rsidR="007F2617">
          <w:rPr>
            <w:noProof/>
            <w:webHidden/>
          </w:rPr>
          <w:fldChar w:fldCharType="end"/>
        </w:r>
      </w:hyperlink>
    </w:p>
    <w:p w14:paraId="1A46915C" w14:textId="77777777" w:rsidR="007F2617" w:rsidRDefault="000E3509" w:rsidP="00017D27">
      <w:pPr>
        <w:pStyle w:val="TOC1"/>
        <w:spacing w:after="240"/>
        <w:rPr>
          <w:rFonts w:asciiTheme="minorHAnsi" w:eastAsiaTheme="minorEastAsia" w:hAnsiTheme="minorHAnsi" w:cstheme="minorBidi"/>
          <w:sz w:val="22"/>
          <w:szCs w:val="22"/>
        </w:rPr>
      </w:pPr>
      <w:hyperlink w:anchor="_Toc6472726" w:history="1">
        <w:r w:rsidR="007F2617" w:rsidRPr="003F35AD">
          <w:rPr>
            <w:rStyle w:val="Hyperlink"/>
            <w:rFonts w:eastAsia="Times New Roman"/>
          </w:rPr>
          <w:t>7.12.</w:t>
        </w:r>
        <w:r w:rsidR="007F2617">
          <w:rPr>
            <w:rFonts w:asciiTheme="minorHAnsi" w:eastAsiaTheme="minorEastAsia" w:hAnsiTheme="minorHAnsi" w:cstheme="minorBidi"/>
            <w:sz w:val="22"/>
            <w:szCs w:val="22"/>
          </w:rPr>
          <w:tab/>
        </w:r>
        <w:r w:rsidR="007F2617" w:rsidRPr="003F35AD">
          <w:rPr>
            <w:rStyle w:val="Hyperlink"/>
            <w:rFonts w:eastAsia="Times New Roman"/>
          </w:rPr>
          <w:t>Conclusion</w:t>
        </w:r>
        <w:r w:rsidR="007F2617">
          <w:rPr>
            <w:webHidden/>
          </w:rPr>
          <w:tab/>
        </w:r>
        <w:r w:rsidR="007F2617">
          <w:rPr>
            <w:webHidden/>
          </w:rPr>
          <w:fldChar w:fldCharType="begin"/>
        </w:r>
        <w:r w:rsidR="007F2617">
          <w:rPr>
            <w:webHidden/>
          </w:rPr>
          <w:instrText xml:space="preserve"> PAGEREF _Toc6472726 \h </w:instrText>
        </w:r>
        <w:r w:rsidR="007F2617">
          <w:rPr>
            <w:webHidden/>
          </w:rPr>
        </w:r>
        <w:r w:rsidR="007F2617">
          <w:rPr>
            <w:webHidden/>
          </w:rPr>
          <w:fldChar w:fldCharType="separate"/>
        </w:r>
        <w:r w:rsidR="00301AD4">
          <w:rPr>
            <w:webHidden/>
          </w:rPr>
          <w:t>150</w:t>
        </w:r>
        <w:r w:rsidR="007F2617">
          <w:rPr>
            <w:webHidden/>
          </w:rPr>
          <w:fldChar w:fldCharType="end"/>
        </w:r>
      </w:hyperlink>
    </w:p>
    <w:p w14:paraId="20433BE2" w14:textId="77777777" w:rsidR="007F2617" w:rsidRDefault="000E3509" w:rsidP="007F2617">
      <w:pPr>
        <w:pStyle w:val="TOC1"/>
        <w:rPr>
          <w:rFonts w:asciiTheme="minorHAnsi" w:eastAsiaTheme="minorEastAsia" w:hAnsiTheme="minorHAnsi" w:cstheme="minorBidi"/>
          <w:sz w:val="22"/>
          <w:szCs w:val="22"/>
        </w:rPr>
      </w:pPr>
      <w:hyperlink w:anchor="_Toc6472727" w:history="1">
        <w:r w:rsidR="007F2617" w:rsidRPr="00017D27">
          <w:rPr>
            <w:rStyle w:val="Hyperlink"/>
            <w:rFonts w:eastAsia="Times New Roman"/>
            <w:b/>
            <w:bCs w:val="0"/>
            <w:lang w:eastAsia="en-US"/>
          </w:rPr>
          <w:t>Chapter 8: Discussion chapter for RQ1</w:t>
        </w:r>
        <w:r w:rsidR="007F2617">
          <w:rPr>
            <w:webHidden/>
          </w:rPr>
          <w:tab/>
        </w:r>
        <w:r w:rsidR="007F2617">
          <w:rPr>
            <w:webHidden/>
          </w:rPr>
          <w:fldChar w:fldCharType="begin"/>
        </w:r>
        <w:r w:rsidR="007F2617">
          <w:rPr>
            <w:webHidden/>
          </w:rPr>
          <w:instrText xml:space="preserve"> PAGEREF _Toc6472727 \h </w:instrText>
        </w:r>
        <w:r w:rsidR="007F2617">
          <w:rPr>
            <w:webHidden/>
          </w:rPr>
        </w:r>
        <w:r w:rsidR="007F2617">
          <w:rPr>
            <w:webHidden/>
          </w:rPr>
          <w:fldChar w:fldCharType="separate"/>
        </w:r>
        <w:r w:rsidR="00301AD4">
          <w:rPr>
            <w:webHidden/>
          </w:rPr>
          <w:t>152</w:t>
        </w:r>
        <w:r w:rsidR="007F2617">
          <w:rPr>
            <w:webHidden/>
          </w:rPr>
          <w:fldChar w:fldCharType="end"/>
        </w:r>
      </w:hyperlink>
    </w:p>
    <w:p w14:paraId="4E5D0F30" w14:textId="77777777" w:rsidR="007F2617" w:rsidRDefault="000E3509" w:rsidP="007F2617">
      <w:pPr>
        <w:pStyle w:val="TOC1"/>
        <w:rPr>
          <w:rFonts w:asciiTheme="minorHAnsi" w:eastAsiaTheme="minorEastAsia" w:hAnsiTheme="minorHAnsi" w:cstheme="minorBidi"/>
          <w:sz w:val="22"/>
          <w:szCs w:val="22"/>
        </w:rPr>
      </w:pPr>
      <w:hyperlink w:anchor="_Toc6472728" w:history="1">
        <w:r w:rsidR="007F2617" w:rsidRPr="003F35AD">
          <w:rPr>
            <w:rStyle w:val="Hyperlink"/>
            <w:rFonts w:eastAsia="Times New Roman"/>
          </w:rPr>
          <w:t>8.1.</w:t>
        </w:r>
        <w:r w:rsidR="007F2617">
          <w:rPr>
            <w:rFonts w:asciiTheme="minorHAnsi" w:eastAsiaTheme="minorEastAsia" w:hAnsiTheme="minorHAnsi" w:cstheme="minorBidi"/>
            <w:sz w:val="22"/>
            <w:szCs w:val="22"/>
          </w:rPr>
          <w:tab/>
        </w:r>
        <w:r w:rsidR="007F2617" w:rsidRPr="003F35AD">
          <w:rPr>
            <w:rStyle w:val="Hyperlink"/>
            <w:rFonts w:eastAsia="Times New Roman"/>
          </w:rPr>
          <w:t>Introduction</w:t>
        </w:r>
        <w:r w:rsidR="007F2617">
          <w:rPr>
            <w:webHidden/>
          </w:rPr>
          <w:tab/>
        </w:r>
        <w:r w:rsidR="007F2617">
          <w:rPr>
            <w:webHidden/>
          </w:rPr>
          <w:fldChar w:fldCharType="begin"/>
        </w:r>
        <w:r w:rsidR="007F2617">
          <w:rPr>
            <w:webHidden/>
          </w:rPr>
          <w:instrText xml:space="preserve"> PAGEREF _Toc6472728 \h </w:instrText>
        </w:r>
        <w:r w:rsidR="007F2617">
          <w:rPr>
            <w:webHidden/>
          </w:rPr>
        </w:r>
        <w:r w:rsidR="007F2617">
          <w:rPr>
            <w:webHidden/>
          </w:rPr>
          <w:fldChar w:fldCharType="separate"/>
        </w:r>
        <w:r w:rsidR="00301AD4">
          <w:rPr>
            <w:webHidden/>
          </w:rPr>
          <w:t>152</w:t>
        </w:r>
        <w:r w:rsidR="007F2617">
          <w:rPr>
            <w:webHidden/>
          </w:rPr>
          <w:fldChar w:fldCharType="end"/>
        </w:r>
      </w:hyperlink>
    </w:p>
    <w:p w14:paraId="631C8638" w14:textId="77777777" w:rsidR="007F2617" w:rsidRDefault="000E3509" w:rsidP="007F2617">
      <w:pPr>
        <w:pStyle w:val="TOC1"/>
        <w:rPr>
          <w:rFonts w:asciiTheme="minorHAnsi" w:eastAsiaTheme="minorEastAsia" w:hAnsiTheme="minorHAnsi" w:cstheme="minorBidi"/>
          <w:sz w:val="22"/>
          <w:szCs w:val="22"/>
        </w:rPr>
      </w:pPr>
      <w:hyperlink w:anchor="_Toc6472729" w:history="1">
        <w:r w:rsidR="007F2617" w:rsidRPr="003F35AD">
          <w:rPr>
            <w:rStyle w:val="Hyperlink"/>
            <w:rFonts w:eastAsia="Times New Roman"/>
          </w:rPr>
          <w:t>8.2.</w:t>
        </w:r>
        <w:r w:rsidR="007F2617">
          <w:rPr>
            <w:rFonts w:asciiTheme="minorHAnsi" w:eastAsiaTheme="minorEastAsia" w:hAnsiTheme="minorHAnsi" w:cstheme="minorBidi"/>
            <w:sz w:val="22"/>
            <w:szCs w:val="22"/>
          </w:rPr>
          <w:tab/>
        </w:r>
        <w:r w:rsidR="007F2617" w:rsidRPr="003F35AD">
          <w:rPr>
            <w:rStyle w:val="Hyperlink"/>
            <w:rFonts w:eastAsia="Times New Roman"/>
          </w:rPr>
          <w:t>Summary of results</w:t>
        </w:r>
        <w:r w:rsidR="007F2617">
          <w:rPr>
            <w:webHidden/>
          </w:rPr>
          <w:tab/>
        </w:r>
        <w:r w:rsidR="007F2617">
          <w:rPr>
            <w:webHidden/>
          </w:rPr>
          <w:fldChar w:fldCharType="begin"/>
        </w:r>
        <w:r w:rsidR="007F2617">
          <w:rPr>
            <w:webHidden/>
          </w:rPr>
          <w:instrText xml:space="preserve"> PAGEREF _Toc6472729 \h </w:instrText>
        </w:r>
        <w:r w:rsidR="007F2617">
          <w:rPr>
            <w:webHidden/>
          </w:rPr>
        </w:r>
        <w:r w:rsidR="007F2617">
          <w:rPr>
            <w:webHidden/>
          </w:rPr>
          <w:fldChar w:fldCharType="separate"/>
        </w:r>
        <w:r w:rsidR="00301AD4">
          <w:rPr>
            <w:webHidden/>
          </w:rPr>
          <w:t>152</w:t>
        </w:r>
        <w:r w:rsidR="007F2617">
          <w:rPr>
            <w:webHidden/>
          </w:rPr>
          <w:fldChar w:fldCharType="end"/>
        </w:r>
      </w:hyperlink>
    </w:p>
    <w:p w14:paraId="5855EDC1" w14:textId="5509FA13" w:rsidR="007F2617" w:rsidRDefault="000E3509" w:rsidP="007F2617">
      <w:pPr>
        <w:pStyle w:val="TOC1"/>
        <w:rPr>
          <w:rFonts w:asciiTheme="minorHAnsi" w:eastAsiaTheme="minorEastAsia" w:hAnsiTheme="minorHAnsi" w:cstheme="minorBidi"/>
          <w:sz w:val="22"/>
          <w:szCs w:val="22"/>
        </w:rPr>
      </w:pPr>
      <w:hyperlink w:anchor="_Toc6472730" w:history="1">
        <w:r w:rsidR="007F2617" w:rsidRPr="003F35AD">
          <w:rPr>
            <w:rStyle w:val="Hyperlink"/>
            <w:rFonts w:eastAsia="Times New Roman"/>
          </w:rPr>
          <w:t>8.3.</w:t>
        </w:r>
        <w:r w:rsidR="007F2617">
          <w:rPr>
            <w:rFonts w:asciiTheme="minorHAnsi" w:eastAsiaTheme="minorEastAsia" w:hAnsiTheme="minorHAnsi" w:cstheme="minorBidi"/>
            <w:sz w:val="22"/>
            <w:szCs w:val="22"/>
          </w:rPr>
          <w:tab/>
        </w:r>
        <w:r w:rsidR="007F2617" w:rsidRPr="003F35AD">
          <w:rPr>
            <w:rStyle w:val="Hyperlink"/>
            <w:rFonts w:eastAsia="Times New Roman"/>
          </w:rPr>
          <w:t xml:space="preserve">Effects of Hijazi social ideology on participants’ perceptions </w:t>
        </w:r>
        <w:r w:rsidR="007F2617">
          <w:rPr>
            <w:rStyle w:val="Hyperlink"/>
            <w:rFonts w:eastAsia="Times New Roman"/>
          </w:rPr>
          <w:br/>
        </w:r>
        <w:r w:rsidR="007F2617" w:rsidRPr="003F35AD">
          <w:rPr>
            <w:rStyle w:val="Hyperlink"/>
            <w:rFonts w:eastAsia="Times New Roman"/>
          </w:rPr>
          <w:t>of the dominance of the HH dialect</w:t>
        </w:r>
        <w:r w:rsidR="007F2617">
          <w:rPr>
            <w:webHidden/>
          </w:rPr>
          <w:tab/>
        </w:r>
        <w:r w:rsidR="007F2617">
          <w:rPr>
            <w:webHidden/>
          </w:rPr>
          <w:fldChar w:fldCharType="begin"/>
        </w:r>
        <w:r w:rsidR="007F2617">
          <w:rPr>
            <w:webHidden/>
          </w:rPr>
          <w:instrText xml:space="preserve"> PAGEREF _Toc6472730 \h </w:instrText>
        </w:r>
        <w:r w:rsidR="007F2617">
          <w:rPr>
            <w:webHidden/>
          </w:rPr>
        </w:r>
        <w:r w:rsidR="007F2617">
          <w:rPr>
            <w:webHidden/>
          </w:rPr>
          <w:fldChar w:fldCharType="separate"/>
        </w:r>
        <w:r w:rsidR="00301AD4">
          <w:rPr>
            <w:webHidden/>
          </w:rPr>
          <w:t>153</w:t>
        </w:r>
        <w:r w:rsidR="007F2617">
          <w:rPr>
            <w:webHidden/>
          </w:rPr>
          <w:fldChar w:fldCharType="end"/>
        </w:r>
      </w:hyperlink>
    </w:p>
    <w:p w14:paraId="738EF607" w14:textId="77777777" w:rsidR="007F2617" w:rsidRDefault="000E3509" w:rsidP="007F2617">
      <w:pPr>
        <w:pStyle w:val="TOC1"/>
        <w:rPr>
          <w:rFonts w:asciiTheme="minorHAnsi" w:eastAsiaTheme="minorEastAsia" w:hAnsiTheme="minorHAnsi" w:cstheme="minorBidi"/>
          <w:sz w:val="22"/>
          <w:szCs w:val="22"/>
        </w:rPr>
      </w:pPr>
      <w:hyperlink w:anchor="_Toc6472731" w:history="1">
        <w:r w:rsidR="007F2617" w:rsidRPr="003F35AD">
          <w:rPr>
            <w:rStyle w:val="Hyperlink"/>
            <w:rFonts w:eastAsia="Times New Roman"/>
          </w:rPr>
          <w:t>8.4.</w:t>
        </w:r>
        <w:r w:rsidR="007F2617">
          <w:rPr>
            <w:rFonts w:asciiTheme="minorHAnsi" w:eastAsiaTheme="minorEastAsia" w:hAnsiTheme="minorHAnsi" w:cstheme="minorBidi"/>
            <w:sz w:val="22"/>
            <w:szCs w:val="22"/>
          </w:rPr>
          <w:tab/>
        </w:r>
        <w:r w:rsidR="007F2617" w:rsidRPr="003F35AD">
          <w:rPr>
            <w:rStyle w:val="Hyperlink"/>
            <w:rFonts w:eastAsia="Times New Roman"/>
          </w:rPr>
          <w:t>The dichotomous dialect situation</w:t>
        </w:r>
        <w:r w:rsidR="007F2617">
          <w:rPr>
            <w:webHidden/>
          </w:rPr>
          <w:tab/>
        </w:r>
        <w:r w:rsidR="007F2617">
          <w:rPr>
            <w:webHidden/>
          </w:rPr>
          <w:fldChar w:fldCharType="begin"/>
        </w:r>
        <w:r w:rsidR="007F2617">
          <w:rPr>
            <w:webHidden/>
          </w:rPr>
          <w:instrText xml:space="preserve"> PAGEREF _Toc6472731 \h </w:instrText>
        </w:r>
        <w:r w:rsidR="007F2617">
          <w:rPr>
            <w:webHidden/>
          </w:rPr>
        </w:r>
        <w:r w:rsidR="007F2617">
          <w:rPr>
            <w:webHidden/>
          </w:rPr>
          <w:fldChar w:fldCharType="separate"/>
        </w:r>
        <w:r w:rsidR="00301AD4">
          <w:rPr>
            <w:webHidden/>
          </w:rPr>
          <w:t>156</w:t>
        </w:r>
        <w:r w:rsidR="007F2617">
          <w:rPr>
            <w:webHidden/>
          </w:rPr>
          <w:fldChar w:fldCharType="end"/>
        </w:r>
      </w:hyperlink>
    </w:p>
    <w:p w14:paraId="4E81607B" w14:textId="68637B10" w:rsidR="007F2617" w:rsidRDefault="000E3509" w:rsidP="007F2617">
      <w:pPr>
        <w:pStyle w:val="TOC1"/>
        <w:rPr>
          <w:rFonts w:asciiTheme="minorHAnsi" w:eastAsiaTheme="minorEastAsia" w:hAnsiTheme="minorHAnsi" w:cstheme="minorBidi"/>
          <w:sz w:val="22"/>
          <w:szCs w:val="22"/>
        </w:rPr>
      </w:pPr>
      <w:hyperlink w:anchor="_Toc6472732" w:history="1">
        <w:r w:rsidR="007F2617" w:rsidRPr="003F35AD">
          <w:rPr>
            <w:rStyle w:val="Hyperlink"/>
            <w:rFonts w:eastAsia="Times New Roman"/>
          </w:rPr>
          <w:t>8.5.</w:t>
        </w:r>
        <w:r w:rsidR="007F2617">
          <w:rPr>
            <w:rFonts w:asciiTheme="minorHAnsi" w:eastAsiaTheme="minorEastAsia" w:hAnsiTheme="minorHAnsi" w:cstheme="minorBidi"/>
            <w:sz w:val="22"/>
            <w:szCs w:val="22"/>
          </w:rPr>
          <w:tab/>
        </w:r>
        <w:r w:rsidR="007F2617" w:rsidRPr="003F35AD">
          <w:rPr>
            <w:rStyle w:val="Hyperlink"/>
            <w:rFonts w:eastAsia="Times New Roman"/>
          </w:rPr>
          <w:t xml:space="preserve">The perceived similarity between the HH dialect and other </w:t>
        </w:r>
        <w:r w:rsidR="007F2617">
          <w:rPr>
            <w:rStyle w:val="Hyperlink"/>
            <w:rFonts w:eastAsia="Times New Roman"/>
          </w:rPr>
          <w:br/>
        </w:r>
        <w:r w:rsidR="007F2617" w:rsidRPr="003F35AD">
          <w:rPr>
            <w:rStyle w:val="Hyperlink"/>
            <w:rFonts w:eastAsia="Times New Roman"/>
          </w:rPr>
          <w:t>Arabic dialects</w:t>
        </w:r>
        <w:r w:rsidR="007F2617">
          <w:rPr>
            <w:webHidden/>
          </w:rPr>
          <w:tab/>
        </w:r>
        <w:r w:rsidR="007F2617">
          <w:rPr>
            <w:webHidden/>
          </w:rPr>
          <w:fldChar w:fldCharType="begin"/>
        </w:r>
        <w:r w:rsidR="007F2617">
          <w:rPr>
            <w:webHidden/>
          </w:rPr>
          <w:instrText xml:space="preserve"> PAGEREF _Toc6472732 \h </w:instrText>
        </w:r>
        <w:r w:rsidR="007F2617">
          <w:rPr>
            <w:webHidden/>
          </w:rPr>
        </w:r>
        <w:r w:rsidR="007F2617">
          <w:rPr>
            <w:webHidden/>
          </w:rPr>
          <w:fldChar w:fldCharType="separate"/>
        </w:r>
        <w:r w:rsidR="00301AD4">
          <w:rPr>
            <w:webHidden/>
          </w:rPr>
          <w:t>157</w:t>
        </w:r>
        <w:r w:rsidR="007F2617">
          <w:rPr>
            <w:webHidden/>
          </w:rPr>
          <w:fldChar w:fldCharType="end"/>
        </w:r>
      </w:hyperlink>
    </w:p>
    <w:p w14:paraId="545F24C6" w14:textId="77777777" w:rsidR="007F2617" w:rsidRDefault="000E3509" w:rsidP="007F2617">
      <w:pPr>
        <w:pStyle w:val="TOC1"/>
        <w:rPr>
          <w:rFonts w:asciiTheme="minorHAnsi" w:eastAsiaTheme="minorEastAsia" w:hAnsiTheme="minorHAnsi" w:cstheme="minorBidi"/>
          <w:sz w:val="22"/>
          <w:szCs w:val="22"/>
        </w:rPr>
      </w:pPr>
      <w:hyperlink w:anchor="_Toc6472733" w:history="1">
        <w:r w:rsidR="007F2617" w:rsidRPr="003F35AD">
          <w:rPr>
            <w:rStyle w:val="Hyperlink"/>
            <w:rFonts w:eastAsia="Times New Roman"/>
          </w:rPr>
          <w:t>8.6.</w:t>
        </w:r>
        <w:r w:rsidR="007F2617">
          <w:rPr>
            <w:rFonts w:asciiTheme="minorHAnsi" w:eastAsiaTheme="minorEastAsia" w:hAnsiTheme="minorHAnsi" w:cstheme="minorBidi"/>
            <w:sz w:val="22"/>
            <w:szCs w:val="22"/>
          </w:rPr>
          <w:tab/>
        </w:r>
        <w:r w:rsidR="007F2617" w:rsidRPr="003F35AD">
          <w:rPr>
            <w:rStyle w:val="Hyperlink"/>
            <w:rFonts w:eastAsia="Times New Roman"/>
          </w:rPr>
          <w:t>Perceived effects on dialect contact</w:t>
        </w:r>
        <w:r w:rsidR="007F2617">
          <w:rPr>
            <w:webHidden/>
          </w:rPr>
          <w:tab/>
        </w:r>
        <w:r w:rsidR="007F2617">
          <w:rPr>
            <w:webHidden/>
          </w:rPr>
          <w:fldChar w:fldCharType="begin"/>
        </w:r>
        <w:r w:rsidR="007F2617">
          <w:rPr>
            <w:webHidden/>
          </w:rPr>
          <w:instrText xml:space="preserve"> PAGEREF _Toc6472733 \h </w:instrText>
        </w:r>
        <w:r w:rsidR="007F2617">
          <w:rPr>
            <w:webHidden/>
          </w:rPr>
        </w:r>
        <w:r w:rsidR="007F2617">
          <w:rPr>
            <w:webHidden/>
          </w:rPr>
          <w:fldChar w:fldCharType="separate"/>
        </w:r>
        <w:r w:rsidR="00301AD4">
          <w:rPr>
            <w:webHidden/>
          </w:rPr>
          <w:t>160</w:t>
        </w:r>
        <w:r w:rsidR="007F2617">
          <w:rPr>
            <w:webHidden/>
          </w:rPr>
          <w:fldChar w:fldCharType="end"/>
        </w:r>
      </w:hyperlink>
    </w:p>
    <w:p w14:paraId="6112B4D1" w14:textId="77777777" w:rsidR="007F2617" w:rsidRDefault="000E3509" w:rsidP="007F2617">
      <w:pPr>
        <w:pStyle w:val="TOC1"/>
        <w:rPr>
          <w:rFonts w:asciiTheme="minorHAnsi" w:eastAsiaTheme="minorEastAsia" w:hAnsiTheme="minorHAnsi" w:cstheme="minorBidi"/>
          <w:sz w:val="22"/>
          <w:szCs w:val="22"/>
        </w:rPr>
      </w:pPr>
      <w:hyperlink w:anchor="_Toc6472734" w:history="1">
        <w:r w:rsidR="007F2617" w:rsidRPr="003F35AD">
          <w:rPr>
            <w:rStyle w:val="Hyperlink"/>
            <w:rFonts w:eastAsia="Times New Roman"/>
          </w:rPr>
          <w:t>8.7.</w:t>
        </w:r>
        <w:r w:rsidR="007F2617">
          <w:rPr>
            <w:rFonts w:asciiTheme="minorHAnsi" w:eastAsiaTheme="minorEastAsia" w:hAnsiTheme="minorHAnsi" w:cstheme="minorBidi"/>
            <w:sz w:val="22"/>
            <w:szCs w:val="22"/>
          </w:rPr>
          <w:tab/>
        </w:r>
        <w:r w:rsidR="007F2617" w:rsidRPr="003F35AD">
          <w:rPr>
            <w:rStyle w:val="Hyperlink"/>
            <w:rFonts w:eastAsia="Times New Roman"/>
          </w:rPr>
          <w:t>Intermarriage between the two social groups</w:t>
        </w:r>
        <w:r w:rsidR="007F2617">
          <w:rPr>
            <w:webHidden/>
          </w:rPr>
          <w:tab/>
        </w:r>
        <w:r w:rsidR="007F2617">
          <w:rPr>
            <w:webHidden/>
          </w:rPr>
          <w:fldChar w:fldCharType="begin"/>
        </w:r>
        <w:r w:rsidR="007F2617">
          <w:rPr>
            <w:webHidden/>
          </w:rPr>
          <w:instrText xml:space="preserve"> PAGEREF _Toc6472734 \h </w:instrText>
        </w:r>
        <w:r w:rsidR="007F2617">
          <w:rPr>
            <w:webHidden/>
          </w:rPr>
        </w:r>
        <w:r w:rsidR="007F2617">
          <w:rPr>
            <w:webHidden/>
          </w:rPr>
          <w:fldChar w:fldCharType="separate"/>
        </w:r>
        <w:r w:rsidR="00301AD4">
          <w:rPr>
            <w:webHidden/>
          </w:rPr>
          <w:t>161</w:t>
        </w:r>
        <w:r w:rsidR="007F2617">
          <w:rPr>
            <w:webHidden/>
          </w:rPr>
          <w:fldChar w:fldCharType="end"/>
        </w:r>
      </w:hyperlink>
    </w:p>
    <w:p w14:paraId="25AF9D8E" w14:textId="77777777" w:rsidR="007F2617" w:rsidRDefault="000E3509" w:rsidP="007F2617">
      <w:pPr>
        <w:pStyle w:val="TOC1"/>
        <w:rPr>
          <w:rFonts w:asciiTheme="minorHAnsi" w:eastAsiaTheme="minorEastAsia" w:hAnsiTheme="minorHAnsi" w:cstheme="minorBidi"/>
          <w:sz w:val="22"/>
          <w:szCs w:val="22"/>
        </w:rPr>
      </w:pPr>
      <w:hyperlink w:anchor="_Toc6472735" w:history="1">
        <w:r w:rsidR="007F2617" w:rsidRPr="003F35AD">
          <w:rPr>
            <w:rStyle w:val="Hyperlink"/>
            <w:rFonts w:eastAsia="Times New Roman"/>
          </w:rPr>
          <w:t>8.8.</w:t>
        </w:r>
        <w:r w:rsidR="007F2617">
          <w:rPr>
            <w:rFonts w:asciiTheme="minorHAnsi" w:eastAsiaTheme="minorEastAsia" w:hAnsiTheme="minorHAnsi" w:cstheme="minorBidi"/>
            <w:sz w:val="22"/>
            <w:szCs w:val="22"/>
          </w:rPr>
          <w:tab/>
        </w:r>
        <w:r w:rsidR="007F2617" w:rsidRPr="003F35AD">
          <w:rPr>
            <w:rStyle w:val="Hyperlink"/>
            <w:rFonts w:eastAsia="Times New Roman"/>
          </w:rPr>
          <w:t>Systematic emergence of social group patterns in the results</w:t>
        </w:r>
        <w:r w:rsidR="007F2617">
          <w:rPr>
            <w:webHidden/>
          </w:rPr>
          <w:tab/>
        </w:r>
        <w:r w:rsidR="007F2617">
          <w:rPr>
            <w:webHidden/>
          </w:rPr>
          <w:fldChar w:fldCharType="begin"/>
        </w:r>
        <w:r w:rsidR="007F2617">
          <w:rPr>
            <w:webHidden/>
          </w:rPr>
          <w:instrText xml:space="preserve"> PAGEREF _Toc6472735 \h </w:instrText>
        </w:r>
        <w:r w:rsidR="007F2617">
          <w:rPr>
            <w:webHidden/>
          </w:rPr>
        </w:r>
        <w:r w:rsidR="007F2617">
          <w:rPr>
            <w:webHidden/>
          </w:rPr>
          <w:fldChar w:fldCharType="separate"/>
        </w:r>
        <w:r w:rsidR="00301AD4">
          <w:rPr>
            <w:webHidden/>
          </w:rPr>
          <w:t>162</w:t>
        </w:r>
        <w:r w:rsidR="007F2617">
          <w:rPr>
            <w:webHidden/>
          </w:rPr>
          <w:fldChar w:fldCharType="end"/>
        </w:r>
      </w:hyperlink>
    </w:p>
    <w:p w14:paraId="5D3C0C14" w14:textId="77777777" w:rsidR="007F2617" w:rsidRDefault="000E3509" w:rsidP="007F2617">
      <w:pPr>
        <w:pStyle w:val="TOC1"/>
        <w:rPr>
          <w:rFonts w:asciiTheme="minorHAnsi" w:eastAsiaTheme="minorEastAsia" w:hAnsiTheme="minorHAnsi" w:cstheme="minorBidi"/>
          <w:sz w:val="22"/>
          <w:szCs w:val="22"/>
        </w:rPr>
      </w:pPr>
      <w:hyperlink w:anchor="_Toc6472736" w:history="1">
        <w:r w:rsidR="007F2617" w:rsidRPr="003F35AD">
          <w:rPr>
            <w:rStyle w:val="Hyperlink"/>
            <w:rFonts w:eastAsia="Times New Roman"/>
          </w:rPr>
          <w:t>8.9.</w:t>
        </w:r>
        <w:r w:rsidR="007F2617">
          <w:rPr>
            <w:rFonts w:asciiTheme="minorHAnsi" w:eastAsiaTheme="minorEastAsia" w:hAnsiTheme="minorHAnsi" w:cstheme="minorBidi"/>
            <w:sz w:val="22"/>
            <w:szCs w:val="22"/>
          </w:rPr>
          <w:tab/>
        </w:r>
        <w:r w:rsidR="007F2617" w:rsidRPr="003F35AD">
          <w:rPr>
            <w:rStyle w:val="Hyperlink"/>
            <w:rFonts w:eastAsia="Times New Roman"/>
          </w:rPr>
          <w:t>The effects of gender on the results</w:t>
        </w:r>
        <w:r w:rsidR="007F2617">
          <w:rPr>
            <w:webHidden/>
          </w:rPr>
          <w:tab/>
        </w:r>
        <w:r w:rsidR="007F2617">
          <w:rPr>
            <w:webHidden/>
          </w:rPr>
          <w:fldChar w:fldCharType="begin"/>
        </w:r>
        <w:r w:rsidR="007F2617">
          <w:rPr>
            <w:webHidden/>
          </w:rPr>
          <w:instrText xml:space="preserve"> PAGEREF _Toc6472736 \h </w:instrText>
        </w:r>
        <w:r w:rsidR="007F2617">
          <w:rPr>
            <w:webHidden/>
          </w:rPr>
        </w:r>
        <w:r w:rsidR="007F2617">
          <w:rPr>
            <w:webHidden/>
          </w:rPr>
          <w:fldChar w:fldCharType="separate"/>
        </w:r>
        <w:r w:rsidR="00301AD4">
          <w:rPr>
            <w:webHidden/>
          </w:rPr>
          <w:t>164</w:t>
        </w:r>
        <w:r w:rsidR="007F2617">
          <w:rPr>
            <w:webHidden/>
          </w:rPr>
          <w:fldChar w:fldCharType="end"/>
        </w:r>
      </w:hyperlink>
    </w:p>
    <w:p w14:paraId="63A83DA5" w14:textId="77777777" w:rsidR="007F2617" w:rsidRDefault="000E3509" w:rsidP="00017D27">
      <w:pPr>
        <w:pStyle w:val="TOC1"/>
        <w:spacing w:after="240"/>
        <w:rPr>
          <w:rFonts w:asciiTheme="minorHAnsi" w:eastAsiaTheme="minorEastAsia" w:hAnsiTheme="minorHAnsi" w:cstheme="minorBidi"/>
          <w:sz w:val="22"/>
          <w:szCs w:val="22"/>
        </w:rPr>
      </w:pPr>
      <w:hyperlink w:anchor="_Toc6472737" w:history="1">
        <w:r w:rsidR="007F2617" w:rsidRPr="003F35AD">
          <w:rPr>
            <w:rStyle w:val="Hyperlink"/>
            <w:rFonts w:eastAsia="Times New Roman"/>
          </w:rPr>
          <w:t>8.10.</w:t>
        </w:r>
        <w:r w:rsidR="007F2617">
          <w:rPr>
            <w:rFonts w:asciiTheme="minorHAnsi" w:eastAsiaTheme="minorEastAsia" w:hAnsiTheme="minorHAnsi" w:cstheme="minorBidi"/>
            <w:sz w:val="22"/>
            <w:szCs w:val="22"/>
          </w:rPr>
          <w:tab/>
        </w:r>
        <w:r w:rsidR="007F2617" w:rsidRPr="003F35AD">
          <w:rPr>
            <w:rStyle w:val="Hyperlink"/>
            <w:rFonts w:eastAsia="Times New Roman"/>
          </w:rPr>
          <w:t>Conclusion</w:t>
        </w:r>
        <w:r w:rsidR="007F2617">
          <w:rPr>
            <w:webHidden/>
          </w:rPr>
          <w:tab/>
        </w:r>
        <w:r w:rsidR="007F2617">
          <w:rPr>
            <w:webHidden/>
          </w:rPr>
          <w:fldChar w:fldCharType="begin"/>
        </w:r>
        <w:r w:rsidR="007F2617">
          <w:rPr>
            <w:webHidden/>
          </w:rPr>
          <w:instrText xml:space="preserve"> PAGEREF _Toc6472737 \h </w:instrText>
        </w:r>
        <w:r w:rsidR="007F2617">
          <w:rPr>
            <w:webHidden/>
          </w:rPr>
        </w:r>
        <w:r w:rsidR="007F2617">
          <w:rPr>
            <w:webHidden/>
          </w:rPr>
          <w:fldChar w:fldCharType="separate"/>
        </w:r>
        <w:r w:rsidR="00301AD4">
          <w:rPr>
            <w:webHidden/>
          </w:rPr>
          <w:t>166</w:t>
        </w:r>
        <w:r w:rsidR="007F2617">
          <w:rPr>
            <w:webHidden/>
          </w:rPr>
          <w:fldChar w:fldCharType="end"/>
        </w:r>
      </w:hyperlink>
    </w:p>
    <w:p w14:paraId="4851CFBD" w14:textId="77777777" w:rsidR="007F2617" w:rsidRDefault="000E3509" w:rsidP="007F2617">
      <w:pPr>
        <w:pStyle w:val="TOC1"/>
        <w:rPr>
          <w:rFonts w:asciiTheme="minorHAnsi" w:eastAsiaTheme="minorEastAsia" w:hAnsiTheme="minorHAnsi" w:cstheme="minorBidi"/>
          <w:sz w:val="22"/>
          <w:szCs w:val="22"/>
        </w:rPr>
      </w:pPr>
      <w:hyperlink w:anchor="_Toc6472738" w:history="1">
        <w:r w:rsidR="007F2617" w:rsidRPr="00017D27">
          <w:rPr>
            <w:rStyle w:val="Hyperlink"/>
            <w:rFonts w:eastAsia="MS Mincho"/>
            <w:b/>
            <w:bCs w:val="0"/>
            <w:lang w:val="en-US" w:eastAsia="en-US"/>
          </w:rPr>
          <w:t>Chapter 9: Results chapter for RQ2</w:t>
        </w:r>
        <w:r w:rsidR="007F2617">
          <w:rPr>
            <w:webHidden/>
          </w:rPr>
          <w:tab/>
        </w:r>
        <w:r w:rsidR="007F2617">
          <w:rPr>
            <w:webHidden/>
          </w:rPr>
          <w:fldChar w:fldCharType="begin"/>
        </w:r>
        <w:r w:rsidR="007F2617">
          <w:rPr>
            <w:webHidden/>
          </w:rPr>
          <w:instrText xml:space="preserve"> PAGEREF _Toc6472738 \h </w:instrText>
        </w:r>
        <w:r w:rsidR="007F2617">
          <w:rPr>
            <w:webHidden/>
          </w:rPr>
        </w:r>
        <w:r w:rsidR="007F2617">
          <w:rPr>
            <w:webHidden/>
          </w:rPr>
          <w:fldChar w:fldCharType="separate"/>
        </w:r>
        <w:r w:rsidR="00301AD4">
          <w:rPr>
            <w:webHidden/>
          </w:rPr>
          <w:t>168</w:t>
        </w:r>
        <w:r w:rsidR="007F2617">
          <w:rPr>
            <w:webHidden/>
          </w:rPr>
          <w:fldChar w:fldCharType="end"/>
        </w:r>
      </w:hyperlink>
    </w:p>
    <w:p w14:paraId="059B559D" w14:textId="77777777" w:rsidR="007F2617" w:rsidRDefault="000E3509" w:rsidP="007F2617">
      <w:pPr>
        <w:pStyle w:val="TOC1"/>
        <w:rPr>
          <w:rFonts w:asciiTheme="minorHAnsi" w:eastAsiaTheme="minorEastAsia" w:hAnsiTheme="minorHAnsi" w:cstheme="minorBidi"/>
          <w:sz w:val="22"/>
          <w:szCs w:val="22"/>
        </w:rPr>
      </w:pPr>
      <w:hyperlink w:anchor="_Toc6472739" w:history="1">
        <w:r w:rsidR="007F2617" w:rsidRPr="003F35AD">
          <w:rPr>
            <w:rStyle w:val="Hyperlink"/>
            <w:rFonts w:eastAsia="Times New Roman"/>
          </w:rPr>
          <w:t>9.1.</w:t>
        </w:r>
        <w:r w:rsidR="007F2617">
          <w:rPr>
            <w:rFonts w:asciiTheme="minorHAnsi" w:eastAsiaTheme="minorEastAsia" w:hAnsiTheme="minorHAnsi" w:cstheme="minorBidi"/>
            <w:sz w:val="22"/>
            <w:szCs w:val="22"/>
          </w:rPr>
          <w:tab/>
        </w:r>
        <w:r w:rsidR="007F2617" w:rsidRPr="003F35AD">
          <w:rPr>
            <w:rStyle w:val="Hyperlink"/>
            <w:rFonts w:eastAsia="Times New Roman"/>
          </w:rPr>
          <w:t>Introduction</w:t>
        </w:r>
        <w:r w:rsidR="007F2617">
          <w:rPr>
            <w:webHidden/>
          </w:rPr>
          <w:tab/>
        </w:r>
        <w:r w:rsidR="007F2617">
          <w:rPr>
            <w:webHidden/>
          </w:rPr>
          <w:fldChar w:fldCharType="begin"/>
        </w:r>
        <w:r w:rsidR="007F2617">
          <w:rPr>
            <w:webHidden/>
          </w:rPr>
          <w:instrText xml:space="preserve"> PAGEREF _Toc6472739 \h </w:instrText>
        </w:r>
        <w:r w:rsidR="007F2617">
          <w:rPr>
            <w:webHidden/>
          </w:rPr>
        </w:r>
        <w:r w:rsidR="007F2617">
          <w:rPr>
            <w:webHidden/>
          </w:rPr>
          <w:fldChar w:fldCharType="separate"/>
        </w:r>
        <w:r w:rsidR="00301AD4">
          <w:rPr>
            <w:webHidden/>
          </w:rPr>
          <w:t>168</w:t>
        </w:r>
        <w:r w:rsidR="007F2617">
          <w:rPr>
            <w:webHidden/>
          </w:rPr>
          <w:fldChar w:fldCharType="end"/>
        </w:r>
      </w:hyperlink>
    </w:p>
    <w:p w14:paraId="3330143E" w14:textId="77777777" w:rsidR="007F2617" w:rsidRDefault="000E3509" w:rsidP="007F2617">
      <w:pPr>
        <w:pStyle w:val="TOC1"/>
        <w:rPr>
          <w:rFonts w:asciiTheme="minorHAnsi" w:eastAsiaTheme="minorEastAsia" w:hAnsiTheme="minorHAnsi" w:cstheme="minorBidi"/>
          <w:sz w:val="22"/>
          <w:szCs w:val="22"/>
        </w:rPr>
      </w:pPr>
      <w:hyperlink w:anchor="_Toc6472740" w:history="1">
        <w:r w:rsidR="007F2617" w:rsidRPr="003F35AD">
          <w:rPr>
            <w:rStyle w:val="Hyperlink"/>
            <w:rFonts w:eastAsia="Times New Roman"/>
          </w:rPr>
          <w:t>9.2.</w:t>
        </w:r>
        <w:r w:rsidR="007F2617">
          <w:rPr>
            <w:rFonts w:asciiTheme="minorHAnsi" w:eastAsiaTheme="minorEastAsia" w:hAnsiTheme="minorHAnsi" w:cstheme="minorBidi"/>
            <w:sz w:val="22"/>
            <w:szCs w:val="22"/>
          </w:rPr>
          <w:tab/>
        </w:r>
        <w:r w:rsidR="007F2617" w:rsidRPr="003F35AD">
          <w:rPr>
            <w:rStyle w:val="Hyperlink"/>
            <w:rFonts w:eastAsia="Times New Roman"/>
          </w:rPr>
          <w:t>Overview of data analysis stages</w:t>
        </w:r>
        <w:r w:rsidR="007F2617">
          <w:rPr>
            <w:webHidden/>
          </w:rPr>
          <w:tab/>
        </w:r>
        <w:r w:rsidR="007F2617">
          <w:rPr>
            <w:webHidden/>
          </w:rPr>
          <w:fldChar w:fldCharType="begin"/>
        </w:r>
        <w:r w:rsidR="007F2617">
          <w:rPr>
            <w:webHidden/>
          </w:rPr>
          <w:instrText xml:space="preserve"> PAGEREF _Toc6472740 \h </w:instrText>
        </w:r>
        <w:r w:rsidR="007F2617">
          <w:rPr>
            <w:webHidden/>
          </w:rPr>
        </w:r>
        <w:r w:rsidR="007F2617">
          <w:rPr>
            <w:webHidden/>
          </w:rPr>
          <w:fldChar w:fldCharType="separate"/>
        </w:r>
        <w:r w:rsidR="00301AD4">
          <w:rPr>
            <w:webHidden/>
          </w:rPr>
          <w:t>168</w:t>
        </w:r>
        <w:r w:rsidR="007F2617">
          <w:rPr>
            <w:webHidden/>
          </w:rPr>
          <w:fldChar w:fldCharType="end"/>
        </w:r>
      </w:hyperlink>
    </w:p>
    <w:p w14:paraId="56856ECE" w14:textId="77777777" w:rsidR="007F2617" w:rsidRDefault="000E3509" w:rsidP="007F2617">
      <w:pPr>
        <w:pStyle w:val="TOC1"/>
        <w:rPr>
          <w:rFonts w:asciiTheme="minorHAnsi" w:eastAsiaTheme="minorEastAsia" w:hAnsiTheme="minorHAnsi" w:cstheme="minorBidi"/>
          <w:sz w:val="22"/>
          <w:szCs w:val="22"/>
        </w:rPr>
      </w:pPr>
      <w:hyperlink w:anchor="_Toc6472741" w:history="1">
        <w:r w:rsidR="007F2617" w:rsidRPr="003F35AD">
          <w:rPr>
            <w:rStyle w:val="Hyperlink"/>
            <w:rFonts w:eastAsia="Times New Roman"/>
          </w:rPr>
          <w:t>9.3.</w:t>
        </w:r>
        <w:r w:rsidR="007F2617">
          <w:rPr>
            <w:rFonts w:asciiTheme="minorHAnsi" w:eastAsiaTheme="minorEastAsia" w:hAnsiTheme="minorHAnsi" w:cstheme="minorBidi"/>
            <w:sz w:val="22"/>
            <w:szCs w:val="22"/>
          </w:rPr>
          <w:tab/>
        </w:r>
        <w:r w:rsidR="007F2617" w:rsidRPr="003F35AD">
          <w:rPr>
            <w:rStyle w:val="Hyperlink"/>
            <w:rFonts w:eastAsia="Times New Roman"/>
          </w:rPr>
          <w:t>Data-refining results: Reliability test</w:t>
        </w:r>
        <w:r w:rsidR="007F2617">
          <w:rPr>
            <w:webHidden/>
          </w:rPr>
          <w:tab/>
        </w:r>
        <w:r w:rsidR="007F2617">
          <w:rPr>
            <w:webHidden/>
          </w:rPr>
          <w:fldChar w:fldCharType="begin"/>
        </w:r>
        <w:r w:rsidR="007F2617">
          <w:rPr>
            <w:webHidden/>
          </w:rPr>
          <w:instrText xml:space="preserve"> PAGEREF _Toc6472741 \h </w:instrText>
        </w:r>
        <w:r w:rsidR="007F2617">
          <w:rPr>
            <w:webHidden/>
          </w:rPr>
        </w:r>
        <w:r w:rsidR="007F2617">
          <w:rPr>
            <w:webHidden/>
          </w:rPr>
          <w:fldChar w:fldCharType="separate"/>
        </w:r>
        <w:r w:rsidR="00301AD4">
          <w:rPr>
            <w:webHidden/>
          </w:rPr>
          <w:t>169</w:t>
        </w:r>
        <w:r w:rsidR="007F2617">
          <w:rPr>
            <w:webHidden/>
          </w:rPr>
          <w:fldChar w:fldCharType="end"/>
        </w:r>
      </w:hyperlink>
    </w:p>
    <w:p w14:paraId="57F8BE55" w14:textId="77777777" w:rsidR="007F2617" w:rsidRDefault="000E3509" w:rsidP="007F2617">
      <w:pPr>
        <w:pStyle w:val="TOC1"/>
        <w:rPr>
          <w:rFonts w:asciiTheme="minorHAnsi" w:eastAsiaTheme="minorEastAsia" w:hAnsiTheme="minorHAnsi" w:cstheme="minorBidi"/>
          <w:sz w:val="22"/>
          <w:szCs w:val="22"/>
        </w:rPr>
      </w:pPr>
      <w:hyperlink w:anchor="_Toc6472742" w:history="1">
        <w:r w:rsidR="007F2617" w:rsidRPr="003F35AD">
          <w:rPr>
            <w:rStyle w:val="Hyperlink"/>
            <w:rFonts w:eastAsia="Times New Roman"/>
          </w:rPr>
          <w:t>9.4.</w:t>
        </w:r>
        <w:r w:rsidR="007F2617">
          <w:rPr>
            <w:rFonts w:asciiTheme="minorHAnsi" w:eastAsiaTheme="minorEastAsia" w:hAnsiTheme="minorHAnsi" w:cstheme="minorBidi"/>
            <w:sz w:val="22"/>
            <w:szCs w:val="22"/>
          </w:rPr>
          <w:tab/>
        </w:r>
        <w:r w:rsidR="007F2617" w:rsidRPr="003F35AD">
          <w:rPr>
            <w:rStyle w:val="Hyperlink"/>
            <w:rFonts w:eastAsia="Times New Roman"/>
          </w:rPr>
          <w:t>Data-reduction results: Factor analysis</w:t>
        </w:r>
        <w:r w:rsidR="007F2617">
          <w:rPr>
            <w:webHidden/>
          </w:rPr>
          <w:tab/>
        </w:r>
        <w:r w:rsidR="007F2617">
          <w:rPr>
            <w:webHidden/>
          </w:rPr>
          <w:fldChar w:fldCharType="begin"/>
        </w:r>
        <w:r w:rsidR="007F2617">
          <w:rPr>
            <w:webHidden/>
          </w:rPr>
          <w:instrText xml:space="preserve"> PAGEREF _Toc6472742 \h </w:instrText>
        </w:r>
        <w:r w:rsidR="007F2617">
          <w:rPr>
            <w:webHidden/>
          </w:rPr>
        </w:r>
        <w:r w:rsidR="007F2617">
          <w:rPr>
            <w:webHidden/>
          </w:rPr>
          <w:fldChar w:fldCharType="separate"/>
        </w:r>
        <w:r w:rsidR="00301AD4">
          <w:rPr>
            <w:webHidden/>
          </w:rPr>
          <w:t>173</w:t>
        </w:r>
        <w:r w:rsidR="007F2617">
          <w:rPr>
            <w:webHidden/>
          </w:rPr>
          <w:fldChar w:fldCharType="end"/>
        </w:r>
      </w:hyperlink>
    </w:p>
    <w:p w14:paraId="7CAAB97D" w14:textId="16B0E7D3" w:rsidR="007F2617" w:rsidRDefault="000E3509">
      <w:pPr>
        <w:pStyle w:val="TOC2"/>
        <w:rPr>
          <w:rFonts w:asciiTheme="minorHAnsi" w:eastAsiaTheme="minorEastAsia" w:hAnsiTheme="minorHAnsi" w:cstheme="minorBidi"/>
          <w:bCs w:val="0"/>
          <w:noProof/>
          <w:sz w:val="22"/>
        </w:rPr>
      </w:pPr>
      <w:hyperlink w:anchor="_Toc6472743" w:history="1">
        <w:r w:rsidR="007F2617" w:rsidRPr="003F35AD">
          <w:rPr>
            <w:rStyle w:val="Hyperlink"/>
            <w:rFonts w:eastAsia="MS Mincho"/>
            <w:noProof/>
          </w:rPr>
          <w:t>9.4.1.</w:t>
        </w:r>
        <w:r w:rsidR="007F2617">
          <w:rPr>
            <w:rFonts w:asciiTheme="minorHAnsi" w:eastAsiaTheme="minorEastAsia" w:hAnsiTheme="minorHAnsi" w:cstheme="minorBidi"/>
            <w:bCs w:val="0"/>
            <w:noProof/>
            <w:sz w:val="22"/>
          </w:rPr>
          <w:tab/>
        </w:r>
        <w:r w:rsidR="007F2617" w:rsidRPr="003F35AD">
          <w:rPr>
            <w:rStyle w:val="Hyperlink"/>
            <w:rFonts w:eastAsia="MS Mincho"/>
            <w:noProof/>
          </w:rPr>
          <w:t xml:space="preserve">Checking the appropriateness of the data for factor </w:t>
        </w:r>
        <w:r w:rsidR="007F2617">
          <w:rPr>
            <w:rStyle w:val="Hyperlink"/>
            <w:rFonts w:eastAsia="MS Mincho"/>
            <w:noProof/>
          </w:rPr>
          <w:br/>
        </w:r>
        <w:r w:rsidR="007F2617" w:rsidRPr="003F35AD">
          <w:rPr>
            <w:rStyle w:val="Hyperlink"/>
            <w:rFonts w:eastAsia="MS Mincho"/>
            <w:noProof/>
          </w:rPr>
          <w:t>analysis</w:t>
        </w:r>
        <w:r w:rsidR="007F2617">
          <w:rPr>
            <w:noProof/>
            <w:webHidden/>
          </w:rPr>
          <w:tab/>
        </w:r>
        <w:r w:rsidR="007F2617">
          <w:rPr>
            <w:noProof/>
            <w:webHidden/>
          </w:rPr>
          <w:fldChar w:fldCharType="begin"/>
        </w:r>
        <w:r w:rsidR="007F2617">
          <w:rPr>
            <w:noProof/>
            <w:webHidden/>
          </w:rPr>
          <w:instrText xml:space="preserve"> PAGEREF _Toc6472743 \h </w:instrText>
        </w:r>
        <w:r w:rsidR="007F2617">
          <w:rPr>
            <w:noProof/>
            <w:webHidden/>
          </w:rPr>
        </w:r>
        <w:r w:rsidR="007F2617">
          <w:rPr>
            <w:noProof/>
            <w:webHidden/>
          </w:rPr>
          <w:fldChar w:fldCharType="separate"/>
        </w:r>
        <w:r w:rsidR="00301AD4">
          <w:rPr>
            <w:noProof/>
            <w:webHidden/>
          </w:rPr>
          <w:t>174</w:t>
        </w:r>
        <w:r w:rsidR="007F2617">
          <w:rPr>
            <w:noProof/>
            <w:webHidden/>
          </w:rPr>
          <w:fldChar w:fldCharType="end"/>
        </w:r>
      </w:hyperlink>
    </w:p>
    <w:p w14:paraId="3C9ADEDB" w14:textId="77777777" w:rsidR="007F2617" w:rsidRDefault="000E3509">
      <w:pPr>
        <w:pStyle w:val="TOC2"/>
        <w:rPr>
          <w:rFonts w:asciiTheme="minorHAnsi" w:eastAsiaTheme="minorEastAsia" w:hAnsiTheme="minorHAnsi" w:cstheme="minorBidi"/>
          <w:bCs w:val="0"/>
          <w:noProof/>
          <w:sz w:val="22"/>
        </w:rPr>
      </w:pPr>
      <w:hyperlink w:anchor="_Toc6472744" w:history="1">
        <w:r w:rsidR="007F2617" w:rsidRPr="003F35AD">
          <w:rPr>
            <w:rStyle w:val="Hyperlink"/>
            <w:rFonts w:eastAsia="MS Mincho"/>
            <w:noProof/>
          </w:rPr>
          <w:t>9.4.2.</w:t>
        </w:r>
        <w:r w:rsidR="007F2617">
          <w:rPr>
            <w:rFonts w:asciiTheme="minorHAnsi" w:eastAsiaTheme="minorEastAsia" w:hAnsiTheme="minorHAnsi" w:cstheme="minorBidi"/>
            <w:bCs w:val="0"/>
            <w:noProof/>
            <w:sz w:val="22"/>
          </w:rPr>
          <w:tab/>
        </w:r>
        <w:r w:rsidR="007F2617" w:rsidRPr="003F35AD">
          <w:rPr>
            <w:rStyle w:val="Hyperlink"/>
            <w:rFonts w:eastAsia="MS Mincho"/>
            <w:noProof/>
          </w:rPr>
          <w:t>Extracting the factors</w:t>
        </w:r>
        <w:r w:rsidR="007F2617">
          <w:rPr>
            <w:noProof/>
            <w:webHidden/>
          </w:rPr>
          <w:tab/>
        </w:r>
        <w:r w:rsidR="007F2617">
          <w:rPr>
            <w:noProof/>
            <w:webHidden/>
          </w:rPr>
          <w:fldChar w:fldCharType="begin"/>
        </w:r>
        <w:r w:rsidR="007F2617">
          <w:rPr>
            <w:noProof/>
            <w:webHidden/>
          </w:rPr>
          <w:instrText xml:space="preserve"> PAGEREF _Toc6472744 \h </w:instrText>
        </w:r>
        <w:r w:rsidR="007F2617">
          <w:rPr>
            <w:noProof/>
            <w:webHidden/>
          </w:rPr>
        </w:r>
        <w:r w:rsidR="007F2617">
          <w:rPr>
            <w:noProof/>
            <w:webHidden/>
          </w:rPr>
          <w:fldChar w:fldCharType="separate"/>
        </w:r>
        <w:r w:rsidR="00301AD4">
          <w:rPr>
            <w:noProof/>
            <w:webHidden/>
          </w:rPr>
          <w:t>175</w:t>
        </w:r>
        <w:r w:rsidR="007F2617">
          <w:rPr>
            <w:noProof/>
            <w:webHidden/>
          </w:rPr>
          <w:fldChar w:fldCharType="end"/>
        </w:r>
      </w:hyperlink>
    </w:p>
    <w:p w14:paraId="1C64475C" w14:textId="77777777" w:rsidR="007F2617" w:rsidRDefault="000E3509">
      <w:pPr>
        <w:pStyle w:val="TOC3"/>
        <w:rPr>
          <w:rFonts w:asciiTheme="minorHAnsi" w:eastAsiaTheme="minorEastAsia" w:hAnsiTheme="minorHAnsi" w:cstheme="minorBidi"/>
          <w:noProof/>
          <w:sz w:val="22"/>
        </w:rPr>
      </w:pPr>
      <w:hyperlink w:anchor="_Toc6472745" w:history="1">
        <w:r w:rsidR="007F2617" w:rsidRPr="003F35AD">
          <w:rPr>
            <w:rStyle w:val="Hyperlink"/>
            <w:rFonts w:eastAsia="MS Mincho"/>
            <w:noProof/>
          </w:rPr>
          <w:t>9.4.2.1.</w:t>
        </w:r>
        <w:r w:rsidR="007F2617">
          <w:rPr>
            <w:rFonts w:asciiTheme="minorHAnsi" w:eastAsiaTheme="minorEastAsia" w:hAnsiTheme="minorHAnsi" w:cstheme="minorBidi"/>
            <w:noProof/>
            <w:sz w:val="22"/>
          </w:rPr>
          <w:tab/>
        </w:r>
        <w:r w:rsidR="007F2617" w:rsidRPr="003F35AD">
          <w:rPr>
            <w:rStyle w:val="Hyperlink"/>
            <w:rFonts w:eastAsia="MS Mincho"/>
            <w:noProof/>
          </w:rPr>
          <w:t>First technique: Kaiser’s criterion</w:t>
        </w:r>
        <w:r w:rsidR="007F2617">
          <w:rPr>
            <w:noProof/>
            <w:webHidden/>
          </w:rPr>
          <w:tab/>
        </w:r>
        <w:r w:rsidR="007F2617">
          <w:rPr>
            <w:noProof/>
            <w:webHidden/>
          </w:rPr>
          <w:fldChar w:fldCharType="begin"/>
        </w:r>
        <w:r w:rsidR="007F2617">
          <w:rPr>
            <w:noProof/>
            <w:webHidden/>
          </w:rPr>
          <w:instrText xml:space="preserve"> PAGEREF _Toc6472745 \h </w:instrText>
        </w:r>
        <w:r w:rsidR="007F2617">
          <w:rPr>
            <w:noProof/>
            <w:webHidden/>
          </w:rPr>
        </w:r>
        <w:r w:rsidR="007F2617">
          <w:rPr>
            <w:noProof/>
            <w:webHidden/>
          </w:rPr>
          <w:fldChar w:fldCharType="separate"/>
        </w:r>
        <w:r w:rsidR="00301AD4">
          <w:rPr>
            <w:noProof/>
            <w:webHidden/>
          </w:rPr>
          <w:t>178</w:t>
        </w:r>
        <w:r w:rsidR="007F2617">
          <w:rPr>
            <w:noProof/>
            <w:webHidden/>
          </w:rPr>
          <w:fldChar w:fldCharType="end"/>
        </w:r>
      </w:hyperlink>
    </w:p>
    <w:p w14:paraId="4E12590E" w14:textId="77777777" w:rsidR="007F2617" w:rsidRDefault="000E3509">
      <w:pPr>
        <w:pStyle w:val="TOC3"/>
        <w:rPr>
          <w:rFonts w:asciiTheme="minorHAnsi" w:eastAsiaTheme="minorEastAsia" w:hAnsiTheme="minorHAnsi" w:cstheme="minorBidi"/>
          <w:noProof/>
          <w:sz w:val="22"/>
        </w:rPr>
      </w:pPr>
      <w:hyperlink w:anchor="_Toc6472746" w:history="1">
        <w:r w:rsidR="007F2617" w:rsidRPr="003F35AD">
          <w:rPr>
            <w:rStyle w:val="Hyperlink"/>
            <w:noProof/>
          </w:rPr>
          <w:t>9.4.2.2.</w:t>
        </w:r>
        <w:r w:rsidR="007F2617">
          <w:rPr>
            <w:rFonts w:asciiTheme="minorHAnsi" w:eastAsiaTheme="minorEastAsia" w:hAnsiTheme="minorHAnsi" w:cstheme="minorBidi"/>
            <w:noProof/>
            <w:sz w:val="22"/>
          </w:rPr>
          <w:tab/>
        </w:r>
        <w:r w:rsidR="007F2617" w:rsidRPr="003F35AD">
          <w:rPr>
            <w:rStyle w:val="Hyperlink"/>
            <w:noProof/>
          </w:rPr>
          <w:t>Second technique: Scree plot test</w:t>
        </w:r>
        <w:r w:rsidR="007F2617">
          <w:rPr>
            <w:noProof/>
            <w:webHidden/>
          </w:rPr>
          <w:tab/>
        </w:r>
        <w:r w:rsidR="007F2617">
          <w:rPr>
            <w:noProof/>
            <w:webHidden/>
          </w:rPr>
          <w:fldChar w:fldCharType="begin"/>
        </w:r>
        <w:r w:rsidR="007F2617">
          <w:rPr>
            <w:noProof/>
            <w:webHidden/>
          </w:rPr>
          <w:instrText xml:space="preserve"> PAGEREF _Toc6472746 \h </w:instrText>
        </w:r>
        <w:r w:rsidR="007F2617">
          <w:rPr>
            <w:noProof/>
            <w:webHidden/>
          </w:rPr>
        </w:r>
        <w:r w:rsidR="007F2617">
          <w:rPr>
            <w:noProof/>
            <w:webHidden/>
          </w:rPr>
          <w:fldChar w:fldCharType="separate"/>
        </w:r>
        <w:r w:rsidR="00301AD4">
          <w:rPr>
            <w:noProof/>
            <w:webHidden/>
          </w:rPr>
          <w:t>179</w:t>
        </w:r>
        <w:r w:rsidR="007F2617">
          <w:rPr>
            <w:noProof/>
            <w:webHidden/>
          </w:rPr>
          <w:fldChar w:fldCharType="end"/>
        </w:r>
      </w:hyperlink>
    </w:p>
    <w:p w14:paraId="30EF569D" w14:textId="77777777" w:rsidR="007F2617" w:rsidRDefault="000E3509">
      <w:pPr>
        <w:pStyle w:val="TOC3"/>
        <w:rPr>
          <w:rFonts w:asciiTheme="minorHAnsi" w:eastAsiaTheme="minorEastAsia" w:hAnsiTheme="minorHAnsi" w:cstheme="minorBidi"/>
          <w:noProof/>
          <w:sz w:val="22"/>
        </w:rPr>
      </w:pPr>
      <w:hyperlink w:anchor="_Toc6472747" w:history="1">
        <w:r w:rsidR="007F2617" w:rsidRPr="003F35AD">
          <w:rPr>
            <w:rStyle w:val="Hyperlink"/>
            <w:noProof/>
          </w:rPr>
          <w:t>9.4.2.3.</w:t>
        </w:r>
        <w:r w:rsidR="007F2617">
          <w:rPr>
            <w:rFonts w:asciiTheme="minorHAnsi" w:eastAsiaTheme="minorEastAsia" w:hAnsiTheme="minorHAnsi" w:cstheme="minorBidi"/>
            <w:noProof/>
            <w:sz w:val="22"/>
          </w:rPr>
          <w:tab/>
        </w:r>
        <w:r w:rsidR="007F2617" w:rsidRPr="003F35AD">
          <w:rPr>
            <w:rStyle w:val="Hyperlink"/>
            <w:noProof/>
          </w:rPr>
          <w:t>Third technique: Parallel analysis</w:t>
        </w:r>
        <w:r w:rsidR="007F2617">
          <w:rPr>
            <w:noProof/>
            <w:webHidden/>
          </w:rPr>
          <w:tab/>
        </w:r>
        <w:r w:rsidR="007F2617">
          <w:rPr>
            <w:noProof/>
            <w:webHidden/>
          </w:rPr>
          <w:fldChar w:fldCharType="begin"/>
        </w:r>
        <w:r w:rsidR="007F2617">
          <w:rPr>
            <w:noProof/>
            <w:webHidden/>
          </w:rPr>
          <w:instrText xml:space="preserve"> PAGEREF _Toc6472747 \h </w:instrText>
        </w:r>
        <w:r w:rsidR="007F2617">
          <w:rPr>
            <w:noProof/>
            <w:webHidden/>
          </w:rPr>
        </w:r>
        <w:r w:rsidR="007F2617">
          <w:rPr>
            <w:noProof/>
            <w:webHidden/>
          </w:rPr>
          <w:fldChar w:fldCharType="separate"/>
        </w:r>
        <w:r w:rsidR="00301AD4">
          <w:rPr>
            <w:noProof/>
            <w:webHidden/>
          </w:rPr>
          <w:t>181</w:t>
        </w:r>
        <w:r w:rsidR="007F2617">
          <w:rPr>
            <w:noProof/>
            <w:webHidden/>
          </w:rPr>
          <w:fldChar w:fldCharType="end"/>
        </w:r>
      </w:hyperlink>
    </w:p>
    <w:p w14:paraId="68DA876B" w14:textId="77777777" w:rsidR="007F2617" w:rsidRDefault="000E3509">
      <w:pPr>
        <w:pStyle w:val="TOC2"/>
        <w:rPr>
          <w:rFonts w:asciiTheme="minorHAnsi" w:eastAsiaTheme="minorEastAsia" w:hAnsiTheme="minorHAnsi" w:cstheme="minorBidi"/>
          <w:bCs w:val="0"/>
          <w:noProof/>
          <w:sz w:val="22"/>
        </w:rPr>
      </w:pPr>
      <w:hyperlink w:anchor="_Toc6472748" w:history="1">
        <w:r w:rsidR="007F2617" w:rsidRPr="003F35AD">
          <w:rPr>
            <w:rStyle w:val="Hyperlink"/>
            <w:noProof/>
          </w:rPr>
          <w:t>9.4.3.</w:t>
        </w:r>
        <w:r w:rsidR="007F2617">
          <w:rPr>
            <w:rFonts w:asciiTheme="minorHAnsi" w:eastAsiaTheme="minorEastAsia" w:hAnsiTheme="minorHAnsi" w:cstheme="minorBidi"/>
            <w:bCs w:val="0"/>
            <w:noProof/>
            <w:sz w:val="22"/>
          </w:rPr>
          <w:tab/>
        </w:r>
        <w:r w:rsidR="007F2617" w:rsidRPr="003F35AD">
          <w:rPr>
            <w:rStyle w:val="Hyperlink"/>
            <w:noProof/>
          </w:rPr>
          <w:t>Factor rotation and interpretation</w:t>
        </w:r>
        <w:r w:rsidR="007F2617">
          <w:rPr>
            <w:noProof/>
            <w:webHidden/>
          </w:rPr>
          <w:tab/>
        </w:r>
        <w:r w:rsidR="007F2617">
          <w:rPr>
            <w:noProof/>
            <w:webHidden/>
          </w:rPr>
          <w:fldChar w:fldCharType="begin"/>
        </w:r>
        <w:r w:rsidR="007F2617">
          <w:rPr>
            <w:noProof/>
            <w:webHidden/>
          </w:rPr>
          <w:instrText xml:space="preserve"> PAGEREF _Toc6472748 \h </w:instrText>
        </w:r>
        <w:r w:rsidR="007F2617">
          <w:rPr>
            <w:noProof/>
            <w:webHidden/>
          </w:rPr>
        </w:r>
        <w:r w:rsidR="007F2617">
          <w:rPr>
            <w:noProof/>
            <w:webHidden/>
          </w:rPr>
          <w:fldChar w:fldCharType="separate"/>
        </w:r>
        <w:r w:rsidR="00301AD4">
          <w:rPr>
            <w:noProof/>
            <w:webHidden/>
          </w:rPr>
          <w:t>183</w:t>
        </w:r>
        <w:r w:rsidR="007F2617">
          <w:rPr>
            <w:noProof/>
            <w:webHidden/>
          </w:rPr>
          <w:fldChar w:fldCharType="end"/>
        </w:r>
      </w:hyperlink>
    </w:p>
    <w:p w14:paraId="228A1187" w14:textId="77777777" w:rsidR="007F2617" w:rsidRDefault="000E3509">
      <w:pPr>
        <w:pStyle w:val="TOC2"/>
        <w:rPr>
          <w:rFonts w:asciiTheme="minorHAnsi" w:eastAsiaTheme="minorEastAsia" w:hAnsiTheme="minorHAnsi" w:cstheme="minorBidi"/>
          <w:bCs w:val="0"/>
          <w:noProof/>
          <w:sz w:val="22"/>
        </w:rPr>
      </w:pPr>
      <w:hyperlink w:anchor="_Toc6472749" w:history="1">
        <w:r w:rsidR="007F2617" w:rsidRPr="003F35AD">
          <w:rPr>
            <w:rStyle w:val="Hyperlink"/>
            <w:noProof/>
          </w:rPr>
          <w:t>9.4.4.</w:t>
        </w:r>
        <w:r w:rsidR="007F2617">
          <w:rPr>
            <w:rFonts w:asciiTheme="minorHAnsi" w:eastAsiaTheme="minorEastAsia" w:hAnsiTheme="minorHAnsi" w:cstheme="minorBidi"/>
            <w:bCs w:val="0"/>
            <w:noProof/>
            <w:sz w:val="22"/>
          </w:rPr>
          <w:tab/>
        </w:r>
        <w:r w:rsidR="007F2617" w:rsidRPr="003F35AD">
          <w:rPr>
            <w:rStyle w:val="Hyperlink"/>
            <w:noProof/>
          </w:rPr>
          <w:t>Final solution</w:t>
        </w:r>
        <w:r w:rsidR="007F2617">
          <w:rPr>
            <w:noProof/>
            <w:webHidden/>
          </w:rPr>
          <w:tab/>
        </w:r>
        <w:r w:rsidR="007F2617">
          <w:rPr>
            <w:noProof/>
            <w:webHidden/>
          </w:rPr>
          <w:fldChar w:fldCharType="begin"/>
        </w:r>
        <w:r w:rsidR="007F2617">
          <w:rPr>
            <w:noProof/>
            <w:webHidden/>
          </w:rPr>
          <w:instrText xml:space="preserve"> PAGEREF _Toc6472749 \h </w:instrText>
        </w:r>
        <w:r w:rsidR="007F2617">
          <w:rPr>
            <w:noProof/>
            <w:webHidden/>
          </w:rPr>
        </w:r>
        <w:r w:rsidR="007F2617">
          <w:rPr>
            <w:noProof/>
            <w:webHidden/>
          </w:rPr>
          <w:fldChar w:fldCharType="separate"/>
        </w:r>
        <w:r w:rsidR="00301AD4">
          <w:rPr>
            <w:noProof/>
            <w:webHidden/>
          </w:rPr>
          <w:t>187</w:t>
        </w:r>
        <w:r w:rsidR="007F2617">
          <w:rPr>
            <w:noProof/>
            <w:webHidden/>
          </w:rPr>
          <w:fldChar w:fldCharType="end"/>
        </w:r>
      </w:hyperlink>
    </w:p>
    <w:p w14:paraId="25CF32F9" w14:textId="77777777" w:rsidR="007F2617" w:rsidRDefault="000E3509">
      <w:pPr>
        <w:pStyle w:val="TOC2"/>
        <w:rPr>
          <w:rFonts w:asciiTheme="minorHAnsi" w:eastAsiaTheme="minorEastAsia" w:hAnsiTheme="minorHAnsi" w:cstheme="minorBidi"/>
          <w:bCs w:val="0"/>
          <w:noProof/>
          <w:sz w:val="22"/>
        </w:rPr>
      </w:pPr>
      <w:hyperlink w:anchor="_Toc6472750" w:history="1">
        <w:r w:rsidR="007F2617" w:rsidRPr="003F35AD">
          <w:rPr>
            <w:rStyle w:val="Hyperlink"/>
            <w:rFonts w:eastAsia="MS Mincho"/>
            <w:noProof/>
          </w:rPr>
          <w:t>9.4.5.</w:t>
        </w:r>
        <w:r w:rsidR="007F2617">
          <w:rPr>
            <w:rFonts w:asciiTheme="minorHAnsi" w:eastAsiaTheme="minorEastAsia" w:hAnsiTheme="minorHAnsi" w:cstheme="minorBidi"/>
            <w:bCs w:val="0"/>
            <w:noProof/>
            <w:sz w:val="22"/>
          </w:rPr>
          <w:tab/>
        </w:r>
        <w:r w:rsidR="007F2617" w:rsidRPr="003F35AD">
          <w:rPr>
            <w:rStyle w:val="Hyperlink"/>
            <w:rFonts w:eastAsia="MS Mincho"/>
            <w:noProof/>
          </w:rPr>
          <w:t>Naming the factors</w:t>
        </w:r>
        <w:r w:rsidR="007F2617">
          <w:rPr>
            <w:noProof/>
            <w:webHidden/>
          </w:rPr>
          <w:tab/>
        </w:r>
        <w:r w:rsidR="007F2617">
          <w:rPr>
            <w:noProof/>
            <w:webHidden/>
          </w:rPr>
          <w:fldChar w:fldCharType="begin"/>
        </w:r>
        <w:r w:rsidR="007F2617">
          <w:rPr>
            <w:noProof/>
            <w:webHidden/>
          </w:rPr>
          <w:instrText xml:space="preserve"> PAGEREF _Toc6472750 \h </w:instrText>
        </w:r>
        <w:r w:rsidR="007F2617">
          <w:rPr>
            <w:noProof/>
            <w:webHidden/>
          </w:rPr>
        </w:r>
        <w:r w:rsidR="007F2617">
          <w:rPr>
            <w:noProof/>
            <w:webHidden/>
          </w:rPr>
          <w:fldChar w:fldCharType="separate"/>
        </w:r>
        <w:r w:rsidR="00301AD4">
          <w:rPr>
            <w:noProof/>
            <w:webHidden/>
          </w:rPr>
          <w:t>191</w:t>
        </w:r>
        <w:r w:rsidR="007F2617">
          <w:rPr>
            <w:noProof/>
            <w:webHidden/>
          </w:rPr>
          <w:fldChar w:fldCharType="end"/>
        </w:r>
      </w:hyperlink>
    </w:p>
    <w:p w14:paraId="18E34683" w14:textId="77777777" w:rsidR="007F2617" w:rsidRDefault="000E3509" w:rsidP="007F2617">
      <w:pPr>
        <w:pStyle w:val="TOC1"/>
        <w:rPr>
          <w:rFonts w:asciiTheme="minorHAnsi" w:eastAsiaTheme="minorEastAsia" w:hAnsiTheme="minorHAnsi" w:cstheme="minorBidi"/>
          <w:sz w:val="22"/>
          <w:szCs w:val="22"/>
        </w:rPr>
      </w:pPr>
      <w:hyperlink w:anchor="_Toc6472751" w:history="1">
        <w:r w:rsidR="007F2617" w:rsidRPr="003F35AD">
          <w:rPr>
            <w:rStyle w:val="Hyperlink"/>
            <w:rFonts w:eastAsia="MS Mincho"/>
          </w:rPr>
          <w:t>9.5.</w:t>
        </w:r>
        <w:r w:rsidR="007F2617">
          <w:rPr>
            <w:rFonts w:asciiTheme="minorHAnsi" w:eastAsiaTheme="minorEastAsia" w:hAnsiTheme="minorHAnsi" w:cstheme="minorBidi"/>
            <w:sz w:val="22"/>
            <w:szCs w:val="22"/>
          </w:rPr>
          <w:tab/>
        </w:r>
        <w:r w:rsidR="007F2617" w:rsidRPr="003F35AD">
          <w:rPr>
            <w:rStyle w:val="Hyperlink"/>
            <w:rFonts w:eastAsia="MS Mincho"/>
          </w:rPr>
          <w:t>Data comparison results</w:t>
        </w:r>
        <w:r w:rsidR="007F2617">
          <w:rPr>
            <w:webHidden/>
          </w:rPr>
          <w:tab/>
        </w:r>
        <w:r w:rsidR="007F2617">
          <w:rPr>
            <w:webHidden/>
          </w:rPr>
          <w:fldChar w:fldCharType="begin"/>
        </w:r>
        <w:r w:rsidR="007F2617">
          <w:rPr>
            <w:webHidden/>
          </w:rPr>
          <w:instrText xml:space="preserve"> PAGEREF _Toc6472751 \h </w:instrText>
        </w:r>
        <w:r w:rsidR="007F2617">
          <w:rPr>
            <w:webHidden/>
          </w:rPr>
        </w:r>
        <w:r w:rsidR="007F2617">
          <w:rPr>
            <w:webHidden/>
          </w:rPr>
          <w:fldChar w:fldCharType="separate"/>
        </w:r>
        <w:r w:rsidR="00301AD4">
          <w:rPr>
            <w:webHidden/>
          </w:rPr>
          <w:t>192</w:t>
        </w:r>
        <w:r w:rsidR="007F2617">
          <w:rPr>
            <w:webHidden/>
          </w:rPr>
          <w:fldChar w:fldCharType="end"/>
        </w:r>
      </w:hyperlink>
    </w:p>
    <w:p w14:paraId="6214D113" w14:textId="77777777" w:rsidR="007F2617" w:rsidRDefault="000E3509">
      <w:pPr>
        <w:pStyle w:val="TOC2"/>
        <w:rPr>
          <w:rFonts w:asciiTheme="minorHAnsi" w:eastAsiaTheme="minorEastAsia" w:hAnsiTheme="minorHAnsi" w:cstheme="minorBidi"/>
          <w:bCs w:val="0"/>
          <w:noProof/>
          <w:sz w:val="22"/>
        </w:rPr>
      </w:pPr>
      <w:hyperlink w:anchor="_Toc6472752" w:history="1">
        <w:r w:rsidR="007F2617" w:rsidRPr="003F35AD">
          <w:rPr>
            <w:rStyle w:val="Hyperlink"/>
            <w:rFonts w:eastAsia="MS Mincho"/>
            <w:noProof/>
          </w:rPr>
          <w:t>9.5.1.</w:t>
        </w:r>
        <w:r w:rsidR="007F2617">
          <w:rPr>
            <w:rFonts w:asciiTheme="minorHAnsi" w:eastAsiaTheme="minorEastAsia" w:hAnsiTheme="minorHAnsi" w:cstheme="minorBidi"/>
            <w:bCs w:val="0"/>
            <w:noProof/>
            <w:sz w:val="22"/>
          </w:rPr>
          <w:tab/>
        </w:r>
        <w:r w:rsidR="007F2617" w:rsidRPr="003F35AD">
          <w:rPr>
            <w:rStyle w:val="Hyperlink"/>
            <w:rFonts w:eastAsia="MS Mincho"/>
            <w:noProof/>
          </w:rPr>
          <w:t>Comparing the factor mean scores: UBH participants</w:t>
        </w:r>
        <w:r w:rsidR="007F2617">
          <w:rPr>
            <w:noProof/>
            <w:webHidden/>
          </w:rPr>
          <w:tab/>
        </w:r>
        <w:r w:rsidR="007F2617">
          <w:rPr>
            <w:noProof/>
            <w:webHidden/>
          </w:rPr>
          <w:fldChar w:fldCharType="begin"/>
        </w:r>
        <w:r w:rsidR="007F2617">
          <w:rPr>
            <w:noProof/>
            <w:webHidden/>
          </w:rPr>
          <w:instrText xml:space="preserve"> PAGEREF _Toc6472752 \h </w:instrText>
        </w:r>
        <w:r w:rsidR="007F2617">
          <w:rPr>
            <w:noProof/>
            <w:webHidden/>
          </w:rPr>
        </w:r>
        <w:r w:rsidR="007F2617">
          <w:rPr>
            <w:noProof/>
            <w:webHidden/>
          </w:rPr>
          <w:fldChar w:fldCharType="separate"/>
        </w:r>
        <w:r w:rsidR="00301AD4">
          <w:rPr>
            <w:noProof/>
            <w:webHidden/>
          </w:rPr>
          <w:t>193</w:t>
        </w:r>
        <w:r w:rsidR="007F2617">
          <w:rPr>
            <w:noProof/>
            <w:webHidden/>
          </w:rPr>
          <w:fldChar w:fldCharType="end"/>
        </w:r>
      </w:hyperlink>
    </w:p>
    <w:p w14:paraId="53A5BCAA" w14:textId="77777777" w:rsidR="007F2617" w:rsidRDefault="000E3509">
      <w:pPr>
        <w:pStyle w:val="TOC2"/>
        <w:rPr>
          <w:rFonts w:asciiTheme="minorHAnsi" w:eastAsiaTheme="minorEastAsia" w:hAnsiTheme="minorHAnsi" w:cstheme="minorBidi"/>
          <w:bCs w:val="0"/>
          <w:noProof/>
          <w:sz w:val="22"/>
        </w:rPr>
      </w:pPr>
      <w:hyperlink w:anchor="_Toc6472753" w:history="1">
        <w:r w:rsidR="007F2617" w:rsidRPr="003F35AD">
          <w:rPr>
            <w:rStyle w:val="Hyperlink"/>
            <w:rFonts w:eastAsia="MS Mincho"/>
            <w:noProof/>
          </w:rPr>
          <w:t>9.5.2.</w:t>
        </w:r>
        <w:r w:rsidR="007F2617">
          <w:rPr>
            <w:rFonts w:asciiTheme="minorHAnsi" w:eastAsiaTheme="minorEastAsia" w:hAnsiTheme="minorHAnsi" w:cstheme="minorBidi"/>
            <w:bCs w:val="0"/>
            <w:noProof/>
            <w:sz w:val="22"/>
          </w:rPr>
          <w:tab/>
        </w:r>
        <w:r w:rsidR="007F2617" w:rsidRPr="003F35AD">
          <w:rPr>
            <w:rStyle w:val="Hyperlink"/>
            <w:rFonts w:eastAsia="MS Mincho"/>
            <w:noProof/>
          </w:rPr>
          <w:t>Comparing the factor mean scores: HH participants</w:t>
        </w:r>
        <w:r w:rsidR="007F2617">
          <w:rPr>
            <w:noProof/>
            <w:webHidden/>
          </w:rPr>
          <w:tab/>
        </w:r>
        <w:r w:rsidR="007F2617">
          <w:rPr>
            <w:noProof/>
            <w:webHidden/>
          </w:rPr>
          <w:fldChar w:fldCharType="begin"/>
        </w:r>
        <w:r w:rsidR="007F2617">
          <w:rPr>
            <w:noProof/>
            <w:webHidden/>
          </w:rPr>
          <w:instrText xml:space="preserve"> PAGEREF _Toc6472753 \h </w:instrText>
        </w:r>
        <w:r w:rsidR="007F2617">
          <w:rPr>
            <w:noProof/>
            <w:webHidden/>
          </w:rPr>
        </w:r>
        <w:r w:rsidR="007F2617">
          <w:rPr>
            <w:noProof/>
            <w:webHidden/>
          </w:rPr>
          <w:fldChar w:fldCharType="separate"/>
        </w:r>
        <w:r w:rsidR="00301AD4">
          <w:rPr>
            <w:noProof/>
            <w:webHidden/>
          </w:rPr>
          <w:t>194</w:t>
        </w:r>
        <w:r w:rsidR="007F2617">
          <w:rPr>
            <w:noProof/>
            <w:webHidden/>
          </w:rPr>
          <w:fldChar w:fldCharType="end"/>
        </w:r>
      </w:hyperlink>
    </w:p>
    <w:p w14:paraId="18439BC7" w14:textId="77777777" w:rsidR="007F2617" w:rsidRDefault="000E3509" w:rsidP="007F2617">
      <w:pPr>
        <w:pStyle w:val="TOC1"/>
        <w:rPr>
          <w:rFonts w:asciiTheme="minorHAnsi" w:eastAsiaTheme="minorEastAsia" w:hAnsiTheme="minorHAnsi" w:cstheme="minorBidi"/>
          <w:sz w:val="22"/>
          <w:szCs w:val="22"/>
        </w:rPr>
      </w:pPr>
      <w:hyperlink w:anchor="_Toc6472754" w:history="1">
        <w:r w:rsidR="007F2617" w:rsidRPr="003F35AD">
          <w:rPr>
            <w:rStyle w:val="Hyperlink"/>
            <w:rFonts w:eastAsia="Times New Roman"/>
          </w:rPr>
          <w:t>9.6.</w:t>
        </w:r>
        <w:r w:rsidR="007F2617">
          <w:rPr>
            <w:rFonts w:asciiTheme="minorHAnsi" w:eastAsiaTheme="minorEastAsia" w:hAnsiTheme="minorHAnsi" w:cstheme="minorBidi"/>
            <w:sz w:val="22"/>
            <w:szCs w:val="22"/>
          </w:rPr>
          <w:tab/>
        </w:r>
        <w:r w:rsidR="007F2617" w:rsidRPr="003F35AD">
          <w:rPr>
            <w:rStyle w:val="Hyperlink"/>
            <w:rFonts w:eastAsia="Times New Roman"/>
          </w:rPr>
          <w:t>Effects of social background on participants’ perceptions</w:t>
        </w:r>
        <w:r w:rsidR="007F2617">
          <w:rPr>
            <w:webHidden/>
          </w:rPr>
          <w:tab/>
        </w:r>
        <w:r w:rsidR="007F2617">
          <w:rPr>
            <w:webHidden/>
          </w:rPr>
          <w:fldChar w:fldCharType="begin"/>
        </w:r>
        <w:r w:rsidR="007F2617">
          <w:rPr>
            <w:webHidden/>
          </w:rPr>
          <w:instrText xml:space="preserve"> PAGEREF _Toc6472754 \h </w:instrText>
        </w:r>
        <w:r w:rsidR="007F2617">
          <w:rPr>
            <w:webHidden/>
          </w:rPr>
        </w:r>
        <w:r w:rsidR="007F2617">
          <w:rPr>
            <w:webHidden/>
          </w:rPr>
          <w:fldChar w:fldCharType="separate"/>
        </w:r>
        <w:r w:rsidR="00301AD4">
          <w:rPr>
            <w:webHidden/>
          </w:rPr>
          <w:t>196</w:t>
        </w:r>
        <w:r w:rsidR="007F2617">
          <w:rPr>
            <w:webHidden/>
          </w:rPr>
          <w:fldChar w:fldCharType="end"/>
        </w:r>
      </w:hyperlink>
    </w:p>
    <w:p w14:paraId="74BBE8D9" w14:textId="77777777" w:rsidR="007F2617" w:rsidRDefault="000E3509">
      <w:pPr>
        <w:pStyle w:val="TOC2"/>
        <w:rPr>
          <w:rFonts w:asciiTheme="minorHAnsi" w:eastAsiaTheme="minorEastAsia" w:hAnsiTheme="minorHAnsi" w:cstheme="minorBidi"/>
          <w:bCs w:val="0"/>
          <w:noProof/>
          <w:sz w:val="22"/>
        </w:rPr>
      </w:pPr>
      <w:hyperlink w:anchor="_Toc6472755" w:history="1">
        <w:r w:rsidR="007F2617" w:rsidRPr="003F35AD">
          <w:rPr>
            <w:rStyle w:val="Hyperlink"/>
            <w:noProof/>
          </w:rPr>
          <w:t>9.6.1.</w:t>
        </w:r>
        <w:r w:rsidR="007F2617">
          <w:rPr>
            <w:rFonts w:asciiTheme="minorHAnsi" w:eastAsiaTheme="minorEastAsia" w:hAnsiTheme="minorHAnsi" w:cstheme="minorBidi"/>
            <w:bCs w:val="0"/>
            <w:noProof/>
            <w:sz w:val="22"/>
          </w:rPr>
          <w:tab/>
        </w:r>
        <w:r w:rsidR="007F2617" w:rsidRPr="003F35AD">
          <w:rPr>
            <w:rStyle w:val="Hyperlink"/>
            <w:noProof/>
          </w:rPr>
          <w:t>Effects of demographic variables on both factors in UBH and HH dialects; from UBH participants</w:t>
        </w:r>
        <w:r w:rsidR="007F2617">
          <w:rPr>
            <w:noProof/>
            <w:webHidden/>
          </w:rPr>
          <w:tab/>
        </w:r>
        <w:r w:rsidR="007F2617">
          <w:rPr>
            <w:noProof/>
            <w:webHidden/>
          </w:rPr>
          <w:fldChar w:fldCharType="begin"/>
        </w:r>
        <w:r w:rsidR="007F2617">
          <w:rPr>
            <w:noProof/>
            <w:webHidden/>
          </w:rPr>
          <w:instrText xml:space="preserve"> PAGEREF _Toc6472755 \h </w:instrText>
        </w:r>
        <w:r w:rsidR="007F2617">
          <w:rPr>
            <w:noProof/>
            <w:webHidden/>
          </w:rPr>
        </w:r>
        <w:r w:rsidR="007F2617">
          <w:rPr>
            <w:noProof/>
            <w:webHidden/>
          </w:rPr>
          <w:fldChar w:fldCharType="separate"/>
        </w:r>
        <w:r w:rsidR="00301AD4">
          <w:rPr>
            <w:noProof/>
            <w:webHidden/>
          </w:rPr>
          <w:t>197</w:t>
        </w:r>
        <w:r w:rsidR="007F2617">
          <w:rPr>
            <w:noProof/>
            <w:webHidden/>
          </w:rPr>
          <w:fldChar w:fldCharType="end"/>
        </w:r>
      </w:hyperlink>
    </w:p>
    <w:p w14:paraId="67E0B894" w14:textId="77777777" w:rsidR="007F2617" w:rsidRDefault="000E3509">
      <w:pPr>
        <w:pStyle w:val="TOC2"/>
        <w:rPr>
          <w:rFonts w:asciiTheme="minorHAnsi" w:eastAsiaTheme="minorEastAsia" w:hAnsiTheme="minorHAnsi" w:cstheme="minorBidi"/>
          <w:bCs w:val="0"/>
          <w:noProof/>
          <w:sz w:val="22"/>
        </w:rPr>
      </w:pPr>
      <w:hyperlink w:anchor="_Toc6472756" w:history="1">
        <w:r w:rsidR="007F2617" w:rsidRPr="003F35AD">
          <w:rPr>
            <w:rStyle w:val="Hyperlink"/>
            <w:noProof/>
          </w:rPr>
          <w:t>9.6.2.</w:t>
        </w:r>
        <w:r w:rsidR="007F2617">
          <w:rPr>
            <w:rFonts w:asciiTheme="minorHAnsi" w:eastAsiaTheme="minorEastAsia" w:hAnsiTheme="minorHAnsi" w:cstheme="minorBidi"/>
            <w:bCs w:val="0"/>
            <w:noProof/>
            <w:sz w:val="22"/>
          </w:rPr>
          <w:tab/>
        </w:r>
        <w:r w:rsidR="007F2617" w:rsidRPr="003F35AD">
          <w:rPr>
            <w:rStyle w:val="Hyperlink"/>
            <w:noProof/>
          </w:rPr>
          <w:t>Effects of demographic variables on both factors in UBH and HH dialect; from HH participants</w:t>
        </w:r>
        <w:r w:rsidR="007F2617">
          <w:rPr>
            <w:noProof/>
            <w:webHidden/>
          </w:rPr>
          <w:tab/>
        </w:r>
        <w:r w:rsidR="007F2617">
          <w:rPr>
            <w:noProof/>
            <w:webHidden/>
          </w:rPr>
          <w:fldChar w:fldCharType="begin"/>
        </w:r>
        <w:r w:rsidR="007F2617">
          <w:rPr>
            <w:noProof/>
            <w:webHidden/>
          </w:rPr>
          <w:instrText xml:space="preserve"> PAGEREF _Toc6472756 \h </w:instrText>
        </w:r>
        <w:r w:rsidR="007F2617">
          <w:rPr>
            <w:noProof/>
            <w:webHidden/>
          </w:rPr>
        </w:r>
        <w:r w:rsidR="007F2617">
          <w:rPr>
            <w:noProof/>
            <w:webHidden/>
          </w:rPr>
          <w:fldChar w:fldCharType="separate"/>
        </w:r>
        <w:r w:rsidR="00301AD4">
          <w:rPr>
            <w:noProof/>
            <w:webHidden/>
          </w:rPr>
          <w:t>200</w:t>
        </w:r>
        <w:r w:rsidR="007F2617">
          <w:rPr>
            <w:noProof/>
            <w:webHidden/>
          </w:rPr>
          <w:fldChar w:fldCharType="end"/>
        </w:r>
      </w:hyperlink>
    </w:p>
    <w:p w14:paraId="3315E740" w14:textId="77777777" w:rsidR="007F2617" w:rsidRDefault="000E3509" w:rsidP="00017D27">
      <w:pPr>
        <w:pStyle w:val="TOC1"/>
        <w:spacing w:after="240"/>
        <w:rPr>
          <w:rFonts w:asciiTheme="minorHAnsi" w:eastAsiaTheme="minorEastAsia" w:hAnsiTheme="minorHAnsi" w:cstheme="minorBidi"/>
          <w:sz w:val="22"/>
          <w:szCs w:val="22"/>
        </w:rPr>
      </w:pPr>
      <w:hyperlink w:anchor="_Toc6472757" w:history="1">
        <w:r w:rsidR="007F2617" w:rsidRPr="003F35AD">
          <w:rPr>
            <w:rStyle w:val="Hyperlink"/>
            <w:rFonts w:eastAsia="Times New Roman"/>
          </w:rPr>
          <w:t>9.7.</w:t>
        </w:r>
        <w:r w:rsidR="007F2617">
          <w:rPr>
            <w:rFonts w:asciiTheme="minorHAnsi" w:eastAsiaTheme="minorEastAsia" w:hAnsiTheme="minorHAnsi" w:cstheme="minorBidi"/>
            <w:sz w:val="22"/>
            <w:szCs w:val="22"/>
          </w:rPr>
          <w:tab/>
        </w:r>
        <w:r w:rsidR="007F2617" w:rsidRPr="003F35AD">
          <w:rPr>
            <w:rStyle w:val="Hyperlink"/>
            <w:rFonts w:eastAsia="Times New Roman"/>
          </w:rPr>
          <w:t>Conclusion</w:t>
        </w:r>
        <w:r w:rsidR="007F2617">
          <w:rPr>
            <w:webHidden/>
          </w:rPr>
          <w:tab/>
        </w:r>
        <w:r w:rsidR="007F2617">
          <w:rPr>
            <w:webHidden/>
          </w:rPr>
          <w:fldChar w:fldCharType="begin"/>
        </w:r>
        <w:r w:rsidR="007F2617">
          <w:rPr>
            <w:webHidden/>
          </w:rPr>
          <w:instrText xml:space="preserve"> PAGEREF _Toc6472757 \h </w:instrText>
        </w:r>
        <w:r w:rsidR="007F2617">
          <w:rPr>
            <w:webHidden/>
          </w:rPr>
        </w:r>
        <w:r w:rsidR="007F2617">
          <w:rPr>
            <w:webHidden/>
          </w:rPr>
          <w:fldChar w:fldCharType="separate"/>
        </w:r>
        <w:r w:rsidR="00301AD4">
          <w:rPr>
            <w:webHidden/>
          </w:rPr>
          <w:t>201</w:t>
        </w:r>
        <w:r w:rsidR="007F2617">
          <w:rPr>
            <w:webHidden/>
          </w:rPr>
          <w:fldChar w:fldCharType="end"/>
        </w:r>
      </w:hyperlink>
    </w:p>
    <w:p w14:paraId="6A5541C9" w14:textId="77777777" w:rsidR="007F2617" w:rsidRDefault="000E3509" w:rsidP="007F2617">
      <w:pPr>
        <w:pStyle w:val="TOC1"/>
        <w:rPr>
          <w:rFonts w:asciiTheme="minorHAnsi" w:eastAsiaTheme="minorEastAsia" w:hAnsiTheme="minorHAnsi" w:cstheme="minorBidi"/>
          <w:sz w:val="22"/>
          <w:szCs w:val="22"/>
        </w:rPr>
      </w:pPr>
      <w:hyperlink w:anchor="_Toc6472758" w:history="1">
        <w:r w:rsidR="007F2617" w:rsidRPr="00017D27">
          <w:rPr>
            <w:rStyle w:val="Hyperlink"/>
            <w:rFonts w:eastAsia="SimSun"/>
            <w:b/>
            <w:bCs w:val="0"/>
            <w:lang w:eastAsia="zh-CN"/>
          </w:rPr>
          <w:t>Chapter 10: Discussion chapter for RQ2</w:t>
        </w:r>
        <w:r w:rsidR="007F2617">
          <w:rPr>
            <w:webHidden/>
          </w:rPr>
          <w:tab/>
        </w:r>
        <w:r w:rsidR="007F2617">
          <w:rPr>
            <w:webHidden/>
          </w:rPr>
          <w:fldChar w:fldCharType="begin"/>
        </w:r>
        <w:r w:rsidR="007F2617">
          <w:rPr>
            <w:webHidden/>
          </w:rPr>
          <w:instrText xml:space="preserve"> PAGEREF _Toc6472758 \h </w:instrText>
        </w:r>
        <w:r w:rsidR="007F2617">
          <w:rPr>
            <w:webHidden/>
          </w:rPr>
        </w:r>
        <w:r w:rsidR="007F2617">
          <w:rPr>
            <w:webHidden/>
          </w:rPr>
          <w:fldChar w:fldCharType="separate"/>
        </w:r>
        <w:r w:rsidR="00301AD4">
          <w:rPr>
            <w:webHidden/>
          </w:rPr>
          <w:t>202</w:t>
        </w:r>
        <w:r w:rsidR="007F2617">
          <w:rPr>
            <w:webHidden/>
          </w:rPr>
          <w:fldChar w:fldCharType="end"/>
        </w:r>
      </w:hyperlink>
    </w:p>
    <w:p w14:paraId="63C9BD6B" w14:textId="77777777" w:rsidR="007F2617" w:rsidRDefault="000E3509" w:rsidP="007F2617">
      <w:pPr>
        <w:pStyle w:val="TOC1"/>
        <w:rPr>
          <w:rFonts w:asciiTheme="minorHAnsi" w:eastAsiaTheme="minorEastAsia" w:hAnsiTheme="minorHAnsi" w:cstheme="minorBidi"/>
          <w:sz w:val="22"/>
          <w:szCs w:val="22"/>
        </w:rPr>
      </w:pPr>
      <w:hyperlink w:anchor="_Toc6472759" w:history="1">
        <w:r w:rsidR="007F2617" w:rsidRPr="003F35AD">
          <w:rPr>
            <w:rStyle w:val="Hyperlink"/>
            <w:rFonts w:eastAsia="SimSun"/>
          </w:rPr>
          <w:t>10.1.</w:t>
        </w:r>
        <w:r w:rsidR="007F2617">
          <w:rPr>
            <w:rFonts w:asciiTheme="minorHAnsi" w:eastAsiaTheme="minorEastAsia" w:hAnsiTheme="minorHAnsi" w:cstheme="minorBidi"/>
            <w:sz w:val="22"/>
            <w:szCs w:val="22"/>
          </w:rPr>
          <w:tab/>
        </w:r>
        <w:r w:rsidR="007F2617" w:rsidRPr="003F35AD">
          <w:rPr>
            <w:rStyle w:val="Hyperlink"/>
            <w:rFonts w:eastAsia="SimSun"/>
          </w:rPr>
          <w:t>Introduction</w:t>
        </w:r>
        <w:r w:rsidR="007F2617">
          <w:rPr>
            <w:webHidden/>
          </w:rPr>
          <w:tab/>
        </w:r>
        <w:r w:rsidR="007F2617">
          <w:rPr>
            <w:webHidden/>
          </w:rPr>
          <w:fldChar w:fldCharType="begin"/>
        </w:r>
        <w:r w:rsidR="007F2617">
          <w:rPr>
            <w:webHidden/>
          </w:rPr>
          <w:instrText xml:space="preserve"> PAGEREF _Toc6472759 \h </w:instrText>
        </w:r>
        <w:r w:rsidR="007F2617">
          <w:rPr>
            <w:webHidden/>
          </w:rPr>
        </w:r>
        <w:r w:rsidR="007F2617">
          <w:rPr>
            <w:webHidden/>
          </w:rPr>
          <w:fldChar w:fldCharType="separate"/>
        </w:r>
        <w:r w:rsidR="00301AD4">
          <w:rPr>
            <w:webHidden/>
          </w:rPr>
          <w:t>202</w:t>
        </w:r>
        <w:r w:rsidR="007F2617">
          <w:rPr>
            <w:webHidden/>
          </w:rPr>
          <w:fldChar w:fldCharType="end"/>
        </w:r>
      </w:hyperlink>
    </w:p>
    <w:p w14:paraId="4D74A64F" w14:textId="77777777" w:rsidR="007F2617" w:rsidRDefault="000E3509" w:rsidP="007F2617">
      <w:pPr>
        <w:pStyle w:val="TOC1"/>
        <w:rPr>
          <w:rFonts w:asciiTheme="minorHAnsi" w:eastAsiaTheme="minorEastAsia" w:hAnsiTheme="minorHAnsi" w:cstheme="minorBidi"/>
          <w:sz w:val="22"/>
          <w:szCs w:val="22"/>
        </w:rPr>
      </w:pPr>
      <w:hyperlink w:anchor="_Toc6472760" w:history="1">
        <w:r w:rsidR="007F2617" w:rsidRPr="003F35AD">
          <w:rPr>
            <w:rStyle w:val="Hyperlink"/>
            <w:rFonts w:eastAsia="SimSun"/>
          </w:rPr>
          <w:t>10.2.</w:t>
        </w:r>
        <w:r w:rsidR="007F2617">
          <w:rPr>
            <w:rFonts w:asciiTheme="minorHAnsi" w:eastAsiaTheme="minorEastAsia" w:hAnsiTheme="minorHAnsi" w:cstheme="minorBidi"/>
            <w:sz w:val="22"/>
            <w:szCs w:val="22"/>
          </w:rPr>
          <w:tab/>
        </w:r>
        <w:r w:rsidR="007F2617" w:rsidRPr="003F35AD">
          <w:rPr>
            <w:rStyle w:val="Hyperlink"/>
            <w:rFonts w:eastAsia="SimSun"/>
          </w:rPr>
          <w:t>Summary of results</w:t>
        </w:r>
        <w:r w:rsidR="007F2617">
          <w:rPr>
            <w:webHidden/>
          </w:rPr>
          <w:tab/>
        </w:r>
        <w:r w:rsidR="007F2617">
          <w:rPr>
            <w:webHidden/>
          </w:rPr>
          <w:fldChar w:fldCharType="begin"/>
        </w:r>
        <w:r w:rsidR="007F2617">
          <w:rPr>
            <w:webHidden/>
          </w:rPr>
          <w:instrText xml:space="preserve"> PAGEREF _Toc6472760 \h </w:instrText>
        </w:r>
        <w:r w:rsidR="007F2617">
          <w:rPr>
            <w:webHidden/>
          </w:rPr>
        </w:r>
        <w:r w:rsidR="007F2617">
          <w:rPr>
            <w:webHidden/>
          </w:rPr>
          <w:fldChar w:fldCharType="separate"/>
        </w:r>
        <w:r w:rsidR="00301AD4">
          <w:rPr>
            <w:webHidden/>
          </w:rPr>
          <w:t>202</w:t>
        </w:r>
        <w:r w:rsidR="007F2617">
          <w:rPr>
            <w:webHidden/>
          </w:rPr>
          <w:fldChar w:fldCharType="end"/>
        </w:r>
      </w:hyperlink>
    </w:p>
    <w:p w14:paraId="0F1D08E2" w14:textId="77777777" w:rsidR="007F2617" w:rsidRDefault="000E3509" w:rsidP="007F2617">
      <w:pPr>
        <w:pStyle w:val="TOC1"/>
        <w:rPr>
          <w:rFonts w:asciiTheme="minorHAnsi" w:eastAsiaTheme="minorEastAsia" w:hAnsiTheme="minorHAnsi" w:cstheme="minorBidi"/>
          <w:sz w:val="22"/>
          <w:szCs w:val="22"/>
        </w:rPr>
      </w:pPr>
      <w:hyperlink w:anchor="_Toc6472761" w:history="1">
        <w:r w:rsidR="007F2617" w:rsidRPr="003F35AD">
          <w:rPr>
            <w:rStyle w:val="Hyperlink"/>
            <w:rFonts w:eastAsia="SimSun"/>
          </w:rPr>
          <w:t>10.3.</w:t>
        </w:r>
        <w:r w:rsidR="007F2617">
          <w:rPr>
            <w:rFonts w:asciiTheme="minorHAnsi" w:eastAsiaTheme="minorEastAsia" w:hAnsiTheme="minorHAnsi" w:cstheme="minorBidi"/>
            <w:sz w:val="22"/>
            <w:szCs w:val="22"/>
          </w:rPr>
          <w:tab/>
        </w:r>
        <w:r w:rsidR="007F2617" w:rsidRPr="003F35AD">
          <w:rPr>
            <w:rStyle w:val="Hyperlink"/>
            <w:rFonts w:eastAsia="SimSun"/>
          </w:rPr>
          <w:t>Modern–traditional dichotomy/dimension</w:t>
        </w:r>
        <w:r w:rsidR="007F2617">
          <w:rPr>
            <w:webHidden/>
          </w:rPr>
          <w:tab/>
        </w:r>
        <w:r w:rsidR="007F2617">
          <w:rPr>
            <w:webHidden/>
          </w:rPr>
          <w:fldChar w:fldCharType="begin"/>
        </w:r>
        <w:r w:rsidR="007F2617">
          <w:rPr>
            <w:webHidden/>
          </w:rPr>
          <w:instrText xml:space="preserve"> PAGEREF _Toc6472761 \h </w:instrText>
        </w:r>
        <w:r w:rsidR="007F2617">
          <w:rPr>
            <w:webHidden/>
          </w:rPr>
        </w:r>
        <w:r w:rsidR="007F2617">
          <w:rPr>
            <w:webHidden/>
          </w:rPr>
          <w:fldChar w:fldCharType="separate"/>
        </w:r>
        <w:r w:rsidR="00301AD4">
          <w:rPr>
            <w:webHidden/>
          </w:rPr>
          <w:t>203</w:t>
        </w:r>
        <w:r w:rsidR="007F2617">
          <w:rPr>
            <w:webHidden/>
          </w:rPr>
          <w:fldChar w:fldCharType="end"/>
        </w:r>
      </w:hyperlink>
    </w:p>
    <w:p w14:paraId="67EA73F5" w14:textId="77777777" w:rsidR="007F2617" w:rsidRDefault="000E3509" w:rsidP="007F2617">
      <w:pPr>
        <w:pStyle w:val="TOC1"/>
        <w:rPr>
          <w:rFonts w:asciiTheme="minorHAnsi" w:eastAsiaTheme="minorEastAsia" w:hAnsiTheme="minorHAnsi" w:cstheme="minorBidi"/>
          <w:sz w:val="22"/>
          <w:szCs w:val="22"/>
        </w:rPr>
      </w:pPr>
      <w:hyperlink w:anchor="_Toc6472762" w:history="1">
        <w:r w:rsidR="007F2617" w:rsidRPr="003F35AD">
          <w:rPr>
            <w:rStyle w:val="Hyperlink"/>
            <w:rFonts w:eastAsia="SimSun"/>
          </w:rPr>
          <w:t>10.4.</w:t>
        </w:r>
        <w:r w:rsidR="007F2617">
          <w:rPr>
            <w:rFonts w:asciiTheme="minorHAnsi" w:eastAsiaTheme="minorEastAsia" w:hAnsiTheme="minorHAnsi" w:cstheme="minorBidi"/>
            <w:sz w:val="22"/>
            <w:szCs w:val="22"/>
          </w:rPr>
          <w:tab/>
        </w:r>
        <w:r w:rsidR="007F2617" w:rsidRPr="003F35AD">
          <w:rPr>
            <w:rStyle w:val="Hyperlink"/>
            <w:rFonts w:eastAsia="SimSun"/>
          </w:rPr>
          <w:t>Stereotypical association of dialects to modern and traditional dimensions</w:t>
        </w:r>
        <w:r w:rsidR="007F2617">
          <w:rPr>
            <w:webHidden/>
          </w:rPr>
          <w:tab/>
        </w:r>
        <w:r w:rsidR="007F2617">
          <w:rPr>
            <w:webHidden/>
          </w:rPr>
          <w:fldChar w:fldCharType="begin"/>
        </w:r>
        <w:r w:rsidR="007F2617">
          <w:rPr>
            <w:webHidden/>
          </w:rPr>
          <w:instrText xml:space="preserve"> PAGEREF _Toc6472762 \h </w:instrText>
        </w:r>
        <w:r w:rsidR="007F2617">
          <w:rPr>
            <w:webHidden/>
          </w:rPr>
        </w:r>
        <w:r w:rsidR="007F2617">
          <w:rPr>
            <w:webHidden/>
          </w:rPr>
          <w:fldChar w:fldCharType="separate"/>
        </w:r>
        <w:r w:rsidR="00301AD4">
          <w:rPr>
            <w:webHidden/>
          </w:rPr>
          <w:t>207</w:t>
        </w:r>
        <w:r w:rsidR="007F2617">
          <w:rPr>
            <w:webHidden/>
          </w:rPr>
          <w:fldChar w:fldCharType="end"/>
        </w:r>
      </w:hyperlink>
    </w:p>
    <w:p w14:paraId="286F5E23" w14:textId="77777777" w:rsidR="007F2617" w:rsidRDefault="000E3509" w:rsidP="007F2617">
      <w:pPr>
        <w:pStyle w:val="TOC1"/>
        <w:rPr>
          <w:rFonts w:asciiTheme="minorHAnsi" w:eastAsiaTheme="minorEastAsia" w:hAnsiTheme="minorHAnsi" w:cstheme="minorBidi"/>
          <w:sz w:val="22"/>
          <w:szCs w:val="22"/>
        </w:rPr>
      </w:pPr>
      <w:hyperlink w:anchor="_Toc6472763" w:history="1">
        <w:r w:rsidR="007F2617" w:rsidRPr="003F35AD">
          <w:rPr>
            <w:rStyle w:val="Hyperlink"/>
            <w:rFonts w:eastAsia="SimSun"/>
          </w:rPr>
          <w:t>10.5.</w:t>
        </w:r>
        <w:r w:rsidR="007F2617">
          <w:rPr>
            <w:rFonts w:asciiTheme="minorHAnsi" w:eastAsiaTheme="minorEastAsia" w:hAnsiTheme="minorHAnsi" w:cstheme="minorBidi"/>
            <w:sz w:val="22"/>
            <w:szCs w:val="22"/>
          </w:rPr>
          <w:tab/>
        </w:r>
        <w:r w:rsidR="007F2617" w:rsidRPr="003F35AD">
          <w:rPr>
            <w:rStyle w:val="Hyperlink"/>
            <w:rFonts w:eastAsia="SimSun"/>
          </w:rPr>
          <w:t>Linguistic security of UBH participants</w:t>
        </w:r>
        <w:r w:rsidR="007F2617">
          <w:rPr>
            <w:webHidden/>
          </w:rPr>
          <w:tab/>
        </w:r>
        <w:r w:rsidR="007F2617">
          <w:rPr>
            <w:webHidden/>
          </w:rPr>
          <w:fldChar w:fldCharType="begin"/>
        </w:r>
        <w:r w:rsidR="007F2617">
          <w:rPr>
            <w:webHidden/>
          </w:rPr>
          <w:instrText xml:space="preserve"> PAGEREF _Toc6472763 \h </w:instrText>
        </w:r>
        <w:r w:rsidR="007F2617">
          <w:rPr>
            <w:webHidden/>
          </w:rPr>
        </w:r>
        <w:r w:rsidR="007F2617">
          <w:rPr>
            <w:webHidden/>
          </w:rPr>
          <w:fldChar w:fldCharType="separate"/>
        </w:r>
        <w:r w:rsidR="00301AD4">
          <w:rPr>
            <w:webHidden/>
          </w:rPr>
          <w:t>208</w:t>
        </w:r>
        <w:r w:rsidR="007F2617">
          <w:rPr>
            <w:webHidden/>
          </w:rPr>
          <w:fldChar w:fldCharType="end"/>
        </w:r>
      </w:hyperlink>
    </w:p>
    <w:p w14:paraId="537B4047" w14:textId="77777777" w:rsidR="007F2617" w:rsidRDefault="000E3509" w:rsidP="007F2617">
      <w:pPr>
        <w:pStyle w:val="TOC1"/>
        <w:rPr>
          <w:rFonts w:asciiTheme="minorHAnsi" w:eastAsiaTheme="minorEastAsia" w:hAnsiTheme="minorHAnsi" w:cstheme="minorBidi"/>
          <w:sz w:val="22"/>
          <w:szCs w:val="22"/>
        </w:rPr>
      </w:pPr>
      <w:hyperlink w:anchor="_Toc6472764" w:history="1">
        <w:r w:rsidR="007F2617" w:rsidRPr="003F35AD">
          <w:rPr>
            <w:rStyle w:val="Hyperlink"/>
            <w:rFonts w:eastAsia="SimSun"/>
          </w:rPr>
          <w:t>10.6.</w:t>
        </w:r>
        <w:r w:rsidR="007F2617">
          <w:rPr>
            <w:rFonts w:asciiTheme="minorHAnsi" w:eastAsiaTheme="minorEastAsia" w:hAnsiTheme="minorHAnsi" w:cstheme="minorBidi"/>
            <w:sz w:val="22"/>
            <w:szCs w:val="22"/>
          </w:rPr>
          <w:tab/>
        </w:r>
        <w:r w:rsidR="007F2617" w:rsidRPr="003F35AD">
          <w:rPr>
            <w:rStyle w:val="Hyperlink"/>
            <w:rFonts w:eastAsia="SimSun"/>
          </w:rPr>
          <w:t>The homogeneity of results</w:t>
        </w:r>
        <w:r w:rsidR="007F2617">
          <w:rPr>
            <w:webHidden/>
          </w:rPr>
          <w:tab/>
        </w:r>
        <w:r w:rsidR="007F2617">
          <w:rPr>
            <w:webHidden/>
          </w:rPr>
          <w:fldChar w:fldCharType="begin"/>
        </w:r>
        <w:r w:rsidR="007F2617">
          <w:rPr>
            <w:webHidden/>
          </w:rPr>
          <w:instrText xml:space="preserve"> PAGEREF _Toc6472764 \h </w:instrText>
        </w:r>
        <w:r w:rsidR="007F2617">
          <w:rPr>
            <w:webHidden/>
          </w:rPr>
        </w:r>
        <w:r w:rsidR="007F2617">
          <w:rPr>
            <w:webHidden/>
          </w:rPr>
          <w:fldChar w:fldCharType="separate"/>
        </w:r>
        <w:r w:rsidR="00301AD4">
          <w:rPr>
            <w:webHidden/>
          </w:rPr>
          <w:t>211</w:t>
        </w:r>
        <w:r w:rsidR="007F2617">
          <w:rPr>
            <w:webHidden/>
          </w:rPr>
          <w:fldChar w:fldCharType="end"/>
        </w:r>
      </w:hyperlink>
    </w:p>
    <w:p w14:paraId="3A5DBC49" w14:textId="77777777" w:rsidR="007F2617" w:rsidRDefault="000E3509" w:rsidP="007F2617">
      <w:pPr>
        <w:pStyle w:val="TOC1"/>
        <w:rPr>
          <w:rFonts w:asciiTheme="minorHAnsi" w:eastAsiaTheme="minorEastAsia" w:hAnsiTheme="minorHAnsi" w:cstheme="minorBidi"/>
          <w:sz w:val="22"/>
          <w:szCs w:val="22"/>
        </w:rPr>
      </w:pPr>
      <w:hyperlink w:anchor="_Toc6472765" w:history="1">
        <w:r w:rsidR="007F2617" w:rsidRPr="003F35AD">
          <w:rPr>
            <w:rStyle w:val="Hyperlink"/>
            <w:rFonts w:eastAsia="SimSun"/>
          </w:rPr>
          <w:t>10.7.</w:t>
        </w:r>
        <w:r w:rsidR="007F2617">
          <w:rPr>
            <w:rFonts w:asciiTheme="minorHAnsi" w:eastAsiaTheme="minorEastAsia" w:hAnsiTheme="minorHAnsi" w:cstheme="minorBidi"/>
            <w:sz w:val="22"/>
            <w:szCs w:val="22"/>
          </w:rPr>
          <w:tab/>
        </w:r>
        <w:r w:rsidR="007F2617" w:rsidRPr="003F35AD">
          <w:rPr>
            <w:rStyle w:val="Hyperlink"/>
            <w:rFonts w:eastAsia="SimSun"/>
          </w:rPr>
          <w:t>In-group loyalties</w:t>
        </w:r>
        <w:r w:rsidR="007F2617">
          <w:rPr>
            <w:webHidden/>
          </w:rPr>
          <w:tab/>
        </w:r>
        <w:r w:rsidR="007F2617">
          <w:rPr>
            <w:webHidden/>
          </w:rPr>
          <w:fldChar w:fldCharType="begin"/>
        </w:r>
        <w:r w:rsidR="007F2617">
          <w:rPr>
            <w:webHidden/>
          </w:rPr>
          <w:instrText xml:space="preserve"> PAGEREF _Toc6472765 \h </w:instrText>
        </w:r>
        <w:r w:rsidR="007F2617">
          <w:rPr>
            <w:webHidden/>
          </w:rPr>
        </w:r>
        <w:r w:rsidR="007F2617">
          <w:rPr>
            <w:webHidden/>
          </w:rPr>
          <w:fldChar w:fldCharType="separate"/>
        </w:r>
        <w:r w:rsidR="00301AD4">
          <w:rPr>
            <w:webHidden/>
          </w:rPr>
          <w:t>212</w:t>
        </w:r>
        <w:r w:rsidR="007F2617">
          <w:rPr>
            <w:webHidden/>
          </w:rPr>
          <w:fldChar w:fldCharType="end"/>
        </w:r>
      </w:hyperlink>
    </w:p>
    <w:p w14:paraId="390D03DA" w14:textId="77777777" w:rsidR="007F2617" w:rsidRDefault="000E3509" w:rsidP="007F2617">
      <w:pPr>
        <w:pStyle w:val="TOC1"/>
        <w:rPr>
          <w:rFonts w:asciiTheme="minorHAnsi" w:eastAsiaTheme="minorEastAsia" w:hAnsiTheme="minorHAnsi" w:cstheme="minorBidi"/>
          <w:sz w:val="22"/>
          <w:szCs w:val="22"/>
        </w:rPr>
      </w:pPr>
      <w:hyperlink w:anchor="_Toc6472766" w:history="1">
        <w:r w:rsidR="007F2617" w:rsidRPr="003F35AD">
          <w:rPr>
            <w:rStyle w:val="Hyperlink"/>
            <w:rFonts w:eastAsia="SimSun"/>
          </w:rPr>
          <w:t>10.8.</w:t>
        </w:r>
        <w:r w:rsidR="007F2617">
          <w:rPr>
            <w:rFonts w:asciiTheme="minorHAnsi" w:eastAsiaTheme="minorEastAsia" w:hAnsiTheme="minorHAnsi" w:cstheme="minorBidi"/>
            <w:sz w:val="22"/>
            <w:szCs w:val="22"/>
          </w:rPr>
          <w:tab/>
        </w:r>
        <w:r w:rsidR="007F2617" w:rsidRPr="003F35AD">
          <w:rPr>
            <w:rStyle w:val="Hyperlink"/>
            <w:rFonts w:eastAsia="SimSun"/>
          </w:rPr>
          <w:t>Effects of demographic variables in the results</w:t>
        </w:r>
        <w:r w:rsidR="007F2617">
          <w:rPr>
            <w:webHidden/>
          </w:rPr>
          <w:tab/>
        </w:r>
        <w:r w:rsidR="007F2617">
          <w:rPr>
            <w:webHidden/>
          </w:rPr>
          <w:fldChar w:fldCharType="begin"/>
        </w:r>
        <w:r w:rsidR="007F2617">
          <w:rPr>
            <w:webHidden/>
          </w:rPr>
          <w:instrText xml:space="preserve"> PAGEREF _Toc6472766 \h </w:instrText>
        </w:r>
        <w:r w:rsidR="007F2617">
          <w:rPr>
            <w:webHidden/>
          </w:rPr>
        </w:r>
        <w:r w:rsidR="007F2617">
          <w:rPr>
            <w:webHidden/>
          </w:rPr>
          <w:fldChar w:fldCharType="separate"/>
        </w:r>
        <w:r w:rsidR="00301AD4">
          <w:rPr>
            <w:webHidden/>
          </w:rPr>
          <w:t>215</w:t>
        </w:r>
        <w:r w:rsidR="007F2617">
          <w:rPr>
            <w:webHidden/>
          </w:rPr>
          <w:fldChar w:fldCharType="end"/>
        </w:r>
      </w:hyperlink>
    </w:p>
    <w:p w14:paraId="4359990A" w14:textId="5F96A192" w:rsidR="007F2617" w:rsidRDefault="000E3509" w:rsidP="005F21AC">
      <w:pPr>
        <w:pStyle w:val="TOC1"/>
        <w:rPr>
          <w:rFonts w:asciiTheme="minorHAnsi" w:eastAsiaTheme="minorEastAsia" w:hAnsiTheme="minorHAnsi" w:cstheme="minorBidi"/>
          <w:sz w:val="22"/>
          <w:szCs w:val="22"/>
        </w:rPr>
      </w:pPr>
      <w:hyperlink w:anchor="_Toc6472767" w:history="1">
        <w:r w:rsidR="007F2617" w:rsidRPr="003F35AD">
          <w:rPr>
            <w:rStyle w:val="Hyperlink"/>
          </w:rPr>
          <w:t xml:space="preserve">10.9 Different interpretation </w:t>
        </w:r>
        <w:r w:rsidR="005F21AC">
          <w:rPr>
            <w:rStyle w:val="Hyperlink"/>
          </w:rPr>
          <w:t>of the concept of prestige</w:t>
        </w:r>
        <w:r w:rsidR="007F2617">
          <w:rPr>
            <w:webHidden/>
          </w:rPr>
          <w:tab/>
        </w:r>
        <w:r w:rsidR="007F2617">
          <w:rPr>
            <w:webHidden/>
          </w:rPr>
          <w:fldChar w:fldCharType="begin"/>
        </w:r>
        <w:r w:rsidR="007F2617">
          <w:rPr>
            <w:webHidden/>
          </w:rPr>
          <w:instrText xml:space="preserve"> PAGEREF _Toc6472767 \h </w:instrText>
        </w:r>
        <w:r w:rsidR="007F2617">
          <w:rPr>
            <w:webHidden/>
          </w:rPr>
        </w:r>
        <w:r w:rsidR="007F2617">
          <w:rPr>
            <w:webHidden/>
          </w:rPr>
          <w:fldChar w:fldCharType="separate"/>
        </w:r>
        <w:r w:rsidR="00301AD4">
          <w:rPr>
            <w:webHidden/>
          </w:rPr>
          <w:t>216</w:t>
        </w:r>
        <w:r w:rsidR="007F2617">
          <w:rPr>
            <w:webHidden/>
          </w:rPr>
          <w:fldChar w:fldCharType="end"/>
        </w:r>
      </w:hyperlink>
    </w:p>
    <w:p w14:paraId="5F50DC1D" w14:textId="77777777" w:rsidR="007F2617" w:rsidRDefault="000E3509" w:rsidP="00017D27">
      <w:pPr>
        <w:pStyle w:val="TOC1"/>
        <w:spacing w:after="240"/>
        <w:rPr>
          <w:rFonts w:asciiTheme="minorHAnsi" w:eastAsiaTheme="minorEastAsia" w:hAnsiTheme="minorHAnsi" w:cstheme="minorBidi"/>
          <w:sz w:val="22"/>
          <w:szCs w:val="22"/>
        </w:rPr>
      </w:pPr>
      <w:hyperlink w:anchor="_Toc6472768" w:history="1">
        <w:r w:rsidR="007F2617" w:rsidRPr="003F35AD">
          <w:rPr>
            <w:rStyle w:val="Hyperlink"/>
            <w:rFonts w:eastAsia="SimSun"/>
          </w:rPr>
          <w:t>10.10.</w:t>
        </w:r>
        <w:r w:rsidR="007F2617">
          <w:rPr>
            <w:rFonts w:asciiTheme="minorHAnsi" w:eastAsiaTheme="minorEastAsia" w:hAnsiTheme="minorHAnsi" w:cstheme="minorBidi"/>
            <w:sz w:val="22"/>
            <w:szCs w:val="22"/>
          </w:rPr>
          <w:tab/>
        </w:r>
        <w:r w:rsidR="007F2617" w:rsidRPr="003F35AD">
          <w:rPr>
            <w:rStyle w:val="Hyperlink"/>
            <w:rFonts w:eastAsia="SimSun"/>
          </w:rPr>
          <w:t>Conclusion</w:t>
        </w:r>
        <w:r w:rsidR="007F2617">
          <w:rPr>
            <w:webHidden/>
          </w:rPr>
          <w:tab/>
        </w:r>
        <w:r w:rsidR="007F2617">
          <w:rPr>
            <w:webHidden/>
          </w:rPr>
          <w:fldChar w:fldCharType="begin"/>
        </w:r>
        <w:r w:rsidR="007F2617">
          <w:rPr>
            <w:webHidden/>
          </w:rPr>
          <w:instrText xml:space="preserve"> PAGEREF _Toc6472768 \h </w:instrText>
        </w:r>
        <w:r w:rsidR="007F2617">
          <w:rPr>
            <w:webHidden/>
          </w:rPr>
        </w:r>
        <w:r w:rsidR="007F2617">
          <w:rPr>
            <w:webHidden/>
          </w:rPr>
          <w:fldChar w:fldCharType="separate"/>
        </w:r>
        <w:r w:rsidR="00301AD4">
          <w:rPr>
            <w:webHidden/>
          </w:rPr>
          <w:t>217</w:t>
        </w:r>
        <w:r w:rsidR="007F2617">
          <w:rPr>
            <w:webHidden/>
          </w:rPr>
          <w:fldChar w:fldCharType="end"/>
        </w:r>
      </w:hyperlink>
    </w:p>
    <w:p w14:paraId="3C192950" w14:textId="77777777" w:rsidR="007F2617" w:rsidRDefault="000E3509" w:rsidP="007F2617">
      <w:pPr>
        <w:pStyle w:val="TOC1"/>
        <w:rPr>
          <w:rFonts w:asciiTheme="minorHAnsi" w:eastAsiaTheme="minorEastAsia" w:hAnsiTheme="minorHAnsi" w:cstheme="minorBidi"/>
          <w:sz w:val="22"/>
          <w:szCs w:val="22"/>
        </w:rPr>
      </w:pPr>
      <w:hyperlink w:anchor="_Toc6472769" w:history="1">
        <w:r w:rsidR="007F2617" w:rsidRPr="00017D27">
          <w:rPr>
            <w:rStyle w:val="Hyperlink"/>
            <w:rFonts w:eastAsia="Times New Roman"/>
            <w:b/>
            <w:bCs w:val="0"/>
            <w:lang w:eastAsia="zh-CN"/>
          </w:rPr>
          <w:t>Chapter 11: Results chapter for RQ3</w:t>
        </w:r>
        <w:r w:rsidR="007F2617">
          <w:rPr>
            <w:webHidden/>
          </w:rPr>
          <w:tab/>
        </w:r>
        <w:r w:rsidR="007F2617">
          <w:rPr>
            <w:webHidden/>
          </w:rPr>
          <w:fldChar w:fldCharType="begin"/>
        </w:r>
        <w:r w:rsidR="007F2617">
          <w:rPr>
            <w:webHidden/>
          </w:rPr>
          <w:instrText xml:space="preserve"> PAGEREF _Toc6472769 \h </w:instrText>
        </w:r>
        <w:r w:rsidR="007F2617">
          <w:rPr>
            <w:webHidden/>
          </w:rPr>
        </w:r>
        <w:r w:rsidR="007F2617">
          <w:rPr>
            <w:webHidden/>
          </w:rPr>
          <w:fldChar w:fldCharType="separate"/>
        </w:r>
        <w:r w:rsidR="00301AD4">
          <w:rPr>
            <w:webHidden/>
          </w:rPr>
          <w:t>219</w:t>
        </w:r>
        <w:r w:rsidR="007F2617">
          <w:rPr>
            <w:webHidden/>
          </w:rPr>
          <w:fldChar w:fldCharType="end"/>
        </w:r>
      </w:hyperlink>
    </w:p>
    <w:p w14:paraId="2C52C7AB" w14:textId="77777777" w:rsidR="007F2617" w:rsidRDefault="000E3509" w:rsidP="007F2617">
      <w:pPr>
        <w:pStyle w:val="TOC1"/>
        <w:rPr>
          <w:rFonts w:asciiTheme="minorHAnsi" w:eastAsiaTheme="minorEastAsia" w:hAnsiTheme="minorHAnsi" w:cstheme="minorBidi"/>
          <w:sz w:val="22"/>
          <w:szCs w:val="22"/>
        </w:rPr>
      </w:pPr>
      <w:hyperlink w:anchor="_Toc6472770" w:history="1">
        <w:r w:rsidR="007F2617" w:rsidRPr="003F35AD">
          <w:rPr>
            <w:rStyle w:val="Hyperlink"/>
            <w:rFonts w:eastAsia="Times New Roman"/>
          </w:rPr>
          <w:t>11.1.</w:t>
        </w:r>
        <w:r w:rsidR="007F2617">
          <w:rPr>
            <w:rFonts w:asciiTheme="minorHAnsi" w:eastAsiaTheme="minorEastAsia" w:hAnsiTheme="minorHAnsi" w:cstheme="minorBidi"/>
            <w:sz w:val="22"/>
            <w:szCs w:val="22"/>
          </w:rPr>
          <w:tab/>
        </w:r>
        <w:r w:rsidR="007F2617" w:rsidRPr="003F35AD">
          <w:rPr>
            <w:rStyle w:val="Hyperlink"/>
            <w:rFonts w:eastAsia="Times New Roman"/>
          </w:rPr>
          <w:t>Introduction</w:t>
        </w:r>
        <w:r w:rsidR="007F2617">
          <w:rPr>
            <w:webHidden/>
          </w:rPr>
          <w:tab/>
        </w:r>
        <w:r w:rsidR="007F2617">
          <w:rPr>
            <w:webHidden/>
          </w:rPr>
          <w:fldChar w:fldCharType="begin"/>
        </w:r>
        <w:r w:rsidR="007F2617">
          <w:rPr>
            <w:webHidden/>
          </w:rPr>
          <w:instrText xml:space="preserve"> PAGEREF _Toc6472770 \h </w:instrText>
        </w:r>
        <w:r w:rsidR="007F2617">
          <w:rPr>
            <w:webHidden/>
          </w:rPr>
        </w:r>
        <w:r w:rsidR="007F2617">
          <w:rPr>
            <w:webHidden/>
          </w:rPr>
          <w:fldChar w:fldCharType="separate"/>
        </w:r>
        <w:r w:rsidR="00301AD4">
          <w:rPr>
            <w:webHidden/>
          </w:rPr>
          <w:t>219</w:t>
        </w:r>
        <w:r w:rsidR="007F2617">
          <w:rPr>
            <w:webHidden/>
          </w:rPr>
          <w:fldChar w:fldCharType="end"/>
        </w:r>
      </w:hyperlink>
    </w:p>
    <w:p w14:paraId="7EC2AA48" w14:textId="77777777" w:rsidR="007F2617" w:rsidRDefault="000E3509" w:rsidP="007F2617">
      <w:pPr>
        <w:pStyle w:val="TOC1"/>
        <w:rPr>
          <w:rFonts w:asciiTheme="minorHAnsi" w:eastAsiaTheme="minorEastAsia" w:hAnsiTheme="minorHAnsi" w:cstheme="minorBidi"/>
          <w:sz w:val="22"/>
          <w:szCs w:val="22"/>
        </w:rPr>
      </w:pPr>
      <w:hyperlink w:anchor="_Toc6472771" w:history="1">
        <w:r w:rsidR="007F2617" w:rsidRPr="003F35AD">
          <w:rPr>
            <w:rStyle w:val="Hyperlink"/>
            <w:rFonts w:eastAsia="Times New Roman"/>
          </w:rPr>
          <w:t>11.2.</w:t>
        </w:r>
        <w:r w:rsidR="007F2617">
          <w:rPr>
            <w:rFonts w:asciiTheme="minorHAnsi" w:eastAsiaTheme="minorEastAsia" w:hAnsiTheme="minorHAnsi" w:cstheme="minorBidi"/>
            <w:sz w:val="22"/>
            <w:szCs w:val="22"/>
          </w:rPr>
          <w:tab/>
        </w:r>
        <w:r w:rsidR="007F2617" w:rsidRPr="003F35AD">
          <w:rPr>
            <w:rStyle w:val="Hyperlink"/>
            <w:rFonts w:eastAsia="Times New Roman"/>
          </w:rPr>
          <w:t>Voice allocation task results (perceptual task)</w:t>
        </w:r>
        <w:r w:rsidR="007F2617">
          <w:rPr>
            <w:webHidden/>
          </w:rPr>
          <w:tab/>
        </w:r>
        <w:r w:rsidR="007F2617">
          <w:rPr>
            <w:webHidden/>
          </w:rPr>
          <w:fldChar w:fldCharType="begin"/>
        </w:r>
        <w:r w:rsidR="007F2617">
          <w:rPr>
            <w:webHidden/>
          </w:rPr>
          <w:instrText xml:space="preserve"> PAGEREF _Toc6472771 \h </w:instrText>
        </w:r>
        <w:r w:rsidR="007F2617">
          <w:rPr>
            <w:webHidden/>
          </w:rPr>
        </w:r>
        <w:r w:rsidR="007F2617">
          <w:rPr>
            <w:webHidden/>
          </w:rPr>
          <w:fldChar w:fldCharType="separate"/>
        </w:r>
        <w:r w:rsidR="00301AD4">
          <w:rPr>
            <w:webHidden/>
          </w:rPr>
          <w:t>219</w:t>
        </w:r>
        <w:r w:rsidR="007F2617">
          <w:rPr>
            <w:webHidden/>
          </w:rPr>
          <w:fldChar w:fldCharType="end"/>
        </w:r>
      </w:hyperlink>
    </w:p>
    <w:p w14:paraId="0D0B9115" w14:textId="77777777" w:rsidR="007F2617" w:rsidRDefault="000E3509">
      <w:pPr>
        <w:pStyle w:val="TOC2"/>
        <w:rPr>
          <w:rFonts w:asciiTheme="minorHAnsi" w:eastAsiaTheme="minorEastAsia" w:hAnsiTheme="minorHAnsi" w:cstheme="minorBidi"/>
          <w:bCs w:val="0"/>
          <w:noProof/>
          <w:sz w:val="22"/>
        </w:rPr>
      </w:pPr>
      <w:hyperlink w:anchor="_Toc6472772" w:history="1">
        <w:r w:rsidR="007F2617" w:rsidRPr="003F35AD">
          <w:rPr>
            <w:rStyle w:val="Hyperlink"/>
            <w:noProof/>
          </w:rPr>
          <w:t>11.2.1.</w:t>
        </w:r>
        <w:r w:rsidR="007F2617">
          <w:rPr>
            <w:rFonts w:asciiTheme="minorHAnsi" w:eastAsiaTheme="minorEastAsia" w:hAnsiTheme="minorHAnsi" w:cstheme="minorBidi"/>
            <w:bCs w:val="0"/>
            <w:noProof/>
            <w:sz w:val="22"/>
          </w:rPr>
          <w:tab/>
        </w:r>
        <w:r w:rsidR="007F2617" w:rsidRPr="003F35AD">
          <w:rPr>
            <w:rStyle w:val="Hyperlink"/>
            <w:noProof/>
          </w:rPr>
          <w:t>Voice sample 1 allocation task results</w:t>
        </w:r>
        <w:r w:rsidR="007F2617">
          <w:rPr>
            <w:noProof/>
            <w:webHidden/>
          </w:rPr>
          <w:tab/>
        </w:r>
        <w:r w:rsidR="007F2617">
          <w:rPr>
            <w:noProof/>
            <w:webHidden/>
          </w:rPr>
          <w:fldChar w:fldCharType="begin"/>
        </w:r>
        <w:r w:rsidR="007F2617">
          <w:rPr>
            <w:noProof/>
            <w:webHidden/>
          </w:rPr>
          <w:instrText xml:space="preserve"> PAGEREF _Toc6472772 \h </w:instrText>
        </w:r>
        <w:r w:rsidR="007F2617">
          <w:rPr>
            <w:noProof/>
            <w:webHidden/>
          </w:rPr>
        </w:r>
        <w:r w:rsidR="007F2617">
          <w:rPr>
            <w:noProof/>
            <w:webHidden/>
          </w:rPr>
          <w:fldChar w:fldCharType="separate"/>
        </w:r>
        <w:r w:rsidR="00301AD4">
          <w:rPr>
            <w:noProof/>
            <w:webHidden/>
          </w:rPr>
          <w:t>222</w:t>
        </w:r>
        <w:r w:rsidR="007F2617">
          <w:rPr>
            <w:noProof/>
            <w:webHidden/>
          </w:rPr>
          <w:fldChar w:fldCharType="end"/>
        </w:r>
      </w:hyperlink>
    </w:p>
    <w:p w14:paraId="0FC98EF3" w14:textId="77777777" w:rsidR="007F2617" w:rsidRDefault="000E3509">
      <w:pPr>
        <w:pStyle w:val="TOC2"/>
        <w:rPr>
          <w:rFonts w:asciiTheme="minorHAnsi" w:eastAsiaTheme="minorEastAsia" w:hAnsiTheme="minorHAnsi" w:cstheme="minorBidi"/>
          <w:bCs w:val="0"/>
          <w:noProof/>
          <w:sz w:val="22"/>
        </w:rPr>
      </w:pPr>
      <w:hyperlink w:anchor="_Toc6472773" w:history="1">
        <w:r w:rsidR="007F2617" w:rsidRPr="003F35AD">
          <w:rPr>
            <w:rStyle w:val="Hyperlink"/>
            <w:noProof/>
          </w:rPr>
          <w:t>11.2.2.</w:t>
        </w:r>
        <w:r w:rsidR="007F2617">
          <w:rPr>
            <w:rFonts w:asciiTheme="minorHAnsi" w:eastAsiaTheme="minorEastAsia" w:hAnsiTheme="minorHAnsi" w:cstheme="minorBidi"/>
            <w:bCs w:val="0"/>
            <w:noProof/>
            <w:sz w:val="22"/>
          </w:rPr>
          <w:tab/>
        </w:r>
        <w:r w:rsidR="007F2617" w:rsidRPr="003F35AD">
          <w:rPr>
            <w:rStyle w:val="Hyperlink"/>
            <w:noProof/>
          </w:rPr>
          <w:t>Voice sample 3 allocation task results</w:t>
        </w:r>
        <w:r w:rsidR="007F2617">
          <w:rPr>
            <w:noProof/>
            <w:webHidden/>
          </w:rPr>
          <w:tab/>
        </w:r>
        <w:r w:rsidR="007F2617">
          <w:rPr>
            <w:noProof/>
            <w:webHidden/>
          </w:rPr>
          <w:fldChar w:fldCharType="begin"/>
        </w:r>
        <w:r w:rsidR="007F2617">
          <w:rPr>
            <w:noProof/>
            <w:webHidden/>
          </w:rPr>
          <w:instrText xml:space="preserve"> PAGEREF _Toc6472773 \h </w:instrText>
        </w:r>
        <w:r w:rsidR="007F2617">
          <w:rPr>
            <w:noProof/>
            <w:webHidden/>
          </w:rPr>
        </w:r>
        <w:r w:rsidR="007F2617">
          <w:rPr>
            <w:noProof/>
            <w:webHidden/>
          </w:rPr>
          <w:fldChar w:fldCharType="separate"/>
        </w:r>
        <w:r w:rsidR="00301AD4">
          <w:rPr>
            <w:noProof/>
            <w:webHidden/>
          </w:rPr>
          <w:t>222</w:t>
        </w:r>
        <w:r w:rsidR="007F2617">
          <w:rPr>
            <w:noProof/>
            <w:webHidden/>
          </w:rPr>
          <w:fldChar w:fldCharType="end"/>
        </w:r>
      </w:hyperlink>
    </w:p>
    <w:p w14:paraId="427DBC38" w14:textId="77777777" w:rsidR="007F2617" w:rsidRDefault="000E3509">
      <w:pPr>
        <w:pStyle w:val="TOC2"/>
        <w:rPr>
          <w:rFonts w:asciiTheme="minorHAnsi" w:eastAsiaTheme="minorEastAsia" w:hAnsiTheme="minorHAnsi" w:cstheme="minorBidi"/>
          <w:bCs w:val="0"/>
          <w:noProof/>
          <w:sz w:val="22"/>
        </w:rPr>
      </w:pPr>
      <w:hyperlink w:anchor="_Toc6472774" w:history="1">
        <w:r w:rsidR="007F2617" w:rsidRPr="003F35AD">
          <w:rPr>
            <w:rStyle w:val="Hyperlink"/>
            <w:noProof/>
          </w:rPr>
          <w:t>11.2.3.</w:t>
        </w:r>
        <w:r w:rsidR="007F2617">
          <w:rPr>
            <w:rFonts w:asciiTheme="minorHAnsi" w:eastAsiaTheme="minorEastAsia" w:hAnsiTheme="minorHAnsi" w:cstheme="minorBidi"/>
            <w:bCs w:val="0"/>
            <w:noProof/>
            <w:sz w:val="22"/>
          </w:rPr>
          <w:tab/>
        </w:r>
        <w:r w:rsidR="007F2617" w:rsidRPr="003F35AD">
          <w:rPr>
            <w:rStyle w:val="Hyperlink"/>
            <w:noProof/>
          </w:rPr>
          <w:t>Voice sample 2 allocation task results</w:t>
        </w:r>
        <w:r w:rsidR="007F2617">
          <w:rPr>
            <w:noProof/>
            <w:webHidden/>
          </w:rPr>
          <w:tab/>
        </w:r>
        <w:r w:rsidR="007F2617">
          <w:rPr>
            <w:noProof/>
            <w:webHidden/>
          </w:rPr>
          <w:fldChar w:fldCharType="begin"/>
        </w:r>
        <w:r w:rsidR="007F2617">
          <w:rPr>
            <w:noProof/>
            <w:webHidden/>
          </w:rPr>
          <w:instrText xml:space="preserve"> PAGEREF _Toc6472774 \h </w:instrText>
        </w:r>
        <w:r w:rsidR="007F2617">
          <w:rPr>
            <w:noProof/>
            <w:webHidden/>
          </w:rPr>
        </w:r>
        <w:r w:rsidR="007F2617">
          <w:rPr>
            <w:noProof/>
            <w:webHidden/>
          </w:rPr>
          <w:fldChar w:fldCharType="separate"/>
        </w:r>
        <w:r w:rsidR="00301AD4">
          <w:rPr>
            <w:noProof/>
            <w:webHidden/>
          </w:rPr>
          <w:t>223</w:t>
        </w:r>
        <w:r w:rsidR="007F2617">
          <w:rPr>
            <w:noProof/>
            <w:webHidden/>
          </w:rPr>
          <w:fldChar w:fldCharType="end"/>
        </w:r>
      </w:hyperlink>
    </w:p>
    <w:p w14:paraId="6CAA962B" w14:textId="77777777" w:rsidR="007F2617" w:rsidRDefault="000E3509">
      <w:pPr>
        <w:pStyle w:val="TOC2"/>
        <w:rPr>
          <w:rFonts w:asciiTheme="minorHAnsi" w:eastAsiaTheme="minorEastAsia" w:hAnsiTheme="minorHAnsi" w:cstheme="minorBidi"/>
          <w:bCs w:val="0"/>
          <w:noProof/>
          <w:sz w:val="22"/>
        </w:rPr>
      </w:pPr>
      <w:hyperlink w:anchor="_Toc6472775" w:history="1">
        <w:r w:rsidR="007F2617" w:rsidRPr="003F35AD">
          <w:rPr>
            <w:rStyle w:val="Hyperlink"/>
            <w:noProof/>
          </w:rPr>
          <w:t>11.2.4.</w:t>
        </w:r>
        <w:r w:rsidR="007F2617">
          <w:rPr>
            <w:rFonts w:asciiTheme="minorHAnsi" w:eastAsiaTheme="minorEastAsia" w:hAnsiTheme="minorHAnsi" w:cstheme="minorBidi"/>
            <w:bCs w:val="0"/>
            <w:noProof/>
            <w:sz w:val="22"/>
          </w:rPr>
          <w:tab/>
        </w:r>
        <w:r w:rsidR="007F2617" w:rsidRPr="003F35AD">
          <w:rPr>
            <w:rStyle w:val="Hyperlink"/>
            <w:noProof/>
          </w:rPr>
          <w:t>Voice sample 4 allocation task results</w:t>
        </w:r>
        <w:r w:rsidR="007F2617">
          <w:rPr>
            <w:noProof/>
            <w:webHidden/>
          </w:rPr>
          <w:tab/>
        </w:r>
        <w:r w:rsidR="007F2617">
          <w:rPr>
            <w:noProof/>
            <w:webHidden/>
          </w:rPr>
          <w:fldChar w:fldCharType="begin"/>
        </w:r>
        <w:r w:rsidR="007F2617">
          <w:rPr>
            <w:noProof/>
            <w:webHidden/>
          </w:rPr>
          <w:instrText xml:space="preserve"> PAGEREF _Toc6472775 \h </w:instrText>
        </w:r>
        <w:r w:rsidR="007F2617">
          <w:rPr>
            <w:noProof/>
            <w:webHidden/>
          </w:rPr>
        </w:r>
        <w:r w:rsidR="007F2617">
          <w:rPr>
            <w:noProof/>
            <w:webHidden/>
          </w:rPr>
          <w:fldChar w:fldCharType="separate"/>
        </w:r>
        <w:r w:rsidR="00301AD4">
          <w:rPr>
            <w:noProof/>
            <w:webHidden/>
          </w:rPr>
          <w:t>223</w:t>
        </w:r>
        <w:r w:rsidR="007F2617">
          <w:rPr>
            <w:noProof/>
            <w:webHidden/>
          </w:rPr>
          <w:fldChar w:fldCharType="end"/>
        </w:r>
      </w:hyperlink>
    </w:p>
    <w:p w14:paraId="674FEA0D" w14:textId="77777777" w:rsidR="007F2617" w:rsidRDefault="000E3509">
      <w:pPr>
        <w:pStyle w:val="TOC2"/>
        <w:rPr>
          <w:rFonts w:asciiTheme="minorHAnsi" w:eastAsiaTheme="minorEastAsia" w:hAnsiTheme="minorHAnsi" w:cstheme="minorBidi"/>
          <w:bCs w:val="0"/>
          <w:noProof/>
          <w:sz w:val="22"/>
        </w:rPr>
      </w:pPr>
      <w:hyperlink w:anchor="_Toc6472776" w:history="1">
        <w:r w:rsidR="007F2617" w:rsidRPr="003F35AD">
          <w:rPr>
            <w:rStyle w:val="Hyperlink"/>
            <w:noProof/>
          </w:rPr>
          <w:t>11.2.5.</w:t>
        </w:r>
        <w:r w:rsidR="007F2617">
          <w:rPr>
            <w:rFonts w:asciiTheme="minorHAnsi" w:eastAsiaTheme="minorEastAsia" w:hAnsiTheme="minorHAnsi" w:cstheme="minorBidi"/>
            <w:bCs w:val="0"/>
            <w:noProof/>
            <w:sz w:val="22"/>
          </w:rPr>
          <w:tab/>
        </w:r>
        <w:r w:rsidR="007F2617" w:rsidRPr="003F35AD">
          <w:rPr>
            <w:rStyle w:val="Hyperlink"/>
            <w:noProof/>
          </w:rPr>
          <w:t>Effects of demographic variables on the allocation task</w:t>
        </w:r>
        <w:r w:rsidR="007F2617">
          <w:rPr>
            <w:noProof/>
            <w:webHidden/>
          </w:rPr>
          <w:tab/>
        </w:r>
        <w:r w:rsidR="007F2617">
          <w:rPr>
            <w:noProof/>
            <w:webHidden/>
          </w:rPr>
          <w:fldChar w:fldCharType="begin"/>
        </w:r>
        <w:r w:rsidR="007F2617">
          <w:rPr>
            <w:noProof/>
            <w:webHidden/>
          </w:rPr>
          <w:instrText xml:space="preserve"> PAGEREF _Toc6472776 \h </w:instrText>
        </w:r>
        <w:r w:rsidR="007F2617">
          <w:rPr>
            <w:noProof/>
            <w:webHidden/>
          </w:rPr>
        </w:r>
        <w:r w:rsidR="007F2617">
          <w:rPr>
            <w:noProof/>
            <w:webHidden/>
          </w:rPr>
          <w:fldChar w:fldCharType="separate"/>
        </w:r>
        <w:r w:rsidR="00301AD4">
          <w:rPr>
            <w:noProof/>
            <w:webHidden/>
          </w:rPr>
          <w:t>224</w:t>
        </w:r>
        <w:r w:rsidR="007F2617">
          <w:rPr>
            <w:noProof/>
            <w:webHidden/>
          </w:rPr>
          <w:fldChar w:fldCharType="end"/>
        </w:r>
      </w:hyperlink>
    </w:p>
    <w:p w14:paraId="7FD2ED47" w14:textId="77777777" w:rsidR="007F2617" w:rsidRDefault="000E3509">
      <w:pPr>
        <w:pStyle w:val="TOC3"/>
        <w:rPr>
          <w:rFonts w:asciiTheme="minorHAnsi" w:eastAsiaTheme="minorEastAsia" w:hAnsiTheme="minorHAnsi" w:cstheme="minorBidi"/>
          <w:noProof/>
          <w:sz w:val="22"/>
        </w:rPr>
      </w:pPr>
      <w:hyperlink w:anchor="_Toc6472777" w:history="1">
        <w:r w:rsidR="007F2617" w:rsidRPr="003F35AD">
          <w:rPr>
            <w:rStyle w:val="Hyperlink"/>
            <w:noProof/>
          </w:rPr>
          <w:t>11.2.5.1.</w:t>
        </w:r>
        <w:r w:rsidR="007F2617">
          <w:rPr>
            <w:rFonts w:asciiTheme="minorHAnsi" w:eastAsiaTheme="minorEastAsia" w:hAnsiTheme="minorHAnsi" w:cstheme="minorBidi"/>
            <w:noProof/>
            <w:sz w:val="22"/>
          </w:rPr>
          <w:tab/>
        </w:r>
        <w:r w:rsidR="007F2617" w:rsidRPr="003F35AD">
          <w:rPr>
            <w:rStyle w:val="Hyperlink"/>
            <w:noProof/>
          </w:rPr>
          <w:t>Chi-square test results for VS2</w:t>
        </w:r>
        <w:r w:rsidR="007F2617">
          <w:rPr>
            <w:noProof/>
            <w:webHidden/>
          </w:rPr>
          <w:tab/>
        </w:r>
        <w:r w:rsidR="007F2617">
          <w:rPr>
            <w:noProof/>
            <w:webHidden/>
          </w:rPr>
          <w:fldChar w:fldCharType="begin"/>
        </w:r>
        <w:r w:rsidR="007F2617">
          <w:rPr>
            <w:noProof/>
            <w:webHidden/>
          </w:rPr>
          <w:instrText xml:space="preserve"> PAGEREF _Toc6472777 \h </w:instrText>
        </w:r>
        <w:r w:rsidR="007F2617">
          <w:rPr>
            <w:noProof/>
            <w:webHidden/>
          </w:rPr>
        </w:r>
        <w:r w:rsidR="007F2617">
          <w:rPr>
            <w:noProof/>
            <w:webHidden/>
          </w:rPr>
          <w:fldChar w:fldCharType="separate"/>
        </w:r>
        <w:r w:rsidR="00301AD4">
          <w:rPr>
            <w:noProof/>
            <w:webHidden/>
          </w:rPr>
          <w:t>224</w:t>
        </w:r>
        <w:r w:rsidR="007F2617">
          <w:rPr>
            <w:noProof/>
            <w:webHidden/>
          </w:rPr>
          <w:fldChar w:fldCharType="end"/>
        </w:r>
      </w:hyperlink>
    </w:p>
    <w:p w14:paraId="59E5C6F6" w14:textId="77777777" w:rsidR="007F2617" w:rsidRDefault="000E3509">
      <w:pPr>
        <w:pStyle w:val="TOC2"/>
        <w:rPr>
          <w:rFonts w:asciiTheme="minorHAnsi" w:eastAsiaTheme="minorEastAsia" w:hAnsiTheme="minorHAnsi" w:cstheme="minorBidi"/>
          <w:bCs w:val="0"/>
          <w:noProof/>
          <w:sz w:val="22"/>
        </w:rPr>
      </w:pPr>
      <w:hyperlink w:anchor="_Toc6472778" w:history="1">
        <w:r w:rsidR="007F2617" w:rsidRPr="003F35AD">
          <w:rPr>
            <w:rStyle w:val="Hyperlink"/>
            <w:noProof/>
          </w:rPr>
          <w:t>11.2.6.</w:t>
        </w:r>
        <w:r w:rsidR="007F2617">
          <w:rPr>
            <w:rFonts w:asciiTheme="minorHAnsi" w:eastAsiaTheme="minorEastAsia" w:hAnsiTheme="minorHAnsi" w:cstheme="minorBidi"/>
            <w:bCs w:val="0"/>
            <w:noProof/>
            <w:sz w:val="22"/>
          </w:rPr>
          <w:tab/>
        </w:r>
        <w:r w:rsidR="007F2617" w:rsidRPr="003F35AD">
          <w:rPr>
            <w:rStyle w:val="Hyperlink"/>
            <w:noProof/>
          </w:rPr>
          <w:t>Voice sample 5 allocation task results</w:t>
        </w:r>
        <w:r w:rsidR="007F2617">
          <w:rPr>
            <w:noProof/>
            <w:webHidden/>
          </w:rPr>
          <w:tab/>
        </w:r>
        <w:r w:rsidR="007F2617">
          <w:rPr>
            <w:noProof/>
            <w:webHidden/>
          </w:rPr>
          <w:fldChar w:fldCharType="begin"/>
        </w:r>
        <w:r w:rsidR="007F2617">
          <w:rPr>
            <w:noProof/>
            <w:webHidden/>
          </w:rPr>
          <w:instrText xml:space="preserve"> PAGEREF _Toc6472778 \h </w:instrText>
        </w:r>
        <w:r w:rsidR="007F2617">
          <w:rPr>
            <w:noProof/>
            <w:webHidden/>
          </w:rPr>
        </w:r>
        <w:r w:rsidR="007F2617">
          <w:rPr>
            <w:noProof/>
            <w:webHidden/>
          </w:rPr>
          <w:fldChar w:fldCharType="separate"/>
        </w:r>
        <w:r w:rsidR="00301AD4">
          <w:rPr>
            <w:noProof/>
            <w:webHidden/>
          </w:rPr>
          <w:t>226</w:t>
        </w:r>
        <w:r w:rsidR="007F2617">
          <w:rPr>
            <w:noProof/>
            <w:webHidden/>
          </w:rPr>
          <w:fldChar w:fldCharType="end"/>
        </w:r>
      </w:hyperlink>
    </w:p>
    <w:p w14:paraId="5F0EA31B" w14:textId="549E053B" w:rsidR="007F2617" w:rsidRDefault="000E3509">
      <w:pPr>
        <w:pStyle w:val="TOC3"/>
        <w:rPr>
          <w:rFonts w:asciiTheme="minorHAnsi" w:eastAsiaTheme="minorEastAsia" w:hAnsiTheme="minorHAnsi" w:cstheme="minorBidi"/>
          <w:noProof/>
          <w:sz w:val="22"/>
        </w:rPr>
      </w:pPr>
      <w:hyperlink w:anchor="_Toc6472779" w:history="1">
        <w:r w:rsidR="007F2617" w:rsidRPr="003F35AD">
          <w:rPr>
            <w:rStyle w:val="Hyperlink"/>
            <w:noProof/>
          </w:rPr>
          <w:t>11.2.6.1.</w:t>
        </w:r>
        <w:r w:rsidR="007F2617">
          <w:rPr>
            <w:rFonts w:asciiTheme="minorHAnsi" w:eastAsiaTheme="minorEastAsia" w:hAnsiTheme="minorHAnsi" w:cstheme="minorBidi"/>
            <w:noProof/>
            <w:sz w:val="22"/>
          </w:rPr>
          <w:tab/>
        </w:r>
        <w:r w:rsidR="007F2617" w:rsidRPr="003F35AD">
          <w:rPr>
            <w:rStyle w:val="Hyperlink"/>
            <w:noProof/>
          </w:rPr>
          <w:t xml:space="preserve">Effects of demographic variables on the VS5 </w:t>
        </w:r>
        <w:r w:rsidR="007F2617">
          <w:rPr>
            <w:rStyle w:val="Hyperlink"/>
            <w:noProof/>
          </w:rPr>
          <w:br/>
          <w:t xml:space="preserve">                </w:t>
        </w:r>
        <w:r w:rsidR="007F2617" w:rsidRPr="003F35AD">
          <w:rPr>
            <w:rStyle w:val="Hyperlink"/>
            <w:noProof/>
          </w:rPr>
          <w:t>allocation task</w:t>
        </w:r>
        <w:r w:rsidR="007F2617">
          <w:rPr>
            <w:noProof/>
            <w:webHidden/>
          </w:rPr>
          <w:tab/>
        </w:r>
        <w:r w:rsidR="007F2617">
          <w:rPr>
            <w:noProof/>
            <w:webHidden/>
          </w:rPr>
          <w:fldChar w:fldCharType="begin"/>
        </w:r>
        <w:r w:rsidR="007F2617">
          <w:rPr>
            <w:noProof/>
            <w:webHidden/>
          </w:rPr>
          <w:instrText xml:space="preserve"> PAGEREF _Toc6472779 \h </w:instrText>
        </w:r>
        <w:r w:rsidR="007F2617">
          <w:rPr>
            <w:noProof/>
            <w:webHidden/>
          </w:rPr>
        </w:r>
        <w:r w:rsidR="007F2617">
          <w:rPr>
            <w:noProof/>
            <w:webHidden/>
          </w:rPr>
          <w:fldChar w:fldCharType="separate"/>
        </w:r>
        <w:r w:rsidR="00301AD4">
          <w:rPr>
            <w:noProof/>
            <w:webHidden/>
          </w:rPr>
          <w:t>226</w:t>
        </w:r>
        <w:r w:rsidR="007F2617">
          <w:rPr>
            <w:noProof/>
            <w:webHidden/>
          </w:rPr>
          <w:fldChar w:fldCharType="end"/>
        </w:r>
      </w:hyperlink>
    </w:p>
    <w:p w14:paraId="4F94378C" w14:textId="77777777" w:rsidR="007F2617" w:rsidRDefault="000E3509" w:rsidP="007F2617">
      <w:pPr>
        <w:pStyle w:val="TOC1"/>
        <w:rPr>
          <w:rFonts w:asciiTheme="minorHAnsi" w:eastAsiaTheme="minorEastAsia" w:hAnsiTheme="minorHAnsi" w:cstheme="minorBidi"/>
          <w:sz w:val="22"/>
          <w:szCs w:val="22"/>
        </w:rPr>
      </w:pPr>
      <w:hyperlink w:anchor="_Toc6472780" w:history="1">
        <w:r w:rsidR="007F2617" w:rsidRPr="003F35AD">
          <w:rPr>
            <w:rStyle w:val="Hyperlink"/>
            <w:rFonts w:eastAsia="Times New Roman"/>
          </w:rPr>
          <w:t>11.3.</w:t>
        </w:r>
        <w:r w:rsidR="007F2617">
          <w:rPr>
            <w:rFonts w:asciiTheme="minorHAnsi" w:eastAsiaTheme="minorEastAsia" w:hAnsiTheme="minorHAnsi" w:cstheme="minorBidi"/>
            <w:sz w:val="22"/>
            <w:szCs w:val="22"/>
          </w:rPr>
          <w:tab/>
        </w:r>
        <w:r w:rsidR="007F2617" w:rsidRPr="003F35AD">
          <w:rPr>
            <w:rStyle w:val="Hyperlink"/>
            <w:rFonts w:eastAsia="Times New Roman"/>
          </w:rPr>
          <w:t>Rating task results (attitudinal task)</w:t>
        </w:r>
        <w:r w:rsidR="007F2617">
          <w:rPr>
            <w:webHidden/>
          </w:rPr>
          <w:tab/>
        </w:r>
        <w:r w:rsidR="007F2617">
          <w:rPr>
            <w:webHidden/>
          </w:rPr>
          <w:fldChar w:fldCharType="begin"/>
        </w:r>
        <w:r w:rsidR="007F2617">
          <w:rPr>
            <w:webHidden/>
          </w:rPr>
          <w:instrText xml:space="preserve"> PAGEREF _Toc6472780 \h </w:instrText>
        </w:r>
        <w:r w:rsidR="007F2617">
          <w:rPr>
            <w:webHidden/>
          </w:rPr>
        </w:r>
        <w:r w:rsidR="007F2617">
          <w:rPr>
            <w:webHidden/>
          </w:rPr>
          <w:fldChar w:fldCharType="separate"/>
        </w:r>
        <w:r w:rsidR="00301AD4">
          <w:rPr>
            <w:webHidden/>
          </w:rPr>
          <w:t>229</w:t>
        </w:r>
        <w:r w:rsidR="007F2617">
          <w:rPr>
            <w:webHidden/>
          </w:rPr>
          <w:fldChar w:fldCharType="end"/>
        </w:r>
      </w:hyperlink>
    </w:p>
    <w:p w14:paraId="0423CF8D" w14:textId="77777777" w:rsidR="007F2617" w:rsidRDefault="000E3509">
      <w:pPr>
        <w:pStyle w:val="TOC2"/>
        <w:rPr>
          <w:rFonts w:asciiTheme="minorHAnsi" w:eastAsiaTheme="minorEastAsia" w:hAnsiTheme="minorHAnsi" w:cstheme="minorBidi"/>
          <w:bCs w:val="0"/>
          <w:noProof/>
          <w:sz w:val="22"/>
        </w:rPr>
      </w:pPr>
      <w:hyperlink w:anchor="_Toc6472781" w:history="1">
        <w:r w:rsidR="007F2617" w:rsidRPr="003F35AD">
          <w:rPr>
            <w:rStyle w:val="Hyperlink"/>
            <w:rFonts w:eastAsia="Calibri"/>
            <w:noProof/>
          </w:rPr>
          <w:t>11.3.1.</w:t>
        </w:r>
        <w:r w:rsidR="007F2617">
          <w:rPr>
            <w:rFonts w:asciiTheme="minorHAnsi" w:eastAsiaTheme="minorEastAsia" w:hAnsiTheme="minorHAnsi" w:cstheme="minorBidi"/>
            <w:bCs w:val="0"/>
            <w:noProof/>
            <w:sz w:val="22"/>
          </w:rPr>
          <w:tab/>
        </w:r>
        <w:r w:rsidR="007F2617" w:rsidRPr="003F35AD">
          <w:rPr>
            <w:rStyle w:val="Hyperlink"/>
            <w:rFonts w:eastAsia="Calibri"/>
            <w:noProof/>
          </w:rPr>
          <w:t>Procedures for analysing rating-scale results</w:t>
        </w:r>
        <w:r w:rsidR="007F2617">
          <w:rPr>
            <w:noProof/>
            <w:webHidden/>
          </w:rPr>
          <w:tab/>
        </w:r>
        <w:r w:rsidR="007F2617">
          <w:rPr>
            <w:noProof/>
            <w:webHidden/>
          </w:rPr>
          <w:fldChar w:fldCharType="begin"/>
        </w:r>
        <w:r w:rsidR="007F2617">
          <w:rPr>
            <w:noProof/>
            <w:webHidden/>
          </w:rPr>
          <w:instrText xml:space="preserve"> PAGEREF _Toc6472781 \h </w:instrText>
        </w:r>
        <w:r w:rsidR="007F2617">
          <w:rPr>
            <w:noProof/>
            <w:webHidden/>
          </w:rPr>
        </w:r>
        <w:r w:rsidR="007F2617">
          <w:rPr>
            <w:noProof/>
            <w:webHidden/>
          </w:rPr>
          <w:fldChar w:fldCharType="separate"/>
        </w:r>
        <w:r w:rsidR="00301AD4">
          <w:rPr>
            <w:noProof/>
            <w:webHidden/>
          </w:rPr>
          <w:t>229</w:t>
        </w:r>
        <w:r w:rsidR="007F2617">
          <w:rPr>
            <w:noProof/>
            <w:webHidden/>
          </w:rPr>
          <w:fldChar w:fldCharType="end"/>
        </w:r>
      </w:hyperlink>
    </w:p>
    <w:p w14:paraId="6CDE17F5" w14:textId="77777777" w:rsidR="007F2617" w:rsidRDefault="000E3509">
      <w:pPr>
        <w:pStyle w:val="TOC3"/>
        <w:rPr>
          <w:rFonts w:asciiTheme="minorHAnsi" w:eastAsiaTheme="minorEastAsia" w:hAnsiTheme="minorHAnsi" w:cstheme="minorBidi"/>
          <w:noProof/>
          <w:sz w:val="22"/>
        </w:rPr>
      </w:pPr>
      <w:hyperlink w:anchor="_Toc6472782" w:history="1">
        <w:r w:rsidR="007F2617" w:rsidRPr="003F35AD">
          <w:rPr>
            <w:rStyle w:val="Hyperlink"/>
            <w:rFonts w:eastAsia="Calibri"/>
            <w:noProof/>
          </w:rPr>
          <w:t>11.3.1.1.</w:t>
        </w:r>
        <w:r w:rsidR="007F2617">
          <w:rPr>
            <w:rFonts w:asciiTheme="minorHAnsi" w:eastAsiaTheme="minorEastAsia" w:hAnsiTheme="minorHAnsi" w:cstheme="minorBidi"/>
            <w:noProof/>
            <w:sz w:val="22"/>
          </w:rPr>
          <w:tab/>
        </w:r>
        <w:r w:rsidR="007F2617" w:rsidRPr="003F35AD">
          <w:rPr>
            <w:rStyle w:val="Hyperlink"/>
            <w:rFonts w:eastAsia="Calibri"/>
            <w:noProof/>
          </w:rPr>
          <w:t>Step 1: Comparison across all voice samples</w:t>
        </w:r>
        <w:r w:rsidR="007F2617">
          <w:rPr>
            <w:noProof/>
            <w:webHidden/>
          </w:rPr>
          <w:tab/>
        </w:r>
        <w:r w:rsidR="007F2617">
          <w:rPr>
            <w:noProof/>
            <w:webHidden/>
          </w:rPr>
          <w:fldChar w:fldCharType="begin"/>
        </w:r>
        <w:r w:rsidR="007F2617">
          <w:rPr>
            <w:noProof/>
            <w:webHidden/>
          </w:rPr>
          <w:instrText xml:space="preserve"> PAGEREF _Toc6472782 \h </w:instrText>
        </w:r>
        <w:r w:rsidR="007F2617">
          <w:rPr>
            <w:noProof/>
            <w:webHidden/>
          </w:rPr>
        </w:r>
        <w:r w:rsidR="007F2617">
          <w:rPr>
            <w:noProof/>
            <w:webHidden/>
          </w:rPr>
          <w:fldChar w:fldCharType="separate"/>
        </w:r>
        <w:r w:rsidR="00301AD4">
          <w:rPr>
            <w:noProof/>
            <w:webHidden/>
          </w:rPr>
          <w:t>230</w:t>
        </w:r>
        <w:r w:rsidR="007F2617">
          <w:rPr>
            <w:noProof/>
            <w:webHidden/>
          </w:rPr>
          <w:fldChar w:fldCharType="end"/>
        </w:r>
      </w:hyperlink>
    </w:p>
    <w:p w14:paraId="1F49F3A3" w14:textId="77777777" w:rsidR="007F2617" w:rsidRDefault="000E3509">
      <w:pPr>
        <w:pStyle w:val="TOC4"/>
        <w:rPr>
          <w:rFonts w:asciiTheme="minorHAnsi" w:eastAsiaTheme="minorEastAsia" w:hAnsiTheme="minorHAnsi" w:cstheme="minorBidi"/>
          <w:noProof/>
          <w:sz w:val="22"/>
          <w:szCs w:val="22"/>
        </w:rPr>
      </w:pPr>
      <w:hyperlink w:anchor="_Toc6472783" w:history="1">
        <w:r w:rsidR="007F2617" w:rsidRPr="003F35AD">
          <w:rPr>
            <w:rStyle w:val="Hyperlink"/>
            <w:rFonts w:eastAsia="Calibri"/>
            <w:noProof/>
          </w:rPr>
          <w:t>11.3.1.1.1.</w:t>
        </w:r>
        <w:r w:rsidR="007F2617">
          <w:rPr>
            <w:rFonts w:asciiTheme="minorHAnsi" w:eastAsiaTheme="minorEastAsia" w:hAnsiTheme="minorHAnsi" w:cstheme="minorBidi"/>
            <w:noProof/>
            <w:sz w:val="22"/>
            <w:szCs w:val="22"/>
          </w:rPr>
          <w:tab/>
        </w:r>
        <w:r w:rsidR="007F2617" w:rsidRPr="003F35AD">
          <w:rPr>
            <w:rStyle w:val="Hyperlink"/>
            <w:rFonts w:eastAsia="Calibri"/>
            <w:noProof/>
          </w:rPr>
          <w:t>‘Serious’ scale</w:t>
        </w:r>
        <w:r w:rsidR="007F2617">
          <w:rPr>
            <w:noProof/>
            <w:webHidden/>
          </w:rPr>
          <w:tab/>
        </w:r>
        <w:r w:rsidR="007F2617">
          <w:rPr>
            <w:noProof/>
            <w:webHidden/>
          </w:rPr>
          <w:fldChar w:fldCharType="begin"/>
        </w:r>
        <w:r w:rsidR="007F2617">
          <w:rPr>
            <w:noProof/>
            <w:webHidden/>
          </w:rPr>
          <w:instrText xml:space="preserve"> PAGEREF _Toc6472783 \h </w:instrText>
        </w:r>
        <w:r w:rsidR="007F2617">
          <w:rPr>
            <w:noProof/>
            <w:webHidden/>
          </w:rPr>
        </w:r>
        <w:r w:rsidR="007F2617">
          <w:rPr>
            <w:noProof/>
            <w:webHidden/>
          </w:rPr>
          <w:fldChar w:fldCharType="separate"/>
        </w:r>
        <w:r w:rsidR="00301AD4">
          <w:rPr>
            <w:noProof/>
            <w:webHidden/>
          </w:rPr>
          <w:t>230</w:t>
        </w:r>
        <w:r w:rsidR="007F2617">
          <w:rPr>
            <w:noProof/>
            <w:webHidden/>
          </w:rPr>
          <w:fldChar w:fldCharType="end"/>
        </w:r>
      </w:hyperlink>
    </w:p>
    <w:p w14:paraId="731481C3" w14:textId="77777777" w:rsidR="007F2617" w:rsidRDefault="000E3509">
      <w:pPr>
        <w:pStyle w:val="TOC4"/>
        <w:rPr>
          <w:rFonts w:asciiTheme="minorHAnsi" w:eastAsiaTheme="minorEastAsia" w:hAnsiTheme="minorHAnsi" w:cstheme="minorBidi"/>
          <w:noProof/>
          <w:sz w:val="22"/>
          <w:szCs w:val="22"/>
        </w:rPr>
      </w:pPr>
      <w:hyperlink w:anchor="_Toc6472784" w:history="1">
        <w:r w:rsidR="007F2617" w:rsidRPr="003F35AD">
          <w:rPr>
            <w:rStyle w:val="Hyperlink"/>
            <w:rFonts w:eastAsia="Calibri"/>
            <w:noProof/>
          </w:rPr>
          <w:t>11.3.1.1.2.</w:t>
        </w:r>
        <w:r w:rsidR="007F2617">
          <w:rPr>
            <w:rFonts w:asciiTheme="minorHAnsi" w:eastAsiaTheme="minorEastAsia" w:hAnsiTheme="minorHAnsi" w:cstheme="minorBidi"/>
            <w:noProof/>
            <w:sz w:val="22"/>
            <w:szCs w:val="22"/>
          </w:rPr>
          <w:tab/>
        </w:r>
        <w:r w:rsidR="007F2617" w:rsidRPr="003F35AD">
          <w:rPr>
            <w:rStyle w:val="Hyperlink"/>
            <w:rFonts w:eastAsia="Calibri"/>
            <w:noProof/>
          </w:rPr>
          <w:t>Similar to other Arabic dialects scale</w:t>
        </w:r>
        <w:r w:rsidR="007F2617">
          <w:rPr>
            <w:noProof/>
            <w:webHidden/>
          </w:rPr>
          <w:tab/>
        </w:r>
        <w:r w:rsidR="007F2617">
          <w:rPr>
            <w:noProof/>
            <w:webHidden/>
          </w:rPr>
          <w:fldChar w:fldCharType="begin"/>
        </w:r>
        <w:r w:rsidR="007F2617">
          <w:rPr>
            <w:noProof/>
            <w:webHidden/>
          </w:rPr>
          <w:instrText xml:space="preserve"> PAGEREF _Toc6472784 \h </w:instrText>
        </w:r>
        <w:r w:rsidR="007F2617">
          <w:rPr>
            <w:noProof/>
            <w:webHidden/>
          </w:rPr>
        </w:r>
        <w:r w:rsidR="007F2617">
          <w:rPr>
            <w:noProof/>
            <w:webHidden/>
          </w:rPr>
          <w:fldChar w:fldCharType="separate"/>
        </w:r>
        <w:r w:rsidR="00301AD4">
          <w:rPr>
            <w:noProof/>
            <w:webHidden/>
          </w:rPr>
          <w:t>233</w:t>
        </w:r>
        <w:r w:rsidR="007F2617">
          <w:rPr>
            <w:noProof/>
            <w:webHidden/>
          </w:rPr>
          <w:fldChar w:fldCharType="end"/>
        </w:r>
      </w:hyperlink>
    </w:p>
    <w:p w14:paraId="74C315F7" w14:textId="77777777" w:rsidR="007F2617" w:rsidRDefault="000E3509">
      <w:pPr>
        <w:pStyle w:val="TOC4"/>
        <w:rPr>
          <w:rFonts w:asciiTheme="minorHAnsi" w:eastAsiaTheme="minorEastAsia" w:hAnsiTheme="minorHAnsi" w:cstheme="minorBidi"/>
          <w:noProof/>
          <w:sz w:val="22"/>
          <w:szCs w:val="22"/>
        </w:rPr>
      </w:pPr>
      <w:hyperlink w:anchor="_Toc6472785" w:history="1">
        <w:r w:rsidR="007F2617" w:rsidRPr="003F35AD">
          <w:rPr>
            <w:rStyle w:val="Hyperlink"/>
            <w:rFonts w:eastAsia="Calibri"/>
            <w:noProof/>
          </w:rPr>
          <w:t>11.3.1.1.3.</w:t>
        </w:r>
        <w:r w:rsidR="007F2617">
          <w:rPr>
            <w:rFonts w:asciiTheme="minorHAnsi" w:eastAsiaTheme="minorEastAsia" w:hAnsiTheme="minorHAnsi" w:cstheme="minorBidi"/>
            <w:noProof/>
            <w:sz w:val="22"/>
            <w:szCs w:val="22"/>
          </w:rPr>
          <w:tab/>
        </w:r>
        <w:r w:rsidR="007F2617" w:rsidRPr="003F35AD">
          <w:rPr>
            <w:rStyle w:val="Hyperlink"/>
            <w:rFonts w:eastAsia="Calibri"/>
            <w:noProof/>
          </w:rPr>
          <w:t>Traditional rating scale</w:t>
        </w:r>
        <w:r w:rsidR="007F2617">
          <w:rPr>
            <w:noProof/>
            <w:webHidden/>
          </w:rPr>
          <w:tab/>
        </w:r>
        <w:r w:rsidR="007F2617">
          <w:rPr>
            <w:noProof/>
            <w:webHidden/>
          </w:rPr>
          <w:fldChar w:fldCharType="begin"/>
        </w:r>
        <w:r w:rsidR="007F2617">
          <w:rPr>
            <w:noProof/>
            <w:webHidden/>
          </w:rPr>
          <w:instrText xml:space="preserve"> PAGEREF _Toc6472785 \h </w:instrText>
        </w:r>
        <w:r w:rsidR="007F2617">
          <w:rPr>
            <w:noProof/>
            <w:webHidden/>
          </w:rPr>
        </w:r>
        <w:r w:rsidR="007F2617">
          <w:rPr>
            <w:noProof/>
            <w:webHidden/>
          </w:rPr>
          <w:fldChar w:fldCharType="separate"/>
        </w:r>
        <w:r w:rsidR="00301AD4">
          <w:rPr>
            <w:noProof/>
            <w:webHidden/>
          </w:rPr>
          <w:t>235</w:t>
        </w:r>
        <w:r w:rsidR="007F2617">
          <w:rPr>
            <w:noProof/>
            <w:webHidden/>
          </w:rPr>
          <w:fldChar w:fldCharType="end"/>
        </w:r>
      </w:hyperlink>
    </w:p>
    <w:p w14:paraId="7B2E95CB" w14:textId="77777777" w:rsidR="007F2617" w:rsidRDefault="000E3509">
      <w:pPr>
        <w:pStyle w:val="TOC4"/>
        <w:rPr>
          <w:rFonts w:asciiTheme="minorHAnsi" w:eastAsiaTheme="minorEastAsia" w:hAnsiTheme="minorHAnsi" w:cstheme="minorBidi"/>
          <w:noProof/>
          <w:sz w:val="22"/>
          <w:szCs w:val="22"/>
        </w:rPr>
      </w:pPr>
      <w:hyperlink w:anchor="_Toc6472786" w:history="1">
        <w:r w:rsidR="007F2617" w:rsidRPr="003F35AD">
          <w:rPr>
            <w:rStyle w:val="Hyperlink"/>
            <w:rFonts w:eastAsia="Calibri"/>
            <w:noProof/>
          </w:rPr>
          <w:t>11.3.1.1.4.</w:t>
        </w:r>
        <w:r w:rsidR="007F2617">
          <w:rPr>
            <w:rFonts w:asciiTheme="minorHAnsi" w:eastAsiaTheme="minorEastAsia" w:hAnsiTheme="minorHAnsi" w:cstheme="minorBidi"/>
            <w:noProof/>
            <w:sz w:val="22"/>
            <w:szCs w:val="22"/>
          </w:rPr>
          <w:tab/>
        </w:r>
        <w:r w:rsidR="007F2617" w:rsidRPr="003F35AD">
          <w:rPr>
            <w:rStyle w:val="Hyperlink"/>
            <w:rFonts w:eastAsia="Calibri"/>
            <w:noProof/>
          </w:rPr>
          <w:t>Modern scale</w:t>
        </w:r>
        <w:r w:rsidR="007F2617">
          <w:rPr>
            <w:noProof/>
            <w:webHidden/>
          </w:rPr>
          <w:tab/>
        </w:r>
        <w:r w:rsidR="007F2617">
          <w:rPr>
            <w:noProof/>
            <w:webHidden/>
          </w:rPr>
          <w:fldChar w:fldCharType="begin"/>
        </w:r>
        <w:r w:rsidR="007F2617">
          <w:rPr>
            <w:noProof/>
            <w:webHidden/>
          </w:rPr>
          <w:instrText xml:space="preserve"> PAGEREF _Toc6472786 \h </w:instrText>
        </w:r>
        <w:r w:rsidR="007F2617">
          <w:rPr>
            <w:noProof/>
            <w:webHidden/>
          </w:rPr>
        </w:r>
        <w:r w:rsidR="007F2617">
          <w:rPr>
            <w:noProof/>
            <w:webHidden/>
          </w:rPr>
          <w:fldChar w:fldCharType="separate"/>
        </w:r>
        <w:r w:rsidR="00301AD4">
          <w:rPr>
            <w:noProof/>
            <w:webHidden/>
          </w:rPr>
          <w:t>237</w:t>
        </w:r>
        <w:r w:rsidR="007F2617">
          <w:rPr>
            <w:noProof/>
            <w:webHidden/>
          </w:rPr>
          <w:fldChar w:fldCharType="end"/>
        </w:r>
      </w:hyperlink>
    </w:p>
    <w:p w14:paraId="453590B2" w14:textId="77777777" w:rsidR="007F2617" w:rsidRDefault="000E3509">
      <w:pPr>
        <w:pStyle w:val="TOC3"/>
        <w:rPr>
          <w:rFonts w:asciiTheme="minorHAnsi" w:eastAsiaTheme="minorEastAsia" w:hAnsiTheme="minorHAnsi" w:cstheme="minorBidi"/>
          <w:noProof/>
          <w:sz w:val="22"/>
        </w:rPr>
      </w:pPr>
      <w:hyperlink w:anchor="_Toc6472787" w:history="1">
        <w:r w:rsidR="007F2617" w:rsidRPr="003F35AD">
          <w:rPr>
            <w:rStyle w:val="Hyperlink"/>
            <w:rFonts w:eastAsia="Calibri"/>
            <w:noProof/>
          </w:rPr>
          <w:t>11.3.1.2.</w:t>
        </w:r>
        <w:r w:rsidR="007F2617">
          <w:rPr>
            <w:rFonts w:asciiTheme="minorHAnsi" w:eastAsiaTheme="minorEastAsia" w:hAnsiTheme="minorHAnsi" w:cstheme="minorBidi"/>
            <w:noProof/>
            <w:sz w:val="22"/>
          </w:rPr>
          <w:tab/>
        </w:r>
        <w:r w:rsidR="007F2617" w:rsidRPr="003F35AD">
          <w:rPr>
            <w:rStyle w:val="Hyperlink"/>
            <w:rFonts w:eastAsia="Calibri"/>
            <w:noProof/>
          </w:rPr>
          <w:t>Step 2: Comparison of ratings within each voice sample</w:t>
        </w:r>
        <w:r w:rsidR="007F2617">
          <w:rPr>
            <w:noProof/>
            <w:webHidden/>
          </w:rPr>
          <w:tab/>
        </w:r>
        <w:r w:rsidR="007F2617">
          <w:rPr>
            <w:noProof/>
            <w:webHidden/>
          </w:rPr>
          <w:fldChar w:fldCharType="begin"/>
        </w:r>
        <w:r w:rsidR="007F2617">
          <w:rPr>
            <w:noProof/>
            <w:webHidden/>
          </w:rPr>
          <w:instrText xml:space="preserve"> PAGEREF _Toc6472787 \h </w:instrText>
        </w:r>
        <w:r w:rsidR="007F2617">
          <w:rPr>
            <w:noProof/>
            <w:webHidden/>
          </w:rPr>
        </w:r>
        <w:r w:rsidR="007F2617">
          <w:rPr>
            <w:noProof/>
            <w:webHidden/>
          </w:rPr>
          <w:fldChar w:fldCharType="separate"/>
        </w:r>
        <w:r w:rsidR="00301AD4">
          <w:rPr>
            <w:noProof/>
            <w:webHidden/>
          </w:rPr>
          <w:t>239</w:t>
        </w:r>
        <w:r w:rsidR="007F2617">
          <w:rPr>
            <w:noProof/>
            <w:webHidden/>
          </w:rPr>
          <w:fldChar w:fldCharType="end"/>
        </w:r>
      </w:hyperlink>
    </w:p>
    <w:p w14:paraId="32FCD18F" w14:textId="77777777" w:rsidR="007F2617" w:rsidRDefault="000E3509">
      <w:pPr>
        <w:pStyle w:val="TOC4"/>
        <w:rPr>
          <w:rFonts w:asciiTheme="minorHAnsi" w:eastAsiaTheme="minorEastAsia" w:hAnsiTheme="minorHAnsi" w:cstheme="minorBidi"/>
          <w:noProof/>
          <w:sz w:val="22"/>
          <w:szCs w:val="22"/>
        </w:rPr>
      </w:pPr>
      <w:hyperlink w:anchor="_Toc6472788" w:history="1">
        <w:r w:rsidR="007F2617" w:rsidRPr="003F35AD">
          <w:rPr>
            <w:rStyle w:val="Hyperlink"/>
            <w:rFonts w:eastAsia="Calibri"/>
            <w:noProof/>
          </w:rPr>
          <w:t>11.3.1.2.1.</w:t>
        </w:r>
        <w:r w:rsidR="007F2617">
          <w:rPr>
            <w:rFonts w:asciiTheme="minorHAnsi" w:eastAsiaTheme="minorEastAsia" w:hAnsiTheme="minorHAnsi" w:cstheme="minorBidi"/>
            <w:noProof/>
            <w:sz w:val="22"/>
            <w:szCs w:val="22"/>
          </w:rPr>
          <w:tab/>
        </w:r>
        <w:r w:rsidR="007F2617" w:rsidRPr="003F35AD">
          <w:rPr>
            <w:rStyle w:val="Hyperlink"/>
            <w:rFonts w:eastAsia="Calibri"/>
            <w:noProof/>
          </w:rPr>
          <w:t>Voice sample 1</w:t>
        </w:r>
        <w:r w:rsidR="007F2617">
          <w:rPr>
            <w:noProof/>
            <w:webHidden/>
          </w:rPr>
          <w:tab/>
        </w:r>
        <w:r w:rsidR="007F2617">
          <w:rPr>
            <w:noProof/>
            <w:webHidden/>
          </w:rPr>
          <w:fldChar w:fldCharType="begin"/>
        </w:r>
        <w:r w:rsidR="007F2617">
          <w:rPr>
            <w:noProof/>
            <w:webHidden/>
          </w:rPr>
          <w:instrText xml:space="preserve"> PAGEREF _Toc6472788 \h </w:instrText>
        </w:r>
        <w:r w:rsidR="007F2617">
          <w:rPr>
            <w:noProof/>
            <w:webHidden/>
          </w:rPr>
        </w:r>
        <w:r w:rsidR="007F2617">
          <w:rPr>
            <w:noProof/>
            <w:webHidden/>
          </w:rPr>
          <w:fldChar w:fldCharType="separate"/>
        </w:r>
        <w:r w:rsidR="00301AD4">
          <w:rPr>
            <w:noProof/>
            <w:webHidden/>
          </w:rPr>
          <w:t>239</w:t>
        </w:r>
        <w:r w:rsidR="007F2617">
          <w:rPr>
            <w:noProof/>
            <w:webHidden/>
          </w:rPr>
          <w:fldChar w:fldCharType="end"/>
        </w:r>
      </w:hyperlink>
    </w:p>
    <w:p w14:paraId="28002D13" w14:textId="77777777" w:rsidR="007F2617" w:rsidRDefault="000E3509">
      <w:pPr>
        <w:pStyle w:val="TOC4"/>
        <w:rPr>
          <w:rFonts w:asciiTheme="minorHAnsi" w:eastAsiaTheme="minorEastAsia" w:hAnsiTheme="minorHAnsi" w:cstheme="minorBidi"/>
          <w:noProof/>
          <w:sz w:val="22"/>
          <w:szCs w:val="22"/>
        </w:rPr>
      </w:pPr>
      <w:hyperlink w:anchor="_Toc6472789" w:history="1">
        <w:r w:rsidR="007F2617" w:rsidRPr="003F35AD">
          <w:rPr>
            <w:rStyle w:val="Hyperlink"/>
            <w:rFonts w:eastAsia="Calibri"/>
            <w:noProof/>
          </w:rPr>
          <w:t>11.3.1.2.2.</w:t>
        </w:r>
        <w:r w:rsidR="007F2617">
          <w:rPr>
            <w:rFonts w:asciiTheme="minorHAnsi" w:eastAsiaTheme="minorEastAsia" w:hAnsiTheme="minorHAnsi" w:cstheme="minorBidi"/>
            <w:noProof/>
            <w:sz w:val="22"/>
            <w:szCs w:val="22"/>
          </w:rPr>
          <w:tab/>
        </w:r>
        <w:r w:rsidR="007F2617" w:rsidRPr="003F35AD">
          <w:rPr>
            <w:rStyle w:val="Hyperlink"/>
            <w:rFonts w:eastAsia="Calibri"/>
            <w:noProof/>
          </w:rPr>
          <w:t>Voice sample 3</w:t>
        </w:r>
        <w:r w:rsidR="007F2617">
          <w:rPr>
            <w:noProof/>
            <w:webHidden/>
          </w:rPr>
          <w:tab/>
        </w:r>
        <w:r w:rsidR="007F2617">
          <w:rPr>
            <w:noProof/>
            <w:webHidden/>
          </w:rPr>
          <w:fldChar w:fldCharType="begin"/>
        </w:r>
        <w:r w:rsidR="007F2617">
          <w:rPr>
            <w:noProof/>
            <w:webHidden/>
          </w:rPr>
          <w:instrText xml:space="preserve"> PAGEREF _Toc6472789 \h </w:instrText>
        </w:r>
        <w:r w:rsidR="007F2617">
          <w:rPr>
            <w:noProof/>
            <w:webHidden/>
          </w:rPr>
        </w:r>
        <w:r w:rsidR="007F2617">
          <w:rPr>
            <w:noProof/>
            <w:webHidden/>
          </w:rPr>
          <w:fldChar w:fldCharType="separate"/>
        </w:r>
        <w:r w:rsidR="00301AD4">
          <w:rPr>
            <w:noProof/>
            <w:webHidden/>
          </w:rPr>
          <w:t>240</w:t>
        </w:r>
        <w:r w:rsidR="007F2617">
          <w:rPr>
            <w:noProof/>
            <w:webHidden/>
          </w:rPr>
          <w:fldChar w:fldCharType="end"/>
        </w:r>
      </w:hyperlink>
    </w:p>
    <w:p w14:paraId="29CDE860" w14:textId="77777777" w:rsidR="007F2617" w:rsidRDefault="000E3509">
      <w:pPr>
        <w:pStyle w:val="TOC4"/>
        <w:rPr>
          <w:rFonts w:asciiTheme="minorHAnsi" w:eastAsiaTheme="minorEastAsia" w:hAnsiTheme="minorHAnsi" w:cstheme="minorBidi"/>
          <w:noProof/>
          <w:sz w:val="22"/>
          <w:szCs w:val="22"/>
        </w:rPr>
      </w:pPr>
      <w:hyperlink w:anchor="_Toc6472790" w:history="1">
        <w:r w:rsidR="007F2617" w:rsidRPr="003F35AD">
          <w:rPr>
            <w:rStyle w:val="Hyperlink"/>
            <w:rFonts w:eastAsia="Calibri"/>
            <w:noProof/>
          </w:rPr>
          <w:t>11.3.1.2.3.</w:t>
        </w:r>
        <w:r w:rsidR="007F2617">
          <w:rPr>
            <w:rFonts w:asciiTheme="minorHAnsi" w:eastAsiaTheme="minorEastAsia" w:hAnsiTheme="minorHAnsi" w:cstheme="minorBidi"/>
            <w:noProof/>
            <w:sz w:val="22"/>
            <w:szCs w:val="22"/>
          </w:rPr>
          <w:tab/>
        </w:r>
        <w:r w:rsidR="007F2617" w:rsidRPr="003F35AD">
          <w:rPr>
            <w:rStyle w:val="Hyperlink"/>
            <w:rFonts w:eastAsia="Calibri"/>
            <w:noProof/>
          </w:rPr>
          <w:t>Voice sample 2</w:t>
        </w:r>
        <w:r w:rsidR="007F2617">
          <w:rPr>
            <w:noProof/>
            <w:webHidden/>
          </w:rPr>
          <w:tab/>
        </w:r>
        <w:r w:rsidR="007F2617">
          <w:rPr>
            <w:noProof/>
            <w:webHidden/>
          </w:rPr>
          <w:fldChar w:fldCharType="begin"/>
        </w:r>
        <w:r w:rsidR="007F2617">
          <w:rPr>
            <w:noProof/>
            <w:webHidden/>
          </w:rPr>
          <w:instrText xml:space="preserve"> PAGEREF _Toc6472790 \h </w:instrText>
        </w:r>
        <w:r w:rsidR="007F2617">
          <w:rPr>
            <w:noProof/>
            <w:webHidden/>
          </w:rPr>
        </w:r>
        <w:r w:rsidR="007F2617">
          <w:rPr>
            <w:noProof/>
            <w:webHidden/>
          </w:rPr>
          <w:fldChar w:fldCharType="separate"/>
        </w:r>
        <w:r w:rsidR="00301AD4">
          <w:rPr>
            <w:noProof/>
            <w:webHidden/>
          </w:rPr>
          <w:t>240</w:t>
        </w:r>
        <w:r w:rsidR="007F2617">
          <w:rPr>
            <w:noProof/>
            <w:webHidden/>
          </w:rPr>
          <w:fldChar w:fldCharType="end"/>
        </w:r>
      </w:hyperlink>
    </w:p>
    <w:p w14:paraId="5B5886BC" w14:textId="77777777" w:rsidR="007F2617" w:rsidRDefault="000E3509">
      <w:pPr>
        <w:pStyle w:val="TOC4"/>
        <w:rPr>
          <w:rFonts w:asciiTheme="minorHAnsi" w:eastAsiaTheme="minorEastAsia" w:hAnsiTheme="minorHAnsi" w:cstheme="minorBidi"/>
          <w:noProof/>
          <w:sz w:val="22"/>
          <w:szCs w:val="22"/>
        </w:rPr>
      </w:pPr>
      <w:hyperlink w:anchor="_Toc6472791" w:history="1">
        <w:r w:rsidR="007F2617" w:rsidRPr="003F35AD">
          <w:rPr>
            <w:rStyle w:val="Hyperlink"/>
            <w:rFonts w:eastAsia="Calibri"/>
            <w:noProof/>
          </w:rPr>
          <w:t>11.3.1.2.4.</w:t>
        </w:r>
        <w:r w:rsidR="007F2617">
          <w:rPr>
            <w:rFonts w:asciiTheme="minorHAnsi" w:eastAsiaTheme="minorEastAsia" w:hAnsiTheme="minorHAnsi" w:cstheme="minorBidi"/>
            <w:noProof/>
            <w:sz w:val="22"/>
            <w:szCs w:val="22"/>
          </w:rPr>
          <w:tab/>
        </w:r>
        <w:r w:rsidR="007F2617" w:rsidRPr="003F35AD">
          <w:rPr>
            <w:rStyle w:val="Hyperlink"/>
            <w:rFonts w:eastAsia="Calibri"/>
            <w:noProof/>
          </w:rPr>
          <w:t>Voice sample 4</w:t>
        </w:r>
        <w:r w:rsidR="007F2617">
          <w:rPr>
            <w:noProof/>
            <w:webHidden/>
          </w:rPr>
          <w:tab/>
        </w:r>
        <w:r w:rsidR="007F2617">
          <w:rPr>
            <w:noProof/>
            <w:webHidden/>
          </w:rPr>
          <w:fldChar w:fldCharType="begin"/>
        </w:r>
        <w:r w:rsidR="007F2617">
          <w:rPr>
            <w:noProof/>
            <w:webHidden/>
          </w:rPr>
          <w:instrText xml:space="preserve"> PAGEREF _Toc6472791 \h </w:instrText>
        </w:r>
        <w:r w:rsidR="007F2617">
          <w:rPr>
            <w:noProof/>
            <w:webHidden/>
          </w:rPr>
        </w:r>
        <w:r w:rsidR="007F2617">
          <w:rPr>
            <w:noProof/>
            <w:webHidden/>
          </w:rPr>
          <w:fldChar w:fldCharType="separate"/>
        </w:r>
        <w:r w:rsidR="00301AD4">
          <w:rPr>
            <w:noProof/>
            <w:webHidden/>
          </w:rPr>
          <w:t>241</w:t>
        </w:r>
        <w:r w:rsidR="007F2617">
          <w:rPr>
            <w:noProof/>
            <w:webHidden/>
          </w:rPr>
          <w:fldChar w:fldCharType="end"/>
        </w:r>
      </w:hyperlink>
    </w:p>
    <w:p w14:paraId="6E35CEA8" w14:textId="77777777" w:rsidR="007F2617" w:rsidRDefault="000E3509">
      <w:pPr>
        <w:pStyle w:val="TOC4"/>
        <w:rPr>
          <w:rFonts w:asciiTheme="minorHAnsi" w:eastAsiaTheme="minorEastAsia" w:hAnsiTheme="minorHAnsi" w:cstheme="minorBidi"/>
          <w:noProof/>
          <w:sz w:val="22"/>
          <w:szCs w:val="22"/>
        </w:rPr>
      </w:pPr>
      <w:hyperlink w:anchor="_Toc6472792" w:history="1">
        <w:r w:rsidR="007F2617" w:rsidRPr="003F35AD">
          <w:rPr>
            <w:rStyle w:val="Hyperlink"/>
            <w:rFonts w:eastAsia="Calibri"/>
            <w:noProof/>
          </w:rPr>
          <w:t>11.3.1.2.5.</w:t>
        </w:r>
        <w:r w:rsidR="007F2617">
          <w:rPr>
            <w:rFonts w:asciiTheme="minorHAnsi" w:eastAsiaTheme="minorEastAsia" w:hAnsiTheme="minorHAnsi" w:cstheme="minorBidi"/>
            <w:noProof/>
            <w:sz w:val="22"/>
            <w:szCs w:val="22"/>
          </w:rPr>
          <w:tab/>
        </w:r>
        <w:r w:rsidR="007F2617" w:rsidRPr="003F35AD">
          <w:rPr>
            <w:rStyle w:val="Hyperlink"/>
            <w:rFonts w:eastAsia="Calibri"/>
            <w:noProof/>
          </w:rPr>
          <w:t>Voice sample 5</w:t>
        </w:r>
        <w:r w:rsidR="007F2617">
          <w:rPr>
            <w:noProof/>
            <w:webHidden/>
          </w:rPr>
          <w:tab/>
        </w:r>
        <w:r w:rsidR="007F2617">
          <w:rPr>
            <w:noProof/>
            <w:webHidden/>
          </w:rPr>
          <w:fldChar w:fldCharType="begin"/>
        </w:r>
        <w:r w:rsidR="007F2617">
          <w:rPr>
            <w:noProof/>
            <w:webHidden/>
          </w:rPr>
          <w:instrText xml:space="preserve"> PAGEREF _Toc6472792 \h </w:instrText>
        </w:r>
        <w:r w:rsidR="007F2617">
          <w:rPr>
            <w:noProof/>
            <w:webHidden/>
          </w:rPr>
        </w:r>
        <w:r w:rsidR="007F2617">
          <w:rPr>
            <w:noProof/>
            <w:webHidden/>
          </w:rPr>
          <w:fldChar w:fldCharType="separate"/>
        </w:r>
        <w:r w:rsidR="00301AD4">
          <w:rPr>
            <w:noProof/>
            <w:webHidden/>
          </w:rPr>
          <w:t>241</w:t>
        </w:r>
        <w:r w:rsidR="007F2617">
          <w:rPr>
            <w:noProof/>
            <w:webHidden/>
          </w:rPr>
          <w:fldChar w:fldCharType="end"/>
        </w:r>
      </w:hyperlink>
    </w:p>
    <w:p w14:paraId="2146069C" w14:textId="7AFB2BD7" w:rsidR="007F2617" w:rsidRDefault="000E3509">
      <w:pPr>
        <w:pStyle w:val="TOC3"/>
        <w:rPr>
          <w:rFonts w:asciiTheme="minorHAnsi" w:eastAsiaTheme="minorEastAsia" w:hAnsiTheme="minorHAnsi" w:cstheme="minorBidi"/>
          <w:noProof/>
          <w:sz w:val="22"/>
        </w:rPr>
      </w:pPr>
      <w:hyperlink w:anchor="_Toc6472793" w:history="1">
        <w:r w:rsidR="007F2617" w:rsidRPr="003F35AD">
          <w:rPr>
            <w:rStyle w:val="Hyperlink"/>
            <w:rFonts w:eastAsia="Calibri"/>
            <w:noProof/>
          </w:rPr>
          <w:t>11.3.1.3.</w:t>
        </w:r>
        <w:r w:rsidR="007F2617">
          <w:rPr>
            <w:rFonts w:asciiTheme="minorHAnsi" w:eastAsiaTheme="minorEastAsia" w:hAnsiTheme="minorHAnsi" w:cstheme="minorBidi"/>
            <w:noProof/>
            <w:sz w:val="22"/>
          </w:rPr>
          <w:tab/>
        </w:r>
        <w:r w:rsidR="007F2617" w:rsidRPr="003F35AD">
          <w:rPr>
            <w:rStyle w:val="Hyperlink"/>
            <w:rFonts w:eastAsia="Calibri"/>
            <w:noProof/>
          </w:rPr>
          <w:t xml:space="preserve">Step 3: Effects of demographic variables on the </w:t>
        </w:r>
        <w:r w:rsidR="007F2617">
          <w:rPr>
            <w:rStyle w:val="Hyperlink"/>
            <w:rFonts w:eastAsia="Calibri"/>
            <w:noProof/>
          </w:rPr>
          <w:br/>
          <w:t xml:space="preserve">                </w:t>
        </w:r>
        <w:r w:rsidR="007F2617" w:rsidRPr="003F35AD">
          <w:rPr>
            <w:rStyle w:val="Hyperlink"/>
            <w:rFonts w:eastAsia="Calibri"/>
            <w:noProof/>
          </w:rPr>
          <w:t>rating scales</w:t>
        </w:r>
        <w:r w:rsidR="007F2617">
          <w:rPr>
            <w:noProof/>
            <w:webHidden/>
          </w:rPr>
          <w:tab/>
        </w:r>
        <w:r w:rsidR="007F2617">
          <w:rPr>
            <w:noProof/>
            <w:webHidden/>
          </w:rPr>
          <w:fldChar w:fldCharType="begin"/>
        </w:r>
        <w:r w:rsidR="007F2617">
          <w:rPr>
            <w:noProof/>
            <w:webHidden/>
          </w:rPr>
          <w:instrText xml:space="preserve"> PAGEREF _Toc6472793 \h </w:instrText>
        </w:r>
        <w:r w:rsidR="007F2617">
          <w:rPr>
            <w:noProof/>
            <w:webHidden/>
          </w:rPr>
        </w:r>
        <w:r w:rsidR="007F2617">
          <w:rPr>
            <w:noProof/>
            <w:webHidden/>
          </w:rPr>
          <w:fldChar w:fldCharType="separate"/>
        </w:r>
        <w:r w:rsidR="00301AD4">
          <w:rPr>
            <w:noProof/>
            <w:webHidden/>
          </w:rPr>
          <w:t>242</w:t>
        </w:r>
        <w:r w:rsidR="007F2617">
          <w:rPr>
            <w:noProof/>
            <w:webHidden/>
          </w:rPr>
          <w:fldChar w:fldCharType="end"/>
        </w:r>
      </w:hyperlink>
    </w:p>
    <w:p w14:paraId="167840A7" w14:textId="77777777" w:rsidR="007F2617" w:rsidRDefault="000E3509">
      <w:pPr>
        <w:pStyle w:val="TOC2"/>
        <w:rPr>
          <w:rFonts w:asciiTheme="minorHAnsi" w:eastAsiaTheme="minorEastAsia" w:hAnsiTheme="minorHAnsi" w:cstheme="minorBidi"/>
          <w:bCs w:val="0"/>
          <w:noProof/>
          <w:sz w:val="22"/>
        </w:rPr>
      </w:pPr>
      <w:hyperlink w:anchor="_Toc6472794" w:history="1">
        <w:r w:rsidR="007F2617" w:rsidRPr="003F35AD">
          <w:rPr>
            <w:rStyle w:val="Hyperlink"/>
            <w:noProof/>
          </w:rPr>
          <w:t>11.3.2.</w:t>
        </w:r>
        <w:r w:rsidR="007F2617">
          <w:rPr>
            <w:rFonts w:asciiTheme="minorHAnsi" w:eastAsiaTheme="minorEastAsia" w:hAnsiTheme="minorHAnsi" w:cstheme="minorBidi"/>
            <w:bCs w:val="0"/>
            <w:noProof/>
            <w:sz w:val="22"/>
          </w:rPr>
          <w:tab/>
        </w:r>
        <w:r w:rsidR="007F2617" w:rsidRPr="003F35AD">
          <w:rPr>
            <w:rStyle w:val="Hyperlink"/>
            <w:noProof/>
          </w:rPr>
          <w:t>Rating task results for voice sample 1</w:t>
        </w:r>
        <w:r w:rsidR="007F2617">
          <w:rPr>
            <w:noProof/>
            <w:webHidden/>
          </w:rPr>
          <w:tab/>
        </w:r>
        <w:r w:rsidR="007F2617">
          <w:rPr>
            <w:noProof/>
            <w:webHidden/>
          </w:rPr>
          <w:fldChar w:fldCharType="begin"/>
        </w:r>
        <w:r w:rsidR="007F2617">
          <w:rPr>
            <w:noProof/>
            <w:webHidden/>
          </w:rPr>
          <w:instrText xml:space="preserve"> PAGEREF _Toc6472794 \h </w:instrText>
        </w:r>
        <w:r w:rsidR="007F2617">
          <w:rPr>
            <w:noProof/>
            <w:webHidden/>
          </w:rPr>
        </w:r>
        <w:r w:rsidR="007F2617">
          <w:rPr>
            <w:noProof/>
            <w:webHidden/>
          </w:rPr>
          <w:fldChar w:fldCharType="separate"/>
        </w:r>
        <w:r w:rsidR="00301AD4">
          <w:rPr>
            <w:noProof/>
            <w:webHidden/>
          </w:rPr>
          <w:t>243</w:t>
        </w:r>
        <w:r w:rsidR="007F2617">
          <w:rPr>
            <w:noProof/>
            <w:webHidden/>
          </w:rPr>
          <w:fldChar w:fldCharType="end"/>
        </w:r>
      </w:hyperlink>
    </w:p>
    <w:p w14:paraId="1E550011" w14:textId="77777777" w:rsidR="007F2617" w:rsidRDefault="000E3509">
      <w:pPr>
        <w:pStyle w:val="TOC2"/>
        <w:rPr>
          <w:rFonts w:asciiTheme="minorHAnsi" w:eastAsiaTheme="minorEastAsia" w:hAnsiTheme="minorHAnsi" w:cstheme="minorBidi"/>
          <w:bCs w:val="0"/>
          <w:noProof/>
          <w:sz w:val="22"/>
        </w:rPr>
      </w:pPr>
      <w:hyperlink w:anchor="_Toc6472795" w:history="1">
        <w:r w:rsidR="007F2617" w:rsidRPr="003F35AD">
          <w:rPr>
            <w:rStyle w:val="Hyperlink"/>
            <w:noProof/>
          </w:rPr>
          <w:t>11.3.3.</w:t>
        </w:r>
        <w:r w:rsidR="007F2617">
          <w:rPr>
            <w:rFonts w:asciiTheme="minorHAnsi" w:eastAsiaTheme="minorEastAsia" w:hAnsiTheme="minorHAnsi" w:cstheme="minorBidi"/>
            <w:bCs w:val="0"/>
            <w:noProof/>
            <w:sz w:val="22"/>
          </w:rPr>
          <w:tab/>
        </w:r>
        <w:r w:rsidR="007F2617" w:rsidRPr="003F35AD">
          <w:rPr>
            <w:rStyle w:val="Hyperlink"/>
            <w:noProof/>
          </w:rPr>
          <w:t>Effects of demographic variables on ratings for VS1</w:t>
        </w:r>
        <w:r w:rsidR="007F2617">
          <w:rPr>
            <w:noProof/>
            <w:webHidden/>
          </w:rPr>
          <w:tab/>
        </w:r>
        <w:r w:rsidR="007F2617">
          <w:rPr>
            <w:noProof/>
            <w:webHidden/>
          </w:rPr>
          <w:fldChar w:fldCharType="begin"/>
        </w:r>
        <w:r w:rsidR="007F2617">
          <w:rPr>
            <w:noProof/>
            <w:webHidden/>
          </w:rPr>
          <w:instrText xml:space="preserve"> PAGEREF _Toc6472795 \h </w:instrText>
        </w:r>
        <w:r w:rsidR="007F2617">
          <w:rPr>
            <w:noProof/>
            <w:webHidden/>
          </w:rPr>
        </w:r>
        <w:r w:rsidR="007F2617">
          <w:rPr>
            <w:noProof/>
            <w:webHidden/>
          </w:rPr>
          <w:fldChar w:fldCharType="separate"/>
        </w:r>
        <w:r w:rsidR="00301AD4">
          <w:rPr>
            <w:noProof/>
            <w:webHidden/>
          </w:rPr>
          <w:t>245</w:t>
        </w:r>
        <w:r w:rsidR="007F2617">
          <w:rPr>
            <w:noProof/>
            <w:webHidden/>
          </w:rPr>
          <w:fldChar w:fldCharType="end"/>
        </w:r>
      </w:hyperlink>
    </w:p>
    <w:p w14:paraId="3DF044E6" w14:textId="77777777" w:rsidR="007F2617" w:rsidRDefault="000E3509">
      <w:pPr>
        <w:pStyle w:val="TOC3"/>
        <w:rPr>
          <w:rFonts w:asciiTheme="minorHAnsi" w:eastAsiaTheme="minorEastAsia" w:hAnsiTheme="minorHAnsi" w:cstheme="minorBidi"/>
          <w:noProof/>
          <w:sz w:val="22"/>
        </w:rPr>
      </w:pPr>
      <w:hyperlink w:anchor="_Toc6472796" w:history="1">
        <w:r w:rsidR="007F2617" w:rsidRPr="003F35AD">
          <w:rPr>
            <w:rStyle w:val="Hyperlink"/>
            <w:noProof/>
          </w:rPr>
          <w:t>11.3.3.1.</w:t>
        </w:r>
        <w:r w:rsidR="007F2617">
          <w:rPr>
            <w:rFonts w:asciiTheme="minorHAnsi" w:eastAsiaTheme="minorEastAsia" w:hAnsiTheme="minorHAnsi" w:cstheme="minorBidi"/>
            <w:noProof/>
            <w:sz w:val="22"/>
          </w:rPr>
          <w:tab/>
        </w:r>
        <w:r w:rsidR="007F2617" w:rsidRPr="003F35AD">
          <w:rPr>
            <w:rStyle w:val="Hyperlink"/>
            <w:noProof/>
          </w:rPr>
          <w:t>Similar to other Arabic dialects scale</w:t>
        </w:r>
        <w:r w:rsidR="007F2617">
          <w:rPr>
            <w:noProof/>
            <w:webHidden/>
          </w:rPr>
          <w:tab/>
        </w:r>
        <w:r w:rsidR="007F2617">
          <w:rPr>
            <w:noProof/>
            <w:webHidden/>
          </w:rPr>
          <w:fldChar w:fldCharType="begin"/>
        </w:r>
        <w:r w:rsidR="007F2617">
          <w:rPr>
            <w:noProof/>
            <w:webHidden/>
          </w:rPr>
          <w:instrText xml:space="preserve"> PAGEREF _Toc6472796 \h </w:instrText>
        </w:r>
        <w:r w:rsidR="007F2617">
          <w:rPr>
            <w:noProof/>
            <w:webHidden/>
          </w:rPr>
        </w:r>
        <w:r w:rsidR="007F2617">
          <w:rPr>
            <w:noProof/>
            <w:webHidden/>
          </w:rPr>
          <w:fldChar w:fldCharType="separate"/>
        </w:r>
        <w:r w:rsidR="00301AD4">
          <w:rPr>
            <w:noProof/>
            <w:webHidden/>
          </w:rPr>
          <w:t>245</w:t>
        </w:r>
        <w:r w:rsidR="007F2617">
          <w:rPr>
            <w:noProof/>
            <w:webHidden/>
          </w:rPr>
          <w:fldChar w:fldCharType="end"/>
        </w:r>
      </w:hyperlink>
    </w:p>
    <w:p w14:paraId="458FF249" w14:textId="77777777" w:rsidR="007F2617" w:rsidRDefault="000E3509">
      <w:pPr>
        <w:pStyle w:val="TOC3"/>
        <w:rPr>
          <w:rFonts w:asciiTheme="minorHAnsi" w:eastAsiaTheme="minorEastAsia" w:hAnsiTheme="minorHAnsi" w:cstheme="minorBidi"/>
          <w:noProof/>
          <w:sz w:val="22"/>
        </w:rPr>
      </w:pPr>
      <w:hyperlink w:anchor="_Toc6472797" w:history="1">
        <w:r w:rsidR="007F2617" w:rsidRPr="003F35AD">
          <w:rPr>
            <w:rStyle w:val="Hyperlink"/>
            <w:noProof/>
          </w:rPr>
          <w:t>11.3.3.2.</w:t>
        </w:r>
        <w:r w:rsidR="007F2617">
          <w:rPr>
            <w:rFonts w:asciiTheme="minorHAnsi" w:eastAsiaTheme="minorEastAsia" w:hAnsiTheme="minorHAnsi" w:cstheme="minorBidi"/>
            <w:noProof/>
            <w:sz w:val="22"/>
          </w:rPr>
          <w:tab/>
        </w:r>
        <w:r w:rsidR="007F2617" w:rsidRPr="003F35AD">
          <w:rPr>
            <w:rStyle w:val="Hyperlink"/>
            <w:noProof/>
          </w:rPr>
          <w:t>Traditional scale</w:t>
        </w:r>
        <w:r w:rsidR="007F2617">
          <w:rPr>
            <w:noProof/>
            <w:webHidden/>
          </w:rPr>
          <w:tab/>
        </w:r>
        <w:r w:rsidR="007F2617">
          <w:rPr>
            <w:noProof/>
            <w:webHidden/>
          </w:rPr>
          <w:fldChar w:fldCharType="begin"/>
        </w:r>
        <w:r w:rsidR="007F2617">
          <w:rPr>
            <w:noProof/>
            <w:webHidden/>
          </w:rPr>
          <w:instrText xml:space="preserve"> PAGEREF _Toc6472797 \h </w:instrText>
        </w:r>
        <w:r w:rsidR="007F2617">
          <w:rPr>
            <w:noProof/>
            <w:webHidden/>
          </w:rPr>
        </w:r>
        <w:r w:rsidR="007F2617">
          <w:rPr>
            <w:noProof/>
            <w:webHidden/>
          </w:rPr>
          <w:fldChar w:fldCharType="separate"/>
        </w:r>
        <w:r w:rsidR="00301AD4">
          <w:rPr>
            <w:noProof/>
            <w:webHidden/>
          </w:rPr>
          <w:t>246</w:t>
        </w:r>
        <w:r w:rsidR="007F2617">
          <w:rPr>
            <w:noProof/>
            <w:webHidden/>
          </w:rPr>
          <w:fldChar w:fldCharType="end"/>
        </w:r>
      </w:hyperlink>
    </w:p>
    <w:p w14:paraId="3E4EC657" w14:textId="77777777" w:rsidR="007F2617" w:rsidRDefault="000E3509">
      <w:pPr>
        <w:pStyle w:val="TOC3"/>
        <w:rPr>
          <w:rFonts w:asciiTheme="minorHAnsi" w:eastAsiaTheme="minorEastAsia" w:hAnsiTheme="minorHAnsi" w:cstheme="minorBidi"/>
          <w:noProof/>
          <w:sz w:val="22"/>
        </w:rPr>
      </w:pPr>
      <w:hyperlink w:anchor="_Toc6472798" w:history="1">
        <w:r w:rsidR="007F2617" w:rsidRPr="003F35AD">
          <w:rPr>
            <w:rStyle w:val="Hyperlink"/>
            <w:noProof/>
          </w:rPr>
          <w:t>11.3.3.3.</w:t>
        </w:r>
        <w:r w:rsidR="007F2617">
          <w:rPr>
            <w:rFonts w:asciiTheme="minorHAnsi" w:eastAsiaTheme="minorEastAsia" w:hAnsiTheme="minorHAnsi" w:cstheme="minorBidi"/>
            <w:noProof/>
            <w:sz w:val="22"/>
          </w:rPr>
          <w:tab/>
        </w:r>
        <w:r w:rsidR="007F2617" w:rsidRPr="003F35AD">
          <w:rPr>
            <w:rStyle w:val="Hyperlink"/>
            <w:noProof/>
          </w:rPr>
          <w:t>Modern</w:t>
        </w:r>
        <w:r w:rsidR="007F2617" w:rsidRPr="003F35AD">
          <w:rPr>
            <w:rStyle w:val="Hyperlink"/>
            <w:i/>
            <w:iCs/>
            <w:noProof/>
          </w:rPr>
          <w:t xml:space="preserve"> </w:t>
        </w:r>
        <w:r w:rsidR="007F2617" w:rsidRPr="003F35AD">
          <w:rPr>
            <w:rStyle w:val="Hyperlink"/>
            <w:noProof/>
          </w:rPr>
          <w:t>scale</w:t>
        </w:r>
        <w:r w:rsidR="007F2617">
          <w:rPr>
            <w:noProof/>
            <w:webHidden/>
          </w:rPr>
          <w:tab/>
        </w:r>
        <w:r w:rsidR="007F2617">
          <w:rPr>
            <w:noProof/>
            <w:webHidden/>
          </w:rPr>
          <w:fldChar w:fldCharType="begin"/>
        </w:r>
        <w:r w:rsidR="007F2617">
          <w:rPr>
            <w:noProof/>
            <w:webHidden/>
          </w:rPr>
          <w:instrText xml:space="preserve"> PAGEREF _Toc6472798 \h </w:instrText>
        </w:r>
        <w:r w:rsidR="007F2617">
          <w:rPr>
            <w:noProof/>
            <w:webHidden/>
          </w:rPr>
        </w:r>
        <w:r w:rsidR="007F2617">
          <w:rPr>
            <w:noProof/>
            <w:webHidden/>
          </w:rPr>
          <w:fldChar w:fldCharType="separate"/>
        </w:r>
        <w:r w:rsidR="00301AD4">
          <w:rPr>
            <w:noProof/>
            <w:webHidden/>
          </w:rPr>
          <w:t>249</w:t>
        </w:r>
        <w:r w:rsidR="007F2617">
          <w:rPr>
            <w:noProof/>
            <w:webHidden/>
          </w:rPr>
          <w:fldChar w:fldCharType="end"/>
        </w:r>
      </w:hyperlink>
    </w:p>
    <w:p w14:paraId="6F1BE00E" w14:textId="77777777" w:rsidR="007F2617" w:rsidRDefault="000E3509">
      <w:pPr>
        <w:pStyle w:val="TOC2"/>
        <w:rPr>
          <w:rFonts w:asciiTheme="minorHAnsi" w:eastAsiaTheme="minorEastAsia" w:hAnsiTheme="minorHAnsi" w:cstheme="minorBidi"/>
          <w:bCs w:val="0"/>
          <w:noProof/>
          <w:sz w:val="22"/>
        </w:rPr>
      </w:pPr>
      <w:hyperlink w:anchor="_Toc6472799" w:history="1">
        <w:r w:rsidR="007F2617" w:rsidRPr="003F35AD">
          <w:rPr>
            <w:rStyle w:val="Hyperlink"/>
            <w:noProof/>
          </w:rPr>
          <w:t>11.3.4.</w:t>
        </w:r>
        <w:r w:rsidR="007F2617">
          <w:rPr>
            <w:rFonts w:asciiTheme="minorHAnsi" w:eastAsiaTheme="minorEastAsia" w:hAnsiTheme="minorHAnsi" w:cstheme="minorBidi"/>
            <w:bCs w:val="0"/>
            <w:noProof/>
            <w:sz w:val="22"/>
          </w:rPr>
          <w:tab/>
        </w:r>
        <w:r w:rsidR="007F2617" w:rsidRPr="003F35AD">
          <w:rPr>
            <w:rStyle w:val="Hyperlink"/>
            <w:noProof/>
          </w:rPr>
          <w:t>Rating task results for voice sample 3</w:t>
        </w:r>
        <w:r w:rsidR="007F2617">
          <w:rPr>
            <w:noProof/>
            <w:webHidden/>
          </w:rPr>
          <w:tab/>
        </w:r>
        <w:r w:rsidR="007F2617">
          <w:rPr>
            <w:noProof/>
            <w:webHidden/>
          </w:rPr>
          <w:fldChar w:fldCharType="begin"/>
        </w:r>
        <w:r w:rsidR="007F2617">
          <w:rPr>
            <w:noProof/>
            <w:webHidden/>
          </w:rPr>
          <w:instrText xml:space="preserve"> PAGEREF _Toc6472799 \h </w:instrText>
        </w:r>
        <w:r w:rsidR="007F2617">
          <w:rPr>
            <w:noProof/>
            <w:webHidden/>
          </w:rPr>
        </w:r>
        <w:r w:rsidR="007F2617">
          <w:rPr>
            <w:noProof/>
            <w:webHidden/>
          </w:rPr>
          <w:fldChar w:fldCharType="separate"/>
        </w:r>
        <w:r w:rsidR="00301AD4">
          <w:rPr>
            <w:noProof/>
            <w:webHidden/>
          </w:rPr>
          <w:t>252</w:t>
        </w:r>
        <w:r w:rsidR="007F2617">
          <w:rPr>
            <w:noProof/>
            <w:webHidden/>
          </w:rPr>
          <w:fldChar w:fldCharType="end"/>
        </w:r>
      </w:hyperlink>
    </w:p>
    <w:p w14:paraId="1B6F5ADF" w14:textId="77777777" w:rsidR="007F2617" w:rsidRDefault="000E3509">
      <w:pPr>
        <w:pStyle w:val="TOC3"/>
        <w:rPr>
          <w:rFonts w:asciiTheme="minorHAnsi" w:eastAsiaTheme="minorEastAsia" w:hAnsiTheme="minorHAnsi" w:cstheme="minorBidi"/>
          <w:noProof/>
          <w:sz w:val="22"/>
        </w:rPr>
      </w:pPr>
      <w:hyperlink w:anchor="_Toc6472800" w:history="1">
        <w:r w:rsidR="007F2617" w:rsidRPr="003F35AD">
          <w:rPr>
            <w:rStyle w:val="Hyperlink"/>
            <w:noProof/>
          </w:rPr>
          <w:t>11.3.5.1.</w:t>
        </w:r>
        <w:r w:rsidR="007F2617">
          <w:rPr>
            <w:rFonts w:asciiTheme="minorHAnsi" w:eastAsiaTheme="minorEastAsia" w:hAnsiTheme="minorHAnsi" w:cstheme="minorBidi"/>
            <w:noProof/>
            <w:sz w:val="22"/>
          </w:rPr>
          <w:tab/>
        </w:r>
        <w:r w:rsidR="007F2617" w:rsidRPr="003F35AD">
          <w:rPr>
            <w:rStyle w:val="Hyperlink"/>
            <w:noProof/>
          </w:rPr>
          <w:t>Similar to other Arabic dialects scale</w:t>
        </w:r>
        <w:r w:rsidR="007F2617">
          <w:rPr>
            <w:noProof/>
            <w:webHidden/>
          </w:rPr>
          <w:tab/>
        </w:r>
        <w:r w:rsidR="007F2617">
          <w:rPr>
            <w:noProof/>
            <w:webHidden/>
          </w:rPr>
          <w:fldChar w:fldCharType="begin"/>
        </w:r>
        <w:r w:rsidR="007F2617">
          <w:rPr>
            <w:noProof/>
            <w:webHidden/>
          </w:rPr>
          <w:instrText xml:space="preserve"> PAGEREF _Toc6472800 \h </w:instrText>
        </w:r>
        <w:r w:rsidR="007F2617">
          <w:rPr>
            <w:noProof/>
            <w:webHidden/>
          </w:rPr>
        </w:r>
        <w:r w:rsidR="007F2617">
          <w:rPr>
            <w:noProof/>
            <w:webHidden/>
          </w:rPr>
          <w:fldChar w:fldCharType="separate"/>
        </w:r>
        <w:r w:rsidR="00301AD4">
          <w:rPr>
            <w:noProof/>
            <w:webHidden/>
          </w:rPr>
          <w:t>254</w:t>
        </w:r>
        <w:r w:rsidR="007F2617">
          <w:rPr>
            <w:noProof/>
            <w:webHidden/>
          </w:rPr>
          <w:fldChar w:fldCharType="end"/>
        </w:r>
      </w:hyperlink>
    </w:p>
    <w:p w14:paraId="19FDD223" w14:textId="77777777" w:rsidR="007F2617" w:rsidRDefault="000E3509">
      <w:pPr>
        <w:pStyle w:val="TOC3"/>
        <w:rPr>
          <w:rFonts w:asciiTheme="minorHAnsi" w:eastAsiaTheme="minorEastAsia" w:hAnsiTheme="minorHAnsi" w:cstheme="minorBidi"/>
          <w:noProof/>
          <w:sz w:val="22"/>
        </w:rPr>
      </w:pPr>
      <w:hyperlink w:anchor="_Toc6472801" w:history="1">
        <w:r w:rsidR="007F2617" w:rsidRPr="003F35AD">
          <w:rPr>
            <w:rStyle w:val="Hyperlink"/>
            <w:noProof/>
          </w:rPr>
          <w:t>11.3.5.2.</w:t>
        </w:r>
        <w:r w:rsidR="007F2617">
          <w:rPr>
            <w:rFonts w:asciiTheme="minorHAnsi" w:eastAsiaTheme="minorEastAsia" w:hAnsiTheme="minorHAnsi" w:cstheme="minorBidi"/>
            <w:noProof/>
            <w:sz w:val="22"/>
          </w:rPr>
          <w:tab/>
        </w:r>
        <w:r w:rsidR="007F2617" w:rsidRPr="003F35AD">
          <w:rPr>
            <w:rStyle w:val="Hyperlink"/>
            <w:noProof/>
          </w:rPr>
          <w:t>Traditional scale</w:t>
        </w:r>
        <w:r w:rsidR="007F2617">
          <w:rPr>
            <w:noProof/>
            <w:webHidden/>
          </w:rPr>
          <w:tab/>
        </w:r>
        <w:r w:rsidR="007F2617">
          <w:rPr>
            <w:noProof/>
            <w:webHidden/>
          </w:rPr>
          <w:fldChar w:fldCharType="begin"/>
        </w:r>
        <w:r w:rsidR="007F2617">
          <w:rPr>
            <w:noProof/>
            <w:webHidden/>
          </w:rPr>
          <w:instrText xml:space="preserve"> PAGEREF _Toc6472801 \h </w:instrText>
        </w:r>
        <w:r w:rsidR="007F2617">
          <w:rPr>
            <w:noProof/>
            <w:webHidden/>
          </w:rPr>
        </w:r>
        <w:r w:rsidR="007F2617">
          <w:rPr>
            <w:noProof/>
            <w:webHidden/>
          </w:rPr>
          <w:fldChar w:fldCharType="separate"/>
        </w:r>
        <w:r w:rsidR="00301AD4">
          <w:rPr>
            <w:noProof/>
            <w:webHidden/>
          </w:rPr>
          <w:t>255</w:t>
        </w:r>
        <w:r w:rsidR="007F2617">
          <w:rPr>
            <w:noProof/>
            <w:webHidden/>
          </w:rPr>
          <w:fldChar w:fldCharType="end"/>
        </w:r>
      </w:hyperlink>
    </w:p>
    <w:p w14:paraId="39735A3D" w14:textId="77777777" w:rsidR="007F2617" w:rsidRDefault="000E3509">
      <w:pPr>
        <w:pStyle w:val="TOC3"/>
        <w:rPr>
          <w:rFonts w:asciiTheme="minorHAnsi" w:eastAsiaTheme="minorEastAsia" w:hAnsiTheme="minorHAnsi" w:cstheme="minorBidi"/>
          <w:noProof/>
          <w:sz w:val="22"/>
        </w:rPr>
      </w:pPr>
      <w:hyperlink w:anchor="_Toc6472802" w:history="1">
        <w:r w:rsidR="007F2617" w:rsidRPr="003F35AD">
          <w:rPr>
            <w:rStyle w:val="Hyperlink"/>
            <w:noProof/>
          </w:rPr>
          <w:t>11.3.5.3.</w:t>
        </w:r>
        <w:r w:rsidR="007F2617">
          <w:rPr>
            <w:rFonts w:asciiTheme="minorHAnsi" w:eastAsiaTheme="minorEastAsia" w:hAnsiTheme="minorHAnsi" w:cstheme="minorBidi"/>
            <w:noProof/>
            <w:sz w:val="22"/>
          </w:rPr>
          <w:tab/>
        </w:r>
        <w:r w:rsidR="007F2617" w:rsidRPr="003F35AD">
          <w:rPr>
            <w:rStyle w:val="Hyperlink"/>
            <w:noProof/>
          </w:rPr>
          <w:t>Modern scale</w:t>
        </w:r>
        <w:r w:rsidR="007F2617">
          <w:rPr>
            <w:noProof/>
            <w:webHidden/>
          </w:rPr>
          <w:tab/>
        </w:r>
        <w:r w:rsidR="007F2617">
          <w:rPr>
            <w:noProof/>
            <w:webHidden/>
          </w:rPr>
          <w:fldChar w:fldCharType="begin"/>
        </w:r>
        <w:r w:rsidR="007F2617">
          <w:rPr>
            <w:noProof/>
            <w:webHidden/>
          </w:rPr>
          <w:instrText xml:space="preserve"> PAGEREF _Toc6472802 \h </w:instrText>
        </w:r>
        <w:r w:rsidR="007F2617">
          <w:rPr>
            <w:noProof/>
            <w:webHidden/>
          </w:rPr>
        </w:r>
        <w:r w:rsidR="007F2617">
          <w:rPr>
            <w:noProof/>
            <w:webHidden/>
          </w:rPr>
          <w:fldChar w:fldCharType="separate"/>
        </w:r>
        <w:r w:rsidR="00301AD4">
          <w:rPr>
            <w:noProof/>
            <w:webHidden/>
          </w:rPr>
          <w:t>258</w:t>
        </w:r>
        <w:r w:rsidR="007F2617">
          <w:rPr>
            <w:noProof/>
            <w:webHidden/>
          </w:rPr>
          <w:fldChar w:fldCharType="end"/>
        </w:r>
      </w:hyperlink>
    </w:p>
    <w:p w14:paraId="1959A19E" w14:textId="77777777" w:rsidR="007F2617" w:rsidRDefault="000E3509">
      <w:pPr>
        <w:pStyle w:val="TOC2"/>
        <w:rPr>
          <w:rFonts w:asciiTheme="minorHAnsi" w:eastAsiaTheme="minorEastAsia" w:hAnsiTheme="minorHAnsi" w:cstheme="minorBidi"/>
          <w:bCs w:val="0"/>
          <w:noProof/>
          <w:sz w:val="22"/>
        </w:rPr>
      </w:pPr>
      <w:hyperlink w:anchor="_Toc6472803" w:history="1">
        <w:r w:rsidR="007F2617" w:rsidRPr="003F35AD">
          <w:rPr>
            <w:rStyle w:val="Hyperlink"/>
            <w:noProof/>
          </w:rPr>
          <w:t>11.3.6.</w:t>
        </w:r>
        <w:r w:rsidR="007F2617">
          <w:rPr>
            <w:rFonts w:asciiTheme="minorHAnsi" w:eastAsiaTheme="minorEastAsia" w:hAnsiTheme="minorHAnsi" w:cstheme="minorBidi"/>
            <w:bCs w:val="0"/>
            <w:noProof/>
            <w:sz w:val="22"/>
          </w:rPr>
          <w:tab/>
        </w:r>
        <w:r w:rsidR="007F2617" w:rsidRPr="003F35AD">
          <w:rPr>
            <w:rStyle w:val="Hyperlink"/>
            <w:noProof/>
          </w:rPr>
          <w:t>Rating task results for voice sample 2</w:t>
        </w:r>
        <w:r w:rsidR="007F2617">
          <w:rPr>
            <w:noProof/>
            <w:webHidden/>
          </w:rPr>
          <w:tab/>
        </w:r>
        <w:r w:rsidR="007F2617">
          <w:rPr>
            <w:noProof/>
            <w:webHidden/>
          </w:rPr>
          <w:fldChar w:fldCharType="begin"/>
        </w:r>
        <w:r w:rsidR="007F2617">
          <w:rPr>
            <w:noProof/>
            <w:webHidden/>
          </w:rPr>
          <w:instrText xml:space="preserve"> PAGEREF _Toc6472803 \h </w:instrText>
        </w:r>
        <w:r w:rsidR="007F2617">
          <w:rPr>
            <w:noProof/>
            <w:webHidden/>
          </w:rPr>
        </w:r>
        <w:r w:rsidR="007F2617">
          <w:rPr>
            <w:noProof/>
            <w:webHidden/>
          </w:rPr>
          <w:fldChar w:fldCharType="separate"/>
        </w:r>
        <w:r w:rsidR="00301AD4">
          <w:rPr>
            <w:noProof/>
            <w:webHidden/>
          </w:rPr>
          <w:t>259</w:t>
        </w:r>
        <w:r w:rsidR="007F2617">
          <w:rPr>
            <w:noProof/>
            <w:webHidden/>
          </w:rPr>
          <w:fldChar w:fldCharType="end"/>
        </w:r>
      </w:hyperlink>
    </w:p>
    <w:p w14:paraId="1E99DA81" w14:textId="77777777" w:rsidR="007F2617" w:rsidRDefault="000E3509">
      <w:pPr>
        <w:pStyle w:val="TOC2"/>
        <w:rPr>
          <w:rFonts w:asciiTheme="minorHAnsi" w:eastAsiaTheme="minorEastAsia" w:hAnsiTheme="minorHAnsi" w:cstheme="minorBidi"/>
          <w:bCs w:val="0"/>
          <w:noProof/>
          <w:sz w:val="22"/>
        </w:rPr>
      </w:pPr>
      <w:hyperlink w:anchor="_Toc6472804" w:history="1">
        <w:r w:rsidR="007F2617" w:rsidRPr="003F35AD">
          <w:rPr>
            <w:rStyle w:val="Hyperlink"/>
            <w:noProof/>
          </w:rPr>
          <w:t>11.3.7.</w:t>
        </w:r>
        <w:r w:rsidR="007F2617">
          <w:rPr>
            <w:rFonts w:asciiTheme="minorHAnsi" w:eastAsiaTheme="minorEastAsia" w:hAnsiTheme="minorHAnsi" w:cstheme="minorBidi"/>
            <w:bCs w:val="0"/>
            <w:noProof/>
            <w:sz w:val="22"/>
          </w:rPr>
          <w:tab/>
        </w:r>
        <w:r w:rsidR="007F2617" w:rsidRPr="003F35AD">
          <w:rPr>
            <w:rStyle w:val="Hyperlink"/>
            <w:noProof/>
          </w:rPr>
          <w:t>Effects of demographic variables on ratings for VS2</w:t>
        </w:r>
        <w:r w:rsidR="007F2617">
          <w:rPr>
            <w:noProof/>
            <w:webHidden/>
          </w:rPr>
          <w:tab/>
        </w:r>
        <w:r w:rsidR="007F2617">
          <w:rPr>
            <w:noProof/>
            <w:webHidden/>
          </w:rPr>
          <w:fldChar w:fldCharType="begin"/>
        </w:r>
        <w:r w:rsidR="007F2617">
          <w:rPr>
            <w:noProof/>
            <w:webHidden/>
          </w:rPr>
          <w:instrText xml:space="preserve"> PAGEREF _Toc6472804 \h </w:instrText>
        </w:r>
        <w:r w:rsidR="007F2617">
          <w:rPr>
            <w:noProof/>
            <w:webHidden/>
          </w:rPr>
        </w:r>
        <w:r w:rsidR="007F2617">
          <w:rPr>
            <w:noProof/>
            <w:webHidden/>
          </w:rPr>
          <w:fldChar w:fldCharType="separate"/>
        </w:r>
        <w:r w:rsidR="00301AD4">
          <w:rPr>
            <w:noProof/>
            <w:webHidden/>
          </w:rPr>
          <w:t>260</w:t>
        </w:r>
        <w:r w:rsidR="007F2617">
          <w:rPr>
            <w:noProof/>
            <w:webHidden/>
          </w:rPr>
          <w:fldChar w:fldCharType="end"/>
        </w:r>
      </w:hyperlink>
    </w:p>
    <w:p w14:paraId="0F6051DF" w14:textId="77777777" w:rsidR="007F2617" w:rsidRDefault="000E3509">
      <w:pPr>
        <w:pStyle w:val="TOC3"/>
        <w:rPr>
          <w:rFonts w:asciiTheme="minorHAnsi" w:eastAsiaTheme="minorEastAsia" w:hAnsiTheme="minorHAnsi" w:cstheme="minorBidi"/>
          <w:noProof/>
          <w:sz w:val="22"/>
        </w:rPr>
      </w:pPr>
      <w:hyperlink w:anchor="_Toc6472805" w:history="1">
        <w:r w:rsidR="007F2617" w:rsidRPr="003F35AD">
          <w:rPr>
            <w:rStyle w:val="Hyperlink"/>
            <w:noProof/>
          </w:rPr>
          <w:t>11.3.7.1.</w:t>
        </w:r>
        <w:r w:rsidR="007F2617">
          <w:rPr>
            <w:rFonts w:asciiTheme="minorHAnsi" w:eastAsiaTheme="minorEastAsia" w:hAnsiTheme="minorHAnsi" w:cstheme="minorBidi"/>
            <w:noProof/>
            <w:sz w:val="22"/>
          </w:rPr>
          <w:tab/>
        </w:r>
        <w:r w:rsidR="007F2617" w:rsidRPr="003F35AD">
          <w:rPr>
            <w:rStyle w:val="Hyperlink"/>
            <w:noProof/>
          </w:rPr>
          <w:t>Traditional scale</w:t>
        </w:r>
        <w:r w:rsidR="007F2617">
          <w:rPr>
            <w:noProof/>
            <w:webHidden/>
          </w:rPr>
          <w:tab/>
        </w:r>
        <w:r w:rsidR="007F2617">
          <w:rPr>
            <w:noProof/>
            <w:webHidden/>
          </w:rPr>
          <w:fldChar w:fldCharType="begin"/>
        </w:r>
        <w:r w:rsidR="007F2617">
          <w:rPr>
            <w:noProof/>
            <w:webHidden/>
          </w:rPr>
          <w:instrText xml:space="preserve"> PAGEREF _Toc6472805 \h </w:instrText>
        </w:r>
        <w:r w:rsidR="007F2617">
          <w:rPr>
            <w:noProof/>
            <w:webHidden/>
          </w:rPr>
        </w:r>
        <w:r w:rsidR="007F2617">
          <w:rPr>
            <w:noProof/>
            <w:webHidden/>
          </w:rPr>
          <w:fldChar w:fldCharType="separate"/>
        </w:r>
        <w:r w:rsidR="00301AD4">
          <w:rPr>
            <w:noProof/>
            <w:webHidden/>
          </w:rPr>
          <w:t>260</w:t>
        </w:r>
        <w:r w:rsidR="007F2617">
          <w:rPr>
            <w:noProof/>
            <w:webHidden/>
          </w:rPr>
          <w:fldChar w:fldCharType="end"/>
        </w:r>
      </w:hyperlink>
    </w:p>
    <w:p w14:paraId="7D3184AA" w14:textId="77777777" w:rsidR="007F2617" w:rsidRDefault="000E3509">
      <w:pPr>
        <w:pStyle w:val="TOC3"/>
        <w:rPr>
          <w:rFonts w:asciiTheme="minorHAnsi" w:eastAsiaTheme="minorEastAsia" w:hAnsiTheme="minorHAnsi" w:cstheme="minorBidi"/>
          <w:noProof/>
          <w:sz w:val="22"/>
        </w:rPr>
      </w:pPr>
      <w:hyperlink w:anchor="_Toc6472806" w:history="1">
        <w:r w:rsidR="007F2617" w:rsidRPr="003F35AD">
          <w:rPr>
            <w:rStyle w:val="Hyperlink"/>
            <w:noProof/>
          </w:rPr>
          <w:t>11.3.7.2.</w:t>
        </w:r>
        <w:r w:rsidR="007F2617">
          <w:rPr>
            <w:rFonts w:asciiTheme="minorHAnsi" w:eastAsiaTheme="minorEastAsia" w:hAnsiTheme="minorHAnsi" w:cstheme="minorBidi"/>
            <w:noProof/>
            <w:sz w:val="22"/>
          </w:rPr>
          <w:tab/>
        </w:r>
        <w:r w:rsidR="007F2617" w:rsidRPr="003F35AD">
          <w:rPr>
            <w:rStyle w:val="Hyperlink"/>
            <w:noProof/>
          </w:rPr>
          <w:t>Modern scale</w:t>
        </w:r>
        <w:r w:rsidR="007F2617">
          <w:rPr>
            <w:noProof/>
            <w:webHidden/>
          </w:rPr>
          <w:tab/>
        </w:r>
        <w:r w:rsidR="007F2617">
          <w:rPr>
            <w:noProof/>
            <w:webHidden/>
          </w:rPr>
          <w:fldChar w:fldCharType="begin"/>
        </w:r>
        <w:r w:rsidR="007F2617">
          <w:rPr>
            <w:noProof/>
            <w:webHidden/>
          </w:rPr>
          <w:instrText xml:space="preserve"> PAGEREF _Toc6472806 \h </w:instrText>
        </w:r>
        <w:r w:rsidR="007F2617">
          <w:rPr>
            <w:noProof/>
            <w:webHidden/>
          </w:rPr>
        </w:r>
        <w:r w:rsidR="007F2617">
          <w:rPr>
            <w:noProof/>
            <w:webHidden/>
          </w:rPr>
          <w:fldChar w:fldCharType="separate"/>
        </w:r>
        <w:r w:rsidR="00301AD4">
          <w:rPr>
            <w:noProof/>
            <w:webHidden/>
          </w:rPr>
          <w:t>262</w:t>
        </w:r>
        <w:r w:rsidR="007F2617">
          <w:rPr>
            <w:noProof/>
            <w:webHidden/>
          </w:rPr>
          <w:fldChar w:fldCharType="end"/>
        </w:r>
      </w:hyperlink>
    </w:p>
    <w:p w14:paraId="6FBB77D9" w14:textId="77777777" w:rsidR="007F2617" w:rsidRDefault="000E3509">
      <w:pPr>
        <w:pStyle w:val="TOC2"/>
        <w:rPr>
          <w:rFonts w:asciiTheme="minorHAnsi" w:eastAsiaTheme="minorEastAsia" w:hAnsiTheme="minorHAnsi" w:cstheme="minorBidi"/>
          <w:bCs w:val="0"/>
          <w:noProof/>
          <w:sz w:val="22"/>
        </w:rPr>
      </w:pPr>
      <w:hyperlink w:anchor="_Toc6472807" w:history="1">
        <w:r w:rsidR="007F2617" w:rsidRPr="003F35AD">
          <w:rPr>
            <w:rStyle w:val="Hyperlink"/>
            <w:noProof/>
          </w:rPr>
          <w:t>11.3.8.</w:t>
        </w:r>
        <w:r w:rsidR="007F2617">
          <w:rPr>
            <w:rFonts w:asciiTheme="minorHAnsi" w:eastAsiaTheme="minorEastAsia" w:hAnsiTheme="minorHAnsi" w:cstheme="minorBidi"/>
            <w:bCs w:val="0"/>
            <w:noProof/>
            <w:sz w:val="22"/>
          </w:rPr>
          <w:tab/>
        </w:r>
        <w:r w:rsidR="007F2617" w:rsidRPr="003F35AD">
          <w:rPr>
            <w:rStyle w:val="Hyperlink"/>
            <w:noProof/>
          </w:rPr>
          <w:t>Rating task results for voice sample 4</w:t>
        </w:r>
        <w:r w:rsidR="007F2617">
          <w:rPr>
            <w:noProof/>
            <w:webHidden/>
          </w:rPr>
          <w:tab/>
        </w:r>
        <w:r w:rsidR="007F2617">
          <w:rPr>
            <w:noProof/>
            <w:webHidden/>
          </w:rPr>
          <w:fldChar w:fldCharType="begin"/>
        </w:r>
        <w:r w:rsidR="007F2617">
          <w:rPr>
            <w:noProof/>
            <w:webHidden/>
          </w:rPr>
          <w:instrText xml:space="preserve"> PAGEREF _Toc6472807 \h </w:instrText>
        </w:r>
        <w:r w:rsidR="007F2617">
          <w:rPr>
            <w:noProof/>
            <w:webHidden/>
          </w:rPr>
        </w:r>
        <w:r w:rsidR="007F2617">
          <w:rPr>
            <w:noProof/>
            <w:webHidden/>
          </w:rPr>
          <w:fldChar w:fldCharType="separate"/>
        </w:r>
        <w:r w:rsidR="00301AD4">
          <w:rPr>
            <w:noProof/>
            <w:webHidden/>
          </w:rPr>
          <w:t>263</w:t>
        </w:r>
        <w:r w:rsidR="007F2617">
          <w:rPr>
            <w:noProof/>
            <w:webHidden/>
          </w:rPr>
          <w:fldChar w:fldCharType="end"/>
        </w:r>
      </w:hyperlink>
    </w:p>
    <w:p w14:paraId="05F1B70C" w14:textId="77777777" w:rsidR="007F2617" w:rsidRDefault="000E3509">
      <w:pPr>
        <w:pStyle w:val="TOC2"/>
        <w:rPr>
          <w:rFonts w:asciiTheme="minorHAnsi" w:eastAsiaTheme="minorEastAsia" w:hAnsiTheme="minorHAnsi" w:cstheme="minorBidi"/>
          <w:bCs w:val="0"/>
          <w:noProof/>
          <w:sz w:val="22"/>
        </w:rPr>
      </w:pPr>
      <w:hyperlink w:anchor="_Toc6472808" w:history="1">
        <w:r w:rsidR="007F2617" w:rsidRPr="003F35AD">
          <w:rPr>
            <w:rStyle w:val="Hyperlink"/>
            <w:noProof/>
          </w:rPr>
          <w:t>11.3.9.</w:t>
        </w:r>
        <w:r w:rsidR="007F2617">
          <w:rPr>
            <w:rFonts w:asciiTheme="minorHAnsi" w:eastAsiaTheme="minorEastAsia" w:hAnsiTheme="minorHAnsi" w:cstheme="minorBidi"/>
            <w:bCs w:val="0"/>
            <w:noProof/>
            <w:sz w:val="22"/>
          </w:rPr>
          <w:tab/>
        </w:r>
        <w:r w:rsidR="007F2617" w:rsidRPr="003F35AD">
          <w:rPr>
            <w:rStyle w:val="Hyperlink"/>
            <w:noProof/>
          </w:rPr>
          <w:t>Effects of demographic variables on ratings for VS4</w:t>
        </w:r>
        <w:r w:rsidR="007F2617">
          <w:rPr>
            <w:noProof/>
            <w:webHidden/>
          </w:rPr>
          <w:tab/>
        </w:r>
        <w:r w:rsidR="007F2617">
          <w:rPr>
            <w:noProof/>
            <w:webHidden/>
          </w:rPr>
          <w:fldChar w:fldCharType="begin"/>
        </w:r>
        <w:r w:rsidR="007F2617">
          <w:rPr>
            <w:noProof/>
            <w:webHidden/>
          </w:rPr>
          <w:instrText xml:space="preserve"> PAGEREF _Toc6472808 \h </w:instrText>
        </w:r>
        <w:r w:rsidR="007F2617">
          <w:rPr>
            <w:noProof/>
            <w:webHidden/>
          </w:rPr>
        </w:r>
        <w:r w:rsidR="007F2617">
          <w:rPr>
            <w:noProof/>
            <w:webHidden/>
          </w:rPr>
          <w:fldChar w:fldCharType="separate"/>
        </w:r>
        <w:r w:rsidR="00301AD4">
          <w:rPr>
            <w:noProof/>
            <w:webHidden/>
          </w:rPr>
          <w:t>265</w:t>
        </w:r>
        <w:r w:rsidR="007F2617">
          <w:rPr>
            <w:noProof/>
            <w:webHidden/>
          </w:rPr>
          <w:fldChar w:fldCharType="end"/>
        </w:r>
      </w:hyperlink>
    </w:p>
    <w:p w14:paraId="2507FA8A" w14:textId="77777777" w:rsidR="007F2617" w:rsidRDefault="000E3509">
      <w:pPr>
        <w:pStyle w:val="TOC3"/>
        <w:rPr>
          <w:rFonts w:asciiTheme="minorHAnsi" w:eastAsiaTheme="minorEastAsia" w:hAnsiTheme="minorHAnsi" w:cstheme="minorBidi"/>
          <w:noProof/>
          <w:sz w:val="22"/>
        </w:rPr>
      </w:pPr>
      <w:hyperlink w:anchor="_Toc6472809" w:history="1">
        <w:r w:rsidR="007F2617" w:rsidRPr="003F35AD">
          <w:rPr>
            <w:rStyle w:val="Hyperlink"/>
            <w:noProof/>
          </w:rPr>
          <w:t>11.3.9.1.</w:t>
        </w:r>
        <w:r w:rsidR="007F2617">
          <w:rPr>
            <w:rFonts w:asciiTheme="minorHAnsi" w:eastAsiaTheme="minorEastAsia" w:hAnsiTheme="minorHAnsi" w:cstheme="minorBidi"/>
            <w:noProof/>
            <w:sz w:val="22"/>
          </w:rPr>
          <w:tab/>
        </w:r>
        <w:r w:rsidR="007F2617" w:rsidRPr="003F35AD">
          <w:rPr>
            <w:rStyle w:val="Hyperlink"/>
            <w:noProof/>
          </w:rPr>
          <w:t>Serious scale</w:t>
        </w:r>
        <w:r w:rsidR="007F2617">
          <w:rPr>
            <w:noProof/>
            <w:webHidden/>
          </w:rPr>
          <w:tab/>
        </w:r>
        <w:r w:rsidR="007F2617">
          <w:rPr>
            <w:noProof/>
            <w:webHidden/>
          </w:rPr>
          <w:fldChar w:fldCharType="begin"/>
        </w:r>
        <w:r w:rsidR="007F2617">
          <w:rPr>
            <w:noProof/>
            <w:webHidden/>
          </w:rPr>
          <w:instrText xml:space="preserve"> PAGEREF _Toc6472809 \h </w:instrText>
        </w:r>
        <w:r w:rsidR="007F2617">
          <w:rPr>
            <w:noProof/>
            <w:webHidden/>
          </w:rPr>
        </w:r>
        <w:r w:rsidR="007F2617">
          <w:rPr>
            <w:noProof/>
            <w:webHidden/>
          </w:rPr>
          <w:fldChar w:fldCharType="separate"/>
        </w:r>
        <w:r w:rsidR="00301AD4">
          <w:rPr>
            <w:noProof/>
            <w:webHidden/>
          </w:rPr>
          <w:t>265</w:t>
        </w:r>
        <w:r w:rsidR="007F2617">
          <w:rPr>
            <w:noProof/>
            <w:webHidden/>
          </w:rPr>
          <w:fldChar w:fldCharType="end"/>
        </w:r>
      </w:hyperlink>
    </w:p>
    <w:p w14:paraId="3E2335EF" w14:textId="77777777" w:rsidR="007F2617" w:rsidRDefault="000E3509">
      <w:pPr>
        <w:pStyle w:val="TOC3"/>
        <w:rPr>
          <w:rFonts w:asciiTheme="minorHAnsi" w:eastAsiaTheme="minorEastAsia" w:hAnsiTheme="minorHAnsi" w:cstheme="minorBidi"/>
          <w:noProof/>
          <w:sz w:val="22"/>
        </w:rPr>
      </w:pPr>
      <w:hyperlink w:anchor="_Toc6472810" w:history="1">
        <w:r w:rsidR="007F2617" w:rsidRPr="003F35AD">
          <w:rPr>
            <w:rStyle w:val="Hyperlink"/>
            <w:noProof/>
          </w:rPr>
          <w:t>11.3.9.2.</w:t>
        </w:r>
        <w:r w:rsidR="007F2617">
          <w:rPr>
            <w:rFonts w:asciiTheme="minorHAnsi" w:eastAsiaTheme="minorEastAsia" w:hAnsiTheme="minorHAnsi" w:cstheme="minorBidi"/>
            <w:noProof/>
            <w:sz w:val="22"/>
          </w:rPr>
          <w:tab/>
        </w:r>
        <w:r w:rsidR="007F2617" w:rsidRPr="003F35AD">
          <w:rPr>
            <w:rStyle w:val="Hyperlink"/>
            <w:noProof/>
          </w:rPr>
          <w:t>Traditional scale</w:t>
        </w:r>
        <w:r w:rsidR="007F2617">
          <w:rPr>
            <w:noProof/>
            <w:webHidden/>
          </w:rPr>
          <w:tab/>
        </w:r>
        <w:r w:rsidR="007F2617">
          <w:rPr>
            <w:noProof/>
            <w:webHidden/>
          </w:rPr>
          <w:fldChar w:fldCharType="begin"/>
        </w:r>
        <w:r w:rsidR="007F2617">
          <w:rPr>
            <w:noProof/>
            <w:webHidden/>
          </w:rPr>
          <w:instrText xml:space="preserve"> PAGEREF _Toc6472810 \h </w:instrText>
        </w:r>
        <w:r w:rsidR="007F2617">
          <w:rPr>
            <w:noProof/>
            <w:webHidden/>
          </w:rPr>
        </w:r>
        <w:r w:rsidR="007F2617">
          <w:rPr>
            <w:noProof/>
            <w:webHidden/>
          </w:rPr>
          <w:fldChar w:fldCharType="separate"/>
        </w:r>
        <w:r w:rsidR="00301AD4">
          <w:rPr>
            <w:noProof/>
            <w:webHidden/>
          </w:rPr>
          <w:t>266</w:t>
        </w:r>
        <w:r w:rsidR="007F2617">
          <w:rPr>
            <w:noProof/>
            <w:webHidden/>
          </w:rPr>
          <w:fldChar w:fldCharType="end"/>
        </w:r>
      </w:hyperlink>
    </w:p>
    <w:p w14:paraId="67D8D555" w14:textId="77777777" w:rsidR="007F2617" w:rsidRDefault="000E3509">
      <w:pPr>
        <w:pStyle w:val="TOC3"/>
        <w:rPr>
          <w:rFonts w:asciiTheme="minorHAnsi" w:eastAsiaTheme="minorEastAsia" w:hAnsiTheme="minorHAnsi" w:cstheme="minorBidi"/>
          <w:noProof/>
          <w:sz w:val="22"/>
        </w:rPr>
      </w:pPr>
      <w:hyperlink w:anchor="_Toc6472811" w:history="1">
        <w:r w:rsidR="007F2617" w:rsidRPr="003F35AD">
          <w:rPr>
            <w:rStyle w:val="Hyperlink"/>
            <w:noProof/>
          </w:rPr>
          <w:t>11.3.9.3.</w:t>
        </w:r>
        <w:r w:rsidR="007F2617">
          <w:rPr>
            <w:rFonts w:asciiTheme="minorHAnsi" w:eastAsiaTheme="minorEastAsia" w:hAnsiTheme="minorHAnsi" w:cstheme="minorBidi"/>
            <w:noProof/>
            <w:sz w:val="22"/>
          </w:rPr>
          <w:tab/>
        </w:r>
        <w:r w:rsidR="007F2617" w:rsidRPr="003F35AD">
          <w:rPr>
            <w:rStyle w:val="Hyperlink"/>
            <w:noProof/>
          </w:rPr>
          <w:t>Modern scale</w:t>
        </w:r>
        <w:r w:rsidR="007F2617">
          <w:rPr>
            <w:noProof/>
            <w:webHidden/>
          </w:rPr>
          <w:tab/>
        </w:r>
        <w:r w:rsidR="007F2617">
          <w:rPr>
            <w:noProof/>
            <w:webHidden/>
          </w:rPr>
          <w:fldChar w:fldCharType="begin"/>
        </w:r>
        <w:r w:rsidR="007F2617">
          <w:rPr>
            <w:noProof/>
            <w:webHidden/>
          </w:rPr>
          <w:instrText xml:space="preserve"> PAGEREF _Toc6472811 \h </w:instrText>
        </w:r>
        <w:r w:rsidR="007F2617">
          <w:rPr>
            <w:noProof/>
            <w:webHidden/>
          </w:rPr>
        </w:r>
        <w:r w:rsidR="007F2617">
          <w:rPr>
            <w:noProof/>
            <w:webHidden/>
          </w:rPr>
          <w:fldChar w:fldCharType="separate"/>
        </w:r>
        <w:r w:rsidR="00301AD4">
          <w:rPr>
            <w:noProof/>
            <w:webHidden/>
          </w:rPr>
          <w:t>268</w:t>
        </w:r>
        <w:r w:rsidR="007F2617">
          <w:rPr>
            <w:noProof/>
            <w:webHidden/>
          </w:rPr>
          <w:fldChar w:fldCharType="end"/>
        </w:r>
      </w:hyperlink>
    </w:p>
    <w:p w14:paraId="047D10F9" w14:textId="77777777" w:rsidR="007F2617" w:rsidRDefault="000E3509">
      <w:pPr>
        <w:pStyle w:val="TOC2"/>
        <w:rPr>
          <w:rFonts w:asciiTheme="minorHAnsi" w:eastAsiaTheme="minorEastAsia" w:hAnsiTheme="minorHAnsi" w:cstheme="minorBidi"/>
          <w:bCs w:val="0"/>
          <w:noProof/>
          <w:sz w:val="22"/>
        </w:rPr>
      </w:pPr>
      <w:hyperlink w:anchor="_Toc6472812" w:history="1">
        <w:r w:rsidR="007F2617" w:rsidRPr="003F35AD">
          <w:rPr>
            <w:rStyle w:val="Hyperlink"/>
            <w:noProof/>
          </w:rPr>
          <w:t>11.3.10.</w:t>
        </w:r>
        <w:r w:rsidR="007F2617">
          <w:rPr>
            <w:rFonts w:asciiTheme="minorHAnsi" w:eastAsiaTheme="minorEastAsia" w:hAnsiTheme="minorHAnsi" w:cstheme="minorBidi"/>
            <w:bCs w:val="0"/>
            <w:noProof/>
            <w:sz w:val="22"/>
          </w:rPr>
          <w:tab/>
        </w:r>
        <w:r w:rsidR="007F2617" w:rsidRPr="003F35AD">
          <w:rPr>
            <w:rStyle w:val="Hyperlink"/>
            <w:noProof/>
          </w:rPr>
          <w:t>Rating task results for voice sample 5</w:t>
        </w:r>
        <w:r w:rsidR="007F2617">
          <w:rPr>
            <w:noProof/>
            <w:webHidden/>
          </w:rPr>
          <w:tab/>
        </w:r>
        <w:r w:rsidR="007F2617">
          <w:rPr>
            <w:noProof/>
            <w:webHidden/>
          </w:rPr>
          <w:fldChar w:fldCharType="begin"/>
        </w:r>
        <w:r w:rsidR="007F2617">
          <w:rPr>
            <w:noProof/>
            <w:webHidden/>
          </w:rPr>
          <w:instrText xml:space="preserve"> PAGEREF _Toc6472812 \h </w:instrText>
        </w:r>
        <w:r w:rsidR="007F2617">
          <w:rPr>
            <w:noProof/>
            <w:webHidden/>
          </w:rPr>
        </w:r>
        <w:r w:rsidR="007F2617">
          <w:rPr>
            <w:noProof/>
            <w:webHidden/>
          </w:rPr>
          <w:fldChar w:fldCharType="separate"/>
        </w:r>
        <w:r w:rsidR="00301AD4">
          <w:rPr>
            <w:noProof/>
            <w:webHidden/>
          </w:rPr>
          <w:t>269</w:t>
        </w:r>
        <w:r w:rsidR="007F2617">
          <w:rPr>
            <w:noProof/>
            <w:webHidden/>
          </w:rPr>
          <w:fldChar w:fldCharType="end"/>
        </w:r>
      </w:hyperlink>
    </w:p>
    <w:p w14:paraId="4D00D3EF" w14:textId="77777777" w:rsidR="007F2617" w:rsidRDefault="000E3509">
      <w:pPr>
        <w:pStyle w:val="TOC2"/>
        <w:rPr>
          <w:rFonts w:asciiTheme="minorHAnsi" w:eastAsiaTheme="minorEastAsia" w:hAnsiTheme="minorHAnsi" w:cstheme="minorBidi"/>
          <w:bCs w:val="0"/>
          <w:noProof/>
          <w:sz w:val="22"/>
        </w:rPr>
      </w:pPr>
      <w:hyperlink w:anchor="_Toc6472813" w:history="1">
        <w:r w:rsidR="007F2617" w:rsidRPr="003F35AD">
          <w:rPr>
            <w:rStyle w:val="Hyperlink"/>
            <w:noProof/>
          </w:rPr>
          <w:t>11.3.11.</w:t>
        </w:r>
        <w:r w:rsidR="007F2617">
          <w:rPr>
            <w:rFonts w:asciiTheme="minorHAnsi" w:eastAsiaTheme="minorEastAsia" w:hAnsiTheme="minorHAnsi" w:cstheme="minorBidi"/>
            <w:bCs w:val="0"/>
            <w:noProof/>
            <w:sz w:val="22"/>
          </w:rPr>
          <w:tab/>
        </w:r>
        <w:r w:rsidR="007F2617" w:rsidRPr="003F35AD">
          <w:rPr>
            <w:rStyle w:val="Hyperlink"/>
            <w:noProof/>
          </w:rPr>
          <w:t>Effects of demographic variables on ratings for  VS5</w:t>
        </w:r>
        <w:r w:rsidR="007F2617">
          <w:rPr>
            <w:noProof/>
            <w:webHidden/>
          </w:rPr>
          <w:tab/>
        </w:r>
        <w:r w:rsidR="007F2617">
          <w:rPr>
            <w:noProof/>
            <w:webHidden/>
          </w:rPr>
          <w:fldChar w:fldCharType="begin"/>
        </w:r>
        <w:r w:rsidR="007F2617">
          <w:rPr>
            <w:noProof/>
            <w:webHidden/>
          </w:rPr>
          <w:instrText xml:space="preserve"> PAGEREF _Toc6472813 \h </w:instrText>
        </w:r>
        <w:r w:rsidR="007F2617">
          <w:rPr>
            <w:noProof/>
            <w:webHidden/>
          </w:rPr>
        </w:r>
        <w:r w:rsidR="007F2617">
          <w:rPr>
            <w:noProof/>
            <w:webHidden/>
          </w:rPr>
          <w:fldChar w:fldCharType="separate"/>
        </w:r>
        <w:r w:rsidR="00301AD4">
          <w:rPr>
            <w:noProof/>
            <w:webHidden/>
          </w:rPr>
          <w:t>270</w:t>
        </w:r>
        <w:r w:rsidR="007F2617">
          <w:rPr>
            <w:noProof/>
            <w:webHidden/>
          </w:rPr>
          <w:fldChar w:fldCharType="end"/>
        </w:r>
      </w:hyperlink>
    </w:p>
    <w:p w14:paraId="33CF497F" w14:textId="77777777" w:rsidR="007F2617" w:rsidRDefault="000E3509">
      <w:pPr>
        <w:pStyle w:val="TOC3"/>
        <w:tabs>
          <w:tab w:val="left" w:pos="1680"/>
        </w:tabs>
        <w:rPr>
          <w:rFonts w:asciiTheme="minorHAnsi" w:eastAsiaTheme="minorEastAsia" w:hAnsiTheme="minorHAnsi" w:cstheme="minorBidi"/>
          <w:noProof/>
          <w:sz w:val="22"/>
        </w:rPr>
      </w:pPr>
      <w:hyperlink w:anchor="_Toc6472814" w:history="1">
        <w:r w:rsidR="007F2617" w:rsidRPr="003F35AD">
          <w:rPr>
            <w:rStyle w:val="Hyperlink"/>
            <w:noProof/>
          </w:rPr>
          <w:t>11.3.11.1.</w:t>
        </w:r>
        <w:r w:rsidR="007F2617">
          <w:rPr>
            <w:rFonts w:asciiTheme="minorHAnsi" w:eastAsiaTheme="minorEastAsia" w:hAnsiTheme="minorHAnsi" w:cstheme="minorBidi"/>
            <w:noProof/>
            <w:sz w:val="22"/>
          </w:rPr>
          <w:tab/>
        </w:r>
        <w:r w:rsidR="007F2617" w:rsidRPr="003F35AD">
          <w:rPr>
            <w:rStyle w:val="Hyperlink"/>
            <w:noProof/>
          </w:rPr>
          <w:t xml:space="preserve"> Serious scale</w:t>
        </w:r>
        <w:r w:rsidR="007F2617">
          <w:rPr>
            <w:noProof/>
            <w:webHidden/>
          </w:rPr>
          <w:tab/>
        </w:r>
        <w:r w:rsidR="007F2617">
          <w:rPr>
            <w:noProof/>
            <w:webHidden/>
          </w:rPr>
          <w:fldChar w:fldCharType="begin"/>
        </w:r>
        <w:r w:rsidR="007F2617">
          <w:rPr>
            <w:noProof/>
            <w:webHidden/>
          </w:rPr>
          <w:instrText xml:space="preserve"> PAGEREF _Toc6472814 \h </w:instrText>
        </w:r>
        <w:r w:rsidR="007F2617">
          <w:rPr>
            <w:noProof/>
            <w:webHidden/>
          </w:rPr>
        </w:r>
        <w:r w:rsidR="007F2617">
          <w:rPr>
            <w:noProof/>
            <w:webHidden/>
          </w:rPr>
          <w:fldChar w:fldCharType="separate"/>
        </w:r>
        <w:r w:rsidR="00301AD4">
          <w:rPr>
            <w:noProof/>
            <w:webHidden/>
          </w:rPr>
          <w:t>271</w:t>
        </w:r>
        <w:r w:rsidR="007F2617">
          <w:rPr>
            <w:noProof/>
            <w:webHidden/>
          </w:rPr>
          <w:fldChar w:fldCharType="end"/>
        </w:r>
      </w:hyperlink>
    </w:p>
    <w:p w14:paraId="32436687" w14:textId="77777777" w:rsidR="007F2617" w:rsidRDefault="000E3509">
      <w:pPr>
        <w:pStyle w:val="TOC3"/>
        <w:tabs>
          <w:tab w:val="left" w:pos="1680"/>
        </w:tabs>
        <w:rPr>
          <w:rFonts w:asciiTheme="minorHAnsi" w:eastAsiaTheme="minorEastAsia" w:hAnsiTheme="minorHAnsi" w:cstheme="minorBidi"/>
          <w:noProof/>
          <w:sz w:val="22"/>
        </w:rPr>
      </w:pPr>
      <w:hyperlink w:anchor="_Toc6472815" w:history="1">
        <w:r w:rsidR="007F2617" w:rsidRPr="003F35AD">
          <w:rPr>
            <w:rStyle w:val="Hyperlink"/>
            <w:noProof/>
          </w:rPr>
          <w:t>11.3.11.2.</w:t>
        </w:r>
        <w:r w:rsidR="007F2617">
          <w:rPr>
            <w:rFonts w:asciiTheme="minorHAnsi" w:eastAsiaTheme="minorEastAsia" w:hAnsiTheme="minorHAnsi" w:cstheme="minorBidi"/>
            <w:noProof/>
            <w:sz w:val="22"/>
          </w:rPr>
          <w:tab/>
        </w:r>
        <w:r w:rsidR="007F2617" w:rsidRPr="003F35AD">
          <w:rPr>
            <w:rStyle w:val="Hyperlink"/>
            <w:noProof/>
          </w:rPr>
          <w:t xml:space="preserve"> Modern scale</w:t>
        </w:r>
        <w:r w:rsidR="007F2617">
          <w:rPr>
            <w:noProof/>
            <w:webHidden/>
          </w:rPr>
          <w:tab/>
        </w:r>
        <w:r w:rsidR="007F2617">
          <w:rPr>
            <w:noProof/>
            <w:webHidden/>
          </w:rPr>
          <w:fldChar w:fldCharType="begin"/>
        </w:r>
        <w:r w:rsidR="007F2617">
          <w:rPr>
            <w:noProof/>
            <w:webHidden/>
          </w:rPr>
          <w:instrText xml:space="preserve"> PAGEREF _Toc6472815 \h </w:instrText>
        </w:r>
        <w:r w:rsidR="007F2617">
          <w:rPr>
            <w:noProof/>
            <w:webHidden/>
          </w:rPr>
        </w:r>
        <w:r w:rsidR="007F2617">
          <w:rPr>
            <w:noProof/>
            <w:webHidden/>
          </w:rPr>
          <w:fldChar w:fldCharType="separate"/>
        </w:r>
        <w:r w:rsidR="00301AD4">
          <w:rPr>
            <w:noProof/>
            <w:webHidden/>
          </w:rPr>
          <w:t>271</w:t>
        </w:r>
        <w:r w:rsidR="007F2617">
          <w:rPr>
            <w:noProof/>
            <w:webHidden/>
          </w:rPr>
          <w:fldChar w:fldCharType="end"/>
        </w:r>
      </w:hyperlink>
    </w:p>
    <w:p w14:paraId="5EC11744" w14:textId="77777777" w:rsidR="007F2617" w:rsidRDefault="000E3509" w:rsidP="00017D27">
      <w:pPr>
        <w:pStyle w:val="TOC1"/>
        <w:spacing w:after="240"/>
        <w:rPr>
          <w:rFonts w:asciiTheme="minorHAnsi" w:eastAsiaTheme="minorEastAsia" w:hAnsiTheme="minorHAnsi" w:cstheme="minorBidi"/>
          <w:sz w:val="22"/>
          <w:szCs w:val="22"/>
        </w:rPr>
      </w:pPr>
      <w:hyperlink w:anchor="_Toc6472816" w:history="1">
        <w:r w:rsidR="007F2617" w:rsidRPr="003F35AD">
          <w:rPr>
            <w:rStyle w:val="Hyperlink"/>
          </w:rPr>
          <w:t>11.4. Conclusion</w:t>
        </w:r>
        <w:r w:rsidR="007F2617">
          <w:rPr>
            <w:webHidden/>
          </w:rPr>
          <w:tab/>
        </w:r>
        <w:r w:rsidR="007F2617">
          <w:rPr>
            <w:webHidden/>
          </w:rPr>
          <w:fldChar w:fldCharType="begin"/>
        </w:r>
        <w:r w:rsidR="007F2617">
          <w:rPr>
            <w:webHidden/>
          </w:rPr>
          <w:instrText xml:space="preserve"> PAGEREF _Toc6472816 \h </w:instrText>
        </w:r>
        <w:r w:rsidR="007F2617">
          <w:rPr>
            <w:webHidden/>
          </w:rPr>
        </w:r>
        <w:r w:rsidR="007F2617">
          <w:rPr>
            <w:webHidden/>
          </w:rPr>
          <w:fldChar w:fldCharType="separate"/>
        </w:r>
        <w:r w:rsidR="00301AD4">
          <w:rPr>
            <w:webHidden/>
          </w:rPr>
          <w:t>272</w:t>
        </w:r>
        <w:r w:rsidR="007F2617">
          <w:rPr>
            <w:webHidden/>
          </w:rPr>
          <w:fldChar w:fldCharType="end"/>
        </w:r>
      </w:hyperlink>
    </w:p>
    <w:p w14:paraId="30A67DD2" w14:textId="77777777" w:rsidR="007F2617" w:rsidRDefault="000E3509" w:rsidP="007F2617">
      <w:pPr>
        <w:pStyle w:val="TOC1"/>
        <w:rPr>
          <w:rFonts w:asciiTheme="minorHAnsi" w:eastAsiaTheme="minorEastAsia" w:hAnsiTheme="minorHAnsi" w:cstheme="minorBidi"/>
          <w:sz w:val="22"/>
          <w:szCs w:val="22"/>
        </w:rPr>
      </w:pPr>
      <w:hyperlink w:anchor="_Toc6472817" w:history="1">
        <w:r w:rsidR="007F2617" w:rsidRPr="00017D27">
          <w:rPr>
            <w:rStyle w:val="Hyperlink"/>
            <w:rFonts w:eastAsia="Times New Roman"/>
            <w:b/>
            <w:bCs w:val="0"/>
            <w:lang w:eastAsia="zh-CN"/>
          </w:rPr>
          <w:t>Chapter 12: Discussion chapter for RQ3</w:t>
        </w:r>
        <w:r w:rsidR="007F2617">
          <w:rPr>
            <w:webHidden/>
          </w:rPr>
          <w:tab/>
        </w:r>
        <w:r w:rsidR="007F2617">
          <w:rPr>
            <w:webHidden/>
          </w:rPr>
          <w:fldChar w:fldCharType="begin"/>
        </w:r>
        <w:r w:rsidR="007F2617">
          <w:rPr>
            <w:webHidden/>
          </w:rPr>
          <w:instrText xml:space="preserve"> PAGEREF _Toc6472817 \h </w:instrText>
        </w:r>
        <w:r w:rsidR="007F2617">
          <w:rPr>
            <w:webHidden/>
          </w:rPr>
        </w:r>
        <w:r w:rsidR="007F2617">
          <w:rPr>
            <w:webHidden/>
          </w:rPr>
          <w:fldChar w:fldCharType="separate"/>
        </w:r>
        <w:r w:rsidR="00301AD4">
          <w:rPr>
            <w:webHidden/>
          </w:rPr>
          <w:t>274</w:t>
        </w:r>
        <w:r w:rsidR="007F2617">
          <w:rPr>
            <w:webHidden/>
          </w:rPr>
          <w:fldChar w:fldCharType="end"/>
        </w:r>
      </w:hyperlink>
    </w:p>
    <w:p w14:paraId="7E35AD43" w14:textId="77777777" w:rsidR="007F2617" w:rsidRDefault="000E3509" w:rsidP="007F2617">
      <w:pPr>
        <w:pStyle w:val="TOC1"/>
        <w:rPr>
          <w:rFonts w:asciiTheme="minorHAnsi" w:eastAsiaTheme="minorEastAsia" w:hAnsiTheme="minorHAnsi" w:cstheme="minorBidi"/>
          <w:sz w:val="22"/>
          <w:szCs w:val="22"/>
        </w:rPr>
      </w:pPr>
      <w:hyperlink w:anchor="_Toc6472818" w:history="1">
        <w:r w:rsidR="007F2617" w:rsidRPr="003F35AD">
          <w:rPr>
            <w:rStyle w:val="Hyperlink"/>
            <w:rFonts w:eastAsia="Times New Roman"/>
          </w:rPr>
          <w:t>12.1.</w:t>
        </w:r>
        <w:r w:rsidR="007F2617">
          <w:rPr>
            <w:rFonts w:asciiTheme="minorHAnsi" w:eastAsiaTheme="minorEastAsia" w:hAnsiTheme="minorHAnsi" w:cstheme="minorBidi"/>
            <w:sz w:val="22"/>
            <w:szCs w:val="22"/>
          </w:rPr>
          <w:tab/>
        </w:r>
        <w:r w:rsidR="007F2617" w:rsidRPr="003F35AD">
          <w:rPr>
            <w:rStyle w:val="Hyperlink"/>
            <w:rFonts w:eastAsia="Times New Roman"/>
          </w:rPr>
          <w:t>Introduction</w:t>
        </w:r>
        <w:r w:rsidR="007F2617">
          <w:rPr>
            <w:webHidden/>
          </w:rPr>
          <w:tab/>
        </w:r>
        <w:r w:rsidR="007F2617">
          <w:rPr>
            <w:webHidden/>
          </w:rPr>
          <w:fldChar w:fldCharType="begin"/>
        </w:r>
        <w:r w:rsidR="007F2617">
          <w:rPr>
            <w:webHidden/>
          </w:rPr>
          <w:instrText xml:space="preserve"> PAGEREF _Toc6472818 \h </w:instrText>
        </w:r>
        <w:r w:rsidR="007F2617">
          <w:rPr>
            <w:webHidden/>
          </w:rPr>
        </w:r>
        <w:r w:rsidR="007F2617">
          <w:rPr>
            <w:webHidden/>
          </w:rPr>
          <w:fldChar w:fldCharType="separate"/>
        </w:r>
        <w:r w:rsidR="00301AD4">
          <w:rPr>
            <w:webHidden/>
          </w:rPr>
          <w:t>274</w:t>
        </w:r>
        <w:r w:rsidR="007F2617">
          <w:rPr>
            <w:webHidden/>
          </w:rPr>
          <w:fldChar w:fldCharType="end"/>
        </w:r>
      </w:hyperlink>
    </w:p>
    <w:p w14:paraId="6C44EA95" w14:textId="77777777" w:rsidR="007F2617" w:rsidRDefault="000E3509" w:rsidP="007F2617">
      <w:pPr>
        <w:pStyle w:val="TOC1"/>
        <w:rPr>
          <w:rFonts w:asciiTheme="minorHAnsi" w:eastAsiaTheme="minorEastAsia" w:hAnsiTheme="minorHAnsi" w:cstheme="minorBidi"/>
          <w:sz w:val="22"/>
          <w:szCs w:val="22"/>
        </w:rPr>
      </w:pPr>
      <w:hyperlink w:anchor="_Toc6472819" w:history="1">
        <w:r w:rsidR="007F2617" w:rsidRPr="003F35AD">
          <w:rPr>
            <w:rStyle w:val="Hyperlink"/>
            <w:rFonts w:eastAsia="Times New Roman"/>
          </w:rPr>
          <w:t>12.2.</w:t>
        </w:r>
        <w:r w:rsidR="007F2617">
          <w:rPr>
            <w:rFonts w:asciiTheme="minorHAnsi" w:eastAsiaTheme="minorEastAsia" w:hAnsiTheme="minorHAnsi" w:cstheme="minorBidi"/>
            <w:sz w:val="22"/>
            <w:szCs w:val="22"/>
          </w:rPr>
          <w:tab/>
        </w:r>
        <w:r w:rsidR="007F2617" w:rsidRPr="003F35AD">
          <w:rPr>
            <w:rStyle w:val="Hyperlink"/>
            <w:rFonts w:eastAsia="Times New Roman"/>
          </w:rPr>
          <w:t>Summary of results</w:t>
        </w:r>
        <w:r w:rsidR="007F2617">
          <w:rPr>
            <w:webHidden/>
          </w:rPr>
          <w:tab/>
        </w:r>
        <w:r w:rsidR="007F2617">
          <w:rPr>
            <w:webHidden/>
          </w:rPr>
          <w:fldChar w:fldCharType="begin"/>
        </w:r>
        <w:r w:rsidR="007F2617">
          <w:rPr>
            <w:webHidden/>
          </w:rPr>
          <w:instrText xml:space="preserve"> PAGEREF _Toc6472819 \h </w:instrText>
        </w:r>
        <w:r w:rsidR="007F2617">
          <w:rPr>
            <w:webHidden/>
          </w:rPr>
        </w:r>
        <w:r w:rsidR="007F2617">
          <w:rPr>
            <w:webHidden/>
          </w:rPr>
          <w:fldChar w:fldCharType="separate"/>
        </w:r>
        <w:r w:rsidR="00301AD4">
          <w:rPr>
            <w:webHidden/>
          </w:rPr>
          <w:t>274</w:t>
        </w:r>
        <w:r w:rsidR="007F2617">
          <w:rPr>
            <w:webHidden/>
          </w:rPr>
          <w:fldChar w:fldCharType="end"/>
        </w:r>
      </w:hyperlink>
    </w:p>
    <w:p w14:paraId="2AE85116" w14:textId="77777777" w:rsidR="007F2617" w:rsidRDefault="000E3509">
      <w:pPr>
        <w:pStyle w:val="TOC2"/>
        <w:rPr>
          <w:rFonts w:asciiTheme="minorHAnsi" w:eastAsiaTheme="minorEastAsia" w:hAnsiTheme="minorHAnsi" w:cstheme="minorBidi"/>
          <w:bCs w:val="0"/>
          <w:noProof/>
          <w:sz w:val="22"/>
        </w:rPr>
      </w:pPr>
      <w:hyperlink w:anchor="_Toc6472820" w:history="1">
        <w:r w:rsidR="007F2617" w:rsidRPr="003F35AD">
          <w:rPr>
            <w:rStyle w:val="Hyperlink"/>
            <w:noProof/>
          </w:rPr>
          <w:t>12.2.1.</w:t>
        </w:r>
        <w:r w:rsidR="007F2617">
          <w:rPr>
            <w:rFonts w:asciiTheme="minorHAnsi" w:eastAsiaTheme="minorEastAsia" w:hAnsiTheme="minorHAnsi" w:cstheme="minorBidi"/>
            <w:bCs w:val="0"/>
            <w:noProof/>
            <w:sz w:val="22"/>
          </w:rPr>
          <w:tab/>
        </w:r>
        <w:r w:rsidR="007F2617" w:rsidRPr="003F35AD">
          <w:rPr>
            <w:rStyle w:val="Hyperlink"/>
            <w:noProof/>
          </w:rPr>
          <w:t>The perceptual study results</w:t>
        </w:r>
        <w:r w:rsidR="007F2617">
          <w:rPr>
            <w:noProof/>
            <w:webHidden/>
          </w:rPr>
          <w:tab/>
        </w:r>
        <w:r w:rsidR="007F2617">
          <w:rPr>
            <w:noProof/>
            <w:webHidden/>
          </w:rPr>
          <w:fldChar w:fldCharType="begin"/>
        </w:r>
        <w:r w:rsidR="007F2617">
          <w:rPr>
            <w:noProof/>
            <w:webHidden/>
          </w:rPr>
          <w:instrText xml:space="preserve"> PAGEREF _Toc6472820 \h </w:instrText>
        </w:r>
        <w:r w:rsidR="007F2617">
          <w:rPr>
            <w:noProof/>
            <w:webHidden/>
          </w:rPr>
        </w:r>
        <w:r w:rsidR="007F2617">
          <w:rPr>
            <w:noProof/>
            <w:webHidden/>
          </w:rPr>
          <w:fldChar w:fldCharType="separate"/>
        </w:r>
        <w:r w:rsidR="00301AD4">
          <w:rPr>
            <w:noProof/>
            <w:webHidden/>
          </w:rPr>
          <w:t>274</w:t>
        </w:r>
        <w:r w:rsidR="007F2617">
          <w:rPr>
            <w:noProof/>
            <w:webHidden/>
          </w:rPr>
          <w:fldChar w:fldCharType="end"/>
        </w:r>
      </w:hyperlink>
    </w:p>
    <w:p w14:paraId="2D7B95AE" w14:textId="77777777" w:rsidR="007F2617" w:rsidRDefault="000E3509">
      <w:pPr>
        <w:pStyle w:val="TOC2"/>
        <w:rPr>
          <w:rFonts w:asciiTheme="minorHAnsi" w:eastAsiaTheme="minorEastAsia" w:hAnsiTheme="minorHAnsi" w:cstheme="minorBidi"/>
          <w:bCs w:val="0"/>
          <w:noProof/>
          <w:sz w:val="22"/>
        </w:rPr>
      </w:pPr>
      <w:hyperlink w:anchor="_Toc6472821" w:history="1">
        <w:r w:rsidR="007F2617" w:rsidRPr="003F35AD">
          <w:rPr>
            <w:rStyle w:val="Hyperlink"/>
            <w:noProof/>
          </w:rPr>
          <w:t>12.2.2.</w:t>
        </w:r>
        <w:r w:rsidR="007F2617">
          <w:rPr>
            <w:rFonts w:asciiTheme="minorHAnsi" w:eastAsiaTheme="minorEastAsia" w:hAnsiTheme="minorHAnsi" w:cstheme="minorBidi"/>
            <w:bCs w:val="0"/>
            <w:noProof/>
            <w:sz w:val="22"/>
          </w:rPr>
          <w:tab/>
        </w:r>
        <w:r w:rsidR="007F2617" w:rsidRPr="003F35AD">
          <w:rPr>
            <w:rStyle w:val="Hyperlink"/>
            <w:noProof/>
          </w:rPr>
          <w:t>The language attitude study results</w:t>
        </w:r>
        <w:r w:rsidR="007F2617">
          <w:rPr>
            <w:noProof/>
            <w:webHidden/>
          </w:rPr>
          <w:tab/>
        </w:r>
        <w:r w:rsidR="007F2617">
          <w:rPr>
            <w:noProof/>
            <w:webHidden/>
          </w:rPr>
          <w:fldChar w:fldCharType="begin"/>
        </w:r>
        <w:r w:rsidR="007F2617">
          <w:rPr>
            <w:noProof/>
            <w:webHidden/>
          </w:rPr>
          <w:instrText xml:space="preserve"> PAGEREF _Toc6472821 \h </w:instrText>
        </w:r>
        <w:r w:rsidR="007F2617">
          <w:rPr>
            <w:noProof/>
            <w:webHidden/>
          </w:rPr>
        </w:r>
        <w:r w:rsidR="007F2617">
          <w:rPr>
            <w:noProof/>
            <w:webHidden/>
          </w:rPr>
          <w:fldChar w:fldCharType="separate"/>
        </w:r>
        <w:r w:rsidR="00301AD4">
          <w:rPr>
            <w:noProof/>
            <w:webHidden/>
          </w:rPr>
          <w:t>275</w:t>
        </w:r>
        <w:r w:rsidR="007F2617">
          <w:rPr>
            <w:noProof/>
            <w:webHidden/>
          </w:rPr>
          <w:fldChar w:fldCharType="end"/>
        </w:r>
      </w:hyperlink>
    </w:p>
    <w:p w14:paraId="792A0222" w14:textId="77777777" w:rsidR="007F2617" w:rsidRDefault="000E3509" w:rsidP="007F2617">
      <w:pPr>
        <w:pStyle w:val="TOC1"/>
        <w:rPr>
          <w:rFonts w:asciiTheme="minorHAnsi" w:eastAsiaTheme="minorEastAsia" w:hAnsiTheme="minorHAnsi" w:cstheme="minorBidi"/>
          <w:sz w:val="22"/>
          <w:szCs w:val="22"/>
        </w:rPr>
      </w:pPr>
      <w:hyperlink w:anchor="_Toc6472822" w:history="1">
        <w:r w:rsidR="007F2617" w:rsidRPr="003F35AD">
          <w:rPr>
            <w:rStyle w:val="Hyperlink"/>
            <w:rFonts w:eastAsia="Times New Roman"/>
          </w:rPr>
          <w:t>12.3.</w:t>
        </w:r>
        <w:r w:rsidR="007F2617">
          <w:rPr>
            <w:rFonts w:asciiTheme="minorHAnsi" w:eastAsiaTheme="minorEastAsia" w:hAnsiTheme="minorHAnsi" w:cstheme="minorBidi"/>
            <w:sz w:val="22"/>
            <w:szCs w:val="22"/>
          </w:rPr>
          <w:tab/>
        </w:r>
        <w:r w:rsidR="007F2617" w:rsidRPr="003F35AD">
          <w:rPr>
            <w:rStyle w:val="Hyperlink"/>
            <w:rFonts w:eastAsia="Times New Roman"/>
          </w:rPr>
          <w:t>The perceptual task</w:t>
        </w:r>
        <w:r w:rsidR="007F2617">
          <w:rPr>
            <w:webHidden/>
          </w:rPr>
          <w:tab/>
        </w:r>
        <w:r w:rsidR="007F2617">
          <w:rPr>
            <w:webHidden/>
          </w:rPr>
          <w:fldChar w:fldCharType="begin"/>
        </w:r>
        <w:r w:rsidR="007F2617">
          <w:rPr>
            <w:webHidden/>
          </w:rPr>
          <w:instrText xml:space="preserve"> PAGEREF _Toc6472822 \h </w:instrText>
        </w:r>
        <w:r w:rsidR="007F2617">
          <w:rPr>
            <w:webHidden/>
          </w:rPr>
        </w:r>
        <w:r w:rsidR="007F2617">
          <w:rPr>
            <w:webHidden/>
          </w:rPr>
          <w:fldChar w:fldCharType="separate"/>
        </w:r>
        <w:r w:rsidR="00301AD4">
          <w:rPr>
            <w:webHidden/>
          </w:rPr>
          <w:t>276</w:t>
        </w:r>
        <w:r w:rsidR="007F2617">
          <w:rPr>
            <w:webHidden/>
          </w:rPr>
          <w:fldChar w:fldCharType="end"/>
        </w:r>
      </w:hyperlink>
    </w:p>
    <w:p w14:paraId="5BA0CEF5" w14:textId="59F4B361" w:rsidR="007F2617" w:rsidRDefault="000E3509">
      <w:pPr>
        <w:pStyle w:val="TOC2"/>
        <w:rPr>
          <w:rFonts w:asciiTheme="minorHAnsi" w:eastAsiaTheme="minorEastAsia" w:hAnsiTheme="minorHAnsi" w:cstheme="minorBidi"/>
          <w:bCs w:val="0"/>
          <w:noProof/>
          <w:sz w:val="22"/>
        </w:rPr>
      </w:pPr>
      <w:hyperlink w:anchor="_Toc6472823" w:history="1">
        <w:r w:rsidR="007F2617" w:rsidRPr="003F35AD">
          <w:rPr>
            <w:rStyle w:val="Hyperlink"/>
            <w:noProof/>
          </w:rPr>
          <w:t>12.3.1.</w:t>
        </w:r>
        <w:r w:rsidR="007F2617">
          <w:rPr>
            <w:rFonts w:asciiTheme="minorHAnsi" w:eastAsiaTheme="minorEastAsia" w:hAnsiTheme="minorHAnsi" w:cstheme="minorBidi"/>
            <w:bCs w:val="0"/>
            <w:noProof/>
            <w:sz w:val="22"/>
          </w:rPr>
          <w:tab/>
        </w:r>
        <w:r w:rsidR="007F2617" w:rsidRPr="003F35AD">
          <w:rPr>
            <w:rStyle w:val="Hyperlink"/>
            <w:noProof/>
          </w:rPr>
          <w:t xml:space="preserve">Homogeneity of perceptions towards the social groups </w:t>
        </w:r>
        <w:r w:rsidR="007F2617">
          <w:rPr>
            <w:rStyle w:val="Hyperlink"/>
            <w:noProof/>
          </w:rPr>
          <w:br/>
        </w:r>
        <w:r w:rsidR="007F2617" w:rsidRPr="003F35AD">
          <w:rPr>
            <w:rStyle w:val="Hyperlink"/>
            <w:noProof/>
          </w:rPr>
          <w:t>of the voice samples</w:t>
        </w:r>
        <w:r w:rsidR="007F2617">
          <w:rPr>
            <w:noProof/>
            <w:webHidden/>
          </w:rPr>
          <w:tab/>
        </w:r>
        <w:r w:rsidR="007F2617">
          <w:rPr>
            <w:noProof/>
            <w:webHidden/>
          </w:rPr>
          <w:fldChar w:fldCharType="begin"/>
        </w:r>
        <w:r w:rsidR="007F2617">
          <w:rPr>
            <w:noProof/>
            <w:webHidden/>
          </w:rPr>
          <w:instrText xml:space="preserve"> PAGEREF _Toc6472823 \h </w:instrText>
        </w:r>
        <w:r w:rsidR="007F2617">
          <w:rPr>
            <w:noProof/>
            <w:webHidden/>
          </w:rPr>
        </w:r>
        <w:r w:rsidR="007F2617">
          <w:rPr>
            <w:noProof/>
            <w:webHidden/>
          </w:rPr>
          <w:fldChar w:fldCharType="separate"/>
        </w:r>
        <w:r w:rsidR="00301AD4">
          <w:rPr>
            <w:noProof/>
            <w:webHidden/>
          </w:rPr>
          <w:t>276</w:t>
        </w:r>
        <w:r w:rsidR="007F2617">
          <w:rPr>
            <w:noProof/>
            <w:webHidden/>
          </w:rPr>
          <w:fldChar w:fldCharType="end"/>
        </w:r>
      </w:hyperlink>
    </w:p>
    <w:p w14:paraId="4330698A" w14:textId="5113BE4F" w:rsidR="007F2617" w:rsidRDefault="000E3509">
      <w:pPr>
        <w:pStyle w:val="TOC2"/>
        <w:rPr>
          <w:rFonts w:asciiTheme="minorHAnsi" w:eastAsiaTheme="minorEastAsia" w:hAnsiTheme="minorHAnsi" w:cstheme="minorBidi"/>
          <w:bCs w:val="0"/>
          <w:noProof/>
          <w:sz w:val="22"/>
        </w:rPr>
      </w:pPr>
      <w:hyperlink w:anchor="_Toc6472824" w:history="1">
        <w:r w:rsidR="007F2617" w:rsidRPr="003F35AD">
          <w:rPr>
            <w:rStyle w:val="Hyperlink"/>
            <w:noProof/>
          </w:rPr>
          <w:t>12.3.2.</w:t>
        </w:r>
        <w:r w:rsidR="007F2617">
          <w:rPr>
            <w:rFonts w:asciiTheme="minorHAnsi" w:eastAsiaTheme="minorEastAsia" w:hAnsiTheme="minorHAnsi" w:cstheme="minorBidi"/>
            <w:bCs w:val="0"/>
            <w:noProof/>
            <w:sz w:val="22"/>
          </w:rPr>
          <w:tab/>
        </w:r>
        <w:r w:rsidR="007F2617" w:rsidRPr="003F35AD">
          <w:rPr>
            <w:rStyle w:val="Hyperlink"/>
            <w:noProof/>
          </w:rPr>
          <w:t xml:space="preserve">Effects of demographic variables on the perceptual task </w:t>
        </w:r>
        <w:r w:rsidR="007F2617">
          <w:rPr>
            <w:rStyle w:val="Hyperlink"/>
            <w:noProof/>
          </w:rPr>
          <w:br/>
        </w:r>
        <w:r w:rsidR="007F2617" w:rsidRPr="003F35AD">
          <w:rPr>
            <w:rStyle w:val="Hyperlink"/>
            <w:noProof/>
          </w:rPr>
          <w:t>results</w:t>
        </w:r>
        <w:r w:rsidR="007F2617">
          <w:rPr>
            <w:noProof/>
            <w:webHidden/>
          </w:rPr>
          <w:tab/>
        </w:r>
        <w:r w:rsidR="007F2617">
          <w:rPr>
            <w:noProof/>
            <w:webHidden/>
          </w:rPr>
          <w:fldChar w:fldCharType="begin"/>
        </w:r>
        <w:r w:rsidR="007F2617">
          <w:rPr>
            <w:noProof/>
            <w:webHidden/>
          </w:rPr>
          <w:instrText xml:space="preserve"> PAGEREF _Toc6472824 \h </w:instrText>
        </w:r>
        <w:r w:rsidR="007F2617">
          <w:rPr>
            <w:noProof/>
            <w:webHidden/>
          </w:rPr>
        </w:r>
        <w:r w:rsidR="007F2617">
          <w:rPr>
            <w:noProof/>
            <w:webHidden/>
          </w:rPr>
          <w:fldChar w:fldCharType="separate"/>
        </w:r>
        <w:r w:rsidR="00301AD4">
          <w:rPr>
            <w:noProof/>
            <w:webHidden/>
          </w:rPr>
          <w:t>279</w:t>
        </w:r>
        <w:r w:rsidR="007F2617">
          <w:rPr>
            <w:noProof/>
            <w:webHidden/>
          </w:rPr>
          <w:fldChar w:fldCharType="end"/>
        </w:r>
      </w:hyperlink>
    </w:p>
    <w:p w14:paraId="334DB97C" w14:textId="77777777" w:rsidR="007F2617" w:rsidRDefault="000E3509" w:rsidP="007F2617">
      <w:pPr>
        <w:pStyle w:val="TOC1"/>
        <w:rPr>
          <w:rFonts w:asciiTheme="minorHAnsi" w:eastAsiaTheme="minorEastAsia" w:hAnsiTheme="minorHAnsi" w:cstheme="minorBidi"/>
          <w:sz w:val="22"/>
          <w:szCs w:val="22"/>
        </w:rPr>
      </w:pPr>
      <w:hyperlink w:anchor="_Toc6472825" w:history="1">
        <w:r w:rsidR="007F2617" w:rsidRPr="003F35AD">
          <w:rPr>
            <w:rStyle w:val="Hyperlink"/>
            <w:rFonts w:eastAsia="Times New Roman"/>
          </w:rPr>
          <w:t>12.4.</w:t>
        </w:r>
        <w:r w:rsidR="007F2617">
          <w:rPr>
            <w:rFonts w:asciiTheme="minorHAnsi" w:eastAsiaTheme="minorEastAsia" w:hAnsiTheme="minorHAnsi" w:cstheme="minorBidi"/>
            <w:sz w:val="22"/>
            <w:szCs w:val="22"/>
          </w:rPr>
          <w:tab/>
        </w:r>
        <w:r w:rsidR="007F2617" w:rsidRPr="003F35AD">
          <w:rPr>
            <w:rStyle w:val="Hyperlink"/>
            <w:rFonts w:eastAsia="Times New Roman"/>
          </w:rPr>
          <w:t>The rating task</w:t>
        </w:r>
        <w:r w:rsidR="007F2617">
          <w:rPr>
            <w:webHidden/>
          </w:rPr>
          <w:tab/>
        </w:r>
        <w:r w:rsidR="007F2617">
          <w:rPr>
            <w:webHidden/>
          </w:rPr>
          <w:fldChar w:fldCharType="begin"/>
        </w:r>
        <w:r w:rsidR="007F2617">
          <w:rPr>
            <w:webHidden/>
          </w:rPr>
          <w:instrText xml:space="preserve"> PAGEREF _Toc6472825 \h </w:instrText>
        </w:r>
        <w:r w:rsidR="007F2617">
          <w:rPr>
            <w:webHidden/>
          </w:rPr>
        </w:r>
        <w:r w:rsidR="007F2617">
          <w:rPr>
            <w:webHidden/>
          </w:rPr>
          <w:fldChar w:fldCharType="separate"/>
        </w:r>
        <w:r w:rsidR="00301AD4">
          <w:rPr>
            <w:webHidden/>
          </w:rPr>
          <w:t>281</w:t>
        </w:r>
        <w:r w:rsidR="007F2617">
          <w:rPr>
            <w:webHidden/>
          </w:rPr>
          <w:fldChar w:fldCharType="end"/>
        </w:r>
      </w:hyperlink>
    </w:p>
    <w:p w14:paraId="47D1A888" w14:textId="77777777" w:rsidR="007F2617" w:rsidRDefault="000E3509">
      <w:pPr>
        <w:pStyle w:val="TOC2"/>
        <w:rPr>
          <w:rFonts w:asciiTheme="minorHAnsi" w:eastAsiaTheme="minorEastAsia" w:hAnsiTheme="minorHAnsi" w:cstheme="minorBidi"/>
          <w:bCs w:val="0"/>
          <w:noProof/>
          <w:sz w:val="22"/>
        </w:rPr>
      </w:pPr>
      <w:hyperlink w:anchor="_Toc6472826" w:history="1">
        <w:r w:rsidR="007F2617" w:rsidRPr="003F35AD">
          <w:rPr>
            <w:rStyle w:val="Hyperlink"/>
            <w:noProof/>
          </w:rPr>
          <w:t>12.4.1.</w:t>
        </w:r>
        <w:r w:rsidR="007F2617">
          <w:rPr>
            <w:rFonts w:asciiTheme="minorHAnsi" w:eastAsiaTheme="minorEastAsia" w:hAnsiTheme="minorHAnsi" w:cstheme="minorBidi"/>
            <w:bCs w:val="0"/>
            <w:noProof/>
            <w:sz w:val="22"/>
          </w:rPr>
          <w:tab/>
        </w:r>
        <w:r w:rsidR="007F2617" w:rsidRPr="003F35AD">
          <w:rPr>
            <w:rStyle w:val="Hyperlink"/>
            <w:noProof/>
          </w:rPr>
          <w:t>Dichotomous dialect situation</w:t>
        </w:r>
        <w:r w:rsidR="007F2617">
          <w:rPr>
            <w:noProof/>
            <w:webHidden/>
          </w:rPr>
          <w:tab/>
        </w:r>
        <w:r w:rsidR="007F2617">
          <w:rPr>
            <w:noProof/>
            <w:webHidden/>
          </w:rPr>
          <w:fldChar w:fldCharType="begin"/>
        </w:r>
        <w:r w:rsidR="007F2617">
          <w:rPr>
            <w:noProof/>
            <w:webHidden/>
          </w:rPr>
          <w:instrText xml:space="preserve"> PAGEREF _Toc6472826 \h </w:instrText>
        </w:r>
        <w:r w:rsidR="007F2617">
          <w:rPr>
            <w:noProof/>
            <w:webHidden/>
          </w:rPr>
        </w:r>
        <w:r w:rsidR="007F2617">
          <w:rPr>
            <w:noProof/>
            <w:webHidden/>
          </w:rPr>
          <w:fldChar w:fldCharType="separate"/>
        </w:r>
        <w:r w:rsidR="00301AD4">
          <w:rPr>
            <w:noProof/>
            <w:webHidden/>
          </w:rPr>
          <w:t>281</w:t>
        </w:r>
        <w:r w:rsidR="007F2617">
          <w:rPr>
            <w:noProof/>
            <w:webHidden/>
          </w:rPr>
          <w:fldChar w:fldCharType="end"/>
        </w:r>
      </w:hyperlink>
    </w:p>
    <w:p w14:paraId="513B451E" w14:textId="77777777" w:rsidR="007F2617" w:rsidRDefault="000E3509">
      <w:pPr>
        <w:pStyle w:val="TOC2"/>
        <w:rPr>
          <w:rFonts w:asciiTheme="minorHAnsi" w:eastAsiaTheme="minorEastAsia" w:hAnsiTheme="minorHAnsi" w:cstheme="minorBidi"/>
          <w:bCs w:val="0"/>
          <w:noProof/>
          <w:sz w:val="22"/>
        </w:rPr>
      </w:pPr>
      <w:hyperlink w:anchor="_Toc6472827" w:history="1">
        <w:r w:rsidR="007F2617" w:rsidRPr="003F35AD">
          <w:rPr>
            <w:rStyle w:val="Hyperlink"/>
            <w:noProof/>
          </w:rPr>
          <w:t>12.4.2.</w:t>
        </w:r>
        <w:r w:rsidR="007F2617">
          <w:rPr>
            <w:rFonts w:asciiTheme="minorHAnsi" w:eastAsiaTheme="minorEastAsia" w:hAnsiTheme="minorHAnsi" w:cstheme="minorBidi"/>
            <w:bCs w:val="0"/>
            <w:noProof/>
            <w:sz w:val="22"/>
          </w:rPr>
          <w:tab/>
        </w:r>
        <w:r w:rsidR="007F2617" w:rsidRPr="003F35AD">
          <w:rPr>
            <w:rStyle w:val="Hyperlink"/>
            <w:noProof/>
          </w:rPr>
          <w:t>Effects of demographic variables on the rating scale</w:t>
        </w:r>
        <w:r w:rsidR="007F2617">
          <w:rPr>
            <w:noProof/>
            <w:webHidden/>
          </w:rPr>
          <w:tab/>
        </w:r>
        <w:r w:rsidR="007F2617">
          <w:rPr>
            <w:noProof/>
            <w:webHidden/>
          </w:rPr>
          <w:fldChar w:fldCharType="begin"/>
        </w:r>
        <w:r w:rsidR="007F2617">
          <w:rPr>
            <w:noProof/>
            <w:webHidden/>
          </w:rPr>
          <w:instrText xml:space="preserve"> PAGEREF _Toc6472827 \h </w:instrText>
        </w:r>
        <w:r w:rsidR="007F2617">
          <w:rPr>
            <w:noProof/>
            <w:webHidden/>
          </w:rPr>
        </w:r>
        <w:r w:rsidR="007F2617">
          <w:rPr>
            <w:noProof/>
            <w:webHidden/>
          </w:rPr>
          <w:fldChar w:fldCharType="separate"/>
        </w:r>
        <w:r w:rsidR="00301AD4">
          <w:rPr>
            <w:noProof/>
            <w:webHidden/>
          </w:rPr>
          <w:t>283</w:t>
        </w:r>
        <w:r w:rsidR="007F2617">
          <w:rPr>
            <w:noProof/>
            <w:webHidden/>
          </w:rPr>
          <w:fldChar w:fldCharType="end"/>
        </w:r>
      </w:hyperlink>
    </w:p>
    <w:p w14:paraId="69D77653" w14:textId="77777777" w:rsidR="007F2617" w:rsidRDefault="000E3509">
      <w:pPr>
        <w:pStyle w:val="TOC3"/>
        <w:rPr>
          <w:rFonts w:asciiTheme="minorHAnsi" w:eastAsiaTheme="minorEastAsia" w:hAnsiTheme="minorHAnsi" w:cstheme="minorBidi"/>
          <w:noProof/>
          <w:sz w:val="22"/>
        </w:rPr>
      </w:pPr>
      <w:hyperlink w:anchor="_Toc6472828" w:history="1">
        <w:r w:rsidR="007F2617" w:rsidRPr="003F35AD">
          <w:rPr>
            <w:rStyle w:val="Hyperlink"/>
            <w:noProof/>
          </w:rPr>
          <w:t>12.4.2.1.</w:t>
        </w:r>
        <w:r w:rsidR="007F2617">
          <w:rPr>
            <w:rFonts w:asciiTheme="minorHAnsi" w:eastAsiaTheme="minorEastAsia" w:hAnsiTheme="minorHAnsi" w:cstheme="minorBidi"/>
            <w:noProof/>
            <w:sz w:val="22"/>
          </w:rPr>
          <w:tab/>
        </w:r>
        <w:r w:rsidR="007F2617" w:rsidRPr="003F35AD">
          <w:rPr>
            <w:rStyle w:val="Hyperlink"/>
            <w:noProof/>
          </w:rPr>
          <w:t>In-group loyalty</w:t>
        </w:r>
        <w:r w:rsidR="007F2617">
          <w:rPr>
            <w:noProof/>
            <w:webHidden/>
          </w:rPr>
          <w:tab/>
        </w:r>
        <w:r w:rsidR="007F2617">
          <w:rPr>
            <w:noProof/>
            <w:webHidden/>
          </w:rPr>
          <w:fldChar w:fldCharType="begin"/>
        </w:r>
        <w:r w:rsidR="007F2617">
          <w:rPr>
            <w:noProof/>
            <w:webHidden/>
          </w:rPr>
          <w:instrText xml:space="preserve"> PAGEREF _Toc6472828 \h </w:instrText>
        </w:r>
        <w:r w:rsidR="007F2617">
          <w:rPr>
            <w:noProof/>
            <w:webHidden/>
          </w:rPr>
        </w:r>
        <w:r w:rsidR="007F2617">
          <w:rPr>
            <w:noProof/>
            <w:webHidden/>
          </w:rPr>
          <w:fldChar w:fldCharType="separate"/>
        </w:r>
        <w:r w:rsidR="00301AD4">
          <w:rPr>
            <w:noProof/>
            <w:webHidden/>
          </w:rPr>
          <w:t>283</w:t>
        </w:r>
        <w:r w:rsidR="007F2617">
          <w:rPr>
            <w:noProof/>
            <w:webHidden/>
          </w:rPr>
          <w:fldChar w:fldCharType="end"/>
        </w:r>
      </w:hyperlink>
    </w:p>
    <w:p w14:paraId="09E3339C" w14:textId="77777777" w:rsidR="007F2617" w:rsidRDefault="000E3509">
      <w:pPr>
        <w:pStyle w:val="TOC3"/>
        <w:rPr>
          <w:rFonts w:asciiTheme="minorHAnsi" w:eastAsiaTheme="minorEastAsia" w:hAnsiTheme="minorHAnsi" w:cstheme="minorBidi"/>
          <w:noProof/>
          <w:sz w:val="22"/>
        </w:rPr>
      </w:pPr>
      <w:hyperlink w:anchor="_Toc6472829" w:history="1">
        <w:r w:rsidR="007F2617" w:rsidRPr="003F35AD">
          <w:rPr>
            <w:rStyle w:val="Hyperlink"/>
            <w:noProof/>
          </w:rPr>
          <w:t>12.4.2.2.</w:t>
        </w:r>
        <w:r w:rsidR="007F2617">
          <w:rPr>
            <w:rFonts w:asciiTheme="minorHAnsi" w:eastAsiaTheme="minorEastAsia" w:hAnsiTheme="minorHAnsi" w:cstheme="minorBidi"/>
            <w:noProof/>
            <w:sz w:val="22"/>
          </w:rPr>
          <w:tab/>
        </w:r>
        <w:r w:rsidR="007F2617" w:rsidRPr="003F35AD">
          <w:rPr>
            <w:rStyle w:val="Hyperlink"/>
            <w:noProof/>
          </w:rPr>
          <w:t>Place of birth</w:t>
        </w:r>
        <w:r w:rsidR="007F2617">
          <w:rPr>
            <w:noProof/>
            <w:webHidden/>
          </w:rPr>
          <w:tab/>
        </w:r>
        <w:r w:rsidR="007F2617">
          <w:rPr>
            <w:noProof/>
            <w:webHidden/>
          </w:rPr>
          <w:fldChar w:fldCharType="begin"/>
        </w:r>
        <w:r w:rsidR="007F2617">
          <w:rPr>
            <w:noProof/>
            <w:webHidden/>
          </w:rPr>
          <w:instrText xml:space="preserve"> PAGEREF _Toc6472829 \h </w:instrText>
        </w:r>
        <w:r w:rsidR="007F2617">
          <w:rPr>
            <w:noProof/>
            <w:webHidden/>
          </w:rPr>
        </w:r>
        <w:r w:rsidR="007F2617">
          <w:rPr>
            <w:noProof/>
            <w:webHidden/>
          </w:rPr>
          <w:fldChar w:fldCharType="separate"/>
        </w:r>
        <w:r w:rsidR="00301AD4">
          <w:rPr>
            <w:noProof/>
            <w:webHidden/>
          </w:rPr>
          <w:t>284</w:t>
        </w:r>
        <w:r w:rsidR="007F2617">
          <w:rPr>
            <w:noProof/>
            <w:webHidden/>
          </w:rPr>
          <w:fldChar w:fldCharType="end"/>
        </w:r>
      </w:hyperlink>
    </w:p>
    <w:p w14:paraId="6C3F98E6" w14:textId="77777777" w:rsidR="007F2617" w:rsidRDefault="000E3509">
      <w:pPr>
        <w:pStyle w:val="TOC3"/>
        <w:rPr>
          <w:rFonts w:asciiTheme="minorHAnsi" w:eastAsiaTheme="minorEastAsia" w:hAnsiTheme="minorHAnsi" w:cstheme="minorBidi"/>
          <w:noProof/>
          <w:sz w:val="22"/>
        </w:rPr>
      </w:pPr>
      <w:hyperlink w:anchor="_Toc6472830" w:history="1">
        <w:r w:rsidR="007F2617" w:rsidRPr="003F35AD">
          <w:rPr>
            <w:rStyle w:val="Hyperlink"/>
            <w:noProof/>
          </w:rPr>
          <w:t>12.4.2.3.</w:t>
        </w:r>
        <w:r w:rsidR="007F2617">
          <w:rPr>
            <w:rFonts w:asciiTheme="minorHAnsi" w:eastAsiaTheme="minorEastAsia" w:hAnsiTheme="minorHAnsi" w:cstheme="minorBidi"/>
            <w:noProof/>
            <w:sz w:val="22"/>
          </w:rPr>
          <w:tab/>
        </w:r>
        <w:r w:rsidR="007F2617" w:rsidRPr="003F35AD">
          <w:rPr>
            <w:rStyle w:val="Hyperlink"/>
            <w:noProof/>
          </w:rPr>
          <w:t>Younger vs older age group</w:t>
        </w:r>
        <w:r w:rsidR="007F2617">
          <w:rPr>
            <w:noProof/>
            <w:webHidden/>
          </w:rPr>
          <w:tab/>
        </w:r>
        <w:r w:rsidR="007F2617">
          <w:rPr>
            <w:noProof/>
            <w:webHidden/>
          </w:rPr>
          <w:fldChar w:fldCharType="begin"/>
        </w:r>
        <w:r w:rsidR="007F2617">
          <w:rPr>
            <w:noProof/>
            <w:webHidden/>
          </w:rPr>
          <w:instrText xml:space="preserve"> PAGEREF _Toc6472830 \h </w:instrText>
        </w:r>
        <w:r w:rsidR="007F2617">
          <w:rPr>
            <w:noProof/>
            <w:webHidden/>
          </w:rPr>
        </w:r>
        <w:r w:rsidR="007F2617">
          <w:rPr>
            <w:noProof/>
            <w:webHidden/>
          </w:rPr>
          <w:fldChar w:fldCharType="separate"/>
        </w:r>
        <w:r w:rsidR="00301AD4">
          <w:rPr>
            <w:noProof/>
            <w:webHidden/>
          </w:rPr>
          <w:t>284</w:t>
        </w:r>
        <w:r w:rsidR="007F2617">
          <w:rPr>
            <w:noProof/>
            <w:webHidden/>
          </w:rPr>
          <w:fldChar w:fldCharType="end"/>
        </w:r>
      </w:hyperlink>
    </w:p>
    <w:p w14:paraId="5ED9965B" w14:textId="77777777" w:rsidR="007F2617" w:rsidRDefault="000E3509">
      <w:pPr>
        <w:pStyle w:val="TOC3"/>
        <w:rPr>
          <w:rFonts w:asciiTheme="minorHAnsi" w:eastAsiaTheme="minorEastAsia" w:hAnsiTheme="minorHAnsi" w:cstheme="minorBidi"/>
          <w:noProof/>
          <w:sz w:val="22"/>
        </w:rPr>
      </w:pPr>
      <w:hyperlink w:anchor="_Toc6472831" w:history="1">
        <w:r w:rsidR="007F2617" w:rsidRPr="003F35AD">
          <w:rPr>
            <w:rStyle w:val="Hyperlink"/>
            <w:noProof/>
          </w:rPr>
          <w:t>12.4.2.4.</w:t>
        </w:r>
        <w:r w:rsidR="007F2617">
          <w:rPr>
            <w:rFonts w:asciiTheme="minorHAnsi" w:eastAsiaTheme="minorEastAsia" w:hAnsiTheme="minorHAnsi" w:cstheme="minorBidi"/>
            <w:noProof/>
            <w:sz w:val="22"/>
          </w:rPr>
          <w:tab/>
        </w:r>
        <w:r w:rsidR="007F2617" w:rsidRPr="003F35AD">
          <w:rPr>
            <w:rStyle w:val="Hyperlink"/>
            <w:noProof/>
          </w:rPr>
          <w:t>Female vs male participants</w:t>
        </w:r>
        <w:r w:rsidR="007F2617">
          <w:rPr>
            <w:noProof/>
            <w:webHidden/>
          </w:rPr>
          <w:tab/>
        </w:r>
        <w:r w:rsidR="007F2617">
          <w:rPr>
            <w:noProof/>
            <w:webHidden/>
          </w:rPr>
          <w:fldChar w:fldCharType="begin"/>
        </w:r>
        <w:r w:rsidR="007F2617">
          <w:rPr>
            <w:noProof/>
            <w:webHidden/>
          </w:rPr>
          <w:instrText xml:space="preserve"> PAGEREF _Toc6472831 \h </w:instrText>
        </w:r>
        <w:r w:rsidR="007F2617">
          <w:rPr>
            <w:noProof/>
            <w:webHidden/>
          </w:rPr>
        </w:r>
        <w:r w:rsidR="007F2617">
          <w:rPr>
            <w:noProof/>
            <w:webHidden/>
          </w:rPr>
          <w:fldChar w:fldCharType="separate"/>
        </w:r>
        <w:r w:rsidR="00301AD4">
          <w:rPr>
            <w:noProof/>
            <w:webHidden/>
          </w:rPr>
          <w:t>286</w:t>
        </w:r>
        <w:r w:rsidR="007F2617">
          <w:rPr>
            <w:noProof/>
            <w:webHidden/>
          </w:rPr>
          <w:fldChar w:fldCharType="end"/>
        </w:r>
      </w:hyperlink>
    </w:p>
    <w:p w14:paraId="5C6A02FD" w14:textId="77777777" w:rsidR="007F2617" w:rsidRDefault="000E3509" w:rsidP="007F2617">
      <w:pPr>
        <w:pStyle w:val="TOC1"/>
        <w:rPr>
          <w:rFonts w:asciiTheme="minorHAnsi" w:eastAsiaTheme="minorEastAsia" w:hAnsiTheme="minorHAnsi" w:cstheme="minorBidi"/>
          <w:sz w:val="22"/>
          <w:szCs w:val="22"/>
        </w:rPr>
      </w:pPr>
      <w:hyperlink w:anchor="_Toc6472832" w:history="1">
        <w:r w:rsidR="007F2617" w:rsidRPr="003F35AD">
          <w:rPr>
            <w:rStyle w:val="Hyperlink"/>
            <w:rFonts w:eastAsia="Times New Roman"/>
          </w:rPr>
          <w:t>12.5.</w:t>
        </w:r>
        <w:r w:rsidR="007F2617">
          <w:rPr>
            <w:rFonts w:asciiTheme="minorHAnsi" w:eastAsiaTheme="minorEastAsia" w:hAnsiTheme="minorHAnsi" w:cstheme="minorBidi"/>
            <w:sz w:val="22"/>
            <w:szCs w:val="22"/>
          </w:rPr>
          <w:tab/>
        </w:r>
        <w:r w:rsidR="007F2617" w:rsidRPr="003F35AD">
          <w:rPr>
            <w:rStyle w:val="Hyperlink"/>
            <w:rFonts w:eastAsia="Times New Roman"/>
          </w:rPr>
          <w:t>Methodological remarks</w:t>
        </w:r>
        <w:r w:rsidR="007F2617">
          <w:rPr>
            <w:webHidden/>
          </w:rPr>
          <w:tab/>
        </w:r>
        <w:r w:rsidR="007F2617">
          <w:rPr>
            <w:webHidden/>
          </w:rPr>
          <w:fldChar w:fldCharType="begin"/>
        </w:r>
        <w:r w:rsidR="007F2617">
          <w:rPr>
            <w:webHidden/>
          </w:rPr>
          <w:instrText xml:space="preserve"> PAGEREF _Toc6472832 \h </w:instrText>
        </w:r>
        <w:r w:rsidR="007F2617">
          <w:rPr>
            <w:webHidden/>
          </w:rPr>
        </w:r>
        <w:r w:rsidR="007F2617">
          <w:rPr>
            <w:webHidden/>
          </w:rPr>
          <w:fldChar w:fldCharType="separate"/>
        </w:r>
        <w:r w:rsidR="00301AD4">
          <w:rPr>
            <w:webHidden/>
          </w:rPr>
          <w:t>288</w:t>
        </w:r>
        <w:r w:rsidR="007F2617">
          <w:rPr>
            <w:webHidden/>
          </w:rPr>
          <w:fldChar w:fldCharType="end"/>
        </w:r>
      </w:hyperlink>
    </w:p>
    <w:p w14:paraId="6A018D42" w14:textId="77777777" w:rsidR="007F2617" w:rsidRDefault="000E3509" w:rsidP="00017D27">
      <w:pPr>
        <w:pStyle w:val="TOC1"/>
        <w:spacing w:after="240"/>
        <w:rPr>
          <w:rFonts w:asciiTheme="minorHAnsi" w:eastAsiaTheme="minorEastAsia" w:hAnsiTheme="minorHAnsi" w:cstheme="minorBidi"/>
          <w:sz w:val="22"/>
          <w:szCs w:val="22"/>
        </w:rPr>
      </w:pPr>
      <w:hyperlink w:anchor="_Toc6472833" w:history="1">
        <w:r w:rsidR="007F2617" w:rsidRPr="003F35AD">
          <w:rPr>
            <w:rStyle w:val="Hyperlink"/>
            <w:rFonts w:eastAsia="Times New Roman"/>
          </w:rPr>
          <w:t>12.6.</w:t>
        </w:r>
        <w:r w:rsidR="007F2617">
          <w:rPr>
            <w:rFonts w:asciiTheme="minorHAnsi" w:eastAsiaTheme="minorEastAsia" w:hAnsiTheme="minorHAnsi" w:cstheme="minorBidi"/>
            <w:sz w:val="22"/>
            <w:szCs w:val="22"/>
          </w:rPr>
          <w:tab/>
        </w:r>
        <w:r w:rsidR="007F2617" w:rsidRPr="003F35AD">
          <w:rPr>
            <w:rStyle w:val="Hyperlink"/>
            <w:rFonts w:eastAsia="Times New Roman"/>
          </w:rPr>
          <w:t>Conclusion</w:t>
        </w:r>
        <w:r w:rsidR="007F2617">
          <w:rPr>
            <w:webHidden/>
          </w:rPr>
          <w:tab/>
        </w:r>
        <w:r w:rsidR="007F2617">
          <w:rPr>
            <w:webHidden/>
          </w:rPr>
          <w:fldChar w:fldCharType="begin"/>
        </w:r>
        <w:r w:rsidR="007F2617">
          <w:rPr>
            <w:webHidden/>
          </w:rPr>
          <w:instrText xml:space="preserve"> PAGEREF _Toc6472833 \h </w:instrText>
        </w:r>
        <w:r w:rsidR="007F2617">
          <w:rPr>
            <w:webHidden/>
          </w:rPr>
        </w:r>
        <w:r w:rsidR="007F2617">
          <w:rPr>
            <w:webHidden/>
          </w:rPr>
          <w:fldChar w:fldCharType="separate"/>
        </w:r>
        <w:r w:rsidR="00301AD4">
          <w:rPr>
            <w:webHidden/>
          </w:rPr>
          <w:t>289</w:t>
        </w:r>
        <w:r w:rsidR="007F2617">
          <w:rPr>
            <w:webHidden/>
          </w:rPr>
          <w:fldChar w:fldCharType="end"/>
        </w:r>
      </w:hyperlink>
    </w:p>
    <w:p w14:paraId="589505A6" w14:textId="77777777" w:rsidR="007F2617" w:rsidRDefault="000E3509" w:rsidP="007F2617">
      <w:pPr>
        <w:pStyle w:val="TOC1"/>
        <w:rPr>
          <w:rFonts w:asciiTheme="minorHAnsi" w:eastAsiaTheme="minorEastAsia" w:hAnsiTheme="minorHAnsi" w:cstheme="minorBidi"/>
          <w:sz w:val="22"/>
          <w:szCs w:val="22"/>
        </w:rPr>
      </w:pPr>
      <w:hyperlink w:anchor="_Toc6472834" w:history="1">
        <w:r w:rsidR="007F2617" w:rsidRPr="001F59C0">
          <w:rPr>
            <w:rStyle w:val="Hyperlink"/>
            <w:rFonts w:eastAsia="Calibri"/>
            <w:b/>
            <w:bCs w:val="0"/>
            <w:lang w:eastAsia="en-US"/>
          </w:rPr>
          <w:t>Chapter 13: Conclusion</w:t>
        </w:r>
        <w:r w:rsidR="007F2617">
          <w:rPr>
            <w:webHidden/>
          </w:rPr>
          <w:tab/>
        </w:r>
        <w:r w:rsidR="007F2617">
          <w:rPr>
            <w:webHidden/>
          </w:rPr>
          <w:fldChar w:fldCharType="begin"/>
        </w:r>
        <w:r w:rsidR="007F2617">
          <w:rPr>
            <w:webHidden/>
          </w:rPr>
          <w:instrText xml:space="preserve"> PAGEREF _Toc6472834 \h </w:instrText>
        </w:r>
        <w:r w:rsidR="007F2617">
          <w:rPr>
            <w:webHidden/>
          </w:rPr>
        </w:r>
        <w:r w:rsidR="007F2617">
          <w:rPr>
            <w:webHidden/>
          </w:rPr>
          <w:fldChar w:fldCharType="separate"/>
        </w:r>
        <w:r w:rsidR="00301AD4">
          <w:rPr>
            <w:webHidden/>
          </w:rPr>
          <w:t>290</w:t>
        </w:r>
        <w:r w:rsidR="007F2617">
          <w:rPr>
            <w:webHidden/>
          </w:rPr>
          <w:fldChar w:fldCharType="end"/>
        </w:r>
      </w:hyperlink>
    </w:p>
    <w:p w14:paraId="6806A7FD" w14:textId="77777777" w:rsidR="007F2617" w:rsidRDefault="000E3509" w:rsidP="007F2617">
      <w:pPr>
        <w:pStyle w:val="TOC1"/>
        <w:rPr>
          <w:rFonts w:asciiTheme="minorHAnsi" w:eastAsiaTheme="minorEastAsia" w:hAnsiTheme="minorHAnsi" w:cstheme="minorBidi"/>
          <w:sz w:val="22"/>
          <w:szCs w:val="22"/>
        </w:rPr>
      </w:pPr>
      <w:hyperlink w:anchor="_Toc6472835" w:history="1">
        <w:r w:rsidR="007F2617" w:rsidRPr="003F35AD">
          <w:rPr>
            <w:rStyle w:val="Hyperlink"/>
          </w:rPr>
          <w:t>13.1.</w:t>
        </w:r>
        <w:r w:rsidR="007F2617">
          <w:rPr>
            <w:rFonts w:asciiTheme="minorHAnsi" w:eastAsiaTheme="minorEastAsia" w:hAnsiTheme="minorHAnsi" w:cstheme="minorBidi"/>
            <w:sz w:val="22"/>
            <w:szCs w:val="22"/>
          </w:rPr>
          <w:tab/>
        </w:r>
        <w:r w:rsidR="007F2617" w:rsidRPr="003F35AD">
          <w:rPr>
            <w:rStyle w:val="Hyperlink"/>
          </w:rPr>
          <w:t>Introduction</w:t>
        </w:r>
        <w:r w:rsidR="007F2617">
          <w:rPr>
            <w:webHidden/>
          </w:rPr>
          <w:tab/>
        </w:r>
        <w:r w:rsidR="007F2617">
          <w:rPr>
            <w:webHidden/>
          </w:rPr>
          <w:fldChar w:fldCharType="begin"/>
        </w:r>
        <w:r w:rsidR="007F2617">
          <w:rPr>
            <w:webHidden/>
          </w:rPr>
          <w:instrText xml:space="preserve"> PAGEREF _Toc6472835 \h </w:instrText>
        </w:r>
        <w:r w:rsidR="007F2617">
          <w:rPr>
            <w:webHidden/>
          </w:rPr>
        </w:r>
        <w:r w:rsidR="007F2617">
          <w:rPr>
            <w:webHidden/>
          </w:rPr>
          <w:fldChar w:fldCharType="separate"/>
        </w:r>
        <w:r w:rsidR="00301AD4">
          <w:rPr>
            <w:webHidden/>
          </w:rPr>
          <w:t>290</w:t>
        </w:r>
        <w:r w:rsidR="007F2617">
          <w:rPr>
            <w:webHidden/>
          </w:rPr>
          <w:fldChar w:fldCharType="end"/>
        </w:r>
      </w:hyperlink>
    </w:p>
    <w:p w14:paraId="62678A52" w14:textId="77777777" w:rsidR="007F2617" w:rsidRDefault="000E3509" w:rsidP="007F2617">
      <w:pPr>
        <w:pStyle w:val="TOC1"/>
        <w:rPr>
          <w:rFonts w:asciiTheme="minorHAnsi" w:eastAsiaTheme="minorEastAsia" w:hAnsiTheme="minorHAnsi" w:cstheme="minorBidi"/>
          <w:sz w:val="22"/>
          <w:szCs w:val="22"/>
        </w:rPr>
      </w:pPr>
      <w:hyperlink w:anchor="_Toc6472836" w:history="1">
        <w:r w:rsidR="007F2617" w:rsidRPr="003F35AD">
          <w:rPr>
            <w:rStyle w:val="Hyperlink"/>
          </w:rPr>
          <w:t>13.2.</w:t>
        </w:r>
        <w:r w:rsidR="007F2617">
          <w:rPr>
            <w:rFonts w:asciiTheme="minorHAnsi" w:eastAsiaTheme="minorEastAsia" w:hAnsiTheme="minorHAnsi" w:cstheme="minorBidi"/>
            <w:sz w:val="22"/>
            <w:szCs w:val="22"/>
          </w:rPr>
          <w:tab/>
        </w:r>
        <w:r w:rsidR="007F2617" w:rsidRPr="003F35AD">
          <w:rPr>
            <w:rStyle w:val="Hyperlink"/>
          </w:rPr>
          <w:t>Key findings</w:t>
        </w:r>
        <w:r w:rsidR="007F2617">
          <w:rPr>
            <w:webHidden/>
          </w:rPr>
          <w:tab/>
        </w:r>
        <w:r w:rsidR="007F2617">
          <w:rPr>
            <w:webHidden/>
          </w:rPr>
          <w:fldChar w:fldCharType="begin"/>
        </w:r>
        <w:r w:rsidR="007F2617">
          <w:rPr>
            <w:webHidden/>
          </w:rPr>
          <w:instrText xml:space="preserve"> PAGEREF _Toc6472836 \h </w:instrText>
        </w:r>
        <w:r w:rsidR="007F2617">
          <w:rPr>
            <w:webHidden/>
          </w:rPr>
        </w:r>
        <w:r w:rsidR="007F2617">
          <w:rPr>
            <w:webHidden/>
          </w:rPr>
          <w:fldChar w:fldCharType="separate"/>
        </w:r>
        <w:r w:rsidR="00301AD4">
          <w:rPr>
            <w:webHidden/>
          </w:rPr>
          <w:t>290</w:t>
        </w:r>
        <w:r w:rsidR="007F2617">
          <w:rPr>
            <w:webHidden/>
          </w:rPr>
          <w:fldChar w:fldCharType="end"/>
        </w:r>
      </w:hyperlink>
    </w:p>
    <w:p w14:paraId="39325DD5" w14:textId="77777777" w:rsidR="007F2617" w:rsidRDefault="000E3509" w:rsidP="007F2617">
      <w:pPr>
        <w:pStyle w:val="TOC1"/>
        <w:rPr>
          <w:rFonts w:asciiTheme="minorHAnsi" w:eastAsiaTheme="minorEastAsia" w:hAnsiTheme="minorHAnsi" w:cstheme="minorBidi"/>
          <w:sz w:val="22"/>
          <w:szCs w:val="22"/>
        </w:rPr>
      </w:pPr>
      <w:hyperlink w:anchor="_Toc6472837" w:history="1">
        <w:r w:rsidR="007F2617" w:rsidRPr="003F35AD">
          <w:rPr>
            <w:rStyle w:val="Hyperlink"/>
          </w:rPr>
          <w:t>13.3.</w:t>
        </w:r>
        <w:r w:rsidR="007F2617">
          <w:rPr>
            <w:rFonts w:asciiTheme="minorHAnsi" w:eastAsiaTheme="minorEastAsia" w:hAnsiTheme="minorHAnsi" w:cstheme="minorBidi"/>
            <w:sz w:val="22"/>
            <w:szCs w:val="22"/>
          </w:rPr>
          <w:tab/>
        </w:r>
        <w:r w:rsidR="007F2617" w:rsidRPr="003F35AD">
          <w:rPr>
            <w:rStyle w:val="Hyperlink"/>
          </w:rPr>
          <w:t>Contributions to knowledge and methodology</w:t>
        </w:r>
        <w:r w:rsidR="007F2617">
          <w:rPr>
            <w:webHidden/>
          </w:rPr>
          <w:tab/>
        </w:r>
        <w:r w:rsidR="007F2617">
          <w:rPr>
            <w:webHidden/>
          </w:rPr>
          <w:fldChar w:fldCharType="begin"/>
        </w:r>
        <w:r w:rsidR="007F2617">
          <w:rPr>
            <w:webHidden/>
          </w:rPr>
          <w:instrText xml:space="preserve"> PAGEREF _Toc6472837 \h </w:instrText>
        </w:r>
        <w:r w:rsidR="007F2617">
          <w:rPr>
            <w:webHidden/>
          </w:rPr>
        </w:r>
        <w:r w:rsidR="007F2617">
          <w:rPr>
            <w:webHidden/>
          </w:rPr>
          <w:fldChar w:fldCharType="separate"/>
        </w:r>
        <w:r w:rsidR="00301AD4">
          <w:rPr>
            <w:webHidden/>
          </w:rPr>
          <w:t>294</w:t>
        </w:r>
        <w:r w:rsidR="007F2617">
          <w:rPr>
            <w:webHidden/>
          </w:rPr>
          <w:fldChar w:fldCharType="end"/>
        </w:r>
      </w:hyperlink>
    </w:p>
    <w:p w14:paraId="5C467963" w14:textId="77777777" w:rsidR="007F2617" w:rsidRDefault="000E3509" w:rsidP="007F2617">
      <w:pPr>
        <w:pStyle w:val="TOC1"/>
        <w:rPr>
          <w:rFonts w:asciiTheme="minorHAnsi" w:eastAsiaTheme="minorEastAsia" w:hAnsiTheme="minorHAnsi" w:cstheme="minorBidi"/>
          <w:sz w:val="22"/>
          <w:szCs w:val="22"/>
        </w:rPr>
      </w:pPr>
      <w:hyperlink w:anchor="_Toc6472838" w:history="1">
        <w:r w:rsidR="007F2617" w:rsidRPr="003F35AD">
          <w:rPr>
            <w:rStyle w:val="Hyperlink"/>
          </w:rPr>
          <w:t>13.4.</w:t>
        </w:r>
        <w:r w:rsidR="007F2617">
          <w:rPr>
            <w:rFonts w:asciiTheme="minorHAnsi" w:eastAsiaTheme="minorEastAsia" w:hAnsiTheme="minorHAnsi" w:cstheme="minorBidi"/>
            <w:sz w:val="22"/>
            <w:szCs w:val="22"/>
          </w:rPr>
          <w:tab/>
        </w:r>
        <w:r w:rsidR="007F2617" w:rsidRPr="003F35AD">
          <w:rPr>
            <w:rStyle w:val="Hyperlink"/>
          </w:rPr>
          <w:t>Limitations</w:t>
        </w:r>
        <w:r w:rsidR="007F2617">
          <w:rPr>
            <w:webHidden/>
          </w:rPr>
          <w:tab/>
        </w:r>
        <w:r w:rsidR="007F2617">
          <w:rPr>
            <w:webHidden/>
          </w:rPr>
          <w:fldChar w:fldCharType="begin"/>
        </w:r>
        <w:r w:rsidR="007F2617">
          <w:rPr>
            <w:webHidden/>
          </w:rPr>
          <w:instrText xml:space="preserve"> PAGEREF _Toc6472838 \h </w:instrText>
        </w:r>
        <w:r w:rsidR="007F2617">
          <w:rPr>
            <w:webHidden/>
          </w:rPr>
        </w:r>
        <w:r w:rsidR="007F2617">
          <w:rPr>
            <w:webHidden/>
          </w:rPr>
          <w:fldChar w:fldCharType="separate"/>
        </w:r>
        <w:r w:rsidR="00301AD4">
          <w:rPr>
            <w:webHidden/>
          </w:rPr>
          <w:t>297</w:t>
        </w:r>
        <w:r w:rsidR="007F2617">
          <w:rPr>
            <w:webHidden/>
          </w:rPr>
          <w:fldChar w:fldCharType="end"/>
        </w:r>
      </w:hyperlink>
    </w:p>
    <w:p w14:paraId="16ABAFF9" w14:textId="77777777" w:rsidR="007F2617" w:rsidRDefault="000E3509" w:rsidP="001F59C0">
      <w:pPr>
        <w:pStyle w:val="TOC1"/>
        <w:spacing w:after="240"/>
        <w:rPr>
          <w:rFonts w:asciiTheme="minorHAnsi" w:eastAsiaTheme="minorEastAsia" w:hAnsiTheme="minorHAnsi" w:cstheme="minorBidi"/>
          <w:sz w:val="22"/>
          <w:szCs w:val="22"/>
        </w:rPr>
      </w:pPr>
      <w:hyperlink w:anchor="_Toc6472839" w:history="1">
        <w:r w:rsidR="007F2617" w:rsidRPr="003F35AD">
          <w:rPr>
            <w:rStyle w:val="Hyperlink"/>
          </w:rPr>
          <w:t>13.5.</w:t>
        </w:r>
        <w:r w:rsidR="007F2617">
          <w:rPr>
            <w:rFonts w:asciiTheme="minorHAnsi" w:eastAsiaTheme="minorEastAsia" w:hAnsiTheme="minorHAnsi" w:cstheme="minorBidi"/>
            <w:sz w:val="22"/>
            <w:szCs w:val="22"/>
          </w:rPr>
          <w:tab/>
        </w:r>
        <w:r w:rsidR="007F2617" w:rsidRPr="003F35AD">
          <w:rPr>
            <w:rStyle w:val="Hyperlink"/>
          </w:rPr>
          <w:t>Further research</w:t>
        </w:r>
        <w:r w:rsidR="007F2617">
          <w:rPr>
            <w:webHidden/>
          </w:rPr>
          <w:tab/>
        </w:r>
        <w:r w:rsidR="007F2617">
          <w:rPr>
            <w:webHidden/>
          </w:rPr>
          <w:fldChar w:fldCharType="begin"/>
        </w:r>
        <w:r w:rsidR="007F2617">
          <w:rPr>
            <w:webHidden/>
          </w:rPr>
          <w:instrText xml:space="preserve"> PAGEREF _Toc6472839 \h </w:instrText>
        </w:r>
        <w:r w:rsidR="007F2617">
          <w:rPr>
            <w:webHidden/>
          </w:rPr>
        </w:r>
        <w:r w:rsidR="007F2617">
          <w:rPr>
            <w:webHidden/>
          </w:rPr>
          <w:fldChar w:fldCharType="separate"/>
        </w:r>
        <w:r w:rsidR="00301AD4">
          <w:rPr>
            <w:webHidden/>
          </w:rPr>
          <w:t>299</w:t>
        </w:r>
        <w:r w:rsidR="007F2617">
          <w:rPr>
            <w:webHidden/>
          </w:rPr>
          <w:fldChar w:fldCharType="end"/>
        </w:r>
      </w:hyperlink>
    </w:p>
    <w:p w14:paraId="538A913D" w14:textId="77777777" w:rsidR="007F2617" w:rsidRDefault="000E3509" w:rsidP="007F2617">
      <w:pPr>
        <w:pStyle w:val="TOC1"/>
        <w:rPr>
          <w:rFonts w:asciiTheme="minorHAnsi" w:eastAsiaTheme="minorEastAsia" w:hAnsiTheme="minorHAnsi" w:cstheme="minorBidi"/>
          <w:sz w:val="22"/>
          <w:szCs w:val="22"/>
        </w:rPr>
      </w:pPr>
      <w:hyperlink w:anchor="_Toc6472840" w:history="1">
        <w:r w:rsidR="007F2617" w:rsidRPr="00702402">
          <w:rPr>
            <w:rStyle w:val="Hyperlink"/>
            <w:i/>
            <w:iCs/>
            <w:lang w:eastAsia="en-US"/>
          </w:rPr>
          <w:t>References</w:t>
        </w:r>
        <w:r w:rsidR="007F2617">
          <w:rPr>
            <w:webHidden/>
          </w:rPr>
          <w:tab/>
        </w:r>
        <w:r w:rsidR="007F2617">
          <w:rPr>
            <w:webHidden/>
          </w:rPr>
          <w:fldChar w:fldCharType="begin"/>
        </w:r>
        <w:r w:rsidR="007F2617">
          <w:rPr>
            <w:webHidden/>
          </w:rPr>
          <w:instrText xml:space="preserve"> PAGEREF _Toc6472840 \h </w:instrText>
        </w:r>
        <w:r w:rsidR="007F2617">
          <w:rPr>
            <w:webHidden/>
          </w:rPr>
        </w:r>
        <w:r w:rsidR="007F2617">
          <w:rPr>
            <w:webHidden/>
          </w:rPr>
          <w:fldChar w:fldCharType="separate"/>
        </w:r>
        <w:r w:rsidR="00301AD4">
          <w:rPr>
            <w:webHidden/>
          </w:rPr>
          <w:t>301</w:t>
        </w:r>
        <w:r w:rsidR="007F2617">
          <w:rPr>
            <w:webHidden/>
          </w:rPr>
          <w:fldChar w:fldCharType="end"/>
        </w:r>
      </w:hyperlink>
    </w:p>
    <w:p w14:paraId="05F2AA54" w14:textId="77777777" w:rsidR="007F2617" w:rsidRDefault="000E3509" w:rsidP="007F2617">
      <w:pPr>
        <w:pStyle w:val="TOC1"/>
        <w:rPr>
          <w:rFonts w:asciiTheme="minorHAnsi" w:eastAsiaTheme="minorEastAsia" w:hAnsiTheme="minorHAnsi" w:cstheme="minorBidi"/>
          <w:sz w:val="22"/>
          <w:szCs w:val="22"/>
        </w:rPr>
      </w:pPr>
      <w:hyperlink w:anchor="_Toc6472841" w:history="1">
        <w:r w:rsidR="007F2617" w:rsidRPr="00702402">
          <w:rPr>
            <w:rStyle w:val="Hyperlink"/>
            <w:i/>
            <w:iCs/>
            <w:lang w:eastAsia="en-US"/>
          </w:rPr>
          <w:t>Appendices</w:t>
        </w:r>
        <w:r w:rsidR="007F2617">
          <w:rPr>
            <w:webHidden/>
          </w:rPr>
          <w:tab/>
        </w:r>
        <w:r w:rsidR="007F2617">
          <w:rPr>
            <w:webHidden/>
          </w:rPr>
          <w:fldChar w:fldCharType="begin"/>
        </w:r>
        <w:r w:rsidR="007F2617">
          <w:rPr>
            <w:webHidden/>
          </w:rPr>
          <w:instrText xml:space="preserve"> PAGEREF _Toc6472841 \h </w:instrText>
        </w:r>
        <w:r w:rsidR="007F2617">
          <w:rPr>
            <w:webHidden/>
          </w:rPr>
        </w:r>
        <w:r w:rsidR="007F2617">
          <w:rPr>
            <w:webHidden/>
          </w:rPr>
          <w:fldChar w:fldCharType="separate"/>
        </w:r>
        <w:r w:rsidR="00301AD4">
          <w:rPr>
            <w:webHidden/>
          </w:rPr>
          <w:t>322</w:t>
        </w:r>
        <w:r w:rsidR="007F2617">
          <w:rPr>
            <w:webHidden/>
          </w:rPr>
          <w:fldChar w:fldCharType="end"/>
        </w:r>
      </w:hyperlink>
    </w:p>
    <w:p w14:paraId="497D11D6" w14:textId="77777777" w:rsidR="007F2617" w:rsidRDefault="000E3509" w:rsidP="007F2617">
      <w:pPr>
        <w:pStyle w:val="TOC1"/>
        <w:rPr>
          <w:rFonts w:asciiTheme="minorHAnsi" w:eastAsiaTheme="minorEastAsia" w:hAnsiTheme="minorHAnsi" w:cstheme="minorBidi"/>
          <w:sz w:val="22"/>
          <w:szCs w:val="22"/>
        </w:rPr>
      </w:pPr>
      <w:hyperlink w:anchor="_Toc6472842" w:history="1">
        <w:r w:rsidR="007F2617" w:rsidRPr="0065363B">
          <w:rPr>
            <w:rStyle w:val="Hyperlink"/>
            <w:i/>
            <w:iCs/>
            <w:lang w:eastAsia="en-US"/>
          </w:rPr>
          <w:t>Appendix 1: The questionnaire</w:t>
        </w:r>
        <w:r w:rsidR="007F2617">
          <w:rPr>
            <w:webHidden/>
          </w:rPr>
          <w:tab/>
        </w:r>
        <w:r w:rsidR="007F2617">
          <w:rPr>
            <w:webHidden/>
          </w:rPr>
          <w:fldChar w:fldCharType="begin"/>
        </w:r>
        <w:r w:rsidR="007F2617">
          <w:rPr>
            <w:webHidden/>
          </w:rPr>
          <w:instrText xml:space="preserve"> PAGEREF _Toc6472842 \h </w:instrText>
        </w:r>
        <w:r w:rsidR="007F2617">
          <w:rPr>
            <w:webHidden/>
          </w:rPr>
        </w:r>
        <w:r w:rsidR="007F2617">
          <w:rPr>
            <w:webHidden/>
          </w:rPr>
          <w:fldChar w:fldCharType="separate"/>
        </w:r>
        <w:r w:rsidR="00301AD4">
          <w:rPr>
            <w:webHidden/>
          </w:rPr>
          <w:t>322</w:t>
        </w:r>
        <w:r w:rsidR="007F2617">
          <w:rPr>
            <w:webHidden/>
          </w:rPr>
          <w:fldChar w:fldCharType="end"/>
        </w:r>
      </w:hyperlink>
    </w:p>
    <w:p w14:paraId="5E2216DB" w14:textId="77777777" w:rsidR="007F2617" w:rsidRDefault="000E3509" w:rsidP="007F2617">
      <w:pPr>
        <w:pStyle w:val="TOC1"/>
        <w:rPr>
          <w:rFonts w:asciiTheme="minorHAnsi" w:eastAsiaTheme="minorEastAsia" w:hAnsiTheme="minorHAnsi" w:cstheme="minorBidi"/>
          <w:sz w:val="22"/>
          <w:szCs w:val="22"/>
        </w:rPr>
      </w:pPr>
      <w:hyperlink w:anchor="_Toc6472843" w:history="1">
        <w:r w:rsidR="007F2617" w:rsidRPr="0065363B">
          <w:rPr>
            <w:rStyle w:val="Hyperlink"/>
            <w:i/>
            <w:iCs/>
            <w:lang w:eastAsia="en-US"/>
          </w:rPr>
          <w:t>Appendix 2: RQ1 results</w:t>
        </w:r>
        <w:r w:rsidR="007F2617">
          <w:rPr>
            <w:webHidden/>
          </w:rPr>
          <w:tab/>
        </w:r>
        <w:r w:rsidR="007F2617">
          <w:rPr>
            <w:webHidden/>
          </w:rPr>
          <w:fldChar w:fldCharType="begin"/>
        </w:r>
        <w:r w:rsidR="007F2617">
          <w:rPr>
            <w:webHidden/>
          </w:rPr>
          <w:instrText xml:space="preserve"> PAGEREF _Toc6472843 \h </w:instrText>
        </w:r>
        <w:r w:rsidR="007F2617">
          <w:rPr>
            <w:webHidden/>
          </w:rPr>
        </w:r>
        <w:r w:rsidR="007F2617">
          <w:rPr>
            <w:webHidden/>
          </w:rPr>
          <w:fldChar w:fldCharType="separate"/>
        </w:r>
        <w:r w:rsidR="00301AD4">
          <w:rPr>
            <w:webHidden/>
          </w:rPr>
          <w:t>333</w:t>
        </w:r>
        <w:r w:rsidR="007F2617">
          <w:rPr>
            <w:webHidden/>
          </w:rPr>
          <w:fldChar w:fldCharType="end"/>
        </w:r>
      </w:hyperlink>
    </w:p>
    <w:p w14:paraId="5CD3C0C6" w14:textId="77777777" w:rsidR="007F2617" w:rsidRDefault="000E3509" w:rsidP="007F2617">
      <w:pPr>
        <w:pStyle w:val="TOC1"/>
        <w:rPr>
          <w:rFonts w:asciiTheme="minorHAnsi" w:eastAsiaTheme="minorEastAsia" w:hAnsiTheme="minorHAnsi" w:cstheme="minorBidi"/>
          <w:sz w:val="22"/>
          <w:szCs w:val="22"/>
        </w:rPr>
      </w:pPr>
      <w:hyperlink w:anchor="_Toc6472844" w:history="1">
        <w:r w:rsidR="007F2617" w:rsidRPr="0065363B">
          <w:rPr>
            <w:rStyle w:val="Hyperlink"/>
            <w:i/>
            <w:iCs/>
            <w:lang w:eastAsia="en-US"/>
          </w:rPr>
          <w:t>Appendix 3: RQ2 results</w:t>
        </w:r>
        <w:r w:rsidR="007F2617">
          <w:rPr>
            <w:webHidden/>
          </w:rPr>
          <w:tab/>
        </w:r>
        <w:r w:rsidR="007F2617">
          <w:rPr>
            <w:webHidden/>
          </w:rPr>
          <w:fldChar w:fldCharType="begin"/>
        </w:r>
        <w:r w:rsidR="007F2617">
          <w:rPr>
            <w:webHidden/>
          </w:rPr>
          <w:instrText xml:space="preserve"> PAGEREF _Toc6472844 \h </w:instrText>
        </w:r>
        <w:r w:rsidR="007F2617">
          <w:rPr>
            <w:webHidden/>
          </w:rPr>
        </w:r>
        <w:r w:rsidR="007F2617">
          <w:rPr>
            <w:webHidden/>
          </w:rPr>
          <w:fldChar w:fldCharType="separate"/>
        </w:r>
        <w:r w:rsidR="00301AD4">
          <w:rPr>
            <w:webHidden/>
          </w:rPr>
          <w:t>348</w:t>
        </w:r>
        <w:r w:rsidR="007F2617">
          <w:rPr>
            <w:webHidden/>
          </w:rPr>
          <w:fldChar w:fldCharType="end"/>
        </w:r>
      </w:hyperlink>
    </w:p>
    <w:p w14:paraId="42975761" w14:textId="77777777" w:rsidR="007F2617" w:rsidRDefault="000E3509" w:rsidP="007F2617">
      <w:pPr>
        <w:pStyle w:val="TOC1"/>
        <w:rPr>
          <w:rFonts w:asciiTheme="minorHAnsi" w:eastAsiaTheme="minorEastAsia" w:hAnsiTheme="minorHAnsi" w:cstheme="minorBidi"/>
          <w:sz w:val="22"/>
          <w:szCs w:val="22"/>
        </w:rPr>
      </w:pPr>
      <w:hyperlink w:anchor="_Toc6472845" w:history="1">
        <w:r w:rsidR="007F2617" w:rsidRPr="0065363B">
          <w:rPr>
            <w:rStyle w:val="Hyperlink"/>
            <w:i/>
            <w:iCs/>
            <w:lang w:eastAsia="en-US"/>
          </w:rPr>
          <w:t>Appendix 4: RQ3 results (the perceptual part)</w:t>
        </w:r>
        <w:r w:rsidR="007F2617">
          <w:rPr>
            <w:webHidden/>
          </w:rPr>
          <w:tab/>
        </w:r>
        <w:r w:rsidR="007F2617">
          <w:rPr>
            <w:webHidden/>
          </w:rPr>
          <w:fldChar w:fldCharType="begin"/>
        </w:r>
        <w:r w:rsidR="007F2617">
          <w:rPr>
            <w:webHidden/>
          </w:rPr>
          <w:instrText xml:space="preserve"> PAGEREF _Toc6472845 \h </w:instrText>
        </w:r>
        <w:r w:rsidR="007F2617">
          <w:rPr>
            <w:webHidden/>
          </w:rPr>
        </w:r>
        <w:r w:rsidR="007F2617">
          <w:rPr>
            <w:webHidden/>
          </w:rPr>
          <w:fldChar w:fldCharType="separate"/>
        </w:r>
        <w:r w:rsidR="00301AD4">
          <w:rPr>
            <w:webHidden/>
          </w:rPr>
          <w:t>362</w:t>
        </w:r>
        <w:r w:rsidR="007F2617">
          <w:rPr>
            <w:webHidden/>
          </w:rPr>
          <w:fldChar w:fldCharType="end"/>
        </w:r>
      </w:hyperlink>
    </w:p>
    <w:p w14:paraId="42FFE9D9" w14:textId="77777777" w:rsidR="007F2617" w:rsidRDefault="000E3509" w:rsidP="007F2617">
      <w:pPr>
        <w:pStyle w:val="TOC1"/>
        <w:rPr>
          <w:rFonts w:asciiTheme="minorHAnsi" w:eastAsiaTheme="minorEastAsia" w:hAnsiTheme="minorHAnsi" w:cstheme="minorBidi"/>
          <w:sz w:val="22"/>
          <w:szCs w:val="22"/>
        </w:rPr>
      </w:pPr>
      <w:hyperlink w:anchor="_Toc6472846" w:history="1">
        <w:r w:rsidR="007F2617" w:rsidRPr="0065363B">
          <w:rPr>
            <w:rStyle w:val="Hyperlink"/>
            <w:i/>
            <w:iCs/>
            <w:lang w:eastAsia="en-US"/>
          </w:rPr>
          <w:t>Appendix 5: RQ3 results (the attitudinal part)</w:t>
        </w:r>
        <w:r w:rsidR="007F2617">
          <w:rPr>
            <w:webHidden/>
          </w:rPr>
          <w:tab/>
        </w:r>
        <w:r w:rsidR="007F2617">
          <w:rPr>
            <w:webHidden/>
          </w:rPr>
          <w:fldChar w:fldCharType="begin"/>
        </w:r>
        <w:r w:rsidR="007F2617">
          <w:rPr>
            <w:webHidden/>
          </w:rPr>
          <w:instrText xml:space="preserve"> PAGEREF _Toc6472846 \h </w:instrText>
        </w:r>
        <w:r w:rsidR="007F2617">
          <w:rPr>
            <w:webHidden/>
          </w:rPr>
        </w:r>
        <w:r w:rsidR="007F2617">
          <w:rPr>
            <w:webHidden/>
          </w:rPr>
          <w:fldChar w:fldCharType="separate"/>
        </w:r>
        <w:r w:rsidR="00301AD4">
          <w:rPr>
            <w:webHidden/>
          </w:rPr>
          <w:t>371</w:t>
        </w:r>
        <w:r w:rsidR="007F2617">
          <w:rPr>
            <w:webHidden/>
          </w:rPr>
          <w:fldChar w:fldCharType="end"/>
        </w:r>
      </w:hyperlink>
    </w:p>
    <w:p w14:paraId="6EBAF9DA" w14:textId="77777777" w:rsidR="007F2617" w:rsidRDefault="000E3509" w:rsidP="007F2617">
      <w:pPr>
        <w:pStyle w:val="TOC1"/>
        <w:rPr>
          <w:rFonts w:asciiTheme="minorHAnsi" w:eastAsiaTheme="minorEastAsia" w:hAnsiTheme="minorHAnsi" w:cstheme="minorBidi"/>
          <w:sz w:val="22"/>
          <w:szCs w:val="22"/>
        </w:rPr>
      </w:pPr>
      <w:hyperlink w:anchor="_Toc6472847" w:history="1">
        <w:r w:rsidR="007F2617" w:rsidRPr="0065363B">
          <w:rPr>
            <w:rStyle w:val="Hyperlink"/>
            <w:i/>
            <w:iCs/>
          </w:rPr>
          <w:t>Appendix 6: Phonetic transcription of voice samples</w:t>
        </w:r>
        <w:r w:rsidR="007F2617">
          <w:rPr>
            <w:webHidden/>
          </w:rPr>
          <w:tab/>
        </w:r>
        <w:r w:rsidR="007F2617">
          <w:rPr>
            <w:webHidden/>
          </w:rPr>
          <w:fldChar w:fldCharType="begin"/>
        </w:r>
        <w:r w:rsidR="007F2617">
          <w:rPr>
            <w:webHidden/>
          </w:rPr>
          <w:instrText xml:space="preserve"> PAGEREF _Toc6472847 \h </w:instrText>
        </w:r>
        <w:r w:rsidR="007F2617">
          <w:rPr>
            <w:webHidden/>
          </w:rPr>
        </w:r>
        <w:r w:rsidR="007F2617">
          <w:rPr>
            <w:webHidden/>
          </w:rPr>
          <w:fldChar w:fldCharType="separate"/>
        </w:r>
        <w:r w:rsidR="00301AD4">
          <w:rPr>
            <w:webHidden/>
          </w:rPr>
          <w:t>410</w:t>
        </w:r>
        <w:r w:rsidR="007F2617">
          <w:rPr>
            <w:webHidden/>
          </w:rPr>
          <w:fldChar w:fldCharType="end"/>
        </w:r>
      </w:hyperlink>
    </w:p>
    <w:p w14:paraId="18B03E02" w14:textId="3E69999F" w:rsidR="00E87B16" w:rsidRPr="00CF31E0" w:rsidRDefault="00540455" w:rsidP="00467EF6">
      <w:pPr>
        <w:rPr>
          <w:color w:val="000000" w:themeColor="text1"/>
        </w:rPr>
      </w:pPr>
      <w:r w:rsidRPr="00CF31E0">
        <w:rPr>
          <w:rFonts w:asciiTheme="majorBidi" w:hAnsiTheme="majorBidi"/>
          <w:noProof/>
          <w:color w:val="000000" w:themeColor="text1"/>
        </w:rPr>
        <w:fldChar w:fldCharType="end"/>
      </w:r>
    </w:p>
    <w:p w14:paraId="4B9AB732" w14:textId="77777777" w:rsidR="00E87B16" w:rsidRPr="00CF31E0" w:rsidRDefault="00E87B16" w:rsidP="00467EF6">
      <w:pPr>
        <w:rPr>
          <w:color w:val="000000" w:themeColor="text1"/>
        </w:rPr>
        <w:sectPr w:rsidR="00E87B16" w:rsidRPr="00CF31E0" w:rsidSect="00603CB7">
          <w:pgSz w:w="11900" w:h="16840"/>
          <w:pgMar w:top="1440" w:right="2268" w:bottom="1440" w:left="2268" w:header="709" w:footer="709" w:gutter="0"/>
          <w:pgNumType w:fmt="lowerRoman"/>
          <w:cols w:space="708"/>
          <w:docGrid w:linePitch="360"/>
        </w:sectPr>
      </w:pPr>
    </w:p>
    <w:p w14:paraId="14DAE258" w14:textId="7EB776CD" w:rsidR="00467EF6" w:rsidRPr="00CF31E0" w:rsidRDefault="00467EF6" w:rsidP="00467EF6">
      <w:pPr>
        <w:pStyle w:val="Title"/>
        <w:rPr>
          <w:color w:val="000000" w:themeColor="text1"/>
        </w:rPr>
      </w:pPr>
      <w:bookmarkStart w:id="5" w:name="_Toc6472613"/>
      <w:r w:rsidRPr="00CF31E0">
        <w:rPr>
          <w:color w:val="000000" w:themeColor="text1"/>
        </w:rPr>
        <w:lastRenderedPageBreak/>
        <w:t xml:space="preserve">List of </w:t>
      </w:r>
      <w:r w:rsidR="007F25EF" w:rsidRPr="00CF31E0">
        <w:rPr>
          <w:color w:val="000000" w:themeColor="text1"/>
        </w:rPr>
        <w:t>f</w:t>
      </w:r>
      <w:r w:rsidRPr="00CF31E0">
        <w:rPr>
          <w:color w:val="000000" w:themeColor="text1"/>
        </w:rPr>
        <w:t>igures</w:t>
      </w:r>
      <w:bookmarkEnd w:id="5"/>
    </w:p>
    <w:p w14:paraId="5E6D3924" w14:textId="77777777" w:rsidR="007F2617" w:rsidRDefault="00F506E9">
      <w:pPr>
        <w:pStyle w:val="TOC6"/>
        <w:rPr>
          <w:rFonts w:asciiTheme="minorHAnsi" w:eastAsiaTheme="minorEastAsia" w:hAnsiTheme="minorHAnsi" w:cstheme="minorBidi"/>
          <w:noProof/>
          <w:sz w:val="22"/>
          <w:szCs w:val="22"/>
        </w:rPr>
      </w:pPr>
      <w:r w:rsidRPr="00CF31E0">
        <w:rPr>
          <w:bCs/>
          <w:color w:val="000000" w:themeColor="text1"/>
        </w:rPr>
        <w:fldChar w:fldCharType="begin"/>
      </w:r>
      <w:r w:rsidRPr="00CF31E0">
        <w:rPr>
          <w:bCs/>
          <w:color w:val="000000" w:themeColor="text1"/>
        </w:rPr>
        <w:instrText xml:space="preserve"> TOC \h \z \t "Fig caption,6" </w:instrText>
      </w:r>
      <w:r w:rsidRPr="00CF31E0">
        <w:rPr>
          <w:bCs/>
          <w:color w:val="000000" w:themeColor="text1"/>
        </w:rPr>
        <w:fldChar w:fldCharType="separate"/>
      </w:r>
      <w:hyperlink w:anchor="_Toc6472976" w:history="1">
        <w:r w:rsidR="007F2617" w:rsidRPr="002031AB">
          <w:rPr>
            <w:rStyle w:val="Hyperlink"/>
            <w:noProof/>
          </w:rPr>
          <w:t>Figure 2.1: Saudi Arabia map.</w:t>
        </w:r>
        <w:r w:rsidR="007F2617">
          <w:rPr>
            <w:noProof/>
            <w:webHidden/>
          </w:rPr>
          <w:tab/>
        </w:r>
        <w:r w:rsidR="007F2617">
          <w:rPr>
            <w:noProof/>
            <w:webHidden/>
          </w:rPr>
          <w:fldChar w:fldCharType="begin"/>
        </w:r>
        <w:r w:rsidR="007F2617">
          <w:rPr>
            <w:noProof/>
            <w:webHidden/>
          </w:rPr>
          <w:instrText xml:space="preserve"> PAGEREF _Toc6472976 \h </w:instrText>
        </w:r>
        <w:r w:rsidR="007F2617">
          <w:rPr>
            <w:noProof/>
            <w:webHidden/>
          </w:rPr>
        </w:r>
        <w:r w:rsidR="007F2617">
          <w:rPr>
            <w:noProof/>
            <w:webHidden/>
          </w:rPr>
          <w:fldChar w:fldCharType="separate"/>
        </w:r>
        <w:r w:rsidR="00301AD4">
          <w:rPr>
            <w:noProof/>
            <w:webHidden/>
          </w:rPr>
          <w:t>5</w:t>
        </w:r>
        <w:r w:rsidR="007F2617">
          <w:rPr>
            <w:noProof/>
            <w:webHidden/>
          </w:rPr>
          <w:fldChar w:fldCharType="end"/>
        </w:r>
      </w:hyperlink>
    </w:p>
    <w:p w14:paraId="1F35F27F" w14:textId="77777777" w:rsidR="007F2617" w:rsidRDefault="000E3509">
      <w:pPr>
        <w:pStyle w:val="TOC6"/>
        <w:rPr>
          <w:rFonts w:asciiTheme="minorHAnsi" w:eastAsiaTheme="minorEastAsia" w:hAnsiTheme="minorHAnsi" w:cstheme="minorBidi"/>
          <w:noProof/>
          <w:sz w:val="22"/>
          <w:szCs w:val="22"/>
        </w:rPr>
      </w:pPr>
      <w:hyperlink w:anchor="_Toc6472977" w:history="1">
        <w:r w:rsidR="007F2617" w:rsidRPr="002031AB">
          <w:rPr>
            <w:rStyle w:val="Hyperlink"/>
            <w:noProof/>
            <w:lang w:val="en-US"/>
          </w:rPr>
          <w:t xml:space="preserve">Figure 2.2: The Holy Mosque in </w:t>
        </w:r>
        <w:r w:rsidR="007F2617" w:rsidRPr="002031AB">
          <w:rPr>
            <w:rStyle w:val="Hyperlink"/>
            <w:smallCaps/>
            <w:noProof/>
            <w:lang w:val="en-US"/>
          </w:rPr>
          <w:t>ad</w:t>
        </w:r>
        <w:r w:rsidR="007F2617" w:rsidRPr="002031AB">
          <w:rPr>
            <w:rStyle w:val="Hyperlink"/>
            <w:noProof/>
            <w:lang w:val="en-US"/>
          </w:rPr>
          <w:t xml:space="preserve"> 1900.</w:t>
        </w:r>
        <w:r w:rsidR="007F2617">
          <w:rPr>
            <w:noProof/>
            <w:webHidden/>
          </w:rPr>
          <w:tab/>
        </w:r>
        <w:r w:rsidR="007F2617">
          <w:rPr>
            <w:noProof/>
            <w:webHidden/>
          </w:rPr>
          <w:fldChar w:fldCharType="begin"/>
        </w:r>
        <w:r w:rsidR="007F2617">
          <w:rPr>
            <w:noProof/>
            <w:webHidden/>
          </w:rPr>
          <w:instrText xml:space="preserve"> PAGEREF _Toc6472977 \h </w:instrText>
        </w:r>
        <w:r w:rsidR="007F2617">
          <w:rPr>
            <w:noProof/>
            <w:webHidden/>
          </w:rPr>
        </w:r>
        <w:r w:rsidR="007F2617">
          <w:rPr>
            <w:noProof/>
            <w:webHidden/>
          </w:rPr>
          <w:fldChar w:fldCharType="separate"/>
        </w:r>
        <w:r w:rsidR="00301AD4">
          <w:rPr>
            <w:noProof/>
            <w:webHidden/>
          </w:rPr>
          <w:t>23</w:t>
        </w:r>
        <w:r w:rsidR="007F2617">
          <w:rPr>
            <w:noProof/>
            <w:webHidden/>
          </w:rPr>
          <w:fldChar w:fldCharType="end"/>
        </w:r>
      </w:hyperlink>
    </w:p>
    <w:p w14:paraId="73A4B27F" w14:textId="77777777" w:rsidR="007F2617" w:rsidRDefault="000E3509">
      <w:pPr>
        <w:pStyle w:val="TOC6"/>
        <w:rPr>
          <w:rFonts w:asciiTheme="minorHAnsi" w:eastAsiaTheme="minorEastAsia" w:hAnsiTheme="minorHAnsi" w:cstheme="minorBidi"/>
          <w:noProof/>
          <w:sz w:val="22"/>
          <w:szCs w:val="22"/>
        </w:rPr>
      </w:pPr>
      <w:hyperlink w:anchor="_Toc6472978" w:history="1">
        <w:r w:rsidR="007F2617" w:rsidRPr="002031AB">
          <w:rPr>
            <w:rStyle w:val="Hyperlink"/>
            <w:noProof/>
            <w:lang w:val="en-US"/>
          </w:rPr>
          <w:t>Figure 2.3: The Holy Mosque in 2017.</w:t>
        </w:r>
        <w:r w:rsidR="007F2617">
          <w:rPr>
            <w:noProof/>
            <w:webHidden/>
          </w:rPr>
          <w:tab/>
        </w:r>
        <w:r w:rsidR="007F2617">
          <w:rPr>
            <w:noProof/>
            <w:webHidden/>
          </w:rPr>
          <w:fldChar w:fldCharType="begin"/>
        </w:r>
        <w:r w:rsidR="007F2617">
          <w:rPr>
            <w:noProof/>
            <w:webHidden/>
          </w:rPr>
          <w:instrText xml:space="preserve"> PAGEREF _Toc6472978 \h </w:instrText>
        </w:r>
        <w:r w:rsidR="007F2617">
          <w:rPr>
            <w:noProof/>
            <w:webHidden/>
          </w:rPr>
        </w:r>
        <w:r w:rsidR="007F2617">
          <w:rPr>
            <w:noProof/>
            <w:webHidden/>
          </w:rPr>
          <w:fldChar w:fldCharType="separate"/>
        </w:r>
        <w:r w:rsidR="00301AD4">
          <w:rPr>
            <w:noProof/>
            <w:webHidden/>
          </w:rPr>
          <w:t>24</w:t>
        </w:r>
        <w:r w:rsidR="007F2617">
          <w:rPr>
            <w:noProof/>
            <w:webHidden/>
          </w:rPr>
          <w:fldChar w:fldCharType="end"/>
        </w:r>
      </w:hyperlink>
    </w:p>
    <w:p w14:paraId="1060B377" w14:textId="77777777" w:rsidR="007F2617" w:rsidRDefault="000E3509">
      <w:pPr>
        <w:pStyle w:val="TOC6"/>
        <w:rPr>
          <w:rFonts w:asciiTheme="minorHAnsi" w:eastAsiaTheme="minorEastAsia" w:hAnsiTheme="minorHAnsi" w:cstheme="minorBidi"/>
          <w:noProof/>
          <w:sz w:val="22"/>
          <w:szCs w:val="22"/>
        </w:rPr>
      </w:pPr>
      <w:hyperlink w:anchor="_Toc6472979" w:history="1">
        <w:r w:rsidR="007F2617" w:rsidRPr="002031AB">
          <w:rPr>
            <w:rStyle w:val="Hyperlink"/>
            <w:noProof/>
            <w:lang w:val="en-US"/>
          </w:rPr>
          <w:t>Figure 2.4: Population growth in SA (1975–2014).</w:t>
        </w:r>
        <w:r w:rsidR="007F2617">
          <w:rPr>
            <w:noProof/>
            <w:webHidden/>
          </w:rPr>
          <w:tab/>
        </w:r>
        <w:r w:rsidR="007F2617">
          <w:rPr>
            <w:noProof/>
            <w:webHidden/>
          </w:rPr>
          <w:fldChar w:fldCharType="begin"/>
        </w:r>
        <w:r w:rsidR="007F2617">
          <w:rPr>
            <w:noProof/>
            <w:webHidden/>
          </w:rPr>
          <w:instrText xml:space="preserve"> PAGEREF _Toc6472979 \h </w:instrText>
        </w:r>
        <w:r w:rsidR="007F2617">
          <w:rPr>
            <w:noProof/>
            <w:webHidden/>
          </w:rPr>
        </w:r>
        <w:r w:rsidR="007F2617">
          <w:rPr>
            <w:noProof/>
            <w:webHidden/>
          </w:rPr>
          <w:fldChar w:fldCharType="separate"/>
        </w:r>
        <w:r w:rsidR="00301AD4">
          <w:rPr>
            <w:noProof/>
            <w:webHidden/>
          </w:rPr>
          <w:t>28</w:t>
        </w:r>
        <w:r w:rsidR="007F2617">
          <w:rPr>
            <w:noProof/>
            <w:webHidden/>
          </w:rPr>
          <w:fldChar w:fldCharType="end"/>
        </w:r>
      </w:hyperlink>
    </w:p>
    <w:p w14:paraId="68D1A356" w14:textId="77777777" w:rsidR="007F2617" w:rsidRDefault="000E3509">
      <w:pPr>
        <w:pStyle w:val="TOC6"/>
        <w:rPr>
          <w:rFonts w:asciiTheme="minorHAnsi" w:eastAsiaTheme="minorEastAsia" w:hAnsiTheme="minorHAnsi" w:cstheme="minorBidi"/>
          <w:noProof/>
          <w:sz w:val="22"/>
          <w:szCs w:val="22"/>
        </w:rPr>
      </w:pPr>
      <w:hyperlink w:anchor="_Toc6472980" w:history="1">
        <w:r w:rsidR="007F2617" w:rsidRPr="002031AB">
          <w:rPr>
            <w:rStyle w:val="Hyperlink"/>
            <w:noProof/>
            <w:lang w:val="en-US"/>
          </w:rPr>
          <w:t>Figure 2.5a and b: Country profile, Saudi Arabia.</w:t>
        </w:r>
        <w:r w:rsidR="007F2617">
          <w:rPr>
            <w:noProof/>
            <w:webHidden/>
          </w:rPr>
          <w:tab/>
        </w:r>
        <w:r w:rsidR="007F2617">
          <w:rPr>
            <w:noProof/>
            <w:webHidden/>
          </w:rPr>
          <w:fldChar w:fldCharType="begin"/>
        </w:r>
        <w:r w:rsidR="007F2617">
          <w:rPr>
            <w:noProof/>
            <w:webHidden/>
          </w:rPr>
          <w:instrText xml:space="preserve"> PAGEREF _Toc6472980 \h </w:instrText>
        </w:r>
        <w:r w:rsidR="007F2617">
          <w:rPr>
            <w:noProof/>
            <w:webHidden/>
          </w:rPr>
        </w:r>
        <w:r w:rsidR="007F2617">
          <w:rPr>
            <w:noProof/>
            <w:webHidden/>
          </w:rPr>
          <w:fldChar w:fldCharType="separate"/>
        </w:r>
        <w:r w:rsidR="00301AD4">
          <w:rPr>
            <w:noProof/>
            <w:webHidden/>
          </w:rPr>
          <w:t>30</w:t>
        </w:r>
        <w:r w:rsidR="007F2617">
          <w:rPr>
            <w:noProof/>
            <w:webHidden/>
          </w:rPr>
          <w:fldChar w:fldCharType="end"/>
        </w:r>
      </w:hyperlink>
    </w:p>
    <w:p w14:paraId="4D74028B" w14:textId="77777777" w:rsidR="007F2617" w:rsidRDefault="000E3509">
      <w:pPr>
        <w:pStyle w:val="TOC6"/>
        <w:rPr>
          <w:rFonts w:asciiTheme="minorHAnsi" w:eastAsiaTheme="minorEastAsia" w:hAnsiTheme="minorHAnsi" w:cstheme="minorBidi"/>
          <w:noProof/>
          <w:sz w:val="22"/>
          <w:szCs w:val="22"/>
        </w:rPr>
      </w:pPr>
      <w:hyperlink w:anchor="_Toc6472981" w:history="1">
        <w:r w:rsidR="007F2617" w:rsidRPr="002031AB">
          <w:rPr>
            <w:rStyle w:val="Hyperlink"/>
            <w:noProof/>
          </w:rPr>
          <w:t>Figure 3.1: Arab world map.</w:t>
        </w:r>
        <w:r w:rsidR="007F2617">
          <w:rPr>
            <w:noProof/>
            <w:webHidden/>
          </w:rPr>
          <w:tab/>
        </w:r>
        <w:r w:rsidR="007F2617">
          <w:rPr>
            <w:noProof/>
            <w:webHidden/>
          </w:rPr>
          <w:fldChar w:fldCharType="begin"/>
        </w:r>
        <w:r w:rsidR="007F2617">
          <w:rPr>
            <w:noProof/>
            <w:webHidden/>
          </w:rPr>
          <w:instrText xml:space="preserve"> PAGEREF _Toc6472981 \h </w:instrText>
        </w:r>
        <w:r w:rsidR="007F2617">
          <w:rPr>
            <w:noProof/>
            <w:webHidden/>
          </w:rPr>
        </w:r>
        <w:r w:rsidR="007F2617">
          <w:rPr>
            <w:noProof/>
            <w:webHidden/>
          </w:rPr>
          <w:fldChar w:fldCharType="separate"/>
        </w:r>
        <w:r w:rsidR="00301AD4">
          <w:rPr>
            <w:noProof/>
            <w:webHidden/>
          </w:rPr>
          <w:t>40</w:t>
        </w:r>
        <w:r w:rsidR="007F2617">
          <w:rPr>
            <w:noProof/>
            <w:webHidden/>
          </w:rPr>
          <w:fldChar w:fldCharType="end"/>
        </w:r>
      </w:hyperlink>
    </w:p>
    <w:p w14:paraId="76926256" w14:textId="77777777" w:rsidR="007F2617" w:rsidRDefault="000E3509">
      <w:pPr>
        <w:pStyle w:val="TOC6"/>
        <w:rPr>
          <w:rFonts w:asciiTheme="minorHAnsi" w:eastAsiaTheme="minorEastAsia" w:hAnsiTheme="minorHAnsi" w:cstheme="minorBidi"/>
          <w:noProof/>
          <w:sz w:val="22"/>
          <w:szCs w:val="22"/>
        </w:rPr>
      </w:pPr>
      <w:hyperlink w:anchor="_Toc6472982" w:history="1">
        <w:r w:rsidR="007F2617" w:rsidRPr="002031AB">
          <w:rPr>
            <w:rStyle w:val="Hyperlink"/>
            <w:noProof/>
          </w:rPr>
          <w:t>Figure 3.2: A map of the dialect classifications in the Arabian Peninsula.</w:t>
        </w:r>
        <w:r w:rsidR="007F2617">
          <w:rPr>
            <w:noProof/>
            <w:webHidden/>
          </w:rPr>
          <w:tab/>
        </w:r>
        <w:r w:rsidR="007F2617">
          <w:rPr>
            <w:noProof/>
            <w:webHidden/>
          </w:rPr>
          <w:fldChar w:fldCharType="begin"/>
        </w:r>
        <w:r w:rsidR="007F2617">
          <w:rPr>
            <w:noProof/>
            <w:webHidden/>
          </w:rPr>
          <w:instrText xml:space="preserve"> PAGEREF _Toc6472982 \h </w:instrText>
        </w:r>
        <w:r w:rsidR="007F2617">
          <w:rPr>
            <w:noProof/>
            <w:webHidden/>
          </w:rPr>
        </w:r>
        <w:r w:rsidR="007F2617">
          <w:rPr>
            <w:noProof/>
            <w:webHidden/>
          </w:rPr>
          <w:fldChar w:fldCharType="separate"/>
        </w:r>
        <w:r w:rsidR="00301AD4">
          <w:rPr>
            <w:noProof/>
            <w:webHidden/>
          </w:rPr>
          <w:t>43</w:t>
        </w:r>
        <w:r w:rsidR="007F2617">
          <w:rPr>
            <w:noProof/>
            <w:webHidden/>
          </w:rPr>
          <w:fldChar w:fldCharType="end"/>
        </w:r>
      </w:hyperlink>
    </w:p>
    <w:p w14:paraId="68D38742" w14:textId="77777777" w:rsidR="007F2617" w:rsidRDefault="000E3509">
      <w:pPr>
        <w:pStyle w:val="TOC6"/>
        <w:rPr>
          <w:rFonts w:asciiTheme="minorHAnsi" w:eastAsiaTheme="minorEastAsia" w:hAnsiTheme="minorHAnsi" w:cstheme="minorBidi"/>
          <w:noProof/>
          <w:sz w:val="22"/>
          <w:szCs w:val="22"/>
        </w:rPr>
      </w:pPr>
      <w:hyperlink w:anchor="_Toc6472983" w:history="1">
        <w:r w:rsidR="007F2617" w:rsidRPr="002031AB">
          <w:rPr>
            <w:rStyle w:val="Hyperlink"/>
            <w:noProof/>
          </w:rPr>
          <w:t>Figure 5.1: Location of cities in SA.</w:t>
        </w:r>
        <w:r w:rsidR="007F2617">
          <w:rPr>
            <w:noProof/>
            <w:webHidden/>
          </w:rPr>
          <w:tab/>
        </w:r>
        <w:r w:rsidR="007F2617">
          <w:rPr>
            <w:noProof/>
            <w:webHidden/>
          </w:rPr>
          <w:fldChar w:fldCharType="begin"/>
        </w:r>
        <w:r w:rsidR="007F2617">
          <w:rPr>
            <w:noProof/>
            <w:webHidden/>
          </w:rPr>
          <w:instrText xml:space="preserve"> PAGEREF _Toc6472983 \h </w:instrText>
        </w:r>
        <w:r w:rsidR="007F2617">
          <w:rPr>
            <w:noProof/>
            <w:webHidden/>
          </w:rPr>
        </w:r>
        <w:r w:rsidR="007F2617">
          <w:rPr>
            <w:noProof/>
            <w:webHidden/>
          </w:rPr>
          <w:fldChar w:fldCharType="separate"/>
        </w:r>
        <w:r w:rsidR="00301AD4">
          <w:rPr>
            <w:noProof/>
            <w:webHidden/>
          </w:rPr>
          <w:t>95</w:t>
        </w:r>
        <w:r w:rsidR="007F2617">
          <w:rPr>
            <w:noProof/>
            <w:webHidden/>
          </w:rPr>
          <w:fldChar w:fldCharType="end"/>
        </w:r>
      </w:hyperlink>
    </w:p>
    <w:p w14:paraId="15F8DF26" w14:textId="77777777" w:rsidR="007F2617" w:rsidRDefault="000E3509">
      <w:pPr>
        <w:pStyle w:val="TOC6"/>
        <w:rPr>
          <w:rFonts w:asciiTheme="minorHAnsi" w:eastAsiaTheme="minorEastAsia" w:hAnsiTheme="minorHAnsi" w:cstheme="minorBidi"/>
          <w:noProof/>
          <w:sz w:val="22"/>
          <w:szCs w:val="22"/>
        </w:rPr>
      </w:pPr>
      <w:hyperlink w:anchor="_Toc6472984" w:history="1">
        <w:r w:rsidR="007F2617" w:rsidRPr="002031AB">
          <w:rPr>
            <w:rStyle w:val="Hyperlink"/>
            <w:noProof/>
            <w:lang w:val="en-US"/>
          </w:rPr>
          <w:t xml:space="preserve">Figure 5.2: A composite </w:t>
        </w:r>
        <w:r w:rsidR="007F2617" w:rsidRPr="002031AB">
          <w:rPr>
            <w:rStyle w:val="Hyperlink"/>
            <w:noProof/>
          </w:rPr>
          <w:t>map</w:t>
        </w:r>
        <w:r w:rsidR="007F2617" w:rsidRPr="002031AB">
          <w:rPr>
            <w:rStyle w:val="Hyperlink"/>
            <w:noProof/>
            <w:lang w:val="en-US"/>
          </w:rPr>
          <w:t xml:space="preserve"> of dialect areas in Hijaz.</w:t>
        </w:r>
        <w:r w:rsidR="007F2617">
          <w:rPr>
            <w:noProof/>
            <w:webHidden/>
          </w:rPr>
          <w:tab/>
        </w:r>
        <w:r w:rsidR="007F2617">
          <w:rPr>
            <w:noProof/>
            <w:webHidden/>
          </w:rPr>
          <w:fldChar w:fldCharType="begin"/>
        </w:r>
        <w:r w:rsidR="007F2617">
          <w:rPr>
            <w:noProof/>
            <w:webHidden/>
          </w:rPr>
          <w:instrText xml:space="preserve"> PAGEREF _Toc6472984 \h </w:instrText>
        </w:r>
        <w:r w:rsidR="007F2617">
          <w:rPr>
            <w:noProof/>
            <w:webHidden/>
          </w:rPr>
        </w:r>
        <w:r w:rsidR="007F2617">
          <w:rPr>
            <w:noProof/>
            <w:webHidden/>
          </w:rPr>
          <w:fldChar w:fldCharType="separate"/>
        </w:r>
        <w:r w:rsidR="00301AD4">
          <w:rPr>
            <w:noProof/>
            <w:webHidden/>
          </w:rPr>
          <w:t>96</w:t>
        </w:r>
        <w:r w:rsidR="007F2617">
          <w:rPr>
            <w:noProof/>
            <w:webHidden/>
          </w:rPr>
          <w:fldChar w:fldCharType="end"/>
        </w:r>
      </w:hyperlink>
    </w:p>
    <w:p w14:paraId="07956510" w14:textId="77777777" w:rsidR="007F2617" w:rsidRDefault="000E3509">
      <w:pPr>
        <w:pStyle w:val="TOC6"/>
        <w:rPr>
          <w:rFonts w:asciiTheme="minorHAnsi" w:eastAsiaTheme="minorEastAsia" w:hAnsiTheme="minorHAnsi" w:cstheme="minorBidi"/>
          <w:noProof/>
          <w:sz w:val="22"/>
          <w:szCs w:val="22"/>
        </w:rPr>
      </w:pPr>
      <w:hyperlink w:anchor="_Toc6472985" w:history="1">
        <w:r w:rsidR="007F2617" w:rsidRPr="002031AB">
          <w:rPr>
            <w:rStyle w:val="Hyperlink"/>
            <w:noProof/>
          </w:rPr>
          <w:t>Figure 9.1: Scree plot test.</w:t>
        </w:r>
        <w:r w:rsidR="007F2617">
          <w:rPr>
            <w:noProof/>
            <w:webHidden/>
          </w:rPr>
          <w:tab/>
        </w:r>
        <w:r w:rsidR="007F2617">
          <w:rPr>
            <w:noProof/>
            <w:webHidden/>
          </w:rPr>
          <w:fldChar w:fldCharType="begin"/>
        </w:r>
        <w:r w:rsidR="007F2617">
          <w:rPr>
            <w:noProof/>
            <w:webHidden/>
          </w:rPr>
          <w:instrText xml:space="preserve"> PAGEREF _Toc6472985 \h </w:instrText>
        </w:r>
        <w:r w:rsidR="007F2617">
          <w:rPr>
            <w:noProof/>
            <w:webHidden/>
          </w:rPr>
        </w:r>
        <w:r w:rsidR="007F2617">
          <w:rPr>
            <w:noProof/>
            <w:webHidden/>
          </w:rPr>
          <w:fldChar w:fldCharType="separate"/>
        </w:r>
        <w:r w:rsidR="00301AD4">
          <w:rPr>
            <w:noProof/>
            <w:webHidden/>
          </w:rPr>
          <w:t>180</w:t>
        </w:r>
        <w:r w:rsidR="007F2617">
          <w:rPr>
            <w:noProof/>
            <w:webHidden/>
          </w:rPr>
          <w:fldChar w:fldCharType="end"/>
        </w:r>
      </w:hyperlink>
    </w:p>
    <w:p w14:paraId="0952C965" w14:textId="11511EC6" w:rsidR="007F2617" w:rsidRDefault="000E3509">
      <w:pPr>
        <w:pStyle w:val="TOC6"/>
        <w:rPr>
          <w:rFonts w:asciiTheme="minorHAnsi" w:eastAsiaTheme="minorEastAsia" w:hAnsiTheme="minorHAnsi" w:cstheme="minorBidi"/>
          <w:noProof/>
          <w:sz w:val="22"/>
          <w:szCs w:val="22"/>
        </w:rPr>
      </w:pPr>
      <w:hyperlink w:anchor="_Toc6472986" w:history="1">
        <w:r w:rsidR="007F2617" w:rsidRPr="002031AB">
          <w:rPr>
            <w:rStyle w:val="Hyperlink"/>
            <w:rFonts w:eastAsia="Calibri"/>
            <w:noProof/>
          </w:rPr>
          <w:t>Figure 11.8: Distribution of scores of the observed characteristics</w:t>
        </w:r>
        <w:r w:rsidR="007F2617">
          <w:rPr>
            <w:rStyle w:val="Hyperlink"/>
            <w:rFonts w:eastAsia="Calibri"/>
            <w:noProof/>
          </w:rPr>
          <w:br/>
        </w:r>
        <w:r w:rsidR="007F2617" w:rsidRPr="002031AB">
          <w:rPr>
            <w:rStyle w:val="Hyperlink"/>
            <w:rFonts w:eastAsia="Calibri"/>
            <w:noProof/>
          </w:rPr>
          <w:t>for VS1.</w:t>
        </w:r>
        <w:r w:rsidR="007F2617">
          <w:rPr>
            <w:noProof/>
            <w:webHidden/>
          </w:rPr>
          <w:tab/>
        </w:r>
        <w:r w:rsidR="007F2617">
          <w:rPr>
            <w:noProof/>
            <w:webHidden/>
          </w:rPr>
          <w:fldChar w:fldCharType="begin"/>
        </w:r>
        <w:r w:rsidR="007F2617">
          <w:rPr>
            <w:noProof/>
            <w:webHidden/>
          </w:rPr>
          <w:instrText xml:space="preserve"> PAGEREF _Toc6472986 \h </w:instrText>
        </w:r>
        <w:r w:rsidR="007F2617">
          <w:rPr>
            <w:noProof/>
            <w:webHidden/>
          </w:rPr>
        </w:r>
        <w:r w:rsidR="007F2617">
          <w:rPr>
            <w:noProof/>
            <w:webHidden/>
          </w:rPr>
          <w:fldChar w:fldCharType="separate"/>
        </w:r>
        <w:r w:rsidR="00301AD4">
          <w:rPr>
            <w:noProof/>
            <w:webHidden/>
          </w:rPr>
          <w:t>243</w:t>
        </w:r>
        <w:r w:rsidR="007F2617">
          <w:rPr>
            <w:noProof/>
            <w:webHidden/>
          </w:rPr>
          <w:fldChar w:fldCharType="end"/>
        </w:r>
      </w:hyperlink>
    </w:p>
    <w:p w14:paraId="4804CC1B" w14:textId="0FBE9DF3" w:rsidR="007F2617" w:rsidRDefault="000E3509">
      <w:pPr>
        <w:pStyle w:val="TOC6"/>
        <w:rPr>
          <w:rFonts w:asciiTheme="minorHAnsi" w:eastAsiaTheme="minorEastAsia" w:hAnsiTheme="minorHAnsi" w:cstheme="minorBidi"/>
          <w:noProof/>
          <w:sz w:val="22"/>
          <w:szCs w:val="22"/>
        </w:rPr>
      </w:pPr>
      <w:hyperlink w:anchor="_Toc6472987" w:history="1">
        <w:r w:rsidR="007F2617" w:rsidRPr="002031AB">
          <w:rPr>
            <w:rStyle w:val="Hyperlink"/>
            <w:rFonts w:eastAsia="Calibri"/>
            <w:noProof/>
          </w:rPr>
          <w:t xml:space="preserve">Figure 11.9: Distribution of scores of the observed characteristics </w:t>
        </w:r>
        <w:r w:rsidR="007F2617">
          <w:rPr>
            <w:rStyle w:val="Hyperlink"/>
            <w:rFonts w:eastAsia="Calibri"/>
            <w:noProof/>
          </w:rPr>
          <w:br/>
        </w:r>
        <w:r w:rsidR="007F2617" w:rsidRPr="002031AB">
          <w:rPr>
            <w:rStyle w:val="Hyperlink"/>
            <w:rFonts w:eastAsia="Calibri"/>
            <w:noProof/>
          </w:rPr>
          <w:t>for VS3.</w:t>
        </w:r>
        <w:r w:rsidR="007F2617">
          <w:rPr>
            <w:noProof/>
            <w:webHidden/>
          </w:rPr>
          <w:tab/>
        </w:r>
        <w:r w:rsidR="007F2617">
          <w:rPr>
            <w:noProof/>
            <w:webHidden/>
          </w:rPr>
          <w:fldChar w:fldCharType="begin"/>
        </w:r>
        <w:r w:rsidR="007F2617">
          <w:rPr>
            <w:noProof/>
            <w:webHidden/>
          </w:rPr>
          <w:instrText xml:space="preserve"> PAGEREF _Toc6472987 \h </w:instrText>
        </w:r>
        <w:r w:rsidR="007F2617">
          <w:rPr>
            <w:noProof/>
            <w:webHidden/>
          </w:rPr>
        </w:r>
        <w:r w:rsidR="007F2617">
          <w:rPr>
            <w:noProof/>
            <w:webHidden/>
          </w:rPr>
          <w:fldChar w:fldCharType="separate"/>
        </w:r>
        <w:r w:rsidR="00301AD4">
          <w:rPr>
            <w:noProof/>
            <w:webHidden/>
          </w:rPr>
          <w:t>252</w:t>
        </w:r>
        <w:r w:rsidR="007F2617">
          <w:rPr>
            <w:noProof/>
            <w:webHidden/>
          </w:rPr>
          <w:fldChar w:fldCharType="end"/>
        </w:r>
      </w:hyperlink>
    </w:p>
    <w:p w14:paraId="7B170C49" w14:textId="2887E9BE" w:rsidR="007F2617" w:rsidRDefault="000E3509">
      <w:pPr>
        <w:pStyle w:val="TOC6"/>
        <w:rPr>
          <w:rFonts w:asciiTheme="minorHAnsi" w:eastAsiaTheme="minorEastAsia" w:hAnsiTheme="minorHAnsi" w:cstheme="minorBidi"/>
          <w:noProof/>
          <w:sz w:val="22"/>
          <w:szCs w:val="22"/>
        </w:rPr>
      </w:pPr>
      <w:hyperlink w:anchor="_Toc6472988" w:history="1">
        <w:r w:rsidR="007F2617" w:rsidRPr="002031AB">
          <w:rPr>
            <w:rStyle w:val="Hyperlink"/>
            <w:rFonts w:eastAsia="Calibri"/>
            <w:noProof/>
          </w:rPr>
          <w:t xml:space="preserve">Figure 11.10: Distribution of scores of the observed characteristics </w:t>
        </w:r>
        <w:r w:rsidR="007F2617">
          <w:rPr>
            <w:rStyle w:val="Hyperlink"/>
            <w:rFonts w:eastAsia="Calibri"/>
            <w:noProof/>
          </w:rPr>
          <w:br/>
          <w:t xml:space="preserve"> </w:t>
        </w:r>
        <w:r w:rsidR="007F2617" w:rsidRPr="002031AB">
          <w:rPr>
            <w:rStyle w:val="Hyperlink"/>
            <w:rFonts w:eastAsia="Calibri"/>
            <w:noProof/>
          </w:rPr>
          <w:t>for VS2.</w:t>
        </w:r>
        <w:r w:rsidR="007F2617">
          <w:rPr>
            <w:noProof/>
            <w:webHidden/>
          </w:rPr>
          <w:tab/>
        </w:r>
        <w:r w:rsidR="007F2617">
          <w:rPr>
            <w:noProof/>
            <w:webHidden/>
          </w:rPr>
          <w:fldChar w:fldCharType="begin"/>
        </w:r>
        <w:r w:rsidR="007F2617">
          <w:rPr>
            <w:noProof/>
            <w:webHidden/>
          </w:rPr>
          <w:instrText xml:space="preserve"> PAGEREF _Toc6472988 \h </w:instrText>
        </w:r>
        <w:r w:rsidR="007F2617">
          <w:rPr>
            <w:noProof/>
            <w:webHidden/>
          </w:rPr>
        </w:r>
        <w:r w:rsidR="007F2617">
          <w:rPr>
            <w:noProof/>
            <w:webHidden/>
          </w:rPr>
          <w:fldChar w:fldCharType="separate"/>
        </w:r>
        <w:r w:rsidR="00301AD4">
          <w:rPr>
            <w:noProof/>
            <w:webHidden/>
          </w:rPr>
          <w:t>259</w:t>
        </w:r>
        <w:r w:rsidR="007F2617">
          <w:rPr>
            <w:noProof/>
            <w:webHidden/>
          </w:rPr>
          <w:fldChar w:fldCharType="end"/>
        </w:r>
      </w:hyperlink>
    </w:p>
    <w:p w14:paraId="3E3F3C9D" w14:textId="44A7AF93" w:rsidR="007F2617" w:rsidRDefault="000E3509">
      <w:pPr>
        <w:pStyle w:val="TOC6"/>
        <w:rPr>
          <w:rFonts w:asciiTheme="minorHAnsi" w:eastAsiaTheme="minorEastAsia" w:hAnsiTheme="minorHAnsi" w:cstheme="minorBidi"/>
          <w:noProof/>
          <w:sz w:val="22"/>
          <w:szCs w:val="22"/>
        </w:rPr>
      </w:pPr>
      <w:hyperlink w:anchor="_Toc6472989" w:history="1">
        <w:r w:rsidR="007F2617" w:rsidRPr="002031AB">
          <w:rPr>
            <w:rStyle w:val="Hyperlink"/>
            <w:rFonts w:eastAsia="Calibri"/>
            <w:noProof/>
          </w:rPr>
          <w:t xml:space="preserve">Figure 11.11: Distribution of scores of the observed characteristics </w:t>
        </w:r>
        <w:r w:rsidR="007F2617">
          <w:rPr>
            <w:rStyle w:val="Hyperlink"/>
            <w:rFonts w:eastAsia="Calibri"/>
            <w:noProof/>
          </w:rPr>
          <w:br/>
          <w:t xml:space="preserve">  </w:t>
        </w:r>
        <w:r w:rsidR="007F2617" w:rsidRPr="002031AB">
          <w:rPr>
            <w:rStyle w:val="Hyperlink"/>
            <w:rFonts w:eastAsia="Calibri"/>
            <w:noProof/>
          </w:rPr>
          <w:t>for VS4.</w:t>
        </w:r>
        <w:r w:rsidR="007F2617">
          <w:rPr>
            <w:noProof/>
            <w:webHidden/>
          </w:rPr>
          <w:tab/>
        </w:r>
        <w:r w:rsidR="007F2617">
          <w:rPr>
            <w:noProof/>
            <w:webHidden/>
          </w:rPr>
          <w:fldChar w:fldCharType="begin"/>
        </w:r>
        <w:r w:rsidR="007F2617">
          <w:rPr>
            <w:noProof/>
            <w:webHidden/>
          </w:rPr>
          <w:instrText xml:space="preserve"> PAGEREF _Toc6472989 \h </w:instrText>
        </w:r>
        <w:r w:rsidR="007F2617">
          <w:rPr>
            <w:noProof/>
            <w:webHidden/>
          </w:rPr>
        </w:r>
        <w:r w:rsidR="007F2617">
          <w:rPr>
            <w:noProof/>
            <w:webHidden/>
          </w:rPr>
          <w:fldChar w:fldCharType="separate"/>
        </w:r>
        <w:r w:rsidR="00301AD4">
          <w:rPr>
            <w:noProof/>
            <w:webHidden/>
          </w:rPr>
          <w:t>264</w:t>
        </w:r>
        <w:r w:rsidR="007F2617">
          <w:rPr>
            <w:noProof/>
            <w:webHidden/>
          </w:rPr>
          <w:fldChar w:fldCharType="end"/>
        </w:r>
      </w:hyperlink>
    </w:p>
    <w:p w14:paraId="29633A63" w14:textId="298611F0" w:rsidR="00385DEA" w:rsidRPr="00CF31E0" w:rsidRDefault="00F506E9" w:rsidP="007F2617">
      <w:pPr>
        <w:pStyle w:val="TOC1"/>
        <w:rPr>
          <w:rFonts w:asciiTheme="minorHAnsi" w:eastAsiaTheme="minorEastAsia" w:hAnsiTheme="minorHAnsi" w:cstheme="minorBidi"/>
          <w:sz w:val="22"/>
          <w:szCs w:val="22"/>
        </w:rPr>
      </w:pPr>
      <w:r w:rsidRPr="00CF31E0">
        <w:rPr>
          <w:rFonts w:ascii="Times New Roman" w:hAnsi="Times New Roman"/>
          <w:noProof w:val="0"/>
          <w:szCs w:val="20"/>
        </w:rPr>
        <w:fldChar w:fldCharType="end"/>
      </w:r>
      <w:r w:rsidR="007F2617">
        <w:rPr>
          <w:rFonts w:ascii="Times New Roman" w:hAnsi="Times New Roman"/>
          <w:noProof w:val="0"/>
          <w:szCs w:val="20"/>
        </w:rPr>
        <w:t xml:space="preserve"> </w:t>
      </w:r>
      <w:r w:rsidR="00385DEA" w:rsidRPr="00CF31E0">
        <w:fldChar w:fldCharType="begin"/>
      </w:r>
      <w:r w:rsidR="00385DEA" w:rsidRPr="00CF31E0">
        <w:instrText xml:space="preserve"> TOC \h \z \t "Fig caption,1" </w:instrText>
      </w:r>
      <w:r w:rsidR="00385DEA" w:rsidRPr="00CF31E0">
        <w:fldChar w:fldCharType="separate"/>
      </w:r>
    </w:p>
    <w:p w14:paraId="66ACD451" w14:textId="4B8D8878" w:rsidR="00467EF6" w:rsidRPr="00CF31E0" w:rsidRDefault="00385DEA" w:rsidP="00467EF6">
      <w:pPr>
        <w:rPr>
          <w:color w:val="000000" w:themeColor="text1"/>
        </w:rPr>
      </w:pPr>
      <w:r w:rsidRPr="00CF31E0">
        <w:rPr>
          <w:color w:val="000000" w:themeColor="text1"/>
        </w:rPr>
        <w:fldChar w:fldCharType="end"/>
      </w:r>
    </w:p>
    <w:p w14:paraId="361D2F5C" w14:textId="77777777" w:rsidR="007B7C1F" w:rsidRPr="00CF31E0" w:rsidRDefault="007B7C1F" w:rsidP="00467EF6">
      <w:pPr>
        <w:rPr>
          <w:color w:val="000000" w:themeColor="text1"/>
        </w:rPr>
      </w:pPr>
    </w:p>
    <w:p w14:paraId="20BC47A3" w14:textId="77777777" w:rsidR="007B7C1F" w:rsidRPr="00CF31E0" w:rsidRDefault="007B7C1F" w:rsidP="00467EF6">
      <w:pPr>
        <w:rPr>
          <w:color w:val="000000" w:themeColor="text1"/>
        </w:rPr>
      </w:pPr>
    </w:p>
    <w:p w14:paraId="42E07DD5" w14:textId="77777777" w:rsidR="007B7C1F" w:rsidRPr="00CF31E0" w:rsidRDefault="007B7C1F" w:rsidP="00467EF6">
      <w:pPr>
        <w:rPr>
          <w:color w:val="000000" w:themeColor="text1"/>
        </w:rPr>
        <w:sectPr w:rsidR="007B7C1F" w:rsidRPr="00CF31E0" w:rsidSect="00603CB7">
          <w:pgSz w:w="11900" w:h="16840"/>
          <w:pgMar w:top="1440" w:right="2268" w:bottom="1440" w:left="2268" w:header="709" w:footer="709" w:gutter="0"/>
          <w:pgNumType w:fmt="lowerRoman"/>
          <w:cols w:space="708"/>
          <w:docGrid w:linePitch="360"/>
        </w:sectPr>
      </w:pPr>
    </w:p>
    <w:p w14:paraId="7E438137" w14:textId="63798D53" w:rsidR="00467EF6" w:rsidRPr="00CF31E0" w:rsidRDefault="00467EF6" w:rsidP="00467EF6">
      <w:pPr>
        <w:pStyle w:val="Title"/>
        <w:rPr>
          <w:color w:val="000000" w:themeColor="text1"/>
        </w:rPr>
      </w:pPr>
      <w:bookmarkStart w:id="6" w:name="_Toc6472614"/>
      <w:r w:rsidRPr="00CF31E0">
        <w:rPr>
          <w:color w:val="000000" w:themeColor="text1"/>
        </w:rPr>
        <w:lastRenderedPageBreak/>
        <w:t xml:space="preserve">List of </w:t>
      </w:r>
      <w:r w:rsidR="007F25EF" w:rsidRPr="00CF31E0">
        <w:rPr>
          <w:color w:val="000000" w:themeColor="text1"/>
        </w:rPr>
        <w:t>t</w:t>
      </w:r>
      <w:r w:rsidRPr="00CF31E0">
        <w:rPr>
          <w:color w:val="000000" w:themeColor="text1"/>
        </w:rPr>
        <w:t>ables</w:t>
      </w:r>
      <w:bookmarkEnd w:id="6"/>
    </w:p>
    <w:p w14:paraId="55BC9BFE" w14:textId="2478FED2" w:rsidR="007F2617" w:rsidRDefault="00B22FC4">
      <w:pPr>
        <w:pStyle w:val="TOC7"/>
        <w:rPr>
          <w:rFonts w:asciiTheme="minorHAnsi" w:eastAsiaTheme="minorEastAsia" w:hAnsiTheme="minorHAnsi" w:cstheme="minorBidi"/>
          <w:noProof/>
          <w:sz w:val="22"/>
          <w:szCs w:val="22"/>
        </w:rPr>
      </w:pPr>
      <w:r w:rsidRPr="00CF31E0">
        <w:rPr>
          <w:bCs/>
          <w:noProof/>
          <w:color w:val="000000" w:themeColor="text1"/>
        </w:rPr>
        <w:fldChar w:fldCharType="begin"/>
      </w:r>
      <w:r w:rsidRPr="00CF31E0">
        <w:rPr>
          <w:bCs/>
          <w:noProof/>
          <w:color w:val="000000" w:themeColor="text1"/>
        </w:rPr>
        <w:instrText xml:space="preserve"> TOC \h \z \t "Table caption,7" </w:instrText>
      </w:r>
      <w:r w:rsidRPr="00CF31E0">
        <w:rPr>
          <w:bCs/>
          <w:noProof/>
          <w:color w:val="000000" w:themeColor="text1"/>
        </w:rPr>
        <w:fldChar w:fldCharType="separate"/>
      </w:r>
      <w:hyperlink w:anchor="_Toc6473039" w:history="1">
        <w:r w:rsidR="007F2617" w:rsidRPr="00F83BBB">
          <w:rPr>
            <w:rStyle w:val="Hyperlink"/>
            <w:noProof/>
          </w:rPr>
          <w:t xml:space="preserve">Table 2.1: Examples of settlers’ surnames according to their </w:t>
        </w:r>
        <w:r w:rsidR="007F2617">
          <w:rPr>
            <w:rStyle w:val="Hyperlink"/>
            <w:noProof/>
          </w:rPr>
          <w:br/>
        </w:r>
        <w:r w:rsidR="007F2617" w:rsidRPr="00F83BBB">
          <w:rPr>
            <w:rStyle w:val="Hyperlink"/>
            <w:noProof/>
          </w:rPr>
          <w:t>occupations.</w:t>
        </w:r>
        <w:r w:rsidR="007F2617">
          <w:rPr>
            <w:noProof/>
            <w:webHidden/>
          </w:rPr>
          <w:tab/>
        </w:r>
        <w:r w:rsidR="007F2617">
          <w:rPr>
            <w:noProof/>
            <w:webHidden/>
          </w:rPr>
          <w:fldChar w:fldCharType="begin"/>
        </w:r>
        <w:r w:rsidR="007F2617">
          <w:rPr>
            <w:noProof/>
            <w:webHidden/>
          </w:rPr>
          <w:instrText xml:space="preserve"> PAGEREF _Toc6473039 \h </w:instrText>
        </w:r>
        <w:r w:rsidR="007F2617">
          <w:rPr>
            <w:noProof/>
            <w:webHidden/>
          </w:rPr>
        </w:r>
        <w:r w:rsidR="007F2617">
          <w:rPr>
            <w:noProof/>
            <w:webHidden/>
          </w:rPr>
          <w:fldChar w:fldCharType="separate"/>
        </w:r>
        <w:r w:rsidR="00301AD4">
          <w:rPr>
            <w:noProof/>
            <w:webHidden/>
          </w:rPr>
          <w:t>14</w:t>
        </w:r>
        <w:r w:rsidR="007F2617">
          <w:rPr>
            <w:noProof/>
            <w:webHidden/>
          </w:rPr>
          <w:fldChar w:fldCharType="end"/>
        </w:r>
      </w:hyperlink>
    </w:p>
    <w:p w14:paraId="7321795C" w14:textId="77777777" w:rsidR="007F2617" w:rsidRDefault="000E3509">
      <w:pPr>
        <w:pStyle w:val="TOC7"/>
        <w:rPr>
          <w:rFonts w:asciiTheme="minorHAnsi" w:eastAsiaTheme="minorEastAsia" w:hAnsiTheme="minorHAnsi" w:cstheme="minorBidi"/>
          <w:noProof/>
          <w:sz w:val="22"/>
          <w:szCs w:val="22"/>
        </w:rPr>
      </w:pPr>
      <w:hyperlink w:anchor="_Toc6473062" w:history="1">
        <w:r w:rsidR="007F2617" w:rsidRPr="00F83BBB">
          <w:rPr>
            <w:rStyle w:val="Hyperlink"/>
            <w:noProof/>
          </w:rPr>
          <w:t>Table 2.2: Worldwide crude oil production (barrels/day).</w:t>
        </w:r>
        <w:r w:rsidR="007F2617">
          <w:rPr>
            <w:noProof/>
            <w:webHidden/>
          </w:rPr>
          <w:tab/>
        </w:r>
        <w:r w:rsidR="007F2617">
          <w:rPr>
            <w:noProof/>
            <w:webHidden/>
          </w:rPr>
          <w:fldChar w:fldCharType="begin"/>
        </w:r>
        <w:r w:rsidR="007F2617">
          <w:rPr>
            <w:noProof/>
            <w:webHidden/>
          </w:rPr>
          <w:instrText xml:space="preserve"> PAGEREF _Toc6473062 \h </w:instrText>
        </w:r>
        <w:r w:rsidR="007F2617">
          <w:rPr>
            <w:noProof/>
            <w:webHidden/>
          </w:rPr>
        </w:r>
        <w:r w:rsidR="007F2617">
          <w:rPr>
            <w:noProof/>
            <w:webHidden/>
          </w:rPr>
          <w:fldChar w:fldCharType="separate"/>
        </w:r>
        <w:r w:rsidR="00301AD4">
          <w:rPr>
            <w:noProof/>
            <w:webHidden/>
          </w:rPr>
          <w:t>18</w:t>
        </w:r>
        <w:r w:rsidR="007F2617">
          <w:rPr>
            <w:noProof/>
            <w:webHidden/>
          </w:rPr>
          <w:fldChar w:fldCharType="end"/>
        </w:r>
      </w:hyperlink>
    </w:p>
    <w:p w14:paraId="6639A3DF" w14:textId="77777777" w:rsidR="007F2617" w:rsidRDefault="000E3509">
      <w:pPr>
        <w:pStyle w:val="TOC7"/>
        <w:rPr>
          <w:rFonts w:asciiTheme="minorHAnsi" w:eastAsiaTheme="minorEastAsia" w:hAnsiTheme="minorHAnsi" w:cstheme="minorBidi"/>
          <w:noProof/>
          <w:sz w:val="22"/>
          <w:szCs w:val="22"/>
        </w:rPr>
      </w:pPr>
      <w:hyperlink w:anchor="_Toc6473063" w:history="1">
        <w:r w:rsidR="007F2617" w:rsidRPr="00F83BBB">
          <w:rPr>
            <w:rStyle w:val="Hyperlink"/>
            <w:noProof/>
          </w:rPr>
          <w:t>Table 2.3: The main phonological differences between the two dialects compared to MSA, according to three above-reviewed production studies.</w:t>
        </w:r>
        <w:r w:rsidR="007F2617">
          <w:rPr>
            <w:noProof/>
            <w:webHidden/>
          </w:rPr>
          <w:tab/>
        </w:r>
        <w:r w:rsidR="007F2617">
          <w:rPr>
            <w:noProof/>
            <w:webHidden/>
          </w:rPr>
          <w:fldChar w:fldCharType="begin"/>
        </w:r>
        <w:r w:rsidR="007F2617">
          <w:rPr>
            <w:noProof/>
            <w:webHidden/>
          </w:rPr>
          <w:instrText xml:space="preserve"> PAGEREF _Toc6473063 \h </w:instrText>
        </w:r>
        <w:r w:rsidR="007F2617">
          <w:rPr>
            <w:noProof/>
            <w:webHidden/>
          </w:rPr>
        </w:r>
        <w:r w:rsidR="007F2617">
          <w:rPr>
            <w:noProof/>
            <w:webHidden/>
          </w:rPr>
          <w:fldChar w:fldCharType="separate"/>
        </w:r>
        <w:r w:rsidR="00301AD4">
          <w:rPr>
            <w:noProof/>
            <w:webHidden/>
          </w:rPr>
          <w:t>33</w:t>
        </w:r>
        <w:r w:rsidR="007F2617">
          <w:rPr>
            <w:noProof/>
            <w:webHidden/>
          </w:rPr>
          <w:fldChar w:fldCharType="end"/>
        </w:r>
      </w:hyperlink>
    </w:p>
    <w:p w14:paraId="4C509FF7" w14:textId="76A352CA" w:rsidR="007F2617" w:rsidRDefault="000E3509">
      <w:pPr>
        <w:pStyle w:val="TOC7"/>
        <w:rPr>
          <w:rFonts w:asciiTheme="minorHAnsi" w:eastAsiaTheme="minorEastAsia" w:hAnsiTheme="minorHAnsi" w:cstheme="minorBidi"/>
          <w:noProof/>
          <w:sz w:val="22"/>
          <w:szCs w:val="22"/>
        </w:rPr>
      </w:pPr>
      <w:hyperlink w:anchor="_Toc6473064" w:history="1">
        <w:r w:rsidR="007F2617" w:rsidRPr="00F83BBB">
          <w:rPr>
            <w:rStyle w:val="Hyperlink"/>
            <w:noProof/>
          </w:rPr>
          <w:t xml:space="preserve">Table 2.4: Some vocabulary differences between the UBH and HH </w:t>
        </w:r>
        <w:r w:rsidR="007F2617">
          <w:rPr>
            <w:rStyle w:val="Hyperlink"/>
            <w:noProof/>
          </w:rPr>
          <w:br/>
        </w:r>
        <w:r w:rsidR="007F2617" w:rsidRPr="00F83BBB">
          <w:rPr>
            <w:rStyle w:val="Hyperlink"/>
            <w:noProof/>
          </w:rPr>
          <w:t>dialects.</w:t>
        </w:r>
        <w:r w:rsidR="007F2617">
          <w:rPr>
            <w:noProof/>
            <w:webHidden/>
          </w:rPr>
          <w:tab/>
        </w:r>
        <w:r w:rsidR="007F2617">
          <w:rPr>
            <w:noProof/>
            <w:webHidden/>
          </w:rPr>
          <w:fldChar w:fldCharType="begin"/>
        </w:r>
        <w:r w:rsidR="007F2617">
          <w:rPr>
            <w:noProof/>
            <w:webHidden/>
          </w:rPr>
          <w:instrText xml:space="preserve"> PAGEREF _Toc6473064 \h </w:instrText>
        </w:r>
        <w:r w:rsidR="007F2617">
          <w:rPr>
            <w:noProof/>
            <w:webHidden/>
          </w:rPr>
        </w:r>
        <w:r w:rsidR="007F2617">
          <w:rPr>
            <w:noProof/>
            <w:webHidden/>
          </w:rPr>
          <w:fldChar w:fldCharType="separate"/>
        </w:r>
        <w:r w:rsidR="00301AD4">
          <w:rPr>
            <w:noProof/>
            <w:webHidden/>
          </w:rPr>
          <w:t>35</w:t>
        </w:r>
        <w:r w:rsidR="007F2617">
          <w:rPr>
            <w:noProof/>
            <w:webHidden/>
          </w:rPr>
          <w:fldChar w:fldCharType="end"/>
        </w:r>
      </w:hyperlink>
    </w:p>
    <w:p w14:paraId="4C15AD88" w14:textId="77777777" w:rsidR="007F2617" w:rsidRDefault="000E3509">
      <w:pPr>
        <w:pStyle w:val="TOC7"/>
        <w:rPr>
          <w:rFonts w:asciiTheme="minorHAnsi" w:eastAsiaTheme="minorEastAsia" w:hAnsiTheme="minorHAnsi" w:cstheme="minorBidi"/>
          <w:noProof/>
          <w:sz w:val="22"/>
          <w:szCs w:val="22"/>
        </w:rPr>
      </w:pPr>
      <w:hyperlink w:anchor="_Toc6473065" w:history="1">
        <w:r w:rsidR="007F2617" w:rsidRPr="00F83BBB">
          <w:rPr>
            <w:rStyle w:val="Hyperlink"/>
            <w:noProof/>
            <w:lang w:eastAsia="zh-CN"/>
          </w:rPr>
          <w:t>Table 5.1: Number and age of participants in the free-adjective questionnaire.</w:t>
        </w:r>
        <w:r w:rsidR="007F2617">
          <w:rPr>
            <w:noProof/>
            <w:webHidden/>
          </w:rPr>
          <w:tab/>
        </w:r>
        <w:r w:rsidR="007F2617">
          <w:rPr>
            <w:noProof/>
            <w:webHidden/>
          </w:rPr>
          <w:fldChar w:fldCharType="begin"/>
        </w:r>
        <w:r w:rsidR="007F2617">
          <w:rPr>
            <w:noProof/>
            <w:webHidden/>
          </w:rPr>
          <w:instrText xml:space="preserve"> PAGEREF _Toc6473065 \h </w:instrText>
        </w:r>
        <w:r w:rsidR="007F2617">
          <w:rPr>
            <w:noProof/>
            <w:webHidden/>
          </w:rPr>
        </w:r>
        <w:r w:rsidR="007F2617">
          <w:rPr>
            <w:noProof/>
            <w:webHidden/>
          </w:rPr>
          <w:fldChar w:fldCharType="separate"/>
        </w:r>
        <w:r w:rsidR="00301AD4">
          <w:rPr>
            <w:noProof/>
            <w:webHidden/>
          </w:rPr>
          <w:t>104</w:t>
        </w:r>
        <w:r w:rsidR="007F2617">
          <w:rPr>
            <w:noProof/>
            <w:webHidden/>
          </w:rPr>
          <w:fldChar w:fldCharType="end"/>
        </w:r>
      </w:hyperlink>
    </w:p>
    <w:p w14:paraId="76AF1C56" w14:textId="77777777" w:rsidR="007F2617" w:rsidRDefault="000E3509">
      <w:pPr>
        <w:pStyle w:val="TOC7"/>
        <w:rPr>
          <w:rFonts w:asciiTheme="minorHAnsi" w:eastAsiaTheme="minorEastAsia" w:hAnsiTheme="minorHAnsi" w:cstheme="minorBidi"/>
          <w:noProof/>
          <w:sz w:val="22"/>
          <w:szCs w:val="22"/>
        </w:rPr>
      </w:pPr>
      <w:hyperlink w:anchor="_Toc6473066" w:history="1">
        <w:r w:rsidR="007F2617" w:rsidRPr="00F83BBB">
          <w:rPr>
            <w:rStyle w:val="Hyperlink"/>
            <w:noProof/>
            <w:lang w:eastAsia="zh-CN"/>
          </w:rPr>
          <w:t>Table 5.2: Participants’ perceptions towards UBH and HH dialects.</w:t>
        </w:r>
        <w:r w:rsidR="007F2617">
          <w:rPr>
            <w:noProof/>
            <w:webHidden/>
          </w:rPr>
          <w:tab/>
        </w:r>
        <w:r w:rsidR="007F2617">
          <w:rPr>
            <w:noProof/>
            <w:webHidden/>
          </w:rPr>
          <w:fldChar w:fldCharType="begin"/>
        </w:r>
        <w:r w:rsidR="007F2617">
          <w:rPr>
            <w:noProof/>
            <w:webHidden/>
          </w:rPr>
          <w:instrText xml:space="preserve"> PAGEREF _Toc6473066 \h </w:instrText>
        </w:r>
        <w:r w:rsidR="007F2617">
          <w:rPr>
            <w:noProof/>
            <w:webHidden/>
          </w:rPr>
        </w:r>
        <w:r w:rsidR="007F2617">
          <w:rPr>
            <w:noProof/>
            <w:webHidden/>
          </w:rPr>
          <w:fldChar w:fldCharType="separate"/>
        </w:r>
        <w:r w:rsidR="00301AD4">
          <w:rPr>
            <w:noProof/>
            <w:webHidden/>
          </w:rPr>
          <w:t>104</w:t>
        </w:r>
        <w:r w:rsidR="007F2617">
          <w:rPr>
            <w:noProof/>
            <w:webHidden/>
          </w:rPr>
          <w:fldChar w:fldCharType="end"/>
        </w:r>
      </w:hyperlink>
    </w:p>
    <w:p w14:paraId="36DEF898" w14:textId="77777777" w:rsidR="007F2617" w:rsidRDefault="000E3509">
      <w:pPr>
        <w:pStyle w:val="TOC7"/>
        <w:rPr>
          <w:rFonts w:asciiTheme="minorHAnsi" w:eastAsiaTheme="minorEastAsia" w:hAnsiTheme="minorHAnsi" w:cstheme="minorBidi"/>
          <w:noProof/>
          <w:sz w:val="22"/>
          <w:szCs w:val="22"/>
        </w:rPr>
      </w:pPr>
      <w:hyperlink w:anchor="_Toc6473067" w:history="1">
        <w:r w:rsidR="007F2617" w:rsidRPr="00F83BBB">
          <w:rPr>
            <w:rStyle w:val="Hyperlink"/>
            <w:noProof/>
            <w:lang w:eastAsia="zh-CN"/>
          </w:rPr>
          <w:t>Table 5.3: Sample of the questionnaire design for the rating task.</w:t>
        </w:r>
        <w:r w:rsidR="007F2617">
          <w:rPr>
            <w:noProof/>
            <w:webHidden/>
          </w:rPr>
          <w:tab/>
        </w:r>
        <w:r w:rsidR="007F2617">
          <w:rPr>
            <w:noProof/>
            <w:webHidden/>
          </w:rPr>
          <w:fldChar w:fldCharType="begin"/>
        </w:r>
        <w:r w:rsidR="007F2617">
          <w:rPr>
            <w:noProof/>
            <w:webHidden/>
          </w:rPr>
          <w:instrText xml:space="preserve"> PAGEREF _Toc6473067 \h </w:instrText>
        </w:r>
        <w:r w:rsidR="007F2617">
          <w:rPr>
            <w:noProof/>
            <w:webHidden/>
          </w:rPr>
        </w:r>
        <w:r w:rsidR="007F2617">
          <w:rPr>
            <w:noProof/>
            <w:webHidden/>
          </w:rPr>
          <w:fldChar w:fldCharType="separate"/>
        </w:r>
        <w:r w:rsidR="00301AD4">
          <w:rPr>
            <w:noProof/>
            <w:webHidden/>
          </w:rPr>
          <w:t>112</w:t>
        </w:r>
        <w:r w:rsidR="007F2617">
          <w:rPr>
            <w:noProof/>
            <w:webHidden/>
          </w:rPr>
          <w:fldChar w:fldCharType="end"/>
        </w:r>
      </w:hyperlink>
    </w:p>
    <w:p w14:paraId="22F3A188" w14:textId="77777777" w:rsidR="007F2617" w:rsidRDefault="000E3509">
      <w:pPr>
        <w:pStyle w:val="TOC7"/>
        <w:rPr>
          <w:rFonts w:asciiTheme="minorHAnsi" w:eastAsiaTheme="minorEastAsia" w:hAnsiTheme="minorHAnsi" w:cstheme="minorBidi"/>
          <w:noProof/>
          <w:sz w:val="22"/>
          <w:szCs w:val="22"/>
        </w:rPr>
      </w:pPr>
      <w:hyperlink w:anchor="_Toc6473068" w:history="1">
        <w:r w:rsidR="007F2617" w:rsidRPr="00F83BBB">
          <w:rPr>
            <w:rStyle w:val="Hyperlink"/>
            <w:noProof/>
            <w:lang w:eastAsia="zh-CN"/>
          </w:rPr>
          <w:t>Table 6.1: Number of participants according to gender group.</w:t>
        </w:r>
        <w:r w:rsidR="007F2617">
          <w:rPr>
            <w:noProof/>
            <w:webHidden/>
          </w:rPr>
          <w:tab/>
        </w:r>
        <w:r w:rsidR="007F2617">
          <w:rPr>
            <w:noProof/>
            <w:webHidden/>
          </w:rPr>
          <w:fldChar w:fldCharType="begin"/>
        </w:r>
        <w:r w:rsidR="007F2617">
          <w:rPr>
            <w:noProof/>
            <w:webHidden/>
          </w:rPr>
          <w:instrText xml:space="preserve"> PAGEREF _Toc6473068 \h </w:instrText>
        </w:r>
        <w:r w:rsidR="007F2617">
          <w:rPr>
            <w:noProof/>
            <w:webHidden/>
          </w:rPr>
        </w:r>
        <w:r w:rsidR="007F2617">
          <w:rPr>
            <w:noProof/>
            <w:webHidden/>
          </w:rPr>
          <w:fldChar w:fldCharType="separate"/>
        </w:r>
        <w:r w:rsidR="00301AD4">
          <w:rPr>
            <w:noProof/>
            <w:webHidden/>
          </w:rPr>
          <w:t>114</w:t>
        </w:r>
        <w:r w:rsidR="007F2617">
          <w:rPr>
            <w:noProof/>
            <w:webHidden/>
          </w:rPr>
          <w:fldChar w:fldCharType="end"/>
        </w:r>
      </w:hyperlink>
    </w:p>
    <w:p w14:paraId="7788AEBA" w14:textId="77777777" w:rsidR="007F2617" w:rsidRDefault="000E3509">
      <w:pPr>
        <w:pStyle w:val="TOC7"/>
        <w:rPr>
          <w:rFonts w:asciiTheme="minorHAnsi" w:eastAsiaTheme="minorEastAsia" w:hAnsiTheme="minorHAnsi" w:cstheme="minorBidi"/>
          <w:noProof/>
          <w:sz w:val="22"/>
          <w:szCs w:val="22"/>
        </w:rPr>
      </w:pPr>
      <w:hyperlink w:anchor="_Toc6473069" w:history="1">
        <w:r w:rsidR="007F2617" w:rsidRPr="00F83BBB">
          <w:rPr>
            <w:rStyle w:val="Hyperlink"/>
            <w:noProof/>
            <w:lang w:eastAsia="zh-CN"/>
          </w:rPr>
          <w:t>Table 6.2: Number of participants according to age group.</w:t>
        </w:r>
        <w:r w:rsidR="007F2617">
          <w:rPr>
            <w:noProof/>
            <w:webHidden/>
          </w:rPr>
          <w:tab/>
        </w:r>
        <w:r w:rsidR="007F2617">
          <w:rPr>
            <w:noProof/>
            <w:webHidden/>
          </w:rPr>
          <w:fldChar w:fldCharType="begin"/>
        </w:r>
        <w:r w:rsidR="007F2617">
          <w:rPr>
            <w:noProof/>
            <w:webHidden/>
          </w:rPr>
          <w:instrText xml:space="preserve"> PAGEREF _Toc6473069 \h </w:instrText>
        </w:r>
        <w:r w:rsidR="007F2617">
          <w:rPr>
            <w:noProof/>
            <w:webHidden/>
          </w:rPr>
        </w:r>
        <w:r w:rsidR="007F2617">
          <w:rPr>
            <w:noProof/>
            <w:webHidden/>
          </w:rPr>
          <w:fldChar w:fldCharType="separate"/>
        </w:r>
        <w:r w:rsidR="00301AD4">
          <w:rPr>
            <w:noProof/>
            <w:webHidden/>
          </w:rPr>
          <w:t>115</w:t>
        </w:r>
        <w:r w:rsidR="007F2617">
          <w:rPr>
            <w:noProof/>
            <w:webHidden/>
          </w:rPr>
          <w:fldChar w:fldCharType="end"/>
        </w:r>
      </w:hyperlink>
    </w:p>
    <w:p w14:paraId="51A40AFB" w14:textId="77777777" w:rsidR="007F2617" w:rsidRDefault="000E3509">
      <w:pPr>
        <w:pStyle w:val="TOC7"/>
        <w:rPr>
          <w:rFonts w:asciiTheme="minorHAnsi" w:eastAsiaTheme="minorEastAsia" w:hAnsiTheme="minorHAnsi" w:cstheme="minorBidi"/>
          <w:noProof/>
          <w:sz w:val="22"/>
          <w:szCs w:val="22"/>
        </w:rPr>
      </w:pPr>
      <w:hyperlink w:anchor="_Toc6473070" w:history="1">
        <w:r w:rsidR="007F2617" w:rsidRPr="00F83BBB">
          <w:rPr>
            <w:rStyle w:val="Hyperlink"/>
            <w:noProof/>
            <w:lang w:eastAsia="zh-CN"/>
          </w:rPr>
          <w:t>Table 6.3: Number of participants according to their place of birth.</w:t>
        </w:r>
        <w:r w:rsidR="007F2617">
          <w:rPr>
            <w:noProof/>
            <w:webHidden/>
          </w:rPr>
          <w:tab/>
        </w:r>
        <w:r w:rsidR="007F2617">
          <w:rPr>
            <w:noProof/>
            <w:webHidden/>
          </w:rPr>
          <w:fldChar w:fldCharType="begin"/>
        </w:r>
        <w:r w:rsidR="007F2617">
          <w:rPr>
            <w:noProof/>
            <w:webHidden/>
          </w:rPr>
          <w:instrText xml:space="preserve"> PAGEREF _Toc6473070 \h </w:instrText>
        </w:r>
        <w:r w:rsidR="007F2617">
          <w:rPr>
            <w:noProof/>
            <w:webHidden/>
          </w:rPr>
        </w:r>
        <w:r w:rsidR="007F2617">
          <w:rPr>
            <w:noProof/>
            <w:webHidden/>
          </w:rPr>
          <w:fldChar w:fldCharType="separate"/>
        </w:r>
        <w:r w:rsidR="00301AD4">
          <w:rPr>
            <w:noProof/>
            <w:webHidden/>
          </w:rPr>
          <w:t>115</w:t>
        </w:r>
        <w:r w:rsidR="007F2617">
          <w:rPr>
            <w:noProof/>
            <w:webHidden/>
          </w:rPr>
          <w:fldChar w:fldCharType="end"/>
        </w:r>
      </w:hyperlink>
    </w:p>
    <w:p w14:paraId="1D46314D" w14:textId="3A3E1BF9" w:rsidR="007F2617" w:rsidRDefault="000E3509">
      <w:pPr>
        <w:pStyle w:val="TOC7"/>
        <w:rPr>
          <w:rFonts w:asciiTheme="minorHAnsi" w:eastAsiaTheme="minorEastAsia" w:hAnsiTheme="minorHAnsi" w:cstheme="minorBidi"/>
          <w:noProof/>
          <w:sz w:val="22"/>
          <w:szCs w:val="22"/>
        </w:rPr>
      </w:pPr>
      <w:hyperlink w:anchor="_Toc6473071" w:history="1">
        <w:r w:rsidR="007F2617" w:rsidRPr="00F83BBB">
          <w:rPr>
            <w:rStyle w:val="Hyperlink"/>
            <w:noProof/>
            <w:lang w:eastAsia="zh-CN"/>
          </w:rPr>
          <w:t xml:space="preserve">Table 6.4: Number of participants living inside or outside Hijaz in </w:t>
        </w:r>
        <w:r w:rsidR="007F2617">
          <w:rPr>
            <w:rStyle w:val="Hyperlink"/>
            <w:noProof/>
            <w:lang w:eastAsia="zh-CN"/>
          </w:rPr>
          <w:br/>
        </w:r>
        <w:r w:rsidR="007F2617" w:rsidRPr="00F83BBB">
          <w:rPr>
            <w:rStyle w:val="Hyperlink"/>
            <w:noProof/>
            <w:lang w:eastAsia="zh-CN"/>
          </w:rPr>
          <w:t>the last ten years.</w:t>
        </w:r>
        <w:r w:rsidR="007F2617">
          <w:rPr>
            <w:noProof/>
            <w:webHidden/>
          </w:rPr>
          <w:tab/>
        </w:r>
        <w:r w:rsidR="007F2617">
          <w:rPr>
            <w:noProof/>
            <w:webHidden/>
          </w:rPr>
          <w:fldChar w:fldCharType="begin"/>
        </w:r>
        <w:r w:rsidR="007F2617">
          <w:rPr>
            <w:noProof/>
            <w:webHidden/>
          </w:rPr>
          <w:instrText xml:space="preserve"> PAGEREF _Toc6473071 \h </w:instrText>
        </w:r>
        <w:r w:rsidR="007F2617">
          <w:rPr>
            <w:noProof/>
            <w:webHidden/>
          </w:rPr>
        </w:r>
        <w:r w:rsidR="007F2617">
          <w:rPr>
            <w:noProof/>
            <w:webHidden/>
          </w:rPr>
          <w:fldChar w:fldCharType="separate"/>
        </w:r>
        <w:r w:rsidR="00301AD4">
          <w:rPr>
            <w:noProof/>
            <w:webHidden/>
          </w:rPr>
          <w:t>116</w:t>
        </w:r>
        <w:r w:rsidR="007F2617">
          <w:rPr>
            <w:noProof/>
            <w:webHidden/>
          </w:rPr>
          <w:fldChar w:fldCharType="end"/>
        </w:r>
      </w:hyperlink>
    </w:p>
    <w:p w14:paraId="28DE22F4" w14:textId="77777777" w:rsidR="007F2617" w:rsidRDefault="000E3509">
      <w:pPr>
        <w:pStyle w:val="TOC7"/>
        <w:rPr>
          <w:rFonts w:asciiTheme="minorHAnsi" w:eastAsiaTheme="minorEastAsia" w:hAnsiTheme="minorHAnsi" w:cstheme="minorBidi"/>
          <w:noProof/>
          <w:sz w:val="22"/>
          <w:szCs w:val="22"/>
        </w:rPr>
      </w:pPr>
      <w:hyperlink w:anchor="_Toc6473072" w:history="1">
        <w:r w:rsidR="007F2617" w:rsidRPr="00F83BBB">
          <w:rPr>
            <w:rStyle w:val="Hyperlink"/>
            <w:noProof/>
            <w:lang w:eastAsia="zh-CN"/>
          </w:rPr>
          <w:t>Table 6.5: Number of participants according their marital status.</w:t>
        </w:r>
        <w:r w:rsidR="007F2617">
          <w:rPr>
            <w:noProof/>
            <w:webHidden/>
          </w:rPr>
          <w:tab/>
        </w:r>
        <w:r w:rsidR="007F2617">
          <w:rPr>
            <w:noProof/>
            <w:webHidden/>
          </w:rPr>
          <w:fldChar w:fldCharType="begin"/>
        </w:r>
        <w:r w:rsidR="007F2617">
          <w:rPr>
            <w:noProof/>
            <w:webHidden/>
          </w:rPr>
          <w:instrText xml:space="preserve"> PAGEREF _Toc6473072 \h </w:instrText>
        </w:r>
        <w:r w:rsidR="007F2617">
          <w:rPr>
            <w:noProof/>
            <w:webHidden/>
          </w:rPr>
        </w:r>
        <w:r w:rsidR="007F2617">
          <w:rPr>
            <w:noProof/>
            <w:webHidden/>
          </w:rPr>
          <w:fldChar w:fldCharType="separate"/>
        </w:r>
        <w:r w:rsidR="00301AD4">
          <w:rPr>
            <w:noProof/>
            <w:webHidden/>
          </w:rPr>
          <w:t>116</w:t>
        </w:r>
        <w:r w:rsidR="007F2617">
          <w:rPr>
            <w:noProof/>
            <w:webHidden/>
          </w:rPr>
          <w:fldChar w:fldCharType="end"/>
        </w:r>
      </w:hyperlink>
    </w:p>
    <w:p w14:paraId="6CEFA528" w14:textId="77777777" w:rsidR="007F2617" w:rsidRDefault="000E3509">
      <w:pPr>
        <w:pStyle w:val="TOC7"/>
        <w:rPr>
          <w:rFonts w:asciiTheme="minorHAnsi" w:eastAsiaTheme="minorEastAsia" w:hAnsiTheme="minorHAnsi" w:cstheme="minorBidi"/>
          <w:noProof/>
          <w:sz w:val="22"/>
          <w:szCs w:val="22"/>
        </w:rPr>
      </w:pPr>
      <w:hyperlink w:anchor="_Toc6473073" w:history="1">
        <w:r w:rsidR="007F2617" w:rsidRPr="00F83BBB">
          <w:rPr>
            <w:rStyle w:val="Hyperlink"/>
            <w:noProof/>
            <w:lang w:eastAsia="zh-CN"/>
          </w:rPr>
          <w:t>Table 6.6: Number of participants according to their education level.</w:t>
        </w:r>
        <w:r w:rsidR="007F2617">
          <w:rPr>
            <w:noProof/>
            <w:webHidden/>
          </w:rPr>
          <w:tab/>
        </w:r>
        <w:r w:rsidR="007F2617">
          <w:rPr>
            <w:noProof/>
            <w:webHidden/>
          </w:rPr>
          <w:fldChar w:fldCharType="begin"/>
        </w:r>
        <w:r w:rsidR="007F2617">
          <w:rPr>
            <w:noProof/>
            <w:webHidden/>
          </w:rPr>
          <w:instrText xml:space="preserve"> PAGEREF _Toc6473073 \h </w:instrText>
        </w:r>
        <w:r w:rsidR="007F2617">
          <w:rPr>
            <w:noProof/>
            <w:webHidden/>
          </w:rPr>
        </w:r>
        <w:r w:rsidR="007F2617">
          <w:rPr>
            <w:noProof/>
            <w:webHidden/>
          </w:rPr>
          <w:fldChar w:fldCharType="separate"/>
        </w:r>
        <w:r w:rsidR="00301AD4">
          <w:rPr>
            <w:noProof/>
            <w:webHidden/>
          </w:rPr>
          <w:t>117</w:t>
        </w:r>
        <w:r w:rsidR="007F2617">
          <w:rPr>
            <w:noProof/>
            <w:webHidden/>
          </w:rPr>
          <w:fldChar w:fldCharType="end"/>
        </w:r>
      </w:hyperlink>
    </w:p>
    <w:p w14:paraId="409FEA6A" w14:textId="77777777" w:rsidR="007F2617" w:rsidRDefault="000E3509">
      <w:pPr>
        <w:pStyle w:val="TOC7"/>
        <w:rPr>
          <w:rFonts w:asciiTheme="minorHAnsi" w:eastAsiaTheme="minorEastAsia" w:hAnsiTheme="minorHAnsi" w:cstheme="minorBidi"/>
          <w:noProof/>
          <w:sz w:val="22"/>
          <w:szCs w:val="22"/>
        </w:rPr>
      </w:pPr>
      <w:hyperlink w:anchor="_Toc6473074" w:history="1">
        <w:r w:rsidR="007F2617" w:rsidRPr="00F83BBB">
          <w:rPr>
            <w:rStyle w:val="Hyperlink"/>
            <w:noProof/>
            <w:lang w:eastAsia="zh-CN"/>
          </w:rPr>
          <w:t>Table 6.7: Number of participants according to their social groups.</w:t>
        </w:r>
        <w:r w:rsidR="007F2617">
          <w:rPr>
            <w:noProof/>
            <w:webHidden/>
          </w:rPr>
          <w:tab/>
        </w:r>
        <w:r w:rsidR="007F2617">
          <w:rPr>
            <w:noProof/>
            <w:webHidden/>
          </w:rPr>
          <w:fldChar w:fldCharType="begin"/>
        </w:r>
        <w:r w:rsidR="007F2617">
          <w:rPr>
            <w:noProof/>
            <w:webHidden/>
          </w:rPr>
          <w:instrText xml:space="preserve"> PAGEREF _Toc6473074 \h </w:instrText>
        </w:r>
        <w:r w:rsidR="007F2617">
          <w:rPr>
            <w:noProof/>
            <w:webHidden/>
          </w:rPr>
        </w:r>
        <w:r w:rsidR="007F2617">
          <w:rPr>
            <w:noProof/>
            <w:webHidden/>
          </w:rPr>
          <w:fldChar w:fldCharType="separate"/>
        </w:r>
        <w:r w:rsidR="00301AD4">
          <w:rPr>
            <w:noProof/>
            <w:webHidden/>
          </w:rPr>
          <w:t>117</w:t>
        </w:r>
        <w:r w:rsidR="007F2617">
          <w:rPr>
            <w:noProof/>
            <w:webHidden/>
          </w:rPr>
          <w:fldChar w:fldCharType="end"/>
        </w:r>
      </w:hyperlink>
    </w:p>
    <w:p w14:paraId="51F0BA26" w14:textId="4DA5628C" w:rsidR="007F2617" w:rsidRDefault="000E3509">
      <w:pPr>
        <w:pStyle w:val="TOC7"/>
        <w:rPr>
          <w:rFonts w:asciiTheme="minorHAnsi" w:eastAsiaTheme="minorEastAsia" w:hAnsiTheme="minorHAnsi" w:cstheme="minorBidi"/>
          <w:noProof/>
          <w:sz w:val="22"/>
          <w:szCs w:val="22"/>
        </w:rPr>
      </w:pPr>
      <w:hyperlink w:anchor="_Toc6473075" w:history="1">
        <w:r w:rsidR="007F2617" w:rsidRPr="00F83BBB">
          <w:rPr>
            <w:rStyle w:val="Hyperlink"/>
            <w:noProof/>
            <w:lang w:eastAsia="zh-CN"/>
          </w:rPr>
          <w:t xml:space="preserve">Table 6.8: Number of participants according to their mother’s </w:t>
        </w:r>
        <w:r w:rsidR="007F2617">
          <w:rPr>
            <w:rStyle w:val="Hyperlink"/>
            <w:noProof/>
            <w:lang w:eastAsia="zh-CN"/>
          </w:rPr>
          <w:br/>
        </w:r>
        <w:r w:rsidR="007F2617" w:rsidRPr="00F83BBB">
          <w:rPr>
            <w:rStyle w:val="Hyperlink"/>
            <w:noProof/>
            <w:lang w:eastAsia="zh-CN"/>
          </w:rPr>
          <w:t>social group.</w:t>
        </w:r>
        <w:r w:rsidR="007F2617">
          <w:rPr>
            <w:noProof/>
            <w:webHidden/>
          </w:rPr>
          <w:tab/>
        </w:r>
        <w:r w:rsidR="007F2617">
          <w:rPr>
            <w:noProof/>
            <w:webHidden/>
          </w:rPr>
          <w:fldChar w:fldCharType="begin"/>
        </w:r>
        <w:r w:rsidR="007F2617">
          <w:rPr>
            <w:noProof/>
            <w:webHidden/>
          </w:rPr>
          <w:instrText xml:space="preserve"> PAGEREF _Toc6473075 \h </w:instrText>
        </w:r>
        <w:r w:rsidR="007F2617">
          <w:rPr>
            <w:noProof/>
            <w:webHidden/>
          </w:rPr>
        </w:r>
        <w:r w:rsidR="007F2617">
          <w:rPr>
            <w:noProof/>
            <w:webHidden/>
          </w:rPr>
          <w:fldChar w:fldCharType="separate"/>
        </w:r>
        <w:r w:rsidR="00301AD4">
          <w:rPr>
            <w:noProof/>
            <w:webHidden/>
          </w:rPr>
          <w:t>118</w:t>
        </w:r>
        <w:r w:rsidR="007F2617">
          <w:rPr>
            <w:noProof/>
            <w:webHidden/>
          </w:rPr>
          <w:fldChar w:fldCharType="end"/>
        </w:r>
      </w:hyperlink>
    </w:p>
    <w:p w14:paraId="1B223540" w14:textId="05DE6380" w:rsidR="007F2617" w:rsidRDefault="000E3509">
      <w:pPr>
        <w:pStyle w:val="TOC7"/>
        <w:rPr>
          <w:rFonts w:asciiTheme="minorHAnsi" w:eastAsiaTheme="minorEastAsia" w:hAnsiTheme="minorHAnsi" w:cstheme="minorBidi"/>
          <w:noProof/>
          <w:sz w:val="22"/>
          <w:szCs w:val="22"/>
        </w:rPr>
      </w:pPr>
      <w:hyperlink w:anchor="_Toc6473076" w:history="1">
        <w:r w:rsidR="007F2617" w:rsidRPr="00F83BBB">
          <w:rPr>
            <w:rStyle w:val="Hyperlink"/>
            <w:noProof/>
            <w:lang w:eastAsia="zh-CN"/>
          </w:rPr>
          <w:t xml:space="preserve">Table 6.9: Number of participants according to their spouse’s </w:t>
        </w:r>
        <w:r w:rsidR="007F2617">
          <w:rPr>
            <w:rStyle w:val="Hyperlink"/>
            <w:noProof/>
            <w:lang w:eastAsia="zh-CN"/>
          </w:rPr>
          <w:br/>
        </w:r>
        <w:r w:rsidR="007F2617" w:rsidRPr="00F83BBB">
          <w:rPr>
            <w:rStyle w:val="Hyperlink"/>
            <w:noProof/>
            <w:lang w:eastAsia="zh-CN"/>
          </w:rPr>
          <w:t>social group.</w:t>
        </w:r>
        <w:r w:rsidR="007F2617">
          <w:rPr>
            <w:noProof/>
            <w:webHidden/>
          </w:rPr>
          <w:tab/>
        </w:r>
        <w:r w:rsidR="007F2617">
          <w:rPr>
            <w:noProof/>
            <w:webHidden/>
          </w:rPr>
          <w:fldChar w:fldCharType="begin"/>
        </w:r>
        <w:r w:rsidR="007F2617">
          <w:rPr>
            <w:noProof/>
            <w:webHidden/>
          </w:rPr>
          <w:instrText xml:space="preserve"> PAGEREF _Toc6473076 \h </w:instrText>
        </w:r>
        <w:r w:rsidR="007F2617">
          <w:rPr>
            <w:noProof/>
            <w:webHidden/>
          </w:rPr>
        </w:r>
        <w:r w:rsidR="007F2617">
          <w:rPr>
            <w:noProof/>
            <w:webHidden/>
          </w:rPr>
          <w:fldChar w:fldCharType="separate"/>
        </w:r>
        <w:r w:rsidR="00301AD4">
          <w:rPr>
            <w:noProof/>
            <w:webHidden/>
          </w:rPr>
          <w:t>118</w:t>
        </w:r>
        <w:r w:rsidR="007F2617">
          <w:rPr>
            <w:noProof/>
            <w:webHidden/>
          </w:rPr>
          <w:fldChar w:fldCharType="end"/>
        </w:r>
      </w:hyperlink>
    </w:p>
    <w:p w14:paraId="0A618BE1" w14:textId="77777777" w:rsidR="007F2617" w:rsidRDefault="000E3509">
      <w:pPr>
        <w:pStyle w:val="TOC7"/>
        <w:rPr>
          <w:rFonts w:asciiTheme="minorHAnsi" w:eastAsiaTheme="minorEastAsia" w:hAnsiTheme="minorHAnsi" w:cstheme="minorBidi"/>
          <w:noProof/>
          <w:sz w:val="22"/>
          <w:szCs w:val="22"/>
        </w:rPr>
      </w:pPr>
      <w:hyperlink w:anchor="_Toc6473077" w:history="1">
        <w:r w:rsidR="007F2617" w:rsidRPr="00F83BBB">
          <w:rPr>
            <w:rStyle w:val="Hyperlink"/>
            <w:noProof/>
            <w:lang w:eastAsia="zh-CN"/>
          </w:rPr>
          <w:t>Table 6.10: Summary of subject pool.</w:t>
        </w:r>
        <w:r w:rsidR="007F2617">
          <w:rPr>
            <w:noProof/>
            <w:webHidden/>
          </w:rPr>
          <w:tab/>
        </w:r>
        <w:r w:rsidR="007F2617">
          <w:rPr>
            <w:noProof/>
            <w:webHidden/>
          </w:rPr>
          <w:fldChar w:fldCharType="begin"/>
        </w:r>
        <w:r w:rsidR="007F2617">
          <w:rPr>
            <w:noProof/>
            <w:webHidden/>
          </w:rPr>
          <w:instrText xml:space="preserve"> PAGEREF _Toc6473077 \h </w:instrText>
        </w:r>
        <w:r w:rsidR="007F2617">
          <w:rPr>
            <w:noProof/>
            <w:webHidden/>
          </w:rPr>
        </w:r>
        <w:r w:rsidR="007F2617">
          <w:rPr>
            <w:noProof/>
            <w:webHidden/>
          </w:rPr>
          <w:fldChar w:fldCharType="separate"/>
        </w:r>
        <w:r w:rsidR="00301AD4">
          <w:rPr>
            <w:noProof/>
            <w:webHidden/>
          </w:rPr>
          <w:t>124</w:t>
        </w:r>
        <w:r w:rsidR="007F2617">
          <w:rPr>
            <w:noProof/>
            <w:webHidden/>
          </w:rPr>
          <w:fldChar w:fldCharType="end"/>
        </w:r>
      </w:hyperlink>
    </w:p>
    <w:p w14:paraId="5B3FEFFB" w14:textId="77777777" w:rsidR="007F2617" w:rsidRDefault="000E3509">
      <w:pPr>
        <w:pStyle w:val="TOC7"/>
        <w:rPr>
          <w:rFonts w:asciiTheme="minorHAnsi" w:eastAsiaTheme="minorEastAsia" w:hAnsiTheme="minorHAnsi" w:cstheme="minorBidi"/>
          <w:noProof/>
          <w:sz w:val="22"/>
          <w:szCs w:val="22"/>
        </w:rPr>
      </w:pPr>
      <w:hyperlink w:anchor="_Toc6473078" w:history="1">
        <w:r w:rsidR="007F2617" w:rsidRPr="00F83BBB">
          <w:rPr>
            <w:rStyle w:val="Hyperlink"/>
            <w:noProof/>
          </w:rPr>
          <w:t>Table 7.1: Participants’ selection of the choices provided in Q1.</w:t>
        </w:r>
        <w:r w:rsidR="007F2617">
          <w:rPr>
            <w:noProof/>
            <w:webHidden/>
          </w:rPr>
          <w:tab/>
        </w:r>
        <w:r w:rsidR="007F2617">
          <w:rPr>
            <w:noProof/>
            <w:webHidden/>
          </w:rPr>
          <w:fldChar w:fldCharType="begin"/>
        </w:r>
        <w:r w:rsidR="007F2617">
          <w:rPr>
            <w:noProof/>
            <w:webHidden/>
          </w:rPr>
          <w:instrText xml:space="preserve"> PAGEREF _Toc6473078 \h </w:instrText>
        </w:r>
        <w:r w:rsidR="007F2617">
          <w:rPr>
            <w:noProof/>
            <w:webHidden/>
          </w:rPr>
        </w:r>
        <w:r w:rsidR="007F2617">
          <w:rPr>
            <w:noProof/>
            <w:webHidden/>
          </w:rPr>
          <w:fldChar w:fldCharType="separate"/>
        </w:r>
        <w:r w:rsidR="00301AD4">
          <w:rPr>
            <w:noProof/>
            <w:webHidden/>
          </w:rPr>
          <w:t>125</w:t>
        </w:r>
        <w:r w:rsidR="007F2617">
          <w:rPr>
            <w:noProof/>
            <w:webHidden/>
          </w:rPr>
          <w:fldChar w:fldCharType="end"/>
        </w:r>
      </w:hyperlink>
    </w:p>
    <w:p w14:paraId="3EE667B2" w14:textId="77777777" w:rsidR="007F2617" w:rsidRDefault="000E3509">
      <w:pPr>
        <w:pStyle w:val="TOC7"/>
        <w:rPr>
          <w:rFonts w:asciiTheme="minorHAnsi" w:eastAsiaTheme="minorEastAsia" w:hAnsiTheme="minorHAnsi" w:cstheme="minorBidi"/>
          <w:noProof/>
          <w:sz w:val="22"/>
          <w:szCs w:val="22"/>
        </w:rPr>
      </w:pPr>
      <w:hyperlink w:anchor="_Toc6473079" w:history="1">
        <w:r w:rsidR="007F2617" w:rsidRPr="00F83BBB">
          <w:rPr>
            <w:rStyle w:val="Hyperlink"/>
            <w:noProof/>
          </w:rPr>
          <w:t>Table 7.2: Chi-square test results for gender demographic variable.</w:t>
        </w:r>
        <w:r w:rsidR="007F2617">
          <w:rPr>
            <w:noProof/>
            <w:webHidden/>
          </w:rPr>
          <w:tab/>
        </w:r>
        <w:r w:rsidR="007F2617">
          <w:rPr>
            <w:noProof/>
            <w:webHidden/>
          </w:rPr>
          <w:fldChar w:fldCharType="begin"/>
        </w:r>
        <w:r w:rsidR="007F2617">
          <w:rPr>
            <w:noProof/>
            <w:webHidden/>
          </w:rPr>
          <w:instrText xml:space="preserve"> PAGEREF _Toc6473079 \h </w:instrText>
        </w:r>
        <w:r w:rsidR="007F2617">
          <w:rPr>
            <w:noProof/>
            <w:webHidden/>
          </w:rPr>
        </w:r>
        <w:r w:rsidR="007F2617">
          <w:rPr>
            <w:noProof/>
            <w:webHidden/>
          </w:rPr>
          <w:fldChar w:fldCharType="separate"/>
        </w:r>
        <w:r w:rsidR="00301AD4">
          <w:rPr>
            <w:noProof/>
            <w:webHidden/>
          </w:rPr>
          <w:t>126</w:t>
        </w:r>
        <w:r w:rsidR="007F2617">
          <w:rPr>
            <w:noProof/>
            <w:webHidden/>
          </w:rPr>
          <w:fldChar w:fldCharType="end"/>
        </w:r>
      </w:hyperlink>
    </w:p>
    <w:p w14:paraId="2824E6A4" w14:textId="77777777" w:rsidR="007F2617" w:rsidRDefault="000E3509">
      <w:pPr>
        <w:pStyle w:val="TOC7"/>
        <w:rPr>
          <w:rFonts w:asciiTheme="minorHAnsi" w:eastAsiaTheme="minorEastAsia" w:hAnsiTheme="minorHAnsi" w:cstheme="minorBidi"/>
          <w:noProof/>
          <w:sz w:val="22"/>
          <w:szCs w:val="22"/>
        </w:rPr>
      </w:pPr>
      <w:hyperlink w:anchor="_Toc6473080" w:history="1">
        <w:r w:rsidR="007F2617" w:rsidRPr="00F83BBB">
          <w:rPr>
            <w:rStyle w:val="Hyperlink"/>
            <w:noProof/>
          </w:rPr>
          <w:t>Table 7.3: Gender-Q1 crosstabulation.</w:t>
        </w:r>
        <w:r w:rsidR="007F2617">
          <w:rPr>
            <w:noProof/>
            <w:webHidden/>
          </w:rPr>
          <w:tab/>
        </w:r>
        <w:r w:rsidR="007F2617">
          <w:rPr>
            <w:noProof/>
            <w:webHidden/>
          </w:rPr>
          <w:fldChar w:fldCharType="begin"/>
        </w:r>
        <w:r w:rsidR="007F2617">
          <w:rPr>
            <w:noProof/>
            <w:webHidden/>
          </w:rPr>
          <w:instrText xml:space="preserve"> PAGEREF _Toc6473080 \h </w:instrText>
        </w:r>
        <w:r w:rsidR="007F2617">
          <w:rPr>
            <w:noProof/>
            <w:webHidden/>
          </w:rPr>
        </w:r>
        <w:r w:rsidR="007F2617">
          <w:rPr>
            <w:noProof/>
            <w:webHidden/>
          </w:rPr>
          <w:fldChar w:fldCharType="separate"/>
        </w:r>
        <w:r w:rsidR="00301AD4">
          <w:rPr>
            <w:noProof/>
            <w:webHidden/>
          </w:rPr>
          <w:t>127</w:t>
        </w:r>
        <w:r w:rsidR="007F2617">
          <w:rPr>
            <w:noProof/>
            <w:webHidden/>
          </w:rPr>
          <w:fldChar w:fldCharType="end"/>
        </w:r>
      </w:hyperlink>
    </w:p>
    <w:p w14:paraId="2AB0E64A" w14:textId="77777777" w:rsidR="007F2617" w:rsidRDefault="000E3509">
      <w:pPr>
        <w:pStyle w:val="TOC7"/>
        <w:rPr>
          <w:rFonts w:asciiTheme="minorHAnsi" w:eastAsiaTheme="minorEastAsia" w:hAnsiTheme="minorHAnsi" w:cstheme="minorBidi"/>
          <w:noProof/>
          <w:sz w:val="22"/>
          <w:szCs w:val="22"/>
        </w:rPr>
      </w:pPr>
      <w:hyperlink w:anchor="_Toc6473081" w:history="1">
        <w:r w:rsidR="007F2617" w:rsidRPr="00F83BBB">
          <w:rPr>
            <w:rStyle w:val="Hyperlink"/>
            <w:noProof/>
          </w:rPr>
          <w:t>Table 7.4: Participants’ selection of the choices provided in Q2.</w:t>
        </w:r>
        <w:r w:rsidR="007F2617">
          <w:rPr>
            <w:noProof/>
            <w:webHidden/>
          </w:rPr>
          <w:tab/>
        </w:r>
        <w:r w:rsidR="007F2617">
          <w:rPr>
            <w:noProof/>
            <w:webHidden/>
          </w:rPr>
          <w:fldChar w:fldCharType="begin"/>
        </w:r>
        <w:r w:rsidR="007F2617">
          <w:rPr>
            <w:noProof/>
            <w:webHidden/>
          </w:rPr>
          <w:instrText xml:space="preserve"> PAGEREF _Toc6473081 \h </w:instrText>
        </w:r>
        <w:r w:rsidR="007F2617">
          <w:rPr>
            <w:noProof/>
            <w:webHidden/>
          </w:rPr>
        </w:r>
        <w:r w:rsidR="007F2617">
          <w:rPr>
            <w:noProof/>
            <w:webHidden/>
          </w:rPr>
          <w:fldChar w:fldCharType="separate"/>
        </w:r>
        <w:r w:rsidR="00301AD4">
          <w:rPr>
            <w:noProof/>
            <w:webHidden/>
          </w:rPr>
          <w:t>128</w:t>
        </w:r>
        <w:r w:rsidR="007F2617">
          <w:rPr>
            <w:noProof/>
            <w:webHidden/>
          </w:rPr>
          <w:fldChar w:fldCharType="end"/>
        </w:r>
      </w:hyperlink>
    </w:p>
    <w:p w14:paraId="5F7F6E03" w14:textId="77777777" w:rsidR="007F2617" w:rsidRDefault="000E3509">
      <w:pPr>
        <w:pStyle w:val="TOC7"/>
        <w:rPr>
          <w:rFonts w:asciiTheme="minorHAnsi" w:eastAsiaTheme="minorEastAsia" w:hAnsiTheme="minorHAnsi" w:cstheme="minorBidi"/>
          <w:noProof/>
          <w:sz w:val="22"/>
          <w:szCs w:val="22"/>
        </w:rPr>
      </w:pPr>
      <w:hyperlink w:anchor="_Toc6473082" w:history="1">
        <w:r w:rsidR="007F2617" w:rsidRPr="00F83BBB">
          <w:rPr>
            <w:rStyle w:val="Hyperlink"/>
            <w:noProof/>
          </w:rPr>
          <w:t>Table 7.5: Chi-square test results for gender demographic variable.</w:t>
        </w:r>
        <w:r w:rsidR="007F2617">
          <w:rPr>
            <w:noProof/>
            <w:webHidden/>
          </w:rPr>
          <w:tab/>
        </w:r>
        <w:r w:rsidR="007F2617">
          <w:rPr>
            <w:noProof/>
            <w:webHidden/>
          </w:rPr>
          <w:fldChar w:fldCharType="begin"/>
        </w:r>
        <w:r w:rsidR="007F2617">
          <w:rPr>
            <w:noProof/>
            <w:webHidden/>
          </w:rPr>
          <w:instrText xml:space="preserve"> PAGEREF _Toc6473082 \h </w:instrText>
        </w:r>
        <w:r w:rsidR="007F2617">
          <w:rPr>
            <w:noProof/>
            <w:webHidden/>
          </w:rPr>
        </w:r>
        <w:r w:rsidR="007F2617">
          <w:rPr>
            <w:noProof/>
            <w:webHidden/>
          </w:rPr>
          <w:fldChar w:fldCharType="separate"/>
        </w:r>
        <w:r w:rsidR="00301AD4">
          <w:rPr>
            <w:noProof/>
            <w:webHidden/>
          </w:rPr>
          <w:t>129</w:t>
        </w:r>
        <w:r w:rsidR="007F2617">
          <w:rPr>
            <w:noProof/>
            <w:webHidden/>
          </w:rPr>
          <w:fldChar w:fldCharType="end"/>
        </w:r>
      </w:hyperlink>
    </w:p>
    <w:p w14:paraId="36AC4DB8" w14:textId="77777777" w:rsidR="007F2617" w:rsidRDefault="000E3509">
      <w:pPr>
        <w:pStyle w:val="TOC7"/>
        <w:rPr>
          <w:rFonts w:asciiTheme="minorHAnsi" w:eastAsiaTheme="minorEastAsia" w:hAnsiTheme="minorHAnsi" w:cstheme="minorBidi"/>
          <w:noProof/>
          <w:sz w:val="22"/>
          <w:szCs w:val="22"/>
        </w:rPr>
      </w:pPr>
      <w:hyperlink w:anchor="_Toc6473083" w:history="1">
        <w:r w:rsidR="007F2617" w:rsidRPr="00F83BBB">
          <w:rPr>
            <w:rStyle w:val="Hyperlink"/>
            <w:noProof/>
          </w:rPr>
          <w:t>Table 7.6: Gender-Q2 crosstabulation.</w:t>
        </w:r>
        <w:r w:rsidR="007F2617">
          <w:rPr>
            <w:noProof/>
            <w:webHidden/>
          </w:rPr>
          <w:tab/>
        </w:r>
        <w:r w:rsidR="007F2617">
          <w:rPr>
            <w:noProof/>
            <w:webHidden/>
          </w:rPr>
          <w:fldChar w:fldCharType="begin"/>
        </w:r>
        <w:r w:rsidR="007F2617">
          <w:rPr>
            <w:noProof/>
            <w:webHidden/>
          </w:rPr>
          <w:instrText xml:space="preserve"> PAGEREF _Toc6473083 \h </w:instrText>
        </w:r>
        <w:r w:rsidR="007F2617">
          <w:rPr>
            <w:noProof/>
            <w:webHidden/>
          </w:rPr>
        </w:r>
        <w:r w:rsidR="007F2617">
          <w:rPr>
            <w:noProof/>
            <w:webHidden/>
          </w:rPr>
          <w:fldChar w:fldCharType="separate"/>
        </w:r>
        <w:r w:rsidR="00301AD4">
          <w:rPr>
            <w:noProof/>
            <w:webHidden/>
          </w:rPr>
          <w:t>129</w:t>
        </w:r>
        <w:r w:rsidR="007F2617">
          <w:rPr>
            <w:noProof/>
            <w:webHidden/>
          </w:rPr>
          <w:fldChar w:fldCharType="end"/>
        </w:r>
      </w:hyperlink>
    </w:p>
    <w:p w14:paraId="0B2E6383" w14:textId="1F544585" w:rsidR="007F2617" w:rsidRDefault="000E3509">
      <w:pPr>
        <w:pStyle w:val="TOC7"/>
        <w:rPr>
          <w:rFonts w:asciiTheme="minorHAnsi" w:eastAsiaTheme="minorEastAsia" w:hAnsiTheme="minorHAnsi" w:cstheme="minorBidi"/>
          <w:noProof/>
          <w:sz w:val="22"/>
          <w:szCs w:val="22"/>
        </w:rPr>
      </w:pPr>
      <w:hyperlink w:anchor="_Toc6473084" w:history="1">
        <w:r w:rsidR="007F2617" w:rsidRPr="00F83BBB">
          <w:rPr>
            <w:rStyle w:val="Hyperlink"/>
            <w:noProof/>
          </w:rPr>
          <w:t xml:space="preserve">Table 7.7: Chi-square test results for social group demographic </w:t>
        </w:r>
        <w:r w:rsidR="007F2617">
          <w:rPr>
            <w:rStyle w:val="Hyperlink"/>
            <w:noProof/>
          </w:rPr>
          <w:br/>
        </w:r>
        <w:r w:rsidR="007F2617" w:rsidRPr="00F83BBB">
          <w:rPr>
            <w:rStyle w:val="Hyperlink"/>
            <w:noProof/>
          </w:rPr>
          <w:t>variable.</w:t>
        </w:r>
        <w:r w:rsidR="007F2617">
          <w:rPr>
            <w:noProof/>
            <w:webHidden/>
          </w:rPr>
          <w:tab/>
        </w:r>
        <w:r w:rsidR="007F2617">
          <w:rPr>
            <w:noProof/>
            <w:webHidden/>
          </w:rPr>
          <w:fldChar w:fldCharType="begin"/>
        </w:r>
        <w:r w:rsidR="007F2617">
          <w:rPr>
            <w:noProof/>
            <w:webHidden/>
          </w:rPr>
          <w:instrText xml:space="preserve"> PAGEREF _Toc6473084 \h </w:instrText>
        </w:r>
        <w:r w:rsidR="007F2617">
          <w:rPr>
            <w:noProof/>
            <w:webHidden/>
          </w:rPr>
        </w:r>
        <w:r w:rsidR="007F2617">
          <w:rPr>
            <w:noProof/>
            <w:webHidden/>
          </w:rPr>
          <w:fldChar w:fldCharType="separate"/>
        </w:r>
        <w:r w:rsidR="00301AD4">
          <w:rPr>
            <w:noProof/>
            <w:webHidden/>
          </w:rPr>
          <w:t>130</w:t>
        </w:r>
        <w:r w:rsidR="007F2617">
          <w:rPr>
            <w:noProof/>
            <w:webHidden/>
          </w:rPr>
          <w:fldChar w:fldCharType="end"/>
        </w:r>
      </w:hyperlink>
    </w:p>
    <w:p w14:paraId="0DAC6000" w14:textId="77777777" w:rsidR="007F2617" w:rsidRDefault="000E3509">
      <w:pPr>
        <w:pStyle w:val="TOC7"/>
        <w:rPr>
          <w:rFonts w:asciiTheme="minorHAnsi" w:eastAsiaTheme="minorEastAsia" w:hAnsiTheme="minorHAnsi" w:cstheme="minorBidi"/>
          <w:noProof/>
          <w:sz w:val="22"/>
          <w:szCs w:val="22"/>
        </w:rPr>
      </w:pPr>
      <w:hyperlink w:anchor="_Toc6473085" w:history="1">
        <w:r w:rsidR="007F2617" w:rsidRPr="00F83BBB">
          <w:rPr>
            <w:rStyle w:val="Hyperlink"/>
            <w:noProof/>
          </w:rPr>
          <w:t>Table 7.8: Social group-Q2 crosstabulation.</w:t>
        </w:r>
        <w:r w:rsidR="007F2617">
          <w:rPr>
            <w:noProof/>
            <w:webHidden/>
          </w:rPr>
          <w:tab/>
        </w:r>
        <w:r w:rsidR="007F2617">
          <w:rPr>
            <w:noProof/>
            <w:webHidden/>
          </w:rPr>
          <w:fldChar w:fldCharType="begin"/>
        </w:r>
        <w:r w:rsidR="007F2617">
          <w:rPr>
            <w:noProof/>
            <w:webHidden/>
          </w:rPr>
          <w:instrText xml:space="preserve"> PAGEREF _Toc6473085 \h </w:instrText>
        </w:r>
        <w:r w:rsidR="007F2617">
          <w:rPr>
            <w:noProof/>
            <w:webHidden/>
          </w:rPr>
        </w:r>
        <w:r w:rsidR="007F2617">
          <w:rPr>
            <w:noProof/>
            <w:webHidden/>
          </w:rPr>
          <w:fldChar w:fldCharType="separate"/>
        </w:r>
        <w:r w:rsidR="00301AD4">
          <w:rPr>
            <w:noProof/>
            <w:webHidden/>
          </w:rPr>
          <w:t>131</w:t>
        </w:r>
        <w:r w:rsidR="007F2617">
          <w:rPr>
            <w:noProof/>
            <w:webHidden/>
          </w:rPr>
          <w:fldChar w:fldCharType="end"/>
        </w:r>
      </w:hyperlink>
    </w:p>
    <w:p w14:paraId="28EB9773" w14:textId="37C0F95B" w:rsidR="007F2617" w:rsidRDefault="000E3509">
      <w:pPr>
        <w:pStyle w:val="TOC7"/>
        <w:rPr>
          <w:rFonts w:asciiTheme="minorHAnsi" w:eastAsiaTheme="minorEastAsia" w:hAnsiTheme="minorHAnsi" w:cstheme="minorBidi"/>
          <w:noProof/>
          <w:sz w:val="22"/>
          <w:szCs w:val="22"/>
        </w:rPr>
      </w:pPr>
      <w:hyperlink w:anchor="_Toc6473086" w:history="1">
        <w:r w:rsidR="007F2617" w:rsidRPr="00F83BBB">
          <w:rPr>
            <w:rStyle w:val="Hyperlink"/>
            <w:noProof/>
          </w:rPr>
          <w:t xml:space="preserve">Table 7.9: Chi-square test results for mother’s social group </w:t>
        </w:r>
        <w:r w:rsidR="007F2617">
          <w:rPr>
            <w:rStyle w:val="Hyperlink"/>
            <w:noProof/>
          </w:rPr>
          <w:br/>
        </w:r>
        <w:r w:rsidR="007F2617" w:rsidRPr="00F83BBB">
          <w:rPr>
            <w:rStyle w:val="Hyperlink"/>
            <w:noProof/>
          </w:rPr>
          <w:t>demographic variable.</w:t>
        </w:r>
        <w:r w:rsidR="007F2617">
          <w:rPr>
            <w:noProof/>
            <w:webHidden/>
          </w:rPr>
          <w:tab/>
        </w:r>
        <w:r w:rsidR="007F2617">
          <w:rPr>
            <w:noProof/>
            <w:webHidden/>
          </w:rPr>
          <w:fldChar w:fldCharType="begin"/>
        </w:r>
        <w:r w:rsidR="007F2617">
          <w:rPr>
            <w:noProof/>
            <w:webHidden/>
          </w:rPr>
          <w:instrText xml:space="preserve"> PAGEREF _Toc6473086 \h </w:instrText>
        </w:r>
        <w:r w:rsidR="007F2617">
          <w:rPr>
            <w:noProof/>
            <w:webHidden/>
          </w:rPr>
        </w:r>
        <w:r w:rsidR="007F2617">
          <w:rPr>
            <w:noProof/>
            <w:webHidden/>
          </w:rPr>
          <w:fldChar w:fldCharType="separate"/>
        </w:r>
        <w:r w:rsidR="00301AD4">
          <w:rPr>
            <w:noProof/>
            <w:webHidden/>
          </w:rPr>
          <w:t>131</w:t>
        </w:r>
        <w:r w:rsidR="007F2617">
          <w:rPr>
            <w:noProof/>
            <w:webHidden/>
          </w:rPr>
          <w:fldChar w:fldCharType="end"/>
        </w:r>
      </w:hyperlink>
    </w:p>
    <w:p w14:paraId="711DDA23" w14:textId="77777777" w:rsidR="007F2617" w:rsidRDefault="000E3509">
      <w:pPr>
        <w:pStyle w:val="TOC7"/>
        <w:rPr>
          <w:rFonts w:asciiTheme="minorHAnsi" w:eastAsiaTheme="minorEastAsia" w:hAnsiTheme="minorHAnsi" w:cstheme="minorBidi"/>
          <w:noProof/>
          <w:sz w:val="22"/>
          <w:szCs w:val="22"/>
        </w:rPr>
      </w:pPr>
      <w:hyperlink w:anchor="_Toc6473087" w:history="1">
        <w:r w:rsidR="007F2617" w:rsidRPr="00F83BBB">
          <w:rPr>
            <w:rStyle w:val="Hyperlink"/>
            <w:noProof/>
          </w:rPr>
          <w:t>Table 7.10: Mother’s social group-Q3 crosstabulation.</w:t>
        </w:r>
        <w:r w:rsidR="007F2617">
          <w:rPr>
            <w:noProof/>
            <w:webHidden/>
          </w:rPr>
          <w:tab/>
        </w:r>
        <w:r w:rsidR="007F2617">
          <w:rPr>
            <w:noProof/>
            <w:webHidden/>
          </w:rPr>
          <w:fldChar w:fldCharType="begin"/>
        </w:r>
        <w:r w:rsidR="007F2617">
          <w:rPr>
            <w:noProof/>
            <w:webHidden/>
          </w:rPr>
          <w:instrText xml:space="preserve"> PAGEREF _Toc6473087 \h </w:instrText>
        </w:r>
        <w:r w:rsidR="007F2617">
          <w:rPr>
            <w:noProof/>
            <w:webHidden/>
          </w:rPr>
        </w:r>
        <w:r w:rsidR="007F2617">
          <w:rPr>
            <w:noProof/>
            <w:webHidden/>
          </w:rPr>
          <w:fldChar w:fldCharType="separate"/>
        </w:r>
        <w:r w:rsidR="00301AD4">
          <w:rPr>
            <w:noProof/>
            <w:webHidden/>
          </w:rPr>
          <w:t>132</w:t>
        </w:r>
        <w:r w:rsidR="007F2617">
          <w:rPr>
            <w:noProof/>
            <w:webHidden/>
          </w:rPr>
          <w:fldChar w:fldCharType="end"/>
        </w:r>
      </w:hyperlink>
    </w:p>
    <w:p w14:paraId="214655DF" w14:textId="7F280592" w:rsidR="007F2617" w:rsidRDefault="000E3509">
      <w:pPr>
        <w:pStyle w:val="TOC7"/>
        <w:rPr>
          <w:rFonts w:asciiTheme="minorHAnsi" w:eastAsiaTheme="minorEastAsia" w:hAnsiTheme="minorHAnsi" w:cstheme="minorBidi"/>
          <w:noProof/>
          <w:sz w:val="22"/>
          <w:szCs w:val="22"/>
        </w:rPr>
      </w:pPr>
      <w:hyperlink w:anchor="_Toc6473088" w:history="1">
        <w:r w:rsidR="007F2617" w:rsidRPr="00F83BBB">
          <w:rPr>
            <w:rStyle w:val="Hyperlink"/>
            <w:noProof/>
          </w:rPr>
          <w:t xml:space="preserve">Table 7.11: Chi-square test results for spouse’s social group </w:t>
        </w:r>
        <w:r w:rsidR="007F2617">
          <w:rPr>
            <w:rStyle w:val="Hyperlink"/>
            <w:noProof/>
          </w:rPr>
          <w:br/>
        </w:r>
        <w:r w:rsidR="007F2617" w:rsidRPr="00F83BBB">
          <w:rPr>
            <w:rStyle w:val="Hyperlink"/>
            <w:noProof/>
          </w:rPr>
          <w:t>demographic variable.</w:t>
        </w:r>
        <w:r w:rsidR="007F2617">
          <w:rPr>
            <w:noProof/>
            <w:webHidden/>
          </w:rPr>
          <w:tab/>
        </w:r>
        <w:r w:rsidR="007F2617">
          <w:rPr>
            <w:noProof/>
            <w:webHidden/>
          </w:rPr>
          <w:fldChar w:fldCharType="begin"/>
        </w:r>
        <w:r w:rsidR="007F2617">
          <w:rPr>
            <w:noProof/>
            <w:webHidden/>
          </w:rPr>
          <w:instrText xml:space="preserve"> PAGEREF _Toc6473088 \h </w:instrText>
        </w:r>
        <w:r w:rsidR="007F2617">
          <w:rPr>
            <w:noProof/>
            <w:webHidden/>
          </w:rPr>
        </w:r>
        <w:r w:rsidR="007F2617">
          <w:rPr>
            <w:noProof/>
            <w:webHidden/>
          </w:rPr>
          <w:fldChar w:fldCharType="separate"/>
        </w:r>
        <w:r w:rsidR="00301AD4">
          <w:rPr>
            <w:noProof/>
            <w:webHidden/>
          </w:rPr>
          <w:t>133</w:t>
        </w:r>
        <w:r w:rsidR="007F2617">
          <w:rPr>
            <w:noProof/>
            <w:webHidden/>
          </w:rPr>
          <w:fldChar w:fldCharType="end"/>
        </w:r>
      </w:hyperlink>
    </w:p>
    <w:p w14:paraId="225907BB" w14:textId="77777777" w:rsidR="007F2617" w:rsidRDefault="000E3509">
      <w:pPr>
        <w:pStyle w:val="TOC7"/>
        <w:rPr>
          <w:rFonts w:asciiTheme="minorHAnsi" w:eastAsiaTheme="minorEastAsia" w:hAnsiTheme="minorHAnsi" w:cstheme="minorBidi"/>
          <w:noProof/>
          <w:sz w:val="22"/>
          <w:szCs w:val="22"/>
        </w:rPr>
      </w:pPr>
      <w:hyperlink w:anchor="_Toc6473089" w:history="1">
        <w:r w:rsidR="007F2617" w:rsidRPr="00F83BBB">
          <w:rPr>
            <w:rStyle w:val="Hyperlink"/>
            <w:noProof/>
          </w:rPr>
          <w:t>Table 7.12: Spouse’s social group-Q2 crosstabulation.</w:t>
        </w:r>
        <w:r w:rsidR="007F2617">
          <w:rPr>
            <w:noProof/>
            <w:webHidden/>
          </w:rPr>
          <w:tab/>
        </w:r>
        <w:r w:rsidR="007F2617">
          <w:rPr>
            <w:noProof/>
            <w:webHidden/>
          </w:rPr>
          <w:fldChar w:fldCharType="begin"/>
        </w:r>
        <w:r w:rsidR="007F2617">
          <w:rPr>
            <w:noProof/>
            <w:webHidden/>
          </w:rPr>
          <w:instrText xml:space="preserve"> PAGEREF _Toc6473089 \h </w:instrText>
        </w:r>
        <w:r w:rsidR="007F2617">
          <w:rPr>
            <w:noProof/>
            <w:webHidden/>
          </w:rPr>
        </w:r>
        <w:r w:rsidR="007F2617">
          <w:rPr>
            <w:noProof/>
            <w:webHidden/>
          </w:rPr>
          <w:fldChar w:fldCharType="separate"/>
        </w:r>
        <w:r w:rsidR="00301AD4">
          <w:rPr>
            <w:noProof/>
            <w:webHidden/>
          </w:rPr>
          <w:t>134</w:t>
        </w:r>
        <w:r w:rsidR="007F2617">
          <w:rPr>
            <w:noProof/>
            <w:webHidden/>
          </w:rPr>
          <w:fldChar w:fldCharType="end"/>
        </w:r>
      </w:hyperlink>
    </w:p>
    <w:p w14:paraId="4C8A61DB" w14:textId="77777777" w:rsidR="007F2617" w:rsidRDefault="000E3509">
      <w:pPr>
        <w:pStyle w:val="TOC7"/>
        <w:rPr>
          <w:rFonts w:asciiTheme="minorHAnsi" w:eastAsiaTheme="minorEastAsia" w:hAnsiTheme="minorHAnsi" w:cstheme="minorBidi"/>
          <w:noProof/>
          <w:sz w:val="22"/>
          <w:szCs w:val="22"/>
        </w:rPr>
      </w:pPr>
      <w:hyperlink w:anchor="_Toc6473090" w:history="1">
        <w:r w:rsidR="007F2617" w:rsidRPr="00F83BBB">
          <w:rPr>
            <w:rStyle w:val="Hyperlink"/>
            <w:noProof/>
          </w:rPr>
          <w:t>Table 7.13: Participants’ selection of the choices provided in Q3.</w:t>
        </w:r>
        <w:r w:rsidR="007F2617">
          <w:rPr>
            <w:noProof/>
            <w:webHidden/>
          </w:rPr>
          <w:tab/>
        </w:r>
        <w:r w:rsidR="007F2617">
          <w:rPr>
            <w:noProof/>
            <w:webHidden/>
          </w:rPr>
          <w:fldChar w:fldCharType="begin"/>
        </w:r>
        <w:r w:rsidR="007F2617">
          <w:rPr>
            <w:noProof/>
            <w:webHidden/>
          </w:rPr>
          <w:instrText xml:space="preserve"> PAGEREF _Toc6473090 \h </w:instrText>
        </w:r>
        <w:r w:rsidR="007F2617">
          <w:rPr>
            <w:noProof/>
            <w:webHidden/>
          </w:rPr>
        </w:r>
        <w:r w:rsidR="007F2617">
          <w:rPr>
            <w:noProof/>
            <w:webHidden/>
          </w:rPr>
          <w:fldChar w:fldCharType="separate"/>
        </w:r>
        <w:r w:rsidR="00301AD4">
          <w:rPr>
            <w:noProof/>
            <w:webHidden/>
          </w:rPr>
          <w:t>135</w:t>
        </w:r>
        <w:r w:rsidR="007F2617">
          <w:rPr>
            <w:noProof/>
            <w:webHidden/>
          </w:rPr>
          <w:fldChar w:fldCharType="end"/>
        </w:r>
      </w:hyperlink>
    </w:p>
    <w:p w14:paraId="73D8EEFD" w14:textId="77777777" w:rsidR="007F2617" w:rsidRDefault="000E3509">
      <w:pPr>
        <w:pStyle w:val="TOC7"/>
        <w:rPr>
          <w:rFonts w:asciiTheme="minorHAnsi" w:eastAsiaTheme="minorEastAsia" w:hAnsiTheme="minorHAnsi" w:cstheme="minorBidi"/>
          <w:noProof/>
          <w:sz w:val="22"/>
          <w:szCs w:val="22"/>
        </w:rPr>
      </w:pPr>
      <w:hyperlink w:anchor="_Toc6473091" w:history="1">
        <w:r w:rsidR="007F2617" w:rsidRPr="00F83BBB">
          <w:rPr>
            <w:rStyle w:val="Hyperlink"/>
            <w:noProof/>
          </w:rPr>
          <w:t>Table 7.14: Participants’ selection of the choices provided in Q4.</w:t>
        </w:r>
        <w:r w:rsidR="007F2617">
          <w:rPr>
            <w:noProof/>
            <w:webHidden/>
          </w:rPr>
          <w:tab/>
        </w:r>
        <w:r w:rsidR="007F2617">
          <w:rPr>
            <w:noProof/>
            <w:webHidden/>
          </w:rPr>
          <w:fldChar w:fldCharType="begin"/>
        </w:r>
        <w:r w:rsidR="007F2617">
          <w:rPr>
            <w:noProof/>
            <w:webHidden/>
          </w:rPr>
          <w:instrText xml:space="preserve"> PAGEREF _Toc6473091 \h </w:instrText>
        </w:r>
        <w:r w:rsidR="007F2617">
          <w:rPr>
            <w:noProof/>
            <w:webHidden/>
          </w:rPr>
        </w:r>
        <w:r w:rsidR="007F2617">
          <w:rPr>
            <w:noProof/>
            <w:webHidden/>
          </w:rPr>
          <w:fldChar w:fldCharType="separate"/>
        </w:r>
        <w:r w:rsidR="00301AD4">
          <w:rPr>
            <w:noProof/>
            <w:webHidden/>
          </w:rPr>
          <w:t>136</w:t>
        </w:r>
        <w:r w:rsidR="007F2617">
          <w:rPr>
            <w:noProof/>
            <w:webHidden/>
          </w:rPr>
          <w:fldChar w:fldCharType="end"/>
        </w:r>
      </w:hyperlink>
    </w:p>
    <w:p w14:paraId="64555758" w14:textId="77777777" w:rsidR="007F2617" w:rsidRDefault="000E3509">
      <w:pPr>
        <w:pStyle w:val="TOC7"/>
        <w:rPr>
          <w:rFonts w:asciiTheme="minorHAnsi" w:eastAsiaTheme="minorEastAsia" w:hAnsiTheme="minorHAnsi" w:cstheme="minorBidi"/>
          <w:noProof/>
          <w:sz w:val="22"/>
          <w:szCs w:val="22"/>
        </w:rPr>
      </w:pPr>
      <w:hyperlink w:anchor="_Toc6473092" w:history="1">
        <w:r w:rsidR="007F2617" w:rsidRPr="00F83BBB">
          <w:rPr>
            <w:rStyle w:val="Hyperlink"/>
            <w:noProof/>
          </w:rPr>
          <w:t>Table 7.15: Participants’ selection of the choices provided in Q5.</w:t>
        </w:r>
        <w:r w:rsidR="007F2617">
          <w:rPr>
            <w:noProof/>
            <w:webHidden/>
          </w:rPr>
          <w:tab/>
        </w:r>
        <w:r w:rsidR="007F2617">
          <w:rPr>
            <w:noProof/>
            <w:webHidden/>
          </w:rPr>
          <w:fldChar w:fldCharType="begin"/>
        </w:r>
        <w:r w:rsidR="007F2617">
          <w:rPr>
            <w:noProof/>
            <w:webHidden/>
          </w:rPr>
          <w:instrText xml:space="preserve"> PAGEREF _Toc6473092 \h </w:instrText>
        </w:r>
        <w:r w:rsidR="007F2617">
          <w:rPr>
            <w:noProof/>
            <w:webHidden/>
          </w:rPr>
        </w:r>
        <w:r w:rsidR="007F2617">
          <w:rPr>
            <w:noProof/>
            <w:webHidden/>
          </w:rPr>
          <w:fldChar w:fldCharType="separate"/>
        </w:r>
        <w:r w:rsidR="00301AD4">
          <w:rPr>
            <w:noProof/>
            <w:webHidden/>
          </w:rPr>
          <w:t>137</w:t>
        </w:r>
        <w:r w:rsidR="007F2617">
          <w:rPr>
            <w:noProof/>
            <w:webHidden/>
          </w:rPr>
          <w:fldChar w:fldCharType="end"/>
        </w:r>
      </w:hyperlink>
    </w:p>
    <w:p w14:paraId="3904B957" w14:textId="769CD537" w:rsidR="007F2617" w:rsidRDefault="000E3509">
      <w:pPr>
        <w:pStyle w:val="TOC7"/>
        <w:rPr>
          <w:rFonts w:asciiTheme="minorHAnsi" w:eastAsiaTheme="minorEastAsia" w:hAnsiTheme="minorHAnsi" w:cstheme="minorBidi"/>
          <w:noProof/>
          <w:sz w:val="22"/>
          <w:szCs w:val="22"/>
        </w:rPr>
      </w:pPr>
      <w:hyperlink w:anchor="_Toc6473093" w:history="1">
        <w:r w:rsidR="007F2617" w:rsidRPr="00F83BBB">
          <w:rPr>
            <w:rStyle w:val="Hyperlink"/>
            <w:noProof/>
          </w:rPr>
          <w:t xml:space="preserve">Table 7.16: Chi-square test results for social group demographic </w:t>
        </w:r>
        <w:r w:rsidR="007F2617">
          <w:rPr>
            <w:rStyle w:val="Hyperlink"/>
            <w:noProof/>
          </w:rPr>
          <w:br/>
        </w:r>
        <w:r w:rsidR="007F2617" w:rsidRPr="00F83BBB">
          <w:rPr>
            <w:rStyle w:val="Hyperlink"/>
            <w:noProof/>
          </w:rPr>
          <w:t>variable.</w:t>
        </w:r>
        <w:r w:rsidR="007F2617">
          <w:rPr>
            <w:noProof/>
            <w:webHidden/>
          </w:rPr>
          <w:tab/>
        </w:r>
        <w:r w:rsidR="007F2617">
          <w:rPr>
            <w:noProof/>
            <w:webHidden/>
          </w:rPr>
          <w:fldChar w:fldCharType="begin"/>
        </w:r>
        <w:r w:rsidR="007F2617">
          <w:rPr>
            <w:noProof/>
            <w:webHidden/>
          </w:rPr>
          <w:instrText xml:space="preserve"> PAGEREF _Toc6473093 \h </w:instrText>
        </w:r>
        <w:r w:rsidR="007F2617">
          <w:rPr>
            <w:noProof/>
            <w:webHidden/>
          </w:rPr>
        </w:r>
        <w:r w:rsidR="007F2617">
          <w:rPr>
            <w:noProof/>
            <w:webHidden/>
          </w:rPr>
          <w:fldChar w:fldCharType="separate"/>
        </w:r>
        <w:r w:rsidR="00301AD4">
          <w:rPr>
            <w:noProof/>
            <w:webHidden/>
          </w:rPr>
          <w:t>138</w:t>
        </w:r>
        <w:r w:rsidR="007F2617">
          <w:rPr>
            <w:noProof/>
            <w:webHidden/>
          </w:rPr>
          <w:fldChar w:fldCharType="end"/>
        </w:r>
      </w:hyperlink>
    </w:p>
    <w:p w14:paraId="05470771" w14:textId="77777777" w:rsidR="007F2617" w:rsidRDefault="000E3509">
      <w:pPr>
        <w:pStyle w:val="TOC7"/>
        <w:rPr>
          <w:rFonts w:asciiTheme="minorHAnsi" w:eastAsiaTheme="minorEastAsia" w:hAnsiTheme="minorHAnsi" w:cstheme="minorBidi"/>
          <w:noProof/>
          <w:sz w:val="22"/>
          <w:szCs w:val="22"/>
        </w:rPr>
      </w:pPr>
      <w:hyperlink w:anchor="_Toc6473094" w:history="1">
        <w:r w:rsidR="007F2617" w:rsidRPr="00F83BBB">
          <w:rPr>
            <w:rStyle w:val="Hyperlink"/>
            <w:noProof/>
          </w:rPr>
          <w:t>Table 7.17: Social group-Q5 crosstabulation.</w:t>
        </w:r>
        <w:r w:rsidR="007F2617">
          <w:rPr>
            <w:noProof/>
            <w:webHidden/>
          </w:rPr>
          <w:tab/>
        </w:r>
        <w:r w:rsidR="007F2617">
          <w:rPr>
            <w:noProof/>
            <w:webHidden/>
          </w:rPr>
          <w:fldChar w:fldCharType="begin"/>
        </w:r>
        <w:r w:rsidR="007F2617">
          <w:rPr>
            <w:noProof/>
            <w:webHidden/>
          </w:rPr>
          <w:instrText xml:space="preserve"> PAGEREF _Toc6473094 \h </w:instrText>
        </w:r>
        <w:r w:rsidR="007F2617">
          <w:rPr>
            <w:noProof/>
            <w:webHidden/>
          </w:rPr>
        </w:r>
        <w:r w:rsidR="007F2617">
          <w:rPr>
            <w:noProof/>
            <w:webHidden/>
          </w:rPr>
          <w:fldChar w:fldCharType="separate"/>
        </w:r>
        <w:r w:rsidR="00301AD4">
          <w:rPr>
            <w:noProof/>
            <w:webHidden/>
          </w:rPr>
          <w:t>138</w:t>
        </w:r>
        <w:r w:rsidR="007F2617">
          <w:rPr>
            <w:noProof/>
            <w:webHidden/>
          </w:rPr>
          <w:fldChar w:fldCharType="end"/>
        </w:r>
      </w:hyperlink>
    </w:p>
    <w:p w14:paraId="10F51C72" w14:textId="77777777" w:rsidR="007F2617" w:rsidRDefault="000E3509">
      <w:pPr>
        <w:pStyle w:val="TOC7"/>
        <w:rPr>
          <w:rFonts w:asciiTheme="minorHAnsi" w:eastAsiaTheme="minorEastAsia" w:hAnsiTheme="minorHAnsi" w:cstheme="minorBidi"/>
          <w:noProof/>
          <w:sz w:val="22"/>
          <w:szCs w:val="22"/>
        </w:rPr>
      </w:pPr>
      <w:hyperlink w:anchor="_Toc6473095" w:history="1">
        <w:r w:rsidR="007F2617" w:rsidRPr="00F83BBB">
          <w:rPr>
            <w:rStyle w:val="Hyperlink"/>
            <w:noProof/>
          </w:rPr>
          <w:t>Table 7.18: Participants’ selection of the choices provided in Q6.</w:t>
        </w:r>
        <w:r w:rsidR="007F2617">
          <w:rPr>
            <w:noProof/>
            <w:webHidden/>
          </w:rPr>
          <w:tab/>
        </w:r>
        <w:r w:rsidR="007F2617">
          <w:rPr>
            <w:noProof/>
            <w:webHidden/>
          </w:rPr>
          <w:fldChar w:fldCharType="begin"/>
        </w:r>
        <w:r w:rsidR="007F2617">
          <w:rPr>
            <w:noProof/>
            <w:webHidden/>
          </w:rPr>
          <w:instrText xml:space="preserve"> PAGEREF _Toc6473095 \h </w:instrText>
        </w:r>
        <w:r w:rsidR="007F2617">
          <w:rPr>
            <w:noProof/>
            <w:webHidden/>
          </w:rPr>
        </w:r>
        <w:r w:rsidR="007F2617">
          <w:rPr>
            <w:noProof/>
            <w:webHidden/>
          </w:rPr>
          <w:fldChar w:fldCharType="separate"/>
        </w:r>
        <w:r w:rsidR="00301AD4">
          <w:rPr>
            <w:noProof/>
            <w:webHidden/>
          </w:rPr>
          <w:t>139</w:t>
        </w:r>
        <w:r w:rsidR="007F2617">
          <w:rPr>
            <w:noProof/>
            <w:webHidden/>
          </w:rPr>
          <w:fldChar w:fldCharType="end"/>
        </w:r>
      </w:hyperlink>
    </w:p>
    <w:p w14:paraId="26510334" w14:textId="0A132416" w:rsidR="007F2617" w:rsidRDefault="000E3509">
      <w:pPr>
        <w:pStyle w:val="TOC7"/>
        <w:rPr>
          <w:rFonts w:asciiTheme="minorHAnsi" w:eastAsiaTheme="minorEastAsia" w:hAnsiTheme="minorHAnsi" w:cstheme="minorBidi"/>
          <w:noProof/>
          <w:sz w:val="22"/>
          <w:szCs w:val="22"/>
        </w:rPr>
      </w:pPr>
      <w:hyperlink w:anchor="_Toc6473096" w:history="1">
        <w:r w:rsidR="007F2617" w:rsidRPr="00F83BBB">
          <w:rPr>
            <w:rStyle w:val="Hyperlink"/>
            <w:noProof/>
          </w:rPr>
          <w:t xml:space="preserve">Table 7.19: Chi-square test results for spouse’s social group </w:t>
        </w:r>
        <w:r w:rsidR="007F2617">
          <w:rPr>
            <w:rStyle w:val="Hyperlink"/>
            <w:noProof/>
          </w:rPr>
          <w:br/>
        </w:r>
        <w:r w:rsidR="007F2617" w:rsidRPr="00F83BBB">
          <w:rPr>
            <w:rStyle w:val="Hyperlink"/>
            <w:noProof/>
          </w:rPr>
          <w:t>demographic variable.</w:t>
        </w:r>
        <w:r w:rsidR="007F2617">
          <w:rPr>
            <w:noProof/>
            <w:webHidden/>
          </w:rPr>
          <w:tab/>
        </w:r>
        <w:r w:rsidR="007F2617">
          <w:rPr>
            <w:noProof/>
            <w:webHidden/>
          </w:rPr>
          <w:fldChar w:fldCharType="begin"/>
        </w:r>
        <w:r w:rsidR="007F2617">
          <w:rPr>
            <w:noProof/>
            <w:webHidden/>
          </w:rPr>
          <w:instrText xml:space="preserve"> PAGEREF _Toc6473096 \h </w:instrText>
        </w:r>
        <w:r w:rsidR="007F2617">
          <w:rPr>
            <w:noProof/>
            <w:webHidden/>
          </w:rPr>
        </w:r>
        <w:r w:rsidR="007F2617">
          <w:rPr>
            <w:noProof/>
            <w:webHidden/>
          </w:rPr>
          <w:fldChar w:fldCharType="separate"/>
        </w:r>
        <w:r w:rsidR="00301AD4">
          <w:rPr>
            <w:noProof/>
            <w:webHidden/>
          </w:rPr>
          <w:t>140</w:t>
        </w:r>
        <w:r w:rsidR="007F2617">
          <w:rPr>
            <w:noProof/>
            <w:webHidden/>
          </w:rPr>
          <w:fldChar w:fldCharType="end"/>
        </w:r>
      </w:hyperlink>
    </w:p>
    <w:p w14:paraId="0CF4A7CD" w14:textId="77777777" w:rsidR="007F2617" w:rsidRDefault="000E3509">
      <w:pPr>
        <w:pStyle w:val="TOC7"/>
        <w:rPr>
          <w:rFonts w:asciiTheme="minorHAnsi" w:eastAsiaTheme="minorEastAsia" w:hAnsiTheme="minorHAnsi" w:cstheme="minorBidi"/>
          <w:noProof/>
          <w:sz w:val="22"/>
          <w:szCs w:val="22"/>
        </w:rPr>
      </w:pPr>
      <w:hyperlink w:anchor="_Toc6473097" w:history="1">
        <w:r w:rsidR="007F2617" w:rsidRPr="00F83BBB">
          <w:rPr>
            <w:rStyle w:val="Hyperlink"/>
            <w:noProof/>
          </w:rPr>
          <w:t>Table 7.20: Social group-Q7 crosstabulation.</w:t>
        </w:r>
        <w:r w:rsidR="007F2617">
          <w:rPr>
            <w:noProof/>
            <w:webHidden/>
          </w:rPr>
          <w:tab/>
        </w:r>
        <w:r w:rsidR="007F2617">
          <w:rPr>
            <w:noProof/>
            <w:webHidden/>
          </w:rPr>
          <w:fldChar w:fldCharType="begin"/>
        </w:r>
        <w:r w:rsidR="007F2617">
          <w:rPr>
            <w:noProof/>
            <w:webHidden/>
          </w:rPr>
          <w:instrText xml:space="preserve"> PAGEREF _Toc6473097 \h </w:instrText>
        </w:r>
        <w:r w:rsidR="007F2617">
          <w:rPr>
            <w:noProof/>
            <w:webHidden/>
          </w:rPr>
        </w:r>
        <w:r w:rsidR="007F2617">
          <w:rPr>
            <w:noProof/>
            <w:webHidden/>
          </w:rPr>
          <w:fldChar w:fldCharType="separate"/>
        </w:r>
        <w:r w:rsidR="00301AD4">
          <w:rPr>
            <w:noProof/>
            <w:webHidden/>
          </w:rPr>
          <w:t>141</w:t>
        </w:r>
        <w:r w:rsidR="007F2617">
          <w:rPr>
            <w:noProof/>
            <w:webHidden/>
          </w:rPr>
          <w:fldChar w:fldCharType="end"/>
        </w:r>
      </w:hyperlink>
    </w:p>
    <w:p w14:paraId="20D62902" w14:textId="77777777" w:rsidR="007F2617" w:rsidRDefault="000E3509">
      <w:pPr>
        <w:pStyle w:val="TOC7"/>
        <w:rPr>
          <w:rFonts w:asciiTheme="minorHAnsi" w:eastAsiaTheme="minorEastAsia" w:hAnsiTheme="minorHAnsi" w:cstheme="minorBidi"/>
          <w:noProof/>
          <w:sz w:val="22"/>
          <w:szCs w:val="22"/>
        </w:rPr>
      </w:pPr>
      <w:hyperlink w:anchor="_Toc6473098" w:history="1">
        <w:r w:rsidR="007F2617" w:rsidRPr="00F83BBB">
          <w:rPr>
            <w:rStyle w:val="Hyperlink"/>
            <w:noProof/>
          </w:rPr>
          <w:t>Table 7.21: Participants’ selection of the choices provided in Q7.</w:t>
        </w:r>
        <w:r w:rsidR="007F2617">
          <w:rPr>
            <w:noProof/>
            <w:webHidden/>
          </w:rPr>
          <w:tab/>
        </w:r>
        <w:r w:rsidR="007F2617">
          <w:rPr>
            <w:noProof/>
            <w:webHidden/>
          </w:rPr>
          <w:fldChar w:fldCharType="begin"/>
        </w:r>
        <w:r w:rsidR="007F2617">
          <w:rPr>
            <w:noProof/>
            <w:webHidden/>
          </w:rPr>
          <w:instrText xml:space="preserve"> PAGEREF _Toc6473098 \h </w:instrText>
        </w:r>
        <w:r w:rsidR="007F2617">
          <w:rPr>
            <w:noProof/>
            <w:webHidden/>
          </w:rPr>
        </w:r>
        <w:r w:rsidR="007F2617">
          <w:rPr>
            <w:noProof/>
            <w:webHidden/>
          </w:rPr>
          <w:fldChar w:fldCharType="separate"/>
        </w:r>
        <w:r w:rsidR="00301AD4">
          <w:rPr>
            <w:noProof/>
            <w:webHidden/>
          </w:rPr>
          <w:t>142</w:t>
        </w:r>
        <w:r w:rsidR="007F2617">
          <w:rPr>
            <w:noProof/>
            <w:webHidden/>
          </w:rPr>
          <w:fldChar w:fldCharType="end"/>
        </w:r>
      </w:hyperlink>
    </w:p>
    <w:p w14:paraId="52EFFAC8" w14:textId="4A464706" w:rsidR="007F2617" w:rsidRDefault="000E3509">
      <w:pPr>
        <w:pStyle w:val="TOC7"/>
        <w:rPr>
          <w:rFonts w:asciiTheme="minorHAnsi" w:eastAsiaTheme="minorEastAsia" w:hAnsiTheme="minorHAnsi" w:cstheme="minorBidi"/>
          <w:noProof/>
          <w:sz w:val="22"/>
          <w:szCs w:val="22"/>
        </w:rPr>
      </w:pPr>
      <w:hyperlink w:anchor="_Toc6473099" w:history="1">
        <w:r w:rsidR="007F2617" w:rsidRPr="00F83BBB">
          <w:rPr>
            <w:rStyle w:val="Hyperlink"/>
            <w:noProof/>
          </w:rPr>
          <w:t xml:space="preserve">Table 7.22: Chi-square test results for spouse’s social group </w:t>
        </w:r>
        <w:r w:rsidR="007F2617">
          <w:rPr>
            <w:rStyle w:val="Hyperlink"/>
            <w:noProof/>
          </w:rPr>
          <w:br/>
        </w:r>
        <w:r w:rsidR="007F2617" w:rsidRPr="00F83BBB">
          <w:rPr>
            <w:rStyle w:val="Hyperlink"/>
            <w:noProof/>
          </w:rPr>
          <w:t>demographic variable.</w:t>
        </w:r>
        <w:r w:rsidR="007F2617">
          <w:rPr>
            <w:noProof/>
            <w:webHidden/>
          </w:rPr>
          <w:tab/>
        </w:r>
        <w:r w:rsidR="007F2617">
          <w:rPr>
            <w:noProof/>
            <w:webHidden/>
          </w:rPr>
          <w:fldChar w:fldCharType="begin"/>
        </w:r>
        <w:r w:rsidR="007F2617">
          <w:rPr>
            <w:noProof/>
            <w:webHidden/>
          </w:rPr>
          <w:instrText xml:space="preserve"> PAGEREF _Toc6473099 \h </w:instrText>
        </w:r>
        <w:r w:rsidR="007F2617">
          <w:rPr>
            <w:noProof/>
            <w:webHidden/>
          </w:rPr>
        </w:r>
        <w:r w:rsidR="007F2617">
          <w:rPr>
            <w:noProof/>
            <w:webHidden/>
          </w:rPr>
          <w:fldChar w:fldCharType="separate"/>
        </w:r>
        <w:r w:rsidR="00301AD4">
          <w:rPr>
            <w:noProof/>
            <w:webHidden/>
          </w:rPr>
          <w:t>143</w:t>
        </w:r>
        <w:r w:rsidR="007F2617">
          <w:rPr>
            <w:noProof/>
            <w:webHidden/>
          </w:rPr>
          <w:fldChar w:fldCharType="end"/>
        </w:r>
      </w:hyperlink>
    </w:p>
    <w:p w14:paraId="5B74A851" w14:textId="77777777" w:rsidR="007F2617" w:rsidRDefault="000E3509">
      <w:pPr>
        <w:pStyle w:val="TOC7"/>
        <w:rPr>
          <w:rFonts w:asciiTheme="minorHAnsi" w:eastAsiaTheme="minorEastAsia" w:hAnsiTheme="minorHAnsi" w:cstheme="minorBidi"/>
          <w:noProof/>
          <w:sz w:val="22"/>
          <w:szCs w:val="22"/>
        </w:rPr>
      </w:pPr>
      <w:hyperlink w:anchor="_Toc6473100" w:history="1">
        <w:r w:rsidR="007F2617" w:rsidRPr="00F83BBB">
          <w:rPr>
            <w:rStyle w:val="Hyperlink"/>
            <w:noProof/>
          </w:rPr>
          <w:t>Table 7.23: Gender-Q8 crosstabulation.</w:t>
        </w:r>
        <w:r w:rsidR="007F2617">
          <w:rPr>
            <w:noProof/>
            <w:webHidden/>
          </w:rPr>
          <w:tab/>
        </w:r>
        <w:r w:rsidR="007F2617">
          <w:rPr>
            <w:noProof/>
            <w:webHidden/>
          </w:rPr>
          <w:fldChar w:fldCharType="begin"/>
        </w:r>
        <w:r w:rsidR="007F2617">
          <w:rPr>
            <w:noProof/>
            <w:webHidden/>
          </w:rPr>
          <w:instrText xml:space="preserve"> PAGEREF _Toc6473100 \h </w:instrText>
        </w:r>
        <w:r w:rsidR="007F2617">
          <w:rPr>
            <w:noProof/>
            <w:webHidden/>
          </w:rPr>
        </w:r>
        <w:r w:rsidR="007F2617">
          <w:rPr>
            <w:noProof/>
            <w:webHidden/>
          </w:rPr>
          <w:fldChar w:fldCharType="separate"/>
        </w:r>
        <w:r w:rsidR="00301AD4">
          <w:rPr>
            <w:noProof/>
            <w:webHidden/>
          </w:rPr>
          <w:t>143</w:t>
        </w:r>
        <w:r w:rsidR="007F2617">
          <w:rPr>
            <w:noProof/>
            <w:webHidden/>
          </w:rPr>
          <w:fldChar w:fldCharType="end"/>
        </w:r>
      </w:hyperlink>
    </w:p>
    <w:p w14:paraId="256A0737" w14:textId="751DE2FD" w:rsidR="007F2617" w:rsidRDefault="000E3509">
      <w:pPr>
        <w:pStyle w:val="TOC7"/>
        <w:rPr>
          <w:rFonts w:asciiTheme="minorHAnsi" w:eastAsiaTheme="minorEastAsia" w:hAnsiTheme="minorHAnsi" w:cstheme="minorBidi"/>
          <w:noProof/>
          <w:sz w:val="22"/>
          <w:szCs w:val="22"/>
        </w:rPr>
      </w:pPr>
      <w:hyperlink w:anchor="_Toc6473101" w:history="1">
        <w:r w:rsidR="007F2617" w:rsidRPr="00F83BBB">
          <w:rPr>
            <w:rStyle w:val="Hyperlink"/>
            <w:noProof/>
          </w:rPr>
          <w:t xml:space="preserve">Table 7.24: Chi-square test results for social group demographic </w:t>
        </w:r>
        <w:r w:rsidR="007F2617">
          <w:rPr>
            <w:rStyle w:val="Hyperlink"/>
            <w:noProof/>
          </w:rPr>
          <w:br/>
        </w:r>
        <w:r w:rsidR="007F2617" w:rsidRPr="00F83BBB">
          <w:rPr>
            <w:rStyle w:val="Hyperlink"/>
            <w:noProof/>
          </w:rPr>
          <w:t>variable.</w:t>
        </w:r>
        <w:r w:rsidR="007F2617">
          <w:rPr>
            <w:noProof/>
            <w:webHidden/>
          </w:rPr>
          <w:tab/>
        </w:r>
        <w:r w:rsidR="007F2617">
          <w:rPr>
            <w:noProof/>
            <w:webHidden/>
          </w:rPr>
          <w:fldChar w:fldCharType="begin"/>
        </w:r>
        <w:r w:rsidR="007F2617">
          <w:rPr>
            <w:noProof/>
            <w:webHidden/>
          </w:rPr>
          <w:instrText xml:space="preserve"> PAGEREF _Toc6473101 \h </w:instrText>
        </w:r>
        <w:r w:rsidR="007F2617">
          <w:rPr>
            <w:noProof/>
            <w:webHidden/>
          </w:rPr>
        </w:r>
        <w:r w:rsidR="007F2617">
          <w:rPr>
            <w:noProof/>
            <w:webHidden/>
          </w:rPr>
          <w:fldChar w:fldCharType="separate"/>
        </w:r>
        <w:r w:rsidR="00301AD4">
          <w:rPr>
            <w:noProof/>
            <w:webHidden/>
          </w:rPr>
          <w:t>144</w:t>
        </w:r>
        <w:r w:rsidR="007F2617">
          <w:rPr>
            <w:noProof/>
            <w:webHidden/>
          </w:rPr>
          <w:fldChar w:fldCharType="end"/>
        </w:r>
      </w:hyperlink>
    </w:p>
    <w:p w14:paraId="6FA39003" w14:textId="77777777" w:rsidR="007F2617" w:rsidRDefault="000E3509">
      <w:pPr>
        <w:pStyle w:val="TOC7"/>
        <w:rPr>
          <w:rFonts w:asciiTheme="minorHAnsi" w:eastAsiaTheme="minorEastAsia" w:hAnsiTheme="minorHAnsi" w:cstheme="minorBidi"/>
          <w:noProof/>
          <w:sz w:val="22"/>
          <w:szCs w:val="22"/>
        </w:rPr>
      </w:pPr>
      <w:hyperlink w:anchor="_Toc6473102" w:history="1">
        <w:r w:rsidR="007F2617" w:rsidRPr="00F83BBB">
          <w:rPr>
            <w:rStyle w:val="Hyperlink"/>
            <w:noProof/>
          </w:rPr>
          <w:t>Table 7.25: Social group-Q8 crosstabulation.</w:t>
        </w:r>
        <w:r w:rsidR="007F2617">
          <w:rPr>
            <w:noProof/>
            <w:webHidden/>
          </w:rPr>
          <w:tab/>
        </w:r>
        <w:r w:rsidR="007F2617">
          <w:rPr>
            <w:noProof/>
            <w:webHidden/>
          </w:rPr>
          <w:fldChar w:fldCharType="begin"/>
        </w:r>
        <w:r w:rsidR="007F2617">
          <w:rPr>
            <w:noProof/>
            <w:webHidden/>
          </w:rPr>
          <w:instrText xml:space="preserve"> PAGEREF _Toc6473102 \h </w:instrText>
        </w:r>
        <w:r w:rsidR="007F2617">
          <w:rPr>
            <w:noProof/>
            <w:webHidden/>
          </w:rPr>
        </w:r>
        <w:r w:rsidR="007F2617">
          <w:rPr>
            <w:noProof/>
            <w:webHidden/>
          </w:rPr>
          <w:fldChar w:fldCharType="separate"/>
        </w:r>
        <w:r w:rsidR="00301AD4">
          <w:rPr>
            <w:noProof/>
            <w:webHidden/>
          </w:rPr>
          <w:t>145</w:t>
        </w:r>
        <w:r w:rsidR="007F2617">
          <w:rPr>
            <w:noProof/>
            <w:webHidden/>
          </w:rPr>
          <w:fldChar w:fldCharType="end"/>
        </w:r>
      </w:hyperlink>
    </w:p>
    <w:p w14:paraId="70D8A46B" w14:textId="77777777" w:rsidR="007F2617" w:rsidRDefault="000E3509">
      <w:pPr>
        <w:pStyle w:val="TOC7"/>
        <w:rPr>
          <w:rFonts w:asciiTheme="minorHAnsi" w:eastAsiaTheme="minorEastAsia" w:hAnsiTheme="minorHAnsi" w:cstheme="minorBidi"/>
          <w:noProof/>
          <w:sz w:val="22"/>
          <w:szCs w:val="22"/>
        </w:rPr>
      </w:pPr>
      <w:hyperlink w:anchor="_Toc6473103" w:history="1">
        <w:r w:rsidR="007F2617" w:rsidRPr="00F83BBB">
          <w:rPr>
            <w:rStyle w:val="Hyperlink"/>
            <w:noProof/>
          </w:rPr>
          <w:t>Table 7.26: Participants’ selection of the choices provided in Q8.</w:t>
        </w:r>
        <w:r w:rsidR="007F2617">
          <w:rPr>
            <w:noProof/>
            <w:webHidden/>
          </w:rPr>
          <w:tab/>
        </w:r>
        <w:r w:rsidR="007F2617">
          <w:rPr>
            <w:noProof/>
            <w:webHidden/>
          </w:rPr>
          <w:fldChar w:fldCharType="begin"/>
        </w:r>
        <w:r w:rsidR="007F2617">
          <w:rPr>
            <w:noProof/>
            <w:webHidden/>
          </w:rPr>
          <w:instrText xml:space="preserve"> PAGEREF _Toc6473103 \h </w:instrText>
        </w:r>
        <w:r w:rsidR="007F2617">
          <w:rPr>
            <w:noProof/>
            <w:webHidden/>
          </w:rPr>
        </w:r>
        <w:r w:rsidR="007F2617">
          <w:rPr>
            <w:noProof/>
            <w:webHidden/>
          </w:rPr>
          <w:fldChar w:fldCharType="separate"/>
        </w:r>
        <w:r w:rsidR="00301AD4">
          <w:rPr>
            <w:noProof/>
            <w:webHidden/>
          </w:rPr>
          <w:t>146</w:t>
        </w:r>
        <w:r w:rsidR="007F2617">
          <w:rPr>
            <w:noProof/>
            <w:webHidden/>
          </w:rPr>
          <w:fldChar w:fldCharType="end"/>
        </w:r>
      </w:hyperlink>
    </w:p>
    <w:p w14:paraId="42289B46" w14:textId="77777777" w:rsidR="007F2617" w:rsidRDefault="000E3509">
      <w:pPr>
        <w:pStyle w:val="TOC7"/>
        <w:rPr>
          <w:rFonts w:asciiTheme="minorHAnsi" w:eastAsiaTheme="minorEastAsia" w:hAnsiTheme="minorHAnsi" w:cstheme="minorBidi"/>
          <w:noProof/>
          <w:sz w:val="22"/>
          <w:szCs w:val="22"/>
        </w:rPr>
      </w:pPr>
      <w:hyperlink w:anchor="_Toc6473104" w:history="1">
        <w:r w:rsidR="007F2617" w:rsidRPr="00F83BBB">
          <w:rPr>
            <w:rStyle w:val="Hyperlink"/>
            <w:noProof/>
          </w:rPr>
          <w:t>Table 7.27: Participants’ selection of the choices provided in Q9.</w:t>
        </w:r>
        <w:r w:rsidR="007F2617">
          <w:rPr>
            <w:noProof/>
            <w:webHidden/>
          </w:rPr>
          <w:tab/>
        </w:r>
        <w:r w:rsidR="007F2617">
          <w:rPr>
            <w:noProof/>
            <w:webHidden/>
          </w:rPr>
          <w:fldChar w:fldCharType="begin"/>
        </w:r>
        <w:r w:rsidR="007F2617">
          <w:rPr>
            <w:noProof/>
            <w:webHidden/>
          </w:rPr>
          <w:instrText xml:space="preserve"> PAGEREF _Toc6473104 \h </w:instrText>
        </w:r>
        <w:r w:rsidR="007F2617">
          <w:rPr>
            <w:noProof/>
            <w:webHidden/>
          </w:rPr>
        </w:r>
        <w:r w:rsidR="007F2617">
          <w:rPr>
            <w:noProof/>
            <w:webHidden/>
          </w:rPr>
          <w:fldChar w:fldCharType="separate"/>
        </w:r>
        <w:r w:rsidR="00301AD4">
          <w:rPr>
            <w:noProof/>
            <w:webHidden/>
          </w:rPr>
          <w:t>146</w:t>
        </w:r>
        <w:r w:rsidR="007F2617">
          <w:rPr>
            <w:noProof/>
            <w:webHidden/>
          </w:rPr>
          <w:fldChar w:fldCharType="end"/>
        </w:r>
      </w:hyperlink>
    </w:p>
    <w:p w14:paraId="2AD9B6C1" w14:textId="329E95CE" w:rsidR="007F2617" w:rsidRDefault="000E3509">
      <w:pPr>
        <w:pStyle w:val="TOC7"/>
        <w:rPr>
          <w:rFonts w:asciiTheme="minorHAnsi" w:eastAsiaTheme="minorEastAsia" w:hAnsiTheme="minorHAnsi" w:cstheme="minorBidi"/>
          <w:noProof/>
          <w:sz w:val="22"/>
          <w:szCs w:val="22"/>
        </w:rPr>
      </w:pPr>
      <w:hyperlink w:anchor="_Toc6473105" w:history="1">
        <w:r w:rsidR="007F2617" w:rsidRPr="00F83BBB">
          <w:rPr>
            <w:rStyle w:val="Hyperlink"/>
            <w:noProof/>
          </w:rPr>
          <w:t xml:space="preserve">Table 7.28: Chi-square test results for social group demographic </w:t>
        </w:r>
        <w:r w:rsidR="007F2617">
          <w:rPr>
            <w:rStyle w:val="Hyperlink"/>
            <w:noProof/>
          </w:rPr>
          <w:br/>
        </w:r>
        <w:r w:rsidR="007F2617" w:rsidRPr="00F83BBB">
          <w:rPr>
            <w:rStyle w:val="Hyperlink"/>
            <w:noProof/>
          </w:rPr>
          <w:t>variable.</w:t>
        </w:r>
        <w:r w:rsidR="007F2617">
          <w:rPr>
            <w:noProof/>
            <w:webHidden/>
          </w:rPr>
          <w:tab/>
        </w:r>
        <w:r w:rsidR="007F2617">
          <w:rPr>
            <w:noProof/>
            <w:webHidden/>
          </w:rPr>
          <w:fldChar w:fldCharType="begin"/>
        </w:r>
        <w:r w:rsidR="007F2617">
          <w:rPr>
            <w:noProof/>
            <w:webHidden/>
          </w:rPr>
          <w:instrText xml:space="preserve"> PAGEREF _Toc6473105 \h </w:instrText>
        </w:r>
        <w:r w:rsidR="007F2617">
          <w:rPr>
            <w:noProof/>
            <w:webHidden/>
          </w:rPr>
        </w:r>
        <w:r w:rsidR="007F2617">
          <w:rPr>
            <w:noProof/>
            <w:webHidden/>
          </w:rPr>
          <w:fldChar w:fldCharType="separate"/>
        </w:r>
        <w:r w:rsidR="00301AD4">
          <w:rPr>
            <w:noProof/>
            <w:webHidden/>
          </w:rPr>
          <w:t>147</w:t>
        </w:r>
        <w:r w:rsidR="007F2617">
          <w:rPr>
            <w:noProof/>
            <w:webHidden/>
          </w:rPr>
          <w:fldChar w:fldCharType="end"/>
        </w:r>
      </w:hyperlink>
    </w:p>
    <w:p w14:paraId="7D44DA48" w14:textId="77777777" w:rsidR="007F2617" w:rsidRDefault="000E3509">
      <w:pPr>
        <w:pStyle w:val="TOC7"/>
        <w:rPr>
          <w:rFonts w:asciiTheme="minorHAnsi" w:eastAsiaTheme="minorEastAsia" w:hAnsiTheme="minorHAnsi" w:cstheme="minorBidi"/>
          <w:noProof/>
          <w:sz w:val="22"/>
          <w:szCs w:val="22"/>
        </w:rPr>
      </w:pPr>
      <w:hyperlink w:anchor="_Toc6473106" w:history="1">
        <w:r w:rsidR="007F2617" w:rsidRPr="00F83BBB">
          <w:rPr>
            <w:rStyle w:val="Hyperlink"/>
            <w:noProof/>
          </w:rPr>
          <w:t>Table 7.29: Social group-Q5 crosstabulation.</w:t>
        </w:r>
        <w:r w:rsidR="007F2617">
          <w:rPr>
            <w:noProof/>
            <w:webHidden/>
          </w:rPr>
          <w:tab/>
        </w:r>
        <w:r w:rsidR="007F2617">
          <w:rPr>
            <w:noProof/>
            <w:webHidden/>
          </w:rPr>
          <w:fldChar w:fldCharType="begin"/>
        </w:r>
        <w:r w:rsidR="007F2617">
          <w:rPr>
            <w:noProof/>
            <w:webHidden/>
          </w:rPr>
          <w:instrText xml:space="preserve"> PAGEREF _Toc6473106 \h </w:instrText>
        </w:r>
        <w:r w:rsidR="007F2617">
          <w:rPr>
            <w:noProof/>
            <w:webHidden/>
          </w:rPr>
        </w:r>
        <w:r w:rsidR="007F2617">
          <w:rPr>
            <w:noProof/>
            <w:webHidden/>
          </w:rPr>
          <w:fldChar w:fldCharType="separate"/>
        </w:r>
        <w:r w:rsidR="00301AD4">
          <w:rPr>
            <w:noProof/>
            <w:webHidden/>
          </w:rPr>
          <w:t>147</w:t>
        </w:r>
        <w:r w:rsidR="007F2617">
          <w:rPr>
            <w:noProof/>
            <w:webHidden/>
          </w:rPr>
          <w:fldChar w:fldCharType="end"/>
        </w:r>
      </w:hyperlink>
    </w:p>
    <w:p w14:paraId="557709FF" w14:textId="77777777" w:rsidR="007F2617" w:rsidRDefault="000E3509">
      <w:pPr>
        <w:pStyle w:val="TOC7"/>
        <w:rPr>
          <w:rFonts w:asciiTheme="minorHAnsi" w:eastAsiaTheme="minorEastAsia" w:hAnsiTheme="minorHAnsi" w:cstheme="minorBidi"/>
          <w:noProof/>
          <w:sz w:val="22"/>
          <w:szCs w:val="22"/>
        </w:rPr>
      </w:pPr>
      <w:hyperlink w:anchor="_Toc6473107" w:history="1">
        <w:r w:rsidR="007F2617" w:rsidRPr="00F83BBB">
          <w:rPr>
            <w:rStyle w:val="Hyperlink"/>
            <w:noProof/>
          </w:rPr>
          <w:t>Table 7.30: Participants’ selection of the choices provided in Q10.</w:t>
        </w:r>
        <w:r w:rsidR="007F2617">
          <w:rPr>
            <w:noProof/>
            <w:webHidden/>
          </w:rPr>
          <w:tab/>
        </w:r>
        <w:r w:rsidR="007F2617">
          <w:rPr>
            <w:noProof/>
            <w:webHidden/>
          </w:rPr>
          <w:fldChar w:fldCharType="begin"/>
        </w:r>
        <w:r w:rsidR="007F2617">
          <w:rPr>
            <w:noProof/>
            <w:webHidden/>
          </w:rPr>
          <w:instrText xml:space="preserve"> PAGEREF _Toc6473107 \h </w:instrText>
        </w:r>
        <w:r w:rsidR="007F2617">
          <w:rPr>
            <w:noProof/>
            <w:webHidden/>
          </w:rPr>
        </w:r>
        <w:r w:rsidR="007F2617">
          <w:rPr>
            <w:noProof/>
            <w:webHidden/>
          </w:rPr>
          <w:fldChar w:fldCharType="separate"/>
        </w:r>
        <w:r w:rsidR="00301AD4">
          <w:rPr>
            <w:noProof/>
            <w:webHidden/>
          </w:rPr>
          <w:t>148</w:t>
        </w:r>
        <w:r w:rsidR="007F2617">
          <w:rPr>
            <w:noProof/>
            <w:webHidden/>
          </w:rPr>
          <w:fldChar w:fldCharType="end"/>
        </w:r>
      </w:hyperlink>
    </w:p>
    <w:p w14:paraId="52C74FA1" w14:textId="2247DCD0" w:rsidR="007F2617" w:rsidRDefault="000E3509">
      <w:pPr>
        <w:pStyle w:val="TOC7"/>
        <w:rPr>
          <w:rFonts w:asciiTheme="minorHAnsi" w:eastAsiaTheme="minorEastAsia" w:hAnsiTheme="minorHAnsi" w:cstheme="minorBidi"/>
          <w:noProof/>
          <w:sz w:val="22"/>
          <w:szCs w:val="22"/>
        </w:rPr>
      </w:pPr>
      <w:hyperlink w:anchor="_Toc6473108" w:history="1">
        <w:r w:rsidR="007F2617" w:rsidRPr="00F83BBB">
          <w:rPr>
            <w:rStyle w:val="Hyperlink"/>
            <w:noProof/>
          </w:rPr>
          <w:t xml:space="preserve">Table 7.31: Chi-square test results for social group demographic </w:t>
        </w:r>
        <w:r w:rsidR="007F2617">
          <w:rPr>
            <w:rStyle w:val="Hyperlink"/>
            <w:noProof/>
          </w:rPr>
          <w:br/>
        </w:r>
        <w:r w:rsidR="007F2617" w:rsidRPr="00F83BBB">
          <w:rPr>
            <w:rStyle w:val="Hyperlink"/>
            <w:noProof/>
          </w:rPr>
          <w:t>variable.</w:t>
        </w:r>
        <w:r w:rsidR="007F2617">
          <w:rPr>
            <w:noProof/>
            <w:webHidden/>
          </w:rPr>
          <w:tab/>
        </w:r>
        <w:r w:rsidR="007F2617">
          <w:rPr>
            <w:noProof/>
            <w:webHidden/>
          </w:rPr>
          <w:fldChar w:fldCharType="begin"/>
        </w:r>
        <w:r w:rsidR="007F2617">
          <w:rPr>
            <w:noProof/>
            <w:webHidden/>
          </w:rPr>
          <w:instrText xml:space="preserve"> PAGEREF _Toc6473108 \h </w:instrText>
        </w:r>
        <w:r w:rsidR="007F2617">
          <w:rPr>
            <w:noProof/>
            <w:webHidden/>
          </w:rPr>
        </w:r>
        <w:r w:rsidR="007F2617">
          <w:rPr>
            <w:noProof/>
            <w:webHidden/>
          </w:rPr>
          <w:fldChar w:fldCharType="separate"/>
        </w:r>
        <w:r w:rsidR="00301AD4">
          <w:rPr>
            <w:noProof/>
            <w:webHidden/>
          </w:rPr>
          <w:t>149</w:t>
        </w:r>
        <w:r w:rsidR="007F2617">
          <w:rPr>
            <w:noProof/>
            <w:webHidden/>
          </w:rPr>
          <w:fldChar w:fldCharType="end"/>
        </w:r>
      </w:hyperlink>
    </w:p>
    <w:p w14:paraId="4346C514" w14:textId="77777777" w:rsidR="007F2617" w:rsidRDefault="000E3509">
      <w:pPr>
        <w:pStyle w:val="TOC7"/>
        <w:rPr>
          <w:rFonts w:asciiTheme="minorHAnsi" w:eastAsiaTheme="minorEastAsia" w:hAnsiTheme="minorHAnsi" w:cstheme="minorBidi"/>
          <w:noProof/>
          <w:sz w:val="22"/>
          <w:szCs w:val="22"/>
        </w:rPr>
      </w:pPr>
      <w:hyperlink w:anchor="_Toc6473109" w:history="1">
        <w:r w:rsidR="007F2617" w:rsidRPr="00F83BBB">
          <w:rPr>
            <w:rStyle w:val="Hyperlink"/>
            <w:noProof/>
          </w:rPr>
          <w:t>Table 7.32: Social group-Q11 crosstabulation.</w:t>
        </w:r>
        <w:r w:rsidR="007F2617">
          <w:rPr>
            <w:noProof/>
            <w:webHidden/>
          </w:rPr>
          <w:tab/>
        </w:r>
        <w:r w:rsidR="007F2617">
          <w:rPr>
            <w:noProof/>
            <w:webHidden/>
          </w:rPr>
          <w:fldChar w:fldCharType="begin"/>
        </w:r>
        <w:r w:rsidR="007F2617">
          <w:rPr>
            <w:noProof/>
            <w:webHidden/>
          </w:rPr>
          <w:instrText xml:space="preserve"> PAGEREF _Toc6473109 \h </w:instrText>
        </w:r>
        <w:r w:rsidR="007F2617">
          <w:rPr>
            <w:noProof/>
            <w:webHidden/>
          </w:rPr>
        </w:r>
        <w:r w:rsidR="007F2617">
          <w:rPr>
            <w:noProof/>
            <w:webHidden/>
          </w:rPr>
          <w:fldChar w:fldCharType="separate"/>
        </w:r>
        <w:r w:rsidR="00301AD4">
          <w:rPr>
            <w:noProof/>
            <w:webHidden/>
          </w:rPr>
          <w:t>150</w:t>
        </w:r>
        <w:r w:rsidR="007F2617">
          <w:rPr>
            <w:noProof/>
            <w:webHidden/>
          </w:rPr>
          <w:fldChar w:fldCharType="end"/>
        </w:r>
      </w:hyperlink>
    </w:p>
    <w:p w14:paraId="0D037832" w14:textId="77777777" w:rsidR="007F2617" w:rsidRDefault="000E3509">
      <w:pPr>
        <w:pStyle w:val="TOC7"/>
        <w:rPr>
          <w:rFonts w:asciiTheme="minorHAnsi" w:eastAsiaTheme="minorEastAsia" w:hAnsiTheme="minorHAnsi" w:cstheme="minorBidi"/>
          <w:noProof/>
          <w:sz w:val="22"/>
          <w:szCs w:val="22"/>
        </w:rPr>
      </w:pPr>
      <w:hyperlink w:anchor="_Toc6473110" w:history="1">
        <w:r w:rsidR="007F2617" w:rsidRPr="00F83BBB">
          <w:rPr>
            <w:rStyle w:val="Hyperlink"/>
            <w:noProof/>
            <w:lang w:eastAsia="zh-CN"/>
          </w:rPr>
          <w:t>Table 9.1: Case processing summary.</w:t>
        </w:r>
        <w:r w:rsidR="007F2617">
          <w:rPr>
            <w:noProof/>
            <w:webHidden/>
          </w:rPr>
          <w:tab/>
        </w:r>
        <w:r w:rsidR="007F2617">
          <w:rPr>
            <w:noProof/>
            <w:webHidden/>
          </w:rPr>
          <w:fldChar w:fldCharType="begin"/>
        </w:r>
        <w:r w:rsidR="007F2617">
          <w:rPr>
            <w:noProof/>
            <w:webHidden/>
          </w:rPr>
          <w:instrText xml:space="preserve"> PAGEREF _Toc6473110 \h </w:instrText>
        </w:r>
        <w:r w:rsidR="007F2617">
          <w:rPr>
            <w:noProof/>
            <w:webHidden/>
          </w:rPr>
        </w:r>
        <w:r w:rsidR="007F2617">
          <w:rPr>
            <w:noProof/>
            <w:webHidden/>
          </w:rPr>
          <w:fldChar w:fldCharType="separate"/>
        </w:r>
        <w:r w:rsidR="00301AD4">
          <w:rPr>
            <w:noProof/>
            <w:webHidden/>
          </w:rPr>
          <w:t>170</w:t>
        </w:r>
        <w:r w:rsidR="007F2617">
          <w:rPr>
            <w:noProof/>
            <w:webHidden/>
          </w:rPr>
          <w:fldChar w:fldCharType="end"/>
        </w:r>
      </w:hyperlink>
    </w:p>
    <w:p w14:paraId="5926C72A" w14:textId="77777777" w:rsidR="007F2617" w:rsidRDefault="000E3509">
      <w:pPr>
        <w:pStyle w:val="TOC7"/>
        <w:rPr>
          <w:rFonts w:asciiTheme="minorHAnsi" w:eastAsiaTheme="minorEastAsia" w:hAnsiTheme="minorHAnsi" w:cstheme="minorBidi"/>
          <w:noProof/>
          <w:sz w:val="22"/>
          <w:szCs w:val="22"/>
        </w:rPr>
      </w:pPr>
      <w:hyperlink w:anchor="_Toc6473111" w:history="1">
        <w:r w:rsidR="007F2617" w:rsidRPr="00F83BBB">
          <w:rPr>
            <w:rStyle w:val="Hyperlink"/>
            <w:noProof/>
          </w:rPr>
          <w:t>Table 9.2: Reliability statistics.</w:t>
        </w:r>
        <w:r w:rsidR="007F2617">
          <w:rPr>
            <w:noProof/>
            <w:webHidden/>
          </w:rPr>
          <w:tab/>
        </w:r>
        <w:r w:rsidR="007F2617">
          <w:rPr>
            <w:noProof/>
            <w:webHidden/>
          </w:rPr>
          <w:fldChar w:fldCharType="begin"/>
        </w:r>
        <w:r w:rsidR="007F2617">
          <w:rPr>
            <w:noProof/>
            <w:webHidden/>
          </w:rPr>
          <w:instrText xml:space="preserve"> PAGEREF _Toc6473111 \h </w:instrText>
        </w:r>
        <w:r w:rsidR="007F2617">
          <w:rPr>
            <w:noProof/>
            <w:webHidden/>
          </w:rPr>
        </w:r>
        <w:r w:rsidR="007F2617">
          <w:rPr>
            <w:noProof/>
            <w:webHidden/>
          </w:rPr>
          <w:fldChar w:fldCharType="separate"/>
        </w:r>
        <w:r w:rsidR="00301AD4">
          <w:rPr>
            <w:noProof/>
            <w:webHidden/>
          </w:rPr>
          <w:t>170</w:t>
        </w:r>
        <w:r w:rsidR="007F2617">
          <w:rPr>
            <w:noProof/>
            <w:webHidden/>
          </w:rPr>
          <w:fldChar w:fldCharType="end"/>
        </w:r>
      </w:hyperlink>
    </w:p>
    <w:p w14:paraId="3FB38E85" w14:textId="77777777" w:rsidR="007F2617" w:rsidRDefault="000E3509">
      <w:pPr>
        <w:pStyle w:val="TOC7"/>
        <w:rPr>
          <w:rFonts w:asciiTheme="minorHAnsi" w:eastAsiaTheme="minorEastAsia" w:hAnsiTheme="minorHAnsi" w:cstheme="minorBidi"/>
          <w:noProof/>
          <w:sz w:val="22"/>
          <w:szCs w:val="22"/>
        </w:rPr>
      </w:pPr>
      <w:hyperlink w:anchor="_Toc6473112" w:history="1">
        <w:r w:rsidR="007F2617" w:rsidRPr="00F83BBB">
          <w:rPr>
            <w:rStyle w:val="Hyperlink"/>
            <w:noProof/>
            <w:lang w:eastAsia="zh-CN"/>
          </w:rPr>
          <w:t>Table 9.3: Item-total statistics.</w:t>
        </w:r>
        <w:r w:rsidR="007F2617">
          <w:rPr>
            <w:noProof/>
            <w:webHidden/>
          </w:rPr>
          <w:tab/>
        </w:r>
        <w:r w:rsidR="007F2617">
          <w:rPr>
            <w:noProof/>
            <w:webHidden/>
          </w:rPr>
          <w:fldChar w:fldCharType="begin"/>
        </w:r>
        <w:r w:rsidR="007F2617">
          <w:rPr>
            <w:noProof/>
            <w:webHidden/>
          </w:rPr>
          <w:instrText xml:space="preserve"> PAGEREF _Toc6473112 \h </w:instrText>
        </w:r>
        <w:r w:rsidR="007F2617">
          <w:rPr>
            <w:noProof/>
            <w:webHidden/>
          </w:rPr>
        </w:r>
        <w:r w:rsidR="007F2617">
          <w:rPr>
            <w:noProof/>
            <w:webHidden/>
          </w:rPr>
          <w:fldChar w:fldCharType="separate"/>
        </w:r>
        <w:r w:rsidR="00301AD4">
          <w:rPr>
            <w:noProof/>
            <w:webHidden/>
          </w:rPr>
          <w:t>172</w:t>
        </w:r>
        <w:r w:rsidR="007F2617">
          <w:rPr>
            <w:noProof/>
            <w:webHidden/>
          </w:rPr>
          <w:fldChar w:fldCharType="end"/>
        </w:r>
      </w:hyperlink>
    </w:p>
    <w:p w14:paraId="666F4C3F" w14:textId="77777777" w:rsidR="007F2617" w:rsidRDefault="000E3509">
      <w:pPr>
        <w:pStyle w:val="TOC7"/>
        <w:rPr>
          <w:rFonts w:asciiTheme="minorHAnsi" w:eastAsiaTheme="minorEastAsia" w:hAnsiTheme="minorHAnsi" w:cstheme="minorBidi"/>
          <w:noProof/>
          <w:sz w:val="22"/>
          <w:szCs w:val="22"/>
        </w:rPr>
      </w:pPr>
      <w:hyperlink w:anchor="_Toc6473113" w:history="1">
        <w:r w:rsidR="007F2617" w:rsidRPr="00F83BBB">
          <w:rPr>
            <w:rStyle w:val="Hyperlink"/>
            <w:noProof/>
            <w:lang w:eastAsia="zh-CN"/>
          </w:rPr>
          <w:t>Table 9.4: Reliability statistics.</w:t>
        </w:r>
        <w:r w:rsidR="007F2617">
          <w:rPr>
            <w:noProof/>
            <w:webHidden/>
          </w:rPr>
          <w:tab/>
        </w:r>
        <w:r w:rsidR="007F2617">
          <w:rPr>
            <w:noProof/>
            <w:webHidden/>
          </w:rPr>
          <w:fldChar w:fldCharType="begin"/>
        </w:r>
        <w:r w:rsidR="007F2617">
          <w:rPr>
            <w:noProof/>
            <w:webHidden/>
          </w:rPr>
          <w:instrText xml:space="preserve"> PAGEREF _Toc6473113 \h </w:instrText>
        </w:r>
        <w:r w:rsidR="007F2617">
          <w:rPr>
            <w:noProof/>
            <w:webHidden/>
          </w:rPr>
        </w:r>
        <w:r w:rsidR="007F2617">
          <w:rPr>
            <w:noProof/>
            <w:webHidden/>
          </w:rPr>
          <w:fldChar w:fldCharType="separate"/>
        </w:r>
        <w:r w:rsidR="00301AD4">
          <w:rPr>
            <w:noProof/>
            <w:webHidden/>
          </w:rPr>
          <w:t>172</w:t>
        </w:r>
        <w:r w:rsidR="007F2617">
          <w:rPr>
            <w:noProof/>
            <w:webHidden/>
          </w:rPr>
          <w:fldChar w:fldCharType="end"/>
        </w:r>
      </w:hyperlink>
    </w:p>
    <w:p w14:paraId="56CCF51C" w14:textId="77777777" w:rsidR="007F2617" w:rsidRDefault="000E3509">
      <w:pPr>
        <w:pStyle w:val="TOC7"/>
        <w:rPr>
          <w:rFonts w:asciiTheme="minorHAnsi" w:eastAsiaTheme="minorEastAsia" w:hAnsiTheme="minorHAnsi" w:cstheme="minorBidi"/>
          <w:noProof/>
          <w:sz w:val="22"/>
          <w:szCs w:val="22"/>
        </w:rPr>
      </w:pPr>
      <w:hyperlink w:anchor="_Toc6473114" w:history="1">
        <w:r w:rsidR="007F2617" w:rsidRPr="00F83BBB">
          <w:rPr>
            <w:rStyle w:val="Hyperlink"/>
            <w:noProof/>
            <w:lang w:eastAsia="zh-CN"/>
          </w:rPr>
          <w:t>Table 9.5: KMO and Bartlett’s test results.</w:t>
        </w:r>
        <w:r w:rsidR="007F2617">
          <w:rPr>
            <w:noProof/>
            <w:webHidden/>
          </w:rPr>
          <w:tab/>
        </w:r>
        <w:r w:rsidR="007F2617">
          <w:rPr>
            <w:noProof/>
            <w:webHidden/>
          </w:rPr>
          <w:fldChar w:fldCharType="begin"/>
        </w:r>
        <w:r w:rsidR="007F2617">
          <w:rPr>
            <w:noProof/>
            <w:webHidden/>
          </w:rPr>
          <w:instrText xml:space="preserve"> PAGEREF _Toc6473114 \h </w:instrText>
        </w:r>
        <w:r w:rsidR="007F2617">
          <w:rPr>
            <w:noProof/>
            <w:webHidden/>
          </w:rPr>
        </w:r>
        <w:r w:rsidR="007F2617">
          <w:rPr>
            <w:noProof/>
            <w:webHidden/>
          </w:rPr>
          <w:fldChar w:fldCharType="separate"/>
        </w:r>
        <w:r w:rsidR="00301AD4">
          <w:rPr>
            <w:noProof/>
            <w:webHidden/>
          </w:rPr>
          <w:t>175</w:t>
        </w:r>
        <w:r w:rsidR="007F2617">
          <w:rPr>
            <w:noProof/>
            <w:webHidden/>
          </w:rPr>
          <w:fldChar w:fldCharType="end"/>
        </w:r>
      </w:hyperlink>
    </w:p>
    <w:p w14:paraId="0FE4266A" w14:textId="77777777" w:rsidR="007F2617" w:rsidRDefault="000E3509">
      <w:pPr>
        <w:pStyle w:val="TOC7"/>
        <w:rPr>
          <w:rFonts w:asciiTheme="minorHAnsi" w:eastAsiaTheme="minorEastAsia" w:hAnsiTheme="minorHAnsi" w:cstheme="minorBidi"/>
          <w:noProof/>
          <w:sz w:val="22"/>
          <w:szCs w:val="22"/>
        </w:rPr>
      </w:pPr>
      <w:hyperlink w:anchor="_Toc6473115" w:history="1">
        <w:r w:rsidR="007F2617" w:rsidRPr="00F83BBB">
          <w:rPr>
            <w:rStyle w:val="Hyperlink"/>
            <w:noProof/>
            <w:lang w:eastAsia="zh-CN"/>
          </w:rPr>
          <w:t>Table 9.6: Communalities.</w:t>
        </w:r>
        <w:r w:rsidR="007F2617">
          <w:rPr>
            <w:noProof/>
            <w:webHidden/>
          </w:rPr>
          <w:tab/>
        </w:r>
        <w:r w:rsidR="007F2617">
          <w:rPr>
            <w:noProof/>
            <w:webHidden/>
          </w:rPr>
          <w:fldChar w:fldCharType="begin"/>
        </w:r>
        <w:r w:rsidR="007F2617">
          <w:rPr>
            <w:noProof/>
            <w:webHidden/>
          </w:rPr>
          <w:instrText xml:space="preserve"> PAGEREF _Toc6473115 \h </w:instrText>
        </w:r>
        <w:r w:rsidR="007F2617">
          <w:rPr>
            <w:noProof/>
            <w:webHidden/>
          </w:rPr>
        </w:r>
        <w:r w:rsidR="007F2617">
          <w:rPr>
            <w:noProof/>
            <w:webHidden/>
          </w:rPr>
          <w:fldChar w:fldCharType="separate"/>
        </w:r>
        <w:r w:rsidR="00301AD4">
          <w:rPr>
            <w:noProof/>
            <w:webHidden/>
          </w:rPr>
          <w:t>176</w:t>
        </w:r>
        <w:r w:rsidR="007F2617">
          <w:rPr>
            <w:noProof/>
            <w:webHidden/>
          </w:rPr>
          <w:fldChar w:fldCharType="end"/>
        </w:r>
      </w:hyperlink>
    </w:p>
    <w:p w14:paraId="3EA271EC" w14:textId="77777777" w:rsidR="007F2617" w:rsidRDefault="000E3509">
      <w:pPr>
        <w:pStyle w:val="TOC7"/>
        <w:rPr>
          <w:rFonts w:asciiTheme="minorHAnsi" w:eastAsiaTheme="minorEastAsia" w:hAnsiTheme="minorHAnsi" w:cstheme="minorBidi"/>
          <w:noProof/>
          <w:sz w:val="22"/>
          <w:szCs w:val="22"/>
        </w:rPr>
      </w:pPr>
      <w:hyperlink w:anchor="_Toc6473116" w:history="1">
        <w:r w:rsidR="007F2617" w:rsidRPr="00F83BBB">
          <w:rPr>
            <w:rStyle w:val="Hyperlink"/>
            <w:noProof/>
            <w:lang w:eastAsia="zh-CN"/>
          </w:rPr>
          <w:t>Table 9.7: Total variance explained.</w:t>
        </w:r>
        <w:r w:rsidR="007F2617">
          <w:rPr>
            <w:noProof/>
            <w:webHidden/>
          </w:rPr>
          <w:tab/>
        </w:r>
        <w:r w:rsidR="007F2617">
          <w:rPr>
            <w:noProof/>
            <w:webHidden/>
          </w:rPr>
          <w:fldChar w:fldCharType="begin"/>
        </w:r>
        <w:r w:rsidR="007F2617">
          <w:rPr>
            <w:noProof/>
            <w:webHidden/>
          </w:rPr>
          <w:instrText xml:space="preserve"> PAGEREF _Toc6473116 \h </w:instrText>
        </w:r>
        <w:r w:rsidR="007F2617">
          <w:rPr>
            <w:noProof/>
            <w:webHidden/>
          </w:rPr>
        </w:r>
        <w:r w:rsidR="007F2617">
          <w:rPr>
            <w:noProof/>
            <w:webHidden/>
          </w:rPr>
          <w:fldChar w:fldCharType="separate"/>
        </w:r>
        <w:r w:rsidR="00301AD4">
          <w:rPr>
            <w:noProof/>
            <w:webHidden/>
          </w:rPr>
          <w:t>178</w:t>
        </w:r>
        <w:r w:rsidR="007F2617">
          <w:rPr>
            <w:noProof/>
            <w:webHidden/>
          </w:rPr>
          <w:fldChar w:fldCharType="end"/>
        </w:r>
      </w:hyperlink>
    </w:p>
    <w:p w14:paraId="78F93429" w14:textId="77777777" w:rsidR="007F2617" w:rsidRDefault="000E3509">
      <w:pPr>
        <w:pStyle w:val="TOC7"/>
        <w:rPr>
          <w:rFonts w:asciiTheme="minorHAnsi" w:eastAsiaTheme="minorEastAsia" w:hAnsiTheme="minorHAnsi" w:cstheme="minorBidi"/>
          <w:noProof/>
          <w:sz w:val="22"/>
          <w:szCs w:val="22"/>
        </w:rPr>
      </w:pPr>
      <w:hyperlink w:anchor="_Toc6473117" w:history="1">
        <w:r w:rsidR="007F2617" w:rsidRPr="00F83BBB">
          <w:rPr>
            <w:rStyle w:val="Hyperlink"/>
            <w:noProof/>
            <w:lang w:eastAsia="en-US"/>
          </w:rPr>
          <w:t>Table 9.8: Parallel analysis results for the data from both dialects.</w:t>
        </w:r>
        <w:r w:rsidR="007F2617">
          <w:rPr>
            <w:noProof/>
            <w:webHidden/>
          </w:rPr>
          <w:tab/>
        </w:r>
        <w:r w:rsidR="007F2617">
          <w:rPr>
            <w:noProof/>
            <w:webHidden/>
          </w:rPr>
          <w:fldChar w:fldCharType="begin"/>
        </w:r>
        <w:r w:rsidR="007F2617">
          <w:rPr>
            <w:noProof/>
            <w:webHidden/>
          </w:rPr>
          <w:instrText xml:space="preserve"> PAGEREF _Toc6473117 \h </w:instrText>
        </w:r>
        <w:r w:rsidR="007F2617">
          <w:rPr>
            <w:noProof/>
            <w:webHidden/>
          </w:rPr>
        </w:r>
        <w:r w:rsidR="007F2617">
          <w:rPr>
            <w:noProof/>
            <w:webHidden/>
          </w:rPr>
          <w:fldChar w:fldCharType="separate"/>
        </w:r>
        <w:r w:rsidR="00301AD4">
          <w:rPr>
            <w:noProof/>
            <w:webHidden/>
          </w:rPr>
          <w:t>182</w:t>
        </w:r>
        <w:r w:rsidR="007F2617">
          <w:rPr>
            <w:noProof/>
            <w:webHidden/>
          </w:rPr>
          <w:fldChar w:fldCharType="end"/>
        </w:r>
      </w:hyperlink>
    </w:p>
    <w:p w14:paraId="0B530966" w14:textId="7F620269" w:rsidR="007F2617" w:rsidRDefault="000E3509">
      <w:pPr>
        <w:pStyle w:val="TOC7"/>
        <w:rPr>
          <w:rFonts w:asciiTheme="minorHAnsi" w:eastAsiaTheme="minorEastAsia" w:hAnsiTheme="minorHAnsi" w:cstheme="minorBidi"/>
          <w:noProof/>
          <w:sz w:val="22"/>
          <w:szCs w:val="22"/>
        </w:rPr>
      </w:pPr>
      <w:hyperlink w:anchor="_Toc6473118" w:history="1">
        <w:r w:rsidR="007F2617" w:rsidRPr="00F83BBB">
          <w:rPr>
            <w:rStyle w:val="Hyperlink"/>
            <w:noProof/>
            <w:lang w:eastAsia="en-US"/>
          </w:rPr>
          <w:t xml:space="preserve">Table 9.9: Comparison of eigenvalues from the dialect data and </w:t>
        </w:r>
        <w:r w:rsidR="007F2617">
          <w:rPr>
            <w:rStyle w:val="Hyperlink"/>
            <w:noProof/>
            <w:lang w:eastAsia="en-US"/>
          </w:rPr>
          <w:br/>
        </w:r>
        <w:r w:rsidR="007F2617" w:rsidRPr="00F83BBB">
          <w:rPr>
            <w:rStyle w:val="Hyperlink"/>
            <w:noProof/>
            <w:lang w:eastAsia="en-US"/>
          </w:rPr>
          <w:t>criterion values from parallel analysis.</w:t>
        </w:r>
        <w:r w:rsidR="007F2617">
          <w:rPr>
            <w:noProof/>
            <w:webHidden/>
          </w:rPr>
          <w:tab/>
        </w:r>
        <w:r w:rsidR="007F2617">
          <w:rPr>
            <w:noProof/>
            <w:webHidden/>
          </w:rPr>
          <w:fldChar w:fldCharType="begin"/>
        </w:r>
        <w:r w:rsidR="007F2617">
          <w:rPr>
            <w:noProof/>
            <w:webHidden/>
          </w:rPr>
          <w:instrText xml:space="preserve"> PAGEREF _Toc6473118 \h </w:instrText>
        </w:r>
        <w:r w:rsidR="007F2617">
          <w:rPr>
            <w:noProof/>
            <w:webHidden/>
          </w:rPr>
        </w:r>
        <w:r w:rsidR="007F2617">
          <w:rPr>
            <w:noProof/>
            <w:webHidden/>
          </w:rPr>
          <w:fldChar w:fldCharType="separate"/>
        </w:r>
        <w:r w:rsidR="00301AD4">
          <w:rPr>
            <w:noProof/>
            <w:webHidden/>
          </w:rPr>
          <w:t>182</w:t>
        </w:r>
        <w:r w:rsidR="007F2617">
          <w:rPr>
            <w:noProof/>
            <w:webHidden/>
          </w:rPr>
          <w:fldChar w:fldCharType="end"/>
        </w:r>
      </w:hyperlink>
    </w:p>
    <w:p w14:paraId="0B9C5551" w14:textId="77777777" w:rsidR="007F2617" w:rsidRDefault="000E3509">
      <w:pPr>
        <w:pStyle w:val="TOC7"/>
        <w:rPr>
          <w:rFonts w:asciiTheme="minorHAnsi" w:eastAsiaTheme="minorEastAsia" w:hAnsiTheme="minorHAnsi" w:cstheme="minorBidi"/>
          <w:noProof/>
          <w:sz w:val="22"/>
          <w:szCs w:val="22"/>
        </w:rPr>
      </w:pPr>
      <w:hyperlink w:anchor="_Toc6473119" w:history="1">
        <w:r w:rsidR="007F2617" w:rsidRPr="00F83BBB">
          <w:rPr>
            <w:rStyle w:val="Hyperlink"/>
            <w:noProof/>
            <w:lang w:eastAsia="zh-CN"/>
          </w:rPr>
          <w:t>Table 9.10: Factor correlation matrix.</w:t>
        </w:r>
        <w:r w:rsidR="007F2617">
          <w:rPr>
            <w:noProof/>
            <w:webHidden/>
          </w:rPr>
          <w:tab/>
        </w:r>
        <w:r w:rsidR="007F2617">
          <w:rPr>
            <w:noProof/>
            <w:webHidden/>
          </w:rPr>
          <w:fldChar w:fldCharType="begin"/>
        </w:r>
        <w:r w:rsidR="007F2617">
          <w:rPr>
            <w:noProof/>
            <w:webHidden/>
          </w:rPr>
          <w:instrText xml:space="preserve"> PAGEREF _Toc6473119 \h </w:instrText>
        </w:r>
        <w:r w:rsidR="007F2617">
          <w:rPr>
            <w:noProof/>
            <w:webHidden/>
          </w:rPr>
        </w:r>
        <w:r w:rsidR="007F2617">
          <w:rPr>
            <w:noProof/>
            <w:webHidden/>
          </w:rPr>
          <w:fldChar w:fldCharType="separate"/>
        </w:r>
        <w:r w:rsidR="00301AD4">
          <w:rPr>
            <w:noProof/>
            <w:webHidden/>
          </w:rPr>
          <w:t>185</w:t>
        </w:r>
        <w:r w:rsidR="007F2617">
          <w:rPr>
            <w:noProof/>
            <w:webHidden/>
          </w:rPr>
          <w:fldChar w:fldCharType="end"/>
        </w:r>
      </w:hyperlink>
    </w:p>
    <w:p w14:paraId="0781ADF1" w14:textId="341EFC09" w:rsidR="007F2617" w:rsidRDefault="000E3509">
      <w:pPr>
        <w:pStyle w:val="TOC7"/>
        <w:rPr>
          <w:rFonts w:asciiTheme="minorHAnsi" w:eastAsiaTheme="minorEastAsia" w:hAnsiTheme="minorHAnsi" w:cstheme="minorBidi"/>
          <w:noProof/>
          <w:sz w:val="22"/>
          <w:szCs w:val="22"/>
        </w:rPr>
      </w:pPr>
      <w:hyperlink w:anchor="_Toc6473120" w:history="1">
        <w:r w:rsidR="007F2617" w:rsidRPr="00F83BBB">
          <w:rPr>
            <w:rStyle w:val="Hyperlink"/>
            <w:noProof/>
            <w:lang w:eastAsia="zh-CN"/>
          </w:rPr>
          <w:t xml:space="preserve">Table 9.11: Summary of decisions and steps taken until the final </w:t>
        </w:r>
        <w:r w:rsidR="007F2617">
          <w:rPr>
            <w:rStyle w:val="Hyperlink"/>
            <w:noProof/>
            <w:lang w:eastAsia="zh-CN"/>
          </w:rPr>
          <w:br/>
        </w:r>
        <w:r w:rsidR="007F2617" w:rsidRPr="00F83BBB">
          <w:rPr>
            <w:rStyle w:val="Hyperlink"/>
            <w:noProof/>
            <w:lang w:eastAsia="zh-CN"/>
          </w:rPr>
          <w:t>two-factor solution was obtained.</w:t>
        </w:r>
        <w:r w:rsidR="007F2617">
          <w:rPr>
            <w:noProof/>
            <w:webHidden/>
          </w:rPr>
          <w:tab/>
        </w:r>
        <w:r w:rsidR="007F2617">
          <w:rPr>
            <w:noProof/>
            <w:webHidden/>
          </w:rPr>
          <w:fldChar w:fldCharType="begin"/>
        </w:r>
        <w:r w:rsidR="007F2617">
          <w:rPr>
            <w:noProof/>
            <w:webHidden/>
          </w:rPr>
          <w:instrText xml:space="preserve"> PAGEREF _Toc6473120 \h </w:instrText>
        </w:r>
        <w:r w:rsidR="007F2617">
          <w:rPr>
            <w:noProof/>
            <w:webHidden/>
          </w:rPr>
        </w:r>
        <w:r w:rsidR="007F2617">
          <w:rPr>
            <w:noProof/>
            <w:webHidden/>
          </w:rPr>
          <w:fldChar w:fldCharType="separate"/>
        </w:r>
        <w:r w:rsidR="00301AD4">
          <w:rPr>
            <w:noProof/>
            <w:webHidden/>
          </w:rPr>
          <w:t>186</w:t>
        </w:r>
        <w:r w:rsidR="007F2617">
          <w:rPr>
            <w:noProof/>
            <w:webHidden/>
          </w:rPr>
          <w:fldChar w:fldCharType="end"/>
        </w:r>
      </w:hyperlink>
    </w:p>
    <w:p w14:paraId="14FA9BCB" w14:textId="77777777" w:rsidR="007F2617" w:rsidRDefault="000E3509">
      <w:pPr>
        <w:pStyle w:val="TOC7"/>
        <w:rPr>
          <w:rFonts w:asciiTheme="minorHAnsi" w:eastAsiaTheme="minorEastAsia" w:hAnsiTheme="minorHAnsi" w:cstheme="minorBidi"/>
          <w:noProof/>
          <w:sz w:val="22"/>
          <w:szCs w:val="22"/>
        </w:rPr>
      </w:pPr>
      <w:hyperlink w:anchor="_Toc6473121" w:history="1">
        <w:r w:rsidR="007F2617" w:rsidRPr="00F83BBB">
          <w:rPr>
            <w:rStyle w:val="Hyperlink"/>
            <w:noProof/>
            <w:lang w:eastAsia="zh-CN"/>
          </w:rPr>
          <w:t>Table 9.12: Total variance explained.</w:t>
        </w:r>
        <w:r w:rsidR="007F2617">
          <w:rPr>
            <w:noProof/>
            <w:webHidden/>
          </w:rPr>
          <w:tab/>
        </w:r>
        <w:r w:rsidR="007F2617">
          <w:rPr>
            <w:noProof/>
            <w:webHidden/>
          </w:rPr>
          <w:fldChar w:fldCharType="begin"/>
        </w:r>
        <w:r w:rsidR="007F2617">
          <w:rPr>
            <w:noProof/>
            <w:webHidden/>
          </w:rPr>
          <w:instrText xml:space="preserve"> PAGEREF _Toc6473121 \h </w:instrText>
        </w:r>
        <w:r w:rsidR="007F2617">
          <w:rPr>
            <w:noProof/>
            <w:webHidden/>
          </w:rPr>
        </w:r>
        <w:r w:rsidR="007F2617">
          <w:rPr>
            <w:noProof/>
            <w:webHidden/>
          </w:rPr>
          <w:fldChar w:fldCharType="separate"/>
        </w:r>
        <w:r w:rsidR="00301AD4">
          <w:rPr>
            <w:noProof/>
            <w:webHidden/>
          </w:rPr>
          <w:t>187</w:t>
        </w:r>
        <w:r w:rsidR="007F2617">
          <w:rPr>
            <w:noProof/>
            <w:webHidden/>
          </w:rPr>
          <w:fldChar w:fldCharType="end"/>
        </w:r>
      </w:hyperlink>
    </w:p>
    <w:p w14:paraId="6D3778C9" w14:textId="77777777" w:rsidR="007F2617" w:rsidRDefault="000E3509">
      <w:pPr>
        <w:pStyle w:val="TOC7"/>
        <w:rPr>
          <w:rFonts w:asciiTheme="minorHAnsi" w:eastAsiaTheme="minorEastAsia" w:hAnsiTheme="minorHAnsi" w:cstheme="minorBidi"/>
          <w:noProof/>
          <w:sz w:val="22"/>
          <w:szCs w:val="22"/>
        </w:rPr>
      </w:pPr>
      <w:hyperlink w:anchor="_Toc6473122" w:history="1">
        <w:r w:rsidR="007F2617" w:rsidRPr="00F83BBB">
          <w:rPr>
            <w:rStyle w:val="Hyperlink"/>
            <w:noProof/>
            <w:lang w:eastAsia="zh-CN"/>
          </w:rPr>
          <w:t>Table 9.13: Factor matrix (before rotation).</w:t>
        </w:r>
        <w:r w:rsidR="007F2617">
          <w:rPr>
            <w:noProof/>
            <w:webHidden/>
          </w:rPr>
          <w:tab/>
        </w:r>
        <w:r w:rsidR="007F2617">
          <w:rPr>
            <w:noProof/>
            <w:webHidden/>
          </w:rPr>
          <w:fldChar w:fldCharType="begin"/>
        </w:r>
        <w:r w:rsidR="007F2617">
          <w:rPr>
            <w:noProof/>
            <w:webHidden/>
          </w:rPr>
          <w:instrText xml:space="preserve"> PAGEREF _Toc6473122 \h </w:instrText>
        </w:r>
        <w:r w:rsidR="007F2617">
          <w:rPr>
            <w:noProof/>
            <w:webHidden/>
          </w:rPr>
        </w:r>
        <w:r w:rsidR="007F2617">
          <w:rPr>
            <w:noProof/>
            <w:webHidden/>
          </w:rPr>
          <w:fldChar w:fldCharType="separate"/>
        </w:r>
        <w:r w:rsidR="00301AD4">
          <w:rPr>
            <w:noProof/>
            <w:webHidden/>
          </w:rPr>
          <w:t>188</w:t>
        </w:r>
        <w:r w:rsidR="007F2617">
          <w:rPr>
            <w:noProof/>
            <w:webHidden/>
          </w:rPr>
          <w:fldChar w:fldCharType="end"/>
        </w:r>
      </w:hyperlink>
    </w:p>
    <w:p w14:paraId="0421A026" w14:textId="77777777" w:rsidR="007F2617" w:rsidRDefault="000E3509">
      <w:pPr>
        <w:pStyle w:val="TOC7"/>
        <w:rPr>
          <w:rFonts w:asciiTheme="minorHAnsi" w:eastAsiaTheme="minorEastAsia" w:hAnsiTheme="minorHAnsi" w:cstheme="minorBidi"/>
          <w:noProof/>
          <w:sz w:val="22"/>
          <w:szCs w:val="22"/>
        </w:rPr>
      </w:pPr>
      <w:hyperlink w:anchor="_Toc6473123" w:history="1">
        <w:r w:rsidR="007F2617" w:rsidRPr="00F83BBB">
          <w:rPr>
            <w:rStyle w:val="Hyperlink"/>
            <w:noProof/>
          </w:rPr>
          <w:t>Table 9.14: Rotated factor matrix.</w:t>
        </w:r>
        <w:r w:rsidR="007F2617">
          <w:rPr>
            <w:noProof/>
            <w:webHidden/>
          </w:rPr>
          <w:tab/>
        </w:r>
        <w:r w:rsidR="007F2617">
          <w:rPr>
            <w:noProof/>
            <w:webHidden/>
          </w:rPr>
          <w:fldChar w:fldCharType="begin"/>
        </w:r>
        <w:r w:rsidR="007F2617">
          <w:rPr>
            <w:noProof/>
            <w:webHidden/>
          </w:rPr>
          <w:instrText xml:space="preserve"> PAGEREF _Toc6473123 \h </w:instrText>
        </w:r>
        <w:r w:rsidR="007F2617">
          <w:rPr>
            <w:noProof/>
            <w:webHidden/>
          </w:rPr>
        </w:r>
        <w:r w:rsidR="007F2617">
          <w:rPr>
            <w:noProof/>
            <w:webHidden/>
          </w:rPr>
          <w:fldChar w:fldCharType="separate"/>
        </w:r>
        <w:r w:rsidR="00301AD4">
          <w:rPr>
            <w:noProof/>
            <w:webHidden/>
          </w:rPr>
          <w:t>189</w:t>
        </w:r>
        <w:r w:rsidR="007F2617">
          <w:rPr>
            <w:noProof/>
            <w:webHidden/>
          </w:rPr>
          <w:fldChar w:fldCharType="end"/>
        </w:r>
      </w:hyperlink>
    </w:p>
    <w:p w14:paraId="19097F4A" w14:textId="77777777" w:rsidR="007F2617" w:rsidRDefault="000E3509">
      <w:pPr>
        <w:pStyle w:val="TOC7"/>
        <w:rPr>
          <w:rFonts w:asciiTheme="minorHAnsi" w:eastAsiaTheme="minorEastAsia" w:hAnsiTheme="minorHAnsi" w:cstheme="minorBidi"/>
          <w:noProof/>
          <w:sz w:val="22"/>
          <w:szCs w:val="22"/>
        </w:rPr>
      </w:pPr>
      <w:hyperlink w:anchor="_Toc6473124" w:history="1">
        <w:r w:rsidR="007F2617" w:rsidRPr="00F83BBB">
          <w:rPr>
            <w:rStyle w:val="Hyperlink"/>
            <w:rFonts w:eastAsia="Times New Roman"/>
            <w:noProof/>
            <w:lang w:eastAsia="zh-CN"/>
          </w:rPr>
          <w:t xml:space="preserve">Table 9.15: </w:t>
        </w:r>
        <w:r w:rsidR="007F2617" w:rsidRPr="00F83BBB">
          <w:rPr>
            <w:rStyle w:val="Hyperlink"/>
            <w:noProof/>
            <w:lang w:eastAsia="en-US"/>
          </w:rPr>
          <w:t>Paired-samples test for UBH participants.</w:t>
        </w:r>
        <w:r w:rsidR="007F2617">
          <w:rPr>
            <w:noProof/>
            <w:webHidden/>
          </w:rPr>
          <w:tab/>
        </w:r>
        <w:r w:rsidR="007F2617">
          <w:rPr>
            <w:noProof/>
            <w:webHidden/>
          </w:rPr>
          <w:fldChar w:fldCharType="begin"/>
        </w:r>
        <w:r w:rsidR="007F2617">
          <w:rPr>
            <w:noProof/>
            <w:webHidden/>
          </w:rPr>
          <w:instrText xml:space="preserve"> PAGEREF _Toc6473124 \h </w:instrText>
        </w:r>
        <w:r w:rsidR="007F2617">
          <w:rPr>
            <w:noProof/>
            <w:webHidden/>
          </w:rPr>
        </w:r>
        <w:r w:rsidR="007F2617">
          <w:rPr>
            <w:noProof/>
            <w:webHidden/>
          </w:rPr>
          <w:fldChar w:fldCharType="separate"/>
        </w:r>
        <w:r w:rsidR="00301AD4">
          <w:rPr>
            <w:noProof/>
            <w:webHidden/>
          </w:rPr>
          <w:t>193</w:t>
        </w:r>
        <w:r w:rsidR="007F2617">
          <w:rPr>
            <w:noProof/>
            <w:webHidden/>
          </w:rPr>
          <w:fldChar w:fldCharType="end"/>
        </w:r>
      </w:hyperlink>
    </w:p>
    <w:p w14:paraId="1C64F72D" w14:textId="77777777" w:rsidR="007F2617" w:rsidRDefault="000E3509">
      <w:pPr>
        <w:pStyle w:val="TOC7"/>
        <w:rPr>
          <w:rFonts w:asciiTheme="minorHAnsi" w:eastAsiaTheme="minorEastAsia" w:hAnsiTheme="minorHAnsi" w:cstheme="minorBidi"/>
          <w:noProof/>
          <w:sz w:val="22"/>
          <w:szCs w:val="22"/>
        </w:rPr>
      </w:pPr>
      <w:hyperlink w:anchor="_Toc6473125" w:history="1">
        <w:r w:rsidR="007F2617" w:rsidRPr="00F83BBB">
          <w:rPr>
            <w:rStyle w:val="Hyperlink"/>
            <w:noProof/>
            <w:lang w:eastAsia="zh-CN"/>
          </w:rPr>
          <w:t>Table 9.16: Paired-samples statistics for UBH participants.</w:t>
        </w:r>
        <w:r w:rsidR="007F2617">
          <w:rPr>
            <w:noProof/>
            <w:webHidden/>
          </w:rPr>
          <w:tab/>
        </w:r>
        <w:r w:rsidR="007F2617">
          <w:rPr>
            <w:noProof/>
            <w:webHidden/>
          </w:rPr>
          <w:fldChar w:fldCharType="begin"/>
        </w:r>
        <w:r w:rsidR="007F2617">
          <w:rPr>
            <w:noProof/>
            <w:webHidden/>
          </w:rPr>
          <w:instrText xml:space="preserve"> PAGEREF _Toc6473125 \h </w:instrText>
        </w:r>
        <w:r w:rsidR="007F2617">
          <w:rPr>
            <w:noProof/>
            <w:webHidden/>
          </w:rPr>
        </w:r>
        <w:r w:rsidR="007F2617">
          <w:rPr>
            <w:noProof/>
            <w:webHidden/>
          </w:rPr>
          <w:fldChar w:fldCharType="separate"/>
        </w:r>
        <w:r w:rsidR="00301AD4">
          <w:rPr>
            <w:noProof/>
            <w:webHidden/>
          </w:rPr>
          <w:t>194</w:t>
        </w:r>
        <w:r w:rsidR="007F2617">
          <w:rPr>
            <w:noProof/>
            <w:webHidden/>
          </w:rPr>
          <w:fldChar w:fldCharType="end"/>
        </w:r>
      </w:hyperlink>
    </w:p>
    <w:p w14:paraId="686B4326" w14:textId="77777777" w:rsidR="007F2617" w:rsidRDefault="000E3509">
      <w:pPr>
        <w:pStyle w:val="TOC7"/>
        <w:rPr>
          <w:rFonts w:asciiTheme="minorHAnsi" w:eastAsiaTheme="minorEastAsia" w:hAnsiTheme="minorHAnsi" w:cstheme="minorBidi"/>
          <w:noProof/>
          <w:sz w:val="22"/>
          <w:szCs w:val="22"/>
        </w:rPr>
      </w:pPr>
      <w:hyperlink w:anchor="_Toc6473126" w:history="1">
        <w:r w:rsidR="007F2617" w:rsidRPr="00F83BBB">
          <w:rPr>
            <w:rStyle w:val="Hyperlink"/>
            <w:rFonts w:eastAsia="Times New Roman"/>
            <w:noProof/>
            <w:lang w:eastAsia="zh-CN"/>
          </w:rPr>
          <w:t xml:space="preserve">Table 9.17: </w:t>
        </w:r>
        <w:r w:rsidR="007F2617" w:rsidRPr="00F83BBB">
          <w:rPr>
            <w:rStyle w:val="Hyperlink"/>
            <w:noProof/>
            <w:lang w:eastAsia="en-US"/>
          </w:rPr>
          <w:t>Paired-samples test for HH participants.</w:t>
        </w:r>
        <w:r w:rsidR="007F2617">
          <w:rPr>
            <w:noProof/>
            <w:webHidden/>
          </w:rPr>
          <w:tab/>
        </w:r>
        <w:r w:rsidR="007F2617">
          <w:rPr>
            <w:noProof/>
            <w:webHidden/>
          </w:rPr>
          <w:fldChar w:fldCharType="begin"/>
        </w:r>
        <w:r w:rsidR="007F2617">
          <w:rPr>
            <w:noProof/>
            <w:webHidden/>
          </w:rPr>
          <w:instrText xml:space="preserve"> PAGEREF _Toc6473126 \h </w:instrText>
        </w:r>
        <w:r w:rsidR="007F2617">
          <w:rPr>
            <w:noProof/>
            <w:webHidden/>
          </w:rPr>
        </w:r>
        <w:r w:rsidR="007F2617">
          <w:rPr>
            <w:noProof/>
            <w:webHidden/>
          </w:rPr>
          <w:fldChar w:fldCharType="separate"/>
        </w:r>
        <w:r w:rsidR="00301AD4">
          <w:rPr>
            <w:noProof/>
            <w:webHidden/>
          </w:rPr>
          <w:t>195</w:t>
        </w:r>
        <w:r w:rsidR="007F2617">
          <w:rPr>
            <w:noProof/>
            <w:webHidden/>
          </w:rPr>
          <w:fldChar w:fldCharType="end"/>
        </w:r>
      </w:hyperlink>
    </w:p>
    <w:p w14:paraId="75FC05C8" w14:textId="77777777" w:rsidR="007F2617" w:rsidRDefault="000E3509">
      <w:pPr>
        <w:pStyle w:val="TOC7"/>
        <w:rPr>
          <w:rFonts w:asciiTheme="minorHAnsi" w:eastAsiaTheme="minorEastAsia" w:hAnsiTheme="minorHAnsi" w:cstheme="minorBidi"/>
          <w:noProof/>
          <w:sz w:val="22"/>
          <w:szCs w:val="22"/>
        </w:rPr>
      </w:pPr>
      <w:hyperlink w:anchor="_Toc6473127" w:history="1">
        <w:r w:rsidR="007F2617" w:rsidRPr="00F83BBB">
          <w:rPr>
            <w:rStyle w:val="Hyperlink"/>
            <w:noProof/>
            <w:lang w:eastAsia="zh-CN"/>
          </w:rPr>
          <w:t>Table 9.18: Paired-samples statistics for HH participants.</w:t>
        </w:r>
        <w:r w:rsidR="007F2617">
          <w:rPr>
            <w:noProof/>
            <w:webHidden/>
          </w:rPr>
          <w:tab/>
        </w:r>
        <w:r w:rsidR="007F2617">
          <w:rPr>
            <w:noProof/>
            <w:webHidden/>
          </w:rPr>
          <w:fldChar w:fldCharType="begin"/>
        </w:r>
        <w:r w:rsidR="007F2617">
          <w:rPr>
            <w:noProof/>
            <w:webHidden/>
          </w:rPr>
          <w:instrText xml:space="preserve"> PAGEREF _Toc6473127 \h </w:instrText>
        </w:r>
        <w:r w:rsidR="007F2617">
          <w:rPr>
            <w:noProof/>
            <w:webHidden/>
          </w:rPr>
        </w:r>
        <w:r w:rsidR="007F2617">
          <w:rPr>
            <w:noProof/>
            <w:webHidden/>
          </w:rPr>
          <w:fldChar w:fldCharType="separate"/>
        </w:r>
        <w:r w:rsidR="00301AD4">
          <w:rPr>
            <w:noProof/>
            <w:webHidden/>
          </w:rPr>
          <w:t>195</w:t>
        </w:r>
        <w:r w:rsidR="007F2617">
          <w:rPr>
            <w:noProof/>
            <w:webHidden/>
          </w:rPr>
          <w:fldChar w:fldCharType="end"/>
        </w:r>
      </w:hyperlink>
    </w:p>
    <w:p w14:paraId="6076C8F5" w14:textId="65122E57" w:rsidR="007F2617" w:rsidRDefault="000E3509" w:rsidP="00F97841">
      <w:pPr>
        <w:pStyle w:val="TOC7"/>
        <w:rPr>
          <w:rFonts w:asciiTheme="minorHAnsi" w:eastAsiaTheme="minorEastAsia" w:hAnsiTheme="minorHAnsi" w:cstheme="minorBidi"/>
          <w:noProof/>
          <w:sz w:val="22"/>
          <w:szCs w:val="22"/>
        </w:rPr>
      </w:pPr>
      <w:hyperlink w:anchor="_Toc6473128" w:history="1">
        <w:r w:rsidR="007F2617" w:rsidRPr="00F83BBB">
          <w:rPr>
            <w:rStyle w:val="Hyperlink"/>
            <w:noProof/>
          </w:rPr>
          <w:t>Table 9.19: ANOVA statistic</w:t>
        </w:r>
        <w:r w:rsidR="00F97841">
          <w:rPr>
            <w:rStyle w:val="Hyperlink"/>
            <w:noProof/>
          </w:rPr>
          <w:t>s</w:t>
        </w:r>
        <w:r w:rsidR="007F2617" w:rsidRPr="00F83BBB">
          <w:rPr>
            <w:rStyle w:val="Hyperlink"/>
            <w:noProof/>
          </w:rPr>
          <w:t xml:space="preserve"> for gender demographic variable..</w:t>
        </w:r>
        <w:r w:rsidR="007F2617">
          <w:rPr>
            <w:noProof/>
            <w:webHidden/>
          </w:rPr>
          <w:tab/>
        </w:r>
        <w:r w:rsidR="007F2617">
          <w:rPr>
            <w:noProof/>
            <w:webHidden/>
          </w:rPr>
          <w:fldChar w:fldCharType="begin"/>
        </w:r>
        <w:r w:rsidR="007F2617">
          <w:rPr>
            <w:noProof/>
            <w:webHidden/>
          </w:rPr>
          <w:instrText xml:space="preserve"> PAGEREF _Toc6473128 \h </w:instrText>
        </w:r>
        <w:r w:rsidR="007F2617">
          <w:rPr>
            <w:noProof/>
            <w:webHidden/>
          </w:rPr>
        </w:r>
        <w:r w:rsidR="007F2617">
          <w:rPr>
            <w:noProof/>
            <w:webHidden/>
          </w:rPr>
          <w:fldChar w:fldCharType="separate"/>
        </w:r>
        <w:r w:rsidR="00301AD4">
          <w:rPr>
            <w:noProof/>
            <w:webHidden/>
          </w:rPr>
          <w:t>198</w:t>
        </w:r>
        <w:r w:rsidR="007F2617">
          <w:rPr>
            <w:noProof/>
            <w:webHidden/>
          </w:rPr>
          <w:fldChar w:fldCharType="end"/>
        </w:r>
      </w:hyperlink>
    </w:p>
    <w:p w14:paraId="48085038" w14:textId="77777777" w:rsidR="007F2617" w:rsidRDefault="000E3509">
      <w:pPr>
        <w:pStyle w:val="TOC7"/>
        <w:rPr>
          <w:rFonts w:asciiTheme="minorHAnsi" w:eastAsiaTheme="minorEastAsia" w:hAnsiTheme="minorHAnsi" w:cstheme="minorBidi"/>
          <w:noProof/>
          <w:sz w:val="22"/>
          <w:szCs w:val="22"/>
        </w:rPr>
      </w:pPr>
      <w:hyperlink w:anchor="_Toc6473129" w:history="1">
        <w:r w:rsidR="007F2617" w:rsidRPr="00F83BBB">
          <w:rPr>
            <w:rStyle w:val="Hyperlink"/>
            <w:noProof/>
          </w:rPr>
          <w:t>Table 9.20: Descriptive statistics for gender demographic variable.</w:t>
        </w:r>
        <w:r w:rsidR="007F2617">
          <w:rPr>
            <w:noProof/>
            <w:webHidden/>
          </w:rPr>
          <w:tab/>
        </w:r>
        <w:r w:rsidR="007F2617">
          <w:rPr>
            <w:noProof/>
            <w:webHidden/>
          </w:rPr>
          <w:fldChar w:fldCharType="begin"/>
        </w:r>
        <w:r w:rsidR="007F2617">
          <w:rPr>
            <w:noProof/>
            <w:webHidden/>
          </w:rPr>
          <w:instrText xml:space="preserve"> PAGEREF _Toc6473129 \h </w:instrText>
        </w:r>
        <w:r w:rsidR="007F2617">
          <w:rPr>
            <w:noProof/>
            <w:webHidden/>
          </w:rPr>
        </w:r>
        <w:r w:rsidR="007F2617">
          <w:rPr>
            <w:noProof/>
            <w:webHidden/>
          </w:rPr>
          <w:fldChar w:fldCharType="separate"/>
        </w:r>
        <w:r w:rsidR="00301AD4">
          <w:rPr>
            <w:noProof/>
            <w:webHidden/>
          </w:rPr>
          <w:t>199</w:t>
        </w:r>
        <w:r w:rsidR="007F2617">
          <w:rPr>
            <w:noProof/>
            <w:webHidden/>
          </w:rPr>
          <w:fldChar w:fldCharType="end"/>
        </w:r>
      </w:hyperlink>
    </w:p>
    <w:p w14:paraId="01FA5FCC" w14:textId="0D2B63F2" w:rsidR="007F2617" w:rsidRDefault="000E3509" w:rsidP="00F97841">
      <w:pPr>
        <w:pStyle w:val="TOC7"/>
        <w:rPr>
          <w:rFonts w:asciiTheme="minorHAnsi" w:eastAsiaTheme="minorEastAsia" w:hAnsiTheme="minorHAnsi" w:cstheme="minorBidi"/>
          <w:noProof/>
          <w:sz w:val="22"/>
          <w:szCs w:val="22"/>
        </w:rPr>
      </w:pPr>
      <w:hyperlink w:anchor="_Toc6473130" w:history="1">
        <w:r w:rsidR="007F2617" w:rsidRPr="00F83BBB">
          <w:rPr>
            <w:rStyle w:val="Hyperlink"/>
            <w:noProof/>
          </w:rPr>
          <w:t>Table 9.21: ANOVA statistics for the place</w:t>
        </w:r>
        <w:r w:rsidR="00F97841">
          <w:rPr>
            <w:rStyle w:val="Hyperlink"/>
            <w:noProof/>
          </w:rPr>
          <w:t>s</w:t>
        </w:r>
        <w:r w:rsidR="007F2617" w:rsidRPr="00F83BBB">
          <w:rPr>
            <w:rStyle w:val="Hyperlink"/>
            <w:noProof/>
          </w:rPr>
          <w:t xml:space="preserve"> lived demographic </w:t>
        </w:r>
        <w:r w:rsidR="007F2617">
          <w:rPr>
            <w:rStyle w:val="Hyperlink"/>
            <w:noProof/>
          </w:rPr>
          <w:br/>
        </w:r>
        <w:r w:rsidR="007F2617" w:rsidRPr="00F83BBB">
          <w:rPr>
            <w:rStyle w:val="Hyperlink"/>
            <w:noProof/>
          </w:rPr>
          <w:t>variable.</w:t>
        </w:r>
        <w:r w:rsidR="007F2617">
          <w:rPr>
            <w:noProof/>
            <w:webHidden/>
          </w:rPr>
          <w:tab/>
        </w:r>
        <w:r w:rsidR="007F2617">
          <w:rPr>
            <w:noProof/>
            <w:webHidden/>
          </w:rPr>
          <w:fldChar w:fldCharType="begin"/>
        </w:r>
        <w:r w:rsidR="007F2617">
          <w:rPr>
            <w:noProof/>
            <w:webHidden/>
          </w:rPr>
          <w:instrText xml:space="preserve"> PAGEREF _Toc6473130 \h </w:instrText>
        </w:r>
        <w:r w:rsidR="007F2617">
          <w:rPr>
            <w:noProof/>
            <w:webHidden/>
          </w:rPr>
        </w:r>
        <w:r w:rsidR="007F2617">
          <w:rPr>
            <w:noProof/>
            <w:webHidden/>
          </w:rPr>
          <w:fldChar w:fldCharType="separate"/>
        </w:r>
        <w:r w:rsidR="00301AD4">
          <w:rPr>
            <w:noProof/>
            <w:webHidden/>
          </w:rPr>
          <w:t>199</w:t>
        </w:r>
        <w:r w:rsidR="007F2617">
          <w:rPr>
            <w:noProof/>
            <w:webHidden/>
          </w:rPr>
          <w:fldChar w:fldCharType="end"/>
        </w:r>
      </w:hyperlink>
    </w:p>
    <w:p w14:paraId="7D39B45A" w14:textId="7392610D" w:rsidR="007F2617" w:rsidRDefault="000E3509" w:rsidP="00F97841">
      <w:pPr>
        <w:pStyle w:val="TOC7"/>
        <w:rPr>
          <w:rFonts w:asciiTheme="minorHAnsi" w:eastAsiaTheme="minorEastAsia" w:hAnsiTheme="minorHAnsi" w:cstheme="minorBidi"/>
          <w:noProof/>
          <w:sz w:val="22"/>
          <w:szCs w:val="22"/>
        </w:rPr>
      </w:pPr>
      <w:hyperlink w:anchor="_Toc6473131" w:history="1">
        <w:r w:rsidR="007F2617" w:rsidRPr="00F83BBB">
          <w:rPr>
            <w:rStyle w:val="Hyperlink"/>
            <w:noProof/>
            <w:lang w:eastAsia="en-US"/>
          </w:rPr>
          <w:t>Table 9.22: Descriptive statistics for the place</w:t>
        </w:r>
        <w:r w:rsidR="00F97841">
          <w:rPr>
            <w:rStyle w:val="Hyperlink"/>
            <w:noProof/>
            <w:lang w:eastAsia="en-US"/>
          </w:rPr>
          <w:t>s</w:t>
        </w:r>
        <w:r w:rsidR="007F2617" w:rsidRPr="00F83BBB">
          <w:rPr>
            <w:rStyle w:val="Hyperlink"/>
            <w:noProof/>
            <w:lang w:eastAsia="en-US"/>
          </w:rPr>
          <w:t xml:space="preserve"> lived demographic </w:t>
        </w:r>
        <w:r w:rsidR="007F2617">
          <w:rPr>
            <w:rStyle w:val="Hyperlink"/>
            <w:noProof/>
            <w:lang w:eastAsia="en-US"/>
          </w:rPr>
          <w:br/>
        </w:r>
        <w:r w:rsidR="007F2617" w:rsidRPr="00F83BBB">
          <w:rPr>
            <w:rStyle w:val="Hyperlink"/>
            <w:noProof/>
            <w:lang w:eastAsia="en-US"/>
          </w:rPr>
          <w:t>variable.</w:t>
        </w:r>
        <w:r w:rsidR="007F2617">
          <w:rPr>
            <w:noProof/>
            <w:webHidden/>
          </w:rPr>
          <w:tab/>
        </w:r>
        <w:r w:rsidR="007F2617">
          <w:rPr>
            <w:noProof/>
            <w:webHidden/>
          </w:rPr>
          <w:fldChar w:fldCharType="begin"/>
        </w:r>
        <w:r w:rsidR="007F2617">
          <w:rPr>
            <w:noProof/>
            <w:webHidden/>
          </w:rPr>
          <w:instrText xml:space="preserve"> PAGEREF _Toc6473131 \h </w:instrText>
        </w:r>
        <w:r w:rsidR="007F2617">
          <w:rPr>
            <w:noProof/>
            <w:webHidden/>
          </w:rPr>
        </w:r>
        <w:r w:rsidR="007F2617">
          <w:rPr>
            <w:noProof/>
            <w:webHidden/>
          </w:rPr>
          <w:fldChar w:fldCharType="separate"/>
        </w:r>
        <w:r w:rsidR="00301AD4">
          <w:rPr>
            <w:noProof/>
            <w:webHidden/>
          </w:rPr>
          <w:t>200</w:t>
        </w:r>
        <w:r w:rsidR="007F2617">
          <w:rPr>
            <w:noProof/>
            <w:webHidden/>
          </w:rPr>
          <w:fldChar w:fldCharType="end"/>
        </w:r>
      </w:hyperlink>
    </w:p>
    <w:p w14:paraId="29C8D716" w14:textId="77777777" w:rsidR="007F2617" w:rsidRDefault="000E3509">
      <w:pPr>
        <w:pStyle w:val="TOC7"/>
        <w:rPr>
          <w:rFonts w:asciiTheme="minorHAnsi" w:eastAsiaTheme="minorEastAsia" w:hAnsiTheme="minorHAnsi" w:cstheme="minorBidi"/>
          <w:noProof/>
          <w:sz w:val="22"/>
          <w:szCs w:val="22"/>
        </w:rPr>
      </w:pPr>
      <w:hyperlink w:anchor="_Toc6473132" w:history="1">
        <w:r w:rsidR="007F2617" w:rsidRPr="00F83BBB">
          <w:rPr>
            <w:rStyle w:val="Hyperlink"/>
            <w:noProof/>
          </w:rPr>
          <w:t>Table 9.23: Summary of ANOVA results.</w:t>
        </w:r>
        <w:r w:rsidR="007F2617">
          <w:rPr>
            <w:noProof/>
            <w:webHidden/>
          </w:rPr>
          <w:tab/>
        </w:r>
        <w:r w:rsidR="007F2617">
          <w:rPr>
            <w:noProof/>
            <w:webHidden/>
          </w:rPr>
          <w:fldChar w:fldCharType="begin"/>
        </w:r>
        <w:r w:rsidR="007F2617">
          <w:rPr>
            <w:noProof/>
            <w:webHidden/>
          </w:rPr>
          <w:instrText xml:space="preserve"> PAGEREF _Toc6473132 \h </w:instrText>
        </w:r>
        <w:r w:rsidR="007F2617">
          <w:rPr>
            <w:noProof/>
            <w:webHidden/>
          </w:rPr>
        </w:r>
        <w:r w:rsidR="007F2617">
          <w:rPr>
            <w:noProof/>
            <w:webHidden/>
          </w:rPr>
          <w:fldChar w:fldCharType="separate"/>
        </w:r>
        <w:r w:rsidR="00301AD4">
          <w:rPr>
            <w:noProof/>
            <w:webHidden/>
          </w:rPr>
          <w:t>200</w:t>
        </w:r>
        <w:r w:rsidR="007F2617">
          <w:rPr>
            <w:noProof/>
            <w:webHidden/>
          </w:rPr>
          <w:fldChar w:fldCharType="end"/>
        </w:r>
      </w:hyperlink>
    </w:p>
    <w:p w14:paraId="18F03119" w14:textId="77777777" w:rsidR="007F2617" w:rsidRDefault="000E3509">
      <w:pPr>
        <w:pStyle w:val="TOC7"/>
        <w:rPr>
          <w:rFonts w:asciiTheme="minorHAnsi" w:eastAsiaTheme="minorEastAsia" w:hAnsiTheme="minorHAnsi" w:cstheme="minorBidi"/>
          <w:noProof/>
          <w:sz w:val="22"/>
          <w:szCs w:val="22"/>
        </w:rPr>
      </w:pPr>
      <w:hyperlink w:anchor="_Toc6473133" w:history="1">
        <w:r w:rsidR="007F2617" w:rsidRPr="00F83BBB">
          <w:rPr>
            <w:rStyle w:val="Hyperlink"/>
            <w:noProof/>
            <w:lang w:eastAsia="zh-CN"/>
          </w:rPr>
          <w:t>Table 10.1: The rotated two-factor solution as revealed by FA.</w:t>
        </w:r>
        <w:r w:rsidR="007F2617">
          <w:rPr>
            <w:noProof/>
            <w:webHidden/>
          </w:rPr>
          <w:tab/>
        </w:r>
        <w:r w:rsidR="007F2617">
          <w:rPr>
            <w:noProof/>
            <w:webHidden/>
          </w:rPr>
          <w:fldChar w:fldCharType="begin"/>
        </w:r>
        <w:r w:rsidR="007F2617">
          <w:rPr>
            <w:noProof/>
            <w:webHidden/>
          </w:rPr>
          <w:instrText xml:space="preserve"> PAGEREF _Toc6473133 \h </w:instrText>
        </w:r>
        <w:r w:rsidR="007F2617">
          <w:rPr>
            <w:noProof/>
            <w:webHidden/>
          </w:rPr>
        </w:r>
        <w:r w:rsidR="007F2617">
          <w:rPr>
            <w:noProof/>
            <w:webHidden/>
          </w:rPr>
          <w:fldChar w:fldCharType="separate"/>
        </w:r>
        <w:r w:rsidR="00301AD4">
          <w:rPr>
            <w:noProof/>
            <w:webHidden/>
          </w:rPr>
          <w:t>208</w:t>
        </w:r>
        <w:r w:rsidR="007F2617">
          <w:rPr>
            <w:noProof/>
            <w:webHidden/>
          </w:rPr>
          <w:fldChar w:fldCharType="end"/>
        </w:r>
      </w:hyperlink>
    </w:p>
    <w:p w14:paraId="51985835" w14:textId="77777777" w:rsidR="007F2617" w:rsidRDefault="000E3509">
      <w:pPr>
        <w:pStyle w:val="TOC7"/>
        <w:rPr>
          <w:rFonts w:asciiTheme="minorHAnsi" w:eastAsiaTheme="minorEastAsia" w:hAnsiTheme="minorHAnsi" w:cstheme="minorBidi"/>
          <w:noProof/>
          <w:sz w:val="22"/>
          <w:szCs w:val="22"/>
        </w:rPr>
      </w:pPr>
      <w:hyperlink w:anchor="_Toc6473134" w:history="1">
        <w:r w:rsidR="007F2617" w:rsidRPr="00F83BBB">
          <w:rPr>
            <w:rStyle w:val="Hyperlink"/>
            <w:noProof/>
            <w:lang w:eastAsia="zh-CN"/>
          </w:rPr>
          <w:t>Table 10.2: Mean scores of traditional factor within each dialect data.</w:t>
        </w:r>
        <w:r w:rsidR="007F2617">
          <w:rPr>
            <w:noProof/>
            <w:webHidden/>
          </w:rPr>
          <w:tab/>
        </w:r>
        <w:r w:rsidR="007F2617">
          <w:rPr>
            <w:noProof/>
            <w:webHidden/>
          </w:rPr>
          <w:fldChar w:fldCharType="begin"/>
        </w:r>
        <w:r w:rsidR="007F2617">
          <w:rPr>
            <w:noProof/>
            <w:webHidden/>
          </w:rPr>
          <w:instrText xml:space="preserve"> PAGEREF _Toc6473134 \h </w:instrText>
        </w:r>
        <w:r w:rsidR="007F2617">
          <w:rPr>
            <w:noProof/>
            <w:webHidden/>
          </w:rPr>
        </w:r>
        <w:r w:rsidR="007F2617">
          <w:rPr>
            <w:noProof/>
            <w:webHidden/>
          </w:rPr>
          <w:fldChar w:fldCharType="separate"/>
        </w:r>
        <w:r w:rsidR="00301AD4">
          <w:rPr>
            <w:noProof/>
            <w:webHidden/>
          </w:rPr>
          <w:t>209</w:t>
        </w:r>
        <w:r w:rsidR="007F2617">
          <w:rPr>
            <w:noProof/>
            <w:webHidden/>
          </w:rPr>
          <w:fldChar w:fldCharType="end"/>
        </w:r>
      </w:hyperlink>
    </w:p>
    <w:p w14:paraId="5C7CD812" w14:textId="77777777" w:rsidR="007F2617" w:rsidRDefault="000E3509">
      <w:pPr>
        <w:pStyle w:val="TOC7"/>
        <w:rPr>
          <w:rFonts w:asciiTheme="minorHAnsi" w:eastAsiaTheme="minorEastAsia" w:hAnsiTheme="minorHAnsi" w:cstheme="minorBidi"/>
          <w:noProof/>
          <w:sz w:val="22"/>
          <w:szCs w:val="22"/>
        </w:rPr>
      </w:pPr>
      <w:hyperlink w:anchor="_Toc6473135" w:history="1">
        <w:r w:rsidR="007F2617" w:rsidRPr="00F83BBB">
          <w:rPr>
            <w:rStyle w:val="Hyperlink"/>
            <w:noProof/>
            <w:lang w:eastAsia="zh-CN"/>
          </w:rPr>
          <w:t>Table 10.3: The rotated two-factor solution as revealed by FA.</w:t>
        </w:r>
        <w:r w:rsidR="007F2617">
          <w:rPr>
            <w:noProof/>
            <w:webHidden/>
          </w:rPr>
          <w:tab/>
        </w:r>
        <w:r w:rsidR="007F2617">
          <w:rPr>
            <w:noProof/>
            <w:webHidden/>
          </w:rPr>
          <w:fldChar w:fldCharType="begin"/>
        </w:r>
        <w:r w:rsidR="007F2617">
          <w:rPr>
            <w:noProof/>
            <w:webHidden/>
          </w:rPr>
          <w:instrText xml:space="preserve"> PAGEREF _Toc6473135 \h </w:instrText>
        </w:r>
        <w:r w:rsidR="007F2617">
          <w:rPr>
            <w:noProof/>
            <w:webHidden/>
          </w:rPr>
        </w:r>
        <w:r w:rsidR="007F2617">
          <w:rPr>
            <w:noProof/>
            <w:webHidden/>
          </w:rPr>
          <w:fldChar w:fldCharType="separate"/>
        </w:r>
        <w:r w:rsidR="00301AD4">
          <w:rPr>
            <w:noProof/>
            <w:webHidden/>
          </w:rPr>
          <w:t>209</w:t>
        </w:r>
        <w:r w:rsidR="007F2617">
          <w:rPr>
            <w:noProof/>
            <w:webHidden/>
          </w:rPr>
          <w:fldChar w:fldCharType="end"/>
        </w:r>
      </w:hyperlink>
    </w:p>
    <w:p w14:paraId="3C7A1D2E" w14:textId="53206A95" w:rsidR="007F2617" w:rsidRDefault="000E3509">
      <w:pPr>
        <w:pStyle w:val="TOC7"/>
        <w:rPr>
          <w:rFonts w:asciiTheme="minorHAnsi" w:eastAsiaTheme="minorEastAsia" w:hAnsiTheme="minorHAnsi" w:cstheme="minorBidi"/>
          <w:noProof/>
          <w:sz w:val="22"/>
          <w:szCs w:val="22"/>
        </w:rPr>
      </w:pPr>
      <w:hyperlink w:anchor="_Toc6473136" w:history="1">
        <w:r w:rsidR="007F2617" w:rsidRPr="00F83BBB">
          <w:rPr>
            <w:rStyle w:val="Hyperlink"/>
            <w:noProof/>
            <w:lang w:eastAsia="zh-CN"/>
          </w:rPr>
          <w:t xml:space="preserve">Table 10.4: Mean scores given to the modern factor in the UBH </w:t>
        </w:r>
        <w:r w:rsidR="007F2617">
          <w:rPr>
            <w:rStyle w:val="Hyperlink"/>
            <w:noProof/>
            <w:lang w:eastAsia="zh-CN"/>
          </w:rPr>
          <w:br/>
        </w:r>
        <w:r w:rsidR="007F2617" w:rsidRPr="00F83BBB">
          <w:rPr>
            <w:rStyle w:val="Hyperlink"/>
            <w:noProof/>
            <w:lang w:eastAsia="zh-CN"/>
          </w:rPr>
          <w:t>and HH dialect data from both social groups.</w:t>
        </w:r>
        <w:r w:rsidR="007F2617">
          <w:rPr>
            <w:noProof/>
            <w:webHidden/>
          </w:rPr>
          <w:tab/>
        </w:r>
        <w:r w:rsidR="007F2617">
          <w:rPr>
            <w:noProof/>
            <w:webHidden/>
          </w:rPr>
          <w:fldChar w:fldCharType="begin"/>
        </w:r>
        <w:r w:rsidR="007F2617">
          <w:rPr>
            <w:noProof/>
            <w:webHidden/>
          </w:rPr>
          <w:instrText xml:space="preserve"> PAGEREF _Toc6473136 \h </w:instrText>
        </w:r>
        <w:r w:rsidR="007F2617">
          <w:rPr>
            <w:noProof/>
            <w:webHidden/>
          </w:rPr>
        </w:r>
        <w:r w:rsidR="007F2617">
          <w:rPr>
            <w:noProof/>
            <w:webHidden/>
          </w:rPr>
          <w:fldChar w:fldCharType="separate"/>
        </w:r>
        <w:r w:rsidR="00301AD4">
          <w:rPr>
            <w:noProof/>
            <w:webHidden/>
          </w:rPr>
          <w:t>212</w:t>
        </w:r>
        <w:r w:rsidR="007F2617">
          <w:rPr>
            <w:noProof/>
            <w:webHidden/>
          </w:rPr>
          <w:fldChar w:fldCharType="end"/>
        </w:r>
      </w:hyperlink>
    </w:p>
    <w:p w14:paraId="33BE441B" w14:textId="1646ED41" w:rsidR="007F2617" w:rsidRDefault="000E3509">
      <w:pPr>
        <w:pStyle w:val="TOC7"/>
        <w:rPr>
          <w:rFonts w:asciiTheme="minorHAnsi" w:eastAsiaTheme="minorEastAsia" w:hAnsiTheme="minorHAnsi" w:cstheme="minorBidi"/>
          <w:noProof/>
          <w:sz w:val="22"/>
          <w:szCs w:val="22"/>
        </w:rPr>
      </w:pPr>
      <w:hyperlink w:anchor="_Toc6473137" w:history="1">
        <w:r w:rsidR="007F2617" w:rsidRPr="00F83BBB">
          <w:rPr>
            <w:rStyle w:val="Hyperlink"/>
            <w:noProof/>
            <w:lang w:eastAsia="zh-CN"/>
          </w:rPr>
          <w:t xml:space="preserve">Table 10.5: Mean scores given to the traditional factor in the UBH </w:t>
        </w:r>
        <w:r w:rsidR="007F2617">
          <w:rPr>
            <w:rStyle w:val="Hyperlink"/>
            <w:noProof/>
            <w:lang w:eastAsia="zh-CN"/>
          </w:rPr>
          <w:br/>
        </w:r>
        <w:r w:rsidR="007F2617" w:rsidRPr="00F83BBB">
          <w:rPr>
            <w:rStyle w:val="Hyperlink"/>
            <w:noProof/>
            <w:lang w:eastAsia="zh-CN"/>
          </w:rPr>
          <w:t>and HH dialect data from both social groups.</w:t>
        </w:r>
        <w:r w:rsidR="007F2617">
          <w:rPr>
            <w:noProof/>
            <w:webHidden/>
          </w:rPr>
          <w:tab/>
        </w:r>
        <w:r w:rsidR="007F2617">
          <w:rPr>
            <w:noProof/>
            <w:webHidden/>
          </w:rPr>
          <w:fldChar w:fldCharType="begin"/>
        </w:r>
        <w:r w:rsidR="007F2617">
          <w:rPr>
            <w:noProof/>
            <w:webHidden/>
          </w:rPr>
          <w:instrText xml:space="preserve"> PAGEREF _Toc6473137 \h </w:instrText>
        </w:r>
        <w:r w:rsidR="007F2617">
          <w:rPr>
            <w:noProof/>
            <w:webHidden/>
          </w:rPr>
        </w:r>
        <w:r w:rsidR="007F2617">
          <w:rPr>
            <w:noProof/>
            <w:webHidden/>
          </w:rPr>
          <w:fldChar w:fldCharType="separate"/>
        </w:r>
        <w:r w:rsidR="00301AD4">
          <w:rPr>
            <w:noProof/>
            <w:webHidden/>
          </w:rPr>
          <w:t>213</w:t>
        </w:r>
        <w:r w:rsidR="007F2617">
          <w:rPr>
            <w:noProof/>
            <w:webHidden/>
          </w:rPr>
          <w:fldChar w:fldCharType="end"/>
        </w:r>
      </w:hyperlink>
    </w:p>
    <w:p w14:paraId="254783D8" w14:textId="3003C9F9" w:rsidR="007F2617" w:rsidRDefault="000E3509">
      <w:pPr>
        <w:pStyle w:val="TOC7"/>
        <w:rPr>
          <w:rFonts w:asciiTheme="minorHAnsi" w:eastAsiaTheme="minorEastAsia" w:hAnsiTheme="minorHAnsi" w:cstheme="minorBidi"/>
          <w:noProof/>
          <w:sz w:val="22"/>
          <w:szCs w:val="22"/>
        </w:rPr>
      </w:pPr>
      <w:hyperlink w:anchor="_Toc6473138" w:history="1">
        <w:r w:rsidR="007F2617" w:rsidRPr="00F83BBB">
          <w:rPr>
            <w:rStyle w:val="Hyperlink"/>
            <w:noProof/>
            <w:lang w:eastAsia="zh-CN"/>
          </w:rPr>
          <w:t xml:space="preserve">Table 10.6: Effects of demographics on modern and traditional </w:t>
        </w:r>
        <w:r w:rsidR="007F2617">
          <w:rPr>
            <w:rStyle w:val="Hyperlink"/>
            <w:noProof/>
            <w:lang w:eastAsia="zh-CN"/>
          </w:rPr>
          <w:br/>
        </w:r>
        <w:r w:rsidR="007F2617" w:rsidRPr="00F83BBB">
          <w:rPr>
            <w:rStyle w:val="Hyperlink"/>
            <w:noProof/>
            <w:lang w:eastAsia="zh-CN"/>
          </w:rPr>
          <w:t>factors.</w:t>
        </w:r>
        <w:r w:rsidR="007F2617">
          <w:rPr>
            <w:noProof/>
            <w:webHidden/>
          </w:rPr>
          <w:tab/>
        </w:r>
        <w:r w:rsidR="007F2617">
          <w:rPr>
            <w:noProof/>
            <w:webHidden/>
          </w:rPr>
          <w:fldChar w:fldCharType="begin"/>
        </w:r>
        <w:r w:rsidR="007F2617">
          <w:rPr>
            <w:noProof/>
            <w:webHidden/>
          </w:rPr>
          <w:instrText xml:space="preserve"> PAGEREF _Toc6473138 \h </w:instrText>
        </w:r>
        <w:r w:rsidR="007F2617">
          <w:rPr>
            <w:noProof/>
            <w:webHidden/>
          </w:rPr>
        </w:r>
        <w:r w:rsidR="007F2617">
          <w:rPr>
            <w:noProof/>
            <w:webHidden/>
          </w:rPr>
          <w:fldChar w:fldCharType="separate"/>
        </w:r>
        <w:r w:rsidR="00301AD4">
          <w:rPr>
            <w:noProof/>
            <w:webHidden/>
          </w:rPr>
          <w:t>215</w:t>
        </w:r>
        <w:r w:rsidR="007F2617">
          <w:rPr>
            <w:noProof/>
            <w:webHidden/>
          </w:rPr>
          <w:fldChar w:fldCharType="end"/>
        </w:r>
      </w:hyperlink>
    </w:p>
    <w:p w14:paraId="4399CC9C" w14:textId="77777777" w:rsidR="007F2617" w:rsidRDefault="000E3509">
      <w:pPr>
        <w:pStyle w:val="TOC7"/>
        <w:rPr>
          <w:rFonts w:asciiTheme="minorHAnsi" w:eastAsiaTheme="minorEastAsia" w:hAnsiTheme="minorHAnsi" w:cstheme="minorBidi"/>
          <w:noProof/>
          <w:sz w:val="22"/>
          <w:szCs w:val="22"/>
        </w:rPr>
      </w:pPr>
      <w:hyperlink w:anchor="_Toc6473139" w:history="1">
        <w:r w:rsidR="007F2617" w:rsidRPr="00F83BBB">
          <w:rPr>
            <w:rStyle w:val="Hyperlink"/>
            <w:noProof/>
            <w:lang w:eastAsia="en-US"/>
          </w:rPr>
          <w:t>Table 11.1: Presentation of voice samples.</w:t>
        </w:r>
        <w:r w:rsidR="007F2617">
          <w:rPr>
            <w:noProof/>
            <w:webHidden/>
          </w:rPr>
          <w:tab/>
        </w:r>
        <w:r w:rsidR="007F2617">
          <w:rPr>
            <w:noProof/>
            <w:webHidden/>
          </w:rPr>
          <w:fldChar w:fldCharType="begin"/>
        </w:r>
        <w:r w:rsidR="007F2617">
          <w:rPr>
            <w:noProof/>
            <w:webHidden/>
          </w:rPr>
          <w:instrText xml:space="preserve"> PAGEREF _Toc6473139 \h </w:instrText>
        </w:r>
        <w:r w:rsidR="007F2617">
          <w:rPr>
            <w:noProof/>
            <w:webHidden/>
          </w:rPr>
        </w:r>
        <w:r w:rsidR="007F2617">
          <w:rPr>
            <w:noProof/>
            <w:webHidden/>
          </w:rPr>
          <w:fldChar w:fldCharType="separate"/>
        </w:r>
        <w:r w:rsidR="00301AD4">
          <w:rPr>
            <w:noProof/>
            <w:webHidden/>
          </w:rPr>
          <w:t>220</w:t>
        </w:r>
        <w:r w:rsidR="007F2617">
          <w:rPr>
            <w:noProof/>
            <w:webHidden/>
          </w:rPr>
          <w:fldChar w:fldCharType="end"/>
        </w:r>
      </w:hyperlink>
    </w:p>
    <w:p w14:paraId="7E4B6006" w14:textId="77777777" w:rsidR="007F2617" w:rsidRDefault="000E3509">
      <w:pPr>
        <w:pStyle w:val="TOC7"/>
        <w:rPr>
          <w:rFonts w:asciiTheme="minorHAnsi" w:eastAsiaTheme="minorEastAsia" w:hAnsiTheme="minorHAnsi" w:cstheme="minorBidi"/>
          <w:noProof/>
          <w:sz w:val="22"/>
          <w:szCs w:val="22"/>
        </w:rPr>
      </w:pPr>
      <w:hyperlink w:anchor="_Toc6473140" w:history="1">
        <w:r w:rsidR="007F2617" w:rsidRPr="00F83BBB">
          <w:rPr>
            <w:rStyle w:val="Hyperlink"/>
            <w:noProof/>
            <w:lang w:eastAsia="en-US"/>
          </w:rPr>
          <w:t>Table 11.2: Voice allocation results for voice sample 1.</w:t>
        </w:r>
        <w:r w:rsidR="007F2617">
          <w:rPr>
            <w:noProof/>
            <w:webHidden/>
          </w:rPr>
          <w:tab/>
        </w:r>
        <w:r w:rsidR="007F2617">
          <w:rPr>
            <w:noProof/>
            <w:webHidden/>
          </w:rPr>
          <w:fldChar w:fldCharType="begin"/>
        </w:r>
        <w:r w:rsidR="007F2617">
          <w:rPr>
            <w:noProof/>
            <w:webHidden/>
          </w:rPr>
          <w:instrText xml:space="preserve"> PAGEREF _Toc6473140 \h </w:instrText>
        </w:r>
        <w:r w:rsidR="007F2617">
          <w:rPr>
            <w:noProof/>
            <w:webHidden/>
          </w:rPr>
        </w:r>
        <w:r w:rsidR="007F2617">
          <w:rPr>
            <w:noProof/>
            <w:webHidden/>
          </w:rPr>
          <w:fldChar w:fldCharType="separate"/>
        </w:r>
        <w:r w:rsidR="00301AD4">
          <w:rPr>
            <w:noProof/>
            <w:webHidden/>
          </w:rPr>
          <w:t>222</w:t>
        </w:r>
        <w:r w:rsidR="007F2617">
          <w:rPr>
            <w:noProof/>
            <w:webHidden/>
          </w:rPr>
          <w:fldChar w:fldCharType="end"/>
        </w:r>
      </w:hyperlink>
    </w:p>
    <w:p w14:paraId="2CAFC0D7" w14:textId="77777777" w:rsidR="007F2617" w:rsidRDefault="000E3509">
      <w:pPr>
        <w:pStyle w:val="TOC7"/>
        <w:rPr>
          <w:rFonts w:asciiTheme="minorHAnsi" w:eastAsiaTheme="minorEastAsia" w:hAnsiTheme="minorHAnsi" w:cstheme="minorBidi"/>
          <w:noProof/>
          <w:sz w:val="22"/>
          <w:szCs w:val="22"/>
        </w:rPr>
      </w:pPr>
      <w:hyperlink w:anchor="_Toc6473141" w:history="1">
        <w:r w:rsidR="007F2617" w:rsidRPr="00F83BBB">
          <w:rPr>
            <w:rStyle w:val="Hyperlink"/>
            <w:noProof/>
            <w:lang w:eastAsia="en-US"/>
          </w:rPr>
          <w:t>Table 11.3: Voice allocation results for voice sample 3.</w:t>
        </w:r>
        <w:r w:rsidR="007F2617">
          <w:rPr>
            <w:noProof/>
            <w:webHidden/>
          </w:rPr>
          <w:tab/>
        </w:r>
        <w:r w:rsidR="007F2617">
          <w:rPr>
            <w:noProof/>
            <w:webHidden/>
          </w:rPr>
          <w:fldChar w:fldCharType="begin"/>
        </w:r>
        <w:r w:rsidR="007F2617">
          <w:rPr>
            <w:noProof/>
            <w:webHidden/>
          </w:rPr>
          <w:instrText xml:space="preserve"> PAGEREF _Toc6473141 \h </w:instrText>
        </w:r>
        <w:r w:rsidR="007F2617">
          <w:rPr>
            <w:noProof/>
            <w:webHidden/>
          </w:rPr>
        </w:r>
        <w:r w:rsidR="007F2617">
          <w:rPr>
            <w:noProof/>
            <w:webHidden/>
          </w:rPr>
          <w:fldChar w:fldCharType="separate"/>
        </w:r>
        <w:r w:rsidR="00301AD4">
          <w:rPr>
            <w:noProof/>
            <w:webHidden/>
          </w:rPr>
          <w:t>222</w:t>
        </w:r>
        <w:r w:rsidR="007F2617">
          <w:rPr>
            <w:noProof/>
            <w:webHidden/>
          </w:rPr>
          <w:fldChar w:fldCharType="end"/>
        </w:r>
      </w:hyperlink>
    </w:p>
    <w:p w14:paraId="6D85B8EA" w14:textId="77777777" w:rsidR="007F2617" w:rsidRDefault="000E3509">
      <w:pPr>
        <w:pStyle w:val="TOC7"/>
        <w:rPr>
          <w:rFonts w:asciiTheme="minorHAnsi" w:eastAsiaTheme="minorEastAsia" w:hAnsiTheme="minorHAnsi" w:cstheme="minorBidi"/>
          <w:noProof/>
          <w:sz w:val="22"/>
          <w:szCs w:val="22"/>
        </w:rPr>
      </w:pPr>
      <w:hyperlink w:anchor="_Toc6473142" w:history="1">
        <w:r w:rsidR="007F2617" w:rsidRPr="00F83BBB">
          <w:rPr>
            <w:rStyle w:val="Hyperlink"/>
            <w:noProof/>
            <w:lang w:eastAsia="en-US"/>
          </w:rPr>
          <w:t>Table 11.4: Voice allocation results for voice sample 2.</w:t>
        </w:r>
        <w:r w:rsidR="007F2617">
          <w:rPr>
            <w:noProof/>
            <w:webHidden/>
          </w:rPr>
          <w:tab/>
        </w:r>
        <w:r w:rsidR="007F2617">
          <w:rPr>
            <w:noProof/>
            <w:webHidden/>
          </w:rPr>
          <w:fldChar w:fldCharType="begin"/>
        </w:r>
        <w:r w:rsidR="007F2617">
          <w:rPr>
            <w:noProof/>
            <w:webHidden/>
          </w:rPr>
          <w:instrText xml:space="preserve"> PAGEREF _Toc6473142 \h </w:instrText>
        </w:r>
        <w:r w:rsidR="007F2617">
          <w:rPr>
            <w:noProof/>
            <w:webHidden/>
          </w:rPr>
        </w:r>
        <w:r w:rsidR="007F2617">
          <w:rPr>
            <w:noProof/>
            <w:webHidden/>
          </w:rPr>
          <w:fldChar w:fldCharType="separate"/>
        </w:r>
        <w:r w:rsidR="00301AD4">
          <w:rPr>
            <w:noProof/>
            <w:webHidden/>
          </w:rPr>
          <w:t>223</w:t>
        </w:r>
        <w:r w:rsidR="007F2617">
          <w:rPr>
            <w:noProof/>
            <w:webHidden/>
          </w:rPr>
          <w:fldChar w:fldCharType="end"/>
        </w:r>
      </w:hyperlink>
    </w:p>
    <w:p w14:paraId="3E13EDC8" w14:textId="77777777" w:rsidR="007F2617" w:rsidRDefault="000E3509">
      <w:pPr>
        <w:pStyle w:val="TOC7"/>
        <w:rPr>
          <w:rFonts w:asciiTheme="minorHAnsi" w:eastAsiaTheme="minorEastAsia" w:hAnsiTheme="minorHAnsi" w:cstheme="minorBidi"/>
          <w:noProof/>
          <w:sz w:val="22"/>
          <w:szCs w:val="22"/>
        </w:rPr>
      </w:pPr>
      <w:hyperlink w:anchor="_Toc6473143" w:history="1">
        <w:r w:rsidR="007F2617" w:rsidRPr="00F83BBB">
          <w:rPr>
            <w:rStyle w:val="Hyperlink"/>
            <w:noProof/>
            <w:lang w:eastAsia="en-US"/>
          </w:rPr>
          <w:t>Table 11.5: Voice allocation results for voice sample 4.</w:t>
        </w:r>
        <w:r w:rsidR="007F2617">
          <w:rPr>
            <w:noProof/>
            <w:webHidden/>
          </w:rPr>
          <w:tab/>
        </w:r>
        <w:r w:rsidR="007F2617">
          <w:rPr>
            <w:noProof/>
            <w:webHidden/>
          </w:rPr>
          <w:fldChar w:fldCharType="begin"/>
        </w:r>
        <w:r w:rsidR="007F2617">
          <w:rPr>
            <w:noProof/>
            <w:webHidden/>
          </w:rPr>
          <w:instrText xml:space="preserve"> PAGEREF _Toc6473143 \h </w:instrText>
        </w:r>
        <w:r w:rsidR="007F2617">
          <w:rPr>
            <w:noProof/>
            <w:webHidden/>
          </w:rPr>
        </w:r>
        <w:r w:rsidR="007F2617">
          <w:rPr>
            <w:noProof/>
            <w:webHidden/>
          </w:rPr>
          <w:fldChar w:fldCharType="separate"/>
        </w:r>
        <w:r w:rsidR="00301AD4">
          <w:rPr>
            <w:noProof/>
            <w:webHidden/>
          </w:rPr>
          <w:t>224</w:t>
        </w:r>
        <w:r w:rsidR="007F2617">
          <w:rPr>
            <w:noProof/>
            <w:webHidden/>
          </w:rPr>
          <w:fldChar w:fldCharType="end"/>
        </w:r>
      </w:hyperlink>
    </w:p>
    <w:p w14:paraId="1D95E667" w14:textId="46A5F844" w:rsidR="007F2617" w:rsidRDefault="000E3509">
      <w:pPr>
        <w:pStyle w:val="TOC7"/>
        <w:rPr>
          <w:rFonts w:asciiTheme="minorHAnsi" w:eastAsiaTheme="minorEastAsia" w:hAnsiTheme="minorHAnsi" w:cstheme="minorBidi"/>
          <w:noProof/>
          <w:sz w:val="22"/>
          <w:szCs w:val="22"/>
        </w:rPr>
      </w:pPr>
      <w:hyperlink w:anchor="_Toc6473144" w:history="1">
        <w:r w:rsidR="007F2617" w:rsidRPr="00F83BBB">
          <w:rPr>
            <w:rStyle w:val="Hyperlink"/>
            <w:noProof/>
            <w:lang w:eastAsia="en-US"/>
          </w:rPr>
          <w:t xml:space="preserve">Table 11.6: Chi-square test results for social group demographic </w:t>
        </w:r>
        <w:r w:rsidR="007F2617">
          <w:rPr>
            <w:rStyle w:val="Hyperlink"/>
            <w:noProof/>
            <w:lang w:eastAsia="en-US"/>
          </w:rPr>
          <w:br/>
        </w:r>
        <w:r w:rsidR="007F2617" w:rsidRPr="00F83BBB">
          <w:rPr>
            <w:rStyle w:val="Hyperlink"/>
            <w:noProof/>
            <w:lang w:eastAsia="en-US"/>
          </w:rPr>
          <w:t>variable (VS2).</w:t>
        </w:r>
        <w:r w:rsidR="007F2617">
          <w:rPr>
            <w:noProof/>
            <w:webHidden/>
          </w:rPr>
          <w:tab/>
        </w:r>
        <w:r w:rsidR="007F2617">
          <w:rPr>
            <w:noProof/>
            <w:webHidden/>
          </w:rPr>
          <w:fldChar w:fldCharType="begin"/>
        </w:r>
        <w:r w:rsidR="007F2617">
          <w:rPr>
            <w:noProof/>
            <w:webHidden/>
          </w:rPr>
          <w:instrText xml:space="preserve"> PAGEREF _Toc6473144 \h </w:instrText>
        </w:r>
        <w:r w:rsidR="007F2617">
          <w:rPr>
            <w:noProof/>
            <w:webHidden/>
          </w:rPr>
        </w:r>
        <w:r w:rsidR="007F2617">
          <w:rPr>
            <w:noProof/>
            <w:webHidden/>
          </w:rPr>
          <w:fldChar w:fldCharType="separate"/>
        </w:r>
        <w:r w:rsidR="00301AD4">
          <w:rPr>
            <w:noProof/>
            <w:webHidden/>
          </w:rPr>
          <w:t>224</w:t>
        </w:r>
        <w:r w:rsidR="007F2617">
          <w:rPr>
            <w:noProof/>
            <w:webHidden/>
          </w:rPr>
          <w:fldChar w:fldCharType="end"/>
        </w:r>
      </w:hyperlink>
    </w:p>
    <w:p w14:paraId="1AB4C19B" w14:textId="77777777" w:rsidR="007F2617" w:rsidRDefault="000E3509">
      <w:pPr>
        <w:pStyle w:val="TOC7"/>
        <w:rPr>
          <w:rFonts w:asciiTheme="minorHAnsi" w:eastAsiaTheme="minorEastAsia" w:hAnsiTheme="minorHAnsi" w:cstheme="minorBidi"/>
          <w:noProof/>
          <w:sz w:val="22"/>
          <w:szCs w:val="22"/>
        </w:rPr>
      </w:pPr>
      <w:hyperlink w:anchor="_Toc6473145" w:history="1">
        <w:r w:rsidR="007F2617" w:rsidRPr="00F83BBB">
          <w:rPr>
            <w:rStyle w:val="Hyperlink"/>
            <w:noProof/>
            <w:lang w:eastAsia="en-US"/>
          </w:rPr>
          <w:t>Table 11.7: Social group–VS2 crosstabulation.</w:t>
        </w:r>
        <w:r w:rsidR="007F2617">
          <w:rPr>
            <w:noProof/>
            <w:webHidden/>
          </w:rPr>
          <w:tab/>
        </w:r>
        <w:r w:rsidR="007F2617">
          <w:rPr>
            <w:noProof/>
            <w:webHidden/>
          </w:rPr>
          <w:fldChar w:fldCharType="begin"/>
        </w:r>
        <w:r w:rsidR="007F2617">
          <w:rPr>
            <w:noProof/>
            <w:webHidden/>
          </w:rPr>
          <w:instrText xml:space="preserve"> PAGEREF _Toc6473145 \h </w:instrText>
        </w:r>
        <w:r w:rsidR="007F2617">
          <w:rPr>
            <w:noProof/>
            <w:webHidden/>
          </w:rPr>
        </w:r>
        <w:r w:rsidR="007F2617">
          <w:rPr>
            <w:noProof/>
            <w:webHidden/>
          </w:rPr>
          <w:fldChar w:fldCharType="separate"/>
        </w:r>
        <w:r w:rsidR="00301AD4">
          <w:rPr>
            <w:noProof/>
            <w:webHidden/>
          </w:rPr>
          <w:t>225</w:t>
        </w:r>
        <w:r w:rsidR="007F2617">
          <w:rPr>
            <w:noProof/>
            <w:webHidden/>
          </w:rPr>
          <w:fldChar w:fldCharType="end"/>
        </w:r>
      </w:hyperlink>
    </w:p>
    <w:p w14:paraId="23741607" w14:textId="77777777" w:rsidR="007F2617" w:rsidRDefault="000E3509">
      <w:pPr>
        <w:pStyle w:val="TOC7"/>
        <w:rPr>
          <w:rFonts w:asciiTheme="minorHAnsi" w:eastAsiaTheme="minorEastAsia" w:hAnsiTheme="minorHAnsi" w:cstheme="minorBidi"/>
          <w:noProof/>
          <w:sz w:val="22"/>
          <w:szCs w:val="22"/>
        </w:rPr>
      </w:pPr>
      <w:hyperlink w:anchor="_Toc6473146" w:history="1">
        <w:r w:rsidR="007F2617" w:rsidRPr="00F83BBB">
          <w:rPr>
            <w:rStyle w:val="Hyperlink"/>
            <w:noProof/>
            <w:lang w:eastAsia="en-US"/>
          </w:rPr>
          <w:t>Table 11.8: Voice allocation results for voice sample 5.</w:t>
        </w:r>
        <w:r w:rsidR="007F2617">
          <w:rPr>
            <w:noProof/>
            <w:webHidden/>
          </w:rPr>
          <w:tab/>
        </w:r>
        <w:r w:rsidR="007F2617">
          <w:rPr>
            <w:noProof/>
            <w:webHidden/>
          </w:rPr>
          <w:fldChar w:fldCharType="begin"/>
        </w:r>
        <w:r w:rsidR="007F2617">
          <w:rPr>
            <w:noProof/>
            <w:webHidden/>
          </w:rPr>
          <w:instrText xml:space="preserve"> PAGEREF _Toc6473146 \h </w:instrText>
        </w:r>
        <w:r w:rsidR="007F2617">
          <w:rPr>
            <w:noProof/>
            <w:webHidden/>
          </w:rPr>
        </w:r>
        <w:r w:rsidR="007F2617">
          <w:rPr>
            <w:noProof/>
            <w:webHidden/>
          </w:rPr>
          <w:fldChar w:fldCharType="separate"/>
        </w:r>
        <w:r w:rsidR="00301AD4">
          <w:rPr>
            <w:noProof/>
            <w:webHidden/>
          </w:rPr>
          <w:t>226</w:t>
        </w:r>
        <w:r w:rsidR="007F2617">
          <w:rPr>
            <w:noProof/>
            <w:webHidden/>
          </w:rPr>
          <w:fldChar w:fldCharType="end"/>
        </w:r>
      </w:hyperlink>
    </w:p>
    <w:p w14:paraId="377DBF4B" w14:textId="77777777" w:rsidR="007F2617" w:rsidRDefault="000E3509">
      <w:pPr>
        <w:pStyle w:val="TOC7"/>
        <w:rPr>
          <w:rFonts w:asciiTheme="minorHAnsi" w:eastAsiaTheme="minorEastAsia" w:hAnsiTheme="minorHAnsi" w:cstheme="minorBidi"/>
          <w:noProof/>
          <w:sz w:val="22"/>
          <w:szCs w:val="22"/>
        </w:rPr>
      </w:pPr>
      <w:hyperlink w:anchor="_Toc6473147" w:history="1">
        <w:r w:rsidR="007F2617" w:rsidRPr="00F83BBB">
          <w:rPr>
            <w:rStyle w:val="Hyperlink"/>
            <w:noProof/>
            <w:lang w:eastAsia="en-US"/>
          </w:rPr>
          <w:t>Table 11.9: Chi-square test results for the gender demographic variable (VS5).</w:t>
        </w:r>
        <w:r w:rsidR="007F2617">
          <w:rPr>
            <w:noProof/>
            <w:webHidden/>
          </w:rPr>
          <w:tab/>
        </w:r>
        <w:r w:rsidR="007F2617">
          <w:rPr>
            <w:noProof/>
            <w:webHidden/>
          </w:rPr>
          <w:fldChar w:fldCharType="begin"/>
        </w:r>
        <w:r w:rsidR="007F2617">
          <w:rPr>
            <w:noProof/>
            <w:webHidden/>
          </w:rPr>
          <w:instrText xml:space="preserve"> PAGEREF _Toc6473147 \h </w:instrText>
        </w:r>
        <w:r w:rsidR="007F2617">
          <w:rPr>
            <w:noProof/>
            <w:webHidden/>
          </w:rPr>
        </w:r>
        <w:r w:rsidR="007F2617">
          <w:rPr>
            <w:noProof/>
            <w:webHidden/>
          </w:rPr>
          <w:fldChar w:fldCharType="separate"/>
        </w:r>
        <w:r w:rsidR="00301AD4">
          <w:rPr>
            <w:noProof/>
            <w:webHidden/>
          </w:rPr>
          <w:t>227</w:t>
        </w:r>
        <w:r w:rsidR="007F2617">
          <w:rPr>
            <w:noProof/>
            <w:webHidden/>
          </w:rPr>
          <w:fldChar w:fldCharType="end"/>
        </w:r>
      </w:hyperlink>
    </w:p>
    <w:p w14:paraId="6E20754A" w14:textId="77777777" w:rsidR="007F2617" w:rsidRDefault="000E3509">
      <w:pPr>
        <w:pStyle w:val="TOC7"/>
        <w:rPr>
          <w:rFonts w:asciiTheme="minorHAnsi" w:eastAsiaTheme="minorEastAsia" w:hAnsiTheme="minorHAnsi" w:cstheme="minorBidi"/>
          <w:noProof/>
          <w:sz w:val="22"/>
          <w:szCs w:val="22"/>
        </w:rPr>
      </w:pPr>
      <w:hyperlink w:anchor="_Toc6473148" w:history="1">
        <w:r w:rsidR="007F2617" w:rsidRPr="00F83BBB">
          <w:rPr>
            <w:rStyle w:val="Hyperlink"/>
            <w:noProof/>
            <w:lang w:eastAsia="en-US"/>
          </w:rPr>
          <w:t>Table 11.10: Gender–VS5 crosstabulation.</w:t>
        </w:r>
        <w:r w:rsidR="007F2617">
          <w:rPr>
            <w:noProof/>
            <w:webHidden/>
          </w:rPr>
          <w:tab/>
        </w:r>
        <w:r w:rsidR="007F2617">
          <w:rPr>
            <w:noProof/>
            <w:webHidden/>
          </w:rPr>
          <w:fldChar w:fldCharType="begin"/>
        </w:r>
        <w:r w:rsidR="007F2617">
          <w:rPr>
            <w:noProof/>
            <w:webHidden/>
          </w:rPr>
          <w:instrText xml:space="preserve"> PAGEREF _Toc6473148 \h </w:instrText>
        </w:r>
        <w:r w:rsidR="007F2617">
          <w:rPr>
            <w:noProof/>
            <w:webHidden/>
          </w:rPr>
        </w:r>
        <w:r w:rsidR="007F2617">
          <w:rPr>
            <w:noProof/>
            <w:webHidden/>
          </w:rPr>
          <w:fldChar w:fldCharType="separate"/>
        </w:r>
        <w:r w:rsidR="00301AD4">
          <w:rPr>
            <w:noProof/>
            <w:webHidden/>
          </w:rPr>
          <w:t>227</w:t>
        </w:r>
        <w:r w:rsidR="007F2617">
          <w:rPr>
            <w:noProof/>
            <w:webHidden/>
          </w:rPr>
          <w:fldChar w:fldCharType="end"/>
        </w:r>
      </w:hyperlink>
    </w:p>
    <w:p w14:paraId="6E4077F0" w14:textId="60AE16C8" w:rsidR="007F2617" w:rsidRDefault="000E3509">
      <w:pPr>
        <w:pStyle w:val="TOC7"/>
        <w:rPr>
          <w:rFonts w:asciiTheme="minorHAnsi" w:eastAsiaTheme="minorEastAsia" w:hAnsiTheme="minorHAnsi" w:cstheme="minorBidi"/>
          <w:noProof/>
          <w:sz w:val="22"/>
          <w:szCs w:val="22"/>
        </w:rPr>
      </w:pPr>
      <w:hyperlink w:anchor="_Toc6473149" w:history="1">
        <w:r w:rsidR="007F2617" w:rsidRPr="00F83BBB">
          <w:rPr>
            <w:rStyle w:val="Hyperlink"/>
            <w:noProof/>
            <w:lang w:eastAsia="en-US"/>
          </w:rPr>
          <w:t xml:space="preserve">Table 11.11: Chi-square test results for social group demographic </w:t>
        </w:r>
        <w:r w:rsidR="007F2617">
          <w:rPr>
            <w:rStyle w:val="Hyperlink"/>
            <w:noProof/>
            <w:lang w:eastAsia="en-US"/>
          </w:rPr>
          <w:br/>
        </w:r>
        <w:r w:rsidR="00F97841">
          <w:rPr>
            <w:rStyle w:val="Hyperlink"/>
            <w:noProof/>
            <w:lang w:eastAsia="en-US"/>
          </w:rPr>
          <w:t xml:space="preserve"> </w:t>
        </w:r>
        <w:r w:rsidR="007F2617" w:rsidRPr="00F83BBB">
          <w:rPr>
            <w:rStyle w:val="Hyperlink"/>
            <w:noProof/>
            <w:lang w:eastAsia="en-US"/>
          </w:rPr>
          <w:t>variable (VS5).</w:t>
        </w:r>
        <w:r w:rsidR="007F2617">
          <w:rPr>
            <w:noProof/>
            <w:webHidden/>
          </w:rPr>
          <w:tab/>
        </w:r>
        <w:r w:rsidR="007F2617">
          <w:rPr>
            <w:noProof/>
            <w:webHidden/>
          </w:rPr>
          <w:fldChar w:fldCharType="begin"/>
        </w:r>
        <w:r w:rsidR="007F2617">
          <w:rPr>
            <w:noProof/>
            <w:webHidden/>
          </w:rPr>
          <w:instrText xml:space="preserve"> PAGEREF _Toc6473149 \h </w:instrText>
        </w:r>
        <w:r w:rsidR="007F2617">
          <w:rPr>
            <w:noProof/>
            <w:webHidden/>
          </w:rPr>
        </w:r>
        <w:r w:rsidR="007F2617">
          <w:rPr>
            <w:noProof/>
            <w:webHidden/>
          </w:rPr>
          <w:fldChar w:fldCharType="separate"/>
        </w:r>
        <w:r w:rsidR="00301AD4">
          <w:rPr>
            <w:noProof/>
            <w:webHidden/>
          </w:rPr>
          <w:t>228</w:t>
        </w:r>
        <w:r w:rsidR="007F2617">
          <w:rPr>
            <w:noProof/>
            <w:webHidden/>
          </w:rPr>
          <w:fldChar w:fldCharType="end"/>
        </w:r>
      </w:hyperlink>
    </w:p>
    <w:p w14:paraId="3A462D25" w14:textId="77777777" w:rsidR="007F2617" w:rsidRDefault="000E3509">
      <w:pPr>
        <w:pStyle w:val="TOC7"/>
        <w:rPr>
          <w:rFonts w:asciiTheme="minorHAnsi" w:eastAsiaTheme="minorEastAsia" w:hAnsiTheme="minorHAnsi" w:cstheme="minorBidi"/>
          <w:noProof/>
          <w:sz w:val="22"/>
          <w:szCs w:val="22"/>
        </w:rPr>
      </w:pPr>
      <w:hyperlink w:anchor="_Toc6473150" w:history="1">
        <w:r w:rsidR="007F2617" w:rsidRPr="00F83BBB">
          <w:rPr>
            <w:rStyle w:val="Hyperlink"/>
            <w:noProof/>
            <w:lang w:eastAsia="en-US"/>
          </w:rPr>
          <w:t>Table 11.12: Social group–VS5 crosstabulation.</w:t>
        </w:r>
        <w:r w:rsidR="007F2617">
          <w:rPr>
            <w:noProof/>
            <w:webHidden/>
          </w:rPr>
          <w:tab/>
        </w:r>
        <w:r w:rsidR="007F2617">
          <w:rPr>
            <w:noProof/>
            <w:webHidden/>
          </w:rPr>
          <w:fldChar w:fldCharType="begin"/>
        </w:r>
        <w:r w:rsidR="007F2617">
          <w:rPr>
            <w:noProof/>
            <w:webHidden/>
          </w:rPr>
          <w:instrText xml:space="preserve"> PAGEREF _Toc6473150 \h </w:instrText>
        </w:r>
        <w:r w:rsidR="007F2617">
          <w:rPr>
            <w:noProof/>
            <w:webHidden/>
          </w:rPr>
        </w:r>
        <w:r w:rsidR="007F2617">
          <w:rPr>
            <w:noProof/>
            <w:webHidden/>
          </w:rPr>
          <w:fldChar w:fldCharType="separate"/>
        </w:r>
        <w:r w:rsidR="00301AD4">
          <w:rPr>
            <w:noProof/>
            <w:webHidden/>
          </w:rPr>
          <w:t>228</w:t>
        </w:r>
        <w:r w:rsidR="007F2617">
          <w:rPr>
            <w:noProof/>
            <w:webHidden/>
          </w:rPr>
          <w:fldChar w:fldCharType="end"/>
        </w:r>
      </w:hyperlink>
    </w:p>
    <w:p w14:paraId="313EC121" w14:textId="166DDAD8" w:rsidR="007F2617" w:rsidRDefault="000E3509">
      <w:pPr>
        <w:pStyle w:val="TOC7"/>
        <w:rPr>
          <w:rFonts w:asciiTheme="minorHAnsi" w:eastAsiaTheme="minorEastAsia" w:hAnsiTheme="minorHAnsi" w:cstheme="minorBidi"/>
          <w:noProof/>
          <w:sz w:val="22"/>
          <w:szCs w:val="22"/>
        </w:rPr>
      </w:pPr>
      <w:hyperlink w:anchor="_Toc6473151" w:history="1">
        <w:r w:rsidR="007F2617" w:rsidRPr="00F83BBB">
          <w:rPr>
            <w:rStyle w:val="Hyperlink"/>
            <w:noProof/>
            <w:lang w:eastAsia="en-US"/>
          </w:rPr>
          <w:t xml:space="preserve">Table 11.13: Test of sphericity for the </w:t>
        </w:r>
        <w:r w:rsidR="007F2617" w:rsidRPr="00F83BBB">
          <w:rPr>
            <w:rStyle w:val="Hyperlink"/>
            <w:i/>
            <w:iCs/>
            <w:noProof/>
            <w:lang w:eastAsia="en-US"/>
          </w:rPr>
          <w:t>serious</w:t>
        </w:r>
        <w:r w:rsidR="007F2617" w:rsidRPr="00F83BBB">
          <w:rPr>
            <w:rStyle w:val="Hyperlink"/>
            <w:noProof/>
            <w:lang w:eastAsia="en-US"/>
          </w:rPr>
          <w:t xml:space="preserve"> characteristic across</w:t>
        </w:r>
        <w:r w:rsidR="007F2617">
          <w:rPr>
            <w:rStyle w:val="Hyperlink"/>
            <w:noProof/>
            <w:lang w:eastAsia="en-US"/>
          </w:rPr>
          <w:t xml:space="preserve"> </w:t>
        </w:r>
        <w:r w:rsidR="007F2617">
          <w:rPr>
            <w:rStyle w:val="Hyperlink"/>
            <w:noProof/>
            <w:lang w:eastAsia="en-US"/>
          </w:rPr>
          <w:br/>
        </w:r>
        <w:r w:rsidR="00F97841">
          <w:rPr>
            <w:rStyle w:val="Hyperlink"/>
            <w:noProof/>
            <w:lang w:eastAsia="en-US"/>
          </w:rPr>
          <w:t xml:space="preserve"> </w:t>
        </w:r>
        <w:r w:rsidR="007F2617">
          <w:rPr>
            <w:rStyle w:val="Hyperlink"/>
            <w:noProof/>
            <w:lang w:eastAsia="en-US"/>
          </w:rPr>
          <w:t>the</w:t>
        </w:r>
        <w:r w:rsidR="007F2617" w:rsidRPr="00F83BBB">
          <w:rPr>
            <w:rStyle w:val="Hyperlink"/>
            <w:noProof/>
            <w:lang w:eastAsia="en-US"/>
          </w:rPr>
          <w:t xml:space="preserve"> samples.</w:t>
        </w:r>
        <w:r w:rsidR="007F2617">
          <w:rPr>
            <w:noProof/>
            <w:webHidden/>
          </w:rPr>
          <w:tab/>
        </w:r>
        <w:r w:rsidR="007F2617">
          <w:rPr>
            <w:noProof/>
            <w:webHidden/>
          </w:rPr>
          <w:fldChar w:fldCharType="begin"/>
        </w:r>
        <w:r w:rsidR="007F2617">
          <w:rPr>
            <w:noProof/>
            <w:webHidden/>
          </w:rPr>
          <w:instrText xml:space="preserve"> PAGEREF _Toc6473151 \h </w:instrText>
        </w:r>
        <w:r w:rsidR="007F2617">
          <w:rPr>
            <w:noProof/>
            <w:webHidden/>
          </w:rPr>
        </w:r>
        <w:r w:rsidR="007F2617">
          <w:rPr>
            <w:noProof/>
            <w:webHidden/>
          </w:rPr>
          <w:fldChar w:fldCharType="separate"/>
        </w:r>
        <w:r w:rsidR="00301AD4">
          <w:rPr>
            <w:noProof/>
            <w:webHidden/>
          </w:rPr>
          <w:t>231</w:t>
        </w:r>
        <w:r w:rsidR="007F2617">
          <w:rPr>
            <w:noProof/>
            <w:webHidden/>
          </w:rPr>
          <w:fldChar w:fldCharType="end"/>
        </w:r>
      </w:hyperlink>
    </w:p>
    <w:p w14:paraId="4F83DCEA" w14:textId="210BE4E4" w:rsidR="007F2617" w:rsidRDefault="000E3509">
      <w:pPr>
        <w:pStyle w:val="TOC7"/>
        <w:rPr>
          <w:rFonts w:asciiTheme="minorHAnsi" w:eastAsiaTheme="minorEastAsia" w:hAnsiTheme="minorHAnsi" w:cstheme="minorBidi"/>
          <w:noProof/>
          <w:sz w:val="22"/>
          <w:szCs w:val="22"/>
        </w:rPr>
      </w:pPr>
      <w:hyperlink w:anchor="_Toc6473152" w:history="1">
        <w:r w:rsidR="007F2617" w:rsidRPr="00F83BBB">
          <w:rPr>
            <w:rStyle w:val="Hyperlink"/>
            <w:noProof/>
            <w:lang w:eastAsia="en-US"/>
          </w:rPr>
          <w:t xml:space="preserve">Table 11.14: Within-subject tests for the </w:t>
        </w:r>
        <w:r w:rsidR="007F2617" w:rsidRPr="00F83BBB">
          <w:rPr>
            <w:rStyle w:val="Hyperlink"/>
            <w:i/>
            <w:iCs/>
            <w:noProof/>
            <w:lang w:eastAsia="en-US"/>
          </w:rPr>
          <w:t xml:space="preserve">serious </w:t>
        </w:r>
        <w:r w:rsidR="007F2617" w:rsidRPr="00F83BBB">
          <w:rPr>
            <w:rStyle w:val="Hyperlink"/>
            <w:noProof/>
            <w:lang w:eastAsia="en-US"/>
          </w:rPr>
          <w:t>characteristic across</w:t>
        </w:r>
        <w:r w:rsidR="007F2617">
          <w:rPr>
            <w:rStyle w:val="Hyperlink"/>
            <w:noProof/>
            <w:lang w:eastAsia="en-US"/>
          </w:rPr>
          <w:t xml:space="preserve"> </w:t>
        </w:r>
        <w:r w:rsidR="007F2617">
          <w:rPr>
            <w:rStyle w:val="Hyperlink"/>
            <w:noProof/>
            <w:lang w:eastAsia="en-US"/>
          </w:rPr>
          <w:br/>
        </w:r>
        <w:r w:rsidR="00F97841">
          <w:rPr>
            <w:rStyle w:val="Hyperlink"/>
            <w:noProof/>
            <w:lang w:eastAsia="en-US"/>
          </w:rPr>
          <w:t xml:space="preserve"> </w:t>
        </w:r>
        <w:r w:rsidR="007F2617">
          <w:rPr>
            <w:rStyle w:val="Hyperlink"/>
            <w:noProof/>
            <w:lang w:eastAsia="en-US"/>
          </w:rPr>
          <w:t>the</w:t>
        </w:r>
        <w:r w:rsidR="007F2617" w:rsidRPr="00F83BBB">
          <w:rPr>
            <w:rStyle w:val="Hyperlink"/>
            <w:noProof/>
            <w:lang w:eastAsia="en-US"/>
          </w:rPr>
          <w:t xml:space="preserve"> samples.</w:t>
        </w:r>
        <w:r w:rsidR="007F2617">
          <w:rPr>
            <w:noProof/>
            <w:webHidden/>
          </w:rPr>
          <w:tab/>
        </w:r>
        <w:r w:rsidR="007F2617">
          <w:rPr>
            <w:noProof/>
            <w:webHidden/>
          </w:rPr>
          <w:fldChar w:fldCharType="begin"/>
        </w:r>
        <w:r w:rsidR="007F2617">
          <w:rPr>
            <w:noProof/>
            <w:webHidden/>
          </w:rPr>
          <w:instrText xml:space="preserve"> PAGEREF _Toc6473152 \h </w:instrText>
        </w:r>
        <w:r w:rsidR="007F2617">
          <w:rPr>
            <w:noProof/>
            <w:webHidden/>
          </w:rPr>
        </w:r>
        <w:r w:rsidR="007F2617">
          <w:rPr>
            <w:noProof/>
            <w:webHidden/>
          </w:rPr>
          <w:fldChar w:fldCharType="separate"/>
        </w:r>
        <w:r w:rsidR="00301AD4">
          <w:rPr>
            <w:noProof/>
            <w:webHidden/>
          </w:rPr>
          <w:t>231</w:t>
        </w:r>
        <w:r w:rsidR="007F2617">
          <w:rPr>
            <w:noProof/>
            <w:webHidden/>
          </w:rPr>
          <w:fldChar w:fldCharType="end"/>
        </w:r>
      </w:hyperlink>
    </w:p>
    <w:p w14:paraId="10BED341" w14:textId="1115CE2A" w:rsidR="007F2617" w:rsidRDefault="000E3509" w:rsidP="007F2617">
      <w:pPr>
        <w:pStyle w:val="TOC7"/>
        <w:rPr>
          <w:rFonts w:asciiTheme="minorHAnsi" w:eastAsiaTheme="minorEastAsia" w:hAnsiTheme="minorHAnsi" w:cstheme="minorBidi"/>
          <w:noProof/>
          <w:sz w:val="22"/>
          <w:szCs w:val="22"/>
        </w:rPr>
      </w:pPr>
      <w:hyperlink w:anchor="_Toc6473153" w:history="1">
        <w:r w:rsidR="007F2617" w:rsidRPr="00F83BBB">
          <w:rPr>
            <w:rStyle w:val="Hyperlink"/>
            <w:noProof/>
            <w:lang w:eastAsia="en-US"/>
          </w:rPr>
          <w:t xml:space="preserve">Table 11.15: Post-hoc test results for </w:t>
        </w:r>
        <w:r w:rsidR="007F2617" w:rsidRPr="00F83BBB">
          <w:rPr>
            <w:rStyle w:val="Hyperlink"/>
            <w:i/>
            <w:iCs/>
            <w:noProof/>
            <w:lang w:eastAsia="en-US"/>
          </w:rPr>
          <w:t>serious</w:t>
        </w:r>
        <w:r w:rsidR="007F2617" w:rsidRPr="00F83BBB">
          <w:rPr>
            <w:rStyle w:val="Hyperlink"/>
            <w:noProof/>
            <w:lang w:eastAsia="en-US"/>
          </w:rPr>
          <w:t xml:space="preserve"> characteristic across</w:t>
        </w:r>
        <w:r w:rsidR="007F2617">
          <w:rPr>
            <w:rStyle w:val="Hyperlink"/>
            <w:noProof/>
            <w:lang w:eastAsia="en-US"/>
          </w:rPr>
          <w:t xml:space="preserve"> the</w:t>
        </w:r>
        <w:r w:rsidR="007F2617" w:rsidRPr="00F83BBB">
          <w:rPr>
            <w:rStyle w:val="Hyperlink"/>
            <w:noProof/>
            <w:lang w:eastAsia="en-US"/>
          </w:rPr>
          <w:t xml:space="preserve"> </w:t>
        </w:r>
        <w:r w:rsidR="007F2617">
          <w:rPr>
            <w:rStyle w:val="Hyperlink"/>
            <w:noProof/>
            <w:lang w:eastAsia="en-US"/>
          </w:rPr>
          <w:br/>
        </w:r>
        <w:r w:rsidR="00F97841">
          <w:rPr>
            <w:rStyle w:val="Hyperlink"/>
            <w:noProof/>
            <w:lang w:eastAsia="en-US"/>
          </w:rPr>
          <w:t xml:space="preserve"> </w:t>
        </w:r>
        <w:r w:rsidR="007F2617" w:rsidRPr="00F83BBB">
          <w:rPr>
            <w:rStyle w:val="Hyperlink"/>
            <w:noProof/>
            <w:lang w:eastAsia="en-US"/>
          </w:rPr>
          <w:t>samples.</w:t>
        </w:r>
        <w:r w:rsidR="007F2617">
          <w:rPr>
            <w:noProof/>
            <w:webHidden/>
          </w:rPr>
          <w:tab/>
        </w:r>
        <w:r w:rsidR="007F2617">
          <w:rPr>
            <w:noProof/>
            <w:webHidden/>
          </w:rPr>
          <w:fldChar w:fldCharType="begin"/>
        </w:r>
        <w:r w:rsidR="007F2617">
          <w:rPr>
            <w:noProof/>
            <w:webHidden/>
          </w:rPr>
          <w:instrText xml:space="preserve"> PAGEREF _Toc6473153 \h </w:instrText>
        </w:r>
        <w:r w:rsidR="007F2617">
          <w:rPr>
            <w:noProof/>
            <w:webHidden/>
          </w:rPr>
        </w:r>
        <w:r w:rsidR="007F2617">
          <w:rPr>
            <w:noProof/>
            <w:webHidden/>
          </w:rPr>
          <w:fldChar w:fldCharType="separate"/>
        </w:r>
        <w:r w:rsidR="00301AD4">
          <w:rPr>
            <w:noProof/>
            <w:webHidden/>
          </w:rPr>
          <w:t>232</w:t>
        </w:r>
        <w:r w:rsidR="007F2617">
          <w:rPr>
            <w:noProof/>
            <w:webHidden/>
          </w:rPr>
          <w:fldChar w:fldCharType="end"/>
        </w:r>
      </w:hyperlink>
    </w:p>
    <w:p w14:paraId="03BB1AB7" w14:textId="5AFC2C58" w:rsidR="007F2617" w:rsidRDefault="000E3509">
      <w:pPr>
        <w:pStyle w:val="TOC7"/>
        <w:rPr>
          <w:rFonts w:asciiTheme="minorHAnsi" w:eastAsiaTheme="minorEastAsia" w:hAnsiTheme="minorHAnsi" w:cstheme="minorBidi"/>
          <w:noProof/>
          <w:sz w:val="22"/>
          <w:szCs w:val="22"/>
        </w:rPr>
      </w:pPr>
      <w:hyperlink w:anchor="_Toc6473154" w:history="1">
        <w:r w:rsidR="007F2617" w:rsidRPr="00F83BBB">
          <w:rPr>
            <w:rStyle w:val="Hyperlink"/>
            <w:noProof/>
            <w:lang w:eastAsia="en-US"/>
          </w:rPr>
          <w:t xml:space="preserve">Table 11.16: Descriptive statistics for the </w:t>
        </w:r>
        <w:r w:rsidR="007F2617" w:rsidRPr="00F83BBB">
          <w:rPr>
            <w:rStyle w:val="Hyperlink"/>
            <w:i/>
            <w:iCs/>
            <w:noProof/>
            <w:lang w:eastAsia="en-US"/>
          </w:rPr>
          <w:t>serious</w:t>
        </w:r>
        <w:r w:rsidR="007F2617" w:rsidRPr="00F83BBB">
          <w:rPr>
            <w:rStyle w:val="Hyperlink"/>
            <w:noProof/>
            <w:lang w:eastAsia="en-US"/>
          </w:rPr>
          <w:t xml:space="preserve"> characteristic across </w:t>
        </w:r>
        <w:r w:rsidR="007F2617">
          <w:rPr>
            <w:rStyle w:val="Hyperlink"/>
            <w:noProof/>
            <w:lang w:eastAsia="en-US"/>
          </w:rPr>
          <w:br/>
        </w:r>
        <w:r w:rsidR="00F97841">
          <w:rPr>
            <w:rStyle w:val="Hyperlink"/>
            <w:noProof/>
            <w:lang w:eastAsia="en-US"/>
          </w:rPr>
          <w:t xml:space="preserve"> </w:t>
        </w:r>
        <w:r w:rsidR="007F2617" w:rsidRPr="00F83BBB">
          <w:rPr>
            <w:rStyle w:val="Hyperlink"/>
            <w:noProof/>
            <w:lang w:eastAsia="en-US"/>
          </w:rPr>
          <w:t>the samples.</w:t>
        </w:r>
        <w:r w:rsidR="007F2617">
          <w:rPr>
            <w:noProof/>
            <w:webHidden/>
          </w:rPr>
          <w:tab/>
        </w:r>
        <w:r w:rsidR="007F2617">
          <w:rPr>
            <w:noProof/>
            <w:webHidden/>
          </w:rPr>
          <w:fldChar w:fldCharType="begin"/>
        </w:r>
        <w:r w:rsidR="007F2617">
          <w:rPr>
            <w:noProof/>
            <w:webHidden/>
          </w:rPr>
          <w:instrText xml:space="preserve"> PAGEREF _Toc6473154 \h </w:instrText>
        </w:r>
        <w:r w:rsidR="007F2617">
          <w:rPr>
            <w:noProof/>
            <w:webHidden/>
          </w:rPr>
        </w:r>
        <w:r w:rsidR="007F2617">
          <w:rPr>
            <w:noProof/>
            <w:webHidden/>
          </w:rPr>
          <w:fldChar w:fldCharType="separate"/>
        </w:r>
        <w:r w:rsidR="00301AD4">
          <w:rPr>
            <w:noProof/>
            <w:webHidden/>
          </w:rPr>
          <w:t>232</w:t>
        </w:r>
        <w:r w:rsidR="007F2617">
          <w:rPr>
            <w:noProof/>
            <w:webHidden/>
          </w:rPr>
          <w:fldChar w:fldCharType="end"/>
        </w:r>
      </w:hyperlink>
    </w:p>
    <w:p w14:paraId="3BFC9780" w14:textId="0E6891FC" w:rsidR="007F2617" w:rsidRDefault="000E3509">
      <w:pPr>
        <w:pStyle w:val="TOC7"/>
        <w:rPr>
          <w:rFonts w:asciiTheme="minorHAnsi" w:eastAsiaTheme="minorEastAsia" w:hAnsiTheme="minorHAnsi" w:cstheme="minorBidi"/>
          <w:noProof/>
          <w:sz w:val="22"/>
          <w:szCs w:val="22"/>
        </w:rPr>
      </w:pPr>
      <w:hyperlink w:anchor="_Toc6473155" w:history="1">
        <w:r w:rsidR="007F2617" w:rsidRPr="00F83BBB">
          <w:rPr>
            <w:rStyle w:val="Hyperlink"/>
            <w:noProof/>
            <w:lang w:eastAsia="en-US"/>
          </w:rPr>
          <w:t xml:space="preserve">Table 11.17: Test of sphericity results for the </w:t>
        </w:r>
        <w:r w:rsidR="007F2617" w:rsidRPr="00F83BBB">
          <w:rPr>
            <w:rStyle w:val="Hyperlink"/>
            <w:i/>
            <w:iCs/>
            <w:noProof/>
            <w:lang w:eastAsia="en-US"/>
          </w:rPr>
          <w:t xml:space="preserve">similar to other Arabic </w:t>
        </w:r>
        <w:r w:rsidR="00F97841">
          <w:rPr>
            <w:rStyle w:val="Hyperlink"/>
            <w:i/>
            <w:iCs/>
            <w:noProof/>
            <w:lang w:eastAsia="en-US"/>
          </w:rPr>
          <w:t xml:space="preserve"> </w:t>
        </w:r>
        <w:r w:rsidR="007F2617" w:rsidRPr="00F83BBB">
          <w:rPr>
            <w:rStyle w:val="Hyperlink"/>
            <w:i/>
            <w:iCs/>
            <w:noProof/>
            <w:lang w:eastAsia="en-US"/>
          </w:rPr>
          <w:t>dialects</w:t>
        </w:r>
        <w:r w:rsidR="007F2617" w:rsidRPr="00F83BBB">
          <w:rPr>
            <w:rStyle w:val="Hyperlink"/>
            <w:noProof/>
            <w:lang w:eastAsia="en-US"/>
          </w:rPr>
          <w:t xml:space="preserve"> characteristic across the samples.</w:t>
        </w:r>
        <w:r w:rsidR="007F2617">
          <w:rPr>
            <w:noProof/>
            <w:webHidden/>
          </w:rPr>
          <w:tab/>
        </w:r>
        <w:r w:rsidR="007F2617">
          <w:rPr>
            <w:noProof/>
            <w:webHidden/>
          </w:rPr>
          <w:fldChar w:fldCharType="begin"/>
        </w:r>
        <w:r w:rsidR="007F2617">
          <w:rPr>
            <w:noProof/>
            <w:webHidden/>
          </w:rPr>
          <w:instrText xml:space="preserve"> PAGEREF _Toc6473155 \h </w:instrText>
        </w:r>
        <w:r w:rsidR="007F2617">
          <w:rPr>
            <w:noProof/>
            <w:webHidden/>
          </w:rPr>
        </w:r>
        <w:r w:rsidR="007F2617">
          <w:rPr>
            <w:noProof/>
            <w:webHidden/>
          </w:rPr>
          <w:fldChar w:fldCharType="separate"/>
        </w:r>
        <w:r w:rsidR="00301AD4">
          <w:rPr>
            <w:noProof/>
            <w:webHidden/>
          </w:rPr>
          <w:t>233</w:t>
        </w:r>
        <w:r w:rsidR="007F2617">
          <w:rPr>
            <w:noProof/>
            <w:webHidden/>
          </w:rPr>
          <w:fldChar w:fldCharType="end"/>
        </w:r>
      </w:hyperlink>
    </w:p>
    <w:p w14:paraId="644CEC1B" w14:textId="1E54E105" w:rsidR="007F2617" w:rsidRDefault="000E3509">
      <w:pPr>
        <w:pStyle w:val="TOC7"/>
        <w:rPr>
          <w:rFonts w:asciiTheme="minorHAnsi" w:eastAsiaTheme="minorEastAsia" w:hAnsiTheme="minorHAnsi" w:cstheme="minorBidi"/>
          <w:noProof/>
          <w:sz w:val="22"/>
          <w:szCs w:val="22"/>
        </w:rPr>
      </w:pPr>
      <w:hyperlink w:anchor="_Toc6473156" w:history="1">
        <w:r w:rsidR="007F2617" w:rsidRPr="00F83BBB">
          <w:rPr>
            <w:rStyle w:val="Hyperlink"/>
            <w:noProof/>
            <w:lang w:eastAsia="en-US"/>
          </w:rPr>
          <w:t xml:space="preserve">Table 11.18: Within-subjects test for the </w:t>
        </w:r>
        <w:r w:rsidR="007F2617" w:rsidRPr="00F83BBB">
          <w:rPr>
            <w:rStyle w:val="Hyperlink"/>
            <w:i/>
            <w:iCs/>
            <w:noProof/>
            <w:lang w:eastAsia="en-US"/>
          </w:rPr>
          <w:t xml:space="preserve">similar to other Arabic </w:t>
        </w:r>
        <w:r w:rsidR="007F2617">
          <w:rPr>
            <w:rStyle w:val="Hyperlink"/>
            <w:i/>
            <w:iCs/>
            <w:noProof/>
            <w:lang w:eastAsia="en-US"/>
          </w:rPr>
          <w:br/>
        </w:r>
        <w:r w:rsidR="00F97841">
          <w:rPr>
            <w:rStyle w:val="Hyperlink"/>
            <w:i/>
            <w:iCs/>
            <w:noProof/>
            <w:lang w:eastAsia="en-US"/>
          </w:rPr>
          <w:t xml:space="preserve"> </w:t>
        </w:r>
        <w:r w:rsidR="007F2617" w:rsidRPr="00F83BBB">
          <w:rPr>
            <w:rStyle w:val="Hyperlink"/>
            <w:i/>
            <w:iCs/>
            <w:noProof/>
            <w:lang w:eastAsia="en-US"/>
          </w:rPr>
          <w:t>dialects</w:t>
        </w:r>
        <w:r w:rsidR="007F2617" w:rsidRPr="00F83BBB">
          <w:rPr>
            <w:rStyle w:val="Hyperlink"/>
            <w:noProof/>
            <w:lang w:eastAsia="en-US"/>
          </w:rPr>
          <w:t xml:space="preserve"> characteristic across the samples.</w:t>
        </w:r>
        <w:r w:rsidR="007F2617">
          <w:rPr>
            <w:noProof/>
            <w:webHidden/>
          </w:rPr>
          <w:tab/>
        </w:r>
        <w:r w:rsidR="007F2617">
          <w:rPr>
            <w:noProof/>
            <w:webHidden/>
          </w:rPr>
          <w:fldChar w:fldCharType="begin"/>
        </w:r>
        <w:r w:rsidR="007F2617">
          <w:rPr>
            <w:noProof/>
            <w:webHidden/>
          </w:rPr>
          <w:instrText xml:space="preserve"> PAGEREF _Toc6473156 \h </w:instrText>
        </w:r>
        <w:r w:rsidR="007F2617">
          <w:rPr>
            <w:noProof/>
            <w:webHidden/>
          </w:rPr>
        </w:r>
        <w:r w:rsidR="007F2617">
          <w:rPr>
            <w:noProof/>
            <w:webHidden/>
          </w:rPr>
          <w:fldChar w:fldCharType="separate"/>
        </w:r>
        <w:r w:rsidR="00301AD4">
          <w:rPr>
            <w:noProof/>
            <w:webHidden/>
          </w:rPr>
          <w:t>233</w:t>
        </w:r>
        <w:r w:rsidR="007F2617">
          <w:rPr>
            <w:noProof/>
            <w:webHidden/>
          </w:rPr>
          <w:fldChar w:fldCharType="end"/>
        </w:r>
      </w:hyperlink>
    </w:p>
    <w:p w14:paraId="760AA325" w14:textId="54618C4A" w:rsidR="007F2617" w:rsidRDefault="000E3509">
      <w:pPr>
        <w:pStyle w:val="TOC7"/>
        <w:rPr>
          <w:rFonts w:asciiTheme="minorHAnsi" w:eastAsiaTheme="minorEastAsia" w:hAnsiTheme="minorHAnsi" w:cstheme="minorBidi"/>
          <w:noProof/>
          <w:sz w:val="22"/>
          <w:szCs w:val="22"/>
        </w:rPr>
      </w:pPr>
      <w:hyperlink w:anchor="_Toc6473157" w:history="1">
        <w:r w:rsidR="007F2617" w:rsidRPr="00F83BBB">
          <w:rPr>
            <w:rStyle w:val="Hyperlink"/>
            <w:noProof/>
            <w:lang w:eastAsia="en-US"/>
          </w:rPr>
          <w:t xml:space="preserve">Table 11.19: Post-hoc test results for the </w:t>
        </w:r>
        <w:r w:rsidR="007F2617" w:rsidRPr="00F83BBB">
          <w:rPr>
            <w:rStyle w:val="Hyperlink"/>
            <w:i/>
            <w:iCs/>
            <w:noProof/>
            <w:lang w:eastAsia="en-US"/>
          </w:rPr>
          <w:t xml:space="preserve">similar to other Arabic </w:t>
        </w:r>
        <w:r w:rsidR="007F2617">
          <w:rPr>
            <w:rStyle w:val="Hyperlink"/>
            <w:i/>
            <w:iCs/>
            <w:noProof/>
            <w:lang w:eastAsia="en-US"/>
          </w:rPr>
          <w:br/>
        </w:r>
        <w:r w:rsidR="00F97841">
          <w:rPr>
            <w:rStyle w:val="Hyperlink"/>
            <w:i/>
            <w:iCs/>
            <w:noProof/>
            <w:lang w:eastAsia="en-US"/>
          </w:rPr>
          <w:t xml:space="preserve"> </w:t>
        </w:r>
        <w:r w:rsidR="007F2617" w:rsidRPr="00F83BBB">
          <w:rPr>
            <w:rStyle w:val="Hyperlink"/>
            <w:i/>
            <w:iCs/>
            <w:noProof/>
            <w:lang w:eastAsia="en-US"/>
          </w:rPr>
          <w:t>dialects</w:t>
        </w:r>
        <w:r w:rsidR="007F2617" w:rsidRPr="00F83BBB">
          <w:rPr>
            <w:rStyle w:val="Hyperlink"/>
            <w:noProof/>
            <w:lang w:eastAsia="en-US"/>
          </w:rPr>
          <w:t xml:space="preserve"> characteristic across the samples.</w:t>
        </w:r>
        <w:r w:rsidR="007F2617">
          <w:rPr>
            <w:noProof/>
            <w:webHidden/>
          </w:rPr>
          <w:tab/>
        </w:r>
        <w:r w:rsidR="007F2617">
          <w:rPr>
            <w:noProof/>
            <w:webHidden/>
          </w:rPr>
          <w:fldChar w:fldCharType="begin"/>
        </w:r>
        <w:r w:rsidR="007F2617">
          <w:rPr>
            <w:noProof/>
            <w:webHidden/>
          </w:rPr>
          <w:instrText xml:space="preserve"> PAGEREF _Toc6473157 \h </w:instrText>
        </w:r>
        <w:r w:rsidR="007F2617">
          <w:rPr>
            <w:noProof/>
            <w:webHidden/>
          </w:rPr>
        </w:r>
        <w:r w:rsidR="007F2617">
          <w:rPr>
            <w:noProof/>
            <w:webHidden/>
          </w:rPr>
          <w:fldChar w:fldCharType="separate"/>
        </w:r>
        <w:r w:rsidR="00301AD4">
          <w:rPr>
            <w:noProof/>
            <w:webHidden/>
          </w:rPr>
          <w:t>234</w:t>
        </w:r>
        <w:r w:rsidR="007F2617">
          <w:rPr>
            <w:noProof/>
            <w:webHidden/>
          </w:rPr>
          <w:fldChar w:fldCharType="end"/>
        </w:r>
      </w:hyperlink>
    </w:p>
    <w:p w14:paraId="1121AC65" w14:textId="6835FEA2" w:rsidR="007F2617" w:rsidRDefault="000E3509">
      <w:pPr>
        <w:pStyle w:val="TOC7"/>
        <w:rPr>
          <w:rFonts w:asciiTheme="minorHAnsi" w:eastAsiaTheme="minorEastAsia" w:hAnsiTheme="minorHAnsi" w:cstheme="minorBidi"/>
          <w:noProof/>
          <w:sz w:val="22"/>
          <w:szCs w:val="22"/>
        </w:rPr>
      </w:pPr>
      <w:hyperlink w:anchor="_Toc6473158" w:history="1">
        <w:r w:rsidR="007F2617" w:rsidRPr="00F83BBB">
          <w:rPr>
            <w:rStyle w:val="Hyperlink"/>
            <w:noProof/>
            <w:lang w:eastAsia="en-US"/>
          </w:rPr>
          <w:t xml:space="preserve">Table 11.20: Descriptive statistics for the </w:t>
        </w:r>
        <w:r w:rsidR="007F2617" w:rsidRPr="00F83BBB">
          <w:rPr>
            <w:rStyle w:val="Hyperlink"/>
            <w:i/>
            <w:iCs/>
            <w:noProof/>
            <w:lang w:eastAsia="en-US"/>
          </w:rPr>
          <w:t xml:space="preserve">similar to other Arabic </w:t>
        </w:r>
        <w:r w:rsidR="007F2617">
          <w:rPr>
            <w:rStyle w:val="Hyperlink"/>
            <w:i/>
            <w:iCs/>
            <w:noProof/>
            <w:lang w:eastAsia="en-US"/>
          </w:rPr>
          <w:br/>
        </w:r>
        <w:r w:rsidR="00F97841">
          <w:rPr>
            <w:rStyle w:val="Hyperlink"/>
            <w:i/>
            <w:iCs/>
            <w:noProof/>
            <w:lang w:eastAsia="en-US"/>
          </w:rPr>
          <w:t xml:space="preserve"> </w:t>
        </w:r>
        <w:r w:rsidR="007F2617" w:rsidRPr="00F83BBB">
          <w:rPr>
            <w:rStyle w:val="Hyperlink"/>
            <w:i/>
            <w:iCs/>
            <w:noProof/>
            <w:lang w:eastAsia="en-US"/>
          </w:rPr>
          <w:t>dialects</w:t>
        </w:r>
        <w:r w:rsidR="007F2617" w:rsidRPr="00F83BBB">
          <w:rPr>
            <w:rStyle w:val="Hyperlink"/>
            <w:noProof/>
            <w:lang w:eastAsia="en-US"/>
          </w:rPr>
          <w:t xml:space="preserve"> characteristic across the samples.</w:t>
        </w:r>
        <w:r w:rsidR="007F2617">
          <w:rPr>
            <w:noProof/>
            <w:webHidden/>
          </w:rPr>
          <w:tab/>
        </w:r>
        <w:r w:rsidR="007F2617">
          <w:rPr>
            <w:noProof/>
            <w:webHidden/>
          </w:rPr>
          <w:fldChar w:fldCharType="begin"/>
        </w:r>
        <w:r w:rsidR="007F2617">
          <w:rPr>
            <w:noProof/>
            <w:webHidden/>
          </w:rPr>
          <w:instrText xml:space="preserve"> PAGEREF _Toc6473158 \h </w:instrText>
        </w:r>
        <w:r w:rsidR="007F2617">
          <w:rPr>
            <w:noProof/>
            <w:webHidden/>
          </w:rPr>
        </w:r>
        <w:r w:rsidR="007F2617">
          <w:rPr>
            <w:noProof/>
            <w:webHidden/>
          </w:rPr>
          <w:fldChar w:fldCharType="separate"/>
        </w:r>
        <w:r w:rsidR="00301AD4">
          <w:rPr>
            <w:noProof/>
            <w:webHidden/>
          </w:rPr>
          <w:t>235</w:t>
        </w:r>
        <w:r w:rsidR="007F2617">
          <w:rPr>
            <w:noProof/>
            <w:webHidden/>
          </w:rPr>
          <w:fldChar w:fldCharType="end"/>
        </w:r>
      </w:hyperlink>
    </w:p>
    <w:p w14:paraId="53DF4C06" w14:textId="59FFD3E5" w:rsidR="007F2617" w:rsidRDefault="000E3509">
      <w:pPr>
        <w:pStyle w:val="TOC7"/>
        <w:rPr>
          <w:rFonts w:asciiTheme="minorHAnsi" w:eastAsiaTheme="minorEastAsia" w:hAnsiTheme="minorHAnsi" w:cstheme="minorBidi"/>
          <w:noProof/>
          <w:sz w:val="22"/>
          <w:szCs w:val="22"/>
        </w:rPr>
      </w:pPr>
      <w:hyperlink w:anchor="_Toc6473159" w:history="1">
        <w:r w:rsidR="007F2617" w:rsidRPr="00F83BBB">
          <w:rPr>
            <w:rStyle w:val="Hyperlink"/>
            <w:noProof/>
            <w:lang w:eastAsia="en-US"/>
          </w:rPr>
          <w:t xml:space="preserve">Table 11.21: Test of sphericity results for the </w:t>
        </w:r>
        <w:r w:rsidR="007F2617" w:rsidRPr="00F83BBB">
          <w:rPr>
            <w:rStyle w:val="Hyperlink"/>
            <w:i/>
            <w:iCs/>
            <w:noProof/>
            <w:lang w:eastAsia="en-US"/>
          </w:rPr>
          <w:t>traditional</w:t>
        </w:r>
        <w:r w:rsidR="007F2617" w:rsidRPr="00F83BBB">
          <w:rPr>
            <w:rStyle w:val="Hyperlink"/>
            <w:noProof/>
            <w:lang w:eastAsia="en-US"/>
          </w:rPr>
          <w:t xml:space="preserve"> characteristic </w:t>
        </w:r>
        <w:r w:rsidR="00F97841">
          <w:rPr>
            <w:rStyle w:val="Hyperlink"/>
            <w:noProof/>
            <w:lang w:eastAsia="en-US"/>
          </w:rPr>
          <w:t xml:space="preserve"> </w:t>
        </w:r>
        <w:r w:rsidR="00F97841">
          <w:rPr>
            <w:rStyle w:val="Hyperlink"/>
            <w:noProof/>
            <w:lang w:eastAsia="en-US"/>
          </w:rPr>
          <w:br/>
          <w:t xml:space="preserve"> </w:t>
        </w:r>
        <w:r w:rsidR="007F2617" w:rsidRPr="00F83BBB">
          <w:rPr>
            <w:rStyle w:val="Hyperlink"/>
            <w:noProof/>
            <w:lang w:eastAsia="en-US"/>
          </w:rPr>
          <w:t>across the samples.</w:t>
        </w:r>
        <w:r w:rsidR="007F2617">
          <w:rPr>
            <w:noProof/>
            <w:webHidden/>
          </w:rPr>
          <w:tab/>
        </w:r>
        <w:r w:rsidR="007F2617">
          <w:rPr>
            <w:noProof/>
            <w:webHidden/>
          </w:rPr>
          <w:fldChar w:fldCharType="begin"/>
        </w:r>
        <w:r w:rsidR="007F2617">
          <w:rPr>
            <w:noProof/>
            <w:webHidden/>
          </w:rPr>
          <w:instrText xml:space="preserve"> PAGEREF _Toc6473159 \h </w:instrText>
        </w:r>
        <w:r w:rsidR="007F2617">
          <w:rPr>
            <w:noProof/>
            <w:webHidden/>
          </w:rPr>
        </w:r>
        <w:r w:rsidR="007F2617">
          <w:rPr>
            <w:noProof/>
            <w:webHidden/>
          </w:rPr>
          <w:fldChar w:fldCharType="separate"/>
        </w:r>
        <w:r w:rsidR="00301AD4">
          <w:rPr>
            <w:noProof/>
            <w:webHidden/>
          </w:rPr>
          <w:t>235</w:t>
        </w:r>
        <w:r w:rsidR="007F2617">
          <w:rPr>
            <w:noProof/>
            <w:webHidden/>
          </w:rPr>
          <w:fldChar w:fldCharType="end"/>
        </w:r>
      </w:hyperlink>
    </w:p>
    <w:p w14:paraId="387457E6" w14:textId="271BB493" w:rsidR="007F2617" w:rsidRDefault="000E3509">
      <w:pPr>
        <w:pStyle w:val="TOC7"/>
        <w:rPr>
          <w:rFonts w:asciiTheme="minorHAnsi" w:eastAsiaTheme="minorEastAsia" w:hAnsiTheme="minorHAnsi" w:cstheme="minorBidi"/>
          <w:noProof/>
          <w:sz w:val="22"/>
          <w:szCs w:val="22"/>
        </w:rPr>
      </w:pPr>
      <w:hyperlink w:anchor="_Toc6473160" w:history="1">
        <w:r w:rsidR="007F2617" w:rsidRPr="00F83BBB">
          <w:rPr>
            <w:rStyle w:val="Hyperlink"/>
            <w:noProof/>
            <w:lang w:eastAsia="en-US"/>
          </w:rPr>
          <w:t xml:space="preserve">Table 11.22: Within-subjects test for the </w:t>
        </w:r>
        <w:r w:rsidR="007F2617" w:rsidRPr="00F83BBB">
          <w:rPr>
            <w:rStyle w:val="Hyperlink"/>
            <w:i/>
            <w:iCs/>
            <w:noProof/>
            <w:lang w:eastAsia="en-US"/>
          </w:rPr>
          <w:t>traditional</w:t>
        </w:r>
        <w:r w:rsidR="007F2617" w:rsidRPr="00F83BBB">
          <w:rPr>
            <w:rStyle w:val="Hyperlink"/>
            <w:noProof/>
            <w:lang w:eastAsia="en-US"/>
          </w:rPr>
          <w:t xml:space="preserve"> characteristic </w:t>
        </w:r>
        <w:r w:rsidR="007F2617">
          <w:rPr>
            <w:rStyle w:val="Hyperlink"/>
            <w:noProof/>
            <w:lang w:eastAsia="en-US"/>
          </w:rPr>
          <w:br/>
        </w:r>
        <w:r w:rsidR="00F97841">
          <w:rPr>
            <w:rStyle w:val="Hyperlink"/>
            <w:noProof/>
            <w:lang w:eastAsia="en-US"/>
          </w:rPr>
          <w:t xml:space="preserve"> </w:t>
        </w:r>
        <w:r w:rsidR="007F2617" w:rsidRPr="00F83BBB">
          <w:rPr>
            <w:rStyle w:val="Hyperlink"/>
            <w:noProof/>
            <w:lang w:eastAsia="en-US"/>
          </w:rPr>
          <w:t>across the samples.</w:t>
        </w:r>
        <w:r w:rsidR="007F2617">
          <w:rPr>
            <w:noProof/>
            <w:webHidden/>
          </w:rPr>
          <w:tab/>
        </w:r>
        <w:r w:rsidR="007F2617">
          <w:rPr>
            <w:noProof/>
            <w:webHidden/>
          </w:rPr>
          <w:fldChar w:fldCharType="begin"/>
        </w:r>
        <w:r w:rsidR="007F2617">
          <w:rPr>
            <w:noProof/>
            <w:webHidden/>
          </w:rPr>
          <w:instrText xml:space="preserve"> PAGEREF _Toc6473160 \h </w:instrText>
        </w:r>
        <w:r w:rsidR="007F2617">
          <w:rPr>
            <w:noProof/>
            <w:webHidden/>
          </w:rPr>
        </w:r>
        <w:r w:rsidR="007F2617">
          <w:rPr>
            <w:noProof/>
            <w:webHidden/>
          </w:rPr>
          <w:fldChar w:fldCharType="separate"/>
        </w:r>
        <w:r w:rsidR="00301AD4">
          <w:rPr>
            <w:noProof/>
            <w:webHidden/>
          </w:rPr>
          <w:t>235</w:t>
        </w:r>
        <w:r w:rsidR="007F2617">
          <w:rPr>
            <w:noProof/>
            <w:webHidden/>
          </w:rPr>
          <w:fldChar w:fldCharType="end"/>
        </w:r>
      </w:hyperlink>
    </w:p>
    <w:p w14:paraId="625CE499" w14:textId="653D8143" w:rsidR="007F2617" w:rsidRDefault="000E3509">
      <w:pPr>
        <w:pStyle w:val="TOC7"/>
        <w:rPr>
          <w:rFonts w:asciiTheme="minorHAnsi" w:eastAsiaTheme="minorEastAsia" w:hAnsiTheme="minorHAnsi" w:cstheme="minorBidi"/>
          <w:noProof/>
          <w:sz w:val="22"/>
          <w:szCs w:val="22"/>
        </w:rPr>
      </w:pPr>
      <w:hyperlink w:anchor="_Toc6473161" w:history="1">
        <w:r w:rsidR="007F2617" w:rsidRPr="00F83BBB">
          <w:rPr>
            <w:rStyle w:val="Hyperlink"/>
            <w:noProof/>
            <w:lang w:eastAsia="en-US"/>
          </w:rPr>
          <w:t xml:space="preserve">Table 11.23: Post-hoc test results for the </w:t>
        </w:r>
        <w:r w:rsidR="007F2617" w:rsidRPr="00F83BBB">
          <w:rPr>
            <w:rStyle w:val="Hyperlink"/>
            <w:i/>
            <w:iCs/>
            <w:noProof/>
            <w:lang w:eastAsia="en-US"/>
          </w:rPr>
          <w:t>traditional</w:t>
        </w:r>
        <w:r w:rsidR="007F2617" w:rsidRPr="00F83BBB">
          <w:rPr>
            <w:rStyle w:val="Hyperlink"/>
            <w:noProof/>
            <w:lang w:eastAsia="en-US"/>
          </w:rPr>
          <w:t xml:space="preserve"> characteristic </w:t>
        </w:r>
        <w:r w:rsidR="007F2617">
          <w:rPr>
            <w:rStyle w:val="Hyperlink"/>
            <w:noProof/>
            <w:lang w:eastAsia="en-US"/>
          </w:rPr>
          <w:br/>
        </w:r>
        <w:r w:rsidR="00F97841">
          <w:rPr>
            <w:rStyle w:val="Hyperlink"/>
            <w:noProof/>
            <w:lang w:eastAsia="en-US"/>
          </w:rPr>
          <w:t xml:space="preserve"> </w:t>
        </w:r>
        <w:r w:rsidR="007F2617" w:rsidRPr="00F83BBB">
          <w:rPr>
            <w:rStyle w:val="Hyperlink"/>
            <w:noProof/>
            <w:lang w:eastAsia="en-US"/>
          </w:rPr>
          <w:t>across the samples.</w:t>
        </w:r>
        <w:r w:rsidR="007F2617">
          <w:rPr>
            <w:noProof/>
            <w:webHidden/>
          </w:rPr>
          <w:tab/>
        </w:r>
        <w:r w:rsidR="007F2617">
          <w:rPr>
            <w:noProof/>
            <w:webHidden/>
          </w:rPr>
          <w:fldChar w:fldCharType="begin"/>
        </w:r>
        <w:r w:rsidR="007F2617">
          <w:rPr>
            <w:noProof/>
            <w:webHidden/>
          </w:rPr>
          <w:instrText xml:space="preserve"> PAGEREF _Toc6473161 \h </w:instrText>
        </w:r>
        <w:r w:rsidR="007F2617">
          <w:rPr>
            <w:noProof/>
            <w:webHidden/>
          </w:rPr>
        </w:r>
        <w:r w:rsidR="007F2617">
          <w:rPr>
            <w:noProof/>
            <w:webHidden/>
          </w:rPr>
          <w:fldChar w:fldCharType="separate"/>
        </w:r>
        <w:r w:rsidR="00301AD4">
          <w:rPr>
            <w:noProof/>
            <w:webHidden/>
          </w:rPr>
          <w:t>236</w:t>
        </w:r>
        <w:r w:rsidR="007F2617">
          <w:rPr>
            <w:noProof/>
            <w:webHidden/>
          </w:rPr>
          <w:fldChar w:fldCharType="end"/>
        </w:r>
      </w:hyperlink>
    </w:p>
    <w:p w14:paraId="20BABDD1" w14:textId="1EB5D53E" w:rsidR="007F2617" w:rsidRDefault="000E3509">
      <w:pPr>
        <w:pStyle w:val="TOC7"/>
        <w:rPr>
          <w:rFonts w:asciiTheme="minorHAnsi" w:eastAsiaTheme="minorEastAsia" w:hAnsiTheme="minorHAnsi" w:cstheme="minorBidi"/>
          <w:noProof/>
          <w:sz w:val="22"/>
          <w:szCs w:val="22"/>
        </w:rPr>
      </w:pPr>
      <w:hyperlink w:anchor="_Toc6473162" w:history="1">
        <w:r w:rsidR="007F2617" w:rsidRPr="00F83BBB">
          <w:rPr>
            <w:rStyle w:val="Hyperlink"/>
            <w:noProof/>
            <w:lang w:eastAsia="en-US"/>
          </w:rPr>
          <w:t xml:space="preserve">Table 11.24: Descriptive statistics for the </w:t>
        </w:r>
        <w:r w:rsidR="007F2617" w:rsidRPr="00F83BBB">
          <w:rPr>
            <w:rStyle w:val="Hyperlink"/>
            <w:i/>
            <w:iCs/>
            <w:noProof/>
            <w:lang w:eastAsia="en-US"/>
          </w:rPr>
          <w:t>traditional</w:t>
        </w:r>
        <w:r w:rsidR="007F2617" w:rsidRPr="00F83BBB">
          <w:rPr>
            <w:rStyle w:val="Hyperlink"/>
            <w:noProof/>
            <w:lang w:eastAsia="en-US"/>
          </w:rPr>
          <w:t xml:space="preserve"> characteristic </w:t>
        </w:r>
        <w:r w:rsidR="007F2617">
          <w:rPr>
            <w:rStyle w:val="Hyperlink"/>
            <w:noProof/>
            <w:lang w:eastAsia="en-US"/>
          </w:rPr>
          <w:br/>
        </w:r>
        <w:r w:rsidR="00F97841">
          <w:rPr>
            <w:rStyle w:val="Hyperlink"/>
            <w:noProof/>
            <w:lang w:eastAsia="en-US"/>
          </w:rPr>
          <w:t xml:space="preserve"> </w:t>
        </w:r>
        <w:r w:rsidR="007F2617" w:rsidRPr="00F83BBB">
          <w:rPr>
            <w:rStyle w:val="Hyperlink"/>
            <w:noProof/>
            <w:lang w:eastAsia="en-US"/>
          </w:rPr>
          <w:t>across the samples.</w:t>
        </w:r>
        <w:r w:rsidR="007F2617">
          <w:rPr>
            <w:noProof/>
            <w:webHidden/>
          </w:rPr>
          <w:tab/>
        </w:r>
        <w:r w:rsidR="007F2617">
          <w:rPr>
            <w:noProof/>
            <w:webHidden/>
          </w:rPr>
          <w:fldChar w:fldCharType="begin"/>
        </w:r>
        <w:r w:rsidR="007F2617">
          <w:rPr>
            <w:noProof/>
            <w:webHidden/>
          </w:rPr>
          <w:instrText xml:space="preserve"> PAGEREF _Toc6473162 \h </w:instrText>
        </w:r>
        <w:r w:rsidR="007F2617">
          <w:rPr>
            <w:noProof/>
            <w:webHidden/>
          </w:rPr>
        </w:r>
        <w:r w:rsidR="007F2617">
          <w:rPr>
            <w:noProof/>
            <w:webHidden/>
          </w:rPr>
          <w:fldChar w:fldCharType="separate"/>
        </w:r>
        <w:r w:rsidR="00301AD4">
          <w:rPr>
            <w:noProof/>
            <w:webHidden/>
          </w:rPr>
          <w:t>237</w:t>
        </w:r>
        <w:r w:rsidR="007F2617">
          <w:rPr>
            <w:noProof/>
            <w:webHidden/>
          </w:rPr>
          <w:fldChar w:fldCharType="end"/>
        </w:r>
      </w:hyperlink>
    </w:p>
    <w:p w14:paraId="3710B48C" w14:textId="76D9C231" w:rsidR="007F2617" w:rsidRDefault="000E3509">
      <w:pPr>
        <w:pStyle w:val="TOC7"/>
        <w:rPr>
          <w:rFonts w:asciiTheme="minorHAnsi" w:eastAsiaTheme="minorEastAsia" w:hAnsiTheme="minorHAnsi" w:cstheme="minorBidi"/>
          <w:noProof/>
          <w:sz w:val="22"/>
          <w:szCs w:val="22"/>
        </w:rPr>
      </w:pPr>
      <w:hyperlink w:anchor="_Toc6473163" w:history="1">
        <w:r w:rsidR="007F2617" w:rsidRPr="00F83BBB">
          <w:rPr>
            <w:rStyle w:val="Hyperlink"/>
            <w:noProof/>
            <w:lang w:eastAsia="en-US"/>
          </w:rPr>
          <w:t xml:space="preserve">Table 11.25: Test of sphericity results for the </w:t>
        </w:r>
        <w:r w:rsidR="007F2617" w:rsidRPr="00F83BBB">
          <w:rPr>
            <w:rStyle w:val="Hyperlink"/>
            <w:i/>
            <w:iCs/>
            <w:noProof/>
            <w:lang w:eastAsia="en-US"/>
          </w:rPr>
          <w:t>traditional</w:t>
        </w:r>
        <w:r w:rsidR="007F2617" w:rsidRPr="00F83BBB">
          <w:rPr>
            <w:rStyle w:val="Hyperlink"/>
            <w:noProof/>
            <w:lang w:eastAsia="en-US"/>
          </w:rPr>
          <w:t xml:space="preserve"> characteristic </w:t>
        </w:r>
        <w:r w:rsidR="00F97841">
          <w:rPr>
            <w:rStyle w:val="Hyperlink"/>
            <w:noProof/>
            <w:lang w:eastAsia="en-US"/>
          </w:rPr>
          <w:t xml:space="preserve"> </w:t>
        </w:r>
        <w:r w:rsidR="00F97841">
          <w:rPr>
            <w:rStyle w:val="Hyperlink"/>
            <w:noProof/>
            <w:lang w:eastAsia="en-US"/>
          </w:rPr>
          <w:br/>
          <w:t xml:space="preserve"> </w:t>
        </w:r>
        <w:r w:rsidR="007F2617" w:rsidRPr="00F83BBB">
          <w:rPr>
            <w:rStyle w:val="Hyperlink"/>
            <w:noProof/>
            <w:lang w:eastAsia="en-US"/>
          </w:rPr>
          <w:t>across the samples.</w:t>
        </w:r>
        <w:r w:rsidR="007F2617">
          <w:rPr>
            <w:noProof/>
            <w:webHidden/>
          </w:rPr>
          <w:tab/>
        </w:r>
        <w:r w:rsidR="007F2617">
          <w:rPr>
            <w:noProof/>
            <w:webHidden/>
          </w:rPr>
          <w:fldChar w:fldCharType="begin"/>
        </w:r>
        <w:r w:rsidR="007F2617">
          <w:rPr>
            <w:noProof/>
            <w:webHidden/>
          </w:rPr>
          <w:instrText xml:space="preserve"> PAGEREF _Toc6473163 \h </w:instrText>
        </w:r>
        <w:r w:rsidR="007F2617">
          <w:rPr>
            <w:noProof/>
            <w:webHidden/>
          </w:rPr>
        </w:r>
        <w:r w:rsidR="007F2617">
          <w:rPr>
            <w:noProof/>
            <w:webHidden/>
          </w:rPr>
          <w:fldChar w:fldCharType="separate"/>
        </w:r>
        <w:r w:rsidR="00301AD4">
          <w:rPr>
            <w:noProof/>
            <w:webHidden/>
          </w:rPr>
          <w:t>237</w:t>
        </w:r>
        <w:r w:rsidR="007F2617">
          <w:rPr>
            <w:noProof/>
            <w:webHidden/>
          </w:rPr>
          <w:fldChar w:fldCharType="end"/>
        </w:r>
      </w:hyperlink>
    </w:p>
    <w:p w14:paraId="16EB2C7D" w14:textId="166751FC" w:rsidR="007F2617" w:rsidRDefault="000E3509">
      <w:pPr>
        <w:pStyle w:val="TOC7"/>
        <w:rPr>
          <w:rFonts w:asciiTheme="minorHAnsi" w:eastAsiaTheme="minorEastAsia" w:hAnsiTheme="minorHAnsi" w:cstheme="minorBidi"/>
          <w:noProof/>
          <w:sz w:val="22"/>
          <w:szCs w:val="22"/>
        </w:rPr>
      </w:pPr>
      <w:hyperlink w:anchor="_Toc6473164" w:history="1">
        <w:r w:rsidR="007F2617" w:rsidRPr="00F83BBB">
          <w:rPr>
            <w:rStyle w:val="Hyperlink"/>
            <w:noProof/>
            <w:lang w:eastAsia="en-US"/>
          </w:rPr>
          <w:t xml:space="preserve">Table 11.26: Within-subject test results for the </w:t>
        </w:r>
        <w:r w:rsidR="007F2617" w:rsidRPr="00F83BBB">
          <w:rPr>
            <w:rStyle w:val="Hyperlink"/>
            <w:i/>
            <w:iCs/>
            <w:noProof/>
            <w:lang w:eastAsia="en-US"/>
          </w:rPr>
          <w:t xml:space="preserve">modern </w:t>
        </w:r>
        <w:r w:rsidR="007F2617" w:rsidRPr="00F83BBB">
          <w:rPr>
            <w:rStyle w:val="Hyperlink"/>
            <w:noProof/>
            <w:lang w:eastAsia="en-US"/>
          </w:rPr>
          <w:t xml:space="preserve">characteristic </w:t>
        </w:r>
        <w:r w:rsidR="007F2617">
          <w:rPr>
            <w:rStyle w:val="Hyperlink"/>
            <w:noProof/>
            <w:lang w:eastAsia="en-US"/>
          </w:rPr>
          <w:br/>
        </w:r>
        <w:r w:rsidR="00F97841">
          <w:rPr>
            <w:rStyle w:val="Hyperlink"/>
            <w:noProof/>
            <w:lang w:eastAsia="en-US"/>
          </w:rPr>
          <w:t xml:space="preserve"> </w:t>
        </w:r>
        <w:r w:rsidR="007F2617" w:rsidRPr="00F83BBB">
          <w:rPr>
            <w:rStyle w:val="Hyperlink"/>
            <w:noProof/>
            <w:lang w:eastAsia="en-US"/>
          </w:rPr>
          <w:t>across the samples.</w:t>
        </w:r>
        <w:r w:rsidR="007F2617">
          <w:rPr>
            <w:noProof/>
            <w:webHidden/>
          </w:rPr>
          <w:tab/>
        </w:r>
        <w:r w:rsidR="007F2617">
          <w:rPr>
            <w:noProof/>
            <w:webHidden/>
          </w:rPr>
          <w:fldChar w:fldCharType="begin"/>
        </w:r>
        <w:r w:rsidR="007F2617">
          <w:rPr>
            <w:noProof/>
            <w:webHidden/>
          </w:rPr>
          <w:instrText xml:space="preserve"> PAGEREF _Toc6473164 \h </w:instrText>
        </w:r>
        <w:r w:rsidR="007F2617">
          <w:rPr>
            <w:noProof/>
            <w:webHidden/>
          </w:rPr>
        </w:r>
        <w:r w:rsidR="007F2617">
          <w:rPr>
            <w:noProof/>
            <w:webHidden/>
          </w:rPr>
          <w:fldChar w:fldCharType="separate"/>
        </w:r>
        <w:r w:rsidR="00301AD4">
          <w:rPr>
            <w:noProof/>
            <w:webHidden/>
          </w:rPr>
          <w:t>238</w:t>
        </w:r>
        <w:r w:rsidR="007F2617">
          <w:rPr>
            <w:noProof/>
            <w:webHidden/>
          </w:rPr>
          <w:fldChar w:fldCharType="end"/>
        </w:r>
      </w:hyperlink>
    </w:p>
    <w:p w14:paraId="571671C7" w14:textId="52F61354" w:rsidR="007F2617" w:rsidRDefault="000E3509">
      <w:pPr>
        <w:pStyle w:val="TOC7"/>
        <w:rPr>
          <w:rFonts w:asciiTheme="minorHAnsi" w:eastAsiaTheme="minorEastAsia" w:hAnsiTheme="minorHAnsi" w:cstheme="minorBidi"/>
          <w:noProof/>
          <w:sz w:val="22"/>
          <w:szCs w:val="22"/>
        </w:rPr>
      </w:pPr>
      <w:hyperlink w:anchor="_Toc6473165" w:history="1">
        <w:r w:rsidR="007F2617" w:rsidRPr="00F83BBB">
          <w:rPr>
            <w:rStyle w:val="Hyperlink"/>
            <w:noProof/>
            <w:lang w:eastAsia="en-US"/>
          </w:rPr>
          <w:t xml:space="preserve">Table 11.27: Post-hoc test results for the </w:t>
        </w:r>
        <w:r w:rsidR="007F2617" w:rsidRPr="00F83BBB">
          <w:rPr>
            <w:rStyle w:val="Hyperlink"/>
            <w:i/>
            <w:iCs/>
            <w:noProof/>
            <w:lang w:eastAsia="en-US"/>
          </w:rPr>
          <w:t>modern</w:t>
        </w:r>
        <w:r w:rsidR="007F2617" w:rsidRPr="00F83BBB">
          <w:rPr>
            <w:rStyle w:val="Hyperlink"/>
            <w:noProof/>
            <w:lang w:eastAsia="en-US"/>
          </w:rPr>
          <w:t xml:space="preserve"> characteristic </w:t>
        </w:r>
        <w:r w:rsidR="007F2617">
          <w:rPr>
            <w:rStyle w:val="Hyperlink"/>
            <w:noProof/>
            <w:lang w:eastAsia="en-US"/>
          </w:rPr>
          <w:br/>
        </w:r>
        <w:r w:rsidR="00F97841">
          <w:rPr>
            <w:rStyle w:val="Hyperlink"/>
            <w:noProof/>
            <w:lang w:eastAsia="en-US"/>
          </w:rPr>
          <w:t xml:space="preserve"> </w:t>
        </w:r>
        <w:r w:rsidR="007F2617" w:rsidRPr="00F83BBB">
          <w:rPr>
            <w:rStyle w:val="Hyperlink"/>
            <w:noProof/>
            <w:lang w:eastAsia="en-US"/>
          </w:rPr>
          <w:t>across the samples.</w:t>
        </w:r>
        <w:r w:rsidR="007F2617">
          <w:rPr>
            <w:noProof/>
            <w:webHidden/>
          </w:rPr>
          <w:tab/>
        </w:r>
        <w:r w:rsidR="007F2617">
          <w:rPr>
            <w:noProof/>
            <w:webHidden/>
          </w:rPr>
          <w:fldChar w:fldCharType="begin"/>
        </w:r>
        <w:r w:rsidR="007F2617">
          <w:rPr>
            <w:noProof/>
            <w:webHidden/>
          </w:rPr>
          <w:instrText xml:space="preserve"> PAGEREF _Toc6473165 \h </w:instrText>
        </w:r>
        <w:r w:rsidR="007F2617">
          <w:rPr>
            <w:noProof/>
            <w:webHidden/>
          </w:rPr>
        </w:r>
        <w:r w:rsidR="007F2617">
          <w:rPr>
            <w:noProof/>
            <w:webHidden/>
          </w:rPr>
          <w:fldChar w:fldCharType="separate"/>
        </w:r>
        <w:r w:rsidR="00301AD4">
          <w:rPr>
            <w:noProof/>
            <w:webHidden/>
          </w:rPr>
          <w:t>238</w:t>
        </w:r>
        <w:r w:rsidR="007F2617">
          <w:rPr>
            <w:noProof/>
            <w:webHidden/>
          </w:rPr>
          <w:fldChar w:fldCharType="end"/>
        </w:r>
      </w:hyperlink>
    </w:p>
    <w:p w14:paraId="1317CC3E" w14:textId="7140513F" w:rsidR="007F2617" w:rsidRDefault="000E3509">
      <w:pPr>
        <w:pStyle w:val="TOC7"/>
        <w:rPr>
          <w:rFonts w:asciiTheme="minorHAnsi" w:eastAsiaTheme="minorEastAsia" w:hAnsiTheme="minorHAnsi" w:cstheme="minorBidi"/>
          <w:noProof/>
          <w:sz w:val="22"/>
          <w:szCs w:val="22"/>
        </w:rPr>
      </w:pPr>
      <w:hyperlink w:anchor="_Toc6473166" w:history="1">
        <w:r w:rsidR="007F2617" w:rsidRPr="00F83BBB">
          <w:rPr>
            <w:rStyle w:val="Hyperlink"/>
            <w:noProof/>
            <w:lang w:eastAsia="en-US"/>
          </w:rPr>
          <w:t xml:space="preserve">Table 11.28: Descriptive statistics for the </w:t>
        </w:r>
        <w:r w:rsidR="007F2617" w:rsidRPr="00F83BBB">
          <w:rPr>
            <w:rStyle w:val="Hyperlink"/>
            <w:i/>
            <w:iCs/>
            <w:noProof/>
            <w:lang w:eastAsia="en-US"/>
          </w:rPr>
          <w:t>modern</w:t>
        </w:r>
        <w:r w:rsidR="007F2617" w:rsidRPr="00F83BBB">
          <w:rPr>
            <w:rStyle w:val="Hyperlink"/>
            <w:noProof/>
            <w:lang w:eastAsia="en-US"/>
          </w:rPr>
          <w:t xml:space="preserve"> characteristic </w:t>
        </w:r>
        <w:r w:rsidR="007F2617">
          <w:rPr>
            <w:rStyle w:val="Hyperlink"/>
            <w:noProof/>
            <w:lang w:eastAsia="en-US"/>
          </w:rPr>
          <w:br/>
        </w:r>
        <w:r w:rsidR="00F97841">
          <w:rPr>
            <w:rStyle w:val="Hyperlink"/>
            <w:noProof/>
            <w:lang w:eastAsia="en-US"/>
          </w:rPr>
          <w:t xml:space="preserve"> </w:t>
        </w:r>
        <w:r w:rsidR="007F2617" w:rsidRPr="00F83BBB">
          <w:rPr>
            <w:rStyle w:val="Hyperlink"/>
            <w:noProof/>
            <w:lang w:eastAsia="en-US"/>
          </w:rPr>
          <w:t>across the samples.</w:t>
        </w:r>
        <w:r w:rsidR="007F2617">
          <w:rPr>
            <w:noProof/>
            <w:webHidden/>
          </w:rPr>
          <w:tab/>
        </w:r>
        <w:r w:rsidR="007F2617">
          <w:rPr>
            <w:noProof/>
            <w:webHidden/>
          </w:rPr>
          <w:fldChar w:fldCharType="begin"/>
        </w:r>
        <w:r w:rsidR="007F2617">
          <w:rPr>
            <w:noProof/>
            <w:webHidden/>
          </w:rPr>
          <w:instrText xml:space="preserve"> PAGEREF _Toc6473166 \h </w:instrText>
        </w:r>
        <w:r w:rsidR="007F2617">
          <w:rPr>
            <w:noProof/>
            <w:webHidden/>
          </w:rPr>
        </w:r>
        <w:r w:rsidR="007F2617">
          <w:rPr>
            <w:noProof/>
            <w:webHidden/>
          </w:rPr>
          <w:fldChar w:fldCharType="separate"/>
        </w:r>
        <w:r w:rsidR="00301AD4">
          <w:rPr>
            <w:noProof/>
            <w:webHidden/>
          </w:rPr>
          <w:t>239</w:t>
        </w:r>
        <w:r w:rsidR="007F2617">
          <w:rPr>
            <w:noProof/>
            <w:webHidden/>
          </w:rPr>
          <w:fldChar w:fldCharType="end"/>
        </w:r>
      </w:hyperlink>
    </w:p>
    <w:p w14:paraId="13031E0C" w14:textId="77777777" w:rsidR="007F2617" w:rsidRDefault="000E3509">
      <w:pPr>
        <w:pStyle w:val="TOC7"/>
        <w:rPr>
          <w:rFonts w:asciiTheme="minorHAnsi" w:eastAsiaTheme="minorEastAsia" w:hAnsiTheme="minorHAnsi" w:cstheme="minorBidi"/>
          <w:noProof/>
          <w:sz w:val="22"/>
          <w:szCs w:val="22"/>
        </w:rPr>
      </w:pPr>
      <w:hyperlink w:anchor="_Toc6473167" w:history="1">
        <w:r w:rsidR="007F2617" w:rsidRPr="00F83BBB">
          <w:rPr>
            <w:rStyle w:val="Hyperlink"/>
            <w:noProof/>
            <w:lang w:eastAsia="en-US"/>
          </w:rPr>
          <w:t>Table 11.29: Mean scores for rating scales of VS1.</w:t>
        </w:r>
        <w:r w:rsidR="007F2617">
          <w:rPr>
            <w:noProof/>
            <w:webHidden/>
          </w:rPr>
          <w:tab/>
        </w:r>
        <w:r w:rsidR="007F2617">
          <w:rPr>
            <w:noProof/>
            <w:webHidden/>
          </w:rPr>
          <w:fldChar w:fldCharType="begin"/>
        </w:r>
        <w:r w:rsidR="007F2617">
          <w:rPr>
            <w:noProof/>
            <w:webHidden/>
          </w:rPr>
          <w:instrText xml:space="preserve"> PAGEREF _Toc6473167 \h </w:instrText>
        </w:r>
        <w:r w:rsidR="007F2617">
          <w:rPr>
            <w:noProof/>
            <w:webHidden/>
          </w:rPr>
        </w:r>
        <w:r w:rsidR="007F2617">
          <w:rPr>
            <w:noProof/>
            <w:webHidden/>
          </w:rPr>
          <w:fldChar w:fldCharType="separate"/>
        </w:r>
        <w:r w:rsidR="00301AD4">
          <w:rPr>
            <w:noProof/>
            <w:webHidden/>
          </w:rPr>
          <w:t>239</w:t>
        </w:r>
        <w:r w:rsidR="007F2617">
          <w:rPr>
            <w:noProof/>
            <w:webHidden/>
          </w:rPr>
          <w:fldChar w:fldCharType="end"/>
        </w:r>
      </w:hyperlink>
    </w:p>
    <w:p w14:paraId="79A47CAF" w14:textId="77777777" w:rsidR="007F2617" w:rsidRDefault="000E3509">
      <w:pPr>
        <w:pStyle w:val="TOC7"/>
        <w:rPr>
          <w:rFonts w:asciiTheme="minorHAnsi" w:eastAsiaTheme="minorEastAsia" w:hAnsiTheme="minorHAnsi" w:cstheme="minorBidi"/>
          <w:noProof/>
          <w:sz w:val="22"/>
          <w:szCs w:val="22"/>
        </w:rPr>
      </w:pPr>
      <w:hyperlink w:anchor="_Toc6473168" w:history="1">
        <w:r w:rsidR="007F2617" w:rsidRPr="00F83BBB">
          <w:rPr>
            <w:rStyle w:val="Hyperlink"/>
            <w:noProof/>
            <w:lang w:eastAsia="en-US"/>
          </w:rPr>
          <w:t>Table 11.30: Mean scores for rating scales of VS3.</w:t>
        </w:r>
        <w:r w:rsidR="007F2617">
          <w:rPr>
            <w:noProof/>
            <w:webHidden/>
          </w:rPr>
          <w:tab/>
        </w:r>
        <w:r w:rsidR="007F2617">
          <w:rPr>
            <w:noProof/>
            <w:webHidden/>
          </w:rPr>
          <w:fldChar w:fldCharType="begin"/>
        </w:r>
        <w:r w:rsidR="007F2617">
          <w:rPr>
            <w:noProof/>
            <w:webHidden/>
          </w:rPr>
          <w:instrText xml:space="preserve"> PAGEREF _Toc6473168 \h </w:instrText>
        </w:r>
        <w:r w:rsidR="007F2617">
          <w:rPr>
            <w:noProof/>
            <w:webHidden/>
          </w:rPr>
        </w:r>
        <w:r w:rsidR="007F2617">
          <w:rPr>
            <w:noProof/>
            <w:webHidden/>
          </w:rPr>
          <w:fldChar w:fldCharType="separate"/>
        </w:r>
        <w:r w:rsidR="00301AD4">
          <w:rPr>
            <w:noProof/>
            <w:webHidden/>
          </w:rPr>
          <w:t>240</w:t>
        </w:r>
        <w:r w:rsidR="007F2617">
          <w:rPr>
            <w:noProof/>
            <w:webHidden/>
          </w:rPr>
          <w:fldChar w:fldCharType="end"/>
        </w:r>
      </w:hyperlink>
    </w:p>
    <w:p w14:paraId="36504CF8" w14:textId="77777777" w:rsidR="007F2617" w:rsidRDefault="000E3509">
      <w:pPr>
        <w:pStyle w:val="TOC7"/>
        <w:rPr>
          <w:rFonts w:asciiTheme="minorHAnsi" w:eastAsiaTheme="minorEastAsia" w:hAnsiTheme="minorHAnsi" w:cstheme="minorBidi"/>
          <w:noProof/>
          <w:sz w:val="22"/>
          <w:szCs w:val="22"/>
        </w:rPr>
      </w:pPr>
      <w:hyperlink w:anchor="_Toc6473169" w:history="1">
        <w:r w:rsidR="007F2617" w:rsidRPr="00F83BBB">
          <w:rPr>
            <w:rStyle w:val="Hyperlink"/>
            <w:noProof/>
            <w:lang w:eastAsia="en-US"/>
          </w:rPr>
          <w:t>Table 11.31: Mean scores for rating scales of VS2.</w:t>
        </w:r>
        <w:r w:rsidR="007F2617">
          <w:rPr>
            <w:noProof/>
            <w:webHidden/>
          </w:rPr>
          <w:tab/>
        </w:r>
        <w:r w:rsidR="007F2617">
          <w:rPr>
            <w:noProof/>
            <w:webHidden/>
          </w:rPr>
          <w:fldChar w:fldCharType="begin"/>
        </w:r>
        <w:r w:rsidR="007F2617">
          <w:rPr>
            <w:noProof/>
            <w:webHidden/>
          </w:rPr>
          <w:instrText xml:space="preserve"> PAGEREF _Toc6473169 \h </w:instrText>
        </w:r>
        <w:r w:rsidR="007F2617">
          <w:rPr>
            <w:noProof/>
            <w:webHidden/>
          </w:rPr>
        </w:r>
        <w:r w:rsidR="007F2617">
          <w:rPr>
            <w:noProof/>
            <w:webHidden/>
          </w:rPr>
          <w:fldChar w:fldCharType="separate"/>
        </w:r>
        <w:r w:rsidR="00301AD4">
          <w:rPr>
            <w:noProof/>
            <w:webHidden/>
          </w:rPr>
          <w:t>240</w:t>
        </w:r>
        <w:r w:rsidR="007F2617">
          <w:rPr>
            <w:noProof/>
            <w:webHidden/>
          </w:rPr>
          <w:fldChar w:fldCharType="end"/>
        </w:r>
      </w:hyperlink>
    </w:p>
    <w:p w14:paraId="41A5A8A0" w14:textId="77777777" w:rsidR="007F2617" w:rsidRDefault="000E3509">
      <w:pPr>
        <w:pStyle w:val="TOC7"/>
        <w:rPr>
          <w:rFonts w:asciiTheme="minorHAnsi" w:eastAsiaTheme="minorEastAsia" w:hAnsiTheme="minorHAnsi" w:cstheme="minorBidi"/>
          <w:noProof/>
          <w:sz w:val="22"/>
          <w:szCs w:val="22"/>
        </w:rPr>
      </w:pPr>
      <w:hyperlink w:anchor="_Toc6473170" w:history="1">
        <w:r w:rsidR="007F2617" w:rsidRPr="00F83BBB">
          <w:rPr>
            <w:rStyle w:val="Hyperlink"/>
            <w:noProof/>
            <w:lang w:eastAsia="en-US"/>
          </w:rPr>
          <w:t>Table 11.32: Mean scores for rating scales of VS4.</w:t>
        </w:r>
        <w:r w:rsidR="007F2617">
          <w:rPr>
            <w:noProof/>
            <w:webHidden/>
          </w:rPr>
          <w:tab/>
        </w:r>
        <w:r w:rsidR="007F2617">
          <w:rPr>
            <w:noProof/>
            <w:webHidden/>
          </w:rPr>
          <w:fldChar w:fldCharType="begin"/>
        </w:r>
        <w:r w:rsidR="007F2617">
          <w:rPr>
            <w:noProof/>
            <w:webHidden/>
          </w:rPr>
          <w:instrText xml:space="preserve"> PAGEREF _Toc6473170 \h </w:instrText>
        </w:r>
        <w:r w:rsidR="007F2617">
          <w:rPr>
            <w:noProof/>
            <w:webHidden/>
          </w:rPr>
        </w:r>
        <w:r w:rsidR="007F2617">
          <w:rPr>
            <w:noProof/>
            <w:webHidden/>
          </w:rPr>
          <w:fldChar w:fldCharType="separate"/>
        </w:r>
        <w:r w:rsidR="00301AD4">
          <w:rPr>
            <w:noProof/>
            <w:webHidden/>
          </w:rPr>
          <w:t>241</w:t>
        </w:r>
        <w:r w:rsidR="007F2617">
          <w:rPr>
            <w:noProof/>
            <w:webHidden/>
          </w:rPr>
          <w:fldChar w:fldCharType="end"/>
        </w:r>
      </w:hyperlink>
    </w:p>
    <w:p w14:paraId="0B42D67F" w14:textId="77777777" w:rsidR="007F2617" w:rsidRDefault="000E3509">
      <w:pPr>
        <w:pStyle w:val="TOC7"/>
        <w:rPr>
          <w:rFonts w:asciiTheme="minorHAnsi" w:eastAsiaTheme="minorEastAsia" w:hAnsiTheme="minorHAnsi" w:cstheme="minorBidi"/>
          <w:noProof/>
          <w:sz w:val="22"/>
          <w:szCs w:val="22"/>
        </w:rPr>
      </w:pPr>
      <w:hyperlink w:anchor="_Toc6473171" w:history="1">
        <w:r w:rsidR="007F2617" w:rsidRPr="00F83BBB">
          <w:rPr>
            <w:rStyle w:val="Hyperlink"/>
            <w:noProof/>
            <w:lang w:eastAsia="en-US"/>
          </w:rPr>
          <w:t>Table 11.33: Mean scores for rating scales of VS5.</w:t>
        </w:r>
        <w:r w:rsidR="007F2617">
          <w:rPr>
            <w:noProof/>
            <w:webHidden/>
          </w:rPr>
          <w:tab/>
        </w:r>
        <w:r w:rsidR="007F2617">
          <w:rPr>
            <w:noProof/>
            <w:webHidden/>
          </w:rPr>
          <w:fldChar w:fldCharType="begin"/>
        </w:r>
        <w:r w:rsidR="007F2617">
          <w:rPr>
            <w:noProof/>
            <w:webHidden/>
          </w:rPr>
          <w:instrText xml:space="preserve"> PAGEREF _Toc6473171 \h </w:instrText>
        </w:r>
        <w:r w:rsidR="007F2617">
          <w:rPr>
            <w:noProof/>
            <w:webHidden/>
          </w:rPr>
        </w:r>
        <w:r w:rsidR="007F2617">
          <w:rPr>
            <w:noProof/>
            <w:webHidden/>
          </w:rPr>
          <w:fldChar w:fldCharType="separate"/>
        </w:r>
        <w:r w:rsidR="00301AD4">
          <w:rPr>
            <w:noProof/>
            <w:webHidden/>
          </w:rPr>
          <w:t>241</w:t>
        </w:r>
        <w:r w:rsidR="007F2617">
          <w:rPr>
            <w:noProof/>
            <w:webHidden/>
          </w:rPr>
          <w:fldChar w:fldCharType="end"/>
        </w:r>
      </w:hyperlink>
    </w:p>
    <w:p w14:paraId="1E2B8DD8" w14:textId="77777777" w:rsidR="007F2617" w:rsidRDefault="000E3509">
      <w:pPr>
        <w:pStyle w:val="TOC7"/>
        <w:rPr>
          <w:rFonts w:asciiTheme="minorHAnsi" w:eastAsiaTheme="minorEastAsia" w:hAnsiTheme="minorHAnsi" w:cstheme="minorBidi"/>
          <w:noProof/>
          <w:sz w:val="22"/>
          <w:szCs w:val="22"/>
        </w:rPr>
      </w:pPr>
      <w:hyperlink w:anchor="_Toc6473172" w:history="1">
        <w:r w:rsidR="007F2617" w:rsidRPr="00F83BBB">
          <w:rPr>
            <w:rStyle w:val="Hyperlink"/>
            <w:noProof/>
          </w:rPr>
          <w:t>Table 11.34: ANOVA statistics for social group demographic variable.</w:t>
        </w:r>
        <w:r w:rsidR="007F2617">
          <w:rPr>
            <w:noProof/>
            <w:webHidden/>
          </w:rPr>
          <w:tab/>
        </w:r>
        <w:r w:rsidR="007F2617">
          <w:rPr>
            <w:noProof/>
            <w:webHidden/>
          </w:rPr>
          <w:fldChar w:fldCharType="begin"/>
        </w:r>
        <w:r w:rsidR="007F2617">
          <w:rPr>
            <w:noProof/>
            <w:webHidden/>
          </w:rPr>
          <w:instrText xml:space="preserve"> PAGEREF _Toc6473172 \h </w:instrText>
        </w:r>
        <w:r w:rsidR="007F2617">
          <w:rPr>
            <w:noProof/>
            <w:webHidden/>
          </w:rPr>
        </w:r>
        <w:r w:rsidR="007F2617">
          <w:rPr>
            <w:noProof/>
            <w:webHidden/>
          </w:rPr>
          <w:fldChar w:fldCharType="separate"/>
        </w:r>
        <w:r w:rsidR="00301AD4">
          <w:rPr>
            <w:noProof/>
            <w:webHidden/>
          </w:rPr>
          <w:t>245</w:t>
        </w:r>
        <w:r w:rsidR="007F2617">
          <w:rPr>
            <w:noProof/>
            <w:webHidden/>
          </w:rPr>
          <w:fldChar w:fldCharType="end"/>
        </w:r>
      </w:hyperlink>
    </w:p>
    <w:p w14:paraId="07ED6ACB" w14:textId="5CB60D56" w:rsidR="007F2617" w:rsidRDefault="000E3509">
      <w:pPr>
        <w:pStyle w:val="TOC7"/>
        <w:rPr>
          <w:rFonts w:asciiTheme="minorHAnsi" w:eastAsiaTheme="minorEastAsia" w:hAnsiTheme="minorHAnsi" w:cstheme="minorBidi"/>
          <w:noProof/>
          <w:sz w:val="22"/>
          <w:szCs w:val="22"/>
        </w:rPr>
      </w:pPr>
      <w:hyperlink w:anchor="_Toc6473173" w:history="1">
        <w:r w:rsidR="007F2617" w:rsidRPr="00F83BBB">
          <w:rPr>
            <w:rStyle w:val="Hyperlink"/>
            <w:noProof/>
            <w:lang w:eastAsia="en-US"/>
          </w:rPr>
          <w:t xml:space="preserve">Table 11.35: Descriptive statistics for social group demographic </w:t>
        </w:r>
        <w:r w:rsidR="007F2617">
          <w:rPr>
            <w:rStyle w:val="Hyperlink"/>
            <w:noProof/>
            <w:lang w:eastAsia="en-US"/>
          </w:rPr>
          <w:br/>
        </w:r>
        <w:r w:rsidR="007F2617" w:rsidRPr="00F83BBB">
          <w:rPr>
            <w:rStyle w:val="Hyperlink"/>
            <w:noProof/>
            <w:lang w:eastAsia="en-US"/>
          </w:rPr>
          <w:t>variable.</w:t>
        </w:r>
        <w:r w:rsidR="007F2617">
          <w:rPr>
            <w:noProof/>
            <w:webHidden/>
          </w:rPr>
          <w:tab/>
        </w:r>
        <w:r w:rsidR="007F2617">
          <w:rPr>
            <w:noProof/>
            <w:webHidden/>
          </w:rPr>
          <w:fldChar w:fldCharType="begin"/>
        </w:r>
        <w:r w:rsidR="007F2617">
          <w:rPr>
            <w:noProof/>
            <w:webHidden/>
          </w:rPr>
          <w:instrText xml:space="preserve"> PAGEREF _Toc6473173 \h </w:instrText>
        </w:r>
        <w:r w:rsidR="007F2617">
          <w:rPr>
            <w:noProof/>
            <w:webHidden/>
          </w:rPr>
        </w:r>
        <w:r w:rsidR="007F2617">
          <w:rPr>
            <w:noProof/>
            <w:webHidden/>
          </w:rPr>
          <w:fldChar w:fldCharType="separate"/>
        </w:r>
        <w:r w:rsidR="00301AD4">
          <w:rPr>
            <w:noProof/>
            <w:webHidden/>
          </w:rPr>
          <w:t>246</w:t>
        </w:r>
        <w:r w:rsidR="007F2617">
          <w:rPr>
            <w:noProof/>
            <w:webHidden/>
          </w:rPr>
          <w:fldChar w:fldCharType="end"/>
        </w:r>
      </w:hyperlink>
    </w:p>
    <w:p w14:paraId="3A26A0A0" w14:textId="764FE56E" w:rsidR="007F2617" w:rsidRDefault="000E3509">
      <w:pPr>
        <w:pStyle w:val="TOC7"/>
        <w:rPr>
          <w:rFonts w:asciiTheme="minorHAnsi" w:eastAsiaTheme="minorEastAsia" w:hAnsiTheme="minorHAnsi" w:cstheme="minorBidi"/>
          <w:noProof/>
          <w:sz w:val="22"/>
          <w:szCs w:val="22"/>
        </w:rPr>
      </w:pPr>
      <w:hyperlink w:anchor="_Toc6473174" w:history="1">
        <w:r w:rsidR="007F2617" w:rsidRPr="00F83BBB">
          <w:rPr>
            <w:rStyle w:val="Hyperlink"/>
            <w:noProof/>
          </w:rPr>
          <w:t xml:space="preserve">Table 11.36: ANOVA statistics for social group demographic </w:t>
        </w:r>
        <w:r w:rsidR="007F2617">
          <w:rPr>
            <w:rStyle w:val="Hyperlink"/>
            <w:noProof/>
          </w:rPr>
          <w:br/>
        </w:r>
        <w:r w:rsidR="007F2617" w:rsidRPr="00F83BBB">
          <w:rPr>
            <w:rStyle w:val="Hyperlink"/>
            <w:noProof/>
          </w:rPr>
          <w:t>variable.</w:t>
        </w:r>
        <w:r w:rsidR="007F2617">
          <w:rPr>
            <w:noProof/>
            <w:webHidden/>
          </w:rPr>
          <w:tab/>
        </w:r>
        <w:r w:rsidR="007F2617">
          <w:rPr>
            <w:noProof/>
            <w:webHidden/>
          </w:rPr>
          <w:fldChar w:fldCharType="begin"/>
        </w:r>
        <w:r w:rsidR="007F2617">
          <w:rPr>
            <w:noProof/>
            <w:webHidden/>
          </w:rPr>
          <w:instrText xml:space="preserve"> PAGEREF _Toc6473174 \h </w:instrText>
        </w:r>
        <w:r w:rsidR="007F2617">
          <w:rPr>
            <w:noProof/>
            <w:webHidden/>
          </w:rPr>
        </w:r>
        <w:r w:rsidR="007F2617">
          <w:rPr>
            <w:noProof/>
            <w:webHidden/>
          </w:rPr>
          <w:fldChar w:fldCharType="separate"/>
        </w:r>
        <w:r w:rsidR="00301AD4">
          <w:rPr>
            <w:noProof/>
            <w:webHidden/>
          </w:rPr>
          <w:t>247</w:t>
        </w:r>
        <w:r w:rsidR="007F2617">
          <w:rPr>
            <w:noProof/>
            <w:webHidden/>
          </w:rPr>
          <w:fldChar w:fldCharType="end"/>
        </w:r>
      </w:hyperlink>
    </w:p>
    <w:p w14:paraId="76ECDA69" w14:textId="79289DD5" w:rsidR="007F2617" w:rsidRDefault="000E3509">
      <w:pPr>
        <w:pStyle w:val="TOC7"/>
        <w:rPr>
          <w:rFonts w:asciiTheme="minorHAnsi" w:eastAsiaTheme="minorEastAsia" w:hAnsiTheme="minorHAnsi" w:cstheme="minorBidi"/>
          <w:noProof/>
          <w:sz w:val="22"/>
          <w:szCs w:val="22"/>
        </w:rPr>
      </w:pPr>
      <w:hyperlink w:anchor="_Toc6473175" w:history="1">
        <w:r w:rsidR="007F2617" w:rsidRPr="00F83BBB">
          <w:rPr>
            <w:rStyle w:val="Hyperlink"/>
            <w:noProof/>
            <w:lang w:eastAsia="en-US"/>
          </w:rPr>
          <w:t xml:space="preserve">Table 11.37: Descriptive statistics for social group demographic </w:t>
        </w:r>
        <w:r w:rsidR="007F2617">
          <w:rPr>
            <w:rStyle w:val="Hyperlink"/>
            <w:noProof/>
            <w:lang w:eastAsia="en-US"/>
          </w:rPr>
          <w:br/>
        </w:r>
        <w:r w:rsidR="007F2617" w:rsidRPr="00F83BBB">
          <w:rPr>
            <w:rStyle w:val="Hyperlink"/>
            <w:noProof/>
            <w:lang w:eastAsia="en-US"/>
          </w:rPr>
          <w:t>variable.</w:t>
        </w:r>
        <w:r w:rsidR="007F2617">
          <w:rPr>
            <w:noProof/>
            <w:webHidden/>
          </w:rPr>
          <w:tab/>
        </w:r>
        <w:r w:rsidR="007F2617">
          <w:rPr>
            <w:noProof/>
            <w:webHidden/>
          </w:rPr>
          <w:fldChar w:fldCharType="begin"/>
        </w:r>
        <w:r w:rsidR="007F2617">
          <w:rPr>
            <w:noProof/>
            <w:webHidden/>
          </w:rPr>
          <w:instrText xml:space="preserve"> PAGEREF _Toc6473175 \h </w:instrText>
        </w:r>
        <w:r w:rsidR="007F2617">
          <w:rPr>
            <w:noProof/>
            <w:webHidden/>
          </w:rPr>
        </w:r>
        <w:r w:rsidR="007F2617">
          <w:rPr>
            <w:noProof/>
            <w:webHidden/>
          </w:rPr>
          <w:fldChar w:fldCharType="separate"/>
        </w:r>
        <w:r w:rsidR="00301AD4">
          <w:rPr>
            <w:noProof/>
            <w:webHidden/>
          </w:rPr>
          <w:t>247</w:t>
        </w:r>
        <w:r w:rsidR="007F2617">
          <w:rPr>
            <w:noProof/>
            <w:webHidden/>
          </w:rPr>
          <w:fldChar w:fldCharType="end"/>
        </w:r>
      </w:hyperlink>
    </w:p>
    <w:p w14:paraId="7783E880" w14:textId="4B04E223" w:rsidR="007F2617" w:rsidRDefault="000E3509">
      <w:pPr>
        <w:pStyle w:val="TOC7"/>
        <w:rPr>
          <w:rFonts w:asciiTheme="minorHAnsi" w:eastAsiaTheme="minorEastAsia" w:hAnsiTheme="minorHAnsi" w:cstheme="minorBidi"/>
          <w:noProof/>
          <w:sz w:val="22"/>
          <w:szCs w:val="22"/>
        </w:rPr>
      </w:pPr>
      <w:hyperlink w:anchor="_Toc6473176" w:history="1">
        <w:r w:rsidR="007F2617" w:rsidRPr="00F83BBB">
          <w:rPr>
            <w:rStyle w:val="Hyperlink"/>
            <w:noProof/>
          </w:rPr>
          <w:t xml:space="preserve">Table 11.38: ANOVA statistics for mother’s social group </w:t>
        </w:r>
        <w:r w:rsidR="007F2617">
          <w:rPr>
            <w:rStyle w:val="Hyperlink"/>
            <w:noProof/>
          </w:rPr>
          <w:br/>
        </w:r>
        <w:r w:rsidR="00F97841">
          <w:rPr>
            <w:rStyle w:val="Hyperlink"/>
            <w:noProof/>
          </w:rPr>
          <w:t xml:space="preserve"> </w:t>
        </w:r>
        <w:r w:rsidR="007F2617" w:rsidRPr="00F83BBB">
          <w:rPr>
            <w:rStyle w:val="Hyperlink"/>
            <w:noProof/>
          </w:rPr>
          <w:t>demographic variable.</w:t>
        </w:r>
        <w:r w:rsidR="007F2617">
          <w:rPr>
            <w:noProof/>
            <w:webHidden/>
          </w:rPr>
          <w:tab/>
        </w:r>
        <w:r w:rsidR="007F2617">
          <w:rPr>
            <w:noProof/>
            <w:webHidden/>
          </w:rPr>
          <w:fldChar w:fldCharType="begin"/>
        </w:r>
        <w:r w:rsidR="007F2617">
          <w:rPr>
            <w:noProof/>
            <w:webHidden/>
          </w:rPr>
          <w:instrText xml:space="preserve"> PAGEREF _Toc6473176 \h </w:instrText>
        </w:r>
        <w:r w:rsidR="007F2617">
          <w:rPr>
            <w:noProof/>
            <w:webHidden/>
          </w:rPr>
        </w:r>
        <w:r w:rsidR="007F2617">
          <w:rPr>
            <w:noProof/>
            <w:webHidden/>
          </w:rPr>
          <w:fldChar w:fldCharType="separate"/>
        </w:r>
        <w:r w:rsidR="00301AD4">
          <w:rPr>
            <w:noProof/>
            <w:webHidden/>
          </w:rPr>
          <w:t>247</w:t>
        </w:r>
        <w:r w:rsidR="007F2617">
          <w:rPr>
            <w:noProof/>
            <w:webHidden/>
          </w:rPr>
          <w:fldChar w:fldCharType="end"/>
        </w:r>
      </w:hyperlink>
    </w:p>
    <w:p w14:paraId="1A7B682B" w14:textId="6FBD60E2" w:rsidR="007F2617" w:rsidRDefault="000E3509">
      <w:pPr>
        <w:pStyle w:val="TOC7"/>
        <w:rPr>
          <w:rFonts w:asciiTheme="minorHAnsi" w:eastAsiaTheme="minorEastAsia" w:hAnsiTheme="minorHAnsi" w:cstheme="minorBidi"/>
          <w:noProof/>
          <w:sz w:val="22"/>
          <w:szCs w:val="22"/>
        </w:rPr>
      </w:pPr>
      <w:hyperlink w:anchor="_Toc6473177" w:history="1">
        <w:r w:rsidR="007F2617" w:rsidRPr="00F83BBB">
          <w:rPr>
            <w:rStyle w:val="Hyperlink"/>
            <w:noProof/>
            <w:lang w:eastAsia="en-US"/>
          </w:rPr>
          <w:t xml:space="preserve">Table 11.39: Post-hoc test for mother’s social group demographic </w:t>
        </w:r>
        <w:r w:rsidR="007F2617">
          <w:rPr>
            <w:rStyle w:val="Hyperlink"/>
            <w:noProof/>
            <w:lang w:eastAsia="en-US"/>
          </w:rPr>
          <w:br/>
        </w:r>
        <w:r w:rsidR="00F97841">
          <w:rPr>
            <w:rStyle w:val="Hyperlink"/>
            <w:noProof/>
            <w:lang w:eastAsia="en-US"/>
          </w:rPr>
          <w:t xml:space="preserve"> </w:t>
        </w:r>
        <w:r w:rsidR="007F2617" w:rsidRPr="00F83BBB">
          <w:rPr>
            <w:rStyle w:val="Hyperlink"/>
            <w:noProof/>
            <w:lang w:eastAsia="en-US"/>
          </w:rPr>
          <w:t>variable.</w:t>
        </w:r>
        <w:r w:rsidR="007F2617">
          <w:rPr>
            <w:noProof/>
            <w:webHidden/>
          </w:rPr>
          <w:tab/>
        </w:r>
        <w:r w:rsidR="007F2617">
          <w:rPr>
            <w:noProof/>
            <w:webHidden/>
          </w:rPr>
          <w:fldChar w:fldCharType="begin"/>
        </w:r>
        <w:r w:rsidR="007F2617">
          <w:rPr>
            <w:noProof/>
            <w:webHidden/>
          </w:rPr>
          <w:instrText xml:space="preserve"> PAGEREF _Toc6473177 \h </w:instrText>
        </w:r>
        <w:r w:rsidR="007F2617">
          <w:rPr>
            <w:noProof/>
            <w:webHidden/>
          </w:rPr>
        </w:r>
        <w:r w:rsidR="007F2617">
          <w:rPr>
            <w:noProof/>
            <w:webHidden/>
          </w:rPr>
          <w:fldChar w:fldCharType="separate"/>
        </w:r>
        <w:r w:rsidR="00301AD4">
          <w:rPr>
            <w:noProof/>
            <w:webHidden/>
          </w:rPr>
          <w:t>247</w:t>
        </w:r>
        <w:r w:rsidR="007F2617">
          <w:rPr>
            <w:noProof/>
            <w:webHidden/>
          </w:rPr>
          <w:fldChar w:fldCharType="end"/>
        </w:r>
      </w:hyperlink>
    </w:p>
    <w:p w14:paraId="0B58023B" w14:textId="7ECA0F2B" w:rsidR="007F2617" w:rsidRDefault="000E3509">
      <w:pPr>
        <w:pStyle w:val="TOC7"/>
        <w:rPr>
          <w:rFonts w:asciiTheme="minorHAnsi" w:eastAsiaTheme="minorEastAsia" w:hAnsiTheme="minorHAnsi" w:cstheme="minorBidi"/>
          <w:noProof/>
          <w:sz w:val="22"/>
          <w:szCs w:val="22"/>
        </w:rPr>
      </w:pPr>
      <w:hyperlink w:anchor="_Toc6473178" w:history="1">
        <w:r w:rsidR="007F2617" w:rsidRPr="00F83BBB">
          <w:rPr>
            <w:rStyle w:val="Hyperlink"/>
            <w:noProof/>
          </w:rPr>
          <w:t xml:space="preserve">Table 11.40: ANOVA statistics for spouse’s social group demographic </w:t>
        </w:r>
        <w:r w:rsidR="00F97841">
          <w:rPr>
            <w:rStyle w:val="Hyperlink"/>
            <w:noProof/>
          </w:rPr>
          <w:t xml:space="preserve"> </w:t>
        </w:r>
        <w:r w:rsidR="007F2617" w:rsidRPr="00F83BBB">
          <w:rPr>
            <w:rStyle w:val="Hyperlink"/>
            <w:noProof/>
          </w:rPr>
          <w:t>variable.</w:t>
        </w:r>
        <w:r w:rsidR="007F2617">
          <w:rPr>
            <w:noProof/>
            <w:webHidden/>
          </w:rPr>
          <w:tab/>
        </w:r>
        <w:r w:rsidR="007F2617">
          <w:rPr>
            <w:noProof/>
            <w:webHidden/>
          </w:rPr>
          <w:fldChar w:fldCharType="begin"/>
        </w:r>
        <w:r w:rsidR="007F2617">
          <w:rPr>
            <w:noProof/>
            <w:webHidden/>
          </w:rPr>
          <w:instrText xml:space="preserve"> PAGEREF _Toc6473178 \h </w:instrText>
        </w:r>
        <w:r w:rsidR="007F2617">
          <w:rPr>
            <w:noProof/>
            <w:webHidden/>
          </w:rPr>
        </w:r>
        <w:r w:rsidR="007F2617">
          <w:rPr>
            <w:noProof/>
            <w:webHidden/>
          </w:rPr>
          <w:fldChar w:fldCharType="separate"/>
        </w:r>
        <w:r w:rsidR="00301AD4">
          <w:rPr>
            <w:noProof/>
            <w:webHidden/>
          </w:rPr>
          <w:t>248</w:t>
        </w:r>
        <w:r w:rsidR="007F2617">
          <w:rPr>
            <w:noProof/>
            <w:webHidden/>
          </w:rPr>
          <w:fldChar w:fldCharType="end"/>
        </w:r>
      </w:hyperlink>
    </w:p>
    <w:p w14:paraId="4A5A4549" w14:textId="4C4F84E8" w:rsidR="007F2617" w:rsidRDefault="000E3509">
      <w:pPr>
        <w:pStyle w:val="TOC7"/>
        <w:rPr>
          <w:rFonts w:asciiTheme="minorHAnsi" w:eastAsiaTheme="minorEastAsia" w:hAnsiTheme="minorHAnsi" w:cstheme="minorBidi"/>
          <w:noProof/>
          <w:sz w:val="22"/>
          <w:szCs w:val="22"/>
        </w:rPr>
      </w:pPr>
      <w:hyperlink w:anchor="_Toc6473179" w:history="1">
        <w:r w:rsidR="007F2617" w:rsidRPr="00F83BBB">
          <w:rPr>
            <w:rStyle w:val="Hyperlink"/>
            <w:noProof/>
            <w:lang w:eastAsia="en-US"/>
          </w:rPr>
          <w:t xml:space="preserve">Table 11.41: Descriptive statistics for spouse’s social group </w:t>
        </w:r>
        <w:r w:rsidR="007F2617">
          <w:rPr>
            <w:rStyle w:val="Hyperlink"/>
            <w:noProof/>
            <w:lang w:eastAsia="en-US"/>
          </w:rPr>
          <w:br/>
        </w:r>
        <w:r w:rsidR="007F2617" w:rsidRPr="00F83BBB">
          <w:rPr>
            <w:rStyle w:val="Hyperlink"/>
            <w:noProof/>
            <w:lang w:eastAsia="en-US"/>
          </w:rPr>
          <w:t>demographic variable.</w:t>
        </w:r>
        <w:r w:rsidR="007F2617">
          <w:rPr>
            <w:noProof/>
            <w:webHidden/>
          </w:rPr>
          <w:tab/>
        </w:r>
        <w:r w:rsidR="007F2617">
          <w:rPr>
            <w:noProof/>
            <w:webHidden/>
          </w:rPr>
          <w:fldChar w:fldCharType="begin"/>
        </w:r>
        <w:r w:rsidR="007F2617">
          <w:rPr>
            <w:noProof/>
            <w:webHidden/>
          </w:rPr>
          <w:instrText xml:space="preserve"> PAGEREF _Toc6473179 \h </w:instrText>
        </w:r>
        <w:r w:rsidR="007F2617">
          <w:rPr>
            <w:noProof/>
            <w:webHidden/>
          </w:rPr>
        </w:r>
        <w:r w:rsidR="007F2617">
          <w:rPr>
            <w:noProof/>
            <w:webHidden/>
          </w:rPr>
          <w:fldChar w:fldCharType="separate"/>
        </w:r>
        <w:r w:rsidR="00301AD4">
          <w:rPr>
            <w:noProof/>
            <w:webHidden/>
          </w:rPr>
          <w:t>249</w:t>
        </w:r>
        <w:r w:rsidR="007F2617">
          <w:rPr>
            <w:noProof/>
            <w:webHidden/>
          </w:rPr>
          <w:fldChar w:fldCharType="end"/>
        </w:r>
      </w:hyperlink>
    </w:p>
    <w:p w14:paraId="0420CFAC" w14:textId="1EFDA9D3" w:rsidR="007F2617" w:rsidRDefault="000E3509">
      <w:pPr>
        <w:pStyle w:val="TOC7"/>
        <w:rPr>
          <w:rFonts w:asciiTheme="minorHAnsi" w:eastAsiaTheme="minorEastAsia" w:hAnsiTheme="minorHAnsi" w:cstheme="minorBidi"/>
          <w:noProof/>
          <w:sz w:val="22"/>
          <w:szCs w:val="22"/>
        </w:rPr>
      </w:pPr>
      <w:hyperlink w:anchor="_Toc6473180" w:history="1">
        <w:r w:rsidR="007F2617" w:rsidRPr="00F83BBB">
          <w:rPr>
            <w:rStyle w:val="Hyperlink"/>
            <w:noProof/>
          </w:rPr>
          <w:t xml:space="preserve">Table 11.42: ANOVA statistics for place of birth demographic </w:t>
        </w:r>
        <w:r w:rsidR="007F2617">
          <w:rPr>
            <w:rStyle w:val="Hyperlink"/>
            <w:noProof/>
          </w:rPr>
          <w:br/>
        </w:r>
        <w:r w:rsidR="007F2617" w:rsidRPr="00F83BBB">
          <w:rPr>
            <w:rStyle w:val="Hyperlink"/>
            <w:noProof/>
          </w:rPr>
          <w:t>variable.</w:t>
        </w:r>
        <w:r w:rsidR="007F2617">
          <w:rPr>
            <w:noProof/>
            <w:webHidden/>
          </w:rPr>
          <w:tab/>
        </w:r>
        <w:r w:rsidR="007F2617">
          <w:rPr>
            <w:noProof/>
            <w:webHidden/>
          </w:rPr>
          <w:fldChar w:fldCharType="begin"/>
        </w:r>
        <w:r w:rsidR="007F2617">
          <w:rPr>
            <w:noProof/>
            <w:webHidden/>
          </w:rPr>
          <w:instrText xml:space="preserve"> PAGEREF _Toc6473180 \h </w:instrText>
        </w:r>
        <w:r w:rsidR="007F2617">
          <w:rPr>
            <w:noProof/>
            <w:webHidden/>
          </w:rPr>
        </w:r>
        <w:r w:rsidR="007F2617">
          <w:rPr>
            <w:noProof/>
            <w:webHidden/>
          </w:rPr>
          <w:fldChar w:fldCharType="separate"/>
        </w:r>
        <w:r w:rsidR="00301AD4">
          <w:rPr>
            <w:noProof/>
            <w:webHidden/>
          </w:rPr>
          <w:t>249</w:t>
        </w:r>
        <w:r w:rsidR="007F2617">
          <w:rPr>
            <w:noProof/>
            <w:webHidden/>
          </w:rPr>
          <w:fldChar w:fldCharType="end"/>
        </w:r>
      </w:hyperlink>
    </w:p>
    <w:p w14:paraId="79CBBE44" w14:textId="77777777" w:rsidR="007F2617" w:rsidRDefault="000E3509">
      <w:pPr>
        <w:pStyle w:val="TOC7"/>
        <w:rPr>
          <w:rFonts w:asciiTheme="minorHAnsi" w:eastAsiaTheme="minorEastAsia" w:hAnsiTheme="minorHAnsi" w:cstheme="minorBidi"/>
          <w:noProof/>
          <w:sz w:val="22"/>
          <w:szCs w:val="22"/>
        </w:rPr>
      </w:pPr>
      <w:hyperlink w:anchor="_Toc6473181" w:history="1">
        <w:r w:rsidR="007F2617" w:rsidRPr="00F83BBB">
          <w:rPr>
            <w:rStyle w:val="Hyperlink"/>
            <w:noProof/>
            <w:lang w:eastAsia="en-US"/>
          </w:rPr>
          <w:t>Table 11.43: Descriptive statistics.</w:t>
        </w:r>
        <w:r w:rsidR="007F2617">
          <w:rPr>
            <w:noProof/>
            <w:webHidden/>
          </w:rPr>
          <w:tab/>
        </w:r>
        <w:r w:rsidR="007F2617">
          <w:rPr>
            <w:noProof/>
            <w:webHidden/>
          </w:rPr>
          <w:fldChar w:fldCharType="begin"/>
        </w:r>
        <w:r w:rsidR="007F2617">
          <w:rPr>
            <w:noProof/>
            <w:webHidden/>
          </w:rPr>
          <w:instrText xml:space="preserve"> PAGEREF _Toc6473181 \h </w:instrText>
        </w:r>
        <w:r w:rsidR="007F2617">
          <w:rPr>
            <w:noProof/>
            <w:webHidden/>
          </w:rPr>
        </w:r>
        <w:r w:rsidR="007F2617">
          <w:rPr>
            <w:noProof/>
            <w:webHidden/>
          </w:rPr>
          <w:fldChar w:fldCharType="separate"/>
        </w:r>
        <w:r w:rsidR="00301AD4">
          <w:rPr>
            <w:noProof/>
            <w:webHidden/>
          </w:rPr>
          <w:t>250</w:t>
        </w:r>
        <w:r w:rsidR="007F2617">
          <w:rPr>
            <w:noProof/>
            <w:webHidden/>
          </w:rPr>
          <w:fldChar w:fldCharType="end"/>
        </w:r>
      </w:hyperlink>
    </w:p>
    <w:p w14:paraId="184F2D2B" w14:textId="3AE45215" w:rsidR="007F2617" w:rsidRDefault="000E3509">
      <w:pPr>
        <w:pStyle w:val="TOC7"/>
        <w:rPr>
          <w:rFonts w:asciiTheme="minorHAnsi" w:eastAsiaTheme="minorEastAsia" w:hAnsiTheme="minorHAnsi" w:cstheme="minorBidi"/>
          <w:noProof/>
          <w:sz w:val="22"/>
          <w:szCs w:val="22"/>
        </w:rPr>
      </w:pPr>
      <w:hyperlink w:anchor="_Toc6473182" w:history="1">
        <w:r w:rsidR="007F2617" w:rsidRPr="00F83BBB">
          <w:rPr>
            <w:rStyle w:val="Hyperlink"/>
            <w:noProof/>
          </w:rPr>
          <w:t xml:space="preserve">Table 11.44: ANOVA statistics for place of birth demographic </w:t>
        </w:r>
        <w:r w:rsidR="007F2617">
          <w:rPr>
            <w:rStyle w:val="Hyperlink"/>
            <w:noProof/>
          </w:rPr>
          <w:br/>
        </w:r>
        <w:r w:rsidR="007F2617" w:rsidRPr="00F83BBB">
          <w:rPr>
            <w:rStyle w:val="Hyperlink"/>
            <w:noProof/>
          </w:rPr>
          <w:t>variable.</w:t>
        </w:r>
        <w:r w:rsidR="007F2617">
          <w:rPr>
            <w:noProof/>
            <w:webHidden/>
          </w:rPr>
          <w:tab/>
        </w:r>
        <w:r w:rsidR="007F2617">
          <w:rPr>
            <w:noProof/>
            <w:webHidden/>
          </w:rPr>
          <w:fldChar w:fldCharType="begin"/>
        </w:r>
        <w:r w:rsidR="007F2617">
          <w:rPr>
            <w:noProof/>
            <w:webHidden/>
          </w:rPr>
          <w:instrText xml:space="preserve"> PAGEREF _Toc6473182 \h </w:instrText>
        </w:r>
        <w:r w:rsidR="007F2617">
          <w:rPr>
            <w:noProof/>
            <w:webHidden/>
          </w:rPr>
        </w:r>
        <w:r w:rsidR="007F2617">
          <w:rPr>
            <w:noProof/>
            <w:webHidden/>
          </w:rPr>
          <w:fldChar w:fldCharType="separate"/>
        </w:r>
        <w:r w:rsidR="00301AD4">
          <w:rPr>
            <w:noProof/>
            <w:webHidden/>
          </w:rPr>
          <w:t>250</w:t>
        </w:r>
        <w:r w:rsidR="007F2617">
          <w:rPr>
            <w:noProof/>
            <w:webHidden/>
          </w:rPr>
          <w:fldChar w:fldCharType="end"/>
        </w:r>
      </w:hyperlink>
    </w:p>
    <w:p w14:paraId="308484D7" w14:textId="7FE74F1C" w:rsidR="007F2617" w:rsidRDefault="000E3509">
      <w:pPr>
        <w:pStyle w:val="TOC7"/>
        <w:rPr>
          <w:rFonts w:asciiTheme="minorHAnsi" w:eastAsiaTheme="minorEastAsia" w:hAnsiTheme="minorHAnsi" w:cstheme="minorBidi"/>
          <w:noProof/>
          <w:sz w:val="22"/>
          <w:szCs w:val="22"/>
        </w:rPr>
      </w:pPr>
      <w:hyperlink w:anchor="_Toc6473183" w:history="1">
        <w:r w:rsidR="007F2617" w:rsidRPr="00F83BBB">
          <w:rPr>
            <w:rStyle w:val="Hyperlink"/>
            <w:noProof/>
            <w:lang w:eastAsia="en-US"/>
          </w:rPr>
          <w:t xml:space="preserve">Table 11.45: Descriptive statistics for social group demographic </w:t>
        </w:r>
        <w:r w:rsidR="007F2617">
          <w:rPr>
            <w:rStyle w:val="Hyperlink"/>
            <w:noProof/>
            <w:lang w:eastAsia="en-US"/>
          </w:rPr>
          <w:br/>
        </w:r>
        <w:r w:rsidR="007F2617" w:rsidRPr="00F83BBB">
          <w:rPr>
            <w:rStyle w:val="Hyperlink"/>
            <w:noProof/>
            <w:lang w:eastAsia="en-US"/>
          </w:rPr>
          <w:t>variable.</w:t>
        </w:r>
        <w:r w:rsidR="007F2617">
          <w:rPr>
            <w:noProof/>
            <w:webHidden/>
          </w:rPr>
          <w:tab/>
        </w:r>
        <w:r w:rsidR="007F2617">
          <w:rPr>
            <w:noProof/>
            <w:webHidden/>
          </w:rPr>
          <w:fldChar w:fldCharType="begin"/>
        </w:r>
        <w:r w:rsidR="007F2617">
          <w:rPr>
            <w:noProof/>
            <w:webHidden/>
          </w:rPr>
          <w:instrText xml:space="preserve"> PAGEREF _Toc6473183 \h </w:instrText>
        </w:r>
        <w:r w:rsidR="007F2617">
          <w:rPr>
            <w:noProof/>
            <w:webHidden/>
          </w:rPr>
        </w:r>
        <w:r w:rsidR="007F2617">
          <w:rPr>
            <w:noProof/>
            <w:webHidden/>
          </w:rPr>
          <w:fldChar w:fldCharType="separate"/>
        </w:r>
        <w:r w:rsidR="00301AD4">
          <w:rPr>
            <w:noProof/>
            <w:webHidden/>
          </w:rPr>
          <w:t>250</w:t>
        </w:r>
        <w:r w:rsidR="007F2617">
          <w:rPr>
            <w:noProof/>
            <w:webHidden/>
          </w:rPr>
          <w:fldChar w:fldCharType="end"/>
        </w:r>
      </w:hyperlink>
    </w:p>
    <w:p w14:paraId="66E90B1D" w14:textId="615E748A" w:rsidR="007F2617" w:rsidRDefault="000E3509">
      <w:pPr>
        <w:pStyle w:val="TOC7"/>
        <w:rPr>
          <w:rFonts w:asciiTheme="minorHAnsi" w:eastAsiaTheme="minorEastAsia" w:hAnsiTheme="minorHAnsi" w:cstheme="minorBidi"/>
          <w:noProof/>
          <w:sz w:val="22"/>
          <w:szCs w:val="22"/>
        </w:rPr>
      </w:pPr>
      <w:hyperlink w:anchor="_Toc6473184" w:history="1">
        <w:r w:rsidR="007F2617" w:rsidRPr="00F83BBB">
          <w:rPr>
            <w:rStyle w:val="Hyperlink"/>
            <w:noProof/>
          </w:rPr>
          <w:t xml:space="preserve">Table 11.46: ANOVA statistics for mother’s social group </w:t>
        </w:r>
        <w:r w:rsidR="007F2617">
          <w:rPr>
            <w:rStyle w:val="Hyperlink"/>
            <w:noProof/>
          </w:rPr>
          <w:br/>
        </w:r>
        <w:r w:rsidR="007F2617" w:rsidRPr="00F83BBB">
          <w:rPr>
            <w:rStyle w:val="Hyperlink"/>
            <w:noProof/>
          </w:rPr>
          <w:t>demographic variable.</w:t>
        </w:r>
        <w:r w:rsidR="007F2617">
          <w:rPr>
            <w:noProof/>
            <w:webHidden/>
          </w:rPr>
          <w:tab/>
        </w:r>
        <w:r w:rsidR="007F2617">
          <w:rPr>
            <w:noProof/>
            <w:webHidden/>
          </w:rPr>
          <w:fldChar w:fldCharType="begin"/>
        </w:r>
        <w:r w:rsidR="007F2617">
          <w:rPr>
            <w:noProof/>
            <w:webHidden/>
          </w:rPr>
          <w:instrText xml:space="preserve"> PAGEREF _Toc6473184 \h </w:instrText>
        </w:r>
        <w:r w:rsidR="007F2617">
          <w:rPr>
            <w:noProof/>
            <w:webHidden/>
          </w:rPr>
        </w:r>
        <w:r w:rsidR="007F2617">
          <w:rPr>
            <w:noProof/>
            <w:webHidden/>
          </w:rPr>
          <w:fldChar w:fldCharType="separate"/>
        </w:r>
        <w:r w:rsidR="00301AD4">
          <w:rPr>
            <w:noProof/>
            <w:webHidden/>
          </w:rPr>
          <w:t>251</w:t>
        </w:r>
        <w:r w:rsidR="007F2617">
          <w:rPr>
            <w:noProof/>
            <w:webHidden/>
          </w:rPr>
          <w:fldChar w:fldCharType="end"/>
        </w:r>
      </w:hyperlink>
    </w:p>
    <w:p w14:paraId="155C3DAA" w14:textId="7CCE35EE" w:rsidR="007F2617" w:rsidRDefault="000E3509">
      <w:pPr>
        <w:pStyle w:val="TOC7"/>
        <w:rPr>
          <w:rFonts w:asciiTheme="minorHAnsi" w:eastAsiaTheme="minorEastAsia" w:hAnsiTheme="minorHAnsi" w:cstheme="minorBidi"/>
          <w:noProof/>
          <w:sz w:val="22"/>
          <w:szCs w:val="22"/>
        </w:rPr>
      </w:pPr>
      <w:hyperlink w:anchor="_Toc6473185" w:history="1">
        <w:r w:rsidR="007F2617" w:rsidRPr="00F83BBB">
          <w:rPr>
            <w:rStyle w:val="Hyperlink"/>
            <w:noProof/>
            <w:lang w:eastAsia="en-US"/>
          </w:rPr>
          <w:t xml:space="preserve">Table 11.47: Post-hoc test results for mother’s social group </w:t>
        </w:r>
        <w:r w:rsidR="007F2617">
          <w:rPr>
            <w:rStyle w:val="Hyperlink"/>
            <w:noProof/>
            <w:lang w:eastAsia="en-US"/>
          </w:rPr>
          <w:br/>
        </w:r>
        <w:r w:rsidR="007F2617" w:rsidRPr="00F83BBB">
          <w:rPr>
            <w:rStyle w:val="Hyperlink"/>
            <w:noProof/>
            <w:lang w:eastAsia="en-US"/>
          </w:rPr>
          <w:t>demographic variable.</w:t>
        </w:r>
        <w:r w:rsidR="007F2617">
          <w:rPr>
            <w:noProof/>
            <w:webHidden/>
          </w:rPr>
          <w:tab/>
        </w:r>
        <w:r w:rsidR="007F2617">
          <w:rPr>
            <w:noProof/>
            <w:webHidden/>
          </w:rPr>
          <w:fldChar w:fldCharType="begin"/>
        </w:r>
        <w:r w:rsidR="007F2617">
          <w:rPr>
            <w:noProof/>
            <w:webHidden/>
          </w:rPr>
          <w:instrText xml:space="preserve"> PAGEREF _Toc6473185 \h </w:instrText>
        </w:r>
        <w:r w:rsidR="007F2617">
          <w:rPr>
            <w:noProof/>
            <w:webHidden/>
          </w:rPr>
        </w:r>
        <w:r w:rsidR="007F2617">
          <w:rPr>
            <w:noProof/>
            <w:webHidden/>
          </w:rPr>
          <w:fldChar w:fldCharType="separate"/>
        </w:r>
        <w:r w:rsidR="00301AD4">
          <w:rPr>
            <w:noProof/>
            <w:webHidden/>
          </w:rPr>
          <w:t>251</w:t>
        </w:r>
        <w:r w:rsidR="007F2617">
          <w:rPr>
            <w:noProof/>
            <w:webHidden/>
          </w:rPr>
          <w:fldChar w:fldCharType="end"/>
        </w:r>
      </w:hyperlink>
    </w:p>
    <w:p w14:paraId="0EB66C57" w14:textId="7650F597" w:rsidR="007F2617" w:rsidRDefault="000E3509">
      <w:pPr>
        <w:pStyle w:val="TOC7"/>
        <w:rPr>
          <w:rFonts w:asciiTheme="minorHAnsi" w:eastAsiaTheme="minorEastAsia" w:hAnsiTheme="minorHAnsi" w:cstheme="minorBidi"/>
          <w:noProof/>
          <w:sz w:val="22"/>
          <w:szCs w:val="22"/>
        </w:rPr>
      </w:pPr>
      <w:hyperlink w:anchor="_Toc6473186" w:history="1">
        <w:r w:rsidR="007F2617" w:rsidRPr="00F83BBB">
          <w:rPr>
            <w:rStyle w:val="Hyperlink"/>
            <w:noProof/>
          </w:rPr>
          <w:t xml:space="preserve">Table 11.48: ANOVA statistics for spouse’s social group </w:t>
        </w:r>
        <w:r w:rsidR="007F2617">
          <w:rPr>
            <w:rStyle w:val="Hyperlink"/>
            <w:noProof/>
          </w:rPr>
          <w:br/>
        </w:r>
        <w:r w:rsidR="007F2617" w:rsidRPr="00F83BBB">
          <w:rPr>
            <w:rStyle w:val="Hyperlink"/>
            <w:noProof/>
          </w:rPr>
          <w:t>demographic variable.</w:t>
        </w:r>
        <w:r w:rsidR="007F2617">
          <w:rPr>
            <w:noProof/>
            <w:webHidden/>
          </w:rPr>
          <w:tab/>
        </w:r>
        <w:r w:rsidR="007F2617">
          <w:rPr>
            <w:noProof/>
            <w:webHidden/>
          </w:rPr>
          <w:fldChar w:fldCharType="begin"/>
        </w:r>
        <w:r w:rsidR="007F2617">
          <w:rPr>
            <w:noProof/>
            <w:webHidden/>
          </w:rPr>
          <w:instrText xml:space="preserve"> PAGEREF _Toc6473186 \h </w:instrText>
        </w:r>
        <w:r w:rsidR="007F2617">
          <w:rPr>
            <w:noProof/>
            <w:webHidden/>
          </w:rPr>
        </w:r>
        <w:r w:rsidR="007F2617">
          <w:rPr>
            <w:noProof/>
            <w:webHidden/>
          </w:rPr>
          <w:fldChar w:fldCharType="separate"/>
        </w:r>
        <w:r w:rsidR="00301AD4">
          <w:rPr>
            <w:noProof/>
            <w:webHidden/>
          </w:rPr>
          <w:t>251</w:t>
        </w:r>
        <w:r w:rsidR="007F2617">
          <w:rPr>
            <w:noProof/>
            <w:webHidden/>
          </w:rPr>
          <w:fldChar w:fldCharType="end"/>
        </w:r>
      </w:hyperlink>
    </w:p>
    <w:p w14:paraId="07670752" w14:textId="5E2BF358" w:rsidR="007F2617" w:rsidRDefault="000E3509">
      <w:pPr>
        <w:pStyle w:val="TOC7"/>
        <w:rPr>
          <w:rFonts w:asciiTheme="minorHAnsi" w:eastAsiaTheme="minorEastAsia" w:hAnsiTheme="minorHAnsi" w:cstheme="minorBidi"/>
          <w:noProof/>
          <w:sz w:val="22"/>
          <w:szCs w:val="22"/>
        </w:rPr>
      </w:pPr>
      <w:hyperlink w:anchor="_Toc6473187" w:history="1">
        <w:r w:rsidR="007F2617" w:rsidRPr="00F83BBB">
          <w:rPr>
            <w:rStyle w:val="Hyperlink"/>
            <w:noProof/>
            <w:lang w:eastAsia="zh-CN"/>
          </w:rPr>
          <w:t xml:space="preserve">Table 11.49: Descriptive statistics for spouse’s social group </w:t>
        </w:r>
        <w:r w:rsidR="007F2617">
          <w:rPr>
            <w:rStyle w:val="Hyperlink"/>
            <w:noProof/>
            <w:lang w:eastAsia="zh-CN"/>
          </w:rPr>
          <w:br/>
        </w:r>
        <w:r w:rsidR="007F2617" w:rsidRPr="00F83BBB">
          <w:rPr>
            <w:rStyle w:val="Hyperlink"/>
            <w:noProof/>
            <w:lang w:eastAsia="zh-CN"/>
          </w:rPr>
          <w:t>demographic variable.</w:t>
        </w:r>
        <w:r w:rsidR="007F2617">
          <w:rPr>
            <w:noProof/>
            <w:webHidden/>
          </w:rPr>
          <w:tab/>
        </w:r>
        <w:r w:rsidR="007F2617">
          <w:rPr>
            <w:noProof/>
            <w:webHidden/>
          </w:rPr>
          <w:fldChar w:fldCharType="begin"/>
        </w:r>
        <w:r w:rsidR="007F2617">
          <w:rPr>
            <w:noProof/>
            <w:webHidden/>
          </w:rPr>
          <w:instrText xml:space="preserve"> PAGEREF _Toc6473187 \h </w:instrText>
        </w:r>
        <w:r w:rsidR="007F2617">
          <w:rPr>
            <w:noProof/>
            <w:webHidden/>
          </w:rPr>
        </w:r>
        <w:r w:rsidR="007F2617">
          <w:rPr>
            <w:noProof/>
            <w:webHidden/>
          </w:rPr>
          <w:fldChar w:fldCharType="separate"/>
        </w:r>
        <w:r w:rsidR="00301AD4">
          <w:rPr>
            <w:noProof/>
            <w:webHidden/>
          </w:rPr>
          <w:t>252</w:t>
        </w:r>
        <w:r w:rsidR="007F2617">
          <w:rPr>
            <w:noProof/>
            <w:webHidden/>
          </w:rPr>
          <w:fldChar w:fldCharType="end"/>
        </w:r>
      </w:hyperlink>
    </w:p>
    <w:p w14:paraId="169093BB" w14:textId="1D8FA27E" w:rsidR="007F2617" w:rsidRDefault="000E3509">
      <w:pPr>
        <w:pStyle w:val="TOC7"/>
        <w:rPr>
          <w:rFonts w:asciiTheme="minorHAnsi" w:eastAsiaTheme="minorEastAsia" w:hAnsiTheme="minorHAnsi" w:cstheme="minorBidi"/>
          <w:noProof/>
          <w:sz w:val="22"/>
          <w:szCs w:val="22"/>
        </w:rPr>
      </w:pPr>
      <w:hyperlink w:anchor="_Toc6473188" w:history="1">
        <w:r w:rsidR="007F2617" w:rsidRPr="00F83BBB">
          <w:rPr>
            <w:rStyle w:val="Hyperlink"/>
            <w:noProof/>
            <w:lang w:eastAsia="en-US"/>
          </w:rPr>
          <w:t xml:space="preserve">Table 11.50: ANOVA statistics for social group demographic </w:t>
        </w:r>
        <w:r w:rsidR="007F2617">
          <w:rPr>
            <w:rStyle w:val="Hyperlink"/>
            <w:noProof/>
            <w:lang w:eastAsia="en-US"/>
          </w:rPr>
          <w:br/>
        </w:r>
        <w:r w:rsidR="00F97841">
          <w:rPr>
            <w:rStyle w:val="Hyperlink"/>
            <w:noProof/>
            <w:lang w:eastAsia="en-US"/>
          </w:rPr>
          <w:t xml:space="preserve"> </w:t>
        </w:r>
        <w:r w:rsidR="007F2617" w:rsidRPr="00F83BBB">
          <w:rPr>
            <w:rStyle w:val="Hyperlink"/>
            <w:noProof/>
            <w:lang w:eastAsia="en-US"/>
          </w:rPr>
          <w:t>variable.</w:t>
        </w:r>
        <w:r w:rsidR="007F2617">
          <w:rPr>
            <w:noProof/>
            <w:webHidden/>
          </w:rPr>
          <w:tab/>
        </w:r>
        <w:r w:rsidR="007F2617">
          <w:rPr>
            <w:noProof/>
            <w:webHidden/>
          </w:rPr>
          <w:fldChar w:fldCharType="begin"/>
        </w:r>
        <w:r w:rsidR="007F2617">
          <w:rPr>
            <w:noProof/>
            <w:webHidden/>
          </w:rPr>
          <w:instrText xml:space="preserve"> PAGEREF _Toc6473188 \h </w:instrText>
        </w:r>
        <w:r w:rsidR="007F2617">
          <w:rPr>
            <w:noProof/>
            <w:webHidden/>
          </w:rPr>
        </w:r>
        <w:r w:rsidR="007F2617">
          <w:rPr>
            <w:noProof/>
            <w:webHidden/>
          </w:rPr>
          <w:fldChar w:fldCharType="separate"/>
        </w:r>
        <w:r w:rsidR="00301AD4">
          <w:rPr>
            <w:noProof/>
            <w:webHidden/>
          </w:rPr>
          <w:t>254</w:t>
        </w:r>
        <w:r w:rsidR="007F2617">
          <w:rPr>
            <w:noProof/>
            <w:webHidden/>
          </w:rPr>
          <w:fldChar w:fldCharType="end"/>
        </w:r>
      </w:hyperlink>
    </w:p>
    <w:p w14:paraId="43803697" w14:textId="4E9B39CD" w:rsidR="007F2617" w:rsidRDefault="000E3509">
      <w:pPr>
        <w:pStyle w:val="TOC7"/>
        <w:rPr>
          <w:rFonts w:asciiTheme="minorHAnsi" w:eastAsiaTheme="minorEastAsia" w:hAnsiTheme="minorHAnsi" w:cstheme="minorBidi"/>
          <w:noProof/>
          <w:sz w:val="22"/>
          <w:szCs w:val="22"/>
        </w:rPr>
      </w:pPr>
      <w:hyperlink w:anchor="_Toc6473189" w:history="1">
        <w:r w:rsidR="007F2617" w:rsidRPr="00F83BBB">
          <w:rPr>
            <w:rStyle w:val="Hyperlink"/>
            <w:noProof/>
            <w:lang w:eastAsia="en-US"/>
          </w:rPr>
          <w:t xml:space="preserve">Table 11.51: Descriptive statistics for social group demographic </w:t>
        </w:r>
        <w:r w:rsidR="007F2617">
          <w:rPr>
            <w:rStyle w:val="Hyperlink"/>
            <w:noProof/>
            <w:lang w:eastAsia="en-US"/>
          </w:rPr>
          <w:br/>
        </w:r>
        <w:r w:rsidR="007F2617" w:rsidRPr="00F83BBB">
          <w:rPr>
            <w:rStyle w:val="Hyperlink"/>
            <w:noProof/>
            <w:lang w:eastAsia="en-US"/>
          </w:rPr>
          <w:t>variable.</w:t>
        </w:r>
        <w:r w:rsidR="007F2617">
          <w:rPr>
            <w:noProof/>
            <w:webHidden/>
          </w:rPr>
          <w:tab/>
        </w:r>
        <w:r w:rsidR="007F2617">
          <w:rPr>
            <w:noProof/>
            <w:webHidden/>
          </w:rPr>
          <w:fldChar w:fldCharType="begin"/>
        </w:r>
        <w:r w:rsidR="007F2617">
          <w:rPr>
            <w:noProof/>
            <w:webHidden/>
          </w:rPr>
          <w:instrText xml:space="preserve"> PAGEREF _Toc6473189 \h </w:instrText>
        </w:r>
        <w:r w:rsidR="007F2617">
          <w:rPr>
            <w:noProof/>
            <w:webHidden/>
          </w:rPr>
        </w:r>
        <w:r w:rsidR="007F2617">
          <w:rPr>
            <w:noProof/>
            <w:webHidden/>
          </w:rPr>
          <w:fldChar w:fldCharType="separate"/>
        </w:r>
        <w:r w:rsidR="00301AD4">
          <w:rPr>
            <w:noProof/>
            <w:webHidden/>
          </w:rPr>
          <w:t>254</w:t>
        </w:r>
        <w:r w:rsidR="007F2617">
          <w:rPr>
            <w:noProof/>
            <w:webHidden/>
          </w:rPr>
          <w:fldChar w:fldCharType="end"/>
        </w:r>
      </w:hyperlink>
    </w:p>
    <w:p w14:paraId="28BB078A" w14:textId="736BC273" w:rsidR="007F2617" w:rsidRDefault="000E3509">
      <w:pPr>
        <w:pStyle w:val="TOC7"/>
        <w:rPr>
          <w:rFonts w:asciiTheme="minorHAnsi" w:eastAsiaTheme="minorEastAsia" w:hAnsiTheme="minorHAnsi" w:cstheme="minorBidi"/>
          <w:noProof/>
          <w:sz w:val="22"/>
          <w:szCs w:val="22"/>
        </w:rPr>
      </w:pPr>
      <w:hyperlink w:anchor="_Toc6473190" w:history="1">
        <w:r w:rsidR="007F2617" w:rsidRPr="00F83BBB">
          <w:rPr>
            <w:rStyle w:val="Hyperlink"/>
            <w:noProof/>
            <w:lang w:eastAsia="en-US"/>
          </w:rPr>
          <w:t xml:space="preserve">Table 11.52: ANOVA statistics for mother’s social group </w:t>
        </w:r>
        <w:r w:rsidR="007F2617">
          <w:rPr>
            <w:rStyle w:val="Hyperlink"/>
            <w:noProof/>
            <w:lang w:eastAsia="en-US"/>
          </w:rPr>
          <w:br/>
        </w:r>
        <w:r w:rsidR="007F2617" w:rsidRPr="00F83BBB">
          <w:rPr>
            <w:rStyle w:val="Hyperlink"/>
            <w:noProof/>
            <w:lang w:eastAsia="en-US"/>
          </w:rPr>
          <w:t>demographic variable.</w:t>
        </w:r>
        <w:r w:rsidR="007F2617">
          <w:rPr>
            <w:noProof/>
            <w:webHidden/>
          </w:rPr>
          <w:tab/>
        </w:r>
        <w:r w:rsidR="007F2617">
          <w:rPr>
            <w:noProof/>
            <w:webHidden/>
          </w:rPr>
          <w:fldChar w:fldCharType="begin"/>
        </w:r>
        <w:r w:rsidR="007F2617">
          <w:rPr>
            <w:noProof/>
            <w:webHidden/>
          </w:rPr>
          <w:instrText xml:space="preserve"> PAGEREF _Toc6473190 \h </w:instrText>
        </w:r>
        <w:r w:rsidR="007F2617">
          <w:rPr>
            <w:noProof/>
            <w:webHidden/>
          </w:rPr>
        </w:r>
        <w:r w:rsidR="007F2617">
          <w:rPr>
            <w:noProof/>
            <w:webHidden/>
          </w:rPr>
          <w:fldChar w:fldCharType="separate"/>
        </w:r>
        <w:r w:rsidR="00301AD4">
          <w:rPr>
            <w:noProof/>
            <w:webHidden/>
          </w:rPr>
          <w:t>255</w:t>
        </w:r>
        <w:r w:rsidR="007F2617">
          <w:rPr>
            <w:noProof/>
            <w:webHidden/>
          </w:rPr>
          <w:fldChar w:fldCharType="end"/>
        </w:r>
      </w:hyperlink>
    </w:p>
    <w:p w14:paraId="2A1CF3F4" w14:textId="34509E89" w:rsidR="007F2617" w:rsidRDefault="000E3509">
      <w:pPr>
        <w:pStyle w:val="TOC7"/>
        <w:rPr>
          <w:rFonts w:asciiTheme="minorHAnsi" w:eastAsiaTheme="minorEastAsia" w:hAnsiTheme="minorHAnsi" w:cstheme="minorBidi"/>
          <w:noProof/>
          <w:sz w:val="22"/>
          <w:szCs w:val="22"/>
        </w:rPr>
      </w:pPr>
      <w:hyperlink w:anchor="_Toc6473191" w:history="1">
        <w:r w:rsidR="007F2617" w:rsidRPr="00F83BBB">
          <w:rPr>
            <w:rStyle w:val="Hyperlink"/>
            <w:noProof/>
            <w:lang w:eastAsia="zh-CN"/>
          </w:rPr>
          <w:t xml:space="preserve">Table 11.53: Post-hoc test results for mother’s social group </w:t>
        </w:r>
        <w:r w:rsidR="007F2617">
          <w:rPr>
            <w:rStyle w:val="Hyperlink"/>
            <w:noProof/>
            <w:lang w:eastAsia="zh-CN"/>
          </w:rPr>
          <w:br/>
        </w:r>
        <w:r w:rsidR="007F2617" w:rsidRPr="00F83BBB">
          <w:rPr>
            <w:rStyle w:val="Hyperlink"/>
            <w:noProof/>
            <w:lang w:eastAsia="zh-CN"/>
          </w:rPr>
          <w:t>demographic variable.</w:t>
        </w:r>
        <w:r w:rsidR="007F2617">
          <w:rPr>
            <w:noProof/>
            <w:webHidden/>
          </w:rPr>
          <w:tab/>
        </w:r>
        <w:r w:rsidR="007F2617">
          <w:rPr>
            <w:noProof/>
            <w:webHidden/>
          </w:rPr>
          <w:fldChar w:fldCharType="begin"/>
        </w:r>
        <w:r w:rsidR="007F2617">
          <w:rPr>
            <w:noProof/>
            <w:webHidden/>
          </w:rPr>
          <w:instrText xml:space="preserve"> PAGEREF _Toc6473191 \h </w:instrText>
        </w:r>
        <w:r w:rsidR="007F2617">
          <w:rPr>
            <w:noProof/>
            <w:webHidden/>
          </w:rPr>
        </w:r>
        <w:r w:rsidR="007F2617">
          <w:rPr>
            <w:noProof/>
            <w:webHidden/>
          </w:rPr>
          <w:fldChar w:fldCharType="separate"/>
        </w:r>
        <w:r w:rsidR="00301AD4">
          <w:rPr>
            <w:noProof/>
            <w:webHidden/>
          </w:rPr>
          <w:t>255</w:t>
        </w:r>
        <w:r w:rsidR="007F2617">
          <w:rPr>
            <w:noProof/>
            <w:webHidden/>
          </w:rPr>
          <w:fldChar w:fldCharType="end"/>
        </w:r>
      </w:hyperlink>
    </w:p>
    <w:p w14:paraId="33C7A1AC" w14:textId="285A7BDE" w:rsidR="007F2617" w:rsidRDefault="000E3509" w:rsidP="005B3EEC">
      <w:pPr>
        <w:pStyle w:val="TOC7"/>
        <w:rPr>
          <w:rFonts w:asciiTheme="minorHAnsi" w:eastAsiaTheme="minorEastAsia" w:hAnsiTheme="minorHAnsi" w:cstheme="minorBidi"/>
          <w:noProof/>
          <w:sz w:val="22"/>
          <w:szCs w:val="22"/>
        </w:rPr>
      </w:pPr>
      <w:hyperlink w:anchor="_Toc6473192" w:history="1">
        <w:r w:rsidR="007F2617" w:rsidRPr="00F83BBB">
          <w:rPr>
            <w:rStyle w:val="Hyperlink"/>
            <w:noProof/>
            <w:lang w:eastAsia="en-US"/>
          </w:rPr>
          <w:t xml:space="preserve">Table 11.54: ANOVA </w:t>
        </w:r>
        <w:r w:rsidR="005B3EEC">
          <w:rPr>
            <w:rStyle w:val="Hyperlink"/>
            <w:noProof/>
            <w:lang w:eastAsia="en-US"/>
          </w:rPr>
          <w:t>statistics</w:t>
        </w:r>
        <w:r w:rsidR="007F2617" w:rsidRPr="00F83BBB">
          <w:rPr>
            <w:rStyle w:val="Hyperlink"/>
            <w:noProof/>
            <w:lang w:eastAsia="en-US"/>
          </w:rPr>
          <w:t xml:space="preserve"> for age demographic variable.</w:t>
        </w:r>
        <w:r w:rsidR="007F2617">
          <w:rPr>
            <w:noProof/>
            <w:webHidden/>
          </w:rPr>
          <w:tab/>
        </w:r>
        <w:r w:rsidR="007F2617">
          <w:rPr>
            <w:noProof/>
            <w:webHidden/>
          </w:rPr>
          <w:fldChar w:fldCharType="begin"/>
        </w:r>
        <w:r w:rsidR="007F2617">
          <w:rPr>
            <w:noProof/>
            <w:webHidden/>
          </w:rPr>
          <w:instrText xml:space="preserve"> PAGEREF _Toc6473192 \h </w:instrText>
        </w:r>
        <w:r w:rsidR="007F2617">
          <w:rPr>
            <w:noProof/>
            <w:webHidden/>
          </w:rPr>
        </w:r>
        <w:r w:rsidR="007F2617">
          <w:rPr>
            <w:noProof/>
            <w:webHidden/>
          </w:rPr>
          <w:fldChar w:fldCharType="separate"/>
        </w:r>
        <w:r w:rsidR="00301AD4">
          <w:rPr>
            <w:noProof/>
            <w:webHidden/>
          </w:rPr>
          <w:t>255</w:t>
        </w:r>
        <w:r w:rsidR="007F2617">
          <w:rPr>
            <w:noProof/>
            <w:webHidden/>
          </w:rPr>
          <w:fldChar w:fldCharType="end"/>
        </w:r>
      </w:hyperlink>
    </w:p>
    <w:p w14:paraId="0C9208A6" w14:textId="77777777" w:rsidR="007F2617" w:rsidRDefault="000E3509">
      <w:pPr>
        <w:pStyle w:val="TOC7"/>
        <w:rPr>
          <w:rFonts w:asciiTheme="minorHAnsi" w:eastAsiaTheme="minorEastAsia" w:hAnsiTheme="minorHAnsi" w:cstheme="minorBidi"/>
          <w:noProof/>
          <w:sz w:val="22"/>
          <w:szCs w:val="22"/>
        </w:rPr>
      </w:pPr>
      <w:hyperlink w:anchor="_Toc6473193" w:history="1">
        <w:r w:rsidR="007F2617" w:rsidRPr="00F83BBB">
          <w:rPr>
            <w:rStyle w:val="Hyperlink"/>
            <w:noProof/>
            <w:lang w:eastAsia="en-US"/>
          </w:rPr>
          <w:t>Table 11.55: Post-hoc test results for age demographic variable.</w:t>
        </w:r>
        <w:r w:rsidR="007F2617">
          <w:rPr>
            <w:noProof/>
            <w:webHidden/>
          </w:rPr>
          <w:tab/>
        </w:r>
        <w:r w:rsidR="007F2617">
          <w:rPr>
            <w:noProof/>
            <w:webHidden/>
          </w:rPr>
          <w:fldChar w:fldCharType="begin"/>
        </w:r>
        <w:r w:rsidR="007F2617">
          <w:rPr>
            <w:noProof/>
            <w:webHidden/>
          </w:rPr>
          <w:instrText xml:space="preserve"> PAGEREF _Toc6473193 \h </w:instrText>
        </w:r>
        <w:r w:rsidR="007F2617">
          <w:rPr>
            <w:noProof/>
            <w:webHidden/>
          </w:rPr>
        </w:r>
        <w:r w:rsidR="007F2617">
          <w:rPr>
            <w:noProof/>
            <w:webHidden/>
          </w:rPr>
          <w:fldChar w:fldCharType="separate"/>
        </w:r>
        <w:r w:rsidR="00301AD4">
          <w:rPr>
            <w:noProof/>
            <w:webHidden/>
          </w:rPr>
          <w:t>256</w:t>
        </w:r>
        <w:r w:rsidR="007F2617">
          <w:rPr>
            <w:noProof/>
            <w:webHidden/>
          </w:rPr>
          <w:fldChar w:fldCharType="end"/>
        </w:r>
      </w:hyperlink>
    </w:p>
    <w:p w14:paraId="59626E84" w14:textId="015AC458" w:rsidR="007F2617" w:rsidRDefault="000E3509" w:rsidP="005B3EEC">
      <w:pPr>
        <w:pStyle w:val="TOC7"/>
        <w:rPr>
          <w:rFonts w:asciiTheme="minorHAnsi" w:eastAsiaTheme="minorEastAsia" w:hAnsiTheme="minorHAnsi" w:cstheme="minorBidi"/>
          <w:noProof/>
          <w:sz w:val="22"/>
          <w:szCs w:val="22"/>
        </w:rPr>
      </w:pPr>
      <w:hyperlink w:anchor="_Toc6473194" w:history="1">
        <w:r w:rsidR="007F2617" w:rsidRPr="00F83BBB">
          <w:rPr>
            <w:rStyle w:val="Hyperlink"/>
            <w:noProof/>
            <w:lang w:eastAsia="en-US"/>
          </w:rPr>
          <w:t xml:space="preserve">Table 11.56: ANOVA </w:t>
        </w:r>
        <w:r w:rsidR="005B3EEC">
          <w:rPr>
            <w:rStyle w:val="Hyperlink"/>
            <w:noProof/>
            <w:lang w:eastAsia="en-US"/>
          </w:rPr>
          <w:t>statistics</w:t>
        </w:r>
        <w:r w:rsidR="007F2617" w:rsidRPr="00F83BBB">
          <w:rPr>
            <w:rStyle w:val="Hyperlink"/>
            <w:noProof/>
            <w:lang w:eastAsia="en-US"/>
          </w:rPr>
          <w:t xml:space="preserve"> for social group demographic variable.</w:t>
        </w:r>
        <w:r w:rsidR="007F2617">
          <w:rPr>
            <w:noProof/>
            <w:webHidden/>
          </w:rPr>
          <w:tab/>
        </w:r>
        <w:r w:rsidR="007F2617">
          <w:rPr>
            <w:noProof/>
            <w:webHidden/>
          </w:rPr>
          <w:fldChar w:fldCharType="begin"/>
        </w:r>
        <w:r w:rsidR="007F2617">
          <w:rPr>
            <w:noProof/>
            <w:webHidden/>
          </w:rPr>
          <w:instrText xml:space="preserve"> PAGEREF _Toc6473194 \h </w:instrText>
        </w:r>
        <w:r w:rsidR="007F2617">
          <w:rPr>
            <w:noProof/>
            <w:webHidden/>
          </w:rPr>
        </w:r>
        <w:r w:rsidR="007F2617">
          <w:rPr>
            <w:noProof/>
            <w:webHidden/>
          </w:rPr>
          <w:fldChar w:fldCharType="separate"/>
        </w:r>
        <w:r w:rsidR="00301AD4">
          <w:rPr>
            <w:noProof/>
            <w:webHidden/>
          </w:rPr>
          <w:t>256</w:t>
        </w:r>
        <w:r w:rsidR="007F2617">
          <w:rPr>
            <w:noProof/>
            <w:webHidden/>
          </w:rPr>
          <w:fldChar w:fldCharType="end"/>
        </w:r>
      </w:hyperlink>
    </w:p>
    <w:p w14:paraId="3036B038" w14:textId="13674ECA" w:rsidR="007F2617" w:rsidRDefault="000E3509">
      <w:pPr>
        <w:pStyle w:val="TOC7"/>
        <w:rPr>
          <w:rFonts w:asciiTheme="minorHAnsi" w:eastAsiaTheme="minorEastAsia" w:hAnsiTheme="minorHAnsi" w:cstheme="minorBidi"/>
          <w:noProof/>
          <w:sz w:val="22"/>
          <w:szCs w:val="22"/>
        </w:rPr>
      </w:pPr>
      <w:hyperlink w:anchor="_Toc6473195" w:history="1">
        <w:r w:rsidR="007F2617" w:rsidRPr="00F83BBB">
          <w:rPr>
            <w:rStyle w:val="Hyperlink"/>
            <w:noProof/>
            <w:lang w:eastAsia="en-US"/>
          </w:rPr>
          <w:t xml:space="preserve">Table 11.57: Descriptive statistics for social group demographic </w:t>
        </w:r>
        <w:r w:rsidR="007F2617">
          <w:rPr>
            <w:rStyle w:val="Hyperlink"/>
            <w:noProof/>
            <w:lang w:eastAsia="en-US"/>
          </w:rPr>
          <w:br/>
        </w:r>
        <w:r w:rsidR="007F2617" w:rsidRPr="00F83BBB">
          <w:rPr>
            <w:rStyle w:val="Hyperlink"/>
            <w:noProof/>
            <w:lang w:eastAsia="en-US"/>
          </w:rPr>
          <w:t>variable.</w:t>
        </w:r>
        <w:r w:rsidR="007F2617">
          <w:rPr>
            <w:noProof/>
            <w:webHidden/>
          </w:rPr>
          <w:tab/>
        </w:r>
        <w:r w:rsidR="007F2617">
          <w:rPr>
            <w:noProof/>
            <w:webHidden/>
          </w:rPr>
          <w:fldChar w:fldCharType="begin"/>
        </w:r>
        <w:r w:rsidR="007F2617">
          <w:rPr>
            <w:noProof/>
            <w:webHidden/>
          </w:rPr>
          <w:instrText xml:space="preserve"> PAGEREF _Toc6473195 \h </w:instrText>
        </w:r>
        <w:r w:rsidR="007F2617">
          <w:rPr>
            <w:noProof/>
            <w:webHidden/>
          </w:rPr>
        </w:r>
        <w:r w:rsidR="007F2617">
          <w:rPr>
            <w:noProof/>
            <w:webHidden/>
          </w:rPr>
          <w:fldChar w:fldCharType="separate"/>
        </w:r>
        <w:r w:rsidR="00301AD4">
          <w:rPr>
            <w:noProof/>
            <w:webHidden/>
          </w:rPr>
          <w:t>256</w:t>
        </w:r>
        <w:r w:rsidR="007F2617">
          <w:rPr>
            <w:noProof/>
            <w:webHidden/>
          </w:rPr>
          <w:fldChar w:fldCharType="end"/>
        </w:r>
      </w:hyperlink>
    </w:p>
    <w:p w14:paraId="3D132E42" w14:textId="3CAFF87B" w:rsidR="007F2617" w:rsidRDefault="000E3509" w:rsidP="005B3EEC">
      <w:pPr>
        <w:pStyle w:val="TOC7"/>
        <w:rPr>
          <w:rFonts w:asciiTheme="minorHAnsi" w:eastAsiaTheme="minorEastAsia" w:hAnsiTheme="minorHAnsi" w:cstheme="minorBidi"/>
          <w:noProof/>
          <w:sz w:val="22"/>
          <w:szCs w:val="22"/>
        </w:rPr>
      </w:pPr>
      <w:hyperlink w:anchor="_Toc6473196" w:history="1">
        <w:r w:rsidR="007F2617" w:rsidRPr="00F83BBB">
          <w:rPr>
            <w:rStyle w:val="Hyperlink"/>
            <w:noProof/>
            <w:lang w:eastAsia="en-US"/>
          </w:rPr>
          <w:t xml:space="preserve">Table 11.58: ANOVA </w:t>
        </w:r>
        <w:r w:rsidR="005B3EEC">
          <w:rPr>
            <w:rStyle w:val="Hyperlink"/>
            <w:noProof/>
            <w:lang w:eastAsia="en-US"/>
          </w:rPr>
          <w:t>statistics</w:t>
        </w:r>
        <w:r w:rsidR="007F2617" w:rsidRPr="00F83BBB">
          <w:rPr>
            <w:rStyle w:val="Hyperlink"/>
            <w:noProof/>
            <w:lang w:eastAsia="en-US"/>
          </w:rPr>
          <w:t xml:space="preserve"> for mother’s social group demographic </w:t>
        </w:r>
        <w:r w:rsidR="00301AD4">
          <w:rPr>
            <w:rStyle w:val="Hyperlink"/>
            <w:noProof/>
            <w:lang w:eastAsia="en-US"/>
          </w:rPr>
          <w:t xml:space="preserve"> </w:t>
        </w:r>
        <w:r w:rsidR="00301AD4">
          <w:rPr>
            <w:rStyle w:val="Hyperlink"/>
            <w:noProof/>
            <w:lang w:eastAsia="en-US"/>
          </w:rPr>
          <w:br/>
        </w:r>
        <w:r w:rsidR="007F2617" w:rsidRPr="00F83BBB">
          <w:rPr>
            <w:rStyle w:val="Hyperlink"/>
            <w:noProof/>
            <w:lang w:eastAsia="en-US"/>
          </w:rPr>
          <w:t>variable.</w:t>
        </w:r>
        <w:r w:rsidR="007F2617">
          <w:rPr>
            <w:noProof/>
            <w:webHidden/>
          </w:rPr>
          <w:tab/>
        </w:r>
        <w:r w:rsidR="007F2617">
          <w:rPr>
            <w:noProof/>
            <w:webHidden/>
          </w:rPr>
          <w:fldChar w:fldCharType="begin"/>
        </w:r>
        <w:r w:rsidR="007F2617">
          <w:rPr>
            <w:noProof/>
            <w:webHidden/>
          </w:rPr>
          <w:instrText xml:space="preserve"> PAGEREF _Toc6473196 \h </w:instrText>
        </w:r>
        <w:r w:rsidR="007F2617">
          <w:rPr>
            <w:noProof/>
            <w:webHidden/>
          </w:rPr>
        </w:r>
        <w:r w:rsidR="007F2617">
          <w:rPr>
            <w:noProof/>
            <w:webHidden/>
          </w:rPr>
          <w:fldChar w:fldCharType="separate"/>
        </w:r>
        <w:r w:rsidR="00301AD4">
          <w:rPr>
            <w:noProof/>
            <w:webHidden/>
          </w:rPr>
          <w:t>257</w:t>
        </w:r>
        <w:r w:rsidR="007F2617">
          <w:rPr>
            <w:noProof/>
            <w:webHidden/>
          </w:rPr>
          <w:fldChar w:fldCharType="end"/>
        </w:r>
      </w:hyperlink>
    </w:p>
    <w:p w14:paraId="23E2729E" w14:textId="61E6FB9D" w:rsidR="007F2617" w:rsidRDefault="000E3509">
      <w:pPr>
        <w:pStyle w:val="TOC7"/>
        <w:rPr>
          <w:rFonts w:asciiTheme="minorHAnsi" w:eastAsiaTheme="minorEastAsia" w:hAnsiTheme="minorHAnsi" w:cstheme="minorBidi"/>
          <w:noProof/>
          <w:sz w:val="22"/>
          <w:szCs w:val="22"/>
        </w:rPr>
      </w:pPr>
      <w:hyperlink w:anchor="_Toc6473197" w:history="1">
        <w:r w:rsidR="007F2617" w:rsidRPr="00F83BBB">
          <w:rPr>
            <w:rStyle w:val="Hyperlink"/>
            <w:noProof/>
            <w:lang w:eastAsia="en-US"/>
          </w:rPr>
          <w:t xml:space="preserve">Table 11.59: Post-hoc test results for mother’s social group </w:t>
        </w:r>
        <w:r w:rsidR="007F2617">
          <w:rPr>
            <w:rStyle w:val="Hyperlink"/>
            <w:noProof/>
            <w:lang w:eastAsia="en-US"/>
          </w:rPr>
          <w:br/>
        </w:r>
        <w:r w:rsidR="007F2617" w:rsidRPr="00F83BBB">
          <w:rPr>
            <w:rStyle w:val="Hyperlink"/>
            <w:noProof/>
            <w:lang w:eastAsia="en-US"/>
          </w:rPr>
          <w:t>demographic variable.</w:t>
        </w:r>
        <w:r w:rsidR="007F2617">
          <w:rPr>
            <w:noProof/>
            <w:webHidden/>
          </w:rPr>
          <w:tab/>
        </w:r>
        <w:r w:rsidR="007F2617">
          <w:rPr>
            <w:noProof/>
            <w:webHidden/>
          </w:rPr>
          <w:fldChar w:fldCharType="begin"/>
        </w:r>
        <w:r w:rsidR="007F2617">
          <w:rPr>
            <w:noProof/>
            <w:webHidden/>
          </w:rPr>
          <w:instrText xml:space="preserve"> PAGEREF _Toc6473197 \h </w:instrText>
        </w:r>
        <w:r w:rsidR="007F2617">
          <w:rPr>
            <w:noProof/>
            <w:webHidden/>
          </w:rPr>
        </w:r>
        <w:r w:rsidR="007F2617">
          <w:rPr>
            <w:noProof/>
            <w:webHidden/>
          </w:rPr>
          <w:fldChar w:fldCharType="separate"/>
        </w:r>
        <w:r w:rsidR="00301AD4">
          <w:rPr>
            <w:noProof/>
            <w:webHidden/>
          </w:rPr>
          <w:t>257</w:t>
        </w:r>
        <w:r w:rsidR="007F2617">
          <w:rPr>
            <w:noProof/>
            <w:webHidden/>
          </w:rPr>
          <w:fldChar w:fldCharType="end"/>
        </w:r>
      </w:hyperlink>
    </w:p>
    <w:p w14:paraId="4153ECAB" w14:textId="5C3D3366" w:rsidR="007F2617" w:rsidRDefault="000E3509">
      <w:pPr>
        <w:pStyle w:val="TOC7"/>
        <w:rPr>
          <w:rFonts w:asciiTheme="minorHAnsi" w:eastAsiaTheme="minorEastAsia" w:hAnsiTheme="minorHAnsi" w:cstheme="minorBidi"/>
          <w:noProof/>
          <w:sz w:val="22"/>
          <w:szCs w:val="22"/>
        </w:rPr>
      </w:pPr>
      <w:hyperlink w:anchor="_Toc6473198" w:history="1">
        <w:r w:rsidR="007F2617" w:rsidRPr="00F83BBB">
          <w:rPr>
            <w:rStyle w:val="Hyperlink"/>
            <w:noProof/>
            <w:lang w:eastAsia="en-US"/>
          </w:rPr>
          <w:t xml:space="preserve">Table 11.60: ANOVA statistics for spouse’s social group </w:t>
        </w:r>
        <w:r w:rsidR="007F2617">
          <w:rPr>
            <w:rStyle w:val="Hyperlink"/>
            <w:noProof/>
            <w:lang w:eastAsia="en-US"/>
          </w:rPr>
          <w:br/>
        </w:r>
        <w:r w:rsidR="007F2617" w:rsidRPr="00F83BBB">
          <w:rPr>
            <w:rStyle w:val="Hyperlink"/>
            <w:noProof/>
            <w:lang w:eastAsia="en-US"/>
          </w:rPr>
          <w:t>demographic variable.</w:t>
        </w:r>
        <w:r w:rsidR="007F2617">
          <w:rPr>
            <w:noProof/>
            <w:webHidden/>
          </w:rPr>
          <w:tab/>
        </w:r>
        <w:r w:rsidR="007F2617">
          <w:rPr>
            <w:noProof/>
            <w:webHidden/>
          </w:rPr>
          <w:fldChar w:fldCharType="begin"/>
        </w:r>
        <w:r w:rsidR="007F2617">
          <w:rPr>
            <w:noProof/>
            <w:webHidden/>
          </w:rPr>
          <w:instrText xml:space="preserve"> PAGEREF _Toc6473198 \h </w:instrText>
        </w:r>
        <w:r w:rsidR="007F2617">
          <w:rPr>
            <w:noProof/>
            <w:webHidden/>
          </w:rPr>
        </w:r>
        <w:r w:rsidR="007F2617">
          <w:rPr>
            <w:noProof/>
            <w:webHidden/>
          </w:rPr>
          <w:fldChar w:fldCharType="separate"/>
        </w:r>
        <w:r w:rsidR="00301AD4">
          <w:rPr>
            <w:noProof/>
            <w:webHidden/>
          </w:rPr>
          <w:t>257</w:t>
        </w:r>
        <w:r w:rsidR="007F2617">
          <w:rPr>
            <w:noProof/>
            <w:webHidden/>
          </w:rPr>
          <w:fldChar w:fldCharType="end"/>
        </w:r>
      </w:hyperlink>
    </w:p>
    <w:p w14:paraId="4BAB2AB8" w14:textId="7030E798" w:rsidR="007F2617" w:rsidRDefault="000E3509">
      <w:pPr>
        <w:pStyle w:val="TOC7"/>
        <w:rPr>
          <w:rFonts w:asciiTheme="minorHAnsi" w:eastAsiaTheme="minorEastAsia" w:hAnsiTheme="minorHAnsi" w:cstheme="minorBidi"/>
          <w:noProof/>
          <w:sz w:val="22"/>
          <w:szCs w:val="22"/>
        </w:rPr>
      </w:pPr>
      <w:hyperlink w:anchor="_Toc6473199" w:history="1">
        <w:r w:rsidR="007F2617" w:rsidRPr="00F83BBB">
          <w:rPr>
            <w:rStyle w:val="Hyperlink"/>
            <w:noProof/>
            <w:lang w:eastAsia="en-US"/>
          </w:rPr>
          <w:t xml:space="preserve">Table 11.61: Descriptive statistics for spouse’s social group </w:t>
        </w:r>
        <w:r w:rsidR="007F2617">
          <w:rPr>
            <w:rStyle w:val="Hyperlink"/>
            <w:noProof/>
            <w:lang w:eastAsia="en-US"/>
          </w:rPr>
          <w:br/>
        </w:r>
        <w:r w:rsidR="007F2617" w:rsidRPr="00F83BBB">
          <w:rPr>
            <w:rStyle w:val="Hyperlink"/>
            <w:noProof/>
            <w:lang w:eastAsia="en-US"/>
          </w:rPr>
          <w:t>demographic variable.</w:t>
        </w:r>
        <w:r w:rsidR="007F2617">
          <w:rPr>
            <w:noProof/>
            <w:webHidden/>
          </w:rPr>
          <w:tab/>
        </w:r>
        <w:r w:rsidR="007F2617">
          <w:rPr>
            <w:noProof/>
            <w:webHidden/>
          </w:rPr>
          <w:fldChar w:fldCharType="begin"/>
        </w:r>
        <w:r w:rsidR="007F2617">
          <w:rPr>
            <w:noProof/>
            <w:webHidden/>
          </w:rPr>
          <w:instrText xml:space="preserve"> PAGEREF _Toc6473199 \h </w:instrText>
        </w:r>
        <w:r w:rsidR="007F2617">
          <w:rPr>
            <w:noProof/>
            <w:webHidden/>
          </w:rPr>
        </w:r>
        <w:r w:rsidR="007F2617">
          <w:rPr>
            <w:noProof/>
            <w:webHidden/>
          </w:rPr>
          <w:fldChar w:fldCharType="separate"/>
        </w:r>
        <w:r w:rsidR="00301AD4">
          <w:rPr>
            <w:noProof/>
            <w:webHidden/>
          </w:rPr>
          <w:t>258</w:t>
        </w:r>
        <w:r w:rsidR="007F2617">
          <w:rPr>
            <w:noProof/>
            <w:webHidden/>
          </w:rPr>
          <w:fldChar w:fldCharType="end"/>
        </w:r>
      </w:hyperlink>
    </w:p>
    <w:p w14:paraId="0092C371" w14:textId="35F6CFCC" w:rsidR="007F2617" w:rsidRDefault="000E3509" w:rsidP="005B3EEC">
      <w:pPr>
        <w:pStyle w:val="TOC7"/>
        <w:rPr>
          <w:rFonts w:asciiTheme="minorHAnsi" w:eastAsiaTheme="minorEastAsia" w:hAnsiTheme="minorHAnsi" w:cstheme="minorBidi"/>
          <w:noProof/>
          <w:sz w:val="22"/>
          <w:szCs w:val="22"/>
        </w:rPr>
      </w:pPr>
      <w:hyperlink w:anchor="_Toc6473200" w:history="1">
        <w:r w:rsidR="007F2617" w:rsidRPr="00F83BBB">
          <w:rPr>
            <w:rStyle w:val="Hyperlink"/>
            <w:noProof/>
            <w:lang w:eastAsia="en-US"/>
          </w:rPr>
          <w:t xml:space="preserve">Table 11.62: ANOVA </w:t>
        </w:r>
        <w:r w:rsidR="005B3EEC">
          <w:rPr>
            <w:rStyle w:val="Hyperlink"/>
            <w:noProof/>
            <w:lang w:eastAsia="en-US"/>
          </w:rPr>
          <w:t>statistics</w:t>
        </w:r>
        <w:r w:rsidR="007F2617" w:rsidRPr="00F83BBB">
          <w:rPr>
            <w:rStyle w:val="Hyperlink"/>
            <w:noProof/>
            <w:lang w:eastAsia="en-US"/>
          </w:rPr>
          <w:t xml:space="preserve"> for social group demographic variable.</w:t>
        </w:r>
        <w:r w:rsidR="007F2617">
          <w:rPr>
            <w:noProof/>
            <w:webHidden/>
          </w:rPr>
          <w:tab/>
        </w:r>
        <w:r w:rsidR="007F2617">
          <w:rPr>
            <w:noProof/>
            <w:webHidden/>
          </w:rPr>
          <w:fldChar w:fldCharType="begin"/>
        </w:r>
        <w:r w:rsidR="007F2617">
          <w:rPr>
            <w:noProof/>
            <w:webHidden/>
          </w:rPr>
          <w:instrText xml:space="preserve"> PAGEREF _Toc6473200 \h </w:instrText>
        </w:r>
        <w:r w:rsidR="007F2617">
          <w:rPr>
            <w:noProof/>
            <w:webHidden/>
          </w:rPr>
        </w:r>
        <w:r w:rsidR="007F2617">
          <w:rPr>
            <w:noProof/>
            <w:webHidden/>
          </w:rPr>
          <w:fldChar w:fldCharType="separate"/>
        </w:r>
        <w:r w:rsidR="00301AD4">
          <w:rPr>
            <w:noProof/>
            <w:webHidden/>
          </w:rPr>
          <w:t>258</w:t>
        </w:r>
        <w:r w:rsidR="007F2617">
          <w:rPr>
            <w:noProof/>
            <w:webHidden/>
          </w:rPr>
          <w:fldChar w:fldCharType="end"/>
        </w:r>
      </w:hyperlink>
    </w:p>
    <w:p w14:paraId="19607D6D" w14:textId="7BDFDB30" w:rsidR="007F2617" w:rsidRDefault="000E3509">
      <w:pPr>
        <w:pStyle w:val="TOC7"/>
        <w:rPr>
          <w:rFonts w:asciiTheme="minorHAnsi" w:eastAsiaTheme="minorEastAsia" w:hAnsiTheme="minorHAnsi" w:cstheme="minorBidi"/>
          <w:noProof/>
          <w:sz w:val="22"/>
          <w:szCs w:val="22"/>
        </w:rPr>
      </w:pPr>
      <w:hyperlink w:anchor="_Toc6473201" w:history="1">
        <w:r w:rsidR="007F2617" w:rsidRPr="00F83BBB">
          <w:rPr>
            <w:rStyle w:val="Hyperlink"/>
            <w:noProof/>
            <w:lang w:eastAsia="en-US"/>
          </w:rPr>
          <w:t xml:space="preserve">Table 11.63: Descriptive statistics for social group demographic </w:t>
        </w:r>
        <w:r w:rsidR="007F2617">
          <w:rPr>
            <w:rStyle w:val="Hyperlink"/>
            <w:noProof/>
            <w:lang w:eastAsia="en-US"/>
          </w:rPr>
          <w:br/>
        </w:r>
        <w:r w:rsidR="007F2617" w:rsidRPr="00F83BBB">
          <w:rPr>
            <w:rStyle w:val="Hyperlink"/>
            <w:noProof/>
            <w:lang w:eastAsia="en-US"/>
          </w:rPr>
          <w:t>variable.</w:t>
        </w:r>
        <w:r w:rsidR="007F2617">
          <w:rPr>
            <w:noProof/>
            <w:webHidden/>
          </w:rPr>
          <w:tab/>
        </w:r>
        <w:r w:rsidR="007F2617">
          <w:rPr>
            <w:noProof/>
            <w:webHidden/>
          </w:rPr>
          <w:fldChar w:fldCharType="begin"/>
        </w:r>
        <w:r w:rsidR="007F2617">
          <w:rPr>
            <w:noProof/>
            <w:webHidden/>
          </w:rPr>
          <w:instrText xml:space="preserve"> PAGEREF _Toc6473201 \h </w:instrText>
        </w:r>
        <w:r w:rsidR="007F2617">
          <w:rPr>
            <w:noProof/>
            <w:webHidden/>
          </w:rPr>
        </w:r>
        <w:r w:rsidR="007F2617">
          <w:rPr>
            <w:noProof/>
            <w:webHidden/>
          </w:rPr>
          <w:fldChar w:fldCharType="separate"/>
        </w:r>
        <w:r w:rsidR="00301AD4">
          <w:rPr>
            <w:noProof/>
            <w:webHidden/>
          </w:rPr>
          <w:t>258</w:t>
        </w:r>
        <w:r w:rsidR="007F2617">
          <w:rPr>
            <w:noProof/>
            <w:webHidden/>
          </w:rPr>
          <w:fldChar w:fldCharType="end"/>
        </w:r>
      </w:hyperlink>
    </w:p>
    <w:p w14:paraId="25B87AFE" w14:textId="77777777" w:rsidR="007F2617" w:rsidRDefault="000E3509">
      <w:pPr>
        <w:pStyle w:val="TOC7"/>
        <w:rPr>
          <w:rFonts w:asciiTheme="minorHAnsi" w:eastAsiaTheme="minorEastAsia" w:hAnsiTheme="minorHAnsi" w:cstheme="minorBidi"/>
          <w:noProof/>
          <w:sz w:val="22"/>
          <w:szCs w:val="22"/>
        </w:rPr>
      </w:pPr>
      <w:hyperlink w:anchor="_Toc6473202" w:history="1">
        <w:r w:rsidR="007F2617" w:rsidRPr="00F83BBB">
          <w:rPr>
            <w:rStyle w:val="Hyperlink"/>
            <w:noProof/>
            <w:lang w:eastAsia="en-US"/>
          </w:rPr>
          <w:t>Table 11.64: ANOVA statistics for gender demographic variable.</w:t>
        </w:r>
        <w:r w:rsidR="007F2617">
          <w:rPr>
            <w:noProof/>
            <w:webHidden/>
          </w:rPr>
          <w:tab/>
        </w:r>
        <w:r w:rsidR="007F2617">
          <w:rPr>
            <w:noProof/>
            <w:webHidden/>
          </w:rPr>
          <w:fldChar w:fldCharType="begin"/>
        </w:r>
        <w:r w:rsidR="007F2617">
          <w:rPr>
            <w:noProof/>
            <w:webHidden/>
          </w:rPr>
          <w:instrText xml:space="preserve"> PAGEREF _Toc6473202 \h </w:instrText>
        </w:r>
        <w:r w:rsidR="007F2617">
          <w:rPr>
            <w:noProof/>
            <w:webHidden/>
          </w:rPr>
        </w:r>
        <w:r w:rsidR="007F2617">
          <w:rPr>
            <w:noProof/>
            <w:webHidden/>
          </w:rPr>
          <w:fldChar w:fldCharType="separate"/>
        </w:r>
        <w:r w:rsidR="00301AD4">
          <w:rPr>
            <w:noProof/>
            <w:webHidden/>
          </w:rPr>
          <w:t>261</w:t>
        </w:r>
        <w:r w:rsidR="007F2617">
          <w:rPr>
            <w:noProof/>
            <w:webHidden/>
          </w:rPr>
          <w:fldChar w:fldCharType="end"/>
        </w:r>
      </w:hyperlink>
    </w:p>
    <w:p w14:paraId="315330B0" w14:textId="77777777" w:rsidR="007F2617" w:rsidRDefault="000E3509">
      <w:pPr>
        <w:pStyle w:val="TOC7"/>
        <w:rPr>
          <w:rFonts w:asciiTheme="minorHAnsi" w:eastAsiaTheme="minorEastAsia" w:hAnsiTheme="minorHAnsi" w:cstheme="minorBidi"/>
          <w:noProof/>
          <w:sz w:val="22"/>
          <w:szCs w:val="22"/>
        </w:rPr>
      </w:pPr>
      <w:hyperlink w:anchor="_Toc6473203" w:history="1">
        <w:r w:rsidR="007F2617" w:rsidRPr="00F83BBB">
          <w:rPr>
            <w:rStyle w:val="Hyperlink"/>
            <w:noProof/>
            <w:lang w:eastAsia="en-US"/>
          </w:rPr>
          <w:t>Table 11.65: Descriptive statistics for gender demographic variable.</w:t>
        </w:r>
        <w:r w:rsidR="007F2617">
          <w:rPr>
            <w:noProof/>
            <w:webHidden/>
          </w:rPr>
          <w:tab/>
        </w:r>
        <w:r w:rsidR="007F2617">
          <w:rPr>
            <w:noProof/>
            <w:webHidden/>
          </w:rPr>
          <w:fldChar w:fldCharType="begin"/>
        </w:r>
        <w:r w:rsidR="007F2617">
          <w:rPr>
            <w:noProof/>
            <w:webHidden/>
          </w:rPr>
          <w:instrText xml:space="preserve"> PAGEREF _Toc6473203 \h </w:instrText>
        </w:r>
        <w:r w:rsidR="007F2617">
          <w:rPr>
            <w:noProof/>
            <w:webHidden/>
          </w:rPr>
        </w:r>
        <w:r w:rsidR="007F2617">
          <w:rPr>
            <w:noProof/>
            <w:webHidden/>
          </w:rPr>
          <w:fldChar w:fldCharType="separate"/>
        </w:r>
        <w:r w:rsidR="00301AD4">
          <w:rPr>
            <w:noProof/>
            <w:webHidden/>
          </w:rPr>
          <w:t>261</w:t>
        </w:r>
        <w:r w:rsidR="007F2617">
          <w:rPr>
            <w:noProof/>
            <w:webHidden/>
          </w:rPr>
          <w:fldChar w:fldCharType="end"/>
        </w:r>
      </w:hyperlink>
    </w:p>
    <w:p w14:paraId="5F7F99ED" w14:textId="3F8D0CD1" w:rsidR="007F2617" w:rsidRDefault="000E3509" w:rsidP="005B3EEC">
      <w:pPr>
        <w:pStyle w:val="TOC7"/>
        <w:rPr>
          <w:rFonts w:asciiTheme="minorHAnsi" w:eastAsiaTheme="minorEastAsia" w:hAnsiTheme="minorHAnsi" w:cstheme="minorBidi"/>
          <w:noProof/>
          <w:sz w:val="22"/>
          <w:szCs w:val="22"/>
        </w:rPr>
      </w:pPr>
      <w:hyperlink w:anchor="_Toc6473204" w:history="1">
        <w:r w:rsidR="007F2617" w:rsidRPr="00F83BBB">
          <w:rPr>
            <w:rStyle w:val="Hyperlink"/>
            <w:noProof/>
            <w:lang w:eastAsia="en-US"/>
          </w:rPr>
          <w:t xml:space="preserve">Table 11.66: ANOVA </w:t>
        </w:r>
        <w:r w:rsidR="005B3EEC">
          <w:rPr>
            <w:rStyle w:val="Hyperlink"/>
            <w:noProof/>
            <w:lang w:eastAsia="en-US"/>
          </w:rPr>
          <w:t>statistics</w:t>
        </w:r>
        <w:r w:rsidR="007F2617" w:rsidRPr="00F83BBB">
          <w:rPr>
            <w:rStyle w:val="Hyperlink"/>
            <w:noProof/>
            <w:lang w:eastAsia="en-US"/>
          </w:rPr>
          <w:t xml:space="preserve"> for social group demographic variable.</w:t>
        </w:r>
        <w:r w:rsidR="007F2617">
          <w:rPr>
            <w:noProof/>
            <w:webHidden/>
          </w:rPr>
          <w:tab/>
        </w:r>
        <w:r w:rsidR="007F2617">
          <w:rPr>
            <w:noProof/>
            <w:webHidden/>
          </w:rPr>
          <w:fldChar w:fldCharType="begin"/>
        </w:r>
        <w:r w:rsidR="007F2617">
          <w:rPr>
            <w:noProof/>
            <w:webHidden/>
          </w:rPr>
          <w:instrText xml:space="preserve"> PAGEREF _Toc6473204 \h </w:instrText>
        </w:r>
        <w:r w:rsidR="007F2617">
          <w:rPr>
            <w:noProof/>
            <w:webHidden/>
          </w:rPr>
        </w:r>
        <w:r w:rsidR="007F2617">
          <w:rPr>
            <w:noProof/>
            <w:webHidden/>
          </w:rPr>
          <w:fldChar w:fldCharType="separate"/>
        </w:r>
        <w:r w:rsidR="00301AD4">
          <w:rPr>
            <w:noProof/>
            <w:webHidden/>
          </w:rPr>
          <w:t>261</w:t>
        </w:r>
        <w:r w:rsidR="007F2617">
          <w:rPr>
            <w:noProof/>
            <w:webHidden/>
          </w:rPr>
          <w:fldChar w:fldCharType="end"/>
        </w:r>
      </w:hyperlink>
    </w:p>
    <w:p w14:paraId="3D411451" w14:textId="003C2D4A" w:rsidR="007F2617" w:rsidRDefault="000E3509">
      <w:pPr>
        <w:pStyle w:val="TOC7"/>
        <w:rPr>
          <w:rFonts w:asciiTheme="minorHAnsi" w:eastAsiaTheme="minorEastAsia" w:hAnsiTheme="minorHAnsi" w:cstheme="minorBidi"/>
          <w:noProof/>
          <w:sz w:val="22"/>
          <w:szCs w:val="22"/>
        </w:rPr>
      </w:pPr>
      <w:hyperlink w:anchor="_Toc6473205" w:history="1">
        <w:r w:rsidR="007F2617" w:rsidRPr="00F83BBB">
          <w:rPr>
            <w:rStyle w:val="Hyperlink"/>
            <w:noProof/>
            <w:lang w:eastAsia="en-US"/>
          </w:rPr>
          <w:t xml:space="preserve">Table 11.67: Descriptive statistics for social group demographic </w:t>
        </w:r>
        <w:r w:rsidR="007F2617">
          <w:rPr>
            <w:rStyle w:val="Hyperlink"/>
            <w:noProof/>
            <w:lang w:eastAsia="en-US"/>
          </w:rPr>
          <w:br/>
        </w:r>
        <w:r w:rsidR="00F97841">
          <w:rPr>
            <w:rStyle w:val="Hyperlink"/>
            <w:noProof/>
            <w:lang w:eastAsia="en-US"/>
          </w:rPr>
          <w:t xml:space="preserve"> </w:t>
        </w:r>
        <w:r w:rsidR="007F2617" w:rsidRPr="00F83BBB">
          <w:rPr>
            <w:rStyle w:val="Hyperlink"/>
            <w:noProof/>
            <w:lang w:eastAsia="en-US"/>
          </w:rPr>
          <w:t>variable.</w:t>
        </w:r>
        <w:r w:rsidR="007F2617">
          <w:rPr>
            <w:noProof/>
            <w:webHidden/>
          </w:rPr>
          <w:tab/>
        </w:r>
        <w:r w:rsidR="007F2617">
          <w:rPr>
            <w:noProof/>
            <w:webHidden/>
          </w:rPr>
          <w:fldChar w:fldCharType="begin"/>
        </w:r>
        <w:r w:rsidR="007F2617">
          <w:rPr>
            <w:noProof/>
            <w:webHidden/>
          </w:rPr>
          <w:instrText xml:space="preserve"> PAGEREF _Toc6473205 \h </w:instrText>
        </w:r>
        <w:r w:rsidR="007F2617">
          <w:rPr>
            <w:noProof/>
            <w:webHidden/>
          </w:rPr>
        </w:r>
        <w:r w:rsidR="007F2617">
          <w:rPr>
            <w:noProof/>
            <w:webHidden/>
          </w:rPr>
          <w:fldChar w:fldCharType="separate"/>
        </w:r>
        <w:r w:rsidR="00301AD4">
          <w:rPr>
            <w:noProof/>
            <w:webHidden/>
          </w:rPr>
          <w:t>261</w:t>
        </w:r>
        <w:r w:rsidR="007F2617">
          <w:rPr>
            <w:noProof/>
            <w:webHidden/>
          </w:rPr>
          <w:fldChar w:fldCharType="end"/>
        </w:r>
      </w:hyperlink>
    </w:p>
    <w:p w14:paraId="04B54949" w14:textId="7B3207BF" w:rsidR="007F2617" w:rsidRDefault="000E3509">
      <w:pPr>
        <w:pStyle w:val="TOC7"/>
        <w:rPr>
          <w:rFonts w:asciiTheme="minorHAnsi" w:eastAsiaTheme="minorEastAsia" w:hAnsiTheme="minorHAnsi" w:cstheme="minorBidi"/>
          <w:noProof/>
          <w:sz w:val="22"/>
          <w:szCs w:val="22"/>
        </w:rPr>
      </w:pPr>
      <w:hyperlink w:anchor="_Toc6473206" w:history="1">
        <w:r w:rsidR="007F2617" w:rsidRPr="00F83BBB">
          <w:rPr>
            <w:rStyle w:val="Hyperlink"/>
            <w:noProof/>
            <w:lang w:eastAsia="en-US"/>
          </w:rPr>
          <w:t xml:space="preserve">Table 11.68: ANOVA statistics for mother’s social group demographic </w:t>
        </w:r>
        <w:r w:rsidR="00301AD4">
          <w:rPr>
            <w:rStyle w:val="Hyperlink"/>
            <w:noProof/>
            <w:lang w:eastAsia="en-US"/>
          </w:rPr>
          <w:t xml:space="preserve"> </w:t>
        </w:r>
        <w:r w:rsidR="00301AD4">
          <w:rPr>
            <w:rStyle w:val="Hyperlink"/>
            <w:noProof/>
            <w:lang w:eastAsia="en-US"/>
          </w:rPr>
          <w:br/>
        </w:r>
        <w:r w:rsidR="007F2617" w:rsidRPr="00F83BBB">
          <w:rPr>
            <w:rStyle w:val="Hyperlink"/>
            <w:noProof/>
            <w:lang w:eastAsia="en-US"/>
          </w:rPr>
          <w:t>variable.</w:t>
        </w:r>
        <w:r w:rsidR="007F2617">
          <w:rPr>
            <w:noProof/>
            <w:webHidden/>
          </w:rPr>
          <w:tab/>
        </w:r>
        <w:r w:rsidR="007F2617">
          <w:rPr>
            <w:noProof/>
            <w:webHidden/>
          </w:rPr>
          <w:fldChar w:fldCharType="begin"/>
        </w:r>
        <w:r w:rsidR="007F2617">
          <w:rPr>
            <w:noProof/>
            <w:webHidden/>
          </w:rPr>
          <w:instrText xml:space="preserve"> PAGEREF _Toc6473206 \h </w:instrText>
        </w:r>
        <w:r w:rsidR="007F2617">
          <w:rPr>
            <w:noProof/>
            <w:webHidden/>
          </w:rPr>
        </w:r>
        <w:r w:rsidR="007F2617">
          <w:rPr>
            <w:noProof/>
            <w:webHidden/>
          </w:rPr>
          <w:fldChar w:fldCharType="separate"/>
        </w:r>
        <w:r w:rsidR="00301AD4">
          <w:rPr>
            <w:noProof/>
            <w:webHidden/>
          </w:rPr>
          <w:t>262</w:t>
        </w:r>
        <w:r w:rsidR="007F2617">
          <w:rPr>
            <w:noProof/>
            <w:webHidden/>
          </w:rPr>
          <w:fldChar w:fldCharType="end"/>
        </w:r>
      </w:hyperlink>
    </w:p>
    <w:p w14:paraId="39C9318A" w14:textId="3B094834" w:rsidR="007F2617" w:rsidRDefault="000E3509">
      <w:pPr>
        <w:pStyle w:val="TOC7"/>
        <w:rPr>
          <w:rFonts w:asciiTheme="minorHAnsi" w:eastAsiaTheme="minorEastAsia" w:hAnsiTheme="minorHAnsi" w:cstheme="minorBidi"/>
          <w:noProof/>
          <w:sz w:val="22"/>
          <w:szCs w:val="22"/>
        </w:rPr>
      </w:pPr>
      <w:hyperlink w:anchor="_Toc6473207" w:history="1">
        <w:r w:rsidR="007F2617" w:rsidRPr="00F83BBB">
          <w:rPr>
            <w:rStyle w:val="Hyperlink"/>
            <w:noProof/>
            <w:lang w:eastAsia="en-US"/>
          </w:rPr>
          <w:t xml:space="preserve">Table 11.69: Post-hoc test results for mother’s social group </w:t>
        </w:r>
        <w:r w:rsidR="007F2617">
          <w:rPr>
            <w:rStyle w:val="Hyperlink"/>
            <w:noProof/>
            <w:lang w:eastAsia="en-US"/>
          </w:rPr>
          <w:br/>
        </w:r>
        <w:r w:rsidR="007F2617" w:rsidRPr="00F83BBB">
          <w:rPr>
            <w:rStyle w:val="Hyperlink"/>
            <w:noProof/>
            <w:lang w:eastAsia="en-US"/>
          </w:rPr>
          <w:t>demographic variable.</w:t>
        </w:r>
        <w:r w:rsidR="007F2617">
          <w:rPr>
            <w:noProof/>
            <w:webHidden/>
          </w:rPr>
          <w:tab/>
        </w:r>
        <w:r w:rsidR="007F2617">
          <w:rPr>
            <w:noProof/>
            <w:webHidden/>
          </w:rPr>
          <w:fldChar w:fldCharType="begin"/>
        </w:r>
        <w:r w:rsidR="007F2617">
          <w:rPr>
            <w:noProof/>
            <w:webHidden/>
          </w:rPr>
          <w:instrText xml:space="preserve"> PAGEREF _Toc6473207 \h </w:instrText>
        </w:r>
        <w:r w:rsidR="007F2617">
          <w:rPr>
            <w:noProof/>
            <w:webHidden/>
          </w:rPr>
        </w:r>
        <w:r w:rsidR="007F2617">
          <w:rPr>
            <w:noProof/>
            <w:webHidden/>
          </w:rPr>
          <w:fldChar w:fldCharType="separate"/>
        </w:r>
        <w:r w:rsidR="00301AD4">
          <w:rPr>
            <w:noProof/>
            <w:webHidden/>
          </w:rPr>
          <w:t>262</w:t>
        </w:r>
        <w:r w:rsidR="007F2617">
          <w:rPr>
            <w:noProof/>
            <w:webHidden/>
          </w:rPr>
          <w:fldChar w:fldCharType="end"/>
        </w:r>
      </w:hyperlink>
    </w:p>
    <w:p w14:paraId="767E4190" w14:textId="77777777" w:rsidR="007F2617" w:rsidRDefault="000E3509">
      <w:pPr>
        <w:pStyle w:val="TOC7"/>
        <w:rPr>
          <w:rFonts w:asciiTheme="minorHAnsi" w:eastAsiaTheme="minorEastAsia" w:hAnsiTheme="minorHAnsi" w:cstheme="minorBidi"/>
          <w:noProof/>
          <w:sz w:val="22"/>
          <w:szCs w:val="22"/>
        </w:rPr>
      </w:pPr>
      <w:hyperlink w:anchor="_Toc6473208" w:history="1">
        <w:r w:rsidR="007F2617" w:rsidRPr="00F83BBB">
          <w:rPr>
            <w:rStyle w:val="Hyperlink"/>
            <w:noProof/>
            <w:lang w:eastAsia="en-US"/>
          </w:rPr>
          <w:t>Table 11.70: ANOVA statistics for age demographic variable.</w:t>
        </w:r>
        <w:r w:rsidR="007F2617">
          <w:rPr>
            <w:noProof/>
            <w:webHidden/>
          </w:rPr>
          <w:tab/>
        </w:r>
        <w:r w:rsidR="007F2617">
          <w:rPr>
            <w:noProof/>
            <w:webHidden/>
          </w:rPr>
          <w:fldChar w:fldCharType="begin"/>
        </w:r>
        <w:r w:rsidR="007F2617">
          <w:rPr>
            <w:noProof/>
            <w:webHidden/>
          </w:rPr>
          <w:instrText xml:space="preserve"> PAGEREF _Toc6473208 \h </w:instrText>
        </w:r>
        <w:r w:rsidR="007F2617">
          <w:rPr>
            <w:noProof/>
            <w:webHidden/>
          </w:rPr>
        </w:r>
        <w:r w:rsidR="007F2617">
          <w:rPr>
            <w:noProof/>
            <w:webHidden/>
          </w:rPr>
          <w:fldChar w:fldCharType="separate"/>
        </w:r>
        <w:r w:rsidR="00301AD4">
          <w:rPr>
            <w:noProof/>
            <w:webHidden/>
          </w:rPr>
          <w:t>263</w:t>
        </w:r>
        <w:r w:rsidR="007F2617">
          <w:rPr>
            <w:noProof/>
            <w:webHidden/>
          </w:rPr>
          <w:fldChar w:fldCharType="end"/>
        </w:r>
      </w:hyperlink>
    </w:p>
    <w:p w14:paraId="64A6279F" w14:textId="77777777" w:rsidR="007F2617" w:rsidRDefault="000E3509">
      <w:pPr>
        <w:pStyle w:val="TOC7"/>
        <w:rPr>
          <w:rFonts w:asciiTheme="minorHAnsi" w:eastAsiaTheme="minorEastAsia" w:hAnsiTheme="minorHAnsi" w:cstheme="minorBidi"/>
          <w:noProof/>
          <w:sz w:val="22"/>
          <w:szCs w:val="22"/>
        </w:rPr>
      </w:pPr>
      <w:hyperlink w:anchor="_Toc6473209" w:history="1">
        <w:r w:rsidR="007F2617" w:rsidRPr="00F83BBB">
          <w:rPr>
            <w:rStyle w:val="Hyperlink"/>
            <w:noProof/>
            <w:lang w:eastAsia="en-US"/>
          </w:rPr>
          <w:t>Table 11.71: Descriptive statistics for age demographic variable.</w:t>
        </w:r>
        <w:r w:rsidR="007F2617">
          <w:rPr>
            <w:noProof/>
            <w:webHidden/>
          </w:rPr>
          <w:tab/>
        </w:r>
        <w:r w:rsidR="007F2617">
          <w:rPr>
            <w:noProof/>
            <w:webHidden/>
          </w:rPr>
          <w:fldChar w:fldCharType="begin"/>
        </w:r>
        <w:r w:rsidR="007F2617">
          <w:rPr>
            <w:noProof/>
            <w:webHidden/>
          </w:rPr>
          <w:instrText xml:space="preserve"> PAGEREF _Toc6473209 \h </w:instrText>
        </w:r>
        <w:r w:rsidR="007F2617">
          <w:rPr>
            <w:noProof/>
            <w:webHidden/>
          </w:rPr>
        </w:r>
        <w:r w:rsidR="007F2617">
          <w:rPr>
            <w:noProof/>
            <w:webHidden/>
          </w:rPr>
          <w:fldChar w:fldCharType="separate"/>
        </w:r>
        <w:r w:rsidR="00301AD4">
          <w:rPr>
            <w:noProof/>
            <w:webHidden/>
          </w:rPr>
          <w:t>263</w:t>
        </w:r>
        <w:r w:rsidR="007F2617">
          <w:rPr>
            <w:noProof/>
            <w:webHidden/>
          </w:rPr>
          <w:fldChar w:fldCharType="end"/>
        </w:r>
      </w:hyperlink>
    </w:p>
    <w:p w14:paraId="554AF7C5" w14:textId="77777777" w:rsidR="007F2617" w:rsidRDefault="000E3509">
      <w:pPr>
        <w:pStyle w:val="TOC7"/>
        <w:rPr>
          <w:rFonts w:asciiTheme="minorHAnsi" w:eastAsiaTheme="minorEastAsia" w:hAnsiTheme="minorHAnsi" w:cstheme="minorBidi"/>
          <w:noProof/>
          <w:sz w:val="22"/>
          <w:szCs w:val="22"/>
        </w:rPr>
      </w:pPr>
      <w:hyperlink w:anchor="_Toc6473210" w:history="1">
        <w:r w:rsidR="007F2617" w:rsidRPr="00F83BBB">
          <w:rPr>
            <w:rStyle w:val="Hyperlink"/>
            <w:noProof/>
            <w:lang w:eastAsia="en-US"/>
          </w:rPr>
          <w:t>Table 11.72: ANOVA statistics for gender demographic variable.</w:t>
        </w:r>
        <w:r w:rsidR="007F2617">
          <w:rPr>
            <w:noProof/>
            <w:webHidden/>
          </w:rPr>
          <w:tab/>
        </w:r>
        <w:r w:rsidR="007F2617">
          <w:rPr>
            <w:noProof/>
            <w:webHidden/>
          </w:rPr>
          <w:fldChar w:fldCharType="begin"/>
        </w:r>
        <w:r w:rsidR="007F2617">
          <w:rPr>
            <w:noProof/>
            <w:webHidden/>
          </w:rPr>
          <w:instrText xml:space="preserve"> PAGEREF _Toc6473210 \h </w:instrText>
        </w:r>
        <w:r w:rsidR="007F2617">
          <w:rPr>
            <w:noProof/>
            <w:webHidden/>
          </w:rPr>
        </w:r>
        <w:r w:rsidR="007F2617">
          <w:rPr>
            <w:noProof/>
            <w:webHidden/>
          </w:rPr>
          <w:fldChar w:fldCharType="separate"/>
        </w:r>
        <w:r w:rsidR="00301AD4">
          <w:rPr>
            <w:noProof/>
            <w:webHidden/>
          </w:rPr>
          <w:t>265</w:t>
        </w:r>
        <w:r w:rsidR="007F2617">
          <w:rPr>
            <w:noProof/>
            <w:webHidden/>
          </w:rPr>
          <w:fldChar w:fldCharType="end"/>
        </w:r>
      </w:hyperlink>
    </w:p>
    <w:p w14:paraId="381027D2" w14:textId="77777777" w:rsidR="007F2617" w:rsidRDefault="000E3509">
      <w:pPr>
        <w:pStyle w:val="TOC7"/>
        <w:rPr>
          <w:rFonts w:asciiTheme="minorHAnsi" w:eastAsiaTheme="minorEastAsia" w:hAnsiTheme="minorHAnsi" w:cstheme="minorBidi"/>
          <w:noProof/>
          <w:sz w:val="22"/>
          <w:szCs w:val="22"/>
        </w:rPr>
      </w:pPr>
      <w:hyperlink w:anchor="_Toc6473211" w:history="1">
        <w:r w:rsidR="007F2617" w:rsidRPr="00F83BBB">
          <w:rPr>
            <w:rStyle w:val="Hyperlink"/>
            <w:noProof/>
            <w:lang w:eastAsia="en-US"/>
          </w:rPr>
          <w:t>Table 11.73: Post-hoc test results for gender demographic variable.</w:t>
        </w:r>
        <w:r w:rsidR="007F2617">
          <w:rPr>
            <w:noProof/>
            <w:webHidden/>
          </w:rPr>
          <w:tab/>
        </w:r>
        <w:r w:rsidR="007F2617">
          <w:rPr>
            <w:noProof/>
            <w:webHidden/>
          </w:rPr>
          <w:fldChar w:fldCharType="begin"/>
        </w:r>
        <w:r w:rsidR="007F2617">
          <w:rPr>
            <w:noProof/>
            <w:webHidden/>
          </w:rPr>
          <w:instrText xml:space="preserve"> PAGEREF _Toc6473211 \h </w:instrText>
        </w:r>
        <w:r w:rsidR="007F2617">
          <w:rPr>
            <w:noProof/>
            <w:webHidden/>
          </w:rPr>
        </w:r>
        <w:r w:rsidR="007F2617">
          <w:rPr>
            <w:noProof/>
            <w:webHidden/>
          </w:rPr>
          <w:fldChar w:fldCharType="separate"/>
        </w:r>
        <w:r w:rsidR="00301AD4">
          <w:rPr>
            <w:noProof/>
            <w:webHidden/>
          </w:rPr>
          <w:t>265</w:t>
        </w:r>
        <w:r w:rsidR="007F2617">
          <w:rPr>
            <w:noProof/>
            <w:webHidden/>
          </w:rPr>
          <w:fldChar w:fldCharType="end"/>
        </w:r>
      </w:hyperlink>
    </w:p>
    <w:p w14:paraId="5ED4624D" w14:textId="77777777" w:rsidR="007F2617" w:rsidRDefault="000E3509">
      <w:pPr>
        <w:pStyle w:val="TOC7"/>
        <w:rPr>
          <w:rFonts w:asciiTheme="minorHAnsi" w:eastAsiaTheme="minorEastAsia" w:hAnsiTheme="minorHAnsi" w:cstheme="minorBidi"/>
          <w:noProof/>
          <w:sz w:val="22"/>
          <w:szCs w:val="22"/>
        </w:rPr>
      </w:pPr>
      <w:hyperlink w:anchor="_Toc6473212" w:history="1">
        <w:r w:rsidR="007F2617" w:rsidRPr="00F83BBB">
          <w:rPr>
            <w:rStyle w:val="Hyperlink"/>
            <w:noProof/>
            <w:lang w:eastAsia="en-US"/>
          </w:rPr>
          <w:t>Table 11.74: ANOVA statistics for gender demographic variable.</w:t>
        </w:r>
        <w:r w:rsidR="007F2617">
          <w:rPr>
            <w:noProof/>
            <w:webHidden/>
          </w:rPr>
          <w:tab/>
        </w:r>
        <w:r w:rsidR="007F2617">
          <w:rPr>
            <w:noProof/>
            <w:webHidden/>
          </w:rPr>
          <w:fldChar w:fldCharType="begin"/>
        </w:r>
        <w:r w:rsidR="007F2617">
          <w:rPr>
            <w:noProof/>
            <w:webHidden/>
          </w:rPr>
          <w:instrText xml:space="preserve"> PAGEREF _Toc6473212 \h </w:instrText>
        </w:r>
        <w:r w:rsidR="007F2617">
          <w:rPr>
            <w:noProof/>
            <w:webHidden/>
          </w:rPr>
        </w:r>
        <w:r w:rsidR="007F2617">
          <w:rPr>
            <w:noProof/>
            <w:webHidden/>
          </w:rPr>
          <w:fldChar w:fldCharType="separate"/>
        </w:r>
        <w:r w:rsidR="00301AD4">
          <w:rPr>
            <w:noProof/>
            <w:webHidden/>
          </w:rPr>
          <w:t>266</w:t>
        </w:r>
        <w:r w:rsidR="007F2617">
          <w:rPr>
            <w:noProof/>
            <w:webHidden/>
          </w:rPr>
          <w:fldChar w:fldCharType="end"/>
        </w:r>
      </w:hyperlink>
    </w:p>
    <w:p w14:paraId="14CC1AF6" w14:textId="77777777" w:rsidR="007F2617" w:rsidRDefault="000E3509">
      <w:pPr>
        <w:pStyle w:val="TOC7"/>
        <w:rPr>
          <w:rFonts w:asciiTheme="minorHAnsi" w:eastAsiaTheme="minorEastAsia" w:hAnsiTheme="minorHAnsi" w:cstheme="minorBidi"/>
          <w:noProof/>
          <w:sz w:val="22"/>
          <w:szCs w:val="22"/>
        </w:rPr>
      </w:pPr>
      <w:hyperlink w:anchor="_Toc6473213" w:history="1">
        <w:r w:rsidR="007F2617" w:rsidRPr="00F83BBB">
          <w:rPr>
            <w:rStyle w:val="Hyperlink"/>
            <w:noProof/>
            <w:lang w:eastAsia="en-US"/>
          </w:rPr>
          <w:t>Table 11.75: Descriptive statistics for gender demographic variable.</w:t>
        </w:r>
        <w:r w:rsidR="007F2617">
          <w:rPr>
            <w:noProof/>
            <w:webHidden/>
          </w:rPr>
          <w:tab/>
        </w:r>
        <w:r w:rsidR="007F2617">
          <w:rPr>
            <w:noProof/>
            <w:webHidden/>
          </w:rPr>
          <w:fldChar w:fldCharType="begin"/>
        </w:r>
        <w:r w:rsidR="007F2617">
          <w:rPr>
            <w:noProof/>
            <w:webHidden/>
          </w:rPr>
          <w:instrText xml:space="preserve"> PAGEREF _Toc6473213 \h </w:instrText>
        </w:r>
        <w:r w:rsidR="007F2617">
          <w:rPr>
            <w:noProof/>
            <w:webHidden/>
          </w:rPr>
        </w:r>
        <w:r w:rsidR="007F2617">
          <w:rPr>
            <w:noProof/>
            <w:webHidden/>
          </w:rPr>
          <w:fldChar w:fldCharType="separate"/>
        </w:r>
        <w:r w:rsidR="00301AD4">
          <w:rPr>
            <w:noProof/>
            <w:webHidden/>
          </w:rPr>
          <w:t>266</w:t>
        </w:r>
        <w:r w:rsidR="007F2617">
          <w:rPr>
            <w:noProof/>
            <w:webHidden/>
          </w:rPr>
          <w:fldChar w:fldCharType="end"/>
        </w:r>
      </w:hyperlink>
    </w:p>
    <w:p w14:paraId="753313EC" w14:textId="56A1926D" w:rsidR="007F2617" w:rsidRDefault="000E3509" w:rsidP="005B3EEC">
      <w:pPr>
        <w:pStyle w:val="TOC7"/>
        <w:rPr>
          <w:rFonts w:asciiTheme="minorHAnsi" w:eastAsiaTheme="minorEastAsia" w:hAnsiTheme="minorHAnsi" w:cstheme="minorBidi"/>
          <w:noProof/>
          <w:sz w:val="22"/>
          <w:szCs w:val="22"/>
        </w:rPr>
      </w:pPr>
      <w:hyperlink w:anchor="_Toc6473214" w:history="1">
        <w:r w:rsidR="007F2617" w:rsidRPr="00F83BBB">
          <w:rPr>
            <w:rStyle w:val="Hyperlink"/>
            <w:noProof/>
            <w:lang w:eastAsia="en-US"/>
          </w:rPr>
          <w:t xml:space="preserve">Table 11.76: ANOVA </w:t>
        </w:r>
        <w:bookmarkStart w:id="7" w:name="myTempMark"/>
        <w:r w:rsidR="005B3EEC">
          <w:rPr>
            <w:rStyle w:val="Hyperlink"/>
            <w:noProof/>
            <w:lang w:eastAsia="en-US"/>
          </w:rPr>
          <w:t>statistics</w:t>
        </w:r>
        <w:r w:rsidR="007F2617" w:rsidRPr="00F83BBB">
          <w:rPr>
            <w:rStyle w:val="Hyperlink"/>
            <w:noProof/>
            <w:lang w:eastAsia="en-US"/>
          </w:rPr>
          <w:t xml:space="preserve"> </w:t>
        </w:r>
        <w:bookmarkEnd w:id="7"/>
        <w:r w:rsidR="007F2617" w:rsidRPr="00F83BBB">
          <w:rPr>
            <w:rStyle w:val="Hyperlink"/>
            <w:noProof/>
            <w:lang w:eastAsia="en-US"/>
          </w:rPr>
          <w:t>for social group demographic variable.</w:t>
        </w:r>
        <w:r w:rsidR="007F2617">
          <w:rPr>
            <w:noProof/>
            <w:webHidden/>
          </w:rPr>
          <w:tab/>
        </w:r>
        <w:r w:rsidR="007F2617">
          <w:rPr>
            <w:noProof/>
            <w:webHidden/>
          </w:rPr>
          <w:fldChar w:fldCharType="begin"/>
        </w:r>
        <w:r w:rsidR="007F2617">
          <w:rPr>
            <w:noProof/>
            <w:webHidden/>
          </w:rPr>
          <w:instrText xml:space="preserve"> PAGEREF _Toc6473214 \h </w:instrText>
        </w:r>
        <w:r w:rsidR="007F2617">
          <w:rPr>
            <w:noProof/>
            <w:webHidden/>
          </w:rPr>
        </w:r>
        <w:r w:rsidR="007F2617">
          <w:rPr>
            <w:noProof/>
            <w:webHidden/>
          </w:rPr>
          <w:fldChar w:fldCharType="separate"/>
        </w:r>
        <w:r w:rsidR="00301AD4">
          <w:rPr>
            <w:noProof/>
            <w:webHidden/>
          </w:rPr>
          <w:t>267</w:t>
        </w:r>
        <w:r w:rsidR="007F2617">
          <w:rPr>
            <w:noProof/>
            <w:webHidden/>
          </w:rPr>
          <w:fldChar w:fldCharType="end"/>
        </w:r>
      </w:hyperlink>
    </w:p>
    <w:p w14:paraId="43904CA8" w14:textId="32BD1B88" w:rsidR="007F2617" w:rsidRDefault="000E3509">
      <w:pPr>
        <w:pStyle w:val="TOC7"/>
        <w:rPr>
          <w:rFonts w:asciiTheme="minorHAnsi" w:eastAsiaTheme="minorEastAsia" w:hAnsiTheme="minorHAnsi" w:cstheme="minorBidi"/>
          <w:noProof/>
          <w:sz w:val="22"/>
          <w:szCs w:val="22"/>
        </w:rPr>
      </w:pPr>
      <w:hyperlink w:anchor="_Toc6473215" w:history="1">
        <w:r w:rsidR="007F2617" w:rsidRPr="00F83BBB">
          <w:rPr>
            <w:rStyle w:val="Hyperlink"/>
            <w:noProof/>
            <w:lang w:eastAsia="en-US"/>
          </w:rPr>
          <w:t xml:space="preserve">Table 11.77: Descriptive statistics for social group demographic </w:t>
        </w:r>
        <w:r w:rsidR="007F2617">
          <w:rPr>
            <w:rStyle w:val="Hyperlink"/>
            <w:noProof/>
            <w:lang w:eastAsia="en-US"/>
          </w:rPr>
          <w:br/>
        </w:r>
        <w:r w:rsidR="007F2617" w:rsidRPr="00F83BBB">
          <w:rPr>
            <w:rStyle w:val="Hyperlink"/>
            <w:noProof/>
            <w:lang w:eastAsia="en-US"/>
          </w:rPr>
          <w:t>variable.</w:t>
        </w:r>
        <w:r w:rsidR="007F2617">
          <w:rPr>
            <w:noProof/>
            <w:webHidden/>
          </w:rPr>
          <w:tab/>
        </w:r>
        <w:r w:rsidR="007F2617">
          <w:rPr>
            <w:noProof/>
            <w:webHidden/>
          </w:rPr>
          <w:fldChar w:fldCharType="begin"/>
        </w:r>
        <w:r w:rsidR="007F2617">
          <w:rPr>
            <w:noProof/>
            <w:webHidden/>
          </w:rPr>
          <w:instrText xml:space="preserve"> PAGEREF _Toc6473215 \h </w:instrText>
        </w:r>
        <w:r w:rsidR="007F2617">
          <w:rPr>
            <w:noProof/>
            <w:webHidden/>
          </w:rPr>
        </w:r>
        <w:r w:rsidR="007F2617">
          <w:rPr>
            <w:noProof/>
            <w:webHidden/>
          </w:rPr>
          <w:fldChar w:fldCharType="separate"/>
        </w:r>
        <w:r w:rsidR="00301AD4">
          <w:rPr>
            <w:noProof/>
            <w:webHidden/>
          </w:rPr>
          <w:t>267</w:t>
        </w:r>
        <w:r w:rsidR="007F2617">
          <w:rPr>
            <w:noProof/>
            <w:webHidden/>
          </w:rPr>
          <w:fldChar w:fldCharType="end"/>
        </w:r>
      </w:hyperlink>
    </w:p>
    <w:p w14:paraId="11D98F8B" w14:textId="0589C4C4" w:rsidR="007F2617" w:rsidRDefault="000E3509">
      <w:pPr>
        <w:pStyle w:val="TOC7"/>
        <w:rPr>
          <w:rFonts w:asciiTheme="minorHAnsi" w:eastAsiaTheme="minorEastAsia" w:hAnsiTheme="minorHAnsi" w:cstheme="minorBidi"/>
          <w:noProof/>
          <w:sz w:val="22"/>
          <w:szCs w:val="22"/>
        </w:rPr>
      </w:pPr>
      <w:hyperlink w:anchor="_Toc6473216" w:history="1">
        <w:r w:rsidR="007F2617" w:rsidRPr="00F83BBB">
          <w:rPr>
            <w:rStyle w:val="Hyperlink"/>
            <w:noProof/>
            <w:lang w:eastAsia="en-US"/>
          </w:rPr>
          <w:t xml:space="preserve">Table 11.78: ANOVA statistics for mother’s social group </w:t>
        </w:r>
        <w:r w:rsidR="007F2617">
          <w:rPr>
            <w:rStyle w:val="Hyperlink"/>
            <w:noProof/>
            <w:lang w:eastAsia="en-US"/>
          </w:rPr>
          <w:br/>
        </w:r>
        <w:r w:rsidR="007F2617" w:rsidRPr="00F83BBB">
          <w:rPr>
            <w:rStyle w:val="Hyperlink"/>
            <w:noProof/>
            <w:lang w:eastAsia="en-US"/>
          </w:rPr>
          <w:t>demographic variable.</w:t>
        </w:r>
        <w:r w:rsidR="007F2617">
          <w:rPr>
            <w:noProof/>
            <w:webHidden/>
          </w:rPr>
          <w:tab/>
        </w:r>
        <w:r w:rsidR="007F2617">
          <w:rPr>
            <w:noProof/>
            <w:webHidden/>
          </w:rPr>
          <w:fldChar w:fldCharType="begin"/>
        </w:r>
        <w:r w:rsidR="007F2617">
          <w:rPr>
            <w:noProof/>
            <w:webHidden/>
          </w:rPr>
          <w:instrText xml:space="preserve"> PAGEREF _Toc6473216 \h </w:instrText>
        </w:r>
        <w:r w:rsidR="007F2617">
          <w:rPr>
            <w:noProof/>
            <w:webHidden/>
          </w:rPr>
        </w:r>
        <w:r w:rsidR="007F2617">
          <w:rPr>
            <w:noProof/>
            <w:webHidden/>
          </w:rPr>
          <w:fldChar w:fldCharType="separate"/>
        </w:r>
        <w:r w:rsidR="00301AD4">
          <w:rPr>
            <w:noProof/>
            <w:webHidden/>
          </w:rPr>
          <w:t>267</w:t>
        </w:r>
        <w:r w:rsidR="007F2617">
          <w:rPr>
            <w:noProof/>
            <w:webHidden/>
          </w:rPr>
          <w:fldChar w:fldCharType="end"/>
        </w:r>
      </w:hyperlink>
    </w:p>
    <w:p w14:paraId="6264780C" w14:textId="2EDC2045" w:rsidR="007F2617" w:rsidRDefault="000E3509">
      <w:pPr>
        <w:pStyle w:val="TOC7"/>
        <w:rPr>
          <w:rFonts w:asciiTheme="minorHAnsi" w:eastAsiaTheme="minorEastAsia" w:hAnsiTheme="minorHAnsi" w:cstheme="minorBidi"/>
          <w:noProof/>
          <w:sz w:val="22"/>
          <w:szCs w:val="22"/>
        </w:rPr>
      </w:pPr>
      <w:hyperlink w:anchor="_Toc6473217" w:history="1">
        <w:r w:rsidR="007F2617" w:rsidRPr="00F83BBB">
          <w:rPr>
            <w:rStyle w:val="Hyperlink"/>
            <w:noProof/>
            <w:lang w:eastAsia="en-US"/>
          </w:rPr>
          <w:t xml:space="preserve">Table 11.79: Post-hoc test results for mother’s social group </w:t>
        </w:r>
        <w:r w:rsidR="007F2617">
          <w:rPr>
            <w:rStyle w:val="Hyperlink"/>
            <w:noProof/>
            <w:lang w:eastAsia="en-US"/>
          </w:rPr>
          <w:br/>
        </w:r>
        <w:r w:rsidR="007F2617" w:rsidRPr="00F83BBB">
          <w:rPr>
            <w:rStyle w:val="Hyperlink"/>
            <w:noProof/>
            <w:lang w:eastAsia="en-US"/>
          </w:rPr>
          <w:t>demographic variable.</w:t>
        </w:r>
        <w:r w:rsidR="007F2617">
          <w:rPr>
            <w:noProof/>
            <w:webHidden/>
          </w:rPr>
          <w:tab/>
        </w:r>
        <w:r w:rsidR="007F2617">
          <w:rPr>
            <w:noProof/>
            <w:webHidden/>
          </w:rPr>
          <w:fldChar w:fldCharType="begin"/>
        </w:r>
        <w:r w:rsidR="007F2617">
          <w:rPr>
            <w:noProof/>
            <w:webHidden/>
          </w:rPr>
          <w:instrText xml:space="preserve"> PAGEREF _Toc6473217 \h </w:instrText>
        </w:r>
        <w:r w:rsidR="007F2617">
          <w:rPr>
            <w:noProof/>
            <w:webHidden/>
          </w:rPr>
        </w:r>
        <w:r w:rsidR="007F2617">
          <w:rPr>
            <w:noProof/>
            <w:webHidden/>
          </w:rPr>
          <w:fldChar w:fldCharType="separate"/>
        </w:r>
        <w:r w:rsidR="00301AD4">
          <w:rPr>
            <w:noProof/>
            <w:webHidden/>
          </w:rPr>
          <w:t>267</w:t>
        </w:r>
        <w:r w:rsidR="007F2617">
          <w:rPr>
            <w:noProof/>
            <w:webHidden/>
          </w:rPr>
          <w:fldChar w:fldCharType="end"/>
        </w:r>
      </w:hyperlink>
    </w:p>
    <w:p w14:paraId="435E592C" w14:textId="7A81A4B4" w:rsidR="007F2617" w:rsidRDefault="000E3509" w:rsidP="005B3EEC">
      <w:pPr>
        <w:pStyle w:val="TOC7"/>
        <w:rPr>
          <w:rFonts w:asciiTheme="minorHAnsi" w:eastAsiaTheme="minorEastAsia" w:hAnsiTheme="minorHAnsi" w:cstheme="minorBidi"/>
          <w:noProof/>
          <w:sz w:val="22"/>
          <w:szCs w:val="22"/>
        </w:rPr>
      </w:pPr>
      <w:hyperlink w:anchor="_Toc6473218" w:history="1">
        <w:r w:rsidR="007F2617" w:rsidRPr="00F83BBB">
          <w:rPr>
            <w:rStyle w:val="Hyperlink"/>
            <w:noProof/>
            <w:lang w:eastAsia="en-US"/>
          </w:rPr>
          <w:t xml:space="preserve">Table 11.80: ANOVA </w:t>
        </w:r>
        <w:r w:rsidR="005B3EEC">
          <w:rPr>
            <w:rStyle w:val="Hyperlink"/>
            <w:noProof/>
            <w:lang w:eastAsia="en-US"/>
          </w:rPr>
          <w:t>statistics</w:t>
        </w:r>
        <w:r w:rsidR="007F2617" w:rsidRPr="00F83BBB">
          <w:rPr>
            <w:rStyle w:val="Hyperlink"/>
            <w:noProof/>
            <w:lang w:eastAsia="en-US"/>
          </w:rPr>
          <w:t xml:space="preserve"> for gender demographic variable.</w:t>
        </w:r>
        <w:r w:rsidR="007F2617">
          <w:rPr>
            <w:noProof/>
            <w:webHidden/>
          </w:rPr>
          <w:tab/>
        </w:r>
        <w:r w:rsidR="007F2617">
          <w:rPr>
            <w:noProof/>
            <w:webHidden/>
          </w:rPr>
          <w:fldChar w:fldCharType="begin"/>
        </w:r>
        <w:r w:rsidR="007F2617">
          <w:rPr>
            <w:noProof/>
            <w:webHidden/>
          </w:rPr>
          <w:instrText xml:space="preserve"> PAGEREF _Toc6473218 \h </w:instrText>
        </w:r>
        <w:r w:rsidR="007F2617">
          <w:rPr>
            <w:noProof/>
            <w:webHidden/>
          </w:rPr>
        </w:r>
        <w:r w:rsidR="007F2617">
          <w:rPr>
            <w:noProof/>
            <w:webHidden/>
          </w:rPr>
          <w:fldChar w:fldCharType="separate"/>
        </w:r>
        <w:r w:rsidR="00301AD4">
          <w:rPr>
            <w:noProof/>
            <w:webHidden/>
          </w:rPr>
          <w:t>268</w:t>
        </w:r>
        <w:r w:rsidR="007F2617">
          <w:rPr>
            <w:noProof/>
            <w:webHidden/>
          </w:rPr>
          <w:fldChar w:fldCharType="end"/>
        </w:r>
      </w:hyperlink>
    </w:p>
    <w:p w14:paraId="158FCDA5" w14:textId="615DBA9B" w:rsidR="007F2617" w:rsidRDefault="000E3509">
      <w:pPr>
        <w:pStyle w:val="TOC7"/>
        <w:rPr>
          <w:rFonts w:asciiTheme="minorHAnsi" w:eastAsiaTheme="minorEastAsia" w:hAnsiTheme="minorHAnsi" w:cstheme="minorBidi"/>
          <w:noProof/>
          <w:sz w:val="22"/>
          <w:szCs w:val="22"/>
        </w:rPr>
      </w:pPr>
      <w:hyperlink w:anchor="_Toc6473219" w:history="1">
        <w:r w:rsidR="007F2617" w:rsidRPr="00F83BBB">
          <w:rPr>
            <w:rStyle w:val="Hyperlink"/>
            <w:noProof/>
            <w:lang w:eastAsia="en-US"/>
          </w:rPr>
          <w:t xml:space="preserve">Table 11.81: Descriptive statistics for gender group demographic </w:t>
        </w:r>
        <w:r w:rsidR="007F2617">
          <w:rPr>
            <w:rStyle w:val="Hyperlink"/>
            <w:noProof/>
            <w:lang w:eastAsia="en-US"/>
          </w:rPr>
          <w:br/>
        </w:r>
        <w:r w:rsidR="007F2617" w:rsidRPr="00F83BBB">
          <w:rPr>
            <w:rStyle w:val="Hyperlink"/>
            <w:noProof/>
            <w:lang w:eastAsia="en-US"/>
          </w:rPr>
          <w:t>variable.</w:t>
        </w:r>
        <w:r w:rsidR="007F2617">
          <w:rPr>
            <w:noProof/>
            <w:webHidden/>
          </w:rPr>
          <w:tab/>
        </w:r>
        <w:r w:rsidR="007F2617">
          <w:rPr>
            <w:noProof/>
            <w:webHidden/>
          </w:rPr>
          <w:fldChar w:fldCharType="begin"/>
        </w:r>
        <w:r w:rsidR="007F2617">
          <w:rPr>
            <w:noProof/>
            <w:webHidden/>
          </w:rPr>
          <w:instrText xml:space="preserve"> PAGEREF _Toc6473219 \h </w:instrText>
        </w:r>
        <w:r w:rsidR="007F2617">
          <w:rPr>
            <w:noProof/>
            <w:webHidden/>
          </w:rPr>
        </w:r>
        <w:r w:rsidR="007F2617">
          <w:rPr>
            <w:noProof/>
            <w:webHidden/>
          </w:rPr>
          <w:fldChar w:fldCharType="separate"/>
        </w:r>
        <w:r w:rsidR="00301AD4">
          <w:rPr>
            <w:noProof/>
            <w:webHidden/>
          </w:rPr>
          <w:t>268</w:t>
        </w:r>
        <w:r w:rsidR="007F2617">
          <w:rPr>
            <w:noProof/>
            <w:webHidden/>
          </w:rPr>
          <w:fldChar w:fldCharType="end"/>
        </w:r>
      </w:hyperlink>
    </w:p>
    <w:p w14:paraId="48D0F28E" w14:textId="77777777" w:rsidR="007F2617" w:rsidRDefault="000E3509">
      <w:pPr>
        <w:pStyle w:val="TOC7"/>
        <w:rPr>
          <w:rFonts w:asciiTheme="minorHAnsi" w:eastAsiaTheme="minorEastAsia" w:hAnsiTheme="minorHAnsi" w:cstheme="minorBidi"/>
          <w:noProof/>
          <w:sz w:val="22"/>
          <w:szCs w:val="22"/>
        </w:rPr>
      </w:pPr>
      <w:hyperlink w:anchor="_Toc6473220" w:history="1">
        <w:r w:rsidR="007F2617" w:rsidRPr="00F83BBB">
          <w:rPr>
            <w:rStyle w:val="Hyperlink"/>
            <w:noProof/>
            <w:lang w:eastAsia="en-US"/>
          </w:rPr>
          <w:t>Table 11.82: ANOVA statistics for age demographic variable.</w:t>
        </w:r>
        <w:r w:rsidR="007F2617">
          <w:rPr>
            <w:noProof/>
            <w:webHidden/>
          </w:rPr>
          <w:tab/>
        </w:r>
        <w:r w:rsidR="007F2617">
          <w:rPr>
            <w:noProof/>
            <w:webHidden/>
          </w:rPr>
          <w:fldChar w:fldCharType="begin"/>
        </w:r>
        <w:r w:rsidR="007F2617">
          <w:rPr>
            <w:noProof/>
            <w:webHidden/>
          </w:rPr>
          <w:instrText xml:space="preserve"> PAGEREF _Toc6473220 \h </w:instrText>
        </w:r>
        <w:r w:rsidR="007F2617">
          <w:rPr>
            <w:noProof/>
            <w:webHidden/>
          </w:rPr>
        </w:r>
        <w:r w:rsidR="007F2617">
          <w:rPr>
            <w:noProof/>
            <w:webHidden/>
          </w:rPr>
          <w:fldChar w:fldCharType="separate"/>
        </w:r>
        <w:r w:rsidR="00301AD4">
          <w:rPr>
            <w:noProof/>
            <w:webHidden/>
          </w:rPr>
          <w:t>269</w:t>
        </w:r>
        <w:r w:rsidR="007F2617">
          <w:rPr>
            <w:noProof/>
            <w:webHidden/>
          </w:rPr>
          <w:fldChar w:fldCharType="end"/>
        </w:r>
      </w:hyperlink>
    </w:p>
    <w:p w14:paraId="12F61398" w14:textId="77777777" w:rsidR="007F2617" w:rsidRDefault="000E3509">
      <w:pPr>
        <w:pStyle w:val="TOC7"/>
        <w:rPr>
          <w:rFonts w:asciiTheme="minorHAnsi" w:eastAsiaTheme="minorEastAsia" w:hAnsiTheme="minorHAnsi" w:cstheme="minorBidi"/>
          <w:noProof/>
          <w:sz w:val="22"/>
          <w:szCs w:val="22"/>
        </w:rPr>
      </w:pPr>
      <w:hyperlink w:anchor="_Toc6473221" w:history="1">
        <w:r w:rsidR="007F2617" w:rsidRPr="00F83BBB">
          <w:rPr>
            <w:rStyle w:val="Hyperlink"/>
            <w:noProof/>
          </w:rPr>
          <w:t>Table 11.83: Post-hoc statistics for age groups.</w:t>
        </w:r>
        <w:r w:rsidR="007F2617">
          <w:rPr>
            <w:noProof/>
            <w:webHidden/>
          </w:rPr>
          <w:tab/>
        </w:r>
        <w:r w:rsidR="007F2617">
          <w:rPr>
            <w:noProof/>
            <w:webHidden/>
          </w:rPr>
          <w:fldChar w:fldCharType="begin"/>
        </w:r>
        <w:r w:rsidR="007F2617">
          <w:rPr>
            <w:noProof/>
            <w:webHidden/>
          </w:rPr>
          <w:instrText xml:space="preserve"> PAGEREF _Toc6473221 \h </w:instrText>
        </w:r>
        <w:r w:rsidR="007F2617">
          <w:rPr>
            <w:noProof/>
            <w:webHidden/>
          </w:rPr>
        </w:r>
        <w:r w:rsidR="007F2617">
          <w:rPr>
            <w:noProof/>
            <w:webHidden/>
          </w:rPr>
          <w:fldChar w:fldCharType="separate"/>
        </w:r>
        <w:r w:rsidR="00301AD4">
          <w:rPr>
            <w:noProof/>
            <w:webHidden/>
          </w:rPr>
          <w:t>269</w:t>
        </w:r>
        <w:r w:rsidR="007F2617">
          <w:rPr>
            <w:noProof/>
            <w:webHidden/>
          </w:rPr>
          <w:fldChar w:fldCharType="end"/>
        </w:r>
      </w:hyperlink>
    </w:p>
    <w:p w14:paraId="055A782D" w14:textId="4130AC66" w:rsidR="007F2617" w:rsidRDefault="000E3509">
      <w:pPr>
        <w:pStyle w:val="TOC7"/>
        <w:rPr>
          <w:rFonts w:asciiTheme="minorHAnsi" w:eastAsiaTheme="minorEastAsia" w:hAnsiTheme="minorHAnsi" w:cstheme="minorBidi"/>
          <w:noProof/>
          <w:sz w:val="22"/>
          <w:szCs w:val="22"/>
        </w:rPr>
      </w:pPr>
      <w:hyperlink w:anchor="_Toc6473222" w:history="1">
        <w:r w:rsidR="007F2617" w:rsidRPr="00F83BBB">
          <w:rPr>
            <w:rStyle w:val="Hyperlink"/>
            <w:noProof/>
            <w:lang w:eastAsia="en-US"/>
          </w:rPr>
          <w:t xml:space="preserve">Table 11.84: ANOVA statistics for social group demographic </w:t>
        </w:r>
        <w:r w:rsidR="007F2617">
          <w:rPr>
            <w:rStyle w:val="Hyperlink"/>
            <w:noProof/>
            <w:lang w:eastAsia="en-US"/>
          </w:rPr>
          <w:br/>
        </w:r>
        <w:r w:rsidR="007F2617" w:rsidRPr="00F83BBB">
          <w:rPr>
            <w:rStyle w:val="Hyperlink"/>
            <w:noProof/>
            <w:lang w:eastAsia="en-US"/>
          </w:rPr>
          <w:t>variable.</w:t>
        </w:r>
        <w:r w:rsidR="007F2617">
          <w:rPr>
            <w:noProof/>
            <w:webHidden/>
          </w:rPr>
          <w:tab/>
        </w:r>
        <w:r w:rsidR="007F2617">
          <w:rPr>
            <w:noProof/>
            <w:webHidden/>
          </w:rPr>
          <w:fldChar w:fldCharType="begin"/>
        </w:r>
        <w:r w:rsidR="007F2617">
          <w:rPr>
            <w:noProof/>
            <w:webHidden/>
          </w:rPr>
          <w:instrText xml:space="preserve"> PAGEREF _Toc6473222 \h </w:instrText>
        </w:r>
        <w:r w:rsidR="007F2617">
          <w:rPr>
            <w:noProof/>
            <w:webHidden/>
          </w:rPr>
        </w:r>
        <w:r w:rsidR="007F2617">
          <w:rPr>
            <w:noProof/>
            <w:webHidden/>
          </w:rPr>
          <w:fldChar w:fldCharType="separate"/>
        </w:r>
        <w:r w:rsidR="00301AD4">
          <w:rPr>
            <w:noProof/>
            <w:webHidden/>
          </w:rPr>
          <w:t>271</w:t>
        </w:r>
        <w:r w:rsidR="007F2617">
          <w:rPr>
            <w:noProof/>
            <w:webHidden/>
          </w:rPr>
          <w:fldChar w:fldCharType="end"/>
        </w:r>
      </w:hyperlink>
    </w:p>
    <w:p w14:paraId="7AC11489" w14:textId="724159D7" w:rsidR="007F2617" w:rsidRDefault="000E3509">
      <w:pPr>
        <w:pStyle w:val="TOC7"/>
        <w:rPr>
          <w:rFonts w:asciiTheme="minorHAnsi" w:eastAsiaTheme="minorEastAsia" w:hAnsiTheme="minorHAnsi" w:cstheme="minorBidi"/>
          <w:noProof/>
          <w:sz w:val="22"/>
          <w:szCs w:val="22"/>
        </w:rPr>
      </w:pPr>
      <w:hyperlink w:anchor="_Toc6473223" w:history="1">
        <w:r w:rsidR="007F2617" w:rsidRPr="00F83BBB">
          <w:rPr>
            <w:rStyle w:val="Hyperlink"/>
            <w:noProof/>
            <w:lang w:eastAsia="en-US"/>
          </w:rPr>
          <w:t xml:space="preserve">Table 11.85: Descriptive statistics for social group demographic </w:t>
        </w:r>
        <w:r w:rsidR="007F2617">
          <w:rPr>
            <w:rStyle w:val="Hyperlink"/>
            <w:noProof/>
            <w:lang w:eastAsia="en-US"/>
          </w:rPr>
          <w:br/>
        </w:r>
        <w:r w:rsidR="007F2617" w:rsidRPr="00F83BBB">
          <w:rPr>
            <w:rStyle w:val="Hyperlink"/>
            <w:noProof/>
            <w:lang w:eastAsia="en-US"/>
          </w:rPr>
          <w:t>variable.</w:t>
        </w:r>
        <w:r w:rsidR="007F2617">
          <w:rPr>
            <w:noProof/>
            <w:webHidden/>
          </w:rPr>
          <w:tab/>
        </w:r>
        <w:r w:rsidR="007F2617">
          <w:rPr>
            <w:noProof/>
            <w:webHidden/>
          </w:rPr>
          <w:fldChar w:fldCharType="begin"/>
        </w:r>
        <w:r w:rsidR="007F2617">
          <w:rPr>
            <w:noProof/>
            <w:webHidden/>
          </w:rPr>
          <w:instrText xml:space="preserve"> PAGEREF _Toc6473223 \h </w:instrText>
        </w:r>
        <w:r w:rsidR="007F2617">
          <w:rPr>
            <w:noProof/>
            <w:webHidden/>
          </w:rPr>
        </w:r>
        <w:r w:rsidR="007F2617">
          <w:rPr>
            <w:noProof/>
            <w:webHidden/>
          </w:rPr>
          <w:fldChar w:fldCharType="separate"/>
        </w:r>
        <w:r w:rsidR="00301AD4">
          <w:rPr>
            <w:noProof/>
            <w:webHidden/>
          </w:rPr>
          <w:t>271</w:t>
        </w:r>
        <w:r w:rsidR="007F2617">
          <w:rPr>
            <w:noProof/>
            <w:webHidden/>
          </w:rPr>
          <w:fldChar w:fldCharType="end"/>
        </w:r>
      </w:hyperlink>
    </w:p>
    <w:p w14:paraId="5C3DC2D4" w14:textId="77777777" w:rsidR="007F2617" w:rsidRDefault="000E3509">
      <w:pPr>
        <w:pStyle w:val="TOC7"/>
        <w:rPr>
          <w:rFonts w:asciiTheme="minorHAnsi" w:eastAsiaTheme="minorEastAsia" w:hAnsiTheme="minorHAnsi" w:cstheme="minorBidi"/>
          <w:noProof/>
          <w:sz w:val="22"/>
          <w:szCs w:val="22"/>
        </w:rPr>
      </w:pPr>
      <w:hyperlink w:anchor="_Toc6473224" w:history="1">
        <w:r w:rsidR="007F2617" w:rsidRPr="00F83BBB">
          <w:rPr>
            <w:rStyle w:val="Hyperlink"/>
            <w:noProof/>
            <w:lang w:eastAsia="en-US"/>
          </w:rPr>
          <w:t>Table 11.86: ANOVA statistics for gender demographic variable.</w:t>
        </w:r>
        <w:r w:rsidR="007F2617">
          <w:rPr>
            <w:noProof/>
            <w:webHidden/>
          </w:rPr>
          <w:tab/>
        </w:r>
        <w:r w:rsidR="007F2617">
          <w:rPr>
            <w:noProof/>
            <w:webHidden/>
          </w:rPr>
          <w:fldChar w:fldCharType="begin"/>
        </w:r>
        <w:r w:rsidR="007F2617">
          <w:rPr>
            <w:noProof/>
            <w:webHidden/>
          </w:rPr>
          <w:instrText xml:space="preserve"> PAGEREF _Toc6473224 \h </w:instrText>
        </w:r>
        <w:r w:rsidR="007F2617">
          <w:rPr>
            <w:noProof/>
            <w:webHidden/>
          </w:rPr>
        </w:r>
        <w:r w:rsidR="007F2617">
          <w:rPr>
            <w:noProof/>
            <w:webHidden/>
          </w:rPr>
          <w:fldChar w:fldCharType="separate"/>
        </w:r>
        <w:r w:rsidR="00301AD4">
          <w:rPr>
            <w:noProof/>
            <w:webHidden/>
          </w:rPr>
          <w:t>272</w:t>
        </w:r>
        <w:r w:rsidR="007F2617">
          <w:rPr>
            <w:noProof/>
            <w:webHidden/>
          </w:rPr>
          <w:fldChar w:fldCharType="end"/>
        </w:r>
      </w:hyperlink>
    </w:p>
    <w:p w14:paraId="486830FB" w14:textId="77777777" w:rsidR="007F2617" w:rsidRDefault="000E3509">
      <w:pPr>
        <w:pStyle w:val="TOC7"/>
        <w:rPr>
          <w:rFonts w:asciiTheme="minorHAnsi" w:eastAsiaTheme="minorEastAsia" w:hAnsiTheme="minorHAnsi" w:cstheme="minorBidi"/>
          <w:noProof/>
          <w:sz w:val="22"/>
          <w:szCs w:val="22"/>
        </w:rPr>
      </w:pPr>
      <w:hyperlink w:anchor="_Toc6473225" w:history="1">
        <w:r w:rsidR="007F2617" w:rsidRPr="00F83BBB">
          <w:rPr>
            <w:rStyle w:val="Hyperlink"/>
            <w:noProof/>
            <w:lang w:eastAsia="en-US"/>
          </w:rPr>
          <w:t>Table 11.87: Descriptive statistics for gender demographic variable.</w:t>
        </w:r>
        <w:r w:rsidR="007F2617">
          <w:rPr>
            <w:noProof/>
            <w:webHidden/>
          </w:rPr>
          <w:tab/>
        </w:r>
        <w:r w:rsidR="007F2617">
          <w:rPr>
            <w:noProof/>
            <w:webHidden/>
          </w:rPr>
          <w:fldChar w:fldCharType="begin"/>
        </w:r>
        <w:r w:rsidR="007F2617">
          <w:rPr>
            <w:noProof/>
            <w:webHidden/>
          </w:rPr>
          <w:instrText xml:space="preserve"> PAGEREF _Toc6473225 \h </w:instrText>
        </w:r>
        <w:r w:rsidR="007F2617">
          <w:rPr>
            <w:noProof/>
            <w:webHidden/>
          </w:rPr>
        </w:r>
        <w:r w:rsidR="007F2617">
          <w:rPr>
            <w:noProof/>
            <w:webHidden/>
          </w:rPr>
          <w:fldChar w:fldCharType="separate"/>
        </w:r>
        <w:r w:rsidR="00301AD4">
          <w:rPr>
            <w:noProof/>
            <w:webHidden/>
          </w:rPr>
          <w:t>272</w:t>
        </w:r>
        <w:r w:rsidR="007F2617">
          <w:rPr>
            <w:noProof/>
            <w:webHidden/>
          </w:rPr>
          <w:fldChar w:fldCharType="end"/>
        </w:r>
      </w:hyperlink>
    </w:p>
    <w:p w14:paraId="5C3F847B" w14:textId="3CD78C10" w:rsidR="007B7C1F" w:rsidRPr="00CF31E0" w:rsidRDefault="00B22FC4" w:rsidP="00E87209">
      <w:pPr>
        <w:rPr>
          <w:color w:val="000000" w:themeColor="text1"/>
        </w:rPr>
      </w:pPr>
      <w:r w:rsidRPr="00CF31E0">
        <w:rPr>
          <w:rFonts w:asciiTheme="majorBidi" w:hAnsiTheme="majorBidi"/>
          <w:bCs/>
          <w:noProof/>
          <w:color w:val="000000" w:themeColor="text1"/>
        </w:rPr>
        <w:fldChar w:fldCharType="end"/>
      </w:r>
    </w:p>
    <w:p w14:paraId="44122357" w14:textId="77777777" w:rsidR="007B7C1F" w:rsidRPr="00CF31E0" w:rsidRDefault="007B7C1F" w:rsidP="00E87209">
      <w:pPr>
        <w:rPr>
          <w:color w:val="000000" w:themeColor="text1"/>
        </w:rPr>
      </w:pPr>
    </w:p>
    <w:p w14:paraId="312CA116" w14:textId="77777777" w:rsidR="007B7C1F" w:rsidRPr="00CF31E0" w:rsidRDefault="007B7C1F" w:rsidP="00E87209">
      <w:pPr>
        <w:rPr>
          <w:color w:val="000000" w:themeColor="text1"/>
        </w:rPr>
      </w:pPr>
    </w:p>
    <w:p w14:paraId="1B44BE37" w14:textId="77777777" w:rsidR="00E87209" w:rsidRPr="00CF31E0" w:rsidRDefault="00E87209" w:rsidP="00E87209">
      <w:pPr>
        <w:rPr>
          <w:color w:val="000000" w:themeColor="text1"/>
        </w:rPr>
        <w:sectPr w:rsidR="00E87209" w:rsidRPr="00CF31E0" w:rsidSect="00603CB7">
          <w:pgSz w:w="11900" w:h="16840"/>
          <w:pgMar w:top="1440" w:right="2268" w:bottom="1440" w:left="2268" w:header="709" w:footer="709" w:gutter="0"/>
          <w:pgNumType w:fmt="lowerRoman"/>
          <w:cols w:space="708"/>
          <w:docGrid w:linePitch="360"/>
        </w:sectPr>
      </w:pPr>
    </w:p>
    <w:p w14:paraId="6B5A23A4" w14:textId="4DDA969A" w:rsidR="00BF63F2" w:rsidRPr="00CF31E0" w:rsidRDefault="007F2617" w:rsidP="007F2617">
      <w:pPr>
        <w:pStyle w:val="Title"/>
        <w:spacing w:after="400"/>
        <w:contextualSpacing w:val="0"/>
        <w:rPr>
          <w:color w:val="000000" w:themeColor="text1"/>
        </w:rPr>
      </w:pPr>
      <w:bookmarkStart w:id="8" w:name="_Toc6472615"/>
      <w:r>
        <w:rPr>
          <w:color w:val="000000" w:themeColor="text1"/>
        </w:rPr>
        <w:lastRenderedPageBreak/>
        <w:t>List of a</w:t>
      </w:r>
      <w:r w:rsidR="00A31FC7">
        <w:rPr>
          <w:color w:val="000000" w:themeColor="text1"/>
        </w:rPr>
        <w:t>bbreviation</w:t>
      </w:r>
      <w:r>
        <w:rPr>
          <w:color w:val="000000" w:themeColor="text1"/>
        </w:rPr>
        <w:t>s</w:t>
      </w:r>
      <w:bookmarkEnd w:id="8"/>
    </w:p>
    <w:p w14:paraId="38A5A3C2" w14:textId="473695A7" w:rsidR="00B74D37" w:rsidRPr="000E3509" w:rsidRDefault="00B74D37" w:rsidP="00B74D37">
      <w:r w:rsidRPr="000E3509">
        <w:t>ARAMCO      Arabian American Oil Company</w:t>
      </w:r>
    </w:p>
    <w:p w14:paraId="39EE15EB" w14:textId="14075D5C" w:rsidR="00B74D37" w:rsidRPr="000E3509" w:rsidRDefault="00B74D37" w:rsidP="00B74D37">
      <w:pPr>
        <w:rPr>
          <w:color w:val="000000" w:themeColor="text1"/>
        </w:rPr>
      </w:pPr>
      <w:r w:rsidRPr="00CF31E0">
        <w:rPr>
          <w:color w:val="000000" w:themeColor="text1"/>
        </w:rPr>
        <w:t>ANOVA</w:t>
      </w:r>
      <w:r w:rsidRPr="00CF31E0">
        <w:rPr>
          <w:color w:val="000000" w:themeColor="text1"/>
        </w:rPr>
        <w:tab/>
        <w:t xml:space="preserve">one-way analysis of variance </w:t>
      </w:r>
    </w:p>
    <w:p w14:paraId="79D7B2E5" w14:textId="2D86283F" w:rsidR="00B74D37" w:rsidRDefault="00B74D37" w:rsidP="00B74D37">
      <w:pPr>
        <w:rPr>
          <w:lang w:val="en-US"/>
        </w:rPr>
      </w:pPr>
      <w:r>
        <w:t xml:space="preserve">CIA                 </w:t>
      </w:r>
      <w:r>
        <w:rPr>
          <w:lang w:val="en-US"/>
        </w:rPr>
        <w:t>c</w:t>
      </w:r>
      <w:r w:rsidRPr="00CF31E0">
        <w:rPr>
          <w:lang w:val="en-US"/>
        </w:rPr>
        <w:t xml:space="preserve">entral </w:t>
      </w:r>
      <w:r>
        <w:rPr>
          <w:lang w:val="en-US"/>
        </w:rPr>
        <w:t>I</w:t>
      </w:r>
      <w:r w:rsidRPr="00CF31E0">
        <w:rPr>
          <w:lang w:val="en-US"/>
        </w:rPr>
        <w:t xml:space="preserve">ntelligence </w:t>
      </w:r>
      <w:r>
        <w:rPr>
          <w:lang w:val="en-US"/>
        </w:rPr>
        <w:t>A</w:t>
      </w:r>
      <w:r w:rsidRPr="00CF31E0">
        <w:rPr>
          <w:lang w:val="en-US"/>
        </w:rPr>
        <w:t>gency</w:t>
      </w:r>
    </w:p>
    <w:p w14:paraId="305AFEA6" w14:textId="23940800" w:rsidR="00B74D37" w:rsidRDefault="00B74D37" w:rsidP="00B74D37">
      <w:pPr>
        <w:rPr>
          <w:lang w:val="en-US"/>
        </w:rPr>
      </w:pPr>
      <w:r>
        <w:rPr>
          <w:lang w:val="en-US"/>
        </w:rPr>
        <w:t>FAO                Food and Agriculture Organization of the United N</w:t>
      </w:r>
      <w:r w:rsidRPr="00CF31E0">
        <w:rPr>
          <w:lang w:val="en-US"/>
        </w:rPr>
        <w:t>ations</w:t>
      </w:r>
    </w:p>
    <w:p w14:paraId="3A8551A3" w14:textId="0103AC44" w:rsidR="00B74D37" w:rsidRPr="00CF31E0" w:rsidRDefault="00B74D37" w:rsidP="00B74D37">
      <w:pPr>
        <w:rPr>
          <w:color w:val="000000" w:themeColor="text1"/>
        </w:rPr>
      </w:pPr>
      <w:r w:rsidRPr="00CF31E0">
        <w:rPr>
          <w:color w:val="000000" w:themeColor="text1"/>
        </w:rPr>
        <w:t xml:space="preserve">HH </w:t>
      </w:r>
      <w:r w:rsidRPr="00CF31E0">
        <w:rPr>
          <w:color w:val="000000" w:themeColor="text1"/>
        </w:rPr>
        <w:tab/>
      </w:r>
      <w:r w:rsidRPr="00CF31E0">
        <w:rPr>
          <w:color w:val="000000" w:themeColor="text1"/>
        </w:rPr>
        <w:tab/>
        <w:t>Hadari Hijazi</w:t>
      </w:r>
    </w:p>
    <w:p w14:paraId="48B61AAE" w14:textId="04F44C07" w:rsidR="00B74D37" w:rsidRDefault="00B74D37" w:rsidP="00B74D37">
      <w:r>
        <w:t xml:space="preserve">KMO               </w:t>
      </w:r>
      <w:r w:rsidRPr="00CF31E0">
        <w:rPr>
          <w:lang w:eastAsia="en-US"/>
        </w:rPr>
        <w:t>Kaiser-Meyer-Olkin</w:t>
      </w:r>
      <w:r>
        <w:t xml:space="preserve"> </w:t>
      </w:r>
    </w:p>
    <w:p w14:paraId="7C84F96C" w14:textId="23B2906B" w:rsidR="00B74D37" w:rsidRPr="000E3509" w:rsidRDefault="00B74D37" w:rsidP="00B74D37">
      <w:pPr>
        <w:rPr>
          <w:color w:val="000000" w:themeColor="text1"/>
        </w:rPr>
      </w:pPr>
      <w:r w:rsidRPr="00CF31E0">
        <w:rPr>
          <w:color w:val="000000" w:themeColor="text1"/>
        </w:rPr>
        <w:t>MSA</w:t>
      </w:r>
      <w:r w:rsidRPr="00CF31E0">
        <w:rPr>
          <w:color w:val="000000" w:themeColor="text1"/>
        </w:rPr>
        <w:tab/>
      </w:r>
      <w:r w:rsidRPr="00CF31E0">
        <w:rPr>
          <w:color w:val="000000" w:themeColor="text1"/>
        </w:rPr>
        <w:tab/>
        <w:t>Modern Standard Arabic</w:t>
      </w:r>
    </w:p>
    <w:p w14:paraId="3F6AE33A" w14:textId="0953B049" w:rsidR="00B74D37" w:rsidRPr="000E3509" w:rsidRDefault="00B74D37" w:rsidP="00B74D37">
      <w:r w:rsidRPr="000E3509">
        <w:t>PD                   perceptual dialectology</w:t>
      </w:r>
    </w:p>
    <w:p w14:paraId="7BCD0404" w14:textId="2B15592D" w:rsidR="00B74D37" w:rsidRDefault="00B74D37" w:rsidP="00B74D37">
      <w:r>
        <w:t xml:space="preserve">PAF                 </w:t>
      </w:r>
      <w:r w:rsidRPr="00CF31E0">
        <w:rPr>
          <w:lang w:val="en-US" w:eastAsia="en-US"/>
        </w:rPr>
        <w:t>principal axis factoring</w:t>
      </w:r>
      <w:r>
        <w:t xml:space="preserve">   </w:t>
      </w:r>
    </w:p>
    <w:p w14:paraId="0F91CD85" w14:textId="3BD92679" w:rsidR="00B74D37" w:rsidRPr="000E3509" w:rsidRDefault="00B74D37" w:rsidP="00B74D37">
      <w:pPr>
        <w:rPr>
          <w:lang w:val="it-IT"/>
        </w:rPr>
      </w:pPr>
      <w:r w:rsidRPr="000E3509">
        <w:rPr>
          <w:lang w:val="it-IT"/>
        </w:rPr>
        <w:t>RQ                   research question</w:t>
      </w:r>
    </w:p>
    <w:p w14:paraId="425A395B" w14:textId="55D062A4" w:rsidR="00BF63F2" w:rsidRPr="000E3509" w:rsidRDefault="00BF63F2" w:rsidP="00BF63F2">
      <w:pPr>
        <w:rPr>
          <w:color w:val="000000" w:themeColor="text1"/>
          <w:lang w:val="it-IT"/>
        </w:rPr>
      </w:pPr>
      <w:r w:rsidRPr="000E3509">
        <w:rPr>
          <w:color w:val="000000" w:themeColor="text1"/>
          <w:lang w:val="it-IT"/>
        </w:rPr>
        <w:t>SA</w:t>
      </w:r>
      <w:r w:rsidR="007F25EF" w:rsidRPr="000E3509">
        <w:rPr>
          <w:color w:val="000000" w:themeColor="text1"/>
          <w:lang w:val="it-IT"/>
        </w:rPr>
        <w:tab/>
      </w:r>
      <w:r w:rsidR="007F25EF" w:rsidRPr="000E3509">
        <w:rPr>
          <w:color w:val="000000" w:themeColor="text1"/>
          <w:lang w:val="it-IT"/>
        </w:rPr>
        <w:tab/>
      </w:r>
      <w:r w:rsidRPr="000E3509">
        <w:rPr>
          <w:color w:val="000000" w:themeColor="text1"/>
          <w:lang w:val="it-IT"/>
        </w:rPr>
        <w:t>Saudi Arabia</w:t>
      </w:r>
    </w:p>
    <w:p w14:paraId="31C52177" w14:textId="03D81ECE" w:rsidR="00B74D37" w:rsidRPr="000E3509" w:rsidRDefault="00B74D37" w:rsidP="00B74D37">
      <w:pPr>
        <w:rPr>
          <w:lang w:val="en-US"/>
        </w:rPr>
      </w:pPr>
      <w:r>
        <w:rPr>
          <w:lang w:val="en-US"/>
        </w:rPr>
        <w:t>SABIC            Saudi Arabian basic industries c</w:t>
      </w:r>
      <w:r w:rsidRPr="00CF31E0">
        <w:rPr>
          <w:lang w:val="en-US"/>
        </w:rPr>
        <w:t>orporation</w:t>
      </w:r>
    </w:p>
    <w:p w14:paraId="5402BAAC" w14:textId="60751C07" w:rsidR="00BF63F2" w:rsidRDefault="00BF63F2" w:rsidP="00BF63F2">
      <w:pPr>
        <w:rPr>
          <w:color w:val="000000" w:themeColor="text1"/>
        </w:rPr>
      </w:pPr>
      <w:r w:rsidRPr="00CF31E0">
        <w:rPr>
          <w:color w:val="000000" w:themeColor="text1"/>
        </w:rPr>
        <w:t>UBH</w:t>
      </w:r>
      <w:r w:rsidR="007F25EF" w:rsidRPr="00CF31E0">
        <w:rPr>
          <w:color w:val="000000" w:themeColor="text1"/>
        </w:rPr>
        <w:tab/>
      </w:r>
      <w:r w:rsidR="007F25EF" w:rsidRPr="00CF31E0">
        <w:rPr>
          <w:color w:val="000000" w:themeColor="text1"/>
        </w:rPr>
        <w:tab/>
      </w:r>
      <w:r w:rsidRPr="00CF31E0">
        <w:rPr>
          <w:color w:val="000000" w:themeColor="text1"/>
        </w:rPr>
        <w:t>urban Bedouin Hijazi</w:t>
      </w:r>
    </w:p>
    <w:p w14:paraId="01604361" w14:textId="2497B15F" w:rsidR="00A31FC7" w:rsidRDefault="00A53837" w:rsidP="0065363B">
      <w:r>
        <w:rPr>
          <w:lang w:val="en-US"/>
        </w:rPr>
        <w:t>USA                United States of America</w:t>
      </w:r>
      <w:r>
        <w:t xml:space="preserve">    </w:t>
      </w:r>
      <w:r w:rsidR="00A31FC7">
        <w:t xml:space="preserve">VS                   voice sample    </w:t>
      </w:r>
    </w:p>
    <w:p w14:paraId="3F2BA9D8" w14:textId="77777777" w:rsidR="00CA61D1" w:rsidRDefault="00CA61D1" w:rsidP="0065363B"/>
    <w:p w14:paraId="09AC7864" w14:textId="77777777" w:rsidR="00017D27" w:rsidRPr="000E3509" w:rsidRDefault="00017D27" w:rsidP="0065363B">
      <w:pPr>
        <w:sectPr w:rsidR="00017D27" w:rsidRPr="000E3509" w:rsidSect="00814987">
          <w:footerReference w:type="default" r:id="rId14"/>
          <w:pgSz w:w="11900" w:h="16840"/>
          <w:pgMar w:top="1440" w:right="2268" w:bottom="1440" w:left="2268" w:header="709" w:footer="709" w:gutter="0"/>
          <w:pgNumType w:fmt="lowerRoman"/>
          <w:cols w:space="708"/>
          <w:docGrid w:linePitch="360"/>
        </w:sectPr>
      </w:pPr>
    </w:p>
    <w:p w14:paraId="0B4B9013" w14:textId="03989099" w:rsidR="00A84919" w:rsidRPr="00CF31E0" w:rsidRDefault="00A84919" w:rsidP="00603CB7">
      <w:pPr>
        <w:pStyle w:val="Title"/>
        <w:spacing w:after="500"/>
        <w:contextualSpacing w:val="0"/>
        <w:rPr>
          <w:color w:val="000000" w:themeColor="text1"/>
        </w:rPr>
      </w:pPr>
      <w:bookmarkStart w:id="9" w:name="_Toc6472616"/>
      <w:r w:rsidRPr="00CF31E0">
        <w:rPr>
          <w:color w:val="000000" w:themeColor="text1"/>
        </w:rPr>
        <w:lastRenderedPageBreak/>
        <w:t>Chapter</w:t>
      </w:r>
      <w:r w:rsidR="00860DEE" w:rsidRPr="00CF31E0">
        <w:rPr>
          <w:color w:val="000000" w:themeColor="text1"/>
        </w:rPr>
        <w:t xml:space="preserve"> 1: </w:t>
      </w:r>
      <w:r w:rsidRPr="00CF31E0">
        <w:rPr>
          <w:color w:val="000000" w:themeColor="text1"/>
        </w:rPr>
        <w:t>Introduction</w:t>
      </w:r>
      <w:bookmarkEnd w:id="9"/>
    </w:p>
    <w:p w14:paraId="1FCCCEA2" w14:textId="06C4B7A4" w:rsidR="00A84919" w:rsidRPr="00CF31E0" w:rsidRDefault="00860DEE" w:rsidP="00603CB7">
      <w:pPr>
        <w:pStyle w:val="Ahead"/>
      </w:pPr>
      <w:bookmarkStart w:id="10" w:name="_Toc6472617"/>
      <w:r w:rsidRPr="00CF31E0">
        <w:t xml:space="preserve">1.1. </w:t>
      </w:r>
      <w:r w:rsidR="00A84919" w:rsidRPr="00CF31E0">
        <w:t>Introduction</w:t>
      </w:r>
      <w:bookmarkEnd w:id="10"/>
    </w:p>
    <w:p w14:paraId="0F1FD43B" w14:textId="52D155B1" w:rsidR="00A84919" w:rsidRPr="00CF31E0" w:rsidRDefault="00A84919" w:rsidP="00B0475B">
      <w:pPr>
        <w:pStyle w:val="Paragraph"/>
      </w:pPr>
      <w:r w:rsidRPr="00CF31E0">
        <w:t xml:space="preserve">Throughout history, Saudi Arabia (SA), and the Hijaz region in particular, has captured the attention of many researchers, politicians, religious people, and even economists </w:t>
      </w:r>
      <w:r w:rsidRPr="00CF31E0">
        <w:fldChar w:fldCharType="begin"/>
      </w:r>
      <w:r w:rsidRPr="00CF31E0">
        <w:instrText xml:space="preserve"> ADDIN ZOTERO_ITEM CSL_CITATION {"citationID":"NPFLAyVx","properties":{"formattedCitation":"(Al-Farsy, 1990; Cordesman, 2003; Weston, 2011)","plainCitation":"(Al-Farsy, 1990; Cordesman, 2003; Weston, 2011)","noteIndex":0},"citationItems":[{"id":"wgwhcNH1/M7OONjvz","uris":["http://zotero.org/users/1939618/items/2GT7RHQB"],"uri":["http://zotero.org/users/1939618/items/2GT7RHQB"],"itemData":{"id":420,"type":"book","title":"Saudi Arabia Enters the Twenty-first Century: The military and international security dimensions","publisher":"Greenwood Publishing Group","number-of-pages":"436","source":"Google Books","abstract":"With the continuing importance of Saudi Arabia in regional and world politics, the current and future effectiveness of the Saudi military carries increased significance. Despite recent strains in relations with the U.S., particularly in light of the role Saudis played in the events of September 11, 2001, the Kingdom remains America's key Arab ally. Cordesman studies the challenges faced by the Saudis from both their allies and their potential enemies to assess Saudi Arabia's ability to forge a better approach to collective security in the Gulf and to create more stable long-term security arrangements with the U.S. and other Western Powers. This assessment of Saudi Arabia's strategic position includes a full-scale analysis of Saudi military forces, defense expenditures, arms imports, military modernization, readiness and war fighting capability. It examines both the cooperation and tension with other Southern Gulf States. It explores the implications of the conventional military build-up and creeping proliferation of weapons of mass destruction in the Gulf and the resulting changes in Saudi Arabia's security position. All of these factors have critical implications for stability within the Kingdom, within the Gulf, as well as in the broader global context.","ISBN":"978-0-275-97997-3","shortTitle":"Saudi Arabia Enters the Twenty-first Century","language":"en","author":[{"family":"Cordesman","given":"Anthony H."}],"issued":{"date-parts":[["2003"]]}},"label":"page"},{"id":317,"uris":["http://zotero.org/users/1939618/items/JZ5JPCXF"],"uri":["http://zotero.org/users/1939618/items/JZ5JPCXF"],"itemData":{"id":317,"type":"book","title":"Modernity and Tradition: The Saudi Equation","publisher":"Routledge","publisher-place":"London and New york","number-of-pages":"372","source":"Google Books","event-place":"London and New york","abstract":"First published in 1990. Routledge is an imprint of Taylor &amp; Francis, an informa company.","ISBN":"978-0-7103-0395-0","shortTitle":"Modernity and Tradition","language":"en","author":[{"family":"Al-Farsy","given":"Fouad"}],"issued":{"date-parts":[["1990"]]}},"label":"page"},{"id":106,"uris":["http://zotero.org/users/1939618/items/PHBAX56R"],"uri":["http://zotero.org/users/1939618/items/PHBAX56R"],"itemData":{"id":106,"type":"book","title":"Prophets and princes: Saudi Arabia from Muhammad to the present","publisher":"John Wiley &amp; Sons","publisher-place":"New Jersey","source":"Google Scholar","event-place":"New Jersey","URL":"http://books.google.co.uk/books?hl=en&amp;lr=&amp;id=KRjdyYPH6wQC&amp;oi=fnd&amp;pg=PT13&amp;dq=prophets+and+princes+,saudi+arabia+&amp;ots=ZdmBKfpUQh&amp;sig=WykRl4AinvtTZB0HeL49RAZ6AlU","shortTitle":"Prophets and princes","author":[{"family":"Weston","given":"Mark"}],"issued":{"date-parts":[["2011"]]},"accessed":{"date-parts":[["2015",1,21]]}},"label":"page"}],"schema":"https://github.com/citation-style-language/schema/raw/master/csl-citation.json"} </w:instrText>
      </w:r>
      <w:r w:rsidRPr="00CF31E0">
        <w:fldChar w:fldCharType="separate"/>
      </w:r>
      <w:r w:rsidRPr="00CF31E0">
        <w:rPr>
          <w:noProof/>
        </w:rPr>
        <w:t>(Al-Farsy, 1990; Cordesman, 2003; Weston, 2011)</w:t>
      </w:r>
      <w:r w:rsidRPr="00CF31E0">
        <w:fldChar w:fldCharType="end"/>
      </w:r>
      <w:r w:rsidRPr="00CF31E0">
        <w:t xml:space="preserve">. There are two main reasons why SA has attracted such a high degree of interest. The first reason is that two of the most sacred cities in the Islamic world are located in the Hijaz region (i.e. Western SA): </w:t>
      </w:r>
      <w:r w:rsidR="00D30B2F">
        <w:t>Makkah</w:t>
      </w:r>
      <w:r w:rsidRPr="00CF31E0">
        <w:t xml:space="preserve"> and Al-Madina </w:t>
      </w:r>
      <w:r w:rsidRPr="00CF31E0">
        <w:fldChar w:fldCharType="begin"/>
      </w:r>
      <w:r w:rsidRPr="00CF31E0">
        <w:instrText xml:space="preserve"> ADDIN ZOTERO_ITEM CSL_CITATION {"citationID":"ZNi0vnqp","properties":{"formattedCitation":"(Al-Rasheed, 2010; Weston, 2011; Wilson &amp; Graham, 2016)","plainCitation":"(Al-Rasheed, 2010; Weston, 2011; Wilson &amp; Graham, 2016)","noteIndex":0},"citationItems":[{"id":170,"uris":["http://zotero.org/users/1939618/items/5PRQ9KEN"],"uri":["http://zotero.org/users/1939618/items/5PRQ9KEN"],"itemData":{"id":170,"type":"book","title":"A history of Saudi Arabia","publisher":"Cambridge University Press","publisher-place":"Cambridge","source":"Google Scholar","event-place":"Cambridge","URL":"https://books.google.co.uk/books?hl=en&amp;lr=&amp;id=ReoiwJiOqQAC&amp;oi=fnd&amp;pg=PR10&amp;dq=Al-Rasheed,+M.+(2010).+A+history+of+Saudi+Arabia.+Cambridge,+Cambridge+University+Press.&amp;ots=NaKXTzyoyc&amp;sig=nZSLxW_SacQ6E1xRWtPUxRhNG6g","author":[{"family":"Al-Rasheed","given":"Madawi"}],"issued":{"date-parts":[["2010"]]},"accessed":{"date-parts":[["2015",9,28]]}},"label":"page"},{"id":106,"uris":["http://zotero.org/users/1939618/items/PHBAX56R"],"uri":["http://zotero.org/users/1939618/items/PHBAX56R"],"itemData":{"id":106,"type":"book","title":"Prophets and princes: Saudi Arabia from Muhammad to the present","publisher":"John Wiley &amp; Sons","publisher-place":"New Jersey","source":"Google Scholar","event-place":"New Jersey","URL":"http://books.google.co.uk/books?hl=en&amp;lr=&amp;id=KRjdyYPH6wQC&amp;oi=fnd&amp;pg=PT13&amp;dq=prophets+and+princes+,saudi+arabia+&amp;ots=ZdmBKfpUQh&amp;sig=WykRl4AinvtTZB0HeL49RAZ6AlU","shortTitle":"Prophets and princes","author":[{"family":"Weston","given":"Mark"}],"issued":{"date-parts":[["2011"]]},"accessed":{"date-parts":[["2015",1,21]]}},"label":"page"},{"id":418,"uris":["http://zotero.org/users/1939618/items/3ZU6KTWY"],"uri":["http://zotero.org/users/1939618/items/3ZU6KTWY"],"itemData":{"id":418,"type":"book","title":"Saudi Arabia: The Coming Storm: The Coming Storm","publisher":"Routledge","publisher-place":"New York, NY","number-of-pages":"339","source":"Google Books","event-place":"New York, NY","abstract":"Some of the best writings on issues involving local government can be found in journals published by the American Society for Public Administration or journals with which ASPA is associated. This volume includes 30 of the most outstanding articles that have been published.","ISBN":"978-1-315-28699-0","note":"Google-Books-ID: tIoYDQAAQBAJ","shortTitle":"Saudi Arabia","language":"en","author":[{"family":"Wilson","given":"Peter W."},{"family":"Graham","given":"Douglas F."}],"issued":{"date-parts":[["2016",9,16]]}},"label":"page"}],"schema":"https://github.com/citation-style-language/schema/raw/master/csl-citation.json"} </w:instrText>
      </w:r>
      <w:r w:rsidRPr="00CF31E0">
        <w:fldChar w:fldCharType="separate"/>
      </w:r>
      <w:r w:rsidRPr="00CF31E0">
        <w:rPr>
          <w:noProof/>
        </w:rPr>
        <w:t>(Weston, 2011; Wilson &amp; Graham, 2016)</w:t>
      </w:r>
      <w:r w:rsidRPr="00CF31E0">
        <w:fldChar w:fldCharType="end"/>
      </w:r>
      <w:r w:rsidRPr="00CF31E0">
        <w:rPr>
          <w:bCs/>
        </w:rPr>
        <w:t>.</w:t>
      </w:r>
      <w:r w:rsidRPr="00CF31E0">
        <w:t xml:space="preserve"> Most significantly, pilgrimage, which is one of the five pillars of Islam, is performed in </w:t>
      </w:r>
      <w:r w:rsidR="00D30B2F">
        <w:t>Makkah</w:t>
      </w:r>
      <w:r w:rsidRPr="00CF31E0">
        <w:t xml:space="preserve"> every year at a specific time and date. Therefore, </w:t>
      </w:r>
      <w:r w:rsidR="00D30B2F">
        <w:t>Makkah</w:t>
      </w:r>
      <w:r w:rsidRPr="00CF31E0">
        <w:t xml:space="preserve"> city in particular and the Hijaz region in general is one of the most cosmopolitan regions in SA. The fact that many pilgrims overstay in Hijaz has affected the societal make-up of Hijaz society over many generations. </w:t>
      </w:r>
    </w:p>
    <w:p w14:paraId="2F091D71" w14:textId="42848705" w:rsidR="00A84919" w:rsidRPr="00CF31E0" w:rsidRDefault="00A84919" w:rsidP="00EE5B20">
      <w:pPr>
        <w:pStyle w:val="Paragraph"/>
      </w:pPr>
      <w:r w:rsidRPr="00CF31E0">
        <w:rPr>
          <w:lang w:val="en-US"/>
        </w:rPr>
        <w:t xml:space="preserve">The second reason is the fact that after the discovery of oil in 1938, the country became one of the top oil-producing countries </w:t>
      </w:r>
      <w:r w:rsidRPr="00CF31E0">
        <w:fldChar w:fldCharType="begin"/>
      </w:r>
      <w:r w:rsidRPr="00CF31E0">
        <w:instrText xml:space="preserve"> ADDIN ZOTERO_ITEM CSL_CITATION {"citationID":"shGpB6C0","properties":{"formattedCitation":"(Albatel, 2005; Al-Rasheed, 2010; Weston, 2011)","plainCitation":"(Albatel, 2005; Al-Rasheed, 2010; Weston, 2011)","noteIndex":0},"citationItems":[{"id":398,"uris":["http://zotero.org/users/1939618/items/UXMPASC7"],"uri":["http://zotero.org/users/1939618/items/UXMPASC7"],"itemData":{"id":398,"type":"article-journal","title":"Population growth and economic development in Saudi Arabia","container-title":"Scientific Journal of King Faisal University (Humanities and Management Sciences)","page":"1426","volume":"6","issue":"2","source":"Google Scholar","author":[{"family":"Albatel","given":"Abdullah H."}],"issued":{"date-parts":[["2005"]]}},"label":"page"},{"id":170,"uris":["http://zotero.org/users/1939618/items/5PRQ9KEN"],"uri":["http://zotero.org/users/1939618/items/5PRQ9KEN"],"itemData":{"id":170,"type":"book","title":"A history of Saudi Arabia","publisher":"Cambridge University Press","publisher-place":"Cambridge","source":"Google Scholar","event-place":"Cambridge","URL":"https://books.google.co.uk/books?hl=en&amp;lr=&amp;id=ReoiwJiOqQAC&amp;oi=fnd&amp;pg=PR10&amp;dq=Al-Rasheed,+M.+(2010).+A+history+of+Saudi+Arabia.+Cambridge,+Cambridge+University+Press.&amp;ots=NaKXTzyoyc&amp;sig=nZSLxW_SacQ6E1xRWtPUxRhNG6g","author":[{"family":"Al-Rasheed","given":"Madawi"}],"issued":{"date-parts":[["2010"]]},"accessed":{"date-parts":[["2015",9,28]]}},"label":"page"},{"id":106,"uris":["http://zotero.org/users/1939618/items/PHBAX56R"],"uri":["http://zotero.org/users/1939618/items/PHBAX56R"],"itemData":{"id":106,"type":"book","title":"Prophets and princes: Saudi Arabia from Muhammad to the present","publisher":"John Wiley &amp; Sons","publisher-place":"New Jersey","source":"Google Scholar","event-place":"New Jersey","URL":"http://books.google.co.uk/books?hl=en&amp;lr=&amp;id=KRjdyYPH6wQC&amp;oi=fnd&amp;pg=PT13&amp;dq=prophets+and+princes+,saudi+arabia+&amp;ots=ZdmBKfpUQh&amp;sig=WykRl4AinvtTZB0HeL49RAZ6AlU","shortTitle":"Prophets and princes","author":[{"family":"Weston","given":"Mark"}],"issued":{"date-parts":[["2011"]]},"accessed":{"date-parts":[["2015",1,21]]}},"label":"page"}],"schema":"https://github.com/citation-style-language/schema/raw/master/csl-citation.json"} </w:instrText>
      </w:r>
      <w:r w:rsidRPr="00CF31E0">
        <w:fldChar w:fldCharType="separate"/>
      </w:r>
      <w:r w:rsidR="008B67D2" w:rsidRPr="00CF31E0">
        <w:rPr>
          <w:noProof/>
        </w:rPr>
        <w:t>(Albatel, 2005</w:t>
      </w:r>
      <w:r w:rsidRPr="00CF31E0">
        <w:rPr>
          <w:noProof/>
        </w:rPr>
        <w:t>; Weston, 2011)</w:t>
      </w:r>
      <w:r w:rsidRPr="00CF31E0">
        <w:fldChar w:fldCharType="end"/>
      </w:r>
      <w:r w:rsidRPr="00CF31E0">
        <w:rPr>
          <w:lang w:val="en-US"/>
        </w:rPr>
        <w:t xml:space="preserve">. According to OPEC, SA is ranked in second place worldwide for its reserves of crude oil </w:t>
      </w:r>
      <w:r w:rsidRPr="00CF31E0">
        <w:rPr>
          <w:lang w:val="en-US"/>
        </w:rPr>
        <w:fldChar w:fldCharType="begin"/>
      </w:r>
      <w:r w:rsidRPr="00CF31E0">
        <w:rPr>
          <w:lang w:val="en-US"/>
        </w:rPr>
        <w:instrText xml:space="preserve"> ADDIN ZOTERO_ITEM CSL_CITATION {"citationID":"vSQe9djE","properties":{"formattedCitation":"(\\uc0\\u8216{}OPEC\\uc0\\u8239{}: OPEC Share of World Crude Oil Reserves\\uc0\\u8217{}, 2017)","plainCitation":"(‘OPEC : OPEC Share of World Crude Oil Reserves’, 2017)","noteIndex":0},"citationItems":[{"id":428,"uris":["http://zotero.org/users/1939618/items/ZFEKD6CC"],"uri":["http://zotero.org/users/1939618/items/ZFEKD6CC"],"itemData":{"id":428,"type":"webpage","title":"OPEC : OPEC Share of World Crude Oil Reserves","URL":"http://www.opec.org/opec_web/en/data_graphs/330.htm","issued":{"date-parts":[["2017"]]},"accessed":{"date-parts":[["2018",4,9]]}}}],"schema":"https://github.com/citation-style-language/schema/raw/master/csl-citation.json"} </w:instrText>
      </w:r>
      <w:r w:rsidRPr="00CF31E0">
        <w:rPr>
          <w:lang w:val="en-US"/>
        </w:rPr>
        <w:fldChar w:fldCharType="separate"/>
      </w:r>
      <w:r w:rsidRPr="00CF31E0">
        <w:rPr>
          <w:rFonts w:eastAsia="Times New Roman" w:hAnsiTheme="majorHAnsi"/>
        </w:rPr>
        <w:t>(OPEC, 2017)</w:t>
      </w:r>
      <w:r w:rsidRPr="00CF31E0">
        <w:rPr>
          <w:lang w:val="en-US"/>
        </w:rPr>
        <w:fldChar w:fldCharType="end"/>
      </w:r>
      <w:r w:rsidRPr="00CF31E0">
        <w:rPr>
          <w:lang w:val="en-US"/>
        </w:rPr>
        <w:t xml:space="preserve">. Since the oil boom, the country has witnessed massive urbanization </w:t>
      </w:r>
      <w:r w:rsidRPr="00CF31E0">
        <w:rPr>
          <w:lang w:val="en-US"/>
        </w:rPr>
        <w:fldChar w:fldCharType="begin"/>
      </w:r>
      <w:r w:rsidRPr="00CF31E0">
        <w:rPr>
          <w:lang w:val="en-US"/>
        </w:rPr>
        <w:instrText xml:space="preserve"> ADDIN ZOTERO_ITEM CSL_CITATION {"citationID":"vWh29527","properties":{"formattedCitation":"(Al-Hathloul &amp; Aslam Mughal, 1999a; Al-Hathloul &amp; Mughal, 2004)","plainCitation":"(Al-Hathloul &amp; Aslam Mughal, 1999a; Al-Hathloul &amp; Mughal, 2004)","dontUpdate":true,"noteIndex":0},"citationItems":[{"id":405,"uris":["http://zotero.org/users/1939618/items/LJ3BLDEZ"],"uri":["http://zotero.org/users/1939618/items/LJ3BLDEZ"],"itemData":{"id":405,"type":"article-journal","title":"Creating identity in new communities: case studies from Saudi Arabia","container-title":"Landscape and Urban Planning","page":"199–218","volume":"44","issue":"4","source":"find.shef.ac.uk","abstract":"Community identity is considered a desirable goal for various reasons. This paper traces the impact of rapid and unprecedented urbanization on the structure of Saudi cities by taking the example of a small town, Al-Badai in the Riyadh region. It points out how existing towns are struggling to regain their character through a number of methods including the provision of planning frameworks and the creation of new city centers. The paper discusses the creation of identity in the two new communities of Diplomatic Quarter, within Metropolitan Riyadh and Yanbu, the new industrial city on the Red Sea in the Western region. The paper describes how site exploitation, architecture of public buildings and housing employing the principles of traditional Saudi settlements, and landscape architecture with local trees and shrubs have been used in creating community identity. The use of hierarchy of mosques due to their frequent dotting of urban landscape as nodes and landmarks has been identified as a special feature of these communities. The paper brings out the roles of administrative structure and comprehensive planning approach in a centralized system of government for creating community identity.","DOI":"10.1016/S0169-2046(99)00010-9","ISSN":"0169-2046","shortTitle":"Creating identity in new communities","language":"eng","author":[{"family":"Al-Hathloul","given":"Saleh"},{"family":"Aslam Mughal","given":"Muhammad"}],"issued":{"date-parts":[["1999"]]}},"label":"page"},{"id":407,"uris":["http://zotero.org/users/1939618/items/QTY9J3JQ"],"uri":["http://zotero.org/users/1939618/items/QTY9J3JQ"],"itemData":{"id":407,"type":"article-journal","title":"Urban growth management-the Saudi experience","container-title":"Habitat International","page":"609–623","volume":"28","issue":"4","source":"find.shef.ac.uk","abstract":"Saudi Arabia experienced a high rate of urbanization during the period 1970–1986 resulting in accelerated annual growth rates for Saudi cities averaging more than 6.4%. Higher than usual growth rates created demand for the opening up of huge areas to meet housing, commercial, industrial and other land uses. Government's land grant policy and liberal interest free loans resulted in massive expansion of cities and towns all over the country with major cities of Riyadh, Jeddah, and Dammam having the biggest share. Lack of planning frameworks and weak city institutions could not direct the growth properly leading to sprawl and lop-sided development. This meant rapid extension of road network and utilities with high financial outlays. The slow-down in the economy and ever-increasing demand for infrastructure provision forced the government to initiate growth boundaries to tackle these problems in 1986. The paper discusses the methodology adopted and the process of devising urban limits and evaluates their impact on urban structures of Saudi cities. The paper draws some conclusions in the realization of objectives of the exercise with respect to, (a) control urban sprawl by encouraging infill development where utilities were generally available; (b) reduce cost of provision of infrastructure through better coordination tied to commonly agreed phasing; (c) maintain natural environment around the cities.","DOI":"10.1016/j.habitatint.2003.10.009","ISSN":"0197-3975","language":"eng","author":[{"family":"Al-Hathloul","given":"Saleh"},{"family":"Mughal","given":"Muhammad Aslam"}],"issued":{"date-parts":[["2004"]]}},"label":"page"}],"schema":"https://github.com/citation-style-language/schema/raw/master/csl-citation.json"} </w:instrText>
      </w:r>
      <w:r w:rsidRPr="00CF31E0">
        <w:rPr>
          <w:lang w:val="en-US"/>
        </w:rPr>
        <w:fldChar w:fldCharType="separate"/>
      </w:r>
      <w:r w:rsidRPr="00CF31E0">
        <w:rPr>
          <w:rFonts w:eastAsia="Times New Roman" w:hAnsiTheme="majorHAnsi"/>
        </w:rPr>
        <w:t>(Al-Hathloul &amp; Mughal, 1999; Al-Hathloul &amp; Mughal, 2004)</w:t>
      </w:r>
      <w:r w:rsidRPr="00CF31E0">
        <w:rPr>
          <w:lang w:val="en-US"/>
        </w:rPr>
        <w:fldChar w:fldCharType="end"/>
      </w:r>
      <w:r w:rsidRPr="00CF31E0">
        <w:rPr>
          <w:lang w:val="en-US"/>
        </w:rPr>
        <w:t xml:space="preserve">. Although the economic, social and cultural impact of pilgrimage itself boosted the urbanization process, the impact on the country’s development was revealed very slowly compared to the development resulting from the discovery of oil </w:t>
      </w:r>
      <w:bookmarkStart w:id="11" w:name="ZOTERO_BREF_LyK5Q5S7raJ8fRAjMfy6j"/>
      <w:r w:rsidR="00EE5B20" w:rsidRPr="00CF31E0">
        <w:t>(Al-Farsy, 1990)</w:t>
      </w:r>
      <w:bookmarkEnd w:id="11"/>
      <w:r w:rsidR="00EE5B20" w:rsidRPr="00CF31E0">
        <w:t>.</w:t>
      </w:r>
    </w:p>
    <w:p w14:paraId="27CF1CB7" w14:textId="4E6C2BDC" w:rsidR="00A84919" w:rsidRPr="00CF31E0" w:rsidRDefault="00A84919" w:rsidP="00603CB7">
      <w:pPr>
        <w:pStyle w:val="Paragraph"/>
        <w:rPr>
          <w:lang w:val="en-US"/>
        </w:rPr>
      </w:pPr>
      <w:r w:rsidRPr="00CF31E0">
        <w:rPr>
          <w:lang w:val="en-US"/>
        </w:rPr>
        <w:t xml:space="preserve">The discovery of oil in SA attracted external migration to Hijaz, mostly consisting of overstayed pilgrims, and the internal migration of people from rural to urban centres in Hijaz, mainly for economic reasons </w:t>
      </w:r>
      <w:r w:rsidRPr="00CF31E0">
        <w:rPr>
          <w:lang w:val="en-US"/>
        </w:rPr>
        <w:fldChar w:fldCharType="begin"/>
      </w:r>
      <w:r w:rsidRPr="00CF31E0">
        <w:rPr>
          <w:lang w:val="en-US"/>
        </w:rPr>
        <w:instrText xml:space="preserve"> ADDIN ZOTERO_ITEM CSL_CITATION {"citationID":"zTvZZZ47","properties":{"formattedCitation":"(Al-Hathloul &amp; Edadan, 1993)","plainCitation":"(Al-Hathloul &amp; Edadan, 1993)","noteIndex":0},"citationItems":[{"id":391,"uris":["http://zotero.org/users/1939618/items/DXRDLSL4"],"uri":["http://zotero.org/users/1939618/items/DXRDLSL4"],"itemData":{"id":391,"type":"article-journal","title":"Evolution of settlement pattern in Saudi Arabia: A historical analysis","container-title":"Habitat International","page":"31–46","volume":"17","issue":"4","source":"find.shef.ac.uk","abstract":"Historical growth of settlements in the Kingdom of Saudi Arabia has been significantly influenced by the ecological and institutional factors. The evolutionary process of settlement growth in the Kingdom could be classified into four distinct stages: the trade and pilgrim routes of the pre-national unification period, the sedentarisation process of the unification period, the oil discovery and extraction period of the early 1960s and the oil boom and development planning period of the 1970s. In spite of the distinct ecological and physical conditions of desert and arid environments and tribal structure of regions, certain notions and processes of historical evolution of settlements and growth dynamics could be generalised. This paper is an attempt to identify the institutional process of evolution and growth of settlements in the Kingdom of Saudi Arabia.","DOI":"10.1016/0197-3975(93)90027-A","ISSN":"0197-3975","shortTitle":"Evolution of settlement pattern in Saudi Arabia","language":"eng","author":[{"family":"Al-Hathloul","given":"Saleh"},{"family":"Edadan","given":"Narayanan"}],"issued":{"date-parts":[["1993"]]}},"label":"page"}],"schema":"https://github.com/citation-style-language/schema/raw/master/csl-citation.json"} </w:instrText>
      </w:r>
      <w:r w:rsidRPr="00CF31E0">
        <w:rPr>
          <w:lang w:val="en-US"/>
        </w:rPr>
        <w:fldChar w:fldCharType="separate"/>
      </w:r>
      <w:r w:rsidRPr="00CF31E0">
        <w:rPr>
          <w:noProof/>
          <w:lang w:val="en-US"/>
        </w:rPr>
        <w:t>(Al-Hathloul &amp; Edadan, 1993)</w:t>
      </w:r>
      <w:r w:rsidRPr="00CF31E0">
        <w:rPr>
          <w:lang w:val="en-US"/>
        </w:rPr>
        <w:fldChar w:fldCharType="end"/>
      </w:r>
      <w:r w:rsidRPr="00CF31E0">
        <w:rPr>
          <w:lang w:val="en-US"/>
        </w:rPr>
        <w:t xml:space="preserve">. Therefore, the pilgrimage to </w:t>
      </w:r>
      <w:r w:rsidR="00D30B2F">
        <w:rPr>
          <w:lang w:val="en-US"/>
        </w:rPr>
        <w:t>Makkah</w:t>
      </w:r>
      <w:r w:rsidRPr="00CF31E0">
        <w:rPr>
          <w:lang w:val="en-US"/>
        </w:rPr>
        <w:t xml:space="preserve"> and the discovery of oil in SA have significantly contributed to the salient division between two social groups in Hijaz. The first group consists of urban Bedouin Hijazi (henceforth UBH) people in the Hijaz region who originally dwelled in rural </w:t>
      </w:r>
      <w:r w:rsidRPr="00CF31E0">
        <w:rPr>
          <w:lang w:val="en-US"/>
        </w:rPr>
        <w:lastRenderedPageBreak/>
        <w:t xml:space="preserve">areas and settled in urban centres in Hijaz after the oil boom </w:t>
      </w:r>
      <w:r w:rsidRPr="00CF31E0">
        <w:rPr>
          <w:lang w:val="en-US"/>
        </w:rPr>
        <w:fldChar w:fldCharType="begin"/>
      </w:r>
      <w:r w:rsidRPr="00CF31E0">
        <w:rPr>
          <w:lang w:val="en-US"/>
        </w:rPr>
        <w:instrText xml:space="preserve"> ADDIN ZOTERO_ITEM CSL_CITATION {"citationID":"qhXM4L2K","properties":{"formattedCitation":"(Nasir Al-Jehani, 1990; Nassir Al-Jehani, 1985; Nahedh, 1989)","plainCitation":"(Nasir Al-Jehani, 1990; Nassir Al-Jehani, 1985; Nahedh, 1989)","dontUpdate":true,"noteIndex":0},"citationItems":[{"id":480,"uris":["http://zotero.org/users/1939618/items/R9E5Q4TA"],"uri":["http://zotero.org/users/1939618/items/R9E5Q4TA"],"itemData":{"id":480,"type":"article-journal","title":"Color Terms in Mecca: A Sociolinguistic Perspective","container-title":"Anthropological Linguistics","page":"163–74","volume":"32","issue":"1-2","source":"find.shef.ac.uk","abstract":"The present study focuses on the variability in color labeling by Meccan speakers of Arabic from different social backgrounds, a subject only marginally considered in the existing literature. Color labeling was found to strongly correlate with the sex, ethnic background, and age of speakers.","ISSN":"0003-5483","shortTitle":"Color Terms in Mecca","language":"English","author":[{"family":"Al-Jehani","given":"Nasir"}],"issued":{"date-parts":[["1990"]]}},"label":"page"},{"id":537,"uris":["http://zotero.org/users/1939618/items/CKTFSSZ4"],"uri":["http://zotero.org/users/1939618/items/CKTFSSZ4"],"itemData":{"id":537,"type":"thesis","title":"Sociostylistic stratification of Arabic in Makkah (doctoral dissertation)","publisher":"University of Michigan","URL":"https://www.researchgate.net/publication/36173456_SOCIOSTYLISTIC_STRATIFICATION_OF_ARABIC_IN_MAKKAH_SOCIOLINGUISTICS_VARIATION_SAUDI_ARABIA","language":"en","author":[{"family":"Al-Jehani","given":"Nassir"}],"issued":{"date-parts":[["1985"]]},"accessed":{"date-parts":[["2018",7,12]]}},"label":"page"},{"id":515,"uris":["http://zotero.org/users/1939618/items/J2X24F6B"],"uri":["http://zotero.org/users/1939618/items/J2X24F6B"],"itemData":{"id":515,"type":"thesis","title":"The sedentarization of a Bedouin community in Saudi Arabia (doctoral dissertation)","publisher":"University of Leeds","source":"Zotero","abstract":"This thesis examines the sedentarization of bedouin nomads in Saudi Arabia: partly in general, but mostly focussing on a particular region (Sajir) which was studied in the field.","language":"en","author":[{"family":"Nahedh","given":"Monera"}],"issued":{"date-parts":[["1989"]]}},"label":"page"}],"schema":"https://github.com/citation-style-language/schema/raw/master/csl-citation.json"} </w:instrText>
      </w:r>
      <w:r w:rsidRPr="00CF31E0">
        <w:rPr>
          <w:lang w:val="en-US"/>
        </w:rPr>
        <w:fldChar w:fldCharType="separate"/>
      </w:r>
      <w:r w:rsidRPr="00CF31E0">
        <w:rPr>
          <w:noProof/>
          <w:lang w:val="en-US"/>
        </w:rPr>
        <w:t>(Al-Jehani, 1985, 1990; Nahedh, 1989)</w:t>
      </w:r>
      <w:r w:rsidRPr="00CF31E0">
        <w:rPr>
          <w:lang w:val="en-US"/>
        </w:rPr>
        <w:fldChar w:fldCharType="end"/>
      </w:r>
      <w:r w:rsidRPr="00CF31E0">
        <w:rPr>
          <w:lang w:val="en-US"/>
        </w:rPr>
        <w:t xml:space="preserve">. The second group mainly consists of overstayed pilgrims in Hijaz who came from different ethnic groups around the Islamic world and settled in Hijaz. This group is called the Hadari Hijazi (henceforth HH) group </w:t>
      </w:r>
      <w:r w:rsidRPr="00CF31E0">
        <w:rPr>
          <w:lang w:val="en-US"/>
        </w:rPr>
        <w:fldChar w:fldCharType="begin"/>
      </w:r>
      <w:r w:rsidRPr="00CF31E0">
        <w:rPr>
          <w:lang w:val="en-US"/>
        </w:rPr>
        <w:instrText xml:space="preserve"> ADDIN ZOTERO_ITEM CSL_CITATION {"citationID":"ohYv9tdH","properties":{"formattedCitation":"(Nasir Al-Jehani, 1990; Nassir Al-Jehani, 1985; Nahedh, 1989)","plainCitation":"(Nasir Al-Jehani, 1990; Nassir Al-Jehani, 1985; Nahedh, 1989)","dontUpdate":true,"noteIndex":0},"citationItems":[{"id":480,"uris":["http://zotero.org/users/1939618/items/R9E5Q4TA"],"uri":["http://zotero.org/users/1939618/items/R9E5Q4TA"],"itemData":{"id":480,"type":"article-journal","title":"Color Terms in Mecca: A Sociolinguistic Perspective","container-title":"Anthropological Linguistics","page":"163–74","volume":"32","issue":"1-2","source":"find.shef.ac.uk","abstract":"The present study focuses on the variability in color labeling by Meccan speakers of Arabic from different social backgrounds, a subject only marginally considered in the existing literature. Color labeling was found to strongly correlate with the sex, ethnic background, and age of speakers.","ISSN":"0003-5483","shortTitle":"Color Terms in Mecca","language":"English","author":[{"family":"Al-Jehani","given":"Nasir"}],"issued":{"date-parts":[["1990"]]}},"label":"page"},{"id":537,"uris":["http://zotero.org/users/1939618/items/CKTFSSZ4"],"uri":["http://zotero.org/users/1939618/items/CKTFSSZ4"],"itemData":{"id":537,"type":"thesis","title":"Sociostylistic stratification of Arabic in Makkah (doctoral dissertation)","publisher":"University of Michigan","URL":"https://www.researchgate.net/publication/36173456_SOCIOSTYLISTIC_STRATIFICATION_OF_ARABIC_IN_MAKKAH_SOCIOLINGUISTICS_VARIATION_SAUDI_ARABIA","language":"en","author":[{"family":"Al-Jehani","given":"Nassir"}],"issued":{"date-parts":[["1985"]]},"accessed":{"date-parts":[["2018",7,12]]}},"label":"page"},{"id":515,"uris":["http://zotero.org/users/1939618/items/J2X24F6B"],"uri":["http://zotero.org/users/1939618/items/J2X24F6B"],"itemData":{"id":515,"type":"thesis","title":"The sedentarization of a Bedouin community in Saudi Arabia (doctoral dissertation)","publisher":"University of Leeds","source":"Zotero","abstract":"This thesis examines the sedentarization of bedouin nomads in Saudi Arabia: partly in general, but mostly focussing on a particular region (Sajir) which was studied in the field.","language":"en","author":[{"family":"Nahedh","given":"Monera"}],"issued":{"date-parts":[["1989"]]}},"label":"page"}],"schema":"https://github.com/citation-style-language/schema/raw/master/csl-citation.json"} </w:instrText>
      </w:r>
      <w:r w:rsidRPr="00CF31E0">
        <w:rPr>
          <w:lang w:val="en-US"/>
        </w:rPr>
        <w:fldChar w:fldCharType="separate"/>
      </w:r>
      <w:r w:rsidRPr="00CF31E0">
        <w:rPr>
          <w:noProof/>
          <w:lang w:val="en-US"/>
        </w:rPr>
        <w:t>(Al-Jehani, 1985, 1990; Nahedh, 1989)</w:t>
      </w:r>
      <w:r w:rsidRPr="00CF31E0">
        <w:rPr>
          <w:lang w:val="en-US"/>
        </w:rPr>
        <w:fldChar w:fldCharType="end"/>
      </w:r>
      <w:r w:rsidRPr="00CF31E0">
        <w:rPr>
          <w:lang w:val="en-US"/>
        </w:rPr>
        <w:t xml:space="preserve">. Such a division in the societal make-up of Hijaz resulted in a powerful dichotomous language ideology in relation to two Hijazi dialects: the UBH dialect and HH dialect. Therefore, </w:t>
      </w:r>
      <w:r w:rsidR="008A3268" w:rsidRPr="00CF31E0">
        <w:rPr>
          <w:lang w:val="en-US"/>
        </w:rPr>
        <w:t>this thesis reports on an empirical</w:t>
      </w:r>
      <w:r w:rsidRPr="00CF31E0">
        <w:rPr>
          <w:lang w:val="en-US"/>
        </w:rPr>
        <w:t xml:space="preserve"> </w:t>
      </w:r>
      <w:r w:rsidR="008A3268" w:rsidRPr="00CF31E0">
        <w:rPr>
          <w:lang w:val="en-US"/>
        </w:rPr>
        <w:t xml:space="preserve">investigation of </w:t>
      </w:r>
      <w:r w:rsidR="009258B3" w:rsidRPr="00CF31E0">
        <w:rPr>
          <w:lang w:val="en-US"/>
        </w:rPr>
        <w:t>the</w:t>
      </w:r>
      <w:r w:rsidRPr="00CF31E0">
        <w:rPr>
          <w:lang w:val="en-US"/>
        </w:rPr>
        <w:t xml:space="preserve"> extent </w:t>
      </w:r>
      <w:r w:rsidR="009258B3" w:rsidRPr="00CF31E0">
        <w:rPr>
          <w:lang w:val="en-US"/>
        </w:rPr>
        <w:t xml:space="preserve">to which </w:t>
      </w:r>
      <w:r w:rsidRPr="00CF31E0">
        <w:rPr>
          <w:lang w:val="en-US"/>
        </w:rPr>
        <w:t>the ideological positions of the UBH and HH dialects could affect Hijazi people</w:t>
      </w:r>
      <w:r w:rsidR="009258B3" w:rsidRPr="00CF31E0">
        <w:rPr>
          <w:lang w:val="en-US"/>
        </w:rPr>
        <w:t>’s</w:t>
      </w:r>
      <w:r w:rsidRPr="00CF31E0">
        <w:rPr>
          <w:lang w:val="en-US"/>
        </w:rPr>
        <w:t xml:space="preserve"> perceptions towards the two dialects. </w:t>
      </w:r>
    </w:p>
    <w:p w14:paraId="795CED7A" w14:textId="41FF0CE9" w:rsidR="006D3401" w:rsidRPr="00235DB9" w:rsidRDefault="006D3401" w:rsidP="006D3401">
      <w:pPr>
        <w:pStyle w:val="Paragraph"/>
        <w:rPr>
          <w:lang w:val="en-US" w:eastAsia="en-US"/>
        </w:rPr>
      </w:pPr>
      <w:r w:rsidRPr="00235DB9">
        <w:rPr>
          <w:lang w:val="en-US" w:eastAsia="en-US"/>
        </w:rPr>
        <w:t xml:space="preserve">The </w:t>
      </w:r>
      <w:r>
        <w:rPr>
          <w:lang w:val="en-US" w:eastAsia="en-US"/>
        </w:rPr>
        <w:t xml:space="preserve">thesis is </w:t>
      </w:r>
      <w:r w:rsidRPr="00235DB9">
        <w:rPr>
          <w:lang w:val="en-US" w:eastAsia="en-US"/>
        </w:rPr>
        <w:t>structure</w:t>
      </w:r>
      <w:r>
        <w:rPr>
          <w:lang w:val="en-US" w:eastAsia="en-US"/>
        </w:rPr>
        <w:t>d</w:t>
      </w:r>
      <w:r w:rsidRPr="00235DB9">
        <w:rPr>
          <w:lang w:val="en-US" w:eastAsia="en-US"/>
        </w:rPr>
        <w:t xml:space="preserve"> as follows</w:t>
      </w:r>
      <w:r>
        <w:rPr>
          <w:lang w:val="en-US" w:eastAsia="en-US"/>
        </w:rPr>
        <w:t>.</w:t>
      </w:r>
      <w:r w:rsidRPr="00235DB9">
        <w:rPr>
          <w:lang w:val="en-US" w:eastAsia="en-US"/>
        </w:rPr>
        <w:t xml:space="preserve"> </w:t>
      </w:r>
      <w:r>
        <w:rPr>
          <w:lang w:val="en-US" w:eastAsia="en-US"/>
        </w:rPr>
        <w:t>C</w:t>
      </w:r>
      <w:r w:rsidRPr="00235DB9">
        <w:rPr>
          <w:lang w:val="en-US" w:eastAsia="en-US"/>
        </w:rPr>
        <w:t>hapter</w:t>
      </w:r>
      <w:r>
        <w:rPr>
          <w:lang w:val="en-US" w:eastAsia="en-US"/>
        </w:rPr>
        <w:t>s</w:t>
      </w:r>
      <w:r w:rsidRPr="00235DB9">
        <w:rPr>
          <w:lang w:val="en-US" w:eastAsia="en-US"/>
        </w:rPr>
        <w:t xml:space="preserve"> 1</w:t>
      </w:r>
      <w:r>
        <w:rPr>
          <w:lang w:val="en-US" w:eastAsia="en-US"/>
        </w:rPr>
        <w:t>–</w:t>
      </w:r>
      <w:r w:rsidRPr="00235DB9">
        <w:rPr>
          <w:lang w:val="en-US" w:eastAsia="en-US"/>
        </w:rPr>
        <w:t xml:space="preserve">4 review the historical and empirical literature </w:t>
      </w:r>
      <w:r>
        <w:rPr>
          <w:lang w:val="en-US" w:eastAsia="en-US"/>
        </w:rPr>
        <w:t>from</w:t>
      </w:r>
      <w:r w:rsidRPr="00235DB9">
        <w:rPr>
          <w:lang w:val="en-US" w:eastAsia="en-US"/>
        </w:rPr>
        <w:t xml:space="preserve"> SA, </w:t>
      </w:r>
      <w:r>
        <w:rPr>
          <w:lang w:val="en-US" w:eastAsia="en-US"/>
        </w:rPr>
        <w:t xml:space="preserve">the </w:t>
      </w:r>
      <w:r w:rsidRPr="00235DB9">
        <w:rPr>
          <w:lang w:val="en-US" w:eastAsia="en-US"/>
        </w:rPr>
        <w:t>Arab world and international</w:t>
      </w:r>
      <w:r>
        <w:rPr>
          <w:lang w:val="en-US" w:eastAsia="en-US"/>
        </w:rPr>
        <w:t>ly</w:t>
      </w:r>
      <w:r w:rsidRPr="00235DB9">
        <w:rPr>
          <w:lang w:val="en-US" w:eastAsia="en-US"/>
        </w:rPr>
        <w:t xml:space="preserve"> that is related to language regard. Chapter 1 </w:t>
      </w:r>
      <w:r>
        <w:rPr>
          <w:lang w:val="en-US" w:eastAsia="en-US"/>
        </w:rPr>
        <w:t>provides</w:t>
      </w:r>
      <w:r w:rsidRPr="00235DB9">
        <w:rPr>
          <w:lang w:val="en-US" w:eastAsia="en-US"/>
        </w:rPr>
        <w:t xml:space="preserve"> a brief introduction </w:t>
      </w:r>
      <w:r>
        <w:rPr>
          <w:lang w:val="en-US" w:eastAsia="en-US"/>
        </w:rPr>
        <w:t>and states</w:t>
      </w:r>
      <w:r w:rsidRPr="00235DB9">
        <w:rPr>
          <w:lang w:val="en-US" w:eastAsia="en-US"/>
        </w:rPr>
        <w:t xml:space="preserve"> the thesis problem. Chapter 2 reviews the historical, religious and economic factors that played a significant role in the social and linguistic division in </w:t>
      </w:r>
      <w:r>
        <w:rPr>
          <w:lang w:val="en-US" w:eastAsia="en-US"/>
        </w:rPr>
        <w:t xml:space="preserve">the </w:t>
      </w:r>
      <w:r w:rsidRPr="00235DB9">
        <w:rPr>
          <w:lang w:val="en-US" w:eastAsia="en-US"/>
        </w:rPr>
        <w:t xml:space="preserve">Hijaz region. Chapter 3 reviews the dialect research in the Arab world in general and </w:t>
      </w:r>
      <w:r>
        <w:rPr>
          <w:lang w:val="en-US" w:eastAsia="en-US"/>
        </w:rPr>
        <w:t xml:space="preserve">in </w:t>
      </w:r>
      <w:r w:rsidRPr="00235DB9">
        <w:rPr>
          <w:lang w:val="en-US" w:eastAsia="en-US"/>
        </w:rPr>
        <w:t>Saudi Arabia in particular. Furthermore, it sheds some light on the factors that affected how dialects have been classified in the Middle East. Chapter 4 reviews literature on language regard</w:t>
      </w:r>
      <w:r>
        <w:rPr>
          <w:lang w:val="en-US" w:eastAsia="en-US"/>
        </w:rPr>
        <w:t>,</w:t>
      </w:r>
      <w:r w:rsidRPr="00235DB9">
        <w:rPr>
          <w:lang w:val="en-US" w:eastAsia="en-US"/>
        </w:rPr>
        <w:t xml:space="preserve"> covering three main areas: language attitude research, folk linguistic research and research on perceptions of speech sounds.</w:t>
      </w:r>
    </w:p>
    <w:p w14:paraId="7D0F4712" w14:textId="77777777" w:rsidR="006D3401" w:rsidRPr="00235DB9" w:rsidRDefault="006D3401" w:rsidP="006D3401">
      <w:pPr>
        <w:pStyle w:val="Paragraph"/>
        <w:rPr>
          <w:lang w:val="en-US" w:eastAsia="en-US"/>
        </w:rPr>
      </w:pPr>
      <w:r w:rsidRPr="00235DB9">
        <w:rPr>
          <w:lang w:val="en-US" w:eastAsia="en-US"/>
        </w:rPr>
        <w:t>Chapter 5 details the main methodological approaches applied in the study</w:t>
      </w:r>
      <w:r>
        <w:rPr>
          <w:lang w:val="en-US" w:eastAsia="en-US"/>
        </w:rPr>
        <w:t>,</w:t>
      </w:r>
      <w:r w:rsidRPr="00235DB9">
        <w:rPr>
          <w:lang w:val="en-US" w:eastAsia="en-US"/>
        </w:rPr>
        <w:t xml:space="preserve"> </w:t>
      </w:r>
      <w:r>
        <w:rPr>
          <w:lang w:val="en-US" w:eastAsia="en-US"/>
        </w:rPr>
        <w:t>involving the application of</w:t>
      </w:r>
      <w:r w:rsidRPr="00235DB9">
        <w:rPr>
          <w:lang w:val="en-US" w:eastAsia="en-US"/>
        </w:rPr>
        <w:t xml:space="preserve"> direct and indirect measures. The main method is a questionnaire design, where four main direct measures </w:t>
      </w:r>
      <w:r>
        <w:rPr>
          <w:lang w:val="en-US" w:eastAsia="en-US"/>
        </w:rPr>
        <w:t>were</w:t>
      </w:r>
      <w:r w:rsidRPr="00235DB9">
        <w:rPr>
          <w:lang w:val="en-US" w:eastAsia="en-US"/>
        </w:rPr>
        <w:t xml:space="preserve"> used: </w:t>
      </w:r>
      <w:r>
        <w:rPr>
          <w:lang w:val="en-US" w:eastAsia="en-US"/>
        </w:rPr>
        <w:t xml:space="preserve">a </w:t>
      </w:r>
      <w:r w:rsidRPr="00235DB9">
        <w:rPr>
          <w:lang w:val="en-US" w:eastAsia="en-US"/>
        </w:rPr>
        <w:t xml:space="preserve">keyword technique, multiple-choice technique, semantic differential scale technique and finally voice allocation technique. </w:t>
      </w:r>
      <w:r>
        <w:rPr>
          <w:lang w:val="en-US" w:eastAsia="en-US"/>
        </w:rPr>
        <w:t>Regarding</w:t>
      </w:r>
      <w:r w:rsidRPr="00235DB9">
        <w:rPr>
          <w:lang w:val="en-US" w:eastAsia="en-US"/>
        </w:rPr>
        <w:t xml:space="preserve"> the indirect measure, I appl</w:t>
      </w:r>
      <w:r>
        <w:rPr>
          <w:lang w:val="en-US" w:eastAsia="en-US"/>
        </w:rPr>
        <w:t>ied the</w:t>
      </w:r>
      <w:r w:rsidRPr="00235DB9">
        <w:rPr>
          <w:lang w:val="en-US" w:eastAsia="en-US"/>
        </w:rPr>
        <w:t xml:space="preserve"> matched guise and verbal guise technique</w:t>
      </w:r>
      <w:r>
        <w:rPr>
          <w:lang w:val="en-US" w:eastAsia="en-US"/>
        </w:rPr>
        <w:t>s</w:t>
      </w:r>
      <w:r w:rsidRPr="00235DB9">
        <w:rPr>
          <w:lang w:val="en-US" w:eastAsia="en-US"/>
        </w:rPr>
        <w:t xml:space="preserve">. Chapter 6 </w:t>
      </w:r>
      <w:r>
        <w:rPr>
          <w:lang w:val="en-US" w:eastAsia="en-US"/>
        </w:rPr>
        <w:t>provides a</w:t>
      </w:r>
      <w:r w:rsidRPr="00235DB9">
        <w:rPr>
          <w:lang w:val="en-US" w:eastAsia="en-US"/>
        </w:rPr>
        <w:t xml:space="preserve"> detailed account </w:t>
      </w:r>
      <w:r>
        <w:rPr>
          <w:lang w:val="en-US" w:eastAsia="en-US"/>
        </w:rPr>
        <w:t>of</w:t>
      </w:r>
      <w:r w:rsidRPr="00235DB9">
        <w:rPr>
          <w:lang w:val="en-US" w:eastAsia="en-US"/>
        </w:rPr>
        <w:t xml:space="preserve"> the demographic variables in the study</w:t>
      </w:r>
      <w:r>
        <w:rPr>
          <w:lang w:val="en-US" w:eastAsia="en-US"/>
        </w:rPr>
        <w:t>,</w:t>
      </w:r>
      <w:r w:rsidRPr="00235DB9">
        <w:rPr>
          <w:lang w:val="en-US" w:eastAsia="en-US"/>
        </w:rPr>
        <w:t xml:space="preserve"> including: </w:t>
      </w:r>
      <w:r w:rsidRPr="00235DB9">
        <w:rPr>
          <w:lang w:eastAsia="zh-CN"/>
        </w:rPr>
        <w:t>gender, age, place of birth, places lived, marital status, education level, social group, mother’s social group and spouse’s social group.</w:t>
      </w:r>
    </w:p>
    <w:p w14:paraId="4E267127" w14:textId="6EB82C0D" w:rsidR="006D3401" w:rsidRPr="00235DB9" w:rsidRDefault="006D3401" w:rsidP="006D3401">
      <w:pPr>
        <w:pStyle w:val="Paragraph"/>
        <w:rPr>
          <w:lang w:val="en-US" w:eastAsia="en-US"/>
        </w:rPr>
      </w:pPr>
      <w:r w:rsidRPr="00235DB9">
        <w:rPr>
          <w:lang w:val="en-US" w:eastAsia="en-US"/>
        </w:rPr>
        <w:lastRenderedPageBreak/>
        <w:t>Chapter</w:t>
      </w:r>
      <w:r>
        <w:rPr>
          <w:lang w:val="en-US" w:eastAsia="en-US"/>
        </w:rPr>
        <w:t>s</w:t>
      </w:r>
      <w:r w:rsidRPr="00235DB9">
        <w:rPr>
          <w:lang w:val="en-US" w:eastAsia="en-US"/>
        </w:rPr>
        <w:t xml:space="preserve"> 7</w:t>
      </w:r>
      <w:r>
        <w:rPr>
          <w:lang w:val="en-US" w:eastAsia="en-US"/>
        </w:rPr>
        <w:t>–</w:t>
      </w:r>
      <w:r w:rsidRPr="00235DB9">
        <w:rPr>
          <w:lang w:val="en-US" w:eastAsia="en-US"/>
        </w:rPr>
        <w:t xml:space="preserve">12 present the analysis and discussion for each research question. Chapter 7 answers RQ1 by undertaking a broader analysis of the linguistic situation. Direct questions were asked about the perceived dominant dialect in Hijaz, the differences perceived between the two dialects, the linguistic aspects that differentiate the two dialects from each other, the perceived resemblance between the HH dialect and other Arabic dialects, the effects of dialect contact on each other’s dialect, and finally on intermarriage between the two social groups. The data were processed via Chi-square tests. Chapter 8 discusses </w:t>
      </w:r>
      <w:r>
        <w:rPr>
          <w:lang w:val="en-US" w:eastAsia="en-US"/>
        </w:rPr>
        <w:t>the</w:t>
      </w:r>
      <w:r w:rsidRPr="00235DB9">
        <w:rPr>
          <w:lang w:val="en-US" w:eastAsia="en-US"/>
        </w:rPr>
        <w:t xml:space="preserve"> RQ1</w:t>
      </w:r>
      <w:r>
        <w:rPr>
          <w:lang w:val="en-US" w:eastAsia="en-US"/>
        </w:rPr>
        <w:t xml:space="preserve"> results. T</w:t>
      </w:r>
      <w:r w:rsidRPr="00235DB9">
        <w:rPr>
          <w:lang w:val="en-US" w:eastAsia="en-US"/>
        </w:rPr>
        <w:t>he finding</w:t>
      </w:r>
      <w:r>
        <w:rPr>
          <w:lang w:val="en-US" w:eastAsia="en-US"/>
        </w:rPr>
        <w:t>s are reported in the context of</w:t>
      </w:r>
      <w:r w:rsidRPr="00235DB9">
        <w:rPr>
          <w:lang w:val="en-US" w:eastAsia="en-US"/>
        </w:rPr>
        <w:t xml:space="preserve"> the historical and economic factors discussed in </w:t>
      </w:r>
      <w:r>
        <w:rPr>
          <w:lang w:val="en-US" w:eastAsia="en-US"/>
        </w:rPr>
        <w:t>C</w:t>
      </w:r>
      <w:r w:rsidRPr="00235DB9">
        <w:rPr>
          <w:lang w:val="en-US" w:eastAsia="en-US"/>
        </w:rPr>
        <w:t xml:space="preserve">hapter 2 </w:t>
      </w:r>
      <w:r>
        <w:rPr>
          <w:lang w:val="en-US" w:eastAsia="en-US"/>
        </w:rPr>
        <w:t>together</w:t>
      </w:r>
      <w:r w:rsidRPr="00235DB9">
        <w:rPr>
          <w:lang w:val="en-US" w:eastAsia="en-US"/>
        </w:rPr>
        <w:t xml:space="preserve"> with research studies in the Saudi context</w:t>
      </w:r>
      <w:r>
        <w:rPr>
          <w:lang w:val="en-US" w:eastAsia="en-US"/>
        </w:rPr>
        <w:t>,</w:t>
      </w:r>
      <w:r w:rsidRPr="00235DB9">
        <w:rPr>
          <w:lang w:val="en-US" w:eastAsia="en-US"/>
        </w:rPr>
        <w:t xml:space="preserve"> which were discussed in </w:t>
      </w:r>
      <w:r>
        <w:rPr>
          <w:lang w:val="en-US" w:eastAsia="en-US"/>
        </w:rPr>
        <w:t>C</w:t>
      </w:r>
      <w:r w:rsidRPr="00235DB9">
        <w:rPr>
          <w:lang w:val="en-US" w:eastAsia="en-US"/>
        </w:rPr>
        <w:t>hapter 3</w:t>
      </w:r>
      <w:r>
        <w:rPr>
          <w:lang w:val="en-US" w:eastAsia="en-US"/>
        </w:rPr>
        <w:t>.</w:t>
      </w:r>
    </w:p>
    <w:p w14:paraId="33CFC97F" w14:textId="709F0F66" w:rsidR="006D3401" w:rsidRPr="00235DB9" w:rsidRDefault="006D3401" w:rsidP="006D3401">
      <w:pPr>
        <w:pStyle w:val="Paragraph"/>
        <w:rPr>
          <w:lang w:eastAsia="en-US"/>
        </w:rPr>
      </w:pPr>
      <w:r w:rsidRPr="00235DB9">
        <w:rPr>
          <w:lang w:val="en-US" w:eastAsia="en-US"/>
        </w:rPr>
        <w:t>Chapter 9</w:t>
      </w:r>
      <w:r w:rsidRPr="00235DB9">
        <w:rPr>
          <w:lang w:eastAsia="en-US"/>
        </w:rPr>
        <w:t xml:space="preserve"> answers RQ2 by moving on to tap into overt stereotypical attitudes towards the two dialects. By presenting the two dialects conceptually, I examine the most common characteristics that are associated with the UBH and HH dialects. The latent dimensions behind the observed characteristics </w:t>
      </w:r>
      <w:r>
        <w:rPr>
          <w:lang w:eastAsia="en-US"/>
        </w:rPr>
        <w:t>are</w:t>
      </w:r>
      <w:r w:rsidRPr="00235DB9">
        <w:rPr>
          <w:lang w:eastAsia="en-US"/>
        </w:rPr>
        <w:t xml:space="preserve"> revealed. Language attitude research has the potential to reveal the evaluative dimensions behind the observed attitudes which might confirm or contradict stereotypical assumptions in the research context </w:t>
      </w:r>
      <w:r w:rsidRPr="00235DB9">
        <w:rPr>
          <w:lang w:eastAsia="en-US"/>
        </w:rPr>
        <w:fldChar w:fldCharType="begin"/>
      </w:r>
      <w:r w:rsidRPr="00235DB9">
        <w:rPr>
          <w:lang w:eastAsia="en-US"/>
        </w:rPr>
        <w:instrText xml:space="preserve"> ADDIN ZOTERO_ITEM CSL_CITATION {"citationID":"iZPoNtv9","properties":{"formattedCitation":"(Kristiansen et al., 2005)","plainCitation":"(Kristiansen et al., 2005)","noteIndex":0},"citationItems":[{"id":303,"uris":["http://zotero.org/users/1939618/items/C4CULAJ5"],"uri":["http://zotero.org/users/1939618/items/C4CULAJ5"],"itemData":{"id":303,"type":"article-journal","title":"Introducing subjectivities in language variation and change","container-title":"Acta Linguistica Hafniensia","page":"9-35","volume":"37","issue":"1","source":"www-tandfonline-com.sheffield.idm.oclc.org (Atypon)","abstract":"This volume is devoted both to the theoretical question of which roles subjective processes play in language variation and change (LVC), and to the many methodological questions raised by the study of these subjective processes. Obviously, to talk about ‘subjective’ processes implies that there are also ‘objective’ processes, and more generally it suggests that LVC should be studied in terms of a distinction between the ‘subjective’ and the ‘objective’. Such a distinction is not, however, what we normally meet within the literature, where the factors involved in LVC are commonly divided and grouped in terms like internal versus external, linguistic versus social versus (socio)psychological, macro versus micro, and not to forget, the tripartite division introduced by Labov in his summing up of his own life work: internal versus social versus cognitive (Labov 1994, 2001, forthcoming.).","DOI":"10.1080/03740463.2005.10416081","ISSN":"0374-0463","journalAbbreviation":"Acta Linguistica Hafniensia","author":[{"family":"Kristiansen","given":"Tore"},{"family":"Garrett","given":"Peter"},{"family":"Coupland","given":"Nikolas"}],"issued":{"date-parts":[["2005",1,1]]}}}],"schema":"https://github.com/citation-style-language/schema/raw/master/csl-citation.json"} </w:instrText>
      </w:r>
      <w:r w:rsidRPr="00235DB9">
        <w:rPr>
          <w:lang w:eastAsia="en-US"/>
        </w:rPr>
        <w:fldChar w:fldCharType="separate"/>
      </w:r>
      <w:r w:rsidRPr="00235DB9">
        <w:rPr>
          <w:noProof/>
          <w:lang w:eastAsia="en-US"/>
        </w:rPr>
        <w:t>(Kristiansen et al., 2005)</w:t>
      </w:r>
      <w:r w:rsidRPr="00235DB9">
        <w:rPr>
          <w:lang w:eastAsia="en-US"/>
        </w:rPr>
        <w:fldChar w:fldCharType="end"/>
      </w:r>
      <w:r w:rsidRPr="00235DB9">
        <w:rPr>
          <w:lang w:eastAsia="en-US"/>
        </w:rPr>
        <w:t>. Data were processed via factor analysis, paired T-tests and a one-way analysis of variance test (ANOVA). Chapter 10 discusses the results from RQ2</w:t>
      </w:r>
      <w:r>
        <w:rPr>
          <w:lang w:eastAsia="en-US"/>
        </w:rPr>
        <w:t>,</w:t>
      </w:r>
      <w:r w:rsidRPr="00235DB9">
        <w:rPr>
          <w:lang w:eastAsia="en-US"/>
        </w:rPr>
        <w:t xml:space="preserve"> </w:t>
      </w:r>
      <w:r>
        <w:rPr>
          <w:lang w:eastAsia="en-US"/>
        </w:rPr>
        <w:t>which are reported</w:t>
      </w:r>
      <w:r w:rsidRPr="00235DB9">
        <w:rPr>
          <w:lang w:eastAsia="en-US"/>
        </w:rPr>
        <w:t xml:space="preserve"> in relation to research on language regard. </w:t>
      </w:r>
    </w:p>
    <w:p w14:paraId="4571EF4B" w14:textId="77777777" w:rsidR="006D3401" w:rsidRPr="00235DB9" w:rsidRDefault="006D3401" w:rsidP="006D3401">
      <w:pPr>
        <w:pStyle w:val="Paragraph"/>
        <w:spacing w:after="0"/>
        <w:rPr>
          <w:lang w:eastAsia="en-US"/>
        </w:rPr>
      </w:pPr>
      <w:r w:rsidRPr="00235DB9">
        <w:rPr>
          <w:lang w:eastAsia="en-US"/>
        </w:rPr>
        <w:t xml:space="preserve">Chapter 11 answers RQ3 by moving on to </w:t>
      </w:r>
      <w:r>
        <w:rPr>
          <w:lang w:eastAsia="en-US"/>
        </w:rPr>
        <w:t>reveal</w:t>
      </w:r>
      <w:r w:rsidRPr="00235DB9">
        <w:rPr>
          <w:lang w:eastAsia="en-US"/>
        </w:rPr>
        <w:t xml:space="preserve"> more deep-rooted stereotypical views. I was interested in ascertaining whether Hijazi people can identify UBH and HH dialects as distinctive dialects. If so, what are the factors that affect their perceptions: linguistic or metalinguistic factors? Also, I was interested </w:t>
      </w:r>
      <w:r>
        <w:rPr>
          <w:lang w:eastAsia="en-US"/>
        </w:rPr>
        <w:t>in</w:t>
      </w:r>
      <w:r w:rsidRPr="00235DB9">
        <w:rPr>
          <w:lang w:eastAsia="en-US"/>
        </w:rPr>
        <w:t xml:space="preserve"> reveal</w:t>
      </w:r>
      <w:r>
        <w:rPr>
          <w:lang w:eastAsia="en-US"/>
        </w:rPr>
        <w:t>ing</w:t>
      </w:r>
      <w:r w:rsidRPr="00235DB9">
        <w:rPr>
          <w:lang w:eastAsia="en-US"/>
        </w:rPr>
        <w:t xml:space="preserve"> h</w:t>
      </w:r>
      <w:r>
        <w:rPr>
          <w:lang w:eastAsia="en-US"/>
        </w:rPr>
        <w:t>o</w:t>
      </w:r>
      <w:r w:rsidRPr="00235DB9">
        <w:rPr>
          <w:lang w:eastAsia="en-US"/>
        </w:rPr>
        <w:t xml:space="preserve">w UBH and HH dialects are rated when participants are provided with voice stimuli. Data were processed via a Chi-square test, a one-way analysis of variance test (ANOVA) and a one-way repeated measure ANOVA. Chapter 12 discusses results from RQ3 in relation to research on perceptions of speech sounds and research on language attitudes. </w:t>
      </w:r>
    </w:p>
    <w:p w14:paraId="3EF5E823" w14:textId="77777777" w:rsidR="006D3401" w:rsidRPr="00235DB9" w:rsidRDefault="006D3401" w:rsidP="006D3401">
      <w:pPr>
        <w:pStyle w:val="Paragraph"/>
        <w:spacing w:before="240"/>
        <w:rPr>
          <w:lang w:eastAsia="en-US"/>
        </w:rPr>
      </w:pPr>
      <w:r w:rsidRPr="00235DB9">
        <w:rPr>
          <w:lang w:eastAsia="en-US"/>
        </w:rPr>
        <w:lastRenderedPageBreak/>
        <w:t>Chapter 13 summarizes the key finding</w:t>
      </w:r>
      <w:r>
        <w:rPr>
          <w:lang w:eastAsia="en-US"/>
        </w:rPr>
        <w:t>s</w:t>
      </w:r>
      <w:r w:rsidRPr="00235DB9">
        <w:rPr>
          <w:lang w:eastAsia="en-US"/>
        </w:rPr>
        <w:t xml:space="preserve"> in the study, demonstrates the contribution of the study, discusses the limitation</w:t>
      </w:r>
      <w:r>
        <w:rPr>
          <w:lang w:eastAsia="en-US"/>
        </w:rPr>
        <w:t>s</w:t>
      </w:r>
      <w:r w:rsidRPr="00235DB9">
        <w:rPr>
          <w:lang w:eastAsia="en-US"/>
        </w:rPr>
        <w:t xml:space="preserve"> </w:t>
      </w:r>
      <w:r>
        <w:rPr>
          <w:lang w:eastAsia="en-US"/>
        </w:rPr>
        <w:t>of</w:t>
      </w:r>
      <w:r w:rsidRPr="00235DB9">
        <w:rPr>
          <w:lang w:eastAsia="en-US"/>
        </w:rPr>
        <w:t xml:space="preserve"> the study and concludes by suggesting </w:t>
      </w:r>
      <w:r>
        <w:rPr>
          <w:lang w:eastAsia="en-US"/>
        </w:rPr>
        <w:t xml:space="preserve">areas of </w:t>
      </w:r>
      <w:r w:rsidRPr="00235DB9">
        <w:rPr>
          <w:lang w:eastAsia="en-US"/>
        </w:rPr>
        <w:t xml:space="preserve">future research. </w:t>
      </w:r>
    </w:p>
    <w:p w14:paraId="14FE3C1C" w14:textId="77777777" w:rsidR="00A97239" w:rsidRDefault="00A97239" w:rsidP="000E3509">
      <w:pPr>
        <w:pStyle w:val="Paragraph"/>
        <w:spacing w:after="0"/>
        <w:rPr>
          <w:lang w:eastAsia="en-US"/>
        </w:rPr>
      </w:pPr>
    </w:p>
    <w:p w14:paraId="744323CF" w14:textId="77777777" w:rsidR="006D3401" w:rsidRPr="00CF31E0" w:rsidRDefault="006D3401" w:rsidP="000E3509">
      <w:pPr>
        <w:pStyle w:val="Paragraph"/>
        <w:spacing w:after="0"/>
        <w:rPr>
          <w:lang w:eastAsia="en-US"/>
        </w:rPr>
        <w:sectPr w:rsidR="006D3401" w:rsidRPr="00CF31E0" w:rsidSect="00603CB7">
          <w:pgSz w:w="11900" w:h="16840"/>
          <w:pgMar w:top="1440" w:right="2268" w:bottom="1440" w:left="2268" w:header="709" w:footer="709" w:gutter="0"/>
          <w:pgNumType w:start="1"/>
          <w:cols w:space="708"/>
          <w:docGrid w:linePitch="360"/>
        </w:sectPr>
      </w:pPr>
    </w:p>
    <w:p w14:paraId="681B076E" w14:textId="77777777" w:rsidR="00B77F59" w:rsidRPr="00CF31E0" w:rsidRDefault="00662DA2" w:rsidP="00603CB7">
      <w:pPr>
        <w:pStyle w:val="Title"/>
        <w:spacing w:after="500"/>
        <w:contextualSpacing w:val="0"/>
        <w:rPr>
          <w:color w:val="000000" w:themeColor="text1"/>
        </w:rPr>
      </w:pPr>
      <w:bookmarkStart w:id="12" w:name="_Toc6472618"/>
      <w:r w:rsidRPr="00CF31E0">
        <w:rPr>
          <w:color w:val="000000" w:themeColor="text1"/>
        </w:rPr>
        <w:lastRenderedPageBreak/>
        <w:t xml:space="preserve">Chapter </w:t>
      </w:r>
      <w:r w:rsidR="00AB78DC" w:rsidRPr="00CF31E0">
        <w:rPr>
          <w:color w:val="000000" w:themeColor="text1"/>
        </w:rPr>
        <w:t>2</w:t>
      </w:r>
      <w:r w:rsidRPr="00CF31E0">
        <w:rPr>
          <w:color w:val="000000" w:themeColor="text1"/>
        </w:rPr>
        <w:t xml:space="preserve">: </w:t>
      </w:r>
      <w:r w:rsidR="008753B9" w:rsidRPr="00CF31E0">
        <w:rPr>
          <w:color w:val="000000" w:themeColor="text1"/>
        </w:rPr>
        <w:t>Historical background of Hijaz region and Saudi Arabia</w:t>
      </w:r>
      <w:bookmarkEnd w:id="12"/>
    </w:p>
    <w:p w14:paraId="015D91F9" w14:textId="615A8F05" w:rsidR="00D86F38" w:rsidRPr="00CF31E0" w:rsidRDefault="00AB78DC" w:rsidP="00603CB7">
      <w:pPr>
        <w:pStyle w:val="Ahead"/>
        <w:ind w:left="0" w:firstLine="0"/>
      </w:pPr>
      <w:bookmarkStart w:id="13" w:name="_Toc511728071"/>
      <w:bookmarkStart w:id="14" w:name="_Toc6472619"/>
      <w:r w:rsidRPr="00CF31E0">
        <w:t>2.1</w:t>
      </w:r>
      <w:r w:rsidRPr="00CF31E0">
        <w:tab/>
      </w:r>
      <w:r w:rsidR="00D86F38" w:rsidRPr="00CF31E0">
        <w:t>Introduction</w:t>
      </w:r>
      <w:bookmarkEnd w:id="13"/>
      <w:bookmarkEnd w:id="14"/>
      <w:r w:rsidR="00D86F38" w:rsidRPr="00CF31E0">
        <w:t xml:space="preserve"> </w:t>
      </w:r>
    </w:p>
    <w:p w14:paraId="33993597" w14:textId="4E02BDAC" w:rsidR="00F75B1B" w:rsidRPr="00CF31E0" w:rsidRDefault="00D86F38" w:rsidP="00603CB7">
      <w:pPr>
        <w:pStyle w:val="Paragraph"/>
        <w:rPr>
          <w:lang w:val="en-US"/>
        </w:rPr>
      </w:pPr>
      <w:r w:rsidRPr="00CF31E0">
        <w:rPr>
          <w:lang w:val="en-US"/>
        </w:rPr>
        <w:t>In this chapter, I will provi</w:t>
      </w:r>
      <w:r w:rsidR="00946DC3" w:rsidRPr="00CF31E0">
        <w:rPr>
          <w:lang w:val="en-US"/>
        </w:rPr>
        <w:t>de a detailed discussion of</w:t>
      </w:r>
      <w:r w:rsidR="00544499" w:rsidRPr="00CF31E0">
        <w:rPr>
          <w:lang w:val="en-US"/>
        </w:rPr>
        <w:t>, first,</w:t>
      </w:r>
      <w:r w:rsidR="00B108FD" w:rsidRPr="00CF31E0">
        <w:rPr>
          <w:lang w:val="en-US"/>
        </w:rPr>
        <w:t xml:space="preserve"> the impact of pilgrimage on </w:t>
      </w:r>
      <w:r w:rsidR="00F8740D" w:rsidRPr="00CF31E0">
        <w:rPr>
          <w:lang w:val="en-US"/>
        </w:rPr>
        <w:t xml:space="preserve">the emergence of </w:t>
      </w:r>
      <w:r w:rsidR="00B108FD" w:rsidRPr="00CF31E0">
        <w:rPr>
          <w:lang w:val="en-US"/>
        </w:rPr>
        <w:t xml:space="preserve">a dichotomous dialect situation in </w:t>
      </w:r>
      <w:r w:rsidR="00F8740D" w:rsidRPr="00CF31E0">
        <w:rPr>
          <w:lang w:val="en-US"/>
        </w:rPr>
        <w:t xml:space="preserve">the </w:t>
      </w:r>
      <w:r w:rsidR="00B108FD" w:rsidRPr="00CF31E0">
        <w:rPr>
          <w:lang w:val="en-US"/>
        </w:rPr>
        <w:t xml:space="preserve">Hijaz region. In order to do so, I will investigate the history of </w:t>
      </w:r>
      <w:r w:rsidR="00D30B2F">
        <w:rPr>
          <w:lang w:val="en-US"/>
        </w:rPr>
        <w:t>Makkah</w:t>
      </w:r>
      <w:r w:rsidR="00B108FD" w:rsidRPr="00CF31E0">
        <w:rPr>
          <w:lang w:val="en-US"/>
        </w:rPr>
        <w:t xml:space="preserve"> in general, and</w:t>
      </w:r>
      <w:r w:rsidR="007B1BD9" w:rsidRPr="00CF31E0">
        <w:rPr>
          <w:lang w:val="en-US"/>
        </w:rPr>
        <w:t xml:space="preserve"> the</w:t>
      </w:r>
      <w:r w:rsidR="00B108FD" w:rsidRPr="00CF31E0">
        <w:rPr>
          <w:lang w:val="en-US"/>
        </w:rPr>
        <w:t xml:space="preserve"> Hajj in particular. Second</w:t>
      </w:r>
      <w:r w:rsidR="00F8740D" w:rsidRPr="00CF31E0">
        <w:rPr>
          <w:lang w:val="en-US"/>
        </w:rPr>
        <w:t>,</w:t>
      </w:r>
      <w:r w:rsidR="00B108FD" w:rsidRPr="00CF31E0">
        <w:rPr>
          <w:lang w:val="en-US"/>
        </w:rPr>
        <w:t xml:space="preserve"> I will examine</w:t>
      </w:r>
      <w:r w:rsidR="00D30640" w:rsidRPr="00CF31E0">
        <w:rPr>
          <w:lang w:val="en-US"/>
        </w:rPr>
        <w:t xml:space="preserve"> the effects of </w:t>
      </w:r>
      <w:r w:rsidR="00F8740D" w:rsidRPr="00CF31E0">
        <w:rPr>
          <w:lang w:val="en-US"/>
        </w:rPr>
        <w:t xml:space="preserve">the </w:t>
      </w:r>
      <w:r w:rsidR="005E2A25" w:rsidRPr="00CF31E0">
        <w:rPr>
          <w:lang w:val="en-US"/>
        </w:rPr>
        <w:t xml:space="preserve">oil boom </w:t>
      </w:r>
      <w:r w:rsidR="00F8740D" w:rsidRPr="00CF31E0">
        <w:rPr>
          <w:lang w:val="en-US"/>
        </w:rPr>
        <w:t xml:space="preserve">on </w:t>
      </w:r>
      <w:r w:rsidR="005E2A25" w:rsidRPr="00CF31E0">
        <w:rPr>
          <w:lang w:val="en-US"/>
        </w:rPr>
        <w:t>changing the Hijazi social structure.</w:t>
      </w:r>
      <w:r w:rsidR="00B108FD" w:rsidRPr="00CF31E0">
        <w:rPr>
          <w:lang w:val="en-US"/>
        </w:rPr>
        <w:t xml:space="preserve"> </w:t>
      </w:r>
      <w:r w:rsidR="005E2A25" w:rsidRPr="00CF31E0">
        <w:rPr>
          <w:lang w:val="en-US"/>
        </w:rPr>
        <w:t xml:space="preserve">In doing so, I will examine </w:t>
      </w:r>
      <w:r w:rsidR="00F75B1B" w:rsidRPr="00CF31E0">
        <w:rPr>
          <w:lang w:val="en-US"/>
        </w:rPr>
        <w:t xml:space="preserve">the emergence of </w:t>
      </w:r>
      <w:r w:rsidR="0069253B" w:rsidRPr="00CF31E0">
        <w:rPr>
          <w:lang w:val="en-US"/>
        </w:rPr>
        <w:t>Saudi Arabia (</w:t>
      </w:r>
      <w:r w:rsidR="00F75B1B" w:rsidRPr="00CF31E0">
        <w:rPr>
          <w:lang w:val="en-US"/>
        </w:rPr>
        <w:t>SA</w:t>
      </w:r>
      <w:r w:rsidR="0069253B" w:rsidRPr="00CF31E0">
        <w:rPr>
          <w:lang w:val="en-US"/>
        </w:rPr>
        <w:t>)</w:t>
      </w:r>
      <w:r w:rsidR="00F75B1B" w:rsidRPr="00CF31E0">
        <w:rPr>
          <w:lang w:val="en-US"/>
        </w:rPr>
        <w:t>, followed by a detailed discussion on the discovery of oil and its effects o</w:t>
      </w:r>
      <w:r w:rsidR="005E2A25" w:rsidRPr="00CF31E0">
        <w:rPr>
          <w:lang w:val="en-US"/>
        </w:rPr>
        <w:t xml:space="preserve">n the urbanization process, </w:t>
      </w:r>
      <w:r w:rsidR="008B1BDC" w:rsidRPr="00CF31E0">
        <w:rPr>
          <w:lang w:val="en-US"/>
        </w:rPr>
        <w:t xml:space="preserve">which caused </w:t>
      </w:r>
      <w:r w:rsidR="00F75B1B" w:rsidRPr="00CF31E0">
        <w:rPr>
          <w:lang w:val="en-US"/>
        </w:rPr>
        <w:t xml:space="preserve">internal and external migration </w:t>
      </w:r>
      <w:r w:rsidR="008B1BDC" w:rsidRPr="00CF31E0">
        <w:rPr>
          <w:lang w:val="en-US"/>
        </w:rPr>
        <w:t>to increas</w:t>
      </w:r>
      <w:r w:rsidR="00F8740D" w:rsidRPr="00CF31E0">
        <w:rPr>
          <w:lang w:val="en-US"/>
        </w:rPr>
        <w:t>e</w:t>
      </w:r>
      <w:r w:rsidR="008B1BDC" w:rsidRPr="00CF31E0">
        <w:rPr>
          <w:lang w:val="en-US"/>
        </w:rPr>
        <w:t xml:space="preserve"> sharply </w:t>
      </w:r>
      <w:r w:rsidR="00F8740D" w:rsidRPr="00CF31E0">
        <w:rPr>
          <w:lang w:val="en-US"/>
        </w:rPr>
        <w:t xml:space="preserve">and </w:t>
      </w:r>
      <w:r w:rsidR="00F75B1B" w:rsidRPr="00CF31E0">
        <w:rPr>
          <w:lang w:val="en-US"/>
        </w:rPr>
        <w:t xml:space="preserve">affected </w:t>
      </w:r>
      <w:r w:rsidR="008B1BDC" w:rsidRPr="00CF31E0">
        <w:rPr>
          <w:lang w:val="en-US"/>
        </w:rPr>
        <w:t>the societal make-up of Hijaz</w:t>
      </w:r>
      <w:r w:rsidR="00F75B1B" w:rsidRPr="00CF31E0">
        <w:rPr>
          <w:lang w:val="en-US"/>
        </w:rPr>
        <w:t xml:space="preserve">. </w:t>
      </w:r>
      <w:r w:rsidR="00426743" w:rsidRPr="00CF31E0">
        <w:rPr>
          <w:lang w:val="en-US"/>
        </w:rPr>
        <w:t>The chapte</w:t>
      </w:r>
      <w:r w:rsidR="008B1BDC" w:rsidRPr="00CF31E0">
        <w:rPr>
          <w:lang w:val="en-US"/>
        </w:rPr>
        <w:t xml:space="preserve">r concludes </w:t>
      </w:r>
      <w:r w:rsidR="00F8740D" w:rsidRPr="00CF31E0">
        <w:rPr>
          <w:lang w:val="en-US"/>
        </w:rPr>
        <w:t>with</w:t>
      </w:r>
      <w:r w:rsidR="008B1BDC" w:rsidRPr="00CF31E0">
        <w:rPr>
          <w:lang w:val="en-US"/>
        </w:rPr>
        <w:t xml:space="preserve"> an</w:t>
      </w:r>
      <w:r w:rsidR="00426743" w:rsidRPr="00CF31E0">
        <w:rPr>
          <w:lang w:val="en-US"/>
        </w:rPr>
        <w:t xml:space="preserve"> ac</w:t>
      </w:r>
      <w:r w:rsidR="0026385D" w:rsidRPr="00CF31E0">
        <w:rPr>
          <w:lang w:val="en-US"/>
        </w:rPr>
        <w:t>count</w:t>
      </w:r>
      <w:r w:rsidR="00426743" w:rsidRPr="00CF31E0">
        <w:rPr>
          <w:lang w:val="en-US"/>
        </w:rPr>
        <w:t xml:space="preserve"> of the </w:t>
      </w:r>
      <w:r w:rsidR="008B1BDC" w:rsidRPr="00CF31E0">
        <w:rPr>
          <w:lang w:val="en-US"/>
        </w:rPr>
        <w:t xml:space="preserve">salient linguistic differences between the two dialects. </w:t>
      </w:r>
    </w:p>
    <w:p w14:paraId="4F8A7851" w14:textId="0A5969FF" w:rsidR="00F75B1B" w:rsidRPr="00CF31E0" w:rsidRDefault="00AB78DC" w:rsidP="0061369D">
      <w:pPr>
        <w:pStyle w:val="Ahead"/>
      </w:pPr>
      <w:bookmarkStart w:id="15" w:name="_Toc6472620"/>
      <w:r w:rsidRPr="00CF31E0">
        <w:t>2</w:t>
      </w:r>
      <w:r w:rsidR="00E70311" w:rsidRPr="00CF31E0">
        <w:t>.2.</w:t>
      </w:r>
      <w:r w:rsidR="006339DA" w:rsidRPr="00CF31E0">
        <w:tab/>
      </w:r>
      <w:r w:rsidR="00F75B1B" w:rsidRPr="00CF31E0">
        <w:t xml:space="preserve">Geography of </w:t>
      </w:r>
      <w:r w:rsidR="005618A4" w:rsidRPr="00CF31E0">
        <w:t xml:space="preserve">the </w:t>
      </w:r>
      <w:r w:rsidR="00F75B1B" w:rsidRPr="00CF31E0">
        <w:t>Hijaz region</w:t>
      </w:r>
      <w:bookmarkEnd w:id="15"/>
      <w:r w:rsidR="00F75B1B" w:rsidRPr="00CF31E0">
        <w:t xml:space="preserve"> </w:t>
      </w:r>
    </w:p>
    <w:p w14:paraId="0E36A527" w14:textId="0321B2F0" w:rsidR="00F75B1B" w:rsidRPr="00CF31E0" w:rsidRDefault="00F75B1B" w:rsidP="00603CB7">
      <w:pPr>
        <w:pStyle w:val="Paragraph"/>
      </w:pPr>
      <w:r w:rsidRPr="00CF31E0">
        <w:t>Hijaz is the western region of S</w:t>
      </w:r>
      <w:r w:rsidR="0069253B" w:rsidRPr="00CF31E0">
        <w:t>A</w:t>
      </w:r>
      <w:r w:rsidRPr="00CF31E0">
        <w:t xml:space="preserve"> and covers a large geographical area in the </w:t>
      </w:r>
      <w:r w:rsidR="00E93BCC" w:rsidRPr="00CF31E0">
        <w:t>count</w:t>
      </w:r>
      <w:r w:rsidRPr="00CF31E0">
        <w:t xml:space="preserve">ry. See the following map in Figure </w:t>
      </w:r>
      <w:r w:rsidR="00AB78DC" w:rsidRPr="00CF31E0">
        <w:t>2</w:t>
      </w:r>
      <w:r w:rsidR="009B5B22" w:rsidRPr="00CF31E0">
        <w:t>.</w:t>
      </w:r>
      <w:r w:rsidRPr="00CF31E0">
        <w:t>1.</w:t>
      </w:r>
    </w:p>
    <w:p w14:paraId="70CF4677" w14:textId="26AE8160" w:rsidR="00187FBF" w:rsidRPr="00CF31E0" w:rsidRDefault="00187FBF" w:rsidP="00603CB7">
      <w:pPr>
        <w:pStyle w:val="Paragraph"/>
      </w:pPr>
      <w:r w:rsidRPr="00CF31E0">
        <w:rPr>
          <w:noProof/>
        </w:rPr>
        <w:drawing>
          <wp:inline distT="0" distB="0" distL="0" distR="0" wp14:anchorId="0FA5FE98" wp14:editId="6EF2D54B">
            <wp:extent cx="3272191" cy="2614553"/>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di Arabia map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81242" cy="2621785"/>
                    </a:xfrm>
                    <a:prstGeom prst="rect">
                      <a:avLst/>
                    </a:prstGeom>
                  </pic:spPr>
                </pic:pic>
              </a:graphicData>
            </a:graphic>
          </wp:inline>
        </w:drawing>
      </w:r>
    </w:p>
    <w:p w14:paraId="257FBE03" w14:textId="59228D1A" w:rsidR="009B5B22" w:rsidRPr="00CF31E0" w:rsidRDefault="00F75B1B" w:rsidP="00810B18">
      <w:pPr>
        <w:pStyle w:val="Figcaption"/>
      </w:pPr>
      <w:bookmarkStart w:id="16" w:name="_Toc522527325"/>
      <w:bookmarkStart w:id="17" w:name="_Toc522628156"/>
      <w:bookmarkStart w:id="18" w:name="_Toc522628274"/>
      <w:bookmarkStart w:id="19" w:name="_Toc522628374"/>
      <w:bookmarkStart w:id="20" w:name="_Toc6472976"/>
      <w:r w:rsidRPr="00CF31E0">
        <w:t xml:space="preserve">Figure </w:t>
      </w:r>
      <w:r w:rsidR="0095285F" w:rsidRPr="00CF31E0">
        <w:t>2</w:t>
      </w:r>
      <w:r w:rsidR="009B5B22" w:rsidRPr="00CF31E0">
        <w:t>.</w:t>
      </w:r>
      <w:r w:rsidRPr="00CF31E0">
        <w:t>1: Saudi Arabia map.</w:t>
      </w:r>
      <w:bookmarkEnd w:id="16"/>
      <w:bookmarkEnd w:id="17"/>
      <w:bookmarkEnd w:id="18"/>
      <w:bookmarkEnd w:id="19"/>
      <w:bookmarkEnd w:id="20"/>
    </w:p>
    <w:p w14:paraId="6B226E68" w14:textId="2DE942F4" w:rsidR="000A3835" w:rsidRPr="00CF31E0" w:rsidRDefault="008A3268" w:rsidP="00810B18">
      <w:pPr>
        <w:pStyle w:val="Figuresource"/>
      </w:pPr>
      <w:r w:rsidRPr="00CF31E0">
        <w:t>(</w:t>
      </w:r>
      <w:r w:rsidR="00F75B1B" w:rsidRPr="00CF31E0">
        <w:t xml:space="preserve">Adapted from </w:t>
      </w:r>
      <w:r w:rsidR="000A3835" w:rsidRPr="00CF31E0">
        <w:t>from Einstein, 2006)</w:t>
      </w:r>
    </w:p>
    <w:p w14:paraId="0DBB678D" w14:textId="1194D885" w:rsidR="00267486" w:rsidRPr="00CF31E0" w:rsidRDefault="00F75B1B" w:rsidP="00603CB7">
      <w:pPr>
        <w:pStyle w:val="Paragraph"/>
      </w:pPr>
      <w:r w:rsidRPr="00CF31E0">
        <w:lastRenderedPageBreak/>
        <w:t>As can be seen in the above map, the Hijaz region is located in western S</w:t>
      </w:r>
      <w:r w:rsidR="0069253B" w:rsidRPr="00CF31E0">
        <w:t>A</w:t>
      </w:r>
      <w:r w:rsidRPr="00CF31E0">
        <w:t xml:space="preserve">; the main cities in Hijaz </w:t>
      </w:r>
      <w:r w:rsidR="00267486" w:rsidRPr="00CF31E0">
        <w:t xml:space="preserve">are </w:t>
      </w:r>
      <w:r w:rsidR="00D30B2F">
        <w:t>Makkah</w:t>
      </w:r>
      <w:r w:rsidR="00267486" w:rsidRPr="00CF31E0">
        <w:t xml:space="preserve">, </w:t>
      </w:r>
      <w:r w:rsidR="0015785F" w:rsidRPr="00CF31E0">
        <w:t>Al-Madina</w:t>
      </w:r>
      <w:r w:rsidRPr="00CF31E0">
        <w:t xml:space="preserve"> and Jeddah</w:t>
      </w:r>
      <w:r w:rsidR="004C147E" w:rsidRPr="00CF31E0">
        <w:t xml:space="preserve">. </w:t>
      </w:r>
      <w:r w:rsidR="00267486" w:rsidRPr="00CF31E0">
        <w:t xml:space="preserve">The first main </w:t>
      </w:r>
      <w:r w:rsidR="000E1EC4" w:rsidRPr="00CF31E0">
        <w:t xml:space="preserve">religious </w:t>
      </w:r>
      <w:r w:rsidR="00267486" w:rsidRPr="00CF31E0">
        <w:t>city is</w:t>
      </w:r>
      <w:r w:rsidRPr="00CF31E0">
        <w:t xml:space="preserve"> </w:t>
      </w:r>
      <w:r w:rsidR="00D30B2F">
        <w:t>Makkah</w:t>
      </w:r>
      <w:r w:rsidRPr="00CF31E0">
        <w:t xml:space="preserve"> </w:t>
      </w:r>
      <w:r w:rsidR="000E1EC4" w:rsidRPr="00CF31E0">
        <w:t xml:space="preserve">and is located at the heart of </w:t>
      </w:r>
      <w:r w:rsidR="009B5B22" w:rsidRPr="00CF31E0">
        <w:t xml:space="preserve">the </w:t>
      </w:r>
      <w:r w:rsidR="000E1EC4" w:rsidRPr="00CF31E0">
        <w:t xml:space="preserve">Hijaz region. </w:t>
      </w:r>
      <w:r w:rsidR="00267486" w:rsidRPr="00CF31E0">
        <w:t>According</w:t>
      </w:r>
      <w:r w:rsidR="00292A11" w:rsidRPr="00CF31E0">
        <w:t xml:space="preserve"> to the</w:t>
      </w:r>
      <w:r w:rsidR="00267486" w:rsidRPr="00CF31E0">
        <w:t xml:space="preserve"> </w:t>
      </w:r>
      <w:r w:rsidR="00185AEC" w:rsidRPr="00CF31E0">
        <w:fldChar w:fldCharType="begin"/>
      </w:r>
      <w:r w:rsidR="00CD34CA" w:rsidRPr="00CF31E0">
        <w:instrText xml:space="preserve"> ADDIN ZOTERO_ITEM CSL_CITATION {"citationID":"It9ljfQM","properties":{"formattedCitation":"(\\uc0\\u8216{}General Authority for Statistics\\uc0\\u8217{}, n.d.)","plainCitation":"(‘General Authority for Statistics’, n.d.)","dontUpdate":true,"noteIndex":0},"citationItems":[{"id":520,"uris":["http://zotero.org/users/1939618/items/ZST2663M"],"uri":["http://zotero.org/users/1939618/items/ZST2663M"],"itemData":{"id":520,"type":"webpage","title":"General Authority for Statistics","container-title":"General Authority for Statistics","genre":"Text","abstract":"We are here to be a world-class, innovative statistical reference for Saudi Arabia's socio-economic development","URL":"https://www.stats.gov.sa/en","language":"en","accessed":{"date-parts":[["2018",7,7]]}}}],"schema":"https://github.com/citation-style-language/schema/raw/master/csl-citation.json"} </w:instrText>
      </w:r>
      <w:r w:rsidR="00185AEC" w:rsidRPr="00CF31E0">
        <w:fldChar w:fldCharType="separate"/>
      </w:r>
      <w:r w:rsidR="0045436A" w:rsidRPr="00CF31E0">
        <w:rPr>
          <w:rFonts w:eastAsia="Times New Roman" w:hAnsiTheme="majorHAnsi"/>
        </w:rPr>
        <w:t xml:space="preserve">General Authority for Statistics </w:t>
      </w:r>
      <w:r w:rsidR="00292A11" w:rsidRPr="00CF31E0">
        <w:rPr>
          <w:rFonts w:eastAsia="Times New Roman" w:hAnsiTheme="majorHAnsi"/>
        </w:rPr>
        <w:t>(</w:t>
      </w:r>
      <w:r w:rsidR="007A372A" w:rsidRPr="00CF31E0">
        <w:rPr>
          <w:rFonts w:eastAsia="Times New Roman" w:hAnsiTheme="majorHAnsi"/>
        </w:rPr>
        <w:t>2010</w:t>
      </w:r>
      <w:r w:rsidR="0045436A" w:rsidRPr="00CF31E0">
        <w:rPr>
          <w:rFonts w:eastAsia="Times New Roman" w:hAnsiTheme="majorHAnsi"/>
        </w:rPr>
        <w:t>)</w:t>
      </w:r>
      <w:r w:rsidR="00185AEC" w:rsidRPr="00CF31E0">
        <w:fldChar w:fldCharType="end"/>
      </w:r>
      <w:r w:rsidR="009B5B22" w:rsidRPr="00CF31E0">
        <w:t xml:space="preserve"> </w:t>
      </w:r>
      <w:r w:rsidR="00267486" w:rsidRPr="00CF31E0">
        <w:t xml:space="preserve">in SA, </w:t>
      </w:r>
      <w:r w:rsidR="00292A11" w:rsidRPr="00CF31E0">
        <w:t xml:space="preserve">the population of </w:t>
      </w:r>
      <w:r w:rsidR="00D30B2F">
        <w:t>Makkah</w:t>
      </w:r>
      <w:r w:rsidR="008B1BDC" w:rsidRPr="00CF31E0">
        <w:t xml:space="preserve"> </w:t>
      </w:r>
      <w:r w:rsidR="00292A11" w:rsidRPr="00CF31E0">
        <w:t xml:space="preserve">totalled </w:t>
      </w:r>
      <w:r w:rsidR="008B1BDC" w:rsidRPr="00CF31E0">
        <w:t>1</w:t>
      </w:r>
      <w:r w:rsidR="00292A11" w:rsidRPr="00CF31E0">
        <w:t>,</w:t>
      </w:r>
      <w:r w:rsidR="008B1BDC" w:rsidRPr="00CF31E0">
        <w:t>684</w:t>
      </w:r>
      <w:r w:rsidR="00292A11" w:rsidRPr="00CF31E0">
        <w:t>,</w:t>
      </w:r>
      <w:r w:rsidR="008B1BDC" w:rsidRPr="00CF31E0">
        <w:t>408 in 2010</w:t>
      </w:r>
      <w:r w:rsidR="00292A11" w:rsidRPr="00CF31E0">
        <w:t>.</w:t>
      </w:r>
      <w:r w:rsidR="008B1BDC" w:rsidRPr="00B9622D">
        <w:rPr>
          <w:rStyle w:val="FootnoteReference"/>
        </w:rPr>
        <w:footnoteReference w:id="1"/>
      </w:r>
      <w:r w:rsidR="00267486" w:rsidRPr="00CF31E0">
        <w:t xml:space="preserve"> Historical records</w:t>
      </w:r>
      <w:r w:rsidR="00AF1E2F" w:rsidRPr="00B9622D">
        <w:rPr>
          <w:rStyle w:val="FootnoteReference"/>
        </w:rPr>
        <w:footnoteReference w:id="2"/>
      </w:r>
      <w:r w:rsidR="00267486" w:rsidRPr="00CF31E0">
        <w:t xml:space="preserve"> </w:t>
      </w:r>
      <w:r w:rsidR="00292A11" w:rsidRPr="00CF31E0">
        <w:t xml:space="preserve">maintain </w:t>
      </w:r>
      <w:r w:rsidR="00267486" w:rsidRPr="00CF31E0">
        <w:t xml:space="preserve">that </w:t>
      </w:r>
      <w:r w:rsidR="00D30B2F">
        <w:t>Makkah</w:t>
      </w:r>
      <w:r w:rsidR="00267486" w:rsidRPr="00CF31E0">
        <w:t xml:space="preserve"> population has dramatically increased over the years</w:t>
      </w:r>
      <w:r w:rsidR="00AF1E2F" w:rsidRPr="00CF31E0">
        <w:t xml:space="preserve"> </w:t>
      </w:r>
      <w:r w:rsidR="00AF1E2F" w:rsidRPr="00CF31E0">
        <w:fldChar w:fldCharType="begin"/>
      </w:r>
      <w:r w:rsidR="00CD34CA" w:rsidRPr="00CF31E0">
        <w:instrText xml:space="preserve"> ADDIN ZOTERO_ITEM CSL_CITATION {"citationID":"hfttQB44","properties":{"formattedCitation":"(Al-Farsy, 1990; Al-Rasheed, 2010)","plainCitation":"(Al-Farsy, 1990; Al-Rasheed, 2010)","noteIndex":0},"citationItems":[{"id":170,"uris":["http://zotero.org/users/1939618/items/5PRQ9KEN"],"uri":["http://zotero.org/users/1939618/items/5PRQ9KEN"],"itemData":{"id":170,"type":"book","title":"A history of Saudi Arabia","publisher":"Cambridge University Press","publisher-place":"Cambridge","source":"Google Scholar","event-place":"Cambridge","URL":"https://books.google.co.uk/books?hl=en&amp;lr=&amp;id=ReoiwJiOqQAC&amp;oi=fnd&amp;pg=PR10&amp;dq=Al-Rasheed,+M.+(2010).+A+history+of+Saudi+Arabia.+Cambridge,+Cambridge+University+Press.&amp;ots=NaKXTzyoyc&amp;sig=nZSLxW_SacQ6E1xRWtPUxRhNG6g","author":[{"family":"Al-Rasheed","given":"Madawi"}],"issued":{"date-parts":[["2010"]]},"accessed":{"date-parts":[["2015",9,28]]}},"label":"page"},{"id":317,"uris":["http://zotero.org/users/1939618/items/JZ5JPCXF"],"uri":["http://zotero.org/users/1939618/items/JZ5JPCXF"],"itemData":{"id":317,"type":"book","title":"Modernity and Tradition: The Saudi Equation","publisher":"Routledge","publisher-place":"London and New york","number-of-pages":"372","source":"Google Books","event-place":"London and New york","abstract":"First published in 1990. Routledge is an imprint of Taylor &amp; Francis, an informa company.","ISBN":"978-0-7103-0395-0","shortTitle":"Modernity and Tradition","language":"en","author":[{"family":"Al-Farsy","given":"Fouad"}],"issued":{"date-parts":[["1990"]]}},"label":"page"}],"schema":"https://github.com/citation-style-language/schema/raw/master/csl-citation.json"} </w:instrText>
      </w:r>
      <w:r w:rsidR="00AF1E2F" w:rsidRPr="00CF31E0">
        <w:fldChar w:fldCharType="separate"/>
      </w:r>
      <w:r w:rsidR="00CD34CA" w:rsidRPr="00CF31E0">
        <w:rPr>
          <w:noProof/>
        </w:rPr>
        <w:t>(</w:t>
      </w:r>
      <w:r w:rsidR="00EA159E" w:rsidRPr="00CF31E0">
        <w:rPr>
          <w:noProof/>
        </w:rPr>
        <w:t>Al-Farsy, 1990</w:t>
      </w:r>
      <w:r w:rsidR="00CD34CA" w:rsidRPr="00CF31E0">
        <w:rPr>
          <w:noProof/>
        </w:rPr>
        <w:t>)</w:t>
      </w:r>
      <w:r w:rsidR="00AF1E2F" w:rsidRPr="00CF31E0">
        <w:fldChar w:fldCharType="end"/>
      </w:r>
      <w:r w:rsidR="00C5771F" w:rsidRPr="00CF31E0">
        <w:t xml:space="preserve"> as the city has attracted internal and external migration throughout history</w:t>
      </w:r>
      <w:r w:rsidR="00E629E6" w:rsidRPr="00CF31E0">
        <w:t>;</w:t>
      </w:r>
      <w:r w:rsidR="00C5771F" w:rsidRPr="00CF31E0">
        <w:t xml:space="preserve"> see section</w:t>
      </w:r>
      <w:r w:rsidR="00393AFB" w:rsidRPr="00CF31E0">
        <w:t>s</w:t>
      </w:r>
      <w:r w:rsidR="00902438" w:rsidRPr="00CF31E0">
        <w:t xml:space="preserve"> </w:t>
      </w:r>
      <w:r w:rsidR="0095285F" w:rsidRPr="00CF31E0">
        <w:t>2</w:t>
      </w:r>
      <w:r w:rsidR="00393AFB" w:rsidRPr="00CF31E0">
        <w:t xml:space="preserve">.13 and 2.14 </w:t>
      </w:r>
      <w:r w:rsidR="00C5771F" w:rsidRPr="00CF31E0">
        <w:t xml:space="preserve">below. </w:t>
      </w:r>
    </w:p>
    <w:p w14:paraId="4ED6B9AB" w14:textId="4E8CA98A" w:rsidR="00B10BE8" w:rsidRPr="00CF31E0" w:rsidRDefault="00EE36E8" w:rsidP="00603CB7">
      <w:pPr>
        <w:pStyle w:val="Paragraph"/>
      </w:pPr>
      <w:r w:rsidRPr="00CF31E0">
        <w:t>Al-Ma</w:t>
      </w:r>
      <w:r w:rsidR="00F75B1B" w:rsidRPr="00CF31E0">
        <w:t xml:space="preserve">dina is the second religious city in Hijaz; it is located in the northern area of the Hijaz region. </w:t>
      </w:r>
      <w:r w:rsidR="0015785F" w:rsidRPr="00CF31E0">
        <w:t>Al-Madina</w:t>
      </w:r>
      <w:r w:rsidR="00F75B1B" w:rsidRPr="00CF31E0">
        <w:t xml:space="preserve"> is considered as a spiritual and sacred city </w:t>
      </w:r>
      <w:r w:rsidR="00292A11" w:rsidRPr="00CF31E0">
        <w:t xml:space="preserve">by </w:t>
      </w:r>
      <w:r w:rsidR="00F75B1B" w:rsidRPr="00CF31E0">
        <w:t xml:space="preserve">all Muslims because it </w:t>
      </w:r>
      <w:r w:rsidR="00EC6A15" w:rsidRPr="00CF31E0">
        <w:t xml:space="preserve">contains </w:t>
      </w:r>
      <w:r w:rsidR="00F75B1B" w:rsidRPr="00CF31E0">
        <w:t xml:space="preserve">the tombs of Prophet </w:t>
      </w:r>
      <w:r w:rsidR="005158C3" w:rsidRPr="00CF31E0">
        <w:t>Muhammad</w:t>
      </w:r>
      <w:r w:rsidR="00F75B1B" w:rsidRPr="00CF31E0">
        <w:t xml:space="preserve"> and his companions </w:t>
      </w:r>
      <w:r w:rsidR="00F75B1B" w:rsidRPr="00CF31E0">
        <w:fldChar w:fldCharType="begin"/>
      </w:r>
      <w:r w:rsidR="00CD34CA" w:rsidRPr="00CF31E0">
        <w:instrText xml:space="preserve"> ADDIN ZOTERO_ITEM CSL_CITATION {"citationID":"UCU0Eoj1","properties":{"formattedCitation":"(Ochsenwald, 1984, p. 39)","plainCitation":"(Ochsenwald, 1984, p. 39)","noteIndex":0},"citationItems":[{"id":101,"uris":["http://zotero.org/users/1939618/items/FUUT425D"],"uri":["http://zotero.org/users/1939618/items/FUUT425D"],"itemData":{"id":101,"type":"book","title":"Religion, society, and the state in Arabia: the Hijaz under Ottoman control, 1840-1908","publisher":"The Ohio State University Press","publisher-place":"Colombus","source":"kb.osu.edu","event-place":"Colombus","abstract":"(print) xiii, 241 p. : ill. ; 24 cm","URL":"http://hdl.handle.net/1811/24661","ISBN":"0814203663","note":"(print) xiii, 241 p. : ill. ; 24 cm","shortTitle":"Religion, society, and the state in Arabia","language":"en","author":[{"family":"Ochsenwald","given":"William"}],"issued":{"date-parts":[["1984"]]},"accessed":{"date-parts":[["2015",1,19]]}},"locator":"39","label":"page"}],"schema":"https://github.com/citation-style-language/schema/raw/master/csl-citation.json"} </w:instrText>
      </w:r>
      <w:r w:rsidR="00F75B1B" w:rsidRPr="00CF31E0">
        <w:fldChar w:fldCharType="separate"/>
      </w:r>
      <w:r w:rsidR="00F75B1B" w:rsidRPr="00CF31E0">
        <w:rPr>
          <w:noProof/>
        </w:rPr>
        <w:t>(Ochsenwald, 1984, p. 39)</w:t>
      </w:r>
      <w:r w:rsidR="00F75B1B" w:rsidRPr="00CF31E0">
        <w:fldChar w:fldCharType="end"/>
      </w:r>
      <w:r w:rsidR="00F75B1B" w:rsidRPr="00CF31E0">
        <w:t xml:space="preserve">. Moreover, it </w:t>
      </w:r>
      <w:r w:rsidR="00C95BFF" w:rsidRPr="00CF31E0">
        <w:t xml:space="preserve">contains </w:t>
      </w:r>
      <w:r w:rsidR="00F75B1B" w:rsidRPr="00CF31E0">
        <w:t xml:space="preserve">the second holy mosque in the Islamic world, which was built by Prophet </w:t>
      </w:r>
      <w:r w:rsidR="005158C3" w:rsidRPr="00CF31E0">
        <w:t>Muhammad</w:t>
      </w:r>
      <w:r w:rsidR="00F75B1B" w:rsidRPr="00CF31E0">
        <w:t xml:space="preserve">. </w:t>
      </w:r>
      <w:bookmarkStart w:id="21" w:name="_Toc511661361"/>
      <w:r w:rsidR="00EC6A15" w:rsidRPr="00CF31E0">
        <w:t xml:space="preserve">The population of </w:t>
      </w:r>
      <w:r w:rsidR="0015785F" w:rsidRPr="00CF31E0">
        <w:t>Al-Madina</w:t>
      </w:r>
      <w:r w:rsidR="000E1EC4" w:rsidRPr="00CF31E0">
        <w:t xml:space="preserve"> </w:t>
      </w:r>
      <w:r w:rsidR="00EC6A15" w:rsidRPr="00CF31E0">
        <w:t>was</w:t>
      </w:r>
      <w:r w:rsidR="000E1EC4" w:rsidRPr="00CF31E0">
        <w:t xml:space="preserve"> 11</w:t>
      </w:r>
      <w:r w:rsidR="00EC6A15" w:rsidRPr="00CF31E0">
        <w:t>,</w:t>
      </w:r>
      <w:r w:rsidR="000E1EC4" w:rsidRPr="00CF31E0">
        <w:t>832</w:t>
      </w:r>
      <w:r w:rsidR="00EC6A15" w:rsidRPr="00CF31E0">
        <w:t>,</w:t>
      </w:r>
      <w:r w:rsidR="000E1EC4" w:rsidRPr="00CF31E0">
        <w:t xml:space="preserve">205 in 2010 </w:t>
      </w:r>
      <w:r w:rsidR="00B10BE8" w:rsidRPr="00CF31E0">
        <w:fldChar w:fldCharType="begin"/>
      </w:r>
      <w:r w:rsidR="0045436A" w:rsidRPr="00CF31E0">
        <w:instrText xml:space="preserve"> ADDIN ZOTERO_ITEM CSL_CITATION {"citationID":"9ULCwT3A","properties":{"formattedCitation":"(\\uc0\\u8216{}General Authority for Statistics\\uc0\\u8217{}, n.d.)","plainCitation":"(‘General Authority for Statistics’, n.d.)","noteIndex":0},"citationItems":[{"id":520,"uris":["http://zotero.org/users/1939618/items/ZST2663M"],"uri":["http://zotero.org/users/1939618/items/ZST2663M"],"itemData":{"id":520,"type":"webpage","title":"General Authority for Statistics","container-title":"General Authority for Statistics","genre":"Text","abstract":"We are here to be a world-class, innovative statistical reference for Saudi Arabia's socio-economic development","URL":"https://www.stats.gov.sa/en","language":"en","accessed":{"date-parts":[["2018",7,7]]}}}],"schema":"https://github.com/citation-style-language/schema/raw/master/csl-citation.json"} </w:instrText>
      </w:r>
      <w:r w:rsidR="00B10BE8" w:rsidRPr="00CF31E0">
        <w:fldChar w:fldCharType="separate"/>
      </w:r>
      <w:r w:rsidR="004E153F" w:rsidRPr="00CF31E0">
        <w:rPr>
          <w:rFonts w:eastAsia="Times New Roman"/>
        </w:rPr>
        <w:t>(General Authority for Statistics</w:t>
      </w:r>
      <w:r w:rsidR="007A372A" w:rsidRPr="00CF31E0">
        <w:rPr>
          <w:rFonts w:eastAsia="Times New Roman"/>
        </w:rPr>
        <w:t>, 2010</w:t>
      </w:r>
      <w:r w:rsidR="0045436A" w:rsidRPr="00CF31E0">
        <w:rPr>
          <w:rFonts w:eastAsia="Times New Roman"/>
        </w:rPr>
        <w:t>)</w:t>
      </w:r>
      <w:r w:rsidR="00B10BE8" w:rsidRPr="00CF31E0">
        <w:fldChar w:fldCharType="end"/>
      </w:r>
      <w:r w:rsidR="00B10BE8" w:rsidRPr="00CF31E0">
        <w:t xml:space="preserve">. </w:t>
      </w:r>
    </w:p>
    <w:p w14:paraId="11F1FCA2" w14:textId="0F12155D" w:rsidR="00F75B1B" w:rsidRPr="00CF31E0" w:rsidRDefault="00B10BE8" w:rsidP="00603CB7">
      <w:pPr>
        <w:pStyle w:val="Paragraph"/>
      </w:pPr>
      <w:r w:rsidRPr="00CF31E0">
        <w:t>The third main city in Hijaz</w:t>
      </w:r>
      <w:r w:rsidR="000E1EC4" w:rsidRPr="00CF31E0">
        <w:t xml:space="preserve"> is </w:t>
      </w:r>
      <w:r w:rsidRPr="00CF31E0">
        <w:t xml:space="preserve">called </w:t>
      </w:r>
      <w:r w:rsidR="00F75B1B" w:rsidRPr="00CF31E0">
        <w:t>Jeddah</w:t>
      </w:r>
      <w:r w:rsidRPr="00CF31E0">
        <w:t>. It</w:t>
      </w:r>
      <w:r w:rsidR="00F75B1B" w:rsidRPr="00CF31E0">
        <w:t xml:space="preserve"> is a coastal city and </w:t>
      </w:r>
      <w:r w:rsidR="00EC6A15" w:rsidRPr="00CF31E0">
        <w:t xml:space="preserve">is the </w:t>
      </w:r>
      <w:r w:rsidR="00F75B1B" w:rsidRPr="00CF31E0">
        <w:t>main port</w:t>
      </w:r>
      <w:r w:rsidR="00EC6A15" w:rsidRPr="00CF31E0">
        <w:t xml:space="preserve"> in Hijaz</w:t>
      </w:r>
      <w:r w:rsidR="00F75B1B" w:rsidRPr="00CF31E0">
        <w:t xml:space="preserve">. </w:t>
      </w:r>
      <w:r w:rsidR="004C147E" w:rsidRPr="00CF31E0">
        <w:t xml:space="preserve">It is the second largest city in SA after the capital </w:t>
      </w:r>
      <w:r w:rsidR="002D19C3" w:rsidRPr="00CF31E0">
        <w:t>Riyadh</w:t>
      </w:r>
      <w:r w:rsidR="004C147E" w:rsidRPr="00CF31E0">
        <w:t xml:space="preserve"> and </w:t>
      </w:r>
      <w:r w:rsidR="00EC6A15" w:rsidRPr="00CF31E0">
        <w:t xml:space="preserve">is </w:t>
      </w:r>
      <w:r w:rsidR="004C147E" w:rsidRPr="00CF31E0">
        <w:t>the most populated city in Hijaz with a population of 3</w:t>
      </w:r>
      <w:r w:rsidR="00EC6A15" w:rsidRPr="00CF31E0">
        <w:t>,</w:t>
      </w:r>
      <w:r w:rsidR="004C147E" w:rsidRPr="00CF31E0">
        <w:t>457</w:t>
      </w:r>
      <w:r w:rsidR="00EC6A15" w:rsidRPr="00CF31E0">
        <w:t>,</w:t>
      </w:r>
      <w:r w:rsidR="004C147E" w:rsidRPr="00CF31E0">
        <w:t xml:space="preserve">794. One of the main reasons </w:t>
      </w:r>
      <w:r w:rsidR="00EC6A15" w:rsidRPr="00CF31E0">
        <w:t xml:space="preserve">why </w:t>
      </w:r>
      <w:r w:rsidR="004C147E" w:rsidRPr="00CF31E0">
        <w:t xml:space="preserve">the city </w:t>
      </w:r>
      <w:r w:rsidR="00EC6A15" w:rsidRPr="00CF31E0">
        <w:t xml:space="preserve">is </w:t>
      </w:r>
      <w:r w:rsidR="004C147E" w:rsidRPr="00CF31E0">
        <w:t xml:space="preserve">most populated in the region </w:t>
      </w:r>
      <w:r w:rsidR="00EC6A15" w:rsidRPr="00CF31E0">
        <w:t>is due to</w:t>
      </w:r>
      <w:r w:rsidR="00F75B1B" w:rsidRPr="00CF31E0">
        <w:t xml:space="preserve"> the rap</w:t>
      </w:r>
      <w:r w:rsidR="004C147E" w:rsidRPr="00CF31E0">
        <w:t>id economic growth in Hijaz</w:t>
      </w:r>
      <w:r w:rsidR="00F75B1B" w:rsidRPr="00CF31E0">
        <w:t xml:space="preserve"> </w:t>
      </w:r>
      <w:r w:rsidR="008D65BE" w:rsidRPr="00CF31E0">
        <w:t>(</w:t>
      </w:r>
      <w:r w:rsidR="008D65BE" w:rsidRPr="00CF31E0">
        <w:rPr>
          <w:rFonts w:eastAsia="Times New Roman" w:hAnsiTheme="majorHAnsi"/>
        </w:rPr>
        <w:t>Al-Bassam, 2012).</w:t>
      </w:r>
    </w:p>
    <w:p w14:paraId="39E25155" w14:textId="2791CECC" w:rsidR="00F75B1B" w:rsidRPr="00CF31E0" w:rsidRDefault="0095285F" w:rsidP="0061369D">
      <w:pPr>
        <w:pStyle w:val="Ahead"/>
      </w:pPr>
      <w:bookmarkStart w:id="22" w:name="_Toc6472621"/>
      <w:r w:rsidRPr="00CF31E0">
        <w:t>2</w:t>
      </w:r>
      <w:r w:rsidR="00E70311" w:rsidRPr="00CF31E0">
        <w:t>.3.</w:t>
      </w:r>
      <w:r w:rsidR="006339DA" w:rsidRPr="00CF31E0">
        <w:tab/>
      </w:r>
      <w:r w:rsidR="00F75B1B" w:rsidRPr="00CF31E0">
        <w:t xml:space="preserve">Historical background of </w:t>
      </w:r>
      <w:r w:rsidR="00D30B2F">
        <w:t>Makkah</w:t>
      </w:r>
      <w:r w:rsidR="00F75B1B" w:rsidRPr="00CF31E0">
        <w:t xml:space="preserve"> city</w:t>
      </w:r>
      <w:bookmarkEnd w:id="21"/>
      <w:bookmarkEnd w:id="22"/>
    </w:p>
    <w:p w14:paraId="0BB977B6" w14:textId="009DD9E9" w:rsidR="00AF1005" w:rsidRPr="00CF31E0" w:rsidRDefault="00D30B2F" w:rsidP="00603CB7">
      <w:pPr>
        <w:pStyle w:val="Paragraph"/>
        <w:rPr>
          <w:lang w:val="en-US"/>
        </w:rPr>
      </w:pPr>
      <w:r>
        <w:t>Makkah</w:t>
      </w:r>
      <w:r w:rsidR="00E61E7F" w:rsidRPr="00CF31E0">
        <w:t xml:space="preserve"> city has</w:t>
      </w:r>
      <w:r w:rsidR="00FD6CCA" w:rsidRPr="00CF31E0">
        <w:t xml:space="preserve"> a</w:t>
      </w:r>
      <w:r w:rsidR="00E87209" w:rsidRPr="00CF31E0">
        <w:t>n</w:t>
      </w:r>
      <w:r w:rsidR="00FD6CCA" w:rsidRPr="00CF31E0">
        <w:t xml:space="preserve"> </w:t>
      </w:r>
      <w:r w:rsidR="00EE36E8" w:rsidRPr="00CF31E0">
        <w:t>extended</w:t>
      </w:r>
      <w:r w:rsidR="00FD6CCA" w:rsidRPr="00CF31E0">
        <w:t xml:space="preserve"> and significant history. Two main historical eras played a significant role in </w:t>
      </w:r>
      <w:r w:rsidR="00122FC6" w:rsidRPr="00CF31E0">
        <w:t xml:space="preserve">its </w:t>
      </w:r>
      <w:r w:rsidR="00FD6CCA" w:rsidRPr="00CF31E0">
        <w:t xml:space="preserve">history. The first era </w:t>
      </w:r>
      <w:r w:rsidR="008A46B1" w:rsidRPr="00CF31E0">
        <w:t>started</w:t>
      </w:r>
      <w:r w:rsidR="00FD6CCA" w:rsidRPr="00CF31E0">
        <w:t xml:space="preserve"> a</w:t>
      </w:r>
      <w:r w:rsidR="00FD6CCA" w:rsidRPr="00CF31E0">
        <w:rPr>
          <w:lang w:val="en-US"/>
        </w:rPr>
        <w:t xml:space="preserve">bout 2000 </w:t>
      </w:r>
      <w:r w:rsidR="00FD6CCA" w:rsidRPr="00CF31E0">
        <w:rPr>
          <w:smallCaps/>
          <w:lang w:val="en-US"/>
        </w:rPr>
        <w:lastRenderedPageBreak/>
        <w:t>bc</w:t>
      </w:r>
      <w:r w:rsidR="00FD6CCA" w:rsidRPr="00CF31E0">
        <w:rPr>
          <w:lang w:val="en-US"/>
        </w:rPr>
        <w:t>, when Allah</w:t>
      </w:r>
      <w:r w:rsidR="00E545FD" w:rsidRPr="00B9622D">
        <w:rPr>
          <w:rStyle w:val="FootnoteReference"/>
        </w:rPr>
        <w:footnoteReference w:id="3"/>
      </w:r>
      <w:r w:rsidR="00FD6CCA" w:rsidRPr="00CF31E0">
        <w:rPr>
          <w:lang w:val="en-US"/>
        </w:rPr>
        <w:t xml:space="preserve"> ordained Ibrahim to trav</w:t>
      </w:r>
      <w:r w:rsidR="00450563" w:rsidRPr="00CF31E0">
        <w:rPr>
          <w:lang w:val="en-US"/>
        </w:rPr>
        <w:t xml:space="preserve">el from Jerusalem to </w:t>
      </w:r>
      <w:r>
        <w:rPr>
          <w:lang w:val="en-US"/>
        </w:rPr>
        <w:t>Makkah</w:t>
      </w:r>
      <w:r w:rsidR="00450563" w:rsidRPr="00CF31E0">
        <w:rPr>
          <w:lang w:val="en-US"/>
        </w:rPr>
        <w:t xml:space="preserve"> to </w:t>
      </w:r>
      <w:r w:rsidR="00FD6CCA" w:rsidRPr="00CF31E0">
        <w:rPr>
          <w:lang w:val="en-US"/>
        </w:rPr>
        <w:t xml:space="preserve">build the Kaaba and to remind people of Allah’s existence </w:t>
      </w:r>
      <w:r w:rsidR="00FD6CCA" w:rsidRPr="00CF31E0">
        <w:rPr>
          <w:lang w:val="en-US"/>
        </w:rPr>
        <w:fldChar w:fldCharType="begin"/>
      </w:r>
      <w:r w:rsidR="00CD34CA" w:rsidRPr="00CF31E0">
        <w:rPr>
          <w:lang w:val="en-US"/>
        </w:rPr>
        <w:instrText xml:space="preserve"> ADDIN ZOTERO_ITEM CSL_CITATION {"citationID":"kYgnRrCO","properties":{"formattedCitation":"(al-Ken, 1995; Bianchi, 2013; Khan, 2015)","plainCitation":"(al-Ken, 1995; Bianchi, 2013; Khan, 2015)","noteIndex":0},"citationItems":[{"id":190,"uris":["http://zotero.org/users/1939618/items/9MG22DNA"],"uri":["http://zotero.org/users/1939618/items/9MG22DNA"],"itemData":{"id":190,"type":"thesis","title":"The Hajj: past, present and future: the communication aspect","publisher":"University of Leeds","source":"Google Scholar","URL":"http://ethos.bl.uk/OrderDetails.do?uin=uk.bl.ethos.341805","shortTitle":"The Hajj","author":[{"family":"Ken","given":"Akeel Ibrahim","non-dropping-particle":"al-"}],"issued":{"date-parts":[["1995"]]},"accessed":{"date-parts":[["2015",12,6]]}},"label":"page"},{"id":205,"uris":["http://zotero.org/users/1939618/items/RUCZSXCZ"],"uri":["http://zotero.org/users/1939618/items/RUCZSXCZ"],"itemData":{"id":205,"type":"book","title":"Islamic Globalization: Pilgrimage, Capitalism, Democracy, and Diplomacy","publisher":"World scientific publishing","publisher-place":"Singapore","source":"Google Scholar","event-place":"Singapore","URL":"https://books.google.co.uk/books?hl=en&amp;lr=&amp;id=1zG7CgAAQBAJ&amp;oi=fnd&amp;pg=PR7&amp;dq=travel+and+travellers,+travel+for+religious+purposes+by+Robert+R.+Bianchi+from+the+oxford+encyclopedia+of+the+modern+islamic+world&amp;ots=zwQsJU0KzT&amp;sig=oftqaWKgjI6PQIASM7uORIKTxyg","shortTitle":"Islamic Globalization","author":[{"family":"Bianchi","given":"Robert"}],"issued":{"date-parts":[["2013"]]},"accessed":{"date-parts":[["2016",2,1]]}},"label":"page"},{"id":369,"uris":["http://zotero.org/users/1939618/items/2XKRWPF6"],"uri":["http://zotero.org/users/1939618/items/2XKRWPF6"],"itemData":{"id":369,"type":"chapter","title":"Why Mecca? Abraham and the Hajj in the Islamic Tradition","container-title":"The Hajj: Pilgrimage in Islam","publisher":"Cambridge University Press.","publisher-place":"Cambridge","page":"31-41","event-place":"Cambridge","author":[{"family":"Khan","given":"F."}],"editor":[{"family":"Tagliacozzo","given":"E."},{"family":"Toorawa","given":"S."}],"issued":{"date-parts":[["2015"]]}},"label":"page"}],"schema":"https://github.com/citation-style-language/schema/raw/master/csl-citation.json"} </w:instrText>
      </w:r>
      <w:r w:rsidR="00FD6CCA" w:rsidRPr="00CF31E0">
        <w:rPr>
          <w:lang w:val="en-US"/>
        </w:rPr>
        <w:fldChar w:fldCharType="separate"/>
      </w:r>
      <w:r w:rsidR="007B3CDE" w:rsidRPr="00CF31E0">
        <w:rPr>
          <w:noProof/>
          <w:lang w:val="en-US"/>
        </w:rPr>
        <w:t>(A</w:t>
      </w:r>
      <w:r w:rsidR="00FD6CCA" w:rsidRPr="00CF31E0">
        <w:rPr>
          <w:noProof/>
          <w:lang w:val="en-US"/>
        </w:rPr>
        <w:t>l-Ken, 1995; Bianchi, 2013; Khan, 2015)</w:t>
      </w:r>
      <w:r w:rsidR="00FD6CCA" w:rsidRPr="00CF31E0">
        <w:rPr>
          <w:lang w:val="en-US"/>
        </w:rPr>
        <w:fldChar w:fldCharType="end"/>
      </w:r>
      <w:r w:rsidR="00EE36E8" w:rsidRPr="00CF31E0">
        <w:rPr>
          <w:lang w:val="en-US"/>
        </w:rPr>
        <w:t>.</w:t>
      </w:r>
      <w:r w:rsidR="00FD6CCA" w:rsidRPr="00CF31E0">
        <w:rPr>
          <w:lang w:val="en-US"/>
        </w:rPr>
        <w:t xml:space="preserve"> Prophet Ibrahim built the Kaaba “as a place of refuge and security for believers in God, but after him, the Kaaba became a pantheon full of statues for idol worship” </w:t>
      </w:r>
      <w:r w:rsidR="00FD6CCA" w:rsidRPr="00CF31E0">
        <w:rPr>
          <w:lang w:val="en-US"/>
        </w:rPr>
        <w:fldChar w:fldCharType="begin"/>
      </w:r>
      <w:r w:rsidR="00FD6CCA" w:rsidRPr="00CF31E0">
        <w:rPr>
          <w:lang w:val="en-US"/>
        </w:rPr>
        <w:instrText xml:space="preserve"> ADDIN ZOTERO_ITEM CSL_CITATION {"citationID":"JN0bLY9f","properties":{"formattedCitation":"(al-Ken, 1995, p. 23)","plainCitation":"(al-Ken, 1995, p. 23)","noteIndex":0},"citationItems":[{"id":190,"uris":["http://zotero.org/users/1939618/items/9MG22DNA"],"uri":["http://zotero.org/users/1939618/items/9MG22DNA"],"itemData":{"id":190,"type":"thesis","title":"The Hajj: past, present and future: the communication aspect","publisher":"University of Leeds","source":"Google Scholar","URL":"http://ethos.bl.uk/OrderDetails.do?uin=uk.bl.ethos.341805","shortTitle":"The Hajj","author":[{"family":"Ken","given":"Akeel Ibrahim","non-dropping-particle":"al-"}],"issued":{"date-parts":[["1995"]]},"accessed":{"date-parts":[["2015",12,6]]}},"locator":"23","label":"page"}],"schema":"https://github.com/citation-style-language/schema/raw/master/csl-citation.json"} </w:instrText>
      </w:r>
      <w:r w:rsidR="00FD6CCA" w:rsidRPr="00CF31E0">
        <w:rPr>
          <w:lang w:val="en-US"/>
        </w:rPr>
        <w:fldChar w:fldCharType="separate"/>
      </w:r>
      <w:r w:rsidR="007B3CDE" w:rsidRPr="00CF31E0">
        <w:rPr>
          <w:noProof/>
          <w:lang w:val="en-US"/>
        </w:rPr>
        <w:t>(A</w:t>
      </w:r>
      <w:r w:rsidR="00FD6CCA" w:rsidRPr="00CF31E0">
        <w:rPr>
          <w:noProof/>
          <w:lang w:val="en-US"/>
        </w:rPr>
        <w:t>l-Ken, 1995, p. 23)</w:t>
      </w:r>
      <w:r w:rsidR="00FD6CCA" w:rsidRPr="00CF31E0">
        <w:rPr>
          <w:lang w:val="en-US"/>
        </w:rPr>
        <w:fldChar w:fldCharType="end"/>
      </w:r>
      <w:r w:rsidR="00FD6CCA" w:rsidRPr="00CF31E0">
        <w:rPr>
          <w:lang w:val="en-US"/>
        </w:rPr>
        <w:t>. Allah said in his sacred book (the Qur’an),</w:t>
      </w:r>
      <w:r w:rsidR="008861BC" w:rsidRPr="00CF31E0">
        <w:rPr>
          <w:rFonts w:eastAsia="Times New Roman"/>
        </w:rPr>
        <w:t xml:space="preserve"> “</w:t>
      </w:r>
      <w:r w:rsidR="008861BC" w:rsidRPr="00CF31E0">
        <w:t>And [mention, O Muhammad], when We designated for Abraham the site of the House, [saying], "Do not associate anything with Me and purify My House for those who perform Tawaf and those who stand [in prayer] and those who bow and prostrate”</w:t>
      </w:r>
      <w:r w:rsidR="00737199" w:rsidRPr="00CF31E0">
        <w:t xml:space="preserve"> (</w:t>
      </w:r>
      <w:r w:rsidR="00FD6CCA" w:rsidRPr="00CF31E0">
        <w:rPr>
          <w:lang w:val="en-US"/>
        </w:rPr>
        <w:t>Quran 22:26</w:t>
      </w:r>
      <w:r w:rsidR="00737199" w:rsidRPr="00CF31E0">
        <w:rPr>
          <w:lang w:val="en-US"/>
        </w:rPr>
        <w:t>, translated by KSU electronic Moshaf project</w:t>
      </w:r>
      <w:r w:rsidR="00FD6CCA" w:rsidRPr="00CF31E0">
        <w:rPr>
          <w:lang w:val="en-US"/>
        </w:rPr>
        <w:t>). Gabriel showed Ibrahim the right location for the Kaaba. Ibrahim and his son Ismael laid the foundations o</w:t>
      </w:r>
      <w:r w:rsidR="007702FA" w:rsidRPr="00CF31E0">
        <w:rPr>
          <w:lang w:val="en-US"/>
        </w:rPr>
        <w:t>f the Kaaba in submission to Allah</w:t>
      </w:r>
      <w:r w:rsidR="00FD6CCA" w:rsidRPr="00CF31E0">
        <w:rPr>
          <w:lang w:val="en-US"/>
        </w:rPr>
        <w:t xml:space="preserve"> and proclaimed the Hajj to all mankind. </w:t>
      </w:r>
      <w:r w:rsidR="00122FC6" w:rsidRPr="00CF31E0">
        <w:rPr>
          <w:lang w:val="en-US"/>
        </w:rPr>
        <w:t xml:space="preserve">Prophet Ibrahim’s </w:t>
      </w:r>
      <w:r w:rsidR="00AF1005" w:rsidRPr="00CF31E0">
        <w:rPr>
          <w:lang w:val="en-US"/>
        </w:rPr>
        <w:t>footprints</w:t>
      </w:r>
      <w:r w:rsidR="00DA44C6" w:rsidRPr="00B9622D">
        <w:rPr>
          <w:rStyle w:val="FootnoteReference"/>
        </w:rPr>
        <w:footnoteReference w:id="4"/>
      </w:r>
      <w:r w:rsidR="00AF1005" w:rsidRPr="00CF31E0">
        <w:rPr>
          <w:lang w:val="en-US"/>
        </w:rPr>
        <w:t xml:space="preserve"> </w:t>
      </w:r>
      <w:r w:rsidR="00122FC6" w:rsidRPr="00CF31E0">
        <w:rPr>
          <w:lang w:val="en-US"/>
        </w:rPr>
        <w:t xml:space="preserve">from building the Kaaba have been preserved </w:t>
      </w:r>
      <w:r w:rsidR="00AF1005" w:rsidRPr="00CF31E0">
        <w:rPr>
          <w:lang w:val="en-US"/>
        </w:rPr>
        <w:t xml:space="preserve">until </w:t>
      </w:r>
      <w:r w:rsidR="00122FC6" w:rsidRPr="00CF31E0">
        <w:rPr>
          <w:lang w:val="en-US"/>
        </w:rPr>
        <w:t>the present day</w:t>
      </w:r>
      <w:r w:rsidR="00AF1005" w:rsidRPr="00CF31E0">
        <w:rPr>
          <w:lang w:val="en-US"/>
        </w:rPr>
        <w:t xml:space="preserve">, which </w:t>
      </w:r>
      <w:r w:rsidR="002D4F0F" w:rsidRPr="00CF31E0">
        <w:rPr>
          <w:lang w:val="en-US"/>
        </w:rPr>
        <w:t xml:space="preserve">adds to </w:t>
      </w:r>
      <w:r>
        <w:rPr>
          <w:lang w:val="en-US"/>
        </w:rPr>
        <w:t>Makkah</w:t>
      </w:r>
      <w:r w:rsidR="002D4F0F" w:rsidRPr="00CF31E0">
        <w:rPr>
          <w:lang w:val="en-US"/>
        </w:rPr>
        <w:t>’s</w:t>
      </w:r>
      <w:r w:rsidR="00AF1005" w:rsidRPr="00CF31E0">
        <w:rPr>
          <w:lang w:val="en-US"/>
        </w:rPr>
        <w:t xml:space="preserve"> sanctity and holiness. </w:t>
      </w:r>
    </w:p>
    <w:p w14:paraId="393637B8" w14:textId="7B949FEF" w:rsidR="00E61E7F" w:rsidRPr="00CF31E0" w:rsidRDefault="00FD6CCA" w:rsidP="00603CB7">
      <w:pPr>
        <w:pStyle w:val="Paragraph"/>
        <w:rPr>
          <w:lang w:val="en-US"/>
        </w:rPr>
      </w:pPr>
      <w:r w:rsidRPr="00CF31E0">
        <w:rPr>
          <w:lang w:val="en-US"/>
        </w:rPr>
        <w:t xml:space="preserve">After </w:t>
      </w:r>
      <w:r w:rsidR="009148C8" w:rsidRPr="00CF31E0">
        <w:rPr>
          <w:lang w:val="en-US"/>
        </w:rPr>
        <w:t>P</w:t>
      </w:r>
      <w:r w:rsidRPr="00CF31E0">
        <w:rPr>
          <w:lang w:val="en-US"/>
        </w:rPr>
        <w:t xml:space="preserve">rophet Ibrahim’s era, people distorted the Hajj ceremonies; they misbehaved during the rituals and everything was mostly forgotten except the existence of the Kaaba. Pagans were found everywhere around the Kaaba; as a result, people started worshiping pagans instead of Allah. Arabs were seeking </w:t>
      </w:r>
      <w:r w:rsidR="00D30B2F">
        <w:rPr>
          <w:lang w:val="en-US"/>
        </w:rPr>
        <w:t>Makkah</w:t>
      </w:r>
      <w:r w:rsidRPr="00CF31E0">
        <w:rPr>
          <w:lang w:val="en-US"/>
        </w:rPr>
        <w:t xml:space="preserve"> in order to worship pagans, and pilgrimage was being performed for pagans around the Kaaba, not for Allah as originally preached by Prophet Ibrahim; as a result, </w:t>
      </w:r>
      <w:r w:rsidR="00D30B2F">
        <w:rPr>
          <w:lang w:val="en-US"/>
        </w:rPr>
        <w:t>Makkah</w:t>
      </w:r>
      <w:r w:rsidRPr="00CF31E0">
        <w:rPr>
          <w:lang w:val="en-US"/>
        </w:rPr>
        <w:t xml:space="preserve"> became a pagan pilgrimage site</w:t>
      </w:r>
      <w:r w:rsidR="00303A80" w:rsidRPr="00CF31E0">
        <w:rPr>
          <w:lang w:val="en-US"/>
        </w:rPr>
        <w:t xml:space="preserve">. </w:t>
      </w:r>
      <w:r w:rsidRPr="00CF31E0">
        <w:rPr>
          <w:lang w:val="en-US"/>
        </w:rPr>
        <w:t xml:space="preserve">Arabs </w:t>
      </w:r>
      <w:r w:rsidR="00AF6327" w:rsidRPr="00CF31E0">
        <w:rPr>
          <w:lang w:val="en-US"/>
        </w:rPr>
        <w:t>changed</w:t>
      </w:r>
      <w:r w:rsidRPr="00CF31E0">
        <w:rPr>
          <w:lang w:val="en-US"/>
        </w:rPr>
        <w:t xml:space="preserve"> the pilgrimage rites and deviated from monotheism to Paganism </w:t>
      </w:r>
      <w:r w:rsidR="00303A80" w:rsidRPr="00CF31E0">
        <w:rPr>
          <w:lang w:val="en-US"/>
        </w:rPr>
        <w:fldChar w:fldCharType="begin"/>
      </w:r>
      <w:r w:rsidR="007333C8" w:rsidRPr="00CF31E0">
        <w:rPr>
          <w:lang w:val="en-US"/>
        </w:rPr>
        <w:instrText xml:space="preserve"> ADDIN ZOTERO_ITEM CSL_CITATION {"citationID":"5MDTL5m4","properties":{"formattedCitation":"(Khan, 2015; Munt, 2015; Tagliacozzo &amp; Toorawa, 2016; Taylor, 2011)","plainCitation":"(Khan, 2015; Munt, 2015; Tagliacozzo &amp; Toorawa, 2016; Taylor, 2011)","noteIndex":0},"citationItems":[{"id":369,"uris":["http://zotero.org/users/1939618/items/2XKRWPF6"],"uri":["http://zotero.org/users/1939618/items/2XKRWPF6"],"itemData":{"id":369,"type":"chapter","title":"Why Mecca? Abraham and the Hajj in the Islamic Tradition","container-title":"The Hajj: Pilgrimage in Islam","publisher":"Cambridge University Press.","publisher-place":"Cambridge","page":"31-41","event-place":"Cambridge","author":[{"family":"Khan","given":"F."}],"editor":[{"family":"Tagliacozzo","given":"E."},{"family":"Toorawa","given":"S."}],"issued":{"date-parts":[["2015"]]}},"label":"page"},{"id":371,"uris":["http://zotero.org/users/1939618/items/SJME5FC3"],"uri":["http://zotero.org/users/1939618/items/SJME5FC3"],"itemData":{"id":371,"type":"chapter","title":"Pilgrimage in Pre-Islamic Arabia and Late Antiquity","container-title":"The Hajj: Pilgrimage in Islam","publisher":"Cambridge University Press","publisher-place":"Cambridge","page":"13-30","event-place":"Cambridge","author":[{"family":"Munt","given":"Harry"}],"editor":[{"family":"Tagliacozzo","given":"E."},{"family":"Toorawa","given":"S."}],"issued":{"date-parts":[["2015"]]}},"label":"page"},{"id":367,"uris":["http://zotero.org/users/1939618/items/VTLWJHCV"],"uri":["http://zotero.org/users/1939618/items/VTLWJHCV"],"itemData":{"id":367,"type":"book","title":"The Hajj: pilgrimage in Islam","publisher":"Cambridge University Press","publisher-place":"Cambridge","source":"find.shef.ac.uk","event-place":"Cambridge","abstract":"Machine generated contents note: Introduction Eric Tagliacozzo and Shawkat Toorawa; 1. Pilgrimage in pre-Islamic Arabia and late Antiquity Harry Munt; 2. Why Mecca? Abraham and the Hajj in the Islamic tradition Fareeha Khan; 3. The early Hajj, seventh-eighth centuries CE Travis Zadeh; 4. Women and the Hajj Asma Sayeed; 5. Hajj by land Benjamin C. Brower; 6. Hajj by sea Eric Tagliacozzo; 7. Hajj by air Robert Bianchi; 8. Economics: agents, pilgrims, and profits on the Hajj Sylvia Chiffoleau; 9. The pilgrimage to Mecca and international health regulations Valeska Huber; 10. The Saudis as managers of the Hajj Saud al-Sarhan; 11. Performing the Hajj Shawkat Toorawa; 12. Decoding the Hajj in cyberspace Gary R. Bunt; 13. A pilgrim's complaint: recent accounts of the Hajj Michael Wolfe; 14. Visualizing the Hajj: imagining a sacred landscape past and present Juan Campo., Every year hundreds of thousands of pilgrims from all over the world converge on Mecca and its precincts to perform the rituals associated with the Hajj and have been doing so since the seventh century. In this volume, scholars from a range of fields - including history, religion, anthropology, and literature - together tell the story of the Hajj and explain its significance as one of the key events in the Muslim religious calendar. By outlining the parameters of the Hajj from its beginnings to the present day, the contributors have produced a global study that takes in the vast geographies of belief in the world of Islam. This volume pays attention to the diverse aspects of the Hajj, as lived every year by hundreds of millions of Muslims, touching on its rituals, its regional forms, the role of gender, its representation in art, and its organization on a global scale.","URL":"https://doi.org/10.1017/CBO9781139343794","ISBN":"978-1-139-34379-4","shortTitle":"The Hajj","language":"eng","author":[{"family":"Tagliacozzo","given":"Eric"},{"family":"Toorawa","given":"Shawkat"}],"issued":{"date-parts":[["2016"]]},"accessed":{"date-parts":[["2018",4,2]]}},"label":"page"},{"id":187,"uris":["http://zotero.org/users/1939618/items/ZQ67MV7A"],"uri":["http://zotero.org/users/1939618/items/ZQ67MV7A"],"itemData":{"id":187,"type":"article-journal","title":"Holy Movement and Holy Place: Christian Pilgrimage and the Hajj","container-title":"Dialog","page":"262–270","volume":"50","issue":"3","source":"Google Scholar","shortTitle":"Holy Movement and Holy Place","author":[{"family":"Taylor","given":"Robin M."}],"issued":{"date-parts":[["2011"]]}},"label":"page"}],"schema":"https://github.com/citation-style-language/schema/raw/master/csl-citation.json"} </w:instrText>
      </w:r>
      <w:r w:rsidR="00303A80" w:rsidRPr="00CF31E0">
        <w:rPr>
          <w:lang w:val="en-US"/>
        </w:rPr>
        <w:fldChar w:fldCharType="separate"/>
      </w:r>
      <w:r w:rsidR="007333C8" w:rsidRPr="00CF31E0">
        <w:rPr>
          <w:noProof/>
          <w:lang w:val="en-US"/>
        </w:rPr>
        <w:t>(Khan, 2015; Munt, 2</w:t>
      </w:r>
      <w:r w:rsidR="00E44A3C" w:rsidRPr="00CF31E0">
        <w:rPr>
          <w:noProof/>
          <w:lang w:val="en-US"/>
        </w:rPr>
        <w:t>015; Tagliacozzo &amp; Toorawa, 2015</w:t>
      </w:r>
      <w:r w:rsidR="007333C8" w:rsidRPr="00CF31E0">
        <w:rPr>
          <w:noProof/>
          <w:lang w:val="en-US"/>
        </w:rPr>
        <w:t>; Taylor, 2011)</w:t>
      </w:r>
      <w:r w:rsidR="00303A80" w:rsidRPr="00CF31E0">
        <w:rPr>
          <w:lang w:val="en-US"/>
        </w:rPr>
        <w:fldChar w:fldCharType="end"/>
      </w:r>
      <w:r w:rsidR="007333C8" w:rsidRPr="00CF31E0">
        <w:rPr>
          <w:lang w:val="en-US"/>
        </w:rPr>
        <w:t>.</w:t>
      </w:r>
    </w:p>
    <w:p w14:paraId="2F30F9AF" w14:textId="41E04F26" w:rsidR="00503FFF" w:rsidRPr="00CF31E0" w:rsidRDefault="00503FFF" w:rsidP="00603CB7">
      <w:pPr>
        <w:pStyle w:val="Paragraph"/>
        <w:rPr>
          <w:lang w:val="en-US"/>
        </w:rPr>
      </w:pPr>
      <w:r w:rsidRPr="00CF31E0">
        <w:rPr>
          <w:lang w:val="en-US"/>
        </w:rPr>
        <w:lastRenderedPageBreak/>
        <w:t xml:space="preserve">The second era starts with </w:t>
      </w:r>
      <w:r w:rsidR="00D44314" w:rsidRPr="00CF31E0">
        <w:rPr>
          <w:lang w:val="en-US"/>
        </w:rPr>
        <w:t xml:space="preserve">the </w:t>
      </w:r>
      <w:r w:rsidR="00192A84" w:rsidRPr="00CF31E0">
        <w:rPr>
          <w:lang w:val="en-US"/>
        </w:rPr>
        <w:t>birth of Islam. P</w:t>
      </w:r>
      <w:r w:rsidRPr="00CF31E0">
        <w:rPr>
          <w:lang w:val="en-US"/>
        </w:rPr>
        <w:t xml:space="preserve">rophet </w:t>
      </w:r>
      <w:r w:rsidR="005158C3" w:rsidRPr="00CF31E0">
        <w:rPr>
          <w:lang w:val="en-US"/>
        </w:rPr>
        <w:t>Muhammad</w:t>
      </w:r>
      <w:r w:rsidRPr="00CF31E0">
        <w:rPr>
          <w:lang w:val="en-US"/>
        </w:rPr>
        <w:t xml:space="preserve"> </w:t>
      </w:r>
      <w:r w:rsidR="00D073E5" w:rsidRPr="00CF31E0">
        <w:rPr>
          <w:lang w:val="en-US"/>
        </w:rPr>
        <w:t>was</w:t>
      </w:r>
      <w:r w:rsidR="00192A84" w:rsidRPr="00CF31E0">
        <w:rPr>
          <w:lang w:val="en-US"/>
        </w:rPr>
        <w:t xml:space="preserve"> chosen by Allah to be his last messenger and to </w:t>
      </w:r>
      <w:r w:rsidRPr="00CF31E0">
        <w:rPr>
          <w:lang w:val="en-US"/>
        </w:rPr>
        <w:t>p</w:t>
      </w:r>
      <w:r w:rsidR="00192A84" w:rsidRPr="00CF31E0">
        <w:rPr>
          <w:lang w:val="en-US"/>
        </w:rPr>
        <w:t>reach</w:t>
      </w:r>
      <w:r w:rsidRPr="00CF31E0">
        <w:rPr>
          <w:lang w:val="en-US"/>
        </w:rPr>
        <w:t xml:space="preserve"> Islam.</w:t>
      </w:r>
      <w:r w:rsidR="0039109A" w:rsidRPr="00CF31E0">
        <w:rPr>
          <w:lang w:val="en-US"/>
        </w:rPr>
        <w:t xml:space="preserve"> He had </w:t>
      </w:r>
      <w:r w:rsidRPr="00CF31E0">
        <w:rPr>
          <w:lang w:val="en-US"/>
        </w:rPr>
        <w:t>been sent to preach Islam and to remind</w:t>
      </w:r>
      <w:r w:rsidR="0039109A" w:rsidRPr="00CF31E0">
        <w:rPr>
          <w:lang w:val="en-US"/>
        </w:rPr>
        <w:t xml:space="preserve"> people of the monotheism</w:t>
      </w:r>
      <w:r w:rsidRPr="00CF31E0">
        <w:rPr>
          <w:lang w:val="en-US"/>
        </w:rPr>
        <w:t xml:space="preserve"> that Ibrahim p</w:t>
      </w:r>
      <w:r w:rsidR="00192A84" w:rsidRPr="00CF31E0">
        <w:rPr>
          <w:lang w:val="en-US"/>
        </w:rPr>
        <w:t xml:space="preserve">reached in the land of </w:t>
      </w:r>
      <w:r w:rsidR="00D30B2F">
        <w:rPr>
          <w:lang w:val="en-US"/>
        </w:rPr>
        <w:t>Makkah</w:t>
      </w:r>
      <w:r w:rsidR="00192A84" w:rsidRPr="00CF31E0">
        <w:rPr>
          <w:lang w:val="en-US"/>
        </w:rPr>
        <w:t xml:space="preserve"> when</w:t>
      </w:r>
      <w:r w:rsidRPr="00CF31E0">
        <w:rPr>
          <w:lang w:val="en-US"/>
        </w:rPr>
        <w:t xml:space="preserve"> so many people deviated from the prophet Ibrahim</w:t>
      </w:r>
      <w:r w:rsidR="009148C8" w:rsidRPr="00CF31E0">
        <w:rPr>
          <w:lang w:val="en-US"/>
        </w:rPr>
        <w:t>’s</w:t>
      </w:r>
      <w:r w:rsidRPr="00CF31E0">
        <w:rPr>
          <w:lang w:val="en-US"/>
        </w:rPr>
        <w:t xml:space="preserve"> message</w:t>
      </w:r>
      <w:r w:rsidR="0039109A" w:rsidRPr="00CF31E0">
        <w:rPr>
          <w:lang w:val="en-US"/>
        </w:rPr>
        <w:t>. Prophe</w:t>
      </w:r>
      <w:r w:rsidR="00ED452B" w:rsidRPr="00CF31E0">
        <w:rPr>
          <w:lang w:val="en-US"/>
        </w:rPr>
        <w:t xml:space="preserve">t </w:t>
      </w:r>
      <w:r w:rsidR="005158C3" w:rsidRPr="00CF31E0">
        <w:rPr>
          <w:lang w:val="en-US"/>
        </w:rPr>
        <w:t>Muhammad</w:t>
      </w:r>
      <w:r w:rsidR="00ED452B" w:rsidRPr="00CF31E0">
        <w:rPr>
          <w:lang w:val="en-US"/>
        </w:rPr>
        <w:t xml:space="preserve"> was </w:t>
      </w:r>
      <w:r w:rsidR="00192A84" w:rsidRPr="00CF31E0">
        <w:rPr>
          <w:lang w:val="en-US"/>
        </w:rPr>
        <w:t xml:space="preserve">born </w:t>
      </w:r>
      <w:r w:rsidR="00ED452B" w:rsidRPr="00CF31E0">
        <w:rPr>
          <w:lang w:val="en-US"/>
        </w:rPr>
        <w:t xml:space="preserve">in </w:t>
      </w:r>
      <w:r w:rsidR="00D30B2F">
        <w:rPr>
          <w:lang w:val="en-US"/>
        </w:rPr>
        <w:t>Makkah</w:t>
      </w:r>
      <w:r w:rsidR="00ED452B" w:rsidRPr="00CF31E0">
        <w:rPr>
          <w:lang w:val="en-US"/>
        </w:rPr>
        <w:t xml:space="preserve"> in </w:t>
      </w:r>
      <w:r w:rsidR="009148C8" w:rsidRPr="00CF31E0">
        <w:rPr>
          <w:smallCaps/>
          <w:lang w:val="en-US"/>
        </w:rPr>
        <w:t>ad</w:t>
      </w:r>
      <w:r w:rsidR="009148C8" w:rsidRPr="00CF31E0">
        <w:rPr>
          <w:lang w:val="en-US"/>
        </w:rPr>
        <w:t xml:space="preserve"> </w:t>
      </w:r>
      <w:r w:rsidR="00ED452B" w:rsidRPr="00CF31E0">
        <w:rPr>
          <w:lang w:val="en-US"/>
        </w:rPr>
        <w:t>570 and died in</w:t>
      </w:r>
      <w:r w:rsidR="00ED452B" w:rsidRPr="00CF31E0">
        <w:t xml:space="preserve"> </w:t>
      </w:r>
      <w:r w:rsidR="0015785F" w:rsidRPr="00CF31E0">
        <w:t>Al-Madina</w:t>
      </w:r>
      <w:r w:rsidR="00ED452B" w:rsidRPr="00CF31E0">
        <w:t xml:space="preserve"> in </w:t>
      </w:r>
      <w:r w:rsidR="009148C8" w:rsidRPr="00CF31E0">
        <w:rPr>
          <w:smallCaps/>
        </w:rPr>
        <w:t>ad</w:t>
      </w:r>
      <w:r w:rsidR="009148C8" w:rsidRPr="00CF31E0">
        <w:t xml:space="preserve"> </w:t>
      </w:r>
      <w:r w:rsidR="00ED452B" w:rsidRPr="00CF31E0">
        <w:t xml:space="preserve">632 </w:t>
      </w:r>
      <w:r w:rsidR="00ED452B" w:rsidRPr="00CF31E0">
        <w:fldChar w:fldCharType="begin"/>
      </w:r>
      <w:r w:rsidR="00CD34CA" w:rsidRPr="00CF31E0">
        <w:instrText xml:space="preserve"> ADDIN ZOTERO_ITEM CSL_CITATION {"citationID":"rGRlVQGn","properties":{"formattedCitation":"(Peters, 1994)","plainCitation":"(Peters, 1994)","noteIndex":0},"citationItems":[{"id":360,"uris":["http://zotero.org/users/1939618/items/SXW2WH5G"],"uri":["http://zotero.org/users/1939618/items/SXW2WH5G"],"itemData":{"id":360,"type":"book","title":"Mecca: A Literary History of the Muslim Holy Land","publisher":"Princeton University Press","publisher-place":"Princeton, New Jersey","number-of-pages":"521","source":"Google Books","event-place":"Princeton, New Jersey","abstract":"For the non-Muslim, Mecca is the most forbidden of Holy Cities--and yet, in many ways it is the best known. Muslim historians and geographers have studied it, and countless pilgrims and travelers--many of them European Christians in disguise--have left behind lively and well-publicized accounts of life in Mecca and its associated shrine-city of Medina, where the Prophet lies buried. The stories of all these figures, holy men and heathens alike, come together in this book to offer a remarkably revealing literary portrait of the city's traditions and urban life and of the surrounding area. Closely following the publication of F. E. Peters's The Hajj (Princeton, 1994), which describes the perilous pilgrimage itself from the travelers' perspectives, this collection of writings and commentary completes the historical travelogue. The accounts begin with the Muslims themselves, in the patriarchal age of Abraham and Ishmael, and trace the sometimes glorious and sometimes sad history of Islam's central shrine down to the last Grand Sharif of Mecca, Husayn ibn Ali, whose fragile kingdom was overtaken by the House of Sa`ud in 1926. Because of chronic flooding and constant rebuilding, there is little or no material evidence for the early history of Islam's holy cities. By assembling, analyzing, and fashioning these literary accounts of Mecca, however, Peters supplies us with a vivid sense of place and human interaction, much as he did in his widely acclaimed Jerusalem (Princeton, 1985).Originally published in 1994.The Princeton Legacy Library uses the latest print-on-demand technology to again make available previously out-of-print books from the distinguished backlist of Princeton University Press. These editions preserve the original texts of these important books while presenting them in durable paperback and hardcover editions. The goal of the Princeton Legacy Library is to vastly increase access to the rich scholarly heritage found in the thousands of books published by Princeton University Press since its founding in 1905.","ISBN":"978-1-4008-8736-1","note":"Google-Books-ID: E50rDgAAQBAJ","shortTitle":"Mecca","language":"en","author":[{"family":"Peters","given":"Francis E."}],"issued":{"date-parts":[["1994"]]}}}],"schema":"https://github.com/citation-style-language/schema/raw/master/csl-citation.json"} </w:instrText>
      </w:r>
      <w:r w:rsidR="00ED452B" w:rsidRPr="00CF31E0">
        <w:fldChar w:fldCharType="separate"/>
      </w:r>
      <w:r w:rsidR="00CD34CA" w:rsidRPr="00CF31E0">
        <w:rPr>
          <w:noProof/>
        </w:rPr>
        <w:t>(Peters, 1994)</w:t>
      </w:r>
      <w:r w:rsidR="00ED452B" w:rsidRPr="00CF31E0">
        <w:fldChar w:fldCharType="end"/>
      </w:r>
      <w:r w:rsidR="00ED452B" w:rsidRPr="00CF31E0">
        <w:t>.</w:t>
      </w:r>
      <w:r w:rsidR="0039109A" w:rsidRPr="00CF31E0">
        <w:rPr>
          <w:lang w:val="en-US"/>
        </w:rPr>
        <w:t xml:space="preserve"> </w:t>
      </w:r>
    </w:p>
    <w:p w14:paraId="4451E908" w14:textId="31872CB5" w:rsidR="00503FFF" w:rsidRPr="00CF31E0" w:rsidRDefault="00D50727" w:rsidP="00603CB7">
      <w:pPr>
        <w:pStyle w:val="Paragraph"/>
        <w:rPr>
          <w:lang w:val="en-US"/>
        </w:rPr>
      </w:pPr>
      <w:r w:rsidRPr="00CF31E0">
        <w:rPr>
          <w:lang w:val="en-US"/>
        </w:rPr>
        <w:t xml:space="preserve">During </w:t>
      </w:r>
      <w:r w:rsidR="009148C8" w:rsidRPr="00CF31E0">
        <w:rPr>
          <w:lang w:val="en-US"/>
        </w:rPr>
        <w:t>P</w:t>
      </w:r>
      <w:r w:rsidRPr="00CF31E0">
        <w:rPr>
          <w:lang w:val="en-US"/>
        </w:rPr>
        <w:t>rophet</w:t>
      </w:r>
      <w:r w:rsidR="004E0912" w:rsidRPr="00CF31E0">
        <w:rPr>
          <w:lang w:val="en-US"/>
        </w:rPr>
        <w:t xml:space="preserve"> </w:t>
      </w:r>
      <w:r w:rsidR="005158C3" w:rsidRPr="00CF31E0">
        <w:rPr>
          <w:lang w:val="en-US"/>
        </w:rPr>
        <w:t>Muhammad</w:t>
      </w:r>
      <w:r w:rsidR="009148C8" w:rsidRPr="00CF31E0">
        <w:rPr>
          <w:lang w:val="en-US"/>
        </w:rPr>
        <w:t>’s</w:t>
      </w:r>
      <w:r w:rsidRPr="00CF31E0">
        <w:rPr>
          <w:lang w:val="en-US"/>
        </w:rPr>
        <w:t xml:space="preserve"> era, Allah </w:t>
      </w:r>
      <w:r w:rsidR="00503FFF" w:rsidRPr="00CF31E0">
        <w:rPr>
          <w:lang w:val="en-US"/>
        </w:rPr>
        <w:t xml:space="preserve">ordained </w:t>
      </w:r>
      <w:r w:rsidRPr="00CF31E0">
        <w:rPr>
          <w:lang w:val="en-US"/>
        </w:rPr>
        <w:t xml:space="preserve">all Muslims to follow and obey the </w:t>
      </w:r>
      <w:r w:rsidR="00052329" w:rsidRPr="00CF31E0">
        <w:rPr>
          <w:lang w:val="en-US"/>
        </w:rPr>
        <w:t xml:space="preserve">following </w:t>
      </w:r>
      <w:r w:rsidR="00503FFF" w:rsidRPr="00CF31E0">
        <w:rPr>
          <w:lang w:val="en-US"/>
        </w:rPr>
        <w:t>five obligatory pillars</w:t>
      </w:r>
      <w:r w:rsidR="00503FFF" w:rsidRPr="00CF31E0">
        <w:t>, or obligations,</w:t>
      </w:r>
      <w:r w:rsidR="00503FFF" w:rsidRPr="00CF31E0">
        <w:rPr>
          <w:lang w:val="en-US"/>
        </w:rPr>
        <w:t xml:space="preserve"> that each Muslim should fulfill</w:t>
      </w:r>
      <w:r w:rsidR="005746E9" w:rsidRPr="00CF31E0">
        <w:rPr>
          <w:lang w:val="en-US"/>
        </w:rPr>
        <w:t xml:space="preserve"> as they formulate the Islamic faith</w:t>
      </w:r>
      <w:r w:rsidR="00503FFF" w:rsidRPr="00CF31E0">
        <w:rPr>
          <w:lang w:val="en-US"/>
        </w:rPr>
        <w:t>; these are as follows:</w:t>
      </w:r>
    </w:p>
    <w:p w14:paraId="7F38A8F7" w14:textId="77777777" w:rsidR="00052329" w:rsidRPr="00CF31E0" w:rsidRDefault="00052329" w:rsidP="00467EF6">
      <w:pPr>
        <w:pStyle w:val="ListParagraph"/>
        <w:numPr>
          <w:ilvl w:val="0"/>
          <w:numId w:val="3"/>
        </w:numPr>
        <w:spacing w:line="360" w:lineRule="auto"/>
        <w:jc w:val="both"/>
        <w:rPr>
          <w:rFonts w:asciiTheme="majorBidi" w:hAnsiTheme="majorBidi" w:cstheme="majorBidi"/>
          <w:color w:val="000000" w:themeColor="text1"/>
          <w:lang w:val="en-US"/>
        </w:rPr>
      </w:pPr>
      <w:r w:rsidRPr="00CF31E0">
        <w:rPr>
          <w:rFonts w:asciiTheme="majorBidi" w:hAnsiTheme="majorBidi" w:cstheme="majorBidi"/>
          <w:color w:val="000000" w:themeColor="text1"/>
          <w:lang w:val="en-US"/>
        </w:rPr>
        <w:t>The testimony of faith.</w:t>
      </w:r>
    </w:p>
    <w:p w14:paraId="3BB71A3F" w14:textId="77777777" w:rsidR="00052329" w:rsidRPr="00CF31E0" w:rsidRDefault="00052329" w:rsidP="00467EF6">
      <w:pPr>
        <w:pStyle w:val="ListParagraph"/>
        <w:numPr>
          <w:ilvl w:val="0"/>
          <w:numId w:val="3"/>
        </w:numPr>
        <w:spacing w:line="360" w:lineRule="auto"/>
        <w:jc w:val="both"/>
        <w:rPr>
          <w:rFonts w:asciiTheme="majorBidi" w:hAnsiTheme="majorBidi" w:cstheme="majorBidi"/>
          <w:color w:val="000000" w:themeColor="text1"/>
          <w:lang w:val="en-US"/>
        </w:rPr>
      </w:pPr>
      <w:r w:rsidRPr="00CF31E0">
        <w:rPr>
          <w:rFonts w:asciiTheme="majorBidi" w:hAnsiTheme="majorBidi" w:cstheme="majorBidi"/>
          <w:color w:val="000000" w:themeColor="text1"/>
          <w:lang w:val="en-US"/>
        </w:rPr>
        <w:t>Prayer.</w:t>
      </w:r>
    </w:p>
    <w:p w14:paraId="7A76A8F1" w14:textId="77777777" w:rsidR="00052329" w:rsidRPr="00CF31E0" w:rsidRDefault="00052329" w:rsidP="00467EF6">
      <w:pPr>
        <w:pStyle w:val="ListParagraph"/>
        <w:numPr>
          <w:ilvl w:val="0"/>
          <w:numId w:val="3"/>
        </w:numPr>
        <w:spacing w:line="360" w:lineRule="auto"/>
        <w:jc w:val="both"/>
        <w:rPr>
          <w:rFonts w:asciiTheme="majorBidi" w:hAnsiTheme="majorBidi" w:cstheme="majorBidi"/>
          <w:color w:val="000000" w:themeColor="text1"/>
          <w:lang w:val="en-US"/>
        </w:rPr>
      </w:pPr>
      <w:r w:rsidRPr="00CF31E0">
        <w:rPr>
          <w:rFonts w:asciiTheme="majorBidi" w:hAnsiTheme="majorBidi" w:cstheme="majorBidi"/>
          <w:color w:val="000000" w:themeColor="text1"/>
          <w:lang w:val="en-US"/>
        </w:rPr>
        <w:t>Giving Zakat (support of the needy).</w:t>
      </w:r>
    </w:p>
    <w:p w14:paraId="353C1F63" w14:textId="77777777" w:rsidR="00052329" w:rsidRPr="00CF31E0" w:rsidRDefault="00052329" w:rsidP="00467EF6">
      <w:pPr>
        <w:pStyle w:val="ListParagraph"/>
        <w:numPr>
          <w:ilvl w:val="0"/>
          <w:numId w:val="3"/>
        </w:numPr>
        <w:spacing w:line="360" w:lineRule="auto"/>
        <w:jc w:val="both"/>
        <w:rPr>
          <w:rFonts w:asciiTheme="majorBidi" w:hAnsiTheme="majorBidi" w:cstheme="majorBidi"/>
          <w:color w:val="000000" w:themeColor="text1"/>
          <w:lang w:val="en-US"/>
        </w:rPr>
      </w:pPr>
      <w:r w:rsidRPr="00CF31E0">
        <w:rPr>
          <w:rFonts w:asciiTheme="majorBidi" w:hAnsiTheme="majorBidi" w:cstheme="majorBidi"/>
          <w:color w:val="000000" w:themeColor="text1"/>
          <w:lang w:val="en-US"/>
        </w:rPr>
        <w:t>Fasting in the month of Ramadan.</w:t>
      </w:r>
    </w:p>
    <w:p w14:paraId="5E8CD9ED" w14:textId="7767E0ED" w:rsidR="00052329" w:rsidRPr="00CF31E0" w:rsidRDefault="00052329" w:rsidP="00467EF6">
      <w:pPr>
        <w:pStyle w:val="ListParagraph"/>
        <w:numPr>
          <w:ilvl w:val="0"/>
          <w:numId w:val="3"/>
        </w:numPr>
        <w:spacing w:line="360" w:lineRule="auto"/>
        <w:jc w:val="both"/>
        <w:rPr>
          <w:rFonts w:asciiTheme="majorBidi" w:hAnsiTheme="majorBidi" w:cstheme="majorBidi"/>
          <w:color w:val="000000" w:themeColor="text1"/>
          <w:lang w:val="en-US"/>
        </w:rPr>
      </w:pPr>
      <w:r w:rsidRPr="00CF31E0">
        <w:rPr>
          <w:rFonts w:asciiTheme="majorBidi" w:hAnsiTheme="majorBidi" w:cstheme="majorBidi"/>
          <w:color w:val="000000" w:themeColor="text1"/>
          <w:lang w:val="en-US"/>
        </w:rPr>
        <w:t xml:space="preserve">The pilgrimage to </w:t>
      </w:r>
      <w:r w:rsidR="00D30B2F">
        <w:rPr>
          <w:rFonts w:asciiTheme="majorBidi" w:hAnsiTheme="majorBidi" w:cstheme="majorBidi"/>
          <w:color w:val="000000" w:themeColor="text1"/>
          <w:lang w:val="en-US"/>
        </w:rPr>
        <w:t>Makkah</w:t>
      </w:r>
      <w:r w:rsidRPr="00CF31E0">
        <w:rPr>
          <w:rFonts w:asciiTheme="majorBidi" w:hAnsiTheme="majorBidi" w:cstheme="majorBidi"/>
          <w:color w:val="000000" w:themeColor="text1"/>
          <w:lang w:val="en-US"/>
        </w:rPr>
        <w:t xml:space="preserve">. </w:t>
      </w:r>
    </w:p>
    <w:p w14:paraId="1008D08E" w14:textId="6D66AA78" w:rsidR="007E0367" w:rsidRPr="00CF31E0" w:rsidRDefault="007E0367" w:rsidP="00B56EA9">
      <w:pPr>
        <w:pStyle w:val="Paragraph"/>
        <w:spacing w:before="200"/>
        <w:rPr>
          <w:lang w:val="en-US"/>
        </w:rPr>
      </w:pPr>
      <w:r w:rsidRPr="00CF31E0">
        <w:rPr>
          <w:lang w:val="en-US"/>
        </w:rPr>
        <w:t xml:space="preserve">The last pillar is by no means the main factor that helped to </w:t>
      </w:r>
      <w:r w:rsidRPr="00CF31E0">
        <w:t>populate</w:t>
      </w:r>
      <w:r w:rsidRPr="00CF31E0">
        <w:rPr>
          <w:lang w:val="en-US"/>
        </w:rPr>
        <w:t xml:space="preserve"> </w:t>
      </w:r>
      <w:r w:rsidR="00D30B2F">
        <w:rPr>
          <w:lang w:val="en-US"/>
        </w:rPr>
        <w:t>Makkah</w:t>
      </w:r>
      <w:r w:rsidRPr="00CF31E0">
        <w:rPr>
          <w:lang w:val="en-US"/>
        </w:rPr>
        <w:t xml:space="preserve"> city over the years </w:t>
      </w:r>
      <w:r w:rsidR="009148C8" w:rsidRPr="00CF31E0">
        <w:rPr>
          <w:lang w:val="en-US"/>
        </w:rPr>
        <w:t xml:space="preserve">but </w:t>
      </w:r>
      <w:r w:rsidRPr="00CF31E0">
        <w:rPr>
          <w:lang w:val="en-US"/>
        </w:rPr>
        <w:t xml:space="preserve">contributed massively to attracting Muslims to visit, work and settle in </w:t>
      </w:r>
      <w:r w:rsidR="00D30B2F">
        <w:rPr>
          <w:lang w:val="en-US"/>
        </w:rPr>
        <w:t>Makkah</w:t>
      </w:r>
      <w:r w:rsidRPr="00CF31E0">
        <w:rPr>
          <w:lang w:val="en-US"/>
        </w:rPr>
        <w:t xml:space="preserve"> </w:t>
      </w:r>
      <w:r w:rsidRPr="00CF31E0">
        <w:rPr>
          <w:lang w:val="en-US"/>
        </w:rPr>
        <w:fldChar w:fldCharType="begin"/>
      </w:r>
      <w:r w:rsidR="00CD34CA" w:rsidRPr="00CF31E0">
        <w:rPr>
          <w:lang w:val="en-US"/>
        </w:rPr>
        <w:instrText xml:space="preserve"> ADDIN ZOTERO_ITEM CSL_CITATION {"citationID":"IFvJrSAP","properties":{"formattedCitation":"(Al-Sarhan, 2015; Bianchi, 2013; Peters, 1994)","plainCitation":"(Al-Sarhan, 2015; Bianchi, 2013; Peters, 1994)","noteIndex":0},"citationItems":[{"id":376,"uris":["http://zotero.org/users/1939618/items/UZ63ETB6"],"uri":["http://zotero.org/users/1939618/items/UZ63ETB6"],"itemData":{"id":376,"type":"chapter","title":"The Saudis as Managers of the Hajj","container-title":"The Hajj: Pilgrimage in Islam","publisher":"Cambridge University Press","publisher-place":"Cambridge","page":"196-212","event-place":"Cambridge","author":[{"family":"Al-Sarhan","given":"Saud"}],"editor":[{"family":"Tagliacozzo","given":"E."},{"family":"Toorawa","given":"S."}],"issued":{"date-parts":[["2015"]]}},"label":"page"},{"id":205,"uris":["http://zotero.org/users/1939618/items/RUCZSXCZ"],"uri":["http://zotero.org/users/1939618/items/RUCZSXCZ"],"itemData":{"id":205,"type":"book","title":"Islamic Globalization: Pilgrimage, Capitalism, Democracy, and Diplomacy","publisher":"World scientific publishing","publisher-place":"Singapore","source":"Google Scholar","event-place":"Singapore","URL":"https://books.google.co.uk/books?hl=en&amp;lr=&amp;id=1zG7CgAAQBAJ&amp;oi=fnd&amp;pg=PR7&amp;dq=travel+and+travellers,+travel+for+religious+purposes+by+Robert+R.+Bianchi+from+the+oxford+encyclopedia+of+the+modern+islamic+world&amp;ots=zwQsJU0KzT&amp;sig=oftqaWKgjI6PQIASM7uORIKTxyg","shortTitle":"Islamic Globalization","author":[{"family":"Bianchi","given":"Robert"}],"issued":{"date-parts":[["2013"]]},"accessed":{"date-parts":[["2016",2,1]]}},"label":"page"},{"id":360,"uris":["http://zotero.org/users/1939618/items/SXW2WH5G"],"uri":["http://zotero.org/users/1939618/items/SXW2WH5G"],"itemData":{"id":360,"type":"book","title":"Mecca: A Literary History of the Muslim Holy Land","publisher":"Princeton University Press","publisher-place":"Princeton, New Jersey","number-of-pages":"521","source":"Google Books","event-place":"Princeton, New Jersey","abstract":"For the non-Muslim, Mecca is the most forbidden of Holy Cities--and yet, in many ways it is the best known. Muslim historians and geographers have studied it, and countless pilgrims and travelers--many of them European Christians in disguise--have left behind lively and well-publicized accounts of life in Mecca and its associated shrine-city of Medina, where the Prophet lies buried. The stories of all these figures, holy men and heathens alike, come together in this book to offer a remarkably revealing literary portrait of the city's traditions and urban life and of the surrounding area. Closely following the publication of F. E. Peters's The Hajj (Princeton, 1994), which describes the perilous pilgrimage itself from the travelers' perspectives, this collection of writings and commentary completes the historical travelogue. The accounts begin with the Muslims themselves, in the patriarchal age of Abraham and Ishmael, and trace the sometimes glorious and sometimes sad history of Islam's central shrine down to the last Grand Sharif of Mecca, Husayn ibn Ali, whose fragile kingdom was overtaken by the House of Sa`ud in 1926. Because of chronic flooding and constant rebuilding, there is little or no material evidence for the early history of Islam's holy cities. By assembling, analyzing, and fashioning these literary accounts of Mecca, however, Peters supplies us with a vivid sense of place and human interaction, much as he did in his widely acclaimed Jerusalem (Princeton, 1985).Originally published in 1994.The Princeton Legacy Library uses the latest print-on-demand technology to again make available previously out-of-print books from the distinguished backlist of Princeton University Press. These editions preserve the original texts of these important books while presenting them in durable paperback and hardcover editions. The goal of the Princeton Legacy Library is to vastly increase access to the rich scholarly heritage found in the thousands of books published by Princeton University Press since its founding in 1905.","ISBN":"978-1-4008-8736-1","note":"Google-Books-ID: E50rDgAAQBAJ","shortTitle":"Mecca","language":"en","author":[{"family":"Peters","given":"Francis E."}],"issued":{"date-parts":[["1994"]]}},"label":"page"}],"schema":"https://github.com/citation-style-language/schema/raw/master/csl-citation.json"} </w:instrText>
      </w:r>
      <w:r w:rsidRPr="00CF31E0">
        <w:rPr>
          <w:lang w:val="en-US"/>
        </w:rPr>
        <w:fldChar w:fldCharType="separate"/>
      </w:r>
      <w:r w:rsidR="00CD34CA" w:rsidRPr="00CF31E0">
        <w:rPr>
          <w:noProof/>
          <w:lang w:val="en-US"/>
        </w:rPr>
        <w:t>(Bianchi, 2013; Peters, 1994)</w:t>
      </w:r>
      <w:r w:rsidRPr="00CF31E0">
        <w:rPr>
          <w:lang w:val="en-US"/>
        </w:rPr>
        <w:fldChar w:fldCharType="end"/>
      </w:r>
      <w:r w:rsidRPr="00CF31E0">
        <w:rPr>
          <w:lang w:val="en-US"/>
        </w:rPr>
        <w:t xml:space="preserve">. </w:t>
      </w:r>
      <w:r w:rsidR="003A1331" w:rsidRPr="00CF31E0">
        <w:rPr>
          <w:lang w:val="en-US"/>
        </w:rPr>
        <w:t>Therefore, in</w:t>
      </w:r>
      <w:r w:rsidRPr="00CF31E0">
        <w:rPr>
          <w:lang w:val="en-US"/>
        </w:rPr>
        <w:t xml:space="preserve"> section</w:t>
      </w:r>
      <w:r w:rsidR="003A1331" w:rsidRPr="00CF31E0">
        <w:rPr>
          <w:lang w:val="en-US"/>
        </w:rPr>
        <w:t xml:space="preserve"> </w:t>
      </w:r>
      <w:r w:rsidR="0095285F" w:rsidRPr="00CF31E0">
        <w:rPr>
          <w:lang w:val="en-US"/>
        </w:rPr>
        <w:t>2</w:t>
      </w:r>
      <w:r w:rsidR="00902438" w:rsidRPr="00CF31E0">
        <w:rPr>
          <w:lang w:val="en-US"/>
        </w:rPr>
        <w:t>.4</w:t>
      </w:r>
      <w:r w:rsidR="003A1331" w:rsidRPr="00CF31E0">
        <w:rPr>
          <w:lang w:val="en-US"/>
        </w:rPr>
        <w:t xml:space="preserve"> below</w:t>
      </w:r>
      <w:r w:rsidRPr="00CF31E0">
        <w:rPr>
          <w:lang w:val="en-US"/>
        </w:rPr>
        <w:t xml:space="preserve">, I will discuss in detail how the historical and religious significance of Hajj contributed dramatically </w:t>
      </w:r>
      <w:r w:rsidR="009148C8" w:rsidRPr="00CF31E0">
        <w:rPr>
          <w:lang w:val="en-US"/>
        </w:rPr>
        <w:t xml:space="preserve">to </w:t>
      </w:r>
      <w:r w:rsidRPr="00CF31E0">
        <w:rPr>
          <w:lang w:val="en-US"/>
        </w:rPr>
        <w:t xml:space="preserve">shaping the societal make-up of </w:t>
      </w:r>
      <w:r w:rsidR="009148C8" w:rsidRPr="00CF31E0">
        <w:rPr>
          <w:lang w:val="en-US"/>
        </w:rPr>
        <w:t xml:space="preserve">the </w:t>
      </w:r>
      <w:r w:rsidRPr="00CF31E0">
        <w:rPr>
          <w:lang w:val="en-US"/>
        </w:rPr>
        <w:t xml:space="preserve">Hijaz region. </w:t>
      </w:r>
    </w:p>
    <w:p w14:paraId="4D099BED" w14:textId="4B6128D4" w:rsidR="00501224" w:rsidRPr="00CF31E0" w:rsidRDefault="0041107C" w:rsidP="00603CB7">
      <w:pPr>
        <w:pStyle w:val="Paragraph"/>
        <w:rPr>
          <w:lang w:val="en-US"/>
        </w:rPr>
      </w:pPr>
      <w:r w:rsidRPr="00CF31E0">
        <w:rPr>
          <w:lang w:val="en-US"/>
        </w:rPr>
        <w:t xml:space="preserve">Overall, </w:t>
      </w:r>
      <w:r w:rsidR="002176B3" w:rsidRPr="00CF31E0">
        <w:rPr>
          <w:lang w:val="en-US"/>
        </w:rPr>
        <w:t>from P</w:t>
      </w:r>
      <w:r w:rsidR="003A1331" w:rsidRPr="00CF31E0">
        <w:rPr>
          <w:lang w:val="en-US"/>
        </w:rPr>
        <w:t>rophet Ibrahim</w:t>
      </w:r>
      <w:r w:rsidR="002176B3" w:rsidRPr="00CF31E0">
        <w:rPr>
          <w:lang w:val="en-US"/>
        </w:rPr>
        <w:t>’s</w:t>
      </w:r>
      <w:r w:rsidR="003A1331" w:rsidRPr="00CF31E0">
        <w:rPr>
          <w:lang w:val="en-US"/>
        </w:rPr>
        <w:t xml:space="preserve"> era to </w:t>
      </w:r>
      <w:r w:rsidR="002176B3" w:rsidRPr="00CF31E0">
        <w:rPr>
          <w:lang w:val="en-US"/>
        </w:rPr>
        <w:t>P</w:t>
      </w:r>
      <w:r w:rsidR="003A1331" w:rsidRPr="00CF31E0">
        <w:rPr>
          <w:lang w:val="en-US"/>
        </w:rPr>
        <w:t xml:space="preserve">rophet </w:t>
      </w:r>
      <w:r w:rsidR="005158C3" w:rsidRPr="00CF31E0">
        <w:rPr>
          <w:lang w:val="en-US"/>
        </w:rPr>
        <w:t>Muhammad</w:t>
      </w:r>
      <w:r w:rsidR="003A1331" w:rsidRPr="00CF31E0">
        <w:rPr>
          <w:lang w:val="en-US"/>
        </w:rPr>
        <w:t>’s era</w:t>
      </w:r>
      <w:r w:rsidR="002176B3" w:rsidRPr="00CF31E0">
        <w:rPr>
          <w:lang w:val="en-US"/>
        </w:rPr>
        <w:t>,</w:t>
      </w:r>
      <w:r w:rsidR="000F6C1D" w:rsidRPr="00CF31E0">
        <w:rPr>
          <w:lang w:val="en-US"/>
        </w:rPr>
        <w:t xml:space="preserve"> </w:t>
      </w:r>
      <w:r w:rsidR="00D30B2F">
        <w:rPr>
          <w:lang w:val="en-US"/>
        </w:rPr>
        <w:t>Makkah</w:t>
      </w:r>
      <w:r w:rsidR="003A1331" w:rsidRPr="00CF31E0">
        <w:rPr>
          <w:lang w:val="en-US"/>
        </w:rPr>
        <w:t xml:space="preserve"> has been </w:t>
      </w:r>
      <w:r w:rsidR="002176B3" w:rsidRPr="00CF31E0">
        <w:rPr>
          <w:lang w:val="en-US"/>
        </w:rPr>
        <w:t>attributed with a</w:t>
      </w:r>
      <w:r w:rsidR="003A1331" w:rsidRPr="00CF31E0">
        <w:rPr>
          <w:lang w:val="en-US"/>
        </w:rPr>
        <w:t xml:space="preserve"> high </w:t>
      </w:r>
      <w:r w:rsidR="002176B3" w:rsidRPr="00CF31E0">
        <w:rPr>
          <w:lang w:val="en-US"/>
        </w:rPr>
        <w:t xml:space="preserve">level of </w:t>
      </w:r>
      <w:r w:rsidR="003A1331" w:rsidRPr="00CF31E0">
        <w:rPr>
          <w:lang w:val="en-US"/>
        </w:rPr>
        <w:t>holiness and sacredness</w:t>
      </w:r>
      <w:r w:rsidR="002176B3" w:rsidRPr="00CF31E0">
        <w:rPr>
          <w:lang w:val="en-US"/>
        </w:rPr>
        <w:t xml:space="preserve">. </w:t>
      </w:r>
      <w:r w:rsidR="005618A4" w:rsidRPr="00CF31E0">
        <w:rPr>
          <w:lang w:val="en-US"/>
        </w:rPr>
        <w:t>First</w:t>
      </w:r>
      <w:r w:rsidR="002176B3" w:rsidRPr="00CF31E0">
        <w:rPr>
          <w:lang w:val="en-US"/>
        </w:rPr>
        <w:t xml:space="preserve">, </w:t>
      </w:r>
      <w:r w:rsidR="00D30B2F">
        <w:t>Makkah</w:t>
      </w:r>
      <w:r w:rsidR="003A1331" w:rsidRPr="00CF31E0">
        <w:t xml:space="preserve"> is the location for the holy mosque</w:t>
      </w:r>
      <w:r w:rsidR="002176B3" w:rsidRPr="00CF31E0">
        <w:t>,</w:t>
      </w:r>
      <w:r w:rsidR="003A1331" w:rsidRPr="00CF31E0">
        <w:t xml:space="preserve"> “</w:t>
      </w:r>
      <w:r w:rsidR="003A1331" w:rsidRPr="00CF31E0">
        <w:rPr>
          <w:bCs/>
        </w:rPr>
        <w:t xml:space="preserve">which was built around a central courtyard containing the Kaaba. The Holy mosque served as a gathering place, school, and centre for social occasions of all sorts” </w:t>
      </w:r>
      <w:r w:rsidR="003A1331" w:rsidRPr="00CF31E0">
        <w:rPr>
          <w:bCs/>
        </w:rPr>
        <w:fldChar w:fldCharType="begin"/>
      </w:r>
      <w:r w:rsidR="00CD34CA" w:rsidRPr="00CF31E0">
        <w:rPr>
          <w:bCs/>
        </w:rPr>
        <w:instrText xml:space="preserve"> ADDIN ZOTERO_ITEM CSL_CITATION {"citationID":"K5qXPBGZ","properties":{"formattedCitation":"(Ochsenwald, 1984, p. 24)","plainCitation":"(Ochsenwald, 1984, p. 24)","noteIndex":0},"citationItems":[{"id":101,"uris":["http://zotero.org/users/1939618/items/FUUT425D"],"uri":["http://zotero.org/users/1939618/items/FUUT425D"],"itemData":{"id":101,"type":"book","title":"Religion, society, and the state in Arabia: the Hijaz under Ottoman control, 1840-1908","publisher":"The Ohio State University Press","publisher-place":"Colombus","source":"kb.osu.edu","event-place":"Colombus","abstract":"(print) xiii, 241 p. : ill. ; 24 cm","URL":"http://hdl.handle.net/1811/24661","ISBN":"0814203663","note":"(print) xiii, 241 p. : ill. ; 24 cm","shortTitle":"Religion, society, and the state in Arabia","language":"en","author":[{"family":"Ochsenwald","given":"William"}],"issued":{"date-parts":[["1984"]]},"accessed":{"date-parts":[["2015",1,19]]}},"locator":"24","label":"page"}],"schema":"https://github.com/citation-style-language/schema/raw/master/csl-citation.json"} </w:instrText>
      </w:r>
      <w:r w:rsidR="003A1331" w:rsidRPr="00CF31E0">
        <w:rPr>
          <w:bCs/>
        </w:rPr>
        <w:fldChar w:fldCharType="separate"/>
      </w:r>
      <w:r w:rsidR="003A1331" w:rsidRPr="00CF31E0">
        <w:rPr>
          <w:bCs/>
        </w:rPr>
        <w:t>(Ochsenwald, 1984, p. 24)</w:t>
      </w:r>
      <w:r w:rsidR="003A1331" w:rsidRPr="00CF31E0">
        <w:fldChar w:fldCharType="end"/>
      </w:r>
      <w:r w:rsidR="00210738" w:rsidRPr="00CF31E0">
        <w:rPr>
          <w:lang w:val="en-US"/>
        </w:rPr>
        <w:t xml:space="preserve">. </w:t>
      </w:r>
      <w:r w:rsidR="003A1331" w:rsidRPr="00CF31E0">
        <w:rPr>
          <w:lang w:val="en-US"/>
        </w:rPr>
        <w:t xml:space="preserve">Second, </w:t>
      </w:r>
      <w:r w:rsidR="002176B3" w:rsidRPr="00CF31E0">
        <w:rPr>
          <w:lang w:val="en-US"/>
        </w:rPr>
        <w:t>P</w:t>
      </w:r>
      <w:r w:rsidR="003A1331" w:rsidRPr="00CF31E0">
        <w:rPr>
          <w:lang w:val="en-US"/>
        </w:rPr>
        <w:t xml:space="preserve">rophet </w:t>
      </w:r>
      <w:r w:rsidR="005158C3" w:rsidRPr="00CF31E0">
        <w:rPr>
          <w:lang w:val="en-US"/>
        </w:rPr>
        <w:t>Muhammad</w:t>
      </w:r>
      <w:r w:rsidR="003A1331" w:rsidRPr="00CF31E0">
        <w:rPr>
          <w:lang w:val="en-US"/>
        </w:rPr>
        <w:t xml:space="preserve"> was born in </w:t>
      </w:r>
      <w:r w:rsidR="00D30B2F">
        <w:rPr>
          <w:lang w:val="en-US"/>
        </w:rPr>
        <w:t>Makkah</w:t>
      </w:r>
      <w:r w:rsidR="003A1331" w:rsidRPr="00CF31E0">
        <w:rPr>
          <w:lang w:val="en-US"/>
        </w:rPr>
        <w:t xml:space="preserve"> where </w:t>
      </w:r>
      <w:r w:rsidR="00A245A0" w:rsidRPr="00CF31E0">
        <w:rPr>
          <w:lang w:val="en-US"/>
        </w:rPr>
        <w:t xml:space="preserve">the </w:t>
      </w:r>
      <w:r w:rsidR="003A1331" w:rsidRPr="00CF31E0">
        <w:rPr>
          <w:lang w:val="en-US"/>
        </w:rPr>
        <w:t>preac</w:t>
      </w:r>
      <w:r w:rsidR="007333C8" w:rsidRPr="00CF31E0">
        <w:rPr>
          <w:lang w:val="en-US"/>
        </w:rPr>
        <w:t>hing of Islam started</w:t>
      </w:r>
      <w:r w:rsidR="003A1331" w:rsidRPr="00CF31E0">
        <w:rPr>
          <w:lang w:val="en-US"/>
        </w:rPr>
        <w:t>. Third</w:t>
      </w:r>
      <w:r w:rsidR="004C0219" w:rsidRPr="00CF31E0">
        <w:rPr>
          <w:lang w:val="en-US"/>
        </w:rPr>
        <w:t xml:space="preserve">, </w:t>
      </w:r>
      <w:r w:rsidR="008E5FC3">
        <w:rPr>
          <w:lang w:val="en-US"/>
        </w:rPr>
        <w:t>the Holy Qur</w:t>
      </w:r>
      <w:r w:rsidR="000F6C1D" w:rsidRPr="00CF31E0">
        <w:rPr>
          <w:lang w:val="en-US"/>
        </w:rPr>
        <w:t xml:space="preserve">an </w:t>
      </w:r>
      <w:r w:rsidR="002176B3" w:rsidRPr="00CF31E0">
        <w:rPr>
          <w:lang w:val="en-US"/>
        </w:rPr>
        <w:t>was</w:t>
      </w:r>
      <w:r w:rsidR="000F6C1D" w:rsidRPr="00CF31E0">
        <w:rPr>
          <w:lang w:val="en-US"/>
        </w:rPr>
        <w:t xml:space="preserve"> given to </w:t>
      </w:r>
      <w:r w:rsidR="002176B3" w:rsidRPr="00CF31E0">
        <w:rPr>
          <w:lang w:val="en-US"/>
        </w:rPr>
        <w:t>P</w:t>
      </w:r>
      <w:r w:rsidR="005746E9" w:rsidRPr="00CF31E0">
        <w:rPr>
          <w:lang w:val="en-US"/>
        </w:rPr>
        <w:t>rophet</w:t>
      </w:r>
      <w:r w:rsidR="003A1331" w:rsidRPr="00CF31E0">
        <w:rPr>
          <w:lang w:val="en-US"/>
        </w:rPr>
        <w:t xml:space="preserve"> </w:t>
      </w:r>
      <w:r w:rsidR="005158C3" w:rsidRPr="00CF31E0">
        <w:rPr>
          <w:lang w:val="en-US"/>
        </w:rPr>
        <w:t>Muhammad</w:t>
      </w:r>
      <w:r w:rsidR="003A1331" w:rsidRPr="00CF31E0">
        <w:rPr>
          <w:lang w:val="en-US"/>
        </w:rPr>
        <w:t xml:space="preserve"> in </w:t>
      </w:r>
      <w:r w:rsidR="00D30B2F">
        <w:rPr>
          <w:lang w:val="en-US"/>
        </w:rPr>
        <w:t>Makkah</w:t>
      </w:r>
      <w:r w:rsidR="003A1331" w:rsidRPr="00CF31E0">
        <w:rPr>
          <w:lang w:val="en-US"/>
        </w:rPr>
        <w:t xml:space="preserve"> via </w:t>
      </w:r>
      <w:r w:rsidR="00CB43C6" w:rsidRPr="00CF31E0">
        <w:rPr>
          <w:lang w:val="en-US"/>
        </w:rPr>
        <w:t xml:space="preserve">Gabriel </w:t>
      </w:r>
      <w:r w:rsidR="00CB43C6" w:rsidRPr="00CF31E0">
        <w:rPr>
          <w:lang w:val="en-US"/>
        </w:rPr>
        <w:fldChar w:fldCharType="begin"/>
      </w:r>
      <w:r w:rsidR="00CD34CA" w:rsidRPr="00CF31E0">
        <w:rPr>
          <w:lang w:val="en-US"/>
        </w:rPr>
        <w:instrText xml:space="preserve"> ADDIN ZOTERO_ITEM CSL_CITATION {"citationID":"cP24oNUI","properties":{"formattedCitation":"(Bianchi, 2004)","plainCitation":"(Bianchi, 2004)","noteIndex":0},"citationItems":[{"id":364,"uris":["http://zotero.org/users/1939618/items/MPTGYXG9"],"uri":["http://zotero.org/users/1939618/items/MPTGYXG9"],"itemData":{"id":364,"type":"book","title":"Guests of God: pilgrimage and politics in the Islamic world","publisher":"Oxford University Press","publisher-place":"New York, NY","event-place":"New York, NY","shortTitle":"Guests of God","author":[{"family":"Bianchi","given":"Robert"}],"issued":{"date-parts":[["2004"]]}}}],"schema":"https://github.com/citation-style-language/schema/raw/master/csl-citation.json"} </w:instrText>
      </w:r>
      <w:r w:rsidR="00CB43C6" w:rsidRPr="00CF31E0">
        <w:rPr>
          <w:lang w:val="en-US"/>
        </w:rPr>
        <w:fldChar w:fldCharType="separate"/>
      </w:r>
      <w:r w:rsidR="00CB43C6" w:rsidRPr="00CF31E0">
        <w:rPr>
          <w:noProof/>
          <w:lang w:val="en-US"/>
        </w:rPr>
        <w:t>(Bianchi, 2004)</w:t>
      </w:r>
      <w:r w:rsidR="00CB43C6" w:rsidRPr="00CF31E0">
        <w:rPr>
          <w:lang w:val="en-US"/>
        </w:rPr>
        <w:fldChar w:fldCharType="end"/>
      </w:r>
      <w:r w:rsidR="00CB43C6" w:rsidRPr="00CF31E0">
        <w:rPr>
          <w:lang w:val="en-US"/>
        </w:rPr>
        <w:t>.</w:t>
      </w:r>
      <w:r w:rsidR="00501224" w:rsidRPr="00CF31E0">
        <w:rPr>
          <w:lang w:val="en-US"/>
        </w:rPr>
        <w:t xml:space="preserve"> </w:t>
      </w:r>
      <w:r w:rsidR="00476BD2" w:rsidRPr="00CF31E0">
        <w:rPr>
          <w:lang w:val="en-US"/>
        </w:rPr>
        <w:t xml:space="preserve">Fourth, during </w:t>
      </w:r>
      <w:r w:rsidR="002176B3" w:rsidRPr="00CF31E0">
        <w:rPr>
          <w:lang w:val="en-US"/>
        </w:rPr>
        <w:t>P</w:t>
      </w:r>
      <w:r w:rsidR="00476BD2" w:rsidRPr="00CF31E0">
        <w:rPr>
          <w:lang w:val="en-US"/>
        </w:rPr>
        <w:t xml:space="preserve">rophet </w:t>
      </w:r>
      <w:r w:rsidR="005158C3" w:rsidRPr="00CF31E0">
        <w:rPr>
          <w:lang w:val="en-US"/>
        </w:rPr>
        <w:t>Muhammad</w:t>
      </w:r>
      <w:r w:rsidR="002176B3" w:rsidRPr="00CF31E0">
        <w:rPr>
          <w:lang w:val="en-US"/>
        </w:rPr>
        <w:t>’s</w:t>
      </w:r>
      <w:r w:rsidR="00476BD2" w:rsidRPr="00CF31E0">
        <w:rPr>
          <w:lang w:val="en-US"/>
        </w:rPr>
        <w:t xml:space="preserve"> era, Allah ordained all Muslims to pray toward</w:t>
      </w:r>
      <w:r w:rsidR="002176B3" w:rsidRPr="00CF31E0">
        <w:rPr>
          <w:lang w:val="en-US"/>
        </w:rPr>
        <w:t>s</w:t>
      </w:r>
      <w:r w:rsidR="00476BD2" w:rsidRPr="00CF31E0">
        <w:rPr>
          <w:lang w:val="en-US"/>
        </w:rPr>
        <w:t xml:space="preserve"> the Kaaba in </w:t>
      </w:r>
      <w:r w:rsidR="00D30B2F">
        <w:rPr>
          <w:lang w:val="en-US"/>
        </w:rPr>
        <w:t>Makkah</w:t>
      </w:r>
      <w:r w:rsidR="00094BEA" w:rsidRPr="00CF31E0">
        <w:rPr>
          <w:lang w:val="en-US"/>
        </w:rPr>
        <w:t xml:space="preserve">. </w:t>
      </w:r>
      <w:r w:rsidR="00F02028" w:rsidRPr="00CF31E0">
        <w:rPr>
          <w:lang w:val="en-US"/>
        </w:rPr>
        <w:t xml:space="preserve">Nowadays, </w:t>
      </w:r>
      <w:r w:rsidR="00F02028" w:rsidRPr="00CF31E0">
        <w:t>n</w:t>
      </w:r>
      <w:r w:rsidR="00476BD2" w:rsidRPr="00CF31E0">
        <w:t xml:space="preserve">early one and a half billion Muslims, from Morocco to Indonesia, pray five times a day facing the </w:t>
      </w:r>
      <w:r w:rsidR="00476BD2" w:rsidRPr="00CF31E0">
        <w:lastRenderedPageBreak/>
        <w:t>Kaaba</w:t>
      </w:r>
      <w:r w:rsidR="00F02028" w:rsidRPr="00CF31E0">
        <w:t xml:space="preserve"> in </w:t>
      </w:r>
      <w:r w:rsidR="00D30B2F">
        <w:t>Makkah</w:t>
      </w:r>
      <w:r w:rsidR="00476BD2" w:rsidRPr="00CF31E0">
        <w:t xml:space="preserve"> </w:t>
      </w:r>
      <w:r w:rsidR="00476BD2" w:rsidRPr="00CF31E0">
        <w:fldChar w:fldCharType="begin"/>
      </w:r>
      <w:r w:rsidR="00476BD2" w:rsidRPr="00CF31E0">
        <w:instrText xml:space="preserve"> ADDIN ZOTERO_ITEM CSL_CITATION {"citationID":"kY0JWx6y","properties":{"formattedCitation":"(Tagliacozzo &amp; Toorawa, 2016)","plainCitation":"(Tagliacozzo &amp; Toorawa, 2016)","noteIndex":0},"citationItems":[{"id":367,"uris":["http://zotero.org/users/1939618/items/VTLWJHCV"],"uri":["http://zotero.org/users/1939618/items/VTLWJHCV"],"itemData":{"id":367,"type":"book","title":"The Hajj: pilgrimage in Islam","publisher":"Cambridge University Press","publisher-place":"Cambridge","source":"find.shef.ac.uk","event-place":"Cambridge","abstract":"Machine generated contents note: Introduction Eric Tagliacozzo and Shawkat Toorawa; 1. Pilgrimage in pre-Islamic Arabia and late Antiquity Harry Munt; 2. Why Mecca? Abraham and the Hajj in the Islamic tradition Fareeha Khan; 3. The early Hajj, seventh-eighth centuries CE Travis Zadeh; 4. Women and the Hajj Asma Sayeed; 5. Hajj by land Benjamin C. Brower; 6. Hajj by sea Eric Tagliacozzo; 7. Hajj by air Robert Bianchi; 8. Economics: agents, pilgrims, and profits on the Hajj Sylvia Chiffoleau; 9. The pilgrimage to Mecca and international health regulations Valeska Huber; 10. The Saudis as managers of the Hajj Saud al-Sarhan; 11. Performing the Hajj Shawkat Toorawa; 12. Decoding the Hajj in cyberspace Gary R. Bunt; 13. A pilgrim's complaint: recent accounts of the Hajj Michael Wolfe; 14. Visualizing the Hajj: imagining a sacred landscape past and present Juan Campo., Every year hundreds of thousands of pilgrims from all over the world converge on Mecca and its precincts to perform the rituals associated with the Hajj and have been doing so since the seventh century. In this volume, scholars from a range of fields - including history, religion, anthropology, and literature - together tell the story of the Hajj and explain its significance as one of the key events in the Muslim religious calendar. By outlining the parameters of the Hajj from its beginnings to the present day, the contributors have produced a global study that takes in the vast geographies of belief in the world of Islam. This volume pays attention to the diverse aspects of the Hajj, as lived every year by hundreds of millions of Muslims, touching on its rituals, its regional forms, the role of gender, its representation in art, and its organization on a global scale.","URL":"https://doi.org/10.1017/CBO9781139343794","ISBN":"978-1-139-34379-4","shortTitle":"The Hajj","language":"eng","author":[{"family":"Tagliacozzo","given":"Eric"},{"family":"Toorawa","given":"Shawkat"}],"issued":{"date-parts":[["2016"]]},"accessed":{"date-parts":[["2018",4,2]]}}}],"schema":"https://github.com/citation-style-language/schema/raw/master/csl-citation.json"} </w:instrText>
      </w:r>
      <w:r w:rsidR="00476BD2" w:rsidRPr="00CF31E0">
        <w:fldChar w:fldCharType="separate"/>
      </w:r>
      <w:r w:rsidR="00476BD2" w:rsidRPr="00CF31E0">
        <w:rPr>
          <w:noProof/>
        </w:rPr>
        <w:t>(Tagliacozzo &amp; T</w:t>
      </w:r>
      <w:r w:rsidR="00E44A3C" w:rsidRPr="00CF31E0">
        <w:rPr>
          <w:noProof/>
        </w:rPr>
        <w:t>oorawa, 2015</w:t>
      </w:r>
      <w:r w:rsidR="00476BD2" w:rsidRPr="00CF31E0">
        <w:rPr>
          <w:noProof/>
        </w:rPr>
        <w:t>)</w:t>
      </w:r>
      <w:r w:rsidR="00476BD2" w:rsidRPr="00CF31E0">
        <w:fldChar w:fldCharType="end"/>
      </w:r>
      <w:r w:rsidR="00476BD2" w:rsidRPr="00CF31E0">
        <w:t>.</w:t>
      </w:r>
      <w:r w:rsidR="00825BC5" w:rsidRPr="00CF31E0">
        <w:rPr>
          <w:lang w:val="en-US"/>
        </w:rPr>
        <w:t xml:space="preserve"> </w:t>
      </w:r>
      <w:r w:rsidR="00501224" w:rsidRPr="00CF31E0">
        <w:rPr>
          <w:lang w:val="en-US"/>
        </w:rPr>
        <w:t>F</w:t>
      </w:r>
      <w:r w:rsidR="00407334" w:rsidRPr="00CF31E0">
        <w:rPr>
          <w:lang w:val="en-US"/>
        </w:rPr>
        <w:t>ifth</w:t>
      </w:r>
      <w:r w:rsidR="00501224" w:rsidRPr="00CF31E0">
        <w:rPr>
          <w:lang w:val="en-US"/>
        </w:rPr>
        <w:t xml:space="preserve">, </w:t>
      </w:r>
      <w:r w:rsidR="003A1331" w:rsidRPr="00CF31E0">
        <w:rPr>
          <w:lang w:val="en-US"/>
        </w:rPr>
        <w:t xml:space="preserve">both </w:t>
      </w:r>
      <w:r w:rsidR="002176B3" w:rsidRPr="00CF31E0">
        <w:rPr>
          <w:lang w:val="en-US"/>
        </w:rPr>
        <w:t>P</w:t>
      </w:r>
      <w:r w:rsidR="003A1331" w:rsidRPr="00CF31E0">
        <w:rPr>
          <w:lang w:val="en-US"/>
        </w:rPr>
        <w:t xml:space="preserve">rophet Ibrahim and </w:t>
      </w:r>
      <w:r w:rsidR="002176B3" w:rsidRPr="00CF31E0">
        <w:rPr>
          <w:lang w:val="en-US"/>
        </w:rPr>
        <w:t>P</w:t>
      </w:r>
      <w:r w:rsidR="003A1331" w:rsidRPr="00CF31E0">
        <w:rPr>
          <w:lang w:val="en-US"/>
        </w:rPr>
        <w:t xml:space="preserve">rophet </w:t>
      </w:r>
      <w:r w:rsidR="005158C3" w:rsidRPr="00CF31E0">
        <w:rPr>
          <w:lang w:val="en-US"/>
        </w:rPr>
        <w:t>Muhammad</w:t>
      </w:r>
      <w:r w:rsidR="003A1331" w:rsidRPr="00CF31E0">
        <w:rPr>
          <w:lang w:val="en-US"/>
        </w:rPr>
        <w:t xml:space="preserve"> have been ordained to call for Hajj to </w:t>
      </w:r>
      <w:r w:rsidR="00D30B2F">
        <w:rPr>
          <w:lang w:val="en-US"/>
        </w:rPr>
        <w:t>Makkah</w:t>
      </w:r>
      <w:r w:rsidR="003A1331" w:rsidRPr="00CF31E0">
        <w:rPr>
          <w:lang w:val="en-US"/>
        </w:rPr>
        <w:t>.</w:t>
      </w:r>
      <w:r w:rsidR="00F02028" w:rsidRPr="00CF31E0">
        <w:rPr>
          <w:lang w:val="en-US"/>
        </w:rPr>
        <w:t xml:space="preserve"> </w:t>
      </w:r>
      <w:r w:rsidR="00501224" w:rsidRPr="00CF31E0">
        <w:t xml:space="preserve">Moreover, Muslims visit </w:t>
      </w:r>
      <w:r w:rsidR="00D30B2F">
        <w:t>Makkah</w:t>
      </w:r>
      <w:r w:rsidR="00501224" w:rsidRPr="00CF31E0">
        <w:t xml:space="preserve"> throughout the year to perform </w:t>
      </w:r>
      <w:r w:rsidR="00F02028" w:rsidRPr="00CF31E0">
        <w:t xml:space="preserve">another ritual which </w:t>
      </w:r>
      <w:r w:rsidR="002176B3" w:rsidRPr="00CF31E0">
        <w:t xml:space="preserve">was first </w:t>
      </w:r>
      <w:r w:rsidR="00F02028" w:rsidRPr="00CF31E0">
        <w:t xml:space="preserve">called by </w:t>
      </w:r>
      <w:r w:rsidR="002176B3" w:rsidRPr="00CF31E0">
        <w:t>P</w:t>
      </w:r>
      <w:r w:rsidR="00F02028" w:rsidRPr="00CF31E0">
        <w:t xml:space="preserve">rophet </w:t>
      </w:r>
      <w:r w:rsidR="005158C3" w:rsidRPr="00CF31E0">
        <w:t>Muhammad</w:t>
      </w:r>
      <w:r w:rsidR="00F02028" w:rsidRPr="00CF31E0">
        <w:t>. It is called</w:t>
      </w:r>
      <w:r w:rsidR="00407334" w:rsidRPr="00CF31E0">
        <w:t xml:space="preserve"> Umrah, </w:t>
      </w:r>
      <w:r w:rsidR="00395454" w:rsidRPr="00CF31E0">
        <w:t xml:space="preserve">and </w:t>
      </w:r>
      <w:r w:rsidR="00501224" w:rsidRPr="00CF31E0">
        <w:t xml:space="preserve">is </w:t>
      </w:r>
      <w:r w:rsidR="00395454" w:rsidRPr="00CF31E0">
        <w:t xml:space="preserve">somewhat </w:t>
      </w:r>
      <w:r w:rsidR="00501224" w:rsidRPr="00CF31E0">
        <w:t xml:space="preserve">similar to Hajj in terms of rituals, though it can be performed at any time of the year, while Hajj has to be performed </w:t>
      </w:r>
      <w:r w:rsidR="00F02028" w:rsidRPr="00CF31E0">
        <w:t xml:space="preserve">at a specific time of the year (Bakalla, 2002; </w:t>
      </w:r>
      <w:r w:rsidR="00F02028" w:rsidRPr="00CF31E0">
        <w:fldChar w:fldCharType="begin"/>
      </w:r>
      <w:r w:rsidR="007333C8" w:rsidRPr="00CF31E0">
        <w:instrText xml:space="preserve"> ADDIN ZOTERO_ITEM CSL_CITATION {"citationID":"fUSvgHyD","properties":{"formattedCitation":"(Munt, 2014)","plainCitation":"(Munt, 2014)","dontUpdate":true,"noteIndex":0},"citationItems":[{"id":366,"uris":["http://zotero.org/users/1939618/items/WAA9WGYX"],"uri":["http://zotero.org/users/1939618/items/WAA9WGYX"],"itemData":{"id":366,"type":"book","title":"The holy city of Medina: sacred space in early Islamic Arabia","collection-title":"Cambridge studies in Islamic civilization","publisher":"Cambridge University Press","publisher-place":"Cambridge","source":"find.shef.ac.uk","event-place":"Cambridge","URL":"https://doi.org/10.1017/CBO9781107323773","ISBN":"978-1-107-32377-3","shortTitle":"The holy city of Medina","language":"eng","author":[{"family":"Munt","given":"Harry"}],"issued":{"date-parts":[["2014"]]},"accessed":{"date-parts":[["2018",4,2]]}}}],"schema":"https://github.com/citation-style-language/schema/raw/master/csl-citation.json"} </w:instrText>
      </w:r>
      <w:r w:rsidR="00F02028" w:rsidRPr="00CF31E0">
        <w:fldChar w:fldCharType="separate"/>
      </w:r>
      <w:r w:rsidR="00F02028" w:rsidRPr="00CF31E0">
        <w:rPr>
          <w:noProof/>
        </w:rPr>
        <w:t>Munt, 2014)</w:t>
      </w:r>
      <w:r w:rsidR="00F02028" w:rsidRPr="00CF31E0">
        <w:fldChar w:fldCharType="end"/>
      </w:r>
      <w:r w:rsidR="00F02028" w:rsidRPr="00CF31E0">
        <w:t xml:space="preserve">. </w:t>
      </w:r>
    </w:p>
    <w:p w14:paraId="12A8C164" w14:textId="4236E137" w:rsidR="00CB43C6" w:rsidRPr="00CF31E0" w:rsidRDefault="00D44314" w:rsidP="00603CB7">
      <w:pPr>
        <w:pStyle w:val="Paragraph"/>
        <w:rPr>
          <w:lang w:val="en-US"/>
        </w:rPr>
      </w:pPr>
      <w:r w:rsidRPr="00CF31E0">
        <w:rPr>
          <w:lang w:val="en-US"/>
        </w:rPr>
        <w:t xml:space="preserve">Thus, </w:t>
      </w:r>
      <w:r w:rsidR="00395454" w:rsidRPr="00CF31E0">
        <w:rPr>
          <w:lang w:val="en-US"/>
        </w:rPr>
        <w:t xml:space="preserve">from </w:t>
      </w:r>
      <w:r w:rsidR="00E545FD" w:rsidRPr="00CF31E0">
        <w:rPr>
          <w:lang w:val="en-US"/>
        </w:rPr>
        <w:t xml:space="preserve">looking in depth at the history of </w:t>
      </w:r>
      <w:r w:rsidR="00D30B2F">
        <w:rPr>
          <w:lang w:val="en-US"/>
        </w:rPr>
        <w:t>Makkah</w:t>
      </w:r>
      <w:r w:rsidR="00E545FD" w:rsidRPr="00CF31E0">
        <w:rPr>
          <w:lang w:val="en-US"/>
        </w:rPr>
        <w:t>, it is evident that the holy mosque give</w:t>
      </w:r>
      <w:r w:rsidR="007333C8" w:rsidRPr="00CF31E0">
        <w:rPr>
          <w:lang w:val="en-US"/>
        </w:rPr>
        <w:t>s</w:t>
      </w:r>
      <w:r w:rsidR="00E545FD" w:rsidRPr="00CF31E0">
        <w:rPr>
          <w:lang w:val="en-US"/>
        </w:rPr>
        <w:t xml:space="preserve"> it historical and religious significance, along with Hajj which is performed by millions of Muslims each year. </w:t>
      </w:r>
      <w:r w:rsidR="00FB78C1" w:rsidRPr="00CF31E0">
        <w:rPr>
          <w:lang w:val="en-US"/>
        </w:rPr>
        <w:t xml:space="preserve">In the following section I </w:t>
      </w:r>
      <w:r w:rsidR="00395454" w:rsidRPr="00CF31E0">
        <w:rPr>
          <w:lang w:val="en-US"/>
        </w:rPr>
        <w:t>will</w:t>
      </w:r>
      <w:r w:rsidR="00FB78C1" w:rsidRPr="00CF31E0">
        <w:rPr>
          <w:lang w:val="en-US"/>
        </w:rPr>
        <w:t xml:space="preserve"> discuss the Haj</w:t>
      </w:r>
      <w:r w:rsidR="007333C8" w:rsidRPr="00CF31E0">
        <w:rPr>
          <w:lang w:val="en-US"/>
        </w:rPr>
        <w:t>j</w:t>
      </w:r>
      <w:r w:rsidR="00FB78C1" w:rsidRPr="00CF31E0">
        <w:rPr>
          <w:lang w:val="en-US"/>
        </w:rPr>
        <w:t xml:space="preserve"> to </w:t>
      </w:r>
      <w:r w:rsidR="00D30B2F">
        <w:rPr>
          <w:lang w:val="en-US"/>
        </w:rPr>
        <w:t>Makkah</w:t>
      </w:r>
      <w:r w:rsidR="00FB78C1" w:rsidRPr="00CF31E0">
        <w:rPr>
          <w:lang w:val="en-US"/>
        </w:rPr>
        <w:t xml:space="preserve"> and its effects on external migration. </w:t>
      </w:r>
    </w:p>
    <w:p w14:paraId="0EB5FAE3" w14:textId="71FABEE6" w:rsidR="00130B9D" w:rsidRPr="00CF31E0" w:rsidRDefault="00917B88" w:rsidP="0061369D">
      <w:pPr>
        <w:pStyle w:val="Ahead"/>
      </w:pPr>
      <w:bookmarkStart w:id="23" w:name="_Toc6472622"/>
      <w:r w:rsidRPr="00CF31E0">
        <w:t>2</w:t>
      </w:r>
      <w:r w:rsidR="00E70311" w:rsidRPr="00CF31E0">
        <w:t>.4.</w:t>
      </w:r>
      <w:r w:rsidR="00E70311" w:rsidRPr="00CF31E0">
        <w:tab/>
      </w:r>
      <w:r w:rsidR="00130B9D" w:rsidRPr="00CF31E0">
        <w:t xml:space="preserve">The Hajj to </w:t>
      </w:r>
      <w:r w:rsidR="00D30B2F">
        <w:t>Makkah</w:t>
      </w:r>
      <w:r w:rsidR="00130B9D" w:rsidRPr="00CF31E0">
        <w:t xml:space="preserve"> in </w:t>
      </w:r>
      <w:r w:rsidR="00395454" w:rsidRPr="00CF31E0">
        <w:t xml:space="preserve">the </w:t>
      </w:r>
      <w:r w:rsidR="00130B9D" w:rsidRPr="00CF31E0">
        <w:t>Islamic era and its effects on external migration</w:t>
      </w:r>
      <w:bookmarkEnd w:id="23"/>
    </w:p>
    <w:p w14:paraId="3DE68F35" w14:textId="6590694A" w:rsidR="0039109A" w:rsidRPr="00CF31E0" w:rsidRDefault="00825BC5" w:rsidP="00603CB7">
      <w:pPr>
        <w:pStyle w:val="Paragraph"/>
      </w:pPr>
      <w:r w:rsidRPr="00CF31E0">
        <w:rPr>
          <w:lang w:val="en-US"/>
        </w:rPr>
        <w:t>T</w:t>
      </w:r>
      <w:r w:rsidR="0039109A" w:rsidRPr="00CF31E0">
        <w:rPr>
          <w:lang w:val="en-US"/>
        </w:rPr>
        <w:t xml:space="preserve">he Hajj was made obligatory for </w:t>
      </w:r>
      <w:r w:rsidR="00D44314" w:rsidRPr="00CF31E0">
        <w:rPr>
          <w:lang w:val="en-US"/>
        </w:rPr>
        <w:t xml:space="preserve">all </w:t>
      </w:r>
      <w:r w:rsidR="0039109A" w:rsidRPr="00CF31E0">
        <w:rPr>
          <w:lang w:val="en-US"/>
        </w:rPr>
        <w:t xml:space="preserve">Muslims in </w:t>
      </w:r>
      <w:r w:rsidR="00395454" w:rsidRPr="00CF31E0">
        <w:rPr>
          <w:smallCaps/>
          <w:lang w:val="en-US"/>
        </w:rPr>
        <w:t>ad</w:t>
      </w:r>
      <w:r w:rsidR="00395454" w:rsidRPr="00CF31E0">
        <w:rPr>
          <w:lang w:val="en-US"/>
        </w:rPr>
        <w:t xml:space="preserve"> </w:t>
      </w:r>
      <w:r w:rsidR="0039109A" w:rsidRPr="00CF31E0">
        <w:rPr>
          <w:lang w:val="en-US"/>
        </w:rPr>
        <w:t xml:space="preserve">630 </w:t>
      </w:r>
      <w:r w:rsidR="0039109A" w:rsidRPr="00CF31E0">
        <w:rPr>
          <w:lang w:val="en-US"/>
        </w:rPr>
        <w:fldChar w:fldCharType="begin"/>
      </w:r>
      <w:r w:rsidR="0039109A" w:rsidRPr="00CF31E0">
        <w:rPr>
          <w:lang w:val="en-US"/>
        </w:rPr>
        <w:instrText xml:space="preserve"> ADDIN ZOTERO_ITEM CSL_CITATION {"citationID":"jtOe2LV5","properties":{"formattedCitation":"(al-Ken, 1995, p. 30)","plainCitation":"(al-Ken, 1995, p. 30)","noteIndex":0},"citationItems":[{"id":190,"uris":["http://zotero.org/users/1939618/items/9MG22DNA"],"uri":["http://zotero.org/users/1939618/items/9MG22DNA"],"itemData":{"id":190,"type":"thesis","title":"The Hajj: past, present and future: the communication aspect","publisher":"University of Leeds","source":"Google Scholar","URL":"http://ethos.bl.uk/OrderDetails.do?uin=uk.bl.ethos.341805","shortTitle":"The Hajj","author":[{"family":"Ken","given":"Akeel Ibrahim","non-dropping-particle":"al-"}],"issued":{"date-parts":[["1995"]]},"accessed":{"date-parts":[["2015",12,6]]}},"locator":"30","label":"page"}],"schema":"https://github.com/citation-style-language/schema/raw/master/csl-citation.json"} </w:instrText>
      </w:r>
      <w:r w:rsidR="0039109A" w:rsidRPr="00CF31E0">
        <w:rPr>
          <w:lang w:val="en-US"/>
        </w:rPr>
        <w:fldChar w:fldCharType="separate"/>
      </w:r>
      <w:r w:rsidR="007B3CDE" w:rsidRPr="00CF31E0">
        <w:rPr>
          <w:noProof/>
          <w:lang w:val="en-US"/>
        </w:rPr>
        <w:t>(A</w:t>
      </w:r>
      <w:r w:rsidR="0039109A" w:rsidRPr="00CF31E0">
        <w:rPr>
          <w:noProof/>
          <w:lang w:val="en-US"/>
        </w:rPr>
        <w:t>l-Ken, 1995, p. 30)</w:t>
      </w:r>
      <w:r w:rsidR="0039109A" w:rsidRPr="00CF31E0">
        <w:rPr>
          <w:lang w:val="en-US"/>
        </w:rPr>
        <w:fldChar w:fldCharType="end"/>
      </w:r>
      <w:r w:rsidR="0039109A" w:rsidRPr="00CF31E0">
        <w:rPr>
          <w:lang w:val="en-US"/>
        </w:rPr>
        <w:t xml:space="preserve">. Thus, Prophet </w:t>
      </w:r>
      <w:r w:rsidR="005158C3" w:rsidRPr="00CF31E0">
        <w:rPr>
          <w:lang w:val="en-US"/>
        </w:rPr>
        <w:t>Muhammad</w:t>
      </w:r>
      <w:r w:rsidR="0039109A" w:rsidRPr="00CF31E0">
        <w:rPr>
          <w:lang w:val="en-US"/>
        </w:rPr>
        <w:t xml:space="preserve"> </w:t>
      </w:r>
      <w:r w:rsidR="00395454" w:rsidRPr="00CF31E0">
        <w:rPr>
          <w:lang w:val="en-US"/>
        </w:rPr>
        <w:t>was</w:t>
      </w:r>
      <w:r w:rsidR="00D44314" w:rsidRPr="00CF31E0">
        <w:rPr>
          <w:lang w:val="en-US"/>
        </w:rPr>
        <w:t xml:space="preserve"> ordained to ta</w:t>
      </w:r>
      <w:r w:rsidR="0039109A" w:rsidRPr="00CF31E0">
        <w:rPr>
          <w:lang w:val="en-US"/>
        </w:rPr>
        <w:t>k</w:t>
      </w:r>
      <w:r w:rsidR="00D44314" w:rsidRPr="00CF31E0">
        <w:rPr>
          <w:lang w:val="en-US"/>
        </w:rPr>
        <w:t>e</w:t>
      </w:r>
      <w:r w:rsidR="0039109A" w:rsidRPr="00CF31E0">
        <w:rPr>
          <w:lang w:val="en-US"/>
        </w:rPr>
        <w:t xml:space="preserve"> the rituals of Hajj and reoriented them so they were performed in the correct way. </w:t>
      </w:r>
      <w:r w:rsidR="00DD0DC2" w:rsidRPr="00CF31E0">
        <w:rPr>
          <w:lang w:val="en-US"/>
        </w:rPr>
        <w:t>Within Muslims</w:t>
      </w:r>
      <w:r w:rsidR="00395454" w:rsidRPr="00CF31E0">
        <w:rPr>
          <w:lang w:val="en-US"/>
        </w:rPr>
        <w:t>’</w:t>
      </w:r>
      <w:r w:rsidR="00DD0DC2" w:rsidRPr="00CF31E0">
        <w:rPr>
          <w:lang w:val="en-US"/>
        </w:rPr>
        <w:t xml:space="preserve"> mental image, </w:t>
      </w:r>
      <w:r w:rsidR="00395454" w:rsidRPr="00CF31E0">
        <w:rPr>
          <w:lang w:val="en-US"/>
        </w:rPr>
        <w:t>t</w:t>
      </w:r>
      <w:r w:rsidR="00DD0DC2" w:rsidRPr="00CF31E0">
        <w:rPr>
          <w:lang w:val="en-US"/>
        </w:rPr>
        <w:t xml:space="preserve">he Hajj rituals </w:t>
      </w:r>
      <w:r w:rsidR="00395454" w:rsidRPr="00CF31E0">
        <w:rPr>
          <w:lang w:val="en-US"/>
        </w:rPr>
        <w:t xml:space="preserve">are </w:t>
      </w:r>
      <w:r w:rsidR="00DD0DC2" w:rsidRPr="00CF31E0">
        <w:rPr>
          <w:lang w:val="en-US"/>
        </w:rPr>
        <w:t xml:space="preserve">very strongly connected to </w:t>
      </w:r>
      <w:r w:rsidR="00395454" w:rsidRPr="00CF31E0">
        <w:rPr>
          <w:lang w:val="en-US"/>
        </w:rPr>
        <w:t>P</w:t>
      </w:r>
      <w:r w:rsidR="00DD0DC2" w:rsidRPr="00CF31E0">
        <w:rPr>
          <w:lang w:val="en-US"/>
        </w:rPr>
        <w:t>rophet Ibrahim’s family suffering</w:t>
      </w:r>
      <w:r w:rsidR="00DD0DC2" w:rsidRPr="00B9622D">
        <w:rPr>
          <w:rStyle w:val="FootnoteReference"/>
        </w:rPr>
        <w:footnoteReference w:id="5"/>
      </w:r>
      <w:r w:rsidR="007333C8" w:rsidRPr="00CF31E0">
        <w:rPr>
          <w:lang w:val="en-US"/>
        </w:rPr>
        <w:t xml:space="preserve"> during their life in </w:t>
      </w:r>
      <w:r w:rsidR="00D30B2F">
        <w:rPr>
          <w:lang w:val="en-US"/>
        </w:rPr>
        <w:t>Makkah</w:t>
      </w:r>
      <w:r w:rsidR="00DD0DC2" w:rsidRPr="00CF31E0">
        <w:rPr>
          <w:lang w:val="en-US"/>
        </w:rPr>
        <w:t xml:space="preserve">. </w:t>
      </w:r>
    </w:p>
    <w:p w14:paraId="5B599428" w14:textId="3381CA75" w:rsidR="001554DE" w:rsidRPr="00CF31E0" w:rsidRDefault="0039109A" w:rsidP="00603CB7">
      <w:pPr>
        <w:pStyle w:val="Paragraph"/>
        <w:rPr>
          <w:lang w:val="en-US"/>
        </w:rPr>
      </w:pPr>
      <w:r w:rsidRPr="00CF31E0">
        <w:rPr>
          <w:lang w:val="en-US"/>
        </w:rPr>
        <w:lastRenderedPageBreak/>
        <w:t xml:space="preserve">The same original rites, time and place of Hajj have endured since Prophet </w:t>
      </w:r>
      <w:r w:rsidR="005158C3" w:rsidRPr="00CF31E0">
        <w:rPr>
          <w:lang w:val="en-US"/>
        </w:rPr>
        <w:t>Muhammad</w:t>
      </w:r>
      <w:r w:rsidRPr="00CF31E0">
        <w:rPr>
          <w:lang w:val="en-US"/>
        </w:rPr>
        <w:t xml:space="preserve"> determined them </w:t>
      </w:r>
      <w:r w:rsidR="005D0894" w:rsidRPr="00CF31E0">
        <w:rPr>
          <w:lang w:val="en-US"/>
        </w:rPr>
        <w:t>14</w:t>
      </w:r>
      <w:r w:rsidRPr="00CF31E0">
        <w:rPr>
          <w:lang w:val="en-US"/>
        </w:rPr>
        <w:t xml:space="preserve"> centuries ago </w:t>
      </w:r>
      <w:r w:rsidRPr="00CF31E0">
        <w:rPr>
          <w:lang w:val="en-US"/>
        </w:rPr>
        <w:fldChar w:fldCharType="begin"/>
      </w:r>
      <w:r w:rsidR="00CD34CA" w:rsidRPr="00CF31E0">
        <w:rPr>
          <w:lang w:val="en-US"/>
        </w:rPr>
        <w:instrText xml:space="preserve"> ADDIN ZOTERO_ITEM CSL_CITATION {"citationID":"WTENLXd7","properties":{"formattedCitation":"(Bianchi, 2013, p. 33)","plainCitation":"(Bianchi, 2013, p. 33)","noteIndex":0},"citationItems":[{"id":205,"uris":["http://zotero.org/users/1939618/items/RUCZSXCZ"],"uri":["http://zotero.org/users/1939618/items/RUCZSXCZ"],"itemData":{"id":205,"type":"book","title":"Islamic Globalization: Pilgrimage, Capitalism, Democracy, and Diplomacy","publisher":"World scientific publishing","publisher-place":"Singapore","source":"Google Scholar","event-place":"Singapore","URL":"https://books.google.co.uk/books?hl=en&amp;lr=&amp;id=1zG7CgAAQBAJ&amp;oi=fnd&amp;pg=PR7&amp;dq=travel+and+travellers,+travel+for+religious+purposes+by+Robert+R.+Bianchi+from+the+oxford+encyclopedia+of+the+modern+islamic+world&amp;ots=zwQsJU0KzT&amp;sig=oftqaWKgjI6PQIASM7uORIKTxyg","shortTitle":"Islamic Globalization","author":[{"family":"Bianchi","given":"Robert"}],"issued":{"date-parts":[["2013"]]},"accessed":{"date-parts":[["2016",2,1]]}},"locator":"33","label":"page"}],"schema":"https://github.com/citation-style-language/schema/raw/master/csl-citation.json"} </w:instrText>
      </w:r>
      <w:r w:rsidRPr="00CF31E0">
        <w:rPr>
          <w:lang w:val="en-US"/>
        </w:rPr>
        <w:fldChar w:fldCharType="separate"/>
      </w:r>
      <w:r w:rsidRPr="00CF31E0">
        <w:rPr>
          <w:noProof/>
          <w:lang w:val="en-US"/>
        </w:rPr>
        <w:t>(Bianchi, 2013, p. 33)</w:t>
      </w:r>
      <w:r w:rsidRPr="00CF31E0">
        <w:rPr>
          <w:lang w:val="en-US"/>
        </w:rPr>
        <w:fldChar w:fldCharType="end"/>
      </w:r>
      <w:r w:rsidRPr="00CF31E0">
        <w:rPr>
          <w:lang w:val="en-US"/>
        </w:rPr>
        <w:t xml:space="preserve">. The Hajj takes place at a certain and fixed time of the year in </w:t>
      </w:r>
      <w:r w:rsidR="00D30B2F">
        <w:rPr>
          <w:lang w:val="en-US"/>
        </w:rPr>
        <w:t>Makkah</w:t>
      </w:r>
      <w:r w:rsidRPr="00CF31E0">
        <w:rPr>
          <w:lang w:val="en-US"/>
        </w:rPr>
        <w:t>. It occurs in the last month of the lunar calendar, which is called “the Hajj month”. It takes place from the 8</w:t>
      </w:r>
      <w:r w:rsidRPr="00CF31E0">
        <w:rPr>
          <w:vertAlign w:val="superscript"/>
          <w:lang w:val="en-US"/>
        </w:rPr>
        <w:t>th</w:t>
      </w:r>
      <w:r w:rsidRPr="00CF31E0">
        <w:rPr>
          <w:lang w:val="en-US"/>
        </w:rPr>
        <w:t xml:space="preserve"> date to the 1</w:t>
      </w:r>
      <w:r w:rsidR="00B817AA" w:rsidRPr="00CF31E0">
        <w:rPr>
          <w:lang w:val="en-US"/>
        </w:rPr>
        <w:t>3</w:t>
      </w:r>
      <w:r w:rsidRPr="00CF31E0">
        <w:rPr>
          <w:vertAlign w:val="superscript"/>
          <w:lang w:val="en-US"/>
        </w:rPr>
        <w:t>th</w:t>
      </w:r>
      <w:r w:rsidRPr="00CF31E0">
        <w:rPr>
          <w:lang w:val="en-US"/>
        </w:rPr>
        <w:t xml:space="preserve"> date of the Hajj month </w:t>
      </w:r>
      <w:r w:rsidRPr="00CF31E0">
        <w:rPr>
          <w:lang w:val="en-US"/>
        </w:rPr>
        <w:fldChar w:fldCharType="begin"/>
      </w:r>
      <w:r w:rsidRPr="00CF31E0">
        <w:rPr>
          <w:lang w:val="en-US"/>
        </w:rPr>
        <w:instrText xml:space="preserve"> ADDIN ZOTERO_ITEM CSL_CITATION {"citationID":"OcdF4d8E","properties":{"formattedCitation":"(al-Ken, 1995, p. 31)","plainCitation":"(al-Ken, 1995, p. 31)","noteIndex":0},"citationItems":[{"id":190,"uris":["http://zotero.org/users/1939618/items/9MG22DNA"],"uri":["http://zotero.org/users/1939618/items/9MG22DNA"],"itemData":{"id":190,"type":"thesis","title":"The Hajj: past, present and future: the communication aspect","publisher":"University of Leeds","source":"Google Scholar","URL":"http://ethos.bl.uk/OrderDetails.do?uin=uk.bl.ethos.341805","shortTitle":"The Hajj","author":[{"family":"Ken","given":"Akeel Ibrahim","non-dropping-particle":"al-"}],"issued":{"date-parts":[["1995"]]},"accessed":{"date-parts":[["2015",12,6]]}},"locator":"31","label":"page"}],"schema":"https://github.com/citation-style-language/schema/raw/master/csl-citation.json"} </w:instrText>
      </w:r>
      <w:r w:rsidRPr="00CF31E0">
        <w:rPr>
          <w:lang w:val="en-US"/>
        </w:rPr>
        <w:fldChar w:fldCharType="separate"/>
      </w:r>
      <w:r w:rsidR="007B3CDE" w:rsidRPr="00CF31E0">
        <w:rPr>
          <w:noProof/>
          <w:lang w:val="en-US"/>
        </w:rPr>
        <w:t>(A</w:t>
      </w:r>
      <w:r w:rsidRPr="00CF31E0">
        <w:rPr>
          <w:noProof/>
          <w:lang w:val="en-US"/>
        </w:rPr>
        <w:t>l-Ken, 1995, p. 31)</w:t>
      </w:r>
      <w:r w:rsidRPr="00CF31E0">
        <w:rPr>
          <w:lang w:val="en-US"/>
        </w:rPr>
        <w:fldChar w:fldCharType="end"/>
      </w:r>
      <w:r w:rsidR="00F75B1B" w:rsidRPr="00CF31E0">
        <w:rPr>
          <w:lang w:val="en-US"/>
        </w:rPr>
        <w:t xml:space="preserve">. It is performed once in a Muslim’s lifetime, but if they cannot manage it physically or economically, they can be excused from taking part </w:t>
      </w:r>
      <w:r w:rsidR="00F75B1B" w:rsidRPr="00CF31E0">
        <w:rPr>
          <w:lang w:val="en-US"/>
        </w:rPr>
        <w:fldChar w:fldCharType="begin"/>
      </w:r>
      <w:r w:rsidR="00CD34CA" w:rsidRPr="00CF31E0">
        <w:rPr>
          <w:lang w:val="en-US"/>
        </w:rPr>
        <w:instrText xml:space="preserve"> ADDIN ZOTERO_ITEM CSL_CITATION {"citationID":"7EuzPb06","properties":{"formattedCitation":"(Bianchi, 2004; Peters, 1994)","plainCitation":"(Bianchi, 2004; Peters, 1994)","noteIndex":0},"citationItems":[{"id":364,"uris":["http://zotero.org/users/1939618/items/MPTGYXG9"],"uri":["http://zotero.org/users/1939618/items/MPTGYXG9"],"itemData":{"id":364,"type":"book","title":"Guests of God: pilgrimage and politics in the Islamic world","publisher":"Oxford University Press","publisher-place":"New York, NY","event-place":"New York, NY","shortTitle":"Guests of God","author":[{"family":"Bianchi","given":"Robert"}],"issued":{"date-parts":[["2004"]]}},"label":"page"},{"id":360,"uris":["http://zotero.org/users/1939618/items/SXW2WH5G"],"uri":["http://zotero.org/users/1939618/items/SXW2WH5G"],"itemData":{"id":360,"type":"book","title":"Mecca: A Literary History of the Muslim Holy Land","publisher":"Princeton University Press","publisher-place":"Princeton, New Jersey","number-of-pages":"521","source":"Google Books","event-place":"Princeton, New Jersey","abstract":"For the non-Muslim, Mecca is the most forbidden of Holy Cities--and yet, in many ways it is the best known. Muslim historians and geographers have studied it, and countless pilgrims and travelers--many of them European Christians in disguise--have left behind lively and well-publicized accounts of life in Mecca and its associated shrine-city of Medina, where the Prophet lies buried. The stories of all these figures, holy men and heathens alike, come together in this book to offer a remarkably revealing literary portrait of the city's traditions and urban life and of the surrounding area. Closely following the publication of F. E. Peters's The Hajj (Princeton, 1994), which describes the perilous pilgrimage itself from the travelers' perspectives, this collection of writings and commentary completes the historical travelogue. The accounts begin with the Muslims themselves, in the patriarchal age of Abraham and Ishmael, and trace the sometimes glorious and sometimes sad history of Islam's central shrine down to the last Grand Sharif of Mecca, Husayn ibn Ali, whose fragile kingdom was overtaken by the House of Sa`ud in 1926. Because of chronic flooding and constant rebuilding, there is little or no material evidence for the early history of Islam's holy cities. By assembling, analyzing, and fashioning these literary accounts of Mecca, however, Peters supplies us with a vivid sense of place and human interaction, much as he did in his widely acclaimed Jerusalem (Princeton, 1985).Originally published in 1994.The Princeton Legacy Library uses the latest print-on-demand technology to again make available previously out-of-print books from the distinguished backlist of Princeton University Press. These editions preserve the original texts of these important books while presenting them in durable paperback and hardcover editions. The goal of the Princeton Legacy Library is to vastly increase access to the rich scholarly heritage found in the thousands of books published by Princeton University Press since its founding in 1905.","ISBN":"978-1-4008-8736-1","note":"Google-Books-ID: E50rDgAAQBAJ","shortTitle":"Mecca","language":"en","author":[{"family":"Peters","given":"Francis E."}],"issued":{"date-parts":[["1994"]]}},"label":"page"}],"schema":"https://github.com/citation-style-language/schema/raw/master/csl-citation.json"} </w:instrText>
      </w:r>
      <w:r w:rsidR="00F75B1B" w:rsidRPr="00CF31E0">
        <w:rPr>
          <w:lang w:val="en-US"/>
        </w:rPr>
        <w:fldChar w:fldCharType="separate"/>
      </w:r>
      <w:r w:rsidR="00CD34CA" w:rsidRPr="00CF31E0">
        <w:rPr>
          <w:noProof/>
          <w:lang w:val="en-US"/>
        </w:rPr>
        <w:t>(Bianchi, 2004; Peters, 1994)</w:t>
      </w:r>
      <w:r w:rsidR="00F75B1B" w:rsidRPr="00CF31E0">
        <w:rPr>
          <w:lang w:val="en-US"/>
        </w:rPr>
        <w:fldChar w:fldCharType="end"/>
      </w:r>
      <w:r w:rsidR="00F75B1B" w:rsidRPr="00CF31E0">
        <w:rPr>
          <w:lang w:val="en-US"/>
        </w:rPr>
        <w:t xml:space="preserve">. </w:t>
      </w:r>
    </w:p>
    <w:p w14:paraId="3A6C8E27" w14:textId="1695A657" w:rsidR="00F75B1B" w:rsidRPr="00CF31E0" w:rsidRDefault="00F75B1B" w:rsidP="00603CB7">
      <w:pPr>
        <w:pStyle w:val="Paragraph"/>
        <w:rPr>
          <w:lang w:val="en-US"/>
        </w:rPr>
      </w:pPr>
      <w:r w:rsidRPr="00CF31E0">
        <w:rPr>
          <w:lang w:val="en-US"/>
        </w:rPr>
        <w:t>The Hajj duty is confirmed as compulsory in the Qur’an and its benefits have also been mentioned in the Qur’an:</w:t>
      </w:r>
    </w:p>
    <w:p w14:paraId="2AA36570" w14:textId="30C9AEA6" w:rsidR="00F75B1B" w:rsidRPr="00CF31E0" w:rsidRDefault="00192A84" w:rsidP="00603CB7">
      <w:pPr>
        <w:pStyle w:val="Extract"/>
      </w:pPr>
      <w:r w:rsidRPr="00CF31E0">
        <w:t>And proclaim to the people the Hajj [pilgrimage]; they will come to you on foot and on every lean camel; they will come from every distant pass - That they may witness benefits for themselves and mention the name of Allah on known days over what He has provided for them of [sacrificial] animals. So eat of them and feed the miserable and poor</w:t>
      </w:r>
      <w:r w:rsidR="00F75B1B" w:rsidRPr="00CF31E0">
        <w:t xml:space="preserve"> </w:t>
      </w:r>
      <w:r w:rsidR="00737199" w:rsidRPr="00CF31E0">
        <w:t>(Quran</w:t>
      </w:r>
      <w:r w:rsidR="00F75B1B" w:rsidRPr="00CF31E0">
        <w:t xml:space="preserve"> 22: 27</w:t>
      </w:r>
      <w:r w:rsidR="00E520C2" w:rsidRPr="00CF31E0">
        <w:t>–</w:t>
      </w:r>
      <w:r w:rsidR="00F75B1B" w:rsidRPr="00CF31E0">
        <w:t>28</w:t>
      </w:r>
      <w:r w:rsidR="00737199" w:rsidRPr="00CF31E0">
        <w:t>, translated by KSU electronic Moshaf project).</w:t>
      </w:r>
    </w:p>
    <w:p w14:paraId="2BB0BB25" w14:textId="4C0E8813" w:rsidR="008E5A3A" w:rsidRPr="00CF31E0" w:rsidRDefault="00B424A4" w:rsidP="00603CB7">
      <w:pPr>
        <w:pStyle w:val="Paragraph"/>
        <w:rPr>
          <w:lang w:val="en-US"/>
        </w:rPr>
      </w:pPr>
      <w:r w:rsidRPr="00CF31E0">
        <w:rPr>
          <w:lang w:val="en-US"/>
        </w:rPr>
        <w:t xml:space="preserve">The verse above </w:t>
      </w:r>
      <w:r w:rsidR="00F75B1B" w:rsidRPr="00CF31E0">
        <w:rPr>
          <w:lang w:val="en-US"/>
        </w:rPr>
        <w:t xml:space="preserve">implies that </w:t>
      </w:r>
      <w:r w:rsidR="007B1BD9" w:rsidRPr="00CF31E0">
        <w:rPr>
          <w:lang w:val="en-US"/>
        </w:rPr>
        <w:t xml:space="preserve">the </w:t>
      </w:r>
      <w:r w:rsidR="00F75B1B" w:rsidRPr="00CF31E0">
        <w:rPr>
          <w:lang w:val="en-US"/>
        </w:rPr>
        <w:t xml:space="preserve">Hajj has many benefits to Muslims. </w:t>
      </w:r>
      <w:r w:rsidRPr="00CF31E0">
        <w:rPr>
          <w:lang w:val="en-US"/>
        </w:rPr>
        <w:t>I will discuss some of the most significant benefits</w:t>
      </w:r>
      <w:r w:rsidR="00B2058D" w:rsidRPr="00CF31E0">
        <w:rPr>
          <w:lang w:val="en-US"/>
        </w:rPr>
        <w:t xml:space="preserve"> </w:t>
      </w:r>
      <w:r w:rsidR="00B10F92" w:rsidRPr="00CF31E0">
        <w:rPr>
          <w:lang w:val="en-US"/>
        </w:rPr>
        <w:t xml:space="preserve">of </w:t>
      </w:r>
      <w:r w:rsidR="00B2058D" w:rsidRPr="00CF31E0">
        <w:rPr>
          <w:lang w:val="en-US"/>
        </w:rPr>
        <w:t xml:space="preserve">Hajj to demonstrate how these benefits </w:t>
      </w:r>
      <w:r w:rsidR="00DA704B" w:rsidRPr="00CF31E0">
        <w:rPr>
          <w:lang w:val="en-US"/>
        </w:rPr>
        <w:t>encourage Muslims</w:t>
      </w:r>
      <w:r w:rsidRPr="00CF31E0">
        <w:rPr>
          <w:lang w:val="en-US"/>
        </w:rPr>
        <w:t xml:space="preserve"> around </w:t>
      </w:r>
      <w:r w:rsidR="00B2058D" w:rsidRPr="00CF31E0">
        <w:rPr>
          <w:lang w:val="en-US"/>
        </w:rPr>
        <w:t>the globe to</w:t>
      </w:r>
      <w:r w:rsidRPr="00CF31E0">
        <w:rPr>
          <w:lang w:val="en-US"/>
        </w:rPr>
        <w:t xml:space="preserve"> visit </w:t>
      </w:r>
      <w:r w:rsidR="00D30B2F">
        <w:rPr>
          <w:lang w:val="en-US"/>
        </w:rPr>
        <w:t>Makkah</w:t>
      </w:r>
      <w:r w:rsidRPr="00CF31E0">
        <w:rPr>
          <w:lang w:val="en-US"/>
        </w:rPr>
        <w:t xml:space="preserve"> and perform Hajj. </w:t>
      </w:r>
      <w:r w:rsidR="004B2752">
        <w:rPr>
          <w:lang w:val="en-US"/>
        </w:rPr>
        <w:t>S</w:t>
      </w:r>
      <w:r w:rsidRPr="00CF31E0">
        <w:rPr>
          <w:lang w:val="en-US"/>
        </w:rPr>
        <w:t>piritually</w:t>
      </w:r>
      <w:bookmarkStart w:id="24" w:name="_GoBack"/>
      <w:bookmarkEnd w:id="24"/>
      <w:r w:rsidRPr="00CF31E0">
        <w:rPr>
          <w:lang w:val="en-US"/>
        </w:rPr>
        <w:t xml:space="preserve">, </w:t>
      </w:r>
      <w:r w:rsidR="00DA704B" w:rsidRPr="00CF31E0">
        <w:rPr>
          <w:lang w:val="en-US"/>
        </w:rPr>
        <w:t>a</w:t>
      </w:r>
      <w:r w:rsidRPr="00CF31E0">
        <w:rPr>
          <w:lang w:val="en-US"/>
        </w:rPr>
        <w:t>ll sins are redeemed for those who perform the Hajj perfectly and with good morals</w:t>
      </w:r>
      <w:r w:rsidR="008E5A3A" w:rsidRPr="00CF31E0">
        <w:rPr>
          <w:lang w:val="en-US"/>
        </w:rPr>
        <w:t xml:space="preserve">. </w:t>
      </w:r>
      <w:r w:rsidR="00184B8D" w:rsidRPr="00CF31E0">
        <w:rPr>
          <w:rFonts w:eastAsia="Times New Roman"/>
        </w:rPr>
        <w:t xml:space="preserve">The Prophet said, </w:t>
      </w:r>
      <w:r w:rsidR="00B10F92" w:rsidRPr="00CF31E0">
        <w:rPr>
          <w:rFonts w:eastAsia="Times New Roman"/>
        </w:rPr>
        <w:t>“</w:t>
      </w:r>
      <w:r w:rsidR="00184B8D" w:rsidRPr="00CF31E0">
        <w:rPr>
          <w:rFonts w:eastAsia="Times New Roman"/>
        </w:rPr>
        <w:t>Whoever pe</w:t>
      </w:r>
      <w:r w:rsidR="007C5B2B" w:rsidRPr="00CF31E0">
        <w:rPr>
          <w:rFonts w:eastAsia="Times New Roman"/>
        </w:rPr>
        <w:t xml:space="preserve">rforms </w:t>
      </w:r>
      <w:r w:rsidR="007C5B2B" w:rsidRPr="00CF31E0">
        <w:rPr>
          <w:rFonts w:eastAsia="Times New Roman"/>
        </w:rPr>
        <w:lastRenderedPageBreak/>
        <w:t>Hajj for Allah's sake only</w:t>
      </w:r>
      <w:r w:rsidR="00184B8D" w:rsidRPr="00CF31E0">
        <w:rPr>
          <w:rFonts w:eastAsia="Times New Roman"/>
        </w:rPr>
        <w:t xml:space="preserve"> and does not have sexual relations with his wife, and does not do evil or sins</w:t>
      </w:r>
      <w:r w:rsidR="007C5B2B" w:rsidRPr="00CF31E0">
        <w:rPr>
          <w:rFonts w:eastAsia="Times New Roman"/>
        </w:rPr>
        <w:t>;</w:t>
      </w:r>
      <w:r w:rsidR="00184B8D" w:rsidRPr="00CF31E0">
        <w:rPr>
          <w:rFonts w:eastAsia="Times New Roman"/>
        </w:rPr>
        <w:t xml:space="preserve"> then he will return (after </w:t>
      </w:r>
      <w:r w:rsidR="00184B8D" w:rsidRPr="00CF31E0">
        <w:rPr>
          <w:rFonts w:eastAsia="Times New Roman"/>
          <w:i/>
          <w:iCs/>
        </w:rPr>
        <w:t>Hajj</w:t>
      </w:r>
      <w:r w:rsidR="00184B8D" w:rsidRPr="00CF31E0">
        <w:rPr>
          <w:rFonts w:eastAsia="Times New Roman"/>
        </w:rPr>
        <w:t xml:space="preserve"> free from all sins) as if he were born anew</w:t>
      </w:r>
      <w:r w:rsidR="00B10F92" w:rsidRPr="00CF31E0">
        <w:rPr>
          <w:rFonts w:eastAsia="Times New Roman"/>
        </w:rPr>
        <w:t xml:space="preserve">” </w:t>
      </w:r>
      <w:r w:rsidR="00C200BE" w:rsidRPr="00CF31E0">
        <w:rPr>
          <w:rFonts w:eastAsia="Times New Roman"/>
        </w:rPr>
        <w:fldChar w:fldCharType="begin"/>
      </w:r>
      <w:r w:rsidR="00CD34CA" w:rsidRPr="00CF31E0">
        <w:rPr>
          <w:rFonts w:eastAsia="Times New Roman"/>
        </w:rPr>
        <w:instrText xml:space="preserve"> ADDIN ZOTERO_ITEM CSL_CITATION {"citationID":"bZEqcyIY","properties":{"formattedCitation":"(Al-Bukhari, 1997, p. 300)","plainCitation":"(Al-Bukhari, 1997, p. 300)","dontUpdate":true,"noteIndex":0},"citationItems":[{"id":497,"uris":["http://zotero.org/users/1939618/items/DBEHNW22"],"uri":["http://zotero.org/users/1939618/items/DBEHNW22"],"itemData":{"id":497,"type":"chapter","container-title":"The Translation of the Meanings of Sahih Al-Bukhari – Arabic-English (9 Volumes)","publisher":"DARUSSALAM","publisher-place":"Riyadh-Saudi Arabia","volume":"1-9","event-place":"Riyadh-Saudi Arabia","author":[{"family":"Al-Bukhari","given":"Muhammed Ibn Ismaiel"}],"translator":[{"family":"Khan","given":"Muhammad Muhsin"}],"editor":[{"family":"Al-Hilali","given":"Taqi-ud-Din"},{"family":"Al-Ubaydi","given":"Nasif"},{"family":"Nasr","given":"Mahmud Hamad"},{"family":"Al-Misri","given":"Muhammad Amin"}],"issued":{"date-parts":[["1997"]]}},"locator":"300","label":"page"}],"schema":"https://github.com/citation-style-language/schema/raw/master/csl-citation.json"} </w:instrText>
      </w:r>
      <w:r w:rsidR="00C200BE" w:rsidRPr="00CF31E0">
        <w:rPr>
          <w:rFonts w:eastAsia="Times New Roman"/>
        </w:rPr>
        <w:fldChar w:fldCharType="separate"/>
      </w:r>
      <w:r w:rsidR="008E5A3A" w:rsidRPr="00CF31E0">
        <w:rPr>
          <w:rFonts w:eastAsia="Times New Roman"/>
          <w:noProof/>
        </w:rPr>
        <w:t>(Al-Bukhari, 1997, p. 346)</w:t>
      </w:r>
      <w:r w:rsidR="00C200BE" w:rsidRPr="00CF31E0">
        <w:rPr>
          <w:rFonts w:eastAsia="Times New Roman"/>
        </w:rPr>
        <w:fldChar w:fldCharType="end"/>
      </w:r>
      <w:r w:rsidR="008E5A3A" w:rsidRPr="00CF31E0">
        <w:rPr>
          <w:rFonts w:eastAsia="Times New Roman"/>
        </w:rPr>
        <w:t xml:space="preserve">. </w:t>
      </w:r>
      <w:r w:rsidR="008E5A3A" w:rsidRPr="00CF31E0">
        <w:rPr>
          <w:lang w:val="en-US"/>
        </w:rPr>
        <w:t xml:space="preserve">Accordingly, Muslims try to be more patient and tolerant, committing no sins and behaving properly </w:t>
      </w:r>
      <w:r w:rsidR="00B2058D" w:rsidRPr="00CF31E0">
        <w:rPr>
          <w:lang w:val="en-US"/>
        </w:rPr>
        <w:fldChar w:fldCharType="begin"/>
      </w:r>
      <w:r w:rsidR="00CD34CA" w:rsidRPr="00CF31E0">
        <w:rPr>
          <w:lang w:val="en-US"/>
        </w:rPr>
        <w:instrText xml:space="preserve"> ADDIN ZOTERO_ITEM CSL_CITATION {"citationID":"rBZoY1zO","properties":{"formattedCitation":"(al-Ken, 1995; Bianchi, 2004)","plainCitation":"(al-Ken, 1995; Bianchi, 2004)","noteIndex":0},"citationItems":[{"id":190,"uris":["http://zotero.org/users/1939618/items/9MG22DNA"],"uri":["http://zotero.org/users/1939618/items/9MG22DNA"],"itemData":{"id":190,"type":"thesis","title":"The Hajj: past, present and future: the communication aspect","publisher":"University of Leeds","source":"Google Scholar","URL":"http://ethos.bl.uk/OrderDetails.do?uin=uk.bl.ethos.341805","shortTitle":"The Hajj","author":[{"family":"Ken","given":"Akeel Ibrahim","non-dropping-particle":"al-"}],"issued":{"date-parts":[["1995"]]},"accessed":{"date-parts":[["2015",12,6]]}},"label":"page"},{"id":364,"uris":["http://zotero.org/users/1939618/items/MPTGYXG9"],"uri":["http://zotero.org/users/1939618/items/MPTGYXG9"],"itemData":{"id":364,"type":"book","title":"Guests of God: pilgrimage and politics in the Islamic world","publisher":"Oxford University Press","publisher-place":"New York, NY","event-place":"New York, NY","shortTitle":"Guests of God","author":[{"family":"Bianchi","given":"Robert"}],"issued":{"date-parts":[["2004"]]}},"label":"page"}],"schema":"https://github.com/citation-style-language/schema/raw/master/csl-citation.json"} </w:instrText>
      </w:r>
      <w:r w:rsidR="00B2058D" w:rsidRPr="00CF31E0">
        <w:rPr>
          <w:lang w:val="en-US"/>
        </w:rPr>
        <w:fldChar w:fldCharType="separate"/>
      </w:r>
      <w:r w:rsidR="007B3CDE" w:rsidRPr="00CF31E0">
        <w:rPr>
          <w:noProof/>
          <w:lang w:val="en-US"/>
        </w:rPr>
        <w:t>(A</w:t>
      </w:r>
      <w:r w:rsidR="00B2058D" w:rsidRPr="00CF31E0">
        <w:rPr>
          <w:noProof/>
          <w:lang w:val="en-US"/>
        </w:rPr>
        <w:t>l-Ken, 1995; Bianchi, 2004)</w:t>
      </w:r>
      <w:r w:rsidR="00B2058D" w:rsidRPr="00CF31E0">
        <w:rPr>
          <w:lang w:val="en-US"/>
        </w:rPr>
        <w:fldChar w:fldCharType="end"/>
      </w:r>
      <w:r w:rsidR="00B2058D" w:rsidRPr="00CF31E0">
        <w:rPr>
          <w:lang w:val="en-US"/>
        </w:rPr>
        <w:t>.</w:t>
      </w:r>
    </w:p>
    <w:p w14:paraId="4C920719" w14:textId="2D84436C" w:rsidR="00F75B1B" w:rsidRPr="00CF31E0" w:rsidRDefault="00281ACB" w:rsidP="00603CB7">
      <w:pPr>
        <w:pStyle w:val="Paragraph"/>
        <w:rPr>
          <w:lang w:val="en-US"/>
        </w:rPr>
      </w:pPr>
      <w:r>
        <w:rPr>
          <w:lang w:val="en-US"/>
        </w:rPr>
        <w:t>B</w:t>
      </w:r>
      <w:r w:rsidR="008E5A3A" w:rsidRPr="00CF31E0">
        <w:rPr>
          <w:lang w:val="en-US"/>
        </w:rPr>
        <w:t>ehaviorally, t</w:t>
      </w:r>
      <w:r w:rsidR="00F75B1B" w:rsidRPr="00CF31E0">
        <w:rPr>
          <w:lang w:val="en-US"/>
        </w:rPr>
        <w:t>he Hajj represents the largest annual peace conference, where millions of pilgrims meet with each other. They are asked to behave in harmony and peace with each other because, as previously mentioned, if they behave properly and restrain themselves from committing sins, then the reward is that all their sins will be redeemed and forgiven</w:t>
      </w:r>
      <w:r w:rsidR="0052375A" w:rsidRPr="00CF31E0">
        <w:rPr>
          <w:lang w:val="en-US"/>
        </w:rPr>
        <w:t xml:space="preserve"> </w:t>
      </w:r>
      <w:r w:rsidR="00F75B1B" w:rsidRPr="00CF31E0">
        <w:rPr>
          <w:lang w:val="en-US"/>
        </w:rPr>
        <w:fldChar w:fldCharType="begin"/>
      </w:r>
      <w:r w:rsidR="00CD34CA" w:rsidRPr="00CF31E0">
        <w:rPr>
          <w:lang w:val="en-US"/>
        </w:rPr>
        <w:instrText xml:space="preserve"> ADDIN ZOTERO_ITEM CSL_CITATION {"citationID":"wy0WxY9r","properties":{"formattedCitation":"(Bianchi, 2004)","plainCitation":"(Bianchi, 2004)","noteIndex":0},"citationItems":[{"id":364,"uris":["http://zotero.org/users/1939618/items/MPTGYXG9"],"uri":["http://zotero.org/users/1939618/items/MPTGYXG9"],"itemData":{"id":364,"type":"book","title":"Guests of God: pilgrimage and politics in the Islamic world","publisher":"Oxford University Press","publisher-place":"New York, NY","event-place":"New York, NY","shortTitle":"Guests of God","author":[{"family":"Bianchi","given":"Robert"}],"issued":{"date-parts":[["2004"]]}}}],"schema":"https://github.com/citation-style-language/schema/raw/master/csl-citation.json"} </w:instrText>
      </w:r>
      <w:r w:rsidR="00F75B1B" w:rsidRPr="00CF31E0">
        <w:rPr>
          <w:lang w:val="en-US"/>
        </w:rPr>
        <w:fldChar w:fldCharType="separate"/>
      </w:r>
      <w:r w:rsidR="00F75B1B" w:rsidRPr="00CF31E0">
        <w:rPr>
          <w:noProof/>
          <w:lang w:val="en-US"/>
        </w:rPr>
        <w:t>(Bianchi, 2004)</w:t>
      </w:r>
      <w:r w:rsidR="00F75B1B" w:rsidRPr="00CF31E0">
        <w:rPr>
          <w:lang w:val="en-US"/>
        </w:rPr>
        <w:fldChar w:fldCharType="end"/>
      </w:r>
      <w:r w:rsidR="00F75B1B" w:rsidRPr="00CF31E0">
        <w:rPr>
          <w:lang w:val="en-US"/>
        </w:rPr>
        <w:t>. Such a reward is an extremely valuable one, each pilgrim struggles to achieve it by behaving peacefully with other pilgrims in the days of Hajj. Pilgrims are also asked by Allah to treat the environment well; that is, the environment is protected and it is strictly forbidden to fell a tree or kill an animal in the area of the holy mosque</w:t>
      </w:r>
      <w:r w:rsidR="00016598" w:rsidRPr="00CF31E0">
        <w:rPr>
          <w:lang w:val="en-US"/>
        </w:rPr>
        <w:t xml:space="preserve"> </w:t>
      </w:r>
      <w:r w:rsidR="00F75B1B" w:rsidRPr="00CF31E0">
        <w:rPr>
          <w:lang w:val="en-US"/>
        </w:rPr>
        <w:fldChar w:fldCharType="begin"/>
      </w:r>
      <w:r w:rsidR="00F75B1B" w:rsidRPr="00CF31E0">
        <w:rPr>
          <w:lang w:val="en-US"/>
        </w:rPr>
        <w:instrText xml:space="preserve"> ADDIN ZOTERO_ITEM CSL_CITATION {"citationID":"bVH4VCPt","properties":{"formattedCitation":"(al-Ken, 1995; Munt, 2014)","plainCitation":"(al-Ken, 1995; Munt, 2014)","noteIndex":0},"citationItems":[{"id":190,"uris":["http://zotero.org/users/1939618/items/9MG22DNA"],"uri":["http://zotero.org/users/1939618/items/9MG22DNA"],"itemData":{"id":190,"type":"thesis","title":"The Hajj: past, present and future: the communication aspect","publisher":"University of Leeds","source":"Google Scholar","URL":"http://ethos.bl.uk/OrderDetails.do?uin=uk.bl.ethos.341805","shortTitle":"The Hajj","author":[{"family":"Ken","given":"Akeel Ibrahim","non-dropping-particle":"al-"}],"issued":{"date-parts":[["1995"]]},"accessed":{"date-parts":[["2015",12,6]]}},"label":"page"},{"id":366,"uris":["http://zotero.org/users/1939618/items/WAA9WGYX"],"uri":["http://zotero.org/users/1939618/items/WAA9WGYX"],"itemData":{"id":366,"type":"book","title":"The holy city of Medina: sacred space in early Islamic Arabia","collection-title":"Cambridge studies in Islamic civilization","publisher":"Cambridge University Press","publisher-place":"Cambridge","source":"find.shef.ac.uk","event-place":"Cambridge","URL":"https://doi.org/10.1017/CBO9781107323773","ISBN":"978-1-107-32377-3","shortTitle":"The holy city of Medina","language":"eng","author":[{"family":"Munt","given":"Harry"}],"issued":{"date-parts":[["2014"]]},"accessed":{"date-parts":[["2018",4,2]]}},"label":"page"}],"schema":"https://github.com/citation-style-language/schema/raw/master/csl-citation.json"} </w:instrText>
      </w:r>
      <w:r w:rsidR="00F75B1B" w:rsidRPr="00CF31E0">
        <w:rPr>
          <w:lang w:val="en-US"/>
        </w:rPr>
        <w:fldChar w:fldCharType="separate"/>
      </w:r>
      <w:r w:rsidR="007B3CDE" w:rsidRPr="00CF31E0">
        <w:rPr>
          <w:noProof/>
          <w:lang w:val="en-US"/>
        </w:rPr>
        <w:t>(A</w:t>
      </w:r>
      <w:r w:rsidR="00F75B1B" w:rsidRPr="00CF31E0">
        <w:rPr>
          <w:noProof/>
          <w:lang w:val="en-US"/>
        </w:rPr>
        <w:t>l-Ken, 1995; Munt, 2014)</w:t>
      </w:r>
      <w:r w:rsidR="00F75B1B" w:rsidRPr="00CF31E0">
        <w:rPr>
          <w:lang w:val="en-US"/>
        </w:rPr>
        <w:fldChar w:fldCharType="end"/>
      </w:r>
      <w:r w:rsidR="008E5A3A" w:rsidRPr="00CF31E0">
        <w:rPr>
          <w:lang w:val="en-US"/>
        </w:rPr>
        <w:t>.</w:t>
      </w:r>
    </w:p>
    <w:p w14:paraId="192733A9" w14:textId="20CEE6C5" w:rsidR="00F75B1B" w:rsidRPr="00CF31E0" w:rsidRDefault="008E5A3A" w:rsidP="00603CB7">
      <w:pPr>
        <w:pStyle w:val="Paragraph"/>
        <w:rPr>
          <w:lang w:val="en-US"/>
        </w:rPr>
      </w:pPr>
      <w:r w:rsidRPr="00CF31E0">
        <w:rPr>
          <w:lang w:val="en-US"/>
        </w:rPr>
        <w:t xml:space="preserve">Socially, </w:t>
      </w:r>
      <w:r w:rsidR="00F75B1B" w:rsidRPr="00CF31E0">
        <w:rPr>
          <w:lang w:val="en-US"/>
        </w:rPr>
        <w:fldChar w:fldCharType="begin"/>
      </w:r>
      <w:r w:rsidR="00CD34CA" w:rsidRPr="00CF31E0">
        <w:rPr>
          <w:lang w:val="en-US"/>
        </w:rPr>
        <w:instrText xml:space="preserve"> ADDIN ZOTERO_ITEM CSL_CITATION {"citationID":"QZIDbDwe","properties":{"formattedCitation":"(Bianchi, 2013, p. 33)","plainCitation":"(Bianchi, 2013, p. 33)","dontUpdate":true,"noteIndex":0},"citationItems":[{"id":205,"uris":["http://zotero.org/users/1939618/items/RUCZSXCZ"],"uri":["http://zotero.org/users/1939618/items/RUCZSXCZ"],"itemData":{"id":205,"type":"book","title":"Islamic Globalization: Pilgrimage, Capitalism, Democracy, and Diplomacy","publisher":"World scientific publishing","publisher-place":"Singapore","source":"Google Scholar","event-place":"Singapore","URL":"https://books.google.co.uk/books?hl=en&amp;lr=&amp;id=1zG7CgAAQBAJ&amp;oi=fnd&amp;pg=PR7&amp;dq=travel+and+travellers,+travel+for+religious+purposes+by+Robert+R.+Bianchi+from+the+oxford+encyclopedia+of+the+modern+islamic+world&amp;ots=zwQsJU0KzT&amp;sig=oftqaWKgjI6PQIASM7uORIKTxyg","shortTitle":"Islamic Globalization","author":[{"family":"Bianchi","given":"Robert"}],"issued":{"date-parts":[["2013"]]},"accessed":{"date-parts":[["2016",2,1]]}},"locator":"33","label":"page"}],"schema":"https://github.com/citation-style-language/schema/raw/master/csl-citation.json"} </w:instrText>
      </w:r>
      <w:r w:rsidR="00F75B1B" w:rsidRPr="00CF31E0">
        <w:rPr>
          <w:lang w:val="en-US"/>
        </w:rPr>
        <w:fldChar w:fldCharType="separate"/>
      </w:r>
      <w:r w:rsidR="00F75B1B" w:rsidRPr="00CF31E0">
        <w:rPr>
          <w:noProof/>
          <w:lang w:val="en-US"/>
        </w:rPr>
        <w:t xml:space="preserve">Bianchi </w:t>
      </w:r>
      <w:r w:rsidR="004B2752">
        <w:rPr>
          <w:noProof/>
          <w:lang w:val="en-US"/>
        </w:rPr>
        <w:t>(</w:t>
      </w:r>
      <w:r w:rsidR="00F75B1B" w:rsidRPr="00CF31E0">
        <w:rPr>
          <w:noProof/>
          <w:lang w:val="en-US"/>
        </w:rPr>
        <w:t>2013, p. 33)</w:t>
      </w:r>
      <w:r w:rsidR="00F75B1B" w:rsidRPr="00CF31E0">
        <w:rPr>
          <w:lang w:val="en-US"/>
        </w:rPr>
        <w:fldChar w:fldCharType="end"/>
      </w:r>
      <w:r w:rsidR="00F75B1B" w:rsidRPr="00CF31E0">
        <w:rPr>
          <w:lang w:val="en-US"/>
        </w:rPr>
        <w:t xml:space="preserve"> argues “beyond its eternal role as Islam’s most profound religious experience, the Hajj now reflects and energizes powerful forces of social revolution, global community, and poetic imagination”. Hence, one of the most distinguishing aspects of Hajj is the way in which people gather together. Pilgrims from around the globe gather in </w:t>
      </w:r>
      <w:r w:rsidR="00D30B2F">
        <w:rPr>
          <w:lang w:val="en-US"/>
        </w:rPr>
        <w:t>Makkah</w:t>
      </w:r>
      <w:r w:rsidR="00F75B1B" w:rsidRPr="00CF31E0">
        <w:rPr>
          <w:lang w:val="en-US"/>
        </w:rPr>
        <w:t xml:space="preserve"> and start performing </w:t>
      </w:r>
      <w:r w:rsidR="007B1BD9" w:rsidRPr="00CF31E0">
        <w:rPr>
          <w:lang w:val="en-US"/>
        </w:rPr>
        <w:t xml:space="preserve">the </w:t>
      </w:r>
      <w:r w:rsidR="00F75B1B" w:rsidRPr="00CF31E0">
        <w:rPr>
          <w:lang w:val="en-US"/>
        </w:rPr>
        <w:t xml:space="preserve">Hajj ceremonies communally </w:t>
      </w:r>
      <w:r w:rsidR="00F75B1B" w:rsidRPr="00CF31E0">
        <w:rPr>
          <w:lang w:val="en-US"/>
        </w:rPr>
        <w:fldChar w:fldCharType="begin"/>
      </w:r>
      <w:r w:rsidR="00F75B1B" w:rsidRPr="00CF31E0">
        <w:rPr>
          <w:lang w:val="en-US"/>
        </w:rPr>
        <w:instrText xml:space="preserve"> ADDIN ZOTERO_ITEM CSL_CITATION {"citationID":"gSfjSXfp","properties":{"formattedCitation":"(Taylor, 2011, p. 268)","plainCitation":"(Taylor, 2011, p. 268)","noteIndex":0},"citationItems":[{"id":187,"uris":["http://zotero.org/users/1939618/items/ZQ67MV7A"],"uri":["http://zotero.org/users/1939618/items/ZQ67MV7A"],"itemData":{"id":187,"type":"article-journal","title":"Holy Movement and Holy Place: Christian Pilgrimage and the Hajj","container-title":"Dialog","page":"262–270","volume":"50","issue":"3","source":"Google Scholar","shortTitle":"Holy Movement and Holy Place","author":[{"family":"Taylor","given":"Robin M."}],"issued":{"date-parts":[["2011"]]}},"locator":"268","label":"page"}],"schema":"https://github.com/citation-style-language/schema/raw/master/csl-citation.json"} </w:instrText>
      </w:r>
      <w:r w:rsidR="00F75B1B" w:rsidRPr="00CF31E0">
        <w:rPr>
          <w:lang w:val="en-US"/>
        </w:rPr>
        <w:fldChar w:fldCharType="separate"/>
      </w:r>
      <w:r w:rsidR="00F75B1B" w:rsidRPr="00CF31E0">
        <w:rPr>
          <w:noProof/>
          <w:lang w:val="en-US"/>
        </w:rPr>
        <w:t>(Taylor, 2011, p. 268)</w:t>
      </w:r>
      <w:r w:rsidR="00F75B1B" w:rsidRPr="00CF31E0">
        <w:rPr>
          <w:lang w:val="en-US"/>
        </w:rPr>
        <w:fldChar w:fldCharType="end"/>
      </w:r>
      <w:r w:rsidR="00F75B1B" w:rsidRPr="00CF31E0">
        <w:rPr>
          <w:lang w:val="en-US"/>
        </w:rPr>
        <w:t xml:space="preserve">. In </w:t>
      </w:r>
      <w:r w:rsidR="007B1BD9" w:rsidRPr="00CF31E0">
        <w:rPr>
          <w:lang w:val="en-US"/>
        </w:rPr>
        <w:t xml:space="preserve">the </w:t>
      </w:r>
      <w:r w:rsidR="00F75B1B" w:rsidRPr="00CF31E0">
        <w:rPr>
          <w:lang w:val="en-US"/>
        </w:rPr>
        <w:t xml:space="preserve">Hajj, Muslims witness equality and human brotherhood. They wear the same clothes </w:t>
      </w:r>
      <w:r w:rsidR="00F75B1B" w:rsidRPr="00CF31E0">
        <w:rPr>
          <w:lang w:val="en-US"/>
        </w:rPr>
        <w:fldChar w:fldCharType="begin"/>
      </w:r>
      <w:r w:rsidR="00CD34CA" w:rsidRPr="00CF31E0">
        <w:rPr>
          <w:lang w:val="en-US"/>
        </w:rPr>
        <w:instrText xml:space="preserve"> ADDIN ZOTERO_ITEM CSL_CITATION {"citationID":"PbHq2TXo","properties":{"formattedCitation":"(Bianchi, 2004)","plainCitation":"(Bianchi, 2004)","dontUpdate":true,"noteIndex":0},"citationItems":[{"id":364,"uris":["http://zotero.org/users/1939618/items/MPTGYXG9"],"uri":["http://zotero.org/users/1939618/items/MPTGYXG9"],"itemData":{"id":364,"type":"book","title":"Guests of God: pilgrimage and politics in the Islamic world","publisher":"Oxford University Press","publisher-place":"New York, NY","event-place":"New York, NY","shortTitle":"Guests of God","author":[{"family":"Bianchi","given":"Robert"}],"issued":{"date-parts":[["2004"]]}}}],"schema":"https://github.com/citation-style-language/schema/raw/master/csl-citation.json"} </w:instrText>
      </w:r>
      <w:r w:rsidR="00F75B1B" w:rsidRPr="00CF31E0">
        <w:rPr>
          <w:lang w:val="en-US"/>
        </w:rPr>
        <w:fldChar w:fldCharType="separate"/>
      </w:r>
      <w:r w:rsidR="00F75B1B" w:rsidRPr="00CF31E0">
        <w:rPr>
          <w:noProof/>
          <w:lang w:val="en-US"/>
        </w:rPr>
        <w:t>(Bianchi, 2004)</w:t>
      </w:r>
      <w:r w:rsidR="00F75B1B" w:rsidRPr="00CF31E0">
        <w:rPr>
          <w:lang w:val="en-US"/>
        </w:rPr>
        <w:fldChar w:fldCharType="end"/>
      </w:r>
      <w:r w:rsidR="00F75B1B" w:rsidRPr="00CF31E0">
        <w:rPr>
          <w:lang w:val="en-US"/>
        </w:rPr>
        <w:t>. All people, black or white, Arabs or non-Arabs, Turks or Hindis, are all the same; that is, people from many different nations under one religion perform the same ceremonies communally and wear the same clothes</w:t>
      </w:r>
      <w:r w:rsidR="00D62E1E" w:rsidRPr="00CF31E0">
        <w:rPr>
          <w:lang w:val="en-US"/>
        </w:rPr>
        <w:t xml:space="preserve"> </w:t>
      </w:r>
      <w:r w:rsidR="00F75B1B" w:rsidRPr="00CF31E0">
        <w:rPr>
          <w:lang w:val="en-US"/>
        </w:rPr>
        <w:fldChar w:fldCharType="begin"/>
      </w:r>
      <w:r w:rsidR="00CD34CA" w:rsidRPr="00CF31E0">
        <w:rPr>
          <w:lang w:val="en-US"/>
        </w:rPr>
        <w:instrText xml:space="preserve"> ADDIN ZOTERO_ITEM CSL_CITATION {"citationID":"FEjAMcFB","properties":{"formattedCitation":"(Bianchi, 2004; Tagliacozzo &amp; Toorawa, 2016)","plainCitation":"(Bianchi, 2004; Tagliacozzo &amp; Toorawa, 2016)","dontUpdate":true,"noteIndex":0},"citationItems":[{"id":364,"uris":["http://zotero.org/users/1939618/items/MPTGYXG9"],"uri":["http://zotero.org/users/1939618/items/MPTGYXG9"],"itemData":{"id":364,"type":"book","title":"Guests of God: pilgrimage and politics in the Islamic world","publisher":"Oxford University Press","publisher-place":"New York, NY","event-place":"New York, NY","shortTitle":"Guests of God","author":[{"family":"Bianchi","given":"Robert"}],"issued":{"date-parts":[["2004"]]}},"label":"page"},{"id":367,"uris":["http://zotero.org/users/1939618/items/VTLWJHCV"],"uri":["http://zotero.org/users/1939618/items/VTLWJHCV"],"itemData":{"id":367,"type":"book","title":"The Hajj: pilgrimage in Islam","publisher":"Cambridge University Press","publisher-place":"Cambridge","source":"find.shef.ac.uk","event-place":"Cambridge","abstract":"Machine generated contents note: Introduction Eric Tagliacozzo and Shawkat Toorawa; 1. Pilgrimage in pre-Islamic Arabia and late Antiquity Harry Munt; 2. Why Mecca? Abraham and the Hajj in the Islamic tradition Fareeha Khan; 3. The early Hajj, seventh-eighth centuries CE Travis Zadeh; 4. Women and the Hajj Asma Sayeed; 5. Hajj by land Benjamin C. Brower; 6. Hajj by sea Eric Tagliacozzo; 7. Hajj by air Robert Bianchi; 8. Economics: agents, pilgrims, and profits on the Hajj Sylvia Chiffoleau; 9. The pilgrimage to Mecca and international health regulations Valeska Huber; 10. The Saudis as managers of the Hajj Saud al-Sarhan; 11. Performing the Hajj Shawkat Toorawa; 12. Decoding the Hajj in cyberspace Gary R. Bunt; 13. A pilgrim's complaint: recent accounts of the Hajj Michael Wolfe; 14. Visualizing the Hajj: imagining a sacred landscape past and present Juan Campo., Every year hundreds of thousands of pilgrims from all over the world converge on Mecca and its precincts to perform the rituals associated with the Hajj and have been doing so since the seventh century. In this volume, scholars from a range of fields - including history, religion, anthropology, and literature - together tell the story of the Hajj and explain its significance as one of the key events in the Muslim religious calendar. By outlining the parameters of the Hajj from its beginnings to the present day, the contributors have produced a global study that takes in the vast geographies of belief in the world of Islam. This volume pays attention to the diverse aspects of the Hajj, as lived every year by hundreds of millions of Muslims, touching on its rituals, its regional forms, the role of gender, its representation in art, and its organization on a global scale.","URL":"https://doi.org/10.1017/CBO9781139343794","ISBN":"978-1-139-34379-4","shortTitle":"The Hajj","language":"eng","author":[{"family":"Tagliacozzo","given":"Eric"},{"family":"Toorawa","given":"Shawkat"}],"issued":{"date-parts":[["2016"]]},"accessed":{"date-parts":[["2018",4,2]]}},"label":"page"}],"schema":"https://github.com/citation-style-language/schema/raw/master/csl-citation.json"} </w:instrText>
      </w:r>
      <w:r w:rsidR="00F75B1B" w:rsidRPr="00CF31E0">
        <w:rPr>
          <w:lang w:val="en-US"/>
        </w:rPr>
        <w:fldChar w:fldCharType="separate"/>
      </w:r>
      <w:r w:rsidR="00F75B1B" w:rsidRPr="00CF31E0">
        <w:rPr>
          <w:noProof/>
          <w:lang w:val="en-US"/>
        </w:rPr>
        <w:t>(Bianchi, 2</w:t>
      </w:r>
      <w:r w:rsidR="00E44A3C" w:rsidRPr="00CF31E0">
        <w:rPr>
          <w:noProof/>
          <w:lang w:val="en-US"/>
        </w:rPr>
        <w:t>004; Tagliacozzo &amp; Toorawa, 2015</w:t>
      </w:r>
      <w:r w:rsidR="00F75B1B" w:rsidRPr="00CF31E0">
        <w:rPr>
          <w:noProof/>
          <w:lang w:val="en-US"/>
        </w:rPr>
        <w:t>)</w:t>
      </w:r>
      <w:r w:rsidR="00F75B1B" w:rsidRPr="00CF31E0">
        <w:rPr>
          <w:lang w:val="en-US"/>
        </w:rPr>
        <w:fldChar w:fldCharType="end"/>
      </w:r>
      <w:r w:rsidR="00F75B1B" w:rsidRPr="00CF31E0">
        <w:rPr>
          <w:lang w:val="en-US"/>
        </w:rPr>
        <w:t xml:space="preserve">. Consequently, they do not feel any regional, social or ethnic differences. They meet each other and discuss their news and affairs until they get acquainted with each other. Moreover, such a communal focus gives the pilgrims “an opportunity to engage with fellow Muslims and to see the faith as encompassing one brotherhood and sisterhood of all believers” </w:t>
      </w:r>
      <w:r w:rsidR="00F75B1B" w:rsidRPr="00CF31E0">
        <w:rPr>
          <w:lang w:val="en-US"/>
        </w:rPr>
        <w:fldChar w:fldCharType="begin"/>
      </w:r>
      <w:r w:rsidR="00F75B1B" w:rsidRPr="00CF31E0">
        <w:rPr>
          <w:lang w:val="en-US"/>
        </w:rPr>
        <w:instrText xml:space="preserve"> ADDIN ZOTERO_ITEM CSL_CITATION {"citationID":"u1tHwzsr","properties":{"formattedCitation":"(Taylor, 2011, p. 267)","plainCitation":"(Taylor, 2011, p. 267)","noteIndex":0},"citationItems":[{"id":187,"uris":["http://zotero.org/users/1939618/items/ZQ67MV7A"],"uri":["http://zotero.org/users/1939618/items/ZQ67MV7A"],"itemData":{"id":187,"type":"article-journal","title":"Holy Movement and Holy Place: Christian Pilgrimage and the Hajj","container-title":"Dialog","page":"262–270","volume":"50","issue":"3","source":"Google Scholar","shortTitle":"Holy Movement and Holy Place","author":[{"family":"Taylor","given":"Robin M."}],"issued":{"date-parts":[["2011"]]}},"locator":"267","label":"page"}],"schema":"https://github.com/citation-style-language/schema/raw/master/csl-citation.json"} </w:instrText>
      </w:r>
      <w:r w:rsidR="00F75B1B" w:rsidRPr="00CF31E0">
        <w:rPr>
          <w:lang w:val="en-US"/>
        </w:rPr>
        <w:fldChar w:fldCharType="separate"/>
      </w:r>
      <w:r w:rsidR="00F75B1B" w:rsidRPr="00CF31E0">
        <w:rPr>
          <w:noProof/>
          <w:lang w:val="en-US"/>
        </w:rPr>
        <w:t>(Taylor, 2011, p. 267)</w:t>
      </w:r>
      <w:r w:rsidR="00F75B1B" w:rsidRPr="00CF31E0">
        <w:rPr>
          <w:lang w:val="en-US"/>
        </w:rPr>
        <w:fldChar w:fldCharType="end"/>
      </w:r>
      <w:r w:rsidR="00F75B1B" w:rsidRPr="00CF31E0">
        <w:rPr>
          <w:lang w:val="en-US"/>
        </w:rPr>
        <w:t>.</w:t>
      </w:r>
    </w:p>
    <w:p w14:paraId="59EBDA35" w14:textId="596CDA82" w:rsidR="00F75B1B" w:rsidRPr="00CF31E0" w:rsidRDefault="00F75B1B" w:rsidP="00603CB7">
      <w:pPr>
        <w:pStyle w:val="Paragraph"/>
        <w:rPr>
          <w:lang w:val="en-US"/>
        </w:rPr>
      </w:pPr>
      <w:r w:rsidRPr="00CF31E0">
        <w:rPr>
          <w:lang w:val="en-US"/>
        </w:rPr>
        <w:lastRenderedPageBreak/>
        <w:t xml:space="preserve">There used to be Arabic markets in </w:t>
      </w:r>
      <w:r w:rsidR="007B1BD9" w:rsidRPr="00CF31E0">
        <w:rPr>
          <w:lang w:val="en-US"/>
        </w:rPr>
        <w:t xml:space="preserve">the </w:t>
      </w:r>
      <w:r w:rsidRPr="00CF31E0">
        <w:rPr>
          <w:lang w:val="en-US"/>
        </w:rPr>
        <w:t>Hajj season. These markets were not only used for commercial benefits, but were also used for social and communal purposes</w:t>
      </w:r>
      <w:r w:rsidR="00E520C2" w:rsidRPr="00CF31E0">
        <w:rPr>
          <w:lang w:val="en-US"/>
        </w:rPr>
        <w:t xml:space="preserve"> </w:t>
      </w:r>
      <w:r w:rsidRPr="00CF31E0">
        <w:rPr>
          <w:lang w:val="en-US"/>
        </w:rPr>
        <w:fldChar w:fldCharType="begin"/>
      </w:r>
      <w:r w:rsidR="00CD34CA" w:rsidRPr="00CF31E0">
        <w:rPr>
          <w:lang w:val="en-US"/>
        </w:rPr>
        <w:instrText xml:space="preserve"> ADDIN ZOTERO_ITEM CSL_CITATION {"citationID":"Td8iqG0a","properties":{"formattedCitation":"(Bianchi, 2004)","plainCitation":"(Bianchi, 2004)","dontUpdate":true,"noteIndex":0},"citationItems":[{"id":364,"uris":["http://zotero.org/users/1939618/items/MPTGYXG9"],"uri":["http://zotero.org/users/1939618/items/MPTGYXG9"],"itemData":{"id":364,"type":"book","title":"Guests of God: pilgrimage and politics in the Islamic world","publisher":"Oxford University Press","publisher-place":"New York, NY","event-place":"New York, NY","shortTitle":"Guests of God","author":[{"family":"Bianchi","given":"Robert"}],"issued":{"date-parts":[["2004"]]}}}],"schema":"https://github.com/citation-style-language/schema/raw/master/csl-citation.json"} </w:instrText>
      </w:r>
      <w:r w:rsidRPr="00CF31E0">
        <w:rPr>
          <w:lang w:val="en-US"/>
        </w:rPr>
        <w:fldChar w:fldCharType="separate"/>
      </w:r>
      <w:r w:rsidRPr="00CF31E0">
        <w:rPr>
          <w:noProof/>
          <w:lang w:val="en-US"/>
        </w:rPr>
        <w:t>(Bianchi, 2004)</w:t>
      </w:r>
      <w:r w:rsidRPr="00CF31E0">
        <w:rPr>
          <w:lang w:val="en-US"/>
        </w:rPr>
        <w:fldChar w:fldCharType="end"/>
      </w:r>
      <w:r w:rsidRPr="00CF31E0">
        <w:rPr>
          <w:lang w:val="en-US"/>
        </w:rPr>
        <w:t>. During these markets, there used to be presenters from each tribe</w:t>
      </w:r>
      <w:r w:rsidR="0042116A" w:rsidRPr="00B9622D">
        <w:rPr>
          <w:rStyle w:val="FootnoteReference"/>
        </w:rPr>
        <w:footnoteReference w:id="6"/>
      </w:r>
      <w:r w:rsidRPr="00CF31E0">
        <w:rPr>
          <w:lang w:val="en-US"/>
        </w:rPr>
        <w:t xml:space="preserve">, who would tell the public about the political and social views of each tribe, and express issues affecting their tribe and trying to find a solution for their problems </w:t>
      </w:r>
      <w:r w:rsidRPr="00CF31E0">
        <w:rPr>
          <w:lang w:val="en-US"/>
        </w:rPr>
        <w:fldChar w:fldCharType="begin"/>
      </w:r>
      <w:r w:rsidRPr="00CF31E0">
        <w:rPr>
          <w:lang w:val="en-US"/>
        </w:rPr>
        <w:instrText xml:space="preserve"> ADDIN ZOTERO_ITEM CSL_CITATION {"citationID":"JNpdUIxn","properties":{"formattedCitation":"(al-Ken, 1995, p. 139)","plainCitation":"(al-Ken, 1995, p. 139)","noteIndex":0},"citationItems":[{"id":190,"uris":["http://zotero.org/users/1939618/items/9MG22DNA"],"uri":["http://zotero.org/users/1939618/items/9MG22DNA"],"itemData":{"id":190,"type":"thesis","title":"The Hajj: past, present and future: the communication aspect","publisher":"University of Leeds","source":"Google Scholar","URL":"http://ethos.bl.uk/OrderDetails.do?uin=uk.bl.ethos.341805","shortTitle":"The Hajj","author":[{"family":"Ken","given":"Akeel Ibrahim","non-dropping-particle":"al-"}],"issued":{"date-parts":[["1995"]]},"accessed":{"date-parts":[["2015",12,6]]}},"locator":"139","label":"page"}],"schema":"https://github.com/citation-style-language/schema/raw/master/csl-citation.json"} </w:instrText>
      </w:r>
      <w:r w:rsidRPr="00CF31E0">
        <w:rPr>
          <w:lang w:val="en-US"/>
        </w:rPr>
        <w:fldChar w:fldCharType="separate"/>
      </w:r>
      <w:r w:rsidR="007B3CDE" w:rsidRPr="00CF31E0">
        <w:rPr>
          <w:noProof/>
          <w:lang w:val="en-US"/>
        </w:rPr>
        <w:t>(A</w:t>
      </w:r>
      <w:r w:rsidRPr="00CF31E0">
        <w:rPr>
          <w:noProof/>
          <w:lang w:val="en-US"/>
        </w:rPr>
        <w:t>l-Ken, 1995, p. 139)</w:t>
      </w:r>
      <w:r w:rsidRPr="00CF31E0">
        <w:rPr>
          <w:lang w:val="en-US"/>
        </w:rPr>
        <w:fldChar w:fldCharType="end"/>
      </w:r>
      <w:r w:rsidRPr="00CF31E0">
        <w:rPr>
          <w:lang w:val="en-US"/>
        </w:rPr>
        <w:t>.</w:t>
      </w:r>
    </w:p>
    <w:p w14:paraId="1E76EABB" w14:textId="7FC06E75" w:rsidR="00F75B1B" w:rsidRPr="00CF31E0" w:rsidRDefault="008E5A3A" w:rsidP="00B57D7E">
      <w:pPr>
        <w:pStyle w:val="Paragraph"/>
        <w:rPr>
          <w:lang w:val="en-US"/>
        </w:rPr>
      </w:pPr>
      <w:r w:rsidRPr="00CF31E0">
        <w:rPr>
          <w:lang w:val="en-US"/>
        </w:rPr>
        <w:t>Economically, t</w:t>
      </w:r>
      <w:r w:rsidR="007B1BD9" w:rsidRPr="00CF31E0">
        <w:rPr>
          <w:lang w:val="en-US"/>
        </w:rPr>
        <w:t xml:space="preserve">he </w:t>
      </w:r>
      <w:r w:rsidR="00F75B1B" w:rsidRPr="00CF31E0">
        <w:rPr>
          <w:lang w:val="en-US"/>
        </w:rPr>
        <w:t xml:space="preserve">Hajj was and still is a significant avenue of trade. This is because pilgrims from all over the Islamic world used to bring with them goods that can be sold in the Hajj market </w:t>
      </w:r>
      <w:r w:rsidR="00F75B1B" w:rsidRPr="00CF31E0">
        <w:rPr>
          <w:lang w:val="en-US"/>
        </w:rPr>
        <w:fldChar w:fldCharType="begin"/>
      </w:r>
      <w:r w:rsidR="00F75B1B" w:rsidRPr="00CF31E0">
        <w:rPr>
          <w:lang w:val="en-US"/>
        </w:rPr>
        <w:instrText xml:space="preserve"> ADDIN ZOTERO_ITEM CSL_CITATION {"citationID":"QZzObr9s","properties":{"formattedCitation":"(al-Ken, 1995)","plainCitation":"(al-Ken, 1995)","noteIndex":0},"citationItems":[{"id":190,"uris":["http://zotero.org/users/1939618/items/9MG22DNA"],"uri":["http://zotero.org/users/1939618/items/9MG22DNA"],"itemData":{"id":190,"type":"thesis","title":"The Hajj: past, present and future: the communication aspect","publisher":"University of Leeds","source":"Google Scholar","URL":"http://ethos.bl.uk/OrderDetails.do?uin=uk.bl.ethos.341805","shortTitle":"The Hajj","author":[{"family":"Ken","given":"Akeel Ibrahim","non-dropping-particle":"al-"}],"issued":{"date-parts":[["1995"]]},"accessed":{"date-parts":[["2015",12,6]]}}}],"schema":"https://github.com/citation-style-language/schema/raw/master/csl-citation.json"} </w:instrText>
      </w:r>
      <w:r w:rsidR="00F75B1B" w:rsidRPr="00CF31E0">
        <w:rPr>
          <w:lang w:val="en-US"/>
        </w:rPr>
        <w:fldChar w:fldCharType="separate"/>
      </w:r>
      <w:r w:rsidR="007B3CDE" w:rsidRPr="00CF31E0">
        <w:rPr>
          <w:rFonts w:eastAsia="Times New Roman" w:hAnsiTheme="majorHAnsi"/>
        </w:rPr>
        <w:t>(A</w:t>
      </w:r>
      <w:r w:rsidR="00F75B1B" w:rsidRPr="00CF31E0">
        <w:rPr>
          <w:rFonts w:eastAsia="Times New Roman" w:hAnsiTheme="majorHAnsi"/>
        </w:rPr>
        <w:t>l-Ken, 1995)</w:t>
      </w:r>
      <w:r w:rsidR="00F75B1B" w:rsidRPr="00CF31E0">
        <w:rPr>
          <w:lang w:val="en-US"/>
        </w:rPr>
        <w:fldChar w:fldCharType="end"/>
      </w:r>
      <w:r w:rsidR="00F75B1B" w:rsidRPr="00CF31E0">
        <w:rPr>
          <w:lang w:val="en-US"/>
        </w:rPr>
        <w:t xml:space="preserve">. Financially, </w:t>
      </w:r>
      <w:r w:rsidR="007B1BD9" w:rsidRPr="00CF31E0">
        <w:rPr>
          <w:lang w:val="en-US"/>
        </w:rPr>
        <w:t xml:space="preserve">the </w:t>
      </w:r>
      <w:r w:rsidR="00F75B1B" w:rsidRPr="00CF31E0">
        <w:rPr>
          <w:lang w:val="en-US"/>
        </w:rPr>
        <w:t>Hajj benefits not only</w:t>
      </w:r>
      <w:r w:rsidR="004B2752">
        <w:rPr>
          <w:lang w:val="en-US"/>
        </w:rPr>
        <w:t xml:space="preserve"> </w:t>
      </w:r>
      <w:r w:rsidR="00F75B1B" w:rsidRPr="00CF31E0">
        <w:rPr>
          <w:lang w:val="en-US"/>
        </w:rPr>
        <w:t>pilgrims but also</w:t>
      </w:r>
      <w:r w:rsidR="004B2752">
        <w:rPr>
          <w:lang w:val="en-US"/>
        </w:rPr>
        <w:t xml:space="preserve"> </w:t>
      </w:r>
      <w:r w:rsidR="00F75B1B" w:rsidRPr="00CF31E0">
        <w:rPr>
          <w:lang w:val="en-US"/>
        </w:rPr>
        <w:t xml:space="preserve">citizens of Hijaz who can buy and sell goods to pilgrims. Furthermore, historically, when pilgrims met with each other, they would start to discuss commercial affairs and </w:t>
      </w:r>
      <w:r w:rsidR="00F75B1B" w:rsidRPr="00CF31E0">
        <w:t>made</w:t>
      </w:r>
      <w:r w:rsidR="00F75B1B" w:rsidRPr="00CF31E0">
        <w:rPr>
          <w:lang w:val="en-US"/>
        </w:rPr>
        <w:t xml:space="preserve"> business deals with one other; sometimes such relations led them to </w:t>
      </w:r>
      <w:r w:rsidR="00E21E0A" w:rsidRPr="00CF31E0">
        <w:rPr>
          <w:lang w:val="en-US"/>
        </w:rPr>
        <w:t>establish companies. As a result</w:t>
      </w:r>
      <w:r w:rsidR="00F75B1B" w:rsidRPr="00CF31E0">
        <w:rPr>
          <w:lang w:val="en-US"/>
        </w:rPr>
        <w:t xml:space="preserve">, they became familiar with how to deliver goods from one </w:t>
      </w:r>
      <w:r w:rsidR="005D0894" w:rsidRPr="00CF31E0">
        <w:rPr>
          <w:lang w:val="en-US"/>
        </w:rPr>
        <w:t>country</w:t>
      </w:r>
      <w:r w:rsidR="00F75B1B" w:rsidRPr="00CF31E0">
        <w:rPr>
          <w:lang w:val="en-US"/>
        </w:rPr>
        <w:t xml:space="preserve"> to another </w:t>
      </w:r>
      <w:r w:rsidR="00F75B1B" w:rsidRPr="00CF31E0">
        <w:rPr>
          <w:lang w:val="en-US"/>
        </w:rPr>
        <w:fldChar w:fldCharType="begin"/>
      </w:r>
      <w:r w:rsidR="00A54129" w:rsidRPr="00CF31E0">
        <w:rPr>
          <w:lang w:val="en-US"/>
        </w:rPr>
        <w:instrText xml:space="preserve"> ADDIN ZOTERO_ITEM CSL_CITATION {"citationID":"LrEGfzH8","properties":{"formattedCitation":"(Peters, 1996, p. xxii)","plainCitation":"(Peters, 1996, p. xxii)","noteIndex":0},"citationItems":[{"id":185,"uris":["http://zotero.org/users/1939618/items/FDJCCK2N"],"uri":["http://zotero.org/users/1939618/items/FDJCCK2N"],"itemData":{"id":185,"type":"book","title":"The Hajj: The Muslim pilgrimage to Mecca and the holy places","publisher":"Princeton University Press","publisher-place":"New Jersey","source":"Google Scholar","event-place":"New Jersey","URL":"https://books.google.co.uk/books?hl=en&amp;lr=&amp;id=EK5MqskDYC0C&amp;oi=fnd&amp;pg=PR9&amp;dq=The+Hajj:+The+Muslim+Pilgrimage+to+Mecca+and+the+Holy+Places++By+F.+E.+Peters&amp;ots=vm4g3Yvqlc&amp;sig=7vnrxFf7PiJD1XdpXkCktrWE7Tk","shortTitle":"The Hajj","author":[{"family":"Peters","given":"Francis E."}],"issued":{"date-parts":[["1996"]]},"accessed":{"date-parts":[["2016",1,28]]}},"locator":"xxii","label":"page"}],"schema":"https://github.com/citation-style-language/schema/raw/master/csl-citation.json"} </w:instrText>
      </w:r>
      <w:r w:rsidR="00F75B1B" w:rsidRPr="00CF31E0">
        <w:rPr>
          <w:lang w:val="en-US"/>
        </w:rPr>
        <w:fldChar w:fldCharType="separate"/>
      </w:r>
      <w:r w:rsidR="00AF1E2F" w:rsidRPr="00CF31E0">
        <w:rPr>
          <w:noProof/>
          <w:lang w:val="en-US"/>
        </w:rPr>
        <w:t>(Peters, 1996, p. xxii)</w:t>
      </w:r>
      <w:r w:rsidR="00F75B1B" w:rsidRPr="00CF31E0">
        <w:rPr>
          <w:lang w:val="en-US"/>
        </w:rPr>
        <w:fldChar w:fldCharType="end"/>
      </w:r>
      <w:r w:rsidR="00F75B1B" w:rsidRPr="00CF31E0">
        <w:rPr>
          <w:lang w:val="en-US"/>
        </w:rPr>
        <w:t xml:space="preserve">. </w:t>
      </w:r>
    </w:p>
    <w:p w14:paraId="05090DED" w14:textId="1D732789" w:rsidR="00F75B1B" w:rsidRPr="00CF31E0" w:rsidRDefault="009258B3" w:rsidP="00603CB7">
      <w:pPr>
        <w:pStyle w:val="Paragraph"/>
        <w:rPr>
          <w:lang w:val="en-US"/>
        </w:rPr>
      </w:pPr>
      <w:r w:rsidRPr="00CF31E0">
        <w:rPr>
          <w:lang w:val="en-US"/>
        </w:rPr>
        <w:t>D</w:t>
      </w:r>
      <w:r w:rsidR="00F75B1B" w:rsidRPr="00CF31E0">
        <w:rPr>
          <w:lang w:val="en-US"/>
        </w:rPr>
        <w:t>uring the Hajj, different tribes and ethnic groups meet each other. Thus,</w:t>
      </w:r>
      <w:r w:rsidR="0042116A" w:rsidRPr="00CF31E0">
        <w:rPr>
          <w:lang w:val="en-US"/>
        </w:rPr>
        <w:t xml:space="preserve"> </w:t>
      </w:r>
      <w:r w:rsidRPr="00CF31E0">
        <w:rPr>
          <w:lang w:val="en-US"/>
        </w:rPr>
        <w:t xml:space="preserve">linguistically, </w:t>
      </w:r>
      <w:r w:rsidR="0042116A" w:rsidRPr="00CF31E0">
        <w:rPr>
          <w:lang w:val="en-US"/>
        </w:rPr>
        <w:t xml:space="preserve">people </w:t>
      </w:r>
      <w:r w:rsidRPr="00CF31E0">
        <w:rPr>
          <w:lang w:val="en-US"/>
        </w:rPr>
        <w:t xml:space="preserve">are able to </w:t>
      </w:r>
      <w:r w:rsidR="0042116A" w:rsidRPr="00CF31E0">
        <w:rPr>
          <w:lang w:val="en-US"/>
        </w:rPr>
        <w:t>hear</w:t>
      </w:r>
      <w:r w:rsidR="00F75B1B" w:rsidRPr="00CF31E0">
        <w:rPr>
          <w:lang w:val="en-US"/>
        </w:rPr>
        <w:t xml:space="preserve"> different languages and dialect</w:t>
      </w:r>
      <w:r w:rsidR="0042116A" w:rsidRPr="00CF31E0">
        <w:rPr>
          <w:lang w:val="en-US"/>
        </w:rPr>
        <w:t>s</w:t>
      </w:r>
      <w:r w:rsidR="00F75B1B" w:rsidRPr="00CF31E0">
        <w:rPr>
          <w:lang w:val="en-US"/>
        </w:rPr>
        <w:t xml:space="preserve">. It is important to note that the Quraish tribe were custodians of the Kaaba before and after the Prophet </w:t>
      </w:r>
      <w:r w:rsidR="005158C3" w:rsidRPr="00CF31E0">
        <w:rPr>
          <w:lang w:val="en-US"/>
        </w:rPr>
        <w:t>Muhammad</w:t>
      </w:r>
      <w:r w:rsidR="00F75B1B" w:rsidRPr="00CF31E0">
        <w:rPr>
          <w:lang w:val="en-US"/>
        </w:rPr>
        <w:t xml:space="preserve"> era; therefore, every tribe had to communicate with the Quraish tribe in their dialect </w:t>
      </w:r>
      <w:r w:rsidR="00F75B1B" w:rsidRPr="00CF31E0">
        <w:rPr>
          <w:lang w:val="en-US"/>
        </w:rPr>
        <w:fldChar w:fldCharType="begin"/>
      </w:r>
      <w:r w:rsidR="00A54129" w:rsidRPr="00CF31E0">
        <w:rPr>
          <w:lang w:val="en-US"/>
        </w:rPr>
        <w:instrText xml:space="preserve"> ADDIN ZOTERO_ITEM CSL_CITATION {"citationID":"gdc0bBUl","properties":{"formattedCitation":"(Peters, 1994)","plainCitation":"(Peters, 1994)","dontUpdate":true,"noteIndex":0},"citationItems":[{"id":185,"uris":["http://zotero.org/users/1939618/items/FDJCCK2N"],"uri":["http://zotero.org/users/1939618/items/FDJCCK2N"],"itemData":{"id":185,"type":"book","title":"The Hajj: The Muslim pilgrimage to Mecca and the holy places","publisher":"Princeton University Press","publisher-place":"New Jersey","source":"Google Scholar","event-place":"New Jersey","URL":"https://books.google.co.uk/books?hl=en&amp;lr=&amp;id=EK5MqskDYC0C&amp;oi=fnd&amp;pg=PR9&amp;dq=The+Hajj:+The+Muslim+Pilgrimage+to+Mecca+and+the+Holy+Places++By+F.+E.+Peters&amp;ots=vm4g3Yvqlc&amp;sig=7vnrxFf7PiJD1XdpXkCktrWE7Tk","shortTitle":"The Hajj","author":[{"family":"Peters","given":"Francis E."}],"issued":{"date-parts":[["1996"]]},"accessed":{"date-parts":[["2016",1,28]]}}}],"schema":"https://github.com/citation-style-language/schema/raw/master/csl-citation.json"} </w:instrText>
      </w:r>
      <w:r w:rsidR="00F75B1B" w:rsidRPr="00CF31E0">
        <w:rPr>
          <w:lang w:val="en-US"/>
        </w:rPr>
        <w:fldChar w:fldCharType="separate"/>
      </w:r>
      <w:r w:rsidR="00C22A1B" w:rsidRPr="00CF31E0">
        <w:rPr>
          <w:noProof/>
          <w:lang w:val="en-US"/>
        </w:rPr>
        <w:t>(Peters, 1996</w:t>
      </w:r>
      <w:r w:rsidR="00F75B1B" w:rsidRPr="00CF31E0">
        <w:rPr>
          <w:noProof/>
          <w:lang w:val="en-US"/>
        </w:rPr>
        <w:t>)</w:t>
      </w:r>
      <w:r w:rsidR="00F75B1B" w:rsidRPr="00CF31E0">
        <w:rPr>
          <w:lang w:val="en-US"/>
        </w:rPr>
        <w:fldChar w:fldCharType="end"/>
      </w:r>
      <w:r w:rsidR="00F75B1B" w:rsidRPr="00CF31E0">
        <w:rPr>
          <w:lang w:val="en-US"/>
        </w:rPr>
        <w:t xml:space="preserve">. As a result, dialect contact was very apparent in that era, and even those who did not speak Arabic were urged to learn Arabic to communicate with custodians of the Kaaba </w:t>
      </w:r>
      <w:r w:rsidR="00F75B1B" w:rsidRPr="00CF31E0">
        <w:rPr>
          <w:lang w:val="en-US"/>
        </w:rPr>
        <w:fldChar w:fldCharType="begin"/>
      </w:r>
      <w:r w:rsidR="00F75B1B" w:rsidRPr="00CF31E0">
        <w:rPr>
          <w:lang w:val="en-US"/>
        </w:rPr>
        <w:instrText xml:space="preserve"> ADDIN ZOTERO_ITEM CSL_CITATION {"citationID":"ITGjsWQT","properties":{"formattedCitation":"(al-Ken, 1995, p. 39)","plainCitation":"(al-Ken, 1995, p. 39)","noteIndex":0},"citationItems":[{"id":190,"uris":["http://zotero.org/users/1939618/items/9MG22DNA"],"uri":["http://zotero.org/users/1939618/items/9MG22DNA"],"itemData":{"id":190,"type":"thesis","title":"The Hajj: past, present and future: the communication aspect","publisher":"University of Leeds","source":"Google Scholar","URL":"http://ethos.bl.uk/OrderDetails.do?uin=uk.bl.ethos.341805","shortTitle":"The Hajj","author":[{"family":"Ken","given":"Akeel Ibrahim","non-dropping-particle":"al-"}],"issued":{"date-parts":[["1995"]]},"accessed":{"date-parts":[["2015",12,6]]}},"locator":"39","label":"page"}],"schema":"https://github.com/citation-style-language/schema/raw/master/csl-citation.json"} </w:instrText>
      </w:r>
      <w:r w:rsidR="00F75B1B" w:rsidRPr="00CF31E0">
        <w:rPr>
          <w:lang w:val="en-US"/>
        </w:rPr>
        <w:fldChar w:fldCharType="separate"/>
      </w:r>
      <w:r w:rsidR="007B3CDE" w:rsidRPr="00CF31E0">
        <w:rPr>
          <w:noProof/>
          <w:lang w:val="en-US"/>
        </w:rPr>
        <w:t>(A</w:t>
      </w:r>
      <w:r w:rsidR="00F75B1B" w:rsidRPr="00CF31E0">
        <w:rPr>
          <w:noProof/>
          <w:lang w:val="en-US"/>
        </w:rPr>
        <w:t>l-Ken, 1995, p. 39)</w:t>
      </w:r>
      <w:r w:rsidR="00F75B1B" w:rsidRPr="00CF31E0">
        <w:rPr>
          <w:lang w:val="en-US"/>
        </w:rPr>
        <w:fldChar w:fldCharType="end"/>
      </w:r>
      <w:r w:rsidR="00F75B1B" w:rsidRPr="00CF31E0">
        <w:rPr>
          <w:lang w:val="en-US"/>
        </w:rPr>
        <w:t xml:space="preserve">. Thus, throughout history, </w:t>
      </w:r>
      <w:r w:rsidR="00D30B2F">
        <w:rPr>
          <w:lang w:val="en-US"/>
        </w:rPr>
        <w:t>Makkah</w:t>
      </w:r>
      <w:r w:rsidR="00F75B1B" w:rsidRPr="00CF31E0">
        <w:rPr>
          <w:lang w:val="en-US"/>
        </w:rPr>
        <w:t xml:space="preserve"> witnessed seasonal linguistic contact with foreigners from different Arabic dialects or even different languages such as Turkish, Indian, Indonesian and so on. </w:t>
      </w:r>
    </w:p>
    <w:p w14:paraId="3317D2EB" w14:textId="237AF567" w:rsidR="00C32E37" w:rsidRPr="00CF31E0" w:rsidRDefault="00E21E0A" w:rsidP="00603CB7">
      <w:pPr>
        <w:pStyle w:val="Paragraph"/>
        <w:rPr>
          <w:lang w:val="en-US"/>
        </w:rPr>
      </w:pPr>
      <w:r w:rsidRPr="00CF31E0">
        <w:rPr>
          <w:lang w:val="en-US"/>
        </w:rPr>
        <w:t xml:space="preserve">All the </w:t>
      </w:r>
      <w:r w:rsidR="00633E81" w:rsidRPr="00CF31E0">
        <w:rPr>
          <w:lang w:val="en-US"/>
        </w:rPr>
        <w:t>above-mentioned</w:t>
      </w:r>
      <w:r w:rsidRPr="00CF31E0">
        <w:rPr>
          <w:lang w:val="en-US"/>
        </w:rPr>
        <w:t xml:space="preserve"> </w:t>
      </w:r>
      <w:r w:rsidR="008E5A3A" w:rsidRPr="00CF31E0">
        <w:rPr>
          <w:lang w:val="en-US"/>
        </w:rPr>
        <w:t xml:space="preserve">benefits encourage pilgrims to seek </w:t>
      </w:r>
      <w:r w:rsidR="00D30B2F">
        <w:rPr>
          <w:lang w:val="en-US"/>
        </w:rPr>
        <w:t>Makkah</w:t>
      </w:r>
      <w:r w:rsidR="008E5A3A" w:rsidRPr="00CF31E0">
        <w:rPr>
          <w:lang w:val="en-US"/>
        </w:rPr>
        <w:t xml:space="preserve"> and perform the Hajj. Though the Hajj ritual is obligatory only once in </w:t>
      </w:r>
      <w:r w:rsidR="00E520C2" w:rsidRPr="00CF31E0">
        <w:rPr>
          <w:lang w:val="en-US"/>
        </w:rPr>
        <w:t xml:space="preserve">a </w:t>
      </w:r>
      <w:r w:rsidR="008E5A3A" w:rsidRPr="00CF31E0">
        <w:rPr>
          <w:lang w:val="en-US"/>
        </w:rPr>
        <w:t>Muslim</w:t>
      </w:r>
      <w:r w:rsidR="00E520C2" w:rsidRPr="00CF31E0">
        <w:rPr>
          <w:lang w:val="en-US"/>
        </w:rPr>
        <w:t>’</w:t>
      </w:r>
      <w:r w:rsidR="008E5A3A" w:rsidRPr="00CF31E0">
        <w:rPr>
          <w:lang w:val="en-US"/>
        </w:rPr>
        <w:t xml:space="preserve">s life, its benefits to Muslims life drive them to perform it even more than once in their lifetime. </w:t>
      </w:r>
    </w:p>
    <w:p w14:paraId="2F43FD99" w14:textId="0F3DFCC6" w:rsidR="00814987" w:rsidRPr="00CF31E0" w:rsidRDefault="00814987" w:rsidP="00814987">
      <w:pPr>
        <w:pStyle w:val="Paragraph"/>
      </w:pPr>
      <w:r w:rsidRPr="00CF31E0">
        <w:lastRenderedPageBreak/>
        <w:t xml:space="preserve">As the annual influx continues to </w:t>
      </w:r>
      <w:r w:rsidR="00D30B2F">
        <w:t>Makkah</w:t>
      </w:r>
      <w:r w:rsidRPr="00CF31E0">
        <w:t xml:space="preserve">, the issue of overstayed pilgrims has increased over time. One of the main reasons for the overstaying phenomenon in </w:t>
      </w:r>
      <w:r w:rsidR="00D30B2F">
        <w:t>Makkah</w:t>
      </w:r>
      <w:r w:rsidRPr="00CF31E0">
        <w:t xml:space="preserve"> is related to economic affairs. As previously mentioned, Hijaz is a significant avenue for trade wherein business and job opportunities are available even before the economic prosperity in SA, which will be discussed in section 2.8. below. It is important to note that some pilgrims suffer from poor in</w:t>
      </w:r>
      <w:r w:rsidR="00A261FB" w:rsidRPr="00CF31E0">
        <w:t>come in their home count</w:t>
      </w:r>
      <w:r w:rsidRPr="00CF31E0">
        <w:t xml:space="preserve">ries (Ochsenwald, 1984). Some pilgrims were forced to even sell their return travel tickets to obtain sufficient money for food and accommodation (Ochsenwald, 1984). Therefore, the poverty resulting from pilgrimage motivated the pilgrims to settle in Hijaz to work and make a living (Chiffoleau, 2015). Furthermore, some pilgrims were educated people and skilled workers. In contrast, the original people of Hijaz (i.e. rural Bedouins) worked in herding and farming (Ochsenwald, 1984). Therefore, even the pilgrims who were not very poor preferred to stay in SA, as they were able to make a better living than in their home </w:t>
      </w:r>
      <w:r w:rsidR="00F03C9C" w:rsidRPr="00CF31E0">
        <w:t>Count</w:t>
      </w:r>
      <w:r w:rsidRPr="00CF31E0">
        <w:t xml:space="preserve">ries. The most settled population in Hijaz had skilled jobs, working, for example, as carpenters, locksmiths, dyers and jar-makers, tailors, judges, bakers, teachers, and engineers. They also worked in jobs that depended on pilgrimage. Interestingly, those settlers who worked in different occupations formed their surnames from the name of their craft (Al-Ansari, 1970). For example, settlers who were part of the dying profession gave themselves the surname Al-Sabag (‘Dyer’). Table 2.1 provides some examples of the identical association between the settlers’ surnames and their occupations (e.g. carpenter in Arabic is </w:t>
      </w:r>
      <w:r w:rsidR="00AA7FA5">
        <w:t>n</w:t>
      </w:r>
      <w:r w:rsidRPr="00CF31E0">
        <w:t xml:space="preserve">ajar and the occupation is </w:t>
      </w:r>
      <w:r w:rsidR="00AA7FA5">
        <w:t>nijarah</w:t>
      </w:r>
      <w:r w:rsidRPr="00CF31E0">
        <w:t>).</w:t>
      </w:r>
    </w:p>
    <w:p w14:paraId="1756D872" w14:textId="77777777" w:rsidR="00814987" w:rsidRPr="00CF31E0" w:rsidRDefault="00814987" w:rsidP="00814987">
      <w:pPr>
        <w:pStyle w:val="Paragraph"/>
      </w:pPr>
    </w:p>
    <w:p w14:paraId="79BA4289" w14:textId="77777777" w:rsidR="00814987" w:rsidRPr="00CF31E0" w:rsidRDefault="00814987" w:rsidP="00814987">
      <w:pPr>
        <w:pStyle w:val="Paragraph"/>
      </w:pPr>
    </w:p>
    <w:p w14:paraId="799779A7" w14:textId="77777777" w:rsidR="00814987" w:rsidRPr="00CF31E0" w:rsidRDefault="00814987" w:rsidP="00814987">
      <w:pPr>
        <w:pStyle w:val="Paragraph"/>
      </w:pPr>
    </w:p>
    <w:p w14:paraId="4322ED7C" w14:textId="77777777" w:rsidR="00814987" w:rsidRPr="00CF31E0" w:rsidRDefault="00814987" w:rsidP="00814987">
      <w:pPr>
        <w:pStyle w:val="Paragraph"/>
      </w:pPr>
    </w:p>
    <w:p w14:paraId="2DFD8497" w14:textId="77777777" w:rsidR="00814987" w:rsidRPr="00CF31E0" w:rsidRDefault="00814987" w:rsidP="00814987">
      <w:pPr>
        <w:pStyle w:val="Paragraph"/>
        <w:rPr>
          <w:lang w:val="en-US"/>
        </w:rPr>
      </w:pPr>
    </w:p>
    <w:p w14:paraId="7B446A49" w14:textId="2279BFD2" w:rsidR="00B322B7" w:rsidRPr="00CF31E0" w:rsidRDefault="00B322B7" w:rsidP="00B322B7">
      <w:pPr>
        <w:pStyle w:val="Paragraph"/>
        <w:rPr>
          <w:sz w:val="2"/>
          <w:szCs w:val="2"/>
          <w:lang w:val="en-US"/>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1695"/>
        <w:gridCol w:w="1895"/>
      </w:tblGrid>
      <w:tr w:rsidR="00B322B7" w:rsidRPr="00CF31E0" w14:paraId="71C69240" w14:textId="77777777" w:rsidTr="00603CB7">
        <w:tc>
          <w:tcPr>
            <w:tcW w:w="2093" w:type="dxa"/>
            <w:tcBorders>
              <w:top w:val="single" w:sz="8" w:space="0" w:color="auto"/>
              <w:bottom w:val="single" w:sz="8" w:space="0" w:color="auto"/>
            </w:tcBorders>
            <w:hideMark/>
          </w:tcPr>
          <w:p w14:paraId="68CFEFDA" w14:textId="77777777" w:rsidR="008E688D" w:rsidRPr="00CF31E0" w:rsidRDefault="00A56946" w:rsidP="00603CB7">
            <w:pPr>
              <w:spacing w:before="120" w:after="120"/>
              <w:jc w:val="both"/>
              <w:rPr>
                <w:rFonts w:eastAsia="Calibri"/>
                <w:color w:val="000000" w:themeColor="text1"/>
                <w:sz w:val="22"/>
                <w:szCs w:val="22"/>
                <w:lang w:val="en-US" w:eastAsia="en-US"/>
              </w:rPr>
            </w:pPr>
            <w:r w:rsidRPr="00CF31E0">
              <w:rPr>
                <w:rFonts w:eastAsia="Calibri"/>
                <w:color w:val="000000" w:themeColor="text1"/>
                <w:sz w:val="22"/>
                <w:szCs w:val="22"/>
                <w:lang w:val="en-US" w:eastAsia="en-US"/>
              </w:rPr>
              <w:lastRenderedPageBreak/>
              <w:t xml:space="preserve">Surname in </w:t>
            </w:r>
          </w:p>
          <w:p w14:paraId="64136037" w14:textId="0C315B1C" w:rsidR="00A56946" w:rsidRPr="00CF31E0" w:rsidRDefault="00A56946" w:rsidP="00603CB7">
            <w:pPr>
              <w:spacing w:before="120" w:after="120"/>
              <w:jc w:val="both"/>
              <w:rPr>
                <w:rFonts w:eastAsia="Calibri"/>
                <w:color w:val="000000" w:themeColor="text1"/>
                <w:sz w:val="22"/>
                <w:szCs w:val="22"/>
                <w:lang w:val="en-US" w:eastAsia="en-US"/>
              </w:rPr>
            </w:pPr>
            <w:r w:rsidRPr="00CF31E0">
              <w:rPr>
                <w:rFonts w:eastAsia="Calibri"/>
                <w:color w:val="000000" w:themeColor="text1"/>
                <w:sz w:val="22"/>
                <w:szCs w:val="22"/>
                <w:lang w:val="en-US" w:eastAsia="en-US"/>
              </w:rPr>
              <w:t xml:space="preserve">Arabic </w:t>
            </w:r>
          </w:p>
        </w:tc>
        <w:tc>
          <w:tcPr>
            <w:tcW w:w="1695" w:type="dxa"/>
            <w:tcBorders>
              <w:top w:val="single" w:sz="8" w:space="0" w:color="auto"/>
              <w:bottom w:val="single" w:sz="8" w:space="0" w:color="auto"/>
            </w:tcBorders>
            <w:hideMark/>
          </w:tcPr>
          <w:p w14:paraId="565F0CB9" w14:textId="77777777" w:rsidR="00A56946" w:rsidRPr="00CF31E0" w:rsidRDefault="00A56946" w:rsidP="00603CB7">
            <w:pPr>
              <w:spacing w:before="120" w:after="120"/>
              <w:rPr>
                <w:rFonts w:eastAsia="Calibri"/>
                <w:color w:val="000000" w:themeColor="text1"/>
                <w:sz w:val="22"/>
                <w:szCs w:val="22"/>
                <w:lang w:val="en-US" w:eastAsia="en-US"/>
              </w:rPr>
            </w:pPr>
            <w:r w:rsidRPr="00CF31E0">
              <w:rPr>
                <w:rFonts w:eastAsia="Calibri"/>
                <w:color w:val="000000" w:themeColor="text1"/>
                <w:sz w:val="22"/>
                <w:szCs w:val="22"/>
                <w:lang w:val="en-US" w:eastAsia="en-US"/>
              </w:rPr>
              <w:t xml:space="preserve">Translation in English </w:t>
            </w:r>
          </w:p>
        </w:tc>
        <w:tc>
          <w:tcPr>
            <w:tcW w:w="1895" w:type="dxa"/>
            <w:tcBorders>
              <w:top w:val="single" w:sz="8" w:space="0" w:color="auto"/>
              <w:bottom w:val="single" w:sz="8" w:space="0" w:color="auto"/>
            </w:tcBorders>
          </w:tcPr>
          <w:p w14:paraId="47AC8EB0" w14:textId="77777777" w:rsidR="008E688D" w:rsidRPr="00CF31E0" w:rsidRDefault="00A56946" w:rsidP="00603CB7">
            <w:pPr>
              <w:spacing w:before="120" w:after="120"/>
              <w:jc w:val="right"/>
              <w:rPr>
                <w:rFonts w:eastAsia="Calibri"/>
                <w:color w:val="000000" w:themeColor="text1"/>
                <w:sz w:val="22"/>
                <w:szCs w:val="22"/>
                <w:lang w:eastAsia="en-US"/>
              </w:rPr>
            </w:pPr>
            <w:r w:rsidRPr="00CF31E0">
              <w:rPr>
                <w:rFonts w:eastAsia="Calibri"/>
                <w:color w:val="000000" w:themeColor="text1"/>
                <w:sz w:val="22"/>
                <w:szCs w:val="22"/>
                <w:lang w:eastAsia="en-US"/>
              </w:rPr>
              <w:t xml:space="preserve">Surname in </w:t>
            </w:r>
          </w:p>
          <w:p w14:paraId="177800E2" w14:textId="41EAD3E6" w:rsidR="00A56946" w:rsidRPr="00CF31E0" w:rsidRDefault="00A56946" w:rsidP="00603CB7">
            <w:pPr>
              <w:spacing w:before="120" w:after="120"/>
              <w:jc w:val="right"/>
              <w:rPr>
                <w:rFonts w:eastAsia="Calibri"/>
                <w:color w:val="000000" w:themeColor="text1"/>
                <w:lang w:eastAsia="en-US"/>
              </w:rPr>
            </w:pPr>
            <w:r w:rsidRPr="00CF31E0">
              <w:rPr>
                <w:rFonts w:eastAsia="Calibri"/>
                <w:color w:val="000000" w:themeColor="text1"/>
                <w:sz w:val="22"/>
                <w:szCs w:val="22"/>
                <w:lang w:eastAsia="en-US"/>
              </w:rPr>
              <w:t>Arabic</w:t>
            </w:r>
          </w:p>
        </w:tc>
      </w:tr>
      <w:tr w:rsidR="00B322B7" w:rsidRPr="00CF31E0" w14:paraId="6E71B0BC" w14:textId="77777777" w:rsidTr="00603CB7">
        <w:tc>
          <w:tcPr>
            <w:tcW w:w="2093" w:type="dxa"/>
            <w:tcBorders>
              <w:top w:val="single" w:sz="8" w:space="0" w:color="auto"/>
            </w:tcBorders>
            <w:hideMark/>
          </w:tcPr>
          <w:p w14:paraId="69E58B45" w14:textId="77777777" w:rsidR="00A56946" w:rsidRPr="00CF31E0" w:rsidRDefault="00A56946" w:rsidP="00603CB7">
            <w:pPr>
              <w:spacing w:before="120" w:after="120"/>
              <w:jc w:val="both"/>
              <w:rPr>
                <w:rFonts w:eastAsia="Calibri"/>
                <w:color w:val="000000" w:themeColor="text1"/>
                <w:sz w:val="22"/>
                <w:szCs w:val="22"/>
                <w:lang w:val="en-US" w:eastAsia="en-US"/>
              </w:rPr>
            </w:pPr>
            <w:r w:rsidRPr="00CF31E0">
              <w:rPr>
                <w:rFonts w:eastAsia="Calibri"/>
                <w:color w:val="000000" w:themeColor="text1"/>
                <w:sz w:val="22"/>
                <w:szCs w:val="22"/>
                <w:lang w:val="en-US" w:eastAsia="en-US"/>
              </w:rPr>
              <w:t>Al-Najar</w:t>
            </w:r>
          </w:p>
        </w:tc>
        <w:tc>
          <w:tcPr>
            <w:tcW w:w="1695" w:type="dxa"/>
            <w:tcBorders>
              <w:top w:val="single" w:sz="8" w:space="0" w:color="auto"/>
            </w:tcBorders>
            <w:hideMark/>
          </w:tcPr>
          <w:p w14:paraId="261CD72B" w14:textId="77777777" w:rsidR="00A56946" w:rsidRPr="00CF31E0" w:rsidRDefault="00A56946" w:rsidP="00603CB7">
            <w:pPr>
              <w:spacing w:before="120" w:after="120"/>
              <w:jc w:val="both"/>
              <w:rPr>
                <w:rFonts w:eastAsia="Calibri"/>
                <w:color w:val="000000" w:themeColor="text1"/>
                <w:sz w:val="22"/>
                <w:szCs w:val="22"/>
                <w:lang w:val="en-US" w:eastAsia="en-US"/>
              </w:rPr>
            </w:pPr>
            <w:r w:rsidRPr="00CF31E0">
              <w:rPr>
                <w:rFonts w:eastAsia="Calibri"/>
                <w:color w:val="000000" w:themeColor="text1"/>
                <w:sz w:val="22"/>
                <w:szCs w:val="22"/>
                <w:lang w:val="en-US" w:eastAsia="en-US"/>
              </w:rPr>
              <w:t>Carpenter</w:t>
            </w:r>
          </w:p>
        </w:tc>
        <w:tc>
          <w:tcPr>
            <w:tcW w:w="1895" w:type="dxa"/>
            <w:tcBorders>
              <w:top w:val="single" w:sz="8" w:space="0" w:color="auto"/>
            </w:tcBorders>
          </w:tcPr>
          <w:p w14:paraId="3B776530" w14:textId="77777777" w:rsidR="00A56946" w:rsidRPr="00CF31E0" w:rsidRDefault="00A56946" w:rsidP="00603CB7">
            <w:pPr>
              <w:bidi/>
              <w:spacing w:before="120" w:after="120"/>
              <w:jc w:val="both"/>
              <w:rPr>
                <w:rFonts w:eastAsia="Calibri"/>
                <w:color w:val="000000" w:themeColor="text1"/>
                <w:rtl/>
                <w:lang w:val="en-US" w:eastAsia="en-US"/>
              </w:rPr>
            </w:pPr>
            <w:r w:rsidRPr="00CF31E0">
              <w:rPr>
                <w:rFonts w:eastAsia="Calibri"/>
                <w:color w:val="000000" w:themeColor="text1"/>
                <w:sz w:val="22"/>
                <w:szCs w:val="22"/>
                <w:rtl/>
                <w:lang w:val="en-US" w:eastAsia="en-US"/>
              </w:rPr>
              <w:t>النجار</w:t>
            </w:r>
          </w:p>
        </w:tc>
      </w:tr>
      <w:tr w:rsidR="00B322B7" w:rsidRPr="00CF31E0" w14:paraId="658E06D6" w14:textId="77777777" w:rsidTr="00603CB7">
        <w:tc>
          <w:tcPr>
            <w:tcW w:w="2093" w:type="dxa"/>
            <w:hideMark/>
          </w:tcPr>
          <w:p w14:paraId="1A961562" w14:textId="77777777" w:rsidR="00A56946" w:rsidRPr="00CF31E0" w:rsidRDefault="00A56946" w:rsidP="00603CB7">
            <w:pPr>
              <w:spacing w:before="120" w:after="120"/>
              <w:jc w:val="both"/>
              <w:rPr>
                <w:rFonts w:eastAsia="Calibri"/>
                <w:color w:val="000000" w:themeColor="text1"/>
                <w:sz w:val="22"/>
                <w:szCs w:val="22"/>
                <w:lang w:val="en-US" w:eastAsia="en-US"/>
              </w:rPr>
            </w:pPr>
            <w:r w:rsidRPr="00CF31E0">
              <w:rPr>
                <w:rFonts w:eastAsia="Calibri"/>
                <w:color w:val="000000" w:themeColor="text1"/>
                <w:sz w:val="22"/>
                <w:szCs w:val="22"/>
                <w:lang w:val="en-US" w:eastAsia="en-US"/>
              </w:rPr>
              <w:t>Al-Sabag</w:t>
            </w:r>
          </w:p>
        </w:tc>
        <w:tc>
          <w:tcPr>
            <w:tcW w:w="1695" w:type="dxa"/>
            <w:hideMark/>
          </w:tcPr>
          <w:p w14:paraId="0ABF1876" w14:textId="77777777" w:rsidR="00A56946" w:rsidRPr="00CF31E0" w:rsidRDefault="00A56946" w:rsidP="00603CB7">
            <w:pPr>
              <w:spacing w:before="120" w:after="120"/>
              <w:jc w:val="both"/>
              <w:rPr>
                <w:rFonts w:eastAsia="Calibri"/>
                <w:color w:val="000000" w:themeColor="text1"/>
                <w:sz w:val="22"/>
                <w:szCs w:val="22"/>
                <w:lang w:val="en-US" w:eastAsia="en-US"/>
              </w:rPr>
            </w:pPr>
            <w:r w:rsidRPr="00CF31E0">
              <w:rPr>
                <w:rFonts w:eastAsia="Calibri"/>
                <w:color w:val="000000" w:themeColor="text1"/>
                <w:sz w:val="22"/>
                <w:szCs w:val="22"/>
                <w:lang w:val="en-US" w:eastAsia="en-US"/>
              </w:rPr>
              <w:t>Dyer</w:t>
            </w:r>
          </w:p>
        </w:tc>
        <w:tc>
          <w:tcPr>
            <w:tcW w:w="1895" w:type="dxa"/>
          </w:tcPr>
          <w:p w14:paraId="601A21C2" w14:textId="77777777" w:rsidR="00A56946" w:rsidRPr="00CF31E0" w:rsidRDefault="00A56946" w:rsidP="00603CB7">
            <w:pPr>
              <w:spacing w:before="120" w:after="120"/>
              <w:jc w:val="right"/>
              <w:rPr>
                <w:rFonts w:eastAsia="Calibri"/>
                <w:color w:val="000000" w:themeColor="text1"/>
                <w:rtl/>
                <w:lang w:val="en-US" w:eastAsia="en-US"/>
              </w:rPr>
            </w:pPr>
            <w:r w:rsidRPr="00CF31E0">
              <w:rPr>
                <w:rFonts w:eastAsia="Calibri"/>
                <w:color w:val="000000" w:themeColor="text1"/>
                <w:sz w:val="22"/>
                <w:szCs w:val="22"/>
                <w:rtl/>
                <w:lang w:val="en-US" w:eastAsia="en-US"/>
              </w:rPr>
              <w:t>الصباغ</w:t>
            </w:r>
          </w:p>
        </w:tc>
      </w:tr>
      <w:tr w:rsidR="00B322B7" w:rsidRPr="00CF31E0" w14:paraId="403AD836" w14:textId="77777777" w:rsidTr="00603CB7">
        <w:tc>
          <w:tcPr>
            <w:tcW w:w="2093" w:type="dxa"/>
            <w:hideMark/>
          </w:tcPr>
          <w:p w14:paraId="14A92725" w14:textId="77777777" w:rsidR="00A56946" w:rsidRPr="00CF31E0" w:rsidRDefault="00A56946" w:rsidP="00603CB7">
            <w:pPr>
              <w:spacing w:before="120" w:after="120"/>
              <w:jc w:val="both"/>
              <w:rPr>
                <w:rFonts w:eastAsia="Calibri"/>
                <w:color w:val="000000" w:themeColor="text1"/>
                <w:sz w:val="22"/>
                <w:szCs w:val="22"/>
                <w:lang w:val="en-US" w:eastAsia="en-US"/>
              </w:rPr>
            </w:pPr>
            <w:r w:rsidRPr="00CF31E0">
              <w:rPr>
                <w:rFonts w:eastAsia="Calibri"/>
                <w:color w:val="000000" w:themeColor="text1"/>
                <w:sz w:val="22"/>
                <w:szCs w:val="22"/>
                <w:lang w:val="en-US" w:eastAsia="en-US"/>
              </w:rPr>
              <w:t>Al-Khyat</w:t>
            </w:r>
          </w:p>
        </w:tc>
        <w:tc>
          <w:tcPr>
            <w:tcW w:w="1695" w:type="dxa"/>
            <w:hideMark/>
          </w:tcPr>
          <w:p w14:paraId="384F8365" w14:textId="77777777" w:rsidR="00A56946" w:rsidRPr="00CF31E0" w:rsidRDefault="00A56946" w:rsidP="00603CB7">
            <w:pPr>
              <w:spacing w:before="120" w:after="120"/>
              <w:jc w:val="both"/>
              <w:rPr>
                <w:rFonts w:eastAsia="Calibri"/>
                <w:color w:val="000000" w:themeColor="text1"/>
                <w:sz w:val="22"/>
                <w:szCs w:val="22"/>
                <w:lang w:val="en-US" w:eastAsia="en-US"/>
              </w:rPr>
            </w:pPr>
            <w:r w:rsidRPr="00CF31E0">
              <w:rPr>
                <w:rFonts w:eastAsia="Calibri"/>
                <w:color w:val="000000" w:themeColor="text1"/>
                <w:sz w:val="22"/>
                <w:szCs w:val="22"/>
                <w:lang w:val="en-US" w:eastAsia="en-US"/>
              </w:rPr>
              <w:t>Tailor</w:t>
            </w:r>
          </w:p>
        </w:tc>
        <w:tc>
          <w:tcPr>
            <w:tcW w:w="1895" w:type="dxa"/>
          </w:tcPr>
          <w:p w14:paraId="5D708212" w14:textId="77777777" w:rsidR="00A56946" w:rsidRPr="00CF31E0" w:rsidRDefault="00A56946" w:rsidP="00603CB7">
            <w:pPr>
              <w:spacing w:before="120" w:after="120"/>
              <w:jc w:val="right"/>
              <w:rPr>
                <w:rFonts w:eastAsia="Calibri"/>
                <w:color w:val="000000" w:themeColor="text1"/>
                <w:rtl/>
                <w:lang w:val="en-US" w:eastAsia="en-US"/>
              </w:rPr>
            </w:pPr>
            <w:r w:rsidRPr="00CF31E0">
              <w:rPr>
                <w:rFonts w:eastAsia="Calibri"/>
                <w:color w:val="000000" w:themeColor="text1"/>
                <w:sz w:val="22"/>
                <w:szCs w:val="22"/>
                <w:rtl/>
                <w:lang w:val="en-US" w:eastAsia="en-US"/>
              </w:rPr>
              <w:t>الخياط</w:t>
            </w:r>
          </w:p>
        </w:tc>
      </w:tr>
      <w:tr w:rsidR="00B322B7" w:rsidRPr="00CF31E0" w14:paraId="744984B5" w14:textId="77777777" w:rsidTr="00603CB7">
        <w:tc>
          <w:tcPr>
            <w:tcW w:w="2093" w:type="dxa"/>
            <w:hideMark/>
          </w:tcPr>
          <w:p w14:paraId="2C856A22" w14:textId="77777777" w:rsidR="00A56946" w:rsidRPr="00CF31E0" w:rsidRDefault="00A56946" w:rsidP="00603CB7">
            <w:pPr>
              <w:spacing w:before="120" w:after="120"/>
              <w:jc w:val="both"/>
              <w:rPr>
                <w:rFonts w:eastAsia="Calibri"/>
                <w:color w:val="000000" w:themeColor="text1"/>
                <w:sz w:val="22"/>
                <w:szCs w:val="22"/>
                <w:lang w:val="en-US" w:eastAsia="en-US"/>
              </w:rPr>
            </w:pPr>
            <w:r w:rsidRPr="00CF31E0">
              <w:rPr>
                <w:rFonts w:eastAsia="Calibri"/>
                <w:color w:val="000000" w:themeColor="text1"/>
                <w:sz w:val="22"/>
                <w:szCs w:val="22"/>
                <w:lang w:val="en-US" w:eastAsia="en-US"/>
              </w:rPr>
              <w:t xml:space="preserve">Al-Gadi </w:t>
            </w:r>
          </w:p>
        </w:tc>
        <w:tc>
          <w:tcPr>
            <w:tcW w:w="1695" w:type="dxa"/>
            <w:hideMark/>
          </w:tcPr>
          <w:p w14:paraId="15455E04" w14:textId="77777777" w:rsidR="00A56946" w:rsidRPr="00CF31E0" w:rsidRDefault="00A56946" w:rsidP="00603CB7">
            <w:pPr>
              <w:spacing w:before="120" w:after="120"/>
              <w:jc w:val="both"/>
              <w:rPr>
                <w:rFonts w:eastAsia="Calibri"/>
                <w:color w:val="000000" w:themeColor="text1"/>
                <w:sz w:val="22"/>
                <w:szCs w:val="22"/>
                <w:lang w:val="en-US" w:eastAsia="en-US"/>
              </w:rPr>
            </w:pPr>
            <w:r w:rsidRPr="00CF31E0">
              <w:rPr>
                <w:rFonts w:eastAsia="Calibri"/>
                <w:color w:val="000000" w:themeColor="text1"/>
                <w:sz w:val="22"/>
                <w:szCs w:val="22"/>
                <w:lang w:val="en-US" w:eastAsia="en-US"/>
              </w:rPr>
              <w:t>Judge</w:t>
            </w:r>
          </w:p>
        </w:tc>
        <w:tc>
          <w:tcPr>
            <w:tcW w:w="1895" w:type="dxa"/>
          </w:tcPr>
          <w:p w14:paraId="213473C1" w14:textId="77777777" w:rsidR="00A56946" w:rsidRPr="00CF31E0" w:rsidRDefault="00A56946" w:rsidP="00603CB7">
            <w:pPr>
              <w:spacing w:before="120" w:after="120"/>
              <w:jc w:val="right"/>
              <w:rPr>
                <w:rFonts w:eastAsia="Calibri"/>
                <w:color w:val="000000" w:themeColor="text1"/>
                <w:rtl/>
                <w:lang w:val="en-US" w:eastAsia="en-US"/>
              </w:rPr>
            </w:pPr>
            <w:r w:rsidRPr="00CF31E0">
              <w:rPr>
                <w:rFonts w:eastAsia="Calibri"/>
                <w:color w:val="000000" w:themeColor="text1"/>
                <w:sz w:val="22"/>
                <w:szCs w:val="22"/>
                <w:rtl/>
                <w:lang w:val="en-US" w:eastAsia="en-US"/>
              </w:rPr>
              <w:t>القاضي</w:t>
            </w:r>
          </w:p>
        </w:tc>
      </w:tr>
      <w:tr w:rsidR="00B322B7" w:rsidRPr="00CF31E0" w14:paraId="34238C1E" w14:textId="77777777" w:rsidTr="00603CB7">
        <w:tc>
          <w:tcPr>
            <w:tcW w:w="2093" w:type="dxa"/>
            <w:hideMark/>
          </w:tcPr>
          <w:p w14:paraId="2EDDE330" w14:textId="77777777" w:rsidR="00A56946" w:rsidRPr="00CF31E0" w:rsidRDefault="00A56946" w:rsidP="00603CB7">
            <w:pPr>
              <w:spacing w:before="120" w:after="120"/>
              <w:jc w:val="both"/>
              <w:rPr>
                <w:rFonts w:eastAsia="Calibri"/>
                <w:color w:val="000000" w:themeColor="text1"/>
                <w:sz w:val="22"/>
                <w:szCs w:val="22"/>
                <w:lang w:val="en-US" w:eastAsia="en-US"/>
              </w:rPr>
            </w:pPr>
            <w:r w:rsidRPr="00CF31E0">
              <w:rPr>
                <w:rFonts w:eastAsia="Calibri"/>
                <w:color w:val="000000" w:themeColor="text1"/>
                <w:sz w:val="22"/>
                <w:szCs w:val="22"/>
                <w:lang w:val="en-US" w:eastAsia="en-US"/>
              </w:rPr>
              <w:t>Al-Mo’alim</w:t>
            </w:r>
          </w:p>
        </w:tc>
        <w:tc>
          <w:tcPr>
            <w:tcW w:w="1695" w:type="dxa"/>
            <w:hideMark/>
          </w:tcPr>
          <w:p w14:paraId="11617B16" w14:textId="77777777" w:rsidR="00A56946" w:rsidRPr="00CF31E0" w:rsidRDefault="00A56946" w:rsidP="00603CB7">
            <w:pPr>
              <w:spacing w:before="120" w:after="120"/>
              <w:jc w:val="both"/>
              <w:rPr>
                <w:rFonts w:eastAsia="Calibri"/>
                <w:color w:val="000000" w:themeColor="text1"/>
                <w:sz w:val="22"/>
                <w:szCs w:val="22"/>
                <w:lang w:val="en-US" w:eastAsia="en-US"/>
              </w:rPr>
            </w:pPr>
            <w:r w:rsidRPr="00CF31E0">
              <w:rPr>
                <w:rFonts w:eastAsia="Calibri"/>
                <w:color w:val="000000" w:themeColor="text1"/>
                <w:sz w:val="22"/>
                <w:szCs w:val="22"/>
                <w:lang w:val="en-US" w:eastAsia="en-US"/>
              </w:rPr>
              <w:t xml:space="preserve">Teacher </w:t>
            </w:r>
          </w:p>
        </w:tc>
        <w:tc>
          <w:tcPr>
            <w:tcW w:w="1895" w:type="dxa"/>
          </w:tcPr>
          <w:p w14:paraId="63BBBBE1" w14:textId="77777777" w:rsidR="00A56946" w:rsidRPr="00CF31E0" w:rsidRDefault="00A56946" w:rsidP="00603CB7">
            <w:pPr>
              <w:spacing w:before="120" w:after="120"/>
              <w:jc w:val="right"/>
              <w:rPr>
                <w:rFonts w:eastAsia="Calibri"/>
                <w:color w:val="000000" w:themeColor="text1"/>
                <w:rtl/>
                <w:lang w:val="en-US" w:eastAsia="en-US"/>
              </w:rPr>
            </w:pPr>
            <w:r w:rsidRPr="00CF31E0">
              <w:rPr>
                <w:rFonts w:eastAsia="Calibri"/>
                <w:color w:val="000000" w:themeColor="text1"/>
                <w:sz w:val="22"/>
                <w:szCs w:val="22"/>
                <w:rtl/>
                <w:lang w:val="en-US" w:eastAsia="en-US"/>
              </w:rPr>
              <w:t>المعلم</w:t>
            </w:r>
          </w:p>
        </w:tc>
      </w:tr>
      <w:tr w:rsidR="00B322B7" w:rsidRPr="00CF31E0" w14:paraId="334D625A" w14:textId="77777777" w:rsidTr="00603CB7">
        <w:tc>
          <w:tcPr>
            <w:tcW w:w="2093" w:type="dxa"/>
            <w:tcBorders>
              <w:bottom w:val="single" w:sz="8" w:space="0" w:color="auto"/>
            </w:tcBorders>
            <w:hideMark/>
          </w:tcPr>
          <w:p w14:paraId="52C32B85" w14:textId="77777777" w:rsidR="00A56946" w:rsidRPr="00CF31E0" w:rsidRDefault="00A56946" w:rsidP="00603CB7">
            <w:pPr>
              <w:spacing w:before="120" w:after="120"/>
              <w:jc w:val="both"/>
              <w:rPr>
                <w:rFonts w:eastAsia="Calibri"/>
                <w:color w:val="000000" w:themeColor="text1"/>
                <w:sz w:val="22"/>
                <w:szCs w:val="22"/>
                <w:lang w:eastAsia="en-US"/>
              </w:rPr>
            </w:pPr>
            <w:r w:rsidRPr="00CF31E0">
              <w:rPr>
                <w:rFonts w:eastAsia="Calibri"/>
                <w:color w:val="000000" w:themeColor="text1"/>
                <w:sz w:val="22"/>
                <w:szCs w:val="22"/>
                <w:lang w:val="en-US" w:eastAsia="en-US"/>
              </w:rPr>
              <w:t>Al-Mohandis</w:t>
            </w:r>
          </w:p>
        </w:tc>
        <w:tc>
          <w:tcPr>
            <w:tcW w:w="1695" w:type="dxa"/>
            <w:tcBorders>
              <w:bottom w:val="single" w:sz="8" w:space="0" w:color="auto"/>
            </w:tcBorders>
            <w:hideMark/>
          </w:tcPr>
          <w:p w14:paraId="2469783E" w14:textId="77777777" w:rsidR="00A56946" w:rsidRPr="00CF31E0" w:rsidRDefault="00A56946" w:rsidP="00603CB7">
            <w:pPr>
              <w:spacing w:before="120" w:after="120"/>
              <w:jc w:val="both"/>
              <w:rPr>
                <w:rFonts w:eastAsia="Calibri"/>
                <w:color w:val="000000" w:themeColor="text1"/>
                <w:sz w:val="22"/>
                <w:szCs w:val="22"/>
                <w:lang w:val="en-US" w:eastAsia="en-US"/>
              </w:rPr>
            </w:pPr>
            <w:r w:rsidRPr="00CF31E0">
              <w:rPr>
                <w:rFonts w:eastAsia="Calibri"/>
                <w:color w:val="000000" w:themeColor="text1"/>
                <w:sz w:val="22"/>
                <w:szCs w:val="22"/>
                <w:lang w:val="en-US" w:eastAsia="en-US"/>
              </w:rPr>
              <w:t>Engineer</w:t>
            </w:r>
          </w:p>
        </w:tc>
        <w:tc>
          <w:tcPr>
            <w:tcW w:w="1895" w:type="dxa"/>
            <w:tcBorders>
              <w:bottom w:val="single" w:sz="8" w:space="0" w:color="auto"/>
            </w:tcBorders>
          </w:tcPr>
          <w:p w14:paraId="7D369DB7" w14:textId="77777777" w:rsidR="00A56946" w:rsidRPr="00CF31E0" w:rsidRDefault="00A56946" w:rsidP="00603CB7">
            <w:pPr>
              <w:spacing w:before="120" w:after="120"/>
              <w:jc w:val="right"/>
              <w:rPr>
                <w:rFonts w:eastAsia="Calibri"/>
                <w:color w:val="000000" w:themeColor="text1"/>
                <w:rtl/>
                <w:lang w:val="en-US" w:eastAsia="en-US"/>
              </w:rPr>
            </w:pPr>
            <w:r w:rsidRPr="00CF31E0">
              <w:rPr>
                <w:rFonts w:eastAsia="Calibri"/>
                <w:color w:val="000000" w:themeColor="text1"/>
                <w:sz w:val="22"/>
                <w:szCs w:val="22"/>
                <w:rtl/>
                <w:lang w:val="en-US" w:eastAsia="en-US"/>
              </w:rPr>
              <w:t>المهندس</w:t>
            </w:r>
          </w:p>
        </w:tc>
      </w:tr>
    </w:tbl>
    <w:p w14:paraId="0B30A415" w14:textId="33C0B01C" w:rsidR="00A56946" w:rsidRPr="00CF31E0" w:rsidRDefault="00A56946" w:rsidP="00603CB7">
      <w:pPr>
        <w:pStyle w:val="Tablecaption"/>
      </w:pPr>
      <w:bookmarkStart w:id="25" w:name="_Toc6473039"/>
      <w:r w:rsidRPr="00CF31E0">
        <w:t>Table 2.1: Examples of settlers’ surnames according to their occupations</w:t>
      </w:r>
      <w:r w:rsidR="00DB79F6" w:rsidRPr="00CF31E0">
        <w:t>.</w:t>
      </w:r>
      <w:bookmarkEnd w:id="25"/>
      <w:r w:rsidR="00DB79F6" w:rsidRPr="00CF31E0">
        <w:t xml:space="preserve"> </w:t>
      </w:r>
    </w:p>
    <w:p w14:paraId="724FEBBA" w14:textId="5BA1DB6D" w:rsidR="00F4746E" w:rsidRPr="00CF31E0" w:rsidRDefault="00F4746E" w:rsidP="00603CB7">
      <w:pPr>
        <w:pStyle w:val="Paragraph"/>
        <w:rPr>
          <w:lang w:val="en-US"/>
        </w:rPr>
      </w:pPr>
      <w:r w:rsidRPr="00CF31E0">
        <w:t xml:space="preserve">As the number of settled pilgrims in Hijaz increased, some governments such as the Dutch, Russian and Algerian </w:t>
      </w:r>
      <w:r w:rsidR="00320B93" w:rsidRPr="00CF31E0">
        <w:t xml:space="preserve">governments </w:t>
      </w:r>
      <w:r w:rsidRPr="00CF31E0">
        <w:t>put strict regulations on pilgrims</w:t>
      </w:r>
      <w:r w:rsidR="00B10F92" w:rsidRPr="00CF31E0">
        <w:t>, requiring them</w:t>
      </w:r>
      <w:r w:rsidRPr="00CF31E0">
        <w:t xml:space="preserve"> to submit financial proof </w:t>
      </w:r>
      <w:r w:rsidR="00320B93" w:rsidRPr="00CF31E0">
        <w:t xml:space="preserve">of </w:t>
      </w:r>
      <w:r w:rsidRPr="00CF31E0">
        <w:t xml:space="preserve">their </w:t>
      </w:r>
      <w:r w:rsidR="00320B93" w:rsidRPr="00CF31E0">
        <w:t xml:space="preserve">expenses </w:t>
      </w:r>
      <w:r w:rsidRPr="00CF31E0">
        <w:t xml:space="preserve">and </w:t>
      </w:r>
      <w:r w:rsidR="00320B93" w:rsidRPr="00CF31E0">
        <w:t xml:space="preserve">covering </w:t>
      </w:r>
      <w:r w:rsidRPr="00CF31E0">
        <w:t xml:space="preserve">their round trip to </w:t>
      </w:r>
      <w:r w:rsidR="00D30B2F">
        <w:t>Makkah</w:t>
      </w:r>
      <w:r w:rsidRPr="00CF31E0">
        <w:t xml:space="preserve"> </w:t>
      </w:r>
      <w:r w:rsidR="00320B93" w:rsidRPr="00CF31E0">
        <w:t>before starting their journey</w:t>
      </w:r>
      <w:r w:rsidRPr="00CF31E0">
        <w:t xml:space="preserve"> </w:t>
      </w:r>
      <w:r w:rsidRPr="00CF31E0">
        <w:fldChar w:fldCharType="begin"/>
      </w:r>
      <w:r w:rsidRPr="00CF31E0">
        <w:instrText xml:space="preserve"> ADDIN ZOTERO_ITEM CSL_CITATION {"citationID":"gIhtZd5Y","properties":{"formattedCitation":"(Chiffoleau, 2015)","plainCitation":"(Chiffoleau, 2015)","noteIndex":0},"citationItems":[{"id":384,"uris":["http://zotero.org/users/1939618/items/SZTHJXGQ"],"uri":["http://zotero.org/users/1939618/items/SZTHJXGQ"],"itemData":{"id":384,"type":"chapter","title":"Economics: Agents, Pilgrims, and Profits","container-title":"The Hajj: Pilgrimage in Islam","publisher":"Cambridge University Press","publisher-place":"Cambridge","page":"155-174","event-place":"Cambridge","author":[{"family":"Chiffoleau","given":"Sylvia"}],"editor":[{"family":"Tagliacozzo","given":"E."},{"family":"Toorawa","given":"S."}],"issued":{"date-parts":[["2015"]]}}}],"schema":"https://github.com/citation-style-language/schema/raw/master/csl-citation.json"} </w:instrText>
      </w:r>
      <w:r w:rsidRPr="00CF31E0">
        <w:fldChar w:fldCharType="separate"/>
      </w:r>
      <w:r w:rsidRPr="00CF31E0">
        <w:rPr>
          <w:noProof/>
        </w:rPr>
        <w:t>(Chiffoleau, 2015)</w:t>
      </w:r>
      <w:r w:rsidRPr="00CF31E0">
        <w:fldChar w:fldCharType="end"/>
      </w:r>
      <w:r w:rsidRPr="00CF31E0">
        <w:t>.</w:t>
      </w:r>
    </w:p>
    <w:p w14:paraId="6E2C4692" w14:textId="1F7FE374" w:rsidR="00D35726" w:rsidRPr="00CF31E0" w:rsidRDefault="00D35726" w:rsidP="00603CB7">
      <w:pPr>
        <w:pStyle w:val="Paragraph"/>
      </w:pPr>
      <w:r w:rsidRPr="00CF31E0">
        <w:fldChar w:fldCharType="begin"/>
      </w:r>
      <w:r w:rsidR="008E5A3A" w:rsidRPr="00CF31E0">
        <w:instrText xml:space="preserve"> ADDIN ZOTERO_ITEM CSL_CITATION {"citationID":"jpkXEect","properties":{"formattedCitation":"(Al-Ansari, 1970)","plainCitation":"(Al-Ansari, 1970)","dontUpdate":true,"noteIndex":0},"citationItems":[{"id":377,"uris":["http://zotero.org/users/1939618/items/5DGNNAUN"],"uri":["http://zotero.org/users/1939618/items/5DGNNAUN"],"itemData":{"id":377,"type":"book","title":"</w:instrText>
      </w:r>
      <w:r w:rsidR="008E5A3A" w:rsidRPr="00CF31E0">
        <w:rPr>
          <w:rtl/>
        </w:rPr>
        <w:instrText>تحفة المحبين والأصحاب فى معرفة ما للمدنيين من الأنساب</w:instrText>
      </w:r>
      <w:r w:rsidR="008E5A3A" w:rsidRPr="00CF31E0">
        <w:instrText>","publisher":"Almaktaba Ala-Atika","publisher-place":"Tunisia","source":"Internet Archive","event-place":"Tunisia","abstract":"</w:instrText>
      </w:r>
      <w:r w:rsidR="008E5A3A" w:rsidRPr="00CF31E0">
        <w:rPr>
          <w:rtl/>
        </w:rPr>
        <w:instrText>كتاب تحفة المحبين والأصحاب في معرفة ما للمدنيين من الأنسابالقُرْمِيِّة المدنيةالمؤلف الأستاذ عبد الرحمن بن عبد الكريم الأنصاريالمحقق الدكتور محمد العروسي المطويمَكْتَبَةُ عُلُومِ النَّسَبِاَللَّهُمَّ صَلِّ عَلَى مُحَمَّدٍ وَآلِ مُحَمَّدٍ</w:instrText>
      </w:r>
      <w:r w:rsidR="008E5A3A" w:rsidRPr="00CF31E0">
        <w:instrText xml:space="preserve">","URL":"http://archive.org/details/olomnasb_ymail_201611","language":"Arabic","author":[{"family":"Al-Ansari","given":"Abdulrahman"}],"issued":{"date-parts":[["1970"]]},"accessed":{"date-parts":[["2018",4,4]]}}}],"schema":"https://github.com/citation-style-language/schema/raw/master/csl-citation.json"} </w:instrText>
      </w:r>
      <w:r w:rsidRPr="00CF31E0">
        <w:fldChar w:fldCharType="separate"/>
      </w:r>
      <w:r w:rsidRPr="00CF31E0">
        <w:rPr>
          <w:noProof/>
        </w:rPr>
        <w:t>Al-Ansari (1970)</w:t>
      </w:r>
      <w:r w:rsidRPr="00CF31E0">
        <w:fldChar w:fldCharType="end"/>
      </w:r>
      <w:r w:rsidRPr="00CF31E0">
        <w:t xml:space="preserve"> mentions that a large group of settlers settled in the Hijaz region between 1700 and 1800, showing that people were settling there before the discovery of oil</w:t>
      </w:r>
      <w:r w:rsidR="008753B9" w:rsidRPr="00CF31E0">
        <w:t xml:space="preserve"> in SA</w:t>
      </w:r>
      <w:r w:rsidR="002775F4" w:rsidRPr="00CF31E0">
        <w:t>,</w:t>
      </w:r>
      <w:r w:rsidR="008753B9" w:rsidRPr="00CF31E0">
        <w:t xml:space="preserve"> which was in </w:t>
      </w:r>
      <w:r w:rsidR="000934AC" w:rsidRPr="00CF31E0">
        <w:t>1938</w:t>
      </w:r>
      <w:r w:rsidR="008753B9" w:rsidRPr="00CF31E0">
        <w:t>, see section</w:t>
      </w:r>
      <w:r w:rsidR="000934AC" w:rsidRPr="00CF31E0">
        <w:t xml:space="preserve"> </w:t>
      </w:r>
      <w:r w:rsidR="0095285F" w:rsidRPr="00CF31E0">
        <w:t>2</w:t>
      </w:r>
      <w:r w:rsidR="0012407D" w:rsidRPr="00CF31E0">
        <w:t>.9</w:t>
      </w:r>
      <w:r w:rsidR="008753B9" w:rsidRPr="00CF31E0">
        <w:t xml:space="preserve"> below</w:t>
      </w:r>
      <w:r w:rsidRPr="00CF31E0">
        <w:t xml:space="preserve">. </w:t>
      </w:r>
      <w:r w:rsidR="00214DBD" w:rsidRPr="00CF31E0">
        <w:t xml:space="preserve">Simply put, </w:t>
      </w:r>
      <w:r w:rsidR="0080393C" w:rsidRPr="00CF31E0">
        <w:t>e</w:t>
      </w:r>
      <w:r w:rsidRPr="00CF31E0">
        <w:t>ven before the discov</w:t>
      </w:r>
      <w:r w:rsidR="0080393C" w:rsidRPr="00CF31E0">
        <w:t>ery of oil, Hijaz attracted</w:t>
      </w:r>
      <w:r w:rsidRPr="00CF31E0">
        <w:t xml:space="preserve"> many Muslims to settle there for two reasons: to live in the two most sacred cities in the Islamic world, and to take part in trade with pilgrims.</w:t>
      </w:r>
      <w:r w:rsidR="00344F3E" w:rsidRPr="00CF31E0">
        <w:t xml:space="preserve"> In the following section, I will discuss b</w:t>
      </w:r>
      <w:r w:rsidR="00633E81" w:rsidRPr="00CF31E0">
        <w:t>riefly how overstayed pilgrims</w:t>
      </w:r>
      <w:r w:rsidR="00344F3E" w:rsidRPr="00CF31E0">
        <w:t xml:space="preserve"> </w:t>
      </w:r>
      <w:r w:rsidR="00633E81" w:rsidRPr="00CF31E0">
        <w:t>started to change</w:t>
      </w:r>
      <w:r w:rsidR="00344F3E" w:rsidRPr="00CF31E0">
        <w:t xml:space="preserve"> the Hijazi social structure. </w:t>
      </w:r>
    </w:p>
    <w:p w14:paraId="5A53A4B6" w14:textId="5FAC8FA9" w:rsidR="0023680E" w:rsidRPr="00CF31E0" w:rsidRDefault="0095285F" w:rsidP="00E87209">
      <w:pPr>
        <w:pStyle w:val="Ahead"/>
      </w:pPr>
      <w:bookmarkStart w:id="26" w:name="_Toc6472623"/>
      <w:r w:rsidRPr="00CF31E0">
        <w:t>2</w:t>
      </w:r>
      <w:r w:rsidR="00E70311" w:rsidRPr="00CF31E0">
        <w:t>.5.</w:t>
      </w:r>
      <w:r w:rsidR="00E70311" w:rsidRPr="00CF31E0">
        <w:tab/>
      </w:r>
      <w:r w:rsidR="0048547F" w:rsidRPr="00CF31E0">
        <w:t>The</w:t>
      </w:r>
      <w:r w:rsidR="002B0CDB" w:rsidRPr="00CF31E0">
        <w:t xml:space="preserve"> d</w:t>
      </w:r>
      <w:r w:rsidR="0048547F" w:rsidRPr="00CF31E0">
        <w:t xml:space="preserve">ifferent </w:t>
      </w:r>
      <w:r w:rsidR="0023680E" w:rsidRPr="00CF31E0">
        <w:t>societal groups in Hijaz</w:t>
      </w:r>
      <w:bookmarkEnd w:id="26"/>
    </w:p>
    <w:p w14:paraId="642FEEC0" w14:textId="59E4D61F" w:rsidR="00A33E67" w:rsidRPr="00CF31E0" w:rsidRDefault="008E0653" w:rsidP="00603CB7">
      <w:pPr>
        <w:pStyle w:val="Paragraph"/>
      </w:pPr>
      <w:r w:rsidRPr="00CF31E0">
        <w:t xml:space="preserve">There are two main </w:t>
      </w:r>
      <w:r w:rsidR="001B3A35" w:rsidRPr="00CF31E0">
        <w:t>societal</w:t>
      </w:r>
      <w:r w:rsidRPr="00CF31E0">
        <w:t xml:space="preserve"> groups in Hijaz</w:t>
      </w:r>
      <w:r w:rsidR="00225BF1" w:rsidRPr="00CF31E0">
        <w:t xml:space="preserve"> urban centres</w:t>
      </w:r>
      <w:r w:rsidR="00225BF1" w:rsidRPr="00B9622D">
        <w:rPr>
          <w:rStyle w:val="FootnoteReference"/>
        </w:rPr>
        <w:footnoteReference w:id="7"/>
      </w:r>
      <w:r w:rsidRPr="00CF31E0">
        <w:t xml:space="preserve"> </w:t>
      </w:r>
      <w:r w:rsidR="00EB37C4" w:rsidRPr="00CF31E0">
        <w:fldChar w:fldCharType="begin"/>
      </w:r>
      <w:r w:rsidR="00CD34CA" w:rsidRPr="00CF31E0">
        <w:instrText xml:space="preserve"> ADDIN ZOTERO_ITEM CSL_CITATION {"citationID":"gpnOMr7U","properties":{"formattedCitation":"(Nasir Al-Jehani, 1990)","plainCitation":"(Nasir Al-Jehani, 1990)","dontUpdate":true,"noteIndex":0},"citationItems":[{"id":480,"uris":["http://zotero.org/users/1939618/items/R9E5Q4TA"],"uri":["http://zotero.org/users/1939618/items/R9E5Q4TA"],"itemData":{"id":480,"type":"article-journal","title":"Color Terms in Mecca: A Sociolinguistic Perspective","container-title":"Anthropological Linguistics","page":"163–74","volume":"32","issue":"1-2","source":"find.shef.ac.uk","abstract":"The present study focuses on the variability in color labeling by Meccan speakers of Arabic from different social backgrounds, a subject only marginally considered in the existing literature. Color labeling was found to strongly correlate with the sex, ethnic background, and age of speakers.","ISSN":"0003-5483","shortTitle":"Color Terms in Mecca","language":"English","author":[{"family":"Al-Jehani","given":"Nasir"}],"issued":{"date-parts":[["1990"]]}}}],"schema":"https://github.com/citation-style-language/schema/raw/master/csl-citation.json"} </w:instrText>
      </w:r>
      <w:r w:rsidR="00EB37C4" w:rsidRPr="00CF31E0">
        <w:fldChar w:fldCharType="separate"/>
      </w:r>
      <w:r w:rsidR="001A7B85" w:rsidRPr="00CF31E0">
        <w:rPr>
          <w:noProof/>
        </w:rPr>
        <w:t>(Al-Jehani, 1990)</w:t>
      </w:r>
      <w:r w:rsidR="00EB37C4" w:rsidRPr="00CF31E0">
        <w:fldChar w:fldCharType="end"/>
      </w:r>
      <w:r w:rsidRPr="00CF31E0">
        <w:t>. The first social group is called</w:t>
      </w:r>
      <w:r w:rsidR="00225BF1" w:rsidRPr="00CF31E0">
        <w:t xml:space="preserve"> urban</w:t>
      </w:r>
      <w:r w:rsidRPr="00CF31E0">
        <w:t xml:space="preserve"> Bedouin Hijazi</w:t>
      </w:r>
      <w:r w:rsidR="00BA1589" w:rsidRPr="00CF31E0">
        <w:t>.</w:t>
      </w:r>
      <w:r w:rsidR="00344B8C" w:rsidRPr="00CF31E0">
        <w:t xml:space="preserve"> </w:t>
      </w:r>
      <w:r w:rsidR="00BA1589" w:rsidRPr="00CF31E0">
        <w:t>This social group</w:t>
      </w:r>
      <w:r w:rsidR="002775F4" w:rsidRPr="00CF31E0">
        <w:t xml:space="preserve"> originate</w:t>
      </w:r>
      <w:r w:rsidR="00BA1589" w:rsidRPr="00CF31E0">
        <w:t>d</w:t>
      </w:r>
      <w:r w:rsidR="00344B8C" w:rsidRPr="00CF31E0">
        <w:t xml:space="preserve"> from</w:t>
      </w:r>
      <w:r w:rsidRPr="00CF31E0">
        <w:t xml:space="preserve"> </w:t>
      </w:r>
      <w:r w:rsidR="002775F4" w:rsidRPr="00CF31E0">
        <w:t xml:space="preserve">the </w:t>
      </w:r>
      <w:r w:rsidRPr="00CF31E0">
        <w:t>Arabian Peninsula</w:t>
      </w:r>
      <w:r w:rsidR="00A62D07" w:rsidRPr="00CF31E0">
        <w:t xml:space="preserve"> and chose </w:t>
      </w:r>
      <w:r w:rsidR="002775F4" w:rsidRPr="00CF31E0">
        <w:t xml:space="preserve">to settle in </w:t>
      </w:r>
      <w:r w:rsidR="00A62D07" w:rsidRPr="00CF31E0">
        <w:t xml:space="preserve">interior Hijaz </w:t>
      </w:r>
      <w:r w:rsidR="001A3F9F" w:rsidRPr="00CF31E0">
        <w:fldChar w:fldCharType="begin"/>
      </w:r>
      <w:r w:rsidR="00A54129" w:rsidRPr="00CF31E0">
        <w:instrText xml:space="preserve"> ADDIN ZOTERO_ITEM CSL_CITATION {"citationID":"UEdyCYDL","properties":{"formattedCitation":"(Nasir Al-Jehani, 1990; Nahedh, 1989)","plainCitation":"(Nasir Al-Jehani, 1990; Nahedh, 1989)","dontUpdate":true,"noteIndex":0},"citationItems":[{"id":480,"uris":["http://zotero.org/users/1939618/items/R9E5Q4TA"],"uri":["http://zotero.org/users/1939618/items/R9E5Q4TA"],"itemData":{"id":480,"type":"article-journal","title":"Color Terms in Mecca: A Sociolinguistic Perspective","container-title":"Anthropological Linguistics","page":"163–74","volume":"32","issue":"1-2","source":"find.shef.ac.uk","abstract":"The present study focuses on the variability in color labeling by Meccan speakers of Arabic from different social backgrounds, a subject only marginally considered in the existing literature. Color labeling was found to strongly correlate with the sex, ethnic background, and age of speakers.","ISSN":"0003-5483","shortTitle":"Color Terms in Mecca","language":"English","author":[{"family":"Al-Jehani","given":"Nasir"}],"issued":{"date-parts":[["1990"]]}},"label":"page"},{"id":515,"uris":["http://zotero.org/users/1939618/items/J2X24F6B"],"uri":["http://zotero.org/users/1939618/items/J2X24F6B"],"itemData":{"id":515,"type":"thesis","title":"The sedentarization of a Bedouin community in Saudi Arabia (doctoral dissertation)","publisher":"University of Leeds","source":"Zotero","abstract":"This thesis examines the sedentarization of bedouin nomads in Saudi Arabia: partly in general, but mostly focussing on a particular region (Sajir) which was studied in the field.","language":"en","author":[{"family":"Nahedh","given":"Monera"}],"issued":{"date-parts":[["1989"]]}},"label":"page"}],"schema":"https://github.com/citation-style-language/schema/raw/master/csl-citation.json"} </w:instrText>
      </w:r>
      <w:r w:rsidR="001A3F9F" w:rsidRPr="00CF31E0">
        <w:fldChar w:fldCharType="separate"/>
      </w:r>
      <w:r w:rsidR="001A7B85" w:rsidRPr="00CF31E0">
        <w:rPr>
          <w:noProof/>
        </w:rPr>
        <w:t>(Al-Jehani, 1990; Nahedh, 1989)</w:t>
      </w:r>
      <w:r w:rsidR="001A3F9F" w:rsidRPr="00CF31E0">
        <w:fldChar w:fldCharType="end"/>
      </w:r>
      <w:r w:rsidR="001A3F9F" w:rsidRPr="00CF31E0">
        <w:t xml:space="preserve"> </w:t>
      </w:r>
      <w:r w:rsidR="00F0046F" w:rsidRPr="00CF31E0">
        <w:t xml:space="preserve">The Arabian Peninsula was </w:t>
      </w:r>
      <w:r w:rsidR="00F0046F" w:rsidRPr="00CF31E0">
        <w:lastRenderedPageBreak/>
        <w:t xml:space="preserve">originally inhabited by Arab tribes who were genealogically tied </w:t>
      </w:r>
      <w:r w:rsidR="00F0046F" w:rsidRPr="00CF31E0">
        <w:fldChar w:fldCharType="begin"/>
      </w:r>
      <w:r w:rsidR="00F0046F" w:rsidRPr="00CF31E0">
        <w:instrText xml:space="preserve"> ADDIN ZOTERO_ITEM CSL_CITATION {"citationID":"st8tVfBf","properties":{"formattedCitation":"(Ingham, 1986)","plainCitation":"(Ingham, 1986)","noteIndex":0},"citationItems":[{"id":135,"uris":["http://zotero.org/users/1939618/items/7KBX4XWK"],"uri":["http://zotero.org/users/1939618/items/7KBX4XWK"],"itemData":{"id":135,"type":"article-journal","title":"Notes on the dialect of the Āl Murra of eastern and southern Arabia","container-title":"Bulletin of the School of Oriental and African Studies","page":"271–291","volume":"49","issue":"02","source":"Google Scholar","author":[{"family":"Ingham","given":"Bruce"}],"issued":{"date-parts":[["1986"]]}}}],"schema":"https://github.com/citation-style-language/schema/raw/master/csl-citation.json"} </w:instrText>
      </w:r>
      <w:r w:rsidR="00F0046F" w:rsidRPr="00CF31E0">
        <w:fldChar w:fldCharType="separate"/>
      </w:r>
      <w:r w:rsidR="00F0046F" w:rsidRPr="00CF31E0">
        <w:rPr>
          <w:noProof/>
        </w:rPr>
        <w:t>(Ingham, 1986)</w:t>
      </w:r>
      <w:r w:rsidR="00F0046F" w:rsidRPr="00CF31E0">
        <w:fldChar w:fldCharType="end"/>
      </w:r>
      <w:r w:rsidR="00F0046F" w:rsidRPr="00CF31E0">
        <w:t xml:space="preserve">. </w:t>
      </w:r>
      <w:r w:rsidRPr="00CF31E0">
        <w:t xml:space="preserve">Arabian </w:t>
      </w:r>
      <w:r w:rsidR="00BA1589" w:rsidRPr="00CF31E0">
        <w:t>P</w:t>
      </w:r>
      <w:r w:rsidRPr="00CF31E0">
        <w:t xml:space="preserve">eninsula tribes </w:t>
      </w:r>
      <w:r w:rsidR="00BA1589" w:rsidRPr="00CF31E0">
        <w:t>have</w:t>
      </w:r>
      <w:r w:rsidRPr="00CF31E0">
        <w:t xml:space="preserve"> two main </w:t>
      </w:r>
      <w:r w:rsidR="001B3A35" w:rsidRPr="00CF31E0">
        <w:t>characteristics</w:t>
      </w:r>
      <w:r w:rsidR="00BA1589" w:rsidRPr="00CF31E0">
        <w:t>. F</w:t>
      </w:r>
      <w:r w:rsidRPr="00CF31E0">
        <w:t xml:space="preserve">irst; they </w:t>
      </w:r>
      <w:r w:rsidR="00A33E67" w:rsidRPr="00CF31E0">
        <w:t xml:space="preserve">are very strict </w:t>
      </w:r>
      <w:r w:rsidR="00BA1589" w:rsidRPr="00CF31E0">
        <w:t>regarding</w:t>
      </w:r>
      <w:r w:rsidR="00A33E67" w:rsidRPr="00CF31E0">
        <w:t xml:space="preserve"> intermarriage rules as tribe members are not allowed to intermarry </w:t>
      </w:r>
      <w:r w:rsidR="00BA1589" w:rsidRPr="00CF31E0">
        <w:t xml:space="preserve">with </w:t>
      </w:r>
      <w:r w:rsidR="00A33E67" w:rsidRPr="00CF31E0">
        <w:t xml:space="preserve">non-tribal </w:t>
      </w:r>
      <w:r w:rsidR="002B0CDB" w:rsidRPr="00CF31E0">
        <w:t>members</w:t>
      </w:r>
      <w:r w:rsidR="00BA1589" w:rsidRPr="00CF31E0">
        <w:t>.</w:t>
      </w:r>
      <w:r w:rsidR="00A33E67" w:rsidRPr="00CF31E0">
        <w:t xml:space="preserve"> </w:t>
      </w:r>
      <w:r w:rsidR="00BA1589" w:rsidRPr="00CF31E0">
        <w:t xml:space="preserve">This is </w:t>
      </w:r>
      <w:r w:rsidR="00A33E67" w:rsidRPr="00CF31E0">
        <w:t xml:space="preserve">to </w:t>
      </w:r>
      <w:r w:rsidR="00BA1589" w:rsidRPr="00CF31E0">
        <w:t xml:space="preserve">maintain the </w:t>
      </w:r>
      <w:r w:rsidR="00A33E67" w:rsidRPr="00CF31E0">
        <w:t xml:space="preserve">pure blood </w:t>
      </w:r>
      <w:r w:rsidR="00BA1589" w:rsidRPr="00CF31E0">
        <w:t xml:space="preserve">line </w:t>
      </w:r>
      <w:r w:rsidR="00A33E67" w:rsidRPr="00CF31E0">
        <w:t>of the tribes</w:t>
      </w:r>
      <w:r w:rsidR="00BA1589" w:rsidRPr="00CF31E0">
        <w:t>,</w:t>
      </w:r>
      <w:r w:rsidR="002B0CDB" w:rsidRPr="00CF31E0">
        <w:t xml:space="preserve"> which allow</w:t>
      </w:r>
      <w:r w:rsidR="00BA1589" w:rsidRPr="00CF31E0">
        <w:t>s</w:t>
      </w:r>
      <w:r w:rsidR="002B0CDB" w:rsidRPr="00CF31E0">
        <w:t xml:space="preserve"> them to retain their tribal genealogy for generations</w:t>
      </w:r>
      <w:r w:rsidR="00A33E67" w:rsidRPr="00CF31E0">
        <w:t xml:space="preserve"> </w:t>
      </w:r>
      <w:r w:rsidR="002B0CDB" w:rsidRPr="00CF31E0">
        <w:fldChar w:fldCharType="begin"/>
      </w:r>
      <w:r w:rsidR="00A54129" w:rsidRPr="00CF31E0">
        <w:instrText xml:space="preserve"> ADDIN ZOTERO_ITEM CSL_CITATION {"citationID":"YcrLbJZC","properties":{"formattedCitation":"(Nahedh, 1989)","plainCitation":"(Nahedh, 1989)","noteIndex":0},"citationItems":[{"id":515,"uris":["http://zotero.org/users/1939618/items/J2X24F6B"],"uri":["http://zotero.org/users/1939618/items/J2X24F6B"],"itemData":{"id":515,"type":"thesis","title":"The sedentarization of a Bedouin community in Saudi Arabia (doctoral dissertation)","publisher":"University of Leeds","source":"Zotero","abstract":"This thesis examines the sedentarization of bedouin nomads in Saudi Arabia: partly in general, but mostly focussing on a particular region (Sajir) which was studied in the field.","language":"en","author":[{"family":"Nahedh","given":"Monera"}],"issued":{"date-parts":[["1989"]]}}}],"schema":"https://github.com/citation-style-language/schema/raw/master/csl-citation.json"} </w:instrText>
      </w:r>
      <w:r w:rsidR="002B0CDB" w:rsidRPr="00CF31E0">
        <w:fldChar w:fldCharType="separate"/>
      </w:r>
      <w:r w:rsidR="002B0CDB" w:rsidRPr="00CF31E0">
        <w:rPr>
          <w:noProof/>
        </w:rPr>
        <w:t>(Nahedh, 1989)</w:t>
      </w:r>
      <w:r w:rsidR="002B0CDB" w:rsidRPr="00CF31E0">
        <w:fldChar w:fldCharType="end"/>
      </w:r>
      <w:r w:rsidR="002B0CDB" w:rsidRPr="00CF31E0">
        <w:t xml:space="preserve">. </w:t>
      </w:r>
      <w:r w:rsidRPr="00CF31E0">
        <w:t>Second, they are characterized</w:t>
      </w:r>
      <w:r w:rsidR="00BE0496" w:rsidRPr="00CF31E0">
        <w:t xml:space="preserve"> by</w:t>
      </w:r>
      <w:r w:rsidRPr="00CF31E0">
        <w:t xml:space="preserve"> their loyalty and affinity to their tribes </w:t>
      </w:r>
      <w:r w:rsidRPr="00CF31E0">
        <w:fldChar w:fldCharType="begin"/>
      </w:r>
      <w:r w:rsidR="00A54129" w:rsidRPr="00CF31E0">
        <w:instrText xml:space="preserve"> ADDIN ZOTERO_ITEM CSL_CITATION {"citationID":"D9VVo0KC","properties":{"formattedCitation":"(Nahedh, 1989)","plainCitation":"(Nahedh, 1989)","noteIndex":0},"citationItems":[{"id":515,"uris":["http://zotero.org/users/1939618/items/J2X24F6B"],"uri":["http://zotero.org/users/1939618/items/J2X24F6B"],"itemData":{"id":515,"type":"thesis","title":"The sedentarization of a Bedouin community in Saudi Arabia (doctoral dissertation)","publisher":"University of Leeds","source":"Zotero","abstract":"This thesis examines the sedentarization of bedouin nomads in Saudi Arabia: partly in general, but mostly focussing on a particular region (Sajir) which was studied in the field.","language":"en","author":[{"family":"Nahedh","given":"Monera"}],"issued":{"date-parts":[["1989"]]}}}],"schema":"https://github.com/citation-style-language/schema/raw/master/csl-citation.json"} </w:instrText>
      </w:r>
      <w:r w:rsidRPr="00CF31E0">
        <w:fldChar w:fldCharType="separate"/>
      </w:r>
      <w:r w:rsidRPr="00CF31E0">
        <w:rPr>
          <w:noProof/>
        </w:rPr>
        <w:t>(Nahedh, 1989)</w:t>
      </w:r>
      <w:r w:rsidRPr="00CF31E0">
        <w:fldChar w:fldCharType="end"/>
      </w:r>
      <w:r w:rsidR="00A33E67" w:rsidRPr="00CF31E0">
        <w:t xml:space="preserve">. </w:t>
      </w:r>
      <w:r w:rsidR="00BA1589" w:rsidRPr="00CF31E0">
        <w:t>T</w:t>
      </w:r>
      <w:r w:rsidR="00A33E67" w:rsidRPr="00CF31E0">
        <w:t>he Hijaz region has many large tribes suc</w:t>
      </w:r>
      <w:r w:rsidR="00313B37" w:rsidRPr="00CF31E0">
        <w:t>h as Harb, Juhaina, Otaiba and Quraish</w:t>
      </w:r>
      <w:r w:rsidR="00A33E67" w:rsidRPr="00CF31E0">
        <w:t xml:space="preserve">. </w:t>
      </w:r>
      <w:r w:rsidR="00F72404" w:rsidRPr="00CF31E0">
        <w:t>T</w:t>
      </w:r>
      <w:r w:rsidR="00A33E67" w:rsidRPr="00CF31E0">
        <w:t xml:space="preserve">he Harb tribe is the most widespread and dominant one in the area </w:t>
      </w:r>
      <w:r w:rsidR="00A33E67" w:rsidRPr="00CF31E0">
        <w:fldChar w:fldCharType="begin"/>
      </w:r>
      <w:r w:rsidR="00A33E67" w:rsidRPr="00CF31E0">
        <w:instrText xml:space="preserve"> ADDIN ZOTERO_ITEM CSL_CITATION {"citationID":"0wPXIcir","properties":{"formattedCitation":"(Rutter, 1931)","plainCitation":"(Rutter, 1931)","noteIndex":0},"citationItems":[{"id":493,"uris":["http://zotero.org/users/1939618/items/38ANS56I"],"uri":["http://zotero.org/users/1939618/items/38ANS56I"],"itemData":{"id":493,"type":"article-journal","title":"The Hejaz","container-title":"The Geographical Journal","page":"97-108","volume":"77","issue":"2","source":"JSTOR","DOI":"10.2307/1784385","ISSN":"0016-7398","author":[{"family":"Rutter","given":"Eldon"}],"issued":{"date-parts":[["1931"]]}}}],"schema":"https://github.com/citation-style-language/schema/raw/master/csl-citation.json"} </w:instrText>
      </w:r>
      <w:r w:rsidR="00A33E67" w:rsidRPr="00CF31E0">
        <w:fldChar w:fldCharType="separate"/>
      </w:r>
      <w:r w:rsidR="00A33E67" w:rsidRPr="00CF31E0">
        <w:rPr>
          <w:noProof/>
        </w:rPr>
        <w:t>(Rutter, 1931)</w:t>
      </w:r>
      <w:r w:rsidR="00A33E67" w:rsidRPr="00CF31E0">
        <w:fldChar w:fldCharType="end"/>
      </w:r>
      <w:r w:rsidR="00A33E67" w:rsidRPr="00CF31E0">
        <w:t xml:space="preserve">. It has been considered as “the largest gainers” from trade money in Hijaz </w:t>
      </w:r>
      <w:r w:rsidR="00A33E67" w:rsidRPr="00CF31E0">
        <w:fldChar w:fldCharType="begin"/>
      </w:r>
      <w:r w:rsidR="00CD34CA" w:rsidRPr="00CF31E0">
        <w:instrText xml:space="preserve"> ADDIN ZOTERO_ITEM CSL_CITATION {"citationID":"r7gNbX0b","properties":{"formattedCitation":"(Ochsenwald, 1984, p. 32)","plainCitation":"(Ochsenwald, 1984, p. 32)","noteIndex":0},"citationItems":[{"id":101,"uris":["http://zotero.org/users/1939618/items/FUUT425D"],"uri":["http://zotero.org/users/1939618/items/FUUT425D"],"itemData":{"id":101,"type":"book","title":"Religion, society, and the state in Arabia: the Hijaz under Ottoman control, 1840-1908","publisher":"The Ohio State University Press","publisher-place":"Colombus","source":"kb.osu.edu","event-place":"Colombus","abstract":"(print) xiii, 241 p. : ill. ; 24 cm","URL":"http://hdl.handle.net/1811/24661","ISBN":"0814203663","note":"(print) xiii, 241 p. : ill. ; 24 cm","shortTitle":"Religion, society, and the state in Arabia","language":"en","author":[{"family":"Ochsenwald","given":"William"}],"issued":{"date-parts":[["1984"]]},"accessed":{"date-parts":[["2015",1,19]]}},"locator":"32","label":"page"}],"schema":"https://github.com/citation-style-language/schema/raw/master/csl-citation.json"} </w:instrText>
      </w:r>
      <w:r w:rsidR="00A33E67" w:rsidRPr="00CF31E0">
        <w:fldChar w:fldCharType="separate"/>
      </w:r>
      <w:r w:rsidR="00A33E67" w:rsidRPr="00CF31E0">
        <w:rPr>
          <w:noProof/>
        </w:rPr>
        <w:t>(Ochsenwald, 1984, p. 32)</w:t>
      </w:r>
      <w:r w:rsidR="00A33E67" w:rsidRPr="00CF31E0">
        <w:fldChar w:fldCharType="end"/>
      </w:r>
      <w:r w:rsidR="00A33E67" w:rsidRPr="00CF31E0">
        <w:t xml:space="preserve">. </w:t>
      </w:r>
      <w:r w:rsidR="002B0CDB" w:rsidRPr="00CF31E0">
        <w:t>Histo</w:t>
      </w:r>
      <w:r w:rsidR="00F8112F" w:rsidRPr="00CF31E0">
        <w:t>rical records indicate that Hijaz tribes mainly</w:t>
      </w:r>
      <w:r w:rsidR="002B0CDB" w:rsidRPr="00CF31E0">
        <w:t xml:space="preserve"> lived in rural places </w:t>
      </w:r>
      <w:r w:rsidR="00F72404" w:rsidRPr="00CF31E0">
        <w:t>where they mainly worked</w:t>
      </w:r>
      <w:r w:rsidR="002B0CDB" w:rsidRPr="00CF31E0">
        <w:t xml:space="preserve"> in farming and herding</w:t>
      </w:r>
      <w:r w:rsidR="00F72404" w:rsidRPr="00CF31E0">
        <w:t>.</w:t>
      </w:r>
      <w:r w:rsidR="002B0CDB" w:rsidRPr="00CF31E0">
        <w:t xml:space="preserve"> </w:t>
      </w:r>
      <w:r w:rsidR="00F72404" w:rsidRPr="00CF31E0">
        <w:t>T</w:t>
      </w:r>
      <w:r w:rsidRPr="00CF31E0">
        <w:t xml:space="preserve">hey </w:t>
      </w:r>
      <w:r w:rsidR="002B0CDB" w:rsidRPr="00CF31E0">
        <w:t>started to settle in urban centres</w:t>
      </w:r>
      <w:r w:rsidR="00313B37" w:rsidRPr="00CF31E0">
        <w:t xml:space="preserve"> after the </w:t>
      </w:r>
      <w:r w:rsidR="00F72404" w:rsidRPr="00CF31E0">
        <w:t xml:space="preserve">emergence of </w:t>
      </w:r>
      <w:r w:rsidR="00313B37" w:rsidRPr="00CF31E0">
        <w:t xml:space="preserve">economic prosperity in the </w:t>
      </w:r>
      <w:r w:rsidR="005D0894" w:rsidRPr="00CF31E0">
        <w:t>country</w:t>
      </w:r>
      <w:r w:rsidR="00313B37" w:rsidRPr="00CF31E0">
        <w:t xml:space="preserve"> </w:t>
      </w:r>
      <w:r w:rsidR="00313B37" w:rsidRPr="00CF31E0">
        <w:fldChar w:fldCharType="begin"/>
      </w:r>
      <w:r w:rsidR="00A54129" w:rsidRPr="00CF31E0">
        <w:instrText xml:space="preserve"> ADDIN ZOTERO_ITEM CSL_CITATION {"citationID":"aoiFCFyJ","properties":{"formattedCitation":"(Nassir Al-Jehani, 1985)","plainCitation":"(Nassir Al-Jehani, 1985)","dontUpdate":true,"noteIndex":0},"citationItems":[{"id":537,"uris":["http://zotero.org/users/1939618/items/CKTFSSZ4"],"uri":["http://zotero.org/users/1939618/items/CKTFSSZ4"],"itemData":{"id":537,"type":"thesis","title":"Sociostylistic stratification of Arabic in Makkah (doctoral dissertation)","publisher":"University of Michigan","URL":"https://www.researchgate.net/publication/36173456_SOCIOSTYLISTIC_STRATIFICATION_OF_ARABIC_IN_MAKKAH_SOCIOLINGUISTICS_VARIATION_SAUDI_ARABIA","language":"en","author":[{"family":"Al-Jehani","given":"Nassir"}],"issued":{"date-parts":[["1985"]]},"accessed":{"date-parts":[["2018",7,12]]}}}],"schema":"https://github.com/citation-style-language/schema/raw/master/csl-citation.json"} </w:instrText>
      </w:r>
      <w:r w:rsidR="00313B37" w:rsidRPr="00CF31E0">
        <w:fldChar w:fldCharType="separate"/>
      </w:r>
      <w:r w:rsidR="00313B37" w:rsidRPr="00CF31E0">
        <w:rPr>
          <w:noProof/>
        </w:rPr>
        <w:t>(Al-Jehani, 1985)</w:t>
      </w:r>
      <w:r w:rsidR="00313B37" w:rsidRPr="00CF31E0">
        <w:fldChar w:fldCharType="end"/>
      </w:r>
      <w:r w:rsidR="002B0CDB" w:rsidRPr="00CF31E0">
        <w:t xml:space="preserve">. </w:t>
      </w:r>
    </w:p>
    <w:p w14:paraId="7DC8E599" w14:textId="1F086547" w:rsidR="001B3A35" w:rsidRPr="00CF31E0" w:rsidRDefault="008E0653" w:rsidP="00603CB7">
      <w:pPr>
        <w:pStyle w:val="Paragraph"/>
        <w:rPr>
          <w:lang w:val="en-US"/>
        </w:rPr>
      </w:pPr>
      <w:r w:rsidRPr="00CF31E0">
        <w:t xml:space="preserve">The second </w:t>
      </w:r>
      <w:r w:rsidR="00F72404" w:rsidRPr="00CF31E0">
        <w:t xml:space="preserve">main </w:t>
      </w:r>
      <w:r w:rsidRPr="00CF31E0">
        <w:t>social group consists of settlers or newcomers to Hijaz, mainly o</w:t>
      </w:r>
      <w:r w:rsidR="0085371C" w:rsidRPr="00CF31E0">
        <w:t>verstayed pilgrims</w:t>
      </w:r>
      <w:r w:rsidR="001A3F9F" w:rsidRPr="00CF31E0">
        <w:t xml:space="preserve"> </w:t>
      </w:r>
      <w:r w:rsidR="001A3F9F" w:rsidRPr="00CF31E0">
        <w:fldChar w:fldCharType="begin"/>
      </w:r>
      <w:r w:rsidR="00A54129" w:rsidRPr="00CF31E0">
        <w:instrText xml:space="preserve"> ADDIN ZOTERO_ITEM CSL_CITATION {"citationID":"Af6x8CeD","properties":{"formattedCitation":"(Nasir Al-Jehani, 1990; Nahedh, 1989)","plainCitation":"(Nasir Al-Jehani, 1990; Nahedh, 1989)","dontUpdate":true,"noteIndex":0},"citationItems":[{"id":480,"uris":["http://zotero.org/users/1939618/items/R9E5Q4TA"],"uri":["http://zotero.org/users/1939618/items/R9E5Q4TA"],"itemData":{"id":480,"type":"article-journal","title":"Color Terms in Mecca: A Sociolinguistic Perspective","container-title":"Anthropological Linguistics","page":"163–74","volume":"32","issue":"1-2","source":"find.shef.ac.uk","abstract":"The present study focuses on the variability in color labeling by Meccan speakers of Arabic from different social backgrounds, a subject only marginally considered in the existing literature. Color labeling was found to strongly correlate with the sex, ethnic background, and age of speakers.","ISSN":"0003-5483","shortTitle":"Color Terms in Mecca","language":"English","author":[{"family":"Al-Jehani","given":"Nasir"}],"issued":{"date-parts":[["1990"]]}},"label":"page"},{"id":515,"uris":["http://zotero.org/users/1939618/items/J2X24F6B"],"uri":["http://zotero.org/users/1939618/items/J2X24F6B"],"itemData":{"id":515,"type":"thesis","title":"The sedentarization of a Bedouin community in Saudi Arabia (doctoral dissertation)","publisher":"University of Leeds","source":"Zotero","abstract":"This thesis examines the sedentarization of bedouin nomads in Saudi Arabia: partly in general, but mostly focussing on a particular region (Sajir) which was studied in the field.","language":"en","author":[{"family":"Nahedh","given":"Monera"}],"issued":{"date-parts":[["1989"]]}},"label":"page"}],"schema":"https://github.com/citation-style-language/schema/raw/master/csl-citation.json"} </w:instrText>
      </w:r>
      <w:r w:rsidR="001A3F9F" w:rsidRPr="00CF31E0">
        <w:fldChar w:fldCharType="separate"/>
      </w:r>
      <w:r w:rsidR="001A7B85" w:rsidRPr="00CF31E0">
        <w:rPr>
          <w:noProof/>
        </w:rPr>
        <w:t>(Al-Jehani, 1990; Nahedh, 1989)</w:t>
      </w:r>
      <w:r w:rsidR="001A3F9F" w:rsidRPr="00CF31E0">
        <w:fldChar w:fldCharType="end"/>
      </w:r>
      <w:r w:rsidR="001A3F9F" w:rsidRPr="00CF31E0">
        <w:t xml:space="preserve">. </w:t>
      </w:r>
      <w:r w:rsidR="00225BF1" w:rsidRPr="00CF31E0">
        <w:t xml:space="preserve">This settler group is called Hadari Hijazi. </w:t>
      </w:r>
      <w:r w:rsidRPr="00CF31E0">
        <w:t xml:space="preserve">They </w:t>
      </w:r>
      <w:r w:rsidR="001E6C95" w:rsidRPr="00CF31E0">
        <w:t>settled</w:t>
      </w:r>
      <w:r w:rsidRPr="00CF31E0">
        <w:t xml:space="preserve"> mainly in urban </w:t>
      </w:r>
      <w:r w:rsidR="001E6C95" w:rsidRPr="00CF31E0">
        <w:t>centres</w:t>
      </w:r>
      <w:r w:rsidRPr="00CF31E0">
        <w:t xml:space="preserve"> in Hijaz</w:t>
      </w:r>
      <w:r w:rsidR="00F72404" w:rsidRPr="00CF31E0">
        <w:t xml:space="preserve">: </w:t>
      </w:r>
      <w:r w:rsidR="00D30B2F">
        <w:t>Makkah</w:t>
      </w:r>
      <w:r w:rsidRPr="00CF31E0">
        <w:t xml:space="preserve">, Jeddah and </w:t>
      </w:r>
      <w:r w:rsidR="0015785F" w:rsidRPr="00CF31E0">
        <w:t>Al-Madina</w:t>
      </w:r>
      <w:r w:rsidRPr="00CF31E0">
        <w:t>. This group is characterized by the incorporation of different ethnic groups from all around the Islamic</w:t>
      </w:r>
      <w:r w:rsidR="001B3A35" w:rsidRPr="00CF31E0">
        <w:t xml:space="preserve"> world</w:t>
      </w:r>
      <w:r w:rsidR="00F72404" w:rsidRPr="00CF31E0">
        <w:t>,</w:t>
      </w:r>
      <w:r w:rsidR="001B3A35" w:rsidRPr="00CF31E0">
        <w:t xml:space="preserve"> such as </w:t>
      </w:r>
      <w:r w:rsidR="0060072F" w:rsidRPr="00CF31E0">
        <w:rPr>
          <w:lang w:val="en-US"/>
        </w:rPr>
        <w:t>Egypt, Yemen, Indonesia, India, Iraq, Levant, Turkey, Tunisia, China, Algeria, and Afghan</w:t>
      </w:r>
      <w:r w:rsidR="00F72404" w:rsidRPr="00CF31E0">
        <w:rPr>
          <w:lang w:val="en-US"/>
        </w:rPr>
        <w:t>istan</w:t>
      </w:r>
      <w:r w:rsidR="001B3A35" w:rsidRPr="00CF31E0">
        <w:rPr>
          <w:lang w:val="en-US"/>
        </w:rPr>
        <w:t xml:space="preserve">. </w:t>
      </w:r>
      <w:r w:rsidR="00313B37" w:rsidRPr="00CF31E0">
        <w:rPr>
          <w:lang w:val="en-US"/>
        </w:rPr>
        <w:t>Interestingly, some settlers’</w:t>
      </w:r>
      <w:r w:rsidR="00F72404" w:rsidRPr="00CF31E0">
        <w:rPr>
          <w:lang w:val="en-US"/>
        </w:rPr>
        <w:t xml:space="preserve"> </w:t>
      </w:r>
      <w:r w:rsidR="001B3A35" w:rsidRPr="00CF31E0">
        <w:rPr>
          <w:lang w:val="en-US"/>
        </w:rPr>
        <w:t xml:space="preserve">surnames carry their original nationality, such as: ‘the Egyptian’, ‘the Yemeni’, ‘the Indonesian’, ‘the Indian’, ‘the Iraqi’, ‘the Levantine’, ‘the Turkish’, ‘the Tunisian’, ‘the Chinese’, </w:t>
      </w:r>
      <w:r w:rsidR="0060072F" w:rsidRPr="00CF31E0">
        <w:rPr>
          <w:lang w:val="en-US"/>
        </w:rPr>
        <w:t xml:space="preserve">‘the Algerian’ and ‘the Afghan’ </w:t>
      </w:r>
      <w:r w:rsidR="0060072F" w:rsidRPr="00CF31E0">
        <w:rPr>
          <w:lang w:val="en-US"/>
        </w:rPr>
        <w:fldChar w:fldCharType="begin"/>
      </w:r>
      <w:r w:rsidR="0060072F" w:rsidRPr="00CF31E0">
        <w:rPr>
          <w:lang w:val="en-US"/>
        </w:rPr>
        <w:instrText xml:space="preserve"> ADDIN ZOTERO_ITEM CSL_CITATION {"citationID":"z5Edtwvs","properties":{"formattedCitation":"(Al-Ansari, 1970)","plainCitation":"(Al-Ansari, 1970)","noteIndex":0},"citationItems":[{"id":377,"uris":["http://zotero.org/users/1939618/items/5DGNNAUN"],"uri":["http://zotero.org/users/1939618/items/5DGNNAUN"],"itemData":{"id":377,"type":"book","title":"</w:instrText>
      </w:r>
      <w:r w:rsidR="0060072F" w:rsidRPr="00CF31E0">
        <w:rPr>
          <w:rtl/>
          <w:lang w:val="en-US"/>
        </w:rPr>
        <w:instrText>تحفة المحبين والأصحاب فى معرفة ما للمدنيين من الأنساب</w:instrText>
      </w:r>
      <w:r w:rsidR="0060072F" w:rsidRPr="00CF31E0">
        <w:rPr>
          <w:lang w:val="en-US"/>
        </w:rPr>
        <w:instrText>","publisher":"Almaktaba Ala-Atika","publisher-place":"Tunisia","source":"Internet Archive","event-place":"Tunisia","abstract":"</w:instrText>
      </w:r>
      <w:r w:rsidR="0060072F" w:rsidRPr="00CF31E0">
        <w:rPr>
          <w:rtl/>
          <w:lang w:val="en-US"/>
        </w:rPr>
        <w:instrText>كتاب تحفة المحبين والأصحاب في معرفة ما للمدنيين من الأنسابالقُرْمِيِّة المدنيةالمؤلف الأستاذ عبد الرحمن بن عبد الكريم الأنصاريالمحقق الدكتور محمد العروسي المطويمَكْتَبَةُ عُلُومِ النَّسَبِاَللَّهُمَّ صَلِّ عَلَى مُحَمَّدٍ وَآلِ مُحَمَّدٍ</w:instrText>
      </w:r>
      <w:r w:rsidR="0060072F" w:rsidRPr="00CF31E0">
        <w:rPr>
          <w:lang w:val="en-US"/>
        </w:rPr>
        <w:instrText xml:space="preserve">","URL":"http://archive.org/details/olomnasb_ymail_201611","language":"Arabic","author":[{"family":"Al-Ansari","given":"Abdulrahman"}],"issued":{"date-parts":[["1970"]]},"accessed":{"date-parts":[["2018",4,4]]}}}],"schema":"https://github.com/citation-style-language/schema/raw/master/csl-citation.json"} </w:instrText>
      </w:r>
      <w:r w:rsidR="0060072F" w:rsidRPr="00CF31E0">
        <w:rPr>
          <w:lang w:val="en-US"/>
        </w:rPr>
        <w:fldChar w:fldCharType="separate"/>
      </w:r>
      <w:r w:rsidR="0060072F" w:rsidRPr="00CF31E0">
        <w:rPr>
          <w:noProof/>
          <w:lang w:val="en-US"/>
        </w:rPr>
        <w:t>(Al-Ansari, 1970)</w:t>
      </w:r>
      <w:r w:rsidR="0060072F" w:rsidRPr="00CF31E0">
        <w:rPr>
          <w:lang w:val="en-US"/>
        </w:rPr>
        <w:fldChar w:fldCharType="end"/>
      </w:r>
      <w:r w:rsidR="0060072F" w:rsidRPr="00CF31E0">
        <w:rPr>
          <w:lang w:val="en-US"/>
        </w:rPr>
        <w:t>.</w:t>
      </w:r>
    </w:p>
    <w:p w14:paraId="6D540DF4" w14:textId="79A87BC9" w:rsidR="00F0046F" w:rsidRPr="00CF31E0" w:rsidRDefault="00612411" w:rsidP="00603CB7">
      <w:pPr>
        <w:pStyle w:val="Paragraph"/>
      </w:pPr>
      <w:r w:rsidRPr="00CF31E0">
        <w:t>In section</w:t>
      </w:r>
      <w:r w:rsidR="000934AC" w:rsidRPr="00CF31E0">
        <w:t xml:space="preserve">s </w:t>
      </w:r>
      <w:r w:rsidR="0095285F" w:rsidRPr="00CF31E0">
        <w:t>2</w:t>
      </w:r>
      <w:r w:rsidR="000934AC" w:rsidRPr="00CF31E0">
        <w:t xml:space="preserve">.13 and </w:t>
      </w:r>
      <w:r w:rsidR="0095285F" w:rsidRPr="00CF31E0">
        <w:t>2</w:t>
      </w:r>
      <w:r w:rsidR="000934AC" w:rsidRPr="00CF31E0">
        <w:t>.14,</w:t>
      </w:r>
      <w:r w:rsidRPr="00CF31E0">
        <w:t xml:space="preserve"> I will </w:t>
      </w:r>
      <w:r w:rsidR="008E0653" w:rsidRPr="00CF31E0">
        <w:t xml:space="preserve">discuss </w:t>
      </w:r>
      <w:r w:rsidR="00D445B0" w:rsidRPr="00CF31E0">
        <w:t xml:space="preserve">in detail </w:t>
      </w:r>
      <w:r w:rsidRPr="00CF31E0">
        <w:t xml:space="preserve">how the changes in </w:t>
      </w:r>
      <w:r w:rsidR="00D445B0" w:rsidRPr="00CF31E0">
        <w:t xml:space="preserve">the </w:t>
      </w:r>
      <w:r w:rsidRPr="00CF31E0">
        <w:t>economic situation in S</w:t>
      </w:r>
      <w:r w:rsidR="0069253B" w:rsidRPr="00CF31E0">
        <w:t>A</w:t>
      </w:r>
      <w:r w:rsidRPr="00CF31E0">
        <w:t xml:space="preserve"> encouraged</w:t>
      </w:r>
      <w:r w:rsidR="00D445B0" w:rsidRPr="00CF31E0">
        <w:t>,</w:t>
      </w:r>
      <w:r w:rsidRPr="00CF31E0">
        <w:t xml:space="preserve"> on </w:t>
      </w:r>
      <w:r w:rsidR="00D445B0" w:rsidRPr="00CF31E0">
        <w:t xml:space="preserve">the </w:t>
      </w:r>
      <w:r w:rsidRPr="00CF31E0">
        <w:t>one hand, more Bedouins to settle in urban centres in Hijaz, and on the other hand</w:t>
      </w:r>
      <w:r w:rsidR="00D445B0" w:rsidRPr="00CF31E0">
        <w:t>,</w:t>
      </w:r>
      <w:r w:rsidRPr="00CF31E0">
        <w:t xml:space="preserve"> more pilgrims to overstay in the region for economic reason</w:t>
      </w:r>
      <w:r w:rsidR="00D445B0" w:rsidRPr="00CF31E0">
        <w:t>s,</w:t>
      </w:r>
      <w:r w:rsidRPr="00CF31E0">
        <w:t xml:space="preserve"> which resulted in a sharp dichotomous so</w:t>
      </w:r>
      <w:r w:rsidR="001B3A35" w:rsidRPr="00CF31E0">
        <w:t xml:space="preserve">cial situation in </w:t>
      </w:r>
      <w:r w:rsidR="00D445B0" w:rsidRPr="00CF31E0">
        <w:t xml:space="preserve">the </w:t>
      </w:r>
      <w:r w:rsidR="001B3A35" w:rsidRPr="00CF31E0">
        <w:t>Hijaz region</w:t>
      </w:r>
      <w:r w:rsidR="00D445B0" w:rsidRPr="00CF31E0">
        <w:t>,</w:t>
      </w:r>
      <w:r w:rsidR="001B3A35" w:rsidRPr="00CF31E0">
        <w:t xml:space="preserve"> creat</w:t>
      </w:r>
      <w:r w:rsidR="00D445B0" w:rsidRPr="00CF31E0">
        <w:t>ing</w:t>
      </w:r>
      <w:r w:rsidR="001B3A35" w:rsidRPr="00CF31E0">
        <w:t xml:space="preserve"> a salient dialect division. </w:t>
      </w:r>
    </w:p>
    <w:p w14:paraId="03222CA9" w14:textId="4FA1B69E" w:rsidR="008753B9" w:rsidRPr="00CF31E0" w:rsidRDefault="0095285F" w:rsidP="0061369D">
      <w:pPr>
        <w:pStyle w:val="Ahead"/>
      </w:pPr>
      <w:bookmarkStart w:id="27" w:name="_Toc6472624"/>
      <w:r w:rsidRPr="00CF31E0">
        <w:lastRenderedPageBreak/>
        <w:t>2</w:t>
      </w:r>
      <w:r w:rsidR="00E70311" w:rsidRPr="00CF31E0">
        <w:t>.6.</w:t>
      </w:r>
      <w:r w:rsidR="00E70311" w:rsidRPr="00CF31E0">
        <w:tab/>
      </w:r>
      <w:r w:rsidR="008753B9" w:rsidRPr="00CF31E0">
        <w:t xml:space="preserve">Hijaz </w:t>
      </w:r>
      <w:r w:rsidR="00077324" w:rsidRPr="00CF31E0">
        <w:t xml:space="preserve">before </w:t>
      </w:r>
      <w:r w:rsidR="00474E05" w:rsidRPr="00CF31E0">
        <w:t xml:space="preserve">the </w:t>
      </w:r>
      <w:r w:rsidR="00077324" w:rsidRPr="00CF31E0">
        <w:t xml:space="preserve">emergence of </w:t>
      </w:r>
      <w:r w:rsidR="00474E05" w:rsidRPr="00CF31E0">
        <w:t xml:space="preserve">the </w:t>
      </w:r>
      <w:r w:rsidR="00077324" w:rsidRPr="00CF31E0">
        <w:t>SA state</w:t>
      </w:r>
      <w:bookmarkEnd w:id="27"/>
      <w:r w:rsidR="00077324" w:rsidRPr="00CF31E0">
        <w:t xml:space="preserve"> </w:t>
      </w:r>
    </w:p>
    <w:p w14:paraId="05D5BBA2" w14:textId="550B8C15" w:rsidR="00FD4BF9" w:rsidRPr="00CF31E0" w:rsidRDefault="00D445B0" w:rsidP="003B3DC1">
      <w:pPr>
        <w:pStyle w:val="Paragraph"/>
      </w:pPr>
      <w:r w:rsidRPr="00CF31E0">
        <w:rPr>
          <w:lang w:val="en-US"/>
        </w:rPr>
        <w:t>Following P</w:t>
      </w:r>
      <w:r w:rsidR="000C1D59" w:rsidRPr="00CF31E0">
        <w:rPr>
          <w:lang w:val="en-US"/>
        </w:rPr>
        <w:t xml:space="preserve">rophet </w:t>
      </w:r>
      <w:r w:rsidR="005158C3" w:rsidRPr="00CF31E0">
        <w:rPr>
          <w:lang w:val="en-US"/>
        </w:rPr>
        <w:t>Muhammad</w:t>
      </w:r>
      <w:r w:rsidRPr="00CF31E0">
        <w:rPr>
          <w:lang w:val="en-US"/>
        </w:rPr>
        <w:t>’s</w:t>
      </w:r>
      <w:r w:rsidR="000C1D59" w:rsidRPr="00CF31E0">
        <w:rPr>
          <w:lang w:val="en-US"/>
        </w:rPr>
        <w:t xml:space="preserve"> era</w:t>
      </w:r>
      <w:r w:rsidR="00AA5151" w:rsidRPr="00CF31E0">
        <w:rPr>
          <w:lang w:val="en-US"/>
        </w:rPr>
        <w:t>,</w:t>
      </w:r>
      <w:r w:rsidR="000C1D59" w:rsidRPr="00CF31E0">
        <w:rPr>
          <w:lang w:val="en-US"/>
        </w:rPr>
        <w:t xml:space="preserve"> </w:t>
      </w:r>
      <w:r w:rsidRPr="00CF31E0">
        <w:rPr>
          <w:lang w:val="en-US"/>
        </w:rPr>
        <w:t xml:space="preserve">the </w:t>
      </w:r>
      <w:r w:rsidR="000C1D59" w:rsidRPr="00CF31E0">
        <w:rPr>
          <w:lang w:val="en-US"/>
        </w:rPr>
        <w:t xml:space="preserve">Hijaz region has been ruled by different </w:t>
      </w:r>
      <w:r w:rsidR="009E29BB" w:rsidRPr="00CF31E0">
        <w:rPr>
          <w:lang w:val="en-US"/>
        </w:rPr>
        <w:t>rulers and empires throughout history</w:t>
      </w:r>
      <w:r w:rsidRPr="00CF31E0">
        <w:rPr>
          <w:lang w:val="en-US"/>
        </w:rPr>
        <w:t>.</w:t>
      </w:r>
      <w:r w:rsidR="00077324" w:rsidRPr="00B9622D">
        <w:rPr>
          <w:rStyle w:val="FootnoteReference"/>
        </w:rPr>
        <w:footnoteReference w:id="8"/>
      </w:r>
      <w:r w:rsidR="00ED36F8" w:rsidRPr="00CF31E0">
        <w:rPr>
          <w:lang w:val="en-US"/>
        </w:rPr>
        <w:t xml:space="preserve"> Before the emergence of SA, Hijaz was governed by the Ottoman </w:t>
      </w:r>
      <w:r w:rsidRPr="00CF31E0">
        <w:rPr>
          <w:lang w:val="en-US"/>
        </w:rPr>
        <w:t>E</w:t>
      </w:r>
      <w:r w:rsidR="00ED36F8" w:rsidRPr="00CF31E0">
        <w:rPr>
          <w:lang w:val="en-US"/>
        </w:rPr>
        <w:t xml:space="preserve">mpire </w:t>
      </w:r>
      <w:bookmarkStart w:id="28" w:name="ZOTERO_BREF_JdgQftp4dVxpXOL55Awv2"/>
      <w:r w:rsidR="003B3DC1" w:rsidRPr="00CF31E0">
        <w:t>(Ochsenwald, 1984)</w:t>
      </w:r>
      <w:bookmarkEnd w:id="28"/>
      <w:r w:rsidR="00ED36F8" w:rsidRPr="00CF31E0">
        <w:t>. “</w:t>
      </w:r>
      <w:r w:rsidR="00ED36F8" w:rsidRPr="00CF31E0">
        <w:rPr>
          <w:bCs/>
        </w:rPr>
        <w:t>[</w:t>
      </w:r>
      <w:r w:rsidRPr="00CF31E0">
        <w:rPr>
          <w:bCs/>
        </w:rPr>
        <w:t>T</w:t>
      </w:r>
      <w:r w:rsidR="00ED36F8" w:rsidRPr="00CF31E0">
        <w:rPr>
          <w:bCs/>
        </w:rPr>
        <w:t xml:space="preserve">]he core of the Hijaz was defined by the Ottoman Empire as the holy cities of </w:t>
      </w:r>
      <w:r w:rsidR="00D30B2F">
        <w:rPr>
          <w:bCs/>
        </w:rPr>
        <w:t>Makkah</w:t>
      </w:r>
      <w:r w:rsidR="00ED36F8" w:rsidRPr="00CF31E0">
        <w:rPr>
          <w:bCs/>
        </w:rPr>
        <w:t xml:space="preserve"> and </w:t>
      </w:r>
      <w:r w:rsidR="0015785F" w:rsidRPr="00CF31E0">
        <w:rPr>
          <w:bCs/>
        </w:rPr>
        <w:t>Al-Madina</w:t>
      </w:r>
      <w:r w:rsidR="00ED36F8" w:rsidRPr="00CF31E0">
        <w:rPr>
          <w:bCs/>
        </w:rPr>
        <w:t xml:space="preserve">” </w:t>
      </w:r>
      <w:r w:rsidR="00ED36F8" w:rsidRPr="00CF31E0">
        <w:rPr>
          <w:bCs/>
        </w:rPr>
        <w:fldChar w:fldCharType="begin"/>
      </w:r>
      <w:r w:rsidR="00CD34CA" w:rsidRPr="00CF31E0">
        <w:rPr>
          <w:bCs/>
        </w:rPr>
        <w:instrText xml:space="preserve"> ADDIN ZOTERO_ITEM CSL_CITATION {"citationID":"kZGgtVne","properties":{"formattedCitation":"(Ochsenwald, 1984, p. 10)","plainCitation":"(Ochsenwald, 1984, p. 10)","noteIndex":0},"citationItems":[{"id":101,"uris":["http://zotero.org/users/1939618/items/FUUT425D"],"uri":["http://zotero.org/users/1939618/items/FUUT425D"],"itemData":{"id":101,"type":"book","title":"Religion, society, and the state in Arabia: the Hijaz under Ottoman control, 1840-1908","publisher":"The Ohio State University Press","publisher-place":"Colombus","source":"kb.osu.edu","event-place":"Colombus","abstract":"(print) xiii, 241 p. : ill. ; 24 cm","URL":"http://hdl.handle.net/1811/24661","ISBN":"0814203663","note":"(print) xiii, 241 p. : ill. ; 24 cm","shortTitle":"Religion, society, and the state in Arabia","language":"en","author":[{"family":"Ochsenwald","given":"William"}],"issued":{"date-parts":[["1984"]]},"accessed":{"date-parts":[["2015",1,19]]}},"locator":"10","label":"page"}],"schema":"https://github.com/citation-style-language/schema/raw/master/csl-citation.json"} </w:instrText>
      </w:r>
      <w:r w:rsidR="00ED36F8" w:rsidRPr="00CF31E0">
        <w:rPr>
          <w:bCs/>
        </w:rPr>
        <w:fldChar w:fldCharType="separate"/>
      </w:r>
      <w:r w:rsidR="00ED36F8" w:rsidRPr="00CF31E0">
        <w:rPr>
          <w:bCs/>
          <w:noProof/>
        </w:rPr>
        <w:t>(Ochsenwald, 1984, p. 10)</w:t>
      </w:r>
      <w:r w:rsidR="00ED36F8" w:rsidRPr="00CF31E0">
        <w:rPr>
          <w:bCs/>
        </w:rPr>
        <w:fldChar w:fldCharType="end"/>
      </w:r>
      <w:r w:rsidR="00ED36F8" w:rsidRPr="00CF31E0">
        <w:rPr>
          <w:bCs/>
        </w:rPr>
        <w:t xml:space="preserve">. Therefore, some Turkish people started to move from Turkey to settle in Hijaz to be close to the holy cities in Hijaz. As a result, </w:t>
      </w:r>
      <w:r w:rsidR="00ED36F8" w:rsidRPr="00CF31E0">
        <w:t>t</w:t>
      </w:r>
      <w:r w:rsidR="007851CB" w:rsidRPr="00CF31E0">
        <w:t>his era has significa</w:t>
      </w:r>
      <w:r w:rsidR="00ED36F8" w:rsidRPr="00CF31E0">
        <w:t>ntly marked Hijaz linguistically as</w:t>
      </w:r>
      <w:r w:rsidR="007851CB" w:rsidRPr="00CF31E0">
        <w:t xml:space="preserve"> </w:t>
      </w:r>
      <w:r w:rsidR="00ED36F8" w:rsidRPr="00CF31E0">
        <w:t xml:space="preserve">linguistic </w:t>
      </w:r>
      <w:r w:rsidR="007851CB" w:rsidRPr="00CF31E0">
        <w:t>contact with two different languages occurred in H</w:t>
      </w:r>
      <w:r w:rsidR="00ED36F8" w:rsidRPr="00CF31E0">
        <w:t xml:space="preserve">ijaz (i.e. Arabic and Turkish). </w:t>
      </w:r>
      <w:r w:rsidR="007851CB" w:rsidRPr="00CF31E0">
        <w:t>Such contact resulted in many words being borrowed from the Turkish language; these words are still used to date in the Hijazi dialect</w:t>
      </w:r>
      <w:r w:rsidR="00205606" w:rsidRPr="00CF31E0">
        <w:t>.</w:t>
      </w:r>
      <w:r w:rsidR="00FB6EAB" w:rsidRPr="00B9622D">
        <w:rPr>
          <w:rStyle w:val="FootnoteReference"/>
        </w:rPr>
        <w:footnoteReference w:id="9"/>
      </w:r>
      <w:r w:rsidR="007851CB" w:rsidRPr="00CF31E0">
        <w:rPr>
          <w:lang w:val="en-US"/>
        </w:rPr>
        <w:t xml:space="preserve"> </w:t>
      </w:r>
    </w:p>
    <w:p w14:paraId="10C49004" w14:textId="09E7BB1F" w:rsidR="00C05270" w:rsidRPr="00CF31E0" w:rsidRDefault="00ED354E" w:rsidP="0061369D">
      <w:pPr>
        <w:pStyle w:val="Ahead"/>
      </w:pPr>
      <w:bookmarkStart w:id="29" w:name="_Toc511728072"/>
      <w:bookmarkStart w:id="30" w:name="_Toc6472625"/>
      <w:r w:rsidRPr="00CF31E0">
        <w:t>2</w:t>
      </w:r>
      <w:r w:rsidR="00E70311" w:rsidRPr="00CF31E0">
        <w:t>.7.</w:t>
      </w:r>
      <w:r w:rsidR="00E70311" w:rsidRPr="00CF31E0">
        <w:tab/>
      </w:r>
      <w:r w:rsidR="002C445B" w:rsidRPr="00CF31E0">
        <w:t>The emergence of the SA</w:t>
      </w:r>
      <w:r w:rsidR="00D86F38" w:rsidRPr="00CF31E0">
        <w:t xml:space="preserve"> state</w:t>
      </w:r>
      <w:bookmarkEnd w:id="29"/>
      <w:bookmarkEnd w:id="30"/>
    </w:p>
    <w:p w14:paraId="67FE263D" w14:textId="5816E0FD" w:rsidR="00D86F38" w:rsidRPr="00CF31E0" w:rsidRDefault="00D86F38" w:rsidP="00EA159E">
      <w:pPr>
        <w:pStyle w:val="Paragraph"/>
        <w:rPr>
          <w:lang w:val="en-US"/>
        </w:rPr>
      </w:pPr>
      <w:r w:rsidRPr="00CF31E0">
        <w:rPr>
          <w:lang w:val="en-US"/>
        </w:rPr>
        <w:t>SA was established in 1932 by King Abdul-Aziz Al Saud, although efforts to unite the whole kingdom date back to 1744; ancestors of King Abdul-Aziz attempted to unify the kingdom, but these efforts were not successful until 19</w:t>
      </w:r>
      <w:r w:rsidR="00281ACB">
        <w:rPr>
          <w:lang w:val="en-US"/>
        </w:rPr>
        <w:t>32</w:t>
      </w:r>
      <w:r w:rsidRPr="00CF31E0">
        <w:rPr>
          <w:lang w:val="en-US"/>
        </w:rPr>
        <w:t>. Historians normally divide the history of SA into the following three phases</w:t>
      </w:r>
      <w:r w:rsidR="00452881" w:rsidRPr="00CF31E0">
        <w:rPr>
          <w:lang w:val="en-US"/>
        </w:rPr>
        <w:t xml:space="preserve"> </w:t>
      </w:r>
      <w:r w:rsidR="001A1AD2" w:rsidRPr="00CF31E0">
        <w:rPr>
          <w:lang w:val="en-US"/>
        </w:rPr>
        <w:fldChar w:fldCharType="begin"/>
      </w:r>
      <w:r w:rsidR="00A54129" w:rsidRPr="00CF31E0">
        <w:rPr>
          <w:lang w:val="en-US"/>
        </w:rPr>
        <w:instrText xml:space="preserve"> ADDIN ZOTERO_ITEM CSL_CITATION {"citationID":"hnCuB2x0","properties":{"formattedCitation":"(al-Ken, 1995; Al-Rasheed, 2010; Vassiliev, 2000; Wynbrandt, 2010)","plainCitation":"(al-Ken, 1995; Al-Rasheed, 2010; Vassiliev, 2000; Wynbrandt, 2010)","noteIndex":0},"citationItems":[{"id":190,"uris":["http://zotero.org/users/1939618/items/9MG22DNA"],"uri":["http://zotero.org/users/1939618/items/9MG22DNA"],"itemData":{"id":190,"type":"thesis","title":"The Hajj: past, present and future: the communication aspect","publisher":"University of Leeds","source":"Google Scholar","URL":"http://ethos.bl.uk/OrderDetails.do?uin=uk.bl.ethos.341805","shortTitle":"The Hajj","author":[{"family":"Ken","given":"Akeel Ibrahim","non-dropping-particle":"al-"}],"issued":{"date-parts":[["1995"]]},"accessed":{"date-parts":[["2015",12,6]]}},"label":"page"},{"id":170,"uris":["http://zotero.org/users/1939618/items/5PRQ9KEN"],"uri":["http://zotero.org/users/1939618/items/5PRQ9KEN"],"itemData":{"id":170,"type":"book","title":"A history of Saudi Arabia","publisher":"Cambridge University Press","publisher-place":"Cambridge","source":"Google Scholar","event-place":"Cambridge","URL":"https://books.google.co.uk/books?hl=en&amp;lr=&amp;id=ReoiwJiOqQAC&amp;oi=fnd&amp;pg=PR10&amp;dq=Al-Rasheed,+M.+(2010).+A+history+of+Saudi+Arabia.+Cambridge,+Cambridge+University+Press.&amp;ots=NaKXTzyoyc&amp;sig=nZSLxW_SacQ6E1xRWtPUxRhNG6g","author":[{"family":"Al-Rasheed","given":"Madawi"}],"issued":{"date-parts":[["2010"]]},"accessed":{"date-parts":[["2015",9,28]]}},"label":"page"},{"id":173,"uris":["http://zotero.org/users/1939618/items/6I5BC846"],"uri":["http://zotero.org/users/1939618/items/6I5BC846"],"itemData":{"id":173,"type":"book","title":"The History of Saudi Arabia","publisher":"Saqi","publisher-place":"London","source":"Google Scholar","event-place":"London","URL":"https://books.google.co.uk/books?hl=en&amp;lr=&amp;id=lEIhBQAAQBAJ&amp;oi=fnd&amp;pg=PT4&amp;dq=Vassiliev,+A.+(2013).+The+History+of+Saudi+Arabia.+London,+Saqi+books.+&amp;ots=KPwVsHcASb&amp;sig=oVibAvTA79h5vqAaHDXY7YS9H7I","author":[{"family":"Vassiliev","given":"Alexei"}],"issued":{"date-parts":[["2000"]]},"accessed":{"date-parts":[["2015",9,28]]}},"label":"page"},{"id":416,"uris":["http://zotero.org/users/1939618/items/I5XM9GKJ"],"uri":["http://zotero.org/users/1939618/items/I5XM9GKJ"],"itemData":{"id":416,"type":"book","title":"A Brief History of Saudi Arabia","publisher":"Infobase Publishing","publisher-place":"New York, NY","number-of-pages":"385","edition":"2nd edition","source":"Google Books","event-place":"New York, NY","abstract":"In recent years Saudi Arabia has experienced changes that have both altered the internal structure of the country and affected its foreign relations. Women have gained additional civil rights; the educational system has been overhauled in an attempt to generate a skilled workforce that can enter the competitive global market; and international concern regarding terrorists within Saudi Arabia's borders has prompted an aggressive response from King Abdullah.Yet despite economic, social, and political improvements, the country still faces turmoil from continued conflict in the Middle East. And as the birthplace of Islam, Saudi Arabia must find a way to balance its religious authority with the demands of a modern society. From Saudi Arabia's pre-Islamic history to the events of today, A Brief History of Saudi Arabia, Second Edition offers a balanced, informative perspective on the country's long history.Coverage includes-Pre-Islamic Arabia-Bedouin society and culture-The birth and spread of Islam-The development of and philosophy behind Wahhabism-The origins of the House of Saud-Saudi Arabia's role in the Middle East-Saudi Arabia's relationship to the United States-The battle between conservative and progressive elements in the monarchy today-The reign of King AbdullahBasic facts, a chronology, a bibliography, and a list of suggested reading make up the appendixes.","ISBN":"978-0-8160-7876-9","note":"Google-Books-ID: eZkIXdsZpPsC","language":"en","author":[{"family":"Wynbrandt","given":"James"}],"issued":{"date-parts":[["2010"]]}},"label":"page"}],"schema":"https://github.com/citation-style-language/schema/raw/master/csl-citation.json"} </w:instrText>
      </w:r>
      <w:r w:rsidR="001A1AD2" w:rsidRPr="00CF31E0">
        <w:rPr>
          <w:lang w:val="en-US"/>
        </w:rPr>
        <w:fldChar w:fldCharType="separate"/>
      </w:r>
      <w:r w:rsidR="007B3CDE" w:rsidRPr="00CF31E0">
        <w:rPr>
          <w:noProof/>
          <w:lang w:val="en-US"/>
        </w:rPr>
        <w:t>(A</w:t>
      </w:r>
      <w:r w:rsidR="00A54129" w:rsidRPr="00CF31E0">
        <w:rPr>
          <w:noProof/>
          <w:lang w:val="en-US"/>
        </w:rPr>
        <w:t>l-Ken, 1995; Vassiliev, 2000; Wynbrandt, 2010)</w:t>
      </w:r>
      <w:r w:rsidR="001A1AD2" w:rsidRPr="00CF31E0">
        <w:rPr>
          <w:lang w:val="en-US"/>
        </w:rPr>
        <w:fldChar w:fldCharType="end"/>
      </w:r>
      <w:r w:rsidRPr="00CF31E0">
        <w:rPr>
          <w:lang w:val="en-US"/>
        </w:rPr>
        <w:t>:</w:t>
      </w:r>
    </w:p>
    <w:p w14:paraId="5C1DC238" w14:textId="77777777" w:rsidR="00D86F38" w:rsidRPr="00CF31E0" w:rsidRDefault="00D86F38" w:rsidP="00603CB7">
      <w:pPr>
        <w:spacing w:before="200" w:line="360" w:lineRule="auto"/>
        <w:ind w:firstLine="720"/>
        <w:jc w:val="both"/>
        <w:rPr>
          <w:rFonts w:asciiTheme="majorBidi" w:hAnsiTheme="majorBidi" w:cstheme="majorBidi"/>
          <w:color w:val="000000" w:themeColor="text1"/>
          <w:lang w:val="en-US"/>
        </w:rPr>
      </w:pPr>
      <w:r w:rsidRPr="00CF31E0">
        <w:rPr>
          <w:rFonts w:asciiTheme="majorBidi" w:hAnsiTheme="majorBidi" w:cstheme="majorBidi"/>
          <w:color w:val="000000" w:themeColor="text1"/>
          <w:lang w:val="en-US"/>
        </w:rPr>
        <w:t>1- First Phase (1788–1824)</w:t>
      </w:r>
    </w:p>
    <w:p w14:paraId="7CB0B422" w14:textId="77777777" w:rsidR="00D86F38" w:rsidRPr="00CF31E0" w:rsidRDefault="00D86F38" w:rsidP="00F46DF0">
      <w:pPr>
        <w:spacing w:line="360" w:lineRule="auto"/>
        <w:ind w:firstLine="720"/>
        <w:jc w:val="both"/>
        <w:rPr>
          <w:rFonts w:asciiTheme="majorBidi" w:hAnsiTheme="majorBidi" w:cstheme="majorBidi"/>
          <w:color w:val="000000" w:themeColor="text1"/>
          <w:lang w:val="en-US"/>
        </w:rPr>
      </w:pPr>
      <w:r w:rsidRPr="00CF31E0">
        <w:rPr>
          <w:rFonts w:asciiTheme="majorBidi" w:hAnsiTheme="majorBidi" w:cstheme="majorBidi"/>
          <w:color w:val="000000" w:themeColor="text1"/>
          <w:lang w:val="en-US"/>
        </w:rPr>
        <w:t>2- Second Phase (1843–1891)</w:t>
      </w:r>
    </w:p>
    <w:p w14:paraId="21FB7BBB" w14:textId="77777777" w:rsidR="00D86F38" w:rsidRPr="00CF31E0" w:rsidRDefault="00D86F38" w:rsidP="00603CB7">
      <w:pPr>
        <w:spacing w:after="200" w:line="360" w:lineRule="auto"/>
        <w:ind w:firstLine="720"/>
        <w:jc w:val="both"/>
        <w:rPr>
          <w:rFonts w:asciiTheme="majorBidi" w:hAnsiTheme="majorBidi" w:cstheme="majorBidi"/>
          <w:color w:val="000000" w:themeColor="text1"/>
          <w:lang w:val="en-US"/>
        </w:rPr>
      </w:pPr>
      <w:r w:rsidRPr="00CF31E0">
        <w:rPr>
          <w:rFonts w:asciiTheme="majorBidi" w:hAnsiTheme="majorBidi" w:cstheme="majorBidi"/>
          <w:color w:val="000000" w:themeColor="text1"/>
          <w:lang w:val="en-US"/>
        </w:rPr>
        <w:t>3- Third Phase (1902–present)</w:t>
      </w:r>
    </w:p>
    <w:p w14:paraId="2629A192" w14:textId="53D80140" w:rsidR="00D86F38" w:rsidRPr="00CF31E0" w:rsidRDefault="00BD070E" w:rsidP="00180DA9">
      <w:pPr>
        <w:pStyle w:val="Paragraph"/>
        <w:rPr>
          <w:lang w:val="en-US"/>
        </w:rPr>
      </w:pPr>
      <w:r w:rsidRPr="00CF31E0">
        <w:rPr>
          <w:lang w:val="en-US"/>
        </w:rPr>
        <w:t>During the three phases, King Abdul</w:t>
      </w:r>
      <w:r w:rsidR="00C86BDA" w:rsidRPr="00CF31E0">
        <w:rPr>
          <w:lang w:val="en-US"/>
        </w:rPr>
        <w:t>-Aziz</w:t>
      </w:r>
      <w:r w:rsidRPr="00CF31E0">
        <w:rPr>
          <w:lang w:val="en-US"/>
        </w:rPr>
        <w:t xml:space="preserve"> and his ancestors went through </w:t>
      </w:r>
      <w:r w:rsidR="0058240D" w:rsidRPr="00CF31E0">
        <w:rPr>
          <w:lang w:val="en-US"/>
        </w:rPr>
        <w:t xml:space="preserve">a </w:t>
      </w:r>
      <w:r w:rsidRPr="00CF31E0">
        <w:rPr>
          <w:lang w:val="en-US"/>
        </w:rPr>
        <w:t xml:space="preserve">series </w:t>
      </w:r>
      <w:r w:rsidR="0058240D" w:rsidRPr="00CF31E0">
        <w:rPr>
          <w:lang w:val="en-US"/>
        </w:rPr>
        <w:t xml:space="preserve">of </w:t>
      </w:r>
      <w:r w:rsidRPr="00CF31E0">
        <w:rPr>
          <w:lang w:val="en-US"/>
        </w:rPr>
        <w:t xml:space="preserve">wars of conquest </w:t>
      </w:r>
      <w:r w:rsidR="00575442" w:rsidRPr="00CF31E0">
        <w:rPr>
          <w:lang w:val="en-US"/>
        </w:rPr>
        <w:t xml:space="preserve">to unify the kingdom in 1923. </w:t>
      </w:r>
      <w:r w:rsidR="0065549D" w:rsidRPr="00CF31E0">
        <w:rPr>
          <w:lang w:val="en-US"/>
        </w:rPr>
        <w:t>During the third phase, t</w:t>
      </w:r>
      <w:r w:rsidR="00EA159E" w:rsidRPr="00CF31E0">
        <w:rPr>
          <w:lang w:val="en-US"/>
        </w:rPr>
        <w:t>he</w:t>
      </w:r>
      <w:r w:rsidR="00A540F7" w:rsidRPr="00CF31E0">
        <w:rPr>
          <w:lang w:val="en-US"/>
        </w:rPr>
        <w:t xml:space="preserve"> count</w:t>
      </w:r>
      <w:r w:rsidR="00D86F38" w:rsidRPr="00CF31E0">
        <w:rPr>
          <w:lang w:val="en-US"/>
        </w:rPr>
        <w:t>ry has witnessed rapid urbanization</w:t>
      </w:r>
      <w:r w:rsidR="00B93D84" w:rsidRPr="00CF31E0">
        <w:rPr>
          <w:lang w:val="en-US"/>
        </w:rPr>
        <w:t xml:space="preserve"> </w:t>
      </w:r>
      <w:r w:rsidR="00B93D84" w:rsidRPr="00CF31E0">
        <w:rPr>
          <w:lang w:val="en-US"/>
        </w:rPr>
        <w:fldChar w:fldCharType="begin"/>
      </w:r>
      <w:r w:rsidR="00A54129" w:rsidRPr="00CF31E0">
        <w:rPr>
          <w:lang w:val="en-US"/>
        </w:rPr>
        <w:instrText xml:space="preserve"> ADDIN ZOTERO_ITEM CSL_CITATION {"citationID":"2QZ8j87E","properties":{"formattedCitation":"(\\uc0\\u8216{}Energy; the Embassy of The Kingdom of Saudi Arabia\\uc0\\u8217{}, n.d.)","plainCitation":"(‘Energy; the Embassy of The Kingdom of Saudi Arabia’, n.d.)","noteIndex":0},"citationItems":[{"id":386,"uris":["http://zotero.org/users/1939618/items/IAZT3FDQ"],"uri":["http://zotero.org/users/1939618/items/IAZT3FDQ"],"itemData":{"id":386,"type":"webpage","title":"Energy; the Embassy of The Kingdom of Saudi Arabia","URL":"https://www.saudiembassy.net/energy","accessed":{"date-parts":[["2018",4,5]]}}}],"schema":"https://github.com/citation-style-language/schema/raw/master/csl-citation.json"} </w:instrText>
      </w:r>
      <w:r w:rsidR="00B93D84" w:rsidRPr="00CF31E0">
        <w:rPr>
          <w:lang w:val="en-US"/>
        </w:rPr>
        <w:fldChar w:fldCharType="separate"/>
      </w:r>
      <w:r w:rsidR="00A54129" w:rsidRPr="00CF31E0">
        <w:rPr>
          <w:rFonts w:eastAsia="Times New Roman" w:hAnsiTheme="majorHAnsi"/>
        </w:rPr>
        <w:t>(</w:t>
      </w:r>
      <w:r w:rsidR="00A540F7" w:rsidRPr="00CF31E0">
        <w:rPr>
          <w:rFonts w:eastAsia="Times New Roman" w:hAnsiTheme="majorHAnsi"/>
        </w:rPr>
        <w:t>the embassy of t</w:t>
      </w:r>
      <w:r w:rsidR="00A54129" w:rsidRPr="00CF31E0">
        <w:rPr>
          <w:rFonts w:eastAsia="Times New Roman" w:hAnsiTheme="majorHAnsi"/>
        </w:rPr>
        <w:t>he Kingdom of Saudi Arabia, n.d.)</w:t>
      </w:r>
      <w:r w:rsidR="00B93D84" w:rsidRPr="00CF31E0">
        <w:rPr>
          <w:lang w:val="en-US"/>
        </w:rPr>
        <w:fldChar w:fldCharType="end"/>
      </w:r>
      <w:r w:rsidR="00D86F38" w:rsidRPr="00CF31E0">
        <w:rPr>
          <w:lang w:val="en-US"/>
        </w:rPr>
        <w:t xml:space="preserve">. </w:t>
      </w:r>
      <w:r w:rsidR="00314447" w:rsidRPr="00CF31E0">
        <w:rPr>
          <w:lang w:val="en-US"/>
        </w:rPr>
        <w:t xml:space="preserve">This </w:t>
      </w:r>
      <w:r w:rsidR="00841BA0" w:rsidRPr="00CF31E0">
        <w:rPr>
          <w:lang w:val="en-US"/>
        </w:rPr>
        <w:t xml:space="preserve">is attributed to </w:t>
      </w:r>
      <w:r w:rsidR="00314447" w:rsidRPr="00CF31E0">
        <w:rPr>
          <w:lang w:val="en-US"/>
        </w:rPr>
        <w:t xml:space="preserve">the </w:t>
      </w:r>
      <w:r w:rsidR="00D86F38" w:rsidRPr="00CF31E0">
        <w:rPr>
          <w:lang w:val="en-US"/>
        </w:rPr>
        <w:t>discovery of oil</w:t>
      </w:r>
      <w:r w:rsidR="00314447" w:rsidRPr="00CF31E0">
        <w:rPr>
          <w:lang w:val="en-US"/>
        </w:rPr>
        <w:t>,</w:t>
      </w:r>
      <w:r w:rsidR="00D86F38" w:rsidRPr="00CF31E0">
        <w:rPr>
          <w:lang w:val="en-US"/>
        </w:rPr>
        <w:t xml:space="preserve"> </w:t>
      </w:r>
      <w:r w:rsidR="00841BA0" w:rsidRPr="00CF31E0">
        <w:rPr>
          <w:lang w:val="en-US"/>
        </w:rPr>
        <w:lastRenderedPageBreak/>
        <w:t xml:space="preserve">where </w:t>
      </w:r>
      <w:r w:rsidR="00F05EF0" w:rsidRPr="00CF31E0">
        <w:rPr>
          <w:lang w:val="en-US"/>
        </w:rPr>
        <w:t xml:space="preserve">the wealth coming from oil revenue </w:t>
      </w:r>
      <w:r w:rsidR="00314447" w:rsidRPr="00CF31E0">
        <w:rPr>
          <w:lang w:val="en-US"/>
        </w:rPr>
        <w:t xml:space="preserve">has helped </w:t>
      </w:r>
      <w:r w:rsidR="00461F12" w:rsidRPr="00CF31E0">
        <w:rPr>
          <w:lang w:val="en-US"/>
        </w:rPr>
        <w:t>the</w:t>
      </w:r>
      <w:r w:rsidR="00A540F7" w:rsidRPr="00CF31E0">
        <w:rPr>
          <w:lang w:val="en-US"/>
        </w:rPr>
        <w:t xml:space="preserve"> count</w:t>
      </w:r>
      <w:r w:rsidR="00F05EF0" w:rsidRPr="00CF31E0">
        <w:rPr>
          <w:lang w:val="en-US"/>
        </w:rPr>
        <w:t>ry to</w:t>
      </w:r>
      <w:r w:rsidR="00841BA0" w:rsidRPr="00CF31E0">
        <w:rPr>
          <w:lang w:val="en-US"/>
        </w:rPr>
        <w:t xml:space="preserve"> develop </w:t>
      </w:r>
      <w:r w:rsidR="00314447" w:rsidRPr="00CF31E0">
        <w:rPr>
          <w:lang w:val="en-US"/>
        </w:rPr>
        <w:t xml:space="preserve">in </w:t>
      </w:r>
      <w:r w:rsidR="00841BA0" w:rsidRPr="00CF31E0">
        <w:rPr>
          <w:lang w:val="en-US"/>
        </w:rPr>
        <w:t xml:space="preserve">all governmental sectors. In the following section, </w:t>
      </w:r>
      <w:r w:rsidR="00D86F38" w:rsidRPr="00CF31E0">
        <w:rPr>
          <w:lang w:val="en-US"/>
        </w:rPr>
        <w:t xml:space="preserve">I will discuss </w:t>
      </w:r>
      <w:r w:rsidR="00F05EF0" w:rsidRPr="00CF31E0">
        <w:rPr>
          <w:lang w:val="en-US"/>
        </w:rPr>
        <w:t>how</w:t>
      </w:r>
      <w:r w:rsidR="00314447" w:rsidRPr="00CF31E0">
        <w:rPr>
          <w:lang w:val="en-US"/>
        </w:rPr>
        <w:t xml:space="preserve"> the</w:t>
      </w:r>
      <w:r w:rsidR="00F05EF0" w:rsidRPr="00CF31E0">
        <w:rPr>
          <w:lang w:val="en-US"/>
        </w:rPr>
        <w:t xml:space="preserve"> discovery of oil affected</w:t>
      </w:r>
      <w:r w:rsidR="00FC4E35" w:rsidRPr="00CF31E0">
        <w:rPr>
          <w:lang w:val="en-US"/>
        </w:rPr>
        <w:t xml:space="preserve"> the urbanization process over a short period of time. </w:t>
      </w:r>
    </w:p>
    <w:p w14:paraId="1CC5AC7F" w14:textId="63871AD7" w:rsidR="00D86F38" w:rsidRPr="00CF31E0" w:rsidRDefault="00ED354E" w:rsidP="0061369D">
      <w:pPr>
        <w:pStyle w:val="Ahead"/>
      </w:pPr>
      <w:bookmarkStart w:id="31" w:name="_Toc511728073"/>
      <w:bookmarkStart w:id="32" w:name="_Toc6472626"/>
      <w:r w:rsidRPr="00CF31E0">
        <w:t>2</w:t>
      </w:r>
      <w:r w:rsidR="00E70311" w:rsidRPr="00CF31E0">
        <w:t>.8.</w:t>
      </w:r>
      <w:r w:rsidR="00E70311" w:rsidRPr="00CF31E0">
        <w:tab/>
      </w:r>
      <w:r w:rsidR="00D86F38" w:rsidRPr="00CF31E0">
        <w:t>The discovery of oil</w:t>
      </w:r>
      <w:r w:rsidR="00F05EF0" w:rsidRPr="00CF31E0">
        <w:t xml:space="preserve"> in SA</w:t>
      </w:r>
      <w:bookmarkEnd w:id="31"/>
      <w:bookmarkEnd w:id="32"/>
    </w:p>
    <w:p w14:paraId="63C17D76" w14:textId="3F3EAD1C" w:rsidR="0065549D" w:rsidRPr="00CF31E0" w:rsidRDefault="00D86F38" w:rsidP="00603CB7">
      <w:pPr>
        <w:pStyle w:val="Paragraph"/>
        <w:rPr>
          <w:lang w:val="en-US"/>
        </w:rPr>
      </w:pPr>
      <w:r w:rsidRPr="00CF31E0">
        <w:rPr>
          <w:lang w:val="en-US"/>
        </w:rPr>
        <w:t xml:space="preserve">The story of oil dates back to 1933 when King Abdul-Aziz formed a contract with the American company Standard Oil of California (SOCAL) to investigate oil in the </w:t>
      </w:r>
      <w:r w:rsidR="00362213" w:rsidRPr="00CF31E0">
        <w:rPr>
          <w:lang w:val="en-US"/>
        </w:rPr>
        <w:t>count</w:t>
      </w:r>
      <w:r w:rsidRPr="00CF31E0">
        <w:rPr>
          <w:lang w:val="en-US"/>
        </w:rPr>
        <w:t>ry</w:t>
      </w:r>
      <w:r w:rsidR="00A161F6" w:rsidRPr="00CF31E0">
        <w:rPr>
          <w:lang w:val="en-US"/>
        </w:rPr>
        <w:t xml:space="preserve"> </w:t>
      </w:r>
      <w:r w:rsidRPr="00CF31E0">
        <w:rPr>
          <w:lang w:val="en-US"/>
        </w:rPr>
        <w:fldChar w:fldCharType="begin"/>
      </w:r>
      <w:r w:rsidRPr="00CF31E0">
        <w:rPr>
          <w:lang w:val="en-US"/>
        </w:rPr>
        <w:instrText xml:space="preserve"> ADDIN ZOTERO_ITEM CSL_CITATION {"citationID":"we2BCeX9","properties":{"formattedCitation":"(Kultgen, 2014)","plainCitation":"(Kultgen, 2014)","noteIndex":0},"citationItems":[{"id":385,"uris":["http://zotero.org/users/1939618/items/QAPS3VJN"],"uri":["http://zotero.org/users/1939618/items/QAPS3VJN"],"itemData":{"id":385,"type":"article-journal","title":"Saudi Aramco: a look ahead","container-title":"Journal of World Energy Law and Business","page":"153–161","volume":"7","issue":"2","source":"find.shef.ac.uk","abstract":"A lawyer’s perspective on the history of what has become the largest integrated oil and gas company in the world, the challenges faced by Saudi Aramco as the national oil company of the Kingdom of Saudi Arabia and its response to those challenges.","DOI":"10.1093/jwelb/jwu003","ISSN":"1754-9957","shortTitle":"Saudi Aramco","author":[{"family":"Kultgen","given":"David B."}],"issued":{"date-parts":[["2014"]]}}}],"schema":"https://github.com/citation-style-language/schema/raw/master/csl-citation.json"} </w:instrText>
      </w:r>
      <w:r w:rsidRPr="00CF31E0">
        <w:rPr>
          <w:lang w:val="en-US"/>
        </w:rPr>
        <w:fldChar w:fldCharType="separate"/>
      </w:r>
      <w:r w:rsidRPr="00CF31E0">
        <w:rPr>
          <w:noProof/>
          <w:lang w:val="en-US"/>
        </w:rPr>
        <w:t>(Kultgen, 2014)</w:t>
      </w:r>
      <w:r w:rsidRPr="00CF31E0">
        <w:rPr>
          <w:lang w:val="en-US"/>
        </w:rPr>
        <w:fldChar w:fldCharType="end"/>
      </w:r>
      <w:r w:rsidRPr="00CF31E0">
        <w:rPr>
          <w:lang w:val="en-US"/>
        </w:rPr>
        <w:t>. After five years of investigating and searching for oil, the company found tremendous amounts in the Eastern region; the amounts found even exceeded the predicted quantities</w:t>
      </w:r>
      <w:r w:rsidR="00A161F6" w:rsidRPr="00CF31E0">
        <w:rPr>
          <w:lang w:val="en-US"/>
        </w:rPr>
        <w:t xml:space="preserve"> </w:t>
      </w:r>
      <w:r w:rsidRPr="00CF31E0">
        <w:rPr>
          <w:lang w:val="en-US"/>
        </w:rPr>
        <w:fldChar w:fldCharType="begin"/>
      </w:r>
      <w:r w:rsidR="00A54129" w:rsidRPr="00CF31E0">
        <w:rPr>
          <w:lang w:val="en-US"/>
        </w:rPr>
        <w:instrText xml:space="preserve"> ADDIN ZOTERO_ITEM CSL_CITATION {"citationID":"vaoGrhNf","properties":{"formattedCitation":"(\\uc0\\u8216{}Energy; the Embassy of The Kingdom of Saudi Arabia\\uc0\\u8217{}, n.d.)","plainCitation":"(‘Energy; the Embassy of The Kingdom of Saudi Arabia’, n.d.)","noteIndex":0},"citationItems":[{"id":386,"uris":["http://zotero.org/users/1939618/items/IAZT3FDQ"],"uri":["http://zotero.org/users/1939618/items/IAZT3FDQ"],"itemData":{"id":386,"type":"webpage","title":"Energy; the Embassy of The Kingdom of Saudi Arabia","URL":"https://www.saudiembassy.net/energy","accessed":{"date-parts":[["2018",4,5]]}}}],"schema":"https://github.com/citation-style-language/schema/raw/master/csl-citation.json"} </w:instrText>
      </w:r>
      <w:r w:rsidRPr="00CF31E0">
        <w:rPr>
          <w:lang w:val="en-US"/>
        </w:rPr>
        <w:fldChar w:fldCharType="separate"/>
      </w:r>
      <w:r w:rsidR="00A54129" w:rsidRPr="00CF31E0">
        <w:rPr>
          <w:rFonts w:eastAsia="Times New Roman" w:hAnsiTheme="majorHAnsi"/>
        </w:rPr>
        <w:t>(</w:t>
      </w:r>
      <w:r w:rsidR="00A540F7" w:rsidRPr="00CF31E0">
        <w:rPr>
          <w:rFonts w:eastAsia="Times New Roman" w:hAnsiTheme="majorHAnsi"/>
        </w:rPr>
        <w:t>the embassy of t</w:t>
      </w:r>
      <w:r w:rsidR="00A54129" w:rsidRPr="00CF31E0">
        <w:rPr>
          <w:rFonts w:eastAsia="Times New Roman" w:hAnsiTheme="majorHAnsi"/>
        </w:rPr>
        <w:t>he Kingdom of Saudi Arabia, n.d.)</w:t>
      </w:r>
      <w:r w:rsidRPr="00CF31E0">
        <w:rPr>
          <w:lang w:val="en-US"/>
        </w:rPr>
        <w:fldChar w:fldCharType="end"/>
      </w:r>
      <w:r w:rsidRPr="00CF31E0">
        <w:rPr>
          <w:lang w:val="en-US"/>
        </w:rPr>
        <w:t xml:space="preserve">. In the following year, the </w:t>
      </w:r>
      <w:r w:rsidR="00214891" w:rsidRPr="00CF31E0">
        <w:rPr>
          <w:lang w:val="en-US"/>
        </w:rPr>
        <w:t>country</w:t>
      </w:r>
      <w:r w:rsidRPr="00CF31E0">
        <w:rPr>
          <w:lang w:val="en-US"/>
        </w:rPr>
        <w:t xml:space="preserve"> started to export crude oil. In 1940, SOCAL associated with other companies in the USA and was renamed the Arabian American Oil Company (ARAMCO) </w:t>
      </w:r>
      <w:r w:rsidRPr="00CF31E0">
        <w:rPr>
          <w:lang w:val="en-US"/>
        </w:rPr>
        <w:fldChar w:fldCharType="begin"/>
      </w:r>
      <w:r w:rsidR="00A54129" w:rsidRPr="00CF31E0">
        <w:rPr>
          <w:lang w:val="en-US"/>
        </w:rPr>
        <w:instrText xml:space="preserve"> ADDIN ZOTERO_ITEM CSL_CITATION {"citationID":"4UfmBBTi","properties":{"formattedCitation":"(\\uc0\\u8216{}Energy; the Embassy of The Kingdom of Saudi Arabia\\uc0\\u8217{}, n.d.)","plainCitation":"(‘Energy; the Embassy of The Kingdom of Saudi Arabia’, n.d.)","noteIndex":0},"citationItems":[{"id":386,"uris":["http://zotero.org/users/1939618/items/IAZT3FDQ"],"uri":["http://zotero.org/users/1939618/items/IAZT3FDQ"],"itemData":{"id":386,"type":"webpage","title":"Energy; the Embassy of The Kingdom of Saudi Arabia","URL":"https://www.saudiembassy.net/energy","accessed":{"date-parts":[["2018",4,5]]}}}],"schema":"https://github.com/citation-style-language/schema/raw/master/csl-citation.json"} </w:instrText>
      </w:r>
      <w:r w:rsidRPr="00CF31E0">
        <w:rPr>
          <w:lang w:val="en-US"/>
        </w:rPr>
        <w:fldChar w:fldCharType="separate"/>
      </w:r>
      <w:r w:rsidR="00A54129" w:rsidRPr="00CF31E0">
        <w:rPr>
          <w:rFonts w:eastAsia="Times New Roman" w:hAnsiTheme="majorHAnsi"/>
        </w:rPr>
        <w:t>(</w:t>
      </w:r>
      <w:r w:rsidR="00A540F7" w:rsidRPr="00CF31E0">
        <w:rPr>
          <w:rFonts w:eastAsia="Times New Roman" w:hAnsiTheme="majorHAnsi"/>
        </w:rPr>
        <w:t>the embassy of t</w:t>
      </w:r>
      <w:r w:rsidR="00A54129" w:rsidRPr="00CF31E0">
        <w:rPr>
          <w:rFonts w:eastAsia="Times New Roman" w:hAnsiTheme="majorHAnsi"/>
        </w:rPr>
        <w:t>he Kingdom of Saudi Arabia, n.d.)</w:t>
      </w:r>
      <w:r w:rsidRPr="00CF31E0">
        <w:rPr>
          <w:lang w:val="en-US"/>
        </w:rPr>
        <w:fldChar w:fldCharType="end"/>
      </w:r>
      <w:r w:rsidRPr="00CF31E0">
        <w:rPr>
          <w:lang w:val="en-US"/>
        </w:rPr>
        <w:t xml:space="preserve">. In 1980, a huge transformation in the oil industry of SA occurred when the Saudi government assumed full ownership of ARAMCO, renaming it Saudi ARAMCO. The latter company discovered new vast amounts of oil in regions that had not been investigated before such as southeast Riyadh </w:t>
      </w:r>
      <w:r w:rsidR="0065549D" w:rsidRPr="00CF31E0">
        <w:rPr>
          <w:lang w:val="en-US"/>
        </w:rPr>
        <w:t>city</w:t>
      </w:r>
      <w:r w:rsidRPr="00CF31E0">
        <w:rPr>
          <w:lang w:val="en-US"/>
        </w:rPr>
        <w:t xml:space="preserve"> </w:t>
      </w:r>
      <w:r w:rsidR="0065549D" w:rsidRPr="00CF31E0">
        <w:rPr>
          <w:lang w:val="en-US"/>
        </w:rPr>
        <w:fldChar w:fldCharType="begin"/>
      </w:r>
      <w:r w:rsidR="00A54129" w:rsidRPr="00CF31E0">
        <w:rPr>
          <w:lang w:val="en-US"/>
        </w:rPr>
        <w:instrText xml:space="preserve"> ADDIN ZOTERO_ITEM CSL_CITATION {"citationID":"i8tDDjQr","properties":{"formattedCitation":"(\\uc0\\u8216{}Energy; the Embassy of The Kingdom of Saudi Arabia\\uc0\\u8217{}, n.d.)","plainCitation":"(‘Energy; the Embassy of The Kingdom of Saudi Arabia’, n.d.)","noteIndex":0},"citationItems":[{"id":386,"uris":["http://zotero.org/users/1939618/items/IAZT3FDQ"],"uri":["http://zotero.org/users/1939618/items/IAZT3FDQ"],"itemData":{"id":386,"type":"webpage","title":"Energy; the Embassy of The Kingdom of Saudi Arabia","URL":"https://www.saudiembassy.net/energy","accessed":{"date-parts":[["2018",4,5]]}}}],"schema":"https://github.com/citation-style-language/schema/raw/master/csl-citation.json"} </w:instrText>
      </w:r>
      <w:r w:rsidR="0065549D" w:rsidRPr="00CF31E0">
        <w:rPr>
          <w:lang w:val="en-US"/>
        </w:rPr>
        <w:fldChar w:fldCharType="separate"/>
      </w:r>
      <w:r w:rsidR="00A54129" w:rsidRPr="00CF31E0">
        <w:rPr>
          <w:rFonts w:eastAsia="Times New Roman" w:hAnsiTheme="majorHAnsi"/>
        </w:rPr>
        <w:t>(</w:t>
      </w:r>
      <w:r w:rsidR="009A40A2" w:rsidRPr="00CF31E0">
        <w:rPr>
          <w:rFonts w:eastAsia="Times New Roman" w:hAnsiTheme="majorHAnsi"/>
        </w:rPr>
        <w:t>the embassy of t</w:t>
      </w:r>
      <w:r w:rsidR="00A54129" w:rsidRPr="00CF31E0">
        <w:rPr>
          <w:rFonts w:eastAsia="Times New Roman" w:hAnsiTheme="majorHAnsi"/>
        </w:rPr>
        <w:t>he Kingdom of Saudi Arabia n.d.)</w:t>
      </w:r>
      <w:r w:rsidR="0065549D" w:rsidRPr="00CF31E0">
        <w:rPr>
          <w:lang w:val="en-US"/>
        </w:rPr>
        <w:fldChar w:fldCharType="end"/>
      </w:r>
      <w:r w:rsidR="0065549D" w:rsidRPr="00CF31E0">
        <w:rPr>
          <w:lang w:val="en-US"/>
        </w:rPr>
        <w:t>.</w:t>
      </w:r>
      <w:r w:rsidR="00BE2C42" w:rsidRPr="00CF31E0">
        <w:rPr>
          <w:lang w:val="en-US"/>
        </w:rPr>
        <w:t xml:space="preserve"> </w:t>
      </w:r>
    </w:p>
    <w:p w14:paraId="7D94EC98" w14:textId="00C2386F" w:rsidR="00A14430" w:rsidRPr="00CF31E0" w:rsidRDefault="00D86F38" w:rsidP="00393AFB">
      <w:pPr>
        <w:pStyle w:val="Paragraph"/>
        <w:rPr>
          <w:lang w:val="en-US"/>
        </w:rPr>
      </w:pPr>
      <w:r w:rsidRPr="00CF31E0">
        <w:rPr>
          <w:lang w:val="en-US"/>
        </w:rPr>
        <w:t xml:space="preserve">Over a short period, the </w:t>
      </w:r>
      <w:r w:rsidR="001F502C" w:rsidRPr="00CF31E0">
        <w:rPr>
          <w:lang w:val="en-US"/>
        </w:rPr>
        <w:t>count</w:t>
      </w:r>
      <w:r w:rsidRPr="00CF31E0">
        <w:rPr>
          <w:lang w:val="en-US"/>
        </w:rPr>
        <w:t xml:space="preserve">ry became one of the world’s top ten producers of oil and had one of the highest reserves of oil in 1960. According to </w:t>
      </w:r>
      <w:r w:rsidR="00D16E4E" w:rsidRPr="00CF31E0">
        <w:rPr>
          <w:lang w:val="en-US"/>
        </w:rPr>
        <w:t>C</w:t>
      </w:r>
      <w:r w:rsidR="0065549D" w:rsidRPr="00CF31E0">
        <w:rPr>
          <w:lang w:val="en-US"/>
        </w:rPr>
        <w:t xml:space="preserve">entral </w:t>
      </w:r>
      <w:r w:rsidR="00D16E4E" w:rsidRPr="00CF31E0">
        <w:rPr>
          <w:lang w:val="en-US"/>
        </w:rPr>
        <w:t>I</w:t>
      </w:r>
      <w:r w:rsidR="0065549D" w:rsidRPr="00CF31E0">
        <w:rPr>
          <w:lang w:val="en-US"/>
        </w:rPr>
        <w:t xml:space="preserve">ntelligence </w:t>
      </w:r>
      <w:r w:rsidR="00D16E4E" w:rsidRPr="00CF31E0">
        <w:rPr>
          <w:lang w:val="en-US"/>
        </w:rPr>
        <w:t>A</w:t>
      </w:r>
      <w:r w:rsidR="0065549D" w:rsidRPr="00CF31E0">
        <w:rPr>
          <w:lang w:val="en-US"/>
        </w:rPr>
        <w:t>gency (CIA), in the year 2016</w:t>
      </w:r>
      <w:r w:rsidRPr="00CF31E0">
        <w:rPr>
          <w:lang w:val="en-US"/>
        </w:rPr>
        <w:t xml:space="preserve"> SA was ranked second among the top oil-producing </w:t>
      </w:r>
      <w:r w:rsidR="007C4AB8">
        <w:rPr>
          <w:lang w:val="en-US"/>
        </w:rPr>
        <w:t>c</w:t>
      </w:r>
      <w:r w:rsidR="00F03C9C" w:rsidRPr="00CF31E0">
        <w:rPr>
          <w:lang w:val="en-US"/>
        </w:rPr>
        <w:t>ount</w:t>
      </w:r>
      <w:r w:rsidRPr="00CF31E0">
        <w:rPr>
          <w:lang w:val="en-US"/>
        </w:rPr>
        <w:t xml:space="preserve">ries (see Table </w:t>
      </w:r>
      <w:r w:rsidR="00ED354E" w:rsidRPr="00CF31E0">
        <w:rPr>
          <w:lang w:val="en-US"/>
        </w:rPr>
        <w:t>2</w:t>
      </w:r>
      <w:r w:rsidR="0058240D" w:rsidRPr="00CF31E0">
        <w:rPr>
          <w:lang w:val="en-US"/>
        </w:rPr>
        <w:t>.2</w:t>
      </w:r>
      <w:r w:rsidRPr="00CF31E0">
        <w:rPr>
          <w:lang w:val="en-US"/>
        </w:rPr>
        <w:t xml:space="preserve">). </w:t>
      </w:r>
    </w:p>
    <w:tbl>
      <w:tblPr>
        <w:tblW w:w="4962" w:type="dxa"/>
        <w:tblLayout w:type="fixed"/>
        <w:tblCellMar>
          <w:left w:w="0" w:type="dxa"/>
          <w:right w:w="0" w:type="dxa"/>
        </w:tblCellMar>
        <w:tblLook w:val="04A0" w:firstRow="1" w:lastRow="0" w:firstColumn="1" w:lastColumn="0" w:noHBand="0" w:noVBand="1"/>
      </w:tblPr>
      <w:tblGrid>
        <w:gridCol w:w="2127"/>
        <w:gridCol w:w="2835"/>
      </w:tblGrid>
      <w:tr w:rsidR="008B2811" w:rsidRPr="00CF31E0" w14:paraId="0200B83C" w14:textId="77777777" w:rsidTr="008B2811">
        <w:trPr>
          <w:cantSplit/>
          <w:trHeight w:val="567"/>
        </w:trPr>
        <w:tc>
          <w:tcPr>
            <w:tcW w:w="2127" w:type="dxa"/>
            <w:tcBorders>
              <w:top w:val="single" w:sz="8" w:space="0" w:color="000000"/>
              <w:bottom w:val="single" w:sz="8" w:space="0" w:color="000000"/>
            </w:tcBorders>
            <w:shd w:val="clear" w:color="auto" w:fill="FFFFFF"/>
            <w:vAlign w:val="bottom"/>
          </w:tcPr>
          <w:p w14:paraId="2B40E157" w14:textId="58729CEE" w:rsidR="008B2811" w:rsidRPr="00CF31E0" w:rsidRDefault="008B2811" w:rsidP="004F45D7">
            <w:pPr>
              <w:pStyle w:val="Tablecaption"/>
              <w:spacing w:before="120" w:after="120" w:line="240" w:lineRule="auto"/>
              <w:rPr>
                <w:lang w:val="en-GB"/>
              </w:rPr>
            </w:pPr>
            <w:bookmarkStart w:id="33" w:name="_Toc530844321"/>
            <w:bookmarkStart w:id="34" w:name="_Toc6473040"/>
            <w:bookmarkStart w:id="35" w:name="_Toc522527391"/>
            <w:bookmarkStart w:id="36" w:name="_Toc522628803"/>
            <w:bookmarkStart w:id="37" w:name="_Toc522628967"/>
            <w:r w:rsidRPr="00CF31E0">
              <w:rPr>
                <w:lang w:val="en-GB"/>
              </w:rPr>
              <w:t>Rank</w:t>
            </w:r>
            <w:bookmarkEnd w:id="33"/>
            <w:bookmarkEnd w:id="34"/>
          </w:p>
        </w:tc>
        <w:tc>
          <w:tcPr>
            <w:tcW w:w="2835" w:type="dxa"/>
            <w:tcBorders>
              <w:top w:val="single" w:sz="8" w:space="0" w:color="000000"/>
              <w:bottom w:val="single" w:sz="8" w:space="0" w:color="000000"/>
            </w:tcBorders>
            <w:shd w:val="clear" w:color="auto" w:fill="FFFFFF"/>
            <w:vAlign w:val="bottom"/>
          </w:tcPr>
          <w:p w14:paraId="731183F8" w14:textId="3FFB2E0D" w:rsidR="008B2811" w:rsidRPr="00CF31E0" w:rsidRDefault="008B2811" w:rsidP="004F45D7">
            <w:pPr>
              <w:pStyle w:val="Tablecaption"/>
              <w:spacing w:before="120" w:after="120" w:line="240" w:lineRule="auto"/>
              <w:rPr>
                <w:lang w:val="en-GB"/>
              </w:rPr>
            </w:pPr>
            <w:bookmarkStart w:id="38" w:name="_Toc530844322"/>
            <w:bookmarkStart w:id="39" w:name="_Toc6473041"/>
            <w:r w:rsidRPr="00CF31E0">
              <w:rPr>
                <w:lang w:val="en-GB"/>
              </w:rPr>
              <w:t>Country</w:t>
            </w:r>
            <w:bookmarkEnd w:id="38"/>
            <w:bookmarkEnd w:id="39"/>
          </w:p>
        </w:tc>
      </w:tr>
      <w:tr w:rsidR="008B2811" w:rsidRPr="00CF31E0" w14:paraId="49C6907A" w14:textId="77777777" w:rsidTr="004F45D7">
        <w:trPr>
          <w:cantSplit/>
        </w:trPr>
        <w:tc>
          <w:tcPr>
            <w:tcW w:w="2127" w:type="dxa"/>
            <w:tcBorders>
              <w:top w:val="single" w:sz="8" w:space="0" w:color="000000"/>
            </w:tcBorders>
            <w:shd w:val="clear" w:color="auto" w:fill="FFFFFF"/>
            <w:vAlign w:val="bottom"/>
          </w:tcPr>
          <w:p w14:paraId="70A881ED" w14:textId="22228F87" w:rsidR="008B2811" w:rsidRPr="00CF31E0" w:rsidRDefault="008B2811" w:rsidP="004F45D7">
            <w:pPr>
              <w:pStyle w:val="Tablecaption"/>
              <w:spacing w:after="0" w:line="240" w:lineRule="auto"/>
              <w:rPr>
                <w:lang w:val="en-GB"/>
              </w:rPr>
            </w:pPr>
            <w:bookmarkStart w:id="40" w:name="_Toc530844323"/>
            <w:bookmarkStart w:id="41" w:name="_Toc6473042"/>
            <w:r w:rsidRPr="00CF31E0">
              <w:rPr>
                <w:lang w:val="en-GB"/>
              </w:rPr>
              <w:t>1</w:t>
            </w:r>
            <w:bookmarkEnd w:id="40"/>
            <w:bookmarkEnd w:id="41"/>
          </w:p>
        </w:tc>
        <w:tc>
          <w:tcPr>
            <w:tcW w:w="2835" w:type="dxa"/>
            <w:tcBorders>
              <w:top w:val="single" w:sz="8" w:space="0" w:color="000000"/>
            </w:tcBorders>
            <w:shd w:val="clear" w:color="auto" w:fill="FFFFFF"/>
          </w:tcPr>
          <w:p w14:paraId="0B8D60C8" w14:textId="485A67DE" w:rsidR="008B2811" w:rsidRPr="00CF31E0" w:rsidRDefault="008B2811" w:rsidP="004F45D7">
            <w:pPr>
              <w:pStyle w:val="Tablecaption"/>
              <w:spacing w:after="0" w:line="240" w:lineRule="auto"/>
              <w:rPr>
                <w:lang w:val="en-GB"/>
              </w:rPr>
            </w:pPr>
            <w:bookmarkStart w:id="42" w:name="_Toc530844324"/>
            <w:bookmarkStart w:id="43" w:name="_Toc6473043"/>
            <w:r w:rsidRPr="00CF31E0">
              <w:t>Russia</w:t>
            </w:r>
            <w:bookmarkEnd w:id="42"/>
            <w:bookmarkEnd w:id="43"/>
          </w:p>
        </w:tc>
      </w:tr>
      <w:tr w:rsidR="008B2811" w:rsidRPr="00CF31E0" w14:paraId="3BD8B406" w14:textId="77777777" w:rsidTr="004F45D7">
        <w:trPr>
          <w:cantSplit/>
        </w:trPr>
        <w:tc>
          <w:tcPr>
            <w:tcW w:w="2127" w:type="dxa"/>
            <w:shd w:val="clear" w:color="auto" w:fill="FFFFFF"/>
            <w:vAlign w:val="bottom"/>
          </w:tcPr>
          <w:p w14:paraId="61A17E85" w14:textId="22E8E99D" w:rsidR="008B2811" w:rsidRPr="00CF31E0" w:rsidRDefault="008B2811" w:rsidP="004F45D7">
            <w:pPr>
              <w:pStyle w:val="Tablecaption"/>
              <w:spacing w:after="0" w:line="240" w:lineRule="auto"/>
              <w:rPr>
                <w:lang w:val="en-GB"/>
              </w:rPr>
            </w:pPr>
            <w:bookmarkStart w:id="44" w:name="_Toc530844325"/>
            <w:bookmarkStart w:id="45" w:name="_Toc6473044"/>
            <w:r w:rsidRPr="00CF31E0">
              <w:rPr>
                <w:lang w:val="en-GB"/>
              </w:rPr>
              <w:t>2</w:t>
            </w:r>
            <w:bookmarkEnd w:id="44"/>
            <w:bookmarkEnd w:id="45"/>
          </w:p>
        </w:tc>
        <w:tc>
          <w:tcPr>
            <w:tcW w:w="2835" w:type="dxa"/>
            <w:shd w:val="clear" w:color="auto" w:fill="FFFFFF"/>
          </w:tcPr>
          <w:p w14:paraId="0B7FAB3B" w14:textId="4F4F95ED" w:rsidR="008B2811" w:rsidRPr="00CF31E0" w:rsidRDefault="008B2811" w:rsidP="004F45D7">
            <w:pPr>
              <w:pStyle w:val="Tablecaption"/>
              <w:spacing w:after="0" w:line="240" w:lineRule="auto"/>
              <w:rPr>
                <w:lang w:val="en-GB"/>
              </w:rPr>
            </w:pPr>
            <w:bookmarkStart w:id="46" w:name="_Toc530844326"/>
            <w:bookmarkStart w:id="47" w:name="_Toc6473045"/>
            <w:r w:rsidRPr="00CF31E0">
              <w:t>Saudi Arabia</w:t>
            </w:r>
            <w:bookmarkEnd w:id="46"/>
            <w:bookmarkEnd w:id="47"/>
            <w:r w:rsidRPr="00CF31E0">
              <w:t xml:space="preserve"> </w:t>
            </w:r>
          </w:p>
        </w:tc>
      </w:tr>
      <w:tr w:rsidR="008B2811" w:rsidRPr="00CF31E0" w14:paraId="7A6FE085" w14:textId="77777777" w:rsidTr="004F45D7">
        <w:trPr>
          <w:cantSplit/>
        </w:trPr>
        <w:tc>
          <w:tcPr>
            <w:tcW w:w="2127" w:type="dxa"/>
            <w:shd w:val="clear" w:color="auto" w:fill="FFFFFF"/>
            <w:vAlign w:val="bottom"/>
          </w:tcPr>
          <w:p w14:paraId="037F2FDD" w14:textId="5C56EF05" w:rsidR="008B2811" w:rsidRPr="00CF31E0" w:rsidRDefault="008B2811" w:rsidP="004F45D7">
            <w:pPr>
              <w:pStyle w:val="Tablecaption"/>
              <w:spacing w:after="0" w:line="240" w:lineRule="auto"/>
              <w:rPr>
                <w:lang w:val="en-GB"/>
              </w:rPr>
            </w:pPr>
            <w:bookmarkStart w:id="48" w:name="_Toc530844327"/>
            <w:bookmarkStart w:id="49" w:name="_Toc6473046"/>
            <w:r w:rsidRPr="00CF31E0">
              <w:rPr>
                <w:lang w:val="en-GB"/>
              </w:rPr>
              <w:t>3</w:t>
            </w:r>
            <w:bookmarkEnd w:id="48"/>
            <w:bookmarkEnd w:id="49"/>
          </w:p>
        </w:tc>
        <w:tc>
          <w:tcPr>
            <w:tcW w:w="2835" w:type="dxa"/>
            <w:shd w:val="clear" w:color="auto" w:fill="FFFFFF"/>
          </w:tcPr>
          <w:p w14:paraId="415BD10E" w14:textId="3B377C9D" w:rsidR="008B2811" w:rsidRPr="00CF31E0" w:rsidRDefault="008B2811" w:rsidP="004F45D7">
            <w:pPr>
              <w:pStyle w:val="Tablecaption"/>
              <w:spacing w:after="0" w:line="240" w:lineRule="auto"/>
              <w:rPr>
                <w:lang w:val="en-GB"/>
              </w:rPr>
            </w:pPr>
            <w:bookmarkStart w:id="50" w:name="_Toc530844328"/>
            <w:bookmarkStart w:id="51" w:name="_Toc6473047"/>
            <w:r w:rsidRPr="00CF31E0">
              <w:t>United States</w:t>
            </w:r>
            <w:bookmarkEnd w:id="50"/>
            <w:bookmarkEnd w:id="51"/>
          </w:p>
        </w:tc>
      </w:tr>
      <w:tr w:rsidR="008B2811" w:rsidRPr="00CF31E0" w14:paraId="680744D9" w14:textId="77777777" w:rsidTr="004F45D7">
        <w:trPr>
          <w:cantSplit/>
        </w:trPr>
        <w:tc>
          <w:tcPr>
            <w:tcW w:w="2127" w:type="dxa"/>
            <w:shd w:val="clear" w:color="auto" w:fill="FFFFFF"/>
            <w:vAlign w:val="bottom"/>
          </w:tcPr>
          <w:p w14:paraId="310557BC" w14:textId="0E1C7B7F" w:rsidR="008B2811" w:rsidRPr="00CF31E0" w:rsidRDefault="008B2811" w:rsidP="004F45D7">
            <w:pPr>
              <w:pStyle w:val="Tablecaption"/>
              <w:spacing w:after="0" w:line="240" w:lineRule="auto"/>
              <w:rPr>
                <w:lang w:val="en-GB"/>
              </w:rPr>
            </w:pPr>
            <w:bookmarkStart w:id="52" w:name="_Toc530844329"/>
            <w:bookmarkStart w:id="53" w:name="_Toc6473048"/>
            <w:r w:rsidRPr="00CF31E0">
              <w:rPr>
                <w:lang w:val="en-GB"/>
              </w:rPr>
              <w:t>4</w:t>
            </w:r>
            <w:bookmarkEnd w:id="52"/>
            <w:bookmarkEnd w:id="53"/>
          </w:p>
        </w:tc>
        <w:tc>
          <w:tcPr>
            <w:tcW w:w="2835" w:type="dxa"/>
            <w:shd w:val="clear" w:color="auto" w:fill="FFFFFF"/>
          </w:tcPr>
          <w:p w14:paraId="3503A615" w14:textId="5AB472DE" w:rsidR="008B2811" w:rsidRPr="00CF31E0" w:rsidRDefault="008B2811" w:rsidP="004F45D7">
            <w:pPr>
              <w:pStyle w:val="Tablecaption"/>
              <w:spacing w:after="0" w:line="240" w:lineRule="auto"/>
              <w:rPr>
                <w:lang w:val="en-GB"/>
              </w:rPr>
            </w:pPr>
            <w:bookmarkStart w:id="54" w:name="_Toc530844330"/>
            <w:bookmarkStart w:id="55" w:name="_Toc6473049"/>
            <w:r w:rsidRPr="00CF31E0">
              <w:t>Iraq</w:t>
            </w:r>
            <w:bookmarkEnd w:id="54"/>
            <w:bookmarkEnd w:id="55"/>
          </w:p>
        </w:tc>
      </w:tr>
      <w:tr w:rsidR="008B2811" w:rsidRPr="00CF31E0" w14:paraId="117777A1" w14:textId="77777777" w:rsidTr="004F45D7">
        <w:trPr>
          <w:cantSplit/>
        </w:trPr>
        <w:tc>
          <w:tcPr>
            <w:tcW w:w="2127" w:type="dxa"/>
            <w:shd w:val="clear" w:color="auto" w:fill="FFFFFF"/>
            <w:vAlign w:val="bottom"/>
          </w:tcPr>
          <w:p w14:paraId="79E93523" w14:textId="75BA6118" w:rsidR="008B2811" w:rsidRPr="00CF31E0" w:rsidRDefault="008B2811" w:rsidP="004F45D7">
            <w:pPr>
              <w:pStyle w:val="Tablecaption"/>
              <w:spacing w:after="0" w:line="240" w:lineRule="auto"/>
              <w:rPr>
                <w:lang w:val="en-GB"/>
              </w:rPr>
            </w:pPr>
            <w:bookmarkStart w:id="56" w:name="_Toc530844331"/>
            <w:bookmarkStart w:id="57" w:name="_Toc6473050"/>
            <w:r w:rsidRPr="00CF31E0">
              <w:rPr>
                <w:lang w:val="en-GB"/>
              </w:rPr>
              <w:t>5</w:t>
            </w:r>
            <w:bookmarkEnd w:id="56"/>
            <w:bookmarkEnd w:id="57"/>
          </w:p>
        </w:tc>
        <w:tc>
          <w:tcPr>
            <w:tcW w:w="2835" w:type="dxa"/>
            <w:shd w:val="clear" w:color="auto" w:fill="FFFFFF"/>
          </w:tcPr>
          <w:p w14:paraId="02A866AC" w14:textId="57A794B3" w:rsidR="008B2811" w:rsidRPr="00CF31E0" w:rsidRDefault="008B2811" w:rsidP="004F45D7">
            <w:pPr>
              <w:pStyle w:val="Tablecaption"/>
              <w:spacing w:after="0" w:line="240" w:lineRule="auto"/>
              <w:rPr>
                <w:lang w:val="en-GB"/>
              </w:rPr>
            </w:pPr>
            <w:bookmarkStart w:id="58" w:name="_Toc530844332"/>
            <w:bookmarkStart w:id="59" w:name="_Toc6473051"/>
            <w:r w:rsidRPr="00CF31E0">
              <w:t>Iran</w:t>
            </w:r>
            <w:bookmarkEnd w:id="58"/>
            <w:bookmarkEnd w:id="59"/>
          </w:p>
        </w:tc>
      </w:tr>
      <w:tr w:rsidR="008B2811" w:rsidRPr="00CF31E0" w14:paraId="5BF33F7F" w14:textId="77777777" w:rsidTr="004F45D7">
        <w:trPr>
          <w:cantSplit/>
        </w:trPr>
        <w:tc>
          <w:tcPr>
            <w:tcW w:w="2127" w:type="dxa"/>
            <w:shd w:val="clear" w:color="auto" w:fill="FFFFFF"/>
            <w:vAlign w:val="bottom"/>
          </w:tcPr>
          <w:p w14:paraId="2F35163C" w14:textId="0A2BCB23" w:rsidR="008B2811" w:rsidRPr="00CF31E0" w:rsidRDefault="008B2811" w:rsidP="004F45D7">
            <w:pPr>
              <w:pStyle w:val="Tablecaption"/>
              <w:spacing w:after="0" w:line="240" w:lineRule="auto"/>
              <w:rPr>
                <w:lang w:val="en-GB"/>
              </w:rPr>
            </w:pPr>
            <w:bookmarkStart w:id="60" w:name="_Toc530844333"/>
            <w:bookmarkStart w:id="61" w:name="_Toc6473052"/>
            <w:r w:rsidRPr="00CF31E0">
              <w:rPr>
                <w:lang w:val="en-GB"/>
              </w:rPr>
              <w:lastRenderedPageBreak/>
              <w:t>6</w:t>
            </w:r>
            <w:bookmarkEnd w:id="60"/>
            <w:bookmarkEnd w:id="61"/>
          </w:p>
        </w:tc>
        <w:tc>
          <w:tcPr>
            <w:tcW w:w="2835" w:type="dxa"/>
            <w:shd w:val="clear" w:color="auto" w:fill="FFFFFF"/>
          </w:tcPr>
          <w:p w14:paraId="22A2D5DD" w14:textId="53008000" w:rsidR="008B2811" w:rsidRPr="00CF31E0" w:rsidRDefault="008B2811" w:rsidP="004F45D7">
            <w:pPr>
              <w:pStyle w:val="Tablecaption"/>
              <w:spacing w:after="0" w:line="240" w:lineRule="auto"/>
              <w:rPr>
                <w:lang w:val="en-GB"/>
              </w:rPr>
            </w:pPr>
            <w:bookmarkStart w:id="62" w:name="_Toc530844334"/>
            <w:bookmarkStart w:id="63" w:name="_Toc6473053"/>
            <w:r w:rsidRPr="00CF31E0">
              <w:t>China</w:t>
            </w:r>
            <w:bookmarkEnd w:id="62"/>
            <w:bookmarkEnd w:id="63"/>
          </w:p>
        </w:tc>
      </w:tr>
      <w:tr w:rsidR="008B2811" w:rsidRPr="00CF31E0" w14:paraId="4CFBD3E1" w14:textId="77777777" w:rsidTr="004F45D7">
        <w:trPr>
          <w:cantSplit/>
        </w:trPr>
        <w:tc>
          <w:tcPr>
            <w:tcW w:w="2127" w:type="dxa"/>
            <w:shd w:val="clear" w:color="auto" w:fill="FFFFFF"/>
            <w:vAlign w:val="bottom"/>
          </w:tcPr>
          <w:p w14:paraId="1DD7DE87" w14:textId="4D1CA31B" w:rsidR="008B2811" w:rsidRPr="00CF31E0" w:rsidRDefault="008B2811" w:rsidP="004F45D7">
            <w:pPr>
              <w:pStyle w:val="Tablecaption"/>
              <w:spacing w:after="0" w:line="240" w:lineRule="auto"/>
              <w:rPr>
                <w:lang w:val="en-GB"/>
              </w:rPr>
            </w:pPr>
            <w:bookmarkStart w:id="64" w:name="_Toc530844335"/>
            <w:bookmarkStart w:id="65" w:name="_Toc6473054"/>
            <w:r w:rsidRPr="00CF31E0">
              <w:rPr>
                <w:lang w:val="en-GB"/>
              </w:rPr>
              <w:t>7</w:t>
            </w:r>
            <w:bookmarkEnd w:id="64"/>
            <w:bookmarkEnd w:id="65"/>
          </w:p>
        </w:tc>
        <w:tc>
          <w:tcPr>
            <w:tcW w:w="2835" w:type="dxa"/>
            <w:shd w:val="clear" w:color="auto" w:fill="FFFFFF"/>
          </w:tcPr>
          <w:p w14:paraId="7D80B063" w14:textId="553B6C32" w:rsidR="008B2811" w:rsidRPr="00CF31E0" w:rsidRDefault="008B2811" w:rsidP="004F45D7">
            <w:pPr>
              <w:pStyle w:val="Tablecaption"/>
              <w:spacing w:after="0" w:line="240" w:lineRule="auto"/>
              <w:rPr>
                <w:lang w:val="en-GB"/>
              </w:rPr>
            </w:pPr>
            <w:bookmarkStart w:id="66" w:name="_Toc530844336"/>
            <w:bookmarkStart w:id="67" w:name="_Toc6473055"/>
            <w:r w:rsidRPr="00CF31E0">
              <w:t>Canada</w:t>
            </w:r>
            <w:bookmarkEnd w:id="66"/>
            <w:bookmarkEnd w:id="67"/>
          </w:p>
        </w:tc>
      </w:tr>
      <w:tr w:rsidR="008B2811" w:rsidRPr="00CF31E0" w14:paraId="3EE8078C" w14:textId="77777777" w:rsidTr="004F45D7">
        <w:trPr>
          <w:cantSplit/>
        </w:trPr>
        <w:tc>
          <w:tcPr>
            <w:tcW w:w="2127" w:type="dxa"/>
            <w:shd w:val="clear" w:color="auto" w:fill="FFFFFF"/>
            <w:vAlign w:val="bottom"/>
          </w:tcPr>
          <w:p w14:paraId="73FC39A0" w14:textId="5EAA0EC9" w:rsidR="008B2811" w:rsidRPr="00CF31E0" w:rsidRDefault="008B2811" w:rsidP="004F45D7">
            <w:pPr>
              <w:pStyle w:val="Tablecaption"/>
              <w:spacing w:after="0" w:line="240" w:lineRule="auto"/>
              <w:rPr>
                <w:lang w:val="en-GB"/>
              </w:rPr>
            </w:pPr>
            <w:bookmarkStart w:id="68" w:name="_Toc530844337"/>
            <w:bookmarkStart w:id="69" w:name="_Toc6473056"/>
            <w:r w:rsidRPr="00CF31E0">
              <w:rPr>
                <w:lang w:val="en-GB"/>
              </w:rPr>
              <w:t>8</w:t>
            </w:r>
            <w:bookmarkEnd w:id="68"/>
            <w:bookmarkEnd w:id="69"/>
          </w:p>
        </w:tc>
        <w:tc>
          <w:tcPr>
            <w:tcW w:w="2835" w:type="dxa"/>
            <w:shd w:val="clear" w:color="auto" w:fill="FFFFFF"/>
          </w:tcPr>
          <w:p w14:paraId="2E3B95A1" w14:textId="63B29F17" w:rsidR="008B2811" w:rsidRPr="00CF31E0" w:rsidRDefault="008B2811" w:rsidP="004F45D7">
            <w:pPr>
              <w:pStyle w:val="Tablecaption"/>
              <w:spacing w:after="0" w:line="240" w:lineRule="auto"/>
              <w:rPr>
                <w:lang w:val="en-GB"/>
              </w:rPr>
            </w:pPr>
            <w:bookmarkStart w:id="70" w:name="_Toc530844338"/>
            <w:bookmarkStart w:id="71" w:name="_Toc6473057"/>
            <w:r w:rsidRPr="00CF31E0">
              <w:t>United Arab Emirates</w:t>
            </w:r>
            <w:bookmarkEnd w:id="70"/>
            <w:bookmarkEnd w:id="71"/>
          </w:p>
        </w:tc>
      </w:tr>
      <w:tr w:rsidR="008B2811" w:rsidRPr="00CF31E0" w14:paraId="7598AEB5" w14:textId="77777777" w:rsidTr="004F45D7">
        <w:trPr>
          <w:cantSplit/>
        </w:trPr>
        <w:tc>
          <w:tcPr>
            <w:tcW w:w="2127" w:type="dxa"/>
            <w:shd w:val="clear" w:color="auto" w:fill="FFFFFF"/>
            <w:vAlign w:val="bottom"/>
          </w:tcPr>
          <w:p w14:paraId="66765954" w14:textId="3D0615E7" w:rsidR="008B2811" w:rsidRPr="00CF31E0" w:rsidRDefault="008B2811" w:rsidP="004F45D7">
            <w:pPr>
              <w:pStyle w:val="Tablecaption"/>
              <w:spacing w:after="0" w:line="240" w:lineRule="auto"/>
              <w:rPr>
                <w:lang w:val="en-GB"/>
              </w:rPr>
            </w:pPr>
            <w:bookmarkStart w:id="72" w:name="_Toc530844339"/>
            <w:bookmarkStart w:id="73" w:name="_Toc6473058"/>
            <w:r w:rsidRPr="00CF31E0">
              <w:rPr>
                <w:lang w:val="en-GB"/>
              </w:rPr>
              <w:t>9</w:t>
            </w:r>
            <w:bookmarkEnd w:id="72"/>
            <w:bookmarkEnd w:id="73"/>
          </w:p>
        </w:tc>
        <w:tc>
          <w:tcPr>
            <w:tcW w:w="2835" w:type="dxa"/>
            <w:shd w:val="clear" w:color="auto" w:fill="FFFFFF"/>
          </w:tcPr>
          <w:p w14:paraId="654DD2B1" w14:textId="568E28E5" w:rsidR="008B2811" w:rsidRPr="00CF31E0" w:rsidRDefault="008B2811" w:rsidP="004F45D7">
            <w:pPr>
              <w:pStyle w:val="Tablecaption"/>
              <w:spacing w:after="0" w:line="240" w:lineRule="auto"/>
              <w:rPr>
                <w:lang w:val="en-GB"/>
              </w:rPr>
            </w:pPr>
            <w:bookmarkStart w:id="74" w:name="_Toc530844340"/>
            <w:bookmarkStart w:id="75" w:name="_Toc6473059"/>
            <w:r w:rsidRPr="00CF31E0">
              <w:t>Kuwait</w:t>
            </w:r>
            <w:bookmarkEnd w:id="74"/>
            <w:bookmarkEnd w:id="75"/>
          </w:p>
        </w:tc>
      </w:tr>
      <w:tr w:rsidR="008B2811" w:rsidRPr="00CF31E0" w14:paraId="1BF2AA9F" w14:textId="77777777" w:rsidTr="004F45D7">
        <w:trPr>
          <w:cantSplit/>
        </w:trPr>
        <w:tc>
          <w:tcPr>
            <w:tcW w:w="2127" w:type="dxa"/>
            <w:tcBorders>
              <w:bottom w:val="single" w:sz="8" w:space="0" w:color="auto"/>
            </w:tcBorders>
            <w:shd w:val="clear" w:color="auto" w:fill="FFFFFF"/>
            <w:vAlign w:val="bottom"/>
          </w:tcPr>
          <w:p w14:paraId="7D7350DC" w14:textId="2D831370" w:rsidR="008B2811" w:rsidRPr="00CF31E0" w:rsidRDefault="008B2811" w:rsidP="004F45D7">
            <w:pPr>
              <w:pStyle w:val="Tablecaption"/>
              <w:spacing w:after="0" w:line="240" w:lineRule="auto"/>
              <w:rPr>
                <w:lang w:val="en-GB"/>
              </w:rPr>
            </w:pPr>
            <w:bookmarkStart w:id="76" w:name="_Toc530844341"/>
            <w:bookmarkStart w:id="77" w:name="_Toc6473060"/>
            <w:r w:rsidRPr="00CF31E0">
              <w:rPr>
                <w:lang w:val="en-GB"/>
              </w:rPr>
              <w:t>10</w:t>
            </w:r>
            <w:bookmarkEnd w:id="76"/>
            <w:bookmarkEnd w:id="77"/>
          </w:p>
        </w:tc>
        <w:tc>
          <w:tcPr>
            <w:tcW w:w="2835" w:type="dxa"/>
            <w:tcBorders>
              <w:bottom w:val="single" w:sz="8" w:space="0" w:color="auto"/>
            </w:tcBorders>
            <w:shd w:val="clear" w:color="auto" w:fill="FFFFFF"/>
          </w:tcPr>
          <w:p w14:paraId="4BF1F28B" w14:textId="26C3B67B" w:rsidR="008B2811" w:rsidRPr="00CF31E0" w:rsidRDefault="008B2811" w:rsidP="004F45D7">
            <w:pPr>
              <w:pStyle w:val="Tablecaption"/>
              <w:spacing w:after="0" w:line="240" w:lineRule="auto"/>
              <w:rPr>
                <w:lang w:val="en-GB"/>
              </w:rPr>
            </w:pPr>
            <w:bookmarkStart w:id="78" w:name="_Toc530844342"/>
            <w:bookmarkStart w:id="79" w:name="_Toc6473061"/>
            <w:r w:rsidRPr="00CF31E0">
              <w:t>Brazil</w:t>
            </w:r>
            <w:bookmarkEnd w:id="78"/>
            <w:bookmarkEnd w:id="79"/>
          </w:p>
        </w:tc>
      </w:tr>
    </w:tbl>
    <w:p w14:paraId="1AFC3AC2" w14:textId="180316B0" w:rsidR="00D86F38" w:rsidRPr="00CF31E0" w:rsidRDefault="00D86F38" w:rsidP="004F45D7">
      <w:pPr>
        <w:pStyle w:val="Tablecaption"/>
        <w:spacing w:after="0" w:line="240" w:lineRule="auto"/>
      </w:pPr>
      <w:bookmarkStart w:id="80" w:name="_Toc6473062"/>
      <w:r w:rsidRPr="00CF31E0">
        <w:t xml:space="preserve">Table </w:t>
      </w:r>
      <w:r w:rsidR="00ED354E" w:rsidRPr="00CF31E0">
        <w:t>2</w:t>
      </w:r>
      <w:r w:rsidR="0058240D" w:rsidRPr="00CF31E0">
        <w:t>.2</w:t>
      </w:r>
      <w:r w:rsidRPr="00CF31E0">
        <w:t>: Worldwide crude oil production (barrels/day).</w:t>
      </w:r>
      <w:bookmarkEnd w:id="35"/>
      <w:bookmarkEnd w:id="36"/>
      <w:bookmarkEnd w:id="37"/>
      <w:bookmarkEnd w:id="80"/>
      <w:r w:rsidRPr="00CF31E0">
        <w:t xml:space="preserve"> </w:t>
      </w:r>
    </w:p>
    <w:p w14:paraId="5966EB35" w14:textId="54D5B29F" w:rsidR="00D86F38" w:rsidRPr="00CF31E0" w:rsidRDefault="00ED354E" w:rsidP="00603CB7">
      <w:pPr>
        <w:pStyle w:val="Tablesource"/>
      </w:pPr>
      <w:r w:rsidRPr="00CF31E0">
        <w:t>(</w:t>
      </w:r>
      <w:r w:rsidR="00D86F38" w:rsidRPr="00CF31E0">
        <w:t xml:space="preserve">Adapted from </w:t>
      </w:r>
      <w:r w:rsidR="00D86F38" w:rsidRPr="00CF31E0">
        <w:fldChar w:fldCharType="begin"/>
      </w:r>
      <w:r w:rsidR="00A54129" w:rsidRPr="00CF31E0">
        <w:instrText xml:space="preserve"> ADDIN ZOTERO_ITEM CSL_CITATION {"citationID":"AUEl0Ox0","properties":{"formattedCitation":"(\\uc0\\u8216{}The World Factbook; Central Intelligence Agency\\uc0\\u8217{}, n.d.)","plainCitation":"(‘The World Factbook; Central Intelligence Agency’, n.d.)","noteIndex":0},"citationItems":[{"id":411,"uris":["http://zotero.org/users/1939618/items/R6Y73TT9"],"uri":["http://zotero.org/users/1939618/items/R6Y73TT9"],"itemData":{"id":411,"type":"webpage","title":"The World Factbook; Central Intelligence Agency","URL":"https://www.cia.gov/library/publications/the-world-factbook/rankorder/2241rank.html","accessed":{"date-parts":[["2018",4,7]]}}}],"schema":"https://github.com/citation-style-language/schema/raw/master/csl-citation.json"} </w:instrText>
      </w:r>
      <w:r w:rsidR="00D86F38" w:rsidRPr="00CF31E0">
        <w:fldChar w:fldCharType="separate"/>
      </w:r>
      <w:r w:rsidR="00A54129" w:rsidRPr="00CF31E0">
        <w:rPr>
          <w:rFonts w:eastAsia="Times New Roman" w:hAnsiTheme="majorHAnsi"/>
        </w:rPr>
        <w:t>Central Intelligence Agency</w:t>
      </w:r>
      <w:r w:rsidR="00E90269" w:rsidRPr="00CF31E0">
        <w:rPr>
          <w:rFonts w:eastAsia="Times New Roman" w:hAnsiTheme="majorHAnsi"/>
        </w:rPr>
        <w:t>, 2016</w:t>
      </w:r>
      <w:r w:rsidR="00A54129" w:rsidRPr="00CF31E0">
        <w:rPr>
          <w:rFonts w:eastAsia="Times New Roman" w:hAnsiTheme="majorHAnsi"/>
        </w:rPr>
        <w:t>)</w:t>
      </w:r>
      <w:r w:rsidR="00D86F38" w:rsidRPr="00CF31E0">
        <w:fldChar w:fldCharType="end"/>
      </w:r>
    </w:p>
    <w:p w14:paraId="41DE0B8A" w14:textId="5B7D0913" w:rsidR="0065549D" w:rsidRPr="00CF31E0" w:rsidRDefault="007A163B" w:rsidP="00603CB7">
      <w:pPr>
        <w:pStyle w:val="Paragraph"/>
      </w:pPr>
      <w:r w:rsidRPr="00CF31E0">
        <w:t xml:space="preserve">After discovery of oil, </w:t>
      </w:r>
      <w:r w:rsidR="00A161F6" w:rsidRPr="00CF31E0">
        <w:t xml:space="preserve">there was a </w:t>
      </w:r>
      <w:r w:rsidR="0065549D" w:rsidRPr="00CF31E0">
        <w:t xml:space="preserve">need to build a whole new infrastructure </w:t>
      </w:r>
      <w:r w:rsidR="00A161F6" w:rsidRPr="00CF31E0">
        <w:t xml:space="preserve">in the </w:t>
      </w:r>
      <w:r w:rsidR="005D0894" w:rsidRPr="00CF31E0">
        <w:t>country</w:t>
      </w:r>
      <w:r w:rsidR="0065549D" w:rsidRPr="00CF31E0">
        <w:t xml:space="preserve">, as </w:t>
      </w:r>
      <w:r w:rsidR="0065549D" w:rsidRPr="00CF31E0">
        <w:rPr>
          <w:lang w:val="en-US"/>
        </w:rPr>
        <w:t>no nation has improved without developing a hard and a soft infrastructure</w:t>
      </w:r>
      <w:r w:rsidR="00B93D84" w:rsidRPr="00B9622D">
        <w:rPr>
          <w:rStyle w:val="FootnoteReference"/>
        </w:rPr>
        <w:footnoteReference w:id="10"/>
      </w:r>
      <w:r w:rsidR="0065549D" w:rsidRPr="00CF31E0">
        <w:rPr>
          <w:lang w:val="en-US"/>
        </w:rPr>
        <w:t xml:space="preserve">. </w:t>
      </w:r>
      <w:r w:rsidRPr="00CF31E0">
        <w:rPr>
          <w:lang w:val="en-US"/>
        </w:rPr>
        <w:t>T</w:t>
      </w:r>
      <w:r w:rsidR="0065549D" w:rsidRPr="00CF31E0">
        <w:t>he wealt</w:t>
      </w:r>
      <w:r w:rsidRPr="00CF31E0">
        <w:t>h coming from oil revenue</w:t>
      </w:r>
      <w:r w:rsidR="0065549D" w:rsidRPr="00CF31E0">
        <w:t xml:space="preserve"> helped the </w:t>
      </w:r>
      <w:r w:rsidR="00FF5758" w:rsidRPr="00CF31E0">
        <w:t>country</w:t>
      </w:r>
      <w:r w:rsidR="0065549D" w:rsidRPr="00CF31E0">
        <w:t xml:space="preserve"> to afford expanses for building infrastructure. In the following section, I will discuss briefly how infrastructure helped</w:t>
      </w:r>
      <w:r w:rsidRPr="00CF31E0">
        <w:t xml:space="preserve"> even the new settlement in SA in general and Hijaz region in particular. </w:t>
      </w:r>
    </w:p>
    <w:p w14:paraId="68DAF297" w14:textId="21B51334" w:rsidR="00FE6D1C" w:rsidRPr="00CF31E0" w:rsidRDefault="00ED354E" w:rsidP="009258B3">
      <w:pPr>
        <w:pStyle w:val="Ahead"/>
        <w:rPr>
          <w:rFonts w:asciiTheme="majorBidi" w:hAnsiTheme="majorBidi"/>
        </w:rPr>
      </w:pPr>
      <w:bookmarkStart w:id="81" w:name="_Toc511728074"/>
      <w:bookmarkStart w:id="82" w:name="_Toc6472627"/>
      <w:r w:rsidRPr="00CF31E0">
        <w:t>2</w:t>
      </w:r>
      <w:r w:rsidR="00E70311" w:rsidRPr="00CF31E0">
        <w:t>.9.</w:t>
      </w:r>
      <w:r w:rsidR="00E70311" w:rsidRPr="00CF31E0">
        <w:tab/>
      </w:r>
      <w:r w:rsidR="00C63077" w:rsidRPr="00CF31E0">
        <w:t xml:space="preserve">Development </w:t>
      </w:r>
      <w:r w:rsidR="009258B3" w:rsidRPr="00CF31E0">
        <w:t xml:space="preserve">of </w:t>
      </w:r>
      <w:r w:rsidR="00C63077" w:rsidRPr="00CF31E0">
        <w:t xml:space="preserve">the </w:t>
      </w:r>
      <w:r w:rsidR="00FF5758" w:rsidRPr="00CF31E0">
        <w:t>count</w:t>
      </w:r>
      <w:r w:rsidR="00C63077" w:rsidRPr="00CF31E0">
        <w:t>ry’s infrastructure</w:t>
      </w:r>
      <w:bookmarkEnd w:id="81"/>
      <w:bookmarkEnd w:id="82"/>
    </w:p>
    <w:p w14:paraId="558DED14" w14:textId="262D7935" w:rsidR="00D86F38" w:rsidRPr="00CF31E0" w:rsidRDefault="00D86F38" w:rsidP="00603CB7">
      <w:pPr>
        <w:pStyle w:val="Paragraph"/>
        <w:rPr>
          <w:lang w:val="en-US"/>
        </w:rPr>
      </w:pPr>
      <w:r w:rsidRPr="00CF31E0">
        <w:rPr>
          <w:lang w:val="en-US"/>
        </w:rPr>
        <w:t xml:space="preserve">Improvements in the education, transportation, communication, technology and health systems are </w:t>
      </w:r>
      <w:r w:rsidR="00FF5758" w:rsidRPr="00CF31E0">
        <w:rPr>
          <w:lang w:val="en-US"/>
        </w:rPr>
        <w:t>the fundamental features of the count</w:t>
      </w:r>
      <w:r w:rsidRPr="00CF31E0">
        <w:rPr>
          <w:lang w:val="en-US"/>
        </w:rPr>
        <w:t>ry’s infrastructure</w:t>
      </w:r>
      <w:r w:rsidR="00FE6D1C" w:rsidRPr="00CF31E0">
        <w:rPr>
          <w:lang w:val="en-US"/>
        </w:rPr>
        <w:t xml:space="preserve"> </w:t>
      </w:r>
      <w:r w:rsidR="00FE6D1C" w:rsidRPr="00CF31E0">
        <w:rPr>
          <w:lang w:val="en-US"/>
        </w:rPr>
        <w:fldChar w:fldCharType="begin"/>
      </w:r>
      <w:r w:rsidR="00CD34CA" w:rsidRPr="00CF31E0">
        <w:rPr>
          <w:lang w:val="en-US"/>
        </w:rPr>
        <w:instrText xml:space="preserve"> ADDIN ZOTERO_ITEM CSL_CITATION {"citationID":"gfSE5fxu","properties":{"formattedCitation":"(Al-Hathloul &amp; Aslam Mughal, 1999a; Al-Hathloul &amp; Mughal, 2004)","plainCitation":"(Al-Hathloul &amp; Aslam Mughal, 1999a; Al-Hathloul &amp; Mughal, 2004)","dontUpdate":true,"noteIndex":0},"citationItems":[{"id":405,"uris":["http://zotero.org/users/1939618/items/LJ3BLDEZ"],"uri":["http://zotero.org/users/1939618/items/LJ3BLDEZ"],"itemData":{"id":405,"type":"article-journal","title":"Creating identity in new communities: case studies from Saudi Arabia","container-title":"Landscape and Urban Planning","page":"199–218","volume":"44","issue":"4","source":"find.shef.ac.uk","abstract":"Community identity is considered a desirable goal for various reasons. This paper traces the impact of rapid and unprecedented urbanization on the structure of Saudi cities by taking the example of a small town, Al-Badai in the Riyadh region. It points out how existing towns are struggling to regain their character through a number of methods including the provision of planning frameworks and the creation of new city centers. The paper discusses the creation of identity in the two new communities of Diplomatic Quarter, within Metropolitan Riyadh and Yanbu, the new industrial city on the Red Sea in the Western region. The paper describes how site exploitation, architecture of public buildings and housing employing the principles of traditional Saudi settlements, and landscape architecture with local trees and shrubs have been used in creating community identity. The use of hierarchy of mosques due to their frequent dotting of urban landscape as nodes and landmarks has been identified as a special feature of these communities. The paper brings out the roles of administrative structure and comprehensive planning approach in a centralized system of government for creating community identity.","DOI":"10.1016/S0169-2046(99)00010-9","ISSN":"0169-2046","shortTitle":"Creating identity in new communities","language":"eng","author":[{"family":"Al-Hathloul","given":"Saleh"},{"family":"Aslam Mughal","given":"Muhammad"}],"issued":{"date-parts":[["1999"]]}},"label":"page"},{"id":407,"uris":["http://zotero.org/users/1939618/items/QTY9J3JQ"],"uri":["http://zotero.org/users/1939618/items/QTY9J3JQ"],"itemData":{"id":407,"type":"article-journal","title":"Urban growth management-the Saudi experience","container-title":"Habitat International","page":"609–623","volume":"28","issue":"4","source":"find.shef.ac.uk","abstract":"Saudi Arabia experienced a high rate of urbanization during the period 1970–1986 resulting in accelerated annual growth rates for Saudi cities averaging more than 6.4%. Higher than usual growth rates created demand for the opening up of huge areas to meet housing, commercial, industrial and other land uses. Government's land grant policy and liberal interest free loans resulted in massive expansion of cities and towns all over the country with major cities of Riyadh, Jeddah, and Dammam having the biggest share. Lack of planning frameworks and weak city institutions could not direct the growth properly leading to sprawl and lop-sided development. This meant rapid extension of road network and utilities with high financial outlays. The slow-down in the economy and ever-increasing demand for infrastructure provision forced the government to initiate growth boundaries to tackle these problems in 1986. The paper discusses the methodology adopted and the process of devising urban limits and evaluates their impact on urban structures of Saudi cities. The paper draws some conclusions in the realization of objectives of the exercise with respect to, (a) control urban sprawl by encouraging infill development where utilities were generally available; (b) reduce cost of provision of infrastructure through better coordination tied to commonly agreed phasing; (c) maintain natural environment around the cities.","DOI":"10.1016/j.habitatint.2003.10.009","ISSN":"0197-3975","language":"eng","author":[{"family":"Al-Hathloul","given":"Saleh"},{"family":"Mughal","given":"Muhammad Aslam"}],"issued":{"date-parts":[["2004"]]}},"label":"page"}],"schema":"https://github.com/citation-style-language/schema/raw/master/csl-citation.json"} </w:instrText>
      </w:r>
      <w:r w:rsidR="00FE6D1C" w:rsidRPr="00CF31E0">
        <w:rPr>
          <w:lang w:val="en-US"/>
        </w:rPr>
        <w:fldChar w:fldCharType="separate"/>
      </w:r>
      <w:r w:rsidR="004E0A64" w:rsidRPr="00CF31E0">
        <w:rPr>
          <w:rFonts w:eastAsia="Times New Roman" w:hAnsiTheme="majorHAnsi"/>
        </w:rPr>
        <w:t>(Al-Hathloul &amp; Mughal, 1999</w:t>
      </w:r>
      <w:r w:rsidR="00A34BC8" w:rsidRPr="00CF31E0">
        <w:rPr>
          <w:rFonts w:eastAsia="Times New Roman" w:hAnsiTheme="majorHAnsi"/>
        </w:rPr>
        <w:t xml:space="preserve">, </w:t>
      </w:r>
      <w:r w:rsidR="00FE6D1C" w:rsidRPr="00CF31E0">
        <w:rPr>
          <w:rFonts w:eastAsia="Times New Roman" w:hAnsiTheme="majorHAnsi"/>
        </w:rPr>
        <w:t>2004)</w:t>
      </w:r>
      <w:r w:rsidR="00FE6D1C" w:rsidRPr="00CF31E0">
        <w:rPr>
          <w:lang w:val="en-US"/>
        </w:rPr>
        <w:fldChar w:fldCharType="end"/>
      </w:r>
      <w:r w:rsidRPr="00CF31E0">
        <w:rPr>
          <w:lang w:val="en-US"/>
        </w:rPr>
        <w:t xml:space="preserve">. A huge amount of wealth is needed for the infrastructure to develop. </w:t>
      </w:r>
      <w:r w:rsidRPr="00CF31E0">
        <w:rPr>
          <w:lang w:val="en-US"/>
        </w:rPr>
        <w:fldChar w:fldCharType="begin"/>
      </w:r>
      <w:r w:rsidR="00A54129" w:rsidRPr="00CF31E0">
        <w:rPr>
          <w:lang w:val="en-US"/>
        </w:rPr>
        <w:instrText xml:space="preserve"> ADDIN ZOTERO_ITEM CSL_CITATION {"citationID":"MkGStAuo","properties":{"formattedCitation":"(Vassiliev, 2013, p. 312)","plainCitation":"(Vassiliev, 2013, p. 312)","noteIndex":0},"citationItems":[{"id":"wgwhcNH1/1wsxkPUp","uris":["http://zotero.org/users/1939618/items/J7FJTNAK"],"uri":["http://zotero.org/users/1939618/items/J7FJTNAK"],"itemData":{"id":187,"type":"book","title":"The History of Saudi Arabia","publisher":"Saqi","source":"Google Scholar","URL":"https://books.google.co.uk/books?hl=en&amp;lr=&amp;id=lEIhBQAAQBAJ&amp;oi=fnd&amp;pg=PT4&amp;dq=the+history+of+saudi+arabia+&amp;ots=KPw-sFcBV8&amp;sig=XSuirszUvBi2yobrS_90JGFet1Q","author":[{"family":"Vassiliev","given":"Alexei"}],"issued":{"date-parts":[["2013"]]},"accessed":{"date-parts":[["2015",12,6]]}},"locator":"312","label":"page"}],"schema":"https://github.com/citation-style-language/schema/raw/master/csl-citation.json"} </w:instrText>
      </w:r>
      <w:r w:rsidRPr="00CF31E0">
        <w:rPr>
          <w:lang w:val="en-US"/>
        </w:rPr>
        <w:fldChar w:fldCharType="separate"/>
      </w:r>
      <w:r w:rsidR="00E44A3C" w:rsidRPr="00CF31E0">
        <w:rPr>
          <w:noProof/>
          <w:lang w:val="en-US"/>
        </w:rPr>
        <w:t xml:space="preserve">Vassiliev </w:t>
      </w:r>
      <w:r w:rsidR="003F3B5D">
        <w:rPr>
          <w:noProof/>
          <w:lang w:val="en-US"/>
        </w:rPr>
        <w:t>(</w:t>
      </w:r>
      <w:r w:rsidR="00E44A3C" w:rsidRPr="00CF31E0">
        <w:rPr>
          <w:noProof/>
          <w:lang w:val="en-US"/>
        </w:rPr>
        <w:t>2000</w:t>
      </w:r>
      <w:r w:rsidR="00A54129" w:rsidRPr="00CF31E0">
        <w:rPr>
          <w:noProof/>
          <w:lang w:val="en-US"/>
        </w:rPr>
        <w:t>)</w:t>
      </w:r>
      <w:r w:rsidRPr="00CF31E0">
        <w:rPr>
          <w:lang w:val="en-US"/>
        </w:rPr>
        <w:fldChar w:fldCharType="end"/>
      </w:r>
      <w:r w:rsidRPr="00CF31E0">
        <w:rPr>
          <w:lang w:val="en-US"/>
        </w:rPr>
        <w:t xml:space="preserve"> argues that “the motive forces behind the changes lay outside Arabia and were caused by the global switch of the twentieth-century economy to a new source of power – oil”</w:t>
      </w:r>
      <w:r w:rsidR="00A161F6" w:rsidRPr="00CF31E0">
        <w:rPr>
          <w:lang w:val="en-US"/>
        </w:rPr>
        <w:t xml:space="preserve"> </w:t>
      </w:r>
      <w:r w:rsidR="00A161F6" w:rsidRPr="00CF31E0">
        <w:rPr>
          <w:noProof/>
          <w:lang w:val="en-US"/>
        </w:rPr>
        <w:t>(</w:t>
      </w:r>
      <w:r w:rsidR="003F3B5D" w:rsidRPr="00CF31E0">
        <w:rPr>
          <w:noProof/>
          <w:lang w:val="en-US"/>
        </w:rPr>
        <w:t>Vassiliev</w:t>
      </w:r>
      <w:r w:rsidR="003F3B5D">
        <w:rPr>
          <w:noProof/>
          <w:lang w:val="en-US"/>
        </w:rPr>
        <w:t xml:space="preserve">, </w:t>
      </w:r>
      <w:r w:rsidR="00A161F6" w:rsidRPr="00CF31E0">
        <w:rPr>
          <w:noProof/>
          <w:lang w:val="en-US"/>
        </w:rPr>
        <w:t>20</w:t>
      </w:r>
      <w:r w:rsidR="003F3B5D">
        <w:rPr>
          <w:noProof/>
          <w:lang w:val="en-US"/>
        </w:rPr>
        <w:t>00</w:t>
      </w:r>
      <w:r w:rsidR="00A161F6" w:rsidRPr="00CF31E0">
        <w:rPr>
          <w:noProof/>
          <w:lang w:val="en-US"/>
        </w:rPr>
        <w:t>, p. 312)</w:t>
      </w:r>
      <w:r w:rsidRPr="00CF31E0">
        <w:rPr>
          <w:lang w:val="en-US"/>
        </w:rPr>
        <w:t xml:space="preserve">. As a result, the </w:t>
      </w:r>
      <w:r w:rsidR="00FF5758" w:rsidRPr="00CF31E0">
        <w:rPr>
          <w:lang w:val="en-US"/>
        </w:rPr>
        <w:t>count</w:t>
      </w:r>
      <w:r w:rsidRPr="00CF31E0">
        <w:rPr>
          <w:lang w:val="en-US"/>
        </w:rPr>
        <w:t>ry attempted to plan for a bright future by introducing new systems and improving existing ones. In the foll</w:t>
      </w:r>
      <w:r w:rsidR="00D65D02" w:rsidRPr="00CF31E0">
        <w:rPr>
          <w:lang w:val="en-US"/>
        </w:rPr>
        <w:t>owing sections I will briefly discuss the main</w:t>
      </w:r>
      <w:r w:rsidRPr="00CF31E0">
        <w:rPr>
          <w:lang w:val="en-US"/>
        </w:rPr>
        <w:t xml:space="preserve"> systems, each of which contributed to the formation </w:t>
      </w:r>
      <w:r w:rsidR="00FE6D1C" w:rsidRPr="00CF31E0">
        <w:rPr>
          <w:lang w:val="en-US"/>
        </w:rPr>
        <w:t xml:space="preserve">of the </w:t>
      </w:r>
      <w:r w:rsidR="00A17F53" w:rsidRPr="00CF31E0">
        <w:rPr>
          <w:lang w:val="en-US"/>
        </w:rPr>
        <w:t>count</w:t>
      </w:r>
      <w:r w:rsidR="00FE6D1C" w:rsidRPr="00CF31E0">
        <w:rPr>
          <w:lang w:val="en-US"/>
        </w:rPr>
        <w:t xml:space="preserve">ry’s infrastructure, which contributed to boost settlement in SA in general and Hijaz in particular. </w:t>
      </w:r>
    </w:p>
    <w:p w14:paraId="14E05FE9" w14:textId="3AAE7D6B" w:rsidR="00D86F38" w:rsidRPr="00CF31E0" w:rsidRDefault="00ED354E" w:rsidP="0061369D">
      <w:pPr>
        <w:pStyle w:val="Ahead"/>
      </w:pPr>
      <w:bookmarkStart w:id="83" w:name="_Toc511728075"/>
      <w:bookmarkStart w:id="84" w:name="_Toc6472628"/>
      <w:r w:rsidRPr="00CF31E0">
        <w:lastRenderedPageBreak/>
        <w:t>2</w:t>
      </w:r>
      <w:r w:rsidR="00E70311" w:rsidRPr="00CF31E0">
        <w:t>.10.</w:t>
      </w:r>
      <w:r w:rsidR="00E70311" w:rsidRPr="00CF31E0">
        <w:tab/>
      </w:r>
      <w:r w:rsidR="00D86F38" w:rsidRPr="00CF31E0">
        <w:t>The economic system</w:t>
      </w:r>
      <w:bookmarkEnd w:id="83"/>
      <w:bookmarkEnd w:id="84"/>
      <w:r w:rsidR="00D86F38" w:rsidRPr="00CF31E0">
        <w:t xml:space="preserve"> </w:t>
      </w:r>
    </w:p>
    <w:p w14:paraId="7ECC259D" w14:textId="54533051" w:rsidR="00D86F38" w:rsidRPr="00CF31E0" w:rsidRDefault="00D86F38" w:rsidP="00603CB7">
      <w:pPr>
        <w:pStyle w:val="Paragraph"/>
        <w:rPr>
          <w:lang w:val="en-US"/>
        </w:rPr>
      </w:pPr>
      <w:r w:rsidRPr="00CF31E0">
        <w:rPr>
          <w:lang w:val="en-US"/>
        </w:rPr>
        <w:t xml:space="preserve">Before the discovery of oil, the </w:t>
      </w:r>
      <w:r w:rsidR="00C97AC2" w:rsidRPr="00CF31E0">
        <w:rPr>
          <w:lang w:val="en-US"/>
        </w:rPr>
        <w:t>count</w:t>
      </w:r>
      <w:r w:rsidRPr="00CF31E0">
        <w:rPr>
          <w:lang w:val="en-US"/>
        </w:rPr>
        <w:t xml:space="preserve">ry was mostly dependent on </w:t>
      </w:r>
      <w:r w:rsidR="004D41AC" w:rsidRPr="00CF31E0">
        <w:rPr>
          <w:lang w:val="en-US"/>
        </w:rPr>
        <w:t xml:space="preserve">limited </w:t>
      </w:r>
      <w:r w:rsidRPr="00CF31E0">
        <w:rPr>
          <w:lang w:val="en-US"/>
        </w:rPr>
        <w:t xml:space="preserve">agriculture and trade from pilgrims </w:t>
      </w:r>
      <w:r w:rsidRPr="00CF31E0">
        <w:rPr>
          <w:lang w:val="en-US"/>
        </w:rPr>
        <w:fldChar w:fldCharType="begin"/>
      </w:r>
      <w:r w:rsidR="00A54129" w:rsidRPr="00CF31E0">
        <w:rPr>
          <w:lang w:val="en-US"/>
        </w:rPr>
        <w:instrText xml:space="preserve"> ADDIN ZOTERO_ITEM CSL_CITATION {"citationID":"irHtJCy7","properties":{"formattedCitation":"(S. Hamdan, 1990, p. 12)","plainCitation":"(S. Hamdan, 1990, p. 12)","noteIndex":0},"citationItems":[{"id":200,"uris":["http://zotero.org/users/1939618/items/N5XRP2MU"],"uri":["http://zotero.org/users/1939618/items/N5XRP2MU"],"itemData":{"id":200,"type":"thesis","title":"Social change in the Saudi family (doctoral dissertation","publisher":"Iowa state University","source":"Google Scholar","URL":"http://lib.dr.iastate.edu/rtd/11187/","author":[{"family":"Hamdan","given":"Saeed"}],"issued":{"date-parts":[["1990"]]},"accessed":{"date-parts":[["2015",12,6]]}},"locator":"12","label":"page"}],"schema":"https://github.com/citation-style-language/schema/raw/master/csl-citation.json"} </w:instrText>
      </w:r>
      <w:r w:rsidRPr="00CF31E0">
        <w:rPr>
          <w:lang w:val="en-US"/>
        </w:rPr>
        <w:fldChar w:fldCharType="separate"/>
      </w:r>
      <w:r w:rsidR="00C97AC2" w:rsidRPr="00CF31E0">
        <w:rPr>
          <w:noProof/>
          <w:lang w:val="en-US"/>
        </w:rPr>
        <w:t>(</w:t>
      </w:r>
      <w:r w:rsidR="00E52D2D" w:rsidRPr="00CF31E0">
        <w:rPr>
          <w:noProof/>
          <w:lang w:val="en-US"/>
        </w:rPr>
        <w:t>Hamdan, 1990, p. 12)</w:t>
      </w:r>
      <w:r w:rsidRPr="00CF31E0">
        <w:rPr>
          <w:lang w:val="en-US"/>
        </w:rPr>
        <w:fldChar w:fldCharType="end"/>
      </w:r>
      <w:r w:rsidRPr="00CF31E0">
        <w:rPr>
          <w:lang w:val="en-US"/>
        </w:rPr>
        <w:t xml:space="preserve">. However, the income from the aforementioned resources was relatively moderate since the Saudi land is not wholly suitable for agriculture; only in some parts of the </w:t>
      </w:r>
      <w:r w:rsidR="00C97AC2" w:rsidRPr="00CF31E0">
        <w:rPr>
          <w:lang w:val="en-US"/>
        </w:rPr>
        <w:t>count</w:t>
      </w:r>
      <w:r w:rsidRPr="00CF31E0">
        <w:rPr>
          <w:lang w:val="en-US"/>
        </w:rPr>
        <w:t>ry, such as the central and the western parts, is the land suitable for agriculture</w:t>
      </w:r>
      <w:r w:rsidR="00F2556B" w:rsidRPr="00CF31E0">
        <w:rPr>
          <w:lang w:val="en-US"/>
        </w:rPr>
        <w:t xml:space="preserve"> </w:t>
      </w:r>
      <w:r w:rsidR="0065549D" w:rsidRPr="00CF31E0">
        <w:rPr>
          <w:lang w:val="en-US"/>
        </w:rPr>
        <w:fldChar w:fldCharType="begin"/>
      </w:r>
      <w:r w:rsidR="00CD34CA" w:rsidRPr="00CF31E0">
        <w:rPr>
          <w:lang w:val="en-US"/>
        </w:rPr>
        <w:instrText xml:space="preserve"> ADDIN ZOTERO_ITEM CSL_CITATION {"citationID":"D1ZK3IOu","properties":{"formattedCitation":"(Al-Farsy, 1990)","plainCitation":"(Al-Farsy, 1990)","noteIndex":0},"citationItems":[{"id":317,"uris":["http://zotero.org/users/1939618/items/JZ5JPCXF"],"uri":["http://zotero.org/users/1939618/items/JZ5JPCXF"],"itemData":{"id":317,"type":"book","title":"Modernity and Tradition: The Saudi Equation","publisher":"Routledge","publisher-place":"London and New york","number-of-pages":"372","source":"Google Books","event-place":"London and New york","abstract":"First published in 1990. Routledge is an imprint of Taylor &amp; Francis, an informa company.","ISBN":"978-0-7103-0395-0","shortTitle":"Modernity and Tradition","language":"en","author":[{"family":"Al-Farsy","given":"Fouad"}],"issued":{"date-parts":[["1990"]]}}}],"schema":"https://github.com/citation-style-language/schema/raw/master/csl-citation.json"} </w:instrText>
      </w:r>
      <w:r w:rsidR="0065549D" w:rsidRPr="00CF31E0">
        <w:rPr>
          <w:lang w:val="en-US"/>
        </w:rPr>
        <w:fldChar w:fldCharType="separate"/>
      </w:r>
      <w:r w:rsidR="00CD34CA" w:rsidRPr="00CF31E0">
        <w:rPr>
          <w:noProof/>
          <w:lang w:val="en-US"/>
        </w:rPr>
        <w:t>(Al-Farsy, 1990)</w:t>
      </w:r>
      <w:r w:rsidR="0065549D" w:rsidRPr="00CF31E0">
        <w:rPr>
          <w:lang w:val="en-US"/>
        </w:rPr>
        <w:fldChar w:fldCharType="end"/>
      </w:r>
      <w:r w:rsidRPr="00CF31E0">
        <w:rPr>
          <w:lang w:val="en-US"/>
        </w:rPr>
        <w:t xml:space="preserve">. Moreover, there was not a high amount of trade from pilgrims because the number of pilgrims in the past was much smaller than in the present day. After the discovery of oil, the economy changed from one completely dependent on </w:t>
      </w:r>
      <w:r w:rsidR="006D4A99" w:rsidRPr="00CF31E0">
        <w:rPr>
          <w:lang w:val="en-US"/>
        </w:rPr>
        <w:t xml:space="preserve">pilgrimage </w:t>
      </w:r>
      <w:r w:rsidR="004119D2" w:rsidRPr="00CF31E0">
        <w:rPr>
          <w:lang w:val="en-US"/>
        </w:rPr>
        <w:t>income</w:t>
      </w:r>
      <w:r w:rsidR="006D4A99" w:rsidRPr="00CF31E0">
        <w:rPr>
          <w:lang w:val="en-US"/>
        </w:rPr>
        <w:t xml:space="preserve"> and </w:t>
      </w:r>
      <w:r w:rsidR="004119D2" w:rsidRPr="00CF31E0">
        <w:rPr>
          <w:lang w:val="en-US"/>
        </w:rPr>
        <w:t xml:space="preserve">limited </w:t>
      </w:r>
      <w:r w:rsidRPr="00CF31E0">
        <w:rPr>
          <w:lang w:val="en-US"/>
        </w:rPr>
        <w:t>agriculture to one that is mostly dependent on industry</w:t>
      </w:r>
      <w:r w:rsidR="00263552" w:rsidRPr="00CF31E0">
        <w:rPr>
          <w:lang w:val="en-US"/>
        </w:rPr>
        <w:t xml:space="preserve"> </w:t>
      </w:r>
      <w:r w:rsidR="00F2556B" w:rsidRPr="00CF31E0">
        <w:rPr>
          <w:lang w:val="en-US"/>
        </w:rPr>
        <w:fldChar w:fldCharType="begin"/>
      </w:r>
      <w:r w:rsidR="00A54129" w:rsidRPr="00CF31E0">
        <w:rPr>
          <w:lang w:val="en-US"/>
        </w:rPr>
        <w:instrText xml:space="preserve"> ADDIN ZOTERO_ITEM CSL_CITATION {"citationID":"cuWVLiuN","properties":{"formattedCitation":"(Al-Hathloul &amp; Edadan, 1993; S. Hamdan, 1990)","plainCitation":"(Al-Hathloul &amp; Edadan, 1993; S. Hamdan, 1990)","noteIndex":0},"citationItems":[{"id":391,"uris":["http://zotero.org/users/1939618/items/DXRDLSL4"],"uri":["http://zotero.org/users/1939618/items/DXRDLSL4"],"itemData":{"id":391,"type":"article-journal","title":"Evolution of settlement pattern in Saudi Arabia: A historical analysis","container-title":"Habitat International","page":"31–46","volume":"17","issue":"4","source":"find.shef.ac.uk","abstract":"Historical growth of settlements in the Kingdom of Saudi Arabia has been significantly influenced by the ecological and institutional factors. The evolutionary process of settlement growth in the Kingdom could be classified into four distinct stages: the trade and pilgrim routes of the pre-national unification period, the sedentarisation process of the unification period, the oil discovery and extraction period of the early 1960s and the oil boom and development planning period of the 1970s. In spite of the distinct ecological and physical conditions of desert and arid environments and tribal structure of regions, certain notions and processes of historical evolution of settlements and growth dynamics could be generalised. This paper is an attempt to identify the institutional process of evolution and growth of settlements in the Kingdom of Saudi Arabia.","DOI":"10.1016/0197-3975(93)90027-A","ISSN":"0197-3975","shortTitle":"Evolution of settlement pattern in Saudi Arabia","language":"eng","author":[{"family":"Al-Hathloul","given":"Saleh"},{"family":"Edadan","given":"Narayanan"}],"issued":{"date-parts":[["1993"]]}},"label":"page"},{"id":200,"uris":["http://zotero.org/users/1939618/items/N5XRP2MU"],"uri":["http://zotero.org/users/1939618/items/N5XRP2MU"],"itemData":{"id":200,"type":"thesis","title":"Social change in the Saudi family (doctoral dissertation","publisher":"Iowa state University","source":"Google Scholar","URL":"http://lib.dr.iastate.edu/rtd/11187/","author":[{"family":"Hamdan","given":"Saeed"}],"issued":{"date-parts":[["1990"]]},"accessed":{"date-parts":[["2015",12,6]]}},"label":"page"}],"schema":"https://github.com/citation-style-language/schema/raw/master/csl-citation.json"} </w:instrText>
      </w:r>
      <w:r w:rsidR="00F2556B" w:rsidRPr="00CF31E0">
        <w:rPr>
          <w:lang w:val="en-US"/>
        </w:rPr>
        <w:fldChar w:fldCharType="separate"/>
      </w:r>
      <w:r w:rsidR="00C97AC2" w:rsidRPr="00CF31E0">
        <w:rPr>
          <w:noProof/>
          <w:lang w:val="en-US"/>
        </w:rPr>
        <w:t xml:space="preserve">(Al-Hathloul &amp; Edadan, 1993; </w:t>
      </w:r>
      <w:r w:rsidR="00E52D2D" w:rsidRPr="00CF31E0">
        <w:rPr>
          <w:noProof/>
          <w:lang w:val="en-US"/>
        </w:rPr>
        <w:t>Hamdan, 1990)</w:t>
      </w:r>
      <w:r w:rsidR="00F2556B" w:rsidRPr="00CF31E0">
        <w:rPr>
          <w:lang w:val="en-US"/>
        </w:rPr>
        <w:fldChar w:fldCharType="end"/>
      </w:r>
      <w:r w:rsidR="00E52D2D" w:rsidRPr="00CF31E0">
        <w:rPr>
          <w:lang w:val="en-US"/>
        </w:rPr>
        <w:t xml:space="preserve">. </w:t>
      </w:r>
    </w:p>
    <w:p w14:paraId="4BF0FFCC" w14:textId="6B28E777" w:rsidR="00D86F38" w:rsidRPr="00CF31E0" w:rsidRDefault="00D86F38" w:rsidP="000E0E79">
      <w:pPr>
        <w:pStyle w:val="Paragraph"/>
        <w:rPr>
          <w:lang w:val="en-US"/>
        </w:rPr>
      </w:pPr>
      <w:r w:rsidRPr="00CF31E0">
        <w:rPr>
          <w:lang w:val="en-US"/>
        </w:rPr>
        <w:t xml:space="preserve">The first industrial transformation in the </w:t>
      </w:r>
      <w:r w:rsidR="00362213" w:rsidRPr="00CF31E0">
        <w:rPr>
          <w:lang w:val="en-US"/>
        </w:rPr>
        <w:t>count</w:t>
      </w:r>
      <w:r w:rsidRPr="00CF31E0">
        <w:rPr>
          <w:lang w:val="en-US"/>
        </w:rPr>
        <w:t>ry consisted of building refiner</w:t>
      </w:r>
      <w:r w:rsidR="00A47F58" w:rsidRPr="00CF31E0">
        <w:rPr>
          <w:lang w:val="en-US"/>
        </w:rPr>
        <w:t>ie</w:t>
      </w:r>
      <w:r w:rsidRPr="00CF31E0">
        <w:rPr>
          <w:lang w:val="en-US"/>
        </w:rPr>
        <w:t xml:space="preserve">s for crude oil so that the </w:t>
      </w:r>
      <w:r w:rsidR="00A745F8" w:rsidRPr="00CF31E0">
        <w:rPr>
          <w:lang w:val="en-US"/>
        </w:rPr>
        <w:t>country</w:t>
      </w:r>
      <w:r w:rsidRPr="00CF31E0">
        <w:rPr>
          <w:lang w:val="en-US"/>
        </w:rPr>
        <w:t xml:space="preserve"> could export crude oil along with the more expensive refined oil</w:t>
      </w:r>
      <w:r w:rsidR="00263552" w:rsidRPr="00CF31E0">
        <w:rPr>
          <w:lang w:val="en-US"/>
        </w:rPr>
        <w:t xml:space="preserve"> </w:t>
      </w:r>
      <w:r w:rsidR="0065549D" w:rsidRPr="00CF31E0">
        <w:rPr>
          <w:lang w:val="en-US"/>
        </w:rPr>
        <w:fldChar w:fldCharType="begin"/>
      </w:r>
      <w:r w:rsidR="0065549D" w:rsidRPr="00CF31E0">
        <w:rPr>
          <w:lang w:val="en-US"/>
        </w:rPr>
        <w:instrText xml:space="preserve"> ADDIN ZOTERO_ITEM CSL_CITATION {"citationID":"3XajSjiA","properties":{"formattedCitation":"(Kultgen, 2014)","plainCitation":"(Kultgen, 2014)","noteIndex":0},"citationItems":[{"id":385,"uris":["http://zotero.org/users/1939618/items/QAPS3VJN"],"uri":["http://zotero.org/users/1939618/items/QAPS3VJN"],"itemData":{"id":385,"type":"article-journal","title":"Saudi Aramco: a look ahead","container-title":"Journal of World Energy Law and Business","page":"153–161","volume":"7","issue":"2","source":"find.shef.ac.uk","abstract":"A lawyer’s perspective on the history of what has become the largest integrated oil and gas company in the world, the challenges faced by Saudi Aramco as the national oil company of the Kingdom of Saudi Arabia and its response to those challenges.","DOI":"10.1093/jwelb/jwu003","ISSN":"1754-9957","shortTitle":"Saudi Aramco","author":[{"family":"Kultgen","given":"David B."}],"issued":{"date-parts":[["2014"]]}}}],"schema":"https://github.com/citation-style-language/schema/raw/master/csl-citation.json"} </w:instrText>
      </w:r>
      <w:r w:rsidR="0065549D" w:rsidRPr="00CF31E0">
        <w:rPr>
          <w:lang w:val="en-US"/>
        </w:rPr>
        <w:fldChar w:fldCharType="separate"/>
      </w:r>
      <w:r w:rsidR="0065549D" w:rsidRPr="00CF31E0">
        <w:rPr>
          <w:noProof/>
          <w:lang w:val="en-US"/>
        </w:rPr>
        <w:t>(Kultgen, 2014)</w:t>
      </w:r>
      <w:r w:rsidR="0065549D" w:rsidRPr="00CF31E0">
        <w:rPr>
          <w:lang w:val="en-US"/>
        </w:rPr>
        <w:fldChar w:fldCharType="end"/>
      </w:r>
      <w:r w:rsidRPr="00CF31E0">
        <w:rPr>
          <w:lang w:val="en-US"/>
        </w:rPr>
        <w:t>. Another facet of the industrial revolution was characterized by the loans the government gave to investors. The government started to offer interest-free loans to Saudi investors to start their projects</w:t>
      </w:r>
      <w:r w:rsidR="000E0E79" w:rsidRPr="00CF31E0">
        <w:rPr>
          <w:lang w:val="en-US"/>
        </w:rPr>
        <w:t xml:space="preserve"> </w:t>
      </w:r>
      <w:r w:rsidR="000E0E79" w:rsidRPr="00CF31E0">
        <w:rPr>
          <w:lang w:val="en-US"/>
        </w:rPr>
        <w:fldChar w:fldCharType="begin"/>
      </w:r>
      <w:r w:rsidR="000E0E79" w:rsidRPr="00CF31E0">
        <w:rPr>
          <w:lang w:val="en-US"/>
        </w:rPr>
        <w:instrText xml:space="preserve"> ADDIN ZOTERO_ITEM CSL_CITATION {"citationID":"VehdJQ71","properties":{"formattedCitation":"(S. Hamdan, 1990, p. 21)","plainCitation":"(S. Hamdan, 1990, p. 21)","noteIndex":0},"citationItems":[{"id":200,"uris":["http://zotero.org/users/1939618/items/N5XRP2MU"],"uri":["http://zotero.org/users/1939618/items/N5XRP2MU"],"itemData":{"id":200,"type":"thesis","title":"Social change in the Saudi family (doctoral dissertation","publisher":"Iowa state University","source":"Google Scholar","URL":"http://lib.dr.iastate.edu/rtd/11187/","author":[{"family":"Hamdan","given":"Saeed"}],"issued":{"date-parts":[["1990"]]},"accessed":{"date-parts":[["2015",12,6]]}},"locator":"21","label":"page"}],"schema":"https://github.com/citation-style-language/schema/raw/master/csl-citation.json"} </w:instrText>
      </w:r>
      <w:r w:rsidR="000E0E79" w:rsidRPr="00CF31E0">
        <w:rPr>
          <w:lang w:val="en-US"/>
        </w:rPr>
        <w:fldChar w:fldCharType="separate"/>
      </w:r>
      <w:r w:rsidR="000E0E79" w:rsidRPr="00CF31E0">
        <w:rPr>
          <w:lang w:val="en-US"/>
        </w:rPr>
        <w:t>(Hamdan, 1990)</w:t>
      </w:r>
      <w:r w:rsidR="000E0E79" w:rsidRPr="00CF31E0">
        <w:rPr>
          <w:lang w:val="en-US"/>
        </w:rPr>
        <w:fldChar w:fldCharType="end"/>
      </w:r>
      <w:r w:rsidRPr="00CF31E0">
        <w:rPr>
          <w:lang w:val="en-US"/>
        </w:rPr>
        <w:t xml:space="preserve">. As a result, industrial prosperity was apparent after the discovery of oil. On the other hand, the old sources of income such as agriculture were not neglected. The government attempted to construct a well-formed infrastructure for agriculture to provide all the facilities needed by farmers. The construction of roads, importing modern technology for use by the agricultural sector and building training schools for farmers all helped the agricultural sector to produce a better income </w:t>
      </w:r>
      <w:r w:rsidRPr="00CF31E0">
        <w:rPr>
          <w:lang w:val="en-US"/>
        </w:rPr>
        <w:fldChar w:fldCharType="begin"/>
      </w:r>
      <w:r w:rsidR="00A54129" w:rsidRPr="00CF31E0">
        <w:rPr>
          <w:lang w:val="en-US"/>
        </w:rPr>
        <w:instrText xml:space="preserve"> ADDIN ZOTERO_ITEM CSL_CITATION {"citationID":"VehdJQ71","properties":{"formattedCitation":"(S. Hamdan, 1990, p. 21)","plainCitation":"(S. Hamdan, 1990, p. 21)","noteIndex":0},"citationItems":[{"id":200,"uris":["http://zotero.org/users/1939618/items/N5XRP2MU"],"uri":["http://zotero.org/users/1939618/items/N5XRP2MU"],"itemData":{"id":200,"type":"thesis","title":"Social change in the Saudi family (doctoral dissertation","publisher":"Iowa state University","source":"Google Scholar","URL":"http://lib.dr.iastate.edu/rtd/11187/","author":[{"family":"Hamdan","given":"Saeed"}],"issued":{"date-parts":[["1990"]]},"accessed":{"date-parts":[["2015",12,6]]}},"locator":"21","label":"page"}],"schema":"https://github.com/citation-style-language/schema/raw/master/csl-citation.json"} </w:instrText>
      </w:r>
      <w:r w:rsidRPr="00CF31E0">
        <w:rPr>
          <w:lang w:val="en-US"/>
        </w:rPr>
        <w:fldChar w:fldCharType="separate"/>
      </w:r>
      <w:r w:rsidR="00C97AC2" w:rsidRPr="00CF31E0">
        <w:rPr>
          <w:noProof/>
          <w:lang w:val="en-US"/>
        </w:rPr>
        <w:t>(</w:t>
      </w:r>
      <w:r w:rsidR="00220818" w:rsidRPr="00CF31E0">
        <w:rPr>
          <w:noProof/>
          <w:lang w:val="en-US"/>
        </w:rPr>
        <w:t>Hamdan, 1990, p. 21)</w:t>
      </w:r>
      <w:r w:rsidRPr="00CF31E0">
        <w:rPr>
          <w:lang w:val="en-US"/>
        </w:rPr>
        <w:fldChar w:fldCharType="end"/>
      </w:r>
      <w:r w:rsidRPr="00CF31E0">
        <w:rPr>
          <w:lang w:val="en-US"/>
        </w:rPr>
        <w:t>.</w:t>
      </w:r>
    </w:p>
    <w:p w14:paraId="3B317C7B" w14:textId="5E98D575" w:rsidR="00D86F38" w:rsidRPr="00CF31E0" w:rsidRDefault="00D86F38" w:rsidP="00603CB7">
      <w:pPr>
        <w:pStyle w:val="Paragraph"/>
        <w:rPr>
          <w:lang w:val="en-US"/>
        </w:rPr>
      </w:pPr>
      <w:r w:rsidRPr="00CF31E0">
        <w:rPr>
          <w:lang w:val="en-US"/>
        </w:rPr>
        <w:t>The government realized that it should not rely on</w:t>
      </w:r>
      <w:r w:rsidR="002E07B7" w:rsidRPr="00CF31E0">
        <w:rPr>
          <w:lang w:val="en-US"/>
        </w:rPr>
        <w:t xml:space="preserve"> exporting crude and refined</w:t>
      </w:r>
      <w:r w:rsidRPr="00CF31E0">
        <w:rPr>
          <w:lang w:val="en-US"/>
        </w:rPr>
        <w:t xml:space="preserve"> oil as the sole source of power and income</w:t>
      </w:r>
      <w:r w:rsidR="00263552" w:rsidRPr="00CF31E0">
        <w:rPr>
          <w:lang w:val="en-US"/>
        </w:rPr>
        <w:t xml:space="preserve"> </w:t>
      </w:r>
      <w:r w:rsidR="00E52D2D" w:rsidRPr="00CF31E0">
        <w:rPr>
          <w:lang w:val="en-US"/>
        </w:rPr>
        <w:fldChar w:fldCharType="begin"/>
      </w:r>
      <w:r w:rsidR="00A54129" w:rsidRPr="00CF31E0">
        <w:rPr>
          <w:lang w:val="en-US"/>
        </w:rPr>
        <w:instrText xml:space="preserve"> ADDIN ZOTERO_ITEM CSL_CITATION {"citationID":"Yfxe5lO7","properties":{"formattedCitation":"(Albatel, 2005; S. Hamdan, 1990)","plainCitation":"(Albatel, 2005; S. Hamdan, 1990)","noteIndex":0},"citationItems":[{"id":398,"uris":["http://zotero.org/users/1939618/items/UXMPASC7"],"uri":["http://zotero.org/users/1939618/items/UXMPASC7"],"itemData":{"id":398,"type":"article-journal","title":"Population growth and economic development in Saudi Arabia","container-title":"Scientific Journal of King Faisal University (Humanities and Management Sciences)","page":"1426","volume":"6","issue":"2","source":"Google Scholar","author":[{"family":"Albatel","given":"Abdullah H."}],"issued":{"date-parts":[["2005"]]}},"label":"page"},{"id":200,"uris":["http://zotero.org/users/1939618/items/N5XRP2MU"],"uri":["http://zotero.org/users/1939618/items/N5XRP2MU"],"itemData":{"id":200,"type":"thesis","title":"Social change in the Saudi family (doctoral dissertation","publisher":"Iowa state University","source":"Google Scholar","URL":"http://lib.dr.iastate.edu/rtd/11187/","author":[{"family":"Hamdan","given":"Saeed"}],"issued":{"date-parts":[["1990"]]},"accessed":{"date-parts":[["2015",12,6]]}},"label":"page"}],"schema":"https://github.com/citation-style-language/schema/raw/master/csl-citation.json"} </w:instrText>
      </w:r>
      <w:r w:rsidR="00E52D2D" w:rsidRPr="00CF31E0">
        <w:rPr>
          <w:lang w:val="en-US"/>
        </w:rPr>
        <w:fldChar w:fldCharType="separate"/>
      </w:r>
      <w:r w:rsidR="00C97AC2" w:rsidRPr="00CF31E0">
        <w:rPr>
          <w:noProof/>
          <w:lang w:val="en-US"/>
        </w:rPr>
        <w:t xml:space="preserve">(Albatel, 2005; </w:t>
      </w:r>
      <w:r w:rsidR="00E52D2D" w:rsidRPr="00CF31E0">
        <w:rPr>
          <w:noProof/>
          <w:lang w:val="en-US"/>
        </w:rPr>
        <w:t>Hamdan, 1990)</w:t>
      </w:r>
      <w:r w:rsidR="00E52D2D" w:rsidRPr="00CF31E0">
        <w:rPr>
          <w:lang w:val="en-US"/>
        </w:rPr>
        <w:fldChar w:fldCharType="end"/>
      </w:r>
      <w:r w:rsidRPr="00CF31E0">
        <w:rPr>
          <w:lang w:val="en-US"/>
        </w:rPr>
        <w:t>. Therefore, it launched the Saudi Arabian Basic Industries Corporation (SABIC) in 1977</w:t>
      </w:r>
      <w:r w:rsidR="00E52D2D" w:rsidRPr="00CF31E0">
        <w:rPr>
          <w:lang w:val="en-US"/>
        </w:rPr>
        <w:t xml:space="preserve"> </w:t>
      </w:r>
      <w:r w:rsidR="00353083" w:rsidRPr="00CF31E0">
        <w:rPr>
          <w:lang w:val="en-US"/>
        </w:rPr>
        <w:fldChar w:fldCharType="begin"/>
      </w:r>
      <w:r w:rsidR="00CD34CA" w:rsidRPr="00CF31E0">
        <w:rPr>
          <w:lang w:val="en-US"/>
        </w:rPr>
        <w:instrText xml:space="preserve"> ADDIN ZOTERO_ITEM CSL_CITATION {"citationID":"GgR3r9CE","properties":{"formattedCitation":"(Al-Farsy, 1990)","plainCitation":"(Al-Farsy, 1990)","noteIndex":0},"citationItems":[{"id":317,"uris":["http://zotero.org/users/1939618/items/JZ5JPCXF"],"uri":["http://zotero.org/users/1939618/items/JZ5JPCXF"],"itemData":{"id":317,"type":"book","title":"Modernity and Tradition: The Saudi Equation","publisher":"Routledge","publisher-place":"London and New york","number-of-pages":"372","source":"Google Books","event-place":"London and New york","abstract":"First published in 1990. Routledge is an imprint of Taylor &amp; Francis, an informa company.","ISBN":"978-0-7103-0395-0","shortTitle":"Modernity and Tradition","language":"en","author":[{"family":"Al-Farsy","given":"Fouad"}],"issued":{"date-parts":[["1990"]]}}}],"schema":"https://github.com/citation-style-language/schema/raw/master/csl-citation.json"} </w:instrText>
      </w:r>
      <w:r w:rsidR="00353083" w:rsidRPr="00CF31E0">
        <w:rPr>
          <w:lang w:val="en-US"/>
        </w:rPr>
        <w:fldChar w:fldCharType="separate"/>
      </w:r>
      <w:r w:rsidR="00CD34CA" w:rsidRPr="00CF31E0">
        <w:rPr>
          <w:noProof/>
          <w:lang w:val="en-US"/>
        </w:rPr>
        <w:t>(Al-Farsy, 1990)</w:t>
      </w:r>
      <w:r w:rsidR="00353083" w:rsidRPr="00CF31E0">
        <w:rPr>
          <w:lang w:val="en-US"/>
        </w:rPr>
        <w:fldChar w:fldCharType="end"/>
      </w:r>
      <w:r w:rsidRPr="00CF31E0">
        <w:rPr>
          <w:lang w:val="en-US"/>
        </w:rPr>
        <w:t xml:space="preserve">. The company manufactured a variety of products such as petrochemicals, iron, steel and other products that are totally dependent on oil. </w:t>
      </w:r>
    </w:p>
    <w:p w14:paraId="210D622F" w14:textId="530E4F4E" w:rsidR="00D86F38" w:rsidRPr="00CF31E0" w:rsidRDefault="00ED354E" w:rsidP="0061369D">
      <w:pPr>
        <w:pStyle w:val="Ahead"/>
      </w:pPr>
      <w:bookmarkStart w:id="85" w:name="_Toc511728076"/>
      <w:bookmarkStart w:id="86" w:name="_Toc6472629"/>
      <w:r w:rsidRPr="00CF31E0">
        <w:lastRenderedPageBreak/>
        <w:t>2</w:t>
      </w:r>
      <w:r w:rsidR="00E70311" w:rsidRPr="00CF31E0">
        <w:t>.11.</w:t>
      </w:r>
      <w:r w:rsidR="00E70311" w:rsidRPr="00CF31E0">
        <w:tab/>
      </w:r>
      <w:r w:rsidR="00D86F38" w:rsidRPr="00CF31E0">
        <w:t xml:space="preserve">The </w:t>
      </w:r>
      <w:r w:rsidR="00D86F38" w:rsidRPr="00CF31E0">
        <w:rPr>
          <w:rStyle w:val="Heading2Char"/>
          <w:b/>
        </w:rPr>
        <w:t>educational</w:t>
      </w:r>
      <w:r w:rsidR="00D86F38" w:rsidRPr="00CF31E0">
        <w:t xml:space="preserve"> system</w:t>
      </w:r>
      <w:bookmarkEnd w:id="85"/>
      <w:bookmarkEnd w:id="86"/>
      <w:r w:rsidR="00D86F38" w:rsidRPr="00CF31E0">
        <w:t xml:space="preserve"> </w:t>
      </w:r>
    </w:p>
    <w:p w14:paraId="3309B835" w14:textId="271C8C4E" w:rsidR="00D86F38" w:rsidRPr="00CF31E0" w:rsidRDefault="00D86F38" w:rsidP="00603CB7">
      <w:pPr>
        <w:pStyle w:val="Paragraph"/>
        <w:rPr>
          <w:lang w:val="en-US"/>
        </w:rPr>
      </w:pPr>
      <w:r w:rsidRPr="00CF31E0">
        <w:rPr>
          <w:lang w:val="en-US"/>
        </w:rPr>
        <w:t>Before the discovery of oil, there was no formal education in SA except for learning in mosques</w:t>
      </w:r>
      <w:r w:rsidR="009B6936" w:rsidRPr="00CF31E0">
        <w:rPr>
          <w:lang w:val="en-US"/>
        </w:rPr>
        <w:t>,</w:t>
      </w:r>
      <w:r w:rsidRPr="00CF31E0">
        <w:rPr>
          <w:lang w:val="en-US"/>
        </w:rPr>
        <w:t xml:space="preserve"> where children</w:t>
      </w:r>
      <w:r w:rsidR="0069314B" w:rsidRPr="00CF31E0">
        <w:rPr>
          <w:lang w:val="en-US"/>
        </w:rPr>
        <w:t xml:space="preserve">, </w:t>
      </w:r>
      <w:r w:rsidR="009B6936" w:rsidRPr="00CF31E0">
        <w:rPr>
          <w:lang w:val="en-US"/>
        </w:rPr>
        <w:t xml:space="preserve">both </w:t>
      </w:r>
      <w:r w:rsidR="0069314B" w:rsidRPr="00CF31E0">
        <w:rPr>
          <w:lang w:val="en-US"/>
        </w:rPr>
        <w:t xml:space="preserve">boys and girls, </w:t>
      </w:r>
      <w:r w:rsidRPr="00CF31E0">
        <w:rPr>
          <w:lang w:val="en-US"/>
        </w:rPr>
        <w:t xml:space="preserve">could memorize the Qur’an and learn the Arabic language </w:t>
      </w:r>
      <w:r w:rsidRPr="00CF31E0">
        <w:rPr>
          <w:lang w:val="en-US"/>
        </w:rPr>
        <w:fldChar w:fldCharType="begin"/>
      </w:r>
      <w:r w:rsidR="00A54129" w:rsidRPr="00CF31E0">
        <w:rPr>
          <w:lang w:val="en-US"/>
        </w:rPr>
        <w:instrText xml:space="preserve"> ADDIN ZOTERO_ITEM CSL_CITATION {"citationID":"wXfm4if3","properties":{"formattedCitation":"(S. Hamdan, 1990, p. 23)","plainCitation":"(S. Hamdan, 1990, p. 23)","noteIndex":0},"citationItems":[{"id":200,"uris":["http://zotero.org/users/1939618/items/N5XRP2MU"],"uri":["http://zotero.org/users/1939618/items/N5XRP2MU"],"itemData":{"id":200,"type":"thesis","title":"Social change in the Saudi family (doctoral dissertation","publisher":"Iowa state University","source":"Google Scholar","URL":"http://lib.dr.iastate.edu/rtd/11187/","author":[{"family":"Hamdan","given":"Saeed"}],"issued":{"date-parts":[["1990"]]},"accessed":{"date-parts":[["2015",12,6]]}},"locator":"23","label":"page"}],"schema":"https://github.com/citation-style-language/schema/raw/master/csl-citation.json"} </w:instrText>
      </w:r>
      <w:r w:rsidRPr="00CF31E0">
        <w:rPr>
          <w:lang w:val="en-US"/>
        </w:rPr>
        <w:fldChar w:fldCharType="separate"/>
      </w:r>
      <w:r w:rsidR="00C97AC2" w:rsidRPr="00CF31E0">
        <w:rPr>
          <w:noProof/>
          <w:lang w:val="en-US"/>
        </w:rPr>
        <w:t>(</w:t>
      </w:r>
      <w:r w:rsidR="00220818" w:rsidRPr="00CF31E0">
        <w:rPr>
          <w:noProof/>
          <w:lang w:val="en-US"/>
        </w:rPr>
        <w:t>Hamdan, 1990, p. 23)</w:t>
      </w:r>
      <w:r w:rsidRPr="00CF31E0">
        <w:rPr>
          <w:lang w:val="en-US"/>
        </w:rPr>
        <w:fldChar w:fldCharType="end"/>
      </w:r>
      <w:r w:rsidRPr="00CF31E0">
        <w:rPr>
          <w:lang w:val="en-US"/>
        </w:rPr>
        <w:t>. After the discovery of oil, the government attempted to meet the society’s need for education, and established a formal education system in 1953</w:t>
      </w:r>
      <w:r w:rsidR="00263552" w:rsidRPr="00CF31E0">
        <w:rPr>
          <w:lang w:val="en-US"/>
        </w:rPr>
        <w:t xml:space="preserve"> </w:t>
      </w:r>
      <w:r w:rsidR="0065549D" w:rsidRPr="00CF31E0">
        <w:rPr>
          <w:lang w:val="en-US"/>
        </w:rPr>
        <w:fldChar w:fldCharType="begin"/>
      </w:r>
      <w:r w:rsidR="00CD34CA" w:rsidRPr="00CF31E0">
        <w:rPr>
          <w:lang w:val="en-US"/>
        </w:rPr>
        <w:instrText xml:space="preserve"> ADDIN ZOTERO_ITEM CSL_CITATION {"citationID":"syAzDow4","properties":{"formattedCitation":"(Al-Farsy, 1990)","plainCitation":"(Al-Farsy, 1990)","noteIndex":0},"citationItems":[{"id":317,"uris":["http://zotero.org/users/1939618/items/JZ5JPCXF"],"uri":["http://zotero.org/users/1939618/items/JZ5JPCXF"],"itemData":{"id":317,"type":"book","title":"Modernity and Tradition: The Saudi Equation","publisher":"Routledge","publisher-place":"London and New york","number-of-pages":"372","source":"Google Books","event-place":"London and New york","abstract":"First published in 1990. Routledge is an imprint of Taylor &amp; Francis, an informa company.","ISBN":"978-0-7103-0395-0","shortTitle":"Modernity and Tradition","language":"en","author":[{"family":"Al-Farsy","given":"Fouad"}],"issued":{"date-parts":[["1990"]]}}}],"schema":"https://github.com/citation-style-language/schema/raw/master/csl-citation.json"} </w:instrText>
      </w:r>
      <w:r w:rsidR="0065549D" w:rsidRPr="00CF31E0">
        <w:rPr>
          <w:lang w:val="en-US"/>
        </w:rPr>
        <w:fldChar w:fldCharType="separate"/>
      </w:r>
      <w:r w:rsidR="00CD34CA" w:rsidRPr="00CF31E0">
        <w:rPr>
          <w:noProof/>
          <w:lang w:val="en-US"/>
        </w:rPr>
        <w:t>(Al-Farsy, 1990)</w:t>
      </w:r>
      <w:r w:rsidR="0065549D" w:rsidRPr="00CF31E0">
        <w:rPr>
          <w:lang w:val="en-US"/>
        </w:rPr>
        <w:fldChar w:fldCharType="end"/>
      </w:r>
      <w:r w:rsidRPr="00CF31E0">
        <w:rPr>
          <w:lang w:val="en-US"/>
        </w:rPr>
        <w:t>. To ac</w:t>
      </w:r>
      <w:r w:rsidR="00C97AC2" w:rsidRPr="00CF31E0">
        <w:rPr>
          <w:lang w:val="en-US"/>
        </w:rPr>
        <w:t>count</w:t>
      </w:r>
      <w:r w:rsidRPr="00CF31E0">
        <w:rPr>
          <w:lang w:val="en-US"/>
        </w:rPr>
        <w:t xml:space="preserve"> for the shortage of school teachers, the </w:t>
      </w:r>
      <w:r w:rsidR="00C97AC2" w:rsidRPr="00CF31E0">
        <w:rPr>
          <w:lang w:val="en-US"/>
        </w:rPr>
        <w:t>count</w:t>
      </w:r>
      <w:r w:rsidRPr="00CF31E0">
        <w:rPr>
          <w:lang w:val="en-US"/>
        </w:rPr>
        <w:t>ry started to hire contrac</w:t>
      </w:r>
      <w:r w:rsidR="00C97AC2" w:rsidRPr="00CF31E0">
        <w:rPr>
          <w:lang w:val="en-US"/>
        </w:rPr>
        <w:t>ted teachers from other Arabian count</w:t>
      </w:r>
      <w:r w:rsidRPr="00CF31E0">
        <w:rPr>
          <w:lang w:val="en-US"/>
        </w:rPr>
        <w:t xml:space="preserve">ries such as Egypt, Jordan, Syria, Lebanon and Palestine </w:t>
      </w:r>
      <w:r w:rsidRPr="00CF31E0">
        <w:rPr>
          <w:lang w:val="en-US"/>
        </w:rPr>
        <w:fldChar w:fldCharType="begin"/>
      </w:r>
      <w:r w:rsidR="00A54129" w:rsidRPr="00CF31E0">
        <w:rPr>
          <w:lang w:val="en-US"/>
        </w:rPr>
        <w:instrText xml:space="preserve"> ADDIN ZOTERO_ITEM CSL_CITATION {"citationID":"XRBSItyf","properties":{"formattedCitation":"(S. Hamdan, 1990, p. 25)","plainCitation":"(S. Hamdan, 1990, p. 25)","noteIndex":0},"citationItems":[{"id":200,"uris":["http://zotero.org/users/1939618/items/N5XRP2MU"],"uri":["http://zotero.org/users/1939618/items/N5XRP2MU"],"itemData":{"id":200,"type":"thesis","title":"Social change in the Saudi family (doctoral dissertation","publisher":"Iowa state University","source":"Google Scholar","URL":"http://lib.dr.iastate.edu/rtd/11187/","author":[{"family":"Hamdan","given":"Saeed"}],"issued":{"date-parts":[["1990"]]},"accessed":{"date-parts":[["2015",12,6]]}},"locator":"25","label":"page"}],"schema":"https://github.com/citation-style-language/schema/raw/master/csl-citation.json"} </w:instrText>
      </w:r>
      <w:r w:rsidRPr="00CF31E0">
        <w:rPr>
          <w:lang w:val="en-US"/>
        </w:rPr>
        <w:fldChar w:fldCharType="separate"/>
      </w:r>
      <w:r w:rsidR="00C97AC2" w:rsidRPr="00CF31E0">
        <w:rPr>
          <w:noProof/>
          <w:lang w:val="en-US"/>
        </w:rPr>
        <w:t>(</w:t>
      </w:r>
      <w:r w:rsidR="00220818" w:rsidRPr="00CF31E0">
        <w:rPr>
          <w:noProof/>
          <w:lang w:val="en-US"/>
        </w:rPr>
        <w:t>Hamdan, 1990, p. 25)</w:t>
      </w:r>
      <w:r w:rsidRPr="00CF31E0">
        <w:rPr>
          <w:lang w:val="en-US"/>
        </w:rPr>
        <w:fldChar w:fldCharType="end"/>
      </w:r>
      <w:r w:rsidRPr="00CF31E0">
        <w:rPr>
          <w:lang w:val="en-US"/>
        </w:rPr>
        <w:t>. In the subsequent years, the number of contracted teachers increased; in 1960, for example, the government hired 2,000 contracted teachers from Egypt, Jordan, Sudan and Iraq</w:t>
      </w:r>
      <w:r w:rsidR="0069625E">
        <w:rPr>
          <w:lang w:val="en-US"/>
        </w:rPr>
        <w:t xml:space="preserve"> </w:t>
      </w:r>
      <w:r w:rsidR="0069625E" w:rsidRPr="00CF31E0">
        <w:rPr>
          <w:noProof/>
          <w:lang w:val="en-US"/>
        </w:rPr>
        <w:t>(Hamdan, 1990</w:t>
      </w:r>
      <w:r w:rsidR="0069625E">
        <w:rPr>
          <w:noProof/>
          <w:lang w:val="en-US"/>
        </w:rPr>
        <w:t>)</w:t>
      </w:r>
      <w:r w:rsidRPr="00CF31E0">
        <w:rPr>
          <w:lang w:val="en-US"/>
        </w:rPr>
        <w:t xml:space="preserve">. The number increased tenfold within ten years in line with the increased demand for education. Therefore, the government responded by launching the “Saudization process”, where the main goal was to decrease the number of foreign teachers by training a new generation of Saudi teachers. Thus, in 1973, the government built </w:t>
      </w:r>
      <w:r w:rsidR="005D0894" w:rsidRPr="00CF31E0">
        <w:rPr>
          <w:lang w:val="en-US"/>
        </w:rPr>
        <w:t>14</w:t>
      </w:r>
      <w:r w:rsidRPr="00CF31E0">
        <w:rPr>
          <w:lang w:val="en-US"/>
        </w:rPr>
        <w:t xml:space="preserve"> training colleges for primary school teachers, and two colleges for intermediate and high school teachers </w:t>
      </w:r>
      <w:r w:rsidRPr="00CF31E0">
        <w:rPr>
          <w:lang w:val="en-US"/>
        </w:rPr>
        <w:fldChar w:fldCharType="begin"/>
      </w:r>
      <w:r w:rsidR="00A54129" w:rsidRPr="00CF31E0">
        <w:rPr>
          <w:lang w:val="en-US"/>
        </w:rPr>
        <w:instrText xml:space="preserve"> ADDIN ZOTERO_ITEM CSL_CITATION {"citationID":"tmgyl3vo","properties":{"formattedCitation":"(Vassiliev, 2013, p. 433)","plainCitation":"(Vassiliev, 2013, p. 433)","noteIndex":0},"citationItems":[{"id":"wgwhcNH1/1wsxkPUp","uris":["http://zotero.org/users/1939618/items/J7FJTNAK"],"uri":["http://zotero.org/users/1939618/items/J7FJTNAK"],"itemData":{"id":187,"type":"book","title":"The History of Saudi Arabia","publisher":"Saqi","source":"Google Scholar","URL":"https://books.google.co.uk/books?hl=en&amp;lr=&amp;id=lEIhBQAAQBAJ&amp;oi=fnd&amp;pg=PT4&amp;dq=the+history+of+saudi+arabia+&amp;ots=KPw-sFcBV8&amp;sig=XSuirszUvBi2yobrS_90JGFet1Q","author":[{"family":"Vassiliev","given":"Alexei"}],"issued":{"date-parts":[["2013"]]},"accessed":{"date-parts":[["2015",12,6]]}},"locator":"433","label":"page"}],"schema":"https://github.com/citation-style-language/schema/raw/master/csl-citation.json"} </w:instrText>
      </w:r>
      <w:r w:rsidRPr="00CF31E0">
        <w:rPr>
          <w:lang w:val="en-US"/>
        </w:rPr>
        <w:fldChar w:fldCharType="separate"/>
      </w:r>
      <w:r w:rsidR="00E44A3C" w:rsidRPr="00CF31E0">
        <w:rPr>
          <w:noProof/>
          <w:lang w:val="en-US"/>
        </w:rPr>
        <w:t>(Vassiliev, 2000</w:t>
      </w:r>
      <w:r w:rsidR="00A54129" w:rsidRPr="00CF31E0">
        <w:rPr>
          <w:noProof/>
          <w:lang w:val="en-US"/>
        </w:rPr>
        <w:t>, p. 433)</w:t>
      </w:r>
      <w:r w:rsidRPr="00CF31E0">
        <w:rPr>
          <w:lang w:val="en-US"/>
        </w:rPr>
        <w:fldChar w:fldCharType="end"/>
      </w:r>
      <w:r w:rsidRPr="00CF31E0">
        <w:rPr>
          <w:lang w:val="en-US"/>
        </w:rPr>
        <w:t xml:space="preserve">. The courses taught in schools focused on both traditional religious teaching and modern scientific teaching </w:t>
      </w:r>
      <w:r w:rsidRPr="00CF31E0">
        <w:rPr>
          <w:lang w:val="en-US"/>
        </w:rPr>
        <w:fldChar w:fldCharType="begin"/>
      </w:r>
      <w:r w:rsidR="00A54129" w:rsidRPr="00CF31E0">
        <w:rPr>
          <w:lang w:val="en-US"/>
        </w:rPr>
        <w:instrText xml:space="preserve"> ADDIN ZOTERO_ITEM CSL_CITATION {"citationID":"VxxFpIbF","properties":{"formattedCitation":"(S. Hamdan, 1990, p. 23)","plainCitation":"(S. Hamdan, 1990, p. 23)","noteIndex":0},"citationItems":[{"id":200,"uris":["http://zotero.org/users/1939618/items/N5XRP2MU"],"uri":["http://zotero.org/users/1939618/items/N5XRP2MU"],"itemData":{"id":200,"type":"thesis","title":"Social change in the Saudi family (doctoral dissertation","publisher":"Iowa state University","source":"Google Scholar","URL":"http://lib.dr.iastate.edu/rtd/11187/","author":[{"family":"Hamdan","given":"Saeed"}],"issued":{"date-parts":[["1990"]]},"accessed":{"date-parts":[["2015",12,6]]}},"locator":"23","label":"page"}],"schema":"https://github.com/citation-style-language/schema/raw/master/csl-citation.json"} </w:instrText>
      </w:r>
      <w:r w:rsidRPr="00CF31E0">
        <w:rPr>
          <w:lang w:val="en-US"/>
        </w:rPr>
        <w:fldChar w:fldCharType="separate"/>
      </w:r>
      <w:r w:rsidR="00C97AC2" w:rsidRPr="00CF31E0">
        <w:rPr>
          <w:noProof/>
          <w:lang w:val="en-US"/>
        </w:rPr>
        <w:t>(</w:t>
      </w:r>
      <w:r w:rsidR="00220818" w:rsidRPr="00CF31E0">
        <w:rPr>
          <w:noProof/>
          <w:lang w:val="en-US"/>
        </w:rPr>
        <w:t>Hamdan, 1990, p. 23)</w:t>
      </w:r>
      <w:r w:rsidRPr="00CF31E0">
        <w:rPr>
          <w:lang w:val="en-US"/>
        </w:rPr>
        <w:fldChar w:fldCharType="end"/>
      </w:r>
      <w:r w:rsidRPr="00CF31E0">
        <w:rPr>
          <w:lang w:val="en-US"/>
        </w:rPr>
        <w:t xml:space="preserve">. </w:t>
      </w:r>
      <w:r w:rsidR="00CE50BB" w:rsidRPr="00CF31E0">
        <w:rPr>
          <w:lang w:val="en-US"/>
        </w:rPr>
        <w:t xml:space="preserve">As a result, the educational system went through tremendous </w:t>
      </w:r>
      <w:r w:rsidR="00263552" w:rsidRPr="00CF31E0">
        <w:rPr>
          <w:lang w:val="en-US"/>
        </w:rPr>
        <w:t>changes since</w:t>
      </w:r>
      <w:r w:rsidR="00CE50BB" w:rsidRPr="00CF31E0">
        <w:rPr>
          <w:lang w:val="en-US"/>
        </w:rPr>
        <w:t xml:space="preserve"> it changed both qualitatively and quantitatively. </w:t>
      </w:r>
      <w:r w:rsidRPr="00CF31E0">
        <w:rPr>
          <w:lang w:val="en-US"/>
        </w:rPr>
        <w:t xml:space="preserve">Furthermore, the number of pupils increased along with the number of well-trained Saudi teachers. </w:t>
      </w:r>
    </w:p>
    <w:p w14:paraId="03AFEB0D" w14:textId="6876F3A6" w:rsidR="00A52CCA" w:rsidRPr="00CF31E0" w:rsidRDefault="00D86F38" w:rsidP="00D40C93">
      <w:pPr>
        <w:pStyle w:val="Paragraph"/>
      </w:pPr>
      <w:r w:rsidRPr="00CF31E0">
        <w:rPr>
          <w:lang w:val="en-US"/>
        </w:rPr>
        <w:t>Another facet of the educational prosperity was that the government built colleges and universities to promote higher education. Subsequently, in 1970</w:t>
      </w:r>
      <w:r w:rsidR="00314447" w:rsidRPr="00CF31E0">
        <w:rPr>
          <w:lang w:val="en-US"/>
        </w:rPr>
        <w:t>,</w:t>
      </w:r>
      <w:r w:rsidRPr="00CF31E0">
        <w:rPr>
          <w:lang w:val="en-US"/>
        </w:rPr>
        <w:t xml:space="preserve"> the government started to send Saudi students with </w:t>
      </w:r>
      <w:r w:rsidR="00E5590C" w:rsidRPr="00CF31E0">
        <w:rPr>
          <w:lang w:val="en-US"/>
        </w:rPr>
        <w:t>high-</w:t>
      </w:r>
      <w:r w:rsidRPr="00CF31E0">
        <w:rPr>
          <w:lang w:val="en-US"/>
        </w:rPr>
        <w:t>grade BA qualifications abroad</w:t>
      </w:r>
      <w:r w:rsidR="00E5590C" w:rsidRPr="00CF31E0">
        <w:rPr>
          <w:lang w:val="en-US"/>
        </w:rPr>
        <w:t xml:space="preserve"> to study </w:t>
      </w:r>
      <w:r w:rsidR="00E52D2D" w:rsidRPr="00CF31E0">
        <w:rPr>
          <w:lang w:val="en-US"/>
        </w:rPr>
        <w:fldChar w:fldCharType="begin"/>
      </w:r>
      <w:r w:rsidR="00A54129" w:rsidRPr="00CF31E0">
        <w:rPr>
          <w:lang w:val="en-US"/>
        </w:rPr>
        <w:instrText xml:space="preserve"> ADDIN ZOTERO_ITEM CSL_CITATION {"citationID":"9F2rVfnI","properties":{"formattedCitation":"(S. Hamdan, 1990; Yamani, 1996)","plainCitation":"(S. Hamdan, 1990; Yamani, 1996)","noteIndex":0},"citationItems":[{"id":200,"uris":["http://zotero.org/users/1939618/items/N5XRP2MU"],"uri":["http://zotero.org/users/1939618/items/N5XRP2MU"],"itemData":{"id":200,"type":"thesis","title":"Social change in the Saudi family (doctoral dissertation","publisher":"Iowa state University","source":"Google Scholar","URL":"http://lib.dr.iastate.edu/rtd/11187/","author":[{"family":"Hamdan","given":"Saeed"}],"issued":{"date-parts":[["1990"]]},"accessed":{"date-parts":[["2015",12,6]]}},"label":"page"},{"id":426,"uris":["http://zotero.org/users/1939618/items/XRMWTCQC"],"uri":["http://zotero.org/users/1939618/items/XRMWTCQC"],"itemData":{"id":426,"type":"chapter","title":"Some observations on women in Saudi Arabia","container-title":"Feminism and Islam: Legal and Literary Perspectives","publisher":"New York University press","publisher-place":"New York","page":"263-282","source":"Google Books","event-place":"New York","abstract":"In an age when Western feminism is continuously undergoing redefinition, the struggles of women in Muslim countries are often overlooked. This volume illustrates how women in Islamic societies have become more actively involved not only in learning their rights under the sharia (Islamic law) but in rereading this law to improve their status and gain increased equality and freedom. Surveying Iran, Saudi Arabia, Lebanon, Egypt and Arab societies in general, the essays in feminism and Islam focus on such subjects as crimes of honor and the construction of gender in Arab societies; law and the desire for social control; women ad entrepreneurship; family legislation; and the political strategies of feminists in the Islam world.","ISBN":"978-0-8147-9681-8","note":"Google-Books-ID: PygUCgAAQBAJ","language":"en","author":[{"family":"Yamani","given":"M."}],"editor":[{"family":"Yamani","given":"M."}],"issued":{"date-parts":[["1996",12]]}},"label":"page"}],"schema":"https://github.com/citation-style-language/schema/raw/master/csl-citation.json"} </w:instrText>
      </w:r>
      <w:r w:rsidR="00E52D2D" w:rsidRPr="00CF31E0">
        <w:rPr>
          <w:lang w:val="en-US"/>
        </w:rPr>
        <w:fldChar w:fldCharType="separate"/>
      </w:r>
      <w:r w:rsidR="00C97AC2" w:rsidRPr="00CF31E0">
        <w:rPr>
          <w:noProof/>
          <w:lang w:val="en-US"/>
        </w:rPr>
        <w:t>(</w:t>
      </w:r>
      <w:r w:rsidR="00E52D2D" w:rsidRPr="00CF31E0">
        <w:rPr>
          <w:noProof/>
          <w:lang w:val="en-US"/>
        </w:rPr>
        <w:t>Hamdan, 1990; Yamani, 1996)</w:t>
      </w:r>
      <w:r w:rsidR="00E52D2D" w:rsidRPr="00CF31E0">
        <w:rPr>
          <w:lang w:val="en-US"/>
        </w:rPr>
        <w:fldChar w:fldCharType="end"/>
      </w:r>
      <w:r w:rsidR="00E52D2D" w:rsidRPr="00CF31E0">
        <w:rPr>
          <w:lang w:val="en-US"/>
        </w:rPr>
        <w:t xml:space="preserve">. </w:t>
      </w:r>
      <w:r w:rsidR="00A52CCA" w:rsidRPr="00CF31E0">
        <w:rPr>
          <w:lang w:val="en-US"/>
        </w:rPr>
        <w:t>In 2010, King</w:t>
      </w:r>
      <w:r w:rsidR="00CE50BB" w:rsidRPr="00CF31E0">
        <w:rPr>
          <w:lang w:val="en-US"/>
        </w:rPr>
        <w:t xml:space="preserve"> </w:t>
      </w:r>
      <w:r w:rsidR="005C770C" w:rsidRPr="00CF31E0">
        <w:rPr>
          <w:lang w:val="en-US"/>
        </w:rPr>
        <w:t>Abdullah</w:t>
      </w:r>
      <w:r w:rsidR="00CE50BB" w:rsidRPr="00CF31E0">
        <w:rPr>
          <w:lang w:val="en-US"/>
        </w:rPr>
        <w:t xml:space="preserve"> </w:t>
      </w:r>
      <w:r w:rsidR="000D021A" w:rsidRPr="00CF31E0">
        <w:rPr>
          <w:lang w:val="en-US"/>
        </w:rPr>
        <w:t xml:space="preserve">(i.e. </w:t>
      </w:r>
      <w:r w:rsidR="00E5590C" w:rsidRPr="00CF31E0">
        <w:rPr>
          <w:lang w:val="en-US"/>
        </w:rPr>
        <w:t xml:space="preserve">the </w:t>
      </w:r>
      <w:r w:rsidR="000D021A" w:rsidRPr="00CF31E0">
        <w:rPr>
          <w:lang w:val="en-US"/>
        </w:rPr>
        <w:t xml:space="preserve">former king of SA) </w:t>
      </w:r>
      <w:r w:rsidR="00CE50BB" w:rsidRPr="00CF31E0">
        <w:rPr>
          <w:lang w:val="en-US"/>
        </w:rPr>
        <w:t>launched a huge</w:t>
      </w:r>
      <w:r w:rsidR="00916047" w:rsidRPr="00CF31E0">
        <w:rPr>
          <w:lang w:val="en-US"/>
        </w:rPr>
        <w:t xml:space="preserve"> </w:t>
      </w:r>
      <w:r w:rsidR="005C770C" w:rsidRPr="00CF31E0">
        <w:rPr>
          <w:lang w:val="en-US"/>
        </w:rPr>
        <w:t>scholarship</w:t>
      </w:r>
      <w:r w:rsidR="00916047" w:rsidRPr="00CF31E0">
        <w:rPr>
          <w:lang w:val="en-US"/>
        </w:rPr>
        <w:t xml:space="preserve"> </w:t>
      </w:r>
      <w:r w:rsidR="000B6CA0" w:rsidRPr="00CF31E0">
        <w:rPr>
          <w:lang w:val="en-US"/>
        </w:rPr>
        <w:t>programs</w:t>
      </w:r>
      <w:r w:rsidR="00916047" w:rsidRPr="00CF31E0">
        <w:rPr>
          <w:lang w:val="en-US"/>
        </w:rPr>
        <w:t xml:space="preserve"> that granted</w:t>
      </w:r>
      <w:r w:rsidR="00A52CCA" w:rsidRPr="00CF31E0">
        <w:rPr>
          <w:lang w:val="en-US"/>
        </w:rPr>
        <w:t xml:space="preserve"> </w:t>
      </w:r>
      <w:r w:rsidR="00E5590C" w:rsidRPr="00CF31E0">
        <w:rPr>
          <w:lang w:val="en-US"/>
        </w:rPr>
        <w:t xml:space="preserve">a </w:t>
      </w:r>
      <w:r w:rsidR="00A52CCA" w:rsidRPr="00CF31E0">
        <w:rPr>
          <w:lang w:val="en-US"/>
        </w:rPr>
        <w:t>large numb</w:t>
      </w:r>
      <w:r w:rsidR="00916047" w:rsidRPr="00CF31E0">
        <w:rPr>
          <w:lang w:val="en-US"/>
        </w:rPr>
        <w:t xml:space="preserve">er of </w:t>
      </w:r>
      <w:r w:rsidR="005C770C" w:rsidRPr="00CF31E0">
        <w:rPr>
          <w:lang w:val="en-US"/>
        </w:rPr>
        <w:t>scholarships</w:t>
      </w:r>
      <w:r w:rsidR="00916047" w:rsidRPr="00CF31E0">
        <w:rPr>
          <w:lang w:val="en-US"/>
        </w:rPr>
        <w:t xml:space="preserve"> to </w:t>
      </w:r>
      <w:r w:rsidR="005C770C" w:rsidRPr="00CF31E0">
        <w:rPr>
          <w:lang w:val="en-US"/>
        </w:rPr>
        <w:t xml:space="preserve">Saudi </w:t>
      </w:r>
      <w:r w:rsidR="00916047" w:rsidRPr="00CF31E0">
        <w:rPr>
          <w:lang w:val="en-US"/>
        </w:rPr>
        <w:t xml:space="preserve">students in all </w:t>
      </w:r>
      <w:r w:rsidR="000B6CA0" w:rsidRPr="00CF31E0">
        <w:rPr>
          <w:lang w:val="en-US"/>
        </w:rPr>
        <w:t>specialties</w:t>
      </w:r>
      <w:r w:rsidR="005C770C" w:rsidRPr="00CF31E0">
        <w:rPr>
          <w:lang w:val="en-US"/>
        </w:rPr>
        <w:t xml:space="preserve"> </w:t>
      </w:r>
      <w:r w:rsidR="00E5590C" w:rsidRPr="00CF31E0">
        <w:rPr>
          <w:lang w:val="en-US"/>
        </w:rPr>
        <w:t xml:space="preserve">to other institutions </w:t>
      </w:r>
      <w:r w:rsidR="005C770C" w:rsidRPr="00CF31E0">
        <w:rPr>
          <w:lang w:val="en-US"/>
        </w:rPr>
        <w:t>all over the world</w:t>
      </w:r>
      <w:r w:rsidR="004414F0" w:rsidRPr="00CF31E0">
        <w:rPr>
          <w:lang w:val="en-US"/>
        </w:rPr>
        <w:t xml:space="preserve"> every year</w:t>
      </w:r>
      <w:r w:rsidR="00916047" w:rsidRPr="00CF31E0">
        <w:rPr>
          <w:lang w:val="en-US"/>
        </w:rPr>
        <w:t xml:space="preserve">. </w:t>
      </w:r>
      <w:r w:rsidR="00F03C9C" w:rsidRPr="00CF31E0">
        <w:rPr>
          <w:lang w:val="en-US"/>
        </w:rPr>
        <w:t xml:space="preserve">Nowadays, the scholarship program is in huge progress under King Salman’s government (i.e. the present king of SA). </w:t>
      </w:r>
      <w:r w:rsidR="00916047" w:rsidRPr="00CF31E0">
        <w:rPr>
          <w:lang w:val="en-US"/>
        </w:rPr>
        <w:t xml:space="preserve">According </w:t>
      </w:r>
      <w:r w:rsidR="007740CA" w:rsidRPr="00CF31E0">
        <w:rPr>
          <w:lang w:val="en-US"/>
        </w:rPr>
        <w:t xml:space="preserve">to </w:t>
      </w:r>
      <w:bookmarkStart w:id="87" w:name="ZOTERO_BREF_PA8HkECztfGugGYKDiA8O"/>
      <w:r w:rsidR="00D40C93" w:rsidRPr="00CF31E0">
        <w:t xml:space="preserve">the </w:t>
      </w:r>
      <w:r w:rsidR="00A02F09" w:rsidRPr="00CF31E0">
        <w:t xml:space="preserve">Ministry of Education </w:t>
      </w:r>
      <w:r w:rsidR="00D40C93" w:rsidRPr="00CF31E0">
        <w:t>(</w:t>
      </w:r>
      <w:r w:rsidR="00A02F09" w:rsidRPr="00CF31E0">
        <w:t>n.d.)</w:t>
      </w:r>
      <w:bookmarkEnd w:id="87"/>
      <w:r w:rsidR="0058240D" w:rsidRPr="00CF31E0">
        <w:rPr>
          <w:lang w:val="en-US"/>
        </w:rPr>
        <w:t>,</w:t>
      </w:r>
      <w:r w:rsidR="00CE50BB" w:rsidRPr="00CF31E0">
        <w:rPr>
          <w:lang w:val="en-US"/>
        </w:rPr>
        <w:t xml:space="preserve"> </w:t>
      </w:r>
      <w:r w:rsidR="00CE50BB" w:rsidRPr="00CF31E0">
        <w:rPr>
          <w:lang w:val="en-US"/>
        </w:rPr>
        <w:lastRenderedPageBreak/>
        <w:t xml:space="preserve">in </w:t>
      </w:r>
      <w:r w:rsidR="004414F0" w:rsidRPr="00CF31E0">
        <w:rPr>
          <w:lang w:val="en-US"/>
        </w:rPr>
        <w:t xml:space="preserve">2017, </w:t>
      </w:r>
      <w:r w:rsidR="00A97F2A" w:rsidRPr="00CF31E0">
        <w:rPr>
          <w:lang w:val="en-US"/>
        </w:rPr>
        <w:t>114,518</w:t>
      </w:r>
      <w:r w:rsidR="004414F0" w:rsidRPr="00CF31E0">
        <w:rPr>
          <w:lang w:val="en-US"/>
        </w:rPr>
        <w:t xml:space="preserve"> sponsored students study abroad</w:t>
      </w:r>
      <w:r w:rsidR="005C770C" w:rsidRPr="00CF31E0">
        <w:rPr>
          <w:lang w:val="en-US"/>
        </w:rPr>
        <w:t xml:space="preserve">. </w:t>
      </w:r>
      <w:r w:rsidRPr="00CF31E0">
        <w:rPr>
          <w:lang w:val="en-US"/>
        </w:rPr>
        <w:t xml:space="preserve">These sponsored students who </w:t>
      </w:r>
      <w:r w:rsidR="00E5590C" w:rsidRPr="00CF31E0">
        <w:rPr>
          <w:lang w:val="en-US"/>
        </w:rPr>
        <w:t xml:space="preserve">study </w:t>
      </w:r>
      <w:r w:rsidRPr="00CF31E0">
        <w:rPr>
          <w:lang w:val="en-US"/>
        </w:rPr>
        <w:t xml:space="preserve">abroad have helped the </w:t>
      </w:r>
      <w:r w:rsidR="00F2472B" w:rsidRPr="00CF31E0">
        <w:rPr>
          <w:lang w:val="en-US"/>
        </w:rPr>
        <w:t>country</w:t>
      </w:r>
      <w:r w:rsidRPr="00CF31E0">
        <w:rPr>
          <w:lang w:val="en-US"/>
        </w:rPr>
        <w:t xml:space="preserve">’s development process and in the present day they continue to contribute to the development process. </w:t>
      </w:r>
    </w:p>
    <w:p w14:paraId="7B20286C" w14:textId="4EE66287" w:rsidR="00256567" w:rsidRPr="00CF31E0" w:rsidRDefault="00256567" w:rsidP="00603CB7">
      <w:pPr>
        <w:pStyle w:val="Paragraph"/>
        <w:rPr>
          <w:lang w:val="en-US"/>
        </w:rPr>
      </w:pPr>
      <w:r w:rsidRPr="00CF31E0">
        <w:rPr>
          <w:lang w:val="en-US"/>
        </w:rPr>
        <w:t xml:space="preserve">It is important to note that when the formal education system was first introduced in 1953; schools were only built in the main cities </w:t>
      </w:r>
      <w:r w:rsidRPr="00CF31E0">
        <w:rPr>
          <w:lang w:val="en-US"/>
        </w:rPr>
        <w:fldChar w:fldCharType="begin"/>
      </w:r>
      <w:r w:rsidR="00A54129" w:rsidRPr="00CF31E0">
        <w:rPr>
          <w:lang w:val="en-US"/>
        </w:rPr>
        <w:instrText xml:space="preserve"> ADDIN ZOTERO_ITEM CSL_CITATION {"citationID":"AIthRD3f","properties":{"formattedCitation":"(S. Hamdan, 1990, p. 59)","plainCitation":"(S. Hamdan, 1990, p. 59)","dontUpdate":true,"noteIndex":0},"citationItems":[{"id":200,"uris":["http://zotero.org/users/1939618/items/N5XRP2MU"],"uri":["http://zotero.org/users/1939618/items/N5XRP2MU"],"itemData":{"id":200,"type":"thesis","title":"Social change in the Saudi family (doctoral dissertation","publisher":"Iowa state University","source":"Google Scholar","URL":"http://lib.dr.iastate.edu/rtd/11187/","author":[{"family":"Hamdan","given":"Saeed"}],"issued":{"date-parts":[["1990"]]},"accessed":{"date-parts":[["2015",12,6]]}},"locator":"59","label":"page"}],"schema":"https://github.com/citation-style-language/schema/raw/master/csl-citation.json"} </w:instrText>
      </w:r>
      <w:r w:rsidRPr="00CF31E0">
        <w:rPr>
          <w:lang w:val="en-US"/>
        </w:rPr>
        <w:fldChar w:fldCharType="separate"/>
      </w:r>
      <w:r w:rsidR="00C97AC2" w:rsidRPr="00CF31E0">
        <w:rPr>
          <w:noProof/>
          <w:lang w:val="en-US"/>
        </w:rPr>
        <w:t>(</w:t>
      </w:r>
      <w:r w:rsidRPr="00CF31E0">
        <w:rPr>
          <w:noProof/>
          <w:lang w:val="en-US"/>
        </w:rPr>
        <w:t>Hamdan, 1990, p. 59)</w:t>
      </w:r>
      <w:r w:rsidRPr="00CF31E0">
        <w:rPr>
          <w:lang w:val="en-US"/>
        </w:rPr>
        <w:fldChar w:fldCharType="end"/>
      </w:r>
      <w:r w:rsidRPr="00CF31E0">
        <w:rPr>
          <w:lang w:val="en-US"/>
        </w:rPr>
        <w:t xml:space="preserve">. Therefore, the privilege of </w:t>
      </w:r>
      <w:r w:rsidR="00A47F58" w:rsidRPr="00CF31E0">
        <w:rPr>
          <w:lang w:val="en-US"/>
        </w:rPr>
        <w:t xml:space="preserve">pursuing </w:t>
      </w:r>
      <w:r w:rsidRPr="00CF31E0">
        <w:rPr>
          <w:lang w:val="en-US"/>
        </w:rPr>
        <w:t>formal education in cities was one</w:t>
      </w:r>
      <w:r w:rsidR="00A47F58" w:rsidRPr="00CF31E0">
        <w:rPr>
          <w:lang w:val="en-US"/>
        </w:rPr>
        <w:t xml:space="preserve"> of</w:t>
      </w:r>
      <w:r w:rsidRPr="00CF31E0">
        <w:rPr>
          <w:lang w:val="en-US"/>
        </w:rPr>
        <w:t xml:space="preserve"> the motivations for rural Bedouins to move to urban centers to provide their children with education. </w:t>
      </w:r>
    </w:p>
    <w:p w14:paraId="7ACF4E89" w14:textId="00124003" w:rsidR="00C21754" w:rsidRPr="00CF31E0" w:rsidRDefault="00E5590C" w:rsidP="00603CB7">
      <w:pPr>
        <w:pStyle w:val="Paragraph"/>
        <w:rPr>
          <w:lang w:val="en-US"/>
        </w:rPr>
      </w:pPr>
      <w:r w:rsidRPr="00CF31E0">
        <w:rPr>
          <w:lang w:val="en-US"/>
        </w:rPr>
        <w:t>The e</w:t>
      </w:r>
      <w:r w:rsidR="00B5089C" w:rsidRPr="00CF31E0">
        <w:rPr>
          <w:lang w:val="en-US"/>
        </w:rPr>
        <w:t>ducation system is gender</w:t>
      </w:r>
      <w:r w:rsidR="008E7FE7" w:rsidRPr="00CF31E0">
        <w:rPr>
          <w:lang w:val="en-US"/>
        </w:rPr>
        <w:t xml:space="preserve"> </w:t>
      </w:r>
      <w:r w:rsidR="008F5427" w:rsidRPr="00CF31E0">
        <w:rPr>
          <w:lang w:val="en-US"/>
        </w:rPr>
        <w:t>segregated</w:t>
      </w:r>
      <w:r w:rsidR="00B5089C" w:rsidRPr="00CF31E0">
        <w:rPr>
          <w:lang w:val="en-US"/>
        </w:rPr>
        <w:t xml:space="preserve"> in S</w:t>
      </w:r>
      <w:r w:rsidR="0069253B" w:rsidRPr="00CF31E0">
        <w:rPr>
          <w:lang w:val="en-US"/>
        </w:rPr>
        <w:t>A</w:t>
      </w:r>
      <w:r w:rsidR="00B5089C" w:rsidRPr="00CF31E0">
        <w:rPr>
          <w:lang w:val="en-US"/>
        </w:rPr>
        <w:t xml:space="preserve"> </w:t>
      </w:r>
      <w:r w:rsidR="00B5089C" w:rsidRPr="00CF31E0">
        <w:rPr>
          <w:lang w:val="en-US"/>
        </w:rPr>
        <w:fldChar w:fldCharType="begin"/>
      </w:r>
      <w:r w:rsidR="008F5427" w:rsidRPr="00CF31E0">
        <w:rPr>
          <w:lang w:val="en-US"/>
        </w:rPr>
        <w:instrText xml:space="preserve"> ADDIN ZOTERO_ITEM CSL_CITATION {"citationID":"6A2k6AcY","properties":{"formattedCitation":"(A. Hamdan, 2005; Yamani, 1996)","plainCitation":"(A. Hamdan, 2005; Yamani, 1996)","noteIndex":0},"citationItems":[{"id":423,"uris":["http://zotero.org/users/1939618/items/9IRDGIJS"],"uri":["http://zotero.org/users/1939618/items/9IRDGIJS"],"itemData":{"id":423,"type":"article-journal","title":"Women and Education in Saudi Arabia: Challenges and Achievements","container-title":"International Education Journal","page":"42-64","volume":"6","issue":"1","source":"ERIC","abstract":"The historical socio-economic and political conditions of Saudi Arabia are an essential aspect of understanding a woman's position in Saudi society. The persistence of women's exclusion from public life in contemporary Saudi Arabia is one of the most heated debates not only among Muslims but also worldwide, as Saudi society comes under more and more scrutiny internationally. In 1980, there were more female graduates in the humanities than male. University women could study most of the same subjects as their male counterparts except those, which might lead to their mixing with men. This paper explores some of the restraints and achievements of women in the field of education in Saudi Arabia today. (Contains 26 footnotes.)","ISSN":"1443-1475","shortTitle":"Women and Education in Saudi Arabia","language":"en","author":[{"family":"Hamdan","given":"Amani"}],"issued":{"date-parts":[["2005",3]]}},"label":"page"},{"id":426,"uris":["http://zotero.org/users/1939618/items/XRMWTCQC"],"uri":["http://zotero.org/users/1939618/items/XRMWTCQC"],"itemData":{"id":426,"type":"chapter","title":"Some observations on women in Saudi Arabia","container-title":"Feminism and Islam: Legal and Literary Perspectives","publisher":"New York University press","publisher-place":"New York","page":"263-282","source":"Google Books","event-place":"New York","abstract":"In an age when Western feminism is continuously undergoing redefinition, the struggles of women in Muslim countries are often overlooked. This volume illustrates how women in Islamic societies have become more actively involved not only in learning their rights under the sharia (Islamic law) but in rereading this law to improve their status and gain increased equality and freedom. Surveying Iran, Saudi Arabia, Lebanon, Egypt and Arab societies in general, the essays in feminism and Islam focus on such subjects as crimes of honor and the construction of gender in Arab societies; law and the desire for social control; women ad entrepreneurship; family legislation; and the political strategies of feminists in the Islam world.","ISBN":"978-0-8147-9681-8","note":"Google-Books-ID: PygUCgAAQBAJ","language":"en","author":[{"family":"Yamani","given":"M."}],"editor":[{"family":"Yamani","given":"M."}],"issued":{"date-parts":[["1996",12]]}},"label":"page"}],"schema":"https://github.com/citation-style-language/schema/raw/master/csl-citation.json"} </w:instrText>
      </w:r>
      <w:r w:rsidR="00B5089C" w:rsidRPr="00CF31E0">
        <w:rPr>
          <w:lang w:val="en-US"/>
        </w:rPr>
        <w:fldChar w:fldCharType="separate"/>
      </w:r>
      <w:r w:rsidR="00C97AC2" w:rsidRPr="00CF31E0">
        <w:rPr>
          <w:noProof/>
          <w:lang w:val="en-US"/>
        </w:rPr>
        <w:t>(</w:t>
      </w:r>
      <w:r w:rsidR="008F5427" w:rsidRPr="00CF31E0">
        <w:rPr>
          <w:noProof/>
          <w:lang w:val="en-US"/>
        </w:rPr>
        <w:t>Hamdan, 2005; Yamani, 1996)</w:t>
      </w:r>
      <w:r w:rsidR="00B5089C" w:rsidRPr="00CF31E0">
        <w:rPr>
          <w:lang w:val="en-US"/>
        </w:rPr>
        <w:fldChar w:fldCharType="end"/>
      </w:r>
      <w:r w:rsidR="005C770C" w:rsidRPr="00CF31E0">
        <w:rPr>
          <w:lang w:val="en-US"/>
        </w:rPr>
        <w:t xml:space="preserve">. </w:t>
      </w:r>
      <w:r w:rsidR="00DC65AB" w:rsidRPr="00CF31E0">
        <w:rPr>
          <w:lang w:val="en-US"/>
        </w:rPr>
        <w:t xml:space="preserve">It is a “cultural norm” that </w:t>
      </w:r>
      <w:r w:rsidR="00C85CDE" w:rsidRPr="00CF31E0">
        <w:rPr>
          <w:lang w:val="en-US"/>
        </w:rPr>
        <w:t>is applied in all government</w:t>
      </w:r>
      <w:r w:rsidR="00E37C56" w:rsidRPr="00CF31E0">
        <w:rPr>
          <w:lang w:val="en-US"/>
        </w:rPr>
        <w:t>al</w:t>
      </w:r>
      <w:r w:rsidR="00C85CDE" w:rsidRPr="00CF31E0">
        <w:rPr>
          <w:lang w:val="en-US"/>
        </w:rPr>
        <w:t xml:space="preserve"> sectors</w:t>
      </w:r>
      <w:r w:rsidR="008E7FE7" w:rsidRPr="00CF31E0">
        <w:rPr>
          <w:lang w:val="en-US"/>
        </w:rPr>
        <w:t>,</w:t>
      </w:r>
      <w:r w:rsidR="00C85CDE" w:rsidRPr="00CF31E0">
        <w:rPr>
          <w:lang w:val="en-US"/>
        </w:rPr>
        <w:t xml:space="preserve"> </w:t>
      </w:r>
      <w:r w:rsidR="00C21754" w:rsidRPr="00CF31E0">
        <w:rPr>
          <w:lang w:val="en-US"/>
        </w:rPr>
        <w:t>including the education sector</w:t>
      </w:r>
      <w:r w:rsidR="008E7FE7" w:rsidRPr="00CF31E0">
        <w:rPr>
          <w:lang w:val="en-US"/>
        </w:rPr>
        <w:t xml:space="preserve"> </w:t>
      </w:r>
      <w:r w:rsidR="00C21754" w:rsidRPr="00CF31E0">
        <w:rPr>
          <w:lang w:val="en-US"/>
        </w:rPr>
        <w:fldChar w:fldCharType="begin"/>
      </w:r>
      <w:r w:rsidR="00A207DD" w:rsidRPr="00CF31E0">
        <w:rPr>
          <w:lang w:val="en-US"/>
        </w:rPr>
        <w:instrText xml:space="preserve"> ADDIN ZOTERO_ITEM CSL_CITATION {"citationID":"R3jZANpJ","properties":{"formattedCitation":"(A. Hamdan, 2005; Yamani, 1996)","plainCitation":"(A. Hamdan, 2005; Yamani, 1996)","noteIndex":0},"citationItems":[{"id":423,"uris":["http://zotero.org/users/1939618/items/9IRDGIJS"],"uri":["http://zotero.org/users/1939618/items/9IRDGIJS"],"itemData":{"id":423,"type":"article-journal","title":"Women and Education in Saudi Arabia: Challenges and Achievements","container-title":"International Education Journal","page":"42-64","volume":"6","issue":"1","source":"ERIC","abstract":"The historical socio-economic and political conditions of Saudi Arabia are an essential aspect of understanding a woman's position in Saudi society. The persistence of women's exclusion from public life in contemporary Saudi Arabia is one of the most heated debates not only among Muslims but also worldwide, as Saudi society comes under more and more scrutiny internationally. In 1980, there were more female graduates in the humanities than male. University women could study most of the same subjects as their male counterparts except those, which might lead to their mixing with men. This paper explores some of the restraints and achievements of women in the field of education in Saudi Arabia today. (Contains 26 footnotes.)","ISSN":"1443-1475","shortTitle":"Women and Education in Saudi Arabia","language":"en","author":[{"family":"Hamdan","given":"Amani"}],"issued":{"date-parts":[["2005",3]]}},"label":"page"},{"id":426,"uris":["http://zotero.org/users/1939618/items/XRMWTCQC"],"uri":["http://zotero.org/users/1939618/items/XRMWTCQC"],"itemData":{"id":426,"type":"chapter","title":"Some observations on women in Saudi Arabia","container-title":"Feminism and Islam: Legal and Literary Perspectives","publisher":"New York University press","publisher-place":"New York","page":"263-282","source":"Google Books","event-place":"New York","abstract":"In an age when Western feminism is continuously undergoing redefinition, the struggles of women in Muslim countries are often overlooked. This volume illustrates how women in Islamic societies have become more actively involved not only in learning their rights under the sharia (Islamic law) but in rereading this law to improve their status and gain increased equality and freedom. Surveying Iran, Saudi Arabia, Lebanon, Egypt and Arab societies in general, the essays in feminism and Islam focus on such subjects as crimes of honor and the construction of gender in Arab societies; law and the desire for social control; women ad entrepreneurship; family legislation; and the political strategies of feminists in the Islam world.","ISBN":"978-0-8147-9681-8","note":"Google-Books-ID: PygUCgAAQBAJ","language":"en","author":[{"family":"Yamani","given":"M."}],"editor":[{"family":"Yamani","given":"M."}],"issued":{"date-parts":[["1996",12]]}},"label":"page"}],"schema":"https://github.com/citation-style-language/schema/raw/master/csl-citation.json"} </w:instrText>
      </w:r>
      <w:r w:rsidR="00C21754" w:rsidRPr="00CF31E0">
        <w:rPr>
          <w:lang w:val="en-US"/>
        </w:rPr>
        <w:fldChar w:fldCharType="separate"/>
      </w:r>
      <w:r w:rsidR="00C97AC2" w:rsidRPr="00CF31E0">
        <w:rPr>
          <w:noProof/>
          <w:lang w:val="en-US"/>
        </w:rPr>
        <w:t>(</w:t>
      </w:r>
      <w:r w:rsidR="00C21754" w:rsidRPr="00CF31E0">
        <w:rPr>
          <w:noProof/>
          <w:lang w:val="en-US"/>
        </w:rPr>
        <w:t>Hamdan, 2005; Yamani, 1996)</w:t>
      </w:r>
      <w:r w:rsidR="00C21754" w:rsidRPr="00CF31E0">
        <w:rPr>
          <w:lang w:val="en-US"/>
        </w:rPr>
        <w:fldChar w:fldCharType="end"/>
      </w:r>
      <w:r w:rsidR="00C21754" w:rsidRPr="00CF31E0">
        <w:rPr>
          <w:lang w:val="en-US"/>
        </w:rPr>
        <w:t xml:space="preserve">. In schools and universities, </w:t>
      </w:r>
      <w:r w:rsidR="008E7FE7" w:rsidRPr="00CF31E0">
        <w:rPr>
          <w:lang w:val="en-US"/>
        </w:rPr>
        <w:t>m</w:t>
      </w:r>
      <w:r w:rsidR="00C21754" w:rsidRPr="00CF31E0">
        <w:rPr>
          <w:lang w:val="en-US"/>
        </w:rPr>
        <w:t xml:space="preserve">ale and female students </w:t>
      </w:r>
      <w:r w:rsidR="00E37C56" w:rsidRPr="00CF31E0">
        <w:rPr>
          <w:lang w:val="en-US"/>
        </w:rPr>
        <w:t>taught separately</w:t>
      </w:r>
      <w:r w:rsidR="00C21754" w:rsidRPr="00CF31E0">
        <w:rPr>
          <w:lang w:val="en-US"/>
        </w:rPr>
        <w:t xml:space="preserve"> in different buildings. Some universitie</w:t>
      </w:r>
      <w:r w:rsidR="00C770F4" w:rsidRPr="00CF31E0">
        <w:rPr>
          <w:lang w:val="en-US"/>
        </w:rPr>
        <w:t xml:space="preserve">s combine the buildings into </w:t>
      </w:r>
      <w:r w:rsidR="003B68A1" w:rsidRPr="00CF31E0">
        <w:t>a single</w:t>
      </w:r>
      <w:r w:rsidR="00C21754" w:rsidRPr="00CF31E0">
        <w:rPr>
          <w:lang w:val="en-US"/>
        </w:rPr>
        <w:t xml:space="preserve"> campus, but each campus is </w:t>
      </w:r>
      <w:r w:rsidR="008E7FE7" w:rsidRPr="00CF31E0">
        <w:rPr>
          <w:lang w:val="en-US"/>
        </w:rPr>
        <w:t xml:space="preserve">still </w:t>
      </w:r>
      <w:r w:rsidR="00C21754" w:rsidRPr="00CF31E0">
        <w:rPr>
          <w:lang w:val="en-US"/>
        </w:rPr>
        <w:t xml:space="preserve">dedicated to a single gender. </w:t>
      </w:r>
    </w:p>
    <w:p w14:paraId="6669F8E5" w14:textId="572E546F" w:rsidR="00D86F38" w:rsidRPr="00CF31E0" w:rsidRDefault="00ED354E" w:rsidP="0061369D">
      <w:pPr>
        <w:pStyle w:val="Ahead"/>
      </w:pPr>
      <w:bookmarkStart w:id="88" w:name="_Toc511728077"/>
      <w:bookmarkStart w:id="89" w:name="_Toc6472630"/>
      <w:r w:rsidRPr="00CF31E0">
        <w:t>2</w:t>
      </w:r>
      <w:r w:rsidR="00713A64" w:rsidRPr="00CF31E0">
        <w:t>.12.</w:t>
      </w:r>
      <w:r w:rsidR="00713A64" w:rsidRPr="00CF31E0">
        <w:tab/>
      </w:r>
      <w:r w:rsidR="00D86F38" w:rsidRPr="00CF31E0">
        <w:t>The transportation and communication system</w:t>
      </w:r>
      <w:bookmarkEnd w:id="88"/>
      <w:bookmarkEnd w:id="89"/>
    </w:p>
    <w:p w14:paraId="2B903C8B" w14:textId="1D7C005E" w:rsidR="00D86F38" w:rsidRPr="00CF31E0" w:rsidRDefault="00D86F38" w:rsidP="00603CB7">
      <w:pPr>
        <w:pStyle w:val="Paragraph"/>
        <w:rPr>
          <w:lang w:val="en-US"/>
        </w:rPr>
      </w:pPr>
      <w:r w:rsidRPr="00CF31E0">
        <w:rPr>
          <w:lang w:val="en-US"/>
        </w:rPr>
        <w:t>The transportation system has witnessed huge improvements in the oil era. Cars, ships and air travel were introduced and were made accessible to people</w:t>
      </w:r>
      <w:r w:rsidR="00263552" w:rsidRPr="00CF31E0">
        <w:rPr>
          <w:lang w:val="en-US"/>
        </w:rPr>
        <w:t xml:space="preserve"> </w:t>
      </w:r>
      <w:r w:rsidR="0065549D" w:rsidRPr="00CF31E0">
        <w:rPr>
          <w:lang w:val="en-US"/>
        </w:rPr>
        <w:fldChar w:fldCharType="begin"/>
      </w:r>
      <w:r w:rsidR="00CD34CA" w:rsidRPr="00CF31E0">
        <w:rPr>
          <w:lang w:val="en-US"/>
        </w:rPr>
        <w:instrText xml:space="preserve"> ADDIN ZOTERO_ITEM CSL_CITATION {"citationID":"pA1Ps2bq","properties":{"formattedCitation":"(Al-Farsy, 1990)","plainCitation":"(Al-Farsy, 1990)","noteIndex":0},"citationItems":[{"id":317,"uris":["http://zotero.org/users/1939618/items/JZ5JPCXF"],"uri":["http://zotero.org/users/1939618/items/JZ5JPCXF"],"itemData":{"id":317,"type":"book","title":"Modernity and Tradition: The Saudi Equation","publisher":"Routledge","publisher-place":"London and New york","number-of-pages":"372","source":"Google Books","event-place":"London and New york","abstract":"First published in 1990. Routledge is an imprint of Taylor &amp; Francis, an informa company.","ISBN":"978-0-7103-0395-0","shortTitle":"Modernity and Tradition","language":"en","author":[{"family":"Al-Farsy","given":"Fouad"}],"issued":{"date-parts":[["1990"]]}}}],"schema":"https://github.com/citation-style-language/schema/raw/master/csl-citation.json"} </w:instrText>
      </w:r>
      <w:r w:rsidR="0065549D" w:rsidRPr="00CF31E0">
        <w:rPr>
          <w:lang w:val="en-US"/>
        </w:rPr>
        <w:fldChar w:fldCharType="separate"/>
      </w:r>
      <w:r w:rsidR="00CD34CA" w:rsidRPr="00CF31E0">
        <w:rPr>
          <w:noProof/>
          <w:lang w:val="en-US"/>
        </w:rPr>
        <w:t>(Al-Farsy, 1990)</w:t>
      </w:r>
      <w:r w:rsidR="0065549D" w:rsidRPr="00CF31E0">
        <w:rPr>
          <w:lang w:val="en-US"/>
        </w:rPr>
        <w:fldChar w:fldCharType="end"/>
      </w:r>
      <w:r w:rsidRPr="00CF31E0">
        <w:rPr>
          <w:lang w:val="en-US"/>
        </w:rPr>
        <w:t xml:space="preserve">. To facilitate car journeys the government built multilane motorways along with agricultural roads to facilitate the process of easily travelling between cities by car. </w:t>
      </w:r>
    </w:p>
    <w:p w14:paraId="576F5BEA" w14:textId="279B15D2" w:rsidR="00D86F38" w:rsidRPr="00CF31E0" w:rsidRDefault="00D86F38" w:rsidP="00603CB7">
      <w:pPr>
        <w:pStyle w:val="Paragraph"/>
        <w:rPr>
          <w:lang w:val="en-US"/>
        </w:rPr>
      </w:pPr>
      <w:r w:rsidRPr="00CF31E0">
        <w:rPr>
          <w:lang w:val="en-US"/>
        </w:rPr>
        <w:t xml:space="preserve">The improvement of the transportation and communication systems was one of the main factors that helped the nomads </w:t>
      </w:r>
      <w:r w:rsidR="003B68A1" w:rsidRPr="00CF31E0">
        <w:rPr>
          <w:lang w:val="en-US"/>
        </w:rPr>
        <w:t xml:space="preserve">and Bedouins </w:t>
      </w:r>
      <w:r w:rsidRPr="00CF31E0">
        <w:rPr>
          <w:lang w:val="en-US"/>
        </w:rPr>
        <w:t xml:space="preserve">to have social contact with settlers and helped the </w:t>
      </w:r>
      <w:r w:rsidR="00F2472B" w:rsidRPr="00CF31E0">
        <w:rPr>
          <w:lang w:val="en-US"/>
        </w:rPr>
        <w:t>country</w:t>
      </w:r>
      <w:r w:rsidRPr="00CF31E0">
        <w:rPr>
          <w:lang w:val="en-US"/>
        </w:rPr>
        <w:t xml:space="preserve"> to be more open to change through its connections with the outside world</w:t>
      </w:r>
      <w:r w:rsidR="00D65D02" w:rsidRPr="00CF31E0">
        <w:rPr>
          <w:lang w:val="en-US"/>
        </w:rPr>
        <w:t xml:space="preserve"> </w:t>
      </w:r>
      <w:r w:rsidR="00D65D02" w:rsidRPr="00CF31E0">
        <w:rPr>
          <w:lang w:val="en-US"/>
        </w:rPr>
        <w:fldChar w:fldCharType="begin"/>
      </w:r>
      <w:r w:rsidR="00A54129" w:rsidRPr="00CF31E0">
        <w:rPr>
          <w:lang w:val="en-US"/>
        </w:rPr>
        <w:instrText xml:space="preserve"> ADDIN ZOTERO_ITEM CSL_CITATION {"citationID":"dDEkQT1t","properties":{"formattedCitation":"(S. Hamdan, 1990, p. 51)","plainCitation":"(S. Hamdan, 1990, p. 51)","dontUpdate":true,"noteIndex":0},"citationItems":[{"id":200,"uris":["http://zotero.org/users/1939618/items/N5XRP2MU"],"uri":["http://zotero.org/users/1939618/items/N5XRP2MU"],"itemData":{"id":200,"type":"thesis","title":"Social change in the Saudi family (doctoral dissertation","publisher":"Iowa state University","source":"Google Scholar","URL":"http://lib.dr.iastate.edu/rtd/11187/","author":[{"family":"Hamdan","given":"Saeed"}],"issued":{"date-parts":[["1990"]]},"accessed":{"date-parts":[["2015",12,6]]}},"locator":"51","label":"page"}],"schema":"https://github.com/citation-style-language/schema/raw/master/csl-citation.json"} </w:instrText>
      </w:r>
      <w:r w:rsidR="00D65D02" w:rsidRPr="00CF31E0">
        <w:rPr>
          <w:lang w:val="en-US"/>
        </w:rPr>
        <w:fldChar w:fldCharType="separate"/>
      </w:r>
      <w:r w:rsidR="00C97AC2" w:rsidRPr="00CF31E0">
        <w:rPr>
          <w:noProof/>
          <w:lang w:val="en-US"/>
        </w:rPr>
        <w:t>(</w:t>
      </w:r>
      <w:r w:rsidR="00220818" w:rsidRPr="00CF31E0">
        <w:rPr>
          <w:noProof/>
          <w:lang w:val="en-US"/>
        </w:rPr>
        <w:t>Hamdan, 1990, p. 51)</w:t>
      </w:r>
      <w:r w:rsidR="00D65D02" w:rsidRPr="00CF31E0">
        <w:rPr>
          <w:lang w:val="en-US"/>
        </w:rPr>
        <w:fldChar w:fldCharType="end"/>
      </w:r>
      <w:r w:rsidR="00D65D02" w:rsidRPr="00CF31E0">
        <w:rPr>
          <w:lang w:val="en-US"/>
        </w:rPr>
        <w:t>. Prior to the discovery of oil</w:t>
      </w:r>
      <w:r w:rsidRPr="00CF31E0">
        <w:rPr>
          <w:lang w:val="en-US"/>
        </w:rPr>
        <w:t>, SA had been almost completely isolated from the outside world except for the Hijaz area, where people had seasonal contact with pilgrims every year</w:t>
      </w:r>
      <w:r w:rsidR="00263552" w:rsidRPr="00CF31E0">
        <w:rPr>
          <w:lang w:val="en-US"/>
        </w:rPr>
        <w:t xml:space="preserve"> </w:t>
      </w:r>
      <w:r w:rsidR="00E52D2D" w:rsidRPr="00CF31E0">
        <w:rPr>
          <w:lang w:val="en-US"/>
        </w:rPr>
        <w:fldChar w:fldCharType="begin"/>
      </w:r>
      <w:r w:rsidR="00A54129" w:rsidRPr="00CF31E0">
        <w:rPr>
          <w:lang w:val="en-US"/>
        </w:rPr>
        <w:instrText xml:space="preserve"> ADDIN ZOTERO_ITEM CSL_CITATION {"citationID":"xarhOZKi","properties":{"formattedCitation":"(Al Bassam, 2012; S. Hamdan, 1990; Wilson &amp; Graham, 2016; Wynbrandt, 2010)","plainCitation":"(Al Bassam, 2012; S. Hamdan, 1990; Wilson &amp; Graham, 2016; Wynbrandt, 2010)","noteIndex":0},"citationItems":[{"id":250,"uris":["http://zotero.org/users/1939618/items/2KBE6VS6"],"uri":["http://zotero.org/users/1939618/items/2KBE6VS6"],"itemData":{"id":250,"type":"thesis","title":"Urbanisation and Migration in Saudi Arabia: The Case of Buraydah City (doctoral thesis)","publisher":"University of Leicester","source":"Google Scholar","URL":"https://lra.le.ac.uk/handle/2381/10152","shortTitle":"Urbanisation and Migration in Saudi Arabia","author":[{"family":"Al Bassam","given":"Ahmad Mohammad A."}],"issued":{"date-parts":[["2012"]]},"accessed":{"date-parts":[["2017",7,25]]}},"label":"page"},{"id":200,"uris":["http://zotero.org/users/1939618/items/N5XRP2MU"],"uri":["http://zotero.org/users/1939618/items/N5XRP2MU"],"itemData":{"id":200,"type":"thesis","title":"Social change in the Saudi family (doctoral dissertation","publisher":"Iowa state University","source":"Google Scholar","URL":"http://lib.dr.iastate.edu/rtd/11187/","author":[{"family":"Hamdan","given":"Saeed"}],"issued":{"date-parts":[["1990"]]},"accessed":{"date-parts":[["2015",12,6]]}},"label":"page"},{"id":418,"uris":["http://zotero.org/users/1939618/items/3ZU6KTWY"],"uri":["http://zotero.org/users/1939618/items/3ZU6KTWY"],"itemData":{"id":418,"type":"book","title":"Saudi Arabia: The Coming Storm: The Coming Storm","publisher":"Routledge","publisher-place":"New York, NY","number-of-pages":"339","source":"Google Books","event-place":"New York, NY","abstract":"Some of the best writings on issues involving local government can be found in journals published by the American Society for Public Administration or journals with which ASPA is associated. This volume includes 30 of the most outstanding articles that have been published.","ISBN":"978-1-315-28699-0","note":"Google-Books-ID: tIoYDQAAQBAJ","shortTitle":"Saudi Arabia","language":"en","author":[{"family":"Wilson","given":"Peter W."},{"family":"Graham","given":"Douglas F."}],"issued":{"date-parts":[["2016",9,16]]}},"label":"page"},{"id":416,"uris":["http://zotero.org/users/1939618/items/I5XM9GKJ"],"uri":["http://zotero.org/users/1939618/items/I5XM9GKJ"],"itemData":{"id":416,"type":"book","title":"A Brief History of Saudi Arabia","publisher":"Infobase Publishing","publisher-place":"New York, NY","number-of-pages":"385","edition":"2nd edition","source":"Google Books","event-place":"New York, NY","abstract":"In recent years Saudi Arabia has experienced changes that have both altered the internal structure of the country and affected its foreign relations. Women have gained additional civil rights; the educational system has been overhauled in an attempt to generate a skilled workforce that can enter the competitive global market; and international concern regarding terrorists within Saudi Arabia's borders has prompted an aggressive response from King Abdullah.Yet despite economic, social, and political improvements, the country still faces turmoil from continued conflict in the Middle East. And as the birthplace of Islam, Saudi Arabia must find a way to balance its religious authority with the demands of a modern society. From Saudi Arabia's pre-Islamic history to the events of today, A Brief History of Saudi Arabia, Second Edition offers a balanced, informative perspective on the country's long history.Coverage includes-Pre-Islamic Arabia-Bedouin society and culture-The birth and spread of Islam-The development of and philosophy behind Wahhabism-The origins of the House of Saud-Saudi Arabia's role in the Middle East-Saudi Arabia's relationship to the United States-The battle between conservative and progressive elements in the monarchy today-The reign of King AbdullahBasic facts, a chronology, a bibliography, and a list of suggested reading make up the appendixes.","ISBN":"978-0-8160-7876-9","note":"Google-Books-ID: eZkIXdsZpPsC","language":"en","author":[{"family":"Wynbrandt","given":"James"}],"issued":{"date-parts":[["2010"]]}},"label":"page"}],"schema":"https://github.com/citation-style-language/schema/raw/master/csl-citation.json"} </w:instrText>
      </w:r>
      <w:r w:rsidR="00E52D2D" w:rsidRPr="00CF31E0">
        <w:rPr>
          <w:lang w:val="en-US"/>
        </w:rPr>
        <w:fldChar w:fldCharType="separate"/>
      </w:r>
      <w:r w:rsidR="002262AC" w:rsidRPr="00CF31E0">
        <w:rPr>
          <w:noProof/>
          <w:lang w:val="en-US"/>
        </w:rPr>
        <w:t>(Al-</w:t>
      </w:r>
      <w:r w:rsidR="00C97AC2" w:rsidRPr="00CF31E0">
        <w:rPr>
          <w:noProof/>
          <w:lang w:val="en-US"/>
        </w:rPr>
        <w:t xml:space="preserve">Bassam, 2012; </w:t>
      </w:r>
      <w:r w:rsidR="00387514" w:rsidRPr="00CF31E0">
        <w:rPr>
          <w:noProof/>
          <w:lang w:val="en-US"/>
        </w:rPr>
        <w:t>Hamdan, 1990; Wilson &amp; Graham, 2016; Wynbrandt, 2010)</w:t>
      </w:r>
      <w:r w:rsidR="00E52D2D" w:rsidRPr="00CF31E0">
        <w:rPr>
          <w:lang w:val="en-US"/>
        </w:rPr>
        <w:fldChar w:fldCharType="end"/>
      </w:r>
      <w:r w:rsidR="00387514" w:rsidRPr="00CF31E0">
        <w:rPr>
          <w:lang w:val="en-US"/>
        </w:rPr>
        <w:t xml:space="preserve">. </w:t>
      </w:r>
    </w:p>
    <w:p w14:paraId="72A0FF33" w14:textId="788B815F" w:rsidR="00731641" w:rsidRPr="00CF31E0" w:rsidRDefault="00731641" w:rsidP="00603CB7">
      <w:pPr>
        <w:pStyle w:val="Paragraph"/>
        <w:rPr>
          <w:lang w:val="en-US"/>
        </w:rPr>
      </w:pPr>
      <w:r w:rsidRPr="00CF31E0">
        <w:rPr>
          <w:lang w:val="en-US"/>
        </w:rPr>
        <w:lastRenderedPageBreak/>
        <w:t xml:space="preserve">Until quite recently, a trip to SA in general and </w:t>
      </w:r>
      <w:r w:rsidR="00D30B2F">
        <w:rPr>
          <w:lang w:val="en-US"/>
        </w:rPr>
        <w:t>Makkah</w:t>
      </w:r>
      <w:r w:rsidRPr="00CF31E0">
        <w:rPr>
          <w:lang w:val="en-US"/>
        </w:rPr>
        <w:t xml:space="preserve"> in particular was a very dangerous and hard journey. The pilgrims made a massive sacrifice to perform pilgrimage</w:t>
      </w:r>
      <w:r w:rsidR="00263552" w:rsidRPr="00CF31E0">
        <w:rPr>
          <w:lang w:val="en-US"/>
        </w:rPr>
        <w:t xml:space="preserve"> </w:t>
      </w:r>
      <w:r w:rsidRPr="00CF31E0">
        <w:rPr>
          <w:lang w:val="en-US"/>
        </w:rPr>
        <w:fldChar w:fldCharType="begin"/>
      </w:r>
      <w:r w:rsidR="00CD34CA" w:rsidRPr="00CF31E0">
        <w:rPr>
          <w:lang w:val="en-US"/>
        </w:rPr>
        <w:instrText xml:space="preserve"> ADDIN ZOTERO_ITEM CSL_CITATION {"citationID":"ZeTQkWqN","properties":{"formattedCitation":"(Eric Tagliacozzo &amp; Toorawa, 2016)","plainCitation":"(Eric Tagliacozzo &amp; Toorawa, 2016)","dontUpdate":true,"noteIndex":0},"citationItems":[{"id":367,"uris":["http://zotero.org/users/1939618/items/VTLWJHCV"],"uri":["http://zotero.org/users/1939618/items/VTLWJHCV"],"itemData":{"id":367,"type":"book","title":"The Hajj: pilgrimage in Islam","publisher":"Cambridge University Press","publisher-place":"Cambridge","source":"find.shef.ac.uk","event-place":"Cambridge","abstract":"Machine generated contents note: Introduction Eric Tagliacozzo and Shawkat Toorawa; 1. Pilgrimage in pre-Islamic Arabia and late Antiquity Harry Munt; 2. Why Mecca? Abraham and the Hajj in the Islamic tradition Fareeha Khan; 3. The early Hajj, seventh-eighth centuries CE Travis Zadeh; 4. Women and the Hajj Asma Sayeed; 5. Hajj by land Benjamin C. Brower; 6. Hajj by sea Eric Tagliacozzo; 7. Hajj by air Robert Bianchi; 8. Economics: agents, pilgrims, and profits on the Hajj Sylvia Chiffoleau; 9. The pilgrimage to Mecca and international health regulations Valeska Huber; 10. The Saudis as managers of the Hajj Saud al-Sarhan; 11. Performing the Hajj Shawkat Toorawa; 12. Decoding the Hajj in cyberspace Gary R. Bunt; 13. A pilgrim's complaint: recent accounts of the Hajj Michael Wolfe; 14. Visualizing the Hajj: imagining a sacred landscape past and present Juan Campo., Every year hundreds of thousands of pilgrims from all over the world converge on Mecca and its precincts to perform the rituals associated with the Hajj and have been doing so since the seventh century. In this volume, scholars from a range of fields - including history, religion, anthropology, and literature - together tell the story of the Hajj and explain its significance as one of the key events in the Muslim religious calendar. By outlining the parameters of the Hajj from its beginnings to the present day, the contributors have produced a global study that takes in the vast geographies of belief in the world of Islam. This volume pays attention to the diverse aspects of the Hajj, as lived every year by hundreds of millions of Muslims, touching on its rituals, its regional forms, the role of gender, its representation in art, and its organization on a global scale.","URL":"https://doi.org/10.1017/CBO9781139343794","ISBN":"978-1-139-34379-4","shortTitle":"The Hajj","language":"eng","author":[{"family":"Tagliacozzo","given":"Eric"},{"family":"Toorawa","given":"Shawkat"}],"issued":{"date-parts":[["2016"]]},"accessed":{"date-parts":[["2018",4,2]]}}}],"schema":"https://github.com/citation-style-language/schema/raw/master/csl-citation.json"} </w:instrText>
      </w:r>
      <w:r w:rsidRPr="00CF31E0">
        <w:rPr>
          <w:lang w:val="en-US"/>
        </w:rPr>
        <w:fldChar w:fldCharType="separate"/>
      </w:r>
      <w:r w:rsidR="00E44A3C" w:rsidRPr="00CF31E0">
        <w:rPr>
          <w:noProof/>
          <w:lang w:val="en-US"/>
        </w:rPr>
        <w:t>(Tagliacozzo &amp; Toorawa, 2015</w:t>
      </w:r>
      <w:r w:rsidR="00B71FB6" w:rsidRPr="00CF31E0">
        <w:rPr>
          <w:noProof/>
          <w:lang w:val="en-US"/>
        </w:rPr>
        <w:t>)</w:t>
      </w:r>
      <w:r w:rsidRPr="00CF31E0">
        <w:rPr>
          <w:lang w:val="en-US"/>
        </w:rPr>
        <w:fldChar w:fldCharType="end"/>
      </w:r>
      <w:r w:rsidRPr="00CF31E0">
        <w:rPr>
          <w:lang w:val="en-US"/>
        </w:rPr>
        <w:t xml:space="preserve">. They endured a very dangerous trip and passed through many areas which were unknown to them and sometimes they even faced inhospitable people throughout their journey to </w:t>
      </w:r>
      <w:r w:rsidR="00D30B2F">
        <w:rPr>
          <w:lang w:val="en-US"/>
        </w:rPr>
        <w:t>Makkah</w:t>
      </w:r>
      <w:r w:rsidRPr="00CF31E0">
        <w:rPr>
          <w:lang w:val="en-US"/>
        </w:rPr>
        <w:t xml:space="preserve"> </w:t>
      </w:r>
      <w:r w:rsidRPr="00CF31E0">
        <w:rPr>
          <w:lang w:val="en-US"/>
        </w:rPr>
        <w:fldChar w:fldCharType="begin"/>
      </w:r>
      <w:r w:rsidRPr="00CF31E0">
        <w:rPr>
          <w:lang w:val="en-US"/>
        </w:rPr>
        <w:instrText xml:space="preserve"> ADDIN ZOTERO_ITEM CSL_CITATION {"citationID":"RW5RaQ7B","properties":{"formattedCitation":"(al-Ken, 1995, p. 36)","plainCitation":"(al-Ken, 1995, p. 36)","noteIndex":0},"citationItems":[{"id":190,"uris":["http://zotero.org/users/1939618/items/9MG22DNA"],"uri":["http://zotero.org/users/1939618/items/9MG22DNA"],"itemData":{"id":190,"type":"thesis","title":"The Hajj: past, present and future: the communication aspect","publisher":"University of Leeds","source":"Google Scholar","URL":"http://ethos.bl.uk/OrderDetails.do?uin=uk.bl.ethos.341805","shortTitle":"The Hajj","author":[{"family":"Ken","given":"Akeel Ibrahim","non-dropping-particle":"al-"}],"issued":{"date-parts":[["1995"]]},"accessed":{"date-parts":[["2015",12,6]]}},"locator":"36","label":"page"}],"schema":"https://github.com/citation-style-language/schema/raw/master/csl-citation.json"} </w:instrText>
      </w:r>
      <w:r w:rsidRPr="00CF31E0">
        <w:rPr>
          <w:lang w:val="en-US"/>
        </w:rPr>
        <w:fldChar w:fldCharType="separate"/>
      </w:r>
      <w:r w:rsidR="007B3CDE" w:rsidRPr="00CF31E0">
        <w:rPr>
          <w:noProof/>
          <w:lang w:val="en-US"/>
        </w:rPr>
        <w:t>(A</w:t>
      </w:r>
      <w:r w:rsidRPr="00CF31E0">
        <w:rPr>
          <w:noProof/>
          <w:lang w:val="en-US"/>
        </w:rPr>
        <w:t>l-Ken, 1995, p. 36)</w:t>
      </w:r>
      <w:r w:rsidRPr="00CF31E0">
        <w:rPr>
          <w:lang w:val="en-US"/>
        </w:rPr>
        <w:fldChar w:fldCharType="end"/>
      </w:r>
      <w:r w:rsidRPr="00CF31E0">
        <w:rPr>
          <w:lang w:val="en-US"/>
        </w:rPr>
        <w:t>. During the medieval era and through to the nineteenth century, the pilgrims used to leave their homes and pay an amount of money to join commercial camel caravans for the sake of security</w:t>
      </w:r>
      <w:r w:rsidR="002C54C9" w:rsidRPr="00CF31E0">
        <w:rPr>
          <w:lang w:val="en-US"/>
        </w:rPr>
        <w:t xml:space="preserve"> </w:t>
      </w:r>
      <w:r w:rsidRPr="00CF31E0">
        <w:rPr>
          <w:lang w:val="en-US"/>
        </w:rPr>
        <w:fldChar w:fldCharType="begin"/>
      </w:r>
      <w:r w:rsidR="00CD34CA" w:rsidRPr="00CF31E0">
        <w:rPr>
          <w:lang w:val="en-US"/>
        </w:rPr>
        <w:instrText xml:space="preserve"> ADDIN ZOTERO_ITEM CSL_CITATION {"citationID":"uGRoScsw","properties":{"formattedCitation":"(Eric Tagliacozzo &amp; Toorawa, 2016)","plainCitation":"(Eric Tagliacozzo &amp; Toorawa, 2016)","dontUpdate":true,"noteIndex":0},"citationItems":[{"id":367,"uris":["http://zotero.org/users/1939618/items/VTLWJHCV"],"uri":["http://zotero.org/users/1939618/items/VTLWJHCV"],"itemData":{"id":367,"type":"book","title":"The Hajj: pilgrimage in Islam","publisher":"Cambridge University Press","publisher-place":"Cambridge","source":"find.shef.ac.uk","event-place":"Cambridge","abstract":"Machine generated contents note: Introduction Eric Tagliacozzo and Shawkat Toorawa; 1. Pilgrimage in pre-Islamic Arabia and late Antiquity Harry Munt; 2. Why Mecca? Abraham and the Hajj in the Islamic tradition Fareeha Khan; 3. The early Hajj, seventh-eighth centuries CE Travis Zadeh; 4. Women and the Hajj Asma Sayeed; 5. Hajj by land Benjamin C. Brower; 6. Hajj by sea Eric Tagliacozzo; 7. Hajj by air Robert Bianchi; 8. Economics: agents, pilgrims, and profits on the Hajj Sylvia Chiffoleau; 9. The pilgrimage to Mecca and international health regulations Valeska Huber; 10. The Saudis as managers of the Hajj Saud al-Sarhan; 11. Performing the Hajj Shawkat Toorawa; 12. Decoding the Hajj in cyberspace Gary R. Bunt; 13. A pilgrim's complaint: recent accounts of the Hajj Michael Wolfe; 14. Visualizing the Hajj: imagining a sacred landscape past and present Juan Campo., Every year hundreds of thousands of pilgrims from all over the world converge on Mecca and its precincts to perform the rituals associated with the Hajj and have been doing so since the seventh century. In this volume, scholars from a range of fields - including history, religion, anthropology, and literature - together tell the story of the Hajj and explain its significance as one of the key events in the Muslim religious calendar. By outlining the parameters of the Hajj from its beginnings to the present day, the contributors have produced a global study that takes in the vast geographies of belief in the world of Islam. This volume pays attention to the diverse aspects of the Hajj, as lived every year by hundreds of millions of Muslims, touching on its rituals, its regional forms, the role of gender, its representation in art, and its organization on a global scale.","URL":"https://doi.org/10.1017/CBO9781139343794","ISBN":"978-1-139-34379-4","shortTitle":"The Hajj","language":"eng","author":[{"family":"Tagliacozzo","given":"Eric"},{"family":"Toorawa","given":"Shawkat"}],"issued":{"date-parts":[["2016"]]},"accessed":{"date-parts":[["2018",4,2]]}}}],"schema":"https://github.com/citation-style-language/schema/raw/master/csl-citation.json"} </w:instrText>
      </w:r>
      <w:r w:rsidRPr="00CF31E0">
        <w:rPr>
          <w:lang w:val="en-US"/>
        </w:rPr>
        <w:fldChar w:fldCharType="separate"/>
      </w:r>
      <w:r w:rsidR="00B56EA9" w:rsidRPr="00CF31E0">
        <w:rPr>
          <w:noProof/>
          <w:lang w:val="en-US"/>
        </w:rPr>
        <w:t>(Tagliacozzo &amp; Toorawa, 2015</w:t>
      </w:r>
      <w:r w:rsidR="00B71FB6" w:rsidRPr="00CF31E0">
        <w:rPr>
          <w:noProof/>
          <w:lang w:val="en-US"/>
        </w:rPr>
        <w:t>)</w:t>
      </w:r>
      <w:r w:rsidRPr="00CF31E0">
        <w:rPr>
          <w:lang w:val="en-US"/>
        </w:rPr>
        <w:fldChar w:fldCharType="end"/>
      </w:r>
      <w:r w:rsidRPr="00CF31E0">
        <w:rPr>
          <w:lang w:val="en-US"/>
        </w:rPr>
        <w:t xml:space="preserve">. These commercial caravans were not necessarily heading to </w:t>
      </w:r>
      <w:r w:rsidR="00D30B2F">
        <w:rPr>
          <w:lang w:val="en-US"/>
        </w:rPr>
        <w:t>Makkah</w:t>
      </w:r>
      <w:r w:rsidRPr="00CF31E0">
        <w:rPr>
          <w:lang w:val="en-US"/>
        </w:rPr>
        <w:t>. Thus, the pilgrims’ main aim while they were travelling in the commercial caravans was to find other Haj</w:t>
      </w:r>
      <w:r w:rsidR="005D0894" w:rsidRPr="00CF31E0">
        <w:rPr>
          <w:lang w:val="en-US"/>
        </w:rPr>
        <w:t>j</w:t>
      </w:r>
      <w:r w:rsidRPr="00CF31E0">
        <w:rPr>
          <w:lang w:val="en-US"/>
        </w:rPr>
        <w:t xml:space="preserve"> caravans heading to </w:t>
      </w:r>
      <w:r w:rsidR="00D30B2F">
        <w:rPr>
          <w:lang w:val="en-US"/>
        </w:rPr>
        <w:t>Makkah</w:t>
      </w:r>
      <w:r w:rsidRPr="00CF31E0">
        <w:rPr>
          <w:lang w:val="en-US"/>
        </w:rPr>
        <w:t xml:space="preserve">. Hence, the journey to SA was not easy and involved hardship and suffering </w:t>
      </w:r>
      <w:r w:rsidRPr="00CF31E0">
        <w:rPr>
          <w:lang w:val="en-US"/>
        </w:rPr>
        <w:fldChar w:fldCharType="begin"/>
      </w:r>
      <w:r w:rsidRPr="00CF31E0">
        <w:rPr>
          <w:lang w:val="en-US"/>
        </w:rPr>
        <w:instrText xml:space="preserve"> ADDIN ZOTERO_ITEM CSL_CITATION {"citationID":"uKTWjGX4","properties":{"formattedCitation":"(al-Ken, 1995, p. 37)","plainCitation":"(al-Ken, 1995, p. 37)","noteIndex":0},"citationItems":[{"id":190,"uris":["http://zotero.org/users/1939618/items/9MG22DNA"],"uri":["http://zotero.org/users/1939618/items/9MG22DNA"],"itemData":{"id":190,"type":"thesis","title":"The Hajj: past, present and future: the communication aspect","publisher":"University of Leeds","source":"Google Scholar","URL":"http://ethos.bl.uk/OrderDetails.do?uin=uk.bl.ethos.341805","shortTitle":"The Hajj","author":[{"family":"Ken","given":"Akeel Ibrahim","non-dropping-particle":"al-"}],"issued":{"date-parts":[["1995"]]},"accessed":{"date-parts":[["2015",12,6]]}},"locator":"37","label":"page"}],"schema":"https://github.com/citation-style-language/schema/raw/master/csl-citation.json"} </w:instrText>
      </w:r>
      <w:r w:rsidRPr="00CF31E0">
        <w:rPr>
          <w:lang w:val="en-US"/>
        </w:rPr>
        <w:fldChar w:fldCharType="separate"/>
      </w:r>
      <w:r w:rsidR="007B3CDE" w:rsidRPr="00CF31E0">
        <w:rPr>
          <w:noProof/>
          <w:lang w:val="en-US"/>
        </w:rPr>
        <w:t>(A</w:t>
      </w:r>
      <w:r w:rsidRPr="00CF31E0">
        <w:rPr>
          <w:noProof/>
          <w:lang w:val="en-US"/>
        </w:rPr>
        <w:t>l-Ken, 1995, p. 37)</w:t>
      </w:r>
      <w:r w:rsidRPr="00CF31E0">
        <w:rPr>
          <w:lang w:val="en-US"/>
        </w:rPr>
        <w:fldChar w:fldCharType="end"/>
      </w:r>
      <w:r w:rsidRPr="00CF31E0">
        <w:rPr>
          <w:lang w:val="en-US"/>
        </w:rPr>
        <w:t xml:space="preserve">. </w:t>
      </w:r>
    </w:p>
    <w:p w14:paraId="22EF0ECF" w14:textId="205F4BD9" w:rsidR="00731641" w:rsidRPr="00CF31E0" w:rsidRDefault="00731641" w:rsidP="00603CB7">
      <w:pPr>
        <w:pStyle w:val="Paragraph"/>
        <w:rPr>
          <w:lang w:val="en-US"/>
        </w:rPr>
      </w:pPr>
      <w:r w:rsidRPr="00CF31E0">
        <w:rPr>
          <w:lang w:val="en-US"/>
        </w:rPr>
        <w:t xml:space="preserve">During the oil era, a global festival occurred with the introduction of air travel in the 1940s. The Saudi government launched its first national airline in 1945 with a fleet of only three planes, and gave it the name SAUDIA. The government built the first airport in Jeddah to facilitate the pilgrims’ journey to </w:t>
      </w:r>
      <w:r w:rsidR="00D30B2F">
        <w:rPr>
          <w:lang w:val="en-US"/>
        </w:rPr>
        <w:t>Makkah</w:t>
      </w:r>
      <w:r w:rsidRPr="00CF31E0">
        <w:rPr>
          <w:lang w:val="en-US"/>
        </w:rPr>
        <w:t xml:space="preserve">, since Jeddah is only 70 km from </w:t>
      </w:r>
      <w:r w:rsidR="00D30B2F">
        <w:rPr>
          <w:lang w:val="en-US"/>
        </w:rPr>
        <w:t>Makkah</w:t>
      </w:r>
      <w:r w:rsidRPr="00CF31E0">
        <w:rPr>
          <w:lang w:val="en-US"/>
        </w:rPr>
        <w:t xml:space="preserve"> (Hamdan, pp. 52–53). Nowadays, there are </w:t>
      </w:r>
      <w:r w:rsidR="005D0894" w:rsidRPr="00CF31E0">
        <w:rPr>
          <w:lang w:val="en-US"/>
        </w:rPr>
        <w:t>16</w:t>
      </w:r>
      <w:r w:rsidRPr="00CF31E0">
        <w:rPr>
          <w:lang w:val="en-US"/>
        </w:rPr>
        <w:t xml:space="preserve"> airports in the </w:t>
      </w:r>
      <w:r w:rsidR="00F2472B" w:rsidRPr="00CF31E0">
        <w:rPr>
          <w:lang w:val="en-US"/>
        </w:rPr>
        <w:t>country</w:t>
      </w:r>
      <w:r w:rsidRPr="00CF31E0">
        <w:rPr>
          <w:lang w:val="en-US"/>
        </w:rPr>
        <w:t xml:space="preserve"> with six international airports.</w:t>
      </w:r>
    </w:p>
    <w:p w14:paraId="62F5560B" w14:textId="7E084FD3" w:rsidR="0016705C" w:rsidRPr="00CF31E0" w:rsidRDefault="00731641" w:rsidP="00603CB7">
      <w:pPr>
        <w:pStyle w:val="Paragraph"/>
        <w:rPr>
          <w:lang w:val="en-US"/>
        </w:rPr>
      </w:pPr>
      <w:r w:rsidRPr="00CF31E0">
        <w:rPr>
          <w:lang w:val="en-US"/>
        </w:rPr>
        <w:t xml:space="preserve">The introduction of air travel facilitated the pilgrims’ visits to </w:t>
      </w:r>
      <w:r w:rsidR="00D30B2F">
        <w:rPr>
          <w:lang w:val="en-US"/>
        </w:rPr>
        <w:t>Makkah</w:t>
      </w:r>
      <w:r w:rsidRPr="00CF31E0">
        <w:rPr>
          <w:lang w:val="en-US"/>
        </w:rPr>
        <w:t xml:space="preserve"> in particular and SA in general. Every Muslim now has the opportunity to visit </w:t>
      </w:r>
      <w:r w:rsidR="00D30B2F">
        <w:rPr>
          <w:lang w:val="en-US"/>
        </w:rPr>
        <w:t>Makkah</w:t>
      </w:r>
      <w:r w:rsidRPr="00CF31E0">
        <w:rPr>
          <w:lang w:val="en-US"/>
        </w:rPr>
        <w:t xml:space="preserve">, in a much easier </w:t>
      </w:r>
      <w:r w:rsidR="006D71AB" w:rsidRPr="00CF31E0">
        <w:rPr>
          <w:lang w:val="en-US"/>
        </w:rPr>
        <w:t xml:space="preserve">way </w:t>
      </w:r>
      <w:r w:rsidRPr="00CF31E0">
        <w:rPr>
          <w:lang w:val="en-US"/>
        </w:rPr>
        <w:t xml:space="preserve">than was the case previously. </w:t>
      </w:r>
      <w:r w:rsidR="0016705C" w:rsidRPr="00CF31E0">
        <w:rPr>
          <w:lang w:val="en-US"/>
        </w:rPr>
        <w:t xml:space="preserve">The number of pilgrims </w:t>
      </w:r>
      <w:r w:rsidR="006D71AB" w:rsidRPr="00CF31E0">
        <w:rPr>
          <w:lang w:val="en-US"/>
        </w:rPr>
        <w:t xml:space="preserve">has </w:t>
      </w:r>
      <w:r w:rsidR="0016705C" w:rsidRPr="00CF31E0">
        <w:rPr>
          <w:lang w:val="en-US"/>
        </w:rPr>
        <w:t>increased dramatically</w:t>
      </w:r>
      <w:r w:rsidR="006D71AB" w:rsidRPr="00CF31E0">
        <w:rPr>
          <w:lang w:val="en-US"/>
        </w:rPr>
        <w:t xml:space="preserve">; </w:t>
      </w:r>
      <w:r w:rsidR="002C54C9" w:rsidRPr="00CF31E0">
        <w:rPr>
          <w:lang w:val="en-US"/>
        </w:rPr>
        <w:fldChar w:fldCharType="begin"/>
      </w:r>
      <w:r w:rsidR="00CD34CA" w:rsidRPr="00CF31E0">
        <w:rPr>
          <w:lang w:val="en-US"/>
        </w:rPr>
        <w:instrText xml:space="preserve"> ADDIN ZOTERO_ITEM CSL_CITATION {"citationID":"iZ7xN7ao","properties":{"formattedCitation":"(Bianchi, 2015)","plainCitation":"(Bianchi, 2015)","dontUpdate":true,"noteIndex":0},"citationItems":[{"id":374,"uris":["http://zotero.org/users/1939618/items/Z3X3WHHD"],"uri":["http://zotero.org/users/1939618/items/Z3X3WHHD"],"itemData":{"id":374,"type":"chapter","title":"The Hajj by air","container-title":"The Hajj: Pilgrimage in Islam","publisher":"Cambridge University Press","publisher-place":"Cambridge","page":"131-152","event-place":"Cambridge","author":[{"family":"Bianchi","given":"Robert"}],"editor":[{"family":"Tagliacozzo","given":"E."},{"family":"Toorawa","given":"S."}],"issued":{"date-parts":[["2015"]]}}}],"schema":"https://github.com/citation-style-language/schema/raw/master/csl-citation.json"} </w:instrText>
      </w:r>
      <w:r w:rsidR="002C54C9" w:rsidRPr="00CF31E0">
        <w:rPr>
          <w:lang w:val="en-US"/>
        </w:rPr>
        <w:fldChar w:fldCharType="separate"/>
      </w:r>
      <w:r w:rsidR="002C54C9" w:rsidRPr="00CF31E0">
        <w:rPr>
          <w:noProof/>
          <w:lang w:val="en-US"/>
        </w:rPr>
        <w:t xml:space="preserve">Bianchi </w:t>
      </w:r>
      <w:r w:rsidR="006D71AB" w:rsidRPr="00CF31E0">
        <w:rPr>
          <w:noProof/>
          <w:lang w:val="en-US"/>
        </w:rPr>
        <w:t>(</w:t>
      </w:r>
      <w:r w:rsidR="002C54C9" w:rsidRPr="00CF31E0">
        <w:rPr>
          <w:noProof/>
          <w:lang w:val="en-US"/>
        </w:rPr>
        <w:t>2015)</w:t>
      </w:r>
      <w:r w:rsidR="002C54C9" w:rsidRPr="00CF31E0">
        <w:rPr>
          <w:lang w:val="en-US"/>
        </w:rPr>
        <w:fldChar w:fldCharType="end"/>
      </w:r>
      <w:r w:rsidR="004F754A" w:rsidRPr="00CF31E0">
        <w:rPr>
          <w:lang w:val="en-US"/>
        </w:rPr>
        <w:t xml:space="preserve"> </w:t>
      </w:r>
      <w:r w:rsidR="006D71AB" w:rsidRPr="00CF31E0">
        <w:rPr>
          <w:lang w:val="en-US"/>
        </w:rPr>
        <w:t xml:space="preserve">provides </w:t>
      </w:r>
      <w:r w:rsidR="004F754A" w:rsidRPr="00CF31E0">
        <w:rPr>
          <w:lang w:val="en-US"/>
        </w:rPr>
        <w:t>the following illustration</w:t>
      </w:r>
      <w:r w:rsidR="006D71AB" w:rsidRPr="00CF31E0">
        <w:rPr>
          <w:lang w:val="en-US"/>
        </w:rPr>
        <w:t xml:space="preserve">: </w:t>
      </w:r>
    </w:p>
    <w:p w14:paraId="331B57C1" w14:textId="398F9FA6" w:rsidR="0016705C" w:rsidRPr="00CF31E0" w:rsidRDefault="0016705C" w:rsidP="00603CB7">
      <w:pPr>
        <w:pStyle w:val="Extract"/>
      </w:pPr>
      <w:r w:rsidRPr="00CF31E0">
        <w:t xml:space="preserve">The number of overseas hajjis going to </w:t>
      </w:r>
      <w:r w:rsidR="00D30B2F">
        <w:t>Makkah</w:t>
      </w:r>
      <w:r w:rsidRPr="00CF31E0">
        <w:t xml:space="preserve"> every year jumped rapidly from about 150,000 in the 1950s and 300,000 in the 1960s to 700,000 in the 1970s and 900,000 in the 1980s. By 1995, their number regularly exceeded one million, and throughout the twenty-first century it has climbed </w:t>
      </w:r>
      <w:r w:rsidR="006566CD" w:rsidRPr="00CF31E0">
        <w:t>steadily to roughly 1.8 million</w:t>
      </w:r>
      <w:r w:rsidRPr="00CF31E0">
        <w:t xml:space="preserve"> </w:t>
      </w:r>
      <w:r w:rsidRPr="00CF31E0">
        <w:fldChar w:fldCharType="begin"/>
      </w:r>
      <w:r w:rsidRPr="00CF31E0">
        <w:instrText xml:space="preserve"> ADDIN ZOTERO_ITEM CSL_CITATION {"citationID":"IMF36WvH","properties":{"formattedCitation":"(Bianchi, 2015, p. 132)","plainCitation":"(Bianchi, 2015, p. 132)","noteIndex":0},"citationItems":[{"id":374,"uris":["http://zotero.org/users/1939618/items/Z3X3WHHD"],"uri":["http://zotero.org/users/1939618/items/Z3X3WHHD"],"itemData":{"id":374,"type":"chapter","title":"The Hajj by air","container-title":"The Hajj: Pilgrimage in Islam","publisher":"Cambridge University Press","publisher-place":"Cambridge","page":"131-152","event-place":"Cambridge","author":[{"family":"Bianchi","given":"Robert"}],"editor":[{"family":"Tagliacozzo","given":"E."},{"family":"Toorawa","given":"S."}],"issued":{"date-parts":[["2015"]]}},"locator":"132","label":"page"}],"schema":"https://github.com/citation-style-language/schema/raw/master/csl-citation.json"} </w:instrText>
      </w:r>
      <w:r w:rsidRPr="00CF31E0">
        <w:fldChar w:fldCharType="separate"/>
      </w:r>
      <w:r w:rsidRPr="00CF31E0">
        <w:rPr>
          <w:noProof/>
        </w:rPr>
        <w:t>(Bianchi, 2015, p. 132)</w:t>
      </w:r>
      <w:r w:rsidRPr="00CF31E0">
        <w:fldChar w:fldCharType="end"/>
      </w:r>
      <w:r w:rsidR="00AA246B">
        <w:t>.</w:t>
      </w:r>
    </w:p>
    <w:p w14:paraId="57F2AB65" w14:textId="5B59C1FC" w:rsidR="00731641" w:rsidRPr="00CF31E0" w:rsidRDefault="002C54C9" w:rsidP="00603CB7">
      <w:pPr>
        <w:pStyle w:val="Paragraph"/>
        <w:rPr>
          <w:lang w:val="en-US"/>
        </w:rPr>
      </w:pPr>
      <w:r w:rsidRPr="00CF31E0">
        <w:rPr>
          <w:noProof/>
        </w:rPr>
        <w:lastRenderedPageBreak/>
        <w:t>Bianchi</w:t>
      </w:r>
      <w:r w:rsidR="004F754A" w:rsidRPr="00CF31E0">
        <w:rPr>
          <w:noProof/>
        </w:rPr>
        <w:t xml:space="preserve"> </w:t>
      </w:r>
      <w:r w:rsidRPr="00CF31E0">
        <w:rPr>
          <w:noProof/>
        </w:rPr>
        <w:t>(</w:t>
      </w:r>
      <w:r w:rsidR="004F754A" w:rsidRPr="00CF31E0">
        <w:rPr>
          <w:noProof/>
        </w:rPr>
        <w:t xml:space="preserve">2015) explains how </w:t>
      </w:r>
      <w:r w:rsidR="004F754A" w:rsidRPr="00CF31E0">
        <w:rPr>
          <w:lang w:val="en-US"/>
        </w:rPr>
        <w:t xml:space="preserve">the number of hajjis (i.e. pilgrims) increased </w:t>
      </w:r>
      <w:r w:rsidR="006D71AB" w:rsidRPr="00CF31E0">
        <w:rPr>
          <w:lang w:val="en-US"/>
        </w:rPr>
        <w:t xml:space="preserve">dramatically </w:t>
      </w:r>
      <w:r w:rsidR="004F754A" w:rsidRPr="00CF31E0">
        <w:rPr>
          <w:lang w:val="en-US"/>
        </w:rPr>
        <w:t xml:space="preserve">after </w:t>
      </w:r>
      <w:r w:rsidR="006D71AB" w:rsidRPr="00CF31E0">
        <w:rPr>
          <w:lang w:val="en-US"/>
        </w:rPr>
        <w:t xml:space="preserve">the </w:t>
      </w:r>
      <w:r w:rsidR="004F754A" w:rsidRPr="00CF31E0">
        <w:rPr>
          <w:lang w:val="en-US"/>
        </w:rPr>
        <w:t xml:space="preserve">introduction of air travel </w:t>
      </w:r>
      <w:r w:rsidR="006D71AB" w:rsidRPr="00CF31E0">
        <w:rPr>
          <w:lang w:val="en-US"/>
        </w:rPr>
        <w:t>worldwide</w:t>
      </w:r>
      <w:r w:rsidR="004F754A" w:rsidRPr="00CF31E0">
        <w:rPr>
          <w:lang w:val="en-US"/>
        </w:rPr>
        <w:t xml:space="preserve">. </w:t>
      </w:r>
      <w:r w:rsidR="006D71AB" w:rsidRPr="00CF31E0">
        <w:rPr>
          <w:lang w:val="en-US"/>
        </w:rPr>
        <w:t>The</w:t>
      </w:r>
      <w:r w:rsidR="00731641" w:rsidRPr="00CF31E0">
        <w:rPr>
          <w:lang w:val="en-US"/>
        </w:rPr>
        <w:t xml:space="preserve"> negative consequence </w:t>
      </w:r>
      <w:r w:rsidR="006D71AB" w:rsidRPr="00CF31E0">
        <w:rPr>
          <w:lang w:val="en-US"/>
        </w:rPr>
        <w:t xml:space="preserve">of this, however, is that the increased number of </w:t>
      </w:r>
      <w:r w:rsidR="00393D91" w:rsidRPr="00CF31E0">
        <w:rPr>
          <w:lang w:val="en-US"/>
        </w:rPr>
        <w:t>pilgrims</w:t>
      </w:r>
      <w:r w:rsidR="006D71AB" w:rsidRPr="00CF31E0">
        <w:rPr>
          <w:lang w:val="en-US"/>
        </w:rPr>
        <w:t xml:space="preserve"> resulted in </w:t>
      </w:r>
      <w:r w:rsidR="00731641" w:rsidRPr="00CF31E0">
        <w:rPr>
          <w:lang w:val="en-US"/>
        </w:rPr>
        <w:t xml:space="preserve">enormous congestion in </w:t>
      </w:r>
      <w:r w:rsidR="00D30B2F">
        <w:rPr>
          <w:lang w:val="en-US"/>
        </w:rPr>
        <w:t>Makkah</w:t>
      </w:r>
      <w:r w:rsidR="00731641" w:rsidRPr="00CF31E0">
        <w:rPr>
          <w:lang w:val="en-US"/>
        </w:rPr>
        <w:t xml:space="preserve">. </w:t>
      </w:r>
      <w:r w:rsidR="00177B62" w:rsidRPr="00CF31E0">
        <w:rPr>
          <w:lang w:val="en-US"/>
        </w:rPr>
        <w:t>Also,</w:t>
      </w:r>
      <w:r w:rsidR="00731641" w:rsidRPr="00CF31E0">
        <w:rPr>
          <w:lang w:val="en-US"/>
        </w:rPr>
        <w:t xml:space="preserve"> the number of international </w:t>
      </w:r>
      <w:r w:rsidR="00177B62" w:rsidRPr="00CF31E0">
        <w:rPr>
          <w:lang w:val="en-US"/>
        </w:rPr>
        <w:t xml:space="preserve">migrants </w:t>
      </w:r>
      <w:r w:rsidR="00731641" w:rsidRPr="00CF31E0">
        <w:rPr>
          <w:lang w:val="en-US"/>
        </w:rPr>
        <w:t xml:space="preserve">to SA reached </w:t>
      </w:r>
      <w:r w:rsidR="00F94099" w:rsidRPr="00CF31E0">
        <w:rPr>
          <w:lang w:val="en-US"/>
        </w:rPr>
        <w:t xml:space="preserve">a total of </w:t>
      </w:r>
      <w:r w:rsidR="00731641" w:rsidRPr="00CF31E0">
        <w:rPr>
          <w:lang w:val="en-US"/>
        </w:rPr>
        <w:t xml:space="preserve">10,185,900 in 2015, and the total number of immigration detainees surprisingly reached </w:t>
      </w:r>
      <w:r w:rsidR="00177B62" w:rsidRPr="00CF31E0">
        <w:rPr>
          <w:lang w:val="en-US"/>
        </w:rPr>
        <w:t xml:space="preserve">a total of </w:t>
      </w:r>
      <w:r w:rsidR="00731641" w:rsidRPr="00CF31E0">
        <w:rPr>
          <w:lang w:val="en-US"/>
        </w:rPr>
        <w:t xml:space="preserve">250,000 </w:t>
      </w:r>
      <w:r w:rsidR="00177B62" w:rsidRPr="00CF31E0">
        <w:rPr>
          <w:lang w:val="en-US"/>
        </w:rPr>
        <w:t xml:space="preserve">per </w:t>
      </w:r>
      <w:r w:rsidR="00731641" w:rsidRPr="00CF31E0">
        <w:rPr>
          <w:lang w:val="en-US"/>
        </w:rPr>
        <w:t xml:space="preserve">year </w:t>
      </w:r>
      <w:r w:rsidR="00731641" w:rsidRPr="00CF31E0">
        <w:rPr>
          <w:lang w:val="en-US"/>
        </w:rPr>
        <w:fldChar w:fldCharType="begin"/>
      </w:r>
      <w:r w:rsidR="00A54129" w:rsidRPr="00CF31E0">
        <w:rPr>
          <w:lang w:val="en-US"/>
        </w:rPr>
        <w:instrText xml:space="preserve"> ADDIN ZOTERO_ITEM CSL_CITATION {"citationID":"PoZYjMTs","properties":{"formattedCitation":"(\\uc0\\u8216{}Saudi Arabia Immigration Detention Profile | Global Detention Project; mapping immigration detention around the world\\uc0\\u8217{}, n.d.)","plainCitation":"(‘Saudi Arabia Immigration Detention Profile | Global Detention Project; mapping immigration detention around the world’, n.d.)","noteIndex":0},"citationItems":[{"id":389,"uris":["http://zotero.org/users/1939618/items/SGAWANAI"],"uri":["http://zotero.org/users/1939618/items/SGAWANAI"],"itemData":{"id":389,"type":"post-weblog","title":"Saudi Arabia Immigration Detention Profile | Global Detention Project; mapping immigration detention around the world","container-title":"Global Detention Project","abstract":"What we know about immigration detention in Saudi Arabia comes from scattered press accounts and reports by human rights organizations that rely on information provided by former detainees after they have been deported. While our knowledge of the Saudi detention regime remains very incomplete, these reports make clear that detention has become an important tool in the government’s efforts restrict unauthorized foreign workers, particularly as the number of people targeted for removal from the country has skrocketed in recent years","URL":"https://www.globaldetentionproject.org/countries/middle-east/saudi-arabia","language":"en","accessed":{"date-parts":[["2018",4,6]]}}}],"schema":"https://github.com/citation-style-language/schema/raw/master/csl-citation.json"} </w:instrText>
      </w:r>
      <w:r w:rsidR="00731641" w:rsidRPr="00CF31E0">
        <w:rPr>
          <w:lang w:val="en-US"/>
        </w:rPr>
        <w:fldChar w:fldCharType="separate"/>
      </w:r>
      <w:r w:rsidR="00A54129" w:rsidRPr="00CF31E0">
        <w:rPr>
          <w:rFonts w:eastAsia="Times New Roman" w:hAnsiTheme="majorHAnsi"/>
        </w:rPr>
        <w:t>(Global D</w:t>
      </w:r>
      <w:r w:rsidR="009A1FA1" w:rsidRPr="00CF31E0">
        <w:rPr>
          <w:rFonts w:eastAsia="Times New Roman" w:hAnsiTheme="majorHAnsi"/>
        </w:rPr>
        <w:t>etention Project, 2016</w:t>
      </w:r>
      <w:r w:rsidR="00A54129" w:rsidRPr="00CF31E0">
        <w:rPr>
          <w:rFonts w:eastAsia="Times New Roman" w:hAnsiTheme="majorHAnsi"/>
        </w:rPr>
        <w:t>)</w:t>
      </w:r>
      <w:r w:rsidR="00731641" w:rsidRPr="00CF31E0">
        <w:rPr>
          <w:lang w:val="en-US"/>
        </w:rPr>
        <w:fldChar w:fldCharType="end"/>
      </w:r>
      <w:r w:rsidR="00177B62" w:rsidRPr="00CF31E0">
        <w:rPr>
          <w:lang w:val="en-US"/>
        </w:rPr>
        <w:t xml:space="preserve">. </w:t>
      </w:r>
      <w:r w:rsidR="00731641" w:rsidRPr="00CF31E0">
        <w:rPr>
          <w:lang w:val="en-US"/>
        </w:rPr>
        <w:t xml:space="preserve">Therefore, the government has recently attempted to specify the number of pilgrims permitted from each </w:t>
      </w:r>
      <w:r w:rsidR="009A1FA1" w:rsidRPr="00CF31E0">
        <w:rPr>
          <w:lang w:val="en-US"/>
        </w:rPr>
        <w:t>count</w:t>
      </w:r>
      <w:r w:rsidR="00731641" w:rsidRPr="00CF31E0">
        <w:rPr>
          <w:lang w:val="en-US"/>
        </w:rPr>
        <w:t>ry</w:t>
      </w:r>
      <w:r w:rsidR="00177B62" w:rsidRPr="00CF31E0">
        <w:rPr>
          <w:lang w:val="en-US"/>
        </w:rPr>
        <w:t xml:space="preserve"> </w:t>
      </w:r>
      <w:r w:rsidR="007654A9" w:rsidRPr="00CF31E0">
        <w:rPr>
          <w:lang w:val="en-US"/>
        </w:rPr>
        <w:fldChar w:fldCharType="begin"/>
      </w:r>
      <w:r w:rsidR="00CD34CA" w:rsidRPr="00CF31E0">
        <w:rPr>
          <w:lang w:val="en-US"/>
        </w:rPr>
        <w:instrText xml:space="preserve"> ADDIN ZOTERO_ITEM CSL_CITATION {"citationID":"Fcw4Tl1S","properties":{"formattedCitation":"(al-Ken, 1995; L\\uc0\\u252{}cking, 2017)","plainCitation":"(al-Ken, 1995; Lücking, 2017)","dontUpdate":true,"noteIndex":0},"citationItems":[{"id":190,"uris":["http://zotero.org/users/1939618/items/9MG22DNA"],"uri":["http://zotero.org/users/1939618/items/9MG22DNA"],"itemData":{"id":190,"type":"thesis","title":"The Hajj: past, present and future: the communication aspect","publisher":"University of Leeds","source":"Google Scholar","URL":"http://ethos.bl.uk/OrderDetails.do?uin=uk.bl.ethos.341805","shortTitle":"The Hajj","author":[{"family":"Ken","given":"Akeel Ibrahim","non-dropping-particle":"al-"}],"issued":{"date-parts":[["1995"]]},"accessed":{"date-parts":[["2015",12,6]]}},"label":"page"},{"id":388,"uris":["http://zotero.org/users/1939618/items/CDCBFVHE"],"uri":["http://zotero.org/users/1939618/items/CDCBFVHE"],"itemData":{"id":388,"type":"article-journal","title":"Working in mecca: How informal pilgrimage-migration from madura, Indonesia, to Saudi Arabia challenges state sovereignty","container-title":"European Journal of East Asian Studies","page":"248–274","volume":"16","issue":"2","source":"find.shef.ac.uk","DOI":"10.1163/15700615-01602007","ISSN":"1568-0584","shortTitle":"Working in mecca","author":[{"family":"Lücking","given":"M."}],"issued":{"date-parts":[["2017"]]}},"label":"page"}],"schema":"https://github.com/citation-style-language/schema/raw/master/csl-citation.json"} </w:instrText>
      </w:r>
      <w:r w:rsidR="007654A9" w:rsidRPr="00CF31E0">
        <w:rPr>
          <w:lang w:val="en-US"/>
        </w:rPr>
        <w:fldChar w:fldCharType="separate"/>
      </w:r>
      <w:r w:rsidR="007B3CDE" w:rsidRPr="00CF31E0">
        <w:rPr>
          <w:rFonts w:eastAsia="Times New Roman" w:hAnsiTheme="majorHAnsi"/>
        </w:rPr>
        <w:t>(A</w:t>
      </w:r>
      <w:r w:rsidR="0018350D" w:rsidRPr="00CF31E0">
        <w:rPr>
          <w:rFonts w:eastAsia="Times New Roman" w:hAnsiTheme="majorHAnsi"/>
        </w:rPr>
        <w:t>l-Ken, 1995</w:t>
      </w:r>
      <w:r w:rsidR="007654A9" w:rsidRPr="00CF31E0">
        <w:rPr>
          <w:rFonts w:eastAsia="Times New Roman" w:hAnsiTheme="majorHAnsi"/>
        </w:rPr>
        <w:t>)</w:t>
      </w:r>
      <w:r w:rsidR="007654A9" w:rsidRPr="00CF31E0">
        <w:rPr>
          <w:lang w:val="en-US"/>
        </w:rPr>
        <w:fldChar w:fldCharType="end"/>
      </w:r>
      <w:r w:rsidR="00731641" w:rsidRPr="00CF31E0">
        <w:rPr>
          <w:lang w:val="en-US"/>
        </w:rPr>
        <w:t xml:space="preserve">. The following two photographs of the Holy Mosque in </w:t>
      </w:r>
      <w:r w:rsidR="00D30B2F">
        <w:rPr>
          <w:lang w:val="en-US"/>
        </w:rPr>
        <w:t>Makkah</w:t>
      </w:r>
      <w:r w:rsidR="00731641" w:rsidRPr="00CF31E0">
        <w:rPr>
          <w:lang w:val="en-US"/>
        </w:rPr>
        <w:t xml:space="preserve"> illustrate the dramatic increase in the number of pilgrims over the course of the twentieth century. </w:t>
      </w:r>
    </w:p>
    <w:p w14:paraId="007BFD45" w14:textId="459E138D" w:rsidR="00057138" w:rsidRPr="00CF31E0" w:rsidRDefault="00057138" w:rsidP="00F46DF0">
      <w:pPr>
        <w:jc w:val="both"/>
        <w:rPr>
          <w:rFonts w:eastAsia="Times New Roman"/>
          <w:color w:val="000000" w:themeColor="text1"/>
        </w:rPr>
      </w:pPr>
      <w:r w:rsidRPr="00CF31E0">
        <w:rPr>
          <w:rFonts w:eastAsia="Times New Roman"/>
          <w:noProof/>
          <w:color w:val="000000" w:themeColor="text1"/>
        </w:rPr>
        <w:drawing>
          <wp:inline distT="0" distB="0" distL="0" distR="0" wp14:anchorId="43CF3DA0" wp14:editId="12224E4C">
            <wp:extent cx="4776073" cy="3151517"/>
            <wp:effectExtent l="0" t="0" r="5715" b="0"/>
            <wp:docPr id="5" name="Picture 5" descr="mage result for mecca in the 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mecca in the pa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7671" cy="3172367"/>
                    </a:xfrm>
                    <a:prstGeom prst="rect">
                      <a:avLst/>
                    </a:prstGeom>
                    <a:noFill/>
                    <a:ln>
                      <a:noFill/>
                    </a:ln>
                  </pic:spPr>
                </pic:pic>
              </a:graphicData>
            </a:graphic>
          </wp:inline>
        </w:drawing>
      </w:r>
    </w:p>
    <w:p w14:paraId="47024E6E" w14:textId="14C15430" w:rsidR="00BD3FBE" w:rsidRPr="00CF31E0" w:rsidRDefault="008B5356" w:rsidP="0061369D">
      <w:pPr>
        <w:pStyle w:val="Figcaption"/>
        <w:rPr>
          <w:color w:val="000000" w:themeColor="text1"/>
          <w:lang w:val="en-US"/>
        </w:rPr>
      </w:pPr>
      <w:bookmarkStart w:id="90" w:name="_Toc522527326"/>
      <w:bookmarkStart w:id="91" w:name="_Toc522628157"/>
      <w:bookmarkStart w:id="92" w:name="_Toc522628275"/>
      <w:bookmarkStart w:id="93" w:name="_Toc522628375"/>
      <w:bookmarkStart w:id="94" w:name="_Toc6472977"/>
      <w:r w:rsidRPr="00CF31E0">
        <w:rPr>
          <w:color w:val="000000" w:themeColor="text1"/>
          <w:lang w:val="en-US"/>
        </w:rPr>
        <w:t xml:space="preserve">Figure </w:t>
      </w:r>
      <w:r w:rsidR="00ED354E" w:rsidRPr="00CF31E0">
        <w:rPr>
          <w:color w:val="000000" w:themeColor="text1"/>
          <w:lang w:val="en-US"/>
        </w:rPr>
        <w:t>2</w:t>
      </w:r>
      <w:r w:rsidRPr="00CF31E0">
        <w:rPr>
          <w:color w:val="000000" w:themeColor="text1"/>
          <w:lang w:val="en-US"/>
        </w:rPr>
        <w:t>.2</w:t>
      </w:r>
      <w:r w:rsidR="00177B62" w:rsidRPr="00CF31E0">
        <w:rPr>
          <w:color w:val="000000" w:themeColor="text1"/>
          <w:lang w:val="en-US"/>
        </w:rPr>
        <w:t xml:space="preserve">: </w:t>
      </w:r>
      <w:r w:rsidR="00BD3FBE" w:rsidRPr="00CF31E0">
        <w:rPr>
          <w:color w:val="000000" w:themeColor="text1"/>
          <w:lang w:val="en-US"/>
        </w:rPr>
        <w:t xml:space="preserve">The Holy Mosque in </w:t>
      </w:r>
      <w:r w:rsidRPr="00CF31E0">
        <w:rPr>
          <w:smallCaps/>
          <w:color w:val="000000" w:themeColor="text1"/>
          <w:lang w:val="en-US"/>
        </w:rPr>
        <w:t>ad</w:t>
      </w:r>
      <w:r w:rsidRPr="00CF31E0">
        <w:rPr>
          <w:color w:val="000000" w:themeColor="text1"/>
          <w:lang w:val="en-US"/>
        </w:rPr>
        <w:t xml:space="preserve"> </w:t>
      </w:r>
      <w:r w:rsidR="00BD3FBE" w:rsidRPr="00CF31E0">
        <w:rPr>
          <w:color w:val="000000" w:themeColor="text1"/>
          <w:lang w:val="en-US"/>
        </w:rPr>
        <w:t>1900.</w:t>
      </w:r>
      <w:bookmarkEnd w:id="90"/>
      <w:bookmarkEnd w:id="91"/>
      <w:bookmarkEnd w:id="92"/>
      <w:bookmarkEnd w:id="93"/>
      <w:bookmarkEnd w:id="94"/>
    </w:p>
    <w:p w14:paraId="5CA8A3BB" w14:textId="62D10228" w:rsidR="00731641" w:rsidRPr="00CF31E0" w:rsidRDefault="00177B62" w:rsidP="00603CB7">
      <w:pPr>
        <w:pStyle w:val="Figuresource"/>
      </w:pPr>
      <w:r w:rsidRPr="00CF31E0">
        <w:t>(A</w:t>
      </w:r>
      <w:r w:rsidR="009B4377" w:rsidRPr="00CF31E0">
        <w:t xml:space="preserve">dapted </w:t>
      </w:r>
      <w:r w:rsidR="009B4377" w:rsidRPr="00CF31E0">
        <w:fldChar w:fldCharType="begin"/>
      </w:r>
      <w:r w:rsidR="00CD34CA" w:rsidRPr="00CF31E0">
        <w:instrText xml:space="preserve"> ADDIN ZOTERO_ITEM CSL_CITATION {"citationID":"pmJrFdnv","properties":{"formattedCitation":"(Philip, 2013)","plainCitation":"(Philip, 2013)","dontUpdate":true,"noteIndex":0},"citationItems":[{"id":454,"uris":["http://zotero.org/users/1939618/items/U3JS9R5T"],"uri":["http://zotero.org/users/1939618/items/U3JS9R5T"],"itemData":{"id":454,"type":"webpage","title":"Haj in pre-Islamic times","container-title":"Arab News","abstract":"Haj and its rites were first ordained by Allah in the time of Prophet Ibrahim (peace be upon him). However, with the passage of time both the form and goal of Haj rites were changed. The process of distortion reached its peak with the introduction of idols to the Kaaba, as was previously mentioned. Many major tribes with their allies and slaves used to come to Makkah and encamp there separately. Competitions in generosity were staged.","URL":"http://www.arabnews.com/news/465223","language":"en","author":[{"family":"Philip","given":"Bilal"}],"issued":{"date-parts":[["2013"]]},"accessed":{"date-parts":[["2018",4,12]]}}}],"schema":"https://github.com/citation-style-language/schema/raw/master/csl-citation.json"} </w:instrText>
      </w:r>
      <w:r w:rsidR="009B4377" w:rsidRPr="00CF31E0">
        <w:fldChar w:fldCharType="separate"/>
      </w:r>
      <w:r w:rsidRPr="00CF31E0">
        <w:rPr>
          <w:noProof/>
        </w:rPr>
        <w:t xml:space="preserve">from </w:t>
      </w:r>
      <w:r w:rsidR="00BD3FBE" w:rsidRPr="00CF31E0">
        <w:rPr>
          <w:noProof/>
        </w:rPr>
        <w:t>Philip, 2013)</w:t>
      </w:r>
      <w:r w:rsidR="009B4377" w:rsidRPr="00CF31E0">
        <w:fldChar w:fldCharType="end"/>
      </w:r>
    </w:p>
    <w:p w14:paraId="1F1A053D" w14:textId="707430A5" w:rsidR="005946F0" w:rsidRPr="00CF31E0" w:rsidRDefault="005946F0" w:rsidP="00F46DF0">
      <w:pPr>
        <w:spacing w:line="360" w:lineRule="auto"/>
        <w:jc w:val="both"/>
        <w:rPr>
          <w:rFonts w:asciiTheme="majorBidi" w:hAnsiTheme="majorBidi" w:cstheme="majorBidi"/>
          <w:color w:val="000000" w:themeColor="text1"/>
          <w:lang w:val="en-US"/>
        </w:rPr>
      </w:pPr>
      <w:r w:rsidRPr="00CF31E0">
        <w:rPr>
          <w:rFonts w:asciiTheme="majorBidi" w:hAnsiTheme="majorBidi" w:cstheme="majorBidi"/>
          <w:noProof/>
          <w:color w:val="000000" w:themeColor="text1"/>
        </w:rPr>
        <w:lastRenderedPageBreak/>
        <w:drawing>
          <wp:inline distT="0" distB="0" distL="0" distR="0" wp14:anchorId="347B0F65" wp14:editId="7046BB12">
            <wp:extent cx="4698680" cy="3241964"/>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7108" cy="3254679"/>
                    </a:xfrm>
                    <a:prstGeom prst="rect">
                      <a:avLst/>
                    </a:prstGeom>
                    <a:noFill/>
                    <a:ln>
                      <a:noFill/>
                    </a:ln>
                  </pic:spPr>
                </pic:pic>
              </a:graphicData>
            </a:graphic>
          </wp:inline>
        </w:drawing>
      </w:r>
    </w:p>
    <w:p w14:paraId="001B16F2" w14:textId="57C76FE1" w:rsidR="005946F0" w:rsidRPr="00CF31E0" w:rsidRDefault="008B5356" w:rsidP="00730917">
      <w:pPr>
        <w:pStyle w:val="Figcaption"/>
        <w:rPr>
          <w:color w:val="000000" w:themeColor="text1"/>
          <w:lang w:val="en-US"/>
        </w:rPr>
      </w:pPr>
      <w:bookmarkStart w:id="95" w:name="_Toc522527327"/>
      <w:bookmarkStart w:id="96" w:name="_Toc522628158"/>
      <w:bookmarkStart w:id="97" w:name="_Toc522628276"/>
      <w:bookmarkStart w:id="98" w:name="_Toc522628376"/>
      <w:bookmarkStart w:id="99" w:name="_Toc6472978"/>
      <w:r w:rsidRPr="00CF31E0">
        <w:rPr>
          <w:color w:val="000000" w:themeColor="text1"/>
          <w:lang w:val="en-US"/>
        </w:rPr>
        <w:t xml:space="preserve">Figure </w:t>
      </w:r>
      <w:r w:rsidR="00ED354E" w:rsidRPr="00CF31E0">
        <w:rPr>
          <w:color w:val="000000" w:themeColor="text1"/>
          <w:lang w:val="en-US"/>
        </w:rPr>
        <w:t>2</w:t>
      </w:r>
      <w:r w:rsidRPr="00CF31E0">
        <w:rPr>
          <w:color w:val="000000" w:themeColor="text1"/>
          <w:lang w:val="en-US"/>
        </w:rPr>
        <w:t>.3</w:t>
      </w:r>
      <w:r w:rsidR="00177B62" w:rsidRPr="00CF31E0">
        <w:rPr>
          <w:color w:val="000000" w:themeColor="text1"/>
          <w:lang w:val="en-US"/>
        </w:rPr>
        <w:t xml:space="preserve">: </w:t>
      </w:r>
      <w:r w:rsidR="00B71FB6" w:rsidRPr="00CF31E0">
        <w:rPr>
          <w:color w:val="000000" w:themeColor="text1"/>
          <w:lang w:val="en-US"/>
        </w:rPr>
        <w:t>The Holy Mosque in 2017</w:t>
      </w:r>
      <w:r w:rsidR="005946F0" w:rsidRPr="00CF31E0">
        <w:rPr>
          <w:color w:val="000000" w:themeColor="text1"/>
          <w:lang w:val="en-US"/>
        </w:rPr>
        <w:t>.</w:t>
      </w:r>
      <w:bookmarkEnd w:id="95"/>
      <w:bookmarkEnd w:id="96"/>
      <w:bookmarkEnd w:id="97"/>
      <w:bookmarkEnd w:id="98"/>
      <w:bookmarkEnd w:id="99"/>
      <w:r w:rsidR="005946F0" w:rsidRPr="00CF31E0">
        <w:rPr>
          <w:color w:val="000000" w:themeColor="text1"/>
          <w:lang w:val="en-US"/>
        </w:rPr>
        <w:t xml:space="preserve"> </w:t>
      </w:r>
    </w:p>
    <w:p w14:paraId="3CFE06ED" w14:textId="7FA7ACC2" w:rsidR="005946F0" w:rsidRPr="00CF31E0" w:rsidRDefault="00177B62" w:rsidP="00603CB7">
      <w:pPr>
        <w:pStyle w:val="Figuresource"/>
        <w:spacing w:after="240"/>
      </w:pPr>
      <w:r w:rsidRPr="00CF31E0">
        <w:t>(</w:t>
      </w:r>
      <w:r w:rsidR="005946F0" w:rsidRPr="00CF31E0">
        <w:t>Adapted from</w:t>
      </w:r>
      <w:r w:rsidR="00B71FB6" w:rsidRPr="00CF31E0">
        <w:t xml:space="preserve"> </w:t>
      </w:r>
      <w:r w:rsidR="00B71FB6" w:rsidRPr="00CF31E0">
        <w:fldChar w:fldCharType="begin"/>
      </w:r>
      <w:r w:rsidR="00CD34CA" w:rsidRPr="00CF31E0">
        <w:instrText xml:space="preserve"> ADDIN ZOTERO_ITEM CSL_CITATION {"citationID":"uDhHPmed","properties":{"formattedCitation":"(\\uc0\\u8216{}The Holy mosque in Mecca\\uc0\\u8217{}, 2017)","plainCitation":"(‘The Holy mosque in Mecca’, 2017)","dontUpdate":true,"noteIndex":0},"citationItems":[{"id":462,"uris":["http://zotero.org/users/1939618/items/NPRCWEBY"],"uri":["http://zotero.org/users/1939618/items/NPRCWEBY"],"itemData":{"id":462,"type":"webpage","title":"The Holy mosque in Mecca","URL":"https://forums.haneenhob.com/hob3514.html","issued":{"date-parts":[["2017"]]},"accessed":{"date-parts":[["2018",4,16]]}}}],"schema":"https://github.com/citation-style-language/schema/raw/master/csl-citation.json"} </w:instrText>
      </w:r>
      <w:r w:rsidR="00B71FB6" w:rsidRPr="00CF31E0">
        <w:fldChar w:fldCharType="separate"/>
      </w:r>
      <w:r w:rsidR="00B15582" w:rsidRPr="00CF31E0">
        <w:rPr>
          <w:rFonts w:eastAsia="Times New Roman" w:hAnsiTheme="majorHAnsi"/>
        </w:rPr>
        <w:t>t</w:t>
      </w:r>
      <w:r w:rsidR="00B71FB6" w:rsidRPr="00CF31E0">
        <w:rPr>
          <w:rFonts w:eastAsia="Times New Roman" w:hAnsiTheme="majorHAnsi"/>
        </w:rPr>
        <w:t xml:space="preserve">he Holy </w:t>
      </w:r>
      <w:r w:rsidRPr="00CF31E0">
        <w:rPr>
          <w:rFonts w:eastAsia="Times New Roman" w:hAnsiTheme="majorHAnsi"/>
        </w:rPr>
        <w:t>M</w:t>
      </w:r>
      <w:r w:rsidR="00B71FB6" w:rsidRPr="00CF31E0">
        <w:rPr>
          <w:rFonts w:eastAsia="Times New Roman" w:hAnsiTheme="majorHAnsi"/>
        </w:rPr>
        <w:t xml:space="preserve">osque in </w:t>
      </w:r>
      <w:r w:rsidR="00D30B2F">
        <w:rPr>
          <w:rFonts w:eastAsia="Times New Roman" w:hAnsiTheme="majorHAnsi"/>
        </w:rPr>
        <w:t>Makkah</w:t>
      </w:r>
      <w:r w:rsidR="00B71FB6" w:rsidRPr="00CF31E0">
        <w:rPr>
          <w:rFonts w:eastAsia="Times New Roman" w:hAnsiTheme="majorHAnsi"/>
        </w:rPr>
        <w:t>, 2017)</w:t>
      </w:r>
      <w:r w:rsidR="00B71FB6" w:rsidRPr="00CF31E0">
        <w:fldChar w:fldCharType="end"/>
      </w:r>
    </w:p>
    <w:p w14:paraId="0DFD514B" w14:textId="0F16EDE6" w:rsidR="005946F0" w:rsidRPr="00CF31E0" w:rsidRDefault="004A4F80" w:rsidP="00603CB7">
      <w:pPr>
        <w:pStyle w:val="Paragraph"/>
        <w:rPr>
          <w:lang w:val="en-US"/>
        </w:rPr>
      </w:pPr>
      <w:r w:rsidRPr="00CF31E0">
        <w:rPr>
          <w:lang w:val="en-US"/>
        </w:rPr>
        <w:t xml:space="preserve">The above two </w:t>
      </w:r>
      <w:r w:rsidR="00177B62" w:rsidRPr="00CF31E0">
        <w:rPr>
          <w:lang w:val="en-US"/>
        </w:rPr>
        <w:t xml:space="preserve">photographs </w:t>
      </w:r>
      <w:r w:rsidRPr="00CF31E0">
        <w:rPr>
          <w:lang w:val="en-US"/>
        </w:rPr>
        <w:t xml:space="preserve">illustrate how </w:t>
      </w:r>
      <w:r w:rsidR="00177B62" w:rsidRPr="00CF31E0">
        <w:rPr>
          <w:lang w:val="en-US"/>
        </w:rPr>
        <w:t>visiting</w:t>
      </w:r>
      <w:r w:rsidRPr="00CF31E0">
        <w:rPr>
          <w:lang w:val="en-US"/>
        </w:rPr>
        <w:t xml:space="preserve"> </w:t>
      </w:r>
      <w:r w:rsidR="00D30B2F">
        <w:rPr>
          <w:lang w:val="en-US"/>
        </w:rPr>
        <w:t>Makkah</w:t>
      </w:r>
      <w:r w:rsidRPr="00CF31E0">
        <w:rPr>
          <w:lang w:val="en-US"/>
        </w:rPr>
        <w:t xml:space="preserve"> </w:t>
      </w:r>
      <w:r w:rsidR="00177B62" w:rsidRPr="00CF31E0">
        <w:rPr>
          <w:lang w:val="en-US"/>
        </w:rPr>
        <w:t>is now</w:t>
      </w:r>
      <w:r w:rsidRPr="00CF31E0">
        <w:rPr>
          <w:lang w:val="en-US"/>
        </w:rPr>
        <w:t xml:space="preserve"> m</w:t>
      </w:r>
      <w:r w:rsidR="000E5FFA" w:rsidRPr="00CF31E0">
        <w:rPr>
          <w:lang w:val="en-US"/>
        </w:rPr>
        <w:t>uch</w:t>
      </w:r>
      <w:r w:rsidR="002D078A" w:rsidRPr="00CF31E0">
        <w:rPr>
          <w:lang w:val="en-US"/>
        </w:rPr>
        <w:t xml:space="preserve"> easier than before</w:t>
      </w:r>
      <w:r w:rsidR="00A44C34" w:rsidRPr="00CF31E0">
        <w:rPr>
          <w:lang w:val="en-US"/>
        </w:rPr>
        <w:t xml:space="preserve">. In the following section, I will discuss how after the oil boom the </w:t>
      </w:r>
      <w:r w:rsidR="00F2472B" w:rsidRPr="00CF31E0">
        <w:rPr>
          <w:lang w:val="en-US"/>
        </w:rPr>
        <w:t>country</w:t>
      </w:r>
      <w:r w:rsidR="00A44C34" w:rsidRPr="00CF31E0">
        <w:rPr>
          <w:lang w:val="en-US"/>
        </w:rPr>
        <w:t xml:space="preserve"> </w:t>
      </w:r>
      <w:r w:rsidR="00D7428F" w:rsidRPr="00CF31E0">
        <w:rPr>
          <w:lang w:val="en-US"/>
        </w:rPr>
        <w:t xml:space="preserve">was subject to </w:t>
      </w:r>
      <w:r w:rsidR="00A44C34" w:rsidRPr="00CF31E0">
        <w:rPr>
          <w:lang w:val="en-US"/>
        </w:rPr>
        <w:t>two types of immigration</w:t>
      </w:r>
      <w:r w:rsidR="00D7428F" w:rsidRPr="00CF31E0">
        <w:rPr>
          <w:lang w:val="en-US"/>
        </w:rPr>
        <w:t xml:space="preserve">: </w:t>
      </w:r>
      <w:r w:rsidR="00A44C34" w:rsidRPr="00CF31E0">
        <w:rPr>
          <w:lang w:val="en-US"/>
        </w:rPr>
        <w:t>internal and external immigration</w:t>
      </w:r>
      <w:r w:rsidR="00D7428F" w:rsidRPr="00CF31E0">
        <w:rPr>
          <w:lang w:val="en-US"/>
        </w:rPr>
        <w:t>.</w:t>
      </w:r>
      <w:r w:rsidR="00A44C34" w:rsidRPr="00CF31E0">
        <w:rPr>
          <w:lang w:val="en-US"/>
        </w:rPr>
        <w:t xml:space="preserve"> </w:t>
      </w:r>
      <w:r w:rsidR="00D7428F" w:rsidRPr="00CF31E0">
        <w:rPr>
          <w:lang w:val="en-US"/>
        </w:rPr>
        <w:t xml:space="preserve">This will be </w:t>
      </w:r>
      <w:r w:rsidR="00A44C34" w:rsidRPr="00CF31E0">
        <w:rPr>
          <w:lang w:val="en-US"/>
        </w:rPr>
        <w:t xml:space="preserve">followed by </w:t>
      </w:r>
      <w:r w:rsidR="00D7428F" w:rsidRPr="00CF31E0">
        <w:rPr>
          <w:lang w:val="en-US"/>
        </w:rPr>
        <w:t xml:space="preserve">a discussion of </w:t>
      </w:r>
      <w:r w:rsidR="00A44C34" w:rsidRPr="00CF31E0">
        <w:rPr>
          <w:lang w:val="en-US"/>
        </w:rPr>
        <w:t xml:space="preserve">how immigration affected the make-up of Saudi society in general and Hijazi Saudi society in particular. </w:t>
      </w:r>
    </w:p>
    <w:p w14:paraId="683AAA34" w14:textId="7AA03B06" w:rsidR="00946AE3" w:rsidRPr="00CF31E0" w:rsidRDefault="00ED354E" w:rsidP="0061369D">
      <w:pPr>
        <w:pStyle w:val="Ahead"/>
        <w:rPr>
          <w:rFonts w:asciiTheme="majorBidi" w:hAnsiTheme="majorBidi"/>
        </w:rPr>
      </w:pPr>
      <w:bookmarkStart w:id="100" w:name="_Toc511728078"/>
      <w:bookmarkStart w:id="101" w:name="_Toc6472631"/>
      <w:r w:rsidRPr="00CF31E0">
        <w:t>2</w:t>
      </w:r>
      <w:r w:rsidR="00713A64" w:rsidRPr="00CF31E0">
        <w:t>.13.</w:t>
      </w:r>
      <w:r w:rsidR="00713A64" w:rsidRPr="00CF31E0">
        <w:tab/>
      </w:r>
      <w:r w:rsidR="00946AE3" w:rsidRPr="00CF31E0">
        <w:t xml:space="preserve">Internal </w:t>
      </w:r>
      <w:r w:rsidR="00D86F38" w:rsidRPr="00CF31E0">
        <w:t>migration</w:t>
      </w:r>
      <w:bookmarkEnd w:id="100"/>
      <w:bookmarkEnd w:id="101"/>
      <w:r w:rsidR="00A13CD4" w:rsidRPr="00CF31E0">
        <w:t xml:space="preserve"> </w:t>
      </w:r>
    </w:p>
    <w:p w14:paraId="5F3A3918" w14:textId="41A2E8FE" w:rsidR="00D86F38" w:rsidRPr="00CF31E0" w:rsidRDefault="00256567" w:rsidP="00603CB7">
      <w:pPr>
        <w:pStyle w:val="Paragraph"/>
        <w:rPr>
          <w:lang w:val="en-US"/>
        </w:rPr>
      </w:pPr>
      <w:r w:rsidRPr="00CF31E0">
        <w:rPr>
          <w:lang w:val="en-US"/>
        </w:rPr>
        <w:t xml:space="preserve">The </w:t>
      </w:r>
      <w:r w:rsidR="00362622" w:rsidRPr="00CF31E0">
        <w:rPr>
          <w:lang w:val="en-US"/>
        </w:rPr>
        <w:t>improvement</w:t>
      </w:r>
      <w:r w:rsidRPr="00CF31E0">
        <w:rPr>
          <w:lang w:val="en-US"/>
        </w:rPr>
        <w:t xml:space="preserve"> of </w:t>
      </w:r>
      <w:r w:rsidR="008B5356" w:rsidRPr="00CF31E0">
        <w:rPr>
          <w:lang w:val="en-US"/>
        </w:rPr>
        <w:t xml:space="preserve">the </w:t>
      </w:r>
      <w:r w:rsidR="00FF5758" w:rsidRPr="00CF31E0">
        <w:rPr>
          <w:lang w:val="en-US"/>
        </w:rPr>
        <w:t>countr</w:t>
      </w:r>
      <w:r w:rsidRPr="00CF31E0">
        <w:rPr>
          <w:lang w:val="en-US"/>
        </w:rPr>
        <w:t xml:space="preserve">y’s infrastructure has contributed massively </w:t>
      </w:r>
      <w:r w:rsidR="008B5356" w:rsidRPr="00CF31E0">
        <w:rPr>
          <w:lang w:val="en-US"/>
        </w:rPr>
        <w:t xml:space="preserve">to </w:t>
      </w:r>
      <w:r w:rsidRPr="00CF31E0">
        <w:rPr>
          <w:lang w:val="en-US"/>
        </w:rPr>
        <w:t xml:space="preserve">encouraging Bedouins to migrate to urban </w:t>
      </w:r>
      <w:r w:rsidR="003308BB" w:rsidRPr="00CF31E0">
        <w:rPr>
          <w:lang w:val="en-US"/>
        </w:rPr>
        <w:t>centers</w:t>
      </w:r>
      <w:r w:rsidRPr="00CF31E0">
        <w:rPr>
          <w:lang w:val="en-US"/>
        </w:rPr>
        <w:t xml:space="preserve">. </w:t>
      </w:r>
      <w:r w:rsidR="00D86F38" w:rsidRPr="00CF31E0">
        <w:rPr>
          <w:lang w:val="en-US"/>
        </w:rPr>
        <w:t>Af</w:t>
      </w:r>
      <w:r w:rsidR="007F5F65" w:rsidRPr="00CF31E0">
        <w:rPr>
          <w:lang w:val="en-US"/>
        </w:rPr>
        <w:t xml:space="preserve">ter the discovery of oil, </w:t>
      </w:r>
      <w:r w:rsidR="003C5E23" w:rsidRPr="00CF31E0">
        <w:rPr>
          <w:lang w:val="en-US"/>
        </w:rPr>
        <w:t>rural Bedouin</w:t>
      </w:r>
      <w:r w:rsidR="00A44C34" w:rsidRPr="00CF31E0">
        <w:rPr>
          <w:lang w:val="en-US"/>
        </w:rPr>
        <w:t>s</w:t>
      </w:r>
      <w:r w:rsidR="007F5F65" w:rsidRPr="00CF31E0">
        <w:rPr>
          <w:lang w:val="en-US"/>
        </w:rPr>
        <w:t xml:space="preserve"> in most parts of the </w:t>
      </w:r>
      <w:r w:rsidR="00FF5758" w:rsidRPr="00CF31E0">
        <w:rPr>
          <w:lang w:val="en-US"/>
        </w:rPr>
        <w:t>count</w:t>
      </w:r>
      <w:r w:rsidR="007F5F65" w:rsidRPr="00CF31E0">
        <w:rPr>
          <w:lang w:val="en-US"/>
        </w:rPr>
        <w:t>ry</w:t>
      </w:r>
      <w:r w:rsidR="00D86F38" w:rsidRPr="00CF31E0">
        <w:rPr>
          <w:lang w:val="en-US"/>
        </w:rPr>
        <w:t xml:space="preserve"> started to migrate from rural to urban areas</w:t>
      </w:r>
      <w:r w:rsidR="00CF582A" w:rsidRPr="00CF31E0">
        <w:rPr>
          <w:lang w:val="en-US"/>
        </w:rPr>
        <w:t xml:space="preserve">. </w:t>
      </w:r>
      <w:r w:rsidR="00D86F38" w:rsidRPr="00CF31E0">
        <w:rPr>
          <w:lang w:val="en-US"/>
        </w:rPr>
        <w:t>The main motivation underlying the migration was to seek work and obtain a better income than that available from farming and herding</w:t>
      </w:r>
      <w:r w:rsidRPr="00CF31E0">
        <w:rPr>
          <w:lang w:val="en-US"/>
        </w:rPr>
        <w:t xml:space="preserve"> as the economic system </w:t>
      </w:r>
      <w:r w:rsidR="003A7C48" w:rsidRPr="00CF31E0">
        <w:rPr>
          <w:lang w:val="en-US"/>
        </w:rPr>
        <w:t xml:space="preserve">had </w:t>
      </w:r>
      <w:r w:rsidRPr="00CF31E0">
        <w:rPr>
          <w:lang w:val="en-US"/>
        </w:rPr>
        <w:t>rapidly improved and the</w:t>
      </w:r>
      <w:r w:rsidR="003A7C48" w:rsidRPr="00CF31E0">
        <w:rPr>
          <w:lang w:val="en-US"/>
        </w:rPr>
        <w:t>re was a greater</w:t>
      </w:r>
      <w:r w:rsidRPr="00CF31E0">
        <w:rPr>
          <w:lang w:val="en-US"/>
        </w:rPr>
        <w:t xml:space="preserve"> need </w:t>
      </w:r>
      <w:r w:rsidR="003A7C48" w:rsidRPr="00CF31E0">
        <w:rPr>
          <w:lang w:val="en-US"/>
        </w:rPr>
        <w:t xml:space="preserve">employment in the </w:t>
      </w:r>
      <w:r w:rsidRPr="00CF31E0">
        <w:rPr>
          <w:lang w:val="en-US"/>
        </w:rPr>
        <w:t xml:space="preserve">workforce </w:t>
      </w:r>
      <w:r w:rsidR="0010784E" w:rsidRPr="00CF31E0">
        <w:rPr>
          <w:lang w:val="en-US"/>
        </w:rPr>
        <w:fldChar w:fldCharType="begin"/>
      </w:r>
      <w:r w:rsidR="00050E86" w:rsidRPr="00CF31E0">
        <w:rPr>
          <w:lang w:val="en-US"/>
        </w:rPr>
        <w:instrText xml:space="preserve"> ADDIN ZOTERO_ITEM CSL_CITATION {"citationID":"7fTGACSg","properties":{"formattedCitation":"(Al-But\\uc0\\u8217{}hie &amp; Eben Saleh, 2002a; Al-Hathloul &amp; Edadan, 1993)","plainCitation":"(Al-But’hie &amp; Eben Saleh, 2002a; Al-Hathloul &amp; Edadan, 1993)","noteIndex":0},"citationItems":[{"id":404,"uris":["http://zotero.org/users/1939618/items/54WYEM9K"],"uri":["http://zotero.org/users/1939618/items/54WYEM9K"],"itemData":{"id":404,"type":"article-journal","title":"Urban and industrial development planning as an approach for Saudi Arabia: the case study of Jubail and Yanbu","container-title":"Habitat International","page":"1-20","volume":"26","issue":"1","source":"CrossRef","DOI":"10.1016/S0197-3975(01)00026-1","ISSN":"01973975","shortTitle":"Urban and industrial development planning as an approach for Saudi Arabia","language":"en","author":[{"family":"Al-But’hie","given":"Ibrahim M"},{"family":"Eben Saleh","given":"Mohammad A"}],"issued":{"date-parts":[["2002",1]]}},"label":"page"},{"id":391,"uris":["http://zotero.org/users/1939618/items/DXRDLSL4"],"uri":["http://zotero.org/users/1939618/items/DXRDLSL4"],"itemData":{"id":391,"type":"article-journal","title":"Evolution of settlement pattern in Saudi Arabia: A historical analysis","container-title":"Habitat International","page":"31–46","volume":"17","issue":"4","source":"find.shef.ac.uk","abstract":"Historical growth of settlements in the Kingdom of Saudi Arabia has been significantly influenced by the ecological and institutional factors. The evolutionary process of settlement growth in the Kingdom could be classified into four distinct stages: the trade and pilgrim routes of the pre-national unification period, the sedentarisation process of the unification period, the oil discovery and extraction period of the early 1960s and the oil boom and development planning period of the 1970s. In spite of the distinct ecological and physical conditions of desert and arid environments and tribal structure of regions, certain notions and processes of historical evolution of settlements and growth dynamics could be generalised. This paper is an attempt to identify the institutional process of evolution and growth of settlements in the Kingdom of Saudi Arabia.","DOI":"10.1016/0197-3975(93)90027-A","ISSN":"0197-3975","shortTitle":"Evolution of settlement pattern in Saudi Arabia","language":"eng","author":[{"family":"Al-Hathloul","given":"Saleh"},{"family":"Edadan","given":"Narayanan"}],"issued":{"date-parts":[["1993"]]}},"label":"page"}],"schema":"https://github.com/citation-style-language/schema/raw/master/csl-citation.json"} </w:instrText>
      </w:r>
      <w:r w:rsidR="0010784E" w:rsidRPr="00CF31E0">
        <w:rPr>
          <w:lang w:val="en-US"/>
        </w:rPr>
        <w:fldChar w:fldCharType="separate"/>
      </w:r>
      <w:r w:rsidR="00050E86" w:rsidRPr="00CF31E0">
        <w:rPr>
          <w:rFonts w:eastAsia="Times New Roman" w:hAnsiTheme="majorHAnsi"/>
        </w:rPr>
        <w:t>(Al-But</w:t>
      </w:r>
      <w:r w:rsidR="00050E86" w:rsidRPr="00CF31E0">
        <w:rPr>
          <w:rFonts w:eastAsia="Times New Roman"/>
        </w:rPr>
        <w:t>’</w:t>
      </w:r>
      <w:r w:rsidR="00106FAF" w:rsidRPr="00CF31E0">
        <w:rPr>
          <w:rFonts w:eastAsia="Times New Roman" w:hAnsiTheme="majorHAnsi"/>
        </w:rPr>
        <w:t>hie &amp;</w:t>
      </w:r>
      <w:r w:rsidR="00354305" w:rsidRPr="00CF31E0">
        <w:rPr>
          <w:rFonts w:eastAsia="Times New Roman" w:hAnsiTheme="majorHAnsi"/>
        </w:rPr>
        <w:t xml:space="preserve"> Saleh, 2002</w:t>
      </w:r>
      <w:r w:rsidR="00050E86" w:rsidRPr="00CF31E0">
        <w:rPr>
          <w:rFonts w:eastAsia="Times New Roman" w:hAnsiTheme="majorHAnsi"/>
        </w:rPr>
        <w:t>; Al-Hathloul &amp; Edadan, 1993)</w:t>
      </w:r>
      <w:r w:rsidR="0010784E" w:rsidRPr="00CF31E0">
        <w:rPr>
          <w:lang w:val="en-US"/>
        </w:rPr>
        <w:fldChar w:fldCharType="end"/>
      </w:r>
      <w:r w:rsidR="00D86F38" w:rsidRPr="00CF31E0">
        <w:rPr>
          <w:lang w:val="en-US"/>
        </w:rPr>
        <w:t xml:space="preserve">. </w:t>
      </w:r>
      <w:r w:rsidR="00362622" w:rsidRPr="00CF31E0">
        <w:rPr>
          <w:lang w:val="en-US"/>
        </w:rPr>
        <w:t>Furthermore</w:t>
      </w:r>
      <w:r w:rsidRPr="00CF31E0">
        <w:rPr>
          <w:lang w:val="en-US"/>
        </w:rPr>
        <w:t xml:space="preserve">, as previously mentioned, the </w:t>
      </w:r>
      <w:r w:rsidR="00362622" w:rsidRPr="00CF31E0">
        <w:rPr>
          <w:lang w:val="en-US"/>
        </w:rPr>
        <w:lastRenderedPageBreak/>
        <w:t xml:space="preserve">availability of formal education in urban </w:t>
      </w:r>
      <w:r w:rsidR="003308BB" w:rsidRPr="00CF31E0">
        <w:rPr>
          <w:lang w:val="en-US"/>
        </w:rPr>
        <w:t>centers</w:t>
      </w:r>
      <w:r w:rsidR="003A7C48" w:rsidRPr="00CF31E0">
        <w:rPr>
          <w:lang w:val="en-US"/>
        </w:rPr>
        <w:t xml:space="preserve"> was a</w:t>
      </w:r>
      <w:r w:rsidR="00362622" w:rsidRPr="00CF31E0">
        <w:rPr>
          <w:lang w:val="en-US"/>
        </w:rPr>
        <w:t xml:space="preserve"> factor </w:t>
      </w:r>
      <w:r w:rsidR="003A7C48" w:rsidRPr="00CF31E0">
        <w:rPr>
          <w:lang w:val="en-US"/>
        </w:rPr>
        <w:t xml:space="preserve">motivating </w:t>
      </w:r>
      <w:r w:rsidR="00AC27C2" w:rsidRPr="00CF31E0">
        <w:rPr>
          <w:lang w:val="en-US"/>
        </w:rPr>
        <w:t>Bedouins to settle in cities</w:t>
      </w:r>
      <w:r w:rsidRPr="00CF31E0">
        <w:rPr>
          <w:lang w:val="en-US"/>
        </w:rPr>
        <w:t xml:space="preserve"> </w:t>
      </w:r>
      <w:r w:rsidR="00D86F38" w:rsidRPr="00CF31E0">
        <w:rPr>
          <w:lang w:val="en-US"/>
        </w:rPr>
        <w:fldChar w:fldCharType="begin"/>
      </w:r>
      <w:r w:rsidR="00A54129" w:rsidRPr="00CF31E0">
        <w:rPr>
          <w:lang w:val="en-US"/>
        </w:rPr>
        <w:instrText xml:space="preserve"> ADDIN ZOTERO_ITEM CSL_CITATION {"citationID":"mHFHYxaa","properties":{"formattedCitation":"(S. Hamdan, 1990, p. 59)","plainCitation":"(S. Hamdan, 1990, p. 59)","dontUpdate":true,"noteIndex":0},"citationItems":[{"id":200,"uris":["http://zotero.org/users/1939618/items/N5XRP2MU"],"uri":["http://zotero.org/users/1939618/items/N5XRP2MU"],"itemData":{"id":200,"type":"thesis","title":"Social change in the Saudi family (doctoral dissertation","publisher":"Iowa state University","source":"Google Scholar","URL":"http://lib.dr.iastate.edu/rtd/11187/","author":[{"family":"Hamdan","given":"Saeed"}],"issued":{"date-parts":[["1990"]]},"accessed":{"date-parts":[["2015",12,6]]}},"locator":"59","label":"page"}],"schema":"https://github.com/citation-style-language/schema/raw/master/csl-citation.json"} </w:instrText>
      </w:r>
      <w:r w:rsidR="00D86F38" w:rsidRPr="00CF31E0">
        <w:rPr>
          <w:lang w:val="en-US"/>
        </w:rPr>
        <w:fldChar w:fldCharType="separate"/>
      </w:r>
      <w:r w:rsidR="00C97AC2" w:rsidRPr="00CF31E0">
        <w:rPr>
          <w:noProof/>
          <w:lang w:val="en-US"/>
        </w:rPr>
        <w:t>(</w:t>
      </w:r>
      <w:r w:rsidR="00220818" w:rsidRPr="00CF31E0">
        <w:rPr>
          <w:noProof/>
          <w:lang w:val="en-US"/>
        </w:rPr>
        <w:t>Hamdan, 1990, p. 59)</w:t>
      </w:r>
      <w:r w:rsidR="00D86F38" w:rsidRPr="00CF31E0">
        <w:rPr>
          <w:lang w:val="en-US"/>
        </w:rPr>
        <w:fldChar w:fldCharType="end"/>
      </w:r>
      <w:r w:rsidR="00D86F38" w:rsidRPr="00CF31E0">
        <w:rPr>
          <w:lang w:val="en-US"/>
        </w:rPr>
        <w:t>.</w:t>
      </w:r>
    </w:p>
    <w:p w14:paraId="2CE11BF0" w14:textId="4D1C7E21" w:rsidR="00D86F38" w:rsidRPr="00CF31E0" w:rsidRDefault="00D86F38" w:rsidP="00603CB7">
      <w:pPr>
        <w:pStyle w:val="Paragraph"/>
        <w:rPr>
          <w:lang w:val="en-US"/>
        </w:rPr>
      </w:pPr>
      <w:r w:rsidRPr="00CF31E0">
        <w:rPr>
          <w:lang w:val="en-US"/>
        </w:rPr>
        <w:t xml:space="preserve">It was not easy for the nomads to change their lifestyle and become urbanized. </w:t>
      </w:r>
      <w:r w:rsidR="003A7C48" w:rsidRPr="00CF31E0">
        <w:rPr>
          <w:lang w:val="en-US"/>
        </w:rPr>
        <w:t>To encourage them to do</w:t>
      </w:r>
      <w:r w:rsidR="002C6268" w:rsidRPr="00CF31E0">
        <w:rPr>
          <w:lang w:val="en-US"/>
        </w:rPr>
        <w:t xml:space="preserve"> so, the government </w:t>
      </w:r>
      <w:r w:rsidRPr="00CF31E0">
        <w:rPr>
          <w:lang w:val="en-US"/>
        </w:rPr>
        <w:t xml:space="preserve">offered positions </w:t>
      </w:r>
      <w:r w:rsidR="002C6268" w:rsidRPr="00CF31E0">
        <w:rPr>
          <w:lang w:val="en-US"/>
        </w:rPr>
        <w:t xml:space="preserve">for rural Bedouins </w:t>
      </w:r>
      <w:r w:rsidRPr="00CF31E0">
        <w:rPr>
          <w:lang w:val="en-US"/>
        </w:rPr>
        <w:t>in the armed forces and the</w:t>
      </w:r>
      <w:r w:rsidR="002C6268" w:rsidRPr="00CF31E0">
        <w:rPr>
          <w:lang w:val="en-US"/>
        </w:rPr>
        <w:t xml:space="preserve"> police</w:t>
      </w:r>
      <w:r w:rsidR="00735158" w:rsidRPr="00CF31E0">
        <w:rPr>
          <w:lang w:val="en-US"/>
        </w:rPr>
        <w:t xml:space="preserve"> with good salaries</w:t>
      </w:r>
      <w:r w:rsidR="00203C2C" w:rsidRPr="00CF31E0">
        <w:rPr>
          <w:lang w:val="en-US"/>
        </w:rPr>
        <w:t>,</w:t>
      </w:r>
      <w:r w:rsidR="002C6268" w:rsidRPr="00CF31E0">
        <w:rPr>
          <w:lang w:val="en-US"/>
        </w:rPr>
        <w:t xml:space="preserve"> which encouraged them</w:t>
      </w:r>
      <w:r w:rsidRPr="00CF31E0">
        <w:rPr>
          <w:lang w:val="en-US"/>
        </w:rPr>
        <w:t xml:space="preserve"> to leave their tribes </w:t>
      </w:r>
      <w:r w:rsidR="002C6268" w:rsidRPr="00CF31E0">
        <w:rPr>
          <w:lang w:val="en-US"/>
        </w:rPr>
        <w:t xml:space="preserve">behind </w:t>
      </w:r>
      <w:r w:rsidRPr="00CF31E0">
        <w:rPr>
          <w:lang w:val="en-US"/>
        </w:rPr>
        <w:t xml:space="preserve">and head to the cities. The government offered very good </w:t>
      </w:r>
      <w:r w:rsidR="00203C2C" w:rsidRPr="00CF31E0">
        <w:rPr>
          <w:lang w:val="en-US"/>
        </w:rPr>
        <w:t xml:space="preserve">salaries </w:t>
      </w:r>
      <w:r w:rsidRPr="00CF31E0">
        <w:rPr>
          <w:lang w:val="en-US"/>
        </w:rPr>
        <w:t xml:space="preserve">for the aforementioned positions, which </w:t>
      </w:r>
      <w:r w:rsidR="00E932DE" w:rsidRPr="00CF31E0">
        <w:rPr>
          <w:lang w:val="en-US"/>
        </w:rPr>
        <w:t xml:space="preserve">were </w:t>
      </w:r>
      <w:r w:rsidRPr="00CF31E0">
        <w:rPr>
          <w:lang w:val="en-US"/>
        </w:rPr>
        <w:t>higher in relative terms than what the Bedouins earned from farming and herding</w:t>
      </w:r>
      <w:r w:rsidR="002C6268" w:rsidRPr="00CF31E0">
        <w:rPr>
          <w:lang w:val="en-US"/>
        </w:rPr>
        <w:t xml:space="preserve"> in rural parts of the </w:t>
      </w:r>
      <w:r w:rsidR="00FF5758" w:rsidRPr="00CF31E0">
        <w:rPr>
          <w:lang w:val="en-US"/>
        </w:rPr>
        <w:t>count</w:t>
      </w:r>
      <w:r w:rsidR="002C6268" w:rsidRPr="00CF31E0">
        <w:rPr>
          <w:lang w:val="en-US"/>
        </w:rPr>
        <w:t>ry</w:t>
      </w:r>
      <w:r w:rsidRPr="00CF31E0">
        <w:rPr>
          <w:lang w:val="en-US"/>
        </w:rPr>
        <w:t xml:space="preserve">. Moreover, the Saudi royal family </w:t>
      </w:r>
      <w:r w:rsidR="00E932DE" w:rsidRPr="00CF31E0">
        <w:rPr>
          <w:lang w:val="en-US"/>
        </w:rPr>
        <w:t xml:space="preserve">allocated subsidies to </w:t>
      </w:r>
      <w:r w:rsidRPr="00CF31E0">
        <w:rPr>
          <w:lang w:val="en-US"/>
        </w:rPr>
        <w:t xml:space="preserve">the tribes as compensation for the income they lost from “raids and caravan dues” </w:t>
      </w:r>
      <w:r w:rsidRPr="00CF31E0">
        <w:rPr>
          <w:lang w:val="en-US"/>
        </w:rPr>
        <w:fldChar w:fldCharType="begin"/>
      </w:r>
      <w:r w:rsidR="00A54129" w:rsidRPr="00CF31E0">
        <w:rPr>
          <w:lang w:val="en-US"/>
        </w:rPr>
        <w:instrText xml:space="preserve"> ADDIN ZOTERO_ITEM CSL_CITATION {"citationID":"7SZF5WyJ","properties":{"formattedCitation":"(Vassiliev, 2013, p. 423)","plainCitation":"(Vassiliev, 2013, p. 423)","noteIndex":0},"citationItems":[{"id":"wgwhcNH1/1wsxkPUp","uris":["http://zotero.org/users/1939618/items/J7FJTNAK"],"uri":["http://zotero.org/users/1939618/items/J7FJTNAK"],"itemData":{"id":187,"type":"book","title":"The History of Saudi Arabia","publisher":"Saqi","source":"Google Scholar","URL":"https://books.google.co.uk/books?hl=en&amp;lr=&amp;id=lEIhBQAAQBAJ&amp;oi=fnd&amp;pg=PT4&amp;dq=the+history+of+saudi+arabia+&amp;ots=KPw-sFcBV8&amp;sig=XSuirszUvBi2yobrS_90JGFet1Q","author":[{"family":"Vassiliev","given":"Alexei"}],"issued":{"date-parts":[["2013"]]},"accessed":{"date-parts":[["2015",12,6]]}},"locator":"423","label":"page"}],"schema":"https://github.com/citation-style-language/schema/raw/master/csl-citation.json"} </w:instrText>
      </w:r>
      <w:r w:rsidRPr="00CF31E0">
        <w:rPr>
          <w:lang w:val="en-US"/>
        </w:rPr>
        <w:fldChar w:fldCharType="separate"/>
      </w:r>
      <w:r w:rsidR="00E44A3C" w:rsidRPr="00CF31E0">
        <w:rPr>
          <w:noProof/>
          <w:lang w:val="en-US"/>
        </w:rPr>
        <w:t>(Vassiliev, 2000</w:t>
      </w:r>
      <w:r w:rsidR="00A54129" w:rsidRPr="00CF31E0">
        <w:rPr>
          <w:noProof/>
          <w:lang w:val="en-US"/>
        </w:rPr>
        <w:t>, p. 423)</w:t>
      </w:r>
      <w:r w:rsidRPr="00CF31E0">
        <w:rPr>
          <w:lang w:val="en-US"/>
        </w:rPr>
        <w:fldChar w:fldCharType="end"/>
      </w:r>
      <w:r w:rsidRPr="00CF31E0">
        <w:rPr>
          <w:lang w:val="en-US"/>
        </w:rPr>
        <w:t>.</w:t>
      </w:r>
    </w:p>
    <w:p w14:paraId="48F0D297" w14:textId="19ABA0C8" w:rsidR="00D86F38" w:rsidRPr="00CF31E0" w:rsidRDefault="002C6268" w:rsidP="00603CB7">
      <w:pPr>
        <w:pStyle w:val="Paragraph"/>
        <w:rPr>
          <w:lang w:val="en-US"/>
        </w:rPr>
      </w:pPr>
      <w:r w:rsidRPr="00CF31E0">
        <w:rPr>
          <w:lang w:val="en-US"/>
        </w:rPr>
        <w:t xml:space="preserve">Another facet of </w:t>
      </w:r>
      <w:r w:rsidR="00E932DE" w:rsidRPr="00CF31E0">
        <w:rPr>
          <w:lang w:val="en-US"/>
        </w:rPr>
        <w:t xml:space="preserve">the </w:t>
      </w:r>
      <w:r w:rsidRPr="00CF31E0">
        <w:rPr>
          <w:lang w:val="en-US"/>
        </w:rPr>
        <w:t>Saudi government effort</w:t>
      </w:r>
      <w:r w:rsidR="00B86C13" w:rsidRPr="00CF31E0">
        <w:rPr>
          <w:lang w:val="en-US"/>
        </w:rPr>
        <w:t>s was that the government</w:t>
      </w:r>
      <w:r w:rsidR="00D86F38" w:rsidRPr="00CF31E0">
        <w:rPr>
          <w:lang w:val="en-US"/>
        </w:rPr>
        <w:t xml:space="preserve"> started Bedouin settlement projects in large cities</w:t>
      </w:r>
      <w:r w:rsidR="00E932DE" w:rsidRPr="00CF31E0">
        <w:rPr>
          <w:lang w:val="en-US"/>
        </w:rPr>
        <w:t xml:space="preserve"> </w:t>
      </w:r>
      <w:r w:rsidR="00D86F38" w:rsidRPr="00CF31E0">
        <w:rPr>
          <w:lang w:val="en-US"/>
        </w:rPr>
        <w:fldChar w:fldCharType="begin"/>
      </w:r>
      <w:r w:rsidR="00D86F38" w:rsidRPr="00CF31E0">
        <w:rPr>
          <w:lang w:val="en-US"/>
        </w:rPr>
        <w:instrText xml:space="preserve"> ADDIN ZOTERO_ITEM CSL_CITATION {"citationID":"dsXUImMq","properties":{"formattedCitation":"(Al-Hathloul &amp; Edadan, 1993)","plainCitation":"(Al-Hathloul &amp; Edadan, 1993)","noteIndex":0},"citationItems":[{"id":391,"uris":["http://zotero.org/users/1939618/items/DXRDLSL4"],"uri":["http://zotero.org/users/1939618/items/DXRDLSL4"],"itemData":{"id":391,"type":"article-journal","title":"Evolution of settlement pattern in Saudi Arabia: A historical analysis","container-title":"Habitat International","page":"31–46","volume":"17","issue":"4","source":"find.shef.ac.uk","abstract":"Historical growth of settlements in the Kingdom of Saudi Arabia has been significantly influenced by the ecological and institutional factors. The evolutionary process of settlement growth in the Kingdom could be classified into four distinct stages: the trade and pilgrim routes of the pre-national unification period, the sedentarisation process of the unification period, the oil discovery and extraction period of the early 1960s and the oil boom and development planning period of the 1970s. In spite of the distinct ecological and physical conditions of desert and arid environments and tribal structure of regions, certain notions and processes of historical evolution of settlements and growth dynamics could be generalised. This paper is an attempt to identify the institutional process of evolution and growth of settlements in the Kingdom of Saudi Arabia.","DOI":"10.1016/0197-3975(93)90027-A","ISSN":"0197-3975","shortTitle":"Evolution of settlement pattern in Saudi Arabia","language":"eng","author":[{"family":"Al-Hathloul","given":"Saleh"},{"family":"Edadan","given":"Narayanan"}],"issued":{"date-parts":[["1993"]]}}}],"schema":"https://github.com/citation-style-language/schema/raw/master/csl-citation.json"} </w:instrText>
      </w:r>
      <w:r w:rsidR="00D86F38" w:rsidRPr="00CF31E0">
        <w:rPr>
          <w:lang w:val="en-US"/>
        </w:rPr>
        <w:fldChar w:fldCharType="separate"/>
      </w:r>
      <w:r w:rsidR="00D86F38" w:rsidRPr="00CF31E0">
        <w:rPr>
          <w:noProof/>
          <w:lang w:val="en-US"/>
        </w:rPr>
        <w:t>(Al-Hathloul &amp; Edadan, 1993)</w:t>
      </w:r>
      <w:r w:rsidR="00D86F38" w:rsidRPr="00CF31E0">
        <w:rPr>
          <w:lang w:val="en-US"/>
        </w:rPr>
        <w:fldChar w:fldCharType="end"/>
      </w:r>
      <w:r w:rsidR="00D86F38" w:rsidRPr="00CF31E0">
        <w:rPr>
          <w:lang w:val="en-US"/>
        </w:rPr>
        <w:t>. The entire infrastructure needed for such settlements was provided by the government, such as hospitals, schools, a water supply and electricity service</w:t>
      </w:r>
      <w:r w:rsidR="00E932DE" w:rsidRPr="00CF31E0">
        <w:rPr>
          <w:lang w:val="en-US"/>
        </w:rPr>
        <w:t>,</w:t>
      </w:r>
      <w:r w:rsidR="00B86C13" w:rsidRPr="00CF31E0">
        <w:rPr>
          <w:lang w:val="en-US"/>
        </w:rPr>
        <w:t xml:space="preserve"> as previously mentioned in section</w:t>
      </w:r>
      <w:r w:rsidR="000934AC" w:rsidRPr="00CF31E0">
        <w:rPr>
          <w:lang w:val="en-US"/>
        </w:rPr>
        <w:t xml:space="preserve"> </w:t>
      </w:r>
      <w:r w:rsidR="00ED354E" w:rsidRPr="00CF31E0">
        <w:rPr>
          <w:lang w:val="en-US"/>
        </w:rPr>
        <w:t>2</w:t>
      </w:r>
      <w:r w:rsidR="000934AC" w:rsidRPr="00CF31E0">
        <w:rPr>
          <w:lang w:val="en-US"/>
        </w:rPr>
        <w:t>.9.</w:t>
      </w:r>
      <w:r w:rsidR="00D86F38" w:rsidRPr="00CF31E0">
        <w:rPr>
          <w:lang w:val="en-US"/>
        </w:rPr>
        <w:t xml:space="preserve"> As a result, Bedouins </w:t>
      </w:r>
      <w:r w:rsidR="00E932DE" w:rsidRPr="00CF31E0">
        <w:rPr>
          <w:lang w:val="en-US"/>
        </w:rPr>
        <w:t xml:space="preserve">began </w:t>
      </w:r>
      <w:r w:rsidR="00D86F38" w:rsidRPr="00CF31E0">
        <w:rPr>
          <w:lang w:val="en-US"/>
        </w:rPr>
        <w:t xml:space="preserve">to prefer living in urban cities rather than in rural places </w:t>
      </w:r>
      <w:r w:rsidR="00D86F38" w:rsidRPr="00CF31E0">
        <w:rPr>
          <w:lang w:val="en-US"/>
        </w:rPr>
        <w:fldChar w:fldCharType="begin"/>
      </w:r>
      <w:r w:rsidR="00A54129" w:rsidRPr="00CF31E0">
        <w:rPr>
          <w:lang w:val="en-US"/>
        </w:rPr>
        <w:instrText xml:space="preserve"> ADDIN ZOTERO_ITEM CSL_CITATION {"citationID":"eEiIQhaV","properties":{"formattedCitation":"(Al-But\\uc0\\u8217{}hie &amp; Eben Saleh, 2002b)","plainCitation":"(Al-But’hie &amp; Eben Saleh, 2002b)","noteIndex":0},"citationItems":[{"id":"wgwhcNH1/vqt06INZ","uris":["http://zotero.org/users/1939618/items/EPRFYX4E"],"uri":["http://zotero.org/users/1939618/items/EPRFYX4E"],"itemData":{"id":401,"type":"article-journal","title":"Urban and industrial development planning as an approach for Saudi Arabia: the case study of Jubail and Yanbu","container-title":"Habitat International","page":"1–20","volume":"26","issue":"1","source":"find.shef.ac.uk","abstract":"During the last thirty years, the Saudi government has widely employed massive oil resources to enhance urban and industrial development. This was crowned by two giant urban and industrial projects in Jubail and Yanbu. The planning efforts attempt to provide the means to control and manage the industrial development and the physical growth of the two communities. In order to achieve a set of planning objectives, the Saudi government employed two independent planning commissions known as the Royal Commission for Jubail and Yanbu (RCJY). These commissions undertook the responsibility to plan, build and manage two large-scale industrial cities. The system of Commissions and Higher Committees was followed and still practised in the planning of airports, seaports, universities, medical cities and residential neighborhoods. The paper attempts to review analytically various planning processes, which was adopted by some known agencies in Saudi Arabia. By examining these processes one would hope to draw key lessons which can be used by professionals as well as students in the field of planning in Saudi Arabia.","DOI":"10.1016/S0197-3975(01)00026-1","ISSN":"0197-3975","shortTitle":"Urban and industrial development planning as an approach for Saudi Arabia","language":"eng","author":[{"family":"Al-But’hie","given":"Ibrahim M."},{"family":"Eben Saleh","given":"Mohammad A."}],"issued":{"date-parts":[["2002"]]}}}],"schema":"https://github.com/citation-style-language/schema/raw/master/csl-citation.json"} </w:instrText>
      </w:r>
      <w:r w:rsidR="00D86F38" w:rsidRPr="00CF31E0">
        <w:rPr>
          <w:lang w:val="en-US"/>
        </w:rPr>
        <w:fldChar w:fldCharType="separate"/>
      </w:r>
      <w:r w:rsidR="00050E86" w:rsidRPr="00CF31E0">
        <w:rPr>
          <w:rFonts w:eastAsia="Times New Roman" w:hAnsiTheme="majorHAnsi"/>
        </w:rPr>
        <w:t>(Al-But</w:t>
      </w:r>
      <w:r w:rsidR="00050E86" w:rsidRPr="00CF31E0">
        <w:rPr>
          <w:rFonts w:eastAsia="Times New Roman"/>
        </w:rPr>
        <w:t>’</w:t>
      </w:r>
      <w:r w:rsidR="00106FAF" w:rsidRPr="00CF31E0">
        <w:rPr>
          <w:rFonts w:eastAsia="Times New Roman" w:hAnsiTheme="majorHAnsi"/>
        </w:rPr>
        <w:t>hie &amp;</w:t>
      </w:r>
      <w:r w:rsidR="00354305" w:rsidRPr="00CF31E0">
        <w:rPr>
          <w:rFonts w:eastAsia="Times New Roman" w:hAnsiTheme="majorHAnsi"/>
        </w:rPr>
        <w:t xml:space="preserve"> Saleh, 2002</w:t>
      </w:r>
      <w:r w:rsidR="00050E86" w:rsidRPr="00CF31E0">
        <w:rPr>
          <w:rFonts w:eastAsia="Times New Roman" w:hAnsiTheme="majorHAnsi"/>
        </w:rPr>
        <w:t>)</w:t>
      </w:r>
      <w:r w:rsidR="00D86F38" w:rsidRPr="00CF31E0">
        <w:rPr>
          <w:lang w:val="en-US"/>
        </w:rPr>
        <w:fldChar w:fldCharType="end"/>
      </w:r>
      <w:r w:rsidR="00D86F38" w:rsidRPr="00CF31E0">
        <w:rPr>
          <w:lang w:val="en-US"/>
        </w:rPr>
        <w:t>. They found that the quality of life was much better in all aspects</w:t>
      </w:r>
      <w:r w:rsidR="00E932DE" w:rsidRPr="00CF31E0">
        <w:rPr>
          <w:lang w:val="en-US"/>
        </w:rPr>
        <w:t>,</w:t>
      </w:r>
      <w:r w:rsidR="00D86F38" w:rsidRPr="00CF31E0">
        <w:rPr>
          <w:lang w:val="en-US"/>
        </w:rPr>
        <w:t xml:space="preserve"> such as the economic, social and medical aspects </w:t>
      </w:r>
      <w:r w:rsidR="00D86F38" w:rsidRPr="00CF31E0">
        <w:rPr>
          <w:lang w:val="en-US"/>
        </w:rPr>
        <w:fldChar w:fldCharType="begin"/>
      </w:r>
      <w:r w:rsidR="00A54129" w:rsidRPr="00CF31E0">
        <w:rPr>
          <w:lang w:val="en-US"/>
        </w:rPr>
        <w:instrText xml:space="preserve"> ADDIN ZOTERO_ITEM CSL_CITATION {"citationID":"brWPB4BU","properties":{"formattedCitation":"(S. Hamdan, 1990, p. 61)","plainCitation":"(S. Hamdan, 1990, p. 61)","noteIndex":0},"citationItems":[{"id":200,"uris":["http://zotero.org/users/1939618/items/N5XRP2MU"],"uri":["http://zotero.org/users/1939618/items/N5XRP2MU"],"itemData":{"id":200,"type":"thesis","title":"Social change in the Saudi family (doctoral dissertation","publisher":"Iowa state University","source":"Google Scholar","URL":"http://lib.dr.iastate.edu/rtd/11187/","author":[{"family":"Hamdan","given":"Saeed"}],"issued":{"date-parts":[["1990"]]},"accessed":{"date-parts":[["2015",12,6]]}},"locator":"61","label":"page"}],"schema":"https://github.com/citation-style-language/schema/raw/master/csl-citation.json"} </w:instrText>
      </w:r>
      <w:r w:rsidR="00D86F38" w:rsidRPr="00CF31E0">
        <w:rPr>
          <w:lang w:val="en-US"/>
        </w:rPr>
        <w:fldChar w:fldCharType="separate"/>
      </w:r>
      <w:r w:rsidR="00C97AC2" w:rsidRPr="00CF31E0">
        <w:rPr>
          <w:noProof/>
          <w:lang w:val="en-US"/>
        </w:rPr>
        <w:t>(</w:t>
      </w:r>
      <w:r w:rsidR="00220818" w:rsidRPr="00CF31E0">
        <w:rPr>
          <w:noProof/>
          <w:lang w:val="en-US"/>
        </w:rPr>
        <w:t>Hamdan, 1990, p. 61)</w:t>
      </w:r>
      <w:r w:rsidR="00D86F38" w:rsidRPr="00CF31E0">
        <w:rPr>
          <w:lang w:val="en-US"/>
        </w:rPr>
        <w:fldChar w:fldCharType="end"/>
      </w:r>
      <w:r w:rsidR="00D86F38" w:rsidRPr="00CF31E0">
        <w:rPr>
          <w:lang w:val="en-US"/>
        </w:rPr>
        <w:t>.</w:t>
      </w:r>
    </w:p>
    <w:p w14:paraId="7C1CF19D" w14:textId="7A9BA922" w:rsidR="00D86F38" w:rsidRPr="00CF31E0" w:rsidRDefault="00D86F38" w:rsidP="00603CB7">
      <w:pPr>
        <w:pStyle w:val="Paragraph"/>
        <w:rPr>
          <w:lang w:val="en-US"/>
        </w:rPr>
      </w:pPr>
      <w:r w:rsidRPr="00CF31E0">
        <w:rPr>
          <w:lang w:val="en-US"/>
        </w:rPr>
        <w:t xml:space="preserve">To encourage the contact of </w:t>
      </w:r>
      <w:r w:rsidR="00B86C13" w:rsidRPr="00CF31E0">
        <w:rPr>
          <w:lang w:val="en-US"/>
        </w:rPr>
        <w:t xml:space="preserve">rural </w:t>
      </w:r>
      <w:r w:rsidRPr="00CF31E0">
        <w:rPr>
          <w:lang w:val="en-US"/>
        </w:rPr>
        <w:t>Bedouins with settlers, in the 1950s and 1960s the government encouraged cars to be sold to the Bedouins, so that they could use cars and trucks instead of camels as a means of transport</w:t>
      </w:r>
      <w:r w:rsidR="00370C59" w:rsidRPr="00CF31E0">
        <w:rPr>
          <w:lang w:val="en-US"/>
        </w:rPr>
        <w:t xml:space="preserve"> to urban centers</w:t>
      </w:r>
      <w:r w:rsidRPr="00CF31E0">
        <w:rPr>
          <w:lang w:val="en-US"/>
        </w:rPr>
        <w:t xml:space="preserve">. Meanwhile, the government offered numerous grants and gifts to the Sheiks (i.e. ruler) of the tribes, so they could buy trucks and cars for the members of their tribes </w:t>
      </w:r>
      <w:r w:rsidRPr="00CF31E0">
        <w:rPr>
          <w:lang w:val="en-US"/>
        </w:rPr>
        <w:fldChar w:fldCharType="begin"/>
      </w:r>
      <w:r w:rsidR="00A54129" w:rsidRPr="00CF31E0">
        <w:rPr>
          <w:lang w:val="en-US"/>
        </w:rPr>
        <w:instrText xml:space="preserve"> ADDIN ZOTERO_ITEM CSL_CITATION {"citationID":"HsoFSU1z","properties":{"formattedCitation":"(Vassiliev, 2013, p. 422)","plainCitation":"(Vassiliev, 2013, p. 422)","noteIndex":0},"citationItems":[{"id":"wgwhcNH1/1wsxkPUp","uris":["http://zotero.org/users/1939618/items/J7FJTNAK"],"uri":["http://zotero.org/users/1939618/items/J7FJTNAK"],"itemData":{"id":187,"type":"book","title":"The History of Saudi Arabia","publisher":"Saqi","source":"Google Scholar","URL":"https://books.google.co.uk/books?hl=en&amp;lr=&amp;id=lEIhBQAAQBAJ&amp;oi=fnd&amp;pg=PT4&amp;dq=the+history+of+saudi+arabia+&amp;ots=KPw-sFcBV8&amp;sig=XSuirszUvBi2yobrS_90JGFet1Q","author":[{"family":"Vassiliev","given":"Alexei"}],"issued":{"date-parts":[["2013"]]},"accessed":{"date-parts":[["2015",12,6]]}},"locator":"422","label":"page"}],"schema":"https://github.com/citation-style-language/schema/raw/master/csl-citation.json"} </w:instrText>
      </w:r>
      <w:r w:rsidRPr="00CF31E0">
        <w:rPr>
          <w:lang w:val="en-US"/>
        </w:rPr>
        <w:fldChar w:fldCharType="separate"/>
      </w:r>
      <w:r w:rsidR="00E44A3C" w:rsidRPr="00CF31E0">
        <w:rPr>
          <w:noProof/>
          <w:lang w:val="en-US"/>
        </w:rPr>
        <w:t>(Vassiliev, 2000</w:t>
      </w:r>
      <w:r w:rsidR="00A54129" w:rsidRPr="00CF31E0">
        <w:rPr>
          <w:noProof/>
          <w:lang w:val="en-US"/>
        </w:rPr>
        <w:t>, p. 422)</w:t>
      </w:r>
      <w:r w:rsidRPr="00CF31E0">
        <w:rPr>
          <w:lang w:val="en-US"/>
        </w:rPr>
        <w:fldChar w:fldCharType="end"/>
      </w:r>
      <w:r w:rsidRPr="00CF31E0">
        <w:rPr>
          <w:lang w:val="en-US"/>
        </w:rPr>
        <w:t xml:space="preserve">. </w:t>
      </w:r>
    </w:p>
    <w:p w14:paraId="01F46688" w14:textId="73A63589" w:rsidR="00D86F38" w:rsidRPr="00CF31E0" w:rsidRDefault="00D86F38" w:rsidP="00603CB7">
      <w:pPr>
        <w:pStyle w:val="Paragraph"/>
        <w:rPr>
          <w:lang w:val="en-US"/>
        </w:rPr>
      </w:pPr>
      <w:r w:rsidRPr="00CF31E0">
        <w:rPr>
          <w:lang w:val="en-US"/>
        </w:rPr>
        <w:t>In regard to ARAMCO’S efforts</w:t>
      </w:r>
      <w:r w:rsidR="00D64561" w:rsidRPr="00CF31E0">
        <w:rPr>
          <w:lang w:val="en-US"/>
        </w:rPr>
        <w:t xml:space="preserve"> to encourage settlement</w:t>
      </w:r>
      <w:r w:rsidRPr="00CF31E0">
        <w:rPr>
          <w:lang w:val="en-US"/>
        </w:rPr>
        <w:t>,</w:t>
      </w:r>
      <w:r w:rsidR="00370C59" w:rsidRPr="00CF31E0">
        <w:rPr>
          <w:lang w:val="en-US"/>
        </w:rPr>
        <w:t xml:space="preserve"> the company employed the rural Bedouins</w:t>
      </w:r>
      <w:r w:rsidRPr="00CF31E0">
        <w:rPr>
          <w:lang w:val="en-US"/>
        </w:rPr>
        <w:t xml:space="preserve"> to fulfil two types of positions: first, as guides in the desert on oil extracting investigations; second, as unskilled workers such as drivers</w:t>
      </w:r>
      <w:r w:rsidR="00370C59" w:rsidRPr="00CF31E0">
        <w:rPr>
          <w:lang w:val="en-US"/>
        </w:rPr>
        <w:t xml:space="preserve"> to work in it</w:t>
      </w:r>
      <w:r w:rsidR="000F51C8" w:rsidRPr="00CF31E0">
        <w:rPr>
          <w:lang w:val="en-US"/>
        </w:rPr>
        <w:t>s</w:t>
      </w:r>
      <w:r w:rsidR="00370C59" w:rsidRPr="00CF31E0">
        <w:rPr>
          <w:lang w:val="en-US"/>
        </w:rPr>
        <w:t xml:space="preserve"> two </w:t>
      </w:r>
      <w:r w:rsidR="000F51C8" w:rsidRPr="00CF31E0">
        <w:rPr>
          <w:lang w:val="en-US"/>
        </w:rPr>
        <w:t xml:space="preserve">main </w:t>
      </w:r>
      <w:r w:rsidR="00370C59" w:rsidRPr="00CF31E0">
        <w:rPr>
          <w:lang w:val="en-US"/>
        </w:rPr>
        <w:t xml:space="preserve">branches; </w:t>
      </w:r>
      <w:r w:rsidR="000F51C8" w:rsidRPr="00CF31E0">
        <w:rPr>
          <w:lang w:val="en-US"/>
        </w:rPr>
        <w:t>in Dharan city (i.e. in Eastern province) and in Jeddah city (i.e. in Western province)</w:t>
      </w:r>
      <w:r w:rsidRPr="00CF31E0">
        <w:rPr>
          <w:lang w:val="en-US"/>
        </w:rPr>
        <w:t xml:space="preserve">. While the most important positions in ARAMCO were held by contracted workers, at </w:t>
      </w:r>
      <w:r w:rsidRPr="00CF31E0">
        <w:rPr>
          <w:lang w:val="en-US"/>
        </w:rPr>
        <w:lastRenderedPageBreak/>
        <w:t xml:space="preserve">the same time ARAMCO needed a large workforce, which could not be brought from outside the </w:t>
      </w:r>
      <w:r w:rsidR="00F2472B" w:rsidRPr="00CF31E0">
        <w:rPr>
          <w:lang w:val="en-US"/>
        </w:rPr>
        <w:t>country</w:t>
      </w:r>
      <w:r w:rsidRPr="00CF31E0">
        <w:rPr>
          <w:lang w:val="en-US"/>
        </w:rPr>
        <w:t xml:space="preserve">. Since the positions to be filled by the workforce did not need education or experience, ARAMCO attempted to recruit </w:t>
      </w:r>
      <w:r w:rsidR="00155D2B" w:rsidRPr="00CF31E0">
        <w:rPr>
          <w:lang w:val="en-US"/>
        </w:rPr>
        <w:t xml:space="preserve">rural </w:t>
      </w:r>
      <w:r w:rsidRPr="00CF31E0">
        <w:rPr>
          <w:lang w:val="en-US"/>
        </w:rPr>
        <w:t xml:space="preserve">Bedouins to fulfil positions such as guards, drivers and electricians. Later on, ARAMCO set up particular schools and training courses to improve the workforce so that they could hold more specialized positions. It is important to mention that the salary that ARAMCO gives its workers is relatively high because the company’s profits are high and have exceeded the predicted profits level </w:t>
      </w:r>
      <w:r w:rsidRPr="00CF31E0">
        <w:rPr>
          <w:lang w:val="en-US"/>
        </w:rPr>
        <w:fldChar w:fldCharType="begin"/>
      </w:r>
      <w:r w:rsidR="00A54129" w:rsidRPr="00CF31E0">
        <w:rPr>
          <w:lang w:val="en-US"/>
        </w:rPr>
        <w:instrText xml:space="preserve"> ADDIN ZOTERO_ITEM CSL_CITATION {"citationID":"sdra8rkk2","properties":{"formattedCitation":"(S. Hamdan, 1990; Vassiliev, 2000)","plainCitation":"(S. Hamdan, 1990; Vassiliev, 2000)","noteIndex":0},"citationItems":[{"id":200,"uris":["http://zotero.org/users/1939618/items/N5XRP2MU"],"uri":["http://zotero.org/users/1939618/items/N5XRP2MU"],"itemData":{"id":200,"type":"thesis","title":"Social change in the Saudi family (doctoral dissertation","publisher":"Iowa state University","source":"Google Scholar","URL":"http://lib.dr.iastate.edu/rtd/11187/","author":[{"family":"Hamdan","given":"Saeed"}],"issued":{"date-parts":[["1990"]]},"accessed":{"date-parts":[["2015",12,6]]}},"label":"page"},{"id":173,"uris":["http://zotero.org/users/1939618/items/6I5BC846"],"uri":["http://zotero.org/users/1939618/items/6I5BC846"],"itemData":{"id":173,"type":"book","title":"The History of Saudi Arabia","publisher":"Saqi","publisher-place":"London","source":"Google Scholar","event-place":"London","URL":"https://books.google.co.uk/books?hl=en&amp;lr=&amp;id=lEIhBQAAQBAJ&amp;oi=fnd&amp;pg=PT4&amp;dq=Vassiliev,+A.+(2013).+The+History+of+Saudi+Arabia.+London,+Saqi+books.+&amp;ots=KPwVsHcASb&amp;sig=oVibAvTA79h5vqAaHDXY7YS9H7I","author":[{"family":"Vassiliev","given":"Alexei"}],"issued":{"date-parts":[["2000"]]},"accessed":{"date-parts":[["2015",9,28]]}},"label":"page"}],"schema":"https://github.com/citation-style-language/schema/raw/master/csl-citation.json"} </w:instrText>
      </w:r>
      <w:r w:rsidRPr="00CF31E0">
        <w:rPr>
          <w:lang w:val="en-US"/>
        </w:rPr>
        <w:fldChar w:fldCharType="separate"/>
      </w:r>
      <w:r w:rsidR="00C97AC2" w:rsidRPr="00CF31E0">
        <w:rPr>
          <w:noProof/>
          <w:lang w:val="en-US"/>
        </w:rPr>
        <w:t>(</w:t>
      </w:r>
      <w:r w:rsidR="00A54129" w:rsidRPr="00CF31E0">
        <w:rPr>
          <w:noProof/>
          <w:lang w:val="en-US"/>
        </w:rPr>
        <w:t>Hamdan, 1990; Vassiliev, 2000)</w:t>
      </w:r>
      <w:r w:rsidRPr="00CF31E0">
        <w:rPr>
          <w:lang w:val="en-US"/>
        </w:rPr>
        <w:fldChar w:fldCharType="end"/>
      </w:r>
      <w:r w:rsidRPr="00CF31E0">
        <w:rPr>
          <w:lang w:val="en-US"/>
        </w:rPr>
        <w:t>.</w:t>
      </w:r>
    </w:p>
    <w:p w14:paraId="7EBCD9EB" w14:textId="7A5914D3" w:rsidR="00FD493F" w:rsidRPr="00CF31E0" w:rsidRDefault="00D86F38" w:rsidP="00603CB7">
      <w:pPr>
        <w:pStyle w:val="Paragraph"/>
        <w:rPr>
          <w:lang w:val="en-US"/>
        </w:rPr>
      </w:pPr>
      <w:r w:rsidRPr="00CF31E0">
        <w:rPr>
          <w:lang w:val="en-US"/>
        </w:rPr>
        <w:t xml:space="preserve">In 1950, 26.1% of ARAMCO’s positions were held by skilled workers who earned more than officials, policemen, and six times that of the other unskilled workers in the </w:t>
      </w:r>
      <w:r w:rsidR="00F2472B" w:rsidRPr="00CF31E0">
        <w:rPr>
          <w:lang w:val="en-US"/>
        </w:rPr>
        <w:t>country</w:t>
      </w:r>
      <w:r w:rsidRPr="00CF31E0">
        <w:rPr>
          <w:lang w:val="en-US"/>
        </w:rPr>
        <w:t xml:space="preserve">. In 1971, 83% of ARAMCO’s staff were Saudis; </w:t>
      </w:r>
      <w:r w:rsidR="007175D2" w:rsidRPr="00CF31E0">
        <w:rPr>
          <w:lang w:val="en-US"/>
        </w:rPr>
        <w:t>remarkably</w:t>
      </w:r>
      <w:r w:rsidRPr="00CF31E0">
        <w:rPr>
          <w:lang w:val="en-US"/>
        </w:rPr>
        <w:t xml:space="preserve">, 59.4% were geologists, engineers, technicians, doctors, and laboratory assistants. Thus, the number of skilled </w:t>
      </w:r>
      <w:r w:rsidR="00FD493F" w:rsidRPr="00CF31E0">
        <w:rPr>
          <w:lang w:val="en-US"/>
        </w:rPr>
        <w:t xml:space="preserve">workers increased dramatically </w:t>
      </w:r>
      <w:r w:rsidR="00FD493F" w:rsidRPr="00CF31E0">
        <w:rPr>
          <w:lang w:val="en-US"/>
        </w:rPr>
        <w:fldChar w:fldCharType="begin"/>
      </w:r>
      <w:r w:rsidR="00A54129" w:rsidRPr="00CF31E0">
        <w:rPr>
          <w:lang w:val="en-US"/>
        </w:rPr>
        <w:instrText xml:space="preserve"> ADDIN ZOTERO_ITEM CSL_CITATION {"citationID":"I1ohrOLe","properties":{"formattedCitation":"(Vassiliev, 2000, p. 425)","plainCitation":"(Vassiliev, 2000, p. 425)","noteIndex":0},"citationItems":[{"id":173,"uris":["http://zotero.org/users/1939618/items/6I5BC846"],"uri":["http://zotero.org/users/1939618/items/6I5BC846"],"itemData":{"id":173,"type":"book","title":"The History of Saudi Arabia","publisher":"Saqi","publisher-place":"London","source":"Google Scholar","event-place":"London","URL":"https://books.google.co.uk/books?hl=en&amp;lr=&amp;id=lEIhBQAAQBAJ&amp;oi=fnd&amp;pg=PT4&amp;dq=Vassiliev,+A.+(2013).+The+History+of+Saudi+Arabia.+London,+Saqi+books.+&amp;ots=KPwVsHcASb&amp;sig=oVibAvTA79h5vqAaHDXY7YS9H7I","author":[{"family":"Vassiliev","given":"Alexei"}],"issued":{"date-parts":[["2000"]]},"accessed":{"date-parts":[["2015",9,28]]}},"locator":"425","label":"page"}],"schema":"https://github.com/citation-style-language/schema/raw/master/csl-citation.json"} </w:instrText>
      </w:r>
      <w:r w:rsidR="00FD493F" w:rsidRPr="00CF31E0">
        <w:rPr>
          <w:lang w:val="en-US"/>
        </w:rPr>
        <w:fldChar w:fldCharType="separate"/>
      </w:r>
      <w:r w:rsidR="00A54129" w:rsidRPr="00CF31E0">
        <w:rPr>
          <w:noProof/>
          <w:lang w:val="en-US"/>
        </w:rPr>
        <w:t>(Vassiliev, 2000, p. 425)</w:t>
      </w:r>
      <w:r w:rsidR="00FD493F" w:rsidRPr="00CF31E0">
        <w:rPr>
          <w:lang w:val="en-US"/>
        </w:rPr>
        <w:fldChar w:fldCharType="end"/>
      </w:r>
      <w:r w:rsidR="00FD493F" w:rsidRPr="00CF31E0">
        <w:rPr>
          <w:lang w:val="en-US"/>
        </w:rPr>
        <w:t>.</w:t>
      </w:r>
    </w:p>
    <w:p w14:paraId="610AFDBB" w14:textId="4680D717" w:rsidR="00946AE3" w:rsidRPr="00CF31E0" w:rsidRDefault="00ED354E" w:rsidP="0061369D">
      <w:pPr>
        <w:pStyle w:val="Ahead"/>
      </w:pPr>
      <w:bookmarkStart w:id="102" w:name="_Toc511728079"/>
      <w:bookmarkStart w:id="103" w:name="_Toc6472632"/>
      <w:r w:rsidRPr="00CF31E0">
        <w:t>2</w:t>
      </w:r>
      <w:r w:rsidR="00713A64" w:rsidRPr="00CF31E0">
        <w:t>.14.</w:t>
      </w:r>
      <w:r w:rsidR="00713A64" w:rsidRPr="00CF31E0">
        <w:tab/>
      </w:r>
      <w:r w:rsidR="00946AE3" w:rsidRPr="00CF31E0">
        <w:t>External migration</w:t>
      </w:r>
      <w:bookmarkEnd w:id="102"/>
      <w:bookmarkEnd w:id="103"/>
      <w:r w:rsidR="00946AE3" w:rsidRPr="00CF31E0">
        <w:t xml:space="preserve"> </w:t>
      </w:r>
    </w:p>
    <w:p w14:paraId="535F3864" w14:textId="499B5684" w:rsidR="006365FF" w:rsidRPr="00CF31E0" w:rsidRDefault="00CF3B0F" w:rsidP="000E0E79">
      <w:pPr>
        <w:pStyle w:val="Paragraph"/>
        <w:rPr>
          <w:lang w:val="en-US"/>
        </w:rPr>
      </w:pPr>
      <w:r w:rsidRPr="00CF31E0">
        <w:t>The oil discovery in SA in 1938 resulted in more rapid urbani</w:t>
      </w:r>
      <w:r w:rsidR="005D0894" w:rsidRPr="00CF31E0">
        <w:t>zation</w:t>
      </w:r>
      <w:r w:rsidRPr="00CF31E0">
        <w:t xml:space="preserve"> in all aspects of life </w:t>
      </w:r>
      <w:r w:rsidRPr="00CF31E0">
        <w:fldChar w:fldCharType="begin"/>
      </w:r>
      <w:r w:rsidR="00A54129" w:rsidRPr="00CF31E0">
        <w:instrText xml:space="preserve"> ADDIN ZOTERO_ITEM CSL_CITATION {"citationID":"IM214t2S","properties":{"formattedCitation":"(Cordesman, 2003; Wynbrandt, 2010)","plainCitation":"(Cordesman, 2003; Wynbrandt, 2010)","noteIndex":0},"citationItems":[{"id":"wgwhcNH1/M7OONjvz","uris":["http://zotero.org/users/1939618/items/2GT7RHQB"],"uri":["http://zotero.org/users/1939618/items/2GT7RHQB"],"itemData":{"id":420,"type":"book","title":"Saudi Arabia Enters the Twenty-first Century: The military and international security dimensions","publisher":"Greenwood Publishing Group","number-of-pages":"436","source":"Google Books","abstract":"With the continuing importance of Saudi Arabia in regional and world politics, the current and future effectiveness of the Saudi military carries increased significance. Despite recent strains in relations with the U.S., particularly in light of the role Saudis played in the events of September 11, 2001, the Kingdom remains America's key Arab ally. Cordesman studies the challenges faced by the Saudis from both their allies and their potential enemies to assess Saudi Arabia's ability to forge a better approach to collective security in the Gulf and to create more stable long-term security arrangements with the U.S. and other Western Powers. This assessment of Saudi Arabia's strategic position includes a full-scale analysis of Saudi military forces, defense expenditures, arms imports, military modernization, readiness and war fighting capability. It examines both the cooperation and tension with other Southern Gulf States. It explores the implications of the conventional military build-up and creeping proliferation of weapons of mass destruction in the Gulf and the resulting changes in Saudi Arabia's security position. All of these factors have critical implications for stability within the Kingdom, within the Gulf, as well as in the broader global context.","ISBN":"978-0-275-97997-3","shortTitle":"Saudi Arabia Enters the Twenty-first Century","language":"en","author":[{"family":"Cordesman","given":"Anthony H."}],"issued":{"date-parts":[["2003"]]}},"label":"page"},{"id":416,"uris":["http://zotero.org/users/1939618/items/I5XM9GKJ"],"uri":["http://zotero.org/users/1939618/items/I5XM9GKJ"],"itemData":{"id":416,"type":"book","title":"A Brief History of Saudi Arabia","publisher":"Infobase Publishing","publisher-place":"New York, NY","number-of-pages":"385","edition":"2nd edition","source":"Google Books","event-place":"New York, NY","abstract":"In recent years Saudi Arabia has experienced changes that have both altered the internal structure of the country and affected its foreign relations. Women have gained additional civil rights; the educational system has been overhauled in an attempt to generate a skilled workforce that can enter the competitive global market; and international concern regarding terrorists within Saudi Arabia's borders has prompted an aggressive response from King Abdullah.Yet despite economic, social, and political improvements, the country still faces turmoil from continued conflict in the Middle East. And as the birthplace of Islam, Saudi Arabia must find a way to balance its religious authority with the demands of a modern society. From Saudi Arabia's pre-Islamic history to the events of today, A Brief History of Saudi Arabia, Second Edition offers a balanced, informative perspective on the country's long history.Coverage includes-Pre-Islamic Arabia-Bedouin society and culture-The birth and spread of Islam-The development of and philosophy behind Wahhabism-The origins of the House of Saud-Saudi Arabia's role in the Middle East-Saudi Arabia's relationship to the United States-The battle between conservative and progressive elements in the monarchy today-The reign of King AbdullahBasic facts, a chronology, a bibliography, and a list of suggested reading make up the appendixes.","ISBN":"978-0-8160-7876-9","note":"Google-Books-ID: eZkIXdsZpPsC","language":"en","author":[{"family":"Wynbrandt","given":"James"}],"issued":{"date-parts":[["2010"]]}},"label":"page"}],"schema":"https://github.com/citation-style-language/schema/raw/master/csl-citation.json"} </w:instrText>
      </w:r>
      <w:r w:rsidRPr="00CF31E0">
        <w:fldChar w:fldCharType="separate"/>
      </w:r>
      <w:r w:rsidRPr="00CF31E0">
        <w:rPr>
          <w:noProof/>
        </w:rPr>
        <w:t>(Cordesman, 2003; Wynbrandt, 2010)</w:t>
      </w:r>
      <w:r w:rsidRPr="00CF31E0">
        <w:fldChar w:fldCharType="end"/>
      </w:r>
      <w:r w:rsidRPr="00CF31E0">
        <w:t>. Such rapid urbani</w:t>
      </w:r>
      <w:r w:rsidR="005D0894" w:rsidRPr="00CF31E0">
        <w:t>zation</w:t>
      </w:r>
      <w:r w:rsidRPr="00CF31E0">
        <w:t xml:space="preserve"> required skilled workers and educated people to work in the agricultural, educational, and industrial sectors</w:t>
      </w:r>
      <w:r w:rsidR="000E0E79" w:rsidRPr="00CF31E0">
        <w:t xml:space="preserve"> </w:t>
      </w:r>
      <w:r w:rsidR="000E0E79" w:rsidRPr="00CF31E0">
        <w:rPr>
          <w:lang w:val="en-US"/>
        </w:rPr>
        <w:fldChar w:fldCharType="begin"/>
      </w:r>
      <w:r w:rsidR="000E0E79" w:rsidRPr="00CF31E0">
        <w:rPr>
          <w:lang w:val="en-US"/>
        </w:rPr>
        <w:instrText xml:space="preserve"> ADDIN ZOTERO_ITEM CSL_CITATION {"citationID":"VehdJQ71","properties":{"formattedCitation":"(S. Hamdan, 1990, p. 21)","plainCitation":"(S. Hamdan, 1990, p. 21)","noteIndex":0},"citationItems":[{"id":200,"uris":["http://zotero.org/users/1939618/items/N5XRP2MU"],"uri":["http://zotero.org/users/1939618/items/N5XRP2MU"],"itemData":{"id":200,"type":"thesis","title":"Social change in the Saudi family (doctoral dissertation","publisher":"Iowa state University","source":"Google Scholar","URL":"http://lib.dr.iastate.edu/rtd/11187/","author":[{"family":"Hamdan","given":"Saeed"}],"issued":{"date-parts":[["1990"]]},"accessed":{"date-parts":[["2015",12,6]]}},"locator":"21","label":"page"}],"schema":"https://github.com/citation-style-language/schema/raw/master/csl-citation.json"} </w:instrText>
      </w:r>
      <w:r w:rsidR="000E0E79" w:rsidRPr="00CF31E0">
        <w:rPr>
          <w:lang w:val="en-US"/>
        </w:rPr>
        <w:fldChar w:fldCharType="separate"/>
      </w:r>
      <w:r w:rsidR="000E0E79" w:rsidRPr="00CF31E0">
        <w:rPr>
          <w:noProof/>
          <w:lang w:val="en-US"/>
        </w:rPr>
        <w:t>(Hamdan, 1990, p. 21)</w:t>
      </w:r>
      <w:r w:rsidR="000E0E79" w:rsidRPr="00CF31E0">
        <w:rPr>
          <w:lang w:val="en-US"/>
        </w:rPr>
        <w:fldChar w:fldCharType="end"/>
      </w:r>
      <w:r w:rsidRPr="00CF31E0">
        <w:t xml:space="preserve">. </w:t>
      </w:r>
      <w:r w:rsidR="006365FF" w:rsidRPr="00CF31E0">
        <w:t xml:space="preserve">At that time, </w:t>
      </w:r>
      <w:r w:rsidR="006365FF" w:rsidRPr="00CF31E0">
        <w:rPr>
          <w:lang w:val="en-US"/>
        </w:rPr>
        <w:t xml:space="preserve">SA attracted many skilled and unskilled workers from both Arab and non-Arab origins to work and settle in the </w:t>
      </w:r>
      <w:r w:rsidR="00FF5758" w:rsidRPr="00CF31E0">
        <w:rPr>
          <w:lang w:val="en-US"/>
        </w:rPr>
        <w:t>count</w:t>
      </w:r>
      <w:r w:rsidR="006365FF" w:rsidRPr="00CF31E0">
        <w:rPr>
          <w:lang w:val="en-US"/>
        </w:rPr>
        <w:t>ry</w:t>
      </w:r>
      <w:r w:rsidR="00386A56" w:rsidRPr="00CF31E0">
        <w:rPr>
          <w:lang w:val="en-US"/>
        </w:rPr>
        <w:t xml:space="preserve"> </w:t>
      </w:r>
      <w:r w:rsidR="00386A56" w:rsidRPr="00CF31E0">
        <w:rPr>
          <w:lang w:val="en-US"/>
        </w:rPr>
        <w:fldChar w:fldCharType="begin"/>
      </w:r>
      <w:r w:rsidR="00A54129" w:rsidRPr="00CF31E0">
        <w:rPr>
          <w:lang w:val="en-US"/>
        </w:rPr>
        <w:instrText xml:space="preserve"> ADDIN ZOTERO_ITEM CSL_CITATION {"citationID":"pszmBk9d","properties":{"formattedCitation":"(Al-But\\uc0\\u8217{}hie &amp; Eben Saleh, 2002a; S. Hamdan, 1990; Saleh, 1995; Vassiliev, 2000)","plainCitation":"(Al-But’hie &amp; Eben Saleh, 2002a; S. Hamdan, 1990; Saleh, 1995; Vassiliev, 2000)","noteIndex":0},"citationItems":[{"id":404,"uris":["http://zotero.org/users/1939618/items/54WYEM9K"],"uri":["http://zotero.org/users/1939618/items/54WYEM9K"],"itemData":{"id":404,"type":"article-journal","title":"Urban and industrial development planning as an approach for Saudi Arabia: the case study of Jubail and Yanbu","container-title":"Habitat International","page":"1-20","volume":"26","issue":"1","source":"CrossRef","DOI":"10.1016/S0197-3975(01)00026-1","ISSN":"01973975","shortTitle":"Urban and industrial development planning as an approach for Saudi Arabia","language":"en","author":[{"family":"Al-But’hie","given":"Ibrahim M"},{"family":"Eben Saleh","given":"Mohammad A"}],"issued":{"date-parts":[["2002",1]]}},"label":"page"},{"id":200,"uris":["http://zotero.org/users/1939618/items/N5XRP2MU"],"uri":["http://zotero.org/users/1939618/items/N5XRP2MU"],"itemData":{"id":200,"type":"thesis","title":"Social change in the Saudi family (doctoral dissertation","publisher":"Iowa state University","source":"Google Scholar","URL":"http://lib.dr.iastate.edu/rtd/11187/","author":[{"family":"Hamdan","given":"Saeed"}],"issued":{"date-parts":[["1990"]]},"accessed":{"date-parts":[["2015",12,6]]}},"label":"page"},{"id":162,"uris":["http://zotero.org/users/1939618/items/KPMEW6RV"],"uri":["http://zotero.org/users/1939618/items/KPMEW6RV"],"itemData":{"id":162,"type":"article-journal","title":"Tribalism, genealogy and the development of Al-Alkhalaf: A traditional settlement in southwestern Saudi Arabia","container-title":"Habitat International","page":"547–570","volume":"19","issue":"4","source":"Google Scholar","shortTitle":"Tribalism, genealogy and the development of Al-Alkhalaf","author":[{"family":"Saleh","given":"Mohammed Abdullah Eben"}],"issued":{"date-parts":[["1995"]]}},"label":"page"},{"id":173,"uris":["http://zotero.org/users/1939618/items/6I5BC846"],"uri":["http://zotero.org/users/1939618/items/6I5BC846"],"itemData":{"id":173,"type":"book","title":"The History of Saudi Arabia","publisher":"Saqi","publisher-place":"London","source":"Google Scholar","event-place":"London","URL":"https://books.google.co.uk/books?hl=en&amp;lr=&amp;id=lEIhBQAAQBAJ&amp;oi=fnd&amp;pg=PT4&amp;dq=Vassiliev,+A.+(2013).+The+History+of+Saudi+Arabia.+London,+Saqi+books.+&amp;ots=KPwVsHcASb&amp;sig=oVibAvTA79h5vqAaHDXY7YS9H7I","author":[{"family":"Vassiliev","given":"Alexei"}],"issued":{"date-parts":[["2000"]]},"accessed":{"date-parts":[["2015",9,28]]}},"label":"page"}],"schema":"https://github.com/citation-style-language/schema/raw/master/csl-citation.json"} </w:instrText>
      </w:r>
      <w:r w:rsidR="00386A56" w:rsidRPr="00CF31E0">
        <w:rPr>
          <w:lang w:val="en-US"/>
        </w:rPr>
        <w:fldChar w:fldCharType="separate"/>
      </w:r>
      <w:r w:rsidR="00A54129" w:rsidRPr="00CF31E0">
        <w:rPr>
          <w:rFonts w:eastAsia="Times New Roman" w:hAnsiTheme="majorHAnsi"/>
        </w:rPr>
        <w:t>(Al-But</w:t>
      </w:r>
      <w:r w:rsidR="00A54129" w:rsidRPr="00CF31E0">
        <w:rPr>
          <w:rFonts w:eastAsia="Times New Roman"/>
        </w:rPr>
        <w:t>’</w:t>
      </w:r>
      <w:r w:rsidR="00354305" w:rsidRPr="00CF31E0">
        <w:rPr>
          <w:rFonts w:eastAsia="Times New Roman" w:hAnsiTheme="majorHAnsi"/>
        </w:rPr>
        <w:t>hie &amp;</w:t>
      </w:r>
      <w:r w:rsidR="008E0008" w:rsidRPr="00CF31E0">
        <w:rPr>
          <w:rFonts w:eastAsia="Times New Roman" w:hAnsiTheme="majorHAnsi"/>
        </w:rPr>
        <w:t xml:space="preserve"> Saleh, 2002</w:t>
      </w:r>
      <w:r w:rsidR="00C97AC2" w:rsidRPr="00CF31E0">
        <w:rPr>
          <w:rFonts w:eastAsia="Times New Roman" w:hAnsiTheme="majorHAnsi"/>
        </w:rPr>
        <w:t xml:space="preserve">; </w:t>
      </w:r>
      <w:r w:rsidR="00A54129" w:rsidRPr="00CF31E0">
        <w:rPr>
          <w:rFonts w:eastAsia="Times New Roman" w:hAnsiTheme="majorHAnsi"/>
        </w:rPr>
        <w:t>Hamdan, 1990; Saleh, 1995; Vassiliev, 2000)</w:t>
      </w:r>
      <w:r w:rsidR="00386A56" w:rsidRPr="00CF31E0">
        <w:rPr>
          <w:lang w:val="en-US"/>
        </w:rPr>
        <w:fldChar w:fldCharType="end"/>
      </w:r>
      <w:r w:rsidR="00F10BDB" w:rsidRPr="00CF31E0">
        <w:rPr>
          <w:lang w:val="en-US"/>
        </w:rPr>
        <w:t>.</w:t>
      </w:r>
    </w:p>
    <w:p w14:paraId="6B918D0A" w14:textId="1346E732" w:rsidR="00CF3B0F" w:rsidRPr="00CF31E0" w:rsidRDefault="004729C4" w:rsidP="00603CB7">
      <w:pPr>
        <w:pStyle w:val="Paragraph"/>
        <w:rPr>
          <w:lang w:val="en-US"/>
        </w:rPr>
      </w:pPr>
      <w:r w:rsidRPr="00CF31E0">
        <w:rPr>
          <w:lang w:val="en-US"/>
        </w:rPr>
        <w:t>With regard</w:t>
      </w:r>
      <w:r w:rsidR="00B44F5D" w:rsidRPr="00CF31E0">
        <w:rPr>
          <w:lang w:val="en-US"/>
        </w:rPr>
        <w:t>s</w:t>
      </w:r>
      <w:r w:rsidRPr="00CF31E0">
        <w:rPr>
          <w:lang w:val="en-US"/>
        </w:rPr>
        <w:t xml:space="preserve"> to</w:t>
      </w:r>
      <w:r w:rsidR="00764D01" w:rsidRPr="00CF31E0">
        <w:rPr>
          <w:lang w:val="en-US"/>
        </w:rPr>
        <w:t xml:space="preserve"> the</w:t>
      </w:r>
      <w:r w:rsidRPr="00CF31E0">
        <w:rPr>
          <w:lang w:val="en-US"/>
        </w:rPr>
        <w:t xml:space="preserve"> </w:t>
      </w:r>
      <w:r w:rsidR="00CF3B0F" w:rsidRPr="00CF31E0">
        <w:rPr>
          <w:lang w:val="en-US"/>
        </w:rPr>
        <w:t>Hijaz</w:t>
      </w:r>
      <w:r w:rsidRPr="00CF31E0">
        <w:rPr>
          <w:lang w:val="en-US"/>
        </w:rPr>
        <w:t xml:space="preserve"> region, it</w:t>
      </w:r>
      <w:r w:rsidR="00CF3B0F" w:rsidRPr="00CF31E0">
        <w:rPr>
          <w:lang w:val="en-US"/>
        </w:rPr>
        <w:t xml:space="preserve"> presented a golden opportunity for pilgrims to stay there and work since its </w:t>
      </w:r>
      <w:r w:rsidR="00713954" w:rsidRPr="00CF31E0">
        <w:rPr>
          <w:lang w:val="en-US"/>
        </w:rPr>
        <w:t>native population</w:t>
      </w:r>
      <w:r w:rsidR="00CF3B0F" w:rsidRPr="00CF31E0">
        <w:rPr>
          <w:lang w:val="en-US"/>
        </w:rPr>
        <w:t xml:space="preserve"> were not able to hold skilled positions. </w:t>
      </w:r>
      <w:r w:rsidR="00CF3B0F" w:rsidRPr="00CF31E0">
        <w:t xml:space="preserve">Thus, </w:t>
      </w:r>
      <w:r w:rsidR="00584698" w:rsidRPr="00CF31E0">
        <w:rPr>
          <w:lang w:val="en-US"/>
        </w:rPr>
        <w:t xml:space="preserve">the settlers contributed </w:t>
      </w:r>
      <w:r w:rsidR="00713954" w:rsidRPr="00CF31E0">
        <w:rPr>
          <w:lang w:val="en-US"/>
        </w:rPr>
        <w:t xml:space="preserve">to </w:t>
      </w:r>
      <w:r w:rsidR="00584698" w:rsidRPr="00CF31E0">
        <w:rPr>
          <w:lang w:val="en-US"/>
        </w:rPr>
        <w:t xml:space="preserve">the population </w:t>
      </w:r>
      <w:r w:rsidR="00713954" w:rsidRPr="00CF31E0">
        <w:rPr>
          <w:lang w:val="en-US"/>
        </w:rPr>
        <w:t xml:space="preserve">increase </w:t>
      </w:r>
      <w:r w:rsidR="00CF3B0F" w:rsidRPr="00CF31E0">
        <w:rPr>
          <w:lang w:val="en-US"/>
        </w:rPr>
        <w:t xml:space="preserve">in </w:t>
      </w:r>
      <w:r w:rsidR="00713954" w:rsidRPr="00CF31E0">
        <w:rPr>
          <w:lang w:val="en-US"/>
        </w:rPr>
        <w:t xml:space="preserve">the </w:t>
      </w:r>
      <w:r w:rsidR="00CF3B0F" w:rsidRPr="00CF31E0">
        <w:rPr>
          <w:lang w:val="en-US"/>
        </w:rPr>
        <w:t xml:space="preserve">Hijaz region and </w:t>
      </w:r>
      <w:r w:rsidR="00713954" w:rsidRPr="00CF31E0">
        <w:rPr>
          <w:lang w:val="en-US"/>
        </w:rPr>
        <w:t xml:space="preserve">particularly </w:t>
      </w:r>
      <w:r w:rsidR="00CF3B0F" w:rsidRPr="00CF31E0">
        <w:rPr>
          <w:lang w:val="en-US"/>
        </w:rPr>
        <w:t xml:space="preserve">in </w:t>
      </w:r>
      <w:r w:rsidR="00D30B2F">
        <w:rPr>
          <w:lang w:val="en-US"/>
        </w:rPr>
        <w:t>Makkah</w:t>
      </w:r>
      <w:r w:rsidR="00CF3B0F" w:rsidRPr="00CF31E0">
        <w:rPr>
          <w:lang w:val="en-US"/>
        </w:rPr>
        <w:t xml:space="preserve">, Jeddah, and </w:t>
      </w:r>
      <w:r w:rsidR="0015785F" w:rsidRPr="00CF31E0">
        <w:rPr>
          <w:lang w:val="en-US"/>
        </w:rPr>
        <w:t>Al-Madina</w:t>
      </w:r>
      <w:r w:rsidR="00713954" w:rsidRPr="00CF31E0">
        <w:rPr>
          <w:lang w:val="en-US"/>
        </w:rPr>
        <w:t xml:space="preserve"> </w:t>
      </w:r>
      <w:r w:rsidR="00CF3B0F" w:rsidRPr="00CF31E0">
        <w:rPr>
          <w:lang w:val="en-US"/>
        </w:rPr>
        <w:fldChar w:fldCharType="begin"/>
      </w:r>
      <w:r w:rsidR="00A54129" w:rsidRPr="00CF31E0">
        <w:rPr>
          <w:lang w:val="en-US"/>
        </w:rPr>
        <w:instrText xml:space="preserve"> ADDIN ZOTERO_ITEM CSL_CITATION {"citationID":"PD1hNkBe","properties":{"formattedCitation":"(Al Bassam, 2012; Alkhraif, 2007b)","plainCitation":"(Al Bassam, 2012; Alkhraif, 2007b)","noteIndex":0},"citationItems":[{"id":250,"uris":["http://zotero.org/users/1939618/items/2KBE6VS6"],"uri":["http://zotero.org/users/1939618/items/2KBE6VS6"],"itemData":{"id":250,"type":"thesis","title":"Urbanisation and Migration in Saudi Arabia: The Case of Buraydah City (doctoral thesis)","publisher":"University of Leicester","source":"Google Scholar","URL":"https://lra.le.ac.uk/handle/2381/10152","shortTitle":"Urbanisation and Migration in Saudi Arabia","author":[{"family":"Al Bassam","given":"Ahmad Mohammad A."}],"issued":{"date-parts":[["2012"]]},"accessed":{"date-parts":[["2017",7,25]]}},"label":"page"},{"id":409,"uris":["http://zotero.org/users/1939618/items/QTZMLFSQ"],"uri":["http://zotero.org/users/1939618/items/QTZMLFSQ"],"itemData":{"id":409,"type":"book","title":"Urbanization and the growth of cities in Saudi Arabia during the period (1974-2004 )","publisher":"Kuwaiti Geographical Society (in Arabic)","publisher-place":"Kuwait","event-place":"Kuwait","author":[{"family":"Alkhraif","given":"R."}],"issued":{"literal":"2007b"}},"label":"page"}],"schema":"https://github.com/citation-style-language/schema/raw/master/csl-citation.json"} </w:instrText>
      </w:r>
      <w:r w:rsidR="00CF3B0F" w:rsidRPr="00CF31E0">
        <w:rPr>
          <w:lang w:val="en-US"/>
        </w:rPr>
        <w:fldChar w:fldCharType="separate"/>
      </w:r>
      <w:r w:rsidR="002262AC" w:rsidRPr="00CF31E0">
        <w:rPr>
          <w:rFonts w:eastAsia="Times New Roman" w:hAnsiTheme="majorHAnsi"/>
        </w:rPr>
        <w:t>(Al-</w:t>
      </w:r>
      <w:r w:rsidR="00CF3B0F" w:rsidRPr="00CF31E0">
        <w:rPr>
          <w:rFonts w:eastAsia="Times New Roman" w:hAnsiTheme="majorHAnsi"/>
        </w:rPr>
        <w:t>Bassam, 2012)</w:t>
      </w:r>
      <w:r w:rsidR="00CF3B0F" w:rsidRPr="00CF31E0">
        <w:rPr>
          <w:lang w:val="en-US"/>
        </w:rPr>
        <w:fldChar w:fldCharType="end"/>
      </w:r>
      <w:r w:rsidR="00CF3B0F" w:rsidRPr="00CF31E0">
        <w:rPr>
          <w:lang w:val="en-US"/>
        </w:rPr>
        <w:t xml:space="preserve">. </w:t>
      </w:r>
    </w:p>
    <w:p w14:paraId="0A0CC161" w14:textId="6F8F2AC2" w:rsidR="00C11BAE" w:rsidRPr="00CF31E0" w:rsidRDefault="00C11BAE" w:rsidP="00603CB7">
      <w:pPr>
        <w:pStyle w:val="Paragraph"/>
      </w:pPr>
      <w:r w:rsidRPr="00CF31E0">
        <w:rPr>
          <w:lang w:val="en-US"/>
        </w:rPr>
        <w:t xml:space="preserve">At that time, </w:t>
      </w:r>
      <w:r w:rsidR="00713954" w:rsidRPr="00CF31E0">
        <w:rPr>
          <w:lang w:val="en-US"/>
        </w:rPr>
        <w:t xml:space="preserve">obtaining </w:t>
      </w:r>
      <w:r w:rsidRPr="00CF31E0">
        <w:rPr>
          <w:lang w:val="en-US"/>
        </w:rPr>
        <w:t xml:space="preserve">Saudi nationality was much easier than </w:t>
      </w:r>
      <w:r w:rsidR="00713954" w:rsidRPr="00CF31E0">
        <w:rPr>
          <w:lang w:val="en-US"/>
        </w:rPr>
        <w:t xml:space="preserve">it is </w:t>
      </w:r>
      <w:r w:rsidRPr="00CF31E0">
        <w:rPr>
          <w:lang w:val="en-US"/>
        </w:rPr>
        <w:t>nowadays</w:t>
      </w:r>
      <w:r w:rsidRPr="00CF31E0">
        <w:t xml:space="preserve">. In 1953, </w:t>
      </w:r>
      <w:r w:rsidRPr="00CF31E0">
        <w:fldChar w:fldCharType="begin"/>
      </w:r>
      <w:r w:rsidR="00CD34CA" w:rsidRPr="00CF31E0">
        <w:instrText xml:space="preserve"> ADDIN ZOTERO_ITEM CSL_CITATION {"citationID":"aUhujDSS","properties":{"formattedCitation":"(Ministry of interior affairs, 1953)","plainCitation":"(Ministry of interior affairs, 1953)","dontUpdate":true,"noteIndex":0},"citationItems":[{"id":451,"uris":["http://zotero.org/users/1939618/items/8WZRH52Y"],"uri":["http://zotero.org/users/1939618/items/8WZRH52Y"],"itemData":{"id":451,"type":"webpage","title":"Saudi Nationality system","container-title":"https://www.moi.gov.sa/wps/wcm/connect/316362004d4bb7c28e05dfbed7ca8368/AR_saudi_nationality_system.pdf?MOD=AJPERES&amp;CACHEID=ROOTWORKSPACE-316362004d4bb7c28e05dfbed7ca8368-lDGneI.","language":"Arabic","author":[{"family":"Ministry of interior affairs","given":""}],"issued":{"date-parts":[["1953"]]},"accessed":{"date-parts":[["2018",11,4]]}}}],"schema":"https://github.com/citation-style-language/schema/raw/master/csl-citation.json"} </w:instrText>
      </w:r>
      <w:r w:rsidRPr="00CF31E0">
        <w:fldChar w:fldCharType="separate"/>
      </w:r>
      <w:r w:rsidR="00713954" w:rsidRPr="00CF31E0">
        <w:rPr>
          <w:noProof/>
        </w:rPr>
        <w:t>the</w:t>
      </w:r>
      <w:r w:rsidR="007D1384" w:rsidRPr="00CF31E0">
        <w:rPr>
          <w:noProof/>
        </w:rPr>
        <w:t xml:space="preserve"> </w:t>
      </w:r>
      <w:r w:rsidRPr="00CF31E0">
        <w:rPr>
          <w:noProof/>
        </w:rPr>
        <w:t xml:space="preserve">Ministry of </w:t>
      </w:r>
      <w:r w:rsidR="00713954" w:rsidRPr="00CF31E0">
        <w:rPr>
          <w:noProof/>
        </w:rPr>
        <w:t>I</w:t>
      </w:r>
      <w:r w:rsidRPr="00CF31E0">
        <w:rPr>
          <w:noProof/>
        </w:rPr>
        <w:t xml:space="preserve">nterior </w:t>
      </w:r>
      <w:r w:rsidR="00713954" w:rsidRPr="00CF31E0">
        <w:rPr>
          <w:noProof/>
        </w:rPr>
        <w:t>A</w:t>
      </w:r>
      <w:r w:rsidRPr="00CF31E0">
        <w:rPr>
          <w:noProof/>
        </w:rPr>
        <w:t xml:space="preserve">ffairs </w:t>
      </w:r>
      <w:r w:rsidRPr="00CF31E0">
        <w:fldChar w:fldCharType="end"/>
      </w:r>
      <w:r w:rsidR="00362213" w:rsidRPr="00CF31E0">
        <w:t xml:space="preserve">(1953) </w:t>
      </w:r>
      <w:r w:rsidRPr="00CF31E0">
        <w:t xml:space="preserve">announced that </w:t>
      </w:r>
      <w:r w:rsidR="00713954" w:rsidRPr="00CF31E0">
        <w:lastRenderedPageBreak/>
        <w:t>a</w:t>
      </w:r>
      <w:r w:rsidRPr="00CF31E0">
        <w:t>ll citizens and their families who</w:t>
      </w:r>
      <w:r w:rsidR="00AF546E" w:rsidRPr="00CF31E0">
        <w:t xml:space="preserve"> were</w:t>
      </w:r>
      <w:r w:rsidRPr="00CF31E0">
        <w:t xml:space="preserve"> born in SA or </w:t>
      </w:r>
      <w:r w:rsidR="00713954" w:rsidRPr="00CF31E0">
        <w:t xml:space="preserve">who had </w:t>
      </w:r>
      <w:r w:rsidRPr="00CF31E0">
        <w:t xml:space="preserve">stayed and served the </w:t>
      </w:r>
      <w:r w:rsidR="00362213" w:rsidRPr="00CF31E0">
        <w:t>count</w:t>
      </w:r>
      <w:r w:rsidRPr="00CF31E0">
        <w:t xml:space="preserve">ry for </w:t>
      </w:r>
      <w:r w:rsidR="00713954" w:rsidRPr="00CF31E0">
        <w:t xml:space="preserve">a </w:t>
      </w:r>
      <w:r w:rsidRPr="00CF31E0">
        <w:t xml:space="preserve">long time </w:t>
      </w:r>
      <w:r w:rsidR="00713954" w:rsidRPr="00CF31E0">
        <w:t xml:space="preserve">had </w:t>
      </w:r>
      <w:r w:rsidRPr="00CF31E0">
        <w:t xml:space="preserve">the right to be granted Saudi nationality. Therefore, a large number of pilgrims preferred to settle in Hijaz and became Saudi </w:t>
      </w:r>
      <w:r w:rsidR="00713954" w:rsidRPr="00CF31E0">
        <w:t>nationals</w:t>
      </w:r>
      <w:r w:rsidRPr="00CF31E0">
        <w:t xml:space="preserve">. </w:t>
      </w:r>
    </w:p>
    <w:p w14:paraId="7A2D244F" w14:textId="75A8A610" w:rsidR="0053311F" w:rsidRPr="00CF31E0" w:rsidRDefault="00713954" w:rsidP="00603CB7">
      <w:pPr>
        <w:pStyle w:val="Paragraph"/>
        <w:rPr>
          <w:lang w:val="en-US"/>
        </w:rPr>
      </w:pPr>
      <w:r w:rsidRPr="00CF31E0">
        <w:rPr>
          <w:lang w:val="en-US"/>
        </w:rPr>
        <w:t>Regarding</w:t>
      </w:r>
      <w:r w:rsidR="00584698" w:rsidRPr="00CF31E0">
        <w:rPr>
          <w:lang w:val="en-US"/>
        </w:rPr>
        <w:t xml:space="preserve"> </w:t>
      </w:r>
      <w:r w:rsidR="006365FF" w:rsidRPr="00CF31E0">
        <w:rPr>
          <w:lang w:val="en-US"/>
        </w:rPr>
        <w:t>the external immigrant</w:t>
      </w:r>
      <w:r w:rsidR="00584698" w:rsidRPr="00CF31E0">
        <w:rPr>
          <w:lang w:val="en-US"/>
        </w:rPr>
        <w:t xml:space="preserve"> ethnic group</w:t>
      </w:r>
      <w:r w:rsidR="00865A4F" w:rsidRPr="00CF31E0">
        <w:rPr>
          <w:lang w:val="en-US"/>
        </w:rPr>
        <w:t>s</w:t>
      </w:r>
      <w:r w:rsidR="0062451A" w:rsidRPr="00CF31E0">
        <w:rPr>
          <w:lang w:val="en-US"/>
        </w:rPr>
        <w:t xml:space="preserve">, </w:t>
      </w:r>
      <w:r w:rsidR="006365FF" w:rsidRPr="00CF31E0">
        <w:rPr>
          <w:lang w:val="en-US"/>
        </w:rPr>
        <w:t>i</w:t>
      </w:r>
      <w:r w:rsidR="0062451A" w:rsidRPr="00CF31E0">
        <w:rPr>
          <w:lang w:val="en-US"/>
        </w:rPr>
        <w:t xml:space="preserve">n the 1950s and 1960s, immigrants were mainly </w:t>
      </w:r>
      <w:r w:rsidR="005A1FA4" w:rsidRPr="00CF31E0">
        <w:rPr>
          <w:lang w:val="en-US"/>
        </w:rPr>
        <w:t xml:space="preserve">of </w:t>
      </w:r>
      <w:r w:rsidR="0062451A" w:rsidRPr="00CF31E0">
        <w:rPr>
          <w:lang w:val="en-US"/>
        </w:rPr>
        <w:t>Arab origin such as from Egypt, Yemen and the Levant</w:t>
      </w:r>
      <w:r w:rsidR="00C11BAE" w:rsidRPr="00CF31E0">
        <w:rPr>
          <w:lang w:val="en-US"/>
        </w:rPr>
        <w:t xml:space="preserve"> </w:t>
      </w:r>
      <w:r w:rsidR="00C11BAE" w:rsidRPr="00CF31E0">
        <w:rPr>
          <w:lang w:val="en-US"/>
        </w:rPr>
        <w:fldChar w:fldCharType="begin"/>
      </w:r>
      <w:r w:rsidR="00C11BAE" w:rsidRPr="00CF31E0">
        <w:rPr>
          <w:lang w:val="en-US"/>
        </w:rPr>
        <w:instrText xml:space="preserve"> ADDIN ZOTERO_ITEM CSL_CITATION {"citationID":"WG3l3SMh","properties":{"formattedCitation":"(Al-Ansari, 1970)","plainCitation":"(Al-Ansari, 1970)","noteIndex":0},"citationItems":[{"id":377,"uris":["http://zotero.org/users/1939618/items/5DGNNAUN"],"uri":["http://zotero.org/users/1939618/items/5DGNNAUN"],"itemData":{"id":377,"type":"book","title":"</w:instrText>
      </w:r>
      <w:r w:rsidR="00C11BAE" w:rsidRPr="00CF31E0">
        <w:rPr>
          <w:rtl/>
          <w:lang w:val="en-US"/>
        </w:rPr>
        <w:instrText>تحفة المحبين والأصحاب فى معرفة ما للمدنيين من الأنساب</w:instrText>
      </w:r>
      <w:r w:rsidR="00C11BAE" w:rsidRPr="00CF31E0">
        <w:rPr>
          <w:lang w:val="en-US"/>
        </w:rPr>
        <w:instrText>","publisher":"Almaktaba Ala-Atika","publisher-place":"Tunisia","source":"Internet Archive","event-place":"Tunisia","abstract":"</w:instrText>
      </w:r>
      <w:r w:rsidR="00C11BAE" w:rsidRPr="00CF31E0">
        <w:rPr>
          <w:rtl/>
          <w:lang w:val="en-US"/>
        </w:rPr>
        <w:instrText>كتاب تحفة المحبين والأصحاب في معرفة ما للمدنيين من الأنسابالقُرْمِيِّة المدنيةالمؤلف الأستاذ عبد الرحمن بن عبد الكريم الأنصاريالمحقق الدكتور محمد العروسي المطويمَكْتَبَةُ عُلُومِ النَّسَبِاَللَّهُمَّ صَلِّ عَلَى مُحَمَّدٍ وَآلِ مُحَمَّدٍ</w:instrText>
      </w:r>
      <w:r w:rsidR="00C11BAE" w:rsidRPr="00CF31E0">
        <w:rPr>
          <w:lang w:val="en-US"/>
        </w:rPr>
        <w:instrText xml:space="preserve">","URL":"http://archive.org/details/olomnasb_ymail_201611","language":"Arabic","author":[{"family":"Al-Ansari","given":"Abdulrahman"}],"issued":{"date-parts":[["1970"]]},"accessed":{"date-parts":[["2018",4,4]]}}}],"schema":"https://github.com/citation-style-language/schema/raw/master/csl-citation.json"} </w:instrText>
      </w:r>
      <w:r w:rsidR="00C11BAE" w:rsidRPr="00CF31E0">
        <w:rPr>
          <w:lang w:val="en-US"/>
        </w:rPr>
        <w:fldChar w:fldCharType="separate"/>
      </w:r>
      <w:r w:rsidR="00C11BAE" w:rsidRPr="00CF31E0">
        <w:rPr>
          <w:noProof/>
          <w:lang w:val="en-US"/>
        </w:rPr>
        <w:t>(Al-Ansari, 1970)</w:t>
      </w:r>
      <w:r w:rsidR="00C11BAE" w:rsidRPr="00CF31E0">
        <w:rPr>
          <w:lang w:val="en-US"/>
        </w:rPr>
        <w:fldChar w:fldCharType="end"/>
      </w:r>
      <w:r w:rsidR="0062451A" w:rsidRPr="00CF31E0">
        <w:rPr>
          <w:lang w:val="en-US"/>
        </w:rPr>
        <w:t xml:space="preserve">. In the 1970s, immigrants </w:t>
      </w:r>
      <w:r w:rsidR="005A1FA4" w:rsidRPr="00CF31E0">
        <w:rPr>
          <w:lang w:val="en-US"/>
        </w:rPr>
        <w:t xml:space="preserve">of </w:t>
      </w:r>
      <w:r w:rsidR="0062451A" w:rsidRPr="00CF31E0">
        <w:rPr>
          <w:lang w:val="en-US"/>
        </w:rPr>
        <w:t>Arab origin ac</w:t>
      </w:r>
      <w:r w:rsidR="00FF5758" w:rsidRPr="00CF31E0">
        <w:rPr>
          <w:lang w:val="en-US"/>
        </w:rPr>
        <w:t>count</w:t>
      </w:r>
      <w:r w:rsidR="0062451A" w:rsidRPr="00CF31E0">
        <w:rPr>
          <w:lang w:val="en-US"/>
        </w:rPr>
        <w:t xml:space="preserve">ed for 75% of the total number of immigrants: 23% were </w:t>
      </w:r>
      <w:r w:rsidR="005A1FA4" w:rsidRPr="00CF31E0">
        <w:rPr>
          <w:lang w:val="en-US"/>
        </w:rPr>
        <w:t xml:space="preserve">of </w:t>
      </w:r>
      <w:r w:rsidR="0062451A" w:rsidRPr="00CF31E0">
        <w:rPr>
          <w:lang w:val="en-US"/>
        </w:rPr>
        <w:t xml:space="preserve">Asian and African origin, </w:t>
      </w:r>
      <w:r w:rsidR="005A1FA4" w:rsidRPr="00CF31E0">
        <w:rPr>
          <w:lang w:val="en-US"/>
        </w:rPr>
        <w:t xml:space="preserve">while </w:t>
      </w:r>
      <w:r w:rsidR="0062451A" w:rsidRPr="00CF31E0">
        <w:rPr>
          <w:lang w:val="en-US"/>
        </w:rPr>
        <w:t xml:space="preserve">2% were from Europe </w:t>
      </w:r>
      <w:r w:rsidR="0062451A" w:rsidRPr="00CF31E0">
        <w:rPr>
          <w:lang w:val="en-US"/>
        </w:rPr>
        <w:fldChar w:fldCharType="begin"/>
      </w:r>
      <w:r w:rsidR="00A54129" w:rsidRPr="00CF31E0">
        <w:rPr>
          <w:lang w:val="en-US"/>
        </w:rPr>
        <w:instrText xml:space="preserve"> ADDIN ZOTERO_ITEM CSL_CITATION {"citationID":"tYoa9nuZ","properties":{"formattedCitation":"(Vassiliev, 2000, p. 458)","plainCitation":"(Vassiliev, 2000, p. 458)","noteIndex":0},"citationItems":[{"id":173,"uris":["http://zotero.org/users/1939618/items/6I5BC846"],"uri":["http://zotero.org/users/1939618/items/6I5BC846"],"itemData":{"id":173,"type":"book","title":"The History of Saudi Arabia","publisher":"Saqi","publisher-place":"London","source":"Google Scholar","event-place":"London","URL":"https://books.google.co.uk/books?hl=en&amp;lr=&amp;id=lEIhBQAAQBAJ&amp;oi=fnd&amp;pg=PT4&amp;dq=Vassiliev,+A.+(2013).+The+History+of+Saudi+Arabia.+London,+Saqi+books.+&amp;ots=KPwVsHcASb&amp;sig=oVibAvTA79h5vqAaHDXY7YS9H7I","author":[{"family":"Vassiliev","given":"Alexei"}],"issued":{"date-parts":[["2000"]]},"accessed":{"date-parts":[["2015",9,28]]}},"locator":"458","label":"page"}],"schema":"https://github.com/citation-style-language/schema/raw/master/csl-citation.json"} </w:instrText>
      </w:r>
      <w:r w:rsidR="0062451A" w:rsidRPr="00CF31E0">
        <w:rPr>
          <w:lang w:val="en-US"/>
        </w:rPr>
        <w:fldChar w:fldCharType="separate"/>
      </w:r>
      <w:r w:rsidR="00A54129" w:rsidRPr="00CF31E0">
        <w:rPr>
          <w:noProof/>
          <w:lang w:val="en-US"/>
        </w:rPr>
        <w:t>(Vassiliev, 2000, p. 458)</w:t>
      </w:r>
      <w:r w:rsidR="0062451A" w:rsidRPr="00CF31E0">
        <w:rPr>
          <w:lang w:val="en-US"/>
        </w:rPr>
        <w:fldChar w:fldCharType="end"/>
      </w:r>
      <w:r w:rsidR="0062451A" w:rsidRPr="00CF31E0">
        <w:rPr>
          <w:lang w:val="en-US"/>
        </w:rPr>
        <w:t xml:space="preserve">. </w:t>
      </w:r>
    </w:p>
    <w:p w14:paraId="543B7AF2" w14:textId="45B548B7" w:rsidR="0010362D" w:rsidRPr="00CF31E0" w:rsidRDefault="00CF3B0F" w:rsidP="00603CB7">
      <w:pPr>
        <w:pStyle w:val="Paragraph"/>
        <w:rPr>
          <w:lang w:val="en-US"/>
        </w:rPr>
      </w:pPr>
      <w:r w:rsidRPr="00CF31E0">
        <w:rPr>
          <w:lang w:val="en-US"/>
        </w:rPr>
        <w:t xml:space="preserve">To </w:t>
      </w:r>
      <w:r w:rsidR="007D1384" w:rsidRPr="00CF31E0">
        <w:rPr>
          <w:lang w:val="en-US"/>
        </w:rPr>
        <w:t>conclude this section</w:t>
      </w:r>
      <w:r w:rsidRPr="00CF31E0">
        <w:rPr>
          <w:lang w:val="en-US"/>
        </w:rPr>
        <w:t xml:space="preserve">, </w:t>
      </w:r>
      <w:r w:rsidR="00923122" w:rsidRPr="00CF31E0">
        <w:rPr>
          <w:lang w:val="en-US"/>
        </w:rPr>
        <w:t xml:space="preserve">following </w:t>
      </w:r>
      <w:r w:rsidRPr="00CF31E0">
        <w:rPr>
          <w:lang w:val="en-US"/>
        </w:rPr>
        <w:t>the discovery of oil, external migration consisted of two groups</w:t>
      </w:r>
      <w:r w:rsidR="00CC2D0D" w:rsidRPr="00CF31E0">
        <w:rPr>
          <w:lang w:val="en-US"/>
        </w:rPr>
        <w:t xml:space="preserve"> of migrants</w:t>
      </w:r>
      <w:r w:rsidR="00923122" w:rsidRPr="00CF31E0">
        <w:rPr>
          <w:lang w:val="en-US"/>
        </w:rPr>
        <w:t>.</w:t>
      </w:r>
      <w:r w:rsidRPr="00CF31E0">
        <w:rPr>
          <w:lang w:val="en-US"/>
        </w:rPr>
        <w:t xml:space="preserve"> </w:t>
      </w:r>
      <w:r w:rsidR="00923122" w:rsidRPr="00CF31E0">
        <w:rPr>
          <w:lang w:val="en-US"/>
        </w:rPr>
        <w:t>T</w:t>
      </w:r>
      <w:r w:rsidRPr="00CF31E0">
        <w:rPr>
          <w:lang w:val="en-US"/>
        </w:rPr>
        <w:t xml:space="preserve">he first group consisted of foreigners who came to SA in search of work and then settled in the </w:t>
      </w:r>
      <w:r w:rsidR="00923122" w:rsidRPr="00CF31E0">
        <w:rPr>
          <w:lang w:val="en-US"/>
        </w:rPr>
        <w:t>K</w:t>
      </w:r>
      <w:r w:rsidRPr="00CF31E0">
        <w:rPr>
          <w:lang w:val="en-US"/>
        </w:rPr>
        <w:t xml:space="preserve">ingdom. The second group consisted of pilgrims who came to </w:t>
      </w:r>
      <w:r w:rsidR="00D30B2F">
        <w:rPr>
          <w:lang w:val="en-US"/>
        </w:rPr>
        <w:t>Makkah</w:t>
      </w:r>
      <w:r w:rsidRPr="00CF31E0">
        <w:rPr>
          <w:lang w:val="en-US"/>
        </w:rPr>
        <w:t xml:space="preserve"> to perform pilgrimage and then did not return to their home </w:t>
      </w:r>
      <w:r w:rsidR="009A1FA1" w:rsidRPr="00CF31E0">
        <w:rPr>
          <w:lang w:val="en-US"/>
        </w:rPr>
        <w:t>count</w:t>
      </w:r>
      <w:r w:rsidRPr="00CF31E0">
        <w:rPr>
          <w:lang w:val="en-US"/>
        </w:rPr>
        <w:t>ries because it was easy to find work in SA</w:t>
      </w:r>
      <w:r w:rsidR="00923122" w:rsidRPr="00CF31E0">
        <w:rPr>
          <w:lang w:val="en-US"/>
        </w:rPr>
        <w:t>,</w:t>
      </w:r>
      <w:r w:rsidRPr="00CF31E0">
        <w:rPr>
          <w:lang w:val="en-US"/>
        </w:rPr>
        <w:t xml:space="preserve"> and their salaries were sometimes higher than what they would earn in their home </w:t>
      </w:r>
      <w:r w:rsidR="00C23501" w:rsidRPr="00CF31E0">
        <w:rPr>
          <w:lang w:val="en-US"/>
        </w:rPr>
        <w:t>count</w:t>
      </w:r>
      <w:r w:rsidRPr="00CF31E0">
        <w:rPr>
          <w:lang w:val="en-US"/>
        </w:rPr>
        <w:t>ries</w:t>
      </w:r>
      <w:r w:rsidR="00923122" w:rsidRPr="00CF31E0">
        <w:rPr>
          <w:lang w:val="en-US"/>
        </w:rPr>
        <w:t xml:space="preserve"> </w:t>
      </w:r>
      <w:r w:rsidRPr="00CF31E0">
        <w:rPr>
          <w:lang w:val="en-US"/>
        </w:rPr>
        <w:fldChar w:fldCharType="begin"/>
      </w:r>
      <w:r w:rsidR="00A54129" w:rsidRPr="00CF31E0">
        <w:rPr>
          <w:lang w:val="en-US"/>
        </w:rPr>
        <w:instrText xml:space="preserve"> ADDIN ZOTERO_ITEM CSL_CITATION {"citationID":"1znWzx5M","properties":{"formattedCitation":"(AlWahid, 1992; Chatty, 2006; Vassiliev, 2000)","plainCitation":"(AlWahid, 1992; Chatty, 2006; Vassiliev, 2000)","noteIndex":0},"citationItems":[{"id":248,"uris":["http://zotero.org/users/1939618/items/53E8X3FN"],"uri":["http://zotero.org/users/1939618/items/53E8X3FN"],"itemData":{"id":248,"type":"thesis","title":"Residential preferences and migration propensities of rural youth in the central region of Saudi Arabia (doctoral dissertation)","publisher":"Michigan state university","source":"Google Scholar","URL":"https://elibrary.ru/item.asp?id=5744247","author":[{"family":"AlWahid","given":"M. S."}],"issued":{"date-parts":[["1992"]]},"accessed":{"date-parts":[["2017",7,25]]}},"label":"page"},{"id":154,"uris":["http://zotero.org/users/1939618/items/Q75BTMHB"],"uri":["http://zotero.org/users/1939618/items/Q75BTMHB"],"itemData":{"id":154,"type":"book","title":"Nomadic societies in the Middle East and North Africa: entering the 21st century","publisher":"Brill","volume":"81","source":"Google Scholar","URL":"http://books.google.co.uk/books?hl=en&amp;lr=&amp;id=JzqIpRZAvdEC&amp;oi=fnd&amp;pg=PR7&amp;dq=society+and+dialects+of+saudi+arabia&amp;ots=qNFU-MxI0j&amp;sig=6gTv5uaCs_D1WjggqLQ-CZoQ0tI","shortTitle":"Nomadic societies in the Middle East and North Africa","author":[{"family":"Chatty","given":"Dawn"}],"issued":{"date-parts":[["2006"]]},"accessed":{"date-parts":[["2015",5,1]]}},"label":"page"},{"id":173,"uris":["http://zotero.org/users/1939618/items/6I5BC846"],"uri":["http://zotero.org/users/1939618/items/6I5BC846"],"itemData":{"id":173,"type":"book","title":"The History of Saudi Arabia","publisher":"Saqi","publisher-place":"London","source":"Google Scholar","event-place":"London","URL":"https://books.google.co.uk/books?hl=en&amp;lr=&amp;id=lEIhBQAAQBAJ&amp;oi=fnd&amp;pg=PT4&amp;dq=Vassiliev,+A.+(2013).+The+History+of+Saudi+Arabia.+London,+Saqi+books.+&amp;ots=KPwVsHcASb&amp;sig=oVibAvTA79h5vqAaHDXY7YS9H7I","author":[{"family":"Vassiliev","given":"Alexei"}],"issued":{"date-parts":[["2000"]]},"accessed":{"date-parts":[["2015",9,28]]}},"label":"page"}],"schema":"https://github.com/citation-style-language/schema/raw/master/csl-citation.json"} </w:instrText>
      </w:r>
      <w:r w:rsidRPr="00CF31E0">
        <w:rPr>
          <w:lang w:val="en-US"/>
        </w:rPr>
        <w:fldChar w:fldCharType="separate"/>
      </w:r>
      <w:r w:rsidR="00A54129" w:rsidRPr="00CF31E0">
        <w:rPr>
          <w:noProof/>
          <w:lang w:val="en-US"/>
        </w:rPr>
        <w:t>(Al</w:t>
      </w:r>
      <w:r w:rsidR="00C23501" w:rsidRPr="00CF31E0">
        <w:rPr>
          <w:noProof/>
          <w:lang w:val="en-US"/>
        </w:rPr>
        <w:t>-</w:t>
      </w:r>
      <w:r w:rsidR="00A54129" w:rsidRPr="00CF31E0">
        <w:rPr>
          <w:noProof/>
          <w:lang w:val="en-US"/>
        </w:rPr>
        <w:t>Wahid, 1992; Chatty, 2006; Vassiliev, 2000)</w:t>
      </w:r>
      <w:r w:rsidRPr="00CF31E0">
        <w:rPr>
          <w:lang w:val="en-US"/>
        </w:rPr>
        <w:fldChar w:fldCharType="end"/>
      </w:r>
      <w:r w:rsidRPr="00CF31E0">
        <w:rPr>
          <w:lang w:val="en-US"/>
        </w:rPr>
        <w:t xml:space="preserve">. Thus, these two groups fall under the category of economic migrants, whose main aim was to </w:t>
      </w:r>
      <w:r w:rsidR="000E7C55" w:rsidRPr="00CF31E0">
        <w:rPr>
          <w:lang w:val="en-US"/>
        </w:rPr>
        <w:t>search for work.</w:t>
      </w:r>
    </w:p>
    <w:p w14:paraId="239FB891" w14:textId="157F7504" w:rsidR="006365FF" w:rsidRPr="00CF31E0" w:rsidRDefault="00BA07D7" w:rsidP="00603CB7">
      <w:pPr>
        <w:pStyle w:val="Paragraph"/>
        <w:rPr>
          <w:lang w:val="en-US"/>
        </w:rPr>
      </w:pPr>
      <w:r w:rsidRPr="00CF31E0">
        <w:rPr>
          <w:lang w:val="en-US"/>
        </w:rPr>
        <w:t>As the number of external immigrant</w:t>
      </w:r>
      <w:r w:rsidR="00923122" w:rsidRPr="00CF31E0">
        <w:rPr>
          <w:lang w:val="en-US"/>
        </w:rPr>
        <w:t>s</w:t>
      </w:r>
      <w:r w:rsidRPr="00CF31E0">
        <w:rPr>
          <w:lang w:val="en-US"/>
        </w:rPr>
        <w:t xml:space="preserve"> increased, </w:t>
      </w:r>
      <w:r w:rsidR="006365FF" w:rsidRPr="00CF31E0">
        <w:rPr>
          <w:lang w:val="en-US"/>
        </w:rPr>
        <w:t>the population grew markedly in SA after the oil boom</w:t>
      </w:r>
      <w:r w:rsidR="006C1FCB" w:rsidRPr="00CF31E0">
        <w:rPr>
          <w:lang w:val="en-US"/>
        </w:rPr>
        <w:t xml:space="preserve"> </w:t>
      </w:r>
      <w:r w:rsidR="006C1FCB" w:rsidRPr="00CF31E0">
        <w:rPr>
          <w:lang w:val="en-US"/>
        </w:rPr>
        <w:fldChar w:fldCharType="begin"/>
      </w:r>
      <w:r w:rsidR="00A54129" w:rsidRPr="00CF31E0">
        <w:rPr>
          <w:lang w:val="en-US"/>
        </w:rPr>
        <w:instrText xml:space="preserve"> ADDIN ZOTERO_ITEM CSL_CITATION {"citationID":"jbcCvvhZ","properties":{"formattedCitation":"(Albatel, 2005; Cordesman, 2003; Wilson &amp; Graham, 2016)","plainCitation":"(Albatel, 2005; Cordesman, 2003; Wilson &amp; Graham, 2016)","noteIndex":0},"citationItems":[{"id":398,"uris":["http://zotero.org/users/1939618/items/UXMPASC7"],"uri":["http://zotero.org/users/1939618/items/UXMPASC7"],"itemData":{"id":398,"type":"article-journal","title":"Population growth and economic development in Saudi Arabia","container-title":"Scientific Journal of King Faisal University (Humanities and Management Sciences)","page":"1426","volume":"6","issue":"2","source":"Google Scholar","author":[{"family":"Albatel","given":"Abdullah H."}],"issued":{"date-parts":[["2005"]]}},"label":"page"},{"id":"wgwhcNH1/M7OONjvz","uris":["http://zotero.org/users/1939618/items/2GT7RHQB"],"uri":["http://zotero.org/users/1939618/items/2GT7RHQB"],"itemData":{"id":420,"type":"book","title":"Saudi Arabia Enters the Twenty-first Century: The military and international security dimensions","publisher":"Greenwood Publishing Group","number-of-pages":"436","source":"Google Books","abstract":"With the continuing importance of Saudi Arabia in regional and world politics, the current and future effectiveness of the Saudi military carries increased significance. Despite recent strains in relations with the U.S., particularly in light of the role Saudis played in the events of September 11, 2001, the Kingdom remains America's key Arab ally. Cordesman studies the challenges faced by the Saudis from both their allies and their potential enemies to assess Saudi Arabia's ability to forge a better approach to collective security in the Gulf and to create more stable long-term security arrangements with the U.S. and other Western Powers. This assessment of Saudi Arabia's strategic position includes a full-scale analysis of Saudi military forces, defense expenditures, arms imports, military modernization, readiness and war fighting capability. It examines both the cooperation and tension with other Southern Gulf States. It explores the implications of the conventional military build-up and creeping proliferation of weapons of mass destruction in the Gulf and the resulting changes in Saudi Arabia's security position. All of these factors have critical implications for stability within the Kingdom, within the Gulf, as well as in the broader global context.","ISBN":"978-0-275-97997-3","shortTitle":"Saudi Arabia Enters the Twenty-first Century","language":"en","author":[{"family":"Cordesman","given":"Anthony H."}],"issued":{"date-parts":[["2003"]]}},"label":"page"},{"id":418,"uris":["http://zotero.org/users/1939618/items/3ZU6KTWY"],"uri":["http://zotero.org/users/1939618/items/3ZU6KTWY"],"itemData":{"id":418,"type":"book","title":"Saudi Arabia: The Coming Storm: The Coming Storm","publisher":"Routledge","publisher-place":"New York, NY","number-of-pages":"339","source":"Google Books","event-place":"New York, NY","abstract":"Some of the best writings on issues involving local government can be found in journals published by the American Society for Public Administration or journals with which ASPA is associated. This volume includes 30 of the most outstanding articles that have been published.","ISBN":"978-1-315-28699-0","note":"Google-Books-ID: tIoYDQAAQBAJ","shortTitle":"Saudi Arabia","language":"en","author":[{"family":"Wilson","given":"Peter W."},{"family":"Graham","given":"Douglas F."}],"issued":{"date-parts":[["2016",9,16]]}},"label":"page"}],"schema":"https://github.com/citation-style-language/schema/raw/master/csl-citation.json"} </w:instrText>
      </w:r>
      <w:r w:rsidR="006C1FCB" w:rsidRPr="00CF31E0">
        <w:rPr>
          <w:lang w:val="en-US"/>
        </w:rPr>
        <w:fldChar w:fldCharType="separate"/>
      </w:r>
      <w:r w:rsidR="009B05F9" w:rsidRPr="00CF31E0">
        <w:rPr>
          <w:noProof/>
          <w:lang w:val="en-US"/>
        </w:rPr>
        <w:t>(Albatel, 2005; Cordesman, 2003; Wilson &amp; Graham, 2016)</w:t>
      </w:r>
      <w:r w:rsidR="006C1FCB" w:rsidRPr="00CF31E0">
        <w:rPr>
          <w:lang w:val="en-US"/>
        </w:rPr>
        <w:fldChar w:fldCharType="end"/>
      </w:r>
      <w:r w:rsidR="009B05F9" w:rsidRPr="00CF31E0">
        <w:rPr>
          <w:lang w:val="en-US"/>
        </w:rPr>
        <w:t xml:space="preserve">. </w:t>
      </w:r>
      <w:r w:rsidRPr="00CF31E0">
        <w:rPr>
          <w:lang w:val="en-US"/>
        </w:rPr>
        <w:t xml:space="preserve">In the following section, I will discuss how population growth was affected </w:t>
      </w:r>
      <w:r w:rsidR="006E1E3F" w:rsidRPr="00CF31E0">
        <w:rPr>
          <w:lang w:val="en-US"/>
        </w:rPr>
        <w:t>massively</w:t>
      </w:r>
      <w:r w:rsidRPr="00CF31E0">
        <w:rPr>
          <w:lang w:val="en-US"/>
        </w:rPr>
        <w:t xml:space="preserve"> by </w:t>
      </w:r>
      <w:r w:rsidR="00923122" w:rsidRPr="00CF31E0">
        <w:rPr>
          <w:lang w:val="en-US"/>
        </w:rPr>
        <w:t xml:space="preserve">the </w:t>
      </w:r>
      <w:r w:rsidRPr="00CF31E0">
        <w:rPr>
          <w:lang w:val="en-US"/>
        </w:rPr>
        <w:t xml:space="preserve">number of immigrants </w:t>
      </w:r>
      <w:r w:rsidR="00CC2D0D" w:rsidRPr="00CF31E0">
        <w:rPr>
          <w:lang w:val="en-US"/>
        </w:rPr>
        <w:t xml:space="preserve">entering </w:t>
      </w:r>
      <w:r w:rsidRPr="00CF31E0">
        <w:rPr>
          <w:lang w:val="en-US"/>
        </w:rPr>
        <w:t xml:space="preserve">the </w:t>
      </w:r>
      <w:r w:rsidR="00FF5758" w:rsidRPr="00CF31E0">
        <w:rPr>
          <w:lang w:val="en-US"/>
        </w:rPr>
        <w:t>count</w:t>
      </w:r>
      <w:r w:rsidRPr="00CF31E0">
        <w:rPr>
          <w:lang w:val="en-US"/>
        </w:rPr>
        <w:t xml:space="preserve">ry. </w:t>
      </w:r>
    </w:p>
    <w:p w14:paraId="320D722E" w14:textId="7D2D65D2" w:rsidR="007175D2" w:rsidRPr="00CF31E0" w:rsidRDefault="002124ED" w:rsidP="0061369D">
      <w:pPr>
        <w:pStyle w:val="Ahead"/>
      </w:pPr>
      <w:bookmarkStart w:id="104" w:name="_Toc511728080"/>
      <w:bookmarkStart w:id="105" w:name="_Toc6472633"/>
      <w:r w:rsidRPr="00CF31E0">
        <w:t>2</w:t>
      </w:r>
      <w:r w:rsidR="00713A64" w:rsidRPr="00CF31E0">
        <w:t>.15.</w:t>
      </w:r>
      <w:r w:rsidR="00713A64" w:rsidRPr="00CF31E0">
        <w:tab/>
      </w:r>
      <w:r w:rsidR="00946AE3" w:rsidRPr="00CF31E0">
        <w:t xml:space="preserve">Effects of migration </w:t>
      </w:r>
      <w:r w:rsidR="000661B2" w:rsidRPr="00CF31E0">
        <w:t xml:space="preserve">on </w:t>
      </w:r>
      <w:r w:rsidR="00946AE3" w:rsidRPr="00CF31E0">
        <w:t>population growth</w:t>
      </w:r>
      <w:bookmarkEnd w:id="104"/>
      <w:bookmarkEnd w:id="105"/>
      <w:r w:rsidR="00946AE3" w:rsidRPr="00CF31E0">
        <w:t xml:space="preserve"> </w:t>
      </w:r>
    </w:p>
    <w:p w14:paraId="36D89ACB" w14:textId="51A82BF7" w:rsidR="00D86F38" w:rsidRPr="00CF31E0" w:rsidRDefault="00272043" w:rsidP="00603CB7">
      <w:pPr>
        <w:pStyle w:val="Paragraph"/>
        <w:rPr>
          <w:lang w:val="en-US"/>
        </w:rPr>
      </w:pPr>
      <w:r w:rsidRPr="00CF31E0">
        <w:rPr>
          <w:lang w:val="en-US"/>
        </w:rPr>
        <w:t>In 1973, t</w:t>
      </w:r>
      <w:r w:rsidR="000661B2" w:rsidRPr="00CF31E0">
        <w:rPr>
          <w:lang w:val="en-US"/>
        </w:rPr>
        <w:t>hree</w:t>
      </w:r>
      <w:r w:rsidR="006E1E3F" w:rsidRPr="00CF31E0">
        <w:rPr>
          <w:lang w:val="en-US"/>
        </w:rPr>
        <w:t xml:space="preserve"> decades</w:t>
      </w:r>
      <w:r w:rsidR="000661B2" w:rsidRPr="00CF31E0">
        <w:rPr>
          <w:lang w:val="en-US"/>
        </w:rPr>
        <w:t xml:space="preserve"> on</w:t>
      </w:r>
      <w:r w:rsidR="006E1E3F" w:rsidRPr="00CF31E0">
        <w:rPr>
          <w:lang w:val="en-US"/>
        </w:rPr>
        <w:t xml:space="preserve"> from</w:t>
      </w:r>
      <w:r w:rsidR="007175D2" w:rsidRPr="00CF31E0">
        <w:rPr>
          <w:lang w:val="en-US"/>
        </w:rPr>
        <w:t xml:space="preserve"> </w:t>
      </w:r>
      <w:r w:rsidR="000661B2" w:rsidRPr="00CF31E0">
        <w:rPr>
          <w:lang w:val="en-US"/>
        </w:rPr>
        <w:t xml:space="preserve">the </w:t>
      </w:r>
      <w:r w:rsidR="007175D2" w:rsidRPr="00CF31E0">
        <w:rPr>
          <w:lang w:val="en-US"/>
        </w:rPr>
        <w:t>discovery of oil</w:t>
      </w:r>
      <w:r w:rsidR="000661B2" w:rsidRPr="00CF31E0">
        <w:rPr>
          <w:lang w:val="en-US"/>
        </w:rPr>
        <w:t>,</w:t>
      </w:r>
      <w:r w:rsidR="007175D2" w:rsidRPr="00CF31E0">
        <w:rPr>
          <w:lang w:val="en-US"/>
        </w:rPr>
        <w:t xml:space="preserve"> the </w:t>
      </w:r>
      <w:r w:rsidR="00CC2D0D" w:rsidRPr="00CF31E0">
        <w:rPr>
          <w:lang w:val="en-US"/>
        </w:rPr>
        <w:t xml:space="preserve">total </w:t>
      </w:r>
      <w:r w:rsidR="000661B2" w:rsidRPr="00CF31E0">
        <w:rPr>
          <w:lang w:val="en-US"/>
        </w:rPr>
        <w:t xml:space="preserve">Saudi </w:t>
      </w:r>
      <w:r w:rsidR="007175D2" w:rsidRPr="00CF31E0">
        <w:rPr>
          <w:lang w:val="en-US"/>
        </w:rPr>
        <w:t xml:space="preserve">population was only 6.8 million </w:t>
      </w:r>
      <w:r w:rsidR="007175D2" w:rsidRPr="00CF31E0">
        <w:rPr>
          <w:lang w:val="en-US"/>
        </w:rPr>
        <w:fldChar w:fldCharType="begin"/>
      </w:r>
      <w:r w:rsidR="00A54129" w:rsidRPr="00CF31E0">
        <w:rPr>
          <w:lang w:val="en-US"/>
        </w:rPr>
        <w:instrText xml:space="preserve"> ADDIN ZOTERO_ITEM CSL_CITATION {"citationID":"UhTb4WrL","properties":{"formattedCitation":"(Cordesman, 2003)","plainCitation":"(Cordesman, 2003)","noteIndex":0},"citationItems":[{"id":"wgwhcNH1/M7OONjvz","uris":["http://zotero.org/users/1939618/items/2GT7RHQB"],"uri":["http://zotero.org/users/1939618/items/2GT7RHQB"],"itemData":{"id":420,"type":"book","title":"Saudi Arabia Enters the Twenty-first Century: The military and international security dimensions","publisher":"Greenwood Publishing Group","number-of-pages":"436","source":"Google Books","abstract":"With the continuing importance of Saudi Arabia in regional and world politics, the current and future effectiveness of the Saudi military carries increased significance. Despite recent strains in relations with the U.S., particularly in light of the role Saudis played in the events of September 11, 2001, the Kingdom remains America's key Arab ally. Cordesman studies the challenges faced by the Saudis from both their allies and their potential enemies to assess Saudi Arabia's ability to forge a better approach to collective security in the Gulf and to create more stable long-term security arrangements with the U.S. and other Western Powers. This assessment of Saudi Arabia's strategic position includes a full-scale analysis of Saudi military forces, defense expenditures, arms imports, military modernization, readiness and war fighting capability. It examines both the cooperation and tension with other Southern Gulf States. It explores the implications of the conventional military build-up and creeping proliferation of weapons of mass destruction in the Gulf and the resulting changes in Saudi Arabia's security position. All of these factors have critical implications for stability within the Kingdom, within the Gulf, as well as in the broader global context.","ISBN":"978-0-275-97997-3","shortTitle":"Saudi Arabia Enters the Twenty-first Century","language":"en","author":[{"family":"Cordesman","given":"Anthony H."}],"issued":{"date-parts":[["2003"]]}}}],"schema":"https://github.com/citation-style-language/schema/raw/master/csl-citation.json"} </w:instrText>
      </w:r>
      <w:r w:rsidR="007175D2" w:rsidRPr="00CF31E0">
        <w:rPr>
          <w:lang w:val="en-US"/>
        </w:rPr>
        <w:fldChar w:fldCharType="separate"/>
      </w:r>
      <w:r w:rsidR="007175D2" w:rsidRPr="00CF31E0">
        <w:rPr>
          <w:noProof/>
          <w:lang w:val="en-US"/>
        </w:rPr>
        <w:t>(Cordesman, 2003)</w:t>
      </w:r>
      <w:r w:rsidR="007175D2" w:rsidRPr="00CF31E0">
        <w:rPr>
          <w:lang w:val="en-US"/>
        </w:rPr>
        <w:fldChar w:fldCharType="end"/>
      </w:r>
      <w:r w:rsidR="007175D2" w:rsidRPr="00CF31E0">
        <w:rPr>
          <w:lang w:val="en-US"/>
        </w:rPr>
        <w:t>.</w:t>
      </w:r>
      <w:r w:rsidR="001D1548" w:rsidRPr="00CF31E0">
        <w:rPr>
          <w:lang w:val="en-US"/>
        </w:rPr>
        <w:t xml:space="preserve"> </w:t>
      </w:r>
      <w:r w:rsidR="000661B2" w:rsidRPr="00CF31E0">
        <w:rPr>
          <w:lang w:val="en-US"/>
        </w:rPr>
        <w:t>The</w:t>
      </w:r>
      <w:r w:rsidR="006E1E3F" w:rsidRPr="00CF31E0">
        <w:rPr>
          <w:lang w:val="en-US"/>
        </w:rPr>
        <w:t xml:space="preserve"> population </w:t>
      </w:r>
      <w:r w:rsidR="000661B2" w:rsidRPr="00CF31E0">
        <w:rPr>
          <w:lang w:val="en-US"/>
        </w:rPr>
        <w:t xml:space="preserve">later </w:t>
      </w:r>
      <w:r w:rsidR="006E1E3F" w:rsidRPr="00CF31E0">
        <w:rPr>
          <w:lang w:val="en-US"/>
        </w:rPr>
        <w:t xml:space="preserve">grew </w:t>
      </w:r>
      <w:r w:rsidR="00A8255D" w:rsidRPr="00CF31E0">
        <w:rPr>
          <w:lang w:val="en-US"/>
        </w:rPr>
        <w:t xml:space="preserve">markedly </w:t>
      </w:r>
      <w:r w:rsidR="006E1E3F" w:rsidRPr="00CF31E0">
        <w:rPr>
          <w:lang w:val="en-US"/>
        </w:rPr>
        <w:t xml:space="preserve">as the </w:t>
      </w:r>
      <w:r w:rsidR="009A1FA1" w:rsidRPr="00CF31E0">
        <w:rPr>
          <w:lang w:val="en-US"/>
        </w:rPr>
        <w:t>count</w:t>
      </w:r>
      <w:r w:rsidR="006E1E3F" w:rsidRPr="00CF31E0">
        <w:rPr>
          <w:lang w:val="en-US"/>
        </w:rPr>
        <w:t xml:space="preserve">ry started to prosper in all </w:t>
      </w:r>
      <w:r w:rsidR="000E7C55" w:rsidRPr="00CF31E0">
        <w:rPr>
          <w:lang w:val="en-US"/>
        </w:rPr>
        <w:t>sectors.</w:t>
      </w:r>
      <w:r w:rsidR="001D1548" w:rsidRPr="00CF31E0">
        <w:rPr>
          <w:lang w:val="en-US"/>
        </w:rPr>
        <w:t xml:space="preserve"> </w:t>
      </w:r>
      <w:r w:rsidR="000661B2" w:rsidRPr="00CF31E0">
        <w:rPr>
          <w:lang w:val="en-US"/>
        </w:rPr>
        <w:t>F</w:t>
      </w:r>
      <w:r w:rsidR="004E432A" w:rsidRPr="00CF31E0">
        <w:rPr>
          <w:lang w:val="en-US"/>
        </w:rPr>
        <w:t xml:space="preserve">igure </w:t>
      </w:r>
      <w:r w:rsidR="002124ED" w:rsidRPr="00CF31E0">
        <w:rPr>
          <w:lang w:val="en-US"/>
        </w:rPr>
        <w:t>2</w:t>
      </w:r>
      <w:r w:rsidR="003A7C48" w:rsidRPr="00CF31E0">
        <w:rPr>
          <w:lang w:val="en-US"/>
        </w:rPr>
        <w:t>.4</w:t>
      </w:r>
      <w:r w:rsidR="000661B2" w:rsidRPr="00CF31E0">
        <w:rPr>
          <w:lang w:val="en-US"/>
        </w:rPr>
        <w:t xml:space="preserve"> </w:t>
      </w:r>
      <w:r w:rsidR="004E432A" w:rsidRPr="00CF31E0">
        <w:rPr>
          <w:lang w:val="en-US"/>
        </w:rPr>
        <w:t xml:space="preserve">illustrates how </w:t>
      </w:r>
      <w:r w:rsidR="000661B2" w:rsidRPr="00CF31E0">
        <w:rPr>
          <w:lang w:val="en-US"/>
        </w:rPr>
        <w:t xml:space="preserve">the </w:t>
      </w:r>
      <w:r w:rsidR="004E432A" w:rsidRPr="00CF31E0">
        <w:rPr>
          <w:lang w:val="en-US"/>
        </w:rPr>
        <w:t xml:space="preserve">non-Saudi population along with </w:t>
      </w:r>
      <w:r w:rsidR="000661B2" w:rsidRPr="00CF31E0">
        <w:rPr>
          <w:lang w:val="en-US"/>
        </w:rPr>
        <w:t xml:space="preserve">the </w:t>
      </w:r>
      <w:r w:rsidR="004E432A" w:rsidRPr="00CF31E0">
        <w:rPr>
          <w:lang w:val="en-US"/>
        </w:rPr>
        <w:t>Saudi popula</w:t>
      </w:r>
      <w:r w:rsidR="006E1E3F" w:rsidRPr="00CF31E0">
        <w:rPr>
          <w:lang w:val="en-US"/>
        </w:rPr>
        <w:t xml:space="preserve">tion grew massively a short period </w:t>
      </w:r>
      <w:r w:rsidR="000661B2" w:rsidRPr="00CF31E0">
        <w:rPr>
          <w:lang w:val="en-US"/>
        </w:rPr>
        <w:t xml:space="preserve">after the </w:t>
      </w:r>
      <w:r w:rsidR="006E1E3F" w:rsidRPr="00CF31E0">
        <w:rPr>
          <w:lang w:val="en-US"/>
        </w:rPr>
        <w:t>discovery of oil</w:t>
      </w:r>
      <w:r w:rsidR="001D1548" w:rsidRPr="00CF31E0">
        <w:rPr>
          <w:lang w:val="en-US"/>
        </w:rPr>
        <w:t xml:space="preserve">. </w:t>
      </w:r>
    </w:p>
    <w:p w14:paraId="35A16E3E" w14:textId="5FABF9D5" w:rsidR="00D64561" w:rsidRPr="00CF31E0" w:rsidRDefault="00D64561" w:rsidP="00F46DF0">
      <w:pPr>
        <w:spacing w:line="360" w:lineRule="auto"/>
        <w:jc w:val="both"/>
        <w:rPr>
          <w:rFonts w:asciiTheme="majorBidi" w:hAnsiTheme="majorBidi" w:cstheme="majorBidi"/>
          <w:color w:val="000000" w:themeColor="text1"/>
        </w:rPr>
      </w:pPr>
      <w:r w:rsidRPr="00CF31E0">
        <w:rPr>
          <w:rFonts w:asciiTheme="majorBidi" w:hAnsiTheme="majorBidi" w:cstheme="majorBidi"/>
          <w:noProof/>
          <w:color w:val="000000" w:themeColor="text1"/>
        </w:rPr>
        <w:lastRenderedPageBreak/>
        <w:drawing>
          <wp:inline distT="0" distB="0" distL="0" distR="0" wp14:anchorId="240A2E5D" wp14:editId="336AD4FF">
            <wp:extent cx="4628032" cy="2892725"/>
            <wp:effectExtent l="0" t="0" r="1270" b="3175"/>
            <wp:docPr id="2" name="Picture 2" descr="opulation Growth - Saudis vs. Non Saud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opulation Growth - Saudis vs. Non Saudis"/>
                    <pic:cNvPicPr preferRelativeResize="0">
                      <a:picLocks noChangeAspect="1" noChangeArrowheads="1"/>
                    </pic:cNvPicPr>
                  </pic:nvPicPr>
                  <pic:blipFill rotWithShape="1">
                    <a:blip r:embed="rId18" cstate="print">
                      <a:extLst>
                        <a:ext uri="{28A0092B-C50C-407E-A947-70E740481C1C}">
                          <a14:useLocalDpi xmlns:a14="http://schemas.microsoft.com/office/drawing/2010/main" val="0"/>
                        </a:ext>
                      </a:extLst>
                    </a:blip>
                    <a:srcRect l="1757" t="1233" r="1241" b="8277"/>
                    <a:stretch/>
                  </pic:blipFill>
                  <pic:spPr bwMode="auto">
                    <a:xfrm>
                      <a:off x="0" y="0"/>
                      <a:ext cx="4645633" cy="2903727"/>
                    </a:xfrm>
                    <a:prstGeom prst="rect">
                      <a:avLst/>
                    </a:prstGeom>
                    <a:noFill/>
                    <a:ln>
                      <a:noFill/>
                    </a:ln>
                    <a:extLst>
                      <a:ext uri="{53640926-AAD7-44D8-BBD7-CCE9431645EC}">
                        <a14:shadowObscured xmlns:a14="http://schemas.microsoft.com/office/drawing/2010/main"/>
                      </a:ext>
                    </a:extLst>
                  </pic:spPr>
                </pic:pic>
              </a:graphicData>
            </a:graphic>
          </wp:inline>
        </w:drawing>
      </w:r>
    </w:p>
    <w:p w14:paraId="7A198ED4" w14:textId="3BAB742E" w:rsidR="002124ED" w:rsidRPr="00CF31E0" w:rsidRDefault="00D64561" w:rsidP="0061369D">
      <w:pPr>
        <w:pStyle w:val="Figcaption"/>
        <w:rPr>
          <w:color w:val="000000" w:themeColor="text1"/>
          <w:lang w:val="en-US"/>
        </w:rPr>
      </w:pPr>
      <w:bookmarkStart w:id="106" w:name="_Toc522527328"/>
      <w:bookmarkStart w:id="107" w:name="_Toc522628159"/>
      <w:bookmarkStart w:id="108" w:name="_Toc522628277"/>
      <w:bookmarkStart w:id="109" w:name="_Toc522628377"/>
      <w:bookmarkStart w:id="110" w:name="_Toc6472979"/>
      <w:r w:rsidRPr="00CF31E0">
        <w:rPr>
          <w:color w:val="000000" w:themeColor="text1"/>
          <w:lang w:val="en-US"/>
        </w:rPr>
        <w:t xml:space="preserve">Figure </w:t>
      </w:r>
      <w:r w:rsidR="002124ED" w:rsidRPr="00CF31E0">
        <w:rPr>
          <w:color w:val="000000" w:themeColor="text1"/>
          <w:lang w:val="en-US"/>
        </w:rPr>
        <w:t>2</w:t>
      </w:r>
      <w:r w:rsidR="003A7C48" w:rsidRPr="00CF31E0">
        <w:rPr>
          <w:color w:val="000000" w:themeColor="text1"/>
          <w:lang w:val="en-US"/>
        </w:rPr>
        <w:t>.4</w:t>
      </w:r>
      <w:r w:rsidRPr="00CF31E0">
        <w:rPr>
          <w:color w:val="000000" w:themeColor="text1"/>
          <w:lang w:val="en-US"/>
        </w:rPr>
        <w:t>: Population growth in SA (1975</w:t>
      </w:r>
      <w:r w:rsidR="00A8255D" w:rsidRPr="00CF31E0">
        <w:rPr>
          <w:color w:val="000000" w:themeColor="text1"/>
          <w:lang w:val="en-US"/>
        </w:rPr>
        <w:t>–</w:t>
      </w:r>
      <w:r w:rsidRPr="00CF31E0">
        <w:rPr>
          <w:color w:val="000000" w:themeColor="text1"/>
          <w:lang w:val="en-US"/>
        </w:rPr>
        <w:t>2014).</w:t>
      </w:r>
      <w:bookmarkEnd w:id="106"/>
      <w:bookmarkEnd w:id="107"/>
      <w:bookmarkEnd w:id="108"/>
      <w:bookmarkEnd w:id="109"/>
      <w:bookmarkEnd w:id="110"/>
    </w:p>
    <w:p w14:paraId="539DAA61" w14:textId="55EC8263" w:rsidR="00D64561" w:rsidRPr="00CF31E0" w:rsidRDefault="002124ED" w:rsidP="005251C4">
      <w:pPr>
        <w:pStyle w:val="Figuresource"/>
        <w:rPr>
          <w:lang w:val="en-GB"/>
        </w:rPr>
      </w:pPr>
      <w:r w:rsidRPr="00CF31E0">
        <w:t>(</w:t>
      </w:r>
      <w:r w:rsidR="00D64561" w:rsidRPr="00CF31E0">
        <w:t xml:space="preserve">Adapted from </w:t>
      </w:r>
      <w:bookmarkStart w:id="111" w:name="ZOTERO_BREF_KfGwFqs3NKtTe5b2tx1Ng"/>
      <w:r w:rsidR="00990216" w:rsidRPr="00CF31E0">
        <w:rPr>
          <w:lang w:val="en-GB"/>
        </w:rPr>
        <w:t>(Ministry of labour and social development-Kingdom of Saudi Arabia, 2016)</w:t>
      </w:r>
      <w:bookmarkEnd w:id="111"/>
    </w:p>
    <w:p w14:paraId="6B3D1CB0" w14:textId="7B558690" w:rsidR="00D64561" w:rsidRPr="00CF31E0" w:rsidRDefault="004E432A" w:rsidP="00603CB7">
      <w:pPr>
        <w:pStyle w:val="Paragraph"/>
        <w:rPr>
          <w:lang w:val="en-US"/>
        </w:rPr>
      </w:pPr>
      <w:r w:rsidRPr="00CF31E0">
        <w:rPr>
          <w:lang w:val="en-US"/>
        </w:rPr>
        <w:t>As can be seen from the above figure</w:t>
      </w:r>
      <w:r w:rsidR="00A8255D" w:rsidRPr="00CF31E0">
        <w:rPr>
          <w:lang w:val="en-US"/>
        </w:rPr>
        <w:t>,</w:t>
      </w:r>
      <w:r w:rsidRPr="00CF31E0">
        <w:rPr>
          <w:lang w:val="en-US"/>
        </w:rPr>
        <w:t xml:space="preserve"> in 1975 the population was roughly 7 million and by 2014 it reached</w:t>
      </w:r>
      <w:r w:rsidR="00794717" w:rsidRPr="00CF31E0">
        <w:rPr>
          <w:lang w:val="en-US"/>
        </w:rPr>
        <w:t xml:space="preserve"> </w:t>
      </w:r>
      <w:r w:rsidRPr="00CF31E0">
        <w:rPr>
          <w:lang w:val="en-US"/>
        </w:rPr>
        <w:t xml:space="preserve">32 million, </w:t>
      </w:r>
      <w:r w:rsidR="00A8255D" w:rsidRPr="00CF31E0">
        <w:rPr>
          <w:lang w:val="en-US"/>
        </w:rPr>
        <w:t xml:space="preserve">with a marked increase in the number of </w:t>
      </w:r>
      <w:r w:rsidRPr="00CF31E0">
        <w:rPr>
          <w:lang w:val="en-US"/>
        </w:rPr>
        <w:t xml:space="preserve">non-Saudi citizens as well. This </w:t>
      </w:r>
      <w:r w:rsidR="00CC2D0D" w:rsidRPr="00CF31E0">
        <w:rPr>
          <w:lang w:val="en-US"/>
        </w:rPr>
        <w:t xml:space="preserve">can be explained by the fact that, as discussed earlier, </w:t>
      </w:r>
      <w:r w:rsidR="00794717" w:rsidRPr="00CF31E0">
        <w:rPr>
          <w:lang w:val="en-US"/>
        </w:rPr>
        <w:t>a short period</w:t>
      </w:r>
      <w:r w:rsidR="00FD7F3A" w:rsidRPr="00CF31E0">
        <w:rPr>
          <w:lang w:val="en-US"/>
        </w:rPr>
        <w:t xml:space="preserve"> of time</w:t>
      </w:r>
      <w:r w:rsidR="00794717" w:rsidRPr="00CF31E0">
        <w:rPr>
          <w:lang w:val="en-US"/>
        </w:rPr>
        <w:t xml:space="preserve"> after </w:t>
      </w:r>
      <w:r w:rsidR="00A8255D" w:rsidRPr="00CF31E0">
        <w:rPr>
          <w:lang w:val="en-US"/>
        </w:rPr>
        <w:t xml:space="preserve">the </w:t>
      </w:r>
      <w:r w:rsidRPr="00CF31E0">
        <w:rPr>
          <w:lang w:val="en-US"/>
        </w:rPr>
        <w:t xml:space="preserve">discovery of oil, the </w:t>
      </w:r>
      <w:r w:rsidR="00C578A6" w:rsidRPr="00CF31E0">
        <w:rPr>
          <w:lang w:val="en-US"/>
        </w:rPr>
        <w:t xml:space="preserve">resulting </w:t>
      </w:r>
      <w:r w:rsidRPr="00CF31E0">
        <w:rPr>
          <w:lang w:val="en-US"/>
        </w:rPr>
        <w:t xml:space="preserve">economic growth and the need for </w:t>
      </w:r>
      <w:r w:rsidR="00C578A6" w:rsidRPr="00CF31E0">
        <w:rPr>
          <w:lang w:val="en-US"/>
        </w:rPr>
        <w:t xml:space="preserve">a </w:t>
      </w:r>
      <w:r w:rsidRPr="00CF31E0">
        <w:rPr>
          <w:lang w:val="en-US"/>
        </w:rPr>
        <w:t xml:space="preserve">workforce </w:t>
      </w:r>
      <w:r w:rsidR="001D1548" w:rsidRPr="00CF31E0">
        <w:rPr>
          <w:lang w:val="en-US"/>
        </w:rPr>
        <w:t xml:space="preserve">attracted more workers to </w:t>
      </w:r>
      <w:r w:rsidR="00C578A6" w:rsidRPr="00CF31E0">
        <w:rPr>
          <w:lang w:val="en-US"/>
        </w:rPr>
        <w:t xml:space="preserve">settle </w:t>
      </w:r>
      <w:r w:rsidRPr="00CF31E0">
        <w:rPr>
          <w:lang w:val="en-US"/>
        </w:rPr>
        <w:t xml:space="preserve">in the </w:t>
      </w:r>
      <w:r w:rsidR="00F2472B" w:rsidRPr="00CF31E0">
        <w:rPr>
          <w:lang w:val="en-US"/>
        </w:rPr>
        <w:t>country</w:t>
      </w:r>
      <w:r w:rsidRPr="00CF31E0">
        <w:rPr>
          <w:lang w:val="en-US"/>
        </w:rPr>
        <w:t xml:space="preserve">. </w:t>
      </w:r>
    </w:p>
    <w:p w14:paraId="57C76AD9" w14:textId="61846834" w:rsidR="004E432A" w:rsidRPr="00CF31E0" w:rsidRDefault="00D30B2F" w:rsidP="00603CB7">
      <w:pPr>
        <w:pStyle w:val="Paragraph"/>
      </w:pPr>
      <w:r>
        <w:t>Makkah</w:t>
      </w:r>
      <w:r w:rsidR="004E432A" w:rsidRPr="00CF31E0">
        <w:t xml:space="preserve"> city in </w:t>
      </w:r>
      <w:r w:rsidR="00C578A6" w:rsidRPr="00CF31E0">
        <w:t xml:space="preserve">the </w:t>
      </w:r>
      <w:r w:rsidR="004E432A" w:rsidRPr="00CF31E0">
        <w:t xml:space="preserve">Hijaz region was the </w:t>
      </w:r>
      <w:r w:rsidR="00C578A6" w:rsidRPr="00CF31E0">
        <w:t xml:space="preserve">most popular </w:t>
      </w:r>
      <w:r w:rsidR="004E432A" w:rsidRPr="00CF31E0">
        <w:t xml:space="preserve">among all other cities in </w:t>
      </w:r>
      <w:r w:rsidR="00F627DC" w:rsidRPr="00CF31E0">
        <w:t>SA</w:t>
      </w:r>
      <w:r w:rsidR="004E432A" w:rsidRPr="00CF31E0">
        <w:t xml:space="preserve"> </w:t>
      </w:r>
      <w:r w:rsidR="00A16087" w:rsidRPr="00CF31E0">
        <w:t>as a destination for</w:t>
      </w:r>
      <w:r w:rsidR="004E432A" w:rsidRPr="00CF31E0">
        <w:t xml:space="preserve"> non-Saudi migrants</w:t>
      </w:r>
      <w:r w:rsidR="00DF33FC" w:rsidRPr="00CF31E0">
        <w:t xml:space="preserve"> </w:t>
      </w:r>
      <w:r w:rsidR="00DF33FC" w:rsidRPr="00CF31E0">
        <w:fldChar w:fldCharType="begin"/>
      </w:r>
      <w:r w:rsidR="00A54129" w:rsidRPr="00CF31E0">
        <w:instrText xml:space="preserve"> ADDIN ZOTERO_ITEM CSL_CITATION {"citationID":"T72355MW","properties":{"formattedCitation":"(Al Bassam, 2012)","plainCitation":"(Al Bassam, 2012)","noteIndex":0},"citationItems":[{"id":250,"uris":["http://zotero.org/users/1939618/items/2KBE6VS6"],"uri":["http://zotero.org/users/1939618/items/2KBE6VS6"],"itemData":{"id":250,"type":"thesis","title":"Urbanisation and Migration in Saudi Arabia: The Case of Buraydah City (doctoral thesis)","publisher":"University of Leicester","source":"Google Scholar","URL":"https://lra.le.ac.uk/handle/2381/10152","shortTitle":"Urbanisation and Migration in Saudi Arabia","author":[{"family":"Al Bassam","given":"Ahmad Mohammad A."}],"issued":{"date-parts":[["2012"]]},"accessed":{"date-parts":[["2017",7,25]]}}}],"schema":"https://github.com/citation-style-language/schema/raw/master/csl-citation.json"} </w:instrText>
      </w:r>
      <w:r w:rsidR="00DF33FC" w:rsidRPr="00CF31E0">
        <w:fldChar w:fldCharType="separate"/>
      </w:r>
      <w:r w:rsidR="002262AC" w:rsidRPr="00CF31E0">
        <w:rPr>
          <w:noProof/>
        </w:rPr>
        <w:t>(Al-</w:t>
      </w:r>
      <w:r w:rsidR="00DF33FC" w:rsidRPr="00CF31E0">
        <w:rPr>
          <w:noProof/>
        </w:rPr>
        <w:t>Bassam, 2012)</w:t>
      </w:r>
      <w:r w:rsidR="00DF33FC" w:rsidRPr="00CF31E0">
        <w:fldChar w:fldCharType="end"/>
      </w:r>
      <w:r w:rsidR="00DF33FC" w:rsidRPr="00CF31E0">
        <w:t>.</w:t>
      </w:r>
      <w:r w:rsidR="005D1004" w:rsidRPr="00CF31E0">
        <w:t xml:space="preserve"> </w:t>
      </w:r>
      <w:r w:rsidR="00DF33FC" w:rsidRPr="00CF31E0">
        <w:t xml:space="preserve">This is </w:t>
      </w:r>
      <w:r w:rsidR="00F627DC" w:rsidRPr="00CF31E0">
        <w:t xml:space="preserve">likely to be because, as discussed earlier, </w:t>
      </w:r>
      <w:r>
        <w:t>Makkah</w:t>
      </w:r>
      <w:r w:rsidR="00F627DC" w:rsidRPr="00CF31E0">
        <w:t xml:space="preserve"> was </w:t>
      </w:r>
      <w:r w:rsidR="004E432A" w:rsidRPr="00CF31E0">
        <w:t xml:space="preserve">the arrival point for pilgrims from all over the Islamic world to perform </w:t>
      </w:r>
      <w:r w:rsidR="00F627DC" w:rsidRPr="00CF31E0">
        <w:t>p</w:t>
      </w:r>
      <w:r w:rsidR="004E432A" w:rsidRPr="00CF31E0">
        <w:t xml:space="preserve">ilgrimage. </w:t>
      </w:r>
      <w:r w:rsidR="009A06D9" w:rsidRPr="00CF31E0">
        <w:t>For t</w:t>
      </w:r>
      <w:r w:rsidR="004E432A" w:rsidRPr="00CF31E0">
        <w:t xml:space="preserve">hese pilgrims </w:t>
      </w:r>
      <w:r>
        <w:t>Makkah</w:t>
      </w:r>
      <w:r w:rsidR="004E432A" w:rsidRPr="00CF31E0">
        <w:t xml:space="preserve"> </w:t>
      </w:r>
      <w:r w:rsidR="009A06D9" w:rsidRPr="00CF31E0">
        <w:t xml:space="preserve">was </w:t>
      </w:r>
      <w:r w:rsidR="004E432A" w:rsidRPr="00CF31E0">
        <w:t>a place to reside, worship and work</w:t>
      </w:r>
      <w:r w:rsidR="009A06D9" w:rsidRPr="00CF31E0">
        <w:t xml:space="preserve">; </w:t>
      </w:r>
      <w:r w:rsidR="004E432A" w:rsidRPr="00CF31E0">
        <w:t>therefore</w:t>
      </w:r>
      <w:r w:rsidR="009A06D9" w:rsidRPr="00CF31E0">
        <w:t>,</w:t>
      </w:r>
      <w:r w:rsidR="004E432A" w:rsidRPr="00CF31E0">
        <w:t xml:space="preserve"> most </w:t>
      </w:r>
      <w:r w:rsidR="00F627DC" w:rsidRPr="00CF31E0">
        <w:t>did</w:t>
      </w:r>
      <w:r w:rsidR="004E432A" w:rsidRPr="00CF31E0">
        <w:t xml:space="preserve"> not </w:t>
      </w:r>
      <w:r w:rsidR="00F627DC" w:rsidRPr="00CF31E0">
        <w:t xml:space="preserve">want </w:t>
      </w:r>
      <w:r w:rsidR="004E432A" w:rsidRPr="00CF31E0">
        <w:t xml:space="preserve">to go back to their home </w:t>
      </w:r>
      <w:r w:rsidR="00FF5758" w:rsidRPr="00CF31E0">
        <w:t>count</w:t>
      </w:r>
      <w:r w:rsidR="004E432A" w:rsidRPr="00CF31E0">
        <w:t xml:space="preserve">ries </w:t>
      </w:r>
      <w:r w:rsidR="005B7DDF" w:rsidRPr="00CF31E0">
        <w:fldChar w:fldCharType="begin"/>
      </w:r>
      <w:r w:rsidR="005B7DDF" w:rsidRPr="00CF31E0">
        <w:instrText xml:space="preserve"> ADDIN ZOTERO_ITEM CSL_CITATION {"citationID":"kaQyCsAK","properties":{"formattedCitation":"(Al-Gabbani, 2009)","plainCitation":"(Al-Gabbani, 2009)","noteIndex":0},"citationItems":[{"id":410,"uris":["http://zotero.org/users/1939618/items/RGSJQSPB"],"uri":["http://zotero.org/users/1939618/items/RGSJQSPB"],"itemData":{"id":410,"type":"paper-conference","title":"Socio-economic Impacts of Foreign Population on Saudi Cities","publisher":"Dartmouth College, August 2009.","publisher-place":"USA","event":"Fifth Biennial Population Geographies Conference","event-place":"USA","author":[{"family":"Al-Gabbani","given":"M."}],"issued":{"date-parts":[["2009"]]}}}],"schema":"https://github.com/citation-style-language/schema/raw/master/csl-citation.json"} </w:instrText>
      </w:r>
      <w:r w:rsidR="005B7DDF" w:rsidRPr="00CF31E0">
        <w:fldChar w:fldCharType="separate"/>
      </w:r>
      <w:r w:rsidR="005B7DDF" w:rsidRPr="00CF31E0">
        <w:rPr>
          <w:rFonts w:eastAsia="Times New Roman" w:hAnsiTheme="majorHAnsi"/>
        </w:rPr>
        <w:t>(Al-Gabbani, 2009)</w:t>
      </w:r>
      <w:r w:rsidR="005B7DDF" w:rsidRPr="00CF31E0">
        <w:fldChar w:fldCharType="end"/>
      </w:r>
      <w:r w:rsidR="005B7DDF" w:rsidRPr="00CF31E0">
        <w:t>.</w:t>
      </w:r>
      <w:r w:rsidR="00DF33FC" w:rsidRPr="00CF31E0">
        <w:t xml:space="preserve"> </w:t>
      </w:r>
      <w:r w:rsidR="009A06D9" w:rsidRPr="00CF31E0">
        <w:t>I</w:t>
      </w:r>
      <w:r w:rsidR="00DF33FC" w:rsidRPr="00CF31E0">
        <w:t xml:space="preserve">n </w:t>
      </w:r>
      <w:r w:rsidR="008E2D6B" w:rsidRPr="00CF31E0">
        <w:t>2000</w:t>
      </w:r>
      <w:r w:rsidR="00DF33FC" w:rsidRPr="00CF31E0">
        <w:t xml:space="preserve"> </w:t>
      </w:r>
      <w:r w:rsidR="009A06D9" w:rsidRPr="00CF31E0">
        <w:t xml:space="preserve">the </w:t>
      </w:r>
      <w:r w:rsidR="00DF33FC" w:rsidRPr="00CF31E0">
        <w:t>Saudi government gr</w:t>
      </w:r>
      <w:r w:rsidR="00EF487D" w:rsidRPr="00CF31E0">
        <w:t>an</w:t>
      </w:r>
      <w:r w:rsidR="00DF33FC" w:rsidRPr="00CF31E0">
        <w:t xml:space="preserve">ted </w:t>
      </w:r>
      <w:r w:rsidR="009A06D9" w:rsidRPr="00CF31E0">
        <w:t xml:space="preserve">an </w:t>
      </w:r>
      <w:r w:rsidR="00703040" w:rsidRPr="00CF31E0">
        <w:t>amnesty</w:t>
      </w:r>
      <w:r w:rsidR="00DF33FC" w:rsidRPr="00CF31E0">
        <w:t xml:space="preserve"> </w:t>
      </w:r>
      <w:r w:rsidR="00DA2229" w:rsidRPr="00CF31E0">
        <w:t xml:space="preserve">for </w:t>
      </w:r>
      <w:r w:rsidR="00DF33FC" w:rsidRPr="00CF31E0">
        <w:t xml:space="preserve">illegal migrants to </w:t>
      </w:r>
      <w:r w:rsidR="00DA2229" w:rsidRPr="00CF31E0">
        <w:t xml:space="preserve">voluntarily </w:t>
      </w:r>
      <w:r w:rsidR="00DF33FC" w:rsidRPr="00CF31E0">
        <w:t xml:space="preserve">leave the </w:t>
      </w:r>
      <w:r w:rsidR="002B3095" w:rsidRPr="00CF31E0">
        <w:t>country</w:t>
      </w:r>
      <w:r w:rsidR="00DA2229" w:rsidRPr="00CF31E0">
        <w:t>; it was no surprise that</w:t>
      </w:r>
      <w:r w:rsidR="00DF33FC" w:rsidRPr="00CF31E0">
        <w:t xml:space="preserve"> most of </w:t>
      </w:r>
      <w:r w:rsidR="00DA2229" w:rsidRPr="00CF31E0">
        <w:t xml:space="preserve">the </w:t>
      </w:r>
      <w:r w:rsidR="00DF33FC" w:rsidRPr="00CF31E0">
        <w:t xml:space="preserve">illegal </w:t>
      </w:r>
      <w:r w:rsidR="00703040" w:rsidRPr="00CF31E0">
        <w:t>immigrants</w:t>
      </w:r>
      <w:r w:rsidR="00DF33FC" w:rsidRPr="00CF31E0">
        <w:t xml:space="preserve"> who </w:t>
      </w:r>
      <w:r w:rsidR="00A54FE7" w:rsidRPr="00CF31E0">
        <w:t>le</w:t>
      </w:r>
      <w:r w:rsidR="000C03CB" w:rsidRPr="00CF31E0">
        <w:t xml:space="preserve">ft the </w:t>
      </w:r>
      <w:r w:rsidR="002B3095" w:rsidRPr="00CF31E0">
        <w:t>country</w:t>
      </w:r>
      <w:r w:rsidR="000C03CB" w:rsidRPr="00CF31E0">
        <w:t xml:space="preserve"> were from </w:t>
      </w:r>
      <w:r>
        <w:t>Makkah</w:t>
      </w:r>
      <w:r w:rsidR="000C03CB" w:rsidRPr="00CF31E0">
        <w:t xml:space="preserve"> </w:t>
      </w:r>
      <w:r w:rsidR="000C03CB" w:rsidRPr="00CF31E0">
        <w:fldChar w:fldCharType="begin"/>
      </w:r>
      <w:r w:rsidR="000C03CB" w:rsidRPr="00CF31E0">
        <w:instrText xml:space="preserve"> ADDIN ZOTERO_ITEM CSL_CITATION {"citationID":"Gryc9pB6","properties":{"formattedCitation":"(Bchir, 2008)","plainCitation":"(Bchir, 2008)","noteIndex":0},"citationItems":[{"id":434,"uris":["http://zotero.org/users/1939618/items/62M6CQRB"],"uri":["http://zotero.org/users/1939618/items/62M6CQRB"],"itemData":{"id":434,"type":"article-journal","title":"The effect of mode 4 liberalization on illegal immigration","container-title":"Economic Modelling","page":"1051–1063","volume":"25","issue":"5","source":"find.shef.ac.uk","abstract":"This paper aims to assess the impacts of the temporary movement of workers on the illegal immigration. It uses a discrete time, forward-looking model with heterogeneous agents, in order to describe the decision made by illegal migrants from developing countries. Illegal migrants are supposed to accede only to the informal sector and are price takers, as they have no negotiating power. Taking into account these specifications, the theoretical model is solved analytically and illustrated numerically. It demonstrates that under some conditions, the liberalization of temporary movement of workers could lead to a decrease of illegal migration.","DOI":"10.1016/j.econmod.2008.01.011","ISSN":"0264-9993","language":"eng","author":[{"family":"Bchir","given":"Mohamed Hedi"}],"issued":{"date-parts":[["2008"]]}}}],"schema":"https://github.com/citation-style-language/schema/raw/master/csl-citation.json"} </w:instrText>
      </w:r>
      <w:r w:rsidR="000C03CB" w:rsidRPr="00CF31E0">
        <w:fldChar w:fldCharType="separate"/>
      </w:r>
      <w:r w:rsidR="000C03CB" w:rsidRPr="00CF31E0">
        <w:rPr>
          <w:noProof/>
        </w:rPr>
        <w:t>(Bchir, 2008)</w:t>
      </w:r>
      <w:r w:rsidR="000C03CB" w:rsidRPr="00CF31E0">
        <w:fldChar w:fldCharType="end"/>
      </w:r>
      <w:r w:rsidR="005579A0" w:rsidRPr="00CF31E0">
        <w:t>.</w:t>
      </w:r>
      <w:r w:rsidR="00E72E23" w:rsidRPr="00CF31E0">
        <w:t xml:space="preserve"> </w:t>
      </w:r>
    </w:p>
    <w:p w14:paraId="4797A8E9" w14:textId="2C580E3A" w:rsidR="00970F2B" w:rsidRPr="00CF31E0" w:rsidRDefault="00D86F38" w:rsidP="00603CB7">
      <w:pPr>
        <w:pStyle w:val="Paragraph"/>
      </w:pPr>
      <w:r w:rsidRPr="00CF31E0">
        <w:t xml:space="preserve">According to </w:t>
      </w:r>
      <w:r w:rsidR="00DA2229" w:rsidRPr="00CF31E0">
        <w:t xml:space="preserve">the </w:t>
      </w:r>
      <w:r w:rsidR="00612A12" w:rsidRPr="00CF31E0">
        <w:t>last updated statistics from</w:t>
      </w:r>
      <w:r w:rsidR="0048547F" w:rsidRPr="00CF31E0">
        <w:t xml:space="preserve"> </w:t>
      </w:r>
      <w:r w:rsidR="00DA2229" w:rsidRPr="00CF31E0">
        <w:t>G</w:t>
      </w:r>
      <w:r w:rsidRPr="00CF31E0">
        <w:t xml:space="preserve">eneral </w:t>
      </w:r>
      <w:r w:rsidR="00DA2229" w:rsidRPr="00CF31E0">
        <w:t>A</w:t>
      </w:r>
      <w:r w:rsidRPr="00CF31E0">
        <w:t>uthor</w:t>
      </w:r>
      <w:r w:rsidR="0048547F" w:rsidRPr="00CF31E0">
        <w:t>ity</w:t>
      </w:r>
      <w:r w:rsidR="00E34C71" w:rsidRPr="00CF31E0">
        <w:t xml:space="preserve"> </w:t>
      </w:r>
      <w:r w:rsidR="00612A12" w:rsidRPr="00CF31E0">
        <w:t xml:space="preserve">of statistics </w:t>
      </w:r>
      <w:r w:rsidR="007A372A" w:rsidRPr="00CF31E0">
        <w:t>(2010</w:t>
      </w:r>
      <w:r w:rsidR="00932019" w:rsidRPr="00CF31E0">
        <w:t>)</w:t>
      </w:r>
      <w:r w:rsidR="00DA2229" w:rsidRPr="00CF31E0">
        <w:t>,</w:t>
      </w:r>
      <w:r w:rsidRPr="00CF31E0">
        <w:t xml:space="preserve"> </w:t>
      </w:r>
      <w:r w:rsidR="00932019" w:rsidRPr="00CF31E0">
        <w:t xml:space="preserve">in 2010, </w:t>
      </w:r>
      <w:r w:rsidRPr="00CF31E0">
        <w:t xml:space="preserve">60% of </w:t>
      </w:r>
      <w:r w:rsidR="00DA2229" w:rsidRPr="00CF31E0">
        <w:t xml:space="preserve">the </w:t>
      </w:r>
      <w:r w:rsidRPr="00CF31E0">
        <w:t>Sa</w:t>
      </w:r>
      <w:r w:rsidR="00722237" w:rsidRPr="00CF31E0">
        <w:t>udi population is found in four</w:t>
      </w:r>
      <w:r w:rsidRPr="00CF31E0">
        <w:t xml:space="preserve"> cities</w:t>
      </w:r>
      <w:r w:rsidR="00DA2229" w:rsidRPr="00CF31E0">
        <w:t xml:space="preserve">: </w:t>
      </w:r>
      <w:r w:rsidR="00D30B2F">
        <w:t>Makkah</w:t>
      </w:r>
      <w:r w:rsidRPr="00CF31E0">
        <w:t xml:space="preserve">, </w:t>
      </w:r>
      <w:r w:rsidR="0015785F" w:rsidRPr="00CF31E0">
        <w:t>Al-Madina</w:t>
      </w:r>
      <w:r w:rsidRPr="00CF31E0">
        <w:t>, Jeddah and Riyadh</w:t>
      </w:r>
      <w:r w:rsidR="00272043" w:rsidRPr="00CF31E0">
        <w:t>.</w:t>
      </w:r>
      <w:r w:rsidRPr="00CF31E0">
        <w:t xml:space="preserve"> </w:t>
      </w:r>
      <w:r w:rsidR="00970F2B" w:rsidRPr="00CF31E0">
        <w:t xml:space="preserve">Interestingly, three of the </w:t>
      </w:r>
      <w:r w:rsidR="00970F2B" w:rsidRPr="00CF31E0">
        <w:lastRenderedPageBreak/>
        <w:t xml:space="preserve">aforementioned cities are located in </w:t>
      </w:r>
      <w:r w:rsidR="002F4F32" w:rsidRPr="00CF31E0">
        <w:t xml:space="preserve">the </w:t>
      </w:r>
      <w:r w:rsidR="00970F2B" w:rsidRPr="00CF31E0">
        <w:t>Hijaz region. A</w:t>
      </w:r>
      <w:r w:rsidR="00272043" w:rsidRPr="00CF31E0">
        <w:t xml:space="preserve">long </w:t>
      </w:r>
      <w:r w:rsidR="00D30B2F">
        <w:t>Makkah</w:t>
      </w:r>
      <w:r w:rsidR="00970F2B" w:rsidRPr="00CF31E0">
        <w:t xml:space="preserve"> and </w:t>
      </w:r>
      <w:r w:rsidR="0015785F" w:rsidRPr="00CF31E0">
        <w:t>Al-Madina</w:t>
      </w:r>
      <w:r w:rsidR="00272043" w:rsidRPr="00CF31E0">
        <w:t xml:space="preserve">, </w:t>
      </w:r>
      <w:r w:rsidR="00970F2B" w:rsidRPr="00CF31E0">
        <w:t>Jeddah is another urban centre in Hijaz</w:t>
      </w:r>
      <w:r w:rsidR="00A02F09" w:rsidRPr="00CF31E0">
        <w:t>,</w:t>
      </w:r>
      <w:r w:rsidR="00612A12" w:rsidRPr="00CF31E0">
        <w:t xml:space="preserve"> see section</w:t>
      </w:r>
      <w:r w:rsidR="00296396" w:rsidRPr="00CF31E0">
        <w:t xml:space="preserve"> </w:t>
      </w:r>
      <w:r w:rsidR="002124ED" w:rsidRPr="00CF31E0">
        <w:t>2</w:t>
      </w:r>
      <w:r w:rsidR="00296396" w:rsidRPr="00CF31E0">
        <w:t>.2</w:t>
      </w:r>
      <w:r w:rsidR="00612A12" w:rsidRPr="00CF31E0">
        <w:t xml:space="preserve"> above</w:t>
      </w:r>
      <w:r w:rsidR="00970F2B" w:rsidRPr="00CF31E0">
        <w:t xml:space="preserve">. </w:t>
      </w:r>
      <w:r w:rsidR="00272043" w:rsidRPr="00CF31E0">
        <w:t>As elsewhere in SA, where the e</w:t>
      </w:r>
      <w:r w:rsidR="00970F2B" w:rsidRPr="00CF31E0">
        <w:t xml:space="preserve">conomic development </w:t>
      </w:r>
      <w:r w:rsidR="00272043" w:rsidRPr="00CF31E0">
        <w:t xml:space="preserve">led to the </w:t>
      </w:r>
      <w:r w:rsidR="00970F2B" w:rsidRPr="00CF31E0">
        <w:t xml:space="preserve">building </w:t>
      </w:r>
      <w:r w:rsidR="00272043" w:rsidRPr="00CF31E0">
        <w:t xml:space="preserve">of </w:t>
      </w:r>
      <w:r w:rsidR="00970F2B" w:rsidRPr="00CF31E0">
        <w:t>new infrastructure</w:t>
      </w:r>
      <w:r w:rsidR="009277ED" w:rsidRPr="00CF31E0">
        <w:t>,</w:t>
      </w:r>
      <w:r w:rsidR="00272043" w:rsidRPr="00CF31E0">
        <w:t xml:space="preserve"> there were </w:t>
      </w:r>
      <w:r w:rsidR="00970F2B" w:rsidRPr="00CF31E0">
        <w:t>job opportunities</w:t>
      </w:r>
      <w:r w:rsidR="00272043" w:rsidRPr="00CF31E0">
        <w:t xml:space="preserve"> </w:t>
      </w:r>
      <w:r w:rsidR="00970F2B" w:rsidRPr="00CF31E0">
        <w:t xml:space="preserve">available </w:t>
      </w:r>
      <w:r w:rsidR="00272043" w:rsidRPr="00CF31E0">
        <w:t xml:space="preserve">in Jeddah which </w:t>
      </w:r>
      <w:r w:rsidR="00722237" w:rsidRPr="00CF31E0">
        <w:t xml:space="preserve">attracted more overstaying pilgrims to work and settle in the city. </w:t>
      </w:r>
    </w:p>
    <w:p w14:paraId="224003ED" w14:textId="3E8B6A4C" w:rsidR="00D86F38" w:rsidRPr="00CF31E0" w:rsidRDefault="00D86F38" w:rsidP="00603CB7">
      <w:pPr>
        <w:pStyle w:val="Paragraph"/>
        <w:rPr>
          <w:lang w:val="en-US"/>
        </w:rPr>
      </w:pPr>
      <w:r w:rsidRPr="00CF31E0">
        <w:rPr>
          <w:lang w:val="en-US"/>
        </w:rPr>
        <w:t xml:space="preserve">As a result of the population </w:t>
      </w:r>
      <w:r w:rsidR="009277ED" w:rsidRPr="00CF31E0">
        <w:rPr>
          <w:lang w:val="en-US"/>
        </w:rPr>
        <w:t xml:space="preserve">increase </w:t>
      </w:r>
      <w:r w:rsidR="009608A7" w:rsidRPr="00CF31E0">
        <w:rPr>
          <w:lang w:val="en-US"/>
        </w:rPr>
        <w:t xml:space="preserve">which was driven initially by external </w:t>
      </w:r>
      <w:r w:rsidR="00E21307" w:rsidRPr="00CF31E0">
        <w:rPr>
          <w:lang w:val="en-US"/>
        </w:rPr>
        <w:t>migration,</w:t>
      </w:r>
      <w:r w:rsidR="009608A7" w:rsidRPr="00CF31E0">
        <w:rPr>
          <w:lang w:val="en-US"/>
        </w:rPr>
        <w:t xml:space="preserve"> a </w:t>
      </w:r>
      <w:r w:rsidR="00970F2B" w:rsidRPr="00CF31E0">
        <w:rPr>
          <w:lang w:val="en-US"/>
        </w:rPr>
        <w:t xml:space="preserve">dichotomy between </w:t>
      </w:r>
      <w:r w:rsidR="00722237" w:rsidRPr="00CF31E0">
        <w:rPr>
          <w:lang w:val="en-US"/>
        </w:rPr>
        <w:t xml:space="preserve">urban </w:t>
      </w:r>
      <w:r w:rsidR="009608A7" w:rsidRPr="00CF31E0">
        <w:rPr>
          <w:lang w:val="en-US"/>
        </w:rPr>
        <w:t xml:space="preserve">Hijazi </w:t>
      </w:r>
      <w:r w:rsidR="00970F2B" w:rsidRPr="00CF31E0">
        <w:rPr>
          <w:lang w:val="en-US"/>
        </w:rPr>
        <w:t>Bedouins</w:t>
      </w:r>
      <w:r w:rsidR="00946AE3" w:rsidRPr="00CF31E0">
        <w:rPr>
          <w:lang w:val="en-US"/>
        </w:rPr>
        <w:t xml:space="preserve">, </w:t>
      </w:r>
      <w:r w:rsidR="00722237" w:rsidRPr="00CF31E0">
        <w:rPr>
          <w:lang w:val="en-US"/>
        </w:rPr>
        <w:t>those</w:t>
      </w:r>
      <w:r w:rsidR="009608A7" w:rsidRPr="00CF31E0">
        <w:rPr>
          <w:lang w:val="en-US"/>
        </w:rPr>
        <w:t xml:space="preserve"> who came from rural areas in Hijaz</w:t>
      </w:r>
      <w:r w:rsidR="00722237" w:rsidRPr="00CF31E0">
        <w:rPr>
          <w:lang w:val="en-US"/>
        </w:rPr>
        <w:t xml:space="preserve"> to settle in cities, </w:t>
      </w:r>
      <w:r w:rsidRPr="00CF31E0">
        <w:rPr>
          <w:lang w:val="en-US"/>
        </w:rPr>
        <w:t>an</w:t>
      </w:r>
      <w:r w:rsidR="00970F2B" w:rsidRPr="00CF31E0">
        <w:rPr>
          <w:lang w:val="en-US"/>
        </w:rPr>
        <w:t>d</w:t>
      </w:r>
      <w:r w:rsidR="00FB15DF" w:rsidRPr="00CF31E0">
        <w:rPr>
          <w:lang w:val="en-US"/>
        </w:rPr>
        <w:t xml:space="preserve"> foreign</w:t>
      </w:r>
      <w:r w:rsidR="00970F2B" w:rsidRPr="00CF31E0">
        <w:rPr>
          <w:lang w:val="en-US"/>
        </w:rPr>
        <w:t xml:space="preserve"> settlers became very apparent. </w:t>
      </w:r>
      <w:r w:rsidR="00722237" w:rsidRPr="00CF31E0">
        <w:rPr>
          <w:lang w:val="en-US"/>
        </w:rPr>
        <w:t>Therefore, the social structure in SA in general and Hijaz in particular has changed</w:t>
      </w:r>
      <w:r w:rsidR="009277ED" w:rsidRPr="00CF31E0">
        <w:rPr>
          <w:lang w:val="en-US"/>
        </w:rPr>
        <w:t xml:space="preserve"> entirely</w:t>
      </w:r>
      <w:r w:rsidR="00722237" w:rsidRPr="00CF31E0">
        <w:rPr>
          <w:lang w:val="en-US"/>
        </w:rPr>
        <w:t xml:space="preserve">. </w:t>
      </w:r>
      <w:r w:rsidRPr="00CF31E0">
        <w:rPr>
          <w:lang w:val="en-US"/>
        </w:rPr>
        <w:t xml:space="preserve">In the following section, I will </w:t>
      </w:r>
      <w:r w:rsidR="009277ED" w:rsidRPr="00CF31E0">
        <w:rPr>
          <w:lang w:val="en-US"/>
        </w:rPr>
        <w:t>highlight</w:t>
      </w:r>
      <w:r w:rsidRPr="00CF31E0">
        <w:rPr>
          <w:lang w:val="en-US"/>
        </w:rPr>
        <w:t xml:space="preserve"> the changes in the soci</w:t>
      </w:r>
      <w:r w:rsidR="009608A7" w:rsidRPr="00CF31E0">
        <w:rPr>
          <w:lang w:val="en-US"/>
        </w:rPr>
        <w:t>al structure of Hijazi Saudi society</w:t>
      </w:r>
      <w:r w:rsidR="00722237" w:rsidRPr="00CF31E0">
        <w:rPr>
          <w:lang w:val="en-US"/>
        </w:rPr>
        <w:t xml:space="preserve">. </w:t>
      </w:r>
    </w:p>
    <w:p w14:paraId="6936AF14" w14:textId="7E9C8BBC" w:rsidR="003677E5" w:rsidRPr="00CF31E0" w:rsidRDefault="00052CB9" w:rsidP="0061369D">
      <w:pPr>
        <w:pStyle w:val="Ahead"/>
      </w:pPr>
      <w:bookmarkStart w:id="112" w:name="_Toc511728081"/>
      <w:bookmarkStart w:id="113" w:name="_Toc6472634"/>
      <w:r w:rsidRPr="00CF31E0">
        <w:t>2</w:t>
      </w:r>
      <w:r w:rsidR="00713A64" w:rsidRPr="00CF31E0">
        <w:t>.16.</w:t>
      </w:r>
      <w:r w:rsidR="00713A64" w:rsidRPr="00CF31E0">
        <w:tab/>
      </w:r>
      <w:r w:rsidR="00DB469A" w:rsidRPr="00CF31E0">
        <w:t>Changes in SA</w:t>
      </w:r>
      <w:r w:rsidR="00722237" w:rsidRPr="00CF31E0">
        <w:t xml:space="preserve"> social structure</w:t>
      </w:r>
      <w:r w:rsidR="00491EF7" w:rsidRPr="00CF31E0">
        <w:t xml:space="preserve">: </w:t>
      </w:r>
      <w:r w:rsidR="00114AEE" w:rsidRPr="00CF31E0">
        <w:t xml:space="preserve">from </w:t>
      </w:r>
      <w:r w:rsidR="00491EF7" w:rsidRPr="00CF31E0">
        <w:t xml:space="preserve">a </w:t>
      </w:r>
      <w:r w:rsidR="00114AEE" w:rsidRPr="00CF31E0">
        <w:t>rural to urban society</w:t>
      </w:r>
      <w:bookmarkEnd w:id="112"/>
      <w:bookmarkEnd w:id="113"/>
    </w:p>
    <w:p w14:paraId="1145473D" w14:textId="6E39942B" w:rsidR="00DD4437" w:rsidRPr="00CF31E0" w:rsidRDefault="00D86F38" w:rsidP="00603CB7">
      <w:pPr>
        <w:pStyle w:val="Paragraph"/>
        <w:rPr>
          <w:lang w:val="en-US"/>
        </w:rPr>
      </w:pPr>
      <w:r w:rsidRPr="00CF31E0">
        <w:rPr>
          <w:lang w:val="en-US"/>
        </w:rPr>
        <w:t>The transfo</w:t>
      </w:r>
      <w:r w:rsidR="0085645C" w:rsidRPr="00CF31E0">
        <w:rPr>
          <w:lang w:val="en-US"/>
        </w:rPr>
        <w:t>rmation from a basically rural</w:t>
      </w:r>
      <w:r w:rsidRPr="00CF31E0">
        <w:rPr>
          <w:lang w:val="en-US"/>
        </w:rPr>
        <w:t xml:space="preserve"> </w:t>
      </w:r>
      <w:r w:rsidR="0039054F" w:rsidRPr="00CF31E0">
        <w:rPr>
          <w:lang w:val="en-US"/>
        </w:rPr>
        <w:t xml:space="preserve">to urban </w:t>
      </w:r>
      <w:r w:rsidRPr="00CF31E0">
        <w:rPr>
          <w:lang w:val="en-US"/>
        </w:rPr>
        <w:t>society was extremely rapid in SA</w:t>
      </w:r>
      <w:r w:rsidR="0071058E" w:rsidRPr="00CF31E0">
        <w:rPr>
          <w:lang w:val="en-US"/>
        </w:rPr>
        <w:t xml:space="preserve"> </w:t>
      </w:r>
      <w:r w:rsidR="0071058E" w:rsidRPr="00CF31E0">
        <w:rPr>
          <w:lang w:val="en-US"/>
        </w:rPr>
        <w:fldChar w:fldCharType="begin"/>
      </w:r>
      <w:r w:rsidR="00A54129" w:rsidRPr="00CF31E0">
        <w:rPr>
          <w:lang w:val="en-US"/>
        </w:rPr>
        <w:instrText xml:space="preserve"> ADDIN ZOTERO_ITEM CSL_CITATION {"citationID":"wyJlLKvc","properties":{"formattedCitation":"(Cordesman, 2003; Vassiliev, 2000)","plainCitation":"(Cordesman, 2003; Vassiliev, 2000)","noteIndex":0},"citationItems":[{"id":"wgwhcNH1/M7OONjvz","uris":["http://zotero.org/users/1939618/items/2GT7RHQB"],"uri":["http://zotero.org/users/1939618/items/2GT7RHQB"],"itemData":{"id":420,"type":"book","title":"Saudi Arabia Enters the Twenty-first Century: The military and international security dimensions","publisher":"Greenwood Publishing Group","number-of-pages":"436","source":"Google Books","abstract":"With the continuing importance of Saudi Arabia in regional and world politics, the current and future effectiveness of the Saudi military carries increased significance. Despite recent strains in relations with the U.S., particularly in light of the role Saudis played in the events of September 11, 2001, the Kingdom remains America's key Arab ally. Cordesman studies the challenges faced by the Saudis from both their allies and their potential enemies to assess Saudi Arabia's ability to forge a better approach to collective security in the Gulf and to create more stable long-term security arrangements with the U.S. and other Western Powers. This assessment of Saudi Arabia's strategic position includes a full-scale analysis of Saudi military forces, defense expenditures, arms imports, military modernization, readiness and war fighting capability. It examines both the cooperation and tension with other Southern Gulf States. It explores the implications of the conventional military build-up and creeping proliferation of weapons of mass destruction in the Gulf and the resulting changes in Saudi Arabia's security position. All of these factors have critical implications for stability within the Kingdom, within the Gulf, as well as in the broader global context.","ISBN":"978-0-275-97997-3","shortTitle":"Saudi Arabia Enters the Twenty-first Century","language":"en","author":[{"family":"Cordesman","given":"Anthony H."}],"issued":{"date-parts":[["2003"]]}},"label":"page"},{"id":173,"uris":["http://zotero.org/users/1939618/items/6I5BC846"],"uri":["http://zotero.org/users/1939618/items/6I5BC846"],"itemData":{"id":173,"type":"book","title":"The History of Saudi Arabia","publisher":"Saqi","publisher-place":"London","source":"Google Scholar","event-place":"London","URL":"https://books.google.co.uk/books?hl=en&amp;lr=&amp;id=lEIhBQAAQBAJ&amp;oi=fnd&amp;pg=PT4&amp;dq=Vassiliev,+A.+(2013).+The+History+of+Saudi+Arabia.+London,+Saqi+books.+&amp;ots=KPwVsHcASb&amp;sig=oVibAvTA79h5vqAaHDXY7YS9H7I","author":[{"family":"Vassiliev","given":"Alexei"}],"issued":{"date-parts":[["2000"]]},"accessed":{"date-parts":[["2015",9,28]]}},"label":"page"}],"schema":"https://github.com/citation-style-language/schema/raw/master/csl-citation.json"} </w:instrText>
      </w:r>
      <w:r w:rsidR="0071058E" w:rsidRPr="00CF31E0">
        <w:rPr>
          <w:lang w:val="en-US"/>
        </w:rPr>
        <w:fldChar w:fldCharType="separate"/>
      </w:r>
      <w:r w:rsidR="00A54129" w:rsidRPr="00CF31E0">
        <w:rPr>
          <w:noProof/>
          <w:lang w:val="en-US"/>
        </w:rPr>
        <w:t>(Cordesman, 2003; Vassiliev, 2000)</w:t>
      </w:r>
      <w:r w:rsidR="0071058E" w:rsidRPr="00CF31E0">
        <w:rPr>
          <w:lang w:val="en-US"/>
        </w:rPr>
        <w:fldChar w:fldCharType="end"/>
      </w:r>
      <w:r w:rsidR="0071058E" w:rsidRPr="00CF31E0">
        <w:rPr>
          <w:lang w:val="en-US"/>
        </w:rPr>
        <w:t xml:space="preserve">. </w:t>
      </w:r>
      <w:r w:rsidRPr="00CF31E0">
        <w:rPr>
          <w:lang w:val="en-US"/>
        </w:rPr>
        <w:t>Such a transformation affected the social structure of the largely feudal-tribal society in the state. With the adv</w:t>
      </w:r>
      <w:r w:rsidR="00722237" w:rsidRPr="00CF31E0">
        <w:rPr>
          <w:lang w:val="en-US"/>
        </w:rPr>
        <w:t xml:space="preserve">ent of oil, the number of </w:t>
      </w:r>
      <w:r w:rsidR="0085645C" w:rsidRPr="00CF31E0">
        <w:rPr>
          <w:lang w:val="en-US"/>
        </w:rPr>
        <w:t>rural people</w:t>
      </w:r>
      <w:r w:rsidRPr="00CF31E0">
        <w:rPr>
          <w:lang w:val="en-US"/>
        </w:rPr>
        <w:t xml:space="preserve"> decreased sharply because a large number of them moved to cities to work</w:t>
      </w:r>
      <w:r w:rsidR="00722237" w:rsidRPr="00CF31E0">
        <w:rPr>
          <w:lang w:val="en-US"/>
        </w:rPr>
        <w:t xml:space="preserve"> and they are no longer </w:t>
      </w:r>
      <w:r w:rsidR="00DD4437" w:rsidRPr="00CF31E0">
        <w:rPr>
          <w:lang w:val="en-US"/>
        </w:rPr>
        <w:t xml:space="preserve">characterized as rural people, instead they are called urban people. </w:t>
      </w:r>
    </w:p>
    <w:p w14:paraId="17C3DAC3" w14:textId="3A3E0AE5" w:rsidR="00D86F38" w:rsidRPr="00CF31E0" w:rsidRDefault="00D86F38" w:rsidP="00603CB7">
      <w:pPr>
        <w:pStyle w:val="Paragraph"/>
      </w:pPr>
      <w:r w:rsidRPr="00CF31E0">
        <w:rPr>
          <w:lang w:val="en-US"/>
        </w:rPr>
        <w:t>According to the Food and Agriculture Organization of the United Nations (FAO) estimates in 1965, Twitchell (</w:t>
      </w:r>
      <w:r w:rsidR="009E0A5B" w:rsidRPr="00CF31E0">
        <w:rPr>
          <w:lang w:val="en-US"/>
        </w:rPr>
        <w:t xml:space="preserve">as cited in </w:t>
      </w:r>
      <w:r w:rsidR="00106FAF" w:rsidRPr="00CF31E0">
        <w:rPr>
          <w:lang w:val="en-US"/>
        </w:rPr>
        <w:t>Vasseliev, 2000</w:t>
      </w:r>
      <w:r w:rsidRPr="00CF31E0">
        <w:rPr>
          <w:lang w:val="en-US"/>
        </w:rPr>
        <w:t xml:space="preserve">, p. 421) calculated that 12% of the state population were settled peasants, 22% were urban-settlers and 66% were nomads. Nowadays, </w:t>
      </w:r>
      <w:r w:rsidR="00B25742" w:rsidRPr="00CF31E0">
        <w:rPr>
          <w:lang w:val="en-US"/>
        </w:rPr>
        <w:t xml:space="preserve">according to </w:t>
      </w:r>
      <w:r w:rsidR="007A44E8" w:rsidRPr="00CF31E0">
        <w:rPr>
          <w:lang w:val="en-US"/>
        </w:rPr>
        <w:t>the U</w:t>
      </w:r>
      <w:r w:rsidR="00B25742" w:rsidRPr="00CF31E0">
        <w:rPr>
          <w:lang w:val="en-US"/>
        </w:rPr>
        <w:t xml:space="preserve">nited </w:t>
      </w:r>
      <w:r w:rsidR="007A44E8" w:rsidRPr="00CF31E0">
        <w:rPr>
          <w:lang w:val="en-US"/>
        </w:rPr>
        <w:t>N</w:t>
      </w:r>
      <w:r w:rsidR="00B25742" w:rsidRPr="00CF31E0">
        <w:rPr>
          <w:lang w:val="en-US"/>
        </w:rPr>
        <w:t xml:space="preserve">ations </w:t>
      </w:r>
      <w:r w:rsidR="007A44E8" w:rsidRPr="00CF31E0">
        <w:rPr>
          <w:lang w:val="en-US"/>
        </w:rPr>
        <w:t>D</w:t>
      </w:r>
      <w:r w:rsidR="00B25742" w:rsidRPr="00CF31E0">
        <w:rPr>
          <w:lang w:val="en-US"/>
        </w:rPr>
        <w:t xml:space="preserve">epartment of </w:t>
      </w:r>
      <w:r w:rsidR="007A44E8" w:rsidRPr="00CF31E0">
        <w:rPr>
          <w:lang w:val="en-US"/>
        </w:rPr>
        <w:t>E</w:t>
      </w:r>
      <w:r w:rsidR="00B25742" w:rsidRPr="00CF31E0">
        <w:rPr>
          <w:lang w:val="en-US"/>
        </w:rPr>
        <w:t xml:space="preserve">conomic and </w:t>
      </w:r>
      <w:r w:rsidR="007A44E8" w:rsidRPr="00CF31E0">
        <w:rPr>
          <w:lang w:val="en-US"/>
        </w:rPr>
        <w:t>S</w:t>
      </w:r>
      <w:r w:rsidR="00B25742" w:rsidRPr="00CF31E0">
        <w:rPr>
          <w:lang w:val="en-US"/>
        </w:rPr>
        <w:t xml:space="preserve">ocial </w:t>
      </w:r>
      <w:r w:rsidR="007A44E8" w:rsidRPr="00CF31E0">
        <w:rPr>
          <w:lang w:val="en-US"/>
        </w:rPr>
        <w:t>A</w:t>
      </w:r>
      <w:r w:rsidR="00B25742" w:rsidRPr="00CF31E0">
        <w:rPr>
          <w:lang w:val="en-US"/>
        </w:rPr>
        <w:t>ffairs</w:t>
      </w:r>
      <w:r w:rsidR="00480BFC" w:rsidRPr="00CF31E0">
        <w:t xml:space="preserve"> </w:t>
      </w:r>
      <w:bookmarkStart w:id="114" w:name="ZOTERO_BREF_VMVFB20sucNCSurqf55UV"/>
      <w:r w:rsidR="00480BFC" w:rsidRPr="00CF31E0">
        <w:t xml:space="preserve">(United </w:t>
      </w:r>
      <w:r w:rsidR="007A44E8" w:rsidRPr="00CF31E0">
        <w:t>N</w:t>
      </w:r>
      <w:r w:rsidR="00480BFC" w:rsidRPr="00CF31E0">
        <w:t>ations, 2014)</w:t>
      </w:r>
      <w:bookmarkEnd w:id="114"/>
      <w:r w:rsidR="00B25742" w:rsidRPr="00CF31E0">
        <w:rPr>
          <w:lang w:val="en-US"/>
        </w:rPr>
        <w:t>, the Saudi social structur</w:t>
      </w:r>
      <w:r w:rsidR="00765694" w:rsidRPr="00CF31E0">
        <w:rPr>
          <w:lang w:val="en-US"/>
        </w:rPr>
        <w:t>e has remarkably</w:t>
      </w:r>
      <w:r w:rsidR="00B25742" w:rsidRPr="00CF31E0">
        <w:rPr>
          <w:lang w:val="en-US"/>
        </w:rPr>
        <w:t xml:space="preserve"> changed from rural to urban one, see the following figures. </w:t>
      </w:r>
    </w:p>
    <w:p w14:paraId="193209BE" w14:textId="77777777" w:rsidR="00D86F38" w:rsidRPr="00CF31E0" w:rsidRDefault="00D86F38" w:rsidP="0061369D">
      <w:pPr>
        <w:spacing w:line="360" w:lineRule="auto"/>
        <w:jc w:val="both"/>
        <w:rPr>
          <w:rFonts w:asciiTheme="majorBidi" w:hAnsiTheme="majorBidi" w:cstheme="majorBidi"/>
          <w:color w:val="000000" w:themeColor="text1"/>
          <w:lang w:val="en-US"/>
        </w:rPr>
      </w:pPr>
      <w:r w:rsidRPr="00CF31E0">
        <w:rPr>
          <w:rFonts w:asciiTheme="majorBidi" w:hAnsiTheme="majorBidi" w:cstheme="majorBidi"/>
          <w:noProof/>
          <w:color w:val="000000" w:themeColor="text1"/>
        </w:rPr>
        <w:lastRenderedPageBreak/>
        <w:drawing>
          <wp:inline distT="0" distB="0" distL="0" distR="0" wp14:anchorId="73C3517E" wp14:editId="356BE241">
            <wp:extent cx="4646762" cy="1884003"/>
            <wp:effectExtent l="0" t="0" r="190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115" r="991" b="65208"/>
                    <a:stretch/>
                  </pic:blipFill>
                  <pic:spPr bwMode="auto">
                    <a:xfrm>
                      <a:off x="0" y="0"/>
                      <a:ext cx="4650981" cy="1885714"/>
                    </a:xfrm>
                    <a:prstGeom prst="rect">
                      <a:avLst/>
                    </a:prstGeom>
                    <a:noFill/>
                    <a:ln>
                      <a:noFill/>
                    </a:ln>
                    <a:extLst>
                      <a:ext uri="{53640926-AAD7-44D8-BBD7-CCE9431645EC}">
                        <a14:shadowObscured xmlns:a14="http://schemas.microsoft.com/office/drawing/2010/main"/>
                      </a:ext>
                    </a:extLst>
                  </pic:spPr>
                </pic:pic>
              </a:graphicData>
            </a:graphic>
          </wp:inline>
        </w:drawing>
      </w:r>
    </w:p>
    <w:p w14:paraId="2FAC7F5D" w14:textId="43060333" w:rsidR="00D86F38" w:rsidRPr="00CF31E0" w:rsidRDefault="006F6D73" w:rsidP="00603CB7">
      <w:pPr>
        <w:pStyle w:val="Figcaption"/>
        <w:spacing w:before="100"/>
        <w:rPr>
          <w:color w:val="000000" w:themeColor="text1"/>
          <w:lang w:val="en-US"/>
        </w:rPr>
      </w:pPr>
      <w:bookmarkStart w:id="115" w:name="_Toc522527329"/>
      <w:bookmarkStart w:id="116" w:name="_Toc522628160"/>
      <w:bookmarkStart w:id="117" w:name="_Toc522628278"/>
      <w:bookmarkStart w:id="118" w:name="_Toc522628378"/>
      <w:bookmarkStart w:id="119" w:name="_Toc6472980"/>
      <w:r w:rsidRPr="00CF31E0">
        <w:rPr>
          <w:color w:val="000000" w:themeColor="text1"/>
          <w:lang w:val="en-US"/>
        </w:rPr>
        <w:t xml:space="preserve">Figure </w:t>
      </w:r>
      <w:r w:rsidR="002124ED" w:rsidRPr="00CF31E0">
        <w:rPr>
          <w:color w:val="000000" w:themeColor="text1"/>
          <w:lang w:val="en-US"/>
        </w:rPr>
        <w:t>2</w:t>
      </w:r>
      <w:r w:rsidR="00996934" w:rsidRPr="00CF31E0">
        <w:rPr>
          <w:color w:val="000000" w:themeColor="text1"/>
          <w:lang w:val="en-US"/>
        </w:rPr>
        <w:t>.5a</w:t>
      </w:r>
      <w:r w:rsidRPr="00CF31E0">
        <w:rPr>
          <w:color w:val="000000" w:themeColor="text1"/>
          <w:lang w:val="en-US"/>
        </w:rPr>
        <w:t xml:space="preserve"> and </w:t>
      </w:r>
      <w:r w:rsidR="00996934" w:rsidRPr="00CF31E0">
        <w:rPr>
          <w:color w:val="000000" w:themeColor="text1"/>
          <w:lang w:val="en-US"/>
        </w:rPr>
        <w:t>b</w:t>
      </w:r>
      <w:r w:rsidR="00D86F38" w:rsidRPr="00CF31E0">
        <w:rPr>
          <w:color w:val="000000" w:themeColor="text1"/>
          <w:lang w:val="en-US"/>
        </w:rPr>
        <w:t xml:space="preserve">: </w:t>
      </w:r>
      <w:r w:rsidR="005D0894" w:rsidRPr="00CF31E0">
        <w:rPr>
          <w:color w:val="000000" w:themeColor="text1"/>
          <w:lang w:val="en-US"/>
        </w:rPr>
        <w:t>C</w:t>
      </w:r>
      <w:r w:rsidR="00480BFC" w:rsidRPr="00CF31E0">
        <w:rPr>
          <w:color w:val="000000" w:themeColor="text1"/>
          <w:lang w:val="en-US"/>
        </w:rPr>
        <w:t>ountry</w:t>
      </w:r>
      <w:r w:rsidR="00D86F38" w:rsidRPr="00CF31E0">
        <w:rPr>
          <w:color w:val="000000" w:themeColor="text1"/>
          <w:lang w:val="en-US"/>
        </w:rPr>
        <w:t xml:space="preserve"> profile, Saudi Arabia.</w:t>
      </w:r>
      <w:bookmarkEnd w:id="115"/>
      <w:bookmarkEnd w:id="116"/>
      <w:bookmarkEnd w:id="117"/>
      <w:bookmarkEnd w:id="118"/>
      <w:bookmarkEnd w:id="119"/>
    </w:p>
    <w:p w14:paraId="166B70DC" w14:textId="3C4EDEC3" w:rsidR="00480BFC" w:rsidRPr="00CF31E0" w:rsidRDefault="00D86F38" w:rsidP="00603CB7">
      <w:pPr>
        <w:pStyle w:val="Figuresource"/>
      </w:pPr>
      <w:r w:rsidRPr="00CF31E0">
        <w:t xml:space="preserve">Source: </w:t>
      </w:r>
      <w:r w:rsidR="00480BFC" w:rsidRPr="00CF31E0">
        <w:t xml:space="preserve">United </w:t>
      </w:r>
      <w:r w:rsidR="002124ED" w:rsidRPr="00CF31E0">
        <w:t>N</w:t>
      </w:r>
      <w:r w:rsidR="00480BFC" w:rsidRPr="00CF31E0">
        <w:t xml:space="preserve">ations </w:t>
      </w:r>
      <w:r w:rsidR="002124ED" w:rsidRPr="00CF31E0">
        <w:t>(</w:t>
      </w:r>
      <w:r w:rsidR="0091140B" w:rsidRPr="00CF31E0">
        <w:t>2017</w:t>
      </w:r>
      <w:r w:rsidR="00480BFC" w:rsidRPr="00CF31E0">
        <w:t>)</w:t>
      </w:r>
    </w:p>
    <w:p w14:paraId="4410648B" w14:textId="064A773D" w:rsidR="006F6D73" w:rsidRPr="00CF31E0" w:rsidRDefault="006F6D73" w:rsidP="00603CB7">
      <w:pPr>
        <w:pStyle w:val="Paragraph"/>
        <w:rPr>
          <w:lang w:val="en-US"/>
        </w:rPr>
      </w:pPr>
      <w:r w:rsidRPr="00CF31E0">
        <w:rPr>
          <w:lang w:val="en-US"/>
        </w:rPr>
        <w:t xml:space="preserve">Figure </w:t>
      </w:r>
      <w:r w:rsidR="002124ED" w:rsidRPr="00CF31E0">
        <w:rPr>
          <w:lang w:val="en-US"/>
        </w:rPr>
        <w:t>2</w:t>
      </w:r>
      <w:r w:rsidR="00996934" w:rsidRPr="00CF31E0">
        <w:rPr>
          <w:lang w:val="en-US"/>
        </w:rPr>
        <w:t>.5a</w:t>
      </w:r>
      <w:r w:rsidRPr="00CF31E0">
        <w:rPr>
          <w:lang w:val="en-US"/>
        </w:rPr>
        <w:t xml:space="preserve"> illustrates t</w:t>
      </w:r>
      <w:r w:rsidR="00D86F38" w:rsidRPr="00CF31E0">
        <w:rPr>
          <w:lang w:val="en-US"/>
        </w:rPr>
        <w:t>he size of the rur</w:t>
      </w:r>
      <w:r w:rsidRPr="00CF31E0">
        <w:rPr>
          <w:lang w:val="en-US"/>
        </w:rPr>
        <w:t>al and urban population in SA when</w:t>
      </w:r>
      <w:r w:rsidR="00D86F38" w:rsidRPr="00CF31E0">
        <w:rPr>
          <w:lang w:val="en-US"/>
        </w:rPr>
        <w:t xml:space="preserve"> compared to the total population of the </w:t>
      </w:r>
      <w:r w:rsidR="00F2472B" w:rsidRPr="00CF31E0">
        <w:rPr>
          <w:lang w:val="en-US"/>
        </w:rPr>
        <w:t>country</w:t>
      </w:r>
      <w:r w:rsidR="00D86F38" w:rsidRPr="00CF31E0">
        <w:rPr>
          <w:lang w:val="en-US"/>
        </w:rPr>
        <w:t>. The urban population increased dramatically and the rural one decreased sharply.</w:t>
      </w:r>
      <w:r w:rsidRPr="00CF31E0">
        <w:rPr>
          <w:lang w:val="en-US"/>
        </w:rPr>
        <w:t xml:space="preserve"> Figure </w:t>
      </w:r>
      <w:r w:rsidR="002124ED" w:rsidRPr="00CF31E0">
        <w:rPr>
          <w:lang w:val="en-US"/>
        </w:rPr>
        <w:t>2</w:t>
      </w:r>
      <w:r w:rsidR="00996934" w:rsidRPr="00CF31E0">
        <w:rPr>
          <w:lang w:val="en-US"/>
        </w:rPr>
        <w:t xml:space="preserve">.5b </w:t>
      </w:r>
      <w:r w:rsidRPr="00CF31E0">
        <w:rPr>
          <w:lang w:val="en-US"/>
        </w:rPr>
        <w:t>shows</w:t>
      </w:r>
      <w:r w:rsidR="00D86F38" w:rsidRPr="00CF31E0">
        <w:rPr>
          <w:lang w:val="en-US"/>
        </w:rPr>
        <w:t xml:space="preserve"> the perce</w:t>
      </w:r>
      <w:r w:rsidRPr="00CF31E0">
        <w:rPr>
          <w:lang w:val="en-US"/>
        </w:rPr>
        <w:t>ntage of the urban population in SA when</w:t>
      </w:r>
      <w:r w:rsidR="00D86F38" w:rsidRPr="00CF31E0">
        <w:rPr>
          <w:lang w:val="en-US"/>
        </w:rPr>
        <w:t xml:space="preserve"> compared to the urban population in Western Asia and Asia. It is evident that the urban population in SA exceeds the urban population of other </w:t>
      </w:r>
      <w:r w:rsidR="00F03C9C" w:rsidRPr="00CF31E0">
        <w:rPr>
          <w:lang w:val="en-US"/>
        </w:rPr>
        <w:t>Count</w:t>
      </w:r>
      <w:r w:rsidR="00D86F38" w:rsidRPr="00CF31E0">
        <w:rPr>
          <w:lang w:val="en-US"/>
        </w:rPr>
        <w:t>ries in Western Asia and over the major area of Asia more broadly.</w:t>
      </w:r>
      <w:r w:rsidRPr="00CF31E0">
        <w:rPr>
          <w:lang w:val="en-US"/>
        </w:rPr>
        <w:t xml:space="preserve"> </w:t>
      </w:r>
    </w:p>
    <w:p w14:paraId="1A444225" w14:textId="109AA7A9" w:rsidR="00D86F38" w:rsidRPr="00CF31E0" w:rsidRDefault="006F6D73" w:rsidP="00603CB7">
      <w:pPr>
        <w:pStyle w:val="Paragraph"/>
        <w:rPr>
          <w:lang w:val="en-US"/>
        </w:rPr>
      </w:pPr>
      <w:r w:rsidRPr="00CF31E0">
        <w:rPr>
          <w:lang w:val="en-US"/>
        </w:rPr>
        <w:t xml:space="preserve">It is important to note here that </w:t>
      </w:r>
      <w:r w:rsidR="00996934" w:rsidRPr="00CF31E0">
        <w:rPr>
          <w:lang w:val="en-US"/>
        </w:rPr>
        <w:t xml:space="preserve">the </w:t>
      </w:r>
      <w:r w:rsidRPr="00CF31E0">
        <w:rPr>
          <w:lang w:val="en-US"/>
        </w:rPr>
        <w:t xml:space="preserve">Hijazi social structure has </w:t>
      </w:r>
      <w:r w:rsidR="00996934" w:rsidRPr="00CF31E0">
        <w:rPr>
          <w:lang w:val="en-US"/>
        </w:rPr>
        <w:t xml:space="preserve">undergone </w:t>
      </w:r>
      <w:r w:rsidRPr="00CF31E0">
        <w:rPr>
          <w:lang w:val="en-US"/>
        </w:rPr>
        <w:t>change throughout history</w:t>
      </w:r>
      <w:r w:rsidR="00996934" w:rsidRPr="00CF31E0">
        <w:rPr>
          <w:lang w:val="en-US"/>
        </w:rPr>
        <w:t>,</w:t>
      </w:r>
      <w:r w:rsidRPr="00CF31E0">
        <w:rPr>
          <w:lang w:val="en-US"/>
        </w:rPr>
        <w:t xml:space="preserve"> as </w:t>
      </w:r>
      <w:r w:rsidR="004E208B" w:rsidRPr="00CF31E0">
        <w:rPr>
          <w:lang w:val="en-US"/>
        </w:rPr>
        <w:t>reviewed</w:t>
      </w:r>
      <w:r w:rsidRPr="00CF31E0">
        <w:rPr>
          <w:lang w:val="en-US"/>
        </w:rPr>
        <w:t xml:space="preserve"> in section</w:t>
      </w:r>
      <w:r w:rsidR="00296396" w:rsidRPr="00CF31E0">
        <w:rPr>
          <w:lang w:val="en-US"/>
        </w:rPr>
        <w:t xml:space="preserve"> </w:t>
      </w:r>
      <w:r w:rsidR="002124ED" w:rsidRPr="00CF31E0">
        <w:rPr>
          <w:lang w:val="en-US"/>
        </w:rPr>
        <w:t>2</w:t>
      </w:r>
      <w:r w:rsidR="00296396" w:rsidRPr="00CF31E0">
        <w:rPr>
          <w:lang w:val="en-US"/>
        </w:rPr>
        <w:t>.5.</w:t>
      </w:r>
      <w:r w:rsidRPr="00CF31E0">
        <w:rPr>
          <w:lang w:val="en-US"/>
        </w:rPr>
        <w:t xml:space="preserve"> Yet, the discovery of oil and rapid urbanization in the </w:t>
      </w:r>
      <w:r w:rsidR="00F2472B" w:rsidRPr="00CF31E0">
        <w:rPr>
          <w:lang w:val="en-US"/>
        </w:rPr>
        <w:t>country</w:t>
      </w:r>
      <w:r w:rsidRPr="00CF31E0">
        <w:rPr>
          <w:lang w:val="en-US"/>
        </w:rPr>
        <w:t xml:space="preserve"> enhanced the changes in </w:t>
      </w:r>
      <w:r w:rsidR="00996934" w:rsidRPr="00CF31E0">
        <w:rPr>
          <w:lang w:val="en-US"/>
        </w:rPr>
        <w:t xml:space="preserve">the </w:t>
      </w:r>
      <w:r w:rsidRPr="00CF31E0">
        <w:rPr>
          <w:lang w:val="en-US"/>
        </w:rPr>
        <w:t xml:space="preserve">Hijazi social structure. Therefore, as I mentioned in the introduction, pilgrimage </w:t>
      </w:r>
      <w:r w:rsidR="0003304A" w:rsidRPr="00CF31E0">
        <w:rPr>
          <w:lang w:val="en-US"/>
        </w:rPr>
        <w:t xml:space="preserve">together </w:t>
      </w:r>
      <w:r w:rsidRPr="00CF31E0">
        <w:rPr>
          <w:lang w:val="en-US"/>
        </w:rPr>
        <w:t xml:space="preserve">with the discovery of oil are the two main factors </w:t>
      </w:r>
      <w:r w:rsidR="0003304A" w:rsidRPr="00CF31E0">
        <w:rPr>
          <w:lang w:val="en-US"/>
        </w:rPr>
        <w:t>contributing to</w:t>
      </w:r>
      <w:r w:rsidRPr="00CF31E0">
        <w:rPr>
          <w:lang w:val="en-US"/>
        </w:rPr>
        <w:t xml:space="preserve"> radical change in Hijaz society. In the following section, I will discuss how </w:t>
      </w:r>
      <w:r w:rsidR="0003304A" w:rsidRPr="00CF31E0">
        <w:rPr>
          <w:lang w:val="en-US"/>
        </w:rPr>
        <w:t xml:space="preserve">the </w:t>
      </w:r>
      <w:r w:rsidR="004E208B" w:rsidRPr="00CF31E0">
        <w:rPr>
          <w:lang w:val="en-US"/>
        </w:rPr>
        <w:t xml:space="preserve">urbanization process enhanced the salient division between </w:t>
      </w:r>
      <w:r w:rsidR="0003304A" w:rsidRPr="00CF31E0">
        <w:rPr>
          <w:lang w:val="en-US"/>
        </w:rPr>
        <w:t xml:space="preserve">the </w:t>
      </w:r>
      <w:r w:rsidR="009C72F8" w:rsidRPr="00CF31E0">
        <w:rPr>
          <w:lang w:val="en-US"/>
        </w:rPr>
        <w:t xml:space="preserve">UBH and HH social groups. </w:t>
      </w:r>
      <w:r w:rsidR="004E208B" w:rsidRPr="00CF31E0">
        <w:rPr>
          <w:lang w:val="en-US"/>
        </w:rPr>
        <w:t xml:space="preserve"> </w:t>
      </w:r>
    </w:p>
    <w:p w14:paraId="675C2B01" w14:textId="181EB180" w:rsidR="00DB469A" w:rsidRPr="00CF31E0" w:rsidRDefault="002124ED" w:rsidP="0061369D">
      <w:pPr>
        <w:pStyle w:val="Ahead"/>
        <w:rPr>
          <w:rFonts w:asciiTheme="majorBidi" w:hAnsiTheme="majorBidi"/>
        </w:rPr>
      </w:pPr>
      <w:bookmarkStart w:id="120" w:name="_Toc6472635"/>
      <w:bookmarkStart w:id="121" w:name="_Toc511728082"/>
      <w:r w:rsidRPr="00CF31E0">
        <w:t>2</w:t>
      </w:r>
      <w:r w:rsidR="00713A64" w:rsidRPr="00CF31E0">
        <w:t>.17.</w:t>
      </w:r>
      <w:r w:rsidR="00713A64" w:rsidRPr="00CF31E0">
        <w:tab/>
      </w:r>
      <w:r w:rsidR="00DB469A" w:rsidRPr="00CF31E0">
        <w:t>Changes in Hijaz social structure</w:t>
      </w:r>
      <w:r w:rsidR="00491EF7" w:rsidRPr="00CF31E0">
        <w:t xml:space="preserve">: </w:t>
      </w:r>
      <w:r w:rsidR="00DB469A" w:rsidRPr="00CF31E0">
        <w:t xml:space="preserve">emergence of </w:t>
      </w:r>
      <w:r w:rsidR="00CB553B" w:rsidRPr="00CF31E0">
        <w:t>social and linguistic dichotomy</w:t>
      </w:r>
      <w:bookmarkEnd w:id="120"/>
      <w:r w:rsidR="00CB553B" w:rsidRPr="00CF31E0">
        <w:t xml:space="preserve"> </w:t>
      </w:r>
      <w:bookmarkEnd w:id="121"/>
    </w:p>
    <w:p w14:paraId="47332387" w14:textId="64ED3662" w:rsidR="002344CB" w:rsidRPr="00CF31E0" w:rsidRDefault="00DB469A" w:rsidP="00603CB7">
      <w:pPr>
        <w:pStyle w:val="Paragraph"/>
      </w:pPr>
      <w:r w:rsidRPr="00CF31E0">
        <w:t>Hijaz</w:t>
      </w:r>
      <w:r w:rsidR="0085645C" w:rsidRPr="00CF31E0">
        <w:t xml:space="preserve"> has witnessed </w:t>
      </w:r>
      <w:r w:rsidR="00491EF7" w:rsidRPr="00CF31E0">
        <w:rPr>
          <w:lang w:val="en-US"/>
        </w:rPr>
        <w:t xml:space="preserve">a large amount </w:t>
      </w:r>
      <w:r w:rsidR="0085645C" w:rsidRPr="00CF31E0">
        <w:rPr>
          <w:lang w:val="en-US"/>
        </w:rPr>
        <w:t xml:space="preserve">of internal and external migration. </w:t>
      </w:r>
      <w:r w:rsidR="00491EF7" w:rsidRPr="00CF31E0">
        <w:rPr>
          <w:lang w:val="en-US"/>
        </w:rPr>
        <w:t>I</w:t>
      </w:r>
      <w:r w:rsidR="0085645C" w:rsidRPr="00CF31E0">
        <w:rPr>
          <w:lang w:val="en-US"/>
        </w:rPr>
        <w:t xml:space="preserve">nternal migration consisted of rural Bedouins who moved from </w:t>
      </w:r>
      <w:r w:rsidR="00114AEE" w:rsidRPr="00CF31E0">
        <w:rPr>
          <w:lang w:val="en-US"/>
        </w:rPr>
        <w:t>rural</w:t>
      </w:r>
      <w:r w:rsidR="0085645C" w:rsidRPr="00CF31E0">
        <w:rPr>
          <w:lang w:val="en-US"/>
        </w:rPr>
        <w:t xml:space="preserve"> to urban </w:t>
      </w:r>
      <w:r w:rsidR="00586547" w:rsidRPr="00CF31E0">
        <w:rPr>
          <w:lang w:val="en-US"/>
        </w:rPr>
        <w:t>centers</w:t>
      </w:r>
      <w:r w:rsidR="00491EF7" w:rsidRPr="00CF31E0">
        <w:rPr>
          <w:lang w:val="en-US"/>
        </w:rPr>
        <w:t xml:space="preserve"> </w:t>
      </w:r>
      <w:r w:rsidR="0085645C" w:rsidRPr="00CF31E0">
        <w:rPr>
          <w:lang w:val="en-US"/>
        </w:rPr>
        <w:t xml:space="preserve">such as </w:t>
      </w:r>
      <w:r w:rsidR="00D30B2F">
        <w:rPr>
          <w:lang w:val="en-US"/>
        </w:rPr>
        <w:t>Makkah</w:t>
      </w:r>
      <w:r w:rsidR="0085645C" w:rsidRPr="00CF31E0">
        <w:rPr>
          <w:lang w:val="en-US"/>
        </w:rPr>
        <w:t xml:space="preserve">, Jeddah and </w:t>
      </w:r>
      <w:r w:rsidR="0015785F" w:rsidRPr="00CF31E0">
        <w:rPr>
          <w:lang w:val="en-US"/>
        </w:rPr>
        <w:t>Al-Madina</w:t>
      </w:r>
      <w:r w:rsidR="0085645C" w:rsidRPr="00CF31E0">
        <w:rPr>
          <w:lang w:val="en-US"/>
        </w:rPr>
        <w:t xml:space="preserve">. </w:t>
      </w:r>
      <w:r w:rsidR="001D6EED" w:rsidRPr="00CF31E0">
        <w:rPr>
          <w:lang w:val="en-US"/>
        </w:rPr>
        <w:t>E</w:t>
      </w:r>
      <w:r w:rsidR="0085645C" w:rsidRPr="00CF31E0">
        <w:rPr>
          <w:lang w:val="en-US"/>
        </w:rPr>
        <w:t>xternal migration mostly consisted of pilgrims who settled in Hijaz</w:t>
      </w:r>
      <w:r w:rsidR="00CA02F7" w:rsidRPr="00CF31E0">
        <w:t xml:space="preserve">. </w:t>
      </w:r>
    </w:p>
    <w:p w14:paraId="1738BA1E" w14:textId="31CD66CC" w:rsidR="009E3D50" w:rsidRPr="00CF31E0" w:rsidRDefault="00E21307" w:rsidP="00603CB7">
      <w:pPr>
        <w:pStyle w:val="Paragraph"/>
      </w:pPr>
      <w:r w:rsidRPr="00CF31E0">
        <w:rPr>
          <w:lang w:val="en-US"/>
        </w:rPr>
        <w:lastRenderedPageBreak/>
        <w:t xml:space="preserve">As urban </w:t>
      </w:r>
      <w:r w:rsidR="009E3D50" w:rsidRPr="00CF31E0">
        <w:rPr>
          <w:lang w:val="en-US"/>
        </w:rPr>
        <w:t>centers</w:t>
      </w:r>
      <w:r w:rsidR="00C07543" w:rsidRPr="00CF31E0">
        <w:rPr>
          <w:lang w:val="en-US"/>
        </w:rPr>
        <w:t xml:space="preserve"> in </w:t>
      </w:r>
      <w:r w:rsidRPr="00CF31E0">
        <w:rPr>
          <w:lang w:val="en-US"/>
        </w:rPr>
        <w:t xml:space="preserve">Hijaz received </w:t>
      </w:r>
      <w:r w:rsidR="001C0F0E" w:rsidRPr="00CF31E0">
        <w:rPr>
          <w:lang w:val="en-US"/>
        </w:rPr>
        <w:t xml:space="preserve">a </w:t>
      </w:r>
      <w:r w:rsidRPr="00CF31E0">
        <w:rPr>
          <w:lang w:val="en-US"/>
        </w:rPr>
        <w:t xml:space="preserve">large number of external immigrants and rural Bedouins, a social dichotomy between the two groups has </w:t>
      </w:r>
      <w:r w:rsidR="00244F6A" w:rsidRPr="00CF31E0">
        <w:rPr>
          <w:lang w:val="en-US"/>
        </w:rPr>
        <w:t>become</w:t>
      </w:r>
      <w:r w:rsidRPr="00CF31E0">
        <w:rPr>
          <w:lang w:val="en-US"/>
        </w:rPr>
        <w:t xml:space="preserve"> one of the most distinctive features of </w:t>
      </w:r>
      <w:r w:rsidR="001C0F0E" w:rsidRPr="00CF31E0">
        <w:rPr>
          <w:lang w:val="en-US"/>
        </w:rPr>
        <w:t xml:space="preserve">the </w:t>
      </w:r>
      <w:r w:rsidRPr="00CF31E0">
        <w:rPr>
          <w:lang w:val="en-US"/>
        </w:rPr>
        <w:t>Hijaz social structure</w:t>
      </w:r>
      <w:r w:rsidR="007839B0" w:rsidRPr="00CF31E0">
        <w:rPr>
          <w:lang w:val="en-US"/>
        </w:rPr>
        <w:t>.</w:t>
      </w:r>
      <w:r w:rsidRPr="00CF31E0">
        <w:rPr>
          <w:lang w:val="en-US"/>
        </w:rPr>
        <w:t xml:space="preserve"> </w:t>
      </w:r>
      <w:r w:rsidR="003B5990" w:rsidRPr="00CF31E0">
        <w:fldChar w:fldCharType="begin"/>
      </w:r>
      <w:r w:rsidR="00CD34CA" w:rsidRPr="00CF31E0">
        <w:instrText xml:space="preserve"> ADDIN ZOTERO_ITEM CSL_CITATION {"citationID":"2hDpbzwB","properties":{"formattedCitation":"(Al-Hathloul &amp; Edadan, 1993, p. 36)","plainCitation":"(Al-Hathloul &amp; Edadan, 1993, p. 36)","dontUpdate":true,"noteIndex":0},"citationItems":[{"id":391,"uris":["http://zotero.org/users/1939618/items/DXRDLSL4"],"uri":["http://zotero.org/users/1939618/items/DXRDLSL4"],"itemData":{"id":391,"type":"article-journal","title":"Evolution of settlement pattern in Saudi Arabia: A historical analysis","container-title":"Habitat International","page":"31–46","volume":"17","issue":"4","source":"find.shef.ac.uk","abstract":"Historical growth of settlements in the Kingdom of Saudi Arabia has been significantly influenced by the ecological and institutional factors. The evolutionary process of settlement growth in the Kingdom could be classified into four distinct stages: the trade and pilgrim routes of the pre-national unification period, the sedentarisation process of the unification period, the oil discovery and extraction period of the early 1960s and the oil boom and development planning period of the 1970s. In spite of the distinct ecological and physical conditions of desert and arid environments and tribal structure of regions, certain notions and processes of historical evolution of settlements and growth dynamics could be generalised. This paper is an attempt to identify the institutional process of evolution and growth of settlements in the Kingdom of Saudi Arabia.","DOI":"10.1016/0197-3975(93)90027-A","ISSN":"0197-3975","shortTitle":"Evolution of settlement pattern in Saudi Arabia","language":"eng","author":[{"family":"Al-Hathloul","given":"Saleh"},{"family":"Edadan","given":"Narayanan"}],"issued":{"date-parts":[["1993"]]}},"locator":"36","label":"page"}],"schema":"https://github.com/citation-style-language/schema/raw/master/csl-citation.json"} </w:instrText>
      </w:r>
      <w:r w:rsidR="003B5990" w:rsidRPr="00CF31E0">
        <w:fldChar w:fldCharType="separate"/>
      </w:r>
      <w:r w:rsidR="003B5990" w:rsidRPr="00CF31E0">
        <w:rPr>
          <w:noProof/>
        </w:rPr>
        <w:t xml:space="preserve">Al-Hathloul </w:t>
      </w:r>
      <w:r w:rsidR="001C0F0E" w:rsidRPr="00CF31E0">
        <w:rPr>
          <w:noProof/>
        </w:rPr>
        <w:t xml:space="preserve">and </w:t>
      </w:r>
      <w:r w:rsidR="003B5990" w:rsidRPr="00CF31E0">
        <w:rPr>
          <w:noProof/>
        </w:rPr>
        <w:t xml:space="preserve">Edadan </w:t>
      </w:r>
      <w:r w:rsidR="001C0F0E" w:rsidRPr="00CF31E0">
        <w:rPr>
          <w:noProof/>
        </w:rPr>
        <w:t>(</w:t>
      </w:r>
      <w:r w:rsidR="003B5990" w:rsidRPr="00CF31E0">
        <w:rPr>
          <w:noProof/>
        </w:rPr>
        <w:t>1993, p. 36)</w:t>
      </w:r>
      <w:r w:rsidR="003B5990" w:rsidRPr="00CF31E0">
        <w:fldChar w:fldCharType="end"/>
      </w:r>
      <w:r w:rsidR="003B5990" w:rsidRPr="00CF31E0">
        <w:t xml:space="preserve"> state that “Historians have recorded that the urbanised population of Hijaz and the nomadic Bedouins of interior Hijaz led contrasting ways of life”. </w:t>
      </w:r>
      <w:r w:rsidR="009E3D50" w:rsidRPr="00CF31E0">
        <w:t xml:space="preserve">This means </w:t>
      </w:r>
      <w:r w:rsidR="0003304A" w:rsidRPr="00CF31E0">
        <w:t xml:space="preserve">that </w:t>
      </w:r>
      <w:r w:rsidR="009E3D50" w:rsidRPr="00CF31E0">
        <w:t>h</w:t>
      </w:r>
      <w:r w:rsidR="00B954E9" w:rsidRPr="00CF31E0">
        <w:t xml:space="preserve">istorical and economic changes in the region affected the social structure and </w:t>
      </w:r>
      <w:r w:rsidR="003B0B3D" w:rsidRPr="00CF31E0">
        <w:t xml:space="preserve">led to </w:t>
      </w:r>
      <w:r w:rsidR="009C72F8" w:rsidRPr="00CF31E0">
        <w:t xml:space="preserve">a more salient division between UBH and HH social groups. </w:t>
      </w:r>
    </w:p>
    <w:p w14:paraId="5077196F" w14:textId="6654F9AE" w:rsidR="00B954E9" w:rsidRPr="00CF31E0" w:rsidRDefault="00B954E9" w:rsidP="00603CB7">
      <w:pPr>
        <w:pStyle w:val="Paragraph"/>
        <w:rPr>
          <w:lang w:val="en-US"/>
        </w:rPr>
      </w:pPr>
      <w:r w:rsidRPr="00CF31E0">
        <w:t xml:space="preserve">Even though nomadic Bedouins settled in urban </w:t>
      </w:r>
      <w:r w:rsidR="00E21307" w:rsidRPr="00CF31E0">
        <w:t>centres</w:t>
      </w:r>
      <w:r w:rsidRPr="00CF31E0">
        <w:t xml:space="preserve"> in Hijaz</w:t>
      </w:r>
      <w:r w:rsidR="003B0B3D" w:rsidRPr="00CF31E0">
        <w:t>,</w:t>
      </w:r>
      <w:r w:rsidRPr="00CF31E0">
        <w:t xml:space="preserve"> </w:t>
      </w:r>
      <w:r w:rsidRPr="00CF31E0">
        <w:rPr>
          <w:lang w:val="en-US"/>
        </w:rPr>
        <w:t xml:space="preserve">they preserved their sense of unity and kinship </w:t>
      </w:r>
      <w:r w:rsidRPr="00CF31E0">
        <w:rPr>
          <w:lang w:val="en-US"/>
        </w:rPr>
        <w:fldChar w:fldCharType="begin"/>
      </w:r>
      <w:r w:rsidR="00A54129" w:rsidRPr="00CF31E0">
        <w:rPr>
          <w:lang w:val="en-US"/>
        </w:rPr>
        <w:instrText xml:space="preserve"> ADDIN ZOTERO_ITEM CSL_CITATION {"citationID":"OoauTgsv","properties":{"formattedCitation":"(Cordesman, 2003)","plainCitation":"(Cordesman, 2003)","noteIndex":0},"citationItems":[{"id":"wgwhcNH1/M7OONjvz","uris":["http://zotero.org/users/1939618/items/2GT7RHQB"],"uri":["http://zotero.org/users/1939618/items/2GT7RHQB"],"itemData":{"id":420,"type":"book","title":"Saudi Arabia Enters the Twenty-first Century: The military and international security dimensions","publisher":"Greenwood Publishing Group","number-of-pages":"436","source":"Google Books","abstract":"With the continuing importance of Saudi Arabia in regional and world politics, the current and future effectiveness of the Saudi military carries increased significance. Despite recent strains in relations with the U.S., particularly in light of the role Saudis played in the events of September 11, 2001, the Kingdom remains America's key Arab ally. Cordesman studies the challenges faced by the Saudis from both their allies and their potential enemies to assess Saudi Arabia's ability to forge a better approach to collective security in the Gulf and to create more stable long-term security arrangements with the U.S. and other Western Powers. This assessment of Saudi Arabia's strategic position includes a full-scale analysis of Saudi military forces, defense expenditures, arms imports, military modernization, readiness and war fighting capability. It examines both the cooperation and tension with other Southern Gulf States. It explores the implications of the conventional military build-up and creeping proliferation of weapons of mass destruction in the Gulf and the resulting changes in Saudi Arabia's security position. All of these factors have critical implications for stability within the Kingdom, within the Gulf, as well as in the broader global context.","ISBN":"978-0-275-97997-3","shortTitle":"Saudi Arabia Enters the Twenty-first Century","language":"en","author":[{"family":"Cordesman","given":"Anthony H."}],"issued":{"date-parts":[["2003"]]}}}],"schema":"https://github.com/citation-style-language/schema/raw/master/csl-citation.json"} </w:instrText>
      </w:r>
      <w:r w:rsidRPr="00CF31E0">
        <w:rPr>
          <w:lang w:val="en-US"/>
        </w:rPr>
        <w:fldChar w:fldCharType="separate"/>
      </w:r>
      <w:r w:rsidRPr="00CF31E0">
        <w:rPr>
          <w:noProof/>
          <w:lang w:val="en-US"/>
        </w:rPr>
        <w:t>(Cordesman, 2003)</w:t>
      </w:r>
      <w:r w:rsidRPr="00CF31E0">
        <w:rPr>
          <w:lang w:val="en-US"/>
        </w:rPr>
        <w:fldChar w:fldCharType="end"/>
      </w:r>
      <w:r w:rsidRPr="00CF31E0">
        <w:rPr>
          <w:lang w:val="en-US"/>
        </w:rPr>
        <w:t xml:space="preserve">. They apparently </w:t>
      </w:r>
      <w:r w:rsidR="009E3D50" w:rsidRPr="00CF31E0">
        <w:rPr>
          <w:lang w:val="en-US"/>
        </w:rPr>
        <w:t>practiced</w:t>
      </w:r>
      <w:r w:rsidR="003B0B3D" w:rsidRPr="00CF31E0">
        <w:rPr>
          <w:lang w:val="en-US"/>
        </w:rPr>
        <w:t xml:space="preserve"> </w:t>
      </w:r>
      <w:r w:rsidRPr="00CF31E0">
        <w:rPr>
          <w:lang w:val="en-US"/>
        </w:rPr>
        <w:t xml:space="preserve">a pattern of </w:t>
      </w:r>
      <w:r w:rsidR="009E3D50" w:rsidRPr="00CF31E0">
        <w:rPr>
          <w:lang w:val="en-US"/>
        </w:rPr>
        <w:t>behavior</w:t>
      </w:r>
      <w:r w:rsidRPr="00CF31E0">
        <w:rPr>
          <w:lang w:val="en-US"/>
        </w:rPr>
        <w:t xml:space="preserve"> characterized by mutual assistance to differentiate themselves from the newcomers (</w:t>
      </w:r>
      <w:r w:rsidR="00244F6A" w:rsidRPr="00CF31E0">
        <w:rPr>
          <w:lang w:val="en-US"/>
        </w:rPr>
        <w:t xml:space="preserve">i.e. </w:t>
      </w:r>
      <w:r w:rsidRPr="00CF31E0">
        <w:rPr>
          <w:lang w:val="en-US"/>
        </w:rPr>
        <w:t xml:space="preserve">settlers). </w:t>
      </w:r>
      <w:r w:rsidR="00E21307" w:rsidRPr="00CF31E0">
        <w:rPr>
          <w:lang w:val="en-US"/>
        </w:rPr>
        <w:t>Therefore, ideologically each group has differentiated itself from the other group in different aspects</w:t>
      </w:r>
      <w:r w:rsidR="003B0B3D" w:rsidRPr="00CF31E0">
        <w:rPr>
          <w:lang w:val="en-US"/>
        </w:rPr>
        <w:t>,</w:t>
      </w:r>
      <w:r w:rsidR="00E21307" w:rsidRPr="00CF31E0">
        <w:rPr>
          <w:lang w:val="en-US"/>
        </w:rPr>
        <w:t xml:space="preserve"> such as their cus</w:t>
      </w:r>
      <w:r w:rsidR="0053311F" w:rsidRPr="00CF31E0">
        <w:rPr>
          <w:lang w:val="en-US"/>
        </w:rPr>
        <w:t>toms, norms, dialec</w:t>
      </w:r>
      <w:r w:rsidR="00244F6A" w:rsidRPr="00CF31E0">
        <w:rPr>
          <w:lang w:val="en-US"/>
        </w:rPr>
        <w:t>ts and even their sur</w:t>
      </w:r>
      <w:r w:rsidR="0053311F" w:rsidRPr="00CF31E0">
        <w:rPr>
          <w:lang w:val="en-US"/>
        </w:rPr>
        <w:t xml:space="preserve">names. </w:t>
      </w:r>
    </w:p>
    <w:p w14:paraId="20E0E234" w14:textId="004F8F98" w:rsidR="003B5990" w:rsidRPr="00CF31E0" w:rsidRDefault="00E21307" w:rsidP="001E5DEC">
      <w:pPr>
        <w:pStyle w:val="Paragraph"/>
      </w:pPr>
      <w:r w:rsidRPr="00CF31E0">
        <w:rPr>
          <w:lang w:val="en-US"/>
        </w:rPr>
        <w:t xml:space="preserve">From a </w:t>
      </w:r>
      <w:r w:rsidR="0016705C" w:rsidRPr="00CF31E0">
        <w:rPr>
          <w:lang w:val="en-US"/>
        </w:rPr>
        <w:t>sociolinguist</w:t>
      </w:r>
      <w:r w:rsidR="003B0B3D" w:rsidRPr="00CF31E0">
        <w:rPr>
          <w:lang w:val="en-US"/>
        </w:rPr>
        <w:t>ic</w:t>
      </w:r>
      <w:r w:rsidR="0016705C" w:rsidRPr="00CF31E0">
        <w:rPr>
          <w:lang w:val="en-US"/>
        </w:rPr>
        <w:t xml:space="preserve"> perspective, the dialect situation in Hijaz is a very significant one. </w:t>
      </w:r>
      <w:r w:rsidR="003B0B3D" w:rsidRPr="00CF31E0">
        <w:rPr>
          <w:lang w:val="en-US"/>
        </w:rPr>
        <w:t xml:space="preserve">This </w:t>
      </w:r>
      <w:r w:rsidR="00A633A9" w:rsidRPr="00CF31E0">
        <w:rPr>
          <w:lang w:val="en-US"/>
        </w:rPr>
        <w:t>is because t</w:t>
      </w:r>
      <w:r w:rsidR="0016705C" w:rsidRPr="00CF31E0">
        <w:rPr>
          <w:lang w:val="en-US"/>
        </w:rPr>
        <w:t xml:space="preserve">wo different dialects are spoken by </w:t>
      </w:r>
      <w:r w:rsidR="00A633A9" w:rsidRPr="00CF31E0">
        <w:rPr>
          <w:lang w:val="en-US"/>
        </w:rPr>
        <w:t xml:space="preserve">two </w:t>
      </w:r>
      <w:r w:rsidR="0016705C" w:rsidRPr="00CF31E0">
        <w:rPr>
          <w:lang w:val="en-US"/>
        </w:rPr>
        <w:t>different social group</w:t>
      </w:r>
      <w:r w:rsidR="00070BDB" w:rsidRPr="00CF31E0">
        <w:rPr>
          <w:lang w:val="en-US"/>
        </w:rPr>
        <w:t>s</w:t>
      </w:r>
      <w:r w:rsidR="00A633A9" w:rsidRPr="00CF31E0">
        <w:rPr>
          <w:lang w:val="en-US"/>
        </w:rPr>
        <w:t xml:space="preserve"> living</w:t>
      </w:r>
      <w:r w:rsidR="0016705C" w:rsidRPr="00CF31E0">
        <w:rPr>
          <w:lang w:val="en-US"/>
        </w:rPr>
        <w:t xml:space="preserve"> within the same region, or the same city, or even within the same </w:t>
      </w:r>
      <w:r w:rsidR="00586547" w:rsidRPr="00CF31E0">
        <w:rPr>
          <w:lang w:val="en-US"/>
        </w:rPr>
        <w:t>location</w:t>
      </w:r>
      <w:bookmarkStart w:id="122" w:name="ZOTERO_BREF_DFdgDBVNi5BW1TfJxx5Iy"/>
      <w:r w:rsidR="001E5DEC" w:rsidRPr="00CF31E0">
        <w:rPr>
          <w:lang w:val="en-US"/>
        </w:rPr>
        <w:t xml:space="preserve"> </w:t>
      </w:r>
      <w:r w:rsidR="001E5DEC" w:rsidRPr="00CF31E0">
        <w:t>(Alhazmi, 2017; Al-Jehani, 1990; Al-Jehani, 1985; Nahedh, 1989)</w:t>
      </w:r>
      <w:bookmarkEnd w:id="122"/>
      <w:r w:rsidR="0016705C" w:rsidRPr="00CF31E0">
        <w:rPr>
          <w:lang w:val="en-US"/>
        </w:rPr>
        <w:t xml:space="preserve">. </w:t>
      </w:r>
      <w:r w:rsidR="001B51F2" w:rsidRPr="00CF31E0">
        <w:rPr>
          <w:lang w:val="en-US"/>
        </w:rPr>
        <w:t xml:space="preserve">In other words, the two dialects are </w:t>
      </w:r>
      <w:r w:rsidR="003D12FA" w:rsidRPr="00CF31E0">
        <w:rPr>
          <w:lang w:val="en-US"/>
        </w:rPr>
        <w:t xml:space="preserve">social rather than regional varieties. </w:t>
      </w:r>
      <w:r w:rsidR="007F4A8B" w:rsidRPr="00CF31E0">
        <w:rPr>
          <w:lang w:val="en-US"/>
        </w:rPr>
        <w:t>One of the dialects is</w:t>
      </w:r>
      <w:r w:rsidR="009F10CB" w:rsidRPr="00CF31E0">
        <w:rPr>
          <w:lang w:val="en-US"/>
        </w:rPr>
        <w:t xml:space="preserve"> called UBH</w:t>
      </w:r>
      <w:r w:rsidR="0016705C" w:rsidRPr="00CF31E0">
        <w:rPr>
          <w:lang w:val="en-US"/>
        </w:rPr>
        <w:t xml:space="preserve"> </w:t>
      </w:r>
      <w:r w:rsidR="002E6A20" w:rsidRPr="00CF31E0">
        <w:rPr>
          <w:lang w:val="en-US"/>
        </w:rPr>
        <w:t xml:space="preserve">(sometimes called </w:t>
      </w:r>
      <w:r w:rsidR="007F4A8B" w:rsidRPr="00CF31E0">
        <w:rPr>
          <w:lang w:val="en-US"/>
        </w:rPr>
        <w:t xml:space="preserve">a </w:t>
      </w:r>
      <w:r w:rsidR="002E6A20" w:rsidRPr="00CF31E0">
        <w:rPr>
          <w:lang w:val="en-US"/>
        </w:rPr>
        <w:t>tribal Hijazi dialect)</w:t>
      </w:r>
      <w:r w:rsidR="007F4A8B" w:rsidRPr="00CF31E0">
        <w:rPr>
          <w:lang w:val="en-US"/>
        </w:rPr>
        <w:t>,</w:t>
      </w:r>
      <w:r w:rsidR="002E6A20" w:rsidRPr="00CF31E0">
        <w:rPr>
          <w:lang w:val="en-US"/>
        </w:rPr>
        <w:t xml:space="preserve"> </w:t>
      </w:r>
      <w:r w:rsidR="0016705C" w:rsidRPr="00CF31E0">
        <w:rPr>
          <w:lang w:val="en-US"/>
        </w:rPr>
        <w:t xml:space="preserve">which represents the dialect </w:t>
      </w:r>
      <w:r w:rsidR="009F10CB" w:rsidRPr="00CF31E0">
        <w:rPr>
          <w:lang w:val="en-US"/>
        </w:rPr>
        <w:t>of those Bedouin</w:t>
      </w:r>
      <w:r w:rsidR="0016705C" w:rsidRPr="00CF31E0">
        <w:rPr>
          <w:lang w:val="en-US"/>
        </w:rPr>
        <w:t xml:space="preserve"> groups who originally lived in rural areas of Hijaz</w:t>
      </w:r>
      <w:r w:rsidR="007F4A8B" w:rsidRPr="00CF31E0">
        <w:rPr>
          <w:lang w:val="en-US"/>
        </w:rPr>
        <w:t>;</w:t>
      </w:r>
      <w:r w:rsidR="0016705C" w:rsidRPr="00CF31E0">
        <w:rPr>
          <w:lang w:val="en-US"/>
        </w:rPr>
        <w:t xml:space="preserve"> after the econom</w:t>
      </w:r>
      <w:r w:rsidR="001B51F2" w:rsidRPr="00CF31E0">
        <w:rPr>
          <w:lang w:val="en-US"/>
        </w:rPr>
        <w:t>ic changes in SA, they moved in</w:t>
      </w:r>
      <w:r w:rsidR="0016705C" w:rsidRPr="00CF31E0">
        <w:rPr>
          <w:lang w:val="en-US"/>
        </w:rPr>
        <w:t xml:space="preserve">to urban </w:t>
      </w:r>
      <w:r w:rsidR="0069314B" w:rsidRPr="00CF31E0">
        <w:rPr>
          <w:lang w:val="en-US"/>
        </w:rPr>
        <w:t>center</w:t>
      </w:r>
      <w:r w:rsidR="007F4A8B" w:rsidRPr="00CF31E0">
        <w:rPr>
          <w:lang w:val="en-US"/>
        </w:rPr>
        <w:t xml:space="preserve"> </w:t>
      </w:r>
      <w:r w:rsidR="0016705C" w:rsidRPr="00CF31E0">
        <w:rPr>
          <w:lang w:val="en-US"/>
        </w:rPr>
        <w:t xml:space="preserve">such as </w:t>
      </w:r>
      <w:r w:rsidR="00D30B2F">
        <w:rPr>
          <w:lang w:val="en-US"/>
        </w:rPr>
        <w:t>Makkah</w:t>
      </w:r>
      <w:r w:rsidR="0016705C" w:rsidRPr="00CF31E0">
        <w:rPr>
          <w:lang w:val="en-US"/>
        </w:rPr>
        <w:t xml:space="preserve">, Jeddah and </w:t>
      </w:r>
      <w:r w:rsidR="0015785F" w:rsidRPr="00CF31E0">
        <w:rPr>
          <w:lang w:val="en-US"/>
        </w:rPr>
        <w:t>Al-Madina</w:t>
      </w:r>
      <w:r w:rsidR="009D01FA" w:rsidRPr="00CF31E0">
        <w:rPr>
          <w:lang w:val="en-US"/>
        </w:rPr>
        <w:t xml:space="preserve"> </w:t>
      </w:r>
      <w:r w:rsidR="001A7B85" w:rsidRPr="00CF31E0">
        <w:rPr>
          <w:lang w:val="en-US"/>
        </w:rPr>
        <w:fldChar w:fldCharType="begin"/>
      </w:r>
      <w:r w:rsidR="00A54129" w:rsidRPr="00CF31E0">
        <w:rPr>
          <w:lang w:val="en-US"/>
        </w:rPr>
        <w:instrText xml:space="preserve"> ADDIN ZOTERO_ITEM CSL_CITATION {"citationID":"fggAUa7m","properties":{"formattedCitation":"(Nassir Al-Jehani, 1985)","plainCitation":"(Nassir Al-Jehani, 1985)","dontUpdate":true,"noteIndex":0},"citationItems":[{"id":537,"uris":["http://zotero.org/users/1939618/items/CKTFSSZ4"],"uri":["http://zotero.org/users/1939618/items/CKTFSSZ4"],"itemData":{"id":537,"type":"thesis","title":"Sociostylistic stratification of Arabic in Makkah (doctoral dissertation)","publisher":"University of Michigan","URL":"https://www.researchgate.net/publication/36173456_SOCIOSTYLISTIC_STRATIFICATION_OF_ARABIC_IN_MAKKAH_SOCIOLINGUISTICS_VARIATION_SAUDI_ARABIA","language":"en","author":[{"family":"Al-Jehani","given":"Nassir"}],"issued":{"date-parts":[["1985"]]},"accessed":{"date-parts":[["2018",7,12]]}}}],"schema":"https://github.com/citation-style-language/schema/raw/master/csl-citation.json"} </w:instrText>
      </w:r>
      <w:r w:rsidR="001A7B85" w:rsidRPr="00CF31E0">
        <w:rPr>
          <w:lang w:val="en-US"/>
        </w:rPr>
        <w:fldChar w:fldCharType="separate"/>
      </w:r>
      <w:r w:rsidR="009D01FA" w:rsidRPr="00CF31E0">
        <w:rPr>
          <w:noProof/>
          <w:lang w:val="en-US"/>
        </w:rPr>
        <w:t>(</w:t>
      </w:r>
      <w:r w:rsidR="001A7B85" w:rsidRPr="00CF31E0">
        <w:rPr>
          <w:noProof/>
          <w:lang w:val="en-US"/>
        </w:rPr>
        <w:t>Al-Jehani, 1985)</w:t>
      </w:r>
      <w:r w:rsidR="001A7B85" w:rsidRPr="00CF31E0">
        <w:rPr>
          <w:lang w:val="en-US"/>
        </w:rPr>
        <w:fldChar w:fldCharType="end"/>
      </w:r>
      <w:r w:rsidR="0016705C" w:rsidRPr="00CF31E0">
        <w:rPr>
          <w:lang w:val="en-US"/>
        </w:rPr>
        <w:t>. The other</w:t>
      </w:r>
      <w:r w:rsidR="009F10CB" w:rsidRPr="00CF31E0">
        <w:rPr>
          <w:lang w:val="en-US"/>
        </w:rPr>
        <w:t xml:space="preserve"> dialect is called HH</w:t>
      </w:r>
      <w:r w:rsidR="0016705C" w:rsidRPr="00CF31E0">
        <w:rPr>
          <w:lang w:val="en-US"/>
        </w:rPr>
        <w:t xml:space="preserve"> which represents the dialect of all settlers in Hijaz</w:t>
      </w:r>
      <w:r w:rsidR="007F4A8B" w:rsidRPr="00CF31E0">
        <w:rPr>
          <w:lang w:val="en-US"/>
        </w:rPr>
        <w:t xml:space="preserve">; </w:t>
      </w:r>
      <w:r w:rsidR="0016705C" w:rsidRPr="00CF31E0">
        <w:rPr>
          <w:lang w:val="en-US"/>
        </w:rPr>
        <w:t>no matter where the</w:t>
      </w:r>
      <w:r w:rsidR="00244F6A" w:rsidRPr="00CF31E0">
        <w:rPr>
          <w:lang w:val="en-US"/>
        </w:rPr>
        <w:t>y</w:t>
      </w:r>
      <w:r w:rsidR="0016705C" w:rsidRPr="00CF31E0">
        <w:rPr>
          <w:lang w:val="en-US"/>
        </w:rPr>
        <w:t xml:space="preserve"> come from or their origin, they all speak the same </w:t>
      </w:r>
      <w:r w:rsidR="009D01FA" w:rsidRPr="00CF31E0">
        <w:rPr>
          <w:lang w:val="en-US"/>
        </w:rPr>
        <w:t>dialect</w:t>
      </w:r>
      <w:r w:rsidR="007E0D0D" w:rsidRPr="00CF31E0">
        <w:rPr>
          <w:lang w:val="en-US"/>
        </w:rPr>
        <w:t xml:space="preserve"> </w:t>
      </w:r>
      <w:r w:rsidR="009D01FA" w:rsidRPr="00CF31E0">
        <w:rPr>
          <w:lang w:val="en-US"/>
        </w:rPr>
        <w:fldChar w:fldCharType="begin"/>
      </w:r>
      <w:r w:rsidR="00A54129" w:rsidRPr="00CF31E0">
        <w:rPr>
          <w:lang w:val="en-US"/>
        </w:rPr>
        <w:instrText xml:space="preserve"> ADDIN ZOTERO_ITEM CSL_CITATION {"citationID":"Pt2LXGD3","properties":{"formattedCitation":"(Nassir Al-Jehani, 1985)","plainCitation":"(Nassir Al-Jehani, 1985)","dontUpdate":true,"noteIndex":0},"citationItems":[{"id":537,"uris":["http://zotero.org/users/1939618/items/CKTFSSZ4"],"uri":["http://zotero.org/users/1939618/items/CKTFSSZ4"],"itemData":{"id":537,"type":"thesis","title":"Sociostylistic stratification of Arabic in Makkah (doctoral dissertation)","publisher":"University of Michigan","URL":"https://www.researchgate.net/publication/36173456_SOCIOSTYLISTIC_STRATIFICATION_OF_ARABIC_IN_MAKKAH_SOCIOLINGUISTICS_VARIATION_SAUDI_ARABIA","language":"en","author":[{"family":"Al-Jehani","given":"Nassir"}],"issued":{"date-parts":[["1985"]]},"accessed":{"date-parts":[["2018",7,12]]}}}],"schema":"https://github.com/citation-style-language/schema/raw/master/csl-citation.json"} </w:instrText>
      </w:r>
      <w:r w:rsidR="009D01FA" w:rsidRPr="00CF31E0">
        <w:rPr>
          <w:lang w:val="en-US"/>
        </w:rPr>
        <w:fldChar w:fldCharType="separate"/>
      </w:r>
      <w:r w:rsidR="009D01FA" w:rsidRPr="00CF31E0">
        <w:rPr>
          <w:noProof/>
          <w:lang w:val="en-US"/>
        </w:rPr>
        <w:t>(Al-Jehani, 1985)</w:t>
      </w:r>
      <w:r w:rsidR="009D01FA" w:rsidRPr="00CF31E0">
        <w:rPr>
          <w:lang w:val="en-US"/>
        </w:rPr>
        <w:fldChar w:fldCharType="end"/>
      </w:r>
      <w:r w:rsidR="009D01FA" w:rsidRPr="00CF31E0">
        <w:rPr>
          <w:lang w:val="en-US"/>
        </w:rPr>
        <w:t>.</w:t>
      </w:r>
      <w:r w:rsidR="0016705C" w:rsidRPr="00CF31E0">
        <w:rPr>
          <w:lang w:val="en-US"/>
        </w:rPr>
        <w:t xml:space="preserve"> </w:t>
      </w:r>
      <w:r w:rsidR="008E2D6B" w:rsidRPr="00CF31E0">
        <w:rPr>
          <w:lang w:val="en-US"/>
        </w:rPr>
        <w:t xml:space="preserve">Although the settler group consists of many ethnic groups, they formulated a mutually understandable dialect that </w:t>
      </w:r>
      <w:r w:rsidR="00567966" w:rsidRPr="00CF31E0">
        <w:rPr>
          <w:lang w:val="en-US"/>
        </w:rPr>
        <w:t xml:space="preserve">indexes </w:t>
      </w:r>
      <w:r w:rsidR="008E2D6B" w:rsidRPr="00CF31E0">
        <w:rPr>
          <w:lang w:val="en-US"/>
        </w:rPr>
        <w:t>their identity.</w:t>
      </w:r>
      <w:r w:rsidR="00567966" w:rsidRPr="00CF31E0">
        <w:rPr>
          <w:lang w:val="en-US"/>
        </w:rPr>
        <w:t xml:space="preserve"> </w:t>
      </w:r>
      <w:r w:rsidR="001B51F2" w:rsidRPr="00CF31E0">
        <w:rPr>
          <w:lang w:val="en-US"/>
        </w:rPr>
        <w:t xml:space="preserve">I am interested </w:t>
      </w:r>
      <w:r w:rsidR="00567966" w:rsidRPr="00CF31E0">
        <w:rPr>
          <w:lang w:val="en-US"/>
        </w:rPr>
        <w:t xml:space="preserve">in investigating </w:t>
      </w:r>
      <w:r w:rsidR="001B51F2" w:rsidRPr="00CF31E0">
        <w:rPr>
          <w:lang w:val="en-US"/>
        </w:rPr>
        <w:t>the two dialects from an attitudinal approach</w:t>
      </w:r>
      <w:r w:rsidR="00567966" w:rsidRPr="00CF31E0">
        <w:rPr>
          <w:lang w:val="en-US"/>
        </w:rPr>
        <w:t>,</w:t>
      </w:r>
      <w:r w:rsidR="001B51F2" w:rsidRPr="00CF31E0">
        <w:rPr>
          <w:lang w:val="en-US"/>
        </w:rPr>
        <w:t xml:space="preserve"> as </w:t>
      </w:r>
      <w:r w:rsidR="00244F6A" w:rsidRPr="00CF31E0">
        <w:rPr>
          <w:lang w:val="en-US"/>
        </w:rPr>
        <w:t xml:space="preserve">to my knowledge </w:t>
      </w:r>
      <w:r w:rsidR="001B51F2" w:rsidRPr="00CF31E0">
        <w:rPr>
          <w:lang w:val="en-US"/>
        </w:rPr>
        <w:t xml:space="preserve">they have not been studied </w:t>
      </w:r>
      <w:r w:rsidR="00567966" w:rsidRPr="00CF31E0">
        <w:rPr>
          <w:lang w:val="en-US"/>
        </w:rPr>
        <w:t xml:space="preserve">on a comparative basis </w:t>
      </w:r>
      <w:r w:rsidR="001B51F2" w:rsidRPr="00CF31E0">
        <w:rPr>
          <w:lang w:val="en-US"/>
        </w:rPr>
        <w:t>before</w:t>
      </w:r>
      <w:r w:rsidR="00CA638A" w:rsidRPr="00CF31E0">
        <w:rPr>
          <w:lang w:val="en-US"/>
        </w:rPr>
        <w:t xml:space="preserve">. </w:t>
      </w:r>
      <w:r w:rsidR="009E3D50" w:rsidRPr="00CF31E0">
        <w:rPr>
          <w:lang w:val="en-US"/>
        </w:rPr>
        <w:t xml:space="preserve">It is important to note that </w:t>
      </w:r>
      <w:r w:rsidR="00B9242D" w:rsidRPr="00CF31E0">
        <w:rPr>
          <w:lang w:val="en-US"/>
        </w:rPr>
        <w:t>the HH</w:t>
      </w:r>
      <w:r w:rsidR="009E3D50" w:rsidRPr="00CF31E0">
        <w:rPr>
          <w:lang w:val="en-US"/>
        </w:rPr>
        <w:t xml:space="preserve"> dialect has sub-regional </w:t>
      </w:r>
      <w:r w:rsidR="00CB553B" w:rsidRPr="00CF31E0">
        <w:rPr>
          <w:lang w:val="en-US"/>
        </w:rPr>
        <w:t>varieties; that is HH</w:t>
      </w:r>
      <w:r w:rsidR="009E3D50" w:rsidRPr="00CF31E0">
        <w:rPr>
          <w:lang w:val="en-US"/>
        </w:rPr>
        <w:t xml:space="preserve"> spoken in </w:t>
      </w:r>
      <w:r w:rsidR="00D30B2F">
        <w:rPr>
          <w:lang w:val="en-US"/>
        </w:rPr>
        <w:t>Makkah</w:t>
      </w:r>
      <w:r w:rsidR="009E3D50" w:rsidRPr="00CF31E0">
        <w:rPr>
          <w:lang w:val="en-US"/>
        </w:rPr>
        <w:t xml:space="preserve"> is slightly differ</w:t>
      </w:r>
      <w:r w:rsidR="00EB2ECB" w:rsidRPr="00CF31E0">
        <w:rPr>
          <w:lang w:val="en-US"/>
        </w:rPr>
        <w:t>ent</w:t>
      </w:r>
      <w:r w:rsidR="009E3D50" w:rsidRPr="00CF31E0">
        <w:rPr>
          <w:lang w:val="en-US"/>
        </w:rPr>
        <w:t xml:space="preserve"> than </w:t>
      </w:r>
      <w:r w:rsidR="00B9242D" w:rsidRPr="00CF31E0">
        <w:rPr>
          <w:lang w:val="en-US"/>
        </w:rPr>
        <w:t>HH</w:t>
      </w:r>
      <w:r w:rsidR="009E3D50" w:rsidRPr="00CF31E0">
        <w:rPr>
          <w:lang w:val="en-US"/>
        </w:rPr>
        <w:t xml:space="preserve"> spoken in Jeddah. </w:t>
      </w:r>
      <w:r w:rsidR="00EB2ECB" w:rsidRPr="00CF31E0">
        <w:rPr>
          <w:lang w:val="en-US"/>
        </w:rPr>
        <w:t>However</w:t>
      </w:r>
      <w:r w:rsidR="009E3D50" w:rsidRPr="00CF31E0">
        <w:rPr>
          <w:lang w:val="en-US"/>
        </w:rPr>
        <w:t xml:space="preserve">, </w:t>
      </w:r>
      <w:r w:rsidR="009E3D50" w:rsidRPr="00CF31E0">
        <w:rPr>
          <w:lang w:val="en-US"/>
        </w:rPr>
        <w:lastRenderedPageBreak/>
        <w:t>it is beyond the scope of the present study to investigate reg</w:t>
      </w:r>
      <w:r w:rsidR="00CB553B" w:rsidRPr="00CF31E0">
        <w:rPr>
          <w:lang w:val="en-US"/>
        </w:rPr>
        <w:t>ional varieties of</w:t>
      </w:r>
      <w:r w:rsidR="004F2BBF" w:rsidRPr="00CF31E0">
        <w:rPr>
          <w:lang w:val="en-US"/>
        </w:rPr>
        <w:t xml:space="preserve"> the</w:t>
      </w:r>
      <w:r w:rsidR="00CB553B" w:rsidRPr="00CF31E0">
        <w:rPr>
          <w:lang w:val="en-US"/>
        </w:rPr>
        <w:t xml:space="preserve"> HH</w:t>
      </w:r>
      <w:r w:rsidR="009E3D50" w:rsidRPr="00CF31E0">
        <w:rPr>
          <w:lang w:val="en-US"/>
        </w:rPr>
        <w:t xml:space="preserve"> dialect. </w:t>
      </w:r>
      <w:r w:rsidR="0028775B" w:rsidRPr="00CF31E0">
        <w:rPr>
          <w:lang w:val="en-US"/>
        </w:rPr>
        <w:t xml:space="preserve"> </w:t>
      </w:r>
    </w:p>
    <w:p w14:paraId="7876B1A0" w14:textId="38B69B2C" w:rsidR="0085645C" w:rsidRPr="00CF31E0" w:rsidRDefault="00DB469A" w:rsidP="00EA159E">
      <w:pPr>
        <w:pStyle w:val="Paragraph"/>
      </w:pPr>
      <w:r w:rsidRPr="00CF31E0">
        <w:t>The Hijazi context embrace</w:t>
      </w:r>
      <w:r w:rsidR="00567966" w:rsidRPr="00CF31E0">
        <w:t>s a</w:t>
      </w:r>
      <w:r w:rsidRPr="00CF31E0">
        <w:t xml:space="preserve"> complex social structure which </w:t>
      </w:r>
      <w:r w:rsidR="00567966" w:rsidRPr="00CF31E0">
        <w:t xml:space="preserve">includes people with </w:t>
      </w:r>
      <w:r w:rsidRPr="00CF31E0">
        <w:t>diverse demographic backgrounds</w:t>
      </w:r>
      <w:r w:rsidR="00CB553B" w:rsidRPr="00CF31E0">
        <w:t xml:space="preserve"> </w:t>
      </w:r>
      <w:r w:rsidR="00644902" w:rsidRPr="00CF31E0">
        <w:fldChar w:fldCharType="begin"/>
      </w:r>
      <w:r w:rsidR="00A54129" w:rsidRPr="00CF31E0">
        <w:instrText xml:space="preserve"> ADDIN ZOTERO_ITEM CSL_CITATION {"citationID":"xIed8DWB","properties":{"formattedCitation":"(Alahmadi, 2015, 2016; Nasir Al-Jehani, 1990; Al-Rasheed, 2010; Alzaidi, 2014; Omar, 1975)","plainCitation":"(Alahmadi, 2015, 2016; Nasir Al-Jehani, 1990; Al-Rasheed, 2010; Alzaidi, 2014; Omar, 1975)","dontUpdate":true,"noteIndex":0},"citationItems":[{"id":476,"uris":["http://zotero.org/users/1939618/items/ZDMCRMJ9"],"uri":["http://zotero.org/users/1939618/items/ZDMCRMJ9"],"itemData":{"id":476,"type":"article-journal","title":"Loanwords in the Urban Meccan Hijazi Dialect: An Analysis of Lexical Variation according to Speakers’ Sex, Age and Education","container-title":"International Journal of English Linguistics","page":"34-58","volume":"5","issue":"6","source":"ResearchGate","abstract":"This study aims to investigate the degree of lexical variation in Urban Meccan Hijazi Arabic (UMH) by identifying the loan words that are commonly spoken in this dialect and determining from which languages they have been borrowed. Also, it explores the effect of social factors such as age, sex and educational level on the use of loan words by UMH speakers. For the purpose of the study, I designed a questionnaire and distributed it to eighty participants whose mother tongue is UMH. The sample consisted of three groups, namely, old and young, male and female and educated and uneducated participants. In order to provide answers to the research questions, the questionnaire was divided into two sections; section one investigates the participants’ background, i.e., their age, sex, educational level, how long have they been living in Mecca, etc., and section two examines their use of the loan words in UMH. The results revealed that in addition to some words that have been borrowed from Persian and Italian, most of the loan words found in UMH have been borrowed from Turkish. This could have resulted from the Ottoman occupation of Saudi Arabia for around 400 years, and the interaction with pilgrims who visit Mecca every year. Additionally, the results of the t-tests showed that the differences between the three groups (i.e., old vs. young, male vs. female and educated vs. uneducated) are statistically significant. This indicates that the three social factors play a crucial role in the participants’ use of the loan words in UMH. Finally, the study concludes with some recommendations for further research.","DOI":"10.5539/ijel.v5n6p3","shortTitle":"Loanwords in the Urban Meccan Hijazi Dialect","author":[{"family":"Alahmadi","given":"Sameeha"}],"issued":{"date-parts":[["2015",12,1]]}},"label":"page"},{"id":470,"uris":["http://zotero.org/users/1939618/items/65KMBJ76"],"uri":["http://zotero.org/users/1939618/items/65KMBJ76"],"itemData":{"id":470,"type":"article-journal","title":"Insight into the Attitudes of Speakers of Urban Meccan Hijazi Arabic towards their Dialect","container-title":"Advances in Language and Literary Studies","page":"249-256","volume":"7","issue":"2","source":"ResearchGate","DOI":"10.7575/aiac.alls.v.7n.2p.249","author":[{"family":"Alahmadi","given":"Sameeha"}],"issued":{"date-parts":[["2016",4,1]]}},"label":"page"},{"id":170,"uris":["http://zotero.org/users/1939618/items/5PRQ9KEN"],"uri":["http://zotero.org/users/1939618/items/5PRQ9KEN"],"itemData":{"id":170,"type":"book","title":"A history of Saudi Arabia","publisher":"Cambridge University Press","publisher-place":"Cambridge","source":"Google Scholar","event-place":"Cambridge","URL":"https://books.google.co.uk/books?hl=en&amp;lr=&amp;id=ReoiwJiOqQAC&amp;oi=fnd&amp;pg=PR10&amp;dq=Al-Rasheed,+M.+(2010).+A+history+of+Saudi+Arabia.+Cambridge,+Cambridge+University+Press.&amp;ots=NaKXTzyoyc&amp;sig=nZSLxW_SacQ6E1xRWtPUxRhNG6g","author":[{"family":"Al-Rasheed","given":"Madawi"}],"issued":{"date-parts":[["2010"]]},"accessed":{"date-parts":[["2015",9,28]]}},"label":"page"},{"id":465,"uris":["http://zotero.org/users/1939618/items/3GBM2A83"],"uri":["http://zotero.org/users/1939618/items/3GBM2A83"],"itemData":{"id":465,"type":"thesis","title":"Information Structure and Intonation in Hijazi Arabic (doctoral dissertation)","publisher":"University of Essex","source":"Zotero","language":"en","author":[{"family":"Alzaidi","given":"Muhammad Swaileh A"}],"issued":{"date-parts":[["2014"]]}},"label":"page"},{"id":480,"uris":["http://zotero.org/users/1939618/items/R9E5Q4TA"],"uri":["http://zotero.org/users/1939618/items/R9E5Q4TA"],"itemData":{"id":480,"type":"article-journal","title":"Color Terms in Mecca: A Sociolinguistic Perspective","container-title":"Anthropological Linguistics","page":"163–74","volume":"32","issue":"1-2","source":"find.shef.ac.uk","abstract":"The present study focuses on the variability in color labeling by Meccan speakers of Arabic from different social backgrounds, a subject only marginally considered in the existing literature. Color labeling was found to strongly correlate with the sex, ethnic background, and age of speakers.","ISSN":"0003-5483","shortTitle":"Color Terms in Mecca","language":"English","author":[{"family":"Al-Jehani","given":"Nasir"}],"issued":{"date-parts":[["1990"]]}},"label":"page"},{"id":165,"uris":["http://zotero.org/users/1939618/items/AW84BTJM"],"uri":["http://zotero.org/users/1939618/items/AW84BTJM"],"itemData":{"id":165,"type":"book","title":"Saudi Arabic, Urban Hijazi Dialect: Basic Course.","publisher":"Foreign service institute","publisher-place":"Washington, D.C.","source":"Google Scholar","event-place":"Washington, D.C.","URL":"http://eric.ed.gov/?id=ED112665","shortTitle":"Saudi Arabic, Urban Hijazi Dialect","author":[{"family":"Omar","given":"Margaret K."}],"issued":{"date-parts":[["1975"]]},"accessed":{"date-parts":[["2015",6,23]]}},"label":"page"}],"schema":"https://github.com/citation-style-language/schema/raw/master/csl-citation.json"} </w:instrText>
      </w:r>
      <w:r w:rsidR="00644902" w:rsidRPr="00CF31E0">
        <w:fldChar w:fldCharType="separate"/>
      </w:r>
      <w:r w:rsidR="00DF22FA" w:rsidRPr="00CF31E0">
        <w:rPr>
          <w:noProof/>
        </w:rPr>
        <w:t>(Alahmadi, 2015, 2016; Al-Jehani, 1990; Alzaidi, 2014; Omar, 1975)</w:t>
      </w:r>
      <w:r w:rsidR="00644902" w:rsidRPr="00CF31E0">
        <w:fldChar w:fldCharType="end"/>
      </w:r>
      <w:r w:rsidRPr="00CF31E0">
        <w:t xml:space="preserve">. Some of them </w:t>
      </w:r>
      <w:r w:rsidR="00567966" w:rsidRPr="00CF31E0">
        <w:t xml:space="preserve">are </w:t>
      </w:r>
      <w:r w:rsidRPr="00CF31E0">
        <w:t>male and other</w:t>
      </w:r>
      <w:r w:rsidR="00567966" w:rsidRPr="00CF31E0">
        <w:t>s</w:t>
      </w:r>
      <w:r w:rsidRPr="00CF31E0">
        <w:t xml:space="preserve"> female. Some of them might </w:t>
      </w:r>
      <w:r w:rsidR="00567966" w:rsidRPr="00CF31E0">
        <w:t xml:space="preserve">have been </w:t>
      </w:r>
      <w:r w:rsidRPr="00CF31E0">
        <w:t xml:space="preserve">born inside Hijaz or outside it. Some of them might live their whole </w:t>
      </w:r>
      <w:r w:rsidR="00567966" w:rsidRPr="00CF31E0">
        <w:t xml:space="preserve">lives </w:t>
      </w:r>
      <w:r w:rsidRPr="00CF31E0">
        <w:t>inside Hijaz</w:t>
      </w:r>
      <w:r w:rsidR="00567966" w:rsidRPr="00CF31E0">
        <w:t>,</w:t>
      </w:r>
      <w:r w:rsidRPr="00CF31E0">
        <w:t xml:space="preserve"> </w:t>
      </w:r>
      <w:r w:rsidR="00567966" w:rsidRPr="00CF31E0">
        <w:t xml:space="preserve">while others live there for a </w:t>
      </w:r>
      <w:r w:rsidRPr="00CF31E0">
        <w:t xml:space="preserve">part of </w:t>
      </w:r>
      <w:r w:rsidR="00567966" w:rsidRPr="00CF31E0">
        <w:t>their lives</w:t>
      </w:r>
      <w:r w:rsidRPr="00CF31E0">
        <w:t xml:space="preserve">. Also, in light of the </w:t>
      </w:r>
      <w:r w:rsidR="00567966" w:rsidRPr="00CF31E0">
        <w:t xml:space="preserve">earlier </w:t>
      </w:r>
      <w:r w:rsidRPr="00CF31E0">
        <w:t xml:space="preserve">discussion about the improvement of </w:t>
      </w:r>
      <w:r w:rsidR="00567966" w:rsidRPr="00CF31E0">
        <w:t xml:space="preserve">the </w:t>
      </w:r>
      <w:r w:rsidRPr="00CF31E0">
        <w:t xml:space="preserve">educational system </w:t>
      </w:r>
      <w:r w:rsidR="00567966" w:rsidRPr="00CF31E0">
        <w:t xml:space="preserve">in </w:t>
      </w:r>
      <w:r w:rsidR="00AA58CC" w:rsidRPr="00CF31E0">
        <w:t xml:space="preserve">SA, </w:t>
      </w:r>
      <w:r w:rsidRPr="00CF31E0">
        <w:t xml:space="preserve">see section </w:t>
      </w:r>
      <w:r w:rsidR="002124ED" w:rsidRPr="00CF31E0">
        <w:t>2</w:t>
      </w:r>
      <w:r w:rsidR="00296396" w:rsidRPr="00CF31E0">
        <w:t>.11</w:t>
      </w:r>
      <w:r w:rsidRPr="00CF31E0">
        <w:t xml:space="preserve">, it might be the case that </w:t>
      </w:r>
      <w:r w:rsidR="00C332B3" w:rsidRPr="00CF31E0">
        <w:t xml:space="preserve">people with </w:t>
      </w:r>
      <w:r w:rsidRPr="00CF31E0">
        <w:t>different level</w:t>
      </w:r>
      <w:r w:rsidR="00C427C0" w:rsidRPr="00CF31E0">
        <w:t>s</w:t>
      </w:r>
      <w:r w:rsidRPr="00CF31E0">
        <w:t xml:space="preserve"> of education are found in Hijaz. Furthermore, as </w:t>
      </w:r>
      <w:r w:rsidR="00C332B3" w:rsidRPr="00CF31E0">
        <w:t xml:space="preserve">with </w:t>
      </w:r>
      <w:r w:rsidRPr="00CF31E0">
        <w:t>any other society, different generation</w:t>
      </w:r>
      <w:r w:rsidR="00C332B3" w:rsidRPr="00CF31E0">
        <w:t>s</w:t>
      </w:r>
      <w:r w:rsidRPr="00CF31E0">
        <w:t xml:space="preserve"> might live in Hijaz</w:t>
      </w:r>
      <w:r w:rsidR="00C332B3" w:rsidRPr="00CF31E0">
        <w:t xml:space="preserve">: </w:t>
      </w:r>
      <w:r w:rsidRPr="00CF31E0">
        <w:t>young, middle</w:t>
      </w:r>
      <w:r w:rsidR="00C332B3" w:rsidRPr="00CF31E0">
        <w:t>-</w:t>
      </w:r>
      <w:r w:rsidRPr="00CF31E0">
        <w:t xml:space="preserve">aged and old people. When it comes to different social groups in Hijaz, the dichotomy found in </w:t>
      </w:r>
      <w:r w:rsidR="00C332B3" w:rsidRPr="00CF31E0">
        <w:t xml:space="preserve">the </w:t>
      </w:r>
      <w:r w:rsidRPr="00CF31E0">
        <w:t xml:space="preserve">Hijaz social structure is, as previously mentioned, </w:t>
      </w:r>
      <w:r w:rsidR="00EB2ECB" w:rsidRPr="00CF31E0">
        <w:t xml:space="preserve">its </w:t>
      </w:r>
      <w:r w:rsidRPr="00CF31E0">
        <w:t xml:space="preserve">most distinctive feature </w:t>
      </w:r>
      <w:r w:rsidR="00365B83" w:rsidRPr="00CF31E0">
        <w:fldChar w:fldCharType="begin"/>
      </w:r>
      <w:r w:rsidR="00A54129" w:rsidRPr="00CF31E0">
        <w:instrText xml:space="preserve"> ADDIN ZOTERO_ITEM CSL_CITATION {"citationID":"o3kohEW3","properties":{"formattedCitation":"(Alahmadi, 2015; Al-Rasheed, 2010)","plainCitation":"(Alahmadi, 2015; Al-Rasheed, 2010)","noteIndex":0},"citationItems":[{"id":476,"uris":["http://zotero.org/users/1939618/items/ZDMCRMJ9"],"uri":["http://zotero.org/users/1939618/items/ZDMCRMJ9"],"itemData":{"id":476,"type":"article-journal","title":"Loanwords in the Urban Meccan Hijazi Dialect: An Analysis of Lexical Variation according to Speakers’ Sex, Age and Education","container-title":"International Journal of English Linguistics","page":"34-58","volume":"5","issue":"6","source":"ResearchGate","abstract":"This study aims to investigate the degree of lexical variation in Urban Meccan Hijazi Arabic (UMH) by identifying the loan words that are commonly spoken in this dialect and determining from which languages they have been borrowed. Also, it explores the effect of social factors such as age, sex and educational level on the use of loan words by UMH speakers. For the purpose of the study, I designed a questionnaire and distributed it to eighty participants whose mother tongue is UMH. The sample consisted of three groups, namely, old and young, male and female and educated and uneducated participants. In order to provide answers to the research questions, the questionnaire was divided into two sections; section one investigates the participants’ background, i.e., their age, sex, educational level, how long have they been living in Mecca, etc., and section two examines their use of the loan words in UMH. The results revealed that in addition to some words that have been borrowed from Persian and Italian, most of the loan words found in UMH have been borrowed from Turkish. This could have resulted from the Ottoman occupation of Saudi Arabia for around 400 years, and the interaction with pilgrims who visit Mecca every year. Additionally, the results of the t-tests showed that the differences between the three groups (i.e., old vs. young, male vs. female and educated vs. uneducated) are statistically significant. This indicates that the three social factors play a crucial role in the participants’ use of the loan words in UMH. Finally, the study concludes with some recommendations for further research.","DOI":"10.5539/ijel.v5n6p3","shortTitle":"Loanwords in the Urban Meccan Hijazi Dialect","author":[{"family":"Alahmadi","given":"Sameeha"}],"issued":{"date-parts":[["2015",12,1]]}},"label":"page"},{"id":170,"uris":["http://zotero.org/users/1939618/items/5PRQ9KEN"],"uri":["http://zotero.org/users/1939618/items/5PRQ9KEN"],"itemData":{"id":170,"type":"book","title":"A history of Saudi Arabia","publisher":"Cambridge University Press","publisher-place":"Cambridge","source":"Google Scholar","event-place":"Cambridge","URL":"https://books.google.co.uk/books?hl=en&amp;lr=&amp;id=ReoiwJiOqQAC&amp;oi=fnd&amp;pg=PR10&amp;dq=Al-Rasheed,+M.+(2010).+A+history+of+Saudi+Arabia.+Cambridge,+Cambridge+University+Press.&amp;ots=NaKXTzyoyc&amp;sig=nZSLxW_SacQ6E1xRWtPUxRhNG6g","author":[{"family":"Al-Rasheed","given":"Madawi"}],"issued":{"date-parts":[["2010"]]},"accessed":{"date-parts":[["2015",9,28]]}},"label":"page"}],"schema":"https://github.com/citation-style-language/schema/raw/master/csl-citation.json"} </w:instrText>
      </w:r>
      <w:r w:rsidR="00365B83" w:rsidRPr="00CF31E0">
        <w:fldChar w:fldCharType="separate"/>
      </w:r>
      <w:r w:rsidR="00365B83" w:rsidRPr="00CF31E0">
        <w:rPr>
          <w:noProof/>
        </w:rPr>
        <w:t>(</w:t>
      </w:r>
      <w:r w:rsidR="00EA159E" w:rsidRPr="00CF31E0">
        <w:rPr>
          <w:noProof/>
        </w:rPr>
        <w:t>Alahmadi, 2015</w:t>
      </w:r>
      <w:r w:rsidR="00365B83" w:rsidRPr="00CF31E0">
        <w:rPr>
          <w:noProof/>
        </w:rPr>
        <w:t>)</w:t>
      </w:r>
      <w:r w:rsidR="00365B83" w:rsidRPr="00CF31E0">
        <w:fldChar w:fldCharType="end"/>
      </w:r>
      <w:r w:rsidRPr="00CF31E0">
        <w:t xml:space="preserve">. Furthermore, if </w:t>
      </w:r>
      <w:r w:rsidR="00C332B3" w:rsidRPr="00CF31E0">
        <w:t xml:space="preserve">we </w:t>
      </w:r>
      <w:r w:rsidRPr="00CF31E0">
        <w:t>suppose that intermarriage occurred between the two groups, the mother’s social group and the spouse</w:t>
      </w:r>
      <w:r w:rsidR="00C332B3" w:rsidRPr="00CF31E0">
        <w:t>’s</w:t>
      </w:r>
      <w:r w:rsidRPr="00CF31E0">
        <w:t xml:space="preserve"> social group are yet other </w:t>
      </w:r>
      <w:r w:rsidR="00C332B3" w:rsidRPr="00CF31E0">
        <w:t>indicator</w:t>
      </w:r>
      <w:r w:rsidR="00C427C0" w:rsidRPr="00CF31E0">
        <w:t>s</w:t>
      </w:r>
      <w:r w:rsidR="00C332B3" w:rsidRPr="00CF31E0">
        <w:t xml:space="preserve"> of </w:t>
      </w:r>
      <w:r w:rsidRPr="00CF31E0">
        <w:t xml:space="preserve">demographic </w:t>
      </w:r>
      <w:r w:rsidR="007E351B" w:rsidRPr="00CF31E0">
        <w:t xml:space="preserve">diversity in </w:t>
      </w:r>
      <w:r w:rsidR="00C332B3" w:rsidRPr="00CF31E0">
        <w:t xml:space="preserve">the </w:t>
      </w:r>
      <w:r w:rsidR="007E351B" w:rsidRPr="00CF31E0">
        <w:t>Hijaz region</w:t>
      </w:r>
      <w:r w:rsidRPr="00CF31E0">
        <w:t xml:space="preserve">. </w:t>
      </w:r>
    </w:p>
    <w:p w14:paraId="13AB41A9" w14:textId="27BC1322" w:rsidR="00C57F5F" w:rsidRPr="00CF31E0" w:rsidRDefault="00FA5F94" w:rsidP="00603CB7">
      <w:pPr>
        <w:pStyle w:val="Paragraph"/>
      </w:pPr>
      <w:r w:rsidRPr="00CF31E0">
        <w:rPr>
          <w:lang w:val="en-US"/>
        </w:rPr>
        <w:t xml:space="preserve">The </w:t>
      </w:r>
      <w:r w:rsidR="007142EC" w:rsidRPr="00CF31E0">
        <w:rPr>
          <w:lang w:val="en-US"/>
        </w:rPr>
        <w:t>UBH</w:t>
      </w:r>
      <w:r w:rsidR="0070475F" w:rsidRPr="00CF31E0">
        <w:rPr>
          <w:lang w:val="en-US"/>
        </w:rPr>
        <w:t xml:space="preserve"> dialect</w:t>
      </w:r>
      <w:r w:rsidR="005C3D95" w:rsidRPr="00CF31E0">
        <w:rPr>
          <w:lang w:val="en-US"/>
        </w:rPr>
        <w:t xml:space="preserve"> differs from </w:t>
      </w:r>
      <w:r w:rsidRPr="00CF31E0">
        <w:rPr>
          <w:lang w:val="en-US"/>
        </w:rPr>
        <w:t xml:space="preserve">the </w:t>
      </w:r>
      <w:r w:rsidR="007142EC" w:rsidRPr="00CF31E0">
        <w:rPr>
          <w:lang w:val="en-US"/>
        </w:rPr>
        <w:t>HH</w:t>
      </w:r>
      <w:r w:rsidR="005C3D95" w:rsidRPr="00CF31E0">
        <w:rPr>
          <w:lang w:val="en-US"/>
        </w:rPr>
        <w:t xml:space="preserve"> </w:t>
      </w:r>
      <w:r w:rsidR="00C05031" w:rsidRPr="00CF31E0">
        <w:rPr>
          <w:lang w:val="en-US"/>
        </w:rPr>
        <w:t xml:space="preserve">dialect </w:t>
      </w:r>
      <w:r w:rsidR="005C3D95" w:rsidRPr="00CF31E0">
        <w:rPr>
          <w:lang w:val="en-US"/>
        </w:rPr>
        <w:t xml:space="preserve">in different </w:t>
      </w:r>
      <w:r w:rsidR="00C971B2" w:rsidRPr="00CF31E0">
        <w:rPr>
          <w:lang w:val="en-US"/>
        </w:rPr>
        <w:t xml:space="preserve">linguistic </w:t>
      </w:r>
      <w:r w:rsidR="005C3D95" w:rsidRPr="00CF31E0">
        <w:rPr>
          <w:lang w:val="en-US"/>
        </w:rPr>
        <w:t>asp</w:t>
      </w:r>
      <w:r w:rsidR="00B42F1D" w:rsidRPr="00CF31E0">
        <w:rPr>
          <w:lang w:val="en-US"/>
        </w:rPr>
        <w:t xml:space="preserve">ects such as </w:t>
      </w:r>
      <w:r w:rsidR="00C971B2" w:rsidRPr="00CF31E0">
        <w:rPr>
          <w:lang w:val="en-US"/>
        </w:rPr>
        <w:t xml:space="preserve">phonology and lexicon, and sometimes </w:t>
      </w:r>
      <w:r w:rsidRPr="00CF31E0">
        <w:rPr>
          <w:lang w:val="en-US"/>
        </w:rPr>
        <w:t xml:space="preserve">the two dialects </w:t>
      </w:r>
      <w:r w:rsidR="00C971B2" w:rsidRPr="00CF31E0">
        <w:rPr>
          <w:lang w:val="en-US"/>
        </w:rPr>
        <w:t>even differ in their style of speaking.</w:t>
      </w:r>
      <w:r w:rsidR="005C3D95" w:rsidRPr="00CF31E0">
        <w:rPr>
          <w:lang w:val="en-US"/>
        </w:rPr>
        <w:t xml:space="preserve"> </w:t>
      </w:r>
      <w:r w:rsidR="00802E85" w:rsidRPr="00CF31E0">
        <w:rPr>
          <w:lang w:val="en-US"/>
        </w:rPr>
        <w:t>Ingham (1971) claim</w:t>
      </w:r>
      <w:r w:rsidR="00483C79" w:rsidRPr="00CF31E0">
        <w:rPr>
          <w:lang w:val="en-US"/>
        </w:rPr>
        <w:t>s</w:t>
      </w:r>
      <w:r w:rsidR="00B42F1D" w:rsidRPr="00CF31E0">
        <w:rPr>
          <w:lang w:val="en-US"/>
        </w:rPr>
        <w:t xml:space="preserve"> that</w:t>
      </w:r>
      <w:r w:rsidR="00F81DC7" w:rsidRPr="00CF31E0">
        <w:rPr>
          <w:lang w:val="en-US"/>
        </w:rPr>
        <w:t xml:space="preserve"> </w:t>
      </w:r>
      <w:r w:rsidR="00483C79" w:rsidRPr="00CF31E0">
        <w:rPr>
          <w:lang w:val="en-US"/>
        </w:rPr>
        <w:t xml:space="preserve">the </w:t>
      </w:r>
      <w:r w:rsidR="00D30B2F">
        <w:rPr>
          <w:lang w:val="en-US"/>
        </w:rPr>
        <w:t>Makkan</w:t>
      </w:r>
      <w:r w:rsidR="00F81DC7" w:rsidRPr="00CF31E0">
        <w:rPr>
          <w:lang w:val="en-US"/>
        </w:rPr>
        <w:t xml:space="preserve"> dialect</w:t>
      </w:r>
      <w:r w:rsidR="00B2415C" w:rsidRPr="00CF31E0">
        <w:rPr>
          <w:lang w:val="en-US"/>
        </w:rPr>
        <w:t>,</w:t>
      </w:r>
      <w:r w:rsidR="00F81DC7" w:rsidRPr="00CF31E0">
        <w:rPr>
          <w:lang w:val="en-US"/>
        </w:rPr>
        <w:t xml:space="preserve"> which is a sub-dialect of </w:t>
      </w:r>
      <w:r w:rsidR="00483C79" w:rsidRPr="00CF31E0">
        <w:rPr>
          <w:lang w:val="en-US"/>
        </w:rPr>
        <w:t xml:space="preserve">the </w:t>
      </w:r>
      <w:r w:rsidR="00F81DC7" w:rsidRPr="00CF31E0">
        <w:rPr>
          <w:lang w:val="en-US"/>
        </w:rPr>
        <w:t>HH dialect</w:t>
      </w:r>
      <w:r w:rsidR="00B2415C" w:rsidRPr="00CF31E0">
        <w:rPr>
          <w:lang w:val="en-US"/>
        </w:rPr>
        <w:t>,</w:t>
      </w:r>
      <w:r w:rsidR="00F81DC7" w:rsidRPr="00CF31E0">
        <w:rPr>
          <w:lang w:val="en-US"/>
        </w:rPr>
        <w:t xml:space="preserve"> differs from </w:t>
      </w:r>
      <w:r w:rsidR="00483C79" w:rsidRPr="00CF31E0">
        <w:rPr>
          <w:lang w:val="en-US"/>
        </w:rPr>
        <w:t xml:space="preserve">the </w:t>
      </w:r>
      <w:r w:rsidR="00F81DC7" w:rsidRPr="00CF31E0">
        <w:rPr>
          <w:lang w:val="en-US"/>
        </w:rPr>
        <w:t>UBH dialect and the former resembles other Arabic dialect</w:t>
      </w:r>
      <w:r w:rsidR="00483C79" w:rsidRPr="00CF31E0">
        <w:rPr>
          <w:lang w:val="en-US"/>
        </w:rPr>
        <w:t>s</w:t>
      </w:r>
      <w:r w:rsidR="00F81DC7" w:rsidRPr="00CF31E0">
        <w:rPr>
          <w:lang w:val="en-US"/>
        </w:rPr>
        <w:t xml:space="preserve"> spoken in </w:t>
      </w:r>
      <w:r w:rsidR="00F81DC7" w:rsidRPr="00CF31E0">
        <w:t>“</w:t>
      </w:r>
      <w:r w:rsidR="00B42F1D" w:rsidRPr="00CF31E0">
        <w:t xml:space="preserve">Egypt, the Sudan, and parts of the Levant” </w:t>
      </w:r>
      <w:r w:rsidR="00483C79" w:rsidRPr="00CF31E0">
        <w:t>(</w:t>
      </w:r>
      <w:r w:rsidR="00B42F1D" w:rsidRPr="00CF31E0">
        <w:t>p. 273</w:t>
      </w:r>
      <w:r w:rsidR="00483C79" w:rsidRPr="00CF31E0">
        <w:t>)</w:t>
      </w:r>
      <w:r w:rsidR="00B42F1D" w:rsidRPr="00CF31E0">
        <w:t xml:space="preserve">. </w:t>
      </w:r>
      <w:r w:rsidR="00483C79" w:rsidRPr="00CF31E0">
        <w:t>Although</w:t>
      </w:r>
      <w:r w:rsidR="00F81DC7" w:rsidRPr="00CF31E0">
        <w:t xml:space="preserve"> the scope of the present study </w:t>
      </w:r>
      <w:r w:rsidR="00483C79" w:rsidRPr="00CF31E0">
        <w:t>does not extend to</w:t>
      </w:r>
      <w:r w:rsidR="00F81DC7" w:rsidRPr="00CF31E0">
        <w:t xml:space="preserve"> investigating dialect production, </w:t>
      </w:r>
      <w:r w:rsidR="00802E85" w:rsidRPr="00CF31E0">
        <w:t>in order to understand</w:t>
      </w:r>
      <w:r w:rsidR="00F81DC7" w:rsidRPr="00CF31E0">
        <w:t xml:space="preserve"> the main different linguistic aspects between the two dialects</w:t>
      </w:r>
      <w:r w:rsidR="00483C79" w:rsidRPr="00CF31E0">
        <w:t xml:space="preserve"> </w:t>
      </w:r>
      <w:r w:rsidR="00F81DC7" w:rsidRPr="00CF31E0">
        <w:t xml:space="preserve">I </w:t>
      </w:r>
      <w:r w:rsidR="0003233A" w:rsidRPr="00CF31E0">
        <w:t xml:space="preserve">have </w:t>
      </w:r>
      <w:r w:rsidR="00F81DC7" w:rsidRPr="00CF31E0">
        <w:t xml:space="preserve">reviewed </w:t>
      </w:r>
      <w:r w:rsidR="00802E85" w:rsidRPr="00CF31E0">
        <w:t xml:space="preserve">the literature </w:t>
      </w:r>
      <w:r w:rsidR="00483C79" w:rsidRPr="00CF31E0">
        <w:t xml:space="preserve">on </w:t>
      </w:r>
      <w:r w:rsidR="00802E85" w:rsidRPr="00CF31E0">
        <w:t xml:space="preserve">UBH and HH </w:t>
      </w:r>
      <w:r w:rsidR="00F81DC7" w:rsidRPr="00CF31E0">
        <w:t>dialect produ</w:t>
      </w:r>
      <w:r w:rsidR="00802E85" w:rsidRPr="00CF31E0">
        <w:t xml:space="preserve">ction, </w:t>
      </w:r>
      <w:r w:rsidR="00F81DC7" w:rsidRPr="00CF31E0">
        <w:t xml:space="preserve">and synthesized the </w:t>
      </w:r>
      <w:r w:rsidR="00B2415C" w:rsidRPr="00CF31E0">
        <w:t xml:space="preserve">most salient </w:t>
      </w:r>
      <w:r w:rsidR="00F81DC7" w:rsidRPr="00CF31E0">
        <w:t>differences and similarities</w:t>
      </w:r>
      <w:r w:rsidR="00802E85" w:rsidRPr="00CF31E0">
        <w:t xml:space="preserve"> between them</w:t>
      </w:r>
      <w:r w:rsidR="0022168D" w:rsidRPr="00CF31E0">
        <w:t xml:space="preserve"> in what follows</w:t>
      </w:r>
      <w:r w:rsidR="00802E85" w:rsidRPr="00CF31E0">
        <w:t xml:space="preserve">. </w:t>
      </w:r>
    </w:p>
    <w:p w14:paraId="126290FF" w14:textId="2257A3B3" w:rsidR="00EC2CB6" w:rsidRPr="00CF31E0" w:rsidRDefault="001001C3" w:rsidP="00603CB7">
      <w:pPr>
        <w:pStyle w:val="Paragraph"/>
      </w:pPr>
      <w:r w:rsidRPr="00CF31E0">
        <w:t xml:space="preserve">It is worth mentioning that the Arabic language is used in two forms. One is the formal form of the language, which is used in writing, education, the media and formal contexts in general. It is called Modern Standard Arabic </w:t>
      </w:r>
      <w:r w:rsidRPr="00CF31E0">
        <w:fldChar w:fldCharType="begin"/>
      </w:r>
      <w:r w:rsidR="00A54129" w:rsidRPr="00CF31E0">
        <w:instrText xml:space="preserve"> ADDIN ZOTERO_ITEM CSL_CITATION {"citationID":"0LxnK6dj","properties":{"formattedCitation":"(Alghamdi, 1998)","plainCitation":"(Alghamdi, 1998)","noteIndex":0},"citationItems":[{"id":"wgwhcNH1/mvJBt3YX","uris":["http://zotero.org/users/1939618/items/R6A8KAN4"],"uri":["http://zotero.org/users/1939618/items/R6A8KAN4"],"itemData":{"id":22,"type":"article-journal","title":"A spectrographic analysis of Arabic vowels: A cross-dialect study","container-title":"Journal of King Saud University","source":"Google Scholar","URL":"http://repository.ksu.edu.sa/jspui/handle/123456789/372","shortTitle":"A spectrographic analysis of Arabic vowels","author":[{"family":"Alghamdi","given":"Mansour M."}],"issued":{"date-parts":[["1998"]]},"accessed":{"date-parts":[["2014",6,4]]}}}],"schema":"https://github.com/citation-style-language/schema/raw/master/csl-citation.json"} </w:instrText>
      </w:r>
      <w:r w:rsidRPr="00CF31E0">
        <w:fldChar w:fldCharType="separate"/>
      </w:r>
      <w:r w:rsidRPr="00CF31E0">
        <w:rPr>
          <w:noProof/>
        </w:rPr>
        <w:t>(Alghamdi, 1998)</w:t>
      </w:r>
      <w:r w:rsidRPr="00CF31E0">
        <w:fldChar w:fldCharType="end"/>
      </w:r>
      <w:r w:rsidRPr="00CF31E0">
        <w:t xml:space="preserve"> and is “based on Classical Arabic in terms of lexicon, syntax, morphology, semantics and phonology” </w:t>
      </w:r>
      <w:r w:rsidRPr="00CF31E0">
        <w:fldChar w:fldCharType="begin"/>
      </w:r>
      <w:r w:rsidR="00A54129" w:rsidRPr="00CF31E0">
        <w:instrText xml:space="preserve"> ADDIN ZOTERO_ITEM CSL_CITATION {"citationID":"bbicxe5Q","properties":{"formattedCitation":"(Alghamdi, 1998, p. 4)","plainCitation":"(Alghamdi, 1998, p. 4)","noteIndex":0},"citationItems":[{"id":"wgwhcNH1/mvJBt3YX","uris":["http://zotero.org/users/1939618/items/R6A8KAN4"],"uri":["http://zotero.org/users/1939618/items/R6A8KAN4"],"itemData":{"id":22,"type":"article-journal","title":"A spectrographic analysis of Arabic vowels: A cross-dialect study","container-title":"Journal of King Saud University","source":"Google Scholar","URL":"http://repository.ksu.edu.sa/jspui/handle/123456789/372","shortTitle":"A spectrographic analysis of Arabic vowels","author":[{"family":"Alghamdi","given":"Mansour M."}],"issued":{"date-parts":[["1998"]]},"accessed":{"date-parts":[["2014",6,4]]}},"locator":"4","label":"page"}],"schema":"https://github.com/citation-style-language/schema/raw/master/csl-citation.json"} </w:instrText>
      </w:r>
      <w:r w:rsidRPr="00CF31E0">
        <w:fldChar w:fldCharType="separate"/>
      </w:r>
      <w:r w:rsidRPr="00CF31E0">
        <w:rPr>
          <w:noProof/>
        </w:rPr>
        <w:t>(Alghamdi, 1998, p. 4)</w:t>
      </w:r>
      <w:r w:rsidRPr="00CF31E0">
        <w:fldChar w:fldCharType="end"/>
      </w:r>
      <w:r w:rsidRPr="00CF31E0">
        <w:t xml:space="preserve">. The </w:t>
      </w:r>
      <w:r w:rsidRPr="00CF31E0">
        <w:lastRenderedPageBreak/>
        <w:t xml:space="preserve">other form is the informal usage of the language, which is used in everyday life; it consists of the spoken Arabic dialects </w:t>
      </w:r>
      <w:r w:rsidRPr="00CF31E0">
        <w:fldChar w:fldCharType="begin"/>
      </w:r>
      <w:r w:rsidR="00A54129" w:rsidRPr="00CF31E0">
        <w:instrText xml:space="preserve"> ADDIN ZOTERO_ITEM CSL_CITATION {"citationID":"97vfv713u","properties":{"formattedCitation":"(Alghamdi, 1998; Biadsy, Hirschberg, &amp; Habash, 2009)","plainCitation":"(Alghamdi, 1998; Biadsy, Hirschberg, &amp; Habash, 2009)","noteIndex":0},"citationItems":[{"id":"wgwhcNH1/mvJBt3YX","uris":["http://zotero.org/users/1939618/items/R6A8KAN4"],"uri":["http://zotero.org/users/1939618/items/R6A8KAN4"],"itemData":{"id":22,"type":"article-journal","title":"A spectrographic analysis of Arabic vowels: A cross-dialect study","container-title":"Journal of King Saud University","source":"Google Scholar","URL":"http://repository.ksu.edu.sa/jspui/handle/123456789/372","shortTitle":"A spectrographic analysis of Arabic vowels","author":[{"family":"Alghamdi","given":"Mansour M."}],"issued":{"date-parts":[["1998"]]},"accessed":{"date-parts":[["2014",6,4]]}},"label":"page"},{"id":109,"uris":["http://zotero.org/users/1939618/items/BMI74B84"],"uri":["http://zotero.org/users/1939618/items/BMI74B84"],"itemData":{"id":109,"type":"paper-conference","title":"Spoken Arabic dialect identification using phonotactic modeling","container-title":"Proceedings of the EACL 2009 Workshop on Computational Approaches to Semitic Languages","publisher":"Association for Computational Linguistics","page":"53–61","source":"Google Scholar","URL":"http://dl.acm.org/citation.cfm?id=1621784","author":[{"family":"Biadsy","given":"Fadi"},{"family":"Hirschberg","given":"Julia"},{"family":"Habash","given":"Nizar"}],"issued":{"date-parts":[["2009"]]},"accessed":{"date-parts":[["2015",1,23]]}},"label":"page"}],"schema":"https://github.com/citation-style-language/schema/raw/master/csl-citation.json"} </w:instrText>
      </w:r>
      <w:r w:rsidRPr="00CF31E0">
        <w:fldChar w:fldCharType="separate"/>
      </w:r>
      <w:r w:rsidR="0045436A" w:rsidRPr="00CF31E0">
        <w:rPr>
          <w:noProof/>
        </w:rPr>
        <w:t>(Alghamdi, 1998; Biadsy, Hirschberg, &amp; Habash, 2009)</w:t>
      </w:r>
      <w:r w:rsidRPr="00CF31E0">
        <w:fldChar w:fldCharType="end"/>
      </w:r>
      <w:r w:rsidRPr="00CF31E0">
        <w:t xml:space="preserve">. </w:t>
      </w:r>
    </w:p>
    <w:p w14:paraId="5E719156" w14:textId="707E363F" w:rsidR="00B2415C" w:rsidRPr="00CF31E0" w:rsidRDefault="001001C3" w:rsidP="00AD4678">
      <w:pPr>
        <w:pStyle w:val="Paragraph"/>
      </w:pPr>
      <w:r w:rsidRPr="00CF31E0">
        <w:t xml:space="preserve">Therefore, I reviewed the main phonological differences between the two dialects, then, I compared them to </w:t>
      </w:r>
      <w:r w:rsidR="00EC2CB6" w:rsidRPr="00CF31E0">
        <w:t xml:space="preserve">Modern Standard Arabic (henceforth </w:t>
      </w:r>
      <w:r w:rsidRPr="00CF31E0">
        <w:t>MSA</w:t>
      </w:r>
      <w:r w:rsidR="00EC2CB6" w:rsidRPr="00CF31E0">
        <w:t>)</w:t>
      </w:r>
      <w:r w:rsidRPr="00CF31E0">
        <w:t xml:space="preserve"> to find out </w:t>
      </w:r>
      <w:r w:rsidR="00EC2CB6" w:rsidRPr="00CF31E0">
        <w:t xml:space="preserve">whether </w:t>
      </w:r>
      <w:r w:rsidRPr="00CF31E0">
        <w:t>there are any similarities between the dialects in question and MSA</w:t>
      </w:r>
      <w:r w:rsidR="00AA58CC" w:rsidRPr="00CF31E0">
        <w:t xml:space="preserve">, </w:t>
      </w:r>
      <w:r w:rsidR="00802E85" w:rsidRPr="00CF31E0">
        <w:t xml:space="preserve">see </w:t>
      </w:r>
      <w:r w:rsidR="00EC2CB6" w:rsidRPr="00CF31E0">
        <w:t>T</w:t>
      </w:r>
      <w:r w:rsidRPr="00CF31E0">
        <w:t>able</w:t>
      </w:r>
      <w:r w:rsidR="00EC2CB6" w:rsidRPr="00CF31E0">
        <w:t xml:space="preserve"> </w:t>
      </w:r>
      <w:r w:rsidR="002124ED" w:rsidRPr="00CF31E0">
        <w:t>2</w:t>
      </w:r>
      <w:r w:rsidR="00EC2CB6" w:rsidRPr="00CF31E0">
        <w:t>.3</w:t>
      </w:r>
      <w:r w:rsidRPr="00CF31E0">
        <w:t xml:space="preserve"> below. In order to do so, I reviewed </w:t>
      </w:r>
      <w:r w:rsidR="00F81DC7" w:rsidRPr="00CF31E0">
        <w:t xml:space="preserve">three dialect studies </w:t>
      </w:r>
      <w:r w:rsidR="00EC2CB6" w:rsidRPr="00CF31E0">
        <w:t xml:space="preserve">on the </w:t>
      </w:r>
      <w:r w:rsidR="0039508B" w:rsidRPr="00CF31E0">
        <w:t>UBH dialect, HH dialect and</w:t>
      </w:r>
      <w:r w:rsidR="00AD4678">
        <w:t xml:space="preserve"> MSA </w:t>
      </w:r>
      <w:r w:rsidR="00FD686B" w:rsidRPr="00CF31E0">
        <w:fldChar w:fldCharType="begin"/>
      </w:r>
      <w:r w:rsidR="00A54129" w:rsidRPr="00CF31E0">
        <w:instrText xml:space="preserve"> ADDIN ZOTERO_ITEM CSL_CITATION {"citationID":"vm0Kw73C","properties":{"formattedCitation":"(Nassir Al-Jehani, 1985; Ingham, 1971; Ryding, 2005)","plainCitation":"(Nassir Al-Jehani, 1985; Ingham, 1971; Ryding, 2005)","dontUpdate":true,"noteIndex":0},"citationItems":[{"id":537,"uris":["http://zotero.org/users/1939618/items/CKTFSSZ4"],"uri":["http://zotero.org/users/1939618/items/CKTFSSZ4"],"itemData":{"id":537,"type":"thesis","title":"Sociostylistic stratification of Arabic in Makkah (doctoral dissertation)","publisher":"University of Michigan","URL":"https://www.researchgate.net/publication/36173456_SOCIOSTYLISTIC_STRATIFICATION_OF_ARABIC_IN_MAKKAH_SOCIOLINGUISTICS_VARIATION_SAUDI_ARABIA","language":"en","author":[{"family":"Al-Jehani","given":"Nassir"}],"issued":{"date-parts":[["1985"]]},"accessed":{"date-parts":[["2018",7,12]]}},"label":"page"},{"id":131,"uris":["http://zotero.org/users/1939618/items/RDKBEK7V"],"uri":["http://zotero.org/users/1939618/items/RDKBEK7V"],"itemData":{"id":131,"type":"article-journal","title":"Some characteristics of Meccan speech","container-title":"Bulletin of the School of Oriental and African Studies","page":"273–297","volume":"34","issue":"02","source":"Google Scholar","author":[{"family":"Ingham","given":"Bruce"}],"issued":{"date-parts":[["1971"]]}},"label":"page"},{"id":535,"uris":["http://zotero.org/users/1939618/items/GWNNAK27"],"uri":["http://zotero.org/users/1939618/items/GWNNAK27"],"itemData":{"id":535,"type":"book","title":"A Reference Grammar of Modern Standard Arabic","publisher":"Cambridge University Press","publisher-place":"Cambridge","event-place":"Cambridge","abstract":"Cambridge Core - English Language and Linguistics: General Interest - A Reference Grammar of Modern Standard Arabic -  by Karin C. Ryding","URL":"/core/books/reference-grammar-of-modern-standard-arabic/207FA6CB610D541184C4B8CB10A4084A","note":"DOI: 10.1017/CBO9780511486975","language":"en","author":[{"family":"Ryding","given":"Karin C."}],"issued":{"date-parts":[["2005",8]]},"accessed":{"date-parts":[["2018",7,11]]}},"label":"page"}],"schema":"https://github.com/citation-style-language/schema/raw/master/csl-citation.json"} </w:instrText>
      </w:r>
      <w:r w:rsidR="00FD686B" w:rsidRPr="00CF31E0">
        <w:fldChar w:fldCharType="separate"/>
      </w:r>
      <w:r w:rsidR="00963B55" w:rsidRPr="00CF31E0">
        <w:rPr>
          <w:noProof/>
        </w:rPr>
        <w:t>(Al-Jehani, 1985; Ingham, 1971; Ryding, 2005)</w:t>
      </w:r>
      <w:r w:rsidR="00FD686B" w:rsidRPr="00CF31E0">
        <w:fldChar w:fldCharType="end"/>
      </w:r>
      <w:r w:rsidR="00963B55" w:rsidRPr="00CF31E0">
        <w:t xml:space="preserve">. </w:t>
      </w:r>
    </w:p>
    <w:tbl>
      <w:tblPr>
        <w:tblW w:w="7371"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457"/>
        <w:gridCol w:w="2457"/>
        <w:gridCol w:w="2457"/>
      </w:tblGrid>
      <w:tr w:rsidR="00800CAC" w:rsidRPr="00CF31E0" w14:paraId="23AA388B" w14:textId="2CFF686C" w:rsidTr="00AD4678">
        <w:trPr>
          <w:cantSplit/>
          <w:trHeight w:val="567"/>
        </w:trPr>
        <w:tc>
          <w:tcPr>
            <w:tcW w:w="2457" w:type="dxa"/>
            <w:tcBorders>
              <w:top w:val="single" w:sz="4" w:space="0" w:color="auto"/>
              <w:bottom w:val="single" w:sz="4" w:space="0" w:color="auto"/>
            </w:tcBorders>
            <w:shd w:val="clear" w:color="auto" w:fill="FFFFFF"/>
          </w:tcPr>
          <w:p w14:paraId="005757FC" w14:textId="2EE181BB" w:rsidR="00800CAC" w:rsidRPr="00CF31E0" w:rsidRDefault="00800CAC" w:rsidP="004F45D7">
            <w:pPr>
              <w:spacing w:before="120" w:after="120"/>
              <w:jc w:val="center"/>
              <w:rPr>
                <w:rFonts w:asciiTheme="majorBidi" w:hAnsiTheme="majorBidi" w:cstheme="majorBidi"/>
                <w:color w:val="000000" w:themeColor="text1"/>
                <w:sz w:val="22"/>
              </w:rPr>
            </w:pPr>
            <w:bookmarkStart w:id="123" w:name="_Toc522527392"/>
            <w:bookmarkStart w:id="124" w:name="_Toc522628804"/>
            <w:bookmarkStart w:id="125" w:name="_Toc522628968"/>
            <w:r w:rsidRPr="00CF31E0">
              <w:rPr>
                <w:rFonts w:asciiTheme="majorBidi" w:hAnsiTheme="majorBidi" w:cstheme="majorBidi"/>
                <w:color w:val="000000" w:themeColor="text1"/>
                <w:sz w:val="22"/>
              </w:rPr>
              <w:t>UBH dialect</w:t>
            </w:r>
          </w:p>
        </w:tc>
        <w:tc>
          <w:tcPr>
            <w:tcW w:w="2457" w:type="dxa"/>
            <w:tcBorders>
              <w:top w:val="single" w:sz="4" w:space="0" w:color="auto"/>
              <w:bottom w:val="single" w:sz="4" w:space="0" w:color="auto"/>
            </w:tcBorders>
            <w:shd w:val="clear" w:color="auto" w:fill="FFFFFF"/>
          </w:tcPr>
          <w:p w14:paraId="31D7176B" w14:textId="10133B86" w:rsidR="00800CAC" w:rsidRPr="00CF31E0" w:rsidRDefault="00800CAC" w:rsidP="004F45D7">
            <w:pPr>
              <w:spacing w:before="120" w:after="120"/>
              <w:jc w:val="center"/>
              <w:rPr>
                <w:rFonts w:asciiTheme="majorBidi" w:hAnsiTheme="majorBidi" w:cstheme="majorBidi"/>
                <w:color w:val="000000" w:themeColor="text1"/>
                <w:sz w:val="22"/>
              </w:rPr>
            </w:pPr>
            <w:r w:rsidRPr="00CF31E0">
              <w:rPr>
                <w:rFonts w:asciiTheme="majorBidi" w:hAnsiTheme="majorBidi" w:cstheme="majorBidi"/>
                <w:color w:val="000000" w:themeColor="text1"/>
                <w:sz w:val="22"/>
              </w:rPr>
              <w:t>HH dialect</w:t>
            </w:r>
          </w:p>
        </w:tc>
        <w:tc>
          <w:tcPr>
            <w:tcW w:w="2457" w:type="dxa"/>
            <w:tcBorders>
              <w:top w:val="single" w:sz="4" w:space="0" w:color="auto"/>
              <w:bottom w:val="single" w:sz="4" w:space="0" w:color="auto"/>
            </w:tcBorders>
            <w:shd w:val="clear" w:color="auto" w:fill="FFFFFF"/>
          </w:tcPr>
          <w:p w14:paraId="5D55CDED" w14:textId="4CDF488A" w:rsidR="00800CAC" w:rsidRPr="00CF31E0" w:rsidRDefault="00800CAC" w:rsidP="004F45D7">
            <w:pPr>
              <w:spacing w:before="120" w:after="120"/>
              <w:jc w:val="center"/>
              <w:rPr>
                <w:rFonts w:asciiTheme="majorBidi" w:hAnsiTheme="majorBidi" w:cstheme="majorBidi"/>
                <w:color w:val="000000" w:themeColor="text1"/>
                <w:sz w:val="22"/>
              </w:rPr>
            </w:pPr>
            <w:r w:rsidRPr="00CF31E0">
              <w:rPr>
                <w:rFonts w:asciiTheme="majorBidi" w:hAnsiTheme="majorBidi" w:cstheme="majorBidi"/>
                <w:color w:val="000000" w:themeColor="text1"/>
                <w:sz w:val="22"/>
              </w:rPr>
              <w:t>MSA</w:t>
            </w:r>
          </w:p>
        </w:tc>
      </w:tr>
      <w:tr w:rsidR="00800CAC" w:rsidRPr="00CF31E0" w14:paraId="3EF66D2C" w14:textId="3FC9DD02" w:rsidTr="00AD4678">
        <w:trPr>
          <w:cantSplit/>
        </w:trPr>
        <w:tc>
          <w:tcPr>
            <w:tcW w:w="2457" w:type="dxa"/>
            <w:tcBorders>
              <w:top w:val="single" w:sz="4" w:space="0" w:color="auto"/>
              <w:bottom w:val="nil"/>
            </w:tcBorders>
            <w:shd w:val="clear" w:color="auto" w:fill="FFFFFF"/>
          </w:tcPr>
          <w:p w14:paraId="5447F819" w14:textId="2F3040EC" w:rsidR="00800CAC" w:rsidRPr="00CF31E0" w:rsidRDefault="00800CAC" w:rsidP="004F45D7">
            <w:pPr>
              <w:spacing w:before="120" w:after="120"/>
              <w:jc w:val="center"/>
              <w:rPr>
                <w:rFonts w:asciiTheme="majorBidi" w:hAnsiTheme="majorBidi" w:cstheme="majorBidi"/>
                <w:color w:val="000000" w:themeColor="text1"/>
                <w:sz w:val="22"/>
              </w:rPr>
            </w:pPr>
            <w:r w:rsidRPr="00CF31E0">
              <w:rPr>
                <w:color w:val="000000" w:themeColor="text1"/>
              </w:rPr>
              <w:t>θ</w:t>
            </w:r>
          </w:p>
        </w:tc>
        <w:tc>
          <w:tcPr>
            <w:tcW w:w="2457" w:type="dxa"/>
            <w:tcBorders>
              <w:top w:val="single" w:sz="4" w:space="0" w:color="auto"/>
              <w:bottom w:val="nil"/>
            </w:tcBorders>
            <w:shd w:val="clear" w:color="auto" w:fill="FFFFFF"/>
          </w:tcPr>
          <w:p w14:paraId="6805BB7C" w14:textId="1699AEC9" w:rsidR="00800CAC" w:rsidRPr="00CF31E0" w:rsidRDefault="004B5A79" w:rsidP="004F45D7">
            <w:pPr>
              <w:spacing w:before="120" w:after="120"/>
              <w:jc w:val="center"/>
              <w:rPr>
                <w:rFonts w:asciiTheme="majorBidi" w:hAnsiTheme="majorBidi" w:cstheme="majorBidi"/>
                <w:color w:val="000000" w:themeColor="text1"/>
                <w:sz w:val="22"/>
              </w:rPr>
            </w:pPr>
            <w:r>
              <w:rPr>
                <w:color w:val="000000" w:themeColor="text1"/>
              </w:rPr>
              <w:t>s</w:t>
            </w:r>
            <w:r w:rsidR="00800CAC" w:rsidRPr="00CF31E0">
              <w:rPr>
                <w:color w:val="000000" w:themeColor="text1"/>
                <w:rtl/>
              </w:rPr>
              <w:t xml:space="preserve">، </w:t>
            </w:r>
            <w:r w:rsidR="00800CAC" w:rsidRPr="00CF31E0">
              <w:rPr>
                <w:color w:val="000000" w:themeColor="text1"/>
              </w:rPr>
              <w:t>t</w:t>
            </w:r>
          </w:p>
        </w:tc>
        <w:tc>
          <w:tcPr>
            <w:tcW w:w="2457" w:type="dxa"/>
            <w:tcBorders>
              <w:top w:val="single" w:sz="4" w:space="0" w:color="auto"/>
              <w:bottom w:val="nil"/>
            </w:tcBorders>
            <w:shd w:val="clear" w:color="auto" w:fill="FFFFFF"/>
            <w:vAlign w:val="center"/>
          </w:tcPr>
          <w:p w14:paraId="3E305C62" w14:textId="5A1620EF" w:rsidR="00800CAC" w:rsidRPr="00CF31E0" w:rsidRDefault="00800CAC" w:rsidP="004F45D7">
            <w:pPr>
              <w:spacing w:before="120" w:after="120"/>
              <w:jc w:val="center"/>
              <w:rPr>
                <w:rFonts w:asciiTheme="majorBidi" w:hAnsiTheme="majorBidi" w:cstheme="majorBidi"/>
                <w:color w:val="000000" w:themeColor="text1"/>
                <w:sz w:val="22"/>
                <w:lang w:val="en-US"/>
              </w:rPr>
            </w:pPr>
            <w:r w:rsidRPr="00CF31E0">
              <w:rPr>
                <w:color w:val="000000" w:themeColor="text1"/>
              </w:rPr>
              <w:t>θ</w:t>
            </w:r>
          </w:p>
        </w:tc>
      </w:tr>
      <w:tr w:rsidR="00800CAC" w:rsidRPr="00CF31E0" w14:paraId="313F5266" w14:textId="60550074" w:rsidTr="00AD4678">
        <w:trPr>
          <w:cantSplit/>
        </w:trPr>
        <w:tc>
          <w:tcPr>
            <w:tcW w:w="2457" w:type="dxa"/>
            <w:tcBorders>
              <w:top w:val="nil"/>
            </w:tcBorders>
            <w:shd w:val="clear" w:color="auto" w:fill="FFFFFF"/>
          </w:tcPr>
          <w:p w14:paraId="0EC704C2" w14:textId="69377ADE" w:rsidR="00800CAC" w:rsidRPr="00CF31E0" w:rsidRDefault="00800CAC" w:rsidP="004F45D7">
            <w:pPr>
              <w:spacing w:before="120" w:after="120"/>
              <w:jc w:val="center"/>
              <w:rPr>
                <w:rFonts w:asciiTheme="majorBidi" w:hAnsiTheme="majorBidi" w:cstheme="majorBidi"/>
                <w:color w:val="000000" w:themeColor="text1"/>
                <w:sz w:val="22"/>
              </w:rPr>
            </w:pPr>
            <w:r w:rsidRPr="00CF31E0">
              <w:rPr>
                <w:color w:val="000000" w:themeColor="text1"/>
              </w:rPr>
              <w:t>ð</w:t>
            </w:r>
          </w:p>
        </w:tc>
        <w:tc>
          <w:tcPr>
            <w:tcW w:w="2457" w:type="dxa"/>
            <w:tcBorders>
              <w:top w:val="nil"/>
            </w:tcBorders>
            <w:shd w:val="clear" w:color="auto" w:fill="FFFFFF"/>
          </w:tcPr>
          <w:p w14:paraId="040E3CCE" w14:textId="42C1043D" w:rsidR="00800CAC" w:rsidRPr="00CF31E0" w:rsidRDefault="00D25EDB" w:rsidP="004F45D7">
            <w:pPr>
              <w:spacing w:before="120" w:after="120"/>
              <w:jc w:val="center"/>
              <w:rPr>
                <w:rFonts w:asciiTheme="majorBidi" w:hAnsiTheme="majorBidi" w:cstheme="majorBidi"/>
                <w:color w:val="000000" w:themeColor="text1"/>
                <w:sz w:val="22"/>
              </w:rPr>
            </w:pPr>
            <w:r>
              <w:rPr>
                <w:color w:val="000000" w:themeColor="text1"/>
              </w:rPr>
              <w:t>z</w:t>
            </w:r>
            <w:r w:rsidR="00800CAC" w:rsidRPr="00CF31E0">
              <w:rPr>
                <w:color w:val="000000" w:themeColor="text1"/>
              </w:rPr>
              <w:t>, d</w:t>
            </w:r>
          </w:p>
        </w:tc>
        <w:tc>
          <w:tcPr>
            <w:tcW w:w="2457" w:type="dxa"/>
            <w:tcBorders>
              <w:top w:val="nil"/>
            </w:tcBorders>
            <w:shd w:val="clear" w:color="auto" w:fill="FFFFFF"/>
            <w:vAlign w:val="center"/>
          </w:tcPr>
          <w:p w14:paraId="37FF4EB6" w14:textId="1DFA5A2E" w:rsidR="00800CAC" w:rsidRPr="00CF31E0" w:rsidRDefault="00800CAC" w:rsidP="004F45D7">
            <w:pPr>
              <w:spacing w:before="120" w:after="120"/>
              <w:jc w:val="center"/>
              <w:rPr>
                <w:rFonts w:asciiTheme="majorBidi" w:hAnsiTheme="majorBidi" w:cstheme="majorBidi"/>
                <w:color w:val="000000" w:themeColor="text1"/>
                <w:sz w:val="22"/>
                <w:lang w:val="en-US"/>
              </w:rPr>
            </w:pPr>
            <w:r w:rsidRPr="00CF31E0">
              <w:rPr>
                <w:color w:val="000000" w:themeColor="text1"/>
              </w:rPr>
              <w:t>ð</w:t>
            </w:r>
          </w:p>
        </w:tc>
      </w:tr>
      <w:tr w:rsidR="00800CAC" w:rsidRPr="00CF31E0" w14:paraId="3DA2C2EC" w14:textId="587B7D86" w:rsidTr="00AD4678">
        <w:trPr>
          <w:cantSplit/>
          <w:trHeight w:val="544"/>
        </w:trPr>
        <w:tc>
          <w:tcPr>
            <w:tcW w:w="2457" w:type="dxa"/>
            <w:shd w:val="clear" w:color="auto" w:fill="FFFFFF"/>
          </w:tcPr>
          <w:p w14:paraId="6548E94C" w14:textId="10718E63" w:rsidR="00800CAC" w:rsidRPr="00CF31E0" w:rsidRDefault="00800CAC" w:rsidP="004F45D7">
            <w:pPr>
              <w:spacing w:before="120" w:after="120"/>
              <w:jc w:val="center"/>
              <w:rPr>
                <w:rFonts w:asciiTheme="majorBidi" w:hAnsiTheme="majorBidi" w:cstheme="majorBidi"/>
                <w:color w:val="000000" w:themeColor="text1"/>
                <w:sz w:val="22"/>
              </w:rPr>
            </w:pPr>
            <w:r w:rsidRPr="00CF31E0">
              <w:rPr>
                <w:color w:val="000000" w:themeColor="text1"/>
              </w:rPr>
              <w:t>ðˤ</w:t>
            </w:r>
          </w:p>
        </w:tc>
        <w:tc>
          <w:tcPr>
            <w:tcW w:w="2457" w:type="dxa"/>
            <w:shd w:val="clear" w:color="auto" w:fill="FFFFFF"/>
          </w:tcPr>
          <w:p w14:paraId="392AE512" w14:textId="1A808436" w:rsidR="00800CAC" w:rsidRPr="00CF31E0" w:rsidRDefault="00D25EDB" w:rsidP="004F45D7">
            <w:pPr>
              <w:spacing w:before="120" w:after="120"/>
              <w:jc w:val="center"/>
              <w:rPr>
                <w:rFonts w:asciiTheme="majorBidi" w:hAnsiTheme="majorBidi" w:cstheme="majorBidi"/>
                <w:color w:val="000000" w:themeColor="text1"/>
                <w:sz w:val="22"/>
              </w:rPr>
            </w:pPr>
            <w:r>
              <w:rPr>
                <w:color w:val="000000" w:themeColor="text1"/>
              </w:rPr>
              <w:t>z</w:t>
            </w:r>
            <w:r w:rsidR="00800CAC" w:rsidRPr="00CF31E0">
              <w:rPr>
                <w:color w:val="000000" w:themeColor="text1"/>
              </w:rPr>
              <w:t>, dˤ</w:t>
            </w:r>
          </w:p>
        </w:tc>
        <w:tc>
          <w:tcPr>
            <w:tcW w:w="2457" w:type="dxa"/>
            <w:shd w:val="clear" w:color="auto" w:fill="FFFFFF"/>
            <w:vAlign w:val="center"/>
          </w:tcPr>
          <w:p w14:paraId="148B5C9E" w14:textId="286249AA" w:rsidR="00800CAC" w:rsidRPr="00CF31E0" w:rsidRDefault="00800CAC" w:rsidP="004F45D7">
            <w:pPr>
              <w:spacing w:before="120" w:after="120"/>
              <w:jc w:val="center"/>
              <w:rPr>
                <w:rFonts w:asciiTheme="majorBidi" w:hAnsiTheme="majorBidi" w:cstheme="majorBidi"/>
                <w:color w:val="000000" w:themeColor="text1"/>
                <w:sz w:val="22"/>
                <w:lang w:val="en-US"/>
              </w:rPr>
            </w:pPr>
            <w:r w:rsidRPr="00CF31E0">
              <w:rPr>
                <w:color w:val="000000" w:themeColor="text1"/>
              </w:rPr>
              <w:t>ðˤ</w:t>
            </w:r>
          </w:p>
        </w:tc>
      </w:tr>
    </w:tbl>
    <w:p w14:paraId="66421515" w14:textId="5D234CAE" w:rsidR="00B210EF" w:rsidRPr="00CF31E0" w:rsidRDefault="00586547" w:rsidP="009258B3">
      <w:pPr>
        <w:pStyle w:val="Tablecaption"/>
        <w:rPr>
          <w:lang w:val="en-GB"/>
        </w:rPr>
      </w:pPr>
      <w:bookmarkStart w:id="126" w:name="_Toc6473063"/>
      <w:r w:rsidRPr="00CF31E0">
        <w:t xml:space="preserve">Table </w:t>
      </w:r>
      <w:r w:rsidR="002124ED" w:rsidRPr="00CF31E0">
        <w:t>2</w:t>
      </w:r>
      <w:r w:rsidR="00EC2CB6" w:rsidRPr="00CF31E0">
        <w:t>.3</w:t>
      </w:r>
      <w:r w:rsidR="0018785C" w:rsidRPr="00CF31E0">
        <w:t>:</w:t>
      </w:r>
      <w:r w:rsidRPr="00CF31E0">
        <w:t xml:space="preserve"> The main phonological diffe</w:t>
      </w:r>
      <w:r w:rsidR="00027CBC" w:rsidRPr="00CF31E0">
        <w:t>rences between the two dialects compared to MSA</w:t>
      </w:r>
      <w:bookmarkEnd w:id="123"/>
      <w:bookmarkEnd w:id="124"/>
      <w:bookmarkEnd w:id="125"/>
      <w:r w:rsidR="0069314B" w:rsidRPr="00CF31E0">
        <w:t xml:space="preserve">, according to three </w:t>
      </w:r>
      <w:r w:rsidR="009258B3" w:rsidRPr="00CF31E0">
        <w:t>above-</w:t>
      </w:r>
      <w:r w:rsidR="0069314B" w:rsidRPr="00CF31E0">
        <w:t>reviewed production studies</w:t>
      </w:r>
      <w:r w:rsidR="004A2EFF" w:rsidRPr="00CF31E0">
        <w:t>.</w:t>
      </w:r>
      <w:bookmarkEnd w:id="126"/>
      <w:r w:rsidR="00027CBC" w:rsidRPr="00CF31E0">
        <w:t xml:space="preserve"> </w:t>
      </w:r>
    </w:p>
    <w:p w14:paraId="18BFAC8F" w14:textId="34F414EF" w:rsidR="00B2415C" w:rsidRPr="00CF31E0" w:rsidRDefault="004B5BD4" w:rsidP="00AD4678">
      <w:pPr>
        <w:pStyle w:val="Paragraph"/>
        <w:rPr>
          <w:rFonts w:eastAsia="Times New Roman"/>
        </w:rPr>
      </w:pPr>
      <w:r w:rsidRPr="00CF31E0">
        <w:rPr>
          <w:lang w:val="en-US"/>
        </w:rPr>
        <w:t xml:space="preserve">As can be seen </w:t>
      </w:r>
      <w:r w:rsidR="009B1FC6" w:rsidRPr="00CF31E0">
        <w:rPr>
          <w:lang w:val="en-US"/>
        </w:rPr>
        <w:t>from the above table</w:t>
      </w:r>
      <w:r w:rsidR="00FA5F94" w:rsidRPr="00CF31E0">
        <w:rPr>
          <w:lang w:val="en-US"/>
        </w:rPr>
        <w:t>,</w:t>
      </w:r>
      <w:r w:rsidR="00B2415C" w:rsidRPr="00CF31E0">
        <w:rPr>
          <w:lang w:val="en-US"/>
        </w:rPr>
        <w:t xml:space="preserve"> </w:t>
      </w:r>
      <w:r w:rsidR="00CA21D1" w:rsidRPr="00CF31E0">
        <w:rPr>
          <w:lang w:val="en-US"/>
        </w:rPr>
        <w:t xml:space="preserve">the </w:t>
      </w:r>
      <w:r w:rsidR="00B2415C" w:rsidRPr="00CF31E0">
        <w:rPr>
          <w:lang w:val="en-US"/>
        </w:rPr>
        <w:t>HH</w:t>
      </w:r>
      <w:r w:rsidR="00DD48EA" w:rsidRPr="00CF31E0">
        <w:rPr>
          <w:lang w:val="en-US"/>
        </w:rPr>
        <w:t xml:space="preserve"> dialect is more likely </w:t>
      </w:r>
      <w:r w:rsidR="00CA21D1" w:rsidRPr="00CF31E0">
        <w:rPr>
          <w:lang w:val="en-US"/>
        </w:rPr>
        <w:t>to contain</w:t>
      </w:r>
      <w:r w:rsidR="00DD48EA" w:rsidRPr="00CF31E0">
        <w:rPr>
          <w:lang w:val="en-US"/>
        </w:rPr>
        <w:t xml:space="preserve"> fricative </w:t>
      </w:r>
      <w:r w:rsidR="00354400" w:rsidRPr="00CF31E0">
        <w:rPr>
          <w:lang w:val="en-US"/>
        </w:rPr>
        <w:t>alveolar sounds</w:t>
      </w:r>
      <w:r w:rsidR="00DD48EA" w:rsidRPr="00CF31E0">
        <w:rPr>
          <w:lang w:val="en-US"/>
        </w:rPr>
        <w:t xml:space="preserve">, while </w:t>
      </w:r>
      <w:r w:rsidR="00CA21D1" w:rsidRPr="00CF31E0">
        <w:rPr>
          <w:lang w:val="en-US"/>
        </w:rPr>
        <w:t xml:space="preserve">the </w:t>
      </w:r>
      <w:r w:rsidR="00B2415C" w:rsidRPr="00CF31E0">
        <w:rPr>
          <w:lang w:val="en-US"/>
        </w:rPr>
        <w:t xml:space="preserve">UBH </w:t>
      </w:r>
      <w:r w:rsidR="00947EC0" w:rsidRPr="00CF31E0">
        <w:rPr>
          <w:lang w:val="en-US"/>
        </w:rPr>
        <w:t>dialect is</w:t>
      </w:r>
      <w:r w:rsidR="00DD48EA" w:rsidRPr="00CF31E0">
        <w:rPr>
          <w:lang w:val="en-US"/>
        </w:rPr>
        <w:t xml:space="preserve"> more likely to use fricative dental</w:t>
      </w:r>
      <w:r w:rsidR="00354400" w:rsidRPr="00CF31E0">
        <w:rPr>
          <w:lang w:val="en-US"/>
        </w:rPr>
        <w:t xml:space="preserve"> sounds</w:t>
      </w:r>
      <w:r w:rsidR="00B2415C" w:rsidRPr="00CF31E0">
        <w:rPr>
          <w:rFonts w:eastAsia="Times New Roman"/>
        </w:rPr>
        <w:t xml:space="preserve">. </w:t>
      </w:r>
      <w:r w:rsidR="006A48CA" w:rsidRPr="00CF31E0">
        <w:rPr>
          <w:rFonts w:eastAsia="Times New Roman"/>
        </w:rPr>
        <w:t>C</w:t>
      </w:r>
      <w:r w:rsidR="00B2415C" w:rsidRPr="00CF31E0">
        <w:rPr>
          <w:rFonts w:eastAsia="Times New Roman"/>
        </w:rPr>
        <w:t>ompared to M</w:t>
      </w:r>
      <w:r w:rsidR="00963B55" w:rsidRPr="00CF31E0">
        <w:rPr>
          <w:rFonts w:eastAsia="Times New Roman"/>
        </w:rPr>
        <w:t xml:space="preserve">SA, the UBH dialect seems to </w:t>
      </w:r>
      <w:r w:rsidR="00EB2ECB" w:rsidRPr="00CF31E0">
        <w:rPr>
          <w:rFonts w:eastAsia="Times New Roman"/>
        </w:rPr>
        <w:t xml:space="preserve">reflect </w:t>
      </w:r>
      <w:r w:rsidR="006A48CA" w:rsidRPr="00CF31E0">
        <w:rPr>
          <w:rFonts w:eastAsia="Times New Roman"/>
        </w:rPr>
        <w:t xml:space="preserve">the </w:t>
      </w:r>
      <w:r w:rsidR="00963B55" w:rsidRPr="00CF31E0">
        <w:rPr>
          <w:rFonts w:eastAsia="Times New Roman"/>
        </w:rPr>
        <w:t>MSA phonological system</w:t>
      </w:r>
      <w:r w:rsidR="00C65A2C">
        <w:rPr>
          <w:rFonts w:eastAsia="Times New Roman"/>
        </w:rPr>
        <w:t xml:space="preserve"> in terms of these sounds.</w:t>
      </w:r>
    </w:p>
    <w:p w14:paraId="26E86850" w14:textId="12D3ED05" w:rsidR="005875CD" w:rsidRPr="000E3509" w:rsidRDefault="0045436A" w:rsidP="00603CB7">
      <w:pPr>
        <w:pStyle w:val="Paragraph"/>
      </w:pPr>
      <w:r w:rsidRPr="00CF31E0">
        <w:fldChar w:fldCharType="begin"/>
      </w:r>
      <w:r w:rsidR="00A54129" w:rsidRPr="00CF31E0">
        <w:instrText xml:space="preserve"> ADDIN ZOTERO_ITEM CSL_CITATION {"citationID":"uJl8RrvD","properties":{"formattedCitation":"(Nassir Al-Jehani, 1985)","plainCitation":"(Nassir Al-Jehani, 1985)","dontUpdate":true,"noteIndex":0},"citationItems":[{"id":537,"uris":["http://zotero.org/users/1939618/items/CKTFSSZ4"],"uri":["http://zotero.org/users/1939618/items/CKTFSSZ4"],"itemData":{"id":537,"type":"thesis","title":"Sociostylistic stratification of Arabic in Makkah (doctoral dissertation)","publisher":"University of Michigan","URL":"https://www.researchgate.net/publication/36173456_SOCIOSTYLISTIC_STRATIFICATION_OF_ARABIC_IN_MAKKAH_SOCIOLINGUISTICS_VARIATION_SAUDI_ARABIA","language":"en","author":[{"family":"Al-Jehani","given":"Nassir"}],"issued":{"date-parts":[["1985"]]},"accessed":{"date-parts":[["2018",7,12]]}}}],"schema":"https://github.com/citation-style-language/schema/raw/master/csl-citation.json"} </w:instrText>
      </w:r>
      <w:r w:rsidRPr="00CF31E0">
        <w:fldChar w:fldCharType="separate"/>
      </w:r>
      <w:r w:rsidRPr="00CF31E0">
        <w:rPr>
          <w:noProof/>
        </w:rPr>
        <w:t xml:space="preserve">Al-Jehani </w:t>
      </w:r>
      <w:r w:rsidR="006A48CA" w:rsidRPr="00CF31E0">
        <w:rPr>
          <w:noProof/>
        </w:rPr>
        <w:t>(</w:t>
      </w:r>
      <w:r w:rsidRPr="00CF31E0">
        <w:rPr>
          <w:noProof/>
        </w:rPr>
        <w:t>1985)</w:t>
      </w:r>
      <w:r w:rsidRPr="00CF31E0">
        <w:fldChar w:fldCharType="end"/>
      </w:r>
      <w:r w:rsidRPr="00CF31E0">
        <w:t xml:space="preserve"> claims that </w:t>
      </w:r>
      <w:r w:rsidR="00AF586C" w:rsidRPr="00CF31E0">
        <w:t xml:space="preserve">the realization of fricative </w:t>
      </w:r>
      <w:r w:rsidR="00281ACB">
        <w:t xml:space="preserve">dental </w:t>
      </w:r>
      <w:r w:rsidR="00AF586C" w:rsidRPr="00CF31E0">
        <w:t>sounds is the most salient linguistic variable for UBH speakers, while the realization</w:t>
      </w:r>
      <w:r w:rsidR="00EB2ECB" w:rsidRPr="00CF31E0">
        <w:t>s</w:t>
      </w:r>
      <w:r w:rsidR="00AF586C" w:rsidRPr="00CF31E0">
        <w:t xml:space="preserve"> of </w:t>
      </w:r>
      <w:r w:rsidR="00281ACB">
        <w:t>fricative alveolar</w:t>
      </w:r>
      <w:r w:rsidR="00AF586C" w:rsidRPr="00CF31E0">
        <w:t xml:space="preserve"> and </w:t>
      </w:r>
      <w:r w:rsidR="001D258D" w:rsidRPr="00CF31E0">
        <w:t>sibilant</w:t>
      </w:r>
      <w:r w:rsidR="00AF586C" w:rsidRPr="00CF31E0">
        <w:t xml:space="preserve"> sounds </w:t>
      </w:r>
      <w:r w:rsidR="006A48CA" w:rsidRPr="00CF31E0">
        <w:t xml:space="preserve">are </w:t>
      </w:r>
      <w:r w:rsidR="00AF586C" w:rsidRPr="00CF31E0">
        <w:t xml:space="preserve">the most </w:t>
      </w:r>
      <w:r w:rsidR="001D258D" w:rsidRPr="00CF31E0">
        <w:t>salient</w:t>
      </w:r>
      <w:r w:rsidR="00AF586C" w:rsidRPr="00CF31E0">
        <w:t xml:space="preserve"> lin</w:t>
      </w:r>
      <w:r w:rsidR="00B75AB6" w:rsidRPr="00CF31E0">
        <w:t xml:space="preserve">guistic </w:t>
      </w:r>
      <w:r w:rsidR="00AF586C" w:rsidRPr="00CF31E0">
        <w:t xml:space="preserve">variables </w:t>
      </w:r>
      <w:r w:rsidR="006A48CA" w:rsidRPr="00CF31E0">
        <w:t xml:space="preserve">for </w:t>
      </w:r>
      <w:r w:rsidR="00AF586C" w:rsidRPr="00CF31E0">
        <w:t>HH speakers</w:t>
      </w:r>
      <w:r w:rsidR="004A2EFF" w:rsidRPr="00CF31E0">
        <w:t xml:space="preserve">, more details of Al-Jehani study will be given in </w:t>
      </w:r>
      <w:r w:rsidR="00CE2B99" w:rsidRPr="00CF31E0">
        <w:t>C</w:t>
      </w:r>
      <w:r w:rsidR="00B828D2" w:rsidRPr="00CF31E0">
        <w:t>hapter 3, section 3.3.2.</w:t>
      </w:r>
      <w:r w:rsidR="00AF586C" w:rsidRPr="00CF31E0">
        <w:t xml:space="preserve"> </w:t>
      </w:r>
      <w:r w:rsidR="00AE3965" w:rsidRPr="00CF31E0">
        <w:t>In this regard, Labo</w:t>
      </w:r>
      <w:r w:rsidR="005875CD" w:rsidRPr="00CF31E0">
        <w:t xml:space="preserve">v </w:t>
      </w:r>
      <w:r w:rsidR="006A48CA" w:rsidRPr="00CF31E0">
        <w:t>(</w:t>
      </w:r>
      <w:r w:rsidR="005875CD" w:rsidRPr="00CF31E0">
        <w:t>1972</w:t>
      </w:r>
      <w:r w:rsidR="006A48CA" w:rsidRPr="00CF31E0">
        <w:t>)</w:t>
      </w:r>
      <w:r w:rsidR="00AE3965" w:rsidRPr="00CF31E0">
        <w:t xml:space="preserve"> distinguished between three </w:t>
      </w:r>
      <w:r w:rsidR="004363CD" w:rsidRPr="00CF31E0">
        <w:t xml:space="preserve">types of linguistic variables. The first </w:t>
      </w:r>
      <w:r w:rsidR="007777C6" w:rsidRPr="00CF31E0">
        <w:t xml:space="preserve">type </w:t>
      </w:r>
      <w:r w:rsidR="006C642A" w:rsidRPr="00CF31E0">
        <w:t>comprises</w:t>
      </w:r>
      <w:r w:rsidR="006A48CA" w:rsidRPr="00CF31E0">
        <w:t xml:space="preserve"> </w:t>
      </w:r>
      <w:r w:rsidR="007777C6" w:rsidRPr="00CF31E0">
        <w:t>stereotype</w:t>
      </w:r>
      <w:r w:rsidR="006C642A" w:rsidRPr="00CF31E0">
        <w:t>s</w:t>
      </w:r>
      <w:r w:rsidR="006A48CA" w:rsidRPr="00CF31E0">
        <w:t>,</w:t>
      </w:r>
      <w:r w:rsidR="007777C6" w:rsidRPr="00CF31E0">
        <w:t xml:space="preserve"> which </w:t>
      </w:r>
      <w:r w:rsidR="00157B05" w:rsidRPr="00CF31E0">
        <w:t xml:space="preserve">include highly salient linguistic </w:t>
      </w:r>
      <w:r w:rsidR="003E5D11" w:rsidRPr="00CF31E0">
        <w:t>variables that bear conscious</w:t>
      </w:r>
      <w:r w:rsidR="00157B05" w:rsidRPr="00CF31E0">
        <w:t xml:space="preserve"> social awareness. The second type </w:t>
      </w:r>
      <w:r w:rsidR="006C642A" w:rsidRPr="00CF31E0">
        <w:t>comprises</w:t>
      </w:r>
      <w:r w:rsidR="00157B05" w:rsidRPr="00CF31E0">
        <w:t xml:space="preserve"> markers</w:t>
      </w:r>
      <w:r w:rsidR="006C642A" w:rsidRPr="00CF31E0">
        <w:t>,</w:t>
      </w:r>
      <w:r w:rsidR="00157B05" w:rsidRPr="00CF31E0">
        <w:t xml:space="preserve"> which </w:t>
      </w:r>
      <w:r w:rsidR="003E5D11" w:rsidRPr="00CF31E0">
        <w:t xml:space="preserve">include linguistic variables that can be differentiated according to speech style and often occur </w:t>
      </w:r>
      <w:r w:rsidR="006C642A" w:rsidRPr="00CF31E0">
        <w:t xml:space="preserve">at </w:t>
      </w:r>
      <w:r w:rsidR="003E5D11" w:rsidRPr="00CF31E0">
        <w:t xml:space="preserve">the unconscious level. The third type </w:t>
      </w:r>
      <w:r w:rsidR="006C642A" w:rsidRPr="00CF31E0">
        <w:t>comprises</w:t>
      </w:r>
      <w:r w:rsidR="003E5D11" w:rsidRPr="00CF31E0">
        <w:t xml:space="preserve"> indicators</w:t>
      </w:r>
      <w:r w:rsidR="006C642A" w:rsidRPr="00CF31E0">
        <w:t>,</w:t>
      </w:r>
      <w:r w:rsidR="003E5D11" w:rsidRPr="00CF31E0">
        <w:t xml:space="preserve"> which include </w:t>
      </w:r>
      <w:r w:rsidR="00CA4C4E" w:rsidRPr="00CF31E0">
        <w:t xml:space="preserve">linguistic variables that occur </w:t>
      </w:r>
      <w:r w:rsidR="00517B9F" w:rsidRPr="00CF31E0">
        <w:t xml:space="preserve">within group membership. This type of </w:t>
      </w:r>
      <w:r w:rsidR="00517B9F" w:rsidRPr="00CF31E0">
        <w:lastRenderedPageBreak/>
        <w:t>linguistic variable</w:t>
      </w:r>
      <w:r w:rsidR="00CA4C4E" w:rsidRPr="00CF31E0">
        <w:t xml:space="preserve"> </w:t>
      </w:r>
      <w:r w:rsidR="006C642A" w:rsidRPr="00CF31E0">
        <w:t xml:space="preserve">does </w:t>
      </w:r>
      <w:r w:rsidR="00CA4C4E" w:rsidRPr="00CF31E0">
        <w:t xml:space="preserve">not change </w:t>
      </w:r>
      <w:r w:rsidR="00517B9F" w:rsidRPr="00CF31E0">
        <w:t xml:space="preserve">according to style, and </w:t>
      </w:r>
      <w:r w:rsidR="00341414" w:rsidRPr="00CF31E0">
        <w:t>occur</w:t>
      </w:r>
      <w:r w:rsidR="006C642A" w:rsidRPr="00CF31E0">
        <w:t>s</w:t>
      </w:r>
      <w:r w:rsidR="00341414" w:rsidRPr="00CF31E0">
        <w:t xml:space="preserve"> </w:t>
      </w:r>
      <w:r w:rsidR="006C642A" w:rsidRPr="00CF31E0">
        <w:t xml:space="preserve">at </w:t>
      </w:r>
      <w:r w:rsidR="00341414" w:rsidRPr="00CF31E0">
        <w:t xml:space="preserve">the </w:t>
      </w:r>
      <w:r w:rsidR="004A2EFF" w:rsidRPr="00CF31E0">
        <w:t>sub</w:t>
      </w:r>
      <w:r w:rsidR="00341414" w:rsidRPr="00CF31E0">
        <w:t xml:space="preserve">conscious level. </w:t>
      </w:r>
      <w:r w:rsidR="00486EF2" w:rsidRPr="00CF31E0">
        <w:t>Regarding</w:t>
      </w:r>
      <w:r w:rsidR="00341414" w:rsidRPr="00CF31E0">
        <w:t xml:space="preserve"> the linguistic variables among Hijazi dialects, </w:t>
      </w:r>
      <w:r w:rsidR="00E95039" w:rsidRPr="00CF31E0">
        <w:t>it is argued</w:t>
      </w:r>
      <w:r w:rsidR="005875CD" w:rsidRPr="00CF31E0">
        <w:t xml:space="preserve"> </w:t>
      </w:r>
      <w:r w:rsidR="00341414" w:rsidRPr="00CF31E0">
        <w:t xml:space="preserve">that fricative </w:t>
      </w:r>
      <w:r w:rsidR="00281ACB">
        <w:t xml:space="preserve">dental </w:t>
      </w:r>
      <w:r w:rsidR="00341414" w:rsidRPr="00CF31E0">
        <w:t xml:space="preserve">sounds for UBH speakers and dental and </w:t>
      </w:r>
      <w:r w:rsidR="005875CD" w:rsidRPr="00CF31E0">
        <w:t>sibilant</w:t>
      </w:r>
      <w:r w:rsidR="00341414" w:rsidRPr="00CF31E0">
        <w:t xml:space="preserve"> sound</w:t>
      </w:r>
      <w:r w:rsidR="00486EF2" w:rsidRPr="00CF31E0">
        <w:t>s</w:t>
      </w:r>
      <w:r w:rsidR="00341414" w:rsidRPr="00CF31E0">
        <w:t xml:space="preserve"> for HH</w:t>
      </w:r>
      <w:r w:rsidR="00486EF2" w:rsidRPr="00CF31E0">
        <w:t xml:space="preserve"> speakers</w:t>
      </w:r>
      <w:r w:rsidR="00341414" w:rsidRPr="00CF31E0">
        <w:t xml:space="preserve"> are the most salient features </w:t>
      </w:r>
      <w:r w:rsidR="005875CD" w:rsidRPr="00CF31E0">
        <w:t xml:space="preserve">which occur </w:t>
      </w:r>
      <w:r w:rsidR="00486EF2" w:rsidRPr="00CF31E0">
        <w:t xml:space="preserve">at </w:t>
      </w:r>
      <w:r w:rsidR="005875CD" w:rsidRPr="00CF31E0">
        <w:t>the conscious level of awareness</w:t>
      </w:r>
      <w:r w:rsidR="00E95039" w:rsidRPr="00CF31E0">
        <w:t xml:space="preserve"> </w:t>
      </w:r>
      <w:r w:rsidR="00E95039" w:rsidRPr="00CF31E0">
        <w:fldChar w:fldCharType="begin"/>
      </w:r>
      <w:r w:rsidR="00A54129" w:rsidRPr="00CF31E0">
        <w:instrText xml:space="preserve"> ADDIN ZOTERO_ITEM CSL_CITATION {"citationID":"Fgv5YQZd","properties":{"formattedCitation":"(Nassir Al-Jehani, 1985)","plainCitation":"(Nassir Al-Jehani, 1985)","dontUpdate":true,"noteIndex":0},"citationItems":[{"id":537,"uris":["http://zotero.org/users/1939618/items/CKTFSSZ4"],"uri":["http://zotero.org/users/1939618/items/CKTFSSZ4"],"itemData":{"id":537,"type":"thesis","title":"Sociostylistic stratification of Arabic in Makkah (doctoral dissertation)","publisher":"University of Michigan","URL":"https://www.researchgate.net/publication/36173456_SOCIOSTYLISTIC_STRATIFICATION_OF_ARABIC_IN_MAKKAH_SOCIOLINGUISTICS_VARIATION_SAUDI_ARABIA","language":"en","author":[{"family":"Al-Jehani","given":"Nassir"}],"issued":{"date-parts":[["1985"]]},"accessed":{"date-parts":[["2018",7,12]]}}}],"schema":"https://github.com/citation-style-language/schema/raw/master/csl-citation.json"} </w:instrText>
      </w:r>
      <w:r w:rsidR="00E95039" w:rsidRPr="00CF31E0">
        <w:fldChar w:fldCharType="separate"/>
      </w:r>
      <w:r w:rsidR="00E95039" w:rsidRPr="00CF31E0">
        <w:rPr>
          <w:noProof/>
        </w:rPr>
        <w:t xml:space="preserve"> (Al-Jehani,1985)</w:t>
      </w:r>
      <w:r w:rsidR="00E95039" w:rsidRPr="00CF31E0">
        <w:fldChar w:fldCharType="end"/>
      </w:r>
      <w:r w:rsidR="00486EF2" w:rsidRPr="00CF31E0">
        <w:t>;</w:t>
      </w:r>
      <w:r w:rsidR="005875CD" w:rsidRPr="00CF31E0">
        <w:t xml:space="preserve"> therefore, this type falls under the stereotype </w:t>
      </w:r>
      <w:r w:rsidR="00486EF2" w:rsidRPr="00CF31E0">
        <w:t xml:space="preserve">category </w:t>
      </w:r>
      <w:r w:rsidR="005875CD" w:rsidRPr="00CF31E0">
        <w:t>according to Labov</w:t>
      </w:r>
      <w:r w:rsidR="00486EF2" w:rsidRPr="00CF31E0">
        <w:t>’s</w:t>
      </w:r>
      <w:r w:rsidR="005875CD" w:rsidRPr="00CF31E0">
        <w:t xml:space="preserve"> typology. </w:t>
      </w:r>
    </w:p>
    <w:p w14:paraId="33FED4FE" w14:textId="291E49BF" w:rsidR="006D3401" w:rsidRPr="000E3509" w:rsidRDefault="006D3401" w:rsidP="0026256C">
      <w:pPr>
        <w:pStyle w:val="Paragraph"/>
        <w:rPr>
          <w:rFonts w:eastAsia="Times New Roman"/>
        </w:rPr>
      </w:pPr>
      <w:r w:rsidRPr="000E3509">
        <w:t xml:space="preserve">Most of the consonants are similar in the two dialects except for those mentioned above. </w:t>
      </w:r>
      <w:r w:rsidR="00993592" w:rsidRPr="000E3509">
        <w:rPr>
          <w:rFonts w:eastAsia="Times New Roman"/>
        </w:rPr>
        <w:t xml:space="preserve">For example, the standard Arabic /q/ is reflected by /g/ in </w:t>
      </w:r>
      <w:r w:rsidR="00AB070F" w:rsidRPr="000E3509">
        <w:rPr>
          <w:rFonts w:eastAsia="Times New Roman"/>
        </w:rPr>
        <w:t>the</w:t>
      </w:r>
      <w:r w:rsidR="00362197" w:rsidRPr="000E3509">
        <w:rPr>
          <w:rFonts w:eastAsia="Times New Roman"/>
        </w:rPr>
        <w:t xml:space="preserve"> </w:t>
      </w:r>
      <w:r w:rsidR="00993592" w:rsidRPr="000E3509">
        <w:rPr>
          <w:rFonts w:eastAsia="Times New Roman"/>
        </w:rPr>
        <w:t xml:space="preserve">HH dialect </w:t>
      </w:r>
      <w:bookmarkStart w:id="127" w:name="ZOTERO_BREF_ZE8u2olExq8XfOuwm8RRT"/>
      <w:r w:rsidR="00993592" w:rsidRPr="000E3509">
        <w:rPr>
          <w:rFonts w:eastAsia="Times New Roman"/>
        </w:rPr>
        <w:t>(Abu Mansour, 2011)</w:t>
      </w:r>
      <w:bookmarkEnd w:id="127"/>
      <w:r w:rsidR="00993592" w:rsidRPr="000E3509">
        <w:rPr>
          <w:rFonts w:eastAsia="Times New Roman"/>
        </w:rPr>
        <w:t xml:space="preserve"> and </w:t>
      </w:r>
      <w:r w:rsidR="00AB070F" w:rsidRPr="000E3509">
        <w:rPr>
          <w:rFonts w:eastAsia="Times New Roman"/>
        </w:rPr>
        <w:t>in the</w:t>
      </w:r>
      <w:r w:rsidR="00362197" w:rsidRPr="000E3509">
        <w:rPr>
          <w:rFonts w:eastAsia="Times New Roman"/>
        </w:rPr>
        <w:t xml:space="preserve"> </w:t>
      </w:r>
      <w:r w:rsidR="00993592" w:rsidRPr="000E3509">
        <w:rPr>
          <w:rFonts w:eastAsia="Times New Roman"/>
        </w:rPr>
        <w:t xml:space="preserve">UBH dialect as well, e.g. gamar </w:t>
      </w:r>
      <w:r w:rsidR="0026256C" w:rsidRPr="000E3509">
        <w:rPr>
          <w:rFonts w:eastAsia="Times New Roman"/>
        </w:rPr>
        <w:t>/ɡamar/ (i.e.</w:t>
      </w:r>
      <w:r w:rsidR="00993592" w:rsidRPr="000E3509">
        <w:rPr>
          <w:rFonts w:eastAsia="Times New Roman"/>
        </w:rPr>
        <w:t>moon</w:t>
      </w:r>
      <w:r w:rsidR="0026256C" w:rsidRPr="000E3509">
        <w:rPr>
          <w:rFonts w:eastAsia="Times New Roman"/>
        </w:rPr>
        <w:t>).</w:t>
      </w:r>
      <w:r w:rsidR="00993592" w:rsidRPr="000E3509">
        <w:rPr>
          <w:rFonts w:eastAsia="Times New Roman"/>
        </w:rPr>
        <w:t xml:space="preserve"> As for the differences between the two dialects, </w:t>
      </w:r>
      <w:r w:rsidRPr="000E3509">
        <w:t xml:space="preserve">there is a slight difference in the pronunciation of [r] between the two dialects as UBH speakers usually pronounce it as [r] while HH speakers are much more inclined to pronounce it as [ɾ]. </w:t>
      </w:r>
    </w:p>
    <w:p w14:paraId="61FF3BD2" w14:textId="29D84515" w:rsidR="006D3401" w:rsidRPr="00CF31E0" w:rsidRDefault="006D3401" w:rsidP="006D3401">
      <w:pPr>
        <w:pStyle w:val="Paragraph"/>
      </w:pPr>
      <w:r w:rsidRPr="000E3509">
        <w:t xml:space="preserve">Regarding the differences in vowel quality between the two dialects, the HH dialect pronounces the vowel /a/ as /u/ in word-initial position. For example, /muxadh/ (i.e. pillow) as opposed to /maxadh/ in the UBH </w:t>
      </w:r>
      <w:r w:rsidRPr="006D3401">
        <w:t xml:space="preserve">dialect; /murtabah/ (i.e. mattress) as opposed to /martabah/ in the UBH dialect; and /mukmasah/ (i.e. vacuum cleaner) as opposed to /mukmasah/ in the UBH dialect </w:t>
      </w:r>
      <w:bookmarkStart w:id="128" w:name="ZOTERO_BREF_3qzzoKB2Ph3uXYChPKEmO"/>
      <w:r w:rsidRPr="006D3401">
        <w:t>(Omar, 1975)</w:t>
      </w:r>
      <w:bookmarkEnd w:id="128"/>
      <w:r w:rsidRPr="006D3401">
        <w:t>.</w:t>
      </w:r>
      <w:r w:rsidRPr="000E3509">
        <w:rPr>
          <w:rStyle w:val="FootnoteReference"/>
        </w:rPr>
        <w:footnoteReference w:id="11"/>
      </w:r>
    </w:p>
    <w:p w14:paraId="1FAA1598" w14:textId="24CB7B14" w:rsidR="00B65167" w:rsidRPr="000E3509" w:rsidRDefault="00486EF2" w:rsidP="00C70383">
      <w:pPr>
        <w:pStyle w:val="Paragraph"/>
        <w:rPr>
          <w:rFonts w:eastAsia="Times New Roman"/>
        </w:rPr>
      </w:pPr>
      <w:r w:rsidRPr="00CF31E0">
        <w:rPr>
          <w:lang w:val="en-US"/>
        </w:rPr>
        <w:t>Regarding the</w:t>
      </w:r>
      <w:r w:rsidR="00B45060" w:rsidRPr="00CF31E0">
        <w:rPr>
          <w:lang w:val="en-US"/>
        </w:rPr>
        <w:t xml:space="preserve"> morphological differences between the two dialects</w:t>
      </w:r>
      <w:r w:rsidRPr="00CF31E0">
        <w:rPr>
          <w:lang w:val="en-US"/>
        </w:rPr>
        <w:t>, o</w:t>
      </w:r>
      <w:r w:rsidR="00B45060" w:rsidRPr="00CF31E0">
        <w:rPr>
          <w:lang w:val="en-US"/>
        </w:rPr>
        <w:t>ne of the most salient difference</w:t>
      </w:r>
      <w:r w:rsidRPr="00CF31E0">
        <w:rPr>
          <w:lang w:val="en-US"/>
        </w:rPr>
        <w:t>s</w:t>
      </w:r>
      <w:r w:rsidR="00B45060" w:rsidRPr="00CF31E0">
        <w:rPr>
          <w:lang w:val="en-US"/>
        </w:rPr>
        <w:t xml:space="preserve"> is exemplified </w:t>
      </w:r>
      <w:r w:rsidRPr="00CF31E0">
        <w:rPr>
          <w:lang w:val="en-US"/>
        </w:rPr>
        <w:t xml:space="preserve">by </w:t>
      </w:r>
      <w:r w:rsidR="00B45060" w:rsidRPr="00CF31E0">
        <w:rPr>
          <w:lang w:val="en-US"/>
        </w:rPr>
        <w:t xml:space="preserve">the use of the definite article. The </w:t>
      </w:r>
      <w:r w:rsidR="00281ACB">
        <w:rPr>
          <w:lang w:val="en-US"/>
        </w:rPr>
        <w:t>UBH</w:t>
      </w:r>
      <w:r w:rsidR="00B45060" w:rsidRPr="00CF31E0">
        <w:rPr>
          <w:lang w:val="en-US"/>
        </w:rPr>
        <w:t xml:space="preserve"> dialect uses </w:t>
      </w:r>
      <w:r w:rsidR="00B45060" w:rsidRPr="00CF31E0">
        <w:rPr>
          <w:rFonts w:eastAsia="Times New Roman"/>
        </w:rPr>
        <w:t>/</w:t>
      </w:r>
      <w:r w:rsidR="00C70383" w:rsidRPr="00C70383">
        <w:rPr>
          <w:rFonts w:eastAsia="Times New Roman"/>
        </w:rPr>
        <w:t>ʔ</w:t>
      </w:r>
      <w:r w:rsidR="00C70383">
        <w:rPr>
          <w:rFonts w:eastAsia="Times New Roman"/>
        </w:rPr>
        <w:t>al/ f</w:t>
      </w:r>
      <w:r w:rsidR="00B45060" w:rsidRPr="00CF31E0">
        <w:rPr>
          <w:rFonts w:eastAsia="Times New Roman"/>
        </w:rPr>
        <w:t xml:space="preserve">or the definite article, while </w:t>
      </w:r>
      <w:r w:rsidRPr="00CF31E0">
        <w:rPr>
          <w:rFonts w:eastAsia="Times New Roman"/>
        </w:rPr>
        <w:t xml:space="preserve">the </w:t>
      </w:r>
      <w:r w:rsidR="00281ACB">
        <w:rPr>
          <w:rFonts w:eastAsia="Times New Roman"/>
        </w:rPr>
        <w:t>HH</w:t>
      </w:r>
      <w:r w:rsidR="00B45060" w:rsidRPr="00CF31E0">
        <w:rPr>
          <w:rFonts w:eastAsia="Times New Roman"/>
        </w:rPr>
        <w:t xml:space="preserve"> dialect uses /</w:t>
      </w:r>
      <w:r w:rsidR="00C70383" w:rsidRPr="00C70383">
        <w:rPr>
          <w:rFonts w:eastAsia="Times New Roman"/>
        </w:rPr>
        <w:t>ʔ</w:t>
      </w:r>
      <w:r w:rsidR="00B45060" w:rsidRPr="00CF31E0">
        <w:rPr>
          <w:rFonts w:eastAsia="Times New Roman"/>
        </w:rPr>
        <w:t xml:space="preserve">il/ </w:t>
      </w:r>
      <w:r w:rsidR="00B45060" w:rsidRPr="00CF31E0">
        <w:rPr>
          <w:rFonts w:eastAsia="Times New Roman"/>
        </w:rPr>
        <w:fldChar w:fldCharType="begin"/>
      </w:r>
      <w:r w:rsidR="00B45060" w:rsidRPr="00CF31E0">
        <w:rPr>
          <w:rFonts w:eastAsia="Times New Roman"/>
        </w:rPr>
        <w:instrText xml:space="preserve"> ADDIN ZOTERO_ITEM CSL_CITATION {"citationID":"z4mFzNJP","properties":{"formattedCitation":"(Ingham, 1971)","plainCitation":"(Ingham, 1971)","noteIndex":0},"citationItems":[{"id":131,"uris":["http://zotero.org/users/1939618/items/RDKBEK7V"],"uri":["http://zotero.org/users/1939618/items/RDKBEK7V"],"itemData":{"id":131,"type":"article-journal","title":"Some characteristics of Meccan speech","container-title":"Bulletin of the School of Oriental and African Studies","page":"273–297","volume":"34","issue":"02","source":"Google Scholar","author":[{"family":"Ingham","given":"Bruce"}],"issued":{"date-parts":[["1971"]]}}}],"schema":"https://github.com/citation-style-language/schema/raw/master/csl-citation.json"} </w:instrText>
      </w:r>
      <w:r w:rsidR="00B45060" w:rsidRPr="00CF31E0">
        <w:rPr>
          <w:rFonts w:eastAsia="Times New Roman"/>
        </w:rPr>
        <w:fldChar w:fldCharType="separate"/>
      </w:r>
      <w:r w:rsidR="00B45060" w:rsidRPr="00CF31E0">
        <w:rPr>
          <w:rFonts w:eastAsia="Times New Roman"/>
          <w:noProof/>
        </w:rPr>
        <w:t>(Ingham, 1971)</w:t>
      </w:r>
      <w:r w:rsidR="00B45060" w:rsidRPr="00CF31E0">
        <w:rPr>
          <w:rFonts w:eastAsia="Times New Roman"/>
        </w:rPr>
        <w:fldChar w:fldCharType="end"/>
      </w:r>
      <w:r w:rsidRPr="00CF31E0">
        <w:rPr>
          <w:rFonts w:eastAsia="Times New Roman"/>
        </w:rPr>
        <w:t>.</w:t>
      </w:r>
      <w:r w:rsidR="006D3401">
        <w:rPr>
          <w:rFonts w:eastAsia="Times New Roman"/>
        </w:rPr>
        <w:t xml:space="preserve"> Furthermore, </w:t>
      </w:r>
      <w:r w:rsidR="00802ABC">
        <w:rPr>
          <w:rFonts w:eastAsia="Times New Roman"/>
        </w:rPr>
        <w:t>i</w:t>
      </w:r>
      <w:r w:rsidR="006D3401">
        <w:rPr>
          <w:rFonts w:eastAsia="Times New Roman"/>
        </w:rPr>
        <w:t>n the HH dialect, t</w:t>
      </w:r>
      <w:r w:rsidR="006D3401" w:rsidRPr="00D94466">
        <w:rPr>
          <w:rFonts w:eastAsia="Times New Roman"/>
        </w:rPr>
        <w:t>he present progressiv</w:t>
      </w:r>
      <w:r w:rsidR="006D3401" w:rsidRPr="006A3851">
        <w:rPr>
          <w:rFonts w:eastAsia="Times New Roman"/>
        </w:rPr>
        <w:t>e tense is marked by the prefix /bi/ or</w:t>
      </w:r>
      <w:r w:rsidR="006D3401" w:rsidRPr="00D94466">
        <w:rPr>
          <w:rFonts w:eastAsia="Times New Roman"/>
          <w:rtl/>
        </w:rPr>
        <w:t xml:space="preserve"> </w:t>
      </w:r>
      <w:r w:rsidR="006D3401" w:rsidRPr="006A3851">
        <w:rPr>
          <w:rFonts w:eastAsia="Times New Roman"/>
        </w:rPr>
        <w:t>/gaːʕid/</w:t>
      </w:r>
      <w:r w:rsidR="006D3401">
        <w:rPr>
          <w:rFonts w:eastAsia="Times New Roman"/>
        </w:rPr>
        <w:t xml:space="preserve"> as in /biy</w:t>
      </w:r>
      <w:r w:rsidR="006D3401" w:rsidRPr="006A3851">
        <w:rPr>
          <w:rFonts w:eastAsia="Times New Roman"/>
        </w:rPr>
        <w:t>idrus/</w:t>
      </w:r>
      <w:r w:rsidR="006D3401">
        <w:rPr>
          <w:rFonts w:eastAsia="Times New Roman"/>
        </w:rPr>
        <w:t xml:space="preserve"> or /gaːʕid y</w:t>
      </w:r>
      <w:r w:rsidR="006D3401" w:rsidRPr="006A3851">
        <w:rPr>
          <w:rFonts w:eastAsia="Times New Roman"/>
        </w:rPr>
        <w:t>idrus/</w:t>
      </w:r>
      <w:r w:rsidR="006D3401">
        <w:rPr>
          <w:rFonts w:eastAsia="Times New Roman"/>
        </w:rPr>
        <w:t>,</w:t>
      </w:r>
      <w:r w:rsidR="006D3401" w:rsidRPr="00D94466">
        <w:rPr>
          <w:rFonts w:eastAsia="Times New Roman"/>
        </w:rPr>
        <w:t xml:space="preserve"> </w:t>
      </w:r>
      <w:r w:rsidR="006D3401">
        <w:rPr>
          <w:rFonts w:eastAsia="Times New Roman"/>
        </w:rPr>
        <w:t xml:space="preserve">which means ‘he is studying’ </w:t>
      </w:r>
      <w:bookmarkStart w:id="129" w:name="ZOTERO_BREF_wts4iTxJrt7RceVYaTD0I"/>
      <w:r w:rsidR="006D3401">
        <w:rPr>
          <w:rFonts w:eastAsia="Times New Roman"/>
        </w:rPr>
        <w:t>(Omar, 1975)</w:t>
      </w:r>
      <w:bookmarkEnd w:id="129"/>
      <w:r w:rsidR="006D3401">
        <w:rPr>
          <w:rFonts w:eastAsia="Times New Roman"/>
        </w:rPr>
        <w:t>. In the UBH dialect, the same tense is marked by the initial prefix /y/ or /t/ depending on the gender</w:t>
      </w:r>
    </w:p>
    <w:p w14:paraId="5E22305B" w14:textId="639EFA85" w:rsidR="0075303D" w:rsidRDefault="00107DB0" w:rsidP="00603CB7">
      <w:pPr>
        <w:pStyle w:val="Paragraph"/>
      </w:pPr>
      <w:r w:rsidRPr="00CF31E0">
        <w:t xml:space="preserve">The two dialects differ even in their </w:t>
      </w:r>
      <w:r w:rsidR="00CA21D1" w:rsidRPr="00CF31E0">
        <w:t xml:space="preserve">usage </w:t>
      </w:r>
      <w:r w:rsidRPr="00CF31E0">
        <w:t xml:space="preserve">of words. </w:t>
      </w:r>
      <w:r w:rsidR="003B0AE5" w:rsidRPr="00CF31E0">
        <w:t xml:space="preserve">Some words are </w:t>
      </w:r>
      <w:r w:rsidR="00486EF2" w:rsidRPr="00CF31E0">
        <w:t xml:space="preserve">more </w:t>
      </w:r>
      <w:r w:rsidR="003B0AE5" w:rsidRPr="00CF31E0">
        <w:t xml:space="preserve">likely to be used </w:t>
      </w:r>
      <w:r w:rsidR="00CA21D1" w:rsidRPr="00CF31E0">
        <w:t xml:space="preserve">by </w:t>
      </w:r>
      <w:r w:rsidR="003B0AE5" w:rsidRPr="00CF31E0">
        <w:t>urban Bedouin</w:t>
      </w:r>
      <w:r w:rsidR="00F03C9C" w:rsidRPr="00CF31E0">
        <w:t>s</w:t>
      </w:r>
      <w:r w:rsidR="003B0AE5" w:rsidRPr="00CF31E0">
        <w:t xml:space="preserve"> while other</w:t>
      </w:r>
      <w:r w:rsidR="00CA21D1" w:rsidRPr="00CF31E0">
        <w:t>s</w:t>
      </w:r>
      <w:r w:rsidR="003B0AE5" w:rsidRPr="00CF31E0">
        <w:t xml:space="preserve"> </w:t>
      </w:r>
      <w:r w:rsidR="00CA21D1" w:rsidRPr="00CF31E0">
        <w:t xml:space="preserve">are more likely to be used by </w:t>
      </w:r>
      <w:r w:rsidR="003B0AE5" w:rsidRPr="00CF31E0">
        <w:t>Hadari Hijazi</w:t>
      </w:r>
      <w:r w:rsidR="00486EF2" w:rsidRPr="00CF31E0">
        <w:t>s</w:t>
      </w:r>
      <w:r w:rsidR="003B0AE5" w:rsidRPr="00CF31E0">
        <w:t xml:space="preserve">. </w:t>
      </w:r>
      <w:r w:rsidR="00486EF2" w:rsidRPr="00CF31E0">
        <w:t>However</w:t>
      </w:r>
      <w:r w:rsidR="00ED3DA5" w:rsidRPr="00CF31E0">
        <w:t xml:space="preserve">, to my knowledge, </w:t>
      </w:r>
      <w:r w:rsidR="00486EF2" w:rsidRPr="00CF31E0">
        <w:t>no</w:t>
      </w:r>
      <w:r w:rsidR="00DA0101" w:rsidRPr="00CF31E0">
        <w:t xml:space="preserve"> study </w:t>
      </w:r>
      <w:r w:rsidR="00486EF2" w:rsidRPr="00CF31E0">
        <w:t xml:space="preserve">has to date </w:t>
      </w:r>
      <w:r w:rsidR="00486EF2" w:rsidRPr="00CF31E0">
        <w:lastRenderedPageBreak/>
        <w:t xml:space="preserve">investigated </w:t>
      </w:r>
      <w:r w:rsidR="00DA0101" w:rsidRPr="00CF31E0">
        <w:t xml:space="preserve">the lexical variation between the two dialects. Previous research was much more inclined to investigate phonological and morphological aspects of </w:t>
      </w:r>
      <w:r w:rsidR="003068BB" w:rsidRPr="00CF31E0">
        <w:t xml:space="preserve">the </w:t>
      </w:r>
      <w:r w:rsidR="00DA0101" w:rsidRPr="00CF31E0">
        <w:t xml:space="preserve">HH dialect </w:t>
      </w:r>
      <w:r w:rsidR="00DA0101" w:rsidRPr="00CF31E0">
        <w:fldChar w:fldCharType="begin"/>
      </w:r>
      <w:r w:rsidR="00DA0101" w:rsidRPr="00CF31E0">
        <w:instrText xml:space="preserve"> ADDIN ZOTERO_ITEM CSL_CITATION {"citationID":"R3smY7D6","properties":{"formattedCitation":"(Ingham, 1971)","plainCitation":"(Ingham, 1971)","noteIndex":0},"citationItems":[{"id":131,"uris":["http://zotero.org/users/1939618/items/RDKBEK7V"],"uri":["http://zotero.org/users/1939618/items/RDKBEK7V"],"itemData":{"id":131,"type":"article-journal","title":"Some characteristics of Meccan speech","container-title":"Bulletin of the School of Oriental and African Studies","page":"273–297","volume":"34","issue":"02","source":"Google Scholar","author":[{"family":"Ingham","given":"Bruce"}],"issued":{"date-parts":[["1971"]]}},"label":"page"}],"schema":"https://github.com/citation-style-language/schema/raw/master/csl-citation.json"} </w:instrText>
      </w:r>
      <w:r w:rsidR="00DA0101" w:rsidRPr="00CF31E0">
        <w:fldChar w:fldCharType="separate"/>
      </w:r>
      <w:r w:rsidR="00DA0101" w:rsidRPr="00CF31E0">
        <w:rPr>
          <w:noProof/>
        </w:rPr>
        <w:t>(Ingham, 1971)</w:t>
      </w:r>
      <w:r w:rsidR="00DA0101" w:rsidRPr="00CF31E0">
        <w:fldChar w:fldCharType="end"/>
      </w:r>
      <w:r w:rsidR="00DA0101" w:rsidRPr="00CF31E0">
        <w:t xml:space="preserve">, or </w:t>
      </w:r>
      <w:r w:rsidR="003068BB" w:rsidRPr="00CF31E0">
        <w:t xml:space="preserve">to only compare </w:t>
      </w:r>
      <w:r w:rsidR="00DA0101" w:rsidRPr="00CF31E0">
        <w:t xml:space="preserve">phonological aspects between </w:t>
      </w:r>
      <w:r w:rsidR="003068BB" w:rsidRPr="00CF31E0">
        <w:t xml:space="preserve">the </w:t>
      </w:r>
      <w:r w:rsidR="00DA0101" w:rsidRPr="00CF31E0">
        <w:t>HH</w:t>
      </w:r>
      <w:r w:rsidR="007B7E33" w:rsidRPr="00CF31E0">
        <w:t xml:space="preserve"> and UBH dialects </w:t>
      </w:r>
      <w:r w:rsidR="007B7E33" w:rsidRPr="00CF31E0">
        <w:fldChar w:fldCharType="begin"/>
      </w:r>
      <w:r w:rsidR="00A54129" w:rsidRPr="00CF31E0">
        <w:instrText xml:space="preserve"> ADDIN ZOTERO_ITEM CSL_CITATION {"citationID":"0eHAQeJO","properties":{"formattedCitation":"(Nassir Al-Jehani, 1985)","plainCitation":"(Nassir Al-Jehani, 1985)","dontUpdate":true,"noteIndex":0},"citationItems":[{"id":537,"uris":["http://zotero.org/users/1939618/items/CKTFSSZ4"],"uri":["http://zotero.org/users/1939618/items/CKTFSSZ4"],"itemData":{"id":537,"type":"thesis","title":"Sociostylistic stratification of Arabic in Makkah (doctoral dissertation)","publisher":"University of Michigan","URL":"https://www.researchgate.net/publication/36173456_SOCIOSTYLISTIC_STRATIFICATION_OF_ARABIC_IN_MAKKAH_SOCIOLINGUISTICS_VARIATION_SAUDI_ARABIA","language":"en","author":[{"family":"Al-Jehani","given":"Nassir"}],"issued":{"date-parts":[["1985"]]},"accessed":{"date-parts":[["2018",7,12]]}}}],"schema":"https://github.com/citation-style-language/schema/raw/master/csl-citation.json"} </w:instrText>
      </w:r>
      <w:r w:rsidR="007B7E33" w:rsidRPr="00CF31E0">
        <w:fldChar w:fldCharType="separate"/>
      </w:r>
      <w:r w:rsidR="007B7E33" w:rsidRPr="00CF31E0">
        <w:rPr>
          <w:noProof/>
        </w:rPr>
        <w:t>(Al-Jehani, 1985)</w:t>
      </w:r>
      <w:r w:rsidR="007B7E33" w:rsidRPr="00CF31E0">
        <w:fldChar w:fldCharType="end"/>
      </w:r>
      <w:r w:rsidR="007B7E33" w:rsidRPr="00CF31E0">
        <w:t xml:space="preserve">. </w:t>
      </w:r>
    </w:p>
    <w:p w14:paraId="73BEF793" w14:textId="77777777" w:rsidR="006D3401" w:rsidRPr="006D3401" w:rsidRDefault="006D3401" w:rsidP="006D3401">
      <w:pPr>
        <w:pStyle w:val="Paragraph"/>
      </w:pPr>
      <w:r w:rsidRPr="006D3401">
        <w:t>As I am part of that community, I am going to list, from my experience, the different uses of words between the two dialects. It is important to note that the use of lexicon strongly differs between the two dialects. I will not be able to list all the different words in the thesis as it is beyond the scope of the study; instead, I have chosen the most frequent and noticeable differences between the two dialects. Table 2.4 illustrates some of the differences found between the two dialects in terms of their word usage.</w:t>
      </w:r>
    </w:p>
    <w:p w14:paraId="002CBFC3" w14:textId="77777777" w:rsidR="006D3401" w:rsidRPr="006D3401" w:rsidRDefault="006D3401" w:rsidP="006D3401">
      <w:pPr>
        <w:pStyle w:val="Paragraph"/>
      </w:pPr>
    </w:p>
    <w:tbl>
      <w:tblPr>
        <w:tblW w:w="6521" w:type="dxa"/>
        <w:tblLayout w:type="fixed"/>
        <w:tblCellMar>
          <w:left w:w="0" w:type="dxa"/>
          <w:right w:w="0" w:type="dxa"/>
        </w:tblCellMar>
        <w:tblLook w:val="04A0" w:firstRow="1" w:lastRow="0" w:firstColumn="1" w:lastColumn="0" w:noHBand="0" w:noVBand="1"/>
      </w:tblPr>
      <w:tblGrid>
        <w:gridCol w:w="2173"/>
        <w:gridCol w:w="2174"/>
        <w:gridCol w:w="2174"/>
      </w:tblGrid>
      <w:tr w:rsidR="006D3401" w:rsidRPr="007F47CD" w14:paraId="799FCB97" w14:textId="77777777" w:rsidTr="006D3401">
        <w:trPr>
          <w:cantSplit/>
          <w:trHeight w:val="567"/>
        </w:trPr>
        <w:tc>
          <w:tcPr>
            <w:tcW w:w="2173" w:type="dxa"/>
            <w:tcBorders>
              <w:top w:val="single" w:sz="8" w:space="0" w:color="000000"/>
              <w:bottom w:val="single" w:sz="8" w:space="0" w:color="000000"/>
            </w:tcBorders>
            <w:shd w:val="clear" w:color="auto" w:fill="FFFFFF"/>
          </w:tcPr>
          <w:p w14:paraId="4FC54AF8" w14:textId="77777777" w:rsidR="006D3401" w:rsidRPr="00333D92" w:rsidRDefault="006D3401" w:rsidP="006D3401">
            <w:pPr>
              <w:pStyle w:val="Paragraph"/>
              <w:rPr>
                <w:b/>
                <w:sz w:val="22"/>
                <w:szCs w:val="22"/>
              </w:rPr>
            </w:pPr>
            <w:r w:rsidRPr="00333D92">
              <w:rPr>
                <w:b/>
                <w:sz w:val="22"/>
                <w:szCs w:val="22"/>
              </w:rPr>
              <w:t>UBH</w:t>
            </w:r>
          </w:p>
        </w:tc>
        <w:tc>
          <w:tcPr>
            <w:tcW w:w="2174" w:type="dxa"/>
            <w:tcBorders>
              <w:top w:val="single" w:sz="8" w:space="0" w:color="000000"/>
              <w:bottom w:val="single" w:sz="8" w:space="0" w:color="000000"/>
            </w:tcBorders>
            <w:shd w:val="clear" w:color="auto" w:fill="FFFFFF"/>
          </w:tcPr>
          <w:p w14:paraId="5ED9EF99" w14:textId="77777777" w:rsidR="006D3401" w:rsidRPr="00333D92" w:rsidRDefault="006D3401" w:rsidP="006D3401">
            <w:pPr>
              <w:pStyle w:val="Paragraph"/>
              <w:rPr>
                <w:b/>
                <w:sz w:val="22"/>
                <w:szCs w:val="22"/>
              </w:rPr>
            </w:pPr>
            <w:r w:rsidRPr="00333D92">
              <w:rPr>
                <w:b/>
                <w:sz w:val="22"/>
                <w:szCs w:val="22"/>
              </w:rPr>
              <w:t>HH</w:t>
            </w:r>
          </w:p>
        </w:tc>
        <w:tc>
          <w:tcPr>
            <w:tcW w:w="2174" w:type="dxa"/>
            <w:tcBorders>
              <w:top w:val="single" w:sz="8" w:space="0" w:color="000000"/>
              <w:bottom w:val="single" w:sz="8" w:space="0" w:color="000000"/>
            </w:tcBorders>
            <w:shd w:val="clear" w:color="auto" w:fill="FFFFFF"/>
          </w:tcPr>
          <w:p w14:paraId="69C9B132" w14:textId="77777777" w:rsidR="006D3401" w:rsidRPr="00333D92" w:rsidRDefault="006D3401" w:rsidP="006D3401">
            <w:pPr>
              <w:pStyle w:val="Paragraph"/>
              <w:rPr>
                <w:b/>
                <w:sz w:val="22"/>
                <w:szCs w:val="22"/>
              </w:rPr>
            </w:pPr>
            <w:r w:rsidRPr="00333D92">
              <w:rPr>
                <w:b/>
                <w:sz w:val="22"/>
                <w:szCs w:val="22"/>
              </w:rPr>
              <w:t>Translation in English</w:t>
            </w:r>
          </w:p>
        </w:tc>
      </w:tr>
      <w:tr w:rsidR="006D3401" w:rsidRPr="007F47CD" w14:paraId="23852F71" w14:textId="77777777" w:rsidTr="006D3401">
        <w:trPr>
          <w:cantSplit/>
        </w:trPr>
        <w:tc>
          <w:tcPr>
            <w:tcW w:w="2173" w:type="dxa"/>
            <w:tcBorders>
              <w:top w:val="single" w:sz="8" w:space="0" w:color="000000"/>
            </w:tcBorders>
            <w:shd w:val="clear" w:color="auto" w:fill="FFFFFF"/>
          </w:tcPr>
          <w:p w14:paraId="02524670" w14:textId="77777777" w:rsidR="006D3401" w:rsidRPr="00333D92" w:rsidRDefault="006D3401" w:rsidP="006D3401">
            <w:pPr>
              <w:pStyle w:val="Paragraph"/>
              <w:rPr>
                <w:sz w:val="22"/>
                <w:szCs w:val="22"/>
              </w:rPr>
            </w:pPr>
            <w:r w:rsidRPr="00333D92">
              <w:rPr>
                <w:sz w:val="22"/>
                <w:szCs w:val="22"/>
              </w:rPr>
              <w:t>[yimkim]</w:t>
            </w:r>
          </w:p>
        </w:tc>
        <w:tc>
          <w:tcPr>
            <w:tcW w:w="2174" w:type="dxa"/>
            <w:tcBorders>
              <w:top w:val="single" w:sz="8" w:space="0" w:color="000000"/>
            </w:tcBorders>
            <w:shd w:val="clear" w:color="auto" w:fill="FFFFFF"/>
          </w:tcPr>
          <w:p w14:paraId="2964DD6D" w14:textId="77777777" w:rsidR="006D3401" w:rsidRPr="00333D92" w:rsidRDefault="006D3401" w:rsidP="006D3401">
            <w:pPr>
              <w:pStyle w:val="Paragraph"/>
              <w:rPr>
                <w:sz w:val="22"/>
                <w:szCs w:val="22"/>
              </w:rPr>
            </w:pPr>
            <w:r w:rsidRPr="00333D92">
              <w:rPr>
                <w:sz w:val="22"/>
                <w:szCs w:val="22"/>
              </w:rPr>
              <w:t>[balkin]</w:t>
            </w:r>
          </w:p>
        </w:tc>
        <w:tc>
          <w:tcPr>
            <w:tcW w:w="2174" w:type="dxa"/>
            <w:tcBorders>
              <w:top w:val="single" w:sz="8" w:space="0" w:color="000000"/>
            </w:tcBorders>
            <w:shd w:val="clear" w:color="auto" w:fill="FFFFFF"/>
          </w:tcPr>
          <w:p w14:paraId="1D8F74EB" w14:textId="77777777" w:rsidR="006D3401" w:rsidRPr="00333D92" w:rsidRDefault="006D3401" w:rsidP="006D3401">
            <w:pPr>
              <w:pStyle w:val="Paragraph"/>
              <w:rPr>
                <w:sz w:val="22"/>
                <w:szCs w:val="22"/>
              </w:rPr>
            </w:pPr>
            <w:r w:rsidRPr="00333D92">
              <w:rPr>
                <w:sz w:val="22"/>
                <w:szCs w:val="22"/>
              </w:rPr>
              <w:t>maybe</w:t>
            </w:r>
          </w:p>
        </w:tc>
      </w:tr>
      <w:tr w:rsidR="006D3401" w:rsidRPr="007F47CD" w14:paraId="0BDCB260" w14:textId="77777777" w:rsidTr="006D3401">
        <w:trPr>
          <w:cantSplit/>
        </w:trPr>
        <w:tc>
          <w:tcPr>
            <w:tcW w:w="2173" w:type="dxa"/>
            <w:shd w:val="clear" w:color="auto" w:fill="FFFFFF"/>
          </w:tcPr>
          <w:p w14:paraId="4779D43F" w14:textId="77777777" w:rsidR="006D3401" w:rsidRPr="00333D92" w:rsidRDefault="006D3401" w:rsidP="006D3401">
            <w:pPr>
              <w:pStyle w:val="Paragraph"/>
              <w:rPr>
                <w:sz w:val="22"/>
                <w:szCs w:val="22"/>
              </w:rPr>
            </w:pPr>
            <w:r w:rsidRPr="00333D92">
              <w:rPr>
                <w:sz w:val="22"/>
                <w:szCs w:val="22"/>
              </w:rPr>
              <w:t>[kiyis]</w:t>
            </w:r>
          </w:p>
        </w:tc>
        <w:tc>
          <w:tcPr>
            <w:tcW w:w="2174" w:type="dxa"/>
            <w:shd w:val="clear" w:color="auto" w:fill="FFFFFF"/>
          </w:tcPr>
          <w:p w14:paraId="27D058B1" w14:textId="77777777" w:rsidR="006D3401" w:rsidRPr="00333D92" w:rsidRDefault="006D3401" w:rsidP="006D3401">
            <w:pPr>
              <w:pStyle w:val="Paragraph"/>
              <w:rPr>
                <w:sz w:val="22"/>
                <w:szCs w:val="22"/>
              </w:rPr>
            </w:pPr>
            <w:r w:rsidRPr="00333D92">
              <w:rPr>
                <w:sz w:val="22"/>
                <w:szCs w:val="22"/>
              </w:rPr>
              <w:t>[zambyil]</w:t>
            </w:r>
          </w:p>
        </w:tc>
        <w:tc>
          <w:tcPr>
            <w:tcW w:w="2174" w:type="dxa"/>
            <w:shd w:val="clear" w:color="auto" w:fill="FFFFFF"/>
          </w:tcPr>
          <w:p w14:paraId="7EE7560A" w14:textId="77777777" w:rsidR="006D3401" w:rsidRPr="00333D92" w:rsidRDefault="006D3401" w:rsidP="006D3401">
            <w:pPr>
              <w:pStyle w:val="Paragraph"/>
              <w:rPr>
                <w:sz w:val="22"/>
                <w:szCs w:val="22"/>
              </w:rPr>
            </w:pPr>
            <w:r w:rsidRPr="00333D92">
              <w:rPr>
                <w:sz w:val="22"/>
                <w:szCs w:val="22"/>
              </w:rPr>
              <w:t>bag</w:t>
            </w:r>
          </w:p>
        </w:tc>
      </w:tr>
      <w:tr w:rsidR="006D3401" w:rsidRPr="007F47CD" w14:paraId="66244D5B" w14:textId="77777777" w:rsidTr="006D3401">
        <w:trPr>
          <w:cantSplit/>
        </w:trPr>
        <w:tc>
          <w:tcPr>
            <w:tcW w:w="2173" w:type="dxa"/>
            <w:shd w:val="clear" w:color="auto" w:fill="FFFFFF"/>
          </w:tcPr>
          <w:p w14:paraId="2CB3C05A" w14:textId="77777777" w:rsidR="006D3401" w:rsidRPr="00333D92" w:rsidRDefault="006D3401" w:rsidP="006D3401">
            <w:pPr>
              <w:pStyle w:val="Paragraph"/>
              <w:rPr>
                <w:sz w:val="22"/>
                <w:szCs w:val="22"/>
              </w:rPr>
            </w:pPr>
            <w:r w:rsidRPr="00333D92">
              <w:rPr>
                <w:sz w:val="22"/>
                <w:szCs w:val="22"/>
              </w:rPr>
              <w:t>[kafwu]</w:t>
            </w:r>
          </w:p>
        </w:tc>
        <w:tc>
          <w:tcPr>
            <w:tcW w:w="2174" w:type="dxa"/>
            <w:shd w:val="clear" w:color="auto" w:fill="FFFFFF"/>
          </w:tcPr>
          <w:p w14:paraId="06E70E5F" w14:textId="77777777" w:rsidR="006D3401" w:rsidRPr="00333D92" w:rsidRDefault="006D3401" w:rsidP="006D3401">
            <w:pPr>
              <w:pStyle w:val="Paragraph"/>
              <w:rPr>
                <w:sz w:val="22"/>
                <w:szCs w:val="22"/>
              </w:rPr>
            </w:pPr>
            <w:r w:rsidRPr="00333D92">
              <w:rPr>
                <w:sz w:val="22"/>
                <w:szCs w:val="22"/>
              </w:rPr>
              <w:t>[ʕafa:rim]</w:t>
            </w:r>
          </w:p>
        </w:tc>
        <w:tc>
          <w:tcPr>
            <w:tcW w:w="2174" w:type="dxa"/>
            <w:shd w:val="clear" w:color="auto" w:fill="FFFFFF"/>
          </w:tcPr>
          <w:p w14:paraId="691F0589" w14:textId="77777777" w:rsidR="006D3401" w:rsidRPr="00333D92" w:rsidRDefault="006D3401" w:rsidP="006D3401">
            <w:pPr>
              <w:pStyle w:val="Paragraph"/>
              <w:rPr>
                <w:sz w:val="22"/>
                <w:szCs w:val="22"/>
              </w:rPr>
            </w:pPr>
            <w:r w:rsidRPr="00333D92">
              <w:rPr>
                <w:sz w:val="22"/>
                <w:szCs w:val="22"/>
              </w:rPr>
              <w:t>well done</w:t>
            </w:r>
          </w:p>
        </w:tc>
      </w:tr>
      <w:tr w:rsidR="006D3401" w:rsidRPr="007F47CD" w14:paraId="140ABACB" w14:textId="77777777" w:rsidTr="006D3401">
        <w:trPr>
          <w:cantSplit/>
        </w:trPr>
        <w:tc>
          <w:tcPr>
            <w:tcW w:w="2173" w:type="dxa"/>
            <w:shd w:val="clear" w:color="auto" w:fill="FFFFFF"/>
          </w:tcPr>
          <w:p w14:paraId="19B88E2D" w14:textId="77777777" w:rsidR="006D3401" w:rsidRPr="00333D92" w:rsidRDefault="006D3401" w:rsidP="006D3401">
            <w:pPr>
              <w:pStyle w:val="Paragraph"/>
              <w:rPr>
                <w:sz w:val="22"/>
                <w:szCs w:val="22"/>
              </w:rPr>
            </w:pPr>
            <w:r w:rsidRPr="00333D92">
              <w:rPr>
                <w:sz w:val="22"/>
                <w:szCs w:val="22"/>
              </w:rPr>
              <w:t>[harah]</w:t>
            </w:r>
          </w:p>
        </w:tc>
        <w:tc>
          <w:tcPr>
            <w:tcW w:w="2174" w:type="dxa"/>
            <w:shd w:val="clear" w:color="auto" w:fill="FFFFFF"/>
          </w:tcPr>
          <w:p w14:paraId="58332053" w14:textId="77777777" w:rsidR="006D3401" w:rsidRPr="00333D92" w:rsidRDefault="006D3401" w:rsidP="006D3401">
            <w:pPr>
              <w:pStyle w:val="Paragraph"/>
              <w:rPr>
                <w:sz w:val="22"/>
                <w:szCs w:val="22"/>
              </w:rPr>
            </w:pPr>
            <w:r w:rsidRPr="00333D92">
              <w:rPr>
                <w:sz w:val="22"/>
                <w:szCs w:val="22"/>
              </w:rPr>
              <w:t>[zuqa:q]</w:t>
            </w:r>
          </w:p>
        </w:tc>
        <w:tc>
          <w:tcPr>
            <w:tcW w:w="2174" w:type="dxa"/>
            <w:shd w:val="clear" w:color="auto" w:fill="FFFFFF"/>
          </w:tcPr>
          <w:p w14:paraId="3C6BF109" w14:textId="77777777" w:rsidR="006D3401" w:rsidRPr="00333D92" w:rsidRDefault="006D3401" w:rsidP="006D3401">
            <w:pPr>
              <w:pStyle w:val="Paragraph"/>
              <w:rPr>
                <w:sz w:val="22"/>
                <w:szCs w:val="22"/>
              </w:rPr>
            </w:pPr>
            <w:r w:rsidRPr="00333D92">
              <w:rPr>
                <w:sz w:val="22"/>
                <w:szCs w:val="22"/>
              </w:rPr>
              <w:t>lane</w:t>
            </w:r>
          </w:p>
        </w:tc>
      </w:tr>
      <w:tr w:rsidR="006D3401" w:rsidRPr="007F47CD" w14:paraId="2B506E1A" w14:textId="77777777" w:rsidTr="006D3401">
        <w:trPr>
          <w:cantSplit/>
        </w:trPr>
        <w:tc>
          <w:tcPr>
            <w:tcW w:w="2173" w:type="dxa"/>
            <w:shd w:val="clear" w:color="auto" w:fill="FFFFFF"/>
          </w:tcPr>
          <w:p w14:paraId="7AACAD06" w14:textId="77777777" w:rsidR="006D3401" w:rsidRPr="00333D92" w:rsidRDefault="006D3401" w:rsidP="006D3401">
            <w:pPr>
              <w:pStyle w:val="Paragraph"/>
              <w:rPr>
                <w:sz w:val="22"/>
                <w:szCs w:val="22"/>
              </w:rPr>
            </w:pPr>
            <w:r w:rsidRPr="00333D92">
              <w:rPr>
                <w:sz w:val="22"/>
                <w:szCs w:val="22"/>
              </w:rPr>
              <w:t>[mit̩raɡah]</w:t>
            </w:r>
          </w:p>
        </w:tc>
        <w:tc>
          <w:tcPr>
            <w:tcW w:w="2174" w:type="dxa"/>
            <w:shd w:val="clear" w:color="auto" w:fill="FFFFFF"/>
          </w:tcPr>
          <w:p w14:paraId="4D76B09F" w14:textId="77777777" w:rsidR="006D3401" w:rsidRPr="00333D92" w:rsidRDefault="006D3401" w:rsidP="006D3401">
            <w:pPr>
              <w:pStyle w:val="Paragraph"/>
              <w:rPr>
                <w:sz w:val="22"/>
                <w:szCs w:val="22"/>
              </w:rPr>
            </w:pPr>
            <w:r w:rsidRPr="00333D92">
              <w:rPr>
                <w:sz w:val="22"/>
                <w:szCs w:val="22"/>
              </w:rPr>
              <w:t>[ʃa:ku:ʃ]</w:t>
            </w:r>
          </w:p>
        </w:tc>
        <w:tc>
          <w:tcPr>
            <w:tcW w:w="2174" w:type="dxa"/>
            <w:shd w:val="clear" w:color="auto" w:fill="FFFFFF"/>
          </w:tcPr>
          <w:p w14:paraId="5D629DE6" w14:textId="77777777" w:rsidR="006D3401" w:rsidRPr="00333D92" w:rsidRDefault="006D3401" w:rsidP="006D3401">
            <w:pPr>
              <w:pStyle w:val="Paragraph"/>
              <w:rPr>
                <w:sz w:val="22"/>
                <w:szCs w:val="22"/>
              </w:rPr>
            </w:pPr>
            <w:r w:rsidRPr="00333D92">
              <w:rPr>
                <w:sz w:val="22"/>
                <w:szCs w:val="22"/>
              </w:rPr>
              <w:t>hammer</w:t>
            </w:r>
          </w:p>
        </w:tc>
      </w:tr>
      <w:tr w:rsidR="006D3401" w:rsidRPr="007F47CD" w14:paraId="17AA0034" w14:textId="77777777" w:rsidTr="006D3401">
        <w:trPr>
          <w:cantSplit/>
        </w:trPr>
        <w:tc>
          <w:tcPr>
            <w:tcW w:w="2173" w:type="dxa"/>
            <w:shd w:val="clear" w:color="auto" w:fill="FFFFFF"/>
          </w:tcPr>
          <w:p w14:paraId="479CA45A" w14:textId="77777777" w:rsidR="006D3401" w:rsidRPr="00333D92" w:rsidRDefault="006D3401" w:rsidP="006D3401">
            <w:pPr>
              <w:pStyle w:val="Paragraph"/>
              <w:rPr>
                <w:sz w:val="22"/>
                <w:szCs w:val="22"/>
              </w:rPr>
            </w:pPr>
            <w:r w:rsidRPr="00333D92">
              <w:rPr>
                <w:sz w:val="22"/>
                <w:szCs w:val="22"/>
              </w:rPr>
              <w:t>[alħiːn]</w:t>
            </w:r>
          </w:p>
        </w:tc>
        <w:tc>
          <w:tcPr>
            <w:tcW w:w="2174" w:type="dxa"/>
            <w:shd w:val="clear" w:color="auto" w:fill="FFFFFF"/>
          </w:tcPr>
          <w:p w14:paraId="5F59E06B" w14:textId="77777777" w:rsidR="006D3401" w:rsidRPr="00333D92" w:rsidRDefault="006D3401" w:rsidP="006D3401">
            <w:pPr>
              <w:pStyle w:val="Paragraph"/>
              <w:rPr>
                <w:sz w:val="22"/>
                <w:szCs w:val="22"/>
              </w:rPr>
            </w:pPr>
            <w:r w:rsidRPr="00333D92">
              <w:rPr>
                <w:sz w:val="22"/>
                <w:szCs w:val="22"/>
              </w:rPr>
              <w:t>[daħiːn]</w:t>
            </w:r>
          </w:p>
        </w:tc>
        <w:tc>
          <w:tcPr>
            <w:tcW w:w="2174" w:type="dxa"/>
            <w:shd w:val="clear" w:color="auto" w:fill="FFFFFF"/>
          </w:tcPr>
          <w:p w14:paraId="16034CE7" w14:textId="77777777" w:rsidR="006D3401" w:rsidRPr="00333D92" w:rsidRDefault="006D3401" w:rsidP="006D3401">
            <w:pPr>
              <w:pStyle w:val="Paragraph"/>
              <w:rPr>
                <w:sz w:val="22"/>
                <w:szCs w:val="22"/>
              </w:rPr>
            </w:pPr>
            <w:r w:rsidRPr="00333D92">
              <w:rPr>
                <w:sz w:val="22"/>
                <w:szCs w:val="22"/>
              </w:rPr>
              <w:t>now</w:t>
            </w:r>
          </w:p>
        </w:tc>
      </w:tr>
      <w:tr w:rsidR="006D3401" w:rsidRPr="007F47CD" w14:paraId="2765EAC6" w14:textId="77777777" w:rsidTr="006D3401">
        <w:trPr>
          <w:cantSplit/>
        </w:trPr>
        <w:tc>
          <w:tcPr>
            <w:tcW w:w="2173" w:type="dxa"/>
            <w:shd w:val="clear" w:color="auto" w:fill="FFFFFF"/>
          </w:tcPr>
          <w:p w14:paraId="6FD68CE6" w14:textId="77777777" w:rsidR="006D3401" w:rsidRPr="00333D92" w:rsidRDefault="006D3401" w:rsidP="006D3401">
            <w:pPr>
              <w:pStyle w:val="Paragraph"/>
              <w:rPr>
                <w:sz w:val="22"/>
                <w:szCs w:val="22"/>
              </w:rPr>
            </w:pPr>
            <w:r w:rsidRPr="00333D92">
              <w:rPr>
                <w:sz w:val="22"/>
                <w:szCs w:val="22"/>
              </w:rPr>
              <w:t>[wiʃ ʔsmak]</w:t>
            </w:r>
          </w:p>
        </w:tc>
        <w:tc>
          <w:tcPr>
            <w:tcW w:w="2174" w:type="dxa"/>
            <w:shd w:val="clear" w:color="auto" w:fill="FFFFFF"/>
          </w:tcPr>
          <w:p w14:paraId="14E854BC" w14:textId="77777777" w:rsidR="006D3401" w:rsidRPr="00333D92" w:rsidRDefault="006D3401" w:rsidP="006D3401">
            <w:pPr>
              <w:pStyle w:val="Paragraph"/>
              <w:rPr>
                <w:sz w:val="22"/>
                <w:szCs w:val="22"/>
              </w:rPr>
            </w:pPr>
            <w:r w:rsidRPr="00333D92">
              <w:rPr>
                <w:sz w:val="22"/>
                <w:szCs w:val="22"/>
              </w:rPr>
              <w:t>[ayʃ ʔsmak]</w:t>
            </w:r>
          </w:p>
        </w:tc>
        <w:tc>
          <w:tcPr>
            <w:tcW w:w="2174" w:type="dxa"/>
            <w:shd w:val="clear" w:color="auto" w:fill="FFFFFF"/>
          </w:tcPr>
          <w:p w14:paraId="30076978" w14:textId="77777777" w:rsidR="006D3401" w:rsidRPr="00333D92" w:rsidRDefault="006D3401" w:rsidP="006D3401">
            <w:pPr>
              <w:pStyle w:val="Paragraph"/>
              <w:rPr>
                <w:sz w:val="22"/>
                <w:szCs w:val="22"/>
              </w:rPr>
            </w:pPr>
            <w:r w:rsidRPr="00333D92">
              <w:rPr>
                <w:sz w:val="22"/>
                <w:szCs w:val="22"/>
              </w:rPr>
              <w:t>What is your name?</w:t>
            </w:r>
          </w:p>
        </w:tc>
      </w:tr>
      <w:tr w:rsidR="006D3401" w:rsidRPr="007F47CD" w14:paraId="56689833" w14:textId="77777777" w:rsidTr="006D3401">
        <w:trPr>
          <w:cantSplit/>
        </w:trPr>
        <w:tc>
          <w:tcPr>
            <w:tcW w:w="2173" w:type="dxa"/>
            <w:tcBorders>
              <w:bottom w:val="single" w:sz="8" w:space="0" w:color="000000"/>
            </w:tcBorders>
            <w:shd w:val="clear" w:color="auto" w:fill="FFFFFF"/>
          </w:tcPr>
          <w:p w14:paraId="0BEC8107" w14:textId="77777777" w:rsidR="006D3401" w:rsidRPr="00333D92" w:rsidRDefault="006D3401" w:rsidP="006D3401">
            <w:pPr>
              <w:pStyle w:val="Paragraph"/>
              <w:rPr>
                <w:sz w:val="22"/>
                <w:szCs w:val="22"/>
              </w:rPr>
            </w:pPr>
            <w:r w:rsidRPr="00333D92">
              <w:rPr>
                <w:sz w:val="22"/>
                <w:szCs w:val="22"/>
              </w:rPr>
              <w:t>[ʔaba/ʔabyi]</w:t>
            </w:r>
          </w:p>
        </w:tc>
        <w:tc>
          <w:tcPr>
            <w:tcW w:w="2174" w:type="dxa"/>
            <w:tcBorders>
              <w:bottom w:val="single" w:sz="8" w:space="0" w:color="000000"/>
            </w:tcBorders>
            <w:shd w:val="clear" w:color="auto" w:fill="FFFFFF"/>
          </w:tcPr>
          <w:p w14:paraId="0B1EADE2" w14:textId="77777777" w:rsidR="006D3401" w:rsidRPr="00333D92" w:rsidRDefault="006D3401" w:rsidP="006D3401">
            <w:pPr>
              <w:pStyle w:val="Paragraph"/>
              <w:rPr>
                <w:sz w:val="22"/>
                <w:szCs w:val="22"/>
              </w:rPr>
            </w:pPr>
            <w:r w:rsidRPr="00333D92">
              <w:rPr>
                <w:sz w:val="22"/>
                <w:szCs w:val="22"/>
              </w:rPr>
              <w:t>[ʔabɡ́a]</w:t>
            </w:r>
          </w:p>
        </w:tc>
        <w:tc>
          <w:tcPr>
            <w:tcW w:w="2174" w:type="dxa"/>
            <w:tcBorders>
              <w:bottom w:val="single" w:sz="8" w:space="0" w:color="000000"/>
            </w:tcBorders>
            <w:shd w:val="clear" w:color="auto" w:fill="FFFFFF"/>
          </w:tcPr>
          <w:p w14:paraId="33015D64" w14:textId="77777777" w:rsidR="006D3401" w:rsidRPr="00333D92" w:rsidRDefault="006D3401" w:rsidP="006D3401">
            <w:pPr>
              <w:pStyle w:val="Paragraph"/>
              <w:rPr>
                <w:sz w:val="22"/>
                <w:szCs w:val="22"/>
              </w:rPr>
            </w:pPr>
            <w:r w:rsidRPr="00333D92">
              <w:rPr>
                <w:sz w:val="22"/>
                <w:szCs w:val="22"/>
              </w:rPr>
              <w:t>I want</w:t>
            </w:r>
          </w:p>
        </w:tc>
      </w:tr>
    </w:tbl>
    <w:p w14:paraId="6565E750" w14:textId="6BB95A28" w:rsidR="006D3401" w:rsidRPr="00CF31E0" w:rsidRDefault="00B618CD" w:rsidP="00333D92">
      <w:pPr>
        <w:pStyle w:val="Tablecaption"/>
      </w:pPr>
      <w:bookmarkStart w:id="130" w:name="_Toc6473064"/>
      <w:r>
        <w:t xml:space="preserve">Table </w:t>
      </w:r>
      <w:r w:rsidR="007F47CD">
        <w:t xml:space="preserve">2.4: </w:t>
      </w:r>
      <w:r w:rsidR="006D3401" w:rsidRPr="006D3401">
        <w:t>Some vocabulary differences between the UBH and HH dialects.</w:t>
      </w:r>
      <w:bookmarkEnd w:id="130"/>
      <w:r w:rsidR="006D3401" w:rsidRPr="006D3401">
        <w:t xml:space="preserve"> </w:t>
      </w:r>
    </w:p>
    <w:p w14:paraId="4FD3A085" w14:textId="54BFFEAB" w:rsidR="00631337" w:rsidRPr="00CF31E0" w:rsidRDefault="006D3401" w:rsidP="00281ACB">
      <w:pPr>
        <w:pStyle w:val="Paragraph"/>
      </w:pPr>
      <w:r>
        <w:t>As for style of speaking, r</w:t>
      </w:r>
      <w:r w:rsidR="00631337" w:rsidRPr="00CF31E0">
        <w:t xml:space="preserve">esearch has shown that style of speaking is another aspect that </w:t>
      </w:r>
      <w:r w:rsidR="003068BB" w:rsidRPr="00CF31E0">
        <w:t xml:space="preserve">differentiates the </w:t>
      </w:r>
      <w:r w:rsidR="00631337" w:rsidRPr="00CF31E0">
        <w:t xml:space="preserve">HH dialect </w:t>
      </w:r>
      <w:r w:rsidR="003068BB" w:rsidRPr="00CF31E0">
        <w:t xml:space="preserve">from </w:t>
      </w:r>
      <w:r w:rsidR="00631337" w:rsidRPr="00CF31E0">
        <w:t xml:space="preserve">UBH </w:t>
      </w:r>
      <w:r w:rsidR="00631337" w:rsidRPr="00CF31E0">
        <w:fldChar w:fldCharType="begin"/>
      </w:r>
      <w:r w:rsidR="00A54129" w:rsidRPr="00CF31E0">
        <w:instrText xml:space="preserve"> ADDIN ZOTERO_ITEM CSL_CITATION {"citationID":"IpqueZqw","properties":{"formattedCitation":"(Nassir Al-Jehani, 1985)","plainCitation":"(Nassir Al-Jehani, 1985)","dontUpdate":true,"noteIndex":0},"citationItems":[{"id":537,"uris":["http://zotero.org/users/1939618/items/CKTFSSZ4"],"uri":["http://zotero.org/users/1939618/items/CKTFSSZ4"],"itemData":{"id":537,"type":"thesis","title":"Sociostylistic stratification of Arabic in Makkah (doctoral dissertation)","publisher":"University of Michigan","URL":"https://www.researchgate.net/publication/36173456_SOCIOSTYLISTIC_STRATIFICATION_OF_ARABIC_IN_MAKKAH_SOCIOLINGUISTICS_VARIATION_SAUDI_ARABIA","language":"en","author":[{"family":"Al-Jehani","given":"Nassir"}],"issued":{"date-parts":[["1985"]]},"accessed":{"date-parts":[["2018",7,12]]}}}],"schema":"https://github.com/citation-style-language/schema/raw/master/csl-citation.json"} </w:instrText>
      </w:r>
      <w:r w:rsidR="00631337" w:rsidRPr="00CF31E0">
        <w:fldChar w:fldCharType="separate"/>
      </w:r>
      <w:r w:rsidR="00631337" w:rsidRPr="00CF31E0">
        <w:rPr>
          <w:noProof/>
        </w:rPr>
        <w:t>(Al-Jehani, 1985)</w:t>
      </w:r>
      <w:r w:rsidR="00631337" w:rsidRPr="00CF31E0">
        <w:fldChar w:fldCharType="end"/>
      </w:r>
      <w:r w:rsidR="000F6895" w:rsidRPr="00CF31E0">
        <w:t xml:space="preserve">, more particularly in the formal </w:t>
      </w:r>
      <w:r w:rsidR="0004255F" w:rsidRPr="00CF31E0">
        <w:t>usage</w:t>
      </w:r>
      <w:r w:rsidR="000F6895" w:rsidRPr="00CF31E0">
        <w:t xml:space="preserve"> of the language. </w:t>
      </w:r>
      <w:r w:rsidR="00631337" w:rsidRPr="00CF31E0">
        <w:t xml:space="preserve">Al-Jehani found that HH speakers assimilate more fricative alveolar sounds if the </w:t>
      </w:r>
      <w:r w:rsidR="00631337" w:rsidRPr="00CF31E0">
        <w:lastRenderedPageBreak/>
        <w:t>context shifts from informal to formal</w:t>
      </w:r>
      <w:r w:rsidR="000F6895" w:rsidRPr="00CF31E0">
        <w:t>. More details about th</w:t>
      </w:r>
      <w:r w:rsidR="00B23274" w:rsidRPr="00CF31E0">
        <w:t>is</w:t>
      </w:r>
      <w:r w:rsidR="000F6895" w:rsidRPr="00CF31E0">
        <w:t xml:space="preserve"> study will be given in </w:t>
      </w:r>
      <w:r w:rsidR="00CE2B99" w:rsidRPr="00CF31E0">
        <w:t>C</w:t>
      </w:r>
      <w:r w:rsidR="000F6895" w:rsidRPr="00CF31E0">
        <w:t xml:space="preserve">hapter </w:t>
      </w:r>
      <w:r w:rsidR="002124ED" w:rsidRPr="00CF31E0">
        <w:t>3</w:t>
      </w:r>
      <w:r w:rsidR="00AF370B" w:rsidRPr="00CF31E0">
        <w:t>,</w:t>
      </w:r>
      <w:r w:rsidR="000F6895" w:rsidRPr="00CF31E0">
        <w:t xml:space="preserve"> section</w:t>
      </w:r>
      <w:r w:rsidR="00AF370B" w:rsidRPr="00CF31E0">
        <w:t xml:space="preserve"> </w:t>
      </w:r>
      <w:r w:rsidR="002124ED" w:rsidRPr="00CF31E0">
        <w:t>3</w:t>
      </w:r>
      <w:r w:rsidR="00AF370B" w:rsidRPr="00CF31E0">
        <w:t>.3.2.</w:t>
      </w:r>
      <w:r w:rsidR="000F6895" w:rsidRPr="00CF31E0">
        <w:t xml:space="preserve"> </w:t>
      </w:r>
    </w:p>
    <w:p w14:paraId="4370339C" w14:textId="47E6C976" w:rsidR="00B728B1" w:rsidRPr="00CF31E0" w:rsidRDefault="006C315D" w:rsidP="00603CB7">
      <w:pPr>
        <w:pStyle w:val="Paragraph"/>
        <w:rPr>
          <w:lang w:val="en-US"/>
        </w:rPr>
      </w:pPr>
      <w:r w:rsidRPr="00CF31E0">
        <w:t>Analysing</w:t>
      </w:r>
      <w:r w:rsidR="00107DB0" w:rsidRPr="00CF31E0">
        <w:t xml:space="preserve"> </w:t>
      </w:r>
      <w:r w:rsidR="000A021C" w:rsidRPr="00CF31E0">
        <w:t xml:space="preserve">the </w:t>
      </w:r>
      <w:r w:rsidR="00107DB0" w:rsidRPr="00CF31E0">
        <w:t>differences in linguistic aspects</w:t>
      </w:r>
      <w:r w:rsidR="00631337" w:rsidRPr="00CF31E0">
        <w:t xml:space="preserve"> (i.e. phonological, lexical, grammatical or morphological)</w:t>
      </w:r>
      <w:r w:rsidR="00107DB0" w:rsidRPr="00CF31E0">
        <w:t xml:space="preserve"> between the two dialects is </w:t>
      </w:r>
      <w:r w:rsidR="00F46DF0" w:rsidRPr="00CF31E0">
        <w:t>beyond</w:t>
      </w:r>
      <w:r w:rsidR="00107DB0" w:rsidRPr="00CF31E0">
        <w:t xml:space="preserve"> the scope of the present study</w:t>
      </w:r>
      <w:r w:rsidR="00603EBD" w:rsidRPr="00CF31E0">
        <w:t>,</w:t>
      </w:r>
      <w:r w:rsidR="000A021C" w:rsidRPr="00CF31E0">
        <w:t xml:space="preserve"> </w:t>
      </w:r>
      <w:r w:rsidR="00EB2ECB" w:rsidRPr="00CF31E0">
        <w:t xml:space="preserve">so </w:t>
      </w:r>
      <w:r w:rsidR="00107DB0" w:rsidRPr="00CF31E0">
        <w:t>I cannot give a clear</w:t>
      </w:r>
      <w:r w:rsidR="000A021C" w:rsidRPr="00CF31E0">
        <w:t xml:space="preserve"> and detailed</w:t>
      </w:r>
      <w:r w:rsidR="00107DB0" w:rsidRPr="00CF31E0">
        <w:t xml:space="preserve"> picture of how the two dialects differ </w:t>
      </w:r>
      <w:r w:rsidR="000A021C" w:rsidRPr="00CF31E0">
        <w:t>linguistically</w:t>
      </w:r>
      <w:r w:rsidR="00107DB0" w:rsidRPr="00CF31E0">
        <w:t xml:space="preserve">. </w:t>
      </w:r>
      <w:r w:rsidR="003068BB" w:rsidRPr="00CF31E0">
        <w:t xml:space="preserve">The focus of </w:t>
      </w:r>
      <w:r w:rsidR="00123C65" w:rsidRPr="00CF31E0">
        <w:t xml:space="preserve">the present study </w:t>
      </w:r>
      <w:r w:rsidR="003068BB" w:rsidRPr="00CF31E0">
        <w:t>is</w:t>
      </w:r>
      <w:r w:rsidR="000A021C" w:rsidRPr="00CF31E0">
        <w:t xml:space="preserve"> on </w:t>
      </w:r>
      <w:r w:rsidR="00E10395" w:rsidRPr="00CF31E0">
        <w:rPr>
          <w:lang w:val="en-US"/>
        </w:rPr>
        <w:t>investigat</w:t>
      </w:r>
      <w:r w:rsidR="000A021C" w:rsidRPr="00CF31E0">
        <w:rPr>
          <w:lang w:val="en-US"/>
        </w:rPr>
        <w:t>ing</w:t>
      </w:r>
      <w:r w:rsidR="004B5BD4" w:rsidRPr="00CF31E0">
        <w:rPr>
          <w:lang w:val="en-US"/>
        </w:rPr>
        <w:t xml:space="preserve"> p</w:t>
      </w:r>
      <w:r w:rsidR="00123C65" w:rsidRPr="00CF31E0">
        <w:rPr>
          <w:lang w:val="en-US"/>
        </w:rPr>
        <w:t>articipants</w:t>
      </w:r>
      <w:r w:rsidR="000A021C" w:rsidRPr="00CF31E0">
        <w:rPr>
          <w:lang w:val="en-US"/>
        </w:rPr>
        <w:t>’</w:t>
      </w:r>
      <w:r w:rsidR="00123C65" w:rsidRPr="00CF31E0">
        <w:rPr>
          <w:lang w:val="en-US"/>
        </w:rPr>
        <w:t xml:space="preserve"> perceptions of the extent to which</w:t>
      </w:r>
      <w:r w:rsidRPr="00CF31E0">
        <w:rPr>
          <w:lang w:val="en-US"/>
        </w:rPr>
        <w:t xml:space="preserve"> Hijazi people </w:t>
      </w:r>
      <w:r w:rsidR="00244F6A" w:rsidRPr="00CF31E0">
        <w:rPr>
          <w:lang w:val="en-US"/>
        </w:rPr>
        <w:t>believe the two dialects are different</w:t>
      </w:r>
      <w:r w:rsidRPr="00CF31E0">
        <w:rPr>
          <w:lang w:val="en-US"/>
        </w:rPr>
        <w:t xml:space="preserve">, and </w:t>
      </w:r>
      <w:r w:rsidR="00107DB0" w:rsidRPr="00CF31E0">
        <w:rPr>
          <w:lang w:val="en-US"/>
        </w:rPr>
        <w:t>in which</w:t>
      </w:r>
      <w:r w:rsidR="004B5BD4" w:rsidRPr="00CF31E0">
        <w:rPr>
          <w:lang w:val="en-US"/>
        </w:rPr>
        <w:t xml:space="preserve"> </w:t>
      </w:r>
      <w:r w:rsidR="00107DB0" w:rsidRPr="00CF31E0">
        <w:rPr>
          <w:lang w:val="en-US"/>
        </w:rPr>
        <w:t>linguistic aspects</w:t>
      </w:r>
      <w:r w:rsidRPr="00CF31E0">
        <w:rPr>
          <w:lang w:val="en-US"/>
        </w:rPr>
        <w:t xml:space="preserve"> they think the</w:t>
      </w:r>
      <w:r w:rsidR="004B5BD4" w:rsidRPr="00CF31E0">
        <w:rPr>
          <w:lang w:val="en-US"/>
        </w:rPr>
        <w:t xml:space="preserve"> two dialects differ</w:t>
      </w:r>
      <w:r w:rsidR="00E10395" w:rsidRPr="00CF31E0">
        <w:rPr>
          <w:lang w:val="en-US"/>
        </w:rPr>
        <w:t xml:space="preserve">. </w:t>
      </w:r>
    </w:p>
    <w:p w14:paraId="6E2D105E" w14:textId="6499CF9E" w:rsidR="0085645C" w:rsidRPr="00CF31E0" w:rsidRDefault="0053311F" w:rsidP="00603CB7">
      <w:pPr>
        <w:pStyle w:val="Paragraph"/>
        <w:rPr>
          <w:lang w:val="en-US"/>
        </w:rPr>
      </w:pPr>
      <w:r w:rsidRPr="00CF31E0">
        <w:rPr>
          <w:lang w:val="en-US"/>
        </w:rPr>
        <w:t>The two social group</w:t>
      </w:r>
      <w:r w:rsidR="004B5BD4" w:rsidRPr="00CF31E0">
        <w:rPr>
          <w:lang w:val="en-US"/>
        </w:rPr>
        <w:t>s</w:t>
      </w:r>
      <w:r w:rsidRPr="00CF31E0">
        <w:rPr>
          <w:lang w:val="en-US"/>
        </w:rPr>
        <w:t xml:space="preserve"> </w:t>
      </w:r>
      <w:r w:rsidR="00603EBD" w:rsidRPr="00CF31E0">
        <w:rPr>
          <w:lang w:val="en-US"/>
        </w:rPr>
        <w:t xml:space="preserve">can </w:t>
      </w:r>
      <w:r w:rsidRPr="00CF31E0">
        <w:rPr>
          <w:lang w:val="en-US"/>
        </w:rPr>
        <w:t xml:space="preserve">be </w:t>
      </w:r>
      <w:r w:rsidR="004B5BD4" w:rsidRPr="00CF31E0">
        <w:rPr>
          <w:lang w:val="en-US"/>
        </w:rPr>
        <w:t>differentiated</w:t>
      </w:r>
      <w:r w:rsidRPr="00CF31E0">
        <w:rPr>
          <w:lang w:val="en-US"/>
        </w:rPr>
        <w:t xml:space="preserve"> </w:t>
      </w:r>
      <w:r w:rsidR="00EB2ECB" w:rsidRPr="00CF31E0">
        <w:rPr>
          <w:lang w:val="en-US"/>
        </w:rPr>
        <w:t xml:space="preserve">not only </w:t>
      </w:r>
      <w:r w:rsidRPr="00CF31E0">
        <w:rPr>
          <w:lang w:val="en-US"/>
        </w:rPr>
        <w:t xml:space="preserve">by their </w:t>
      </w:r>
      <w:r w:rsidR="004B5BD4" w:rsidRPr="00CF31E0">
        <w:rPr>
          <w:lang w:val="en-US"/>
        </w:rPr>
        <w:t>traditions</w:t>
      </w:r>
      <w:r w:rsidRPr="00CF31E0">
        <w:rPr>
          <w:lang w:val="en-US"/>
        </w:rPr>
        <w:t xml:space="preserve">, norms, lifestyle </w:t>
      </w:r>
      <w:r w:rsidR="006B10AC" w:rsidRPr="00CF31E0">
        <w:rPr>
          <w:lang w:val="en-US"/>
        </w:rPr>
        <w:t xml:space="preserve">and </w:t>
      </w:r>
      <w:r w:rsidRPr="00CF31E0">
        <w:rPr>
          <w:lang w:val="en-US"/>
        </w:rPr>
        <w:t>dialects</w:t>
      </w:r>
      <w:r w:rsidR="006B10AC" w:rsidRPr="00CF31E0">
        <w:rPr>
          <w:lang w:val="en-US"/>
        </w:rPr>
        <w:t>,</w:t>
      </w:r>
      <w:r w:rsidRPr="00CF31E0">
        <w:rPr>
          <w:lang w:val="en-US"/>
        </w:rPr>
        <w:t xml:space="preserve"> but can </w:t>
      </w:r>
      <w:r w:rsidR="006B10AC" w:rsidRPr="00CF31E0">
        <w:rPr>
          <w:lang w:val="en-US"/>
        </w:rPr>
        <w:t xml:space="preserve">also </w:t>
      </w:r>
      <w:r w:rsidRPr="00CF31E0">
        <w:rPr>
          <w:lang w:val="en-US"/>
        </w:rPr>
        <w:t>be differentiated</w:t>
      </w:r>
      <w:r w:rsidR="004B5BD4" w:rsidRPr="00CF31E0">
        <w:rPr>
          <w:lang w:val="en-US"/>
        </w:rPr>
        <w:t xml:space="preserve"> by their sur</w:t>
      </w:r>
      <w:r w:rsidRPr="00CF31E0">
        <w:rPr>
          <w:lang w:val="en-US"/>
        </w:rPr>
        <w:t xml:space="preserve">names. </w:t>
      </w:r>
      <w:r w:rsidR="000F6895" w:rsidRPr="00CF31E0">
        <w:rPr>
          <w:lang w:val="en-US"/>
        </w:rPr>
        <w:t>According to anecdotal evidence</w:t>
      </w:r>
      <w:r w:rsidR="009136E1" w:rsidRPr="00CF31E0">
        <w:rPr>
          <w:lang w:val="en-US"/>
        </w:rPr>
        <w:t>,</w:t>
      </w:r>
      <w:r w:rsidR="0004255F" w:rsidRPr="00B9622D">
        <w:rPr>
          <w:rStyle w:val="FootnoteReference"/>
        </w:rPr>
        <w:footnoteReference w:id="12"/>
      </w:r>
      <w:r w:rsidR="000F6895" w:rsidRPr="00CF31E0">
        <w:rPr>
          <w:lang w:val="en-US"/>
        </w:rPr>
        <w:t xml:space="preserve"> m</w:t>
      </w:r>
      <w:r w:rsidRPr="00CF31E0">
        <w:rPr>
          <w:lang w:val="en-US"/>
        </w:rPr>
        <w:t xml:space="preserve">ost Hijazi people from all generations can easily spot the origin of a Hijazi person </w:t>
      </w:r>
      <w:r w:rsidR="00C104DB">
        <w:rPr>
          <w:lang w:val="en-US"/>
        </w:rPr>
        <w:t>from</w:t>
      </w:r>
      <w:r w:rsidRPr="00CF31E0">
        <w:rPr>
          <w:lang w:val="en-US"/>
        </w:rPr>
        <w:t xml:space="preserve"> their surnames. </w:t>
      </w:r>
      <w:r w:rsidR="00552A4D" w:rsidRPr="00CF31E0">
        <w:rPr>
          <w:lang w:val="en-US"/>
        </w:rPr>
        <w:t xml:space="preserve">This </w:t>
      </w:r>
      <w:r w:rsidR="004B5BD4" w:rsidRPr="00CF31E0">
        <w:rPr>
          <w:lang w:val="en-US"/>
        </w:rPr>
        <w:t xml:space="preserve">is because </w:t>
      </w:r>
      <w:r w:rsidR="00F46DF0" w:rsidRPr="00CF31E0">
        <w:rPr>
          <w:lang w:val="en-US"/>
        </w:rPr>
        <w:t xml:space="preserve">foreign </w:t>
      </w:r>
      <w:r w:rsidR="004B5BD4" w:rsidRPr="00CF31E0">
        <w:rPr>
          <w:lang w:val="en-US"/>
        </w:rPr>
        <w:t>settlers</w:t>
      </w:r>
      <w:r w:rsidR="00F46DF0" w:rsidRPr="00CF31E0">
        <w:rPr>
          <w:lang w:val="en-US"/>
        </w:rPr>
        <w:t>’</w:t>
      </w:r>
      <w:r w:rsidR="004B5BD4" w:rsidRPr="00CF31E0">
        <w:rPr>
          <w:lang w:val="en-US"/>
        </w:rPr>
        <w:t xml:space="preserve"> sur</w:t>
      </w:r>
      <w:r w:rsidRPr="00CF31E0">
        <w:rPr>
          <w:lang w:val="en-US"/>
        </w:rPr>
        <w:t>name</w:t>
      </w:r>
      <w:r w:rsidR="00552A4D" w:rsidRPr="00CF31E0">
        <w:rPr>
          <w:lang w:val="en-US"/>
        </w:rPr>
        <w:t>s</w:t>
      </w:r>
      <w:r w:rsidRPr="00CF31E0">
        <w:rPr>
          <w:lang w:val="en-US"/>
        </w:rPr>
        <w:t xml:space="preserve"> mostly refer to a craft </w:t>
      </w:r>
      <w:r w:rsidR="00F46DF0" w:rsidRPr="00CF31E0">
        <w:rPr>
          <w:lang w:val="en-US"/>
        </w:rPr>
        <w:t xml:space="preserve">that </w:t>
      </w:r>
      <w:r w:rsidR="00552A4D" w:rsidRPr="00CF31E0">
        <w:rPr>
          <w:lang w:val="en-US"/>
        </w:rPr>
        <w:t xml:space="preserve">the </w:t>
      </w:r>
      <w:r w:rsidRPr="00CF31E0">
        <w:rPr>
          <w:lang w:val="en-US"/>
        </w:rPr>
        <w:t xml:space="preserve">settlers adopted when they settled in Hijaz </w:t>
      </w:r>
      <w:r w:rsidR="00F87472" w:rsidRPr="00CF31E0">
        <w:rPr>
          <w:lang w:val="en-US"/>
        </w:rPr>
        <w:t xml:space="preserve">and that their ancient family had </w:t>
      </w:r>
      <w:r w:rsidR="00552A4D" w:rsidRPr="00CF31E0">
        <w:rPr>
          <w:lang w:val="en-US"/>
        </w:rPr>
        <w:t xml:space="preserve">worked in, </w:t>
      </w:r>
      <w:r w:rsidRPr="00CF31E0">
        <w:rPr>
          <w:lang w:val="en-US"/>
        </w:rPr>
        <w:t xml:space="preserve">as mentioned in section </w:t>
      </w:r>
      <w:r w:rsidR="002124ED" w:rsidRPr="00CF31E0">
        <w:rPr>
          <w:lang w:val="en-US"/>
        </w:rPr>
        <w:t>2</w:t>
      </w:r>
      <w:r w:rsidR="00DF7ED3" w:rsidRPr="00CF31E0">
        <w:rPr>
          <w:lang w:val="en-US"/>
        </w:rPr>
        <w:t>.4.</w:t>
      </w:r>
      <w:r w:rsidR="004B5BD4" w:rsidRPr="00CF31E0">
        <w:rPr>
          <w:lang w:val="en-US"/>
        </w:rPr>
        <w:t xml:space="preserve"> Or sometimes settlers’ sur</w:t>
      </w:r>
      <w:r w:rsidRPr="00CF31E0">
        <w:rPr>
          <w:lang w:val="en-US"/>
        </w:rPr>
        <w:t>name</w:t>
      </w:r>
      <w:r w:rsidR="00552A4D" w:rsidRPr="00CF31E0">
        <w:rPr>
          <w:lang w:val="en-US"/>
        </w:rPr>
        <w:t>s</w:t>
      </w:r>
      <w:r w:rsidRPr="00CF31E0">
        <w:rPr>
          <w:lang w:val="en-US"/>
        </w:rPr>
        <w:t xml:space="preserve"> </w:t>
      </w:r>
      <w:r w:rsidR="00552A4D" w:rsidRPr="00CF31E0">
        <w:rPr>
          <w:lang w:val="en-US"/>
        </w:rPr>
        <w:t xml:space="preserve">indicate </w:t>
      </w:r>
      <w:r w:rsidRPr="00CF31E0">
        <w:rPr>
          <w:lang w:val="en-US"/>
        </w:rPr>
        <w:t xml:space="preserve">their </w:t>
      </w:r>
      <w:r w:rsidR="00552A4D" w:rsidRPr="00CF31E0">
        <w:rPr>
          <w:lang w:val="en-US"/>
        </w:rPr>
        <w:t>n</w:t>
      </w:r>
      <w:r w:rsidRPr="00CF31E0">
        <w:rPr>
          <w:lang w:val="en-US"/>
        </w:rPr>
        <w:t>ationality</w:t>
      </w:r>
      <w:r w:rsidR="00EB3E14" w:rsidRPr="00CF31E0">
        <w:rPr>
          <w:lang w:val="en-US"/>
        </w:rPr>
        <w:t xml:space="preserve"> (i.e. the </w:t>
      </w:r>
      <w:r w:rsidR="00F2472B" w:rsidRPr="00CF31E0">
        <w:rPr>
          <w:lang w:val="en-US"/>
        </w:rPr>
        <w:t>country</w:t>
      </w:r>
      <w:r w:rsidR="00EB3E14" w:rsidRPr="00CF31E0">
        <w:rPr>
          <w:lang w:val="en-US"/>
        </w:rPr>
        <w:t xml:space="preserve"> where they originally come from)</w:t>
      </w:r>
      <w:r w:rsidR="00552A4D" w:rsidRPr="00CF31E0">
        <w:rPr>
          <w:lang w:val="en-US"/>
        </w:rPr>
        <w:t>,</w:t>
      </w:r>
      <w:r w:rsidRPr="00CF31E0">
        <w:rPr>
          <w:lang w:val="en-US"/>
        </w:rPr>
        <w:t xml:space="preserve"> as described in section</w:t>
      </w:r>
      <w:r w:rsidR="00DF7ED3" w:rsidRPr="00CF31E0">
        <w:rPr>
          <w:lang w:val="en-US"/>
        </w:rPr>
        <w:t xml:space="preserve"> </w:t>
      </w:r>
      <w:r w:rsidR="002124ED" w:rsidRPr="00CF31E0">
        <w:rPr>
          <w:lang w:val="en-US"/>
        </w:rPr>
        <w:t>2</w:t>
      </w:r>
      <w:r w:rsidR="00DF7ED3" w:rsidRPr="00CF31E0">
        <w:rPr>
          <w:lang w:val="en-US"/>
        </w:rPr>
        <w:t>.5.</w:t>
      </w:r>
      <w:r w:rsidRPr="00CF31E0">
        <w:rPr>
          <w:lang w:val="en-US"/>
        </w:rPr>
        <w:t xml:space="preserve"> </w:t>
      </w:r>
      <w:r w:rsidR="00123C65" w:rsidRPr="00CF31E0">
        <w:rPr>
          <w:lang w:val="en-US"/>
        </w:rPr>
        <w:t xml:space="preserve">Therefore, it is easy for Hijazi people to identify </w:t>
      </w:r>
      <w:r w:rsidR="00B9242D" w:rsidRPr="00CF31E0">
        <w:rPr>
          <w:lang w:val="en-US"/>
        </w:rPr>
        <w:t>HH</w:t>
      </w:r>
      <w:r w:rsidR="00123C65" w:rsidRPr="00CF31E0">
        <w:rPr>
          <w:lang w:val="en-US"/>
        </w:rPr>
        <w:t xml:space="preserve"> based on their surnames. </w:t>
      </w:r>
      <w:r w:rsidRPr="00CF31E0">
        <w:rPr>
          <w:lang w:val="en-US"/>
        </w:rPr>
        <w:t>As for the urban Bedouin</w:t>
      </w:r>
      <w:r w:rsidR="004B5BD4" w:rsidRPr="00CF31E0">
        <w:rPr>
          <w:lang w:val="en-US"/>
        </w:rPr>
        <w:t xml:space="preserve"> Hijazi</w:t>
      </w:r>
      <w:r w:rsidR="00123C65" w:rsidRPr="00CF31E0">
        <w:rPr>
          <w:lang w:val="en-US"/>
        </w:rPr>
        <w:t>, technically speaking,</w:t>
      </w:r>
      <w:r w:rsidRPr="00CF31E0">
        <w:rPr>
          <w:lang w:val="en-US"/>
        </w:rPr>
        <w:t xml:space="preserve"> Bedouin surnames mostly start with an [ɑ</w:t>
      </w:r>
      <w:r w:rsidR="009B6936" w:rsidRPr="00CF31E0">
        <w:rPr>
          <w:lang w:val="en-US"/>
        </w:rPr>
        <w:t>ː</w:t>
      </w:r>
      <w:r w:rsidRPr="00CF31E0">
        <w:rPr>
          <w:lang w:val="en-US"/>
        </w:rPr>
        <w:t>l] sound.</w:t>
      </w:r>
      <w:r w:rsidR="004B5BD4" w:rsidRPr="00CF31E0">
        <w:rPr>
          <w:lang w:val="en-US"/>
        </w:rPr>
        <w:t xml:space="preserve"> </w:t>
      </w:r>
      <w:r w:rsidR="00767B5D" w:rsidRPr="00CF31E0">
        <w:rPr>
          <w:lang w:val="en-US"/>
        </w:rPr>
        <w:t>Furthermore</w:t>
      </w:r>
      <w:r w:rsidR="00FA5E89" w:rsidRPr="00CF31E0">
        <w:rPr>
          <w:lang w:val="en-US"/>
        </w:rPr>
        <w:t>,</w:t>
      </w:r>
      <w:r w:rsidR="00EB3E14" w:rsidRPr="00CF31E0">
        <w:rPr>
          <w:lang w:val="en-US"/>
        </w:rPr>
        <w:t xml:space="preserve"> Bedouin</w:t>
      </w:r>
      <w:r w:rsidR="00552A4D" w:rsidRPr="00CF31E0">
        <w:rPr>
          <w:lang w:val="en-US"/>
        </w:rPr>
        <w:t xml:space="preserve"> </w:t>
      </w:r>
      <w:r w:rsidR="00EB3E14" w:rsidRPr="00CF31E0">
        <w:rPr>
          <w:lang w:val="en-US"/>
        </w:rPr>
        <w:t>surname</w:t>
      </w:r>
      <w:r w:rsidR="00552A4D" w:rsidRPr="00CF31E0">
        <w:rPr>
          <w:lang w:val="en-US"/>
        </w:rPr>
        <w:t>s</w:t>
      </w:r>
      <w:r w:rsidR="00EB3E14" w:rsidRPr="00CF31E0">
        <w:rPr>
          <w:lang w:val="en-US"/>
        </w:rPr>
        <w:t xml:space="preserve"> </w:t>
      </w:r>
      <w:r w:rsidR="00552A4D" w:rsidRPr="00CF31E0">
        <w:rPr>
          <w:lang w:val="en-US"/>
        </w:rPr>
        <w:t xml:space="preserve">are </w:t>
      </w:r>
      <w:r w:rsidR="004B5BD4" w:rsidRPr="00CF31E0">
        <w:rPr>
          <w:lang w:val="en-US"/>
        </w:rPr>
        <w:t>easily recognized by not only social groups in Hijaz but by all Saudi</w:t>
      </w:r>
      <w:r w:rsidR="00552A4D" w:rsidRPr="00CF31E0">
        <w:rPr>
          <w:lang w:val="en-US"/>
        </w:rPr>
        <w:t>s</w:t>
      </w:r>
      <w:r w:rsidR="004B5BD4" w:rsidRPr="00CF31E0">
        <w:rPr>
          <w:lang w:val="en-US"/>
        </w:rPr>
        <w:t xml:space="preserve"> in the </w:t>
      </w:r>
      <w:r w:rsidR="00F2472B" w:rsidRPr="00CF31E0">
        <w:rPr>
          <w:lang w:val="en-US"/>
        </w:rPr>
        <w:t>country</w:t>
      </w:r>
      <w:r w:rsidR="00552A4D" w:rsidRPr="00CF31E0">
        <w:rPr>
          <w:lang w:val="en-US"/>
        </w:rPr>
        <w:t>,</w:t>
      </w:r>
      <w:r w:rsidR="00EB3E14" w:rsidRPr="00CF31E0">
        <w:rPr>
          <w:lang w:val="en-US"/>
        </w:rPr>
        <w:t xml:space="preserve"> as </w:t>
      </w:r>
      <w:r w:rsidR="00552A4D" w:rsidRPr="00CF31E0">
        <w:rPr>
          <w:lang w:val="en-US"/>
        </w:rPr>
        <w:t xml:space="preserve">they </w:t>
      </w:r>
      <w:r w:rsidR="00EB3E14" w:rsidRPr="00CF31E0">
        <w:rPr>
          <w:lang w:val="en-US"/>
        </w:rPr>
        <w:t>refer to the name of the tribe the Bedouins descended from</w:t>
      </w:r>
      <w:r w:rsidR="004B5BD4" w:rsidRPr="00CF31E0">
        <w:rPr>
          <w:lang w:val="en-US"/>
        </w:rPr>
        <w:t xml:space="preserve">. </w:t>
      </w:r>
      <w:r w:rsidR="00552A4D" w:rsidRPr="00CF31E0">
        <w:rPr>
          <w:lang w:val="en-US"/>
        </w:rPr>
        <w:t xml:space="preserve">This </w:t>
      </w:r>
      <w:r w:rsidR="004B5BD4" w:rsidRPr="00CF31E0">
        <w:rPr>
          <w:lang w:val="en-US"/>
        </w:rPr>
        <w:t>is due to the strong genealogical ties that connect tribe members to thei</w:t>
      </w:r>
      <w:r w:rsidR="00EB3E14" w:rsidRPr="00CF31E0">
        <w:rPr>
          <w:lang w:val="en-US"/>
        </w:rPr>
        <w:t>r own original tribe</w:t>
      </w:r>
      <w:r w:rsidR="00C77B25" w:rsidRPr="00CF31E0">
        <w:rPr>
          <w:lang w:val="en-US"/>
        </w:rPr>
        <w:t xml:space="preserve"> </w:t>
      </w:r>
      <w:r w:rsidR="00C77B25" w:rsidRPr="00CF31E0">
        <w:rPr>
          <w:lang w:val="en-US"/>
        </w:rPr>
        <w:fldChar w:fldCharType="begin"/>
      </w:r>
      <w:r w:rsidR="00C77B25" w:rsidRPr="00CF31E0">
        <w:rPr>
          <w:lang w:val="en-US"/>
        </w:rPr>
        <w:instrText xml:space="preserve"> ADDIN ZOTERO_ITEM CSL_CITATION {"citationID":"HVdM1Dvr","properties":{"formattedCitation":"(Ingham, 1982, 1986)","plainCitation":"(Ingham, 1982, 1986)","noteIndex":0},"citationItems":[{"id":133,"uris":["http://zotero.org/users/1939618/items/RNWI55AQ"],"uri":["http://zotero.org/users/1939618/items/RNWI55AQ"],"itemData":{"id":133,"type":"article-journal","title":"Notes on the dialect of the Ḍhafr of north-eastern Arabia","container-title":"Bulletin of the School of Oriental and African Studies","page":"245–259","volume":"45","issue":"02","source":"Google Scholar","author":[{"family":"Ingham","given":"Bruce"}],"issued":{"date-parts":[["1982"]]}},"label":"page"},{"id":135,"uris":["http://zotero.org/users/1939618/items/7KBX4XWK"],"uri":["http://zotero.org/users/1939618/items/7KBX4XWK"],"itemData":{"id":135,"type":"article-journal","title":"Notes on the dialect of the Āl Murra of eastern and southern Arabia","container-title":"Bulletin of the School of Oriental and African Studies","page":"271–291","volume":"49","issue":"02","source":"Google Scholar","author":[{"family":"Ingham","given":"Bruce"}],"issued":{"date-parts":[["1986"]]}},"label":"page"}],"schema":"https://github.com/citation-style-language/schema/raw/master/csl-citation.json"} </w:instrText>
      </w:r>
      <w:r w:rsidR="00C77B25" w:rsidRPr="00CF31E0">
        <w:rPr>
          <w:lang w:val="en-US"/>
        </w:rPr>
        <w:fldChar w:fldCharType="separate"/>
      </w:r>
      <w:r w:rsidR="00C77B25" w:rsidRPr="00CF31E0">
        <w:rPr>
          <w:noProof/>
          <w:lang w:val="en-US"/>
        </w:rPr>
        <w:t>(Ingham, 1982, 1986)</w:t>
      </w:r>
      <w:r w:rsidR="00C77B25" w:rsidRPr="00CF31E0">
        <w:rPr>
          <w:lang w:val="en-US"/>
        </w:rPr>
        <w:fldChar w:fldCharType="end"/>
      </w:r>
      <w:r w:rsidR="006F38DF" w:rsidRPr="00CF31E0">
        <w:rPr>
          <w:lang w:val="en-US"/>
        </w:rPr>
        <w:t xml:space="preserve">. </w:t>
      </w:r>
    </w:p>
    <w:p w14:paraId="5EFFA423" w14:textId="77777777" w:rsidR="006004DA" w:rsidRPr="00CF31E0" w:rsidRDefault="00B404B8" w:rsidP="00603CB7">
      <w:pPr>
        <w:pStyle w:val="Paragraph"/>
        <w:rPr>
          <w:lang w:val="en-US"/>
        </w:rPr>
      </w:pPr>
      <w:r w:rsidRPr="00CF31E0">
        <w:t>In the Saudi context, there is a stereotypical view of the Hijazi dialect. The majority of both outsiders and insiders to the Hijaz commu</w:t>
      </w:r>
      <w:r w:rsidR="006004DA" w:rsidRPr="00CF31E0">
        <w:t>nity refer to the HH dialect</w:t>
      </w:r>
      <w:r w:rsidRPr="00CF31E0">
        <w:t xml:space="preserve"> when talking about the Hijazi dialect. This happens even in the media; </w:t>
      </w:r>
      <w:r w:rsidR="00CA638A" w:rsidRPr="00CF31E0">
        <w:t xml:space="preserve">e.g., </w:t>
      </w:r>
      <w:r w:rsidRPr="00CF31E0">
        <w:t xml:space="preserve">talk shows, YouTube videos and TV series in which the Hadari dialect is </w:t>
      </w:r>
      <w:r w:rsidR="0070641B" w:rsidRPr="00CF31E0">
        <w:t>called</w:t>
      </w:r>
      <w:r w:rsidR="002471FB" w:rsidRPr="00CF31E0">
        <w:t xml:space="preserve"> the</w:t>
      </w:r>
      <w:r w:rsidR="0070641B" w:rsidRPr="00CF31E0">
        <w:t xml:space="preserve"> Hijazi dialect, neglecting that there is another Hijazi dialect</w:t>
      </w:r>
      <w:r w:rsidR="002471FB" w:rsidRPr="00CF31E0">
        <w:t>:</w:t>
      </w:r>
      <w:r w:rsidR="006004DA" w:rsidRPr="00CF31E0">
        <w:t xml:space="preserve"> UBH</w:t>
      </w:r>
      <w:r w:rsidR="0070641B" w:rsidRPr="00CF31E0">
        <w:t xml:space="preserve">. </w:t>
      </w:r>
    </w:p>
    <w:p w14:paraId="448A7EDA" w14:textId="1D5FEEEC" w:rsidR="00B404B8" w:rsidRPr="00CF31E0" w:rsidRDefault="00B404B8" w:rsidP="00603CB7">
      <w:pPr>
        <w:pStyle w:val="Paragraph"/>
      </w:pPr>
      <w:r w:rsidRPr="00CF31E0">
        <w:lastRenderedPageBreak/>
        <w:t>As previous</w:t>
      </w:r>
      <w:r w:rsidR="001C6CB6" w:rsidRPr="00CF31E0">
        <w:t xml:space="preserve">ly mentioned, the </w:t>
      </w:r>
      <w:r w:rsidR="00B9242D" w:rsidRPr="00CF31E0">
        <w:t>HH</w:t>
      </w:r>
      <w:r w:rsidR="001C6CB6" w:rsidRPr="00CF31E0">
        <w:t xml:space="preserve"> social group</w:t>
      </w:r>
      <w:r w:rsidRPr="00CF31E0">
        <w:t xml:space="preserve"> is a mixture of Egyptian</w:t>
      </w:r>
      <w:r w:rsidR="001C6CB6" w:rsidRPr="00CF31E0">
        <w:t>, Levantine, Yemeni, Sudanese, Turkish and many other different ethnic groups</w:t>
      </w:r>
      <w:r w:rsidRPr="00CF31E0">
        <w:t xml:space="preserve">. </w:t>
      </w:r>
      <w:r w:rsidR="00AE056B" w:rsidRPr="00CF31E0">
        <w:t xml:space="preserve">In the present study, I am very interested </w:t>
      </w:r>
      <w:r w:rsidR="001856EF" w:rsidRPr="00CF31E0">
        <w:t xml:space="preserve">in </w:t>
      </w:r>
      <w:r w:rsidR="00AE056B" w:rsidRPr="00CF31E0">
        <w:t>reve</w:t>
      </w:r>
      <w:r w:rsidR="00692DA6" w:rsidRPr="00CF31E0">
        <w:t>a</w:t>
      </w:r>
      <w:r w:rsidR="00AE056B" w:rsidRPr="00CF31E0">
        <w:t>l</w:t>
      </w:r>
      <w:r w:rsidR="001856EF" w:rsidRPr="00CF31E0">
        <w:t>ing</w:t>
      </w:r>
      <w:r w:rsidR="00AE056B" w:rsidRPr="00CF31E0">
        <w:t xml:space="preserve"> Hijazi participants</w:t>
      </w:r>
      <w:r w:rsidR="001C6CB6" w:rsidRPr="00CF31E0">
        <w:t>’</w:t>
      </w:r>
      <w:r w:rsidR="00AE056B" w:rsidRPr="00CF31E0">
        <w:t xml:space="preserve"> </w:t>
      </w:r>
      <w:r w:rsidR="00692DA6" w:rsidRPr="00CF31E0">
        <w:t>opinions</w:t>
      </w:r>
      <w:r w:rsidR="00AE056B" w:rsidRPr="00CF31E0">
        <w:t xml:space="preserve"> </w:t>
      </w:r>
      <w:r w:rsidR="008B257B" w:rsidRPr="00CF31E0">
        <w:t xml:space="preserve">regarding </w:t>
      </w:r>
      <w:r w:rsidR="001856EF" w:rsidRPr="00CF31E0">
        <w:t>the similarity of the</w:t>
      </w:r>
      <w:r w:rsidR="00AE056B" w:rsidRPr="00CF31E0">
        <w:t xml:space="preserve"> </w:t>
      </w:r>
      <w:r w:rsidR="00B9242D" w:rsidRPr="00CF31E0">
        <w:t>HH</w:t>
      </w:r>
      <w:r w:rsidR="001C6CB6" w:rsidRPr="00CF31E0">
        <w:t xml:space="preserve"> </w:t>
      </w:r>
      <w:r w:rsidR="00AE056B" w:rsidRPr="00CF31E0">
        <w:t xml:space="preserve">dialect </w:t>
      </w:r>
      <w:r w:rsidR="001856EF" w:rsidRPr="00CF31E0">
        <w:t xml:space="preserve">with </w:t>
      </w:r>
      <w:r w:rsidR="00AE056B" w:rsidRPr="00CF31E0">
        <w:t xml:space="preserve">other Arabic dialects where the </w:t>
      </w:r>
      <w:r w:rsidR="00B9242D" w:rsidRPr="00CF31E0">
        <w:t>HH</w:t>
      </w:r>
      <w:r w:rsidR="00AE056B" w:rsidRPr="00CF31E0">
        <w:t xml:space="preserve"> originally </w:t>
      </w:r>
      <w:r w:rsidR="004B7D89" w:rsidRPr="00CF31E0">
        <w:t xml:space="preserve">came </w:t>
      </w:r>
      <w:r w:rsidR="00AE056B" w:rsidRPr="00CF31E0">
        <w:t xml:space="preserve">from. </w:t>
      </w:r>
      <w:r w:rsidR="001856EF" w:rsidRPr="00CF31E0">
        <w:t>It is not part of this study to ask</w:t>
      </w:r>
      <w:r w:rsidR="00AE056B" w:rsidRPr="00CF31E0">
        <w:t xml:space="preserve"> participants about </w:t>
      </w:r>
      <w:r w:rsidR="001856EF" w:rsidRPr="00CF31E0">
        <w:t xml:space="preserve">the </w:t>
      </w:r>
      <w:r w:rsidR="00AE056B" w:rsidRPr="00CF31E0">
        <w:t xml:space="preserve">resemblance between </w:t>
      </w:r>
      <w:r w:rsidR="001856EF" w:rsidRPr="00CF31E0">
        <w:t xml:space="preserve">the </w:t>
      </w:r>
      <w:r w:rsidR="00B9242D" w:rsidRPr="00CF31E0">
        <w:t>HH</w:t>
      </w:r>
      <w:r w:rsidR="00AE056B" w:rsidRPr="00CF31E0">
        <w:t xml:space="preserve"> dialect and other languages such as the Turkish language</w:t>
      </w:r>
      <w:r w:rsidR="001856EF" w:rsidRPr="00CF31E0">
        <w:t>,</w:t>
      </w:r>
      <w:r w:rsidR="00AE056B" w:rsidRPr="00CF31E0">
        <w:t xml:space="preserve"> as </w:t>
      </w:r>
      <w:r w:rsidR="008B257B" w:rsidRPr="00CF31E0">
        <w:t xml:space="preserve">this </w:t>
      </w:r>
      <w:r w:rsidR="00AE056B" w:rsidRPr="00CF31E0">
        <w:t xml:space="preserve">is beyond the scope of the present study. </w:t>
      </w:r>
      <w:r w:rsidR="007B2E43" w:rsidRPr="00CF31E0">
        <w:t>The focus is instead</w:t>
      </w:r>
      <w:r w:rsidR="00AE056B" w:rsidRPr="00CF31E0">
        <w:t xml:space="preserve"> on the </w:t>
      </w:r>
      <w:r w:rsidR="008266A2" w:rsidRPr="00CF31E0">
        <w:t xml:space="preserve">perceived </w:t>
      </w:r>
      <w:r w:rsidR="00AE056B" w:rsidRPr="00CF31E0">
        <w:t>resemblance between dialects</w:t>
      </w:r>
      <w:r w:rsidR="007B2E43" w:rsidRPr="00CF31E0">
        <w:t>,</w:t>
      </w:r>
      <w:r w:rsidR="00AE056B" w:rsidRPr="00CF31E0">
        <w:t xml:space="preserve"> not languages. </w:t>
      </w:r>
    </w:p>
    <w:p w14:paraId="60268A7F" w14:textId="1F2D6B68" w:rsidR="00DE016D" w:rsidRPr="00CF31E0" w:rsidRDefault="00692DA6" w:rsidP="00603CB7">
      <w:pPr>
        <w:pStyle w:val="Paragraph"/>
      </w:pPr>
      <w:r w:rsidRPr="00CF31E0">
        <w:rPr>
          <w:lang w:val="en-US"/>
        </w:rPr>
        <w:t xml:space="preserve">To sum up, in order to reveal the overt and covert </w:t>
      </w:r>
      <w:r w:rsidR="0087788A" w:rsidRPr="00CF31E0">
        <w:rPr>
          <w:lang w:val="en-US"/>
        </w:rPr>
        <w:t>stereotypical</w:t>
      </w:r>
      <w:r w:rsidRPr="00CF31E0">
        <w:rPr>
          <w:lang w:val="en-US"/>
        </w:rPr>
        <w:t xml:space="preserve"> views toward the two dialects, a </w:t>
      </w:r>
      <w:r w:rsidR="0087788A" w:rsidRPr="00CF31E0">
        <w:rPr>
          <w:lang w:val="en-US"/>
        </w:rPr>
        <w:t>broader</w:t>
      </w:r>
      <w:r w:rsidRPr="00CF31E0">
        <w:rPr>
          <w:lang w:val="en-US"/>
        </w:rPr>
        <w:t xml:space="preserve"> </w:t>
      </w:r>
      <w:r w:rsidR="00303E7F" w:rsidRPr="00CF31E0">
        <w:rPr>
          <w:lang w:val="en-US"/>
        </w:rPr>
        <w:t>analysis</w:t>
      </w:r>
      <w:r w:rsidRPr="00CF31E0">
        <w:rPr>
          <w:lang w:val="en-US"/>
        </w:rPr>
        <w:t xml:space="preserve"> </w:t>
      </w:r>
      <w:r w:rsidR="004B7D89" w:rsidRPr="00CF31E0">
        <w:rPr>
          <w:lang w:val="en-US"/>
        </w:rPr>
        <w:t xml:space="preserve">of </w:t>
      </w:r>
      <w:r w:rsidRPr="00CF31E0">
        <w:rPr>
          <w:lang w:val="en-US"/>
        </w:rPr>
        <w:t>the linguistic situation of the tw</w:t>
      </w:r>
      <w:r w:rsidR="0087788A" w:rsidRPr="00CF31E0">
        <w:rPr>
          <w:lang w:val="en-US"/>
        </w:rPr>
        <w:t>o</w:t>
      </w:r>
      <w:r w:rsidRPr="00CF31E0">
        <w:rPr>
          <w:lang w:val="en-US"/>
        </w:rPr>
        <w:t xml:space="preserve"> dialects </w:t>
      </w:r>
      <w:r w:rsidR="004B7D89" w:rsidRPr="00CF31E0">
        <w:rPr>
          <w:lang w:val="en-US"/>
        </w:rPr>
        <w:t xml:space="preserve">has </w:t>
      </w:r>
      <w:r w:rsidRPr="00CF31E0">
        <w:rPr>
          <w:lang w:val="en-US"/>
        </w:rPr>
        <w:t xml:space="preserve">to be </w:t>
      </w:r>
      <w:r w:rsidR="0087788A" w:rsidRPr="00CF31E0">
        <w:rPr>
          <w:lang w:val="en-US"/>
        </w:rPr>
        <w:t>undertaken</w:t>
      </w:r>
      <w:r w:rsidR="004B7D89" w:rsidRPr="00CF31E0">
        <w:rPr>
          <w:lang w:val="en-US"/>
        </w:rPr>
        <w:t>,</w:t>
      </w:r>
      <w:r w:rsidR="0087788A" w:rsidRPr="00CF31E0">
        <w:rPr>
          <w:lang w:val="en-US"/>
        </w:rPr>
        <w:t xml:space="preserve"> </w:t>
      </w:r>
      <w:r w:rsidRPr="00CF31E0">
        <w:rPr>
          <w:lang w:val="en-US"/>
        </w:rPr>
        <w:t xml:space="preserve">especially if there is an </w:t>
      </w:r>
      <w:r w:rsidR="0087788A" w:rsidRPr="00CF31E0">
        <w:rPr>
          <w:lang w:val="en-US"/>
        </w:rPr>
        <w:t>obvious</w:t>
      </w:r>
      <w:r w:rsidRPr="00CF31E0">
        <w:rPr>
          <w:lang w:val="en-US"/>
        </w:rPr>
        <w:t xml:space="preserve"> </w:t>
      </w:r>
      <w:r w:rsidR="00E64B64" w:rsidRPr="00CF31E0">
        <w:rPr>
          <w:lang w:val="en-US"/>
        </w:rPr>
        <w:t>shortage of resources or research</w:t>
      </w:r>
      <w:r w:rsidRPr="00CF31E0">
        <w:rPr>
          <w:lang w:val="en-US"/>
        </w:rPr>
        <w:t xml:space="preserve"> th</w:t>
      </w:r>
      <w:r w:rsidR="0087788A" w:rsidRPr="00CF31E0">
        <w:rPr>
          <w:lang w:val="en-US"/>
        </w:rPr>
        <w:t>at describe</w:t>
      </w:r>
      <w:r w:rsidR="008266A2" w:rsidRPr="00CF31E0">
        <w:rPr>
          <w:lang w:val="en-US"/>
        </w:rPr>
        <w:t>s</w:t>
      </w:r>
      <w:r w:rsidR="0087788A" w:rsidRPr="00CF31E0">
        <w:rPr>
          <w:lang w:val="en-US"/>
        </w:rPr>
        <w:t xml:space="preserve"> the </w:t>
      </w:r>
      <w:r w:rsidR="004B7D89" w:rsidRPr="00CF31E0">
        <w:rPr>
          <w:lang w:val="en-US"/>
        </w:rPr>
        <w:t xml:space="preserve">linguistic situation of the </w:t>
      </w:r>
      <w:r w:rsidR="0087788A" w:rsidRPr="00CF31E0">
        <w:rPr>
          <w:lang w:val="en-US"/>
        </w:rPr>
        <w:t>two dialects. Therefore</w:t>
      </w:r>
      <w:r w:rsidR="00B31E38" w:rsidRPr="00CF31E0">
        <w:rPr>
          <w:lang w:val="en-US"/>
        </w:rPr>
        <w:t xml:space="preserve">, the first research question in the present study </w:t>
      </w:r>
      <w:r w:rsidR="00DE016D" w:rsidRPr="00CF31E0">
        <w:rPr>
          <w:lang w:val="en-US"/>
        </w:rPr>
        <w:t>focus</w:t>
      </w:r>
      <w:r w:rsidR="004B7D89" w:rsidRPr="00CF31E0">
        <w:rPr>
          <w:lang w:val="en-US"/>
        </w:rPr>
        <w:t>es</w:t>
      </w:r>
      <w:r w:rsidR="00DE016D" w:rsidRPr="00CF31E0">
        <w:rPr>
          <w:lang w:val="en-US"/>
        </w:rPr>
        <w:t xml:space="preserve"> on investigating w</w:t>
      </w:r>
      <w:r w:rsidR="00DE016D" w:rsidRPr="00CF31E0">
        <w:t>hat Hijazi people perceive to be occurring linguistically in</w:t>
      </w:r>
      <w:r w:rsidR="0067770A" w:rsidRPr="00CF31E0">
        <w:t xml:space="preserve"> Hijaz</w:t>
      </w:r>
      <w:r w:rsidR="004B7D89" w:rsidRPr="00CF31E0">
        <w:t>.</w:t>
      </w:r>
    </w:p>
    <w:p w14:paraId="2CB4CE20" w14:textId="6AE63839" w:rsidR="00692DA6" w:rsidRPr="00CF31E0" w:rsidRDefault="00B31E38" w:rsidP="00603CB7">
      <w:pPr>
        <w:pStyle w:val="Paragraph"/>
        <w:rPr>
          <w:lang w:val="en-US"/>
        </w:rPr>
      </w:pPr>
      <w:r w:rsidRPr="00CF31E0">
        <w:rPr>
          <w:lang w:val="en-US"/>
        </w:rPr>
        <w:t>I</w:t>
      </w:r>
      <w:r w:rsidR="00FE2F79" w:rsidRPr="00CF31E0">
        <w:rPr>
          <w:lang w:val="en-US"/>
        </w:rPr>
        <w:t xml:space="preserve">n order to reveal and understand the </w:t>
      </w:r>
      <w:r w:rsidR="00DE016D" w:rsidRPr="00CF31E0">
        <w:rPr>
          <w:lang w:val="en-US"/>
        </w:rPr>
        <w:t>linguistic</w:t>
      </w:r>
      <w:r w:rsidR="00B15905" w:rsidRPr="00CF31E0">
        <w:rPr>
          <w:lang w:val="en-US"/>
        </w:rPr>
        <w:t xml:space="preserve"> situation, direct </w:t>
      </w:r>
      <w:r w:rsidR="004B7D89" w:rsidRPr="00CF31E0">
        <w:rPr>
          <w:lang w:val="en-US"/>
        </w:rPr>
        <w:t xml:space="preserve">questions </w:t>
      </w:r>
      <w:r w:rsidR="00EE3134" w:rsidRPr="00CF31E0">
        <w:rPr>
          <w:lang w:val="en-US"/>
        </w:rPr>
        <w:t>were</w:t>
      </w:r>
      <w:r w:rsidR="00B15905" w:rsidRPr="00CF31E0">
        <w:rPr>
          <w:lang w:val="en-US"/>
        </w:rPr>
        <w:t xml:space="preserve"> asked about the perceived dominant dialect in Hijaz, the difference</w:t>
      </w:r>
      <w:r w:rsidR="004B7D89" w:rsidRPr="00CF31E0">
        <w:rPr>
          <w:lang w:val="en-US"/>
        </w:rPr>
        <w:t>s</w:t>
      </w:r>
      <w:r w:rsidR="00B15905" w:rsidRPr="00CF31E0">
        <w:rPr>
          <w:lang w:val="en-US"/>
        </w:rPr>
        <w:t xml:space="preserve"> perceived between the two dialects, the linguistic aspect</w:t>
      </w:r>
      <w:r w:rsidR="00EE3134" w:rsidRPr="00CF31E0">
        <w:rPr>
          <w:lang w:val="en-US"/>
        </w:rPr>
        <w:t>s</w:t>
      </w:r>
      <w:r w:rsidR="00B15905" w:rsidRPr="00CF31E0">
        <w:rPr>
          <w:lang w:val="en-US"/>
        </w:rPr>
        <w:t xml:space="preserve"> that differentiate the two dialects from each other, the </w:t>
      </w:r>
      <w:r w:rsidR="00EE3134" w:rsidRPr="00CF31E0">
        <w:rPr>
          <w:lang w:val="en-US"/>
        </w:rPr>
        <w:t xml:space="preserve">perceived </w:t>
      </w:r>
      <w:r w:rsidR="00B15905" w:rsidRPr="00CF31E0">
        <w:rPr>
          <w:lang w:val="en-US"/>
        </w:rPr>
        <w:t>resemblance between the Hadari dialect and other Arabic dialect</w:t>
      </w:r>
      <w:r w:rsidR="00EE3134" w:rsidRPr="00CF31E0">
        <w:rPr>
          <w:lang w:val="en-US"/>
        </w:rPr>
        <w:t>s</w:t>
      </w:r>
      <w:r w:rsidR="00B15905" w:rsidRPr="00CF31E0">
        <w:rPr>
          <w:lang w:val="en-US"/>
        </w:rPr>
        <w:t>, the effects of dialect contact on each other</w:t>
      </w:r>
      <w:r w:rsidR="00EE3134" w:rsidRPr="00CF31E0">
        <w:rPr>
          <w:lang w:val="en-US"/>
        </w:rPr>
        <w:t>’s</w:t>
      </w:r>
      <w:r w:rsidR="00B15905" w:rsidRPr="00CF31E0">
        <w:rPr>
          <w:lang w:val="en-US"/>
        </w:rPr>
        <w:t xml:space="preserve"> dialect, and finally the intermarriage phenomenon between the two group</w:t>
      </w:r>
      <w:r w:rsidR="00EE3134" w:rsidRPr="00CF31E0">
        <w:rPr>
          <w:lang w:val="en-US"/>
        </w:rPr>
        <w:t>s</w:t>
      </w:r>
      <w:r w:rsidR="00B15905" w:rsidRPr="00CF31E0">
        <w:rPr>
          <w:lang w:val="en-US"/>
        </w:rPr>
        <w:t xml:space="preserve"> as the latter phenomenon might play a significant role in understanding why certain </w:t>
      </w:r>
      <w:r w:rsidR="00D12E75" w:rsidRPr="00CF31E0">
        <w:rPr>
          <w:lang w:val="en-US"/>
        </w:rPr>
        <w:t>attitudes</w:t>
      </w:r>
      <w:r w:rsidR="00B15905" w:rsidRPr="00CF31E0">
        <w:rPr>
          <w:lang w:val="en-US"/>
        </w:rPr>
        <w:t xml:space="preserve"> emerge in a certain way. </w:t>
      </w:r>
      <w:r w:rsidR="002A0EF9" w:rsidRPr="00CF31E0">
        <w:rPr>
          <w:lang w:val="en-US"/>
        </w:rPr>
        <w:t xml:space="preserve">For more details of the methodology used for this part </w:t>
      </w:r>
      <w:r w:rsidR="00EE3134" w:rsidRPr="00CF31E0">
        <w:rPr>
          <w:lang w:val="en-US"/>
        </w:rPr>
        <w:t xml:space="preserve">of the study, </w:t>
      </w:r>
      <w:r w:rsidR="002A0EF9" w:rsidRPr="00CF31E0">
        <w:rPr>
          <w:lang w:val="en-US"/>
        </w:rPr>
        <w:t xml:space="preserve">see </w:t>
      </w:r>
      <w:r w:rsidR="00CE2B99" w:rsidRPr="00CF31E0">
        <w:rPr>
          <w:lang w:val="en-US"/>
        </w:rPr>
        <w:t>C</w:t>
      </w:r>
      <w:r w:rsidR="002A0EF9" w:rsidRPr="00CF31E0">
        <w:rPr>
          <w:lang w:val="en-US"/>
        </w:rPr>
        <w:t xml:space="preserve">hapter </w:t>
      </w:r>
      <w:r w:rsidR="002124ED" w:rsidRPr="00CF31E0">
        <w:rPr>
          <w:lang w:val="en-US"/>
        </w:rPr>
        <w:t xml:space="preserve">5, </w:t>
      </w:r>
      <w:r w:rsidR="002A0EF9" w:rsidRPr="00CF31E0">
        <w:rPr>
          <w:lang w:val="en-US"/>
        </w:rPr>
        <w:t>section</w:t>
      </w:r>
      <w:r w:rsidR="001779C1" w:rsidRPr="00CF31E0">
        <w:rPr>
          <w:lang w:val="en-US"/>
        </w:rPr>
        <w:t xml:space="preserve"> </w:t>
      </w:r>
      <w:r w:rsidR="002124ED" w:rsidRPr="00CF31E0">
        <w:rPr>
          <w:lang w:val="en-US"/>
        </w:rPr>
        <w:t>5</w:t>
      </w:r>
      <w:r w:rsidR="007924EF" w:rsidRPr="00CF31E0">
        <w:rPr>
          <w:lang w:val="en-US"/>
        </w:rPr>
        <w:t>.5.2.2</w:t>
      </w:r>
      <w:r w:rsidR="001779C1" w:rsidRPr="00CF31E0">
        <w:rPr>
          <w:lang w:val="en-US"/>
        </w:rPr>
        <w:t xml:space="preserve">. </w:t>
      </w:r>
    </w:p>
    <w:p w14:paraId="1233067D" w14:textId="7BBED702" w:rsidR="002A0EF9" w:rsidRPr="00CF31E0" w:rsidRDefault="0067770A" w:rsidP="00603CB7">
      <w:pPr>
        <w:pStyle w:val="Paragraph"/>
        <w:rPr>
          <w:lang w:val="en-US"/>
        </w:rPr>
      </w:pPr>
      <w:r w:rsidRPr="00CF31E0">
        <w:t xml:space="preserve">Having revealed </w:t>
      </w:r>
      <w:r w:rsidR="00EE3134" w:rsidRPr="00CF31E0">
        <w:t xml:space="preserve">a </w:t>
      </w:r>
      <w:r w:rsidRPr="00CF31E0">
        <w:t>broader picture of the linguistic situation in the region, I will move on to tap</w:t>
      </w:r>
      <w:r w:rsidR="00876F1D" w:rsidRPr="00CF31E0">
        <w:t>ping</w:t>
      </w:r>
      <w:r w:rsidRPr="00CF31E0">
        <w:t xml:space="preserve"> into overt stereotypical attitudes towards the two dialects, as the two dialects have </w:t>
      </w:r>
      <w:r w:rsidR="00EE3134" w:rsidRPr="00CF31E0">
        <w:t xml:space="preserve">a </w:t>
      </w:r>
      <w:r w:rsidRPr="00CF31E0">
        <w:t xml:space="preserve">complex historical background driven on </w:t>
      </w:r>
      <w:r w:rsidR="00EE3134" w:rsidRPr="00CF31E0">
        <w:t xml:space="preserve">the </w:t>
      </w:r>
      <w:r w:rsidRPr="00CF31E0">
        <w:t xml:space="preserve">one hand </w:t>
      </w:r>
      <w:r w:rsidR="00EE3134" w:rsidRPr="00CF31E0">
        <w:t xml:space="preserve">by the </w:t>
      </w:r>
      <w:r w:rsidRPr="00CF31E0">
        <w:t xml:space="preserve">historical significance of the region and on the other hand </w:t>
      </w:r>
      <w:r w:rsidR="00EE3134" w:rsidRPr="00CF31E0">
        <w:t xml:space="preserve">by </w:t>
      </w:r>
      <w:r w:rsidRPr="00CF31E0">
        <w:t xml:space="preserve">economic changes in the region as well. Therefore, I am interested </w:t>
      </w:r>
      <w:r w:rsidR="00EE3134" w:rsidRPr="00CF31E0">
        <w:t xml:space="preserve">in </w:t>
      </w:r>
      <w:r w:rsidRPr="00CF31E0">
        <w:t>reveal</w:t>
      </w:r>
      <w:r w:rsidR="00EE3134" w:rsidRPr="00CF31E0">
        <w:t>ing</w:t>
      </w:r>
      <w:r w:rsidRPr="00CF31E0">
        <w:t xml:space="preserve"> the most common characteristics that are associated with the </w:t>
      </w:r>
      <w:r w:rsidR="006004DA" w:rsidRPr="00CF31E0">
        <w:lastRenderedPageBreak/>
        <w:t xml:space="preserve">UBH and HH </w:t>
      </w:r>
      <w:r w:rsidRPr="00CF31E0">
        <w:t xml:space="preserve">dialects, and to reveal the dimensions behind the observed characteristics. Revealing </w:t>
      </w:r>
      <w:r w:rsidR="00EE3134" w:rsidRPr="00CF31E0">
        <w:t>t</w:t>
      </w:r>
      <w:r w:rsidRPr="00CF31E0">
        <w:t xml:space="preserve">he latent dimensions behind </w:t>
      </w:r>
      <w:r w:rsidR="00EE3134" w:rsidRPr="00CF31E0">
        <w:t xml:space="preserve">the </w:t>
      </w:r>
      <w:r w:rsidRPr="00CF31E0">
        <w:t xml:space="preserve">observed </w:t>
      </w:r>
      <w:r w:rsidR="00761F9D" w:rsidRPr="00CF31E0">
        <w:t>characteristics</w:t>
      </w:r>
      <w:r w:rsidRPr="00CF31E0">
        <w:t xml:space="preserve"> </w:t>
      </w:r>
      <w:r w:rsidR="00EE3134" w:rsidRPr="00CF31E0">
        <w:t xml:space="preserve">of </w:t>
      </w:r>
      <w:r w:rsidR="00761F9D" w:rsidRPr="00CF31E0">
        <w:t xml:space="preserve">the two dialects </w:t>
      </w:r>
      <w:r w:rsidRPr="00CF31E0">
        <w:t xml:space="preserve">will be invaluable </w:t>
      </w:r>
      <w:r w:rsidR="00EE3134" w:rsidRPr="00CF31E0">
        <w:t>for</w:t>
      </w:r>
      <w:r w:rsidRPr="00CF31E0">
        <w:t xml:space="preserve"> the present study</w:t>
      </w:r>
      <w:r w:rsidR="006C2188" w:rsidRPr="00CF31E0">
        <w:t>.</w:t>
      </w:r>
      <w:r w:rsidRPr="00CF31E0">
        <w:t xml:space="preserve"> </w:t>
      </w:r>
      <w:r w:rsidR="006C2188" w:rsidRPr="00CF31E0">
        <w:t>B</w:t>
      </w:r>
      <w:r w:rsidR="00761F9D" w:rsidRPr="00CF31E0">
        <w:t xml:space="preserve">roader latent </w:t>
      </w:r>
      <w:r w:rsidR="006C2188" w:rsidRPr="00CF31E0">
        <w:t xml:space="preserve">dimensions </w:t>
      </w:r>
      <w:r w:rsidR="00761F9D" w:rsidRPr="00CF31E0">
        <w:t>can conf</w:t>
      </w:r>
      <w:r w:rsidR="008266A2" w:rsidRPr="00CF31E0">
        <w:t>i</w:t>
      </w:r>
      <w:r w:rsidR="00761F9D" w:rsidRPr="00CF31E0">
        <w:t>rm or contradict the ideological</w:t>
      </w:r>
      <w:r w:rsidR="008266A2" w:rsidRPr="00CF31E0">
        <w:t>ly</w:t>
      </w:r>
      <w:r w:rsidR="00761F9D" w:rsidRPr="00CF31E0">
        <w:t xml:space="preserve"> dichotomous nature of the two dialect</w:t>
      </w:r>
      <w:r w:rsidR="006C2188" w:rsidRPr="00CF31E0">
        <w:t>s</w:t>
      </w:r>
      <w:r w:rsidR="00761F9D" w:rsidRPr="00CF31E0">
        <w:t xml:space="preserve"> which emerged from historical, religious, economic and social changes in </w:t>
      </w:r>
      <w:r w:rsidR="006C2188" w:rsidRPr="00CF31E0">
        <w:t xml:space="preserve">the </w:t>
      </w:r>
      <w:r w:rsidR="00761F9D" w:rsidRPr="00CF31E0">
        <w:t xml:space="preserve">Hijaz region. </w:t>
      </w:r>
      <w:r w:rsidR="002A0EF9" w:rsidRPr="00CF31E0">
        <w:rPr>
          <w:lang w:val="en-US"/>
        </w:rPr>
        <w:t xml:space="preserve">For more details of the methodology used </w:t>
      </w:r>
      <w:r w:rsidR="005A007A" w:rsidRPr="00CF31E0">
        <w:rPr>
          <w:lang w:val="en-US"/>
        </w:rPr>
        <w:t xml:space="preserve">in </w:t>
      </w:r>
      <w:r w:rsidR="002A0EF9" w:rsidRPr="00CF31E0">
        <w:rPr>
          <w:lang w:val="en-US"/>
        </w:rPr>
        <w:t>this part</w:t>
      </w:r>
      <w:r w:rsidR="006C2188" w:rsidRPr="00CF31E0">
        <w:rPr>
          <w:lang w:val="en-US"/>
        </w:rPr>
        <w:t xml:space="preserve"> of the study,</w:t>
      </w:r>
      <w:r w:rsidR="002A0EF9" w:rsidRPr="00CF31E0">
        <w:rPr>
          <w:lang w:val="en-US"/>
        </w:rPr>
        <w:t xml:space="preserve"> see </w:t>
      </w:r>
      <w:r w:rsidR="00CE2B99" w:rsidRPr="00CF31E0">
        <w:rPr>
          <w:lang w:val="en-US"/>
        </w:rPr>
        <w:t>C</w:t>
      </w:r>
      <w:r w:rsidR="002A0EF9" w:rsidRPr="00CF31E0">
        <w:rPr>
          <w:lang w:val="en-US"/>
        </w:rPr>
        <w:t xml:space="preserve">hapter </w:t>
      </w:r>
      <w:r w:rsidR="002124ED" w:rsidRPr="00CF31E0">
        <w:rPr>
          <w:lang w:val="en-US"/>
        </w:rPr>
        <w:t xml:space="preserve">5, </w:t>
      </w:r>
      <w:r w:rsidR="002A0EF9" w:rsidRPr="00CF31E0">
        <w:rPr>
          <w:lang w:val="en-US"/>
        </w:rPr>
        <w:t>section</w:t>
      </w:r>
      <w:r w:rsidR="001779C1" w:rsidRPr="00CF31E0">
        <w:rPr>
          <w:lang w:val="en-US"/>
        </w:rPr>
        <w:t xml:space="preserve"> </w:t>
      </w:r>
      <w:r w:rsidR="002124ED" w:rsidRPr="00CF31E0">
        <w:rPr>
          <w:lang w:val="en-US"/>
        </w:rPr>
        <w:t>5</w:t>
      </w:r>
      <w:r w:rsidR="001779C1" w:rsidRPr="00CF31E0">
        <w:rPr>
          <w:lang w:val="en-US"/>
        </w:rPr>
        <w:t>.5.2.3.</w:t>
      </w:r>
    </w:p>
    <w:p w14:paraId="3B691204" w14:textId="53023298" w:rsidR="002A0EF9" w:rsidRPr="00CF31E0" w:rsidRDefault="005A256A" w:rsidP="00603CB7">
      <w:pPr>
        <w:pStyle w:val="Paragraph"/>
        <w:rPr>
          <w:lang w:val="en-US"/>
        </w:rPr>
      </w:pPr>
      <w:r w:rsidRPr="00CF31E0">
        <w:t>A</w:t>
      </w:r>
      <w:r w:rsidR="00876F1D" w:rsidRPr="00CF31E0">
        <w:t xml:space="preserve">fter revealing the overt stereotypical attitudes with regard to </w:t>
      </w:r>
      <w:r w:rsidR="006C2188" w:rsidRPr="00CF31E0">
        <w:t xml:space="preserve">the characteristics of </w:t>
      </w:r>
      <w:r w:rsidR="00876F1D" w:rsidRPr="00CF31E0">
        <w:t>each dialect</w:t>
      </w:r>
      <w:r w:rsidR="006C2188" w:rsidRPr="00CF31E0">
        <w:t>,</w:t>
      </w:r>
      <w:r w:rsidR="00876F1D" w:rsidRPr="00CF31E0">
        <w:t xml:space="preserve"> </w:t>
      </w:r>
      <w:r w:rsidR="006C2188" w:rsidRPr="00CF31E0">
        <w:t>the focus will move to revealing</w:t>
      </w:r>
      <w:r w:rsidR="00876F1D" w:rsidRPr="00CF31E0">
        <w:t xml:space="preserve"> </w:t>
      </w:r>
      <w:r w:rsidR="006C2188" w:rsidRPr="00CF31E0">
        <w:t>more deep-rooted</w:t>
      </w:r>
      <w:r w:rsidR="00876F1D" w:rsidRPr="00CF31E0">
        <w:t xml:space="preserve"> stereotypical views. In other words, I am interested to </w:t>
      </w:r>
      <w:r w:rsidR="008B257B" w:rsidRPr="00CF31E0">
        <w:t xml:space="preserve">ascertain </w:t>
      </w:r>
      <w:r w:rsidR="006C2188" w:rsidRPr="00CF31E0">
        <w:t xml:space="preserve">whether </w:t>
      </w:r>
      <w:r w:rsidR="00876F1D" w:rsidRPr="00CF31E0">
        <w:t xml:space="preserve">Hijazi people </w:t>
      </w:r>
      <w:r w:rsidR="006C2188" w:rsidRPr="00CF31E0">
        <w:t xml:space="preserve">can </w:t>
      </w:r>
      <w:r w:rsidR="00876F1D" w:rsidRPr="00CF31E0">
        <w:t xml:space="preserve">identify </w:t>
      </w:r>
      <w:r w:rsidR="006004DA" w:rsidRPr="00CF31E0">
        <w:t xml:space="preserve">UBH and HH </w:t>
      </w:r>
      <w:r w:rsidR="00876F1D" w:rsidRPr="00CF31E0">
        <w:t>dialects as distinctive dialects</w:t>
      </w:r>
      <w:r w:rsidR="006C2188" w:rsidRPr="00CF31E0">
        <w:t>.</w:t>
      </w:r>
      <w:r w:rsidR="007C74D0" w:rsidRPr="00CF31E0">
        <w:t xml:space="preserve"> </w:t>
      </w:r>
      <w:r w:rsidR="006C2188" w:rsidRPr="00CF31E0">
        <w:t>If so,</w:t>
      </w:r>
      <w:r w:rsidR="007C74D0" w:rsidRPr="00CF31E0">
        <w:t xml:space="preserve"> what are the factors that affect their perceptions</w:t>
      </w:r>
      <w:r w:rsidR="005A007A" w:rsidRPr="00CF31E0">
        <w:t xml:space="preserve">: </w:t>
      </w:r>
      <w:r w:rsidR="007C74D0" w:rsidRPr="00CF31E0">
        <w:t>linguistic or metalinguistic factors?</w:t>
      </w:r>
      <w:r w:rsidR="00876F1D" w:rsidRPr="00CF31E0">
        <w:t xml:space="preserve"> </w:t>
      </w:r>
      <w:r w:rsidR="002A0EF9" w:rsidRPr="00CF31E0">
        <w:rPr>
          <w:lang w:val="en-US"/>
        </w:rPr>
        <w:t xml:space="preserve">For more details of the methodology used </w:t>
      </w:r>
      <w:r w:rsidR="005A007A" w:rsidRPr="00CF31E0">
        <w:rPr>
          <w:lang w:val="en-US"/>
        </w:rPr>
        <w:t xml:space="preserve">in </w:t>
      </w:r>
      <w:r w:rsidR="002A0EF9" w:rsidRPr="00CF31E0">
        <w:rPr>
          <w:lang w:val="en-US"/>
        </w:rPr>
        <w:t xml:space="preserve">this part </w:t>
      </w:r>
      <w:r w:rsidR="005A007A" w:rsidRPr="00CF31E0">
        <w:rPr>
          <w:lang w:val="en-US"/>
        </w:rPr>
        <w:t xml:space="preserve">of the study, </w:t>
      </w:r>
      <w:r w:rsidR="002A0EF9" w:rsidRPr="00CF31E0">
        <w:rPr>
          <w:lang w:val="en-US"/>
        </w:rPr>
        <w:t xml:space="preserve">see </w:t>
      </w:r>
      <w:r w:rsidR="00CE2B99" w:rsidRPr="00CF31E0">
        <w:rPr>
          <w:lang w:val="en-US"/>
        </w:rPr>
        <w:t>C</w:t>
      </w:r>
      <w:r w:rsidR="002A0EF9" w:rsidRPr="00CF31E0">
        <w:rPr>
          <w:lang w:val="en-US"/>
        </w:rPr>
        <w:t xml:space="preserve">hapter </w:t>
      </w:r>
      <w:r w:rsidR="002124ED" w:rsidRPr="00CF31E0">
        <w:rPr>
          <w:lang w:val="en-US"/>
        </w:rPr>
        <w:t>5</w:t>
      </w:r>
      <w:r w:rsidR="009258B3" w:rsidRPr="00CF31E0">
        <w:rPr>
          <w:lang w:val="en-US"/>
        </w:rPr>
        <w:t>,</w:t>
      </w:r>
      <w:r w:rsidR="002124ED" w:rsidRPr="00CF31E0">
        <w:rPr>
          <w:lang w:val="en-US"/>
        </w:rPr>
        <w:t xml:space="preserve"> </w:t>
      </w:r>
      <w:r w:rsidR="002A0EF9" w:rsidRPr="00CF31E0">
        <w:rPr>
          <w:lang w:val="en-US"/>
        </w:rPr>
        <w:t>section</w:t>
      </w:r>
      <w:r w:rsidR="001779C1" w:rsidRPr="00CF31E0">
        <w:rPr>
          <w:lang w:val="en-US"/>
        </w:rPr>
        <w:t xml:space="preserve"> </w:t>
      </w:r>
      <w:r w:rsidR="002124ED" w:rsidRPr="00CF31E0">
        <w:rPr>
          <w:lang w:val="en-US"/>
        </w:rPr>
        <w:t>5</w:t>
      </w:r>
      <w:r w:rsidR="001779C1" w:rsidRPr="00CF31E0">
        <w:rPr>
          <w:lang w:val="en-US"/>
        </w:rPr>
        <w:t>.5.2.4.</w:t>
      </w:r>
    </w:p>
    <w:p w14:paraId="4C8F96C2" w14:textId="165BCDAF" w:rsidR="00D86F38" w:rsidRPr="00CF31E0" w:rsidRDefault="002124ED" w:rsidP="0061369D">
      <w:pPr>
        <w:pStyle w:val="Ahead"/>
      </w:pPr>
      <w:bookmarkStart w:id="131" w:name="_Toc511728083"/>
      <w:bookmarkStart w:id="132" w:name="_Toc6472636"/>
      <w:r w:rsidRPr="00CF31E0">
        <w:t>2</w:t>
      </w:r>
      <w:r w:rsidR="00E87B16" w:rsidRPr="00CF31E0">
        <w:t>.18.</w:t>
      </w:r>
      <w:r w:rsidR="00E87B16" w:rsidRPr="00CF31E0">
        <w:tab/>
      </w:r>
      <w:r w:rsidR="00D86F38" w:rsidRPr="00CF31E0">
        <w:t>Conclusion</w:t>
      </w:r>
      <w:bookmarkEnd w:id="131"/>
      <w:bookmarkEnd w:id="132"/>
      <w:r w:rsidR="00D86F38" w:rsidRPr="00CF31E0">
        <w:t xml:space="preserve"> </w:t>
      </w:r>
    </w:p>
    <w:p w14:paraId="12A69968" w14:textId="6FBF7521" w:rsidR="00880C1E" w:rsidRPr="00CF31E0" w:rsidRDefault="00D86F38" w:rsidP="00603CB7">
      <w:pPr>
        <w:pStyle w:val="Paragraph"/>
        <w:rPr>
          <w:lang w:val="en-US"/>
        </w:rPr>
      </w:pPr>
      <w:r w:rsidRPr="00CF31E0">
        <w:t xml:space="preserve">This chapter has provided </w:t>
      </w:r>
      <w:r w:rsidR="00FB004C" w:rsidRPr="00CF31E0">
        <w:t xml:space="preserve">religious, </w:t>
      </w:r>
      <w:r w:rsidRPr="00CF31E0">
        <w:t>historical, economic and social background information on SA</w:t>
      </w:r>
      <w:r w:rsidR="00F30C5B" w:rsidRPr="00CF31E0">
        <w:t xml:space="preserve"> in general and </w:t>
      </w:r>
      <w:r w:rsidR="005A007A" w:rsidRPr="00CF31E0">
        <w:t xml:space="preserve">the </w:t>
      </w:r>
      <w:r w:rsidR="00F30C5B" w:rsidRPr="00CF31E0">
        <w:t>Hijaz region in particular</w:t>
      </w:r>
      <w:r w:rsidRPr="00CF31E0">
        <w:t xml:space="preserve">. Furthermore, factors that affected the urbanization process have been examined </w:t>
      </w:r>
      <w:r w:rsidR="005A007A" w:rsidRPr="00CF31E0">
        <w:t>in detail</w:t>
      </w:r>
      <w:r w:rsidRPr="00CF31E0">
        <w:t xml:space="preserve">. </w:t>
      </w:r>
      <w:r w:rsidR="005A007A" w:rsidRPr="00CF31E0">
        <w:t xml:space="preserve">It is evident that </w:t>
      </w:r>
      <w:r w:rsidRPr="00CF31E0">
        <w:t xml:space="preserve">oil wealth and its consequences, such as the new professions in </w:t>
      </w:r>
      <w:r w:rsidR="005A007A" w:rsidRPr="00CF31E0">
        <w:t xml:space="preserve">the </w:t>
      </w:r>
      <w:r w:rsidRPr="00CF31E0">
        <w:t>cities and the higher standard of city life</w:t>
      </w:r>
      <w:r w:rsidR="00680717" w:rsidRPr="00CF31E0">
        <w:t>,</w:t>
      </w:r>
      <w:r w:rsidRPr="00CF31E0">
        <w:t xml:space="preserve"> along with </w:t>
      </w:r>
      <w:r w:rsidRPr="00CF31E0">
        <w:rPr>
          <w:lang w:val="en-US"/>
        </w:rPr>
        <w:t xml:space="preserve">the new modes of transportation (i.e. air travel) </w:t>
      </w:r>
      <w:r w:rsidRPr="00CF31E0">
        <w:rPr>
          <w:lang w:val="en-US"/>
        </w:rPr>
        <w:fldChar w:fldCharType="begin"/>
      </w:r>
      <w:r w:rsidR="00A54129" w:rsidRPr="00CF31E0">
        <w:rPr>
          <w:lang w:val="en-US"/>
        </w:rPr>
        <w:instrText xml:space="preserve"> ADDIN ZOTERO_ITEM CSL_CITATION {"citationID":"11bt1v3l52","properties":{"formattedCitation":"(al-Rasheed, 2010; S. Hamdan, 1990; Vassiliev, 2000)","plainCitation":"(al-Rasheed, 2010; S. Hamdan, 1990; Vassiliev, 2000)","noteIndex":0},"citationItems":[{"id":"wgwhcNH1/PeVclgNQ","uris":["http://zotero.org/users/1939618/items/4V825KW6"],"uri":["http://zotero.org/users/1939618/items/4V825KW6"],"itemData":{"id":99,"type":"book","title":"A History of Saudi Arabia","publisher":"Cambridge University Press","number-of-pages":"343","source":"Google Books","abstract":"This updated edition analyses the challenges, both internal and external, facing Saudi Arabia in the twenty-first century. Two new chapters discuss the political, economic and social developments in the aftermath of 9/11, painting a vivid picture of a country shocked by terrorism and condemned by the international community. Madawi Al-Rasheed reveals that fragmentation of royal politics, a failing economy and fermenting Islamist dissent posed serious threats to state and society in 2001. She assesses the consequent state reforms introduced under pressure of terrorism, international scrutiny and a social mobilisation of men, women and minorities struggling to shape their future against a background of repression and authoritarian rule. While Saudi Arabia is still far from establishing a fourth state, there are signs that the people are ready for a serious change that will lead them to a state of institutions rather than princes.","ISBN":"978-0-521-76128-4","language":"en","author":[{"family":"Rasheed","given":"Madawi","non-dropping-particle":"al-"}],"issued":{"date-parts":[["2010",4,1]]}},"label":"page"},{"id":200,"uris":["http://zotero.org/users/1939618/items/N5XRP2MU"],"uri":["http://zotero.org/users/1939618/items/N5XRP2MU"],"itemData":{"id":200,"type":"thesis","title":"Social change in the Saudi family (doctoral dissertation","publisher":"Iowa state University","source":"Google Scholar","URL":"http://lib.dr.iastate.edu/rtd/11187/","author":[{"family":"Hamdan","given":"Saeed"}],"issued":{"date-parts":[["1990"]]},"accessed":{"date-parts":[["2015",12,6]]}},"label":"page"},{"id":173,"uris":["http://zotero.org/users/1939618/items/6I5BC846"],"uri":["http://zotero.org/users/1939618/items/6I5BC846"],"itemData":{"id":173,"type":"book","title":"The History of Saudi Arabia","publisher":"Saqi","publisher-place":"London","source":"Google Scholar","event-place":"London","URL":"https://books.google.co.uk/books?hl=en&amp;lr=&amp;id=lEIhBQAAQBAJ&amp;oi=fnd&amp;pg=PT4&amp;dq=Vassiliev,+A.+(2013).+The+History+of+Saudi+Arabia.+London,+Saqi+books.+&amp;ots=KPwVsHcASb&amp;sig=oVibAvTA79h5vqAaHDXY7YS9H7I","author":[{"family":"Vassiliev","given":"Alexei"}],"issued":{"date-parts":[["2000"]]},"accessed":{"date-parts":[["2015",9,28]]}},"label":"page"}],"schema":"https://github.com/citation-style-language/schema/raw/master/csl-citation.json"} </w:instrText>
      </w:r>
      <w:r w:rsidRPr="00CF31E0">
        <w:rPr>
          <w:lang w:val="en-US"/>
        </w:rPr>
        <w:fldChar w:fldCharType="separate"/>
      </w:r>
      <w:r w:rsidR="00EA159E" w:rsidRPr="00CF31E0">
        <w:rPr>
          <w:noProof/>
          <w:lang w:val="en-US"/>
        </w:rPr>
        <w:t>(</w:t>
      </w:r>
      <w:r w:rsidR="00A54129" w:rsidRPr="00CF31E0">
        <w:rPr>
          <w:noProof/>
          <w:lang w:val="en-US"/>
        </w:rPr>
        <w:t>Hamdan, 1990; Vassiliev, 2000)</w:t>
      </w:r>
      <w:r w:rsidRPr="00CF31E0">
        <w:rPr>
          <w:lang w:val="en-US"/>
        </w:rPr>
        <w:fldChar w:fldCharType="end"/>
      </w:r>
      <w:r w:rsidR="002F4FA5" w:rsidRPr="00CF31E0">
        <w:rPr>
          <w:lang w:val="en-US"/>
        </w:rPr>
        <w:t xml:space="preserve">, led to rapid </w:t>
      </w:r>
      <w:r w:rsidR="00947EC0" w:rsidRPr="00CF31E0">
        <w:rPr>
          <w:lang w:val="en-US"/>
        </w:rPr>
        <w:t>urbanization</w:t>
      </w:r>
      <w:r w:rsidRPr="00CF31E0">
        <w:rPr>
          <w:lang w:val="en-US"/>
        </w:rPr>
        <w:t xml:space="preserve"> in the </w:t>
      </w:r>
      <w:r w:rsidR="00F2472B" w:rsidRPr="00CF31E0">
        <w:rPr>
          <w:lang w:val="en-US"/>
        </w:rPr>
        <w:t>country</w:t>
      </w:r>
      <w:r w:rsidRPr="00CF31E0">
        <w:rPr>
          <w:lang w:val="en-US"/>
        </w:rPr>
        <w:t xml:space="preserve">. </w:t>
      </w:r>
      <w:r w:rsidR="006805C0" w:rsidRPr="00CF31E0">
        <w:t>T</w:t>
      </w:r>
      <w:r w:rsidRPr="00CF31E0">
        <w:t xml:space="preserve">he urbanization process occurred over a very short period of time and affected all aspects of life. The social aspect of change was a complicated one and resulted in creating different identities within </w:t>
      </w:r>
      <w:r w:rsidR="00680717" w:rsidRPr="00CF31E0">
        <w:t xml:space="preserve">the </w:t>
      </w:r>
      <w:r w:rsidRPr="00CF31E0">
        <w:t>social structure of SA</w:t>
      </w:r>
      <w:r w:rsidR="00680717" w:rsidRPr="00CF31E0">
        <w:t xml:space="preserve"> </w:t>
      </w:r>
      <w:r w:rsidRPr="00CF31E0">
        <w:fldChar w:fldCharType="begin"/>
      </w:r>
      <w:r w:rsidR="00A54129" w:rsidRPr="00CF31E0">
        <w:instrText xml:space="preserve"> ADDIN ZOTERO_ITEM CSL_CITATION {"citationID":"0MYDVnpW","properties":{"formattedCitation":"(Al-Hathloul &amp; Aslam Mughal, 1999b)","plainCitation":"(Al-Hathloul &amp; Aslam Mughal, 1999b)","dontUpdate":true,"noteIndex":0},"citationItems":[{"id":"wgwhcNH1/jpGkFIL1","uris":["http://zotero.org/users/1939618/items/SUTSN9UZ"],"uri":["http://zotero.org/users/1939618/items/SUTSN9UZ"],"itemData":{"id":406,"type":"article-journal","title":"Creating identity in new communities: case studies from Saudi Arabia","container-title":"Landscape and Urban Planning","page":"199–218","volume":"44","issue":"4","source":"find.shef.ac.uk","abstract":"Community identity is considered a desirable goal for various reasons. This paper traces the impact of rapid and unprecedented urbanization on the structure of Saudi cities by taking the example of a small town, Al-Badai in the Riyadh region. It points out how existing towns are struggling to regain their character through a number of methods including the provision of planning frameworks and the creation of new city centers. The paper discusses the creation of identity in the two new communities of Diplomatic Quarter, within Metropolitan Riyadh and Yanbu, the new industrial city on the Red Sea in the Western region. The paper describes how site exploitation, architecture of public buildings and housing employing the principles of traditional Saudi settlements, and landscape architecture with local trees and shrubs have been used in creating community identity. The use of hierarchy of mosques due to their frequent dotting of urban landscape as nodes and landmarks has been identified as a special feature of these communities. The paper brings out the roles of administrative structure and comprehensive planning approach in a centralized system of government for creating community identity.","DOI":"10.1016/S0169-2046(99)00010-9","ISSN":"0169-2046","shortTitle":"Creating identity in new communities","language":"eng","author":[{"family":"Al-Hathloul","given":"Saleh"},{"family":"Aslam Mughal","given":"Muhammad"}],"issued":{"date-parts":[["1999"]]}}}],"schema":"https://github.com/citation-style-language/schema/raw/master/csl-citation.json"} </w:instrText>
      </w:r>
      <w:r w:rsidRPr="00CF31E0">
        <w:fldChar w:fldCharType="separate"/>
      </w:r>
      <w:r w:rsidRPr="00CF31E0">
        <w:rPr>
          <w:rFonts w:eastAsia="Times New Roman" w:hAnsiTheme="majorHAnsi"/>
        </w:rPr>
        <w:t xml:space="preserve">(Al-Hathloul &amp; Mughal, </w:t>
      </w:r>
      <w:r w:rsidR="004E0A64" w:rsidRPr="00CF31E0">
        <w:rPr>
          <w:rFonts w:eastAsia="Times New Roman" w:hAnsiTheme="majorHAnsi"/>
        </w:rPr>
        <w:t>1999</w:t>
      </w:r>
      <w:r w:rsidRPr="00CF31E0">
        <w:rPr>
          <w:rFonts w:eastAsia="Times New Roman" w:hAnsiTheme="majorHAnsi"/>
        </w:rPr>
        <w:t>)</w:t>
      </w:r>
      <w:r w:rsidRPr="00CF31E0">
        <w:fldChar w:fldCharType="end"/>
      </w:r>
      <w:r w:rsidRPr="00CF31E0">
        <w:t xml:space="preserve">. </w:t>
      </w:r>
      <w:r w:rsidR="002F4FA5" w:rsidRPr="00CF31E0">
        <w:t xml:space="preserve">With regard to </w:t>
      </w:r>
      <w:r w:rsidR="00680717" w:rsidRPr="00CF31E0">
        <w:t xml:space="preserve">the </w:t>
      </w:r>
      <w:r w:rsidR="002F4FA5" w:rsidRPr="00CF31E0">
        <w:t xml:space="preserve">Hijaz region, on </w:t>
      </w:r>
      <w:r w:rsidR="00680717" w:rsidRPr="00CF31E0">
        <w:t xml:space="preserve">the </w:t>
      </w:r>
      <w:r w:rsidR="002F4FA5" w:rsidRPr="00CF31E0">
        <w:t>one hand the historical significance of the region prompted pilgrims to settle in Hijaz</w:t>
      </w:r>
      <w:r w:rsidR="00680717" w:rsidRPr="00CF31E0">
        <w:t>,</w:t>
      </w:r>
      <w:r w:rsidR="00FB004C" w:rsidRPr="00CF31E0">
        <w:t xml:space="preserve"> </w:t>
      </w:r>
      <w:r w:rsidR="002F4FA5" w:rsidRPr="00CF31E0">
        <w:t xml:space="preserve">on the other hand, the rapid urbanization in SA prompted rural Bedouins to settle in urban </w:t>
      </w:r>
      <w:r w:rsidR="00947EC0" w:rsidRPr="00CF31E0">
        <w:t>centres</w:t>
      </w:r>
      <w:r w:rsidR="002F4FA5" w:rsidRPr="00CF31E0">
        <w:t xml:space="preserve"> and </w:t>
      </w:r>
      <w:r w:rsidR="00680717" w:rsidRPr="00CF31E0">
        <w:t xml:space="preserve">it </w:t>
      </w:r>
      <w:r w:rsidR="002F4FA5" w:rsidRPr="00CF31E0">
        <w:t xml:space="preserve">even attracted more pilgrims to settle in Hijaz. </w:t>
      </w:r>
      <w:r w:rsidRPr="00CF31E0">
        <w:t xml:space="preserve">As a result, </w:t>
      </w:r>
      <w:r w:rsidR="002F4FA5" w:rsidRPr="00CF31E0">
        <w:t xml:space="preserve">a dichotomous social structure has emerged in </w:t>
      </w:r>
      <w:r w:rsidR="00680717" w:rsidRPr="00CF31E0">
        <w:t xml:space="preserve">the </w:t>
      </w:r>
      <w:r w:rsidR="002F4FA5" w:rsidRPr="00CF31E0">
        <w:t xml:space="preserve">Hijaz region. </w:t>
      </w:r>
      <w:r w:rsidR="006805C0" w:rsidRPr="00CF31E0">
        <w:lastRenderedPageBreak/>
        <w:t>T</w:t>
      </w:r>
      <w:r w:rsidR="002F4FA5" w:rsidRPr="00CF31E0">
        <w:t>he research questions</w:t>
      </w:r>
      <w:r w:rsidR="00680717" w:rsidRPr="00CF31E0">
        <w:t xml:space="preserve"> of the present study have been</w:t>
      </w:r>
      <w:r w:rsidR="002F4FA5" w:rsidRPr="00CF31E0">
        <w:t xml:space="preserve"> chosen to investigate to what extent the aforementioned factors affect people’s perceptions and attitudes towards their dialect. In the following chapter, I will re</w:t>
      </w:r>
      <w:r w:rsidR="008E2D6B" w:rsidRPr="00CF31E0">
        <w:t>view the main dialectology studies</w:t>
      </w:r>
      <w:r w:rsidR="002F4FA5" w:rsidRPr="00CF31E0">
        <w:t xml:space="preserve"> in </w:t>
      </w:r>
      <w:r w:rsidR="00A25EC7" w:rsidRPr="00CF31E0">
        <w:t xml:space="preserve">a </w:t>
      </w:r>
      <w:r w:rsidR="002F4FA5" w:rsidRPr="00CF31E0">
        <w:t>literature review</w:t>
      </w:r>
      <w:r w:rsidR="00A25EC7" w:rsidRPr="00CF31E0">
        <w:t xml:space="preserve"> of studies conducted </w:t>
      </w:r>
      <w:r w:rsidR="006805C0" w:rsidRPr="00CF31E0">
        <w:t>on</w:t>
      </w:r>
      <w:r w:rsidR="00A25EC7" w:rsidRPr="00CF31E0">
        <w:t xml:space="preserve"> SA</w:t>
      </w:r>
      <w:r w:rsidR="002F4FA5" w:rsidRPr="00CF31E0">
        <w:t xml:space="preserve">. </w:t>
      </w:r>
    </w:p>
    <w:p w14:paraId="506BC26F" w14:textId="77777777" w:rsidR="00160CC4" w:rsidRPr="00CF31E0" w:rsidRDefault="00160CC4" w:rsidP="00160CC4">
      <w:pPr>
        <w:spacing w:line="360" w:lineRule="auto"/>
        <w:jc w:val="both"/>
        <w:rPr>
          <w:rFonts w:asciiTheme="majorBidi" w:hAnsiTheme="majorBidi" w:cstheme="majorBidi"/>
          <w:color w:val="000000" w:themeColor="text1"/>
          <w:lang w:val="en-US"/>
        </w:rPr>
        <w:sectPr w:rsidR="00160CC4" w:rsidRPr="00CF31E0" w:rsidSect="00232032">
          <w:pgSz w:w="11900" w:h="16840"/>
          <w:pgMar w:top="1440" w:right="2268" w:bottom="1440" w:left="2268" w:header="709" w:footer="709" w:gutter="0"/>
          <w:pgNumType w:start="0"/>
          <w:cols w:space="708"/>
          <w:docGrid w:linePitch="360"/>
        </w:sectPr>
      </w:pPr>
    </w:p>
    <w:p w14:paraId="1AAF726F" w14:textId="402728F0" w:rsidR="00160CC4" w:rsidRPr="00CF31E0" w:rsidRDefault="00160CC4" w:rsidP="00603CB7">
      <w:pPr>
        <w:pStyle w:val="Title"/>
        <w:spacing w:after="500"/>
        <w:contextualSpacing w:val="0"/>
        <w:rPr>
          <w:rFonts w:eastAsia="Times New Roman"/>
          <w:color w:val="000000" w:themeColor="text1"/>
          <w:lang w:eastAsia="en-US"/>
        </w:rPr>
      </w:pPr>
      <w:bookmarkStart w:id="133" w:name="_Toc6472637"/>
      <w:r w:rsidRPr="00CF31E0">
        <w:rPr>
          <w:rFonts w:eastAsia="Times New Roman"/>
          <w:color w:val="000000" w:themeColor="text1"/>
          <w:lang w:eastAsia="en-US"/>
        </w:rPr>
        <w:lastRenderedPageBreak/>
        <w:t xml:space="preserve">Chapter </w:t>
      </w:r>
      <w:r w:rsidR="00AE350D" w:rsidRPr="00CF31E0">
        <w:rPr>
          <w:rFonts w:eastAsia="Times New Roman"/>
          <w:color w:val="000000" w:themeColor="text1"/>
          <w:lang w:eastAsia="en-US"/>
        </w:rPr>
        <w:t>3</w:t>
      </w:r>
      <w:r w:rsidR="00E87B16" w:rsidRPr="00CF31E0">
        <w:rPr>
          <w:rFonts w:eastAsia="Times New Roman"/>
          <w:color w:val="000000" w:themeColor="text1"/>
          <w:lang w:eastAsia="en-US"/>
        </w:rPr>
        <w:t xml:space="preserve">: </w:t>
      </w:r>
      <w:r w:rsidRPr="00CF31E0">
        <w:rPr>
          <w:rFonts w:eastAsia="Times New Roman"/>
          <w:color w:val="000000" w:themeColor="text1"/>
          <w:lang w:eastAsia="en-US"/>
        </w:rPr>
        <w:t xml:space="preserve">The </w:t>
      </w:r>
      <w:r w:rsidR="009136E1" w:rsidRPr="00CF31E0">
        <w:rPr>
          <w:rFonts w:eastAsia="Times New Roman"/>
          <w:color w:val="000000" w:themeColor="text1"/>
          <w:lang w:eastAsia="en-US"/>
        </w:rPr>
        <w:t>d</w:t>
      </w:r>
      <w:r w:rsidRPr="00CF31E0">
        <w:rPr>
          <w:rFonts w:eastAsia="Times New Roman"/>
          <w:color w:val="000000" w:themeColor="text1"/>
          <w:lang w:eastAsia="en-US"/>
        </w:rPr>
        <w:t xml:space="preserve">ialect </w:t>
      </w:r>
      <w:r w:rsidR="009136E1" w:rsidRPr="00CF31E0">
        <w:rPr>
          <w:rFonts w:eastAsia="Times New Roman"/>
          <w:color w:val="000000" w:themeColor="text1"/>
          <w:lang w:eastAsia="en-US"/>
        </w:rPr>
        <w:t>s</w:t>
      </w:r>
      <w:r w:rsidRPr="00CF31E0">
        <w:rPr>
          <w:rFonts w:eastAsia="Times New Roman"/>
          <w:color w:val="000000" w:themeColor="text1"/>
          <w:lang w:eastAsia="en-US"/>
        </w:rPr>
        <w:t>ituation in Saudi Arabia</w:t>
      </w:r>
      <w:bookmarkEnd w:id="133"/>
    </w:p>
    <w:p w14:paraId="5C02231D" w14:textId="395A520F" w:rsidR="00160CC4" w:rsidRPr="00CF31E0" w:rsidRDefault="00AE350D" w:rsidP="00E87209">
      <w:pPr>
        <w:pStyle w:val="Ahead"/>
        <w:rPr>
          <w:rFonts w:eastAsia="Times New Roman"/>
        </w:rPr>
      </w:pPr>
      <w:bookmarkStart w:id="134" w:name="_Toc411431469"/>
      <w:bookmarkStart w:id="135" w:name="_Toc512432004"/>
      <w:bookmarkStart w:id="136" w:name="_Toc512432195"/>
      <w:bookmarkStart w:id="137" w:name="_Toc6472638"/>
      <w:r w:rsidRPr="00CF31E0">
        <w:rPr>
          <w:rFonts w:eastAsia="Times New Roman"/>
        </w:rPr>
        <w:t>3</w:t>
      </w:r>
      <w:r w:rsidR="00E87B16" w:rsidRPr="00CF31E0">
        <w:rPr>
          <w:rFonts w:eastAsia="Times New Roman"/>
        </w:rPr>
        <w:t>.1.</w:t>
      </w:r>
      <w:r w:rsidR="00E87B16" w:rsidRPr="00CF31E0">
        <w:rPr>
          <w:rFonts w:eastAsia="Times New Roman"/>
        </w:rPr>
        <w:tab/>
      </w:r>
      <w:r w:rsidR="00160CC4" w:rsidRPr="00CF31E0">
        <w:rPr>
          <w:rFonts w:eastAsia="Times New Roman"/>
        </w:rPr>
        <w:t>Introduction</w:t>
      </w:r>
      <w:bookmarkEnd w:id="134"/>
      <w:bookmarkEnd w:id="135"/>
      <w:bookmarkEnd w:id="136"/>
      <w:bookmarkEnd w:id="137"/>
    </w:p>
    <w:p w14:paraId="5909EC4C" w14:textId="158D64C7" w:rsidR="00160CC4" w:rsidRPr="00CF31E0" w:rsidRDefault="00160CC4" w:rsidP="00603CB7">
      <w:pPr>
        <w:pStyle w:val="Paragraph"/>
        <w:rPr>
          <w:lang w:val="en-US" w:eastAsia="en-US"/>
        </w:rPr>
      </w:pPr>
      <w:r w:rsidRPr="00CF31E0">
        <w:rPr>
          <w:lang w:val="en-US" w:eastAsia="en-US"/>
        </w:rPr>
        <w:t xml:space="preserve">The Arabic language is widely spoken in the Middle East. It is spoken </w:t>
      </w:r>
      <w:r w:rsidR="004266E1" w:rsidRPr="00CF31E0">
        <w:rPr>
          <w:lang w:val="en-US" w:eastAsia="en-US"/>
        </w:rPr>
        <w:t xml:space="preserve">in </w:t>
      </w:r>
      <w:r w:rsidRPr="00CF31E0">
        <w:rPr>
          <w:lang w:val="en-US" w:eastAsia="en-US"/>
        </w:rPr>
        <w:t xml:space="preserve">different regional varieties across the Arabic world </w:t>
      </w:r>
      <w:r w:rsidRPr="00CF31E0">
        <w:rPr>
          <w:lang w:val="en-US" w:eastAsia="en-US"/>
        </w:rPr>
        <w:fldChar w:fldCharType="begin"/>
      </w:r>
      <w:r w:rsidR="00A54129" w:rsidRPr="00CF31E0">
        <w:rPr>
          <w:lang w:val="en-US" w:eastAsia="en-US"/>
        </w:rPr>
        <w:instrText xml:space="preserve"> ADDIN ZOTERO_ITEM CSL_CITATION {"citationID":"1c4nell21t","properties":{"formattedCitation":"(Alghamdi, 1998; Holes, 1990)","plainCitation":"(Alghamdi, 1998; Holes, 1990)","noteIndex":0},"citationItems":[{"id":"wgwhcNH1/mvJBt3YX","uris":["http://zotero.org/users/1939618/items/R6A8KAN4"],"uri":["http://zotero.org/users/1939618/items/R6A8KAN4"],"itemData":{"id":22,"type":"article-journal","title":"A spectrographic analysis of Arabic vowels: A cross-dialect study","container-title":"Journal of King Saud University","source":"Google Scholar","URL":"http://repository.ksu.edu.sa/jspui/handle/123456789/372","shortTitle":"A spectrographic analysis of Arabic vowels","author":[{"family":"Alghamdi","given":"Mansour M."}],"issued":{"date-parts":[["1998"]]},"accessed":{"date-parts":[["2014",6,4]]}},"label":"page"},{"id":14,"uris":["http://zotero.org/users/1939618/items/6898V7I3"],"uri":["http://zotero.org/users/1939618/items/6898V7I3"],"itemData":{"id":14,"type":"book","title":"Gulf Arabic","publisher":"Routledge","publisher-place":"London","number-of-pages":"320","source":"Google Books","event-place":"London","abstract":"Gulf Arabicis the term used to refer to a number of related dialects which are spoken along the Gulf shore from northern Kuwait to Oman in the south-eastern corner of the Arabian peninsula. The people who live in this area are linked to each other by trading and seafaring traditions which go back many centuries, as well as by the complex tribal structure of Arabia. With the development of education since the second world war, and increasingly close social, political, and developmental ties between Gulf states, a form of dialectical Arabic has evolved which is not closely associated with any one particular state, and which exhibits features common to them all. It is still unmistakably 'Gulf' in its basic pronunciation and morphology, as well as in its basic lexical stock, but its syntax and to some extent lexicon have been influenced by standard Arabic and other Arabic dialects. Clive Holes provides an in-depth description of this educated, pan-Gulf dialect.","ISBN":"978-0-415-02114-2","language":"en","author":[{"family":"Holes","given":"Clive"}],"issued":{"date-parts":[["1990"]]}},"label":"page"}],"schema":"https://github.com/citation-style-language/schema/raw/master/csl-citation.json"} </w:instrText>
      </w:r>
      <w:r w:rsidRPr="00CF31E0">
        <w:rPr>
          <w:lang w:val="en-US" w:eastAsia="en-US"/>
        </w:rPr>
        <w:fldChar w:fldCharType="separate"/>
      </w:r>
      <w:r w:rsidRPr="00CF31E0">
        <w:rPr>
          <w:noProof/>
          <w:lang w:val="en-US" w:eastAsia="en-US"/>
        </w:rPr>
        <w:t>(Alghamdi, 1998; Holes, 1990)</w:t>
      </w:r>
      <w:r w:rsidRPr="00CF31E0">
        <w:rPr>
          <w:lang w:val="en-US" w:eastAsia="en-US"/>
        </w:rPr>
        <w:fldChar w:fldCharType="end"/>
      </w:r>
      <w:r w:rsidRPr="00CF31E0">
        <w:rPr>
          <w:lang w:val="en-US" w:eastAsia="en-US"/>
        </w:rPr>
        <w:t>. However, few researchers have investigate</w:t>
      </w:r>
      <w:r w:rsidR="004266E1" w:rsidRPr="00CF31E0">
        <w:rPr>
          <w:lang w:val="en-US" w:eastAsia="en-US"/>
        </w:rPr>
        <w:t>d</w:t>
      </w:r>
      <w:r w:rsidRPr="00CF31E0">
        <w:rPr>
          <w:lang w:val="en-US" w:eastAsia="en-US"/>
        </w:rPr>
        <w:t xml:space="preserve"> the Arabic dialect situation, and it is still difficult to find studies that cover all aspects of dialectology in the area. Thus, dialect </w:t>
      </w:r>
      <w:r w:rsidR="00265D06">
        <w:rPr>
          <w:lang w:val="en-US" w:eastAsia="en-US"/>
        </w:rPr>
        <w:t>research</w:t>
      </w:r>
      <w:r w:rsidRPr="00CF31E0">
        <w:rPr>
          <w:lang w:val="en-US" w:eastAsia="en-US"/>
        </w:rPr>
        <w:t xml:space="preserve"> is a young field in the Arab world in general and </w:t>
      </w:r>
      <w:r w:rsidR="00054069" w:rsidRPr="00CF31E0">
        <w:rPr>
          <w:lang w:val="en-US" w:eastAsia="en-US"/>
        </w:rPr>
        <w:t xml:space="preserve">in </w:t>
      </w:r>
      <w:r w:rsidRPr="00CF31E0">
        <w:rPr>
          <w:lang w:val="en-US" w:eastAsia="en-US"/>
        </w:rPr>
        <w:t xml:space="preserve">SA in particular </w:t>
      </w:r>
      <w:r w:rsidRPr="00CF31E0">
        <w:rPr>
          <w:lang w:val="en-US" w:eastAsia="en-US"/>
        </w:rPr>
        <w:fldChar w:fldCharType="begin"/>
      </w:r>
      <w:r w:rsidR="00CD34CA" w:rsidRPr="00CF31E0">
        <w:rPr>
          <w:lang w:val="en-US" w:eastAsia="en-US"/>
        </w:rPr>
        <w:instrText xml:space="preserve"> ADDIN ZOTERO_ITEM CSL_CITATION {"citationID":"evOaCKxd","properties":{"formattedCitation":"(Prochazka, 1988)","plainCitation":"(Prochazka, 1988)","noteIndex":0},"citationItems":[{"id":128,"uris":["http://zotero.org/users/1939618/items/XMDNWRIJ"],"uri":["http://zotero.org/users/1939618/items/XMDNWRIJ"],"itemData":{"id":128,"type":"book","title":"Saudi Arabian dialects","publisher":"Kegan Paul International","publisher-place":"London","source":"Google Scholar","event-place":"London","author":[{"family":"Prochazka","given":"Theodore"}],"issued":{"date-parts":[["1988"]]}}}],"schema":"https://github.com/citation-style-language/schema/raw/master/csl-citation.json"} </w:instrText>
      </w:r>
      <w:r w:rsidRPr="00CF31E0">
        <w:rPr>
          <w:lang w:val="en-US" w:eastAsia="en-US"/>
        </w:rPr>
        <w:fldChar w:fldCharType="separate"/>
      </w:r>
      <w:r w:rsidRPr="00CF31E0">
        <w:rPr>
          <w:noProof/>
          <w:lang w:val="en-US" w:eastAsia="en-US"/>
        </w:rPr>
        <w:t>(Prochazka, 1988)</w:t>
      </w:r>
      <w:r w:rsidRPr="00CF31E0">
        <w:rPr>
          <w:lang w:val="en-US" w:eastAsia="en-US"/>
        </w:rPr>
        <w:fldChar w:fldCharType="end"/>
      </w:r>
      <w:r w:rsidRPr="00CF31E0">
        <w:rPr>
          <w:lang w:val="en-US" w:eastAsia="en-US"/>
        </w:rPr>
        <w:t xml:space="preserve">. </w:t>
      </w:r>
    </w:p>
    <w:p w14:paraId="5B42CAFC" w14:textId="4FE8C6F9" w:rsidR="00160CC4" w:rsidRPr="00CF31E0" w:rsidRDefault="00160CC4" w:rsidP="00603CB7">
      <w:pPr>
        <w:pStyle w:val="Paragraph"/>
        <w:rPr>
          <w:lang w:val="en-US" w:eastAsia="en-US"/>
        </w:rPr>
      </w:pPr>
      <w:r w:rsidRPr="00CF31E0">
        <w:rPr>
          <w:lang w:eastAsia="en-US"/>
        </w:rPr>
        <w:t>In this chapter, I will review the most relevant literature on Arabic dialects, and will then examine in more depth the research on Saudi dialects. Most significantly, I will illustrate the main factors that</w:t>
      </w:r>
      <w:r w:rsidR="006E1184">
        <w:rPr>
          <w:lang w:eastAsia="en-US"/>
        </w:rPr>
        <w:t xml:space="preserve"> </w:t>
      </w:r>
      <w:r w:rsidR="00E01E05">
        <w:rPr>
          <w:lang w:eastAsia="en-US"/>
        </w:rPr>
        <w:t>affected</w:t>
      </w:r>
      <w:r w:rsidRPr="00CF31E0">
        <w:rPr>
          <w:lang w:eastAsia="en-US"/>
        </w:rPr>
        <w:t xml:space="preserve"> dialect </w:t>
      </w:r>
      <w:r w:rsidR="00E01E05">
        <w:rPr>
          <w:lang w:eastAsia="en-US"/>
        </w:rPr>
        <w:t>classification</w:t>
      </w:r>
      <w:r w:rsidRPr="00CF31E0">
        <w:rPr>
          <w:lang w:eastAsia="en-US"/>
        </w:rPr>
        <w:t xml:space="preserve"> </w:t>
      </w:r>
      <w:r w:rsidR="00E01E05">
        <w:rPr>
          <w:lang w:eastAsia="en-US"/>
        </w:rPr>
        <w:t>which</w:t>
      </w:r>
      <w:r w:rsidRPr="00CF31E0">
        <w:rPr>
          <w:lang w:eastAsia="en-US"/>
        </w:rPr>
        <w:t xml:space="preserve"> focus</w:t>
      </w:r>
      <w:r w:rsidR="006E1184">
        <w:rPr>
          <w:lang w:eastAsia="en-US"/>
        </w:rPr>
        <w:t>es</w:t>
      </w:r>
      <w:r w:rsidRPr="00CF31E0">
        <w:rPr>
          <w:lang w:eastAsia="en-US"/>
        </w:rPr>
        <w:t xml:space="preserve"> on certain areas and neglect</w:t>
      </w:r>
      <w:r w:rsidR="006E1184">
        <w:rPr>
          <w:lang w:eastAsia="en-US"/>
        </w:rPr>
        <w:t>s</w:t>
      </w:r>
      <w:r w:rsidRPr="00CF31E0">
        <w:rPr>
          <w:lang w:eastAsia="en-US"/>
        </w:rPr>
        <w:t xml:space="preserve"> others.</w:t>
      </w:r>
    </w:p>
    <w:p w14:paraId="2CD24577" w14:textId="1123268B" w:rsidR="00160CC4" w:rsidRPr="00CF31E0" w:rsidRDefault="00AE350D" w:rsidP="0061369D">
      <w:pPr>
        <w:pStyle w:val="Ahead"/>
        <w:rPr>
          <w:rFonts w:eastAsia="Times New Roman"/>
        </w:rPr>
      </w:pPr>
      <w:bookmarkStart w:id="138" w:name="_Toc6472639"/>
      <w:r w:rsidRPr="00CF31E0">
        <w:rPr>
          <w:rFonts w:eastAsia="Times New Roman"/>
        </w:rPr>
        <w:t>3</w:t>
      </w:r>
      <w:r w:rsidR="00E87B16" w:rsidRPr="00CF31E0">
        <w:rPr>
          <w:rFonts w:eastAsia="Times New Roman"/>
        </w:rPr>
        <w:t>.2.</w:t>
      </w:r>
      <w:r w:rsidR="00E87B16" w:rsidRPr="00CF31E0">
        <w:rPr>
          <w:rFonts w:eastAsia="Times New Roman"/>
        </w:rPr>
        <w:tab/>
      </w:r>
      <w:r w:rsidR="00160CC4" w:rsidRPr="00CF31E0">
        <w:rPr>
          <w:rFonts w:eastAsia="Times New Roman"/>
        </w:rPr>
        <w:t xml:space="preserve">Geography of Arabic </w:t>
      </w:r>
      <w:r w:rsidR="004A61DC" w:rsidRPr="00CF31E0">
        <w:rPr>
          <w:rFonts w:eastAsia="Times New Roman"/>
        </w:rPr>
        <w:t>countr</w:t>
      </w:r>
      <w:r w:rsidR="00160CC4" w:rsidRPr="00CF31E0">
        <w:rPr>
          <w:rFonts w:eastAsia="Times New Roman"/>
        </w:rPr>
        <w:t>ies and SA</w:t>
      </w:r>
      <w:bookmarkEnd w:id="138"/>
    </w:p>
    <w:p w14:paraId="19BFB43C" w14:textId="0C8A4DE2" w:rsidR="00160CC4" w:rsidRPr="00CF31E0" w:rsidRDefault="00160CC4" w:rsidP="00603CB7">
      <w:pPr>
        <w:pStyle w:val="Paragraph"/>
        <w:rPr>
          <w:lang w:eastAsia="en-US"/>
        </w:rPr>
      </w:pPr>
      <w:r w:rsidRPr="00CF31E0">
        <w:rPr>
          <w:lang w:eastAsia="en-US"/>
        </w:rPr>
        <w:t xml:space="preserve">The following map in Figure </w:t>
      </w:r>
      <w:r w:rsidR="00AE350D" w:rsidRPr="00CF31E0">
        <w:rPr>
          <w:lang w:eastAsia="en-US"/>
        </w:rPr>
        <w:t>3</w:t>
      </w:r>
      <w:r w:rsidRPr="00CF31E0">
        <w:rPr>
          <w:lang w:eastAsia="en-US"/>
        </w:rPr>
        <w:t>.</w:t>
      </w:r>
      <w:r w:rsidR="00054069" w:rsidRPr="00CF31E0">
        <w:rPr>
          <w:lang w:eastAsia="en-US"/>
        </w:rPr>
        <w:t xml:space="preserve">1 </w:t>
      </w:r>
      <w:r w:rsidRPr="00CF31E0">
        <w:rPr>
          <w:lang w:eastAsia="en-US"/>
        </w:rPr>
        <w:t>illustrates the geographical spread of the Arabic language.</w:t>
      </w:r>
    </w:p>
    <w:p w14:paraId="6A7218A4" w14:textId="77777777" w:rsidR="00160CC4" w:rsidRPr="00CF31E0" w:rsidRDefault="00160CC4" w:rsidP="00160CC4">
      <w:pPr>
        <w:spacing w:line="360" w:lineRule="auto"/>
        <w:jc w:val="both"/>
        <w:rPr>
          <w:rFonts w:eastAsia="Times New Roman"/>
          <w:color w:val="000000" w:themeColor="text1"/>
          <w:lang w:eastAsia="en-US"/>
        </w:rPr>
      </w:pPr>
      <w:r w:rsidRPr="00CF31E0">
        <w:rPr>
          <w:rFonts w:eastAsia="Times New Roman"/>
          <w:noProof/>
          <w:color w:val="000000" w:themeColor="text1"/>
        </w:rPr>
        <w:drawing>
          <wp:inline distT="0" distB="0" distL="0" distR="0" wp14:anchorId="4ABD5F84" wp14:editId="731973A3">
            <wp:extent cx="3974995" cy="2867277"/>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4995" cy="2867277"/>
                    </a:xfrm>
                    <a:prstGeom prst="rect">
                      <a:avLst/>
                    </a:prstGeom>
                    <a:noFill/>
                    <a:ln>
                      <a:noFill/>
                    </a:ln>
                  </pic:spPr>
                </pic:pic>
              </a:graphicData>
            </a:graphic>
          </wp:inline>
        </w:drawing>
      </w:r>
    </w:p>
    <w:p w14:paraId="36284A48" w14:textId="30DA9119" w:rsidR="00160CC4" w:rsidRPr="00CF31E0" w:rsidRDefault="00160CC4" w:rsidP="00730917">
      <w:pPr>
        <w:pStyle w:val="Figcaption"/>
        <w:rPr>
          <w:color w:val="000000" w:themeColor="text1"/>
        </w:rPr>
      </w:pPr>
      <w:bookmarkStart w:id="139" w:name="_Toc411438367"/>
      <w:bookmarkStart w:id="140" w:name="_Toc512432005"/>
      <w:bookmarkStart w:id="141" w:name="_Toc512432196"/>
      <w:bookmarkStart w:id="142" w:name="_Toc522527330"/>
      <w:bookmarkStart w:id="143" w:name="_Toc522628161"/>
      <w:bookmarkStart w:id="144" w:name="_Toc522628279"/>
      <w:bookmarkStart w:id="145" w:name="_Toc522628379"/>
      <w:bookmarkStart w:id="146" w:name="_Toc6472981"/>
      <w:r w:rsidRPr="00CF31E0">
        <w:rPr>
          <w:color w:val="000000" w:themeColor="text1"/>
        </w:rPr>
        <w:t xml:space="preserve">Figure </w:t>
      </w:r>
      <w:r w:rsidR="00AE350D" w:rsidRPr="00CF31E0">
        <w:rPr>
          <w:color w:val="000000" w:themeColor="text1"/>
        </w:rPr>
        <w:t>3</w:t>
      </w:r>
      <w:r w:rsidR="00F049BF" w:rsidRPr="00CF31E0">
        <w:rPr>
          <w:color w:val="000000" w:themeColor="text1"/>
        </w:rPr>
        <w:t>.</w:t>
      </w:r>
      <w:r w:rsidRPr="00CF31E0">
        <w:rPr>
          <w:color w:val="000000" w:themeColor="text1"/>
        </w:rPr>
        <w:t>1: Arab world map</w:t>
      </w:r>
      <w:bookmarkEnd w:id="139"/>
      <w:bookmarkEnd w:id="140"/>
      <w:bookmarkEnd w:id="141"/>
      <w:r w:rsidR="00054069" w:rsidRPr="00CF31E0">
        <w:rPr>
          <w:color w:val="000000" w:themeColor="text1"/>
        </w:rPr>
        <w:t>.</w:t>
      </w:r>
      <w:bookmarkEnd w:id="142"/>
      <w:bookmarkEnd w:id="143"/>
      <w:bookmarkEnd w:id="144"/>
      <w:bookmarkEnd w:id="145"/>
      <w:bookmarkEnd w:id="146"/>
      <w:r w:rsidRPr="00CF31E0">
        <w:rPr>
          <w:color w:val="000000" w:themeColor="text1"/>
        </w:rPr>
        <w:t xml:space="preserve"> </w:t>
      </w:r>
    </w:p>
    <w:p w14:paraId="42B68BEA" w14:textId="4BFD3630" w:rsidR="00160CC4" w:rsidRPr="00CF31E0" w:rsidRDefault="00AE350D" w:rsidP="00603CB7">
      <w:pPr>
        <w:pStyle w:val="Figuresource"/>
        <w:rPr>
          <w:lang w:eastAsia="en-US"/>
        </w:rPr>
      </w:pPr>
      <w:r w:rsidRPr="00CF31E0">
        <w:rPr>
          <w:lang w:eastAsia="en-US"/>
        </w:rPr>
        <w:t>(</w:t>
      </w:r>
      <w:r w:rsidR="00160CC4" w:rsidRPr="00CF31E0">
        <w:rPr>
          <w:lang w:eastAsia="en-US"/>
        </w:rPr>
        <w:t xml:space="preserve">Adapted from </w:t>
      </w:r>
      <w:r w:rsidR="00160CC4" w:rsidRPr="00CF31E0">
        <w:rPr>
          <w:lang w:eastAsia="en-US"/>
        </w:rPr>
        <w:fldChar w:fldCharType="begin"/>
      </w:r>
      <w:r w:rsidR="00CD34CA" w:rsidRPr="00CF31E0">
        <w:rPr>
          <w:lang w:eastAsia="en-US"/>
        </w:rPr>
        <w:instrText xml:space="preserve"> ADDIN ZOTERO_ITEM CSL_CITATION {"citationID":"N4IEoGvA","properties":{"formattedCitation":"(Economist intelligence unit, 2010)","plainCitation":"(Economist intelligence unit, 2010)","dontUpdate":true,"noteIndex":0},"citationItems":[{"id":146,"uris":["http://zotero.org/users/1939618/items/NWATGZT8"],"uri":["http://zotero.org/users/1939618/items/NWATGZT8"],"itemData":{"id":146,"type":"webpage","title":"Arab World Map","URL":"http://www.visualinformation.info/interactive-map-mapping-the-arab-world/","author":[{"literal":"Economist intelligence unit"}],"issued":{"date-parts":[["2010"]]}}}],"schema":"https://github.com/citation-style-language/schema/raw/master/csl-citation.json"} </w:instrText>
      </w:r>
      <w:r w:rsidR="00160CC4" w:rsidRPr="00CF31E0">
        <w:rPr>
          <w:lang w:eastAsia="en-US"/>
        </w:rPr>
        <w:fldChar w:fldCharType="separate"/>
      </w:r>
      <w:r w:rsidR="00160CC4" w:rsidRPr="00CF31E0">
        <w:rPr>
          <w:noProof/>
          <w:lang w:eastAsia="en-US"/>
        </w:rPr>
        <w:t>Economist Intelligence Unit, 2010)</w:t>
      </w:r>
      <w:r w:rsidR="00160CC4" w:rsidRPr="00CF31E0">
        <w:rPr>
          <w:lang w:eastAsia="en-US"/>
        </w:rPr>
        <w:fldChar w:fldCharType="end"/>
      </w:r>
    </w:p>
    <w:p w14:paraId="740CB273" w14:textId="4DA0D222" w:rsidR="00160CC4" w:rsidRPr="00CF31E0" w:rsidRDefault="00160CC4" w:rsidP="00603CB7">
      <w:pPr>
        <w:pStyle w:val="Paragraph"/>
        <w:rPr>
          <w:lang w:eastAsia="en-US"/>
        </w:rPr>
      </w:pPr>
      <w:r w:rsidRPr="00CF31E0">
        <w:rPr>
          <w:lang w:eastAsia="en-US"/>
        </w:rPr>
        <w:lastRenderedPageBreak/>
        <w:t xml:space="preserve">The coloured areas on the map indicate Arabic-speaking </w:t>
      </w:r>
      <w:r w:rsidR="00FF5758" w:rsidRPr="00CF31E0">
        <w:rPr>
          <w:lang w:eastAsia="en-US"/>
        </w:rPr>
        <w:t>count</w:t>
      </w:r>
      <w:r w:rsidRPr="00CF31E0">
        <w:rPr>
          <w:lang w:eastAsia="en-US"/>
        </w:rPr>
        <w:t xml:space="preserve">ries. As can be seen from the above figure, </w:t>
      </w:r>
      <w:r w:rsidR="00F72262" w:rsidRPr="00CF31E0">
        <w:rPr>
          <w:lang w:eastAsia="en-US"/>
        </w:rPr>
        <w:t>21</w:t>
      </w:r>
      <w:r w:rsidR="008D4446" w:rsidRPr="00CF31E0">
        <w:rPr>
          <w:lang w:eastAsia="en-US"/>
        </w:rPr>
        <w:t xml:space="preserve"> </w:t>
      </w:r>
      <w:r w:rsidR="00FF5758" w:rsidRPr="00CF31E0">
        <w:rPr>
          <w:lang w:eastAsia="en-US"/>
        </w:rPr>
        <w:t>count</w:t>
      </w:r>
      <w:r w:rsidRPr="00CF31E0">
        <w:rPr>
          <w:lang w:eastAsia="en-US"/>
        </w:rPr>
        <w:t xml:space="preserve">ries in the Middle East speak the same language. Thus, the Arabic language is spoken across a very wide and diverse geographical area. Therefore, there has been a tendency to classify Arabic dialects according to their geographical locations </w:t>
      </w:r>
      <w:r w:rsidRPr="00CF31E0">
        <w:rPr>
          <w:lang w:eastAsia="en-US"/>
        </w:rPr>
        <w:fldChar w:fldCharType="begin"/>
      </w:r>
      <w:r w:rsidR="00CD34CA" w:rsidRPr="00CF31E0">
        <w:rPr>
          <w:lang w:eastAsia="en-US"/>
        </w:rPr>
        <w:instrText xml:space="preserve"> ADDIN ZOTERO_ITEM CSL_CITATION {"citationID":"WAX9j7c9","properties":{"formattedCitation":"(Biadsy et al., 2009, p. 55)","plainCitation":"(Biadsy et al., 2009, p. 55)","noteIndex":0},"citationItems":[{"id":109,"uris":["http://zotero.org/users/1939618/items/BMI74B84"],"uri":["http://zotero.org/users/1939618/items/BMI74B84"],"itemData":{"id":109,"type":"paper-conference","title":"Spoken Arabic dialect identification using phonotactic modeling","container-title":"Proceedings of the EACL 2009 Workshop on Computational Approaches to Semitic Languages","publisher":"Association for Computational Linguistics","page":"53–61","source":"Google Scholar","URL":"http://dl.acm.org/citation.cfm?id=1621784","author":[{"family":"Biadsy","given":"Fadi"},{"family":"Hirschberg","given":"Julia"},{"family":"Habash","given":"Nizar"}],"issued":{"date-parts":[["2009"]]},"accessed":{"date-parts":[["2015",1,23]]}},"locator":"55","label":"page"}],"schema":"https://github.com/citation-style-language/schema/raw/master/csl-citation.json"} </w:instrText>
      </w:r>
      <w:r w:rsidRPr="00CF31E0">
        <w:rPr>
          <w:lang w:eastAsia="en-US"/>
        </w:rPr>
        <w:fldChar w:fldCharType="separate"/>
      </w:r>
      <w:r w:rsidR="00CD34CA" w:rsidRPr="00CF31E0">
        <w:rPr>
          <w:noProof/>
          <w:lang w:eastAsia="en-US"/>
        </w:rPr>
        <w:t>(Biadsy et al., 2009, p. 55)</w:t>
      </w:r>
      <w:r w:rsidRPr="00CF31E0">
        <w:rPr>
          <w:lang w:eastAsia="en-US"/>
        </w:rPr>
        <w:fldChar w:fldCharType="end"/>
      </w:r>
      <w:r w:rsidRPr="00CF31E0">
        <w:rPr>
          <w:lang w:eastAsia="en-US"/>
        </w:rPr>
        <w:t xml:space="preserve">. </w:t>
      </w:r>
    </w:p>
    <w:p w14:paraId="2626D19A" w14:textId="2C3229C4" w:rsidR="00160CC4" w:rsidRPr="00CF31E0" w:rsidRDefault="00160CC4" w:rsidP="00603CB7">
      <w:pPr>
        <w:pStyle w:val="Paragraph"/>
        <w:rPr>
          <w:lang w:eastAsia="en-US"/>
        </w:rPr>
      </w:pPr>
      <w:r w:rsidRPr="00CF31E0">
        <w:rPr>
          <w:lang w:eastAsia="en-US"/>
        </w:rPr>
        <w:t>Biadsy</w:t>
      </w:r>
      <w:r w:rsidR="001939CA" w:rsidRPr="00CF31E0">
        <w:rPr>
          <w:lang w:eastAsia="en-US"/>
        </w:rPr>
        <w:t xml:space="preserve"> et al.</w:t>
      </w:r>
      <w:r w:rsidRPr="00CF31E0">
        <w:rPr>
          <w:lang w:eastAsia="en-US"/>
        </w:rPr>
        <w:t xml:space="preserve"> (2009, p. 55) classified Arabic dialects geo-linguistically into the following regions: </w:t>
      </w:r>
    </w:p>
    <w:p w14:paraId="3A43C31C" w14:textId="77777777" w:rsidR="00160CC4" w:rsidRPr="00CF31E0" w:rsidRDefault="00160CC4" w:rsidP="00467EF6">
      <w:pPr>
        <w:numPr>
          <w:ilvl w:val="0"/>
          <w:numId w:val="8"/>
        </w:numPr>
        <w:spacing w:line="360" w:lineRule="auto"/>
        <w:contextualSpacing/>
        <w:jc w:val="both"/>
        <w:rPr>
          <w:rFonts w:eastAsia="Times New Roman"/>
          <w:color w:val="000000" w:themeColor="text1"/>
          <w:lang w:eastAsia="en-US"/>
        </w:rPr>
      </w:pPr>
      <w:r w:rsidRPr="00CF31E0">
        <w:rPr>
          <w:rFonts w:eastAsia="Times New Roman"/>
          <w:color w:val="000000" w:themeColor="text1"/>
          <w:lang w:eastAsia="en-US"/>
        </w:rPr>
        <w:t xml:space="preserve">Gulf Arabic (GLF), which includes the dialects of Kuwait, Saudi Arabia, Bahrain, Qatar, United Arab Emirates and Oman. </w:t>
      </w:r>
    </w:p>
    <w:p w14:paraId="54A0CB8F" w14:textId="77777777" w:rsidR="00160CC4" w:rsidRPr="00CF31E0" w:rsidRDefault="00160CC4" w:rsidP="00467EF6">
      <w:pPr>
        <w:numPr>
          <w:ilvl w:val="0"/>
          <w:numId w:val="8"/>
        </w:numPr>
        <w:spacing w:line="360" w:lineRule="auto"/>
        <w:contextualSpacing/>
        <w:jc w:val="both"/>
        <w:rPr>
          <w:rFonts w:eastAsia="Times New Roman"/>
          <w:color w:val="000000" w:themeColor="text1"/>
          <w:lang w:eastAsia="en-US"/>
        </w:rPr>
      </w:pPr>
      <w:r w:rsidRPr="00CF31E0">
        <w:rPr>
          <w:rFonts w:eastAsia="Times New Roman"/>
          <w:color w:val="000000" w:themeColor="text1"/>
          <w:lang w:eastAsia="en-US"/>
        </w:rPr>
        <w:t xml:space="preserve">Iraqi Arabic (IRQ) is the dialect of Iraq. In some dialect classifications, Iraqi Arabic is considered a sub-dialect of Gulf Arabic. </w:t>
      </w:r>
    </w:p>
    <w:p w14:paraId="37AE043E" w14:textId="753B113D" w:rsidR="00160CC4" w:rsidRPr="00CF31E0" w:rsidRDefault="00160CC4" w:rsidP="00467EF6">
      <w:pPr>
        <w:numPr>
          <w:ilvl w:val="0"/>
          <w:numId w:val="8"/>
        </w:numPr>
        <w:spacing w:line="360" w:lineRule="auto"/>
        <w:contextualSpacing/>
        <w:jc w:val="both"/>
        <w:rPr>
          <w:rFonts w:eastAsia="Times New Roman"/>
          <w:color w:val="000000" w:themeColor="text1"/>
          <w:lang w:eastAsia="en-US"/>
        </w:rPr>
      </w:pPr>
      <w:r w:rsidRPr="00CF31E0">
        <w:rPr>
          <w:rFonts w:eastAsia="Times New Roman"/>
          <w:color w:val="000000" w:themeColor="text1"/>
          <w:lang w:eastAsia="en-US"/>
        </w:rPr>
        <w:t>Levantine Arabic (LEV) includes th</w:t>
      </w:r>
      <w:r w:rsidR="002B5990">
        <w:rPr>
          <w:rFonts w:eastAsia="Times New Roman"/>
          <w:color w:val="000000" w:themeColor="text1"/>
          <w:lang w:eastAsia="en-US"/>
        </w:rPr>
        <w:t>e dialects of Lebanon, Syria, Jordan and</w:t>
      </w:r>
      <w:r w:rsidRPr="00CF31E0">
        <w:rPr>
          <w:rFonts w:eastAsia="Times New Roman"/>
          <w:color w:val="000000" w:themeColor="text1"/>
          <w:lang w:eastAsia="en-US"/>
        </w:rPr>
        <w:t xml:space="preserve"> Palestine. </w:t>
      </w:r>
    </w:p>
    <w:p w14:paraId="29E58974" w14:textId="77777777" w:rsidR="00160CC4" w:rsidRPr="00CF31E0" w:rsidRDefault="00160CC4" w:rsidP="00467EF6">
      <w:pPr>
        <w:numPr>
          <w:ilvl w:val="0"/>
          <w:numId w:val="8"/>
        </w:numPr>
        <w:spacing w:line="360" w:lineRule="auto"/>
        <w:contextualSpacing/>
        <w:jc w:val="both"/>
        <w:rPr>
          <w:rFonts w:eastAsia="Times New Roman"/>
          <w:color w:val="000000" w:themeColor="text1"/>
          <w:lang w:eastAsia="en-US"/>
        </w:rPr>
      </w:pPr>
      <w:r w:rsidRPr="00CF31E0">
        <w:rPr>
          <w:rFonts w:eastAsia="Times New Roman"/>
          <w:color w:val="000000" w:themeColor="text1"/>
          <w:lang w:eastAsia="en-US"/>
        </w:rPr>
        <w:t xml:space="preserve">Egyptian Arabic (EGY) covers the dialects of the Nile valley: Egypt and Sudan. </w:t>
      </w:r>
    </w:p>
    <w:p w14:paraId="65D6F331" w14:textId="77777777" w:rsidR="00160CC4" w:rsidRPr="00CF31E0" w:rsidRDefault="00160CC4" w:rsidP="00603CB7">
      <w:pPr>
        <w:numPr>
          <w:ilvl w:val="0"/>
          <w:numId w:val="8"/>
        </w:numPr>
        <w:spacing w:after="200" w:line="360" w:lineRule="auto"/>
        <w:ind w:left="714" w:hanging="357"/>
        <w:jc w:val="both"/>
        <w:rPr>
          <w:rFonts w:eastAsia="Times New Roman"/>
          <w:color w:val="000000" w:themeColor="text1"/>
          <w:lang w:eastAsia="en-US"/>
        </w:rPr>
      </w:pPr>
      <w:r w:rsidRPr="00CF31E0">
        <w:rPr>
          <w:rFonts w:eastAsia="Times New Roman"/>
          <w:color w:val="000000" w:themeColor="text1"/>
          <w:lang w:eastAsia="en-US"/>
        </w:rPr>
        <w:t xml:space="preserve">Maghrebi Arabic covers the dialects of Morocco, Algeria, Tunisia and Mauritania. Libya is sometimes included.    </w:t>
      </w:r>
    </w:p>
    <w:p w14:paraId="67068510" w14:textId="0CD7A87A" w:rsidR="00160CC4" w:rsidRPr="00CF31E0" w:rsidRDefault="00160CC4" w:rsidP="006D3401">
      <w:pPr>
        <w:pStyle w:val="Paragraph"/>
        <w:rPr>
          <w:lang w:eastAsia="en-US"/>
        </w:rPr>
      </w:pPr>
      <w:r w:rsidRPr="00CF31E0">
        <w:rPr>
          <w:lang w:eastAsia="en-US"/>
        </w:rPr>
        <w:t>Thus, S</w:t>
      </w:r>
      <w:r w:rsidR="0069253B" w:rsidRPr="00CF31E0">
        <w:rPr>
          <w:lang w:eastAsia="en-US"/>
        </w:rPr>
        <w:t>audi Arabia (S</w:t>
      </w:r>
      <w:r w:rsidRPr="00CF31E0">
        <w:rPr>
          <w:lang w:eastAsia="en-US"/>
        </w:rPr>
        <w:t>A</w:t>
      </w:r>
      <w:r w:rsidR="0069253B" w:rsidRPr="00CF31E0">
        <w:rPr>
          <w:lang w:eastAsia="en-US"/>
        </w:rPr>
        <w:t>)</w:t>
      </w:r>
      <w:r w:rsidRPr="00CF31E0">
        <w:rPr>
          <w:lang w:eastAsia="en-US"/>
        </w:rPr>
        <w:t xml:space="preserve"> has been classified under Gulf Arabic. As can be seen from Figure </w:t>
      </w:r>
      <w:r w:rsidR="00AE350D" w:rsidRPr="00CF31E0">
        <w:rPr>
          <w:lang w:eastAsia="en-US"/>
        </w:rPr>
        <w:t>3</w:t>
      </w:r>
      <w:r w:rsidR="001779C1" w:rsidRPr="00CF31E0">
        <w:rPr>
          <w:lang w:eastAsia="en-US"/>
        </w:rPr>
        <w:t>.1</w:t>
      </w:r>
      <w:r w:rsidR="00441F9F" w:rsidRPr="00CF31E0">
        <w:rPr>
          <w:lang w:eastAsia="en-US"/>
        </w:rPr>
        <w:t xml:space="preserve">, </w:t>
      </w:r>
      <w:r w:rsidR="00DD6874" w:rsidRPr="00CF31E0">
        <w:rPr>
          <w:lang w:eastAsia="en-US"/>
        </w:rPr>
        <w:t>the Gulf Arabic</w:t>
      </w:r>
      <w:r w:rsidR="00FF5758" w:rsidRPr="00CF31E0">
        <w:rPr>
          <w:lang w:eastAsia="en-US"/>
        </w:rPr>
        <w:t xml:space="preserve"> count</w:t>
      </w:r>
      <w:r w:rsidRPr="00CF31E0">
        <w:rPr>
          <w:lang w:eastAsia="en-US"/>
        </w:rPr>
        <w:t xml:space="preserve">ries are very close to each other in geographical </w:t>
      </w:r>
      <w:r w:rsidR="00DD6874" w:rsidRPr="00CF31E0">
        <w:rPr>
          <w:lang w:eastAsia="en-US"/>
        </w:rPr>
        <w:t xml:space="preserve">terms. </w:t>
      </w:r>
      <w:r w:rsidR="006D3401" w:rsidRPr="006D3401">
        <w:rPr>
          <w:lang w:eastAsia="en-US"/>
        </w:rPr>
        <w:t xml:space="preserve">It is important to note that some Arabic dialects are spoken by minority groups in areas that are adjacent to Arabic countries but which are no longer under Arab authority and in which there is no official status for Arabic. For example, in Asia, Arabic dialects are spoken in some parts of northern and southern Iran, some parts of Afghanistan (Balkh), some parts of Uzbekistan and some parts of southern Turkey. In Africa, Arabic dialects are spoken in some parts of northern Nigeria, Mali and Chad. In the Mediterranean, the Maltese Arabic dialect is spoken in Malta in Spain </w:t>
      </w:r>
      <w:bookmarkStart w:id="147" w:name="ZOTERO_BREF_m0gWlR6bInZEU3AZOpYF0"/>
      <w:r w:rsidR="006D3401" w:rsidRPr="006D3401">
        <w:rPr>
          <w:lang w:eastAsia="en-US"/>
        </w:rPr>
        <w:t>(Holes, 2004; Watson, 2012)</w:t>
      </w:r>
      <w:bookmarkEnd w:id="147"/>
      <w:r w:rsidR="006D3401" w:rsidRPr="006D3401">
        <w:rPr>
          <w:lang w:eastAsia="en-US"/>
        </w:rPr>
        <w:t xml:space="preserve">. In Andalusia, Arabic used to be widely spoken but the language died out after the Arab state was invaded, “leaving </w:t>
      </w:r>
      <w:r w:rsidR="006D3401" w:rsidRPr="006D3401">
        <w:rPr>
          <w:lang w:eastAsia="en-US"/>
        </w:rPr>
        <w:lastRenderedPageBreak/>
        <w:t xml:space="preserve">rich historical documentation of a once vibrant-language” </w:t>
      </w:r>
      <w:bookmarkStart w:id="148" w:name="ZOTERO_BREF_vx6CiD4mk2U711f1QUVdx"/>
      <w:r w:rsidR="006D3401" w:rsidRPr="006D3401">
        <w:rPr>
          <w:lang w:eastAsia="en-US"/>
        </w:rPr>
        <w:t>(Watson, 2012, p. 852)</w:t>
      </w:r>
      <w:bookmarkEnd w:id="148"/>
      <w:r w:rsidR="006D3401" w:rsidRPr="006D3401">
        <w:rPr>
          <w:lang w:eastAsia="en-US"/>
        </w:rPr>
        <w:t>.</w:t>
      </w:r>
    </w:p>
    <w:p w14:paraId="278663BA" w14:textId="4CF4FBDB" w:rsidR="00160CC4" w:rsidRPr="00CF31E0" w:rsidRDefault="00160CC4" w:rsidP="00603CB7">
      <w:pPr>
        <w:pStyle w:val="Paragraph"/>
        <w:rPr>
          <w:lang w:eastAsia="en-US"/>
        </w:rPr>
      </w:pPr>
      <w:r w:rsidRPr="00CF31E0">
        <w:rPr>
          <w:lang w:eastAsia="en-US"/>
        </w:rPr>
        <w:fldChar w:fldCharType="begin"/>
      </w:r>
      <w:r w:rsidR="00CD34CA" w:rsidRPr="00CF31E0">
        <w:rPr>
          <w:lang w:eastAsia="en-US"/>
        </w:rPr>
        <w:instrText xml:space="preserve"> ADDIN ZOTERO_ITEM CSL_CITATION {"citationID":"TzpDkC63","properties":{"formattedCitation":"(Johnstone, 1967)","plainCitation":"(Johnstone, 1967)","dontUpdate":true,"noteIndex":0},"citationItems":[{"id":112,"uris":["http://zotero.org/users/1939618/items/GNKCK9J8"],"uri":["http://zotero.org/users/1939618/items/GNKCK9J8"],"itemData":{"id":112,"type":"book","title":"Eastern Arabian dialect studies","publisher":"Oxford University Press","publisher-place":"London","source":"Google Scholar","event-place":"London","author":[{"family":"Johnstone","given":"Thomas Muir"}],"issued":{"date-parts":[["1967"]]}}}],"schema":"https://github.com/citation-style-language/schema/raw/master/csl-citation.json"} </w:instrText>
      </w:r>
      <w:r w:rsidRPr="00CF31E0">
        <w:rPr>
          <w:lang w:eastAsia="en-US"/>
        </w:rPr>
        <w:fldChar w:fldCharType="separate"/>
      </w:r>
      <w:r w:rsidRPr="00CF31E0">
        <w:rPr>
          <w:noProof/>
          <w:lang w:eastAsia="en-US"/>
        </w:rPr>
        <w:t xml:space="preserve">Johnstone </w:t>
      </w:r>
      <w:r w:rsidR="00054069" w:rsidRPr="00CF31E0">
        <w:rPr>
          <w:noProof/>
          <w:lang w:eastAsia="en-US"/>
        </w:rPr>
        <w:t>(</w:t>
      </w:r>
      <w:r w:rsidRPr="00CF31E0">
        <w:rPr>
          <w:noProof/>
          <w:lang w:eastAsia="en-US"/>
        </w:rPr>
        <w:t>1967)</w:t>
      </w:r>
      <w:r w:rsidRPr="00CF31E0">
        <w:rPr>
          <w:lang w:eastAsia="en-US"/>
        </w:rPr>
        <w:fldChar w:fldCharType="end"/>
      </w:r>
      <w:r w:rsidRPr="00CF31E0">
        <w:rPr>
          <w:lang w:eastAsia="en-US"/>
        </w:rPr>
        <w:t xml:space="preserve"> attempted to represent a narrower classification that focuses only on </w:t>
      </w:r>
      <w:r w:rsidR="00054069" w:rsidRPr="00CF31E0">
        <w:rPr>
          <w:lang w:eastAsia="en-US"/>
        </w:rPr>
        <w:t xml:space="preserve">the </w:t>
      </w:r>
      <w:r w:rsidRPr="00CF31E0">
        <w:rPr>
          <w:lang w:eastAsia="en-US"/>
        </w:rPr>
        <w:t xml:space="preserve">Arabian Peninsula. </w:t>
      </w:r>
      <w:r w:rsidRPr="00CF31E0">
        <w:rPr>
          <w:lang w:eastAsia="en-US"/>
        </w:rPr>
        <w:fldChar w:fldCharType="begin"/>
      </w:r>
      <w:r w:rsidR="00CD34CA" w:rsidRPr="00CF31E0">
        <w:rPr>
          <w:lang w:eastAsia="en-US"/>
        </w:rPr>
        <w:instrText xml:space="preserve"> ADDIN ZOTERO_ITEM CSL_CITATION {"citationID":"llKwe42f","properties":{"formattedCitation":"(Johnstone, 1967)","plainCitation":"(Johnstone, 1967)","dontUpdate":true,"noteIndex":0},"citationItems":[{"id":112,"uris":["http://zotero.org/users/1939618/items/GNKCK9J8"],"uri":["http://zotero.org/users/1939618/items/GNKCK9J8"],"itemData":{"id":112,"type":"book","title":"Eastern Arabian dialect studies","publisher":"Oxford University Press","publisher-place":"London","source":"Google Scholar","event-place":"London","author":[{"family":"Johnstone","given":"Thomas Muir"}],"issued":{"date-parts":[["1967"]]}}}],"schema":"https://github.com/citation-style-language/schema/raw/master/csl-citation.json"} </w:instrText>
      </w:r>
      <w:r w:rsidRPr="00CF31E0">
        <w:rPr>
          <w:lang w:eastAsia="en-US"/>
        </w:rPr>
        <w:fldChar w:fldCharType="separate"/>
      </w:r>
      <w:r w:rsidRPr="00CF31E0">
        <w:rPr>
          <w:noProof/>
          <w:lang w:eastAsia="en-US"/>
        </w:rPr>
        <w:t xml:space="preserve">Johnstone </w:t>
      </w:r>
      <w:r w:rsidR="00054069" w:rsidRPr="00CF31E0">
        <w:rPr>
          <w:noProof/>
          <w:lang w:eastAsia="en-US"/>
        </w:rPr>
        <w:t>(</w:t>
      </w:r>
      <w:r w:rsidRPr="00CF31E0">
        <w:rPr>
          <w:noProof/>
          <w:lang w:eastAsia="en-US"/>
        </w:rPr>
        <w:t>1967)</w:t>
      </w:r>
      <w:r w:rsidRPr="00CF31E0">
        <w:rPr>
          <w:lang w:eastAsia="en-US"/>
        </w:rPr>
        <w:fldChar w:fldCharType="end"/>
      </w:r>
      <w:r w:rsidRPr="00CF31E0">
        <w:rPr>
          <w:lang w:eastAsia="en-US"/>
        </w:rPr>
        <w:t xml:space="preserve"> </w:t>
      </w:r>
      <w:r w:rsidR="00054069" w:rsidRPr="00CF31E0">
        <w:rPr>
          <w:lang w:eastAsia="en-US"/>
        </w:rPr>
        <w:t xml:space="preserve">classified </w:t>
      </w:r>
      <w:r w:rsidRPr="00CF31E0">
        <w:rPr>
          <w:lang w:eastAsia="en-US"/>
        </w:rPr>
        <w:t>the dialects of the Arabian Peninsula, including that of S</w:t>
      </w:r>
      <w:r w:rsidR="0069253B" w:rsidRPr="00CF31E0">
        <w:rPr>
          <w:lang w:eastAsia="en-US"/>
        </w:rPr>
        <w:t>A</w:t>
      </w:r>
      <w:r w:rsidRPr="00CF31E0">
        <w:rPr>
          <w:lang w:eastAsia="en-US"/>
        </w:rPr>
        <w:t xml:space="preserve"> (see Figure </w:t>
      </w:r>
      <w:r w:rsidR="00054069" w:rsidRPr="00CF31E0">
        <w:rPr>
          <w:lang w:eastAsia="en-US"/>
        </w:rPr>
        <w:t>2</w:t>
      </w:r>
      <w:r w:rsidRPr="00CF31E0">
        <w:rPr>
          <w:lang w:eastAsia="en-US"/>
        </w:rPr>
        <w:t>.1). He stated that the dialects there could be roughly classified into four groups:</w:t>
      </w:r>
    </w:p>
    <w:p w14:paraId="69AC92E3" w14:textId="3DC0A9C0" w:rsidR="00160CC4" w:rsidRPr="00CF31E0" w:rsidRDefault="00160CC4" w:rsidP="00467EF6">
      <w:pPr>
        <w:numPr>
          <w:ilvl w:val="0"/>
          <w:numId w:val="6"/>
        </w:numPr>
        <w:spacing w:line="360" w:lineRule="auto"/>
        <w:jc w:val="both"/>
        <w:rPr>
          <w:rFonts w:eastAsia="Times New Roman"/>
          <w:color w:val="000000" w:themeColor="text1"/>
          <w:lang w:eastAsia="en-US"/>
        </w:rPr>
      </w:pPr>
      <w:r w:rsidRPr="00CF31E0">
        <w:rPr>
          <w:rFonts w:eastAsia="Times New Roman"/>
          <w:i/>
          <w:iCs/>
          <w:color w:val="000000" w:themeColor="text1"/>
          <w:lang w:eastAsia="en-US"/>
        </w:rPr>
        <w:t>(a) </w:t>
      </w:r>
      <w:r w:rsidRPr="00CF31E0">
        <w:rPr>
          <w:rFonts w:eastAsia="Times New Roman"/>
          <w:color w:val="000000" w:themeColor="text1"/>
          <w:lang w:eastAsia="en-US"/>
        </w:rPr>
        <w:t>North Arabian (including the Syrian desert, western Iraq, the whole of Najd as far south as the tribal dira of the Al-Murra on the northern edge of the Empty Quarter and the Gulf</w:t>
      </w:r>
      <w:r w:rsidR="00E90789" w:rsidRPr="00CF31E0">
        <w:rPr>
          <w:rFonts w:eastAsia="Times New Roman"/>
          <w:color w:val="000000" w:themeColor="text1"/>
          <w:lang w:eastAsia="en-US"/>
        </w:rPr>
        <w:t>)</w:t>
      </w:r>
      <w:r w:rsidRPr="00CF31E0">
        <w:rPr>
          <w:rFonts w:eastAsia="Times New Roman"/>
          <w:color w:val="000000" w:themeColor="text1"/>
          <w:lang w:eastAsia="en-US"/>
        </w:rPr>
        <w:t xml:space="preserve">. </w:t>
      </w:r>
    </w:p>
    <w:p w14:paraId="1C8BFF29" w14:textId="77777777" w:rsidR="00160CC4" w:rsidRPr="00CF31E0" w:rsidRDefault="00160CC4" w:rsidP="00467EF6">
      <w:pPr>
        <w:numPr>
          <w:ilvl w:val="0"/>
          <w:numId w:val="6"/>
        </w:numPr>
        <w:spacing w:line="360" w:lineRule="auto"/>
        <w:jc w:val="both"/>
        <w:rPr>
          <w:rFonts w:eastAsia="Times New Roman"/>
          <w:color w:val="000000" w:themeColor="text1"/>
          <w:lang w:eastAsia="en-US"/>
        </w:rPr>
      </w:pPr>
      <w:r w:rsidRPr="00CF31E0">
        <w:rPr>
          <w:rFonts w:eastAsia="Times New Roman"/>
          <w:i/>
          <w:iCs/>
          <w:color w:val="000000" w:themeColor="text1"/>
          <w:lang w:eastAsia="en-US"/>
        </w:rPr>
        <w:t>(b) </w:t>
      </w:r>
      <w:r w:rsidRPr="00CF31E0">
        <w:rPr>
          <w:rFonts w:eastAsia="Times New Roman"/>
          <w:color w:val="000000" w:themeColor="text1"/>
          <w:lang w:eastAsia="en-US"/>
        </w:rPr>
        <w:t xml:space="preserve">Hijazi (Red Sea littoral from the Gulf of Aqaba to the borders of north Yemen). </w:t>
      </w:r>
    </w:p>
    <w:p w14:paraId="41C88290" w14:textId="77777777" w:rsidR="00160CC4" w:rsidRPr="00CF31E0" w:rsidRDefault="00160CC4" w:rsidP="00467EF6">
      <w:pPr>
        <w:numPr>
          <w:ilvl w:val="0"/>
          <w:numId w:val="6"/>
        </w:numPr>
        <w:spacing w:line="360" w:lineRule="auto"/>
        <w:jc w:val="both"/>
        <w:rPr>
          <w:rFonts w:eastAsia="Times New Roman"/>
          <w:color w:val="000000" w:themeColor="text1"/>
          <w:lang w:eastAsia="en-US"/>
        </w:rPr>
      </w:pPr>
      <w:r w:rsidRPr="00CF31E0">
        <w:rPr>
          <w:rFonts w:eastAsia="Times New Roman"/>
          <w:i/>
          <w:iCs/>
          <w:color w:val="000000" w:themeColor="text1"/>
          <w:lang w:eastAsia="en-US"/>
        </w:rPr>
        <w:t>(c) </w:t>
      </w:r>
      <w:r w:rsidRPr="00CF31E0">
        <w:rPr>
          <w:rFonts w:eastAsia="Times New Roman"/>
          <w:color w:val="000000" w:themeColor="text1"/>
          <w:lang w:eastAsia="en-US"/>
        </w:rPr>
        <w:t xml:space="preserve">South-western Arabian (the Yemens, including the Hadramawt, Dhufar). </w:t>
      </w:r>
    </w:p>
    <w:p w14:paraId="4445B0C5" w14:textId="1DB4AA02" w:rsidR="00160CC4" w:rsidRPr="00CF31E0" w:rsidRDefault="00160CC4" w:rsidP="00603CB7">
      <w:pPr>
        <w:numPr>
          <w:ilvl w:val="0"/>
          <w:numId w:val="6"/>
        </w:numPr>
        <w:spacing w:after="400" w:line="360" w:lineRule="auto"/>
        <w:ind w:left="714" w:hanging="357"/>
        <w:jc w:val="both"/>
        <w:rPr>
          <w:rFonts w:eastAsia="Times New Roman"/>
          <w:color w:val="000000" w:themeColor="text1"/>
          <w:lang w:eastAsia="en-US"/>
        </w:rPr>
      </w:pPr>
      <w:r w:rsidRPr="00CF31E0">
        <w:rPr>
          <w:rFonts w:eastAsia="Times New Roman"/>
          <w:i/>
          <w:iCs/>
          <w:color w:val="000000" w:themeColor="text1"/>
          <w:lang w:eastAsia="en-US"/>
        </w:rPr>
        <w:t>(d) </w:t>
      </w:r>
      <w:r w:rsidRPr="00CF31E0">
        <w:rPr>
          <w:rFonts w:eastAsia="Times New Roman"/>
          <w:color w:val="000000" w:themeColor="text1"/>
          <w:lang w:eastAsia="en-US"/>
        </w:rPr>
        <w:t>O</w:t>
      </w:r>
      <w:r w:rsidR="00D17388">
        <w:rPr>
          <w:rFonts w:eastAsia="Times New Roman"/>
          <w:color w:val="000000" w:themeColor="text1"/>
          <w:lang w:eastAsia="en-US"/>
        </w:rPr>
        <w:t>mani (modern Oman, excluding Dhu</w:t>
      </w:r>
      <w:r w:rsidRPr="00CF31E0">
        <w:rPr>
          <w:rFonts w:eastAsia="Times New Roman"/>
          <w:color w:val="000000" w:themeColor="text1"/>
          <w:lang w:eastAsia="en-US"/>
        </w:rPr>
        <w:t xml:space="preserve">far) </w:t>
      </w:r>
      <w:r w:rsidRPr="00CF31E0">
        <w:rPr>
          <w:rFonts w:eastAsia="Times New Roman"/>
          <w:color w:val="000000" w:themeColor="text1"/>
          <w:lang w:eastAsia="en-US"/>
        </w:rPr>
        <w:fldChar w:fldCharType="begin"/>
      </w:r>
      <w:r w:rsidR="00CD34CA" w:rsidRPr="00CF31E0">
        <w:rPr>
          <w:rFonts w:eastAsia="Times New Roman"/>
          <w:color w:val="000000" w:themeColor="text1"/>
          <w:lang w:eastAsia="en-US"/>
        </w:rPr>
        <w:instrText xml:space="preserve"> ADDIN ZOTERO_ITEM CSL_CITATION {"citationID":"7pLT1ks0","properties":{"formattedCitation":"(Johnstone, 1967, pp. 1\\uc0\\u8211{}3)","plainCitation":"(Johnstone, 1967, pp. 1–3)","noteIndex":0},"citationItems":[{"id":112,"uris":["http://zotero.org/users/1939618/items/GNKCK9J8"],"uri":["http://zotero.org/users/1939618/items/GNKCK9J8"],"itemData":{"id":112,"type":"book","title":"Eastern Arabian dialect studies","publisher":"Oxford University Press","publisher-place":"London","source":"Google Scholar","event-place":"London","author":[{"family":"Johnstone","given":"Thomas Muir"}],"issued":{"date-parts":[["1967"]]}},"locator":"1-3","label":"page"}],"schema":"https://github.com/citation-style-language/schema/raw/master/csl-citation.json"} </w:instrText>
      </w:r>
      <w:r w:rsidRPr="00CF31E0">
        <w:rPr>
          <w:rFonts w:eastAsia="Times New Roman"/>
          <w:color w:val="000000" w:themeColor="text1"/>
          <w:lang w:eastAsia="en-US"/>
        </w:rPr>
        <w:fldChar w:fldCharType="separate"/>
      </w:r>
      <w:r w:rsidRPr="00CF31E0">
        <w:rPr>
          <w:rFonts w:eastAsia="Times New Roman"/>
          <w:color w:val="000000" w:themeColor="text1"/>
          <w:lang w:eastAsia="en-US"/>
        </w:rPr>
        <w:t>(Johnstone, 1967, pp. 1–3)</w:t>
      </w:r>
      <w:r w:rsidRPr="00CF31E0">
        <w:rPr>
          <w:rFonts w:eastAsia="Times New Roman"/>
          <w:color w:val="000000" w:themeColor="text1"/>
          <w:lang w:eastAsia="en-US"/>
        </w:rPr>
        <w:fldChar w:fldCharType="end"/>
      </w:r>
      <w:r w:rsidRPr="00CF31E0">
        <w:rPr>
          <w:rFonts w:eastAsia="Times New Roman"/>
          <w:color w:val="000000" w:themeColor="text1"/>
          <w:lang w:eastAsia="en-US"/>
        </w:rPr>
        <w:t xml:space="preserve">. </w:t>
      </w:r>
    </w:p>
    <w:p w14:paraId="409B42F8" w14:textId="6D6EE3E9" w:rsidR="00160CC4" w:rsidRDefault="00160CC4" w:rsidP="00603CB7">
      <w:pPr>
        <w:pStyle w:val="Paragraph"/>
        <w:rPr>
          <w:noProof/>
          <w:lang w:eastAsia="en-US"/>
        </w:rPr>
      </w:pPr>
      <w:r w:rsidRPr="00CF31E0">
        <w:rPr>
          <w:lang w:eastAsia="en-US"/>
        </w:rPr>
        <w:t xml:space="preserve">The following map in Figure </w:t>
      </w:r>
      <w:r w:rsidR="00AE350D" w:rsidRPr="00CF31E0">
        <w:rPr>
          <w:lang w:eastAsia="en-US"/>
        </w:rPr>
        <w:t>3</w:t>
      </w:r>
      <w:r w:rsidRPr="00CF31E0">
        <w:rPr>
          <w:lang w:eastAsia="en-US"/>
        </w:rPr>
        <w:t>.</w:t>
      </w:r>
      <w:r w:rsidR="00054069" w:rsidRPr="00CF31E0">
        <w:rPr>
          <w:lang w:eastAsia="en-US"/>
        </w:rPr>
        <w:t xml:space="preserve">2 </w:t>
      </w:r>
      <w:r w:rsidRPr="00CF31E0">
        <w:rPr>
          <w:lang w:eastAsia="en-US"/>
        </w:rPr>
        <w:t xml:space="preserve">illustrates the locations of the aforementioned dialect classifications. I have drawn lines around the approximate dialect areas that have been classified by </w:t>
      </w:r>
      <w:r w:rsidRPr="00CF31E0">
        <w:rPr>
          <w:noProof/>
          <w:lang w:eastAsia="en-US"/>
        </w:rPr>
        <w:t xml:space="preserve">Johnstone (1967) as a way to provide a visual representation of the main regional varieties in the Arabian Peninsula. </w:t>
      </w:r>
    </w:p>
    <w:p w14:paraId="54ECC395" w14:textId="0FBBF900" w:rsidR="00810B18" w:rsidRDefault="00810B18" w:rsidP="00603CB7">
      <w:pPr>
        <w:pStyle w:val="Paragraph"/>
        <w:rPr>
          <w:noProof/>
          <w:lang w:eastAsia="en-US"/>
        </w:rPr>
      </w:pPr>
      <w:r>
        <w:rPr>
          <w:noProof/>
        </w:rPr>
        <w:lastRenderedPageBreak/>
        <w:drawing>
          <wp:inline distT="0" distB="0" distL="0" distR="0" wp14:anchorId="394C2302" wp14:editId="2F7434A5">
            <wp:extent cx="4676140" cy="3736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di Arabia map3.png"/>
                    <pic:cNvPicPr/>
                  </pic:nvPicPr>
                  <pic:blipFill>
                    <a:blip r:embed="rId21">
                      <a:extLst>
                        <a:ext uri="{28A0092B-C50C-407E-A947-70E740481C1C}">
                          <a14:useLocalDpi xmlns:a14="http://schemas.microsoft.com/office/drawing/2010/main" val="0"/>
                        </a:ext>
                      </a:extLst>
                    </a:blip>
                    <a:stretch>
                      <a:fillRect/>
                    </a:stretch>
                  </pic:blipFill>
                  <pic:spPr>
                    <a:xfrm>
                      <a:off x="0" y="0"/>
                      <a:ext cx="4676140" cy="3736340"/>
                    </a:xfrm>
                    <a:prstGeom prst="rect">
                      <a:avLst/>
                    </a:prstGeom>
                  </pic:spPr>
                </pic:pic>
              </a:graphicData>
            </a:graphic>
          </wp:inline>
        </w:drawing>
      </w:r>
    </w:p>
    <w:p w14:paraId="167F562F" w14:textId="3E23DD26" w:rsidR="00160CC4" w:rsidRPr="00CF31E0" w:rsidRDefault="00160CC4" w:rsidP="0061369D">
      <w:pPr>
        <w:pStyle w:val="Figcaption"/>
        <w:rPr>
          <w:noProof/>
          <w:color w:val="000000" w:themeColor="text1"/>
        </w:rPr>
      </w:pPr>
      <w:bookmarkStart w:id="149" w:name="_Toc522527331"/>
      <w:bookmarkStart w:id="150" w:name="_Toc522628162"/>
      <w:bookmarkStart w:id="151" w:name="_Toc522628280"/>
      <w:bookmarkStart w:id="152" w:name="_Toc522628380"/>
      <w:bookmarkStart w:id="153" w:name="_Toc411438368"/>
      <w:bookmarkStart w:id="154" w:name="_Toc6472982"/>
      <w:r w:rsidRPr="00CF31E0">
        <w:rPr>
          <w:color w:val="000000" w:themeColor="text1"/>
        </w:rPr>
        <w:t xml:space="preserve">Figure </w:t>
      </w:r>
      <w:r w:rsidR="00AE350D" w:rsidRPr="00CF31E0">
        <w:rPr>
          <w:color w:val="000000" w:themeColor="text1"/>
        </w:rPr>
        <w:t>3</w:t>
      </w:r>
      <w:r w:rsidRPr="00CF31E0">
        <w:rPr>
          <w:color w:val="000000" w:themeColor="text1"/>
        </w:rPr>
        <w:t>.</w:t>
      </w:r>
      <w:r w:rsidR="00B97DCD" w:rsidRPr="00CF31E0">
        <w:rPr>
          <w:color w:val="000000" w:themeColor="text1"/>
        </w:rPr>
        <w:t>2</w:t>
      </w:r>
      <w:r w:rsidRPr="00CF31E0">
        <w:rPr>
          <w:color w:val="000000" w:themeColor="text1"/>
        </w:rPr>
        <w:t>: A map of the dialect classifications in the Arabian Peninsula</w:t>
      </w:r>
      <w:bookmarkEnd w:id="149"/>
      <w:bookmarkEnd w:id="150"/>
      <w:bookmarkEnd w:id="151"/>
      <w:bookmarkEnd w:id="152"/>
      <w:bookmarkEnd w:id="153"/>
      <w:r w:rsidR="0074630B" w:rsidRPr="00CF31E0">
        <w:rPr>
          <w:color w:val="000000" w:themeColor="text1"/>
        </w:rPr>
        <w:t>.</w:t>
      </w:r>
      <w:bookmarkEnd w:id="154"/>
    </w:p>
    <w:p w14:paraId="359023AE" w14:textId="5984E7B9" w:rsidR="00160CC4" w:rsidRPr="00CF31E0" w:rsidRDefault="00512FFD" w:rsidP="00603CB7">
      <w:pPr>
        <w:pStyle w:val="Figuresource"/>
      </w:pPr>
      <w:r w:rsidRPr="00CF31E0">
        <w:rPr>
          <w:rFonts w:eastAsia="Times New Roman"/>
          <w:lang w:eastAsia="en-US"/>
        </w:rPr>
        <w:t>(</w:t>
      </w:r>
      <w:r w:rsidR="00160CC4" w:rsidRPr="00CF31E0">
        <w:rPr>
          <w:rFonts w:eastAsia="Times New Roman"/>
          <w:lang w:eastAsia="en-US"/>
        </w:rPr>
        <w:t>Adapted from</w:t>
      </w:r>
      <w:r w:rsidRPr="00CF31E0">
        <w:rPr>
          <w:rFonts w:eastAsia="Times New Roman"/>
          <w:lang w:eastAsia="en-US"/>
        </w:rPr>
        <w:t xml:space="preserve"> Einstein, 2006)</w:t>
      </w:r>
      <w:r w:rsidR="00160CC4" w:rsidRPr="00CF31E0">
        <w:rPr>
          <w:rFonts w:eastAsia="Times New Roman"/>
          <w:lang w:eastAsia="en-US"/>
        </w:rPr>
        <w:t xml:space="preserve"> </w:t>
      </w:r>
    </w:p>
    <w:p w14:paraId="75B5A2A0" w14:textId="7C048CDD" w:rsidR="00160CC4" w:rsidRPr="00CF31E0" w:rsidRDefault="00160CC4" w:rsidP="006D3401">
      <w:pPr>
        <w:pStyle w:val="Paragraph"/>
        <w:rPr>
          <w:lang w:eastAsia="en-US"/>
        </w:rPr>
      </w:pPr>
      <w:r w:rsidRPr="00CF31E0">
        <w:rPr>
          <w:lang w:eastAsia="en-US"/>
        </w:rPr>
        <w:t xml:space="preserve">As can be seen from the above two maps, </w:t>
      </w:r>
      <w:r w:rsidR="00054069" w:rsidRPr="00CF31E0">
        <w:rPr>
          <w:lang w:eastAsia="en-US"/>
        </w:rPr>
        <w:t xml:space="preserve">the </w:t>
      </w:r>
      <w:r w:rsidRPr="00CF31E0">
        <w:rPr>
          <w:lang w:eastAsia="en-US"/>
        </w:rPr>
        <w:t xml:space="preserve">Arabic language has many regional varieties, but as noted in </w:t>
      </w:r>
      <w:r w:rsidR="00CE2B99" w:rsidRPr="00CF31E0">
        <w:rPr>
          <w:lang w:eastAsia="en-US"/>
        </w:rPr>
        <w:t>C</w:t>
      </w:r>
      <w:r w:rsidRPr="00CF31E0">
        <w:rPr>
          <w:lang w:eastAsia="en-US"/>
        </w:rPr>
        <w:t>hapter</w:t>
      </w:r>
      <w:r w:rsidR="001779C1" w:rsidRPr="00CF31E0">
        <w:rPr>
          <w:lang w:eastAsia="en-US"/>
        </w:rPr>
        <w:t xml:space="preserve"> </w:t>
      </w:r>
      <w:r w:rsidR="00512FFD" w:rsidRPr="00CF31E0">
        <w:rPr>
          <w:lang w:eastAsia="en-US"/>
        </w:rPr>
        <w:t>2</w:t>
      </w:r>
      <w:r w:rsidR="0074630B" w:rsidRPr="00CF31E0">
        <w:rPr>
          <w:lang w:eastAsia="en-US"/>
        </w:rPr>
        <w:t>,</w:t>
      </w:r>
      <w:r w:rsidR="00512FFD" w:rsidRPr="00CF31E0">
        <w:rPr>
          <w:lang w:eastAsia="en-US"/>
        </w:rPr>
        <w:t xml:space="preserve"> </w:t>
      </w:r>
      <w:r w:rsidRPr="00CF31E0">
        <w:rPr>
          <w:lang w:eastAsia="en-US"/>
        </w:rPr>
        <w:t>section</w:t>
      </w:r>
      <w:r w:rsidR="001779C1" w:rsidRPr="00CF31E0">
        <w:rPr>
          <w:lang w:eastAsia="en-US"/>
        </w:rPr>
        <w:t xml:space="preserve"> </w:t>
      </w:r>
      <w:r w:rsidR="00512FFD" w:rsidRPr="00CF31E0">
        <w:rPr>
          <w:lang w:eastAsia="en-US"/>
        </w:rPr>
        <w:t>2</w:t>
      </w:r>
      <w:r w:rsidR="001779C1" w:rsidRPr="00CF31E0">
        <w:rPr>
          <w:lang w:eastAsia="en-US"/>
        </w:rPr>
        <w:t>.17</w:t>
      </w:r>
      <w:r w:rsidR="0074630B" w:rsidRPr="00CF31E0">
        <w:rPr>
          <w:lang w:eastAsia="en-US"/>
        </w:rPr>
        <w:t xml:space="preserve">, </w:t>
      </w:r>
      <w:r w:rsidR="00AF11D4" w:rsidRPr="00CF31E0">
        <w:rPr>
          <w:lang w:eastAsia="en-US"/>
        </w:rPr>
        <w:t>a</w:t>
      </w:r>
      <w:r w:rsidRPr="00CF31E0">
        <w:rPr>
          <w:lang w:eastAsia="en-US"/>
        </w:rPr>
        <w:t>ll Arabic dialect</w:t>
      </w:r>
      <w:r w:rsidR="00AF11D4" w:rsidRPr="00CF31E0">
        <w:rPr>
          <w:lang w:eastAsia="en-US"/>
        </w:rPr>
        <w:t>s</w:t>
      </w:r>
      <w:r w:rsidRPr="00CF31E0">
        <w:rPr>
          <w:lang w:eastAsia="en-US"/>
        </w:rPr>
        <w:t xml:space="preserve"> are classified as </w:t>
      </w:r>
      <w:r w:rsidR="00AF11D4" w:rsidRPr="00CF31E0">
        <w:rPr>
          <w:lang w:eastAsia="en-US"/>
        </w:rPr>
        <w:t xml:space="preserve">reflecting </w:t>
      </w:r>
      <w:r w:rsidRPr="00CF31E0">
        <w:rPr>
          <w:lang w:eastAsia="en-US"/>
        </w:rPr>
        <w:t>informal usage of the Arabic language, while MSA</w:t>
      </w:r>
      <w:r w:rsidR="00AE4307">
        <w:rPr>
          <w:lang w:eastAsia="en-US"/>
        </w:rPr>
        <w:t xml:space="preserve"> dialect</w:t>
      </w:r>
      <w:r w:rsidRPr="00CF31E0">
        <w:rPr>
          <w:lang w:eastAsia="en-US"/>
        </w:rPr>
        <w:t xml:space="preserve"> is the formal and standard </w:t>
      </w:r>
      <w:r w:rsidR="00AE4307">
        <w:rPr>
          <w:lang w:eastAsia="en-US"/>
        </w:rPr>
        <w:t>variety</w:t>
      </w:r>
      <w:r w:rsidRPr="00CF31E0">
        <w:rPr>
          <w:lang w:eastAsia="en-US"/>
        </w:rPr>
        <w:t xml:space="preserve">. </w:t>
      </w:r>
      <w:r w:rsidR="006D3401" w:rsidRPr="006D3401">
        <w:rPr>
          <w:lang w:eastAsia="en-US"/>
        </w:rPr>
        <w:t xml:space="preserve">Thus, on the one hand, Arabic is spoken with different regional varieties; on the other hand, the MSA dialect is the only formal variety of Arabic which is used in the broadcast and print media, education and all formal contexts. However, MSA has never been a mother tongue for Arab people because their mother tongue is the dialect that is related to their region </w:t>
      </w:r>
      <w:r w:rsidR="006D3401" w:rsidRPr="006D3401">
        <w:rPr>
          <w:lang w:eastAsia="en-US"/>
        </w:rPr>
        <w:fldChar w:fldCharType="begin"/>
      </w:r>
      <w:r w:rsidR="006D3401" w:rsidRPr="006D3401">
        <w:rPr>
          <w:lang w:eastAsia="en-US"/>
        </w:rPr>
        <w:instrText xml:space="preserve"> ADDIN ZOTERO_ITEM CSL_CITATION {"citationID":"2540u6hf44","properties":{"formattedCitation":"(Alghamdi, 1998; Biadsy et al., 2009)","plainCitation":"(Alghamdi, 1998; Biadsy et al., 2009)","noteIndex":0},"citationItems":[{"id":"wgwhcNH1/mvJBt3YX","uris":["http://zotero.org/users/1939618/items/R6A8KAN4"],"uri":["http://zotero.org/users/1939618/items/R6A8KAN4"],"itemData":{"id":22,"type":"article-journal","title":"A spectrographic analysis of Arabic vowels: A cross-dialect study","container-title":"Journal of King Saud University","source":"Google Scholar","URL":"http://repository.ksu.edu.sa/jspui/handle/123456789/372","shortTitle":"A spectrographic analysis of Arabic vowels","author":[{"family":"Alghamdi","given":"Mansour M."}],"issued":{"date-parts":[["1998"]]},"accessed":{"date-parts":[["2014",6,4]]}},"label":"page"},{"id":109,"uris":["http://zotero.org/users/1939618/items/BMI74B84"],"uri":["http://zotero.org/users/1939618/items/BMI74B84"],"itemData":{"id":109,"type":"paper-conference","title":"Spoken Arabic dialect identification using phonotactic modeling","container-title":"Proceedings of the EACL 2009 Workshop on Computational Approaches to Semitic Languages","publisher":"Association for Computational Linguistics","page":"53–61","source":"Google Scholar","URL":"http://dl.acm.org/citation.cfm?id=1621784","author":[{"family":"Biadsy","given":"Fadi"},{"family":"Hirschberg","given":"Julia"},{"family":"Habash","given":"Nizar"}],"issued":{"date-parts":[["2009"]]},"accessed":{"date-parts":[["2015",1,23]]}},"label":"page"}],"schema":"https://github.com/citation-style-language/schema/raw/master/csl-citation.json"} </w:instrText>
      </w:r>
      <w:r w:rsidR="006D3401" w:rsidRPr="006D3401">
        <w:rPr>
          <w:lang w:eastAsia="en-US"/>
        </w:rPr>
        <w:fldChar w:fldCharType="separate"/>
      </w:r>
      <w:r w:rsidR="006D3401" w:rsidRPr="006D3401">
        <w:rPr>
          <w:lang w:eastAsia="en-US"/>
        </w:rPr>
        <w:t>(Alghamdi, 1998; Biadsy et al., 2009)</w:t>
      </w:r>
      <w:r w:rsidR="006D3401" w:rsidRPr="006D3401">
        <w:rPr>
          <w:lang w:eastAsia="en-US"/>
        </w:rPr>
        <w:fldChar w:fldCharType="end"/>
      </w:r>
      <w:r w:rsidR="006D3401" w:rsidRPr="006D3401">
        <w:rPr>
          <w:lang w:eastAsia="en-US"/>
        </w:rPr>
        <w:t xml:space="preserve">. The present research will focus on two Arabic varieties: UBH and HH, which are spoken varieties of the Arabic language and are not derived from the MSA dialect. </w:t>
      </w:r>
    </w:p>
    <w:p w14:paraId="542CBADA" w14:textId="3C30B1E0" w:rsidR="00160CC4" w:rsidRPr="00CF31E0" w:rsidRDefault="00160CC4" w:rsidP="00603CB7">
      <w:pPr>
        <w:pStyle w:val="Paragraph"/>
        <w:rPr>
          <w:lang w:eastAsia="en-US"/>
        </w:rPr>
      </w:pPr>
      <w:r w:rsidRPr="00CF31E0">
        <w:rPr>
          <w:lang w:eastAsia="en-US"/>
        </w:rPr>
        <w:t xml:space="preserve">The dichotomy found between MSA and spoken Arabic dialects resulted in many researchers investigating this phenomenon and researching the differences between the two forms </w:t>
      </w:r>
      <w:r w:rsidRPr="00CF31E0">
        <w:rPr>
          <w:lang w:eastAsia="en-US"/>
        </w:rPr>
        <w:fldChar w:fldCharType="begin"/>
      </w:r>
      <w:r w:rsidR="00A54129" w:rsidRPr="00CF31E0">
        <w:rPr>
          <w:lang w:eastAsia="en-US"/>
        </w:rPr>
        <w:instrText xml:space="preserve"> ADDIN ZOTERO_ITEM CSL_CITATION {"citationID":"2540u6hf44","properties":{"formattedCitation":"(Alghamdi, 1998; Biadsy et al., 2009)","plainCitation":"(Alghamdi, 1998; Biadsy et al., 2009)","noteIndex":0},"citationItems":[{"id":"wgwhcNH1/mvJBt3YX","uris":["http://zotero.org/users/1939618/items/R6A8KAN4"],"uri":["http://zotero.org/users/1939618/items/R6A8KAN4"],"itemData":{"id":22,"type":"article-journal","title":"A spectrographic analysis of Arabic vowels: A cross-dialect study","container-title":"Journal of King Saud University","source":"Google Scholar","URL":"http://repository.ksu.edu.sa/jspui/handle/123456789/372","shortTitle":"A spectrographic analysis of Arabic vowels","author":[{"family":"Alghamdi","given":"Mansour M."}],"issued":{"date-parts":[["1998"]]},"accessed":{"date-parts":[["2014",6,4]]}},"label":"page"},{"id":109,"uris":["http://zotero.org/users/1939618/items/BMI74B84"],"uri":["http://zotero.org/users/1939618/items/BMI74B84"],"itemData":{"id":109,"type":"paper-conference","title":"Spoken Arabic dialect identification using phonotactic modeling","container-title":"Proceedings of the EACL 2009 Workshop on Computational Approaches to Semitic Languages","publisher":"Association for Computational Linguistics","page":"53–61","source":"Google Scholar","URL":"http://dl.acm.org/citation.cfm?id=1621784","author":[{"family":"Biadsy","given":"Fadi"},{"family":"Hirschberg","given":"Julia"},{"family":"Habash","given":"Nizar"}],"issued":{"date-parts":[["2009"]]},"accessed":{"date-parts":[["2015",1,23]]}},"label":"page"}],"schema":"https://github.com/citation-style-language/schema/raw/master/csl-citation.json"} </w:instrText>
      </w:r>
      <w:r w:rsidRPr="00CF31E0">
        <w:rPr>
          <w:lang w:eastAsia="en-US"/>
        </w:rPr>
        <w:fldChar w:fldCharType="separate"/>
      </w:r>
      <w:r w:rsidRPr="00CF31E0">
        <w:rPr>
          <w:noProof/>
          <w:lang w:eastAsia="en-US"/>
        </w:rPr>
        <w:t>(Alghamdi, 1998; Biadsy et al., 2009)</w:t>
      </w:r>
      <w:r w:rsidRPr="00CF31E0">
        <w:rPr>
          <w:lang w:eastAsia="en-US"/>
        </w:rPr>
        <w:fldChar w:fldCharType="end"/>
      </w:r>
      <w:r w:rsidRPr="00CF31E0">
        <w:rPr>
          <w:sz w:val="20"/>
          <w:szCs w:val="20"/>
          <w:lang w:eastAsia="en-US"/>
        </w:rPr>
        <w:t xml:space="preserve">. </w:t>
      </w:r>
      <w:r w:rsidRPr="00CF31E0">
        <w:rPr>
          <w:lang w:eastAsia="en-US"/>
        </w:rPr>
        <w:t>Alghamdi (1998) pointed out that MSA contains six vowels: “/a/, /i/, /</w:t>
      </w:r>
      <w:r w:rsidRPr="00CF31E0">
        <w:rPr>
          <w:lang w:val="en-US" w:eastAsia="en-US"/>
        </w:rPr>
        <w:t>u/</w:t>
      </w:r>
      <w:r w:rsidRPr="00CF31E0">
        <w:rPr>
          <w:lang w:eastAsia="en-US"/>
        </w:rPr>
        <w:t xml:space="preserve">, </w:t>
      </w:r>
      <w:r w:rsidRPr="00CF31E0">
        <w:rPr>
          <w:lang w:eastAsia="en-US"/>
        </w:rPr>
        <w:lastRenderedPageBreak/>
        <w:t xml:space="preserve">/a:/, /i:/, /u:/” (p. 4). Three of these are short vowels and three are long. Alghamdi investigated whether the aforementioned vowels stay the same or differ in spoken Arabic dialects. Fifteen informants representing different dialects were chosen from three Arabic </w:t>
      </w:r>
      <w:r w:rsidR="00FF5758" w:rsidRPr="00CF31E0">
        <w:rPr>
          <w:lang w:eastAsia="en-US"/>
        </w:rPr>
        <w:t>count</w:t>
      </w:r>
      <w:r w:rsidRPr="00CF31E0">
        <w:rPr>
          <w:lang w:eastAsia="en-US"/>
        </w:rPr>
        <w:t>ries: five from S</w:t>
      </w:r>
      <w:r w:rsidR="0069253B" w:rsidRPr="00CF31E0">
        <w:rPr>
          <w:lang w:eastAsia="en-US"/>
        </w:rPr>
        <w:t>A</w:t>
      </w:r>
      <w:r w:rsidRPr="00CF31E0">
        <w:rPr>
          <w:lang w:eastAsia="en-US"/>
        </w:rPr>
        <w:t>, five from Sudan and five from Egypt. The Saudis were from Najd (the central region in S</w:t>
      </w:r>
      <w:r w:rsidR="0069253B" w:rsidRPr="00CF31E0">
        <w:rPr>
          <w:lang w:eastAsia="en-US"/>
        </w:rPr>
        <w:t>A</w:t>
      </w:r>
      <w:r w:rsidRPr="00CF31E0">
        <w:rPr>
          <w:lang w:eastAsia="en-US"/>
        </w:rPr>
        <w:t xml:space="preserve">), the Egyptians were from Cairo (the capital city), and the Sudanese were from Khartoum (the capital city). The informants were given six CVC syllables, and they were asked to read them. Their speech was recorded and analysed afterwards. The results revealed that in terms of vowel duration, the following long vowels /a:/, /i:/, /u:/ tended to be more than twice as long in all three dialects than in MSA. To sum up, </w:t>
      </w:r>
      <w:r w:rsidRPr="00CF31E0">
        <w:rPr>
          <w:lang w:eastAsia="en-US"/>
        </w:rPr>
        <w:fldChar w:fldCharType="begin"/>
      </w:r>
      <w:r w:rsidR="00A54129" w:rsidRPr="00CF31E0">
        <w:rPr>
          <w:lang w:eastAsia="en-US"/>
        </w:rPr>
        <w:instrText xml:space="preserve"> ADDIN ZOTERO_ITEM CSL_CITATION {"citationID":"aInoD9FO","properties":{"formattedCitation":"(Alghamdi, 1998)","plainCitation":"(Alghamdi, 1998)","dontUpdate":true,"noteIndex":0},"citationItems":[{"id":"wgwhcNH1/mvJBt3YX","uris":["http://zotero.org/users/1939618/items/R6A8KAN4"],"uri":["http://zotero.org/users/1939618/items/R6A8KAN4"],"itemData":{"id":22,"type":"article-journal","title":"A spectrographic analysis of Arabic vowels: A cross-dialect study","container-title":"Journal of King Saud University","source":"Google Scholar","URL":"http://repository.ksu.edu.sa/jspui/handle/123456789/372","shortTitle":"A spectrographic analysis of Arabic vowels","author":[{"family":"Alghamdi","given":"Mansour M."}],"issued":{"date-parts":[["1998"]]},"accessed":{"date-parts":[["2014",6,4]]}}}],"schema":"https://github.com/citation-style-language/schema/raw/master/csl-citation.json"} </w:instrText>
      </w:r>
      <w:r w:rsidRPr="00CF31E0">
        <w:rPr>
          <w:lang w:eastAsia="en-US"/>
        </w:rPr>
        <w:fldChar w:fldCharType="separate"/>
      </w:r>
      <w:r w:rsidRPr="00CF31E0">
        <w:rPr>
          <w:noProof/>
          <w:lang w:eastAsia="en-US"/>
        </w:rPr>
        <w:t>Alghamdi (1998)</w:t>
      </w:r>
      <w:r w:rsidRPr="00CF31E0">
        <w:rPr>
          <w:lang w:eastAsia="en-US"/>
        </w:rPr>
        <w:fldChar w:fldCharType="end"/>
      </w:r>
      <w:r w:rsidRPr="00CF31E0">
        <w:rPr>
          <w:lang w:eastAsia="en-US"/>
        </w:rPr>
        <w:t xml:space="preserve"> proved that variation </w:t>
      </w:r>
      <w:r w:rsidR="00AF11D4" w:rsidRPr="00CF31E0">
        <w:rPr>
          <w:lang w:eastAsia="en-US"/>
        </w:rPr>
        <w:t xml:space="preserve">is </w:t>
      </w:r>
      <w:r w:rsidRPr="00CF31E0">
        <w:rPr>
          <w:lang w:eastAsia="en-US"/>
        </w:rPr>
        <w:t xml:space="preserve">found </w:t>
      </w:r>
      <w:r w:rsidR="00AF11D4" w:rsidRPr="00CF31E0">
        <w:rPr>
          <w:lang w:eastAsia="en-US"/>
        </w:rPr>
        <w:t>between</w:t>
      </w:r>
      <w:r w:rsidRPr="00CF31E0">
        <w:rPr>
          <w:lang w:eastAsia="en-US"/>
        </w:rPr>
        <w:t xml:space="preserve"> the Arabic vowel system in MSA </w:t>
      </w:r>
      <w:r w:rsidR="00AF11D4" w:rsidRPr="00CF31E0">
        <w:rPr>
          <w:lang w:eastAsia="en-US"/>
        </w:rPr>
        <w:t xml:space="preserve">and </w:t>
      </w:r>
      <w:r w:rsidRPr="00CF31E0">
        <w:rPr>
          <w:lang w:eastAsia="en-US"/>
        </w:rPr>
        <w:t xml:space="preserve">the Arabic vowel system in spoken Arabic dialects. The main variation revealed </w:t>
      </w:r>
      <w:r w:rsidR="00AF11D4" w:rsidRPr="00CF31E0">
        <w:rPr>
          <w:lang w:eastAsia="en-US"/>
        </w:rPr>
        <w:t xml:space="preserve">is </w:t>
      </w:r>
      <w:r w:rsidRPr="00CF31E0">
        <w:rPr>
          <w:lang w:eastAsia="en-US"/>
        </w:rPr>
        <w:t>the realization of long Arabic vowels</w:t>
      </w:r>
      <w:r w:rsidR="00AF11D4" w:rsidRPr="00CF31E0">
        <w:rPr>
          <w:lang w:eastAsia="en-US"/>
        </w:rPr>
        <w:t>,</w:t>
      </w:r>
      <w:r w:rsidRPr="00CF31E0">
        <w:rPr>
          <w:lang w:eastAsia="en-US"/>
        </w:rPr>
        <w:t xml:space="preserve"> </w:t>
      </w:r>
      <w:r w:rsidR="00AF11D4" w:rsidRPr="00CF31E0">
        <w:rPr>
          <w:lang w:eastAsia="en-US"/>
        </w:rPr>
        <w:t>which</w:t>
      </w:r>
      <w:r w:rsidRPr="00CF31E0">
        <w:rPr>
          <w:lang w:eastAsia="en-US"/>
        </w:rPr>
        <w:t xml:space="preserve"> tend to be longer </w:t>
      </w:r>
      <w:r w:rsidR="00AF11D4" w:rsidRPr="00CF31E0">
        <w:rPr>
          <w:lang w:eastAsia="en-US"/>
        </w:rPr>
        <w:t xml:space="preserve">in spoken Arabic dialects </w:t>
      </w:r>
      <w:r w:rsidRPr="00CF31E0">
        <w:rPr>
          <w:lang w:eastAsia="en-US"/>
        </w:rPr>
        <w:t xml:space="preserve">than in MSA. </w:t>
      </w:r>
    </w:p>
    <w:p w14:paraId="5309183B" w14:textId="37269BB3" w:rsidR="00160CC4" w:rsidRDefault="00160CC4" w:rsidP="00603CB7">
      <w:pPr>
        <w:pStyle w:val="Paragraph"/>
        <w:rPr>
          <w:lang w:eastAsia="en-US"/>
        </w:rPr>
      </w:pPr>
      <w:r w:rsidRPr="00CF31E0">
        <w:rPr>
          <w:lang w:eastAsia="en-US"/>
        </w:rPr>
        <w:fldChar w:fldCharType="begin"/>
      </w:r>
      <w:r w:rsidR="00A54129" w:rsidRPr="00CF31E0">
        <w:rPr>
          <w:lang w:eastAsia="en-US"/>
        </w:rPr>
        <w:instrText xml:space="preserve"> ADDIN ZOTERO_ITEM CSL_CITATION {"citationID":"4tgBiyOi","properties":{"formattedCitation":"(Albirini, 2011)","plainCitation":"(Albirini, 2011)","dontUpdate":true,"noteIndex":0},"citationItems":[{"id":"wgwhcNH1/9KWasQTm","uris":["http://zotero.org/users/1939618/items/UWZNS4JU"],"uri":["http://zotero.org/users/1939618/items/UWZNS4JU"],"itemData":{"id":468,"type":"article-journal","title":"The sociolinguistic functions of codeswitching between Standard Arabic and Dialectal Arabic","container-title":"Language in Society","volume":"40","source":"ResearchGate","abstract":"This study examines the social functions of codeswitching (CS) between Standard Arabic (SA) and Dialectal Arabic (DA). The data came from thirty-five audio and video recordings in the domains of religious lectures, political debates, and soccer commentaries. The findings suggest that speakers create a functional division between the two varieties by designating issues of importance, complexity, and seriousness to SA, the High code, and aligning less important, less serious, and accessible topics with DA, the Low code. The CS patterns therefore reproduce the unequal social values and distribution of SA and DA in the Arabic sociolinguistic landscape and simultaneously call for a reconceptualization of the notion of diglossia as presented in Ferguson's (1959) work. Other functions of CS as a marker of speakers' attitudes and as an index of pan-Arab or Muslim identities are discussed. (Arabic, bidialectal codeswitching, High/Low dichotomy, functional diglossia, identity, language attitudes)","DOI":"10.1017/S0047404511000674","author":[{"family":"Albirini","given":"Abdulkafi"}],"issued":{"date-parts":[["2011",11,1]]}}}],"schema":"https://github.com/citation-style-language/schema/raw/master/csl-citation.json"} </w:instrText>
      </w:r>
      <w:r w:rsidRPr="00CF31E0">
        <w:rPr>
          <w:lang w:eastAsia="en-US"/>
        </w:rPr>
        <w:fldChar w:fldCharType="separate"/>
      </w:r>
      <w:r w:rsidRPr="00CF31E0">
        <w:rPr>
          <w:noProof/>
          <w:lang w:eastAsia="en-US"/>
        </w:rPr>
        <w:t>Albirini (2011)</w:t>
      </w:r>
      <w:r w:rsidRPr="00CF31E0">
        <w:rPr>
          <w:lang w:eastAsia="en-US"/>
        </w:rPr>
        <w:fldChar w:fldCharType="end"/>
      </w:r>
      <w:r w:rsidRPr="00CF31E0">
        <w:rPr>
          <w:lang w:eastAsia="en-US"/>
        </w:rPr>
        <w:t xml:space="preserve"> investigated the functions of codeswitching between MSA and dialectal Arabic. He analysed video and audio extracts from political and religious lectures and football commentaries. The dialects in the extracts were mainly from Egyptian, Levantine and Gulf Arabic. The results revealed that codeswitching between MSA and dialectal Arabic was used to fulfil a social function. For instance, MSA was more likely to be used in serious and significant situations. On the other hand, for less serious and complex issues then dialectal Arabic was more likely to be used. </w:t>
      </w:r>
    </w:p>
    <w:p w14:paraId="58E6BFA4" w14:textId="24EC58E0" w:rsidR="006D3401" w:rsidRPr="006D3401" w:rsidRDefault="006D3401" w:rsidP="006D3401">
      <w:pPr>
        <w:pStyle w:val="Paragraph"/>
        <w:rPr>
          <w:lang w:eastAsia="en-US"/>
        </w:rPr>
      </w:pPr>
      <w:r w:rsidRPr="006D3401">
        <w:rPr>
          <w:lang w:eastAsia="en-US"/>
        </w:rPr>
        <w:t xml:space="preserve">Prior to examining the main factors that affected dialect classification in the Arab world in general and SA in particular, I will discuss briefly how the present study fits into the field of Arabic sociolinguistics in general. Arabic sociolinguistics is a growing field and it has recently gained more interest in relation to most aspects of sociolinguistics. First, studies have investigated code-switching between Arabic dialects and MSA (see Albirini, 2011; Eid, 1988; Mejdell, 1999). Second, studies have investigated effects of gender in relation to language variation and change in Arabic dialects (see </w:t>
      </w:r>
      <w:bookmarkStart w:id="155" w:name="ZOTERO_BREF_SGGhDqbHudNXjPaEvqIdr"/>
      <w:r w:rsidRPr="006D3401">
        <w:rPr>
          <w:lang w:eastAsia="en-US"/>
        </w:rPr>
        <w:t>Abu-Haidar, 1989; Al-Muhannadi, 1991; Altorki &amp; El-Solh, 1988</w:t>
      </w:r>
      <w:bookmarkEnd w:id="155"/>
      <w:r w:rsidRPr="006D3401">
        <w:rPr>
          <w:lang w:eastAsia="en-US"/>
        </w:rPr>
        <w:t xml:space="preserve">). Third, studies have investigated language variation and change in Arabic dialects </w:t>
      </w:r>
      <w:r w:rsidRPr="006D3401">
        <w:rPr>
          <w:lang w:eastAsia="en-US"/>
        </w:rPr>
        <w:lastRenderedPageBreak/>
        <w:t xml:space="preserve">(see Al-Azraqi, 1998; Al-Jehani, 1990; Alzaidi, 2014; El Salman, 2016). The latter aspect is related to a certain extent to the present study. Explanations for language variation and change in Arabic dialects have been based on objective factors such as urbanization (see Al-Jehani, 1985; Holes, 1995), which will be discussed in section 3.3.2. below using an objective framework. However, such studies only explain the factors related to language variation and change and do not predict linguistic change. Language attitude research provides a backdrop for predicting language variation and change. Few studies have investigated language variation and change in Arabic dialects from the perspective of subjective norms (i.e. language attitude studies) </w:t>
      </w:r>
      <w:r w:rsidR="00333D92" w:rsidRPr="000E3509">
        <w:rPr>
          <w:lang w:eastAsia="en-US"/>
        </w:rPr>
        <w:t>(see section 3.3.2 below</w:t>
      </w:r>
      <w:r w:rsidRPr="00333D92">
        <w:rPr>
          <w:lang w:eastAsia="en-US"/>
        </w:rPr>
        <w:t>).</w:t>
      </w:r>
      <w:r w:rsidRPr="006D3401">
        <w:rPr>
          <w:lang w:eastAsia="en-US"/>
        </w:rPr>
        <w:t xml:space="preserve"> Therefore, the present study will further enhance the body of research on language variation and change in Hijazi dialects by explaining what determines and defines Hijazi people’s attitudes towards their dialects and how their attitudes provide a prediction of language variation and change in the Hijaz area. It is important to note that the chapter will only review the relevant studies on language variation and change in Arabic sociolinguistics as other aspects of Arabic sociolinguistics are not relevant to the present study</w:t>
      </w:r>
      <w:r w:rsidR="002C5FC1">
        <w:rPr>
          <w:lang w:eastAsia="en-US"/>
        </w:rPr>
        <w:t>.</w:t>
      </w:r>
    </w:p>
    <w:p w14:paraId="21248230" w14:textId="09D48CDD" w:rsidR="006D3401" w:rsidRDefault="006D3401" w:rsidP="006D3401">
      <w:pPr>
        <w:pStyle w:val="Paragraph"/>
        <w:rPr>
          <w:lang w:eastAsia="en-US"/>
        </w:rPr>
      </w:pPr>
      <w:r w:rsidRPr="006D3401">
        <w:rPr>
          <w:lang w:eastAsia="en-US"/>
        </w:rPr>
        <w:t xml:space="preserve">Dialect classification in the Arabian Peninsula in general and SA in particular has been affected by many factors that have directed the way that dialects are researched in the region. In the following sections, I will highlight the main influences on Arabic dialectology. </w:t>
      </w:r>
    </w:p>
    <w:p w14:paraId="7F16E630" w14:textId="7EB60805" w:rsidR="00160CC4" w:rsidRPr="00CF31E0" w:rsidRDefault="00512FFD" w:rsidP="0061369D">
      <w:pPr>
        <w:pStyle w:val="Ahead"/>
        <w:rPr>
          <w:rFonts w:eastAsia="Times New Roman"/>
        </w:rPr>
      </w:pPr>
      <w:bookmarkStart w:id="156" w:name="_Toc411431473"/>
      <w:bookmarkStart w:id="157" w:name="_Toc512432007"/>
      <w:bookmarkStart w:id="158" w:name="_Toc512432198"/>
      <w:bookmarkStart w:id="159" w:name="_Toc6472640"/>
      <w:r w:rsidRPr="00CF31E0">
        <w:rPr>
          <w:rFonts w:eastAsia="Times New Roman"/>
        </w:rPr>
        <w:t>3</w:t>
      </w:r>
      <w:r w:rsidR="009C1CCE" w:rsidRPr="00CF31E0">
        <w:rPr>
          <w:rFonts w:eastAsia="Times New Roman"/>
        </w:rPr>
        <w:t>.3.</w:t>
      </w:r>
      <w:r w:rsidR="009C1CCE" w:rsidRPr="00CF31E0">
        <w:rPr>
          <w:rFonts w:eastAsia="Times New Roman"/>
        </w:rPr>
        <w:tab/>
      </w:r>
      <w:r w:rsidR="00160CC4" w:rsidRPr="00CF31E0">
        <w:rPr>
          <w:rFonts w:eastAsia="Times New Roman"/>
        </w:rPr>
        <w:t>Factors that affected</w:t>
      </w:r>
      <w:r w:rsidR="00051205">
        <w:rPr>
          <w:rFonts w:eastAsia="Times New Roman"/>
        </w:rPr>
        <w:t xml:space="preserve"> dialect classification </w:t>
      </w:r>
      <w:r w:rsidR="00160CC4" w:rsidRPr="00CF31E0">
        <w:rPr>
          <w:rFonts w:eastAsia="Times New Roman"/>
        </w:rPr>
        <w:t>in the Arab world and SA</w:t>
      </w:r>
      <w:bookmarkEnd w:id="156"/>
      <w:bookmarkEnd w:id="157"/>
      <w:bookmarkEnd w:id="158"/>
      <w:bookmarkEnd w:id="159"/>
    </w:p>
    <w:p w14:paraId="2C89BA06" w14:textId="1B29A4A2" w:rsidR="00160CC4" w:rsidRPr="00CF31E0" w:rsidRDefault="00160CC4" w:rsidP="00603CB7">
      <w:pPr>
        <w:pStyle w:val="Paragraph"/>
        <w:rPr>
          <w:lang w:eastAsia="en-US"/>
        </w:rPr>
      </w:pPr>
      <w:r w:rsidRPr="00CF31E0">
        <w:rPr>
          <w:lang w:eastAsia="en-US"/>
        </w:rPr>
        <w:t xml:space="preserve">Many complicating factors have affected the way in which researchers investigated the dialect situation in the Middle East. The most dominant factors relate to the traditional background of the Arabian Peninsula, which resulted in dialect research classifying dialects according to the genealogy or tribe in which the dialect is spoken. The second factor relates to the modernization that the Arabian Peninsula has witnessed recently, and how this has influenced dialect </w:t>
      </w:r>
      <w:r w:rsidR="006E1184">
        <w:rPr>
          <w:lang w:eastAsia="en-US"/>
        </w:rPr>
        <w:t>classification</w:t>
      </w:r>
      <w:r w:rsidRPr="00CF31E0">
        <w:rPr>
          <w:lang w:eastAsia="en-US"/>
        </w:rPr>
        <w:t xml:space="preserve"> in terms of a focus on how </w:t>
      </w:r>
      <w:r w:rsidRPr="00CF31E0">
        <w:rPr>
          <w:lang w:eastAsia="en-US"/>
        </w:rPr>
        <w:lastRenderedPageBreak/>
        <w:t xml:space="preserve">urbanization has influenced dialect variation and change in the region. In the following sections, I will demonstrate each factor separately. </w:t>
      </w:r>
    </w:p>
    <w:p w14:paraId="3AB231F3" w14:textId="62923C60" w:rsidR="00160CC4" w:rsidRPr="00CF31E0" w:rsidRDefault="00512FFD" w:rsidP="0061369D">
      <w:pPr>
        <w:pStyle w:val="Bhead"/>
      </w:pPr>
      <w:bookmarkStart w:id="160" w:name="_Toc411431474"/>
      <w:bookmarkStart w:id="161" w:name="_Toc6472641"/>
      <w:bookmarkStart w:id="162" w:name="_Toc512432008"/>
      <w:bookmarkStart w:id="163" w:name="_Toc512432199"/>
      <w:r w:rsidRPr="00CF31E0">
        <w:t>3</w:t>
      </w:r>
      <w:r w:rsidR="003F705C" w:rsidRPr="00CF31E0">
        <w:t>.3.1.</w:t>
      </w:r>
      <w:r w:rsidR="003F705C" w:rsidRPr="00CF31E0">
        <w:tab/>
      </w:r>
      <w:r w:rsidR="00160CC4" w:rsidRPr="00CF31E0">
        <w:t>Tr</w:t>
      </w:r>
      <w:bookmarkEnd w:id="160"/>
      <w:r w:rsidR="00160CC4" w:rsidRPr="00CF31E0">
        <w:t xml:space="preserve">aditional nature of the Arabian peninsula and its influence on </w:t>
      </w:r>
      <w:r w:rsidR="00051205">
        <w:t>classification</w:t>
      </w:r>
      <w:bookmarkEnd w:id="161"/>
      <w:bookmarkEnd w:id="162"/>
      <w:bookmarkEnd w:id="163"/>
    </w:p>
    <w:p w14:paraId="613312D7" w14:textId="584CFBE4" w:rsidR="00160CC4" w:rsidRPr="00CF31E0" w:rsidRDefault="00160CC4" w:rsidP="00603CB7">
      <w:pPr>
        <w:pStyle w:val="Paragraph"/>
        <w:rPr>
          <w:lang w:eastAsia="en-US"/>
        </w:rPr>
      </w:pPr>
      <w:r w:rsidRPr="00CF31E0">
        <w:rPr>
          <w:lang w:val="en-US" w:eastAsia="en-US"/>
        </w:rPr>
        <w:t xml:space="preserve">As noted in </w:t>
      </w:r>
      <w:r w:rsidR="00CE2B99" w:rsidRPr="00CF31E0">
        <w:rPr>
          <w:lang w:val="en-US" w:eastAsia="en-US"/>
        </w:rPr>
        <w:t>C</w:t>
      </w:r>
      <w:r w:rsidR="007924EF" w:rsidRPr="00CF31E0">
        <w:rPr>
          <w:lang w:val="en-US" w:eastAsia="en-US"/>
        </w:rPr>
        <w:t>hapter 2</w:t>
      </w:r>
      <w:r w:rsidR="00CE2B99" w:rsidRPr="00CF31E0">
        <w:rPr>
          <w:lang w:val="en-US" w:eastAsia="en-US"/>
        </w:rPr>
        <w:t>,</w:t>
      </w:r>
      <w:r w:rsidR="007924EF" w:rsidRPr="00CF31E0">
        <w:rPr>
          <w:lang w:val="en-US" w:eastAsia="en-US"/>
        </w:rPr>
        <w:t xml:space="preserve"> section 2.5</w:t>
      </w:r>
      <w:r w:rsidRPr="00CF31E0">
        <w:rPr>
          <w:lang w:val="en-US" w:eastAsia="en-US"/>
        </w:rPr>
        <w:t xml:space="preserve">, the </w:t>
      </w:r>
      <w:r w:rsidRPr="00CF31E0">
        <w:rPr>
          <w:lang w:eastAsia="en-US"/>
        </w:rPr>
        <w:t xml:space="preserve">Arabian Peninsula is “the home of all Arab tribes” </w:t>
      </w:r>
      <w:r w:rsidRPr="00CF31E0">
        <w:rPr>
          <w:lang w:eastAsia="en-US"/>
        </w:rPr>
        <w:fldChar w:fldCharType="begin"/>
      </w:r>
      <w:r w:rsidRPr="00CF31E0">
        <w:rPr>
          <w:lang w:eastAsia="en-US"/>
        </w:rPr>
        <w:instrText xml:space="preserve"> ADDIN ZOTERO_ITEM CSL_CITATION {"citationID":"07dS8eva","properties":{"formattedCitation":"(Longva, 2006, p. 171)","plainCitation":"(Longva, 2006, p. 171)","noteIndex":0},"citationItems":[{"id":121,"uris":["http://zotero.org/users/1939618/items/8I3DCVVI"],"uri":["http://zotero.org/users/1939618/items/8I3DCVVI"],"itemData":{"id":121,"type":"article-journal","title":"Nationalism in pre-modern guise: the discourse on hadhar and badu in Kuwait","container-title":"International Journal of Middle East Studies","page":"171–187","volume":"38","issue":"02","source":"Google Scholar","shortTitle":"Nationalism in pre-modern guise","author":[{"family":"Longva","given":"Anh Nga"}],"issued":{"date-parts":[["2006"]]}},"locator":"171","label":"page"}],"schema":"https://github.com/citation-style-language/schema/raw/master/csl-citation.json"} </w:instrText>
      </w:r>
      <w:r w:rsidRPr="00CF31E0">
        <w:rPr>
          <w:lang w:eastAsia="en-US"/>
        </w:rPr>
        <w:fldChar w:fldCharType="separate"/>
      </w:r>
      <w:r w:rsidRPr="00CF31E0">
        <w:rPr>
          <w:noProof/>
          <w:lang w:eastAsia="en-US"/>
        </w:rPr>
        <w:t>(Longva, 2006, p. 171)</w:t>
      </w:r>
      <w:r w:rsidRPr="00CF31E0">
        <w:rPr>
          <w:lang w:eastAsia="en-US"/>
        </w:rPr>
        <w:fldChar w:fldCharType="end"/>
      </w:r>
      <w:r w:rsidRPr="00CF31E0">
        <w:rPr>
          <w:lang w:eastAsia="en-US"/>
        </w:rPr>
        <w:t>. It has been inhabited by Bedouins and nomads who are genealogically related, where member</w:t>
      </w:r>
      <w:r w:rsidR="00E23D8C" w:rsidRPr="00CF31E0">
        <w:rPr>
          <w:lang w:eastAsia="en-US"/>
        </w:rPr>
        <w:t>ship</w:t>
      </w:r>
      <w:r w:rsidRPr="00CF31E0">
        <w:rPr>
          <w:lang w:eastAsia="en-US"/>
        </w:rPr>
        <w:t xml:space="preserve"> of a </w:t>
      </w:r>
      <w:r w:rsidR="00E23D8C" w:rsidRPr="00CF31E0">
        <w:rPr>
          <w:lang w:eastAsia="en-US"/>
        </w:rPr>
        <w:t xml:space="preserve">particular </w:t>
      </w:r>
      <w:r w:rsidRPr="00CF31E0">
        <w:rPr>
          <w:lang w:eastAsia="en-US"/>
        </w:rPr>
        <w:t xml:space="preserve">tribe gains a sense of ideological prominence for tribe members </w:t>
      </w:r>
      <w:r w:rsidRPr="00CF31E0">
        <w:rPr>
          <w:lang w:eastAsia="en-US"/>
        </w:rPr>
        <w:fldChar w:fldCharType="begin"/>
      </w:r>
      <w:r w:rsidRPr="00CF31E0">
        <w:rPr>
          <w:lang w:eastAsia="en-US"/>
        </w:rPr>
        <w:instrText xml:space="preserve"> ADDIN ZOTERO_ITEM CSL_CITATION {"citationID":"0cTUAm3Y","properties":{"formattedCitation":"(Longva, 2006)","plainCitation":"(Longva, 2006)","noteIndex":0},"citationItems":[{"id":121,"uris":["http://zotero.org/users/1939618/items/8I3DCVVI"],"uri":["http://zotero.org/users/1939618/items/8I3DCVVI"],"itemData":{"id":121,"type":"article-journal","title":"Nationalism in pre-modern guise: the discourse on hadhar and badu in Kuwait","container-title":"International Journal of Middle East Studies","page":"171–187","volume":"38","issue":"02","source":"Google Scholar","shortTitle":"Nationalism in pre-modern guise","author":[{"family":"Longva","given":"Anh Nga"}],"issued":{"date-parts":[["2006"]]}}}],"schema":"https://github.com/citation-style-language/schema/raw/master/csl-citation.json"} </w:instrText>
      </w:r>
      <w:r w:rsidRPr="00CF31E0">
        <w:rPr>
          <w:lang w:eastAsia="en-US"/>
        </w:rPr>
        <w:fldChar w:fldCharType="separate"/>
      </w:r>
      <w:r w:rsidRPr="00CF31E0">
        <w:rPr>
          <w:noProof/>
          <w:lang w:eastAsia="en-US"/>
        </w:rPr>
        <w:t>(Longva, 2006)</w:t>
      </w:r>
      <w:r w:rsidRPr="00CF31E0">
        <w:rPr>
          <w:lang w:eastAsia="en-US"/>
        </w:rPr>
        <w:fldChar w:fldCharType="end"/>
      </w:r>
      <w:r w:rsidRPr="00CF31E0">
        <w:rPr>
          <w:lang w:eastAsia="en-US"/>
        </w:rPr>
        <w:t xml:space="preserve">. The genealogical nature of tribal members of </w:t>
      </w:r>
      <w:r w:rsidR="00170A98" w:rsidRPr="00CF31E0">
        <w:rPr>
          <w:lang w:eastAsia="en-US"/>
        </w:rPr>
        <w:t xml:space="preserve">the </w:t>
      </w:r>
      <w:r w:rsidRPr="00CF31E0">
        <w:rPr>
          <w:lang w:eastAsia="en-US"/>
        </w:rPr>
        <w:t xml:space="preserve">Arabian </w:t>
      </w:r>
      <w:r w:rsidR="00170A98" w:rsidRPr="00CF31E0">
        <w:rPr>
          <w:lang w:eastAsia="en-US"/>
        </w:rPr>
        <w:t>P</w:t>
      </w:r>
      <w:r w:rsidRPr="00CF31E0">
        <w:rPr>
          <w:lang w:eastAsia="en-US"/>
        </w:rPr>
        <w:t>eninsula has direct relevance to regional varieties in the region</w:t>
      </w:r>
      <w:r w:rsidR="00170A98" w:rsidRPr="00CF31E0">
        <w:rPr>
          <w:lang w:eastAsia="en-US"/>
        </w:rPr>
        <w:t>,</w:t>
      </w:r>
      <w:r w:rsidRPr="00CF31E0">
        <w:rPr>
          <w:lang w:eastAsia="en-US"/>
        </w:rPr>
        <w:t xml:space="preserve"> prompt</w:t>
      </w:r>
      <w:r w:rsidR="00170A98" w:rsidRPr="00CF31E0">
        <w:rPr>
          <w:lang w:eastAsia="en-US"/>
        </w:rPr>
        <w:t>ing</w:t>
      </w:r>
      <w:r w:rsidRPr="00CF31E0">
        <w:rPr>
          <w:lang w:eastAsia="en-US"/>
        </w:rPr>
        <w:t xml:space="preserve"> researchers to investigate how genealogy can affect </w:t>
      </w:r>
      <w:r w:rsidR="00170A98" w:rsidRPr="00CF31E0">
        <w:rPr>
          <w:lang w:eastAsia="en-US"/>
        </w:rPr>
        <w:t xml:space="preserve">the </w:t>
      </w:r>
      <w:r w:rsidRPr="00CF31E0">
        <w:rPr>
          <w:lang w:eastAsia="en-US"/>
        </w:rPr>
        <w:t xml:space="preserve">dialects </w:t>
      </w:r>
      <w:r w:rsidR="00170A98" w:rsidRPr="00CF31E0">
        <w:rPr>
          <w:lang w:eastAsia="en-US"/>
        </w:rPr>
        <w:t xml:space="preserve">spoken by </w:t>
      </w:r>
      <w:r w:rsidRPr="00CF31E0">
        <w:rPr>
          <w:lang w:eastAsia="en-US"/>
        </w:rPr>
        <w:t xml:space="preserve">the tribes </w:t>
      </w:r>
      <w:r w:rsidRPr="00CF31E0">
        <w:rPr>
          <w:lang w:eastAsia="en-US"/>
        </w:rPr>
        <w:fldChar w:fldCharType="begin"/>
      </w:r>
      <w:r w:rsidR="00A54129" w:rsidRPr="00CF31E0">
        <w:rPr>
          <w:lang w:eastAsia="en-US"/>
        </w:rPr>
        <w:instrText xml:space="preserve"> ADDIN ZOTERO_ITEM CSL_CITATION {"citationID":"QuP2aFdN","properties":{"formattedCitation":"(Alhazmi, n.d.; Ingham, 1982, 1986)","plainCitation":"(Alhazmi, n.d.; Ingham, 1982, 1986)","dontUpdate":true,"noteIndex":0},"citationItems":[{"id":"wgwhcNH1/a0AoteaH","uris":["http://zotero.org/users/1939618/items/MDTH9BEI"],"uri":["http://zotero.org/users/1939618/items/MDTH9BEI"],"itemData":{"id":448,"type":"article-journal","title":"Saudi International Students in Australia and Intercultural Engagement: A Study of Transitioning From a Gender Segregated Culture to a Mixed Gender Environment","page":"11","source":"Zotero","abstract":"This paper draws on a PhD study that explores the experience of Saudi international students in Australian institutions. The paper discusses how the gender segregation culture in Saudi Arabia may impact upon Saudi students’ engagement within the Australian community. The research methodology utilized a phenomenological approach and data was generated from in-depth interviews. The findings from a pilot study are reported in this paper. The pilot involved interviews with two Saudi international students, male and female, who are studying at Australian universities. The preliminary analysis indicated that the Saudi culture of extreme gender segregation has impacted on the experience of these students, particularly in their ability to relate to their peers in a coeducational environment.","language":"en","author":[{"family":"Alhazmi","given":"Ahmed"}]},"label":"page"},{"id":133,"uris":["http://zotero.org/users/1939618/items/RNWI55AQ"],"uri":["http://zotero.org/users/1939618/items/RNWI55AQ"],"itemData":{"id":133,"type":"article-journal","title":"Notes on the dialect of the Ḍhafr of north-eastern Arabia","container-title":"Bulletin of the School of Oriental and African Studies","page":"245–259","volume":"45","issue":"02","source":"Google Scholar","author":[{"family":"Ingham","given":"Bruce"}],"issued":{"date-parts":[["1982"]]}},"label":"page"},{"id":135,"uris":["http://zotero.org/users/1939618/items/7KBX4XWK"],"uri":["http://zotero.org/users/1939618/items/7KBX4XWK"],"itemData":{"id":135,"type":"article-journal","title":"Notes on the dialect of the Āl Murra of eastern and southern Arabia","container-title":"Bulletin of the School of Oriental and African Studies","page":"271–291","volume":"49","issue":"02","source":"Google Scholar","author":[{"family":"Ingham","given":"Bruce"}],"issued":{"date-parts":[["1986"]]}},"label":"page"}],"schema":"https://github.com/citation-style-language/schema/raw/master/csl-citation.json"} </w:instrText>
      </w:r>
      <w:r w:rsidRPr="00CF31E0">
        <w:rPr>
          <w:lang w:eastAsia="en-US"/>
        </w:rPr>
        <w:fldChar w:fldCharType="separate"/>
      </w:r>
      <w:r w:rsidRPr="00CF31E0">
        <w:rPr>
          <w:noProof/>
          <w:lang w:eastAsia="en-US"/>
        </w:rPr>
        <w:t>(Ingham, 1982, 1986)</w:t>
      </w:r>
      <w:r w:rsidRPr="00CF31E0">
        <w:rPr>
          <w:lang w:eastAsia="en-US"/>
        </w:rPr>
        <w:fldChar w:fldCharType="end"/>
      </w:r>
      <w:r w:rsidRPr="00CF31E0">
        <w:rPr>
          <w:lang w:eastAsia="en-US"/>
        </w:rPr>
        <w:t xml:space="preserve">. </w:t>
      </w:r>
    </w:p>
    <w:p w14:paraId="7F669A98" w14:textId="26EA1D5D" w:rsidR="00160CC4" w:rsidRPr="00CF31E0" w:rsidRDefault="00585828" w:rsidP="00603CB7">
      <w:pPr>
        <w:pStyle w:val="Paragraph"/>
        <w:rPr>
          <w:lang w:eastAsia="en-US"/>
        </w:rPr>
      </w:pPr>
      <w:r w:rsidRPr="00CF31E0">
        <w:rPr>
          <w:lang w:eastAsia="en-US"/>
        </w:rPr>
        <w:t>There are many large</w:t>
      </w:r>
      <w:r w:rsidR="00160CC4" w:rsidRPr="00CF31E0">
        <w:rPr>
          <w:lang w:eastAsia="en-US"/>
        </w:rPr>
        <w:t xml:space="preserve"> tribes in the Arabian</w:t>
      </w:r>
      <w:r w:rsidR="00160CC4" w:rsidRPr="00CF31E0">
        <w:rPr>
          <w:lang w:val="en-US" w:eastAsia="en-US"/>
        </w:rPr>
        <w:t xml:space="preserve"> Peninsula. They spread in all parts of Arabia, for example, the Dhafir tribe is considered to be one of the largest tribes in the north-east of the Arabian Peninsula </w:t>
      </w:r>
      <w:r w:rsidR="00160CC4" w:rsidRPr="00CF31E0">
        <w:rPr>
          <w:lang w:val="en-US" w:eastAsia="en-US"/>
        </w:rPr>
        <w:fldChar w:fldCharType="begin"/>
      </w:r>
      <w:r w:rsidR="00160CC4" w:rsidRPr="00CF31E0">
        <w:rPr>
          <w:lang w:val="en-US" w:eastAsia="en-US"/>
        </w:rPr>
        <w:instrText xml:space="preserve"> ADDIN ZOTERO_ITEM CSL_CITATION {"citationID":"hp5ofc3z","properties":{"formattedCitation":"(Ingham, 1982)","plainCitation":"(Ingham, 1982)","noteIndex":0},"citationItems":[{"id":133,"uris":["http://zotero.org/users/1939618/items/RNWI55AQ"],"uri":["http://zotero.org/users/1939618/items/RNWI55AQ"],"itemData":{"id":133,"type":"article-journal","title":"Notes on the dialect of the Ḍhafr of north-eastern Arabia","container-title":"Bulletin of the School of Oriental and African Studies","page":"245–259","volume":"45","issue":"02","source":"Google Scholar","author":[{"family":"Ingham","given":"Bruce"}],"issued":{"date-parts":[["1982"]]}}}],"schema":"https://github.com/citation-style-language/schema/raw/master/csl-citation.json"} </w:instrText>
      </w:r>
      <w:r w:rsidR="00160CC4" w:rsidRPr="00CF31E0">
        <w:rPr>
          <w:lang w:val="en-US" w:eastAsia="en-US"/>
        </w:rPr>
        <w:fldChar w:fldCharType="separate"/>
      </w:r>
      <w:r w:rsidR="00160CC4" w:rsidRPr="00CF31E0">
        <w:rPr>
          <w:noProof/>
          <w:lang w:val="en-US" w:eastAsia="en-US"/>
        </w:rPr>
        <w:t>(Ingham, 1982)</w:t>
      </w:r>
      <w:r w:rsidR="00160CC4" w:rsidRPr="00CF31E0">
        <w:rPr>
          <w:lang w:val="en-US" w:eastAsia="en-US"/>
        </w:rPr>
        <w:fldChar w:fldCharType="end"/>
      </w:r>
      <w:r w:rsidR="00160CC4" w:rsidRPr="00CF31E0">
        <w:rPr>
          <w:lang w:val="en-US" w:eastAsia="en-US"/>
        </w:rPr>
        <w:t xml:space="preserve">. </w:t>
      </w:r>
      <w:r w:rsidR="00160CC4" w:rsidRPr="00CF31E0">
        <w:rPr>
          <w:lang w:eastAsia="en-US"/>
        </w:rPr>
        <w:t xml:space="preserve">Geographically, it stands between the dialect of the Shammar to the north and Mutair to the south </w:t>
      </w:r>
      <w:r w:rsidR="00160CC4" w:rsidRPr="00CF31E0">
        <w:rPr>
          <w:lang w:eastAsia="en-US"/>
        </w:rPr>
        <w:fldChar w:fldCharType="begin"/>
      </w:r>
      <w:r w:rsidR="00160CC4" w:rsidRPr="00CF31E0">
        <w:rPr>
          <w:lang w:eastAsia="en-US"/>
        </w:rPr>
        <w:instrText xml:space="preserve"> ADDIN ZOTERO_ITEM CSL_CITATION {"citationID":"um1mQz4o","properties":{"formattedCitation":"(Ingham, 1982, p. 274)","plainCitation":"(Ingham, 1982, p. 274)","noteIndex":0},"citationItems":[{"id":133,"uris":["http://zotero.org/users/1939618/items/RNWI55AQ"],"uri":["http://zotero.org/users/1939618/items/RNWI55AQ"],"itemData":{"id":133,"type":"article-journal","title":"Notes on the dialect of the Ḍhafr of north-eastern Arabia","container-title":"Bulletin of the School of Oriental and African Studies","page":"245–259","volume":"45","issue":"02","source":"Google Scholar","author":[{"family":"Ingham","given":"Bruce"}],"issued":{"date-parts":[["1982"]]}},"locator":"274","label":"page"}],"schema":"https://github.com/citation-style-language/schema/raw/master/csl-citation.json"} </w:instrText>
      </w:r>
      <w:r w:rsidR="00160CC4" w:rsidRPr="00CF31E0">
        <w:rPr>
          <w:lang w:eastAsia="en-US"/>
        </w:rPr>
        <w:fldChar w:fldCharType="separate"/>
      </w:r>
      <w:r w:rsidR="00160CC4" w:rsidRPr="00CF31E0">
        <w:rPr>
          <w:noProof/>
          <w:lang w:eastAsia="en-US"/>
        </w:rPr>
        <w:t>(Ingham, 1982, p. 274)</w:t>
      </w:r>
      <w:r w:rsidR="00160CC4" w:rsidRPr="00CF31E0">
        <w:rPr>
          <w:lang w:eastAsia="en-US"/>
        </w:rPr>
        <w:fldChar w:fldCharType="end"/>
      </w:r>
      <w:r w:rsidR="00160CC4" w:rsidRPr="00CF31E0">
        <w:rPr>
          <w:lang w:eastAsia="en-US"/>
        </w:rPr>
        <w:t xml:space="preserve">. The Dhafir tribe originated in the Hijaz region (i.e. located in the western region of the Arabian Peninsula), and then the tribe moved eastward to occupy a large region of Eastern Arabia. </w:t>
      </w:r>
      <w:r w:rsidR="00160CC4" w:rsidRPr="00CF31E0">
        <w:rPr>
          <w:lang w:eastAsia="en-US"/>
        </w:rPr>
        <w:fldChar w:fldCharType="begin"/>
      </w:r>
      <w:r w:rsidR="00160CC4" w:rsidRPr="00CF31E0">
        <w:rPr>
          <w:lang w:eastAsia="en-US"/>
        </w:rPr>
        <w:instrText xml:space="preserve"> ADDIN ZOTERO_ITEM CSL_CITATION {"citationID":"SAsry5UU","properties":{"formattedCitation":"(Ingham, 1982)","plainCitation":"(Ingham, 1982)","noteIndex":0},"citationItems":[{"id":133,"uris":["http://zotero.org/users/1939618/items/RNWI55AQ"],"uri":["http://zotero.org/users/1939618/items/RNWI55AQ"],"itemData":{"id":133,"type":"article-journal","title":"Notes on the dialect of the Ḍhafr of north-eastern Arabia","container-title":"Bulletin of the School of Oriental and African Studies","page":"245–259","volume":"45","issue":"02","source":"Google Scholar","author":[{"family":"Ingham","given":"Bruce"}],"issued":{"date-parts":[["1982"]]}}}],"schema":"https://github.com/citation-style-language/schema/raw/master/csl-citation.json"} </w:instrText>
      </w:r>
      <w:r w:rsidR="00160CC4" w:rsidRPr="00CF31E0">
        <w:rPr>
          <w:lang w:eastAsia="en-US"/>
        </w:rPr>
        <w:fldChar w:fldCharType="separate"/>
      </w:r>
      <w:r w:rsidR="00160CC4" w:rsidRPr="00CF31E0">
        <w:rPr>
          <w:noProof/>
          <w:lang w:eastAsia="en-US"/>
        </w:rPr>
        <w:t xml:space="preserve">Ingham </w:t>
      </w:r>
      <w:r w:rsidR="00E10B83">
        <w:rPr>
          <w:noProof/>
          <w:lang w:eastAsia="en-US"/>
        </w:rPr>
        <w:t>(</w:t>
      </w:r>
      <w:r w:rsidR="00160CC4" w:rsidRPr="00CF31E0">
        <w:rPr>
          <w:noProof/>
          <w:lang w:eastAsia="en-US"/>
        </w:rPr>
        <w:t>1982)</w:t>
      </w:r>
      <w:r w:rsidR="00160CC4" w:rsidRPr="00CF31E0">
        <w:rPr>
          <w:lang w:eastAsia="en-US"/>
        </w:rPr>
        <w:fldChar w:fldCharType="end"/>
      </w:r>
      <w:r w:rsidR="00160CC4" w:rsidRPr="00CF31E0">
        <w:rPr>
          <w:lang w:eastAsia="en-US"/>
        </w:rPr>
        <w:t xml:space="preserve"> observed that the linguistic patterns of the Dhafir tribe are noticeably different from neighbouring dialects, such as that of the Mutair tribe and Shammar tribe, while the linguistic patterns of the Dhafir tribe are very similar to those found in Hijazi tribes. For example, </w:t>
      </w:r>
      <w:r w:rsidR="00160CC4" w:rsidRPr="00CF31E0">
        <w:rPr>
          <w:lang w:eastAsia="en-US"/>
        </w:rPr>
        <w:fldChar w:fldCharType="begin"/>
      </w:r>
      <w:r w:rsidR="00160CC4" w:rsidRPr="00CF31E0">
        <w:rPr>
          <w:lang w:eastAsia="en-US"/>
        </w:rPr>
        <w:instrText xml:space="preserve"> ADDIN ZOTERO_ITEM CSL_CITATION {"citationID":"U3YjNPZg","properties":{"formattedCitation":"(Ingham, 1982, p. 249)","plainCitation":"(Ingham, 1982, p. 249)","noteIndex":0},"citationItems":[{"id":133,"uris":["http://zotero.org/users/1939618/items/RNWI55AQ"],"uri":["http://zotero.org/users/1939618/items/RNWI55AQ"],"itemData":{"id":133,"type":"article-journal","title":"Notes on the dialect of the Ḍhafr of north-eastern Arabia","container-title":"Bulletin of the School of Oriental and African Studies","page":"245–259","volume":"45","issue":"02","source":"Google Scholar","author":[{"family":"Ingham","given":"Bruce"}],"issued":{"date-parts":[["1982"]]}},"locator":"249","label":"page"}],"schema":"https://github.com/citation-style-language/schema/raw/master/csl-citation.json"} </w:instrText>
      </w:r>
      <w:r w:rsidR="00160CC4" w:rsidRPr="00CF31E0">
        <w:rPr>
          <w:lang w:eastAsia="en-US"/>
        </w:rPr>
        <w:fldChar w:fldCharType="separate"/>
      </w:r>
      <w:r w:rsidR="00160CC4" w:rsidRPr="00CF31E0">
        <w:rPr>
          <w:noProof/>
          <w:lang w:eastAsia="en-US"/>
        </w:rPr>
        <w:t xml:space="preserve">Ingham </w:t>
      </w:r>
      <w:r w:rsidR="00252D36">
        <w:rPr>
          <w:noProof/>
          <w:lang w:eastAsia="en-US"/>
        </w:rPr>
        <w:t>(</w:t>
      </w:r>
      <w:r w:rsidR="00160CC4" w:rsidRPr="00CF31E0">
        <w:rPr>
          <w:noProof/>
          <w:lang w:eastAsia="en-US"/>
        </w:rPr>
        <w:t>1982, p. 249)</w:t>
      </w:r>
      <w:r w:rsidR="00160CC4" w:rsidRPr="00CF31E0">
        <w:rPr>
          <w:lang w:eastAsia="en-US"/>
        </w:rPr>
        <w:fldChar w:fldCharType="end"/>
      </w:r>
      <w:r w:rsidR="00160CC4" w:rsidRPr="00CF31E0">
        <w:rPr>
          <w:lang w:eastAsia="en-US"/>
        </w:rPr>
        <w:t xml:space="preserve"> observed that “The form of the second masculine singular suffix is </w:t>
      </w:r>
      <w:r w:rsidR="00160CC4" w:rsidRPr="00CF31E0">
        <w:rPr>
          <w:i/>
          <w:iCs/>
          <w:lang w:eastAsia="en-US"/>
        </w:rPr>
        <w:t>-a</w:t>
      </w:r>
      <w:r w:rsidR="00E10B83">
        <w:rPr>
          <w:i/>
          <w:iCs/>
          <w:lang w:eastAsia="en-US"/>
        </w:rPr>
        <w:t>k</w:t>
      </w:r>
      <w:r w:rsidR="00160CC4" w:rsidRPr="00CF31E0">
        <w:rPr>
          <w:i/>
          <w:iCs/>
          <w:lang w:eastAsia="en-US"/>
        </w:rPr>
        <w:t xml:space="preserve"> </w:t>
      </w:r>
      <w:r w:rsidR="00160CC4" w:rsidRPr="00CF31E0">
        <w:rPr>
          <w:lang w:eastAsia="en-US"/>
        </w:rPr>
        <w:t xml:space="preserve">[-ak] rather than </w:t>
      </w:r>
      <w:r w:rsidR="00160CC4" w:rsidRPr="00CF31E0">
        <w:rPr>
          <w:i/>
          <w:iCs/>
          <w:lang w:eastAsia="en-US"/>
        </w:rPr>
        <w:t xml:space="preserve">-ik </w:t>
      </w:r>
      <w:r w:rsidR="00160CC4" w:rsidRPr="00CF31E0">
        <w:rPr>
          <w:lang w:eastAsia="en-US"/>
        </w:rPr>
        <w:t>[-ik]”. The following example illustrates the similarity between the dialect of the Dhafir and Hijazi tribes.</w:t>
      </w:r>
    </w:p>
    <w:p w14:paraId="1E45A6EB" w14:textId="77777777" w:rsidR="00160CC4" w:rsidRPr="00CF31E0" w:rsidRDefault="00160CC4" w:rsidP="00160CC4">
      <w:pPr>
        <w:spacing w:before="100" w:beforeAutospacing="1" w:after="100" w:afterAutospacing="1" w:line="360" w:lineRule="auto"/>
        <w:jc w:val="both"/>
        <w:rPr>
          <w:rFonts w:eastAsia="Times New Roman"/>
          <w:b/>
          <w:bCs/>
          <w:color w:val="000000" w:themeColor="text1"/>
          <w:lang w:eastAsia="en-US"/>
        </w:rPr>
      </w:pPr>
      <w:r w:rsidRPr="00CF31E0">
        <w:rPr>
          <w:rFonts w:eastAsia="Times New Roman"/>
          <w:b/>
          <w:bCs/>
          <w:color w:val="000000" w:themeColor="text1"/>
          <w:lang w:eastAsia="en-US"/>
        </w:rPr>
        <w:t>Example 1</w:t>
      </w:r>
    </w:p>
    <w:p w14:paraId="712135D9" w14:textId="77777777" w:rsidR="00160CC4" w:rsidRPr="00CF31E0" w:rsidRDefault="00160CC4" w:rsidP="00160CC4">
      <w:pPr>
        <w:spacing w:before="100" w:beforeAutospacing="1" w:after="100" w:afterAutospacing="1" w:line="360" w:lineRule="auto"/>
        <w:rPr>
          <w:rFonts w:eastAsia="Times New Roman"/>
          <w:b/>
          <w:color w:val="000000" w:themeColor="text1"/>
          <w:lang w:eastAsia="en-US"/>
        </w:rPr>
      </w:pPr>
      <w:r w:rsidRPr="00CF31E0">
        <w:rPr>
          <w:rFonts w:eastAsia="Times New Roman"/>
          <w:b/>
          <w:color w:val="000000" w:themeColor="text1"/>
          <w:lang w:eastAsia="en-US"/>
        </w:rPr>
        <w:t xml:space="preserve">Harb dialect in Hijaz: </w:t>
      </w:r>
    </w:p>
    <w:p w14:paraId="221BB3AE" w14:textId="77777777" w:rsidR="00160CC4" w:rsidRPr="00CF31E0" w:rsidRDefault="00160CC4" w:rsidP="00160CC4">
      <w:pPr>
        <w:spacing w:before="100" w:beforeAutospacing="1" w:after="100" w:afterAutospacing="1" w:line="360" w:lineRule="auto"/>
        <w:rPr>
          <w:rFonts w:eastAsia="Times New Roman"/>
          <w:color w:val="000000" w:themeColor="text1"/>
          <w:lang w:eastAsia="en-US"/>
        </w:rPr>
      </w:pPr>
      <w:r w:rsidRPr="00CF31E0">
        <w:rPr>
          <w:rFonts w:eastAsia="Times New Roman"/>
          <w:i/>
          <w:iCs/>
          <w:color w:val="000000" w:themeColor="text1"/>
          <w:lang w:eastAsia="en-US"/>
        </w:rPr>
        <w:t>'asr</w:t>
      </w:r>
      <w:r w:rsidRPr="00CF31E0">
        <w:rPr>
          <w:rFonts w:eastAsia="Times New Roman"/>
          <w:b/>
          <w:i/>
          <w:iCs/>
          <w:color w:val="000000" w:themeColor="text1"/>
          <w:lang w:eastAsia="en-US"/>
        </w:rPr>
        <w:t>ak</w:t>
      </w:r>
      <w:r w:rsidRPr="00CF31E0">
        <w:rPr>
          <w:rFonts w:eastAsia="Times New Roman"/>
          <w:color w:val="000000" w:themeColor="text1"/>
          <w:lang w:eastAsia="en-US"/>
        </w:rPr>
        <w:t>' your generation',</w:t>
      </w:r>
    </w:p>
    <w:p w14:paraId="1BC8D8A1" w14:textId="77777777" w:rsidR="00160CC4" w:rsidRPr="00CF31E0" w:rsidRDefault="00160CC4" w:rsidP="00160CC4">
      <w:pPr>
        <w:spacing w:before="100" w:beforeAutospacing="1" w:after="100" w:afterAutospacing="1" w:line="360" w:lineRule="auto"/>
        <w:rPr>
          <w:rFonts w:eastAsia="Times New Roman"/>
          <w:color w:val="000000" w:themeColor="text1"/>
          <w:lang w:eastAsia="en-US"/>
        </w:rPr>
      </w:pPr>
      <w:r w:rsidRPr="00CF31E0">
        <w:rPr>
          <w:rFonts w:eastAsia="Times New Roman"/>
          <w:color w:val="000000" w:themeColor="text1"/>
          <w:lang w:eastAsia="en-US"/>
        </w:rPr>
        <w:lastRenderedPageBreak/>
        <w:t xml:space="preserve"> </w:t>
      </w:r>
      <w:r w:rsidRPr="00CF31E0">
        <w:rPr>
          <w:rFonts w:eastAsia="Times New Roman"/>
          <w:i/>
          <w:iCs/>
          <w:color w:val="000000" w:themeColor="text1"/>
          <w:lang w:eastAsia="en-US"/>
        </w:rPr>
        <w:t>l</w:t>
      </w:r>
      <w:r w:rsidRPr="00CF31E0">
        <w:rPr>
          <w:rFonts w:eastAsia="Times New Roman"/>
          <w:b/>
          <w:bCs/>
          <w:i/>
          <w:iCs/>
          <w:color w:val="000000" w:themeColor="text1"/>
          <w:lang w:eastAsia="en-US"/>
        </w:rPr>
        <w:t>ak</w:t>
      </w:r>
      <w:r w:rsidRPr="00CF31E0">
        <w:rPr>
          <w:rFonts w:eastAsia="Times New Roman"/>
          <w:i/>
          <w:iCs/>
          <w:color w:val="000000" w:themeColor="text1"/>
          <w:lang w:eastAsia="en-US"/>
        </w:rPr>
        <w:t xml:space="preserve"> </w:t>
      </w:r>
      <w:r w:rsidRPr="00CF31E0">
        <w:rPr>
          <w:rFonts w:eastAsia="Times New Roman"/>
          <w:color w:val="000000" w:themeColor="text1"/>
          <w:lang w:eastAsia="en-US"/>
        </w:rPr>
        <w:t>'to you'.</w:t>
      </w:r>
    </w:p>
    <w:p w14:paraId="032B57BB" w14:textId="77777777" w:rsidR="00160CC4" w:rsidRPr="00CF31E0" w:rsidRDefault="00160CC4" w:rsidP="00160CC4">
      <w:pPr>
        <w:spacing w:before="100" w:beforeAutospacing="1" w:after="100" w:afterAutospacing="1" w:line="360" w:lineRule="auto"/>
        <w:rPr>
          <w:rFonts w:eastAsia="Times New Roman"/>
          <w:b/>
          <w:color w:val="000000" w:themeColor="text1"/>
          <w:lang w:eastAsia="en-US"/>
        </w:rPr>
      </w:pPr>
      <w:r w:rsidRPr="00CF31E0">
        <w:rPr>
          <w:rFonts w:eastAsia="Times New Roman"/>
          <w:b/>
          <w:color w:val="000000" w:themeColor="text1"/>
          <w:lang w:eastAsia="en-US"/>
        </w:rPr>
        <w:t xml:space="preserve">Dhafir dialect: </w:t>
      </w:r>
    </w:p>
    <w:p w14:paraId="30D16019" w14:textId="77777777" w:rsidR="00160CC4" w:rsidRPr="00CF31E0" w:rsidRDefault="00160CC4" w:rsidP="00160CC4">
      <w:pPr>
        <w:spacing w:before="100" w:beforeAutospacing="1" w:after="100" w:afterAutospacing="1" w:line="360" w:lineRule="auto"/>
        <w:rPr>
          <w:rFonts w:eastAsia="Times New Roman"/>
          <w:color w:val="000000" w:themeColor="text1"/>
          <w:lang w:eastAsia="en-US"/>
        </w:rPr>
      </w:pPr>
      <w:r w:rsidRPr="00CF31E0">
        <w:rPr>
          <w:rFonts w:eastAsia="Times New Roman"/>
          <w:i/>
          <w:iCs/>
          <w:color w:val="000000" w:themeColor="text1"/>
          <w:lang w:eastAsia="en-US"/>
        </w:rPr>
        <w:t>ysallmun</w:t>
      </w:r>
      <w:r w:rsidRPr="00CF31E0">
        <w:rPr>
          <w:rFonts w:eastAsia="Times New Roman"/>
          <w:b/>
          <w:bCs/>
          <w:i/>
          <w:iCs/>
          <w:color w:val="000000" w:themeColor="text1"/>
          <w:lang w:eastAsia="en-US"/>
        </w:rPr>
        <w:t>ak</w:t>
      </w:r>
      <w:r w:rsidRPr="00CF31E0">
        <w:rPr>
          <w:rFonts w:eastAsia="Times New Roman"/>
          <w:i/>
          <w:iCs/>
          <w:color w:val="000000" w:themeColor="text1"/>
          <w:lang w:eastAsia="en-US"/>
        </w:rPr>
        <w:t xml:space="preserve"> '</w:t>
      </w:r>
      <w:r w:rsidRPr="00CF31E0">
        <w:rPr>
          <w:rFonts w:eastAsia="Times New Roman"/>
          <w:color w:val="000000" w:themeColor="text1"/>
          <w:lang w:eastAsia="en-US"/>
        </w:rPr>
        <w:t xml:space="preserve">they will hand you over', </w:t>
      </w:r>
    </w:p>
    <w:p w14:paraId="6B607DA4" w14:textId="77777777" w:rsidR="00160CC4" w:rsidRPr="00CF31E0" w:rsidRDefault="00160CC4" w:rsidP="00160CC4">
      <w:pPr>
        <w:spacing w:before="100" w:beforeAutospacing="1" w:after="100" w:afterAutospacing="1" w:line="360" w:lineRule="auto"/>
        <w:rPr>
          <w:rFonts w:eastAsia="Times New Roman"/>
          <w:color w:val="000000" w:themeColor="text1"/>
          <w:lang w:eastAsia="en-US"/>
        </w:rPr>
      </w:pPr>
      <w:r w:rsidRPr="00CF31E0">
        <w:rPr>
          <w:rFonts w:eastAsia="Times New Roman"/>
          <w:i/>
          <w:iCs/>
          <w:color w:val="000000" w:themeColor="text1"/>
          <w:lang w:eastAsia="en-US"/>
        </w:rPr>
        <w:t>rizg</w:t>
      </w:r>
      <w:r w:rsidRPr="00CF31E0">
        <w:rPr>
          <w:rFonts w:eastAsia="Times New Roman"/>
          <w:b/>
          <w:bCs/>
          <w:i/>
          <w:iCs/>
          <w:color w:val="000000" w:themeColor="text1"/>
          <w:lang w:eastAsia="en-US"/>
        </w:rPr>
        <w:t>ak</w:t>
      </w:r>
      <w:r w:rsidRPr="00CF31E0">
        <w:rPr>
          <w:rFonts w:eastAsia="Times New Roman"/>
          <w:i/>
          <w:iCs/>
          <w:color w:val="000000" w:themeColor="text1"/>
          <w:lang w:eastAsia="en-US"/>
        </w:rPr>
        <w:t xml:space="preserve"> </w:t>
      </w:r>
      <w:r w:rsidRPr="00CF31E0">
        <w:rPr>
          <w:rFonts w:eastAsia="Times New Roman"/>
          <w:color w:val="000000" w:themeColor="text1"/>
          <w:lang w:eastAsia="en-US"/>
        </w:rPr>
        <w:t xml:space="preserve">'your sustenance' </w:t>
      </w:r>
      <w:r w:rsidRPr="00CF31E0">
        <w:rPr>
          <w:rFonts w:eastAsia="Times New Roman"/>
          <w:color w:val="000000" w:themeColor="text1"/>
          <w:lang w:eastAsia="en-US"/>
        </w:rPr>
        <w:fldChar w:fldCharType="begin"/>
      </w:r>
      <w:r w:rsidRPr="00CF31E0">
        <w:rPr>
          <w:rFonts w:eastAsia="Times New Roman"/>
          <w:color w:val="000000" w:themeColor="text1"/>
          <w:lang w:eastAsia="en-US"/>
        </w:rPr>
        <w:instrText xml:space="preserve"> ADDIN ZOTERO_ITEM CSL_CITATION {"citationID":"pq9VM0Yj","properties":{"formattedCitation":"(Ingham, 1982, p. 249)","plainCitation":"(Ingham, 1982, p. 249)","noteIndex":0},"citationItems":[{"id":133,"uris":["http://zotero.org/users/1939618/items/RNWI55AQ"],"uri":["http://zotero.org/users/1939618/items/RNWI55AQ"],"itemData":{"id":133,"type":"article-journal","title":"Notes on the dialect of the Ḍhafr of north-eastern Arabia","container-title":"Bulletin of the School of Oriental and African Studies","page":"245–259","volume":"45","issue":"02","source":"Google Scholar","author":[{"family":"Ingham","given":"Bruce"}],"issued":{"date-parts":[["1982"]]}},"locator":"249","label":"page"}],"schema":"https://github.com/citation-style-language/schema/raw/master/csl-citation.json"} </w:instrText>
      </w:r>
      <w:r w:rsidRPr="00CF31E0">
        <w:rPr>
          <w:rFonts w:eastAsia="Times New Roman"/>
          <w:color w:val="000000" w:themeColor="text1"/>
          <w:lang w:eastAsia="en-US"/>
        </w:rPr>
        <w:fldChar w:fldCharType="separate"/>
      </w:r>
      <w:r w:rsidRPr="00CF31E0">
        <w:rPr>
          <w:rFonts w:eastAsia="Times New Roman"/>
          <w:noProof/>
          <w:color w:val="000000" w:themeColor="text1"/>
          <w:lang w:eastAsia="en-US"/>
        </w:rPr>
        <w:t>(Ingham, 1982, p. 249)</w:t>
      </w:r>
      <w:r w:rsidRPr="00CF31E0">
        <w:rPr>
          <w:rFonts w:eastAsia="Times New Roman"/>
          <w:color w:val="000000" w:themeColor="text1"/>
          <w:lang w:eastAsia="en-US"/>
        </w:rPr>
        <w:fldChar w:fldCharType="end"/>
      </w:r>
      <w:r w:rsidRPr="00CF31E0">
        <w:rPr>
          <w:rFonts w:eastAsia="Times New Roman"/>
          <w:color w:val="000000" w:themeColor="text1"/>
          <w:lang w:eastAsia="en-US"/>
        </w:rPr>
        <w:t xml:space="preserve">. </w:t>
      </w:r>
    </w:p>
    <w:p w14:paraId="6FC0F642" w14:textId="3E1335B7" w:rsidR="00160CC4" w:rsidRPr="00CF31E0" w:rsidRDefault="00160CC4" w:rsidP="00603CB7">
      <w:pPr>
        <w:pStyle w:val="Paragraph"/>
        <w:rPr>
          <w:lang w:eastAsia="en-US"/>
        </w:rPr>
      </w:pPr>
      <w:r w:rsidRPr="00CF31E0">
        <w:rPr>
          <w:lang w:eastAsia="en-US"/>
        </w:rPr>
        <w:t xml:space="preserve">The above two examples from the dialects of </w:t>
      </w:r>
      <w:r w:rsidR="00170A98" w:rsidRPr="00CF31E0">
        <w:rPr>
          <w:lang w:eastAsia="en-US"/>
        </w:rPr>
        <w:t xml:space="preserve">the </w:t>
      </w:r>
      <w:r w:rsidRPr="00CF31E0">
        <w:rPr>
          <w:lang w:eastAsia="en-US"/>
        </w:rPr>
        <w:t xml:space="preserve">Harb and Dhafir tribes illustrate how both geographically distant dialects share a similar linguistic feature in the form of </w:t>
      </w:r>
      <w:r w:rsidR="00170A98" w:rsidRPr="00CF31E0">
        <w:rPr>
          <w:lang w:eastAsia="en-US"/>
        </w:rPr>
        <w:t xml:space="preserve">the </w:t>
      </w:r>
      <w:r w:rsidRPr="00CF31E0">
        <w:rPr>
          <w:lang w:eastAsia="en-US"/>
        </w:rPr>
        <w:t xml:space="preserve">second masculine singular suffix [-ak]. </w:t>
      </w:r>
      <w:r w:rsidR="00170A98" w:rsidRPr="00CF31E0">
        <w:rPr>
          <w:lang w:eastAsia="en-US"/>
        </w:rPr>
        <w:t>However</w:t>
      </w:r>
      <w:r w:rsidRPr="00CF31E0">
        <w:rPr>
          <w:lang w:eastAsia="en-US"/>
        </w:rPr>
        <w:t xml:space="preserve">, Ingham could not find a similarity </w:t>
      </w:r>
      <w:r w:rsidR="00170A98" w:rsidRPr="00CF31E0">
        <w:rPr>
          <w:lang w:eastAsia="en-US"/>
        </w:rPr>
        <w:t xml:space="preserve">in </w:t>
      </w:r>
      <w:r w:rsidRPr="00CF31E0">
        <w:rPr>
          <w:lang w:eastAsia="en-US"/>
        </w:rPr>
        <w:t xml:space="preserve">the use of the suffix [-ak] between the dialect of </w:t>
      </w:r>
      <w:r w:rsidR="00170A98" w:rsidRPr="00CF31E0">
        <w:rPr>
          <w:lang w:eastAsia="en-US"/>
        </w:rPr>
        <w:t xml:space="preserve">the </w:t>
      </w:r>
      <w:r w:rsidRPr="00CF31E0">
        <w:rPr>
          <w:lang w:eastAsia="en-US"/>
        </w:rPr>
        <w:t xml:space="preserve">Dhafir tribe and </w:t>
      </w:r>
      <w:r w:rsidR="00170A98" w:rsidRPr="00CF31E0">
        <w:rPr>
          <w:lang w:eastAsia="en-US"/>
        </w:rPr>
        <w:t xml:space="preserve">those of </w:t>
      </w:r>
      <w:r w:rsidRPr="00CF31E0">
        <w:rPr>
          <w:lang w:eastAsia="en-US"/>
        </w:rPr>
        <w:t>other neighbouring tribes such as Shammar and Mutair. Thus, Ingham concluded that the original geographical location of the tribes (i.e</w:t>
      </w:r>
      <w:r w:rsidR="00170A98" w:rsidRPr="00CF31E0">
        <w:rPr>
          <w:lang w:eastAsia="en-US"/>
        </w:rPr>
        <w:t>.</w:t>
      </w:r>
      <w:r w:rsidRPr="00CF31E0">
        <w:rPr>
          <w:lang w:eastAsia="en-US"/>
        </w:rPr>
        <w:t xml:space="preserve"> Hijaz) is </w:t>
      </w:r>
      <w:r w:rsidR="00170A98" w:rsidRPr="00CF31E0">
        <w:rPr>
          <w:lang w:eastAsia="en-US"/>
        </w:rPr>
        <w:t xml:space="preserve">responsible for </w:t>
      </w:r>
      <w:r w:rsidRPr="00CF31E0">
        <w:rPr>
          <w:lang w:eastAsia="en-US"/>
        </w:rPr>
        <w:t xml:space="preserve">the linguistic similarity revealed between the dialects of </w:t>
      </w:r>
      <w:r w:rsidR="00170A98" w:rsidRPr="00CF31E0">
        <w:rPr>
          <w:lang w:eastAsia="en-US"/>
        </w:rPr>
        <w:t xml:space="preserve">the </w:t>
      </w:r>
      <w:r w:rsidRPr="00CF31E0">
        <w:rPr>
          <w:lang w:eastAsia="en-US"/>
        </w:rPr>
        <w:t>Dhafir and Harb tribes. Ingham tried to ac</w:t>
      </w:r>
      <w:r w:rsidR="00FF5758" w:rsidRPr="00CF31E0">
        <w:rPr>
          <w:lang w:eastAsia="en-US"/>
        </w:rPr>
        <w:t>count</w:t>
      </w:r>
      <w:r w:rsidRPr="00CF31E0">
        <w:rPr>
          <w:lang w:eastAsia="en-US"/>
        </w:rPr>
        <w:t xml:space="preserve"> for the linguistic similarities and differences among tribes by using the theory of linguistic diffusion. The theory incorporates two sub-theories: “family tree theory” and “wave theory” </w:t>
      </w:r>
      <w:r w:rsidRPr="00CF31E0">
        <w:rPr>
          <w:lang w:eastAsia="en-US"/>
        </w:rPr>
        <w:fldChar w:fldCharType="begin"/>
      </w:r>
      <w:r w:rsidRPr="00CF31E0">
        <w:rPr>
          <w:lang w:eastAsia="en-US"/>
        </w:rPr>
        <w:instrText xml:space="preserve"> ADDIN ZOTERO_ITEM CSL_CITATION {"citationID":"TjTb1lLn","properties":{"formattedCitation":"(Ingham, 1982, p. 245)","plainCitation":"(Ingham, 1982, p. 245)","noteIndex":0},"citationItems":[{"id":133,"uris":["http://zotero.org/users/1939618/items/RNWI55AQ"],"uri":["http://zotero.org/users/1939618/items/RNWI55AQ"],"itemData":{"id":133,"type":"article-journal","title":"Notes on the dialect of the Ḍhafr of north-eastern Arabia","container-title":"Bulletin of the School of Oriental and African Studies","page":"245–259","volume":"45","issue":"02","source":"Google Scholar","author":[{"family":"Ingham","given":"Bruce"}],"issued":{"date-parts":[["1982"]]}},"locator":"245","label":"page"}],"schema":"https://github.com/citation-style-language/schema/raw/master/csl-citation.json"} </w:instrText>
      </w:r>
      <w:r w:rsidRPr="00CF31E0">
        <w:rPr>
          <w:lang w:eastAsia="en-US"/>
        </w:rPr>
        <w:fldChar w:fldCharType="separate"/>
      </w:r>
      <w:r w:rsidRPr="00CF31E0">
        <w:rPr>
          <w:noProof/>
          <w:lang w:eastAsia="en-US"/>
        </w:rPr>
        <w:t>(Ingham, 1982, p. 245)</w:t>
      </w:r>
      <w:r w:rsidRPr="00CF31E0">
        <w:rPr>
          <w:lang w:eastAsia="en-US"/>
        </w:rPr>
        <w:fldChar w:fldCharType="end"/>
      </w:r>
      <w:r w:rsidRPr="00CF31E0">
        <w:rPr>
          <w:lang w:eastAsia="en-US"/>
        </w:rPr>
        <w:t>. On the one hand, the family tree theory regards dialect as being genetically transferred from one generation to another, with all generations sharing the same homeland. On the other hand, wave theory sees geographical location as the main reason for linguistic diffusion; that is, the theory attributes the similar linguistic features among dialects to common geographical spaces. Ingham argued that the Dhafir tribe falls under the “family tree theory” because speakers of the Dhafir tribe speak differently to and do not share dialect features with their direct neighbours, the Mutair tribe from Eastern Arabia (p. 245).</w:t>
      </w:r>
    </w:p>
    <w:p w14:paraId="1644B17F" w14:textId="00C7BCE3" w:rsidR="00160CC4" w:rsidRPr="00CF31E0" w:rsidRDefault="00160CC4" w:rsidP="00603CB7">
      <w:pPr>
        <w:pStyle w:val="Paragraph"/>
        <w:rPr>
          <w:lang w:eastAsia="en-US"/>
        </w:rPr>
      </w:pPr>
      <w:r w:rsidRPr="00CF31E0">
        <w:rPr>
          <w:lang w:eastAsia="en-US"/>
        </w:rPr>
        <w:t xml:space="preserve">Another example of a significant tribe in the Arabian Peninsula is the Al-Murra tribe. As previously mentioned, </w:t>
      </w:r>
      <w:r w:rsidRPr="00CF31E0">
        <w:rPr>
          <w:lang w:eastAsia="en-US"/>
        </w:rPr>
        <w:fldChar w:fldCharType="begin"/>
      </w:r>
      <w:r w:rsidR="00CD34CA" w:rsidRPr="00CF31E0">
        <w:rPr>
          <w:lang w:eastAsia="en-US"/>
        </w:rPr>
        <w:instrText xml:space="preserve"> ADDIN ZOTERO_ITEM CSL_CITATION {"citationID":"S77SrD8F","properties":{"formattedCitation":"(Johnstone, 1965)","plainCitation":"(Johnstone, 1965)","dontUpdate":true,"noteIndex":0},"citationItems":[{"id":126,"uris":["http://zotero.org/users/1939618/items/5EE2DC5K"],"uri":["http://zotero.org/users/1939618/items/5EE2DC5K"],"itemData":{"id":126,"type":"article-journal","title":"The sound change j&gt; y in the Arabic dialects of peninsular Arabia","container-title":"Bulletin of the School of Oriental and African Studies","page":"233–241","volume":"28","issue":"02","source":"Google Scholar","author":[{"family":"Johnstone","given":"Thomas Muir"}],"issued":{"date-parts":[["1965"]]}}}],"schema":"https://github.com/citation-style-language/schema/raw/master/csl-citation.json"} </w:instrText>
      </w:r>
      <w:r w:rsidRPr="00CF31E0">
        <w:rPr>
          <w:lang w:eastAsia="en-US"/>
        </w:rPr>
        <w:fldChar w:fldCharType="separate"/>
      </w:r>
      <w:r w:rsidRPr="00CF31E0">
        <w:rPr>
          <w:noProof/>
          <w:lang w:eastAsia="en-US"/>
        </w:rPr>
        <w:t xml:space="preserve">Johnstone </w:t>
      </w:r>
      <w:r w:rsidR="00CE50EA" w:rsidRPr="00CF31E0">
        <w:rPr>
          <w:noProof/>
          <w:lang w:eastAsia="en-US"/>
        </w:rPr>
        <w:t>(</w:t>
      </w:r>
      <w:r w:rsidR="00AC0D49" w:rsidRPr="00CF31E0">
        <w:rPr>
          <w:noProof/>
          <w:lang w:eastAsia="en-US"/>
        </w:rPr>
        <w:t>1967</w:t>
      </w:r>
      <w:r w:rsidRPr="00CF31E0">
        <w:rPr>
          <w:noProof/>
          <w:lang w:eastAsia="en-US"/>
        </w:rPr>
        <w:t>)</w:t>
      </w:r>
      <w:r w:rsidRPr="00CF31E0">
        <w:rPr>
          <w:lang w:eastAsia="en-US"/>
        </w:rPr>
        <w:fldChar w:fldCharType="end"/>
      </w:r>
      <w:r w:rsidRPr="00CF31E0">
        <w:rPr>
          <w:lang w:eastAsia="en-US"/>
        </w:rPr>
        <w:t xml:space="preserve"> classified this dialect under the North Arabian dialect group. The Al-Murra tribe is located in the southern part of the Najd region (the central region of SA). The tribe has many direct neighbours such as the Ajman, Dawasir and Awamir tribes. Ingham endeavoured to study the linguistic features of the Al-Murra tribe </w:t>
      </w:r>
      <w:r w:rsidRPr="00CF31E0">
        <w:rPr>
          <w:lang w:eastAsia="en-US"/>
        </w:rPr>
        <w:lastRenderedPageBreak/>
        <w:t xml:space="preserve">and its neighbours using notes and tapes of historical narratives from informants as the main instruments in the study. It is important to note that </w:t>
      </w:r>
      <w:r w:rsidRPr="00CF31E0">
        <w:rPr>
          <w:lang w:eastAsia="en-US"/>
        </w:rPr>
        <w:fldChar w:fldCharType="begin"/>
      </w:r>
      <w:r w:rsidR="00CD34CA" w:rsidRPr="00CF31E0">
        <w:rPr>
          <w:lang w:eastAsia="en-US"/>
        </w:rPr>
        <w:instrText xml:space="preserve"> ADDIN ZOTERO_ITEM CSL_CITATION {"citationID":"gt3Dm73k","properties":{"formattedCitation":"(Ingham, 1986)","plainCitation":"(Ingham, 1986)","dontUpdate":true,"noteIndex":0},"citationItems":[{"id":135,"uris":["http://zotero.org/users/1939618/items/7KBX4XWK"],"uri":["http://zotero.org/users/1939618/items/7KBX4XWK"],"itemData":{"id":135,"type":"article-journal","title":"Notes on the dialect of the Āl Murra of eastern and southern Arabia","container-title":"Bulletin of the School of Oriental and African Studies","page":"271–291","volume":"49","issue":"02","source":"Google Scholar","author":[{"family":"Ingham","given":"Bruce"}],"issued":{"date-parts":[["1986"]]}}}],"schema":"https://github.com/citation-style-language/schema/raw/master/csl-citation.json"} </w:instrText>
      </w:r>
      <w:r w:rsidRPr="00CF31E0">
        <w:rPr>
          <w:lang w:eastAsia="en-US"/>
        </w:rPr>
        <w:fldChar w:fldCharType="separate"/>
      </w:r>
      <w:r w:rsidRPr="00CF31E0">
        <w:rPr>
          <w:noProof/>
          <w:lang w:eastAsia="en-US"/>
        </w:rPr>
        <w:t xml:space="preserve">Ingham </w:t>
      </w:r>
      <w:r w:rsidR="00CE50EA" w:rsidRPr="00CF31E0">
        <w:rPr>
          <w:noProof/>
          <w:lang w:eastAsia="en-US"/>
        </w:rPr>
        <w:t>(</w:t>
      </w:r>
      <w:r w:rsidRPr="00CF31E0">
        <w:rPr>
          <w:noProof/>
          <w:lang w:eastAsia="en-US"/>
        </w:rPr>
        <w:t>1986)</w:t>
      </w:r>
      <w:r w:rsidRPr="00CF31E0">
        <w:rPr>
          <w:lang w:eastAsia="en-US"/>
        </w:rPr>
        <w:fldChar w:fldCharType="end"/>
      </w:r>
      <w:r w:rsidRPr="00CF31E0">
        <w:rPr>
          <w:lang w:eastAsia="en-US"/>
        </w:rPr>
        <w:t xml:space="preserve"> attempted not only to study the linguistic features of the Al-Murra dialect, but also to compare it with its neighbouring dialects. Ingham observed that the linguistic patterns of the Al-Murra dialect and the Ajman dialect (Al-Murra’s neighbour to the north) are very similar and in some cases identical, while the linguistic patterns of the Al-Murra dialect and other neighbouring dialects are noticeably different. </w:t>
      </w:r>
      <w:r w:rsidRPr="00CF31E0">
        <w:rPr>
          <w:lang w:eastAsia="en-US"/>
        </w:rPr>
        <w:fldChar w:fldCharType="begin"/>
      </w:r>
      <w:r w:rsidR="00CD34CA" w:rsidRPr="00CF31E0">
        <w:rPr>
          <w:lang w:eastAsia="en-US"/>
        </w:rPr>
        <w:instrText xml:space="preserve"> ADDIN ZOTERO_ITEM CSL_CITATION {"citationID":"CqEK3Xvy","properties":{"formattedCitation":"(Ingham, 1986, p. 278)","plainCitation":"(Ingham, 1986, p. 278)","dontUpdate":true,"noteIndex":0},"citationItems":[{"id":135,"uris":["http://zotero.org/users/1939618/items/7KBX4XWK"],"uri":["http://zotero.org/users/1939618/items/7KBX4XWK"],"itemData":{"id":135,"type":"article-journal","title":"Notes on the dialect of the Āl Murra of eastern and southern Arabia","container-title":"Bulletin of the School of Oriental and African Studies","page":"271–291","volume":"49","issue":"02","source":"Google Scholar","author":[{"family":"Ingham","given":"Bruce"}],"issued":{"date-parts":[["1986"]]}},"locator":"278","label":"page"}],"schema":"https://github.com/citation-style-language/schema/raw/master/csl-citation.json"} </w:instrText>
      </w:r>
      <w:r w:rsidRPr="00CF31E0">
        <w:rPr>
          <w:lang w:eastAsia="en-US"/>
        </w:rPr>
        <w:fldChar w:fldCharType="separate"/>
      </w:r>
      <w:r w:rsidRPr="00CF31E0">
        <w:rPr>
          <w:noProof/>
          <w:lang w:eastAsia="en-US"/>
        </w:rPr>
        <w:t>Ingham</w:t>
      </w:r>
      <w:r w:rsidR="00CE50EA" w:rsidRPr="00CF31E0">
        <w:rPr>
          <w:noProof/>
          <w:lang w:eastAsia="en-US"/>
        </w:rPr>
        <w:t xml:space="preserve"> (</w:t>
      </w:r>
      <w:r w:rsidRPr="00CF31E0">
        <w:rPr>
          <w:noProof/>
          <w:lang w:eastAsia="en-US"/>
        </w:rPr>
        <w:t>1986, p. 278)</w:t>
      </w:r>
      <w:r w:rsidRPr="00CF31E0">
        <w:rPr>
          <w:lang w:eastAsia="en-US"/>
        </w:rPr>
        <w:fldChar w:fldCharType="end"/>
      </w:r>
      <w:r w:rsidRPr="00CF31E0">
        <w:rPr>
          <w:lang w:eastAsia="en-US"/>
        </w:rPr>
        <w:t xml:space="preserve"> gives the following example to illustrate the similarities between the aforementioned dialects as opposed to other neighbouring dialects in Najd. </w:t>
      </w:r>
    </w:p>
    <w:p w14:paraId="645A09BC" w14:textId="77777777" w:rsidR="00160CC4" w:rsidRPr="00CF31E0" w:rsidRDefault="00160CC4" w:rsidP="00160CC4">
      <w:pPr>
        <w:spacing w:before="240" w:line="360" w:lineRule="auto"/>
        <w:jc w:val="both"/>
        <w:outlineLvl w:val="0"/>
        <w:rPr>
          <w:rFonts w:eastAsia="Times New Roman"/>
          <w:b/>
          <w:color w:val="000000" w:themeColor="text1"/>
          <w:lang w:eastAsia="en-US"/>
        </w:rPr>
      </w:pPr>
      <w:bookmarkStart w:id="164" w:name="_Toc512432200"/>
      <w:r w:rsidRPr="00CF31E0">
        <w:rPr>
          <w:rFonts w:eastAsia="Times New Roman"/>
          <w:b/>
          <w:color w:val="000000" w:themeColor="text1"/>
          <w:lang w:eastAsia="en-US"/>
        </w:rPr>
        <w:t>Example 2</w:t>
      </w:r>
      <w:bookmarkEnd w:id="164"/>
    </w:p>
    <w:p w14:paraId="6D345EC4" w14:textId="0AF2F6C7" w:rsidR="00160CC4" w:rsidRPr="00CF31E0" w:rsidRDefault="00160CC4" w:rsidP="00160CC4">
      <w:pPr>
        <w:spacing w:line="360" w:lineRule="auto"/>
        <w:jc w:val="both"/>
        <w:outlineLvl w:val="0"/>
        <w:rPr>
          <w:rFonts w:eastAsia="Times New Roman"/>
          <w:b/>
          <w:color w:val="000000" w:themeColor="text1"/>
          <w:lang w:eastAsia="en-US"/>
        </w:rPr>
      </w:pPr>
      <w:bookmarkStart w:id="165" w:name="_Toc512432010"/>
      <w:bookmarkStart w:id="166" w:name="_Toc512432201"/>
      <w:r w:rsidRPr="00CF31E0">
        <w:rPr>
          <w:rFonts w:eastAsia="Times New Roman"/>
          <w:b/>
          <w:color w:val="000000" w:themeColor="text1"/>
          <w:lang w:eastAsia="en-US"/>
        </w:rPr>
        <w:t>Al-Murra and Ajman dialects</w:t>
      </w:r>
      <w:bookmarkEnd w:id="165"/>
      <w:bookmarkEnd w:id="166"/>
      <w:r w:rsidRPr="00CF31E0">
        <w:rPr>
          <w:rFonts w:eastAsia="Times New Roman"/>
          <w:b/>
          <w:color w:val="000000" w:themeColor="text1"/>
          <w:lang w:eastAsia="en-US"/>
        </w:rPr>
        <w:t xml:space="preserve"> </w:t>
      </w:r>
    </w:p>
    <w:p w14:paraId="0D246D82" w14:textId="62881EC4" w:rsidR="00160CC4" w:rsidRPr="00CF31E0" w:rsidRDefault="003A6E19" w:rsidP="00160CC4">
      <w:pPr>
        <w:spacing w:line="360" w:lineRule="auto"/>
        <w:jc w:val="both"/>
        <w:rPr>
          <w:rFonts w:eastAsia="Times New Roman"/>
          <w:i/>
          <w:color w:val="000000" w:themeColor="text1"/>
          <w:lang w:eastAsia="en-US"/>
        </w:rPr>
      </w:pPr>
      <w:r>
        <w:rPr>
          <w:rFonts w:eastAsia="Times New Roman"/>
          <w:i/>
          <w:color w:val="000000" w:themeColor="text1"/>
          <w:lang w:eastAsia="en-US"/>
        </w:rPr>
        <w:t>/</w:t>
      </w:r>
      <w:r w:rsidR="00160CC4" w:rsidRPr="00CF31E0">
        <w:rPr>
          <w:rFonts w:eastAsia="Times New Roman"/>
          <w:i/>
          <w:color w:val="000000" w:themeColor="text1"/>
          <w:lang w:eastAsia="en-US"/>
        </w:rPr>
        <w:t>Kan</w:t>
      </w:r>
      <w:r>
        <w:rPr>
          <w:rFonts w:eastAsia="Times New Roman"/>
          <w:i/>
          <w:color w:val="000000" w:themeColor="text1"/>
          <w:lang w:eastAsia="en-US"/>
        </w:rPr>
        <w:t>/</w:t>
      </w:r>
      <w:r w:rsidR="00160CC4" w:rsidRPr="00CF31E0">
        <w:rPr>
          <w:rFonts w:eastAsia="Times New Roman"/>
          <w:i/>
          <w:color w:val="000000" w:themeColor="text1"/>
          <w:lang w:eastAsia="en-US"/>
        </w:rPr>
        <w:t xml:space="preserve"> “if”</w:t>
      </w:r>
    </w:p>
    <w:p w14:paraId="4989C1B5" w14:textId="7C8747A7" w:rsidR="00160CC4" w:rsidRPr="00CF31E0" w:rsidRDefault="003A6E19" w:rsidP="00160CC4">
      <w:pPr>
        <w:spacing w:line="360" w:lineRule="auto"/>
        <w:jc w:val="both"/>
        <w:rPr>
          <w:rFonts w:eastAsia="Times New Roman"/>
          <w:i/>
          <w:color w:val="000000" w:themeColor="text1"/>
          <w:lang w:eastAsia="en-US"/>
        </w:rPr>
      </w:pPr>
      <w:r>
        <w:rPr>
          <w:rFonts w:eastAsia="Times New Roman"/>
          <w:i/>
          <w:color w:val="000000" w:themeColor="text1"/>
          <w:lang w:eastAsia="en-US"/>
        </w:rPr>
        <w:t>/</w:t>
      </w:r>
      <w:r w:rsidR="00160CC4" w:rsidRPr="00CF31E0">
        <w:rPr>
          <w:rFonts w:eastAsia="Times New Roman"/>
          <w:i/>
          <w:color w:val="000000" w:themeColor="text1"/>
          <w:lang w:eastAsia="en-US"/>
        </w:rPr>
        <w:t>Kalb</w:t>
      </w:r>
      <w:r>
        <w:rPr>
          <w:rFonts w:eastAsia="Times New Roman"/>
          <w:i/>
          <w:color w:val="000000" w:themeColor="text1"/>
          <w:lang w:eastAsia="en-US"/>
        </w:rPr>
        <w:t>/</w:t>
      </w:r>
      <w:r w:rsidR="00160CC4" w:rsidRPr="00CF31E0">
        <w:rPr>
          <w:rFonts w:eastAsia="Times New Roman"/>
          <w:i/>
          <w:color w:val="000000" w:themeColor="text1"/>
          <w:lang w:eastAsia="en-US"/>
        </w:rPr>
        <w:t xml:space="preserve"> “dog”</w:t>
      </w:r>
    </w:p>
    <w:p w14:paraId="44D92069" w14:textId="77777777" w:rsidR="00160CC4" w:rsidRPr="00CF31E0" w:rsidRDefault="00160CC4" w:rsidP="00160CC4">
      <w:pPr>
        <w:spacing w:line="360" w:lineRule="auto"/>
        <w:jc w:val="both"/>
        <w:outlineLvl w:val="0"/>
        <w:rPr>
          <w:rFonts w:eastAsia="Times New Roman"/>
          <w:b/>
          <w:iCs/>
          <w:color w:val="000000" w:themeColor="text1"/>
          <w:lang w:eastAsia="en-US"/>
        </w:rPr>
      </w:pPr>
      <w:bookmarkStart w:id="167" w:name="_Toc512432011"/>
      <w:bookmarkStart w:id="168" w:name="_Toc512432202"/>
      <w:r w:rsidRPr="00CF31E0">
        <w:rPr>
          <w:rFonts w:eastAsia="Times New Roman"/>
          <w:b/>
          <w:iCs/>
          <w:color w:val="000000" w:themeColor="text1"/>
          <w:lang w:eastAsia="en-US"/>
        </w:rPr>
        <w:t>Other</w:t>
      </w:r>
      <w:r w:rsidRPr="00CF31E0">
        <w:rPr>
          <w:rFonts w:eastAsia="Times New Roman"/>
          <w:b/>
          <w:i/>
          <w:color w:val="000000" w:themeColor="text1"/>
          <w:lang w:eastAsia="en-US"/>
        </w:rPr>
        <w:t xml:space="preserve"> </w:t>
      </w:r>
      <w:r w:rsidRPr="00CF31E0">
        <w:rPr>
          <w:rFonts w:eastAsia="Times New Roman"/>
          <w:b/>
          <w:iCs/>
          <w:color w:val="000000" w:themeColor="text1"/>
          <w:lang w:eastAsia="en-US"/>
        </w:rPr>
        <w:t>neighbouring dialects</w:t>
      </w:r>
      <w:bookmarkEnd w:id="167"/>
      <w:bookmarkEnd w:id="168"/>
    </w:p>
    <w:p w14:paraId="58BD25F3" w14:textId="3CA67C9F" w:rsidR="00160CC4" w:rsidRPr="00CF31E0" w:rsidRDefault="003A6E19" w:rsidP="00160CC4">
      <w:pPr>
        <w:spacing w:line="360" w:lineRule="auto"/>
        <w:jc w:val="both"/>
        <w:rPr>
          <w:rFonts w:eastAsia="Times New Roman"/>
          <w:i/>
          <w:color w:val="000000" w:themeColor="text1"/>
          <w:lang w:eastAsia="en-US"/>
        </w:rPr>
      </w:pPr>
      <w:r>
        <w:rPr>
          <w:rFonts w:eastAsia="Times New Roman"/>
          <w:color w:val="000000" w:themeColor="text1"/>
          <w:lang w:eastAsia="en-US"/>
        </w:rPr>
        <w:t>/</w:t>
      </w:r>
      <w:r w:rsidR="00160CC4" w:rsidRPr="00CF31E0">
        <w:rPr>
          <w:rFonts w:eastAsia="Times New Roman"/>
          <w:color w:val="000000" w:themeColor="text1"/>
          <w:lang w:eastAsia="en-US"/>
        </w:rPr>
        <w:t>ʧan</w:t>
      </w:r>
      <w:r>
        <w:rPr>
          <w:rFonts w:eastAsia="Times New Roman"/>
          <w:color w:val="000000" w:themeColor="text1"/>
          <w:lang w:eastAsia="en-US"/>
        </w:rPr>
        <w:t>/</w:t>
      </w:r>
      <w:r w:rsidR="00160CC4" w:rsidRPr="00CF31E0">
        <w:rPr>
          <w:rFonts w:eastAsia="Times New Roman"/>
          <w:i/>
          <w:color w:val="000000" w:themeColor="text1"/>
          <w:lang w:eastAsia="en-US"/>
        </w:rPr>
        <w:t xml:space="preserve"> “if”</w:t>
      </w:r>
    </w:p>
    <w:p w14:paraId="6B65B1E4" w14:textId="7637114D" w:rsidR="00160CC4" w:rsidRPr="00CF31E0" w:rsidRDefault="003A6E19" w:rsidP="00603CB7">
      <w:pPr>
        <w:spacing w:after="200" w:line="360" w:lineRule="auto"/>
        <w:jc w:val="both"/>
        <w:rPr>
          <w:rFonts w:eastAsia="Times New Roman"/>
          <w:i/>
          <w:color w:val="000000" w:themeColor="text1"/>
          <w:lang w:eastAsia="en-US"/>
        </w:rPr>
      </w:pPr>
      <w:r>
        <w:rPr>
          <w:rFonts w:eastAsia="Times New Roman"/>
          <w:color w:val="000000" w:themeColor="text1"/>
          <w:lang w:eastAsia="en-US"/>
        </w:rPr>
        <w:t>/</w:t>
      </w:r>
      <w:r w:rsidR="00160CC4" w:rsidRPr="00CF31E0">
        <w:rPr>
          <w:rFonts w:eastAsia="Times New Roman"/>
          <w:color w:val="000000" w:themeColor="text1"/>
          <w:lang w:eastAsia="en-US"/>
        </w:rPr>
        <w:t>ʧalb</w:t>
      </w:r>
      <w:r>
        <w:rPr>
          <w:rFonts w:eastAsia="Times New Roman"/>
          <w:color w:val="000000" w:themeColor="text1"/>
          <w:lang w:eastAsia="en-US"/>
        </w:rPr>
        <w:t>/</w:t>
      </w:r>
      <w:r w:rsidR="00160CC4" w:rsidRPr="00CF31E0">
        <w:rPr>
          <w:rFonts w:eastAsia="Times New Roman"/>
          <w:i/>
          <w:color w:val="000000" w:themeColor="text1"/>
          <w:lang w:eastAsia="en-US"/>
        </w:rPr>
        <w:t xml:space="preserve"> “dog”</w:t>
      </w:r>
    </w:p>
    <w:p w14:paraId="70F51E34" w14:textId="4C6E6829" w:rsidR="00160CC4" w:rsidRPr="00CF31E0" w:rsidRDefault="00160CC4" w:rsidP="00046AC9">
      <w:pPr>
        <w:pStyle w:val="Paragraph"/>
        <w:rPr>
          <w:lang w:eastAsia="en-US"/>
        </w:rPr>
      </w:pPr>
      <w:r w:rsidRPr="00CF31E0">
        <w:rPr>
          <w:lang w:eastAsia="en-US"/>
        </w:rPr>
        <w:t>As can be seen from the above example, the reflex of classical “kaf” remain</w:t>
      </w:r>
      <w:r w:rsidR="00B45F73">
        <w:rPr>
          <w:lang w:eastAsia="en-US"/>
        </w:rPr>
        <w:t>s</w:t>
      </w:r>
      <w:r w:rsidRPr="00CF31E0">
        <w:rPr>
          <w:lang w:eastAsia="en-US"/>
        </w:rPr>
        <w:t xml:space="preserve"> as /k/ in the Al-Murra and Ajman dialects </w:t>
      </w:r>
      <w:r w:rsidRPr="00CF31E0">
        <w:rPr>
          <w:lang w:eastAsia="en-US"/>
        </w:rPr>
        <w:fldChar w:fldCharType="begin"/>
      </w:r>
      <w:r w:rsidRPr="00CF31E0">
        <w:rPr>
          <w:lang w:eastAsia="en-US"/>
        </w:rPr>
        <w:instrText xml:space="preserve"> ADDIN ZOTERO_ITEM CSL_CITATION {"citationID":"3hAxazQT","properties":{"formattedCitation":"(Ingham, 1986, p. 278)","plainCitation":"(Ingham, 1986, p. 278)","noteIndex":0},"citationItems":[{"id":135,"uris":["http://zotero.org/users/1939618/items/7KBX4XWK"],"uri":["http://zotero.org/users/1939618/items/7KBX4XWK"],"itemData":{"id":135,"type":"article-journal","title":"Notes on the dialect of the Āl Murra of eastern and southern Arabia","container-title":"Bulletin of the School of Oriental and African Studies","page":"271–291","volume":"49","issue":"02","source":"Google Scholar","author":[{"family":"Ingham","given":"Bruce"}],"issued":{"date-parts":[["1986"]]}},"locator":"278","label":"page"}],"schema":"https://github.com/citation-style-language/schema/raw/master/csl-citation.json"} </w:instrText>
      </w:r>
      <w:r w:rsidRPr="00CF31E0">
        <w:rPr>
          <w:lang w:eastAsia="en-US"/>
        </w:rPr>
        <w:fldChar w:fldCharType="separate"/>
      </w:r>
      <w:r w:rsidRPr="00CF31E0">
        <w:rPr>
          <w:noProof/>
          <w:lang w:eastAsia="en-US"/>
        </w:rPr>
        <w:t>(Ingham, 1986, p. 278)</w:t>
      </w:r>
      <w:r w:rsidRPr="00CF31E0">
        <w:rPr>
          <w:lang w:eastAsia="en-US"/>
        </w:rPr>
        <w:fldChar w:fldCharType="end"/>
      </w:r>
      <w:r w:rsidRPr="00CF31E0">
        <w:rPr>
          <w:lang w:eastAsia="en-US"/>
        </w:rPr>
        <w:t xml:space="preserve">. </w:t>
      </w:r>
      <w:r w:rsidR="00046AC9">
        <w:rPr>
          <w:lang w:eastAsia="en-US"/>
        </w:rPr>
        <w:t xml:space="preserve">While </w:t>
      </w:r>
      <w:r w:rsidRPr="00CF31E0">
        <w:rPr>
          <w:lang w:eastAsia="en-US"/>
        </w:rPr>
        <w:t xml:space="preserve"> </w:t>
      </w:r>
      <w:r w:rsidR="00C231DE" w:rsidRPr="00CF31E0">
        <w:rPr>
          <w:lang w:eastAsia="en-US"/>
        </w:rPr>
        <w:t xml:space="preserve">in the neighbouring dialects of Ajman and Awamir, </w:t>
      </w:r>
      <w:r w:rsidRPr="00CF31E0">
        <w:rPr>
          <w:lang w:eastAsia="en-US"/>
        </w:rPr>
        <w:t xml:space="preserve">it is pronounced as </w:t>
      </w:r>
      <w:r w:rsidR="00046AC9">
        <w:rPr>
          <w:lang w:eastAsia="en-US"/>
        </w:rPr>
        <w:t xml:space="preserve">the reflex of </w:t>
      </w:r>
      <w:r w:rsidRPr="00CF31E0">
        <w:rPr>
          <w:lang w:eastAsia="en-US"/>
        </w:rPr>
        <w:t>/ʧ/.</w:t>
      </w:r>
    </w:p>
    <w:p w14:paraId="0E09BD02" w14:textId="593BB2D2" w:rsidR="00160CC4" w:rsidRPr="00CF31E0" w:rsidRDefault="00160CC4" w:rsidP="00603CB7">
      <w:pPr>
        <w:pStyle w:val="Paragraph"/>
        <w:rPr>
          <w:lang w:eastAsia="en-US"/>
        </w:rPr>
      </w:pPr>
      <w:r w:rsidRPr="00CF31E0">
        <w:rPr>
          <w:lang w:eastAsia="en-US"/>
        </w:rPr>
        <w:t xml:space="preserve">Ingham </w:t>
      </w:r>
      <w:r w:rsidRPr="00CF31E0">
        <w:rPr>
          <w:lang w:eastAsia="en-US"/>
        </w:rPr>
        <w:fldChar w:fldCharType="begin"/>
      </w:r>
      <w:r w:rsidR="00CD34CA" w:rsidRPr="00CF31E0">
        <w:rPr>
          <w:lang w:eastAsia="en-US"/>
        </w:rPr>
        <w:instrText xml:space="preserve"> ADDIN ZOTERO_ITEM CSL_CITATION {"citationID":"Upd6wfJj","properties":{"formattedCitation":"(Ingham, 1986, p. 271)","plainCitation":"(Ingham, 1986, p. 271)","dontUpdate":true,"noteIndex":0},"citationItems":[{"id":135,"uris":["http://zotero.org/users/1939618/items/7KBX4XWK"],"uri":["http://zotero.org/users/1939618/items/7KBX4XWK"],"itemData":{"id":135,"type":"article-journal","title":"Notes on the dialect of the Āl Murra of eastern and southern Arabia","container-title":"Bulletin of the School of Oriental and African Studies","page":"271–291","volume":"49","issue":"02","source":"Google Scholar","author":[{"family":"Ingham","given":"Bruce"}],"issued":{"date-parts":[["1986"]]}},"locator":"271","label":"page"}],"schema":"https://github.com/citation-style-language/schema/raw/master/csl-citation.json"} </w:instrText>
      </w:r>
      <w:r w:rsidRPr="00CF31E0">
        <w:rPr>
          <w:lang w:eastAsia="en-US"/>
        </w:rPr>
        <w:fldChar w:fldCharType="separate"/>
      </w:r>
      <w:r w:rsidRPr="00CF31E0">
        <w:rPr>
          <w:noProof/>
          <w:lang w:eastAsia="en-US"/>
        </w:rPr>
        <w:t>(1986, p. 271)</w:t>
      </w:r>
      <w:r w:rsidRPr="00CF31E0">
        <w:rPr>
          <w:lang w:eastAsia="en-US"/>
        </w:rPr>
        <w:fldChar w:fldCharType="end"/>
      </w:r>
      <w:r w:rsidRPr="00CF31E0">
        <w:rPr>
          <w:lang w:eastAsia="en-US"/>
        </w:rPr>
        <w:t xml:space="preserve"> attempted to attribute the reason for the similarity observed between the Al-Murra and Ajman dialects to genealogical reasons, since both tribes are genealogically uniform. In other words, </w:t>
      </w:r>
      <w:r w:rsidRPr="00CF31E0">
        <w:rPr>
          <w:lang w:eastAsia="en-US"/>
        </w:rPr>
        <w:fldChar w:fldCharType="begin"/>
      </w:r>
      <w:r w:rsidR="00CD34CA" w:rsidRPr="00CF31E0">
        <w:rPr>
          <w:lang w:eastAsia="en-US"/>
        </w:rPr>
        <w:instrText xml:space="preserve"> ADDIN ZOTERO_ITEM CSL_CITATION {"citationID":"Fmpovsin","properties":{"formattedCitation":"(Ingham, 1986, p. 272)","plainCitation":"(Ingham, 1986, p. 272)","dontUpdate":true,"noteIndex":0},"citationItems":[{"id":135,"uris":["http://zotero.org/users/1939618/items/7KBX4XWK"],"uri":["http://zotero.org/users/1939618/items/7KBX4XWK"],"itemData":{"id":135,"type":"article-journal","title":"Notes on the dialect of the Āl Murra of eastern and southern Arabia","container-title":"Bulletin of the School of Oriental and African Studies","page":"271–291","volume":"49","issue":"02","source":"Google Scholar","author":[{"family":"Ingham","given":"Bruce"}],"issued":{"date-parts":[["1986"]]}},"locator":"272","label":"page"}],"schema":"https://github.com/citation-style-language/schema/raw/master/csl-citation.json"} </w:instrText>
      </w:r>
      <w:r w:rsidRPr="00CF31E0">
        <w:rPr>
          <w:lang w:eastAsia="en-US"/>
        </w:rPr>
        <w:fldChar w:fldCharType="separate"/>
      </w:r>
      <w:r w:rsidRPr="00CF31E0">
        <w:rPr>
          <w:noProof/>
          <w:lang w:eastAsia="en-US"/>
        </w:rPr>
        <w:t>(Ingham, 1986)</w:t>
      </w:r>
      <w:r w:rsidRPr="00CF31E0">
        <w:rPr>
          <w:lang w:eastAsia="en-US"/>
        </w:rPr>
        <w:fldChar w:fldCharType="end"/>
      </w:r>
      <w:r w:rsidRPr="00CF31E0">
        <w:rPr>
          <w:lang w:eastAsia="en-US"/>
        </w:rPr>
        <w:t xml:space="preserve"> claimed that the similar observed linguistic patterns between the Al-Murra and Ajman dialects are not due to their adjacent geographical locations, because the Al-Murra tribe has many other direct neighbours without similar linguistic patterns to these neighbouring dialects. Therefore, </w:t>
      </w:r>
      <w:r w:rsidRPr="00CF31E0">
        <w:rPr>
          <w:lang w:eastAsia="en-US"/>
        </w:rPr>
        <w:fldChar w:fldCharType="begin"/>
      </w:r>
      <w:r w:rsidR="00CD34CA" w:rsidRPr="00CF31E0">
        <w:rPr>
          <w:lang w:eastAsia="en-US"/>
        </w:rPr>
        <w:instrText xml:space="preserve"> ADDIN ZOTERO_ITEM CSL_CITATION {"citationID":"0P4NCWVd","properties":{"formattedCitation":"(Ingham, 1986, p. 272)","plainCitation":"(Ingham, 1986, p. 272)","dontUpdate":true,"noteIndex":0},"citationItems":[{"id":135,"uris":["http://zotero.org/users/1939618/items/7KBX4XWK"],"uri":["http://zotero.org/users/1939618/items/7KBX4XWK"],"itemData":{"id":135,"type":"article-journal","title":"Notes on the dialect of the Āl Murra of eastern and southern Arabia","container-title":"Bulletin of the School of Oriental and African Studies","page":"271–291","volume":"49","issue":"02","source":"Google Scholar","author":[{"family":"Ingham","given":"Bruce"}],"issued":{"date-parts":[["1986"]]}},"locator":"272","label":"page"}],"schema":"https://github.com/citation-style-language/schema/raw/master/csl-citation.json"} </w:instrText>
      </w:r>
      <w:r w:rsidRPr="00CF31E0">
        <w:rPr>
          <w:lang w:eastAsia="en-US"/>
        </w:rPr>
        <w:fldChar w:fldCharType="separate"/>
      </w:r>
      <w:r w:rsidRPr="00CF31E0">
        <w:rPr>
          <w:noProof/>
          <w:lang w:eastAsia="en-US"/>
        </w:rPr>
        <w:t>(Ingham, 1986)</w:t>
      </w:r>
      <w:r w:rsidRPr="00CF31E0">
        <w:rPr>
          <w:lang w:eastAsia="en-US"/>
        </w:rPr>
        <w:fldChar w:fldCharType="end"/>
      </w:r>
      <w:r w:rsidRPr="00CF31E0">
        <w:rPr>
          <w:lang w:eastAsia="en-US"/>
        </w:rPr>
        <w:t xml:space="preserve"> attributed the similarity to genealogical factors; that is, both the Al-Murra and Ajman tribes came from one ancestor and one place, which is south-western Arabia (Najran region). </w:t>
      </w:r>
    </w:p>
    <w:p w14:paraId="26A4A8E8" w14:textId="25F1F8C0" w:rsidR="00160CC4" w:rsidRPr="00CF31E0" w:rsidRDefault="00160CC4" w:rsidP="00603CB7">
      <w:pPr>
        <w:pStyle w:val="Paragraph"/>
        <w:rPr>
          <w:lang w:val="en-US" w:eastAsia="en-US"/>
        </w:rPr>
      </w:pPr>
      <w:r w:rsidRPr="00CF31E0">
        <w:rPr>
          <w:lang w:val="en-US" w:eastAsia="en-US"/>
        </w:rPr>
        <w:lastRenderedPageBreak/>
        <w:t xml:space="preserve">In a similar vein, </w:t>
      </w:r>
      <w:r w:rsidRPr="00CF31E0">
        <w:rPr>
          <w:lang w:val="en-US" w:eastAsia="en-US"/>
        </w:rPr>
        <w:fldChar w:fldCharType="begin"/>
      </w:r>
      <w:r w:rsidR="00CD34CA" w:rsidRPr="00CF31E0">
        <w:rPr>
          <w:lang w:val="en-US" w:eastAsia="en-US"/>
        </w:rPr>
        <w:instrText xml:space="preserve"> ADDIN ZOTERO_ITEM CSL_CITATION {"citationID":"lwQZUMIT","properties":{"formattedCitation":"(El Salman, 2016)","plainCitation":"(El Salman, 2016)","dontUpdate":true,"noteIndex":0},"citationItems":[{"id":473,"uris":["http://zotero.org/users/1939618/items/5M365W26"],"uri":["http://zotero.org/users/1939618/items/5M365W26"],"itemData":{"id":473,"type":"article-journal","title":"The Linguistic and Social Aspects of the Bedouin Dialect","container-title":"Advances in Language and Literary Studies","page":"20-24","volume":"7","issue":"4","source":"www.journals.aiac.org.au","abstract":"This is a sociolinguistic study that tries to investigate the peculiarity of the Bedouin dialect regardless of the place where it is used. Some variants that are used in their dialect are used wherever they are from. Two sounds in particular were chosen to carry out this study. These are the /ʤ/ variant of the (Q) variable, and the /ts/ variant of the (K) variable. The study shows that some sounds that are known to be exclusively used by Bedouins, are still used by the old Bedouins wherever they live. For example, Old informants from Jordan used the /ts/ variant within the tribe domains, and the old informants from other tribes living in Saudi Arabia used it as well. This is also seen with regard to the /ʤ/ sound.  The /ʤ/ is used also in relatively high percentage in the speech of the old in Jordan and Saudi Arabia. This shows that belonging to the Bedouin group per se, is what matters in determining the sound used regardless of the region to which one belongs. Unlike the rural people who might use the different alternates of the (Q) variable depending on the region to which they belong, for example, [k] is used in some parts of Palestine while [q] is used in other parts like Tirat Haifa village in the northern part of Palestine. Bedouins are consistent in using the [g] variant or the /ʤ/ of the (Q) variable regardless of the area where they live. In other words, the two sounds appear in the dialects of the Bedouins whether they live in Jordan or Saudi Arabia.  This raises the possibility that their sharing the same culture (being Bedouins) leads to their sharing these linguistic features. Part of their culture is belonging to their tribes as they are traditionally divided into tribes. The dialect of the tribe remains important where ever they are.Keywords. Linguistic variation, variant","ISSN":"2203-4714","language":"en-US","author":[{"family":"El Salman","given":"Mahmoud"}],"issued":{"date-parts":[["2016",8,1]]}}}],"schema":"https://github.com/citation-style-language/schema/raw/master/csl-citation.json"} </w:instrText>
      </w:r>
      <w:r w:rsidRPr="00CF31E0">
        <w:rPr>
          <w:lang w:val="en-US" w:eastAsia="en-US"/>
        </w:rPr>
        <w:fldChar w:fldCharType="separate"/>
      </w:r>
      <w:r w:rsidRPr="00CF31E0">
        <w:rPr>
          <w:noProof/>
          <w:lang w:val="en-US" w:eastAsia="en-US"/>
        </w:rPr>
        <w:t>El Salman (2016)</w:t>
      </w:r>
      <w:r w:rsidRPr="00CF31E0">
        <w:rPr>
          <w:lang w:val="en-US" w:eastAsia="en-US"/>
        </w:rPr>
        <w:fldChar w:fldCharType="end"/>
      </w:r>
      <w:r w:rsidRPr="00CF31E0">
        <w:rPr>
          <w:lang w:val="en-US" w:eastAsia="en-US"/>
        </w:rPr>
        <w:t xml:space="preserve"> compared the use of sounds in the Bedouin dialect spoken in two Arabic </w:t>
      </w:r>
      <w:r w:rsidR="00FF5758" w:rsidRPr="00CF31E0">
        <w:rPr>
          <w:lang w:val="en-US" w:eastAsia="en-US"/>
        </w:rPr>
        <w:t>count</w:t>
      </w:r>
      <w:r w:rsidRPr="00CF31E0">
        <w:rPr>
          <w:lang w:val="en-US" w:eastAsia="en-US"/>
        </w:rPr>
        <w:t>ries, S</w:t>
      </w:r>
      <w:r w:rsidR="00690282" w:rsidRPr="00CF31E0">
        <w:rPr>
          <w:lang w:val="en-US" w:eastAsia="en-US"/>
        </w:rPr>
        <w:t>A</w:t>
      </w:r>
      <w:r w:rsidRPr="00CF31E0">
        <w:rPr>
          <w:lang w:val="en-US" w:eastAsia="en-US"/>
        </w:rPr>
        <w:t xml:space="preserve"> and Jordan. The researcher attempted to examine the “peculiarity of the Bedouin dialect regardless of the place where it is used” </w:t>
      </w:r>
      <w:r w:rsidRPr="00CF31E0">
        <w:rPr>
          <w:lang w:val="en-US" w:eastAsia="en-US"/>
        </w:rPr>
        <w:fldChar w:fldCharType="begin"/>
      </w:r>
      <w:r w:rsidRPr="00CF31E0">
        <w:rPr>
          <w:lang w:val="en-US" w:eastAsia="en-US"/>
        </w:rPr>
        <w:instrText xml:space="preserve"> ADDIN ZOTERO_ITEM CSL_CITATION {"citationID":"UFpvncjX","properties":{"formattedCitation":"(El Salman, 2016, p. 20)","plainCitation":"(El Salman, 2016, p. 20)","noteIndex":0},"citationItems":[{"id":473,"uris":["http://zotero.org/users/1939618/items/5M365W26"],"uri":["http://zotero.org/users/1939618/items/5M365W26"],"itemData":{"id":473,"type":"article-journal","title":"The Linguistic and Social Aspects of the Bedouin Dialect","container-title":"Advances in Language and Literary Studies","page":"20-24","volume":"7","issue":"4","source":"www.journals.aiac.org.au","abstract":"This is a sociolinguistic study that tries to investigate the peculiarity of the Bedouin dialect regardless of the place where it is used. Some variants that are used in their dialect are used wherever they are from. Two sounds in particular were chosen to carry out this study. These are the /ʤ/ variant of the (Q) variable, and the /ts/ variant of the (K) variable. The study shows that some sounds that are known to be exclusively used by Bedouins, are still used by the old Bedouins wherever they live. For example, Old informants from Jordan used the /ts/ variant within the tribe domains, and the old informants from other tribes living in Saudi Arabia used it as well. This is also seen with regard to the /ʤ/ sound.  The /ʤ/ is used also in relatively high percentage in the speech of the old in Jordan and Saudi Arabia. This shows that belonging to the Bedouin group per se, is what matters in determining the sound used regardless of the region to which one belongs. Unlike the rural people who might use the different alternates of the (Q) variable depending on the region to which they belong, for example, [k] is used in some parts of Palestine while [q] is used in other parts like Tirat Haifa village in the northern part of Palestine. Bedouins are consistent in using the [g] variant or the /ʤ/ of the (Q) variable regardless of the area where they live. In other words, the two sounds appear in the dialects of the Bedouins whether they live in Jordan or Saudi Arabia.  This raises the possibility that their sharing the same culture (being Bedouins) leads to their sharing these linguistic features. Part of their culture is belonging to their tribes as they are traditionally divided into tribes. The dialect of the tribe remains important where ever they are.Keywords. Linguistic variation, variant","ISSN":"2203-4714","language":"en-US","author":[{"family":"El Salman","given":"Mahmoud"}],"issued":{"date-parts":[["2016",8,1]]}},"locator":"20","label":"page"}],"schema":"https://github.com/citation-style-language/schema/raw/master/csl-citation.json"} </w:instrText>
      </w:r>
      <w:r w:rsidRPr="00CF31E0">
        <w:rPr>
          <w:lang w:val="en-US" w:eastAsia="en-US"/>
        </w:rPr>
        <w:fldChar w:fldCharType="separate"/>
      </w:r>
      <w:r w:rsidRPr="00CF31E0">
        <w:rPr>
          <w:noProof/>
          <w:lang w:val="en-US" w:eastAsia="en-US"/>
        </w:rPr>
        <w:t>(El Salman, 2016, p. 20)</w:t>
      </w:r>
      <w:r w:rsidRPr="00CF31E0">
        <w:rPr>
          <w:lang w:val="en-US" w:eastAsia="en-US"/>
        </w:rPr>
        <w:fldChar w:fldCharType="end"/>
      </w:r>
      <w:r w:rsidRPr="00CF31E0">
        <w:rPr>
          <w:lang w:val="en-US" w:eastAsia="en-US"/>
        </w:rPr>
        <w:t xml:space="preserve">. The study involved comparing the two sounds in the Bedouin dialect in the places specified: the </w:t>
      </w:r>
      <w:r w:rsidRPr="00CF31E0">
        <w:rPr>
          <w:rFonts w:eastAsia="Calibri"/>
          <w:lang w:eastAsia="en-US"/>
        </w:rPr>
        <w:t xml:space="preserve">/ʤ/ variant of the (Q) variable, and the /ts/ variant of the (K) variable. The interview sample consisted of 48 old Bedouin informants; 24 were from SA, while 24 were from Jordan. The results revealed that old Bedouins produced the two sounds similarly in SA and Jordan. El Salman attributed such a similarity between the two groups to their belonging to the same tribe and sharing the same genealogical ties. </w:t>
      </w:r>
    </w:p>
    <w:p w14:paraId="46BB2324" w14:textId="429ECD54" w:rsidR="00160CC4" w:rsidRPr="00CF31E0" w:rsidRDefault="00C231DE" w:rsidP="00603CB7">
      <w:pPr>
        <w:pStyle w:val="Paragraph"/>
        <w:rPr>
          <w:lang w:eastAsia="en-US"/>
        </w:rPr>
      </w:pPr>
      <w:r w:rsidRPr="00CF31E0">
        <w:rPr>
          <w:lang w:eastAsia="en-US"/>
        </w:rPr>
        <w:t>Regarding</w:t>
      </w:r>
      <w:r w:rsidR="00160CC4" w:rsidRPr="00CF31E0">
        <w:rPr>
          <w:lang w:eastAsia="en-US"/>
        </w:rPr>
        <w:t xml:space="preserve"> the Hijaz region, as noted in </w:t>
      </w:r>
      <w:r w:rsidR="00CE2B99" w:rsidRPr="00CF31E0">
        <w:rPr>
          <w:lang w:eastAsia="en-US"/>
        </w:rPr>
        <w:t>C</w:t>
      </w:r>
      <w:r w:rsidR="0012407D" w:rsidRPr="00CF31E0">
        <w:rPr>
          <w:lang w:eastAsia="en-US"/>
        </w:rPr>
        <w:t>hapter 2</w:t>
      </w:r>
      <w:r w:rsidR="0074630B" w:rsidRPr="00CF31E0">
        <w:rPr>
          <w:lang w:eastAsia="en-US"/>
        </w:rPr>
        <w:t>,</w:t>
      </w:r>
      <w:r w:rsidR="0012407D" w:rsidRPr="00CF31E0">
        <w:rPr>
          <w:lang w:eastAsia="en-US"/>
        </w:rPr>
        <w:t xml:space="preserve"> section 2.5</w:t>
      </w:r>
      <w:r w:rsidR="00160CC4" w:rsidRPr="00CF31E0">
        <w:rPr>
          <w:lang w:eastAsia="en-US"/>
        </w:rPr>
        <w:t>, it has many large Bedouin tribes</w:t>
      </w:r>
      <w:r w:rsidRPr="00CF31E0">
        <w:rPr>
          <w:lang w:eastAsia="en-US"/>
        </w:rPr>
        <w:t>,</w:t>
      </w:r>
      <w:r w:rsidR="00160CC4" w:rsidRPr="00CF31E0">
        <w:rPr>
          <w:lang w:eastAsia="en-US"/>
        </w:rPr>
        <w:t xml:space="preserve"> which </w:t>
      </w:r>
      <w:r w:rsidRPr="00CF31E0">
        <w:rPr>
          <w:lang w:eastAsia="en-US"/>
        </w:rPr>
        <w:t xml:space="preserve">attracted </w:t>
      </w:r>
      <w:r w:rsidR="00160CC4" w:rsidRPr="00CF31E0">
        <w:rPr>
          <w:lang w:eastAsia="en-US"/>
        </w:rPr>
        <w:t xml:space="preserve">researchers to investigate </w:t>
      </w:r>
      <w:r w:rsidR="006C21A3" w:rsidRPr="00CF31E0">
        <w:rPr>
          <w:lang w:eastAsia="en-US"/>
        </w:rPr>
        <w:t xml:space="preserve">the </w:t>
      </w:r>
      <w:r w:rsidR="00160CC4" w:rsidRPr="00CF31E0">
        <w:rPr>
          <w:lang w:eastAsia="en-US"/>
        </w:rPr>
        <w:t xml:space="preserve">dialect production of Bedouin tribes in the region. The Harb tribe, which is one of the largest in the region, has gained the attention of many researchers who are interested in investigating its dialect </w:t>
      </w:r>
      <w:r w:rsidR="00160CC4" w:rsidRPr="00CF31E0">
        <w:rPr>
          <w:lang w:eastAsia="en-US"/>
        </w:rPr>
        <w:fldChar w:fldCharType="begin"/>
      </w:r>
      <w:r w:rsidR="00A54129" w:rsidRPr="00CF31E0">
        <w:rPr>
          <w:lang w:eastAsia="en-US"/>
        </w:rPr>
        <w:instrText xml:space="preserve"> ADDIN ZOTERO_ITEM CSL_CITATION {"citationID":"slf3ed16i","properties":{"formattedCitation":"(Al-Hazmy, 1975; Ingham, 1982)","plainCitation":"(Al-Hazmy, 1975; Ingham, 1982)","noteIndex":0},"citationItems":[{"id":16,"uris":["http://zotero.org/users/1939618/items/HV4G7JNU"],"uri":["http://zotero.org/users/1939618/items/HV4G7JNU"],"itemData":{"id":16,"type":"thesis","title":"A critical and comparative study of the spoken dialect of the harb tribe in Saudi Arabia (doctoral dissertation)","publisher":"University of Leeds","source":"Google Scholar","URL":"http://etheses.whiterose.ac.uk/916/1/uk_bl_ethos_510015.pdf","author":[{"family":"Al-Hazmy","given":"Alayan Mohammed"}],"issued":{"date-parts":[["1975"]]},"accessed":{"date-parts":[["2014",6,4]]}},"label":"page"},{"id":133,"uris":["http://zotero.org/users/1939618/items/RNWI55AQ"],"uri":["http://zotero.org/users/1939618/items/RNWI55AQ"],"itemData":{"id":133,"type":"article-journal","title":"Notes on the dialect of the Ḍhafr of north-eastern Arabia","container-title":"Bulletin of the School of Oriental and African Studies","page":"245–259","volume":"45","issue":"02","source":"Google Scholar","author":[{"family":"Ingham","given":"Bruce"}],"issued":{"date-parts":[["1982"]]}},"label":"page"}],"schema":"https://github.com/citation-style-language/schema/raw/master/csl-citation.json"} </w:instrText>
      </w:r>
      <w:r w:rsidR="00160CC4" w:rsidRPr="00CF31E0">
        <w:rPr>
          <w:lang w:eastAsia="en-US"/>
        </w:rPr>
        <w:fldChar w:fldCharType="separate"/>
      </w:r>
      <w:r w:rsidR="00160CC4" w:rsidRPr="00CF31E0">
        <w:rPr>
          <w:noProof/>
          <w:lang w:eastAsia="en-US"/>
        </w:rPr>
        <w:t>(Al-Hazmy, 1975)</w:t>
      </w:r>
      <w:r w:rsidR="00160CC4" w:rsidRPr="00CF31E0">
        <w:rPr>
          <w:lang w:eastAsia="en-US"/>
        </w:rPr>
        <w:fldChar w:fldCharType="end"/>
      </w:r>
      <w:r w:rsidR="00160CC4" w:rsidRPr="00CF31E0">
        <w:rPr>
          <w:lang w:eastAsia="en-US"/>
        </w:rPr>
        <w:t xml:space="preserve">. Al-Hazmy </w:t>
      </w:r>
      <w:r w:rsidR="00160CC4" w:rsidRPr="00CF31E0">
        <w:rPr>
          <w:lang w:eastAsia="en-US"/>
        </w:rPr>
        <w:fldChar w:fldCharType="begin"/>
      </w:r>
      <w:r w:rsidR="00A54129" w:rsidRPr="00CF31E0">
        <w:rPr>
          <w:lang w:eastAsia="en-US"/>
        </w:rPr>
        <w:instrText xml:space="preserve"> ADDIN ZOTERO_ITEM CSL_CITATION {"citationID":"HeDMcLbg","properties":{"formattedCitation":"(Al-Hazmy, 1975)","plainCitation":"(Al-Hazmy, 1975)","dontUpdate":true,"noteIndex":0},"citationItems":[{"id":16,"uris":["http://zotero.org/users/1939618/items/HV4G7JNU"],"uri":["http://zotero.org/users/1939618/items/HV4G7JNU"],"itemData":{"id":16,"type":"thesis","title":"A critical and comparative study of the spoken dialect of the harb tribe in Saudi Arabia (doctoral dissertation)","publisher":"University of Leeds","source":"Google Scholar","URL":"http://etheses.whiterose.ac.uk/916/1/uk_bl_ethos_510015.pdf","author":[{"family":"Al-Hazmy","given":"Alayan Mohammed"}],"issued":{"date-parts":[["1975"]]},"accessed":{"date-parts":[["2014",6,4]]}}}],"schema":"https://github.com/citation-style-language/schema/raw/master/csl-citation.json"} </w:instrText>
      </w:r>
      <w:r w:rsidR="00160CC4" w:rsidRPr="00CF31E0">
        <w:rPr>
          <w:lang w:eastAsia="en-US"/>
        </w:rPr>
        <w:fldChar w:fldCharType="separate"/>
      </w:r>
      <w:r w:rsidR="00160CC4" w:rsidRPr="00CF31E0">
        <w:rPr>
          <w:noProof/>
          <w:lang w:eastAsia="en-US"/>
        </w:rPr>
        <w:t>(1975)</w:t>
      </w:r>
      <w:r w:rsidR="00160CC4" w:rsidRPr="00CF31E0">
        <w:rPr>
          <w:lang w:eastAsia="en-US"/>
        </w:rPr>
        <w:fldChar w:fldCharType="end"/>
      </w:r>
      <w:r w:rsidR="00160CC4" w:rsidRPr="00CF31E0">
        <w:rPr>
          <w:lang w:eastAsia="en-US"/>
        </w:rPr>
        <w:t xml:space="preserve"> attempted to describe and analyse the dialect of the Harb tribe in S</w:t>
      </w:r>
      <w:r w:rsidR="00690282" w:rsidRPr="00CF31E0">
        <w:rPr>
          <w:lang w:eastAsia="en-US"/>
        </w:rPr>
        <w:t>A</w:t>
      </w:r>
      <w:r w:rsidR="00160CC4" w:rsidRPr="00CF31E0">
        <w:rPr>
          <w:lang w:eastAsia="en-US"/>
        </w:rPr>
        <w:t xml:space="preserve"> in terms of its phonology, morphology, lexical features and syntax. Al-Hazmy chose candidates from two regions in S</w:t>
      </w:r>
      <w:r w:rsidR="00690282" w:rsidRPr="00CF31E0">
        <w:rPr>
          <w:lang w:eastAsia="en-US"/>
        </w:rPr>
        <w:t>A</w:t>
      </w:r>
      <w:r w:rsidR="00160CC4" w:rsidRPr="00CF31E0">
        <w:rPr>
          <w:lang w:eastAsia="en-US"/>
        </w:rPr>
        <w:t xml:space="preserve">: the western region as representative of Hijaz, and the central region as representative of Najd. The data were collected orally using a tape recorder before being transcribed phonologically. One of the more significant findings to emerge from this study is that the Harb dialect in Hijaz (Hijazi group) is very similar to the Harb dialect in Najd (Najdi group) with a very slight difference in morphology (p. 232). Thus, the Harb dialect is essentially a uniform dialect, regardless of its spread. I can conclude that </w:t>
      </w:r>
      <w:r w:rsidR="00160CC4" w:rsidRPr="00CF31E0">
        <w:rPr>
          <w:lang w:eastAsia="en-US"/>
        </w:rPr>
        <w:fldChar w:fldCharType="begin"/>
      </w:r>
      <w:r w:rsidR="00A54129" w:rsidRPr="00CF31E0">
        <w:rPr>
          <w:lang w:eastAsia="en-US"/>
        </w:rPr>
        <w:instrText xml:space="preserve"> ADDIN ZOTERO_ITEM CSL_CITATION {"citationID":"OJkC4jvT","properties":{"formattedCitation":"(Al-Hazmy, 1975)","plainCitation":"(Al-Hazmy, 1975)","dontUpdate":true,"noteIndex":0},"citationItems":[{"id":16,"uris":["http://zotero.org/users/1939618/items/HV4G7JNU"],"uri":["http://zotero.org/users/1939618/items/HV4G7JNU"],"itemData":{"id":16,"type":"thesis","title":"A critical and comparative study of the spoken dialect of the harb tribe in Saudi Arabia (doctoral dissertation)","publisher":"University of Leeds","source":"Google Scholar","URL":"http://etheses.whiterose.ac.uk/916/1/uk_bl_ethos_510015.pdf","author":[{"family":"Al-Hazmy","given":"Alayan Mohammed"}],"issued":{"date-parts":[["1975"]]},"accessed":{"date-parts":[["2014",6,4]]}}}],"schema":"https://github.com/citation-style-language/schema/raw/master/csl-citation.json"} </w:instrText>
      </w:r>
      <w:r w:rsidR="00160CC4" w:rsidRPr="00CF31E0">
        <w:rPr>
          <w:lang w:eastAsia="en-US"/>
        </w:rPr>
        <w:fldChar w:fldCharType="separate"/>
      </w:r>
      <w:r w:rsidR="00160CC4" w:rsidRPr="00CF31E0">
        <w:rPr>
          <w:noProof/>
          <w:lang w:eastAsia="en-US"/>
        </w:rPr>
        <w:t xml:space="preserve">Al-Hazmy </w:t>
      </w:r>
      <w:r w:rsidR="003901D5" w:rsidRPr="00CF31E0">
        <w:rPr>
          <w:noProof/>
          <w:lang w:eastAsia="en-US"/>
        </w:rPr>
        <w:t>(</w:t>
      </w:r>
      <w:r w:rsidR="00160CC4" w:rsidRPr="00CF31E0">
        <w:rPr>
          <w:noProof/>
          <w:lang w:eastAsia="en-US"/>
        </w:rPr>
        <w:t>1975)</w:t>
      </w:r>
      <w:r w:rsidR="00160CC4" w:rsidRPr="00CF31E0">
        <w:rPr>
          <w:lang w:eastAsia="en-US"/>
        </w:rPr>
        <w:fldChar w:fldCharType="end"/>
      </w:r>
      <w:r w:rsidR="00160CC4" w:rsidRPr="00CF31E0">
        <w:rPr>
          <w:lang w:eastAsia="en-US"/>
        </w:rPr>
        <w:t xml:space="preserve"> confirms what </w:t>
      </w:r>
      <w:r w:rsidR="00160CC4" w:rsidRPr="00CF31E0">
        <w:rPr>
          <w:lang w:eastAsia="en-US"/>
        </w:rPr>
        <w:fldChar w:fldCharType="begin"/>
      </w:r>
      <w:r w:rsidR="00160CC4" w:rsidRPr="00CF31E0">
        <w:rPr>
          <w:lang w:eastAsia="en-US"/>
        </w:rPr>
        <w:instrText xml:space="preserve"> ADDIN ZOTERO_ITEM CSL_CITATION {"citationID":"23rjtomgg7","properties":{"formattedCitation":"(Ingham, 1982, 1986)","plainCitation":"(Ingham, 1982, 1986)","noteIndex":0},"citationItems":[{"id":133,"uris":["http://zotero.org/users/1939618/items/RNWI55AQ"],"uri":["http://zotero.org/users/1939618/items/RNWI55AQ"],"itemData":{"id":133,"type":"article-journal","title":"Notes on the dialect of the Ḍhafr of north-eastern Arabia","container-title":"Bulletin of the School of Oriental and African Studies","page":"245–259","volume":"45","issue":"02","source":"Google Scholar","author":[{"family":"Ingham","given":"Bruce"}],"issued":{"date-parts":[["1982"]]}},"label":"page"},{"id":135,"uris":["http://zotero.org/users/1939618/items/7KBX4XWK"],"uri":["http://zotero.org/users/1939618/items/7KBX4XWK"],"itemData":{"id":135,"type":"article-journal","title":"Notes on the dialect of the Āl Murra of eastern and southern Arabia","container-title":"Bulletin of the School of Oriental and African Studies","page":"271–291","volume":"49","issue":"02","source":"Google Scholar","author":[{"family":"Ingham","given":"Bruce"}],"issued":{"date-parts":[["1986"]]}},"label":"page"}],"schema":"https://github.com/citation-style-language/schema/raw/master/csl-citation.json"} </w:instrText>
      </w:r>
      <w:r w:rsidR="00160CC4" w:rsidRPr="00CF31E0">
        <w:rPr>
          <w:lang w:eastAsia="en-US"/>
        </w:rPr>
        <w:fldChar w:fldCharType="separate"/>
      </w:r>
      <w:r w:rsidR="00160CC4" w:rsidRPr="00CF31E0">
        <w:rPr>
          <w:noProof/>
          <w:lang w:eastAsia="en-US"/>
        </w:rPr>
        <w:t>(Ingham, 1982, 1986)</w:t>
      </w:r>
      <w:r w:rsidR="00160CC4" w:rsidRPr="00CF31E0">
        <w:rPr>
          <w:lang w:eastAsia="en-US"/>
        </w:rPr>
        <w:fldChar w:fldCharType="end"/>
      </w:r>
      <w:r w:rsidR="00160CC4" w:rsidRPr="00CF31E0">
        <w:rPr>
          <w:lang w:eastAsia="en-US"/>
        </w:rPr>
        <w:t xml:space="preserve"> and </w:t>
      </w:r>
      <w:r w:rsidR="00160CC4" w:rsidRPr="00CF31E0">
        <w:rPr>
          <w:lang w:eastAsia="en-US"/>
        </w:rPr>
        <w:fldChar w:fldCharType="begin"/>
      </w:r>
      <w:r w:rsidR="00CD34CA" w:rsidRPr="00CF31E0">
        <w:rPr>
          <w:lang w:eastAsia="en-US"/>
        </w:rPr>
        <w:instrText xml:space="preserve"> ADDIN ZOTERO_ITEM CSL_CITATION {"citationID":"Y8phJjG9","properties":{"formattedCitation":"(El Salman, 2016)","plainCitation":"(El Salman, 2016)","dontUpdate":true,"noteIndex":0},"citationItems":[{"id":473,"uris":["http://zotero.org/users/1939618/items/5M365W26"],"uri":["http://zotero.org/users/1939618/items/5M365W26"],"itemData":{"id":473,"type":"article-journal","title":"The Linguistic and Social Aspects of the Bedouin Dialect","container-title":"Advances in Language and Literary Studies","page":"20-24","volume":"7","issue":"4","source":"www.journals.aiac.org.au","abstract":"This is a sociolinguistic study that tries to investigate the peculiarity of the Bedouin dialect regardless of the place where it is used. Some variants that are used in their dialect are used wherever they are from. Two sounds in particular were chosen to carry out this study. These are the /ʤ/ variant of the (Q) variable, and the /ts/ variant of the (K) variable. The study shows that some sounds that are known to be exclusively used by Bedouins, are still used by the old Bedouins wherever they live. For example, Old informants from Jordan used the /ts/ variant within the tribe domains, and the old informants from other tribes living in Saudi Arabia used it as well. This is also seen with regard to the /ʤ/ sound.  The /ʤ/ is used also in relatively high percentage in the speech of the old in Jordan and Saudi Arabia. This shows that belonging to the Bedouin group per se, is what matters in determining the sound used regardless of the region to which one belongs. Unlike the rural people who might use the different alternates of the (Q) variable depending on the region to which they belong, for example, [k] is used in some parts of Palestine while [q] is used in other parts like Tirat Haifa village in the northern part of Palestine. Bedouins are consistent in using the [g] variant or the /ʤ/ of the (Q) variable regardless of the area where they live. In other words, the two sounds appear in the dialects of the Bedouins whether they live in Jordan or Saudi Arabia.  This raises the possibility that their sharing the same culture (being Bedouins) leads to their sharing these linguistic features. Part of their culture is belonging to their tribes as they are traditionally divided into tribes. The dialect of the tribe remains important where ever they are.Keywords. Linguistic variation, variant","ISSN":"2203-4714","language":"en-US","author":[{"family":"El Salman","given":"Mahmoud"}],"issued":{"date-parts":[["2016",8,1]]}}}],"schema":"https://github.com/citation-style-language/schema/raw/master/csl-citation.json"} </w:instrText>
      </w:r>
      <w:r w:rsidR="00160CC4" w:rsidRPr="00CF31E0">
        <w:rPr>
          <w:lang w:eastAsia="en-US"/>
        </w:rPr>
        <w:fldChar w:fldCharType="separate"/>
      </w:r>
      <w:r w:rsidR="00160CC4" w:rsidRPr="00CF31E0">
        <w:rPr>
          <w:noProof/>
          <w:lang w:eastAsia="en-US"/>
        </w:rPr>
        <w:t xml:space="preserve">El Salman </w:t>
      </w:r>
      <w:r w:rsidR="003901D5" w:rsidRPr="00CF31E0">
        <w:rPr>
          <w:noProof/>
          <w:lang w:eastAsia="en-US"/>
        </w:rPr>
        <w:t>(</w:t>
      </w:r>
      <w:r w:rsidR="00160CC4" w:rsidRPr="00CF31E0">
        <w:rPr>
          <w:noProof/>
          <w:lang w:eastAsia="en-US"/>
        </w:rPr>
        <w:t>2016)</w:t>
      </w:r>
      <w:r w:rsidR="00160CC4" w:rsidRPr="00CF31E0">
        <w:rPr>
          <w:lang w:eastAsia="en-US"/>
        </w:rPr>
        <w:fldChar w:fldCharType="end"/>
      </w:r>
      <w:r w:rsidR="00160CC4" w:rsidRPr="00CF31E0">
        <w:rPr>
          <w:lang w:eastAsia="en-US"/>
        </w:rPr>
        <w:t xml:space="preserve"> revealed when investigating dialects variation change in the aforementioned tribes; that is, dialect is a marker of tribal identity even if the tribe moved to distant geographical locations and was exposed to different linguistic patterns, as tribes still attempt to conserve the features of their original dialects. </w:t>
      </w:r>
    </w:p>
    <w:p w14:paraId="72D300AC" w14:textId="1CEB43E5" w:rsidR="00160CC4" w:rsidRPr="00CF31E0" w:rsidRDefault="00160CC4" w:rsidP="00603CB7">
      <w:pPr>
        <w:pStyle w:val="Paragraph"/>
        <w:rPr>
          <w:lang w:eastAsia="en-US"/>
        </w:rPr>
      </w:pPr>
      <w:r w:rsidRPr="00CF31E0">
        <w:rPr>
          <w:lang w:eastAsia="en-US"/>
        </w:rPr>
        <w:t xml:space="preserve">In light of the previous findings, using an attitudinal approach, I have the opportunity to test the validity of the tribal/Bedouin dialect being used as an </w:t>
      </w:r>
      <w:r w:rsidRPr="00CF31E0">
        <w:rPr>
          <w:lang w:eastAsia="en-US"/>
        </w:rPr>
        <w:lastRenderedPageBreak/>
        <w:t>identity marker regardless of the place in which it is used. To put this another way, my focus in this study is to investigate whether</w:t>
      </w:r>
      <w:r w:rsidR="00B8081B">
        <w:rPr>
          <w:lang w:eastAsia="en-US"/>
        </w:rPr>
        <w:t xml:space="preserve"> or not the UBH</w:t>
      </w:r>
      <w:r w:rsidRPr="00CF31E0">
        <w:rPr>
          <w:lang w:eastAsia="en-US"/>
        </w:rPr>
        <w:t xml:space="preserve"> dialect is perceived as a distinctive dialect from the </w:t>
      </w:r>
      <w:r w:rsidR="00FF4DC7" w:rsidRPr="00CF31E0">
        <w:rPr>
          <w:lang w:eastAsia="en-US"/>
        </w:rPr>
        <w:t>HH</w:t>
      </w:r>
      <w:r w:rsidRPr="00CF31E0">
        <w:rPr>
          <w:lang w:eastAsia="en-US"/>
        </w:rPr>
        <w:t xml:space="preserve"> dialect, notwithstanding that urban Bedouin tribes moved from rural areas of Hijaz and settled in urban centres where they can be in direct contact with a different dialect from their own.</w:t>
      </w:r>
    </w:p>
    <w:p w14:paraId="2712CDB5" w14:textId="3642E3DD" w:rsidR="00160CC4" w:rsidRPr="000E3509" w:rsidRDefault="00512FFD" w:rsidP="0061369D">
      <w:pPr>
        <w:pStyle w:val="Bhead"/>
        <w:rPr>
          <w:lang w:val="fr-FR"/>
        </w:rPr>
      </w:pPr>
      <w:bookmarkStart w:id="169" w:name="_Toc6472642"/>
      <w:bookmarkStart w:id="170" w:name="_Toc512432012"/>
      <w:bookmarkStart w:id="171" w:name="_Toc512432203"/>
      <w:r w:rsidRPr="000E3509">
        <w:rPr>
          <w:lang w:val="fr-FR"/>
        </w:rPr>
        <w:t>3</w:t>
      </w:r>
      <w:r w:rsidR="00A62A7A" w:rsidRPr="000E3509">
        <w:rPr>
          <w:lang w:val="fr-FR"/>
        </w:rPr>
        <w:t>.3.2.</w:t>
      </w:r>
      <w:r w:rsidR="00A62A7A" w:rsidRPr="000E3509">
        <w:rPr>
          <w:lang w:val="fr-FR"/>
        </w:rPr>
        <w:tab/>
      </w:r>
      <w:r w:rsidR="009A1976" w:rsidRPr="000E3509">
        <w:rPr>
          <w:lang w:val="fr-FR"/>
        </w:rPr>
        <w:t>Modern</w:t>
      </w:r>
      <w:r w:rsidR="00160CC4" w:rsidRPr="000E3509">
        <w:rPr>
          <w:lang w:val="fr-FR"/>
        </w:rPr>
        <w:t xml:space="preserve"> influences</w:t>
      </w:r>
      <w:r w:rsidR="00051205" w:rsidRPr="000E3509">
        <w:rPr>
          <w:lang w:val="fr-FR"/>
        </w:rPr>
        <w:t xml:space="preserve"> on </w:t>
      </w:r>
      <w:r w:rsidR="00160CC4" w:rsidRPr="000E3509">
        <w:rPr>
          <w:lang w:val="fr-FR"/>
        </w:rPr>
        <w:t xml:space="preserve">dialect </w:t>
      </w:r>
      <w:r w:rsidR="00051205" w:rsidRPr="000E3509">
        <w:rPr>
          <w:lang w:val="fr-FR"/>
        </w:rPr>
        <w:t>classification</w:t>
      </w:r>
      <w:bookmarkEnd w:id="169"/>
      <w:bookmarkEnd w:id="170"/>
      <w:bookmarkEnd w:id="171"/>
    </w:p>
    <w:p w14:paraId="176A66FB" w14:textId="2C8909F2" w:rsidR="00160CC4" w:rsidRPr="00CF31E0" w:rsidRDefault="00160CC4" w:rsidP="00603CB7">
      <w:pPr>
        <w:pStyle w:val="Paragraph"/>
        <w:rPr>
          <w:lang w:eastAsia="en-US"/>
        </w:rPr>
      </w:pPr>
      <w:r w:rsidRPr="00CF31E0">
        <w:rPr>
          <w:lang w:eastAsia="en-US"/>
        </w:rPr>
        <w:t xml:space="preserve">In the last </w:t>
      </w:r>
      <w:r w:rsidR="00F72262" w:rsidRPr="00CF31E0">
        <w:rPr>
          <w:lang w:eastAsia="en-US"/>
        </w:rPr>
        <w:t>60</w:t>
      </w:r>
      <w:r w:rsidRPr="00CF31E0">
        <w:rPr>
          <w:lang w:eastAsia="en-US"/>
        </w:rPr>
        <w:t xml:space="preserve"> years, the Middle East has witnessed rapid urbanization and massive social changes </w:t>
      </w:r>
      <w:r w:rsidRPr="00CF31E0">
        <w:rPr>
          <w:lang w:eastAsia="en-US"/>
        </w:rPr>
        <w:fldChar w:fldCharType="begin"/>
      </w:r>
      <w:r w:rsidRPr="00CF31E0">
        <w:rPr>
          <w:lang w:eastAsia="en-US"/>
        </w:rPr>
        <w:instrText xml:space="preserve"> ADDIN ZOTERO_ITEM CSL_CITATION {"citationID":"4NV5jtka","properties":{"formattedCitation":"(Holes, 1995)","plainCitation":"(Holes, 1995)","noteIndex":0},"citationItems":[{"id":119,"uris":["http://zotero.org/users/1939618/items/EPSM2THD"],"uri":["http://zotero.org/users/1939618/items/EPSM2THD"],"itemData":{"id":119,"type":"article-journal","title":"Community, dialect and urbanization in the Arabic-speaking Middle East","container-title":"Bulletin of the school of oriental and African studies","page":"270–287","volume":"58","issue":"02","source":"Google Scholar","author":[{"family":"Holes","given":"Clive"}],"issued":{"date-parts":[["1995"]]}}}],"schema":"https://github.com/citation-style-language/schema/raw/master/csl-citation.json"} </w:instrText>
      </w:r>
      <w:r w:rsidRPr="00CF31E0">
        <w:rPr>
          <w:lang w:eastAsia="en-US"/>
        </w:rPr>
        <w:fldChar w:fldCharType="separate"/>
      </w:r>
      <w:r w:rsidRPr="00CF31E0">
        <w:rPr>
          <w:noProof/>
          <w:lang w:eastAsia="en-US"/>
        </w:rPr>
        <w:t>(Holes, 1995)</w:t>
      </w:r>
      <w:r w:rsidRPr="00CF31E0">
        <w:rPr>
          <w:lang w:eastAsia="en-US"/>
        </w:rPr>
        <w:fldChar w:fldCharType="end"/>
      </w:r>
      <w:r w:rsidRPr="00CF31E0">
        <w:rPr>
          <w:lang w:eastAsia="en-US"/>
        </w:rPr>
        <w:t xml:space="preserve">. One of the main facets of urbanization is exemplified by the shift from agriculture to industry in the employment sector. Therefore, the move from a rural population to a city population was very apparent. As a result, the concept of “urban primacy” has been given much more importance, “that is, one city, usually the capital city, it’s much larger than its rivals” </w:t>
      </w:r>
      <w:r w:rsidRPr="00CF31E0">
        <w:rPr>
          <w:lang w:eastAsia="en-US"/>
        </w:rPr>
        <w:fldChar w:fldCharType="begin"/>
      </w:r>
      <w:r w:rsidRPr="00CF31E0">
        <w:rPr>
          <w:lang w:eastAsia="en-US"/>
        </w:rPr>
        <w:instrText xml:space="preserve"> ADDIN ZOTERO_ITEM CSL_CITATION {"citationID":"KnpLqVwv","properties":{"formattedCitation":"(Holes, 1995, p. 271)","plainCitation":"(Holes, 1995, p. 271)","noteIndex":0},"citationItems":[{"id":119,"uris":["http://zotero.org/users/1939618/items/EPSM2THD"],"uri":["http://zotero.org/users/1939618/items/EPSM2THD"],"itemData":{"id":119,"type":"article-journal","title":"Community, dialect and urbanization in the Arabic-speaking Middle East","container-title":"Bulletin of the school of oriental and African studies","page":"270–287","volume":"58","issue":"02","source":"Google Scholar","author":[{"family":"Holes","given":"Clive"}],"issued":{"date-parts":[["1995"]]}},"locator":"271","label":"page"}],"schema":"https://github.com/citation-style-language/schema/raw/master/csl-citation.json"} </w:instrText>
      </w:r>
      <w:r w:rsidRPr="00CF31E0">
        <w:rPr>
          <w:lang w:eastAsia="en-US"/>
        </w:rPr>
        <w:fldChar w:fldCharType="separate"/>
      </w:r>
      <w:r w:rsidRPr="00CF31E0">
        <w:rPr>
          <w:noProof/>
          <w:lang w:eastAsia="en-US"/>
        </w:rPr>
        <w:t>(Holes, 1995, p. 271)</w:t>
      </w:r>
      <w:r w:rsidRPr="00CF31E0">
        <w:rPr>
          <w:lang w:eastAsia="en-US"/>
        </w:rPr>
        <w:fldChar w:fldCharType="end"/>
      </w:r>
      <w:r w:rsidRPr="00CF31E0">
        <w:rPr>
          <w:lang w:eastAsia="en-US"/>
        </w:rPr>
        <w:t xml:space="preserve">. </w:t>
      </w:r>
      <w:r w:rsidR="0074630B" w:rsidRPr="00CF31E0">
        <w:rPr>
          <w:lang w:eastAsia="en-US"/>
        </w:rPr>
        <w:t>I discussed</w:t>
      </w:r>
      <w:r w:rsidRPr="00CF31E0">
        <w:rPr>
          <w:lang w:eastAsia="en-US"/>
        </w:rPr>
        <w:t xml:space="preserve"> the urbani</w:t>
      </w:r>
      <w:r w:rsidR="005D0894" w:rsidRPr="00CF31E0">
        <w:rPr>
          <w:lang w:eastAsia="en-US"/>
        </w:rPr>
        <w:t>zation</w:t>
      </w:r>
      <w:r w:rsidRPr="00CF31E0">
        <w:rPr>
          <w:lang w:eastAsia="en-US"/>
        </w:rPr>
        <w:t xml:space="preserve"> process in SA thoroughly </w:t>
      </w:r>
      <w:r w:rsidR="0074630B" w:rsidRPr="00CF31E0">
        <w:rPr>
          <w:lang w:eastAsia="en-US"/>
        </w:rPr>
        <w:t>earlier in the thesis;</w:t>
      </w:r>
      <w:r w:rsidRPr="00CF31E0">
        <w:rPr>
          <w:lang w:eastAsia="en-US"/>
        </w:rPr>
        <w:t xml:space="preserve"> see </w:t>
      </w:r>
      <w:r w:rsidR="00CE2B99" w:rsidRPr="00CF31E0">
        <w:rPr>
          <w:lang w:eastAsia="en-US"/>
        </w:rPr>
        <w:t>C</w:t>
      </w:r>
      <w:r w:rsidRPr="00CF31E0">
        <w:rPr>
          <w:lang w:eastAsia="en-US"/>
        </w:rPr>
        <w:t>hapter</w:t>
      </w:r>
      <w:r w:rsidR="000E35F4" w:rsidRPr="00CF31E0">
        <w:rPr>
          <w:lang w:eastAsia="en-US"/>
        </w:rPr>
        <w:t xml:space="preserve"> </w:t>
      </w:r>
      <w:r w:rsidR="0012407D" w:rsidRPr="00CF31E0">
        <w:rPr>
          <w:lang w:eastAsia="en-US"/>
        </w:rPr>
        <w:t>2.</w:t>
      </w:r>
    </w:p>
    <w:p w14:paraId="67FD76EF" w14:textId="275988AB" w:rsidR="00160CC4" w:rsidRPr="00CF31E0" w:rsidRDefault="00160CC4" w:rsidP="00603CB7">
      <w:pPr>
        <w:pStyle w:val="Paragraph"/>
        <w:rPr>
          <w:lang w:eastAsia="en-US"/>
        </w:rPr>
      </w:pPr>
      <w:r w:rsidRPr="00CF31E0">
        <w:rPr>
          <w:lang w:eastAsia="en-US"/>
        </w:rPr>
        <w:t xml:space="preserve">Linguistically, such rapid development in the Middle East in general and the Arabian Gulf in particular affected the dialect situation. In other words, </w:t>
      </w:r>
      <w:r w:rsidR="00F53FA7" w:rsidRPr="00CF31E0">
        <w:rPr>
          <w:lang w:eastAsia="en-US"/>
        </w:rPr>
        <w:t xml:space="preserve">the rapid development encouraged new dialect features </w:t>
      </w:r>
      <w:r w:rsidR="0074630B" w:rsidRPr="00CF31E0">
        <w:rPr>
          <w:lang w:eastAsia="en-US"/>
        </w:rPr>
        <w:t xml:space="preserve">to emerge in </w:t>
      </w:r>
      <w:r w:rsidR="001F31C6" w:rsidRPr="00CF31E0">
        <w:rPr>
          <w:lang w:eastAsia="en-US"/>
        </w:rPr>
        <w:t>city</w:t>
      </w:r>
      <w:r w:rsidR="00F53FA7" w:rsidRPr="00CF31E0">
        <w:rPr>
          <w:lang w:eastAsia="en-US"/>
        </w:rPr>
        <w:t xml:space="preserve"> dialects</w:t>
      </w:r>
      <w:r w:rsidR="0074630B" w:rsidRPr="00CF31E0">
        <w:rPr>
          <w:lang w:eastAsia="en-US"/>
        </w:rPr>
        <w:t>,</w:t>
      </w:r>
      <w:r w:rsidR="00F53FA7" w:rsidRPr="00CF31E0">
        <w:rPr>
          <w:lang w:eastAsia="en-US"/>
        </w:rPr>
        <w:t xml:space="preserve"> which bestowed prestige on </w:t>
      </w:r>
      <w:r w:rsidR="0074630B" w:rsidRPr="00CF31E0">
        <w:rPr>
          <w:lang w:eastAsia="en-US"/>
        </w:rPr>
        <w:t>these dialects.</w:t>
      </w:r>
      <w:r w:rsidR="001F31C6" w:rsidRPr="00CF31E0">
        <w:rPr>
          <w:lang w:eastAsia="en-US"/>
        </w:rPr>
        <w:t xml:space="preserve"> </w:t>
      </w:r>
      <w:r w:rsidR="0074630B" w:rsidRPr="00CF31E0">
        <w:rPr>
          <w:lang w:eastAsia="en-US"/>
        </w:rPr>
        <w:t>A</w:t>
      </w:r>
      <w:r w:rsidR="001F31C6" w:rsidRPr="00CF31E0">
        <w:rPr>
          <w:lang w:eastAsia="en-US"/>
        </w:rPr>
        <w:t>s a result</w:t>
      </w:r>
      <w:r w:rsidR="0074630B" w:rsidRPr="00CF31E0">
        <w:rPr>
          <w:lang w:eastAsia="en-US"/>
        </w:rPr>
        <w:t>,</w:t>
      </w:r>
      <w:r w:rsidR="00F53FA7" w:rsidRPr="00CF31E0">
        <w:rPr>
          <w:lang w:eastAsia="en-US"/>
        </w:rPr>
        <w:t xml:space="preserve"> such prestigious Arabic dialects are </w:t>
      </w:r>
      <w:r w:rsidR="0074630B" w:rsidRPr="00CF31E0">
        <w:rPr>
          <w:lang w:eastAsia="en-US"/>
        </w:rPr>
        <w:t xml:space="preserve">regarded </w:t>
      </w:r>
      <w:r w:rsidR="00F53FA7" w:rsidRPr="00CF31E0">
        <w:rPr>
          <w:lang w:eastAsia="en-US"/>
        </w:rPr>
        <w:t>as “national standard dialects</w:t>
      </w:r>
      <w:r w:rsidRPr="00CF31E0">
        <w:rPr>
          <w:lang w:val="en-US" w:eastAsia="en-US"/>
        </w:rPr>
        <w:t xml:space="preserve">” </w:t>
      </w:r>
      <w:r w:rsidRPr="00CF31E0">
        <w:rPr>
          <w:lang w:val="en-US" w:eastAsia="en-US"/>
        </w:rPr>
        <w:fldChar w:fldCharType="begin"/>
      </w:r>
      <w:r w:rsidRPr="00CF31E0">
        <w:rPr>
          <w:lang w:val="en-US" w:eastAsia="en-US"/>
        </w:rPr>
        <w:instrText xml:space="preserve"> ADDIN ZOTERO_ITEM CSL_CITATION {"citationID":"PFMMPJYn","properties":{"formattedCitation":"(Holes, 1995, p. 285)","plainCitation":"(Holes, 1995, p. 285)","noteIndex":0},"citationItems":[{"id":119,"uris":["http://zotero.org/users/1939618/items/EPSM2THD"],"uri":["http://zotero.org/users/1939618/items/EPSM2THD"],"itemData":{"id":119,"type":"article-journal","title":"Community, dialect and urbanization in the Arabic-speaking Middle East","container-title":"Bulletin of the school of oriental and African studies","page":"270–287","volume":"58","issue":"02","source":"Google Scholar","author":[{"family":"Holes","given":"Clive"}],"issued":{"date-parts":[["1995"]]}},"locator":"285","label":"page"}],"schema":"https://github.com/citation-style-language/schema/raw/master/csl-citation.json"} </w:instrText>
      </w:r>
      <w:r w:rsidRPr="00CF31E0">
        <w:rPr>
          <w:lang w:val="en-US" w:eastAsia="en-US"/>
        </w:rPr>
        <w:fldChar w:fldCharType="separate"/>
      </w:r>
      <w:r w:rsidRPr="00CF31E0">
        <w:rPr>
          <w:noProof/>
          <w:lang w:val="en-US" w:eastAsia="en-US"/>
        </w:rPr>
        <w:t>(Holes, 1995, p. 285)</w:t>
      </w:r>
      <w:r w:rsidRPr="00CF31E0">
        <w:rPr>
          <w:lang w:val="en-US" w:eastAsia="en-US"/>
        </w:rPr>
        <w:fldChar w:fldCharType="end"/>
      </w:r>
      <w:r w:rsidRPr="00CF31E0">
        <w:rPr>
          <w:lang w:val="en-US" w:eastAsia="en-US"/>
        </w:rPr>
        <w:t xml:space="preserve">. This means that the region has witnessed dialect variation and change where one dialect is perceived as more prestigious and standard than others. Similarly, </w:t>
      </w:r>
      <w:r w:rsidRPr="00CF31E0">
        <w:rPr>
          <w:lang w:val="en-US" w:eastAsia="en-US"/>
        </w:rPr>
        <w:fldChar w:fldCharType="begin"/>
      </w:r>
      <w:r w:rsidRPr="00CF31E0">
        <w:rPr>
          <w:lang w:val="en-US" w:eastAsia="en-US"/>
        </w:rPr>
        <w:instrText xml:space="preserve"> ADDIN ZOTERO_ITEM CSL_CITATION {"citationID":"d7EsEWRR","properties":{"formattedCitation":"(Johnstone, 1965, p. 238)","plainCitation":"(Johnstone, 1965, p. 238)","noteIndex":0},"citationItems":[{"id":126,"uris":["http://zotero.org/users/1939618/items/5EE2DC5K"],"uri":["http://zotero.org/users/1939618/items/5EE2DC5K"],"itemData":{"id":126,"type":"article-journal","title":"The sound change j&gt; y in the Arabic dialects of peninsular Arabia","container-title":"Bulletin of the School of Oriental and African Studies","page":"233–241","volume":"28","issue":"02","source":"Google Scholar","author":[{"family":"Johnstone","given":"Thomas Muir"}],"issued":{"date-parts":[["1965"]]}},"locator":"238","label":"page"}],"schema":"https://github.com/citation-style-language/schema/raw/master/csl-citation.json"} </w:instrText>
      </w:r>
      <w:r w:rsidRPr="00CF31E0">
        <w:rPr>
          <w:lang w:val="en-US" w:eastAsia="en-US"/>
        </w:rPr>
        <w:fldChar w:fldCharType="separate"/>
      </w:r>
      <w:r w:rsidRPr="00CF31E0">
        <w:rPr>
          <w:noProof/>
          <w:lang w:val="en-US" w:eastAsia="en-US"/>
        </w:rPr>
        <w:t xml:space="preserve">Johnstone </w:t>
      </w:r>
      <w:r w:rsidR="00B0552A">
        <w:rPr>
          <w:noProof/>
          <w:lang w:val="en-US" w:eastAsia="en-US"/>
        </w:rPr>
        <w:t>(</w:t>
      </w:r>
      <w:r w:rsidRPr="00CF31E0">
        <w:rPr>
          <w:noProof/>
          <w:lang w:val="en-US" w:eastAsia="en-US"/>
        </w:rPr>
        <w:t>1965, p. 238)</w:t>
      </w:r>
      <w:r w:rsidRPr="00CF31E0">
        <w:rPr>
          <w:lang w:val="en-US" w:eastAsia="en-US"/>
        </w:rPr>
        <w:fldChar w:fldCharType="end"/>
      </w:r>
      <w:r w:rsidRPr="00CF31E0">
        <w:rPr>
          <w:lang w:val="en-US" w:eastAsia="en-US"/>
        </w:rPr>
        <w:t xml:space="preserve"> </w:t>
      </w:r>
      <w:r w:rsidRPr="00CF31E0">
        <w:rPr>
          <w:lang w:eastAsia="en-US"/>
        </w:rPr>
        <w:t xml:space="preserve">attributed language change to </w:t>
      </w:r>
      <w:r w:rsidRPr="00CF31E0">
        <w:rPr>
          <w:bCs/>
          <w:lang w:eastAsia="en-US"/>
        </w:rPr>
        <w:t xml:space="preserve">rapid economic development in the area, which affected the “old-fashioned words” and dialects. </w:t>
      </w:r>
    </w:p>
    <w:p w14:paraId="01C8A12B" w14:textId="22D2E331" w:rsidR="00160CC4" w:rsidRPr="00CF31E0" w:rsidRDefault="00160CC4" w:rsidP="00603CB7">
      <w:pPr>
        <w:pStyle w:val="Paragraph"/>
        <w:rPr>
          <w:lang w:val="en-US" w:eastAsia="en-US"/>
        </w:rPr>
      </w:pPr>
      <w:r w:rsidRPr="00CF31E0">
        <w:rPr>
          <w:lang w:val="en-US" w:eastAsia="en-US"/>
        </w:rPr>
        <w:t xml:space="preserve">Hence, the urbanization in the region led many researchers to focus their research on two main objectives: first, investigating reasons for language variation and change </w:t>
      </w:r>
      <w:r w:rsidRPr="00CF31E0">
        <w:rPr>
          <w:lang w:val="en-US" w:eastAsia="en-US"/>
        </w:rPr>
        <w:fldChar w:fldCharType="begin"/>
      </w:r>
      <w:r w:rsidRPr="00CF31E0">
        <w:rPr>
          <w:lang w:val="en-US" w:eastAsia="en-US"/>
        </w:rPr>
        <w:instrText xml:space="preserve"> ADDIN ZOTERO_ITEM CSL_CITATION {"citationID":"5U0BFIPf","properties":{"formattedCitation":"(Holes, 1995)","plainCitation":"(Holes, 1995)","noteIndex":0},"citationItems":[{"id":119,"uris":["http://zotero.org/users/1939618/items/EPSM2THD"],"uri":["http://zotero.org/users/1939618/items/EPSM2THD"],"itemData":{"id":119,"type":"article-journal","title":"Community, dialect and urbanization in the Arabic-speaking Middle East","container-title":"Bulletin of the school of oriental and African studies","page":"270–287","volume":"58","issue":"02","source":"Google Scholar","author":[{"family":"Holes","given":"Clive"}],"issued":{"date-parts":[["1995"]]}}}],"schema":"https://github.com/citation-style-language/schema/raw/master/csl-citation.json"} </w:instrText>
      </w:r>
      <w:r w:rsidRPr="00CF31E0">
        <w:rPr>
          <w:lang w:val="en-US" w:eastAsia="en-US"/>
        </w:rPr>
        <w:fldChar w:fldCharType="separate"/>
      </w:r>
      <w:r w:rsidRPr="00CF31E0">
        <w:rPr>
          <w:noProof/>
          <w:lang w:val="en-US" w:eastAsia="en-US"/>
        </w:rPr>
        <w:t>(Holes, 1995)</w:t>
      </w:r>
      <w:r w:rsidRPr="00CF31E0">
        <w:rPr>
          <w:lang w:val="en-US" w:eastAsia="en-US"/>
        </w:rPr>
        <w:fldChar w:fldCharType="end"/>
      </w:r>
      <w:r w:rsidRPr="00CF31E0">
        <w:rPr>
          <w:lang w:val="en-US" w:eastAsia="en-US"/>
        </w:rPr>
        <w:t xml:space="preserve">, and second, recording and describing linguistic aspects of Arabic dialects before they disappear alongside describing the emergence of new dialect patterns, and describing linguistic aspects of the new Arabic dialects that emerged after the urbanization </w:t>
      </w:r>
      <w:r w:rsidRPr="00CF31E0">
        <w:rPr>
          <w:lang w:val="en-US" w:eastAsia="en-US"/>
        </w:rPr>
        <w:lastRenderedPageBreak/>
        <w:t xml:space="preserve">process </w:t>
      </w:r>
      <w:r w:rsidRPr="00CF31E0">
        <w:rPr>
          <w:lang w:val="en-US" w:eastAsia="en-US"/>
        </w:rPr>
        <w:fldChar w:fldCharType="begin"/>
      </w:r>
      <w:r w:rsidR="00A54129" w:rsidRPr="00CF31E0">
        <w:rPr>
          <w:lang w:val="en-US" w:eastAsia="en-US"/>
        </w:rPr>
        <w:instrText xml:space="preserve"> ADDIN ZOTERO_ITEM CSL_CITATION {"citationID":"1qsbl5703q","properties":{"formattedCitation":"(Al-Azraqi, 1998; Holes, 1990)","plainCitation":"(Al-Azraqi, 1998; Holes, 1990)","noteIndex":0},"citationItems":[{"id":18,"uris":["http://zotero.org/users/1939618/items/66HJ8ZQ3"],"uri":["http://zotero.org/users/1939618/items/66HJ8ZQ3"],"itemData":{"id":18,"type":"thesis","title":"Aspects of the syntax of the dialect of Abha (south west Saudi Arabia) (doctoral dissertation)","publisher":"University of Durham","source":"Google Scholar","URL":"http://ethos.bl.uk/OrderDetails.do?uin=uk.bl.ethos.244379","author":[{"family":"Al-Azraqi","given":"Munira Ali"}],"issued":{"date-parts":[["1998"]]},"accessed":{"date-parts":[["2014",6,4]]}},"label":"page"},{"id":14,"uris":["http://zotero.org/users/1939618/items/6898V7I3"],"uri":["http://zotero.org/users/1939618/items/6898V7I3"],"itemData":{"id":14,"type":"book","title":"Gulf Arabic","publisher":"Routledge","publisher-place":"London","number-of-pages":"320","source":"Google Books","event-place":"London","abstract":"Gulf Arabicis the term used to refer to a number of related dialects which are spoken along the Gulf shore from northern Kuwait to Oman in the south-eastern corner of the Arabian peninsula. The people who live in this area are linked to each other by trading and seafaring traditions which go back many centuries, as well as by the complex tribal structure of Arabia. With the development of education since the second world war, and increasingly close social, political, and developmental ties between Gulf states, a form of dialectical Arabic has evolved which is not closely associated with any one particular state, and which exhibits features common to them all. It is still unmistakably 'Gulf' in its basic pronunciation and morphology, as well as in its basic lexical stock, but its syntax and to some extent lexicon have been influenced by standard Arabic and other Arabic dialects. Clive Holes provides an in-depth description of this educated, pan-Gulf dialect.","ISBN":"978-0-415-02114-2","language":"en","author":[{"family":"Holes","given":"Clive"}],"issued":{"date-parts":[["1990"]]}},"label":"page"}],"schema":"https://github.com/citation-style-language/schema/raw/master/csl-citation.json"} </w:instrText>
      </w:r>
      <w:r w:rsidRPr="00CF31E0">
        <w:rPr>
          <w:lang w:val="en-US" w:eastAsia="en-US"/>
        </w:rPr>
        <w:fldChar w:fldCharType="separate"/>
      </w:r>
      <w:r w:rsidRPr="00CF31E0">
        <w:rPr>
          <w:lang w:val="en-US" w:eastAsia="en-US"/>
        </w:rPr>
        <w:t>(Al-Azraqi, 1998; Holes, 1990)</w:t>
      </w:r>
      <w:r w:rsidRPr="00CF31E0">
        <w:rPr>
          <w:lang w:val="en-US" w:eastAsia="en-US"/>
        </w:rPr>
        <w:fldChar w:fldCharType="end"/>
      </w:r>
      <w:r w:rsidRPr="00CF31E0">
        <w:rPr>
          <w:lang w:val="en-US" w:eastAsia="en-US"/>
        </w:rPr>
        <w:t xml:space="preserve">. In the following sections, I will review the major studies in the area that were concerned with the </w:t>
      </w:r>
      <w:r w:rsidR="00B0552A">
        <w:rPr>
          <w:lang w:val="en-US" w:eastAsia="en-US"/>
        </w:rPr>
        <w:t>first</w:t>
      </w:r>
      <w:r w:rsidRPr="00CF31E0">
        <w:rPr>
          <w:lang w:val="en-US" w:eastAsia="en-US"/>
        </w:rPr>
        <w:t xml:space="preserve"> objective. </w:t>
      </w:r>
    </w:p>
    <w:p w14:paraId="08DBA925" w14:textId="1F07D352" w:rsidR="00160CC4" w:rsidRPr="00CF31E0" w:rsidRDefault="00160CC4" w:rsidP="00603CB7">
      <w:pPr>
        <w:pStyle w:val="Paragraph"/>
        <w:rPr>
          <w:lang w:eastAsia="en-US"/>
        </w:rPr>
      </w:pPr>
      <w:r w:rsidRPr="00CF31E0">
        <w:rPr>
          <w:lang w:eastAsia="en-US"/>
        </w:rPr>
        <w:fldChar w:fldCharType="begin"/>
      </w:r>
      <w:r w:rsidR="00CD34CA" w:rsidRPr="00CF31E0">
        <w:rPr>
          <w:lang w:eastAsia="en-US"/>
        </w:rPr>
        <w:instrText xml:space="preserve"> ADDIN ZOTERO_ITEM CSL_CITATION {"citationID":"1r8nva3e3p","properties":{"formattedCitation":"(Holes, 1995)","plainCitation":"(Holes, 1995)","dontUpdate":true,"noteIndex":0},"citationItems":[{"id":119,"uris":["http://zotero.org/users/1939618/items/EPSM2THD"],"uri":["http://zotero.org/users/1939618/items/EPSM2THD"],"itemData":{"id":119,"type":"article-journal","title":"Community, dialect and urbanization in the Arabic-speaking Middle East","container-title":"Bulletin of the school of oriental and African studies","page":"270–287","volume":"58","issue":"02","source":"Google Scholar","author":[{"family":"Holes","given":"Clive"}],"issued":{"date-parts":[["1995"]]}}}],"schema":"https://github.com/citation-style-language/schema/raw/master/csl-citation.json"} </w:instrText>
      </w:r>
      <w:r w:rsidRPr="00CF31E0">
        <w:rPr>
          <w:lang w:eastAsia="en-US"/>
        </w:rPr>
        <w:fldChar w:fldCharType="separate"/>
      </w:r>
      <w:r w:rsidRPr="00CF31E0">
        <w:rPr>
          <w:noProof/>
          <w:lang w:eastAsia="en-US"/>
        </w:rPr>
        <w:t xml:space="preserve">Holes </w:t>
      </w:r>
      <w:r w:rsidR="003901D5" w:rsidRPr="00CF31E0">
        <w:rPr>
          <w:noProof/>
          <w:lang w:eastAsia="en-US"/>
        </w:rPr>
        <w:t>(</w:t>
      </w:r>
      <w:r w:rsidRPr="00CF31E0">
        <w:rPr>
          <w:noProof/>
          <w:lang w:eastAsia="en-US"/>
        </w:rPr>
        <w:t>1995)</w:t>
      </w:r>
      <w:r w:rsidRPr="00CF31E0">
        <w:rPr>
          <w:lang w:eastAsia="en-US"/>
        </w:rPr>
        <w:fldChar w:fldCharType="end"/>
      </w:r>
      <w:r w:rsidRPr="00CF31E0">
        <w:rPr>
          <w:lang w:eastAsia="en-US"/>
        </w:rPr>
        <w:t xml:space="preserve"> investigated the reasons behind the emergence of new dialect patterns in the Arabic-speaking Middle East. He examined three case studies to uncover the dynamics of language change in the region. The locations of the three case studies are as follows:</w:t>
      </w:r>
    </w:p>
    <w:p w14:paraId="6DF49E99" w14:textId="77777777" w:rsidR="00160CC4" w:rsidRPr="00CF31E0" w:rsidRDefault="00160CC4" w:rsidP="00467EF6">
      <w:pPr>
        <w:numPr>
          <w:ilvl w:val="0"/>
          <w:numId w:val="7"/>
        </w:numPr>
        <w:spacing w:line="360" w:lineRule="auto"/>
        <w:contextualSpacing/>
        <w:jc w:val="both"/>
        <w:rPr>
          <w:rFonts w:eastAsia="Times New Roman"/>
          <w:color w:val="000000" w:themeColor="text1"/>
          <w:lang w:eastAsia="en-US"/>
        </w:rPr>
      </w:pPr>
      <w:r w:rsidRPr="00CF31E0">
        <w:rPr>
          <w:rFonts w:eastAsia="Times New Roman"/>
          <w:color w:val="000000" w:themeColor="text1"/>
          <w:lang w:eastAsia="en-US"/>
        </w:rPr>
        <w:t>Manama, the capital of Bahrain.</w:t>
      </w:r>
    </w:p>
    <w:p w14:paraId="5C754038" w14:textId="77777777" w:rsidR="00160CC4" w:rsidRPr="00CF31E0" w:rsidRDefault="00160CC4" w:rsidP="00467EF6">
      <w:pPr>
        <w:numPr>
          <w:ilvl w:val="0"/>
          <w:numId w:val="7"/>
        </w:numPr>
        <w:spacing w:line="360" w:lineRule="auto"/>
        <w:contextualSpacing/>
        <w:jc w:val="both"/>
        <w:rPr>
          <w:rFonts w:eastAsia="Times New Roman"/>
          <w:color w:val="000000" w:themeColor="text1"/>
          <w:lang w:eastAsia="en-US"/>
        </w:rPr>
      </w:pPr>
      <w:r w:rsidRPr="00CF31E0">
        <w:rPr>
          <w:rFonts w:eastAsia="Times New Roman"/>
          <w:color w:val="000000" w:themeColor="text1"/>
          <w:lang w:eastAsia="en-US"/>
        </w:rPr>
        <w:t>Amman, the capital of Jordan.</w:t>
      </w:r>
    </w:p>
    <w:p w14:paraId="192D7D70" w14:textId="77777777" w:rsidR="00160CC4" w:rsidRPr="00CF31E0" w:rsidRDefault="00160CC4" w:rsidP="00603CB7">
      <w:pPr>
        <w:numPr>
          <w:ilvl w:val="0"/>
          <w:numId w:val="7"/>
        </w:numPr>
        <w:spacing w:after="200" w:line="360" w:lineRule="auto"/>
        <w:ind w:left="357" w:hanging="357"/>
        <w:jc w:val="both"/>
        <w:rPr>
          <w:rFonts w:eastAsia="Times New Roman"/>
          <w:color w:val="000000" w:themeColor="text1"/>
          <w:lang w:eastAsia="en-US"/>
        </w:rPr>
      </w:pPr>
      <w:r w:rsidRPr="00CF31E0">
        <w:rPr>
          <w:rFonts w:eastAsia="Times New Roman"/>
          <w:color w:val="000000" w:themeColor="text1"/>
          <w:lang w:eastAsia="en-US"/>
        </w:rPr>
        <w:t>Baghdad, the capital of Iraq.</w:t>
      </w:r>
    </w:p>
    <w:p w14:paraId="72062FDE" w14:textId="209A3C34" w:rsidR="00160CC4" w:rsidRPr="00CF31E0" w:rsidRDefault="00160CC4" w:rsidP="00603CB7">
      <w:pPr>
        <w:pStyle w:val="Paragraph"/>
        <w:rPr>
          <w:lang w:eastAsia="en-US"/>
        </w:rPr>
      </w:pPr>
      <w:r w:rsidRPr="00CF31E0">
        <w:rPr>
          <w:lang w:eastAsia="en-US"/>
        </w:rPr>
        <w:t>One of the most significant findings to emerge from this study is that urbanization was the main factor that led to the emergence of new dialect patterns in the Middle East. Another finding revealed that city dwellers seems to have the most dominant and standard dialect as they represent urbanization, political importance and form a large number in size, while old Arabic dialects are</w:t>
      </w:r>
      <w:r w:rsidR="00FF5758" w:rsidRPr="00CF31E0">
        <w:rPr>
          <w:lang w:eastAsia="en-US"/>
        </w:rPr>
        <w:t xml:space="preserve"> spoken in certain parts of count</w:t>
      </w:r>
      <w:r w:rsidRPr="00CF31E0">
        <w:rPr>
          <w:lang w:eastAsia="en-US"/>
        </w:rPr>
        <w:t xml:space="preserve">ries as a way of showing communal identity and harmony </w:t>
      </w:r>
      <w:r w:rsidRPr="00CF31E0">
        <w:rPr>
          <w:lang w:eastAsia="en-US"/>
        </w:rPr>
        <w:fldChar w:fldCharType="begin"/>
      </w:r>
      <w:r w:rsidRPr="00CF31E0">
        <w:rPr>
          <w:lang w:eastAsia="en-US"/>
        </w:rPr>
        <w:instrText xml:space="preserve"> ADDIN ZOTERO_ITEM CSL_CITATION {"citationID":"Gw9h7ISL","properties":{"formattedCitation":"(Holes, 1995, p. 285)","plainCitation":"(Holes, 1995, p. 285)","noteIndex":0},"citationItems":[{"id":119,"uris":["http://zotero.org/users/1939618/items/EPSM2THD"],"uri":["http://zotero.org/users/1939618/items/EPSM2THD"],"itemData":{"id":119,"type":"article-journal","title":"Community, dialect and urbanization in the Arabic-speaking Middle East","container-title":"Bulletin of the school of oriental and African studies","page":"270–287","volume":"58","issue":"02","source":"Google Scholar","author":[{"family":"Holes","given":"Clive"}],"issued":{"date-parts":[["1995"]]}},"locator":"285","label":"page"}],"schema":"https://github.com/citation-style-language/schema/raw/master/csl-citation.json"} </w:instrText>
      </w:r>
      <w:r w:rsidRPr="00CF31E0">
        <w:rPr>
          <w:lang w:eastAsia="en-US"/>
        </w:rPr>
        <w:fldChar w:fldCharType="separate"/>
      </w:r>
      <w:r w:rsidRPr="00CF31E0">
        <w:rPr>
          <w:noProof/>
          <w:lang w:eastAsia="en-US"/>
        </w:rPr>
        <w:t>(Holes, 1995, p. 285)</w:t>
      </w:r>
      <w:r w:rsidRPr="00CF31E0">
        <w:rPr>
          <w:lang w:eastAsia="en-US"/>
        </w:rPr>
        <w:fldChar w:fldCharType="end"/>
      </w:r>
      <w:r w:rsidRPr="00CF31E0">
        <w:rPr>
          <w:lang w:eastAsia="en-US"/>
        </w:rPr>
        <w:t xml:space="preserve">. </w:t>
      </w:r>
    </w:p>
    <w:p w14:paraId="7F54DDEA" w14:textId="29CBFC31" w:rsidR="00160CC4" w:rsidRPr="00CF31E0" w:rsidRDefault="00160CC4" w:rsidP="00603CB7">
      <w:pPr>
        <w:pStyle w:val="Paragraph"/>
        <w:rPr>
          <w:lang w:eastAsia="en-US"/>
        </w:rPr>
      </w:pPr>
      <w:r w:rsidRPr="00CF31E0">
        <w:rPr>
          <w:lang w:eastAsia="en-US"/>
        </w:rPr>
        <w:t xml:space="preserve">With regard to the Hijaz region, </w:t>
      </w:r>
      <w:r w:rsidRPr="00CF31E0">
        <w:rPr>
          <w:lang w:eastAsia="en-US"/>
        </w:rPr>
        <w:fldChar w:fldCharType="begin"/>
      </w:r>
      <w:r w:rsidR="00A54129" w:rsidRPr="00CF31E0">
        <w:rPr>
          <w:lang w:eastAsia="en-US"/>
        </w:rPr>
        <w:instrText xml:space="preserve"> ADDIN ZOTERO_ITEM CSL_CITATION {"citationID":"Iak39UuS","properties":{"formattedCitation":"(Alahmadi, 2015)","plainCitation":"(Alahmadi, 2015)","dontUpdate":true,"noteIndex":0},"citationItems":[{"id":476,"uris":["http://zotero.org/users/1939618/items/ZDMCRMJ9"],"uri":["http://zotero.org/users/1939618/items/ZDMCRMJ9"],"itemData":{"id":476,"type":"article-journal","title":"Loanwords in the Urban Meccan Hijazi Dialect: An Analysis of Lexical Variation according to Speakers’ Sex, Age and Education","container-title":"International Journal of English Linguistics","page":"34-58","volume":"5","issue":"6","source":"ResearchGate","abstract":"This study aims to investigate the degree of lexical variation in Urban Meccan Hijazi Arabic (UMH) by identifying the loan words that are commonly spoken in this dialect and determining from which languages they have been borrowed. Also, it explores the effect of social factors such as age, sex and educational level on the use of loan words by UMH speakers. For the purpose of the study, I designed a questionnaire and distributed it to eighty participants whose mother tongue is UMH. The sample consisted of three groups, namely, old and young, male and female and educated and uneducated participants. In order to provide answers to the research questions, the questionnaire was divided into two sections; section one investigates the participants’ background, i.e., their age, sex, educational level, how long have they been living in Mecca, etc., and section two examines their use of the loan words in UMH. The results revealed that in addition to some words that have been borrowed from Persian and Italian, most of the loan words found in UMH have been borrowed from Turkish. This could have resulted from the Ottoman occupation of Saudi Arabia for around 400 years, and the interaction with pilgrims who visit Mecca every year. Additionally, the results of the t-tests showed that the differences between the three groups (i.e., old vs. young, male vs. female and educated vs. uneducated) are statistically significant. This indicates that the three social factors play a crucial role in the participants’ use of the loan words in UMH. Finally, the study concludes with some recommendations for further research.","DOI":"10.5539/ijel.v5n6p3","shortTitle":"Loanwords in the Urban Meccan Hijazi Dialect","author":[{"family":"Alahmadi","given":"Sameeha"}],"issued":{"date-parts":[["2015",12,1]]}}}],"schema":"https://github.com/citation-style-language/schema/raw/master/csl-citation.json"} </w:instrText>
      </w:r>
      <w:r w:rsidRPr="00CF31E0">
        <w:rPr>
          <w:lang w:eastAsia="en-US"/>
        </w:rPr>
        <w:fldChar w:fldCharType="separate"/>
      </w:r>
      <w:r w:rsidRPr="00CF31E0">
        <w:rPr>
          <w:noProof/>
          <w:lang w:eastAsia="en-US"/>
        </w:rPr>
        <w:t>Alahmadi (2015)</w:t>
      </w:r>
      <w:r w:rsidRPr="00CF31E0">
        <w:rPr>
          <w:lang w:eastAsia="en-US"/>
        </w:rPr>
        <w:fldChar w:fldCharType="end"/>
      </w:r>
      <w:r w:rsidRPr="00CF31E0">
        <w:rPr>
          <w:lang w:eastAsia="en-US"/>
        </w:rPr>
        <w:t xml:space="preserve"> investigated reasons for lexical variation in the urban </w:t>
      </w:r>
      <w:r w:rsidR="00D30B2F">
        <w:rPr>
          <w:lang w:eastAsia="en-US"/>
        </w:rPr>
        <w:t>Makkan</w:t>
      </w:r>
      <w:r w:rsidRPr="00CF31E0">
        <w:rPr>
          <w:lang w:eastAsia="en-US"/>
        </w:rPr>
        <w:t xml:space="preserve"> dialect. Alahmadi claims that </w:t>
      </w:r>
      <w:r w:rsidR="00D30B2F">
        <w:rPr>
          <w:lang w:eastAsia="en-US"/>
        </w:rPr>
        <w:t>Makkah</w:t>
      </w:r>
      <w:r w:rsidRPr="00CF31E0">
        <w:rPr>
          <w:lang w:eastAsia="en-US"/>
        </w:rPr>
        <w:t xml:space="preserve"> city has experienced an annual influx of people for pilgrimage over its history, and such seasonal dialect contact has affected language variation and change in the </w:t>
      </w:r>
      <w:r w:rsidR="00D30B2F">
        <w:rPr>
          <w:lang w:eastAsia="en-US"/>
        </w:rPr>
        <w:t>Makkan</w:t>
      </w:r>
      <w:r w:rsidRPr="00CF31E0">
        <w:rPr>
          <w:lang w:eastAsia="en-US"/>
        </w:rPr>
        <w:t xml:space="preserve"> dialect, particularly in terms of lexical variation. 80 participants, for whom the </w:t>
      </w:r>
      <w:r w:rsidR="00D30B2F">
        <w:rPr>
          <w:lang w:eastAsia="en-US"/>
        </w:rPr>
        <w:t>Makkan</w:t>
      </w:r>
      <w:r w:rsidRPr="00CF31E0">
        <w:rPr>
          <w:lang w:eastAsia="en-US"/>
        </w:rPr>
        <w:t xml:space="preserve"> dialect is their mother tongue, were recruited for the study. The researcher used a questionnaire as the main method in the study; a picture stimulus was provided next to each questionnaire item, and participants were asked to provide a name for the picture provided. The results revealed that the urban </w:t>
      </w:r>
      <w:r w:rsidR="00D30B2F">
        <w:rPr>
          <w:lang w:eastAsia="en-US"/>
        </w:rPr>
        <w:t>Makkan</w:t>
      </w:r>
      <w:r w:rsidRPr="00CF31E0">
        <w:rPr>
          <w:lang w:eastAsia="en-US"/>
        </w:rPr>
        <w:t xml:space="preserve"> dialect went through lexical variation and change, and the sole reason for this was borrowing words from other languages due to annual contact with pilgrims. One of the most significant results revealed was that the borrowed words were mostly taken from the Turkish language, along with other languages. </w:t>
      </w:r>
      <w:r w:rsidRPr="00CF31E0">
        <w:rPr>
          <w:lang w:eastAsia="en-US"/>
        </w:rPr>
        <w:lastRenderedPageBreak/>
        <w:t xml:space="preserve">Alahmadi attributed this to two reasons: first, Hijaz was governed by the Ottoman Empire before the emergence of SA; and second, </w:t>
      </w:r>
      <w:r w:rsidR="00D30B2F">
        <w:rPr>
          <w:lang w:eastAsia="en-US"/>
        </w:rPr>
        <w:t>Makkah</w:t>
      </w:r>
      <w:r w:rsidRPr="00CF31E0">
        <w:rPr>
          <w:lang w:eastAsia="en-US"/>
        </w:rPr>
        <w:t xml:space="preserve"> receives millions of pilgrims each year, which results in borrowing new words from other languages. </w:t>
      </w:r>
    </w:p>
    <w:p w14:paraId="21C49C67" w14:textId="51E3402F" w:rsidR="00160CC4" w:rsidRPr="004221CE" w:rsidRDefault="00160CC4" w:rsidP="00101CE3">
      <w:pPr>
        <w:pStyle w:val="Paragraph"/>
        <w:rPr>
          <w:lang w:eastAsia="en-US"/>
        </w:rPr>
      </w:pPr>
      <w:r w:rsidRPr="00CF31E0">
        <w:rPr>
          <w:lang w:eastAsia="en-US"/>
        </w:rPr>
        <w:t>With regard to the second objective, which concerns describing and recording dialects, there has been an attempt to describe and record Arabic dialects in terms of syntax; for instance, A</w:t>
      </w:r>
      <w:r w:rsidR="00106FAF" w:rsidRPr="00CF31E0">
        <w:rPr>
          <w:lang w:eastAsia="en-US"/>
        </w:rPr>
        <w:t>l-Azraq</w:t>
      </w:r>
      <w:r w:rsidRPr="00CF31E0">
        <w:rPr>
          <w:lang w:eastAsia="en-US"/>
        </w:rPr>
        <w:t>i (1998) investigated the basic syntactic structure of the southern dialect of S</w:t>
      </w:r>
      <w:r w:rsidR="00690282" w:rsidRPr="00CF31E0">
        <w:rPr>
          <w:lang w:eastAsia="en-US"/>
        </w:rPr>
        <w:t>A</w:t>
      </w:r>
      <w:r w:rsidRPr="00CF31E0">
        <w:rPr>
          <w:lang w:eastAsia="en-US"/>
        </w:rPr>
        <w:t xml:space="preserve"> (Abha City, in particular</w:t>
      </w:r>
      <w:r w:rsidRPr="00EE7DD3">
        <w:rPr>
          <w:lang w:eastAsia="en-US"/>
        </w:rPr>
        <w:t xml:space="preserve">). </w:t>
      </w:r>
      <w:r w:rsidR="00EE7DD3" w:rsidRPr="00EE7DD3">
        <w:rPr>
          <w:lang w:eastAsia="en-US"/>
        </w:rPr>
        <w:t>Similarly, Watson (1993) gave a detailed account of the syntactic relationships in the San’ani dialect (i.e. one of the Yemeni dialects), including: predication, complementation, attribution, negation, coordination and supplementation. The author gathered the data from a transcribed corpus for San’</w:t>
      </w:r>
      <w:r w:rsidR="00EE7DD3">
        <w:rPr>
          <w:lang w:eastAsia="en-US"/>
        </w:rPr>
        <w:t>a</w:t>
      </w:r>
      <w:r w:rsidR="00EE7DD3" w:rsidRPr="00EE7DD3">
        <w:rPr>
          <w:lang w:eastAsia="en-US"/>
        </w:rPr>
        <w:t xml:space="preserve">ni speech for both male and female San’ani speakers. In a similar vein, Watson (2002) described and recorded the following two Arabic dialects: </w:t>
      </w:r>
      <w:r w:rsidR="004221CE" w:rsidRPr="004221CE">
        <w:rPr>
          <w:lang w:eastAsia="en-US"/>
        </w:rPr>
        <w:t xml:space="preserve">Cairene </w:t>
      </w:r>
      <w:r w:rsidR="004221CE">
        <w:rPr>
          <w:lang w:eastAsia="en-US"/>
        </w:rPr>
        <w:t xml:space="preserve">(i.e. one of the </w:t>
      </w:r>
      <w:r w:rsidR="00EE7DD3" w:rsidRPr="00EE7DD3">
        <w:rPr>
          <w:lang w:eastAsia="en-US"/>
        </w:rPr>
        <w:t xml:space="preserve">Egyptian </w:t>
      </w:r>
      <w:r w:rsidR="004221CE">
        <w:rPr>
          <w:lang w:eastAsia="en-US"/>
        </w:rPr>
        <w:t xml:space="preserve">dialects) </w:t>
      </w:r>
      <w:r w:rsidR="00EE7DD3" w:rsidRPr="00EE7DD3">
        <w:rPr>
          <w:lang w:eastAsia="en-US"/>
        </w:rPr>
        <w:t xml:space="preserve">and San’ani, in terms of morphology, word stress, syllable structure and lexical phonology. </w:t>
      </w:r>
      <w:r w:rsidRPr="00EE7DD3">
        <w:rPr>
          <w:lang w:eastAsia="en-US"/>
        </w:rPr>
        <w:fldChar w:fldCharType="begin"/>
      </w:r>
      <w:r w:rsidR="00CD34CA" w:rsidRPr="00EE7DD3">
        <w:rPr>
          <w:lang w:eastAsia="en-US"/>
        </w:rPr>
        <w:instrText xml:space="preserve"> ADDIN ZOTERO_ITEM CSL_CITATION {"citationID":"kfyhTPFF","properties":{"formattedCitation":"(Holes, 1990)","plainCitation":"(Holes, 1990)","dontUpdate":true,"noteIndex":0},"citationItems":[{"id":14,"uris":["http://zotero.org/users/1939618/items/6898V7I3"],"uri":["http://zotero.org/users/1939618/items/6898V7I3"],"itemData":{"id":14,"type":"book","title":"Gulf Arabic","publisher":"Routledge","publisher-place":"London","number-of-pages":"320","source":"Google Books","event-place":"London","abstract":"Gulf Arabicis the term used to refer to a number of related dialects which are spoken along the Gulf shore from northern Kuwait to Oman in the south-eastern corner of the Arabian peninsula. The people who live in this area are linked to each other by trading and seafaring traditions which go back many centuries, as well as by the complex tribal structure of Arabia. With the development of education since the second world war, and increasingly close social, political, and developmental ties between Gulf states, a form of dialectical Arabic has evolved which is not closely associated with any one particular state, and which exhibits features common to them all. It is still unmistakably 'Gulf' in its basic pronunciation and morphology, as well as in its basic lexical stock, but its syntax and to some extent lexicon have been influenced by standard Arabic and other Arabic dialects. Clive Holes provides an in-depth description of this educated, pan-Gulf dialect.","ISBN":"978-0-415-02114-2","language":"en","author":[{"family":"Holes","given":"Clive"}],"issued":{"date-parts":[["1990"]]}}}],"schema":"https://github.com/citation-style-language/schema/raw/master/csl-citation.json"} </w:instrText>
      </w:r>
      <w:r w:rsidRPr="00EE7DD3">
        <w:rPr>
          <w:lang w:eastAsia="en-US"/>
        </w:rPr>
        <w:fldChar w:fldCharType="separate"/>
      </w:r>
      <w:r w:rsidRPr="00EE7DD3">
        <w:rPr>
          <w:noProof/>
          <w:lang w:eastAsia="en-US"/>
        </w:rPr>
        <w:t xml:space="preserve">Holes </w:t>
      </w:r>
      <w:r w:rsidR="003901D5" w:rsidRPr="00EE7DD3">
        <w:rPr>
          <w:noProof/>
          <w:lang w:eastAsia="en-US"/>
        </w:rPr>
        <w:t>(</w:t>
      </w:r>
      <w:r w:rsidRPr="00EE7DD3">
        <w:rPr>
          <w:noProof/>
          <w:lang w:eastAsia="en-US"/>
        </w:rPr>
        <w:t>1990)</w:t>
      </w:r>
      <w:r w:rsidRPr="00EE7DD3">
        <w:rPr>
          <w:lang w:eastAsia="en-US"/>
        </w:rPr>
        <w:fldChar w:fldCharType="end"/>
      </w:r>
      <w:r w:rsidRPr="00EE7DD3">
        <w:rPr>
          <w:lang w:eastAsia="en-US"/>
        </w:rPr>
        <w:t xml:space="preserve"> described and recorded Arabic dialects in terms of syntax, </w:t>
      </w:r>
      <w:r w:rsidRPr="00CF31E0">
        <w:rPr>
          <w:lang w:eastAsia="en-US"/>
        </w:rPr>
        <w:t>morphology, phonology, idiophones and interjections. He discussed the range of Arabic dialects spoken in Iraq, Kuwait, Bahrain, Qatar, the United Arab Emirates and the eastern region of S</w:t>
      </w:r>
      <w:r w:rsidR="00690282" w:rsidRPr="00CF31E0">
        <w:rPr>
          <w:lang w:eastAsia="en-US"/>
        </w:rPr>
        <w:t>A</w:t>
      </w:r>
      <w:r w:rsidRPr="00CF31E0">
        <w:rPr>
          <w:lang w:eastAsia="en-US"/>
        </w:rPr>
        <w:t xml:space="preserve"> (Al-Hasa). Furthermore, </w:t>
      </w:r>
      <w:r w:rsidRPr="00CF31E0">
        <w:rPr>
          <w:lang w:eastAsia="en-US"/>
        </w:rPr>
        <w:fldChar w:fldCharType="begin"/>
      </w:r>
      <w:r w:rsidR="00CD34CA" w:rsidRPr="00CF31E0">
        <w:rPr>
          <w:lang w:eastAsia="en-US"/>
        </w:rPr>
        <w:instrText xml:space="preserve"> ADDIN ZOTERO_ITEM CSL_CITATION {"citationID":"KjBjx1MU","properties":{"formattedCitation":"(Prochazka, 1988)","plainCitation":"(Prochazka, 1988)","dontUpdate":true,"noteIndex":0},"citationItems":[{"id":128,"uris":["http://zotero.org/users/1939618/items/XMDNWRIJ"],"uri":["http://zotero.org/users/1939618/items/XMDNWRIJ"],"itemData":{"id":128,"type":"book","title":"Saudi Arabian dialects","publisher":"Kegan Paul International","publisher-place":"London","source":"Google Scholar","event-place":"London","author":[{"family":"Prochazka","given":"Theodore"}],"issued":{"date-parts":[["1988"]]}}}],"schema":"https://github.com/citation-style-language/schema/raw/master/csl-citation.json"} </w:instrText>
      </w:r>
      <w:r w:rsidRPr="00CF31E0">
        <w:rPr>
          <w:lang w:eastAsia="en-US"/>
        </w:rPr>
        <w:fldChar w:fldCharType="separate"/>
      </w:r>
      <w:r w:rsidRPr="00CF31E0">
        <w:rPr>
          <w:noProof/>
          <w:lang w:eastAsia="en-US"/>
        </w:rPr>
        <w:t xml:space="preserve">Prochazka </w:t>
      </w:r>
      <w:r w:rsidR="003901D5" w:rsidRPr="00CF31E0">
        <w:rPr>
          <w:noProof/>
          <w:lang w:eastAsia="en-US"/>
        </w:rPr>
        <w:t>(</w:t>
      </w:r>
      <w:r w:rsidRPr="00CF31E0">
        <w:rPr>
          <w:noProof/>
          <w:lang w:eastAsia="en-US"/>
        </w:rPr>
        <w:t>1988)</w:t>
      </w:r>
      <w:r w:rsidRPr="00CF31E0">
        <w:rPr>
          <w:lang w:eastAsia="en-US"/>
        </w:rPr>
        <w:fldChar w:fldCharType="end"/>
      </w:r>
      <w:r w:rsidRPr="00CF31E0">
        <w:rPr>
          <w:lang w:eastAsia="en-US"/>
        </w:rPr>
        <w:t xml:space="preserve"> attempted to record linguistic patterns in S</w:t>
      </w:r>
      <w:r w:rsidR="00690282" w:rsidRPr="00CF31E0">
        <w:rPr>
          <w:lang w:eastAsia="en-US"/>
        </w:rPr>
        <w:t xml:space="preserve">A </w:t>
      </w:r>
      <w:r w:rsidRPr="00CF31E0">
        <w:rPr>
          <w:lang w:eastAsia="en-US"/>
        </w:rPr>
        <w:t>dialects. He focused mainly on lexicon, phonology and morphology such as verb inflection and verb suffixation.</w:t>
      </w:r>
      <w:r w:rsidR="008935CA">
        <w:rPr>
          <w:lang w:eastAsia="en-US"/>
        </w:rPr>
        <w:t xml:space="preserve"> </w:t>
      </w:r>
    </w:p>
    <w:p w14:paraId="302BF6CC" w14:textId="08B61AA5" w:rsidR="00160CC4" w:rsidRPr="00CF31E0" w:rsidRDefault="00160CC4" w:rsidP="00603CB7">
      <w:pPr>
        <w:pStyle w:val="Paragraph"/>
        <w:rPr>
          <w:lang w:eastAsia="en-US"/>
        </w:rPr>
      </w:pPr>
      <w:r w:rsidRPr="00CF31E0">
        <w:rPr>
          <w:lang w:eastAsia="en-US"/>
        </w:rPr>
        <w:t xml:space="preserve">As previously mentioned earlier in </w:t>
      </w:r>
      <w:r w:rsidR="00CE2B99" w:rsidRPr="00CF31E0">
        <w:rPr>
          <w:lang w:eastAsia="en-US"/>
        </w:rPr>
        <w:t>C</w:t>
      </w:r>
      <w:r w:rsidRPr="00CF31E0">
        <w:rPr>
          <w:lang w:eastAsia="en-US"/>
        </w:rPr>
        <w:t xml:space="preserve">hapter </w:t>
      </w:r>
      <w:r w:rsidR="00512FFD" w:rsidRPr="00CF31E0">
        <w:rPr>
          <w:lang w:eastAsia="en-US"/>
        </w:rPr>
        <w:t>2</w:t>
      </w:r>
      <w:r w:rsidRPr="00CF31E0">
        <w:rPr>
          <w:lang w:eastAsia="en-US"/>
        </w:rPr>
        <w:t>,</w:t>
      </w:r>
      <w:r w:rsidR="0012407D" w:rsidRPr="00CF31E0">
        <w:rPr>
          <w:lang w:eastAsia="en-US"/>
        </w:rPr>
        <w:t xml:space="preserve"> section 2.3,</w:t>
      </w:r>
      <w:r w:rsidRPr="00CF31E0">
        <w:rPr>
          <w:lang w:eastAsia="en-US"/>
        </w:rPr>
        <w:t xml:space="preserve"> </w:t>
      </w:r>
      <w:r w:rsidR="00D30B2F">
        <w:rPr>
          <w:lang w:eastAsia="en-US"/>
        </w:rPr>
        <w:t>Makkah</w:t>
      </w:r>
      <w:r w:rsidRPr="00CF31E0">
        <w:rPr>
          <w:lang w:eastAsia="en-US"/>
        </w:rPr>
        <w:t xml:space="preserve"> city has a significant value historically and religiously; therefore, many studies have focused on describing and recording features of the </w:t>
      </w:r>
      <w:r w:rsidR="00D30B2F">
        <w:rPr>
          <w:lang w:eastAsia="en-US"/>
        </w:rPr>
        <w:t>Makkan</w:t>
      </w:r>
      <w:r w:rsidRPr="00CF31E0">
        <w:rPr>
          <w:lang w:eastAsia="en-US"/>
        </w:rPr>
        <w:t xml:space="preserve"> dialect. </w:t>
      </w:r>
      <w:r w:rsidRPr="00CF31E0">
        <w:rPr>
          <w:lang w:eastAsia="en-US"/>
        </w:rPr>
        <w:fldChar w:fldCharType="begin"/>
      </w:r>
      <w:r w:rsidR="00A54129" w:rsidRPr="00CF31E0">
        <w:rPr>
          <w:lang w:eastAsia="en-US"/>
        </w:rPr>
        <w:instrText xml:space="preserve"> ADDIN ZOTERO_ITEM CSL_CITATION {"citationID":"b8BPDMRW","properties":{"formattedCitation":"(Bakalla, 2002)","plainCitation":"(Bakalla, 2002)","dontUpdate":true,"noteIndex":0},"citationItems":[{"id":129,"uris":["http://zotero.org/users/1939618/items/9GIJW9XM"],"uri":["http://zotero.org/users/1939618/items/9GIJW9XM"],"itemData":{"id":129,"type":"chapter","title":"What is a secret language? A case from a Saudi Arabian dialect","page":"171–184","source":"Google Scholar","URL":"http://books.google.co.uk/books?hl=en&amp;lr=&amp;id=IdM5AAAAQBAJ&amp;oi=fnd&amp;pg=PA171&amp;dq=What+is+a+secret+language%3F+A+case+from+a+Saudi+Arabian+dialect.+Amsterdam+Studies+in+the+Theory+and+History+of+Linguistic+Science+Series+4,+171%E2%80%93184.&amp;ots=D4Mz5OQHY8&amp;sig=N1dRM02pS4Xi3BC7OOgT2GIydvM","shortTitle":"What is a secret language?","author":[{"family":"Bakalla","given":"Muhammad Hasan"}],"issued":{"date-parts":[["2002"]]},"accessed":{"date-parts":[["2015",1,26]]}}}],"schema":"https://github.com/citation-style-language/schema/raw/master/csl-citation.json"} </w:instrText>
      </w:r>
      <w:r w:rsidRPr="00CF31E0">
        <w:rPr>
          <w:lang w:eastAsia="en-US"/>
        </w:rPr>
        <w:fldChar w:fldCharType="separate"/>
      </w:r>
      <w:r w:rsidRPr="00CF31E0">
        <w:rPr>
          <w:noProof/>
          <w:lang w:eastAsia="en-US"/>
        </w:rPr>
        <w:t xml:space="preserve">Bakalla </w:t>
      </w:r>
      <w:r w:rsidR="003901D5" w:rsidRPr="00CF31E0">
        <w:rPr>
          <w:noProof/>
          <w:lang w:eastAsia="en-US"/>
        </w:rPr>
        <w:t>(</w:t>
      </w:r>
      <w:r w:rsidRPr="00CF31E0">
        <w:rPr>
          <w:noProof/>
          <w:lang w:eastAsia="en-US"/>
        </w:rPr>
        <w:t>2002)</w:t>
      </w:r>
      <w:r w:rsidRPr="00CF31E0">
        <w:rPr>
          <w:lang w:eastAsia="en-US"/>
        </w:rPr>
        <w:fldChar w:fldCharType="end"/>
      </w:r>
      <w:r w:rsidRPr="00CF31E0">
        <w:rPr>
          <w:lang w:eastAsia="en-US"/>
        </w:rPr>
        <w:t xml:space="preserve"> described and recorded a sub-dialect variety of the </w:t>
      </w:r>
      <w:r w:rsidR="00FF4DC7" w:rsidRPr="00CF31E0">
        <w:rPr>
          <w:lang w:eastAsia="en-US"/>
        </w:rPr>
        <w:t>HH</w:t>
      </w:r>
      <w:r w:rsidRPr="00CF31E0">
        <w:rPr>
          <w:lang w:eastAsia="en-US"/>
        </w:rPr>
        <w:t xml:space="preserve"> Hijazi </w:t>
      </w:r>
      <w:r w:rsidR="00D30B2F">
        <w:rPr>
          <w:lang w:eastAsia="en-US"/>
        </w:rPr>
        <w:t>Makkan</w:t>
      </w:r>
      <w:r w:rsidRPr="00CF31E0">
        <w:rPr>
          <w:lang w:eastAsia="en-US"/>
        </w:rPr>
        <w:t xml:space="preserve"> dialect, </w:t>
      </w:r>
      <w:r w:rsidRPr="00CF31E0">
        <w:rPr>
          <w:i/>
          <w:lang w:eastAsia="en-US"/>
        </w:rPr>
        <w:t>Almisfalawiyyah</w:t>
      </w:r>
      <w:r w:rsidRPr="00CF31E0">
        <w:rPr>
          <w:lang w:eastAsia="en-US"/>
        </w:rPr>
        <w:t>,</w:t>
      </w:r>
      <w:r w:rsidRPr="00CF31E0">
        <w:rPr>
          <w:i/>
          <w:lang w:eastAsia="en-US"/>
        </w:rPr>
        <w:t xml:space="preserve"> </w:t>
      </w:r>
      <w:r w:rsidRPr="00CF31E0">
        <w:rPr>
          <w:lang w:eastAsia="en-US"/>
        </w:rPr>
        <w:t xml:space="preserve">in terms of its syntax, morphology, stress placement and parts of speech. The data was gathered from five </w:t>
      </w:r>
      <w:r w:rsidR="00D30B2F">
        <w:rPr>
          <w:lang w:eastAsia="en-US"/>
        </w:rPr>
        <w:t>Makkan</w:t>
      </w:r>
      <w:r w:rsidRPr="00CF31E0">
        <w:rPr>
          <w:lang w:eastAsia="en-US"/>
        </w:rPr>
        <w:t xml:space="preserve"> informants who speak the </w:t>
      </w:r>
      <w:r w:rsidRPr="00CF31E0">
        <w:rPr>
          <w:i/>
          <w:lang w:eastAsia="en-US"/>
        </w:rPr>
        <w:t xml:space="preserve">Almisfalawiyyah </w:t>
      </w:r>
      <w:r w:rsidRPr="00CF31E0">
        <w:rPr>
          <w:lang w:eastAsia="en-US"/>
        </w:rPr>
        <w:t xml:space="preserve">dialect. </w:t>
      </w:r>
      <w:r w:rsidRPr="00CF31E0">
        <w:rPr>
          <w:lang w:eastAsia="en-US"/>
        </w:rPr>
        <w:fldChar w:fldCharType="begin"/>
      </w:r>
      <w:r w:rsidR="00A54129" w:rsidRPr="00CF31E0">
        <w:rPr>
          <w:lang w:eastAsia="en-US"/>
        </w:rPr>
        <w:instrText xml:space="preserve"> ADDIN ZOTERO_ITEM CSL_CITATION {"citationID":"JDhkBXZi","properties":{"formattedCitation":"(Bakalla, 2002, p. 181)","plainCitation":"(Bakalla, 2002, p. 181)","dontUpdate":true,"noteIndex":0},"citationItems":[{"id":129,"uris":["http://zotero.org/users/1939618/items/9GIJW9XM"],"uri":["http://zotero.org/users/1939618/items/9GIJW9XM"],"itemData":{"id":129,"type":"chapter","title":"What is a secret language? A case from a Saudi Arabian dialect","page":"171–184","source":"Google Scholar","URL":"http://books.google.co.uk/books?hl=en&amp;lr=&amp;id=IdM5AAAAQBAJ&amp;oi=fnd&amp;pg=PA171&amp;dq=What+is+a+secret+language%3F+A+case+from+a+Saudi+Arabian+dialect.+Amsterdam+Studies+in+the+Theory+and+History+of+Linguistic+Science+Series+4,+171%E2%80%93184.&amp;ots=D4Mz5OQHY8&amp;sig=N1dRM02pS4Xi3BC7OOgT2GIydvM","shortTitle":"What is a secret language?","author":[{"family":"Bakalla","given":"Muhammad Hasan"}],"issued":{"date-parts":[["2002"]]},"accessed":{"date-parts":[["2015",1,26]]}},"locator":"181","label":"page"}],"schema":"https://github.com/citation-style-language/schema/raw/master/csl-citation.json"} </w:instrText>
      </w:r>
      <w:r w:rsidRPr="00CF31E0">
        <w:rPr>
          <w:lang w:eastAsia="en-US"/>
        </w:rPr>
        <w:fldChar w:fldCharType="separate"/>
      </w:r>
      <w:r w:rsidRPr="00CF31E0">
        <w:rPr>
          <w:noProof/>
          <w:lang w:eastAsia="en-US"/>
        </w:rPr>
        <w:t xml:space="preserve">Bakalla </w:t>
      </w:r>
      <w:r w:rsidR="00D61F7A" w:rsidRPr="00CF31E0">
        <w:rPr>
          <w:noProof/>
          <w:lang w:eastAsia="en-US"/>
        </w:rPr>
        <w:t>(</w:t>
      </w:r>
      <w:r w:rsidRPr="00CF31E0">
        <w:rPr>
          <w:noProof/>
          <w:lang w:eastAsia="en-US"/>
        </w:rPr>
        <w:t>2002, p. 181)</w:t>
      </w:r>
      <w:r w:rsidRPr="00CF31E0">
        <w:rPr>
          <w:lang w:eastAsia="en-US"/>
        </w:rPr>
        <w:fldChar w:fldCharType="end"/>
      </w:r>
      <w:r w:rsidRPr="00CF31E0">
        <w:rPr>
          <w:lang w:eastAsia="en-US"/>
        </w:rPr>
        <w:t xml:space="preserve"> revealed that </w:t>
      </w:r>
      <w:r w:rsidRPr="00CF31E0">
        <w:rPr>
          <w:i/>
          <w:lang w:eastAsia="en-US"/>
        </w:rPr>
        <w:t xml:space="preserve">Almisfalawiyyah </w:t>
      </w:r>
      <w:r w:rsidRPr="00CF31E0">
        <w:rPr>
          <w:lang w:eastAsia="en-US"/>
        </w:rPr>
        <w:t xml:space="preserve">contains other dialects of the Arabic language because of the cosmopolitan nature of the </w:t>
      </w:r>
      <w:r w:rsidR="00D30B2F">
        <w:rPr>
          <w:lang w:eastAsia="en-US"/>
        </w:rPr>
        <w:t>Makkan</w:t>
      </w:r>
      <w:r w:rsidRPr="00CF31E0">
        <w:rPr>
          <w:lang w:eastAsia="en-US"/>
        </w:rPr>
        <w:t xml:space="preserve"> context. He called this dialect “the secret language” of </w:t>
      </w:r>
      <w:r w:rsidR="00D30B2F">
        <w:rPr>
          <w:lang w:eastAsia="en-US"/>
        </w:rPr>
        <w:t>Makkah</w:t>
      </w:r>
      <w:r w:rsidRPr="00CF31E0">
        <w:rPr>
          <w:lang w:eastAsia="en-US"/>
        </w:rPr>
        <w:t xml:space="preserve"> because it is a result of the </w:t>
      </w:r>
      <w:r w:rsidRPr="00CF31E0">
        <w:rPr>
          <w:lang w:eastAsia="en-US"/>
        </w:rPr>
        <w:lastRenderedPageBreak/>
        <w:t xml:space="preserve">interaction between the original inhabitants of </w:t>
      </w:r>
      <w:r w:rsidR="00D30B2F">
        <w:rPr>
          <w:lang w:eastAsia="en-US"/>
        </w:rPr>
        <w:t>Makkah</w:t>
      </w:r>
      <w:r w:rsidRPr="00CF31E0">
        <w:rPr>
          <w:lang w:eastAsia="en-US"/>
        </w:rPr>
        <w:t xml:space="preserve"> and the “Gusts of God” (p. 182). Bakalla mentioned that this sub-dialect of </w:t>
      </w:r>
      <w:r w:rsidR="00D30B2F">
        <w:rPr>
          <w:lang w:eastAsia="en-US"/>
        </w:rPr>
        <w:t>Makkan</w:t>
      </w:r>
      <w:r w:rsidRPr="00CF31E0">
        <w:rPr>
          <w:lang w:eastAsia="en-US"/>
        </w:rPr>
        <w:t xml:space="preserve"> dialect is almost extinct nowadays. </w:t>
      </w:r>
    </w:p>
    <w:p w14:paraId="38C83151" w14:textId="5344799C" w:rsidR="00160CC4" w:rsidRPr="00CF31E0" w:rsidRDefault="00160CC4" w:rsidP="00603CB7">
      <w:pPr>
        <w:pStyle w:val="Paragraph"/>
        <w:rPr>
          <w:lang w:eastAsia="en-US"/>
        </w:rPr>
      </w:pPr>
      <w:r w:rsidRPr="00CF31E0">
        <w:rPr>
          <w:lang w:eastAsia="en-US"/>
        </w:rPr>
        <w:t xml:space="preserve">Another study related to the </w:t>
      </w:r>
      <w:r w:rsidR="00FF4DC7" w:rsidRPr="00CF31E0">
        <w:rPr>
          <w:lang w:eastAsia="en-US"/>
        </w:rPr>
        <w:t>HH</w:t>
      </w:r>
      <w:r w:rsidRPr="00CF31E0">
        <w:rPr>
          <w:lang w:eastAsia="en-US"/>
        </w:rPr>
        <w:t xml:space="preserve"> Hijazi </w:t>
      </w:r>
      <w:r w:rsidR="00D30B2F">
        <w:rPr>
          <w:lang w:eastAsia="en-US"/>
        </w:rPr>
        <w:t>Makkan</w:t>
      </w:r>
      <w:r w:rsidRPr="00CF31E0">
        <w:rPr>
          <w:lang w:eastAsia="en-US"/>
        </w:rPr>
        <w:t xml:space="preserve"> dialect is Ingham’s work </w:t>
      </w:r>
      <w:r w:rsidRPr="00CF31E0">
        <w:rPr>
          <w:lang w:eastAsia="en-US"/>
        </w:rPr>
        <w:fldChar w:fldCharType="begin"/>
      </w:r>
      <w:r w:rsidRPr="00CF31E0">
        <w:rPr>
          <w:lang w:eastAsia="en-US"/>
        </w:rPr>
        <w:instrText xml:space="preserve"> ADDIN ZOTERO_ITEM CSL_CITATION {"citationID":"SrICR667","properties":{"formattedCitation":"(Ingham, 1971)","plainCitation":"(Ingham, 1971)","noteIndex":0},"citationItems":[{"id":131,"uris":["http://zotero.org/users/1939618/items/RDKBEK7V"],"uri":["http://zotero.org/users/1939618/items/RDKBEK7V"],"itemData":{"id":131,"type":"article-journal","title":"Some characteristics of Meccan speech","container-title":"Bulletin of the School of Oriental and African Studies","page":"273–297","volume":"34","issue":"02","source":"Google Scholar","author":[{"family":"Ingham","given":"Bruce"}],"issued":{"date-parts":[["1971"]]}}}],"schema":"https://github.com/citation-style-language/schema/raw/master/csl-citation.json"} </w:instrText>
      </w:r>
      <w:r w:rsidRPr="00CF31E0">
        <w:rPr>
          <w:lang w:eastAsia="en-US"/>
        </w:rPr>
        <w:fldChar w:fldCharType="separate"/>
      </w:r>
      <w:r w:rsidRPr="00CF31E0">
        <w:rPr>
          <w:noProof/>
          <w:lang w:eastAsia="en-US"/>
        </w:rPr>
        <w:t>(Ingham, 1971)</w:t>
      </w:r>
      <w:r w:rsidRPr="00CF31E0">
        <w:rPr>
          <w:lang w:eastAsia="en-US"/>
        </w:rPr>
        <w:fldChar w:fldCharType="end"/>
      </w:r>
      <w:r w:rsidRPr="00CF31E0">
        <w:rPr>
          <w:lang w:eastAsia="en-US"/>
        </w:rPr>
        <w:t>. Ingha</w:t>
      </w:r>
      <w:r w:rsidR="00FF5758" w:rsidRPr="00CF31E0">
        <w:rPr>
          <w:lang w:eastAsia="en-US"/>
        </w:rPr>
        <w:t>m aimed to provide a detailed account</w:t>
      </w:r>
      <w:r w:rsidRPr="00CF31E0">
        <w:rPr>
          <w:lang w:eastAsia="en-US"/>
        </w:rPr>
        <w:t xml:space="preserve"> of the phonology and morphology of the dialect while also comparing it to other Saudi dialects. Data was collected from excerpts from a television series called “Mishgas”. Phonological and morphological features were observed and analysed thoroughly using a tape recorder. Ingham’s findings revealed that </w:t>
      </w:r>
      <w:r w:rsidR="00D30B2F">
        <w:rPr>
          <w:lang w:eastAsia="en-US"/>
        </w:rPr>
        <w:t>Makkan</w:t>
      </w:r>
      <w:r w:rsidRPr="00CF31E0">
        <w:rPr>
          <w:lang w:eastAsia="en-US"/>
        </w:rPr>
        <w:t xml:space="preserve"> speech resembles dialects spoken in Egypt, Sudan and the Levant. In other words, the </w:t>
      </w:r>
      <w:r w:rsidR="00D30B2F">
        <w:rPr>
          <w:lang w:eastAsia="en-US"/>
        </w:rPr>
        <w:t>Makkan</w:t>
      </w:r>
      <w:r w:rsidRPr="00CF31E0">
        <w:rPr>
          <w:lang w:eastAsia="en-US"/>
        </w:rPr>
        <w:t xml:space="preserve"> dialect shares some of its phonological and morphological features with other Arabic dialects. Ingham attributed the phonological and morphological similarities to </w:t>
      </w:r>
      <w:r w:rsidR="00D30B2F">
        <w:rPr>
          <w:lang w:eastAsia="en-US"/>
        </w:rPr>
        <w:t>Makkah</w:t>
      </w:r>
      <w:r w:rsidRPr="00CF31E0">
        <w:rPr>
          <w:lang w:eastAsia="en-US"/>
        </w:rPr>
        <w:t xml:space="preserve">’s cosmopolitan nature, where different ethnic groups from different parts of Arabia resided in </w:t>
      </w:r>
      <w:r w:rsidR="00D30B2F">
        <w:rPr>
          <w:lang w:eastAsia="en-US"/>
        </w:rPr>
        <w:t>Makkah</w:t>
      </w:r>
      <w:r w:rsidRPr="00CF31E0">
        <w:rPr>
          <w:lang w:eastAsia="en-US"/>
        </w:rPr>
        <w:t xml:space="preserve">, as previously discussed in </w:t>
      </w:r>
      <w:r w:rsidR="00CE2B99" w:rsidRPr="00CF31E0">
        <w:rPr>
          <w:lang w:eastAsia="en-US"/>
        </w:rPr>
        <w:t>C</w:t>
      </w:r>
      <w:r w:rsidRPr="00CF31E0">
        <w:rPr>
          <w:lang w:eastAsia="en-US"/>
        </w:rPr>
        <w:t xml:space="preserve">hapter </w:t>
      </w:r>
      <w:r w:rsidR="00512FFD" w:rsidRPr="00CF31E0">
        <w:rPr>
          <w:lang w:eastAsia="en-US"/>
        </w:rPr>
        <w:t xml:space="preserve">2, </w:t>
      </w:r>
      <w:r w:rsidRPr="00CF31E0">
        <w:rPr>
          <w:lang w:eastAsia="en-US"/>
        </w:rPr>
        <w:t xml:space="preserve">section </w:t>
      </w:r>
      <w:r w:rsidR="00512FFD" w:rsidRPr="00CF31E0">
        <w:rPr>
          <w:lang w:eastAsia="en-US"/>
        </w:rPr>
        <w:t>2</w:t>
      </w:r>
      <w:r w:rsidR="00844B92" w:rsidRPr="00CF31E0">
        <w:rPr>
          <w:lang w:eastAsia="en-US"/>
        </w:rPr>
        <w:t>.5</w:t>
      </w:r>
      <w:r w:rsidRPr="00CF31E0">
        <w:rPr>
          <w:lang w:eastAsia="en-US"/>
        </w:rPr>
        <w:t xml:space="preserve"> </w:t>
      </w:r>
      <w:r w:rsidRPr="00CF31E0">
        <w:rPr>
          <w:lang w:eastAsia="en-US"/>
        </w:rPr>
        <w:fldChar w:fldCharType="begin"/>
      </w:r>
      <w:r w:rsidR="00CD34CA" w:rsidRPr="00CF31E0">
        <w:rPr>
          <w:lang w:eastAsia="en-US"/>
        </w:rPr>
        <w:instrText xml:space="preserve"> ADDIN ZOTERO_ITEM CSL_CITATION {"citationID":"Ur4NgniW","properties":{"formattedCitation":"(Ingham, 1971, p. 274)","plainCitation":"(Ingham, 1971, p. 274)","dontUpdate":true,"noteIndex":0},"citationItems":[{"id":131,"uris":["http://zotero.org/users/1939618/items/RDKBEK7V"],"uri":["http://zotero.org/users/1939618/items/RDKBEK7V"],"itemData":{"id":131,"type":"article-journal","title":"Some characteristics of Meccan speech","container-title":"Bulletin of the School of Oriental and African Studies","page":"273–297","volume":"34","issue":"02","source":"Google Scholar","author":[{"family":"Ingham","given":"Bruce"}],"issued":{"date-parts":[["1971"]]}},"locator":"274","label":"page"}],"schema":"https://github.com/citation-style-language/schema/raw/master/csl-citation.json"} </w:instrText>
      </w:r>
      <w:r w:rsidRPr="00CF31E0">
        <w:rPr>
          <w:lang w:eastAsia="en-US"/>
        </w:rPr>
        <w:fldChar w:fldCharType="separate"/>
      </w:r>
      <w:r w:rsidRPr="00CF31E0">
        <w:rPr>
          <w:noProof/>
          <w:lang w:eastAsia="en-US"/>
        </w:rPr>
        <w:t>(Ingham, 1971)</w:t>
      </w:r>
      <w:r w:rsidRPr="00CF31E0">
        <w:rPr>
          <w:lang w:eastAsia="en-US"/>
        </w:rPr>
        <w:fldChar w:fldCharType="end"/>
      </w:r>
      <w:r w:rsidRPr="00CF31E0">
        <w:rPr>
          <w:lang w:eastAsia="en-US"/>
        </w:rPr>
        <w:t xml:space="preserve">. Although Ingham’s research proved some linguistic similarities between the </w:t>
      </w:r>
      <w:r w:rsidR="00FF4DC7" w:rsidRPr="00CF31E0">
        <w:rPr>
          <w:lang w:eastAsia="en-US"/>
        </w:rPr>
        <w:t>HH</w:t>
      </w:r>
      <w:r w:rsidRPr="00CF31E0">
        <w:rPr>
          <w:lang w:eastAsia="en-US"/>
        </w:rPr>
        <w:t xml:space="preserve"> </w:t>
      </w:r>
      <w:r w:rsidR="00D30B2F">
        <w:rPr>
          <w:lang w:eastAsia="en-US"/>
        </w:rPr>
        <w:t>Makkan</w:t>
      </w:r>
      <w:r w:rsidRPr="00CF31E0">
        <w:rPr>
          <w:lang w:eastAsia="en-US"/>
        </w:rPr>
        <w:t xml:space="preserve"> dialect and other Arabic dialects, more research is needed to tap into Hijazi attitudes towards such similarities. In other words, having confirmed such similarities by a descriptive analysis, incorporating information on Hijazi’s perceptions and attitudes would be an invaluable asset to provide an in-depth understanding of the Hijazi dialect situation. Therefore, the present study offers the opportunity to confirm whether or not </w:t>
      </w:r>
      <w:r w:rsidR="00FF4DC7" w:rsidRPr="00CF31E0">
        <w:rPr>
          <w:lang w:eastAsia="en-US"/>
        </w:rPr>
        <w:t>HH</w:t>
      </w:r>
      <w:r w:rsidRPr="00CF31E0">
        <w:rPr>
          <w:lang w:eastAsia="en-US"/>
        </w:rPr>
        <w:t xml:space="preserve"> Hijazi is perceived to be similar to other Arabic dialects through adopting an attitudinal approach. </w:t>
      </w:r>
    </w:p>
    <w:p w14:paraId="1A05D984" w14:textId="2BA417E8" w:rsidR="00160CC4" w:rsidRPr="00CF31E0" w:rsidRDefault="00160CC4" w:rsidP="00603CB7">
      <w:pPr>
        <w:pStyle w:val="Paragraph"/>
        <w:rPr>
          <w:lang w:eastAsia="en-US"/>
        </w:rPr>
      </w:pPr>
      <w:r w:rsidRPr="00CF31E0">
        <w:rPr>
          <w:lang w:eastAsia="en-US"/>
        </w:rPr>
        <w:fldChar w:fldCharType="begin"/>
      </w:r>
      <w:r w:rsidR="00A54129" w:rsidRPr="00CF31E0">
        <w:rPr>
          <w:lang w:eastAsia="en-US"/>
        </w:rPr>
        <w:instrText xml:space="preserve"> ADDIN ZOTERO_ITEM CSL_CITATION {"citationID":"rPTAuhol","properties":{"formattedCitation":"(Al-Jehani, 1985)","plainCitation":"(Al-Jehani, 1985)","dontUpdate":true,"noteIndex":0},"citationItems":[{"id":537,"uris":["http://zotero.org/users/1939618/items/CKTFSSZ4"],"uri":["http://zotero.org/users/1939618/items/CKTFSSZ4"],"itemData":{"id":537,"type":"thesis","title":"Sociostylistic stratification of Arabic in Makkah (doctoral dissertation)","publisher":"University of Michigan","URL":"https://www.researchgate.net/publication/36173456_SOCIOSTYLISTIC_STRATIFICATION_OF_ARABIC_IN_MAKKAH_SOCIOLINGUISTICS_VARIATION_SAUDI_ARABIA","language":"en","author":[{"family":"Al-Jehani","given":"Nassir"}],"issued":{"date-parts":[["1985"]]},"accessed":{"date-parts":[["2018",7,12]]}}}],"schema":"https://github.com/citation-style-language/schema/raw/master/csl-citation.json"} </w:instrText>
      </w:r>
      <w:r w:rsidRPr="00CF31E0">
        <w:rPr>
          <w:lang w:eastAsia="en-US"/>
        </w:rPr>
        <w:fldChar w:fldCharType="separate"/>
      </w:r>
      <w:r w:rsidRPr="00CF31E0">
        <w:rPr>
          <w:noProof/>
          <w:lang w:eastAsia="en-US"/>
        </w:rPr>
        <w:t xml:space="preserve">Al-Jehani </w:t>
      </w:r>
      <w:r w:rsidR="007305CD" w:rsidRPr="00CF31E0">
        <w:rPr>
          <w:noProof/>
          <w:lang w:eastAsia="en-US"/>
        </w:rPr>
        <w:t>(</w:t>
      </w:r>
      <w:r w:rsidRPr="00CF31E0">
        <w:rPr>
          <w:noProof/>
          <w:lang w:eastAsia="en-US"/>
        </w:rPr>
        <w:t>1985)</w:t>
      </w:r>
      <w:r w:rsidRPr="00CF31E0">
        <w:rPr>
          <w:lang w:eastAsia="en-US"/>
        </w:rPr>
        <w:fldChar w:fldCharType="end"/>
      </w:r>
      <w:r w:rsidRPr="00CF31E0">
        <w:rPr>
          <w:lang w:eastAsia="en-US"/>
        </w:rPr>
        <w:t xml:space="preserve"> investigated factors behind language variation in </w:t>
      </w:r>
      <w:r w:rsidR="00D30B2F">
        <w:rPr>
          <w:lang w:eastAsia="en-US"/>
        </w:rPr>
        <w:t>Makkah</w:t>
      </w:r>
      <w:r w:rsidRPr="00CF31E0">
        <w:rPr>
          <w:lang w:eastAsia="en-US"/>
        </w:rPr>
        <w:t xml:space="preserve"> city. In order to do so</w:t>
      </w:r>
      <w:r w:rsidR="007305CD" w:rsidRPr="00CF31E0">
        <w:rPr>
          <w:lang w:eastAsia="en-US"/>
        </w:rPr>
        <w:t>,</w:t>
      </w:r>
      <w:r w:rsidRPr="00CF31E0">
        <w:rPr>
          <w:lang w:eastAsia="en-US"/>
        </w:rPr>
        <w:t xml:space="preserve"> he examined </w:t>
      </w:r>
      <w:r w:rsidR="007305CD" w:rsidRPr="00CF31E0">
        <w:rPr>
          <w:lang w:eastAsia="en-US"/>
        </w:rPr>
        <w:t xml:space="preserve">the production of </w:t>
      </w:r>
      <w:r w:rsidR="00D30B2F">
        <w:rPr>
          <w:lang w:eastAsia="en-US"/>
        </w:rPr>
        <w:t>Makkan</w:t>
      </w:r>
      <w:r w:rsidRPr="00CF31E0">
        <w:rPr>
          <w:lang w:eastAsia="en-US"/>
        </w:rPr>
        <w:t xml:space="preserve"> dialects</w:t>
      </w:r>
      <w:r w:rsidRPr="00B9622D">
        <w:rPr>
          <w:rStyle w:val="FootnoteReference"/>
        </w:rPr>
        <w:footnoteReference w:id="13"/>
      </w:r>
      <w:r w:rsidRPr="00CF31E0">
        <w:rPr>
          <w:lang w:eastAsia="en-US"/>
        </w:rPr>
        <w:t xml:space="preserve"> in social context to </w:t>
      </w:r>
      <w:r w:rsidR="007305CD" w:rsidRPr="00CF31E0">
        <w:rPr>
          <w:lang w:eastAsia="en-US"/>
        </w:rPr>
        <w:t>ascertain whether there is a</w:t>
      </w:r>
      <w:r w:rsidRPr="00CF31E0">
        <w:rPr>
          <w:lang w:eastAsia="en-US"/>
        </w:rPr>
        <w:t xml:space="preserve"> correlation between linguistic variation in </w:t>
      </w:r>
      <w:r w:rsidR="00D30B2F">
        <w:rPr>
          <w:lang w:eastAsia="en-US"/>
        </w:rPr>
        <w:t>Makkah</w:t>
      </w:r>
      <w:r w:rsidRPr="00CF31E0">
        <w:rPr>
          <w:lang w:eastAsia="en-US"/>
        </w:rPr>
        <w:t xml:space="preserve"> and the following extra</w:t>
      </w:r>
      <w:r w:rsidR="007305CD" w:rsidRPr="00CF31E0">
        <w:rPr>
          <w:lang w:eastAsia="en-US"/>
        </w:rPr>
        <w:t>-</w:t>
      </w:r>
      <w:r w:rsidRPr="00CF31E0">
        <w:rPr>
          <w:lang w:eastAsia="en-US"/>
        </w:rPr>
        <w:t>linguistic factors</w:t>
      </w:r>
      <w:r w:rsidR="007305CD" w:rsidRPr="00CF31E0">
        <w:rPr>
          <w:lang w:eastAsia="en-US"/>
        </w:rPr>
        <w:t xml:space="preserve">: </w:t>
      </w:r>
      <w:r w:rsidRPr="00CF31E0">
        <w:rPr>
          <w:lang w:eastAsia="en-US"/>
        </w:rPr>
        <w:t xml:space="preserve">style, ethnicity, education and age. The main method used in </w:t>
      </w:r>
      <w:r w:rsidR="00C137CF" w:rsidRPr="00CF31E0">
        <w:rPr>
          <w:lang w:eastAsia="en-US"/>
        </w:rPr>
        <w:t xml:space="preserve">the </w:t>
      </w:r>
      <w:r w:rsidRPr="00CF31E0">
        <w:rPr>
          <w:lang w:eastAsia="en-US"/>
        </w:rPr>
        <w:t xml:space="preserve">study was </w:t>
      </w:r>
      <w:r w:rsidR="00C137CF" w:rsidRPr="00CF31E0">
        <w:rPr>
          <w:lang w:eastAsia="en-US"/>
        </w:rPr>
        <w:t xml:space="preserve">an </w:t>
      </w:r>
      <w:r w:rsidRPr="00CF31E0">
        <w:rPr>
          <w:lang w:eastAsia="en-US"/>
        </w:rPr>
        <w:t>interview</w:t>
      </w:r>
      <w:r w:rsidR="00C137CF" w:rsidRPr="00CF31E0">
        <w:rPr>
          <w:lang w:eastAsia="en-US"/>
        </w:rPr>
        <w:t>.</w:t>
      </w:r>
      <w:r w:rsidRPr="00CF31E0">
        <w:rPr>
          <w:lang w:eastAsia="en-US"/>
        </w:rPr>
        <w:t xml:space="preserve"> </w:t>
      </w:r>
      <w:r w:rsidRPr="00CF31E0">
        <w:rPr>
          <w:lang w:eastAsia="en-US"/>
        </w:rPr>
        <w:fldChar w:fldCharType="begin"/>
      </w:r>
      <w:r w:rsidR="00A54129" w:rsidRPr="00CF31E0">
        <w:rPr>
          <w:lang w:eastAsia="en-US"/>
        </w:rPr>
        <w:instrText xml:space="preserve"> ADDIN ZOTERO_ITEM CSL_CITATION {"citationID":"4iN5NPTV","properties":{"formattedCitation":"(Al-Jehani, 1985)","plainCitation":"(Al-Jehani, 1985)","dontUpdate":true,"noteIndex":0},"citationItems":[{"id":537,"uris":["http://zotero.org/users/1939618/items/CKTFSSZ4"],"uri":["http://zotero.org/users/1939618/items/CKTFSSZ4"],"itemData":{"id":537,"type":"thesis","title":"Sociostylistic stratification of Arabic in Makkah (doctoral dissertation)","publisher":"University of Michigan","URL":"https://www.researchgate.net/publication/36173456_SOCIOSTYLISTIC_STRATIFICATION_OF_ARABIC_IN_MAKKAH_SOCIOLINGUISTICS_VARIATION_SAUDI_ARABIA","language":"en","author":[{"family":"Al-Jehani","given":"Nassir"}],"issued":{"date-parts":[["1985"]]},"accessed":{"date-parts":[["2018",7,12]]}}}],"schema":"https://github.com/citation-style-language/schema/raw/master/csl-citation.json"} </w:instrText>
      </w:r>
      <w:r w:rsidRPr="00CF31E0">
        <w:rPr>
          <w:lang w:eastAsia="en-US"/>
        </w:rPr>
        <w:fldChar w:fldCharType="separate"/>
      </w:r>
      <w:r w:rsidRPr="00CF31E0">
        <w:rPr>
          <w:noProof/>
          <w:lang w:eastAsia="en-US"/>
        </w:rPr>
        <w:t xml:space="preserve">Al-Jehani </w:t>
      </w:r>
      <w:r w:rsidR="00C137CF" w:rsidRPr="00CF31E0">
        <w:rPr>
          <w:noProof/>
          <w:lang w:eastAsia="en-US"/>
        </w:rPr>
        <w:t>(</w:t>
      </w:r>
      <w:r w:rsidRPr="00CF31E0">
        <w:rPr>
          <w:noProof/>
          <w:lang w:eastAsia="en-US"/>
        </w:rPr>
        <w:t>1985)</w:t>
      </w:r>
      <w:r w:rsidRPr="00CF31E0">
        <w:rPr>
          <w:lang w:eastAsia="en-US"/>
        </w:rPr>
        <w:fldChar w:fldCharType="end"/>
      </w:r>
      <w:r w:rsidRPr="00CF31E0">
        <w:rPr>
          <w:lang w:eastAsia="en-US"/>
        </w:rPr>
        <w:t xml:space="preserve"> interviewed </w:t>
      </w:r>
      <w:r w:rsidR="00C137CF" w:rsidRPr="00CF31E0">
        <w:rPr>
          <w:lang w:eastAsia="en-US"/>
        </w:rPr>
        <w:t>27</w:t>
      </w:r>
      <w:r w:rsidRPr="00CF31E0">
        <w:rPr>
          <w:lang w:eastAsia="en-US"/>
        </w:rPr>
        <w:t xml:space="preserve"> HH participants and </w:t>
      </w:r>
      <w:r w:rsidR="00C137CF" w:rsidRPr="00CF31E0">
        <w:rPr>
          <w:lang w:eastAsia="en-US"/>
        </w:rPr>
        <w:t xml:space="preserve">11 </w:t>
      </w:r>
      <w:r w:rsidRPr="00CF31E0">
        <w:rPr>
          <w:lang w:eastAsia="en-US"/>
        </w:rPr>
        <w:t>UBH participants from different age groups and education level</w:t>
      </w:r>
      <w:r w:rsidR="00C137CF" w:rsidRPr="00CF31E0">
        <w:rPr>
          <w:lang w:eastAsia="en-US"/>
        </w:rPr>
        <w:t>s</w:t>
      </w:r>
      <w:r w:rsidRPr="00CF31E0">
        <w:rPr>
          <w:lang w:eastAsia="en-US"/>
        </w:rPr>
        <w:t xml:space="preserve">. </w:t>
      </w:r>
      <w:r w:rsidR="00C137CF" w:rsidRPr="00CF31E0">
        <w:rPr>
          <w:lang w:eastAsia="en-US"/>
        </w:rPr>
        <w:t>The f</w:t>
      </w:r>
      <w:r w:rsidRPr="00CF31E0">
        <w:rPr>
          <w:lang w:eastAsia="en-US"/>
        </w:rPr>
        <w:t xml:space="preserve">indings </w:t>
      </w:r>
      <w:r w:rsidRPr="00CF31E0">
        <w:rPr>
          <w:lang w:eastAsia="en-US"/>
        </w:rPr>
        <w:lastRenderedPageBreak/>
        <w:t xml:space="preserve">revealed that </w:t>
      </w:r>
      <w:r w:rsidR="00D30B2F">
        <w:rPr>
          <w:lang w:eastAsia="en-US"/>
        </w:rPr>
        <w:t>Makkan</w:t>
      </w:r>
      <w:r w:rsidRPr="00CF31E0">
        <w:rPr>
          <w:lang w:eastAsia="en-US"/>
        </w:rPr>
        <w:t xml:space="preserve"> dialect speech is structured and affected by the above-mentioned factors. First, the HH speakers in the interview were more likely </w:t>
      </w:r>
      <w:r w:rsidR="00C137CF" w:rsidRPr="00CF31E0">
        <w:rPr>
          <w:lang w:eastAsia="en-US"/>
        </w:rPr>
        <w:t xml:space="preserve">to be </w:t>
      </w:r>
      <w:r w:rsidRPr="00CF31E0">
        <w:rPr>
          <w:lang w:eastAsia="en-US"/>
        </w:rPr>
        <w:t>affected by the style factor; when the context changes from informal to formal, they tend</w:t>
      </w:r>
      <w:r w:rsidR="00C137CF" w:rsidRPr="00CF31E0">
        <w:rPr>
          <w:lang w:eastAsia="en-US"/>
        </w:rPr>
        <w:t>ed</w:t>
      </w:r>
      <w:r w:rsidRPr="00CF31E0">
        <w:rPr>
          <w:lang w:eastAsia="en-US"/>
        </w:rPr>
        <w:t xml:space="preserve"> to shift the </w:t>
      </w:r>
      <w:r w:rsidRPr="00CF31E0">
        <w:rPr>
          <w:lang w:val="en-US" w:eastAsia="en-US"/>
        </w:rPr>
        <w:t xml:space="preserve">fricative alveolar sounds, which are stereotypical features of HH speech, to fricative dental sounds, which are stereotypical features of </w:t>
      </w:r>
      <w:r w:rsidR="00C137CF" w:rsidRPr="00CF31E0">
        <w:rPr>
          <w:lang w:val="en-US" w:eastAsia="en-US"/>
        </w:rPr>
        <w:t xml:space="preserve">the </w:t>
      </w:r>
      <w:r w:rsidRPr="00CF31E0">
        <w:rPr>
          <w:lang w:val="en-US" w:eastAsia="en-US"/>
        </w:rPr>
        <w:t xml:space="preserve">UBH dialect. Second, ethnicity of the speaker has </w:t>
      </w:r>
      <w:r w:rsidR="00C137CF" w:rsidRPr="00CF31E0">
        <w:rPr>
          <w:lang w:val="en-US" w:eastAsia="en-US"/>
        </w:rPr>
        <w:t xml:space="preserve">a </w:t>
      </w:r>
      <w:r w:rsidRPr="00CF31E0">
        <w:rPr>
          <w:lang w:val="en-US" w:eastAsia="en-US"/>
        </w:rPr>
        <w:t xml:space="preserve">greater effect </w:t>
      </w:r>
      <w:r w:rsidR="00C137CF" w:rsidRPr="00CF31E0">
        <w:rPr>
          <w:lang w:val="en-US" w:eastAsia="en-US"/>
        </w:rPr>
        <w:t xml:space="preserve">on </w:t>
      </w:r>
      <w:r w:rsidRPr="00CF31E0">
        <w:rPr>
          <w:lang w:val="en-US" w:eastAsia="en-US"/>
        </w:rPr>
        <w:t xml:space="preserve">linguistic variation in </w:t>
      </w:r>
      <w:r w:rsidR="00D30B2F">
        <w:rPr>
          <w:lang w:val="en-US" w:eastAsia="en-US"/>
        </w:rPr>
        <w:t>Makkah</w:t>
      </w:r>
      <w:r w:rsidRPr="00CF31E0">
        <w:rPr>
          <w:lang w:val="en-US" w:eastAsia="en-US"/>
        </w:rPr>
        <w:t xml:space="preserve">. UBH participants were likely to use fricative variants in their speech, while HH participants were more likely to use sibilant variants in their speech. Third, </w:t>
      </w:r>
      <w:r w:rsidR="00C137CF" w:rsidRPr="00CF31E0">
        <w:rPr>
          <w:lang w:val="en-US" w:eastAsia="en-US"/>
        </w:rPr>
        <w:t>regarding the</w:t>
      </w:r>
      <w:r w:rsidRPr="00CF31E0">
        <w:rPr>
          <w:lang w:val="en-US" w:eastAsia="en-US"/>
        </w:rPr>
        <w:t xml:space="preserve"> education factor, Al-Jehani found that it only affected HH speakers as more educated speakers tend to </w:t>
      </w:r>
      <w:r w:rsidR="006623E4" w:rsidRPr="00CF31E0">
        <w:rPr>
          <w:lang w:val="en-US" w:eastAsia="en-US"/>
        </w:rPr>
        <w:t xml:space="preserve">be more likely to </w:t>
      </w:r>
      <w:r w:rsidRPr="00CF31E0">
        <w:rPr>
          <w:lang w:val="en-US" w:eastAsia="en-US"/>
        </w:rPr>
        <w:t xml:space="preserve">use fricative variants in their speech than </w:t>
      </w:r>
      <w:r w:rsidR="006623E4" w:rsidRPr="00CF31E0">
        <w:rPr>
          <w:lang w:val="en-US" w:eastAsia="en-US"/>
        </w:rPr>
        <w:t xml:space="preserve">was the case for </w:t>
      </w:r>
      <w:r w:rsidRPr="00CF31E0">
        <w:rPr>
          <w:lang w:val="en-US" w:eastAsia="en-US"/>
        </w:rPr>
        <w:t>less educated participants</w:t>
      </w:r>
      <w:r w:rsidR="006623E4" w:rsidRPr="00CF31E0">
        <w:rPr>
          <w:lang w:val="en-US" w:eastAsia="en-US"/>
        </w:rPr>
        <w:t>,</w:t>
      </w:r>
      <w:r w:rsidRPr="00CF31E0">
        <w:rPr>
          <w:lang w:val="en-US" w:eastAsia="en-US"/>
        </w:rPr>
        <w:t xml:space="preserve"> who were more likely to use sibilant variants frequently in their speech. </w:t>
      </w:r>
      <w:r w:rsidR="006623E4" w:rsidRPr="00CF31E0">
        <w:rPr>
          <w:lang w:val="en-US" w:eastAsia="en-US"/>
        </w:rPr>
        <w:t xml:space="preserve">Regarding the </w:t>
      </w:r>
      <w:r w:rsidRPr="00CF31E0">
        <w:rPr>
          <w:lang w:val="en-US" w:eastAsia="en-US"/>
        </w:rPr>
        <w:t xml:space="preserve">age factor, the researcher found that it </w:t>
      </w:r>
      <w:r w:rsidR="006623E4" w:rsidRPr="00CF31E0">
        <w:rPr>
          <w:lang w:val="en-US" w:eastAsia="en-US"/>
        </w:rPr>
        <w:t xml:space="preserve">notably </w:t>
      </w:r>
      <w:r w:rsidRPr="00CF31E0">
        <w:rPr>
          <w:lang w:val="en-US" w:eastAsia="en-US"/>
        </w:rPr>
        <w:t xml:space="preserve">affected the UBH speakers, as “the realization of the fricative variants was found to be the highest in the speech of the elderly, less in the speech of the middle aged and the least in the speech of the young” </w:t>
      </w:r>
      <w:r w:rsidRPr="00CF31E0">
        <w:rPr>
          <w:lang w:eastAsia="en-US"/>
        </w:rPr>
        <w:fldChar w:fldCharType="begin"/>
      </w:r>
      <w:r w:rsidR="00A54129" w:rsidRPr="00CF31E0">
        <w:rPr>
          <w:lang w:eastAsia="en-US"/>
        </w:rPr>
        <w:instrText xml:space="preserve"> ADDIN ZOTERO_ITEM CSL_CITATION {"citationID":"3hK4UgaS","properties":{"formattedCitation":"(Al-Jehani, 1985)","plainCitation":"(Al-Jehani, 1985)","dontUpdate":true,"noteIndex":0},"citationItems":[{"id":537,"uris":["http://zotero.org/users/1939618/items/CKTFSSZ4"],"uri":["http://zotero.org/users/1939618/items/CKTFSSZ4"],"itemData":{"id":537,"type":"thesis","title":"Sociostylistic stratification of Arabic in Makkah (doctoral dissertation)","publisher":"University of Michigan","URL":"https://www.researchgate.net/publication/36173456_SOCIOSTYLISTIC_STRATIFICATION_OF_ARABIC_IN_MAKKAH_SOCIOLINGUISTICS_VARIATION_SAUDI_ARABIA","language":"en","author":[{"family":"Al-Jehani","given":"Nassir"}],"issued":{"date-parts":[["1985"]]},"accessed":{"date-parts":[["2018",7,12]]}}}],"schema":"https://github.com/citation-style-language/schema/raw/master/csl-citation.json"} </w:instrText>
      </w:r>
      <w:r w:rsidRPr="00CF31E0">
        <w:rPr>
          <w:lang w:eastAsia="en-US"/>
        </w:rPr>
        <w:fldChar w:fldCharType="separate"/>
      </w:r>
      <w:r w:rsidRPr="00CF31E0">
        <w:rPr>
          <w:noProof/>
          <w:lang w:eastAsia="en-US"/>
        </w:rPr>
        <w:t xml:space="preserve">Al-Jehani </w:t>
      </w:r>
      <w:r w:rsidR="006623E4" w:rsidRPr="00CF31E0">
        <w:rPr>
          <w:noProof/>
          <w:lang w:eastAsia="en-US"/>
        </w:rPr>
        <w:t>(</w:t>
      </w:r>
      <w:r w:rsidRPr="00CF31E0">
        <w:rPr>
          <w:noProof/>
          <w:lang w:eastAsia="en-US"/>
        </w:rPr>
        <w:t>1985</w:t>
      </w:r>
      <w:r w:rsidR="00585828" w:rsidRPr="00CF31E0">
        <w:rPr>
          <w:noProof/>
          <w:lang w:eastAsia="en-US"/>
        </w:rPr>
        <w:t>, p.137</w:t>
      </w:r>
      <w:r w:rsidRPr="00CF31E0">
        <w:rPr>
          <w:noProof/>
          <w:lang w:eastAsia="en-US"/>
        </w:rPr>
        <w:t>)</w:t>
      </w:r>
      <w:r w:rsidRPr="00CF31E0">
        <w:rPr>
          <w:lang w:eastAsia="en-US"/>
        </w:rPr>
        <w:fldChar w:fldCharType="end"/>
      </w:r>
      <w:r w:rsidRPr="00CF31E0">
        <w:rPr>
          <w:lang w:eastAsia="en-US"/>
        </w:rPr>
        <w:t xml:space="preserve"> concluded that his findings imply that future linguistic change in progress </w:t>
      </w:r>
      <w:r w:rsidR="006623E4" w:rsidRPr="00CF31E0">
        <w:rPr>
          <w:lang w:eastAsia="en-US"/>
        </w:rPr>
        <w:t xml:space="preserve">might occur </w:t>
      </w:r>
      <w:r w:rsidRPr="00CF31E0">
        <w:rPr>
          <w:lang w:eastAsia="en-US"/>
        </w:rPr>
        <w:t xml:space="preserve">in the two dialects in </w:t>
      </w:r>
      <w:r w:rsidR="00D30B2F">
        <w:rPr>
          <w:lang w:eastAsia="en-US"/>
        </w:rPr>
        <w:t>Makkah</w:t>
      </w:r>
      <w:r w:rsidR="006623E4" w:rsidRPr="00CF31E0">
        <w:rPr>
          <w:lang w:eastAsia="en-US"/>
        </w:rPr>
        <w:t xml:space="preserve">: </w:t>
      </w:r>
      <w:r w:rsidRPr="00CF31E0">
        <w:rPr>
          <w:lang w:eastAsia="en-US"/>
        </w:rPr>
        <w:t xml:space="preserve">UBH and HH. He predicted that </w:t>
      </w:r>
      <w:r w:rsidR="006623E4" w:rsidRPr="00CF31E0">
        <w:rPr>
          <w:lang w:eastAsia="en-US"/>
        </w:rPr>
        <w:t xml:space="preserve">the </w:t>
      </w:r>
      <w:r w:rsidRPr="00CF31E0">
        <w:rPr>
          <w:lang w:eastAsia="en-US"/>
        </w:rPr>
        <w:t xml:space="preserve">HH social group might </w:t>
      </w:r>
      <w:r w:rsidR="00455F01" w:rsidRPr="00CF31E0">
        <w:rPr>
          <w:lang w:eastAsia="en-US"/>
        </w:rPr>
        <w:t xml:space="preserve">be more likely to </w:t>
      </w:r>
      <w:r w:rsidRPr="00CF31E0">
        <w:rPr>
          <w:lang w:eastAsia="en-US"/>
        </w:rPr>
        <w:t xml:space="preserve">adopt </w:t>
      </w:r>
      <w:r w:rsidR="00455F01" w:rsidRPr="00CF31E0">
        <w:rPr>
          <w:lang w:eastAsia="en-US"/>
        </w:rPr>
        <w:t xml:space="preserve">the </w:t>
      </w:r>
      <w:r w:rsidRPr="00CF31E0">
        <w:rPr>
          <w:lang w:eastAsia="en-US"/>
        </w:rPr>
        <w:t xml:space="preserve">fricative variant in their speech, while young UBH speakers might adopt sibilant variants in their speech. </w:t>
      </w:r>
    </w:p>
    <w:p w14:paraId="6EC49FF5" w14:textId="0F628A99" w:rsidR="00160CC4" w:rsidRPr="00CF31E0" w:rsidRDefault="00160CC4" w:rsidP="00603CB7">
      <w:pPr>
        <w:pStyle w:val="Paragraph"/>
      </w:pPr>
      <w:r w:rsidRPr="00CF31E0">
        <w:rPr>
          <w:lang w:eastAsia="en-US"/>
        </w:rPr>
        <w:t xml:space="preserve">The previous research cited above mostly focused on phonological, lexical, structural and morphological aspects of SA dialects, while investigating Saudi people’s attitudes and perceptions has been mostly neglected. One of the few studies concerning Saudi people’s perceptions towards their dialect was conducted by </w:t>
      </w:r>
      <w:r w:rsidRPr="00CF31E0">
        <w:rPr>
          <w:lang w:eastAsia="en-US"/>
        </w:rPr>
        <w:fldChar w:fldCharType="begin"/>
      </w:r>
      <w:r w:rsidR="00CD34CA" w:rsidRPr="00CF31E0">
        <w:rPr>
          <w:lang w:eastAsia="en-US"/>
        </w:rPr>
        <w:instrText xml:space="preserve"> ADDIN ZOTERO_ITEM CSL_CITATION {"citationID":"6VdWRGHs","properties":{"formattedCitation":"(A Alrumaih, 2002)","plainCitation":"(A Alrumaih, 2002)","dontUpdate":true,"noteIndex":0},"citationItems":[{"id":357,"uris":["http://zotero.org/users/1939618/items/RCNXI4E5"],"uri":["http://zotero.org/users/1939618/items/RCNXI4E5"],"itemData":{"id":357,"type":"thesis","title":"Najdi perceptions of Saudi regional speech","publisher":"Michigan state university","source":"ResearchGate","abstract":"Thesis (M.A.)--Michigan State University. Dept. of Linguistics and Languages, 2002. Includes bibliographical references","author":[{"family":"A Alrumaih","given":"Ahmad"}],"issued":{"date-parts":[["2002"]]}}}],"schema":"https://github.com/citation-style-language/schema/raw/master/csl-citation.json"} </w:instrText>
      </w:r>
      <w:r w:rsidRPr="00CF31E0">
        <w:rPr>
          <w:lang w:eastAsia="en-US"/>
        </w:rPr>
        <w:fldChar w:fldCharType="separate"/>
      </w:r>
      <w:r w:rsidRPr="00CF31E0">
        <w:rPr>
          <w:noProof/>
          <w:lang w:eastAsia="en-US"/>
        </w:rPr>
        <w:t>Alrumaih (2002)</w:t>
      </w:r>
      <w:r w:rsidRPr="00CF31E0">
        <w:rPr>
          <w:lang w:eastAsia="en-US"/>
        </w:rPr>
        <w:fldChar w:fldCharType="end"/>
      </w:r>
      <w:r w:rsidRPr="00CF31E0">
        <w:rPr>
          <w:lang w:eastAsia="en-US"/>
        </w:rPr>
        <w:t>. The researcher conducted a perceptual dialectology study where he investigated the perceptions of Najdi participants (i.e. inhabitants of the Central region) towards their region and other dialect regions in SA. Alrumaih’s study was a nationally based study that covered all regions in SA. He applied the main methods used in perceptual dialect research, including a draw-a-map task</w:t>
      </w:r>
      <w:r w:rsidR="001F31C6" w:rsidRPr="00CF31E0">
        <w:rPr>
          <w:lang w:eastAsia="en-US"/>
        </w:rPr>
        <w:t xml:space="preserve"> </w:t>
      </w:r>
      <w:r w:rsidRPr="00CF31E0">
        <w:rPr>
          <w:lang w:eastAsia="en-US"/>
        </w:rPr>
        <w:t>and a semantic differential scale</w:t>
      </w:r>
      <w:r w:rsidR="0074630B" w:rsidRPr="00CF31E0">
        <w:rPr>
          <w:lang w:eastAsia="en-US"/>
        </w:rPr>
        <w:t>,</w:t>
      </w:r>
      <w:r w:rsidRPr="00CF31E0">
        <w:rPr>
          <w:lang w:eastAsia="en-US"/>
        </w:rPr>
        <w:t xml:space="preserve"> in a questionnaire method</w:t>
      </w:r>
      <w:r w:rsidR="006708F5" w:rsidRPr="00CF31E0">
        <w:rPr>
          <w:lang w:eastAsia="en-US"/>
        </w:rPr>
        <w:t>,</w:t>
      </w:r>
      <w:r w:rsidR="00585828" w:rsidRPr="00CF31E0">
        <w:rPr>
          <w:lang w:eastAsia="en-US"/>
        </w:rPr>
        <w:t xml:space="preserve"> following previous</w:t>
      </w:r>
      <w:r w:rsidR="0074630B" w:rsidRPr="00CF31E0">
        <w:rPr>
          <w:lang w:eastAsia="en-US"/>
        </w:rPr>
        <w:t>ly used</w:t>
      </w:r>
      <w:r w:rsidR="00585828" w:rsidRPr="00CF31E0">
        <w:rPr>
          <w:lang w:eastAsia="en-US"/>
        </w:rPr>
        <w:t xml:space="preserve"> methods in perceptual dialectology (see </w:t>
      </w:r>
      <w:r w:rsidR="00D12C74" w:rsidRPr="00CF31E0">
        <w:fldChar w:fldCharType="begin"/>
      </w:r>
      <w:r w:rsidR="00D12C74" w:rsidRPr="00CF31E0">
        <w:instrText xml:space="preserve"> ADDIN ZOTERO_ITEM CSL_CITATION {"citationID":"EBD77pNu","properties":{"formattedCitation":"(Inoue, 1999; Montgomery, 2007; Preston, 1999)","plainCitation":"(Inoue, 1999; Montgomery, 2007; Preston, 1999)","noteIndex":0},"citationItems":[{"id":51,"uris":["http://zotero.org/users/1939618/items/A49VW2UZ"],"uri":["http://zotero.org/users/1939618/items/A49VW2UZ"],"itemData":{"id":51,"type":"chapter","title":"Classification of dialects by image: English and Japanese","container-title":"Handbook of perceptual dialectology","publisher":"John Benjamins Publishing","publisher-place":"Amsterdam","page":"147–160","volume":"1","source":"Google Scholar","event-place":"Amsterdam","shortTitle":"Classification of dialects by image","author":[{"family":"Inoue","given":"Fumio"}],"editor":[{"family":"Preston","given":"Dennis R."}],"issued":{"date-parts":[["1999"]]}},"label":"page"},{"id":3,"uris":["http://zotero.org/users/1939618/items/IB93562T"],"uri":["http://zotero.org/users/1939618/items/IB93562T"],"itemData":{"id":3,"type":"thesis","title":"Northern English Dialects: A perceptual approach (doctoral dissertation)","publisher":"University of Sheffield","genre":"Thesis","source":"etheses.whiterose.ac.uk","abstract":"Perceptual dialectology has the capacity to deliver a great many benefits to the study of language varieties.  It also allows examination of the underlying factors in dialect use such as the ‘beliefs, attitudes and strategies’ (Preston, 1999: xxiii) which make up language users’ reactions to language varieties.  In this way it has the potential to ask questions of identity and explore the reasons for dialect loyalty as well as complementing other research in the field of language variation and change.\n\nUsing a perceptual framework, this research investigates the relationship between the north and south of England and gains access to some of the key concepts which affect informants’ view of this important social, cultural and historical relationship.  Perceptions of salient dialect areas are also assessed using informants from three locations in the north of England via the completion of a draw-a-map task (Preston, 1999: xxxiv).  Many of the factors which impact on the perception of dialect areas are discussed, with phenomena of proximity and cultural salience demonstrating an important role.  An analysis of informants’ reactions to voice samples from across England is also undertaken using methods adapted from the fields of linguistics (Embleton &amp; Wheeler, 1997, Giles &amp; Powesland, 1975, Niedzielski &amp; Preston, 2003) as well perceptual geography (Pocock, 1972).  The link between map-based perception and reaction to voice samples is examined, with interesting conclusions. \n\nFour key research questions are addressed:\n\n1.\tDo respondents have a linguistic ‘cognitive map’ of a north of England, and do respondents recognise there to be internal boundaries within ‘their’ north of England?\n2.\tDoes home-town location of informants affect the perception of dialect area? \n3.\tWhat are informants’ perceptions of the language varieties in the north of England?\n4.\tIs there a relationship between perception and ‘reality’ (production), and can respondents recognise the varieties they have identified?\n\nThese questions will be addressed using the methods described above and the results accounted for through comparison with a wide range of previous studies in the fields of dialectology (Trudgill, 1999, Upton, Sanderson &amp; Widdowson, 1987, Wells, 1982), social and cultural history (Wales, 2006), perceptual dialectology (Long &amp; Preston, 2002), sociolinguistics (Giles &amp; Powesland, 1975) and perceptual geography (Gould &amp; White, 1986).","URL":"http://etheses.whiterose.ac.uk/1203/","shortTitle":"Northern English Dialects","author":[{"family":"Montgomery","given":"Chris"}],"issued":{"date-parts":[["2007",1,16]]},"accessed":{"date-parts":[["2014",9,24]]}},"label":"page"},{"id":240,"uris":["http://zotero.org/users/1939618/items/TF8GPXHH"],"uri":["http://zotero.org/users/1939618/items/TF8GPXHH"],"itemData":{"id":240,"type":"chapter","title":"A language attitude approach to the perception of regional variety","container-title":"Handbook of perceptual dialectology","publisher":"John Benjamins Publishing","publisher-place":"Amsterdam","page":"359–374","volume":"1","source":"Google Scholar","event-place":"Amsterdam","author":[{"family":"Preston","given":"D."}],"editor":[{"family":"Preston","given":"D."}],"issued":{"date-parts":[["1999"]]}},"label":"page"}],"schema":"https://github.com/citation-style-language/schema/raw/master/csl-citation.json"} </w:instrText>
      </w:r>
      <w:r w:rsidR="00D12C74" w:rsidRPr="00CF31E0">
        <w:fldChar w:fldCharType="separate"/>
      </w:r>
      <w:r w:rsidR="00D12C74" w:rsidRPr="00CF31E0">
        <w:rPr>
          <w:noProof/>
        </w:rPr>
        <w:t xml:space="preserve">Inoue, 1999; Montgomery, 2007; </w:t>
      </w:r>
      <w:r w:rsidR="00D12C74" w:rsidRPr="00CF31E0">
        <w:rPr>
          <w:noProof/>
        </w:rPr>
        <w:lastRenderedPageBreak/>
        <w:t>Preston, 1999</w:t>
      </w:r>
      <w:r w:rsidR="004872D5" w:rsidRPr="00CF31E0">
        <w:rPr>
          <w:noProof/>
        </w:rPr>
        <w:t>b</w:t>
      </w:r>
      <w:r w:rsidR="00D12C74" w:rsidRPr="00CF31E0">
        <w:rPr>
          <w:noProof/>
        </w:rPr>
        <w:t>)</w:t>
      </w:r>
      <w:r w:rsidR="00D12C74" w:rsidRPr="00CF31E0">
        <w:fldChar w:fldCharType="end"/>
      </w:r>
      <w:r w:rsidRPr="00CF31E0">
        <w:rPr>
          <w:lang w:eastAsia="en-US"/>
        </w:rPr>
        <w:t xml:space="preserve">. The results revealed that participants drew on a blank map five dialect regions in the </w:t>
      </w:r>
      <w:r w:rsidR="006D32AB" w:rsidRPr="00CF31E0">
        <w:rPr>
          <w:lang w:eastAsia="en-US"/>
        </w:rPr>
        <w:t>count</w:t>
      </w:r>
      <w:r w:rsidRPr="00CF31E0">
        <w:rPr>
          <w:lang w:eastAsia="en-US"/>
        </w:rPr>
        <w:t>ry where they think people speak alike:</w:t>
      </w:r>
      <w:r w:rsidR="00B0552A">
        <w:rPr>
          <w:lang w:eastAsia="en-US"/>
        </w:rPr>
        <w:t xml:space="preserve"> </w:t>
      </w:r>
      <w:r w:rsidRPr="00CF31E0">
        <w:rPr>
          <w:lang w:eastAsia="en-US"/>
        </w:rPr>
        <w:t xml:space="preserve">Northern region, Southern region, Central region, Eastern region and Western region (i.e. Hijaz). Interestingly, </w:t>
      </w:r>
      <w:r w:rsidRPr="00CF31E0">
        <w:rPr>
          <w:lang w:eastAsia="en-US"/>
        </w:rPr>
        <w:fldChar w:fldCharType="begin"/>
      </w:r>
      <w:r w:rsidR="00CD34CA" w:rsidRPr="00CF31E0">
        <w:rPr>
          <w:lang w:eastAsia="en-US"/>
        </w:rPr>
        <w:instrText xml:space="preserve"> ADDIN ZOTERO_ITEM CSL_CITATION {"citationID":"9KyDE6N7","properties":{"formattedCitation":"(A Alrumaih, 2002, p. 31)","plainCitation":"(A Alrumaih, 2002, p. 31)","dontUpdate":true,"noteIndex":0},"citationItems":[{"id":357,"uris":["http://zotero.org/users/1939618/items/RCNXI4E5"],"uri":["http://zotero.org/users/1939618/items/RCNXI4E5"],"itemData":{"id":357,"type":"thesis","title":"Najdi perceptions of Saudi regional speech","publisher":"Michigan state university","source":"ResearchGate","abstract":"Thesis (M.A.)--Michigan State University. Dept. of Linguistics and Languages, 2002. Includes bibliographical references","author":[{"family":"A Alrumaih","given":"Ahmad"}],"issued":{"date-parts":[["2002"]]}},"locator":"31","label":"page"}],"schema":"https://github.com/citation-style-language/schema/raw/master/csl-citation.json"} </w:instrText>
      </w:r>
      <w:r w:rsidRPr="00CF31E0">
        <w:rPr>
          <w:lang w:eastAsia="en-US"/>
        </w:rPr>
        <w:fldChar w:fldCharType="separate"/>
      </w:r>
      <w:r w:rsidRPr="00CF31E0">
        <w:rPr>
          <w:noProof/>
          <w:lang w:eastAsia="en-US"/>
        </w:rPr>
        <w:t>Alrumaih (2002, p. 32)</w:t>
      </w:r>
      <w:r w:rsidRPr="00CF31E0">
        <w:rPr>
          <w:lang w:eastAsia="en-US"/>
        </w:rPr>
        <w:fldChar w:fldCharType="end"/>
      </w:r>
      <w:r w:rsidRPr="00CF31E0">
        <w:rPr>
          <w:lang w:eastAsia="en-US"/>
        </w:rPr>
        <w:t xml:space="preserve"> comments that: “The region most often labelled with regional words was the Western region with the mostly recurrent label ‘the leftovers,’ on the map (i.e., settlers who came originally on a pilgrimage and then settled in the </w:t>
      </w:r>
      <w:r w:rsidR="006D32AB" w:rsidRPr="00CF31E0">
        <w:rPr>
          <w:lang w:eastAsia="en-US"/>
        </w:rPr>
        <w:t>count</w:t>
      </w:r>
      <w:r w:rsidRPr="00CF31E0">
        <w:rPr>
          <w:lang w:eastAsia="en-US"/>
        </w:rPr>
        <w:t xml:space="preserve">ry)”. This means that Najdi people stereotypically perceive all dwellers in Hijaz as settlers. Regarding the rating task that included the semantic differential scale, Alrumaih included two labels in the scale, correct and pleasant, to be tested in relation to the five-dialect region, and the researcher also included MSA. The results of the rating task revealed that Najdi participants rated their dialect as highly correct compared to other SA dialects but as less correct when compared to MSA. This implies that Najdi participants feel linguistically secure when they compare their dialects to other regional varieties in SA, but not to MSA. </w:t>
      </w:r>
    </w:p>
    <w:p w14:paraId="1F9F1A2D" w14:textId="6AD3B759" w:rsidR="00160CC4" w:rsidRPr="00CF31E0" w:rsidRDefault="00160CC4" w:rsidP="00FD7D3F">
      <w:pPr>
        <w:pStyle w:val="Paragraph"/>
        <w:rPr>
          <w:lang w:eastAsia="en-US"/>
        </w:rPr>
      </w:pPr>
      <w:r w:rsidRPr="00CF31E0">
        <w:rPr>
          <w:lang w:eastAsia="en-US"/>
        </w:rPr>
        <w:t xml:space="preserve">Regarding the Hijaz context, although much attention has been given to investigating linguistic aspects of Hijazi dialects, very little attention has been given to language attitude research. </w:t>
      </w:r>
      <w:r w:rsidRPr="00CF31E0">
        <w:rPr>
          <w:lang w:eastAsia="en-US"/>
        </w:rPr>
        <w:fldChar w:fldCharType="begin"/>
      </w:r>
      <w:r w:rsidR="00A54129" w:rsidRPr="00CF31E0">
        <w:rPr>
          <w:lang w:eastAsia="en-US"/>
        </w:rPr>
        <w:instrText xml:space="preserve"> ADDIN ZOTERO_ITEM CSL_CITATION {"citationID":"rVkCDEx2","properties":{"formattedCitation":"(Alahmadi, 2016)","plainCitation":"(Alahmadi, 2016)","dontUpdate":true,"noteIndex":0},"citationItems":[{"id":470,"uris":["http://zotero.org/users/1939618/items/65KMBJ76"],"uri":["http://zotero.org/users/1939618/items/65KMBJ76"],"itemData":{"id":470,"type":"article-journal","title":"Insight into the Attitudes of Speakers of Urban Meccan Hijazi Arabic towards their Dialect","container-title":"Advances in Language and Literary Studies","page":"249-256","volume":"7","issue":"2","source":"ResearchGate","DOI":"10.7575/aiac.alls.v.7n.2p.249","author":[{"family":"Alahmadi","given":"Sameeha"}],"issued":{"date-parts":[["2016",4,1]]}}}],"schema":"https://github.com/citation-style-language/schema/raw/master/csl-citation.json"} </w:instrText>
      </w:r>
      <w:r w:rsidRPr="00CF31E0">
        <w:rPr>
          <w:lang w:eastAsia="en-US"/>
        </w:rPr>
        <w:fldChar w:fldCharType="separate"/>
      </w:r>
      <w:r w:rsidRPr="00CF31E0">
        <w:rPr>
          <w:lang w:eastAsia="en-US"/>
        </w:rPr>
        <w:t>Alahmadi (2016)</w:t>
      </w:r>
      <w:r w:rsidRPr="00CF31E0">
        <w:rPr>
          <w:lang w:eastAsia="en-US"/>
        </w:rPr>
        <w:fldChar w:fldCharType="end"/>
      </w:r>
      <w:r w:rsidRPr="00CF31E0">
        <w:rPr>
          <w:lang w:eastAsia="en-US"/>
        </w:rPr>
        <w:t xml:space="preserve"> investigated attitudes towards the </w:t>
      </w:r>
      <w:r w:rsidR="00D30B2F">
        <w:rPr>
          <w:lang w:eastAsia="en-US"/>
        </w:rPr>
        <w:t>Makkan</w:t>
      </w:r>
      <w:r w:rsidRPr="00CF31E0">
        <w:rPr>
          <w:lang w:eastAsia="en-US"/>
        </w:rPr>
        <w:t xml:space="preserve"> Hijazi dialect. She surveyed only one location in Hijaz: </w:t>
      </w:r>
      <w:r w:rsidR="00D30B2F">
        <w:rPr>
          <w:lang w:eastAsia="en-US"/>
        </w:rPr>
        <w:t>Makkah</w:t>
      </w:r>
      <w:r w:rsidRPr="00CF31E0">
        <w:rPr>
          <w:lang w:eastAsia="en-US"/>
        </w:rPr>
        <w:t xml:space="preserve"> city. 80 </w:t>
      </w:r>
      <w:r w:rsidR="00D30B2F">
        <w:rPr>
          <w:lang w:eastAsia="en-US"/>
        </w:rPr>
        <w:t>Makkan</w:t>
      </w:r>
      <w:r w:rsidRPr="00CF31E0">
        <w:rPr>
          <w:lang w:eastAsia="en-US"/>
        </w:rPr>
        <w:t xml:space="preserve"> participants were recruited for the study whose main dialect is </w:t>
      </w:r>
      <w:r w:rsidR="00D30B2F">
        <w:rPr>
          <w:lang w:eastAsia="en-US"/>
        </w:rPr>
        <w:t>Makkan</w:t>
      </w:r>
      <w:r w:rsidRPr="00CF31E0">
        <w:rPr>
          <w:lang w:eastAsia="en-US"/>
        </w:rPr>
        <w:t xml:space="preserve"> Hijazi</w:t>
      </w:r>
      <w:r w:rsidR="00140CD5">
        <w:rPr>
          <w:lang w:eastAsia="en-US"/>
        </w:rPr>
        <w:t xml:space="preserve"> dialect</w:t>
      </w:r>
      <w:r w:rsidRPr="00CF31E0">
        <w:rPr>
          <w:lang w:eastAsia="en-US"/>
        </w:rPr>
        <w:t xml:space="preserve">. The </w:t>
      </w:r>
      <w:r w:rsidR="00D30B2F">
        <w:rPr>
          <w:lang w:eastAsia="en-US"/>
        </w:rPr>
        <w:t>Makkan</w:t>
      </w:r>
      <w:r w:rsidRPr="00CF31E0">
        <w:rPr>
          <w:lang w:eastAsia="en-US"/>
        </w:rPr>
        <w:t xml:space="preserve"> participants’ attitudes were elicited using a Likert-scale questionnaire. The findings revealed that generally </w:t>
      </w:r>
      <w:r w:rsidR="00D30B2F">
        <w:rPr>
          <w:lang w:eastAsia="en-US"/>
        </w:rPr>
        <w:t>Makkan</w:t>
      </w:r>
      <w:r w:rsidRPr="00CF31E0">
        <w:rPr>
          <w:lang w:eastAsia="en-US"/>
        </w:rPr>
        <w:t xml:space="preserve"> Hadar</w:t>
      </w:r>
      <w:r w:rsidR="00FF4DC7" w:rsidRPr="00CF31E0">
        <w:rPr>
          <w:lang w:eastAsia="en-US"/>
        </w:rPr>
        <w:t>i</w:t>
      </w:r>
      <w:r w:rsidRPr="00CF31E0">
        <w:rPr>
          <w:lang w:eastAsia="en-US"/>
        </w:rPr>
        <w:t xml:space="preserve"> were positive about their dialect. The participants held the view that </w:t>
      </w:r>
      <w:r w:rsidR="00D30B2F">
        <w:rPr>
          <w:lang w:eastAsia="en-US"/>
        </w:rPr>
        <w:t>Makkan</w:t>
      </w:r>
      <w:r w:rsidRPr="00CF31E0">
        <w:rPr>
          <w:lang w:eastAsia="en-US"/>
        </w:rPr>
        <w:t xml:space="preserve"> Hadari should not only be used in </w:t>
      </w:r>
      <w:r w:rsidR="00D30B2F">
        <w:rPr>
          <w:lang w:eastAsia="en-US"/>
        </w:rPr>
        <w:t>Makkah</w:t>
      </w:r>
      <w:r w:rsidRPr="00CF31E0">
        <w:rPr>
          <w:lang w:eastAsia="en-US"/>
        </w:rPr>
        <w:t xml:space="preserve"> city, but should be used everywhere. Furthermore, they were clear that there is a strong correlation between the </w:t>
      </w:r>
      <w:r w:rsidR="00D30B2F">
        <w:rPr>
          <w:lang w:eastAsia="en-US"/>
        </w:rPr>
        <w:t>Makkan</w:t>
      </w:r>
      <w:r w:rsidRPr="00CF31E0">
        <w:rPr>
          <w:lang w:eastAsia="en-US"/>
        </w:rPr>
        <w:t xml:space="preserve"> </w:t>
      </w:r>
      <w:r w:rsidR="003207DB" w:rsidRPr="00CF31E0">
        <w:rPr>
          <w:lang w:eastAsia="en-US"/>
        </w:rPr>
        <w:t>HH</w:t>
      </w:r>
      <w:r w:rsidRPr="00CF31E0">
        <w:rPr>
          <w:lang w:eastAsia="en-US"/>
        </w:rPr>
        <w:t xml:space="preserve"> dialect and Hijazi culture, that is, the Hijazi dialect contributed towards the emergence of the </w:t>
      </w:r>
      <w:r w:rsidR="00D30B2F">
        <w:rPr>
          <w:lang w:eastAsia="en-US"/>
        </w:rPr>
        <w:t>Makkan</w:t>
      </w:r>
      <w:r w:rsidRPr="00CF31E0">
        <w:rPr>
          <w:lang w:eastAsia="en-US"/>
        </w:rPr>
        <w:t xml:space="preserve"> </w:t>
      </w:r>
      <w:r w:rsidR="003207DB" w:rsidRPr="00CF31E0">
        <w:rPr>
          <w:lang w:eastAsia="en-US"/>
        </w:rPr>
        <w:t>HH</w:t>
      </w:r>
      <w:r w:rsidRPr="00CF31E0">
        <w:rPr>
          <w:lang w:eastAsia="en-US"/>
        </w:rPr>
        <w:t xml:space="preserve"> dialect. Finally, most participants showed a strong affiliation to their dialect by confirming that being a speaker of the </w:t>
      </w:r>
      <w:r w:rsidR="00D30B2F">
        <w:rPr>
          <w:lang w:eastAsia="en-US"/>
        </w:rPr>
        <w:t>Makkan</w:t>
      </w:r>
      <w:r w:rsidRPr="00CF31E0">
        <w:rPr>
          <w:lang w:eastAsia="en-US"/>
        </w:rPr>
        <w:t xml:space="preserve"> Hijazi dialect is better than being a speaker of any other dialect. </w:t>
      </w:r>
      <w:r w:rsidRPr="00CF31E0">
        <w:rPr>
          <w:rFonts w:eastAsia="Times New Roman"/>
          <w:lang w:eastAsia="en-US"/>
        </w:rPr>
        <w:t xml:space="preserve">This is a significant study as it is the only piece of research, to my knowledge, that investigates attitudes towards the </w:t>
      </w:r>
      <w:r w:rsidR="00D30B2F">
        <w:rPr>
          <w:rFonts w:eastAsia="Times New Roman"/>
          <w:lang w:eastAsia="en-US"/>
        </w:rPr>
        <w:t>Makkan</w:t>
      </w:r>
      <w:r w:rsidRPr="00CF31E0">
        <w:rPr>
          <w:rFonts w:eastAsia="Times New Roman"/>
          <w:lang w:eastAsia="en-US"/>
        </w:rPr>
        <w:t xml:space="preserve"> </w:t>
      </w:r>
      <w:r w:rsidR="003207DB" w:rsidRPr="00CF31E0">
        <w:rPr>
          <w:rFonts w:eastAsia="Times New Roman"/>
          <w:lang w:eastAsia="en-US"/>
        </w:rPr>
        <w:t>HH</w:t>
      </w:r>
      <w:r w:rsidRPr="00CF31E0">
        <w:rPr>
          <w:rFonts w:eastAsia="Times New Roman"/>
          <w:lang w:eastAsia="en-US"/>
        </w:rPr>
        <w:t xml:space="preserve"> dialect. Therefore, the study </w:t>
      </w:r>
      <w:r w:rsidRPr="00CF31E0">
        <w:rPr>
          <w:rFonts w:eastAsia="Times New Roman"/>
          <w:lang w:eastAsia="en-US"/>
        </w:rPr>
        <w:lastRenderedPageBreak/>
        <w:t xml:space="preserve">goes some way towards enhancing our understanding of the </w:t>
      </w:r>
      <w:r w:rsidR="003207DB" w:rsidRPr="00CF31E0">
        <w:rPr>
          <w:rFonts w:eastAsia="Times New Roman"/>
          <w:lang w:eastAsia="en-US"/>
        </w:rPr>
        <w:t>HH</w:t>
      </w:r>
      <w:r w:rsidRPr="00CF31E0">
        <w:rPr>
          <w:rFonts w:eastAsia="Times New Roman"/>
          <w:lang w:eastAsia="en-US"/>
        </w:rPr>
        <w:t xml:space="preserve"> dialect in the Hijaz region. </w:t>
      </w:r>
      <w:r w:rsidRPr="00CF31E0">
        <w:rPr>
          <w:lang w:eastAsia="en-US"/>
        </w:rPr>
        <w:t xml:space="preserve">However, the study lacks a representation of attitudes towards the other </w:t>
      </w:r>
      <w:r w:rsidR="00D30B2F">
        <w:rPr>
          <w:lang w:eastAsia="en-US"/>
        </w:rPr>
        <w:t>Makkan</w:t>
      </w:r>
      <w:r w:rsidRPr="00CF31E0">
        <w:rPr>
          <w:lang w:eastAsia="en-US"/>
        </w:rPr>
        <w:t xml:space="preserve"> dialect, the urban Bedouin Hijazi dialect. Therefore, further research is needed to compare the two main dialects in Hijaz, using a more robust methodology. Furthermore, </w:t>
      </w:r>
      <w:r w:rsidRPr="00CF31E0">
        <w:rPr>
          <w:rFonts w:eastAsia="Times New Roman"/>
          <w:lang w:eastAsia="en-US"/>
        </w:rPr>
        <w:t xml:space="preserve">in light of Alahmadi’s findings, more research is needed to test the validity of her findings, that is, whether or not Hadari participants feel positive about their dialect. </w:t>
      </w:r>
    </w:p>
    <w:p w14:paraId="06CEE86B" w14:textId="572DC253" w:rsidR="00160CC4" w:rsidRPr="00CF31E0" w:rsidRDefault="00160CC4" w:rsidP="00603CB7">
      <w:pPr>
        <w:pStyle w:val="Paragraph"/>
        <w:rPr>
          <w:lang w:eastAsia="en-US"/>
        </w:rPr>
      </w:pPr>
      <w:r w:rsidRPr="00CF31E0">
        <w:rPr>
          <w:lang w:eastAsia="en-US"/>
        </w:rPr>
        <w:t xml:space="preserve">The literature presented above provides solid evidence that dialect research in Saudi dialects in general, and Hijazi dialects in particular, is mostly focused on the linguistic aspects of the dialects. In contrast, on the whole, language attitude research on the Hijazi dialects has </w:t>
      </w:r>
      <w:r w:rsidR="001E1EDC">
        <w:rPr>
          <w:lang w:eastAsia="en-US"/>
        </w:rPr>
        <w:t>received little attention</w:t>
      </w:r>
      <w:r w:rsidRPr="00CF31E0">
        <w:rPr>
          <w:lang w:eastAsia="en-US"/>
        </w:rPr>
        <w:t>. The present study bridges this gap in the literature by investigating language attitudes in Hijazi dialects. I have developed a methodology to obtain robust find</w:t>
      </w:r>
      <w:r w:rsidR="00601D12">
        <w:rPr>
          <w:lang w:eastAsia="en-US"/>
        </w:rPr>
        <w:t xml:space="preserve">ings through tapping into both </w:t>
      </w:r>
      <w:r w:rsidRPr="00CF31E0">
        <w:rPr>
          <w:lang w:eastAsia="en-US"/>
        </w:rPr>
        <w:t xml:space="preserve">overt and </w:t>
      </w:r>
      <w:r w:rsidR="00601D12">
        <w:rPr>
          <w:lang w:eastAsia="en-US"/>
        </w:rPr>
        <w:t>c</w:t>
      </w:r>
      <w:r w:rsidRPr="00CF31E0">
        <w:rPr>
          <w:lang w:eastAsia="en-US"/>
        </w:rPr>
        <w:t xml:space="preserve">overt stereotypical assumptions that might potentially be driven by the ideological nature of the social groups in Hijaz. </w:t>
      </w:r>
    </w:p>
    <w:p w14:paraId="6BFD672E" w14:textId="029D9E75" w:rsidR="00160CC4" w:rsidRPr="00CF31E0" w:rsidRDefault="00512FFD" w:rsidP="0061369D">
      <w:pPr>
        <w:pStyle w:val="Ahead"/>
        <w:rPr>
          <w:rFonts w:eastAsia="Times New Roman"/>
        </w:rPr>
      </w:pPr>
      <w:bookmarkStart w:id="172" w:name="_Toc411431477"/>
      <w:bookmarkStart w:id="173" w:name="_Toc512432013"/>
      <w:bookmarkStart w:id="174" w:name="_Toc512432204"/>
      <w:bookmarkStart w:id="175" w:name="_Toc6472643"/>
      <w:r w:rsidRPr="00CF31E0">
        <w:rPr>
          <w:rFonts w:eastAsia="Times New Roman"/>
        </w:rPr>
        <w:t>3</w:t>
      </w:r>
      <w:r w:rsidR="00A62A7A" w:rsidRPr="00CF31E0">
        <w:rPr>
          <w:rFonts w:eastAsia="Times New Roman"/>
        </w:rPr>
        <w:t>.4</w:t>
      </w:r>
      <w:r w:rsidR="00A62A7A" w:rsidRPr="00CF31E0">
        <w:rPr>
          <w:rFonts w:eastAsia="Times New Roman"/>
        </w:rPr>
        <w:tab/>
      </w:r>
      <w:r w:rsidR="00160CC4" w:rsidRPr="00CF31E0">
        <w:rPr>
          <w:rFonts w:eastAsia="Times New Roman"/>
        </w:rPr>
        <w:t>Conclusion</w:t>
      </w:r>
      <w:bookmarkEnd w:id="172"/>
      <w:bookmarkEnd w:id="173"/>
      <w:bookmarkEnd w:id="174"/>
      <w:bookmarkEnd w:id="175"/>
    </w:p>
    <w:p w14:paraId="736C4426" w14:textId="2CE13EA3" w:rsidR="00160CC4" w:rsidRPr="00CF31E0" w:rsidRDefault="00160CC4" w:rsidP="007353FC">
      <w:pPr>
        <w:pStyle w:val="Paragraph"/>
        <w:rPr>
          <w:lang w:eastAsia="en-US"/>
        </w:rPr>
      </w:pPr>
      <w:r w:rsidRPr="00CF31E0">
        <w:rPr>
          <w:lang w:eastAsia="en-US"/>
        </w:rPr>
        <w:t>This chapter has provided an ac</w:t>
      </w:r>
      <w:r w:rsidR="00FF5758" w:rsidRPr="00CF31E0">
        <w:rPr>
          <w:lang w:eastAsia="en-US"/>
        </w:rPr>
        <w:t>count</w:t>
      </w:r>
      <w:r w:rsidRPr="00CF31E0">
        <w:rPr>
          <w:lang w:eastAsia="en-US"/>
        </w:rPr>
        <w:t xml:space="preserve"> of the dialect situation in the Arabic world in general and SA in particular. The dialect</w:t>
      </w:r>
      <w:r w:rsidR="00732A2F">
        <w:rPr>
          <w:lang w:eastAsia="en-US"/>
        </w:rPr>
        <w:t xml:space="preserve"> classification</w:t>
      </w:r>
      <w:r w:rsidRPr="00CF31E0">
        <w:rPr>
          <w:lang w:eastAsia="en-US"/>
        </w:rPr>
        <w:t xml:space="preserve"> has been mainly affected by the urbanization process in the Middle East, where the society maintained its traditional culture when the modern civilization emerged. Tradition and modernity has affected the dialect situation in the region and led researchers to focus on either recording or describing linguistic aspects of the</w:t>
      </w:r>
      <w:r w:rsidR="00D17388">
        <w:rPr>
          <w:lang w:eastAsia="en-US"/>
        </w:rPr>
        <w:t xml:space="preserve"> old dialects and</w:t>
      </w:r>
      <w:r w:rsidRPr="00CF31E0">
        <w:rPr>
          <w:lang w:eastAsia="en-US"/>
        </w:rPr>
        <w:t xml:space="preserve"> newly emerging dialects or even investigating reasons for language variation and change. It is evident that language attitude research on the Arabic language is far less developed than in the Western dialectology tradition. The remaining questions that need to be investigated are how </w:t>
      </w:r>
      <w:r w:rsidR="007353FC">
        <w:rPr>
          <w:lang w:eastAsia="en-US"/>
        </w:rPr>
        <w:t xml:space="preserve">Hijazi </w:t>
      </w:r>
      <w:r w:rsidRPr="00CF31E0">
        <w:rPr>
          <w:lang w:eastAsia="en-US"/>
        </w:rPr>
        <w:t xml:space="preserve">people perceive traditional and new varieties in the region and how their perceptions are related to the historical, religious, social and economic changes that occurred in the region. </w:t>
      </w:r>
    </w:p>
    <w:p w14:paraId="10EF9794" w14:textId="404E20BC" w:rsidR="00160CC4" w:rsidRPr="00CF31E0" w:rsidRDefault="00160CC4" w:rsidP="00603CB7">
      <w:pPr>
        <w:pStyle w:val="Paragraph"/>
        <w:rPr>
          <w:lang w:eastAsia="en-US"/>
        </w:rPr>
      </w:pPr>
      <w:r w:rsidRPr="00CF31E0">
        <w:rPr>
          <w:lang w:eastAsia="en-US"/>
        </w:rPr>
        <w:lastRenderedPageBreak/>
        <w:t xml:space="preserve">I contend that investigating Hijazi attitudes towards Hijazi dialects is of invaluable benefit. Most significantly, in the light of the research reviewed in Chapter </w:t>
      </w:r>
      <w:r w:rsidR="00512FFD" w:rsidRPr="00CF31E0">
        <w:rPr>
          <w:lang w:eastAsia="en-US"/>
        </w:rPr>
        <w:t xml:space="preserve">2 </w:t>
      </w:r>
      <w:r w:rsidRPr="00CF31E0">
        <w:rPr>
          <w:lang w:eastAsia="en-US"/>
        </w:rPr>
        <w:t xml:space="preserve">and </w:t>
      </w:r>
      <w:r w:rsidR="00512FFD" w:rsidRPr="00CF31E0">
        <w:rPr>
          <w:lang w:eastAsia="en-US"/>
        </w:rPr>
        <w:t>3</w:t>
      </w:r>
      <w:r w:rsidRPr="00CF31E0">
        <w:rPr>
          <w:lang w:eastAsia="en-US"/>
        </w:rPr>
        <w:t xml:space="preserve">, it is important to ascertain to what extent the historical background of the Hijaz region, along with the urbanization process in the </w:t>
      </w:r>
      <w:r w:rsidR="00FF5758" w:rsidRPr="00CF31E0">
        <w:rPr>
          <w:lang w:eastAsia="en-US"/>
        </w:rPr>
        <w:t>count</w:t>
      </w:r>
      <w:r w:rsidRPr="00CF31E0">
        <w:rPr>
          <w:lang w:eastAsia="en-US"/>
        </w:rPr>
        <w:t xml:space="preserve">ry, affect the stereotype and ideology associated with Hijazi dialects. This can be revealed through a robust methodology that taps into overt and covert stereotypical assumptions towards dialects in the region. </w:t>
      </w:r>
    </w:p>
    <w:p w14:paraId="0F2FF77F" w14:textId="77777777" w:rsidR="00160CC4" w:rsidRPr="00CF31E0" w:rsidRDefault="00160CC4" w:rsidP="00160CC4">
      <w:pPr>
        <w:spacing w:line="360" w:lineRule="auto"/>
        <w:contextualSpacing/>
        <w:jc w:val="both"/>
        <w:rPr>
          <w:rFonts w:eastAsia="Times New Roman"/>
          <w:color w:val="000000" w:themeColor="text1"/>
          <w:lang w:eastAsia="en-US"/>
        </w:rPr>
        <w:sectPr w:rsidR="00160CC4" w:rsidRPr="00CF31E0" w:rsidSect="00603CB7">
          <w:footerReference w:type="even" r:id="rId22"/>
          <w:footerReference w:type="default" r:id="rId23"/>
          <w:pgSz w:w="11900" w:h="16840"/>
          <w:pgMar w:top="1440" w:right="2268" w:bottom="1440" w:left="2268" w:header="709" w:footer="709" w:gutter="0"/>
          <w:cols w:space="708"/>
          <w:docGrid w:linePitch="360"/>
        </w:sectPr>
      </w:pPr>
    </w:p>
    <w:p w14:paraId="7577D97A" w14:textId="4DC63B82" w:rsidR="00160CC4" w:rsidRPr="00CF31E0" w:rsidRDefault="00721923" w:rsidP="00603CB7">
      <w:pPr>
        <w:pStyle w:val="Title"/>
        <w:spacing w:after="500"/>
        <w:contextualSpacing w:val="0"/>
        <w:rPr>
          <w:rFonts w:eastAsia="Times New Roman"/>
          <w:color w:val="000000" w:themeColor="text1"/>
          <w:lang w:eastAsia="zh-CN"/>
        </w:rPr>
      </w:pPr>
      <w:bookmarkStart w:id="176" w:name="_Toc6472644"/>
      <w:r w:rsidRPr="00CF31E0">
        <w:rPr>
          <w:rFonts w:eastAsia="Times New Roman"/>
          <w:color w:val="000000" w:themeColor="text1"/>
          <w:lang w:eastAsia="zh-CN"/>
        </w:rPr>
        <w:lastRenderedPageBreak/>
        <w:t xml:space="preserve">Chapter </w:t>
      </w:r>
      <w:r w:rsidR="00512FFD" w:rsidRPr="00CF31E0">
        <w:rPr>
          <w:rFonts w:eastAsia="Times New Roman"/>
          <w:color w:val="000000" w:themeColor="text1"/>
          <w:lang w:eastAsia="zh-CN"/>
        </w:rPr>
        <w:t>4</w:t>
      </w:r>
      <w:r w:rsidRPr="00CF31E0">
        <w:rPr>
          <w:rFonts w:eastAsia="Times New Roman"/>
          <w:color w:val="000000" w:themeColor="text1"/>
          <w:lang w:eastAsia="zh-CN"/>
        </w:rPr>
        <w:t>:</w:t>
      </w:r>
      <w:r w:rsidR="00160CC4" w:rsidRPr="00CF31E0">
        <w:rPr>
          <w:rFonts w:eastAsia="Times New Roman"/>
          <w:color w:val="000000" w:themeColor="text1"/>
          <w:lang w:eastAsia="zh-CN"/>
        </w:rPr>
        <w:t xml:space="preserve"> Language attitudes research</w:t>
      </w:r>
      <w:bookmarkEnd w:id="176"/>
    </w:p>
    <w:p w14:paraId="33AB1B66" w14:textId="48E5C03E" w:rsidR="00160CC4" w:rsidRPr="00CF31E0" w:rsidRDefault="00512FFD" w:rsidP="00E87209">
      <w:pPr>
        <w:pStyle w:val="Ahead"/>
        <w:rPr>
          <w:rFonts w:eastAsia="Times New Roman"/>
        </w:rPr>
      </w:pPr>
      <w:bookmarkStart w:id="177" w:name="_Toc509646839"/>
      <w:bookmarkStart w:id="178" w:name="_Toc510004001"/>
      <w:bookmarkStart w:id="179" w:name="_Toc510025756"/>
      <w:bookmarkStart w:id="180" w:name="_Toc6472645"/>
      <w:r w:rsidRPr="00CF31E0">
        <w:rPr>
          <w:rFonts w:eastAsia="Times New Roman"/>
        </w:rPr>
        <w:t>4</w:t>
      </w:r>
      <w:r w:rsidR="00160CC4" w:rsidRPr="00CF31E0">
        <w:rPr>
          <w:rFonts w:eastAsia="Times New Roman"/>
        </w:rPr>
        <w:t>.1.</w:t>
      </w:r>
      <w:r w:rsidR="00FD5533" w:rsidRPr="00CF31E0">
        <w:rPr>
          <w:rFonts w:eastAsia="Times New Roman"/>
        </w:rPr>
        <w:tab/>
      </w:r>
      <w:r w:rsidR="00160CC4" w:rsidRPr="00CF31E0">
        <w:rPr>
          <w:rFonts w:eastAsia="Times New Roman"/>
        </w:rPr>
        <w:t>Introduction</w:t>
      </w:r>
      <w:bookmarkEnd w:id="177"/>
      <w:bookmarkEnd w:id="178"/>
      <w:bookmarkEnd w:id="179"/>
      <w:bookmarkEnd w:id="180"/>
    </w:p>
    <w:p w14:paraId="4646E621" w14:textId="74191933" w:rsidR="00160CC4" w:rsidRPr="00CF31E0" w:rsidRDefault="00160CC4" w:rsidP="00603CB7">
      <w:pPr>
        <w:pStyle w:val="Paragraph"/>
        <w:rPr>
          <w:lang w:eastAsia="zh-CN"/>
        </w:rPr>
      </w:pPr>
      <w:r w:rsidRPr="00CF31E0">
        <w:rPr>
          <w:lang w:eastAsia="zh-CN"/>
        </w:rPr>
        <w:t xml:space="preserve">This chapter reviews the </w:t>
      </w:r>
      <w:r w:rsidR="004C5412" w:rsidRPr="00CF31E0">
        <w:rPr>
          <w:lang w:eastAsia="zh-CN"/>
        </w:rPr>
        <w:t xml:space="preserve">research </w:t>
      </w:r>
      <w:r w:rsidR="00F01C6F" w:rsidRPr="00CF31E0">
        <w:rPr>
          <w:lang w:eastAsia="zh-CN"/>
        </w:rPr>
        <w:t xml:space="preserve">on </w:t>
      </w:r>
      <w:r w:rsidRPr="00CF31E0">
        <w:rPr>
          <w:lang w:eastAsia="zh-CN"/>
        </w:rPr>
        <w:t>“language regard”. Language regard is “a cover term for all approaches to the study of non-specialist belief about and reaction to language use, structure, diversification, history and status”</w:t>
      </w:r>
      <w:r w:rsidR="003E5724" w:rsidRPr="00CF31E0">
        <w:rPr>
          <w:lang w:eastAsia="zh-CN"/>
        </w:rPr>
        <w:t xml:space="preserve"> </w:t>
      </w:r>
      <w:r w:rsidRPr="00CF31E0">
        <w:rPr>
          <w:lang w:eastAsia="zh-CN"/>
        </w:rPr>
        <w:fldChar w:fldCharType="begin"/>
      </w:r>
      <w:r w:rsidR="00CD34CA" w:rsidRPr="00CF31E0">
        <w:rPr>
          <w:lang w:eastAsia="zh-CN"/>
        </w:rPr>
        <w:instrText xml:space="preserve"> ADDIN ZOTERO_ITEM CSL_CITATION {"citationID":"qVJexYeZ","properties":{"formattedCitation":"(D. R. Preston, 2011, p. 10)","plainCitation":"(D. R. Preston, 2011, p. 10)","dontUpdate":true,"noteIndex":0},"citationItems":[{"id":491,"uris":["http://zotero.org/users/1939618/items/U22UVHDG"],"uri":["http://zotero.org/users/1939618/items/U22UVHDG"],"itemData":{"id":491,"type":"article-journal","title":"The power of language regard - Discrimination, classification, comprehension, and production","container-title":"Dialectologia","page":"9–33","issue":"2","source":"find.shef.ac.uk","ISSN":"2013-2247","author":[{"family":"Preston","given":"D. R."}],"issued":{"date-parts":[["2011"]]}},"locator":"10","label":"page"}],"schema":"https://github.com/citation-style-language/schema/raw/master/csl-citation.json"} </w:instrText>
      </w:r>
      <w:r w:rsidRPr="00CF31E0">
        <w:rPr>
          <w:lang w:eastAsia="zh-CN"/>
        </w:rPr>
        <w:fldChar w:fldCharType="separate"/>
      </w:r>
      <w:r w:rsidRPr="00CF31E0">
        <w:rPr>
          <w:noProof/>
          <w:lang w:eastAsia="zh-CN"/>
        </w:rPr>
        <w:t>(Preston, 2011, p. 10)</w:t>
      </w:r>
      <w:r w:rsidRPr="00CF31E0">
        <w:rPr>
          <w:lang w:eastAsia="zh-CN"/>
        </w:rPr>
        <w:fldChar w:fldCharType="end"/>
      </w:r>
      <w:r w:rsidRPr="00CF31E0">
        <w:rPr>
          <w:lang w:eastAsia="zh-CN"/>
        </w:rPr>
        <w:t>. The approaches undertaken in the study of language regard are varied</w:t>
      </w:r>
      <w:r w:rsidR="004C5412" w:rsidRPr="00CF31E0">
        <w:rPr>
          <w:lang w:eastAsia="zh-CN"/>
        </w:rPr>
        <w:t>,</w:t>
      </w:r>
      <w:r w:rsidRPr="00CF31E0">
        <w:rPr>
          <w:lang w:eastAsia="zh-CN"/>
        </w:rPr>
        <w:t xml:space="preserve"> from language ideology, language attitudes </w:t>
      </w:r>
      <w:r w:rsidR="004C5412" w:rsidRPr="00CF31E0">
        <w:rPr>
          <w:lang w:eastAsia="zh-CN"/>
        </w:rPr>
        <w:t xml:space="preserve">to </w:t>
      </w:r>
      <w:r w:rsidRPr="00CF31E0">
        <w:rPr>
          <w:lang w:eastAsia="zh-CN"/>
        </w:rPr>
        <w:t xml:space="preserve">folk linguistics. </w:t>
      </w:r>
    </w:p>
    <w:p w14:paraId="28F7642B" w14:textId="32011530" w:rsidR="00160CC4" w:rsidRPr="00CF31E0" w:rsidRDefault="00160CC4" w:rsidP="00603CB7">
      <w:pPr>
        <w:pStyle w:val="Paragraph"/>
        <w:rPr>
          <w:lang w:eastAsia="zh-CN"/>
        </w:rPr>
      </w:pPr>
      <w:r w:rsidRPr="00CF31E0">
        <w:rPr>
          <w:lang w:eastAsia="zh-CN"/>
        </w:rPr>
        <w:t xml:space="preserve">In this chapter, my main concern is to review the relevant </w:t>
      </w:r>
      <w:r w:rsidR="004C5412" w:rsidRPr="00CF31E0">
        <w:rPr>
          <w:lang w:eastAsia="zh-CN"/>
        </w:rPr>
        <w:t xml:space="preserve">studies on </w:t>
      </w:r>
      <w:r w:rsidRPr="00CF31E0">
        <w:rPr>
          <w:lang w:eastAsia="zh-CN"/>
        </w:rPr>
        <w:t>language regard</w:t>
      </w:r>
      <w:r w:rsidR="004C5412" w:rsidRPr="00CF31E0">
        <w:rPr>
          <w:lang w:eastAsia="zh-CN"/>
        </w:rPr>
        <w:t>,</w:t>
      </w:r>
      <w:r w:rsidRPr="00CF31E0">
        <w:rPr>
          <w:lang w:eastAsia="zh-CN"/>
        </w:rPr>
        <w:t xml:space="preserve"> which covers research about language attitudes and how attitudes towards a dialect or a language might have </w:t>
      </w:r>
      <w:r w:rsidR="004C5412" w:rsidRPr="00CF31E0">
        <w:rPr>
          <w:lang w:eastAsia="zh-CN"/>
        </w:rPr>
        <w:t xml:space="preserve">a </w:t>
      </w:r>
      <w:r w:rsidRPr="00CF31E0">
        <w:rPr>
          <w:lang w:eastAsia="zh-CN"/>
        </w:rPr>
        <w:t xml:space="preserve">direct interaction with language production and language comprehension. The latter includes cognitive processes such as language attention, noticing, perception and classification </w:t>
      </w:r>
      <w:r w:rsidRPr="00CF31E0">
        <w:rPr>
          <w:lang w:eastAsia="zh-CN"/>
        </w:rPr>
        <w:fldChar w:fldCharType="begin"/>
      </w:r>
      <w:r w:rsidRPr="00CF31E0">
        <w:rPr>
          <w:lang w:eastAsia="zh-CN"/>
        </w:rPr>
        <w:instrText xml:space="preserve"> ADDIN ZOTERO_ITEM CSL_CITATION {"citationID":"pv1Lnow9","properties":{"formattedCitation":"(D. R. Preston, 2011)","plainCitation":"(D. R. Preston, 2011)","dontUpdate":true,"noteIndex":0},"citationItems":[{"id":491,"uris":["http://zotero.org/users/1939618/items/U22UVHDG"],"uri":["http://zotero.org/users/1939618/items/U22UVHDG"],"itemData":{"id":491,"type":"article-journal","title":"The power of language regard - Discrimination, classification, comprehension, and production","container-title":"Dialectologia","page":"9–33","issue":"2","source":"find.shef.ac.uk","ISSN":"2013-2247","author":[{"family":"Preston","given":"D. R."}],"issued":{"date-parts":[["2011"]]}}}],"schema":"https://github.com/citation-style-language/schema/raw/master/csl-citation.json"} </w:instrText>
      </w:r>
      <w:r w:rsidRPr="00CF31E0">
        <w:rPr>
          <w:lang w:eastAsia="zh-CN"/>
        </w:rPr>
        <w:fldChar w:fldCharType="separate"/>
      </w:r>
      <w:r w:rsidRPr="00CF31E0">
        <w:rPr>
          <w:noProof/>
          <w:lang w:eastAsia="zh-CN"/>
        </w:rPr>
        <w:t>(Preston, 2011, p.</w:t>
      </w:r>
      <w:r w:rsidR="006449C9" w:rsidRPr="00CF31E0">
        <w:rPr>
          <w:noProof/>
          <w:lang w:eastAsia="zh-CN"/>
        </w:rPr>
        <w:t xml:space="preserve"> </w:t>
      </w:r>
      <w:r w:rsidRPr="00CF31E0">
        <w:rPr>
          <w:noProof/>
          <w:lang w:eastAsia="zh-CN"/>
        </w:rPr>
        <w:t>9)</w:t>
      </w:r>
      <w:r w:rsidRPr="00CF31E0">
        <w:rPr>
          <w:lang w:eastAsia="zh-CN"/>
        </w:rPr>
        <w:fldChar w:fldCharType="end"/>
      </w:r>
      <w:r w:rsidRPr="00CF31E0">
        <w:rPr>
          <w:lang w:eastAsia="zh-CN"/>
        </w:rPr>
        <w:t xml:space="preserve">. </w:t>
      </w:r>
    </w:p>
    <w:p w14:paraId="35CA99D7" w14:textId="310CF872" w:rsidR="00160CC4" w:rsidRPr="00CF31E0" w:rsidRDefault="004C5412" w:rsidP="00603CB7">
      <w:pPr>
        <w:pStyle w:val="Paragraph"/>
        <w:rPr>
          <w:lang w:eastAsia="zh-CN"/>
        </w:rPr>
      </w:pPr>
      <w:r w:rsidRPr="00CF31E0">
        <w:rPr>
          <w:lang w:eastAsia="zh-CN"/>
        </w:rPr>
        <w:t>Regarding</w:t>
      </w:r>
      <w:r w:rsidR="00160CC4" w:rsidRPr="00CF31E0">
        <w:rPr>
          <w:lang w:eastAsia="zh-CN"/>
        </w:rPr>
        <w:t xml:space="preserve"> language attitudes, I will review the broad approaches found in the literature for studying attitudes towards language or language varieties </w:t>
      </w:r>
      <w:r w:rsidR="00160CC4" w:rsidRPr="00CF31E0">
        <w:rPr>
          <w:lang w:eastAsia="zh-CN"/>
        </w:rPr>
        <w:fldChar w:fldCharType="begin"/>
      </w:r>
      <w:r w:rsidR="00CD34CA" w:rsidRPr="00CF31E0">
        <w:rPr>
          <w:lang w:eastAsia="zh-CN"/>
        </w:rPr>
        <w:instrText xml:space="preserve"> ADDIN ZOTERO_ITEM CSL_CITATION {"citationID":"a24fkgag2eq","properties":{"formattedCitation":"(Garrett, 2010; Garrett, Williams, &amp; Evans, 2005a, 2005b)","plainCitation":"(Garrett, 2010; Garrett, Williams, &amp; Evans, 2005a, 2005b)","dontUpdate":true,"noteIndex":0},"citationItems":[{"id":29,"uris":["http://zotero.org/users/1939618/items/NF3PAHT2"],"uri":["http://zotero.org/users/1939618/items/NF3PAHT2"],"itemData":{"id":29,"type":"book","title":"Attitudes to Language","publisher":"Cambridge University Press","publisher-place":"New York, NY","number-of-pages":"269","source":"Google Books","event-place":"New York, NY","abstract":"Just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label":"page"},{"id":298,"uris":["http://zotero.org/users/1939618/items/VGGFH99T"],"uri":["http://zotero.org/users/1939618/items/VGGFH99T"],"itemData":{"id":298,"type":"article-journal","title":"Accessing social meanings: Values of keywords, values in keywords","container-title":"Acta Linguistica Hafniensia","page":"37–54","volume":"37","issue":"1","source":"Google Scholar","shortTitle":"Accessing social meanings","author":[{"family":"Garrett","given":"Peter"},{"family":"Williams","given":"Angie"},{"family":"Evans","given":"Betsy"}],"issued":{"date-parts":[["2005"]]}},"label":"page"},{"id":326,"uris":["http://zotero.org/users/1939618/items/CTAELXKB"],"uri":["http://zotero.org/users/1939618/items/CTAELXKB"],"itemData":{"id":326,"type":"article-journal","title":"Attitudinal data from New Zealand, Australia, the USA and UK about each other’s Englishes: Recent changes or consequences of methodologies?","container-title":"Multilingua","page":"211–235","volume":"24","issue":"3","source":"DeGruyter","abstract":"Recent attitudinal research by Bayard et al. (2001) suggested changes in the comparative evaluations of Australian, New Zealand, US and English Englishes, with US English on its way to becoming the preferred variety. We revisit these attitudes after a period of political change in the US, and using a research methodology in line with folklinguistic approaches to attitudes research (e. g. Preston 1996). Convenience samples of respondents in these four countries were asked to identify the countries where they knew English was spoken as a native language, and then quickly to write down their first reactions to those varieties. US English was viewed strikingly negatively in terms of its affective associations, and there were references to ‘excess’ from all respondent groups (e. g. overassertive, overenthusiastic). And, against expectations, the affective profile of English English was not overwhelmingly negative for all groups of respondents. We consider the results in relation to the findings and methods of the earlier studies, and also briefly consider the different statuses of these varieties in terms of the current discussion of late modernity and of different standard varieties (e. g. Kristiansen 2001b) serving different aspects of social life.","DOI":"10.1515/mult.2005.24.3.211","ISSN":"1613-3684","shortTitle":"Attitudinal data from New Zealand, Australia, the USA and UK about each other’s Englishes","author":[{"family":"Garrett","given":"Peter"},{"family":"Williams","given":"Angie"},{"family":"Evans","given":"Betsy"}],"issued":{"date-parts":[["2005"]]}},"label":"page"}],"schema":"https://github.com/citation-style-language/schema/raw/master/csl-citation.json"} </w:instrText>
      </w:r>
      <w:r w:rsidR="00160CC4" w:rsidRPr="00CF31E0">
        <w:rPr>
          <w:lang w:eastAsia="zh-CN"/>
        </w:rPr>
        <w:fldChar w:fldCharType="separate"/>
      </w:r>
      <w:r w:rsidR="00160CC4" w:rsidRPr="00CF31E0">
        <w:rPr>
          <w:noProof/>
          <w:lang w:eastAsia="zh-CN"/>
        </w:rPr>
        <w:t>(e.g. Garrett, 2010; Garrett</w:t>
      </w:r>
      <w:r w:rsidR="00746118" w:rsidRPr="00CF31E0">
        <w:rPr>
          <w:noProof/>
          <w:lang w:eastAsia="zh-CN"/>
        </w:rPr>
        <w:t xml:space="preserve"> et al.</w:t>
      </w:r>
      <w:r w:rsidR="00160CC4" w:rsidRPr="00CF31E0">
        <w:rPr>
          <w:noProof/>
          <w:lang w:eastAsia="zh-CN"/>
        </w:rPr>
        <w:t>, 2005a, 2005b)</w:t>
      </w:r>
      <w:r w:rsidR="00160CC4" w:rsidRPr="00CF31E0">
        <w:rPr>
          <w:lang w:eastAsia="zh-CN"/>
        </w:rPr>
        <w:fldChar w:fldCharType="end"/>
      </w:r>
      <w:r w:rsidR="00160CC4" w:rsidRPr="00CF31E0">
        <w:rPr>
          <w:lang w:eastAsia="zh-CN"/>
        </w:rPr>
        <w:t>. Then, I will take a closer look at how language or language varieties are presented in language attitude studies. The mode of presentation of language varieties mainly adopts either a conceptual or vocally</w:t>
      </w:r>
      <w:r w:rsidR="005D0894" w:rsidRPr="00CF31E0">
        <w:rPr>
          <w:lang w:eastAsia="zh-CN"/>
        </w:rPr>
        <w:t xml:space="preserve"> presented</w:t>
      </w:r>
      <w:r w:rsidR="00160CC4" w:rsidRPr="00CF31E0">
        <w:rPr>
          <w:lang w:eastAsia="zh-CN"/>
        </w:rPr>
        <w:t xml:space="preserve"> approach. This will be followed by an examination of the main methods in the field, together with its relative concerns. </w:t>
      </w:r>
    </w:p>
    <w:p w14:paraId="387CAD3D" w14:textId="01A65D98" w:rsidR="00160CC4" w:rsidRPr="00CF31E0" w:rsidRDefault="006708F5" w:rsidP="00603CB7">
      <w:pPr>
        <w:pStyle w:val="Paragraph"/>
        <w:rPr>
          <w:lang w:eastAsia="zh-CN"/>
        </w:rPr>
      </w:pPr>
      <w:r w:rsidRPr="00CF31E0">
        <w:rPr>
          <w:lang w:eastAsia="zh-CN"/>
        </w:rPr>
        <w:t xml:space="preserve">In terms of </w:t>
      </w:r>
      <w:r w:rsidR="00160CC4" w:rsidRPr="00CF31E0">
        <w:rPr>
          <w:lang w:eastAsia="zh-CN"/>
        </w:rPr>
        <w:t xml:space="preserve">language perceptions, first, I will review the work </w:t>
      </w:r>
      <w:r w:rsidR="004C5412" w:rsidRPr="00CF31E0">
        <w:rPr>
          <w:lang w:eastAsia="zh-CN"/>
        </w:rPr>
        <w:t xml:space="preserve">on </w:t>
      </w:r>
      <w:r w:rsidR="00160CC4" w:rsidRPr="00CF31E0">
        <w:rPr>
          <w:lang w:eastAsia="zh-CN"/>
        </w:rPr>
        <w:t xml:space="preserve">perceptual dialectology and how it informed the language attitude approach </w:t>
      </w:r>
      <w:r w:rsidR="004C5412" w:rsidRPr="00CF31E0">
        <w:rPr>
          <w:lang w:eastAsia="zh-CN"/>
        </w:rPr>
        <w:t xml:space="preserve">adopted </w:t>
      </w:r>
      <w:r w:rsidR="00160CC4" w:rsidRPr="00CF31E0">
        <w:rPr>
          <w:lang w:eastAsia="zh-CN"/>
        </w:rPr>
        <w:t xml:space="preserve">in the present study. Second, I will review the main </w:t>
      </w:r>
      <w:r w:rsidR="004C5412" w:rsidRPr="00CF31E0">
        <w:rPr>
          <w:lang w:eastAsia="zh-CN"/>
        </w:rPr>
        <w:t xml:space="preserve">research </w:t>
      </w:r>
      <w:r w:rsidR="00160CC4" w:rsidRPr="00CF31E0">
        <w:rPr>
          <w:lang w:eastAsia="zh-CN"/>
        </w:rPr>
        <w:t xml:space="preserve">that has investigated perceptions of speech sounds, and how they can be affected by social information. Overall, research </w:t>
      </w:r>
      <w:r w:rsidR="004C5412" w:rsidRPr="00CF31E0">
        <w:rPr>
          <w:lang w:eastAsia="zh-CN"/>
        </w:rPr>
        <w:t xml:space="preserve">on </w:t>
      </w:r>
      <w:r w:rsidR="00160CC4" w:rsidRPr="00CF31E0">
        <w:rPr>
          <w:lang w:eastAsia="zh-CN"/>
        </w:rPr>
        <w:t>language regard will inform the present study by distinguishing what has been done from what needs to be done.</w:t>
      </w:r>
    </w:p>
    <w:p w14:paraId="5989DF5C" w14:textId="66614FC2" w:rsidR="00160CC4" w:rsidRPr="00CF31E0" w:rsidRDefault="009B0A98" w:rsidP="0061369D">
      <w:pPr>
        <w:pStyle w:val="Ahead"/>
        <w:rPr>
          <w:rFonts w:eastAsia="Times New Roman"/>
        </w:rPr>
      </w:pPr>
      <w:bookmarkStart w:id="181" w:name="_Toc509646840"/>
      <w:bookmarkStart w:id="182" w:name="_Toc510004002"/>
      <w:bookmarkStart w:id="183" w:name="_Toc510025757"/>
      <w:bookmarkStart w:id="184" w:name="_Toc6472646"/>
      <w:r w:rsidRPr="00CF31E0">
        <w:rPr>
          <w:rFonts w:eastAsia="Times New Roman"/>
        </w:rPr>
        <w:lastRenderedPageBreak/>
        <w:t>4</w:t>
      </w:r>
      <w:r w:rsidR="00160CC4" w:rsidRPr="00CF31E0">
        <w:rPr>
          <w:rFonts w:eastAsia="Times New Roman"/>
        </w:rPr>
        <w:t>.2.</w:t>
      </w:r>
      <w:r w:rsidR="00FD5533" w:rsidRPr="00CF31E0">
        <w:rPr>
          <w:rFonts w:eastAsia="Times New Roman"/>
        </w:rPr>
        <w:tab/>
      </w:r>
      <w:r w:rsidR="00160CC4" w:rsidRPr="00CF31E0">
        <w:rPr>
          <w:rFonts w:eastAsia="Times New Roman"/>
        </w:rPr>
        <w:t>Defining attitude</w:t>
      </w:r>
      <w:bookmarkEnd w:id="181"/>
      <w:bookmarkEnd w:id="182"/>
      <w:bookmarkEnd w:id="183"/>
      <w:bookmarkEnd w:id="184"/>
      <w:r w:rsidR="00160CC4" w:rsidRPr="00CF31E0">
        <w:rPr>
          <w:rFonts w:eastAsia="Times New Roman"/>
        </w:rPr>
        <w:t xml:space="preserve"> </w:t>
      </w:r>
    </w:p>
    <w:p w14:paraId="194AA344" w14:textId="6815A4BB" w:rsidR="00160CC4" w:rsidRPr="00CF31E0" w:rsidRDefault="00160CC4" w:rsidP="00603CB7">
      <w:pPr>
        <w:pStyle w:val="Paragraph"/>
        <w:rPr>
          <w:lang w:eastAsia="zh-CN"/>
        </w:rPr>
      </w:pPr>
      <w:r w:rsidRPr="00CF31E0">
        <w:rPr>
          <w:lang w:eastAsia="zh-CN"/>
        </w:rPr>
        <w:t xml:space="preserve">Attitude has been a core concept in social psychology </w:t>
      </w:r>
      <w:r w:rsidRPr="00CF31E0">
        <w:rPr>
          <w:lang w:eastAsia="zh-CN"/>
        </w:rPr>
        <w:fldChar w:fldCharType="begin"/>
      </w:r>
      <w:r w:rsidRPr="00CF31E0">
        <w:rPr>
          <w:lang w:eastAsia="zh-CN"/>
        </w:rPr>
        <w:instrText xml:space="preserve"> ADDIN ZOTERO_ITEM CSL_CITATION {"citationID":"a1vg741ba21","properties":{"formattedCitation":"(Perloff, 1993)","plainCitation":"(Perloff, 1993)","noteIndex":0},"citationItems":[{"id":348,"uris":["http://zotero.org/users/1939618/items/XSM65CEL"],"uri":["http://zotero.org/users/1939618/items/XSM65CEL"],"itemData":{"id":348,"type":"book","title":"Communication textbook series. General communication theory and methodology. The dynamics of persuasion.","publisher":"Lawrence Erlbaum Associates, Inc.","publisher-place":"Hillsdale, NJ, US","event-place":"Hillsdale, NJ, US","author":[{"family":"Perloff","given":"R. M."}],"issued":{"date-parts":[["1993"]]}}}],"schema":"https://github.com/citation-style-language/schema/raw/master/csl-citation.json"} </w:instrText>
      </w:r>
      <w:r w:rsidRPr="00CF31E0">
        <w:rPr>
          <w:lang w:eastAsia="zh-CN"/>
        </w:rPr>
        <w:fldChar w:fldCharType="separate"/>
      </w:r>
      <w:r w:rsidRPr="00CF31E0">
        <w:rPr>
          <w:noProof/>
          <w:lang w:eastAsia="zh-CN"/>
        </w:rPr>
        <w:t>(Perloff, 1993)</w:t>
      </w:r>
      <w:r w:rsidRPr="00CF31E0">
        <w:rPr>
          <w:lang w:eastAsia="zh-CN"/>
        </w:rPr>
        <w:fldChar w:fldCharType="end"/>
      </w:r>
      <w:r w:rsidRPr="00CF31E0">
        <w:rPr>
          <w:lang w:eastAsia="zh-CN"/>
        </w:rPr>
        <w:t xml:space="preserve">, and gained much more interest among sociolinguists when </w:t>
      </w:r>
      <w:r w:rsidRPr="00CF31E0">
        <w:rPr>
          <w:lang w:eastAsia="zh-CN"/>
        </w:rPr>
        <w:fldChar w:fldCharType="begin"/>
      </w:r>
      <w:r w:rsidR="00A54129" w:rsidRPr="00CF31E0">
        <w:rPr>
          <w:lang w:eastAsia="zh-CN"/>
        </w:rPr>
        <w:instrText xml:space="preserve"> ADDIN ZOTERO_ITEM CSL_CITATION {"citationID":"a4porlr1vb","properties":{"formattedCitation":"(Labov, 1966)","plainCitation":"(Labov, 1966)","dontUpdate":true,"noteIndex":0},"citationItems":[{"id":350,"uris":["http://zotero.org/users/1939618/items/863XHPZF"],"uri":["http://zotero.org/users/1939618/items/863XHPZF"],"itemData":{"id":350,"type":"book","title":"The social stratification of English in New York City.","collection-title":"Urban language series","publisher":"Center for Applied Linguistics","publisher-place":"(Washington, D.C.)","source":"find.shef.ac.uk","event-place":"(Washington, D.C.)","call-number":"427.973 (L)","language":"eng","author":[{"family":"Labov","given":"William"}],"issued":{"date-parts":[["1982"]]}}}],"schema":"https://github.com/citation-style-language/schema/raw/master/csl-citation.json"} </w:instrText>
      </w:r>
      <w:r w:rsidRPr="00CF31E0">
        <w:rPr>
          <w:lang w:eastAsia="zh-CN"/>
        </w:rPr>
        <w:fldChar w:fldCharType="separate"/>
      </w:r>
      <w:r w:rsidRPr="00CF31E0">
        <w:rPr>
          <w:noProof/>
          <w:lang w:eastAsia="zh-CN"/>
        </w:rPr>
        <w:t>Labov (1966)</w:t>
      </w:r>
      <w:r w:rsidRPr="00CF31E0">
        <w:rPr>
          <w:lang w:eastAsia="zh-CN"/>
        </w:rPr>
        <w:fldChar w:fldCharType="end"/>
      </w:r>
      <w:r w:rsidRPr="00CF31E0">
        <w:rPr>
          <w:lang w:eastAsia="zh-CN"/>
        </w:rPr>
        <w:t xml:space="preserve"> initiated his research on the social stratification of speech communities. Labov (1966) investigated how the change in the New York City social structure had strongly affected the New York City dialect and attitudes towards it. Since then, attitude has been treated as a “core concept in sociolinguistics” </w:t>
      </w:r>
      <w:r w:rsidRPr="00CF31E0">
        <w:rPr>
          <w:lang w:eastAsia="zh-CN"/>
        </w:rPr>
        <w:fldChar w:fldCharType="begin"/>
      </w:r>
      <w:r w:rsidR="00CD34CA" w:rsidRPr="00CF31E0">
        <w:rPr>
          <w:lang w:eastAsia="zh-CN"/>
        </w:rPr>
        <w:instrText xml:space="preserve"> ADDIN ZOTERO_ITEM CSL_CITATION {"citationID":"x3RoUKvb","properties":{"formattedCitation":"(Garrett, 2010, p. 19)","plainCitation":"(Garrett, 2010, p. 19)","noteIndex":0},"citationItems":[{"id":29,"uris":["http://zotero.org/users/1939618/items/NF3PAHT2"],"uri":["http://zotero.org/users/1939618/items/NF3PAHT2"],"itemData":{"id":29,"type":"book","title":"Attitudes to Language","publisher":"Cambridge University Press","publisher-place":"New York, NY","number-of-pages":"269","source":"Google Books","event-place":"New York, NY","abstract":"Just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behaviour.","ISBN":"978-1-139-48682-8","language":"en","author":[{"family":"Garrett","given":"Peter"}],"issued":{"date-parts":[["2010",4,8]]}},"locator":"19","label":"page"}],"schema":"https://github.com/citation-style-language/schema/raw/master/csl-citation.json"} </w:instrText>
      </w:r>
      <w:r w:rsidRPr="00CF31E0">
        <w:rPr>
          <w:lang w:eastAsia="zh-CN"/>
        </w:rPr>
        <w:fldChar w:fldCharType="separate"/>
      </w:r>
      <w:r w:rsidRPr="00CF31E0">
        <w:rPr>
          <w:lang w:eastAsia="zh-CN"/>
        </w:rPr>
        <w:t>(Garrett, 2010, p. 19)</w:t>
      </w:r>
      <w:r w:rsidRPr="00CF31E0">
        <w:rPr>
          <w:lang w:eastAsia="zh-CN"/>
        </w:rPr>
        <w:fldChar w:fldCharType="end"/>
      </w:r>
      <w:r w:rsidRPr="00CF31E0">
        <w:rPr>
          <w:lang w:eastAsia="zh-CN"/>
        </w:rPr>
        <w:t xml:space="preserve"> because peoples’ attitudes towards language play a significant role in the language change process </w:t>
      </w:r>
      <w:r w:rsidRPr="00CF31E0">
        <w:rPr>
          <w:lang w:eastAsia="zh-CN"/>
        </w:rPr>
        <w:fldChar w:fldCharType="begin"/>
      </w:r>
      <w:r w:rsidR="00CD34CA" w:rsidRPr="00CF31E0">
        <w:rPr>
          <w:lang w:eastAsia="zh-CN"/>
        </w:rPr>
        <w:instrText xml:space="preserve"> ADDIN ZOTERO_ITEM CSL_CITATION {"citationID":"avjrklc285","properties":{"formattedCitation":"(Labov, 1972; Dennis R. Preston, 1999a)","plainCitation":"(Labov, 1972; Dennis R. Preston, 1999a)","dontUpdate":true,"noteIndex":0},"citationItems":[{"id":233,"uris":["http://zotero.org/users/1939618/items/2GMT5P85"],"uri":["http://zotero.org/users/1939618/items/2GMT5P85"],"itemData":{"id":233,"type":"book","title":"Sociolinguistic patterns","collection-number":"4","publisher":"University of Pennsylvania Press","publisher-place":"Philadelphia","source":"Google Scholar","event-place":"Philadelphia","URL":"https://books.google.co.uk/books?hl=en&amp;lr=&amp;id=hD0PNMu8CfQC&amp;oi=fnd&amp;pg=PR10&amp;dq=sociolinguistic+patterns,+william+labov&amp;ots=1e6cvbmkz0&amp;sig=KYWYRdrH3Vnc8s7ge-9XCfKT9jc","author":[{"family":"Labov","given":"William"}],"issued":{"date-parts":[["1972"]]},"accessed":{"date-parts":[["2017",5,17]]}},"label":"page"},{"id":240,"uris":["http://zotero.org/users/1939618/items/TF8GPXHH"],"uri":["http://zotero.org/users/1939618/items/TF8GPXHH"],"itemData":{"id":240,"type":"chapter","title":"A language attitude approach to the perception of regional variety","container-title":"Handbook of perceptual dialectology","page":"359–374","volume":"1","source":"Google Scholar","author":[{"family":"Preston","given":"Dennis R."}],"issued":{"date-parts":[["1999"]]}},"label":"page"}],"schema":"https://github.com/citation-style-language/schema/raw/master/csl-citation.json"} </w:instrText>
      </w:r>
      <w:r w:rsidRPr="00CF31E0">
        <w:rPr>
          <w:lang w:eastAsia="zh-CN"/>
        </w:rPr>
        <w:fldChar w:fldCharType="separate"/>
      </w:r>
      <w:r w:rsidRPr="00CF31E0">
        <w:rPr>
          <w:noProof/>
          <w:lang w:eastAsia="zh-CN"/>
        </w:rPr>
        <w:t>(Labov, 1972; Preston, 1999a)</w:t>
      </w:r>
      <w:r w:rsidRPr="00CF31E0">
        <w:rPr>
          <w:lang w:eastAsia="zh-CN"/>
        </w:rPr>
        <w:fldChar w:fldCharType="end"/>
      </w:r>
      <w:r w:rsidRPr="00CF31E0">
        <w:rPr>
          <w:lang w:eastAsia="zh-CN"/>
        </w:rPr>
        <w:t xml:space="preserve">. For example, </w:t>
      </w:r>
      <w:r w:rsidRPr="00CF31E0">
        <w:rPr>
          <w:lang w:eastAsia="zh-CN"/>
        </w:rPr>
        <w:fldChar w:fldCharType="begin"/>
      </w:r>
      <w:r w:rsidR="00CD34CA" w:rsidRPr="00CF31E0">
        <w:rPr>
          <w:lang w:eastAsia="zh-CN"/>
        </w:rPr>
        <w:instrText xml:space="preserve"> ADDIN ZOTERO_ITEM CSL_CITATION {"citationID":"eyZSHQPX","properties":{"formattedCitation":"(Kristiansen, 2009)","plainCitation":"(Kristiansen, 2009)","dontUpdate":true,"noteIndex":0},"citationItems":[{"id":482,"uris":["http://zotero.org/users/1939618/items/8I7GNAP9"],"uri":["http://zotero.org/users/1939618/items/8I7GNAP9"],"itemData":{"id":482,"type":"article-journal","title":"The macro-level social meanings of late-modern Danish accents","container-title":"Acta Linguistica Hafniensia","page":"167-192","volume":"41","issue":"1","source":"Taylor and Francis+NEJM","abstract":"The paper reports on the main findings of the LANCHART language attitudes studies. These studies were designed to falsify (or modify) the picture of adolescent language ideology – and its role in language change – that had emerged from previous sociolinguistic studies in Denmark. This picture is formulated as three hypotheses: (1) There are two value systems at two levels of consciousness, (2) Language change is governed by subconscious values, (3) Copenhagen is Denmark's only linguistic norm centre. Following strict guidelines for data collection among 9th graders (aged 15–16) in Copenhagen, Næstved, Vissenbjerg, Odder, and Vinderup we obtained subconsciously offered attitudes that could be compared with consciously offered attitudes. The results neither falsify nor modify the established picture but strongly confirm it.","DOI":"10.1080/03740460903364219","ISSN":"0374-0463","author":[{"family":"Kristiansen","given":"Tore"}],"issued":{"date-parts":[["2009",11,1]]}}}],"schema":"https://github.com/citation-style-language/schema/raw/master/csl-citation.json"} </w:instrText>
      </w:r>
      <w:r w:rsidRPr="00CF31E0">
        <w:rPr>
          <w:lang w:eastAsia="zh-CN"/>
        </w:rPr>
        <w:fldChar w:fldCharType="separate"/>
      </w:r>
      <w:r w:rsidRPr="00CF31E0">
        <w:rPr>
          <w:noProof/>
          <w:lang w:eastAsia="zh-CN"/>
        </w:rPr>
        <w:t xml:space="preserve">Kristiansen </w:t>
      </w:r>
      <w:r w:rsidR="00205CB0" w:rsidRPr="00CF31E0">
        <w:rPr>
          <w:noProof/>
          <w:lang w:eastAsia="zh-CN"/>
        </w:rPr>
        <w:t>(</w:t>
      </w:r>
      <w:r w:rsidRPr="00CF31E0">
        <w:rPr>
          <w:noProof/>
          <w:lang w:eastAsia="zh-CN"/>
        </w:rPr>
        <w:t>2009)</w:t>
      </w:r>
      <w:r w:rsidRPr="00CF31E0">
        <w:rPr>
          <w:lang w:eastAsia="zh-CN"/>
        </w:rPr>
        <w:fldChar w:fldCharType="end"/>
      </w:r>
      <w:r w:rsidRPr="00CF31E0">
        <w:rPr>
          <w:lang w:eastAsia="zh-CN"/>
        </w:rPr>
        <w:t xml:space="preserve"> studied attitudes towards language varieties in Denmark</w:t>
      </w:r>
      <w:r w:rsidR="00205CB0" w:rsidRPr="00CF31E0">
        <w:rPr>
          <w:lang w:eastAsia="zh-CN"/>
        </w:rPr>
        <w:t>,</w:t>
      </w:r>
      <w:r w:rsidRPr="00CF31E0">
        <w:rPr>
          <w:lang w:eastAsia="zh-CN"/>
        </w:rPr>
        <w:t xml:space="preserve"> which pointed </w:t>
      </w:r>
      <w:r w:rsidR="00205CB0" w:rsidRPr="00CF31E0">
        <w:rPr>
          <w:lang w:eastAsia="zh-CN"/>
        </w:rPr>
        <w:t xml:space="preserve">to </w:t>
      </w:r>
      <w:r w:rsidRPr="00CF31E0">
        <w:rPr>
          <w:lang w:eastAsia="zh-CN"/>
        </w:rPr>
        <w:t xml:space="preserve">a pattern where language variation and change in Denmark was directed by subconscious attitudes and beliefs in the </w:t>
      </w:r>
      <w:r w:rsidR="00466EE2" w:rsidRPr="00CF31E0">
        <w:rPr>
          <w:lang w:eastAsia="zh-CN"/>
        </w:rPr>
        <w:t>count</w:t>
      </w:r>
      <w:r w:rsidRPr="00CF31E0">
        <w:rPr>
          <w:lang w:eastAsia="zh-CN"/>
        </w:rPr>
        <w:t xml:space="preserve">ry. </w:t>
      </w:r>
    </w:p>
    <w:p w14:paraId="5F662F2F" w14:textId="415E3CED" w:rsidR="00160CC4" w:rsidRPr="00CF31E0" w:rsidRDefault="00160CC4" w:rsidP="00603CB7">
      <w:pPr>
        <w:pStyle w:val="Paragraph"/>
        <w:rPr>
          <w:lang w:eastAsia="zh-CN"/>
        </w:rPr>
      </w:pPr>
      <w:r w:rsidRPr="00CF31E0">
        <w:rPr>
          <w:lang w:eastAsia="zh-CN"/>
        </w:rPr>
        <w:t xml:space="preserve">Although attitude is widely researched in social psychology and sociolinguistics, “defining the concept is by no means straightforward” </w:t>
      </w:r>
      <w:r w:rsidRPr="00CF31E0">
        <w:rPr>
          <w:lang w:eastAsia="zh-CN"/>
        </w:rPr>
        <w:fldChar w:fldCharType="begin"/>
      </w:r>
      <w:r w:rsidR="00CD34CA" w:rsidRPr="00CF31E0">
        <w:rPr>
          <w:lang w:eastAsia="zh-CN"/>
        </w:rPr>
        <w:instrText xml:space="preserve"> ADDIN ZOTERO_ITEM CSL_CITATION {"citationID":"kwdFLVhW","properties":{"formattedCitation":"(Garrett, Coupland, &amp; Williams, 2003, p. 2)","plainCitation":"(Garrett, Coupland, &amp; Williams, 2003, p. 2)","noteIndex":0},"citationItems":[{"id":311,"uris":["http://zotero.org/users/1939618/items/UQ7HLIBB"],"uri":["http://zotero.org/users/1939618/items/UQ7HLIBB"],"itemData":{"id":311,"type":"book","title":"Investigating language attitudes [electronic resource]: social meanings of dialect, ethnicity and performance","publisher":"University of Wales Press","publisher-place":"Cardiff","number-of-pages":"x+251","source":"find.shef.ac.uk","event-place":"Cardiff","URL":"https://www.dawsonera.com/guard/protected/dawson.jsp?name=https://idp.shef.ac.uk/shibboleth&amp;dest=http://www.dawsonera.com/depp/reader/protected/external/AbstractView/S9781783162086","ISBN":"978-1-78316-208-6","shortTitle":"Investigating language attitudes [electronic resource]","language":"eng","author":[{"family":"Garrett","given":"Peter"},{"family":"Coupland","given":"Nikolas"},{"family":"Williams","given":"Angie"}],"issued":{"date-parts":[["2003"]]},"accessed":{"date-parts":[["2018",1,8]]}},"locator":"2","label":"page"}],"schema":"https://github.com/citation-style-language/schema/raw/master/csl-citation.json"} </w:instrText>
      </w:r>
      <w:r w:rsidRPr="00CF31E0">
        <w:rPr>
          <w:lang w:eastAsia="zh-CN"/>
        </w:rPr>
        <w:fldChar w:fldCharType="separate"/>
      </w:r>
      <w:r w:rsidRPr="00CF31E0">
        <w:rPr>
          <w:noProof/>
          <w:lang w:eastAsia="zh-CN"/>
        </w:rPr>
        <w:t>(Garrett, Coupland, &amp; Williams, 2003, p. 2)</w:t>
      </w:r>
      <w:r w:rsidRPr="00CF31E0">
        <w:rPr>
          <w:lang w:eastAsia="zh-CN"/>
        </w:rPr>
        <w:fldChar w:fldCharType="end"/>
      </w:r>
      <w:r w:rsidRPr="00CF31E0">
        <w:rPr>
          <w:lang w:eastAsia="zh-CN"/>
        </w:rPr>
        <w:t xml:space="preserve">. Many researchers in various fields, including psychology and sociology, have attempted to define the concept of “attitude”. Among these researchers, </w:t>
      </w:r>
      <w:r w:rsidRPr="00CF31E0">
        <w:rPr>
          <w:lang w:eastAsia="zh-CN"/>
        </w:rPr>
        <w:fldChar w:fldCharType="begin"/>
      </w:r>
      <w:r w:rsidRPr="00CF31E0">
        <w:rPr>
          <w:lang w:eastAsia="zh-CN"/>
        </w:rPr>
        <w:instrText xml:space="preserve"> ADDIN ZOTERO_ITEM CSL_CITATION {"citationID":"a1796nefsfe","properties":{"formattedCitation":"(B. Oppenheim, 1982)","plainCitation":"(B. Oppenheim, 1982)","dontUpdate":true,"noteIndex":0},"citationItems":[{"id":351,"uris":["http://zotero.org/users/1939618/items/6QJDLHPK"],"uri":["http://zotero.org/users/1939618/items/6QJDLHPK"],"itemData":{"id":351,"type":"chapter","title":"An exercise in attitude measurement","container-title":"Social Psychology","publisher":"Springer","page":"38–56","source":"Google Scholar","author":[{"family":"Oppenheim","given":"Bram"}],"issued":{"date-parts":[["1982"]]}}}],"schema":"https://github.com/citation-style-language/schema/raw/master/csl-citation.json"} </w:instrText>
      </w:r>
      <w:r w:rsidRPr="00CF31E0">
        <w:rPr>
          <w:lang w:eastAsia="zh-CN"/>
        </w:rPr>
        <w:fldChar w:fldCharType="separate"/>
      </w:r>
      <w:r w:rsidRPr="00CF31E0">
        <w:rPr>
          <w:noProof/>
          <w:lang w:eastAsia="zh-CN"/>
        </w:rPr>
        <w:t>Oppenheim (1982, p. 39)</w:t>
      </w:r>
      <w:r w:rsidRPr="00CF31E0">
        <w:rPr>
          <w:lang w:eastAsia="zh-CN"/>
        </w:rPr>
        <w:fldChar w:fldCharType="end"/>
      </w:r>
      <w:r w:rsidRPr="00CF31E0">
        <w:rPr>
          <w:lang w:eastAsia="zh-CN"/>
        </w:rPr>
        <w:t xml:space="preserve"> defines attitude by providing an ac</w:t>
      </w:r>
      <w:r w:rsidR="009A1FA1" w:rsidRPr="00CF31E0">
        <w:rPr>
          <w:lang w:eastAsia="zh-CN"/>
        </w:rPr>
        <w:t>count</w:t>
      </w:r>
      <w:r w:rsidRPr="00CF31E0">
        <w:rPr>
          <w:lang w:eastAsia="zh-CN"/>
        </w:rPr>
        <w:t xml:space="preserve"> of what is an attitude, why attitude is difficult to define, and how attitude can be observed; thus, an attitude is: </w:t>
      </w:r>
    </w:p>
    <w:p w14:paraId="6E2D02DA" w14:textId="0396A54B" w:rsidR="00160CC4" w:rsidRPr="00CF31E0" w:rsidRDefault="00160CC4" w:rsidP="00603CB7">
      <w:pPr>
        <w:pStyle w:val="Extract"/>
        <w:rPr>
          <w:lang w:eastAsia="zh-CN"/>
        </w:rPr>
      </w:pPr>
      <w:r w:rsidRPr="00CF31E0">
        <w:rPr>
          <w:lang w:eastAsia="zh-CN"/>
        </w:rPr>
        <w:t xml:space="preserve">a construct, an obstruction which cannot be directly apprehended. It is an inner component of mental life which expresses itself, directly or indirectly, through such more obvious processes as stereotypes, beliefs, verbal statements or reactions, ideas and opinions, selective recall, anger or satisfaction or some other emotion and in various other aspects of </w:t>
      </w:r>
      <w:r w:rsidR="009220CA" w:rsidRPr="00CF31E0">
        <w:rPr>
          <w:lang w:eastAsia="zh-CN"/>
        </w:rPr>
        <w:t>behavior</w:t>
      </w:r>
      <w:r w:rsidRPr="00CF31E0">
        <w:rPr>
          <w:lang w:eastAsia="zh-CN"/>
        </w:rPr>
        <w:t xml:space="preserve">. </w:t>
      </w:r>
    </w:p>
    <w:p w14:paraId="4FD34ACC" w14:textId="77777777" w:rsidR="00160CC4" w:rsidRPr="00CF31E0" w:rsidRDefault="00160CC4" w:rsidP="00603CB7">
      <w:pPr>
        <w:pStyle w:val="Paragraph"/>
        <w:rPr>
          <w:lang w:eastAsia="zh-CN"/>
        </w:rPr>
      </w:pPr>
      <w:r w:rsidRPr="00CF31E0">
        <w:rPr>
          <w:lang w:eastAsia="zh-CN"/>
        </w:rPr>
        <w:t xml:space="preserve">The above definition implies that attitude is a psychological construct which has an inherited and intangible latent nature. Therefore, it can only be observed via its behavioural outcomes, through which one can observe others’ attitudes towards a specific object.  </w:t>
      </w:r>
      <w:r w:rsidRPr="00CF31E0">
        <w:rPr>
          <w:vanish/>
          <w:lang w:eastAsia="zh-CN"/>
        </w:rPr>
        <w:t xml:space="preserve"> </w:t>
      </w:r>
    </w:p>
    <w:p w14:paraId="77E959A2" w14:textId="59409370" w:rsidR="00160CC4" w:rsidRPr="00CF31E0" w:rsidRDefault="00160CC4" w:rsidP="00603CB7">
      <w:pPr>
        <w:pStyle w:val="Paragraph"/>
        <w:rPr>
          <w:lang w:eastAsia="zh-CN"/>
        </w:rPr>
      </w:pPr>
      <w:r w:rsidRPr="00CF31E0">
        <w:rPr>
          <w:lang w:eastAsia="zh-CN"/>
        </w:rPr>
        <w:lastRenderedPageBreak/>
        <w:t xml:space="preserve">Oppenheim’s definition points to the structure of an attitude, indicating that there are three components of attitude: cognition, affect, and behaviour </w:t>
      </w:r>
      <w:r w:rsidRPr="00CF31E0">
        <w:rPr>
          <w:lang w:eastAsia="zh-CN"/>
        </w:rPr>
        <w:fldChar w:fldCharType="begin"/>
      </w:r>
      <w:r w:rsidR="00CD34CA" w:rsidRPr="00CF31E0">
        <w:rPr>
          <w:lang w:eastAsia="zh-CN"/>
        </w:rPr>
        <w:instrText xml:space="preserve"> ADDIN ZOTERO_ITEM CSL_CITATION {"citationID":"a1nfd5b5mnn","properties":{"formattedCitation":"(Garrett, 2010; Garrett et al., 2003; Kristiansen et al., 2005)","plainCitation":"(Garrett, 2010; Garrett et al., 2003; Kristiansen et al., 2005)","noteIndex":0},"citationItems":[{"id":29,"uris":["http://zotero.org/users/1939618/items/NF3PAHT2"],"uri":["http://zotero.org/users/1939618/items/NF3PAHT2"],"itemData":{"id":29,"type":"book","title":"Attitudes to Language","publisher":"Cambridge University Press","publisher-place":"New York, NY","number-of-pages":"269","source":"Google Books","event-place":"New York, NY","abstract":"Just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label":"page"},{"id":311,"uris":["http://zotero.org/users/1939618/items/UQ7HLIBB"],"uri":["http://zotero.org/users/1939618/items/UQ7HLIBB"],"itemData":{"id":311,"type":"book","title":"Investigating language attitudes [electronic resource]: social meanings of dialect, ethnicity and performance","publisher":"University of Wales Press","publisher-place":"Cardiff","number-of-pages":"x+251","source":"find.shef.ac.uk","event-place":"Cardiff","URL":"https://www.dawsonera.com/guard/protected/dawson.jsp?name=https://idp.shef.ac.uk/shibboleth&amp;dest=http://www.dawsonera.com/depp/reader/protected/external/AbstractView/S9781783162086","ISBN":"978-1-78316-208-6","shortTitle":"Investigating language attitudes [electronic resource]","language":"eng","author":[{"family":"Garrett","given":"Peter"},{"family":"Coupland","given":"Nikolas"},{"family":"Williams","given":"Angie"}],"issued":{"date-parts":[["2003"]]},"accessed":{"date-parts":[["2018",1,8]]}},"label":"page"},{"id":303,"uris":["http://zotero.org/users/1939618/items/C4CULAJ5"],"uri":["http://zotero.org/users/1939618/items/C4CULAJ5"],"itemData":{"id":303,"type":"article-journal","title":"Introduci</w:instrText>
      </w:r>
      <w:r w:rsidR="00CD34CA" w:rsidRPr="000E3509">
        <w:rPr>
          <w:lang w:val="sv-SE" w:eastAsia="zh-CN"/>
        </w:rPr>
        <w:instrText xml:space="preserve">ng subjectivities in language variation and change","container-title":"Acta Linguistica Hafniensia","page":"9-35","volume":"37","issue":"1","source":"www-tandfonline-com.sheffield.idm.oclc.org (Atypon)","abstract":"This volume is devoted both to the theoretical question of which roles subjective processes play in language variation and change (LVC), and to the many methodological questions raised by the study of these subjective processes. Obviously, to talk about ‘subjective’ processes implies that there are also ‘objective’ processes, and more generally it suggests that LVC should be studied in terms of a distinction between the ‘subjective’ and the ‘objective’. Such a distinction is not, however, what we normally meet within the literature, where the factors involved in LVC are commonly divided and grouped in terms like internal versus external, linguistic versus social versus (socio)psychological, macro versus micro, and not to forget, the tripartite division introduced by Labov in his summing up of his own life work: internal versus social versus cognitive (Labov 1994, 2001, forthcoming.).","DOI":"10.1080/03740463.2005.10416081","ISSN":"0374-0463","journalAbbreviation":"Acta Linguistica Hafniensia","author":[{"family":"Kristiansen","given":"Tore"},{"family":"Garrett","given":"Peter"},{"family":"Coupland","given":"Nikolas"}],"issued":{"date-parts":[["2005",1,1]]}},"label":"page"}],"schema":"https://github.com/citation-style-language/schema/raw/master/csl-citation.json"} </w:instrText>
      </w:r>
      <w:r w:rsidRPr="00CF31E0">
        <w:rPr>
          <w:lang w:eastAsia="zh-CN"/>
        </w:rPr>
        <w:fldChar w:fldCharType="separate"/>
      </w:r>
      <w:r w:rsidR="00CD34CA" w:rsidRPr="00CF31E0">
        <w:rPr>
          <w:noProof/>
          <w:lang w:val="sv-SE" w:eastAsia="zh-CN"/>
        </w:rPr>
        <w:t>(Garrett, 2010; Garrett et al., 2003; Kristiansen et al., 2005)</w:t>
      </w:r>
      <w:r w:rsidRPr="00CF31E0">
        <w:rPr>
          <w:lang w:eastAsia="zh-CN"/>
        </w:rPr>
        <w:fldChar w:fldCharType="end"/>
      </w:r>
      <w:r w:rsidRPr="00CF31E0">
        <w:rPr>
          <w:lang w:val="sv-SE" w:eastAsia="zh-CN"/>
        </w:rPr>
        <w:t xml:space="preserve">. </w:t>
      </w:r>
      <w:r w:rsidRPr="00CF31E0">
        <w:rPr>
          <w:lang w:eastAsia="zh-CN"/>
        </w:rPr>
        <w:fldChar w:fldCharType="begin"/>
      </w:r>
      <w:r w:rsidR="00CD34CA" w:rsidRPr="00CF31E0">
        <w:rPr>
          <w:lang w:val="sv-SE" w:eastAsia="zh-CN"/>
        </w:rPr>
        <w:instrText xml:space="preserve"> ADDIN ZOTERO_ITEM CSL_CITATION {"citationID":"4d4j4cFw","properties":{"formattedCitation":"(Kristiansen et al., 2005, p. 15)","plainCitation":"(Kristiansen et al., 2005, p. 15)","dontUpdate":true,"noteIndex":0},"citationItems":[{"id":303,"uris":["http://zotero.org/users/1939618/items/C4CULAJ5"],"uri":["http://zotero.org/users/1939618/items/C4CULAJ5"],"itemData":{"id":303,"type":"article-journal","title":"Introducing subjectivities in language variation and change","container-title":"Acta Linguistica Hafniensia","page":"9-35","volume":"37","issue":"1","source":"www-tandfonline-com.sheffield.idm.oclc.org (Atypon)","abstract":"This volume is devoted both to the theoretical question of which roles subjective processes play in language variation and change (LVC), and to the many methodological questions raised by the study of these subjective processes. Obviously, to talk about ‘subjective’ processes implies that there are also ‘objective’ processes, and more generally it suggests that LVC should be studied in terms of a distinction between the ‘subjective’ and the ‘objective’. Such a distinction is not, however, what we normally meet within the literature, where the factors involved in LVC are commonly divided and grouped in terms like internal versus external, linguistic versus social versus (socio)psychological, macro versus micro, and not to forget, the tripartite division introduced by Labov in his summing up of his own life work: internal versus social versus cognitive (Labov 1994, 2001, forthcoming.).","DOI":"10.1080/03740463.2005.10416081","ISSN":"0374-0463","journalAbbreviation":"Acta Linguistica Hafniensia","author":[{"family":"Kristiansen","given":"Tore"},{"family":"Garrett","given":"Peter"},{"family":"Coupland","given":"Nikolas"}],"issued":{"date-parts":[["2005",1,1]]}},"locator":"15","label":"page"}],"schema":"https://github.com/citation-style-language/schema/raw/master/csl-citation.json"} </w:instrText>
      </w:r>
      <w:r w:rsidRPr="00CF31E0">
        <w:rPr>
          <w:lang w:eastAsia="zh-CN"/>
        </w:rPr>
        <w:fldChar w:fldCharType="separate"/>
      </w:r>
      <w:r w:rsidRPr="00CF31E0">
        <w:rPr>
          <w:noProof/>
          <w:lang w:val="sv-SE" w:eastAsia="zh-CN"/>
        </w:rPr>
        <w:t xml:space="preserve">Kristiansen et al. </w:t>
      </w:r>
      <w:r w:rsidRPr="00CF31E0">
        <w:rPr>
          <w:noProof/>
          <w:lang w:eastAsia="zh-CN"/>
        </w:rPr>
        <w:t>(2005, p. 15)</w:t>
      </w:r>
      <w:r w:rsidRPr="00CF31E0">
        <w:rPr>
          <w:lang w:eastAsia="zh-CN"/>
        </w:rPr>
        <w:fldChar w:fldCharType="end"/>
      </w:r>
      <w:r w:rsidRPr="00CF31E0">
        <w:rPr>
          <w:lang w:eastAsia="zh-CN"/>
        </w:rPr>
        <w:t xml:space="preserve"> labelled the structure of an attitude a “tripartite model” as it contains three components. </w:t>
      </w:r>
      <w:r w:rsidR="003B274C" w:rsidRPr="00CF31E0">
        <w:rPr>
          <w:noProof/>
          <w:lang w:eastAsia="zh-CN"/>
        </w:rPr>
        <w:t>They</w:t>
      </w:r>
      <w:r w:rsidRPr="00CF31E0">
        <w:rPr>
          <w:lang w:eastAsia="zh-CN"/>
        </w:rPr>
        <w:t xml:space="preserve"> claim that the model can provide a beneficial exploratory understanding of data and that it serves as “a basis for critical commentary” </w:t>
      </w:r>
      <w:r w:rsidRPr="00CF31E0">
        <w:rPr>
          <w:lang w:eastAsia="zh-CN"/>
        </w:rPr>
        <w:fldChar w:fldCharType="begin"/>
      </w:r>
      <w:r w:rsidR="00CD34CA" w:rsidRPr="00CF31E0">
        <w:rPr>
          <w:lang w:eastAsia="zh-CN"/>
        </w:rPr>
        <w:instrText xml:space="preserve"> ADDIN ZOTERO_ITEM CSL_CITATION {"citationID":"C6wkyI67","properties":{"formattedCitation":"(Kristiansen et al., 2005, p. 16)","plainCitation":"(Kristiansen et al., 2005, p. 16)","noteIndex":0},"citationItems":[{"id":303,"uris":["http://zotero.org/users/1939618/items/C4CULAJ5"],"uri":["http://zotero.org/users/1939618/items/C4CULAJ5"],"itemData":{"id":303,"type":"article-journal","title":"Introducing subjectivities in language variation and change","container-title":"Acta Linguistica Hafniensia","page":"9-35","volume":"37","issue":"1","source":"www-tandfonline-com.sheffield.idm.oclc.org (Atypon)","abstract":"This volume is devoted both to the theoretical question of which roles subjective processes play in language variation and change (LVC), and to the many methodological questions raised by the study of these subjective processes. Obviously, to talk about ‘subjective’ processes implies that there are also ‘objective’ processes, and more generally it suggests that LVC should be studied in terms of a distinction between the ‘subjective’ and the ‘objective’. Such a distinction is not, however, what we normally meet within the literature, where the factors involved in LVC are commonly divided and grouped in terms like internal versus external, linguistic versus social versus (socio)psychological, macro versus micro, and not to forget, the tripartite division introduced by Labov in his summing up of his own life work: internal versus social versus cognitive (Labov 1994, 2001, forthcoming.).","DOI":"10.1080/03740463.2005.10416081","ISSN":"0374-0463","journalAbbreviation":"Acta Linguistica Hafniensia","author":[{"family":"Kristiansen","given":"Tore"},{"family":"Garrett","given":"Peter"},{"family":"Coupland","given":"Nikolas"}],"issued":{"date-parts":[["2005",1,1]]}},"locator":"16","label":"page"}],"schema":"https://github.com/citation-style-language/schema/raw/master/csl-citation.json"} </w:instrText>
      </w:r>
      <w:r w:rsidRPr="00CF31E0">
        <w:rPr>
          <w:lang w:eastAsia="zh-CN"/>
        </w:rPr>
        <w:fldChar w:fldCharType="separate"/>
      </w:r>
      <w:r w:rsidRPr="00CF31E0">
        <w:rPr>
          <w:noProof/>
          <w:lang w:eastAsia="zh-CN"/>
        </w:rPr>
        <w:t>(Kristiansen et al., 2005, p. 16)</w:t>
      </w:r>
      <w:r w:rsidRPr="00CF31E0">
        <w:rPr>
          <w:lang w:eastAsia="zh-CN"/>
        </w:rPr>
        <w:fldChar w:fldCharType="end"/>
      </w:r>
      <w:r w:rsidRPr="00CF31E0">
        <w:rPr>
          <w:lang w:eastAsia="zh-CN"/>
        </w:rPr>
        <w:t xml:space="preserve">. I will illustrate the three components of attitude (i.e. the tripartite model) in the following sections. </w:t>
      </w:r>
    </w:p>
    <w:p w14:paraId="4E20A0C6" w14:textId="2E986A4B" w:rsidR="00160CC4" w:rsidRPr="00CF31E0" w:rsidRDefault="00160CC4" w:rsidP="00603CB7">
      <w:pPr>
        <w:pStyle w:val="Paragraph"/>
        <w:rPr>
          <w:lang w:eastAsia="zh-CN"/>
        </w:rPr>
      </w:pPr>
      <w:r w:rsidRPr="00CF31E0">
        <w:rPr>
          <w:lang w:eastAsia="zh-CN"/>
        </w:rPr>
        <w:t xml:space="preserve">First, cognition is viewed as one of the most indispensable components of attitude, in that attitude involves cognitive processes as it contains stored beliefs about the world within one’s mental lexicon. Also, cognition involves any relationship an individual assumes between objects in the world </w:t>
      </w:r>
      <w:r w:rsidRPr="00CF31E0">
        <w:rPr>
          <w:lang w:eastAsia="zh-CN"/>
        </w:rPr>
        <w:fldChar w:fldCharType="begin"/>
      </w:r>
      <w:r w:rsidR="00CD34CA" w:rsidRPr="00CF31E0">
        <w:rPr>
          <w:lang w:eastAsia="zh-CN"/>
        </w:rPr>
        <w:instrText xml:space="preserve"> ADDIN ZOTERO_ITEM CSL_CITATION {"citationID":"a2bt2krir0h","properties":{"formattedCitation":"(Cargile et al., 1994)","plainCitation":"(Cargile et al., 1994)","noteIndex":0},"citationItems":[{"id":329,"uris":["http://zotero.org/users/1939618/items/9LEG7T6Y"],"uri":["http://zotero.org/users/1939618/items/9LEG7T6Y"],"itemData":{"id":329,"type":"article-journal","title":"Language attitudes as a social process: A conceptual model and new directions","container-title":"Special Issue Language Attitutes","page":"211-236","volume":"14","issue":"3","DOI":"10.1016/0271-5309(94)90001-9","ISSN":"0271-5309","journalAbbreviation":"Language &amp; Communication","author":[{"family":"Cargile","given":"Aaron C."},{"family":"Giles","given":"Howard"},{"family":"Ryan","given":"Ellen B."},{"family":"Bradac","given":"James J."}],"issued":{"date-parts":[["1994",7,1]]}}}],"schema":"https://github.com/citation-style-language/schema/raw/master/csl-citation.json"} </w:instrText>
      </w:r>
      <w:r w:rsidRPr="00CF31E0">
        <w:rPr>
          <w:lang w:eastAsia="zh-CN"/>
        </w:rPr>
        <w:fldChar w:fldCharType="separate"/>
      </w:r>
      <w:r w:rsidR="00CD34CA" w:rsidRPr="00CF31E0">
        <w:rPr>
          <w:noProof/>
          <w:lang w:eastAsia="zh-CN"/>
        </w:rPr>
        <w:t>(Cargile et al., 1994)</w:t>
      </w:r>
      <w:r w:rsidRPr="00CF31E0">
        <w:rPr>
          <w:lang w:eastAsia="zh-CN"/>
        </w:rPr>
        <w:fldChar w:fldCharType="end"/>
      </w:r>
      <w:r w:rsidRPr="00CF31E0">
        <w:rPr>
          <w:lang w:eastAsia="zh-CN"/>
        </w:rPr>
        <w:t xml:space="preserve">. </w:t>
      </w:r>
    </w:p>
    <w:p w14:paraId="54C4AE9C" w14:textId="3E3DA084" w:rsidR="00160CC4" w:rsidRPr="00CF31E0" w:rsidRDefault="00160CC4" w:rsidP="00603CB7">
      <w:pPr>
        <w:pStyle w:val="Paragraph"/>
        <w:rPr>
          <w:lang w:eastAsia="zh-CN"/>
        </w:rPr>
      </w:pPr>
      <w:r w:rsidRPr="00CF31E0">
        <w:rPr>
          <w:lang w:eastAsia="zh-CN"/>
        </w:rPr>
        <w:t xml:space="preserve">In language attitude research, Garrett (2010) provides an example of how cognition plays a role in creating relationships between objects; he assumes that a standard language variety is mostly associated with people holding high-status jobs. </w:t>
      </w:r>
      <w:r w:rsidRPr="00CF31E0">
        <w:rPr>
          <w:lang w:eastAsia="zh-CN"/>
        </w:rPr>
        <w:fldChar w:fldCharType="begin"/>
      </w:r>
      <w:r w:rsidR="00CD34CA" w:rsidRPr="00CF31E0">
        <w:rPr>
          <w:lang w:eastAsia="zh-CN"/>
        </w:rPr>
        <w:instrText xml:space="preserve"> ADDIN ZOTERO_ITEM CSL_CITATION {"citationID":"XUSnT0Cg","properties":{"formattedCitation":"(Kristiansen et al., 2005)","plainCitation":"(Kristiansen et al., 2005)","dontUpdate":true,"noteIndex":0},"citationItems":[{"id":303,"uris":["http://zotero.org/users/1939618/items/C4CULAJ5"],"uri":["http://zotero.org/users/1939618/items/C4CULAJ5"],"itemData":{"id":303,"type":"article-journal","title":"Introducing subjectivities in language variation and change","container-title":"Acta Linguistica Hafniensia","page":"9-35","volume":"37","issue":"1","source":"www-tandfonline-com.sheffield.idm.oclc.org (Atypon)","abstract":"This volume is devoted both to the theoretical question of which roles subjective processes play in language variation and change (LVC), and to the many methodological questions raised by the study of these subjective processes. Obviously, to talk about ‘subjective’ processes implies that there are also ‘objective’ processes, and more generally it suggests that LVC should be studied in terms of a distinction between the ‘subjective’ and the ‘objective’. Such a distinction is not, however, what we normally meet within the literature, where the factors involved in LVC are commonly divided and grouped in terms like internal versus external, linguistic versus social versus (socio)psychological, macro versus micro, and not to forget, the tripartite division introduced by Labov in his summing up of his own life work: internal versus social versus cognitive (Labov 1994, 2001, forthcoming.).","DOI":"10.1080/03740463.2005.10416081","ISSN":"0374-0463","journalAbbreviation":"Acta Linguistica Hafniensia","author":[{"family":"Kristiansen","given":"Tore"},{"family":"Garrett","given":"Peter"},{"family":"Coupland","given":"Nikolas"}],"issued":{"date-parts":[["2005",1,1]]}}}],"schema":"https://github.com/citation-style-language/schema/raw/master/csl-citation.json"} </w:instrText>
      </w:r>
      <w:r w:rsidRPr="00CF31E0">
        <w:rPr>
          <w:lang w:eastAsia="zh-CN"/>
        </w:rPr>
        <w:fldChar w:fldCharType="separate"/>
      </w:r>
      <w:r w:rsidRPr="00CF31E0">
        <w:rPr>
          <w:noProof/>
          <w:lang w:eastAsia="zh-CN"/>
        </w:rPr>
        <w:t>Kristiansen et al. (2005)</w:t>
      </w:r>
      <w:r w:rsidRPr="00CF31E0">
        <w:rPr>
          <w:lang w:eastAsia="zh-CN"/>
        </w:rPr>
        <w:fldChar w:fldCharType="end"/>
      </w:r>
      <w:r w:rsidRPr="00CF31E0">
        <w:rPr>
          <w:lang w:eastAsia="zh-CN"/>
        </w:rPr>
        <w:t xml:space="preserve"> state that numerous contributions have been made to the language attitude field over the last three decades in terms of revealing cognitive relationships between evaluative attitudinal dimensions and speech varieties or speakers. I will discuss the implications of the evaluative dimensions for the language attitudes field in detail in section </w:t>
      </w:r>
      <w:r w:rsidR="009B0A98" w:rsidRPr="00CF31E0">
        <w:rPr>
          <w:lang w:eastAsia="zh-CN"/>
        </w:rPr>
        <w:t>4</w:t>
      </w:r>
      <w:r w:rsidR="00844B92" w:rsidRPr="00CF31E0">
        <w:rPr>
          <w:lang w:eastAsia="zh-CN"/>
        </w:rPr>
        <w:t>.7.3.</w:t>
      </w:r>
    </w:p>
    <w:p w14:paraId="186B78FB" w14:textId="3A78D01A" w:rsidR="00160CC4" w:rsidRPr="00CF31E0" w:rsidRDefault="00160CC4" w:rsidP="00603CB7">
      <w:pPr>
        <w:pStyle w:val="Paragraph"/>
        <w:rPr>
          <w:lang w:eastAsia="zh-CN"/>
        </w:rPr>
      </w:pPr>
      <w:r w:rsidRPr="00CF31E0">
        <w:rPr>
          <w:lang w:eastAsia="zh-CN"/>
        </w:rPr>
        <w:t xml:space="preserve">The second component is affect, where attitudes constitute feelings toward the attitude object </w:t>
      </w:r>
      <w:r w:rsidRPr="00CF31E0">
        <w:rPr>
          <w:lang w:eastAsia="zh-CN"/>
        </w:rPr>
        <w:fldChar w:fldCharType="begin"/>
      </w:r>
      <w:r w:rsidR="00CD34CA" w:rsidRPr="00CF31E0">
        <w:rPr>
          <w:lang w:eastAsia="zh-CN"/>
        </w:rPr>
        <w:instrText xml:space="preserve"> ADDIN ZOTERO_ITEM CSL_CITATION {"citationID":"asQ9PDeg","properties":{"formattedCitation":"(Cargile et al., 1994; Kristiansen et al., 2005)","plainCitation":"(Cargile et al., 1994; Kristiansen et al., 2005)","noteIndex":0},"citationItems":[{"id":329,"uris":["http://zotero.org/users/1939618/items/9LEG7T6Y"],"uri":["http://zotero.org/users/1939618/items/9LEG7T6Y"],"itemData":{"id":329,"type":"article-journal","title":"Language attitudes as a social process: A conceptual model and new directions","container-title":"Special Issue Language Attitutes","page":"211-236","volume":"14","issue":"3","DOI":"10.1016/0271-5309(94)90001-9","ISSN":"0271-5309","journalAbbreviation":"Language &amp; Communication","author":[{"family":"Cargile","given":"Aaron C."},{"family":"Giles","given":"Howard"},{"family":"Ryan","given":"Ellen B."},{"family":"Bradac","given":"James J."}],"issued":{"date-parts":[["1994",7,1]]}},"label":"page"},{"id":303,"uris":["http://zotero.org/users/1939618/items/C4CULAJ5"],"uri":["http://zotero.org/users/1939618/items/C4CULAJ5"],"itemData":{"id":303,"type":"article-journal","title":"Introducing subjectivities in language variation and change","container-title":"Acta Linguistica Hafniensia","page":"9-35","volume":"37","issue":"1","source":"www-tandfonline-com.sheffield.idm.oclc.org (Atypon)","abstract":"This volume is devoted both to the theoretical question of which roles subjective processes play in language variation and change (LVC), and to the many methodological questions raised by the study of these subjective processes. Obviously, to talk about ‘subjective’ processes implies that there are also ‘objective’ processes, and more generally it suggests that LVC should be studied in terms of a distinction between the ‘subjective’ and the ‘objective’. Such a distinction is not, however, what we normally meet within the literature, where the factors involved in LVC are commonly divided and grouped in terms like internal versus external, linguistic versus social versus (socio)psychological, macro versus micro, and not to forget, the tripartite division introduced by Labov in his summing up of his own life work: internal versus social versus cognitive (Labov 1994, 2001, forthcoming.).","DOI":"10.1080/03740463.2005.10416081","ISSN":"0374-0463","journalAbbreviation":"Acta Linguistica Hafniensia","author":[{"family":"Kristiansen","given":"Tore"},{"family":"Garrett","given":"Peter"},{"family":"Coupland","given":"Nikolas"}],"issued":{"date-parts":[["2005",1,1]]}},"label":"page"}],"schema":"https://github.com/citation-style-language/schema/raw/master/csl-citation.json"} </w:instrText>
      </w:r>
      <w:r w:rsidRPr="00CF31E0">
        <w:rPr>
          <w:lang w:eastAsia="zh-CN"/>
        </w:rPr>
        <w:fldChar w:fldCharType="separate"/>
      </w:r>
      <w:r w:rsidRPr="00CF31E0">
        <w:rPr>
          <w:noProof/>
          <w:lang w:eastAsia="zh-CN"/>
        </w:rPr>
        <w:t>(Cargile et al., 1994; Kristiansen et al., 2005)</w:t>
      </w:r>
      <w:r w:rsidRPr="00CF31E0">
        <w:rPr>
          <w:lang w:eastAsia="zh-CN"/>
        </w:rPr>
        <w:fldChar w:fldCharType="end"/>
      </w:r>
      <w:r w:rsidRPr="00CF31E0">
        <w:rPr>
          <w:lang w:eastAsia="zh-CN"/>
        </w:rPr>
        <w:t xml:space="preserve">. Such feelings can be positive or negative, optimistic or pessimistic, favourable or unfavourable. </w:t>
      </w:r>
    </w:p>
    <w:p w14:paraId="6E0CF4A5" w14:textId="5D43C17E" w:rsidR="00160CC4" w:rsidRPr="00CF31E0" w:rsidRDefault="00160CC4" w:rsidP="00603CB7">
      <w:pPr>
        <w:pStyle w:val="Paragraph"/>
        <w:rPr>
          <w:lang w:eastAsia="zh-CN"/>
        </w:rPr>
      </w:pPr>
      <w:r w:rsidRPr="00CF31E0">
        <w:rPr>
          <w:lang w:eastAsia="zh-CN"/>
        </w:rPr>
        <w:t xml:space="preserve">In language attitude studies, the act of being positive or negative about a certain speech variety or language implies that an individual has an emotional orientation. The issue of the extremes of affect is widely debated, that is, to what extent the affect is located on the negative or positive side </w:t>
      </w:r>
      <w:r w:rsidRPr="00CF31E0">
        <w:rPr>
          <w:lang w:eastAsia="zh-CN"/>
        </w:rPr>
        <w:fldChar w:fldCharType="begin"/>
      </w:r>
      <w:r w:rsidR="00CD34CA" w:rsidRPr="00CF31E0">
        <w:rPr>
          <w:lang w:eastAsia="zh-CN"/>
        </w:rPr>
        <w:instrText xml:space="preserve"> ADDIN ZOTERO_ITEM CSL_CITATION {"citationID":"a2ja3ct4sv0","properties":{"formattedCitation":"(Garrett, 2010; Garrett et al., 2003; Kristiansen et al., 2005)","plainCitation":"(Garrett, 2010; Garrett et al., 2003; Kristiansen et al., 2005)","noteIndex":0},"citationItems":[{"id":29,"uris":["http://zotero.org/users/1939618/items/NF3PAHT2"],"uri":["http://zotero.org/users/1939618/items/NF3PAHT2"],"itemData":{"id":29,"type":"book","title":"Attitudes to Language","publisher":"Cambridge University Press","publisher-place":"New York, NY","number-of-pages":"269","source":"Google Books","event-place":"New York, NY","abstract":"Just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label":"page"},{"id":311,"uris":["http://zotero.org/users/1939618/items/UQ7HLIBB"],"uri":["http://zotero.org/users/1939618/items/UQ7HLIBB"],"itemData":{"id":311,"type":"book","title":"Investigating language attitudes [electronic resource]: social meanings of dialect, ethnicity and performance","publisher":"University of Wales Press","publisher-place":"Cardiff","number-of-pages":"x+251","source":"find.shef.ac.uk","event-place":"Cardiff","URL":"https://www.dawsonera.com/guard/protected/dawson.jsp?name=https://idp.shef.ac.uk/shibboleth&amp;dest=http://www.dawsonera.com/depp/reader/protected/external/AbstractView/S9781783162086","ISBN":"978-1-78316-208-6","shortTitle":"Investigating language attitudes [electronic resource]","language":"eng","author":[{"family":"Garrett","given":"Peter"},{"family":"Coupland","given":"Nikolas"},{"family":"Williams","given":"Angie"}],"issued":{"date-parts":[["2003"]]},"accessed":{"date-parts":[["2018",1,8]]}},"label":"page"},{"id":303,"uris":["http://zotero.org/users/1939618/items/C4CULAJ5"],"uri":["http://zotero.org/users/1939618/items/C4CULAJ5"],"itemData":{"id":303,"type":"article-journal","title":"Introducing subjectivities in language variation and change","container-title":"Acta Linguistica Hafniensia","page":"9-35","volume":"37","issue":"1","source":"www-tandfonline-com.sheffield.idm.oclc.org (Atypon)","abstract":"This volume is devoted both to the theoretical question of which roles subjective processes play in language variation and change (LVC), and to the many methodological questions raised by the study of these subjective processes. Obviously, to talk about ‘subjective’ processes implies that there are also ‘objective’ processes, and more generally it suggests that LVC should be studied in terms of a distinction between the ‘subjective’ and the ‘objective’. Such a distinction is not, however, what we normally meet within the literature, where the factors involved in LVC are commonly divided and grouped in terms like internal versus external, linguistic versus social versus (socio)psychological, macro versus micro, and not to forget, the tripartite division introduced by Labov in his summing up of his own life work: internal versus social versus cognitive (Labov 1994, 2001, forthcoming.).","DOI":"10.1080/03740463.2005.10416081","ISSN":"0374-0463","journalAbbreviation":"Acta Linguistica Hafniensia","author":[{"family":"Kristiansen","given":"Tore"},{"family":"Garrett","given":"Peter"},{"family":"Coupland","given":"Nikolas"}],"issued":{"date-parts":[["2005",1,1]]}},"label":"page"}],"schema":"https://github.com/citation-style-language/schema/raw/master/csl-citation.json"} </w:instrText>
      </w:r>
      <w:r w:rsidRPr="00CF31E0">
        <w:rPr>
          <w:lang w:eastAsia="zh-CN"/>
        </w:rPr>
        <w:fldChar w:fldCharType="separate"/>
      </w:r>
      <w:r w:rsidRPr="00CF31E0">
        <w:rPr>
          <w:noProof/>
          <w:lang w:eastAsia="zh-CN"/>
        </w:rPr>
        <w:t>(Garrett, 2010; Garrett et al., 2003; Kristiansen et al., 2005)</w:t>
      </w:r>
      <w:r w:rsidRPr="00CF31E0">
        <w:rPr>
          <w:lang w:eastAsia="zh-CN"/>
        </w:rPr>
        <w:fldChar w:fldCharType="end"/>
      </w:r>
      <w:r w:rsidRPr="00CF31E0">
        <w:rPr>
          <w:lang w:eastAsia="zh-CN"/>
        </w:rPr>
        <w:t xml:space="preserve">. In the language </w:t>
      </w:r>
      <w:r w:rsidRPr="00CF31E0">
        <w:rPr>
          <w:lang w:eastAsia="zh-CN"/>
        </w:rPr>
        <w:lastRenderedPageBreak/>
        <w:t xml:space="preserve">attitude field, researchers have attempted to resolve this issue by applying various methods to measure the grading of affect, which I will discuss in section </w:t>
      </w:r>
      <w:r w:rsidR="0074630B" w:rsidRPr="00CF31E0">
        <w:rPr>
          <w:lang w:eastAsia="zh-CN"/>
        </w:rPr>
        <w:t>4</w:t>
      </w:r>
      <w:r w:rsidR="00844B92" w:rsidRPr="00CF31E0">
        <w:rPr>
          <w:lang w:eastAsia="zh-CN"/>
        </w:rPr>
        <w:t xml:space="preserve">.4. </w:t>
      </w:r>
      <w:r w:rsidRPr="00CF31E0">
        <w:rPr>
          <w:lang w:eastAsia="zh-CN"/>
        </w:rPr>
        <w:t xml:space="preserve"> </w:t>
      </w:r>
    </w:p>
    <w:p w14:paraId="5BECC343" w14:textId="4E8BA036" w:rsidR="006D3401" w:rsidRDefault="006D3401" w:rsidP="006D3401">
      <w:pPr>
        <w:pStyle w:val="Paragraph"/>
        <w:rPr>
          <w:lang w:eastAsia="zh-CN"/>
        </w:rPr>
      </w:pPr>
      <w:r w:rsidRPr="00CF31E0">
        <w:rPr>
          <w:lang w:eastAsia="zh-CN"/>
        </w:rPr>
        <w:t xml:space="preserve">Behaviour is the third component of attitude structure. It has been widely discussed that behaviour can be an input or output </w:t>
      </w:r>
      <w:r w:rsidRPr="00CF31E0">
        <w:rPr>
          <w:lang w:eastAsia="zh-CN"/>
        </w:rPr>
        <w:fldChar w:fldCharType="begin"/>
      </w:r>
      <w:r w:rsidRPr="00CF31E0">
        <w:rPr>
          <w:lang w:eastAsia="zh-CN"/>
        </w:rPr>
        <w:instrText xml:space="preserve"> ADDIN ZOTERO_ITEM CSL_CITATION {"citationID":"a10q474juva","properties":{"formattedCitation":"(Garrett, 2010; Garrett et al., 2003; Kristiansen et al., 2005)","plainCitation":"(Garrett, 2010; Garrett et al., 2003; Kristiansen et al., 2005)","noteIndex":0},"citationItems":[{"id":29,"uris":["http://zotero.org/users/1939618/items/NF3PAHT2"],"uri":["http://zotero.org/users/1939618/items/NF3PAHT2"],"itemData":{"id":29,"type":"book","title":"Attitudes to Language","publisher":"Cambridge University Press","publisher-place":"New York, NY","number-of-pages":"269","source":"Google Books","event-place":"New York, NY","abstract":"Just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label":"page"},{"id":311,"uris":["http://zotero.org/users/1939618/items/UQ7HLIBB"],"uri":["http://zotero.org/users/1939618/items/UQ7HLIBB"],"itemData":{"id":311,"type":"book","title":"Investigating language attitudes [electronic resource]: social meanings of dialect, ethnicity and performance","publisher":"University of Wales Press","publisher-place":"Cardiff","number-of-pages":"x+251","source":"find.shef.ac.uk","event-place":"Cardiff","URL":"https://www.dawsonera.com/guard/protected/dawson.jsp?name=https://idp.shef.ac.uk/shibboleth&amp;dest=http://www.dawsonera.com/depp/reader/protected/external/AbstractView/S9781783162086","ISBN":"978-1-78316-208-6","shortTitle":"Investigating language attitudes [electronic resource]","language":"eng","author":[{"family":"Garrett","given":"Peter"},{"family":"Coupland","given":"Nikolas"},{"family":"Williams","given":"Angie"}],"issued":{"date-parts":[["2003"]]},"accessed":{"date-parts":[["2018",1,8]]}},"label":"page"},{"id":303,"uris":["http://zotero.org/users/1939618/items/C4CULAJ5"],"uri":["http://zotero.org/users/1939618/items/C4CULAJ5"],"itemData":{"id":303,"type":"article-journal","title":"Introducing subjectivities in language variation and change","container-title":"Acta Linguistica Hafniensia","page":"9-35","volume":"37","issue":"1","source":"www-tandfonline-com.sheffield.idm.oclc.org (Atypon)","abstract":"This volume is devoted both to the theoretical question of which roles subjective processes play in language variation and change (LVC), and to the many methodological questions raised by the study of these subjective processes. Obviously, to talk about ‘subjective’ processes implies that there are also ‘objective’ processes, and more generally it suggests that LVC should be studied in terms of a distinction between the ‘subjective’ and the ‘objective’. Such a distinction is not, however, what we normally meet within the literature, where the factors involved in LVC are commonly divided and grouped in terms like internal versus external, linguistic versus social versus (socio)psychological, macro versus micro, and not to forget, the tripartite division introduced by Labov in his summing up of his own life work: internal versus social versus cognitive (Labov 1994, 2001, forthcoming.).","DOI":"10.1080/03740463.2005.10416081","ISSN":"0374-0463","journalAbbreviation":"Acta Linguistica Hafniensia","author":[{"family":"Kristiansen","given":"Tore"},{"family":"Garrett","given":"Peter"},{"family":"Coupland","given":"Nikolas"}],"issued":{"date-parts":[["2005",1,1]]}},"label":"page"}],"schema":"https://github.com/citation-style-language/schema/raw/master/csl-citation.json"} </w:instrText>
      </w:r>
      <w:r w:rsidRPr="00CF31E0">
        <w:rPr>
          <w:lang w:eastAsia="zh-CN"/>
        </w:rPr>
        <w:fldChar w:fldCharType="separate"/>
      </w:r>
      <w:r w:rsidRPr="00CF31E0">
        <w:rPr>
          <w:noProof/>
          <w:lang w:eastAsia="zh-CN"/>
        </w:rPr>
        <w:t>(Garrett, 2010; Garrett et al., 2003; Kristiansen et al., 2005)</w:t>
      </w:r>
      <w:r w:rsidRPr="00CF31E0">
        <w:rPr>
          <w:lang w:eastAsia="zh-CN"/>
        </w:rPr>
        <w:fldChar w:fldCharType="end"/>
      </w:r>
      <w:r w:rsidRPr="00CF31E0">
        <w:rPr>
          <w:lang w:eastAsia="zh-CN"/>
        </w:rPr>
        <w:t>. For example,</w:t>
      </w:r>
      <w:r>
        <w:rPr>
          <w:lang w:eastAsia="zh-CN"/>
        </w:rPr>
        <w:t xml:space="preserve"> a positive attitude towards a new language is considered as an input factor. This positive attitude could lead to high achievement in learning the new language; thus, the product or the outcomes of learning that new language are interpreted as the output </w:t>
      </w:r>
      <w:r w:rsidRPr="00CF31E0">
        <w:rPr>
          <w:lang w:eastAsia="zh-CN"/>
        </w:rPr>
        <w:fldChar w:fldCharType="begin"/>
      </w:r>
      <w:r w:rsidRPr="00CF31E0">
        <w:rPr>
          <w:lang w:eastAsia="zh-CN"/>
        </w:rPr>
        <w:instrText xml:space="preserve"> ADDIN ZOTERO_ITEM CSL_CITATION {"citationID":"a2ja3ct4sv0","properties":{"formattedCitation":"(Garrett, 2010; Garrett et al., 2003; Kristiansen et al., 2005)","plainCitation":"(Garrett, 2010; Garrett et al., 2003; Kristiansen et al., 2005)","noteIndex":0},"citationItems":[{"id":29,"uris":["http://zotero.org/users/1939618/items/NF3PAHT2"],"uri":["http://zotero.org/users/1939618/items/NF3PAHT2"],"itemData":{"id":29,"type":"book","title":"Attitudes to Language","publisher":"Cambridge University Press","publisher-place":"New York, NY","number-of-pages":"269","source":"Google Books","event-place":"New York, NY","abstract":"Just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label":"page"},{"id":311,"uris":["http://zotero.org/users/1939618/items/UQ7HLIBB"],"uri":["http://zotero.org/users/1939618/items/UQ7HLIBB"],"itemData":{"id":311,"type":"book","title":"Investigating language attitudes [electronic resource]: social meanings of dialect, ethnicity and performance","publisher":"University of Wales Press","publisher-place":"Cardiff","number-of-pages":"x+251","source":"find.shef.ac.uk","event-place":"Cardiff","URL":"https://www.dawsonera.com/guard/protected/dawson.jsp?name=https://idp.shef.ac.uk/shibboleth&amp;dest=http://www.dawsonera.com/depp/reader/protected/external/AbstractView/S9781783162086","ISBN":"978-1-78316-208-6","shortTitle":"Investigating language attitudes [electronic resource]","language":"eng","author":[{"family":"Garrett","given":"Peter"},{"family":"Coupland","given":"Nikolas"},{"family":"Williams","given":"Angie"}],"issued":{"date-parts":[["2003"]]},"accessed":{"date-parts":[["2018",1,8]]}},"label":"page"},{"id":303,"uris":["http://zotero.org/users/1939618/items/C4CULAJ5"],"uri":["http://zotero.org/users/1939618/items/C4CULAJ5"],"itemData":{"id":303,"type":"article-journal","title":"Introducing subjectivities in language variation and change","container-title":"Acta Linguistica Hafniensia","page":"9-35","volume":"37","issue":"1","source":"www-tandfonline-com.sheffield.idm.oclc.org (Atypon)","abstract":"This volume is devoted both to the theoretical question of which roles subjective processes play in language variation and change (LVC), and to the many methodological questions raised by the study of these subjective processes. Obviously, to talk about ‘subjective’ processes implies that there are also ‘objective’ processes, and more generally it suggests that LVC should be studied in terms of a distinction between the ‘subjective’ and the ‘objective’. Such a distinction is not, however, what we normally meet within the literature, where the factors involved in LVC are commonly divided and grouped in terms like internal versus external, linguistic versus social versus (socio)psychological, macro versus micro, and not to forget, the tripartite division introduced by Labov in his summing up of his own life work: internal versus social versus cognitive (Labov 1994, 2001, forthcoming.).","DOI":"10.1080/03740463.2005.10416081","ISSN":"0374-0463","journalAbbreviation":"Acta Linguistica Hafniensia","author":[{"family":"Kristiansen","given":"Tore"},{"family":"Garrett","given":"Peter"},{"family":"Coupland","given":"Nikolas"}],"issued":{"date-parts":[["2005",1,1]]}},"label":"page"}],"schema":"https://github.com/citation-style-language/schema/raw/master/csl-citation.json"} </w:instrText>
      </w:r>
      <w:r w:rsidRPr="00CF31E0">
        <w:rPr>
          <w:lang w:eastAsia="zh-CN"/>
        </w:rPr>
        <w:fldChar w:fldCharType="separate"/>
      </w:r>
      <w:r>
        <w:rPr>
          <w:noProof/>
          <w:lang w:eastAsia="zh-CN"/>
        </w:rPr>
        <w:t>(</w:t>
      </w:r>
      <w:r w:rsidRPr="00CF31E0">
        <w:rPr>
          <w:noProof/>
          <w:lang w:eastAsia="zh-CN"/>
        </w:rPr>
        <w:t>Garrett et al.</w:t>
      </w:r>
      <w:r>
        <w:rPr>
          <w:noProof/>
          <w:lang w:eastAsia="zh-CN"/>
        </w:rPr>
        <w:t>, 2003</w:t>
      </w:r>
      <w:r w:rsidRPr="00CF31E0">
        <w:rPr>
          <w:noProof/>
          <w:lang w:eastAsia="zh-CN"/>
        </w:rPr>
        <w:t>)</w:t>
      </w:r>
      <w:r w:rsidRPr="00CF31E0">
        <w:rPr>
          <w:lang w:eastAsia="zh-CN"/>
        </w:rPr>
        <w:fldChar w:fldCharType="end"/>
      </w:r>
      <w:r w:rsidRPr="00CF31E0">
        <w:rPr>
          <w:lang w:eastAsia="zh-CN"/>
        </w:rPr>
        <w:t>.</w:t>
      </w:r>
      <w:r>
        <w:rPr>
          <w:lang w:eastAsia="zh-CN"/>
        </w:rPr>
        <w:t xml:space="preserve"> Another example is that a positive attitude towards another language could lead to </w:t>
      </w:r>
      <w:r w:rsidRPr="00CF31E0">
        <w:rPr>
          <w:lang w:eastAsia="zh-CN"/>
        </w:rPr>
        <w:t>borrow</w:t>
      </w:r>
      <w:r>
        <w:rPr>
          <w:lang w:eastAsia="zh-CN"/>
        </w:rPr>
        <w:t>ing</w:t>
      </w:r>
      <w:r w:rsidRPr="00CF31E0">
        <w:rPr>
          <w:lang w:eastAsia="zh-CN"/>
        </w:rPr>
        <w:t xml:space="preserve"> words from </w:t>
      </w:r>
      <w:r>
        <w:rPr>
          <w:lang w:eastAsia="zh-CN"/>
        </w:rPr>
        <w:t>that language;</w:t>
      </w:r>
      <w:r w:rsidRPr="00CF31E0">
        <w:rPr>
          <w:lang w:eastAsia="zh-CN"/>
        </w:rPr>
        <w:t xml:space="preserve"> this implies that </w:t>
      </w:r>
      <w:r>
        <w:rPr>
          <w:lang w:eastAsia="zh-CN"/>
        </w:rPr>
        <w:t>the</w:t>
      </w:r>
      <w:r w:rsidRPr="00CF31E0">
        <w:rPr>
          <w:lang w:eastAsia="zh-CN"/>
        </w:rPr>
        <w:t xml:space="preserve"> behaviour is</w:t>
      </w:r>
      <w:r>
        <w:rPr>
          <w:lang w:eastAsia="zh-CN"/>
        </w:rPr>
        <w:t xml:space="preserve"> interpreted as</w:t>
      </w:r>
      <w:r w:rsidRPr="00CF31E0">
        <w:rPr>
          <w:lang w:eastAsia="zh-CN"/>
        </w:rPr>
        <w:t xml:space="preserve"> an input. </w:t>
      </w:r>
      <w:r>
        <w:rPr>
          <w:lang w:eastAsia="zh-CN"/>
        </w:rPr>
        <w:t xml:space="preserve">If the person uses the same borrowed words in his/her daily speech, this could be interpreted as an output </w:t>
      </w:r>
      <w:r w:rsidRPr="00CF31E0">
        <w:rPr>
          <w:lang w:eastAsia="zh-CN"/>
        </w:rPr>
        <w:fldChar w:fldCharType="begin"/>
      </w:r>
      <w:r w:rsidRPr="00CF31E0">
        <w:rPr>
          <w:lang w:eastAsia="zh-CN"/>
        </w:rPr>
        <w:instrText xml:space="preserve"> ADDIN ZOTERO_ITEM CSL_CITATION {"citationID":"TkXGvUxk","properties":{"formattedCitation":"(Kristiansen et al., 2005)","plainCitation":"(Kristiansen et al., 2005)","noteIndex":0},"citationItems":[{"id":303,"uris":["http://zotero.org/users/1939618/items/C4CULAJ5"],"uri":["http://zotero.org/users/1939618/items/C4CULAJ5"],"itemData":{"id":303,"type":"article-journal","title":"Introducing subjectivities in language variation and change","container-title":"Acta Linguistica Hafniensia","page":"9-35","volume":"37","issue":"1","source":"www-tandfonline-com.sheffield.idm.oclc.org (Atypon)","abstract":"This volume is devoted both to the theoretical question of which roles subjective processes play in language variation and change (LVC), and to the many methodological questions raised by the study of these subjective processes. Obviously, to talk about ‘subjective’ processes implies that there are also ‘objective’ processes, and more generally it suggests that LVC should be studied in terms of a distinction between the ‘subjective’ and the ‘objective’. Such a distinction is not, however, what we normally meet within the literature, where the factors involved in LVC are commonly divided and grouped in terms like internal versus external, linguistic versus social versus (socio)psychological, macro versus micro, and not to forget, the tripartite division introduced by Labov in his summing up of his own life work: internal versus social versus cognitive (Labov 1994, 2001, forthcoming.).","DOI":"10.1080/03740463.2005.10416081","ISSN":"0374-0463","journalAbbreviation":"Acta Linguistica Hafniensia","author":[{"family":"Kristiansen","given":"Tore"},{"family":"Garrett","given":"Peter"},{"family":"Coupland","given":"Nikolas"}],"issued":{"date-parts":[["2005",1,1]]}}}],"schema":"https://github.com/citation-style-language/schema/raw/master/csl-citation.json"} </w:instrText>
      </w:r>
      <w:r w:rsidRPr="00CF31E0">
        <w:rPr>
          <w:lang w:eastAsia="zh-CN"/>
        </w:rPr>
        <w:fldChar w:fldCharType="separate"/>
      </w:r>
      <w:r w:rsidRPr="00CF31E0">
        <w:rPr>
          <w:noProof/>
          <w:lang w:eastAsia="zh-CN"/>
        </w:rPr>
        <w:t>(Kristiansen et al., 2005)</w:t>
      </w:r>
      <w:r w:rsidRPr="00CF31E0">
        <w:rPr>
          <w:lang w:eastAsia="zh-CN"/>
        </w:rPr>
        <w:fldChar w:fldCharType="end"/>
      </w:r>
      <w:r w:rsidRPr="00CF31E0">
        <w:rPr>
          <w:lang w:eastAsia="zh-CN"/>
        </w:rPr>
        <w:t xml:space="preserve">. </w:t>
      </w:r>
      <w:r>
        <w:rPr>
          <w:lang w:eastAsia="zh-CN"/>
        </w:rPr>
        <w:t xml:space="preserve">In other words, you can witness language attitude behaviour in two ways, either through a willingness towards learning a variety or a </w:t>
      </w:r>
      <w:r w:rsidRPr="00257D45">
        <w:rPr>
          <w:lang w:eastAsia="zh-CN"/>
        </w:rPr>
        <w:t>language, which is considered a reflection of a</w:t>
      </w:r>
      <w:r w:rsidRPr="00D83B81">
        <w:rPr>
          <w:lang w:eastAsia="zh-CN"/>
        </w:rPr>
        <w:t xml:space="preserve"> positive attitude </w:t>
      </w:r>
      <w:r w:rsidRPr="00257D45">
        <w:rPr>
          <w:lang w:eastAsia="zh-CN"/>
        </w:rPr>
        <w:t xml:space="preserve">towards the variety or language, or by perceiving the outcome of learning that </w:t>
      </w:r>
      <w:r>
        <w:rPr>
          <w:lang w:eastAsia="zh-CN"/>
        </w:rPr>
        <w:t>new variety or language in one’s production.</w:t>
      </w:r>
    </w:p>
    <w:p w14:paraId="512EEF58" w14:textId="43E33E0B" w:rsidR="00160CC4" w:rsidRPr="00CF31E0" w:rsidRDefault="00160CC4" w:rsidP="00603CB7">
      <w:pPr>
        <w:pStyle w:val="Paragraph"/>
        <w:rPr>
          <w:lang w:eastAsia="zh-CN"/>
        </w:rPr>
      </w:pPr>
      <w:r w:rsidRPr="00CF31E0">
        <w:rPr>
          <w:lang w:eastAsia="zh-CN"/>
        </w:rPr>
        <w:t>Having discussed the nature of attitude</w:t>
      </w:r>
      <w:r w:rsidR="00B76337" w:rsidRPr="00CF31E0">
        <w:rPr>
          <w:lang w:eastAsia="zh-CN"/>
        </w:rPr>
        <w:t xml:space="preserve"> and its three main components</w:t>
      </w:r>
      <w:r w:rsidRPr="00CF31E0">
        <w:rPr>
          <w:lang w:eastAsia="zh-CN"/>
        </w:rPr>
        <w:t xml:space="preserve">, in the next section I will turn to discuss two other terms that seem to be strongly connected to language attitude research: social stereotypes and language ideology. </w:t>
      </w:r>
    </w:p>
    <w:p w14:paraId="0965BECB" w14:textId="0B62DAF0" w:rsidR="00160CC4" w:rsidRPr="00CF31E0" w:rsidRDefault="009B0A98" w:rsidP="0061369D">
      <w:pPr>
        <w:pStyle w:val="Ahead"/>
        <w:rPr>
          <w:rFonts w:eastAsia="Times New Roman"/>
        </w:rPr>
      </w:pPr>
      <w:bookmarkStart w:id="185" w:name="_Toc509646841"/>
      <w:bookmarkStart w:id="186" w:name="_Toc510004003"/>
      <w:bookmarkStart w:id="187" w:name="_Toc510025758"/>
      <w:bookmarkStart w:id="188" w:name="_Toc6472647"/>
      <w:r w:rsidRPr="00CF31E0">
        <w:rPr>
          <w:rFonts w:eastAsia="Times New Roman"/>
        </w:rPr>
        <w:t>4</w:t>
      </w:r>
      <w:r w:rsidR="00160CC4" w:rsidRPr="00CF31E0">
        <w:rPr>
          <w:rFonts w:eastAsia="Times New Roman"/>
        </w:rPr>
        <w:t>.3.</w:t>
      </w:r>
      <w:r w:rsidR="00FD5533" w:rsidRPr="00CF31E0">
        <w:rPr>
          <w:rFonts w:eastAsia="Times New Roman"/>
        </w:rPr>
        <w:tab/>
      </w:r>
      <w:r w:rsidR="00160CC4" w:rsidRPr="00CF31E0">
        <w:rPr>
          <w:rFonts w:eastAsia="Times New Roman"/>
        </w:rPr>
        <w:t>Social stereotypes and language ideology</w:t>
      </w:r>
      <w:bookmarkEnd w:id="185"/>
      <w:bookmarkEnd w:id="186"/>
      <w:bookmarkEnd w:id="187"/>
      <w:bookmarkEnd w:id="188"/>
      <w:r w:rsidR="00160CC4" w:rsidRPr="00CF31E0">
        <w:rPr>
          <w:rFonts w:eastAsia="Times New Roman"/>
        </w:rPr>
        <w:t xml:space="preserve"> </w:t>
      </w:r>
    </w:p>
    <w:p w14:paraId="1F5525E6" w14:textId="13C56E4F" w:rsidR="00160CC4" w:rsidRPr="00CF31E0" w:rsidRDefault="00160CC4" w:rsidP="00603CB7">
      <w:pPr>
        <w:pStyle w:val="Paragraph"/>
        <w:rPr>
          <w:rFonts w:cs="Arial"/>
          <w:lang w:eastAsia="zh-CN"/>
        </w:rPr>
      </w:pPr>
      <w:r w:rsidRPr="00CF31E0">
        <w:rPr>
          <w:lang w:eastAsia="zh-CN"/>
        </w:rPr>
        <w:fldChar w:fldCharType="begin"/>
      </w:r>
      <w:r w:rsidR="00CD34CA" w:rsidRPr="00CF31E0">
        <w:rPr>
          <w:lang w:eastAsia="zh-CN"/>
        </w:rPr>
        <w:instrText xml:space="preserve"> ADDIN ZOTERO_ITEM CSL_CITATION {"citationID":"Buawbzep","properties":{"formattedCitation":"(Garrett, 2010, p. 32)","plainCitation":"(Garrett, 2010, p. 32)","dontUpdate":true,"noteIndex":0},"citationItems":[{"id":29,"uris":["http://zotero.org/users/1939618/items/NF3PAHT2"],"uri":["http://zotero.org/users/1939618/items/NF3PAHT2"],"itemData":{"id":29,"type":"book","title":"Attitudes to Language","publisher":"Cambridge University Press","publisher-place":"New York, NY","number-of-pages":"269","source":"Google Books","event-place":"New York, NY","abstract":"Just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behaviour.","ISBN":"978-1-139-48682-8","language":"en","author":[{"family":"Garrett","given":"Peter"}],"issued":{"date-parts":[["2010",4,8]]}},"locator":"32","label":"page"}],"schema":"https://github.com/citation-style-language/schema/raw/master/csl-citation.json"} </w:instrText>
      </w:r>
      <w:r w:rsidRPr="00CF31E0">
        <w:rPr>
          <w:lang w:eastAsia="zh-CN"/>
        </w:rPr>
        <w:fldChar w:fldCharType="separate"/>
      </w:r>
      <w:r w:rsidRPr="00CF31E0">
        <w:rPr>
          <w:noProof/>
          <w:lang w:eastAsia="zh-CN"/>
        </w:rPr>
        <w:t>Garrett (2010, p. 32)</w:t>
      </w:r>
      <w:r w:rsidRPr="00CF31E0">
        <w:rPr>
          <w:lang w:eastAsia="zh-CN"/>
        </w:rPr>
        <w:fldChar w:fldCharType="end"/>
      </w:r>
      <w:r w:rsidRPr="00CF31E0">
        <w:rPr>
          <w:lang w:eastAsia="zh-CN"/>
        </w:rPr>
        <w:t xml:space="preserve"> argues that “cognitive processes in language attitudes are likely to be shaped by the individual and collective functions arising from stereotyping in relations between social groups”. This means that people tend to divide the world into social groups; members of one social group share the same characteristics and features as others within his/her group. As a result, social stereotypes can be driven by biases, where members of a group can favour their own social group over the other </w:t>
      </w:r>
      <w:r w:rsidRPr="00CF31E0">
        <w:rPr>
          <w:lang w:eastAsia="zh-CN"/>
        </w:rPr>
        <w:fldChar w:fldCharType="begin"/>
      </w:r>
      <w:r w:rsidR="00CD34CA" w:rsidRPr="00CF31E0">
        <w:rPr>
          <w:lang w:eastAsia="zh-CN"/>
        </w:rPr>
        <w:instrText xml:space="preserve"> ADDIN ZOTERO_ITEM CSL_CITATION {"citationID":"3EuC70kJ","properties":{"formattedCitation":"(Kristiansen et al., 2005)","plainCitation":"(Kristiansen et al., 2005)","noteIndex":0},"citationItems":[{"id":303,"uris":["http://zotero.org/users/1939618/items/C4CULAJ5"],"uri":["http://zotero.org/users/1939618/items/C4CULAJ5"],"itemData":{"id":303,"type":"article-journal","title":"Introducing subjectivities in language variation and change","container-title":"Acta Linguistica Hafniensia","page":"9-35","volume":"37","issue":"1","source":"www-tandfonline-com.sheffield.idm.oclc.org (Atypon)","abstract":"This volume is devoted both to the theoretical question of which roles subjective processes play in language variation and change (LVC), and to the many methodological questions raised by the study of these subjective processes. Obviously, to talk about ‘subjective’ processes implies that there are also ‘objective’ processes, and more generally it suggests that LVC should be studied in terms of a distinction between the ‘subjective’ and the ‘objective’. Such a distinction is not, however, what we normally meet within the literature, where the factors involved in LVC are commonly divided and grouped in terms like internal versus external, linguistic versus social versus (socio)psychological, macro versus micro, and not to forget, the tripartite division introduced by Labov in his summing up of his own life work: internal versus social versus cognitive (Labov 1994, 2001, forthcoming.).","DOI":"10.1080/03740463.2005.10416081","ISSN":"0374-0463","journalAbbreviation":"Acta Linguistica Hafniensia","author":[{"family":"Kristiansen","given":"Tore"},{"family":"Garrett","given":"Peter"},{"family":"Coupland","given":"Nikolas"}],"issued":{"date-parts":[["2005",1,1]]}}}],"schema":"https://github.com/citation-style-language/schema/raw/master/csl-citation.json"} </w:instrText>
      </w:r>
      <w:r w:rsidRPr="00CF31E0">
        <w:rPr>
          <w:lang w:eastAsia="zh-CN"/>
        </w:rPr>
        <w:fldChar w:fldCharType="separate"/>
      </w:r>
      <w:r w:rsidRPr="00CF31E0">
        <w:rPr>
          <w:noProof/>
          <w:lang w:eastAsia="zh-CN"/>
        </w:rPr>
        <w:t>(Kristiansen et al., 2005)</w:t>
      </w:r>
      <w:r w:rsidRPr="00CF31E0">
        <w:rPr>
          <w:lang w:eastAsia="zh-CN"/>
        </w:rPr>
        <w:fldChar w:fldCharType="end"/>
      </w:r>
      <w:r w:rsidRPr="00CF31E0">
        <w:rPr>
          <w:lang w:eastAsia="zh-CN"/>
        </w:rPr>
        <w:t xml:space="preserve">. From the social science perspective, </w:t>
      </w:r>
      <w:r w:rsidRPr="00CF31E0">
        <w:rPr>
          <w:rFonts w:cs="Arial"/>
          <w:lang w:eastAsia="zh-CN"/>
        </w:rPr>
        <w:fldChar w:fldCharType="begin"/>
      </w:r>
      <w:r w:rsidRPr="00CF31E0">
        <w:rPr>
          <w:rFonts w:cs="Arial"/>
          <w:lang w:eastAsia="zh-CN"/>
        </w:rPr>
        <w:instrText xml:space="preserve"> ADDIN ZOTERO_ITEM CSL_CITATION {"citationID":"a8b328hpea","properties":{"formattedCitation":"(Tajfel, 1974)","plainCitation":"(Tajfel, 1974)","dontUpdate":true,"noteIndex":0},"citationItems":[{"id":312,"uris":["http://zotero.org/users/1939618/items/ARNHDUQY"],"uri":["http://zotero.org/users/1939618/items/ARNHDUQY"],"itemData":{"id":312,"type":"article-journal","title":"Social identity and intergroup behaviour","container-title":"Social Science Information","page":"65–93","volume":"13","issue":"2","source":"find.shef.ac.uk","DOI":"10.1177/053901847401300204","ISSN":"0539-0184","author":[{"family":"Tajfel","given":"Henri"}],"issued":{"date-parts":[["1974"]]}}}],"schema":"https://github.com/citation-style-language/schema/raw/master/csl-citation.json"} </w:instrText>
      </w:r>
      <w:r w:rsidRPr="00CF31E0">
        <w:rPr>
          <w:rFonts w:cs="Arial"/>
          <w:lang w:eastAsia="zh-CN"/>
        </w:rPr>
        <w:fldChar w:fldCharType="separate"/>
      </w:r>
      <w:r w:rsidRPr="00CF31E0">
        <w:rPr>
          <w:rFonts w:cs="Arial"/>
          <w:lang w:eastAsia="zh-CN"/>
        </w:rPr>
        <w:t>Tajfel (1974)</w:t>
      </w:r>
      <w:r w:rsidRPr="00CF31E0">
        <w:rPr>
          <w:rFonts w:cs="Arial"/>
          <w:lang w:eastAsia="zh-CN"/>
        </w:rPr>
        <w:fldChar w:fldCharType="end"/>
      </w:r>
      <w:r w:rsidRPr="00CF31E0">
        <w:rPr>
          <w:rFonts w:cs="Arial"/>
          <w:lang w:eastAsia="zh-CN"/>
        </w:rPr>
        <w:t xml:space="preserve"> </w:t>
      </w:r>
      <w:r w:rsidRPr="00CF31E0">
        <w:rPr>
          <w:rFonts w:cs="Arial"/>
          <w:lang w:eastAsia="zh-CN"/>
        </w:rPr>
        <w:lastRenderedPageBreak/>
        <w:t xml:space="preserve">coined social identity theory, which involves analysing the attitudes of the in-group and out-group towards each other. </w:t>
      </w:r>
      <w:r w:rsidRPr="00CF31E0">
        <w:rPr>
          <w:rFonts w:cs="Arial"/>
          <w:lang w:eastAsia="zh-CN"/>
        </w:rPr>
        <w:fldChar w:fldCharType="begin"/>
      </w:r>
      <w:r w:rsidRPr="00CF31E0">
        <w:rPr>
          <w:rFonts w:cs="Arial"/>
          <w:lang w:eastAsia="zh-CN"/>
        </w:rPr>
        <w:instrText xml:space="preserve"> ADDIN ZOTERO_ITEM CSL_CITATION {"citationID":"Lewex7TH","properties":{"formattedCitation":"(Tajfel, 1974)","plainCitation":"(Tajfel, 1974)","dontUpdate":true,"noteIndex":0},"citationItems":[{"id":312,"uris":["http://zotero.org/users/1939618/items/ARNHDUQY"],"uri":["http://zotero.org/users/1939618/items/ARNHDUQY"],"itemData":{"id":312,"type":"article-journal","title":"Social identity and intergroup behaviour","container-title":"Social Science Information","page":"65–93","volume":"13","issue":"2","source":"find.shef.ac.uk","DOI":"10.1177/053901847401300204","ISSN":"0539-0184","author":[{"family":"Tajfel","given":"Henri"}],"issued":{"date-parts":[["1974"]]}}}],"schema":"https://github.com/citation-style-language/schema/raw/master/csl-citation.json"} </w:instrText>
      </w:r>
      <w:r w:rsidRPr="00CF31E0">
        <w:rPr>
          <w:rFonts w:cs="Arial"/>
          <w:lang w:eastAsia="zh-CN"/>
        </w:rPr>
        <w:fldChar w:fldCharType="separate"/>
      </w:r>
      <w:r w:rsidRPr="00CF31E0">
        <w:rPr>
          <w:rFonts w:cs="Arial"/>
          <w:lang w:eastAsia="zh-CN"/>
        </w:rPr>
        <w:t>Tajfel (1974)</w:t>
      </w:r>
      <w:r w:rsidRPr="00CF31E0">
        <w:rPr>
          <w:rFonts w:cs="Arial"/>
          <w:lang w:eastAsia="zh-CN"/>
        </w:rPr>
        <w:fldChar w:fldCharType="end"/>
      </w:r>
      <w:r w:rsidRPr="00CF31E0">
        <w:rPr>
          <w:rFonts w:cs="Arial"/>
          <w:lang w:eastAsia="zh-CN"/>
        </w:rPr>
        <w:t xml:space="preserve"> emphasizes the idea that the group to which a person belongs gives him/her a sense of identity and individuality, and furthermore that a member of a group seeks to enhance the status of his/her group as a means of increasing his/her own confidence and self-esteem. In order to enhance their status even further, members of a group tend to emphasize similarities among them and over-stress differences between their own social group and other social groups. </w:t>
      </w:r>
    </w:p>
    <w:p w14:paraId="209BAC38" w14:textId="15141C47" w:rsidR="00160CC4" w:rsidRPr="00CF31E0" w:rsidRDefault="00160CC4" w:rsidP="00603CB7">
      <w:pPr>
        <w:pStyle w:val="Paragraph"/>
        <w:rPr>
          <w:lang w:eastAsia="zh-CN"/>
        </w:rPr>
      </w:pPr>
      <w:r w:rsidRPr="00CF31E0">
        <w:rPr>
          <w:lang w:eastAsia="zh-CN"/>
        </w:rPr>
        <w:t xml:space="preserve">In a similar vein, in the language attitudes field, stereotypical attitudes towards a certain language or dialect inherently include cognitive processes which can be shaped by “beliefs about a speaker, their group membership and can lead to assumptions of attributes of those members” </w:t>
      </w:r>
      <w:r w:rsidRPr="00CF31E0">
        <w:rPr>
          <w:lang w:eastAsia="zh-CN"/>
        </w:rPr>
        <w:fldChar w:fldCharType="begin"/>
      </w:r>
      <w:r w:rsidR="00CD34CA" w:rsidRPr="00CF31E0">
        <w:rPr>
          <w:lang w:eastAsia="zh-CN"/>
        </w:rPr>
        <w:instrText xml:space="preserve"> ADDIN ZOTERO_ITEM CSL_CITATION {"citationID":"zkvBsKNP","properties":{"formattedCitation":"(Garrett et al., 2003, p. 3)","plainCitation":"(Garrett et al., 2003, p. 3)","noteIndex":0},"citationItems":[{"id":311,"uris":["http://zotero.org/users/1939618/items/UQ7HLIBB"],"uri":["http://zotero.org/users/1939618/items/UQ7HLIBB"],"itemData":{"id":311,"type":"book","title":"Investigating language attitudes [electronic resource]: social meanings of dialect, ethnicity and performance","publisher":"University of Wales Press","publisher-place":"Cardiff","number-of-pages":"x+251","source":"find.shef.ac.uk","event-place":"Cardiff","URL":"https://www.dawsonera.com/guard/protected/dawson.jsp?name=https://idp.shef.ac.uk/shibboleth&amp;dest=http://www.dawsonera.com/depp/reader/protected/external/AbstractView/S9781783162086","ISBN":"978-1-78316-208-6","shortTitle":"Investigating language attitudes [electronic resource]","language":"eng","author":[{"family":"Garrett","given":"Peter"},{"family":"Coupland","given":"Nikolas"},{"family":"Williams","given":"Angie"}],"issued":{"date-parts":[["2003"]]},"accessed":{"date-parts":[["2018",1,8]]}},"locator":"3","label":"page"}],"schema":"https://github.com/citation-style-language/schema/raw/master/csl-citation.json"} </w:instrText>
      </w:r>
      <w:r w:rsidRPr="00CF31E0">
        <w:rPr>
          <w:lang w:eastAsia="zh-CN"/>
        </w:rPr>
        <w:fldChar w:fldCharType="separate"/>
      </w:r>
      <w:r w:rsidRPr="00CF31E0">
        <w:rPr>
          <w:noProof/>
          <w:lang w:eastAsia="zh-CN"/>
        </w:rPr>
        <w:t>(Garrett et al., 2003, p. 3)</w:t>
      </w:r>
      <w:r w:rsidRPr="00CF31E0">
        <w:rPr>
          <w:lang w:eastAsia="zh-CN"/>
        </w:rPr>
        <w:fldChar w:fldCharType="end"/>
      </w:r>
      <w:r w:rsidRPr="00CF31E0">
        <w:rPr>
          <w:lang w:eastAsia="zh-CN"/>
        </w:rPr>
        <w:t xml:space="preserve">. Such beliefs are not arbitrary, since they emerge systematically from the way a speaker speaks, including style of speaking, linguistic forms and so on. It is strongly claimed that social stereotypes are influenced by the concept of language ideology, where stereotypes are affected by “the system of beliefs that maintains, triggers, and directs such discrimination” </w:t>
      </w:r>
      <w:r w:rsidRPr="00CF31E0">
        <w:rPr>
          <w:lang w:eastAsia="zh-CN"/>
        </w:rPr>
        <w:fldChar w:fldCharType="begin"/>
      </w:r>
      <w:r w:rsidR="00CD34CA" w:rsidRPr="00CF31E0">
        <w:rPr>
          <w:lang w:eastAsia="zh-CN"/>
        </w:rPr>
        <w:instrText xml:space="preserve"> ADDIN ZOTERO_ITEM CSL_CITATION {"citationID":"DlV4e6y6","properties":{"formattedCitation":"(Garrett, 2010, p. 33)","plainCitation":"(Garrett, 2010, p. 33)","noteIndex":0},"citationItems":[{"id":29,"uris":["http://zotero.org/users/1939618/items/NF3PAHT2"],"uri":["http://zotero.org/users/1939618/items/NF3PAHT2"],"itemData":{"id":29,"type":"book","title":"Attitudes to Language","publisher":"Cambridge University Press","publisher-place":"New York, NY","number-of-pages":"269","source":"Google Books","event-place":"New York, NY","abstract":"Just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behaviour.","ISBN":"978-1-139-48682-8","language":"en","author":[{"family":"Garrett","given":"Peter"}],"issued":{"date-parts":[["2010",4,8]]}},"locator":"33","label":"page"}],"schema":"https://github.com/citation-style-language/schema/raw/master/csl-citation.json"} </w:instrText>
      </w:r>
      <w:r w:rsidRPr="00CF31E0">
        <w:rPr>
          <w:lang w:eastAsia="zh-CN"/>
        </w:rPr>
        <w:fldChar w:fldCharType="separate"/>
      </w:r>
      <w:r w:rsidRPr="00CF31E0">
        <w:rPr>
          <w:noProof/>
          <w:lang w:eastAsia="zh-CN"/>
        </w:rPr>
        <w:t>(Garrett, 2010, p. 33)</w:t>
      </w:r>
      <w:r w:rsidRPr="00CF31E0">
        <w:rPr>
          <w:lang w:eastAsia="zh-CN"/>
        </w:rPr>
        <w:fldChar w:fldCharType="end"/>
      </w:r>
      <w:r w:rsidRPr="00CF31E0">
        <w:rPr>
          <w:lang w:eastAsia="zh-CN"/>
        </w:rPr>
        <w:t xml:space="preserve">. This means that on the face of the issue, stereotypes act like ideology, but in reality, stereotypes derive their assumptions from language ideology since the latter is a macro system that divides the world into groups according to their socio-culturally shared features. It is important to note that even though social stereotypes and language ideology are conceptually similar, they come from different fields. Social stereotypes come from social psychology, while language ideology comes from linguistic anthropology </w:t>
      </w:r>
      <w:r w:rsidRPr="00CF31E0">
        <w:rPr>
          <w:lang w:eastAsia="zh-CN"/>
        </w:rPr>
        <w:fldChar w:fldCharType="begin"/>
      </w:r>
      <w:r w:rsidR="00CD34CA" w:rsidRPr="00CF31E0">
        <w:rPr>
          <w:lang w:eastAsia="zh-CN"/>
        </w:rPr>
        <w:instrText xml:space="preserve"> ADDIN ZOTERO_ITEM CSL_CITATION {"citationID":"a1e0mvo8ufn","properties":{"formattedCitation":"(Garrett, 2010; Garrett et al., 2003)","plainCitation":"(Garrett, 2010; Garrett et al., 2003)","noteIndex":0},"citationItems":[{"id":29,"uris":["http://zotero.org/users/1939618/items/NF3PAHT2"],"uri":["http://zotero.org/users/1939618/items/NF3PAHT2"],"itemData":{"id":29,"type":"book","title":"Attitudes to Language","publisher":"Cambridge University Press","publisher-place":"New York, NY","number-of-pages":"269","source":"Google Books","event-place":"New York, NY","abstract":"Just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label":"page"},{"id":311,"uris":["http://zotero.org/users/1939618/items/UQ7HLIBB"],"uri":["http://zotero.org/users/1939618/items/UQ7HLIBB"],"itemData":{"id":311,"type":"book","title":"Investigating language attitudes [electronic resource]: social meanings of dialect, ethnicity and performance","publisher":"University of Wales Press","publisher-place":"Cardiff","number-of-pages":"x+251","source":"find.shef.ac.uk","event-place":"Cardiff","URL":"https://www.dawsonera.com/guard/protected/dawson.jsp?name=https://idp.shef.ac.uk/shibboleth&amp;dest=http://www.dawsonera.com/depp/reader/protected/external/AbstractView/S9781783162086","ISBN":"978-1-78316-208-6","shortTitle":"Investigating language attitudes [electronic resource]","language":"eng","author":[{"family":"Garrett","given":"Peter"},{"family":"Coupland","given":"Nikolas"},{"family":"Williams","given":"Angie"}],"issued":{"date-parts":[["2003"]]},"accessed":{"date-parts":[["2018",1,8]]}},"label":"page"}],"schema":"https://github.com/citation-style-language/schema/raw/master/csl-citation.json"} </w:instrText>
      </w:r>
      <w:r w:rsidRPr="00CF31E0">
        <w:rPr>
          <w:lang w:eastAsia="zh-CN"/>
        </w:rPr>
        <w:fldChar w:fldCharType="separate"/>
      </w:r>
      <w:r w:rsidRPr="00CF31E0">
        <w:rPr>
          <w:noProof/>
          <w:lang w:eastAsia="zh-CN"/>
        </w:rPr>
        <w:t>(Garrett, 2010; Garrett et al., 2003)</w:t>
      </w:r>
      <w:r w:rsidRPr="00CF31E0">
        <w:rPr>
          <w:lang w:eastAsia="zh-CN"/>
        </w:rPr>
        <w:fldChar w:fldCharType="end"/>
      </w:r>
      <w:r w:rsidRPr="00CF31E0">
        <w:rPr>
          <w:lang w:eastAsia="zh-CN"/>
        </w:rPr>
        <w:t>. The present study will be much more inclined to focus on social psychology as “language attitude research c</w:t>
      </w:r>
      <w:r w:rsidR="00FF5758" w:rsidRPr="00CF31E0">
        <w:rPr>
          <w:lang w:eastAsia="zh-CN"/>
        </w:rPr>
        <w:t>an be seen as</w:t>
      </w:r>
      <w:r w:rsidRPr="00CF31E0">
        <w:rPr>
          <w:lang w:eastAsia="zh-CN"/>
        </w:rPr>
        <w:t xml:space="preserve"> one set of methodological options for studying language ideologies”</w:t>
      </w:r>
      <w:r w:rsidR="003B274C" w:rsidRPr="00CF31E0">
        <w:rPr>
          <w:lang w:eastAsia="zh-CN"/>
        </w:rPr>
        <w:t xml:space="preserve"> </w:t>
      </w:r>
      <w:r w:rsidRPr="00CF31E0">
        <w:rPr>
          <w:lang w:eastAsia="zh-CN"/>
        </w:rPr>
        <w:fldChar w:fldCharType="begin"/>
      </w:r>
      <w:r w:rsidR="00CD34CA" w:rsidRPr="00CF31E0">
        <w:rPr>
          <w:lang w:eastAsia="zh-CN"/>
        </w:rPr>
        <w:instrText xml:space="preserve"> ADDIN ZOTERO_ITEM CSL_CITATION {"citationID":"wz3cgz12","properties":{"formattedCitation":"(Garrett, 2010, p. 35)","plainCitation":"(Garrett, 2010, p. 35)","noteIndex":0},"citationItems":[{"id":29,"uris":["http://zotero.org/users/1939618/items/NF3PAHT2"],"uri":["http://zotero.org/users/1939618/items/NF3PAHT2"],"itemData":{"id":29,"type":"book","title":"Attitudes to Language","publisher":"Cambridge University Press","publisher-place":"New York, NY","number-of-pages":"269","source":"Google Books","event-place":"New York, NY","abstract":"Just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behaviour.","ISBN":"978-1-139-48682-8","language":"en","author":[{"family":"Garrett","given":"Peter"}],"issued":{"date-parts":[["2010",4,8]]}},"locator":"35","label":"page"}],"schema":"https://github.com/citation-style-language/schema/raw/master/csl-citation.json"} </w:instrText>
      </w:r>
      <w:r w:rsidRPr="00CF31E0">
        <w:rPr>
          <w:lang w:eastAsia="zh-CN"/>
        </w:rPr>
        <w:fldChar w:fldCharType="separate"/>
      </w:r>
      <w:r w:rsidRPr="00CF31E0">
        <w:rPr>
          <w:noProof/>
          <w:lang w:eastAsia="zh-CN"/>
        </w:rPr>
        <w:t>(Garrett, 2010, p. 35)</w:t>
      </w:r>
      <w:r w:rsidRPr="00CF31E0">
        <w:rPr>
          <w:lang w:eastAsia="zh-CN"/>
        </w:rPr>
        <w:fldChar w:fldCharType="end"/>
      </w:r>
      <w:r w:rsidR="00205CB0" w:rsidRPr="00CF31E0">
        <w:rPr>
          <w:lang w:eastAsia="zh-CN"/>
        </w:rPr>
        <w:t>.</w:t>
      </w:r>
    </w:p>
    <w:p w14:paraId="0F2A94A6" w14:textId="6F29B8EE" w:rsidR="00160CC4" w:rsidRPr="00CF31E0" w:rsidRDefault="00160CC4" w:rsidP="00603CB7">
      <w:pPr>
        <w:pStyle w:val="Paragraph"/>
        <w:rPr>
          <w:rFonts w:cs="Arial"/>
          <w:lang w:eastAsia="zh-CN"/>
        </w:rPr>
      </w:pPr>
      <w:r w:rsidRPr="00CF31E0">
        <w:rPr>
          <w:lang w:eastAsia="zh-CN"/>
        </w:rPr>
        <w:t xml:space="preserve">The notion of stereotypes in language attitudes plays a significant role in shaping and directing one’s own judgment towards a specific dialect or language. Furthermore, it is of great significance for researchers aiming to understand reasons for language variation and change. Therefore, it has been widely researched in language attitude studies </w:t>
      </w:r>
      <w:r w:rsidRPr="00CF31E0">
        <w:rPr>
          <w:rFonts w:cs="Arial"/>
          <w:lang w:eastAsia="zh-CN"/>
        </w:rPr>
        <w:fldChar w:fldCharType="begin"/>
      </w:r>
      <w:r w:rsidR="00CD34CA" w:rsidRPr="00CF31E0">
        <w:rPr>
          <w:rFonts w:cs="Arial"/>
          <w:lang w:eastAsia="zh-CN"/>
        </w:rPr>
        <w:instrText xml:space="preserve"> ADDIN ZOTERO_ITEM CSL_CITATION {"citationID":"zm3RgJSj","properties":{"formattedCitation":"(Garrett et al., 2005a; Giles, 1970; Ladegaard, 1998a; Stewart et al., 1985a)","plainCitation":"(Garrett et al., 2005a; Giles, 1970; Ladegaard, 1998a; Stewart et al., 1985a)","noteIndex":0},"citationItems":[{"id":298,"uris":["http://zotero.org/users/1939618/items/VGGFH99T"],"uri":["http://zotero.org/users/1939618/items/VGGFH99T"],"itemData":{"id":298,"type":"article-journal","title":"Accessing social meanings: Values of keywords, values in keywords","container-title":"Acta Linguistica Hafniensia","page":"37–54","volume":"37","issue":"1","source":"Google Scholar","shortTitle":"Accessing social meanings","author":[{"family":"Garrett","given":"Peter"},{"family":"Williams","given":"Angie"},{"family":"Evans","given":"Betsy"}],"issued":{"date-parts":[["2005"]]}},"label":"page"},{"id":62,"uris":["http://zotero.org/users/1939618/items/ZXQ48QBG"],"uri":["http://zotero.org/users/1939618/items/ZXQ48QBG"],"itemData":{"id":62,"type":"article-journal","title":"Evaluative reactions to accents","container-title":"Educational review","page":"211–227","volume":"22","issue":"3","source":"Google Scholar","author":[{"family":"Giles","given":"Howard"}],"issued":{"date-parts":[["1970"]]}},"label":"page"},{"id":235,"uris":["http://zotero.org/users/1939618/items/255XMBZ9"],"uri":["http://zotero.org/users/1939618/items/255XMBZ9"],"itemData":{"id":235,"type":"article-journal","title":"Assessing national stereotypes in language attitude studies: The case of class-consciousness in Denmark","container-title":"Journal of Multilingual and Multicultural Development","page":"182–198","volume":"19","issue":"3","source":"Google Scholar","shortTitle":"Assessing national stereotypes in language attitude studies","author":[{"family":"Ladegaard","given":"Hans J."}],"issued":{"date-parts":[["1998"]]}},"label":"page"},{"id":64,"uris":["http://zotero.org/users/1939618/items/TPBM3MJW"],"uri":["http://zotero.org/users/1939618/items/TPBM3MJW"],"itemData":{"id":64,"type":"article-journal","title":"Accent and social class effects on status and solidarity evaluations","container-title":"Personality and Social Psychology Bulletin","page":"98–105","volume":"11","issue":"1","source":"Google Scholar","author":[{"family":"Stewart","given":"Mark A."},{"family":"Ryan","given":"Ellen Bouchard"},{"family":"Giles","given":"Howard"}],"issued":{"date-parts":[["1985"]]}},"label":"page"}],"schema":"https://github.com/citation-style-language/schema/raw/master/csl-citation.json"} </w:instrText>
      </w:r>
      <w:r w:rsidRPr="00CF31E0">
        <w:rPr>
          <w:rFonts w:cs="Arial"/>
          <w:lang w:eastAsia="zh-CN"/>
        </w:rPr>
        <w:fldChar w:fldCharType="separate"/>
      </w:r>
      <w:r w:rsidR="00CD34CA" w:rsidRPr="00CF31E0">
        <w:rPr>
          <w:rFonts w:cs="Arial"/>
          <w:noProof/>
          <w:lang w:eastAsia="zh-CN"/>
        </w:rPr>
        <w:t xml:space="preserve">(Garrett et al., 2005a; </w:t>
      </w:r>
      <w:r w:rsidR="00CD34CA" w:rsidRPr="00CF31E0">
        <w:rPr>
          <w:rFonts w:cs="Arial"/>
          <w:noProof/>
          <w:lang w:eastAsia="zh-CN"/>
        </w:rPr>
        <w:lastRenderedPageBreak/>
        <w:t>Giles, 1970; Ladegaa</w:t>
      </w:r>
      <w:r w:rsidR="00603709" w:rsidRPr="00CF31E0">
        <w:rPr>
          <w:rFonts w:cs="Arial"/>
          <w:noProof/>
          <w:lang w:eastAsia="zh-CN"/>
        </w:rPr>
        <w:t>rd, 1998</w:t>
      </w:r>
      <w:r w:rsidR="00CA2735" w:rsidRPr="00CF31E0">
        <w:rPr>
          <w:rFonts w:cs="Arial"/>
          <w:noProof/>
          <w:lang w:eastAsia="zh-CN"/>
        </w:rPr>
        <w:t>; Stewart et al., 1985</w:t>
      </w:r>
      <w:r w:rsidR="00CD34CA" w:rsidRPr="00CF31E0">
        <w:rPr>
          <w:rFonts w:cs="Arial"/>
          <w:noProof/>
          <w:lang w:eastAsia="zh-CN"/>
        </w:rPr>
        <w:t>)</w:t>
      </w:r>
      <w:r w:rsidRPr="00CF31E0">
        <w:rPr>
          <w:rFonts w:cs="Arial"/>
          <w:lang w:eastAsia="zh-CN"/>
        </w:rPr>
        <w:fldChar w:fldCharType="end"/>
      </w:r>
      <w:r w:rsidRPr="00CF31E0">
        <w:rPr>
          <w:rFonts w:cs="Arial"/>
          <w:lang w:eastAsia="zh-CN"/>
        </w:rPr>
        <w:t xml:space="preserve">. Hence, </w:t>
      </w:r>
      <w:r w:rsidRPr="00CF31E0">
        <w:rPr>
          <w:lang w:eastAsia="zh-CN"/>
        </w:rPr>
        <w:t xml:space="preserve">the investigation of stereotypical assumptions and the macro ideological system of Hijazi Saudi dialects will help the researcher in the present study to examine the underpinning and sustaining factors that led to dialect variation and change in the region. </w:t>
      </w:r>
    </w:p>
    <w:p w14:paraId="4E19338E" w14:textId="6A75ECB2" w:rsidR="00160CC4" w:rsidRPr="00CF31E0" w:rsidRDefault="009B0A98" w:rsidP="0061369D">
      <w:pPr>
        <w:pStyle w:val="Ahead"/>
        <w:rPr>
          <w:rFonts w:eastAsia="Times New Roman"/>
        </w:rPr>
      </w:pPr>
      <w:bookmarkStart w:id="189" w:name="_Toc509646842"/>
      <w:bookmarkStart w:id="190" w:name="_Toc510004004"/>
      <w:bookmarkStart w:id="191" w:name="_Toc510025759"/>
      <w:bookmarkStart w:id="192" w:name="_Toc6472648"/>
      <w:r w:rsidRPr="00CF31E0">
        <w:rPr>
          <w:rFonts w:eastAsia="Times New Roman"/>
        </w:rPr>
        <w:t>4</w:t>
      </w:r>
      <w:r w:rsidR="00160CC4" w:rsidRPr="00CF31E0">
        <w:rPr>
          <w:rFonts w:eastAsia="Times New Roman"/>
        </w:rPr>
        <w:t>.4.</w:t>
      </w:r>
      <w:r w:rsidR="00FD5533" w:rsidRPr="00CF31E0">
        <w:rPr>
          <w:rFonts w:eastAsia="Times New Roman"/>
        </w:rPr>
        <w:tab/>
      </w:r>
      <w:r w:rsidR="00160CC4" w:rsidRPr="00CF31E0">
        <w:rPr>
          <w:rFonts w:eastAsia="Times New Roman"/>
        </w:rPr>
        <w:t>Methodological approaches in language attitude research</w:t>
      </w:r>
      <w:bookmarkEnd w:id="189"/>
      <w:bookmarkEnd w:id="190"/>
      <w:bookmarkEnd w:id="191"/>
      <w:bookmarkEnd w:id="192"/>
      <w:r w:rsidR="00160CC4" w:rsidRPr="00CF31E0">
        <w:rPr>
          <w:rFonts w:eastAsia="Times New Roman"/>
        </w:rPr>
        <w:t xml:space="preserve"> </w:t>
      </w:r>
    </w:p>
    <w:p w14:paraId="7FB9BC33" w14:textId="79D526A8" w:rsidR="00160CC4" w:rsidRPr="00CF31E0" w:rsidRDefault="00160CC4" w:rsidP="00603CB7">
      <w:pPr>
        <w:pStyle w:val="Paragraph"/>
        <w:rPr>
          <w:lang w:eastAsia="zh-CN"/>
        </w:rPr>
      </w:pPr>
      <w:r w:rsidRPr="00CF31E0">
        <w:rPr>
          <w:lang w:eastAsia="zh-CN"/>
        </w:rPr>
        <w:t xml:space="preserve">In language attitude research, the nature and reality of attitudes elicited from participants is the focus of debate </w:t>
      </w:r>
      <w:r w:rsidRPr="00CF31E0">
        <w:rPr>
          <w:lang w:eastAsia="zh-CN"/>
        </w:rPr>
        <w:fldChar w:fldCharType="begin"/>
      </w:r>
      <w:r w:rsidR="00A54129" w:rsidRPr="00CF31E0">
        <w:rPr>
          <w:lang w:eastAsia="zh-CN"/>
        </w:rPr>
        <w:instrText xml:space="preserve"> ADDIN ZOTERO_ITEM CSL_CITATION {"citationID":"a1e2vkku58c","properties":{"formattedCitation":"(Garrett et al., 2005b; Kristiansen et al., 2005; Labov, 1982)","plainCitation":"(Garrett et al., 2005b; Kristiansen et al., 2005; Labov, 1982)","noteIndex":0},"citationItems":[{"id":326,"uris":["http://zotero.org/users/1939618/items/CTAELXKB"],"uri":["http://zotero.org/users/1939618/items/CTAELXKB"],"itemData":{"id":326,"type":"article-journal","title":"Attitudinal data from New Zealand, Australia, the USA and UK about each other’s Englishes: Recent changes or consequences of methodologies?","container-title":"Multilingua","page":"211–235","volume":"24","issue":"3","source":"DeGruyter","abstract":"Recent attitudinal research by Bayard et al. (2001) suggested changes in the comparative evaluations of Australian, New Zealand, US and English Englishes, with US English on its way to becoming the preferred variety. We revisit these attitudes after a period of political change in the US, and using a research methodology in line with folklinguistic approaches to attitudes research (e. g. Preston 1996). Convenience samples of respondents in these four countries were asked to identify the countries where they knew English was spoken as a native language, and then quickly to write down their first reactions to those varieties. US English was viewed strikingly negatively in terms of its affective associations, and there were references to ‘excess’ from all respondent groups (e. g. overassertive, overenthusiastic). And, against expectations, the affective profile of English English was not overwhelmingly negative for all groups of respondents. We consider the results in relation to the findings and methods of the earlier studies, and also briefly consider the different statuses of these varieties in terms of the current discussion of late modernity and of different standard varieties (e. g. Kristiansen 2001b) serving different aspects of social life.","DOI":"10.1515/mult.2005.24.3.211","ISSN":"1613-3684","shortTitle":"Attitudinal data from New Zealand, Australia, the USA and UK about each other’s Englishes","author":[{"family":"Garrett","given":"Peter"},{"family":"Williams","given":"Angie"},{"family":"Evans","given":"Betsy"}],"issued":{"date-parts":[["2005"]]}},"label":"page"},{"id":303,"uris":["http://zotero.org/users/1939618/items/C4CULAJ5"],"uri":["http://zotero.org/users/1939618/items/C4CULAJ5"],"itemData":{"id":303,"type":"article-journal","title":"Introducing subjectivities in language variation and change","container-title":"Acta Linguistica Hafniensia","page":"9-35","volume":"37","issue":"1","source":"www-tandfonline-com.sheffield.idm.oclc.org (Atypon)","abstract":"This volume is devoted both to the theoretical question of which roles subjective processes play in language variation and change (LVC), and to the many methodological questions raised by the study of these subjective processes. Obviously, to talk about ‘subjective’ processes implies that there are also ‘objective’ processes, and more generally it suggests that LVC should be studied in terms of a distinction between the ‘subjective’ and the ‘objective’. Such a distinction is not, however, what we normally meet within the literature, where the factors involved in LVC are commonly divided and grouped in terms like internal versus external, linguistic versus social versus (socio)psychological, macro versus micro, and not to forget, the tripartite division introduced by Labov in his summing up of his own life work: internal versus social versus cognitive (Labov 1994, 2001, forthcoming.).","DOI":"10.1080/03740463.2005.10416081","ISSN":"0374-0463","journalAbbreviation":"Acta Linguistica Hafniensia","author":[{"family":"Kristiansen","given":"Tore"},{"family":"Garrett","given":"Peter"},{"family":"Coupland","given":"Nikolas"}],"issued":{"date-parts":[["2005",1,1]]}},"label":"page"},{"id":350,"uris":["http://zotero.org/users/1939618/items/863XHPZF"],"uri":["http://zotero.org/users/1939618/items/863XHPZF"],"itemData":{"id":350,"type":"book","title":"The social stratification of English in New York City.","collection-title":"Urban language series","publisher":"Center for Applied Linguistics","publisher-place":"(Washington, D.C.)","source":"find.shef.ac.uk","event-place":"(Washington, D.C.)","call-number":"427.973 (L)","language":"eng","author":[{"family":"Labov","given":"William"}],"issued":{"date-parts":[["1982"]]}},"label":"page"}],"schema":"https://github.com/citation-style-language/schema/raw/master/csl-citation.json"} </w:instrText>
      </w:r>
      <w:r w:rsidRPr="00CF31E0">
        <w:rPr>
          <w:lang w:eastAsia="zh-CN"/>
        </w:rPr>
        <w:fldChar w:fldCharType="separate"/>
      </w:r>
      <w:r w:rsidR="00A54129" w:rsidRPr="00CF31E0">
        <w:rPr>
          <w:noProof/>
          <w:lang w:eastAsia="zh-CN"/>
        </w:rPr>
        <w:t>(Garrett et al., 2005b; Kristiansen et al., 2005; Labov, 1982)</w:t>
      </w:r>
      <w:r w:rsidRPr="00CF31E0">
        <w:rPr>
          <w:lang w:eastAsia="zh-CN"/>
        </w:rPr>
        <w:fldChar w:fldCharType="end"/>
      </w:r>
      <w:r w:rsidRPr="00CF31E0">
        <w:rPr>
          <w:lang w:eastAsia="zh-CN"/>
        </w:rPr>
        <w:t xml:space="preserve">. The issue is that, on the one hand, in real life people tend to sometimes conceal their attitudes and not provide their real attitudes; rather, they reveal attitudes they think they have to expose. On the other hand, sometimes people might indicate their real attitudes during their social life </w:t>
      </w:r>
      <w:r w:rsidRPr="00CF31E0">
        <w:rPr>
          <w:lang w:eastAsia="zh-CN"/>
        </w:rPr>
        <w:fldChar w:fldCharType="begin"/>
      </w:r>
      <w:r w:rsidR="00CD34CA" w:rsidRPr="00CF31E0">
        <w:rPr>
          <w:lang w:eastAsia="zh-CN"/>
        </w:rPr>
        <w:instrText xml:space="preserve"> ADDIN ZOTERO_ITEM CSL_CITATION {"citationID":"a24frn7vva8","properties":{"formattedCitation":"(Garrett, 2010; Garrett et al., 2003; Kristiansen et al., 2005)","plainCitation":"(Garrett, 2010; Garrett et al., 2003; Kristiansen et al., 2005)","noteIndex":0},"citationItems":[{"id":29,"uris":["http://zotero.org/users/1939618/items/NF3PAHT2"],"uri":["http://zotero.org/users/1939618/items/NF3PAHT2"],"itemData":{"id":29,"type":"book","title":"Attitudes to Language","publisher":"Cambridge University Press","publisher-place":"New York, NY","number-of-pages":"269","source":"Google Books","event-place":"New York, NY","abstract":"Just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label":"page"},{"id":311,"uris":["http://zotero.org/users/1939618/items/UQ7HLIBB"],"uri":["http://zotero.org/users/1939618/items/UQ7HLIBB"],"itemData":{"id":311,"type":"book","title":"Investigating language attitudes [electronic resource]: social meanings of dialect, ethnicity and performance","publisher":"University of Wales Press","publisher-place":"Cardiff","number-of-pages":"x+251","source":"find.shef.ac.uk","event-place":"Cardiff","URL":"https://www.dawsonera.com/guard/protected/dawson.jsp?name=https://idp.shef.ac.uk/shibboleth&amp;dest=http://www.dawsonera.com/depp/reader/protected/external/AbstractView/S9781783162086","ISBN":"978-1-78316-208-6","shortTitle":"Investigating language attitudes [electronic resource]","language":"eng","author":[{"family":"Garrett","given":"Peter"},{"family":"Coupland","given":"Nikolas"},{"family":"Williams","given":"Angie"}],"issued":{"date-parts":[["2003"]]},"accessed":{"date-parts":[["2018",1,8]]}},"label":"page"},{"id":303,"uris":["http://zotero.org/users/1939618/items/C4CULAJ5"],"uri":["http://zotero.org/users/1939618/items/C4CULAJ5"],"itemData":{"id":303,"type":"article-journal","title":"Introducing subjectivities in language variation and change","container-title":"Acta Linguistica Hafniensia","page":"9-35","volume":"37","issue":"1","source":"www-tandfonline-com.sheffield.idm.oclc.org (Atypon)","abstract":"This volume is devoted both to the theoretical question of which roles subjective processes play in language variation and change (LVC), and to the many methodological questions raised by the study of these subjective processes. Obviously, to talk about ‘subjective’ processes implies that there are also ‘objective’ processes, and more generally it suggests that LVC should be studied in terms of a distinction between the ‘subjective’ and the ‘objective’. Such a distinction is not, however, what we normally meet within the literature, where the factors involved in LVC are commonly divided and grouped in terms like internal versus external, linguistic versus social versus (socio)psychological, macro versus micro, and not to forget, the tripartite division introduced by Labov in his summing up of his own life work: internal versus social versus cognitive (Labov 1994, 2001, forthcoming.).","DOI":"10.1080/03740463.2005.10416081","ISSN":"0374-0463","journalAbbreviation":"Acta Linguistica Hafniensia","author":[{"family":"Kristiansen","given":"Tore"},{"family":"Garrett","given":"Peter"},{"family":"Coupland","given":"Nikolas"}],"issued":{"date-parts":[["2005",1,1]]}},"label":"page"}],"schema":"https://github.com/citation-style-language/schema/raw/master/csl-citation.json"} </w:instrText>
      </w:r>
      <w:r w:rsidRPr="00CF31E0">
        <w:rPr>
          <w:lang w:eastAsia="zh-CN"/>
        </w:rPr>
        <w:fldChar w:fldCharType="separate"/>
      </w:r>
      <w:r w:rsidRPr="00CF31E0">
        <w:rPr>
          <w:noProof/>
          <w:lang w:eastAsia="zh-CN"/>
        </w:rPr>
        <w:t>(Garrett, 2010; Garrett et al., 2003; Kristiansen et al., 2005)</w:t>
      </w:r>
      <w:r w:rsidRPr="00CF31E0">
        <w:rPr>
          <w:lang w:eastAsia="zh-CN"/>
        </w:rPr>
        <w:fldChar w:fldCharType="end"/>
      </w:r>
      <w:r w:rsidRPr="00CF31E0">
        <w:rPr>
          <w:lang w:eastAsia="zh-CN"/>
        </w:rPr>
        <w:t xml:space="preserve">. Therefore, language attitude research attempts to find approaches where attitudes can be best elicited through direct or indirect methods. As a result, two main approaches have emerged in the process of measuring language attitudes: the direct and the indirect approach. </w:t>
      </w:r>
    </w:p>
    <w:p w14:paraId="1375E665" w14:textId="49065BC1" w:rsidR="00160CC4" w:rsidRPr="00CF31E0" w:rsidRDefault="009B0A98" w:rsidP="0061369D">
      <w:pPr>
        <w:pStyle w:val="Bhead"/>
      </w:pPr>
      <w:bookmarkStart w:id="193" w:name="_Toc509646843"/>
      <w:bookmarkStart w:id="194" w:name="_Toc510004005"/>
      <w:bookmarkStart w:id="195" w:name="_Toc510025760"/>
      <w:bookmarkStart w:id="196" w:name="_Toc6472649"/>
      <w:r w:rsidRPr="00CF31E0">
        <w:t>4</w:t>
      </w:r>
      <w:r w:rsidR="00FD5533" w:rsidRPr="00CF31E0">
        <w:t>.4.1.</w:t>
      </w:r>
      <w:r w:rsidR="00FD5533" w:rsidRPr="00CF31E0">
        <w:tab/>
      </w:r>
      <w:r w:rsidR="00160CC4" w:rsidRPr="00CF31E0">
        <w:t>Direct approach</w:t>
      </w:r>
      <w:bookmarkEnd w:id="193"/>
      <w:bookmarkEnd w:id="194"/>
      <w:bookmarkEnd w:id="195"/>
      <w:bookmarkEnd w:id="196"/>
    </w:p>
    <w:p w14:paraId="2D145987" w14:textId="5DF598A1" w:rsidR="00160CC4" w:rsidRPr="00CF31E0" w:rsidRDefault="00160CC4" w:rsidP="00603CB7">
      <w:pPr>
        <w:pStyle w:val="Paragraph"/>
        <w:rPr>
          <w:lang w:eastAsia="zh-CN"/>
        </w:rPr>
      </w:pPr>
      <w:r w:rsidRPr="00CF31E0">
        <w:rPr>
          <w:lang w:eastAsia="zh-CN"/>
        </w:rPr>
        <w:t xml:space="preserve">The direct approach relies heavily upon questioning informants using direct questions to evaluate language; this type of question is explicit and directed at one point, and aims to elicit overt attitudes </w:t>
      </w:r>
      <w:r w:rsidRPr="00CF31E0">
        <w:rPr>
          <w:lang w:eastAsia="zh-CN"/>
        </w:rPr>
        <w:fldChar w:fldCharType="begin"/>
      </w:r>
      <w:r w:rsidR="00CD34CA" w:rsidRPr="00CF31E0">
        <w:rPr>
          <w:lang w:eastAsia="zh-CN"/>
        </w:rPr>
        <w:instrText xml:space="preserve"> ADDIN ZOTERO_ITEM CSL_CITATION {"citationID":"jR4pDu6U","properties":{"formattedCitation":"(Garrett, 2010, p. 42)","plainCitation":"(Garrett, 2010, p. 42)","dontUpdate":true,"noteIndex":0},"citationItems":[{"id":29,"uris":["http://zotero.org/users/1939618/items/NF3PAHT2"],"uri":["http://zotero.org/users/1939618/items/NF3PAHT2"],"itemData":{"id":29,"type":"book","title":"Attitudes to Language","publisher":"Cambridge University Press","publisher-place":"New York, NY","number-of-pages":"269","source":"Google Books","event-place":"New York, NY","abstract":"Just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behaviour.","ISBN":"978-1-139-48682-8","language":"en","author":[{"family":"Garrett","given":"Peter"}],"issued":{"date-parts":[["2010",4,8]]}},"locator":"42","label":"page"}],"schema":"https://github.com/citation-style-language/schema/raw/master/csl-citation.json"} </w:instrText>
      </w:r>
      <w:r w:rsidRPr="00CF31E0">
        <w:rPr>
          <w:lang w:eastAsia="zh-CN"/>
        </w:rPr>
        <w:fldChar w:fldCharType="separate"/>
      </w:r>
      <w:r w:rsidRPr="00CF31E0">
        <w:rPr>
          <w:lang w:eastAsia="zh-CN"/>
        </w:rPr>
        <w:t>(Garrett, 2010)</w:t>
      </w:r>
      <w:r w:rsidRPr="00CF31E0">
        <w:rPr>
          <w:lang w:eastAsia="zh-CN"/>
        </w:rPr>
        <w:fldChar w:fldCharType="end"/>
      </w:r>
      <w:r w:rsidRPr="00CF31E0">
        <w:rPr>
          <w:lang w:eastAsia="zh-CN"/>
        </w:rPr>
        <w:t xml:space="preserve">. In information processing theory, this type of direct questioning is called “controlled processing” (i.e. conscious processing) </w:t>
      </w:r>
      <w:r w:rsidRPr="00CF31E0">
        <w:rPr>
          <w:lang w:eastAsia="zh-CN"/>
        </w:rPr>
        <w:fldChar w:fldCharType="begin"/>
      </w:r>
      <w:r w:rsidRPr="00CF31E0">
        <w:rPr>
          <w:lang w:eastAsia="zh-CN"/>
        </w:rPr>
        <w:instrText xml:space="preserve"> ADDIN ZOTERO_ITEM CSL_CITATION {"citationID":"C142gdu2","properties":{"formattedCitation":"(Garrett et al., 2005a, p. 40)","plainCitation":"(Garrett et al., 2005a, p. 40)","noteIndex":0},"citationItems":[{"id":298,"uris":["http://zotero.org/users/1939618/items/VGGFH99T"],"uri":["http://zotero.org/users/1939618/items/VGGFH99T"],"itemData":{"id":298,"type":"article-journal","title":"Accessing social meanings: Values of keywords, values in keywords","container-title":"Acta Linguistica Hafniensia","page":"37–54","volume":"37","issue":"1","source":"Google Scholar","shortTitle":"Accessing social meanings","author":[{"family":"Garrett","given":"Peter"},{"family":"Williams","given":"Angie"},{"family":"Evans","given":"Betsy"}],"issued":{"date-parts":[["2005"]]}},"locator":"40","label":"page"}],"schema":"https://github.com/citation-style-language/schema/raw/master/csl-citation.json"} </w:instrText>
      </w:r>
      <w:r w:rsidRPr="00CF31E0">
        <w:rPr>
          <w:lang w:eastAsia="zh-CN"/>
        </w:rPr>
        <w:fldChar w:fldCharType="separate"/>
      </w:r>
      <w:r w:rsidRPr="00CF31E0">
        <w:rPr>
          <w:noProof/>
          <w:lang w:eastAsia="zh-CN"/>
        </w:rPr>
        <w:t>(Garrett et al., 2005a, p. 40)</w:t>
      </w:r>
      <w:r w:rsidRPr="00CF31E0">
        <w:rPr>
          <w:lang w:eastAsia="zh-CN"/>
        </w:rPr>
        <w:fldChar w:fldCharType="end"/>
      </w:r>
      <w:r w:rsidRPr="00CF31E0">
        <w:rPr>
          <w:lang w:eastAsia="zh-CN"/>
        </w:rPr>
        <w:t xml:space="preserve">. Where respondents are aware of the purpose of the research, therefore, their responses are controlled and delivered intentionally </w:t>
      </w:r>
      <w:r w:rsidRPr="00CF31E0">
        <w:rPr>
          <w:lang w:eastAsia="zh-CN"/>
        </w:rPr>
        <w:fldChar w:fldCharType="begin"/>
      </w:r>
      <w:r w:rsidRPr="00CF31E0">
        <w:rPr>
          <w:lang w:eastAsia="zh-CN"/>
        </w:rPr>
        <w:instrText xml:space="preserve"> ADDIN ZOTERO_ITEM CSL_CITATION {"citationID":"a2hjek5jpgq","properties":{"formattedCitation":"(Garrett et al., 2005a)","plainCitation":"(Garrett et al., 2005a)","noteIndex":0},"citationItems":[{"id":298,"uris":["http://zotero.org/users/1939618/items/VGGFH99T"],"uri":["http://zotero.org/users/1939618/items/VGGFH99T"],"itemData":{"id":298,"type":"article-journal","title":"Accessing social meanings: Values of keywords, values in keywords","container-title":"Acta Linguistica Hafniensia","page":"37–54","volume":"37","issue":"1","source":"Google Scholar","shortTitle":"Accessing social meanings","author":[{"family":"Garrett","given":"Peter"},{"family":"Williams","given":"Angie"},{"family":"Evans","given":"Betsy"}],"issued":{"date-parts":[["2005"]]}}}],"schema":"https://github.com/citation-style-language/schema/raw/master/csl-citation.json"} </w:instrText>
      </w:r>
      <w:r w:rsidRPr="00CF31E0">
        <w:rPr>
          <w:lang w:eastAsia="zh-CN"/>
        </w:rPr>
        <w:fldChar w:fldCharType="separate"/>
      </w:r>
      <w:r w:rsidRPr="00CF31E0">
        <w:rPr>
          <w:noProof/>
          <w:lang w:eastAsia="zh-CN"/>
        </w:rPr>
        <w:t>(Garrett et al., 2005a)</w:t>
      </w:r>
      <w:r w:rsidRPr="00CF31E0">
        <w:rPr>
          <w:lang w:eastAsia="zh-CN"/>
        </w:rPr>
        <w:fldChar w:fldCharType="end"/>
      </w:r>
      <w:r w:rsidRPr="00CF31E0">
        <w:rPr>
          <w:lang w:eastAsia="zh-CN"/>
        </w:rPr>
        <w:t xml:space="preserve">. From the social psychology perspective, </w:t>
      </w:r>
      <w:r w:rsidRPr="00CF31E0">
        <w:rPr>
          <w:lang w:eastAsia="zh-CN"/>
        </w:rPr>
        <w:fldChar w:fldCharType="begin"/>
      </w:r>
      <w:r w:rsidR="00A54129" w:rsidRPr="00CF31E0">
        <w:rPr>
          <w:lang w:eastAsia="zh-CN"/>
        </w:rPr>
        <w:instrText xml:space="preserve"> ADDIN ZOTERO_ITEM CSL_CITATION {"citationID":"aerehmrn4m","properties":{"formattedCitation":"(Devine, 1989)","plainCitation":"(Devine, 1989)","dontUpdate":true,"noteIndex":0},"citationItems":[{"id":325,"uris":["http://zotero.org/users/1939618/items/YEIFN93N"],"uri":["http://zotero.org/users/1939618/items/YEIFN93N"],"itemData":{"id":325,"type":"article-journal","title":"Stereotypes and Prejudice: Their Automatic and Controlled Components","container-title":"Journal of Personality and Social Psychology","page":"5-18","volume":"56","issue":"1","author":[{"family":"Devine","given":"Patricia"}],"issued":{"date-parts":[["1989"]]}}}],"schema":"https://github.com/citation-style-language/schema/raw/master/csl-citation.json"} </w:instrText>
      </w:r>
      <w:r w:rsidRPr="00CF31E0">
        <w:rPr>
          <w:lang w:eastAsia="zh-CN"/>
        </w:rPr>
        <w:fldChar w:fldCharType="separate"/>
      </w:r>
      <w:r w:rsidRPr="00CF31E0">
        <w:rPr>
          <w:noProof/>
          <w:lang w:eastAsia="zh-CN"/>
        </w:rPr>
        <w:t>Devine (1989)</w:t>
      </w:r>
      <w:r w:rsidRPr="00CF31E0">
        <w:rPr>
          <w:lang w:eastAsia="zh-CN"/>
        </w:rPr>
        <w:fldChar w:fldCharType="end"/>
      </w:r>
      <w:r w:rsidRPr="00CF31E0">
        <w:rPr>
          <w:lang w:eastAsia="zh-CN"/>
        </w:rPr>
        <w:t xml:space="preserve"> argues that personal beliefs can only be activated if the person is aware of the conscious attention surrounding him/her, while stereotypes and prejudice can be activated automatically without involving conscious attention. This means </w:t>
      </w:r>
      <w:r w:rsidRPr="00CF31E0">
        <w:rPr>
          <w:lang w:eastAsia="zh-CN"/>
        </w:rPr>
        <w:lastRenderedPageBreak/>
        <w:t>that the direct approach, which implies controlled processing, is often adopted when the research purpose is to elicit personal beliefs and prejudice. Moreover, social stereotypes are better elicited through automatic processing (i.e. unconscious processing); the latter will be discussed in section</w:t>
      </w:r>
      <w:r w:rsidR="00844B92" w:rsidRPr="00CF31E0">
        <w:rPr>
          <w:lang w:eastAsia="zh-CN"/>
        </w:rPr>
        <w:t xml:space="preserve"> </w:t>
      </w:r>
      <w:r w:rsidR="009B0A98" w:rsidRPr="00CF31E0">
        <w:rPr>
          <w:lang w:eastAsia="zh-CN"/>
        </w:rPr>
        <w:t>4</w:t>
      </w:r>
      <w:r w:rsidR="00844B92" w:rsidRPr="00CF31E0">
        <w:rPr>
          <w:lang w:eastAsia="zh-CN"/>
        </w:rPr>
        <w:t xml:space="preserve">.4.2 </w:t>
      </w:r>
      <w:r w:rsidRPr="00CF31E0">
        <w:rPr>
          <w:lang w:eastAsia="zh-CN"/>
        </w:rPr>
        <w:t xml:space="preserve">below. Other researchers argue that the direct approach is much better inclined to reveal social ideologies that are confined to categories rather than revealing stereotypical assumptions, which are more likely to be elicited using indirect measures </w:t>
      </w:r>
      <w:r w:rsidRPr="00CF31E0">
        <w:rPr>
          <w:lang w:eastAsia="zh-CN"/>
        </w:rPr>
        <w:fldChar w:fldCharType="begin"/>
      </w:r>
      <w:r w:rsidR="00A54129" w:rsidRPr="00CF31E0">
        <w:rPr>
          <w:lang w:eastAsia="zh-CN"/>
        </w:rPr>
        <w:instrText xml:space="preserve"> ADDIN ZOTERO_ITEM CSL_CITATION {"citationID":"a1caf62d823","properties":{"formattedCitation":"(Bishop, Coupland, &amp; Garrett, 2011; Kristiansen et al., 2005)","plainCitation":"(Bishop, Coupland, &amp; Garrett, 2011; Kristiansen et al., 2005)","noteIndex":0},"citationItems":[{"id":"wgwhcNH1/hHn5YiFY","uris":["http://zotero.org/users/1939618/items/5EYQ7BBW"],"uri":["http://zotero.org/users/1939618/items/5EYQ7BBW"],"itemData":{"id":307,"type":"article-journal","title":"Conceptual accent evaluation: Thirty years of accent prejudice in the UK","container-title":"Acta Linguistica Hafniensia","source":"www-tandfonline-com.sheffield.idm.oclc.org","archive_location":"world","abstract":"(2005). Conceptual accent evaluation: Thirty years of accent prejudice in the UK. Acta Linguistica Hafniensia: Vol. 37, No. 1, pp. 131-154.","URL":"http://www-tandfonline-com.sheffield.idm.oclc.org/doi/abs/10.1080/03740463.2005.10416087","ISSN":"10.1080/03740463.2005.10416087","shortTitle":"Conceptual accent evaluation","language":"en","author":[{"family":"Bishop","given":"Hywel"},{"family":"Coupland","given":"Nikolas"},{"family":"Garrett","given":"Peter"}],"issued":{"date-parts":[["2011",11,24]]},"accessed":{"date-parts":[["2018",1,4]]}},"label":"page"},{"id":303,"uris":["http://zotero.org/users/1939618/items/C4CULAJ5"],"uri":["http://zotero.org/users/1939618/items/C4CULAJ5"],"itemData":{"id":303,"type":"article-journal","title":"Introducing subjectivities in language variation and change","container-title":"Acta Linguistica Hafniensia","page":"9-35","volume":"37","issue":"1","source":"www-tandfonline-com.sheffield.idm.oclc.org (Atypon)","abstract":"This volume is devoted both to the theoretical question of which roles subjective processes play in language variation and change (LVC), and to the many methodological questions raised by the study of these subjective processes. Obviously, to talk about ‘subjective’ processes implies that there are also ‘objective’ processes, and more generally it suggests that LVC should be studied in terms of a distinction between the ‘subjective’ and the ‘objective’. Such a distinction is not, however, what we normally meet within the literature, where the factors involved in LVC are commonly divided and grouped in terms like internal versus external, linguistic versus social versus (socio)psychological, macro versus micro, and not to forget, the tripartite division introduced by Labov in his summing up of his own life work: internal versus social versus cognitive (Labov 1994, 2001, forthcoming.).","DOI":"10.1080/03740463.2005.10416081","ISSN":"0374-0463","journalAbbreviation":"Acta Linguistica Hafniensia","author":[{"family":"Kristiansen","given":"Tore"},{"family":"Garrett","given":"Peter"},{"family":"Coupland","given":"Nikolas"}],"issued":{"date-parts":[["2005",1,1]]}},"label":"page"}],"schema":"https://github.com/citation-style-language/schema/raw/master/csl-citation.json"} </w:instrText>
      </w:r>
      <w:r w:rsidRPr="00CF31E0">
        <w:rPr>
          <w:lang w:eastAsia="zh-CN"/>
        </w:rPr>
        <w:fldChar w:fldCharType="separate"/>
      </w:r>
      <w:r w:rsidR="00CD34CA" w:rsidRPr="00CF31E0">
        <w:rPr>
          <w:noProof/>
          <w:lang w:eastAsia="zh-CN"/>
        </w:rPr>
        <w:t>(Bishop, Coupland, &amp; Garrett</w:t>
      </w:r>
      <w:r w:rsidR="00655DEF" w:rsidRPr="00CF31E0">
        <w:rPr>
          <w:noProof/>
          <w:lang w:eastAsia="zh-CN"/>
        </w:rPr>
        <w:t>, 2005</w:t>
      </w:r>
      <w:r w:rsidR="00D12C74" w:rsidRPr="00CF31E0">
        <w:rPr>
          <w:noProof/>
          <w:lang w:eastAsia="zh-CN"/>
        </w:rPr>
        <w:t>;</w:t>
      </w:r>
      <w:r w:rsidR="00D12C74" w:rsidRPr="00CF31E0">
        <w:rPr>
          <w:noProof/>
        </w:rPr>
        <w:t xml:space="preserve"> Kristiansen, Garrett, &amp; Coupland, 2005</w:t>
      </w:r>
      <w:r w:rsidR="00D12C74" w:rsidRPr="00CF31E0">
        <w:rPr>
          <w:noProof/>
          <w:lang w:eastAsia="zh-CN"/>
        </w:rPr>
        <w:t xml:space="preserve"> </w:t>
      </w:r>
      <w:r w:rsidR="00CD34CA" w:rsidRPr="00CF31E0">
        <w:rPr>
          <w:noProof/>
          <w:lang w:eastAsia="zh-CN"/>
        </w:rPr>
        <w:t>)</w:t>
      </w:r>
      <w:r w:rsidRPr="00CF31E0">
        <w:rPr>
          <w:lang w:eastAsia="zh-CN"/>
        </w:rPr>
        <w:fldChar w:fldCharType="end"/>
      </w:r>
      <w:r w:rsidRPr="00CF31E0">
        <w:rPr>
          <w:lang w:eastAsia="zh-CN"/>
        </w:rPr>
        <w:t xml:space="preserve">. What distinguishes the direct approach from the indirect one is that the researcher is able to easily elicit the attitude rather than the researcher being involved in inferring the attitude </w:t>
      </w:r>
      <w:r w:rsidRPr="00CF31E0">
        <w:rPr>
          <w:lang w:eastAsia="zh-CN"/>
        </w:rPr>
        <w:fldChar w:fldCharType="begin"/>
      </w:r>
      <w:r w:rsidR="00CD34CA" w:rsidRPr="00CF31E0">
        <w:rPr>
          <w:lang w:eastAsia="zh-CN"/>
        </w:rPr>
        <w:instrText xml:space="preserve"> ADDIN ZOTERO_ITEM CSL_CITATION {"citationID":"kXx1PQPD","properties":{"formattedCitation":"(Garrett et al., 2003)","plainCitation":"(Garrett et al., 2003)","noteIndex":0},"citationItems":[{"id":311,"uris":["http://zotero.org/users/1939618/items/UQ7HLIBB"],"uri":["http://zotero.org/users/1939618/items/UQ7HLIBB"],"itemData":{"id":311,"type":"book","title":"Investigating language attitudes [electronic resource]: social meanings of dialect, ethnicity and performance","publisher":"University of Wales Press","publisher-place":"Cardiff","number-of-pages":"x+251","source":"find.shef.ac.uk","event-place":"Cardiff","URL":"https://www.dawsonera.com/guard/protected/dawson.jsp?name=https://idp.shef.ac.uk/shibboleth&amp;dest=http://www.dawsonera.com/depp/reader/protected/external/AbstractView/S9781783162086","ISBN":"978-1-78316-208-6","shortTitle":"Investigating language attitudes [electronic resource]","language":"eng","author":[{"family":"Garrett","given":"Peter"},{"family":"Coupland","given":"Nikolas"},{"family":"Williams","given":"Angie"}],"issued":{"date-parts":[["2003"]]},"accessed":{"date-parts":[["2018",1,8]]}}}],"schema":"https://github.com/citation-style-language/schema/raw/master/csl-citation.json"} </w:instrText>
      </w:r>
      <w:r w:rsidRPr="00CF31E0">
        <w:rPr>
          <w:lang w:eastAsia="zh-CN"/>
        </w:rPr>
        <w:fldChar w:fldCharType="separate"/>
      </w:r>
      <w:r w:rsidRPr="00CF31E0">
        <w:rPr>
          <w:noProof/>
          <w:lang w:eastAsia="zh-CN"/>
        </w:rPr>
        <w:t>(Garrett et al., 2003)</w:t>
      </w:r>
      <w:r w:rsidRPr="00CF31E0">
        <w:rPr>
          <w:lang w:eastAsia="zh-CN"/>
        </w:rPr>
        <w:fldChar w:fldCharType="end"/>
      </w:r>
      <w:r w:rsidRPr="00CF31E0">
        <w:rPr>
          <w:lang w:eastAsia="zh-CN"/>
        </w:rPr>
        <w:t xml:space="preserve">. </w:t>
      </w:r>
    </w:p>
    <w:p w14:paraId="00BB69A9" w14:textId="718BB150" w:rsidR="00160CC4" w:rsidRPr="00CF31E0" w:rsidRDefault="00160CC4" w:rsidP="00603CB7">
      <w:pPr>
        <w:pStyle w:val="Paragraph"/>
        <w:rPr>
          <w:lang w:eastAsia="zh-CN"/>
        </w:rPr>
      </w:pPr>
      <w:r w:rsidRPr="00CF31E0">
        <w:rPr>
          <w:lang w:eastAsia="zh-CN"/>
        </w:rPr>
        <w:t xml:space="preserve">The direct approach has been widely used in language attitude research </w:t>
      </w:r>
      <w:r w:rsidRPr="00CF31E0">
        <w:rPr>
          <w:lang w:eastAsia="zh-CN"/>
        </w:rPr>
        <w:fldChar w:fldCharType="begin"/>
      </w:r>
      <w:r w:rsidR="00A54129" w:rsidRPr="00CF31E0">
        <w:rPr>
          <w:lang w:eastAsia="zh-CN"/>
        </w:rPr>
        <w:instrText xml:space="preserve"> ADDIN ZOTERO_ITEM CSL_CITATION {"citationID":"a1m6tdkkdkc","properties":{"formattedCitation":"(Garrett, Bishop, &amp; Coupland, 2009; Garrett et al., 2005b; Giles, 1970; MacKinnon, 1981)","plainCitation":"(Garrett, Bishop, &amp; Coupland, 2009; Garrett et al., 2005b; Giles, 1970; MacKinnon, 1981)","dontUpdate":true,"noteIndex":0},"citationItems":[{"id":334,"uris":["http://zotero.org/users/1939618/items/66HZN4X8"],"uri":["http://zotero.org/users/1939618/items/66HZN4X8"],"itemData":{"id":334,"type":"article-journal","title":"Diasporic ethnolinguistic subjectivities: Patagonia, North America, and Wales","container-title":"International Journal of the Sociology of Language","page":"173-199","volume":"2009","issue":"195","source":"CrossRef","abstract":"A total of 956 informants with links to Wales — from Patagonia, North America, and Wales itself — completed a questionnaire investigating their Welsh identities and a‰liation, their images of Wales, their engagement with Welsh cultural practices, and their perceptions of the ethnolinguistic vitality of the Welsh language and of domain priorities for the use of Welsh. These three groups produced systematic variation across many of the issues in this study. Overall, for example, the North Americans oriented their Welshness to Wales itself, and in particular in the history and heritage of Wales, while the Patagonians and the Welsh anchored their Welsh identity within their own contexts, and with less focus on the history and heritage of Wales. The results o¤er insights into the complexity of ‘‘home’’ and ‘‘diaspora’’ relationships, historical and geo-cultural di¤erences, and their impact on Welsh cultural authenticity and ethnolinguistic subjectivities.","DOI":"10.1515/IJSL.2009.010","ISSN":"0165-2516, 1613-3668","shortTitle":"Diasporic ethnolinguistic subjectivities","author":[{"family":"Garrett","given":"Peter"},{"family":"Bishop","given":"Hywel"},{"family":"Coupland","given":"Nikolas"}],"issued":{"date-parts":[["2009",1]]}},"label":"page"},{"id":326,"uris":["http://zotero.org/users/1939618/items/CTAELXKB"],"uri":["http://zotero.org/users/1939618/items/CTAELXKB"],"itemData":{"id":326,"type":"article-journal","title":"Attitudinal data from New Zealand, Australia, the USA and UK about each other’s Englishes: Recent changes or consequences of methodologies?","container-title":"Multilingua","page":"211–235","volume":"24","issue":"3","source":"DeGruyter","abstract":"Recent attitudinal research by Bayard et al. (2001) suggested changes in the comparative evaluations of Australian, New Zealand, US and English Englishes, with US English on its way to becoming the preferred variety. We revisit these attitudes after a period of political change in the US, and using a research methodology in line with folklinguistic approaches to attitudes research (e. g. Preston 1996). Convenience samples of respondents in these four countries were asked to identify the countries where they knew English was spoken as a native language, and then quickly to write down their first reactions to those varieties. US English was viewed strikingly negatively in terms of its affective associations, and there were references to ‘excess’ from all respondent groups (e. g. overassertive, overenthusiastic). And, against expectations, the affective profile of English English was not overwhelmingly negative for all groups of respondents. We consider the results in relation to the findings and methods of the earlier studies, and also briefly consider the different statuses of these varieties in terms of the current discussion of late modernity and of different standard varieties (e. g. Kristiansen 2001b) serving different aspects of social life.","DOI":"10.1515/mult.2005.24.3.211","ISSN":"1613-3684","shortTitle":"Attitudinal data from New Zealand, Australia, the USA and UK about each other’s Englishes","author":[{"family":"Garrett","given":"Peter"},{"family":"Williams","given":"Angie"},{"family":"Evans","given":"Betsy"}],"issued":{"date-parts":[["2005"]]}},"label":"page"},{"id":62,"uris":["http://zotero.org/users/1939618/items/ZXQ48QBG"],"uri":["http://zotero.org/users/1939618/items/ZXQ48QBG"],"itemData":{"id":62,"type":"article-journal","title":"Evaluative reactions to accents","container-title":"Educational review","page":"211–227","volume":"22","issue":"3","source":"Google Scholar","author":[{"family":"Giles","given":"Howard"}],"issued":{"date-parts":[["1970"]]}},"label":"page"},{"id":"wgwhcNH1/aNwEd5Im","uris":["http://zotero.org/users/1939618/items/BBHS4QHI"],"uri":["http://zotero.org/users/1939618/items/BBHS4QHI"],"itemData":{"id":354,"type":"book","title":"Scottish opinion on Gaelic","publisher":"Hatfield Polytechnic Social Science Research Publication SS14","author":[{"family":"MacKinnon","given":"K"}],"issued":{"date-parts":[["1981"]]}},"label":"page"}],"schema":"https://github.com/citation-style-language/schema/raw/master/csl-citation.json"} </w:instrText>
      </w:r>
      <w:r w:rsidRPr="00CF31E0">
        <w:rPr>
          <w:lang w:eastAsia="zh-CN"/>
        </w:rPr>
        <w:fldChar w:fldCharType="separate"/>
      </w:r>
      <w:r w:rsidRPr="00CF31E0">
        <w:rPr>
          <w:noProof/>
          <w:lang w:val="sv-SE" w:eastAsia="zh-CN"/>
        </w:rPr>
        <w:t>(Garrett, Bishop, &amp; Coupland, 2009; Gar</w:t>
      </w:r>
      <w:r w:rsidR="00EE0752" w:rsidRPr="00CF31E0">
        <w:rPr>
          <w:noProof/>
          <w:lang w:val="sv-SE" w:eastAsia="zh-CN"/>
        </w:rPr>
        <w:t>rett et al., 2005b; Giles, 1970</w:t>
      </w:r>
      <w:r w:rsidRPr="00CF31E0">
        <w:rPr>
          <w:noProof/>
          <w:lang w:val="sv-SE" w:eastAsia="zh-CN"/>
        </w:rPr>
        <w:t>)</w:t>
      </w:r>
      <w:r w:rsidRPr="00CF31E0">
        <w:rPr>
          <w:lang w:eastAsia="zh-CN"/>
        </w:rPr>
        <w:fldChar w:fldCharType="end"/>
      </w:r>
      <w:r w:rsidRPr="00CF31E0">
        <w:rPr>
          <w:lang w:val="sv-SE" w:eastAsia="zh-CN"/>
        </w:rPr>
        <w:t xml:space="preserve">. </w:t>
      </w:r>
      <w:r w:rsidRPr="00CF31E0">
        <w:rPr>
          <w:lang w:eastAsia="zh-CN"/>
        </w:rPr>
        <w:fldChar w:fldCharType="begin"/>
      </w:r>
      <w:r w:rsidR="00A54129" w:rsidRPr="00CF31E0">
        <w:rPr>
          <w:lang w:val="sv-SE" w:eastAsia="zh-CN"/>
        </w:rPr>
        <w:instrText xml:space="preserve"> ADDIN ZOTERO_ITEM CSL_CITATION {"citationID":"XWCbJEjn","properties":{"formattedCitation":"(Garrett et al., 2009)","plainCitation":"(Garrett et al., 2009)","dontUpdate":true,"noteIndex":0},"citationItems":[{"id":334,"uris":["http://zotero.org/users/1939618/items/66HZN4X8"],"uri":["http://zotero.org/users/1939618/items/66HZN4X8"],"itemData":{"id":334,"type":"article-journal","title":"Diasporic ethnolinguistic subjectivities: Patagonia, North America, and Wales","container-title":"International Journal of the Sociology of Language","page":"173-199","volume":"2009","issue":"195","source":"CrossRef","abstract":"A total of 956 informants with links to Wales — from Patagonia, North America, and Wales itself — completed a questionnaire investigating their Welsh identities and a‰liation, their images of Wales, their engagement with Welsh cultural practices, and their perceptions of the ethnolinguistic vitality of the Welsh language and of domain priorities for the use of Welsh. These three groups produced systematic variation across many of the issues in this study. Overall, for example, the North Americans oriented their Welshness to Wales itself, and in particular in the history and heritage of Wales, while the Patagonians and the Welsh anchored their Welsh identity within their own contexts, and with less focus on the history and heritage of Wales. The results o¤er insights into the complexity of ‘‘home’’ and ‘‘diaspora’’ relationships, historical and geo-cultural di¤erences, and their impact on Welsh cultural authenticity and ethnolinguistic subjectivities.","DOI":"10.1515/IJSL.2009.010","ISSN":"0165-2516, 1613-3668","shortTitle":"Diasporic ethnolinguistic subjectivities","author":[{"family":"Garrett","given":"Peter"},{"family":"Bishop","given":"Hywel"},{"family":"Coupland","given":"Nikolas"}],"issued":{"date-parts":[["2009",1]]}}}],"schema":"https://github.com/citation-style-language/schema/raw/master/csl-citation.json"} </w:instrText>
      </w:r>
      <w:r w:rsidRPr="00CF31E0">
        <w:rPr>
          <w:lang w:eastAsia="zh-CN"/>
        </w:rPr>
        <w:fldChar w:fldCharType="separate"/>
      </w:r>
      <w:r w:rsidRPr="000E3509">
        <w:rPr>
          <w:noProof/>
          <w:lang w:eastAsia="zh-CN"/>
        </w:rPr>
        <w:t xml:space="preserve">Garrett et al. </w:t>
      </w:r>
      <w:r w:rsidR="00A90A1D" w:rsidRPr="00CF31E0">
        <w:rPr>
          <w:noProof/>
          <w:lang w:eastAsia="zh-CN"/>
        </w:rPr>
        <w:t>(</w:t>
      </w:r>
      <w:r w:rsidRPr="00CF31E0">
        <w:rPr>
          <w:noProof/>
          <w:lang w:eastAsia="zh-CN"/>
        </w:rPr>
        <w:t>2009)</w:t>
      </w:r>
      <w:r w:rsidRPr="00CF31E0">
        <w:rPr>
          <w:lang w:eastAsia="zh-CN"/>
        </w:rPr>
        <w:fldChar w:fldCharType="end"/>
      </w:r>
      <w:r w:rsidRPr="00CF31E0">
        <w:rPr>
          <w:lang w:eastAsia="zh-CN"/>
        </w:rPr>
        <w:t xml:space="preserve"> investigated attitudes towards the Welsh language in three Welsh communities: Wales, North America, and Patagonia. They used a questionnaire as the main method of data elicitation. The questionnaire included two parts; one part included open-ended questions about participants’ perceptions, knowledge and feelings towards the Welsh language. The other part included close-ended questions using the Likert scale. The results revealed that members of all three communities demonstrated a positive affiliation towards the Welsh language as they are dedicated to supporting the Welsh language. Furthermore, members of all three communities report that they are motivated to participate in activities that are related to Welsh culture as a way to enhance the Welsh culture and language. </w:t>
      </w:r>
    </w:p>
    <w:p w14:paraId="64F14BA5" w14:textId="258E045E" w:rsidR="00160CC4" w:rsidRPr="00CF31E0" w:rsidRDefault="00160CC4" w:rsidP="00603CB7">
      <w:pPr>
        <w:pStyle w:val="Paragraph"/>
        <w:rPr>
          <w:lang w:eastAsia="zh-CN"/>
        </w:rPr>
      </w:pPr>
      <w:r w:rsidRPr="00CF31E0">
        <w:rPr>
          <w:lang w:eastAsia="zh-CN"/>
        </w:rPr>
        <w:t xml:space="preserve">The direct approach can even involve studies that include a conceptual presentation of regional varieties/languages </w:t>
      </w:r>
      <w:r w:rsidRPr="00CF31E0">
        <w:rPr>
          <w:lang w:eastAsia="zh-CN"/>
        </w:rPr>
        <w:fldChar w:fldCharType="begin"/>
      </w:r>
      <w:r w:rsidRPr="00CF31E0">
        <w:rPr>
          <w:lang w:eastAsia="zh-CN"/>
        </w:rPr>
        <w:instrText xml:space="preserve"> ADDIN ZOTERO_ITEM CSL_CITATION {"citationID":"at40d1aeq0","properties":{"formattedCitation":"(Garrett et al., 2005b; Kristiansen et al., 2005)","plainCitation":"(Garrett et al., 2005b; Kristiansen et al., 2005)","noteIndex":0},"citationItems":[{"id":326,"uris":["http://zotero.org/users/1939618/items/CTAELXKB"],"uri":["http://zotero.org/users/1939618/items/CTAELXKB"],"itemData":{"id":326,"type":"article-journal","title":"Attitudinal data from New Zealand, Australia, the USA and UK about each other’s Englishes: Recent changes or consequences of methodologies?","container-title":"Multilingua","page":"211–235","volume":"24","issue":"3","source":"DeGruyter","abstract":"Recent attitudinal research by Bayard et al. (2001) suggested changes in the comparative evaluations of Australian, New Zealand, US and English Englishes, with US English on its way to becoming the preferred variety. We revisit these attitudes after a period of political change in the US, and using a research methodology in line with folklinguistic approaches to attitudes research (e. g. Preston 1996). Convenience samples of respondents in these four countries were asked to identify the countries where they knew English was spoken as a native language, and then quickly to write down their first reactions to those varieties. US English was viewed strikingly negatively in terms of its affective associations, and there were references to ‘excess’ from all respondent groups (e. g. overassertive, overenthusiastic). And, against expectations, the affective profile of English English was not overwhelmingly negative for all groups of respondents. We consider the results in relation to the findings and methods of the earlier studies, and also briefly consider the different statuses of these varieties in terms of the current discussion of late modernity and of different standard varieties (e. g. Kristiansen 2001b) serving different aspects of social life.","DOI":"10.1515/mult.2005.24.3.211","ISSN":"1613-3684","shortTitle":"Attitudinal data from New Zealand, Australia, the USA and UK about each other’s Englishes","author":[{"family":"Garrett","given":"Peter"},{"family":"Williams","given":"Angie"},{"family":"Evans","given":"Betsy"}],"issued":{"date-parts":[["2005"]]}},"label":"page"},{"id":303,"uris":["http://zotero.org/users/1939618/items/C4CULAJ5"],"uri":["http://zotero.org/users/1939618/items/C4CULAJ5"],"itemData":{"id":303,"type":"article-journal","title":"Introducing subjectivities in language variation and change","container-title":"Acta Linguistica Hafniensia","page":"9-35","volume":"37","issue":"1","source":"www-tandfonline-com.sheffield.idm.oclc.org (Atypon)","abstract":"This volume is devoted both to the theoretical question of which roles subjective processes play in language variation and change (LVC), and to the many methodological questions raised by the study of these subjective processes. Obviously, to talk about ‘subjective’ processes implies that there are also ‘objective’ processes, and more generally it suggests that LVC should be studied in terms of a distinction between the ‘subjective’ and the ‘objective’. Such a distinction is not, however, what we normally meet within the literature, where the factors involved in LVC are commonly divided and grouped in terms like internal versus external, linguistic versus social versus (socio)psychological, macro versus micro, and not to forget, the tripartite division introduced by Labov in his summing up of his own life work: internal versus social versus cognitive (Labov 1994, 2001, forthcoming.).","DOI":"10.1080/03740463.2005.10416081","ISSN":"0374-0463","journalAbbreviation":"Acta Linguistica Hafniensia","author":[{"family":"Kristiansen","given":"Tore"},{"family":"Garrett","given":"Peter"},{"family":"Coupland","given":"Nikolas"}],"issued":{"date-parts":[["2005",1,1]]}},"label":"page"}],"schema":"https://github.com/citation-style-language/schema/raw/master/csl-citation.json"} </w:instrText>
      </w:r>
      <w:r w:rsidRPr="00CF31E0">
        <w:rPr>
          <w:lang w:eastAsia="zh-CN"/>
        </w:rPr>
        <w:fldChar w:fldCharType="separate"/>
      </w:r>
      <w:r w:rsidRPr="00CF31E0">
        <w:rPr>
          <w:noProof/>
          <w:lang w:eastAsia="zh-CN"/>
        </w:rPr>
        <w:t>(Garrett et al., 2005b; Kristiansen et al., 2005)</w:t>
      </w:r>
      <w:r w:rsidRPr="00CF31E0">
        <w:rPr>
          <w:lang w:eastAsia="zh-CN"/>
        </w:rPr>
        <w:fldChar w:fldCharType="end"/>
      </w:r>
      <w:r w:rsidRPr="00CF31E0">
        <w:rPr>
          <w:lang w:eastAsia="zh-CN"/>
        </w:rPr>
        <w:t xml:space="preserve">. In a conceptual presentation, participants are asked to rate labels for certain regional varieties/languages on a semantic differential scale, where they imagine or conceptualize the language without being exposed to real language samples (i.e. vocal representation) </w:t>
      </w:r>
      <w:r w:rsidRPr="00CF31E0">
        <w:rPr>
          <w:lang w:eastAsia="zh-CN"/>
        </w:rPr>
        <w:fldChar w:fldCharType="begin"/>
      </w:r>
      <w:r w:rsidR="00A54129" w:rsidRPr="00CF31E0">
        <w:rPr>
          <w:lang w:eastAsia="zh-CN"/>
        </w:rPr>
        <w:instrText xml:space="preserve"> ADDIN ZOTERO_ITEM CSL_CITATION {"citationID":"VpSGQ2iT","properties":{"formattedCitation":"(Bishop et al., 2011)","plainCitation":"(Bishop et al., 2011)","noteIndex":0},"citationItems":[{"id":"wgwhcNH1/hHn5YiFY","uris":["http://zotero.org/users/1939618/items/5EYQ7BBW"],"uri":["http://zotero.org/users/1939618/items/5EYQ7BBW"],"itemData":{"id":307,"type":"article-journal","title":"Conceptual accent evaluation: Thirty years of accent prejudice in the UK","container-title":"Acta Linguistica Hafniensia","source":"www-tandfonline-com.sheffield.idm.oclc.org","archive_location":"world","abstract":"(2005). Conceptual accent evaluation: Thirty years of accent prejudice in the UK. Acta Linguistica Hafniensia: Vol. 37, No. 1, pp. 131-154.","URL":"http://www-tandfonline-com.sheffield.idm.oclc.org/doi/abs/10.1080/03740463.2005.10416087","ISSN":"10.1080/03740463.2005.10416087","shortTitle":"Conceptual accent evaluation","language":"en","author":[{"family":"Bishop","given":"Hywel"},{"family":"Coupland","given":"Nikolas"},{"family":"Garrett","given":"Peter"}],"issued":{"date-parts":[["2011",11,24]]},"accessed":{"date-parts":[["2018",1,4]]}}}],"schema":"https://github.com/citation-style-language/schema/raw/master/csl-citation.json"} </w:instrText>
      </w:r>
      <w:r w:rsidRPr="00CF31E0">
        <w:rPr>
          <w:lang w:eastAsia="zh-CN"/>
        </w:rPr>
        <w:fldChar w:fldCharType="separate"/>
      </w:r>
      <w:r w:rsidRPr="00CF31E0">
        <w:rPr>
          <w:noProof/>
          <w:lang w:eastAsia="zh-CN"/>
        </w:rPr>
        <w:t xml:space="preserve">(Bishop </w:t>
      </w:r>
      <w:r w:rsidRPr="00CF31E0">
        <w:rPr>
          <w:noProof/>
          <w:lang w:eastAsia="zh-CN"/>
        </w:rPr>
        <w:lastRenderedPageBreak/>
        <w:t>et al., 2011)</w:t>
      </w:r>
      <w:r w:rsidRPr="00CF31E0">
        <w:rPr>
          <w:lang w:eastAsia="zh-CN"/>
        </w:rPr>
        <w:fldChar w:fldCharType="end"/>
      </w:r>
      <w:r w:rsidRPr="00CF31E0">
        <w:rPr>
          <w:lang w:eastAsia="zh-CN"/>
        </w:rPr>
        <w:t>. In section</w:t>
      </w:r>
      <w:r w:rsidR="00844B92" w:rsidRPr="00CF31E0">
        <w:rPr>
          <w:lang w:eastAsia="zh-CN"/>
        </w:rPr>
        <w:t xml:space="preserve"> </w:t>
      </w:r>
      <w:r w:rsidR="009B0A98" w:rsidRPr="00CF31E0">
        <w:rPr>
          <w:lang w:eastAsia="zh-CN"/>
        </w:rPr>
        <w:t>4</w:t>
      </w:r>
      <w:r w:rsidR="00844B92" w:rsidRPr="00CF31E0">
        <w:rPr>
          <w:lang w:eastAsia="zh-CN"/>
        </w:rPr>
        <w:t>.5.1</w:t>
      </w:r>
      <w:r w:rsidRPr="00CF31E0">
        <w:rPr>
          <w:lang w:eastAsia="zh-CN"/>
        </w:rPr>
        <w:t xml:space="preserve"> below, I will discuss in detail conceptual approaches and their implications for language attitude research.</w:t>
      </w:r>
    </w:p>
    <w:p w14:paraId="17EFF7E9" w14:textId="544A55E6" w:rsidR="00160CC4" w:rsidRPr="00CF31E0" w:rsidRDefault="00160CC4" w:rsidP="00603CB7">
      <w:pPr>
        <w:pStyle w:val="Paragraph"/>
        <w:rPr>
          <w:lang w:eastAsia="zh-CN"/>
        </w:rPr>
      </w:pPr>
      <w:r w:rsidRPr="00CF31E0">
        <w:rPr>
          <w:lang w:eastAsia="zh-CN"/>
        </w:rPr>
        <w:t>Although the direct approach has informed many language attitude studies, attitudes, as previously mentioned, have a complex latent nature that cannot only be elicited directly. In other words, as previously discussed in section</w:t>
      </w:r>
      <w:r w:rsidR="002D4A0F" w:rsidRPr="00CF31E0">
        <w:rPr>
          <w:lang w:eastAsia="zh-CN"/>
        </w:rPr>
        <w:t xml:space="preserve"> </w:t>
      </w:r>
      <w:r w:rsidR="009B0A98" w:rsidRPr="00CF31E0">
        <w:rPr>
          <w:lang w:eastAsia="zh-CN"/>
        </w:rPr>
        <w:t>4</w:t>
      </w:r>
      <w:r w:rsidR="002D4A0F" w:rsidRPr="00CF31E0">
        <w:rPr>
          <w:lang w:eastAsia="zh-CN"/>
        </w:rPr>
        <w:t>.4</w:t>
      </w:r>
      <w:r w:rsidRPr="00CF31E0">
        <w:rPr>
          <w:lang w:eastAsia="zh-CN"/>
        </w:rPr>
        <w:t xml:space="preserve">, attitudes can be delivered indirectly through </w:t>
      </w:r>
      <w:r w:rsidR="002D4A0F" w:rsidRPr="00CF31E0">
        <w:rPr>
          <w:lang w:eastAsia="zh-CN"/>
        </w:rPr>
        <w:t>co</w:t>
      </w:r>
      <w:r w:rsidRPr="00CF31E0">
        <w:rPr>
          <w:lang w:eastAsia="zh-CN"/>
        </w:rPr>
        <w:t xml:space="preserve">vert stereotypes and beliefs, where the researcher needs to infer the attitude. </w:t>
      </w:r>
    </w:p>
    <w:p w14:paraId="6C066448" w14:textId="77777777" w:rsidR="00160CC4" w:rsidRPr="00CF31E0" w:rsidRDefault="00160CC4" w:rsidP="00603CB7">
      <w:pPr>
        <w:pStyle w:val="Paragraph"/>
        <w:rPr>
          <w:lang w:eastAsia="zh-CN"/>
        </w:rPr>
      </w:pPr>
      <w:r w:rsidRPr="00CF31E0">
        <w:rPr>
          <w:lang w:eastAsia="zh-CN"/>
        </w:rPr>
        <w:t>To sum up, the direct approach has succeeded in eliciting overt attitudes, but has failed to elicit covert attitudes. This is another matter of significance as covert attitudes consist of stereotypes, which is a core issue in language attitude studies. Therefore, the indirect approach is of great interest to many researchers in the language attitude field.</w:t>
      </w:r>
    </w:p>
    <w:p w14:paraId="4C4218AA" w14:textId="42CE4AE5" w:rsidR="00160CC4" w:rsidRPr="00CF31E0" w:rsidRDefault="009B0A98" w:rsidP="0061369D">
      <w:pPr>
        <w:pStyle w:val="Bhead"/>
      </w:pPr>
      <w:bookmarkStart w:id="197" w:name="_Toc509646844"/>
      <w:bookmarkStart w:id="198" w:name="_Toc510004006"/>
      <w:bookmarkStart w:id="199" w:name="_Toc510025761"/>
      <w:bookmarkStart w:id="200" w:name="_Toc6472650"/>
      <w:r w:rsidRPr="00CF31E0">
        <w:t>4</w:t>
      </w:r>
      <w:r w:rsidR="00853058" w:rsidRPr="00CF31E0">
        <w:t>.4.2.</w:t>
      </w:r>
      <w:r w:rsidR="00853058" w:rsidRPr="00CF31E0">
        <w:tab/>
      </w:r>
      <w:r w:rsidR="00160CC4" w:rsidRPr="00CF31E0">
        <w:t>Indirect approach</w:t>
      </w:r>
      <w:bookmarkEnd w:id="197"/>
      <w:bookmarkEnd w:id="198"/>
      <w:bookmarkEnd w:id="199"/>
      <w:bookmarkEnd w:id="200"/>
      <w:r w:rsidR="00160CC4" w:rsidRPr="00CF31E0">
        <w:t xml:space="preserve"> </w:t>
      </w:r>
    </w:p>
    <w:p w14:paraId="1EB90B00" w14:textId="2B55E3C2" w:rsidR="00160CC4" w:rsidRPr="00CF31E0" w:rsidRDefault="00160CC4" w:rsidP="00603CB7">
      <w:pPr>
        <w:pStyle w:val="Paragraph"/>
        <w:rPr>
          <w:lang w:eastAsia="zh-CN"/>
        </w:rPr>
      </w:pPr>
      <w:r w:rsidRPr="00CF31E0">
        <w:rPr>
          <w:lang w:eastAsia="zh-CN"/>
        </w:rPr>
        <w:t xml:space="preserve">The indirect approach asks informants subtle and somewhat deceptive questions that induce “more private emotional and conceptual reactions” </w:t>
      </w:r>
      <w:r w:rsidRPr="00CF31E0">
        <w:rPr>
          <w:lang w:eastAsia="zh-CN"/>
        </w:rPr>
        <w:fldChar w:fldCharType="begin"/>
      </w:r>
      <w:r w:rsidR="00CD34CA" w:rsidRPr="00CF31E0">
        <w:rPr>
          <w:lang w:eastAsia="zh-CN"/>
        </w:rPr>
        <w:instrText xml:space="preserve"> ADDIN ZOTERO_ITEM CSL_CITATION {"citationID":"YmGIrdpJ","properties":{"formattedCitation":"(Garrett, 2010, p. 42)","plainCitation":"(Garrett, 2010, p. 42)","dontUpdate":true,"noteIndex":0},"citationItems":[{"id":29,"uris":["http://zotero.org/users/1939618/items/NF3PAHT2"],"uri":["http://zotero.org/users/1939618/items/NF3PAHT2"],"itemData":{"id":29,"type":"book","title":"Attitudes to Language","publisher":"Cambridge University Press","publisher-place":"New York, NY","number-of-pages":"269","source":"Google Books","event-place":"New York, NY","abstract":"Just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behaviour.","ISBN":"978-1-139-48682-8","language":"en","author":[{"family":"Garrett","given":"Peter"}],"issued":{"date-parts":[["2010",4,8]]}},"locator":"42","label":"page"}],"schema":"https://github.com/citation-style-language/schema/raw/master/csl-citation.json"} </w:instrText>
      </w:r>
      <w:r w:rsidRPr="00CF31E0">
        <w:rPr>
          <w:lang w:eastAsia="zh-CN"/>
        </w:rPr>
        <w:fldChar w:fldCharType="separate"/>
      </w:r>
      <w:r w:rsidRPr="00CF31E0">
        <w:rPr>
          <w:lang w:eastAsia="zh-CN"/>
        </w:rPr>
        <w:t>(Garrett</w:t>
      </w:r>
      <w:r w:rsidR="00746118" w:rsidRPr="00CF31E0">
        <w:rPr>
          <w:lang w:eastAsia="zh-CN"/>
        </w:rPr>
        <w:t xml:space="preserve"> et al.</w:t>
      </w:r>
      <w:r w:rsidRPr="00CF31E0">
        <w:rPr>
          <w:lang w:eastAsia="zh-CN"/>
        </w:rPr>
        <w:t>, 2005</w:t>
      </w:r>
      <w:r w:rsidR="00755978" w:rsidRPr="00CF31E0">
        <w:rPr>
          <w:lang w:eastAsia="zh-CN"/>
        </w:rPr>
        <w:t>a</w:t>
      </w:r>
      <w:r w:rsidRPr="00CF31E0">
        <w:rPr>
          <w:lang w:eastAsia="zh-CN"/>
        </w:rPr>
        <w:t>)</w:t>
      </w:r>
      <w:r w:rsidRPr="00CF31E0">
        <w:rPr>
          <w:lang w:eastAsia="zh-CN"/>
        </w:rPr>
        <w:fldChar w:fldCharType="end"/>
      </w:r>
      <w:r w:rsidRPr="00CF31E0">
        <w:rPr>
          <w:lang w:eastAsia="zh-CN"/>
        </w:rPr>
        <w:t xml:space="preserve">. </w:t>
      </w:r>
      <w:r w:rsidRPr="00CF31E0">
        <w:rPr>
          <w:lang w:eastAsia="zh-CN"/>
        </w:rPr>
        <w:fldChar w:fldCharType="begin"/>
      </w:r>
      <w:r w:rsidRPr="00CF31E0">
        <w:rPr>
          <w:lang w:eastAsia="zh-CN"/>
        </w:rPr>
        <w:instrText xml:space="preserve"> ADDIN ZOTERO_ITEM CSL_CITATION {"citationID":"Y0zl4Xtp","properties":{"formattedCitation":"(Garrett et al., 2005a, p. 41)","plainCitation":"(Garrett et al., 2005a, p. 41)","dontUpdate":true,"noteIndex":0},"citationItems":[{"id":298,"uris":["http://zotero.org/users/1939618/items/VGGFH99T"],"uri":["http://zotero.org/users/1939618/items/VGGFH99T"],"itemData":{"id":298,"type":"article-journal","title":"Accessing social meanings: Values of keywords, values in keywords","container-title":"Acta Linguistica Hafniensia","page":"37–54","volume":"37","issue":"1","source":"Google Scholar","shortTitle":"Accessing social meanings","author":[{"family":"Garrett","given":"Peter"},{"family":"Williams","given":"Angie"},{"family":"Evans","given":"Betsy"}],"issued":{"date-parts":[["2005"]]}},"locator":"41","label":"page"}],"schema":"https://github.com/citation-style-language/schema/raw/master/csl-citation.json"} </w:instrText>
      </w:r>
      <w:r w:rsidRPr="00CF31E0">
        <w:rPr>
          <w:lang w:eastAsia="zh-CN"/>
        </w:rPr>
        <w:fldChar w:fldCharType="separate"/>
      </w:r>
      <w:r w:rsidRPr="00CF31E0">
        <w:rPr>
          <w:noProof/>
          <w:lang w:eastAsia="zh-CN"/>
        </w:rPr>
        <w:t>Garrett et al. (2005a, p. 41)</w:t>
      </w:r>
      <w:r w:rsidRPr="00CF31E0">
        <w:rPr>
          <w:lang w:eastAsia="zh-CN"/>
        </w:rPr>
        <w:fldChar w:fldCharType="end"/>
      </w:r>
      <w:r w:rsidRPr="00CF31E0">
        <w:rPr>
          <w:lang w:eastAsia="zh-CN"/>
        </w:rPr>
        <w:t xml:space="preserve"> define it as “one resource for hindering or preventing respondents from giving conscious attention to the matter being researched”. This means that the indirect approach attempts to divert respondents’ attention from conscious to automatic attention. It conceals the real purpose of the research; hence, participants do not feel pressured to express attitudes they think they have to reveal, instead revealing their attitudes naturally.</w:t>
      </w:r>
    </w:p>
    <w:p w14:paraId="3BE7BF4A" w14:textId="6237C8C7" w:rsidR="00160CC4" w:rsidRPr="00CF31E0" w:rsidRDefault="00160CC4" w:rsidP="00603CB7">
      <w:pPr>
        <w:pStyle w:val="Paragraph"/>
        <w:rPr>
          <w:lang w:eastAsia="zh-CN"/>
        </w:rPr>
      </w:pPr>
      <w:r w:rsidRPr="00CF31E0">
        <w:rPr>
          <w:lang w:eastAsia="zh-CN"/>
        </w:rPr>
        <w:t>According to information processing theory, the indirect approach involves automatic processing (i.e. unconscious processing)</w:t>
      </w:r>
      <w:r w:rsidR="00597509" w:rsidRPr="00CF31E0">
        <w:rPr>
          <w:lang w:eastAsia="zh-CN"/>
        </w:rPr>
        <w:t xml:space="preserve"> </w:t>
      </w:r>
      <w:r w:rsidRPr="00CF31E0">
        <w:rPr>
          <w:lang w:eastAsia="zh-CN"/>
        </w:rPr>
        <w:fldChar w:fldCharType="begin"/>
      </w:r>
      <w:r w:rsidRPr="00CF31E0">
        <w:rPr>
          <w:lang w:eastAsia="zh-CN"/>
        </w:rPr>
        <w:instrText xml:space="preserve"> ADDIN ZOTERO_ITEM CSL_CITATION {"citationID":"k7B9fTXj","properties":{"formattedCitation":"(Garrett et al., 2005a, p. 40)","plainCitation":"(Garrett et al., 2005a, p. 40)","dontUpdate":true,"noteIndex":0},"citationItems":[{"id":298,"uris":["http://zotero.org/users/1939618/items/VGGFH99T"],"uri":["http://zotero.org/users/1939618/items/VGGFH99T"],"itemData":{"id":298,"type":"article-journal","title":"Accessing social meanings: Values of keywords, values in keywords","container-title":"Acta Linguistica Hafniensia","page":"37–54","volume":"37","issue":"1","source":"Google Scholar","shortTitle":"Accessing social meanings","author":[{"family":"Garrett","given":"Peter"},{"family":"Williams","given":"Angie"},{"family":"Evans","given":"Betsy"}],"issued":{"date-parts":[["2005"]]}},"locator":"40","label":"page"}],"schema":"https://github.com/citation-style-language/schema/raw/master/csl-citation.json"} </w:instrText>
      </w:r>
      <w:r w:rsidRPr="00CF31E0">
        <w:rPr>
          <w:lang w:eastAsia="zh-CN"/>
        </w:rPr>
        <w:fldChar w:fldCharType="separate"/>
      </w:r>
      <w:r w:rsidRPr="00CF31E0">
        <w:rPr>
          <w:noProof/>
          <w:lang w:eastAsia="zh-CN"/>
        </w:rPr>
        <w:t>(Garrett et al., 2005a)</w:t>
      </w:r>
      <w:r w:rsidRPr="00CF31E0">
        <w:rPr>
          <w:lang w:eastAsia="zh-CN"/>
        </w:rPr>
        <w:fldChar w:fldCharType="end"/>
      </w:r>
      <w:r w:rsidRPr="00CF31E0">
        <w:rPr>
          <w:lang w:eastAsia="zh-CN"/>
        </w:rPr>
        <w:t xml:space="preserve">. Automatic processing is useful for extracting social stereotypes as these are formed ahead of personal beliefs and are often resistant to change </w:t>
      </w:r>
      <w:r w:rsidRPr="00CF31E0">
        <w:rPr>
          <w:lang w:eastAsia="zh-CN"/>
        </w:rPr>
        <w:fldChar w:fldCharType="begin"/>
      </w:r>
      <w:r w:rsidRPr="00CF31E0">
        <w:rPr>
          <w:lang w:eastAsia="zh-CN"/>
        </w:rPr>
        <w:instrText xml:space="preserve"> ADDIN ZOTERO_ITEM CSL_CITATION {"citationID":"a15h2kcr2eo","properties":{"formattedCitation":"(Garrett et al., 2005a)","plainCitation":"(Garrett et al., 2005a)","noteIndex":0},"citationItems":[{"id":298,"uris":["http://zotero.org/users/1939618/items/VGGFH99T"],"uri":["http://zotero.org/users/1939618/items/VGGFH99T"],"itemData":{"id":298,"type":"article-journal","title":"Accessing social meanings: Values of keywords, values in keywords","container-title":"Acta Linguistica Hafniensia","page":"37–54","volume":"37","issue":"1","source":"Google Scholar","shortTitle":"Accessing social meanings","author":[{"family":"Garrett","given":"Peter"},{"family":"Williams","given":"Angie"},{"family":"Evans","given":"Betsy"}],"issued":{"date-parts":[["2005"]]}}}],"schema":"https://github.com/citation-style-language/schema/raw/master/csl-citation.json"} </w:instrText>
      </w:r>
      <w:r w:rsidRPr="00CF31E0">
        <w:rPr>
          <w:lang w:eastAsia="zh-CN"/>
        </w:rPr>
        <w:fldChar w:fldCharType="separate"/>
      </w:r>
      <w:r w:rsidRPr="00CF31E0">
        <w:rPr>
          <w:noProof/>
          <w:lang w:eastAsia="zh-CN"/>
        </w:rPr>
        <w:t>(Garrett et al., 2005a)</w:t>
      </w:r>
      <w:r w:rsidRPr="00CF31E0">
        <w:rPr>
          <w:lang w:eastAsia="zh-CN"/>
        </w:rPr>
        <w:fldChar w:fldCharType="end"/>
      </w:r>
      <w:r w:rsidRPr="00CF31E0">
        <w:rPr>
          <w:lang w:eastAsia="zh-CN"/>
        </w:rPr>
        <w:t xml:space="preserve">. Therefore, the way in which stereotypes are elicited must not make informants aware that the real purpose of the question is to elicit social stereotypes. </w:t>
      </w:r>
    </w:p>
    <w:p w14:paraId="44A24DE1" w14:textId="7F1C1412" w:rsidR="00160CC4" w:rsidRPr="00CF31E0" w:rsidRDefault="00160CC4" w:rsidP="00603CB7">
      <w:pPr>
        <w:pStyle w:val="Paragraph"/>
        <w:rPr>
          <w:lang w:eastAsia="zh-CN"/>
        </w:rPr>
      </w:pPr>
      <w:r w:rsidRPr="00CF31E0">
        <w:rPr>
          <w:lang w:eastAsia="zh-CN"/>
        </w:rPr>
        <w:lastRenderedPageBreak/>
        <w:t xml:space="preserve">The indirect approach can be applied through the “matched guise” technique and its variant, the “verbal guise” technique </w:t>
      </w:r>
      <w:r w:rsidRPr="00CF31E0">
        <w:rPr>
          <w:lang w:eastAsia="zh-CN"/>
        </w:rPr>
        <w:fldChar w:fldCharType="begin"/>
      </w:r>
      <w:r w:rsidR="00CD34CA" w:rsidRPr="00CF31E0">
        <w:rPr>
          <w:lang w:eastAsia="zh-CN"/>
        </w:rPr>
        <w:instrText xml:space="preserve"> ADDIN ZOTERO_ITEM CSL_CITATION {"citationID":"ag0fr4v5sg","properties":{"formattedCitation":"(Garrett et al., 2003)","plainCitation":"(Garrett et al., 2003)","noteIndex":0},"citationItems":[{"id":311,"uris":["http://zotero.org/users/1939618/items/UQ7HLIBB"],"uri":["http://zotero.org/users/1939618/items/UQ7HLIBB"],"itemData":{"id":311,"type":"book","title":"Investigating language attitudes [electronic resource]: social meanings of dialect, ethnicity and performance","publisher":"University of Wales Press","publisher-place":"Cardiff","number-of-pages":"x+251","source":"find.shef.ac.uk","event-place":"Cardiff","URL":"https://www.dawsonera.com/guard/protected/dawson.jsp?name=https://idp.shef.ac.uk/shibboleth&amp;dest=http://www.dawsonera.com/depp/reader/protected/external/AbstractView/S9781783162086","ISBN":"978-1-78316-208-6","shortTitle":"Investigating language attitudes [electronic resource]","language":"eng","author":[{"family":"Garrett","given":"Peter"},{"family":"Coupland","given":"Nikolas"},{"family":"Williams","given":"Angie"}],"issued":{"date-parts":[["2003"]]},"accessed":{"date-parts":[["2018",1,8]]}}}],"schema":"https://github.com/citation-style-language/schema/raw/master/csl-citation.json"} </w:instrText>
      </w:r>
      <w:r w:rsidRPr="00CF31E0">
        <w:rPr>
          <w:lang w:eastAsia="zh-CN"/>
        </w:rPr>
        <w:fldChar w:fldCharType="separate"/>
      </w:r>
      <w:r w:rsidRPr="00CF31E0">
        <w:rPr>
          <w:noProof/>
          <w:lang w:eastAsia="zh-CN"/>
        </w:rPr>
        <w:t>(Garrett et al., 2003)</w:t>
      </w:r>
      <w:r w:rsidRPr="00CF31E0">
        <w:rPr>
          <w:lang w:eastAsia="zh-CN"/>
        </w:rPr>
        <w:fldChar w:fldCharType="end"/>
      </w:r>
      <w:r w:rsidRPr="00CF31E0">
        <w:rPr>
          <w:lang w:eastAsia="zh-CN"/>
        </w:rPr>
        <w:t xml:space="preserve">. In the matched guise technique, researchers use the recorded speech of one person imitating multiple accents. Informants may think that the recorded speech is provided by many speakers, but in reality there is only one speaker </w:t>
      </w:r>
      <w:r w:rsidRPr="00CF31E0">
        <w:rPr>
          <w:lang w:eastAsia="zh-CN"/>
        </w:rPr>
        <w:fldChar w:fldCharType="begin"/>
      </w:r>
      <w:r w:rsidR="00CD34CA" w:rsidRPr="00CF31E0">
        <w:rPr>
          <w:lang w:eastAsia="zh-CN"/>
        </w:rPr>
        <w:instrText xml:space="preserve"> ADDIN ZOTERO_ITEM CSL_CITATION {"citationID":"3b2AZp2r","properties":{"formattedCitation":"(Garrett, 2010, p. 53)","plainCitation":"(Garrett, 2010, p. 53)","noteIndex":0},"citationItems":[{"id":29,"uris":["http://zotero.org/users/1939618/items/NF3PAHT2"],"uri":["http://zotero.org/users/1939618/items/NF3PAHT2"],"itemData":{"id":29,"type":"book","title":"Attitudes to Language","publisher":"Cambridge University Press","publisher-place":"New York, NY","number-of-pages":"269","source":"Google Books","event-place":"New York, NY","abstract":"Just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behaviour.","ISBN":"978-1-139-48682-8","language":"en","author":[{"family":"Garrett","given":"Peter"}],"issued":{"date-parts":[["2010",4,8]]}},"locator":"53","label":"page"}],"schema":"https://github.com/citation-style-language/schema/raw/master/csl-citation.json"} </w:instrText>
      </w:r>
      <w:r w:rsidRPr="00CF31E0">
        <w:rPr>
          <w:lang w:eastAsia="zh-CN"/>
        </w:rPr>
        <w:fldChar w:fldCharType="separate"/>
      </w:r>
      <w:r w:rsidRPr="00CF31E0">
        <w:rPr>
          <w:lang w:eastAsia="zh-CN"/>
        </w:rPr>
        <w:t>(Garrett, 2010, p. 53)</w:t>
      </w:r>
      <w:r w:rsidRPr="00CF31E0">
        <w:rPr>
          <w:lang w:eastAsia="zh-CN"/>
        </w:rPr>
        <w:fldChar w:fldCharType="end"/>
      </w:r>
      <w:r w:rsidRPr="00CF31E0">
        <w:rPr>
          <w:lang w:eastAsia="zh-CN"/>
        </w:rPr>
        <w:t>. Thus, in the matched-guise technique participants think that the task is an attitude-rating one, while in reality they are rating the accent or dialect of the speaker. The verbal</w:t>
      </w:r>
      <w:r w:rsidR="005D0894" w:rsidRPr="00CF31E0">
        <w:rPr>
          <w:lang w:eastAsia="zh-CN"/>
        </w:rPr>
        <w:t>-guise</w:t>
      </w:r>
      <w:r w:rsidRPr="00CF31E0">
        <w:rPr>
          <w:lang w:eastAsia="zh-CN"/>
        </w:rPr>
        <w:t xml:space="preserve"> technique uses the recorded speech of multiple speakers. Each variety of language is thus represented by one speaker </w:t>
      </w:r>
      <w:r w:rsidRPr="00CF31E0">
        <w:rPr>
          <w:lang w:eastAsia="zh-CN"/>
        </w:rPr>
        <w:fldChar w:fldCharType="begin"/>
      </w:r>
      <w:r w:rsidR="00CD34CA" w:rsidRPr="00CF31E0">
        <w:rPr>
          <w:lang w:eastAsia="zh-CN"/>
        </w:rPr>
        <w:instrText xml:space="preserve"> ADDIN ZOTERO_ITEM CSL_CITATION {"citationID":"UCwK4GJh","properties":{"formattedCitation":"(Garrett, 2010, p. 41,42)","plainCitation":"(Garrett, 2010, p. 41,42)","dontUpdate":true,"noteIndex":0},"citationItems":[{"id":29,"uris":["http://zotero.org/users/1939618/items/NF3PAHT2"],"uri":["http://zotero.org/users/1939618/items/NF3PAHT2"],"itemData":{"id":29,"type":"book","title":"Attitudes to Language","publisher":"Cambridge University Press","publisher-place":"New York, NY","number-of-pages":"269","source":"Google Books","event-place":"New York, NY","abstract":"Just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behaviour.","ISBN":"978-1-139-48682-8","language":"en","author":[{"family":"Garrett","given":"Peter"}],"issued":{"date-parts":[["2010",4,8]]}},"locator":"41,42","label":"page"}],"schema":"https://github.com/citation-style-language/schema/raw/master/csl-citation.json"} </w:instrText>
      </w:r>
      <w:r w:rsidRPr="00CF31E0">
        <w:rPr>
          <w:lang w:eastAsia="zh-CN"/>
        </w:rPr>
        <w:fldChar w:fldCharType="separate"/>
      </w:r>
      <w:r w:rsidRPr="00CF31E0">
        <w:rPr>
          <w:lang w:eastAsia="zh-CN"/>
        </w:rPr>
        <w:t>(Garrett, 2010, p. 41, 42)</w:t>
      </w:r>
      <w:r w:rsidRPr="00CF31E0">
        <w:rPr>
          <w:lang w:eastAsia="zh-CN"/>
        </w:rPr>
        <w:fldChar w:fldCharType="end"/>
      </w:r>
      <w:r w:rsidRPr="00CF31E0">
        <w:rPr>
          <w:lang w:eastAsia="zh-CN"/>
        </w:rPr>
        <w:t xml:space="preserve">. </w:t>
      </w:r>
    </w:p>
    <w:p w14:paraId="0BAA9AA9" w14:textId="374C91E1" w:rsidR="00160CC4" w:rsidRPr="00CF31E0" w:rsidRDefault="00160CC4" w:rsidP="00603CB7">
      <w:pPr>
        <w:pStyle w:val="Paragraph"/>
        <w:rPr>
          <w:lang w:eastAsia="zh-CN"/>
        </w:rPr>
      </w:pPr>
      <w:r w:rsidRPr="00CF31E0">
        <w:rPr>
          <w:lang w:eastAsia="zh-CN"/>
        </w:rPr>
        <w:t xml:space="preserve">Many researchers have conducted studies using the matched-guise technique to elicit attitudes about language </w:t>
      </w:r>
      <w:r w:rsidRPr="00CF31E0">
        <w:rPr>
          <w:lang w:eastAsia="zh-CN"/>
        </w:rPr>
        <w:fldChar w:fldCharType="begin"/>
      </w:r>
      <w:r w:rsidR="00A54129" w:rsidRPr="00CF31E0">
        <w:rPr>
          <w:lang w:eastAsia="zh-CN"/>
        </w:rPr>
        <w:instrText xml:space="preserve"> ADDIN ZOTERO_ITEM CSL_CITATION {"citationID":"274j8l1mtv","properties":{"formattedCitation":"(Giles, 1970; Huygens &amp; Vaughan, 1983; Montgomery, 2007)","plainCitation":"(Giles, 1970; Huygens &amp; Vaughan, 1983; Montgomery, 2007)","dontUpdate":true,"noteIndex":0},"citationItems":[{"id":62,"uris":["http://zotero.org/users/1939618/items/ZXQ48QBG"],"uri":["http://zotero.org/users/1939618/items/ZXQ48QBG"],"itemData":{"id":62,"type":"article-journal","title":"Evaluative reactions to accents","container-title":"Educational review","page":"211–227","volume":"22","issue":"3","source":"Google Scholar","author":[{"family":"Giles","given":"Howard"}],"issued":{"date-parts":[["1970"]]}},"label":"page"},{"id":9,"uris":["http://zotero.org/users/1939618/items/ZER49FSB"],"uri":["http://zotero.org/users/1939618/items/ZER49FSB"],"itemData":{"id":9,"type":"article-journal","title":"Language attitudes, ethnicity and social class in New Zealand","container-title":"Journal of Multilingual and Multicultural Development","page":"207-223","volume":"4","issue":"2-3","source":"Taylor and Francis+NEJM","abstract":"The extent to which ethnic speech styles can be detected, and how they and English R.P. are evaluated, have been problematic issues in the small literature devoted to New Zealand speech varieties. In the present study, samples of spontaneous speech of English, Dutch, Maori and Pakeha speakers (from three status groups) were presented on audiotapes to 120 students. Ratings were made on four Social and four Personal Scales, while an attempt to describe type of accent was invited. The results showed that Maori speakers were the least successfully identified by ethnic group. Prestige ratings were: English, Dutch, and then Maori. English and Pakeha speakers were equally prestigeful, though this effect interacts with occupational class: speech styles approximating R.P. were rated highest. Ethnicity was also used as a cue to attribute a limited number of personal stereotypes.","DOI":"10.1080/01434632.1983.9994112","ISSN":"0143-4632","author":[{"family":"Huygens","given":"Ingrid"},{"family":"Vaughan","given":"Graham M."}],"issued":{"date-parts":[["1983",1,1]]}},"label":"page"},{"id":3,"uris":["http://zotero.org/users/1939618/items/IB93562T"],"uri":["http://zotero.org/users/1939618/items/IB93562T"],"itemData":{"id":3,"type":"thesis","title":"Northern English Dialects: A perceptual approach (doctoral dissertation)","publisher":"University of Sheffield","genre":"Thesis","source":"etheses.whiterose.ac.uk","abstract":"Perceptual dialectology has the capacity to deliver a great many benefits to the study of language varieties.  It also allows examination of the underlying factors in dialect use such as the ‘beliefs, attitudes and strategies’ (Preston, 1999: xxiii) which make up language users’ reactions to language varieties.  In this way it has the potential to ask questions of identity and explore the reasons for dialect loyalty as well as complementing other research in the field of language variation and change.\n\nUsing a perceptual framework, this research investigates the relationship between the north and south of England and gains access to some of the key concepts which affect informants’ view of this important social, cultural and historical relationship.  Perceptions of salient dialect areas are also assessed using informants from three locations in the north of England via the completion of a draw-a-map task (Preston, 1999: xxxiv).  Many of the factors which impact on the perception of dialect areas are discussed, with phenomena of proximity and cultural salience demonstrating an important role.  An analysis of informants’ reactions to voice samples from across England is also undertaken using methods adapted from the fields of linguistics (Embleton &amp; Wheeler, 1997, Giles &amp; Powesland, 1975, Niedzielski &amp; Preston, 2003) as well perceptual geography (Pocock, 1972).  The link between map-based perception and reaction to voice samples is examined, with interesting conclusions. \n\nFour key research questions are addressed:\n\n1.\tDo respondents have a linguistic ‘cognitive map’ of a north of England, and do respondents recognise there to be internal boundaries within ‘their’ north of England?\n2.\tDoes home-town location of informants affect the perception of dialect area? \n3.\tWhat are informants’ perceptions of the language varieties in the north of England?\n4.\tIs there a relationship between perception and ‘reality’ (production), and can respondents recognise the varieties they have identified?\n\nThese questions will be addressed using the methods described above and the results accounted for through comparison with a wide range of previous studies in the fields of dialectology (Trudgill, 1999, Upton, Sanderson &amp; Widdowson, 1987, Wells, 1982), social and cultural history (Wales, 2006), perceptual dialectology (Long &amp; Preston, 2002), sociolinguistics (Giles &amp; Powesland, 1975) and perceptual geography (Gould &amp; White, 1986).","URL":"http://etheses.whiterose.ac.uk/1203/","shortTitle":"Northern English Dialects","author":[{"family":"Montgomery","given":"Chris"}],"issued":{"date-parts":[["2007",1,16]]},"accessed":{"date-parts":[["2014",9,24]]}},"label":"page"}],"schema":"https://github.com/citation-style-language/schema/raw/master/csl-citation.json"} </w:instrText>
      </w:r>
      <w:r w:rsidRPr="00CF31E0">
        <w:rPr>
          <w:lang w:eastAsia="zh-CN"/>
        </w:rPr>
        <w:fldChar w:fldCharType="separate"/>
      </w:r>
      <w:r w:rsidRPr="00CF31E0">
        <w:rPr>
          <w:lang w:eastAsia="zh-CN"/>
        </w:rPr>
        <w:t>(Giles, 1970; Huygens &amp; Vaughan, 1983)</w:t>
      </w:r>
      <w:r w:rsidRPr="00CF31E0">
        <w:rPr>
          <w:lang w:eastAsia="zh-CN"/>
        </w:rPr>
        <w:fldChar w:fldCharType="end"/>
      </w:r>
      <w:r w:rsidRPr="00CF31E0">
        <w:rPr>
          <w:lang w:eastAsia="zh-CN"/>
        </w:rPr>
        <w:t xml:space="preserve">. A study by </w:t>
      </w:r>
      <w:r w:rsidRPr="00CF31E0">
        <w:rPr>
          <w:lang w:eastAsia="zh-CN"/>
        </w:rPr>
        <w:fldChar w:fldCharType="begin"/>
      </w:r>
      <w:r w:rsidR="00CD34CA" w:rsidRPr="00CF31E0">
        <w:rPr>
          <w:lang w:eastAsia="zh-CN"/>
        </w:rPr>
        <w:instrText xml:space="preserve"> ADDIN ZOTERO_ITEM CSL_CITATION {"citationID":"9fAOgVKw","properties":{"formattedCitation":"(Giles, 1970)","plainCitation":"(Giles, 1970)","dontUpdate":true,"noteIndex":0},"citationItems":[{"id":62,"uris":["http://zotero.org/users/1939618/items/ZXQ48QBG"],"uri":["http://zotero.org/users/1939618/items/ZXQ48QBG"],"itemData":{"id":62,"type":"article-journal","title":"Evaluative reactions to accents","container-title":"Educational review","page":"211–227","volume":"22","issue":"3","source":"Google Scholar","author":[{"family":"Giles","given":"Howard"}],"issued":{"date-parts":[["1970"]]}}}],"schema":"https://github.com/citation-style-language/schema/raw/master/csl-citation.json"} </w:instrText>
      </w:r>
      <w:r w:rsidRPr="00CF31E0">
        <w:rPr>
          <w:lang w:eastAsia="zh-CN"/>
        </w:rPr>
        <w:fldChar w:fldCharType="separate"/>
      </w:r>
      <w:r w:rsidRPr="00CF31E0">
        <w:rPr>
          <w:lang w:eastAsia="zh-CN"/>
        </w:rPr>
        <w:t>Giles (1970)</w:t>
      </w:r>
      <w:r w:rsidRPr="00CF31E0">
        <w:rPr>
          <w:lang w:eastAsia="zh-CN"/>
        </w:rPr>
        <w:fldChar w:fldCharType="end"/>
      </w:r>
      <w:r w:rsidRPr="00CF31E0">
        <w:rPr>
          <w:lang w:eastAsia="zh-CN"/>
        </w:rPr>
        <w:t xml:space="preserve"> applied the matched</w:t>
      </w:r>
      <w:r w:rsidR="00C86BDA" w:rsidRPr="00CF31E0">
        <w:rPr>
          <w:lang w:eastAsia="zh-CN"/>
        </w:rPr>
        <w:t>-guise</w:t>
      </w:r>
      <w:r w:rsidRPr="00CF31E0">
        <w:rPr>
          <w:lang w:eastAsia="zh-CN"/>
        </w:rPr>
        <w:t xml:space="preserve"> technique. In the study, different English accents (i.e. Received Pronunciation [RP], French, Irish, South Welsh, Northern English, Indian, Italian, Somerset, North American, Cockney, German, Birmingham) were recorded and presented to 177 school students. Informants were told that the various accents were spoken by different speakers, but in reality, they were performed by only one speaker. Using a scale of 1 to 7, students rated how strongly they associated each accent with three adjectives: pleasant, prestigious, and comfortable. RP and two foreign accents (French and North American) were rated as highly prestigious, and even more prestigious than British regional accents </w:t>
      </w:r>
      <w:r w:rsidRPr="00CF31E0">
        <w:rPr>
          <w:lang w:eastAsia="zh-CN"/>
        </w:rPr>
        <w:fldChar w:fldCharType="begin"/>
      </w:r>
      <w:r w:rsidR="00CD34CA" w:rsidRPr="00CF31E0">
        <w:rPr>
          <w:lang w:eastAsia="zh-CN"/>
        </w:rPr>
        <w:instrText xml:space="preserve"> ADDIN ZOTERO_ITEM CSL_CITATION {"citationID":"eIY3xU7N","properties":{"formattedCitation":"(Giles, 1970, p. 223)","plainCitation":"(Giles, 1970, p. 223)","dontUpdate":true,"noteIndex":0},"citationItems":[{"id":62,"uris":["http://zotero.org/users/1939618/items/ZXQ48QBG"],"uri":["http://zotero.org/users/1939618/items/ZXQ48QBG"],"itemData":{"id":62,"type":"article-journal","title":"Evaluative reactions to accents","container-title":"Educational review","page":"211–227","volume":"22","issue":"3","source":"Google Scholar","author":[{"family":"Giles","given":"Howard"}],"issued":{"date-parts":[["1970"]]}},"locator":"223","label":"page"}],"schema":"https://github.com/citation-style-language/schema/raw/master/csl-citation.json"} </w:instrText>
      </w:r>
      <w:r w:rsidRPr="00CF31E0">
        <w:rPr>
          <w:lang w:eastAsia="zh-CN"/>
        </w:rPr>
        <w:fldChar w:fldCharType="separate"/>
      </w:r>
      <w:r w:rsidRPr="00CF31E0">
        <w:rPr>
          <w:lang w:eastAsia="zh-CN"/>
        </w:rPr>
        <w:t>(Giles, 1970)</w:t>
      </w:r>
      <w:r w:rsidRPr="00CF31E0">
        <w:rPr>
          <w:lang w:eastAsia="zh-CN"/>
        </w:rPr>
        <w:fldChar w:fldCharType="end"/>
      </w:r>
      <w:r w:rsidRPr="00CF31E0">
        <w:rPr>
          <w:lang w:eastAsia="zh-CN"/>
        </w:rPr>
        <w:t xml:space="preserve">. RP, French-accented English and Irish English achieved high scores in the pleasant category. Finally, RP, American English and French-accented English were associated with the greatest level of comfort </w:t>
      </w:r>
      <w:r w:rsidRPr="00CF31E0">
        <w:rPr>
          <w:lang w:eastAsia="zh-CN"/>
        </w:rPr>
        <w:fldChar w:fldCharType="begin"/>
      </w:r>
      <w:r w:rsidR="00CD34CA" w:rsidRPr="00CF31E0">
        <w:rPr>
          <w:lang w:eastAsia="zh-CN"/>
        </w:rPr>
        <w:instrText xml:space="preserve"> ADDIN ZOTERO_ITEM CSL_CITATION {"citationID":"OzNdvblx","properties":{"formattedCitation":"(Giles, 1970, p. 224)","plainCitation":"(Giles, 1970, p. 224)","dontUpdate":true,"noteIndex":0},"citationItems":[{"id":62,"uris":["http://zotero.org/users/1939618/items/ZXQ48QBG"],"uri":["http://zotero.org/users/1939618/items/ZXQ48QBG"],"itemData":{"id":62,"type":"article-journal","title":"Evaluative reactions to accents","container-title":"Educational review","page":"211–227","volume":"22","issue":"3","source":"Google Scholar","author":[{"family":"Giles","given":"Howard"}],"issued":{"date-parts":[["1970"]]}},"locator":"224","label":"page"}],"schema":"https://github.com/citation-style-language/schema/raw/master/csl-citation.json"} </w:instrText>
      </w:r>
      <w:r w:rsidRPr="00CF31E0">
        <w:rPr>
          <w:lang w:eastAsia="zh-CN"/>
        </w:rPr>
        <w:fldChar w:fldCharType="separate"/>
      </w:r>
      <w:r w:rsidRPr="00CF31E0">
        <w:rPr>
          <w:lang w:eastAsia="zh-CN"/>
        </w:rPr>
        <w:t>(Giles, 1970)</w:t>
      </w:r>
      <w:r w:rsidRPr="00CF31E0">
        <w:rPr>
          <w:lang w:eastAsia="zh-CN"/>
        </w:rPr>
        <w:fldChar w:fldCharType="end"/>
      </w:r>
      <w:r w:rsidRPr="00CF31E0">
        <w:rPr>
          <w:lang w:eastAsia="zh-CN"/>
        </w:rPr>
        <w:t xml:space="preserve">. The most noticeable pattern from Giles’s study was that RP had the highest rating on all three scales: pleasant, prestigious and comfortable. Giles (1970) attributed the highly rated RP result to UK language ideologies which favoured the standard language accent over other accents. Giles’s study will be revisited in section </w:t>
      </w:r>
      <w:r w:rsidR="009B0A98" w:rsidRPr="00CF31E0">
        <w:rPr>
          <w:lang w:eastAsia="zh-CN"/>
        </w:rPr>
        <w:t>4</w:t>
      </w:r>
      <w:r w:rsidR="00845B7B" w:rsidRPr="00CF31E0">
        <w:rPr>
          <w:lang w:eastAsia="zh-CN"/>
        </w:rPr>
        <w:t>.5.1</w:t>
      </w:r>
      <w:r w:rsidRPr="00CF31E0">
        <w:rPr>
          <w:lang w:eastAsia="zh-CN"/>
        </w:rPr>
        <w:t>, as the study incorporates a conceptually presented approach with the aforementioned vocally presented approach.</w:t>
      </w:r>
    </w:p>
    <w:p w14:paraId="2AFBF666" w14:textId="3A39ACC0" w:rsidR="00160CC4" w:rsidRPr="00CF31E0" w:rsidRDefault="00160CC4" w:rsidP="00603CB7">
      <w:pPr>
        <w:pStyle w:val="Paragraph"/>
        <w:rPr>
          <w:lang w:eastAsia="zh-CN"/>
        </w:rPr>
      </w:pPr>
      <w:r w:rsidRPr="00CF31E0">
        <w:rPr>
          <w:lang w:eastAsia="zh-CN"/>
        </w:rPr>
        <w:lastRenderedPageBreak/>
        <w:t xml:space="preserve">Another study of interest is by </w:t>
      </w:r>
      <w:r w:rsidRPr="00CF31E0">
        <w:rPr>
          <w:lang w:eastAsia="zh-CN"/>
        </w:rPr>
        <w:fldChar w:fldCharType="begin"/>
      </w:r>
      <w:r w:rsidR="00CD34CA" w:rsidRPr="00CF31E0">
        <w:rPr>
          <w:lang w:eastAsia="zh-CN"/>
        </w:rPr>
        <w:instrText xml:space="preserve"> ADDIN ZOTERO_ITEM CSL_CITATION {"citationID":"76fAqhbo","properties":{"formattedCitation":"(Ladegaard, 1998, p. 183)","plainCitation":"(Ladegaard, 1998, p. 183)","dontUpdate":true,"noteIndex":0},"citationItems":[{"id":235,"uris":["http://zotero.org/users/1939618/items/255XMBZ9"],"uri":["http://zotero.org/users/1939618/items/255XMBZ9"],"itemData":{"id":235,"type":"article-journal","title":"Assessing national stereotypes in language attitude studies: The case of class-consciousness in Denmark","container-title":"Journal of Multilingual and Multicultural Development","page":"182–198","volume":"19","issue":"3","source":"Google Scholar","shortTitle":"Assessing national stereotypes in language attitude studies","author":[{"family":"Ladegaard","given":"Hans J."}],"issued":{"date-parts":[["1998"]]}},"locator":"183","label":"page"}],"schema":"https://github.com/citation-style-language/schema/raw/master/csl-citation.json"} </w:instrText>
      </w:r>
      <w:r w:rsidRPr="00CF31E0">
        <w:rPr>
          <w:lang w:eastAsia="zh-CN"/>
        </w:rPr>
        <w:fldChar w:fldCharType="separate"/>
      </w:r>
      <w:r w:rsidRPr="00CF31E0">
        <w:rPr>
          <w:noProof/>
          <w:lang w:eastAsia="zh-CN"/>
        </w:rPr>
        <w:t>Ladegaard (1998, p. 183)</w:t>
      </w:r>
      <w:r w:rsidRPr="00CF31E0">
        <w:rPr>
          <w:lang w:eastAsia="zh-CN"/>
        </w:rPr>
        <w:fldChar w:fldCharType="end"/>
      </w:r>
      <w:r w:rsidRPr="00CF31E0">
        <w:rPr>
          <w:lang w:eastAsia="zh-CN"/>
        </w:rPr>
        <w:t xml:space="preserve">. He studied “the nature of the national stereotypes based on the concept of class-consciousness in Denmark”. Ladegaard stated that the cross-cultural communication literature in Denmark always shows that people are not conscious of the social class hierarchy in the </w:t>
      </w:r>
      <w:r w:rsidR="00F2472B" w:rsidRPr="00CF31E0">
        <w:rPr>
          <w:lang w:eastAsia="zh-CN"/>
        </w:rPr>
        <w:t>country</w:t>
      </w:r>
      <w:r w:rsidRPr="00CF31E0">
        <w:rPr>
          <w:lang w:eastAsia="zh-CN"/>
        </w:rPr>
        <w:t>. He wanted to test whether this is a stereotypical view or whether people are actually aware of social class and class-consciousness. Based on an indirect attitudinal approach (i.e. a matched</w:t>
      </w:r>
      <w:r w:rsidR="00C86BDA" w:rsidRPr="00CF31E0">
        <w:rPr>
          <w:lang w:eastAsia="zh-CN"/>
        </w:rPr>
        <w:t>-guise</w:t>
      </w:r>
      <w:r w:rsidRPr="00CF31E0">
        <w:rPr>
          <w:lang w:eastAsia="zh-CN"/>
        </w:rPr>
        <w:t xml:space="preserve"> technique), the results of his study reveal that Danish participants are aware of the social class hierarchy, in contrast to what has been illustrated in the literature. </w:t>
      </w:r>
      <w:r w:rsidRPr="00CF31E0">
        <w:rPr>
          <w:lang w:eastAsia="zh-CN"/>
        </w:rPr>
        <w:fldChar w:fldCharType="begin"/>
      </w:r>
      <w:r w:rsidR="00CD34CA" w:rsidRPr="00CF31E0">
        <w:rPr>
          <w:lang w:eastAsia="zh-CN"/>
        </w:rPr>
        <w:instrText xml:space="preserve"> ADDIN ZOTERO_ITEM CSL_CITATION {"citationID":"beGLtklE","properties":{"formattedCitation":"(Ladegaard, 1998, p. 190)","plainCitation":"(Ladegaard, 1998, p. 190)","dontUpdate":true,"noteIndex":0},"citationItems":[{"id":235,"uris":["http://zotero.org/users/1939618/items/255XMBZ9"],"uri":["http://zotero.org/users/1939618/items/255XMBZ9"],"itemData":{"id":235,"type":"article-journal","title":"Assessing national stereotypes in language attitude studies: The case of class-consciousness in Denmark","container-title":"Journal of Multilingual and Multicultural Development","page":"182–198","volume":"19","issue":"3","source":"Google Scholar","shortTitle":"Assessing national stereotypes in language attitude studies","author":[{"family":"Ladegaard","given":"Hans J."}],"issued":{"date-parts":[["1998"]]}},"locator":"190","label":"page"}],"schema":"https://github.com/citation-style-language/schema/raw/master/csl-citation.json"} </w:instrText>
      </w:r>
      <w:r w:rsidRPr="00CF31E0">
        <w:rPr>
          <w:lang w:eastAsia="zh-CN"/>
        </w:rPr>
        <w:fldChar w:fldCharType="separate"/>
      </w:r>
      <w:r w:rsidRPr="00CF31E0">
        <w:rPr>
          <w:noProof/>
          <w:lang w:eastAsia="zh-CN"/>
        </w:rPr>
        <w:t>Ladegaard (1998, p. 190)</w:t>
      </w:r>
      <w:r w:rsidRPr="00CF31E0">
        <w:rPr>
          <w:lang w:eastAsia="zh-CN"/>
        </w:rPr>
        <w:fldChar w:fldCharType="end"/>
      </w:r>
      <w:r w:rsidRPr="00CF31E0">
        <w:rPr>
          <w:lang w:eastAsia="zh-CN"/>
        </w:rPr>
        <w:t xml:space="preserve"> argued that “indirect attitude measures of some form seem to have certain advantages in terms of eliciting the biased views held by members of one social group toward members of another”. Ladegaard’s study confirms the theoretical assumption underlying the dynamics of the indirect approach, that is, indirect measures are effective in eliciting covert stereotypes. </w:t>
      </w:r>
    </w:p>
    <w:p w14:paraId="1F2878F4" w14:textId="43F85A5C" w:rsidR="00160CC4" w:rsidRPr="00CF31E0" w:rsidRDefault="00160CC4" w:rsidP="00603CB7">
      <w:pPr>
        <w:pStyle w:val="Paragraph"/>
        <w:rPr>
          <w:lang w:eastAsia="zh-CN"/>
        </w:rPr>
      </w:pPr>
      <w:r w:rsidRPr="00CF31E0">
        <w:rPr>
          <w:lang w:eastAsia="zh-CN"/>
        </w:rPr>
        <w:t>While the above studies relied on the matched</w:t>
      </w:r>
      <w:r w:rsidR="00C86BDA" w:rsidRPr="00CF31E0">
        <w:rPr>
          <w:lang w:eastAsia="zh-CN"/>
        </w:rPr>
        <w:t>-guise</w:t>
      </w:r>
      <w:r w:rsidRPr="00CF31E0">
        <w:rPr>
          <w:lang w:eastAsia="zh-CN"/>
        </w:rPr>
        <w:t xml:space="preserve"> technique, </w:t>
      </w:r>
      <w:r w:rsidRPr="00CF31E0">
        <w:rPr>
          <w:lang w:eastAsia="zh-CN"/>
        </w:rPr>
        <w:fldChar w:fldCharType="begin"/>
      </w:r>
      <w:r w:rsidR="00A54129" w:rsidRPr="00CF31E0">
        <w:rPr>
          <w:lang w:eastAsia="zh-CN"/>
        </w:rPr>
        <w:instrText xml:space="preserve"> ADDIN ZOTERO_ITEM CSL_CITATION {"citationID":"ard73qde5a","properties":{"formattedCitation":"(Stewart, Ryan, &amp; Giles, 1985b)","plainCitation":"(Stewart, Ryan, &amp; Giles, 1985b)","noteIndex":0},"citationItems":[{"id":"wgwhcNH1/oZALUVwa","uris":["http://zotero.org/users/1939618/items/G7JDNBGD"],"uri":["http://zotero.org/users/1939618/items/G7JDNBGD"],"itemData":{"id":27,"type":"article-journal","title":"Accent and social class effects on status and solidarity evaluations","container-title":"Personality and Social Psychology Bulletin","page":"98–105","volume":"11","issue":"1","source":"Google Scholar","author":[{"family":"Stewart","given":"Mark A."},{"family":"Ryan","given":"Ellen Bouchard"},{"family":"Giles","given":"Howard"}],"issued":{"date-parts":[["1985"]]}}}],"schema":"https://github.com/citation-style-language/schema/raw/master/csl-citation.json"} </w:instrText>
      </w:r>
      <w:r w:rsidRPr="00CF31E0">
        <w:rPr>
          <w:lang w:eastAsia="zh-CN"/>
        </w:rPr>
        <w:fldChar w:fldCharType="separate"/>
      </w:r>
      <w:r w:rsidR="00CA2735" w:rsidRPr="00CF31E0">
        <w:rPr>
          <w:noProof/>
          <w:lang w:eastAsia="zh-CN"/>
        </w:rPr>
        <w:t>(Stewart, Ryan, &amp; Giles, 1985</w:t>
      </w:r>
      <w:r w:rsidRPr="00CF31E0">
        <w:rPr>
          <w:noProof/>
          <w:lang w:eastAsia="zh-CN"/>
        </w:rPr>
        <w:t>)</w:t>
      </w:r>
      <w:r w:rsidRPr="00CF31E0">
        <w:rPr>
          <w:lang w:eastAsia="zh-CN"/>
        </w:rPr>
        <w:fldChar w:fldCharType="end"/>
      </w:r>
      <w:r w:rsidRPr="00CF31E0">
        <w:rPr>
          <w:lang w:eastAsia="zh-CN"/>
        </w:rPr>
        <w:t xml:space="preserve"> conducted a study in the United States using the verbal</w:t>
      </w:r>
      <w:r w:rsidR="005D0894" w:rsidRPr="00CF31E0">
        <w:rPr>
          <w:lang w:eastAsia="zh-CN"/>
        </w:rPr>
        <w:t>-guise</w:t>
      </w:r>
      <w:r w:rsidRPr="00CF31E0">
        <w:rPr>
          <w:lang w:eastAsia="zh-CN"/>
        </w:rPr>
        <w:t xml:space="preserve"> technique. In this study, two different speakers each recorded versions of RP and standard American English. Ratings of the accents were based on two dimensions: social status and social attractiveness. Respondents rated the RP accent high on social status but low on social attractiveness. Remarkably, respondents assigned higher social status to RP than they did to their own dialects. </w:t>
      </w:r>
    </w:p>
    <w:p w14:paraId="6EB4F092" w14:textId="29AF466D" w:rsidR="00160CC4" w:rsidRPr="00CF31E0" w:rsidRDefault="00597509" w:rsidP="00603CB7">
      <w:pPr>
        <w:pStyle w:val="Paragraph"/>
        <w:rPr>
          <w:lang w:eastAsia="zh-CN"/>
        </w:rPr>
      </w:pPr>
      <w:r w:rsidRPr="00CF31E0">
        <w:rPr>
          <w:lang w:eastAsia="zh-CN"/>
        </w:rPr>
        <w:t>A</w:t>
      </w:r>
      <w:r w:rsidR="00160CC4" w:rsidRPr="00CF31E0">
        <w:rPr>
          <w:lang w:eastAsia="zh-CN"/>
        </w:rPr>
        <w:t xml:space="preserve"> </w:t>
      </w:r>
      <w:r w:rsidRPr="00CF31E0">
        <w:rPr>
          <w:lang w:eastAsia="zh-CN"/>
        </w:rPr>
        <w:t>larger-</w:t>
      </w:r>
      <w:r w:rsidR="00160CC4" w:rsidRPr="00CF31E0">
        <w:rPr>
          <w:lang w:eastAsia="zh-CN"/>
        </w:rPr>
        <w:t xml:space="preserve">scale study </w:t>
      </w:r>
      <w:r w:rsidR="00160CC4" w:rsidRPr="00CF31E0">
        <w:rPr>
          <w:lang w:eastAsia="zh-CN"/>
        </w:rPr>
        <w:fldChar w:fldCharType="begin"/>
      </w:r>
      <w:r w:rsidR="00160CC4" w:rsidRPr="00CF31E0">
        <w:rPr>
          <w:lang w:eastAsia="zh-CN"/>
        </w:rPr>
        <w:instrText xml:space="preserve"> ADDIN ZOTERO_ITEM CSL_CITATION {"citationID":"oVPSX5sX","properties":{"formattedCitation":"(Bayard, Weatherall, Gallois, &amp; Pittam, 2001)","plainCitation":"(Bayard, Weatherall, Gallois, &amp; Pittam, 2001)","noteIndex":0},"citationItems":[{"id":510,"uris":["http://zotero.org/users/1939618/items/GCNRA58I"],"uri":["http://zotero.org/users/1939618/items/GCNRA58I"],"itemData":{"id":510,"type":"article-journal","title":"Pax Americana? Accent attitudinal evaluations in New Zealand, Australia and America","container-title":"Journal of Sociolinguistics","page":"22-49","volume":"5","issue":"1","source":"Wiley Online Library","abstract":"This study describes a series of evaluations of gender pairs of New Zealand English, Australian English, American English and RP-type English English voices by over 400 students in New Zealand, Australia and the U.S.A. Voices were chosen to represent the middle range of each accent, and balanced for paralinguistic features. Twenty-two personality and demographic traits were evaluated by Likert-scale questionnaires. Results indicated that the American female voice was rated most favourably on at least some traits by students of all three nationalities, followed by the American male. For most traits, Australian students generally ranked their own accents in third or fourth place, but New Zealanders put the female NZE voice in the mid-low range of all but solidarity-associated traits. All three groups disliked the NZE male. The RP voices did not receive the higher rankings in power/status variables we expected. The New Zealand evaluations downgrade their own accent vis-a`-vis the American and to some extent the RP voices. Overall, the American accent seems well on the way to equalling or even replacing RP as the prestige—or at least preferred—variety, not only in New Zealand but in Australia and some non-English-speaking nations as well. Preliminary analysis of data from Europe suggests this manifestation of linguistic hegemony as ‘Pax Americana’ seems to be prevalent over more than just the Anglophone nations.","DOI":"10.1111/1467-9481.00136","ISSN":"1467-9841","shortTitle":"Pax Americana?","language":"en","author":[{"family":"Bayard","given":"Donn"},{"family":"Weatherall","given":"Ann"},{"family":"Gallois","given":"Cynthia"},{"family":"Pittam","given":"Jeffery"}],"issued":{"date-parts":[["2001"]]}}}],"schema":"https://github.com/citation-style-language/schema/raw/master/csl-citation.json"} </w:instrText>
      </w:r>
      <w:r w:rsidR="00160CC4" w:rsidRPr="00CF31E0">
        <w:rPr>
          <w:lang w:eastAsia="zh-CN"/>
        </w:rPr>
        <w:fldChar w:fldCharType="separate"/>
      </w:r>
      <w:r w:rsidR="00160CC4" w:rsidRPr="00CF31E0">
        <w:rPr>
          <w:noProof/>
          <w:lang w:eastAsia="zh-CN"/>
        </w:rPr>
        <w:t>(Bayard, Weatherall, Gallois, &amp; Pittam, 2001)</w:t>
      </w:r>
      <w:r w:rsidR="00160CC4" w:rsidRPr="00CF31E0">
        <w:rPr>
          <w:lang w:eastAsia="zh-CN"/>
        </w:rPr>
        <w:fldChar w:fldCharType="end"/>
      </w:r>
      <w:r w:rsidR="00160CC4" w:rsidRPr="00CF31E0">
        <w:rPr>
          <w:lang w:eastAsia="zh-CN"/>
        </w:rPr>
        <w:t xml:space="preserve"> investigated </w:t>
      </w:r>
      <w:r w:rsidRPr="00CF31E0">
        <w:rPr>
          <w:lang w:eastAsia="zh-CN"/>
        </w:rPr>
        <w:t xml:space="preserve">the attitudes of </w:t>
      </w:r>
      <w:r w:rsidR="00160CC4" w:rsidRPr="00CF31E0">
        <w:rPr>
          <w:lang w:eastAsia="zh-CN"/>
        </w:rPr>
        <w:t>Americans, Australians</w:t>
      </w:r>
      <w:r w:rsidRPr="00CF31E0">
        <w:rPr>
          <w:lang w:eastAsia="zh-CN"/>
        </w:rPr>
        <w:t xml:space="preserve"> and</w:t>
      </w:r>
      <w:r w:rsidR="00160CC4" w:rsidRPr="00CF31E0">
        <w:rPr>
          <w:lang w:eastAsia="zh-CN"/>
        </w:rPr>
        <w:t xml:space="preserve"> New Zealanders towards the following three English varieties</w:t>
      </w:r>
      <w:r w:rsidRPr="00CF31E0">
        <w:rPr>
          <w:lang w:eastAsia="zh-CN"/>
        </w:rPr>
        <w:t xml:space="preserve">: </w:t>
      </w:r>
      <w:r w:rsidR="00160CC4" w:rsidRPr="00CF31E0">
        <w:rPr>
          <w:lang w:eastAsia="zh-CN"/>
        </w:rPr>
        <w:t xml:space="preserve">American English, Australian English and New Zealand English. Participants were recruited from </w:t>
      </w:r>
      <w:r w:rsidRPr="00CF31E0">
        <w:rPr>
          <w:lang w:eastAsia="zh-CN"/>
        </w:rPr>
        <w:t>the United States, Australia and New Zealand</w:t>
      </w:r>
      <w:r w:rsidR="00160CC4" w:rsidRPr="00CF31E0">
        <w:rPr>
          <w:lang w:eastAsia="zh-CN"/>
        </w:rPr>
        <w:t xml:space="preserve">. Based on </w:t>
      </w:r>
      <w:r w:rsidRPr="00CF31E0">
        <w:rPr>
          <w:lang w:eastAsia="zh-CN"/>
        </w:rPr>
        <w:t xml:space="preserve">the </w:t>
      </w:r>
      <w:r w:rsidR="00160CC4" w:rsidRPr="00CF31E0">
        <w:rPr>
          <w:lang w:eastAsia="zh-CN"/>
        </w:rPr>
        <w:t>verbal</w:t>
      </w:r>
      <w:r w:rsidR="005D0894" w:rsidRPr="00CF31E0">
        <w:rPr>
          <w:lang w:eastAsia="zh-CN"/>
        </w:rPr>
        <w:t>-guise</w:t>
      </w:r>
      <w:r w:rsidR="00160CC4" w:rsidRPr="00CF31E0">
        <w:rPr>
          <w:lang w:eastAsia="zh-CN"/>
        </w:rPr>
        <w:t xml:space="preserve"> technique, participants were asked to rate the aforementioned dialects </w:t>
      </w:r>
      <w:r w:rsidRPr="00CF31E0">
        <w:rPr>
          <w:lang w:eastAsia="zh-CN"/>
        </w:rPr>
        <w:t xml:space="preserve">on a </w:t>
      </w:r>
      <w:r w:rsidR="00160CC4" w:rsidRPr="00CF31E0">
        <w:rPr>
          <w:lang w:eastAsia="zh-CN"/>
        </w:rPr>
        <w:t xml:space="preserve">six-point semantic differential scale for </w:t>
      </w:r>
      <w:r w:rsidRPr="00CF31E0">
        <w:rPr>
          <w:lang w:eastAsia="zh-CN"/>
        </w:rPr>
        <w:t>22</w:t>
      </w:r>
      <w:r w:rsidR="00160CC4" w:rsidRPr="00CF31E0">
        <w:rPr>
          <w:lang w:eastAsia="zh-CN"/>
        </w:rPr>
        <w:t xml:space="preserve"> characteristics. The results were processed through factor analysis </w:t>
      </w:r>
      <w:r w:rsidRPr="00CF31E0">
        <w:rPr>
          <w:lang w:eastAsia="zh-CN"/>
        </w:rPr>
        <w:t xml:space="preserve">where </w:t>
      </w:r>
      <w:r w:rsidR="00160CC4" w:rsidRPr="00CF31E0">
        <w:rPr>
          <w:lang w:eastAsia="zh-CN"/>
        </w:rPr>
        <w:t>four dimensions were uncovered</w:t>
      </w:r>
      <w:r w:rsidRPr="00CF31E0">
        <w:rPr>
          <w:lang w:eastAsia="zh-CN"/>
        </w:rPr>
        <w:t xml:space="preserve">: </w:t>
      </w:r>
      <w:r w:rsidR="00160CC4" w:rsidRPr="00CF31E0">
        <w:rPr>
          <w:lang w:eastAsia="zh-CN"/>
        </w:rPr>
        <w:t xml:space="preserve">power, competence, solidarity and status. </w:t>
      </w:r>
      <w:r w:rsidRPr="00CF31E0">
        <w:rPr>
          <w:lang w:eastAsia="zh-CN"/>
        </w:rPr>
        <w:t>The r</w:t>
      </w:r>
      <w:r w:rsidR="00160CC4" w:rsidRPr="00CF31E0">
        <w:rPr>
          <w:lang w:eastAsia="zh-CN"/>
        </w:rPr>
        <w:t xml:space="preserve">esults point towards </w:t>
      </w:r>
      <w:r w:rsidRPr="00CF31E0">
        <w:rPr>
          <w:lang w:eastAsia="zh-CN"/>
        </w:rPr>
        <w:t xml:space="preserve">a </w:t>
      </w:r>
      <w:r w:rsidR="00160CC4" w:rsidRPr="00CF31E0">
        <w:rPr>
          <w:lang w:eastAsia="zh-CN"/>
        </w:rPr>
        <w:t xml:space="preserve">pattern </w:t>
      </w:r>
      <w:r w:rsidR="00160CC4" w:rsidRPr="00CF31E0">
        <w:rPr>
          <w:lang w:eastAsia="zh-CN"/>
        </w:rPr>
        <w:lastRenderedPageBreak/>
        <w:t xml:space="preserve">where American and Australian participants are positive about their dialect unlike the New Zealand participants. </w:t>
      </w:r>
    </w:p>
    <w:p w14:paraId="31D072A8" w14:textId="65B4EC56" w:rsidR="00160CC4" w:rsidRPr="00CF31E0" w:rsidRDefault="00160CC4" w:rsidP="00603CB7">
      <w:pPr>
        <w:pStyle w:val="Paragraph"/>
        <w:rPr>
          <w:lang w:eastAsia="zh-CN"/>
        </w:rPr>
      </w:pPr>
      <w:r w:rsidRPr="00CF31E0">
        <w:rPr>
          <w:lang w:eastAsia="zh-CN"/>
        </w:rPr>
        <w:t xml:space="preserve">In the Arab context, </w:t>
      </w:r>
      <w:r w:rsidRPr="00CF31E0">
        <w:rPr>
          <w:lang w:eastAsia="zh-CN"/>
        </w:rPr>
        <w:fldChar w:fldCharType="begin"/>
      </w:r>
      <w:r w:rsidR="00CD34CA" w:rsidRPr="00CF31E0">
        <w:rPr>
          <w:lang w:eastAsia="zh-CN"/>
        </w:rPr>
        <w:instrText xml:space="preserve"> ADDIN ZOTERO_ITEM CSL_CITATION {"citationID":"MK1YJQ4v","properties":{"formattedCitation":"(El-Dash &amp; Tucker, 1975)","plainCitation":"(El-Dash &amp; Tucker, 1975)","dontUpdate":true,"noteIndex":0},"citationItems":[{"id":87,"uris":["http://zotero.org/users/1939618/items/778TWBTD"],"uri":["http://zotero.org/users/1939618/items/778TWBTD"],"itemData":{"id":87,"type":"article-journal","title":"Subjective reactions to various speech styles in Egypt","container-title":"International Journal of the Sociology of Language","page":"33–54","volume":"1975","issue":"6","source":"Google Scholar","author":[{"family":"El-Dash","given":"Linda"},{"family":"Tucker","given":"G. Richard"}],"issued":{"date-parts":[["1975"]]}}}],"schema":"https://github.com/citation-style-language/schema/raw/master/csl-citation.json"} </w:instrText>
      </w:r>
      <w:r w:rsidRPr="00CF31E0">
        <w:rPr>
          <w:lang w:eastAsia="zh-CN"/>
        </w:rPr>
        <w:fldChar w:fldCharType="separate"/>
      </w:r>
      <w:r w:rsidRPr="00CF31E0">
        <w:rPr>
          <w:lang w:eastAsia="zh-CN"/>
        </w:rPr>
        <w:t>El-Dash and Tucker (1975)</w:t>
      </w:r>
      <w:r w:rsidRPr="00CF31E0">
        <w:rPr>
          <w:lang w:eastAsia="zh-CN"/>
        </w:rPr>
        <w:fldChar w:fldCharType="end"/>
      </w:r>
      <w:r w:rsidRPr="00CF31E0">
        <w:rPr>
          <w:lang w:eastAsia="zh-CN"/>
        </w:rPr>
        <w:t xml:space="preserve"> conducted an attitudinal study in Egypt, using the verbal</w:t>
      </w:r>
      <w:r w:rsidR="005D0894" w:rsidRPr="00CF31E0">
        <w:rPr>
          <w:lang w:eastAsia="zh-CN"/>
        </w:rPr>
        <w:t>-guise</w:t>
      </w:r>
      <w:r w:rsidRPr="00CF31E0">
        <w:rPr>
          <w:lang w:eastAsia="zh-CN"/>
        </w:rPr>
        <w:t xml:space="preserve"> technique, where each </w:t>
      </w:r>
      <w:r w:rsidR="006D382C" w:rsidRPr="00CF31E0">
        <w:rPr>
          <w:lang w:eastAsia="zh-CN"/>
        </w:rPr>
        <w:t>of the following varieties were spoken by different speaker</w:t>
      </w:r>
      <w:r w:rsidRPr="00CF31E0">
        <w:rPr>
          <w:lang w:eastAsia="zh-CN"/>
        </w:rPr>
        <w:t xml:space="preserve">: Classical Arabic, Egyptian colloquial Arabic, American English, British English and Egyptian English. The findings revealed a noticeable hierarchy to the aforementioned language varieties. In terms of status-associated evaluation of intelligence, Classical Arabic speakers were ranked in first place, followed by Egyptian English speakers. In terms of status-associated evaluation of leadership, both Classical Arabic speakers and Egyptian English speakers were ranked the highest, while American English speakers were ranked immediately below speakers of Classical Arabic and Egyptian English. The results of the study therefore indicate that there is an obvious hierarchy in the language varieties in Egypt, with Classical Arabic always coming first, followed by Egyptian English, then American English, and finally British English and </w:t>
      </w:r>
      <w:r w:rsidR="004A30FE">
        <w:rPr>
          <w:lang w:eastAsia="zh-CN"/>
        </w:rPr>
        <w:t xml:space="preserve">Egyptian </w:t>
      </w:r>
      <w:r w:rsidRPr="00CF31E0">
        <w:rPr>
          <w:lang w:eastAsia="zh-CN"/>
        </w:rPr>
        <w:t xml:space="preserve">colloquial Arabic. </w:t>
      </w:r>
    </w:p>
    <w:p w14:paraId="24CB5F6A" w14:textId="06563D43" w:rsidR="00160CC4" w:rsidRPr="00CF31E0" w:rsidRDefault="00160CC4" w:rsidP="00603CB7">
      <w:pPr>
        <w:pStyle w:val="Paragraph"/>
        <w:rPr>
          <w:lang w:eastAsia="zh-CN"/>
        </w:rPr>
      </w:pPr>
      <w:r w:rsidRPr="00CF31E0">
        <w:rPr>
          <w:lang w:eastAsia="zh-CN"/>
        </w:rPr>
        <w:t xml:space="preserve">Incorporating both direct and indirect approaches in a single study is a highly successful strategy in language attitude research. Many researchers have used both techniques to measure language attitudes </w:t>
      </w:r>
      <w:r w:rsidRPr="00CF31E0">
        <w:rPr>
          <w:rFonts w:cs="Arial"/>
          <w:lang w:eastAsia="zh-CN"/>
        </w:rPr>
        <w:fldChar w:fldCharType="begin"/>
      </w:r>
      <w:r w:rsidR="00CD34CA" w:rsidRPr="00CF31E0">
        <w:rPr>
          <w:rFonts w:cs="Arial"/>
          <w:lang w:eastAsia="zh-CN"/>
        </w:rPr>
        <w:instrText xml:space="preserve"> ADDIN ZOTERO_ITEM CSL_CITATION {"citationID":"a7stdoht","properties":{"formattedCitation":"(Garrett, 2010; Giles, 1970)","plainCitation":"(Garrett, 2010; Giles, 1970)","noteIndex":0},"citationItems":[{"id":29,"uris":["http://zotero.org/users/1939618/items/NF3PAHT2"],"uri":["http://zotero.org/users/1939618/items/NF3PAHT2"],"itemData":{"id":29,"type":"book","title":"Attitudes to Language","publisher":"Cambridge University Press","publisher-place":"New York, NY","number-of-pages":"269","source":"Google Books","event-place":"New York, NY","abstract":"Just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label":"page"},{"id":62,"uris":["http://zotero.org/users/1939618/items/ZXQ48QBG"],"uri":["http://zotero.org/users/1939618/items/ZXQ48QBG"],"itemData":{"id":62,"type":"article-journal","title":"Evaluative reactions to accents","container-title":"Educational review","page":"211–227","volume":"22","issue":"3","source":"Google Scholar","author":[{"family":"Giles","given":"Howard"}],"issued":{"date-parts":[["1970"]]}},"label":"page"}],"schema":"https://github.com/citation-style-language/schema/raw/master/csl-citation.json"} </w:instrText>
      </w:r>
      <w:r w:rsidRPr="00CF31E0">
        <w:rPr>
          <w:rFonts w:cs="Arial"/>
          <w:lang w:eastAsia="zh-CN"/>
        </w:rPr>
        <w:fldChar w:fldCharType="separate"/>
      </w:r>
      <w:r w:rsidRPr="00CF31E0">
        <w:rPr>
          <w:rFonts w:cs="Arial"/>
          <w:noProof/>
          <w:lang w:eastAsia="zh-CN"/>
        </w:rPr>
        <w:t>(Garrett, 2010; Giles, 1970)</w:t>
      </w:r>
      <w:r w:rsidRPr="00CF31E0">
        <w:rPr>
          <w:rFonts w:cs="Arial"/>
          <w:lang w:eastAsia="zh-CN"/>
        </w:rPr>
        <w:fldChar w:fldCharType="end"/>
      </w:r>
      <w:r w:rsidRPr="00CF31E0">
        <w:rPr>
          <w:lang w:eastAsia="zh-CN"/>
        </w:rPr>
        <w:t>. To my knowledge, the present study is among the first attempts to incorporate an integrated approach where direct and indirect measures are applied to tap into the overt and covert stereotypical assumptions held by Hijazi Saudi people about Hijazi dialects. Furthermore, the present study will contribute to the wider field of language attitude research by revealing whether results from both approaches are comparable, as suggested in Giles’s study (1970), or whether they are contrastive</w:t>
      </w:r>
      <w:r w:rsidR="004A30FE">
        <w:rPr>
          <w:lang w:eastAsia="zh-CN"/>
        </w:rPr>
        <w:t xml:space="preserve"> such as Kristiansen’s study (2009).</w:t>
      </w:r>
    </w:p>
    <w:p w14:paraId="29182AD1" w14:textId="23F80F21" w:rsidR="00160CC4" w:rsidRPr="00CF31E0" w:rsidRDefault="009B0A98" w:rsidP="0061369D">
      <w:pPr>
        <w:pStyle w:val="Ahead"/>
        <w:rPr>
          <w:rFonts w:eastAsia="Times New Roman"/>
        </w:rPr>
      </w:pPr>
      <w:bookmarkStart w:id="201" w:name="_Toc509646845"/>
      <w:bookmarkStart w:id="202" w:name="_Toc510004007"/>
      <w:bookmarkStart w:id="203" w:name="_Toc510025762"/>
      <w:bookmarkStart w:id="204" w:name="_Toc6472651"/>
      <w:r w:rsidRPr="00CF31E0">
        <w:rPr>
          <w:rFonts w:eastAsia="Times New Roman"/>
        </w:rPr>
        <w:lastRenderedPageBreak/>
        <w:t>4</w:t>
      </w:r>
      <w:r w:rsidR="00853058" w:rsidRPr="00CF31E0">
        <w:rPr>
          <w:rFonts w:eastAsia="Times New Roman"/>
        </w:rPr>
        <w:t>.5.</w:t>
      </w:r>
      <w:r w:rsidR="00853058" w:rsidRPr="00CF31E0">
        <w:rPr>
          <w:rFonts w:eastAsia="Times New Roman"/>
        </w:rPr>
        <w:tab/>
      </w:r>
      <w:r w:rsidR="00160CC4" w:rsidRPr="00CF31E0">
        <w:rPr>
          <w:rFonts w:eastAsia="Times New Roman"/>
        </w:rPr>
        <w:t>Presentation of attitude objects in language attitude research</w:t>
      </w:r>
      <w:bookmarkEnd w:id="201"/>
      <w:bookmarkEnd w:id="202"/>
      <w:bookmarkEnd w:id="203"/>
      <w:bookmarkEnd w:id="204"/>
      <w:r w:rsidR="00160CC4" w:rsidRPr="00CF31E0">
        <w:rPr>
          <w:rFonts w:eastAsia="Times New Roman"/>
        </w:rPr>
        <w:t xml:space="preserve"> </w:t>
      </w:r>
    </w:p>
    <w:p w14:paraId="1F2F6E71" w14:textId="77777777" w:rsidR="00160CC4" w:rsidRPr="00CF31E0" w:rsidRDefault="00160CC4" w:rsidP="00603CB7">
      <w:pPr>
        <w:pStyle w:val="Paragraph"/>
        <w:rPr>
          <w:lang w:eastAsia="zh-CN"/>
        </w:rPr>
      </w:pPr>
      <w:r w:rsidRPr="00CF31E0">
        <w:rPr>
          <w:lang w:eastAsia="zh-CN"/>
        </w:rPr>
        <w:t xml:space="preserve">Language attitude researchers are always concerned with the best way to present questions to participants to ensure that the responses they give are what the researcher is really seeking to elicit </w:t>
      </w:r>
      <w:r w:rsidRPr="00CF31E0">
        <w:rPr>
          <w:lang w:eastAsia="zh-CN"/>
        </w:rPr>
        <w:fldChar w:fldCharType="begin"/>
      </w:r>
      <w:r w:rsidRPr="00CF31E0">
        <w:rPr>
          <w:lang w:eastAsia="zh-CN"/>
        </w:rPr>
        <w:instrText xml:space="preserve"> ADDIN ZOTERO_ITEM CSL_CITATION {"citationID":"a23idght1on","properties":{"formattedCitation":"(Kristiansen et al., 2005)","plainCitation":"(Kristiansen et al., 2005)","noteIndex":0},"citationItems":[{"id":303,"uris":["http://zotero.org/users/1939618/items/C4CULAJ5"],"uri":["http://zotero.org/users/1939618/items/C4CULAJ5"],"itemData":{"id":303,"type":"article-journal","title":"Introducing subjectivities in language variation and change","container-title":"Acta Linguistica Hafniensia","page":"9-35","volume":"37","issue":"1","source":"www-tandfonline-com.sheffield.idm.oclc.org (Atypon)","abstract":"This volume is devoted both to the theoretical question of which roles subjective processes play in language variation and change (LVC), and to the many methodological questions raised by the study of these subjective processes. Obviously, to talk about ‘subjective’ processes implies that there are also ‘objective’ processes, and more generally it suggests that LVC should be studied in terms of a distinction between the ‘subjective’ and the ‘objective’. Such a distinction is not, however, what we normally meet within the literature, where the factors involved in LVC are commonly divided and grouped in terms like internal versus external, linguistic versus social versus (socio)psychological, macro versus micro, and not to forget, the tripartite division introduced by Labov in his summing up of his own life work: internal versus social versus cognitive (Labov 1994, 2001, forthcoming.).","DOI":"10.1080/03740463.2005.10416081","ISSN":"0374-0463","journalAbbreviation":"Acta Linguistica Hafniensia","author":[{"family":"Kristiansen","given":"Tore"},{"family":"Garrett","given":"Peter"},{"family":"Coupland","given":"Nikolas"}],"issued":{"date-parts":[["2005",1,1]]}}}],"schema":"https://github.com/citation-style-language/schema/raw/master/csl-citation.json"} </w:instrText>
      </w:r>
      <w:r w:rsidRPr="00CF31E0">
        <w:rPr>
          <w:lang w:eastAsia="zh-CN"/>
        </w:rPr>
        <w:fldChar w:fldCharType="separate"/>
      </w:r>
      <w:r w:rsidRPr="00CF31E0">
        <w:rPr>
          <w:noProof/>
          <w:lang w:eastAsia="zh-CN"/>
        </w:rPr>
        <w:t>(Kristiansen et al., 2005)</w:t>
      </w:r>
      <w:r w:rsidRPr="00CF31E0">
        <w:rPr>
          <w:lang w:eastAsia="zh-CN"/>
        </w:rPr>
        <w:fldChar w:fldCharType="end"/>
      </w:r>
      <w:r w:rsidRPr="00CF31E0">
        <w:rPr>
          <w:lang w:eastAsia="zh-CN"/>
        </w:rPr>
        <w:t xml:space="preserve">. Therefore, the mode of presentation of the dialect or language under investigation varies between studies, in accordance with the research objectives. </w:t>
      </w:r>
    </w:p>
    <w:p w14:paraId="79ACA8B5" w14:textId="5BFA748E" w:rsidR="00160CC4" w:rsidRPr="00CF31E0" w:rsidRDefault="00AC1B98" w:rsidP="00603CB7">
      <w:pPr>
        <w:pStyle w:val="Paragraph"/>
        <w:rPr>
          <w:lang w:eastAsia="zh-CN"/>
        </w:rPr>
      </w:pPr>
      <w:r w:rsidRPr="00CF31E0">
        <w:rPr>
          <w:lang w:eastAsia="zh-CN"/>
        </w:rPr>
        <w:t>Some</w:t>
      </w:r>
      <w:r w:rsidR="00160CC4" w:rsidRPr="00CF31E0">
        <w:rPr>
          <w:lang w:eastAsia="zh-CN"/>
        </w:rPr>
        <w:t xml:space="preserve"> researchers have adopted another type of direct approach, involving a conceptual mode of presentation of language or variety labels, where researchers ask participants to rate the language/variety labels in attitudinal scales </w:t>
      </w:r>
      <w:r w:rsidR="00160CC4" w:rsidRPr="00CF31E0">
        <w:rPr>
          <w:lang w:eastAsia="zh-CN"/>
        </w:rPr>
        <w:fldChar w:fldCharType="begin"/>
      </w:r>
      <w:r w:rsidR="00A54129" w:rsidRPr="00CF31E0">
        <w:rPr>
          <w:lang w:eastAsia="zh-CN"/>
        </w:rPr>
        <w:instrText xml:space="preserve"> ADDIN ZOTERO_ITEM CSL_CITATION {"citationID":"a1na8o5r6cu","properties":{"formattedCitation":"(Bishop et al., 2011; Garrett et al., 2005b)","plainCitation":"(Bishop et al., 2011; Garrett et al., 2005b)","noteIndex":0},"citationItems":[{"id":"wgwhcNH1/hHn5YiFY","uris":["http://zotero.org/users/1939618/items/5EYQ7BBW"],"uri":["http://zotero.org/users/1939618/items/5EYQ7BBW"],"itemData":{"id":307,"type":"article-journal","title":"Conceptual accent evaluation: Thirty years of accent prejudice in the UK","container-title":"Acta Linguistica Hafniensia","source":"www-tandfonline-com.sheffield.idm.oclc.org","archive_location":"world","abstract":"(2005). Conceptual accent evaluation: Thirty years of accent prejudice in the UK. Acta Linguistica Hafniensia: Vol. 37, No. 1, pp. 131-154.","URL":"http://www-tandfonline-com.sheffield.idm.oclc.org/doi/abs/10.1080/03740463.2005.10416087","ISSN":"10.1080/03740463.2005.10416087","shortTitle":"Conceptual accent evaluation","language":"en","author":[{"family":"Bishop","given":"Hywel"},{"family":"Coupland","given":"Nikolas"},{"family":"Garrett","given":"Peter"}],"issued":{"date-parts":[["2011",11,24]]},"accessed":{"date-parts":[["2018",1,4]]}},"label":"page"},{"id":326,"uris":["http://zotero.org/users/1939618/items/CTAELXKB"],"uri":["http://zotero.org/users/1939618/items/CTAELXKB"],"itemData":{"id":326,"type":"article-journal","title":"Attitudinal data from New Zealand, Australia, the USA and UK about each other’s Englishes: Recent changes or consequences of methodologies?","container-title":"Multilingua","page":"211–235","volume":"24","issue":"3","source":"DeGruyter","abstract":"Recent attitudinal research by Bayard et al. (2001) suggested changes in the comparative evaluations of Australian, New Zealand, US and English Englishes, with US English on its way to becoming the preferred variety. We revisit these attitudes after a period of political change in the US, and using a research methodology in line with folklinguistic approaches to attitudes research (e. g. Preston 1996). Convenience samples of respondents in these four countries were asked to identify the countries where they knew English was spoken as a native language, and then quickly to write down their first reactions to those varieties. US English was viewed strikingly negatively in terms of its affective associations, and there were references to ‘excess’ from all respondent groups (e. g. overassertive, overenthusiastic). And, against expectations, the affective profile of English English was not overwhelmingly negative for all groups of respondents. We consider the results in relation to the findings and methods of the earlier studies, and also briefly consider the different statuses of these varieties in terms of the current discussion of late modernity and of different standard varieties (e. g. Kristiansen 2001b) serving different aspects of social life.","DOI":"10.1515/mult.2005.24.3.211","ISSN":"1613-3684","shortTitle":"Attitudinal data from New Zealand, Australia, the USA and UK about each other’s Englishes","author":[{"family":"Garrett","given":"Peter"},{"family":"Williams","given":"Angie"},{"family":"Evans","given":"Betsy"}],"issued":{"date-parts":[["2005"]]}},"label":"page"}],"schema":"https://github.com/citation-style-language/schema/raw/master/csl-citation.json"} </w:instrText>
      </w:r>
      <w:r w:rsidR="00160CC4" w:rsidRPr="00CF31E0">
        <w:rPr>
          <w:lang w:eastAsia="zh-CN"/>
        </w:rPr>
        <w:fldChar w:fldCharType="separate"/>
      </w:r>
      <w:r w:rsidR="00655DEF" w:rsidRPr="00CF31E0">
        <w:rPr>
          <w:noProof/>
          <w:lang w:eastAsia="zh-CN"/>
        </w:rPr>
        <w:t>(Bishop et al., 2005</w:t>
      </w:r>
      <w:r w:rsidR="00160CC4" w:rsidRPr="00CF31E0">
        <w:rPr>
          <w:noProof/>
          <w:lang w:eastAsia="zh-CN"/>
        </w:rPr>
        <w:t>; Garrett et al., 2005b)</w:t>
      </w:r>
      <w:r w:rsidR="00160CC4" w:rsidRPr="00CF31E0">
        <w:rPr>
          <w:lang w:eastAsia="zh-CN"/>
        </w:rPr>
        <w:fldChar w:fldCharType="end"/>
      </w:r>
      <w:r w:rsidR="00160CC4" w:rsidRPr="00CF31E0">
        <w:rPr>
          <w:lang w:eastAsia="zh-CN"/>
        </w:rPr>
        <w:t xml:space="preserve">. </w:t>
      </w:r>
    </w:p>
    <w:p w14:paraId="6FD128C7" w14:textId="3578E71E" w:rsidR="00160CC4" w:rsidRPr="00CF31E0" w:rsidRDefault="00160CC4" w:rsidP="00603CB7">
      <w:pPr>
        <w:pStyle w:val="Paragraph"/>
        <w:rPr>
          <w:lang w:eastAsia="zh-CN"/>
        </w:rPr>
      </w:pPr>
      <w:r w:rsidRPr="00CF31E0">
        <w:rPr>
          <w:lang w:eastAsia="zh-CN"/>
        </w:rPr>
        <w:t xml:space="preserve">There is yet </w:t>
      </w:r>
      <w:r w:rsidR="00BB74BE" w:rsidRPr="00CF31E0">
        <w:rPr>
          <w:lang w:eastAsia="zh-CN"/>
        </w:rPr>
        <w:t>an</w:t>
      </w:r>
      <w:r w:rsidRPr="00CF31E0">
        <w:rPr>
          <w:lang w:eastAsia="zh-CN"/>
        </w:rPr>
        <w:t>other mode of presentation, where the language or regional variety is presented vocally</w:t>
      </w:r>
      <w:r w:rsidR="00C16B03" w:rsidRPr="00CF31E0">
        <w:rPr>
          <w:lang w:eastAsia="zh-CN"/>
        </w:rPr>
        <w:t>, using matched and verbal</w:t>
      </w:r>
      <w:r w:rsidR="005D0894" w:rsidRPr="00CF31E0">
        <w:rPr>
          <w:lang w:eastAsia="zh-CN"/>
        </w:rPr>
        <w:t>-guise</w:t>
      </w:r>
      <w:r w:rsidR="00C16B03" w:rsidRPr="00CF31E0">
        <w:rPr>
          <w:lang w:eastAsia="zh-CN"/>
        </w:rPr>
        <w:t xml:space="preserve"> techniques</w:t>
      </w:r>
      <w:r w:rsidR="0074630B" w:rsidRPr="00CF31E0">
        <w:rPr>
          <w:lang w:eastAsia="zh-CN"/>
        </w:rPr>
        <w:t xml:space="preserve">; </w:t>
      </w:r>
      <w:r w:rsidR="00C16B03" w:rsidRPr="00CF31E0">
        <w:rPr>
          <w:lang w:eastAsia="zh-CN"/>
        </w:rPr>
        <w:t>see section</w:t>
      </w:r>
      <w:r w:rsidR="00C87E02">
        <w:rPr>
          <w:lang w:eastAsia="zh-CN"/>
        </w:rPr>
        <w:t xml:space="preserve"> 4.4.2</w:t>
      </w:r>
      <w:r w:rsidR="00C16B03" w:rsidRPr="00CF31E0">
        <w:rPr>
          <w:lang w:eastAsia="zh-CN"/>
        </w:rPr>
        <w:t xml:space="preserve"> above</w:t>
      </w:r>
      <w:r w:rsidRPr="00CF31E0">
        <w:rPr>
          <w:lang w:eastAsia="zh-CN"/>
        </w:rPr>
        <w:t xml:space="preserve">. In other words, participants are asked to listen to certain voice samples and then to complete a rating attitudinal task </w:t>
      </w:r>
      <w:r w:rsidRPr="00CF31E0">
        <w:rPr>
          <w:lang w:eastAsia="zh-CN"/>
        </w:rPr>
        <w:fldChar w:fldCharType="begin"/>
      </w:r>
      <w:r w:rsidRPr="00CF31E0">
        <w:rPr>
          <w:lang w:eastAsia="zh-CN"/>
        </w:rPr>
        <w:instrText xml:space="preserve"> ADDIN ZOTERO_ITEM CSL_CITATION {"citationID":"a47j93m4b8","properties":{"formattedCitation":"(Giles, 1970; Stewart et al., 1985a)","plainCitation":"(Giles, 1970; Stewart et al., 1985a)","noteIndex":0},"citationItems":[{"id":62,"uris":["http://zotero.org/users/1939618/items/ZXQ48QBG"],"uri":["http://zotero.org/users/1939618/items/ZXQ48QBG"],"itemData":{"id":62,"type":"article-journal","title":"Evaluative reactions to accents","container-title":"Educational review","page":"211–227","volume":"22","issue":"3","source":"Google Scholar","author":[{"family":"Giles","given":"Howard"}],"issued":{"date-parts":[["1970"]]}},"label":"page"},{"id":64,"uris":["http://zotero.org/users/1939618/items/TPBM3MJW"],"uri":["http://zotero.org/users/1939618/items/TPBM3MJW"],"itemData":{"id":64,"type":"article-journal","title":"Accent and social class effects on status and solidarity evaluations","container-title":"Personality and Social Psychology Bulletin","page":"98–105","volume":"11","issue":"1","source":"Google Scholar","author":[{"family":"Stewart","given":"Mark A."},{"family":"Ryan","given":"Ellen Bouchard"},{"family":"Giles","given":"Howard"}],"issued":{"date-parts":[["1985"]]}},"label":"page"}],"schema":"https://github.com/citation-style-language/schema/raw/master/csl-citation.json"} </w:instrText>
      </w:r>
      <w:r w:rsidRPr="00CF31E0">
        <w:rPr>
          <w:lang w:eastAsia="zh-CN"/>
        </w:rPr>
        <w:fldChar w:fldCharType="separate"/>
      </w:r>
      <w:r w:rsidRPr="00CF31E0">
        <w:rPr>
          <w:noProof/>
          <w:lang w:eastAsia="zh-CN"/>
        </w:rPr>
        <w:t>(Gi</w:t>
      </w:r>
      <w:r w:rsidR="00CA2735" w:rsidRPr="00CF31E0">
        <w:rPr>
          <w:noProof/>
          <w:lang w:eastAsia="zh-CN"/>
        </w:rPr>
        <w:t>les, 1970; Stewart et al., 1985</w:t>
      </w:r>
      <w:r w:rsidRPr="00CF31E0">
        <w:rPr>
          <w:noProof/>
          <w:lang w:eastAsia="zh-CN"/>
        </w:rPr>
        <w:t>)</w:t>
      </w:r>
      <w:r w:rsidRPr="00CF31E0">
        <w:rPr>
          <w:lang w:eastAsia="zh-CN"/>
        </w:rPr>
        <w:fldChar w:fldCharType="end"/>
      </w:r>
      <w:r w:rsidRPr="00CF31E0">
        <w:rPr>
          <w:lang w:eastAsia="zh-CN"/>
        </w:rPr>
        <w:t xml:space="preserve">. Notwithstanding the fact that research can be presented in different modes, some researchers incorporated more than one mode of presentation, as in the study by </w:t>
      </w:r>
      <w:r w:rsidRPr="00CF31E0">
        <w:rPr>
          <w:lang w:eastAsia="zh-CN"/>
        </w:rPr>
        <w:fldChar w:fldCharType="begin"/>
      </w:r>
      <w:r w:rsidR="00CD34CA" w:rsidRPr="00CF31E0">
        <w:rPr>
          <w:lang w:eastAsia="zh-CN"/>
        </w:rPr>
        <w:instrText xml:space="preserve"> ADDIN ZOTERO_ITEM CSL_CITATION {"citationID":"WsQQfmgV","properties":{"formattedCitation":"(Giles, 1970)","plainCitation":"(Giles, 1970)","dontUpdate":true,"noteIndex":0},"citationItems":[{"id":62,"uris":["http://zotero.org/users/1939618/items/ZXQ48QBG"],"uri":["http://zotero.org/users/1939618/items/ZXQ48QBG"],"itemData":{"id":62,"type":"article-journal","title":"Evaluative reactions to accents","container-title":"Educational review","page":"211–227","volume":"22","issue":"3","source":"Google Scholar","author":[{"family":"Giles","given":"Howard"}],"issued":{"date-parts":[["1970"]]}}}],"schema":"https://github.com/citation-style-language/schema/raw/master/csl-citation.json"} </w:instrText>
      </w:r>
      <w:r w:rsidRPr="00CF31E0">
        <w:rPr>
          <w:lang w:eastAsia="zh-CN"/>
        </w:rPr>
        <w:fldChar w:fldCharType="separate"/>
      </w:r>
      <w:r w:rsidRPr="00CF31E0">
        <w:rPr>
          <w:noProof/>
          <w:lang w:eastAsia="zh-CN"/>
        </w:rPr>
        <w:t>Giles (1970)</w:t>
      </w:r>
      <w:r w:rsidRPr="00CF31E0">
        <w:rPr>
          <w:lang w:eastAsia="zh-CN"/>
        </w:rPr>
        <w:fldChar w:fldCharType="end"/>
      </w:r>
      <w:r w:rsidRPr="00CF31E0">
        <w:rPr>
          <w:lang w:eastAsia="zh-CN"/>
        </w:rPr>
        <w:t xml:space="preserve"> where he incorporated a vocally presented task (i.e. matched-guise technique) with a conceptually presented one. In the following sections, I will demonstrate in detail the two main modes of presentation of language varieties, conceptually presented studies and vocally presented studies, as they have contributed widely to the contemporary field of language attitudes.</w:t>
      </w:r>
    </w:p>
    <w:p w14:paraId="615E5A1C" w14:textId="2EBD58A2" w:rsidR="00160CC4" w:rsidRPr="00CF31E0" w:rsidRDefault="009B0A98" w:rsidP="0061369D">
      <w:pPr>
        <w:pStyle w:val="Bhead"/>
      </w:pPr>
      <w:bookmarkStart w:id="205" w:name="_Toc509646846"/>
      <w:bookmarkStart w:id="206" w:name="_Toc510004008"/>
      <w:bookmarkStart w:id="207" w:name="_Toc510025763"/>
      <w:bookmarkStart w:id="208" w:name="_Toc6472652"/>
      <w:r w:rsidRPr="00CF31E0">
        <w:t>4</w:t>
      </w:r>
      <w:r w:rsidR="00853058" w:rsidRPr="00CF31E0">
        <w:t>.5.1.</w:t>
      </w:r>
      <w:r w:rsidR="00853058" w:rsidRPr="00CF31E0">
        <w:tab/>
      </w:r>
      <w:r w:rsidR="00160CC4" w:rsidRPr="00CF31E0">
        <w:t xml:space="preserve">Conceptually presented </w:t>
      </w:r>
      <w:bookmarkEnd w:id="205"/>
      <w:r w:rsidR="00160CC4" w:rsidRPr="00CF31E0">
        <w:t>approach</w:t>
      </w:r>
      <w:bookmarkEnd w:id="206"/>
      <w:bookmarkEnd w:id="207"/>
      <w:bookmarkEnd w:id="208"/>
      <w:r w:rsidR="00160CC4" w:rsidRPr="00CF31E0">
        <w:t xml:space="preserve"> </w:t>
      </w:r>
    </w:p>
    <w:p w14:paraId="7BB3BD7C" w14:textId="0D52A715" w:rsidR="00160CC4" w:rsidRPr="00CF31E0" w:rsidRDefault="00160CC4" w:rsidP="00603CB7">
      <w:pPr>
        <w:pStyle w:val="Paragraph"/>
        <w:rPr>
          <w:lang w:eastAsia="zh-CN"/>
        </w:rPr>
      </w:pPr>
      <w:r w:rsidRPr="00CF31E0">
        <w:rPr>
          <w:lang w:eastAsia="zh-CN"/>
        </w:rPr>
        <w:t>As previously mentioned, conceptual-approach studies rely heavily on the participants’ conceptualization of the language or variety provided (</w:t>
      </w:r>
      <w:r w:rsidRPr="00CF31E0">
        <w:rPr>
          <w:rFonts w:cs="Arial"/>
          <w:szCs w:val="22"/>
          <w:lang w:eastAsia="zh-CN"/>
        </w:rPr>
        <w:fldChar w:fldCharType="begin"/>
      </w:r>
      <w:r w:rsidR="00A54129" w:rsidRPr="00CF31E0">
        <w:rPr>
          <w:rFonts w:cs="Arial"/>
          <w:szCs w:val="22"/>
          <w:lang w:eastAsia="zh-CN"/>
        </w:rPr>
        <w:instrText xml:space="preserve"> ADDIN ZOTERO_ITEM CSL_CITATION {"citationID":"cUt3rXSk","properties":{"formattedCitation":"(Bishop et al., 2011)","plainCitation":"(Bishop et al., 2011)","dontUpdate":true,"noteIndex":0},"citationItems":[{"id":"wgwhcNH1/hHn5YiFY","uris":["http://zotero.org/users/1939618/items/5EYQ7BBW"],"uri":["http://zotero.org/users/1939618/items/5EYQ7BBW"],"itemData":{"id":307,"type":"article-journal","title":"Conceptual accent evaluation: Thirty years of accent prejudice in the UK","container-title":"Acta Linguistica Hafniensia","source":"www-tandfonline-com.sheffield.idm.oclc.org","archive_location":"world","abstract":"(2005). Conceptual accent evaluation: Thirty years of accent prejudice in the UK. Acta Linguistica Hafniensia: Vol. 37, No. 1, pp. 131-154.","URL":"http://www-tandfonline-com.sheffield.idm.oclc.org/doi/abs/10.1080/03740463.2005.10416087","ISSN":"10.1080/03740463.2005.10416087","shortTitle":"Conceptual accent evaluation","language":"en","author":[{"family":"Bishop","given":"Hywel"},{"family":"Coupland","given":"Nikolas"},{"family":"Garrett","given":"Peter"}],"issued":{"date-parts":[["2011",11,24]]},"accessed":{"date-parts":[["2018",1,4]]}}}],"schema":"https://github.com/citation-style-language/schema/raw/master/csl-citation.json"} </w:instrText>
      </w:r>
      <w:r w:rsidRPr="00CF31E0">
        <w:rPr>
          <w:rFonts w:cs="Arial"/>
          <w:szCs w:val="22"/>
          <w:lang w:eastAsia="zh-CN"/>
        </w:rPr>
        <w:fldChar w:fldCharType="separate"/>
      </w:r>
      <w:r w:rsidR="00655DEF" w:rsidRPr="00CF31E0">
        <w:rPr>
          <w:rFonts w:cs="Arial"/>
          <w:szCs w:val="22"/>
          <w:lang w:eastAsia="zh-CN"/>
        </w:rPr>
        <w:t>Bishop et al., 2005</w:t>
      </w:r>
      <w:r w:rsidRPr="00CF31E0">
        <w:rPr>
          <w:rFonts w:cs="Arial"/>
          <w:szCs w:val="22"/>
          <w:lang w:eastAsia="zh-CN"/>
        </w:rPr>
        <w:t>)</w:t>
      </w:r>
      <w:r w:rsidRPr="00CF31E0">
        <w:rPr>
          <w:rFonts w:cs="Arial"/>
          <w:szCs w:val="22"/>
          <w:lang w:eastAsia="zh-CN"/>
        </w:rPr>
        <w:fldChar w:fldCharType="end"/>
      </w:r>
      <w:r w:rsidRPr="00CF31E0">
        <w:rPr>
          <w:lang w:eastAsia="zh-CN"/>
        </w:rPr>
        <w:t xml:space="preserve">. </w:t>
      </w:r>
      <w:r w:rsidRPr="00CF31E0">
        <w:rPr>
          <w:lang w:eastAsia="zh-CN"/>
        </w:rPr>
        <w:fldChar w:fldCharType="begin"/>
      </w:r>
      <w:r w:rsidR="00CD34CA" w:rsidRPr="00CF31E0">
        <w:rPr>
          <w:lang w:eastAsia="zh-CN"/>
        </w:rPr>
        <w:instrText xml:space="preserve"> ADDIN ZOTERO_ITEM CSL_CITATION {"citationID":"a2gfd1006us","properties":{"formattedCitation":"(Kristiansen et al., 2005)","plainCitation":"(Kristiansen et al., 2005)","dontUpdate":true,"noteIndex":0},"citationItems":[{"id":303,"uris":["http://zotero.org/users/1939618/items/C4CULAJ5"],"uri":["http://zotero.org/users/1939618/items/C4CULAJ5"],"itemData":{"id":303,"type":"article-journal","title":"Introducing subjectivities in language variation and change","container-title":"Acta Linguistica Hafniensia","page":"9-35","volume":"37","issue":"1","source":"www-tandfonline-com.sheffield.idm.oclc.org (Atypon)","abstract":"This volume is devoted both to the theoretical question of which roles subjective processes play in language variation and change (LVC), and to the many methodological questions raised by the study of these subjective processes. Obviously, to talk about ‘subjective’ processes implies that there are also ‘objective’ processes, and more generally it suggests that LVC should be studied in terms of a distinction between the ‘subjective’ and the ‘objective’. Such a distinction is not, however, what we normally meet within the literature, where the factors involved in LVC are commonly divided and grouped in terms like internal versus external, linguistic versus social versus (socio)psychological, macro versus micro, and not to forget, the tripartite division introduced by Labov in his summing up of his own life work: internal versus social versus cognitive (Labov 1994, 2001, forthcoming.).","DOI":"10.1080/03740463.2005.10416081","ISSN":"0374-0463","journalAbbreviation":"Acta Linguistica Hafniensia","author":[{"family":"Kristiansen","given":"Tore"},{"family":"Garrett","given":"Peter"},{"family":"Coupland","given":"Nikolas"}],"issued":{"date-parts":[["2005",1,1]]}}}],"schema":"https://github.com/citation-style-language/schema/raw/master/csl-citation.json"} </w:instrText>
      </w:r>
      <w:r w:rsidRPr="00CF31E0">
        <w:rPr>
          <w:lang w:eastAsia="zh-CN"/>
        </w:rPr>
        <w:fldChar w:fldCharType="separate"/>
      </w:r>
      <w:r w:rsidRPr="00CF31E0">
        <w:rPr>
          <w:noProof/>
          <w:lang w:eastAsia="zh-CN"/>
        </w:rPr>
        <w:t>Kristiansen et al. (2005, p.21)</w:t>
      </w:r>
      <w:r w:rsidRPr="00CF31E0">
        <w:rPr>
          <w:lang w:eastAsia="zh-CN"/>
        </w:rPr>
        <w:fldChar w:fldCharType="end"/>
      </w:r>
      <w:r w:rsidRPr="00CF31E0">
        <w:rPr>
          <w:lang w:eastAsia="zh-CN"/>
        </w:rPr>
        <w:t xml:space="preserve"> argue that what distinguishes this approach from the socio-phonetic one is that “respondents are not left to </w:t>
      </w:r>
      <w:r w:rsidRPr="00CF31E0">
        <w:rPr>
          <w:lang w:eastAsia="zh-CN"/>
        </w:rPr>
        <w:lastRenderedPageBreak/>
        <w:t xml:space="preserve">listen to a recording in the hope that they will realise that it is meant to represent a particular variety”. </w:t>
      </w:r>
    </w:p>
    <w:p w14:paraId="39792BAB" w14:textId="1D488405" w:rsidR="00160CC4" w:rsidRPr="00CF31E0" w:rsidRDefault="00160CC4" w:rsidP="00603CB7">
      <w:pPr>
        <w:pStyle w:val="Paragraph"/>
        <w:rPr>
          <w:lang w:eastAsia="zh-CN"/>
        </w:rPr>
      </w:pPr>
      <w:r w:rsidRPr="00CF31E0">
        <w:rPr>
          <w:lang w:eastAsia="zh-CN"/>
        </w:rPr>
        <w:t xml:space="preserve">Giles (1970) is a study of interest where the conceptual approach was used. </w:t>
      </w:r>
      <w:r w:rsidRPr="00CF31E0">
        <w:rPr>
          <w:lang w:eastAsia="zh-CN"/>
        </w:rPr>
        <w:fldChar w:fldCharType="begin"/>
      </w:r>
      <w:r w:rsidR="00CD34CA" w:rsidRPr="00CF31E0">
        <w:rPr>
          <w:lang w:eastAsia="zh-CN"/>
        </w:rPr>
        <w:instrText xml:space="preserve"> ADDIN ZOTERO_ITEM CSL_CITATION {"citationID":"XM6MpvSG","properties":{"formattedCitation":"(Giles, 1970)","plainCitation":"(Giles, 1970)","dontUpdate":true,"noteIndex":0},"citationItems":[{"id":62,"uris":["http://zotero.org/users/1939618/items/ZXQ48QBG"],"uri":["http://zotero.org/users/1939618/items/ZXQ48QBG"],"itemData":{"id":62,"type":"article-journal","title":"Evaluative reactions to accents","container-title":"Educational review","page":"211–227","volume":"22","issue":"3","source":"Google Scholar","author":[{"family":"Giles","given":"Howard"}],"issued":{"date-parts":[["1970"]]}}}],"schema":"https://github.com/citation-style-language/schema/raw/master/csl-citation.json"} </w:instrText>
      </w:r>
      <w:r w:rsidRPr="00CF31E0">
        <w:rPr>
          <w:lang w:eastAsia="zh-CN"/>
        </w:rPr>
        <w:fldChar w:fldCharType="separate"/>
      </w:r>
      <w:r w:rsidRPr="00CF31E0">
        <w:rPr>
          <w:lang w:eastAsia="zh-CN"/>
        </w:rPr>
        <w:t>Giles (1970)</w:t>
      </w:r>
      <w:r w:rsidRPr="00CF31E0">
        <w:rPr>
          <w:lang w:eastAsia="zh-CN"/>
        </w:rPr>
        <w:fldChar w:fldCharType="end"/>
      </w:r>
      <w:r w:rsidRPr="00CF31E0">
        <w:rPr>
          <w:lang w:eastAsia="zh-CN"/>
        </w:rPr>
        <w:t xml:space="preserve"> incorporated the conceptual approach with the matched-guise technique, as mentioned earlier in section </w:t>
      </w:r>
      <w:r w:rsidR="009B0A98" w:rsidRPr="00CF31E0">
        <w:rPr>
          <w:lang w:eastAsia="zh-CN"/>
        </w:rPr>
        <w:t>4</w:t>
      </w:r>
      <w:r w:rsidR="0017758D" w:rsidRPr="00CF31E0">
        <w:rPr>
          <w:lang w:eastAsia="zh-CN"/>
        </w:rPr>
        <w:t>.4.2</w:t>
      </w:r>
      <w:r w:rsidRPr="00CF31E0">
        <w:rPr>
          <w:lang w:eastAsia="zh-CN"/>
        </w:rPr>
        <w:t>. In one part of the study where the matched-guise technique was applied, participants listened to voice samples representing a variety of English accents including RP, regional accents and foreign English accents. In the other part of the study, Giles provided a list of names of the same English accents provided in the vocal part of the study, but this time conceptually presented with only their names to participants. He asked participants to rate the accents on three attitudinal scales: pleasant, prestigious and comfortable within a seven-point semantic differential scale; the same scales had been used with the vocal part of the study (i.e. matched</w:t>
      </w:r>
      <w:r w:rsidR="00C86BDA" w:rsidRPr="00CF31E0">
        <w:rPr>
          <w:lang w:eastAsia="zh-CN"/>
        </w:rPr>
        <w:t>-guise</w:t>
      </w:r>
      <w:r w:rsidRPr="00CF31E0">
        <w:rPr>
          <w:lang w:eastAsia="zh-CN"/>
        </w:rPr>
        <w:t xml:space="preserve"> technique). The results of the conceptual part of the study revealed a very similar pattern to the results from the socio-phonetic part (i.e. matched-guise technique) in that a high correlation was found when each scale result was compared to its equivalent. For the pleasant scale, the correlation value recorded was +0.79; for the comfort scale, the correlation value was +0.87; for the prestigious scale, the correlation value was +0.88. </w:t>
      </w:r>
    </w:p>
    <w:p w14:paraId="788D0F11" w14:textId="21B3F6C5" w:rsidR="00160CC4" w:rsidRPr="00CF31E0" w:rsidRDefault="00160CC4" w:rsidP="00603CB7">
      <w:pPr>
        <w:pStyle w:val="Paragraph"/>
        <w:rPr>
          <w:lang w:eastAsia="zh-CN"/>
        </w:rPr>
      </w:pPr>
      <w:r w:rsidRPr="00CF31E0">
        <w:rPr>
          <w:lang w:eastAsia="zh-CN"/>
        </w:rPr>
        <w:t xml:space="preserve">Similar to the above conceptual study, the </w:t>
      </w:r>
      <w:r w:rsidRPr="00CF31E0">
        <w:rPr>
          <w:lang w:eastAsia="zh-CN"/>
        </w:rPr>
        <w:fldChar w:fldCharType="begin"/>
      </w:r>
      <w:r w:rsidR="00CD34CA" w:rsidRPr="00CF31E0">
        <w:rPr>
          <w:lang w:eastAsia="zh-CN"/>
        </w:rPr>
        <w:instrText xml:space="preserve"> ADDIN ZOTERO_ITEM CSL_CITATION {"citationID":"acc60l2qm5","properties":{"formattedCitation":"(BBC, 2005)","plainCitation":"(BBC, 2005)","dontUpdate":true,"noteIndex":0},"citationItems":[{"id":283,"uris":["http://zotero.org/users/1939618/items/N9WVNE2C"],"uri":["http://zotero.org/users/1939618/items/N9WVNE2C"],"itemData":{"id":283,"type":"article-newspaper","title":"Regional accents 'bad for trade'","source":"news.bbc.co.uk","abstract":"Business leaders believe English regional accents are a disadvantage in business, says a survey.","URL":"http://news.bbc.co.uk/1/hi/england/4566028.stm","language":"en-GB","author":[{"literal":"BBC"}],"issued":{"date-parts":[["2005",12,29]]},"accessed":{"date-parts":[["2017",12,28]]}}}],"schema":"https://github.com/citation-style-language/schema/raw/master/csl-citation.json"} </w:instrText>
      </w:r>
      <w:r w:rsidRPr="00CF31E0">
        <w:rPr>
          <w:lang w:eastAsia="zh-CN"/>
        </w:rPr>
        <w:fldChar w:fldCharType="separate"/>
      </w:r>
      <w:r w:rsidRPr="00CF31E0">
        <w:rPr>
          <w:noProof/>
          <w:lang w:eastAsia="zh-CN"/>
        </w:rPr>
        <w:t>BBC (2005)</w:t>
      </w:r>
      <w:r w:rsidRPr="00CF31E0">
        <w:rPr>
          <w:lang w:eastAsia="zh-CN"/>
        </w:rPr>
        <w:fldChar w:fldCharType="end"/>
      </w:r>
      <w:r w:rsidRPr="00CF31E0">
        <w:rPr>
          <w:lang w:eastAsia="zh-CN"/>
        </w:rPr>
        <w:t xml:space="preserve"> conducted a project to reveal language variation and change across UK dialects. Prior to the project, a preliminary study had been carried out online, through which 5,010 participants (all over the age of 15) answered a questionnaire. </w:t>
      </w:r>
      <w:r w:rsidR="00C37405" w:rsidRPr="00CF31E0">
        <w:rPr>
          <w:lang w:eastAsia="zh-CN"/>
        </w:rPr>
        <w:t>Participants were asked to rate</w:t>
      </w:r>
      <w:r w:rsidR="00A051E6" w:rsidRPr="00CF31E0">
        <w:rPr>
          <w:lang w:eastAsia="zh-CN"/>
        </w:rPr>
        <w:t xml:space="preserve"> two scales; prestige</w:t>
      </w:r>
      <w:r w:rsidR="00717CA6" w:rsidRPr="00CF31E0">
        <w:rPr>
          <w:lang w:eastAsia="zh-CN"/>
        </w:rPr>
        <w:t xml:space="preserve"> and </w:t>
      </w:r>
      <w:r w:rsidR="00A051E6" w:rsidRPr="00CF31E0">
        <w:rPr>
          <w:lang w:eastAsia="zh-CN"/>
        </w:rPr>
        <w:t>social attractiveness</w:t>
      </w:r>
      <w:r w:rsidRPr="00CF31E0">
        <w:rPr>
          <w:lang w:eastAsia="zh-CN"/>
        </w:rPr>
        <w:t xml:space="preserve">, </w:t>
      </w:r>
      <w:r w:rsidR="00C37405" w:rsidRPr="00CF31E0">
        <w:rPr>
          <w:lang w:eastAsia="zh-CN"/>
        </w:rPr>
        <w:t xml:space="preserve">for 34 English accents, </w:t>
      </w:r>
      <w:r w:rsidRPr="00CF31E0">
        <w:rPr>
          <w:lang w:eastAsia="zh-CN"/>
        </w:rPr>
        <w:t>which were presented conceptually</w:t>
      </w:r>
      <w:r w:rsidR="00717CA6" w:rsidRPr="00CF31E0">
        <w:rPr>
          <w:lang w:eastAsia="zh-CN"/>
        </w:rPr>
        <w:t xml:space="preserve"> (Garret</w:t>
      </w:r>
      <w:r w:rsidR="00606B45" w:rsidRPr="00CF31E0">
        <w:rPr>
          <w:lang w:eastAsia="zh-CN"/>
        </w:rPr>
        <w:t>t</w:t>
      </w:r>
      <w:r w:rsidR="00717CA6" w:rsidRPr="00CF31E0">
        <w:rPr>
          <w:lang w:eastAsia="zh-CN"/>
        </w:rPr>
        <w:t>, 2010, p.172)</w:t>
      </w:r>
      <w:r w:rsidRPr="00CF31E0">
        <w:rPr>
          <w:lang w:eastAsia="zh-CN"/>
        </w:rPr>
        <w:t xml:space="preserve">. Then, they were asked to rate the accents in accordance with two attitudinal scales, prestige and social attractiveness (i.e. social attractiveness is comparable to the pleasantness dimension in Giles’s above study), on a seven-point semantic differential scale. </w:t>
      </w:r>
    </w:p>
    <w:p w14:paraId="5687F81C" w14:textId="36CDEBDF" w:rsidR="00160CC4" w:rsidRPr="00CF31E0" w:rsidRDefault="00160CC4" w:rsidP="00603CB7">
      <w:pPr>
        <w:pStyle w:val="Paragraph"/>
        <w:rPr>
          <w:rFonts w:cs="Arial"/>
          <w:szCs w:val="22"/>
          <w:lang w:eastAsia="zh-CN"/>
        </w:rPr>
      </w:pPr>
      <w:r w:rsidRPr="00CF31E0">
        <w:rPr>
          <w:lang w:eastAsia="zh-CN"/>
        </w:rPr>
        <w:t xml:space="preserve">The results from the BBC study revealed a similar pattern to Giles’s (1970) study. </w:t>
      </w:r>
      <w:r w:rsidRPr="00CF31E0">
        <w:rPr>
          <w:lang w:eastAsia="zh-CN"/>
        </w:rPr>
        <w:fldChar w:fldCharType="begin"/>
      </w:r>
      <w:r w:rsidR="00A54129" w:rsidRPr="00CF31E0">
        <w:rPr>
          <w:lang w:eastAsia="zh-CN"/>
        </w:rPr>
        <w:instrText xml:space="preserve"> ADDIN ZOTERO_ITEM CSL_CITATION {"citationID":"a1imk48utu1","properties":{"formattedCitation":"(Bishop et al., 2011)","plainCitation":"(Bishop et al., 2011)","dontUpdate":true,"noteIndex":0},"citationItems":[{"id":"wgwhcNH1/hHn5YiFY","uris":["http://zotero.org/users/1939618/items/5EYQ7BBW"],"uri":["http://zotero.org/users/1939618/items/5EYQ7BBW"],"itemData":{"id":307,"type":"article-journal","title":"Conceptual accent evaluation: Thirty years of accent prejudice in the UK","container-title":"Acta Linguistica Hafniensia","source":"www-tandfonline-com.sheffield.idm.oclc.org","archive_location":"world","abstract":"(2005). Conceptual accent evaluation: Thirty years of accent prejudice in the UK. Acta Linguistica Hafniensia: Vol. 37, No. 1, pp. 131-154.","URL":"http://www-tandfonline-com.sheffield.idm.oclc.org/doi/abs/10.1080/03740463.2005.10416087","ISSN":"10.1080/03740463.2005.10416087","shortTitle":"Conceptual accent evaluation","language":"en","author":[{"family":"Bishop","given":"Hywel"},{"family":"Coupland","given":"Nikolas"},{"family":"Garrett","given":"Peter"}],"issued":{"date-parts":[["2011",11,24]]},"accessed":{"date-parts":[["2018",1,4]]}}}],"schema":"https://github.com/citation-style-language/schema/raw/master/csl-citation.json"} </w:instrText>
      </w:r>
      <w:r w:rsidRPr="00CF31E0">
        <w:rPr>
          <w:lang w:eastAsia="zh-CN"/>
        </w:rPr>
        <w:fldChar w:fldCharType="separate"/>
      </w:r>
      <w:r w:rsidR="00655DEF" w:rsidRPr="00CF31E0">
        <w:rPr>
          <w:noProof/>
          <w:lang w:eastAsia="zh-CN"/>
        </w:rPr>
        <w:t>Bishop et al. (2005</w:t>
      </w:r>
      <w:r w:rsidRPr="00CF31E0">
        <w:rPr>
          <w:noProof/>
          <w:lang w:eastAsia="zh-CN"/>
        </w:rPr>
        <w:t>)</w:t>
      </w:r>
      <w:r w:rsidRPr="00CF31E0">
        <w:rPr>
          <w:lang w:eastAsia="zh-CN"/>
        </w:rPr>
        <w:fldChar w:fldCharType="end"/>
      </w:r>
      <w:r w:rsidRPr="00CF31E0">
        <w:rPr>
          <w:lang w:eastAsia="zh-CN"/>
        </w:rPr>
        <w:t xml:space="preserve"> compared the two studies and investigated the </w:t>
      </w:r>
      <w:r w:rsidRPr="00CF31E0">
        <w:rPr>
          <w:lang w:eastAsia="zh-CN"/>
        </w:rPr>
        <w:lastRenderedPageBreak/>
        <w:t xml:space="preserve">motivations underlying the comparable patterns. Notwithstanding the fact that there was a 35-year gap between the two studies, </w:t>
      </w:r>
      <w:r w:rsidRPr="00CF31E0">
        <w:rPr>
          <w:rFonts w:cs="Arial"/>
          <w:szCs w:val="22"/>
          <w:lang w:eastAsia="zh-CN"/>
        </w:rPr>
        <w:fldChar w:fldCharType="begin"/>
      </w:r>
      <w:r w:rsidR="00A54129" w:rsidRPr="00CF31E0">
        <w:rPr>
          <w:rFonts w:cs="Arial"/>
          <w:szCs w:val="22"/>
          <w:lang w:eastAsia="zh-CN"/>
        </w:rPr>
        <w:instrText xml:space="preserve"> ADDIN ZOTERO_ITEM CSL_CITATION {"citationID":"2hyGHsF9","properties":{"formattedCitation":"(Bishop et al., 2011)","plainCitation":"(Bishop et al., 2011)","dontUpdate":true,"noteIndex":0},"citationItems":[{"id":"wgwhcNH1/hHn5YiFY","uris":["http://zotero.org/users/1939618/items/5EYQ7BBW"],"uri":["http://zotero.org/users/1939618/items/5EYQ7BBW"],"itemData":{"id":307,"type":"article-journal","title":"Conceptual accent evaluation: Thirty years of accent prejudice in the UK","container-title":"Acta Linguistica Hafniensia","source":"www-tandfonline-com.sheffield.idm.oclc.org","archive_location":"world","abstract":"(2005). Conceptual accent evaluation: Thirty years of accent prejudice in the UK. Acta Linguistica Hafniensia: Vol. 37, No. 1, pp. 131-154.","URL":"http://www-tandfonline-com.sheffield.idm.oclc.org/doi/abs/10.1080/03740463.2005.10416087","ISSN":"10.1080/03740463.2005.10416087","shortTitle":"Conceptual accent evaluation","language":"en","author":[{"family":"Bishop","given":"Hywel"},{"family":"Coupland","given":"Nikolas"},{"family":"Garrett","given":"Peter"}],"issued":{"date-parts":[["2011",11,24]]},"accessed":{"date-parts":[["2018",1,4]]}}}],"schema":"https://github.com/citation-style-language/schema/raw/master/csl-citation.json"} </w:instrText>
      </w:r>
      <w:r w:rsidRPr="00CF31E0">
        <w:rPr>
          <w:rFonts w:cs="Arial"/>
          <w:szCs w:val="22"/>
          <w:lang w:eastAsia="zh-CN"/>
        </w:rPr>
        <w:fldChar w:fldCharType="separate"/>
      </w:r>
      <w:r w:rsidRPr="00CF31E0">
        <w:rPr>
          <w:rFonts w:cs="Arial"/>
          <w:szCs w:val="22"/>
          <w:lang w:eastAsia="zh-CN"/>
        </w:rPr>
        <w:t>Bishop et al. (2</w:t>
      </w:r>
      <w:r w:rsidR="00655DEF" w:rsidRPr="00CF31E0">
        <w:rPr>
          <w:rFonts w:cs="Arial"/>
          <w:szCs w:val="22"/>
          <w:lang w:eastAsia="zh-CN"/>
        </w:rPr>
        <w:t>005</w:t>
      </w:r>
      <w:r w:rsidRPr="00CF31E0">
        <w:rPr>
          <w:rFonts w:cs="Arial"/>
          <w:szCs w:val="22"/>
          <w:lang w:eastAsia="zh-CN"/>
        </w:rPr>
        <w:t>)</w:t>
      </w:r>
      <w:r w:rsidRPr="00CF31E0">
        <w:rPr>
          <w:rFonts w:cs="Arial"/>
          <w:szCs w:val="22"/>
          <w:lang w:eastAsia="zh-CN"/>
        </w:rPr>
        <w:fldChar w:fldCharType="end"/>
      </w:r>
      <w:r w:rsidRPr="00CF31E0">
        <w:rPr>
          <w:rFonts w:cs="Arial"/>
          <w:szCs w:val="22"/>
          <w:lang w:eastAsia="zh-CN"/>
        </w:rPr>
        <w:t xml:space="preserve"> </w:t>
      </w:r>
      <w:r w:rsidRPr="00CF31E0">
        <w:rPr>
          <w:lang w:eastAsia="zh-CN"/>
        </w:rPr>
        <w:t xml:space="preserve">found four similar patterns in the two studies. </w:t>
      </w:r>
      <w:r w:rsidRPr="00CF31E0">
        <w:rPr>
          <w:rFonts w:cs="Arial"/>
          <w:szCs w:val="22"/>
          <w:lang w:eastAsia="zh-CN"/>
        </w:rPr>
        <w:t xml:space="preserve">First, they found that RP English was highly rated in the dimensions tested in both studies (i.e. social attractiveness and prestige). Second, they found that Birmingham and Liverpool </w:t>
      </w:r>
      <w:r w:rsidR="00C37405" w:rsidRPr="00CF31E0">
        <w:rPr>
          <w:rFonts w:cs="Arial"/>
          <w:szCs w:val="22"/>
          <w:lang w:eastAsia="zh-CN"/>
        </w:rPr>
        <w:t xml:space="preserve">accents </w:t>
      </w:r>
      <w:r w:rsidRPr="00CF31E0">
        <w:rPr>
          <w:rFonts w:cs="Arial"/>
          <w:szCs w:val="22"/>
          <w:lang w:eastAsia="zh-CN"/>
        </w:rPr>
        <w:t xml:space="preserve">were rated low with regard to these two dimensions. Third, they found that other ethnic accents, such as West Indian, Asian and Afro-Caribbean dialects, were rated very low on both dimensions. Fourth, Scottish-accented English was rated high on both prestige and social attractiveness. </w:t>
      </w:r>
      <w:r w:rsidRPr="00CF31E0">
        <w:rPr>
          <w:rFonts w:cs="Arial"/>
          <w:szCs w:val="22"/>
          <w:lang w:eastAsia="zh-CN"/>
        </w:rPr>
        <w:fldChar w:fldCharType="begin"/>
      </w:r>
      <w:r w:rsidR="00A54129" w:rsidRPr="00CF31E0">
        <w:rPr>
          <w:rFonts w:cs="Arial"/>
          <w:szCs w:val="22"/>
          <w:lang w:eastAsia="zh-CN"/>
        </w:rPr>
        <w:instrText xml:space="preserve"> ADDIN ZOTERO_ITEM CSL_CITATION {"citationID":"449wEZSR","properties":{"formattedCitation":"(Bishop et al., 2011)","plainCitation":"(Bishop et al., 2011)","dontUpdate":true,"noteIndex":0},"citationItems":[{"id":"wgwhcNH1/hHn5YiFY","uris":["http://zotero.org/users/1939618/items/5EYQ7BBW"],"uri":["http://zotero.org/users/1939618/items/5EYQ7BBW"],"itemData":{"id":307,"type":"article-journal","title":"Conceptual accent evaluation: Thirty years of accent prejudice in the UK","container-title":"Acta Linguistica Hafniensia","source":"www-tandfonline-com.sheffield.idm.oclc.org","archive_location":"world","abstract":"(2005). Conceptual accent evaluation: Thirty years of accent prejudice in the UK. Acta Linguistica Hafniensia: Vol. 37, No. 1, pp. 131-154.","URL":"http://www-tandfonline-com.sheffield.idm.oclc.org/doi/abs/10.1080/03740463.2005.10416087","ISSN":"10.1080/03740463.2005.10416087","shortTitle":"Conceptual accent evaluation","language":"en","author":[{"family":"Bishop","given":"Hywel"},{"family":"Coupland","given":"Nikolas"},{"family":"Garrett","given":"Peter"}],"issued":{"date-parts":[["2011",11,24]]},"accessed":{"date-parts":[["2018",1,4]]}}}],"schema":"https://github.com/citation-style-language/schema/raw/master/csl-citation.json"} </w:instrText>
      </w:r>
      <w:r w:rsidRPr="00CF31E0">
        <w:rPr>
          <w:rFonts w:cs="Arial"/>
          <w:szCs w:val="22"/>
          <w:lang w:eastAsia="zh-CN"/>
        </w:rPr>
        <w:fldChar w:fldCharType="separate"/>
      </w:r>
      <w:r w:rsidRPr="00CF31E0">
        <w:rPr>
          <w:rFonts w:cs="Arial"/>
          <w:szCs w:val="22"/>
          <w:lang w:eastAsia="zh-CN"/>
        </w:rPr>
        <w:t>Bish</w:t>
      </w:r>
      <w:r w:rsidR="00655DEF" w:rsidRPr="00CF31E0">
        <w:rPr>
          <w:rFonts w:cs="Arial"/>
          <w:szCs w:val="22"/>
          <w:lang w:eastAsia="zh-CN"/>
        </w:rPr>
        <w:t>op et al. (2005</w:t>
      </w:r>
      <w:r w:rsidRPr="00CF31E0">
        <w:rPr>
          <w:rFonts w:cs="Arial"/>
          <w:szCs w:val="22"/>
          <w:lang w:eastAsia="zh-CN"/>
        </w:rPr>
        <w:t>)</w:t>
      </w:r>
      <w:r w:rsidRPr="00CF31E0">
        <w:rPr>
          <w:rFonts w:cs="Arial"/>
          <w:szCs w:val="22"/>
          <w:lang w:eastAsia="zh-CN"/>
        </w:rPr>
        <w:fldChar w:fldCharType="end"/>
      </w:r>
      <w:r w:rsidRPr="00CF31E0">
        <w:rPr>
          <w:rFonts w:cs="Arial"/>
          <w:szCs w:val="22"/>
          <w:lang w:eastAsia="zh-CN"/>
        </w:rPr>
        <w:t xml:space="preserve"> attribute the homogeneity of the results across two different generations to the ideological positions the English participants hold towards the different accents in the UK. One noticeable difference revealed between Giles’s study and the BBC</w:t>
      </w:r>
      <w:r w:rsidR="009E5CD5" w:rsidRPr="00CF31E0">
        <w:rPr>
          <w:rFonts w:cs="Arial"/>
          <w:szCs w:val="22"/>
          <w:lang w:eastAsia="zh-CN"/>
        </w:rPr>
        <w:t xml:space="preserve"> study</w:t>
      </w:r>
      <w:r w:rsidRPr="00CF31E0">
        <w:rPr>
          <w:rFonts w:cs="Arial"/>
          <w:szCs w:val="22"/>
          <w:lang w:eastAsia="zh-CN"/>
        </w:rPr>
        <w:t xml:space="preserve"> is related to the preference </w:t>
      </w:r>
      <w:r w:rsidR="009E5CD5" w:rsidRPr="00CF31E0">
        <w:rPr>
          <w:rFonts w:cs="Arial"/>
          <w:szCs w:val="22"/>
          <w:lang w:eastAsia="zh-CN"/>
        </w:rPr>
        <w:t xml:space="preserve">for </w:t>
      </w:r>
      <w:r w:rsidRPr="00CF31E0">
        <w:rPr>
          <w:rFonts w:cs="Arial"/>
          <w:szCs w:val="22"/>
          <w:lang w:eastAsia="zh-CN"/>
        </w:rPr>
        <w:t xml:space="preserve">regional varieties </w:t>
      </w:r>
      <w:r w:rsidR="009E5CD5" w:rsidRPr="00CF31E0">
        <w:rPr>
          <w:rFonts w:cs="Arial"/>
          <w:szCs w:val="22"/>
          <w:lang w:eastAsia="zh-CN"/>
        </w:rPr>
        <w:t xml:space="preserve">by </w:t>
      </w:r>
      <w:r w:rsidRPr="00CF31E0">
        <w:rPr>
          <w:rFonts w:cs="Arial"/>
          <w:szCs w:val="22"/>
          <w:lang w:eastAsia="zh-CN"/>
        </w:rPr>
        <w:t xml:space="preserve">some regional groups. Scottish, Welsh and Northern England participants showed a pattern where they favour their regional varieties over other </w:t>
      </w:r>
      <w:r w:rsidR="00304E99" w:rsidRPr="00CF31E0">
        <w:rPr>
          <w:rFonts w:cs="Arial"/>
          <w:szCs w:val="22"/>
          <w:lang w:eastAsia="zh-CN"/>
        </w:rPr>
        <w:t>varieties</w:t>
      </w:r>
      <w:r w:rsidRPr="00CF31E0">
        <w:rPr>
          <w:rFonts w:cs="Arial"/>
          <w:szCs w:val="22"/>
          <w:lang w:eastAsia="zh-CN"/>
        </w:rPr>
        <w:t xml:space="preserve">. </w:t>
      </w:r>
    </w:p>
    <w:p w14:paraId="39462A75" w14:textId="0BF4F570" w:rsidR="00160CC4" w:rsidRPr="00CF31E0" w:rsidRDefault="00160CC4" w:rsidP="00603CB7">
      <w:pPr>
        <w:pStyle w:val="Paragraph"/>
        <w:rPr>
          <w:lang w:eastAsia="zh-CN"/>
        </w:rPr>
      </w:pPr>
      <w:r w:rsidRPr="00CF31E0">
        <w:rPr>
          <w:lang w:eastAsia="zh-CN"/>
        </w:rPr>
        <w:t xml:space="preserve">In a similar vein, </w:t>
      </w:r>
      <w:r w:rsidRPr="00CF31E0">
        <w:rPr>
          <w:lang w:eastAsia="zh-CN"/>
        </w:rPr>
        <w:fldChar w:fldCharType="begin"/>
      </w:r>
      <w:r w:rsidR="00CD34CA" w:rsidRPr="00CF31E0">
        <w:rPr>
          <w:lang w:eastAsia="zh-CN"/>
        </w:rPr>
        <w:instrText xml:space="preserve"> ADDIN ZOTERO_ITEM CSL_CITATION {"citationID":"QjDtF7y0","properties":{"formattedCitation":"(Kristiansen, 2009)","plainCitation":"(Kristiansen, 2009)","dontUpdate":true,"noteIndex":0},"citationItems":[{"id":482,"uris":["http://zotero.org/users/1939618/items/8I7GNAP9"],"uri":["http://zotero.org/users/1939618/items/8I7GNAP9"],"itemData":{"id":482,"type":"article-journal","title":"The macro-level social meanings of late-modern Danish accents","container-title":"Acta Linguistica Hafniensia","page":"167-192","volume":"41","issue":"1","source":"Taylor and Francis+NEJM","abstract":"The paper reports on the main findings of the LANCHART language attitudes studies. These studies were designed to falsify (or modify) the picture of adolescent language ideology – and its role in language change – that had emerged from previous sociolinguistic studies in Denmark. This picture is formulated as three hypotheses: (1) There are two value systems at two levels of consciousness, (2) Language change is governed by subconscious values, (3) Copenhagen is Denmark's only linguistic norm centre. Following strict guidelines for data collection among 9th graders (aged 15–16) in Copenhagen, Næstved, Vissenbjerg, Odder, and Vinderup we obtained subconsciously offered attitudes that could be compared with consciously offered attitudes. The results neither falsify nor modify the established picture but strongly confirm it.","DOI":"10.1080/03740460903364219","ISSN":"0374-0463","author":[{"family":"Kristiansen","given":"Tore"}],"issued":{"date-parts":[["2009",11,1]]}}}],"schema":"https://github.com/citation-style-language/schema/raw/master/csl-citation.json"} </w:instrText>
      </w:r>
      <w:r w:rsidRPr="00CF31E0">
        <w:rPr>
          <w:lang w:eastAsia="zh-CN"/>
        </w:rPr>
        <w:fldChar w:fldCharType="separate"/>
      </w:r>
      <w:r w:rsidRPr="00CF31E0">
        <w:rPr>
          <w:noProof/>
          <w:lang w:eastAsia="zh-CN"/>
        </w:rPr>
        <w:t xml:space="preserve">Kristiansen </w:t>
      </w:r>
      <w:r w:rsidR="00304E99" w:rsidRPr="00CF31E0">
        <w:rPr>
          <w:noProof/>
          <w:lang w:eastAsia="zh-CN"/>
        </w:rPr>
        <w:t>(</w:t>
      </w:r>
      <w:r w:rsidRPr="00CF31E0">
        <w:rPr>
          <w:noProof/>
          <w:lang w:eastAsia="zh-CN"/>
        </w:rPr>
        <w:t>2009)</w:t>
      </w:r>
      <w:r w:rsidRPr="00CF31E0">
        <w:rPr>
          <w:lang w:eastAsia="zh-CN"/>
        </w:rPr>
        <w:fldChar w:fldCharType="end"/>
      </w:r>
      <w:r w:rsidRPr="00CF31E0">
        <w:rPr>
          <w:lang w:eastAsia="zh-CN"/>
        </w:rPr>
        <w:t xml:space="preserve"> investigated language attitudes towards regional varieties in Denmark. The study incorporated two parts</w:t>
      </w:r>
      <w:r w:rsidR="00304E99" w:rsidRPr="00CF31E0">
        <w:rPr>
          <w:lang w:eastAsia="zh-CN"/>
        </w:rPr>
        <w:t xml:space="preserve">: </w:t>
      </w:r>
      <w:r w:rsidRPr="00CF31E0">
        <w:rPr>
          <w:lang w:eastAsia="zh-CN"/>
        </w:rPr>
        <w:t xml:space="preserve">the first </w:t>
      </w:r>
      <w:r w:rsidR="00304E99" w:rsidRPr="00CF31E0">
        <w:rPr>
          <w:lang w:eastAsia="zh-CN"/>
        </w:rPr>
        <w:t xml:space="preserve">consisted of a </w:t>
      </w:r>
      <w:r w:rsidRPr="00CF31E0">
        <w:rPr>
          <w:lang w:eastAsia="zh-CN"/>
        </w:rPr>
        <w:t>conceptual presentation of regional varieties, while the second incorporated vocally presented varieties, based on a matched</w:t>
      </w:r>
      <w:r w:rsidR="00C86BDA" w:rsidRPr="00CF31E0">
        <w:rPr>
          <w:lang w:eastAsia="zh-CN"/>
        </w:rPr>
        <w:t>-guise</w:t>
      </w:r>
      <w:r w:rsidRPr="00CF31E0">
        <w:rPr>
          <w:lang w:eastAsia="zh-CN"/>
        </w:rPr>
        <w:t xml:space="preserve"> technique. </w:t>
      </w:r>
      <w:r w:rsidR="00304E99" w:rsidRPr="00CF31E0">
        <w:rPr>
          <w:lang w:eastAsia="zh-CN"/>
        </w:rPr>
        <w:t>The r</w:t>
      </w:r>
      <w:r w:rsidRPr="00CF31E0">
        <w:rPr>
          <w:lang w:eastAsia="zh-CN"/>
        </w:rPr>
        <w:t xml:space="preserve">esults revealed that the preference </w:t>
      </w:r>
      <w:r w:rsidR="00304E99" w:rsidRPr="00CF31E0">
        <w:rPr>
          <w:lang w:eastAsia="zh-CN"/>
        </w:rPr>
        <w:t xml:space="preserve">was </w:t>
      </w:r>
      <w:r w:rsidRPr="00CF31E0">
        <w:rPr>
          <w:lang w:eastAsia="zh-CN"/>
        </w:rPr>
        <w:t xml:space="preserve">always </w:t>
      </w:r>
      <w:r w:rsidR="00304E99" w:rsidRPr="00CF31E0">
        <w:rPr>
          <w:lang w:eastAsia="zh-CN"/>
        </w:rPr>
        <w:t xml:space="preserve">for a </w:t>
      </w:r>
      <w:r w:rsidRPr="00CF31E0">
        <w:rPr>
          <w:lang w:eastAsia="zh-CN"/>
        </w:rPr>
        <w:t xml:space="preserve">local variety when participants </w:t>
      </w:r>
      <w:r w:rsidR="00304E99" w:rsidRPr="00CF31E0">
        <w:rPr>
          <w:lang w:eastAsia="zh-CN"/>
        </w:rPr>
        <w:t xml:space="preserve">were </w:t>
      </w:r>
      <w:r w:rsidRPr="00CF31E0">
        <w:rPr>
          <w:lang w:eastAsia="zh-CN"/>
        </w:rPr>
        <w:t xml:space="preserve">presented with conceptual names of varieties, while different results </w:t>
      </w:r>
      <w:r w:rsidR="00304E99" w:rsidRPr="00CF31E0">
        <w:rPr>
          <w:lang w:eastAsia="zh-CN"/>
        </w:rPr>
        <w:t xml:space="preserve">emerged </w:t>
      </w:r>
      <w:r w:rsidRPr="00CF31E0">
        <w:rPr>
          <w:lang w:eastAsia="zh-CN"/>
        </w:rPr>
        <w:t xml:space="preserve">when varieties </w:t>
      </w:r>
      <w:r w:rsidR="00304E99" w:rsidRPr="00CF31E0">
        <w:rPr>
          <w:lang w:eastAsia="zh-CN"/>
        </w:rPr>
        <w:t xml:space="preserve">were </w:t>
      </w:r>
      <w:r w:rsidRPr="00CF31E0">
        <w:rPr>
          <w:lang w:eastAsia="zh-CN"/>
        </w:rPr>
        <w:t>presented vocally</w:t>
      </w:r>
      <w:r w:rsidR="00304E99" w:rsidRPr="00CF31E0">
        <w:rPr>
          <w:lang w:eastAsia="zh-CN"/>
        </w:rPr>
        <w:t>,</w:t>
      </w:r>
      <w:r w:rsidRPr="00CF31E0">
        <w:rPr>
          <w:lang w:eastAsia="zh-CN"/>
        </w:rPr>
        <w:t xml:space="preserve"> as the preference </w:t>
      </w:r>
      <w:r w:rsidR="00304E99" w:rsidRPr="00CF31E0">
        <w:rPr>
          <w:lang w:eastAsia="zh-CN"/>
        </w:rPr>
        <w:t xml:space="preserve">was for the </w:t>
      </w:r>
      <w:r w:rsidRPr="00CF31E0">
        <w:rPr>
          <w:lang w:eastAsia="zh-CN"/>
        </w:rPr>
        <w:t xml:space="preserve">modern Copenhagen variety. </w:t>
      </w:r>
      <w:r w:rsidRPr="00CF31E0">
        <w:rPr>
          <w:lang w:eastAsia="zh-CN"/>
        </w:rPr>
        <w:fldChar w:fldCharType="begin"/>
      </w:r>
      <w:r w:rsidR="00CD34CA" w:rsidRPr="00CF31E0">
        <w:rPr>
          <w:lang w:eastAsia="zh-CN"/>
        </w:rPr>
        <w:instrText xml:space="preserve"> ADDIN ZOTERO_ITEM CSL_CITATION {"citationID":"oIPWpExb","properties":{"formattedCitation":"(Kristiansen, 2009)","plainCitation":"(Kristiansen, 2009)","dontUpdate":true,"noteIndex":0},"citationItems":[{"id":482,"uris":["http://zotero.org/users/1939618/items/8I7GNAP9"],"uri":["http://zotero.org/users/1939618/items/8I7GNAP9"],"itemData":{"id":482,"type":"article-journal","title":"The macro-level social meanings of late-modern Danish accents","container-title":"Acta Linguistica Hafniensia","page":"167-192","volume":"41","issue":"1","source":"Taylor and Francis+NEJM","abstract":"The paper reports on the main findings of the LANCHART language attitudes studies. These studies were designed to falsify (or modify) the picture of adolescent language ideology – and its role in language change – that had emerged from previous sociolinguistic studies in Denmark. This picture is formulated as three hypotheses: (1) There are two value systems at two levels of consciousness, (2) Language change is governed by subconscious values, (3) Copenhagen is Denmark's only linguistic norm centre. Following strict guidelines for data collection among 9th graders (aged 15–16) in Copenhagen, Næstved, Vissenbjerg, Odder, and Vinderup we obtained subconsciously offered attitudes that could be compared with consciously offered attitudes. The results neither falsify nor modify the established picture but strongly confirm it.","DOI":"10.1080/03740460903364219","ISSN":"0374-0463","author":[{"family":"Kristiansen","given":"Tore"}],"issued":{"date-parts":[["2009",11,1]]}}}],"schema":"https://github.com/citation-style-language/schema/raw/master/csl-citation.json"} </w:instrText>
      </w:r>
      <w:r w:rsidRPr="00CF31E0">
        <w:rPr>
          <w:lang w:eastAsia="zh-CN"/>
        </w:rPr>
        <w:fldChar w:fldCharType="separate"/>
      </w:r>
      <w:r w:rsidRPr="00CF31E0">
        <w:rPr>
          <w:noProof/>
          <w:lang w:eastAsia="zh-CN"/>
        </w:rPr>
        <w:t xml:space="preserve">Kristiansen </w:t>
      </w:r>
      <w:r w:rsidR="00304E99" w:rsidRPr="00CF31E0">
        <w:rPr>
          <w:noProof/>
          <w:lang w:eastAsia="zh-CN"/>
        </w:rPr>
        <w:t>(</w:t>
      </w:r>
      <w:r w:rsidRPr="00CF31E0">
        <w:rPr>
          <w:noProof/>
          <w:lang w:eastAsia="zh-CN"/>
        </w:rPr>
        <w:t>2009)</w:t>
      </w:r>
      <w:r w:rsidRPr="00CF31E0">
        <w:rPr>
          <w:lang w:eastAsia="zh-CN"/>
        </w:rPr>
        <w:fldChar w:fldCharType="end"/>
      </w:r>
      <w:r w:rsidRPr="00CF31E0">
        <w:rPr>
          <w:lang w:eastAsia="zh-CN"/>
        </w:rPr>
        <w:t xml:space="preserve"> argue</w:t>
      </w:r>
      <w:r w:rsidR="00304E99" w:rsidRPr="00CF31E0">
        <w:rPr>
          <w:lang w:eastAsia="zh-CN"/>
        </w:rPr>
        <w:t>s</w:t>
      </w:r>
      <w:r w:rsidRPr="00CF31E0">
        <w:rPr>
          <w:lang w:eastAsia="zh-CN"/>
        </w:rPr>
        <w:t xml:space="preserve"> that the methodological approach undertaken in the study </w:t>
      </w:r>
      <w:r w:rsidR="00304E99" w:rsidRPr="00CF31E0">
        <w:rPr>
          <w:lang w:eastAsia="zh-CN"/>
        </w:rPr>
        <w:t>ac</w:t>
      </w:r>
      <w:r w:rsidR="009A7E9D" w:rsidRPr="00CF31E0">
        <w:rPr>
          <w:lang w:eastAsia="zh-CN"/>
        </w:rPr>
        <w:t>c</w:t>
      </w:r>
      <w:r w:rsidR="00F03C9C" w:rsidRPr="00CF31E0">
        <w:rPr>
          <w:lang w:eastAsia="zh-CN"/>
        </w:rPr>
        <w:t>ount</w:t>
      </w:r>
      <w:r w:rsidR="00304E99" w:rsidRPr="00CF31E0">
        <w:rPr>
          <w:lang w:eastAsia="zh-CN"/>
        </w:rPr>
        <w:t>s</w:t>
      </w:r>
      <w:r w:rsidRPr="00CF31E0">
        <w:rPr>
          <w:lang w:eastAsia="zh-CN"/>
        </w:rPr>
        <w:t xml:space="preserve"> for the different results. In other words, </w:t>
      </w:r>
      <w:r w:rsidR="00304E99" w:rsidRPr="00CF31E0">
        <w:rPr>
          <w:lang w:eastAsia="zh-CN"/>
        </w:rPr>
        <w:t xml:space="preserve">the </w:t>
      </w:r>
      <w:r w:rsidRPr="00CF31E0">
        <w:rPr>
          <w:lang w:eastAsia="zh-CN"/>
        </w:rPr>
        <w:t>direct method inherently reveal</w:t>
      </w:r>
      <w:r w:rsidR="00304E99" w:rsidRPr="00CF31E0">
        <w:rPr>
          <w:lang w:eastAsia="zh-CN"/>
        </w:rPr>
        <w:t>s the</w:t>
      </w:r>
      <w:r w:rsidRPr="00CF31E0">
        <w:rPr>
          <w:lang w:eastAsia="zh-CN"/>
        </w:rPr>
        <w:t xml:space="preserve"> macro ideological system at the conscious level of participants</w:t>
      </w:r>
      <w:r w:rsidR="00304E99" w:rsidRPr="00CF31E0">
        <w:rPr>
          <w:lang w:eastAsia="zh-CN"/>
        </w:rPr>
        <w:t>’</w:t>
      </w:r>
      <w:r w:rsidRPr="00CF31E0">
        <w:rPr>
          <w:lang w:eastAsia="zh-CN"/>
        </w:rPr>
        <w:t xml:space="preserve"> cognitive system, while the indirect method (i.e. matched</w:t>
      </w:r>
      <w:r w:rsidR="00C86BDA" w:rsidRPr="00CF31E0">
        <w:rPr>
          <w:lang w:eastAsia="zh-CN"/>
        </w:rPr>
        <w:t>-guise</w:t>
      </w:r>
      <w:r w:rsidRPr="00CF31E0">
        <w:rPr>
          <w:lang w:eastAsia="zh-CN"/>
        </w:rPr>
        <w:t xml:space="preserve"> technique) delivers more overt stereotypes at the subconscious level of informants’ mental processes. </w:t>
      </w:r>
    </w:p>
    <w:p w14:paraId="53D78DA4" w14:textId="468D41C2" w:rsidR="00160CC4" w:rsidRPr="00CF31E0" w:rsidRDefault="00160CC4" w:rsidP="00603CB7">
      <w:pPr>
        <w:pStyle w:val="Paragraph"/>
        <w:rPr>
          <w:lang w:eastAsia="zh-CN"/>
        </w:rPr>
      </w:pPr>
      <w:r w:rsidRPr="00CF31E0">
        <w:rPr>
          <w:lang w:eastAsia="zh-CN"/>
        </w:rPr>
        <w:t xml:space="preserve">So far, the discussion has focused on the researcher providing concepts of language varieties to participants, but in some studies participants are asked to write down language varieties by relying on their own experience and </w:t>
      </w:r>
      <w:r w:rsidRPr="00CF31E0">
        <w:rPr>
          <w:lang w:eastAsia="zh-CN"/>
        </w:rPr>
        <w:lastRenderedPageBreak/>
        <w:t xml:space="preserve">memory. </w:t>
      </w:r>
      <w:r w:rsidRPr="00CF31E0">
        <w:rPr>
          <w:lang w:eastAsia="zh-CN"/>
        </w:rPr>
        <w:fldChar w:fldCharType="begin"/>
      </w:r>
      <w:r w:rsidRPr="00CF31E0">
        <w:rPr>
          <w:lang w:eastAsia="zh-CN"/>
        </w:rPr>
        <w:instrText xml:space="preserve"> ADDIN ZOTERO_ITEM CSL_CITATION {"citationID":"50QiG0oo","properties":{"formattedCitation":"(Garrett et al., 2005b)","plainCitation":"(Garrett et al., 2005b)","dontUpdate":true,"noteIndex":0},"citationItems":[{"id":326,"uris":["http://zotero.org/users/1939618/items/CTAELXKB"],"uri":["http://zotero.org/users/1939618/items/CTAELXKB"],"itemData":{"id":326,"type":"article-journal","title":"Attitudinal data from New Zealand, Australia, the USA and UK about each other’s Englishes: Recent changes or consequences of methodologies?","container-title":"Multilingua","page":"211–235","volume":"24","issue":"3","source":"DeGruyter","abstract":"Recent attitudinal research by Bayard et al. (2001) suggested changes in the comparative evaluations of Australian, New Zealand, US and English Englishes, with US English on its way to becoming the preferred variety. We revisit these attitudes after a period of political change in the US, and using a research methodology in line with folklinguistic approaches to attitudes research (e. g. Preston 1996). Convenience samples of respondents in these four countries were asked to identify the countries where they knew English was spoken as a native language, and then quickly to write down their first reactions to those varieties. US English was viewed strikingly negatively in terms of its affective associations, and there were references to ‘excess’ from all respondent groups (e. g. overassertive, overenthusiastic). And, against expectations, the affective profile of English English was not overwhelmingly negative for all groups of respondents. We consider the results in relation to the findings and methods of the earlier studies, and also briefly consider the different statuses of these varieties in terms of the current discussion of late modernity and of different standard varieties (e. g. Kristiansen 2001b) serving different aspects of social life.","DOI":"10.1515/mult.2005.24.3.211","ISSN":"1613-3684","shortTitle":"Attitudinal data from New Zealand, Australia, the USA and UK about each other’s Englishes","author":[{"family":"Garrett","given":"Peter"},{"family":"Williams","given":"Angie"},{"family":"Evans","given":"Betsy"}],"issued":{"date-parts":[["2005"]]}}}],"schema":"https://github.com/citation-style-language/schema/raw/master/csl-citation.json"} </w:instrText>
      </w:r>
      <w:r w:rsidRPr="00CF31E0">
        <w:rPr>
          <w:lang w:eastAsia="zh-CN"/>
        </w:rPr>
        <w:fldChar w:fldCharType="separate"/>
      </w:r>
      <w:r w:rsidRPr="00CF31E0">
        <w:rPr>
          <w:noProof/>
          <w:lang w:eastAsia="zh-CN"/>
        </w:rPr>
        <w:t>Garrett et al. (2005b)</w:t>
      </w:r>
      <w:r w:rsidRPr="00CF31E0">
        <w:rPr>
          <w:lang w:eastAsia="zh-CN"/>
        </w:rPr>
        <w:fldChar w:fldCharType="end"/>
      </w:r>
      <w:r w:rsidRPr="00CF31E0">
        <w:rPr>
          <w:lang w:eastAsia="zh-CN"/>
        </w:rPr>
        <w:t xml:space="preserve"> investigated attitudes from undergraduate students from the UK, the USA, Australia and New Zealand towards each other’s English varieties. The method for the study was a two-part questionnaire. In the first part of the questionnaire, students were asked to write down the name of English varieties spoken around the world apart from their own variety. In the second part of the questionnaire, the researchers used a keyword technique where participants </w:t>
      </w:r>
      <w:r w:rsidR="00AB53FC" w:rsidRPr="00CF31E0">
        <w:rPr>
          <w:lang w:eastAsia="zh-CN"/>
        </w:rPr>
        <w:t xml:space="preserve">were </w:t>
      </w:r>
      <w:r w:rsidRPr="00CF31E0">
        <w:rPr>
          <w:lang w:eastAsia="zh-CN"/>
        </w:rPr>
        <w:t>given a free</w:t>
      </w:r>
      <w:r w:rsidR="00C86BDA" w:rsidRPr="00CF31E0">
        <w:rPr>
          <w:lang w:eastAsia="zh-CN"/>
        </w:rPr>
        <w:t>-adjective</w:t>
      </w:r>
      <w:r w:rsidRPr="00CF31E0">
        <w:rPr>
          <w:lang w:eastAsia="zh-CN"/>
        </w:rPr>
        <w:t xml:space="preserve"> questionnaire and </w:t>
      </w:r>
      <w:r w:rsidR="00AB53FC" w:rsidRPr="00CF31E0">
        <w:rPr>
          <w:lang w:eastAsia="zh-CN"/>
        </w:rPr>
        <w:t xml:space="preserve">were </w:t>
      </w:r>
      <w:r w:rsidRPr="00CF31E0">
        <w:rPr>
          <w:lang w:eastAsia="zh-CN"/>
        </w:rPr>
        <w:t>asked to jot down characteristics about the dialects in question</w:t>
      </w:r>
      <w:r w:rsidR="00AB53FC" w:rsidRPr="00CF31E0">
        <w:rPr>
          <w:lang w:eastAsia="zh-CN"/>
        </w:rPr>
        <w:t xml:space="preserve">; </w:t>
      </w:r>
      <w:r w:rsidRPr="00CF31E0">
        <w:rPr>
          <w:lang w:eastAsia="zh-CN"/>
        </w:rPr>
        <w:t>see section</w:t>
      </w:r>
      <w:r w:rsidR="0017758D" w:rsidRPr="00CF31E0">
        <w:rPr>
          <w:lang w:eastAsia="zh-CN"/>
        </w:rPr>
        <w:t xml:space="preserve"> </w:t>
      </w:r>
      <w:r w:rsidR="009B0A98" w:rsidRPr="00CF31E0">
        <w:rPr>
          <w:lang w:eastAsia="zh-CN"/>
        </w:rPr>
        <w:t>4</w:t>
      </w:r>
      <w:r w:rsidR="0017758D" w:rsidRPr="00CF31E0">
        <w:rPr>
          <w:lang w:eastAsia="zh-CN"/>
        </w:rPr>
        <w:t xml:space="preserve">.7.3 </w:t>
      </w:r>
      <w:r w:rsidRPr="00CF31E0">
        <w:rPr>
          <w:lang w:eastAsia="zh-CN"/>
        </w:rPr>
        <w:t>below for more details about the keyword technique</w:t>
      </w:r>
      <w:r w:rsidR="0017758D" w:rsidRPr="00CF31E0">
        <w:rPr>
          <w:lang w:eastAsia="zh-CN"/>
        </w:rPr>
        <w:t xml:space="preserve">. </w:t>
      </w:r>
      <w:r w:rsidRPr="00CF31E0">
        <w:rPr>
          <w:lang w:eastAsia="zh-CN"/>
        </w:rPr>
        <w:t xml:space="preserve">Findings from the conceptual part of the study revealed that four English varieties were mentioned frequently: UK English, US English, Australian English, and New Zealand English. </w:t>
      </w:r>
    </w:p>
    <w:p w14:paraId="0F619CD4" w14:textId="5EC7FF87" w:rsidR="00160CC4" w:rsidRPr="00CF31E0" w:rsidRDefault="00160CC4" w:rsidP="00603CB7">
      <w:pPr>
        <w:pStyle w:val="Paragraph"/>
        <w:rPr>
          <w:lang w:eastAsia="zh-CN"/>
        </w:rPr>
      </w:pPr>
      <w:r w:rsidRPr="00CF31E0">
        <w:rPr>
          <w:lang w:eastAsia="zh-CN"/>
        </w:rPr>
        <w:t xml:space="preserve">The use of conceptually presented varieties has also been used in perceptual dialectology , where participants were asked to conceptualize the language varieties either by writing them down or by placing the varieties on a given map </w:t>
      </w:r>
      <w:r w:rsidRPr="00CF31E0">
        <w:rPr>
          <w:lang w:eastAsia="zh-CN"/>
        </w:rPr>
        <w:fldChar w:fldCharType="begin"/>
      </w:r>
      <w:r w:rsidR="00A54129" w:rsidRPr="00CF31E0">
        <w:rPr>
          <w:lang w:eastAsia="zh-CN"/>
        </w:rPr>
        <w:instrText xml:space="preserve"> ADDIN ZOTERO_ITEM CSL_CITATION {"citationID":"a2n4nfma8uj","properties":{"formattedCitation":"(Inoue, 1999; Montgomery, 2007; Dennis R. Preston, 1999a; Sibata, 1999)","plainCitation":"(Inoue, 1999; Montgomery, 2007; Dennis R. Preston, 1999a; Sibata, 1999)","dontUpdate":true,"noteIndex":0},"citationItems":[{"id":51,"uris":["http://zotero.org/users/1939618/items/A49VW2UZ"],"uri":["http://zotero.org/users/1939618/items/A49VW2UZ"],"itemData":{"id":51,"type":"chapter","title":"Classification of dialects by image: English and Japanese","container-title":"Handbook of perceptual dialectology","publisher":"John Benjamins Publishing","publisher-place":"Amsterdam","page":"147–160","volume":"1","source":"Google Scholar","event-place":"Amsterdam","shortTitle":"Classification of dialects by image","author":[{"family":"Inoue","given":"Fumio"}],"editor":[{"family":"Preston","given":"Dennis R."}],"issued":{"date-parts":[["1999"]]}},"label":"page"},{"id":3,"uris":["http://zotero.org/users/1939618/items/IB93562T"],"uri":["http://zotero.org/users/1939618/items/IB93562T"],"itemData":{"id":3,"type":"thesis","title":"Northern English Dialects: A perceptual approach (doctoral dissertation)","publisher":"University of Sheffield","genre":"Thesis","source":"etheses.whiterose.ac.uk","abstract":"Perceptual dialectology has the capacity to deliver a great many benefits to the study of language varieties.  It also allows examination of the underlying factors in dialect use such as the ‘beliefs, attitudes and strategies’ (Preston, 1999: xxiii) which make up language users’ reactions to language varieties.  In this way it has the potential to ask questions of identity and explore the reasons for dialect loyalty as well as complementing other research in the field of language variation and change.\n\nUsing a perceptual framework, this research investigates the relationship between the north and south of England and gains access to some of the key concepts which affect informants’ view of this important social, cultural and historical relationship.  Perceptions of salient dialect areas are also assessed using informants from three locations in the north of England via the completion of a draw-a-map task (Preston, 1999: xxxiv).  Many of the factors which impact on the perception of dialect areas are discussed, with phenomena of proximity and cultural salience demonstrating an important role.  An analysis of informants’ reactions to voice samples from across England is also undertaken using methods adapted from the fields of linguistics (Embleton &amp; Wheeler, 1997, Giles &amp; Powesland, 1975, Niedzielski &amp; Preston, 2003) as well perceptual geography (Pocock, 1972).  The link between map-based perception and reaction to voice samples is examined, with interesting conclusions. \n\nFour key research questions are addressed:\n\n1.\tDo respondents have a linguistic ‘cognitive map’ of a north of England, and do respondents recognise there to be internal boundaries within ‘their’ north of England?\n2.\tDoes home-town location of informants affect the perception of dialect area? \n3.\tWhat are informants’ perceptions of the language varieties in the north of England?\n4.\tIs there a relationship between perception and ‘reality’ (production), and can respondents recognise the varieties they have identified?\n\nThese questions will be addressed using the methods described above and the results accounted for through comparison with a wide range of previous studies in the fields of dialectology (Trudgill, 1999, Upton, Sanderson &amp; Widdowson, 1987, Wells, 1982), social and cultural history (Wales, 2006), perceptual dialectology (Long &amp; Preston, 2002), sociolinguistics (Giles &amp; Powesland, 1975) and perceptual geography (Gould &amp; White, 1986).","URL":"http://etheses.whiterose.ac.uk/1203/","shortTitle":"Northern English Dialects","author":[{"family":"Montgomery","given":"Chris"}],"issued":{"date-parts":[["2007",1,16]]},"accessed":{"date-parts":[["2014",9,24]]}},"label":"page"},{"id":240,"uris":["http://zotero.org/users/1939618/items/TF8GPXHH"],"uri":["http://zotero.org/users/1939618/items/TF8GPXHH"],"itemData":{"id":240,"type":"chapter","title":"A language attitude approach to the perception of regional variety","container-title":"Handbook of perceptual dialectology","page":"359–374","volume":"1","source":"Google Scholar","author":[{"family":"Preston","given":"Dennis R."}],"issued":{"date-parts":[["1999"]]}},"label":"page"},{"id":36,"uris":["http://zotero.org/users/1939618/items/PXVENFHR"],"uri":["http://zotero.org/users/1939618/items/PXVENFHR"],"itemData":{"id":36,"type":"chapter","title":"Consciousness of dialect boundaries","container-title":"Handbook of perceptual dialectology","page":"39–62","volume":"1","source":"Google Scholar","URL":"http://books.google.co.uk/books?hl=en&amp;lr=&amp;id=fUBIAAAAQBAJ&amp;oi=fnd&amp;pg=PA39&amp;dq=consciousness+of+dialect+boundries&amp;ots=a9jE1OfszZ&amp;sig=Y3oo2sYKK9U8M_FrsRb-Y9PflHY","author":[{"family":"Sibata","given":"Takesi"}],"editor":[{"family":"Preston","given":"Dennis R."}],"issued":{"date-parts":[["1999"]]},"accessed":{"date-parts":[["2014",10,24]]}},"label":"page"}],"schema":"https://github.com/citation-style-language/schema/raw/master/csl-citation.json"} </w:instrText>
      </w:r>
      <w:r w:rsidRPr="00CF31E0">
        <w:rPr>
          <w:lang w:eastAsia="zh-CN"/>
        </w:rPr>
        <w:fldChar w:fldCharType="separate"/>
      </w:r>
      <w:r w:rsidRPr="00CF31E0">
        <w:rPr>
          <w:noProof/>
          <w:lang w:eastAsia="zh-CN"/>
        </w:rPr>
        <w:t>(Inoue, 1999; Montgomery, 2007; Preston, 1999a; Sibata, 1999)</w:t>
      </w:r>
      <w:r w:rsidRPr="00CF31E0">
        <w:rPr>
          <w:lang w:eastAsia="zh-CN"/>
        </w:rPr>
        <w:fldChar w:fldCharType="end"/>
      </w:r>
      <w:r w:rsidRPr="00CF31E0">
        <w:rPr>
          <w:lang w:eastAsia="zh-CN"/>
        </w:rPr>
        <w:t xml:space="preserve">. I will illustrate perceptual dialectology research in detail in section </w:t>
      </w:r>
      <w:r w:rsidR="009B0A98" w:rsidRPr="00CF31E0">
        <w:rPr>
          <w:lang w:eastAsia="zh-CN"/>
        </w:rPr>
        <w:t>4</w:t>
      </w:r>
      <w:r w:rsidR="0017758D" w:rsidRPr="00CF31E0">
        <w:rPr>
          <w:lang w:eastAsia="zh-CN"/>
        </w:rPr>
        <w:t>.8</w:t>
      </w:r>
      <w:r w:rsidRPr="00CF31E0">
        <w:rPr>
          <w:lang w:eastAsia="zh-CN"/>
        </w:rPr>
        <w:t xml:space="preserve"> below. </w:t>
      </w:r>
    </w:p>
    <w:p w14:paraId="2ECA3919" w14:textId="126CFBB7" w:rsidR="00160CC4" w:rsidRPr="00CF31E0" w:rsidRDefault="00160CC4" w:rsidP="00603CB7">
      <w:pPr>
        <w:pStyle w:val="Paragraph"/>
        <w:rPr>
          <w:lang w:eastAsia="zh-CN"/>
        </w:rPr>
      </w:pPr>
      <w:r w:rsidRPr="00CF31E0">
        <w:rPr>
          <w:lang w:eastAsia="zh-CN"/>
        </w:rPr>
        <w:t xml:space="preserve">On the one hand, the conceptual approach has been criticized for its failure to use neutral labels that are free of implicit associations with a national label, specific race, ethnic group or social group. This means that the label itself might indirectly affect participants’ attitudes toward the dialect or language </w:t>
      </w:r>
      <w:r w:rsidRPr="00CF31E0">
        <w:rPr>
          <w:lang w:eastAsia="zh-CN"/>
        </w:rPr>
        <w:fldChar w:fldCharType="begin"/>
      </w:r>
      <w:r w:rsidR="00A54129" w:rsidRPr="00CF31E0">
        <w:rPr>
          <w:lang w:eastAsia="zh-CN"/>
        </w:rPr>
        <w:instrText xml:space="preserve"> ADDIN ZOTERO_ITEM CSL_CITATION {"citationID":"a2ij1g17djm","properties":{"formattedCitation":"(Bishop, Coupland, &amp; Garrett, 2011; Kristiansen, Garrett, &amp; Coupland, 2005)","plainCitation":"(Bishop, Coupland, &amp; Garrett, 2011; Kristiansen, Garrett, &amp; Coupland, 2005)","dontUpdate":true,"noteIndex":0},"citationItems":[{"id":"wgwhcNH1/hHn5YiFY","uris":["http://zotero.org/users/1939618/items/5EYQ7BBW"],"uri":["http://zotero.org/users/1939618/items/5EYQ7BBW"],"itemData":{"id":307,"type":"article-journal","title":"Conceptual accent evaluation: Thirty years of accent prejudice in the UK","container-title":"Acta Linguistica Hafniensia","source":"www-tandfonline-com.sheffield.idm.oclc.org","archive_location":"world","abstract":"(2005). Conceptual accent evaluation: Thirty years of accent prejudice in the UK. Acta Linguistica Hafniensia: Vol. 37, No. 1, pp. 131-154.","URL":"http://www-tandfonline-com.sheffield.idm.oclc.org/doi/abs/10.1080/03740463.2005.10416087","ISSN":"10.1080/03740463.2005.10416087","shortTitle":"Conceptual accent evaluation","language":"en","author":[{"family":"Bishop","given":"Hywel"},{"family":"Coupland","given":"Nikolas"},{"family":"Garrett","given":"Peter"}],"issued":{"date-parts":[["2011",11,24]]},"accessed":{"date-parts":[["2018",1,4]]}},"label":"page"},{"id":303,"uris":["http://zotero.org/users/1939618/items/C4CULAJ5"],"uri":["http://zotero.org/users/1939618/items/C4CULAJ5"],"itemData":{"id":303,"type":"article-journal","title":"Introducing subjectivities in language variation and change","container-title":"Acta Linguistica Hafniensia","page":"9-35","volume":"37","issue":"1","source":"www-tandfonline-com.sheffield.idm.oclc.org (Atypon)","abstract":"This volume is devoted both to the theoretical question of which roles subjective processes play in language variation and change (LVC), and to the many methodological questions raised by the study of these subjective processes. Obviously, to talk about ‘subjective’ processes implies that there are also ‘objective’ processes, and more generally it suggests that LVC should be studied in terms of a distinction between the ‘subjective’ and the ‘objective’. Such a distinction is not, however, what we normally meet within the literature, where the factors involved in LVC are commonly divided and grouped in terms like internal versus external, linguistic versus social versus (socio)psychological, macro versus micro, and not to forget, the tripartite division introduced by Labov in his summing up of his own life work: internal versus social versus cognitive (Labov 1994, 2001, forthcoming.).","DOI":"10.1080/03740463.2005.10416081","ISSN":"0374-0463","journalAbbreviation":"Acta Linguistica Hafniensia","author":[{"family":"Kristiansen","given":"Tore"},{"family":"Garrett","given":"Peter"},{"family":"Coupland","given":"Nikolas"}],"issued":{"date-parts":[["2005",1,1]]}},"label":"page"}],"schema":"https://github.com/citation-style-language/schema/raw/master/csl-citation.json"} </w:instrText>
      </w:r>
      <w:r w:rsidRPr="00CF31E0">
        <w:rPr>
          <w:lang w:eastAsia="zh-CN"/>
        </w:rPr>
        <w:fldChar w:fldCharType="separate"/>
      </w:r>
      <w:r w:rsidRPr="00CF31E0">
        <w:rPr>
          <w:lang w:val="nl-NL" w:eastAsia="zh-CN"/>
        </w:rPr>
        <w:t>(Bishop</w:t>
      </w:r>
      <w:r w:rsidR="002B6AA6" w:rsidRPr="00CF31E0">
        <w:rPr>
          <w:lang w:val="nl-NL" w:eastAsia="zh-CN"/>
        </w:rPr>
        <w:t xml:space="preserve"> et al.</w:t>
      </w:r>
      <w:r w:rsidR="00655DEF" w:rsidRPr="00CF31E0">
        <w:rPr>
          <w:lang w:val="nl-NL" w:eastAsia="zh-CN"/>
        </w:rPr>
        <w:t>, 2005</w:t>
      </w:r>
      <w:r w:rsidRPr="00CF31E0">
        <w:rPr>
          <w:lang w:val="nl-NL" w:eastAsia="zh-CN"/>
        </w:rPr>
        <w:t>; Kristiansen</w:t>
      </w:r>
      <w:r w:rsidR="002B6AA6" w:rsidRPr="00CF31E0">
        <w:rPr>
          <w:lang w:val="nl-NL" w:eastAsia="zh-CN"/>
        </w:rPr>
        <w:t xml:space="preserve"> et al.</w:t>
      </w:r>
      <w:r w:rsidRPr="00CF31E0">
        <w:rPr>
          <w:lang w:val="nl-NL" w:eastAsia="zh-CN"/>
        </w:rPr>
        <w:t>, 2005)</w:t>
      </w:r>
      <w:r w:rsidRPr="00CF31E0">
        <w:rPr>
          <w:lang w:eastAsia="zh-CN"/>
        </w:rPr>
        <w:fldChar w:fldCharType="end"/>
      </w:r>
      <w:r w:rsidRPr="00CF31E0">
        <w:rPr>
          <w:lang w:val="nl-NL" w:eastAsia="zh-CN"/>
        </w:rPr>
        <w:t xml:space="preserve">. </w:t>
      </w:r>
      <w:r w:rsidRPr="000E3509">
        <w:rPr>
          <w:lang w:eastAsia="zh-CN"/>
        </w:rPr>
        <w:t>Furthermore, Bishop</w:t>
      </w:r>
      <w:r w:rsidR="002B6AA6" w:rsidRPr="000E3509">
        <w:rPr>
          <w:lang w:eastAsia="zh-CN"/>
        </w:rPr>
        <w:t xml:space="preserve"> et al.</w:t>
      </w:r>
      <w:r w:rsidRPr="000E3509">
        <w:rPr>
          <w:lang w:eastAsia="zh-CN"/>
        </w:rPr>
        <w:t xml:space="preserve"> </w:t>
      </w:r>
      <w:r w:rsidRPr="00CF31E0">
        <w:rPr>
          <w:lang w:eastAsia="zh-CN"/>
        </w:rPr>
        <w:t>(2</w:t>
      </w:r>
      <w:r w:rsidR="00655DEF" w:rsidRPr="00CF31E0">
        <w:rPr>
          <w:lang w:eastAsia="zh-CN"/>
        </w:rPr>
        <w:t>005</w:t>
      </w:r>
      <w:r w:rsidRPr="00CF31E0">
        <w:rPr>
          <w:lang w:eastAsia="zh-CN"/>
        </w:rPr>
        <w:t xml:space="preserve">) criticized the approach, as in some cases it might lead participants to provide ambiguous stereotypes when the labels are not explicit and clear. On the other hand, the conceptual approach is “arguably a powerful and ‘clean’ method”, as it can tap into overt stereotypical assumptions </w:t>
      </w:r>
      <w:r w:rsidRPr="00CF31E0">
        <w:rPr>
          <w:lang w:eastAsia="zh-CN"/>
        </w:rPr>
        <w:fldChar w:fldCharType="begin"/>
      </w:r>
      <w:r w:rsidR="00A54129" w:rsidRPr="00CF31E0">
        <w:rPr>
          <w:lang w:eastAsia="zh-CN"/>
        </w:rPr>
        <w:instrText xml:space="preserve"> ADDIN ZOTERO_ITEM CSL_CITATION {"citationID":"q3ALdAKR","properties":{"formattedCitation":"(Bishop et al., 2011, p. 131)","plainCitation":"(Bishop et al., 2011, p. 131)","noteIndex":0},"citationItems":[{"id":"wgwhcNH1/hHn5YiFY","uris":["http://zotero.org/users/1939618/items/5EYQ7BBW"],"uri":["http://zotero.org/users/1939618/items/5EYQ7BBW"],"itemData":{"id":307,"type":"article-journal","title":"Conceptual accent evaluation: Thirty years of accent prejudice in the UK","container-title":"Acta Linguistica Hafniensia","source":"www-tandfonline-com.sheffield.idm.oclc.org","archive_location":"world","abstract":"(2005). Conceptual accent evaluation: Thirty years of accent prejudice in the UK. Acta Linguistica Hafniensia: Vol. 37, No. 1, pp. 131-154.","URL":"http://www-tandfonline-com.sheffield.idm.oclc.org/doi/abs/10.1080/03740463.2005.10416087","ISSN":"10.1080/03740463.2005.10416087","shortTitle":"Conceptual accent evaluation","language":"en","author":[{"family":"Bishop","given":"Hywel"},{"family":"Coupland","given":"Nikolas"},{"family":"Garrett","given":"Peter"}],"issued":{"date-parts":[["2011",11,24]]},"accessed":{"date-parts":[["2018",1,4]]}},"locator":"131","label":"page"}],"schema":"https://github.com/citation-style-language/schema/raw/master/csl-citation.json"} </w:instrText>
      </w:r>
      <w:r w:rsidRPr="00CF31E0">
        <w:rPr>
          <w:lang w:eastAsia="zh-CN"/>
        </w:rPr>
        <w:fldChar w:fldCharType="separate"/>
      </w:r>
      <w:r w:rsidR="00655DEF" w:rsidRPr="00CF31E0">
        <w:rPr>
          <w:noProof/>
          <w:lang w:eastAsia="zh-CN"/>
        </w:rPr>
        <w:t>(Bishop et al., 2005</w:t>
      </w:r>
      <w:r w:rsidRPr="00CF31E0">
        <w:rPr>
          <w:noProof/>
          <w:lang w:eastAsia="zh-CN"/>
        </w:rPr>
        <w:t>, p. 131)</w:t>
      </w:r>
      <w:r w:rsidRPr="00CF31E0">
        <w:rPr>
          <w:lang w:eastAsia="zh-CN"/>
        </w:rPr>
        <w:fldChar w:fldCharType="end"/>
      </w:r>
      <w:r w:rsidRPr="00CF31E0">
        <w:rPr>
          <w:lang w:eastAsia="zh-CN"/>
        </w:rPr>
        <w:t xml:space="preserve">. Furthermore, it can reveal ideological categories which help the researcher to understand how stereotypes are formulated </w:t>
      </w:r>
      <w:r w:rsidRPr="00CF31E0">
        <w:rPr>
          <w:lang w:eastAsia="zh-CN"/>
        </w:rPr>
        <w:fldChar w:fldCharType="begin"/>
      </w:r>
      <w:r w:rsidR="00CD34CA" w:rsidRPr="00CF31E0">
        <w:rPr>
          <w:lang w:eastAsia="zh-CN"/>
        </w:rPr>
        <w:instrText xml:space="preserve"> ADDIN ZOTERO_ITEM CSL_CITATION {"citationID":"WdKIIpyF","properties":{"formattedCitation":"(Kristiansen, Garrett, &amp; Coupland, 2005)","plainCitation":"(Kristiansen, Garrett, &amp; Coupland, 2005)","dontUpdate":true,"noteIndex":0},"citationItems":[{"id":303,"uris":["http://zotero.org/users/1939618/items/C4CULAJ5"],"uri":["http://zotero.org/users/1939618/items/C4CULAJ5"],"itemData":{"id":303,"type":"article-journal","title":"Introducing subjectivities in language variation and change","container-title":"Acta Linguistica Hafniensia","page":"9-35","volume":"37","issue":"1","source":"www-tandfonline-com.sheffield.idm.oclc.org (Atypon)","abstract":"This volume is devoted both to the theoretical question of which roles subjective processes play in language variation and change (LVC), and to the many methodological questions raised by the study of these subjective processes. Obviously, to talk about ‘subjective’ processes implies that there are also ‘objective’ processes, and more generally it suggests that LVC should be studied in terms of a distinction between the ‘subjective’ and the ‘objective’. Such a distinction is not, however, what we normally meet within the literature, where the factors involved in LVC are commonly divided and grouped in terms like internal versus external, linguistic versus social versus (socio)psychological, macro versus micro, and not to forget, the tripartite division introduced by Labov in his summing up of his own life work: internal versus social versus cognitive (Labov 1994, 2001, forthcoming.).","DOI":"10.1080/03740463.2005.10416081","ISSN":"0374-0463","journalAbbreviation":"Acta Linguistica Hafniensia","author":[{"family":"Kristiansen","given":"Tore"},{"family":"Garrett","given":"Peter"},{"family":"Coupland","given":"Nikolas"}],"issued":{"date-parts":[["2005",1,1]]}}}],"schema":"https://github.com/citation-style-language/schema/raw/master/csl-citation.json"} </w:instrText>
      </w:r>
      <w:r w:rsidRPr="00CF31E0">
        <w:rPr>
          <w:lang w:eastAsia="zh-CN"/>
        </w:rPr>
        <w:fldChar w:fldCharType="separate"/>
      </w:r>
      <w:r w:rsidRPr="00CF31E0">
        <w:rPr>
          <w:noProof/>
          <w:lang w:eastAsia="zh-CN"/>
        </w:rPr>
        <w:t>(Kristiansen</w:t>
      </w:r>
      <w:r w:rsidR="002B6AA6" w:rsidRPr="00CF31E0">
        <w:rPr>
          <w:noProof/>
          <w:lang w:eastAsia="zh-CN"/>
        </w:rPr>
        <w:t xml:space="preserve"> et al., </w:t>
      </w:r>
      <w:r w:rsidRPr="00CF31E0">
        <w:rPr>
          <w:noProof/>
          <w:lang w:eastAsia="zh-CN"/>
        </w:rPr>
        <w:t>2005)</w:t>
      </w:r>
      <w:r w:rsidRPr="00CF31E0">
        <w:rPr>
          <w:lang w:eastAsia="zh-CN"/>
        </w:rPr>
        <w:fldChar w:fldCharType="end"/>
      </w:r>
      <w:r w:rsidRPr="00CF31E0">
        <w:rPr>
          <w:lang w:eastAsia="zh-CN"/>
        </w:rPr>
        <w:t>.</w:t>
      </w:r>
    </w:p>
    <w:p w14:paraId="1EFD43E2" w14:textId="355509AB" w:rsidR="00160CC4" w:rsidRPr="00CF31E0" w:rsidRDefault="00160CC4" w:rsidP="00603CB7">
      <w:pPr>
        <w:pStyle w:val="Paragraph"/>
        <w:rPr>
          <w:rFonts w:cs="Arial"/>
          <w:lang w:eastAsia="zh-CN"/>
        </w:rPr>
      </w:pPr>
      <w:r w:rsidRPr="00CF31E0">
        <w:rPr>
          <w:lang w:eastAsia="zh-CN"/>
        </w:rPr>
        <w:t xml:space="preserve">In the light of the previous discussion, I maintain that the conceptual approach is a powerful method to start with to reveal a broader picture of how language ideology might be bounded to certain groups. Following this, </w:t>
      </w:r>
      <w:r w:rsidRPr="00CF31E0">
        <w:rPr>
          <w:lang w:eastAsia="zh-CN"/>
        </w:rPr>
        <w:lastRenderedPageBreak/>
        <w:t xml:space="preserve">researchers can tap into more covert stereotypical assumptions by applying other types of indirect measures; see section </w:t>
      </w:r>
      <w:r w:rsidR="009B0A98" w:rsidRPr="00CF31E0">
        <w:rPr>
          <w:lang w:eastAsia="zh-CN"/>
        </w:rPr>
        <w:t>4</w:t>
      </w:r>
      <w:r w:rsidR="007828F4" w:rsidRPr="00CF31E0">
        <w:rPr>
          <w:lang w:eastAsia="zh-CN"/>
        </w:rPr>
        <w:t>.4.2.</w:t>
      </w:r>
      <w:r w:rsidRPr="00CF31E0">
        <w:rPr>
          <w:lang w:eastAsia="zh-CN"/>
        </w:rPr>
        <w:t xml:space="preserve"> Therefore, in the present study, I will use the conceptual approach for two reasons: first, to reveal a broader picture of how language ideology in the Hijaz region might affect Hijazi Saudi attitudes towards the dialects in Hijaz; and second, to reveal the evaluative dimensions behind the overt perceived stereotypical assumptions. For more details on how the dimensions will be uncovered, see section </w:t>
      </w:r>
      <w:r w:rsidR="009B0A98" w:rsidRPr="00CF31E0">
        <w:rPr>
          <w:lang w:eastAsia="zh-CN"/>
        </w:rPr>
        <w:t>4</w:t>
      </w:r>
      <w:r w:rsidR="007828F4" w:rsidRPr="00CF31E0">
        <w:rPr>
          <w:lang w:eastAsia="zh-CN"/>
        </w:rPr>
        <w:t>.7.3.</w:t>
      </w:r>
      <w:r w:rsidRPr="00CF31E0">
        <w:rPr>
          <w:lang w:eastAsia="zh-CN"/>
        </w:rPr>
        <w:t xml:space="preserve"> In the next section, I will discuss the other mode of presentation, which relies on </w:t>
      </w:r>
      <w:r w:rsidR="00EC7E12" w:rsidRPr="00CF31E0">
        <w:rPr>
          <w:lang w:eastAsia="zh-CN"/>
        </w:rPr>
        <w:t xml:space="preserve">varieties being </w:t>
      </w:r>
      <w:r w:rsidRPr="00CF31E0">
        <w:rPr>
          <w:lang w:eastAsia="zh-CN"/>
        </w:rPr>
        <w:t xml:space="preserve">vocally presented to participants. </w:t>
      </w:r>
    </w:p>
    <w:p w14:paraId="7521F9BC" w14:textId="77777777" w:rsidR="00160CC4" w:rsidRPr="00CF31E0" w:rsidRDefault="00160CC4" w:rsidP="00160CC4">
      <w:pPr>
        <w:spacing w:before="120" w:after="120" w:line="360" w:lineRule="auto"/>
        <w:jc w:val="both"/>
        <w:rPr>
          <w:rFonts w:eastAsia="Times New Roman"/>
          <w:color w:val="000000" w:themeColor="text1"/>
          <w:lang w:eastAsia="zh-CN"/>
        </w:rPr>
      </w:pPr>
    </w:p>
    <w:p w14:paraId="337689D3" w14:textId="099996ED" w:rsidR="00160CC4" w:rsidRPr="00CF31E0" w:rsidRDefault="009B0A98" w:rsidP="0061369D">
      <w:pPr>
        <w:pStyle w:val="Bhead"/>
      </w:pPr>
      <w:bookmarkStart w:id="209" w:name="_Toc509646847"/>
      <w:bookmarkStart w:id="210" w:name="_Toc510004009"/>
      <w:bookmarkStart w:id="211" w:name="_Toc510025764"/>
      <w:bookmarkStart w:id="212" w:name="_Toc6472653"/>
      <w:r w:rsidRPr="00CF31E0">
        <w:t>4</w:t>
      </w:r>
      <w:r w:rsidR="00853058" w:rsidRPr="00CF31E0">
        <w:t>.5.2.</w:t>
      </w:r>
      <w:r w:rsidR="00853058" w:rsidRPr="00CF31E0">
        <w:tab/>
      </w:r>
      <w:r w:rsidR="00160CC4" w:rsidRPr="00CF31E0">
        <w:t>Vocally presented approach; socio</w:t>
      </w:r>
      <w:r w:rsidR="005D0894" w:rsidRPr="00CF31E0">
        <w:t>-phonetic</w:t>
      </w:r>
      <w:r w:rsidR="00160CC4" w:rsidRPr="00CF31E0">
        <w:t xml:space="preserve"> research</w:t>
      </w:r>
      <w:bookmarkEnd w:id="209"/>
      <w:bookmarkEnd w:id="210"/>
      <w:bookmarkEnd w:id="211"/>
      <w:bookmarkEnd w:id="212"/>
    </w:p>
    <w:p w14:paraId="6592261D" w14:textId="7BE91147" w:rsidR="00160CC4" w:rsidRPr="00CF31E0" w:rsidRDefault="00160CC4" w:rsidP="00603CB7">
      <w:pPr>
        <w:pStyle w:val="Paragraph"/>
        <w:rPr>
          <w:lang w:eastAsia="zh-CN"/>
        </w:rPr>
      </w:pPr>
      <w:r w:rsidRPr="00CF31E0">
        <w:rPr>
          <w:lang w:eastAsia="zh-CN"/>
        </w:rPr>
        <w:t>The main mode of presentation in vocally presented studies is presenting real voice samples to participants via recordings. The voice samples can be presented through the matched-guise technique or its variant, the verbal</w:t>
      </w:r>
      <w:r w:rsidR="005D0894" w:rsidRPr="00CF31E0">
        <w:rPr>
          <w:lang w:eastAsia="zh-CN"/>
        </w:rPr>
        <w:t>-guise</w:t>
      </w:r>
      <w:r w:rsidRPr="00CF31E0">
        <w:rPr>
          <w:lang w:eastAsia="zh-CN"/>
        </w:rPr>
        <w:t xml:space="preserve"> technique, as discussed earlier in section </w:t>
      </w:r>
      <w:r w:rsidR="009B0A98" w:rsidRPr="00CF31E0">
        <w:rPr>
          <w:lang w:eastAsia="zh-CN"/>
        </w:rPr>
        <w:t>4</w:t>
      </w:r>
      <w:r w:rsidR="007828F4" w:rsidRPr="00CF31E0">
        <w:rPr>
          <w:lang w:eastAsia="zh-CN"/>
        </w:rPr>
        <w:t>.4.2</w:t>
      </w:r>
      <w:r w:rsidRPr="00CF31E0">
        <w:rPr>
          <w:lang w:eastAsia="zh-CN"/>
        </w:rPr>
        <w:t xml:space="preserve">. The main purpose of the aforementioned techniques is to rate the voice sample against predetermined labels within a scale. The findings from the scale ratings can then be generalized to the regional variety or the language the speaker is presenting. </w:t>
      </w:r>
    </w:p>
    <w:p w14:paraId="32CD04CC" w14:textId="25D13D61" w:rsidR="00160CC4" w:rsidRPr="00CF31E0" w:rsidRDefault="00160CC4" w:rsidP="00603CB7">
      <w:pPr>
        <w:pStyle w:val="Paragraph"/>
        <w:rPr>
          <w:lang w:eastAsia="zh-CN"/>
        </w:rPr>
      </w:pPr>
      <w:r w:rsidRPr="00CF31E0">
        <w:rPr>
          <w:lang w:eastAsia="zh-CN"/>
        </w:rPr>
        <w:t xml:space="preserve">It is important to note that both of these techniques have their advantages; for example, they allow researchers to perform necessary assessments of opinions of language based on such variables as status and social attractiveness </w:t>
      </w:r>
      <w:r w:rsidRPr="00CF31E0">
        <w:rPr>
          <w:lang w:eastAsia="zh-CN"/>
        </w:rPr>
        <w:fldChar w:fldCharType="begin"/>
      </w:r>
      <w:r w:rsidR="00CD34CA" w:rsidRPr="00CF31E0">
        <w:rPr>
          <w:lang w:eastAsia="zh-CN"/>
        </w:rPr>
        <w:instrText xml:space="preserve"> ADDIN ZOTERO_ITEM CSL_CITATION {"citationID":"ib1AiqvB","properties":{"formattedCitation":"(Garrett, 2010, p. 57)","plainCitation":"(Garrett, 2010, p. 57)","noteIndex":0},"citationItems":[{"id":29,"uris":["http://zotero.org/users/1939618/items/NF3PAHT2"],"uri":["http://zotero.org/users/1939618/items/NF3PAHT2"],"itemData":{"id":29,"type":"book","title":"Attitudes to Language","publisher":"Cambridge University Press","publisher-place":"New York, NY","number-of-pages":"269","source":"Google Books","event-place":"New York, NY","abstract":"Just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behaviour.","ISBN":"978-1-139-48682-8","language":"en","author":[{"family":"Garrett","given":"Peter"}],"issued":{"date-parts":[["2010",4,8]]}},"locator":"57","label":"page"}],"schema":"https://github.com/citation-style-language/schema/raw/master/csl-citation.json"} </w:instrText>
      </w:r>
      <w:r w:rsidRPr="00CF31E0">
        <w:rPr>
          <w:lang w:eastAsia="zh-CN"/>
        </w:rPr>
        <w:fldChar w:fldCharType="separate"/>
      </w:r>
      <w:r w:rsidRPr="00CF31E0">
        <w:rPr>
          <w:lang w:eastAsia="zh-CN"/>
        </w:rPr>
        <w:t>(Garrett, 2010, p. 57)</w:t>
      </w:r>
      <w:r w:rsidRPr="00CF31E0">
        <w:rPr>
          <w:lang w:eastAsia="zh-CN"/>
        </w:rPr>
        <w:fldChar w:fldCharType="end"/>
      </w:r>
      <w:r w:rsidRPr="00CF31E0">
        <w:rPr>
          <w:lang w:eastAsia="zh-CN"/>
        </w:rPr>
        <w:t xml:space="preserve">. As a result, researchers can infer causes of language variation and change. Second, they have helped researchers to study the correlation between “socio-linguistics and social psychology of language” </w:t>
      </w:r>
      <w:r w:rsidRPr="00CF31E0">
        <w:rPr>
          <w:lang w:eastAsia="zh-CN"/>
        </w:rPr>
        <w:fldChar w:fldCharType="begin"/>
      </w:r>
      <w:r w:rsidR="00CD34CA" w:rsidRPr="00CF31E0">
        <w:rPr>
          <w:lang w:eastAsia="zh-CN"/>
        </w:rPr>
        <w:instrText xml:space="preserve"> ADDIN ZOTERO_ITEM CSL_CITATION {"citationID":"PaStZOCv","properties":{"formattedCitation":"(Garrett, 2010, p. 57)","plainCitation":"(Garrett, 2010, p. 57)","noteIndex":0},"citationItems":[{"id":29,"uris":["http://zotero.org/users/1939618/items/NF3PAHT2"],"uri":["http://zotero.org/users/1939618/items/NF3PAHT2"],"itemData":{"id":29,"type":"book","title":"Attitudes to Language","publisher":"Cambridge University Press","publisher-place":"New York, NY","number-of-pages":"269","source":"Google Books","event-place":"New York, NY","abstract":"Just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behaviour.","ISBN":"978-1-139-48682-8","language":"en","author":[{"family":"Garrett","given":"Peter"}],"issued":{"date-parts":[["2010",4,8]]}},"locator":"57","label":"page"}],"schema":"https://github.com/citation-style-language/schema/raw/master/csl-citation.json"} </w:instrText>
      </w:r>
      <w:r w:rsidRPr="00CF31E0">
        <w:rPr>
          <w:lang w:eastAsia="zh-CN"/>
        </w:rPr>
        <w:fldChar w:fldCharType="separate"/>
      </w:r>
      <w:r w:rsidRPr="00CF31E0">
        <w:rPr>
          <w:lang w:eastAsia="zh-CN"/>
        </w:rPr>
        <w:t>(Garrett, 2010, p. 57)</w:t>
      </w:r>
      <w:r w:rsidRPr="00CF31E0">
        <w:rPr>
          <w:lang w:eastAsia="zh-CN"/>
        </w:rPr>
        <w:fldChar w:fldCharType="end"/>
      </w:r>
      <w:r w:rsidRPr="00CF31E0">
        <w:rPr>
          <w:lang w:eastAsia="zh-CN"/>
        </w:rPr>
        <w:t xml:space="preserve">. Understanding of such correlations would benefit researchers in revealing stereotypical assumptions in language attitudes. </w:t>
      </w:r>
    </w:p>
    <w:p w14:paraId="7E3DCCEA" w14:textId="2101C5AD" w:rsidR="00160CC4" w:rsidRPr="00CF31E0" w:rsidRDefault="00160CC4" w:rsidP="00603CB7">
      <w:pPr>
        <w:pStyle w:val="Paragraph"/>
        <w:rPr>
          <w:rFonts w:cs="Arial"/>
          <w:lang w:eastAsia="zh-CN"/>
        </w:rPr>
      </w:pPr>
      <w:r w:rsidRPr="00CF31E0">
        <w:rPr>
          <w:lang w:eastAsia="zh-CN"/>
        </w:rPr>
        <w:lastRenderedPageBreak/>
        <w:t>As with any other research methods, potential limitations can be found in the matched-guise and verbal-guise techniques. Thus, both the matched</w:t>
      </w:r>
      <w:r w:rsidR="00C86BDA" w:rsidRPr="00CF31E0">
        <w:rPr>
          <w:lang w:eastAsia="zh-CN"/>
        </w:rPr>
        <w:t>-guise</w:t>
      </w:r>
      <w:r w:rsidRPr="00CF31E0">
        <w:rPr>
          <w:lang w:eastAsia="zh-CN"/>
        </w:rPr>
        <w:t xml:space="preserve"> and the </w:t>
      </w:r>
      <w:r w:rsidR="00C86BDA" w:rsidRPr="00CF31E0">
        <w:rPr>
          <w:lang w:eastAsia="zh-CN"/>
        </w:rPr>
        <w:t>verbal-</w:t>
      </w:r>
      <w:r w:rsidRPr="00CF31E0">
        <w:rPr>
          <w:lang w:eastAsia="zh-CN"/>
        </w:rPr>
        <w:t xml:space="preserve">guise technique also have flaws. Two of the most problematic issues associated with the matched-guise technique are that, first, it is difficult to find a speaker who can imitate another accent in a very realistic way </w:t>
      </w:r>
      <w:r w:rsidRPr="00CF31E0">
        <w:rPr>
          <w:lang w:eastAsia="zh-CN"/>
        </w:rPr>
        <w:fldChar w:fldCharType="begin"/>
      </w:r>
      <w:r w:rsidR="00CD34CA" w:rsidRPr="00CF31E0">
        <w:rPr>
          <w:lang w:eastAsia="zh-CN"/>
        </w:rPr>
        <w:instrText xml:space="preserve"> ADDIN ZOTERO_ITEM CSL_CITATION {"citationID":"a1pdbm8mro7","properties":{"formattedCitation":"(Labov, 1972; Preston, 1999a)","plainCitation":"(Labov, 1972; Preston, 1999a)","dontUpdate":true,"noteIndex":0},"citationItems":[{"id":233,"uris":["http://zotero.org/users/1939618/items/2GMT5P85"],"uri":["http://zotero.org/users/1939618/items/2GMT5P85"],"itemData":{"id":233,"type":"book","title":"Sociolinguistic patterns","collection-number":"4","publisher":"University of Pennsylvania Press","publisher-place":"Philadelphia","source":"Google Scholar","event-place":"Philadelphia","URL":"https://books.google.co.uk/books?hl=en&amp;lr=&amp;id=hD0PNMu8CfQC&amp;oi=fnd&amp;pg=PR10&amp;dq=sociolinguistic+patterns,+william+labov&amp;ots=1e6cvbmkz0&amp;sig=KYWYRdrH3Vnc8s7ge-9XCfKT9jc","author":[{"family":"Labov","given":"William"}],"issued":{"date-parts":[["1972"]]},"accessed":{"date-parts":[["2017",5,17]]}},"label":"page"},{"id":240,"uris":["http://zotero.org/users/1939618/items/TF8GPXHH"],"uri":["http://zotero.org/users/1939618/items/TF8GPXHH"],"itemData":{"id":240,"type":"chapter","title":"A language attitude approach to the perception of regional variety","container-title":"Handbook of perceptual dialectology","page":"359–374","volume":"1","source":"Google Scholar","author":[{"family":"Preston","given":"Dennis R."}],"issued":{"date-parts":[["1999"]]}},"label":"page"}],"schema":"https://github.com/citation-style-language/schema/raw/master/csl-citation.json"} </w:instrText>
      </w:r>
      <w:r w:rsidRPr="00CF31E0">
        <w:rPr>
          <w:lang w:eastAsia="zh-CN"/>
        </w:rPr>
        <w:fldChar w:fldCharType="separate"/>
      </w:r>
      <w:r w:rsidRPr="00CF31E0">
        <w:rPr>
          <w:noProof/>
          <w:lang w:eastAsia="zh-CN"/>
        </w:rPr>
        <w:t>(Labov, 1972;</w:t>
      </w:r>
      <w:r w:rsidRPr="00CF31E0">
        <w:rPr>
          <w:lang w:eastAsia="zh-CN"/>
        </w:rPr>
        <w:t xml:space="preserve"> Preston, 1996</w:t>
      </w:r>
      <w:r w:rsidRPr="00CF31E0">
        <w:rPr>
          <w:noProof/>
          <w:lang w:eastAsia="zh-CN"/>
        </w:rPr>
        <w:t>)</w:t>
      </w:r>
      <w:r w:rsidRPr="00CF31E0">
        <w:rPr>
          <w:lang w:eastAsia="zh-CN"/>
        </w:rPr>
        <w:fldChar w:fldCharType="end"/>
      </w:r>
      <w:r w:rsidRPr="00CF31E0">
        <w:rPr>
          <w:lang w:eastAsia="zh-CN"/>
        </w:rPr>
        <w:t xml:space="preserve">. Second, providing voice samples to participants and asking them to rate them does not guarantee that the participants cognitively recognize where the voice sample comes from </w:t>
      </w:r>
      <w:r w:rsidRPr="00CF31E0">
        <w:rPr>
          <w:lang w:eastAsia="zh-CN"/>
        </w:rPr>
        <w:fldChar w:fldCharType="begin"/>
      </w:r>
      <w:r w:rsidRPr="00CF31E0">
        <w:rPr>
          <w:lang w:eastAsia="zh-CN"/>
        </w:rPr>
        <w:instrText xml:space="preserve"> ADDIN ZOTERO_ITEM CSL_CITATION {"citationID":"ESYGCEzT","properties":{"formattedCitation":"(Kristiansen et al., 2005)","plainCitation":"(Kristiansen et al., 2005)","noteIndex":0},"citationItems":[{"id":303,"uris":["http://zotero.org/users/1939618/items/C4CULAJ5"],"uri":["http://zotero.org/users/1939618/items/C4CULAJ5"],"itemData":{"id":303,"type":"article-journal","title":"Introducing subjectivities in language variation and change","container-title":"Acta Linguistica Hafniensia","page":"9-35","volume":"37","issue":"1","source":"www-tandfonline-com.sheffield.idm.oclc.org (Atypon)","abstract":"This volume is devoted both to the theoretical question of which roles subjective processes play in language variation and change (LVC), and to the many methodological questions raised by the study of these subjective processes. Obviously, to talk about ‘subjective’ processes implies that there are also ‘objective’ processes, and more generally it suggests that LVC should be studied in terms of a distinction between the ‘subjective’ and the ‘objective’. Such a distinction is not, however, what we normally meet within the literature, where the factors involved in LVC are commonly divided and grouped in terms like internal versus external, linguistic versus social versus (socio)psychological, macro versus micro, and not to forget, the tripartite division introduced by Labov in his summing up of his own life work: internal versus social versus cognitive (Labov 1994, 2001, forthcoming.).","DOI":"10.1080/03740463.2005.10416081","ISSN":"0374-0463","journalAbbreviation":"Acta Linguistica Hafniensia","author":[{"family":"Kristiansen","given":"Tore"},{"family":"Garrett","given":"Peter"},{"family":"Coupland","given":"Nikolas"}],"issued":{"date-parts":[["2005",1,1]]}}}],"schema":"https://github.com/citation-style-language/schema/raw/master/csl-citation.json"} </w:instrText>
      </w:r>
      <w:r w:rsidRPr="00CF31E0">
        <w:rPr>
          <w:lang w:eastAsia="zh-CN"/>
        </w:rPr>
        <w:fldChar w:fldCharType="separate"/>
      </w:r>
      <w:r w:rsidRPr="00CF31E0">
        <w:rPr>
          <w:noProof/>
          <w:lang w:eastAsia="zh-CN"/>
        </w:rPr>
        <w:t>(Kristiansen et al., 2005)</w:t>
      </w:r>
      <w:r w:rsidRPr="00CF31E0">
        <w:rPr>
          <w:lang w:eastAsia="zh-CN"/>
        </w:rPr>
        <w:fldChar w:fldCharType="end"/>
      </w:r>
      <w:r w:rsidRPr="00CF31E0">
        <w:rPr>
          <w:lang w:eastAsia="zh-CN"/>
        </w:rPr>
        <w:t xml:space="preserve">; this means that if the researcher assumes that a certain voice sample represents a certain place or region, this might not be the case with the participants as they may assume a different origin for the voice sample </w:t>
      </w:r>
      <w:r w:rsidRPr="00CF31E0">
        <w:rPr>
          <w:rFonts w:cs="Arial"/>
          <w:lang w:eastAsia="zh-CN"/>
        </w:rPr>
        <w:fldChar w:fldCharType="begin"/>
      </w:r>
      <w:r w:rsidR="00CD34CA" w:rsidRPr="00CF31E0">
        <w:rPr>
          <w:rFonts w:cs="Arial"/>
          <w:lang w:eastAsia="zh-CN"/>
        </w:rPr>
        <w:instrText xml:space="preserve"> ADDIN ZOTERO_ITEM CSL_CITATION {"citationID":"a7l22l3a7k","properties":{"formattedCitation":"(Dennis R. Preston, 1989)","plainCitation":"(Dennis R. Preston, 1989)","dontUpdate":true,"noteIndex":0},"citationItems":[{"id":82,"uris":["http://zotero.org/users/1939618/items/8DJA6BF7"],"uri":["http://zotero.org/users/1939618/items/8DJA6BF7"],"itemData":{"id":82,"type":"book","title":"Perceptual dialectology: Nonlinguists' views of areal linguistics","publisher":"Foris publications","publisher-place":"Dordrecht","volume":"7","source":"Google Scholar","event-place":"Dordrecht","URL":"http://books.google.co.uk/books?hl=en&amp;lr=&amp;id=MhNDqFKOYEEC&amp;oi=fnd&amp;pg=PR9&amp;dq=perceptual+dialectology,+preston+1989&amp;ots=2ZVUHfkq0b&amp;sig=pZVqHHmVNbsvYFvtHizoZYgrvcg","shortTitle":"Perceptual dialectology","author":[{"family":"Preston","given":"Dennis R."}],"issued":{"date-parts":[["1989"]]},"accessed":{"date-parts":[["2014",11,18]]}}}],"schema":"https://github.com/citation-style-language/schema/raw/master/csl-citation.json"} </w:instrText>
      </w:r>
      <w:r w:rsidRPr="00CF31E0">
        <w:rPr>
          <w:rFonts w:cs="Arial"/>
          <w:lang w:eastAsia="zh-CN"/>
        </w:rPr>
        <w:fldChar w:fldCharType="separate"/>
      </w:r>
      <w:r w:rsidRPr="00CF31E0">
        <w:rPr>
          <w:rFonts w:cs="Arial"/>
          <w:noProof/>
          <w:lang w:eastAsia="zh-CN"/>
        </w:rPr>
        <w:t>(Preston, 1989)</w:t>
      </w:r>
      <w:r w:rsidRPr="00CF31E0">
        <w:rPr>
          <w:rFonts w:cs="Arial"/>
          <w:lang w:eastAsia="zh-CN"/>
        </w:rPr>
        <w:fldChar w:fldCharType="end"/>
      </w:r>
      <w:r w:rsidRPr="00CF31E0">
        <w:rPr>
          <w:rFonts w:cs="Arial"/>
          <w:lang w:eastAsia="zh-CN"/>
        </w:rPr>
        <w:t xml:space="preserve">. </w:t>
      </w:r>
      <w:r w:rsidRPr="00CF31E0">
        <w:rPr>
          <w:lang w:eastAsia="zh-CN"/>
        </w:rPr>
        <w:t xml:space="preserve">Third, inauthentic accents may lead to inaccurate exemplification </w:t>
      </w:r>
      <w:r w:rsidRPr="00CF31E0">
        <w:rPr>
          <w:lang w:eastAsia="zh-CN"/>
        </w:rPr>
        <w:fldChar w:fldCharType="begin"/>
      </w:r>
      <w:r w:rsidR="00CD34CA" w:rsidRPr="00CF31E0">
        <w:rPr>
          <w:lang w:eastAsia="zh-CN"/>
        </w:rPr>
        <w:instrText xml:space="preserve"> ADDIN ZOTERO_ITEM CSL_CITATION {"citationID":"f3n3r8amf","properties":{"formattedCitation":"(Garrett, 2010; Dennis R. Preston, 1996)","plainCitation":"(Garrett, 2010; Dennis R. Preston, 1996)","noteIndex":0},"citationItems":[{"id":29,"uris":["http://zotero.org/users/1939618/items/NF3PAHT2"],"uri":["http://zotero.org/users/1939618/items/NF3PAHT2"],"itemData":{"id":29,"type":"book","title":"Attitudes to Language","publisher":"Cambridge University Press","publisher-place":"New York, NY","number-of-pages":"269","source":"Google Books","event-place":"New York, NY","abstract":"Just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label":"page"},{"id":32,"uris":["http://zotero.org/users/1939618/items/MXFQGBE4"],"uri":["http://zotero.org/users/1939618/items/MXFQGBE4"],"itemData":{"id":32,"type":"article-journal","title":"Whaddayaknow?: The modes of folk linguistic awareness 1","container-title":"Language awareness","page":"40–74","volume":"5","issue":"1","source":"Google Scholar","shortTitle":"Whaddayaknow?","author":[{"family":"Preston","given":"Dennis R."}],"issued":{"date-parts":[["1996"]]}},"label":"page"}],"schema":"https://github.com/citation-style-language/schema/raw/master/csl-citation.json"} </w:instrText>
      </w:r>
      <w:r w:rsidRPr="00CF31E0">
        <w:rPr>
          <w:lang w:eastAsia="zh-CN"/>
        </w:rPr>
        <w:fldChar w:fldCharType="separate"/>
      </w:r>
      <w:r w:rsidR="00CD34CA" w:rsidRPr="00CF31E0">
        <w:rPr>
          <w:lang w:eastAsia="zh-CN"/>
        </w:rPr>
        <w:t>(Garrett, 2010; Dennis R. Preston, 1996)</w:t>
      </w:r>
      <w:r w:rsidRPr="00CF31E0">
        <w:rPr>
          <w:lang w:eastAsia="zh-CN"/>
        </w:rPr>
        <w:fldChar w:fldCharType="end"/>
      </w:r>
      <w:r w:rsidRPr="00CF31E0">
        <w:rPr>
          <w:lang w:eastAsia="zh-CN"/>
        </w:rPr>
        <w:t>. On the other hand, use of the verbal</w:t>
      </w:r>
      <w:r w:rsidR="005D0894" w:rsidRPr="00CF31E0">
        <w:rPr>
          <w:lang w:eastAsia="zh-CN"/>
        </w:rPr>
        <w:t>-guise</w:t>
      </w:r>
      <w:r w:rsidRPr="00CF31E0">
        <w:rPr>
          <w:lang w:eastAsia="zh-CN"/>
        </w:rPr>
        <w:t xml:space="preserve"> technique is not always feasible because it is not easy to find a speaker who uses the dialect that people en</w:t>
      </w:r>
      <w:r w:rsidR="00FF5758" w:rsidRPr="00CF31E0">
        <w:rPr>
          <w:lang w:eastAsia="zh-CN"/>
        </w:rPr>
        <w:t>count</w:t>
      </w:r>
      <w:r w:rsidRPr="00CF31E0">
        <w:rPr>
          <w:lang w:eastAsia="zh-CN"/>
        </w:rPr>
        <w:t xml:space="preserve">er in their daily lives </w:t>
      </w:r>
      <w:r w:rsidRPr="00CF31E0">
        <w:rPr>
          <w:lang w:eastAsia="zh-CN"/>
        </w:rPr>
        <w:fldChar w:fldCharType="begin"/>
      </w:r>
      <w:r w:rsidR="00CD34CA" w:rsidRPr="00CF31E0">
        <w:rPr>
          <w:lang w:eastAsia="zh-CN"/>
        </w:rPr>
        <w:instrText xml:space="preserve"> ADDIN ZOTERO_ITEM CSL_CITATION {"citationID":"beO4ZKCj","properties":{"formattedCitation":"(Garrett, 2010, p. 58)","plainCitation":"(Garrett, 2010, p. 58)","noteIndex":0},"citationItems":[{"id":29,"uris":["http://zotero.org/users/1939618/items/NF3PAHT2"],"uri":["http://zotero.org/users/1939618/items/NF3PAHT2"],"itemData":{"id":29,"type":"book","title":"Attitudes to Language","publisher":"Cambridge University Press","publisher-place":"New York, NY","number-of-pages":"269","source":"Google Books","event-place":"New York, NY","abstract":"Just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behaviour.","ISBN":"978-1-139-48682-8","language":"en","author":[{"family":"Garrett","given":"Peter"}],"issued":{"date-parts":[["2010",4,8]]}},"locator":"58","label":"page"}],"schema":"https://github.com/citation-style-language/schema/raw/master/csl-citation.json"} </w:instrText>
      </w:r>
      <w:r w:rsidRPr="00CF31E0">
        <w:rPr>
          <w:lang w:eastAsia="zh-CN"/>
        </w:rPr>
        <w:fldChar w:fldCharType="separate"/>
      </w:r>
      <w:r w:rsidRPr="00CF31E0">
        <w:rPr>
          <w:lang w:eastAsia="zh-CN"/>
        </w:rPr>
        <w:t>(Garrett, 2010, p. 58)</w:t>
      </w:r>
      <w:r w:rsidRPr="00CF31E0">
        <w:rPr>
          <w:lang w:eastAsia="zh-CN"/>
        </w:rPr>
        <w:fldChar w:fldCharType="end"/>
      </w:r>
      <w:r w:rsidRPr="00CF31E0">
        <w:rPr>
          <w:lang w:eastAsia="zh-CN"/>
        </w:rPr>
        <w:t xml:space="preserve">. </w:t>
      </w:r>
    </w:p>
    <w:p w14:paraId="23EB1FCD" w14:textId="7A473114" w:rsidR="00160CC4" w:rsidRPr="00CF31E0" w:rsidRDefault="00160CC4" w:rsidP="00101CE3">
      <w:pPr>
        <w:pStyle w:val="Paragraph"/>
        <w:rPr>
          <w:lang w:eastAsia="zh-CN"/>
        </w:rPr>
      </w:pPr>
      <w:r w:rsidRPr="00CF31E0">
        <w:rPr>
          <w:lang w:eastAsia="zh-CN"/>
        </w:rPr>
        <w:t xml:space="preserve">The matched-guise technique and its variant might be powerful methods to tap into covert stereotypes </w:t>
      </w:r>
      <w:r w:rsidRPr="00CF31E0">
        <w:rPr>
          <w:lang w:eastAsia="zh-CN"/>
        </w:rPr>
        <w:fldChar w:fldCharType="begin"/>
      </w:r>
      <w:r w:rsidR="00CD34CA" w:rsidRPr="00CF31E0">
        <w:rPr>
          <w:lang w:eastAsia="zh-CN"/>
        </w:rPr>
        <w:instrText xml:space="preserve"> ADDIN ZOTERO_ITEM CSL_CITATION {"citationID":"aapg3qo5ru","properties":{"formattedCitation":"(Ladegaard, 1998a)","plainCitation":"(Ladegaard, 1998a)","noteIndex":0},"citationItems":[{"id":235,"uris":["http://zotero.org/users/1939618/items/255XMBZ9"],"uri":["http://zotero.org/users/1939618/items/255XMBZ9"],"itemData":{"id":235,"type":"article-journal","title":"Assessing national stereotypes in language attitude studies: The case of class-consciousness in Denmark","container-title":"Journal of Multilingual and Multicultural Development","page":"182–198","volume":"19","issue":"3","source":"Google Scholar","shortTitle":"Assessing national stereotypes in language attitude studies","author":[{"family":"Ladegaard","given":"Hans J."}],"issued":{"date-parts":[["1998"]]}}}],"schema":"https://github.com/citation-style-language/schema/raw/master/csl-citation.json"} </w:instrText>
      </w:r>
      <w:r w:rsidRPr="00CF31E0">
        <w:rPr>
          <w:lang w:eastAsia="zh-CN"/>
        </w:rPr>
        <w:fldChar w:fldCharType="separate"/>
      </w:r>
      <w:r w:rsidR="00603709" w:rsidRPr="00CF31E0">
        <w:rPr>
          <w:lang w:eastAsia="zh-CN"/>
        </w:rPr>
        <w:t>(Ladegaard, 1998</w:t>
      </w:r>
      <w:r w:rsidR="00CD34CA" w:rsidRPr="00CF31E0">
        <w:rPr>
          <w:lang w:eastAsia="zh-CN"/>
        </w:rPr>
        <w:t>)</w:t>
      </w:r>
      <w:r w:rsidRPr="00CF31E0">
        <w:rPr>
          <w:lang w:eastAsia="zh-CN"/>
        </w:rPr>
        <w:fldChar w:fldCharType="end"/>
      </w:r>
      <w:r w:rsidRPr="00CF31E0">
        <w:rPr>
          <w:lang w:eastAsia="zh-CN"/>
        </w:rPr>
        <w:t>. In the present study, in order to reveal such unconscious attitudes, I will incorporate the use of the verbal</w:t>
      </w:r>
      <w:r w:rsidR="005D0894" w:rsidRPr="00CF31E0">
        <w:rPr>
          <w:lang w:eastAsia="zh-CN"/>
        </w:rPr>
        <w:t>-guise</w:t>
      </w:r>
      <w:r w:rsidRPr="00CF31E0">
        <w:rPr>
          <w:lang w:eastAsia="zh-CN"/>
        </w:rPr>
        <w:t xml:space="preserve"> technique with the matched-guise technique, focusing on their power to reveal how eval</w:t>
      </w:r>
      <w:r w:rsidR="00E509D3" w:rsidRPr="00CF31E0">
        <w:rPr>
          <w:lang w:eastAsia="zh-CN"/>
        </w:rPr>
        <w:t>uative profile</w:t>
      </w:r>
      <w:r w:rsidRPr="00CF31E0">
        <w:rPr>
          <w:lang w:eastAsia="zh-CN"/>
        </w:rPr>
        <w:t>s are assessed when participants are exposed to voice samples. The matched</w:t>
      </w:r>
      <w:r w:rsidR="00C86BDA" w:rsidRPr="00CF31E0">
        <w:rPr>
          <w:lang w:eastAsia="zh-CN"/>
        </w:rPr>
        <w:t>-guise</w:t>
      </w:r>
      <w:r w:rsidRPr="00CF31E0">
        <w:rPr>
          <w:lang w:eastAsia="zh-CN"/>
        </w:rPr>
        <w:t xml:space="preserve"> technique and its variant are criticized by </w:t>
      </w:r>
      <w:r w:rsidRPr="00CF31E0">
        <w:rPr>
          <w:lang w:eastAsia="zh-CN"/>
        </w:rPr>
        <w:fldChar w:fldCharType="begin"/>
      </w:r>
      <w:r w:rsidR="00CD34CA" w:rsidRPr="00CF31E0">
        <w:rPr>
          <w:lang w:eastAsia="zh-CN"/>
        </w:rPr>
        <w:instrText xml:space="preserve"> ADDIN ZOTERO_ITEM CSL_CITATION {"citationID":"ORjHl1md","properties":{"formattedCitation":"(Preston, 1989a)","plainCitation":"(Preston, 1989a)","dontUpdate":true,"noteIndex":0},"citationItems":[{"id":82,"uris":["http://zotero.org/users/1939618/items/8DJA6BF7"],"uri":["http://zotero.org/users/1939618/items/8DJA6BF7"],"itemData":{"id":82,"type":"book","title":"Perceptual dialectology: Nonlinguists' views of areal linguistics","publisher":"Foris publications","publisher-place":"Dordrecht","volume":"7","source":"Google Scholar","event-place":"Dordrecht","URL":"http://books.google.co.uk/books?hl=en&amp;lr=&amp;id=MhNDqFKOYEEC&amp;oi=fnd&amp;pg=PR9&amp;dq=perceptual+dialectology,+preston+1989&amp;ots=2ZVUHfkq0b&amp;sig=pZVqHHmVNbsvYFvtHizoZYgrvcg","shortTitle":"Perceptual dialectology","author":[{"family":"Preston","given":"Dennis R."}],"issued":{"date-parts":[["1989"]]},"accessed":{"date-parts":[["2014",11,18]]}}}],"schema":"https://github.com/citation-style-language/schema/raw/master/csl-citation.json"} </w:instrText>
      </w:r>
      <w:r w:rsidRPr="00CF31E0">
        <w:rPr>
          <w:lang w:eastAsia="zh-CN"/>
        </w:rPr>
        <w:fldChar w:fldCharType="separate"/>
      </w:r>
      <w:r w:rsidR="00E509D3" w:rsidRPr="00CF31E0">
        <w:rPr>
          <w:noProof/>
          <w:lang w:eastAsia="zh-CN"/>
        </w:rPr>
        <w:t>Preston</w:t>
      </w:r>
      <w:r w:rsidR="00FB7059" w:rsidRPr="00CF31E0">
        <w:rPr>
          <w:noProof/>
          <w:lang w:eastAsia="zh-CN"/>
        </w:rPr>
        <w:t xml:space="preserve"> </w:t>
      </w:r>
      <w:r w:rsidR="00E509D3" w:rsidRPr="00CF31E0">
        <w:rPr>
          <w:noProof/>
          <w:lang w:eastAsia="zh-CN"/>
        </w:rPr>
        <w:t>(</w:t>
      </w:r>
      <w:r w:rsidR="00FB7059" w:rsidRPr="00CF31E0">
        <w:rPr>
          <w:noProof/>
          <w:lang w:eastAsia="zh-CN"/>
        </w:rPr>
        <w:t>1989</w:t>
      </w:r>
      <w:r w:rsidRPr="00CF31E0">
        <w:rPr>
          <w:noProof/>
          <w:lang w:eastAsia="zh-CN"/>
        </w:rPr>
        <w:t>)</w:t>
      </w:r>
      <w:r w:rsidRPr="00CF31E0">
        <w:rPr>
          <w:lang w:eastAsia="zh-CN"/>
        </w:rPr>
        <w:fldChar w:fldCharType="end"/>
      </w:r>
      <w:r w:rsidRPr="00CF31E0">
        <w:rPr>
          <w:lang w:eastAsia="zh-CN"/>
        </w:rPr>
        <w:t xml:space="preserve"> due to their lack of contextualization. In other words, Preston claims that it is not guaranteed that respondents </w:t>
      </w:r>
      <w:r w:rsidR="00C052C4" w:rsidRPr="00CF31E0">
        <w:rPr>
          <w:lang w:eastAsia="zh-CN"/>
        </w:rPr>
        <w:t xml:space="preserve">will </w:t>
      </w:r>
      <w:r w:rsidRPr="00CF31E0">
        <w:rPr>
          <w:lang w:eastAsia="zh-CN"/>
        </w:rPr>
        <w:t xml:space="preserve">rate the same dialect the researcher </w:t>
      </w:r>
      <w:r w:rsidR="00C052C4" w:rsidRPr="00CF31E0">
        <w:rPr>
          <w:lang w:eastAsia="zh-CN"/>
        </w:rPr>
        <w:t xml:space="preserve">has </w:t>
      </w:r>
      <w:r w:rsidRPr="00CF31E0">
        <w:rPr>
          <w:lang w:eastAsia="zh-CN"/>
        </w:rPr>
        <w:t>questioned them about</w:t>
      </w:r>
      <w:r w:rsidR="00C052C4" w:rsidRPr="00CF31E0">
        <w:rPr>
          <w:lang w:eastAsia="zh-CN"/>
        </w:rPr>
        <w:t>. T</w:t>
      </w:r>
      <w:r w:rsidRPr="00CF31E0">
        <w:rPr>
          <w:lang w:eastAsia="zh-CN"/>
        </w:rPr>
        <w:t xml:space="preserve">herefore, </w:t>
      </w:r>
      <w:r w:rsidR="00C052C4" w:rsidRPr="00CF31E0">
        <w:rPr>
          <w:lang w:eastAsia="zh-CN"/>
        </w:rPr>
        <w:t xml:space="preserve">he </w:t>
      </w:r>
      <w:r w:rsidRPr="00CF31E0">
        <w:rPr>
          <w:lang w:eastAsia="zh-CN"/>
        </w:rPr>
        <w:t xml:space="preserve">argues that </w:t>
      </w:r>
      <w:r w:rsidR="00C052C4" w:rsidRPr="00CF31E0">
        <w:rPr>
          <w:lang w:eastAsia="zh-CN"/>
        </w:rPr>
        <w:t xml:space="preserve">the task should be contextualized </w:t>
      </w:r>
      <w:r w:rsidRPr="00CF31E0">
        <w:rPr>
          <w:lang w:eastAsia="zh-CN"/>
        </w:rPr>
        <w:t xml:space="preserve">by asking participants where they think the voice sample comes from, which </w:t>
      </w:r>
      <w:r w:rsidR="00C052C4" w:rsidRPr="00CF31E0">
        <w:rPr>
          <w:lang w:eastAsia="zh-CN"/>
        </w:rPr>
        <w:t xml:space="preserve">will </w:t>
      </w:r>
      <w:r w:rsidRPr="00CF31E0">
        <w:rPr>
          <w:lang w:eastAsia="zh-CN"/>
        </w:rPr>
        <w:t xml:space="preserve">allow the researcher to </w:t>
      </w:r>
      <w:r w:rsidR="00C052C4" w:rsidRPr="00CF31E0">
        <w:rPr>
          <w:lang w:eastAsia="zh-CN"/>
        </w:rPr>
        <w:t xml:space="preserve">ascertain whether </w:t>
      </w:r>
      <w:r w:rsidRPr="00CF31E0">
        <w:rPr>
          <w:lang w:eastAsia="zh-CN"/>
        </w:rPr>
        <w:t xml:space="preserve">participants cognitively recognize the same voice sample the researcher asked about. </w:t>
      </w:r>
      <w:r w:rsidR="00C052C4" w:rsidRPr="00CF31E0">
        <w:rPr>
          <w:lang w:eastAsia="zh-CN"/>
        </w:rPr>
        <w:t>I</w:t>
      </w:r>
      <w:r w:rsidRPr="00CF31E0">
        <w:rPr>
          <w:lang w:eastAsia="zh-CN"/>
        </w:rPr>
        <w:t xml:space="preserve">n the present study, I aim to overcome </w:t>
      </w:r>
      <w:r w:rsidR="00C052C4" w:rsidRPr="00CF31E0">
        <w:rPr>
          <w:lang w:eastAsia="zh-CN"/>
        </w:rPr>
        <w:t xml:space="preserve">the </w:t>
      </w:r>
      <w:r w:rsidRPr="00CF31E0">
        <w:rPr>
          <w:lang w:eastAsia="zh-CN"/>
        </w:rPr>
        <w:t>matched-guise technique and it</w:t>
      </w:r>
      <w:r w:rsidR="00C052C4" w:rsidRPr="00CF31E0">
        <w:rPr>
          <w:lang w:eastAsia="zh-CN"/>
        </w:rPr>
        <w:t>s</w:t>
      </w:r>
      <w:r w:rsidRPr="00CF31E0">
        <w:rPr>
          <w:lang w:eastAsia="zh-CN"/>
        </w:rPr>
        <w:t xml:space="preserve"> </w:t>
      </w:r>
      <w:r w:rsidR="00C052C4" w:rsidRPr="00CF31E0">
        <w:rPr>
          <w:lang w:eastAsia="zh-CN"/>
        </w:rPr>
        <w:t>vari</w:t>
      </w:r>
      <w:r w:rsidR="00101CE3">
        <w:rPr>
          <w:lang w:eastAsia="zh-CN"/>
        </w:rPr>
        <w:t>a</w:t>
      </w:r>
      <w:r w:rsidR="00C87E02">
        <w:rPr>
          <w:lang w:eastAsia="zh-CN"/>
        </w:rPr>
        <w:t>nt</w:t>
      </w:r>
      <w:r w:rsidR="00C052C4" w:rsidRPr="00CF31E0">
        <w:rPr>
          <w:lang w:eastAsia="zh-CN"/>
        </w:rPr>
        <w:t xml:space="preserve"> </w:t>
      </w:r>
      <w:r w:rsidRPr="00CF31E0">
        <w:rPr>
          <w:lang w:eastAsia="zh-CN"/>
        </w:rPr>
        <w:t>limitation</w:t>
      </w:r>
      <w:r w:rsidR="00C052C4" w:rsidRPr="00CF31E0">
        <w:rPr>
          <w:lang w:eastAsia="zh-CN"/>
        </w:rPr>
        <w:t>s</w:t>
      </w:r>
      <w:r w:rsidRPr="00CF31E0">
        <w:rPr>
          <w:lang w:eastAsia="zh-CN"/>
        </w:rPr>
        <w:t xml:space="preserve"> by incorporating the voice allocation technique with the matched</w:t>
      </w:r>
      <w:r w:rsidR="00C86BDA" w:rsidRPr="00CF31E0">
        <w:rPr>
          <w:lang w:eastAsia="zh-CN"/>
        </w:rPr>
        <w:t>-guise</w:t>
      </w:r>
      <w:r w:rsidRPr="00CF31E0">
        <w:rPr>
          <w:lang w:eastAsia="zh-CN"/>
        </w:rPr>
        <w:t xml:space="preserve"> technique and its variant</w:t>
      </w:r>
      <w:r w:rsidR="00C052C4" w:rsidRPr="00CF31E0">
        <w:rPr>
          <w:lang w:eastAsia="zh-CN"/>
        </w:rPr>
        <w:t>s</w:t>
      </w:r>
      <w:r w:rsidRPr="00CF31E0">
        <w:rPr>
          <w:lang w:eastAsia="zh-CN"/>
        </w:rPr>
        <w:t xml:space="preserve"> to enable more robust findings to emerge. </w:t>
      </w:r>
    </w:p>
    <w:p w14:paraId="0E2FB971" w14:textId="77777777" w:rsidR="00160CC4" w:rsidRPr="00CF31E0" w:rsidRDefault="00160CC4" w:rsidP="00603CB7">
      <w:pPr>
        <w:pStyle w:val="Paragraph"/>
        <w:rPr>
          <w:lang w:eastAsia="zh-CN"/>
        </w:rPr>
      </w:pPr>
      <w:r w:rsidRPr="00CF31E0">
        <w:rPr>
          <w:lang w:eastAsia="zh-CN"/>
        </w:rPr>
        <w:lastRenderedPageBreak/>
        <w:t xml:space="preserve">In the discussion so far, I have identified the main approaches used in language attitude studies (direct and indirect). Following this, I have reviewed the mode of presentation for language varieties in previous studies, considering conceptual and vocal (socio-phonetic) approaches. I will now turn to review the main methods that have been used in language attitude research and their relative components such as the rating scale used in questionnaires. </w:t>
      </w:r>
    </w:p>
    <w:p w14:paraId="423D395C" w14:textId="44991450" w:rsidR="00160CC4" w:rsidRPr="00CF31E0" w:rsidRDefault="009B0A98" w:rsidP="00603CB7">
      <w:pPr>
        <w:pStyle w:val="Ahead"/>
        <w:ind w:left="0" w:firstLine="0"/>
        <w:rPr>
          <w:rFonts w:eastAsia="Times New Roman"/>
        </w:rPr>
      </w:pPr>
      <w:bookmarkStart w:id="213" w:name="_Toc509646848"/>
      <w:bookmarkStart w:id="214" w:name="_Toc510004010"/>
      <w:bookmarkStart w:id="215" w:name="_Toc510025765"/>
      <w:bookmarkStart w:id="216" w:name="_Toc6472654"/>
      <w:r w:rsidRPr="00CF31E0">
        <w:rPr>
          <w:rFonts w:eastAsia="Times New Roman"/>
        </w:rPr>
        <w:t>4.6</w:t>
      </w:r>
      <w:r w:rsidRPr="00CF31E0">
        <w:rPr>
          <w:rFonts w:eastAsia="Times New Roman"/>
        </w:rPr>
        <w:tab/>
      </w:r>
      <w:r w:rsidR="00160CC4" w:rsidRPr="00CF31E0">
        <w:rPr>
          <w:rFonts w:eastAsia="Times New Roman"/>
        </w:rPr>
        <w:t xml:space="preserve">Data collection methods in language attitude </w:t>
      </w:r>
      <w:r w:rsidR="0061369D" w:rsidRPr="00CF31E0">
        <w:rPr>
          <w:rFonts w:eastAsia="Times New Roman"/>
        </w:rPr>
        <w:br/>
      </w:r>
      <w:r w:rsidR="0061369D" w:rsidRPr="00CF31E0">
        <w:rPr>
          <w:rFonts w:eastAsia="Times New Roman"/>
        </w:rPr>
        <w:tab/>
      </w:r>
      <w:r w:rsidR="00160CC4" w:rsidRPr="00CF31E0">
        <w:rPr>
          <w:rFonts w:eastAsia="Times New Roman"/>
        </w:rPr>
        <w:t>research</w:t>
      </w:r>
      <w:bookmarkEnd w:id="213"/>
      <w:bookmarkEnd w:id="214"/>
      <w:bookmarkEnd w:id="215"/>
      <w:bookmarkEnd w:id="216"/>
      <w:r w:rsidR="00160CC4" w:rsidRPr="00CF31E0">
        <w:rPr>
          <w:rFonts w:eastAsia="Times New Roman"/>
        </w:rPr>
        <w:t xml:space="preserve"> </w:t>
      </w:r>
    </w:p>
    <w:p w14:paraId="41CE5ABC" w14:textId="697E4B08" w:rsidR="00160CC4" w:rsidRPr="00CF31E0" w:rsidRDefault="00160CC4" w:rsidP="00603CB7">
      <w:pPr>
        <w:pStyle w:val="Paragraph"/>
        <w:rPr>
          <w:lang w:eastAsia="zh-CN"/>
        </w:rPr>
      </w:pPr>
      <w:r w:rsidRPr="00CF31E0">
        <w:rPr>
          <w:lang w:eastAsia="zh-CN"/>
        </w:rPr>
        <w:fldChar w:fldCharType="begin"/>
      </w:r>
      <w:r w:rsidR="00CD34CA" w:rsidRPr="00CF31E0">
        <w:rPr>
          <w:lang w:eastAsia="zh-CN"/>
        </w:rPr>
        <w:instrText xml:space="preserve"> ADDIN ZOTERO_ITEM CSL_CITATION {"citationID":"g2Y3U2w2","properties":{"formattedCitation":"(Henerson, Morris, &amp; Fitz-Gibbon, 1987, p. 24)","plainCitation":"(Henerson, Morris, &amp; Fitz-Gibbon, 1987, p. 24)","dontUpdate":true,"noteIndex":0},"citationItems":[{"id":335,"uris":["http://zotero.org/users/1939618/items/W39RRBN4"],"uri":["http://zotero.org/users/1939618/items/W39RRBN4"],"itemData":{"id":335,"type":"book","title":"How to measure attitudes","collection-title":"Program evaluation kit (2nd ed.) ; 6","publisher":"Sage","publisher-place":"London","source":"find.shef.ac.uk","event-place":"London","ISBN":"978-0-8039-3131-2","call-number":"379.15 (P)","language":"eng","author":[{"family":"Henerson","given":"Marlene E."},{"family":"Morris","given":"Lynn Lyons"},{"family":"Fitz-Gibbon","given":"Carol Taylor"}],"issued":{"date-parts":[["1987"]]}},"locator":"24","label":"page"}],"schema":"https://github.com/citation-style-language/schema/raw/master/csl-citation.json"} </w:instrText>
      </w:r>
      <w:r w:rsidRPr="00CF31E0">
        <w:rPr>
          <w:lang w:eastAsia="zh-CN"/>
        </w:rPr>
        <w:fldChar w:fldCharType="separate"/>
      </w:r>
      <w:r w:rsidRPr="00CF31E0">
        <w:rPr>
          <w:noProof/>
          <w:lang w:eastAsia="zh-CN"/>
        </w:rPr>
        <w:t>Henerson, Morris, and Fitz-Gibbon (1987)</w:t>
      </w:r>
      <w:r w:rsidRPr="00CF31E0">
        <w:rPr>
          <w:lang w:eastAsia="zh-CN"/>
        </w:rPr>
        <w:fldChar w:fldCharType="end"/>
      </w:r>
      <w:r w:rsidRPr="00CF31E0">
        <w:rPr>
          <w:lang w:eastAsia="zh-CN"/>
        </w:rPr>
        <w:t xml:space="preserve"> constructed a clear dichotomy between methods in language attitude research. On the one hand, they placed interviews, polls and surveys under the “word of mouth” technique. On the other hand, they placed questionnaires and attitude</w:t>
      </w:r>
      <w:r w:rsidR="00C86BDA" w:rsidRPr="00CF31E0">
        <w:rPr>
          <w:lang w:eastAsia="zh-CN"/>
        </w:rPr>
        <w:t>-rating</w:t>
      </w:r>
      <w:r w:rsidRPr="00CF31E0">
        <w:rPr>
          <w:lang w:eastAsia="zh-CN"/>
        </w:rPr>
        <w:t xml:space="preserve"> scales under the “written response” technique. As for the “word of mouth” technique, </w:t>
      </w:r>
      <w:r w:rsidRPr="00CF31E0">
        <w:rPr>
          <w:lang w:eastAsia="zh-CN"/>
        </w:rPr>
        <w:fldChar w:fldCharType="begin"/>
      </w:r>
      <w:r w:rsidR="00CD34CA" w:rsidRPr="00CF31E0">
        <w:rPr>
          <w:lang w:eastAsia="zh-CN"/>
        </w:rPr>
        <w:instrText xml:space="preserve"> ADDIN ZOTERO_ITEM CSL_CITATION {"citationID":"g824x6Yq","properties":{"formattedCitation":"(Garrett et al., 2003)","plainCitation":"(Garrett et al., 2003)","dontUpdate":true,"noteIndex":0},"citationItems":[{"id":311,"uris":["http://zotero.org/users/1939618/items/UQ7HLIBB"],"uri":["http://zotero.org/users/1939618/items/UQ7HLIBB"],"itemData":{"id":311,"type":"book","title":"Investigating language attitudes [electronic resource]: social meanings of dialect, ethnicity and performance","publisher":"University of Wales Press","publisher-place":"Cardiff","number-of-pages":"x+251","source":"find.shef.ac.uk","event-place":"Cardiff","URL":"https://www.dawsonera.com/guard/protected/dawson.jsp?name=https://idp.shef.ac.uk/shibboleth&amp;dest=http://www.dawsonera.com/depp/reader/protected/external/AbstractView/S9781783162086","ISBN":"978-1-78316-208-6","shortTitle":"Investigating language attitudes [electronic resource]","language":"eng","author":[{"family":"Garrett","given":"Peter"},{"family":"Coupland","given":"Nikolas"},{"family":"Williams","given":"Angie"}],"issued":{"date-parts":[["2003"]]},"accessed":{"date-parts":[["2018",1,8]]}}}],"schema":"https://github.com/citation-style-language/schema/raw/master/csl-citation.json"} </w:instrText>
      </w:r>
      <w:r w:rsidRPr="00CF31E0">
        <w:rPr>
          <w:lang w:eastAsia="zh-CN"/>
        </w:rPr>
        <w:fldChar w:fldCharType="separate"/>
      </w:r>
      <w:r w:rsidRPr="00CF31E0">
        <w:rPr>
          <w:noProof/>
          <w:lang w:eastAsia="zh-CN"/>
        </w:rPr>
        <w:t>Garrett et al. (2003)</w:t>
      </w:r>
      <w:r w:rsidRPr="00CF31E0">
        <w:rPr>
          <w:lang w:eastAsia="zh-CN"/>
        </w:rPr>
        <w:fldChar w:fldCharType="end"/>
      </w:r>
      <w:r w:rsidRPr="00CF31E0">
        <w:rPr>
          <w:lang w:eastAsia="zh-CN"/>
        </w:rPr>
        <w:t xml:space="preserve"> argue that polls are seldom used in language attitude research. Also, they argue that surveys should be integrated with focus-group interviews. As for the written response technique, </w:t>
      </w:r>
      <w:r w:rsidRPr="00CF31E0">
        <w:rPr>
          <w:lang w:eastAsia="zh-CN"/>
        </w:rPr>
        <w:fldChar w:fldCharType="begin"/>
      </w:r>
      <w:r w:rsidR="00CD34CA" w:rsidRPr="00CF31E0">
        <w:rPr>
          <w:lang w:eastAsia="zh-CN"/>
        </w:rPr>
        <w:instrText xml:space="preserve"> ADDIN ZOTERO_ITEM CSL_CITATION {"citationID":"a195gmb7767","properties":{"formattedCitation":"(Garrett et al., 2003)","plainCitation":"(Garrett et al., 2003)","dontUpdate":true,"noteIndex":0},"citationItems":[{"id":311,"uris":["http://zotero.org/users/1939618/items/UQ7HLIBB"],"uri":["http://zotero.org/users/1939618/items/UQ7HLIBB"],"itemData":{"id":311,"type":"book","title":"Investigating language attitudes [electronic resource]: social meanings of dialect, ethnicity and performance","publisher":"University of Wales Press","publisher-place":"Cardiff","number-of-pages":"x+251","source":"find.shef.ac.uk","event-place":"Cardiff","URL":"https://www.dawsonera.com/guard/protected/dawson.jsp?name=https://idp.shef.ac.uk/shibboleth&amp;dest=http://www.dawsonera.com/depp/reader/protected/external/AbstractView/S9781783162086","ISBN":"978-1-78316-208-6","shortTitle":"Investigating language attitudes [electronic resource]","language":"eng","author":[{"family":"Garrett","given":"Peter"},{"family":"Coupland","given":"Nikolas"},{"family":"Williams","given":"Angie"}],"issued":{"date-parts":[["2003"]]},"accessed":{"date-parts":[["2018",1,8]]}}}],"schema":"https://github.com/citation-style-language/schema/raw/master/csl-citation.json"} </w:instrText>
      </w:r>
      <w:r w:rsidRPr="00CF31E0">
        <w:rPr>
          <w:lang w:eastAsia="zh-CN"/>
        </w:rPr>
        <w:fldChar w:fldCharType="separate"/>
      </w:r>
      <w:r w:rsidRPr="00CF31E0">
        <w:rPr>
          <w:noProof/>
          <w:lang w:eastAsia="zh-CN"/>
        </w:rPr>
        <w:t>Garrett et al. (2003)</w:t>
      </w:r>
      <w:r w:rsidRPr="00CF31E0">
        <w:rPr>
          <w:lang w:eastAsia="zh-CN"/>
        </w:rPr>
        <w:fldChar w:fldCharType="end"/>
      </w:r>
      <w:r w:rsidRPr="00CF31E0">
        <w:rPr>
          <w:lang w:eastAsia="zh-CN"/>
        </w:rPr>
        <w:t xml:space="preserve"> argue that rating attitude scales are an integral part of questionnaires; therefore, they should be sub-categorized under questionnaire type. On the whole, questionnaires and rating attitude scale</w:t>
      </w:r>
      <w:r w:rsidR="00C052C4" w:rsidRPr="00CF31E0">
        <w:rPr>
          <w:lang w:eastAsia="zh-CN"/>
        </w:rPr>
        <w:t>s</w:t>
      </w:r>
      <w:r w:rsidRPr="00CF31E0">
        <w:rPr>
          <w:lang w:eastAsia="zh-CN"/>
        </w:rPr>
        <w:t xml:space="preserve"> have been widely used in language attitude research (e.g. </w:t>
      </w:r>
      <w:r w:rsidRPr="00CF31E0">
        <w:rPr>
          <w:lang w:eastAsia="zh-CN"/>
        </w:rPr>
        <w:fldChar w:fldCharType="begin"/>
      </w:r>
      <w:r w:rsidR="00CD34CA" w:rsidRPr="00CF31E0">
        <w:rPr>
          <w:lang w:eastAsia="zh-CN"/>
        </w:rPr>
        <w:instrText xml:space="preserve"> ADDIN ZOTERO_ITEM CSL_CITATION {"citationID":"EmNKigNj","properties":{"formattedCitation":"(Bayard et al., 2001; \\uc0\\u8216{}Garrett et al. - 2009 - Diasporic ethnolinguistic subjectivities Patagoni.pdf\\uc0\\u8217{}, n.d.; Garrett et al., 2005b; Giles, 1970; Paltridge &amp; Giles, 1984)","plainCitation":"(Bayard et al., 2001; ‘Garrett et al. - 2009 - Diasporic ethnolinguistic subjectivities Patagoni.pdf’, n.d.; Garrett et al., 2005b; Giles, 1970; Paltridge &amp; Giles, 1984)","dontUpdate":true,"noteIndex":0},"citationItems":[{"id":510,"uris":["http://zotero.org/users/1939618/items/GCNRA58I"],"uri":["http://zotero.org/users/1939618/items/GCNRA58I"],"itemData":{"id":510,"type":"article-journal","title":"Pax Americana? Accent attitudinal evaluations in New Zealand, Australia and America","container-title":"Journal of Sociolinguistics","page":"22-49","volume":"5","issue":"1","source":"Wiley Online Library","abstract":"This study describes a series of evaluations of gender pairs of New Zealand English, Australian English, American English and RP-type English English voices by over 400 students in New Zealand, Australia and the U.S.A. Voices were chosen to represent the middle range of each accent, and balanced for paralinguistic features. Twenty-two personality and demographic traits were evaluated by Likert-scale questionnaires. Results indicated that the American female voice was rated most favourably on at least some traits by students of all three nationalities, followed by the American male. For most traits, Australian students generally ranked their own accents in third or fourth place, but New Zealanders put the female NZE voice in the mid-low range of all but solidarity-associated traits. All three groups disliked the NZE male. The RP voices did not receive the higher rankings in power/status variables we expected. The New Zealand evaluations downgrade their own accent vis-a`-vis the American and to some extent the RP voices. Overall, the American accent seems well on the way to equalling or even replacing RP as the prestige—or at least preferred—variety, not only in New Zealand but in Australia and some non-English-speaking nations as well. Preliminary analysis of data from Europe suggests this manifestation of linguistic hegemony as ‘Pax Americana’ seems to be prevalent over more than just the Anglophone nations.","DOI":"10.1111/1467-9481.00136","ISSN":"1467-9841","shortTitle":"Pax Americana?","language":"en","author":[{"family":"Bayard","given":"Donn"},{"family":"Weatherall","given":"Ann"},{"family":"Gallois","given":"Cynthia"},{"family":"Pittam","given":"Jeffery"}],"issued":{"date-parts":[["2001"]]}},"label":"page"},{"id":333,"uris":["http://zotero.org/users/1939618/items/UBQGJX6A"],"uri":["http://zotero.org/users/1939618/items/UBQGJX6A"],"itemData":{"id":333,"type":"article","title":"Garrett et al. - 2009 - Diasporic ethnolinguistic subjectivities Patagoni.pdf","URL":"https://www-degruyter-com.sheffield.idm.oclc.org/downloadpdf/j/ijsl.2009.2009.issue-195/ijsl.2009.010/ijsl.2009.010.pdf","accessed":{"date-parts":[["2018",3,15]]}},"label":"page"},{"id":326,"uris":["http://zotero.org/users/1939618/items/CTAELXKB"],"uri":["http://zotero.org/users/1939618/items/CTAELXKB"],"itemData":{"id":326,"type":"article-journal","title":"Attitudinal data from New Zealand, Australia, the USA and UK about each other’s Englishes: Recent changes or consequences of methodologies?","container-title":"Multilingua","page":"211–235","volume":"24","issue":"3","source":"DeGruyter","abstract":"Recent attitudinal research by Bayard et al. (2001) suggested changes in the comparative evaluations of Australian, New Zealand, US and English Englishes, with US English on its way to becoming the preferred variety. We revisit these attitudes after a period of political change in the US, and using a research methodology in line with folklinguistic approaches to attitudes research (e. g. Preston 1996). Convenience samples of respondents in these four countries were asked to identify the countries where they knew English was spoken as a native language, and then quickly to write down their first reactions to those varieties. US English was viewed strikingly negatively in terms of its affective associations, and there were references to ‘excess’ from all respondent groups (e. g. overassertive, overenthusiastic). And, against expectations, the affective profile of English English was not overwhelmingly negative for all groups of respondents. We consider the results in relation to the findings and methods of the earlier studies, and also briefly consider the different statuses of these varieties in terms of the current discussion of late modernity and of different standard varieties (e. g.</w:instrText>
      </w:r>
      <w:r w:rsidR="00CD34CA" w:rsidRPr="000E3509">
        <w:rPr>
          <w:lang w:val="sv-SE" w:eastAsia="zh-CN"/>
        </w:rPr>
        <w:instrText xml:space="preserve"> Kristiansen 2001b) serving different aspects of social life.","DOI":"10.1515/mult.2005.24.3.211","ISSN":"1613-3684","shortTitle":"Attitudinal data from New Zealand, Australia, the USA and UK about each other’s Englishes","author":[{"family":"Garrett","given":"Peter"},{"family":"Williams","given":"Angie"},{"family":"Evans","given":"Betsy"}],"issued":{"date-parts":[["2005"]]}},"label":"page"},{"id":62,"uris":["http://zotero.org/users/1939618/items/ZXQ48QBG"],"uri":["http://zotero.org/users/1939618/items/ZXQ48QBG"],"itemData":{"id":62,"type":"article-journal","title":"Evaluative reactions to accents","container-title":"Educational review","page":"211–227","volume":"22","issue":"3","source":"Google Scholar","author":[{"family":"Giles","given":"Howard"}],"issued":{"date-parts":[["1970"]]}},"label":"page"},{"id":297,"uris":["http://zotero.org/users/1939618/items/ZW9FGN84"],"uri":["http://zotero.org/users/1939618/items/ZW9FGN84"],"itemData":{"id":297,"type":"article-journal","title":"Attitudes towards speakers of regional accents of French: Effects of regionality, age and sex of listeners","container-title":"Linguistische Berichte","page":"71–85","issue":"90","source":"Google Scholar","shortTitle":"Attitudes towards speakers of regional accents of French","author":[{"family":"Paltridge","given":"John"},{"family":"Giles","given":"Howard"}],"issued":{"date-parts":[["1984"]]}},"label":"page"}],"schema":"https://github.com/citation-style-language/schema/raw/master/csl-citation.json"} </w:instrText>
      </w:r>
      <w:r w:rsidRPr="00CF31E0">
        <w:rPr>
          <w:lang w:eastAsia="zh-CN"/>
        </w:rPr>
        <w:fldChar w:fldCharType="separate"/>
      </w:r>
      <w:r w:rsidRPr="000E3509">
        <w:rPr>
          <w:rFonts w:hAnsi="Calibri Light"/>
          <w:lang w:val="sv-SE" w:eastAsia="zh-CN"/>
        </w:rPr>
        <w:t>Bayard et</w:t>
      </w:r>
      <w:r w:rsidR="008F3636" w:rsidRPr="000E3509">
        <w:rPr>
          <w:rFonts w:hAnsi="Calibri Light"/>
          <w:lang w:val="sv-SE" w:eastAsia="zh-CN"/>
        </w:rPr>
        <w:t xml:space="preserve"> al., 2001; </w:t>
      </w:r>
      <w:r w:rsidR="008F3636" w:rsidRPr="000E3509">
        <w:rPr>
          <w:noProof/>
          <w:lang w:val="sv-SE"/>
        </w:rPr>
        <w:t>Garrett, Bishop, &amp; Coupland, 2009</w:t>
      </w:r>
      <w:r w:rsidRPr="000E3509">
        <w:rPr>
          <w:rFonts w:hAnsi="Calibri Light"/>
          <w:lang w:val="sv-SE" w:eastAsia="zh-CN"/>
        </w:rPr>
        <w:t>; Garrett et al., 2005b; Giles, 1970; Paltridge &amp; Giles, 1984</w:t>
      </w:r>
      <w:r w:rsidRPr="00CF31E0">
        <w:rPr>
          <w:lang w:eastAsia="zh-CN"/>
        </w:rPr>
        <w:fldChar w:fldCharType="end"/>
      </w:r>
      <w:r w:rsidRPr="000E3509">
        <w:rPr>
          <w:lang w:val="sv-SE" w:eastAsia="zh-CN"/>
        </w:rPr>
        <w:t xml:space="preserve">). </w:t>
      </w:r>
      <w:r w:rsidRPr="00CF31E0">
        <w:rPr>
          <w:lang w:eastAsia="zh-CN"/>
        </w:rPr>
        <w:t>In the following section, I will discuss how they proved to be successful in both direct and indirect measures.</w:t>
      </w:r>
    </w:p>
    <w:p w14:paraId="3811F6DF" w14:textId="2D1155F0" w:rsidR="00160CC4" w:rsidRPr="00CF31E0" w:rsidRDefault="009B0A98" w:rsidP="0061369D">
      <w:pPr>
        <w:pStyle w:val="Bhead"/>
      </w:pPr>
      <w:bookmarkStart w:id="217" w:name="_Toc509646850"/>
      <w:bookmarkStart w:id="218" w:name="_Toc510004012"/>
      <w:bookmarkStart w:id="219" w:name="_Toc510025767"/>
      <w:bookmarkStart w:id="220" w:name="_Toc6472655"/>
      <w:r w:rsidRPr="00CF31E0">
        <w:t>4</w:t>
      </w:r>
      <w:r w:rsidR="00853058" w:rsidRPr="00CF31E0">
        <w:t>.6.1.</w:t>
      </w:r>
      <w:r w:rsidR="00853058" w:rsidRPr="00CF31E0">
        <w:tab/>
      </w:r>
      <w:r w:rsidR="00160CC4" w:rsidRPr="00CF31E0">
        <w:t>Questionnaire</w:t>
      </w:r>
      <w:bookmarkEnd w:id="217"/>
      <w:bookmarkEnd w:id="218"/>
      <w:bookmarkEnd w:id="219"/>
      <w:bookmarkEnd w:id="220"/>
    </w:p>
    <w:p w14:paraId="2438A39A" w14:textId="6D2ED4E8" w:rsidR="00160CC4" w:rsidRPr="00CF31E0" w:rsidRDefault="00160CC4" w:rsidP="00603CB7">
      <w:pPr>
        <w:pStyle w:val="Paragraph"/>
        <w:rPr>
          <w:lang w:eastAsia="zh-CN"/>
        </w:rPr>
      </w:pPr>
      <w:r w:rsidRPr="00CF31E0">
        <w:rPr>
          <w:lang w:eastAsia="zh-CN"/>
        </w:rPr>
        <w:t xml:space="preserve">The questionnaire method is widely used in language attitude research and has been more preferable to interviews as it has a number of potential advantages. First, the researcher can reach a large number of respondents simultaneously </w:t>
      </w:r>
      <w:r w:rsidRPr="00CF31E0">
        <w:rPr>
          <w:lang w:eastAsia="zh-CN"/>
        </w:rPr>
        <w:fldChar w:fldCharType="begin"/>
      </w:r>
      <w:r w:rsidR="00CD34CA" w:rsidRPr="00CF31E0">
        <w:rPr>
          <w:lang w:eastAsia="zh-CN"/>
        </w:rPr>
        <w:instrText xml:space="preserve"> ADDIN ZOTERO_ITEM CSL_CITATION {"citationID":"a20kbnqht74","properties":{"formattedCitation":"(D\\uc0\\u246{}rnyei, 2007; Garrett et al., 2003; Henerson et al., 1987)","plainCitation":"(Dörnyei, 2007; Garrett et al., 2003; Henerson et al., 1987)","noteIndex":0},"citationItems":[{"id":1,"uris":["http://zotero.org/users/1939618/items/WEXVS5ZD"],"uri":["http://zotero.org/users/1939618/items/WEXVS5ZD"],"itemData":{"id":1,"type":"book","title":"Research methods in applied linguistics: Quantitative, qualitative, and mixed methodologies","publisher":"Oxford University Press","publisher-place":"Oxford","source":"Google Scholar","event-place":"Oxford","URL":"http://rightomc.pixub.com/k/research-methods-in-applied-linguistics-quantitative-qualitative-and-mixed-methodologies-by-zoltan-dornyei.pdf","shortTitle":"Research methods in applied linguistics","author":[{"family":"Dörnyei","given":"Zoltán"}],"issued":{"date-parts":[["2007"]]},"accessed":{"date-parts":[["2014",9,24]]}},"label":"page"},{"id":311,"uris":["http://zotero.org/users/1939618/items/UQ7HLIBB"],"uri":["http://zotero.org/users/1939618/items/UQ7HLIBB"],"itemData":{"id":311,"type":"book","title":"Investigating language attitudes [electronic resource]: social meanings of dialect, ethnicity and performance","publisher":"University of Wales Press","publisher-place":"Cardiff","number-of-pages":"x+251","source":"find.shef.ac.uk","event-place":"Cardiff","URL":"https://www.dawsonera.com/guard/protected/dawson.jsp?name=https://idp.shef.ac.uk/shibboleth&amp;dest=http://www.dawsonera.com/depp/reader/protected/external/AbstractView/S9781783162086","ISBN":"978-1-78316-208-6","shortTitle":"Investigating language attitudes [electronic resource]","language":"eng","author":[{"family":"Garrett","given":"Peter"},{"family":"Coupland","given":"Nikolas"},{"family":"Williams","given":"Angie"}],"issued":{"date-parts":[["2003"]]},"accessed":{"date-parts":[["2018",1,8]]}},"label":"page"},{"id":335,"uris":["http://zotero.org/users/1939618/items/W39RRBN4"],"uri":["http://zotero.org/users/1939618/items/W39RRBN4"],"itemData":{"id":335,"type":"book","title":"How to measure attitudes","collection-title":"Program evaluation kit (2nd ed.) ; 6","publisher":"Sage","publisher-place":"London","source":"find.shef.ac.uk","event-place":"London","ISBN":"978-0-8039-3131-2","call-number":"379.15 (P)","language":"eng","author":[{"family":"Henerson","given":"Marlene E."},{"family":"Morris","given":"Lynn Lyons"},{"family":"Fitz-Gibbon","given":"Carol Taylor"}],"issued":{"date-parts":[["1987"]]}},"label":"page"}],"schema":"https://github.com/citation-style-language/schema/raw/master/csl-citation.json"} </w:instrText>
      </w:r>
      <w:r w:rsidRPr="00CF31E0">
        <w:rPr>
          <w:lang w:eastAsia="zh-CN"/>
        </w:rPr>
        <w:fldChar w:fldCharType="separate"/>
      </w:r>
      <w:r w:rsidRPr="00CF31E0">
        <w:rPr>
          <w:rFonts w:hAnsi="Calibri Light"/>
          <w:lang w:eastAsia="zh-CN"/>
        </w:rPr>
        <w:t>(D</w:t>
      </w:r>
      <w:r w:rsidRPr="00CF31E0">
        <w:rPr>
          <w:rFonts w:hAnsi="Calibri Light"/>
          <w:lang w:eastAsia="zh-CN"/>
        </w:rPr>
        <w:t>ö</w:t>
      </w:r>
      <w:r w:rsidRPr="00CF31E0">
        <w:rPr>
          <w:rFonts w:hAnsi="Calibri Light"/>
          <w:lang w:eastAsia="zh-CN"/>
        </w:rPr>
        <w:t>rnyei, 2007; Garrett et al., 2003; Henerson et al., 1987)</w:t>
      </w:r>
      <w:r w:rsidRPr="00CF31E0">
        <w:rPr>
          <w:lang w:eastAsia="zh-CN"/>
        </w:rPr>
        <w:fldChar w:fldCharType="end"/>
      </w:r>
      <w:r w:rsidRPr="00CF31E0">
        <w:rPr>
          <w:lang w:eastAsia="zh-CN"/>
        </w:rPr>
        <w:t xml:space="preserve">. Compared to interviews, it is maintained that questionnaires are more </w:t>
      </w:r>
      <w:r w:rsidRPr="00CF31E0">
        <w:rPr>
          <w:lang w:eastAsia="zh-CN"/>
        </w:rPr>
        <w:lastRenderedPageBreak/>
        <w:t xml:space="preserve">reliable, as during interviews, the researcher might unintentionally ask interviewers slightly different questions to each other. In contrast, with questionnaires, the questions are uniform, even if the questionnaire is distributed to different locations and at different times </w:t>
      </w:r>
      <w:r w:rsidRPr="00CF31E0">
        <w:rPr>
          <w:lang w:eastAsia="zh-CN"/>
        </w:rPr>
        <w:fldChar w:fldCharType="begin"/>
      </w:r>
      <w:r w:rsidRPr="00CF31E0">
        <w:rPr>
          <w:lang w:eastAsia="zh-CN"/>
        </w:rPr>
        <w:instrText xml:space="preserve"> ADDIN ZOTERO_ITEM CSL_CITATION {"citationID":"aap4orha55","properties":{"formattedCitation":"(Garrett, Coupland, &amp; Williams, 2003; Henerson, Morris, &amp; Fitz-Gibbon, 1987)","plainCitation":"(Garrett, Coupland, &amp; Williams, 2003; Henerson, Morris, &amp; Fitz-Gibbon, 1987)","noteIndex":0},"citationItems":[{"id":311,"uris":["http://zotero.org/users/1939618/items/UQ7HLIBB"],"uri":["http://zotero.org/users/1939618/items/UQ7HLIBB"],"itemData":{"id":311,"type":"book","title":"Investigating language attitudes [electronic resource]: social meanings of dialect, ethnicity and performance","publisher":"University of Wales Press","publisher-place":"Cardiff","number-of-pages":"x+251","source":"find.shef.ac.uk","event-place":"Cardiff","URL":"https://www.dawsonera.com/guard/protected/dawson.jsp?name=https://idp.shef.ac.uk/shibboleth&amp;dest=http://www.dawsonera.com/depp/reader/protected/external/AbstractView/S9781783162086","ISBN":"978-1-78316-208-6","shortTitle":"Investigating language attitudes [electronic resource]","language":"eng","author":[{"family":"Garrett","given":"Peter"},{"family":"Coupland","given":"Nikolas"},{"family":"Williams","given":"Angie"}],"issued":{"date-parts":[["2003"]]},"accessed":{"date-parts":[["2018",1,8]]}},"label":"page"},{"id":335,"uris":["http://zotero.org/users/1939618/items/W39RRBN4"],"uri":["http://zotero.org/users/1939618/items/W39RRBN4"],"itemData":{"id":335,"type":"book","title":"How to measure attitudes","collection-title":"Program evaluation kit (2nd ed.) ; 6","publisher":"Sage","publisher-place":"Newbury Park ; London","source":"find.shef.ac.uk","event-place":"Newbury Park ; London","ISBN":"978-0-8039-3131-2","call-number":"379.15 (P)","language":"eng","author":[{"family":"Henerson","given":"Marlene E."},{"family":"Morris","given":"Lynn Lyons"},{"family":"Fitz-Gibbon","given":"Carol Taylor"}],"issued":{"date-parts":[["1987"]]}},"label":"page"}],"schema":"https://github.com/citation-style-language/schema/raw/master/csl-citation.json"} </w:instrText>
      </w:r>
      <w:r w:rsidRPr="00CF31E0">
        <w:rPr>
          <w:lang w:eastAsia="zh-CN"/>
        </w:rPr>
        <w:fldChar w:fldCharType="separate"/>
      </w:r>
      <w:r w:rsidRPr="00CF31E0">
        <w:rPr>
          <w:lang w:eastAsia="zh-CN"/>
        </w:rPr>
        <w:t>(Garrett</w:t>
      </w:r>
      <w:r w:rsidR="002B6AA6" w:rsidRPr="00CF31E0">
        <w:rPr>
          <w:lang w:eastAsia="zh-CN"/>
        </w:rPr>
        <w:t xml:space="preserve"> et al.</w:t>
      </w:r>
      <w:r w:rsidRPr="00CF31E0">
        <w:rPr>
          <w:lang w:eastAsia="zh-CN"/>
        </w:rPr>
        <w:t>, 2003; Henerson</w:t>
      </w:r>
      <w:r w:rsidR="002B6AA6" w:rsidRPr="00CF31E0">
        <w:rPr>
          <w:lang w:eastAsia="zh-CN"/>
        </w:rPr>
        <w:t xml:space="preserve"> et al.</w:t>
      </w:r>
      <w:r w:rsidRPr="00CF31E0">
        <w:rPr>
          <w:lang w:eastAsia="zh-CN"/>
        </w:rPr>
        <w:t>, 1987)</w:t>
      </w:r>
      <w:r w:rsidRPr="00CF31E0">
        <w:rPr>
          <w:lang w:eastAsia="zh-CN"/>
        </w:rPr>
        <w:fldChar w:fldCharType="end"/>
      </w:r>
    </w:p>
    <w:p w14:paraId="2BE91593" w14:textId="5DA889E8" w:rsidR="00160CC4" w:rsidRPr="00CF31E0" w:rsidRDefault="00160CC4" w:rsidP="00603CB7">
      <w:pPr>
        <w:pStyle w:val="Paragraph"/>
        <w:rPr>
          <w:lang w:eastAsia="zh-CN"/>
        </w:rPr>
      </w:pPr>
      <w:r w:rsidRPr="00CF31E0">
        <w:rPr>
          <w:lang w:eastAsia="zh-CN"/>
        </w:rPr>
        <w:t>Questionnaires can include open-ended questions, where the respondents are asked to provide a few words to answer the question. Also, questionnaires can include close-ended questions, where respondents are asked to circle or tick the answer in a yes/no (i.e. true/false) format, multiple-choice format, or a rating</w:t>
      </w:r>
      <w:r w:rsidR="005D0894" w:rsidRPr="00CF31E0">
        <w:rPr>
          <w:lang w:eastAsia="zh-CN"/>
        </w:rPr>
        <w:t>-scale</w:t>
      </w:r>
      <w:r w:rsidRPr="00CF31E0">
        <w:rPr>
          <w:lang w:eastAsia="zh-CN"/>
        </w:rPr>
        <w:t xml:space="preserve"> format </w:t>
      </w:r>
      <w:r w:rsidRPr="00CF31E0">
        <w:rPr>
          <w:lang w:eastAsia="zh-CN"/>
        </w:rPr>
        <w:fldChar w:fldCharType="begin"/>
      </w:r>
      <w:r w:rsidRPr="00CF31E0">
        <w:rPr>
          <w:lang w:eastAsia="zh-CN"/>
        </w:rPr>
        <w:instrText xml:space="preserve"> ADDIN ZOTERO_ITEM CSL_CITATION {"citationID":"T6HGtX9M","properties":{"formattedCitation":"(D\\uc0\\u246{}rnyei, 2007)","plainCitation":"(Dörnyei, 2007)","noteIndex":0},"citationItems":[{"id":1,"uris":["http://zotero.org/users/1939618/items/WEXVS5ZD"],"uri":["http://zotero.org/users/1939618/items/WEXVS5ZD"],"itemData":{"id":1,"type":"book","title":"Research methods in applied linguistics: Quantitative, qualitative, and mixed methodologies","publisher":"Oxford University Press Oxford","source":"Google Scholar","URL":"http://rightomc.pixub.com/k/research-methods-in-applied-linguistics-quantitative-qualitative-and-mixed-methodologies-by-zoltan-dornyei.pdf","shortTitle":"Research methods in applied linguistics","author":[{"family":"Dörnyei","given":"Zoltán"}],"issued":{"date-parts":[["2007"]]},"accessed":{"date-parts":[["2014",9,24]]}}}],"schema":"https://github.com/citation-style-language/schema/raw/master/csl-citation.json"} </w:instrText>
      </w:r>
      <w:r w:rsidRPr="00CF31E0">
        <w:rPr>
          <w:lang w:eastAsia="zh-CN"/>
        </w:rPr>
        <w:fldChar w:fldCharType="separate"/>
      </w:r>
      <w:r w:rsidRPr="00CF31E0">
        <w:rPr>
          <w:rFonts w:hAnsi="Calibri Light"/>
          <w:lang w:eastAsia="zh-CN"/>
        </w:rPr>
        <w:t>(D</w:t>
      </w:r>
      <w:r w:rsidRPr="00CF31E0">
        <w:rPr>
          <w:rFonts w:hAnsi="Calibri Light"/>
          <w:lang w:eastAsia="zh-CN"/>
        </w:rPr>
        <w:t>ö</w:t>
      </w:r>
      <w:r w:rsidRPr="00CF31E0">
        <w:rPr>
          <w:rFonts w:hAnsi="Calibri Light"/>
          <w:lang w:eastAsia="zh-CN"/>
        </w:rPr>
        <w:t>rnyei, 2007)</w:t>
      </w:r>
      <w:r w:rsidRPr="00CF31E0">
        <w:rPr>
          <w:lang w:eastAsia="zh-CN"/>
        </w:rPr>
        <w:fldChar w:fldCharType="end"/>
      </w:r>
      <w:r w:rsidRPr="00CF31E0">
        <w:rPr>
          <w:lang w:eastAsia="zh-CN"/>
        </w:rPr>
        <w:t xml:space="preserve">. The latter has been widely used in language attitude research as scales lend themselves well to sophisticated statistical analysis </w:t>
      </w:r>
      <w:r w:rsidRPr="00CF31E0">
        <w:rPr>
          <w:noProof/>
          <w:lang w:eastAsia="zh-CN"/>
        </w:rPr>
        <w:t>(Garrett, 2010)</w:t>
      </w:r>
      <w:r w:rsidRPr="00CF31E0">
        <w:rPr>
          <w:lang w:eastAsia="zh-CN"/>
        </w:rPr>
        <w:t xml:space="preserve">. The yes/no or multiple-choice format only provides nominal and ordinal data and lacks interval data </w:t>
      </w:r>
      <w:r w:rsidRPr="00CF31E0">
        <w:rPr>
          <w:noProof/>
          <w:lang w:eastAsia="zh-CN"/>
        </w:rPr>
        <w:t>(Garrett, 2010)</w:t>
      </w:r>
      <w:r w:rsidRPr="00CF31E0">
        <w:rPr>
          <w:lang w:eastAsia="zh-CN"/>
        </w:rPr>
        <w:t xml:space="preserve">. As rating scales have made their own contribution to the field, I will illustrate their types, advantages and disadvantages in section </w:t>
      </w:r>
      <w:r w:rsidR="00232730" w:rsidRPr="00CF31E0">
        <w:rPr>
          <w:lang w:eastAsia="zh-CN"/>
        </w:rPr>
        <w:t>4</w:t>
      </w:r>
      <w:r w:rsidR="00671807" w:rsidRPr="00CF31E0">
        <w:rPr>
          <w:lang w:eastAsia="zh-CN"/>
        </w:rPr>
        <w:t>.7</w:t>
      </w:r>
      <w:r w:rsidRPr="00CF31E0">
        <w:rPr>
          <w:lang w:eastAsia="zh-CN"/>
        </w:rPr>
        <w:t xml:space="preserve"> below. </w:t>
      </w:r>
    </w:p>
    <w:p w14:paraId="27ED7EF2" w14:textId="3B24E41B" w:rsidR="00160CC4" w:rsidRPr="00CF31E0" w:rsidRDefault="00160CC4" w:rsidP="00603CB7">
      <w:pPr>
        <w:pStyle w:val="Paragraph"/>
        <w:rPr>
          <w:lang w:eastAsia="zh-CN"/>
        </w:rPr>
      </w:pPr>
      <w:r w:rsidRPr="00CF31E0">
        <w:rPr>
          <w:lang w:eastAsia="zh-CN"/>
        </w:rPr>
        <w:t xml:space="preserve">Open-ended questions can also be elicited with a keyword technique questionnaire, where respondents are asked to jot down keywords that best describe the language or regional varieties of concern </w:t>
      </w:r>
      <w:r w:rsidRPr="00CF31E0">
        <w:rPr>
          <w:lang w:eastAsia="zh-CN"/>
        </w:rPr>
        <w:fldChar w:fldCharType="begin"/>
      </w:r>
      <w:r w:rsidRPr="00CF31E0">
        <w:rPr>
          <w:lang w:eastAsia="zh-CN"/>
        </w:rPr>
        <w:instrText xml:space="preserve"> ADDIN ZOTERO_ITEM CSL_CITATION {"citationID":"a218s4tl88k","properties":{"formattedCitation":"(Garrett et al., 2005b)","plainCitation":"(Garrett et al., 2005b)","noteIndex":0},"citationItems":[{"id":326,"uris":["http://zotero.org/users/1939618/items/CTAELXKB"],"uri":["http://zotero.org/users/1939618/items/CTAELXKB"],"itemData":{"id":326,"type":"article-journal","title":"Attitudinal data from New Zealand, Australia, the USA and UK about each other’s Englishes: Recent changes or consequences of methodologies?","container-title":"Multilingua","page":"211–235","volume":"24","issue":"3","source":"DeGruyter","abstract":"Recent attitudinal research by Bayard et al. (2001) suggested changes in the comparative evaluations of Australian, New Zealand, US and English Englishes, with US English on its way to becoming the preferred variety. We revisit these attitudes after a period of political change in the US, and using a research methodology in line with folklinguistic approaches to attitudes research (e. g. Preston 1996). Convenience samples of respondents in these four countries were asked to identify the countries where they knew English was spoken as a native language, and then quickly to write down their first reactions to those varieties. US English was viewed strikingly negatively in terms of its affective associations, and there were references to ‘excess’ from all respondent groups (e. g. overassertive, overenthusiastic). And, against expectations, the affective profile of English English was not overwhelmingly negative for all groups of respondents. We consider the results in relation to the findings and methods of the earlier studies, and also briefly consider the different statuses of these varieties in terms of the current discussion of late modernity and of different standard varieties (e. g. Kristiansen 2001b) serving different aspects of social life.","DOI":"10.1515/mult.2005.24.3.211","ISSN":"1613-3684","shortTitle":"Attitudinal data from New Zealand, Australia, the USA and UK about each other’s Englishes","author":[{"family":"Garrett","given":"Peter"},{"family":"Williams","given":"Angie"},{"family":"Evans","given":"Betsy"}],"issued":{"date-parts":[["2005"]]}}}],"schema":"https://github.com/citation-style-language/schema/raw/master/csl-citation.json"} </w:instrText>
      </w:r>
      <w:r w:rsidRPr="00CF31E0">
        <w:rPr>
          <w:lang w:eastAsia="zh-CN"/>
        </w:rPr>
        <w:fldChar w:fldCharType="separate"/>
      </w:r>
      <w:r w:rsidRPr="00CF31E0">
        <w:rPr>
          <w:noProof/>
          <w:lang w:eastAsia="zh-CN"/>
        </w:rPr>
        <w:t>(Garrett et al., 2005b)</w:t>
      </w:r>
      <w:r w:rsidRPr="00CF31E0">
        <w:rPr>
          <w:lang w:eastAsia="zh-CN"/>
        </w:rPr>
        <w:fldChar w:fldCharType="end"/>
      </w:r>
      <w:r w:rsidRPr="00CF31E0">
        <w:rPr>
          <w:lang w:eastAsia="zh-CN"/>
        </w:rPr>
        <w:t xml:space="preserve">; see section </w:t>
      </w:r>
      <w:r w:rsidR="00232730" w:rsidRPr="00CF31E0">
        <w:rPr>
          <w:lang w:eastAsia="zh-CN"/>
        </w:rPr>
        <w:t>4</w:t>
      </w:r>
      <w:r w:rsidR="00671807" w:rsidRPr="00CF31E0">
        <w:rPr>
          <w:lang w:eastAsia="zh-CN"/>
        </w:rPr>
        <w:t>.7.3</w:t>
      </w:r>
      <w:r w:rsidRPr="00CF31E0">
        <w:rPr>
          <w:lang w:eastAsia="zh-CN"/>
        </w:rPr>
        <w:t xml:space="preserve"> for more details on the technique.</w:t>
      </w:r>
    </w:p>
    <w:p w14:paraId="5D2BDBE2" w14:textId="77777777" w:rsidR="00160CC4" w:rsidRPr="00CF31E0" w:rsidRDefault="00160CC4" w:rsidP="00603CB7">
      <w:pPr>
        <w:pStyle w:val="Paragraph"/>
        <w:rPr>
          <w:rFonts w:eastAsia="MS Mincho"/>
          <w:lang w:eastAsia="en-US"/>
        </w:rPr>
      </w:pPr>
      <w:r w:rsidRPr="00CF31E0">
        <w:rPr>
          <w:lang w:eastAsia="zh-CN"/>
        </w:rPr>
        <w:t xml:space="preserve">As for close-ended data, questionnaires are mostly used to obtain quantitative data. As can be seen throughout the chapter, the use of questionnaires has been applied in many studies, some adopting the direct approach and others using the indirect approach. Also, other studies have been presented conceptually or vocally </w:t>
      </w:r>
    </w:p>
    <w:p w14:paraId="5B8D6DE3" w14:textId="455EDF02" w:rsidR="00160CC4" w:rsidRPr="00CF31E0" w:rsidRDefault="00232730" w:rsidP="00603CB7">
      <w:pPr>
        <w:pStyle w:val="Bhead"/>
        <w:ind w:left="0" w:firstLine="0"/>
      </w:pPr>
      <w:bookmarkStart w:id="221" w:name="_Toc509646851"/>
      <w:bookmarkStart w:id="222" w:name="_Toc510004013"/>
      <w:bookmarkStart w:id="223" w:name="_Toc510025768"/>
      <w:bookmarkStart w:id="224" w:name="_Toc6472656"/>
      <w:r w:rsidRPr="00CF31E0">
        <w:t>4.6.2.</w:t>
      </w:r>
      <w:r w:rsidRPr="00CF31E0">
        <w:tab/>
      </w:r>
      <w:r w:rsidR="00160CC4" w:rsidRPr="00CF31E0">
        <w:t>Online questionnaire</w:t>
      </w:r>
      <w:bookmarkEnd w:id="221"/>
      <w:bookmarkEnd w:id="222"/>
      <w:bookmarkEnd w:id="223"/>
      <w:r w:rsidR="00160CC4" w:rsidRPr="00CF31E0">
        <w:t>s</w:t>
      </w:r>
      <w:bookmarkEnd w:id="224"/>
    </w:p>
    <w:p w14:paraId="5BBD9114" w14:textId="114FB2E8" w:rsidR="00160CC4" w:rsidRPr="00CF31E0" w:rsidRDefault="00160CC4" w:rsidP="00603CB7">
      <w:pPr>
        <w:pStyle w:val="Paragraph"/>
        <w:rPr>
          <w:lang w:eastAsia="zh-CN"/>
        </w:rPr>
      </w:pPr>
      <w:r w:rsidRPr="00CF31E0">
        <w:rPr>
          <w:lang w:eastAsia="zh-CN"/>
        </w:rPr>
        <w:t xml:space="preserve">With the advent of technology, questionnaires can be conducted using web-based procedures </w:t>
      </w:r>
      <w:r w:rsidRPr="00CF31E0">
        <w:rPr>
          <w:lang w:eastAsia="zh-CN"/>
        </w:rPr>
        <w:fldChar w:fldCharType="begin"/>
      </w:r>
      <w:r w:rsidRPr="00CF31E0">
        <w:rPr>
          <w:lang w:eastAsia="zh-CN"/>
        </w:rPr>
        <w:instrText xml:space="preserve"> ADDIN ZOTERO_ITEM CSL_CITATION {"citationID":"oN88alXr","properties":{"formattedCitation":"(D\\uc0\\u246{}rnyei, 2007)","plainCitation":"(Dörnyei, 2007)","noteIndex":0},"citationItems":[{"id":1,"uris":["http://zotero.org/users/1939618/items/WEXVS5ZD"],"uri":["http://zotero.org/users/1939618/items/WEXVS5ZD"],"itemData":{"id":1,"type":"book","title":"Research methods in applied linguistics: Quantitative, qualitative, and mixed methodologies","publisher":"Oxford University Press Oxford","source":"Google Scholar","URL":"http://rightomc.pixub.com/k/research-methods-in-applied-linguistics-quantitative-qualitative-and-mixed-methodologies-by-zoltan-dornyei.pdf","shortTitle":"Research methods in applied linguistics","author":[{"family":"Dörnyei","given":"Zoltán"}],"issued":{"date-parts":[["2007"]]},"accessed":{"date-parts":[["2014",9,24]]}}}],"schema":"https://github.com/citation-style-language/schema/raw/master/csl-citation.json"} </w:instrText>
      </w:r>
      <w:r w:rsidRPr="00CF31E0">
        <w:rPr>
          <w:lang w:eastAsia="zh-CN"/>
        </w:rPr>
        <w:fldChar w:fldCharType="separate"/>
      </w:r>
      <w:r w:rsidRPr="00CF31E0">
        <w:rPr>
          <w:rFonts w:hAnsi="Calibri Light"/>
          <w:lang w:eastAsia="zh-CN"/>
        </w:rPr>
        <w:t>(D</w:t>
      </w:r>
      <w:r w:rsidRPr="00CF31E0">
        <w:rPr>
          <w:lang w:eastAsia="zh-CN"/>
        </w:rPr>
        <w:t>ö</w:t>
      </w:r>
      <w:r w:rsidRPr="00CF31E0">
        <w:rPr>
          <w:rFonts w:hAnsi="Calibri Light"/>
          <w:lang w:eastAsia="zh-CN"/>
        </w:rPr>
        <w:t>rnyei, 2007)</w:t>
      </w:r>
      <w:r w:rsidRPr="00CF31E0">
        <w:rPr>
          <w:lang w:eastAsia="zh-CN"/>
        </w:rPr>
        <w:fldChar w:fldCharType="end"/>
      </w:r>
      <w:r w:rsidRPr="00CF31E0">
        <w:rPr>
          <w:lang w:eastAsia="zh-CN"/>
        </w:rPr>
        <w:t xml:space="preserve">. Internet-based questionnaire help researchers to conveniently access a large number of participants, as was the case with the BBC project mentioned above in section </w:t>
      </w:r>
      <w:r w:rsidR="00232730" w:rsidRPr="00CF31E0">
        <w:rPr>
          <w:lang w:eastAsia="zh-CN"/>
        </w:rPr>
        <w:t>4</w:t>
      </w:r>
      <w:r w:rsidR="00671807" w:rsidRPr="00CF31E0">
        <w:rPr>
          <w:lang w:eastAsia="zh-CN"/>
        </w:rPr>
        <w:t>.5.1.</w:t>
      </w:r>
      <w:r w:rsidRPr="00CF31E0">
        <w:rPr>
          <w:lang w:eastAsia="zh-CN"/>
        </w:rPr>
        <w:t xml:space="preserve"> The number of </w:t>
      </w:r>
      <w:r w:rsidRPr="00CF31E0">
        <w:rPr>
          <w:lang w:eastAsia="zh-CN"/>
        </w:rPr>
        <w:lastRenderedPageBreak/>
        <w:t xml:space="preserve">participants in this project was 5,010, which is a relatively large number that cannot be easily reached with the paper format. Furthermore, the BBC project could obtain demographically diverse participants, and this was an advantage compared to Giles’s (1970) study. </w:t>
      </w:r>
    </w:p>
    <w:p w14:paraId="12739086" w14:textId="3D006500" w:rsidR="00160CC4" w:rsidRPr="00CF31E0" w:rsidRDefault="00160CC4" w:rsidP="00603CB7">
      <w:pPr>
        <w:pStyle w:val="Paragraph"/>
        <w:rPr>
          <w:rFonts w:eastAsia="MS Mincho"/>
          <w:lang w:eastAsia="en-US"/>
        </w:rPr>
      </w:pPr>
      <w:r w:rsidRPr="00CF31E0">
        <w:rPr>
          <w:rFonts w:cs="Arial"/>
          <w:lang w:eastAsia="zh-CN"/>
        </w:rPr>
        <w:t>An online-based study of interest was conducted by</w:t>
      </w:r>
      <w:r w:rsidRPr="00CF31E0">
        <w:rPr>
          <w:lang w:val="en" w:eastAsia="zh-CN"/>
        </w:rPr>
        <w:t xml:space="preserve"> </w:t>
      </w:r>
      <w:r w:rsidRPr="00CF31E0">
        <w:rPr>
          <w:lang w:val="en" w:eastAsia="zh-CN"/>
        </w:rPr>
        <w:fldChar w:fldCharType="begin"/>
      </w:r>
      <w:r w:rsidRPr="00CF31E0">
        <w:rPr>
          <w:lang w:val="en" w:eastAsia="zh-CN"/>
        </w:rPr>
        <w:instrText xml:space="preserve"> ADDIN ZOTERO_ITEM CSL_CITATION {"citationID":"a1v82adc017","properties":{"formattedCitation":"(Pearce, 2009)","plainCitation":"(Pearce, 2009)","noteIndex":0},"citationItems":[{"id":84,"uris":["http://zotero.org/users/1939618/items/A37W2U7Z"],"uri":["http://zotero.org/users/1939618/items/A37W2U7Z"],"itemData":{"id":84,"type":"article-journal","title":"A perceptual dialect map of North East England","container-title":"Journal of English Linguistics","page":"162–192","volume":"37","issue":"2","source":"Google Scholar","author":[{"family":"Pearce","given":"Michael"}],"issued":{"date-parts":[["2009"]]}}}],"schema":"https://github.com/citation-style-language/schema/raw/master/csl-citation.json"} </w:instrText>
      </w:r>
      <w:r w:rsidRPr="00CF31E0">
        <w:rPr>
          <w:lang w:val="en" w:eastAsia="zh-CN"/>
        </w:rPr>
        <w:fldChar w:fldCharType="separate"/>
      </w:r>
      <w:r w:rsidRPr="00CF31E0">
        <w:rPr>
          <w:noProof/>
          <w:lang w:val="en" w:eastAsia="zh-CN"/>
        </w:rPr>
        <w:t>Pearce (2009)</w:t>
      </w:r>
      <w:r w:rsidRPr="00CF31E0">
        <w:rPr>
          <w:lang w:val="en" w:eastAsia="zh-CN"/>
        </w:rPr>
        <w:fldChar w:fldCharType="end"/>
      </w:r>
      <w:r w:rsidRPr="00CF31E0">
        <w:rPr>
          <w:lang w:val="en" w:eastAsia="zh-CN"/>
        </w:rPr>
        <w:t xml:space="preserve">, where he recruited 1,600 respondents across </w:t>
      </w:r>
      <w:r w:rsidR="00CB2457" w:rsidRPr="00CF31E0">
        <w:rPr>
          <w:lang w:val="en" w:eastAsia="zh-CN"/>
        </w:rPr>
        <w:t>n</w:t>
      </w:r>
      <w:r w:rsidRPr="00CF31E0">
        <w:rPr>
          <w:lang w:val="en" w:eastAsia="zh-CN"/>
        </w:rPr>
        <w:t>orth</w:t>
      </w:r>
      <w:r w:rsidR="00CB2457" w:rsidRPr="00CF31E0">
        <w:rPr>
          <w:lang w:val="en" w:eastAsia="zh-CN"/>
        </w:rPr>
        <w:t>-east</w:t>
      </w:r>
      <w:r w:rsidRPr="00CF31E0">
        <w:rPr>
          <w:lang w:val="en" w:eastAsia="zh-CN"/>
        </w:rPr>
        <w:t xml:space="preserve"> England. He used an online questionnaire, where he asked respondents to rate 51 locations in England according to the degree of similarity and difference to the respondents’ dialects. </w:t>
      </w:r>
      <w:r w:rsidRPr="00CF31E0">
        <w:rPr>
          <w:rFonts w:eastAsia="MS Mincho"/>
          <w:lang w:eastAsia="en-US"/>
        </w:rPr>
        <w:fldChar w:fldCharType="begin"/>
      </w:r>
      <w:r w:rsidRPr="00CF31E0">
        <w:rPr>
          <w:rFonts w:eastAsia="MS Mincho"/>
          <w:lang w:eastAsia="en-US"/>
        </w:rPr>
        <w:instrText xml:space="preserve"> ADDIN ZOTERO_ITEM CSL_CITATION {"citationID":"fiX3Gqjz","properties":{"formattedCitation":"(Pearce, 2009, p. 8)","plainCitation":"(Pearce, 2009, p. 8)"},"citationItems":[{"id":84,"uris":["http://zotero.org/users/1939618/items/A37W2U7Z"],"uri":["http://zotero.org/users/1939618/items/A37W2U7Z"],"itemData":{"id":84,"type":"article-journal","title":"A perceptual dialect map of North East England","container-title":"Journal of English Linguistics","page":"162–192","volume":"37","issue":"2","source":"Google Scholar","author":[{"family":"Pearce","given":"Michael"}],"issued":{"date-parts":[["2009"]]}},"locator":"8","label":"page"}],"schema":"https://github.com/citation-style-language/schema/raw/master/csl-citation.json"} </w:instrText>
      </w:r>
      <w:r w:rsidRPr="00CF31E0">
        <w:rPr>
          <w:rFonts w:eastAsia="MS Mincho"/>
          <w:lang w:eastAsia="en-US"/>
        </w:rPr>
        <w:fldChar w:fldCharType="separate"/>
      </w:r>
      <w:r w:rsidRPr="00CF31E0">
        <w:rPr>
          <w:rFonts w:eastAsia="MS Mincho"/>
          <w:lang w:eastAsia="en-US"/>
        </w:rPr>
        <w:t xml:space="preserve">Pearce (2009) argued </w:t>
      </w:r>
      <w:r w:rsidRPr="00CF31E0">
        <w:rPr>
          <w:rFonts w:eastAsia="MS Mincho"/>
          <w:lang w:val="en-US" w:eastAsia="en-US"/>
        </w:rPr>
        <w:fldChar w:fldCharType="end"/>
      </w:r>
      <w:r w:rsidRPr="00CF31E0">
        <w:rPr>
          <w:rFonts w:eastAsia="MS Mincho"/>
          <w:lang w:val="en-US" w:eastAsia="en-US"/>
        </w:rPr>
        <w:t>that</w:t>
      </w:r>
      <w:r w:rsidRPr="00CF31E0">
        <w:rPr>
          <w:rFonts w:eastAsia="MS Mincho"/>
          <w:lang w:eastAsia="en-US"/>
        </w:rPr>
        <w:t xml:space="preserve"> his study, with the online-based questionnaire, could reach a large number of participants. Furthermore, due to the use of the web-based procedure, the demographic diversity and geographical distribution found in the study is an advantage over other perceptual dialectology studies. Most significantly, </w:t>
      </w:r>
      <w:r w:rsidRPr="00CF31E0">
        <w:rPr>
          <w:rFonts w:eastAsia="MS Mincho"/>
          <w:lang w:eastAsia="en-US"/>
        </w:rPr>
        <w:fldChar w:fldCharType="begin"/>
      </w:r>
      <w:r w:rsidRPr="00CF31E0">
        <w:rPr>
          <w:rFonts w:eastAsia="MS Mincho"/>
          <w:lang w:eastAsia="en-US"/>
        </w:rPr>
        <w:instrText xml:space="preserve"> ADDIN ZOTERO_ITEM CSL_CITATION {"citationID":"ukXORpMS","properties":{"formattedCitation":"(Pearce, 2009, p. 8)","plainCitation":"(Pearce, 2009, p. 8)","noteIndex":0},"citationItems":[{"id":84,"uris":["http://zotero.org/users/1939618/items/A37W2U7Z"],"uri":["http://zotero.org/users/1939618/items/A37W2U7Z"],"itemData":{"id":84,"type":"article-journal","title":"A perceptual dialect map of North East England","container-title":"Journal of English Linguistics","page":"162–192","volume":"37","issue":"2","source":"Google Scholar","author":[{"family":"Pearce","given":"Michael"}],"issued":{"date-parts":[["2009"]]}},"locator":"8","label":"page"}],"schema":"https://github.com/citation-style-language/schema/raw/master/csl-citation.json"} </w:instrText>
      </w:r>
      <w:r w:rsidRPr="00CF31E0">
        <w:rPr>
          <w:rFonts w:eastAsia="MS Mincho"/>
          <w:lang w:eastAsia="en-US"/>
        </w:rPr>
        <w:fldChar w:fldCharType="separate"/>
      </w:r>
      <w:r w:rsidRPr="00CF31E0">
        <w:rPr>
          <w:rFonts w:eastAsia="MS Mincho"/>
          <w:lang w:eastAsia="en-US"/>
        </w:rPr>
        <w:t xml:space="preserve">Pearce (2009, p. 169) </w:t>
      </w:r>
      <w:r w:rsidRPr="00CF31E0">
        <w:rPr>
          <w:rFonts w:eastAsia="MS Mincho"/>
          <w:lang w:val="en-US" w:eastAsia="en-US"/>
        </w:rPr>
        <w:fldChar w:fldCharType="end"/>
      </w:r>
      <w:r w:rsidRPr="00CF31E0">
        <w:rPr>
          <w:rFonts w:eastAsia="MS Mincho"/>
          <w:lang w:val="en-US" w:eastAsia="en-US"/>
        </w:rPr>
        <w:t>claims that “</w:t>
      </w:r>
      <w:r w:rsidRPr="00CF31E0">
        <w:rPr>
          <w:rFonts w:eastAsia="MS Mincho"/>
          <w:lang w:eastAsia="en-US"/>
        </w:rPr>
        <w:t>the relatively high number of respondents makes the study less representationally questionable than some previous research in PD”</w:t>
      </w:r>
      <w:r w:rsidR="00DA45CD" w:rsidRPr="00CF31E0">
        <w:rPr>
          <w:rFonts w:eastAsia="MS Mincho"/>
          <w:lang w:eastAsia="en-US"/>
        </w:rPr>
        <w:t>(</w:t>
      </w:r>
      <w:r w:rsidR="00FF3F88" w:rsidRPr="00CF31E0">
        <w:rPr>
          <w:rFonts w:eastAsia="MS Mincho"/>
          <w:lang w:eastAsia="en-US"/>
        </w:rPr>
        <w:t xml:space="preserve">i.e. </w:t>
      </w:r>
      <w:r w:rsidR="00DA45CD" w:rsidRPr="00CF31E0">
        <w:rPr>
          <w:rFonts w:eastAsia="MS Mincho"/>
          <w:lang w:eastAsia="en-US"/>
        </w:rPr>
        <w:t>perceptual dialectology)</w:t>
      </w:r>
      <w:r w:rsidRPr="00CF31E0">
        <w:rPr>
          <w:rFonts w:eastAsia="MS Mincho"/>
          <w:lang w:eastAsia="en-US"/>
        </w:rPr>
        <w:t xml:space="preserve">. The large number of participants is thus one of the claims that can support the representativeness of the results, which in turn can suggest that the results are generalizable. </w:t>
      </w:r>
    </w:p>
    <w:p w14:paraId="11EB45E1" w14:textId="18C35999" w:rsidR="00160CC4" w:rsidRPr="00CF31E0" w:rsidRDefault="00232730" w:rsidP="00E87209">
      <w:pPr>
        <w:pStyle w:val="Ahead"/>
        <w:rPr>
          <w:rFonts w:eastAsia="Times New Roman"/>
        </w:rPr>
      </w:pPr>
      <w:bookmarkStart w:id="225" w:name="_Toc509646852"/>
      <w:bookmarkStart w:id="226" w:name="_Toc510004014"/>
      <w:bookmarkStart w:id="227" w:name="_Toc510025769"/>
      <w:bookmarkStart w:id="228" w:name="_Toc6472657"/>
      <w:r w:rsidRPr="00CF31E0">
        <w:rPr>
          <w:rFonts w:eastAsia="Times New Roman"/>
        </w:rPr>
        <w:t>4</w:t>
      </w:r>
      <w:r w:rsidR="00853058" w:rsidRPr="00CF31E0">
        <w:rPr>
          <w:rFonts w:eastAsia="Times New Roman"/>
        </w:rPr>
        <w:t>.7.</w:t>
      </w:r>
      <w:r w:rsidR="00853058" w:rsidRPr="00CF31E0">
        <w:rPr>
          <w:rFonts w:eastAsia="Times New Roman"/>
        </w:rPr>
        <w:tab/>
      </w:r>
      <w:r w:rsidR="00160CC4" w:rsidRPr="00CF31E0">
        <w:rPr>
          <w:rFonts w:eastAsia="Times New Roman"/>
        </w:rPr>
        <w:t>Rating scales in language attitude research</w:t>
      </w:r>
      <w:bookmarkEnd w:id="225"/>
      <w:bookmarkEnd w:id="226"/>
      <w:bookmarkEnd w:id="227"/>
      <w:bookmarkEnd w:id="228"/>
      <w:r w:rsidR="00160CC4" w:rsidRPr="00CF31E0">
        <w:rPr>
          <w:rFonts w:eastAsia="Times New Roman"/>
        </w:rPr>
        <w:t xml:space="preserve"> </w:t>
      </w:r>
    </w:p>
    <w:p w14:paraId="09E47E51" w14:textId="3EA5EB2A" w:rsidR="00160CC4" w:rsidRPr="00CF31E0" w:rsidRDefault="00160CC4" w:rsidP="00160CC4">
      <w:pPr>
        <w:tabs>
          <w:tab w:val="center" w:pos="4067"/>
        </w:tabs>
        <w:spacing w:before="120" w:after="120" w:line="360" w:lineRule="auto"/>
        <w:jc w:val="both"/>
        <w:rPr>
          <w:rFonts w:eastAsia="Times New Roman"/>
          <w:color w:val="000000" w:themeColor="text1"/>
          <w:lang w:eastAsia="zh-CN"/>
        </w:rPr>
      </w:pPr>
      <w:r w:rsidRPr="00CF31E0">
        <w:rPr>
          <w:rFonts w:eastAsia="Times New Roman"/>
          <w:color w:val="000000" w:themeColor="text1"/>
          <w:lang w:eastAsia="zh-CN"/>
        </w:rPr>
        <w:t>The rating scale is a technique used to test the attitude object within a scale of gradual points. In language attitude research, three types of scales have been used as an integral part of questionnaires: Thurstone scale, Likert scale, and semantic differential scale. I will discuss the usage</w:t>
      </w:r>
      <w:r w:rsidR="00A051E6" w:rsidRPr="00CF31E0">
        <w:rPr>
          <w:rFonts w:eastAsia="Times New Roman"/>
          <w:color w:val="000000" w:themeColor="text1"/>
          <w:lang w:eastAsia="zh-CN"/>
        </w:rPr>
        <w:t>, advantages and disadvantages</w:t>
      </w:r>
      <w:r w:rsidRPr="00CF31E0">
        <w:rPr>
          <w:rFonts w:eastAsia="Times New Roman"/>
          <w:color w:val="000000" w:themeColor="text1"/>
          <w:lang w:eastAsia="zh-CN"/>
        </w:rPr>
        <w:t xml:space="preserve"> of each scale in the sections below. </w:t>
      </w:r>
    </w:p>
    <w:p w14:paraId="19AB4400" w14:textId="416F9C21" w:rsidR="00160CC4" w:rsidRPr="00CF31E0" w:rsidRDefault="00232730" w:rsidP="00603CB7">
      <w:pPr>
        <w:pStyle w:val="Bhead"/>
        <w:ind w:left="0" w:firstLine="0"/>
      </w:pPr>
      <w:bookmarkStart w:id="229" w:name="_Toc509646853"/>
      <w:bookmarkStart w:id="230" w:name="_Toc510004015"/>
      <w:bookmarkStart w:id="231" w:name="_Toc510025770"/>
      <w:bookmarkStart w:id="232" w:name="_Toc6472658"/>
      <w:r w:rsidRPr="00CF31E0">
        <w:t>4.7.1.</w:t>
      </w:r>
      <w:r w:rsidRPr="00CF31E0">
        <w:tab/>
      </w:r>
      <w:r w:rsidR="00160CC4" w:rsidRPr="00CF31E0">
        <w:t>Thurstone scale</w:t>
      </w:r>
      <w:bookmarkEnd w:id="229"/>
      <w:bookmarkEnd w:id="230"/>
      <w:bookmarkEnd w:id="231"/>
      <w:bookmarkEnd w:id="232"/>
      <w:r w:rsidR="00160CC4" w:rsidRPr="00CF31E0">
        <w:t xml:space="preserve"> </w:t>
      </w:r>
    </w:p>
    <w:p w14:paraId="5A5C665A" w14:textId="77777777" w:rsidR="00160CC4" w:rsidRPr="00CF31E0" w:rsidRDefault="00160CC4" w:rsidP="00603CB7">
      <w:pPr>
        <w:pStyle w:val="Paragraph"/>
        <w:rPr>
          <w:lang w:eastAsia="zh-CN"/>
        </w:rPr>
      </w:pPr>
      <w:r w:rsidRPr="00CF31E0">
        <w:rPr>
          <w:lang w:eastAsia="zh-CN"/>
        </w:rPr>
        <w:fldChar w:fldCharType="begin"/>
      </w:r>
      <w:r w:rsidRPr="00CF31E0">
        <w:rPr>
          <w:lang w:eastAsia="zh-CN"/>
        </w:rPr>
        <w:instrText xml:space="preserve"> ADDIN ZOTERO_ITEM CSL_CITATION {"citationID":"a17nis1n8ph","properties":{"formattedCitation":"(A. N. Oppenheim, 1992)","plainCitation":"(A. N. Oppenheim, 1992)","dontUpdate":true,"noteIndex":0},"citationItems":[{"id":336,"uris":["http://zotero.org/users/1939618/items/QVM7WF33"],"uri":["http://zotero.org/users/1939618/items/QVM7WF33"],"itemData":{"id":336,"type":"book","title":"Questionnaire design, interviewing and attitude measurement","publisher":"Pinter","publisher-place":"London","edition":"New ed.","source":"find.shef.ac.uk","event-place":"London","ISBN":"978-1-85567-043-3","call-number":"001.433 (O), WA950 (O)","language":"eng","author":[{"family":"Oppenheim","given":"A N"}],"issued":{"date-parts":[["1992"]]}}}],"schema":"https://github.com/citation-style-language/schema/raw/master/csl-citation.json"} </w:instrText>
      </w:r>
      <w:r w:rsidRPr="00CF31E0">
        <w:rPr>
          <w:lang w:eastAsia="zh-CN"/>
        </w:rPr>
        <w:fldChar w:fldCharType="separate"/>
      </w:r>
      <w:r w:rsidRPr="00CF31E0">
        <w:rPr>
          <w:noProof/>
          <w:lang w:eastAsia="zh-CN"/>
        </w:rPr>
        <w:t>Oppenheim (1992)</w:t>
      </w:r>
      <w:r w:rsidRPr="00CF31E0">
        <w:rPr>
          <w:lang w:eastAsia="zh-CN"/>
        </w:rPr>
        <w:fldChar w:fldCharType="end"/>
      </w:r>
      <w:r w:rsidRPr="00CF31E0">
        <w:rPr>
          <w:lang w:eastAsia="zh-CN"/>
        </w:rPr>
        <w:t xml:space="preserve"> illustrates that four steps have to be followed when using the Thurstone scale. First, the researcher needs to collect statements about the variety or language under study; the statements can be collected either from a pilot study of from the literature. Second, the researcher needs to consult people to act as judges to evaluate the statements in an 11-point </w:t>
      </w:r>
      <w:r w:rsidRPr="00CF31E0">
        <w:rPr>
          <w:lang w:eastAsia="zh-CN"/>
        </w:rPr>
        <w:lastRenderedPageBreak/>
        <w:t xml:space="preserve">answer format: 1 indicates the least favourable statement, while 11 indicates the most favourable. Thus, judges indicate their strength of attitude towards each statement. At this point, the average rating from the judges for each statement is calculated and given to each single statement. Third, the researcher administers the scale where each statement includes, within the 11-point answer format, the average rating. The average rating was given previously by judges, but it is not written next to statements. Then, the respondents are asked to rate the statement from 1 (least favourable) to 11(most favourable). Fourth, the average rating for each statement checked is computed to determine the participants’ attitude. </w:t>
      </w:r>
    </w:p>
    <w:p w14:paraId="25CF66EF" w14:textId="77777777" w:rsidR="00160CC4" w:rsidRPr="00CF31E0" w:rsidRDefault="00160CC4" w:rsidP="00603CB7">
      <w:pPr>
        <w:pStyle w:val="Paragraph"/>
        <w:rPr>
          <w:lang w:eastAsia="zh-CN"/>
        </w:rPr>
      </w:pPr>
      <w:r w:rsidRPr="00CF31E0">
        <w:rPr>
          <w:lang w:eastAsia="zh-CN"/>
        </w:rPr>
        <w:fldChar w:fldCharType="begin"/>
      </w:r>
      <w:r w:rsidRPr="00CF31E0">
        <w:rPr>
          <w:lang w:eastAsia="zh-CN"/>
        </w:rPr>
        <w:instrText xml:space="preserve"> ADDIN ZOTERO_ITEM CSL_CITATION {"citationID":"1i93Zh0T","properties":{"formattedCitation":"(A. N. Oppenheim, 1992)","plainCitation":"(A. N. Oppenheim, 1992)","dontUpdate":true,"noteIndex":0},"citationItems":[{"id":336,"uris":["http://zotero.org/users/1939618/items/QVM7WF33"],"uri":["http://zotero.org/users/1939618/items/QVM7WF33"],"itemData":{"id":336,"type":"book","title":"Questionnaire design, interviewing and attitude measurement","publisher":"Pinter","publisher-place":"London","edition":"New ed.","source":"find.shef.ac.uk","event-place":"London","ISBN":"978-1-85567-043-3","call-number":"001.433 (O), WA950 (O)","language":"eng","author":[{"family":"Oppenheim","given":"A N"}],"issued":{"date-parts":[["1992"]]}}}],"schema":"https://github.com/citation-style-language/schema/raw/master/csl-citation.json"} </w:instrText>
      </w:r>
      <w:r w:rsidRPr="00CF31E0">
        <w:rPr>
          <w:lang w:eastAsia="zh-CN"/>
        </w:rPr>
        <w:fldChar w:fldCharType="separate"/>
      </w:r>
      <w:r w:rsidRPr="00CF31E0">
        <w:rPr>
          <w:noProof/>
          <w:lang w:eastAsia="zh-CN"/>
        </w:rPr>
        <w:t>Oppenheim (1992)</w:t>
      </w:r>
      <w:r w:rsidRPr="00CF31E0">
        <w:rPr>
          <w:lang w:eastAsia="zh-CN"/>
        </w:rPr>
        <w:fldChar w:fldCharType="end"/>
      </w:r>
      <w:r w:rsidRPr="00CF31E0">
        <w:rPr>
          <w:lang w:eastAsia="zh-CN"/>
        </w:rPr>
        <w:t xml:space="preserve"> argues that developing and administering the Thurstone scale requires a great deal of time and effort as piloting the scale forms a substantial part of developing the scale. Furthermore, </w:t>
      </w:r>
      <w:r w:rsidRPr="00CF31E0">
        <w:rPr>
          <w:lang w:eastAsia="zh-CN"/>
        </w:rPr>
        <w:fldChar w:fldCharType="begin"/>
      </w:r>
      <w:r w:rsidRPr="00CF31E0">
        <w:rPr>
          <w:lang w:eastAsia="zh-CN"/>
        </w:rPr>
        <w:instrText xml:space="preserve"> ADDIN ZOTERO_ITEM CSL_CITATION {"citationID":"LGE6MNKj","properties":{"formattedCitation":"(A. N. Oppenheim, 1992)","plainCitation":"(A. N. Oppenheim, 1992)","dontUpdate":true,"noteIndex":0},"citationItems":[{"id":336,"uris":["http://zotero.org/users/1939618/items/QVM7WF33"],"uri":["http://zotero.org/users/1939618/items/QVM7WF33"],"itemData":{"id":336,"type":"book","title":"Questionnaire design, interviewing and attitude measurement","publisher":"Pinter","publisher-place":"London","edition":"New ed.","source":"find.shef.ac.uk","event-place":"London","ISBN":"978-1-85567-043-3","call-number":"001.433 (O), WA950 (O)","language":"eng","author":[{"family":"Oppenheim","given":"A N"}],"issued":{"date-parts":[["1992"]]}}}],"schema":"https://github.com/citation-style-language/schema/raw/master/csl-citation.json"} </w:instrText>
      </w:r>
      <w:r w:rsidRPr="00CF31E0">
        <w:rPr>
          <w:lang w:eastAsia="zh-CN"/>
        </w:rPr>
        <w:fldChar w:fldCharType="separate"/>
      </w:r>
      <w:r w:rsidRPr="00CF31E0">
        <w:rPr>
          <w:noProof/>
          <w:lang w:eastAsia="zh-CN"/>
        </w:rPr>
        <w:t>Oppenheim (1992)</w:t>
      </w:r>
      <w:r w:rsidRPr="00CF31E0">
        <w:rPr>
          <w:lang w:eastAsia="zh-CN"/>
        </w:rPr>
        <w:fldChar w:fldCharType="end"/>
      </w:r>
      <w:r w:rsidRPr="00CF31E0">
        <w:rPr>
          <w:lang w:eastAsia="zh-CN"/>
        </w:rPr>
        <w:t xml:space="preserve"> contends that this type of scale is culturally sensitive in that it cannot be used cross-culturally as participants in the main study need to be comparable to judges in the pilot study. </w:t>
      </w:r>
    </w:p>
    <w:p w14:paraId="20ACA94E" w14:textId="1950F204" w:rsidR="00160CC4" w:rsidRPr="00CF31E0" w:rsidRDefault="00232730" w:rsidP="00E87209">
      <w:pPr>
        <w:pStyle w:val="Bhead"/>
      </w:pPr>
      <w:bookmarkStart w:id="233" w:name="_Toc509646854"/>
      <w:bookmarkStart w:id="234" w:name="_Toc510004016"/>
      <w:bookmarkStart w:id="235" w:name="_Toc510025771"/>
      <w:bookmarkStart w:id="236" w:name="_Toc6472659"/>
      <w:r w:rsidRPr="00CF31E0">
        <w:t>4</w:t>
      </w:r>
      <w:r w:rsidR="00DB2210" w:rsidRPr="00CF31E0">
        <w:t>.7.2.</w:t>
      </w:r>
      <w:r w:rsidR="00DB2210" w:rsidRPr="00CF31E0">
        <w:tab/>
      </w:r>
      <w:r w:rsidR="00160CC4" w:rsidRPr="00CF31E0">
        <w:t>Likert scale</w:t>
      </w:r>
      <w:bookmarkEnd w:id="233"/>
      <w:bookmarkEnd w:id="234"/>
      <w:bookmarkEnd w:id="235"/>
      <w:bookmarkEnd w:id="236"/>
      <w:r w:rsidR="00160CC4" w:rsidRPr="00CF31E0">
        <w:t xml:space="preserve"> </w:t>
      </w:r>
    </w:p>
    <w:p w14:paraId="1AE7DDF2" w14:textId="77777777" w:rsidR="00160CC4" w:rsidRPr="00CF31E0" w:rsidRDefault="00160CC4" w:rsidP="00603CB7">
      <w:pPr>
        <w:pStyle w:val="Paragraph"/>
        <w:rPr>
          <w:lang w:eastAsia="zh-CN"/>
        </w:rPr>
      </w:pPr>
      <w:r w:rsidRPr="00CF31E0">
        <w:rPr>
          <w:lang w:eastAsia="zh-CN"/>
        </w:rPr>
        <w:t xml:space="preserve">In the Likert scale, the researcher collects statements about the language or dialect concerned, either from a pilot study or from previous literature </w:t>
      </w:r>
      <w:r w:rsidRPr="00CF31E0">
        <w:rPr>
          <w:lang w:eastAsia="zh-CN"/>
        </w:rPr>
        <w:fldChar w:fldCharType="begin"/>
      </w:r>
      <w:r w:rsidRPr="00CF31E0">
        <w:rPr>
          <w:lang w:eastAsia="zh-CN"/>
        </w:rPr>
        <w:instrText xml:space="preserve"> ADDIN ZOTERO_ITEM CSL_CITATION {"citationID":"a244m3l0gnb","properties":{"formattedCitation":"(A. N. Oppenheim, 1992)","plainCitation":"(A. N. Oppenheim, 1992)","dontUpdate":true,"noteIndex":0},"citationItems":[{"id":336,"uris":["http://zotero.org/users/1939618/items/QVM7WF33"],"uri":["http://zotero.org/users/1939618/items/QVM7WF33"],"itemData":{"id":336,"type":"book","title":"Questionnaire design, interviewing and attitude measurement","publisher":"Pinter","publisher-place":"London","edition":"New ed.","source":"find.shef.ac.uk","event-place":"London","ISBN":"978-1-85567-043-3","call-number":"001.433 (O), WA950 (O)","language":"eng","author":[{"family":"Oppenheim","given":"A N"}],"issued":{"date-parts":[["1992"]]}}}],"schema":"https://github.com/citation-style-language/schema/raw/master/csl-citation.json"} </w:instrText>
      </w:r>
      <w:r w:rsidRPr="00CF31E0">
        <w:rPr>
          <w:lang w:eastAsia="zh-CN"/>
        </w:rPr>
        <w:fldChar w:fldCharType="separate"/>
      </w:r>
      <w:r w:rsidRPr="00CF31E0">
        <w:rPr>
          <w:noProof/>
          <w:lang w:eastAsia="zh-CN"/>
        </w:rPr>
        <w:t>(Oppenheim, 1992)</w:t>
      </w:r>
      <w:r w:rsidRPr="00CF31E0">
        <w:rPr>
          <w:lang w:eastAsia="zh-CN"/>
        </w:rPr>
        <w:fldChar w:fldCharType="end"/>
      </w:r>
      <w:r w:rsidRPr="00CF31E0">
        <w:rPr>
          <w:lang w:eastAsia="zh-CN"/>
        </w:rPr>
        <w:t>. The statements gathered should include a five-point scale where 1 indicates the least favourable attitude (strongly disagree) and 5 indicates the most favourable. Then, ideally, the researcher needs to pilot the scale to reveal the effectiveness of the statements gathered</w:t>
      </w:r>
      <w:r w:rsidRPr="00CF31E0">
        <w:rPr>
          <w:lang w:eastAsia="zh-CN"/>
        </w:rPr>
        <w:fldChar w:fldCharType="begin"/>
      </w:r>
      <w:r w:rsidRPr="00CF31E0">
        <w:rPr>
          <w:lang w:eastAsia="zh-CN"/>
        </w:rPr>
        <w:instrText xml:space="preserve"> ADDIN ZOTERO_ITEM CSL_CITATION {"citationID":"adob1v584d","properties":{"formattedCitation":"(A. N. Oppenheim, 1992)","plainCitation":"(A. N. Oppenheim, 1992)","dontUpdate":true,"noteIndex":0},"citationItems":[{"id":336,"uris":["http://zotero.org/users/1939618/items/QVM7WF33"],"uri":["http://zotero.org/users/1939618/items/QVM7WF33"],"itemData":{"id":336,"type":"book","title":"Questionnaire design, interviewing and attitude measurement","publisher":"Pinter","publisher-place":"London","edition":"New ed.","source":"find.shef.ac.uk","event-place":"London","ISBN":"978-1-85567-043-3","call-number":"001.433 (O), WA950 (O)","language":"eng","author":[{"family":"Oppenheim","given":"A N"}],"issued":{"date-parts":[["1992"]]}}}],"schema":"https://github.com/citation-style-language/schema/raw/master/csl-citation.json"} </w:instrText>
      </w:r>
      <w:r w:rsidRPr="00CF31E0">
        <w:rPr>
          <w:lang w:eastAsia="zh-CN"/>
        </w:rPr>
        <w:fldChar w:fldCharType="separate"/>
      </w:r>
      <w:r w:rsidRPr="00CF31E0">
        <w:rPr>
          <w:noProof/>
          <w:lang w:eastAsia="zh-CN"/>
        </w:rPr>
        <w:t xml:space="preserve"> (Oppenheim, 1992)</w:t>
      </w:r>
      <w:r w:rsidRPr="00CF31E0">
        <w:rPr>
          <w:lang w:eastAsia="zh-CN"/>
        </w:rPr>
        <w:fldChar w:fldCharType="end"/>
      </w:r>
      <w:r w:rsidRPr="00CF31E0">
        <w:rPr>
          <w:lang w:eastAsia="zh-CN"/>
        </w:rPr>
        <w:t xml:space="preserve">. Afterwards, the researcher administers the scale and each single response has its own score, which can be calculated statistically in the analysis stage. The Likert scale has been favoured over the Thurstone scale as the former is less laborious </w:t>
      </w:r>
      <w:r w:rsidRPr="00CF31E0">
        <w:rPr>
          <w:lang w:eastAsia="zh-CN"/>
        </w:rPr>
        <w:fldChar w:fldCharType="begin"/>
      </w:r>
      <w:r w:rsidRPr="00CF31E0">
        <w:rPr>
          <w:lang w:eastAsia="zh-CN"/>
        </w:rPr>
        <w:instrText xml:space="preserve"> ADDIN ZOTERO_ITEM CSL_CITATION {"citationID":"a24lej24fu5","properties":{"formattedCitation":"(Garrett et al., 2003; A. N. Oppenheim, 1992)","plainCitation":"(Garrett et al., 2003; A. N. Oppenheim, 1992)","dontUpdate":true,"noteIndex":0},"citationItems":[{"id":311,"uris":["http://zotero.org/users/1939618/items/UQ7HLIBB"],"uri":["http://zotero.org/users/1939618/items/UQ7HLIBB"],"itemData":{"id":311,"type":"book","title":"Investigating language attitudes [electronic resource]: social meanings of dialect, ethnicity and performance","publisher":"University of Wales Press","publisher-place":"Cardiff","number-of-pages":"x+251","source":"find.shef.ac.uk","event-place":"Cardiff","URL":"https://www.dawsonera.com/guard/protected/dawson.jsp?name=https://idp.shef.ac.uk/shibboleth&amp;dest=http://www.dawsonera.com/depp/reader/protected/external/AbstractView/S9781783162086","ISBN":"978-1-78316-208-6","shortTitle":"Investigating language attitudes [electronic resource]","language":"eng","author":[{"family":"Garrett","given":"Peter"},{"family":"Coupland","given":"Nikolas"},{"family":"Williams","given":"Angie"}],"issued":{"date-parts":[["2003"]]},"accessed":{"date-parts":[["2018",1,8]]}},"label":"page"},{"id":336,"uris":["http://zotero.org/users/1939618/items/QVM7WF33"],"uri":["http://zotero.org/users/1939618/items/QVM7WF33"],"itemData":{"id":336,"type":"book","title":"Questionnaire design, interviewing and attitude measurement","publisher":"Pinter","publisher-place":"London","edition":"New ed.","source":"find.shef.ac.uk","event-place":"London","ISBN":"978-1-85567-043-3","call-number":"001.433 (O), WA950 (O)","language":"eng","author":[{"family":"Oppenheim","given":"A N"}],"issued":{"date-parts":[["1992"]]}},"label":"page"}],"schema":"https://github.com/citation-style-language/schema/raw/master/csl-citation.json"} </w:instrText>
      </w:r>
      <w:r w:rsidRPr="00CF31E0">
        <w:rPr>
          <w:lang w:eastAsia="zh-CN"/>
        </w:rPr>
        <w:fldChar w:fldCharType="separate"/>
      </w:r>
      <w:r w:rsidRPr="00CF31E0">
        <w:rPr>
          <w:noProof/>
          <w:lang w:eastAsia="zh-CN"/>
        </w:rPr>
        <w:t>(Garrett et al., 2003; Oppenheim, 1992)</w:t>
      </w:r>
      <w:r w:rsidRPr="00CF31E0">
        <w:rPr>
          <w:lang w:eastAsia="zh-CN"/>
        </w:rPr>
        <w:fldChar w:fldCharType="end"/>
      </w:r>
      <w:r w:rsidRPr="00CF31E0">
        <w:rPr>
          <w:lang w:eastAsia="zh-CN"/>
        </w:rPr>
        <w:t xml:space="preserve">. However, the Likert scale has been criticized due to it taking a long time for participants to answer. The Likert scale is composed of different scales and each scale is associated with a statement (i.e. strongly agree, agree, disagree, etc). The participant is asked to carry out some mental processes in order to </w:t>
      </w:r>
      <w:r w:rsidRPr="00CF31E0">
        <w:rPr>
          <w:lang w:eastAsia="zh-CN"/>
        </w:rPr>
        <w:lastRenderedPageBreak/>
        <w:t xml:space="preserve">respond, which might increase the time spent answering the questionnaire items </w:t>
      </w:r>
      <w:r w:rsidRPr="00CF31E0">
        <w:rPr>
          <w:lang w:eastAsia="zh-CN"/>
        </w:rPr>
        <w:fldChar w:fldCharType="begin"/>
      </w:r>
      <w:r w:rsidRPr="00CF31E0">
        <w:rPr>
          <w:lang w:eastAsia="zh-CN"/>
        </w:rPr>
        <w:instrText xml:space="preserve"> ADDIN ZOTERO_ITEM CSL_CITATION {"citationID":"1f87065tv8","properties":{"formattedCitation":"(Garrett, 2010)","plainCitation":"(Garrett, 2010)","noteIndex":0},"citationItems":[{"id":29,"uris":["http://zotero.org/users/1939618/items/NF3PAHT2"],"uri":["http://zotero.org/users/1939618/items/NF3PAHT2"],"itemData":{"id":29,"type":"book","title":"Attitudes to Language","publisher":"Cambridge University Press","number-of-pages":"269","source":"Google Books","abstract":"Just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behaviour.","ISBN":"978-1-139-48682-8","language":"en","author":[{"family":"Garrett","given":"Peter"}],"issued":{"date-parts":[["2010",4,8]]}}}],"schema":"https://github.com/citation-style-language/schema/raw/master/csl-citation.json"} </w:instrText>
      </w:r>
      <w:r w:rsidRPr="00CF31E0">
        <w:rPr>
          <w:lang w:eastAsia="zh-CN"/>
        </w:rPr>
        <w:fldChar w:fldCharType="separate"/>
      </w:r>
      <w:r w:rsidRPr="00CF31E0">
        <w:rPr>
          <w:lang w:eastAsia="zh-CN"/>
        </w:rPr>
        <w:t>(Garrett, 2010)</w:t>
      </w:r>
      <w:r w:rsidRPr="00CF31E0">
        <w:rPr>
          <w:lang w:eastAsia="zh-CN"/>
        </w:rPr>
        <w:fldChar w:fldCharType="end"/>
      </w:r>
      <w:r w:rsidRPr="00CF31E0">
        <w:rPr>
          <w:lang w:eastAsia="zh-CN"/>
        </w:rPr>
        <w:t>.</w:t>
      </w:r>
    </w:p>
    <w:p w14:paraId="71D36D5A" w14:textId="5161361B" w:rsidR="00160CC4" w:rsidRPr="00CF31E0" w:rsidRDefault="00232730" w:rsidP="00E87209">
      <w:pPr>
        <w:pStyle w:val="Bhead"/>
      </w:pPr>
      <w:bookmarkStart w:id="237" w:name="_Toc6472660"/>
      <w:r w:rsidRPr="00CF31E0">
        <w:t>4</w:t>
      </w:r>
      <w:r w:rsidR="00DB2210" w:rsidRPr="00CF31E0">
        <w:t>.7.3.</w:t>
      </w:r>
      <w:r w:rsidR="00DB2210" w:rsidRPr="00CF31E0">
        <w:tab/>
      </w:r>
      <w:bookmarkStart w:id="238" w:name="_Toc509646855"/>
      <w:bookmarkStart w:id="239" w:name="_Toc510004017"/>
      <w:bookmarkStart w:id="240" w:name="_Toc510025772"/>
      <w:r w:rsidR="00160CC4" w:rsidRPr="00CF31E0">
        <w:t>Semantic differential scale</w:t>
      </w:r>
      <w:bookmarkEnd w:id="237"/>
      <w:bookmarkEnd w:id="238"/>
      <w:bookmarkEnd w:id="239"/>
      <w:bookmarkEnd w:id="240"/>
      <w:r w:rsidR="00160CC4" w:rsidRPr="00CF31E0">
        <w:t xml:space="preserve"> </w:t>
      </w:r>
    </w:p>
    <w:p w14:paraId="571700D7" w14:textId="77777777" w:rsidR="00160CC4" w:rsidRPr="00CF31E0" w:rsidRDefault="00160CC4" w:rsidP="00603CB7">
      <w:pPr>
        <w:pStyle w:val="Paragraph"/>
        <w:rPr>
          <w:lang w:eastAsia="zh-CN"/>
        </w:rPr>
      </w:pPr>
      <w:r w:rsidRPr="00CF31E0">
        <w:rPr>
          <w:lang w:eastAsia="zh-CN"/>
        </w:rPr>
        <w:t xml:space="preserve">This type of rating “need only involve using equidistant numbers on a scale (e.g. 1 to 7) with semantically opposing labels applied to each end” </w:t>
      </w:r>
      <w:r w:rsidRPr="00CF31E0">
        <w:rPr>
          <w:lang w:eastAsia="zh-CN"/>
        </w:rPr>
        <w:fldChar w:fldCharType="begin"/>
      </w:r>
      <w:r w:rsidRPr="00CF31E0">
        <w:rPr>
          <w:lang w:eastAsia="zh-CN"/>
        </w:rPr>
        <w:instrText xml:space="preserve"> ADDIN ZOTERO_ITEM CSL_CITATION {"citationID":"gryeU5T7","properties":{"formattedCitation":"(Garrett, 2010, p. 55)","plainCitation":"(Garrett, 2010, p. 55)"},"citationItems":[{"id":29,"uris":["http://zotero.org/users/1939618/items/NF3PAHT2"],"uri":["http://zotero.org/users/1939618/items/NF3PAHT2"],"itemData":{"id":29,"type":"book","title":"Attitudes to Language","publisher":"Cambridge University Press","number-of-pages":"269","source":"Google Books","abstract":"Just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behaviour.","ISBN":"978-1-139-48682-8","language":"en","author":[{"family":"Garrett","given":"Peter"}],"issued":{"date-parts":[["2010",4,8]]}},"locator":"55","label":"page"}],"schema":"https://github.com/citation-style-language/schema/raw/master/csl-citation.json"} </w:instrText>
      </w:r>
      <w:r w:rsidRPr="00CF31E0">
        <w:rPr>
          <w:lang w:eastAsia="zh-CN"/>
        </w:rPr>
        <w:fldChar w:fldCharType="separate"/>
      </w:r>
      <w:r w:rsidRPr="00CF31E0">
        <w:rPr>
          <w:lang w:eastAsia="zh-CN"/>
        </w:rPr>
        <w:t>(Garrett, 2010, p. 55)</w:t>
      </w:r>
      <w:r w:rsidRPr="00CF31E0">
        <w:rPr>
          <w:lang w:eastAsia="zh-CN"/>
        </w:rPr>
        <w:fldChar w:fldCharType="end"/>
      </w:r>
      <w:r w:rsidRPr="00CF31E0">
        <w:rPr>
          <w:lang w:eastAsia="zh-CN"/>
        </w:rPr>
        <w:fldChar w:fldCharType="begin"/>
      </w:r>
      <w:r w:rsidRPr="00CF31E0">
        <w:rPr>
          <w:lang w:eastAsia="zh-CN"/>
        </w:rPr>
        <w:instrText xml:space="preserve"> ADDIN ZOTERO_TEMP </w:instrText>
      </w:r>
      <w:r w:rsidRPr="00CF31E0">
        <w:rPr>
          <w:lang w:eastAsia="zh-CN"/>
        </w:rPr>
        <w:fldChar w:fldCharType="end"/>
      </w:r>
      <w:r w:rsidRPr="00CF31E0">
        <w:rPr>
          <w:lang w:eastAsia="zh-CN"/>
        </w:rPr>
        <w:t xml:space="preserve">. This means that the scale has to be bounded with two opposing labels such as: bad/good; rich/poor. Prior to administering the semantic differential scale, the researcher has to be very mindful of the choice of characteristic labels to be rated in the scale </w:t>
      </w:r>
      <w:r w:rsidRPr="00CF31E0">
        <w:rPr>
          <w:lang w:eastAsia="zh-CN"/>
        </w:rPr>
        <w:fldChar w:fldCharType="begin"/>
      </w:r>
      <w:r w:rsidRPr="00CF31E0">
        <w:rPr>
          <w:lang w:eastAsia="zh-CN"/>
        </w:rPr>
        <w:instrText xml:space="preserve"> ADDIN ZOTERO_ITEM CSL_CITATION {"citationID":"a1bnd80aei7","properties":{"formattedCitation":"(Garrett et al., 2003)","plainCitation":"(Garrett et al., 2003)","noteIndex":0},"citationItems":[{"id":311,"uris":["http://zotero.org/users/1939618/items/UQ7HLIBB"],"uri":["http://zotero.org/users/1939618/items/UQ7HLIBB"],"itemData":{"id":311,"type":"book","title":"Investigating language attitudes [electronic resource]: social meanings of dialect, ethnicity and performance","publisher":"University of Wales Press","publisher-place":"Cardiff","number-of-pages":"x+251","source":"find.shef.ac.uk","event-place":"Cardiff","URL":"https://www.dawsonera.com/guard/protected/dawson.jsp?name=https://idp.shef.ac.uk/shibboleth&amp;dest=http://www.dawsonera.com/depp/reader/protected/external/AbstractView/S9781783162086","ISBN":"978-1-78316-208-6","shortTitle":"Investigating language attitudes [electronic resource]","language":"eng","author":[{"family":"Garrett","given":"Peter"},{"family":"Coupland","given":"Nikolas"},{"family":"Williams","given":"Angie"}],"issued":{"date-parts":[["2003"]]},"accessed":{"date-parts":[["2018",1,8]]}}}],"schema":"https://github.com/citation-style-language/schema/raw/master/csl-citation.json"} </w:instrText>
      </w:r>
      <w:r w:rsidRPr="00CF31E0">
        <w:rPr>
          <w:lang w:eastAsia="zh-CN"/>
        </w:rPr>
        <w:fldChar w:fldCharType="separate"/>
      </w:r>
      <w:r w:rsidRPr="00CF31E0">
        <w:rPr>
          <w:noProof/>
          <w:lang w:eastAsia="zh-CN"/>
        </w:rPr>
        <w:t>(Garrett et al., 2003)</w:t>
      </w:r>
      <w:r w:rsidRPr="00CF31E0">
        <w:rPr>
          <w:lang w:eastAsia="zh-CN"/>
        </w:rPr>
        <w:fldChar w:fldCharType="end"/>
      </w:r>
      <w:r w:rsidRPr="00CF31E0">
        <w:rPr>
          <w:lang w:eastAsia="zh-CN"/>
        </w:rPr>
        <w:t xml:space="preserve">. This is because measurements from such a scale can contribute to language attitude theory by revealing dimensions behind the labels. </w:t>
      </w:r>
    </w:p>
    <w:p w14:paraId="28882E92" w14:textId="19657B8F" w:rsidR="00160CC4" w:rsidRPr="00CF31E0" w:rsidRDefault="00160CC4" w:rsidP="00603CB7">
      <w:pPr>
        <w:pStyle w:val="Paragraph"/>
        <w:rPr>
          <w:lang w:eastAsia="zh-CN"/>
        </w:rPr>
      </w:pPr>
      <w:r w:rsidRPr="00CF31E0">
        <w:rPr>
          <w:lang w:eastAsia="zh-CN"/>
        </w:rPr>
        <w:t xml:space="preserve">The decision over which labels or characteristics to use in the semantic differential scale is subject to debate. </w:t>
      </w:r>
      <w:r w:rsidRPr="00CF31E0">
        <w:rPr>
          <w:lang w:eastAsia="zh-CN"/>
        </w:rPr>
        <w:fldChar w:fldCharType="begin"/>
      </w:r>
      <w:r w:rsidRPr="00CF31E0">
        <w:rPr>
          <w:lang w:eastAsia="zh-CN"/>
        </w:rPr>
        <w:instrText xml:space="preserve"> ADDIN ZOTERO_ITEM CSL_CITATION {"citationID":"0OLLnNM2","properties":{"formattedCitation":"(Garrett, 2010)","plainCitation":"(Garrett, 2010)"},"citationItems":[{"id":29,"uris":["http://zotero.org/users/1939618/items/NF3PAHT2"],"uri":["http://zotero.org/users/1939618/items/NF3PAHT2"],"itemData":{"id":29,"type":"book","title":"Attitudes to Language","publisher":"Cambridge University Press","number-of-pages":"269","source":"Google Books","abstract":"Just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behaviour.","ISBN":"978-1-139-48682-8","language":"en","author":[{"family":"Garrett","given":"Peter"}],"issued":{"date-parts":[["2010",4,8]]}}}],"schema":"https://github.com/citation-style-language/schema/raw/master/csl-citation.json"} </w:instrText>
      </w:r>
      <w:r w:rsidRPr="00CF31E0">
        <w:rPr>
          <w:lang w:eastAsia="zh-CN"/>
        </w:rPr>
        <w:fldChar w:fldCharType="separate"/>
      </w:r>
      <w:r w:rsidRPr="00CF31E0">
        <w:rPr>
          <w:noProof/>
          <w:lang w:eastAsia="zh-CN"/>
        </w:rPr>
        <w:t>Garrett (2010, p. 56)</w:t>
      </w:r>
      <w:r w:rsidRPr="00CF31E0">
        <w:rPr>
          <w:lang w:eastAsia="zh-CN"/>
        </w:rPr>
        <w:fldChar w:fldCharType="end"/>
      </w:r>
      <w:r w:rsidRPr="00CF31E0">
        <w:rPr>
          <w:lang w:eastAsia="zh-CN"/>
        </w:rPr>
        <w:t xml:space="preserve"> recommended using one of the three suggestions: first, labels can be used from previous studies. Zahn and Hopper (1985) investigated the dimensions behind language attitudes. They collected scale labels from previous literature. Then they administered the questionnaire to 600 participants. Zahn and Hopper (1985) analysed the results with factor analysis, which revealed three dimensions behind all labels in the scale: superiority, attractiveness and dynamism. Their work made a significant contribution to the field of language attitudes, as they not only revealed participants’ attitudes but also the dimensions behind observed attitudes were uncovered; these dimensions have been used widely by subsequent researchers in the field. However, the dimensions revealed from previous research such as the one above might be problematic if used in other contexts in the world as they are not naturally universal, and might be ambiguous or not even salient to participants from different contexts </w:t>
      </w:r>
      <w:r w:rsidRPr="00CF31E0">
        <w:rPr>
          <w:lang w:eastAsia="zh-CN"/>
        </w:rPr>
        <w:fldChar w:fldCharType="begin"/>
      </w:r>
      <w:r w:rsidRPr="00CF31E0">
        <w:rPr>
          <w:lang w:eastAsia="zh-CN"/>
        </w:rPr>
        <w:instrText xml:space="preserve"> ADDIN ZOTERO_ITEM CSL_CITATION {"citationID":"CY8kw80z","properties":{"formattedCitation":"(Garrett et al., 2003)","plainCitation":"(Garrett et al., 2003)","noteIndex":0},"citationItems":[{"id":311,"uris":["http://zotero.org/users/1939618/items/UQ7HLIBB"],"uri":["http://zotero.org/users/1939618/items/UQ7HLIBB"],"itemData":{"id":311,"type":"book","title":"Investigating language attitudes [electronic resource]: social meanings of dialect, ethnicity and performance","publisher":"University of Wales Press","publisher-place":"Cardiff","number-of-pages":"x+251","source":"find.shef.ac.uk","event-place":"Cardiff","URL":"https://www.dawsonera.com/guard/protected/dawson.jsp?name=https://idp.shef.ac.uk/shibboleth&amp;dest=http://www.dawsonera.com/depp/reader/protected/external/AbstractView/S9781783162086","ISBN":"978-1-78316-208-6","shortTitle":"Investigating language attitudes [electronic resource]","language":"eng","author":[{"family":"Garrett","given":"Peter"},{"family":"Coupland","given":"Nikolas"},{"family":"Williams","given":"Angie"}],"issued":{"date-parts":[["2003"]]},"accessed":{"date-parts":[["2018",1,8]]}}}],"schema":"https://github.com/citation-style-language/schema/raw/master/csl-citation.json"} </w:instrText>
      </w:r>
      <w:r w:rsidRPr="00CF31E0">
        <w:rPr>
          <w:lang w:eastAsia="zh-CN"/>
        </w:rPr>
        <w:fldChar w:fldCharType="separate"/>
      </w:r>
      <w:r w:rsidRPr="00CF31E0">
        <w:rPr>
          <w:noProof/>
          <w:lang w:eastAsia="zh-CN"/>
        </w:rPr>
        <w:t>(Garrett et al., 2003)</w:t>
      </w:r>
      <w:r w:rsidRPr="00CF31E0">
        <w:rPr>
          <w:lang w:eastAsia="zh-CN"/>
        </w:rPr>
        <w:fldChar w:fldCharType="end"/>
      </w:r>
      <w:r w:rsidRPr="00CF31E0">
        <w:rPr>
          <w:lang w:eastAsia="zh-CN"/>
        </w:rPr>
        <w:t xml:space="preserve">. Similarly, empirical evidence can be found in </w:t>
      </w:r>
      <w:r w:rsidRPr="00CF31E0">
        <w:rPr>
          <w:lang w:eastAsia="zh-CN"/>
        </w:rPr>
        <w:fldChar w:fldCharType="begin"/>
      </w:r>
      <w:r w:rsidRPr="00CF31E0">
        <w:rPr>
          <w:lang w:eastAsia="zh-CN"/>
        </w:rPr>
        <w:instrText xml:space="preserve"> ADDIN ZOTERO_ITEM CSL_CITATION {"citationID":"a9ahbrksal","properties":{"formattedCitation":"(Kristiansen, 2001)","plainCitation":"(Kristiansen, 2001)","noteIndex":0},"citationItems":[{"id":355,"uris":["http://zotero.org/users/1939618/items/5IAH8H8B"],"uri":["http://zotero.org/users/1939618/items/5IAH8H8B"],"itemData":{"id":355,"type":"article-journal","title":"Two Standards: One for the Media and One for the School","container-title":"Language Awareness","page":"9–24","volume":"10","issue":"1","source":"find.shef.ac.uk","abstract":"This paper argues that young Danes are in the process of changing the notion of Standard Danish, partly by 'moving' it in the direction of what used to be perceived as 'low' Copenhagen speech, partly by 'splitting' it in two. Verbal guise data gathered in the town of Næstved not far from Copenhagen in 1989 indicated that 'low' Copenhagen features were far from alien to young Næstveders' representations of Standard Danish. Furthermore, the upgrading of speakers with such features was found to be stronger on 'dynamism' traits than on 'superiority' traits. A replication of the study in 1998 showed that the notion of Standard Danish continues to move in the direction of 'low' Copenhagen speech, and also that considerations of 'dynamism' and 'superiority' continue to play a decisive role in young Næstveders' attitudinal relationship to the phonetic variation in Copenhagen speech. The paper suggests that the evaluative distinction between 'dynamism' and 'superiority' reflects different notions of 'excellence' within traditional public institutions like school and business, on the one hand, and the modern media, on the other.","DOI":"10.1080/09658410108667022","ISSN":"0965-8416","shortTitle":"Two Standards","author":[{"family":"Kristiansen","given":"Tore"}],"issued":{"date-parts":[["2001",6,1]]}}}],"schema":"https://github.com/citation-style-language/schema/raw/master/csl-citation.json"} </w:instrText>
      </w:r>
      <w:r w:rsidRPr="00CF31E0">
        <w:rPr>
          <w:lang w:eastAsia="zh-CN"/>
        </w:rPr>
        <w:fldChar w:fldCharType="separate"/>
      </w:r>
      <w:r w:rsidRPr="00CF31E0">
        <w:rPr>
          <w:noProof/>
          <w:lang w:eastAsia="zh-CN"/>
        </w:rPr>
        <w:t>Kristiansen's study (2001)</w:t>
      </w:r>
      <w:r w:rsidRPr="00CF31E0">
        <w:rPr>
          <w:lang w:eastAsia="zh-CN"/>
        </w:rPr>
        <w:fldChar w:fldCharType="end"/>
      </w:r>
      <w:r w:rsidRPr="00CF31E0">
        <w:rPr>
          <w:lang w:eastAsia="zh-CN"/>
        </w:rPr>
        <w:t xml:space="preserve">. He </w:t>
      </w:r>
      <w:r w:rsidRPr="00CF31E0">
        <w:rPr>
          <w:rFonts w:ascii="Times" w:eastAsia="Calibri" w:hAnsi="Times" w:cs="Times"/>
          <w:lang w:eastAsia="en-US"/>
        </w:rPr>
        <w:t>conducted a verbal</w:t>
      </w:r>
      <w:r w:rsidR="005D0894" w:rsidRPr="00CF31E0">
        <w:rPr>
          <w:rFonts w:ascii="Times" w:eastAsia="Calibri" w:hAnsi="Times" w:cs="Times"/>
          <w:lang w:eastAsia="en-US"/>
        </w:rPr>
        <w:t>-guise</w:t>
      </w:r>
      <w:r w:rsidRPr="00CF31E0">
        <w:rPr>
          <w:rFonts w:ascii="Times" w:eastAsia="Calibri" w:hAnsi="Times" w:cs="Times"/>
          <w:lang w:eastAsia="en-US"/>
        </w:rPr>
        <w:t xml:space="preserve"> study on 16–18-year-old Danish secondary school students to reveal their attitudes towards the Danish standard languages. Findings of his study revealed that the widely used status versus solidarity dimensions were not of much </w:t>
      </w:r>
      <w:r w:rsidRPr="00CF31E0">
        <w:rPr>
          <w:rFonts w:ascii="Times" w:eastAsia="Calibri" w:hAnsi="Times" w:cs="Times"/>
          <w:lang w:eastAsia="en-US"/>
        </w:rPr>
        <w:lastRenderedPageBreak/>
        <w:t xml:space="preserve">significance to Danish participants, while superiority versus dynamism seemed to be of much importance to them. </w:t>
      </w:r>
    </w:p>
    <w:p w14:paraId="0B6F5130" w14:textId="6541D6F1" w:rsidR="00160CC4" w:rsidRPr="00CF31E0" w:rsidRDefault="00160CC4" w:rsidP="00603CB7">
      <w:pPr>
        <w:pStyle w:val="Paragraph"/>
        <w:rPr>
          <w:lang w:eastAsia="zh-CN"/>
        </w:rPr>
      </w:pPr>
      <w:r w:rsidRPr="00CF31E0">
        <w:rPr>
          <w:lang w:eastAsia="zh-CN"/>
        </w:rPr>
        <w:t>Second, labels can be elicited from a preliminary study by giving a panel of people a free</w:t>
      </w:r>
      <w:r w:rsidR="00C86BDA" w:rsidRPr="00CF31E0">
        <w:rPr>
          <w:lang w:eastAsia="zh-CN"/>
        </w:rPr>
        <w:t>-adjective</w:t>
      </w:r>
      <w:r w:rsidRPr="00CF31E0">
        <w:rPr>
          <w:lang w:eastAsia="zh-CN"/>
        </w:rPr>
        <w:t xml:space="preserve"> questionnaire and asking them to suggest labels for the dialects concerned; examples of such a preliminary study can be found in the study by </w:t>
      </w:r>
      <w:r w:rsidRPr="00CF31E0">
        <w:rPr>
          <w:lang w:eastAsia="zh-CN"/>
        </w:rPr>
        <w:fldChar w:fldCharType="begin"/>
      </w:r>
      <w:r w:rsidRPr="00CF31E0">
        <w:rPr>
          <w:lang w:eastAsia="zh-CN"/>
        </w:rPr>
        <w:instrText xml:space="preserve"> ADDIN ZOTERO_ITEM CSL_CITATION {"citationID":"kkgVAMX6","properties":{"formattedCitation":"(Price, Fluck, &amp; Giles, 1983)","plainCitation":"(Price, Fluck, &amp; Giles, 1983)","noteIndex":0},"citationItems":[{"id":338,"uris":["http://zotero.org/users/1939618/items/65BQ35JN"],"uri":["http://zotero.org/users/1939618/items/65BQ35JN"],"itemData":{"id":338,"type":"article-journal","title":"The effects of language of testing on bilingual pre</w:instrText>
      </w:r>
      <w:r w:rsidRPr="00CF31E0">
        <w:rPr>
          <w:rFonts w:ascii="Calibri" w:eastAsia="Calibri" w:hAnsi="Calibri" w:cs="Calibri"/>
          <w:lang w:eastAsia="zh-CN"/>
        </w:rPr>
        <w:instrText>‐</w:instrText>
      </w:r>
      <w:r w:rsidRPr="00CF31E0">
        <w:rPr>
          <w:lang w:eastAsia="zh-CN"/>
        </w:rPr>
        <w:instrText>adolescents’ attitudes towards welsh and varieties of English","container-title":"Journal of Multilingual and Multicultural Development","page":"149–161","volume":"4","issue":"2-3","source":"find.shef.ac.uk","abstract":"This study, using the matched</w:instrText>
      </w:r>
      <w:r w:rsidRPr="00CF31E0">
        <w:rPr>
          <w:rFonts w:ascii="Calibri" w:eastAsia="Calibri" w:hAnsi="Calibri" w:cs="Calibri"/>
          <w:lang w:eastAsia="zh-CN"/>
        </w:rPr>
        <w:instrText>‐</w:instrText>
      </w:r>
      <w:r w:rsidRPr="00CF31E0">
        <w:rPr>
          <w:lang w:eastAsia="zh-CN"/>
        </w:rPr>
        <w:instrText>guise technique, was designed (a) to determine how West Welsh pre</w:instrText>
      </w:r>
      <w:r w:rsidRPr="00CF31E0">
        <w:rPr>
          <w:rFonts w:ascii="Calibri" w:eastAsia="Calibri" w:hAnsi="Calibri" w:cs="Calibri"/>
          <w:lang w:eastAsia="zh-CN"/>
        </w:rPr>
        <w:instrText>‐</w:instrText>
      </w:r>
      <w:r w:rsidRPr="00CF31E0">
        <w:rPr>
          <w:lang w:eastAsia="zh-CN"/>
        </w:rPr>
        <w:instrText>adolescents would react to Welsh speakers reading a passage of prose in one or other of three language varieties (R.P. English [EE] vs. Welsh</w:instrText>
      </w:r>
      <w:r w:rsidRPr="00CF31E0">
        <w:rPr>
          <w:rFonts w:ascii="Calibri" w:eastAsia="Calibri" w:hAnsi="Calibri" w:cs="Calibri"/>
          <w:lang w:eastAsia="zh-CN"/>
        </w:rPr>
        <w:instrText>‐</w:instrText>
      </w:r>
      <w:r w:rsidRPr="00CF31E0">
        <w:rPr>
          <w:lang w:eastAsia="zh-CN"/>
        </w:rPr>
        <w:instrText>accented English [EW] vs. Welsh [WW]), and (b) to examine what effect language of testing (English vs. Welsh) might have on children's social evaluations of speech styles. The results showed that EW was judged less good and more snobbish than WW while the former was rated as less strong than EE; no differences accrued between EE and WW. Two interaction effects emerged showing that differences arose in the way subjects evaluated EW depending on the language of testing. He was rated as more selfish than either EE or WW when the language of instructions and the scales were in Welsh and less intelligent than both of them when the testing situation was in English. The results are discussed in relation to previous matched</w:instrText>
      </w:r>
      <w:r w:rsidRPr="00CF31E0">
        <w:rPr>
          <w:rFonts w:ascii="Calibri" w:eastAsia="Calibri" w:hAnsi="Calibri" w:cs="Calibri"/>
          <w:lang w:eastAsia="zh-CN"/>
        </w:rPr>
        <w:instrText>‐</w:instrText>
      </w:r>
      <w:r w:rsidRPr="00CF31E0">
        <w:rPr>
          <w:lang w:eastAsia="zh-CN"/>
        </w:rPr>
        <w:instrText xml:space="preserve">guise research in Wales and their methodological implications more generally underscored.","DOI":"10.1080/01434632.1983.9994108","ISSN":"0143-4632","author":[{"family":"Price","given":"Susan"},{"family":"Fluck","given":"Michael"},{"family":"Giles","given":"Howard"}],"issued":{"date-parts":[["1983",1,1]]}}}],"schema":"https://github.com/citation-style-language/schema/raw/master/csl-citation.json"} </w:instrText>
      </w:r>
      <w:r w:rsidRPr="00CF31E0">
        <w:rPr>
          <w:lang w:eastAsia="zh-CN"/>
        </w:rPr>
        <w:fldChar w:fldCharType="separate"/>
      </w:r>
      <w:r w:rsidRPr="00CF31E0">
        <w:rPr>
          <w:noProof/>
          <w:lang w:eastAsia="zh-CN"/>
        </w:rPr>
        <w:t>Price, Fluck, and Giles (1983)</w:t>
      </w:r>
      <w:r w:rsidRPr="00CF31E0">
        <w:rPr>
          <w:lang w:eastAsia="zh-CN"/>
        </w:rPr>
        <w:fldChar w:fldCharType="end"/>
      </w:r>
      <w:r w:rsidRPr="00CF31E0">
        <w:rPr>
          <w:lang w:eastAsia="zh-CN"/>
        </w:rPr>
        <w:t>. They conducted a study on 64 pre-adolescent Welsh students to reveal their attitudes toward the Welsh language and other English varieties. They used the matched-guise technique where one speaker was speaking three different varieties: RP English, Welsh-accented English and Welsh language. Then, students were asked to rate the speaker on a semantic differential scale. The labels on the scale had been extracted from 31 pre-adolescent Welsh students in a pilot study, where the students were asked to jot down the characteristics of four speakers speaking different accents that they would listen to afterwards: “Birmingham, Somerset, South Welsh and R.P</w:t>
      </w:r>
      <w:r w:rsidR="00CB2457" w:rsidRPr="00CF31E0">
        <w:rPr>
          <w:lang w:eastAsia="zh-CN"/>
        </w:rPr>
        <w:t>.</w:t>
      </w:r>
      <w:r w:rsidRPr="00CF31E0">
        <w:rPr>
          <w:lang w:eastAsia="zh-CN"/>
        </w:rPr>
        <w:t xml:space="preserve"> accented” </w:t>
      </w:r>
      <w:r w:rsidRPr="00CF31E0">
        <w:rPr>
          <w:lang w:eastAsia="zh-CN"/>
        </w:rPr>
        <w:fldChar w:fldCharType="begin"/>
      </w:r>
      <w:r w:rsidRPr="00CF31E0">
        <w:rPr>
          <w:lang w:eastAsia="zh-CN"/>
        </w:rPr>
        <w:instrText xml:space="preserve"> ADDIN ZOTERO_ITEM CSL_CITATION {"citationID":"bpdJGHaQ","properties":{"formattedCitation":"(Price et al., 1983, p. 154)","plainCitation":"(Price et al., 1983, p. 154)","noteIndex":0},"citationItems":[{"id":338,"uris":["http://zotero.org/users/1939618/items/65BQ35JN"],"uri":["http://zotero.org/users/1939618/items/65BQ35JN"],"itemData":{"id":338,"type":"article-journal","title":"The effects of language of testing on bilingual pre</w:instrText>
      </w:r>
      <w:r w:rsidRPr="00CF31E0">
        <w:rPr>
          <w:rFonts w:ascii="Calibri" w:eastAsia="Calibri" w:hAnsi="Calibri" w:cs="Calibri"/>
          <w:lang w:eastAsia="zh-CN"/>
        </w:rPr>
        <w:instrText>‐</w:instrText>
      </w:r>
      <w:r w:rsidRPr="00CF31E0">
        <w:rPr>
          <w:lang w:eastAsia="zh-CN"/>
        </w:rPr>
        <w:instrText>adolescents’ attitudes towards welsh and varieties of English","container-title":"Journal of Multilingual and Multicultural Development","page":"149–161","volume":"4","issue":"2-3","source":"find.shef.ac.uk","abstract":"This study, using the matched</w:instrText>
      </w:r>
      <w:r w:rsidRPr="00CF31E0">
        <w:rPr>
          <w:rFonts w:ascii="Calibri" w:eastAsia="Calibri" w:hAnsi="Calibri" w:cs="Calibri"/>
          <w:lang w:eastAsia="zh-CN"/>
        </w:rPr>
        <w:instrText>‐</w:instrText>
      </w:r>
      <w:r w:rsidRPr="00CF31E0">
        <w:rPr>
          <w:lang w:eastAsia="zh-CN"/>
        </w:rPr>
        <w:instrText>guise technique, was designed (a) to determine how West Welsh pre</w:instrText>
      </w:r>
      <w:r w:rsidRPr="00CF31E0">
        <w:rPr>
          <w:rFonts w:ascii="Calibri" w:eastAsia="Calibri" w:hAnsi="Calibri" w:cs="Calibri"/>
          <w:lang w:eastAsia="zh-CN"/>
        </w:rPr>
        <w:instrText>‐</w:instrText>
      </w:r>
      <w:r w:rsidRPr="00CF31E0">
        <w:rPr>
          <w:lang w:eastAsia="zh-CN"/>
        </w:rPr>
        <w:instrText>adolescents would react to Welsh speakers reading a passage of prose in one or other of three language varieties (R.P. English [EE] vs. Welsh</w:instrText>
      </w:r>
      <w:r w:rsidRPr="00CF31E0">
        <w:rPr>
          <w:rFonts w:ascii="Calibri" w:eastAsia="Calibri" w:hAnsi="Calibri" w:cs="Calibri"/>
          <w:lang w:eastAsia="zh-CN"/>
        </w:rPr>
        <w:instrText>‐</w:instrText>
      </w:r>
      <w:r w:rsidRPr="00CF31E0">
        <w:rPr>
          <w:lang w:eastAsia="zh-CN"/>
        </w:rPr>
        <w:instrText>accented English [EW] vs. Welsh [WW]), and (b) to examine what effect language of testing (English vs. Welsh) might have on children's social evaluations of speech styles. The results showed that EW was judged less good and more snobbish than WW while the former was rated as less strong than EE; no differences accrued between EE and WW. Two interaction effects emerged showing that differences arose in the way subjects evaluated EW depending on the language of testing. He was rated as more selfish than either EE or WW when the language of instructions and the scales were in Welsh and less intelligent than both of them when the testing situation was in English. The results are discussed in relation to previous matched</w:instrText>
      </w:r>
      <w:r w:rsidRPr="00CF31E0">
        <w:rPr>
          <w:rFonts w:ascii="Calibri" w:eastAsia="Calibri" w:hAnsi="Calibri" w:cs="Calibri"/>
          <w:lang w:eastAsia="zh-CN"/>
        </w:rPr>
        <w:instrText>‐</w:instrText>
      </w:r>
      <w:r w:rsidRPr="00CF31E0">
        <w:rPr>
          <w:lang w:eastAsia="zh-CN"/>
        </w:rPr>
        <w:instrText xml:space="preserve">guise research in Wales and their methodological implications more generally underscored.","DOI":"10.1080/01434632.1983.9994108","ISSN":"0143-4632","author":[{"family":"Price","given":"Susan"},{"family":"Fluck","given":"Michael"},{"family":"Giles","given":"Howard"}],"issued":{"date-parts":[["1983",1,1]]}},"locator":"154","label":"page"}],"schema":"https://github.com/citation-style-language/schema/raw/master/csl-citation.json"} </w:instrText>
      </w:r>
      <w:r w:rsidRPr="00CF31E0">
        <w:rPr>
          <w:lang w:eastAsia="zh-CN"/>
        </w:rPr>
        <w:fldChar w:fldCharType="separate"/>
      </w:r>
      <w:r w:rsidRPr="00CF31E0">
        <w:rPr>
          <w:noProof/>
          <w:lang w:eastAsia="zh-CN"/>
        </w:rPr>
        <w:t>(Price et al., 1983, p. 154)</w:t>
      </w:r>
      <w:r w:rsidRPr="00CF31E0">
        <w:rPr>
          <w:lang w:eastAsia="zh-CN"/>
        </w:rPr>
        <w:fldChar w:fldCharType="end"/>
      </w:r>
      <w:r w:rsidRPr="00CF31E0">
        <w:rPr>
          <w:lang w:eastAsia="zh-CN"/>
        </w:rPr>
        <w:t xml:space="preserve">. Afterwards, the researchers selected the most frequently associated scales with Welsh and RP English, which was the focus of their main study. </w:t>
      </w:r>
      <w:r w:rsidRPr="00CF31E0">
        <w:rPr>
          <w:lang w:eastAsia="zh-CN"/>
        </w:rPr>
        <w:fldChar w:fldCharType="begin"/>
      </w:r>
      <w:r w:rsidRPr="00CF31E0">
        <w:rPr>
          <w:lang w:eastAsia="zh-CN"/>
        </w:rPr>
        <w:instrText xml:space="preserve"> ADDIN ZOTERO_ITEM CSL_CITATION {"citationID":"a2av25v8oo6","properties":{"formattedCitation":"(Garrett, 2010)","plainCitation":"(Garrett, 2010)","noteIndex":0},"citationItems":[{"id":29,"uris":["http://zotero.org/users/1939618/items/NF3PAHT2"],"uri":["http://zotero.org/users/1939618/items/NF3PAHT2"],"itemData":{"id":29,"type":"book","title":"Attitudes to Language","publisher":"Cambridge University Press","number-of-pages":"269","source":"Google Books","abstract":"Just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behaviour.","ISBN":"978-1-139-48682-8","language":"en","author":[{"family":"Garrett","given":"Peter"}],"issued":{"date-parts":[["2010",4,8]]}}}],"schema":"https://github.com/citation-style-language/schema/raw/master/csl-citation.json"} </w:instrText>
      </w:r>
      <w:r w:rsidRPr="00CF31E0">
        <w:rPr>
          <w:lang w:eastAsia="zh-CN"/>
        </w:rPr>
        <w:fldChar w:fldCharType="separate"/>
      </w:r>
      <w:r w:rsidRPr="00CF31E0">
        <w:rPr>
          <w:noProof/>
          <w:lang w:eastAsia="zh-CN"/>
        </w:rPr>
        <w:t>Garrett (2010)</w:t>
      </w:r>
      <w:r w:rsidRPr="00CF31E0">
        <w:rPr>
          <w:lang w:eastAsia="zh-CN"/>
        </w:rPr>
        <w:fldChar w:fldCharType="end"/>
      </w:r>
      <w:r w:rsidRPr="00CF31E0">
        <w:rPr>
          <w:lang w:eastAsia="zh-CN"/>
        </w:rPr>
        <w:t xml:space="preserve"> argues that collecting labels from the pilot study gives the researcher more confidence as the labels are meaningful to the respondents. </w:t>
      </w:r>
    </w:p>
    <w:p w14:paraId="488A501D" w14:textId="77777777" w:rsidR="00160CC4" w:rsidRPr="00CF31E0" w:rsidRDefault="00160CC4" w:rsidP="00603CB7">
      <w:pPr>
        <w:pStyle w:val="Paragraph"/>
        <w:rPr>
          <w:lang w:eastAsia="en-US"/>
        </w:rPr>
      </w:pPr>
      <w:r w:rsidRPr="00CF31E0">
        <w:rPr>
          <w:lang w:eastAsia="en-US"/>
        </w:rPr>
        <w:fldChar w:fldCharType="begin"/>
      </w:r>
      <w:r w:rsidRPr="00CF31E0">
        <w:rPr>
          <w:lang w:eastAsia="en-US"/>
        </w:rPr>
        <w:instrText xml:space="preserve"> ADDIN ZOTERO_ITEM CSL_CITATION {"citationID":"zjFFuIEQ","properties":{"formattedCitation":"(Garrett et al., 2005a)","plainCitation":"(Garrett et al., 2005a)","dontUpdate":true,"noteIndex":0},"citationItems":[{"id":298,"uris":["http://zotero.org/users/1939618/items/VGGFH99T"],"uri":["http://zotero.org/users/1939618/items/VGGFH99T"],"itemData":{"id":298,"type":"article-journal","title":"Accessing social meanings: Values of keywords, values in keywords","container-title":"Acta Linguistica Hafniensia","page":"37–54","volume":"37","issue":"1","source":"Google Scholar","shortTitle":"Accessing social meanings","author":[{"family":"Garrett","given":"Peter"},{"family":"Williams","given":"Angie"},{"family":"Evans","given":"Betsy"}],"issued":{"date-parts":[["2005"]]}}}],"schema":"https://github.com/citation-style-language/schema/raw/master/csl-citation.json"} </w:instrText>
      </w:r>
      <w:r w:rsidRPr="00CF31E0">
        <w:rPr>
          <w:lang w:eastAsia="en-US"/>
        </w:rPr>
        <w:fldChar w:fldCharType="separate"/>
      </w:r>
      <w:r w:rsidRPr="00CF31E0">
        <w:rPr>
          <w:noProof/>
          <w:lang w:eastAsia="en-US"/>
        </w:rPr>
        <w:t>Garrett et al. (2005a)</w:t>
      </w:r>
      <w:r w:rsidRPr="00CF31E0">
        <w:rPr>
          <w:lang w:eastAsia="en-US"/>
        </w:rPr>
        <w:fldChar w:fldCharType="end"/>
      </w:r>
      <w:r w:rsidRPr="00CF31E0">
        <w:rPr>
          <w:lang w:eastAsia="en-US"/>
        </w:rPr>
        <w:t xml:space="preserve"> called the above the “keyword technique”, where researchers collect immediate and direct responses from participants. They argue that the keyword technique should not only be confined to the use of piloting scales but also could yield greater insights if answers are analysed qualitatively. In other words, they suggest that the technique can be used “as a primary rather than just a preliminary” method </w:t>
      </w:r>
      <w:r w:rsidRPr="00CF31E0">
        <w:rPr>
          <w:lang w:eastAsia="en-US"/>
        </w:rPr>
        <w:fldChar w:fldCharType="begin"/>
      </w:r>
      <w:r w:rsidRPr="00CF31E0">
        <w:rPr>
          <w:lang w:eastAsia="en-US"/>
        </w:rPr>
        <w:instrText xml:space="preserve"> ADDIN ZOTERO_ITEM CSL_CITATION {"citationID":"wZK7izKK","properties":{"formattedCitation":"(Garrett et al., 2005b, p. 216)","plainCitation":"(Garrett et al., 2005b, p. 216)","noteIndex":0},"citationItems":[{"id":326,"uris":["http://zotero.org/users/1939618/items/CTAELXKB"],"uri":["http://zotero.org/users/1939618/items/CTAELXKB"],"itemData":{"id":326,"type":"article-journal","title":"Attitudinal data from New Zealand, Australia, the USA and UK about each other’s Englishes: Recent changes or consequences of methodologies?","container-title":"Multilingua","page":"211–235","volume":"24","issue":"3","source":"DeGruyter","abstract":"Recent attitudinal research by Bayard et al. (2001) suggested changes in the comparative evaluations of Australian, New Zealand, US and English Englishes, with US English on its way to becoming the preferred variety. We revisit these attitudes after a period of political change in the US, and using a research methodology in line with folklinguistic approaches to attitudes research (e. g. Preston 1996). Convenience samples of respondents in these four countries were asked to identify the countries where they knew English was spoken as a native language, and then quickly to write down their first reactions to those varieties. US English was viewed strikingly negatively in terms of its affective associations, and there were references to ‘excess’ from all respondent groups (e. g. overassertive, overenthusiastic). And, against expectations, the affective profile of English English was not overwhelmingly negative for all groups of respondents. We consider the results in relation to the findings and methods of the earlier studies, and also briefly consider the different statuses of these varieties in terms of the current discussion of late modernity and of different standard varieties (e. g. Kristiansen 2001b) serving different aspects of social life.","DOI":"10.1515/mult.2005.24.3.211","ISSN":"1613-3684","shortTitle":"Attitudinal data from New Zealand, Australia, the USA and UK about each other’s Englishes","author":[{"family":"Garrett","given":"Peter"},{"family":"Williams","given":"Angie"},{"family":"Evans","given":"Betsy"}],"issued":{"date-parts":[["2005"]]}},"locator":"216","label":"page"}],"schema":"https://github.com/citation-style-language/schema/raw/master/csl-citation.json"} </w:instrText>
      </w:r>
      <w:r w:rsidRPr="00CF31E0">
        <w:rPr>
          <w:lang w:eastAsia="en-US"/>
        </w:rPr>
        <w:fldChar w:fldCharType="separate"/>
      </w:r>
      <w:r w:rsidRPr="00CF31E0">
        <w:rPr>
          <w:noProof/>
          <w:lang w:eastAsia="en-US"/>
        </w:rPr>
        <w:t>(Garrett et al., 2005b, p. 216)</w:t>
      </w:r>
      <w:r w:rsidRPr="00CF31E0">
        <w:rPr>
          <w:lang w:eastAsia="en-US"/>
        </w:rPr>
        <w:fldChar w:fldCharType="end"/>
      </w:r>
      <w:r w:rsidRPr="00CF31E0">
        <w:rPr>
          <w:lang w:eastAsia="en-US"/>
        </w:rPr>
        <w:t>. They argue that, in some cases, the keywords given by participants reveal a large number of adjectives that cannot be gradable to be inserted in the scale, and cannot be removed as they contain valuable stereotypical assumptions about the variety or language under question.</w:t>
      </w:r>
    </w:p>
    <w:p w14:paraId="7D3052C8" w14:textId="77777777" w:rsidR="00160CC4" w:rsidRPr="00CF31E0" w:rsidRDefault="00160CC4" w:rsidP="00603CB7">
      <w:pPr>
        <w:pStyle w:val="Paragraph"/>
        <w:rPr>
          <w:lang w:eastAsia="zh-CN"/>
        </w:rPr>
      </w:pPr>
      <w:r w:rsidRPr="00CF31E0">
        <w:rPr>
          <w:lang w:eastAsia="zh-CN"/>
        </w:rPr>
        <w:t xml:space="preserve">The third option is to use a mixture of labels from the literature and labels arrived at through preliminary research; see the study by </w:t>
      </w:r>
      <w:r w:rsidRPr="00CF31E0">
        <w:rPr>
          <w:lang w:eastAsia="zh-CN"/>
        </w:rPr>
        <w:fldChar w:fldCharType="begin"/>
      </w:r>
      <w:r w:rsidRPr="00CF31E0">
        <w:rPr>
          <w:lang w:eastAsia="zh-CN"/>
        </w:rPr>
        <w:instrText xml:space="preserve"> ADDIN ZOTERO_ITEM CSL_CITATION {"citationID":"a1l1mpml11u","properties":{"formattedCitation":"(Nesdale &amp; Rooney, 1996)","plainCitation":"(Nesdale &amp; Rooney, 1996)"},"citationItems":[{"id":289,"uris":["http://zotero.org/users/1939618/items/3HVRAD5U"],"uri":["http://zotero.org/users/1939618/items/3HVRAD5U"],"itemData":{"id":289,"type":"article-journal","title":"Evaluations and stereotyping of accented speakers by pre-adolescent children","container-title":"Journal of Language and Social Psychology","page":"133–154","volume":"15","issue":"2","source":"Google Scholar","author":[{"family":"Nesdale","given":"Drew"},{"family":"Rooney","given":"Rosanna"}],"issued":{"date-parts":[["1996"]]}}}],"schema":"https://github.com/citation-style-language/schema/raw/master/csl-citation.json"} </w:instrText>
      </w:r>
      <w:r w:rsidRPr="00CF31E0">
        <w:rPr>
          <w:lang w:eastAsia="zh-CN"/>
        </w:rPr>
        <w:fldChar w:fldCharType="separate"/>
      </w:r>
      <w:r w:rsidRPr="00CF31E0">
        <w:rPr>
          <w:noProof/>
          <w:lang w:eastAsia="zh-CN"/>
        </w:rPr>
        <w:t xml:space="preserve">Nesdale and </w:t>
      </w:r>
      <w:r w:rsidRPr="00CF31E0">
        <w:rPr>
          <w:noProof/>
          <w:lang w:eastAsia="zh-CN"/>
        </w:rPr>
        <w:lastRenderedPageBreak/>
        <w:t>Rooney (1996)</w:t>
      </w:r>
      <w:r w:rsidRPr="00CF31E0">
        <w:rPr>
          <w:lang w:eastAsia="zh-CN"/>
        </w:rPr>
        <w:fldChar w:fldCharType="end"/>
      </w:r>
      <w:r w:rsidRPr="00CF31E0">
        <w:rPr>
          <w:lang w:eastAsia="zh-CN"/>
        </w:rPr>
        <w:t xml:space="preserve">. Thus, this involves incorporating labels used in the literature with new labels that a researcher collects from a pilot study. </w:t>
      </w:r>
    </w:p>
    <w:p w14:paraId="41E4B23A" w14:textId="77777777" w:rsidR="00160CC4" w:rsidRPr="00CF31E0" w:rsidRDefault="00160CC4" w:rsidP="00603CB7">
      <w:pPr>
        <w:pStyle w:val="Paragraph"/>
        <w:rPr>
          <w:rFonts w:eastAsia="Times New Roman"/>
          <w:lang w:eastAsia="zh-CN"/>
        </w:rPr>
      </w:pPr>
      <w:r w:rsidRPr="00CF31E0">
        <w:rPr>
          <w:lang w:eastAsia="zh-CN"/>
        </w:rPr>
        <w:t xml:space="preserve">On the whole, semantic differential scales are a useful way of eliciting spontaneous and unconscious judgements from respondents because such judgements reduce the level of mental processing, which can sometimes lead respondents to base their answers on social popularity and biases </w:t>
      </w:r>
      <w:r w:rsidRPr="00CF31E0">
        <w:rPr>
          <w:rFonts w:eastAsia="Times New Roman"/>
          <w:lang w:eastAsia="zh-CN"/>
        </w:rPr>
        <w:fldChar w:fldCharType="begin"/>
      </w:r>
      <w:r w:rsidRPr="00CF31E0">
        <w:rPr>
          <w:rFonts w:eastAsia="Times New Roman"/>
          <w:lang w:eastAsia="zh-CN"/>
        </w:rPr>
        <w:instrText xml:space="preserve"> ADDIN ZOTERO_ITEM CSL_CITATION {"citationID":"a2boji13p3v","properties":{"formattedCitation":"(Garrett, 2010; Henerson et al., 1987)","plainCitation":"(Garrett, 2010; Henerson et al., 1987)","noteIndex":0},"citationItems":[{"id":29,"uris":["http://zotero.org/users/1939618/items/NF3PAHT2"],"uri":["http://zotero.org/users/1939618/items/NF3PAHT2"],"itemData":{"id":29,"type":"book","title":"Attitudes to Language","publisher":"Cambridge University Press","number-of-pages":"269","source":"Google Books","abstract":"Just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label":"page"},{"id":335,"uris":["http://zotero.org/users/1939618/items/W39RRBN4"],"uri":["http://zotero.org/users/1939618/items/W39RRBN4"],"itemData":{"id":335,"type":"book","title":"How to measure attitudes","collection-title":"Program evaluation kit (2nd ed.) ; 6","publisher":"Sage","publisher-place":"Newbury Park ; London","source":"find.shef.ac.uk","event-place":"Newbury Park ; London","ISBN":"978-0-8039-3131-2","call-number":"379.15 (P)","language":"eng","author":[{"family":"Henerson","given":"Marlene E."},{"family":"Morris","given":"Lynn Lyons"},{"family":"Fitz-Gibbon","given":"Carol Taylor"}],"issued":{"date-parts":[["1987"]]}},"label":"page"}],"schema":"https://github.com/citation-style-language/schema/raw/master/csl-citation.json"} </w:instrText>
      </w:r>
      <w:r w:rsidRPr="00CF31E0">
        <w:rPr>
          <w:rFonts w:eastAsia="Times New Roman"/>
          <w:lang w:eastAsia="zh-CN"/>
        </w:rPr>
        <w:fldChar w:fldCharType="separate"/>
      </w:r>
      <w:r w:rsidRPr="00CF31E0">
        <w:rPr>
          <w:rFonts w:eastAsia="Times New Roman"/>
          <w:noProof/>
          <w:lang w:eastAsia="zh-CN"/>
        </w:rPr>
        <w:t>(Garrett, 2010; Henerson et al., 1987)</w:t>
      </w:r>
      <w:r w:rsidRPr="00CF31E0">
        <w:rPr>
          <w:rFonts w:eastAsia="Times New Roman"/>
          <w:lang w:eastAsia="zh-CN"/>
        </w:rPr>
        <w:fldChar w:fldCharType="end"/>
      </w:r>
      <w:r w:rsidRPr="00CF31E0">
        <w:rPr>
          <w:rFonts w:eastAsia="Times New Roman"/>
          <w:lang w:eastAsia="zh-CN"/>
        </w:rPr>
        <w:t xml:space="preserve">. </w:t>
      </w:r>
      <w:r w:rsidRPr="00CF31E0">
        <w:rPr>
          <w:lang w:eastAsia="zh-CN"/>
        </w:rPr>
        <w:t xml:space="preserve">Most importantly, they are very useful when administered with a piloted keyword technique as they provide more authentic and reliable findings. </w:t>
      </w:r>
      <w:r w:rsidRPr="00CF31E0">
        <w:rPr>
          <w:rFonts w:eastAsia="Times New Roman"/>
          <w:lang w:eastAsia="zh-CN"/>
        </w:rPr>
        <w:t>Furthermore</w:t>
      </w:r>
      <w:r w:rsidRPr="00CF31E0">
        <w:rPr>
          <w:lang w:eastAsia="zh-CN"/>
        </w:rPr>
        <w:t xml:space="preserve">, semantic differential scales lend themselves to sophisticated statistical analysis as they provide interval data </w:t>
      </w:r>
      <w:r w:rsidRPr="00CF31E0">
        <w:rPr>
          <w:lang w:eastAsia="zh-CN"/>
        </w:rPr>
        <w:fldChar w:fldCharType="begin"/>
      </w:r>
      <w:r w:rsidRPr="00CF31E0">
        <w:rPr>
          <w:lang w:eastAsia="zh-CN"/>
        </w:rPr>
        <w:instrText xml:space="preserve"> ADDIN ZOTERO_ITEM CSL_CITATION {"citationID":"RKxSqDLV","properties":{"formattedCitation":"(Garrett et al., 2005a)","plainCitation":"(Garrett et al., 2005a)","noteIndex":0},"citationItems":[{"id":298,"uris":["http://zotero.org/users/1939618/items/VGGFH99T"],"uri":["http://zotero.org/users/1939618/items/VGGFH99T"],"itemData":{"id":298,"type":"article-journal","title":"Accessing social meanings: Values of keywords, values in keywords","container-title":"Acta Linguistica Hafniensia","page":"37–54","volume":"37","issue":"1","source":"Google Scholar","shortTitle":"Accessing social meanings","author":[{"family":"Garrett","given":"Peter"},{"family":"Williams","given":"Angie"},{"family":"Evans","given":"Betsy"}],"issued":{"date-parts":[["2005"]]}}}],"schema":"https://github.com/citation-style-language/schema/raw/master/csl-citation.json"} </w:instrText>
      </w:r>
      <w:r w:rsidRPr="00CF31E0">
        <w:rPr>
          <w:lang w:eastAsia="zh-CN"/>
        </w:rPr>
        <w:fldChar w:fldCharType="separate"/>
      </w:r>
      <w:r w:rsidRPr="00CF31E0">
        <w:rPr>
          <w:noProof/>
          <w:lang w:eastAsia="zh-CN"/>
        </w:rPr>
        <w:t>(Garrett et al., 2005a)</w:t>
      </w:r>
      <w:r w:rsidRPr="00CF31E0">
        <w:rPr>
          <w:lang w:eastAsia="zh-CN"/>
        </w:rPr>
        <w:fldChar w:fldCharType="end"/>
      </w:r>
      <w:r w:rsidRPr="00CF31E0">
        <w:rPr>
          <w:lang w:val="en-US" w:eastAsia="en-US"/>
        </w:rPr>
        <w:t xml:space="preserve">. They can be analyzed throughout factor analysis as in </w:t>
      </w:r>
      <w:r w:rsidRPr="00CF31E0">
        <w:rPr>
          <w:rFonts w:eastAsia="Times New Roman"/>
          <w:lang w:eastAsia="zh-CN"/>
        </w:rPr>
        <w:fldChar w:fldCharType="begin"/>
      </w:r>
      <w:r w:rsidRPr="00CF31E0">
        <w:rPr>
          <w:rFonts w:eastAsia="Times New Roman"/>
          <w:lang w:eastAsia="zh-CN"/>
        </w:rPr>
        <w:instrText xml:space="preserve"> ADDIN ZOTERO_ITEM CSL_CITATION {"citationID":"a3n8relpke","properties":{"formattedCitation":"(Zahn, Christopher &amp; Hopper, Robert, 1985)","plainCitation":"(Zahn, Christopher &amp; Hopper, Robert, 1985)","noteIndex":0},"citationItems":[{"id":288,"uris":["http://zotero.org/users/1939618/items/CJ8CXVSM"],"uri":["http://zotero.org/users/1939618/items/CJ8CXVSM"],"itemData":{"id":288,"type":"article-journal","title":"Measuring Language Attitudes: The Speech Evaluation Instrument","container-title":"Journal of Language and Social Psychology","page":"113-123","volume":"4","issue":"2","source":"SAGE Journals","abstract":"This paper describes investigations in the measurement of listeners' evaluations of spoken language. Lack of integration in research in this area has been due in part to the numerous measurement instruments used to assess such evaluative reactions. The paper reviews the development of past instruments, describes the design, analysis, and implementation of an omnibus measure, the Speech Evaluation Instrument (SEI), and interprets these findings in light of past research. The use of the SEI is recommended to researchers as a way to make findings of various studies more comparable. Although the development of the SEI was based on evaluation of linguistic diversity, its applicability to a wider range of speech phenomena is suggested.","DOI":"10.1177/0261927X8500400203","ISSN":"0261-927X","shortTitle":"Measuring Language Attitudes","journalAbbreviation":"Journal of Language and Social Psychology","language":"en","author":[{"literal":"Zahn, Christopher"},{"literal":"Hopper, Robert"}],"issued":{"date-parts":[["1985",6,1]]}}}],"schema":"https://github.com/citation-style-language/schema/raw/master/csl-citation.json"} </w:instrText>
      </w:r>
      <w:r w:rsidRPr="00CF31E0">
        <w:rPr>
          <w:rFonts w:eastAsia="Times New Roman"/>
          <w:lang w:eastAsia="zh-CN"/>
        </w:rPr>
        <w:fldChar w:fldCharType="separate"/>
      </w:r>
      <w:r w:rsidRPr="00CF31E0">
        <w:rPr>
          <w:rFonts w:eastAsia="Times New Roman"/>
          <w:noProof/>
          <w:lang w:eastAsia="zh-CN"/>
        </w:rPr>
        <w:t>Zahn and Hopper (1985)</w:t>
      </w:r>
      <w:r w:rsidRPr="00CF31E0">
        <w:rPr>
          <w:rFonts w:eastAsia="Times New Roman"/>
          <w:lang w:eastAsia="zh-CN"/>
        </w:rPr>
        <w:fldChar w:fldCharType="end"/>
      </w:r>
      <w:r w:rsidRPr="00CF31E0">
        <w:rPr>
          <w:lang w:val="en-US" w:eastAsia="en-US"/>
        </w:rPr>
        <w:t xml:space="preserve"> or through cluster analysis as in </w:t>
      </w:r>
      <w:r w:rsidRPr="00CF31E0">
        <w:rPr>
          <w:rFonts w:eastAsia="Times New Roman"/>
          <w:lang w:eastAsia="zh-CN"/>
        </w:rPr>
        <w:fldChar w:fldCharType="begin"/>
      </w:r>
      <w:r w:rsidRPr="00CF31E0">
        <w:rPr>
          <w:rFonts w:eastAsia="Times New Roman"/>
          <w:lang w:eastAsia="zh-CN"/>
        </w:rPr>
        <w:instrText xml:space="preserve"> ADDIN ZOTERO_ITEM CSL_CITATION {"citationID":"a1uns41dns0","properties":{"formattedCitation":"(Garrett, 2010)","plainCitation":"(Garrett, 2010)","noteIndex":0},"citationItems":[{"id":29,"uris":["http://zotero.org/users/1939618/items/NF3PAHT2"],"uri":["http://zotero.org/users/1939618/items/NF3PAHT2"],"itemData":{"id":29,"type":"book","title":"Attitudes to Language","publisher":"Cambridge University Press","number-of-pages":"269","source":"Google Books","abstract":"Just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behaviour.","ISBN":"978-1-139-48682-8","language":"en","author":[{"family":"Garrett","given":"Peter"}],"issued":{"date-parts":[["2010",4,8]]}}}],"schema":"https://github.com/citation-style-language/schema/raw/master/csl-citation.json"} </w:instrText>
      </w:r>
      <w:r w:rsidRPr="00CF31E0">
        <w:rPr>
          <w:rFonts w:eastAsia="Times New Roman"/>
          <w:lang w:eastAsia="zh-CN"/>
        </w:rPr>
        <w:fldChar w:fldCharType="separate"/>
      </w:r>
      <w:r w:rsidRPr="00CF31E0">
        <w:rPr>
          <w:rFonts w:eastAsia="Times New Roman"/>
          <w:noProof/>
          <w:lang w:eastAsia="zh-CN"/>
        </w:rPr>
        <w:t>Garrett (2010)</w:t>
      </w:r>
      <w:r w:rsidRPr="00CF31E0">
        <w:rPr>
          <w:rFonts w:eastAsia="Times New Roman"/>
          <w:lang w:eastAsia="zh-CN"/>
        </w:rPr>
        <w:fldChar w:fldCharType="end"/>
      </w:r>
      <w:r w:rsidRPr="00CF31E0">
        <w:rPr>
          <w:rFonts w:eastAsia="Times New Roman"/>
          <w:lang w:eastAsia="zh-CN"/>
        </w:rPr>
        <w:t xml:space="preserve">. </w:t>
      </w:r>
    </w:p>
    <w:p w14:paraId="7D962060" w14:textId="4A0B9893" w:rsidR="00160CC4" w:rsidRPr="00CF31E0" w:rsidRDefault="00755978" w:rsidP="00755978">
      <w:pPr>
        <w:pStyle w:val="Paragraph"/>
        <w:rPr>
          <w:lang w:eastAsia="zh-CN"/>
        </w:rPr>
      </w:pPr>
      <w:bookmarkStart w:id="241" w:name="ZOTERO_BREF_IK4CBWA2AqD6SF5jGsXK4"/>
      <w:r w:rsidRPr="00CF31E0">
        <w:rPr>
          <w:lang w:eastAsia="zh-CN"/>
        </w:rPr>
        <w:t>Garrett et al., (2003)</w:t>
      </w:r>
      <w:bookmarkEnd w:id="241"/>
      <w:r w:rsidR="00160CC4" w:rsidRPr="00CF31E0">
        <w:rPr>
          <w:lang w:eastAsia="zh-CN"/>
        </w:rPr>
        <w:t xml:space="preserve"> argues that semantic differential scales imply that the adjectives to be included in the scale have two features: antonymy and gradability. The adjective has to have an antonym nature to be placed at the beginning and the end of the scale. Furthermore, for an adjective to have two opposites, it must have grades in between these opposites. Linguistically, there are some types of adjectives that do not have the nature of an antonym and grading; therefore, some adjectives cannot be placed in the scale. Similarly, </w:t>
      </w:r>
      <w:r w:rsidR="00160CC4" w:rsidRPr="00CF31E0">
        <w:rPr>
          <w:lang w:eastAsia="zh-CN"/>
        </w:rPr>
        <w:fldChar w:fldCharType="begin"/>
      </w:r>
      <w:r w:rsidR="00160CC4" w:rsidRPr="00CF31E0">
        <w:rPr>
          <w:lang w:eastAsia="zh-CN"/>
        </w:rPr>
        <w:instrText xml:space="preserve"> ADDIN ZOTERO_ITEM CSL_CITATION {"citationID":"d7i3DlKy","properties":{"formattedCitation":"(Maegaard, 2005)","plainCitation":"(Maegaard, 2005)","dontUpdate":true,"noteIndex":0},"citationItems":[{"id":314,"uris":["http://zotero.org/users/1939618/items/YWJZXRDM"],"uri":["http://zotero.org/users/1939618/items/YWJZXRDM"],"itemData":{"id":314,"type":"article-journal","title":"Language attitudes, norm and gender a presentation of the method and results from a language attitude study","container-title":"Acta Linguistica Hafniensia","page":"55-80","volume":"37","issue":"1","source":"www-tandfonline-com.sheffield.idm.oclc.org (Atypon)","abstract":"This paper deals with the more traditional sociolinguistic area of language attitudes. Based on data from the city of Århus, Denmark, I discuss the methods used in speaker evaluation experiments. The paper presents both a methodological discussion and the results of a study using the described techniques. The method is a mainly qualitative version of ‘the verbal guise technique’, and involves young people in Århus. Twelve speech samples (six female and six male voices) were used for this experiment, representing three different accents. The aim is to investigate the possibility of the Århus accent being a linguistic norm ideal among the young people in Århus. The results show that this does not seem to be the case, and that speakers are evaluated differently according to both accent and gender.","DOI":"10.1080/03740463.2005.10416083","ISSN":"0374-0463","journalAbbreviation":"Acta Linguistica Hafniensia","author":[{"family":"Maegaard","given":"Marie"}],"issued":{"date-parts":[["2005",1,1]]}}}],"schema":"https://github.com/citation-style-language/schema/raw/master/csl-citation.json"} </w:instrText>
      </w:r>
      <w:r w:rsidR="00160CC4" w:rsidRPr="00CF31E0">
        <w:rPr>
          <w:lang w:eastAsia="zh-CN"/>
        </w:rPr>
        <w:fldChar w:fldCharType="separate"/>
      </w:r>
      <w:r w:rsidR="00160CC4" w:rsidRPr="00CF31E0">
        <w:rPr>
          <w:noProof/>
          <w:lang w:eastAsia="zh-CN"/>
        </w:rPr>
        <w:t>Maegaard (2005)</w:t>
      </w:r>
      <w:r w:rsidR="00160CC4" w:rsidRPr="00CF31E0">
        <w:rPr>
          <w:lang w:eastAsia="zh-CN"/>
        </w:rPr>
        <w:fldChar w:fldCharType="end"/>
      </w:r>
      <w:r w:rsidR="00160CC4" w:rsidRPr="00CF31E0">
        <w:rPr>
          <w:lang w:eastAsia="zh-CN"/>
        </w:rPr>
        <w:t xml:space="preserve"> argues that the scales confine the researcher to provide bipolar adjectives; this poses a problem, as some adjectives do not inherently contain a less or more value. Therefore, </w:t>
      </w:r>
      <w:r w:rsidR="00160CC4" w:rsidRPr="00CF31E0">
        <w:rPr>
          <w:lang w:eastAsia="zh-CN"/>
        </w:rPr>
        <w:fldChar w:fldCharType="begin"/>
      </w:r>
      <w:r w:rsidR="00160CC4" w:rsidRPr="00CF31E0">
        <w:rPr>
          <w:lang w:eastAsia="zh-CN"/>
        </w:rPr>
        <w:instrText xml:space="preserve"> ADDIN ZOTERO_ITEM CSL_CITATION {"citationID":"19qpvAcW","properties":{"formattedCitation":"(Maegaard, 2005)","plainCitation":"(Maegaard, 2005)","dontUpdate":true,"noteIndex":0},"citationItems":[{"id":314,"uris":["http://zotero.org/users/1939618/items/YWJZXRDM"],"uri":["http://zotero.org/users/1939618/items/YWJZXRDM"],"itemData":{"id":314,"type":"article-journal","title":"Language attitudes, norm and gender a presentation of the method and results from a language attitude study","container-title":"Acta Linguistica Hafniensia","page":"55-80","volume":"37","issue":"1","source":"www-tandfonline-com.sheffield.idm.oclc.org (Atypon)","abstract":"This paper deals with the more traditional sociolinguistic area of language attitudes. Based on data from the city of Århus, Denmark, I discuss the methods used in speaker evaluation experiments. The paper presents both a methodological discussion and the results of a study using the described techniques. The method is a mainly qualitative version of ‘the verbal guise technique’, and involves young people in Århus. Twelve speech samples (six female and six male voices) were used for this experiment, representing three different accents. The aim is to investigate the possibility of the Århus accent being a linguistic norm ideal among the young people in Århus. The results show that this does not seem to be the case, and that speakers are evaluated differently according to both accent and gender.","DOI":"10.1080/03740463.2005.10416083","ISSN":"0374-0463","journalAbbreviation":"Acta Linguistica Hafniensia","author":[{"family":"Maegaard","given":"Marie"}],"issued":{"date-parts":[["2005",1,1]]}}}],"schema":"https://github.com/citation-style-language/schema/raw/master/csl-citation.json"} </w:instrText>
      </w:r>
      <w:r w:rsidR="00160CC4" w:rsidRPr="00CF31E0">
        <w:rPr>
          <w:lang w:eastAsia="zh-CN"/>
        </w:rPr>
        <w:fldChar w:fldCharType="separate"/>
      </w:r>
      <w:r w:rsidR="00160CC4" w:rsidRPr="00CF31E0">
        <w:rPr>
          <w:noProof/>
          <w:lang w:eastAsia="zh-CN"/>
        </w:rPr>
        <w:t>Maegaard (2005)</w:t>
      </w:r>
      <w:r w:rsidR="00160CC4" w:rsidRPr="00CF31E0">
        <w:rPr>
          <w:lang w:eastAsia="zh-CN"/>
        </w:rPr>
        <w:fldChar w:fldCharType="end"/>
      </w:r>
      <w:r w:rsidR="00160CC4" w:rsidRPr="00CF31E0">
        <w:rPr>
          <w:lang w:eastAsia="zh-CN"/>
        </w:rPr>
        <w:t xml:space="preserve"> used an open-ended data response with the verbal</w:t>
      </w:r>
      <w:r w:rsidR="005D0894" w:rsidRPr="00CF31E0">
        <w:rPr>
          <w:lang w:eastAsia="zh-CN"/>
        </w:rPr>
        <w:t>-guise</w:t>
      </w:r>
      <w:r w:rsidR="00160CC4" w:rsidRPr="00CF31E0">
        <w:rPr>
          <w:lang w:eastAsia="zh-CN"/>
        </w:rPr>
        <w:t xml:space="preserve"> technique rather than a semantic differential scale. Open-ended data provides more details about stereotypical assumptions. </w:t>
      </w:r>
    </w:p>
    <w:p w14:paraId="036503C1" w14:textId="77777777" w:rsidR="00160CC4" w:rsidRPr="00CF31E0" w:rsidRDefault="00160CC4" w:rsidP="00603CB7">
      <w:pPr>
        <w:pStyle w:val="Paragraph"/>
        <w:rPr>
          <w:lang w:eastAsia="zh-CN"/>
        </w:rPr>
      </w:pPr>
      <w:r w:rsidRPr="00CF31E0">
        <w:rPr>
          <w:lang w:eastAsia="zh-CN"/>
        </w:rPr>
        <w:t xml:space="preserve">Notwithstanding the limitations of semantic differential scales, I argue that semantic differential scale would have direct implications if it is used with piloted adjectives as they would reveal reliable findings. </w:t>
      </w:r>
    </w:p>
    <w:p w14:paraId="554DC6C6" w14:textId="77777777" w:rsidR="00160CC4" w:rsidRPr="00CF31E0" w:rsidRDefault="00160CC4" w:rsidP="00603CB7">
      <w:pPr>
        <w:pStyle w:val="Paragraph"/>
        <w:rPr>
          <w:lang w:eastAsia="en-US"/>
        </w:rPr>
      </w:pPr>
      <w:r w:rsidRPr="00CF31E0">
        <w:rPr>
          <w:lang w:eastAsia="en-US"/>
        </w:rPr>
        <w:t xml:space="preserve">As for the present study, I conducted the research using the questionnaire method, as it has been widely used in the field. I used the semantic differential scale as an integral part of the questionnaire. The adjectives in </w:t>
      </w:r>
      <w:r w:rsidRPr="00CF31E0">
        <w:rPr>
          <w:lang w:eastAsia="en-US"/>
        </w:rPr>
        <w:lastRenderedPageBreak/>
        <w:t>the questionnaire were obtained using the keyword technique. The rationale for adopting the semantic differential scale is that this type of scale will bring the most reliable and valid findings if they are used with the keyword technique. Furthermore, the interval data from the scale will allow me to run a sophisticated statistical analysis to reveal the latent variables behind the observed variables.</w:t>
      </w:r>
    </w:p>
    <w:p w14:paraId="68B8BCD0" w14:textId="5E01C29B" w:rsidR="00160CC4" w:rsidRPr="00CF31E0" w:rsidRDefault="00711C48" w:rsidP="00603CB7">
      <w:pPr>
        <w:pStyle w:val="Paragraph"/>
        <w:rPr>
          <w:lang w:eastAsia="zh-CN"/>
        </w:rPr>
      </w:pPr>
      <w:r w:rsidRPr="00CF31E0">
        <w:rPr>
          <w:lang w:eastAsia="zh-CN"/>
        </w:rPr>
        <w:t>T</w:t>
      </w:r>
      <w:r w:rsidR="00160CC4" w:rsidRPr="00CF31E0">
        <w:rPr>
          <w:lang w:eastAsia="zh-CN"/>
        </w:rPr>
        <w:t xml:space="preserve">he main purpose of the present chapter is to review the most relevant </w:t>
      </w:r>
      <w:r w:rsidRPr="00CF31E0">
        <w:rPr>
          <w:lang w:eastAsia="zh-CN"/>
        </w:rPr>
        <w:t xml:space="preserve">research on </w:t>
      </w:r>
      <w:r w:rsidR="00160CC4" w:rsidRPr="00CF31E0">
        <w:rPr>
          <w:lang w:eastAsia="zh-CN"/>
        </w:rPr>
        <w:t>language regard</w:t>
      </w:r>
      <w:r w:rsidRPr="00CF31E0">
        <w:rPr>
          <w:lang w:eastAsia="zh-CN"/>
        </w:rPr>
        <w:t>s</w:t>
      </w:r>
      <w:r w:rsidR="00160CC4" w:rsidRPr="00CF31E0">
        <w:rPr>
          <w:lang w:eastAsia="zh-CN"/>
        </w:rPr>
        <w:t xml:space="preserve">, </w:t>
      </w:r>
      <w:r w:rsidRPr="00CF31E0">
        <w:rPr>
          <w:lang w:eastAsia="zh-CN"/>
        </w:rPr>
        <w:t xml:space="preserve">and </w:t>
      </w:r>
      <w:r w:rsidR="00160CC4" w:rsidRPr="00CF31E0">
        <w:rPr>
          <w:lang w:eastAsia="zh-CN"/>
        </w:rPr>
        <w:t>perceptual dialectology is yet another branch of folk linguistic</w:t>
      </w:r>
      <w:r w:rsidRPr="00CF31E0">
        <w:rPr>
          <w:lang w:eastAsia="zh-CN"/>
        </w:rPr>
        <w:t>s</w:t>
      </w:r>
      <w:r w:rsidR="00160CC4" w:rsidRPr="00CF31E0">
        <w:rPr>
          <w:lang w:eastAsia="zh-CN"/>
        </w:rPr>
        <w:t xml:space="preserve"> that falls under the </w:t>
      </w:r>
      <w:r w:rsidRPr="00CF31E0">
        <w:rPr>
          <w:lang w:eastAsia="zh-CN"/>
        </w:rPr>
        <w:t xml:space="preserve">domain of </w:t>
      </w:r>
      <w:r w:rsidR="00160CC4" w:rsidRPr="00CF31E0">
        <w:rPr>
          <w:lang w:eastAsia="zh-CN"/>
        </w:rPr>
        <w:t xml:space="preserve">language regard research. In the following section, I will review the most relevant perceptual dialectology research and its direct implications for language attitude research. Furthermore, I will review most of the pioneering work in the field and how it </w:t>
      </w:r>
      <w:r w:rsidRPr="00CF31E0">
        <w:rPr>
          <w:lang w:eastAsia="zh-CN"/>
        </w:rPr>
        <w:t xml:space="preserve">has </w:t>
      </w:r>
      <w:r w:rsidR="00160CC4" w:rsidRPr="00CF31E0">
        <w:rPr>
          <w:lang w:eastAsia="zh-CN"/>
        </w:rPr>
        <w:t xml:space="preserve">informed studies on language attitudes. </w:t>
      </w:r>
    </w:p>
    <w:p w14:paraId="1230705A" w14:textId="09A2A7F2" w:rsidR="00160CC4" w:rsidRPr="00CF31E0" w:rsidRDefault="00232730" w:rsidP="00E87209">
      <w:pPr>
        <w:pStyle w:val="Ahead"/>
        <w:rPr>
          <w:rFonts w:eastAsia="Times New Roman"/>
        </w:rPr>
      </w:pPr>
      <w:bookmarkStart w:id="242" w:name="_Toc509646856"/>
      <w:bookmarkStart w:id="243" w:name="_Toc509646930"/>
      <w:bookmarkStart w:id="244" w:name="_Toc510025773"/>
      <w:bookmarkStart w:id="245" w:name="_Toc6472661"/>
      <w:r w:rsidRPr="00CF31E0">
        <w:rPr>
          <w:rFonts w:eastAsia="Times New Roman"/>
        </w:rPr>
        <w:t>4</w:t>
      </w:r>
      <w:r w:rsidR="00DB2210" w:rsidRPr="00CF31E0">
        <w:rPr>
          <w:rFonts w:eastAsia="Times New Roman"/>
        </w:rPr>
        <w:t>.8.</w:t>
      </w:r>
      <w:r w:rsidR="00DB2210" w:rsidRPr="00CF31E0">
        <w:rPr>
          <w:rFonts w:eastAsia="Times New Roman"/>
        </w:rPr>
        <w:tab/>
      </w:r>
      <w:r w:rsidR="00160CC4" w:rsidRPr="00CF31E0">
        <w:rPr>
          <w:rFonts w:eastAsia="Times New Roman"/>
        </w:rPr>
        <w:t>Perceptual dialectology research in language regard</w:t>
      </w:r>
      <w:bookmarkEnd w:id="242"/>
      <w:bookmarkEnd w:id="243"/>
      <w:bookmarkEnd w:id="244"/>
      <w:bookmarkEnd w:id="245"/>
    </w:p>
    <w:p w14:paraId="6752D8AD" w14:textId="3EC92FF0" w:rsidR="00160CC4" w:rsidRPr="00CF31E0" w:rsidRDefault="00160CC4" w:rsidP="00603CB7">
      <w:pPr>
        <w:pStyle w:val="Paragraph"/>
        <w:rPr>
          <w:lang w:eastAsia="zh-CN"/>
        </w:rPr>
      </w:pPr>
      <w:r w:rsidRPr="00CF31E0">
        <w:rPr>
          <w:lang w:eastAsia="zh-CN"/>
        </w:rPr>
        <w:t xml:space="preserve">Perceptual dialectology is a branch of the wider field of folk linguistics, which is defined as the study of “the views and perceptions of those who are not formally trained experts in the area being investigated” </w:t>
      </w:r>
      <w:r w:rsidRPr="00CF31E0">
        <w:rPr>
          <w:lang w:eastAsia="zh-CN"/>
        </w:rPr>
        <w:fldChar w:fldCharType="begin"/>
      </w:r>
      <w:r w:rsidRPr="00CF31E0">
        <w:rPr>
          <w:lang w:eastAsia="zh-CN"/>
        </w:rPr>
        <w:instrText xml:space="preserve"> ADDIN ZOTERO_ITEM CSL_CITATION {"citationID":"csc4pWtX","properties":{"formattedCitation":"(Garrett, 2010, p. 179)","plainCitation":"(Garrett, 2010, p. 179)"},"citationItems":[{"id":29,"uris":["http://zotero.org/users/1939618/items/NF3PAHT2"],"uri":["http://zotero.org/users/1939618/items/NF3PAHT2"],"itemData":{"id":29,"type":"book","title":"Attitudes to Language","publisher":"Cambridge University Press","number-of-pages":"269","source":"Google Books","abstract":"Just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behaviour.","ISBN":"978-1-139-48682-8","language":"en","author":[{"family":"Garrett","given":"Peter"}],"issued":{"date-parts":[["2010",4,8]]}},"locator":"179","label":"page"}],"schema":"https://github.com/citation-style-language/schema/raw/master/csl-citation.json"} </w:instrText>
      </w:r>
      <w:r w:rsidRPr="00CF31E0">
        <w:rPr>
          <w:lang w:eastAsia="zh-CN"/>
        </w:rPr>
        <w:fldChar w:fldCharType="separate"/>
      </w:r>
      <w:r w:rsidRPr="00CF31E0">
        <w:rPr>
          <w:lang w:eastAsia="zh-CN"/>
        </w:rPr>
        <w:t>(Garrett, 2010, p. 179)</w:t>
      </w:r>
      <w:r w:rsidRPr="00CF31E0">
        <w:rPr>
          <w:lang w:eastAsia="zh-CN"/>
        </w:rPr>
        <w:fldChar w:fldCharType="end"/>
      </w:r>
      <w:r w:rsidRPr="00CF31E0">
        <w:rPr>
          <w:lang w:eastAsia="zh-CN"/>
        </w:rPr>
        <w:t xml:space="preserve">. Thus, folk linguistics is concerned with the opinions and perceptions of people who are not trained in language studies. The field of perceptual dialectology “represents the dialectologist’s-sociolinguist’s-variationist’s interest in folk linguistics” </w:t>
      </w:r>
      <w:r w:rsidRPr="00CF31E0">
        <w:rPr>
          <w:lang w:eastAsia="zh-CN"/>
        </w:rPr>
        <w:fldChar w:fldCharType="begin"/>
      </w:r>
      <w:r w:rsidRPr="00CF31E0">
        <w:rPr>
          <w:lang w:eastAsia="zh-CN"/>
        </w:rPr>
        <w:instrText xml:space="preserve"> ADDIN ZOTERO_ITEM CSL_CITATION {"citationID":"JkbGBoGy","properties":{"formattedCitation":"(Dennis R. Preston, 1999b, p. xxv)","plainCitation":"(Dennis R. Preston, 1999b, p. xxv)","noteIndex":0},"citationItems":[{"id":7,"uris":["http://zotero.org/users/1939618/items/KDCJRFSR"],"uri":["http://zotero.org/users/1939618/items/KDCJRFSR"],"itemData":{"id":7,"type":"book","title":"Handbook of Perceptual Dialectology","publisher":"John Benjamins Publishing","publisher-place":"Amsterdam","number-of-pages":"455","source":"Google Books","event-place":"Amsterdam","abstract":"Perceptual dialectology investigates what ordinary people (as opposed to professional linguists) believe about the distribution of language varieties in their own and surrounding speech communities and how they have arrived at and implement those beliefs. It studies the beliefs of the common folk about which dialects exist and, indeed, about what attitudes they have to these varieties. Some of this leads to discussion of what they believe about language in general, or “folk linguistics”. Surprising divergences from professional results can be found. For the professional, it is intriguing to find out why and whether the folk can be wrong or whether the professional has missed something.Volume 1 of this handbook aims to provide for the field of perceptual dialectology: • a historical survey; • a regional survey, adding to the earlier preponderance of studies in Japan, the Netherlands, and the United States; • a methodological survey, showing, in detail, how data have been acquired and processed; • an interpretive survey, showing how these data have been related to both linguistic and other socio-cultural facts; • a comprehensive bibliography.The results and methods of perceptual dialectical studies should be interesting not only to linguists, variationists, dialectologists, and students of the social psychology of language but also to sociologists, anthropologists, folklorists, and other students of culture as well as to language planners and educators.","ISBN":"978-90-272-9841-6","language":"en","author":[{"family":"Preston","given":"Dennis R."}],"issued":{"date-parts":[["1999",10,15]]}},"locator":"xxv","label":"page"}],"schema":"https://github.com/citation-style-language/schema/raw/master/csl-citation.json"} </w:instrText>
      </w:r>
      <w:r w:rsidRPr="00CF31E0">
        <w:rPr>
          <w:lang w:eastAsia="zh-CN"/>
        </w:rPr>
        <w:fldChar w:fldCharType="separate"/>
      </w:r>
      <w:r w:rsidRPr="00CF31E0">
        <w:rPr>
          <w:lang w:eastAsia="zh-CN"/>
        </w:rPr>
        <w:t>(Preston, 1999b, p. xxv)</w:t>
      </w:r>
      <w:r w:rsidRPr="00CF31E0">
        <w:rPr>
          <w:lang w:eastAsia="zh-CN"/>
        </w:rPr>
        <w:fldChar w:fldCharType="end"/>
      </w:r>
      <w:r w:rsidRPr="00CF31E0">
        <w:rPr>
          <w:lang w:eastAsia="zh-CN"/>
        </w:rPr>
        <w:t xml:space="preserve">. The aim of the field is to answer these four questions related to dialect variation: </w:t>
      </w:r>
    </w:p>
    <w:p w14:paraId="704F5696" w14:textId="77777777" w:rsidR="00160CC4" w:rsidRPr="00CF31E0" w:rsidRDefault="00160CC4" w:rsidP="00467EF6">
      <w:pPr>
        <w:numPr>
          <w:ilvl w:val="0"/>
          <w:numId w:val="11"/>
        </w:numPr>
        <w:spacing w:before="120" w:after="200" w:line="360" w:lineRule="auto"/>
        <w:contextualSpacing/>
        <w:jc w:val="both"/>
        <w:rPr>
          <w:rFonts w:eastAsia="Times New Roman"/>
          <w:color w:val="000000" w:themeColor="text1"/>
          <w:lang w:eastAsia="zh-CN"/>
        </w:rPr>
      </w:pPr>
      <w:r w:rsidRPr="00CF31E0">
        <w:rPr>
          <w:rFonts w:eastAsia="Times New Roman"/>
          <w:color w:val="000000" w:themeColor="text1"/>
          <w:lang w:eastAsia="zh-CN"/>
        </w:rPr>
        <w:t>“What do non-specialists have to say about variation?</w:t>
      </w:r>
    </w:p>
    <w:p w14:paraId="2EB9AE5B" w14:textId="4011B75F" w:rsidR="00160CC4" w:rsidRPr="00CF31E0" w:rsidRDefault="00160CC4" w:rsidP="00467EF6">
      <w:pPr>
        <w:numPr>
          <w:ilvl w:val="0"/>
          <w:numId w:val="11"/>
        </w:numPr>
        <w:spacing w:before="120" w:after="200" w:line="360" w:lineRule="auto"/>
        <w:contextualSpacing/>
        <w:jc w:val="both"/>
        <w:rPr>
          <w:rFonts w:eastAsia="Times New Roman"/>
          <w:color w:val="000000" w:themeColor="text1"/>
          <w:lang w:eastAsia="zh-CN"/>
        </w:rPr>
      </w:pPr>
      <w:r w:rsidRPr="00CF31E0">
        <w:rPr>
          <w:rFonts w:eastAsia="Times New Roman"/>
          <w:color w:val="000000" w:themeColor="text1"/>
          <w:lang w:eastAsia="zh-CN"/>
        </w:rPr>
        <w:t xml:space="preserve">Where do they believe it comes from? </w:t>
      </w:r>
    </w:p>
    <w:p w14:paraId="2462A843" w14:textId="77777777" w:rsidR="00160CC4" w:rsidRPr="00CF31E0" w:rsidRDefault="00160CC4" w:rsidP="00467EF6">
      <w:pPr>
        <w:numPr>
          <w:ilvl w:val="0"/>
          <w:numId w:val="11"/>
        </w:numPr>
        <w:spacing w:before="120" w:after="200" w:line="360" w:lineRule="auto"/>
        <w:contextualSpacing/>
        <w:jc w:val="both"/>
        <w:rPr>
          <w:rFonts w:eastAsia="Times New Roman"/>
          <w:color w:val="000000" w:themeColor="text1"/>
          <w:lang w:eastAsia="zh-CN"/>
        </w:rPr>
      </w:pPr>
      <w:r w:rsidRPr="00CF31E0">
        <w:rPr>
          <w:rFonts w:eastAsia="Times New Roman"/>
          <w:color w:val="000000" w:themeColor="text1"/>
          <w:lang w:eastAsia="zh-CN"/>
        </w:rPr>
        <w:t xml:space="preserve">Where do they believe it exists? </w:t>
      </w:r>
    </w:p>
    <w:p w14:paraId="77DDC596" w14:textId="4740D86A" w:rsidR="00160CC4" w:rsidRPr="00CF31E0" w:rsidRDefault="00160CC4" w:rsidP="00603CB7">
      <w:pPr>
        <w:numPr>
          <w:ilvl w:val="0"/>
          <w:numId w:val="11"/>
        </w:numPr>
        <w:spacing w:before="120" w:after="200" w:line="360" w:lineRule="auto"/>
        <w:ind w:left="1434" w:hanging="357"/>
        <w:jc w:val="both"/>
        <w:rPr>
          <w:rFonts w:eastAsia="Times New Roman"/>
          <w:color w:val="000000" w:themeColor="text1"/>
          <w:lang w:eastAsia="zh-CN"/>
        </w:rPr>
      </w:pPr>
      <w:r w:rsidRPr="00CF31E0">
        <w:rPr>
          <w:rFonts w:eastAsia="Times New Roman"/>
          <w:color w:val="000000" w:themeColor="text1"/>
          <w:lang w:eastAsia="zh-CN"/>
        </w:rPr>
        <w:t xml:space="preserve">What do they believe its function is?” </w:t>
      </w:r>
      <w:r w:rsidRPr="00CF31E0">
        <w:rPr>
          <w:rFonts w:eastAsia="Times New Roman"/>
          <w:color w:val="000000" w:themeColor="text1"/>
          <w:lang w:eastAsia="zh-CN"/>
        </w:rPr>
        <w:fldChar w:fldCharType="begin"/>
      </w:r>
      <w:r w:rsidRPr="00CF31E0">
        <w:rPr>
          <w:rFonts w:eastAsia="Times New Roman"/>
          <w:color w:val="000000" w:themeColor="text1"/>
          <w:lang w:eastAsia="zh-CN"/>
        </w:rPr>
        <w:instrText xml:space="preserve"> ADDIN ZOTERO_ITEM CSL_CITATION {"citationID":"9oihE2HX","properties":{"formattedCitation":"(Dennis R. Preston, 1999b, p. xxv)","plainCitation":"(Dennis R. Preston, 1999b, p. xxv)","noteIndex":0},"citationItems":[{"id":7,"uris":["http://zotero.org/users/1939618/items/KDCJRFSR"],"uri":["http://zotero.org/users/1939618/items/KDCJRFSR"],"itemData":{"id":7,"type":"book","title":"Handbook of Perceptual Dialectology","publisher":"John Benjamins Publishing","publisher-place":"Amsterdam","number-of-pages":"455","source":"Google Books","event-place":"Amsterdam","abstract":"Perceptual dialectology investigates what ordinary people (as opposed to professional linguists) believe about the distribution of language varieties in their own and surrounding speech communities and how they have arrived at and implement those beliefs. It studies the beliefs of the common folk about which dialects exist and, indeed, about what attitudes they have to these varieties. Some of this leads to discussion of what they believe about language in general, or “folk linguistics”. Surprising divergences from professional results can be found. For the professional, it is intriguing to find out why and whether the folk can be wrong or whether the professional has missed something.Volume 1 of this handbook aims to provide for the field of perceptual dialectology: • a historical survey; • a regional survey, adding to the earlier preponderance of studies in Japan, the Netherlands, and the United States; • a methodological survey, showing, in detail, how data have been acquired and processed; • an interpretive survey, showing how these data have been related to both linguistic and other socio-cultural facts; • a comprehensive bibliography.The results and methods of perceptual dialectical studies should be interesting not only to linguists, variationists, dialectologists, and students of the social psychology of language but also to sociologists, anthropologists, folklorists, and other students of culture as well as to language planners and educators.","ISBN":"978-90-272-9841-6","language":"en","author":[{"family":"Preston","given":"Dennis R."}],"issued":{"date-parts":[["1999",10,15]]}},"locator":"xxv","label":"page"}],"schema":"https://github.com/citation-style-language/schema/raw/master/csl-citation.json"} </w:instrText>
      </w:r>
      <w:r w:rsidRPr="00CF31E0">
        <w:rPr>
          <w:rFonts w:eastAsia="Times New Roman"/>
          <w:color w:val="000000" w:themeColor="text1"/>
          <w:lang w:eastAsia="zh-CN"/>
        </w:rPr>
        <w:fldChar w:fldCharType="separate"/>
      </w:r>
      <w:r w:rsidRPr="00CF31E0">
        <w:rPr>
          <w:rFonts w:eastAsia="Times New Roman"/>
          <w:color w:val="000000" w:themeColor="text1"/>
          <w:lang w:eastAsia="zh-CN"/>
        </w:rPr>
        <w:t>(Preston, 1999b, p. xxv)</w:t>
      </w:r>
      <w:r w:rsidRPr="00CF31E0">
        <w:rPr>
          <w:rFonts w:eastAsia="Times New Roman"/>
          <w:color w:val="000000" w:themeColor="text1"/>
          <w:lang w:eastAsia="zh-CN"/>
        </w:rPr>
        <w:fldChar w:fldCharType="end"/>
      </w:r>
      <w:r w:rsidRPr="00CF31E0">
        <w:rPr>
          <w:rFonts w:eastAsia="Times New Roman"/>
          <w:color w:val="000000" w:themeColor="text1"/>
          <w:lang w:eastAsia="zh-CN"/>
        </w:rPr>
        <w:t xml:space="preserve">. </w:t>
      </w:r>
    </w:p>
    <w:p w14:paraId="11F214FD" w14:textId="77777777" w:rsidR="00160CC4" w:rsidRPr="00CF31E0" w:rsidRDefault="00160CC4" w:rsidP="00603CB7">
      <w:pPr>
        <w:pStyle w:val="Paragraph"/>
        <w:rPr>
          <w:lang w:eastAsia="zh-CN"/>
        </w:rPr>
      </w:pPr>
      <w:r w:rsidRPr="00CF31E0">
        <w:rPr>
          <w:lang w:eastAsia="zh-CN"/>
        </w:rPr>
        <w:t xml:space="preserve">Perceptual dialectology therefore examines perceptions only from the point of view of non-linguists </w:t>
      </w:r>
      <w:r w:rsidRPr="00CF31E0">
        <w:rPr>
          <w:lang w:eastAsia="zh-CN"/>
        </w:rPr>
        <w:fldChar w:fldCharType="begin"/>
      </w:r>
      <w:r w:rsidRPr="00CF31E0">
        <w:rPr>
          <w:lang w:eastAsia="zh-CN"/>
        </w:rPr>
        <w:instrText xml:space="preserve"> ADDIN ZOTERO_ITEM CSL_CITATION {"citationID":"a0vgCIDy","properties":{"formattedCitation":"(Garrett, 2010, p. 179)","plainCitation":"(Garrett, 2010, p. 179)"},"citationItems":[{"id":29,"uris":["http://zotero.org/users/1939618/items/NF3PAHT2"],"uri":["http://zotero.org/users/1939618/items/NF3PAHT2"],"itemData":{"id":29,"type":"book","title":"Attitudes to Language","publisher":"Cambridge University Press","number-of-pages":"269","source":"Google Books","abstract":"Just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behaviour.","ISBN":"978-1-139-48682-8","language":"en","author":[{"family":"Garrett","given":"Peter"}],"issued":{"date-parts":[["2010",4,8]]}},"locator":"179","label":"page"}],"schema":"https://github.com/citation-style-language/schema/raw/master/csl-citation.json"} </w:instrText>
      </w:r>
      <w:r w:rsidRPr="00CF31E0">
        <w:rPr>
          <w:lang w:eastAsia="zh-CN"/>
        </w:rPr>
        <w:fldChar w:fldCharType="separate"/>
      </w:r>
      <w:r w:rsidRPr="00CF31E0">
        <w:rPr>
          <w:lang w:eastAsia="zh-CN"/>
        </w:rPr>
        <w:t>(Garrett, 2010, p. 179)</w:t>
      </w:r>
      <w:r w:rsidRPr="00CF31E0">
        <w:rPr>
          <w:lang w:eastAsia="zh-CN"/>
        </w:rPr>
        <w:fldChar w:fldCharType="end"/>
      </w:r>
      <w:r w:rsidRPr="00CF31E0">
        <w:rPr>
          <w:lang w:eastAsia="zh-CN"/>
        </w:rPr>
        <w:t xml:space="preserve">. </w:t>
      </w:r>
    </w:p>
    <w:p w14:paraId="0F1BED61" w14:textId="122F60F9" w:rsidR="00160CC4" w:rsidRPr="00CF31E0" w:rsidRDefault="00160CC4" w:rsidP="00603CB7">
      <w:pPr>
        <w:pStyle w:val="Paragraph"/>
        <w:rPr>
          <w:lang w:eastAsia="zh-CN"/>
        </w:rPr>
      </w:pPr>
      <w:r w:rsidRPr="00CF31E0">
        <w:rPr>
          <w:lang w:eastAsia="zh-CN"/>
        </w:rPr>
        <w:lastRenderedPageBreak/>
        <w:t xml:space="preserve">Language attitude studies have been investigated prior to </w:t>
      </w:r>
      <w:r w:rsidR="00571355" w:rsidRPr="00CF31E0">
        <w:rPr>
          <w:lang w:eastAsia="zh-CN"/>
        </w:rPr>
        <w:t>c</w:t>
      </w:r>
      <w:r w:rsidRPr="00CF31E0">
        <w:rPr>
          <w:lang w:eastAsia="zh-CN"/>
        </w:rPr>
        <w:t xml:space="preserve">ontemporary perceptual dialectology. Both disciplines have concerned about non-linguists’ views including attitudes and perceptions of dialect areas. Thus, both language attitude studies and contemporary perceptual dialectology have similar aims, while the difference exists in their methodological concerns (Preston, 1999). That is, </w:t>
      </w:r>
      <w:r w:rsidR="00571355" w:rsidRPr="00CF31E0">
        <w:rPr>
          <w:lang w:eastAsia="zh-CN"/>
        </w:rPr>
        <w:t>l</w:t>
      </w:r>
      <w:r w:rsidRPr="00CF31E0">
        <w:rPr>
          <w:lang w:eastAsia="zh-CN"/>
        </w:rPr>
        <w:t xml:space="preserve">anguage attitude studies use interviews and questionnaires on one hand, and on the other hand contemporary perceptual dialectology use maps as its main instrument to elicit attitudes and perceptions. Consequently, </w:t>
      </w:r>
      <w:r w:rsidRPr="00CF31E0">
        <w:rPr>
          <w:lang w:eastAsia="zh-CN"/>
        </w:rPr>
        <w:fldChar w:fldCharType="begin"/>
      </w:r>
      <w:r w:rsidRPr="00CF31E0">
        <w:rPr>
          <w:lang w:eastAsia="zh-CN"/>
        </w:rPr>
        <w:instrText xml:space="preserve"> ADDIN ZOTERO_ITEM CSL_CITATION {"citationID":"dqJNonB0","properties":{"formattedCitation":"(Preston, 1989b, p. 4)","plainCitation":"(Preston, 1989b, p. 4)","dontUpdate":true,"noteIndex":0},"citationItems":[{"id":82,"uris":["http://zotero.org/users/1939618/items/8DJA6BF7"],"uri":["http://zotero.org/users/1939618/items/8DJA6BF7"],"itemData":{"id":82,"type":"book","title":"Perceptual dialectology: Nonlinguists' views of areal linguistics","publisher":"Walter de Gruyter","volume":"7","source":"Google Scholar","URL":"http://books.google.co.uk/books?hl=en&amp;lr=&amp;id=MhNDqFKOYEEC&amp;oi=fnd&amp;pg=PR9&amp;dq=perceptual+dialectology,+preston+1989&amp;ots=2ZVUHfkq0b&amp;sig=pZVqHHmVNbsvYFvtHizoZYgrvcg","shortTitle":"Perceptual dialectology","author":[{"family":"Preston","given":"Dennis R."}],"issued":{"date-parts":[["1989"]]},"accessed":{"date-parts":[["2014",11,18]]}},"locator":"4","label":"page"}],"schema":"https://github.com/citation-style-language/schema/raw/master/csl-citation.json"} </w:instrText>
      </w:r>
      <w:r w:rsidRPr="00CF31E0">
        <w:rPr>
          <w:lang w:eastAsia="zh-CN"/>
        </w:rPr>
        <w:fldChar w:fldCharType="separate"/>
      </w:r>
      <w:r w:rsidRPr="00CF31E0">
        <w:rPr>
          <w:lang w:eastAsia="zh-CN"/>
        </w:rPr>
        <w:t>Preston, (1989, p. 4)</w:t>
      </w:r>
      <w:r w:rsidRPr="00CF31E0">
        <w:rPr>
          <w:lang w:eastAsia="zh-CN"/>
        </w:rPr>
        <w:fldChar w:fldCharType="end"/>
      </w:r>
      <w:r w:rsidRPr="00CF31E0">
        <w:rPr>
          <w:lang w:eastAsia="zh-CN"/>
        </w:rPr>
        <w:t xml:space="preserve"> argues that it is not enough to elicit attitudes and perceptions of people of a certain variety in structured interviews, questionnaires or even by the use of matched-guise technique; instead, such questions must be contextuali</w:t>
      </w:r>
      <w:r w:rsidR="005D0894" w:rsidRPr="00CF31E0">
        <w:rPr>
          <w:lang w:eastAsia="zh-CN"/>
        </w:rPr>
        <w:t>zed</w:t>
      </w:r>
      <w:r w:rsidRPr="00CF31E0">
        <w:rPr>
          <w:lang w:eastAsia="zh-CN"/>
        </w:rPr>
        <w:t xml:space="preserve"> to achieve the best possible results. One way of contextuali</w:t>
      </w:r>
      <w:r w:rsidR="005D0894" w:rsidRPr="00CF31E0">
        <w:rPr>
          <w:lang w:eastAsia="zh-CN"/>
        </w:rPr>
        <w:t>zing</w:t>
      </w:r>
      <w:r w:rsidRPr="00CF31E0">
        <w:rPr>
          <w:lang w:eastAsia="zh-CN"/>
        </w:rPr>
        <w:t xml:space="preserve"> questions is to give informants a map of the area under investigation and then ask them to convey their perceptions, attitudes and beliefs on the map. Another way of contextualizing questions is to ask participants to identify the origin of voice sample they listen to. In other words, </w:t>
      </w:r>
      <w:r w:rsidRPr="00CF31E0">
        <w:rPr>
          <w:rFonts w:cs="Arial"/>
          <w:lang w:eastAsia="zh-CN"/>
        </w:rPr>
        <w:fldChar w:fldCharType="begin"/>
      </w:r>
      <w:r w:rsidRPr="00CF31E0">
        <w:rPr>
          <w:rFonts w:cs="Arial"/>
          <w:lang w:eastAsia="zh-CN"/>
        </w:rPr>
        <w:instrText xml:space="preserve"> ADDIN ZOTERO_ITEM CSL_CITATION {"citationID":"xJpl57ov","properties":{"formattedCitation":"(Preston, 1989a)","plainCitation":"(Preston, 1989a)","dontUpdate":true,"noteIndex":0},"citationItems":[{"id":82,"uris":["http://zotero.org/users/1939618/items/8DJA6BF7"],"uri":["http://zotero.org/users/1939618/items/8DJA6BF7"],"itemData":{"id":82,"type":"book","title":"Perceptual dialectology: Nonlinguists' views of areal linguistics","publisher":"Walter de Gruyter","volume":"7","source":"Google Scholar","URL":"http://books.google.co.uk/books?hl=en&amp;lr=&amp;id=MhNDqFKOYEEC&amp;oi=fnd&amp;pg=PR9&amp;dq=perceptual+dialectology,+preston+1989&amp;ots=2ZVUHfkq0b&amp;sig=pZVqHHmVNbsvYFvtHizoZYgrvcg","shortTitle":"Perceptual dialectology","author":[{"family":"Preston","given":"Dennis R."}],"issued":{"date-parts":[["1989"]]},"accessed":{"date-parts":[["2014",11,18]]}}}],"schema":"https://github.com/citation-style-language/schema/raw/master/csl-citation.json"} </w:instrText>
      </w:r>
      <w:r w:rsidRPr="00CF31E0">
        <w:rPr>
          <w:rFonts w:cs="Arial"/>
          <w:lang w:eastAsia="zh-CN"/>
        </w:rPr>
        <w:fldChar w:fldCharType="separate"/>
      </w:r>
      <w:r w:rsidRPr="00CF31E0">
        <w:rPr>
          <w:rFonts w:cs="Arial"/>
          <w:noProof/>
          <w:lang w:eastAsia="zh-CN"/>
        </w:rPr>
        <w:t xml:space="preserve">(Preston, </w:t>
      </w:r>
      <w:r w:rsidR="00FB7059" w:rsidRPr="00CF31E0">
        <w:rPr>
          <w:rFonts w:cs="Arial"/>
          <w:noProof/>
          <w:lang w:eastAsia="zh-CN"/>
        </w:rPr>
        <w:t>1989</w:t>
      </w:r>
      <w:r w:rsidRPr="00CF31E0">
        <w:rPr>
          <w:rFonts w:cs="Arial"/>
          <w:noProof/>
          <w:lang w:eastAsia="zh-CN"/>
        </w:rPr>
        <w:t>)</w:t>
      </w:r>
      <w:r w:rsidRPr="00CF31E0">
        <w:rPr>
          <w:rFonts w:cs="Arial"/>
          <w:lang w:eastAsia="zh-CN"/>
        </w:rPr>
        <w:fldChar w:fldCharType="end"/>
      </w:r>
      <w:r w:rsidRPr="00CF31E0">
        <w:rPr>
          <w:rFonts w:cs="Arial"/>
          <w:lang w:eastAsia="zh-CN"/>
        </w:rPr>
        <w:t xml:space="preserve"> </w:t>
      </w:r>
      <w:r w:rsidRPr="00CF31E0">
        <w:rPr>
          <w:lang w:eastAsia="zh-CN"/>
        </w:rPr>
        <w:t>argues that rating a sound is not adequate but the researcher needs to make sure that participants are aware of the sound origins on the map. Perceptual dialectology therefore applies the use of geographical maps; such contextuali</w:t>
      </w:r>
      <w:r w:rsidR="005D0894" w:rsidRPr="00CF31E0">
        <w:rPr>
          <w:lang w:eastAsia="zh-CN"/>
        </w:rPr>
        <w:t>zation</w:t>
      </w:r>
      <w:r w:rsidRPr="00CF31E0">
        <w:rPr>
          <w:lang w:eastAsia="zh-CN"/>
        </w:rPr>
        <w:t xml:space="preserve"> will expand the research on language attitudes. As a result, the contemporary research of perceptual dialectology arose to overcome some of the above-mentioned deficiencies of the language attitude studies. </w:t>
      </w:r>
    </w:p>
    <w:p w14:paraId="3D6E4FF2" w14:textId="24F3DB33" w:rsidR="00160CC4" w:rsidRPr="00CF31E0" w:rsidRDefault="00160CC4" w:rsidP="00603CB7">
      <w:pPr>
        <w:pStyle w:val="Paragraph"/>
        <w:rPr>
          <w:lang w:eastAsia="zh-CN"/>
        </w:rPr>
      </w:pPr>
      <w:r w:rsidRPr="00CF31E0">
        <w:rPr>
          <w:lang w:eastAsia="zh-CN"/>
        </w:rPr>
        <w:t xml:space="preserve">To sum up, first, the value of language attitude studies to the field of perceptual dialectology research lies in their ability to help researchers reveal the dialect images that are created within informants’ minds. Such images can then lead researchers to understand the way certain dialect areas are perceived. Second, the value of </w:t>
      </w:r>
      <w:r w:rsidR="00FF3F88" w:rsidRPr="00CF31E0">
        <w:rPr>
          <w:lang w:eastAsia="zh-CN"/>
        </w:rPr>
        <w:t>perceptual dialectology</w:t>
      </w:r>
      <w:r w:rsidRPr="00CF31E0">
        <w:rPr>
          <w:lang w:eastAsia="zh-CN"/>
        </w:rPr>
        <w:t xml:space="preserve"> research to the field of language attitude</w:t>
      </w:r>
      <w:r w:rsidR="00EC7E12" w:rsidRPr="00CF31E0">
        <w:rPr>
          <w:lang w:eastAsia="zh-CN"/>
        </w:rPr>
        <w:t>s</w:t>
      </w:r>
      <w:r w:rsidRPr="00CF31E0">
        <w:rPr>
          <w:lang w:eastAsia="zh-CN"/>
        </w:rPr>
        <w:t xml:space="preserve"> lies in its ability to contextualize the voice samples by asking participants where the voice sample</w:t>
      </w:r>
      <w:r w:rsidR="00EC7E12" w:rsidRPr="00CF31E0">
        <w:rPr>
          <w:lang w:eastAsia="zh-CN"/>
        </w:rPr>
        <w:t>s</w:t>
      </w:r>
      <w:r w:rsidRPr="00CF31E0">
        <w:rPr>
          <w:lang w:eastAsia="zh-CN"/>
        </w:rPr>
        <w:t xml:space="preserve"> come from. In the following section, I will give a brief overview of the most relevant perceptual dialectology research. </w:t>
      </w:r>
    </w:p>
    <w:p w14:paraId="62191AF9" w14:textId="77777777" w:rsidR="00160CC4" w:rsidRPr="00CF31E0" w:rsidRDefault="00160CC4" w:rsidP="00603CB7">
      <w:pPr>
        <w:pStyle w:val="Paragraph"/>
        <w:rPr>
          <w:lang w:eastAsia="zh-CN"/>
        </w:rPr>
      </w:pPr>
      <w:r w:rsidRPr="00CF31E0">
        <w:rPr>
          <w:lang w:eastAsia="zh-CN"/>
        </w:rPr>
        <w:lastRenderedPageBreak/>
        <w:fldChar w:fldCharType="begin"/>
      </w:r>
      <w:r w:rsidRPr="00CF31E0">
        <w:rPr>
          <w:lang w:eastAsia="zh-CN"/>
        </w:rPr>
        <w:instrText xml:space="preserve"> ADDIN ZOTERO_ITEM CSL_CITATION {"citationID":"BFB1cyPK","properties":{"formattedCitation":"(Evans, 2013)","plainCitation":"(Evans, 2013)"},"citationItems":[{"id":79,"uris":["http://zotero.org/users/1939618/items/IQDD6VA3"],"uri":["http://zotero.org/users/1939618/items/IQDD6VA3"],"itemData":{"id":79,"type":"article-journal","title":"Seattle to Spokane: Mapping perceptions of English in Washington state","container-title":"Journal of English Linguistics","page":"0075424213494822","source":"Google Scholar","shortTitle":"Seattle to Spokane","author":[{"family":"Evans","given":"Betsy E."}],"issued":{"date-parts":[["2013"]]}}}],"schema":"https://github.com/citation-style-language/schema/raw/master/csl-citation.json"} </w:instrText>
      </w:r>
      <w:r w:rsidRPr="00CF31E0">
        <w:rPr>
          <w:lang w:eastAsia="zh-CN"/>
        </w:rPr>
        <w:fldChar w:fldCharType="separate"/>
      </w:r>
      <w:r w:rsidRPr="00CF31E0">
        <w:rPr>
          <w:lang w:eastAsia="zh-CN"/>
        </w:rPr>
        <w:t>Evans (2013)</w:t>
      </w:r>
      <w:r w:rsidRPr="00CF31E0">
        <w:rPr>
          <w:lang w:eastAsia="zh-CN"/>
        </w:rPr>
        <w:fldChar w:fldCharType="end"/>
      </w:r>
      <w:r w:rsidRPr="00CF31E0">
        <w:rPr>
          <w:lang w:eastAsia="zh-CN"/>
        </w:rPr>
        <w:t xml:space="preserve"> conducted a perceptual study in Washington State to investigate peoples’ perceptions of language varieties. 125 female respondents and 104 male respondents were recruited for the study. Informants had been given three main tasks to complete: first, to draw lines around areas where people spoke differently within Washington State; second, to label the ways of speaking in perceived different areas within the state; and third, to give an example of the differences found in each variety. </w:t>
      </w:r>
    </w:p>
    <w:p w14:paraId="782CC08F" w14:textId="257BC4AA" w:rsidR="00160CC4" w:rsidRPr="00CF31E0" w:rsidRDefault="00160CC4" w:rsidP="00603CB7">
      <w:pPr>
        <w:pStyle w:val="Paragraph"/>
        <w:rPr>
          <w:lang w:eastAsia="zh-CN"/>
        </w:rPr>
      </w:pPr>
      <w:r w:rsidRPr="00CF31E0">
        <w:rPr>
          <w:lang w:eastAsia="zh-CN"/>
        </w:rPr>
        <w:t>Findings revealed that Washington residents perceive three different patterns of language varieties within the state. First, urban areas were identified as different where educated people were most concentrated. Second, the distinction between urban/rural varieties was explicit: people from the eastern side of the state were described as adopting rural and farming lifestyles and were labelled as “</w:t>
      </w:r>
      <w:r w:rsidR="00FF5758" w:rsidRPr="00CF31E0">
        <w:rPr>
          <w:lang w:eastAsia="zh-CN"/>
        </w:rPr>
        <w:t>count</w:t>
      </w:r>
      <w:r w:rsidRPr="00CF31E0">
        <w:rPr>
          <w:lang w:eastAsia="zh-CN"/>
        </w:rPr>
        <w:t xml:space="preserve">ry” </w:t>
      </w:r>
      <w:r w:rsidRPr="00CF31E0">
        <w:rPr>
          <w:lang w:eastAsia="zh-CN"/>
        </w:rPr>
        <w:fldChar w:fldCharType="begin"/>
      </w:r>
      <w:r w:rsidRPr="00CF31E0">
        <w:rPr>
          <w:lang w:eastAsia="zh-CN"/>
        </w:rPr>
        <w:instrText xml:space="preserve"> ADDIN ZOTERO_ITEM CSL_CITATION {"citationID":"McOQw99i","properties":{"formattedCitation":"(Evans, 2013, p. 286)","plainCitation":"(Evans, 2013, p. 286)"},"citationItems":[{"id":79,"uris":["http://zotero.org/users/1939618/items/IQDD6VA3"],"uri":["http://zotero.org/users/1939618/items/IQDD6VA3"],"itemData":{"id":79,"type":"article-journal","title":"Seattle to Spokane: Mapping perceptions of English in Washington state","container-title":"Journal of English Linguistics","page":"0075424213494822","source":"Google Scholar","shortTitle":"Seattle to Spokane","author":[{"family":"Evans","given":"Betsy E."}],"issued":{"date-parts":[["2013"]]}},"locator":"286","label":"page"}],"schema":"https://github.com/citation-style-language/schema/raw/master/csl-citation.json"} </w:instrText>
      </w:r>
      <w:r w:rsidRPr="00CF31E0">
        <w:rPr>
          <w:lang w:eastAsia="zh-CN"/>
        </w:rPr>
        <w:fldChar w:fldCharType="separate"/>
      </w:r>
      <w:r w:rsidRPr="00CF31E0">
        <w:rPr>
          <w:lang w:eastAsia="zh-CN"/>
        </w:rPr>
        <w:t>(Evans, 2013, p. 286)</w:t>
      </w:r>
      <w:r w:rsidRPr="00CF31E0">
        <w:rPr>
          <w:lang w:eastAsia="zh-CN"/>
        </w:rPr>
        <w:fldChar w:fldCharType="end"/>
      </w:r>
      <w:r w:rsidRPr="00CF31E0">
        <w:rPr>
          <w:lang w:eastAsia="zh-CN"/>
        </w:rPr>
        <w:t xml:space="preserve">. Third, the comments and labels given by informants suggest that Washington possesses a reasonable level of linguistic security, since many respondents describe the linguistic variation in the state as “standard”, “normal”, or “normal English” </w:t>
      </w:r>
      <w:r w:rsidRPr="00CF31E0">
        <w:rPr>
          <w:lang w:eastAsia="zh-CN"/>
        </w:rPr>
        <w:fldChar w:fldCharType="begin"/>
      </w:r>
      <w:r w:rsidRPr="00CF31E0">
        <w:rPr>
          <w:lang w:eastAsia="zh-CN"/>
        </w:rPr>
        <w:instrText xml:space="preserve"> ADDIN ZOTERO_ITEM CSL_CITATION {"citationID":"yrmEWa7v","properties":{"formattedCitation":"(Evans, 2013, p. 284)","plainCitation":"(Evans, 2013, p. 284)"},"citationItems":[{"id":79,"uris":["http://zotero.org/users/1939618/items/IQDD6VA3"],"uri":["http://zotero.org/users/1939618/items/IQDD6VA3"],"itemData":{"id":79,"type":"article-journal","title":"Seattle to Spokane: Mapping perceptions of English in Washington state","container-title":"Journal of English Linguistics","page":"0075424213494822","source":"Google Scholar","shortTitle":"Seattle to Spokane","author":[{"family":"Evans","given":"Betsy E."}],"issued":{"date-parts":[["2013"]]}},"locator":"284","label":"page"}],"schema":"https://github.com/citation-style-language/schema/raw/master/csl-citation.json"} </w:instrText>
      </w:r>
      <w:r w:rsidRPr="00CF31E0">
        <w:rPr>
          <w:lang w:eastAsia="zh-CN"/>
        </w:rPr>
        <w:fldChar w:fldCharType="separate"/>
      </w:r>
      <w:r w:rsidRPr="00CF31E0">
        <w:rPr>
          <w:lang w:eastAsia="zh-CN"/>
        </w:rPr>
        <w:t>(Evans, 2013, p. 284)</w:t>
      </w:r>
      <w:r w:rsidRPr="00CF31E0">
        <w:rPr>
          <w:lang w:eastAsia="zh-CN"/>
        </w:rPr>
        <w:fldChar w:fldCharType="end"/>
      </w:r>
      <w:r w:rsidRPr="00CF31E0">
        <w:rPr>
          <w:lang w:eastAsia="zh-CN"/>
        </w:rPr>
        <w:t>. Evans asserts that her study revealed a detailed ac</w:t>
      </w:r>
      <w:r w:rsidR="00362213" w:rsidRPr="00CF31E0">
        <w:rPr>
          <w:lang w:eastAsia="zh-CN"/>
        </w:rPr>
        <w:t>count</w:t>
      </w:r>
      <w:r w:rsidRPr="00CF31E0">
        <w:rPr>
          <w:lang w:eastAsia="zh-CN"/>
        </w:rPr>
        <w:t xml:space="preserve"> of perceptions, because her study was a regionally based one that asked informants only about their perceptions</w:t>
      </w:r>
      <w:r w:rsidR="00362213" w:rsidRPr="00CF31E0">
        <w:rPr>
          <w:lang w:eastAsia="zh-CN"/>
        </w:rPr>
        <w:t xml:space="preserve"> of their region, not the whole count</w:t>
      </w:r>
      <w:r w:rsidRPr="00CF31E0">
        <w:rPr>
          <w:lang w:eastAsia="zh-CN"/>
        </w:rPr>
        <w:t>ry or neighbouring regions. Focus</w:t>
      </w:r>
      <w:r w:rsidR="005D0894" w:rsidRPr="00CF31E0">
        <w:rPr>
          <w:lang w:eastAsia="zh-CN"/>
        </w:rPr>
        <w:t>ing</w:t>
      </w:r>
      <w:r w:rsidRPr="00CF31E0">
        <w:rPr>
          <w:lang w:eastAsia="zh-CN"/>
        </w:rPr>
        <w:t xml:space="preserve"> respondents’ attention on their own region would therefore lead to more accurate and detailed results than those that have been found in earlier studies. </w:t>
      </w:r>
    </w:p>
    <w:p w14:paraId="67E422AF" w14:textId="77777777" w:rsidR="00160CC4" w:rsidRPr="00CF31E0" w:rsidRDefault="00160CC4" w:rsidP="00603CB7">
      <w:pPr>
        <w:pStyle w:val="Paragraph"/>
        <w:rPr>
          <w:lang w:eastAsia="zh-CN"/>
        </w:rPr>
      </w:pPr>
      <w:r w:rsidRPr="00CF31E0">
        <w:rPr>
          <w:lang w:val="en-US" w:eastAsia="zh-CN"/>
        </w:rPr>
        <w:t xml:space="preserve">A similar regionally based study was conducted by </w:t>
      </w:r>
      <w:r w:rsidRPr="00CF31E0">
        <w:rPr>
          <w:lang w:val="en-US" w:eastAsia="zh-CN"/>
        </w:rPr>
        <w:fldChar w:fldCharType="begin"/>
      </w:r>
      <w:r w:rsidRPr="00CF31E0">
        <w:rPr>
          <w:lang w:val="en-US" w:eastAsia="zh-CN"/>
        </w:rPr>
        <w:instrText xml:space="preserve"> ADDIN ZOTERO_ITEM CSL_CITATION {"citationID":"Aannt0sz","properties":{"formattedCitation":"(Bucholtz, Bermudez, Fung, Edwards, &amp; Vargas, 2007)","plainCitation":"(Bucholtz, Bermudez, Fung, Edwards, &amp; Vargas, 2007)","noteIndex":0},"citationItems":[{"id":72,"uris":["http://zotero.org/users/1939618/items/H46Z87WK"],"uri":["http://zotero.org/users/1939618/items/H46Z87WK"],"itemData":{"id":72,"type":"article-journal","title":"Hella Nor Cal or totally So Cal? the perceptual dialectology of California","container-title":"Journal of English Linguistics","page":"325–352","volume":"35","issue":"4","source":"Google Scholar","shortTitle":"Hella Nor Cal or totally So Cal?","author":[{"family":"Bucholtz","given":"Mary"},{"family":"Bermudez","given":"Nancy"},{"family":"Fung","given":"Victor"},{"family":"Edwards","given":"Lisa"},{"family":"Vargas","given":"Rosalva"}],"issued":{"date-parts":[["2007"]]}}}],"schema":"https://github.com/citation-style-language/schema/raw/master/csl-citation.json"} </w:instrText>
      </w:r>
      <w:r w:rsidRPr="00CF31E0">
        <w:rPr>
          <w:lang w:val="en-US" w:eastAsia="zh-CN"/>
        </w:rPr>
        <w:fldChar w:fldCharType="separate"/>
      </w:r>
      <w:r w:rsidRPr="00CF31E0">
        <w:rPr>
          <w:lang w:val="en-US" w:eastAsia="zh-CN"/>
        </w:rPr>
        <w:t>(Bucholtz, Bermudez, Fung, Edwards, &amp; Vargas, 2007)</w:t>
      </w:r>
      <w:r w:rsidRPr="00CF31E0">
        <w:rPr>
          <w:lang w:val="en-US" w:eastAsia="zh-CN"/>
        </w:rPr>
        <w:fldChar w:fldCharType="end"/>
      </w:r>
      <w:r w:rsidRPr="00CF31E0">
        <w:rPr>
          <w:lang w:val="en-US" w:eastAsia="zh-CN"/>
        </w:rPr>
        <w:t xml:space="preserve"> in</w:t>
      </w:r>
      <w:r w:rsidRPr="00CF31E0">
        <w:rPr>
          <w:lang w:eastAsia="zh-CN"/>
        </w:rPr>
        <w:t xml:space="preserve"> California to investigate Californians’ perception of dialect areas in California. The sample was undergraduate students at the University of California, Santa Barbara. Respondents were asked to complete two tasks: first, label dialect areas in California on a map; second, answer survey questions, which included open-ended questions designed to elicit respondents’ opinion of the places in California where they thought people spoke the best English and the places where people spoke the worst English. The study revealed that the most frequently labelled areas were Northern California and Southern California. </w:t>
      </w:r>
      <w:r w:rsidRPr="00CF31E0">
        <w:rPr>
          <w:lang w:eastAsia="zh-CN"/>
        </w:rPr>
        <w:lastRenderedPageBreak/>
        <w:t xml:space="preserve">Respondents labelled the Northern Californian dialect as Standard English, while the Southern Californian dialect was considered broken English (referring to incorrect or awkwardly structured English, usually spoken or written by non-natives). Moreover, the majority of respondents commented that people spoke the best English in Northern California, while people spoke the worst in Southern California. </w:t>
      </w:r>
    </w:p>
    <w:p w14:paraId="361393A1" w14:textId="69BBB0FC" w:rsidR="00160CC4" w:rsidRPr="00CF31E0" w:rsidRDefault="00160CC4" w:rsidP="00603CB7">
      <w:pPr>
        <w:pStyle w:val="Paragraph"/>
        <w:rPr>
          <w:lang w:eastAsia="zh-CN"/>
        </w:rPr>
      </w:pPr>
      <w:r w:rsidRPr="00CF31E0">
        <w:rPr>
          <w:lang w:eastAsia="zh-CN"/>
        </w:rPr>
        <w:t xml:space="preserve">Another two studies of interest conducted by Preston. The aim of the two studies was to investigate perceptions towards regional varieties in the USA </w:t>
      </w:r>
      <w:r w:rsidRPr="00CF31E0">
        <w:rPr>
          <w:lang w:eastAsia="zh-CN"/>
        </w:rPr>
        <w:fldChar w:fldCharType="begin"/>
      </w:r>
      <w:r w:rsidRPr="00CF31E0">
        <w:rPr>
          <w:lang w:eastAsia="zh-CN"/>
        </w:rPr>
        <w:instrText xml:space="preserve"> ADDIN ZOTERO_ITEM CSL_CITATION {"citationID":"lcVZw0Lw","properties":{"formattedCitation":"(Dennis R. Preston, 1999a)","plainCitation":"(Dennis R. Preston, 1999a)","noteIndex":0},"citationItems":[{"id":240,"uris":["http://zotero.org/users/1939618/items/TF8GPXHH"],"uri":["http://zotero.org/users/1939618/items/TF8GPXHH"],"itemData":{"id":240,"type":"chapter","title":"A language attitude approach to the perception of regional variety","container-title":"Handbook of perceptual dialectology","page":"359–374","volume":"1","source":"Google Scholar","author":[{"family":"Preston","given":"Dennis R."}],"issued":{"date-parts":[["1999"]]}}}],"schema":"https://github.com/citation-style-language/schema/raw/master/csl-citation.json"} </w:instrText>
      </w:r>
      <w:r w:rsidRPr="00CF31E0">
        <w:rPr>
          <w:lang w:eastAsia="zh-CN"/>
        </w:rPr>
        <w:fldChar w:fldCharType="separate"/>
      </w:r>
      <w:r w:rsidRPr="00CF31E0">
        <w:rPr>
          <w:noProof/>
          <w:lang w:eastAsia="zh-CN"/>
        </w:rPr>
        <w:t>(Preston, 1999a)</w:t>
      </w:r>
      <w:r w:rsidRPr="00CF31E0">
        <w:rPr>
          <w:lang w:eastAsia="zh-CN"/>
        </w:rPr>
        <w:fldChar w:fldCharType="end"/>
      </w:r>
      <w:r w:rsidRPr="00CF31E0">
        <w:rPr>
          <w:lang w:eastAsia="zh-CN"/>
        </w:rPr>
        <w:t xml:space="preserve">. Preston incorporated a language attitude approach within a perceptual one. In the first study, which was conducted in (1986–87), the researcher asked informants to label dialect areas in the USA. In the second study (1996), he carried out another study on Michigan participants but this time he combined the results he obtained from the previous study “with the more classic language attitude research model” </w:t>
      </w:r>
      <w:r w:rsidRPr="00CF31E0">
        <w:rPr>
          <w:lang w:eastAsia="zh-CN"/>
        </w:rPr>
        <w:fldChar w:fldCharType="begin"/>
      </w:r>
      <w:r w:rsidRPr="00CF31E0">
        <w:rPr>
          <w:lang w:eastAsia="zh-CN"/>
        </w:rPr>
        <w:instrText xml:space="preserve"> ADDIN ZOTERO_ITEM CSL_CITATION {"citationID":"rIRZmrLx","properties":{"formattedCitation":"(Dennis R. Preston, 1999a, p. 361)","plainCitation":"(Dennis R. Preston, 1999a, p. 361)","noteIndex":0},"citationItems":[{"id":240,"uris":["http://zotero.org/users/1939618/items/TF8GPXHH"],"uri":["http://zotero.org/users/1939618/items/TF8GPXHH"],"itemData":{"id":240,"type":"chapter","title":"A language attitude approach to the perception of regional variety","container-title":"Handbook of perceptual dialectology","page":"359–374","volume":"1","source":"Google Scholar","author":[{"family":"Preston","given":"Dennis R."}],"issued":{"date-parts":[["1999"]]}},"locator":"361","label":"page"}],"schema":"https://github.com/citation-style-language/schema/raw/master/csl-citation.json"} </w:instrText>
      </w:r>
      <w:r w:rsidRPr="00CF31E0">
        <w:rPr>
          <w:lang w:eastAsia="zh-CN"/>
        </w:rPr>
        <w:fldChar w:fldCharType="separate"/>
      </w:r>
      <w:r w:rsidRPr="00CF31E0">
        <w:rPr>
          <w:noProof/>
          <w:lang w:eastAsia="zh-CN"/>
        </w:rPr>
        <w:t>(Preston, 1999a, p. 361)</w:t>
      </w:r>
      <w:r w:rsidRPr="00CF31E0">
        <w:rPr>
          <w:lang w:eastAsia="zh-CN"/>
        </w:rPr>
        <w:fldChar w:fldCharType="end"/>
      </w:r>
      <w:r w:rsidRPr="00CF31E0">
        <w:rPr>
          <w:lang w:eastAsia="zh-CN"/>
        </w:rPr>
        <w:t xml:space="preserve">. He used the labels that informants gave in the first study and combined them in a language attitude model by asking students to rate the characteristics, which were first collected from students’ perceptions in 1986–87, of northern and southern regions in USA. He used a semantic differential scale (based on the characteristics of US dialects he collected in a previous study). Results revealed that in the early study, he found that Michiganders rated their dialect as the most pleasant and most correct, and the southern dialect as less correct and less pleasant. In Preston’s latest study, Michiganders rated their dialect high on factor one (standardness), which includes characteristics under the correctness theme, but slightly lower on factor two (friendly), which includes characteristics under the pleasantness theme. Significantly, they rated the southern dialect higher on factor 2 (friendly), while they rated the same dialect as less pleasant in the first study. Preston stated that “the South actually did significantly better than the local area in three key characteristics of the affective factor group (factor group 2 – friendly, casual and down to earth)” </w:t>
      </w:r>
      <w:r w:rsidRPr="00CF31E0">
        <w:rPr>
          <w:lang w:eastAsia="zh-CN"/>
        </w:rPr>
        <w:fldChar w:fldCharType="begin"/>
      </w:r>
      <w:r w:rsidRPr="00CF31E0">
        <w:rPr>
          <w:lang w:eastAsia="zh-CN"/>
        </w:rPr>
        <w:instrText xml:space="preserve"> ADDIN ZOTERO_ITEM CSL_CITATION {"citationID":"YvL7Mu3h","properties":{"formattedCitation":"(Dennis R. Preston, 1999a, p. 396)","plainCitation":"(Dennis R. Preston, 1999a, p. 396)","noteIndex":0},"citationItems":[{"id":240,"uris":["http://zotero.org/users/1939618/items/TF8GPXHH"],"uri":["http://zotero.org/users/1939618/items/TF8GPXHH"],"itemData":{"id":240,"type":"chapter","title":"A language attitude approach to the perception of regional variety","container-title":"Handbook of perceptual dialectology","page":"359–374","volume":"1","source":"Google Scholar","author":[{"family":"Preston","given":"Dennis R."}],"issued":{"date-parts":[["1999"]]}},"locator":"396","label":"page"}],"schema":"https://github.com/citation-style-language/schema/raw/master/csl-citation.json"} </w:instrText>
      </w:r>
      <w:r w:rsidRPr="00CF31E0">
        <w:rPr>
          <w:lang w:eastAsia="zh-CN"/>
        </w:rPr>
        <w:fldChar w:fldCharType="separate"/>
      </w:r>
      <w:r w:rsidRPr="00CF31E0">
        <w:rPr>
          <w:noProof/>
          <w:lang w:eastAsia="zh-CN"/>
        </w:rPr>
        <w:t>(Preston, 1999a, p. 396)</w:t>
      </w:r>
      <w:r w:rsidRPr="00CF31E0">
        <w:rPr>
          <w:lang w:eastAsia="zh-CN"/>
        </w:rPr>
        <w:fldChar w:fldCharType="end"/>
      </w:r>
      <w:r w:rsidRPr="00CF31E0">
        <w:rPr>
          <w:lang w:eastAsia="zh-CN"/>
        </w:rPr>
        <w:t>. Thus, there is a considerable difference between Michiganders’ perceptions in the early study and the latter study towards their local dialect and the southern dialect.</w:t>
      </w:r>
    </w:p>
    <w:p w14:paraId="28134B3A" w14:textId="68A357E6" w:rsidR="00160CC4" w:rsidRPr="00CF31E0" w:rsidRDefault="00160CC4" w:rsidP="00603CB7">
      <w:pPr>
        <w:pStyle w:val="Paragraph"/>
        <w:rPr>
          <w:lang w:eastAsia="zh-CN"/>
        </w:rPr>
      </w:pPr>
      <w:r w:rsidRPr="00CF31E0">
        <w:rPr>
          <w:lang w:eastAsia="zh-CN"/>
        </w:rPr>
        <w:lastRenderedPageBreak/>
        <w:t xml:space="preserve">Preston provided a possible interpretation for the change in peoples’ perceptions between the early and the later study; first, he assumes that “the global label ‘pleasantness’ does not as subtly elicit the attitudes along this dimension” </w:t>
      </w:r>
      <w:r w:rsidRPr="00CF31E0">
        <w:rPr>
          <w:lang w:eastAsia="zh-CN"/>
        </w:rPr>
        <w:fldChar w:fldCharType="begin"/>
      </w:r>
      <w:r w:rsidRPr="00CF31E0">
        <w:rPr>
          <w:lang w:eastAsia="zh-CN"/>
        </w:rPr>
        <w:instrText xml:space="preserve"> ADDIN ZOTERO_ITEM CSL_CITATION {"citationID":"xnjtKJXY","properties":{"formattedCitation":"(Dennis R. Preston, 1999a, p. 369)","plainCitation":"(Dennis R. Preston, 1999a, p. 369)","noteIndex":0},"citationItems":[{"id":240,"uris":["http://zotero.org/users/1939618/items/TF8GPXHH"],"uri":["http://zotero.org/users/1939618/items/TF8GPXHH"],"itemData":{"id":240,"type":"chapter","title":"A language attitude approach to the perception of regional variety","container-title":"Handbook of perceptual dialectology","page":"359–374","volume":"1","source":"Google Scholar","author":[{"family":"Preston","given":"Dennis R."}],"issued":{"date-parts":[["1999"]]}},"locator":"369","label":"page"}],"schema":"https://github.com/citation-style-language/schema/raw/master/csl-citation.json"} </w:instrText>
      </w:r>
      <w:r w:rsidRPr="00CF31E0">
        <w:rPr>
          <w:lang w:eastAsia="zh-CN"/>
        </w:rPr>
        <w:fldChar w:fldCharType="separate"/>
      </w:r>
      <w:r w:rsidRPr="00CF31E0">
        <w:rPr>
          <w:noProof/>
          <w:lang w:eastAsia="zh-CN"/>
        </w:rPr>
        <w:t>(Preston, 1999a, p. 369)</w:t>
      </w:r>
      <w:r w:rsidRPr="00CF31E0">
        <w:rPr>
          <w:lang w:eastAsia="zh-CN"/>
        </w:rPr>
        <w:fldChar w:fldCharType="end"/>
      </w:r>
      <w:r w:rsidRPr="00CF31E0">
        <w:rPr>
          <w:lang w:eastAsia="zh-CN"/>
        </w:rPr>
        <w:t xml:space="preserve">. This “dimension” refers to all characteristics under factor 2, which is labelled “friendly”. Second, he argues that the difference in the age of respondents might have had its own effect in terms of respondents perceiving the data differently. Although in both studies the participants were of a young age, the first study took place in 1986–87, and the second study took place in 1996. Preston argues that although the age of the respondents was similar, there is the potential that “respondents of the late 1990s may behave differently from those of the late 1980s” </w:t>
      </w:r>
      <w:r w:rsidRPr="00CF31E0">
        <w:rPr>
          <w:lang w:eastAsia="zh-CN"/>
        </w:rPr>
        <w:fldChar w:fldCharType="begin"/>
      </w:r>
      <w:r w:rsidRPr="00CF31E0">
        <w:rPr>
          <w:lang w:eastAsia="zh-CN"/>
        </w:rPr>
        <w:instrText xml:space="preserve"> ADDIN ZOTERO_ITEM CSL_CITATION {"citationID":"aFJjagmx","properties":{"formattedCitation":"(Dennis R. Preston, 1999a, p. 369)","plainCitation":"(Dennis R. Preston, 1999a, p. 369)","noteIndex":0},"citationItems":[{"id":240,"uris":["http://zotero.org/users/1939618/items/TF8GPXHH"],"uri":["http://zotero.org/users/1939618/items/TF8GPXHH"],"itemData":{"id":240,"type":"chapter","title":"A language attitude approach to the perception of regional variety","container-title":"Handbook of perceptual dialectology","page":"359–374","volume":"1","source":"Google Scholar","author":[{"family":"Preston","given":"Dennis R."}],"issued":{"date-parts":[["1999"]]}},"locator":"369","label":"page"}],"schema":"https://github.com/citation-style-language/schema/raw/master/csl-citation.json"} </w:instrText>
      </w:r>
      <w:r w:rsidRPr="00CF31E0">
        <w:rPr>
          <w:lang w:eastAsia="zh-CN"/>
        </w:rPr>
        <w:fldChar w:fldCharType="separate"/>
      </w:r>
      <w:r w:rsidRPr="00CF31E0">
        <w:rPr>
          <w:noProof/>
          <w:lang w:eastAsia="zh-CN"/>
        </w:rPr>
        <w:t>(Preston, 1999a, p. 369)</w:t>
      </w:r>
      <w:r w:rsidRPr="00CF31E0">
        <w:rPr>
          <w:lang w:eastAsia="zh-CN"/>
        </w:rPr>
        <w:fldChar w:fldCharType="end"/>
      </w:r>
      <w:r w:rsidRPr="00CF31E0">
        <w:rPr>
          <w:lang w:eastAsia="zh-CN"/>
        </w:rPr>
        <w:t>.</w:t>
      </w:r>
    </w:p>
    <w:p w14:paraId="4A6EF615" w14:textId="49FFEB27" w:rsidR="00160CC4" w:rsidRPr="00CF31E0" w:rsidRDefault="00160CC4" w:rsidP="00E56CC4">
      <w:pPr>
        <w:spacing w:before="120" w:after="120" w:line="360" w:lineRule="auto"/>
        <w:jc w:val="both"/>
        <w:rPr>
          <w:rFonts w:eastAsia="Times New Roman"/>
          <w:b/>
          <w:color w:val="000000" w:themeColor="text1"/>
          <w:sz w:val="32"/>
          <w:szCs w:val="32"/>
          <w:lang w:eastAsia="zh-CN"/>
        </w:rPr>
      </w:pPr>
      <w:r w:rsidRPr="00CF31E0">
        <w:rPr>
          <w:rFonts w:eastAsia="Times New Roman"/>
          <w:color w:val="000000" w:themeColor="text1"/>
          <w:szCs w:val="22"/>
          <w:lang w:eastAsia="zh-CN"/>
        </w:rPr>
        <w:t xml:space="preserve">In the following section, I will review another </w:t>
      </w:r>
      <w:r w:rsidR="00EC7E12" w:rsidRPr="00CF31E0">
        <w:rPr>
          <w:rFonts w:eastAsia="Times New Roman"/>
          <w:color w:val="000000" w:themeColor="text1"/>
          <w:szCs w:val="22"/>
          <w:lang w:eastAsia="zh-CN"/>
        </w:rPr>
        <w:t xml:space="preserve">type of </w:t>
      </w:r>
      <w:r w:rsidRPr="00CF31E0">
        <w:rPr>
          <w:rFonts w:eastAsia="Times New Roman"/>
          <w:color w:val="000000" w:themeColor="text1"/>
          <w:szCs w:val="22"/>
          <w:lang w:eastAsia="zh-CN"/>
        </w:rPr>
        <w:t xml:space="preserve">research </w:t>
      </w:r>
      <w:r w:rsidR="00EC7E12" w:rsidRPr="00CF31E0">
        <w:rPr>
          <w:rFonts w:eastAsia="Times New Roman"/>
          <w:color w:val="000000" w:themeColor="text1"/>
          <w:szCs w:val="22"/>
          <w:lang w:eastAsia="zh-CN"/>
        </w:rPr>
        <w:t xml:space="preserve">that is related </w:t>
      </w:r>
      <w:r w:rsidRPr="00CF31E0">
        <w:rPr>
          <w:rFonts w:eastAsia="Times New Roman"/>
          <w:color w:val="000000" w:themeColor="text1"/>
          <w:szCs w:val="22"/>
          <w:lang w:eastAsia="zh-CN"/>
        </w:rPr>
        <w:t xml:space="preserve">to language regard, that is, socio-phonetic research, focusing mainly on the research </w:t>
      </w:r>
      <w:r w:rsidR="007E15C3" w:rsidRPr="00CF31E0">
        <w:rPr>
          <w:rFonts w:eastAsia="Times New Roman"/>
          <w:color w:val="000000" w:themeColor="text1"/>
          <w:szCs w:val="22"/>
          <w:lang w:eastAsia="zh-CN"/>
        </w:rPr>
        <w:t xml:space="preserve">conducted </w:t>
      </w:r>
      <w:r w:rsidR="00571355" w:rsidRPr="00CF31E0">
        <w:rPr>
          <w:rFonts w:eastAsia="Times New Roman"/>
          <w:color w:val="000000" w:themeColor="text1"/>
          <w:szCs w:val="22"/>
          <w:lang w:eastAsia="zh-CN"/>
        </w:rPr>
        <w:t xml:space="preserve">that </w:t>
      </w:r>
      <w:r w:rsidRPr="00CF31E0">
        <w:rPr>
          <w:rFonts w:eastAsia="Times New Roman"/>
          <w:color w:val="000000" w:themeColor="text1"/>
          <w:szCs w:val="22"/>
          <w:lang w:eastAsia="zh-CN"/>
        </w:rPr>
        <w:t>investigat</w:t>
      </w:r>
      <w:r w:rsidR="00571355" w:rsidRPr="00CF31E0">
        <w:rPr>
          <w:rFonts w:eastAsia="Times New Roman"/>
          <w:color w:val="000000" w:themeColor="text1"/>
          <w:szCs w:val="22"/>
          <w:lang w:eastAsia="zh-CN"/>
        </w:rPr>
        <w:t xml:space="preserve">es </w:t>
      </w:r>
      <w:r w:rsidRPr="00CF31E0">
        <w:rPr>
          <w:rFonts w:eastAsia="Times New Roman"/>
          <w:color w:val="000000" w:themeColor="text1"/>
          <w:szCs w:val="22"/>
          <w:lang w:eastAsia="zh-CN"/>
        </w:rPr>
        <w:t xml:space="preserve">factors affecting speech perception. </w:t>
      </w:r>
    </w:p>
    <w:p w14:paraId="1DE3566D" w14:textId="183461B0" w:rsidR="00160CC4" w:rsidRPr="00CF31E0" w:rsidRDefault="00232730" w:rsidP="00E87209">
      <w:pPr>
        <w:pStyle w:val="Ahead"/>
        <w:rPr>
          <w:rFonts w:eastAsia="Times New Roman"/>
        </w:rPr>
      </w:pPr>
      <w:bookmarkStart w:id="246" w:name="_Toc6472662"/>
      <w:r w:rsidRPr="00CF31E0">
        <w:rPr>
          <w:rFonts w:eastAsia="Times New Roman"/>
        </w:rPr>
        <w:t>4</w:t>
      </w:r>
      <w:r w:rsidR="00DB2210" w:rsidRPr="00CF31E0">
        <w:rPr>
          <w:rFonts w:eastAsia="Times New Roman"/>
        </w:rPr>
        <w:t>.9.</w:t>
      </w:r>
      <w:r w:rsidR="00DB2210" w:rsidRPr="00CF31E0">
        <w:rPr>
          <w:rFonts w:eastAsia="Times New Roman"/>
        </w:rPr>
        <w:tab/>
      </w:r>
      <w:bookmarkStart w:id="247" w:name="_Toc509646859"/>
      <w:bookmarkStart w:id="248" w:name="_Toc510004018"/>
      <w:bookmarkStart w:id="249" w:name="_Toc510025776"/>
      <w:r w:rsidR="00160CC4" w:rsidRPr="00CF31E0">
        <w:rPr>
          <w:rFonts w:eastAsia="Times New Roman"/>
        </w:rPr>
        <w:t xml:space="preserve">Socio-phonetic research </w:t>
      </w:r>
      <w:bookmarkEnd w:id="247"/>
      <w:bookmarkEnd w:id="248"/>
      <w:bookmarkEnd w:id="249"/>
      <w:r w:rsidR="007E15C3" w:rsidRPr="00CF31E0">
        <w:rPr>
          <w:rFonts w:eastAsia="Times New Roman"/>
        </w:rPr>
        <w:t>on l</w:t>
      </w:r>
      <w:r w:rsidR="00160CC4" w:rsidRPr="00CF31E0">
        <w:rPr>
          <w:rFonts w:eastAsia="Times New Roman"/>
        </w:rPr>
        <w:t>anguage regard</w:t>
      </w:r>
      <w:bookmarkEnd w:id="246"/>
      <w:r w:rsidR="00160CC4" w:rsidRPr="00CF31E0">
        <w:rPr>
          <w:rFonts w:eastAsia="Times New Roman"/>
        </w:rPr>
        <w:t xml:space="preserve"> </w:t>
      </w:r>
    </w:p>
    <w:p w14:paraId="3577626C" w14:textId="79A8593B" w:rsidR="00160CC4" w:rsidRPr="00CF31E0" w:rsidRDefault="00160CC4" w:rsidP="00603CB7">
      <w:pPr>
        <w:pStyle w:val="Paragraph"/>
        <w:rPr>
          <w:rFonts w:cs="Arial"/>
          <w:lang w:eastAsia="zh-CN"/>
        </w:rPr>
      </w:pPr>
      <w:r w:rsidRPr="00CF31E0">
        <w:rPr>
          <w:rFonts w:cs="Arial"/>
          <w:lang w:val="en-US" w:eastAsia="zh-CN"/>
        </w:rPr>
        <w:t>One of the methods Preston (1999</w:t>
      </w:r>
      <w:r w:rsidR="004872D5" w:rsidRPr="00CF31E0">
        <w:rPr>
          <w:rFonts w:cs="Arial"/>
          <w:lang w:val="en-US" w:eastAsia="zh-CN"/>
        </w:rPr>
        <w:t>b</w:t>
      </w:r>
      <w:r w:rsidRPr="00CF31E0">
        <w:rPr>
          <w:rFonts w:cs="Arial"/>
          <w:lang w:val="en-US" w:eastAsia="zh-CN"/>
        </w:rPr>
        <w:t xml:space="preserve">) proposed for contemporary perceptual dialectology was </w:t>
      </w:r>
      <w:r w:rsidRPr="00CF31E0">
        <w:rPr>
          <w:lang w:val="en-US" w:eastAsia="zh-CN"/>
        </w:rPr>
        <w:t>dialect identif</w:t>
      </w:r>
      <w:r w:rsidR="00455B4C" w:rsidRPr="00CF31E0">
        <w:rPr>
          <w:lang w:val="en-US" w:eastAsia="zh-CN"/>
        </w:rPr>
        <w:t>ication, where informants were asked to identify</w:t>
      </w:r>
      <w:r w:rsidRPr="00CF31E0">
        <w:rPr>
          <w:lang w:val="en-US" w:eastAsia="zh-CN"/>
        </w:rPr>
        <w:t xml:space="preserve"> the origin of a recorded voice</w:t>
      </w:r>
      <w:r w:rsidR="00455B4C" w:rsidRPr="00CF31E0">
        <w:rPr>
          <w:lang w:val="en-US" w:eastAsia="zh-CN"/>
        </w:rPr>
        <w:t xml:space="preserve"> sample</w:t>
      </w:r>
      <w:r w:rsidRPr="00CF31E0">
        <w:rPr>
          <w:lang w:val="en-US" w:eastAsia="zh-CN"/>
        </w:rPr>
        <w:t xml:space="preserve">. The justification for the method is to contextualize the question, as mentioned in section </w:t>
      </w:r>
      <w:r w:rsidR="00232730" w:rsidRPr="00CF31E0">
        <w:rPr>
          <w:lang w:val="en-US" w:eastAsia="zh-CN"/>
        </w:rPr>
        <w:t>4</w:t>
      </w:r>
      <w:r w:rsidR="00711120" w:rsidRPr="00CF31E0">
        <w:rPr>
          <w:lang w:val="en-US" w:eastAsia="zh-CN"/>
        </w:rPr>
        <w:t>.8 above.</w:t>
      </w:r>
      <w:r w:rsidRPr="00CF31E0">
        <w:rPr>
          <w:lang w:val="en-US" w:eastAsia="zh-CN"/>
        </w:rPr>
        <w:t xml:space="preserve"> </w:t>
      </w:r>
      <w:r w:rsidR="00455B4C" w:rsidRPr="00CF31E0">
        <w:rPr>
          <w:lang w:val="en-US" w:eastAsia="zh-CN"/>
        </w:rPr>
        <w:t xml:space="preserve">Some </w:t>
      </w:r>
      <w:r w:rsidRPr="00CF31E0">
        <w:rPr>
          <w:lang w:val="en-US" w:eastAsia="zh-CN"/>
        </w:rPr>
        <w:t xml:space="preserve">studies used </w:t>
      </w:r>
      <w:r w:rsidR="00455B4C" w:rsidRPr="00CF31E0">
        <w:rPr>
          <w:lang w:val="en-US" w:eastAsia="zh-CN"/>
        </w:rPr>
        <w:t>the dialect identification</w:t>
      </w:r>
      <w:r w:rsidR="007B7FE3" w:rsidRPr="00CF31E0">
        <w:rPr>
          <w:lang w:val="en-US" w:eastAsia="zh-CN"/>
        </w:rPr>
        <w:t xml:space="preserve"> </w:t>
      </w:r>
      <w:r w:rsidRPr="00CF31E0">
        <w:rPr>
          <w:lang w:val="en-US" w:eastAsia="zh-CN"/>
        </w:rPr>
        <w:t>te</w:t>
      </w:r>
      <w:r w:rsidR="00455B4C" w:rsidRPr="00CF31E0">
        <w:rPr>
          <w:lang w:val="en-US" w:eastAsia="zh-CN"/>
        </w:rPr>
        <w:t>chnique</w:t>
      </w:r>
      <w:r w:rsidR="0074630B" w:rsidRPr="00CF31E0">
        <w:rPr>
          <w:lang w:val="en-US" w:eastAsia="zh-CN"/>
        </w:rPr>
        <w:t>,</w:t>
      </w:r>
      <w:r w:rsidR="00455B4C" w:rsidRPr="00CF31E0">
        <w:rPr>
          <w:lang w:val="en-US" w:eastAsia="zh-CN"/>
        </w:rPr>
        <w:t xml:space="preserve"> </w:t>
      </w:r>
      <w:r w:rsidR="0074630B" w:rsidRPr="00CF31E0">
        <w:rPr>
          <w:lang w:val="en-US" w:eastAsia="zh-CN"/>
        </w:rPr>
        <w:t>which</w:t>
      </w:r>
      <w:r w:rsidRPr="00CF31E0">
        <w:rPr>
          <w:lang w:val="en-US" w:eastAsia="zh-CN"/>
        </w:rPr>
        <w:t xml:space="preserve"> proved successful </w:t>
      </w:r>
      <w:r w:rsidRPr="00CF31E0">
        <w:rPr>
          <w:rFonts w:cs="Arial"/>
          <w:lang w:eastAsia="zh-CN"/>
        </w:rPr>
        <w:fldChar w:fldCharType="begin"/>
      </w:r>
      <w:r w:rsidRPr="00CF31E0">
        <w:rPr>
          <w:rFonts w:cs="Arial"/>
          <w:lang w:eastAsia="zh-CN"/>
        </w:rPr>
        <w:instrText xml:space="preserve"> ADDIN ZOTERO_ITEM CSL_CITATION {"citationID":"av4sn5d75p","properties":{"formattedCitation":"(Evans, 2013; Montgomery, 2007)","plainCitation":"(Evans, 2013; Montgomery, 2007)","noteIndex":0},"citationItems":[{"id":79,"uris":["http://zotero.org/users/1939618/items/IQDD6VA3"],"uri":["http://zotero.org/users/1939618/items/IQDD6VA3"],"itemData":{"id":79,"type":"article-journal","title":"Seattle to Spokane: Mapping perceptions of English in Washington state","container-title":"Journal of English Linguistics","page":"0075424213494822","source":"Google Scholar","shortTitle":"Seattle to Spokane","author":[{"family":"Evans","given":"Betsy E."}],"issued":{"date-parts":[["2013"]]}},"label":"page"},{"id":3,"uris":["http://zotero.org/users/1939618/items/IB93562T"],"uri":["http://zotero.org/users/1939618/items/IB93562T"],"itemData":{"id":3,"type":"thesis","title":"Northern English Dialects: A perceptual approach","publisher":"University of Sheffield","genre":"Thesis","source":"etheses.whiterose.ac.uk","abstract":"Perceptual dialectology has the capacity to deliver a great many benefits to the study of language varieties.  It also allows examination of the underlying factors in dialect use such as the ‘beliefs, attitudes and strategies’ (Preston, 1999: xxiii) which make up language users’ reactions to language varieties.  In this way it has the potential to ask questions of identity and explore the reasons for dialect loyalty as well as complementing other research in the field of language variation and change.\n\nUsing a perceptual framework, this research investigates the relationship between the north and south of England and gains access to some of the key concepts which affect informants’ view of this important social, cultural and historical relationship.  Perceptions of salient dialect areas are also assessed using informants from three locations in the north of England via the completion of a draw-a-map task (Preston, 1999: xxxiv).  Many of the factors which impact on the perception of dialect areas are discussed, with phenomena of proximity and cultural salience demonstrating an important role.  An analysis of informants’ reactions to voice samples from across England is also undertaken using methods adapted from the fields of linguistics (Embleton &amp; Wheeler, 1997, Giles &amp; Powesland, 1975, Niedzielski &amp; Preston, 2003) as well perceptual geography (Pocock, 1972).  The link between map-based perception and reaction to voice samples is examined, with interesting conclusions. \n\nFour key research questions are addressed:\n\n1.\tDo respondents have a linguistic ‘cognitive map’ of a north of England, and do respondents recognise there to be internal boundaries within ‘their’ north of England?\n2.\tDoes home-town location of informants affect the perception of dialect area? \n3.\tWhat are informants’ perceptions of the language varieties in the north of England?\n4.\tIs there a relationship between perception and ‘reality’ (production), and can respondents recognise the varieties they have identified?\n\nThese questions will be addressed using the methods described above and the results accounted for through comparison with a wide range of previous studies in the fields of dialectology (Trudgill, 1999, Upton, Sanderson &amp; Widdowson, 1987, Wells, 1982), social and cultural history (Wales, 2006), perceptual dialectology (Long &amp; Preston, 2002), sociolinguistics (Giles &amp; Powesland, 1975) and perceptual geography (Gould &amp; White, 1986).","URL":"http://etheses.whiterose.ac.uk/1203/","shortTitle":"Northern English Dialects","author":[{"family":"Montgomery","given":"Chris"}],"issued":{"date-parts":[["2007",1,16]]},"accessed":{"date-parts":[["2014",9,24]]}},"label":"page"}],"schema":"https://github.com/citation-style-language/schema/raw/master/csl-citation.json"} </w:instrText>
      </w:r>
      <w:r w:rsidRPr="00CF31E0">
        <w:rPr>
          <w:rFonts w:cs="Arial"/>
          <w:lang w:eastAsia="zh-CN"/>
        </w:rPr>
        <w:fldChar w:fldCharType="separate"/>
      </w:r>
      <w:r w:rsidR="00241288" w:rsidRPr="00CF31E0">
        <w:rPr>
          <w:rFonts w:cs="Arial"/>
          <w:noProof/>
          <w:lang w:eastAsia="zh-CN"/>
        </w:rPr>
        <w:t>(e.g.</w:t>
      </w:r>
      <w:r w:rsidRPr="00CF31E0">
        <w:rPr>
          <w:rFonts w:cs="Arial"/>
          <w:noProof/>
          <w:lang w:eastAsia="zh-CN"/>
        </w:rPr>
        <w:t xml:space="preserve"> Montgomery, 2007)</w:t>
      </w:r>
      <w:r w:rsidRPr="00CF31E0">
        <w:rPr>
          <w:rFonts w:cs="Arial"/>
          <w:lang w:eastAsia="zh-CN"/>
        </w:rPr>
        <w:fldChar w:fldCharType="end"/>
      </w:r>
      <w:r w:rsidRPr="00CF31E0">
        <w:rPr>
          <w:rFonts w:cs="Arial"/>
          <w:lang w:eastAsia="zh-CN"/>
        </w:rPr>
        <w:t xml:space="preserve"> </w:t>
      </w:r>
      <w:r w:rsidRPr="00CF31E0">
        <w:rPr>
          <w:lang w:val="en-US" w:eastAsia="zh-CN"/>
        </w:rPr>
        <w:t xml:space="preserve">as respondents were actually aware of the origins of the voice sample on the map. However, a study by </w:t>
      </w:r>
      <w:r w:rsidRPr="00CF31E0">
        <w:rPr>
          <w:lang w:val="en-US" w:eastAsia="zh-CN"/>
        </w:rPr>
        <w:fldChar w:fldCharType="begin"/>
      </w:r>
      <w:r w:rsidRPr="00CF31E0">
        <w:rPr>
          <w:lang w:val="en-US" w:eastAsia="zh-CN"/>
        </w:rPr>
        <w:instrText xml:space="preserve"> ADDIN ZOTERO_ITEM CSL_CITATION {"citationID":"AEYJkCNE","properties":{"formattedCitation":"(Boughton, 2006)","plainCitation":"(Boughton, 2006)"},"citationItems":[{"id":89,"uris":["http://zotero.org/users/1939618/items/ZM2M6V3W"],"uri":["http://zotero.org/users/1939618/items/ZM2M6V3W"],"itemData":{"id":89,"type":"article-journal","title":"When perception isn't reality: Accent identification and perceptual dialectology in French","container-title":"Journal of French Language Studies","page":"277–304","volume":"16","issue":"03","source":"Google Scholar","shortTitle":"When perception isn't reality","author":[{"family":"Boughton","given":"Zoë"}],"issued":{"date-parts":[["2006"]]},"accessed":{"date-parts":[["2014",11,18]]}}}],"schema":"https://github.com/citation-style-language/schema/raw/master/csl-citation.json"} </w:instrText>
      </w:r>
      <w:r w:rsidRPr="00CF31E0">
        <w:rPr>
          <w:lang w:val="en-US" w:eastAsia="zh-CN"/>
        </w:rPr>
        <w:fldChar w:fldCharType="separate"/>
      </w:r>
      <w:r w:rsidRPr="00CF31E0">
        <w:rPr>
          <w:lang w:val="en-US" w:eastAsia="zh-CN"/>
        </w:rPr>
        <w:t>Boughton (2006)</w:t>
      </w:r>
      <w:r w:rsidRPr="00CF31E0">
        <w:rPr>
          <w:lang w:val="en-US" w:eastAsia="zh-CN"/>
        </w:rPr>
        <w:fldChar w:fldCharType="end"/>
      </w:r>
      <w:r w:rsidRPr="00CF31E0">
        <w:rPr>
          <w:lang w:val="en-US" w:eastAsia="zh-CN"/>
        </w:rPr>
        <w:t xml:space="preserve"> in France revealed that more than half of the participants failed to identify the speakers’ home areas. Boughton (2006) commented that this failure might have been due to a failure to answer the question literally, since most students answered the question by naming a city or a wider region, while the researcher asked them to identify the region rather than the city itself. </w:t>
      </w:r>
    </w:p>
    <w:p w14:paraId="4007A65F" w14:textId="02FB5E6F" w:rsidR="00160CC4" w:rsidRPr="00CF31E0" w:rsidRDefault="00160CC4" w:rsidP="00241288">
      <w:pPr>
        <w:pStyle w:val="Paragraph"/>
        <w:rPr>
          <w:lang w:eastAsia="zh-CN"/>
        </w:rPr>
      </w:pPr>
      <w:r w:rsidRPr="00CF31E0">
        <w:rPr>
          <w:lang w:eastAsia="zh-CN"/>
        </w:rPr>
        <w:t xml:space="preserve">Along with placing the voice with its origin, more recent studies in perceptions of speech focus on the effects of metalinguistic factors on </w:t>
      </w:r>
      <w:r w:rsidRPr="00CF31E0">
        <w:rPr>
          <w:lang w:eastAsia="zh-CN"/>
        </w:rPr>
        <w:lastRenderedPageBreak/>
        <w:t xml:space="preserve">speech perceptions of voice samples. The purpose of such research is to test whether the speech perception of a speaker is confined to “phonetic processing of the speech signal” or whether it extends to using other peripheral and metalinguistic factors to identify the regional variety or the language of the speaker </w:t>
      </w:r>
      <w:r w:rsidRPr="00CF31E0">
        <w:rPr>
          <w:lang w:eastAsia="zh-CN"/>
        </w:rPr>
        <w:fldChar w:fldCharType="begin"/>
      </w:r>
      <w:r w:rsidRPr="00CF31E0">
        <w:rPr>
          <w:lang w:eastAsia="zh-CN"/>
        </w:rPr>
        <w:instrText xml:space="preserve"> ADDIN ZOTERO_ITEM CSL_CITATION {"citationID":"l7xd32c5","properties":{"formattedCitation":"(Niedzielski, 1999, p. 63)","plainCitation":"(Niedzielski, 1999, p. 63)","noteIndex":0},"citationItems":[{"id":293,"uris":["http://zotero.org/users/1939618/items/IR99WY6K"],"uri":["http://zotero.org/users/1939618/items/IR99WY6K"],"itemData":{"id":293,"type":"article-journal","title":"The effect of social information on the perception of sociolinguistic variables","container-title":"Journal of language and social psychology","page":"62–85","volume":"18","issue":"1","source":"Google Scholar","author":[{"family":"Niedzielski","given":"Nancy"}],"issued":{"date-parts":[["1999"]]}},"locator":"63","label":"page"}],"schema":"https://github.com/citation-style-language/schema/raw/master/csl-citation.json"} </w:instrText>
      </w:r>
      <w:r w:rsidRPr="00CF31E0">
        <w:rPr>
          <w:lang w:eastAsia="zh-CN"/>
        </w:rPr>
        <w:fldChar w:fldCharType="separate"/>
      </w:r>
      <w:r w:rsidRPr="00CF31E0">
        <w:rPr>
          <w:noProof/>
          <w:lang w:eastAsia="zh-CN"/>
        </w:rPr>
        <w:t>(Niedzielski, 1999, p. 63)</w:t>
      </w:r>
      <w:r w:rsidRPr="00CF31E0">
        <w:rPr>
          <w:lang w:eastAsia="zh-CN"/>
        </w:rPr>
        <w:fldChar w:fldCharType="end"/>
      </w:r>
      <w:r w:rsidRPr="00CF31E0">
        <w:rPr>
          <w:lang w:eastAsia="zh-CN"/>
        </w:rPr>
        <w:t xml:space="preserve">. The metalinguistic factors can be social information </w:t>
      </w:r>
      <w:r w:rsidRPr="00CF31E0">
        <w:rPr>
          <w:lang w:eastAsia="zh-CN"/>
        </w:rPr>
        <w:fldChar w:fldCharType="begin"/>
      </w:r>
      <w:r w:rsidRPr="00CF31E0">
        <w:rPr>
          <w:lang w:eastAsia="zh-CN"/>
        </w:rPr>
        <w:instrText xml:space="preserve"> ADDIN ZOTERO_ITEM CSL_CITATION {"citationID":"a2ktf36gbu7","properties":{"formattedCitation":"(Hay, Jennifer &amp; Drager, Katie, 2010; Jennifer Hay, Nolan, &amp; Drager, 2006a; Niedzielski, 1999)","plainCitation":"(Hay, Jennifer &amp; Drager, Katie, 2010; Jennifer Hay, Nolan, &amp; Drager, 2006a; Niedzielski, 1999)","noteIndex":0},"citationItems":[{"id":345,"uris":["http://zotero.org/users/1939618/items/8WESUNPI"],"uri":["http://zotero.org/users/1939618/items/8WESUNPI"],"itemData":{"id":345,"type":"article-journal","title":"From fush to feesh: Exemplar priming in speech perception","container-title":"The Linguistic Review","page":"351–379","volume":"23","issue":"3","source":"find.shef.ac.uk","abstract":"Niedzielski (1999) reports on an experiment which demonstrates that individuals in Detroit ‘hear’ more Canadian Raising in the speech of a speaker when they think that speaker is Canadian. We describe an experiment designed to follow up on this result in a New Zealand context. Participants listened to a New Zealand English (NZE) speaker reading a list of sentences. Each sentence appeared on the answer-sheet, with a target word underlined. For each sentence, participants were asked to select from a synthesized vowel continuum the token that best matched the target vowel produced by the speaker. Half the participants had an answer-sheet with the word ‘Australian’ written on it, and half had an answer-sheet with ‘New Zealander’ written on it. Participants in the two conditions behaved significantly differently from one another. For example, they were more likely to hear a higher fronter / i / vowel when ‘Australian’ appeared on the answer sheet, and more likely to hear a centralized version when ‘New Zealander’ appeared – a trend which reflects production differences between the two dialects. This is despite the fact that nearly all participants reported that they knew they were listening to a New Zealander. We discuss the implication of these results, and argue that they support exemplar models of speech perception.","DOI":"10.1515/TLR.2006.014","ISSN":"0167-6318","shortTitle":"From fush to feesh","author":[{"family":"Hay","given":"Jennifer"},{"family":"Nolan","given":"Aaron"},{"family":"Drager","given":"Katie"}],"issued":{"literal":"2006a"}},"label":"page"},{"id":291,"uris":["http://zotero.org/users/1939618/items/J2RHJYXU"],"uri":["http://zotero.org/users/1939618/items/J2RHJYXU"],"itemData":{"id":291,"type":"article-journal","title":"Stuffed toys and speech perception : Linguistics","volume":"48","issue":"4","URL":"https://www.degruyter.com/view/j/ling.2010.48.issue-4/ling.2010.027/ling.2010.027.xml","author":[{"literal":"Hay, Jennifer"},{"literal":"Drager, Katie"}],"issued":{"date-parts":[["2010"]]},"accessed":{"date-parts":[["2017",12,28]]}},"label":"page"},{"id":293,"uris":["http://zotero.org/users/1939618/items/IR99WY6K"],"uri":["http://zotero.org/users/1939618/items/IR99WY6K"],"itemData":{"id":293,"type":"article-journal","title":"The effect of social information on the perception of sociolinguistic variables","container-title":"Journal of language and social psychology","page":"62–85","volume":"18","issue":"1","source":"Google Scholar","author":[{"family":"Niedzielski","given":"Nancy"}],"issued":{"date-parts":[["1999"]]}},"label":"page"}],"schema":"https://github.com/citation-style-language/schema/raw/master/csl-citation.json"} </w:instrText>
      </w:r>
      <w:r w:rsidRPr="00CF31E0">
        <w:rPr>
          <w:lang w:eastAsia="zh-CN"/>
        </w:rPr>
        <w:fldChar w:fldCharType="separate"/>
      </w:r>
      <w:r w:rsidRPr="00CF31E0">
        <w:rPr>
          <w:noProof/>
          <w:lang w:eastAsia="zh-CN"/>
        </w:rPr>
        <w:t>(Hay &amp; Drager, 2</w:t>
      </w:r>
      <w:r w:rsidR="00074CE4" w:rsidRPr="00CF31E0">
        <w:rPr>
          <w:noProof/>
          <w:lang w:eastAsia="zh-CN"/>
        </w:rPr>
        <w:t>010; Hay, Nolan, &amp; Drager, 2006</w:t>
      </w:r>
      <w:r w:rsidRPr="00CF31E0">
        <w:rPr>
          <w:noProof/>
          <w:lang w:eastAsia="zh-CN"/>
        </w:rPr>
        <w:t>; Niedzielski, 1999)</w:t>
      </w:r>
      <w:r w:rsidRPr="00CF31E0">
        <w:rPr>
          <w:lang w:eastAsia="zh-CN"/>
        </w:rPr>
        <w:fldChar w:fldCharType="end"/>
      </w:r>
      <w:r w:rsidRPr="00CF31E0">
        <w:rPr>
          <w:lang w:eastAsia="zh-CN"/>
        </w:rPr>
        <w:t xml:space="preserve">, dialect background information </w:t>
      </w:r>
      <w:r w:rsidRPr="00CF31E0">
        <w:rPr>
          <w:lang w:eastAsia="zh-CN"/>
        </w:rPr>
        <w:fldChar w:fldCharType="begin"/>
      </w:r>
      <w:r w:rsidRPr="00CF31E0">
        <w:rPr>
          <w:lang w:eastAsia="zh-CN"/>
        </w:rPr>
        <w:instrText xml:space="preserve"> ADDIN ZOTERO_ITEM CSL_CITATION {"citationID":"a1t4303v1ke","properties":{"formattedCitation":"(Willis, 1972)","plainCitation":"(Willis, 1972)","noteIndex":0},"citationItems":[{"id":341,"uris":["http://zotero.org/users/1939618/items/IL942GAR"],"uri":["http://zotero.org/users/1939618/items/IL942GAR"],"itemData":{"id":341,"type":"article-journal","title":"Perception of vowel phonemes in Fort Erie, Ontario, Canada, and Buffalo, New York: An application of synthetic vowel categorization tests to dialectology","container-title":"Journal of Speech, Language, and Hearing Research","page":"246–255","volume":"15","issue":"2","source":"Google Scholar","shortTitle":"Perception of vowel phonemes in Fort Erie, Ontario, Canada, and Buffalo, New York","author":[{"family":"Willis","given":"Clodius"}],"issued":{"date-parts":[["1972"]]}}}],"schema":"https://github.com/citation-style-language/schema/raw/master/csl-citation.json"} </w:instrText>
      </w:r>
      <w:r w:rsidRPr="00CF31E0">
        <w:rPr>
          <w:lang w:eastAsia="zh-CN"/>
        </w:rPr>
        <w:fldChar w:fldCharType="separate"/>
      </w:r>
      <w:r w:rsidRPr="00CF31E0">
        <w:rPr>
          <w:noProof/>
          <w:lang w:eastAsia="zh-CN"/>
        </w:rPr>
        <w:t>(Willis, 1972)</w:t>
      </w:r>
      <w:r w:rsidRPr="00CF31E0">
        <w:rPr>
          <w:lang w:eastAsia="zh-CN"/>
        </w:rPr>
        <w:fldChar w:fldCharType="end"/>
      </w:r>
      <w:r w:rsidRPr="00CF31E0">
        <w:rPr>
          <w:lang w:eastAsia="zh-CN"/>
        </w:rPr>
        <w:t xml:space="preserve"> and prior exposure to certain phonemes in a language </w:t>
      </w:r>
      <w:r w:rsidRPr="00CF31E0">
        <w:rPr>
          <w:lang w:eastAsia="zh-CN"/>
        </w:rPr>
        <w:fldChar w:fldCharType="begin"/>
      </w:r>
      <w:r w:rsidRPr="00CF31E0">
        <w:rPr>
          <w:lang w:eastAsia="zh-CN"/>
        </w:rPr>
        <w:instrText xml:space="preserve"> ADDIN ZOTERO_ITEM CSL_CITATION {"citationID":"reFZtC3p","properties":{"formattedCitation":"(Jen Hay, Drager, &amp; Gibson, 2017)","plainCitation":"(Jen Hay, Drager, &amp; Gibson, 2017)","dontUpdate":true,"noteIndex":0},"citationItems":[{"id":542,"uris":["http://zotero.org/users/1939618/items/ZB5K7ECS"],"uri":["http://zotero.org/users/1939618/items/ZB5K7ECS"],"itemData":{"id":542,"type":"article-journal","title":"(in press) Hearing R-sandhi: the role of past experience","container-title":"Research Gate","abstract":"ResearchGate is a network dedicated to science and research. Connect, collaborate and discover scientific publications, jobs and conferences. All for free.","URL":"https://www.researchgate.net/publication/319007814_Hearing_R-Sandhi_the_Role_of_Past_Experience","shortTitle":"Hearing R-Sandhi","language":"en","author":[{"family":"Hay","given":"Jen"},{"family":"Drager","given":"Katie"},{"family":"Gibson","given":"Andy"}],"issued":{"date-parts":[["2017"]]},"accessed":{"date-parts":[["2018",7,27]]}}}],"schema":"https://github.com/citation-style-language/schema/raw/master/csl-citation.json"} </w:instrText>
      </w:r>
      <w:r w:rsidRPr="00CF31E0">
        <w:rPr>
          <w:lang w:eastAsia="zh-CN"/>
        </w:rPr>
        <w:fldChar w:fldCharType="separate"/>
      </w:r>
      <w:r w:rsidRPr="00CF31E0">
        <w:rPr>
          <w:noProof/>
          <w:lang w:eastAsia="zh-CN"/>
        </w:rPr>
        <w:t>(Hay</w:t>
      </w:r>
      <w:r w:rsidR="00FD6C39" w:rsidRPr="00CF31E0">
        <w:rPr>
          <w:noProof/>
          <w:lang w:eastAsia="zh-CN"/>
        </w:rPr>
        <w:t xml:space="preserve"> et al.</w:t>
      </w:r>
      <w:r w:rsidR="004D1789" w:rsidRPr="00CF31E0">
        <w:rPr>
          <w:noProof/>
          <w:lang w:eastAsia="zh-CN"/>
        </w:rPr>
        <w:t>, 2018</w:t>
      </w:r>
      <w:r w:rsidRPr="00CF31E0">
        <w:rPr>
          <w:noProof/>
          <w:lang w:eastAsia="zh-CN"/>
        </w:rPr>
        <w:t>)</w:t>
      </w:r>
      <w:r w:rsidRPr="00CF31E0">
        <w:rPr>
          <w:lang w:eastAsia="zh-CN"/>
        </w:rPr>
        <w:fldChar w:fldCharType="end"/>
      </w:r>
      <w:r w:rsidRPr="00CF31E0">
        <w:rPr>
          <w:lang w:eastAsia="zh-CN"/>
        </w:rPr>
        <w:t>.</w:t>
      </w:r>
    </w:p>
    <w:p w14:paraId="00865BE3" w14:textId="77777777" w:rsidR="00160CC4" w:rsidRPr="00CF31E0" w:rsidRDefault="00160CC4" w:rsidP="00603CB7">
      <w:pPr>
        <w:pStyle w:val="Paragraph"/>
        <w:rPr>
          <w:lang w:eastAsia="zh-CN"/>
        </w:rPr>
      </w:pPr>
      <w:r w:rsidRPr="00CF31E0">
        <w:rPr>
          <w:lang w:eastAsia="zh-CN"/>
        </w:rPr>
        <w:fldChar w:fldCharType="begin"/>
      </w:r>
      <w:r w:rsidRPr="00CF31E0">
        <w:rPr>
          <w:lang w:eastAsia="zh-CN"/>
        </w:rPr>
        <w:instrText xml:space="preserve"> ADDIN ZOTERO_ITEM CSL_CITATION {"citationID":"aog2se7q1g","properties":{"formattedCitation":"(Niedzielski, 1999)","plainCitation":"(Niedzielski, 1999)","noteIndex":0},"citationItems":[{"id":293,"uris":["http://zotero.org/users/1939618/items/IR99WY6K"],"uri":["http://zotero.org/users/1939618/items/IR99WY6K"],"itemData":{"id":293,"type":"article-journal","title":"The effect of social information on the perception of sociolinguistic variables","container-title":"Journal of language and social psychology","page":"62–85","volume":"18","issue":"1","source":"Google Scholar","author":[{"family":"Niedzielski","given":"Nancy"}],"issued":{"date-parts":[["1999"]]}}}],"schema":"https://github.com/citation-style-language/schema/raw/master/csl-citation.json"} </w:instrText>
      </w:r>
      <w:r w:rsidRPr="00CF31E0">
        <w:rPr>
          <w:lang w:eastAsia="zh-CN"/>
        </w:rPr>
        <w:fldChar w:fldCharType="separate"/>
      </w:r>
      <w:r w:rsidRPr="00CF31E0">
        <w:rPr>
          <w:noProof/>
          <w:lang w:eastAsia="zh-CN"/>
        </w:rPr>
        <w:t>Niedzielski (1999)</w:t>
      </w:r>
      <w:r w:rsidRPr="00CF31E0">
        <w:rPr>
          <w:lang w:eastAsia="zh-CN"/>
        </w:rPr>
        <w:fldChar w:fldCharType="end"/>
      </w:r>
      <w:r w:rsidRPr="00CF31E0">
        <w:rPr>
          <w:lang w:eastAsia="zh-CN"/>
        </w:rPr>
        <w:t xml:space="preserve"> tested the extent to which social information might affect participants’ perceptions in a voice placement task. 41 Detroiter participants were recruited for the study. They listened to 50 sentences and were requested to focus their attention on a particular vowel within a certain word in each sentence; then they were asked “to choose from a set of computer-resynthesized vowels the tokens that they felt best matched the vowels they heard in the speech of a fellow Detroiter” </w:t>
      </w:r>
      <w:r w:rsidRPr="00CF31E0">
        <w:rPr>
          <w:lang w:eastAsia="zh-CN"/>
        </w:rPr>
        <w:fldChar w:fldCharType="begin"/>
      </w:r>
      <w:r w:rsidRPr="00CF31E0">
        <w:rPr>
          <w:lang w:eastAsia="zh-CN"/>
        </w:rPr>
        <w:instrText xml:space="preserve"> ADDIN ZOTERO_ITEM CSL_CITATION {"citationID":"1B3Axf4L","properties":{"formattedCitation":"(Niedzielski, 1999, p. 64)","plainCitation":"(Niedzielski, 1999, p. 64)"},"citationItems":[{"id":293,"uris":["http://zotero.org/users/1939618/items/IR99WY6K"],"uri":["http://zotero.org/users/1939618/items/IR99WY6K"],"itemData":{"id":293,"type":"article-journal","title":"The effect of social information on the perception of sociolinguistic variables","container-title":"Journal of language and social psychology","page":"62–85","volume":"18","issue":"1","source":"Google Scholar","author":[{"family":"Niedzielski","given":"Nancy"}],"issued":{"date-parts":[["1999"]]}},"locator":"64","label":"page"}],"schema":"https://github.com/citation-style-language/schema/raw/master/csl-citation.json"} </w:instrText>
      </w:r>
      <w:r w:rsidRPr="00CF31E0">
        <w:rPr>
          <w:lang w:eastAsia="zh-CN"/>
        </w:rPr>
        <w:fldChar w:fldCharType="separate"/>
      </w:r>
      <w:r w:rsidRPr="00CF31E0">
        <w:rPr>
          <w:noProof/>
          <w:lang w:eastAsia="zh-CN"/>
        </w:rPr>
        <w:t>(Niedzielski, 1999, p. 64)</w:t>
      </w:r>
      <w:r w:rsidRPr="00CF31E0">
        <w:rPr>
          <w:lang w:eastAsia="zh-CN"/>
        </w:rPr>
        <w:fldChar w:fldCharType="end"/>
      </w:r>
      <w:r w:rsidRPr="00CF31E0">
        <w:rPr>
          <w:lang w:eastAsia="zh-CN"/>
        </w:rPr>
        <w:t xml:space="preserve">. Half of the participants were told that the speaker was from Detroit and that was done by writing the Michigan label on the answer sheet. The other half were told that the speaker was from Canada, by writing the Canadian label on the answer sheet. Niedzielski manipulated the nationality of the speaker because he wanted to find out whether social information such as the speaker’s nationality affects participants’ perceptions. The results revealed that for the first half of the participants who had been given the Canadian label, participants chose the raised variant /aw/ tokens which is spoken by the speaker. The diphthong /aw/ is a stereotypical feature of the Canadian dialect. Surprisingly, the other half of the participants, who had been given the Michigan label, did not choose the raised variant tokens, even though the same speaker was presented to both groups. This is because Michiganders do not use the diphthong /aw/ in their speech. Thus, </w:t>
      </w:r>
      <w:r w:rsidRPr="00CF31E0">
        <w:rPr>
          <w:lang w:eastAsia="zh-CN"/>
        </w:rPr>
        <w:fldChar w:fldCharType="begin"/>
      </w:r>
      <w:r w:rsidRPr="00CF31E0">
        <w:rPr>
          <w:lang w:eastAsia="zh-CN"/>
        </w:rPr>
        <w:instrText xml:space="preserve"> ADDIN ZOTERO_ITEM CSL_CITATION {"citationID":"qCsCn6hy","properties":{"formattedCitation":"(Niedzielski, 1999, p. 64)","plainCitation":"(Niedzielski, 1999, p. 64)","noteIndex":0},"citationItems":[{"id":293,"uris":["http://zotero.org/users/1939618/items/IR99WY6K"],"uri":["http://zotero.org/users/1939618/items/IR99WY6K"],"itemData":{"id":293,"type":"article-journal","title":"The effect of social information on the perception of sociolinguistic variables","container-title":"Journal of language and social psychology","page":"62–85","volume":"18","issue":"1","source":"Google Scholar","author":[{"family":"Niedzielski","given":"Nancy"}],"issued":{"date-parts":[["1999"]]}},"locator":"64","label":"page"}],"schema":"https://github.com/citation-style-language/schema/raw/master/csl-citation.json"} </w:instrText>
      </w:r>
      <w:r w:rsidRPr="00CF31E0">
        <w:rPr>
          <w:lang w:eastAsia="zh-CN"/>
        </w:rPr>
        <w:fldChar w:fldCharType="separate"/>
      </w:r>
      <w:r w:rsidRPr="00CF31E0">
        <w:rPr>
          <w:noProof/>
          <w:lang w:eastAsia="zh-CN"/>
        </w:rPr>
        <w:t>Niedzielski (1999)</w:t>
      </w:r>
      <w:r w:rsidRPr="00CF31E0">
        <w:rPr>
          <w:lang w:eastAsia="zh-CN"/>
        </w:rPr>
        <w:fldChar w:fldCharType="end"/>
      </w:r>
      <w:r w:rsidRPr="00CF31E0">
        <w:rPr>
          <w:lang w:eastAsia="zh-CN"/>
        </w:rPr>
        <w:t xml:space="preserve"> argues that her study made strong claims on the effects of social information on speech perceptions. </w:t>
      </w:r>
    </w:p>
    <w:p w14:paraId="3D7FD0FB" w14:textId="07E6C87A" w:rsidR="00160CC4" w:rsidRPr="00CF31E0" w:rsidRDefault="00160CC4" w:rsidP="00603CB7">
      <w:pPr>
        <w:pStyle w:val="Paragraph"/>
        <w:rPr>
          <w:lang w:eastAsia="zh-CN"/>
        </w:rPr>
      </w:pPr>
      <w:r w:rsidRPr="000E3509">
        <w:rPr>
          <w:lang w:eastAsia="zh-CN"/>
        </w:rPr>
        <w:t xml:space="preserve">In a similar vein, </w:t>
      </w:r>
      <w:r w:rsidRPr="00CF31E0">
        <w:rPr>
          <w:lang w:eastAsia="zh-CN"/>
        </w:rPr>
        <w:fldChar w:fldCharType="begin"/>
      </w:r>
      <w:r w:rsidRPr="000E3509">
        <w:rPr>
          <w:lang w:eastAsia="zh-CN"/>
        </w:rPr>
        <w:instrText xml:space="preserve"> ADDIN ZOTERO_ITEM CSL_CITATION {"citationID":"a2pn8r4f0uv","properties":{"formattedCitation":"(Hay, Nolan, et al., 2006a)","plainCitation":"(Hay, Nolan, et al., 2006a)","dontUpdate":true,"noteIndex":0},"citationItems":[{"id":345,"uris":["http://zotero.org/users/1939618/items/8WESUNPI"],"uri":["http://zotero.org/users/1939618/items/8WESUNPI"],"itemData":{"id":345,"type":"article-journal","title":"From fush to feesh: Exemplar priming in speech perception","container-title":"The Linguistic Review","page":"351–379","volume":"23","issue":"3","source":"find.shef.ac.uk","abstract":"Niedzielski (1999) reports on an experiment which demonstrates that individuals in Detroit ‘hear’ more Canadian Raising in the speech of a speaker when they think that speaker is Canadian. We describe an experiment designed to follow up on this result in a New Zealand context. Participants listened to a New Zealand English (NZE) speaker reading a list of sentences. Each sentence appeared on the answer-sheet, with a target word underlined. For each sentence, participants were asked to select from a synthesized vowel continuum the token that best matched the target vowel produced by the speaker. Half the participants had an answer-sheet with the word ‘Australian’ written on it, and half had an answer-sheet with ‘New Zealander’ written on it. Participants in the two conditions behaved significantly differently from one another. For example, they were more likely to hear a higher fronter / i / vowel when ‘Australian’ appeared on the answer sheet, and more likely to hear a centralized version when ‘New Zealander’ appeared – a trend which reflects production differences between the two dialects. This is despite the fact that nearly all participants reported that they knew they were listening to a New Zealander. We discuss the implication of these results, and argue that they support exemplar models of speech perception.","DOI":"10.1515/TLR.2006.014","ISSN":"0167-6318","shortTitle":"From fush to feesh","author":[{"family":"Hay","given":"Jennifer"},{"family":"Nolan","given":"Aaron"},{"family":"Drager","given":"Katie"}],"issued":{"literal":"2006a"}}}],"schema":"https://github.com/citation-style-language/schema/raw/master/csl-citation.json"} </w:instrText>
      </w:r>
      <w:r w:rsidRPr="00CF31E0">
        <w:rPr>
          <w:lang w:eastAsia="zh-CN"/>
        </w:rPr>
        <w:fldChar w:fldCharType="separate"/>
      </w:r>
      <w:r w:rsidRPr="000E3509">
        <w:rPr>
          <w:noProof/>
          <w:lang w:eastAsia="zh-CN"/>
        </w:rPr>
        <w:t xml:space="preserve">Hay et al. </w:t>
      </w:r>
      <w:r w:rsidR="00074CE4" w:rsidRPr="00CF31E0">
        <w:rPr>
          <w:noProof/>
          <w:lang w:eastAsia="zh-CN"/>
        </w:rPr>
        <w:t>(2006</w:t>
      </w:r>
      <w:r w:rsidRPr="00CF31E0">
        <w:rPr>
          <w:noProof/>
          <w:lang w:eastAsia="zh-CN"/>
        </w:rPr>
        <w:t>)</w:t>
      </w:r>
      <w:r w:rsidRPr="00CF31E0">
        <w:rPr>
          <w:lang w:eastAsia="zh-CN"/>
        </w:rPr>
        <w:fldChar w:fldCharType="end"/>
      </w:r>
      <w:r w:rsidRPr="00CF31E0">
        <w:rPr>
          <w:lang w:eastAsia="zh-CN"/>
        </w:rPr>
        <w:t xml:space="preserve"> conducted a similar experiment to </w:t>
      </w:r>
      <w:r w:rsidRPr="00CF31E0">
        <w:rPr>
          <w:lang w:eastAsia="zh-CN"/>
        </w:rPr>
        <w:fldChar w:fldCharType="begin"/>
      </w:r>
      <w:r w:rsidRPr="00CF31E0">
        <w:rPr>
          <w:lang w:eastAsia="zh-CN"/>
        </w:rPr>
        <w:instrText xml:space="preserve"> ADDIN ZOTERO_ITEM CSL_CITATION {"citationID":"hlvFcYK4","properties":{"formattedCitation":"(Niedzielski, 1999, p. 64)","plainCitation":"(Niedzielski, 1999, p. 64)","noteIndex":0},"citationItems":[{"id":293,"uris":["http://zotero.org/users/1939618/items/IR99WY6K"],"uri":["http://zotero.org/users/1939618/items/IR99WY6K"],"itemData":{"id":293,"type":"article-journal","title":"The effect of social information on the perception of sociolinguistic variables","container-title":"Journal of language and social psychology","page":"62–85","volume":"18","issue":"1","source":"Google Scholar","author":[{"family":"Niedzielski","given":"Nancy"}],"issued":{"date-parts":[["1999"]]}},"locator":"64","label":"page"}],"schema":"https://github.com/citation-style-language/schema/raw/master/csl-citation.json"} </w:instrText>
      </w:r>
      <w:r w:rsidRPr="00CF31E0">
        <w:rPr>
          <w:lang w:eastAsia="zh-CN"/>
        </w:rPr>
        <w:fldChar w:fldCharType="separate"/>
      </w:r>
      <w:r w:rsidRPr="00CF31E0">
        <w:rPr>
          <w:noProof/>
          <w:lang w:eastAsia="zh-CN"/>
        </w:rPr>
        <w:t>Niedzielski (1999)</w:t>
      </w:r>
      <w:r w:rsidRPr="00CF31E0">
        <w:rPr>
          <w:lang w:eastAsia="zh-CN"/>
        </w:rPr>
        <w:fldChar w:fldCharType="end"/>
      </w:r>
      <w:r w:rsidRPr="00CF31E0">
        <w:rPr>
          <w:lang w:eastAsia="zh-CN"/>
        </w:rPr>
        <w:t xml:space="preserve"> but in a different location. 49 New Zealanders were </w:t>
      </w:r>
      <w:r w:rsidRPr="00CF31E0">
        <w:rPr>
          <w:lang w:eastAsia="zh-CN"/>
        </w:rPr>
        <w:lastRenderedPageBreak/>
        <w:t>recruited for the study. They were provided with number of sentences read by a New Zealand English speaker. All sentences were written in the answer sheet, and participants were asked to pay attention to a particular word with a certain vowel in each sentence. Then, they were asked to match the vowels they listened to with those from a synthesized vowel continuum. Half of the participants were provided with an answer sheet with a New Zealander label written on it. The other half were presented with an Australian label written on the answer sheet. It should be noted that there is a significant difference between Australian and New Zealand dialects in terms of “</w:t>
      </w:r>
      <w:r w:rsidRPr="00CF31E0">
        <w:rPr>
          <w:rFonts w:ascii="Times" w:eastAsia="Calibri" w:hAnsi="Times" w:cs="Times"/>
          <w:lang w:eastAsia="en-US"/>
        </w:rPr>
        <w:t xml:space="preserve">the realization of the vowel, /I/, which is raised in Australian English and is centralized in NZE” </w:t>
      </w:r>
      <w:r w:rsidRPr="00CF31E0">
        <w:rPr>
          <w:rFonts w:ascii="Times" w:eastAsia="Calibri" w:hAnsi="Times" w:cs="Times"/>
          <w:lang w:eastAsia="en-US"/>
        </w:rPr>
        <w:fldChar w:fldCharType="begin"/>
      </w:r>
      <w:r w:rsidRPr="00CF31E0">
        <w:rPr>
          <w:rFonts w:ascii="Times" w:eastAsia="Calibri" w:hAnsi="Times" w:cs="Times"/>
          <w:lang w:eastAsia="en-US"/>
        </w:rPr>
        <w:instrText xml:space="preserve"> ADDIN ZOTERO_ITEM CSL_CITATION {"citationID":"f2u3tA54","properties":{"formattedCitation":"(Hay, Nolan, et al., 2006a, p. 354)","plainCitation":"(Hay, Nolan, et al., 2006a, p. 354)","dontUpdate":true,"noteIndex":0},"citationItems":[{"id":345,"uris":["http://zotero.org/users/1939618/items/8WESUNPI"],"uri":["http://zotero.org/users/1939618/items/8WESUNPI"],"itemData":{"id":345,"type":"article-journal","title":"From fush to feesh: Exemplar priming in speech perception","container-title":"The Linguistic Review","page":"351–379","volume":"23","issue":"3","source":"find.shef.ac.uk","abstract":"Niedzielski (1999) reports on an experiment which demonstrates that individuals in Detroit ‘hear’ more Canadian Raising in the speech of a speaker when they think that speaker is Canadian. We describe an experiment designed to follow up on this result in a New Zealand context. Participants listened to a New Zealand English (NZE) speaker reading a list of sentences. Each sentence appeared on the answer-sheet, with a target word underlined. For each sentence, participants were asked to select from a synthesized vowel continuum the token that best matched the target vowel produced by the speaker. Half the participants had an answer-sheet with the word ‘Australian’ written on it, and half had an answer-sheet with ‘New Zealander’ written on it. Participants in the two conditions behaved significantly differently from one another. For example, they were more likely to hear a higher fronter / i / vowel when ‘Australian’ appeared on the answer sheet, and more likely to hear a centralized version when ‘New Zealander’ appeared – a trend which reflects production differences between the two dialects. This is despite the fact that nearly all participants reported that they knew they were listening to a New Zealander. We discuss the implication of these results, and argue that they support exemplar models of speech perception.","DOI":"10.1515/TLR.2006.014","ISSN":"0167-6318","shortTitle":"From fush to feesh","author":[{"family":"Hay","given":"Jennifer"},{"family":"Nolan","given":"Aaron"},{"family":"Drager","given":"Katie"}],"issued":{"literal":"2006a"}},"locator":"354","label":"page"}],"schema":"https://github.com/citation-style-language/schema/raw/master/csl-citation.json"} </w:instrText>
      </w:r>
      <w:r w:rsidRPr="00CF31E0">
        <w:rPr>
          <w:rFonts w:ascii="Times" w:eastAsia="Calibri" w:hAnsi="Times" w:cs="Times"/>
          <w:lang w:eastAsia="en-US"/>
        </w:rPr>
        <w:fldChar w:fldCharType="separate"/>
      </w:r>
      <w:r w:rsidR="00074CE4" w:rsidRPr="00CF31E0">
        <w:rPr>
          <w:rFonts w:ascii="Times" w:eastAsia="Calibri" w:hAnsi="Times" w:cs="Times"/>
          <w:noProof/>
          <w:lang w:eastAsia="en-US"/>
        </w:rPr>
        <w:t>(Hay et al., 2006</w:t>
      </w:r>
      <w:r w:rsidRPr="00CF31E0">
        <w:rPr>
          <w:rFonts w:ascii="Times" w:eastAsia="Calibri" w:hAnsi="Times" w:cs="Times"/>
          <w:noProof/>
          <w:lang w:eastAsia="en-US"/>
        </w:rPr>
        <w:t>, p. 354)</w:t>
      </w:r>
      <w:r w:rsidRPr="00CF31E0">
        <w:rPr>
          <w:rFonts w:ascii="Times" w:eastAsia="Calibri" w:hAnsi="Times" w:cs="Times"/>
          <w:lang w:eastAsia="en-US"/>
        </w:rPr>
        <w:fldChar w:fldCharType="end"/>
      </w:r>
      <w:r w:rsidRPr="00CF31E0">
        <w:rPr>
          <w:rFonts w:ascii="Times" w:eastAsia="Calibri" w:hAnsi="Times" w:cs="Times"/>
          <w:lang w:eastAsia="en-US"/>
        </w:rPr>
        <w:t xml:space="preserve">. Results of the experiment revealed that when the word Australian appeared on the answer sheet, participants were more likely to choose the raised variant /I/ than the other group of participants with the New Zealand label. Similarly, the latter group were more likely to choose the central variant /I/, as it is a feature associated with New Zealanders’ speech, as previously mentioned </w:t>
      </w:r>
      <w:r w:rsidR="00074CE4" w:rsidRPr="00CF31E0">
        <w:rPr>
          <w:rFonts w:ascii="Times" w:eastAsia="Calibri" w:hAnsi="Times" w:cs="Times"/>
          <w:noProof/>
          <w:lang w:eastAsia="en-US"/>
        </w:rPr>
        <w:t xml:space="preserve">Hay et al. </w:t>
      </w:r>
      <w:r w:rsidR="00E90789" w:rsidRPr="00CF31E0">
        <w:rPr>
          <w:rFonts w:ascii="Times" w:eastAsia="Calibri" w:hAnsi="Times" w:cs="Times"/>
          <w:noProof/>
          <w:lang w:eastAsia="en-US"/>
        </w:rPr>
        <w:t>(</w:t>
      </w:r>
      <w:r w:rsidR="00074CE4" w:rsidRPr="00CF31E0">
        <w:rPr>
          <w:rFonts w:ascii="Times" w:eastAsia="Calibri" w:hAnsi="Times" w:cs="Times"/>
          <w:noProof/>
          <w:lang w:eastAsia="en-US"/>
        </w:rPr>
        <w:t>2006</w:t>
      </w:r>
      <w:r w:rsidR="00E90789" w:rsidRPr="00CF31E0">
        <w:rPr>
          <w:rFonts w:ascii="Times" w:eastAsia="Calibri" w:hAnsi="Times" w:cs="Times"/>
          <w:noProof/>
          <w:lang w:eastAsia="en-US"/>
        </w:rPr>
        <w:t>)</w:t>
      </w:r>
      <w:r w:rsidRPr="00CF31E0">
        <w:rPr>
          <w:rFonts w:ascii="Times" w:eastAsia="Calibri" w:hAnsi="Times" w:cs="Times"/>
          <w:noProof/>
          <w:lang w:eastAsia="en-US"/>
        </w:rPr>
        <w:t xml:space="preserve"> echo</w:t>
      </w:r>
      <w:r w:rsidR="005D0894" w:rsidRPr="00CF31E0">
        <w:rPr>
          <w:rFonts w:ascii="Times" w:eastAsia="Calibri" w:hAnsi="Times" w:cs="Times"/>
          <w:noProof/>
          <w:lang w:eastAsia="en-US"/>
        </w:rPr>
        <w:t>es</w:t>
      </w:r>
      <w:r w:rsidRPr="00CF31E0">
        <w:rPr>
          <w:rFonts w:ascii="Times" w:eastAsia="Calibri" w:hAnsi="Times" w:cs="Times"/>
          <w:noProof/>
          <w:lang w:eastAsia="en-US"/>
        </w:rPr>
        <w:t xml:space="preserve"> </w:t>
      </w:r>
      <w:r w:rsidRPr="00CF31E0">
        <w:rPr>
          <w:lang w:eastAsia="zh-CN"/>
        </w:rPr>
        <w:fldChar w:fldCharType="begin"/>
      </w:r>
      <w:r w:rsidRPr="00CF31E0">
        <w:rPr>
          <w:lang w:eastAsia="zh-CN"/>
        </w:rPr>
        <w:instrText xml:space="preserve"> ADDIN ZOTERO_ITEM CSL_CITATION {"citationID":"qeY8tsDj","properties":{"formattedCitation":"(Niedzielski, 1999, p. 64)","plainCitation":"(Niedzielski, 1999, p. 64)","noteIndex":0},"citationItems":[{"id":293,"uris":["http://zotero.org/users/1939618/items/IR99WY6K"],"uri":["http://zotero.org/users/1939618/items/IR99WY6K"],"itemData":{"id":293,"type":"article-journal","title":"The effect of social information on the perception of sociolinguistic variables","container-title":"Journal of language and social psychology","page":"62–85","volume":"18","issue":"1","source":"Google Scholar","author":[{"family":"Niedzielski","given":"Nancy"}],"issued":{"date-parts":[["1999"]]}},"locator":"64","label":"page"}],"schema":"https://github.com/citation-style-language/schema/raw/master/csl-citation.json"} </w:instrText>
      </w:r>
      <w:r w:rsidRPr="00CF31E0">
        <w:rPr>
          <w:lang w:eastAsia="zh-CN"/>
        </w:rPr>
        <w:fldChar w:fldCharType="separate"/>
      </w:r>
      <w:r w:rsidRPr="00CF31E0">
        <w:rPr>
          <w:noProof/>
          <w:lang w:eastAsia="zh-CN"/>
        </w:rPr>
        <w:t>Niedzielski's, 1999</w:t>
      </w:r>
      <w:r w:rsidRPr="00CF31E0">
        <w:rPr>
          <w:lang w:eastAsia="zh-CN"/>
        </w:rPr>
        <w:fldChar w:fldCharType="end"/>
      </w:r>
      <w:r w:rsidRPr="00CF31E0">
        <w:rPr>
          <w:lang w:eastAsia="zh-CN"/>
        </w:rPr>
        <w:t xml:space="preserve"> findings in that both studies confirmed that the exposure to social information of the speaker can affect the participants’ perceptions. </w:t>
      </w:r>
    </w:p>
    <w:p w14:paraId="6B810BE4" w14:textId="77777777" w:rsidR="00160CC4" w:rsidRPr="00CF31E0" w:rsidRDefault="00160CC4" w:rsidP="00603CB7">
      <w:pPr>
        <w:pStyle w:val="Paragraph"/>
        <w:rPr>
          <w:lang w:eastAsia="zh-CN"/>
        </w:rPr>
      </w:pPr>
      <w:r w:rsidRPr="00CF31E0">
        <w:rPr>
          <w:lang w:eastAsia="zh-CN"/>
        </w:rPr>
        <w:t xml:space="preserve">The two previous studies used similar techniques, involving manipulating speakers’ labels. </w:t>
      </w:r>
      <w:r w:rsidRPr="00CF31E0">
        <w:rPr>
          <w:lang w:eastAsia="zh-CN"/>
        </w:rPr>
        <w:fldChar w:fldCharType="begin"/>
      </w:r>
      <w:r w:rsidRPr="00CF31E0">
        <w:rPr>
          <w:lang w:eastAsia="zh-CN"/>
        </w:rPr>
        <w:instrText xml:space="preserve"> ADDIN ZOTERO_ITEM CSL_CITATION {"citationID":"aqsvmgpcf0","properties":{"formattedCitation":"(Hay, Jennifer &amp; Drager, Katie, 2010)","plainCitation":"(Hay, Jennifer &amp; Drager, Katie, 2010)","noteIndex":0},"citationItems":[{"id":291,"uris":["http://zotero.org/users/1939618/items/J2RHJYXU"],"uri":["http://zotero.org/users/1939618/items/J2RHJYXU"],"itemData":{"id":291,"type":"article-journal","title":"Stuffed toys and speech perception : Linguistics","volume":"48","issue":"4","URL":"https://www.degruyter.com/view/j/ling.2010.48.issue-4/ling.2010.027/ling.2010.027.xml","author":[{"literal":"Hay, Jennifer"},{"literal":"Drager, Katie"}],"issued":{"date-parts":[["2010"]]},"accessed":{"date-parts":[["2017",12,28]]}}}],"schema":"https://github.com/citation-style-language/schema/raw/master/csl-citation.json"} </w:instrText>
      </w:r>
      <w:r w:rsidRPr="00CF31E0">
        <w:rPr>
          <w:lang w:eastAsia="zh-CN"/>
        </w:rPr>
        <w:fldChar w:fldCharType="separate"/>
      </w:r>
      <w:r w:rsidRPr="00CF31E0">
        <w:rPr>
          <w:noProof/>
          <w:lang w:eastAsia="zh-CN"/>
        </w:rPr>
        <w:t>Hay and Drager (2010)</w:t>
      </w:r>
      <w:r w:rsidRPr="00CF31E0">
        <w:rPr>
          <w:lang w:eastAsia="zh-CN"/>
        </w:rPr>
        <w:fldChar w:fldCharType="end"/>
      </w:r>
      <w:r w:rsidRPr="00CF31E0">
        <w:rPr>
          <w:lang w:eastAsia="zh-CN"/>
        </w:rPr>
        <w:t xml:space="preserve"> used yet another trigger, which is bringing objects in the location of the experiment to test weather objects in the room have effects on participants’ perceptions of the speech sample provided. In other words, </w:t>
      </w:r>
      <w:r w:rsidRPr="00CF31E0">
        <w:rPr>
          <w:lang w:eastAsia="zh-CN"/>
        </w:rPr>
        <w:fldChar w:fldCharType="begin"/>
      </w:r>
      <w:r w:rsidRPr="00CF31E0">
        <w:rPr>
          <w:lang w:eastAsia="zh-CN"/>
        </w:rPr>
        <w:instrText xml:space="preserve"> ADDIN ZOTERO_ITEM CSL_CITATION {"citationID":"QELjLu70","properties":{"formattedCitation":"(Hay, Jennifer &amp; Drager, Katie, 2010)","plainCitation":"(Hay, Jennifer &amp; Drager, Katie, 2010)","noteIndex":0},"citationItems":[{"id":291,"uris":["http://zotero.org/users/1939618/items/J2RHJYXU"],"uri":["http://zotero.org/users/1939618/items/J2RHJYXU"],"itemData":{"id":291,"type":"article-journal","title":"Stuffed toys and speech perception : Linguistics","volume":"48","issue":"4","URL":"https://www.degruyter.com/view/j/ling.2010.48.issue-4/ling.2010.027/ling.2010.027.xml","author":[{"literal":"Hay, Jennifer"},{"literal":"Drager, Katie"}],"issued":{"date-parts":[["2010"]]},"accessed":{"date-parts":[["2017",12,28]]}}}],"schema":"https://github.com/citation-style-language/schema/raw/master/csl-citation.json"} </w:instrText>
      </w:r>
      <w:r w:rsidRPr="00CF31E0">
        <w:rPr>
          <w:lang w:eastAsia="zh-CN"/>
        </w:rPr>
        <w:fldChar w:fldCharType="separate"/>
      </w:r>
      <w:r w:rsidRPr="00CF31E0">
        <w:rPr>
          <w:noProof/>
          <w:lang w:eastAsia="zh-CN"/>
        </w:rPr>
        <w:t>Hay and Drager (2010, p. 870)</w:t>
      </w:r>
      <w:r w:rsidRPr="00CF31E0">
        <w:rPr>
          <w:lang w:eastAsia="zh-CN"/>
        </w:rPr>
        <w:fldChar w:fldCharType="end"/>
      </w:r>
      <w:r w:rsidRPr="00CF31E0">
        <w:rPr>
          <w:lang w:eastAsia="zh-CN"/>
        </w:rPr>
        <w:t xml:space="preserve"> “tested explicitly the degree to which orienting an individual toward a region could influence perception”. In order to do this, they used an experiment where they asked 26 New Zealander participants to match the vowels they listened to, which were produced by a New Zealand male speaker, “to vowels from a synthesized continuum which ranged from raised and fronted Australian-like tokens to lowered and centralized New Zealand-like tokens” (p. 865). The manipulation that Hay and Drager (2010) applied was in relation to participants’ exposure to the research setting; this was done by manipulating objects in the room in which participants were tested. Two groups of participants were given the same experiment but under different conditions. </w:t>
      </w:r>
      <w:r w:rsidRPr="00CF31E0">
        <w:rPr>
          <w:lang w:eastAsia="zh-CN"/>
        </w:rPr>
        <w:lastRenderedPageBreak/>
        <w:t xml:space="preserve">When the first group was tested, Australian stuffed kangaroos were placed on the desk in front of participants. The other group was exposed to the same experiment but this time the stuffed kangaroos were replaced by New Zealand stuffed toy kiwis on the front desk. The researchers did not draw the participants’ attention to the relation between the toys on the front desk and the listening task. Results revealed that the group that were exposed to the stuffed kangaroos were more likely to choose tokens that are mostly associated with Australian English. On the other hand, the group who were exposed to stuffed kiwis were more likely to choose the tokens associated with New Zealand English. </w:t>
      </w:r>
      <w:r w:rsidRPr="00CF31E0">
        <w:rPr>
          <w:lang w:eastAsia="zh-CN"/>
        </w:rPr>
        <w:fldChar w:fldCharType="begin"/>
      </w:r>
      <w:r w:rsidRPr="00CF31E0">
        <w:rPr>
          <w:lang w:eastAsia="zh-CN"/>
        </w:rPr>
        <w:instrText xml:space="preserve"> ADDIN ZOTERO_ITEM CSL_CITATION {"citationID":"UpDDdhyl","properties":{"formattedCitation":"(Hay, Jennifer &amp; Drager, Katie, 2010)","plainCitation":"(Hay, Jennifer &amp; Drager, Katie, 2010)","noteIndex":0},"citationItems":[{"id":291,"uris":["http://zotero.org/users/1939618/items/J2RHJYXU"],"uri":["http://zotero.org/users/1939618/items/J2RHJYXU"],"itemData":{"id":291,"type":"article-journal","title":"Stuffed toys and speech perception : Linguistics","volume":"48","issue":"4","URL":"https://www.degruyter.com/view/j/ling.2010.48.issue-4/ling.2010.027/ling.2010.027.xml","author":[{"literal":"Hay, Jennifer"},{"literal":"Drager, Katie"}],"issued":{"date-parts":[["2010"]]},"accessed":{"date-parts":[["2017",12,28]]}}}],"schema":"https://github.com/citation-style-language/schema/raw/master/csl-citation.json"} </w:instrText>
      </w:r>
      <w:r w:rsidRPr="00CF31E0">
        <w:rPr>
          <w:lang w:eastAsia="zh-CN"/>
        </w:rPr>
        <w:fldChar w:fldCharType="separate"/>
      </w:r>
      <w:r w:rsidRPr="00CF31E0">
        <w:rPr>
          <w:noProof/>
          <w:lang w:eastAsia="zh-CN"/>
        </w:rPr>
        <w:t>Hay and Drager (2010)</w:t>
      </w:r>
      <w:r w:rsidRPr="00CF31E0">
        <w:rPr>
          <w:lang w:eastAsia="zh-CN"/>
        </w:rPr>
        <w:fldChar w:fldCharType="end"/>
      </w:r>
      <w:r w:rsidRPr="00CF31E0">
        <w:rPr>
          <w:lang w:eastAsia="zh-CN"/>
        </w:rPr>
        <w:t xml:space="preserve"> argue that there is strong correlation between social concepts and phonetic details of the speaker; the two together can strongly influence speech perceptions. </w:t>
      </w:r>
    </w:p>
    <w:p w14:paraId="50B225E9" w14:textId="6D8370FA" w:rsidR="00160CC4" w:rsidRPr="00CF31E0" w:rsidRDefault="00160CC4" w:rsidP="00603CB7">
      <w:pPr>
        <w:pStyle w:val="Paragraph"/>
        <w:rPr>
          <w:lang w:eastAsia="zh-CN"/>
        </w:rPr>
      </w:pPr>
      <w:r w:rsidRPr="00CF31E0">
        <w:rPr>
          <w:lang w:eastAsia="zh-CN"/>
        </w:rPr>
        <w:fldChar w:fldCharType="begin"/>
      </w:r>
      <w:r w:rsidRPr="00CF31E0">
        <w:rPr>
          <w:lang w:eastAsia="zh-CN"/>
        </w:rPr>
        <w:instrText xml:space="preserve"> ADDIN ZOTERO_ITEM CSL_CITATION {"citationID":"GWzfjWeA","properties":{"formattedCitation":"(Jen Hay, Drager, &amp; Gibson, 2017)","plainCitation":"(Jen Hay, Drager, &amp; Gibson, 2017)","dontUpdate":true,"noteIndex":0},"citationItems":[{"id":542,"uris":["http://zotero.org/users/1939618/items/ZB5K7ECS"],"uri":["http://zotero.org/users/1939618/items/ZB5K7ECS"],"itemData":{"id":542,"type":"article-journal","title":"(in press) Hearing R-sandhi: the role of past experience","container-title":"Research Gate","abstract":"ResearchGate is a network dedicated to science and research. Connect, collaborate and discover scientific publications, jobs and conferences. All for free.","URL":"https://www.researchgate.net/publication/319007814_Hearing_R-Sandhi_the_Role_of_Past_Experience","shortTitle":"Hearing R-Sandhi","language":"en","author":[{"family":"Hay","given":"Jen"},{"family":"Drager","given":"Katie"},{"family":"Gibson","given":"Andy"}],"issued":{"date-parts":[["2017"]]},"accessed":{"date-parts":[["2018",7,27]]}}}],"schema":"https://github.com/citation-style-language/schema/raw/master/csl-citation.json"} </w:instrText>
      </w:r>
      <w:r w:rsidRPr="00CF31E0">
        <w:rPr>
          <w:lang w:eastAsia="zh-CN"/>
        </w:rPr>
        <w:fldChar w:fldCharType="separate"/>
      </w:r>
      <w:r w:rsidRPr="00CF31E0">
        <w:rPr>
          <w:noProof/>
          <w:lang w:eastAsia="zh-CN"/>
        </w:rPr>
        <w:t xml:space="preserve">Hay, Drager </w:t>
      </w:r>
      <w:r w:rsidR="00FC2218" w:rsidRPr="00CF31E0">
        <w:rPr>
          <w:noProof/>
          <w:lang w:eastAsia="zh-CN"/>
        </w:rPr>
        <w:t xml:space="preserve">and </w:t>
      </w:r>
      <w:r w:rsidRPr="00CF31E0">
        <w:rPr>
          <w:noProof/>
          <w:lang w:eastAsia="zh-CN"/>
        </w:rPr>
        <w:t xml:space="preserve">Gibson </w:t>
      </w:r>
      <w:r w:rsidR="00FC2218" w:rsidRPr="00CF31E0">
        <w:rPr>
          <w:noProof/>
          <w:lang w:eastAsia="zh-CN"/>
        </w:rPr>
        <w:t>(</w:t>
      </w:r>
      <w:r w:rsidR="00AB684B" w:rsidRPr="00CF31E0">
        <w:rPr>
          <w:noProof/>
          <w:lang w:eastAsia="zh-CN"/>
        </w:rPr>
        <w:t>2018</w:t>
      </w:r>
      <w:r w:rsidRPr="00CF31E0">
        <w:rPr>
          <w:noProof/>
          <w:lang w:eastAsia="zh-CN"/>
        </w:rPr>
        <w:t>)</w:t>
      </w:r>
      <w:r w:rsidRPr="00CF31E0">
        <w:rPr>
          <w:lang w:eastAsia="zh-CN"/>
        </w:rPr>
        <w:fldChar w:fldCharType="end"/>
      </w:r>
      <w:r w:rsidRPr="00CF31E0">
        <w:rPr>
          <w:lang w:eastAsia="zh-CN"/>
        </w:rPr>
        <w:t xml:space="preserve"> tested the extent to which the previous exposure of participants to certain phonemes could affect their perception. They tested perception</w:t>
      </w:r>
      <w:r w:rsidR="00FC2218" w:rsidRPr="00CF31E0">
        <w:rPr>
          <w:lang w:eastAsia="zh-CN"/>
        </w:rPr>
        <w:t>s</w:t>
      </w:r>
      <w:r w:rsidRPr="00CF31E0">
        <w:rPr>
          <w:lang w:eastAsia="zh-CN"/>
        </w:rPr>
        <w:t xml:space="preserve"> toward</w:t>
      </w:r>
      <w:r w:rsidR="00FC2218" w:rsidRPr="00CF31E0">
        <w:rPr>
          <w:lang w:eastAsia="zh-CN"/>
        </w:rPr>
        <w:t>s</w:t>
      </w:r>
      <w:r w:rsidRPr="00CF31E0">
        <w:rPr>
          <w:lang w:eastAsia="zh-CN"/>
        </w:rPr>
        <w:t xml:space="preserve"> New Zealand English </w:t>
      </w:r>
      <w:r w:rsidRPr="00CF31E0">
        <w:rPr>
          <w:i/>
          <w:iCs/>
          <w:lang w:eastAsia="zh-CN"/>
        </w:rPr>
        <w:t>r</w:t>
      </w:r>
      <w:r w:rsidRPr="00CF31E0">
        <w:rPr>
          <w:lang w:eastAsia="zh-CN"/>
        </w:rPr>
        <w:t xml:space="preserve">-sandhi in three different locations in New Zealand. Some participants </w:t>
      </w:r>
      <w:r w:rsidR="00FC2218" w:rsidRPr="00CF31E0">
        <w:rPr>
          <w:lang w:eastAsia="zh-CN"/>
        </w:rPr>
        <w:t xml:space="preserve">had a </w:t>
      </w:r>
      <w:r w:rsidRPr="00CF31E0">
        <w:rPr>
          <w:lang w:eastAsia="zh-CN"/>
        </w:rPr>
        <w:t xml:space="preserve">high level of previous exposure to the variant, while others </w:t>
      </w:r>
      <w:r w:rsidR="00FC2218" w:rsidRPr="00CF31E0">
        <w:rPr>
          <w:lang w:eastAsia="zh-CN"/>
        </w:rPr>
        <w:t xml:space="preserve">did </w:t>
      </w:r>
      <w:r w:rsidRPr="00CF31E0">
        <w:rPr>
          <w:lang w:eastAsia="zh-CN"/>
        </w:rPr>
        <w:t xml:space="preserve">not. </w:t>
      </w:r>
      <w:r w:rsidR="00FC2218" w:rsidRPr="00CF31E0">
        <w:rPr>
          <w:lang w:eastAsia="zh-CN"/>
        </w:rPr>
        <w:t>The r</w:t>
      </w:r>
      <w:r w:rsidRPr="00CF31E0">
        <w:rPr>
          <w:lang w:eastAsia="zh-CN"/>
        </w:rPr>
        <w:t xml:space="preserve">esults revealed that “greater experience with </w:t>
      </w:r>
      <w:r w:rsidRPr="00CF31E0">
        <w:rPr>
          <w:i/>
          <w:iCs/>
          <w:lang w:eastAsia="zh-CN"/>
        </w:rPr>
        <w:t xml:space="preserve">r </w:t>
      </w:r>
      <w:r w:rsidRPr="00CF31E0">
        <w:rPr>
          <w:lang w:eastAsia="zh-CN"/>
        </w:rPr>
        <w:t xml:space="preserve">leads to increased expectation of </w:t>
      </w:r>
      <w:r w:rsidRPr="00CF31E0">
        <w:rPr>
          <w:i/>
          <w:iCs/>
          <w:lang w:eastAsia="zh-CN"/>
        </w:rPr>
        <w:t>r</w:t>
      </w:r>
      <w:r w:rsidRPr="00CF31E0">
        <w:rPr>
          <w:lang w:eastAsia="zh-CN"/>
        </w:rPr>
        <w:t>”</w:t>
      </w:r>
      <w:r w:rsidR="00FC2218" w:rsidRPr="00CF31E0">
        <w:rPr>
          <w:lang w:eastAsia="zh-CN"/>
        </w:rPr>
        <w:t xml:space="preserve"> </w:t>
      </w:r>
      <w:r w:rsidRPr="00CF31E0">
        <w:rPr>
          <w:lang w:eastAsia="zh-CN"/>
        </w:rPr>
        <w:fldChar w:fldCharType="begin"/>
      </w:r>
      <w:r w:rsidRPr="00CF31E0">
        <w:rPr>
          <w:lang w:eastAsia="zh-CN"/>
        </w:rPr>
        <w:instrText xml:space="preserve"> ADDIN ZOTERO_ITEM CSL_CITATION {"citationID":"ZtuabJqe","properties":{"formattedCitation":"(Jen Hay et al., 2017, p. 47)","plainCitation":"(Jen Hay et al., 2017, p. 47)","dontUpdate":true,"noteIndex":0},"citationItems":[{"id":542,"uris":["http://zotero.org/users/1939618/items/ZB5K7ECS"],"uri":["http://zotero.org/users/1939618/items/ZB5K7ECS"],"itemData":{"id":542,"type":"article-journal","title":"(in press) Hearing R-sandhi: the role of past experience","container-title":"Research Gate","abstract":"ResearchGate is a network dedicated to science and research. Connect, collaborate and discover scientific publications, jobs and conferences. All for free.","URL":"https://www.researchgate.net/publication/319007814_Hearing_R-Sandhi_the_Role_of_Past_Experience","shortTitle":"Hearing R-Sandhi","language":"en","author":[{"family":"Hay","given":"Jen"},{"family":"Drager","given":"Katie"},{"family":"Gibson","given":"Andy"}],"issued":{"date-parts":[["2017"]]},"accessed":{"date-parts":[["2018",7,27]]}},"locator":"47","label":"page"}],"schema":"https://github.com/citation-style-language/schema/raw/master/csl-citation.json"} </w:instrText>
      </w:r>
      <w:r w:rsidRPr="00CF31E0">
        <w:rPr>
          <w:lang w:eastAsia="zh-CN"/>
        </w:rPr>
        <w:fldChar w:fldCharType="separate"/>
      </w:r>
      <w:r w:rsidR="00AB684B" w:rsidRPr="00CF31E0">
        <w:rPr>
          <w:noProof/>
          <w:lang w:eastAsia="zh-CN"/>
        </w:rPr>
        <w:t>(Hay et al., 2018</w:t>
      </w:r>
      <w:r w:rsidRPr="00CF31E0">
        <w:rPr>
          <w:noProof/>
          <w:lang w:eastAsia="zh-CN"/>
        </w:rPr>
        <w:t>, p. 47)</w:t>
      </w:r>
      <w:r w:rsidRPr="00CF31E0">
        <w:rPr>
          <w:lang w:eastAsia="zh-CN"/>
        </w:rPr>
        <w:fldChar w:fldCharType="end"/>
      </w:r>
      <w:r w:rsidRPr="00CF31E0">
        <w:rPr>
          <w:lang w:eastAsia="zh-CN"/>
        </w:rPr>
        <w:t xml:space="preserve">. As a result, the increased expectation leads participants to have even more precise perceptions towards the variant as well. </w:t>
      </w:r>
    </w:p>
    <w:p w14:paraId="0D96B52C" w14:textId="3BA5B1F6" w:rsidR="00160CC4" w:rsidRPr="00CF31E0" w:rsidRDefault="00160CC4" w:rsidP="00603CB7">
      <w:pPr>
        <w:pStyle w:val="Paragraph"/>
        <w:rPr>
          <w:lang w:eastAsia="zh-CN"/>
        </w:rPr>
      </w:pPr>
      <w:r w:rsidRPr="00CF31E0">
        <w:rPr>
          <w:lang w:eastAsia="zh-CN"/>
        </w:rPr>
        <w:t xml:space="preserve">Nevertheless, in the light of the confirmatory results presented by </w:t>
      </w:r>
      <w:r w:rsidRPr="00CF31E0">
        <w:rPr>
          <w:lang w:eastAsia="zh-CN"/>
        </w:rPr>
        <w:fldChar w:fldCharType="begin"/>
      </w:r>
      <w:r w:rsidRPr="00CF31E0">
        <w:rPr>
          <w:lang w:eastAsia="zh-CN"/>
        </w:rPr>
        <w:instrText xml:space="preserve"> ADDIN ZOTERO_ITEM CSL_CITATION {"citationID":"aj952k2sjo","properties":{"formattedCitation":"(Hay, Jennifer &amp; Drager, Katie, 2010; Jennifer Hay et al., 2006a; Niedzielski, 1999)","plainCitation":"(Hay, Jennifer &amp; Drager, Katie, 2010; Jennifer Hay et al., 2006a; Niedzielski, 1999)","noteIndex":0},"citationItems":[{"id":345,"uris":["http://zotero.org/users/1939618/items/8WESUNPI"],"uri":["http://zotero.org/users/1939618/items/8WESUNPI"],"itemData":{"id":345,"type":"article-journal","title":"From fush to feesh: Exemplar priming in speech perception","container-title":"The Linguistic Review","page":"351–379","volume":"23","issue":"3","source":"find.shef.ac.uk","abstract":"Niedzielski (1999) reports on an experiment which demonstrates that individuals in Detroit ‘hear’ more Canadian Raising in the speech of a speaker when they think that speaker is Canadian. We describe an experiment designed to follow up on this result in a New Zealand context. Participants listened to a New Zealand English (NZE) speaker reading a list of sentences. Each sentence appeared on the answer-sheet, with a target word underlined. For each sentence, participants were asked to select from a synthesized vowel continuum the token that best matched the target vowel produced by the speaker. Half the participants had an answer-sheet with the word ‘Australian’ written on it, and half had an answer-sheet with ‘New Zealander’ written on it. Participants in the two conditions behaved significantly differently from one another. For example, they were more likely to hear a higher fronter / i / vowel when ‘Australian’ appeared on the answer sheet, and more likely to hear a centralized version when ‘New Zealander’ appeared – a trend which reflects production differences between the two dialects. This is despite the fact that nearly all participants reported that they knew they were listening to a New Zealander. We discuss the implication of these results, and argue that they support exemplar models of speech perception.","DOI":"10.1515/TLR.2006.014","ISSN":"0167-6318","shortTitle":"From fush to feesh","author":[{"family":"Hay","given":"Jennifer"},{"family":"Nolan","given":"Aaron"},{"family":"Drager","given":"Katie"}],"issued":{"literal":"2006a"}},"label":"page"},{"id":291,"uris":["http://zotero.org/users/1939618/items/J2RHJYXU"],"uri":["http://zotero.org/users/1939618/items/J2RHJYXU"],"itemData":{"id":291,"type":"article-journal","title":"Stuffed toys and speech perception : Linguistics","volume":"48","issue":"4","URL":"https://www.degruyter.com/view/j/ling.2010.48.issue-4/ling.2010.027/ling.2010.027.xml","author":[{"literal":"Hay, Jennifer"},{"literal":"Drager, Katie"}],"issued":{"date-parts":[["2010"]]},"accessed":{"date-parts":[["2017",12,28]]}},"label":"page"},{"id":293,"uris":["http://zotero.org/users/1939618/items/IR99WY6K"],"uri":["http://zotero.org/users/1939618/items/IR99WY6K"],"itemData":{"id":293,"type":"article-journal","title":"The effect of social information on the perception of sociolinguistic variables","container-title":"Journal of language and social psychology","page":"62–85","volume":"18","issue":"1","source":"Google Scholar","author":[{"family":"Niedzielski","given":"Nancy"}],"issued":{"date-parts":[["1999"]]}},"label":"page"}],"schema":"https://github.com/citation-style-language/schema/raw/master/csl-citation.json"} </w:instrText>
      </w:r>
      <w:r w:rsidRPr="00CF31E0">
        <w:rPr>
          <w:lang w:eastAsia="zh-CN"/>
        </w:rPr>
        <w:fldChar w:fldCharType="separate"/>
      </w:r>
      <w:r w:rsidR="005B4EBD" w:rsidRPr="00CF31E0">
        <w:rPr>
          <w:noProof/>
          <w:lang w:eastAsia="zh-CN"/>
        </w:rPr>
        <w:t xml:space="preserve">(Hay &amp; Drager, 2010; </w:t>
      </w:r>
      <w:r w:rsidR="005B4EBD" w:rsidRPr="00CF31E0">
        <w:t>Hay, Nolan, &amp; Drager, 2006</w:t>
      </w:r>
      <w:r w:rsidRPr="00CF31E0">
        <w:rPr>
          <w:noProof/>
          <w:lang w:eastAsia="zh-CN"/>
        </w:rPr>
        <w:t>; Niedzielski, 1999)</w:t>
      </w:r>
      <w:r w:rsidRPr="00CF31E0">
        <w:rPr>
          <w:lang w:eastAsia="zh-CN"/>
        </w:rPr>
        <w:fldChar w:fldCharType="end"/>
      </w:r>
      <w:r w:rsidRPr="00CF31E0">
        <w:rPr>
          <w:lang w:eastAsia="zh-CN"/>
        </w:rPr>
        <w:t>, showing that speech perceptions are strongly affected by meta</w:t>
      </w:r>
      <w:r w:rsidR="005D0894" w:rsidRPr="00CF31E0">
        <w:rPr>
          <w:lang w:eastAsia="zh-CN"/>
        </w:rPr>
        <w:t>linguistic</w:t>
      </w:r>
      <w:r w:rsidRPr="00CF31E0">
        <w:rPr>
          <w:lang w:eastAsia="zh-CN"/>
        </w:rPr>
        <w:t xml:space="preserve"> factors, more research is needed to ascertain whether and to what extent these results are generalizable to the Hijazi Saudi context. Therefore, I will adopt a method where I can test the effects of metalinguistic factors on the perceptions of the speech sample. </w:t>
      </w:r>
    </w:p>
    <w:p w14:paraId="69B1129A" w14:textId="2C3B3CC7" w:rsidR="00160CC4" w:rsidRPr="00CF31E0" w:rsidRDefault="00160CC4" w:rsidP="00603CB7">
      <w:pPr>
        <w:pStyle w:val="Paragraph"/>
        <w:rPr>
          <w:lang w:eastAsia="zh-CN"/>
        </w:rPr>
      </w:pPr>
      <w:r w:rsidRPr="00CF31E0">
        <w:rPr>
          <w:lang w:eastAsia="zh-CN"/>
        </w:rPr>
        <w:t>To sum up, I will incorporate a verbal</w:t>
      </w:r>
      <w:r w:rsidR="005D0894" w:rsidRPr="00CF31E0">
        <w:rPr>
          <w:lang w:eastAsia="zh-CN"/>
        </w:rPr>
        <w:t>-guise</w:t>
      </w:r>
      <w:r w:rsidRPr="00CF31E0">
        <w:rPr>
          <w:lang w:eastAsia="zh-CN"/>
        </w:rPr>
        <w:t xml:space="preserve"> </w:t>
      </w:r>
      <w:r w:rsidR="000678ED">
        <w:rPr>
          <w:lang w:eastAsia="zh-CN"/>
        </w:rPr>
        <w:t xml:space="preserve">and a matched guise </w:t>
      </w:r>
      <w:r w:rsidRPr="00CF31E0">
        <w:rPr>
          <w:lang w:eastAsia="zh-CN"/>
        </w:rPr>
        <w:t>method from language attitude research with a voice allocation method, with an experimental procedure, from perceptual dialectology, proposing that both language attitude research and perceptual dialectology can greatly benefit from using each other’s methodologies</w:t>
      </w:r>
    </w:p>
    <w:p w14:paraId="492391EF" w14:textId="11B92D92" w:rsidR="00160CC4" w:rsidRPr="00CF31E0" w:rsidRDefault="00232730" w:rsidP="00E87209">
      <w:pPr>
        <w:pStyle w:val="Ahead"/>
        <w:rPr>
          <w:rFonts w:eastAsia="Times New Roman"/>
        </w:rPr>
      </w:pPr>
      <w:bookmarkStart w:id="250" w:name="_Toc411431489"/>
      <w:bookmarkStart w:id="251" w:name="_Toc509646860"/>
      <w:bookmarkStart w:id="252" w:name="_Toc510004019"/>
      <w:bookmarkStart w:id="253" w:name="_Toc510025777"/>
      <w:bookmarkStart w:id="254" w:name="_Toc6472663"/>
      <w:r w:rsidRPr="00CF31E0">
        <w:rPr>
          <w:rFonts w:eastAsia="Times New Roman"/>
        </w:rPr>
        <w:lastRenderedPageBreak/>
        <w:t>4</w:t>
      </w:r>
      <w:r w:rsidR="00DB2210" w:rsidRPr="00CF31E0">
        <w:rPr>
          <w:rFonts w:eastAsia="Times New Roman"/>
        </w:rPr>
        <w:t>.10.</w:t>
      </w:r>
      <w:r w:rsidR="00F00AAF" w:rsidRPr="00CF31E0">
        <w:rPr>
          <w:rFonts w:eastAsia="Times New Roman"/>
        </w:rPr>
        <w:tab/>
      </w:r>
      <w:r w:rsidR="00160CC4" w:rsidRPr="00CF31E0">
        <w:rPr>
          <w:rFonts w:eastAsia="Times New Roman"/>
        </w:rPr>
        <w:t>Conclusion</w:t>
      </w:r>
      <w:bookmarkEnd w:id="250"/>
      <w:bookmarkEnd w:id="251"/>
      <w:bookmarkEnd w:id="252"/>
      <w:bookmarkEnd w:id="253"/>
      <w:bookmarkEnd w:id="254"/>
    </w:p>
    <w:p w14:paraId="74A25E8E" w14:textId="7A3BACBE" w:rsidR="00160CC4" w:rsidRPr="00CF31E0" w:rsidRDefault="00160CC4" w:rsidP="00603CB7">
      <w:pPr>
        <w:pStyle w:val="Paragraph"/>
        <w:rPr>
          <w:rFonts w:cs="Arial"/>
          <w:lang w:eastAsia="zh-CN"/>
        </w:rPr>
      </w:pPr>
      <w:r w:rsidRPr="00CF31E0">
        <w:rPr>
          <w:lang w:eastAsia="zh-CN"/>
        </w:rPr>
        <w:t xml:space="preserve">In summary, this chapter has reviewed the principal research in language regard. In language attitude studies, the chapter has demonstrated evidence of how successful broad methodological approaches (direct and indirect) are at studying language attitudes </w:t>
      </w:r>
      <w:r w:rsidRPr="00CF31E0">
        <w:rPr>
          <w:rFonts w:cs="Arial"/>
          <w:lang w:eastAsia="zh-CN"/>
        </w:rPr>
        <w:fldChar w:fldCharType="begin"/>
      </w:r>
      <w:r w:rsidRPr="00CF31E0">
        <w:rPr>
          <w:rFonts w:cs="Arial"/>
          <w:lang w:eastAsia="zh-CN"/>
        </w:rPr>
        <w:instrText xml:space="preserve"> ADDIN ZOTERO_ITEM CSL_CITATION {"citationID":"a9b9ahj5p2","properties":{"formattedCitation":"(Cargile et al., 1994; Garrett, 2010; Stewart et al., 1985a)","plainCitation":"(Cargile et al., 1994; Garrett, 2010; Stewart et al., 1985a)","noteIndex":0},"citationItems":[{"id":329,"uris":["http://zotero.org/users/1939618/items/9LEG7T6Y"],"uri":["http://zotero.org/users/1939618/items/9LEG7T6Y"],"itemData":{"id":329,"type":"article-journal","title":"Language attitudes as a social process: A conceptual model and new directions","container-title":"Special Issue Language Attitutes","page":"211-236","volume":"14","issue":"3","DOI":"10.1016/0271-5309(94)90001-9","ISSN":"0271-5309","journalAbbreviation":"Language &amp; Communication","author":[{"family":"Cargile","given":"Aaron C."},{"family":"Giles","given":"Howard"},{"family":"Ryan","given":"Ellen B."},{"family":"Bradac","given":"James J."}],"issued":{"date-parts":[["1994",7,1]]}},"label":"page"},{"id":29,"uris":["http://zotero.org/users/1939618/items/NF3PAHT2"],"uri":["http://zotero.org/users/1939618/items/NF3PAHT2"],"itemData":{"id":29,"type":"book","title":"Attitudes to Language","publisher":"Cambridge University Press","number-of-pages":"269","source":"Google Books","abstract":"Just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label":"page"},{"id":64,"uris":["http://zotero.org/users/1939618/items/TPBM3MJW"],"uri":["http://zotero.org/users/1939618/items/TPBM3MJW"],"itemData":{"id":64,"type":"article-journal","title":"Accent and social class effects on status and solidarity evaluations","container-title":"Personality and Social Psychology Bulletin","page":"98–105","volume":"11","issue":"1","source":"Google Scholar","author":[{"family":"Stewart","given":"Mark A."},{"family":"Ryan","given":"Ellen Bouchard"},{"family":"Giles","given":"Howard"}],"issued":{"date-parts":[["1985"]]}},"label":"page"}],"schema":"https://github.com/citation-style-language/schema/raw/master/csl-citation.json"} </w:instrText>
      </w:r>
      <w:r w:rsidRPr="00CF31E0">
        <w:rPr>
          <w:rFonts w:cs="Arial"/>
          <w:lang w:eastAsia="zh-CN"/>
        </w:rPr>
        <w:fldChar w:fldCharType="separate"/>
      </w:r>
      <w:r w:rsidRPr="00CF31E0">
        <w:rPr>
          <w:rFonts w:cs="Arial"/>
          <w:noProof/>
          <w:lang w:eastAsia="zh-CN"/>
        </w:rPr>
        <w:t>(Cargile et al., 1994; Garr</w:t>
      </w:r>
      <w:r w:rsidR="00CA2735" w:rsidRPr="00CF31E0">
        <w:rPr>
          <w:rFonts w:cs="Arial"/>
          <w:noProof/>
          <w:lang w:eastAsia="zh-CN"/>
        </w:rPr>
        <w:t>ett, 2010; Stewart et al., 1985</w:t>
      </w:r>
      <w:r w:rsidRPr="00CF31E0">
        <w:rPr>
          <w:rFonts w:cs="Arial"/>
          <w:noProof/>
          <w:lang w:eastAsia="zh-CN"/>
        </w:rPr>
        <w:t>)</w:t>
      </w:r>
      <w:r w:rsidRPr="00CF31E0">
        <w:rPr>
          <w:rFonts w:cs="Arial"/>
          <w:lang w:eastAsia="zh-CN"/>
        </w:rPr>
        <w:fldChar w:fldCharType="end"/>
      </w:r>
      <w:r w:rsidRPr="00CF31E0">
        <w:rPr>
          <w:rFonts w:cs="Arial"/>
          <w:lang w:eastAsia="zh-CN"/>
        </w:rPr>
        <w:t xml:space="preserve">. </w:t>
      </w:r>
      <w:r w:rsidRPr="00CF31E0">
        <w:rPr>
          <w:lang w:eastAsia="zh-CN"/>
        </w:rPr>
        <w:t xml:space="preserve">This evidence informs the present study, which will integrate both direct (represented by a conceptual approach) and indirect measures (represented by a vocally presented approach). </w:t>
      </w:r>
    </w:p>
    <w:p w14:paraId="14125A89" w14:textId="24F28121" w:rsidR="00160CC4" w:rsidRPr="00CF31E0" w:rsidRDefault="00160CC4" w:rsidP="00603CB7">
      <w:pPr>
        <w:pStyle w:val="Paragraph"/>
        <w:rPr>
          <w:rFonts w:cs="Arial"/>
          <w:lang w:eastAsia="zh-CN"/>
        </w:rPr>
      </w:pPr>
      <w:r w:rsidRPr="00CF31E0">
        <w:rPr>
          <w:lang w:eastAsia="zh-CN"/>
        </w:rPr>
        <w:t xml:space="preserve">Most significantly, the significance of discovering latent variables, represented as the evaluative dimensions, in language attitude research and its direct implication to research </w:t>
      </w:r>
      <w:r w:rsidRPr="00CF31E0">
        <w:rPr>
          <w:rFonts w:cs="Arial"/>
          <w:lang w:eastAsia="zh-CN"/>
        </w:rPr>
        <w:fldChar w:fldCharType="begin"/>
      </w:r>
      <w:r w:rsidRPr="00CF31E0">
        <w:rPr>
          <w:rFonts w:cs="Arial"/>
          <w:lang w:eastAsia="zh-CN"/>
        </w:rPr>
        <w:instrText xml:space="preserve"> ADDIN ZOTERO_ITEM CSL_CITATION {"citationID":"aficsa8vph","properties":{"formattedCitation":"(Garrett, Bishop, &amp; Coupland, 2009; Garrett et al., 2005b; Zahn, Christopher &amp; Hopper, Robert, 1985)","plainCitation":"(Garrett, Bishop, &amp; Coupland, 2009; Garrett et al., 2005b; Zahn, Christopher &amp; Hopper, Robert, 1985)","dontUpdate":true,"noteIndex":0},"citationItems":[{"id":334,"uris":["http://zotero.org/users/1939618/items/66HZN4X8"],"uri":["http://zotero.org/users/1939618/items/66HZN4X8"],"itemData":{"id":334,"type":"article-journal","title":"Diasporic ethnolinguistic subjectivities: Patagonia, North America, and Wales","container-title":"International Journal of the Sociology of Language","volume":"2009","issue":"195","source":"CrossRef","abstract":"A total of 956 informants with links to Wales — from Patagonia, North America, and Wales itself — completed a questionnaire investigating their Welsh identities and a‰liation, their images of Wales, their engagement with Welsh cultural practices, and their perceptions of the ethnolinguistic vitality of the Welsh language and of domain priorities for the use of Welsh. These three groups produced systematic variation across many of the issues in this study. Overall, for example, the North Americans oriented their Welshness to Wales itself, and in particular in the history and heritage of Wales, while the Patagonians and the Welsh anchored their Welsh identity within their own contexts, and with less focus on the history and heritage of Wales. The results o¤er insights into the complexity of ‘‘home’’ and ‘‘diaspora’’ relationships, historical and geo-cultural di¤erences, and their impact on Welsh cultural authenticity and ethnolinguistic subjectivities.","URL":"https://www.degruyter.com/view/j/ijsl.2009.2009.issue-195/ijsl.2009.010/ijsl.2009.010.xml","DOI":"10.1515/IJSL.2009.010","ISSN":"0165-2516, 1613-3668","shortTitle":"Diasporic ethnolinguistic subjectivities","author":[{"family":"Garrett","given":"Peter"},{"family":"Bishop","given":"Hywel"},{"family":"Coupland","given":"Nikolas"}],"issued":{"date-parts":[["2009",1]]},"accessed":{"date-parts":[["2018",3,15]]}},"label":"page"},{"id":326,"uris":["http://zotero.org/users/1939618/items/CTAELXKB"],"uri":["http://zotero.org/users/1939618/items/CTAELXKB"],"itemData":{"id":326,"type":"article-journal","title":"Attitudinal data from New Zealand, Australia, the USA and UK about each other’s Englishes: Recent changes or consequences of methodologies?","container-title":"Multilingua","page":"211–235","volume":"24","issue":"3","source":"DeGruyter","abstract":"Recent attitudinal research by Bayard et al. (2001) suggested changes in the comparative evaluations of Australian, New Zealand, US and English Englishes, with US English on its way to becoming the preferred variety. We revisit these attitudes after a period of political change in the US, and using a research methodology in line with folklinguistic approaches to attitudes research (e. g. Preston 1996). Convenience samples of respondents in these four countries were asked to identify the countries where they knew English was spoken as a native language, and then quickly to write down their first reactions to those varieties. US English was viewed strikingly negatively in terms of its affective associations, and there were references to ‘excess’ from all respondent groups (e. g. overassertive, overenthusiastic). And, against expectations, the affective profile of English English was not overwhelmingly negative for all groups of respondents. We consider the results in relation to the findings and methods of the earlier studies, and also briefly consider the different statuses of these varieties in terms of the current discussion of late modernity and of different standard varieties (e. g. Kristiansen 2001b) serving different aspects of social life.","DOI":"10.1515/mult.2005.24.3.211","ISSN":"1613-3684","shortTitle":"Attitudinal data from New Zealand, Australia, the USA and UK about each other’s Englishes","author":[{"family":"Garrett","given":"Peter"},{"family":"Williams","given":"Angie"},{"family":"Evans","given":"Betsy"}],"issued":{"date-parts":[["2005"]]}},"label":"page"},{"id":288,"uris":["http://zotero.org/users/1939618/items/CJ8CXVSM"],"uri":["http://zotero.org/users/1939618/items/CJ8CXVSM"],"itemData":{"id":288,"type":"article-journal","title":"Measuring Language Attitudes: The Speech Evaluation Instrument","container-title":"Journal of Language and Social Psychology","page":"113-123","volume":"4","issue":"2","source":"SAGE Journals","abstract":"This paper describes investigations in the measurement of listeners' evaluations of spoken language. Lack of integration in research in this area has been due in part to the numerous measurement instruments used to assess such evaluative reactions. The paper reviews the development of past instruments, describes the design, analysis, and implementation of an omnibus measure, the Speech Evaluation Instrument (SEI), and interprets these findings in light of past research. The use of the SEI is recommended to researchers as a way to make findings of various studies more comparable. Although the development of the SEI was based on evaluation of linguistic diversity, its applicability to a wider range of speech phenomena is suggested.","DOI":"10.1177/0261927X8500400203","ISSN":"0261-927X","shortTitle":"Measuring Language Attitudes","journalAbbreviation":"Journal of Language and Social Psychology","language":"en","author":[{"literal":"Zahn, Christopher"},{"literal":"Hopper, Robert"}],"issued":{"date-parts":[["1985",6,1]]}},"label":"page"}],"schema":"https://github.com/citation-style-language/schema/raw/master/csl-citation.json"} </w:instrText>
      </w:r>
      <w:r w:rsidRPr="00CF31E0">
        <w:rPr>
          <w:rFonts w:cs="Arial"/>
          <w:lang w:eastAsia="zh-CN"/>
        </w:rPr>
        <w:fldChar w:fldCharType="separate"/>
      </w:r>
      <w:r w:rsidRPr="00CF31E0">
        <w:rPr>
          <w:rFonts w:cs="Arial"/>
          <w:noProof/>
          <w:lang w:eastAsia="zh-CN"/>
        </w:rPr>
        <w:t>(</w:t>
      </w:r>
      <w:r w:rsidR="00FD6C39" w:rsidRPr="00CF31E0">
        <w:rPr>
          <w:rFonts w:cs="Arial"/>
          <w:noProof/>
          <w:lang w:eastAsia="zh-CN"/>
        </w:rPr>
        <w:t xml:space="preserve">Garrett et al., 2005b; </w:t>
      </w:r>
      <w:r w:rsidRPr="00CF31E0">
        <w:rPr>
          <w:rFonts w:cs="Arial"/>
          <w:noProof/>
          <w:lang w:eastAsia="zh-CN"/>
        </w:rPr>
        <w:t>Garrett</w:t>
      </w:r>
      <w:r w:rsidR="00FD6C39" w:rsidRPr="00CF31E0">
        <w:rPr>
          <w:rFonts w:cs="Arial"/>
          <w:noProof/>
          <w:lang w:eastAsia="zh-CN"/>
        </w:rPr>
        <w:t xml:space="preserve"> et al.</w:t>
      </w:r>
      <w:r w:rsidRPr="00CF31E0">
        <w:rPr>
          <w:rFonts w:cs="Arial"/>
          <w:noProof/>
          <w:lang w:eastAsia="zh-CN"/>
        </w:rPr>
        <w:t>, 2009; Zahn &amp; Hopper, 1985)</w:t>
      </w:r>
      <w:r w:rsidRPr="00CF31E0">
        <w:rPr>
          <w:rFonts w:cs="Arial"/>
          <w:lang w:eastAsia="zh-CN"/>
        </w:rPr>
        <w:fldChar w:fldCharType="end"/>
      </w:r>
      <w:r w:rsidRPr="00CF31E0">
        <w:rPr>
          <w:rFonts w:cs="Arial"/>
          <w:lang w:eastAsia="zh-CN"/>
        </w:rPr>
        <w:t xml:space="preserve">, </w:t>
      </w:r>
      <w:r w:rsidRPr="00CF31E0">
        <w:rPr>
          <w:lang w:eastAsia="zh-CN"/>
        </w:rPr>
        <w:t>informs the present study to contribute to theory and practice in Saudi dialect research by discovering the evaluative dimensions relative to language attitudes in the Saudi context.</w:t>
      </w:r>
    </w:p>
    <w:p w14:paraId="1F27F14B" w14:textId="4926728A" w:rsidR="00160CC4" w:rsidRPr="00CF31E0" w:rsidRDefault="00185C24" w:rsidP="00BC73A9">
      <w:pPr>
        <w:pStyle w:val="Paragraph"/>
        <w:rPr>
          <w:lang w:eastAsia="zh-CN"/>
        </w:rPr>
      </w:pPr>
      <w:r w:rsidRPr="00CF31E0">
        <w:rPr>
          <w:lang w:eastAsia="zh-CN"/>
        </w:rPr>
        <w:t xml:space="preserve">Regarding </w:t>
      </w:r>
      <w:r w:rsidR="00BC73A9" w:rsidRPr="00CF31E0">
        <w:rPr>
          <w:lang w:eastAsia="zh-CN"/>
        </w:rPr>
        <w:t>perceptual dialectology</w:t>
      </w:r>
      <w:r w:rsidR="00160CC4" w:rsidRPr="00CF31E0">
        <w:rPr>
          <w:lang w:eastAsia="zh-CN"/>
        </w:rPr>
        <w:t xml:space="preserve"> studies, the chapter </w:t>
      </w:r>
      <w:r w:rsidRPr="00CF31E0">
        <w:rPr>
          <w:lang w:eastAsia="zh-CN"/>
        </w:rPr>
        <w:t xml:space="preserve">has </w:t>
      </w:r>
      <w:r w:rsidR="00160CC4" w:rsidRPr="00CF31E0">
        <w:rPr>
          <w:lang w:eastAsia="zh-CN"/>
        </w:rPr>
        <w:t xml:space="preserve">provided an overview of the field and how it </w:t>
      </w:r>
      <w:r w:rsidRPr="00CF31E0">
        <w:rPr>
          <w:lang w:eastAsia="zh-CN"/>
        </w:rPr>
        <w:t xml:space="preserve">has </w:t>
      </w:r>
      <w:r w:rsidR="00160CC4" w:rsidRPr="00CF31E0">
        <w:rPr>
          <w:lang w:eastAsia="zh-CN"/>
        </w:rPr>
        <w:t xml:space="preserve">informed language attitude research. I adopted a method from </w:t>
      </w:r>
      <w:r w:rsidR="00BC73A9" w:rsidRPr="00CF31E0">
        <w:rPr>
          <w:lang w:eastAsia="zh-CN"/>
        </w:rPr>
        <w:t xml:space="preserve">perceptual dialectology </w:t>
      </w:r>
      <w:r w:rsidR="00160CC4" w:rsidRPr="00CF31E0">
        <w:rPr>
          <w:lang w:eastAsia="zh-CN"/>
        </w:rPr>
        <w:t xml:space="preserve">research to integrate with the language attitude study. In other words, the </w:t>
      </w:r>
      <w:r w:rsidR="00BC73A9" w:rsidRPr="00CF31E0">
        <w:rPr>
          <w:lang w:eastAsia="zh-CN"/>
        </w:rPr>
        <w:t xml:space="preserve">perceptual dialectology </w:t>
      </w:r>
      <w:r w:rsidR="00160CC4" w:rsidRPr="00CF31E0">
        <w:rPr>
          <w:lang w:eastAsia="zh-CN"/>
        </w:rPr>
        <w:t xml:space="preserve">research </w:t>
      </w:r>
      <w:r w:rsidRPr="00CF31E0">
        <w:rPr>
          <w:lang w:eastAsia="zh-CN"/>
        </w:rPr>
        <w:t xml:space="preserve">has </w:t>
      </w:r>
      <w:r w:rsidR="00160CC4" w:rsidRPr="00CF31E0">
        <w:rPr>
          <w:lang w:eastAsia="zh-CN"/>
        </w:rPr>
        <w:t>informed the present study</w:t>
      </w:r>
      <w:r w:rsidRPr="00CF31E0">
        <w:rPr>
          <w:lang w:eastAsia="zh-CN"/>
        </w:rPr>
        <w:t>,</w:t>
      </w:r>
      <w:r w:rsidR="00160CC4" w:rsidRPr="00CF31E0">
        <w:rPr>
          <w:lang w:eastAsia="zh-CN"/>
        </w:rPr>
        <w:t xml:space="preserve"> in </w:t>
      </w:r>
      <w:r w:rsidRPr="00CF31E0">
        <w:rPr>
          <w:lang w:eastAsia="zh-CN"/>
        </w:rPr>
        <w:t>contextualizing</w:t>
      </w:r>
      <w:r w:rsidR="00160CC4" w:rsidRPr="00CF31E0">
        <w:rPr>
          <w:lang w:eastAsia="zh-CN"/>
        </w:rPr>
        <w:t xml:space="preserve"> the language attitude study by asking informants to allocate the </w:t>
      </w:r>
      <w:r w:rsidRPr="00CF31E0">
        <w:rPr>
          <w:lang w:eastAsia="zh-CN"/>
        </w:rPr>
        <w:t xml:space="preserve">origins of the </w:t>
      </w:r>
      <w:r w:rsidR="00160CC4" w:rsidRPr="00CF31E0">
        <w:rPr>
          <w:lang w:eastAsia="zh-CN"/>
        </w:rPr>
        <w:t xml:space="preserve">voice samples. </w:t>
      </w:r>
    </w:p>
    <w:p w14:paraId="5A609493" w14:textId="0F248B0B" w:rsidR="00160CC4" w:rsidRPr="00CF31E0" w:rsidRDefault="007003C1" w:rsidP="00603CB7">
      <w:pPr>
        <w:pStyle w:val="Paragraph"/>
        <w:rPr>
          <w:lang w:eastAsia="zh-CN"/>
        </w:rPr>
      </w:pPr>
      <w:r w:rsidRPr="00CF31E0">
        <w:rPr>
          <w:lang w:eastAsia="zh-CN"/>
        </w:rPr>
        <w:t>T</w:t>
      </w:r>
      <w:r w:rsidR="00160CC4" w:rsidRPr="00CF31E0">
        <w:rPr>
          <w:lang w:eastAsia="zh-CN"/>
        </w:rPr>
        <w:t xml:space="preserve">he chapter </w:t>
      </w:r>
      <w:r w:rsidRPr="00CF31E0">
        <w:rPr>
          <w:lang w:eastAsia="zh-CN"/>
        </w:rPr>
        <w:t xml:space="preserve">has also reviewed </w:t>
      </w:r>
      <w:r w:rsidR="00160CC4" w:rsidRPr="00CF31E0">
        <w:rPr>
          <w:lang w:eastAsia="zh-CN"/>
        </w:rPr>
        <w:t xml:space="preserve">the main </w:t>
      </w:r>
      <w:r w:rsidRPr="00CF31E0">
        <w:rPr>
          <w:lang w:eastAsia="zh-CN"/>
        </w:rPr>
        <w:t xml:space="preserve">speech perception </w:t>
      </w:r>
      <w:r w:rsidR="00160CC4" w:rsidRPr="00CF31E0">
        <w:rPr>
          <w:lang w:eastAsia="zh-CN"/>
        </w:rPr>
        <w:t>studies</w:t>
      </w:r>
      <w:r w:rsidRPr="00CF31E0">
        <w:rPr>
          <w:lang w:eastAsia="zh-CN"/>
        </w:rPr>
        <w:t>,</w:t>
      </w:r>
      <w:r w:rsidR="00160CC4" w:rsidRPr="00CF31E0">
        <w:rPr>
          <w:lang w:eastAsia="zh-CN"/>
        </w:rPr>
        <w:t xml:space="preserve"> confirm</w:t>
      </w:r>
      <w:r w:rsidRPr="00CF31E0">
        <w:rPr>
          <w:lang w:eastAsia="zh-CN"/>
        </w:rPr>
        <w:t>ing</w:t>
      </w:r>
      <w:r w:rsidR="00160CC4" w:rsidRPr="00CF31E0">
        <w:rPr>
          <w:lang w:eastAsia="zh-CN"/>
        </w:rPr>
        <w:t xml:space="preserve"> how speech perception is affected by social information related to the speaker and how prior exposure to the language in context might affect </w:t>
      </w:r>
      <w:r w:rsidRPr="00CF31E0">
        <w:rPr>
          <w:lang w:eastAsia="zh-CN"/>
        </w:rPr>
        <w:t xml:space="preserve">the </w:t>
      </w:r>
      <w:r w:rsidR="00160CC4" w:rsidRPr="00CF31E0">
        <w:rPr>
          <w:lang w:eastAsia="zh-CN"/>
        </w:rPr>
        <w:t>speech perception</w:t>
      </w:r>
      <w:r w:rsidRPr="00CF31E0">
        <w:rPr>
          <w:lang w:eastAsia="zh-CN"/>
        </w:rPr>
        <w:t>s</w:t>
      </w:r>
      <w:r w:rsidR="00160CC4" w:rsidRPr="00CF31E0">
        <w:rPr>
          <w:lang w:eastAsia="zh-CN"/>
        </w:rPr>
        <w:t xml:space="preserve"> of participants. </w:t>
      </w:r>
    </w:p>
    <w:p w14:paraId="35732D02" w14:textId="77777777" w:rsidR="00160CC4" w:rsidRPr="00CF31E0" w:rsidRDefault="00160CC4" w:rsidP="00160CC4">
      <w:pPr>
        <w:spacing w:line="360" w:lineRule="auto"/>
        <w:contextualSpacing/>
        <w:jc w:val="both"/>
        <w:rPr>
          <w:rFonts w:eastAsia="Times New Roman"/>
          <w:color w:val="000000" w:themeColor="text1"/>
          <w:lang w:eastAsia="en-US"/>
        </w:rPr>
        <w:sectPr w:rsidR="00160CC4" w:rsidRPr="00CF31E0" w:rsidSect="00603CB7">
          <w:footerReference w:type="even" r:id="rId24"/>
          <w:footerReference w:type="default" r:id="rId25"/>
          <w:pgSz w:w="11900" w:h="16840"/>
          <w:pgMar w:top="1440" w:right="2268" w:bottom="1440" w:left="2268" w:header="709" w:footer="709" w:gutter="0"/>
          <w:cols w:space="708"/>
          <w:docGrid w:linePitch="360"/>
        </w:sectPr>
      </w:pPr>
    </w:p>
    <w:p w14:paraId="6EACFF1F" w14:textId="31910FF2" w:rsidR="00160CC4" w:rsidRPr="00CF31E0" w:rsidRDefault="00160CC4" w:rsidP="00730917">
      <w:pPr>
        <w:pStyle w:val="Title"/>
        <w:rPr>
          <w:color w:val="000000" w:themeColor="text1"/>
        </w:rPr>
      </w:pPr>
      <w:bookmarkStart w:id="255" w:name="_Toc6472664"/>
      <w:bookmarkStart w:id="256" w:name="_Toc502746048"/>
      <w:r w:rsidRPr="00CF31E0">
        <w:rPr>
          <w:color w:val="000000" w:themeColor="text1"/>
        </w:rPr>
        <w:lastRenderedPageBreak/>
        <w:t xml:space="preserve">Chapter </w:t>
      </w:r>
      <w:r w:rsidR="00232730" w:rsidRPr="00CF31E0">
        <w:rPr>
          <w:color w:val="000000" w:themeColor="text1"/>
        </w:rPr>
        <w:t>5</w:t>
      </w:r>
      <w:r w:rsidR="007003C1" w:rsidRPr="00CF31E0">
        <w:rPr>
          <w:color w:val="000000" w:themeColor="text1"/>
        </w:rPr>
        <w:t>:</w:t>
      </w:r>
      <w:r w:rsidRPr="00CF31E0">
        <w:rPr>
          <w:color w:val="000000" w:themeColor="text1"/>
        </w:rPr>
        <w:t xml:space="preserve"> Methodology</w:t>
      </w:r>
      <w:bookmarkEnd w:id="255"/>
    </w:p>
    <w:p w14:paraId="6ED7A67E" w14:textId="251D8BBC" w:rsidR="00160CC4" w:rsidRPr="00CF31E0" w:rsidRDefault="00232730" w:rsidP="00E87209">
      <w:pPr>
        <w:pStyle w:val="Ahead"/>
        <w:rPr>
          <w:rFonts w:eastAsia="Times New Roman"/>
        </w:rPr>
      </w:pPr>
      <w:bookmarkStart w:id="257" w:name="_Toc6472665"/>
      <w:bookmarkEnd w:id="256"/>
      <w:r w:rsidRPr="00CF31E0">
        <w:rPr>
          <w:rFonts w:eastAsia="Times New Roman"/>
        </w:rPr>
        <w:t>5</w:t>
      </w:r>
      <w:r w:rsidR="005313BF" w:rsidRPr="00CF31E0">
        <w:rPr>
          <w:rFonts w:eastAsia="Times New Roman"/>
        </w:rPr>
        <w:t>.1.</w:t>
      </w:r>
      <w:r w:rsidR="005313BF" w:rsidRPr="00CF31E0">
        <w:rPr>
          <w:rFonts w:eastAsia="Times New Roman"/>
        </w:rPr>
        <w:tab/>
      </w:r>
      <w:bookmarkStart w:id="258" w:name="_Toc502746049"/>
      <w:r w:rsidR="00160CC4" w:rsidRPr="00CF31E0">
        <w:t>Introduction</w:t>
      </w:r>
      <w:bookmarkEnd w:id="257"/>
      <w:bookmarkEnd w:id="258"/>
      <w:r w:rsidR="00160CC4" w:rsidRPr="00CF31E0">
        <w:rPr>
          <w:rFonts w:eastAsia="Times New Roman"/>
        </w:rPr>
        <w:t xml:space="preserve"> </w:t>
      </w:r>
    </w:p>
    <w:p w14:paraId="4F32B80C" w14:textId="30E57E4A" w:rsidR="00EA1EE8" w:rsidRPr="00CF31E0" w:rsidRDefault="00233BF8" w:rsidP="00603CB7">
      <w:pPr>
        <w:pStyle w:val="Paragraph"/>
        <w:spacing w:after="400"/>
        <w:rPr>
          <w:lang w:eastAsia="zh-CN"/>
        </w:rPr>
      </w:pPr>
      <w:r w:rsidRPr="00CF31E0">
        <w:rPr>
          <w:lang w:eastAsia="zh-CN"/>
        </w:rPr>
        <w:t xml:space="preserve">In the </w:t>
      </w:r>
      <w:r w:rsidR="0015491A" w:rsidRPr="00CF31E0">
        <w:rPr>
          <w:lang w:eastAsia="zh-CN"/>
        </w:rPr>
        <w:t xml:space="preserve">context </w:t>
      </w:r>
      <w:r w:rsidRPr="00CF31E0">
        <w:rPr>
          <w:lang w:eastAsia="zh-CN"/>
        </w:rPr>
        <w:t xml:space="preserve">of the literature I reviewed in </w:t>
      </w:r>
      <w:r w:rsidR="00CE2B99" w:rsidRPr="00CF31E0">
        <w:rPr>
          <w:lang w:eastAsia="zh-CN"/>
        </w:rPr>
        <w:t>C</w:t>
      </w:r>
      <w:r w:rsidRPr="00CF31E0">
        <w:rPr>
          <w:lang w:eastAsia="zh-CN"/>
        </w:rPr>
        <w:t xml:space="preserve">hapter </w:t>
      </w:r>
      <w:r w:rsidR="00E16395" w:rsidRPr="00CF31E0">
        <w:rPr>
          <w:lang w:eastAsia="zh-CN"/>
        </w:rPr>
        <w:t xml:space="preserve">2 </w:t>
      </w:r>
      <w:r w:rsidRPr="00CF31E0">
        <w:rPr>
          <w:lang w:eastAsia="zh-CN"/>
        </w:rPr>
        <w:t xml:space="preserve">and </w:t>
      </w:r>
      <w:r w:rsidR="00E16395" w:rsidRPr="00CF31E0">
        <w:rPr>
          <w:lang w:eastAsia="zh-CN"/>
        </w:rPr>
        <w:t>3</w:t>
      </w:r>
      <w:r w:rsidRPr="00CF31E0">
        <w:rPr>
          <w:lang w:eastAsia="zh-CN"/>
        </w:rPr>
        <w:t xml:space="preserve">, </w:t>
      </w:r>
      <w:r w:rsidR="0086328B" w:rsidRPr="00CF31E0">
        <w:rPr>
          <w:lang w:eastAsia="zh-CN"/>
        </w:rPr>
        <w:t xml:space="preserve">the </w:t>
      </w:r>
      <w:r w:rsidRPr="00CF31E0">
        <w:rPr>
          <w:lang w:eastAsia="zh-CN"/>
        </w:rPr>
        <w:t>Hijaz re</w:t>
      </w:r>
      <w:r w:rsidR="00723395" w:rsidRPr="00CF31E0">
        <w:rPr>
          <w:lang w:eastAsia="zh-CN"/>
        </w:rPr>
        <w:t>gion in western S</w:t>
      </w:r>
      <w:r w:rsidR="0015491A" w:rsidRPr="00CF31E0">
        <w:rPr>
          <w:lang w:eastAsia="zh-CN"/>
        </w:rPr>
        <w:t xml:space="preserve">audi </w:t>
      </w:r>
      <w:r w:rsidR="00723395" w:rsidRPr="00CF31E0">
        <w:rPr>
          <w:lang w:eastAsia="zh-CN"/>
        </w:rPr>
        <w:t>A</w:t>
      </w:r>
      <w:r w:rsidR="0015491A" w:rsidRPr="00CF31E0">
        <w:rPr>
          <w:lang w:eastAsia="zh-CN"/>
        </w:rPr>
        <w:t>rabia (SA)</w:t>
      </w:r>
      <w:r w:rsidR="00723395" w:rsidRPr="00CF31E0">
        <w:rPr>
          <w:lang w:eastAsia="zh-CN"/>
        </w:rPr>
        <w:t xml:space="preserve"> seems to be</w:t>
      </w:r>
      <w:r w:rsidRPr="00CF31E0">
        <w:rPr>
          <w:lang w:eastAsia="zh-CN"/>
        </w:rPr>
        <w:t xml:space="preserve"> </w:t>
      </w:r>
      <w:r w:rsidR="0086328B" w:rsidRPr="00CF31E0">
        <w:rPr>
          <w:lang w:eastAsia="zh-CN"/>
        </w:rPr>
        <w:t xml:space="preserve">a </w:t>
      </w:r>
      <w:r w:rsidRPr="00CF31E0">
        <w:rPr>
          <w:lang w:eastAsia="zh-CN"/>
        </w:rPr>
        <w:t>linguistically salient regi</w:t>
      </w:r>
      <w:r w:rsidR="00723395" w:rsidRPr="00CF31E0">
        <w:rPr>
          <w:lang w:eastAsia="zh-CN"/>
        </w:rPr>
        <w:t>on</w:t>
      </w:r>
      <w:r w:rsidR="0086328B" w:rsidRPr="00CF31E0">
        <w:rPr>
          <w:lang w:eastAsia="zh-CN"/>
        </w:rPr>
        <w:t>. M</w:t>
      </w:r>
      <w:r w:rsidR="00723395" w:rsidRPr="00CF31E0">
        <w:rPr>
          <w:lang w:eastAsia="zh-CN"/>
        </w:rPr>
        <w:t>any studies have researched</w:t>
      </w:r>
      <w:r w:rsidRPr="00CF31E0">
        <w:rPr>
          <w:lang w:eastAsia="zh-CN"/>
        </w:rPr>
        <w:t xml:space="preserve"> language </w:t>
      </w:r>
      <w:r w:rsidR="00723395" w:rsidRPr="00CF31E0">
        <w:rPr>
          <w:lang w:eastAsia="zh-CN"/>
        </w:rPr>
        <w:t>variation and change research in</w:t>
      </w:r>
      <w:r w:rsidR="00957D7B" w:rsidRPr="00CF31E0">
        <w:rPr>
          <w:lang w:eastAsia="zh-CN"/>
        </w:rPr>
        <w:t xml:space="preserve"> Hijaz</w:t>
      </w:r>
      <w:r w:rsidR="0086328B" w:rsidRPr="00CF31E0">
        <w:rPr>
          <w:lang w:eastAsia="zh-CN"/>
        </w:rPr>
        <w:t>,</w:t>
      </w:r>
      <w:r w:rsidR="00957D7B" w:rsidRPr="00CF31E0">
        <w:rPr>
          <w:lang w:eastAsia="zh-CN"/>
        </w:rPr>
        <w:t xml:space="preserve"> </w:t>
      </w:r>
      <w:r w:rsidR="00EA1EE8" w:rsidRPr="00CF31E0">
        <w:rPr>
          <w:lang w:eastAsia="zh-CN"/>
        </w:rPr>
        <w:t xml:space="preserve">with </w:t>
      </w:r>
      <w:r w:rsidR="00957D7B" w:rsidRPr="00CF31E0">
        <w:rPr>
          <w:lang w:eastAsia="zh-CN"/>
        </w:rPr>
        <w:t>the focus mainly</w:t>
      </w:r>
      <w:r w:rsidR="00723395" w:rsidRPr="00CF31E0">
        <w:rPr>
          <w:lang w:eastAsia="zh-CN"/>
        </w:rPr>
        <w:t xml:space="preserve"> </w:t>
      </w:r>
      <w:r w:rsidR="00EA1EE8" w:rsidRPr="00CF31E0">
        <w:rPr>
          <w:lang w:eastAsia="zh-CN"/>
        </w:rPr>
        <w:t>being</w:t>
      </w:r>
      <w:r w:rsidR="0086328B" w:rsidRPr="00CF31E0">
        <w:rPr>
          <w:lang w:eastAsia="zh-CN"/>
        </w:rPr>
        <w:t xml:space="preserve"> </w:t>
      </w:r>
      <w:r w:rsidRPr="00CF31E0">
        <w:rPr>
          <w:lang w:eastAsia="zh-CN"/>
        </w:rPr>
        <w:t xml:space="preserve">on production studies </w:t>
      </w:r>
      <w:bookmarkStart w:id="259" w:name="ZOTERO_BREF_oWoVa7Mr8e1Sop67VHO6l"/>
      <w:r w:rsidR="00957D7B" w:rsidRPr="00CF31E0">
        <w:rPr>
          <w:lang w:eastAsia="zh-CN"/>
        </w:rPr>
        <w:t xml:space="preserve">(Al-Hazmy, 1975; </w:t>
      </w:r>
      <w:r w:rsidR="001E5DEC" w:rsidRPr="00CF31E0">
        <w:rPr>
          <w:lang w:eastAsia="zh-CN"/>
        </w:rPr>
        <w:t xml:space="preserve">Alzaidi, 2014; </w:t>
      </w:r>
      <w:r w:rsidR="00957D7B" w:rsidRPr="00CF31E0">
        <w:rPr>
          <w:lang w:eastAsia="zh-CN"/>
        </w:rPr>
        <w:t xml:space="preserve">Al-Jehani, </w:t>
      </w:r>
      <w:r w:rsidR="0086328B" w:rsidRPr="00CF31E0">
        <w:rPr>
          <w:lang w:eastAsia="zh-CN"/>
        </w:rPr>
        <w:t xml:space="preserve">1985, </w:t>
      </w:r>
      <w:r w:rsidR="00957D7B" w:rsidRPr="00CF31E0">
        <w:rPr>
          <w:lang w:eastAsia="zh-CN"/>
        </w:rPr>
        <w:t>1990; Ingham, 1971)</w:t>
      </w:r>
      <w:bookmarkEnd w:id="259"/>
      <w:r w:rsidRPr="00CF31E0">
        <w:rPr>
          <w:lang w:eastAsia="zh-CN"/>
        </w:rPr>
        <w:t xml:space="preserve">. </w:t>
      </w:r>
      <w:r w:rsidR="0086328B" w:rsidRPr="00CF31E0">
        <w:rPr>
          <w:lang w:eastAsia="zh-CN"/>
        </w:rPr>
        <w:t>However</w:t>
      </w:r>
      <w:r w:rsidRPr="00CF31E0">
        <w:rPr>
          <w:lang w:eastAsia="zh-CN"/>
        </w:rPr>
        <w:t xml:space="preserve">, very few studies </w:t>
      </w:r>
      <w:r w:rsidR="0086328B" w:rsidRPr="00CF31E0">
        <w:rPr>
          <w:lang w:eastAsia="zh-CN"/>
        </w:rPr>
        <w:t xml:space="preserve">have </w:t>
      </w:r>
      <w:r w:rsidRPr="00CF31E0">
        <w:rPr>
          <w:lang w:eastAsia="zh-CN"/>
        </w:rPr>
        <w:t>attempted to investigate l</w:t>
      </w:r>
      <w:r w:rsidR="00957D7B" w:rsidRPr="00CF31E0">
        <w:rPr>
          <w:lang w:eastAsia="zh-CN"/>
        </w:rPr>
        <w:t>anguage attitudes in the region</w:t>
      </w:r>
      <w:r w:rsidR="0086328B" w:rsidRPr="00CF31E0">
        <w:rPr>
          <w:lang w:eastAsia="zh-CN"/>
        </w:rPr>
        <w:t>,</w:t>
      </w:r>
      <w:r w:rsidR="00957D7B" w:rsidRPr="00CF31E0">
        <w:rPr>
          <w:lang w:eastAsia="zh-CN"/>
        </w:rPr>
        <w:t xml:space="preserve"> where the focus </w:t>
      </w:r>
      <w:r w:rsidR="0086328B" w:rsidRPr="00CF31E0">
        <w:rPr>
          <w:lang w:eastAsia="zh-CN"/>
        </w:rPr>
        <w:t xml:space="preserve">is </w:t>
      </w:r>
      <w:r w:rsidR="00957D7B" w:rsidRPr="00CF31E0">
        <w:rPr>
          <w:lang w:eastAsia="zh-CN"/>
        </w:rPr>
        <w:t>mainly on</w:t>
      </w:r>
      <w:r w:rsidRPr="00CF31E0">
        <w:rPr>
          <w:lang w:eastAsia="zh-CN"/>
        </w:rPr>
        <w:t xml:space="preserve"> perceptual studies </w:t>
      </w:r>
      <w:bookmarkStart w:id="260" w:name="ZOTERO_BREF_2MAGaHUj0B9GnKgxNM7MI"/>
      <w:r w:rsidR="00957D7B" w:rsidRPr="00CF31E0">
        <w:rPr>
          <w:lang w:eastAsia="zh-CN"/>
        </w:rPr>
        <w:t>(Alahmadi, 2015, 2016)</w:t>
      </w:r>
      <w:bookmarkEnd w:id="260"/>
      <w:r w:rsidRPr="00CF31E0">
        <w:rPr>
          <w:lang w:eastAsia="zh-CN"/>
        </w:rPr>
        <w:t xml:space="preserve">. Therefore, I </w:t>
      </w:r>
      <w:r w:rsidR="004E2707" w:rsidRPr="00CF31E0">
        <w:rPr>
          <w:lang w:eastAsia="zh-CN"/>
        </w:rPr>
        <w:t>designed</w:t>
      </w:r>
      <w:r w:rsidRPr="00CF31E0">
        <w:rPr>
          <w:lang w:eastAsia="zh-CN"/>
        </w:rPr>
        <w:t xml:space="preserve"> a robust methodology to answer three key questions in the present research</w:t>
      </w:r>
      <w:r w:rsidR="00957D7B" w:rsidRPr="00CF31E0">
        <w:rPr>
          <w:lang w:eastAsia="zh-CN"/>
        </w:rPr>
        <w:t xml:space="preserve"> that will enrich the perceptual studies </w:t>
      </w:r>
      <w:r w:rsidR="008935F9" w:rsidRPr="00CF31E0">
        <w:rPr>
          <w:lang w:eastAsia="zh-CN"/>
        </w:rPr>
        <w:t xml:space="preserve">on the </w:t>
      </w:r>
      <w:r w:rsidR="00957D7B" w:rsidRPr="00CF31E0">
        <w:rPr>
          <w:lang w:eastAsia="zh-CN"/>
        </w:rPr>
        <w:t>Hijaz region</w:t>
      </w:r>
      <w:r w:rsidRPr="00CF31E0">
        <w:rPr>
          <w:lang w:eastAsia="zh-CN"/>
        </w:rPr>
        <w:t>.</w:t>
      </w:r>
    </w:p>
    <w:p w14:paraId="621B3046" w14:textId="279A1B7F" w:rsidR="00160CC4" w:rsidRPr="00CF31E0" w:rsidRDefault="00233BF8" w:rsidP="00603CB7">
      <w:pPr>
        <w:pStyle w:val="Paragraph"/>
        <w:spacing w:after="400"/>
        <w:rPr>
          <w:rFonts w:eastAsia="MS Mincho"/>
          <w:lang w:eastAsia="zh-CN"/>
        </w:rPr>
      </w:pPr>
      <w:r w:rsidRPr="00CF31E0">
        <w:rPr>
          <w:lang w:eastAsia="zh-CN"/>
        </w:rPr>
        <w:t xml:space="preserve">First, as the region has been observed as a </w:t>
      </w:r>
      <w:r w:rsidR="00957D7B" w:rsidRPr="00CF31E0">
        <w:rPr>
          <w:lang w:eastAsia="zh-CN"/>
        </w:rPr>
        <w:t>prominent</w:t>
      </w:r>
      <w:r w:rsidRPr="00CF31E0">
        <w:rPr>
          <w:lang w:eastAsia="zh-CN"/>
        </w:rPr>
        <w:t xml:space="preserve"> linguistic </w:t>
      </w:r>
      <w:r w:rsidR="008935F9" w:rsidRPr="00CF31E0">
        <w:rPr>
          <w:lang w:eastAsia="zh-CN"/>
        </w:rPr>
        <w:t xml:space="preserve">region </w:t>
      </w:r>
      <w:r w:rsidRPr="00CF31E0">
        <w:rPr>
          <w:lang w:eastAsia="zh-CN"/>
        </w:rPr>
        <w:t xml:space="preserve">and there is an </w:t>
      </w:r>
      <w:r w:rsidR="004E2707" w:rsidRPr="00CF31E0">
        <w:rPr>
          <w:lang w:eastAsia="zh-CN"/>
        </w:rPr>
        <w:t>obvious</w:t>
      </w:r>
      <w:r w:rsidRPr="00CF31E0">
        <w:rPr>
          <w:lang w:eastAsia="zh-CN"/>
        </w:rPr>
        <w:t xml:space="preserve"> shortage of </w:t>
      </w:r>
      <w:r w:rsidR="00EA1EE8" w:rsidRPr="00CF31E0">
        <w:rPr>
          <w:lang w:eastAsia="zh-CN"/>
        </w:rPr>
        <w:t xml:space="preserve">information on </w:t>
      </w:r>
      <w:r w:rsidRPr="00CF31E0">
        <w:rPr>
          <w:lang w:eastAsia="zh-CN"/>
        </w:rPr>
        <w:t>Hijazi people</w:t>
      </w:r>
      <w:r w:rsidR="008935F9" w:rsidRPr="00CF31E0">
        <w:rPr>
          <w:lang w:eastAsia="zh-CN"/>
        </w:rPr>
        <w:t>’s</w:t>
      </w:r>
      <w:r w:rsidRPr="00CF31E0">
        <w:rPr>
          <w:lang w:eastAsia="zh-CN"/>
        </w:rPr>
        <w:t xml:space="preserve"> attitudes towards the li</w:t>
      </w:r>
      <w:r w:rsidR="00957D7B" w:rsidRPr="00CF31E0">
        <w:rPr>
          <w:lang w:eastAsia="zh-CN"/>
        </w:rPr>
        <w:t>nguistic situation in Hijaz</w:t>
      </w:r>
      <w:r w:rsidRPr="00CF31E0">
        <w:rPr>
          <w:lang w:eastAsia="zh-CN"/>
        </w:rPr>
        <w:t>, RQ1 attempt</w:t>
      </w:r>
      <w:r w:rsidR="00EA1EE8" w:rsidRPr="00CF31E0">
        <w:rPr>
          <w:lang w:eastAsia="zh-CN"/>
        </w:rPr>
        <w:t>s</w:t>
      </w:r>
      <w:r w:rsidRPr="00CF31E0">
        <w:rPr>
          <w:lang w:eastAsia="zh-CN"/>
        </w:rPr>
        <w:t xml:space="preserve"> to fill </w:t>
      </w:r>
      <w:r w:rsidR="008935F9" w:rsidRPr="00CF31E0">
        <w:rPr>
          <w:lang w:eastAsia="zh-CN"/>
        </w:rPr>
        <w:t>this</w:t>
      </w:r>
      <w:r w:rsidRPr="00CF31E0">
        <w:rPr>
          <w:lang w:eastAsia="zh-CN"/>
        </w:rPr>
        <w:t xml:space="preserve"> gap by asking direct questions</w:t>
      </w:r>
      <w:r w:rsidR="00957D7B" w:rsidRPr="00CF31E0">
        <w:rPr>
          <w:lang w:eastAsia="zh-CN"/>
        </w:rPr>
        <w:t xml:space="preserve"> of the sociolinguistic situation in Hijaz from the point of view of Hijazi people</w:t>
      </w:r>
      <w:r w:rsidRPr="00CF31E0">
        <w:rPr>
          <w:lang w:eastAsia="zh-CN"/>
        </w:rPr>
        <w:t xml:space="preserve">. Second, the </w:t>
      </w:r>
      <w:r w:rsidR="004E2707" w:rsidRPr="00CF31E0">
        <w:rPr>
          <w:lang w:eastAsia="zh-CN"/>
        </w:rPr>
        <w:t>characteristics</w:t>
      </w:r>
      <w:r w:rsidRPr="00CF31E0">
        <w:rPr>
          <w:lang w:eastAsia="zh-CN"/>
        </w:rPr>
        <w:t xml:space="preserve"> of </w:t>
      </w:r>
      <w:r w:rsidR="00E14A7F" w:rsidRPr="00CF31E0">
        <w:rPr>
          <w:lang w:eastAsia="zh-CN"/>
        </w:rPr>
        <w:t>UBH and HH</w:t>
      </w:r>
      <w:r w:rsidRPr="00CF31E0">
        <w:rPr>
          <w:lang w:eastAsia="zh-CN"/>
        </w:rPr>
        <w:t xml:space="preserve"> dialects</w:t>
      </w:r>
      <w:r w:rsidR="00E14A7F" w:rsidRPr="00CF31E0">
        <w:rPr>
          <w:lang w:eastAsia="zh-CN"/>
        </w:rPr>
        <w:t xml:space="preserve"> in Hijaz</w:t>
      </w:r>
      <w:r w:rsidRPr="00CF31E0">
        <w:rPr>
          <w:lang w:eastAsia="zh-CN"/>
        </w:rPr>
        <w:t xml:space="preserve"> and the dimensions </w:t>
      </w:r>
      <w:r w:rsidR="008935F9" w:rsidRPr="00CF31E0">
        <w:rPr>
          <w:lang w:eastAsia="zh-CN"/>
        </w:rPr>
        <w:t xml:space="preserve">underlying the </w:t>
      </w:r>
      <w:r w:rsidR="004E2707" w:rsidRPr="00CF31E0">
        <w:rPr>
          <w:lang w:eastAsia="zh-CN"/>
        </w:rPr>
        <w:t>language</w:t>
      </w:r>
      <w:r w:rsidR="00E14A7F" w:rsidRPr="00CF31E0">
        <w:rPr>
          <w:lang w:eastAsia="zh-CN"/>
        </w:rPr>
        <w:t xml:space="preserve"> attitudes towards them</w:t>
      </w:r>
      <w:r w:rsidR="004E2707" w:rsidRPr="00CF31E0">
        <w:rPr>
          <w:lang w:eastAsia="zh-CN"/>
        </w:rPr>
        <w:t xml:space="preserve"> has suffered from an </w:t>
      </w:r>
      <w:r w:rsidR="00E14A7F" w:rsidRPr="00CF31E0">
        <w:rPr>
          <w:lang w:eastAsia="zh-CN"/>
        </w:rPr>
        <w:t>apparent</w:t>
      </w:r>
      <w:r w:rsidR="004E2707" w:rsidRPr="00CF31E0">
        <w:rPr>
          <w:lang w:eastAsia="zh-CN"/>
        </w:rPr>
        <w:t xml:space="preserve"> </w:t>
      </w:r>
      <w:r w:rsidR="008935F9" w:rsidRPr="00CF31E0">
        <w:rPr>
          <w:lang w:eastAsia="zh-CN"/>
        </w:rPr>
        <w:t xml:space="preserve">lack of research; </w:t>
      </w:r>
      <w:r w:rsidR="004E2707" w:rsidRPr="00CF31E0">
        <w:rPr>
          <w:lang w:eastAsia="zh-CN"/>
        </w:rPr>
        <w:t xml:space="preserve">therefore, I </w:t>
      </w:r>
      <w:r w:rsidR="008935F9" w:rsidRPr="00CF31E0">
        <w:rPr>
          <w:lang w:eastAsia="zh-CN"/>
        </w:rPr>
        <w:t xml:space="preserve">constructed </w:t>
      </w:r>
      <w:r w:rsidR="004E2707" w:rsidRPr="00CF31E0">
        <w:rPr>
          <w:lang w:eastAsia="zh-CN"/>
        </w:rPr>
        <w:t xml:space="preserve">RQ2 to fill </w:t>
      </w:r>
      <w:r w:rsidR="008935F9" w:rsidRPr="00CF31E0">
        <w:rPr>
          <w:lang w:eastAsia="zh-CN"/>
        </w:rPr>
        <w:t>this</w:t>
      </w:r>
      <w:r w:rsidR="004E2707" w:rsidRPr="00CF31E0">
        <w:rPr>
          <w:lang w:eastAsia="zh-CN"/>
        </w:rPr>
        <w:t xml:space="preserve"> gap. Third, as UBH and HH are salient dialects in Hijaz, </w:t>
      </w:r>
      <w:r w:rsidR="00E14A7F" w:rsidRPr="00CF31E0">
        <w:rPr>
          <w:lang w:eastAsia="zh-CN"/>
        </w:rPr>
        <w:t>assess</w:t>
      </w:r>
      <w:r w:rsidR="008935F9" w:rsidRPr="00CF31E0">
        <w:rPr>
          <w:lang w:eastAsia="zh-CN"/>
        </w:rPr>
        <w:t>ing</w:t>
      </w:r>
      <w:r w:rsidR="00E14A7F" w:rsidRPr="00CF31E0">
        <w:rPr>
          <w:lang w:eastAsia="zh-CN"/>
        </w:rPr>
        <w:t xml:space="preserve"> the level of awareness </w:t>
      </w:r>
      <w:r w:rsidR="008935F9" w:rsidRPr="00CF31E0">
        <w:rPr>
          <w:lang w:eastAsia="zh-CN"/>
        </w:rPr>
        <w:t xml:space="preserve">regarding speakers being able to </w:t>
      </w:r>
      <w:r w:rsidR="00E14A7F" w:rsidRPr="00CF31E0">
        <w:rPr>
          <w:lang w:eastAsia="zh-CN"/>
        </w:rPr>
        <w:t>linguistically distinguish</w:t>
      </w:r>
      <w:r w:rsidR="004E2707" w:rsidRPr="00CF31E0">
        <w:rPr>
          <w:lang w:eastAsia="zh-CN"/>
        </w:rPr>
        <w:t xml:space="preserve"> the two dialects is </w:t>
      </w:r>
      <w:r w:rsidR="008935F9" w:rsidRPr="00CF31E0">
        <w:rPr>
          <w:lang w:eastAsia="zh-CN"/>
        </w:rPr>
        <w:t xml:space="preserve">a </w:t>
      </w:r>
      <w:r w:rsidR="004E2707" w:rsidRPr="00CF31E0">
        <w:rPr>
          <w:lang w:eastAsia="zh-CN"/>
        </w:rPr>
        <w:t>valuable asset to provide a full and rich picture of Hijaz language attitudes</w:t>
      </w:r>
      <w:r w:rsidR="008935F9" w:rsidRPr="00CF31E0">
        <w:rPr>
          <w:lang w:eastAsia="zh-CN"/>
        </w:rPr>
        <w:t>. H</w:t>
      </w:r>
      <w:r w:rsidR="00E14A7F" w:rsidRPr="00CF31E0">
        <w:rPr>
          <w:lang w:eastAsia="zh-CN"/>
        </w:rPr>
        <w:t>ence</w:t>
      </w:r>
      <w:r w:rsidR="004E2707" w:rsidRPr="00CF31E0">
        <w:rPr>
          <w:lang w:eastAsia="zh-CN"/>
        </w:rPr>
        <w:t>, I designed RQ</w:t>
      </w:r>
      <w:r w:rsidR="008935F9" w:rsidRPr="00CF31E0">
        <w:rPr>
          <w:lang w:eastAsia="zh-CN"/>
        </w:rPr>
        <w:t>3</w:t>
      </w:r>
      <w:r w:rsidR="004E2707" w:rsidRPr="00CF31E0">
        <w:rPr>
          <w:lang w:eastAsia="zh-CN"/>
        </w:rPr>
        <w:t xml:space="preserve"> to evaluate how the two dialects are distinguished. Thus, t</w:t>
      </w:r>
      <w:r w:rsidR="00160CC4" w:rsidRPr="00CF31E0">
        <w:rPr>
          <w:lang w:eastAsia="zh-CN"/>
        </w:rPr>
        <w:t xml:space="preserve">his chapter presents </w:t>
      </w:r>
      <w:r w:rsidR="00160CC4" w:rsidRPr="00CF31E0">
        <w:rPr>
          <w:rFonts w:eastAsia="MS Mincho"/>
          <w:lang w:eastAsia="zh-CN"/>
        </w:rPr>
        <w:t>the methodology used to answer the following research questions:</w:t>
      </w:r>
    </w:p>
    <w:p w14:paraId="119B27C3" w14:textId="401E4126" w:rsidR="00EA1EE8" w:rsidRPr="00CF31E0" w:rsidRDefault="00EA1EE8" w:rsidP="00603CB7">
      <w:pPr>
        <w:pStyle w:val="Paragraph"/>
        <w:spacing w:after="400"/>
        <w:rPr>
          <w:rFonts w:eastAsia="MS Mincho"/>
          <w:lang w:eastAsia="zh-CN"/>
        </w:rPr>
      </w:pPr>
    </w:p>
    <w:p w14:paraId="0851142C" w14:textId="77777777" w:rsidR="00EA1EE8" w:rsidRPr="00CF31E0" w:rsidRDefault="00EA1EE8" w:rsidP="00603CB7">
      <w:pPr>
        <w:pStyle w:val="Paragraph"/>
        <w:spacing w:after="400"/>
        <w:rPr>
          <w:lang w:eastAsia="zh-CN"/>
        </w:rPr>
      </w:pPr>
    </w:p>
    <w:p w14:paraId="563B5198" w14:textId="05DD0831" w:rsidR="00160CC4" w:rsidRPr="00CF31E0" w:rsidRDefault="00160CC4" w:rsidP="00160CC4">
      <w:pPr>
        <w:spacing w:before="120" w:after="120" w:line="360" w:lineRule="auto"/>
        <w:jc w:val="both"/>
        <w:rPr>
          <w:rFonts w:eastAsia="Times New Roman"/>
          <w:color w:val="000000" w:themeColor="text1"/>
          <w:szCs w:val="22"/>
          <w:lang w:eastAsia="zh-CN"/>
        </w:rPr>
      </w:pPr>
      <w:r w:rsidRPr="00CF31E0">
        <w:rPr>
          <w:rFonts w:eastAsia="Times New Roman"/>
          <w:b/>
          <w:bCs/>
          <w:color w:val="000000" w:themeColor="text1"/>
          <w:szCs w:val="22"/>
          <w:lang w:eastAsia="zh-CN"/>
        </w:rPr>
        <w:lastRenderedPageBreak/>
        <w:t>RQ1:</w:t>
      </w:r>
      <w:r w:rsidRPr="00CF31E0">
        <w:rPr>
          <w:rFonts w:eastAsia="Times New Roman"/>
          <w:color w:val="000000" w:themeColor="text1"/>
          <w:szCs w:val="22"/>
          <w:lang w:eastAsia="zh-CN"/>
        </w:rPr>
        <w:t xml:space="preserve"> What do Hijazi people perceive to be occurring linguistically</w:t>
      </w:r>
      <w:r w:rsidR="002C612C">
        <w:rPr>
          <w:rFonts w:eastAsia="Times New Roman"/>
          <w:color w:val="000000" w:themeColor="text1"/>
          <w:szCs w:val="22"/>
          <w:lang w:eastAsia="zh-CN"/>
        </w:rPr>
        <w:t xml:space="preserve"> </w:t>
      </w:r>
      <w:r w:rsidRPr="00CF31E0">
        <w:rPr>
          <w:rFonts w:eastAsia="Times New Roman"/>
          <w:color w:val="000000" w:themeColor="text1"/>
          <w:szCs w:val="22"/>
          <w:lang w:eastAsia="zh-CN"/>
        </w:rPr>
        <w:t>in Hijaz?</w:t>
      </w:r>
    </w:p>
    <w:p w14:paraId="3CB6262F" w14:textId="77777777" w:rsidR="00160CC4" w:rsidRPr="00CF31E0" w:rsidRDefault="00160CC4" w:rsidP="00160CC4">
      <w:pPr>
        <w:spacing w:before="120" w:after="120" w:line="360" w:lineRule="auto"/>
        <w:jc w:val="both"/>
        <w:rPr>
          <w:rFonts w:eastAsia="Times New Roman"/>
          <w:color w:val="000000" w:themeColor="text1"/>
          <w:szCs w:val="22"/>
          <w:lang w:eastAsia="zh-CN"/>
        </w:rPr>
      </w:pPr>
      <w:r w:rsidRPr="00CF31E0">
        <w:rPr>
          <w:rFonts w:eastAsia="Times New Roman"/>
          <w:b/>
          <w:bCs/>
          <w:color w:val="000000" w:themeColor="text1"/>
          <w:szCs w:val="22"/>
          <w:lang w:eastAsia="zh-CN"/>
        </w:rPr>
        <w:t>RQ2:</w:t>
      </w:r>
      <w:r w:rsidRPr="00CF31E0">
        <w:rPr>
          <w:rFonts w:eastAsia="Times New Roman"/>
          <w:color w:val="000000" w:themeColor="text1"/>
          <w:szCs w:val="22"/>
          <w:lang w:eastAsia="zh-CN"/>
        </w:rPr>
        <w:t xml:space="preserve"> What are the most common characteristics that are associated with the UBH and HH dialects, and what are the dimensions behind the observed characteristics?</w:t>
      </w:r>
    </w:p>
    <w:p w14:paraId="32E3BD7B" w14:textId="77777777" w:rsidR="00160CC4" w:rsidRPr="00CF31E0" w:rsidRDefault="00160CC4" w:rsidP="00603CB7">
      <w:pPr>
        <w:spacing w:before="120" w:after="400" w:line="360" w:lineRule="auto"/>
        <w:jc w:val="both"/>
        <w:rPr>
          <w:rFonts w:eastAsia="Times New Roman"/>
          <w:color w:val="000000" w:themeColor="text1"/>
          <w:szCs w:val="22"/>
          <w:lang w:eastAsia="zh-CN"/>
        </w:rPr>
      </w:pPr>
      <w:r w:rsidRPr="00CF31E0">
        <w:rPr>
          <w:rFonts w:eastAsia="Times New Roman"/>
          <w:b/>
          <w:bCs/>
          <w:color w:val="000000" w:themeColor="text1"/>
          <w:szCs w:val="22"/>
          <w:lang w:eastAsia="zh-CN"/>
        </w:rPr>
        <w:t xml:space="preserve">RQ3: </w:t>
      </w:r>
      <w:r w:rsidRPr="00CF31E0">
        <w:rPr>
          <w:rFonts w:eastAsia="Times New Roman"/>
          <w:color w:val="000000" w:themeColor="text1"/>
          <w:szCs w:val="22"/>
          <w:lang w:eastAsia="zh-CN"/>
        </w:rPr>
        <w:t xml:space="preserve">How do Hijazi people identify UBH and HH dialects? Do they rely on linguistic factors or metalinguistic factors in the identification of dialects? </w:t>
      </w:r>
    </w:p>
    <w:p w14:paraId="31111B2F" w14:textId="1A25E34A" w:rsidR="00160CC4" w:rsidRPr="00CF31E0" w:rsidRDefault="00160CC4" w:rsidP="00603CB7">
      <w:pPr>
        <w:pStyle w:val="Paragraph"/>
        <w:rPr>
          <w:rFonts w:eastAsia="Times New Roman"/>
          <w:lang w:eastAsia="zh-CN"/>
        </w:rPr>
      </w:pPr>
      <w:r w:rsidRPr="00CF31E0">
        <w:rPr>
          <w:lang w:eastAsia="zh-CN"/>
        </w:rPr>
        <w:t>In order to address the aforementioned research questions, I designed a survey to elicit quantitative data on attitudes towards Western Saudi dialects from a population of UBH and HH participants in S</w:t>
      </w:r>
      <w:r w:rsidR="0015491A" w:rsidRPr="00CF31E0">
        <w:rPr>
          <w:lang w:eastAsia="zh-CN"/>
        </w:rPr>
        <w:t>A</w:t>
      </w:r>
      <w:r w:rsidRPr="00CF31E0">
        <w:rPr>
          <w:lang w:eastAsia="zh-CN"/>
        </w:rPr>
        <w:t>. In order to achieve the purposes of the research, a different questionnaire design was used to address each research question. In order to answer RQ1, I used a close-ended multiple-choice questionnaire. For RQ2, I used a free</w:t>
      </w:r>
      <w:r w:rsidR="00C86BDA" w:rsidRPr="00CF31E0">
        <w:rPr>
          <w:lang w:eastAsia="zh-CN"/>
        </w:rPr>
        <w:t>-adjective</w:t>
      </w:r>
      <w:r w:rsidRPr="00CF31E0">
        <w:rPr>
          <w:lang w:eastAsia="zh-CN"/>
        </w:rPr>
        <w:t xml:space="preserve"> questionnaire and a rating</w:t>
      </w:r>
      <w:r w:rsidR="005D0894" w:rsidRPr="00CF31E0">
        <w:rPr>
          <w:lang w:eastAsia="zh-CN"/>
        </w:rPr>
        <w:t>-scale</w:t>
      </w:r>
      <w:r w:rsidRPr="00CF31E0">
        <w:rPr>
          <w:lang w:eastAsia="zh-CN"/>
        </w:rPr>
        <w:t xml:space="preserve"> questionnaire. For RQ3, I used a voice allocation task and voice rating task.</w:t>
      </w:r>
      <w:r w:rsidRPr="00CF31E0">
        <w:rPr>
          <w:rFonts w:eastAsia="Times New Roman"/>
          <w:lang w:eastAsia="zh-CN"/>
        </w:rPr>
        <w:t xml:space="preserve"> By examining in detail the questionnaire types applied to address each research question, and illustrating the motivations for the use of each questionnaire type, this chapter will introduce the basic methodological design used to answer the research questions of the study. </w:t>
      </w:r>
    </w:p>
    <w:p w14:paraId="784CB6C2" w14:textId="38F98D9C" w:rsidR="00160CC4" w:rsidRPr="00CF31E0" w:rsidRDefault="00160CC4" w:rsidP="00603CB7">
      <w:pPr>
        <w:pStyle w:val="Paragraph"/>
        <w:rPr>
          <w:lang w:eastAsia="zh-CN"/>
        </w:rPr>
      </w:pPr>
      <w:r w:rsidRPr="00CF31E0">
        <w:rPr>
          <w:lang w:eastAsia="zh-CN"/>
        </w:rPr>
        <w:t xml:space="preserve">Before I start presenting the methodology, I will provide a brief overview of the pilot study I conducted prior to the present study. I will demonstrate how the pilot informed the main study and how a radical change occurred between the approaches used in the pilot study and the approaches used in the main study. </w:t>
      </w:r>
    </w:p>
    <w:p w14:paraId="16EB4973" w14:textId="3A8D3BAA" w:rsidR="00160CC4" w:rsidRPr="00CF31E0" w:rsidRDefault="00E16395" w:rsidP="00E87209">
      <w:pPr>
        <w:pStyle w:val="Ahead"/>
        <w:rPr>
          <w:rFonts w:eastAsia="Times New Roman"/>
        </w:rPr>
      </w:pPr>
      <w:bookmarkStart w:id="261" w:name="_Toc6472666"/>
      <w:r w:rsidRPr="00CF31E0">
        <w:rPr>
          <w:rFonts w:eastAsia="Times New Roman"/>
        </w:rPr>
        <w:t>5</w:t>
      </w:r>
      <w:r w:rsidR="005313BF" w:rsidRPr="00CF31E0">
        <w:rPr>
          <w:rFonts w:eastAsia="Times New Roman"/>
        </w:rPr>
        <w:t>.2.</w:t>
      </w:r>
      <w:r w:rsidR="005313BF" w:rsidRPr="00CF31E0">
        <w:rPr>
          <w:rFonts w:eastAsia="Times New Roman"/>
        </w:rPr>
        <w:tab/>
      </w:r>
      <w:r w:rsidR="00160CC4" w:rsidRPr="00CF31E0">
        <w:rPr>
          <w:rFonts w:eastAsia="Times New Roman"/>
        </w:rPr>
        <w:t xml:space="preserve">Pilot study: </w:t>
      </w:r>
      <w:r w:rsidR="005313BF" w:rsidRPr="00CF31E0">
        <w:rPr>
          <w:rFonts w:eastAsia="Times New Roman"/>
        </w:rPr>
        <w:t>A</w:t>
      </w:r>
      <w:r w:rsidR="00160CC4" w:rsidRPr="00CF31E0">
        <w:rPr>
          <w:rFonts w:eastAsia="Times New Roman"/>
        </w:rPr>
        <w:t>n overview, results and recommendations</w:t>
      </w:r>
      <w:bookmarkEnd w:id="261"/>
    </w:p>
    <w:p w14:paraId="5B6D76E0" w14:textId="5E81A955" w:rsidR="00160CC4" w:rsidRPr="00CF31E0" w:rsidRDefault="00160CC4" w:rsidP="00603CB7">
      <w:pPr>
        <w:pStyle w:val="Paragraph"/>
        <w:rPr>
          <w:lang w:eastAsia="zh-CN"/>
        </w:rPr>
      </w:pPr>
      <w:r w:rsidRPr="00CF31E0">
        <w:rPr>
          <w:lang w:eastAsia="zh-CN"/>
        </w:rPr>
        <w:t>Perceptual dialectology research attracted me to investigate Western S</w:t>
      </w:r>
      <w:r w:rsidR="0015491A" w:rsidRPr="00CF31E0">
        <w:rPr>
          <w:lang w:eastAsia="zh-CN"/>
        </w:rPr>
        <w:t>A</w:t>
      </w:r>
      <w:r w:rsidRPr="00CF31E0">
        <w:rPr>
          <w:lang w:eastAsia="zh-CN"/>
        </w:rPr>
        <w:t>, as it is a significant region in S</w:t>
      </w:r>
      <w:r w:rsidR="0015491A" w:rsidRPr="00CF31E0">
        <w:rPr>
          <w:lang w:eastAsia="zh-CN"/>
        </w:rPr>
        <w:t>A</w:t>
      </w:r>
      <w:r w:rsidRPr="00CF31E0">
        <w:rPr>
          <w:lang w:eastAsia="zh-CN"/>
        </w:rPr>
        <w:t xml:space="preserve">, as mentioned in </w:t>
      </w:r>
      <w:r w:rsidR="00CE2B99" w:rsidRPr="00CF31E0">
        <w:rPr>
          <w:lang w:eastAsia="zh-CN"/>
        </w:rPr>
        <w:t>C</w:t>
      </w:r>
      <w:r w:rsidRPr="00CF31E0">
        <w:rPr>
          <w:lang w:eastAsia="zh-CN"/>
        </w:rPr>
        <w:t>hapte</w:t>
      </w:r>
      <w:r w:rsidR="00711120" w:rsidRPr="00CF31E0">
        <w:rPr>
          <w:lang w:eastAsia="zh-CN"/>
        </w:rPr>
        <w:t xml:space="preserve">r </w:t>
      </w:r>
      <w:r w:rsidR="002B6E52" w:rsidRPr="00CF31E0">
        <w:rPr>
          <w:lang w:eastAsia="zh-CN"/>
        </w:rPr>
        <w:t>4</w:t>
      </w:r>
      <w:r w:rsidR="00711120" w:rsidRPr="00CF31E0">
        <w:rPr>
          <w:lang w:eastAsia="zh-CN"/>
        </w:rPr>
        <w:t>.</w:t>
      </w:r>
      <w:r w:rsidRPr="00CF31E0">
        <w:rPr>
          <w:lang w:eastAsia="zh-CN"/>
        </w:rPr>
        <w:t xml:space="preserve"> The previous </w:t>
      </w:r>
      <w:r w:rsidRPr="00CF31E0">
        <w:rPr>
          <w:lang w:eastAsia="zh-CN"/>
        </w:rPr>
        <w:lastRenderedPageBreak/>
        <w:t>research I consulted was an introduction to S</w:t>
      </w:r>
      <w:r w:rsidR="0015491A" w:rsidRPr="00CF31E0">
        <w:rPr>
          <w:lang w:eastAsia="zh-CN"/>
        </w:rPr>
        <w:t>A</w:t>
      </w:r>
      <w:r w:rsidRPr="00CF31E0">
        <w:rPr>
          <w:lang w:eastAsia="zh-CN"/>
        </w:rPr>
        <w:t xml:space="preserve"> dialect variation, and it contextualized my perceptual dialectology investigation. The dialect situation in Saudi Arabia (SA) is controlled by many historical and religious factors. Therefore, it is important to investigate the dialects of SA perceptually in order to analyse the effects of the aforementioned factors on people’s perceptions towards Saudi dialects. </w:t>
      </w:r>
    </w:p>
    <w:p w14:paraId="11764EC3" w14:textId="077CA517" w:rsidR="00160CC4" w:rsidRPr="00CF31E0" w:rsidRDefault="00160CC4" w:rsidP="00603CB7">
      <w:pPr>
        <w:pStyle w:val="Paragraph"/>
        <w:rPr>
          <w:lang w:val="en-US" w:eastAsia="zh-CN"/>
        </w:rPr>
      </w:pPr>
      <w:r w:rsidRPr="00CF31E0">
        <w:rPr>
          <w:lang w:val="en-US" w:eastAsia="zh-CN"/>
        </w:rPr>
        <w:t xml:space="preserve">As can be seen </w:t>
      </w:r>
      <w:r w:rsidR="008935F9" w:rsidRPr="00CF31E0">
        <w:rPr>
          <w:lang w:val="en-US" w:eastAsia="zh-CN"/>
        </w:rPr>
        <w:t>(</w:t>
      </w:r>
      <w:r w:rsidRPr="00CF31E0">
        <w:rPr>
          <w:lang w:val="en-US" w:eastAsia="zh-CN"/>
        </w:rPr>
        <w:t xml:space="preserve">see </w:t>
      </w:r>
      <w:r w:rsidR="00CE2B99" w:rsidRPr="00CF31E0">
        <w:rPr>
          <w:lang w:val="en-US" w:eastAsia="zh-CN"/>
        </w:rPr>
        <w:t>C</w:t>
      </w:r>
      <w:r w:rsidRPr="00CF31E0">
        <w:rPr>
          <w:lang w:val="en-US" w:eastAsia="zh-CN"/>
        </w:rPr>
        <w:t>hapter</w:t>
      </w:r>
      <w:r w:rsidR="00711120" w:rsidRPr="00CF31E0">
        <w:rPr>
          <w:lang w:val="en-US" w:eastAsia="zh-CN"/>
        </w:rPr>
        <w:t xml:space="preserve"> </w:t>
      </w:r>
      <w:r w:rsidR="00E16395" w:rsidRPr="00CF31E0">
        <w:rPr>
          <w:lang w:val="en-US" w:eastAsia="zh-CN"/>
        </w:rPr>
        <w:t xml:space="preserve">4, </w:t>
      </w:r>
      <w:r w:rsidRPr="00CF31E0">
        <w:rPr>
          <w:lang w:val="en-US" w:eastAsia="zh-CN"/>
        </w:rPr>
        <w:t>section</w:t>
      </w:r>
      <w:r w:rsidR="00711120" w:rsidRPr="00CF31E0">
        <w:rPr>
          <w:lang w:val="en-US" w:eastAsia="zh-CN"/>
        </w:rPr>
        <w:t xml:space="preserve"> </w:t>
      </w:r>
      <w:r w:rsidR="00E16395" w:rsidRPr="00CF31E0">
        <w:rPr>
          <w:lang w:val="en-US" w:eastAsia="zh-CN"/>
        </w:rPr>
        <w:t>4</w:t>
      </w:r>
      <w:r w:rsidR="00711120" w:rsidRPr="00CF31E0">
        <w:rPr>
          <w:lang w:val="en-US" w:eastAsia="zh-CN"/>
        </w:rPr>
        <w:t>.8</w:t>
      </w:r>
      <w:r w:rsidR="008935F9" w:rsidRPr="00CF31E0">
        <w:rPr>
          <w:lang w:val="en-US" w:eastAsia="zh-CN"/>
        </w:rPr>
        <w:t>)</w:t>
      </w:r>
      <w:r w:rsidRPr="00CF31E0">
        <w:rPr>
          <w:lang w:val="en-US" w:eastAsia="zh-CN"/>
        </w:rPr>
        <w:t xml:space="preserve">, many studies have been conducted in the field of perceptual dialectology in a variety of contexts. However, only a few of the studies have focused on the context of Arabic dialects. It could, therefore, be considered unexpected that throughout the development of perceptual dialectology, studies on </w:t>
      </w:r>
      <w:r w:rsidR="000678ED">
        <w:rPr>
          <w:lang w:val="en-US" w:eastAsia="zh-CN"/>
        </w:rPr>
        <w:t xml:space="preserve">Hijazi </w:t>
      </w:r>
      <w:r w:rsidRPr="00CF31E0">
        <w:rPr>
          <w:lang w:val="en-US" w:eastAsia="zh-CN"/>
        </w:rPr>
        <w:t>Arabic dialects have not been conducted. I have chosen to focus on the dialects in the Western region of S</w:t>
      </w:r>
      <w:r w:rsidR="0015491A" w:rsidRPr="00CF31E0">
        <w:rPr>
          <w:lang w:val="en-US" w:eastAsia="zh-CN"/>
        </w:rPr>
        <w:t>A</w:t>
      </w:r>
      <w:r w:rsidRPr="00CF31E0">
        <w:rPr>
          <w:lang w:val="en-US" w:eastAsia="zh-CN"/>
        </w:rPr>
        <w:t xml:space="preserve"> (i.e. the Hijaz region) in my perceptual study. </w:t>
      </w:r>
    </w:p>
    <w:p w14:paraId="02B84B16" w14:textId="789A89D4" w:rsidR="00160CC4" w:rsidRPr="00CF31E0" w:rsidRDefault="00160CC4" w:rsidP="00603CB7">
      <w:pPr>
        <w:pStyle w:val="Paragraph"/>
        <w:rPr>
          <w:lang w:val="en-US" w:eastAsia="zh-CN"/>
        </w:rPr>
      </w:pPr>
      <w:r w:rsidRPr="00CF31E0">
        <w:rPr>
          <w:lang w:val="en-US" w:eastAsia="zh-CN"/>
        </w:rPr>
        <w:t xml:space="preserve">I chose three instruments to elicit data in the Western Saudi context (i.e. the Hijaz region), which have been used widely in the literature </w:t>
      </w:r>
      <w:r w:rsidRPr="00CF31E0">
        <w:rPr>
          <w:lang w:val="en-US" w:eastAsia="zh-CN"/>
        </w:rPr>
        <w:fldChar w:fldCharType="begin"/>
      </w:r>
      <w:r w:rsidRPr="00CF31E0">
        <w:rPr>
          <w:lang w:val="en-US" w:eastAsia="zh-CN"/>
        </w:rPr>
        <w:instrText xml:space="preserve"> ADDIN ZOTERO_ITEM CSL_CITATION {"citationID":"a11u601entr","properties":{"formattedCitation":"(Boughton, 2006; Cukor-Avila, Jeon, Rector, Tiwari, &amp; Shelton, 2012; Evans, 2013; Montgomery, 2007, 2012)","plainCitation":"(Boughton, 2006; Cukor-Avila, Jeon, Rector, Tiwari, &amp; Shelton, 2012; Evans, 2013; Montgomery, 2007, 2012)","noteIndex":0},"citationItems":[{"id":89,"uris":["http://zotero.org/users/1939618/items/ZM2M6V3W"],"uri":["http://zotero.org/users/1939618/items/ZM2M6V3W"],"itemData":{"id":89,"type":"article-journal","title":"When perception isn't reality: Accent identification and perceptual dialectology in French","container-title":"Journal of French Language Studies","page":"277–304","volume":"16","issue":"03","source":"Google Scholar","shortTitle":"When perception isn't reality","author":[{"family":"Boughton","given":"Zoë"}],"issued":{"date-parts":[["2006"]]}},"label":"page"},{"id":77,"uris":["http://zotero.org/users/1939618/items/35NSGBQM"],"uri":["http://zotero.org/users/1939618/items/35NSGBQM"],"itemData":{"id":77,"type":"paper-conference","title":"“Texas–It’s Like a Whole Nuther Country”: Mapping Texans’ Perceptions of Dialect Variation in the Lone Star State","container-title":"Proceedings of the Twentieth Annual Symposium About Language and Society–Austin","source":"Google Scholar","URL":"http://www.lel.ed.ac.uk/~lhlew/Cukor-Avila_etal_2012_SALSA.pdf","shortTitle":"“Texas–It’s Like a Whole Nuther Country”","author":[{"family":"Cukor-Avila","given":"Patricia"},{"family":"Jeon","given":"Lisa"},{"family":"Rector","given":"Patricia C."},{"family":"Tiwari","given":"Chetan"},{"family":"Shelton","given":"Zak"}],"issued":{"date-parts":[["2012"]]},"accessed":{"date-parts":[["2014",11,18]]}},"label":"page"},{"id":79,"uris":["http://zotero.org/users/1939618/items/IQDD6VA3"],"uri":["http://zotero.org/users/1939618/items/IQDD6VA3"],"itemData":{"id":79,"type":"article-journal","title":"Seattle to Spokane: Mapping perceptions of English in Washington state","container-title":"Journal of English Linguistics","page":"0075424213494822","source":"Google Scholar","shortTitle":"Seattle to Spokane","author":[{"family":"Evans","given":"Betsy E."}],"issued":{"date-parts":[["2013"]]}},"label":"page"},{"id":3,"uris":["http://zotero.org/users/1939618/items/IB93562T"],"uri":["http://zotero.org/users/1939618/items/IB93562T"],"itemData":{"id":3,"type":"thesis","title":"Northern English Dialects: A perceptual approach","publisher":"University of Sheffield","genre":"Thesis","source":"etheses.whiterose.ac.uk","abstract":"Perceptual dialectology has the capacity to deliver a great many benefits to the study of language varieties.  It also allows examination of the underlying factors in dialect use such as the ‘beliefs, attitudes and strategies’ (Preston, 1999: xxiii) which make up language users’ reactions to language varieties.  In this way it has the potential to ask questions of identity and explore the reasons for dialect loyalty as well as complementing other research in the field of language variation and change.\n\nUsing a perceptual framework, this research investigates the relationship between the north and south of England and gains access to some of the key concepts which affect informants’ view of this important social, cultural and historical relationship.  Perceptions of salient dialect areas are also assessed using informants from three locations in the north of England via the completion of a draw-a-map task (Preston, 1999: xxxiv).  Many of the factors which impact on the perception of dialect areas are discussed, with phenomena of proximity and cultural salience demonstrating an important role.  An analysis of informants’ reactions to voice samples from across England is also undertaken using methods adapted from the fields of linguistics (Embleton &amp; Wheeler, 1997, Giles &amp; Powesland, 1975, Niedzielski &amp; Preston, 2003) as well perceptual geography (Pocock, 1972).  The link between map-based perception and reaction to voice samples is examined, with interesting conclusions. \n\nFour key research questions are addressed:\n\n1.\tDo respondents have a linguistic ‘cognitive map’ of a north of England, and do respondents recognise there to be internal boundaries within ‘their’ north of England?\n2.\tDoes home-town location of informants affect the perception of dialect area? \n3.\tWhat are informants’ perceptions of the language varieties in the north of England?\n4.\tIs there a relationship between perception and ‘reality’ (production), and can respondents recognise the varieties they have identified?\n\nThese questions will be addressed using the methods described above and the results accounted for through comparison with a wide range of previous studies in the fields of dialectology (Trudgill, 1999, Upton, Sanderson &amp; Widdowson, 1987, Wells, 1982), social and cultural history (Wales, 2006), perceptual dialectology (Long &amp; Preston, 2002), sociolinguistics (Giles &amp; Powesland, 1975) and perceptual geography (Gould &amp; White, 1986).","URL":"http://etheses.whiterose.ac.uk/1203/","shortTitle":"Northern English Dialects","author":[{"family":"Montgomery","given":"Chris"}],"issued":{"date-parts":[["2007",1,16]]},"accessed":{"date-parts":[["2014",9,24]]}},"label":"page"},{"id":94,"uris":["http://zotero.org/users/1939618/items/FVUC7ENJ"],"uri":["http://zotero.org/users/1939618/items/FVUC7ENJ"],"itemData":{"id":94,"type":"article-journal","title":"The effect of proximity in perceptual dialectology","container-title":"Journal of Sociolinguistics","page":"638–668","volume":"16","issue":"5","source":"Google Scholar","author":[{"family":"Montgomery","given":"Chris"}],"issued":{"date-parts":[["2012"]]}},"label":"page"}],"schema":"https://github.com/citation-style-language/schema/raw/master/csl-citation.json"} </w:instrText>
      </w:r>
      <w:r w:rsidRPr="00CF31E0">
        <w:rPr>
          <w:lang w:val="en-US" w:eastAsia="zh-CN"/>
        </w:rPr>
        <w:fldChar w:fldCharType="separate"/>
      </w:r>
      <w:r w:rsidRPr="00CF31E0">
        <w:rPr>
          <w:noProof/>
          <w:lang w:val="en-US" w:eastAsia="zh-CN"/>
        </w:rPr>
        <w:t>(Bo</w:t>
      </w:r>
      <w:r w:rsidR="00705517" w:rsidRPr="00CF31E0">
        <w:rPr>
          <w:noProof/>
          <w:lang w:val="en-US" w:eastAsia="zh-CN"/>
        </w:rPr>
        <w:t xml:space="preserve">ughton, 2006; </w:t>
      </w:r>
      <w:r w:rsidRPr="00CF31E0">
        <w:rPr>
          <w:noProof/>
          <w:lang w:val="en-US" w:eastAsia="zh-CN"/>
        </w:rPr>
        <w:t>Evans, 2013; Montgomery, 2007, 2012)</w:t>
      </w:r>
      <w:r w:rsidRPr="00CF31E0">
        <w:rPr>
          <w:lang w:val="en-US" w:eastAsia="zh-CN"/>
        </w:rPr>
        <w:fldChar w:fldCharType="end"/>
      </w:r>
      <w:r w:rsidRPr="00CF31E0">
        <w:rPr>
          <w:lang w:val="en-US" w:eastAsia="zh-CN"/>
        </w:rPr>
        <w:t xml:space="preserve">. They </w:t>
      </w:r>
      <w:r w:rsidR="009E4584" w:rsidRPr="00CF31E0">
        <w:rPr>
          <w:lang w:val="en-US" w:eastAsia="zh-CN"/>
        </w:rPr>
        <w:t xml:space="preserve">were as </w:t>
      </w:r>
      <w:r w:rsidRPr="00CF31E0">
        <w:rPr>
          <w:lang w:val="en-US" w:eastAsia="zh-CN"/>
        </w:rPr>
        <w:t xml:space="preserve">follows: a draw-a-map task, a degree of difference task, a voice placement task, and an area rating task. Each instrument was used to answer one of my research questions. The questions </w:t>
      </w:r>
      <w:r w:rsidR="0011649E" w:rsidRPr="00CF31E0">
        <w:rPr>
          <w:lang w:val="en-US" w:eastAsia="zh-CN"/>
        </w:rPr>
        <w:t>were</w:t>
      </w:r>
      <w:r w:rsidRPr="00CF31E0">
        <w:rPr>
          <w:lang w:val="en-US" w:eastAsia="zh-CN"/>
        </w:rPr>
        <w:t>:</w:t>
      </w:r>
    </w:p>
    <w:p w14:paraId="73253FF7" w14:textId="77777777" w:rsidR="00160CC4" w:rsidRPr="00CF31E0" w:rsidRDefault="00160CC4" w:rsidP="00467EF6">
      <w:pPr>
        <w:widowControl w:val="0"/>
        <w:numPr>
          <w:ilvl w:val="0"/>
          <w:numId w:val="13"/>
        </w:numPr>
        <w:autoSpaceDE w:val="0"/>
        <w:autoSpaceDN w:val="0"/>
        <w:adjustRightInd w:val="0"/>
        <w:spacing w:before="120" w:after="120" w:line="360" w:lineRule="auto"/>
        <w:contextualSpacing/>
        <w:jc w:val="both"/>
        <w:rPr>
          <w:rFonts w:eastAsia="Times New Roman"/>
          <w:bCs/>
          <w:color w:val="000000" w:themeColor="text1"/>
          <w:szCs w:val="22"/>
          <w:lang w:eastAsia="zh-CN"/>
        </w:rPr>
      </w:pPr>
      <w:r w:rsidRPr="00CF31E0">
        <w:rPr>
          <w:rFonts w:eastAsia="Times New Roman"/>
          <w:bCs/>
          <w:color w:val="000000" w:themeColor="text1"/>
          <w:szCs w:val="22"/>
          <w:lang w:eastAsia="zh-CN"/>
        </w:rPr>
        <w:t>Where do the Hijazi Saudi Arabs (residents of the Western region) believe the dialect areas exist in Hijaz?</w:t>
      </w:r>
    </w:p>
    <w:p w14:paraId="7713D0AE" w14:textId="13CB2583" w:rsidR="00160CC4" w:rsidRPr="00CF31E0" w:rsidRDefault="00160CC4" w:rsidP="00467EF6">
      <w:pPr>
        <w:numPr>
          <w:ilvl w:val="0"/>
          <w:numId w:val="13"/>
        </w:numPr>
        <w:spacing w:before="120" w:after="120" w:line="360" w:lineRule="auto"/>
        <w:contextualSpacing/>
        <w:jc w:val="both"/>
        <w:rPr>
          <w:rFonts w:eastAsia="Times New Roman"/>
          <w:bCs/>
          <w:color w:val="000000" w:themeColor="text1"/>
          <w:szCs w:val="22"/>
          <w:lang w:eastAsia="zh-CN"/>
        </w:rPr>
      </w:pPr>
      <w:r w:rsidRPr="00CF31E0">
        <w:rPr>
          <w:rFonts w:eastAsia="Times New Roman"/>
          <w:bCs/>
          <w:color w:val="000000" w:themeColor="text1"/>
          <w:szCs w:val="22"/>
          <w:lang w:eastAsia="zh-CN"/>
        </w:rPr>
        <w:t xml:space="preserve">Do respondents believe that </w:t>
      </w:r>
      <w:r w:rsidR="00D30B2F">
        <w:rPr>
          <w:rFonts w:eastAsia="Times New Roman"/>
          <w:bCs/>
          <w:color w:val="000000" w:themeColor="text1"/>
          <w:szCs w:val="22"/>
          <w:lang w:eastAsia="zh-CN"/>
        </w:rPr>
        <w:t>Makkah</w:t>
      </w:r>
      <w:r w:rsidRPr="00CF31E0">
        <w:rPr>
          <w:rFonts w:eastAsia="Times New Roman"/>
          <w:bCs/>
          <w:color w:val="000000" w:themeColor="text1"/>
          <w:szCs w:val="22"/>
          <w:lang w:eastAsia="zh-CN"/>
        </w:rPr>
        <w:t>, Jeddah, and Rabigh dialects (varieties of Hijazi dialects) are the same or different from each other?</w:t>
      </w:r>
    </w:p>
    <w:p w14:paraId="4E398DD5" w14:textId="77777777" w:rsidR="00160CC4" w:rsidRPr="00CF31E0" w:rsidRDefault="00160CC4" w:rsidP="00603CB7">
      <w:pPr>
        <w:numPr>
          <w:ilvl w:val="0"/>
          <w:numId w:val="13"/>
        </w:numPr>
        <w:spacing w:before="120" w:after="200" w:line="360" w:lineRule="auto"/>
        <w:ind w:left="714" w:hanging="357"/>
        <w:jc w:val="both"/>
        <w:rPr>
          <w:rFonts w:eastAsia="Times New Roman"/>
          <w:color w:val="000000" w:themeColor="text1"/>
          <w:szCs w:val="22"/>
          <w:lang w:eastAsia="zh-CN"/>
        </w:rPr>
      </w:pPr>
      <w:r w:rsidRPr="00CF31E0">
        <w:rPr>
          <w:rFonts w:eastAsia="Times New Roman"/>
          <w:color w:val="000000" w:themeColor="text1"/>
          <w:szCs w:val="22"/>
          <w:lang w:eastAsia="zh-CN"/>
        </w:rPr>
        <w:t>Do the respondents have the ability to recognize where the voice samples come from, and what are the respondents’ ratings of the voice samples?</w:t>
      </w:r>
    </w:p>
    <w:p w14:paraId="11031081" w14:textId="334EC45B" w:rsidR="00160CC4" w:rsidRPr="00CF31E0" w:rsidRDefault="00160CC4" w:rsidP="00603CB7">
      <w:pPr>
        <w:pStyle w:val="Paragraph"/>
        <w:rPr>
          <w:lang w:eastAsia="zh-CN"/>
        </w:rPr>
      </w:pPr>
      <w:r w:rsidRPr="00CF31E0">
        <w:rPr>
          <w:lang w:eastAsia="zh-CN"/>
        </w:rPr>
        <w:t xml:space="preserve">Data was collected from three cities in the Western region of SA: </w:t>
      </w:r>
      <w:r w:rsidR="00D30B2F">
        <w:rPr>
          <w:lang w:eastAsia="zh-CN"/>
        </w:rPr>
        <w:t>Makkah</w:t>
      </w:r>
      <w:r w:rsidRPr="00CF31E0">
        <w:rPr>
          <w:lang w:eastAsia="zh-CN"/>
        </w:rPr>
        <w:t xml:space="preserve">, Jeddah, and Rabigh. The female section at three universities in the aforementioned cities were visited: Umm Al-Qura University in </w:t>
      </w:r>
      <w:r w:rsidR="00D30B2F">
        <w:rPr>
          <w:lang w:eastAsia="zh-CN"/>
        </w:rPr>
        <w:t>Makkah</w:t>
      </w:r>
      <w:r w:rsidRPr="00CF31E0">
        <w:rPr>
          <w:lang w:eastAsia="zh-CN"/>
        </w:rPr>
        <w:t xml:space="preserve">, King Abdul-Aziz University in Jeddah, and King Abdul-Aziz University in Rabigh. All of the study participants were female students from the English </w:t>
      </w:r>
      <w:r w:rsidRPr="00CF31E0">
        <w:rPr>
          <w:lang w:eastAsia="zh-CN"/>
        </w:rPr>
        <w:lastRenderedPageBreak/>
        <w:t>department. I could not access the male section as the education system is gender</w:t>
      </w:r>
      <w:r w:rsidR="00C86BDA" w:rsidRPr="00CF31E0">
        <w:rPr>
          <w:lang w:eastAsia="zh-CN"/>
        </w:rPr>
        <w:t xml:space="preserve"> segregated</w:t>
      </w:r>
      <w:r w:rsidRPr="00CF31E0">
        <w:rPr>
          <w:lang w:eastAsia="zh-CN"/>
        </w:rPr>
        <w:t xml:space="preserve"> in SA (see </w:t>
      </w:r>
      <w:r w:rsidR="00CE2B99" w:rsidRPr="00CF31E0">
        <w:rPr>
          <w:lang w:eastAsia="zh-CN"/>
        </w:rPr>
        <w:t>C</w:t>
      </w:r>
      <w:r w:rsidRPr="00CF31E0">
        <w:rPr>
          <w:lang w:eastAsia="zh-CN"/>
        </w:rPr>
        <w:t>hapter</w:t>
      </w:r>
      <w:r w:rsidR="00711120" w:rsidRPr="00CF31E0">
        <w:rPr>
          <w:lang w:eastAsia="zh-CN"/>
        </w:rPr>
        <w:t xml:space="preserve"> </w:t>
      </w:r>
      <w:r w:rsidR="00E16395" w:rsidRPr="00CF31E0">
        <w:rPr>
          <w:lang w:eastAsia="zh-CN"/>
        </w:rPr>
        <w:t xml:space="preserve">2, </w:t>
      </w:r>
      <w:r w:rsidRPr="00CF31E0">
        <w:rPr>
          <w:lang w:eastAsia="zh-CN"/>
        </w:rPr>
        <w:t>section</w:t>
      </w:r>
      <w:r w:rsidR="002B0D89" w:rsidRPr="00CF31E0">
        <w:rPr>
          <w:lang w:eastAsia="zh-CN"/>
        </w:rPr>
        <w:t xml:space="preserve"> </w:t>
      </w:r>
      <w:r w:rsidR="00E16395" w:rsidRPr="00CF31E0">
        <w:rPr>
          <w:lang w:eastAsia="zh-CN"/>
        </w:rPr>
        <w:t>2</w:t>
      </w:r>
      <w:r w:rsidR="002B0D89" w:rsidRPr="00CF31E0">
        <w:rPr>
          <w:lang w:eastAsia="zh-CN"/>
        </w:rPr>
        <w:t>.11</w:t>
      </w:r>
      <w:r w:rsidRPr="00CF31E0">
        <w:rPr>
          <w:lang w:eastAsia="zh-CN"/>
        </w:rPr>
        <w:t xml:space="preserve">). The students ranged in age from 18 to 24. A total of 23 students were recruited: eight from Jeddah, seven from </w:t>
      </w:r>
      <w:r w:rsidR="00D30B2F">
        <w:rPr>
          <w:lang w:eastAsia="zh-CN"/>
        </w:rPr>
        <w:t>Makkah</w:t>
      </w:r>
      <w:r w:rsidRPr="00CF31E0">
        <w:rPr>
          <w:lang w:eastAsia="zh-CN"/>
        </w:rPr>
        <w:t xml:space="preserve">, and eight from Rabigh. The pilot study was conducted in the summer of 2014. </w:t>
      </w:r>
    </w:p>
    <w:p w14:paraId="3D9CDC76" w14:textId="77777777" w:rsidR="00160CC4" w:rsidRPr="00CF31E0" w:rsidRDefault="00160CC4" w:rsidP="00603CB7">
      <w:pPr>
        <w:pStyle w:val="Paragraph"/>
        <w:rPr>
          <w:lang w:val="en-US" w:eastAsia="zh-CN"/>
        </w:rPr>
      </w:pPr>
      <w:r w:rsidRPr="00CF31E0">
        <w:rPr>
          <w:lang w:val="en-US" w:eastAsia="zh-CN"/>
        </w:rPr>
        <w:t xml:space="preserve">In the draw-a-map task, general questioning was used to elicit data and I made the task open so that the students could perceive any dialect in Hijaz and then locate it on the map. </w:t>
      </w:r>
    </w:p>
    <w:p w14:paraId="45C26C2A" w14:textId="0BCE0FBC" w:rsidR="00160CC4" w:rsidRPr="00CF31E0" w:rsidRDefault="00160CC4">
      <w:pPr>
        <w:pStyle w:val="Paragraph"/>
        <w:rPr>
          <w:lang w:val="en-US" w:eastAsia="zh-CN"/>
        </w:rPr>
      </w:pPr>
      <w:r w:rsidRPr="00CF31E0">
        <w:rPr>
          <w:lang w:val="en-US" w:eastAsia="zh-CN"/>
        </w:rPr>
        <w:t xml:space="preserve">Overall, in the draw-a-map task, I found that the participants were able to perceive three main dialects in the Western region: </w:t>
      </w:r>
      <w:r w:rsidR="00D30B2F">
        <w:rPr>
          <w:lang w:val="en-US" w:eastAsia="zh-CN"/>
        </w:rPr>
        <w:t>Makkah</w:t>
      </w:r>
      <w:r w:rsidRPr="00CF31E0">
        <w:rPr>
          <w:lang w:val="en-US" w:eastAsia="zh-CN"/>
        </w:rPr>
        <w:t xml:space="preserve">, Jeddah, and </w:t>
      </w:r>
      <w:r w:rsidR="0015785F" w:rsidRPr="00CF31E0">
        <w:rPr>
          <w:lang w:val="en-US" w:eastAsia="zh-CN"/>
        </w:rPr>
        <w:t>Al-Madina</w:t>
      </w:r>
      <w:r w:rsidRPr="00CF31E0">
        <w:rPr>
          <w:lang w:val="en-US" w:eastAsia="zh-CN"/>
        </w:rPr>
        <w:t xml:space="preserve">. Other regional varieties were also perceived, such as Rabigh, Taif, and Yanbu, but the perceptions were not as high in percentage terms as the aforementioned dialects. </w:t>
      </w:r>
      <w:r w:rsidR="00C909FF" w:rsidRPr="00CF31E0">
        <w:rPr>
          <w:lang w:val="en-US" w:eastAsia="zh-CN"/>
        </w:rPr>
        <w:t>See Figure</w:t>
      </w:r>
      <w:r w:rsidR="00E16395" w:rsidRPr="00CF31E0">
        <w:rPr>
          <w:lang w:val="en-US" w:eastAsia="zh-CN"/>
        </w:rPr>
        <w:t xml:space="preserve"> </w:t>
      </w:r>
      <w:r w:rsidR="00E91CA5" w:rsidRPr="00CF31E0">
        <w:rPr>
          <w:lang w:val="en-US" w:eastAsia="zh-CN"/>
        </w:rPr>
        <w:t>5</w:t>
      </w:r>
      <w:r w:rsidR="00E16395" w:rsidRPr="00CF31E0">
        <w:rPr>
          <w:lang w:val="en-US" w:eastAsia="zh-CN"/>
        </w:rPr>
        <w:t xml:space="preserve">.1 </w:t>
      </w:r>
      <w:r w:rsidR="00C909FF" w:rsidRPr="00CF31E0">
        <w:rPr>
          <w:lang w:val="en-US" w:eastAsia="zh-CN"/>
        </w:rPr>
        <w:t xml:space="preserve">for </w:t>
      </w:r>
      <w:r w:rsidR="008935F9" w:rsidRPr="00CF31E0">
        <w:rPr>
          <w:lang w:val="en-US" w:eastAsia="zh-CN"/>
        </w:rPr>
        <w:t xml:space="preserve">a map of the location of </w:t>
      </w:r>
      <w:r w:rsidR="00C909FF" w:rsidRPr="00CF31E0">
        <w:rPr>
          <w:lang w:val="en-US" w:eastAsia="zh-CN"/>
        </w:rPr>
        <w:t xml:space="preserve">cities </w:t>
      </w:r>
      <w:r w:rsidR="008935F9" w:rsidRPr="00CF31E0">
        <w:rPr>
          <w:lang w:val="en-US" w:eastAsia="zh-CN"/>
        </w:rPr>
        <w:t>in SA</w:t>
      </w:r>
      <w:r w:rsidR="00C909FF" w:rsidRPr="00CF31E0">
        <w:rPr>
          <w:lang w:val="en-US" w:eastAsia="zh-CN"/>
        </w:rPr>
        <w:t xml:space="preserve">, and </w:t>
      </w:r>
      <w:r w:rsidRPr="00CF31E0">
        <w:rPr>
          <w:lang w:val="en-US" w:eastAsia="zh-CN"/>
        </w:rPr>
        <w:t xml:space="preserve">Figure </w:t>
      </w:r>
      <w:r w:rsidR="00E91CA5" w:rsidRPr="00CF31E0">
        <w:rPr>
          <w:lang w:val="en-US" w:eastAsia="zh-CN"/>
        </w:rPr>
        <w:t>5</w:t>
      </w:r>
      <w:r w:rsidR="007003C1" w:rsidRPr="00CF31E0">
        <w:rPr>
          <w:lang w:val="en-US" w:eastAsia="zh-CN"/>
        </w:rPr>
        <w:t>.</w:t>
      </w:r>
      <w:r w:rsidR="00E16395" w:rsidRPr="00CF31E0">
        <w:rPr>
          <w:lang w:val="en-US" w:eastAsia="zh-CN"/>
        </w:rPr>
        <w:t xml:space="preserve">2 </w:t>
      </w:r>
      <w:r w:rsidRPr="00CF31E0">
        <w:rPr>
          <w:lang w:val="en-US" w:eastAsia="zh-CN"/>
        </w:rPr>
        <w:t>for the results of a final composite map.</w:t>
      </w:r>
    </w:p>
    <w:p w14:paraId="233E344E" w14:textId="7736B9BF" w:rsidR="00D56CC2" w:rsidRPr="00CF31E0" w:rsidRDefault="00D56CC2" w:rsidP="00160CC4">
      <w:pPr>
        <w:spacing w:before="120" w:after="120" w:line="360" w:lineRule="auto"/>
        <w:jc w:val="both"/>
        <w:rPr>
          <w:rFonts w:eastAsia="Times New Roman"/>
          <w:color w:val="000000" w:themeColor="text1"/>
          <w:szCs w:val="22"/>
          <w:lang w:val="en-US" w:eastAsia="zh-CN"/>
        </w:rPr>
      </w:pPr>
      <w:r w:rsidRPr="00CF31E0">
        <w:rPr>
          <w:rFonts w:ascii="Helvetica" w:hAnsi="Helvetica" w:cs="Helvetica"/>
          <w:noProof/>
          <w:color w:val="000000" w:themeColor="text1"/>
        </w:rPr>
        <w:drawing>
          <wp:inline distT="0" distB="0" distL="0" distR="0" wp14:anchorId="0980D2F2" wp14:editId="2FE46D23">
            <wp:extent cx="4365879" cy="3485819"/>
            <wp:effectExtent l="0" t="0" r="317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66480" cy="3486299"/>
                    </a:xfrm>
                    <a:prstGeom prst="rect">
                      <a:avLst/>
                    </a:prstGeom>
                    <a:noFill/>
                    <a:ln>
                      <a:noFill/>
                    </a:ln>
                  </pic:spPr>
                </pic:pic>
              </a:graphicData>
            </a:graphic>
          </wp:inline>
        </w:drawing>
      </w:r>
    </w:p>
    <w:p w14:paraId="4214D5E7" w14:textId="171BE9C4" w:rsidR="00C909FF" w:rsidRPr="00CF31E0" w:rsidRDefault="00C909FF">
      <w:pPr>
        <w:pStyle w:val="Figcaption"/>
        <w:rPr>
          <w:color w:val="000000" w:themeColor="text1"/>
        </w:rPr>
      </w:pPr>
      <w:bookmarkStart w:id="262" w:name="_Toc6472983"/>
      <w:r w:rsidRPr="00CF31E0">
        <w:rPr>
          <w:color w:val="000000" w:themeColor="text1"/>
        </w:rPr>
        <w:t xml:space="preserve">Figure </w:t>
      </w:r>
      <w:r w:rsidR="00E91CA5" w:rsidRPr="00CF31E0">
        <w:rPr>
          <w:color w:val="000000" w:themeColor="text1"/>
        </w:rPr>
        <w:t>5</w:t>
      </w:r>
      <w:r w:rsidR="00B76399" w:rsidRPr="00CF31E0">
        <w:rPr>
          <w:color w:val="000000" w:themeColor="text1"/>
        </w:rPr>
        <w:t>.1: L</w:t>
      </w:r>
      <w:r w:rsidRPr="00CF31E0">
        <w:rPr>
          <w:color w:val="000000" w:themeColor="text1"/>
        </w:rPr>
        <w:t xml:space="preserve">ocation </w:t>
      </w:r>
      <w:r w:rsidR="00B76399" w:rsidRPr="00CF31E0">
        <w:rPr>
          <w:color w:val="000000" w:themeColor="text1"/>
        </w:rPr>
        <w:t xml:space="preserve">of cities </w:t>
      </w:r>
      <w:r w:rsidRPr="00CF31E0">
        <w:rPr>
          <w:color w:val="000000" w:themeColor="text1"/>
        </w:rPr>
        <w:t>in SA.</w:t>
      </w:r>
      <w:bookmarkEnd w:id="262"/>
    </w:p>
    <w:p w14:paraId="4EBC642B" w14:textId="631B1143" w:rsidR="00160CC4" w:rsidRPr="00CF31E0" w:rsidRDefault="00B26756" w:rsidP="00603CB7">
      <w:pPr>
        <w:pStyle w:val="Figuresource"/>
      </w:pPr>
      <w:r w:rsidRPr="00CF31E0">
        <w:t>(</w:t>
      </w:r>
      <w:r w:rsidR="003A2F79" w:rsidRPr="00CF31E0">
        <w:t xml:space="preserve">Adapted from </w:t>
      </w:r>
      <w:r w:rsidR="000B00DC" w:rsidRPr="00CF31E0">
        <w:t>Einstein</w:t>
      </w:r>
      <w:r w:rsidRPr="00CF31E0">
        <w:t>, 2006)</w:t>
      </w:r>
    </w:p>
    <w:p w14:paraId="2C5BA874" w14:textId="77777777" w:rsidR="00160CC4" w:rsidRPr="00CF31E0" w:rsidRDefault="00160CC4" w:rsidP="00160CC4">
      <w:pPr>
        <w:spacing w:before="120" w:after="120" w:line="360" w:lineRule="auto"/>
        <w:jc w:val="both"/>
        <w:rPr>
          <w:rFonts w:eastAsia="Times New Roman"/>
          <w:color w:val="000000" w:themeColor="text1"/>
          <w:szCs w:val="22"/>
          <w:lang w:val="en-US" w:eastAsia="zh-CN"/>
        </w:rPr>
      </w:pPr>
      <w:r w:rsidRPr="00CF31E0">
        <w:rPr>
          <w:rFonts w:eastAsia="Times New Roman"/>
          <w:noProof/>
          <w:color w:val="000000" w:themeColor="text1"/>
          <w:szCs w:val="22"/>
        </w:rPr>
        <w:lastRenderedPageBreak/>
        <w:drawing>
          <wp:inline distT="0" distB="0" distL="0" distR="0" wp14:anchorId="7EA917C0" wp14:editId="38011BA2">
            <wp:extent cx="3440430" cy="4257239"/>
            <wp:effectExtent l="0" t="1905" r="12065" b="1206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3441837" cy="4258980"/>
                    </a:xfrm>
                    <a:prstGeom prst="rect">
                      <a:avLst/>
                    </a:prstGeom>
                    <a:noFill/>
                    <a:ln>
                      <a:noFill/>
                    </a:ln>
                  </pic:spPr>
                </pic:pic>
              </a:graphicData>
            </a:graphic>
          </wp:inline>
        </w:drawing>
      </w:r>
    </w:p>
    <w:p w14:paraId="535A3405" w14:textId="31A4F3B2" w:rsidR="00160CC4" w:rsidRPr="00CF31E0" w:rsidRDefault="00160CC4">
      <w:pPr>
        <w:pStyle w:val="Figcaption"/>
        <w:rPr>
          <w:color w:val="000000" w:themeColor="text1"/>
          <w:lang w:val="en-US"/>
        </w:rPr>
      </w:pPr>
      <w:bookmarkStart w:id="263" w:name="_Toc522527332"/>
      <w:bookmarkStart w:id="264" w:name="_Toc522628163"/>
      <w:bookmarkStart w:id="265" w:name="_Toc522628281"/>
      <w:bookmarkStart w:id="266" w:name="_Toc522628381"/>
      <w:bookmarkStart w:id="267" w:name="_Toc6472984"/>
      <w:r w:rsidRPr="00CF31E0">
        <w:rPr>
          <w:color w:val="000000" w:themeColor="text1"/>
          <w:lang w:val="en-US"/>
        </w:rPr>
        <w:t xml:space="preserve">Figure </w:t>
      </w:r>
      <w:r w:rsidR="00E91CA5" w:rsidRPr="00CF31E0">
        <w:rPr>
          <w:color w:val="000000" w:themeColor="text1"/>
          <w:lang w:val="en-US"/>
        </w:rPr>
        <w:t>5</w:t>
      </w:r>
      <w:r w:rsidR="007003C1" w:rsidRPr="00CF31E0">
        <w:rPr>
          <w:color w:val="000000" w:themeColor="text1"/>
          <w:lang w:val="en-US"/>
        </w:rPr>
        <w:t>.</w:t>
      </w:r>
      <w:r w:rsidR="00E16395" w:rsidRPr="00CF31E0">
        <w:rPr>
          <w:color w:val="000000" w:themeColor="text1"/>
          <w:lang w:val="en-US"/>
        </w:rPr>
        <w:t>2</w:t>
      </w:r>
      <w:r w:rsidRPr="00CF31E0">
        <w:rPr>
          <w:color w:val="000000" w:themeColor="text1"/>
          <w:lang w:val="en-US"/>
        </w:rPr>
        <w:t xml:space="preserve">: A composite </w:t>
      </w:r>
      <w:r w:rsidRPr="00CF31E0">
        <w:rPr>
          <w:color w:val="000000" w:themeColor="text1"/>
        </w:rPr>
        <w:t>map</w:t>
      </w:r>
      <w:r w:rsidRPr="00CF31E0">
        <w:rPr>
          <w:color w:val="000000" w:themeColor="text1"/>
          <w:lang w:val="en-US"/>
        </w:rPr>
        <w:t xml:space="preserve"> of dialect areas in Hijaz.</w:t>
      </w:r>
      <w:bookmarkEnd w:id="263"/>
      <w:bookmarkEnd w:id="264"/>
      <w:bookmarkEnd w:id="265"/>
      <w:bookmarkEnd w:id="266"/>
      <w:bookmarkEnd w:id="267"/>
      <w:r w:rsidRPr="00CF31E0">
        <w:rPr>
          <w:color w:val="000000" w:themeColor="text1"/>
          <w:lang w:val="en-US"/>
        </w:rPr>
        <w:t xml:space="preserve"> </w:t>
      </w:r>
    </w:p>
    <w:p w14:paraId="468A8167" w14:textId="6881C20E" w:rsidR="00160CC4" w:rsidRPr="00CF31E0" w:rsidRDefault="00160CC4" w:rsidP="00603CB7">
      <w:pPr>
        <w:pStyle w:val="Paragraph"/>
        <w:spacing w:before="240"/>
        <w:rPr>
          <w:lang w:val="en-US" w:eastAsia="zh-CN"/>
        </w:rPr>
      </w:pPr>
      <w:r w:rsidRPr="00CF31E0">
        <w:rPr>
          <w:lang w:val="en-US" w:eastAsia="zh-CN"/>
        </w:rPr>
        <w:t xml:space="preserve">In the degree of difference task, </w:t>
      </w:r>
      <w:r w:rsidRPr="00CF31E0">
        <w:rPr>
          <w:lang w:eastAsia="zh-CN"/>
        </w:rPr>
        <w:t xml:space="preserve">the respondents were asked to rate the similarities and differences among the dialects spoken in </w:t>
      </w:r>
      <w:r w:rsidR="00D30B2F">
        <w:rPr>
          <w:lang w:eastAsia="zh-CN"/>
        </w:rPr>
        <w:t>Makkah</w:t>
      </w:r>
      <w:r w:rsidRPr="00CF31E0">
        <w:rPr>
          <w:lang w:eastAsia="zh-CN"/>
        </w:rPr>
        <w:t xml:space="preserve">, Jeddah, and Rabigh. The ratings were on a scale of 1 to 4 with 1 = same, 2 = a little different, 3 = different, and 4 = unintelligibly different. </w:t>
      </w:r>
      <w:r w:rsidRPr="00CF31E0">
        <w:rPr>
          <w:lang w:val="en-US" w:eastAsia="zh-CN"/>
        </w:rPr>
        <w:t xml:space="preserve">The results revealed that the majority of participants from </w:t>
      </w:r>
      <w:r w:rsidR="00D30B2F">
        <w:rPr>
          <w:lang w:val="en-US" w:eastAsia="zh-CN"/>
        </w:rPr>
        <w:t>Makkah</w:t>
      </w:r>
      <w:r w:rsidRPr="00CF31E0">
        <w:rPr>
          <w:lang w:val="en-US" w:eastAsia="zh-CN"/>
        </w:rPr>
        <w:t xml:space="preserve"> and Jeddah regarded their dialects as displaying few differences from each other, and most of them considered the Rabigh dialect as being different from their own. On the other hand, 73% of informants from Rabigh perceived the dialects spoken in </w:t>
      </w:r>
      <w:r w:rsidR="00D30B2F">
        <w:rPr>
          <w:lang w:val="en-US" w:eastAsia="zh-CN"/>
        </w:rPr>
        <w:t>Makkah</w:t>
      </w:r>
      <w:r w:rsidRPr="00CF31E0">
        <w:rPr>
          <w:lang w:val="en-US" w:eastAsia="zh-CN"/>
        </w:rPr>
        <w:t xml:space="preserve"> and Jeddah as being little different from their own dialect. </w:t>
      </w:r>
    </w:p>
    <w:p w14:paraId="4A93213D" w14:textId="4559D012" w:rsidR="00160CC4" w:rsidRPr="00CF31E0" w:rsidRDefault="00160CC4" w:rsidP="00603CB7">
      <w:pPr>
        <w:pStyle w:val="Paragraph"/>
        <w:rPr>
          <w:lang w:val="en-US" w:eastAsia="zh-CN"/>
        </w:rPr>
      </w:pPr>
      <w:r w:rsidRPr="00CF31E0">
        <w:rPr>
          <w:lang w:val="en-US" w:eastAsia="zh-CN"/>
        </w:rPr>
        <w:t xml:space="preserve">In the voice placement task, </w:t>
      </w:r>
      <w:r w:rsidRPr="00CF31E0">
        <w:rPr>
          <w:lang w:eastAsia="zh-CN"/>
        </w:rPr>
        <w:t>five speakers using five different Saudi dialects were chosen to talk about one topic, the weather in SA. Three speakers represented three dialects that are spoken in the Western region, which is the focus of the study, one speaker represented the Central region, and the other speaker represented the Eastern region (</w:t>
      </w:r>
      <w:r w:rsidR="00924EFC" w:rsidRPr="00CF31E0">
        <w:rPr>
          <w:lang w:eastAsia="zh-CN"/>
        </w:rPr>
        <w:t>s</w:t>
      </w:r>
      <w:r w:rsidRPr="00CF31E0">
        <w:rPr>
          <w:lang w:eastAsia="zh-CN"/>
        </w:rPr>
        <w:t xml:space="preserve">ee Figure </w:t>
      </w:r>
      <w:r w:rsidR="00E16395" w:rsidRPr="00CF31E0">
        <w:rPr>
          <w:lang w:eastAsia="zh-CN"/>
        </w:rPr>
        <w:t>2</w:t>
      </w:r>
      <w:r w:rsidRPr="00CF31E0">
        <w:rPr>
          <w:lang w:eastAsia="zh-CN"/>
        </w:rPr>
        <w:t xml:space="preserve">.2 in </w:t>
      </w:r>
      <w:r w:rsidR="007003C1" w:rsidRPr="00CF31E0">
        <w:rPr>
          <w:lang w:eastAsia="zh-CN"/>
        </w:rPr>
        <w:t>C</w:t>
      </w:r>
      <w:r w:rsidRPr="00CF31E0">
        <w:rPr>
          <w:lang w:eastAsia="zh-CN"/>
        </w:rPr>
        <w:t xml:space="preserve">hapter </w:t>
      </w:r>
      <w:r w:rsidR="00046CCB" w:rsidRPr="00CF31E0">
        <w:rPr>
          <w:lang w:eastAsia="zh-CN"/>
        </w:rPr>
        <w:t>2</w:t>
      </w:r>
      <w:r w:rsidRPr="00CF31E0">
        <w:rPr>
          <w:lang w:eastAsia="zh-CN"/>
        </w:rPr>
        <w:t xml:space="preserve">). Thus, the respondents were provided with recordings from five dialects spoken within SA, including the Western region, and they were asked to match only the Western region dialects with their sites of origin on the map. </w:t>
      </w:r>
      <w:r w:rsidRPr="00CF31E0">
        <w:rPr>
          <w:lang w:val="en-US" w:eastAsia="zh-CN"/>
        </w:rPr>
        <w:t xml:space="preserve">The results revealed that the most distinguishable regional variety was that of </w:t>
      </w:r>
      <w:r w:rsidR="00D30B2F">
        <w:rPr>
          <w:lang w:val="en-US" w:eastAsia="zh-CN"/>
        </w:rPr>
        <w:t>Makkah</w:t>
      </w:r>
      <w:r w:rsidRPr="00CF31E0">
        <w:rPr>
          <w:lang w:val="en-US" w:eastAsia="zh-CN"/>
        </w:rPr>
        <w:t xml:space="preserve">, </w:t>
      </w:r>
      <w:r w:rsidRPr="00CF31E0">
        <w:rPr>
          <w:lang w:val="en-US" w:eastAsia="zh-CN"/>
        </w:rPr>
        <w:lastRenderedPageBreak/>
        <w:t xml:space="preserve">which had a percentage recognition rate of 82%, followed by Jeddah and finally Rabigh. </w:t>
      </w:r>
    </w:p>
    <w:p w14:paraId="096EEC51" w14:textId="3304AB3C" w:rsidR="00160CC4" w:rsidRPr="00CF31E0" w:rsidRDefault="00160CC4" w:rsidP="00603CB7">
      <w:pPr>
        <w:pStyle w:val="Paragraph"/>
        <w:rPr>
          <w:lang w:eastAsia="zh-CN"/>
        </w:rPr>
      </w:pPr>
      <w:r w:rsidRPr="00CF31E0">
        <w:rPr>
          <w:lang w:val="en-US" w:eastAsia="zh-CN"/>
        </w:rPr>
        <w:t xml:space="preserve">In the area rating task, </w:t>
      </w:r>
      <w:r w:rsidRPr="00CF31E0">
        <w:rPr>
          <w:lang w:eastAsia="zh-CN"/>
        </w:rPr>
        <w:t>two labels were used (correct and pleasant) ranging from 1 to 10. After the students heard the voice samples from many regions in SA, they were asked to rate the voices from only one region, the Western region. Thus, not all of the voice samples from SA were included in the rating tasks; only the sample from the Western region was included. M</w:t>
      </w:r>
      <w:r w:rsidRPr="00CF31E0">
        <w:rPr>
          <w:lang w:val="en-US" w:eastAsia="zh-CN"/>
        </w:rPr>
        <w:t>ost of the students struggled to understand the adjective “pleasant” used in the task</w:t>
      </w:r>
      <w:r w:rsidRPr="00CF31E0">
        <w:rPr>
          <w:i/>
          <w:lang w:val="en-US" w:eastAsia="zh-CN"/>
        </w:rPr>
        <w:t>.</w:t>
      </w:r>
      <w:r w:rsidRPr="00CF31E0">
        <w:rPr>
          <w:lang w:val="en-US" w:eastAsia="zh-CN"/>
        </w:rPr>
        <w:t xml:space="preserve"> However, the results obtained from this task revealed a perceptual hierarchy that was remarkably well observed: the dialect of </w:t>
      </w:r>
      <w:r w:rsidR="00D30B2F">
        <w:rPr>
          <w:lang w:val="en-US" w:eastAsia="zh-CN"/>
        </w:rPr>
        <w:t>Makkah</w:t>
      </w:r>
      <w:r w:rsidRPr="00CF31E0">
        <w:rPr>
          <w:lang w:val="en-US" w:eastAsia="zh-CN"/>
        </w:rPr>
        <w:t xml:space="preserve"> was always perceived as the most distinctive, followed by Jeddah and finally Rabigh. </w:t>
      </w:r>
    </w:p>
    <w:p w14:paraId="7F6C9A04" w14:textId="45E79CE3" w:rsidR="00160CC4" w:rsidRPr="00CF31E0" w:rsidRDefault="00160CC4" w:rsidP="00603CB7">
      <w:pPr>
        <w:pStyle w:val="Paragraph"/>
        <w:rPr>
          <w:lang w:val="en-US" w:eastAsia="zh-CN"/>
        </w:rPr>
      </w:pPr>
      <w:r w:rsidRPr="00CF31E0">
        <w:rPr>
          <w:lang w:val="en-US" w:eastAsia="zh-CN"/>
        </w:rPr>
        <w:t xml:space="preserve">Two major limitations arose when piloting the methodology, which greatly informed the present study. First, for all of the three data collection tasks, some participants asked me an essential question, that is, in which dialect area should we include </w:t>
      </w:r>
      <w:r w:rsidR="00D30B2F">
        <w:rPr>
          <w:lang w:val="en-US" w:eastAsia="zh-CN"/>
        </w:rPr>
        <w:t>Makkah</w:t>
      </w:r>
      <w:r w:rsidRPr="00CF31E0">
        <w:rPr>
          <w:lang w:val="en-US" w:eastAsia="zh-CN"/>
        </w:rPr>
        <w:t xml:space="preserve"> or Jeddah, or even Rabigh; is it UBH Hijazi or HH Hijazi? Although not all participants asked this question, this does not guarantee that others </w:t>
      </w:r>
      <w:r w:rsidR="00D05B1D" w:rsidRPr="00CF31E0">
        <w:rPr>
          <w:lang w:val="en-US" w:eastAsia="zh-CN"/>
        </w:rPr>
        <w:t xml:space="preserve">had not </w:t>
      </w:r>
      <w:r w:rsidRPr="00CF31E0">
        <w:rPr>
          <w:lang w:val="en-US" w:eastAsia="zh-CN"/>
        </w:rPr>
        <w:t xml:space="preserve">thought of such an ambiguous issue. In other words, </w:t>
      </w:r>
      <w:r w:rsidR="00AD4854" w:rsidRPr="00CF31E0">
        <w:rPr>
          <w:lang w:val="en-US" w:eastAsia="zh-CN"/>
        </w:rPr>
        <w:t xml:space="preserve">geographical </w:t>
      </w:r>
      <w:r w:rsidRPr="00CF31E0">
        <w:rPr>
          <w:lang w:val="en-US" w:eastAsia="zh-CN"/>
        </w:rPr>
        <w:t>perceptions of regional varieties were less significant to some participants than perceptions of dialect variation in a single region, as there is a clear dichotomy between the UBH and HH dialects found in each Hijaz city. Therefore, I argue that investigating perceptual dialectology in the Hijaz region has to be conducted at a national and broad level, comparing it to all other regions in SA, rather than investigating the area regionally</w:t>
      </w:r>
      <w:r w:rsidR="00AD4854" w:rsidRPr="00CF31E0">
        <w:rPr>
          <w:lang w:val="en-US" w:eastAsia="zh-CN"/>
        </w:rPr>
        <w:t xml:space="preserve">. One such study that </w:t>
      </w:r>
      <w:r w:rsidR="00EA177E" w:rsidRPr="00CF31E0">
        <w:rPr>
          <w:lang w:val="en-US" w:eastAsia="zh-CN"/>
        </w:rPr>
        <w:t>took</w:t>
      </w:r>
      <w:r w:rsidR="00AD4854" w:rsidRPr="00CF31E0">
        <w:rPr>
          <w:lang w:val="en-US" w:eastAsia="zh-CN"/>
        </w:rPr>
        <w:t xml:space="preserve"> a national approach is </w:t>
      </w:r>
      <w:r w:rsidRPr="00CF31E0">
        <w:rPr>
          <w:lang w:val="en-US" w:eastAsia="zh-CN"/>
        </w:rPr>
        <w:t xml:space="preserve">the work done by </w:t>
      </w:r>
      <w:r w:rsidRPr="00CF31E0">
        <w:rPr>
          <w:lang w:val="en-US" w:eastAsia="zh-CN"/>
        </w:rPr>
        <w:fldChar w:fldCharType="begin"/>
      </w:r>
      <w:r w:rsidRPr="00CF31E0">
        <w:rPr>
          <w:lang w:val="en-US" w:eastAsia="zh-CN"/>
        </w:rPr>
        <w:instrText xml:space="preserve"> ADDIN ZOTERO_ITEM CSL_CITATION {"citationID":"a2g0hrhflol","properties":{"formattedCitation":"(A Alrumaih, 2002)","plainCitation":"(A Alrumaih, 2002)","noteIndex":0},"citationItems":[{"id":357,"uris":["http://zotero.org/users/1939618/items/RCNXI4E5"],"uri":["http://zotero.org/users/1939618/items/RCNXI4E5"],"itemData":{"id":357,"type":"thesis","title":"Najdi perceptions of Saudi regional speech","publisher":"Michigan state university","source":"ResearchGate","abstract":"Thesis (M.A.)--Michigan State University. Dept. of Linguistics and Languages, 2002. Includes bibliographical references","author":[{"family":"A Alrumaih","given":"Ahmad"}],"issued":{"date-parts":[["2002"]]}}}],"schema":"https://github.com/citation-style-language/schema/raw/master/csl-citation.json"} </w:instrText>
      </w:r>
      <w:r w:rsidRPr="00CF31E0">
        <w:rPr>
          <w:lang w:val="en-US" w:eastAsia="zh-CN"/>
        </w:rPr>
        <w:fldChar w:fldCharType="separate"/>
      </w:r>
      <w:r w:rsidRPr="00CF31E0">
        <w:rPr>
          <w:noProof/>
          <w:lang w:val="en-US" w:eastAsia="zh-CN"/>
        </w:rPr>
        <w:t xml:space="preserve">Alrumaih </w:t>
      </w:r>
      <w:r w:rsidR="008935F9" w:rsidRPr="00CF31E0">
        <w:rPr>
          <w:noProof/>
          <w:lang w:val="en-US" w:eastAsia="zh-CN"/>
        </w:rPr>
        <w:t>(</w:t>
      </w:r>
      <w:r w:rsidRPr="00CF31E0">
        <w:rPr>
          <w:noProof/>
          <w:lang w:val="en-US" w:eastAsia="zh-CN"/>
        </w:rPr>
        <w:t>2002)</w:t>
      </w:r>
      <w:r w:rsidRPr="00CF31E0">
        <w:rPr>
          <w:lang w:val="en-US" w:eastAsia="zh-CN"/>
        </w:rPr>
        <w:fldChar w:fldCharType="end"/>
      </w:r>
      <w:r w:rsidRPr="00CF31E0">
        <w:rPr>
          <w:lang w:val="en-US" w:eastAsia="zh-CN"/>
        </w:rPr>
        <w:t xml:space="preserve"> </w:t>
      </w:r>
      <w:r w:rsidR="008935F9" w:rsidRPr="00CF31E0">
        <w:rPr>
          <w:lang w:val="en-US" w:eastAsia="zh-CN"/>
        </w:rPr>
        <w:t>(</w:t>
      </w:r>
      <w:r w:rsidRPr="00CF31E0">
        <w:rPr>
          <w:lang w:val="en-US" w:eastAsia="zh-CN"/>
        </w:rPr>
        <w:t xml:space="preserve">see </w:t>
      </w:r>
      <w:r w:rsidR="00CE2B99" w:rsidRPr="00CF31E0">
        <w:rPr>
          <w:lang w:val="en-US" w:eastAsia="zh-CN"/>
        </w:rPr>
        <w:t>C</w:t>
      </w:r>
      <w:r w:rsidRPr="00CF31E0">
        <w:rPr>
          <w:lang w:val="en-US" w:eastAsia="zh-CN"/>
        </w:rPr>
        <w:t>hapter</w:t>
      </w:r>
      <w:r w:rsidR="00711120" w:rsidRPr="00CF31E0">
        <w:rPr>
          <w:lang w:val="en-US" w:eastAsia="zh-CN"/>
        </w:rPr>
        <w:t xml:space="preserve"> </w:t>
      </w:r>
      <w:r w:rsidR="00E16395" w:rsidRPr="00CF31E0">
        <w:rPr>
          <w:lang w:val="en-US" w:eastAsia="zh-CN"/>
        </w:rPr>
        <w:t xml:space="preserve">3, </w:t>
      </w:r>
      <w:r w:rsidRPr="00CF31E0">
        <w:rPr>
          <w:lang w:val="en-US" w:eastAsia="zh-CN"/>
        </w:rPr>
        <w:t>section</w:t>
      </w:r>
      <w:r w:rsidR="002B0D89" w:rsidRPr="00CF31E0">
        <w:rPr>
          <w:lang w:val="en-US" w:eastAsia="zh-CN"/>
        </w:rPr>
        <w:t xml:space="preserve"> </w:t>
      </w:r>
      <w:r w:rsidR="00E16395" w:rsidRPr="00CF31E0">
        <w:rPr>
          <w:lang w:val="en-US" w:eastAsia="zh-CN"/>
        </w:rPr>
        <w:t>3</w:t>
      </w:r>
      <w:r w:rsidR="002B0D89" w:rsidRPr="00CF31E0">
        <w:rPr>
          <w:lang w:val="en-US" w:eastAsia="zh-CN"/>
        </w:rPr>
        <w:t>.3.2</w:t>
      </w:r>
      <w:r w:rsidR="008935F9" w:rsidRPr="00CF31E0">
        <w:rPr>
          <w:lang w:val="en-US" w:eastAsia="zh-CN"/>
        </w:rPr>
        <w:t>)</w:t>
      </w:r>
      <w:r w:rsidRPr="00CF31E0">
        <w:rPr>
          <w:lang w:val="en-US" w:eastAsia="zh-CN"/>
        </w:rPr>
        <w:t>, wh</w:t>
      </w:r>
      <w:r w:rsidR="00AD4854" w:rsidRPr="00CF31E0">
        <w:rPr>
          <w:lang w:val="en-US" w:eastAsia="zh-CN"/>
        </w:rPr>
        <w:t>o</w:t>
      </w:r>
      <w:r w:rsidRPr="00CF31E0">
        <w:rPr>
          <w:lang w:val="en-US" w:eastAsia="zh-CN"/>
        </w:rPr>
        <w:t xml:space="preserve"> conducted a perceptual study across the whole of SA</w:t>
      </w:r>
      <w:r w:rsidR="00AD4854" w:rsidRPr="00CF31E0">
        <w:rPr>
          <w:lang w:val="en-US" w:eastAsia="zh-CN"/>
        </w:rPr>
        <w:t xml:space="preserve">. In this </w:t>
      </w:r>
      <w:r w:rsidR="00EA177E" w:rsidRPr="00CF31E0">
        <w:rPr>
          <w:lang w:val="en-US" w:eastAsia="zh-CN"/>
        </w:rPr>
        <w:t>research</w:t>
      </w:r>
      <w:r w:rsidRPr="00CF31E0">
        <w:rPr>
          <w:lang w:val="en-US" w:eastAsia="zh-CN"/>
        </w:rPr>
        <w:t xml:space="preserve">, Hijaz was perceived as one of the dialect areas on the SA map. This is because, as discussed in </w:t>
      </w:r>
      <w:r w:rsidR="007003C1" w:rsidRPr="00CF31E0">
        <w:rPr>
          <w:lang w:val="en-US" w:eastAsia="zh-CN"/>
        </w:rPr>
        <w:t>C</w:t>
      </w:r>
      <w:r w:rsidRPr="00CF31E0">
        <w:rPr>
          <w:lang w:val="en-US" w:eastAsia="zh-CN"/>
        </w:rPr>
        <w:t xml:space="preserve">hapter </w:t>
      </w:r>
      <w:r w:rsidR="00E16395" w:rsidRPr="00CF31E0">
        <w:rPr>
          <w:lang w:val="en-US" w:eastAsia="zh-CN"/>
        </w:rPr>
        <w:t>2</w:t>
      </w:r>
      <w:r w:rsidRPr="00CF31E0">
        <w:rPr>
          <w:lang w:val="en-US" w:eastAsia="zh-CN"/>
        </w:rPr>
        <w:t xml:space="preserve">, the Hijaz region has an ideologically complex nature which directly affected Hijazi people’s perceptions of dialects within the region being related to social groups rather than regional places. The above-mentioned limitation led me to consider investigating perceptions towards UBH and HH dialects in the Hijaz region </w:t>
      </w:r>
      <w:r w:rsidRPr="00CF31E0">
        <w:rPr>
          <w:lang w:val="en-US" w:eastAsia="zh-CN"/>
        </w:rPr>
        <w:lastRenderedPageBreak/>
        <w:t xml:space="preserve">from an attitudinal perspective. The present study still focuses on the Hijaz region but the approach is significantly different, which also affected the methodology. Simply put, rather than investigating the perceptual dialectology of the whole region, I only focus on the dialect dichotomy between the UBH and HH dialects within the whole region, which involves attitudes toward the dialects and perceptions towards the speech of each dialect. Further details on the development of the methodology will be provided throughout the chapter. </w:t>
      </w:r>
    </w:p>
    <w:p w14:paraId="045D8D4F" w14:textId="0B65A4FC" w:rsidR="00160CC4" w:rsidRPr="00CF31E0" w:rsidRDefault="00160CC4" w:rsidP="00603CB7">
      <w:pPr>
        <w:pStyle w:val="Paragraph"/>
        <w:rPr>
          <w:lang w:eastAsia="zh-CN"/>
        </w:rPr>
      </w:pPr>
      <w:r w:rsidRPr="00CF31E0">
        <w:rPr>
          <w:lang w:val="en-US" w:eastAsia="zh-CN"/>
        </w:rPr>
        <w:t>The second limitation that arose in the pilot study was related</w:t>
      </w:r>
      <w:r w:rsidRPr="00CF31E0">
        <w:rPr>
          <w:lang w:eastAsia="zh-CN"/>
        </w:rPr>
        <w:t xml:space="preserve"> to the choice of adjectives in the rating task. The adjective “pleasant” did not work in the Saudi context, that is, many students did not understand what these words imply. This is because I have taken these evaluative dimensions from studies conducted in other parts of the world such as the Western context. Therefore, these labels were not meaningful to Saudi participants who came from a completely different context. This means that what works in one context (i.e. the Western world) may does not work in another context (i.e. the Saudi context). However, I struggled to find an evaluative dimension in Arabic dialectology studies, and to my knowledge, no study has been conducted on the evaluative dimensions in Saudi dialectology in particular and in Arabic dialectology in general. Therefore, I decided to adhere to Garrett’s (2010) suggestion, see </w:t>
      </w:r>
      <w:r w:rsidR="007003C1" w:rsidRPr="00CF31E0">
        <w:rPr>
          <w:lang w:eastAsia="zh-CN"/>
        </w:rPr>
        <w:t>C</w:t>
      </w:r>
      <w:r w:rsidRPr="00CF31E0">
        <w:rPr>
          <w:lang w:eastAsia="zh-CN"/>
        </w:rPr>
        <w:t xml:space="preserve">hapter </w:t>
      </w:r>
      <w:r w:rsidR="00E16395" w:rsidRPr="00CF31E0">
        <w:rPr>
          <w:lang w:eastAsia="zh-CN"/>
        </w:rPr>
        <w:t xml:space="preserve">4, </w:t>
      </w:r>
      <w:r w:rsidR="00CE2B99" w:rsidRPr="00CF31E0">
        <w:rPr>
          <w:lang w:eastAsia="zh-CN"/>
        </w:rPr>
        <w:t>s</w:t>
      </w:r>
      <w:r w:rsidRPr="00CF31E0">
        <w:rPr>
          <w:lang w:eastAsia="zh-CN"/>
        </w:rPr>
        <w:t xml:space="preserve">ection </w:t>
      </w:r>
      <w:r w:rsidR="00E16395" w:rsidRPr="00CF31E0">
        <w:rPr>
          <w:lang w:eastAsia="zh-CN"/>
        </w:rPr>
        <w:t>4</w:t>
      </w:r>
      <w:r w:rsidR="002B0D89" w:rsidRPr="00CF31E0">
        <w:rPr>
          <w:lang w:eastAsia="zh-CN"/>
        </w:rPr>
        <w:t>.7.3</w:t>
      </w:r>
      <w:r w:rsidRPr="00CF31E0">
        <w:rPr>
          <w:lang w:eastAsia="zh-CN"/>
        </w:rPr>
        <w:t>, which involves discovering the evaluative dimension scales that are relevant to the research context. Most significantly, discovering evaluative dimension scales can inform theory and practice in Saudi dialect research. See section</w:t>
      </w:r>
      <w:r w:rsidR="002B0D89" w:rsidRPr="00CF31E0">
        <w:rPr>
          <w:lang w:eastAsia="zh-CN"/>
        </w:rPr>
        <w:t xml:space="preserve"> </w:t>
      </w:r>
      <w:r w:rsidR="00E16395" w:rsidRPr="00CF31E0">
        <w:rPr>
          <w:lang w:eastAsia="zh-CN"/>
        </w:rPr>
        <w:t>5</w:t>
      </w:r>
      <w:r w:rsidR="002B0D89" w:rsidRPr="00CF31E0">
        <w:rPr>
          <w:lang w:eastAsia="zh-CN"/>
        </w:rPr>
        <w:t>.4</w:t>
      </w:r>
      <w:r w:rsidRPr="00CF31E0">
        <w:rPr>
          <w:lang w:eastAsia="zh-CN"/>
        </w:rPr>
        <w:t xml:space="preserve"> below for information on the development of a methodology for the scale dimensions. </w:t>
      </w:r>
    </w:p>
    <w:p w14:paraId="0D23C6C0" w14:textId="51340AC4" w:rsidR="00C909FF" w:rsidRPr="00CF31E0" w:rsidRDefault="00C909FF" w:rsidP="00603CB7">
      <w:pPr>
        <w:pStyle w:val="Paragraph"/>
        <w:rPr>
          <w:lang w:eastAsia="zh-CN"/>
        </w:rPr>
      </w:pPr>
      <w:r w:rsidRPr="00CF31E0">
        <w:rPr>
          <w:lang w:eastAsia="zh-CN"/>
        </w:rPr>
        <w:t xml:space="preserve">Having discussed the pilot study and its limitations, in the next section, I will </w:t>
      </w:r>
      <w:r w:rsidR="00C05B28" w:rsidRPr="00CF31E0">
        <w:rPr>
          <w:lang w:eastAsia="zh-CN"/>
        </w:rPr>
        <w:t xml:space="preserve">begin to outline the </w:t>
      </w:r>
      <w:r w:rsidRPr="00CF31E0">
        <w:rPr>
          <w:lang w:eastAsia="zh-CN"/>
        </w:rPr>
        <w:t xml:space="preserve">population and sampling of the final methodology. </w:t>
      </w:r>
    </w:p>
    <w:p w14:paraId="1402BAF0" w14:textId="77777777" w:rsidR="00160CC4" w:rsidRPr="00CF31E0" w:rsidRDefault="00160CC4" w:rsidP="00160CC4">
      <w:pPr>
        <w:spacing w:before="120" w:after="120" w:line="360" w:lineRule="auto"/>
        <w:jc w:val="both"/>
        <w:rPr>
          <w:rFonts w:eastAsia="Times New Roman"/>
          <w:color w:val="000000" w:themeColor="text1"/>
          <w:szCs w:val="22"/>
          <w:lang w:eastAsia="zh-CN"/>
        </w:rPr>
      </w:pPr>
    </w:p>
    <w:p w14:paraId="47CA353F" w14:textId="3BD65314" w:rsidR="00160CC4" w:rsidRPr="00CF31E0" w:rsidRDefault="003101EF" w:rsidP="00603CB7">
      <w:pPr>
        <w:pStyle w:val="Ahead"/>
        <w:ind w:left="0" w:firstLine="0"/>
        <w:rPr>
          <w:rFonts w:eastAsia="Times New Roman"/>
        </w:rPr>
      </w:pPr>
      <w:bookmarkStart w:id="268" w:name="_Toc502746050"/>
      <w:bookmarkStart w:id="269" w:name="_Toc6472667"/>
      <w:r w:rsidRPr="00CF31E0">
        <w:rPr>
          <w:rFonts w:eastAsia="Times New Roman"/>
        </w:rPr>
        <w:lastRenderedPageBreak/>
        <w:t>5.3.</w:t>
      </w:r>
      <w:r w:rsidRPr="00CF31E0">
        <w:rPr>
          <w:rFonts w:eastAsia="Times New Roman"/>
        </w:rPr>
        <w:tab/>
      </w:r>
      <w:r w:rsidR="00160CC4" w:rsidRPr="00CF31E0">
        <w:rPr>
          <w:rFonts w:eastAsia="Times New Roman"/>
        </w:rPr>
        <w:t>Population and sampling</w:t>
      </w:r>
      <w:bookmarkEnd w:id="268"/>
      <w:bookmarkEnd w:id="269"/>
      <w:r w:rsidR="00160CC4" w:rsidRPr="00CF31E0">
        <w:rPr>
          <w:rFonts w:eastAsia="Times New Roman"/>
        </w:rPr>
        <w:t xml:space="preserve"> </w:t>
      </w:r>
    </w:p>
    <w:p w14:paraId="3369843C" w14:textId="0C0367BA" w:rsidR="00160CC4" w:rsidRPr="00CF31E0" w:rsidRDefault="00160CC4" w:rsidP="00603CB7">
      <w:pPr>
        <w:pStyle w:val="Paragraph"/>
        <w:rPr>
          <w:lang w:eastAsia="zh-CN"/>
        </w:rPr>
      </w:pPr>
      <w:r w:rsidRPr="00CF31E0">
        <w:rPr>
          <w:lang w:eastAsia="zh-CN"/>
        </w:rPr>
        <w:t>The population of t</w:t>
      </w:r>
      <w:r w:rsidR="0078362E" w:rsidRPr="00CF31E0">
        <w:rPr>
          <w:lang w:eastAsia="zh-CN"/>
        </w:rPr>
        <w:t>he study included all UBH</w:t>
      </w:r>
      <w:r w:rsidRPr="00CF31E0">
        <w:rPr>
          <w:lang w:eastAsia="zh-CN"/>
        </w:rPr>
        <w:t xml:space="preserve"> and HH Hijazi Saudis aged 18 years old and over. This particular population was chosen because the purpose of the research was to test the perceptions of the aforementioned social groups towards their own dialect and the other group’s dialect. A single-stage sampling design is used for this population, where accessing and sampling the population occurs simultaneously. This meant that I did not need to select certain participants from the available sample in the research procedure. With regard to sampling techniques, I will discuss these fully in association with each questionnaire format throughout this piece of research. </w:t>
      </w:r>
    </w:p>
    <w:p w14:paraId="6E2036D8" w14:textId="548DEF6C" w:rsidR="00160CC4" w:rsidRPr="00CF31E0" w:rsidRDefault="003101EF" w:rsidP="00E87209">
      <w:pPr>
        <w:pStyle w:val="Ahead"/>
        <w:rPr>
          <w:rFonts w:eastAsia="Times New Roman"/>
        </w:rPr>
      </w:pPr>
      <w:bookmarkStart w:id="270" w:name="_Toc6472668"/>
      <w:r w:rsidRPr="00CF31E0">
        <w:rPr>
          <w:rFonts w:eastAsia="Times New Roman"/>
        </w:rPr>
        <w:t>5</w:t>
      </w:r>
      <w:r w:rsidR="005313BF" w:rsidRPr="00CF31E0">
        <w:rPr>
          <w:rFonts w:eastAsia="Times New Roman"/>
        </w:rPr>
        <w:t>.4.</w:t>
      </w:r>
      <w:r w:rsidR="005313BF" w:rsidRPr="00CF31E0">
        <w:rPr>
          <w:rFonts w:eastAsia="Times New Roman"/>
        </w:rPr>
        <w:tab/>
      </w:r>
      <w:r w:rsidR="00160CC4" w:rsidRPr="00CF31E0">
        <w:rPr>
          <w:rFonts w:eastAsia="Times New Roman"/>
        </w:rPr>
        <w:t>Approaches in the study</w:t>
      </w:r>
      <w:bookmarkEnd w:id="270"/>
    </w:p>
    <w:p w14:paraId="64E4F208" w14:textId="4BDC49CC" w:rsidR="00160CC4" w:rsidRPr="00CF31E0" w:rsidRDefault="00160CC4" w:rsidP="00603CB7">
      <w:pPr>
        <w:pStyle w:val="Paragraph"/>
        <w:rPr>
          <w:lang w:eastAsia="zh-CN"/>
        </w:rPr>
      </w:pPr>
      <w:r w:rsidRPr="00CF31E0">
        <w:rPr>
          <w:lang w:eastAsia="zh-CN"/>
        </w:rPr>
        <w:t>In the present study</w:t>
      </w:r>
      <w:r w:rsidR="00647A86" w:rsidRPr="00CF31E0">
        <w:rPr>
          <w:lang w:eastAsia="zh-CN"/>
        </w:rPr>
        <w:t>,</w:t>
      </w:r>
      <w:r w:rsidRPr="00CF31E0">
        <w:rPr>
          <w:lang w:eastAsia="zh-CN"/>
        </w:rPr>
        <w:t xml:space="preserve"> I adopted an integrated approach where I used both a direct and indirect approach to study Hijazi Saudi attitudes to dialect variation in Hijaz</w:t>
      </w:r>
      <w:r w:rsidR="002B0D89" w:rsidRPr="00CF31E0">
        <w:rPr>
          <w:lang w:eastAsia="zh-CN"/>
        </w:rPr>
        <w:t>.</w:t>
      </w:r>
      <w:r w:rsidRPr="00CF31E0">
        <w:rPr>
          <w:lang w:eastAsia="zh-CN"/>
        </w:rPr>
        <w:t xml:space="preserve"> </w:t>
      </w:r>
      <w:r w:rsidR="00880551" w:rsidRPr="00CF31E0">
        <w:rPr>
          <w:lang w:eastAsia="zh-CN"/>
        </w:rPr>
        <w:t xml:space="preserve">My </w:t>
      </w:r>
      <w:r w:rsidRPr="00CF31E0">
        <w:rPr>
          <w:lang w:eastAsia="zh-CN"/>
        </w:rPr>
        <w:t xml:space="preserve">approach uses methods from language regards including language attitude research, perceptual dialectology and perceptions of speech sound research, </w:t>
      </w:r>
      <w:r w:rsidR="00880551" w:rsidRPr="00CF31E0">
        <w:rPr>
          <w:lang w:eastAsia="zh-CN"/>
        </w:rPr>
        <w:t xml:space="preserve">and I </w:t>
      </w:r>
      <w:r w:rsidRPr="00CF31E0">
        <w:rPr>
          <w:lang w:eastAsia="zh-CN"/>
        </w:rPr>
        <w:t>propos</w:t>
      </w:r>
      <w:r w:rsidR="00880551" w:rsidRPr="00CF31E0">
        <w:rPr>
          <w:lang w:eastAsia="zh-CN"/>
        </w:rPr>
        <w:t>e</w:t>
      </w:r>
      <w:r w:rsidRPr="00CF31E0">
        <w:rPr>
          <w:lang w:eastAsia="zh-CN"/>
        </w:rPr>
        <w:t xml:space="preserve"> that those fields can greatly benefit from using each other’s methodologies. The integrated approach will help the present study to obtain a rich picture of language attitudes in Hijaz, where different parts of the findings from different approaches can be compared to discover whether there are similar patterns.</w:t>
      </w:r>
    </w:p>
    <w:p w14:paraId="3E25F699" w14:textId="6D514691" w:rsidR="00160CC4" w:rsidRPr="00CF31E0" w:rsidRDefault="00160CC4" w:rsidP="00603CB7">
      <w:pPr>
        <w:pStyle w:val="Paragraph"/>
        <w:rPr>
          <w:lang w:eastAsia="zh-CN"/>
        </w:rPr>
      </w:pPr>
      <w:r w:rsidRPr="00CF31E0">
        <w:rPr>
          <w:lang w:eastAsia="zh-CN"/>
        </w:rPr>
        <w:t xml:space="preserve">The direct approach is used in </w:t>
      </w:r>
      <w:r w:rsidR="002A2D8D">
        <w:rPr>
          <w:lang w:eastAsia="zh-CN"/>
        </w:rPr>
        <w:t>five</w:t>
      </w:r>
      <w:r w:rsidRPr="00CF31E0">
        <w:rPr>
          <w:lang w:eastAsia="zh-CN"/>
        </w:rPr>
        <w:t xml:space="preserve"> sections in the questionnaire. First, as I discussed in </w:t>
      </w:r>
      <w:r w:rsidR="00CE2B99" w:rsidRPr="00CF31E0">
        <w:rPr>
          <w:lang w:eastAsia="zh-CN"/>
        </w:rPr>
        <w:t>C</w:t>
      </w:r>
      <w:r w:rsidRPr="00CF31E0">
        <w:rPr>
          <w:lang w:eastAsia="zh-CN"/>
        </w:rPr>
        <w:t>hapter</w:t>
      </w:r>
      <w:r w:rsidR="00EB4E04" w:rsidRPr="00CF31E0">
        <w:rPr>
          <w:lang w:eastAsia="zh-CN"/>
        </w:rPr>
        <w:t xml:space="preserve"> </w:t>
      </w:r>
      <w:r w:rsidR="003101EF" w:rsidRPr="00CF31E0">
        <w:rPr>
          <w:lang w:eastAsia="zh-CN"/>
        </w:rPr>
        <w:t xml:space="preserve">2, </w:t>
      </w:r>
      <w:r w:rsidRPr="00CF31E0">
        <w:rPr>
          <w:lang w:eastAsia="zh-CN"/>
        </w:rPr>
        <w:t>sectio</w:t>
      </w:r>
      <w:r w:rsidR="00EB4E04" w:rsidRPr="00CF31E0">
        <w:rPr>
          <w:lang w:eastAsia="zh-CN"/>
        </w:rPr>
        <w:t xml:space="preserve">n </w:t>
      </w:r>
      <w:r w:rsidR="003101EF" w:rsidRPr="00CF31E0">
        <w:rPr>
          <w:lang w:eastAsia="zh-CN"/>
        </w:rPr>
        <w:t>2</w:t>
      </w:r>
      <w:r w:rsidR="00EB4E04" w:rsidRPr="00CF31E0">
        <w:rPr>
          <w:lang w:eastAsia="zh-CN"/>
        </w:rPr>
        <w:t>.17</w:t>
      </w:r>
      <w:r w:rsidRPr="00CF31E0">
        <w:rPr>
          <w:lang w:eastAsia="zh-CN"/>
        </w:rPr>
        <w:t xml:space="preserve">, I struggled to find research-based sources describing the linguistic and social situation of the two dialects in the Hijaz region as little research has been conducted in this context. I decided to include a section in the questionnaire where direct questioning is used to tap into the general sociolinguistic situation in the region, such as the </w:t>
      </w:r>
      <w:r w:rsidR="00C05B28" w:rsidRPr="00CF31E0">
        <w:rPr>
          <w:lang w:eastAsia="zh-CN"/>
        </w:rPr>
        <w:t xml:space="preserve">studies </w:t>
      </w:r>
      <w:r w:rsidRPr="00CF31E0">
        <w:rPr>
          <w:lang w:eastAsia="zh-CN"/>
        </w:rPr>
        <w:t xml:space="preserve">conducted by </w:t>
      </w:r>
      <w:r w:rsidRPr="00CF31E0">
        <w:rPr>
          <w:lang w:eastAsia="zh-CN"/>
        </w:rPr>
        <w:fldChar w:fldCharType="begin"/>
      </w:r>
      <w:r w:rsidRPr="00CF31E0">
        <w:rPr>
          <w:lang w:eastAsia="zh-CN"/>
        </w:rPr>
        <w:instrText xml:space="preserve"> ADDIN ZOTERO_ITEM CSL_CITATION {"citationID":"a1m6tdkkdkc","properties":{"formattedCitation":"(Garrett, Bishop, &amp; Coupland, 2009; Garrett et al., 2005b; Giles, 1970; MacKinnon, 1981)","plainCitation":"(Garrett, Bishop, &amp; Coupland, 2009; Garrett et al., 2005b; Giles, 1970; MacKinnon, 1981)","noteIndex":0},"citationItems":[{"id":334,"uris":["http://zotero.org/users/1939618/items/66HZN4X8"],"uri":["http://zotero.org/users/1939618/items/66HZN4X8"],"itemData":{"id":334,"type":"article-journal","title":"Diasporic ethnolinguistic subjectivities: Patagonia, North America, and Wales","container-title":"International Journal of the Sociology of Language","volume":"2009","issue":"195","source":"CrossRef","abstract":"A total of 956 informants with links to Wales — from Patagonia, North America, and Wales itself — completed a questionnaire investigating their Welsh identities and a‰liation, their images of Wales, their engagement with Welsh cultural practices, and their perceptions of the ethnolinguistic vitality of the Welsh language and of domain priorities for the use of Welsh. These three groups produced systematic variation across many of the issues in this study. Overall, for example, the North Americans oriented their Welshness to Wales itself, and in particular in the history and heritage of Wales, while the Patagonians and the Welsh anchored their Welsh identity within their own contexts, and with less focus on the history and heritage of Wales. The results o¤er insights into the complexity of ‘‘home’’ and ‘‘diaspora’’ relationships, historical and geo-cultural di¤erences, and their impact on Welsh cultural authenticity and ethnolinguistic subjectivities.","URL":"https://www.degruyter.com/view/j/ijsl.2009.2009.issue-195/ijsl.2009.010/ijsl.2009.010.xml","DOI":"10.1515/IJSL.2009.010","ISSN":"0165-2516, 1613-3668","shortTitle":"Diasporic ethnolinguistic subjectivities","author":[{"family":"Garrett","given":"Peter"},{"family":"Bishop","given":"Hywel"},{"family":"Coupland","given":"Nikolas"}],"issued":{"date-parts":[["2009",1]]},"accessed":{"date-parts":[["2018",3,15]]}},"label":"page"},{"id":326,"uris":["http://zotero.org/users/1939618/items/CTAELXKB"],"uri":["http://zotero.org/users/1939618/items/CTAELXKB"],"itemData":{"id":326,"type":"article-journal","title":"Attitudinal data from New Zealand, Australia, the USA and UK about each other’s Englishes: Recent changes or consequences of methodologies?","container-title":"Multilingua","page":"211–235","volume":"24","issue":"3","source":"DeGruyter","abstract":"Recent attitudinal research by Bayard et al. (2001) suggested changes in the comparative evaluations of Australian, New Zealand, US and English Englishes, with US English on its way to becoming the preferred variety. We revisit these attitudes after a period of political change in the US, and using a research methodology in line with folklinguistic approaches to attitudes research (e. g. Preston 1996). Convenience samples of respondents in these four countries were asked to identify the countries where they knew English was spoken as a native language, and then quickly to write down their first reactions to those varieties. US English was viewed strikingly negatively in terms of its affective associations, and there were references to ‘excess’ from all respondent groups (e. g. overassertive, overenthusiastic). And, against expectations, the affective profile of English English was not overwhelmingly negative for all groups of respondents. We consider the results in relation to the findings and methods of the earlier studies, and also briefly consider the different statuses of these varieties in terms of the current discussion of late modernity and of different standard varieties (e. g. Kristiansen 2001b) serving different aspects of social life.","DOI":"10.1515/mult.2005.24.3.211","ISSN":"1613-3684","shortTitle":"Attitudinal data from New Zealand, Australia, the USA and UK about each other’s Englishes","author":[{"family":"Garrett","given":"Peter"},{"family":"Williams","given":"Angie"},{"family":"Evans","given":"Betsy"}],"issued":{"date-parts":[["2005"]]}},"label":"page"},{"id":62,"uris":["http://zotero.org/users/1939618/items/ZXQ48QBG"],"uri":["http://zotero.org/users/1939618/items/ZXQ48QBG"],"itemData":{"id":62,"type":"article-journal","title":"Evaluative reactions to accents","container-title":"Educational review","page":"211–227","volume":"22","issue":"3","source":"Google Scholar","author":[{"family":"Giles","given":"Howard"}],"issued":{"date-parts":[["1970"]]}},"label":"page"},{"id":354,"uris":["http://zotero.org/users/1939618/items/BBHS4QHI"],"uri":["http://zotero.org/users/1939618/items/BBHS4QHI"],"itemData":{"id":354,"type":"book","title":"Scottish opinion on Gaelic","publisher":"Hatfield Polytechnic Social Science Research Publication SS14","author":[{"family":"MacKinnon","given":"K"}],"issued":{"date-parts":[["1981"]]}},"label":"page"}],"schema":"https://github.com/citation-style-language/schema/raw/master/csl-citation.json"} </w:instrText>
      </w:r>
      <w:r w:rsidRPr="00CF31E0">
        <w:rPr>
          <w:lang w:eastAsia="zh-CN"/>
        </w:rPr>
        <w:fldChar w:fldCharType="separate"/>
      </w:r>
      <w:r w:rsidR="00924EFC" w:rsidRPr="00CF31E0">
        <w:rPr>
          <w:noProof/>
          <w:lang w:eastAsia="zh-CN"/>
        </w:rPr>
        <w:t xml:space="preserve">Garrett et al. </w:t>
      </w:r>
      <w:r w:rsidR="00C05B28" w:rsidRPr="00CF31E0">
        <w:rPr>
          <w:noProof/>
          <w:lang w:eastAsia="zh-CN"/>
        </w:rPr>
        <w:t>(</w:t>
      </w:r>
      <w:r w:rsidR="00924EFC" w:rsidRPr="00CF31E0">
        <w:rPr>
          <w:noProof/>
          <w:lang w:eastAsia="zh-CN"/>
        </w:rPr>
        <w:t>2005b</w:t>
      </w:r>
      <w:r w:rsidR="00C05B28" w:rsidRPr="00CF31E0">
        <w:rPr>
          <w:noProof/>
          <w:lang w:eastAsia="zh-CN"/>
        </w:rPr>
        <w:t xml:space="preserve">), </w:t>
      </w:r>
      <w:r w:rsidRPr="00CF31E0">
        <w:rPr>
          <w:noProof/>
          <w:lang w:eastAsia="zh-CN"/>
        </w:rPr>
        <w:t>Garrett</w:t>
      </w:r>
      <w:r w:rsidR="00924EFC" w:rsidRPr="00CF31E0">
        <w:rPr>
          <w:noProof/>
          <w:lang w:eastAsia="zh-CN"/>
        </w:rPr>
        <w:t xml:space="preserve"> et al.</w:t>
      </w:r>
      <w:r w:rsidR="00EE0752" w:rsidRPr="00CF31E0">
        <w:rPr>
          <w:noProof/>
          <w:lang w:eastAsia="zh-CN"/>
        </w:rPr>
        <w:t xml:space="preserve"> </w:t>
      </w:r>
      <w:r w:rsidR="00C05B28" w:rsidRPr="00CF31E0">
        <w:rPr>
          <w:noProof/>
          <w:lang w:eastAsia="zh-CN"/>
        </w:rPr>
        <w:t>(</w:t>
      </w:r>
      <w:r w:rsidR="00EE0752" w:rsidRPr="00CF31E0">
        <w:rPr>
          <w:noProof/>
          <w:lang w:eastAsia="zh-CN"/>
        </w:rPr>
        <w:t>2009</w:t>
      </w:r>
      <w:r w:rsidR="00C05B28" w:rsidRPr="00CF31E0">
        <w:rPr>
          <w:noProof/>
          <w:lang w:eastAsia="zh-CN"/>
        </w:rPr>
        <w:t>)</w:t>
      </w:r>
      <w:r w:rsidR="00EE0752" w:rsidRPr="00CF31E0">
        <w:rPr>
          <w:noProof/>
          <w:lang w:eastAsia="zh-CN"/>
        </w:rPr>
        <w:t xml:space="preserve"> </w:t>
      </w:r>
      <w:r w:rsidR="00C05B28" w:rsidRPr="00CF31E0">
        <w:rPr>
          <w:noProof/>
          <w:lang w:eastAsia="zh-CN"/>
        </w:rPr>
        <w:t xml:space="preserve">and </w:t>
      </w:r>
      <w:r w:rsidR="00EE0752" w:rsidRPr="00CF31E0">
        <w:rPr>
          <w:noProof/>
          <w:lang w:eastAsia="zh-CN"/>
        </w:rPr>
        <w:t xml:space="preserve">Giles </w:t>
      </w:r>
      <w:r w:rsidR="002A2D8D">
        <w:rPr>
          <w:noProof/>
          <w:lang w:eastAsia="zh-CN"/>
        </w:rPr>
        <w:t>(</w:t>
      </w:r>
      <w:r w:rsidR="00EE0752" w:rsidRPr="00CF31E0">
        <w:rPr>
          <w:noProof/>
          <w:lang w:eastAsia="zh-CN"/>
        </w:rPr>
        <w:t>1970</w:t>
      </w:r>
      <w:r w:rsidRPr="00CF31E0">
        <w:rPr>
          <w:noProof/>
          <w:lang w:eastAsia="zh-CN"/>
        </w:rPr>
        <w:t>)</w:t>
      </w:r>
      <w:r w:rsidRPr="00CF31E0">
        <w:rPr>
          <w:lang w:eastAsia="zh-CN"/>
        </w:rPr>
        <w:fldChar w:fldCharType="end"/>
      </w:r>
      <w:r w:rsidR="00C05B28" w:rsidRPr="00CF31E0">
        <w:rPr>
          <w:lang w:eastAsia="zh-CN"/>
        </w:rPr>
        <w:t xml:space="preserve">, </w:t>
      </w:r>
      <w:r w:rsidR="00EB4E04" w:rsidRPr="00CF31E0">
        <w:rPr>
          <w:lang w:eastAsia="zh-CN"/>
        </w:rPr>
        <w:t>which were discussed in</w:t>
      </w:r>
      <w:r w:rsidRPr="00CF31E0">
        <w:rPr>
          <w:lang w:eastAsia="zh-CN"/>
        </w:rPr>
        <w:t xml:space="preserve"> </w:t>
      </w:r>
      <w:r w:rsidR="00CE2B99" w:rsidRPr="00CF31E0">
        <w:rPr>
          <w:lang w:eastAsia="zh-CN"/>
        </w:rPr>
        <w:t>C</w:t>
      </w:r>
      <w:r w:rsidRPr="00CF31E0">
        <w:rPr>
          <w:lang w:eastAsia="zh-CN"/>
        </w:rPr>
        <w:t>hapter</w:t>
      </w:r>
      <w:r w:rsidR="00EB4E04" w:rsidRPr="00CF31E0">
        <w:rPr>
          <w:lang w:eastAsia="zh-CN"/>
        </w:rPr>
        <w:t xml:space="preserve"> </w:t>
      </w:r>
      <w:r w:rsidR="003101EF" w:rsidRPr="00CF31E0">
        <w:rPr>
          <w:lang w:eastAsia="zh-CN"/>
        </w:rPr>
        <w:t>4</w:t>
      </w:r>
      <w:r w:rsidRPr="00CF31E0">
        <w:rPr>
          <w:lang w:eastAsia="zh-CN"/>
        </w:rPr>
        <w:t xml:space="preserve">. This broad and general attitude paves the way for the other parts in the study. In order to achieve </w:t>
      </w:r>
      <w:r w:rsidRPr="00CF31E0">
        <w:rPr>
          <w:lang w:eastAsia="zh-CN"/>
        </w:rPr>
        <w:lastRenderedPageBreak/>
        <w:t>this purpose, I included a close-ended item questionnaire, with a multiple</w:t>
      </w:r>
      <w:r w:rsidR="00C86BDA" w:rsidRPr="00CF31E0">
        <w:rPr>
          <w:lang w:eastAsia="zh-CN"/>
        </w:rPr>
        <w:t>-choice</w:t>
      </w:r>
      <w:r w:rsidRPr="00CF31E0">
        <w:rPr>
          <w:lang w:eastAsia="zh-CN"/>
        </w:rPr>
        <w:t xml:space="preserve"> technique; further details will be given below in section</w:t>
      </w:r>
      <w:r w:rsidR="00EB4E04" w:rsidRPr="00CF31E0">
        <w:rPr>
          <w:lang w:eastAsia="zh-CN"/>
        </w:rPr>
        <w:t xml:space="preserve"> </w:t>
      </w:r>
      <w:r w:rsidR="003101EF" w:rsidRPr="00CF31E0">
        <w:rPr>
          <w:lang w:eastAsia="zh-CN"/>
        </w:rPr>
        <w:t>5</w:t>
      </w:r>
      <w:r w:rsidR="00EB4E04" w:rsidRPr="00CF31E0">
        <w:rPr>
          <w:lang w:eastAsia="zh-CN"/>
        </w:rPr>
        <w:t xml:space="preserve">.5.2.2. </w:t>
      </w:r>
      <w:r w:rsidRPr="00CF31E0">
        <w:rPr>
          <w:lang w:eastAsia="zh-CN"/>
        </w:rPr>
        <w:t xml:space="preserve"> </w:t>
      </w:r>
    </w:p>
    <w:p w14:paraId="51720F51" w14:textId="4FBC8A17" w:rsidR="00160CC4" w:rsidRPr="00CF31E0" w:rsidRDefault="00160CC4" w:rsidP="00603CB7">
      <w:pPr>
        <w:pStyle w:val="Paragraph"/>
        <w:rPr>
          <w:lang w:eastAsia="zh-CN"/>
        </w:rPr>
      </w:pPr>
      <w:r w:rsidRPr="00CF31E0">
        <w:rPr>
          <w:lang w:eastAsia="zh-CN"/>
        </w:rPr>
        <w:t xml:space="preserve">Second, the need for rating Hijazi dialects is of great importance for studying language variation and change in the Saudi context. The dialects can be rated against different labels on the sematic differential scale. </w:t>
      </w:r>
      <w:r w:rsidRPr="00CF31E0">
        <w:rPr>
          <w:rFonts w:eastAsia="MS Mincho"/>
          <w:lang w:eastAsia="en-US"/>
        </w:rPr>
        <w:t xml:space="preserve">Since taking ready-made labels from previous research constituted a major limitation in the pilot study, see section </w:t>
      </w:r>
      <w:r w:rsidR="003101EF" w:rsidRPr="00CF31E0">
        <w:rPr>
          <w:rFonts w:eastAsia="MS Mincho"/>
          <w:lang w:eastAsia="en-US"/>
        </w:rPr>
        <w:t>5</w:t>
      </w:r>
      <w:r w:rsidR="00EB4E04" w:rsidRPr="00CF31E0">
        <w:rPr>
          <w:rFonts w:eastAsia="MS Mincho"/>
          <w:lang w:eastAsia="en-US"/>
        </w:rPr>
        <w:t xml:space="preserve">.2 </w:t>
      </w:r>
      <w:r w:rsidRPr="00CF31E0">
        <w:rPr>
          <w:rFonts w:eastAsia="MS Mincho"/>
          <w:lang w:eastAsia="en-US"/>
        </w:rPr>
        <w:t xml:space="preserve">above, </w:t>
      </w:r>
      <w:r w:rsidRPr="00CF31E0">
        <w:rPr>
          <w:lang w:eastAsia="zh-CN"/>
        </w:rPr>
        <w:t xml:space="preserve">I therefore adopted a direct approach using a keyword technique followed by a semantic differential scale to reveal how Hijazi dialects are perceived by Hijazi participants. </w:t>
      </w:r>
    </w:p>
    <w:p w14:paraId="1FC2780F" w14:textId="4ED6955C" w:rsidR="00160CC4" w:rsidRPr="00CF31E0" w:rsidRDefault="00160CC4" w:rsidP="00603CB7">
      <w:pPr>
        <w:pStyle w:val="Paragraph"/>
        <w:rPr>
          <w:lang w:eastAsia="zh-CN"/>
        </w:rPr>
      </w:pPr>
      <w:r w:rsidRPr="00CF31E0">
        <w:rPr>
          <w:lang w:eastAsia="zh-CN"/>
        </w:rPr>
        <w:t xml:space="preserve">The keyword technique, where participants jot down dialect characteristics, is widely used in language attitude research </w:t>
      </w:r>
      <w:r w:rsidRPr="00CF31E0">
        <w:rPr>
          <w:lang w:eastAsia="zh-CN"/>
        </w:rPr>
        <w:fldChar w:fldCharType="begin"/>
      </w:r>
      <w:r w:rsidRPr="00CF31E0">
        <w:rPr>
          <w:lang w:eastAsia="zh-CN"/>
        </w:rPr>
        <w:instrText xml:space="preserve"> ADDIN ZOTERO_ITEM CSL_CITATION {"citationID":"a11s2u8g245","properties":{"formattedCitation":"(Garrett et al., 2005a, 2005b; Price, Fluck, &amp; Giles, 1983)","plainCitation":"(Garrett et al., 2005a, 2005b; Price, Fluck, &amp; Giles, 1983)","noteIndex":0},"citationItems":[{"id":298,"uris":["http://zotero.org/users/1939618/items/VGGFH99T"],"uri":["http://zotero.org/users/1939618/items/VGGFH99T"],"itemData":{"id":298,"type":"article-journal","title":"Accessing social meanings: Values of keywords, values in keywords","container-title":"Acta Linguistica Hafniensia","page":"37–54","volume":"37","issue":"1","source":"Google Scholar","shortTitle":"Accessing social meanings","author":[{"family":"Garrett","given":"Peter"},{"family":"Williams","given":"Angie"},{"family":"Evans","given":"Betsy"}],"issued":{"date-parts":[["2005"]]}},"label":"page"},{"id":326,"uris":["http://zotero.org/users/1939618/items/CTAELXKB"],"uri":["http://zotero.org/users/1939618/items/CTAELXKB"],"itemData":{"id":326,"type":"article-journal","title":"Attitudinal data from New Zealand, Australia, the USA and UK about each other’s Englishes: Recent changes or consequences of methodologies?","container-title":"Multilingua","page":"211–235","volume":"24","issue":"3","source":"DeGruyter","abstract":"Recent attitudinal research by Bayard et al. (2001) suggested changes in the comparative evaluations of Australian, New Zealand, US and English Englishes, with US English on its way to becoming the preferred variety. We revisit these attitudes after a period of political change in the US, and using a research methodology in line with folklinguistic approaches to attitudes research (e. g. Preston 1996). Convenience samples of respondents in these four countries were asked to identify the countries where they knew English was spoken as a native language, and then quickly to write down their first reactions to those varieties. US English was viewed strikingly negatively in terms of its affective associations, and there were references to ‘excess’ from all respondent groups (e. g. overassertive, overenthusiastic). And, against expectations, the affective profile of English English was not overwhelmingly negative for all groups of respondents. We consider the results in relation to the findings and methods of the earlier studies, and also briefly consider the different statuses of these varieties in terms of the current discussion of late modernity and of different standard varieties (e. g. Kristiansen 2001b) serving different aspects of social life.","DOI":"10.1515/mult.2005.24.3.211","ISSN":"1613-3684","shortTitle":"Attitudinal data from New Zealand, Australia, the USA and UK about each other’s Englishes","author":[{"family":"Garrett","given":"Peter"},{"family":"Williams","given":"Angie"},{"family":"Evans","given":"Betsy"}],"issued":{"date-parts":[["2005"]]}},"label":"page"},{"id":338,"uris":["http://zotero.org/users/1939618/items/65BQ35JN"],"uri":["http://zotero.org/users/1939618/items/65BQ35JN"],"itemData":{"id":338,"type":"article-journal","title":"The effects of language of testing on bilingual pre</w:instrText>
      </w:r>
      <w:r w:rsidRPr="00CF31E0">
        <w:rPr>
          <w:rFonts w:ascii="Calibri" w:eastAsia="Calibri" w:hAnsi="Calibri" w:cs="Calibri"/>
          <w:lang w:eastAsia="zh-CN"/>
        </w:rPr>
        <w:instrText>‐</w:instrText>
      </w:r>
      <w:r w:rsidRPr="00CF31E0">
        <w:rPr>
          <w:lang w:eastAsia="zh-CN"/>
        </w:rPr>
        <w:instrText>adolescents’ attitudes towards welsh and varieties of English","container-title":"Journal of Multilingual and Multicultural Development","page":"149–161","volume":"4","issue":"2-3","source":"find.shef.ac.uk","abstract":"This study, using the matched</w:instrText>
      </w:r>
      <w:r w:rsidRPr="00CF31E0">
        <w:rPr>
          <w:rFonts w:ascii="Calibri" w:eastAsia="Calibri" w:hAnsi="Calibri" w:cs="Calibri"/>
          <w:lang w:eastAsia="zh-CN"/>
        </w:rPr>
        <w:instrText>‐</w:instrText>
      </w:r>
      <w:r w:rsidRPr="00CF31E0">
        <w:rPr>
          <w:lang w:eastAsia="zh-CN"/>
        </w:rPr>
        <w:instrText>guise technique, was designed (a) to determine how West Welsh pre</w:instrText>
      </w:r>
      <w:r w:rsidRPr="00CF31E0">
        <w:rPr>
          <w:rFonts w:ascii="Calibri" w:eastAsia="Calibri" w:hAnsi="Calibri" w:cs="Calibri"/>
          <w:lang w:eastAsia="zh-CN"/>
        </w:rPr>
        <w:instrText>‐</w:instrText>
      </w:r>
      <w:r w:rsidRPr="00CF31E0">
        <w:rPr>
          <w:lang w:eastAsia="zh-CN"/>
        </w:rPr>
        <w:instrText>adolescents would react to Welsh speakers reading a passage of prose in one or other of three language varieties (R.P. English [EE] vs. Welsh</w:instrText>
      </w:r>
      <w:r w:rsidRPr="00CF31E0">
        <w:rPr>
          <w:rFonts w:ascii="Calibri" w:eastAsia="Calibri" w:hAnsi="Calibri" w:cs="Calibri"/>
          <w:lang w:eastAsia="zh-CN"/>
        </w:rPr>
        <w:instrText>‐</w:instrText>
      </w:r>
      <w:r w:rsidRPr="00CF31E0">
        <w:rPr>
          <w:lang w:eastAsia="zh-CN"/>
        </w:rPr>
        <w:instrText>accented English [EW] vs. Welsh [WW]), and (b) to examine what effect language of testing (English vs. Welsh) might have on children's social evaluations of speech styles. The results showed that EW was judged less good and more snobbish than WW while the former was rated as less strong than EE; no differences accrued between EE and WW. Two interaction effects emerged showing that differences arose in the way subjects evaluated EW depending on the language of testing. He was rated as more selfish than either EE or WW when the language of instructions and the scales were in Welsh and less intelligent than both of them when the testing situation was in English. The results are discussed in relation to previous matched</w:instrText>
      </w:r>
      <w:r w:rsidRPr="00CF31E0">
        <w:rPr>
          <w:rFonts w:ascii="Calibri" w:eastAsia="Calibri" w:hAnsi="Calibri" w:cs="Calibri"/>
          <w:lang w:eastAsia="zh-CN"/>
        </w:rPr>
        <w:instrText>‐</w:instrText>
      </w:r>
      <w:r w:rsidRPr="00CF31E0">
        <w:rPr>
          <w:lang w:eastAsia="zh-CN"/>
        </w:rPr>
        <w:instrText xml:space="preserve">guise research in Wales and their methodological implications more generally underscored.","DOI":"10.1080/01434632.1983.9994108","ISSN":"0143-4632","author":[{"family":"Price","given":"Susan"},{"family":"Fluck","given":"Michael"},{"family":"Giles","given":"Howard"}],"issued":{"date-parts":[["1983",1,1]]}},"label":"page"}],"schema":"https://github.com/citation-style-language/schema/raw/master/csl-citation.json"} </w:instrText>
      </w:r>
      <w:r w:rsidRPr="00CF31E0">
        <w:rPr>
          <w:lang w:eastAsia="zh-CN"/>
        </w:rPr>
        <w:fldChar w:fldCharType="separate"/>
      </w:r>
      <w:r w:rsidRPr="00CF31E0">
        <w:rPr>
          <w:noProof/>
          <w:lang w:eastAsia="zh-CN"/>
        </w:rPr>
        <w:t>(Garrett et al., 2005a, 2005b; Price</w:t>
      </w:r>
      <w:r w:rsidR="00924EFC" w:rsidRPr="00CF31E0">
        <w:rPr>
          <w:noProof/>
          <w:lang w:eastAsia="zh-CN"/>
        </w:rPr>
        <w:t xml:space="preserve"> et al.,</w:t>
      </w:r>
      <w:r w:rsidRPr="00CF31E0">
        <w:rPr>
          <w:noProof/>
          <w:lang w:eastAsia="zh-CN"/>
        </w:rPr>
        <w:t xml:space="preserve"> 1983)</w:t>
      </w:r>
      <w:r w:rsidRPr="00CF31E0">
        <w:rPr>
          <w:lang w:eastAsia="zh-CN"/>
        </w:rPr>
        <w:fldChar w:fldCharType="end"/>
      </w:r>
      <w:r w:rsidRPr="00CF31E0">
        <w:rPr>
          <w:lang w:eastAsia="zh-CN"/>
        </w:rPr>
        <w:t xml:space="preserve">, as the technique has proved to be very successful in eliciting overt and explicit attitudes. Furthermore, the results from the keyword technique have proved to be reliable when inserted as labels in a semantic differential scale as the labels will be meaningful to participants. </w:t>
      </w:r>
      <w:r w:rsidRPr="00CF31E0">
        <w:rPr>
          <w:noProof/>
          <w:lang w:eastAsia="zh-CN"/>
        </w:rPr>
        <w:t>Garrett et al., (2005a)</w:t>
      </w:r>
      <w:r w:rsidRPr="00CF31E0">
        <w:rPr>
          <w:rFonts w:eastAsia="MS Mincho"/>
          <w:lang w:eastAsia="en-US"/>
        </w:rPr>
        <w:t xml:space="preserve"> suggested that when the keyword technique is associated with the semantic differential scale, this will result in more robust and reliable findings. In order to apply the keyword technique, I provided a small panel of people with a free</w:t>
      </w:r>
      <w:r w:rsidR="00C86BDA" w:rsidRPr="00CF31E0">
        <w:rPr>
          <w:rFonts w:eastAsia="MS Mincho"/>
          <w:lang w:eastAsia="en-US"/>
        </w:rPr>
        <w:t>-adjective</w:t>
      </w:r>
      <w:r w:rsidRPr="00CF31E0">
        <w:rPr>
          <w:rFonts w:eastAsia="MS Mincho"/>
          <w:lang w:eastAsia="en-US"/>
        </w:rPr>
        <w:t xml:space="preserve"> choice questionnaire. The most frequently occurring adjectives were selected to appear in the final questionnaire </w:t>
      </w:r>
      <w:r w:rsidR="001628A3" w:rsidRPr="00CF31E0">
        <w:rPr>
          <w:rFonts w:eastAsia="MS Mincho"/>
          <w:lang w:eastAsia="en-US"/>
        </w:rPr>
        <w:t>(s</w:t>
      </w:r>
      <w:r w:rsidRPr="00CF31E0">
        <w:rPr>
          <w:rFonts w:eastAsia="MS Mincho"/>
          <w:lang w:eastAsia="en-US"/>
        </w:rPr>
        <w:t>ee sectio</w:t>
      </w:r>
      <w:r w:rsidR="00EB4E04" w:rsidRPr="00CF31E0">
        <w:rPr>
          <w:rFonts w:eastAsia="MS Mincho"/>
          <w:lang w:eastAsia="en-US"/>
        </w:rPr>
        <w:t xml:space="preserve">n </w:t>
      </w:r>
      <w:r w:rsidR="003101EF" w:rsidRPr="00CF31E0">
        <w:rPr>
          <w:rFonts w:eastAsia="MS Mincho"/>
          <w:lang w:eastAsia="en-US"/>
        </w:rPr>
        <w:t>5</w:t>
      </w:r>
      <w:r w:rsidR="00EB4E04" w:rsidRPr="00CF31E0">
        <w:rPr>
          <w:rFonts w:eastAsia="MS Mincho"/>
          <w:lang w:eastAsia="en-US"/>
        </w:rPr>
        <w:t>.5.1</w:t>
      </w:r>
      <w:r w:rsidRPr="00CF31E0">
        <w:rPr>
          <w:rFonts w:eastAsia="MS Mincho"/>
          <w:lang w:eastAsia="en-US"/>
        </w:rPr>
        <w:t xml:space="preserve"> below</w:t>
      </w:r>
      <w:r w:rsidR="001628A3" w:rsidRPr="00CF31E0">
        <w:rPr>
          <w:rFonts w:eastAsia="MS Mincho"/>
          <w:lang w:eastAsia="en-US"/>
        </w:rPr>
        <w:t>)</w:t>
      </w:r>
      <w:r w:rsidRPr="00CF31E0">
        <w:rPr>
          <w:rFonts w:eastAsia="MS Mincho"/>
          <w:lang w:eastAsia="en-US"/>
        </w:rPr>
        <w:t xml:space="preserve">. </w:t>
      </w:r>
    </w:p>
    <w:p w14:paraId="0284A4EE" w14:textId="5FEEF937" w:rsidR="00160CC4" w:rsidRPr="00CF31E0" w:rsidRDefault="00596363" w:rsidP="00603CB7">
      <w:pPr>
        <w:pStyle w:val="Paragraph"/>
        <w:rPr>
          <w:lang w:eastAsia="zh-CN"/>
        </w:rPr>
      </w:pPr>
      <w:r w:rsidRPr="00CF31E0">
        <w:rPr>
          <w:lang w:eastAsia="zh-CN"/>
        </w:rPr>
        <w:t>Third</w:t>
      </w:r>
      <w:r w:rsidR="00160CC4" w:rsidRPr="00CF31E0">
        <w:rPr>
          <w:lang w:eastAsia="zh-CN"/>
        </w:rPr>
        <w:t xml:space="preserve">, I used a conceptual approach where Hijazi dialects are presented conceptually and I then asked participants to rate the dialects using the extracted labels from the keyword technique on a semantic differential scale. The conceptual approach is used widely in language attitude research </w:t>
      </w:r>
      <w:r w:rsidR="00160CC4" w:rsidRPr="00CF31E0">
        <w:rPr>
          <w:lang w:eastAsia="zh-CN"/>
        </w:rPr>
        <w:fldChar w:fldCharType="begin"/>
      </w:r>
      <w:r w:rsidR="00160CC4" w:rsidRPr="00CF31E0">
        <w:rPr>
          <w:lang w:eastAsia="zh-CN"/>
        </w:rPr>
        <w:instrText xml:space="preserve"> ADDIN ZOTERO_ITEM CSL_CITATION {"citationID":"a1lcdv3m4d","properties":{"formattedCitation":"(Garrett et al., 2005b; Giles, 1970)","plainCitation":"(Garrett et al., 2005b; Giles, 1970)","noteIndex":0},"citationItems":[{"id":326,"uris":["http://zotero.org/users/1939618/items/CTAELXKB"],"uri":["http://zotero.org/users/1939618/items/CTAELXKB"],"itemData":{"id":326,"type":"article-journal","title":"Attitudinal data from New Zealand, Australia, the USA and UK about each other’s Englishes: Recent changes or consequences of methodologies?","container-title":"Multilingua","page":"211–235","volume":"24","issue":"3","source":"DeGruyter","abstract":"Recent attitudinal research by Bayard et al. (2001) suggested changes in the comparative evaluations of Australian, New Zealand, US and English Englishes, with US English on its way to becoming the preferred variety. We revisit these attitudes after a period of political change in the US, and using a research methodology in line with folklinguistic approaches to attitudes research (e. g. Preston 1996). Convenience samples of respondents in these four countries were asked to identify the countries where they knew English was spoken as a native language, and then quickly to write down their first reactions to those varieties. US English was viewed strikingly negatively in terms of its affective associations, and there were references to ‘excess’ from all respondent groups (e. g. overassertive, overenthusiastic). And, against expectations, the affective profile of English English was not overwhelmingly negative for all groups of respondents. We consider the results in relation to the findings and methods of the earlier studies, and also briefly consider the different statuses of these varieties in terms of the current discussion of late modernity and of different standard varieties (e. g. Kristiansen 2001b) serving different aspects of social life.","DOI":"10.1515/mult.2005.24.3.211","ISSN":"1613-3684","shortTitle":"Attitudinal data from New Zealand, Australia, the USA and UK about each other’s Englishes","author":[{"family":"Garrett","given":"Peter"},{"family":"Williams","given":"Angie"},{"family":"Evans","given":"Betsy"}],"issued":{"date-parts":[["2005"]]}},"label":"page"},{"id":62,"uris":["http://zotero.org/users/1939618/items/ZXQ48QBG"],"uri":["http://zotero.org/users/1939618/items/ZXQ48QBG"],"itemData":{"id":62,"type":"article-journal","title":"Evaluative reactions to accents","container-title":"Educational review","page":"211–227","volume":"22","issue":"3","source":"Google Scholar","author":[{"family":"Giles","given":"Howard"}],"issued":{"date-parts":[["1970"]]}},"label":"page"}],"schema":"https://github.com/citation-style-language/schema/raw/master/csl-citation.json"} </w:instrText>
      </w:r>
      <w:r w:rsidR="00160CC4" w:rsidRPr="00CF31E0">
        <w:rPr>
          <w:lang w:eastAsia="zh-CN"/>
        </w:rPr>
        <w:fldChar w:fldCharType="separate"/>
      </w:r>
      <w:r w:rsidR="00160CC4" w:rsidRPr="00CF31E0">
        <w:rPr>
          <w:noProof/>
          <w:lang w:eastAsia="zh-CN"/>
        </w:rPr>
        <w:t>(Garrett et al., 2005b; Giles, 1970)</w:t>
      </w:r>
      <w:r w:rsidR="00160CC4" w:rsidRPr="00CF31E0">
        <w:rPr>
          <w:lang w:eastAsia="zh-CN"/>
        </w:rPr>
        <w:fldChar w:fldCharType="end"/>
      </w:r>
      <w:r w:rsidR="00160CC4" w:rsidRPr="00CF31E0">
        <w:rPr>
          <w:lang w:eastAsia="zh-CN"/>
        </w:rPr>
        <w:t xml:space="preserve">, and has proved to very be successful in eliciting overt stereotypical assumptions that participants hold about certain languages or dialects. Therefore, I decided to use the conceptual approach to reveal how the ideology of the Hijaz region can affect participants’ attitudes towards dialect variation in Hijaz. In other words, before tapping into more covert stereotypes, which will be addressed using the indirect approach, I </w:t>
      </w:r>
      <w:r w:rsidR="00160CC4" w:rsidRPr="00CF31E0">
        <w:rPr>
          <w:lang w:eastAsia="zh-CN"/>
        </w:rPr>
        <w:lastRenderedPageBreak/>
        <w:t xml:space="preserve">wanted to reveal the macro-picture of Hijaz ideology and whether or not stereotypes are driven by ideological categories, as discussed in </w:t>
      </w:r>
      <w:r w:rsidR="00CE2B99" w:rsidRPr="00CF31E0">
        <w:rPr>
          <w:lang w:eastAsia="zh-CN"/>
        </w:rPr>
        <w:t>C</w:t>
      </w:r>
      <w:r w:rsidR="00160CC4" w:rsidRPr="00CF31E0">
        <w:rPr>
          <w:lang w:eastAsia="zh-CN"/>
        </w:rPr>
        <w:t xml:space="preserve">hapter </w:t>
      </w:r>
      <w:r w:rsidR="003101EF" w:rsidRPr="00CF31E0">
        <w:rPr>
          <w:lang w:eastAsia="zh-CN"/>
        </w:rPr>
        <w:t xml:space="preserve">2. </w:t>
      </w:r>
    </w:p>
    <w:p w14:paraId="35B7EAE5" w14:textId="620D13AC" w:rsidR="00160CC4" w:rsidRPr="00CF31E0" w:rsidRDefault="00596363" w:rsidP="00603CB7">
      <w:pPr>
        <w:pStyle w:val="Paragraph"/>
        <w:rPr>
          <w:lang w:eastAsia="zh-CN"/>
        </w:rPr>
      </w:pPr>
      <w:r w:rsidRPr="00CF31E0">
        <w:rPr>
          <w:lang w:eastAsia="zh-CN"/>
        </w:rPr>
        <w:t>Fourth</w:t>
      </w:r>
      <w:r w:rsidR="00B656C7" w:rsidRPr="00CF31E0">
        <w:rPr>
          <w:lang w:eastAsia="zh-CN"/>
        </w:rPr>
        <w:t xml:space="preserve">, </w:t>
      </w:r>
      <w:r w:rsidR="002A2D8D">
        <w:rPr>
          <w:lang w:eastAsia="zh-CN"/>
        </w:rPr>
        <w:t>a</w:t>
      </w:r>
      <w:r w:rsidR="00160CC4" w:rsidRPr="00CF31E0">
        <w:rPr>
          <w:lang w:eastAsia="zh-CN"/>
        </w:rPr>
        <w:t xml:space="preserve">s previously mentioned, the present study adopts methods from perceptual dialectology. The method is categorized under the direct approach, where I asked participants to listen to voice samples and write down the social group of each voice sample. The rationale for incorporating a method from perceptual dialectology in a language attitude study is to compensate for language attitude limitations, as argued by </w:t>
      </w:r>
      <w:r w:rsidR="00160CC4" w:rsidRPr="00CF31E0">
        <w:rPr>
          <w:lang w:eastAsia="zh-CN"/>
        </w:rPr>
        <w:fldChar w:fldCharType="begin"/>
      </w:r>
      <w:r w:rsidR="00160CC4" w:rsidRPr="00CF31E0">
        <w:rPr>
          <w:lang w:eastAsia="zh-CN"/>
        </w:rPr>
        <w:instrText xml:space="preserve"> ADDIN ZOTERO_ITEM CSL_CITATION {"citationID":"a1ilmgf7sj4","properties":{"formattedCitation":"(Preston, 1989)","plainCitation":"(Preston, 1989)","noteIndex":0},"citationItems":[{"id":82,"uris":["http://zotero.org/users/1939618/items/8DJA6BF7"],"uri":["http://zotero.org/users/1939618/items/8DJA6BF7"],"itemData":{"id":82,"type":"book","title":"Perceptual dialectology: Nonlinguists' views of areal linguistics","publisher":"Walter de Gruyter","volume":"7","source":"Google Scholar","URL":"http://books.google.co.uk/books?hl=en&amp;lr=&amp;id=MhNDqFKOYEEC&amp;oi=fnd&amp;pg=PR9&amp;dq=perceptual+dialectology,+preston+1989&amp;ots=2ZVUHfkq0b&amp;sig=pZVqHHmVNbsvYFvtHizoZYgrvcg","shortTitle":"Perceptual dialectology","author":[{"family":"Preston","given":"Dennis R."}],"issued":{"date-parts":[["1989"]]},"accessed":{"date-parts":[["2014",11,18]]}}}],"schema":"https://github.com/citation-style-language/schema/raw/master/csl-citation.json"} </w:instrText>
      </w:r>
      <w:r w:rsidR="00160CC4" w:rsidRPr="00CF31E0">
        <w:rPr>
          <w:lang w:eastAsia="zh-CN"/>
        </w:rPr>
        <w:fldChar w:fldCharType="separate"/>
      </w:r>
      <w:r w:rsidR="00160CC4" w:rsidRPr="00CF31E0">
        <w:rPr>
          <w:noProof/>
          <w:lang w:eastAsia="zh-CN"/>
        </w:rPr>
        <w:t xml:space="preserve">Preston </w:t>
      </w:r>
      <w:r w:rsidR="00924EFC" w:rsidRPr="00CF31E0">
        <w:rPr>
          <w:noProof/>
          <w:lang w:eastAsia="zh-CN"/>
        </w:rPr>
        <w:t>(</w:t>
      </w:r>
      <w:r w:rsidR="00160CC4" w:rsidRPr="00CF31E0">
        <w:rPr>
          <w:noProof/>
          <w:lang w:eastAsia="zh-CN"/>
        </w:rPr>
        <w:t>1989)</w:t>
      </w:r>
      <w:r w:rsidR="00160CC4" w:rsidRPr="00CF31E0">
        <w:rPr>
          <w:lang w:eastAsia="zh-CN"/>
        </w:rPr>
        <w:fldChar w:fldCharType="end"/>
      </w:r>
      <w:r w:rsidR="00924EFC" w:rsidRPr="00CF31E0">
        <w:rPr>
          <w:lang w:eastAsia="zh-CN"/>
        </w:rPr>
        <w:t>;</w:t>
      </w:r>
      <w:r w:rsidR="00160CC4" w:rsidRPr="00CF31E0">
        <w:rPr>
          <w:lang w:eastAsia="zh-CN"/>
        </w:rPr>
        <w:t xml:space="preserve"> see </w:t>
      </w:r>
      <w:r w:rsidR="00CE2B99" w:rsidRPr="00CF31E0">
        <w:rPr>
          <w:lang w:eastAsia="zh-CN"/>
        </w:rPr>
        <w:t>C</w:t>
      </w:r>
      <w:r w:rsidR="00160CC4" w:rsidRPr="00CF31E0">
        <w:rPr>
          <w:lang w:eastAsia="zh-CN"/>
        </w:rPr>
        <w:t xml:space="preserve">hapter </w:t>
      </w:r>
      <w:r w:rsidR="003101EF" w:rsidRPr="00CF31E0">
        <w:rPr>
          <w:lang w:eastAsia="zh-CN"/>
        </w:rPr>
        <w:t>4</w:t>
      </w:r>
      <w:r w:rsidR="009E4DC9" w:rsidRPr="00CF31E0">
        <w:rPr>
          <w:lang w:eastAsia="zh-CN"/>
        </w:rPr>
        <w:t>, s</w:t>
      </w:r>
      <w:r w:rsidR="00160CC4" w:rsidRPr="00CF31E0">
        <w:rPr>
          <w:lang w:eastAsia="zh-CN"/>
        </w:rPr>
        <w:t>ection</w:t>
      </w:r>
      <w:r w:rsidR="009E4DC9" w:rsidRPr="00CF31E0">
        <w:rPr>
          <w:lang w:eastAsia="zh-CN"/>
        </w:rPr>
        <w:t xml:space="preserve"> </w:t>
      </w:r>
      <w:r w:rsidR="003101EF" w:rsidRPr="00CF31E0">
        <w:rPr>
          <w:lang w:eastAsia="zh-CN"/>
        </w:rPr>
        <w:t>4</w:t>
      </w:r>
      <w:r w:rsidR="009E4DC9" w:rsidRPr="00CF31E0">
        <w:rPr>
          <w:lang w:eastAsia="zh-CN"/>
        </w:rPr>
        <w:t>.8</w:t>
      </w:r>
      <w:r w:rsidR="00924EFC" w:rsidRPr="00CF31E0">
        <w:rPr>
          <w:lang w:eastAsia="zh-CN"/>
        </w:rPr>
        <w:t xml:space="preserve">. </w:t>
      </w:r>
      <w:r w:rsidR="00160CC4" w:rsidRPr="00CF31E0">
        <w:rPr>
          <w:lang w:eastAsia="zh-CN"/>
        </w:rPr>
        <w:t xml:space="preserve">Preston argued that providing voice samples to participants and asking them to rate them does not guarantee that the participants cognitively recognize where the voice sample comes from. Therefore, prior to the rating task, I asked participants to answer the voice allocation task first, to ensure they are aware of the social group they are rating. </w:t>
      </w:r>
    </w:p>
    <w:p w14:paraId="6BBB2204" w14:textId="257B9E3D" w:rsidR="00160CC4" w:rsidRPr="00CF31E0" w:rsidRDefault="00596363" w:rsidP="00603CB7">
      <w:pPr>
        <w:pStyle w:val="Paragraph"/>
        <w:rPr>
          <w:lang w:eastAsia="zh-CN"/>
        </w:rPr>
      </w:pPr>
      <w:r w:rsidRPr="00CF31E0">
        <w:rPr>
          <w:lang w:eastAsia="zh-CN"/>
        </w:rPr>
        <w:t xml:space="preserve">Fifth, </w:t>
      </w:r>
      <w:r w:rsidR="00160CC4" w:rsidRPr="00CF31E0">
        <w:rPr>
          <w:lang w:eastAsia="zh-CN"/>
        </w:rPr>
        <w:t xml:space="preserve">I applied yet another technique from socio-phonetic perceptions to the voice allocation task. The technique distracts the listener with social information around the listener; see the discussion on the technique in </w:t>
      </w:r>
      <w:r w:rsidR="00CE2B99" w:rsidRPr="00CF31E0">
        <w:rPr>
          <w:lang w:eastAsia="zh-CN"/>
        </w:rPr>
        <w:t>C</w:t>
      </w:r>
      <w:r w:rsidR="009E4DC9" w:rsidRPr="00CF31E0">
        <w:rPr>
          <w:lang w:eastAsia="zh-CN"/>
        </w:rPr>
        <w:t xml:space="preserve">hapter </w:t>
      </w:r>
      <w:r w:rsidR="003101EF" w:rsidRPr="00CF31E0">
        <w:rPr>
          <w:lang w:eastAsia="zh-CN"/>
        </w:rPr>
        <w:t>4</w:t>
      </w:r>
      <w:r w:rsidR="009E4DC9" w:rsidRPr="00CF31E0">
        <w:rPr>
          <w:lang w:eastAsia="zh-CN"/>
        </w:rPr>
        <w:t xml:space="preserve">, section </w:t>
      </w:r>
      <w:r w:rsidR="003101EF" w:rsidRPr="00CF31E0">
        <w:rPr>
          <w:lang w:eastAsia="zh-CN"/>
        </w:rPr>
        <w:t>4</w:t>
      </w:r>
      <w:r w:rsidR="009E4DC9" w:rsidRPr="00CF31E0">
        <w:rPr>
          <w:lang w:eastAsia="zh-CN"/>
        </w:rPr>
        <w:t>.9</w:t>
      </w:r>
      <w:r w:rsidR="00160CC4" w:rsidRPr="00CF31E0">
        <w:rPr>
          <w:lang w:eastAsia="zh-CN"/>
        </w:rPr>
        <w:t>. The technique has recently gained much interest in socio-phonetic perception research as it has revealed how metalinguistic factors can affect people’s perceptions of voice samples. Hence, I wanted to reveal whether or not metalinguistic factors can affect Hijazi people’s perceptions of voice samples recorded by Hijazi people; see sectio</w:t>
      </w:r>
      <w:r w:rsidR="007E2E76" w:rsidRPr="00CF31E0">
        <w:rPr>
          <w:lang w:eastAsia="zh-CN"/>
        </w:rPr>
        <w:t xml:space="preserve">n </w:t>
      </w:r>
      <w:r w:rsidR="003101EF" w:rsidRPr="00CF31E0">
        <w:rPr>
          <w:lang w:eastAsia="zh-CN"/>
        </w:rPr>
        <w:t>5</w:t>
      </w:r>
      <w:r w:rsidR="004B6374" w:rsidRPr="00CF31E0">
        <w:rPr>
          <w:lang w:eastAsia="zh-CN"/>
        </w:rPr>
        <w:t>.5.2.</w:t>
      </w:r>
      <w:r w:rsidR="00E777CD" w:rsidRPr="00CF31E0">
        <w:rPr>
          <w:lang w:eastAsia="zh-CN"/>
        </w:rPr>
        <w:t>4.1.</w:t>
      </w:r>
      <w:r w:rsidR="00160CC4" w:rsidRPr="00CF31E0">
        <w:rPr>
          <w:lang w:eastAsia="zh-CN"/>
        </w:rPr>
        <w:t xml:space="preserve"> below. </w:t>
      </w:r>
    </w:p>
    <w:p w14:paraId="0514E799" w14:textId="05E2D32D" w:rsidR="00160CC4" w:rsidRPr="00CF31E0" w:rsidRDefault="00160CC4" w:rsidP="00603CB7">
      <w:pPr>
        <w:pStyle w:val="Paragraph"/>
        <w:rPr>
          <w:lang w:eastAsia="zh-CN"/>
        </w:rPr>
      </w:pPr>
      <w:r w:rsidRPr="00CF31E0">
        <w:rPr>
          <w:lang w:eastAsia="zh-CN"/>
        </w:rPr>
        <w:t>As for the indirect approach, I used a matched</w:t>
      </w:r>
      <w:r w:rsidR="00C86BDA" w:rsidRPr="00CF31E0">
        <w:rPr>
          <w:lang w:eastAsia="zh-CN"/>
        </w:rPr>
        <w:t>-guise</w:t>
      </w:r>
      <w:r w:rsidRPr="00CF31E0">
        <w:rPr>
          <w:lang w:eastAsia="zh-CN"/>
        </w:rPr>
        <w:t xml:space="preserve"> technique and its variant </w:t>
      </w:r>
      <w:r w:rsidR="002D0BB8" w:rsidRPr="00CF31E0">
        <w:rPr>
          <w:lang w:eastAsia="zh-CN"/>
        </w:rPr>
        <w:t xml:space="preserve">the </w:t>
      </w:r>
      <w:r w:rsidRPr="00CF31E0">
        <w:rPr>
          <w:lang w:eastAsia="zh-CN"/>
        </w:rPr>
        <w:t>verbal</w:t>
      </w:r>
      <w:r w:rsidR="005D0894" w:rsidRPr="00CF31E0">
        <w:rPr>
          <w:lang w:eastAsia="zh-CN"/>
        </w:rPr>
        <w:t>-guise</w:t>
      </w:r>
      <w:r w:rsidRPr="00CF31E0">
        <w:rPr>
          <w:lang w:eastAsia="zh-CN"/>
        </w:rPr>
        <w:t xml:space="preserve"> technique, where I asked participants to rate the voice samples against some of the labels taken from the keyword technique. As discussed </w:t>
      </w:r>
      <w:r w:rsidR="002D0BB8" w:rsidRPr="00CF31E0">
        <w:rPr>
          <w:lang w:eastAsia="zh-CN"/>
        </w:rPr>
        <w:t>above</w:t>
      </w:r>
      <w:r w:rsidRPr="00CF31E0">
        <w:rPr>
          <w:lang w:eastAsia="zh-CN"/>
        </w:rPr>
        <w:t xml:space="preserve">, both aforementioned techniques have been used widely and successfully in language attitude research </w:t>
      </w:r>
      <w:r w:rsidRPr="00CF31E0">
        <w:rPr>
          <w:lang w:eastAsia="zh-CN"/>
        </w:rPr>
        <w:fldChar w:fldCharType="begin"/>
      </w:r>
      <w:r w:rsidRPr="00CF31E0">
        <w:rPr>
          <w:lang w:eastAsia="zh-CN"/>
        </w:rPr>
        <w:instrText xml:space="preserve"> ADDIN ZOTERO_ITEM CSL_CITATION {"citationID":"a1m4c9u5b6j","properties":{"formattedCitation":"(Giles, 1970; Huygens &amp; Vaughan, 1983; Montgomery, 2007; Stewart et al., 1985)","plainCitation":"(Giles, 1970; Huygens &amp; Vaughan, 1983; Montgomery, 2007; Stewart et al., 1985)","noteIndex":0},"citationItems":[{"id":62,"uris":["http://zotero.org/users/1939618/items/ZXQ48QBG"],"uri":["http://zotero.org/users/1939618/items/ZXQ48QBG"],"itemData":{"id":62,"type":"article-journal","title":"Evaluative reactions to accents","container-title":"Educational review","page":"211–227","volume":"22","issue":"3","source":"Google Scholar","author":[{"family":"Giles","given":"Howard"}],"issued":{"date-parts":[["1970"]]}},"label":"page"},{"id":9,"uris":["http://zotero.org/users/1939618/items/ZER49FSB"],"uri":["http://zotero.org/users/1939618/items/ZER49FSB"],"itemData":{"id":9,"type":"article-journal","title":"Language attitudes, ethnicity and social class in New Zealand","container-title":"Journal of Multilingual and Multicultural Development","page":"207-223","volume":"4","issue":"2-3","source":"Taylor and Francis+NEJM","abstract":"The extent to which ethnic speech styles can be detected, and how they and English R.P. are evaluated, have been problematic issues in the small literature devoted to New Zealand speech varieties. In the present study, samples of spontaneous speech of English, Dutch, Maori and Pakeha speakers (from three status groups) were presented on audiotapes to 120 students. Ratings were made on four Social and four Personal Scales, while an attempt to describe type of accent was invited. The results showed that Maori speakers were the least successfully identified by ethnic group. Prestige ratings were: English, Dutch, and then Maori. English and Pakeha speakers were equally prestigeful, though this effect interacts with occupational class: speech styles approximating R.P. were rated highest. Ethnicity was also used as a cue to attribute a limited number of personal stereotypes.","DOI":"10.1080/01434632.1983.9994112","ISSN":"0143-4632","author":[{"family":"Huygens","given":"Ingrid"},{"family":"Vaughan","given":"Graham M."}],"issued":{"date-parts":[["1983",1,1]]}},"label":"page"},{"id":3,"uris":["http://zotero.org/users/1939618/items/IB93562T"],"uri":["http://zotero.org/users/1939618/items/IB93562T"],"itemData":{"id":3,"type":"thesis","title":"Northern English Dialects: A perceptual approach","publisher":"University of Sheffield","genre":"Thesis","source":"etheses.whiterose.ac.uk","abstract":"Perceptual dialectology has the capacity to deliver a great many benefits to the study of language varieties.  It also allows examination of the underlying factors in dialect use such as the ‘beliefs, attitudes and strategies’ (Preston, 1999: xxiii) which make up language users’ reactions to language varieties.  In this way it has the potential to ask questions of identity and explore the reasons for dialect loyalty as well as complementing other research in the field of language variation and change.\n\nUsing a perceptual framework, this research investigates the relationship between the north and south of England and gains access to some of the key concepts which affect informants’ view of this important social, cultural and historical relationship.  Perceptions of salient dialect areas are also assessed using informants from three locations in the north of England via the completion of a draw-a-map task (Preston, 1999: xxxiv).  Many of the factors which impact on the perception of dialect areas are discussed, with phenomena of proximity and cultural salience demonstrating an important role.  An analysis of informants’ reactions to voice samples from across England is also undertaken using methods adapted from the fields of linguistics (Embleton &amp; Wheeler, 1997, Giles &amp; Powesland, 1975, Niedzielski &amp; Preston, 2003) as well perceptual geography (Pocock, 1972).  The link between map-based perception and reaction to voice samples is examined, with interesting conclusions. \n\nFour key research questions are addressed:\n\n1.\tDo respondents have a linguistic ‘cognitive map’ of a north of England, and do respondents recognise there to be internal boundaries within ‘their’ north of England?\n2.\tDoes home-town location of informants affect the perception of dialect area? \n3.\tWhat are informants’ perceptions of the language varieties in the north of England?\n4.\tIs there a relationship between perception and ‘reality’ (production), and can respondents recognise the varieties they have identified?\n\nThese questions will be addressed using the methods described above and the results accounted for through comparison with a wide range of previous studies in the fields of dialectology (Trudgill, 1999, Upton, Sanderson &amp; Widdowson, 1987, Wells, 1982), social and cultural history (Wales, 2006), perceptual dialectology (Long &amp; Preston, 2002), sociolinguistics (Giles &amp; Powesland, 1975) and perceptual geography (Gould &amp; White, 1986).","URL":"http://etheses.whiterose.ac.uk/1203/","shortTitle":"Northern English Dialects","author":[{"family":"Montgomery","given":"Chris"}],"issued":{"date-parts":[["2007",1,16]]},"accessed":{"date-parts":[["2014",9,24]]}},"label":"page"},{"id":64,"uris":["http://zotero.org/users/1939618/items/TPBM3MJW"],"uri":["http://zotero.org/users/1939618/items/TPBM3MJW"],"itemData":{"id":64,"type":"article-journal","title":"Accent and social class effects on status and solidarity evaluations","container-title":"Personality and Social Psychology Bulletin","page":"98–105","volume":"11","issue":"1","source":"Google Scholar","author":[{"family":"Stewart","given":"Mark A."},{"family":"Ryan","given":"Ellen Bouchard"},{"family":"Giles","given":"Howard"}],"issued":{"date-parts":[["1985"]]}},"label":"page"}],"schema":"https://github.com/citation-style-language/schema/raw/master/csl-citation.json"} </w:instrText>
      </w:r>
      <w:r w:rsidRPr="00CF31E0">
        <w:rPr>
          <w:lang w:eastAsia="zh-CN"/>
        </w:rPr>
        <w:fldChar w:fldCharType="separate"/>
      </w:r>
      <w:r w:rsidRPr="00CF31E0">
        <w:rPr>
          <w:noProof/>
          <w:lang w:eastAsia="zh-CN"/>
        </w:rPr>
        <w:t>(Giles, 1970; Huygens &amp; Vaughan, 1983; Montgomery, 2007; Stewart et al., 1985)</w:t>
      </w:r>
      <w:r w:rsidRPr="00CF31E0">
        <w:rPr>
          <w:lang w:eastAsia="zh-CN"/>
        </w:rPr>
        <w:fldChar w:fldCharType="end"/>
      </w:r>
      <w:r w:rsidRPr="00CF31E0">
        <w:rPr>
          <w:lang w:eastAsia="zh-CN"/>
        </w:rPr>
        <w:t xml:space="preserve">. The techniques offered deep insights into people’s attitudes towards languages or language varieties as they tap into more covert stereotypes. Therefore, such techniques will benefit the present study greatly as they might be able to </w:t>
      </w:r>
      <w:r w:rsidRPr="00CF31E0">
        <w:rPr>
          <w:lang w:eastAsia="zh-CN"/>
        </w:rPr>
        <w:lastRenderedPageBreak/>
        <w:t xml:space="preserve">reveal the unconscious and overt stereotypical assumptions Hijazi participants hold towards dialects in Hijaz. Furthermore, patterns emerging from the results of the indirect approach can be compared to those of the direct approach. Therefore, the integrated approach can deliver a vivid and rich picture of the language variation and change in Western SA (i.e. the Hijaz region).  </w:t>
      </w:r>
    </w:p>
    <w:p w14:paraId="0E057A87" w14:textId="492B48E8" w:rsidR="00160CC4" w:rsidRPr="00CF31E0" w:rsidRDefault="00160CC4" w:rsidP="00730917">
      <w:pPr>
        <w:spacing w:before="120" w:after="120" w:line="360" w:lineRule="auto"/>
        <w:jc w:val="both"/>
        <w:rPr>
          <w:rFonts w:eastAsia="Times New Roman"/>
          <w:color w:val="000000" w:themeColor="text1"/>
          <w:szCs w:val="22"/>
          <w:lang w:eastAsia="zh-CN"/>
        </w:rPr>
      </w:pPr>
      <w:r w:rsidRPr="00CF31E0">
        <w:rPr>
          <w:rFonts w:eastAsia="Times New Roman"/>
          <w:color w:val="000000" w:themeColor="text1"/>
          <w:szCs w:val="22"/>
          <w:lang w:eastAsia="zh-CN"/>
        </w:rPr>
        <w:t xml:space="preserve">Many studies in socio-phonetic perception research have incorporated a voice placement task with a rating one </w:t>
      </w:r>
      <w:r w:rsidRPr="00CF31E0">
        <w:rPr>
          <w:rFonts w:eastAsia="Times New Roman"/>
          <w:color w:val="000000" w:themeColor="text1"/>
          <w:szCs w:val="22"/>
          <w:lang w:eastAsia="zh-CN"/>
        </w:rPr>
        <w:fldChar w:fldCharType="begin"/>
      </w:r>
      <w:r w:rsidRPr="00CF31E0">
        <w:rPr>
          <w:rFonts w:eastAsia="Times New Roman"/>
          <w:color w:val="000000" w:themeColor="text1"/>
          <w:szCs w:val="22"/>
          <w:lang w:eastAsia="zh-CN"/>
        </w:rPr>
        <w:instrText xml:space="preserve"> ADDIN ZOTERO_ITEM CSL_CITATION {"citationID":"a1qt76insi1","properties":{"formattedCitation":"(Boughton, 2006; Montgomery, 2007)","plainCitation":"(Boughton, 2006; Montgomery, 2007)","noteIndex":0},"citationItems":[{"id":89,"uris":["http://zotero.org/users/1939618/items/ZM2M6V3W"],"uri":["http://zotero.org/users/1939618/items/ZM2M6V3W"],"itemData":{"id":89,"type":"article-journal","title":"When perception isn't reality: Accent identification and perceptual dialectology in French","container-title":"Journal of French Language Studies","page":"277–304","volume":"16","issue":"03","source":"Google Scholar","shortTitle":"When perception isn't reality","author":[{"family":"Boughton","given":"Zoë"}],"issued":{"date-parts":[["2006"]]}},"label":"page"},{"id":3,"uris":["http://zotero.org/users/1939618/items/IB93562T"],"uri":["http://zotero.org/users/1939618/items/IB93562T"],"itemData":{"id":3,"type":"thesis","title":"Northern English Dialects: A perceptual approach","publisher":"University of Sheffield","genre":"Thesis","source":"etheses.whiterose.ac.uk","abstract":"Perceptual dialectology has the capacity to deliver a great many benefits to the study of language varieties.  It also allows examination of the underlying factors in dialect use such as the ‘beliefs, attitudes and strategies’ (Preston, 1999: xxiii) which make up language users’ reactions to language varieties.  In this way it has the potential to ask questions of identity and explore the reasons for dialect loyalty as well as complementing other research in the field of language variation and change.\n\nUsing a perceptual framework, this research investigates the relationship between the north and south of England and gains access to some of the key concepts which affect informants’ view of this important social, cultural and historical relationship.  Perceptions of salient dialect areas are also assessed using informants from three locations in the north of England via the completion of a draw-a-map task (Preston, 1999: xxxiv).  Many of the factors which impact on the perception of dialect areas are discussed, with phenomena of proximity and cultural salience demonstrating an important role.  An analysis of informants’ reactions to voice samples from across England is also undertaken using methods adapted from the fields of linguistics (Embleton &amp; Wheeler, 1997, Giles &amp; Powesland, 1975, Niedzielski &amp; Preston, 2003) as well perceptual geography (Pocock, 1972).  The link between map-based perception and reaction to voice samples is examined, with interesting conclusions. \n\nFour key research questions are addressed:\n\n1.\tDo respondents have a linguistic ‘cognitive map’ of a north of England, and do respondents recognise there to be internal boundaries within ‘their’ north of England?\n2.\tDoes home-town location of informants affect the perception of dialect area? \n3.\tWhat are informants’ perceptions of the language varieties in the north of England?\n4.\tIs there a relationship between perception and ‘reality’ (production), and can respondents recognise the varieties they have identified?\n\nThese questions will be addressed using the methods described above and the results accounted for through comparison with a wide range of previous studies in the fields of dialectology (Trudgill, 1999, Upton, Sanderson &amp; Widdowson, 1987, Wells, 1982), social and cultural history (Wales, 2006), perceptual dialectology (Long &amp; Preston, 2002), sociolinguistics (Giles &amp; Powesland, 1975) and perceptual geography (Gould &amp; White, 1986).","URL":"http://etheses.whiterose.ac.uk/1203/","shortTitle":"Northern English Dialects","author":[{"family":"Montgomery","given":"Chris"}],"issued":{"date-parts":[["2007",1,16]]},"accessed":{"date-parts":[["2014",9,24]]}},"label":"page"}],"schema":"https://github.com/citation-style-language/schema/raw/master/csl-citation.json"} </w:instrText>
      </w:r>
      <w:r w:rsidRPr="00CF31E0">
        <w:rPr>
          <w:rFonts w:eastAsia="Times New Roman"/>
          <w:color w:val="000000" w:themeColor="text1"/>
          <w:szCs w:val="22"/>
          <w:lang w:eastAsia="zh-CN"/>
        </w:rPr>
        <w:fldChar w:fldCharType="separate"/>
      </w:r>
      <w:r w:rsidRPr="00CF31E0">
        <w:rPr>
          <w:rFonts w:eastAsia="Times New Roman"/>
          <w:noProof/>
          <w:color w:val="000000" w:themeColor="text1"/>
          <w:szCs w:val="22"/>
          <w:lang w:eastAsia="zh-CN"/>
        </w:rPr>
        <w:t>(Boughton, 2006; Montgomery, 2007)</w:t>
      </w:r>
      <w:r w:rsidRPr="00CF31E0">
        <w:rPr>
          <w:rFonts w:eastAsia="Times New Roman"/>
          <w:color w:val="000000" w:themeColor="text1"/>
          <w:szCs w:val="22"/>
          <w:lang w:eastAsia="zh-CN"/>
        </w:rPr>
        <w:fldChar w:fldCharType="end"/>
      </w:r>
      <w:r w:rsidRPr="00CF31E0">
        <w:rPr>
          <w:rFonts w:eastAsia="Times New Roman"/>
          <w:color w:val="000000" w:themeColor="text1"/>
          <w:szCs w:val="22"/>
          <w:lang w:eastAsia="zh-CN"/>
        </w:rPr>
        <w:t xml:space="preserve">. In other studies, a </w:t>
      </w:r>
      <w:r w:rsidR="003910A0" w:rsidRPr="00CF31E0">
        <w:rPr>
          <w:rFonts w:eastAsia="Times New Roman"/>
          <w:color w:val="000000" w:themeColor="text1"/>
          <w:szCs w:val="22"/>
          <w:lang w:eastAsia="zh-CN"/>
        </w:rPr>
        <w:t>voice allocation</w:t>
      </w:r>
      <w:r w:rsidRPr="00CF31E0">
        <w:rPr>
          <w:rFonts w:eastAsia="Times New Roman"/>
          <w:color w:val="000000" w:themeColor="text1"/>
          <w:szCs w:val="22"/>
          <w:lang w:eastAsia="zh-CN"/>
        </w:rPr>
        <w:t xml:space="preserve"> task is incorporated within an experiment to test the effects of metalinguistic factors </w:t>
      </w:r>
      <w:r w:rsidRPr="00CF31E0">
        <w:rPr>
          <w:rFonts w:eastAsia="Times New Roman"/>
          <w:color w:val="000000" w:themeColor="text1"/>
          <w:szCs w:val="22"/>
          <w:lang w:eastAsia="zh-CN"/>
        </w:rPr>
        <w:fldChar w:fldCharType="begin"/>
      </w:r>
      <w:r w:rsidRPr="00CF31E0">
        <w:rPr>
          <w:rFonts w:eastAsia="Times New Roman"/>
          <w:color w:val="000000" w:themeColor="text1"/>
          <w:szCs w:val="22"/>
          <w:lang w:eastAsia="zh-CN"/>
        </w:rPr>
        <w:instrText xml:space="preserve"> ADDIN ZOTERO_ITEM CSL_CITATION {"citationID":"a1o13t1c0hm","properties":{"formattedCitation":"(Hay, Nolan, &amp; Drager, 2006a; Hay, Jennifer &amp; Drager, Katie, 2010; Niedzielski, 1999)","plainCitation":"(Hay, Nolan, &amp; Drager, 2006a; Hay, Jennifer &amp; Drager, Katie, 2010; Niedzielski, 1999)","noteIndex":0},"citationItems":[{"id":345,"uris":["http://zotero.org/users/1939618/items/8WESUNPI"],"uri":["http://zotero.org/users/1939618/items/8WESUNPI"],"itemData":{"id":345,"type":"article-journal","title":"From fush to feesh: Exemplar priming in speech perception","container-title":"The Linguistic Review","page":"351–379","volume":"23","issue":"3","source":"find.shef.ac.uk","abstract":"Niedzielski (1999) reports on an experiment which demonstrates that individuals in Detroit ‘hear’ more Canadian Raising in the speech of a speaker when they think that speaker is Canadian. We describe an experiment designed to follow up on this result in a New Zealand context. Participants listened to a New Zealand English (NZE) speaker reading a list of sentences. Each sentence appeared on the answer-sheet, with a target word underlined. For each sentence, participants were asked to select from a synthesized vowel continuum the token that best matched the target vowel produced by the speaker. Half the participants had an answer-sheet with the word ‘Australian’ written on it, and half had an answer-sheet with ‘New Zealander’ written on it. Participants in the two conditions behaved significantly differently from one another. For example, they were more likely to hear a higher fronter / i / vowel when ‘Australian’ appeared on the answer sheet, and more likely to hear a centralized version when ‘New Zealander’ appeared – a trend which reflects production differences between the two dialects. This is despite the fact that nearly all participants reported that they knew they were listening to a New Zealander. We discuss the implication of these results, and argue that they support exemplar models of speech perception.","DOI":"10.1515/TLR.2006.014","ISSN":"0167-6318","shortTitle":"From fush to feesh","author":[{"family":"Hay","given":"Jennifer"},{"family":"Nolan","given":"Aaron"},{"family":"Drager","given":"Katie"}],"issued":{"literal":"2006a"}},"label":"page"},{"id":291,"uris":["http://zotero.org/users/1939618/items/J2RHJYXU"],"uri":["http://zotero.org/users/1939618/items/J2RHJYXU"],"itemData":{"id":291,"type":"article-journal","title":"Stuffed toys and speech perception : Linguistics","volume":"48","issue":"4","URL":"https://www.degruyter.com/view/j/ling.2010.48.issue-4/ling.2010.027/ling.2010.027.xml","author":[{"literal":"Hay, Jennifer"},{"literal":"Drager, Katie"}],"issued":{"date-parts":[["2010"]]},"accessed":{"date-parts":[["2017",12,28]]}},"label":"page"},{"id":293,"uris":["http://zotero.org/users/1939618/items/IR99WY6K"],"uri":["http://zotero.org/users/1939618/items/IR99WY6K"],"itemData":{"id":293,"type":"article-journal","title":"The effect of social information on the perception of sociolinguistic variables","container-title":"Journal of language and social psychology","page":"62–85","volume":"18","issue":"1","source":"Google Scholar","author":[{"family":"Niedzielski","given":"Nancy"}],"issued":{"date-parts":[["1999"]]}},"label":"page"}],"schema":"https://github.com/citation-style-language/schema/raw/master/csl-citation.json"} </w:instrText>
      </w:r>
      <w:r w:rsidRPr="00CF31E0">
        <w:rPr>
          <w:rFonts w:eastAsia="Times New Roman"/>
          <w:color w:val="000000" w:themeColor="text1"/>
          <w:szCs w:val="22"/>
          <w:lang w:eastAsia="zh-CN"/>
        </w:rPr>
        <w:fldChar w:fldCharType="separate"/>
      </w:r>
      <w:r w:rsidRPr="00CF31E0">
        <w:rPr>
          <w:rFonts w:eastAsia="Times New Roman"/>
          <w:noProof/>
          <w:color w:val="000000" w:themeColor="text1"/>
          <w:szCs w:val="22"/>
          <w:lang w:eastAsia="zh-CN"/>
        </w:rPr>
        <w:t>(Hay</w:t>
      </w:r>
      <w:r w:rsidR="00924EFC" w:rsidRPr="00CF31E0">
        <w:rPr>
          <w:rFonts w:eastAsia="Times New Roman"/>
          <w:noProof/>
          <w:color w:val="000000" w:themeColor="text1"/>
          <w:szCs w:val="22"/>
          <w:lang w:eastAsia="zh-CN"/>
        </w:rPr>
        <w:t xml:space="preserve"> et al., </w:t>
      </w:r>
      <w:r w:rsidR="00074CE4" w:rsidRPr="00CF31E0">
        <w:rPr>
          <w:rFonts w:eastAsia="Times New Roman"/>
          <w:noProof/>
          <w:color w:val="000000" w:themeColor="text1"/>
          <w:szCs w:val="22"/>
          <w:lang w:eastAsia="zh-CN"/>
        </w:rPr>
        <w:t>2006</w:t>
      </w:r>
      <w:r w:rsidRPr="00CF31E0">
        <w:rPr>
          <w:rFonts w:eastAsia="Times New Roman"/>
          <w:noProof/>
          <w:color w:val="000000" w:themeColor="text1"/>
          <w:szCs w:val="22"/>
          <w:lang w:eastAsia="zh-CN"/>
        </w:rPr>
        <w:t>; Hay &amp; Drager, 2010; Niedzielski, 1999)</w:t>
      </w:r>
      <w:r w:rsidRPr="00CF31E0">
        <w:rPr>
          <w:rFonts w:eastAsia="Times New Roman"/>
          <w:color w:val="000000" w:themeColor="text1"/>
          <w:szCs w:val="22"/>
          <w:lang w:eastAsia="zh-CN"/>
        </w:rPr>
        <w:fldChar w:fldCharType="end"/>
      </w:r>
      <w:r w:rsidRPr="00CF31E0">
        <w:rPr>
          <w:rFonts w:eastAsia="Times New Roman"/>
          <w:color w:val="000000" w:themeColor="text1"/>
          <w:szCs w:val="22"/>
          <w:lang w:eastAsia="zh-CN"/>
        </w:rPr>
        <w:t xml:space="preserve">. However, none of the studies, to my knowledge, have incorporated all of the above in a single task. The present study, </w:t>
      </w:r>
      <w:r w:rsidR="003F59D3" w:rsidRPr="00CF31E0">
        <w:rPr>
          <w:rFonts w:eastAsia="Times New Roman"/>
          <w:color w:val="000000" w:themeColor="text1"/>
          <w:szCs w:val="22"/>
          <w:lang w:eastAsia="zh-CN"/>
        </w:rPr>
        <w:t>as far as I am aware</w:t>
      </w:r>
      <w:r w:rsidRPr="00CF31E0">
        <w:rPr>
          <w:rFonts w:eastAsia="Times New Roman"/>
          <w:color w:val="000000" w:themeColor="text1"/>
          <w:szCs w:val="22"/>
          <w:lang w:eastAsia="zh-CN"/>
        </w:rPr>
        <w:t xml:space="preserve">, is the first study to attempt to incorporate the aforementioned three techniques in one question to reveal the effects of metalinguistic factors on speech perception on the one hand and to uncover the ratings toward voice samples where participants have undergone a distraction process (see section </w:t>
      </w:r>
      <w:r w:rsidR="003101EF" w:rsidRPr="00CF31E0">
        <w:rPr>
          <w:rFonts w:eastAsia="Times New Roman"/>
          <w:color w:val="000000" w:themeColor="text1"/>
          <w:szCs w:val="22"/>
          <w:lang w:eastAsia="zh-CN"/>
        </w:rPr>
        <w:t>5</w:t>
      </w:r>
      <w:r w:rsidR="00E777CD" w:rsidRPr="00CF31E0">
        <w:rPr>
          <w:rFonts w:eastAsia="Times New Roman"/>
          <w:color w:val="000000" w:themeColor="text1"/>
          <w:szCs w:val="22"/>
          <w:lang w:eastAsia="zh-CN"/>
        </w:rPr>
        <w:t>.5.2.4.</w:t>
      </w:r>
      <w:r w:rsidR="003101EF" w:rsidRPr="00CF31E0">
        <w:rPr>
          <w:rFonts w:eastAsia="Times New Roman"/>
          <w:color w:val="000000" w:themeColor="text1"/>
          <w:szCs w:val="22"/>
          <w:lang w:eastAsia="zh-CN"/>
        </w:rPr>
        <w:t xml:space="preserve"> below</w:t>
      </w:r>
      <w:r w:rsidRPr="00CF31E0">
        <w:rPr>
          <w:rFonts w:eastAsia="Times New Roman"/>
          <w:color w:val="000000" w:themeColor="text1"/>
          <w:szCs w:val="22"/>
          <w:lang w:eastAsia="zh-CN"/>
        </w:rPr>
        <w:t xml:space="preserve">) </w:t>
      </w:r>
    </w:p>
    <w:p w14:paraId="6E6ACD3C" w14:textId="4F5C2FC7" w:rsidR="00160CC4" w:rsidRPr="00CF31E0" w:rsidRDefault="003101EF" w:rsidP="00E87209">
      <w:pPr>
        <w:pStyle w:val="Ahead"/>
        <w:jc w:val="both"/>
        <w:rPr>
          <w:rFonts w:eastAsia="Times New Roman"/>
        </w:rPr>
      </w:pPr>
      <w:bookmarkStart w:id="271" w:name="_Toc6472669"/>
      <w:r w:rsidRPr="00CF31E0">
        <w:rPr>
          <w:rFonts w:eastAsia="Times New Roman"/>
        </w:rPr>
        <w:t>5</w:t>
      </w:r>
      <w:r w:rsidR="00AE78AB" w:rsidRPr="00CF31E0">
        <w:rPr>
          <w:rFonts w:eastAsia="Times New Roman"/>
        </w:rPr>
        <w:t>.5.</w:t>
      </w:r>
      <w:r w:rsidR="00AE78AB" w:rsidRPr="00CF31E0">
        <w:rPr>
          <w:rFonts w:eastAsia="Times New Roman"/>
        </w:rPr>
        <w:tab/>
      </w:r>
      <w:r w:rsidR="00160CC4" w:rsidRPr="00CF31E0">
        <w:rPr>
          <w:rFonts w:eastAsia="Times New Roman"/>
        </w:rPr>
        <w:t>Methods in the study</w:t>
      </w:r>
      <w:bookmarkEnd w:id="271"/>
      <w:r w:rsidR="00160CC4" w:rsidRPr="00CF31E0">
        <w:rPr>
          <w:rFonts w:eastAsia="Times New Roman"/>
        </w:rPr>
        <w:t xml:space="preserve"> </w:t>
      </w:r>
    </w:p>
    <w:p w14:paraId="12506074" w14:textId="6381C645" w:rsidR="00160CC4" w:rsidRPr="00CF31E0" w:rsidRDefault="00160CC4" w:rsidP="00603CB7">
      <w:pPr>
        <w:pStyle w:val="Paragraph"/>
        <w:rPr>
          <w:lang w:eastAsia="zh-CN"/>
        </w:rPr>
      </w:pPr>
      <w:r w:rsidRPr="00CF31E0">
        <w:rPr>
          <w:lang w:eastAsia="zh-CN"/>
        </w:rPr>
        <w:t xml:space="preserve">I used a questionnaire as the main method in the study. As discussed in the literature review, questionnaires have proved to be successful in language attitude studies </w:t>
      </w:r>
      <w:r w:rsidRPr="00CF31E0">
        <w:rPr>
          <w:lang w:eastAsia="zh-CN"/>
        </w:rPr>
        <w:fldChar w:fldCharType="begin"/>
      </w:r>
      <w:r w:rsidRPr="00CF31E0">
        <w:rPr>
          <w:lang w:eastAsia="zh-CN"/>
        </w:rPr>
        <w:instrText xml:space="preserve"> ADDIN ZOTERO_ITEM CSL_CITATION {"citationID":"ERz0A6DI","properties":{"formattedCitation":"(Cargile, Giles, Ryan, &amp; Bradac, 1994; Garrett et al., 2009, 2005b; Montgomery, 2007; Paltridge &amp; Giles, 1984)","plainCitation":"(Cargile, Giles, Ryan, &amp; Bradac, 1994; Garrett et al., 2009, 2005b; Montgomery, 2007; Paltridge &amp; Giles, 1984)","noteIndex":0},"citationItems":[{"id":329,"uris":["http://zotero.org/users/1939618/items/9LEG7T6Y"],"uri":["http://zotero.org/users/1939618/items/9LEG7T6Y"],"itemData":{"id":329,"type":"article-journal","title":"Language attitudes as a social process: A conceptual model and new directions","container-title":"Special Issue Language Attitutes","page":"211-236","volume":"14","issue":"3","DOI":"10.1016/0271-5309(94)90001-9","ISSN":"0271-5309","journalAbbreviation":"Language &amp; Communication","author":[{"family":"Cargile","given":"Aaron C."},{"family":"Giles","given":"Howard"},{"family":"Ryan","given":"Ellen B."},{"family":"Bradac","given":"James J."}],"issued":{"date-parts":[["1994",7,1]]}},"label":"page"},{"id":334,"uris":["http://zotero.org/users/1939618/items/66HZN4X8"],"uri":["http://zotero.org/users/1939618/items/66HZN4X8"],"itemData":{"id":334,"type":"article-journal","title":"Diasporic ethnolinguistic subjectivities: Patagonia, North America, and Wales","container-title":"International Journal of the Sociology of Language","volume":"2009","issue":"195","source":"CrossRef","abstract":"A total of 956 informants with links to Wales — from Patagonia, North America, and Wales itself — completed a questionnaire investigating their Welsh identities and a‰liation, their images of Wales, their engagement with Welsh cultural practices, and their perceptions of the ethnolinguistic vitality of the Welsh language and of domain priorities for the use of Welsh. These three groups produced systematic variation across many of the issues in this study. Overall, for example, the North Americans oriented their Welshness to Wales itself, and in particular in the history and heritage of Wales, while the Patagonians and the Welsh anchored their Welsh identity within their own contexts, and with less focus on the history and heritage of Wales. The results o¤er insights into the complexity of ‘‘home’’ and ‘‘diaspora’’ relationships, historical and geo-cultural di¤erences, and their impact on Welsh cultural authenticity and ethnolinguistic subjectivities.","URL":"https://www.degruyter.com/view/j/ijsl.2009.2009.issue-195/ijsl.2009.010/ijsl.2009.010.xml","DOI":"10.1515/IJSL.2009.010","ISSN":"0165-2516, 1613-3668","shortTitle":"Diasporic ethnolinguistic subjectivities","author":[{"family":"Garrett","given":"Peter"},{"family":"Bishop","given":"Hywel"},{"family":"Coupland","given":"Nikolas"}],"issued":{"date-parts":[["2009",1]]},"accessed":{"date-parts":[["2018",3,15]]}},"label":"page"},{"id":326,"uris":["http://zotero.org/users/1939618/items/CTAELXKB"],"uri":["http://zotero.org/users/1939618/items/CTAELXKB"],"itemData":{"id":326,"type":"article-journal","title":"Attitudinal data from New Zealand, Australia, the USA and UK about each other’s Englishes: Recent changes or consequences of methodologies?","container-title":"Multilingua","page":"211–235","volume":"24","issue":"3","source":"DeGruyter","abstract":"Recent attitudinal research by Bayard et al. (2001) suggested changes in the comparative evaluations of Australian, New Zealand, US and English Englishes, with US English on its way to becoming the preferred variety. We revisit these attitudes after a period of political change in the US, and using a research methodology in line with folklinguistic approaches to attitudes research (e. g. Preston 1996). Convenience samples of respondents in these four countries were asked to identify the countries where they knew English was spoken as a native language, and then quickly to write down their first reactions to those varieties. US English was viewed strikingly negatively in terms of its affective associations, and there were references to ‘excess’ from all respondent groups (e. g. overassertive, overenthusiastic). And, against expectations, the affective profile of English English was not overwhelmingly negative for all groups of respondents. We consider the results in relation to the findings and methods of the earlier studies, and also briefly consider the different statuses of these varieties in terms of the current discussion of late modernity and of different standard varieties (e. g. Kristiansen 2001b) serving different aspects of social life.","DOI":"10.1515/mult.2005.24.3.211","ISSN":"1613-3684","shortTitle":"Attitudinal data from New Zealand, Australia, the USA and UK about each other’s Englishes","author":[{"family":"Garrett","given":"Peter"},{"family":"Williams","given":"Angie"},{"family":"Evans","given":"Betsy"}],"issued":{"date-parts":[["2005"]]}},"label":"page"},{"id":3,"uris":["http://zotero.org/users/1939618/items/IB93562T"],"uri":["http://zotero.org/users/1939618/items/IB93562T"],"itemData":{"id":3,"type":"thesis","title":"Northern English Dialects: A perceptual approach","publisher":"University of Sheffield","genre":"Thesis","source":"etheses.whiterose.ac.uk","abstract":"Perceptual dialectology has the capacity to deliver a great many benefits to the study of language varieties.  It also allows examination of the underlying factors in dialect use such as the ‘beliefs, attitudes and strategies’ (Preston, 1999: xxiii) which make up language users’ reactions to language varieties.  In this way it has the potential to ask questions of identity and explore the reasons for dialect loyalty as well as complementing other research in the field of language variation and change.\n\nUsing a perceptual framework, this research investigates the relationship between the north and south of England and gains access to some of the key concepts which affect informants’ view of this important social, cultural and historical relationship.  Perceptions of salient dialect areas are also assessed using informants from three locations in the north of England via the completion of a draw-a-map task (Preston, 1999: xxxiv).  Many of the factors which impact on the perception of dialect areas are discussed, with phenomena of proximity and cultural salience demonstrating an important role.  An analysis of informants’ reactions to voice samples from across England is also undertaken using methods adapted from the fields of linguistics (Embleton &amp; Wheeler, 1997, Giles &amp; Powesland, 1975, Niedzielski &amp; Preston, 2003) as well perceptual geography (Pocock, 1972).  The link between map-based perception and reaction to voice samples is examined, with interesting conclusions. \n\nFour key research questions are addressed:\n\n1.\tDo respondents have a linguistic ‘cognitive map’ of a north of England, and do respondents recognise there to be internal boundaries within ‘their’ north of England?\n2.\tDoes home-town location of informants affect the perception of dialect area? \n3.\tWhat are informants’ perceptions of the language varieties in the north of England?\n4.\tIs there a relationship between perception and ‘reality’ (production), and can respondents recognise the varieties they have identified?\n\nThese questions will be addressed using the methods described above and the results accounted for through comparison with a wide range of previous studies in the fields of dialectology (Trudgill, 1999, Upton, Sanderson &amp; Widdowson, 1987, Wells, 1982), social and cultural history (Wales, 2006), perceptual dialectology (Long &amp; Preston, 2002), sociolinguistics (Giles &amp; Powesland, 1975) and perceptual geography (Gould &amp; White, 1986).","URL":"http://etheses.whiterose.ac.uk/1203/","shortTitle":"Northern English Dialects","author":[{"family":"Montgomery","given":"Chris"}],"issued":{"date-parts":[["2007",1,16]]},"accessed":{"date-parts":[["2014",9,24]]}},"label":"page"},{"id":297,"uris":["http://zotero.org/users/1939618/items/ZW9FGN84"],"uri":["http://zotero.org/users/1939618/items/ZW9FGN84"],"itemData":{"id":297,"type":"article-journal","title":"Attitudes towards speakers of regional accents of French: Effects of regionality, age and sex of listeners","container-title":"Linguistische Berichte","page":"71–85","issue":"90","source":"Google Scholar","shortTitle":"Attitudes towards speakers of regional accents of French","author":[{"family":"Paltridge","given":"John"},{"family":"Giles","given":"Howard"}],"issued":{"date-parts":[["1984"]]}},"label":"page"}],"schema":"https://github.com/citation-style-language/schema/raw/master/csl-citation.json"} </w:instrText>
      </w:r>
      <w:r w:rsidRPr="00CF31E0">
        <w:rPr>
          <w:lang w:eastAsia="zh-CN"/>
        </w:rPr>
        <w:fldChar w:fldCharType="separate"/>
      </w:r>
      <w:r w:rsidRPr="00CF31E0">
        <w:rPr>
          <w:noProof/>
          <w:lang w:eastAsia="zh-CN"/>
        </w:rPr>
        <w:t>(Cargile</w:t>
      </w:r>
      <w:r w:rsidR="00E25ADD" w:rsidRPr="00CF31E0">
        <w:rPr>
          <w:noProof/>
          <w:lang w:eastAsia="zh-CN"/>
        </w:rPr>
        <w:t xml:space="preserve"> et al.</w:t>
      </w:r>
      <w:r w:rsidRPr="00CF31E0">
        <w:rPr>
          <w:noProof/>
          <w:lang w:eastAsia="zh-CN"/>
        </w:rPr>
        <w:t xml:space="preserve">, 1994; Garrett et al., </w:t>
      </w:r>
      <w:r w:rsidR="00E25ADD" w:rsidRPr="00CF31E0">
        <w:rPr>
          <w:noProof/>
          <w:lang w:eastAsia="zh-CN"/>
        </w:rPr>
        <w:t xml:space="preserve">2005b, </w:t>
      </w:r>
      <w:r w:rsidRPr="00CF31E0">
        <w:rPr>
          <w:noProof/>
          <w:lang w:eastAsia="zh-CN"/>
        </w:rPr>
        <w:t>2009; Montgomery, 2007; Paltridge &amp; Giles, 1984)</w:t>
      </w:r>
      <w:r w:rsidRPr="00CF31E0">
        <w:rPr>
          <w:lang w:eastAsia="zh-CN"/>
        </w:rPr>
        <w:fldChar w:fldCharType="end"/>
      </w:r>
      <w:r w:rsidRPr="00CF31E0">
        <w:rPr>
          <w:lang w:eastAsia="zh-CN"/>
        </w:rPr>
        <w:t xml:space="preserve">. </w:t>
      </w:r>
    </w:p>
    <w:p w14:paraId="42821336" w14:textId="558A0B3C" w:rsidR="00160CC4" w:rsidRPr="00CF31E0" w:rsidRDefault="00160CC4" w:rsidP="00603CB7">
      <w:pPr>
        <w:pStyle w:val="Paragraph"/>
        <w:rPr>
          <w:lang w:eastAsia="zh-CN"/>
        </w:rPr>
      </w:pPr>
      <w:r w:rsidRPr="00CF31E0">
        <w:rPr>
          <w:lang w:eastAsia="zh-CN"/>
        </w:rPr>
        <w:t>I designed two separate questionnaires; one for piloting the labels to be included in the final questionnaire, based on the keyword technique. The other was used in the final methodology where it addressed the three research questions mentioned</w:t>
      </w:r>
      <w:r w:rsidR="000D28CA" w:rsidRPr="00CF31E0">
        <w:rPr>
          <w:lang w:eastAsia="zh-CN"/>
        </w:rPr>
        <w:t xml:space="preserve">. </w:t>
      </w:r>
      <w:r w:rsidRPr="00CF31E0">
        <w:rPr>
          <w:lang w:eastAsia="zh-CN"/>
        </w:rPr>
        <w:t xml:space="preserve">Thus, different sections were designed to address different research questions. </w:t>
      </w:r>
    </w:p>
    <w:p w14:paraId="1327D41D" w14:textId="014D2FD2" w:rsidR="00160CC4" w:rsidRPr="00CF31E0" w:rsidRDefault="003101EF" w:rsidP="00603CB7">
      <w:pPr>
        <w:pStyle w:val="Bhead"/>
        <w:ind w:left="0" w:firstLine="0"/>
        <w:jc w:val="both"/>
      </w:pPr>
      <w:bookmarkStart w:id="272" w:name="_Toc6472670"/>
      <w:r w:rsidRPr="00CF31E0">
        <w:lastRenderedPageBreak/>
        <w:t>5.5.1.</w:t>
      </w:r>
      <w:r w:rsidRPr="00CF31E0">
        <w:tab/>
      </w:r>
      <w:r w:rsidR="00160CC4" w:rsidRPr="00CF31E0">
        <w:t>First questionnaire</w:t>
      </w:r>
      <w:r w:rsidR="00C86BDA" w:rsidRPr="00CF31E0">
        <w:t>: F</w:t>
      </w:r>
      <w:r w:rsidR="00160CC4" w:rsidRPr="00CF31E0">
        <w:t>ree</w:t>
      </w:r>
      <w:r w:rsidR="00C86BDA" w:rsidRPr="00CF31E0">
        <w:t>-adjective</w:t>
      </w:r>
      <w:r w:rsidR="00160CC4" w:rsidRPr="00CF31E0">
        <w:t xml:space="preserve"> questionnaire</w:t>
      </w:r>
      <w:bookmarkEnd w:id="272"/>
    </w:p>
    <w:p w14:paraId="7A0119AC" w14:textId="09304942" w:rsidR="00160CC4" w:rsidRPr="00CF31E0" w:rsidRDefault="00160CC4" w:rsidP="00603CB7">
      <w:pPr>
        <w:pStyle w:val="Paragraph"/>
        <w:rPr>
          <w:lang w:eastAsia="zh-CN"/>
        </w:rPr>
      </w:pPr>
      <w:r w:rsidRPr="00CF31E0">
        <w:rPr>
          <w:lang w:eastAsia="zh-CN"/>
        </w:rPr>
        <w:t>I adopted a direct approach where I used the free</w:t>
      </w:r>
      <w:r w:rsidR="00C86BDA" w:rsidRPr="00CF31E0">
        <w:rPr>
          <w:lang w:eastAsia="zh-CN"/>
        </w:rPr>
        <w:t>-adjective</w:t>
      </w:r>
      <w:r w:rsidRPr="00CF31E0">
        <w:rPr>
          <w:lang w:eastAsia="zh-CN"/>
        </w:rPr>
        <w:t xml:space="preserve"> questionnaire based on keyword technique. I administered the questionnaire in an online survey format, where I asked participants to label the top five characteristics they associate with each </w:t>
      </w:r>
      <w:r w:rsidRPr="00CF31E0">
        <w:t>dialect</w:t>
      </w:r>
      <w:r w:rsidRPr="00CF31E0">
        <w:rPr>
          <w:lang w:eastAsia="zh-CN"/>
        </w:rPr>
        <w:t xml:space="preserve">. The data were used as variables to be tested in the actual questionnaire in the next stage of the research process. </w:t>
      </w:r>
    </w:p>
    <w:p w14:paraId="1742E415" w14:textId="21CA7CF6" w:rsidR="00160CC4" w:rsidRPr="00CF31E0" w:rsidRDefault="00160CC4" w:rsidP="00603CB7">
      <w:pPr>
        <w:pStyle w:val="Paragraph"/>
        <w:rPr>
          <w:lang w:eastAsia="zh-CN"/>
        </w:rPr>
      </w:pPr>
      <w:r w:rsidRPr="00CF31E0">
        <w:rPr>
          <w:lang w:eastAsia="zh-CN"/>
        </w:rPr>
        <w:t>The sampling technique I used in the free</w:t>
      </w:r>
      <w:r w:rsidR="00C86BDA" w:rsidRPr="00CF31E0">
        <w:rPr>
          <w:lang w:eastAsia="zh-CN"/>
        </w:rPr>
        <w:t>-adjective</w:t>
      </w:r>
      <w:r w:rsidRPr="00CF31E0">
        <w:rPr>
          <w:lang w:eastAsia="zh-CN"/>
        </w:rPr>
        <w:t xml:space="preserve"> questionnaire was the quota sampling approach. It is a type of non-probability sampling where the resulting sample shares the same characteristics as the target population.</w:t>
      </w:r>
      <w:bookmarkStart w:id="273" w:name="ZOTERO_BREF_SW8MYueGLc7E"/>
      <w:r w:rsidRPr="00CF31E0">
        <w:rPr>
          <w:lang w:eastAsia="zh-CN"/>
        </w:rPr>
        <w:t xml:space="preserve"> </w:t>
      </w:r>
      <w:r w:rsidRPr="00CF31E0">
        <w:rPr>
          <w:szCs w:val="22"/>
          <w:lang w:eastAsia="zh-CN"/>
        </w:rPr>
        <w:t>D</w:t>
      </w:r>
      <w:r w:rsidR="005D0894" w:rsidRPr="00CF31E0">
        <w:rPr>
          <w:szCs w:val="22"/>
          <w:lang w:eastAsia="zh-CN"/>
        </w:rPr>
        <w:t>örnyei</w:t>
      </w:r>
      <w:r w:rsidRPr="00CF31E0">
        <w:rPr>
          <w:szCs w:val="22"/>
          <w:lang w:eastAsia="zh-CN"/>
        </w:rPr>
        <w:t xml:space="preserve"> (2007, p. 98)</w:t>
      </w:r>
      <w:bookmarkEnd w:id="273"/>
      <w:r w:rsidRPr="00CF31E0">
        <w:rPr>
          <w:szCs w:val="22"/>
          <w:lang w:eastAsia="zh-CN"/>
        </w:rPr>
        <w:t xml:space="preserve"> </w:t>
      </w:r>
      <w:r w:rsidRPr="00CF31E0">
        <w:rPr>
          <w:lang w:eastAsia="zh-CN"/>
        </w:rPr>
        <w:t>summarizes quota sampling as follows:</w:t>
      </w:r>
    </w:p>
    <w:p w14:paraId="7C34B232" w14:textId="13E3D4A4" w:rsidR="00160CC4" w:rsidRPr="00CF31E0" w:rsidRDefault="00160CC4" w:rsidP="00603CB7">
      <w:pPr>
        <w:pStyle w:val="Extract"/>
        <w:rPr>
          <w:lang w:eastAsia="zh-CN"/>
        </w:rPr>
      </w:pPr>
      <w:r w:rsidRPr="00CF31E0">
        <w:rPr>
          <w:lang w:eastAsia="zh-CN"/>
        </w:rPr>
        <w:t>We start off with a sampling frame and then determine the main proportions of the subgroups defined by the parameters included in the frame. The actual sample then is selected in a way as to reflect these proportions, but within the weighted subgroups no random sampling is used but rather the researcher meets the quotas by selecting participants he/she can have access to.</w:t>
      </w:r>
    </w:p>
    <w:p w14:paraId="0CA52DB1" w14:textId="7028ADF6" w:rsidR="00160CC4" w:rsidRPr="00CF31E0" w:rsidRDefault="00160CC4" w:rsidP="00603CB7">
      <w:pPr>
        <w:pStyle w:val="Paragraph"/>
        <w:rPr>
          <w:lang w:eastAsia="zh-CN"/>
        </w:rPr>
      </w:pPr>
      <w:r w:rsidRPr="00CF31E0">
        <w:rPr>
          <w:lang w:eastAsia="zh-CN"/>
        </w:rPr>
        <w:t>In the current research, quota sampling was used to construct the sample for the free-adjective questionnaire. The quota for the sampling frame in this piece of research was 18 UBH and HH respondents from the Hijaz region in Western S</w:t>
      </w:r>
      <w:r w:rsidR="0015491A" w:rsidRPr="00CF31E0">
        <w:rPr>
          <w:lang w:eastAsia="zh-CN"/>
        </w:rPr>
        <w:t>A</w:t>
      </w:r>
      <w:r w:rsidRPr="00CF31E0">
        <w:rPr>
          <w:lang w:eastAsia="zh-CN"/>
        </w:rPr>
        <w:t xml:space="preserve">. In other words, I deliberately chose 18 female UBH and HH Saudis aged from 18 to 52 (see Table </w:t>
      </w:r>
      <w:r w:rsidR="004658FC" w:rsidRPr="00CF31E0">
        <w:rPr>
          <w:lang w:eastAsia="zh-CN"/>
        </w:rPr>
        <w:t>4.1</w:t>
      </w:r>
      <w:r w:rsidRPr="00CF31E0">
        <w:rPr>
          <w:lang w:eastAsia="zh-CN"/>
        </w:rPr>
        <w:t xml:space="preserve">). I sent them the questionnaire in the Arabic language via WhatsApp instant messages along with the consent form in February 2016. I selected a comparable number of respondents from both subgroups (i.e. HH and UBH) and distributed the questionnaire to them online. It is female participants because they </w:t>
      </w:r>
      <w:r w:rsidR="0042776A" w:rsidRPr="00CF31E0">
        <w:rPr>
          <w:lang w:eastAsia="zh-CN"/>
        </w:rPr>
        <w:t xml:space="preserve">were </w:t>
      </w:r>
      <w:r w:rsidRPr="00CF31E0">
        <w:rPr>
          <w:lang w:eastAsia="zh-CN"/>
        </w:rPr>
        <w:t xml:space="preserve">more convenient to recruit as all my friends are female. Thus, a total of 18 Saudi participants from both social groups were selected for the free-adjective questionnaire. </w:t>
      </w:r>
    </w:p>
    <w:p w14:paraId="749CCC48" w14:textId="77777777" w:rsidR="00CF6362" w:rsidRPr="00CF31E0" w:rsidRDefault="00CF6362" w:rsidP="00603CB7">
      <w:pPr>
        <w:pStyle w:val="Paragraph"/>
        <w:rPr>
          <w:lang w:eastAsia="zh-CN"/>
        </w:rPr>
      </w:pPr>
    </w:p>
    <w:p w14:paraId="3E55CD7C" w14:textId="77777777" w:rsidR="00CF6362" w:rsidRPr="00CF31E0" w:rsidRDefault="00CF6362" w:rsidP="00603CB7">
      <w:pPr>
        <w:pStyle w:val="Paragraph"/>
        <w:rPr>
          <w:lang w:eastAsia="zh-CN"/>
        </w:rPr>
      </w:pPr>
    </w:p>
    <w:tbl>
      <w:tblPr>
        <w:tblW w:w="6804" w:type="dxa"/>
        <w:tblLayout w:type="fixed"/>
        <w:tblCellMar>
          <w:left w:w="0" w:type="dxa"/>
          <w:right w:w="0" w:type="dxa"/>
        </w:tblCellMar>
        <w:tblLook w:val="04A0" w:firstRow="1" w:lastRow="0" w:firstColumn="1" w:lastColumn="0" w:noHBand="0" w:noVBand="1"/>
      </w:tblPr>
      <w:tblGrid>
        <w:gridCol w:w="1701"/>
        <w:gridCol w:w="1701"/>
        <w:gridCol w:w="1701"/>
        <w:gridCol w:w="1701"/>
      </w:tblGrid>
      <w:tr w:rsidR="008A474A" w:rsidRPr="00CF31E0" w14:paraId="32E14718" w14:textId="15050F27" w:rsidTr="004F45D7">
        <w:trPr>
          <w:cantSplit/>
          <w:trHeight w:val="567"/>
        </w:trPr>
        <w:tc>
          <w:tcPr>
            <w:tcW w:w="1701" w:type="dxa"/>
            <w:tcBorders>
              <w:top w:val="single" w:sz="8" w:space="0" w:color="000000"/>
              <w:bottom w:val="single" w:sz="8" w:space="0" w:color="000000"/>
            </w:tcBorders>
            <w:shd w:val="clear" w:color="auto" w:fill="FFFFFF"/>
          </w:tcPr>
          <w:p w14:paraId="258ECC07" w14:textId="7706E1FF" w:rsidR="008A474A" w:rsidRPr="00CF31E0" w:rsidRDefault="008A474A" w:rsidP="004F45D7">
            <w:pPr>
              <w:spacing w:before="120" w:after="120"/>
              <w:rPr>
                <w:rFonts w:asciiTheme="majorBidi" w:hAnsiTheme="majorBidi" w:cstheme="majorBidi"/>
                <w:color w:val="000000" w:themeColor="text1"/>
                <w:sz w:val="22"/>
                <w:szCs w:val="22"/>
              </w:rPr>
            </w:pPr>
            <w:bookmarkStart w:id="274" w:name="_Toc522527393"/>
            <w:bookmarkStart w:id="275" w:name="_Toc522628805"/>
            <w:bookmarkStart w:id="276" w:name="_Toc522628969"/>
            <w:r w:rsidRPr="00CF31E0">
              <w:rPr>
                <w:rFonts w:asciiTheme="majorBidi" w:hAnsiTheme="majorBidi" w:cstheme="majorBidi"/>
                <w:color w:val="000000" w:themeColor="text1"/>
                <w:sz w:val="22"/>
                <w:szCs w:val="22"/>
              </w:rPr>
              <w:lastRenderedPageBreak/>
              <w:t>Social group</w:t>
            </w:r>
          </w:p>
        </w:tc>
        <w:tc>
          <w:tcPr>
            <w:tcW w:w="1701" w:type="dxa"/>
            <w:tcBorders>
              <w:top w:val="single" w:sz="8" w:space="0" w:color="000000"/>
              <w:bottom w:val="single" w:sz="8" w:space="0" w:color="000000"/>
            </w:tcBorders>
            <w:shd w:val="clear" w:color="auto" w:fill="FFFFFF"/>
          </w:tcPr>
          <w:p w14:paraId="7235F7F7" w14:textId="5E18FC9B" w:rsidR="008A474A" w:rsidRPr="00CF31E0" w:rsidRDefault="008A474A" w:rsidP="004F45D7">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Number of participants</w:t>
            </w:r>
          </w:p>
        </w:tc>
        <w:tc>
          <w:tcPr>
            <w:tcW w:w="1701" w:type="dxa"/>
            <w:tcBorders>
              <w:top w:val="single" w:sz="8" w:space="0" w:color="000000"/>
              <w:bottom w:val="single" w:sz="8" w:space="0" w:color="000000"/>
            </w:tcBorders>
            <w:shd w:val="clear" w:color="auto" w:fill="FFFFFF"/>
          </w:tcPr>
          <w:p w14:paraId="1B76AD41" w14:textId="7F9FA1A5" w:rsidR="008A474A" w:rsidRPr="00CF31E0" w:rsidRDefault="008A474A" w:rsidP="004F45D7">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Gender</w:t>
            </w:r>
          </w:p>
        </w:tc>
        <w:tc>
          <w:tcPr>
            <w:tcW w:w="1701" w:type="dxa"/>
            <w:tcBorders>
              <w:top w:val="single" w:sz="8" w:space="0" w:color="000000"/>
              <w:bottom w:val="single" w:sz="8" w:space="0" w:color="000000"/>
            </w:tcBorders>
            <w:shd w:val="clear" w:color="auto" w:fill="FFFFFF"/>
          </w:tcPr>
          <w:p w14:paraId="7E22F580" w14:textId="7A4C4D22" w:rsidR="008A474A" w:rsidRPr="00CF31E0" w:rsidDel="008A474A" w:rsidRDefault="008A474A" w:rsidP="008A474A">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Age</w:t>
            </w:r>
          </w:p>
        </w:tc>
      </w:tr>
      <w:tr w:rsidR="008A474A" w:rsidRPr="00CF31E0" w14:paraId="3C4F65B7" w14:textId="1E312165" w:rsidTr="004F45D7">
        <w:trPr>
          <w:cantSplit/>
        </w:trPr>
        <w:tc>
          <w:tcPr>
            <w:tcW w:w="1701" w:type="dxa"/>
            <w:tcBorders>
              <w:top w:val="single" w:sz="8" w:space="0" w:color="000000"/>
            </w:tcBorders>
            <w:shd w:val="clear" w:color="auto" w:fill="FFFFFF"/>
          </w:tcPr>
          <w:p w14:paraId="07712B34" w14:textId="22FB2C7F" w:rsidR="008A474A" w:rsidRPr="00CF31E0" w:rsidRDefault="008A474A" w:rsidP="004F45D7">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UBH</w:t>
            </w:r>
          </w:p>
        </w:tc>
        <w:tc>
          <w:tcPr>
            <w:tcW w:w="1701" w:type="dxa"/>
            <w:tcBorders>
              <w:top w:val="single" w:sz="8" w:space="0" w:color="000000"/>
            </w:tcBorders>
            <w:shd w:val="clear" w:color="auto" w:fill="FFFFFF"/>
          </w:tcPr>
          <w:p w14:paraId="1B93284F" w14:textId="610A8B1D" w:rsidR="008A474A" w:rsidRPr="00CF31E0" w:rsidRDefault="008A474A" w:rsidP="004F45D7">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9</w:t>
            </w:r>
          </w:p>
        </w:tc>
        <w:tc>
          <w:tcPr>
            <w:tcW w:w="1701" w:type="dxa"/>
            <w:tcBorders>
              <w:top w:val="single" w:sz="8" w:space="0" w:color="000000"/>
            </w:tcBorders>
            <w:shd w:val="clear" w:color="auto" w:fill="FFFFFF"/>
            <w:vAlign w:val="center"/>
          </w:tcPr>
          <w:p w14:paraId="777E1DF0" w14:textId="2FE85C4D" w:rsidR="008A474A" w:rsidRPr="00CF31E0" w:rsidRDefault="008A474A" w:rsidP="004F45D7">
            <w:pPr>
              <w:spacing w:before="120" w:after="120"/>
              <w:rPr>
                <w:rFonts w:asciiTheme="majorBidi" w:hAnsiTheme="majorBidi" w:cstheme="majorBidi"/>
                <w:color w:val="000000" w:themeColor="text1"/>
                <w:sz w:val="22"/>
                <w:szCs w:val="22"/>
                <w:lang w:val="en-US"/>
              </w:rPr>
            </w:pPr>
            <w:r w:rsidRPr="00CF31E0">
              <w:rPr>
                <w:rFonts w:asciiTheme="majorBidi" w:hAnsiTheme="majorBidi" w:cstheme="majorBidi"/>
                <w:color w:val="000000" w:themeColor="text1"/>
                <w:sz w:val="22"/>
                <w:szCs w:val="22"/>
                <w:lang w:val="en-US"/>
              </w:rPr>
              <w:t>Female</w:t>
            </w:r>
          </w:p>
        </w:tc>
        <w:tc>
          <w:tcPr>
            <w:tcW w:w="1701" w:type="dxa"/>
            <w:tcBorders>
              <w:top w:val="single" w:sz="8" w:space="0" w:color="000000"/>
            </w:tcBorders>
            <w:shd w:val="clear" w:color="auto" w:fill="FFFFFF"/>
          </w:tcPr>
          <w:p w14:paraId="5DDAD6C3" w14:textId="246C0859" w:rsidR="008A474A" w:rsidRPr="00CF31E0" w:rsidRDefault="008A474A" w:rsidP="004F45D7">
            <w:pPr>
              <w:spacing w:before="120" w:after="120"/>
              <w:rPr>
                <w:color w:val="000000" w:themeColor="text1"/>
                <w:sz w:val="22"/>
                <w:szCs w:val="22"/>
              </w:rPr>
            </w:pPr>
            <w:r w:rsidRPr="00CF31E0">
              <w:rPr>
                <w:color w:val="000000" w:themeColor="text1"/>
                <w:sz w:val="22"/>
                <w:szCs w:val="22"/>
              </w:rPr>
              <w:t>Over 18</w:t>
            </w:r>
          </w:p>
        </w:tc>
      </w:tr>
      <w:tr w:rsidR="008A474A" w:rsidRPr="00CF31E0" w14:paraId="44052D2E" w14:textId="2F6DE416" w:rsidTr="004F45D7">
        <w:trPr>
          <w:cantSplit/>
        </w:trPr>
        <w:tc>
          <w:tcPr>
            <w:tcW w:w="1701" w:type="dxa"/>
            <w:tcBorders>
              <w:bottom w:val="single" w:sz="8" w:space="0" w:color="auto"/>
            </w:tcBorders>
            <w:shd w:val="clear" w:color="auto" w:fill="FFFFFF"/>
          </w:tcPr>
          <w:p w14:paraId="4CFDFC1D" w14:textId="18E6CB8C" w:rsidR="008A474A" w:rsidRPr="00CF31E0" w:rsidRDefault="008A474A" w:rsidP="004F45D7">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HH</w:t>
            </w:r>
          </w:p>
        </w:tc>
        <w:tc>
          <w:tcPr>
            <w:tcW w:w="1701" w:type="dxa"/>
            <w:tcBorders>
              <w:bottom w:val="single" w:sz="8" w:space="0" w:color="auto"/>
            </w:tcBorders>
            <w:shd w:val="clear" w:color="auto" w:fill="FFFFFF"/>
          </w:tcPr>
          <w:p w14:paraId="46BDCE2F" w14:textId="6C87C6F3" w:rsidR="008A474A" w:rsidRPr="00CF31E0" w:rsidRDefault="008A474A" w:rsidP="004F45D7">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9</w:t>
            </w:r>
          </w:p>
        </w:tc>
        <w:tc>
          <w:tcPr>
            <w:tcW w:w="1701" w:type="dxa"/>
            <w:tcBorders>
              <w:bottom w:val="single" w:sz="8" w:space="0" w:color="auto"/>
            </w:tcBorders>
            <w:shd w:val="clear" w:color="auto" w:fill="FFFFFF"/>
            <w:vAlign w:val="center"/>
          </w:tcPr>
          <w:p w14:paraId="7A9BBF41" w14:textId="0029D1C4" w:rsidR="008A474A" w:rsidRPr="00CF31E0" w:rsidRDefault="008A474A" w:rsidP="004F45D7">
            <w:pPr>
              <w:spacing w:before="120" w:after="120"/>
              <w:rPr>
                <w:rFonts w:asciiTheme="majorBidi" w:hAnsiTheme="majorBidi" w:cstheme="majorBidi"/>
                <w:color w:val="000000" w:themeColor="text1"/>
                <w:sz w:val="22"/>
                <w:szCs w:val="22"/>
                <w:lang w:val="en-US"/>
              </w:rPr>
            </w:pPr>
            <w:r w:rsidRPr="00CF31E0">
              <w:rPr>
                <w:rFonts w:asciiTheme="majorBidi" w:hAnsiTheme="majorBidi" w:cstheme="majorBidi"/>
                <w:color w:val="000000" w:themeColor="text1"/>
                <w:sz w:val="22"/>
                <w:szCs w:val="22"/>
                <w:lang w:val="en-US"/>
              </w:rPr>
              <w:t>Female</w:t>
            </w:r>
          </w:p>
        </w:tc>
        <w:tc>
          <w:tcPr>
            <w:tcW w:w="1701" w:type="dxa"/>
            <w:tcBorders>
              <w:bottom w:val="single" w:sz="8" w:space="0" w:color="auto"/>
            </w:tcBorders>
            <w:shd w:val="clear" w:color="auto" w:fill="FFFFFF"/>
          </w:tcPr>
          <w:p w14:paraId="25D3F364" w14:textId="5F88FE52" w:rsidR="008A474A" w:rsidRPr="00CF31E0" w:rsidRDefault="008A474A" w:rsidP="004F45D7">
            <w:pPr>
              <w:spacing w:before="120" w:after="120"/>
              <w:rPr>
                <w:color w:val="000000" w:themeColor="text1"/>
                <w:sz w:val="22"/>
                <w:szCs w:val="22"/>
              </w:rPr>
            </w:pPr>
            <w:r w:rsidRPr="00CF31E0">
              <w:rPr>
                <w:color w:val="000000" w:themeColor="text1"/>
                <w:sz w:val="22"/>
                <w:szCs w:val="22"/>
              </w:rPr>
              <w:t>Over 18</w:t>
            </w:r>
          </w:p>
        </w:tc>
      </w:tr>
    </w:tbl>
    <w:p w14:paraId="13EC7D71" w14:textId="0C84AE9A" w:rsidR="00160CC4" w:rsidRPr="00CF31E0" w:rsidRDefault="00160CC4" w:rsidP="005D1502">
      <w:pPr>
        <w:pStyle w:val="Tablecaption"/>
        <w:rPr>
          <w:lang w:eastAsia="zh-CN"/>
        </w:rPr>
      </w:pPr>
      <w:bookmarkStart w:id="277" w:name="_Toc6473065"/>
      <w:r w:rsidRPr="00CF31E0">
        <w:rPr>
          <w:lang w:eastAsia="zh-CN"/>
        </w:rPr>
        <w:t xml:space="preserve">Table </w:t>
      </w:r>
      <w:r w:rsidR="008D1D09" w:rsidRPr="00CF31E0">
        <w:rPr>
          <w:lang w:eastAsia="zh-CN"/>
        </w:rPr>
        <w:t>5</w:t>
      </w:r>
      <w:r w:rsidR="004658FC" w:rsidRPr="00CF31E0">
        <w:rPr>
          <w:lang w:eastAsia="zh-CN"/>
        </w:rPr>
        <w:t>.1:</w:t>
      </w:r>
      <w:r w:rsidRPr="00CF31E0">
        <w:rPr>
          <w:lang w:eastAsia="zh-CN"/>
        </w:rPr>
        <w:t xml:space="preserve"> </w:t>
      </w:r>
      <w:r w:rsidR="004658FC" w:rsidRPr="00CF31E0">
        <w:rPr>
          <w:lang w:eastAsia="zh-CN"/>
        </w:rPr>
        <w:t>N</w:t>
      </w:r>
      <w:r w:rsidRPr="00CF31E0">
        <w:rPr>
          <w:lang w:eastAsia="zh-CN"/>
        </w:rPr>
        <w:t>umber and age of participants in the free</w:t>
      </w:r>
      <w:r w:rsidR="00C86BDA" w:rsidRPr="00CF31E0">
        <w:rPr>
          <w:lang w:eastAsia="zh-CN"/>
        </w:rPr>
        <w:t>-adjective</w:t>
      </w:r>
      <w:r w:rsidRPr="00CF31E0">
        <w:rPr>
          <w:lang w:eastAsia="zh-CN"/>
        </w:rPr>
        <w:t xml:space="preserve"> questionnaire</w:t>
      </w:r>
      <w:r w:rsidR="004658FC" w:rsidRPr="00CF31E0">
        <w:rPr>
          <w:lang w:eastAsia="zh-CN"/>
        </w:rPr>
        <w:t>.</w:t>
      </w:r>
      <w:bookmarkEnd w:id="274"/>
      <w:bookmarkEnd w:id="275"/>
      <w:bookmarkEnd w:id="276"/>
      <w:bookmarkEnd w:id="277"/>
    </w:p>
    <w:p w14:paraId="5ECA9EF7" w14:textId="592AF1F5" w:rsidR="00160CC4" w:rsidRPr="00CF31E0" w:rsidRDefault="00160CC4" w:rsidP="00603CB7">
      <w:pPr>
        <w:pStyle w:val="Paragraph"/>
        <w:rPr>
          <w:lang w:val="en-US" w:eastAsia="en-US"/>
        </w:rPr>
      </w:pPr>
      <w:r w:rsidRPr="00CF31E0">
        <w:rPr>
          <w:lang w:val="en-US" w:eastAsia="en-US"/>
        </w:rPr>
        <w:t>This is a methodology chapter but, exceptionally, I am going to include the results for the free</w:t>
      </w:r>
      <w:r w:rsidR="00C86BDA" w:rsidRPr="00CF31E0">
        <w:rPr>
          <w:lang w:val="en-US" w:eastAsia="en-US"/>
        </w:rPr>
        <w:t>-adjective</w:t>
      </w:r>
      <w:r w:rsidRPr="00CF31E0">
        <w:rPr>
          <w:lang w:val="en-US" w:eastAsia="en-US"/>
        </w:rPr>
        <w:t xml:space="preserve"> questionnaire in this chapter because they form the </w:t>
      </w:r>
      <w:r w:rsidR="0042776A" w:rsidRPr="00CF31E0">
        <w:rPr>
          <w:lang w:val="en-US" w:eastAsia="en-US"/>
        </w:rPr>
        <w:t xml:space="preserve">basis </w:t>
      </w:r>
      <w:r w:rsidRPr="00CF31E0">
        <w:rPr>
          <w:lang w:val="en-US" w:eastAsia="en-US"/>
        </w:rPr>
        <w:t>of the actual questionnaire in the research. The results from the free-adjective questionnaire revealed a total of 22 characteristics for both dialects (i.e. UBH and HH). Eleven characteristics were perceived as the most common ones associated with the UBH dialect and 11 characteristics were perceived as the most common ones associated with the HH dialect</w:t>
      </w:r>
      <w:r w:rsidRPr="00CF31E0">
        <w:rPr>
          <w:lang w:eastAsia="en-US"/>
        </w:rPr>
        <w:t xml:space="preserve">. </w:t>
      </w:r>
      <w:r w:rsidRPr="00CF31E0">
        <w:rPr>
          <w:lang w:val="en-US" w:eastAsia="en-US"/>
        </w:rPr>
        <w:t xml:space="preserve">Table </w:t>
      </w:r>
      <w:r w:rsidR="004658FC" w:rsidRPr="00CF31E0">
        <w:rPr>
          <w:lang w:val="en-US" w:eastAsia="en-US"/>
        </w:rPr>
        <w:t xml:space="preserve">4.2 </w:t>
      </w:r>
      <w:r w:rsidRPr="00CF31E0">
        <w:rPr>
          <w:lang w:val="en-US" w:eastAsia="en-US"/>
        </w:rPr>
        <w:t xml:space="preserve">illustrates all of the UBH and HH dialect characteristics obtained from real participants in the free-adjective questionnaire. </w:t>
      </w:r>
    </w:p>
    <w:tbl>
      <w:tblPr>
        <w:tblStyle w:val="LightList5"/>
        <w:tblW w:w="7448" w:type="dxa"/>
        <w:tblBorders>
          <w:top w:val="single" w:sz="4" w:space="0" w:color="auto"/>
          <w:left w:val="none" w:sz="0" w:space="0" w:color="auto"/>
          <w:bottom w:val="single" w:sz="4" w:space="0" w:color="auto"/>
          <w:right w:val="none" w:sz="0" w:space="0" w:color="auto"/>
        </w:tblBorders>
        <w:tblLayout w:type="fixed"/>
        <w:tblLook w:val="04A0" w:firstRow="1" w:lastRow="0" w:firstColumn="1" w:lastColumn="0" w:noHBand="0" w:noVBand="1"/>
      </w:tblPr>
      <w:tblGrid>
        <w:gridCol w:w="3724"/>
        <w:gridCol w:w="3724"/>
      </w:tblGrid>
      <w:tr w:rsidR="00EB7292" w:rsidRPr="00CF31E0" w14:paraId="541D5279" w14:textId="77777777" w:rsidTr="000E3509">
        <w:trPr>
          <w:cnfStyle w:val="100000000000" w:firstRow="1" w:lastRow="0" w:firstColumn="0" w:lastColumn="0" w:oddVBand="0" w:evenVBand="0" w:oddHBand="0"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shd w:val="clear" w:color="auto" w:fill="auto"/>
            <w:hideMark/>
          </w:tcPr>
          <w:p w14:paraId="126CF4CB" w14:textId="77777777" w:rsidR="00EB7292" w:rsidRPr="00CF31E0" w:rsidRDefault="00EB7292" w:rsidP="00603CB7">
            <w:pPr>
              <w:widowControl w:val="0"/>
              <w:autoSpaceDE w:val="0"/>
              <w:autoSpaceDN w:val="0"/>
              <w:adjustRightInd w:val="0"/>
              <w:spacing w:before="120" w:after="120" w:line="360" w:lineRule="auto"/>
              <w:jc w:val="both"/>
              <w:rPr>
                <w:rFonts w:eastAsia="Calibri"/>
                <w:b w:val="0"/>
                <w:bCs w:val="0"/>
                <w:color w:val="000000" w:themeColor="text1"/>
                <w:sz w:val="22"/>
                <w:szCs w:val="22"/>
                <w:lang w:val="en-US" w:eastAsia="en-US"/>
              </w:rPr>
            </w:pPr>
            <w:r w:rsidRPr="00CF31E0">
              <w:rPr>
                <w:rFonts w:eastAsia="Calibri"/>
                <w:b w:val="0"/>
                <w:bCs w:val="0"/>
                <w:color w:val="000000" w:themeColor="text1"/>
                <w:sz w:val="22"/>
                <w:szCs w:val="22"/>
                <w:lang w:val="en-US" w:eastAsia="en-US"/>
              </w:rPr>
              <w:t>UBH dialect characteristics</w:t>
            </w:r>
          </w:p>
        </w:tc>
        <w:tc>
          <w:tcPr>
            <w:tcW w:w="0" w:type="dxa"/>
            <w:tcBorders>
              <w:top w:val="single" w:sz="4" w:space="0" w:color="auto"/>
              <w:bottom w:val="single" w:sz="4" w:space="0" w:color="auto"/>
            </w:tcBorders>
            <w:shd w:val="clear" w:color="auto" w:fill="auto"/>
            <w:hideMark/>
          </w:tcPr>
          <w:p w14:paraId="78F7C3BE" w14:textId="77777777" w:rsidR="00EB7292" w:rsidRPr="00CF31E0" w:rsidRDefault="00EB7292" w:rsidP="00603CB7">
            <w:pPr>
              <w:widowControl w:val="0"/>
              <w:autoSpaceDE w:val="0"/>
              <w:autoSpaceDN w:val="0"/>
              <w:adjustRightInd w:val="0"/>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eastAsia="Calibri"/>
                <w:b w:val="0"/>
                <w:bCs w:val="0"/>
                <w:color w:val="000000" w:themeColor="text1"/>
                <w:sz w:val="22"/>
                <w:szCs w:val="22"/>
                <w:lang w:val="en-US" w:eastAsia="en-US"/>
              </w:rPr>
            </w:pPr>
            <w:r w:rsidRPr="00CF31E0">
              <w:rPr>
                <w:rFonts w:eastAsia="Calibri"/>
                <w:b w:val="0"/>
                <w:bCs w:val="0"/>
                <w:color w:val="000000" w:themeColor="text1"/>
                <w:sz w:val="22"/>
                <w:szCs w:val="22"/>
                <w:lang w:val="en-US" w:eastAsia="en-US"/>
              </w:rPr>
              <w:t>HH dialect characteristics</w:t>
            </w:r>
          </w:p>
        </w:tc>
      </w:tr>
      <w:tr w:rsidR="00EB7292" w:rsidRPr="00CF31E0" w14:paraId="0A72ECB6" w14:textId="77777777" w:rsidTr="000E3509">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none" w:sz="0" w:space="0" w:color="auto"/>
              <w:bottom w:val="nil"/>
            </w:tcBorders>
            <w:hideMark/>
          </w:tcPr>
          <w:p w14:paraId="03F1CEF1" w14:textId="6611CFD9" w:rsidR="00EB7292" w:rsidRPr="00CF31E0" w:rsidRDefault="00EB7292" w:rsidP="00EB7292">
            <w:pPr>
              <w:widowControl w:val="0"/>
              <w:autoSpaceDE w:val="0"/>
              <w:autoSpaceDN w:val="0"/>
              <w:adjustRightInd w:val="0"/>
              <w:spacing w:before="240" w:line="360" w:lineRule="auto"/>
              <w:rPr>
                <w:rFonts w:eastAsia="Calibri"/>
                <w:b w:val="0"/>
                <w:bCs w:val="0"/>
                <w:color w:val="000000" w:themeColor="text1"/>
                <w:sz w:val="22"/>
                <w:szCs w:val="22"/>
                <w:lang w:val="en-US" w:eastAsia="en-US"/>
              </w:rPr>
            </w:pPr>
            <w:r w:rsidRPr="00CF31E0">
              <w:rPr>
                <w:rFonts w:eastAsia="Calibri"/>
                <w:b w:val="0"/>
                <w:bCs w:val="0"/>
                <w:color w:val="000000" w:themeColor="text1"/>
                <w:sz w:val="22"/>
                <w:szCs w:val="22"/>
                <w:lang w:val="en-US" w:eastAsia="en-US"/>
              </w:rPr>
              <w:t>1. Difficult to understand</w:t>
            </w:r>
            <w:r w:rsidR="008A0A10" w:rsidRPr="00CF31E0">
              <w:rPr>
                <w:rFonts w:eastAsia="Calibri"/>
                <w:b w:val="0"/>
                <w:bCs w:val="0"/>
                <w:color w:val="000000" w:themeColor="text1"/>
                <w:sz w:val="22"/>
                <w:szCs w:val="22"/>
                <w:lang w:val="en-US" w:eastAsia="en-US"/>
              </w:rPr>
              <w:t xml:space="preserve"> the meaning of it words</w:t>
            </w:r>
          </w:p>
        </w:tc>
        <w:tc>
          <w:tcPr>
            <w:tcW w:w="0" w:type="dxa"/>
            <w:tcBorders>
              <w:top w:val="single" w:sz="4" w:space="0" w:color="auto"/>
              <w:bottom w:val="nil"/>
              <w:right w:val="none" w:sz="0" w:space="0" w:color="auto"/>
            </w:tcBorders>
            <w:hideMark/>
          </w:tcPr>
          <w:p w14:paraId="6E9CA500" w14:textId="77777777" w:rsidR="00EB7292" w:rsidRPr="00CF31E0" w:rsidRDefault="00EB7292" w:rsidP="00EB7292">
            <w:pPr>
              <w:widowControl w:val="0"/>
              <w:autoSpaceDE w:val="0"/>
              <w:autoSpaceDN w:val="0"/>
              <w:adjustRightInd w:val="0"/>
              <w:spacing w:before="240" w:line="360"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2"/>
                <w:szCs w:val="22"/>
                <w:lang w:val="en-US" w:eastAsia="en-US"/>
              </w:rPr>
            </w:pPr>
            <w:r w:rsidRPr="00CF31E0">
              <w:rPr>
                <w:rFonts w:eastAsia="Calibri"/>
                <w:color w:val="000000" w:themeColor="text1"/>
                <w:sz w:val="22"/>
                <w:szCs w:val="22"/>
                <w:lang w:val="en-US" w:eastAsia="en-US"/>
              </w:rPr>
              <w:t xml:space="preserve">1. </w:t>
            </w:r>
            <w:r w:rsidRPr="00CF31E0">
              <w:rPr>
                <w:rFonts w:eastAsia="Calibri"/>
                <w:color w:val="000000" w:themeColor="text1"/>
                <w:sz w:val="22"/>
                <w:szCs w:val="22"/>
                <w:lang w:eastAsia="en-US"/>
              </w:rPr>
              <w:t>Understandable</w:t>
            </w:r>
          </w:p>
        </w:tc>
      </w:tr>
      <w:tr w:rsidR="00EB7292" w:rsidRPr="00CF31E0" w14:paraId="3D1C2F57" w14:textId="77777777" w:rsidTr="000E3509">
        <w:trPr>
          <w:trHeight w:val="370"/>
        </w:trPr>
        <w:tc>
          <w:tcPr>
            <w:cnfStyle w:val="001000000000" w:firstRow="0" w:lastRow="0" w:firstColumn="1" w:lastColumn="0" w:oddVBand="0" w:evenVBand="0" w:oddHBand="0" w:evenHBand="0" w:firstRowFirstColumn="0" w:firstRowLastColumn="0" w:lastRowFirstColumn="0" w:lastRowLastColumn="0"/>
            <w:tcW w:w="0" w:type="dxa"/>
            <w:tcBorders>
              <w:top w:val="nil"/>
            </w:tcBorders>
            <w:hideMark/>
          </w:tcPr>
          <w:p w14:paraId="75EFB165" w14:textId="3D5DCF4B" w:rsidR="00EB7292" w:rsidRPr="00CF31E0" w:rsidRDefault="00734310" w:rsidP="00EB7292">
            <w:pPr>
              <w:widowControl w:val="0"/>
              <w:autoSpaceDE w:val="0"/>
              <w:autoSpaceDN w:val="0"/>
              <w:adjustRightInd w:val="0"/>
              <w:spacing w:line="360" w:lineRule="auto"/>
              <w:rPr>
                <w:rFonts w:eastAsia="Calibri"/>
                <w:b w:val="0"/>
                <w:bCs w:val="0"/>
                <w:color w:val="000000" w:themeColor="text1"/>
                <w:sz w:val="22"/>
                <w:szCs w:val="22"/>
                <w:lang w:val="en-US" w:eastAsia="en-US"/>
              </w:rPr>
            </w:pPr>
            <w:r w:rsidRPr="00CF31E0">
              <w:rPr>
                <w:rFonts w:eastAsia="Calibri"/>
                <w:b w:val="0"/>
                <w:bCs w:val="0"/>
                <w:color w:val="000000" w:themeColor="text1"/>
                <w:sz w:val="22"/>
                <w:szCs w:val="22"/>
                <w:lang w:val="en-US" w:eastAsia="en-US"/>
              </w:rPr>
              <w:t>2. S</w:t>
            </w:r>
            <w:r w:rsidR="00EB7292" w:rsidRPr="00CF31E0">
              <w:rPr>
                <w:rFonts w:eastAsia="Calibri"/>
                <w:b w:val="0"/>
                <w:bCs w:val="0"/>
                <w:color w:val="000000" w:themeColor="text1"/>
                <w:sz w:val="22"/>
                <w:szCs w:val="22"/>
                <w:lang w:val="en-US" w:eastAsia="en-US"/>
              </w:rPr>
              <w:t>ounds</w:t>
            </w:r>
            <w:r w:rsidRPr="00CF31E0">
              <w:rPr>
                <w:rFonts w:eastAsia="Calibri"/>
                <w:b w:val="0"/>
                <w:bCs w:val="0"/>
                <w:color w:val="000000" w:themeColor="text1"/>
                <w:sz w:val="22"/>
                <w:szCs w:val="22"/>
                <w:lang w:val="en-US" w:eastAsia="en-US"/>
              </w:rPr>
              <w:t xml:space="preserve"> correct</w:t>
            </w:r>
          </w:p>
        </w:tc>
        <w:tc>
          <w:tcPr>
            <w:tcW w:w="0" w:type="dxa"/>
            <w:tcBorders>
              <w:top w:val="nil"/>
            </w:tcBorders>
            <w:hideMark/>
          </w:tcPr>
          <w:p w14:paraId="07756123" w14:textId="77777777" w:rsidR="00EB7292" w:rsidRPr="00CF31E0" w:rsidRDefault="00EB7292" w:rsidP="00EB7292">
            <w:pPr>
              <w:widowControl w:val="0"/>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2"/>
                <w:szCs w:val="22"/>
                <w:lang w:val="en-US" w:eastAsia="en-US"/>
              </w:rPr>
            </w:pPr>
            <w:r w:rsidRPr="00CF31E0">
              <w:rPr>
                <w:rFonts w:eastAsia="Calibri"/>
                <w:color w:val="000000" w:themeColor="text1"/>
                <w:sz w:val="22"/>
                <w:szCs w:val="22"/>
                <w:lang w:val="en-US" w:eastAsia="en-US"/>
              </w:rPr>
              <w:t xml:space="preserve">2. </w:t>
            </w:r>
            <w:r w:rsidRPr="00CF31E0">
              <w:rPr>
                <w:rFonts w:eastAsia="Calibri"/>
                <w:color w:val="000000" w:themeColor="text1"/>
                <w:sz w:val="22"/>
                <w:szCs w:val="22"/>
                <w:lang w:eastAsia="en-US"/>
              </w:rPr>
              <w:t>Similar to other Arabic dialects</w:t>
            </w:r>
          </w:p>
        </w:tc>
      </w:tr>
      <w:tr w:rsidR="00EB7292" w:rsidRPr="00CF31E0" w14:paraId="4494100A" w14:textId="77777777" w:rsidTr="000E3509">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tcBorders>
            <w:hideMark/>
          </w:tcPr>
          <w:p w14:paraId="7D50FC36" w14:textId="77777777" w:rsidR="00EB7292" w:rsidRPr="00CF31E0" w:rsidRDefault="00EB7292" w:rsidP="00EB7292">
            <w:pPr>
              <w:widowControl w:val="0"/>
              <w:autoSpaceDE w:val="0"/>
              <w:autoSpaceDN w:val="0"/>
              <w:adjustRightInd w:val="0"/>
              <w:spacing w:line="360" w:lineRule="auto"/>
              <w:rPr>
                <w:rFonts w:eastAsia="Calibri"/>
                <w:b w:val="0"/>
                <w:bCs w:val="0"/>
                <w:color w:val="000000" w:themeColor="text1"/>
                <w:sz w:val="22"/>
                <w:szCs w:val="22"/>
                <w:lang w:val="en-US" w:eastAsia="en-US"/>
              </w:rPr>
            </w:pPr>
            <w:r w:rsidRPr="00CF31E0">
              <w:rPr>
                <w:rFonts w:eastAsia="Calibri"/>
                <w:b w:val="0"/>
                <w:bCs w:val="0"/>
                <w:color w:val="000000" w:themeColor="text1"/>
                <w:sz w:val="22"/>
                <w:szCs w:val="22"/>
                <w:lang w:val="en-US" w:eastAsia="en-US"/>
              </w:rPr>
              <w:t>3. Serious</w:t>
            </w:r>
          </w:p>
        </w:tc>
        <w:tc>
          <w:tcPr>
            <w:tcW w:w="0" w:type="dxa"/>
            <w:tcBorders>
              <w:top w:val="none" w:sz="0" w:space="0" w:color="auto"/>
              <w:bottom w:val="none" w:sz="0" w:space="0" w:color="auto"/>
              <w:right w:val="none" w:sz="0" w:space="0" w:color="auto"/>
            </w:tcBorders>
            <w:hideMark/>
          </w:tcPr>
          <w:p w14:paraId="26E89B21" w14:textId="77777777" w:rsidR="00EB7292" w:rsidRPr="00CF31E0" w:rsidRDefault="00EB7292" w:rsidP="00EB7292">
            <w:pPr>
              <w:widowControl w:val="0"/>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2"/>
                <w:szCs w:val="22"/>
                <w:lang w:val="en-US" w:eastAsia="en-US"/>
              </w:rPr>
            </w:pPr>
            <w:r w:rsidRPr="00CF31E0">
              <w:rPr>
                <w:rFonts w:eastAsia="Calibri"/>
                <w:color w:val="000000" w:themeColor="text1"/>
                <w:sz w:val="22"/>
                <w:szCs w:val="22"/>
                <w:lang w:val="en-US" w:eastAsia="en-US"/>
              </w:rPr>
              <w:t xml:space="preserve">3. </w:t>
            </w:r>
            <w:r w:rsidRPr="00CF31E0">
              <w:rPr>
                <w:rFonts w:eastAsia="Calibri"/>
                <w:color w:val="000000" w:themeColor="text1"/>
                <w:sz w:val="22"/>
                <w:szCs w:val="22"/>
                <w:lang w:eastAsia="en-US"/>
              </w:rPr>
              <w:t>Common in towns</w:t>
            </w:r>
          </w:p>
        </w:tc>
      </w:tr>
      <w:tr w:rsidR="00EB7292" w:rsidRPr="00CF31E0" w14:paraId="13D6449F" w14:textId="77777777" w:rsidTr="000E3509">
        <w:trPr>
          <w:trHeight w:val="382"/>
        </w:trPr>
        <w:tc>
          <w:tcPr>
            <w:cnfStyle w:val="001000000000" w:firstRow="0" w:lastRow="0" w:firstColumn="1" w:lastColumn="0" w:oddVBand="0" w:evenVBand="0" w:oddHBand="0" w:evenHBand="0" w:firstRowFirstColumn="0" w:firstRowLastColumn="0" w:lastRowFirstColumn="0" w:lastRowLastColumn="0"/>
            <w:tcW w:w="0" w:type="dxa"/>
            <w:hideMark/>
          </w:tcPr>
          <w:p w14:paraId="7F381B4F" w14:textId="0B82FC54" w:rsidR="00EB7292" w:rsidRPr="00CF31E0" w:rsidRDefault="00EB7292" w:rsidP="00EB7292">
            <w:pPr>
              <w:widowControl w:val="0"/>
              <w:autoSpaceDE w:val="0"/>
              <w:autoSpaceDN w:val="0"/>
              <w:adjustRightInd w:val="0"/>
              <w:spacing w:line="360" w:lineRule="auto"/>
              <w:rPr>
                <w:rFonts w:eastAsia="Calibri"/>
                <w:b w:val="0"/>
                <w:bCs w:val="0"/>
                <w:color w:val="000000" w:themeColor="text1"/>
                <w:sz w:val="22"/>
                <w:szCs w:val="22"/>
                <w:lang w:val="en-US" w:eastAsia="en-US"/>
              </w:rPr>
            </w:pPr>
            <w:r w:rsidRPr="00CF31E0">
              <w:rPr>
                <w:rFonts w:eastAsia="Calibri"/>
                <w:b w:val="0"/>
                <w:bCs w:val="0"/>
                <w:color w:val="000000" w:themeColor="text1"/>
                <w:sz w:val="22"/>
                <w:szCs w:val="22"/>
                <w:lang w:val="en-US" w:eastAsia="en-US"/>
              </w:rPr>
              <w:t xml:space="preserve">4. </w:t>
            </w:r>
            <w:r w:rsidR="004A20FE" w:rsidRPr="00CF31E0">
              <w:rPr>
                <w:rFonts w:eastAsia="Calibri"/>
                <w:b w:val="0"/>
                <w:bCs w:val="0"/>
                <w:color w:val="000000" w:themeColor="text1"/>
                <w:sz w:val="22"/>
                <w:szCs w:val="22"/>
                <w:lang w:val="en-US" w:eastAsia="en-US"/>
              </w:rPr>
              <w:t>Signifies t</w:t>
            </w:r>
            <w:r w:rsidRPr="00CF31E0">
              <w:rPr>
                <w:rFonts w:eastAsia="Calibri"/>
                <w:b w:val="0"/>
                <w:bCs w:val="0"/>
                <w:color w:val="000000" w:themeColor="text1"/>
                <w:sz w:val="22"/>
                <w:szCs w:val="22"/>
                <w:lang w:val="en-US" w:eastAsia="en-US"/>
              </w:rPr>
              <w:t>ribal loyalty</w:t>
            </w:r>
          </w:p>
        </w:tc>
        <w:tc>
          <w:tcPr>
            <w:tcW w:w="0" w:type="dxa"/>
            <w:hideMark/>
          </w:tcPr>
          <w:p w14:paraId="267C9113" w14:textId="0845B114" w:rsidR="00EB7292" w:rsidRPr="00CF31E0" w:rsidRDefault="00EB7292" w:rsidP="00EB7292">
            <w:pPr>
              <w:widowControl w:val="0"/>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2"/>
                <w:szCs w:val="22"/>
                <w:lang w:val="en-US" w:eastAsia="en-US"/>
              </w:rPr>
            </w:pPr>
            <w:r w:rsidRPr="00CF31E0">
              <w:rPr>
                <w:rFonts w:eastAsia="Calibri"/>
                <w:color w:val="000000" w:themeColor="text1"/>
                <w:sz w:val="22"/>
                <w:szCs w:val="22"/>
                <w:lang w:val="en-US" w:eastAsia="en-US"/>
              </w:rPr>
              <w:t xml:space="preserve">4. </w:t>
            </w:r>
            <w:r w:rsidR="004A20FE" w:rsidRPr="00CF31E0">
              <w:rPr>
                <w:rFonts w:eastAsia="Calibri"/>
                <w:color w:val="000000" w:themeColor="text1"/>
                <w:sz w:val="22"/>
                <w:szCs w:val="22"/>
                <w:lang w:val="en-US" w:eastAsia="en-US"/>
              </w:rPr>
              <w:t xml:space="preserve">Some of the letters are </w:t>
            </w:r>
            <w:r w:rsidR="004A20FE" w:rsidRPr="00CF31E0">
              <w:rPr>
                <w:rFonts w:eastAsia="Calibri"/>
                <w:color w:val="000000" w:themeColor="text1"/>
                <w:sz w:val="22"/>
                <w:szCs w:val="22"/>
                <w:lang w:eastAsia="en-US"/>
              </w:rPr>
              <w:t>n</w:t>
            </w:r>
            <w:r w:rsidRPr="00CF31E0">
              <w:rPr>
                <w:rFonts w:eastAsia="Calibri"/>
                <w:color w:val="000000" w:themeColor="text1"/>
                <w:sz w:val="22"/>
                <w:szCs w:val="22"/>
                <w:lang w:eastAsia="en-US"/>
              </w:rPr>
              <w:t xml:space="preserve">ot </w:t>
            </w:r>
            <w:r w:rsidR="004A20FE" w:rsidRPr="00CF31E0">
              <w:rPr>
                <w:rFonts w:eastAsia="Calibri"/>
                <w:color w:val="000000" w:themeColor="text1"/>
                <w:sz w:val="22"/>
                <w:szCs w:val="22"/>
                <w:lang w:eastAsia="en-US"/>
              </w:rPr>
              <w:t xml:space="preserve">produced from the </w:t>
            </w:r>
            <w:r w:rsidRPr="00CF31E0">
              <w:rPr>
                <w:rFonts w:eastAsia="Calibri"/>
                <w:color w:val="000000" w:themeColor="text1"/>
                <w:sz w:val="22"/>
                <w:szCs w:val="22"/>
                <w:lang w:eastAsia="en-US"/>
              </w:rPr>
              <w:t>proper sound</w:t>
            </w:r>
            <w:r w:rsidR="004A20FE" w:rsidRPr="00CF31E0">
              <w:rPr>
                <w:rFonts w:eastAsia="Calibri"/>
                <w:color w:val="000000" w:themeColor="text1"/>
                <w:sz w:val="22"/>
                <w:szCs w:val="22"/>
                <w:lang w:eastAsia="en-US"/>
              </w:rPr>
              <w:t xml:space="preserve"> targets</w:t>
            </w:r>
          </w:p>
        </w:tc>
      </w:tr>
      <w:tr w:rsidR="00EB7292" w:rsidRPr="00CF31E0" w14:paraId="5BDA20E9" w14:textId="77777777" w:rsidTr="000E3509">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tcBorders>
            <w:hideMark/>
          </w:tcPr>
          <w:p w14:paraId="1E133C83" w14:textId="77777777" w:rsidR="00EB7292" w:rsidRPr="00CF31E0" w:rsidRDefault="00EB7292" w:rsidP="00EB7292">
            <w:pPr>
              <w:widowControl w:val="0"/>
              <w:autoSpaceDE w:val="0"/>
              <w:autoSpaceDN w:val="0"/>
              <w:adjustRightInd w:val="0"/>
              <w:spacing w:line="360" w:lineRule="auto"/>
              <w:rPr>
                <w:rFonts w:eastAsia="Calibri"/>
                <w:b w:val="0"/>
                <w:bCs w:val="0"/>
                <w:color w:val="000000" w:themeColor="text1"/>
                <w:sz w:val="22"/>
                <w:szCs w:val="22"/>
                <w:lang w:val="en-US" w:eastAsia="en-US"/>
              </w:rPr>
            </w:pPr>
            <w:r w:rsidRPr="00CF31E0">
              <w:rPr>
                <w:rFonts w:eastAsia="Calibri"/>
                <w:b w:val="0"/>
                <w:bCs w:val="0"/>
                <w:color w:val="000000" w:themeColor="text1"/>
                <w:sz w:val="22"/>
                <w:szCs w:val="22"/>
                <w:lang w:val="en-US" w:eastAsia="en-US"/>
              </w:rPr>
              <w:t>5. Traditional</w:t>
            </w:r>
          </w:p>
        </w:tc>
        <w:tc>
          <w:tcPr>
            <w:tcW w:w="0" w:type="dxa"/>
            <w:tcBorders>
              <w:top w:val="none" w:sz="0" w:space="0" w:color="auto"/>
              <w:bottom w:val="none" w:sz="0" w:space="0" w:color="auto"/>
              <w:right w:val="none" w:sz="0" w:space="0" w:color="auto"/>
            </w:tcBorders>
            <w:hideMark/>
          </w:tcPr>
          <w:p w14:paraId="630542A2" w14:textId="0126752B" w:rsidR="00EB7292" w:rsidRPr="00CF31E0" w:rsidRDefault="00EB7292" w:rsidP="00EB7292">
            <w:pPr>
              <w:widowControl w:val="0"/>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2"/>
                <w:szCs w:val="22"/>
                <w:lang w:val="en-US" w:eastAsia="en-US"/>
              </w:rPr>
            </w:pPr>
            <w:r w:rsidRPr="00CF31E0">
              <w:rPr>
                <w:rFonts w:eastAsia="Calibri"/>
                <w:color w:val="000000" w:themeColor="text1"/>
                <w:sz w:val="22"/>
                <w:szCs w:val="22"/>
                <w:lang w:val="en-US" w:eastAsia="en-US"/>
              </w:rPr>
              <w:t xml:space="preserve">5. </w:t>
            </w:r>
            <w:r w:rsidRPr="00CF31E0">
              <w:rPr>
                <w:rFonts w:eastAsia="Calibri"/>
                <w:color w:val="000000" w:themeColor="text1"/>
                <w:sz w:val="22"/>
                <w:szCs w:val="22"/>
                <w:lang w:eastAsia="en-US"/>
              </w:rPr>
              <w:t>S</w:t>
            </w:r>
            <w:r w:rsidR="00734310" w:rsidRPr="00CF31E0">
              <w:rPr>
                <w:rFonts w:eastAsia="Calibri"/>
                <w:color w:val="000000" w:themeColor="text1"/>
                <w:sz w:val="22"/>
                <w:szCs w:val="22"/>
                <w:lang w:eastAsia="en-US"/>
              </w:rPr>
              <w:t>poken with a soft voice</w:t>
            </w:r>
          </w:p>
        </w:tc>
      </w:tr>
      <w:tr w:rsidR="00EB7292" w:rsidRPr="00CF31E0" w14:paraId="63EB09E3" w14:textId="77777777" w:rsidTr="000E3509">
        <w:trPr>
          <w:trHeight w:val="370"/>
        </w:trPr>
        <w:tc>
          <w:tcPr>
            <w:cnfStyle w:val="001000000000" w:firstRow="0" w:lastRow="0" w:firstColumn="1" w:lastColumn="0" w:oddVBand="0" w:evenVBand="0" w:oddHBand="0" w:evenHBand="0" w:firstRowFirstColumn="0" w:firstRowLastColumn="0" w:lastRowFirstColumn="0" w:lastRowLastColumn="0"/>
            <w:tcW w:w="0" w:type="dxa"/>
            <w:hideMark/>
          </w:tcPr>
          <w:p w14:paraId="5A2D5F3D" w14:textId="77777777" w:rsidR="00EB7292" w:rsidRPr="00CF31E0" w:rsidRDefault="00EB7292" w:rsidP="00EB7292">
            <w:pPr>
              <w:widowControl w:val="0"/>
              <w:autoSpaceDE w:val="0"/>
              <w:autoSpaceDN w:val="0"/>
              <w:adjustRightInd w:val="0"/>
              <w:spacing w:line="360" w:lineRule="auto"/>
              <w:rPr>
                <w:rFonts w:eastAsia="Calibri"/>
                <w:b w:val="0"/>
                <w:bCs w:val="0"/>
                <w:color w:val="000000" w:themeColor="text1"/>
                <w:sz w:val="22"/>
                <w:szCs w:val="22"/>
                <w:lang w:val="en-US" w:eastAsia="en-US"/>
              </w:rPr>
            </w:pPr>
            <w:r w:rsidRPr="00CF31E0">
              <w:rPr>
                <w:rFonts w:eastAsia="Calibri"/>
                <w:b w:val="0"/>
                <w:bCs w:val="0"/>
                <w:color w:val="000000" w:themeColor="text1"/>
                <w:sz w:val="22"/>
                <w:szCs w:val="22"/>
                <w:lang w:val="en-US" w:eastAsia="en-US"/>
              </w:rPr>
              <w:t>6. Masculine</w:t>
            </w:r>
          </w:p>
        </w:tc>
        <w:tc>
          <w:tcPr>
            <w:tcW w:w="0" w:type="dxa"/>
            <w:hideMark/>
          </w:tcPr>
          <w:p w14:paraId="19AB83C6" w14:textId="77777777" w:rsidR="00EB7292" w:rsidRPr="00CF31E0" w:rsidRDefault="00EB7292" w:rsidP="00EB7292">
            <w:pPr>
              <w:widowControl w:val="0"/>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2"/>
                <w:szCs w:val="22"/>
                <w:lang w:val="en-US" w:eastAsia="en-US"/>
              </w:rPr>
            </w:pPr>
            <w:r w:rsidRPr="00CF31E0">
              <w:rPr>
                <w:rFonts w:eastAsia="Calibri"/>
                <w:color w:val="000000" w:themeColor="text1"/>
                <w:sz w:val="22"/>
                <w:szCs w:val="22"/>
                <w:lang w:val="en-US" w:eastAsia="en-US"/>
              </w:rPr>
              <w:t xml:space="preserve">6. </w:t>
            </w:r>
            <w:r w:rsidRPr="00CF31E0">
              <w:rPr>
                <w:rFonts w:eastAsia="Calibri"/>
                <w:color w:val="000000" w:themeColor="text1"/>
                <w:sz w:val="22"/>
                <w:szCs w:val="22"/>
                <w:lang w:eastAsia="en-US"/>
              </w:rPr>
              <w:t>Modern</w:t>
            </w:r>
          </w:p>
        </w:tc>
      </w:tr>
      <w:tr w:rsidR="00EB7292" w:rsidRPr="00CF31E0" w14:paraId="2B7EC05A" w14:textId="77777777" w:rsidTr="000E3509">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tcBorders>
            <w:hideMark/>
          </w:tcPr>
          <w:p w14:paraId="4AE723D4" w14:textId="77777777" w:rsidR="00EB7292" w:rsidRPr="00CF31E0" w:rsidRDefault="00EB7292" w:rsidP="00EB7292">
            <w:pPr>
              <w:widowControl w:val="0"/>
              <w:autoSpaceDE w:val="0"/>
              <w:autoSpaceDN w:val="0"/>
              <w:adjustRightInd w:val="0"/>
              <w:spacing w:line="360" w:lineRule="auto"/>
              <w:rPr>
                <w:rFonts w:eastAsia="Calibri"/>
                <w:b w:val="0"/>
                <w:bCs w:val="0"/>
                <w:color w:val="000000" w:themeColor="text1"/>
                <w:sz w:val="22"/>
                <w:szCs w:val="22"/>
                <w:lang w:val="en-US" w:eastAsia="en-US"/>
              </w:rPr>
            </w:pPr>
            <w:r w:rsidRPr="00CF31E0">
              <w:rPr>
                <w:rFonts w:eastAsia="Calibri"/>
                <w:b w:val="0"/>
                <w:bCs w:val="0"/>
                <w:color w:val="000000" w:themeColor="text1"/>
                <w:sz w:val="22"/>
                <w:szCs w:val="22"/>
                <w:lang w:val="en-US" w:eastAsia="en-US"/>
              </w:rPr>
              <w:t>7. Difficult to imitate</w:t>
            </w:r>
          </w:p>
        </w:tc>
        <w:tc>
          <w:tcPr>
            <w:tcW w:w="0" w:type="dxa"/>
            <w:tcBorders>
              <w:top w:val="none" w:sz="0" w:space="0" w:color="auto"/>
              <w:bottom w:val="none" w:sz="0" w:space="0" w:color="auto"/>
              <w:right w:val="none" w:sz="0" w:space="0" w:color="auto"/>
            </w:tcBorders>
            <w:hideMark/>
          </w:tcPr>
          <w:p w14:paraId="2056581B" w14:textId="77777777" w:rsidR="00EB7292" w:rsidRPr="00CF31E0" w:rsidRDefault="00EB7292" w:rsidP="00EB7292">
            <w:pPr>
              <w:widowControl w:val="0"/>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2"/>
                <w:szCs w:val="22"/>
                <w:lang w:val="en-US" w:eastAsia="en-US"/>
              </w:rPr>
            </w:pPr>
            <w:r w:rsidRPr="00CF31E0">
              <w:rPr>
                <w:rFonts w:eastAsia="Calibri"/>
                <w:color w:val="000000" w:themeColor="text1"/>
                <w:sz w:val="22"/>
                <w:szCs w:val="22"/>
                <w:lang w:val="en-US" w:eastAsia="en-US"/>
              </w:rPr>
              <w:t xml:space="preserve">7. </w:t>
            </w:r>
            <w:r w:rsidRPr="00CF31E0">
              <w:rPr>
                <w:rFonts w:eastAsia="Calibri"/>
                <w:color w:val="000000" w:themeColor="text1"/>
                <w:sz w:val="22"/>
                <w:szCs w:val="22"/>
                <w:lang w:eastAsia="en-US"/>
              </w:rPr>
              <w:t>Easy to imitate</w:t>
            </w:r>
          </w:p>
        </w:tc>
      </w:tr>
      <w:tr w:rsidR="00EB7292" w:rsidRPr="00CF31E0" w14:paraId="3B14C090" w14:textId="77777777" w:rsidTr="000E3509">
        <w:trPr>
          <w:trHeight w:val="752"/>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38A60D8B" w14:textId="40846A34" w:rsidR="00EB7292" w:rsidRPr="00CF31E0" w:rsidRDefault="00EB7292" w:rsidP="00141854">
            <w:pPr>
              <w:widowControl w:val="0"/>
              <w:autoSpaceDE w:val="0"/>
              <w:autoSpaceDN w:val="0"/>
              <w:adjustRightInd w:val="0"/>
              <w:spacing w:line="360" w:lineRule="auto"/>
              <w:rPr>
                <w:rFonts w:eastAsia="Calibri"/>
                <w:b w:val="0"/>
                <w:bCs w:val="0"/>
                <w:color w:val="000000" w:themeColor="text1"/>
                <w:sz w:val="22"/>
                <w:szCs w:val="22"/>
                <w:lang w:val="en-US" w:eastAsia="en-US"/>
              </w:rPr>
            </w:pPr>
            <w:r w:rsidRPr="00CF31E0">
              <w:rPr>
                <w:rFonts w:eastAsia="Calibri"/>
                <w:b w:val="0"/>
                <w:bCs w:val="0"/>
                <w:color w:val="000000" w:themeColor="text1"/>
                <w:sz w:val="22"/>
                <w:szCs w:val="22"/>
                <w:lang w:val="en-US" w:eastAsia="en-US"/>
              </w:rPr>
              <w:t xml:space="preserve">8. Closer to </w:t>
            </w:r>
            <w:r w:rsidR="00141854" w:rsidRPr="00CF31E0">
              <w:rPr>
                <w:rFonts w:eastAsia="Calibri"/>
                <w:b w:val="0"/>
                <w:bCs w:val="0"/>
                <w:color w:val="000000" w:themeColor="text1"/>
                <w:sz w:val="22"/>
                <w:szCs w:val="22"/>
                <w:lang w:val="en-US" w:eastAsia="en-US"/>
              </w:rPr>
              <w:t>M</w:t>
            </w:r>
            <w:r w:rsidRPr="00CF31E0">
              <w:rPr>
                <w:rFonts w:eastAsia="Calibri"/>
                <w:b w:val="0"/>
                <w:bCs w:val="0"/>
                <w:color w:val="000000" w:themeColor="text1"/>
                <w:sz w:val="22"/>
                <w:szCs w:val="22"/>
                <w:lang w:val="en-US" w:eastAsia="en-US"/>
              </w:rPr>
              <w:t xml:space="preserve">odern </w:t>
            </w:r>
            <w:r w:rsidR="00141854" w:rsidRPr="00CF31E0">
              <w:rPr>
                <w:rFonts w:eastAsia="Calibri"/>
                <w:b w:val="0"/>
                <w:bCs w:val="0"/>
                <w:color w:val="000000" w:themeColor="text1"/>
                <w:sz w:val="22"/>
                <w:szCs w:val="22"/>
                <w:lang w:val="en-US" w:eastAsia="en-US"/>
              </w:rPr>
              <w:t>S</w:t>
            </w:r>
            <w:r w:rsidRPr="00CF31E0">
              <w:rPr>
                <w:rFonts w:eastAsia="Calibri"/>
                <w:b w:val="0"/>
                <w:bCs w:val="0"/>
                <w:color w:val="000000" w:themeColor="text1"/>
                <w:sz w:val="22"/>
                <w:szCs w:val="22"/>
                <w:lang w:val="en-US" w:eastAsia="en-US"/>
              </w:rPr>
              <w:t xml:space="preserve">tandard    </w:t>
            </w:r>
            <w:r w:rsidRPr="00CF31E0">
              <w:rPr>
                <w:rFonts w:eastAsia="Calibri"/>
                <w:b w:val="0"/>
                <w:bCs w:val="0"/>
                <w:color w:val="000000" w:themeColor="text1"/>
                <w:sz w:val="22"/>
                <w:szCs w:val="22"/>
                <w:lang w:val="en-US" w:eastAsia="en-US"/>
              </w:rPr>
              <w:br/>
              <w:t xml:space="preserve">    Arabic</w:t>
            </w:r>
            <w:r w:rsidR="001136D4" w:rsidRPr="00CF31E0">
              <w:rPr>
                <w:rFonts w:eastAsia="Calibri"/>
                <w:b w:val="0"/>
                <w:bCs w:val="0"/>
                <w:color w:val="000000" w:themeColor="text1"/>
                <w:sz w:val="22"/>
                <w:szCs w:val="22"/>
                <w:lang w:val="en-US" w:eastAsia="en-US"/>
              </w:rPr>
              <w:t xml:space="preserve"> (MSA)</w:t>
            </w:r>
          </w:p>
        </w:tc>
        <w:tc>
          <w:tcPr>
            <w:tcW w:w="0" w:type="dxa"/>
            <w:shd w:val="clear" w:color="auto" w:fill="auto"/>
            <w:hideMark/>
          </w:tcPr>
          <w:p w14:paraId="556266F6" w14:textId="77777777" w:rsidR="00EB7292" w:rsidRPr="00CF31E0" w:rsidRDefault="00EB7292" w:rsidP="00EB7292">
            <w:pPr>
              <w:widowControl w:val="0"/>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2"/>
                <w:szCs w:val="22"/>
                <w:lang w:val="en-US" w:eastAsia="en-US"/>
              </w:rPr>
            </w:pPr>
            <w:r w:rsidRPr="00CF31E0">
              <w:rPr>
                <w:rFonts w:eastAsia="Calibri"/>
                <w:color w:val="000000" w:themeColor="text1"/>
                <w:sz w:val="22"/>
                <w:szCs w:val="22"/>
                <w:lang w:val="en-US" w:eastAsia="en-US"/>
              </w:rPr>
              <w:t xml:space="preserve">8. </w:t>
            </w:r>
            <w:r w:rsidRPr="00CF31E0">
              <w:rPr>
                <w:rFonts w:eastAsia="Calibri"/>
                <w:color w:val="000000" w:themeColor="text1"/>
                <w:sz w:val="22"/>
                <w:szCs w:val="22"/>
                <w:lang w:eastAsia="en-US"/>
              </w:rPr>
              <w:t>Feminine</w:t>
            </w:r>
          </w:p>
        </w:tc>
      </w:tr>
      <w:tr w:rsidR="00EB7292" w:rsidRPr="00CF31E0" w14:paraId="71DA1110" w14:textId="77777777" w:rsidTr="000E3509">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tcBorders>
            <w:hideMark/>
          </w:tcPr>
          <w:p w14:paraId="262C1BF2" w14:textId="2B0125BF" w:rsidR="00EB7292" w:rsidRPr="00CF31E0" w:rsidRDefault="00EB7292" w:rsidP="00EB7292">
            <w:pPr>
              <w:widowControl w:val="0"/>
              <w:autoSpaceDE w:val="0"/>
              <w:autoSpaceDN w:val="0"/>
              <w:adjustRightInd w:val="0"/>
              <w:spacing w:line="360" w:lineRule="auto"/>
              <w:rPr>
                <w:rFonts w:eastAsia="Calibri"/>
                <w:b w:val="0"/>
                <w:bCs w:val="0"/>
                <w:color w:val="000000" w:themeColor="text1"/>
                <w:sz w:val="22"/>
                <w:szCs w:val="22"/>
                <w:lang w:val="en-US" w:eastAsia="en-US"/>
              </w:rPr>
            </w:pPr>
            <w:r w:rsidRPr="00CF31E0">
              <w:rPr>
                <w:rFonts w:eastAsia="Calibri"/>
                <w:b w:val="0"/>
                <w:bCs w:val="0"/>
                <w:color w:val="000000" w:themeColor="text1"/>
                <w:sz w:val="22"/>
                <w:szCs w:val="22"/>
                <w:lang w:val="en-US" w:eastAsia="en-US"/>
              </w:rPr>
              <w:t>9. Poetic</w:t>
            </w:r>
            <w:r w:rsidR="008A0A10" w:rsidRPr="00CF31E0">
              <w:rPr>
                <w:rFonts w:eastAsia="Calibri"/>
                <w:b w:val="0"/>
                <w:bCs w:val="0"/>
                <w:color w:val="000000" w:themeColor="text1"/>
                <w:sz w:val="22"/>
                <w:szCs w:val="22"/>
                <w:lang w:val="en-US" w:eastAsia="en-US"/>
              </w:rPr>
              <w:t xml:space="preserve"> dialect (i.e. used in poetry)</w:t>
            </w:r>
          </w:p>
        </w:tc>
        <w:tc>
          <w:tcPr>
            <w:tcW w:w="0" w:type="dxa"/>
            <w:tcBorders>
              <w:top w:val="none" w:sz="0" w:space="0" w:color="auto"/>
              <w:bottom w:val="none" w:sz="0" w:space="0" w:color="auto"/>
              <w:right w:val="none" w:sz="0" w:space="0" w:color="auto"/>
            </w:tcBorders>
            <w:hideMark/>
          </w:tcPr>
          <w:p w14:paraId="0538DF45" w14:textId="77777777" w:rsidR="00EB7292" w:rsidRPr="00CF31E0" w:rsidRDefault="00EB7292" w:rsidP="00EB7292">
            <w:pPr>
              <w:widowControl w:val="0"/>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2"/>
                <w:szCs w:val="22"/>
                <w:lang w:val="en-US" w:eastAsia="en-US"/>
              </w:rPr>
            </w:pPr>
            <w:r w:rsidRPr="00CF31E0">
              <w:rPr>
                <w:rFonts w:eastAsia="Calibri"/>
                <w:color w:val="000000" w:themeColor="text1"/>
                <w:sz w:val="22"/>
                <w:szCs w:val="22"/>
                <w:lang w:val="en-US" w:eastAsia="en-US"/>
              </w:rPr>
              <w:t>9. Practical</w:t>
            </w:r>
          </w:p>
        </w:tc>
      </w:tr>
      <w:tr w:rsidR="00EB7292" w:rsidRPr="00CF31E0" w14:paraId="329AB0B8" w14:textId="77777777" w:rsidTr="000E3509">
        <w:trPr>
          <w:trHeight w:val="370"/>
        </w:trPr>
        <w:tc>
          <w:tcPr>
            <w:cnfStyle w:val="001000000000" w:firstRow="0" w:lastRow="0" w:firstColumn="1" w:lastColumn="0" w:oddVBand="0" w:evenVBand="0" w:oddHBand="0" w:evenHBand="0" w:firstRowFirstColumn="0" w:firstRowLastColumn="0" w:lastRowFirstColumn="0" w:lastRowLastColumn="0"/>
            <w:tcW w:w="0" w:type="dxa"/>
            <w:hideMark/>
          </w:tcPr>
          <w:p w14:paraId="55CD7917" w14:textId="613DC5EC" w:rsidR="00EB7292" w:rsidRPr="00CF31E0" w:rsidRDefault="00EB7292" w:rsidP="00EB7292">
            <w:pPr>
              <w:widowControl w:val="0"/>
              <w:autoSpaceDE w:val="0"/>
              <w:autoSpaceDN w:val="0"/>
              <w:adjustRightInd w:val="0"/>
              <w:spacing w:line="360" w:lineRule="auto"/>
              <w:rPr>
                <w:rFonts w:eastAsia="Calibri"/>
                <w:b w:val="0"/>
                <w:bCs w:val="0"/>
                <w:color w:val="000000" w:themeColor="text1"/>
                <w:sz w:val="22"/>
                <w:szCs w:val="22"/>
                <w:lang w:val="en-US" w:eastAsia="en-US"/>
              </w:rPr>
            </w:pPr>
            <w:r w:rsidRPr="00CF31E0">
              <w:rPr>
                <w:rFonts w:eastAsia="Calibri"/>
                <w:b w:val="0"/>
                <w:bCs w:val="0"/>
                <w:color w:val="000000" w:themeColor="text1"/>
                <w:sz w:val="22"/>
                <w:szCs w:val="22"/>
                <w:lang w:val="en-US" w:eastAsia="en-US"/>
              </w:rPr>
              <w:t xml:space="preserve">10. Popular in </w:t>
            </w:r>
            <w:r w:rsidR="00734310" w:rsidRPr="00CF31E0">
              <w:rPr>
                <w:rFonts w:eastAsia="Calibri"/>
                <w:b w:val="0"/>
                <w:bCs w:val="0"/>
                <w:color w:val="000000" w:themeColor="text1"/>
                <w:sz w:val="22"/>
                <w:szCs w:val="22"/>
                <w:lang w:val="en-US" w:eastAsia="en-US"/>
              </w:rPr>
              <w:t xml:space="preserve">the </w:t>
            </w:r>
            <w:r w:rsidRPr="00CF31E0">
              <w:rPr>
                <w:rFonts w:eastAsia="Calibri"/>
                <w:b w:val="0"/>
                <w:bCs w:val="0"/>
                <w:color w:val="000000" w:themeColor="text1"/>
                <w:sz w:val="22"/>
                <w:szCs w:val="22"/>
                <w:lang w:val="en-US" w:eastAsia="en-US"/>
              </w:rPr>
              <w:t>countryside</w:t>
            </w:r>
          </w:p>
        </w:tc>
        <w:tc>
          <w:tcPr>
            <w:tcW w:w="0" w:type="dxa"/>
            <w:hideMark/>
          </w:tcPr>
          <w:p w14:paraId="46AB3EF2" w14:textId="77777777" w:rsidR="00EB7292" w:rsidRPr="00CF31E0" w:rsidRDefault="00EB7292" w:rsidP="00EB7292">
            <w:pPr>
              <w:widowControl w:val="0"/>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2"/>
                <w:szCs w:val="22"/>
                <w:lang w:val="en-US" w:eastAsia="en-US"/>
              </w:rPr>
            </w:pPr>
            <w:r w:rsidRPr="00CF31E0">
              <w:rPr>
                <w:rFonts w:eastAsia="Calibri"/>
                <w:color w:val="000000" w:themeColor="text1"/>
                <w:sz w:val="22"/>
                <w:szCs w:val="22"/>
                <w:lang w:val="en-US" w:eastAsia="en-US"/>
              </w:rPr>
              <w:t>10. Prestigious</w:t>
            </w:r>
          </w:p>
        </w:tc>
      </w:tr>
      <w:tr w:rsidR="00EB7292" w:rsidRPr="00CF31E0" w14:paraId="61C66972" w14:textId="77777777" w:rsidTr="000E3509">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tcBorders>
          </w:tcPr>
          <w:p w14:paraId="737A3E69" w14:textId="0A6B42B5" w:rsidR="00EB7292" w:rsidRPr="00CF31E0" w:rsidRDefault="00EB7292" w:rsidP="00EB7292">
            <w:pPr>
              <w:widowControl w:val="0"/>
              <w:autoSpaceDE w:val="0"/>
              <w:autoSpaceDN w:val="0"/>
              <w:adjustRightInd w:val="0"/>
              <w:spacing w:line="360" w:lineRule="auto"/>
              <w:rPr>
                <w:rFonts w:eastAsia="Calibri"/>
                <w:b w:val="0"/>
                <w:bCs w:val="0"/>
                <w:color w:val="000000" w:themeColor="text1"/>
                <w:sz w:val="22"/>
                <w:szCs w:val="22"/>
                <w:lang w:val="en-US" w:eastAsia="en-US"/>
              </w:rPr>
            </w:pPr>
            <w:r w:rsidRPr="00CF31E0">
              <w:rPr>
                <w:rFonts w:eastAsia="Calibri"/>
                <w:b w:val="0"/>
                <w:bCs w:val="0"/>
                <w:color w:val="000000" w:themeColor="text1"/>
                <w:sz w:val="22"/>
                <w:szCs w:val="22"/>
                <w:lang w:val="en-US" w:eastAsia="en-US"/>
              </w:rPr>
              <w:t>11. Distinctive</w:t>
            </w:r>
            <w:r w:rsidR="00734310" w:rsidRPr="00CF31E0">
              <w:rPr>
                <w:rFonts w:eastAsia="Calibri"/>
                <w:b w:val="0"/>
                <w:bCs w:val="0"/>
                <w:color w:val="000000" w:themeColor="text1"/>
                <w:sz w:val="22"/>
                <w:szCs w:val="22"/>
                <w:lang w:val="en-US" w:eastAsia="en-US"/>
              </w:rPr>
              <w:t xml:space="preserve"> </w:t>
            </w:r>
          </w:p>
        </w:tc>
        <w:tc>
          <w:tcPr>
            <w:tcW w:w="0" w:type="dxa"/>
            <w:tcBorders>
              <w:top w:val="none" w:sz="0" w:space="0" w:color="auto"/>
              <w:bottom w:val="none" w:sz="0" w:space="0" w:color="auto"/>
              <w:right w:val="none" w:sz="0" w:space="0" w:color="auto"/>
            </w:tcBorders>
          </w:tcPr>
          <w:p w14:paraId="33B92B7F" w14:textId="373B8D25" w:rsidR="00EB7292" w:rsidRPr="00CF31E0" w:rsidRDefault="00EB7292" w:rsidP="001136D4">
            <w:pPr>
              <w:widowControl w:val="0"/>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2"/>
                <w:szCs w:val="22"/>
                <w:lang w:val="en-US" w:eastAsia="en-US"/>
              </w:rPr>
            </w:pPr>
            <w:r w:rsidRPr="00CF31E0">
              <w:rPr>
                <w:rFonts w:eastAsia="Calibri"/>
                <w:color w:val="000000" w:themeColor="text1"/>
                <w:sz w:val="22"/>
                <w:szCs w:val="22"/>
                <w:lang w:val="en-US" w:eastAsia="en-US"/>
              </w:rPr>
              <w:t xml:space="preserve">11. </w:t>
            </w:r>
            <w:r w:rsidR="001136D4" w:rsidRPr="00CF31E0">
              <w:rPr>
                <w:rFonts w:eastAsia="Calibri"/>
                <w:color w:val="000000" w:themeColor="text1"/>
                <w:sz w:val="22"/>
                <w:szCs w:val="22"/>
                <w:lang w:val="en-US" w:eastAsia="en-US"/>
              </w:rPr>
              <w:t>Easily understood by Arabs other than Saudis</w:t>
            </w:r>
          </w:p>
        </w:tc>
      </w:tr>
    </w:tbl>
    <w:p w14:paraId="76AF908F" w14:textId="5F911DB1" w:rsidR="00160CC4" w:rsidRPr="00CF31E0" w:rsidRDefault="00160CC4" w:rsidP="00730917">
      <w:pPr>
        <w:pStyle w:val="Tablecaption"/>
        <w:rPr>
          <w:lang w:eastAsia="zh-CN"/>
        </w:rPr>
      </w:pPr>
      <w:bookmarkStart w:id="278" w:name="_Toc522527394"/>
      <w:bookmarkStart w:id="279" w:name="_Toc522628806"/>
      <w:bookmarkStart w:id="280" w:name="_Toc522628970"/>
      <w:bookmarkStart w:id="281" w:name="_Toc6473066"/>
      <w:r w:rsidRPr="00CF31E0">
        <w:rPr>
          <w:lang w:eastAsia="zh-CN"/>
        </w:rPr>
        <w:t xml:space="preserve">Table </w:t>
      </w:r>
      <w:r w:rsidR="003101EF" w:rsidRPr="00CF31E0">
        <w:rPr>
          <w:lang w:eastAsia="zh-CN"/>
        </w:rPr>
        <w:t>5</w:t>
      </w:r>
      <w:r w:rsidR="004658FC" w:rsidRPr="00CF31E0">
        <w:rPr>
          <w:lang w:eastAsia="zh-CN"/>
        </w:rPr>
        <w:t>.2:</w:t>
      </w:r>
      <w:r w:rsidRPr="00CF31E0">
        <w:rPr>
          <w:lang w:eastAsia="zh-CN"/>
        </w:rPr>
        <w:t xml:space="preserve"> </w:t>
      </w:r>
      <w:r w:rsidR="004658FC" w:rsidRPr="00CF31E0">
        <w:rPr>
          <w:lang w:eastAsia="zh-CN"/>
        </w:rPr>
        <w:t>P</w:t>
      </w:r>
      <w:r w:rsidRPr="00CF31E0">
        <w:rPr>
          <w:lang w:eastAsia="zh-CN"/>
        </w:rPr>
        <w:t>articipants’ perceptions towards UBH and HH dialects.</w:t>
      </w:r>
      <w:bookmarkEnd w:id="278"/>
      <w:bookmarkEnd w:id="279"/>
      <w:bookmarkEnd w:id="280"/>
      <w:bookmarkEnd w:id="281"/>
    </w:p>
    <w:p w14:paraId="4849B503" w14:textId="28A7AA91" w:rsidR="00160CC4" w:rsidRPr="00CF31E0" w:rsidRDefault="00160CC4" w:rsidP="00603CB7">
      <w:pPr>
        <w:pStyle w:val="Paragraph"/>
        <w:rPr>
          <w:lang w:eastAsia="zh-CN"/>
        </w:rPr>
      </w:pPr>
      <w:r w:rsidRPr="00CF31E0">
        <w:rPr>
          <w:lang w:eastAsia="zh-CN"/>
        </w:rPr>
        <w:lastRenderedPageBreak/>
        <w:t>I included all of the above characteristics in the final questionnaire designed to obtain data from a more heterogeneous set of participants in the next data collection stage</w:t>
      </w:r>
      <w:r w:rsidRPr="00CF31E0">
        <w:rPr>
          <w:shd w:val="clear" w:color="auto" w:fill="FFFFFF"/>
          <w:lang w:eastAsia="zh-CN"/>
        </w:rPr>
        <w:t>. This means that the free-adjective questionnaire</w:t>
      </w:r>
      <w:r w:rsidRPr="00CF31E0">
        <w:rPr>
          <w:lang w:eastAsia="zh-CN"/>
        </w:rPr>
        <w:t xml:space="preserve"> sets up the preliminary data to be tested and confirmed in the next data collection stage. </w:t>
      </w:r>
    </w:p>
    <w:p w14:paraId="1DAB0DB5" w14:textId="5D2CF966" w:rsidR="00160CC4" w:rsidRPr="00CF31E0" w:rsidRDefault="003101EF" w:rsidP="00E87209">
      <w:pPr>
        <w:pStyle w:val="Bhead"/>
      </w:pPr>
      <w:bookmarkStart w:id="282" w:name="_Toc6472671"/>
      <w:r w:rsidRPr="00CF31E0">
        <w:t>5</w:t>
      </w:r>
      <w:r w:rsidR="00AE78AB" w:rsidRPr="00CF31E0">
        <w:t>.5.2.</w:t>
      </w:r>
      <w:r w:rsidR="00AE78AB" w:rsidRPr="00CF31E0">
        <w:tab/>
      </w:r>
      <w:r w:rsidR="00160CC4" w:rsidRPr="00CF31E0">
        <w:t>Final questionnaire</w:t>
      </w:r>
      <w:bookmarkEnd w:id="282"/>
      <w:r w:rsidR="00160CC4" w:rsidRPr="00CF31E0">
        <w:t xml:space="preserve"> </w:t>
      </w:r>
    </w:p>
    <w:p w14:paraId="46399B84" w14:textId="7632571F" w:rsidR="00160CC4" w:rsidRPr="00CF31E0" w:rsidRDefault="00160CC4" w:rsidP="00603CB7">
      <w:pPr>
        <w:pStyle w:val="Paragraph"/>
        <w:rPr>
          <w:lang w:eastAsia="zh-CN"/>
        </w:rPr>
      </w:pPr>
      <w:r w:rsidRPr="00CF31E0">
        <w:rPr>
          <w:lang w:eastAsia="zh-CN"/>
        </w:rPr>
        <w:t xml:space="preserve">As previously mentioned, the final questionnaire consists of different sections; each section addresses different research questions. Thus, the structure for the questionnaire includes four sections; the first section covers the background questionnaire and the remaining three sections are designed to answer the three research questions. </w:t>
      </w:r>
      <w:r w:rsidR="00922F70" w:rsidRPr="00CF31E0">
        <w:rPr>
          <w:lang w:eastAsia="zh-CN"/>
        </w:rPr>
        <w:t>Appendix</w:t>
      </w:r>
      <w:r w:rsidRPr="00CF31E0">
        <w:rPr>
          <w:lang w:eastAsia="zh-CN"/>
        </w:rPr>
        <w:t xml:space="preserve"> </w:t>
      </w:r>
      <w:r w:rsidR="00E777CD" w:rsidRPr="00CF31E0">
        <w:rPr>
          <w:lang w:eastAsia="zh-CN"/>
        </w:rPr>
        <w:t xml:space="preserve">1 </w:t>
      </w:r>
      <w:r w:rsidR="008F116F" w:rsidRPr="00CF31E0">
        <w:rPr>
          <w:lang w:eastAsia="zh-CN"/>
        </w:rPr>
        <w:t xml:space="preserve">contains </w:t>
      </w:r>
      <w:r w:rsidRPr="00CF31E0">
        <w:rPr>
          <w:lang w:eastAsia="zh-CN"/>
        </w:rPr>
        <w:t xml:space="preserve">a copy of the final questionnaire. </w:t>
      </w:r>
    </w:p>
    <w:p w14:paraId="1CAC97E5" w14:textId="45C2F06A" w:rsidR="00160CC4" w:rsidRPr="00CF31E0" w:rsidRDefault="003101EF" w:rsidP="00E87209">
      <w:pPr>
        <w:pStyle w:val="Chead"/>
      </w:pPr>
      <w:bookmarkStart w:id="283" w:name="_Toc6472672"/>
      <w:r w:rsidRPr="00CF31E0">
        <w:t>5</w:t>
      </w:r>
      <w:r w:rsidR="00AE78AB" w:rsidRPr="00CF31E0">
        <w:t>.5.2.1.</w:t>
      </w:r>
      <w:r w:rsidR="00AE78AB" w:rsidRPr="00CF31E0">
        <w:tab/>
      </w:r>
      <w:r w:rsidR="00160CC4" w:rsidRPr="00CF31E0">
        <w:t xml:space="preserve">Section </w:t>
      </w:r>
      <w:r w:rsidR="004658FC" w:rsidRPr="00CF31E0">
        <w:t xml:space="preserve">1: </w:t>
      </w:r>
      <w:r w:rsidR="00160CC4" w:rsidRPr="00CF31E0">
        <w:t>Background questionnaire</w:t>
      </w:r>
      <w:bookmarkEnd w:id="283"/>
    </w:p>
    <w:p w14:paraId="244BFA1E" w14:textId="77777777" w:rsidR="00160CC4" w:rsidRPr="00CF31E0" w:rsidRDefault="00160CC4" w:rsidP="00603CB7">
      <w:pPr>
        <w:pStyle w:val="Paragraph"/>
        <w:rPr>
          <w:lang w:eastAsia="zh-CN"/>
        </w:rPr>
      </w:pPr>
      <w:r w:rsidRPr="00CF31E0">
        <w:rPr>
          <w:lang w:eastAsia="zh-CN"/>
        </w:rPr>
        <w:t>The first section consists of a background questionnaire with the following categorical independent variables: gender, age, place of birth, places lived, place of birth, marital status, education, social group, mother’s social group, spouse’s social group.</w:t>
      </w:r>
    </w:p>
    <w:p w14:paraId="11C72725" w14:textId="144CF209" w:rsidR="00160CC4" w:rsidRPr="00CF31E0" w:rsidRDefault="00160CC4" w:rsidP="00603CB7">
      <w:pPr>
        <w:pStyle w:val="Paragraph"/>
        <w:rPr>
          <w:lang w:eastAsia="zh-CN"/>
        </w:rPr>
      </w:pPr>
      <w:r w:rsidRPr="00CF31E0">
        <w:rPr>
          <w:lang w:eastAsia="zh-CN"/>
        </w:rPr>
        <w:t>The rationale to include the aforementioned demographic variables in the background information questionnaire is because I wanted to ascertain whether any of the demographic variables have an effect on participants’ perceptions of dialect characteristics as Hijaz is described as the most cosmopolitan region in SA</w:t>
      </w:r>
      <w:r w:rsidR="004658FC" w:rsidRPr="00CF31E0">
        <w:rPr>
          <w:lang w:eastAsia="zh-CN"/>
        </w:rPr>
        <w:t xml:space="preserve">, including people from </w:t>
      </w:r>
      <w:r w:rsidRPr="00CF31E0">
        <w:rPr>
          <w:lang w:eastAsia="zh-CN"/>
        </w:rPr>
        <w:t>many diverse social backgrounds</w:t>
      </w:r>
      <w:r w:rsidR="004658FC" w:rsidRPr="00CF31E0">
        <w:rPr>
          <w:lang w:eastAsia="zh-CN"/>
        </w:rPr>
        <w:t xml:space="preserve">; </w:t>
      </w:r>
      <w:r w:rsidRPr="00CF31E0">
        <w:rPr>
          <w:lang w:eastAsia="zh-CN"/>
        </w:rPr>
        <w:t xml:space="preserve">see </w:t>
      </w:r>
      <w:r w:rsidR="00CE2B99" w:rsidRPr="00CF31E0">
        <w:rPr>
          <w:lang w:eastAsia="zh-CN"/>
        </w:rPr>
        <w:t>C</w:t>
      </w:r>
      <w:r w:rsidR="000D28CA" w:rsidRPr="00CF31E0">
        <w:rPr>
          <w:lang w:eastAsia="zh-CN"/>
        </w:rPr>
        <w:t xml:space="preserve">hapter </w:t>
      </w:r>
      <w:r w:rsidR="003101EF" w:rsidRPr="00CF31E0">
        <w:rPr>
          <w:lang w:eastAsia="zh-CN"/>
        </w:rPr>
        <w:t>2</w:t>
      </w:r>
      <w:r w:rsidR="000D28CA" w:rsidRPr="00CF31E0">
        <w:rPr>
          <w:lang w:eastAsia="zh-CN"/>
        </w:rPr>
        <w:t>,</w:t>
      </w:r>
      <w:r w:rsidRPr="00CF31E0">
        <w:rPr>
          <w:lang w:eastAsia="zh-CN"/>
        </w:rPr>
        <w:t xml:space="preserve"> </w:t>
      </w:r>
      <w:r w:rsidR="000D28CA" w:rsidRPr="00CF31E0">
        <w:rPr>
          <w:lang w:eastAsia="zh-CN"/>
        </w:rPr>
        <w:t xml:space="preserve">section </w:t>
      </w:r>
      <w:r w:rsidR="003101EF" w:rsidRPr="00CF31E0">
        <w:rPr>
          <w:lang w:eastAsia="zh-CN"/>
        </w:rPr>
        <w:t>2</w:t>
      </w:r>
      <w:r w:rsidR="00A37AB6" w:rsidRPr="00CF31E0">
        <w:rPr>
          <w:lang w:eastAsia="zh-CN"/>
        </w:rPr>
        <w:t>.5</w:t>
      </w:r>
      <w:r w:rsidRPr="00CF31E0">
        <w:rPr>
          <w:lang w:eastAsia="zh-CN"/>
        </w:rPr>
        <w:t xml:space="preserve">. </w:t>
      </w:r>
    </w:p>
    <w:p w14:paraId="20356C8B" w14:textId="77777777" w:rsidR="00160CC4" w:rsidRPr="00CF31E0" w:rsidRDefault="00160CC4" w:rsidP="00603CB7">
      <w:pPr>
        <w:pStyle w:val="Paragraph"/>
        <w:rPr>
          <w:lang w:eastAsia="zh-CN"/>
        </w:rPr>
      </w:pPr>
      <w:r w:rsidRPr="00CF31E0">
        <w:rPr>
          <w:lang w:eastAsia="zh-CN"/>
        </w:rPr>
        <w:t xml:space="preserve">I included the spouse’s social group as an item in the background information questionnaire because if intermarriage between the two social groups occurred, then it is important to find out whether any differences or resemblance between the spouse’s social group and the participant’s social group would have an effect on participants’ attitudes and perceptions towards the two main Hijazi dialects (i.e. urban UBH and HH dialects). </w:t>
      </w:r>
    </w:p>
    <w:p w14:paraId="3C91C984" w14:textId="77777777" w:rsidR="00160CC4" w:rsidRPr="00CF31E0" w:rsidRDefault="00160CC4" w:rsidP="00603CB7">
      <w:pPr>
        <w:pStyle w:val="Paragraph"/>
        <w:rPr>
          <w:lang w:eastAsia="zh-CN"/>
        </w:rPr>
      </w:pPr>
      <w:r w:rsidRPr="00CF31E0">
        <w:rPr>
          <w:lang w:eastAsia="zh-CN"/>
        </w:rPr>
        <w:lastRenderedPageBreak/>
        <w:t xml:space="preserve">I included the mother’s social group as another item in the background questionnaire. This is because I wanted to find out whether any difference or resemblance between the mother’s social group and the participant’s social group would have an effect on participants’ attitudes and perceptions towards the two main Hijazi dialects. </w:t>
      </w:r>
    </w:p>
    <w:p w14:paraId="7617DC49" w14:textId="66EDEE5A" w:rsidR="00160CC4" w:rsidRPr="00CF31E0" w:rsidRDefault="00516FA5" w:rsidP="00E87209">
      <w:pPr>
        <w:pStyle w:val="Chead"/>
      </w:pPr>
      <w:bookmarkStart w:id="284" w:name="_Toc6472673"/>
      <w:r w:rsidRPr="00CF31E0">
        <w:t>5</w:t>
      </w:r>
      <w:r w:rsidR="00FA196E" w:rsidRPr="00CF31E0">
        <w:t>.5.2.2.</w:t>
      </w:r>
      <w:r w:rsidR="00FA196E" w:rsidRPr="00CF31E0">
        <w:tab/>
      </w:r>
      <w:r w:rsidR="00160CC4" w:rsidRPr="00CF31E0">
        <w:t>Section 2</w:t>
      </w:r>
      <w:r w:rsidR="004658FC" w:rsidRPr="00CF31E0">
        <w:t>: C</w:t>
      </w:r>
      <w:r w:rsidR="00160CC4" w:rsidRPr="00CF31E0">
        <w:t>losed-ended items; multiple choice</w:t>
      </w:r>
      <w:bookmarkEnd w:id="284"/>
      <w:r w:rsidR="00160CC4" w:rsidRPr="00CF31E0">
        <w:t xml:space="preserve"> </w:t>
      </w:r>
    </w:p>
    <w:p w14:paraId="0C6AC679" w14:textId="1209281D" w:rsidR="00160CC4" w:rsidRPr="00CF31E0" w:rsidRDefault="00160CC4" w:rsidP="00603CB7">
      <w:pPr>
        <w:pStyle w:val="Paragraph"/>
        <w:rPr>
          <w:lang w:eastAsia="zh-CN"/>
        </w:rPr>
      </w:pPr>
      <w:r w:rsidRPr="00CF31E0">
        <w:rPr>
          <w:lang w:eastAsia="zh-CN"/>
        </w:rPr>
        <w:t xml:space="preserve">This section of the questionnaire answers RQ1.This research question focuses on eliciting responses about the background information of the two dialects. I adopted a direct approach where I asked participants ten direct questions with a number of choices. For more details on the questions, </w:t>
      </w:r>
      <w:r w:rsidR="001628A3" w:rsidRPr="00CF31E0">
        <w:rPr>
          <w:lang w:eastAsia="zh-CN"/>
        </w:rPr>
        <w:t>s</w:t>
      </w:r>
      <w:r w:rsidRPr="00CF31E0">
        <w:rPr>
          <w:lang w:eastAsia="zh-CN"/>
        </w:rPr>
        <w:t xml:space="preserve">ee </w:t>
      </w:r>
      <w:r w:rsidR="003910A0" w:rsidRPr="00CF31E0">
        <w:rPr>
          <w:lang w:eastAsia="zh-CN"/>
        </w:rPr>
        <w:t>A</w:t>
      </w:r>
      <w:r w:rsidR="00E777CD" w:rsidRPr="00CF31E0">
        <w:rPr>
          <w:lang w:eastAsia="zh-CN"/>
        </w:rPr>
        <w:t>ppendix 1</w:t>
      </w:r>
      <w:r w:rsidRPr="00CF31E0">
        <w:rPr>
          <w:lang w:eastAsia="zh-CN"/>
        </w:rPr>
        <w:t xml:space="preserve">. </w:t>
      </w:r>
    </w:p>
    <w:p w14:paraId="5606959A" w14:textId="6A88F815" w:rsidR="00160CC4" w:rsidRPr="00CF31E0" w:rsidRDefault="00160CC4" w:rsidP="00603CB7">
      <w:pPr>
        <w:pStyle w:val="Paragraph"/>
        <w:rPr>
          <w:lang w:val="en-US" w:eastAsia="zh-CN"/>
        </w:rPr>
      </w:pPr>
      <w:r w:rsidRPr="00CF31E0">
        <w:rPr>
          <w:lang w:eastAsia="zh-CN"/>
        </w:rPr>
        <w:t>The background information I am interested in investigat</w:t>
      </w:r>
      <w:r w:rsidR="00E0762F" w:rsidRPr="00CF31E0">
        <w:rPr>
          <w:lang w:eastAsia="zh-CN"/>
        </w:rPr>
        <w:t>ing</w:t>
      </w:r>
      <w:r w:rsidRPr="00CF31E0">
        <w:rPr>
          <w:lang w:eastAsia="zh-CN"/>
        </w:rPr>
        <w:t xml:space="preserve"> in the present study </w:t>
      </w:r>
      <w:r w:rsidR="00E0762F" w:rsidRPr="00CF31E0">
        <w:rPr>
          <w:lang w:eastAsia="zh-CN"/>
        </w:rPr>
        <w:t xml:space="preserve">is, </w:t>
      </w:r>
      <w:r w:rsidRPr="00CF31E0">
        <w:rPr>
          <w:lang w:eastAsia="zh-CN"/>
        </w:rPr>
        <w:t>for example</w:t>
      </w:r>
      <w:r w:rsidR="00E0762F" w:rsidRPr="00CF31E0">
        <w:rPr>
          <w:lang w:eastAsia="zh-CN"/>
        </w:rPr>
        <w:t>,</w:t>
      </w:r>
      <w:r w:rsidRPr="00CF31E0">
        <w:rPr>
          <w:lang w:eastAsia="zh-CN"/>
        </w:rPr>
        <w:t xml:space="preserve"> to ascertain whether or not the Hijazi dialect stereotypically refers to the HH dialect, and to investigate Hijazi participants’ perceptions regarding the dominant dialect in Hijaz. Furthermore, I am interested </w:t>
      </w:r>
      <w:r w:rsidR="00E0762F" w:rsidRPr="00CF31E0">
        <w:rPr>
          <w:lang w:eastAsia="zh-CN"/>
        </w:rPr>
        <w:t xml:space="preserve">in </w:t>
      </w:r>
      <w:r w:rsidRPr="00CF31E0">
        <w:rPr>
          <w:lang w:eastAsia="zh-CN"/>
        </w:rPr>
        <w:t>reveal</w:t>
      </w:r>
      <w:r w:rsidR="00E0762F" w:rsidRPr="00CF31E0">
        <w:rPr>
          <w:lang w:eastAsia="zh-CN"/>
        </w:rPr>
        <w:t>ing</w:t>
      </w:r>
      <w:r w:rsidRPr="00CF31E0">
        <w:rPr>
          <w:lang w:eastAsia="zh-CN"/>
        </w:rPr>
        <w:t xml:space="preserve"> participants’ perceptions regarding the effects of social contact on the two groups: does it result in intermarriage between the two groups, has social contact between the two groups caused them to speak each other’s dialect, and have they been affected linguistically by each other’s dialect? All these direct questions were posed in the present study to pave the way to elicit more deep-rooted stereotypical attitudes towards the two dialects. </w:t>
      </w:r>
      <w:r w:rsidR="003910A0" w:rsidRPr="00CF31E0">
        <w:rPr>
          <w:lang w:eastAsia="zh-CN"/>
        </w:rPr>
        <w:t>See Appendix</w:t>
      </w:r>
      <w:r w:rsidR="001628A3" w:rsidRPr="00CF31E0">
        <w:rPr>
          <w:lang w:eastAsia="zh-CN"/>
        </w:rPr>
        <w:t xml:space="preserve"> 1 </w:t>
      </w:r>
      <w:r w:rsidR="003910A0" w:rsidRPr="00CF31E0">
        <w:rPr>
          <w:lang w:eastAsia="zh-CN"/>
        </w:rPr>
        <w:t xml:space="preserve">for a copy of the questionnaire. </w:t>
      </w:r>
    </w:p>
    <w:p w14:paraId="769701A0" w14:textId="232226EB" w:rsidR="00160CC4" w:rsidRPr="00CF31E0" w:rsidRDefault="00516FA5" w:rsidP="00603CB7">
      <w:pPr>
        <w:pStyle w:val="Chead"/>
      </w:pPr>
      <w:bookmarkStart w:id="285" w:name="_Toc6472674"/>
      <w:r w:rsidRPr="00CF31E0">
        <w:t>5.5.2.3.</w:t>
      </w:r>
      <w:r w:rsidRPr="00CF31E0">
        <w:tab/>
      </w:r>
      <w:r w:rsidR="00160CC4" w:rsidRPr="00CF31E0">
        <w:t>Section 3</w:t>
      </w:r>
      <w:r w:rsidR="00E0762F" w:rsidRPr="00CF31E0">
        <w:t xml:space="preserve">: </w:t>
      </w:r>
      <w:r w:rsidR="00160CC4" w:rsidRPr="00CF31E0">
        <w:t>Rating scale</w:t>
      </w:r>
      <w:bookmarkEnd w:id="285"/>
    </w:p>
    <w:p w14:paraId="1A2643EC" w14:textId="1FE3604E" w:rsidR="00160CC4" w:rsidRPr="00CF31E0" w:rsidRDefault="00160CC4" w:rsidP="00603CB7">
      <w:pPr>
        <w:pStyle w:val="Paragraph"/>
        <w:rPr>
          <w:lang w:eastAsia="en-US"/>
        </w:rPr>
      </w:pPr>
      <w:r w:rsidRPr="00CF31E0">
        <w:rPr>
          <w:rFonts w:eastAsia="Times New Roman"/>
          <w:lang w:eastAsia="zh-CN"/>
        </w:rPr>
        <w:t xml:space="preserve">This section of the questionnaire answers RQ2. </w:t>
      </w:r>
      <w:r w:rsidR="0042776A" w:rsidRPr="00CF31E0">
        <w:rPr>
          <w:lang w:eastAsia="en-US"/>
        </w:rPr>
        <w:t xml:space="preserve">For </w:t>
      </w:r>
      <w:r w:rsidRPr="00CF31E0">
        <w:rPr>
          <w:lang w:eastAsia="en-US"/>
        </w:rPr>
        <w:t>this stage, I designed a questionnaire based upon the preliminary results from the free</w:t>
      </w:r>
      <w:r w:rsidR="00C86BDA" w:rsidRPr="00CF31E0">
        <w:rPr>
          <w:lang w:eastAsia="en-US"/>
        </w:rPr>
        <w:t>-adjective</w:t>
      </w:r>
      <w:r w:rsidRPr="00CF31E0">
        <w:rPr>
          <w:lang w:eastAsia="en-US"/>
        </w:rPr>
        <w:t xml:space="preserve"> questionnaire. </w:t>
      </w:r>
      <w:r w:rsidRPr="00CF31E0">
        <w:rPr>
          <w:lang w:val="en-US" w:eastAsia="en-US"/>
        </w:rPr>
        <w:t>I mixed all of the characteristics for both dialects obtained from the free</w:t>
      </w:r>
      <w:r w:rsidR="00C86BDA" w:rsidRPr="00CF31E0">
        <w:rPr>
          <w:lang w:val="en-US" w:eastAsia="en-US"/>
        </w:rPr>
        <w:t>-adjective</w:t>
      </w:r>
      <w:r w:rsidRPr="00CF31E0">
        <w:rPr>
          <w:lang w:val="en-US" w:eastAsia="en-US"/>
        </w:rPr>
        <w:t xml:space="preserve"> questionnaire data together and used them as items to be tested in the actual questionnaire. I adopted an indirect approach with conceptual presentation of dialect names; UBH and HH. I asked participants </w:t>
      </w:r>
      <w:r w:rsidRPr="00CF31E0">
        <w:rPr>
          <w:lang w:val="en-US" w:eastAsia="en-US"/>
        </w:rPr>
        <w:lastRenderedPageBreak/>
        <w:t xml:space="preserve">to rate each dialect using the perceived characteristics from the previous stage. The purpose of mixing the characteristics of both dialects together as questionnaire items was to </w:t>
      </w:r>
      <w:r w:rsidRPr="00CF31E0">
        <w:rPr>
          <w:lang w:eastAsia="en-US"/>
        </w:rPr>
        <w:t xml:space="preserve">examine whether or not these characteristics are stereotypically associated with these dialects. </w:t>
      </w:r>
    </w:p>
    <w:p w14:paraId="490884AF" w14:textId="70F2624E" w:rsidR="00160CC4" w:rsidRPr="00CF31E0" w:rsidRDefault="00160CC4" w:rsidP="00603CB7">
      <w:pPr>
        <w:pStyle w:val="Paragraph"/>
        <w:rPr>
          <w:lang w:eastAsia="zh-CN"/>
        </w:rPr>
      </w:pPr>
      <w:r w:rsidRPr="00CF31E0">
        <w:rPr>
          <w:lang w:eastAsia="zh-CN"/>
        </w:rPr>
        <w:t>The questionnaire was divided into two sections. In the first section of the questionnaire I included the 22 dependent categorical variables (i.e. dialect characteristics), which I extracted from the free</w:t>
      </w:r>
      <w:r w:rsidR="00C86BDA" w:rsidRPr="00CF31E0">
        <w:rPr>
          <w:lang w:eastAsia="zh-CN"/>
        </w:rPr>
        <w:t>-adjective</w:t>
      </w:r>
      <w:r w:rsidRPr="00CF31E0">
        <w:rPr>
          <w:lang w:eastAsia="zh-CN"/>
        </w:rPr>
        <w:t xml:space="preserve"> questionnaire into a rating scale to be tested. In this section, I only asked participants to rate the UBH dialect against the 22 characteristics. I gave participants the following instruction: </w:t>
      </w:r>
    </w:p>
    <w:p w14:paraId="66D70025" w14:textId="4221C201" w:rsidR="00160CC4" w:rsidRPr="00CF31E0" w:rsidRDefault="00160CC4" w:rsidP="00603CB7">
      <w:pPr>
        <w:pStyle w:val="Extract"/>
        <w:rPr>
          <w:lang w:eastAsia="zh-CN"/>
        </w:rPr>
      </w:pPr>
      <w:r w:rsidRPr="00CF31E0">
        <w:rPr>
          <w:lang w:eastAsia="zh-CN"/>
        </w:rPr>
        <w:t>Please think of the UBH dialect in the Hijaz region, and check off how each characteristic applies to the UBH dialect. There are two opposing labels provided with each characteristic (most, least).</w:t>
      </w:r>
    </w:p>
    <w:p w14:paraId="612D6BB9" w14:textId="77777777" w:rsidR="00160CC4" w:rsidRPr="00CF31E0" w:rsidRDefault="00160CC4" w:rsidP="00603CB7">
      <w:pPr>
        <w:pStyle w:val="Paragraph"/>
        <w:rPr>
          <w:lang w:eastAsia="zh-CN"/>
        </w:rPr>
      </w:pPr>
      <w:r w:rsidRPr="00CF31E0">
        <w:rPr>
          <w:lang w:eastAsia="zh-CN"/>
        </w:rPr>
        <w:t xml:space="preserve">In the second section of the questionnaire, I used the same version of the above questionnaire; the only difference was in relation to the dialect to be tested. In the first section of the questionnaire I asked participants to rate the UBH dialect, while in the second section I asked participants to rate the HH dialect by giving them the following instruction: </w:t>
      </w:r>
    </w:p>
    <w:p w14:paraId="268A81B5" w14:textId="0ABBA4A2" w:rsidR="00160CC4" w:rsidRPr="00CF31E0" w:rsidRDefault="00160CC4" w:rsidP="00603CB7">
      <w:pPr>
        <w:pStyle w:val="Extract"/>
        <w:rPr>
          <w:lang w:eastAsia="zh-CN"/>
        </w:rPr>
      </w:pPr>
      <w:r w:rsidRPr="00CF31E0">
        <w:rPr>
          <w:lang w:eastAsia="zh-CN"/>
        </w:rPr>
        <w:t xml:space="preserve">Please think of the HH dialect in the Hijaz region, and indicate how each characteristic applies to the HH dialect. </w:t>
      </w:r>
      <w:r w:rsidR="00D7324F" w:rsidRPr="00CF31E0">
        <w:rPr>
          <w:lang w:eastAsia="zh-CN"/>
        </w:rPr>
        <w:t>There are two opposing labels provided with each characteristic (most, least).</w:t>
      </w:r>
    </w:p>
    <w:p w14:paraId="292B6772" w14:textId="5953A9EA" w:rsidR="00160CC4" w:rsidRPr="00CF31E0" w:rsidRDefault="00160CC4" w:rsidP="00603CB7">
      <w:pPr>
        <w:pStyle w:val="Paragraph"/>
        <w:rPr>
          <w:lang w:eastAsia="zh-CN"/>
        </w:rPr>
      </w:pPr>
      <w:r w:rsidRPr="00CF31E0">
        <w:rPr>
          <w:lang w:eastAsia="zh-CN"/>
        </w:rPr>
        <w:t xml:space="preserve">I decided to use a semantic differential scale rather </w:t>
      </w:r>
      <w:r w:rsidR="0042776A" w:rsidRPr="00CF31E0">
        <w:rPr>
          <w:lang w:eastAsia="zh-CN"/>
        </w:rPr>
        <w:t xml:space="preserve">than </w:t>
      </w:r>
      <w:r w:rsidRPr="00CF31E0">
        <w:rPr>
          <w:lang w:eastAsia="zh-CN"/>
        </w:rPr>
        <w:t xml:space="preserve">other types of scales discussed previously, see </w:t>
      </w:r>
      <w:r w:rsidR="00CE2B99" w:rsidRPr="00CF31E0">
        <w:rPr>
          <w:lang w:eastAsia="zh-CN"/>
        </w:rPr>
        <w:t>C</w:t>
      </w:r>
      <w:r w:rsidRPr="00CF31E0">
        <w:rPr>
          <w:lang w:eastAsia="zh-CN"/>
        </w:rPr>
        <w:t>hapter</w:t>
      </w:r>
      <w:r w:rsidR="003013BA" w:rsidRPr="00CF31E0">
        <w:rPr>
          <w:lang w:eastAsia="zh-CN"/>
        </w:rPr>
        <w:t xml:space="preserve"> </w:t>
      </w:r>
      <w:r w:rsidR="00516FA5" w:rsidRPr="00CF31E0">
        <w:rPr>
          <w:lang w:eastAsia="zh-CN"/>
        </w:rPr>
        <w:t xml:space="preserve">4, </w:t>
      </w:r>
      <w:r w:rsidRPr="00CF31E0">
        <w:rPr>
          <w:lang w:eastAsia="zh-CN"/>
        </w:rPr>
        <w:t>section</w:t>
      </w:r>
      <w:r w:rsidR="003013BA" w:rsidRPr="00CF31E0">
        <w:rPr>
          <w:lang w:eastAsia="zh-CN"/>
        </w:rPr>
        <w:t xml:space="preserve"> </w:t>
      </w:r>
      <w:r w:rsidR="00516FA5" w:rsidRPr="00CF31E0">
        <w:rPr>
          <w:lang w:eastAsia="zh-CN"/>
        </w:rPr>
        <w:t>4</w:t>
      </w:r>
      <w:r w:rsidR="00A37AB6" w:rsidRPr="00CF31E0">
        <w:rPr>
          <w:lang w:eastAsia="zh-CN"/>
        </w:rPr>
        <w:t>.7.3</w:t>
      </w:r>
      <w:r w:rsidRPr="00CF31E0">
        <w:rPr>
          <w:lang w:eastAsia="zh-CN"/>
        </w:rPr>
        <w:t xml:space="preserve"> for many reasons. First, a semantic differential scale can trigger the participants in the present study to produce more </w:t>
      </w:r>
      <w:r w:rsidRPr="00CF31E0">
        <w:rPr>
          <w:rFonts w:eastAsia="MS Mincho"/>
          <w:lang w:eastAsia="zh-CN"/>
        </w:rPr>
        <w:t>spontaneous judgements; such judgements reduce the level of mental processing. Second, the semantic differential scale delivers interval data, which can enable the researcher to run sophisticated statistical analysis to obtain more reliable and authentic findings</w:t>
      </w:r>
      <w:r w:rsidR="00EA5B6D" w:rsidRPr="00CF31E0">
        <w:rPr>
          <w:rFonts w:eastAsia="MS Mincho"/>
          <w:lang w:eastAsia="zh-CN"/>
        </w:rPr>
        <w:t xml:space="preserve"> </w:t>
      </w:r>
      <w:r w:rsidR="00EA5B6D" w:rsidRPr="00CF31E0">
        <w:rPr>
          <w:rFonts w:cs="Arial"/>
          <w:lang w:eastAsia="zh-CN"/>
        </w:rPr>
        <w:fldChar w:fldCharType="begin"/>
      </w:r>
      <w:r w:rsidR="00EA5B6D" w:rsidRPr="00CF31E0">
        <w:rPr>
          <w:rFonts w:cs="Arial"/>
          <w:lang w:eastAsia="zh-CN"/>
        </w:rPr>
        <w:instrText xml:space="preserve"> ADDIN ZOTERO_ITEM CSL_CITATION {"citationID":"a2boji13p3v","properties":{"formattedCitation":"(Garrett, 2010; Henerson et al., 1987)","plainCitation":"(Garrett, 2010; Henerson et al., 1987)","noteIndex":0},"citationItems":[{"id":29,"uris":["http://zotero.org/users/1939618/items/NF3PAHT2"],"uri":["http://zotero.org/users/1939618/items/NF3PAHT2"],"itemData":{"id":29,"type":"book","title":"Attitudes to Language","publisher":"Cambridge University Press","number-of-pages":"269","source":"Google Books","abstract":"Just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label":"page"},{"id":335,"uris":["http://zotero.org/users/1939618/items/W39RRBN4"],"uri":["http://zotero.org/users/1939618/items/W39RRBN4"],"itemData":{"id":335,"type":"book","title":"How to measure attitudes","collection-title":"Program evaluation kit (2nd ed.) ; 6","publisher":"Sage","publisher-place":"Newbury Park ; London","source":"find.shef.ac.uk","event-place":"Newbury Park ; London","ISBN":"978-0-8039-3131-2","call-number":"379.15 (P)","language":"eng","author":[{"family":"Henerson","given":"Marlene E."},{"family":"Morris","given":"Lynn Lyons"},{"family":"Fitz-Gibbon","given":"Carol Taylor"}],"issued":{"date-parts":[["1987"]]}},"label":"page"}],"schema":"https://github.com/citation-style-language/schema/raw/master/csl-citation.json"} </w:instrText>
      </w:r>
      <w:r w:rsidR="00EA5B6D" w:rsidRPr="00CF31E0">
        <w:rPr>
          <w:rFonts w:cs="Arial"/>
          <w:lang w:eastAsia="zh-CN"/>
        </w:rPr>
        <w:fldChar w:fldCharType="separate"/>
      </w:r>
      <w:r w:rsidR="00EA5B6D" w:rsidRPr="00CF31E0">
        <w:rPr>
          <w:rFonts w:cs="Arial"/>
          <w:noProof/>
          <w:lang w:eastAsia="zh-CN"/>
        </w:rPr>
        <w:t>(Garrett, 2010; Henerson et al., 1987)</w:t>
      </w:r>
      <w:r w:rsidR="00EA5B6D" w:rsidRPr="00CF31E0">
        <w:rPr>
          <w:rFonts w:cs="Arial"/>
          <w:lang w:eastAsia="zh-CN"/>
        </w:rPr>
        <w:fldChar w:fldCharType="end"/>
      </w:r>
      <w:r w:rsidRPr="00CF31E0">
        <w:rPr>
          <w:rFonts w:eastAsia="MS Mincho"/>
          <w:lang w:eastAsia="zh-CN"/>
        </w:rPr>
        <w:t>. The results from this section were processed via dif</w:t>
      </w:r>
      <w:r w:rsidR="00EA5B6D" w:rsidRPr="00CF31E0">
        <w:rPr>
          <w:rFonts w:eastAsia="MS Mincho"/>
          <w:lang w:eastAsia="zh-CN"/>
        </w:rPr>
        <w:t>ferent procedures, using</w:t>
      </w:r>
      <w:r w:rsidRPr="00CF31E0">
        <w:rPr>
          <w:rFonts w:eastAsia="MS Mincho"/>
          <w:lang w:eastAsia="zh-CN"/>
        </w:rPr>
        <w:t xml:space="preserve"> factor analysis </w:t>
      </w:r>
      <w:r w:rsidRPr="00CF31E0">
        <w:rPr>
          <w:rFonts w:eastAsia="MS Mincho"/>
          <w:lang w:val="en-US" w:eastAsia="en-US"/>
        </w:rPr>
        <w:t xml:space="preserve">to reveal the dimensions underlying the </w:t>
      </w:r>
      <w:r w:rsidRPr="00CF31E0">
        <w:rPr>
          <w:rFonts w:eastAsia="MS Mincho"/>
          <w:lang w:val="en-US" w:eastAsia="en-US"/>
        </w:rPr>
        <w:lastRenderedPageBreak/>
        <w:t xml:space="preserve">perceptions of dialect characteristics. For further details on the data procedures, see </w:t>
      </w:r>
      <w:r w:rsidR="00CE2B99" w:rsidRPr="00CF31E0">
        <w:rPr>
          <w:rFonts w:eastAsia="MS Mincho"/>
          <w:lang w:val="en-US" w:eastAsia="en-US"/>
        </w:rPr>
        <w:t>C</w:t>
      </w:r>
      <w:r w:rsidR="00A742A8" w:rsidRPr="00CF31E0">
        <w:rPr>
          <w:rFonts w:eastAsia="MS Mincho"/>
          <w:lang w:val="en-US" w:eastAsia="en-US"/>
        </w:rPr>
        <w:t>hapter 9.</w:t>
      </w:r>
    </w:p>
    <w:p w14:paraId="1C0E129E" w14:textId="6E18852B" w:rsidR="00160CC4" w:rsidRPr="00CF31E0" w:rsidRDefault="00516FA5" w:rsidP="00E87209">
      <w:pPr>
        <w:pStyle w:val="Chead"/>
      </w:pPr>
      <w:bookmarkStart w:id="286" w:name="_Toc6472675"/>
      <w:r w:rsidRPr="00CF31E0">
        <w:t>5</w:t>
      </w:r>
      <w:r w:rsidR="00FA196E" w:rsidRPr="00CF31E0">
        <w:t>.5.2.4.</w:t>
      </w:r>
      <w:r w:rsidR="00FA196E" w:rsidRPr="00CF31E0">
        <w:tab/>
      </w:r>
      <w:r w:rsidR="00160CC4" w:rsidRPr="00CF31E0">
        <w:t>Section 4</w:t>
      </w:r>
      <w:r w:rsidR="00E0762F" w:rsidRPr="00CF31E0">
        <w:t>: V</w:t>
      </w:r>
      <w:r w:rsidR="00FD764C" w:rsidRPr="00CF31E0">
        <w:t>oice allocation</w:t>
      </w:r>
      <w:r w:rsidR="00160CC4" w:rsidRPr="00CF31E0">
        <w:t xml:space="preserve"> and rating task</w:t>
      </w:r>
      <w:bookmarkEnd w:id="286"/>
    </w:p>
    <w:p w14:paraId="62ECF98F" w14:textId="10D72724" w:rsidR="00160CC4" w:rsidRPr="00CF31E0" w:rsidRDefault="00160CC4" w:rsidP="00603CB7">
      <w:pPr>
        <w:pStyle w:val="Paragraph"/>
        <w:rPr>
          <w:lang w:eastAsia="zh-CN"/>
        </w:rPr>
      </w:pPr>
      <w:r w:rsidRPr="00CF31E0">
        <w:rPr>
          <w:lang w:eastAsia="zh-CN"/>
        </w:rPr>
        <w:t>This section of the questionnaire answers RQ</w:t>
      </w:r>
      <w:r w:rsidR="00C374EF" w:rsidRPr="00CF31E0">
        <w:rPr>
          <w:lang w:eastAsia="zh-CN"/>
        </w:rPr>
        <w:t>3. In this section, I adopted direct and</w:t>
      </w:r>
      <w:r w:rsidRPr="00CF31E0">
        <w:rPr>
          <w:lang w:eastAsia="zh-CN"/>
        </w:rPr>
        <w:t xml:space="preserve"> indirect approach where participants were provided with a questionn</w:t>
      </w:r>
      <w:r w:rsidR="00FD764C" w:rsidRPr="00CF31E0">
        <w:rPr>
          <w:lang w:eastAsia="zh-CN"/>
        </w:rPr>
        <w:t>aire, and I used voice allocation</w:t>
      </w:r>
      <w:r w:rsidRPr="00CF31E0">
        <w:rPr>
          <w:lang w:eastAsia="zh-CN"/>
        </w:rPr>
        <w:t xml:space="preserve"> and voice rating tasks to elicit their responses while answering the questionnaire items. </w:t>
      </w:r>
      <w:bookmarkStart w:id="287" w:name="_Toc502746062"/>
    </w:p>
    <w:p w14:paraId="7802A580" w14:textId="09871721" w:rsidR="00160CC4" w:rsidRPr="00CF31E0" w:rsidRDefault="00516FA5" w:rsidP="00E87209">
      <w:pPr>
        <w:pStyle w:val="Dhead"/>
      </w:pPr>
      <w:bookmarkStart w:id="288" w:name="_Toc6472676"/>
      <w:r w:rsidRPr="00CF31E0">
        <w:t>5</w:t>
      </w:r>
      <w:r w:rsidR="00FA196E" w:rsidRPr="00CF31E0">
        <w:t>.5.2.4.1.</w:t>
      </w:r>
      <w:r w:rsidR="00FA196E" w:rsidRPr="00CF31E0">
        <w:tab/>
      </w:r>
      <w:r w:rsidR="00FD764C" w:rsidRPr="00CF31E0">
        <w:t>The voice allocation</w:t>
      </w:r>
      <w:r w:rsidR="00160CC4" w:rsidRPr="00CF31E0">
        <w:t xml:space="preserve"> task</w:t>
      </w:r>
      <w:bookmarkEnd w:id="287"/>
      <w:bookmarkEnd w:id="288"/>
    </w:p>
    <w:p w14:paraId="189427DF" w14:textId="26655425" w:rsidR="00160CC4" w:rsidRPr="00CF31E0" w:rsidRDefault="00FD764C" w:rsidP="00603CB7">
      <w:pPr>
        <w:pStyle w:val="Paragraph"/>
        <w:rPr>
          <w:lang w:eastAsia="zh-CN"/>
        </w:rPr>
      </w:pPr>
      <w:r w:rsidRPr="00CF31E0">
        <w:rPr>
          <w:lang w:eastAsia="zh-CN"/>
        </w:rPr>
        <w:t>In the voice allocation</w:t>
      </w:r>
      <w:r w:rsidR="00160CC4" w:rsidRPr="00CF31E0">
        <w:rPr>
          <w:lang w:eastAsia="zh-CN"/>
        </w:rPr>
        <w:t xml:space="preserve"> task, the participants were asked to listen to different speakers from the UBH and HH social groups and then they were asked to assign the speakers to either the UBH or HH social groups. </w:t>
      </w:r>
    </w:p>
    <w:p w14:paraId="06CA5FF8" w14:textId="77777777" w:rsidR="00160CC4" w:rsidRPr="00CF31E0" w:rsidRDefault="00160CC4" w:rsidP="00603CB7">
      <w:pPr>
        <w:pStyle w:val="Paragraph"/>
      </w:pPr>
      <w:r w:rsidRPr="00CF31E0">
        <w:rPr>
          <w:lang w:eastAsia="zh-CN"/>
        </w:rPr>
        <w:t>As a preliminary step, I collected speaker recordings prior to commencing the data collection stage. I sent WhatsApp instant messages to 10 friends and relatives, six of whom were female, and four of whom were male. I asked them the following:</w:t>
      </w:r>
    </w:p>
    <w:p w14:paraId="1CD06B49" w14:textId="77777777" w:rsidR="00160CC4" w:rsidRPr="00CF31E0" w:rsidRDefault="00160CC4" w:rsidP="00603CB7">
      <w:pPr>
        <w:pStyle w:val="Paragraph"/>
        <w:ind w:left="720"/>
        <w:rPr>
          <w:lang w:eastAsia="zh-CN"/>
        </w:rPr>
      </w:pPr>
      <w:r w:rsidRPr="00CF31E0">
        <w:rPr>
          <w:lang w:eastAsia="zh-CN"/>
        </w:rPr>
        <w:t xml:space="preserve">I am going to study perceptions of Hijazi people according to real speakers from the Hijaz region. I would like to ask you to participate in the study by recording your voice while you are talking about the weather in Saudi Arabia (SA). I have chosen you to be the speakers in the study because I believe you represent a good accent of either the UBH or HH dialect. I want you to complete either one of the following tasks or two of them. Do whatever is convenient to you. The tasks are as follows: </w:t>
      </w:r>
    </w:p>
    <w:p w14:paraId="02B0A039" w14:textId="57E4DC2C" w:rsidR="00160CC4" w:rsidRPr="00CF31E0" w:rsidRDefault="00160CC4" w:rsidP="00603CB7">
      <w:pPr>
        <w:pStyle w:val="Paragraph"/>
        <w:ind w:left="720"/>
        <w:rPr>
          <w:i/>
          <w:iCs/>
          <w:lang w:eastAsia="zh-CN"/>
        </w:rPr>
      </w:pPr>
      <w:r w:rsidRPr="00CF31E0">
        <w:rPr>
          <w:i/>
          <w:iCs/>
          <w:lang w:eastAsia="zh-CN"/>
        </w:rPr>
        <w:t xml:space="preserve">Recording your voice while talking about the weather in SA in </w:t>
      </w:r>
      <w:r w:rsidR="0021328E" w:rsidRPr="00CF31E0">
        <w:rPr>
          <w:i/>
          <w:iCs/>
          <w:lang w:eastAsia="zh-CN"/>
        </w:rPr>
        <w:t>the accent of your own dialect.</w:t>
      </w:r>
    </w:p>
    <w:p w14:paraId="4CFF4FDF" w14:textId="77777777" w:rsidR="00160CC4" w:rsidRPr="00CF31E0" w:rsidRDefault="00160CC4" w:rsidP="00603CB7">
      <w:pPr>
        <w:pStyle w:val="Paragraph"/>
        <w:ind w:left="720"/>
        <w:rPr>
          <w:i/>
          <w:iCs/>
          <w:lang w:eastAsia="zh-CN"/>
        </w:rPr>
      </w:pPr>
      <w:r w:rsidRPr="00CF31E0">
        <w:rPr>
          <w:i/>
          <w:iCs/>
          <w:lang w:eastAsia="zh-CN"/>
        </w:rPr>
        <w:t>Recording your voice while talking about the weather in SA in the accent of the other dialect. E.g. if you are UBH, use the HH accent, and vice versa.</w:t>
      </w:r>
    </w:p>
    <w:p w14:paraId="79A7FB72" w14:textId="77777777" w:rsidR="00160CC4" w:rsidRPr="00CF31E0" w:rsidRDefault="00160CC4" w:rsidP="00603CB7">
      <w:pPr>
        <w:pStyle w:val="Paragraph"/>
        <w:ind w:left="720"/>
        <w:rPr>
          <w:i/>
          <w:iCs/>
          <w:lang w:eastAsia="zh-CN"/>
        </w:rPr>
      </w:pPr>
      <w:r w:rsidRPr="00CF31E0">
        <w:rPr>
          <w:i/>
          <w:iCs/>
          <w:lang w:eastAsia="zh-CN"/>
        </w:rPr>
        <w:lastRenderedPageBreak/>
        <w:t xml:space="preserve">Please find attached the information sheet with the main points to cover when you are talking about SA weather. If you are willing to participate, record your voice using the recorder provided in WhatsApp instant messages, and then send your recording back to me, along with a signed consent form. </w:t>
      </w:r>
    </w:p>
    <w:p w14:paraId="3C6648AA" w14:textId="61E9AFFB" w:rsidR="00160CC4" w:rsidRPr="00CF31E0" w:rsidRDefault="00160CC4" w:rsidP="00603CB7">
      <w:pPr>
        <w:pStyle w:val="Paragraph"/>
        <w:rPr>
          <w:lang w:eastAsia="zh-CN"/>
        </w:rPr>
      </w:pPr>
      <w:r w:rsidRPr="00CF31E0">
        <w:rPr>
          <w:lang w:eastAsia="zh-CN"/>
        </w:rPr>
        <w:t>Nine participants were willing to participate, and sent me their recordings together with the consent form. When I went back to S</w:t>
      </w:r>
      <w:r w:rsidR="0015491A" w:rsidRPr="00CF31E0">
        <w:rPr>
          <w:lang w:eastAsia="zh-CN"/>
        </w:rPr>
        <w:t>A</w:t>
      </w:r>
      <w:r w:rsidRPr="00CF31E0">
        <w:rPr>
          <w:lang w:eastAsia="zh-CN"/>
        </w:rPr>
        <w:t xml:space="preserve"> to start collecting data, the first task I did upon my arrival was to present all the voice samples to a panel of native speakers, and </w:t>
      </w:r>
      <w:r w:rsidR="00D7324F" w:rsidRPr="00CF31E0">
        <w:rPr>
          <w:lang w:eastAsia="zh-CN"/>
        </w:rPr>
        <w:t xml:space="preserve">asked that </w:t>
      </w:r>
      <w:r w:rsidRPr="00CF31E0">
        <w:rPr>
          <w:lang w:eastAsia="zh-CN"/>
        </w:rPr>
        <w:t xml:space="preserve">they select the samples that best represented each dialect. </w:t>
      </w:r>
      <w:r w:rsidR="00321BC5" w:rsidRPr="00CF31E0">
        <w:rPr>
          <w:lang w:eastAsia="zh-CN"/>
        </w:rPr>
        <w:t xml:space="preserve">They were people who were accessible to me when I started the fieldwork in SA and were selected </w:t>
      </w:r>
      <w:r w:rsidR="001628A3" w:rsidRPr="00CF31E0">
        <w:rPr>
          <w:lang w:eastAsia="zh-CN"/>
        </w:rPr>
        <w:t>on this basis</w:t>
      </w:r>
      <w:r w:rsidR="00321BC5" w:rsidRPr="00CF31E0">
        <w:rPr>
          <w:lang w:eastAsia="zh-CN"/>
        </w:rPr>
        <w:t xml:space="preserve">. </w:t>
      </w:r>
      <w:r w:rsidRPr="00CF31E0">
        <w:rPr>
          <w:lang w:eastAsia="zh-CN"/>
        </w:rPr>
        <w:t xml:space="preserve">The panel consisted of two females aged 39 and 52, and one male aged 62. Overall, they decided that four female speakers and one male speaker should be included in the study, excluding the remaining speakers. </w:t>
      </w:r>
    </w:p>
    <w:p w14:paraId="3AFE6C2A" w14:textId="44B80671" w:rsidR="00160CC4" w:rsidRPr="00CF31E0" w:rsidRDefault="00160CC4" w:rsidP="006C2BA6">
      <w:pPr>
        <w:pStyle w:val="Paragraph"/>
        <w:rPr>
          <w:lang w:eastAsia="zh-CN"/>
        </w:rPr>
      </w:pPr>
      <w:r w:rsidRPr="00CF31E0">
        <w:rPr>
          <w:lang w:eastAsia="zh-CN"/>
        </w:rPr>
        <w:t xml:space="preserve">It is important to note that I chose an approach where I let speakers talk freely about the weather, as opposed to giving them a fixed written text to read from. The rationale behind this is that it allows speakers “to talk more spontaneously in their normal speech” </w:t>
      </w:r>
      <w:r w:rsidRPr="00CF31E0">
        <w:rPr>
          <w:lang w:eastAsia="zh-CN"/>
        </w:rPr>
        <w:fldChar w:fldCharType="begin"/>
      </w:r>
      <w:r w:rsidRPr="00CF31E0">
        <w:rPr>
          <w:lang w:eastAsia="zh-CN"/>
        </w:rPr>
        <w:instrText xml:space="preserve"> ADDIN ZOTERO_ITEM CSL_CITATION {"citationID":"O73I7P8F","properties":{"formattedCitation":"(Garrett, 2010, p. 63)","plainCitation":"(Garrett, 2010, p. 63)","noteIndex":0},"citationItems":[{"id":29,"uris":["http://zotero.org/users/1939618/items/NF3PAHT2"],"uri":["http://zotero.org/users/1939618/items/NF3PAHT2"],"itemData":{"id":29,"type":"book","title":"Attitudes to Language","publisher":"Cambridge University Press","number-of-pages":"269","source":"Google Books","abstract":"Just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behaviour.","ISBN":"978-1-139-48682-8","language":"en","author":[{"family":"Garrett","given":"Peter"}],"issued":{"date-parts":[["2010",4,8]]}},"locator":"63","label":"page"}],"schema":"https://github.com/citation-style-language/schema/raw/master/csl-citation.json"} </w:instrText>
      </w:r>
      <w:r w:rsidRPr="00CF31E0">
        <w:rPr>
          <w:lang w:eastAsia="zh-CN"/>
        </w:rPr>
        <w:fldChar w:fldCharType="separate"/>
      </w:r>
      <w:r w:rsidRPr="00CF31E0">
        <w:rPr>
          <w:lang w:eastAsia="zh-CN"/>
        </w:rPr>
        <w:t>(Garrett, 2010, p. 63)</w:t>
      </w:r>
      <w:r w:rsidRPr="00CF31E0">
        <w:rPr>
          <w:lang w:eastAsia="zh-CN"/>
        </w:rPr>
        <w:fldChar w:fldCharType="end"/>
      </w:r>
      <w:r w:rsidRPr="00CF31E0">
        <w:rPr>
          <w:lang w:eastAsia="zh-CN"/>
        </w:rPr>
        <w:t xml:space="preserve">. Speaking spontaneously in </w:t>
      </w:r>
      <w:r w:rsidR="00F210C9" w:rsidRPr="00CF31E0">
        <w:rPr>
          <w:lang w:eastAsia="zh-CN"/>
        </w:rPr>
        <w:t xml:space="preserve">the </w:t>
      </w:r>
      <w:r w:rsidRPr="00CF31E0">
        <w:rPr>
          <w:lang w:eastAsia="zh-CN"/>
        </w:rPr>
        <w:t xml:space="preserve">SA context would trigger the speakers to speak their own dialects. </w:t>
      </w:r>
      <w:r w:rsidR="00F210C9" w:rsidRPr="00CF31E0">
        <w:rPr>
          <w:lang w:eastAsia="zh-CN"/>
        </w:rPr>
        <w:t>R</w:t>
      </w:r>
      <w:r w:rsidRPr="00CF31E0">
        <w:rPr>
          <w:lang w:eastAsia="zh-CN"/>
        </w:rPr>
        <w:t xml:space="preserve">esearch </w:t>
      </w:r>
      <w:r w:rsidR="00F210C9" w:rsidRPr="00CF31E0">
        <w:rPr>
          <w:lang w:eastAsia="zh-CN"/>
        </w:rPr>
        <w:t xml:space="preserve">has </w:t>
      </w:r>
      <w:r w:rsidRPr="00CF31E0">
        <w:rPr>
          <w:lang w:eastAsia="zh-CN"/>
        </w:rPr>
        <w:t xml:space="preserve">revealed that Arabic speakers have </w:t>
      </w:r>
      <w:r w:rsidR="00F210C9" w:rsidRPr="00CF31E0">
        <w:rPr>
          <w:lang w:eastAsia="zh-CN"/>
        </w:rPr>
        <w:t xml:space="preserve">a </w:t>
      </w:r>
      <w:r w:rsidRPr="00CF31E0">
        <w:rPr>
          <w:lang w:eastAsia="zh-CN"/>
        </w:rPr>
        <w:t xml:space="preserve">tendency to switch from dialectal Arabic to MSA if they feel the topic or the context is formal </w:t>
      </w:r>
      <w:r w:rsidR="00F210C9" w:rsidRPr="00CF31E0">
        <w:rPr>
          <w:lang w:eastAsia="zh-CN"/>
        </w:rPr>
        <w:t>(</w:t>
      </w:r>
      <w:r w:rsidRPr="00CF31E0">
        <w:rPr>
          <w:lang w:eastAsia="zh-CN"/>
        </w:rPr>
        <w:fldChar w:fldCharType="begin"/>
      </w:r>
      <w:r w:rsidRPr="00CF31E0">
        <w:rPr>
          <w:lang w:eastAsia="zh-CN"/>
        </w:rPr>
        <w:instrText xml:space="preserve"> ADDIN ZOTERO_ITEM CSL_CITATION {"citationID":"4tgBiyOi","properties":{"formattedCitation":"(Albirini, 2011)","plainCitation":"(Albirini, 2011)","noteIndex":0},"citationItems":[{"id":468,"uris":["http://zotero.org/users/1939618/items/UWZNS4JU"],"uri":["http://zotero.org/users/1939618/items/UWZNS4JU"],"itemData":{"id":468,"type":"article-journal","title":"The sociolinguistic functions of codeswitching between Standard Arabic and Dialectal Arabic","container-title":"Language in Society","volume":"40","source":"ResearchGate","abstract":"This study examines the social functions of codeswitching (CS) between Standard Arabic (SA) and Dialectal Arabic (DA). The data came from thirty-five audio and video recordings in the domains of religious lectures, political debates, and soccer commentaries. The findings suggest that speakers create a functional division between the two varieties by designating issues of importance, complexity, and seriousness to SA, the High code, and aligning less important, less serious, and accessible topics with DA, the Low code. The CS patterns therefore reproduce the unequal social values and distribution of SA and DA in the Arabic sociolinguistic landscape and simultaneously call for a reconceptualization of the notion of diglossia as presented in Ferguson's (1959) work. Other functions of CS as a marker of speakers' attitudes and as an index of pan-Arab or Muslim identities are discussed. (Arabic, bidialectal codeswitching, High/Low dichotomy, functional diglossia, identity, language attitudes)","DOI":"10.1017/S0047404511000674","author":[{"family":"Albirini","given":"Abdulkafi"}],"issued":{"date-parts":[["2011",11,1]]}}}],"schema":"https://github.com/citation-style-language/schema/raw/master/csl-citation.json"} </w:instrText>
      </w:r>
      <w:r w:rsidRPr="00CF31E0">
        <w:rPr>
          <w:lang w:eastAsia="zh-CN"/>
        </w:rPr>
        <w:fldChar w:fldCharType="separate"/>
      </w:r>
      <w:r w:rsidRPr="00CF31E0">
        <w:rPr>
          <w:noProof/>
          <w:lang w:eastAsia="zh-CN"/>
        </w:rPr>
        <w:t>Albirini</w:t>
      </w:r>
      <w:r w:rsidR="00F210C9" w:rsidRPr="00CF31E0">
        <w:rPr>
          <w:noProof/>
          <w:lang w:eastAsia="zh-CN"/>
        </w:rPr>
        <w:t>,</w:t>
      </w:r>
      <w:r w:rsidRPr="00CF31E0">
        <w:rPr>
          <w:noProof/>
          <w:lang w:eastAsia="zh-CN"/>
        </w:rPr>
        <w:t xml:space="preserve"> 2011)</w:t>
      </w:r>
      <w:r w:rsidRPr="00CF31E0">
        <w:rPr>
          <w:lang w:eastAsia="zh-CN"/>
        </w:rPr>
        <w:fldChar w:fldCharType="end"/>
      </w:r>
      <w:r w:rsidRPr="00CF31E0">
        <w:rPr>
          <w:lang w:eastAsia="zh-CN"/>
        </w:rPr>
        <w:t xml:space="preserve">. Similarly, Huygens and Vaughan (1983) used the same technique when they asked the speakers to </w:t>
      </w:r>
      <w:r w:rsidR="00F210C9" w:rsidRPr="00CF31E0">
        <w:rPr>
          <w:lang w:eastAsia="zh-CN"/>
        </w:rPr>
        <w:t xml:space="preserve">give </w:t>
      </w:r>
      <w:r w:rsidRPr="00CF31E0">
        <w:rPr>
          <w:lang w:eastAsia="zh-CN"/>
        </w:rPr>
        <w:t xml:space="preserve">directions to go from one place to another. </w:t>
      </w:r>
    </w:p>
    <w:p w14:paraId="4D8848E5" w14:textId="6A6B2AD9" w:rsidR="00160CC4" w:rsidRPr="00CF31E0" w:rsidRDefault="00160CC4" w:rsidP="00603CB7">
      <w:pPr>
        <w:pStyle w:val="Paragraph"/>
        <w:rPr>
          <w:lang w:eastAsia="zh-CN"/>
        </w:rPr>
      </w:pPr>
      <w:r w:rsidRPr="00CF31E0">
        <w:rPr>
          <w:lang w:eastAsia="zh-CN"/>
        </w:rPr>
        <w:t xml:space="preserve">In the data collection stage, two parts of the questionnaire were designed: the first part was dedicated to the voice </w:t>
      </w:r>
      <w:r w:rsidR="002A2D8D">
        <w:rPr>
          <w:lang w:eastAsia="zh-CN"/>
        </w:rPr>
        <w:t>allocation</w:t>
      </w:r>
      <w:r w:rsidRPr="00CF31E0">
        <w:rPr>
          <w:lang w:eastAsia="zh-CN"/>
        </w:rPr>
        <w:t xml:space="preserve"> task, while the second part was dedicated to the rating task (see section </w:t>
      </w:r>
      <w:r w:rsidR="00516FA5" w:rsidRPr="00CF31E0">
        <w:rPr>
          <w:lang w:eastAsia="zh-CN"/>
        </w:rPr>
        <w:t>3</w:t>
      </w:r>
      <w:r w:rsidRPr="00CF31E0">
        <w:rPr>
          <w:lang w:eastAsia="zh-CN"/>
        </w:rPr>
        <w:t xml:space="preserve">.5.4.1). In the first part, I asked the participants the following question: </w:t>
      </w:r>
    </w:p>
    <w:p w14:paraId="00615788" w14:textId="77777777" w:rsidR="00160CC4" w:rsidRPr="00CF31E0" w:rsidRDefault="00160CC4" w:rsidP="00603CB7">
      <w:pPr>
        <w:pStyle w:val="Extract"/>
        <w:rPr>
          <w:lang w:eastAsia="zh-CN"/>
        </w:rPr>
      </w:pPr>
      <w:r w:rsidRPr="00CF31E0">
        <w:rPr>
          <w:lang w:eastAsia="zh-CN"/>
        </w:rPr>
        <w:t xml:space="preserve">Listen to the following speaker and think of his/her origin; then indicate his dialect in the table provided. </w:t>
      </w:r>
    </w:p>
    <w:tbl>
      <w:tblPr>
        <w:tblStyle w:val="TableGrid1"/>
        <w:tblW w:w="0" w:type="auto"/>
        <w:tblLook w:val="04A0" w:firstRow="1" w:lastRow="0" w:firstColumn="1" w:lastColumn="0" w:noHBand="0" w:noVBand="1"/>
      </w:tblPr>
      <w:tblGrid>
        <w:gridCol w:w="3670"/>
        <w:gridCol w:w="1909"/>
        <w:gridCol w:w="2007"/>
      </w:tblGrid>
      <w:tr w:rsidR="007F558A" w:rsidRPr="00CF31E0" w14:paraId="4D0BB18A" w14:textId="77777777" w:rsidTr="00160CC4">
        <w:tc>
          <w:tcPr>
            <w:tcW w:w="4147" w:type="dxa"/>
          </w:tcPr>
          <w:p w14:paraId="3167A3D2" w14:textId="77777777" w:rsidR="00160CC4" w:rsidRPr="00CF31E0" w:rsidRDefault="00160CC4" w:rsidP="00160CC4">
            <w:pPr>
              <w:spacing w:before="120" w:after="120" w:line="360" w:lineRule="auto"/>
              <w:jc w:val="both"/>
              <w:rPr>
                <w:color w:val="000000" w:themeColor="text1"/>
                <w:lang w:eastAsia="zh-CN"/>
              </w:rPr>
            </w:pPr>
            <w:r w:rsidRPr="00CF31E0">
              <w:rPr>
                <w:color w:val="000000" w:themeColor="text1"/>
                <w:lang w:eastAsia="zh-CN"/>
              </w:rPr>
              <w:lastRenderedPageBreak/>
              <w:t>Voice sample</w:t>
            </w:r>
          </w:p>
        </w:tc>
        <w:tc>
          <w:tcPr>
            <w:tcW w:w="2116" w:type="dxa"/>
          </w:tcPr>
          <w:p w14:paraId="70047798" w14:textId="77777777" w:rsidR="00160CC4" w:rsidRPr="00CF31E0" w:rsidRDefault="00160CC4" w:rsidP="00160CC4">
            <w:pPr>
              <w:spacing w:before="120" w:after="120" w:line="360" w:lineRule="auto"/>
              <w:jc w:val="both"/>
              <w:rPr>
                <w:color w:val="000000" w:themeColor="text1"/>
                <w:lang w:eastAsia="zh-CN"/>
              </w:rPr>
            </w:pPr>
            <w:r w:rsidRPr="00CF31E0">
              <w:rPr>
                <w:color w:val="000000" w:themeColor="text1"/>
                <w:lang w:eastAsia="zh-CN"/>
              </w:rPr>
              <w:t>UBH social group</w:t>
            </w:r>
          </w:p>
        </w:tc>
        <w:tc>
          <w:tcPr>
            <w:tcW w:w="2231" w:type="dxa"/>
          </w:tcPr>
          <w:p w14:paraId="766CF54E" w14:textId="77777777" w:rsidR="00160CC4" w:rsidRPr="00CF31E0" w:rsidRDefault="00160CC4" w:rsidP="00160CC4">
            <w:pPr>
              <w:spacing w:before="120" w:after="120" w:line="360" w:lineRule="auto"/>
              <w:jc w:val="both"/>
              <w:rPr>
                <w:color w:val="000000" w:themeColor="text1"/>
                <w:lang w:eastAsia="zh-CN"/>
              </w:rPr>
            </w:pPr>
            <w:r w:rsidRPr="00CF31E0">
              <w:rPr>
                <w:color w:val="000000" w:themeColor="text1"/>
                <w:lang w:eastAsia="zh-CN"/>
              </w:rPr>
              <w:t>HH social group</w:t>
            </w:r>
          </w:p>
        </w:tc>
      </w:tr>
      <w:tr w:rsidR="00160CC4" w:rsidRPr="00CF31E0" w14:paraId="24DB1691" w14:textId="77777777" w:rsidTr="00160CC4">
        <w:tc>
          <w:tcPr>
            <w:tcW w:w="4147" w:type="dxa"/>
          </w:tcPr>
          <w:p w14:paraId="54A6CCE1" w14:textId="77777777" w:rsidR="00160CC4" w:rsidRPr="00CF31E0" w:rsidRDefault="00160CC4" w:rsidP="00160CC4">
            <w:pPr>
              <w:spacing w:before="120" w:after="120" w:line="360" w:lineRule="auto"/>
              <w:jc w:val="both"/>
              <w:rPr>
                <w:color w:val="000000" w:themeColor="text1"/>
                <w:lang w:eastAsia="zh-CN"/>
              </w:rPr>
            </w:pPr>
            <w:r w:rsidRPr="00CF31E0">
              <w:rPr>
                <w:color w:val="000000" w:themeColor="text1"/>
                <w:lang w:eastAsia="zh-CN"/>
              </w:rPr>
              <w:t>Voice sample 1 (the surname of the speaker)</w:t>
            </w:r>
          </w:p>
        </w:tc>
        <w:tc>
          <w:tcPr>
            <w:tcW w:w="2116" w:type="dxa"/>
          </w:tcPr>
          <w:p w14:paraId="1E0EB419" w14:textId="77777777" w:rsidR="00160CC4" w:rsidRPr="00CF31E0" w:rsidRDefault="00160CC4" w:rsidP="00160CC4">
            <w:pPr>
              <w:spacing w:before="120" w:after="120" w:line="360" w:lineRule="auto"/>
              <w:jc w:val="both"/>
              <w:rPr>
                <w:color w:val="000000" w:themeColor="text1"/>
                <w:lang w:eastAsia="zh-CN"/>
              </w:rPr>
            </w:pPr>
          </w:p>
        </w:tc>
        <w:tc>
          <w:tcPr>
            <w:tcW w:w="2231" w:type="dxa"/>
          </w:tcPr>
          <w:p w14:paraId="351FED30" w14:textId="77777777" w:rsidR="00160CC4" w:rsidRPr="00CF31E0" w:rsidRDefault="00160CC4" w:rsidP="00160CC4">
            <w:pPr>
              <w:spacing w:before="120" w:after="120" w:line="360" w:lineRule="auto"/>
              <w:jc w:val="both"/>
              <w:rPr>
                <w:color w:val="000000" w:themeColor="text1"/>
                <w:lang w:eastAsia="zh-CN"/>
              </w:rPr>
            </w:pPr>
          </w:p>
        </w:tc>
      </w:tr>
    </w:tbl>
    <w:p w14:paraId="2F4FC1A1" w14:textId="603C3CFE" w:rsidR="00160CC4" w:rsidRPr="00CF31E0" w:rsidRDefault="00160CC4" w:rsidP="00603CB7">
      <w:pPr>
        <w:pStyle w:val="Paragraph"/>
        <w:spacing w:before="200"/>
        <w:rPr>
          <w:lang w:val="en-US" w:eastAsia="zh-CN"/>
        </w:rPr>
      </w:pPr>
      <w:r w:rsidRPr="00CF31E0">
        <w:rPr>
          <w:lang w:eastAsia="zh-CN"/>
        </w:rPr>
        <w:t xml:space="preserve">The most significant purpose of this task is two-fold: first, to allow participants to cognitively recognize where the voice sample comes from. Thus, before they rate the voice sample, they need to do some mental processing to connect the voice sample to its origin. The second purpose was trying to deceive the participant by manipulating the surname of some speakers in two instances and the dialect of the speaker in one instance. The purpose for doing so was to ascertain whether participants tend to stereotype when they get to know the surname of the speakers, or if they really rely on the linguistic data provided by the speaker through his/her dialect. I decided to include the surname of the speaker as a metalinguistic factor because it is very common for Hijazi people to </w:t>
      </w:r>
      <w:r w:rsidR="008941A8" w:rsidRPr="00CF31E0">
        <w:rPr>
          <w:lang w:eastAsia="zh-CN"/>
        </w:rPr>
        <w:t>infer</w:t>
      </w:r>
      <w:r w:rsidRPr="00CF31E0">
        <w:rPr>
          <w:lang w:eastAsia="zh-CN"/>
        </w:rPr>
        <w:t xml:space="preserve"> the social group of the speaker from his/her surname, along with their dialect. For more details, see Chapter </w:t>
      </w:r>
      <w:r w:rsidR="00516FA5" w:rsidRPr="00CF31E0">
        <w:rPr>
          <w:lang w:eastAsia="zh-CN"/>
        </w:rPr>
        <w:t>2</w:t>
      </w:r>
      <w:r w:rsidRPr="00CF31E0">
        <w:rPr>
          <w:lang w:eastAsia="zh-CN"/>
        </w:rPr>
        <w:t>, section</w:t>
      </w:r>
      <w:r w:rsidR="00A37AB6" w:rsidRPr="00CF31E0">
        <w:rPr>
          <w:lang w:eastAsia="zh-CN"/>
        </w:rPr>
        <w:t xml:space="preserve">s </w:t>
      </w:r>
      <w:r w:rsidR="00516FA5" w:rsidRPr="00CF31E0">
        <w:rPr>
          <w:lang w:eastAsia="zh-CN"/>
        </w:rPr>
        <w:t>2</w:t>
      </w:r>
      <w:r w:rsidR="00A37AB6" w:rsidRPr="00CF31E0">
        <w:rPr>
          <w:lang w:eastAsia="zh-CN"/>
        </w:rPr>
        <w:t xml:space="preserve">.4 and </w:t>
      </w:r>
      <w:r w:rsidR="00516FA5" w:rsidRPr="00CF31E0">
        <w:rPr>
          <w:lang w:eastAsia="zh-CN"/>
        </w:rPr>
        <w:t>2</w:t>
      </w:r>
      <w:r w:rsidR="00A37AB6" w:rsidRPr="00CF31E0">
        <w:rPr>
          <w:lang w:eastAsia="zh-CN"/>
        </w:rPr>
        <w:t>.5.</w:t>
      </w:r>
      <w:r w:rsidRPr="00CF31E0">
        <w:rPr>
          <w:lang w:eastAsia="zh-CN"/>
        </w:rPr>
        <w:t xml:space="preserve"> Furthermore, the research on the effects of social information in socio-phonetic speech has been widely used and proved success</w:t>
      </w:r>
      <w:r w:rsidR="0042776A" w:rsidRPr="00CF31E0">
        <w:rPr>
          <w:lang w:eastAsia="zh-CN"/>
        </w:rPr>
        <w:t>ful</w:t>
      </w:r>
      <w:r w:rsidRPr="00CF31E0">
        <w:rPr>
          <w:lang w:eastAsia="zh-CN"/>
        </w:rPr>
        <w:t xml:space="preserve"> </w:t>
      </w:r>
      <w:r w:rsidRPr="00CF31E0">
        <w:rPr>
          <w:lang w:eastAsia="zh-CN"/>
        </w:rPr>
        <w:fldChar w:fldCharType="begin"/>
      </w:r>
      <w:r w:rsidRPr="00CF31E0">
        <w:rPr>
          <w:lang w:eastAsia="zh-CN"/>
        </w:rPr>
        <w:instrText xml:space="preserve"> ADDIN ZOTERO_ITEM CSL_CITATION {"citationID":"Tw4vBHdt","properties":{"formattedCitation":"(Hay et al., 2006a; Hay, Jennifer &amp; Drager, Katie, 2010; Niedzielski, 1999)","plainCitation":"(Hay et al., 2006a; Hay, Jennifer &amp; Drager, Katie, 2010; Niedzielski, 1999)","noteIndex":0},"citationItems":[{"id":345,"uris":["http://zotero.org/users/1939618/items/8WESUNPI"],"uri":["http://zotero.org/users/1939618/items/8WESUNPI"],"itemData":{"id":345,"type":"article-journal","title":"From fush to feesh: Exemplar priming in speech perception","container-title":"The Linguistic Review","page":"351–379","volume":"23","issue":"3","source":"find.shef.ac.uk","abstract":"Niedzielski (1999) reports on an experiment which demonstrates that individuals in Detroit ‘hear’ more Canadian Raising in the speech of a speaker when they think that speaker is Canadian. We describe an experiment designed to follow up on this result in a New Zealand context. Participants listened to a New Zealand English (NZE) speaker reading a list of sentences. Each sentence appeared on the answer-sheet, with a target word underlined. For each sentence, participants were asked to select from a synthesized vowel continuum the token that best matched the target vowel produced by the speaker. Half the participants had an answer-sheet with the word ‘Australian’ written on it, and half had an answer-sheet with ‘New Zealander’ written on it. Participants in the two conditions behaved significantly differently from one another. For example, they were more likely to hear a higher fronter / i / vowel when ‘Australian’ appeared on the answer sheet, and more likely to hear a centralized version when ‘New Zealander’ appeared – a trend which reflects production differences between the two dialects. This is despite the fact that nearly all participants reported that they knew they were listening to a New Zealander. We discuss the implication of these results, and argue that they support exemplar models of speech perception.","DOI":"10.1515/TLR.2006.014","ISSN":"0167-6318","shortTitle":"From fush to feesh","author":[{"family":"Hay","given":"Jennifer"},{"family":"Nolan","given":"Aaron"},{"family":"Drager","given":"Katie"}],"issued":{"literal":"2006a"}},"label":"page"},{"id":291,"uris":["http://zotero.org/users/1939618/items/J2RHJYXU"],"uri":["http://zotero.org/users/1939618/items/J2RHJYXU"],"itemData":{"id":291,"type":"article-journal","title":"Stuffed toys and speech perception : Linguistics","volume":"48","issue":"4","URL":"https://www.degruyter.com/view/j/ling.2010.48.issue-4/ling.2010.027/ling.2010.027.xml","author":[{"literal":"Hay, Jennifer"},{"literal":"Drager, Katie"}],"issued":{"date-parts":[["2010"]]},"accessed":{"date-parts":[["2017",12,28]]}},"label":"page"},{"id":293,"uris":["http://zotero.org/users/1939618/items/IR99WY6K"],"uri":["http://zotero.org/users/1939618/items/IR99WY6K"],"itemData":{"id":293,"type":"article-journal","title":"The effect of social information on the perception of sociolinguistic variables","container-title":"Journal of language and social psychology","page":"62–85","volume":"18","issue":"1","source":"Google Scholar","author":[{"family":"Niedzielski","given":"Nancy"}],"issued":{"date-parts":[["1999"]]}},"label":"page"}],"schema":"https://github.com/citation-style-language/schema/raw/master/csl-citation.json"} </w:instrText>
      </w:r>
      <w:r w:rsidRPr="00CF31E0">
        <w:rPr>
          <w:lang w:eastAsia="zh-CN"/>
        </w:rPr>
        <w:fldChar w:fldCharType="separate"/>
      </w:r>
      <w:r w:rsidRPr="00CF31E0">
        <w:rPr>
          <w:noProof/>
          <w:lang w:eastAsia="zh-CN"/>
        </w:rPr>
        <w:t>(</w:t>
      </w:r>
      <w:r w:rsidR="00E25ADD" w:rsidRPr="00CF31E0">
        <w:rPr>
          <w:noProof/>
          <w:lang w:eastAsia="zh-CN"/>
        </w:rPr>
        <w:t xml:space="preserve">Hay &amp; Drager, 2010; </w:t>
      </w:r>
      <w:r w:rsidR="00074CE4" w:rsidRPr="00CF31E0">
        <w:rPr>
          <w:noProof/>
          <w:lang w:eastAsia="zh-CN"/>
        </w:rPr>
        <w:t>Hay et al., 2006</w:t>
      </w:r>
      <w:r w:rsidRPr="00CF31E0">
        <w:rPr>
          <w:noProof/>
          <w:lang w:eastAsia="zh-CN"/>
        </w:rPr>
        <w:t>; Niedzielski, 1999)</w:t>
      </w:r>
      <w:r w:rsidRPr="00CF31E0">
        <w:rPr>
          <w:lang w:eastAsia="zh-CN"/>
        </w:rPr>
        <w:fldChar w:fldCharType="end"/>
      </w:r>
      <w:r w:rsidR="00E25ADD" w:rsidRPr="00CF31E0">
        <w:rPr>
          <w:lang w:eastAsia="zh-CN"/>
        </w:rPr>
        <w:t>;</w:t>
      </w:r>
      <w:r w:rsidRPr="00CF31E0">
        <w:rPr>
          <w:lang w:eastAsia="zh-CN"/>
        </w:rPr>
        <w:t xml:space="preserve"> see </w:t>
      </w:r>
      <w:r w:rsidR="00CE2B99" w:rsidRPr="00CF31E0">
        <w:rPr>
          <w:lang w:eastAsia="zh-CN"/>
        </w:rPr>
        <w:t>C</w:t>
      </w:r>
      <w:r w:rsidRPr="00CF31E0">
        <w:rPr>
          <w:lang w:eastAsia="zh-CN"/>
        </w:rPr>
        <w:t>hapter</w:t>
      </w:r>
      <w:r w:rsidR="00A37AB6" w:rsidRPr="00CF31E0">
        <w:rPr>
          <w:lang w:eastAsia="zh-CN"/>
        </w:rPr>
        <w:t xml:space="preserve"> </w:t>
      </w:r>
      <w:r w:rsidR="00516FA5" w:rsidRPr="00CF31E0">
        <w:rPr>
          <w:lang w:eastAsia="zh-CN"/>
        </w:rPr>
        <w:t>4</w:t>
      </w:r>
      <w:r w:rsidR="00A37AB6" w:rsidRPr="00CF31E0">
        <w:rPr>
          <w:lang w:eastAsia="zh-CN"/>
        </w:rPr>
        <w:t>,</w:t>
      </w:r>
      <w:r w:rsidRPr="00CF31E0">
        <w:rPr>
          <w:lang w:eastAsia="zh-CN"/>
        </w:rPr>
        <w:t xml:space="preserve"> section</w:t>
      </w:r>
      <w:r w:rsidR="00A37AB6" w:rsidRPr="00CF31E0">
        <w:rPr>
          <w:lang w:eastAsia="zh-CN"/>
        </w:rPr>
        <w:t xml:space="preserve"> </w:t>
      </w:r>
      <w:r w:rsidR="00516FA5" w:rsidRPr="00CF31E0">
        <w:rPr>
          <w:lang w:eastAsia="zh-CN"/>
        </w:rPr>
        <w:t>4</w:t>
      </w:r>
      <w:r w:rsidR="00A37AB6" w:rsidRPr="00CF31E0">
        <w:rPr>
          <w:lang w:eastAsia="zh-CN"/>
        </w:rPr>
        <w:t>.9.</w:t>
      </w:r>
      <w:r w:rsidRPr="00CF31E0">
        <w:rPr>
          <w:lang w:eastAsia="zh-CN"/>
        </w:rPr>
        <w:t xml:space="preserve"> </w:t>
      </w:r>
      <w:r w:rsidRPr="00CF31E0">
        <w:rPr>
          <w:lang w:val="en-US" w:eastAsia="zh-CN"/>
        </w:rPr>
        <w:t>Therefore, I developed a methodology to test the extent to which Hijazi people can identify the original social group of the speaker; do they rely on the dialect of the speaker or the surname of the speaker?</w:t>
      </w:r>
    </w:p>
    <w:p w14:paraId="7A3B8922" w14:textId="77777777" w:rsidR="00160CC4" w:rsidRPr="00CF31E0" w:rsidRDefault="00160CC4" w:rsidP="00603CB7">
      <w:pPr>
        <w:pStyle w:val="Paragraph"/>
        <w:rPr>
          <w:lang w:eastAsia="zh-CN"/>
        </w:rPr>
      </w:pPr>
      <w:r w:rsidRPr="00CF31E0">
        <w:rPr>
          <w:lang w:eastAsia="zh-CN"/>
        </w:rPr>
        <w:t>The order in which the voice samples were presented is illustrated below; the first four voice samples follow a verbal-guise technique and the last voice sample follow matched-guise technique.</w:t>
      </w:r>
    </w:p>
    <w:p w14:paraId="43C0E6FD" w14:textId="77777777" w:rsidR="00160CC4" w:rsidRPr="00CF31E0" w:rsidRDefault="00160CC4" w:rsidP="00603CB7">
      <w:pPr>
        <w:pStyle w:val="Extract"/>
        <w:rPr>
          <w:lang w:eastAsia="zh-CN"/>
        </w:rPr>
      </w:pPr>
      <w:r w:rsidRPr="00CF31E0">
        <w:rPr>
          <w:lang w:eastAsia="zh-CN"/>
        </w:rPr>
        <w:t>Voice sample 1: real HH voice sample, with a real surname written on the questionnaire answer sheet.</w:t>
      </w:r>
    </w:p>
    <w:p w14:paraId="5A6A532C" w14:textId="77777777" w:rsidR="00160CC4" w:rsidRPr="00CF31E0" w:rsidRDefault="00160CC4" w:rsidP="00603CB7">
      <w:pPr>
        <w:pStyle w:val="Extract"/>
        <w:rPr>
          <w:lang w:eastAsia="zh-CN"/>
        </w:rPr>
      </w:pPr>
      <w:r w:rsidRPr="00CF31E0">
        <w:rPr>
          <w:lang w:eastAsia="zh-CN"/>
        </w:rPr>
        <w:t>Voice sample 2: real UBH voice sample, with a real surname written on the questionnaire answer sheet.</w:t>
      </w:r>
    </w:p>
    <w:p w14:paraId="3C05A1F7" w14:textId="77777777" w:rsidR="00160CC4" w:rsidRPr="00CF31E0" w:rsidRDefault="00160CC4" w:rsidP="00603CB7">
      <w:pPr>
        <w:pStyle w:val="Extract"/>
        <w:rPr>
          <w:lang w:eastAsia="zh-CN"/>
        </w:rPr>
      </w:pPr>
      <w:r w:rsidRPr="00CF31E0">
        <w:rPr>
          <w:lang w:eastAsia="zh-CN"/>
        </w:rPr>
        <w:lastRenderedPageBreak/>
        <w:t>Voice sample 3: real HH voice sample, with a UBH surname (the speaker’s surname was manipulated).</w:t>
      </w:r>
    </w:p>
    <w:p w14:paraId="3F23588C" w14:textId="77777777" w:rsidR="00160CC4" w:rsidRPr="00CF31E0" w:rsidRDefault="00160CC4" w:rsidP="00603CB7">
      <w:pPr>
        <w:pStyle w:val="Extract"/>
        <w:rPr>
          <w:lang w:eastAsia="zh-CN"/>
        </w:rPr>
      </w:pPr>
      <w:r w:rsidRPr="00CF31E0">
        <w:rPr>
          <w:lang w:eastAsia="zh-CN"/>
        </w:rPr>
        <w:t>Voice sample 4: real UBH voice sample, with a HH surname (the speaker’s surname was manipulated).</w:t>
      </w:r>
    </w:p>
    <w:p w14:paraId="4A08C834" w14:textId="5ED55596" w:rsidR="00160CC4" w:rsidRPr="00CF31E0" w:rsidRDefault="00160CC4" w:rsidP="00603CB7">
      <w:pPr>
        <w:pStyle w:val="Extract"/>
        <w:rPr>
          <w:lang w:eastAsia="zh-CN"/>
        </w:rPr>
      </w:pPr>
      <w:r w:rsidRPr="00CF31E0">
        <w:rPr>
          <w:lang w:eastAsia="zh-CN"/>
        </w:rPr>
        <w:t>Voice sample 5: real HH voice sample (speaking the UBH dialect), with a HH surname.</w:t>
      </w:r>
    </w:p>
    <w:p w14:paraId="4DF54875" w14:textId="77777777" w:rsidR="00160CC4" w:rsidRPr="00CF31E0" w:rsidRDefault="00160CC4" w:rsidP="00603CB7">
      <w:pPr>
        <w:pStyle w:val="Paragraph"/>
        <w:rPr>
          <w:lang w:eastAsia="zh-CN"/>
        </w:rPr>
      </w:pPr>
      <w:r w:rsidRPr="00CF31E0">
        <w:rPr>
          <w:lang w:eastAsia="zh-CN"/>
        </w:rPr>
        <w:t xml:space="preserve">As can be seen from the above, the speaker’s surname was real in the first and second voice samples. In the third and fourth voice samples, the surname was manipulated. In the fifth voice sample, the dialect itself was manipulated rather than the surname of the speaker. The latter is a real HH speaker imitating the UBH dialect. The rationale for doing so was to test whether participants can detect the social group of the speaker when he is trying to cover his real identity by imitating the other dialect’s accent.  </w:t>
      </w:r>
    </w:p>
    <w:p w14:paraId="7DEB46ED" w14:textId="01FCCC38" w:rsidR="00160CC4" w:rsidRPr="00CF31E0" w:rsidRDefault="00516FA5" w:rsidP="00E87209">
      <w:pPr>
        <w:pStyle w:val="Dhead"/>
      </w:pPr>
      <w:bookmarkStart w:id="289" w:name="_Toc502746063"/>
      <w:bookmarkStart w:id="290" w:name="_Toc6472677"/>
      <w:r w:rsidRPr="00CF31E0">
        <w:t>5</w:t>
      </w:r>
      <w:r w:rsidR="00FA196E" w:rsidRPr="00CF31E0">
        <w:t>.5.2.4.2.</w:t>
      </w:r>
      <w:r w:rsidR="00FA196E" w:rsidRPr="00CF31E0">
        <w:tab/>
      </w:r>
      <w:r w:rsidR="00160CC4" w:rsidRPr="00CF31E0">
        <w:t>The voice rating task</w:t>
      </w:r>
      <w:bookmarkEnd w:id="289"/>
      <w:bookmarkEnd w:id="290"/>
    </w:p>
    <w:p w14:paraId="460CF7B2" w14:textId="22AC60FA" w:rsidR="00160CC4" w:rsidRPr="00CF31E0" w:rsidRDefault="00160CC4" w:rsidP="00603CB7">
      <w:pPr>
        <w:pStyle w:val="Paragraph"/>
        <w:rPr>
          <w:lang w:eastAsia="zh-CN"/>
        </w:rPr>
      </w:pPr>
      <w:r w:rsidRPr="00CF31E0">
        <w:rPr>
          <w:lang w:eastAsia="zh-CN"/>
        </w:rPr>
        <w:t>The voice rating task is a follow-up task to the voice allocation task.</w:t>
      </w:r>
      <w:r w:rsidR="00954BE4" w:rsidRPr="00CF31E0">
        <w:rPr>
          <w:lang w:eastAsia="zh-CN"/>
        </w:rPr>
        <w:t xml:space="preserve"> I chose the four most frequently labelled characteristics in the free</w:t>
      </w:r>
      <w:r w:rsidR="00C86BDA" w:rsidRPr="00CF31E0">
        <w:rPr>
          <w:lang w:eastAsia="zh-CN"/>
        </w:rPr>
        <w:t>-adjective</w:t>
      </w:r>
      <w:r w:rsidR="00954BE4" w:rsidRPr="00CF31E0">
        <w:rPr>
          <w:lang w:eastAsia="zh-CN"/>
        </w:rPr>
        <w:t xml:space="preserve"> questionnaire from </w:t>
      </w:r>
      <w:r w:rsidR="001628A3" w:rsidRPr="00CF31E0">
        <w:rPr>
          <w:lang w:eastAsia="zh-CN"/>
        </w:rPr>
        <w:t xml:space="preserve">the </w:t>
      </w:r>
      <w:r w:rsidR="00954BE4" w:rsidRPr="00CF31E0">
        <w:rPr>
          <w:lang w:eastAsia="zh-CN"/>
        </w:rPr>
        <w:t>RQ</w:t>
      </w:r>
      <w:r w:rsidR="00922F70" w:rsidRPr="00CF31E0">
        <w:rPr>
          <w:lang w:eastAsia="zh-CN"/>
        </w:rPr>
        <w:t>2</w:t>
      </w:r>
      <w:r w:rsidR="00954BE4" w:rsidRPr="00CF31E0">
        <w:rPr>
          <w:lang w:eastAsia="zh-CN"/>
        </w:rPr>
        <w:t xml:space="preserve"> results and included them in a rating</w:t>
      </w:r>
      <w:r w:rsidR="005D0894" w:rsidRPr="00CF31E0">
        <w:rPr>
          <w:lang w:eastAsia="zh-CN"/>
        </w:rPr>
        <w:t>-scale</w:t>
      </w:r>
      <w:r w:rsidR="00954BE4" w:rsidRPr="00CF31E0">
        <w:rPr>
          <w:lang w:eastAsia="zh-CN"/>
        </w:rPr>
        <w:t xml:space="preserve"> questionnaire. I could not include all </w:t>
      </w:r>
      <w:r w:rsidR="001628A3" w:rsidRPr="00CF31E0">
        <w:rPr>
          <w:lang w:eastAsia="zh-CN"/>
        </w:rPr>
        <w:t xml:space="preserve">the </w:t>
      </w:r>
      <w:r w:rsidR="00954BE4" w:rsidRPr="00CF31E0">
        <w:rPr>
          <w:lang w:eastAsia="zh-CN"/>
        </w:rPr>
        <w:t xml:space="preserve">characteristics from </w:t>
      </w:r>
      <w:r w:rsidR="001628A3" w:rsidRPr="00CF31E0">
        <w:rPr>
          <w:lang w:eastAsia="zh-CN"/>
        </w:rPr>
        <w:t xml:space="preserve">the </w:t>
      </w:r>
      <w:r w:rsidR="00954BE4" w:rsidRPr="00CF31E0">
        <w:rPr>
          <w:lang w:eastAsia="zh-CN"/>
        </w:rPr>
        <w:t xml:space="preserve">RQ2 results </w:t>
      </w:r>
      <w:r w:rsidR="00972DE5" w:rsidRPr="00CF31E0">
        <w:rPr>
          <w:lang w:eastAsia="zh-CN"/>
        </w:rPr>
        <w:t xml:space="preserve">as </w:t>
      </w:r>
      <w:r w:rsidR="001628A3" w:rsidRPr="00CF31E0">
        <w:rPr>
          <w:lang w:eastAsia="zh-CN"/>
        </w:rPr>
        <w:t xml:space="preserve">it would have been a tedious </w:t>
      </w:r>
      <w:r w:rsidR="00954BE4" w:rsidRPr="00CF31E0">
        <w:rPr>
          <w:lang w:eastAsia="zh-CN"/>
        </w:rPr>
        <w:t xml:space="preserve">task for participants to rate </w:t>
      </w:r>
      <w:r w:rsidR="001628A3" w:rsidRPr="00CF31E0">
        <w:rPr>
          <w:lang w:eastAsia="zh-CN"/>
        </w:rPr>
        <w:t>22</w:t>
      </w:r>
      <w:r w:rsidR="00954BE4" w:rsidRPr="00CF31E0">
        <w:rPr>
          <w:lang w:eastAsia="zh-CN"/>
        </w:rPr>
        <w:t xml:space="preserve"> characteristics for each speaker. Therefore, I only chose the most frequent ones. Thus,</w:t>
      </w:r>
      <w:r w:rsidRPr="00CF31E0">
        <w:rPr>
          <w:lang w:eastAsia="zh-CN"/>
        </w:rPr>
        <w:t xml:space="preserve"> </w:t>
      </w:r>
      <w:r w:rsidR="001628A3" w:rsidRPr="00CF31E0">
        <w:rPr>
          <w:lang w:eastAsia="zh-CN"/>
        </w:rPr>
        <w:t>a</w:t>
      </w:r>
      <w:r w:rsidRPr="00CF31E0">
        <w:rPr>
          <w:lang w:eastAsia="zh-CN"/>
        </w:rPr>
        <w:t>fter the participants listened to each voice sample, they were asked to rate the voice of the speaker they just listened to against four characteristics taken from results of the free</w:t>
      </w:r>
      <w:r w:rsidR="00C86BDA" w:rsidRPr="00CF31E0">
        <w:rPr>
          <w:lang w:eastAsia="zh-CN"/>
        </w:rPr>
        <w:t>-adjective</w:t>
      </w:r>
      <w:r w:rsidRPr="00CF31E0">
        <w:rPr>
          <w:lang w:eastAsia="zh-CN"/>
        </w:rPr>
        <w:t xml:space="preserve"> questionnaire: two characteristics were perceived as characteristics of the UBH dialect and the other two were perceived as characteristics of the HH dialect. The four characteristics were provided in a questionnaire format with a semantic differential scale from 1 to 5, with opposing labels, least and most. The following table illustrates the rating task for voice sample 1. The whole questionnaire is presented in Appendix </w:t>
      </w:r>
      <w:r w:rsidR="001628A3" w:rsidRPr="00CF31E0">
        <w:rPr>
          <w:lang w:eastAsia="zh-CN"/>
        </w:rPr>
        <w:t>1.</w:t>
      </w:r>
      <w:r w:rsidRPr="00CF31E0">
        <w:rPr>
          <w:lang w:eastAsia="zh-CN"/>
        </w:rPr>
        <w:t xml:space="preserve"> </w:t>
      </w:r>
    </w:p>
    <w:p w14:paraId="082375B4" w14:textId="77777777" w:rsidR="00D74542" w:rsidRPr="00CF31E0" w:rsidRDefault="00D74542" w:rsidP="00603CB7">
      <w:pPr>
        <w:pStyle w:val="Paragraph"/>
        <w:rPr>
          <w:lang w:eastAsia="zh-CN"/>
        </w:rPr>
      </w:pPr>
    </w:p>
    <w:p w14:paraId="7A873C68" w14:textId="2DD199A1" w:rsidR="00160CC4" w:rsidRPr="00CF31E0" w:rsidRDefault="00160CC4" w:rsidP="00603CB7">
      <w:pPr>
        <w:pStyle w:val="Paragraph"/>
        <w:rPr>
          <w:lang w:eastAsia="zh-CN"/>
        </w:rPr>
      </w:pPr>
      <w:r w:rsidRPr="00CF31E0">
        <w:rPr>
          <w:lang w:eastAsia="zh-CN"/>
        </w:rPr>
        <w:lastRenderedPageBreak/>
        <w:t>How would you rate the speech of the voice sample provided in the recording?</w:t>
      </w:r>
    </w:p>
    <w:p w14:paraId="31254C55" w14:textId="77777777" w:rsidR="00160CC4" w:rsidRPr="00CF31E0" w:rsidRDefault="00160CC4" w:rsidP="00160CC4">
      <w:pPr>
        <w:spacing w:before="120" w:after="120" w:line="360" w:lineRule="auto"/>
        <w:jc w:val="both"/>
        <w:rPr>
          <w:rFonts w:eastAsia="Times New Roman"/>
          <w:b/>
          <w:color w:val="000000" w:themeColor="text1"/>
          <w:lang w:eastAsia="zh-CN"/>
        </w:rPr>
      </w:pPr>
      <w:r w:rsidRPr="00CF31E0">
        <w:rPr>
          <w:rFonts w:eastAsia="Times New Roman"/>
          <w:b/>
          <w:color w:val="000000" w:themeColor="text1"/>
          <w:lang w:eastAsia="zh-CN"/>
        </w:rPr>
        <w:t xml:space="preserve">                                Least________________________________Most</w:t>
      </w:r>
    </w:p>
    <w:tbl>
      <w:tblPr>
        <w:tblStyle w:val="TableGrid1"/>
        <w:tblW w:w="0" w:type="auto"/>
        <w:tblLook w:val="04A0" w:firstRow="1" w:lastRow="0" w:firstColumn="1" w:lastColumn="0" w:noHBand="0" w:noVBand="1"/>
      </w:tblPr>
      <w:tblGrid>
        <w:gridCol w:w="1737"/>
        <w:gridCol w:w="1169"/>
        <w:gridCol w:w="1170"/>
        <w:gridCol w:w="1170"/>
        <w:gridCol w:w="1170"/>
        <w:gridCol w:w="1170"/>
      </w:tblGrid>
      <w:tr w:rsidR="007F558A" w:rsidRPr="00CF31E0" w14:paraId="3A9B651E" w14:textId="77777777" w:rsidTr="00160CC4">
        <w:trPr>
          <w:trHeight w:val="612"/>
        </w:trPr>
        <w:tc>
          <w:tcPr>
            <w:tcW w:w="1752" w:type="dxa"/>
          </w:tcPr>
          <w:p w14:paraId="7EEE1797" w14:textId="77777777" w:rsidR="00160CC4" w:rsidRPr="00CF31E0" w:rsidRDefault="00160CC4">
            <w:pPr>
              <w:spacing w:before="120"/>
              <w:ind w:left="720"/>
              <w:contextualSpacing/>
              <w:jc w:val="both"/>
              <w:rPr>
                <w:color w:val="000000" w:themeColor="text1"/>
                <w:lang w:eastAsia="zh-CN"/>
              </w:rPr>
            </w:pPr>
          </w:p>
          <w:p w14:paraId="0F0BFD56" w14:textId="77777777" w:rsidR="00160CC4" w:rsidRPr="00CF31E0" w:rsidRDefault="00160CC4">
            <w:pPr>
              <w:spacing w:before="120" w:after="120"/>
              <w:jc w:val="both"/>
              <w:rPr>
                <w:color w:val="000000" w:themeColor="text1"/>
                <w:lang w:eastAsia="zh-CN"/>
              </w:rPr>
            </w:pPr>
            <w:r w:rsidRPr="00CF31E0">
              <w:rPr>
                <w:color w:val="000000" w:themeColor="text1"/>
                <w:lang w:eastAsia="zh-CN"/>
              </w:rPr>
              <w:t>Serious</w:t>
            </w:r>
          </w:p>
        </w:tc>
        <w:tc>
          <w:tcPr>
            <w:tcW w:w="1173" w:type="dxa"/>
          </w:tcPr>
          <w:p w14:paraId="5A027AEC" w14:textId="77777777" w:rsidR="00160CC4" w:rsidRPr="00CF31E0" w:rsidRDefault="00160CC4">
            <w:pPr>
              <w:ind w:left="720"/>
              <w:contextualSpacing/>
              <w:jc w:val="center"/>
              <w:rPr>
                <w:color w:val="000000" w:themeColor="text1"/>
                <w:lang w:eastAsia="zh-CN"/>
              </w:rPr>
            </w:pPr>
          </w:p>
          <w:p w14:paraId="2C328FCB" w14:textId="77777777" w:rsidR="00160CC4" w:rsidRPr="00CF31E0" w:rsidRDefault="00160CC4">
            <w:pPr>
              <w:spacing w:before="120"/>
              <w:ind w:left="720"/>
              <w:contextualSpacing/>
              <w:jc w:val="center"/>
              <w:rPr>
                <w:color w:val="000000" w:themeColor="text1"/>
                <w:lang w:eastAsia="zh-CN"/>
              </w:rPr>
            </w:pPr>
            <w:r w:rsidRPr="00CF31E0">
              <w:rPr>
                <w:color w:val="000000" w:themeColor="text1"/>
                <w:lang w:eastAsia="zh-CN"/>
              </w:rPr>
              <w:t>1</w:t>
            </w:r>
          </w:p>
        </w:tc>
        <w:tc>
          <w:tcPr>
            <w:tcW w:w="1173" w:type="dxa"/>
          </w:tcPr>
          <w:p w14:paraId="2AC33357" w14:textId="77777777" w:rsidR="00160CC4" w:rsidRPr="00CF31E0" w:rsidRDefault="00160CC4">
            <w:pPr>
              <w:spacing w:before="120"/>
              <w:ind w:left="720"/>
              <w:contextualSpacing/>
              <w:jc w:val="center"/>
              <w:rPr>
                <w:color w:val="000000" w:themeColor="text1"/>
                <w:lang w:eastAsia="zh-CN"/>
              </w:rPr>
            </w:pPr>
          </w:p>
          <w:p w14:paraId="1D956D38" w14:textId="77777777" w:rsidR="00160CC4" w:rsidRPr="00CF31E0" w:rsidRDefault="00160CC4">
            <w:pPr>
              <w:spacing w:before="120"/>
              <w:ind w:left="720"/>
              <w:contextualSpacing/>
              <w:jc w:val="center"/>
              <w:rPr>
                <w:color w:val="000000" w:themeColor="text1"/>
                <w:lang w:eastAsia="zh-CN"/>
              </w:rPr>
            </w:pPr>
            <w:r w:rsidRPr="00CF31E0">
              <w:rPr>
                <w:color w:val="000000" w:themeColor="text1"/>
                <w:lang w:eastAsia="zh-CN"/>
              </w:rPr>
              <w:t>2</w:t>
            </w:r>
          </w:p>
        </w:tc>
        <w:tc>
          <w:tcPr>
            <w:tcW w:w="1173" w:type="dxa"/>
          </w:tcPr>
          <w:p w14:paraId="088BC44E" w14:textId="77777777" w:rsidR="00160CC4" w:rsidRPr="00CF31E0" w:rsidRDefault="00160CC4">
            <w:pPr>
              <w:spacing w:before="120"/>
              <w:ind w:left="720"/>
              <w:contextualSpacing/>
              <w:jc w:val="center"/>
              <w:rPr>
                <w:color w:val="000000" w:themeColor="text1"/>
                <w:lang w:eastAsia="zh-CN"/>
              </w:rPr>
            </w:pPr>
          </w:p>
          <w:p w14:paraId="74F69855" w14:textId="77777777" w:rsidR="00160CC4" w:rsidRPr="00CF31E0" w:rsidRDefault="00160CC4">
            <w:pPr>
              <w:spacing w:before="120"/>
              <w:ind w:left="720"/>
              <w:contextualSpacing/>
              <w:jc w:val="center"/>
              <w:rPr>
                <w:color w:val="000000" w:themeColor="text1"/>
                <w:lang w:eastAsia="zh-CN"/>
              </w:rPr>
            </w:pPr>
            <w:r w:rsidRPr="00CF31E0">
              <w:rPr>
                <w:color w:val="000000" w:themeColor="text1"/>
                <w:lang w:eastAsia="zh-CN"/>
              </w:rPr>
              <w:t>3</w:t>
            </w:r>
          </w:p>
        </w:tc>
        <w:tc>
          <w:tcPr>
            <w:tcW w:w="1173" w:type="dxa"/>
          </w:tcPr>
          <w:p w14:paraId="333EF755" w14:textId="77777777" w:rsidR="00160CC4" w:rsidRPr="00CF31E0" w:rsidRDefault="00160CC4">
            <w:pPr>
              <w:spacing w:before="120"/>
              <w:ind w:left="720"/>
              <w:contextualSpacing/>
              <w:jc w:val="center"/>
              <w:rPr>
                <w:color w:val="000000" w:themeColor="text1"/>
                <w:lang w:eastAsia="zh-CN"/>
              </w:rPr>
            </w:pPr>
          </w:p>
          <w:p w14:paraId="11A33480" w14:textId="77777777" w:rsidR="00160CC4" w:rsidRPr="00CF31E0" w:rsidRDefault="00160CC4">
            <w:pPr>
              <w:spacing w:before="120"/>
              <w:ind w:left="720"/>
              <w:contextualSpacing/>
              <w:jc w:val="center"/>
              <w:rPr>
                <w:color w:val="000000" w:themeColor="text1"/>
                <w:lang w:eastAsia="zh-CN"/>
              </w:rPr>
            </w:pPr>
            <w:r w:rsidRPr="00CF31E0">
              <w:rPr>
                <w:color w:val="000000" w:themeColor="text1"/>
                <w:lang w:eastAsia="zh-CN"/>
              </w:rPr>
              <w:t>4</w:t>
            </w:r>
          </w:p>
        </w:tc>
        <w:tc>
          <w:tcPr>
            <w:tcW w:w="1173" w:type="dxa"/>
          </w:tcPr>
          <w:p w14:paraId="3D21C3F4" w14:textId="77777777" w:rsidR="00160CC4" w:rsidRPr="00CF31E0" w:rsidRDefault="00160CC4">
            <w:pPr>
              <w:spacing w:before="120"/>
              <w:ind w:left="720"/>
              <w:contextualSpacing/>
              <w:jc w:val="center"/>
              <w:rPr>
                <w:color w:val="000000" w:themeColor="text1"/>
                <w:lang w:eastAsia="zh-CN"/>
              </w:rPr>
            </w:pPr>
          </w:p>
          <w:p w14:paraId="53673CFC" w14:textId="77777777" w:rsidR="00160CC4" w:rsidRPr="00CF31E0" w:rsidRDefault="00160CC4">
            <w:pPr>
              <w:spacing w:before="120"/>
              <w:ind w:left="720"/>
              <w:contextualSpacing/>
              <w:jc w:val="center"/>
              <w:rPr>
                <w:color w:val="000000" w:themeColor="text1"/>
                <w:lang w:eastAsia="zh-CN"/>
              </w:rPr>
            </w:pPr>
            <w:r w:rsidRPr="00CF31E0">
              <w:rPr>
                <w:color w:val="000000" w:themeColor="text1"/>
                <w:lang w:eastAsia="zh-CN"/>
              </w:rPr>
              <w:t>5</w:t>
            </w:r>
          </w:p>
        </w:tc>
      </w:tr>
      <w:tr w:rsidR="007F558A" w:rsidRPr="00CF31E0" w14:paraId="21446BBB" w14:textId="77777777" w:rsidTr="00160CC4">
        <w:trPr>
          <w:trHeight w:val="634"/>
        </w:trPr>
        <w:tc>
          <w:tcPr>
            <w:tcW w:w="1752" w:type="dxa"/>
          </w:tcPr>
          <w:p w14:paraId="7682F401" w14:textId="77777777" w:rsidR="00160CC4" w:rsidRPr="00CF31E0" w:rsidRDefault="00160CC4">
            <w:pPr>
              <w:spacing w:before="120"/>
              <w:ind w:left="720"/>
              <w:contextualSpacing/>
              <w:jc w:val="both"/>
              <w:rPr>
                <w:color w:val="000000" w:themeColor="text1"/>
                <w:lang w:eastAsia="zh-CN"/>
              </w:rPr>
            </w:pPr>
          </w:p>
          <w:p w14:paraId="18D7CED7" w14:textId="3F4E0D8E" w:rsidR="00160CC4" w:rsidRPr="00CF31E0" w:rsidRDefault="0007733A">
            <w:pPr>
              <w:spacing w:before="120" w:after="120"/>
              <w:jc w:val="both"/>
              <w:rPr>
                <w:color w:val="000000" w:themeColor="text1"/>
                <w:lang w:eastAsia="zh-CN"/>
              </w:rPr>
            </w:pPr>
            <w:r w:rsidRPr="00CF31E0">
              <w:rPr>
                <w:color w:val="000000" w:themeColor="text1"/>
                <w:lang w:eastAsia="zh-CN"/>
              </w:rPr>
              <w:t>Similar to other Arabic dialects</w:t>
            </w:r>
          </w:p>
        </w:tc>
        <w:tc>
          <w:tcPr>
            <w:tcW w:w="1173" w:type="dxa"/>
          </w:tcPr>
          <w:p w14:paraId="2A26C6FA" w14:textId="77777777" w:rsidR="00160CC4" w:rsidRPr="00CF31E0" w:rsidRDefault="00160CC4">
            <w:pPr>
              <w:ind w:left="720"/>
              <w:contextualSpacing/>
              <w:jc w:val="center"/>
              <w:rPr>
                <w:color w:val="000000" w:themeColor="text1"/>
                <w:lang w:eastAsia="zh-CN"/>
              </w:rPr>
            </w:pPr>
          </w:p>
          <w:p w14:paraId="2CAC397E" w14:textId="77777777" w:rsidR="00160CC4" w:rsidRPr="00CF31E0" w:rsidRDefault="00160CC4">
            <w:pPr>
              <w:ind w:left="720"/>
              <w:contextualSpacing/>
              <w:jc w:val="center"/>
              <w:rPr>
                <w:color w:val="000000" w:themeColor="text1"/>
                <w:lang w:eastAsia="zh-CN"/>
              </w:rPr>
            </w:pPr>
            <w:r w:rsidRPr="00CF31E0">
              <w:rPr>
                <w:color w:val="000000" w:themeColor="text1"/>
                <w:lang w:eastAsia="zh-CN"/>
              </w:rPr>
              <w:t>1</w:t>
            </w:r>
          </w:p>
        </w:tc>
        <w:tc>
          <w:tcPr>
            <w:tcW w:w="1173" w:type="dxa"/>
          </w:tcPr>
          <w:p w14:paraId="662653FD" w14:textId="77777777" w:rsidR="00160CC4" w:rsidRPr="00CF31E0" w:rsidRDefault="00160CC4">
            <w:pPr>
              <w:spacing w:before="120"/>
              <w:ind w:left="720"/>
              <w:contextualSpacing/>
              <w:jc w:val="center"/>
              <w:rPr>
                <w:color w:val="000000" w:themeColor="text1"/>
                <w:lang w:eastAsia="zh-CN"/>
              </w:rPr>
            </w:pPr>
          </w:p>
          <w:p w14:paraId="6770FA1B" w14:textId="77777777" w:rsidR="00160CC4" w:rsidRPr="00CF31E0" w:rsidRDefault="00160CC4">
            <w:pPr>
              <w:spacing w:before="120"/>
              <w:ind w:left="720"/>
              <w:contextualSpacing/>
              <w:jc w:val="center"/>
              <w:rPr>
                <w:color w:val="000000" w:themeColor="text1"/>
                <w:lang w:eastAsia="zh-CN"/>
              </w:rPr>
            </w:pPr>
            <w:r w:rsidRPr="00CF31E0">
              <w:rPr>
                <w:color w:val="000000" w:themeColor="text1"/>
                <w:lang w:eastAsia="zh-CN"/>
              </w:rPr>
              <w:t>2</w:t>
            </w:r>
          </w:p>
        </w:tc>
        <w:tc>
          <w:tcPr>
            <w:tcW w:w="1173" w:type="dxa"/>
          </w:tcPr>
          <w:p w14:paraId="7437DEE8" w14:textId="77777777" w:rsidR="00160CC4" w:rsidRPr="00CF31E0" w:rsidRDefault="00160CC4">
            <w:pPr>
              <w:spacing w:before="120"/>
              <w:ind w:left="720"/>
              <w:contextualSpacing/>
              <w:jc w:val="center"/>
              <w:rPr>
                <w:color w:val="000000" w:themeColor="text1"/>
                <w:lang w:eastAsia="zh-CN"/>
              </w:rPr>
            </w:pPr>
          </w:p>
          <w:p w14:paraId="1E6F6936" w14:textId="77777777" w:rsidR="00160CC4" w:rsidRPr="00CF31E0" w:rsidRDefault="00160CC4">
            <w:pPr>
              <w:spacing w:before="120"/>
              <w:ind w:left="720"/>
              <w:contextualSpacing/>
              <w:jc w:val="center"/>
              <w:rPr>
                <w:color w:val="000000" w:themeColor="text1"/>
                <w:lang w:eastAsia="zh-CN"/>
              </w:rPr>
            </w:pPr>
            <w:r w:rsidRPr="00CF31E0">
              <w:rPr>
                <w:color w:val="000000" w:themeColor="text1"/>
                <w:lang w:eastAsia="zh-CN"/>
              </w:rPr>
              <w:t>3</w:t>
            </w:r>
          </w:p>
        </w:tc>
        <w:tc>
          <w:tcPr>
            <w:tcW w:w="1173" w:type="dxa"/>
          </w:tcPr>
          <w:p w14:paraId="33240AEB" w14:textId="77777777" w:rsidR="00160CC4" w:rsidRPr="00CF31E0" w:rsidRDefault="00160CC4">
            <w:pPr>
              <w:spacing w:before="120"/>
              <w:ind w:left="720"/>
              <w:contextualSpacing/>
              <w:jc w:val="center"/>
              <w:rPr>
                <w:color w:val="000000" w:themeColor="text1"/>
                <w:lang w:eastAsia="zh-CN"/>
              </w:rPr>
            </w:pPr>
          </w:p>
          <w:p w14:paraId="08C3AC18" w14:textId="77777777" w:rsidR="00160CC4" w:rsidRPr="00CF31E0" w:rsidRDefault="00160CC4">
            <w:pPr>
              <w:spacing w:before="120"/>
              <w:ind w:left="720"/>
              <w:contextualSpacing/>
              <w:jc w:val="center"/>
              <w:rPr>
                <w:color w:val="000000" w:themeColor="text1"/>
                <w:lang w:eastAsia="zh-CN"/>
              </w:rPr>
            </w:pPr>
            <w:r w:rsidRPr="00CF31E0">
              <w:rPr>
                <w:color w:val="000000" w:themeColor="text1"/>
                <w:lang w:eastAsia="zh-CN"/>
              </w:rPr>
              <w:t>4</w:t>
            </w:r>
          </w:p>
        </w:tc>
        <w:tc>
          <w:tcPr>
            <w:tcW w:w="1173" w:type="dxa"/>
          </w:tcPr>
          <w:p w14:paraId="55ADDC93" w14:textId="77777777" w:rsidR="00160CC4" w:rsidRPr="00CF31E0" w:rsidRDefault="00160CC4">
            <w:pPr>
              <w:spacing w:before="120"/>
              <w:ind w:left="720"/>
              <w:contextualSpacing/>
              <w:jc w:val="center"/>
              <w:rPr>
                <w:color w:val="000000" w:themeColor="text1"/>
                <w:lang w:eastAsia="zh-CN"/>
              </w:rPr>
            </w:pPr>
          </w:p>
          <w:p w14:paraId="09F3D4AA" w14:textId="77777777" w:rsidR="00160CC4" w:rsidRPr="00CF31E0" w:rsidRDefault="00160CC4">
            <w:pPr>
              <w:spacing w:before="120"/>
              <w:ind w:left="720"/>
              <w:contextualSpacing/>
              <w:jc w:val="center"/>
              <w:rPr>
                <w:color w:val="000000" w:themeColor="text1"/>
                <w:lang w:eastAsia="zh-CN"/>
              </w:rPr>
            </w:pPr>
            <w:r w:rsidRPr="00CF31E0">
              <w:rPr>
                <w:color w:val="000000" w:themeColor="text1"/>
                <w:lang w:eastAsia="zh-CN"/>
              </w:rPr>
              <w:t>5</w:t>
            </w:r>
          </w:p>
          <w:p w14:paraId="6A322864" w14:textId="77777777" w:rsidR="00160CC4" w:rsidRPr="00CF31E0" w:rsidRDefault="00160CC4">
            <w:pPr>
              <w:spacing w:before="120"/>
              <w:ind w:left="720"/>
              <w:contextualSpacing/>
              <w:jc w:val="center"/>
              <w:rPr>
                <w:color w:val="000000" w:themeColor="text1"/>
                <w:lang w:eastAsia="zh-CN"/>
              </w:rPr>
            </w:pPr>
          </w:p>
        </w:tc>
      </w:tr>
      <w:tr w:rsidR="007F558A" w:rsidRPr="00CF31E0" w14:paraId="52C44954" w14:textId="77777777" w:rsidTr="00160CC4">
        <w:trPr>
          <w:trHeight w:val="612"/>
        </w:trPr>
        <w:tc>
          <w:tcPr>
            <w:tcW w:w="1752" w:type="dxa"/>
          </w:tcPr>
          <w:p w14:paraId="58E5B1E2" w14:textId="77777777" w:rsidR="00160CC4" w:rsidRPr="00CF31E0" w:rsidRDefault="00160CC4">
            <w:pPr>
              <w:spacing w:before="120"/>
              <w:ind w:left="720"/>
              <w:contextualSpacing/>
              <w:jc w:val="both"/>
              <w:rPr>
                <w:color w:val="000000" w:themeColor="text1"/>
                <w:lang w:eastAsia="zh-CN"/>
              </w:rPr>
            </w:pPr>
          </w:p>
          <w:p w14:paraId="7EE619D8" w14:textId="0BA9B789" w:rsidR="00160CC4" w:rsidRPr="00CF31E0" w:rsidRDefault="0007733A">
            <w:pPr>
              <w:spacing w:before="120" w:after="120"/>
              <w:jc w:val="both"/>
              <w:rPr>
                <w:color w:val="000000" w:themeColor="text1"/>
                <w:lang w:eastAsia="zh-CN"/>
              </w:rPr>
            </w:pPr>
            <w:r w:rsidRPr="00CF31E0">
              <w:rPr>
                <w:color w:val="000000" w:themeColor="text1"/>
                <w:lang w:eastAsia="zh-CN"/>
              </w:rPr>
              <w:t>Traditional</w:t>
            </w:r>
          </w:p>
        </w:tc>
        <w:tc>
          <w:tcPr>
            <w:tcW w:w="1173" w:type="dxa"/>
          </w:tcPr>
          <w:p w14:paraId="5C7A5F24" w14:textId="77777777" w:rsidR="00160CC4" w:rsidRPr="00CF31E0" w:rsidRDefault="00160CC4">
            <w:pPr>
              <w:ind w:left="720"/>
              <w:contextualSpacing/>
              <w:jc w:val="center"/>
              <w:rPr>
                <w:color w:val="000000" w:themeColor="text1"/>
                <w:lang w:eastAsia="zh-CN"/>
              </w:rPr>
            </w:pPr>
          </w:p>
          <w:p w14:paraId="5DA0C2AA" w14:textId="77777777" w:rsidR="00160CC4" w:rsidRPr="00CF31E0" w:rsidRDefault="00160CC4">
            <w:pPr>
              <w:spacing w:before="120"/>
              <w:ind w:left="720"/>
              <w:contextualSpacing/>
              <w:jc w:val="center"/>
              <w:rPr>
                <w:color w:val="000000" w:themeColor="text1"/>
                <w:lang w:eastAsia="zh-CN"/>
              </w:rPr>
            </w:pPr>
            <w:r w:rsidRPr="00CF31E0">
              <w:rPr>
                <w:color w:val="000000" w:themeColor="text1"/>
                <w:lang w:eastAsia="zh-CN"/>
              </w:rPr>
              <w:t>1</w:t>
            </w:r>
          </w:p>
        </w:tc>
        <w:tc>
          <w:tcPr>
            <w:tcW w:w="1173" w:type="dxa"/>
          </w:tcPr>
          <w:p w14:paraId="7B58E4BF" w14:textId="77777777" w:rsidR="00160CC4" w:rsidRPr="00CF31E0" w:rsidRDefault="00160CC4">
            <w:pPr>
              <w:spacing w:before="120"/>
              <w:ind w:left="720"/>
              <w:contextualSpacing/>
              <w:jc w:val="center"/>
              <w:rPr>
                <w:color w:val="000000" w:themeColor="text1"/>
                <w:lang w:eastAsia="zh-CN"/>
              </w:rPr>
            </w:pPr>
          </w:p>
          <w:p w14:paraId="1C4C704B" w14:textId="77777777" w:rsidR="00160CC4" w:rsidRPr="00CF31E0" w:rsidRDefault="00160CC4">
            <w:pPr>
              <w:spacing w:before="120"/>
              <w:ind w:left="720"/>
              <w:contextualSpacing/>
              <w:jc w:val="center"/>
              <w:rPr>
                <w:color w:val="000000" w:themeColor="text1"/>
                <w:lang w:eastAsia="zh-CN"/>
              </w:rPr>
            </w:pPr>
            <w:r w:rsidRPr="00CF31E0">
              <w:rPr>
                <w:color w:val="000000" w:themeColor="text1"/>
                <w:lang w:eastAsia="zh-CN"/>
              </w:rPr>
              <w:t>2</w:t>
            </w:r>
          </w:p>
        </w:tc>
        <w:tc>
          <w:tcPr>
            <w:tcW w:w="1173" w:type="dxa"/>
          </w:tcPr>
          <w:p w14:paraId="3B7CBF4B" w14:textId="77777777" w:rsidR="00160CC4" w:rsidRPr="00CF31E0" w:rsidRDefault="00160CC4">
            <w:pPr>
              <w:spacing w:before="120"/>
              <w:ind w:left="720"/>
              <w:contextualSpacing/>
              <w:jc w:val="center"/>
              <w:rPr>
                <w:color w:val="000000" w:themeColor="text1"/>
                <w:lang w:eastAsia="zh-CN"/>
              </w:rPr>
            </w:pPr>
          </w:p>
          <w:p w14:paraId="3BC3761D" w14:textId="77777777" w:rsidR="00160CC4" w:rsidRPr="00CF31E0" w:rsidRDefault="00160CC4">
            <w:pPr>
              <w:spacing w:before="120"/>
              <w:ind w:left="720"/>
              <w:contextualSpacing/>
              <w:jc w:val="center"/>
              <w:rPr>
                <w:color w:val="000000" w:themeColor="text1"/>
                <w:lang w:eastAsia="zh-CN"/>
              </w:rPr>
            </w:pPr>
            <w:r w:rsidRPr="00CF31E0">
              <w:rPr>
                <w:color w:val="000000" w:themeColor="text1"/>
                <w:lang w:eastAsia="zh-CN"/>
              </w:rPr>
              <w:t>3</w:t>
            </w:r>
          </w:p>
        </w:tc>
        <w:tc>
          <w:tcPr>
            <w:tcW w:w="1173" w:type="dxa"/>
          </w:tcPr>
          <w:p w14:paraId="54971684" w14:textId="77777777" w:rsidR="00160CC4" w:rsidRPr="00CF31E0" w:rsidRDefault="00160CC4">
            <w:pPr>
              <w:spacing w:before="120"/>
              <w:ind w:left="720"/>
              <w:contextualSpacing/>
              <w:jc w:val="center"/>
              <w:rPr>
                <w:color w:val="000000" w:themeColor="text1"/>
                <w:lang w:eastAsia="zh-CN"/>
              </w:rPr>
            </w:pPr>
          </w:p>
          <w:p w14:paraId="4347B9F1" w14:textId="77777777" w:rsidR="00160CC4" w:rsidRPr="00CF31E0" w:rsidRDefault="00160CC4">
            <w:pPr>
              <w:spacing w:before="120"/>
              <w:ind w:left="720"/>
              <w:contextualSpacing/>
              <w:jc w:val="center"/>
              <w:rPr>
                <w:color w:val="000000" w:themeColor="text1"/>
                <w:lang w:eastAsia="zh-CN"/>
              </w:rPr>
            </w:pPr>
            <w:r w:rsidRPr="00CF31E0">
              <w:rPr>
                <w:color w:val="000000" w:themeColor="text1"/>
                <w:lang w:eastAsia="zh-CN"/>
              </w:rPr>
              <w:t>4</w:t>
            </w:r>
          </w:p>
        </w:tc>
        <w:tc>
          <w:tcPr>
            <w:tcW w:w="1173" w:type="dxa"/>
          </w:tcPr>
          <w:p w14:paraId="31B53349" w14:textId="77777777" w:rsidR="00160CC4" w:rsidRPr="00CF31E0" w:rsidRDefault="00160CC4">
            <w:pPr>
              <w:spacing w:before="120"/>
              <w:ind w:left="720"/>
              <w:contextualSpacing/>
              <w:jc w:val="center"/>
              <w:rPr>
                <w:color w:val="000000" w:themeColor="text1"/>
                <w:lang w:eastAsia="zh-CN"/>
              </w:rPr>
            </w:pPr>
          </w:p>
          <w:p w14:paraId="0F7D3E1B" w14:textId="77777777" w:rsidR="00160CC4" w:rsidRPr="00CF31E0" w:rsidRDefault="00160CC4">
            <w:pPr>
              <w:spacing w:before="120"/>
              <w:ind w:left="720"/>
              <w:contextualSpacing/>
              <w:jc w:val="center"/>
              <w:rPr>
                <w:color w:val="000000" w:themeColor="text1"/>
                <w:lang w:eastAsia="zh-CN"/>
              </w:rPr>
            </w:pPr>
            <w:r w:rsidRPr="00CF31E0">
              <w:rPr>
                <w:color w:val="000000" w:themeColor="text1"/>
                <w:lang w:eastAsia="zh-CN"/>
              </w:rPr>
              <w:t>5</w:t>
            </w:r>
          </w:p>
        </w:tc>
      </w:tr>
      <w:tr w:rsidR="007F558A" w:rsidRPr="00CF31E0" w14:paraId="5371BC22" w14:textId="77777777" w:rsidTr="00160CC4">
        <w:trPr>
          <w:trHeight w:val="634"/>
        </w:trPr>
        <w:tc>
          <w:tcPr>
            <w:tcW w:w="1752" w:type="dxa"/>
          </w:tcPr>
          <w:p w14:paraId="4F3E0C35" w14:textId="77777777" w:rsidR="00160CC4" w:rsidRPr="00CF31E0" w:rsidRDefault="00160CC4">
            <w:pPr>
              <w:spacing w:before="120" w:after="120"/>
              <w:jc w:val="both"/>
              <w:rPr>
                <w:color w:val="000000" w:themeColor="text1"/>
                <w:lang w:eastAsia="zh-CN"/>
              </w:rPr>
            </w:pPr>
          </w:p>
          <w:p w14:paraId="1A672E4A" w14:textId="77777777" w:rsidR="00160CC4" w:rsidRPr="00CF31E0" w:rsidRDefault="00160CC4">
            <w:pPr>
              <w:spacing w:before="120" w:after="120"/>
              <w:jc w:val="both"/>
              <w:rPr>
                <w:color w:val="000000" w:themeColor="text1"/>
                <w:lang w:eastAsia="zh-CN"/>
              </w:rPr>
            </w:pPr>
            <w:r w:rsidRPr="00CF31E0">
              <w:rPr>
                <w:color w:val="000000" w:themeColor="text1"/>
                <w:lang w:eastAsia="zh-CN"/>
              </w:rPr>
              <w:t>Modern</w:t>
            </w:r>
          </w:p>
        </w:tc>
        <w:tc>
          <w:tcPr>
            <w:tcW w:w="1173" w:type="dxa"/>
          </w:tcPr>
          <w:p w14:paraId="036788FB" w14:textId="77777777" w:rsidR="00160CC4" w:rsidRPr="00CF31E0" w:rsidRDefault="00160CC4">
            <w:pPr>
              <w:ind w:left="720"/>
              <w:contextualSpacing/>
              <w:jc w:val="center"/>
              <w:rPr>
                <w:color w:val="000000" w:themeColor="text1"/>
                <w:lang w:eastAsia="zh-CN"/>
              </w:rPr>
            </w:pPr>
          </w:p>
          <w:p w14:paraId="35FEAC39" w14:textId="77777777" w:rsidR="00160CC4" w:rsidRPr="00CF31E0" w:rsidRDefault="00160CC4">
            <w:pPr>
              <w:spacing w:before="120"/>
              <w:ind w:left="720"/>
              <w:contextualSpacing/>
              <w:jc w:val="center"/>
              <w:rPr>
                <w:color w:val="000000" w:themeColor="text1"/>
                <w:lang w:eastAsia="zh-CN"/>
              </w:rPr>
            </w:pPr>
            <w:r w:rsidRPr="00CF31E0">
              <w:rPr>
                <w:color w:val="000000" w:themeColor="text1"/>
                <w:lang w:eastAsia="zh-CN"/>
              </w:rPr>
              <w:t>1</w:t>
            </w:r>
          </w:p>
        </w:tc>
        <w:tc>
          <w:tcPr>
            <w:tcW w:w="1173" w:type="dxa"/>
          </w:tcPr>
          <w:p w14:paraId="0621D28A" w14:textId="77777777" w:rsidR="00160CC4" w:rsidRPr="00CF31E0" w:rsidRDefault="00160CC4">
            <w:pPr>
              <w:spacing w:before="120"/>
              <w:ind w:left="720"/>
              <w:contextualSpacing/>
              <w:jc w:val="center"/>
              <w:rPr>
                <w:color w:val="000000" w:themeColor="text1"/>
                <w:lang w:eastAsia="zh-CN"/>
              </w:rPr>
            </w:pPr>
          </w:p>
          <w:p w14:paraId="5A96A4B7" w14:textId="77777777" w:rsidR="00160CC4" w:rsidRPr="00CF31E0" w:rsidRDefault="00160CC4">
            <w:pPr>
              <w:spacing w:before="120"/>
              <w:ind w:left="720"/>
              <w:contextualSpacing/>
              <w:jc w:val="center"/>
              <w:rPr>
                <w:color w:val="000000" w:themeColor="text1"/>
                <w:lang w:eastAsia="zh-CN"/>
              </w:rPr>
            </w:pPr>
            <w:r w:rsidRPr="00CF31E0">
              <w:rPr>
                <w:color w:val="000000" w:themeColor="text1"/>
                <w:lang w:eastAsia="zh-CN"/>
              </w:rPr>
              <w:t>2</w:t>
            </w:r>
          </w:p>
        </w:tc>
        <w:tc>
          <w:tcPr>
            <w:tcW w:w="1173" w:type="dxa"/>
          </w:tcPr>
          <w:p w14:paraId="6039DD3D" w14:textId="77777777" w:rsidR="00160CC4" w:rsidRPr="00CF31E0" w:rsidRDefault="00160CC4">
            <w:pPr>
              <w:spacing w:before="120"/>
              <w:ind w:left="720"/>
              <w:contextualSpacing/>
              <w:jc w:val="center"/>
              <w:rPr>
                <w:color w:val="000000" w:themeColor="text1"/>
                <w:lang w:eastAsia="zh-CN"/>
              </w:rPr>
            </w:pPr>
          </w:p>
          <w:p w14:paraId="26E9686B" w14:textId="77777777" w:rsidR="00160CC4" w:rsidRPr="00CF31E0" w:rsidRDefault="00160CC4">
            <w:pPr>
              <w:spacing w:before="120"/>
              <w:ind w:left="720"/>
              <w:contextualSpacing/>
              <w:jc w:val="center"/>
              <w:rPr>
                <w:color w:val="000000" w:themeColor="text1"/>
                <w:lang w:eastAsia="zh-CN"/>
              </w:rPr>
            </w:pPr>
            <w:r w:rsidRPr="00CF31E0">
              <w:rPr>
                <w:color w:val="000000" w:themeColor="text1"/>
                <w:lang w:eastAsia="zh-CN"/>
              </w:rPr>
              <w:t>3</w:t>
            </w:r>
          </w:p>
        </w:tc>
        <w:tc>
          <w:tcPr>
            <w:tcW w:w="1173" w:type="dxa"/>
          </w:tcPr>
          <w:p w14:paraId="6357A2FE" w14:textId="77777777" w:rsidR="00160CC4" w:rsidRPr="00CF31E0" w:rsidRDefault="00160CC4">
            <w:pPr>
              <w:spacing w:before="120"/>
              <w:ind w:left="720"/>
              <w:contextualSpacing/>
              <w:jc w:val="center"/>
              <w:rPr>
                <w:color w:val="000000" w:themeColor="text1"/>
                <w:lang w:eastAsia="zh-CN"/>
              </w:rPr>
            </w:pPr>
          </w:p>
          <w:p w14:paraId="3414C71C" w14:textId="77777777" w:rsidR="00160CC4" w:rsidRPr="00CF31E0" w:rsidRDefault="00160CC4">
            <w:pPr>
              <w:spacing w:before="120"/>
              <w:ind w:left="720"/>
              <w:contextualSpacing/>
              <w:jc w:val="center"/>
              <w:rPr>
                <w:color w:val="000000" w:themeColor="text1"/>
                <w:lang w:eastAsia="zh-CN"/>
              </w:rPr>
            </w:pPr>
            <w:r w:rsidRPr="00CF31E0">
              <w:rPr>
                <w:color w:val="000000" w:themeColor="text1"/>
                <w:lang w:eastAsia="zh-CN"/>
              </w:rPr>
              <w:t>4</w:t>
            </w:r>
          </w:p>
        </w:tc>
        <w:tc>
          <w:tcPr>
            <w:tcW w:w="1173" w:type="dxa"/>
          </w:tcPr>
          <w:p w14:paraId="1C275909" w14:textId="77777777" w:rsidR="00160CC4" w:rsidRPr="00CF31E0" w:rsidRDefault="00160CC4">
            <w:pPr>
              <w:spacing w:before="120"/>
              <w:ind w:left="720"/>
              <w:contextualSpacing/>
              <w:jc w:val="center"/>
              <w:rPr>
                <w:color w:val="000000" w:themeColor="text1"/>
                <w:lang w:eastAsia="zh-CN"/>
              </w:rPr>
            </w:pPr>
          </w:p>
          <w:p w14:paraId="2C8F7C45" w14:textId="77777777" w:rsidR="00160CC4" w:rsidRPr="00CF31E0" w:rsidRDefault="00160CC4">
            <w:pPr>
              <w:spacing w:before="120"/>
              <w:ind w:left="720"/>
              <w:contextualSpacing/>
              <w:jc w:val="center"/>
              <w:rPr>
                <w:color w:val="000000" w:themeColor="text1"/>
                <w:lang w:eastAsia="zh-CN"/>
              </w:rPr>
            </w:pPr>
            <w:r w:rsidRPr="00CF31E0">
              <w:rPr>
                <w:color w:val="000000" w:themeColor="text1"/>
                <w:lang w:eastAsia="zh-CN"/>
              </w:rPr>
              <w:t>5</w:t>
            </w:r>
          </w:p>
          <w:p w14:paraId="179F4048" w14:textId="77777777" w:rsidR="00160CC4" w:rsidRPr="00CF31E0" w:rsidRDefault="00160CC4">
            <w:pPr>
              <w:keepNext/>
              <w:spacing w:before="120"/>
              <w:ind w:left="720"/>
              <w:contextualSpacing/>
              <w:jc w:val="center"/>
              <w:rPr>
                <w:color w:val="000000" w:themeColor="text1"/>
                <w:lang w:eastAsia="zh-CN"/>
              </w:rPr>
            </w:pPr>
          </w:p>
        </w:tc>
      </w:tr>
    </w:tbl>
    <w:p w14:paraId="4D4B441C" w14:textId="7442A287" w:rsidR="00160CC4" w:rsidRPr="00CF31E0" w:rsidRDefault="00160CC4" w:rsidP="00730917">
      <w:pPr>
        <w:pStyle w:val="Tablecaption"/>
        <w:rPr>
          <w:lang w:eastAsia="zh-CN"/>
        </w:rPr>
      </w:pPr>
      <w:bookmarkStart w:id="291" w:name="_Toc522527395"/>
      <w:bookmarkStart w:id="292" w:name="_Toc522628807"/>
      <w:bookmarkStart w:id="293" w:name="_Toc522628971"/>
      <w:bookmarkStart w:id="294" w:name="_Toc6473067"/>
      <w:r w:rsidRPr="00CF31E0">
        <w:rPr>
          <w:lang w:eastAsia="zh-CN"/>
        </w:rPr>
        <w:t xml:space="preserve">Table </w:t>
      </w:r>
      <w:r w:rsidR="00516FA5" w:rsidRPr="00CF31E0">
        <w:rPr>
          <w:lang w:eastAsia="zh-CN"/>
        </w:rPr>
        <w:t>5</w:t>
      </w:r>
      <w:r w:rsidR="006127D8" w:rsidRPr="00CF31E0">
        <w:rPr>
          <w:lang w:eastAsia="zh-CN"/>
        </w:rPr>
        <w:t>.3</w:t>
      </w:r>
      <w:r w:rsidRPr="00CF31E0">
        <w:rPr>
          <w:lang w:eastAsia="zh-CN"/>
        </w:rPr>
        <w:t>: Sample of the questionnaire design for the rating task</w:t>
      </w:r>
      <w:r w:rsidR="006127D8" w:rsidRPr="00CF31E0">
        <w:rPr>
          <w:lang w:eastAsia="zh-CN"/>
        </w:rPr>
        <w:t>.</w:t>
      </w:r>
      <w:bookmarkEnd w:id="291"/>
      <w:bookmarkEnd w:id="292"/>
      <w:bookmarkEnd w:id="293"/>
      <w:bookmarkEnd w:id="294"/>
    </w:p>
    <w:p w14:paraId="5B80C541" w14:textId="3B6207FC" w:rsidR="00160CC4" w:rsidRPr="00CF31E0" w:rsidRDefault="00160CC4" w:rsidP="00603CB7">
      <w:pPr>
        <w:pStyle w:val="Paragraph"/>
        <w:rPr>
          <w:lang w:eastAsia="zh-CN"/>
        </w:rPr>
      </w:pPr>
      <w:r w:rsidRPr="00CF31E0">
        <w:rPr>
          <w:lang w:eastAsia="zh-CN"/>
        </w:rPr>
        <w:t xml:space="preserve">As can be seen from the above sample, respondents were asked to rate the voice of the speaker in regard to the above characteristics, with 1 representing the least agreement </w:t>
      </w:r>
      <w:r w:rsidR="004B56EC" w:rsidRPr="00CF31E0">
        <w:rPr>
          <w:lang w:eastAsia="zh-CN"/>
        </w:rPr>
        <w:t xml:space="preserve">with </w:t>
      </w:r>
      <w:r w:rsidRPr="00CF31E0">
        <w:rPr>
          <w:lang w:eastAsia="zh-CN"/>
        </w:rPr>
        <w:t xml:space="preserve">the characteristics and 5 representing the most agreement. I decided that </w:t>
      </w:r>
      <w:r w:rsidR="004B56EC" w:rsidRPr="00CF31E0">
        <w:rPr>
          <w:lang w:eastAsia="zh-CN"/>
        </w:rPr>
        <w:t xml:space="preserve">the </w:t>
      </w:r>
      <w:r w:rsidRPr="00CF31E0">
        <w:rPr>
          <w:lang w:eastAsia="zh-CN"/>
        </w:rPr>
        <w:t>scale should include five points because I wanted it to be compatible with the scale I used in the second part of the questionnaire (the rating</w:t>
      </w:r>
      <w:r w:rsidR="005D0894" w:rsidRPr="00CF31E0">
        <w:rPr>
          <w:lang w:eastAsia="zh-CN"/>
        </w:rPr>
        <w:t>-scale</w:t>
      </w:r>
      <w:r w:rsidRPr="00CF31E0">
        <w:rPr>
          <w:lang w:eastAsia="zh-CN"/>
        </w:rPr>
        <w:t xml:space="preserve"> questionnaire). Therefore, the participants might be more familiar with it. </w:t>
      </w:r>
    </w:p>
    <w:p w14:paraId="761C3BB5" w14:textId="77777777" w:rsidR="00160CC4" w:rsidRPr="00CF31E0" w:rsidRDefault="00160CC4" w:rsidP="00603CB7">
      <w:pPr>
        <w:pStyle w:val="Paragraph"/>
        <w:rPr>
          <w:lang w:eastAsia="zh-CN"/>
        </w:rPr>
      </w:pPr>
      <w:r w:rsidRPr="00CF31E0">
        <w:rPr>
          <w:lang w:eastAsia="zh-CN"/>
        </w:rPr>
        <w:t xml:space="preserve">I selected the rating task as one of the methods in the current study because it would allow respondents to rate both the language and the speakers </w:t>
      </w:r>
      <w:r w:rsidRPr="00CF31E0">
        <w:rPr>
          <w:lang w:eastAsia="zh-CN"/>
        </w:rPr>
        <w:fldChar w:fldCharType="begin"/>
      </w:r>
      <w:r w:rsidRPr="00CF31E0">
        <w:rPr>
          <w:lang w:eastAsia="zh-CN"/>
        </w:rPr>
        <w:instrText xml:space="preserve"> ADDIN ZOTERO_ITEM CSL_CITATION {"citationID":"if3OI9iL","properties":{"formattedCitation":"(Garrett, 2010, p. 55)","plainCitation":"(Garrett, 2010, p. 55)","noteIndex":0},"citationItems":[{"id":29,"uris":["http://zotero.org/users/1939618/items/NF3PAHT2"],"uri":["http://zotero.org/users/1939618/items/NF3PAHT2"],"itemData":{"id":29,"type":"book","title":"Attitudes to Language","publisher":"Cambridge University Press","number-of-pages":"269","source":"Google Books","abstract":"Just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behaviour.","ISBN":"978-1-139-48682-8","language":"en","author":[{"family":"Garrett","given":"Peter"}],"issued":{"date-parts":[["2010",4,8]]}},"locator":"55","label":"page"}],"schema":"https://github.com/citation-style-language/schema/raw/master/csl-citation.json"} </w:instrText>
      </w:r>
      <w:r w:rsidRPr="00CF31E0">
        <w:rPr>
          <w:lang w:eastAsia="zh-CN"/>
        </w:rPr>
        <w:fldChar w:fldCharType="separate"/>
      </w:r>
      <w:r w:rsidRPr="00CF31E0">
        <w:rPr>
          <w:lang w:eastAsia="zh-CN"/>
        </w:rPr>
        <w:t>(Garrett, 2010, p. 55)</w:t>
      </w:r>
      <w:r w:rsidRPr="00CF31E0">
        <w:rPr>
          <w:lang w:eastAsia="zh-CN"/>
        </w:rPr>
        <w:fldChar w:fldCharType="end"/>
      </w:r>
      <w:r w:rsidRPr="00CF31E0">
        <w:rPr>
          <w:lang w:eastAsia="zh-CN"/>
        </w:rPr>
        <w:t xml:space="preserve">. This differs from the rating task in the questionnaire for research question 2, where I asked participants to rate both dialects relying on their imagination, based on conceptual approach, without providing them with listening triggers. Furthermore, the rating task allowed me to compare participants’ perceptions when they were provided with dialect names conceptually in section 3 of the questionnaire to participants’ perceptions when they were provided with a listening trigger in this part of the questionnaire. It should be noted that the participants were asked to rate the dialect (i.e. either UBH or HH) in section 3 of the questionnaire, while </w:t>
      </w:r>
      <w:r w:rsidRPr="00CF31E0">
        <w:rPr>
          <w:lang w:eastAsia="zh-CN"/>
        </w:rPr>
        <w:lastRenderedPageBreak/>
        <w:t>in this section of the questionnaire the participants were asked to rate the speech of one representative speaker of the dialect of concern.</w:t>
      </w:r>
    </w:p>
    <w:p w14:paraId="030A41EE" w14:textId="3AD91A9A" w:rsidR="00160CC4" w:rsidRPr="00CF31E0" w:rsidRDefault="00516FA5" w:rsidP="00E87209">
      <w:pPr>
        <w:pStyle w:val="Ahead"/>
        <w:rPr>
          <w:rFonts w:eastAsia="Times New Roman"/>
        </w:rPr>
      </w:pPr>
      <w:bookmarkStart w:id="295" w:name="_Toc6472678"/>
      <w:r w:rsidRPr="00CF31E0">
        <w:rPr>
          <w:rFonts w:eastAsia="Times New Roman"/>
        </w:rPr>
        <w:t>5</w:t>
      </w:r>
      <w:r w:rsidR="00FA196E" w:rsidRPr="00CF31E0">
        <w:rPr>
          <w:rFonts w:eastAsia="Times New Roman"/>
        </w:rPr>
        <w:t>.6.</w:t>
      </w:r>
      <w:r w:rsidR="00FA196E" w:rsidRPr="00CF31E0">
        <w:rPr>
          <w:rFonts w:eastAsia="Times New Roman"/>
        </w:rPr>
        <w:tab/>
      </w:r>
      <w:r w:rsidR="00160CC4" w:rsidRPr="00CF31E0">
        <w:rPr>
          <w:rFonts w:eastAsia="Times New Roman"/>
        </w:rPr>
        <w:t>Ethical considerations</w:t>
      </w:r>
      <w:bookmarkEnd w:id="295"/>
    </w:p>
    <w:p w14:paraId="3B9009D9" w14:textId="64350CDE" w:rsidR="00160CC4" w:rsidRPr="00CF31E0" w:rsidRDefault="00160CC4" w:rsidP="00603CB7">
      <w:pPr>
        <w:pStyle w:val="Paragraph"/>
        <w:rPr>
          <w:lang w:val="en-US" w:eastAsia="zh-CN"/>
        </w:rPr>
      </w:pPr>
      <w:r w:rsidRPr="00CF31E0">
        <w:rPr>
          <w:lang w:eastAsia="zh-CN"/>
        </w:rPr>
        <w:t xml:space="preserve">Participants were provided with </w:t>
      </w:r>
      <w:r w:rsidR="006127D8" w:rsidRPr="00CF31E0">
        <w:rPr>
          <w:lang w:eastAsia="zh-CN"/>
        </w:rPr>
        <w:t xml:space="preserve">an </w:t>
      </w:r>
      <w:r w:rsidRPr="00CF31E0">
        <w:rPr>
          <w:lang w:eastAsia="zh-CN"/>
        </w:rPr>
        <w:t xml:space="preserve">information sheet that includes a summary of the research, and were given a consent form to sign. The consent form was included at the beginning of the questionnaire, so if the </w:t>
      </w:r>
      <w:r w:rsidR="006127D8" w:rsidRPr="00CF31E0">
        <w:rPr>
          <w:lang w:eastAsia="zh-CN"/>
        </w:rPr>
        <w:t xml:space="preserve">participant </w:t>
      </w:r>
      <w:r w:rsidRPr="00CF31E0">
        <w:rPr>
          <w:lang w:eastAsia="zh-CN"/>
        </w:rPr>
        <w:t xml:space="preserve">was willing to give their consent, then they could carry on answering the questions. </w:t>
      </w:r>
      <w:r w:rsidRPr="00CF31E0">
        <w:rPr>
          <w:lang w:val="en-US" w:eastAsia="zh-CN"/>
        </w:rPr>
        <w:t xml:space="preserve">The project has been ethically approved via </w:t>
      </w:r>
      <w:r w:rsidR="006127D8" w:rsidRPr="00CF31E0">
        <w:rPr>
          <w:lang w:val="en-US" w:eastAsia="zh-CN"/>
        </w:rPr>
        <w:t xml:space="preserve">the </w:t>
      </w:r>
      <w:r w:rsidR="00B6782C" w:rsidRPr="00CF31E0">
        <w:rPr>
          <w:lang w:val="en-US" w:eastAsia="zh-CN"/>
        </w:rPr>
        <w:t xml:space="preserve">School of </w:t>
      </w:r>
      <w:r w:rsidRPr="00CF31E0">
        <w:rPr>
          <w:lang w:val="en-US" w:eastAsia="zh-CN"/>
        </w:rPr>
        <w:t xml:space="preserve">English ethics review procedure. The </w:t>
      </w:r>
      <w:r w:rsidR="00B6782C" w:rsidRPr="00CF31E0">
        <w:rPr>
          <w:lang w:val="en-US" w:eastAsia="zh-CN"/>
        </w:rPr>
        <w:br/>
        <w:t>U</w:t>
      </w:r>
      <w:r w:rsidRPr="00CF31E0">
        <w:rPr>
          <w:lang w:val="en-US" w:eastAsia="zh-CN"/>
        </w:rPr>
        <w:t xml:space="preserve">niversity’s Research Ethics Committee monitors the application and delivery of the </w:t>
      </w:r>
      <w:r w:rsidR="006127D8" w:rsidRPr="00CF31E0">
        <w:rPr>
          <w:lang w:val="en-US" w:eastAsia="zh-CN"/>
        </w:rPr>
        <w:t>u</w:t>
      </w:r>
      <w:r w:rsidRPr="00CF31E0">
        <w:rPr>
          <w:lang w:val="en-US" w:eastAsia="zh-CN"/>
        </w:rPr>
        <w:t xml:space="preserve">niversity’s </w:t>
      </w:r>
      <w:r w:rsidR="002C5DA8" w:rsidRPr="00CF31E0">
        <w:rPr>
          <w:lang w:val="en-US" w:eastAsia="zh-CN"/>
        </w:rPr>
        <w:t>e</w:t>
      </w:r>
      <w:r w:rsidRPr="00CF31E0">
        <w:rPr>
          <w:lang w:val="en-US" w:eastAsia="zh-CN"/>
        </w:rPr>
        <w:t xml:space="preserve">thics </w:t>
      </w:r>
      <w:r w:rsidR="002C5DA8" w:rsidRPr="00CF31E0">
        <w:rPr>
          <w:lang w:val="en-US" w:eastAsia="zh-CN"/>
        </w:rPr>
        <w:t>r</w:t>
      </w:r>
      <w:r w:rsidRPr="00CF31E0">
        <w:rPr>
          <w:lang w:val="en-US" w:eastAsia="zh-CN"/>
        </w:rPr>
        <w:t xml:space="preserve">eview </w:t>
      </w:r>
      <w:r w:rsidR="002C5DA8" w:rsidRPr="00CF31E0">
        <w:rPr>
          <w:lang w:val="en-US" w:eastAsia="zh-CN"/>
        </w:rPr>
        <w:t>p</w:t>
      </w:r>
      <w:r w:rsidRPr="00CF31E0">
        <w:rPr>
          <w:lang w:val="en-US" w:eastAsia="zh-CN"/>
        </w:rPr>
        <w:t xml:space="preserve">rocedure across the </w:t>
      </w:r>
      <w:r w:rsidR="006127D8" w:rsidRPr="00CF31E0">
        <w:rPr>
          <w:lang w:val="en-US" w:eastAsia="zh-CN"/>
        </w:rPr>
        <w:t>u</w:t>
      </w:r>
      <w:r w:rsidRPr="00CF31E0">
        <w:rPr>
          <w:lang w:val="en-US" w:eastAsia="zh-CN"/>
        </w:rPr>
        <w:t xml:space="preserve">niversity. </w:t>
      </w:r>
    </w:p>
    <w:p w14:paraId="239D72F0" w14:textId="35DE476F" w:rsidR="00160CC4" w:rsidRPr="00CF31E0" w:rsidRDefault="00516FA5" w:rsidP="00E87209">
      <w:pPr>
        <w:pStyle w:val="Ahead"/>
        <w:rPr>
          <w:rFonts w:eastAsia="Times New Roman"/>
        </w:rPr>
      </w:pPr>
      <w:bookmarkStart w:id="296" w:name="_Toc6472679"/>
      <w:r w:rsidRPr="00CF31E0">
        <w:rPr>
          <w:rFonts w:eastAsia="Times New Roman"/>
        </w:rPr>
        <w:t>5</w:t>
      </w:r>
      <w:r w:rsidR="00FA196E" w:rsidRPr="00CF31E0">
        <w:rPr>
          <w:rFonts w:eastAsia="Times New Roman"/>
        </w:rPr>
        <w:t>.7.</w:t>
      </w:r>
      <w:r w:rsidR="00230207" w:rsidRPr="00CF31E0">
        <w:rPr>
          <w:rFonts w:eastAsia="Times New Roman"/>
        </w:rPr>
        <w:tab/>
      </w:r>
      <w:r w:rsidR="00160CC4" w:rsidRPr="00CF31E0">
        <w:t>Conclusion</w:t>
      </w:r>
      <w:bookmarkEnd w:id="296"/>
    </w:p>
    <w:p w14:paraId="0BA492DA" w14:textId="20524E03" w:rsidR="00DD47E4" w:rsidRPr="00CF31E0" w:rsidRDefault="00160CC4" w:rsidP="00603CB7">
      <w:pPr>
        <w:pStyle w:val="Paragraph"/>
        <w:rPr>
          <w:lang w:val="en-US" w:eastAsia="zh-CN"/>
        </w:rPr>
        <w:sectPr w:rsidR="00DD47E4" w:rsidRPr="00CF31E0" w:rsidSect="00603CB7">
          <w:footerReference w:type="default" r:id="rId28"/>
          <w:pgSz w:w="11906" w:h="16838"/>
          <w:pgMar w:top="1440" w:right="2268" w:bottom="1440" w:left="2268" w:header="709" w:footer="709" w:gutter="0"/>
          <w:cols w:space="708"/>
          <w:docGrid w:linePitch="360"/>
        </w:sectPr>
      </w:pPr>
      <w:r w:rsidRPr="00CF31E0">
        <w:rPr>
          <w:lang w:val="en-US" w:eastAsia="zh-CN"/>
        </w:rPr>
        <w:t xml:space="preserve">This chapter </w:t>
      </w:r>
      <w:r w:rsidR="002C5DA8" w:rsidRPr="00CF31E0">
        <w:rPr>
          <w:lang w:val="en-US" w:eastAsia="zh-CN"/>
        </w:rPr>
        <w:t xml:space="preserve">has </w:t>
      </w:r>
      <w:r w:rsidRPr="00CF31E0">
        <w:rPr>
          <w:lang w:val="en-US" w:eastAsia="zh-CN"/>
        </w:rPr>
        <w:t>presented the basic methodological design used in the study. I designed a final questionnaire which includes three different types of questionnaires. Each type of questionnaire served a purpose in the study. The questionnaire types included in the final questionnaire are</w:t>
      </w:r>
      <w:r w:rsidR="002C5DA8" w:rsidRPr="00CF31E0">
        <w:rPr>
          <w:lang w:val="en-US" w:eastAsia="zh-CN"/>
        </w:rPr>
        <w:t>: multiple-</w:t>
      </w:r>
      <w:r w:rsidRPr="00CF31E0">
        <w:rPr>
          <w:lang w:val="en-US" w:eastAsia="zh-CN"/>
        </w:rPr>
        <w:t xml:space="preserve">choice questionnaire, </w:t>
      </w:r>
      <w:r w:rsidR="002C5DA8" w:rsidRPr="00CF31E0">
        <w:rPr>
          <w:lang w:val="en-US" w:eastAsia="zh-CN"/>
        </w:rPr>
        <w:t>rating-</w:t>
      </w:r>
      <w:r w:rsidRPr="00CF31E0">
        <w:rPr>
          <w:lang w:val="en-US" w:eastAsia="zh-CN"/>
        </w:rPr>
        <w:t xml:space="preserve">scale questionnaire and finally </w:t>
      </w:r>
      <w:r w:rsidR="002C5DA8" w:rsidRPr="00CF31E0">
        <w:rPr>
          <w:lang w:val="en-US" w:eastAsia="zh-CN"/>
        </w:rPr>
        <w:t>an allocation-</w:t>
      </w:r>
      <w:r w:rsidRPr="00CF31E0">
        <w:rPr>
          <w:lang w:val="en-US" w:eastAsia="zh-CN"/>
        </w:rPr>
        <w:t xml:space="preserve">type questionnaire incorporated with a </w:t>
      </w:r>
      <w:r w:rsidR="002C5DA8" w:rsidRPr="00CF31E0">
        <w:rPr>
          <w:lang w:val="en-US" w:eastAsia="zh-CN"/>
        </w:rPr>
        <w:t>rating-</w:t>
      </w:r>
      <w:r w:rsidRPr="00CF31E0">
        <w:rPr>
          <w:lang w:val="en-US" w:eastAsia="zh-CN"/>
        </w:rPr>
        <w:t>scale questionnaire.</w:t>
      </w:r>
    </w:p>
    <w:p w14:paraId="240EA631" w14:textId="0B3B7B78" w:rsidR="00DD47E4" w:rsidRPr="00CF31E0" w:rsidRDefault="00DD47E4" w:rsidP="00603CB7">
      <w:pPr>
        <w:pStyle w:val="Title"/>
        <w:spacing w:after="500"/>
        <w:contextualSpacing w:val="0"/>
        <w:rPr>
          <w:color w:val="000000" w:themeColor="text1"/>
        </w:rPr>
      </w:pPr>
      <w:bookmarkStart w:id="297" w:name="_Toc6472680"/>
      <w:r w:rsidRPr="00CF31E0">
        <w:rPr>
          <w:color w:val="000000" w:themeColor="text1"/>
        </w:rPr>
        <w:lastRenderedPageBreak/>
        <w:t xml:space="preserve">Chapter </w:t>
      </w:r>
      <w:r w:rsidR="00516FA5" w:rsidRPr="00CF31E0">
        <w:rPr>
          <w:color w:val="000000" w:themeColor="text1"/>
        </w:rPr>
        <w:t>6</w:t>
      </w:r>
      <w:r w:rsidR="000C6490" w:rsidRPr="00CF31E0">
        <w:rPr>
          <w:color w:val="000000" w:themeColor="text1"/>
        </w:rPr>
        <w:t xml:space="preserve">: </w:t>
      </w:r>
      <w:r w:rsidRPr="00CF31E0">
        <w:rPr>
          <w:color w:val="000000" w:themeColor="text1"/>
        </w:rPr>
        <w:t>Social background variables, administration of questionnaire and sampling techniques</w:t>
      </w:r>
      <w:bookmarkEnd w:id="297"/>
    </w:p>
    <w:p w14:paraId="610A5C80" w14:textId="03FC6F15" w:rsidR="00DD47E4" w:rsidRPr="00CF31E0" w:rsidRDefault="00B97E48" w:rsidP="00E87209">
      <w:pPr>
        <w:pStyle w:val="Ahead"/>
        <w:rPr>
          <w:rFonts w:eastAsia="Times New Roman"/>
        </w:rPr>
      </w:pPr>
      <w:bookmarkStart w:id="298" w:name="_Toc6472681"/>
      <w:r w:rsidRPr="00CF31E0">
        <w:rPr>
          <w:rFonts w:eastAsia="Times New Roman"/>
        </w:rPr>
        <w:t>6</w:t>
      </w:r>
      <w:r w:rsidR="00DD47E4" w:rsidRPr="00CF31E0">
        <w:rPr>
          <w:rFonts w:eastAsia="Times New Roman"/>
        </w:rPr>
        <w:t>.1.</w:t>
      </w:r>
      <w:r w:rsidR="00230207" w:rsidRPr="00CF31E0">
        <w:rPr>
          <w:rFonts w:eastAsia="Times New Roman"/>
        </w:rPr>
        <w:tab/>
      </w:r>
      <w:r w:rsidR="00DD47E4" w:rsidRPr="00CF31E0">
        <w:rPr>
          <w:rFonts w:eastAsia="Times New Roman"/>
        </w:rPr>
        <w:t>Introduction</w:t>
      </w:r>
      <w:bookmarkEnd w:id="298"/>
    </w:p>
    <w:p w14:paraId="658B7BE8" w14:textId="67F2B344" w:rsidR="00DD47E4" w:rsidRPr="00CF31E0" w:rsidRDefault="00DD47E4" w:rsidP="00603CB7">
      <w:pPr>
        <w:pStyle w:val="Paragraph"/>
        <w:rPr>
          <w:lang w:eastAsia="zh-CN"/>
        </w:rPr>
      </w:pPr>
      <w:r w:rsidRPr="00CF31E0">
        <w:rPr>
          <w:lang w:eastAsia="zh-CN"/>
        </w:rPr>
        <w:t xml:space="preserve">This chapter </w:t>
      </w:r>
      <w:r w:rsidR="00DA430A" w:rsidRPr="00CF31E0">
        <w:rPr>
          <w:lang w:eastAsia="zh-CN"/>
        </w:rPr>
        <w:t xml:space="preserve">presents information on </w:t>
      </w:r>
      <w:r w:rsidRPr="00CF31E0">
        <w:rPr>
          <w:lang w:eastAsia="zh-CN"/>
        </w:rPr>
        <w:t>the following demographic variables</w:t>
      </w:r>
      <w:r w:rsidR="00DA430A" w:rsidRPr="00CF31E0">
        <w:rPr>
          <w:lang w:eastAsia="zh-CN"/>
        </w:rPr>
        <w:t>:</w:t>
      </w:r>
      <w:r w:rsidRPr="00CF31E0">
        <w:rPr>
          <w:lang w:eastAsia="zh-CN"/>
        </w:rPr>
        <w:t xml:space="preserve"> gender, age, place of birth, places lived, marital status, education level, social group, mother’s social group and spouse’s social group.</w:t>
      </w:r>
      <w:r w:rsidR="00530465" w:rsidRPr="00CF31E0">
        <w:rPr>
          <w:lang w:eastAsia="zh-CN"/>
        </w:rPr>
        <w:t xml:space="preserve"> </w:t>
      </w:r>
      <w:r w:rsidRPr="00CF31E0">
        <w:rPr>
          <w:lang w:eastAsia="zh-CN"/>
        </w:rPr>
        <w:t xml:space="preserve">Furthermore, the chapter illustrates the sampling techniques </w:t>
      </w:r>
      <w:r w:rsidR="00DA430A" w:rsidRPr="00CF31E0">
        <w:rPr>
          <w:lang w:eastAsia="zh-CN"/>
        </w:rPr>
        <w:t xml:space="preserve">used </w:t>
      </w:r>
      <w:r w:rsidRPr="00CF31E0">
        <w:rPr>
          <w:lang w:eastAsia="zh-CN"/>
        </w:rPr>
        <w:t>in the study</w:t>
      </w:r>
    </w:p>
    <w:p w14:paraId="06E7E725" w14:textId="063E2CDC" w:rsidR="00DD47E4" w:rsidRPr="00CF31E0" w:rsidRDefault="00B97E48" w:rsidP="00603CB7">
      <w:pPr>
        <w:pStyle w:val="Ahead"/>
        <w:spacing w:after="400"/>
        <w:rPr>
          <w:rFonts w:eastAsia="Times New Roman"/>
        </w:rPr>
      </w:pPr>
      <w:bookmarkStart w:id="299" w:name="_Toc6472682"/>
      <w:r w:rsidRPr="00CF31E0">
        <w:rPr>
          <w:rFonts w:eastAsia="Times New Roman"/>
        </w:rPr>
        <w:t>6</w:t>
      </w:r>
      <w:r w:rsidR="00DD47E4" w:rsidRPr="00CF31E0">
        <w:rPr>
          <w:rFonts w:eastAsia="Times New Roman"/>
        </w:rPr>
        <w:t>.2.</w:t>
      </w:r>
      <w:r w:rsidR="00230207" w:rsidRPr="00CF31E0">
        <w:rPr>
          <w:rFonts w:eastAsia="Times New Roman"/>
        </w:rPr>
        <w:tab/>
      </w:r>
      <w:r w:rsidR="00DD47E4" w:rsidRPr="00CF31E0">
        <w:rPr>
          <w:rFonts w:eastAsia="Times New Roman"/>
        </w:rPr>
        <w:t>Frequency distribution of gender</w:t>
      </w:r>
      <w:bookmarkEnd w:id="299"/>
    </w:p>
    <w:tbl>
      <w:tblPr>
        <w:tblStyle w:val="LightList6"/>
        <w:tblW w:w="3227" w:type="dxa"/>
        <w:tblBorders>
          <w:top w:val="single" w:sz="4" w:space="0" w:color="auto"/>
          <w:left w:val="none" w:sz="0" w:space="0" w:color="auto"/>
          <w:bottom w:val="single" w:sz="4" w:space="0" w:color="auto"/>
          <w:right w:val="none" w:sz="0" w:space="0" w:color="auto"/>
        </w:tblBorders>
        <w:tblLayout w:type="fixed"/>
        <w:tblLook w:val="04A0" w:firstRow="1" w:lastRow="0" w:firstColumn="1" w:lastColumn="0" w:noHBand="0" w:noVBand="1"/>
      </w:tblPr>
      <w:tblGrid>
        <w:gridCol w:w="1613"/>
        <w:gridCol w:w="1614"/>
      </w:tblGrid>
      <w:tr w:rsidR="00257ADF" w:rsidRPr="00CF31E0" w14:paraId="5C3DC766" w14:textId="77777777" w:rsidTr="000E3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shd w:val="clear" w:color="auto" w:fill="auto"/>
            <w:hideMark/>
          </w:tcPr>
          <w:p w14:paraId="2F2E541B" w14:textId="77777777" w:rsidR="00257ADF" w:rsidRPr="00CF31E0" w:rsidRDefault="00257ADF" w:rsidP="00603CB7">
            <w:pPr>
              <w:widowControl w:val="0"/>
              <w:autoSpaceDE w:val="0"/>
              <w:autoSpaceDN w:val="0"/>
              <w:adjustRightInd w:val="0"/>
              <w:spacing w:before="120" w:after="120"/>
              <w:jc w:val="both"/>
              <w:rPr>
                <w:rFonts w:eastAsia="Calibri"/>
                <w:b w:val="0"/>
                <w:bCs w:val="0"/>
                <w:color w:val="000000" w:themeColor="text1"/>
                <w:sz w:val="22"/>
                <w:szCs w:val="22"/>
                <w:lang w:val="en-US" w:eastAsia="en-US"/>
              </w:rPr>
            </w:pPr>
            <w:r w:rsidRPr="00CF31E0">
              <w:rPr>
                <w:rFonts w:eastAsia="Calibri"/>
                <w:b w:val="0"/>
                <w:bCs w:val="0"/>
                <w:color w:val="000000" w:themeColor="text1"/>
                <w:sz w:val="22"/>
                <w:szCs w:val="22"/>
                <w:lang w:val="en-US" w:eastAsia="en-US"/>
              </w:rPr>
              <w:t>Gender</w:t>
            </w:r>
          </w:p>
        </w:tc>
        <w:tc>
          <w:tcPr>
            <w:tcW w:w="0" w:type="dxa"/>
            <w:tcBorders>
              <w:top w:val="single" w:sz="4" w:space="0" w:color="auto"/>
              <w:bottom w:val="single" w:sz="4" w:space="0" w:color="auto"/>
            </w:tcBorders>
            <w:shd w:val="clear" w:color="auto" w:fill="auto"/>
            <w:hideMark/>
          </w:tcPr>
          <w:p w14:paraId="1F5D6022" w14:textId="77777777" w:rsidR="00257ADF" w:rsidRPr="00CF31E0" w:rsidRDefault="00257ADF" w:rsidP="00603CB7">
            <w:pPr>
              <w:widowControl w:val="0"/>
              <w:autoSpaceDE w:val="0"/>
              <w:autoSpaceDN w:val="0"/>
              <w:adjustRightInd w:val="0"/>
              <w:spacing w:before="120" w:after="120"/>
              <w:jc w:val="both"/>
              <w:cnfStyle w:val="100000000000" w:firstRow="1" w:lastRow="0" w:firstColumn="0" w:lastColumn="0" w:oddVBand="0" w:evenVBand="0" w:oddHBand="0" w:evenHBand="0" w:firstRowFirstColumn="0" w:firstRowLastColumn="0" w:lastRowFirstColumn="0" w:lastRowLastColumn="0"/>
              <w:rPr>
                <w:rFonts w:eastAsia="Calibri"/>
                <w:b w:val="0"/>
                <w:bCs w:val="0"/>
                <w:color w:val="000000" w:themeColor="text1"/>
                <w:sz w:val="22"/>
                <w:szCs w:val="22"/>
                <w:lang w:val="en-US" w:eastAsia="en-US"/>
              </w:rPr>
            </w:pPr>
            <w:r w:rsidRPr="00CF31E0">
              <w:rPr>
                <w:rFonts w:eastAsia="Calibri"/>
                <w:b w:val="0"/>
                <w:bCs w:val="0"/>
                <w:color w:val="000000" w:themeColor="text1"/>
                <w:sz w:val="22"/>
                <w:szCs w:val="22"/>
                <w:lang w:val="en-US" w:eastAsia="en-US"/>
              </w:rPr>
              <w:t>Number</w:t>
            </w:r>
          </w:p>
        </w:tc>
      </w:tr>
      <w:tr w:rsidR="00257ADF" w:rsidRPr="00CF31E0" w14:paraId="1F0E815C" w14:textId="77777777" w:rsidTr="000E3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none" w:sz="0" w:space="0" w:color="auto"/>
              <w:bottom w:val="nil"/>
            </w:tcBorders>
            <w:hideMark/>
          </w:tcPr>
          <w:p w14:paraId="49178618" w14:textId="77777777" w:rsidR="00257ADF" w:rsidRPr="00CF31E0" w:rsidRDefault="00257ADF" w:rsidP="00603CB7">
            <w:pPr>
              <w:widowControl w:val="0"/>
              <w:autoSpaceDE w:val="0"/>
              <w:autoSpaceDN w:val="0"/>
              <w:adjustRightInd w:val="0"/>
              <w:spacing w:before="120" w:after="120"/>
              <w:jc w:val="both"/>
              <w:rPr>
                <w:rFonts w:eastAsia="Calibri"/>
                <w:b w:val="0"/>
                <w:bCs w:val="0"/>
                <w:color w:val="000000" w:themeColor="text1"/>
                <w:sz w:val="22"/>
                <w:szCs w:val="22"/>
                <w:lang w:val="en-US" w:eastAsia="en-US"/>
              </w:rPr>
            </w:pPr>
            <w:r w:rsidRPr="00CF31E0">
              <w:rPr>
                <w:rFonts w:eastAsia="Calibri"/>
                <w:b w:val="0"/>
                <w:bCs w:val="0"/>
                <w:color w:val="000000" w:themeColor="text1"/>
                <w:sz w:val="22"/>
                <w:szCs w:val="22"/>
                <w:lang w:val="en-US" w:eastAsia="en-US"/>
              </w:rPr>
              <w:t>Female</w:t>
            </w:r>
          </w:p>
        </w:tc>
        <w:tc>
          <w:tcPr>
            <w:tcW w:w="0" w:type="dxa"/>
            <w:tcBorders>
              <w:top w:val="single" w:sz="4" w:space="0" w:color="auto"/>
              <w:bottom w:val="nil"/>
              <w:right w:val="none" w:sz="0" w:space="0" w:color="auto"/>
            </w:tcBorders>
            <w:hideMark/>
          </w:tcPr>
          <w:p w14:paraId="26803218" w14:textId="77777777" w:rsidR="00257ADF" w:rsidRPr="00CF31E0" w:rsidRDefault="00257ADF" w:rsidP="00603CB7">
            <w:pPr>
              <w:widowControl w:val="0"/>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2"/>
                <w:szCs w:val="22"/>
                <w:lang w:val="en-US" w:eastAsia="en-US"/>
              </w:rPr>
            </w:pPr>
            <w:r w:rsidRPr="00CF31E0">
              <w:rPr>
                <w:rFonts w:eastAsia="Calibri"/>
                <w:color w:val="000000" w:themeColor="text1"/>
                <w:sz w:val="22"/>
                <w:szCs w:val="22"/>
                <w:lang w:val="en-US" w:eastAsia="en-US"/>
              </w:rPr>
              <w:t>373</w:t>
            </w:r>
          </w:p>
        </w:tc>
      </w:tr>
      <w:tr w:rsidR="00257ADF" w:rsidRPr="00CF31E0" w14:paraId="6C6D48C9" w14:textId="77777777" w:rsidTr="000E3509">
        <w:tc>
          <w:tcPr>
            <w:cnfStyle w:val="001000000000" w:firstRow="0" w:lastRow="0" w:firstColumn="1" w:lastColumn="0" w:oddVBand="0" w:evenVBand="0" w:oddHBand="0" w:evenHBand="0" w:firstRowFirstColumn="0" w:firstRowLastColumn="0" w:lastRowFirstColumn="0" w:lastRowLastColumn="0"/>
            <w:tcW w:w="0" w:type="dxa"/>
            <w:tcBorders>
              <w:top w:val="nil"/>
            </w:tcBorders>
            <w:hideMark/>
          </w:tcPr>
          <w:p w14:paraId="0A857A92" w14:textId="77777777" w:rsidR="00257ADF" w:rsidRPr="00CF31E0" w:rsidRDefault="00257ADF" w:rsidP="00603CB7">
            <w:pPr>
              <w:widowControl w:val="0"/>
              <w:autoSpaceDE w:val="0"/>
              <w:autoSpaceDN w:val="0"/>
              <w:adjustRightInd w:val="0"/>
              <w:spacing w:before="120" w:after="120"/>
              <w:jc w:val="both"/>
              <w:rPr>
                <w:rFonts w:eastAsia="Calibri"/>
                <w:b w:val="0"/>
                <w:bCs w:val="0"/>
                <w:color w:val="000000" w:themeColor="text1"/>
                <w:sz w:val="22"/>
                <w:szCs w:val="22"/>
                <w:lang w:val="en-US" w:eastAsia="en-US"/>
              </w:rPr>
            </w:pPr>
            <w:r w:rsidRPr="00CF31E0">
              <w:rPr>
                <w:rFonts w:eastAsia="Calibri"/>
                <w:b w:val="0"/>
                <w:bCs w:val="0"/>
                <w:color w:val="000000" w:themeColor="text1"/>
                <w:sz w:val="22"/>
                <w:szCs w:val="22"/>
                <w:lang w:val="en-US" w:eastAsia="en-US"/>
              </w:rPr>
              <w:t>Male</w:t>
            </w:r>
          </w:p>
        </w:tc>
        <w:tc>
          <w:tcPr>
            <w:tcW w:w="0" w:type="dxa"/>
            <w:tcBorders>
              <w:top w:val="nil"/>
            </w:tcBorders>
            <w:hideMark/>
          </w:tcPr>
          <w:p w14:paraId="3DBBE5D7" w14:textId="77777777" w:rsidR="00257ADF" w:rsidRPr="00CF31E0" w:rsidRDefault="00257ADF" w:rsidP="00603CB7">
            <w:pPr>
              <w:widowControl w:val="0"/>
              <w:autoSpaceDE w:val="0"/>
              <w:autoSpaceDN w:val="0"/>
              <w:adjustRightInd w:val="0"/>
              <w:spacing w:before="120" w:after="120"/>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2"/>
                <w:szCs w:val="22"/>
                <w:lang w:val="en-US" w:eastAsia="en-US"/>
              </w:rPr>
            </w:pPr>
            <w:r w:rsidRPr="00CF31E0">
              <w:rPr>
                <w:rFonts w:eastAsia="Calibri"/>
                <w:color w:val="000000" w:themeColor="text1"/>
                <w:sz w:val="22"/>
                <w:szCs w:val="22"/>
                <w:lang w:val="en-US" w:eastAsia="en-US"/>
              </w:rPr>
              <w:t>276</w:t>
            </w:r>
          </w:p>
        </w:tc>
      </w:tr>
      <w:tr w:rsidR="00257ADF" w:rsidRPr="00CF31E0" w14:paraId="57530A24" w14:textId="77777777" w:rsidTr="000E3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tcBorders>
            <w:hideMark/>
          </w:tcPr>
          <w:p w14:paraId="378E4580" w14:textId="77777777" w:rsidR="00257ADF" w:rsidRPr="00CF31E0" w:rsidRDefault="00257ADF" w:rsidP="00603CB7">
            <w:pPr>
              <w:widowControl w:val="0"/>
              <w:autoSpaceDE w:val="0"/>
              <w:autoSpaceDN w:val="0"/>
              <w:adjustRightInd w:val="0"/>
              <w:spacing w:before="120" w:after="120"/>
              <w:jc w:val="both"/>
              <w:rPr>
                <w:rFonts w:eastAsia="Calibri"/>
                <w:b w:val="0"/>
                <w:bCs w:val="0"/>
                <w:color w:val="000000" w:themeColor="text1"/>
                <w:sz w:val="22"/>
                <w:szCs w:val="22"/>
                <w:lang w:val="en-US" w:eastAsia="en-US"/>
              </w:rPr>
            </w:pPr>
            <w:r w:rsidRPr="00CF31E0">
              <w:rPr>
                <w:rFonts w:eastAsia="Calibri"/>
                <w:b w:val="0"/>
                <w:bCs w:val="0"/>
                <w:color w:val="000000" w:themeColor="text1"/>
                <w:sz w:val="22"/>
                <w:szCs w:val="22"/>
                <w:lang w:val="en-US" w:eastAsia="en-US"/>
              </w:rPr>
              <w:t>Total</w:t>
            </w:r>
          </w:p>
        </w:tc>
        <w:tc>
          <w:tcPr>
            <w:tcW w:w="0" w:type="dxa"/>
            <w:tcBorders>
              <w:top w:val="none" w:sz="0" w:space="0" w:color="auto"/>
              <w:bottom w:val="none" w:sz="0" w:space="0" w:color="auto"/>
              <w:right w:val="none" w:sz="0" w:space="0" w:color="auto"/>
            </w:tcBorders>
            <w:hideMark/>
          </w:tcPr>
          <w:p w14:paraId="680D0A5A" w14:textId="77777777" w:rsidR="00257ADF" w:rsidRPr="00CF31E0" w:rsidRDefault="00257ADF" w:rsidP="00603CB7">
            <w:pPr>
              <w:widowControl w:val="0"/>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2"/>
                <w:szCs w:val="22"/>
                <w:lang w:val="en-US" w:eastAsia="en-US"/>
              </w:rPr>
            </w:pPr>
            <w:r w:rsidRPr="00CF31E0">
              <w:rPr>
                <w:rFonts w:eastAsia="Calibri"/>
                <w:color w:val="000000" w:themeColor="text1"/>
                <w:sz w:val="22"/>
                <w:szCs w:val="22"/>
                <w:lang w:val="en-US" w:eastAsia="en-US"/>
              </w:rPr>
              <w:t>649</w:t>
            </w:r>
          </w:p>
        </w:tc>
      </w:tr>
    </w:tbl>
    <w:p w14:paraId="3E80F345" w14:textId="1A4B9831" w:rsidR="00DD47E4" w:rsidRPr="00CF31E0" w:rsidRDefault="00DD47E4" w:rsidP="00730917">
      <w:pPr>
        <w:pStyle w:val="Tablecaption"/>
        <w:rPr>
          <w:lang w:eastAsia="zh-CN"/>
        </w:rPr>
      </w:pPr>
      <w:bookmarkStart w:id="300" w:name="_Toc522527396"/>
      <w:bookmarkStart w:id="301" w:name="_Toc522628808"/>
      <w:bookmarkStart w:id="302" w:name="_Toc522628972"/>
      <w:bookmarkStart w:id="303" w:name="_Toc6473068"/>
      <w:r w:rsidRPr="00CF31E0">
        <w:rPr>
          <w:lang w:eastAsia="zh-CN"/>
        </w:rPr>
        <w:t xml:space="preserve">Table </w:t>
      </w:r>
      <w:r w:rsidR="00B97E48" w:rsidRPr="00CF31E0">
        <w:rPr>
          <w:lang w:eastAsia="zh-CN"/>
        </w:rPr>
        <w:t>6</w:t>
      </w:r>
      <w:r w:rsidR="00DA430A" w:rsidRPr="00CF31E0">
        <w:rPr>
          <w:lang w:eastAsia="zh-CN"/>
        </w:rPr>
        <w:t>.</w:t>
      </w:r>
      <w:r w:rsidRPr="00CF31E0">
        <w:rPr>
          <w:lang w:eastAsia="zh-CN"/>
        </w:rPr>
        <w:fldChar w:fldCharType="begin"/>
      </w:r>
      <w:r w:rsidRPr="00CF31E0">
        <w:rPr>
          <w:lang w:eastAsia="zh-CN"/>
        </w:rPr>
        <w:instrText xml:space="preserve"> SEQ Table \* ARABIC </w:instrText>
      </w:r>
      <w:r w:rsidRPr="00CF31E0">
        <w:rPr>
          <w:lang w:eastAsia="zh-CN"/>
        </w:rPr>
        <w:fldChar w:fldCharType="separate"/>
      </w:r>
      <w:r w:rsidR="007F2617">
        <w:rPr>
          <w:noProof/>
          <w:lang w:eastAsia="zh-CN"/>
        </w:rPr>
        <w:t>1</w:t>
      </w:r>
      <w:r w:rsidRPr="00CF31E0">
        <w:rPr>
          <w:noProof/>
          <w:lang w:eastAsia="zh-CN"/>
        </w:rPr>
        <w:fldChar w:fldCharType="end"/>
      </w:r>
      <w:r w:rsidR="00DA430A" w:rsidRPr="00CF31E0">
        <w:rPr>
          <w:lang w:eastAsia="zh-CN"/>
        </w:rPr>
        <w:t>:</w:t>
      </w:r>
      <w:r w:rsidRPr="00CF31E0">
        <w:rPr>
          <w:lang w:eastAsia="zh-CN"/>
        </w:rPr>
        <w:t xml:space="preserve"> </w:t>
      </w:r>
      <w:r w:rsidR="00DA430A" w:rsidRPr="00CF31E0">
        <w:rPr>
          <w:lang w:eastAsia="zh-CN"/>
        </w:rPr>
        <w:t>N</w:t>
      </w:r>
      <w:r w:rsidRPr="00CF31E0">
        <w:rPr>
          <w:lang w:eastAsia="zh-CN"/>
        </w:rPr>
        <w:t>umber of participants according to gender group.</w:t>
      </w:r>
      <w:bookmarkEnd w:id="300"/>
      <w:bookmarkEnd w:id="301"/>
      <w:bookmarkEnd w:id="302"/>
      <w:bookmarkEnd w:id="303"/>
    </w:p>
    <w:p w14:paraId="4B0C7153" w14:textId="6B0A6358" w:rsidR="00D74542" w:rsidRPr="00CF31E0" w:rsidRDefault="00E44DCD" w:rsidP="00A06672">
      <w:pPr>
        <w:pStyle w:val="Paragraph"/>
        <w:rPr>
          <w:lang w:eastAsia="zh-CN"/>
        </w:rPr>
      </w:pPr>
      <w:r w:rsidRPr="00CF31E0">
        <w:rPr>
          <w:lang w:eastAsia="zh-CN"/>
        </w:rPr>
        <w:t>Table 6.1 illustrates that roughly half of the population (57%) are female participants and the other half consists of male participants (43%).</w:t>
      </w:r>
    </w:p>
    <w:p w14:paraId="7942A53B" w14:textId="0891C86E" w:rsidR="00DD47E4" w:rsidRPr="00CF31E0" w:rsidRDefault="00B97E48" w:rsidP="00603CB7">
      <w:pPr>
        <w:pStyle w:val="Ahead"/>
        <w:spacing w:after="400"/>
        <w:rPr>
          <w:rFonts w:eastAsia="Times New Roman"/>
        </w:rPr>
      </w:pPr>
      <w:bookmarkStart w:id="304" w:name="_Toc6472683"/>
      <w:r w:rsidRPr="00CF31E0">
        <w:rPr>
          <w:rFonts w:eastAsia="Times New Roman"/>
        </w:rPr>
        <w:t>6</w:t>
      </w:r>
      <w:r w:rsidR="00230207" w:rsidRPr="00CF31E0">
        <w:rPr>
          <w:rFonts w:eastAsia="Times New Roman"/>
        </w:rPr>
        <w:t>.3.</w:t>
      </w:r>
      <w:r w:rsidR="00230207" w:rsidRPr="00CF31E0">
        <w:rPr>
          <w:rFonts w:eastAsia="Times New Roman"/>
        </w:rPr>
        <w:tab/>
      </w:r>
      <w:r w:rsidR="00DD47E4" w:rsidRPr="00CF31E0">
        <w:rPr>
          <w:rFonts w:eastAsia="Times New Roman"/>
        </w:rPr>
        <w:t>Frequency distribution of age</w:t>
      </w:r>
      <w:bookmarkEnd w:id="304"/>
    </w:p>
    <w:tbl>
      <w:tblPr>
        <w:tblW w:w="3544" w:type="dxa"/>
        <w:tblLayout w:type="fixed"/>
        <w:tblCellMar>
          <w:left w:w="0" w:type="dxa"/>
          <w:right w:w="0" w:type="dxa"/>
        </w:tblCellMar>
        <w:tblLook w:val="04A0" w:firstRow="1" w:lastRow="0" w:firstColumn="1" w:lastColumn="0" w:noHBand="0" w:noVBand="1"/>
      </w:tblPr>
      <w:tblGrid>
        <w:gridCol w:w="2268"/>
        <w:gridCol w:w="1276"/>
      </w:tblGrid>
      <w:tr w:rsidR="003E6E8D" w:rsidRPr="00CF31E0" w14:paraId="2E235833" w14:textId="77777777" w:rsidTr="004F45D7">
        <w:trPr>
          <w:cantSplit/>
          <w:trHeight w:val="567"/>
        </w:trPr>
        <w:tc>
          <w:tcPr>
            <w:tcW w:w="2268" w:type="dxa"/>
            <w:tcBorders>
              <w:top w:val="single" w:sz="8" w:space="0" w:color="000000"/>
              <w:bottom w:val="single" w:sz="8" w:space="0" w:color="000000"/>
            </w:tcBorders>
            <w:shd w:val="clear" w:color="auto" w:fill="FFFFFF"/>
          </w:tcPr>
          <w:p w14:paraId="152A24CD" w14:textId="09E12C57" w:rsidR="003E6E8D" w:rsidRPr="00CF31E0" w:rsidRDefault="003E6E8D" w:rsidP="004F45D7">
            <w:pPr>
              <w:spacing w:before="120" w:after="120"/>
              <w:rPr>
                <w:rFonts w:asciiTheme="majorBidi" w:hAnsiTheme="majorBidi" w:cstheme="majorBidi"/>
                <w:color w:val="000000" w:themeColor="text1"/>
                <w:sz w:val="22"/>
                <w:szCs w:val="22"/>
              </w:rPr>
            </w:pPr>
            <w:bookmarkStart w:id="305" w:name="_Toc522527397"/>
            <w:bookmarkStart w:id="306" w:name="_Toc522628809"/>
            <w:bookmarkStart w:id="307" w:name="_Toc522628973"/>
            <w:r w:rsidRPr="00CF31E0">
              <w:rPr>
                <w:rFonts w:asciiTheme="majorBidi" w:hAnsiTheme="majorBidi" w:cstheme="majorBidi"/>
                <w:color w:val="000000" w:themeColor="text1"/>
                <w:sz w:val="22"/>
                <w:szCs w:val="22"/>
              </w:rPr>
              <w:t>Age</w:t>
            </w:r>
          </w:p>
        </w:tc>
        <w:tc>
          <w:tcPr>
            <w:tcW w:w="1276" w:type="dxa"/>
            <w:tcBorders>
              <w:top w:val="single" w:sz="8" w:space="0" w:color="000000"/>
              <w:bottom w:val="single" w:sz="8" w:space="0" w:color="000000"/>
            </w:tcBorders>
            <w:shd w:val="clear" w:color="auto" w:fill="FFFFFF"/>
          </w:tcPr>
          <w:p w14:paraId="0CD27BD5" w14:textId="1E6EAB99" w:rsidR="003E6E8D" w:rsidRPr="00CF31E0" w:rsidRDefault="003E6E8D" w:rsidP="004F45D7">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xml:space="preserve">Number </w:t>
            </w:r>
          </w:p>
        </w:tc>
      </w:tr>
      <w:tr w:rsidR="003E6E8D" w:rsidRPr="00CF31E0" w14:paraId="39CD0B85" w14:textId="77777777" w:rsidTr="004F45D7">
        <w:trPr>
          <w:cantSplit/>
        </w:trPr>
        <w:tc>
          <w:tcPr>
            <w:tcW w:w="2268" w:type="dxa"/>
            <w:tcBorders>
              <w:top w:val="single" w:sz="8" w:space="0" w:color="000000"/>
            </w:tcBorders>
            <w:shd w:val="clear" w:color="auto" w:fill="FFFFFF"/>
          </w:tcPr>
          <w:p w14:paraId="1CFB5ACC" w14:textId="52E1646B" w:rsidR="003E6E8D" w:rsidRPr="00CF31E0" w:rsidRDefault="003E6E8D" w:rsidP="004F45D7">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18–24</w:t>
            </w:r>
          </w:p>
        </w:tc>
        <w:tc>
          <w:tcPr>
            <w:tcW w:w="1276" w:type="dxa"/>
            <w:tcBorders>
              <w:top w:val="single" w:sz="8" w:space="0" w:color="000000"/>
            </w:tcBorders>
            <w:shd w:val="clear" w:color="auto" w:fill="FFFFFF"/>
          </w:tcPr>
          <w:p w14:paraId="71D6F569" w14:textId="0C828C8B" w:rsidR="003E6E8D" w:rsidRPr="00CF31E0" w:rsidRDefault="003E6E8D" w:rsidP="004F45D7">
            <w:pPr>
              <w:spacing w:before="120" w:after="120"/>
              <w:rPr>
                <w:rFonts w:asciiTheme="majorBidi" w:hAnsiTheme="majorBidi" w:cstheme="majorBidi"/>
                <w:color w:val="000000" w:themeColor="text1"/>
                <w:sz w:val="22"/>
                <w:szCs w:val="22"/>
              </w:rPr>
            </w:pPr>
            <w:r w:rsidRPr="00CF31E0">
              <w:rPr>
                <w:color w:val="000000" w:themeColor="text1"/>
                <w:sz w:val="22"/>
                <w:szCs w:val="22"/>
              </w:rPr>
              <w:t>189</w:t>
            </w:r>
          </w:p>
        </w:tc>
      </w:tr>
      <w:tr w:rsidR="003E6E8D" w:rsidRPr="00CF31E0" w14:paraId="5CD7C1C7" w14:textId="77777777" w:rsidTr="004F45D7">
        <w:trPr>
          <w:cantSplit/>
        </w:trPr>
        <w:tc>
          <w:tcPr>
            <w:tcW w:w="2268" w:type="dxa"/>
            <w:shd w:val="clear" w:color="auto" w:fill="FFFFFF"/>
          </w:tcPr>
          <w:p w14:paraId="0A3FCE5A" w14:textId="52B324A9" w:rsidR="003E6E8D" w:rsidRPr="00CF31E0" w:rsidRDefault="003E6E8D" w:rsidP="004F45D7">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25–34</w:t>
            </w:r>
          </w:p>
        </w:tc>
        <w:tc>
          <w:tcPr>
            <w:tcW w:w="1276" w:type="dxa"/>
            <w:shd w:val="clear" w:color="auto" w:fill="FFFFFF"/>
          </w:tcPr>
          <w:p w14:paraId="4CDC0ECA" w14:textId="075668C5" w:rsidR="003E6E8D" w:rsidRPr="00CF31E0" w:rsidRDefault="003E6E8D" w:rsidP="004F45D7">
            <w:pPr>
              <w:spacing w:before="120" w:after="120"/>
              <w:rPr>
                <w:rFonts w:asciiTheme="majorBidi" w:hAnsiTheme="majorBidi" w:cstheme="majorBidi"/>
                <w:color w:val="000000" w:themeColor="text1"/>
                <w:sz w:val="22"/>
                <w:szCs w:val="22"/>
              </w:rPr>
            </w:pPr>
            <w:r w:rsidRPr="00CF31E0">
              <w:rPr>
                <w:color w:val="000000" w:themeColor="text1"/>
                <w:sz w:val="22"/>
                <w:szCs w:val="22"/>
              </w:rPr>
              <w:t>145</w:t>
            </w:r>
          </w:p>
        </w:tc>
      </w:tr>
      <w:tr w:rsidR="003E6E8D" w:rsidRPr="00CF31E0" w14:paraId="0EFAF19D" w14:textId="77777777" w:rsidTr="004F45D7">
        <w:trPr>
          <w:cantSplit/>
        </w:trPr>
        <w:tc>
          <w:tcPr>
            <w:tcW w:w="2268" w:type="dxa"/>
            <w:shd w:val="clear" w:color="auto" w:fill="FFFFFF"/>
          </w:tcPr>
          <w:p w14:paraId="02D44646" w14:textId="30D475D7" w:rsidR="003E6E8D" w:rsidRPr="00CF31E0" w:rsidRDefault="003E6E8D" w:rsidP="004B38E0">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35–44</w:t>
            </w:r>
          </w:p>
        </w:tc>
        <w:tc>
          <w:tcPr>
            <w:tcW w:w="1276" w:type="dxa"/>
            <w:shd w:val="clear" w:color="auto" w:fill="FFFFFF"/>
          </w:tcPr>
          <w:p w14:paraId="2498A4E7" w14:textId="18FE10DB" w:rsidR="003E6E8D" w:rsidRPr="00CF31E0" w:rsidRDefault="003E6E8D" w:rsidP="004B38E0">
            <w:pPr>
              <w:spacing w:before="120" w:after="120"/>
              <w:rPr>
                <w:rFonts w:asciiTheme="majorBidi" w:hAnsiTheme="majorBidi" w:cstheme="majorBidi"/>
                <w:color w:val="000000" w:themeColor="text1"/>
                <w:sz w:val="22"/>
                <w:szCs w:val="22"/>
              </w:rPr>
            </w:pPr>
            <w:r w:rsidRPr="00CF31E0">
              <w:rPr>
                <w:color w:val="000000" w:themeColor="text1"/>
                <w:sz w:val="22"/>
                <w:szCs w:val="22"/>
              </w:rPr>
              <w:t>174</w:t>
            </w:r>
          </w:p>
        </w:tc>
      </w:tr>
      <w:tr w:rsidR="003E6E8D" w:rsidRPr="00CF31E0" w14:paraId="17BD5F8B" w14:textId="77777777" w:rsidTr="004F45D7">
        <w:trPr>
          <w:cantSplit/>
        </w:trPr>
        <w:tc>
          <w:tcPr>
            <w:tcW w:w="2268" w:type="dxa"/>
            <w:shd w:val="clear" w:color="auto" w:fill="FFFFFF"/>
          </w:tcPr>
          <w:p w14:paraId="4A91AC0F" w14:textId="229E3542" w:rsidR="003E6E8D" w:rsidRPr="00CF31E0" w:rsidRDefault="003E6E8D" w:rsidP="004B38E0">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45–54</w:t>
            </w:r>
          </w:p>
        </w:tc>
        <w:tc>
          <w:tcPr>
            <w:tcW w:w="1276" w:type="dxa"/>
            <w:shd w:val="clear" w:color="auto" w:fill="FFFFFF"/>
          </w:tcPr>
          <w:p w14:paraId="5182888D" w14:textId="65D95961" w:rsidR="003E6E8D" w:rsidRPr="00CF31E0" w:rsidRDefault="003E6E8D" w:rsidP="004B38E0">
            <w:pPr>
              <w:spacing w:before="120" w:after="120"/>
              <w:rPr>
                <w:rFonts w:asciiTheme="majorBidi" w:hAnsiTheme="majorBidi" w:cstheme="majorBidi"/>
                <w:color w:val="000000" w:themeColor="text1"/>
                <w:sz w:val="22"/>
                <w:szCs w:val="22"/>
              </w:rPr>
            </w:pPr>
            <w:r w:rsidRPr="00CF31E0">
              <w:rPr>
                <w:color w:val="000000" w:themeColor="text1"/>
                <w:sz w:val="22"/>
                <w:szCs w:val="22"/>
              </w:rPr>
              <w:t>107</w:t>
            </w:r>
          </w:p>
        </w:tc>
      </w:tr>
      <w:tr w:rsidR="003E6E8D" w:rsidRPr="00CF31E0" w14:paraId="068A2238" w14:textId="77777777" w:rsidTr="004F45D7">
        <w:trPr>
          <w:cantSplit/>
        </w:trPr>
        <w:tc>
          <w:tcPr>
            <w:tcW w:w="2268" w:type="dxa"/>
            <w:shd w:val="clear" w:color="auto" w:fill="FFFFFF"/>
          </w:tcPr>
          <w:p w14:paraId="0D71F163" w14:textId="565A262D" w:rsidR="003E6E8D" w:rsidRPr="00CF31E0" w:rsidRDefault="003E6E8D" w:rsidP="004B38E0">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lastRenderedPageBreak/>
              <w:t>55–64</w:t>
            </w:r>
          </w:p>
        </w:tc>
        <w:tc>
          <w:tcPr>
            <w:tcW w:w="1276" w:type="dxa"/>
            <w:shd w:val="clear" w:color="auto" w:fill="FFFFFF"/>
          </w:tcPr>
          <w:p w14:paraId="6746146A" w14:textId="5E46C470" w:rsidR="003E6E8D" w:rsidRPr="00CF31E0" w:rsidRDefault="003E6E8D" w:rsidP="004B38E0">
            <w:pPr>
              <w:spacing w:before="120" w:after="120"/>
              <w:rPr>
                <w:rFonts w:asciiTheme="majorBidi" w:hAnsiTheme="majorBidi" w:cstheme="majorBidi"/>
                <w:color w:val="000000" w:themeColor="text1"/>
                <w:sz w:val="22"/>
                <w:szCs w:val="22"/>
              </w:rPr>
            </w:pPr>
            <w:r w:rsidRPr="00CF31E0">
              <w:rPr>
                <w:color w:val="000000" w:themeColor="text1"/>
                <w:sz w:val="22"/>
                <w:szCs w:val="22"/>
              </w:rPr>
              <w:t xml:space="preserve">  30</w:t>
            </w:r>
          </w:p>
        </w:tc>
      </w:tr>
      <w:tr w:rsidR="003E6E8D" w:rsidRPr="00CF31E0" w14:paraId="5BB22F00" w14:textId="77777777" w:rsidTr="004F45D7">
        <w:trPr>
          <w:cantSplit/>
        </w:trPr>
        <w:tc>
          <w:tcPr>
            <w:tcW w:w="2268" w:type="dxa"/>
            <w:shd w:val="clear" w:color="auto" w:fill="FFFFFF"/>
          </w:tcPr>
          <w:p w14:paraId="0F3D6111" w14:textId="12C840E0" w:rsidR="003E6E8D" w:rsidRPr="00CF31E0" w:rsidRDefault="003E6E8D" w:rsidP="004B38E0">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Over 65</w:t>
            </w:r>
          </w:p>
        </w:tc>
        <w:tc>
          <w:tcPr>
            <w:tcW w:w="1276" w:type="dxa"/>
            <w:shd w:val="clear" w:color="auto" w:fill="FFFFFF"/>
          </w:tcPr>
          <w:p w14:paraId="40C18904" w14:textId="5BEAF399" w:rsidR="003E6E8D" w:rsidRPr="00CF31E0" w:rsidRDefault="003E6E8D" w:rsidP="004B38E0">
            <w:pPr>
              <w:spacing w:before="120" w:after="120"/>
              <w:rPr>
                <w:rFonts w:asciiTheme="majorBidi" w:hAnsiTheme="majorBidi" w:cstheme="majorBidi"/>
                <w:color w:val="000000" w:themeColor="text1"/>
                <w:sz w:val="22"/>
                <w:szCs w:val="22"/>
              </w:rPr>
            </w:pPr>
            <w:r w:rsidRPr="00CF31E0">
              <w:rPr>
                <w:color w:val="000000" w:themeColor="text1"/>
                <w:sz w:val="22"/>
                <w:szCs w:val="22"/>
              </w:rPr>
              <w:t xml:space="preserve">   4</w:t>
            </w:r>
          </w:p>
        </w:tc>
      </w:tr>
      <w:tr w:rsidR="003E6E8D" w:rsidRPr="00CF31E0" w14:paraId="49AEFC8C" w14:textId="77777777" w:rsidTr="004F45D7">
        <w:trPr>
          <w:cantSplit/>
        </w:trPr>
        <w:tc>
          <w:tcPr>
            <w:tcW w:w="2268" w:type="dxa"/>
            <w:tcBorders>
              <w:bottom w:val="single" w:sz="8" w:space="0" w:color="auto"/>
            </w:tcBorders>
            <w:shd w:val="clear" w:color="auto" w:fill="FFFFFF"/>
          </w:tcPr>
          <w:p w14:paraId="5D45D885" w14:textId="591B53A9" w:rsidR="003E6E8D" w:rsidRPr="00CF31E0" w:rsidRDefault="003E6E8D" w:rsidP="004B38E0">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Total</w:t>
            </w:r>
          </w:p>
        </w:tc>
        <w:tc>
          <w:tcPr>
            <w:tcW w:w="1276" w:type="dxa"/>
            <w:tcBorders>
              <w:bottom w:val="single" w:sz="8" w:space="0" w:color="auto"/>
            </w:tcBorders>
            <w:shd w:val="clear" w:color="auto" w:fill="FFFFFF"/>
          </w:tcPr>
          <w:p w14:paraId="5B904B8B" w14:textId="5F901889" w:rsidR="003E6E8D" w:rsidRPr="00CF31E0" w:rsidRDefault="003E6E8D" w:rsidP="004B38E0">
            <w:pPr>
              <w:spacing w:before="120" w:after="120"/>
              <w:rPr>
                <w:rFonts w:asciiTheme="majorBidi" w:hAnsiTheme="majorBidi" w:cstheme="majorBidi"/>
                <w:color w:val="000000" w:themeColor="text1"/>
                <w:sz w:val="22"/>
                <w:szCs w:val="22"/>
              </w:rPr>
            </w:pPr>
            <w:r w:rsidRPr="00CF31E0">
              <w:rPr>
                <w:color w:val="000000" w:themeColor="text1"/>
                <w:sz w:val="22"/>
                <w:szCs w:val="22"/>
              </w:rPr>
              <w:t>649</w:t>
            </w:r>
          </w:p>
        </w:tc>
      </w:tr>
    </w:tbl>
    <w:p w14:paraId="617EC058" w14:textId="5BC2E1ED" w:rsidR="00DD47E4" w:rsidRPr="00CF31E0" w:rsidRDefault="00DD47E4" w:rsidP="00730917">
      <w:pPr>
        <w:pStyle w:val="Tablecaption"/>
        <w:rPr>
          <w:lang w:eastAsia="zh-CN"/>
        </w:rPr>
      </w:pPr>
      <w:bookmarkStart w:id="308" w:name="_Toc6473069"/>
      <w:r w:rsidRPr="00CF31E0">
        <w:rPr>
          <w:lang w:eastAsia="zh-CN"/>
        </w:rPr>
        <w:t xml:space="preserve">Table </w:t>
      </w:r>
      <w:r w:rsidR="00B97E48" w:rsidRPr="00CF31E0">
        <w:rPr>
          <w:lang w:eastAsia="zh-CN"/>
        </w:rPr>
        <w:t>6</w:t>
      </w:r>
      <w:r w:rsidR="00DA430A" w:rsidRPr="00CF31E0">
        <w:rPr>
          <w:lang w:eastAsia="zh-CN"/>
        </w:rPr>
        <w:t>.</w:t>
      </w:r>
      <w:r w:rsidRPr="00CF31E0">
        <w:rPr>
          <w:lang w:eastAsia="zh-CN"/>
        </w:rPr>
        <w:fldChar w:fldCharType="begin"/>
      </w:r>
      <w:r w:rsidRPr="00CF31E0">
        <w:rPr>
          <w:lang w:eastAsia="zh-CN"/>
        </w:rPr>
        <w:instrText xml:space="preserve"> SEQ Table \* ARABIC </w:instrText>
      </w:r>
      <w:r w:rsidRPr="00CF31E0">
        <w:rPr>
          <w:lang w:eastAsia="zh-CN"/>
        </w:rPr>
        <w:fldChar w:fldCharType="separate"/>
      </w:r>
      <w:r w:rsidR="007F2617">
        <w:rPr>
          <w:noProof/>
          <w:lang w:eastAsia="zh-CN"/>
        </w:rPr>
        <w:t>2</w:t>
      </w:r>
      <w:r w:rsidRPr="00CF31E0">
        <w:rPr>
          <w:noProof/>
          <w:lang w:eastAsia="zh-CN"/>
        </w:rPr>
        <w:fldChar w:fldCharType="end"/>
      </w:r>
      <w:r w:rsidR="00DA430A" w:rsidRPr="00CF31E0">
        <w:rPr>
          <w:lang w:eastAsia="zh-CN"/>
        </w:rPr>
        <w:t>:</w:t>
      </w:r>
      <w:r w:rsidRPr="00CF31E0">
        <w:rPr>
          <w:lang w:eastAsia="zh-CN"/>
        </w:rPr>
        <w:t xml:space="preserve"> </w:t>
      </w:r>
      <w:r w:rsidR="00DA430A" w:rsidRPr="00CF31E0">
        <w:rPr>
          <w:lang w:eastAsia="zh-CN"/>
        </w:rPr>
        <w:t>N</w:t>
      </w:r>
      <w:r w:rsidRPr="00CF31E0">
        <w:rPr>
          <w:lang w:eastAsia="zh-CN"/>
        </w:rPr>
        <w:t>umber of participants according to age group</w:t>
      </w:r>
      <w:r w:rsidR="00DA430A" w:rsidRPr="00CF31E0">
        <w:rPr>
          <w:lang w:eastAsia="zh-CN"/>
        </w:rPr>
        <w:t>.</w:t>
      </w:r>
      <w:bookmarkEnd w:id="305"/>
      <w:bookmarkEnd w:id="306"/>
      <w:bookmarkEnd w:id="307"/>
      <w:bookmarkEnd w:id="308"/>
    </w:p>
    <w:p w14:paraId="14743DAB" w14:textId="5AB1F8C7" w:rsidR="009D78CF" w:rsidRPr="00CF31E0" w:rsidRDefault="000D4EF5" w:rsidP="00A06672">
      <w:pPr>
        <w:pStyle w:val="Paragraph"/>
        <w:rPr>
          <w:lang w:eastAsia="zh-CN"/>
        </w:rPr>
      </w:pPr>
      <w:r w:rsidRPr="00CF31E0">
        <w:rPr>
          <w:lang w:eastAsia="zh-CN"/>
        </w:rPr>
        <w:t xml:space="preserve">Table </w:t>
      </w:r>
      <w:r w:rsidR="00B97E48" w:rsidRPr="00CF31E0">
        <w:rPr>
          <w:lang w:eastAsia="zh-CN"/>
        </w:rPr>
        <w:t>6</w:t>
      </w:r>
      <w:r w:rsidRPr="00CF31E0">
        <w:rPr>
          <w:lang w:eastAsia="zh-CN"/>
        </w:rPr>
        <w:t xml:space="preserve">.2 </w:t>
      </w:r>
      <w:r w:rsidR="00DD47E4" w:rsidRPr="00CF31E0">
        <w:rPr>
          <w:lang w:eastAsia="zh-CN"/>
        </w:rPr>
        <w:t xml:space="preserve">illustrates the age groups in the sample, with participants ranging from 18 to over 65 years old. The 18–24 age group contains the largest number of participants (189 participants). This is the youngest age group and 148 of these participants were recruited to complete the paper-based questionnaire. </w:t>
      </w:r>
      <w:r w:rsidR="00780AA8">
        <w:rPr>
          <w:lang w:eastAsia="zh-CN"/>
        </w:rPr>
        <w:t>T</w:t>
      </w:r>
      <w:r w:rsidR="00DD47E4" w:rsidRPr="00CF31E0">
        <w:rPr>
          <w:lang w:eastAsia="zh-CN"/>
        </w:rPr>
        <w:t>hey are BA degree university students in their first year of study</w:t>
      </w:r>
      <w:r w:rsidR="006501F6" w:rsidRPr="00CF31E0">
        <w:rPr>
          <w:lang w:eastAsia="zh-CN"/>
        </w:rPr>
        <w:t xml:space="preserve"> and high school students in their last year of study</w:t>
      </w:r>
      <w:r w:rsidR="00DD47E4" w:rsidRPr="00CF31E0">
        <w:rPr>
          <w:lang w:eastAsia="zh-CN"/>
        </w:rPr>
        <w:t xml:space="preserve">. Therefore, because this age group was systematically chosen, this age group has obvious homogeneity. The second largest age group is the 35–44 age group, with 173 participants. The third largest age group is the 25–34 age group with 144 participants. Following this is the 45–54 age group with 107 participants. The 55–64 age group only includes 30 participants. Finally, the age group with the smallest number of participants was the 65 years old and older group, with only four participants. </w:t>
      </w:r>
    </w:p>
    <w:p w14:paraId="7C91AA6A" w14:textId="7B439725" w:rsidR="00A06672" w:rsidRPr="00CF31E0" w:rsidRDefault="00B97E48" w:rsidP="00A06672">
      <w:pPr>
        <w:pStyle w:val="Ahead"/>
        <w:spacing w:after="400"/>
        <w:rPr>
          <w:rFonts w:eastAsia="Times New Roman"/>
        </w:rPr>
      </w:pPr>
      <w:bookmarkStart w:id="309" w:name="_Toc6472684"/>
      <w:r w:rsidRPr="00CF31E0">
        <w:rPr>
          <w:rFonts w:eastAsia="Times New Roman"/>
        </w:rPr>
        <w:t>6</w:t>
      </w:r>
      <w:r w:rsidR="00230207" w:rsidRPr="00CF31E0">
        <w:rPr>
          <w:rFonts w:eastAsia="Times New Roman"/>
        </w:rPr>
        <w:t>.</w:t>
      </w:r>
      <w:r w:rsidR="004E73D5" w:rsidRPr="00CF31E0">
        <w:rPr>
          <w:rFonts w:eastAsia="Times New Roman"/>
        </w:rPr>
        <w:t>4</w:t>
      </w:r>
      <w:r w:rsidR="00230207" w:rsidRPr="00CF31E0">
        <w:rPr>
          <w:rFonts w:eastAsia="Times New Roman"/>
        </w:rPr>
        <w:t>.</w:t>
      </w:r>
      <w:r w:rsidR="00230207" w:rsidRPr="00CF31E0">
        <w:rPr>
          <w:rFonts w:eastAsia="Times New Roman"/>
        </w:rPr>
        <w:tab/>
      </w:r>
      <w:r w:rsidR="00DD47E4" w:rsidRPr="00CF31E0">
        <w:rPr>
          <w:rFonts w:eastAsia="Times New Roman"/>
        </w:rPr>
        <w:t xml:space="preserve">Frequency distribution of </w:t>
      </w:r>
      <w:r w:rsidR="00230207" w:rsidRPr="00CF31E0">
        <w:rPr>
          <w:rFonts w:eastAsia="Times New Roman"/>
        </w:rPr>
        <w:t>p</w:t>
      </w:r>
      <w:r w:rsidR="00DD47E4" w:rsidRPr="00CF31E0">
        <w:rPr>
          <w:rFonts w:eastAsia="Times New Roman"/>
        </w:rPr>
        <w:t>lace of birth</w:t>
      </w:r>
      <w:bookmarkEnd w:id="309"/>
    </w:p>
    <w:tbl>
      <w:tblPr>
        <w:tblW w:w="3544" w:type="dxa"/>
        <w:tblLayout w:type="fixed"/>
        <w:tblCellMar>
          <w:left w:w="0" w:type="dxa"/>
          <w:right w:w="0" w:type="dxa"/>
        </w:tblCellMar>
        <w:tblLook w:val="04A0" w:firstRow="1" w:lastRow="0" w:firstColumn="1" w:lastColumn="0" w:noHBand="0" w:noVBand="1"/>
      </w:tblPr>
      <w:tblGrid>
        <w:gridCol w:w="2268"/>
        <w:gridCol w:w="1276"/>
      </w:tblGrid>
      <w:tr w:rsidR="00BE6962" w:rsidRPr="00CF31E0" w14:paraId="7FEFD878" w14:textId="77777777" w:rsidTr="004B38E0">
        <w:trPr>
          <w:cantSplit/>
          <w:trHeight w:val="567"/>
        </w:trPr>
        <w:tc>
          <w:tcPr>
            <w:tcW w:w="2268" w:type="dxa"/>
            <w:tcBorders>
              <w:top w:val="single" w:sz="8" w:space="0" w:color="000000"/>
              <w:bottom w:val="single" w:sz="8" w:space="0" w:color="000000"/>
            </w:tcBorders>
            <w:shd w:val="clear" w:color="auto" w:fill="FFFFFF"/>
          </w:tcPr>
          <w:p w14:paraId="603D5806" w14:textId="11870D91" w:rsidR="00BE6962" w:rsidRPr="00CF31E0" w:rsidRDefault="00BE6962" w:rsidP="004B38E0">
            <w:pPr>
              <w:spacing w:before="120" w:after="120"/>
              <w:rPr>
                <w:rFonts w:asciiTheme="majorBidi" w:hAnsiTheme="majorBidi" w:cstheme="majorBidi"/>
                <w:color w:val="000000" w:themeColor="text1"/>
                <w:sz w:val="22"/>
                <w:szCs w:val="22"/>
              </w:rPr>
            </w:pPr>
            <w:bookmarkStart w:id="310" w:name="_Toc522527398"/>
            <w:bookmarkStart w:id="311" w:name="_Toc522628810"/>
            <w:bookmarkStart w:id="312" w:name="_Toc522628974"/>
            <w:r w:rsidRPr="00CF31E0">
              <w:rPr>
                <w:rFonts w:asciiTheme="majorBidi" w:hAnsiTheme="majorBidi" w:cstheme="majorBidi"/>
                <w:color w:val="000000" w:themeColor="text1"/>
                <w:sz w:val="22"/>
                <w:szCs w:val="22"/>
              </w:rPr>
              <w:t>Place of birth</w:t>
            </w:r>
          </w:p>
        </w:tc>
        <w:tc>
          <w:tcPr>
            <w:tcW w:w="1276" w:type="dxa"/>
            <w:tcBorders>
              <w:top w:val="single" w:sz="8" w:space="0" w:color="000000"/>
              <w:bottom w:val="single" w:sz="8" w:space="0" w:color="000000"/>
            </w:tcBorders>
            <w:shd w:val="clear" w:color="auto" w:fill="FFFFFF"/>
          </w:tcPr>
          <w:p w14:paraId="2C66D46B" w14:textId="77777777" w:rsidR="00BE6962" w:rsidRPr="00CF31E0" w:rsidRDefault="00BE6962" w:rsidP="004B38E0">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xml:space="preserve">Number </w:t>
            </w:r>
          </w:p>
        </w:tc>
      </w:tr>
      <w:tr w:rsidR="00BE6962" w:rsidRPr="00CF31E0" w14:paraId="7F7966A0" w14:textId="77777777" w:rsidTr="004B38E0">
        <w:trPr>
          <w:cantSplit/>
        </w:trPr>
        <w:tc>
          <w:tcPr>
            <w:tcW w:w="2268" w:type="dxa"/>
            <w:tcBorders>
              <w:top w:val="single" w:sz="8" w:space="0" w:color="000000"/>
            </w:tcBorders>
            <w:shd w:val="clear" w:color="auto" w:fill="FFFFFF"/>
          </w:tcPr>
          <w:p w14:paraId="2F507E5D" w14:textId="681412F0" w:rsidR="00BE6962" w:rsidRPr="00CF31E0" w:rsidRDefault="00BE6962" w:rsidP="004B38E0">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Inside Hijaz</w:t>
            </w:r>
          </w:p>
        </w:tc>
        <w:tc>
          <w:tcPr>
            <w:tcW w:w="1276" w:type="dxa"/>
            <w:tcBorders>
              <w:top w:val="single" w:sz="8" w:space="0" w:color="000000"/>
            </w:tcBorders>
            <w:shd w:val="clear" w:color="auto" w:fill="FFFFFF"/>
          </w:tcPr>
          <w:p w14:paraId="3E0C788C" w14:textId="03616272" w:rsidR="00BE6962" w:rsidRPr="00CF31E0" w:rsidRDefault="00BE6962" w:rsidP="004B38E0">
            <w:pPr>
              <w:spacing w:before="120" w:after="120"/>
              <w:rPr>
                <w:rFonts w:asciiTheme="majorBidi" w:hAnsiTheme="majorBidi" w:cstheme="majorBidi"/>
                <w:color w:val="000000" w:themeColor="text1"/>
                <w:sz w:val="22"/>
                <w:szCs w:val="22"/>
              </w:rPr>
            </w:pPr>
            <w:r w:rsidRPr="00CF31E0">
              <w:rPr>
                <w:color w:val="000000" w:themeColor="text1"/>
                <w:sz w:val="22"/>
                <w:szCs w:val="22"/>
              </w:rPr>
              <w:t>587</w:t>
            </w:r>
          </w:p>
        </w:tc>
      </w:tr>
      <w:tr w:rsidR="00BE6962" w:rsidRPr="00CF31E0" w14:paraId="20DEB29F" w14:textId="77777777" w:rsidTr="004F45D7">
        <w:trPr>
          <w:cantSplit/>
        </w:trPr>
        <w:tc>
          <w:tcPr>
            <w:tcW w:w="2268" w:type="dxa"/>
            <w:shd w:val="clear" w:color="auto" w:fill="FFFFFF"/>
          </w:tcPr>
          <w:p w14:paraId="6F630B2C" w14:textId="647C4A25" w:rsidR="00BE6962" w:rsidRPr="00CF31E0" w:rsidRDefault="00BE6962" w:rsidP="004B38E0">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Outside Hijaz</w:t>
            </w:r>
          </w:p>
        </w:tc>
        <w:tc>
          <w:tcPr>
            <w:tcW w:w="1276" w:type="dxa"/>
            <w:shd w:val="clear" w:color="auto" w:fill="FFFFFF"/>
          </w:tcPr>
          <w:p w14:paraId="45B08B59" w14:textId="092AB167" w:rsidR="00BE6962" w:rsidRPr="00CF31E0" w:rsidRDefault="00BE6962" w:rsidP="004B38E0">
            <w:pPr>
              <w:spacing w:before="120" w:after="120"/>
              <w:rPr>
                <w:rFonts w:asciiTheme="majorBidi" w:hAnsiTheme="majorBidi" w:cstheme="majorBidi"/>
                <w:color w:val="000000" w:themeColor="text1"/>
                <w:sz w:val="22"/>
                <w:szCs w:val="22"/>
              </w:rPr>
            </w:pPr>
            <w:r w:rsidRPr="00CF31E0">
              <w:rPr>
                <w:color w:val="000000" w:themeColor="text1"/>
                <w:sz w:val="22"/>
                <w:szCs w:val="22"/>
              </w:rPr>
              <w:t xml:space="preserve"> 62</w:t>
            </w:r>
          </w:p>
        </w:tc>
      </w:tr>
      <w:tr w:rsidR="00BE6962" w:rsidRPr="00CF31E0" w14:paraId="7C5B70C9" w14:textId="77777777" w:rsidTr="004F45D7">
        <w:trPr>
          <w:cantSplit/>
        </w:trPr>
        <w:tc>
          <w:tcPr>
            <w:tcW w:w="2268" w:type="dxa"/>
            <w:tcBorders>
              <w:bottom w:val="single" w:sz="8" w:space="0" w:color="auto"/>
            </w:tcBorders>
            <w:shd w:val="clear" w:color="auto" w:fill="FFFFFF"/>
          </w:tcPr>
          <w:p w14:paraId="1A7736B6" w14:textId="36692423" w:rsidR="00BE6962" w:rsidRPr="00CF31E0" w:rsidRDefault="00BE6962" w:rsidP="004B38E0">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Total</w:t>
            </w:r>
          </w:p>
        </w:tc>
        <w:tc>
          <w:tcPr>
            <w:tcW w:w="1276" w:type="dxa"/>
            <w:tcBorders>
              <w:bottom w:val="single" w:sz="8" w:space="0" w:color="auto"/>
            </w:tcBorders>
            <w:shd w:val="clear" w:color="auto" w:fill="FFFFFF"/>
          </w:tcPr>
          <w:p w14:paraId="6A7A9964" w14:textId="698E1FE0" w:rsidR="00BE6962" w:rsidRPr="00CF31E0" w:rsidRDefault="00BE6962" w:rsidP="004B38E0">
            <w:pPr>
              <w:spacing w:before="120" w:after="120"/>
              <w:rPr>
                <w:rFonts w:asciiTheme="majorBidi" w:hAnsiTheme="majorBidi" w:cstheme="majorBidi"/>
                <w:color w:val="000000" w:themeColor="text1"/>
                <w:sz w:val="22"/>
                <w:szCs w:val="22"/>
              </w:rPr>
            </w:pPr>
            <w:r w:rsidRPr="00CF31E0">
              <w:rPr>
                <w:color w:val="000000" w:themeColor="text1"/>
                <w:sz w:val="22"/>
                <w:szCs w:val="22"/>
              </w:rPr>
              <w:t>649</w:t>
            </w:r>
          </w:p>
        </w:tc>
      </w:tr>
    </w:tbl>
    <w:p w14:paraId="4EA904B4" w14:textId="7856CD2C" w:rsidR="00DD47E4" w:rsidRPr="00CF31E0" w:rsidRDefault="00DD47E4" w:rsidP="00730917">
      <w:pPr>
        <w:pStyle w:val="Tablecaption"/>
        <w:rPr>
          <w:lang w:eastAsia="zh-CN"/>
        </w:rPr>
      </w:pPr>
      <w:bookmarkStart w:id="313" w:name="_Toc6473070"/>
      <w:r w:rsidRPr="00CF31E0">
        <w:rPr>
          <w:lang w:eastAsia="zh-CN"/>
        </w:rPr>
        <w:t xml:space="preserve">Table </w:t>
      </w:r>
      <w:r w:rsidR="00B97E48" w:rsidRPr="00CF31E0">
        <w:rPr>
          <w:lang w:eastAsia="zh-CN"/>
        </w:rPr>
        <w:t>6</w:t>
      </w:r>
      <w:r w:rsidR="000D4EF5" w:rsidRPr="00CF31E0">
        <w:rPr>
          <w:lang w:eastAsia="zh-CN"/>
        </w:rPr>
        <w:t>.</w:t>
      </w:r>
      <w:r w:rsidRPr="00CF31E0">
        <w:rPr>
          <w:lang w:eastAsia="zh-CN"/>
        </w:rPr>
        <w:fldChar w:fldCharType="begin"/>
      </w:r>
      <w:r w:rsidRPr="00CF31E0">
        <w:rPr>
          <w:lang w:eastAsia="zh-CN"/>
        </w:rPr>
        <w:instrText xml:space="preserve"> SEQ Table \* ARABIC </w:instrText>
      </w:r>
      <w:r w:rsidRPr="00CF31E0">
        <w:rPr>
          <w:lang w:eastAsia="zh-CN"/>
        </w:rPr>
        <w:fldChar w:fldCharType="separate"/>
      </w:r>
      <w:r w:rsidR="007F2617">
        <w:rPr>
          <w:noProof/>
          <w:lang w:eastAsia="zh-CN"/>
        </w:rPr>
        <w:t>3</w:t>
      </w:r>
      <w:r w:rsidRPr="00CF31E0">
        <w:rPr>
          <w:noProof/>
          <w:lang w:eastAsia="zh-CN"/>
        </w:rPr>
        <w:fldChar w:fldCharType="end"/>
      </w:r>
      <w:r w:rsidR="000D4EF5" w:rsidRPr="00CF31E0">
        <w:rPr>
          <w:lang w:eastAsia="zh-CN"/>
        </w:rPr>
        <w:t>:</w:t>
      </w:r>
      <w:r w:rsidRPr="00CF31E0">
        <w:rPr>
          <w:lang w:eastAsia="zh-CN"/>
        </w:rPr>
        <w:t xml:space="preserve"> </w:t>
      </w:r>
      <w:r w:rsidR="000D4EF5" w:rsidRPr="00CF31E0">
        <w:rPr>
          <w:lang w:eastAsia="zh-CN"/>
        </w:rPr>
        <w:t>N</w:t>
      </w:r>
      <w:r w:rsidRPr="00CF31E0">
        <w:rPr>
          <w:lang w:eastAsia="zh-CN"/>
        </w:rPr>
        <w:t>umber of participants according to their place of birth.</w:t>
      </w:r>
      <w:bookmarkEnd w:id="310"/>
      <w:bookmarkEnd w:id="311"/>
      <w:bookmarkEnd w:id="312"/>
      <w:bookmarkEnd w:id="313"/>
    </w:p>
    <w:p w14:paraId="6992C813" w14:textId="350A08CC" w:rsidR="00DD47E4" w:rsidRPr="00CF31E0" w:rsidRDefault="00DD47E4" w:rsidP="00603CB7">
      <w:pPr>
        <w:pStyle w:val="Paragraph"/>
        <w:rPr>
          <w:lang w:eastAsia="zh-CN"/>
        </w:rPr>
      </w:pPr>
      <w:r w:rsidRPr="00CF31E0">
        <w:rPr>
          <w:lang w:eastAsia="zh-CN"/>
        </w:rPr>
        <w:t xml:space="preserve">Table </w:t>
      </w:r>
      <w:r w:rsidR="00B97E48" w:rsidRPr="00CF31E0">
        <w:rPr>
          <w:lang w:eastAsia="zh-CN"/>
        </w:rPr>
        <w:t>6</w:t>
      </w:r>
      <w:r w:rsidR="000D4EF5" w:rsidRPr="00CF31E0">
        <w:rPr>
          <w:lang w:eastAsia="zh-CN"/>
        </w:rPr>
        <w:t>.3</w:t>
      </w:r>
      <w:r w:rsidRPr="00CF31E0">
        <w:rPr>
          <w:lang w:eastAsia="zh-CN"/>
        </w:rPr>
        <w:t xml:space="preserve"> illustrates that the majority of the population (587 participants) was born in Western Saudi Arabia</w:t>
      </w:r>
      <w:r w:rsidR="0015491A" w:rsidRPr="00CF31E0">
        <w:rPr>
          <w:lang w:eastAsia="zh-CN"/>
        </w:rPr>
        <w:t xml:space="preserve"> (SA)</w:t>
      </w:r>
      <w:r w:rsidRPr="00CF31E0">
        <w:rPr>
          <w:lang w:eastAsia="zh-CN"/>
        </w:rPr>
        <w:t xml:space="preserve">, in the Hijaz region in particular. On the other hand, only 62 participants were born outside the Hijaz region, although they are originally Hijazi, either </w:t>
      </w:r>
      <w:r w:rsidR="00FF4DC7" w:rsidRPr="00CF31E0">
        <w:rPr>
          <w:lang w:eastAsia="zh-CN"/>
        </w:rPr>
        <w:t>UBH</w:t>
      </w:r>
      <w:r w:rsidRPr="00CF31E0">
        <w:rPr>
          <w:lang w:eastAsia="zh-CN"/>
        </w:rPr>
        <w:t xml:space="preserve"> Hijazi or </w:t>
      </w:r>
      <w:r w:rsidR="00FF4DC7" w:rsidRPr="00CF31E0">
        <w:rPr>
          <w:lang w:eastAsia="zh-CN"/>
        </w:rPr>
        <w:t>HH</w:t>
      </w:r>
      <w:r w:rsidRPr="00CF31E0">
        <w:rPr>
          <w:lang w:eastAsia="zh-CN"/>
        </w:rPr>
        <w:t xml:space="preserve"> Hijazi. </w:t>
      </w:r>
    </w:p>
    <w:p w14:paraId="3F128108" w14:textId="5D003EAB" w:rsidR="00DD47E4" w:rsidRPr="00CF31E0" w:rsidRDefault="00B97E48" w:rsidP="00603CB7">
      <w:pPr>
        <w:pStyle w:val="Ahead"/>
        <w:spacing w:after="400"/>
        <w:rPr>
          <w:rFonts w:eastAsia="Times New Roman"/>
        </w:rPr>
      </w:pPr>
      <w:bookmarkStart w:id="314" w:name="_Toc6472685"/>
      <w:r w:rsidRPr="00CF31E0">
        <w:rPr>
          <w:rFonts w:eastAsia="Times New Roman"/>
        </w:rPr>
        <w:lastRenderedPageBreak/>
        <w:t>6</w:t>
      </w:r>
      <w:r w:rsidR="00230207" w:rsidRPr="00CF31E0">
        <w:rPr>
          <w:rFonts w:eastAsia="Times New Roman"/>
        </w:rPr>
        <w:t>.</w:t>
      </w:r>
      <w:r w:rsidR="004E73D5" w:rsidRPr="00CF31E0">
        <w:rPr>
          <w:rFonts w:eastAsia="Times New Roman"/>
        </w:rPr>
        <w:t>5</w:t>
      </w:r>
      <w:r w:rsidR="00230207" w:rsidRPr="00CF31E0">
        <w:rPr>
          <w:rFonts w:eastAsia="Times New Roman"/>
        </w:rPr>
        <w:t>.</w:t>
      </w:r>
      <w:r w:rsidR="00230207" w:rsidRPr="00CF31E0">
        <w:rPr>
          <w:rFonts w:eastAsia="Times New Roman"/>
        </w:rPr>
        <w:tab/>
      </w:r>
      <w:r w:rsidR="00DD47E4" w:rsidRPr="00CF31E0">
        <w:rPr>
          <w:rFonts w:eastAsia="Times New Roman"/>
        </w:rPr>
        <w:t>Frequency distribution of participants’ place of residence in the last ten years</w:t>
      </w:r>
      <w:bookmarkEnd w:id="314"/>
    </w:p>
    <w:tbl>
      <w:tblPr>
        <w:tblW w:w="4820" w:type="dxa"/>
        <w:tblLayout w:type="fixed"/>
        <w:tblCellMar>
          <w:left w:w="0" w:type="dxa"/>
          <w:right w:w="0" w:type="dxa"/>
        </w:tblCellMar>
        <w:tblLook w:val="04A0" w:firstRow="1" w:lastRow="0" w:firstColumn="1" w:lastColumn="0" w:noHBand="0" w:noVBand="1"/>
      </w:tblPr>
      <w:tblGrid>
        <w:gridCol w:w="3544"/>
        <w:gridCol w:w="1276"/>
      </w:tblGrid>
      <w:tr w:rsidR="00CC714C" w:rsidRPr="00CF31E0" w14:paraId="6BCED92D" w14:textId="77777777" w:rsidTr="004F45D7">
        <w:trPr>
          <w:cantSplit/>
          <w:trHeight w:val="567"/>
        </w:trPr>
        <w:tc>
          <w:tcPr>
            <w:tcW w:w="3544" w:type="dxa"/>
            <w:tcBorders>
              <w:top w:val="single" w:sz="8" w:space="0" w:color="000000"/>
              <w:bottom w:val="single" w:sz="8" w:space="0" w:color="000000"/>
            </w:tcBorders>
            <w:shd w:val="clear" w:color="auto" w:fill="FFFFFF"/>
          </w:tcPr>
          <w:p w14:paraId="73128E19" w14:textId="6B82AC20" w:rsidR="00CC714C" w:rsidRPr="00CF31E0" w:rsidRDefault="00CC714C">
            <w:pPr>
              <w:spacing w:before="120" w:after="120"/>
              <w:rPr>
                <w:rFonts w:asciiTheme="majorBidi" w:hAnsiTheme="majorBidi" w:cstheme="majorBidi"/>
                <w:color w:val="000000" w:themeColor="text1"/>
                <w:sz w:val="22"/>
                <w:szCs w:val="22"/>
              </w:rPr>
            </w:pPr>
            <w:bookmarkStart w:id="315" w:name="_Toc522527399"/>
            <w:bookmarkStart w:id="316" w:name="_Toc522628811"/>
            <w:bookmarkStart w:id="317" w:name="_Toc522628975"/>
            <w:r w:rsidRPr="00CF31E0">
              <w:rPr>
                <w:rFonts w:asciiTheme="majorBidi" w:hAnsiTheme="majorBidi" w:cstheme="majorBidi"/>
                <w:color w:val="000000" w:themeColor="text1"/>
                <w:sz w:val="22"/>
                <w:szCs w:val="22"/>
              </w:rPr>
              <w:t>Places lived in the last ten years</w:t>
            </w:r>
          </w:p>
        </w:tc>
        <w:tc>
          <w:tcPr>
            <w:tcW w:w="1276" w:type="dxa"/>
            <w:tcBorders>
              <w:top w:val="single" w:sz="8" w:space="0" w:color="000000"/>
              <w:bottom w:val="single" w:sz="8" w:space="0" w:color="000000"/>
            </w:tcBorders>
            <w:shd w:val="clear" w:color="auto" w:fill="FFFFFF"/>
          </w:tcPr>
          <w:p w14:paraId="29E25B21" w14:textId="77777777" w:rsidR="00CC714C" w:rsidRPr="00CF31E0" w:rsidRDefault="00CC714C" w:rsidP="004B38E0">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xml:space="preserve">Number </w:t>
            </w:r>
          </w:p>
        </w:tc>
      </w:tr>
      <w:tr w:rsidR="00CC714C" w:rsidRPr="00CF31E0" w14:paraId="105A3D5C" w14:textId="77777777" w:rsidTr="004F45D7">
        <w:trPr>
          <w:cantSplit/>
        </w:trPr>
        <w:tc>
          <w:tcPr>
            <w:tcW w:w="3544" w:type="dxa"/>
            <w:tcBorders>
              <w:top w:val="single" w:sz="8" w:space="0" w:color="000000"/>
            </w:tcBorders>
            <w:shd w:val="clear" w:color="auto" w:fill="FFFFFF"/>
          </w:tcPr>
          <w:p w14:paraId="796E8B88" w14:textId="77777777" w:rsidR="00CC714C" w:rsidRPr="00CF31E0" w:rsidRDefault="00CC714C" w:rsidP="004B38E0">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Inside Hijaz</w:t>
            </w:r>
          </w:p>
        </w:tc>
        <w:tc>
          <w:tcPr>
            <w:tcW w:w="1276" w:type="dxa"/>
            <w:tcBorders>
              <w:top w:val="single" w:sz="8" w:space="0" w:color="000000"/>
            </w:tcBorders>
            <w:shd w:val="clear" w:color="auto" w:fill="FFFFFF"/>
          </w:tcPr>
          <w:p w14:paraId="20EBC7BC" w14:textId="2EB7816F" w:rsidR="00CC714C" w:rsidRPr="00CF31E0" w:rsidRDefault="00CC714C" w:rsidP="004B38E0">
            <w:pPr>
              <w:spacing w:before="120" w:after="120"/>
              <w:rPr>
                <w:rFonts w:asciiTheme="majorBidi" w:hAnsiTheme="majorBidi" w:cstheme="majorBidi"/>
                <w:color w:val="000000" w:themeColor="text1"/>
                <w:sz w:val="22"/>
                <w:szCs w:val="22"/>
              </w:rPr>
            </w:pPr>
            <w:r w:rsidRPr="00CF31E0">
              <w:rPr>
                <w:color w:val="000000" w:themeColor="text1"/>
                <w:sz w:val="22"/>
                <w:szCs w:val="22"/>
              </w:rPr>
              <w:t>638</w:t>
            </w:r>
          </w:p>
        </w:tc>
      </w:tr>
      <w:tr w:rsidR="00CC714C" w:rsidRPr="00CF31E0" w14:paraId="547A73D4" w14:textId="77777777" w:rsidTr="004F45D7">
        <w:trPr>
          <w:cantSplit/>
        </w:trPr>
        <w:tc>
          <w:tcPr>
            <w:tcW w:w="3544" w:type="dxa"/>
            <w:shd w:val="clear" w:color="auto" w:fill="FFFFFF"/>
          </w:tcPr>
          <w:p w14:paraId="70F09F87" w14:textId="77777777" w:rsidR="00CC714C" w:rsidRPr="00CF31E0" w:rsidRDefault="00CC714C" w:rsidP="004B38E0">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Outside Hijaz</w:t>
            </w:r>
          </w:p>
        </w:tc>
        <w:tc>
          <w:tcPr>
            <w:tcW w:w="1276" w:type="dxa"/>
            <w:shd w:val="clear" w:color="auto" w:fill="FFFFFF"/>
          </w:tcPr>
          <w:p w14:paraId="5A24E538" w14:textId="3CECCD25" w:rsidR="00CC714C" w:rsidRPr="00CF31E0" w:rsidRDefault="00CC714C" w:rsidP="004B38E0">
            <w:pPr>
              <w:spacing w:before="120" w:after="120"/>
              <w:rPr>
                <w:rFonts w:asciiTheme="majorBidi" w:hAnsiTheme="majorBidi" w:cstheme="majorBidi"/>
                <w:color w:val="000000" w:themeColor="text1"/>
                <w:sz w:val="22"/>
                <w:szCs w:val="22"/>
              </w:rPr>
            </w:pPr>
            <w:r w:rsidRPr="00CF31E0">
              <w:rPr>
                <w:color w:val="000000" w:themeColor="text1"/>
                <w:sz w:val="22"/>
                <w:szCs w:val="22"/>
              </w:rPr>
              <w:t xml:space="preserve">   9</w:t>
            </w:r>
          </w:p>
        </w:tc>
      </w:tr>
      <w:tr w:rsidR="00CC714C" w:rsidRPr="00CF31E0" w14:paraId="47A68C2A" w14:textId="77777777" w:rsidTr="004F45D7">
        <w:trPr>
          <w:cantSplit/>
        </w:trPr>
        <w:tc>
          <w:tcPr>
            <w:tcW w:w="3544" w:type="dxa"/>
            <w:tcBorders>
              <w:bottom w:val="single" w:sz="8" w:space="0" w:color="auto"/>
            </w:tcBorders>
            <w:shd w:val="clear" w:color="auto" w:fill="FFFFFF"/>
          </w:tcPr>
          <w:p w14:paraId="78BA67BA" w14:textId="77777777" w:rsidR="00CC714C" w:rsidRPr="00CF31E0" w:rsidRDefault="00CC714C" w:rsidP="004B38E0">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Total</w:t>
            </w:r>
          </w:p>
        </w:tc>
        <w:tc>
          <w:tcPr>
            <w:tcW w:w="1276" w:type="dxa"/>
            <w:tcBorders>
              <w:bottom w:val="single" w:sz="8" w:space="0" w:color="auto"/>
            </w:tcBorders>
            <w:shd w:val="clear" w:color="auto" w:fill="FFFFFF"/>
          </w:tcPr>
          <w:p w14:paraId="222A3100" w14:textId="481E60EC" w:rsidR="00CC714C" w:rsidRPr="00CF31E0" w:rsidRDefault="00CC714C" w:rsidP="004B38E0">
            <w:pPr>
              <w:spacing w:before="120" w:after="120"/>
              <w:rPr>
                <w:rFonts w:asciiTheme="majorBidi" w:hAnsiTheme="majorBidi" w:cstheme="majorBidi"/>
                <w:color w:val="000000" w:themeColor="text1"/>
                <w:sz w:val="22"/>
                <w:szCs w:val="22"/>
              </w:rPr>
            </w:pPr>
            <w:r w:rsidRPr="00CF31E0">
              <w:rPr>
                <w:color w:val="000000" w:themeColor="text1"/>
                <w:sz w:val="22"/>
                <w:szCs w:val="22"/>
              </w:rPr>
              <w:t>649</w:t>
            </w:r>
          </w:p>
        </w:tc>
      </w:tr>
    </w:tbl>
    <w:p w14:paraId="63881232" w14:textId="6D7107AD" w:rsidR="00DD47E4" w:rsidRPr="00CF31E0" w:rsidRDefault="00DD47E4" w:rsidP="00730917">
      <w:pPr>
        <w:pStyle w:val="Tablecaption"/>
        <w:rPr>
          <w:lang w:eastAsia="zh-CN"/>
        </w:rPr>
      </w:pPr>
      <w:bookmarkStart w:id="318" w:name="_Toc6473071"/>
      <w:r w:rsidRPr="00CF31E0">
        <w:rPr>
          <w:lang w:eastAsia="zh-CN"/>
        </w:rPr>
        <w:t xml:space="preserve">Table </w:t>
      </w:r>
      <w:r w:rsidR="00B97E48" w:rsidRPr="00CF31E0">
        <w:rPr>
          <w:lang w:eastAsia="zh-CN"/>
        </w:rPr>
        <w:t>6</w:t>
      </w:r>
      <w:r w:rsidR="000D4EF5" w:rsidRPr="00CF31E0">
        <w:rPr>
          <w:lang w:eastAsia="zh-CN"/>
        </w:rPr>
        <w:t>.</w:t>
      </w:r>
      <w:r w:rsidRPr="00CF31E0">
        <w:rPr>
          <w:lang w:eastAsia="zh-CN"/>
        </w:rPr>
        <w:fldChar w:fldCharType="begin"/>
      </w:r>
      <w:r w:rsidRPr="00CF31E0">
        <w:rPr>
          <w:lang w:eastAsia="zh-CN"/>
        </w:rPr>
        <w:instrText xml:space="preserve"> SEQ Table \* ARABIC </w:instrText>
      </w:r>
      <w:r w:rsidRPr="00CF31E0">
        <w:rPr>
          <w:lang w:eastAsia="zh-CN"/>
        </w:rPr>
        <w:fldChar w:fldCharType="separate"/>
      </w:r>
      <w:r w:rsidR="007F2617">
        <w:rPr>
          <w:noProof/>
          <w:lang w:eastAsia="zh-CN"/>
        </w:rPr>
        <w:t>4</w:t>
      </w:r>
      <w:r w:rsidRPr="00CF31E0">
        <w:rPr>
          <w:noProof/>
          <w:lang w:eastAsia="zh-CN"/>
        </w:rPr>
        <w:fldChar w:fldCharType="end"/>
      </w:r>
      <w:r w:rsidR="000D4EF5" w:rsidRPr="00CF31E0">
        <w:rPr>
          <w:lang w:eastAsia="zh-CN"/>
        </w:rPr>
        <w:t>:</w:t>
      </w:r>
      <w:r w:rsidRPr="00CF31E0">
        <w:rPr>
          <w:lang w:eastAsia="zh-CN"/>
        </w:rPr>
        <w:t xml:space="preserve"> </w:t>
      </w:r>
      <w:r w:rsidR="000D4EF5" w:rsidRPr="00CF31E0">
        <w:rPr>
          <w:lang w:eastAsia="zh-CN"/>
        </w:rPr>
        <w:t>N</w:t>
      </w:r>
      <w:r w:rsidRPr="00CF31E0">
        <w:rPr>
          <w:lang w:eastAsia="zh-CN"/>
        </w:rPr>
        <w:t>umber of participants living inside or outside Hijaz in the last ten years.</w:t>
      </w:r>
      <w:bookmarkEnd w:id="315"/>
      <w:bookmarkEnd w:id="316"/>
      <w:bookmarkEnd w:id="317"/>
      <w:bookmarkEnd w:id="318"/>
    </w:p>
    <w:p w14:paraId="5D431708" w14:textId="7A265323" w:rsidR="00D74542" w:rsidRPr="00CF31E0" w:rsidRDefault="00DD47E4">
      <w:pPr>
        <w:pStyle w:val="Paragraph"/>
        <w:rPr>
          <w:lang w:eastAsia="zh-CN"/>
        </w:rPr>
      </w:pPr>
      <w:r w:rsidRPr="00CF31E0">
        <w:rPr>
          <w:lang w:eastAsia="zh-CN"/>
        </w:rPr>
        <w:t xml:space="preserve">As can be seen from </w:t>
      </w:r>
      <w:r w:rsidR="000D4EF5" w:rsidRPr="00CF31E0">
        <w:rPr>
          <w:lang w:eastAsia="zh-CN"/>
        </w:rPr>
        <w:t>T</w:t>
      </w:r>
      <w:r w:rsidRPr="00CF31E0">
        <w:rPr>
          <w:lang w:eastAsia="zh-CN"/>
        </w:rPr>
        <w:t xml:space="preserve">able </w:t>
      </w:r>
      <w:r w:rsidR="00CC714C" w:rsidRPr="00CF31E0">
        <w:rPr>
          <w:lang w:eastAsia="zh-CN"/>
        </w:rPr>
        <w:t>6</w:t>
      </w:r>
      <w:r w:rsidR="000D4EF5" w:rsidRPr="00CF31E0">
        <w:rPr>
          <w:lang w:eastAsia="zh-CN"/>
        </w:rPr>
        <w:t>.4</w:t>
      </w:r>
      <w:r w:rsidRPr="00CF31E0">
        <w:rPr>
          <w:lang w:eastAsia="zh-CN"/>
        </w:rPr>
        <w:t xml:space="preserve">, an overwhelming majority of the population (638 participants) lived in Hijaz for the whole or part of the last ten years, and only nine participants lived outside the Hijaz region in the last ten years. </w:t>
      </w:r>
    </w:p>
    <w:p w14:paraId="37644B87" w14:textId="244064B8" w:rsidR="00D74542" w:rsidRPr="00CF31E0" w:rsidRDefault="00B97E48">
      <w:pPr>
        <w:pStyle w:val="Ahead"/>
        <w:rPr>
          <w:rFonts w:eastAsia="Times New Roman"/>
        </w:rPr>
      </w:pPr>
      <w:bookmarkStart w:id="319" w:name="_Toc6472686"/>
      <w:r w:rsidRPr="00CF31E0">
        <w:rPr>
          <w:rFonts w:eastAsia="Times New Roman"/>
        </w:rPr>
        <w:t>6</w:t>
      </w:r>
      <w:r w:rsidR="00230207" w:rsidRPr="00CF31E0">
        <w:rPr>
          <w:rFonts w:eastAsia="Times New Roman"/>
        </w:rPr>
        <w:t>.</w:t>
      </w:r>
      <w:r w:rsidR="004E73D5" w:rsidRPr="00CF31E0">
        <w:rPr>
          <w:rFonts w:eastAsia="Times New Roman"/>
        </w:rPr>
        <w:t>6</w:t>
      </w:r>
      <w:r w:rsidR="00230207" w:rsidRPr="00CF31E0">
        <w:rPr>
          <w:rFonts w:eastAsia="Times New Roman"/>
        </w:rPr>
        <w:t>.</w:t>
      </w:r>
      <w:r w:rsidR="00230207" w:rsidRPr="00CF31E0">
        <w:rPr>
          <w:rFonts w:eastAsia="Times New Roman"/>
        </w:rPr>
        <w:tab/>
      </w:r>
      <w:r w:rsidR="00DD47E4" w:rsidRPr="00CF31E0">
        <w:rPr>
          <w:rFonts w:eastAsia="Times New Roman"/>
        </w:rPr>
        <w:t>Frequency distribution of marital status</w:t>
      </w:r>
      <w:bookmarkEnd w:id="319"/>
    </w:p>
    <w:tbl>
      <w:tblPr>
        <w:tblW w:w="3686" w:type="dxa"/>
        <w:tblLayout w:type="fixed"/>
        <w:tblCellMar>
          <w:left w:w="0" w:type="dxa"/>
          <w:right w:w="0" w:type="dxa"/>
        </w:tblCellMar>
        <w:tblLook w:val="04A0" w:firstRow="1" w:lastRow="0" w:firstColumn="1" w:lastColumn="0" w:noHBand="0" w:noVBand="1"/>
      </w:tblPr>
      <w:tblGrid>
        <w:gridCol w:w="2268"/>
        <w:gridCol w:w="1418"/>
      </w:tblGrid>
      <w:tr w:rsidR="007274F6" w:rsidRPr="00CF31E0" w14:paraId="6F411525" w14:textId="77777777" w:rsidTr="007274F6">
        <w:trPr>
          <w:cantSplit/>
          <w:trHeight w:val="567"/>
        </w:trPr>
        <w:tc>
          <w:tcPr>
            <w:tcW w:w="2268" w:type="dxa"/>
            <w:tcBorders>
              <w:top w:val="single" w:sz="8" w:space="0" w:color="000000"/>
              <w:bottom w:val="single" w:sz="8" w:space="0" w:color="000000"/>
            </w:tcBorders>
            <w:shd w:val="clear" w:color="auto" w:fill="FFFFFF"/>
          </w:tcPr>
          <w:p w14:paraId="48414D4C" w14:textId="72A794B2" w:rsidR="00CC714C" w:rsidRPr="00CF31E0" w:rsidRDefault="00CC714C" w:rsidP="004B38E0">
            <w:pPr>
              <w:spacing w:before="120" w:after="120"/>
              <w:rPr>
                <w:rFonts w:asciiTheme="majorBidi" w:hAnsiTheme="majorBidi" w:cstheme="majorBidi"/>
                <w:color w:val="000000" w:themeColor="text1"/>
                <w:sz w:val="22"/>
                <w:szCs w:val="22"/>
              </w:rPr>
            </w:pPr>
            <w:bookmarkStart w:id="320" w:name="_Toc522527400"/>
            <w:bookmarkStart w:id="321" w:name="_Toc522628812"/>
            <w:bookmarkStart w:id="322" w:name="_Toc522628976"/>
            <w:r w:rsidRPr="00CF31E0">
              <w:rPr>
                <w:rFonts w:asciiTheme="majorBidi" w:hAnsiTheme="majorBidi" w:cstheme="majorBidi"/>
                <w:color w:val="000000" w:themeColor="text1"/>
                <w:sz w:val="22"/>
                <w:szCs w:val="22"/>
              </w:rPr>
              <w:t>Marital status</w:t>
            </w:r>
          </w:p>
        </w:tc>
        <w:tc>
          <w:tcPr>
            <w:tcW w:w="1418" w:type="dxa"/>
            <w:tcBorders>
              <w:top w:val="single" w:sz="8" w:space="0" w:color="000000"/>
              <w:bottom w:val="single" w:sz="8" w:space="0" w:color="000000"/>
            </w:tcBorders>
            <w:shd w:val="clear" w:color="auto" w:fill="FFFFFF"/>
          </w:tcPr>
          <w:p w14:paraId="0C3F30D5" w14:textId="77777777" w:rsidR="00CC714C" w:rsidRPr="00CF31E0" w:rsidRDefault="00CC714C" w:rsidP="004B38E0">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xml:space="preserve">Number </w:t>
            </w:r>
          </w:p>
        </w:tc>
      </w:tr>
      <w:tr w:rsidR="007274F6" w:rsidRPr="00CF31E0" w14:paraId="6D98EEE8" w14:textId="77777777" w:rsidTr="007274F6">
        <w:trPr>
          <w:cantSplit/>
        </w:trPr>
        <w:tc>
          <w:tcPr>
            <w:tcW w:w="2268" w:type="dxa"/>
            <w:tcBorders>
              <w:top w:val="single" w:sz="8" w:space="0" w:color="000000"/>
            </w:tcBorders>
            <w:shd w:val="clear" w:color="auto" w:fill="FFFFFF"/>
          </w:tcPr>
          <w:p w14:paraId="2ED52E5E" w14:textId="2C922390" w:rsidR="00CC714C" w:rsidRPr="00CF31E0" w:rsidRDefault="00CC714C" w:rsidP="004B38E0">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Married</w:t>
            </w:r>
          </w:p>
        </w:tc>
        <w:tc>
          <w:tcPr>
            <w:tcW w:w="1418" w:type="dxa"/>
            <w:tcBorders>
              <w:top w:val="single" w:sz="8" w:space="0" w:color="000000"/>
            </w:tcBorders>
            <w:shd w:val="clear" w:color="auto" w:fill="FFFFFF"/>
          </w:tcPr>
          <w:p w14:paraId="4360A4A4" w14:textId="4CBC1265" w:rsidR="00CC714C" w:rsidRPr="00CF31E0" w:rsidRDefault="00CC714C" w:rsidP="004B38E0">
            <w:pPr>
              <w:spacing w:before="120" w:after="120"/>
              <w:rPr>
                <w:rFonts w:asciiTheme="majorBidi" w:hAnsiTheme="majorBidi" w:cstheme="majorBidi"/>
                <w:color w:val="000000" w:themeColor="text1"/>
                <w:sz w:val="22"/>
                <w:szCs w:val="22"/>
              </w:rPr>
            </w:pPr>
            <w:r w:rsidRPr="00CF31E0">
              <w:rPr>
                <w:color w:val="000000" w:themeColor="text1"/>
                <w:sz w:val="22"/>
                <w:szCs w:val="22"/>
              </w:rPr>
              <w:t>472</w:t>
            </w:r>
          </w:p>
        </w:tc>
      </w:tr>
      <w:tr w:rsidR="007274F6" w:rsidRPr="00CF31E0" w14:paraId="03D8587B" w14:textId="77777777" w:rsidTr="007274F6">
        <w:trPr>
          <w:cantSplit/>
        </w:trPr>
        <w:tc>
          <w:tcPr>
            <w:tcW w:w="2268" w:type="dxa"/>
            <w:shd w:val="clear" w:color="auto" w:fill="FFFFFF"/>
          </w:tcPr>
          <w:p w14:paraId="1F12377D" w14:textId="07490ED7" w:rsidR="00CC714C" w:rsidRPr="00CF31E0" w:rsidRDefault="00CC714C" w:rsidP="004B38E0">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Single</w:t>
            </w:r>
          </w:p>
        </w:tc>
        <w:tc>
          <w:tcPr>
            <w:tcW w:w="1418" w:type="dxa"/>
            <w:shd w:val="clear" w:color="auto" w:fill="FFFFFF"/>
          </w:tcPr>
          <w:p w14:paraId="18E77DF8" w14:textId="21C4CB4C" w:rsidR="00CC714C" w:rsidRPr="00CF31E0" w:rsidRDefault="00CC714C" w:rsidP="004B38E0">
            <w:pPr>
              <w:spacing w:before="120" w:after="120"/>
              <w:rPr>
                <w:rFonts w:asciiTheme="majorBidi" w:hAnsiTheme="majorBidi" w:cstheme="majorBidi"/>
                <w:color w:val="000000" w:themeColor="text1"/>
                <w:sz w:val="22"/>
                <w:szCs w:val="22"/>
              </w:rPr>
            </w:pPr>
            <w:r w:rsidRPr="00CF31E0">
              <w:rPr>
                <w:color w:val="000000" w:themeColor="text1"/>
                <w:sz w:val="22"/>
                <w:szCs w:val="22"/>
              </w:rPr>
              <w:t>156</w:t>
            </w:r>
          </w:p>
        </w:tc>
      </w:tr>
      <w:tr w:rsidR="007274F6" w:rsidRPr="00CF31E0" w14:paraId="771D8CE9" w14:textId="77777777" w:rsidTr="004F45D7">
        <w:trPr>
          <w:cantSplit/>
        </w:trPr>
        <w:tc>
          <w:tcPr>
            <w:tcW w:w="2268" w:type="dxa"/>
            <w:shd w:val="clear" w:color="auto" w:fill="FFFFFF"/>
          </w:tcPr>
          <w:p w14:paraId="1DC721CE" w14:textId="7DBE8FF8" w:rsidR="00CC714C" w:rsidRPr="00CF31E0" w:rsidRDefault="00CC714C" w:rsidP="004B38E0">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Divorced</w:t>
            </w:r>
          </w:p>
        </w:tc>
        <w:tc>
          <w:tcPr>
            <w:tcW w:w="1418" w:type="dxa"/>
            <w:shd w:val="clear" w:color="auto" w:fill="FFFFFF"/>
          </w:tcPr>
          <w:p w14:paraId="7B689B5F" w14:textId="4B575C3D" w:rsidR="00CC714C" w:rsidRPr="00CF31E0" w:rsidRDefault="00CC714C" w:rsidP="004B38E0">
            <w:pPr>
              <w:spacing w:before="120" w:after="120"/>
              <w:rPr>
                <w:rFonts w:asciiTheme="majorBidi" w:hAnsiTheme="majorBidi" w:cstheme="majorBidi"/>
                <w:color w:val="000000" w:themeColor="text1"/>
                <w:sz w:val="22"/>
                <w:szCs w:val="22"/>
              </w:rPr>
            </w:pPr>
            <w:r w:rsidRPr="00CF31E0">
              <w:rPr>
                <w:color w:val="000000" w:themeColor="text1"/>
                <w:sz w:val="22"/>
                <w:szCs w:val="22"/>
              </w:rPr>
              <w:t xml:space="preserve"> 16</w:t>
            </w:r>
          </w:p>
        </w:tc>
      </w:tr>
      <w:tr w:rsidR="00CC714C" w:rsidRPr="00CF31E0" w14:paraId="24A82BAB" w14:textId="77777777" w:rsidTr="004F45D7">
        <w:trPr>
          <w:cantSplit/>
        </w:trPr>
        <w:tc>
          <w:tcPr>
            <w:tcW w:w="2268" w:type="dxa"/>
            <w:shd w:val="clear" w:color="auto" w:fill="FFFFFF"/>
          </w:tcPr>
          <w:p w14:paraId="132D9662" w14:textId="11338FD5" w:rsidR="00CC714C" w:rsidRPr="00CF31E0" w:rsidRDefault="00CC714C" w:rsidP="004B38E0">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Widowed</w:t>
            </w:r>
          </w:p>
        </w:tc>
        <w:tc>
          <w:tcPr>
            <w:tcW w:w="1418" w:type="dxa"/>
            <w:shd w:val="clear" w:color="auto" w:fill="FFFFFF"/>
          </w:tcPr>
          <w:p w14:paraId="56EEDD2F" w14:textId="717A6593" w:rsidR="00CC714C" w:rsidRPr="00CF31E0" w:rsidRDefault="00CC714C" w:rsidP="004B38E0">
            <w:pPr>
              <w:spacing w:before="120" w:after="120"/>
              <w:rPr>
                <w:color w:val="000000" w:themeColor="text1"/>
                <w:sz w:val="22"/>
                <w:szCs w:val="22"/>
              </w:rPr>
            </w:pPr>
            <w:r w:rsidRPr="00CF31E0">
              <w:rPr>
                <w:color w:val="000000" w:themeColor="text1"/>
                <w:sz w:val="22"/>
                <w:szCs w:val="22"/>
              </w:rPr>
              <w:t xml:space="preserve">   5</w:t>
            </w:r>
          </w:p>
        </w:tc>
      </w:tr>
      <w:tr w:rsidR="00CC714C" w:rsidRPr="00CF31E0" w14:paraId="71D67771" w14:textId="77777777" w:rsidTr="004F45D7">
        <w:trPr>
          <w:cantSplit/>
        </w:trPr>
        <w:tc>
          <w:tcPr>
            <w:tcW w:w="2268" w:type="dxa"/>
            <w:tcBorders>
              <w:bottom w:val="single" w:sz="8" w:space="0" w:color="auto"/>
            </w:tcBorders>
            <w:shd w:val="clear" w:color="auto" w:fill="FFFFFF"/>
          </w:tcPr>
          <w:p w14:paraId="5E418B16" w14:textId="02218AE4" w:rsidR="00CC714C" w:rsidRPr="00CF31E0" w:rsidRDefault="00CC714C" w:rsidP="004B38E0">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Total</w:t>
            </w:r>
          </w:p>
        </w:tc>
        <w:tc>
          <w:tcPr>
            <w:tcW w:w="1418" w:type="dxa"/>
            <w:tcBorders>
              <w:bottom w:val="single" w:sz="8" w:space="0" w:color="auto"/>
            </w:tcBorders>
            <w:shd w:val="clear" w:color="auto" w:fill="FFFFFF"/>
          </w:tcPr>
          <w:p w14:paraId="1381B3AC" w14:textId="7F97BB4C" w:rsidR="00CC714C" w:rsidRPr="00CF31E0" w:rsidRDefault="00CC714C" w:rsidP="004B38E0">
            <w:pPr>
              <w:spacing w:before="120" w:after="120"/>
              <w:rPr>
                <w:color w:val="000000" w:themeColor="text1"/>
                <w:sz w:val="22"/>
                <w:szCs w:val="22"/>
              </w:rPr>
            </w:pPr>
            <w:r w:rsidRPr="00CF31E0">
              <w:rPr>
                <w:color w:val="000000" w:themeColor="text1"/>
                <w:sz w:val="22"/>
                <w:szCs w:val="22"/>
              </w:rPr>
              <w:t>649</w:t>
            </w:r>
          </w:p>
        </w:tc>
      </w:tr>
    </w:tbl>
    <w:p w14:paraId="31CF66AF" w14:textId="5564BDD6" w:rsidR="00DD47E4" w:rsidRPr="00CF31E0" w:rsidRDefault="00DD47E4" w:rsidP="00730917">
      <w:pPr>
        <w:pStyle w:val="Tablecaption"/>
        <w:rPr>
          <w:lang w:eastAsia="zh-CN"/>
        </w:rPr>
      </w:pPr>
      <w:bookmarkStart w:id="323" w:name="_Toc6473072"/>
      <w:r w:rsidRPr="00CF31E0">
        <w:rPr>
          <w:lang w:eastAsia="zh-CN"/>
        </w:rPr>
        <w:t xml:space="preserve">Table </w:t>
      </w:r>
      <w:r w:rsidR="00B97E48" w:rsidRPr="00CF31E0">
        <w:rPr>
          <w:lang w:eastAsia="zh-CN"/>
        </w:rPr>
        <w:t>6</w:t>
      </w:r>
      <w:r w:rsidR="004F77DA" w:rsidRPr="00CF31E0">
        <w:rPr>
          <w:noProof/>
          <w:lang w:eastAsia="zh-CN"/>
        </w:rPr>
        <w:t>.5</w:t>
      </w:r>
      <w:r w:rsidR="004F77DA" w:rsidRPr="00CF31E0">
        <w:rPr>
          <w:lang w:eastAsia="zh-CN"/>
        </w:rPr>
        <w:t>:</w:t>
      </w:r>
      <w:r w:rsidRPr="00CF31E0">
        <w:rPr>
          <w:lang w:eastAsia="zh-CN"/>
        </w:rPr>
        <w:t xml:space="preserve"> </w:t>
      </w:r>
      <w:r w:rsidR="004F77DA" w:rsidRPr="00CF31E0">
        <w:rPr>
          <w:lang w:eastAsia="zh-CN"/>
        </w:rPr>
        <w:t>N</w:t>
      </w:r>
      <w:r w:rsidRPr="00CF31E0">
        <w:rPr>
          <w:lang w:eastAsia="zh-CN"/>
        </w:rPr>
        <w:t>umber of participants according their marital status.</w:t>
      </w:r>
      <w:bookmarkEnd w:id="320"/>
      <w:bookmarkEnd w:id="321"/>
      <w:bookmarkEnd w:id="322"/>
      <w:bookmarkEnd w:id="323"/>
    </w:p>
    <w:p w14:paraId="7CA31E6A" w14:textId="458B7473" w:rsidR="00DD47E4" w:rsidRPr="00CF31E0" w:rsidRDefault="004F77DA" w:rsidP="00603CB7">
      <w:pPr>
        <w:pStyle w:val="Paragraph"/>
        <w:rPr>
          <w:lang w:eastAsia="zh-CN"/>
        </w:rPr>
      </w:pPr>
      <w:r w:rsidRPr="00CF31E0">
        <w:rPr>
          <w:lang w:eastAsia="zh-CN"/>
        </w:rPr>
        <w:t xml:space="preserve">Table </w:t>
      </w:r>
      <w:r w:rsidR="00B97E48" w:rsidRPr="00CF31E0">
        <w:rPr>
          <w:lang w:eastAsia="zh-CN"/>
        </w:rPr>
        <w:t>6</w:t>
      </w:r>
      <w:r w:rsidRPr="00CF31E0">
        <w:rPr>
          <w:lang w:eastAsia="zh-CN"/>
        </w:rPr>
        <w:t>.5</w:t>
      </w:r>
      <w:r w:rsidR="00DD47E4" w:rsidRPr="00CF31E0">
        <w:rPr>
          <w:lang w:eastAsia="zh-CN"/>
        </w:rPr>
        <w:t xml:space="preserve"> demonstrates that more than half of the population is married, and roughly</w:t>
      </w:r>
      <w:r w:rsidR="00CD28C5" w:rsidRPr="00CF31E0">
        <w:rPr>
          <w:lang w:eastAsia="zh-CN"/>
        </w:rPr>
        <w:t xml:space="preserve"> less than</w:t>
      </w:r>
      <w:r w:rsidR="00DD47E4" w:rsidRPr="00CF31E0">
        <w:rPr>
          <w:lang w:eastAsia="zh-CN"/>
        </w:rPr>
        <w:t xml:space="preserve"> one-third is single. A few participants are divorced and only five participants are widowed. </w:t>
      </w:r>
    </w:p>
    <w:p w14:paraId="73C0CE62" w14:textId="77777777" w:rsidR="00A06672" w:rsidRPr="00CF31E0" w:rsidRDefault="00A06672" w:rsidP="00603CB7">
      <w:pPr>
        <w:pStyle w:val="Paragraph"/>
        <w:rPr>
          <w:lang w:eastAsia="zh-CN"/>
        </w:rPr>
      </w:pPr>
    </w:p>
    <w:p w14:paraId="40BCA5AA" w14:textId="0A6C31D7" w:rsidR="00A06672" w:rsidRPr="00CF31E0" w:rsidRDefault="00B97E48" w:rsidP="00A06672">
      <w:pPr>
        <w:pStyle w:val="Ahead"/>
        <w:rPr>
          <w:rFonts w:eastAsia="Times New Roman"/>
        </w:rPr>
      </w:pPr>
      <w:bookmarkStart w:id="324" w:name="_Toc6472687"/>
      <w:r w:rsidRPr="00CF31E0">
        <w:rPr>
          <w:rFonts w:eastAsia="Times New Roman"/>
        </w:rPr>
        <w:lastRenderedPageBreak/>
        <w:t>6</w:t>
      </w:r>
      <w:r w:rsidR="00230207" w:rsidRPr="00CF31E0">
        <w:rPr>
          <w:rFonts w:eastAsia="Times New Roman"/>
        </w:rPr>
        <w:t>.</w:t>
      </w:r>
      <w:r w:rsidR="004E73D5" w:rsidRPr="00CF31E0">
        <w:rPr>
          <w:rFonts w:eastAsia="Times New Roman"/>
        </w:rPr>
        <w:t>7</w:t>
      </w:r>
      <w:r w:rsidR="00230207" w:rsidRPr="00CF31E0">
        <w:rPr>
          <w:rFonts w:eastAsia="Times New Roman"/>
        </w:rPr>
        <w:t>.</w:t>
      </w:r>
      <w:r w:rsidR="00230207" w:rsidRPr="00CF31E0">
        <w:rPr>
          <w:rFonts w:eastAsia="Times New Roman"/>
        </w:rPr>
        <w:tab/>
      </w:r>
      <w:r w:rsidR="00DD47E4" w:rsidRPr="00CF31E0">
        <w:rPr>
          <w:rFonts w:eastAsia="Times New Roman"/>
        </w:rPr>
        <w:t>Frequency distribution of education level</w:t>
      </w:r>
      <w:bookmarkEnd w:id="324"/>
    </w:p>
    <w:tbl>
      <w:tblPr>
        <w:tblW w:w="3686" w:type="dxa"/>
        <w:tblLayout w:type="fixed"/>
        <w:tblCellMar>
          <w:left w:w="0" w:type="dxa"/>
          <w:right w:w="0" w:type="dxa"/>
        </w:tblCellMar>
        <w:tblLook w:val="04A0" w:firstRow="1" w:lastRow="0" w:firstColumn="1" w:lastColumn="0" w:noHBand="0" w:noVBand="1"/>
      </w:tblPr>
      <w:tblGrid>
        <w:gridCol w:w="2268"/>
        <w:gridCol w:w="1418"/>
      </w:tblGrid>
      <w:tr w:rsidR="007274F6" w:rsidRPr="00CF31E0" w14:paraId="1226080C" w14:textId="77777777" w:rsidTr="004B38E0">
        <w:trPr>
          <w:cantSplit/>
          <w:trHeight w:val="567"/>
        </w:trPr>
        <w:tc>
          <w:tcPr>
            <w:tcW w:w="2268" w:type="dxa"/>
            <w:tcBorders>
              <w:top w:val="single" w:sz="8" w:space="0" w:color="000000"/>
              <w:bottom w:val="single" w:sz="8" w:space="0" w:color="000000"/>
            </w:tcBorders>
            <w:shd w:val="clear" w:color="auto" w:fill="FFFFFF"/>
          </w:tcPr>
          <w:p w14:paraId="2540DCC7" w14:textId="6AE7B862" w:rsidR="007274F6" w:rsidRPr="00CF31E0" w:rsidRDefault="007274F6" w:rsidP="004B38E0">
            <w:pPr>
              <w:spacing w:before="120" w:after="120"/>
              <w:rPr>
                <w:rFonts w:asciiTheme="majorBidi" w:hAnsiTheme="majorBidi" w:cstheme="majorBidi"/>
                <w:color w:val="000000" w:themeColor="text1"/>
                <w:sz w:val="22"/>
                <w:szCs w:val="22"/>
              </w:rPr>
            </w:pPr>
            <w:bookmarkStart w:id="325" w:name="_Toc522527401"/>
            <w:bookmarkStart w:id="326" w:name="_Toc522628813"/>
            <w:bookmarkStart w:id="327" w:name="_Toc522628977"/>
            <w:r w:rsidRPr="00CF31E0">
              <w:rPr>
                <w:rFonts w:asciiTheme="majorBidi" w:hAnsiTheme="majorBidi" w:cstheme="majorBidi"/>
                <w:color w:val="000000" w:themeColor="text1"/>
                <w:sz w:val="22"/>
                <w:szCs w:val="22"/>
              </w:rPr>
              <w:t>Education level</w:t>
            </w:r>
          </w:p>
        </w:tc>
        <w:tc>
          <w:tcPr>
            <w:tcW w:w="1418" w:type="dxa"/>
            <w:tcBorders>
              <w:top w:val="single" w:sz="8" w:space="0" w:color="000000"/>
              <w:bottom w:val="single" w:sz="8" w:space="0" w:color="000000"/>
            </w:tcBorders>
            <w:shd w:val="clear" w:color="auto" w:fill="FFFFFF"/>
          </w:tcPr>
          <w:p w14:paraId="4462821A" w14:textId="77777777" w:rsidR="007274F6" w:rsidRPr="00CF31E0" w:rsidRDefault="007274F6" w:rsidP="004B38E0">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xml:space="preserve">Number </w:t>
            </w:r>
          </w:p>
        </w:tc>
      </w:tr>
      <w:tr w:rsidR="007274F6" w:rsidRPr="00CF31E0" w14:paraId="4890D9F9" w14:textId="77777777" w:rsidTr="004B38E0">
        <w:trPr>
          <w:cantSplit/>
        </w:trPr>
        <w:tc>
          <w:tcPr>
            <w:tcW w:w="2268" w:type="dxa"/>
            <w:tcBorders>
              <w:top w:val="single" w:sz="8" w:space="0" w:color="000000"/>
            </w:tcBorders>
            <w:shd w:val="clear" w:color="auto" w:fill="FFFFFF"/>
          </w:tcPr>
          <w:p w14:paraId="580F7DB7" w14:textId="4F1037CD" w:rsidR="007274F6" w:rsidRPr="00CF31E0" w:rsidRDefault="007274F6" w:rsidP="004B38E0">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Primary</w:t>
            </w:r>
          </w:p>
        </w:tc>
        <w:tc>
          <w:tcPr>
            <w:tcW w:w="1418" w:type="dxa"/>
            <w:tcBorders>
              <w:top w:val="single" w:sz="8" w:space="0" w:color="000000"/>
            </w:tcBorders>
            <w:shd w:val="clear" w:color="auto" w:fill="FFFFFF"/>
          </w:tcPr>
          <w:p w14:paraId="6556A8A6" w14:textId="45D2B2A4" w:rsidR="007274F6" w:rsidRPr="00CF31E0" w:rsidRDefault="007274F6" w:rsidP="004B38E0">
            <w:pPr>
              <w:spacing w:before="120" w:after="120"/>
              <w:rPr>
                <w:rFonts w:asciiTheme="majorBidi" w:hAnsiTheme="majorBidi" w:cstheme="majorBidi"/>
                <w:color w:val="000000" w:themeColor="text1"/>
                <w:sz w:val="22"/>
                <w:szCs w:val="22"/>
              </w:rPr>
            </w:pPr>
            <w:r w:rsidRPr="00CF31E0">
              <w:rPr>
                <w:color w:val="000000" w:themeColor="text1"/>
                <w:sz w:val="22"/>
                <w:szCs w:val="22"/>
              </w:rPr>
              <w:t xml:space="preserve">   1</w:t>
            </w:r>
          </w:p>
        </w:tc>
      </w:tr>
      <w:tr w:rsidR="007274F6" w:rsidRPr="00CF31E0" w14:paraId="31F88EE1" w14:textId="77777777" w:rsidTr="004B38E0">
        <w:trPr>
          <w:cantSplit/>
        </w:trPr>
        <w:tc>
          <w:tcPr>
            <w:tcW w:w="2268" w:type="dxa"/>
            <w:shd w:val="clear" w:color="auto" w:fill="FFFFFF"/>
          </w:tcPr>
          <w:p w14:paraId="7806EDFC" w14:textId="08D8A2AF" w:rsidR="007274F6" w:rsidRPr="00CF31E0" w:rsidRDefault="007274F6" w:rsidP="004B38E0">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Intermediate</w:t>
            </w:r>
          </w:p>
        </w:tc>
        <w:tc>
          <w:tcPr>
            <w:tcW w:w="1418" w:type="dxa"/>
            <w:shd w:val="clear" w:color="auto" w:fill="FFFFFF"/>
          </w:tcPr>
          <w:p w14:paraId="3CE4D628" w14:textId="33B295EF" w:rsidR="007274F6" w:rsidRPr="00CF31E0" w:rsidRDefault="007274F6" w:rsidP="004B38E0">
            <w:pPr>
              <w:spacing w:before="120" w:after="120"/>
              <w:rPr>
                <w:rFonts w:asciiTheme="majorBidi" w:hAnsiTheme="majorBidi" w:cstheme="majorBidi"/>
                <w:color w:val="000000" w:themeColor="text1"/>
                <w:sz w:val="22"/>
                <w:szCs w:val="22"/>
              </w:rPr>
            </w:pPr>
            <w:r w:rsidRPr="00CF31E0">
              <w:rPr>
                <w:color w:val="000000" w:themeColor="text1"/>
                <w:sz w:val="22"/>
                <w:szCs w:val="22"/>
              </w:rPr>
              <w:t xml:space="preserve">   7</w:t>
            </w:r>
          </w:p>
        </w:tc>
      </w:tr>
      <w:tr w:rsidR="007274F6" w:rsidRPr="00CF31E0" w14:paraId="20000F2E" w14:textId="77777777" w:rsidTr="004B38E0">
        <w:trPr>
          <w:cantSplit/>
        </w:trPr>
        <w:tc>
          <w:tcPr>
            <w:tcW w:w="2268" w:type="dxa"/>
            <w:shd w:val="clear" w:color="auto" w:fill="FFFFFF"/>
          </w:tcPr>
          <w:p w14:paraId="278E191E" w14:textId="428DEB23" w:rsidR="007274F6" w:rsidRPr="00CF31E0" w:rsidRDefault="007274F6" w:rsidP="004B38E0">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Secondary</w:t>
            </w:r>
          </w:p>
        </w:tc>
        <w:tc>
          <w:tcPr>
            <w:tcW w:w="1418" w:type="dxa"/>
            <w:shd w:val="clear" w:color="auto" w:fill="FFFFFF"/>
          </w:tcPr>
          <w:p w14:paraId="11666367" w14:textId="78A1C733" w:rsidR="007274F6" w:rsidRPr="00CF31E0" w:rsidRDefault="007274F6" w:rsidP="004B38E0">
            <w:pPr>
              <w:spacing w:before="120" w:after="120"/>
              <w:rPr>
                <w:rFonts w:asciiTheme="majorBidi" w:hAnsiTheme="majorBidi" w:cstheme="majorBidi"/>
                <w:color w:val="000000" w:themeColor="text1"/>
                <w:sz w:val="22"/>
                <w:szCs w:val="22"/>
              </w:rPr>
            </w:pPr>
            <w:r w:rsidRPr="00CF31E0">
              <w:rPr>
                <w:color w:val="000000" w:themeColor="text1"/>
                <w:sz w:val="22"/>
                <w:szCs w:val="22"/>
              </w:rPr>
              <w:t>1</w:t>
            </w:r>
            <w:r w:rsidR="00F66E00">
              <w:rPr>
                <w:color w:val="000000" w:themeColor="text1"/>
                <w:sz w:val="22"/>
                <w:szCs w:val="22"/>
              </w:rPr>
              <w:t>89</w:t>
            </w:r>
          </w:p>
        </w:tc>
      </w:tr>
      <w:tr w:rsidR="007274F6" w:rsidRPr="00CF31E0" w14:paraId="4686D814" w14:textId="77777777" w:rsidTr="004B38E0">
        <w:trPr>
          <w:cantSplit/>
        </w:trPr>
        <w:tc>
          <w:tcPr>
            <w:tcW w:w="2268" w:type="dxa"/>
            <w:shd w:val="clear" w:color="auto" w:fill="FFFFFF"/>
          </w:tcPr>
          <w:p w14:paraId="3D532A5B" w14:textId="0AEAA6B9" w:rsidR="007274F6" w:rsidRPr="00CF31E0" w:rsidRDefault="007274F6" w:rsidP="004B38E0">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Diploma</w:t>
            </w:r>
          </w:p>
        </w:tc>
        <w:tc>
          <w:tcPr>
            <w:tcW w:w="1418" w:type="dxa"/>
            <w:shd w:val="clear" w:color="auto" w:fill="FFFFFF"/>
          </w:tcPr>
          <w:p w14:paraId="3A8CCC4F" w14:textId="28176E58" w:rsidR="007274F6" w:rsidRPr="00CF31E0" w:rsidRDefault="007274F6" w:rsidP="004B38E0">
            <w:pPr>
              <w:spacing w:before="120" w:after="120"/>
              <w:rPr>
                <w:color w:val="000000" w:themeColor="text1"/>
                <w:sz w:val="22"/>
                <w:szCs w:val="22"/>
              </w:rPr>
            </w:pPr>
            <w:r w:rsidRPr="00CF31E0">
              <w:rPr>
                <w:color w:val="000000" w:themeColor="text1"/>
                <w:sz w:val="22"/>
                <w:szCs w:val="22"/>
              </w:rPr>
              <w:t xml:space="preserve">  31</w:t>
            </w:r>
          </w:p>
        </w:tc>
      </w:tr>
      <w:tr w:rsidR="007274F6" w:rsidRPr="00CF31E0" w14:paraId="10414986" w14:textId="77777777" w:rsidTr="004F45D7">
        <w:trPr>
          <w:cantSplit/>
        </w:trPr>
        <w:tc>
          <w:tcPr>
            <w:tcW w:w="2268" w:type="dxa"/>
            <w:shd w:val="clear" w:color="auto" w:fill="FFFFFF"/>
          </w:tcPr>
          <w:p w14:paraId="3E1C47E4" w14:textId="1FC1356D" w:rsidR="007274F6" w:rsidRPr="00CF31E0" w:rsidRDefault="007274F6" w:rsidP="004B38E0">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Bachelor</w:t>
            </w:r>
          </w:p>
        </w:tc>
        <w:tc>
          <w:tcPr>
            <w:tcW w:w="1418" w:type="dxa"/>
            <w:shd w:val="clear" w:color="auto" w:fill="FFFFFF"/>
          </w:tcPr>
          <w:p w14:paraId="5DFEBA63" w14:textId="29C9176A" w:rsidR="007274F6" w:rsidRPr="00CF31E0" w:rsidRDefault="007274F6" w:rsidP="004B38E0">
            <w:pPr>
              <w:spacing w:before="120" w:after="120"/>
              <w:rPr>
                <w:color w:val="000000" w:themeColor="text1"/>
                <w:sz w:val="22"/>
                <w:szCs w:val="22"/>
              </w:rPr>
            </w:pPr>
            <w:r w:rsidRPr="00CF31E0">
              <w:rPr>
                <w:color w:val="000000" w:themeColor="text1"/>
                <w:sz w:val="22"/>
                <w:szCs w:val="22"/>
              </w:rPr>
              <w:t>276</w:t>
            </w:r>
          </w:p>
        </w:tc>
      </w:tr>
      <w:tr w:rsidR="007274F6" w:rsidRPr="00CF31E0" w14:paraId="389D6A35" w14:textId="77777777" w:rsidTr="004F45D7">
        <w:trPr>
          <w:cantSplit/>
        </w:trPr>
        <w:tc>
          <w:tcPr>
            <w:tcW w:w="2268" w:type="dxa"/>
            <w:shd w:val="clear" w:color="auto" w:fill="FFFFFF"/>
          </w:tcPr>
          <w:p w14:paraId="2F38D52A" w14:textId="0A00503E" w:rsidR="007274F6" w:rsidRPr="00CF31E0" w:rsidRDefault="007274F6" w:rsidP="004B38E0">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Master</w:t>
            </w:r>
          </w:p>
        </w:tc>
        <w:tc>
          <w:tcPr>
            <w:tcW w:w="1418" w:type="dxa"/>
            <w:shd w:val="clear" w:color="auto" w:fill="FFFFFF"/>
          </w:tcPr>
          <w:p w14:paraId="32566CEC" w14:textId="22941553" w:rsidR="007274F6" w:rsidRPr="00CF31E0" w:rsidRDefault="007274F6" w:rsidP="004B38E0">
            <w:pPr>
              <w:spacing w:before="120" w:after="120"/>
              <w:rPr>
                <w:color w:val="000000" w:themeColor="text1"/>
                <w:sz w:val="22"/>
                <w:szCs w:val="22"/>
              </w:rPr>
            </w:pPr>
            <w:r w:rsidRPr="00CF31E0">
              <w:rPr>
                <w:color w:val="000000" w:themeColor="text1"/>
                <w:sz w:val="22"/>
                <w:szCs w:val="22"/>
              </w:rPr>
              <w:t>118</w:t>
            </w:r>
          </w:p>
        </w:tc>
      </w:tr>
      <w:tr w:rsidR="007274F6" w:rsidRPr="00CF31E0" w14:paraId="3757EE5F" w14:textId="77777777" w:rsidTr="004B38E0">
        <w:trPr>
          <w:cantSplit/>
        </w:trPr>
        <w:tc>
          <w:tcPr>
            <w:tcW w:w="2268" w:type="dxa"/>
            <w:tcBorders>
              <w:bottom w:val="single" w:sz="8" w:space="0" w:color="auto"/>
            </w:tcBorders>
            <w:shd w:val="clear" w:color="auto" w:fill="FFFFFF"/>
          </w:tcPr>
          <w:p w14:paraId="79B6A595" w14:textId="43607606" w:rsidR="007274F6" w:rsidRPr="00CF31E0" w:rsidRDefault="007274F6" w:rsidP="004B38E0">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PhD</w:t>
            </w:r>
          </w:p>
        </w:tc>
        <w:tc>
          <w:tcPr>
            <w:tcW w:w="1418" w:type="dxa"/>
            <w:tcBorders>
              <w:bottom w:val="single" w:sz="8" w:space="0" w:color="auto"/>
            </w:tcBorders>
            <w:shd w:val="clear" w:color="auto" w:fill="FFFFFF"/>
          </w:tcPr>
          <w:p w14:paraId="6EFB3CC9" w14:textId="2602E67F" w:rsidR="007274F6" w:rsidRPr="00CF31E0" w:rsidRDefault="007274F6" w:rsidP="004B38E0">
            <w:pPr>
              <w:spacing w:before="120" w:after="120"/>
              <w:rPr>
                <w:color w:val="000000" w:themeColor="text1"/>
                <w:sz w:val="22"/>
                <w:szCs w:val="22"/>
              </w:rPr>
            </w:pPr>
            <w:r w:rsidRPr="00CF31E0">
              <w:rPr>
                <w:color w:val="000000" w:themeColor="text1"/>
                <w:sz w:val="22"/>
                <w:szCs w:val="22"/>
              </w:rPr>
              <w:t xml:space="preserve">  27</w:t>
            </w:r>
          </w:p>
        </w:tc>
      </w:tr>
    </w:tbl>
    <w:p w14:paraId="07F44C03" w14:textId="668712C3" w:rsidR="00DD47E4" w:rsidRPr="00CF31E0" w:rsidRDefault="00DD47E4">
      <w:pPr>
        <w:pStyle w:val="Tablecaption"/>
        <w:rPr>
          <w:lang w:eastAsia="zh-CN"/>
        </w:rPr>
      </w:pPr>
      <w:bookmarkStart w:id="328" w:name="_Toc6473073"/>
      <w:r w:rsidRPr="00CF31E0">
        <w:rPr>
          <w:lang w:eastAsia="zh-CN"/>
        </w:rPr>
        <w:t xml:space="preserve">Table </w:t>
      </w:r>
      <w:r w:rsidR="00B97E48" w:rsidRPr="00CF31E0">
        <w:rPr>
          <w:lang w:eastAsia="zh-CN"/>
        </w:rPr>
        <w:t>6</w:t>
      </w:r>
      <w:r w:rsidR="004F77DA" w:rsidRPr="00CF31E0">
        <w:rPr>
          <w:lang w:eastAsia="zh-CN"/>
        </w:rPr>
        <w:t>.</w:t>
      </w:r>
      <w:r w:rsidR="007274F6" w:rsidRPr="00CF31E0">
        <w:rPr>
          <w:lang w:eastAsia="zh-CN"/>
        </w:rPr>
        <w:t>6</w:t>
      </w:r>
      <w:r w:rsidR="004F77DA" w:rsidRPr="00CF31E0">
        <w:rPr>
          <w:lang w:eastAsia="zh-CN"/>
        </w:rPr>
        <w:t>:</w:t>
      </w:r>
      <w:r w:rsidRPr="00CF31E0">
        <w:rPr>
          <w:lang w:eastAsia="zh-CN"/>
        </w:rPr>
        <w:t xml:space="preserve"> </w:t>
      </w:r>
      <w:r w:rsidR="004F77DA" w:rsidRPr="00CF31E0">
        <w:rPr>
          <w:lang w:eastAsia="zh-CN"/>
        </w:rPr>
        <w:t>N</w:t>
      </w:r>
      <w:r w:rsidRPr="00CF31E0">
        <w:rPr>
          <w:lang w:eastAsia="zh-CN"/>
        </w:rPr>
        <w:t>umber of participants according to their education level.</w:t>
      </w:r>
      <w:bookmarkEnd w:id="325"/>
      <w:bookmarkEnd w:id="326"/>
      <w:bookmarkEnd w:id="327"/>
      <w:bookmarkEnd w:id="328"/>
    </w:p>
    <w:p w14:paraId="4214C916" w14:textId="3A9C0E8C" w:rsidR="00DD47E4" w:rsidRPr="00CF31E0" w:rsidRDefault="00DD47E4" w:rsidP="00603CB7">
      <w:pPr>
        <w:pStyle w:val="Paragraph"/>
        <w:rPr>
          <w:lang w:eastAsia="zh-CN"/>
        </w:rPr>
      </w:pPr>
      <w:r w:rsidRPr="00CF31E0">
        <w:rPr>
          <w:lang w:eastAsia="zh-CN"/>
        </w:rPr>
        <w:t xml:space="preserve">As can be seen from </w:t>
      </w:r>
      <w:r w:rsidR="004F77DA" w:rsidRPr="00CF31E0">
        <w:rPr>
          <w:lang w:eastAsia="zh-CN"/>
        </w:rPr>
        <w:t xml:space="preserve">Table </w:t>
      </w:r>
      <w:r w:rsidR="00B97E48" w:rsidRPr="00CF31E0">
        <w:rPr>
          <w:lang w:eastAsia="zh-CN"/>
        </w:rPr>
        <w:t>6</w:t>
      </w:r>
      <w:r w:rsidR="004F77DA" w:rsidRPr="00CF31E0">
        <w:rPr>
          <w:lang w:eastAsia="zh-CN"/>
        </w:rPr>
        <w:t>.</w:t>
      </w:r>
      <w:r w:rsidRPr="00CF31E0">
        <w:rPr>
          <w:lang w:eastAsia="zh-CN"/>
        </w:rPr>
        <w:t>6 above, the majority of the participants are highly educated holding BA, MA, or PhD degrees. 276 of the participants hold BA certificates. 171 participants have secondary school certificates, and most of this particular population are completing their BA degrees, since 150 have been surveyed at university. 118 participants hold MA degrees, while only 31 hold diploma degrees. A small proportion of 27 participants completed their PhD studies. Finally, a very few participants have a low level of educational attainment (intermediate and primary levels), with one participant having only completed primary education and seven participants having an intermediate level of education.</w:t>
      </w:r>
    </w:p>
    <w:p w14:paraId="32731B19" w14:textId="0FE6EC93" w:rsidR="00DD47E4" w:rsidRPr="00CF31E0" w:rsidRDefault="00F55269" w:rsidP="00E87209">
      <w:pPr>
        <w:pStyle w:val="Ahead"/>
        <w:rPr>
          <w:rFonts w:eastAsia="Times New Roman"/>
        </w:rPr>
      </w:pPr>
      <w:bookmarkStart w:id="329" w:name="_Toc6472688"/>
      <w:r w:rsidRPr="00CF31E0">
        <w:rPr>
          <w:rFonts w:eastAsia="Times New Roman"/>
        </w:rPr>
        <w:t>6</w:t>
      </w:r>
      <w:r w:rsidR="004E73D5" w:rsidRPr="00CF31E0">
        <w:rPr>
          <w:rFonts w:eastAsia="Times New Roman"/>
        </w:rPr>
        <w:t>.8.</w:t>
      </w:r>
      <w:r w:rsidR="004E73D5" w:rsidRPr="00CF31E0">
        <w:rPr>
          <w:rFonts w:eastAsia="Times New Roman"/>
        </w:rPr>
        <w:tab/>
        <w:t>Frequency distribution of s</w:t>
      </w:r>
      <w:r w:rsidR="00DD47E4" w:rsidRPr="00CF31E0">
        <w:rPr>
          <w:rFonts w:eastAsia="Times New Roman"/>
        </w:rPr>
        <w:t>ocial group</w:t>
      </w:r>
      <w:bookmarkEnd w:id="329"/>
    </w:p>
    <w:tbl>
      <w:tblPr>
        <w:tblW w:w="3686" w:type="dxa"/>
        <w:tblLayout w:type="fixed"/>
        <w:tblCellMar>
          <w:left w:w="0" w:type="dxa"/>
          <w:right w:w="0" w:type="dxa"/>
        </w:tblCellMar>
        <w:tblLook w:val="04A0" w:firstRow="1" w:lastRow="0" w:firstColumn="1" w:lastColumn="0" w:noHBand="0" w:noVBand="1"/>
      </w:tblPr>
      <w:tblGrid>
        <w:gridCol w:w="2268"/>
        <w:gridCol w:w="1418"/>
      </w:tblGrid>
      <w:tr w:rsidR="006C1E32" w:rsidRPr="00CF31E0" w14:paraId="14672559" w14:textId="77777777" w:rsidTr="00C73201">
        <w:trPr>
          <w:cantSplit/>
          <w:trHeight w:val="567"/>
        </w:trPr>
        <w:tc>
          <w:tcPr>
            <w:tcW w:w="2268" w:type="dxa"/>
            <w:tcBorders>
              <w:top w:val="single" w:sz="8" w:space="0" w:color="000000"/>
              <w:bottom w:val="single" w:sz="8" w:space="0" w:color="000000"/>
            </w:tcBorders>
            <w:shd w:val="clear" w:color="auto" w:fill="FFFFFF"/>
          </w:tcPr>
          <w:p w14:paraId="3AEB856A" w14:textId="56779F44" w:rsidR="006C1E32" w:rsidRPr="00CF31E0" w:rsidRDefault="006C1E32" w:rsidP="00C73201">
            <w:pPr>
              <w:spacing w:before="120" w:after="120"/>
              <w:rPr>
                <w:rFonts w:asciiTheme="majorBidi" w:hAnsiTheme="majorBidi" w:cstheme="majorBidi"/>
                <w:color w:val="000000" w:themeColor="text1"/>
                <w:sz w:val="22"/>
                <w:szCs w:val="22"/>
              </w:rPr>
            </w:pPr>
            <w:bookmarkStart w:id="330" w:name="_Toc522527402"/>
            <w:bookmarkStart w:id="331" w:name="_Toc522628814"/>
            <w:bookmarkStart w:id="332" w:name="_Toc522628978"/>
            <w:r w:rsidRPr="00CF31E0">
              <w:rPr>
                <w:rFonts w:asciiTheme="majorBidi" w:hAnsiTheme="majorBidi" w:cstheme="majorBidi"/>
                <w:color w:val="000000" w:themeColor="text1"/>
                <w:sz w:val="22"/>
                <w:szCs w:val="22"/>
              </w:rPr>
              <w:t>Social group</w:t>
            </w:r>
          </w:p>
        </w:tc>
        <w:tc>
          <w:tcPr>
            <w:tcW w:w="1418" w:type="dxa"/>
            <w:tcBorders>
              <w:top w:val="single" w:sz="8" w:space="0" w:color="000000"/>
              <w:bottom w:val="single" w:sz="8" w:space="0" w:color="000000"/>
            </w:tcBorders>
            <w:shd w:val="clear" w:color="auto" w:fill="FFFFFF"/>
          </w:tcPr>
          <w:p w14:paraId="7869F84A" w14:textId="77777777" w:rsidR="006C1E32" w:rsidRPr="00CF31E0" w:rsidRDefault="006C1E32" w:rsidP="00C73201">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xml:space="preserve">Number </w:t>
            </w:r>
          </w:p>
        </w:tc>
      </w:tr>
      <w:tr w:rsidR="006C1E32" w:rsidRPr="00CF31E0" w14:paraId="71A2068F" w14:textId="77777777" w:rsidTr="00C73201">
        <w:trPr>
          <w:cantSplit/>
        </w:trPr>
        <w:tc>
          <w:tcPr>
            <w:tcW w:w="2268" w:type="dxa"/>
            <w:tcBorders>
              <w:top w:val="single" w:sz="8" w:space="0" w:color="000000"/>
            </w:tcBorders>
            <w:shd w:val="clear" w:color="auto" w:fill="FFFFFF"/>
          </w:tcPr>
          <w:p w14:paraId="5410818D" w14:textId="173633D1" w:rsidR="006C1E32" w:rsidRPr="00CF31E0" w:rsidRDefault="006C1E32" w:rsidP="00C73201">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UBH</w:t>
            </w:r>
          </w:p>
        </w:tc>
        <w:tc>
          <w:tcPr>
            <w:tcW w:w="1418" w:type="dxa"/>
            <w:tcBorders>
              <w:top w:val="single" w:sz="8" w:space="0" w:color="000000"/>
            </w:tcBorders>
            <w:shd w:val="clear" w:color="auto" w:fill="FFFFFF"/>
          </w:tcPr>
          <w:p w14:paraId="1846DD3C" w14:textId="36F5CD4C" w:rsidR="006C1E32" w:rsidRPr="00CF31E0" w:rsidRDefault="006C1E32" w:rsidP="00C73201">
            <w:pPr>
              <w:spacing w:before="120" w:after="120"/>
              <w:rPr>
                <w:rFonts w:asciiTheme="majorBidi" w:hAnsiTheme="majorBidi" w:cstheme="majorBidi"/>
                <w:color w:val="000000" w:themeColor="text1"/>
                <w:sz w:val="22"/>
                <w:szCs w:val="22"/>
              </w:rPr>
            </w:pPr>
            <w:r w:rsidRPr="00CF31E0">
              <w:rPr>
                <w:color w:val="000000" w:themeColor="text1"/>
                <w:sz w:val="22"/>
                <w:szCs w:val="22"/>
              </w:rPr>
              <w:t>323</w:t>
            </w:r>
          </w:p>
        </w:tc>
      </w:tr>
      <w:tr w:rsidR="006C1E32" w:rsidRPr="00CF31E0" w14:paraId="4673304C" w14:textId="77777777" w:rsidTr="004F45D7">
        <w:trPr>
          <w:cantSplit/>
        </w:trPr>
        <w:tc>
          <w:tcPr>
            <w:tcW w:w="2268" w:type="dxa"/>
            <w:shd w:val="clear" w:color="auto" w:fill="FFFFFF"/>
          </w:tcPr>
          <w:p w14:paraId="6FE28BE4" w14:textId="45AC33F5" w:rsidR="006C1E32" w:rsidRPr="00CF31E0" w:rsidRDefault="006C1E32" w:rsidP="00C73201">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HH</w:t>
            </w:r>
          </w:p>
        </w:tc>
        <w:tc>
          <w:tcPr>
            <w:tcW w:w="1418" w:type="dxa"/>
            <w:shd w:val="clear" w:color="auto" w:fill="FFFFFF"/>
          </w:tcPr>
          <w:p w14:paraId="611D91E7" w14:textId="30194FC7" w:rsidR="006C1E32" w:rsidRPr="00CF31E0" w:rsidRDefault="006C1E32" w:rsidP="00C73201">
            <w:pPr>
              <w:spacing w:before="120" w:after="120"/>
              <w:rPr>
                <w:rFonts w:asciiTheme="majorBidi" w:hAnsiTheme="majorBidi" w:cstheme="majorBidi"/>
                <w:color w:val="000000" w:themeColor="text1"/>
                <w:sz w:val="22"/>
                <w:szCs w:val="22"/>
              </w:rPr>
            </w:pPr>
            <w:r w:rsidRPr="00CF31E0">
              <w:rPr>
                <w:color w:val="000000" w:themeColor="text1"/>
                <w:sz w:val="22"/>
                <w:szCs w:val="22"/>
              </w:rPr>
              <w:t>326</w:t>
            </w:r>
          </w:p>
        </w:tc>
      </w:tr>
      <w:tr w:rsidR="006C1E32" w:rsidRPr="00CF31E0" w14:paraId="0AF2C29E" w14:textId="77777777" w:rsidTr="004F45D7">
        <w:trPr>
          <w:cantSplit/>
        </w:trPr>
        <w:tc>
          <w:tcPr>
            <w:tcW w:w="2268" w:type="dxa"/>
            <w:tcBorders>
              <w:bottom w:val="single" w:sz="8" w:space="0" w:color="000000"/>
            </w:tcBorders>
            <w:shd w:val="clear" w:color="auto" w:fill="FFFFFF"/>
          </w:tcPr>
          <w:p w14:paraId="4C10A43B" w14:textId="054A6D3A" w:rsidR="006C1E32" w:rsidRPr="00CF31E0" w:rsidRDefault="006C1E32" w:rsidP="00C73201">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Total</w:t>
            </w:r>
          </w:p>
        </w:tc>
        <w:tc>
          <w:tcPr>
            <w:tcW w:w="1418" w:type="dxa"/>
            <w:tcBorders>
              <w:bottom w:val="single" w:sz="8" w:space="0" w:color="000000"/>
            </w:tcBorders>
            <w:shd w:val="clear" w:color="auto" w:fill="FFFFFF"/>
          </w:tcPr>
          <w:p w14:paraId="3579565B" w14:textId="321090BB" w:rsidR="006C1E32" w:rsidRPr="00CF31E0" w:rsidRDefault="006C1E32" w:rsidP="00C73201">
            <w:pPr>
              <w:spacing w:before="120" w:after="120"/>
              <w:rPr>
                <w:rFonts w:asciiTheme="majorBidi" w:hAnsiTheme="majorBidi" w:cstheme="majorBidi"/>
                <w:color w:val="000000" w:themeColor="text1"/>
                <w:sz w:val="22"/>
                <w:szCs w:val="22"/>
              </w:rPr>
            </w:pPr>
            <w:r w:rsidRPr="00CF31E0">
              <w:rPr>
                <w:color w:val="000000" w:themeColor="text1"/>
                <w:sz w:val="22"/>
                <w:szCs w:val="22"/>
              </w:rPr>
              <w:t>649</w:t>
            </w:r>
          </w:p>
        </w:tc>
      </w:tr>
    </w:tbl>
    <w:p w14:paraId="774AC0AD" w14:textId="4AB2A891" w:rsidR="00DD47E4" w:rsidRPr="00CF31E0" w:rsidRDefault="00DD47E4">
      <w:pPr>
        <w:pStyle w:val="Tablecaption"/>
        <w:rPr>
          <w:lang w:eastAsia="zh-CN"/>
        </w:rPr>
      </w:pPr>
      <w:bookmarkStart w:id="333" w:name="_Toc6473074"/>
      <w:r w:rsidRPr="00CF31E0">
        <w:rPr>
          <w:lang w:eastAsia="zh-CN"/>
        </w:rPr>
        <w:t xml:space="preserve">Table </w:t>
      </w:r>
      <w:r w:rsidR="008D1D09" w:rsidRPr="00CF31E0">
        <w:rPr>
          <w:lang w:eastAsia="zh-CN"/>
        </w:rPr>
        <w:t>6</w:t>
      </w:r>
      <w:r w:rsidR="004F77DA" w:rsidRPr="00CF31E0">
        <w:rPr>
          <w:lang w:eastAsia="zh-CN"/>
        </w:rPr>
        <w:t>.</w:t>
      </w:r>
      <w:r w:rsidR="004B38E0" w:rsidRPr="00CF31E0">
        <w:rPr>
          <w:lang w:eastAsia="zh-CN"/>
        </w:rPr>
        <w:t>7</w:t>
      </w:r>
      <w:r w:rsidR="004F77DA" w:rsidRPr="00CF31E0">
        <w:rPr>
          <w:lang w:eastAsia="zh-CN"/>
        </w:rPr>
        <w:t>:</w:t>
      </w:r>
      <w:r w:rsidRPr="00CF31E0">
        <w:rPr>
          <w:lang w:eastAsia="zh-CN"/>
        </w:rPr>
        <w:t xml:space="preserve"> </w:t>
      </w:r>
      <w:r w:rsidR="004F77DA" w:rsidRPr="00CF31E0">
        <w:rPr>
          <w:lang w:eastAsia="zh-CN"/>
        </w:rPr>
        <w:t>N</w:t>
      </w:r>
      <w:r w:rsidRPr="00CF31E0">
        <w:rPr>
          <w:lang w:eastAsia="zh-CN"/>
        </w:rPr>
        <w:t>umber of participants according to their social groups.</w:t>
      </w:r>
      <w:bookmarkEnd w:id="330"/>
      <w:bookmarkEnd w:id="331"/>
      <w:bookmarkEnd w:id="332"/>
      <w:bookmarkEnd w:id="333"/>
    </w:p>
    <w:p w14:paraId="09CEAD34" w14:textId="2CD651AF" w:rsidR="00DD47E4" w:rsidRPr="00CF31E0" w:rsidRDefault="00DD47E4" w:rsidP="00603CB7">
      <w:pPr>
        <w:pStyle w:val="Paragraph"/>
        <w:rPr>
          <w:lang w:eastAsia="zh-CN"/>
        </w:rPr>
      </w:pPr>
      <w:r w:rsidRPr="00CF31E0">
        <w:rPr>
          <w:lang w:eastAsia="zh-CN"/>
        </w:rPr>
        <w:lastRenderedPageBreak/>
        <w:t xml:space="preserve">Table </w:t>
      </w:r>
      <w:r w:rsidR="00B97E48" w:rsidRPr="00CF31E0">
        <w:rPr>
          <w:lang w:eastAsia="zh-CN"/>
        </w:rPr>
        <w:t>6</w:t>
      </w:r>
      <w:r w:rsidR="004F77DA" w:rsidRPr="00CF31E0">
        <w:rPr>
          <w:lang w:eastAsia="zh-CN"/>
        </w:rPr>
        <w:t xml:space="preserve">.7 </w:t>
      </w:r>
      <w:r w:rsidRPr="00CF31E0">
        <w:rPr>
          <w:lang w:eastAsia="zh-CN"/>
        </w:rPr>
        <w:t xml:space="preserve">shows that almost half of the population is from the </w:t>
      </w:r>
      <w:r w:rsidR="00FF4DC7" w:rsidRPr="00CF31E0">
        <w:rPr>
          <w:lang w:eastAsia="zh-CN"/>
        </w:rPr>
        <w:t>UBH</w:t>
      </w:r>
      <w:r w:rsidRPr="00CF31E0">
        <w:rPr>
          <w:lang w:eastAsia="zh-CN"/>
        </w:rPr>
        <w:t xml:space="preserve"> group (323 participants) and the other half is from the </w:t>
      </w:r>
      <w:r w:rsidR="00FF4DC7" w:rsidRPr="00CF31E0">
        <w:rPr>
          <w:lang w:eastAsia="zh-CN"/>
        </w:rPr>
        <w:t>HH</w:t>
      </w:r>
      <w:r w:rsidRPr="00CF31E0">
        <w:rPr>
          <w:lang w:eastAsia="zh-CN"/>
        </w:rPr>
        <w:t xml:space="preserve"> social group (326 participants). Each social group therefore has an almost equal and significantly large population size in the sample. Although part of the questionnaire was distributed randomly, the overall number of participants from each group is statistically very similar. </w:t>
      </w:r>
    </w:p>
    <w:p w14:paraId="58D75D36" w14:textId="35087E2B" w:rsidR="00DD47E4" w:rsidRPr="00CF31E0" w:rsidRDefault="00B97E48" w:rsidP="00E87209">
      <w:pPr>
        <w:pStyle w:val="Ahead"/>
        <w:rPr>
          <w:rFonts w:eastAsia="Times New Roman"/>
        </w:rPr>
      </w:pPr>
      <w:bookmarkStart w:id="334" w:name="_Toc6472689"/>
      <w:r w:rsidRPr="00CF31E0">
        <w:rPr>
          <w:rFonts w:eastAsia="Times New Roman"/>
        </w:rPr>
        <w:t>6</w:t>
      </w:r>
      <w:r w:rsidR="004E73D5" w:rsidRPr="00CF31E0">
        <w:rPr>
          <w:rFonts w:eastAsia="Times New Roman"/>
        </w:rPr>
        <w:t>.9.</w:t>
      </w:r>
      <w:r w:rsidR="004E73D5" w:rsidRPr="00CF31E0">
        <w:rPr>
          <w:rFonts w:eastAsia="Times New Roman"/>
        </w:rPr>
        <w:tab/>
      </w:r>
      <w:r w:rsidR="00DD47E4" w:rsidRPr="00CF31E0">
        <w:rPr>
          <w:rFonts w:eastAsia="Times New Roman"/>
        </w:rPr>
        <w:t>Frequency distribution of mother’s social group</w:t>
      </w:r>
      <w:bookmarkEnd w:id="334"/>
      <w:r w:rsidR="00DD47E4" w:rsidRPr="00CF31E0">
        <w:rPr>
          <w:rFonts w:eastAsia="Times New Roman"/>
        </w:rPr>
        <w:t xml:space="preserve"> </w:t>
      </w:r>
    </w:p>
    <w:tbl>
      <w:tblPr>
        <w:tblW w:w="3686" w:type="dxa"/>
        <w:tblLayout w:type="fixed"/>
        <w:tblCellMar>
          <w:left w:w="0" w:type="dxa"/>
          <w:right w:w="0" w:type="dxa"/>
        </w:tblCellMar>
        <w:tblLook w:val="04A0" w:firstRow="1" w:lastRow="0" w:firstColumn="1" w:lastColumn="0" w:noHBand="0" w:noVBand="1"/>
      </w:tblPr>
      <w:tblGrid>
        <w:gridCol w:w="2268"/>
        <w:gridCol w:w="1418"/>
      </w:tblGrid>
      <w:tr w:rsidR="00A25DDA" w:rsidRPr="00CF31E0" w14:paraId="0C6BCE0D" w14:textId="77777777" w:rsidTr="00C73201">
        <w:trPr>
          <w:cantSplit/>
          <w:trHeight w:val="567"/>
        </w:trPr>
        <w:tc>
          <w:tcPr>
            <w:tcW w:w="2268" w:type="dxa"/>
            <w:tcBorders>
              <w:top w:val="single" w:sz="8" w:space="0" w:color="000000"/>
              <w:bottom w:val="single" w:sz="8" w:space="0" w:color="000000"/>
            </w:tcBorders>
            <w:shd w:val="clear" w:color="auto" w:fill="FFFFFF"/>
          </w:tcPr>
          <w:p w14:paraId="74977439" w14:textId="59C2C109" w:rsidR="00A25DDA" w:rsidRPr="00CF31E0" w:rsidRDefault="00A25DDA" w:rsidP="00C73201">
            <w:pPr>
              <w:spacing w:before="120" w:after="120"/>
              <w:rPr>
                <w:rFonts w:asciiTheme="majorBidi" w:hAnsiTheme="majorBidi" w:cstheme="majorBidi"/>
                <w:color w:val="000000" w:themeColor="text1"/>
                <w:sz w:val="22"/>
                <w:szCs w:val="22"/>
              </w:rPr>
            </w:pPr>
            <w:bookmarkStart w:id="335" w:name="_Toc522527403"/>
            <w:bookmarkStart w:id="336" w:name="_Toc522628815"/>
            <w:bookmarkStart w:id="337" w:name="_Toc522628979"/>
            <w:r w:rsidRPr="00CF31E0">
              <w:rPr>
                <w:rFonts w:asciiTheme="majorBidi" w:hAnsiTheme="majorBidi" w:cstheme="majorBidi"/>
                <w:color w:val="000000" w:themeColor="text1"/>
                <w:sz w:val="22"/>
                <w:szCs w:val="22"/>
              </w:rPr>
              <w:t>Mother’s social group</w:t>
            </w:r>
          </w:p>
        </w:tc>
        <w:tc>
          <w:tcPr>
            <w:tcW w:w="1418" w:type="dxa"/>
            <w:tcBorders>
              <w:top w:val="single" w:sz="8" w:space="0" w:color="000000"/>
              <w:bottom w:val="single" w:sz="8" w:space="0" w:color="000000"/>
            </w:tcBorders>
            <w:shd w:val="clear" w:color="auto" w:fill="FFFFFF"/>
          </w:tcPr>
          <w:p w14:paraId="7152B161" w14:textId="77777777" w:rsidR="00A25DDA" w:rsidRPr="00CF31E0" w:rsidRDefault="00A25DDA" w:rsidP="00C73201">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xml:space="preserve">Number </w:t>
            </w:r>
          </w:p>
        </w:tc>
      </w:tr>
      <w:tr w:rsidR="00A25DDA" w:rsidRPr="00CF31E0" w14:paraId="5BD706FD" w14:textId="77777777" w:rsidTr="00C73201">
        <w:trPr>
          <w:cantSplit/>
        </w:trPr>
        <w:tc>
          <w:tcPr>
            <w:tcW w:w="2268" w:type="dxa"/>
            <w:tcBorders>
              <w:top w:val="single" w:sz="8" w:space="0" w:color="000000"/>
            </w:tcBorders>
            <w:shd w:val="clear" w:color="auto" w:fill="FFFFFF"/>
          </w:tcPr>
          <w:p w14:paraId="1ECC8D49" w14:textId="77777777" w:rsidR="00A25DDA" w:rsidRPr="00CF31E0" w:rsidRDefault="00A25DDA" w:rsidP="00C73201">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UBH</w:t>
            </w:r>
          </w:p>
        </w:tc>
        <w:tc>
          <w:tcPr>
            <w:tcW w:w="1418" w:type="dxa"/>
            <w:tcBorders>
              <w:top w:val="single" w:sz="8" w:space="0" w:color="000000"/>
            </w:tcBorders>
            <w:shd w:val="clear" w:color="auto" w:fill="FFFFFF"/>
          </w:tcPr>
          <w:p w14:paraId="2854E4B7" w14:textId="4F3187B6" w:rsidR="00A25DDA" w:rsidRPr="00CF31E0" w:rsidRDefault="00A25DDA" w:rsidP="00C73201">
            <w:pPr>
              <w:spacing w:before="120" w:after="120"/>
              <w:rPr>
                <w:rFonts w:asciiTheme="majorBidi" w:hAnsiTheme="majorBidi" w:cstheme="majorBidi"/>
                <w:color w:val="000000" w:themeColor="text1"/>
                <w:sz w:val="22"/>
                <w:szCs w:val="22"/>
              </w:rPr>
            </w:pPr>
            <w:r w:rsidRPr="00CF31E0">
              <w:rPr>
                <w:color w:val="000000" w:themeColor="text1"/>
                <w:sz w:val="22"/>
                <w:szCs w:val="22"/>
              </w:rPr>
              <w:t>311</w:t>
            </w:r>
          </w:p>
        </w:tc>
      </w:tr>
      <w:tr w:rsidR="00A25DDA" w:rsidRPr="00CF31E0" w14:paraId="649DFAE3" w14:textId="77777777" w:rsidTr="004F45D7">
        <w:trPr>
          <w:cantSplit/>
        </w:trPr>
        <w:tc>
          <w:tcPr>
            <w:tcW w:w="2268" w:type="dxa"/>
            <w:shd w:val="clear" w:color="auto" w:fill="FFFFFF"/>
          </w:tcPr>
          <w:p w14:paraId="6333EED3" w14:textId="77777777" w:rsidR="00A25DDA" w:rsidRPr="00CF31E0" w:rsidRDefault="00A25DDA" w:rsidP="00C73201">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HH</w:t>
            </w:r>
          </w:p>
        </w:tc>
        <w:tc>
          <w:tcPr>
            <w:tcW w:w="1418" w:type="dxa"/>
            <w:shd w:val="clear" w:color="auto" w:fill="FFFFFF"/>
          </w:tcPr>
          <w:p w14:paraId="5A5E0977" w14:textId="24AB2209" w:rsidR="00A25DDA" w:rsidRPr="00CF31E0" w:rsidRDefault="00A25DDA" w:rsidP="00C73201">
            <w:pPr>
              <w:spacing w:before="120" w:after="120"/>
              <w:rPr>
                <w:rFonts w:asciiTheme="majorBidi" w:hAnsiTheme="majorBidi" w:cstheme="majorBidi"/>
                <w:color w:val="000000" w:themeColor="text1"/>
                <w:sz w:val="22"/>
                <w:szCs w:val="22"/>
              </w:rPr>
            </w:pPr>
            <w:r w:rsidRPr="00CF31E0">
              <w:rPr>
                <w:color w:val="000000" w:themeColor="text1"/>
                <w:sz w:val="22"/>
                <w:szCs w:val="22"/>
              </w:rPr>
              <w:t>316</w:t>
            </w:r>
          </w:p>
        </w:tc>
      </w:tr>
      <w:tr w:rsidR="00A25DDA" w:rsidRPr="00CF31E0" w14:paraId="2F0F6A33" w14:textId="77777777" w:rsidTr="004F45D7">
        <w:trPr>
          <w:cantSplit/>
        </w:trPr>
        <w:tc>
          <w:tcPr>
            <w:tcW w:w="2268" w:type="dxa"/>
            <w:shd w:val="clear" w:color="auto" w:fill="FFFFFF"/>
          </w:tcPr>
          <w:p w14:paraId="289DE823" w14:textId="64D8B4C0" w:rsidR="00A25DDA" w:rsidRPr="00CF31E0" w:rsidRDefault="00A25DDA" w:rsidP="00C73201">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Other</w:t>
            </w:r>
          </w:p>
        </w:tc>
        <w:tc>
          <w:tcPr>
            <w:tcW w:w="1418" w:type="dxa"/>
            <w:shd w:val="clear" w:color="auto" w:fill="FFFFFF"/>
          </w:tcPr>
          <w:p w14:paraId="4CDF56BD" w14:textId="587F0E9D" w:rsidR="00A25DDA" w:rsidRPr="00CF31E0" w:rsidRDefault="00A25DDA" w:rsidP="00C73201">
            <w:pPr>
              <w:spacing w:before="120" w:after="120"/>
              <w:rPr>
                <w:color w:val="000000" w:themeColor="text1"/>
                <w:sz w:val="22"/>
                <w:szCs w:val="22"/>
              </w:rPr>
            </w:pPr>
            <w:r w:rsidRPr="00CF31E0">
              <w:rPr>
                <w:color w:val="000000" w:themeColor="text1"/>
                <w:sz w:val="22"/>
                <w:szCs w:val="22"/>
              </w:rPr>
              <w:t xml:space="preserve">  22</w:t>
            </w:r>
          </w:p>
        </w:tc>
      </w:tr>
      <w:tr w:rsidR="00A25DDA" w:rsidRPr="00CF31E0" w14:paraId="62E79267" w14:textId="77777777" w:rsidTr="004F45D7">
        <w:trPr>
          <w:cantSplit/>
        </w:trPr>
        <w:tc>
          <w:tcPr>
            <w:tcW w:w="2268" w:type="dxa"/>
            <w:tcBorders>
              <w:bottom w:val="single" w:sz="8" w:space="0" w:color="000000"/>
            </w:tcBorders>
            <w:shd w:val="clear" w:color="auto" w:fill="FFFFFF"/>
          </w:tcPr>
          <w:p w14:paraId="1BAEBC72" w14:textId="77777777" w:rsidR="00A25DDA" w:rsidRPr="00CF31E0" w:rsidRDefault="00A25DDA" w:rsidP="00C73201">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Total</w:t>
            </w:r>
          </w:p>
        </w:tc>
        <w:tc>
          <w:tcPr>
            <w:tcW w:w="1418" w:type="dxa"/>
            <w:tcBorders>
              <w:bottom w:val="single" w:sz="8" w:space="0" w:color="000000"/>
            </w:tcBorders>
            <w:shd w:val="clear" w:color="auto" w:fill="FFFFFF"/>
          </w:tcPr>
          <w:p w14:paraId="19801D0F" w14:textId="77777777" w:rsidR="00A25DDA" w:rsidRPr="00CF31E0" w:rsidRDefault="00A25DDA" w:rsidP="00C73201">
            <w:pPr>
              <w:spacing w:before="120" w:after="120"/>
              <w:rPr>
                <w:rFonts w:asciiTheme="majorBidi" w:hAnsiTheme="majorBidi" w:cstheme="majorBidi"/>
                <w:color w:val="000000" w:themeColor="text1"/>
                <w:sz w:val="22"/>
                <w:szCs w:val="22"/>
              </w:rPr>
            </w:pPr>
            <w:r w:rsidRPr="00CF31E0">
              <w:rPr>
                <w:color w:val="000000" w:themeColor="text1"/>
                <w:sz w:val="22"/>
                <w:szCs w:val="22"/>
              </w:rPr>
              <w:t>649</w:t>
            </w:r>
          </w:p>
        </w:tc>
      </w:tr>
    </w:tbl>
    <w:p w14:paraId="5EA00605" w14:textId="7285723C" w:rsidR="00DD47E4" w:rsidRPr="00CF31E0" w:rsidRDefault="00DD47E4">
      <w:pPr>
        <w:pStyle w:val="Tablecaption"/>
        <w:rPr>
          <w:lang w:eastAsia="zh-CN"/>
        </w:rPr>
      </w:pPr>
      <w:bookmarkStart w:id="338" w:name="_Toc6473075"/>
      <w:r w:rsidRPr="00CF31E0">
        <w:rPr>
          <w:lang w:eastAsia="zh-CN"/>
        </w:rPr>
        <w:t xml:space="preserve">Table </w:t>
      </w:r>
      <w:r w:rsidR="00B97E48" w:rsidRPr="00CF31E0">
        <w:rPr>
          <w:lang w:eastAsia="zh-CN"/>
        </w:rPr>
        <w:t>6</w:t>
      </w:r>
      <w:r w:rsidR="004F77DA" w:rsidRPr="00CF31E0">
        <w:rPr>
          <w:lang w:eastAsia="zh-CN"/>
        </w:rPr>
        <w:t>.</w:t>
      </w:r>
      <w:r w:rsidR="00473A7A" w:rsidRPr="00CF31E0">
        <w:rPr>
          <w:lang w:eastAsia="zh-CN"/>
        </w:rPr>
        <w:t>8</w:t>
      </w:r>
      <w:r w:rsidR="004F77DA" w:rsidRPr="00CF31E0">
        <w:rPr>
          <w:lang w:eastAsia="zh-CN"/>
        </w:rPr>
        <w:t>:</w:t>
      </w:r>
      <w:r w:rsidRPr="00CF31E0">
        <w:rPr>
          <w:lang w:eastAsia="zh-CN"/>
        </w:rPr>
        <w:t xml:space="preserve"> </w:t>
      </w:r>
      <w:r w:rsidR="004F77DA" w:rsidRPr="00CF31E0">
        <w:rPr>
          <w:lang w:eastAsia="zh-CN"/>
        </w:rPr>
        <w:t>N</w:t>
      </w:r>
      <w:r w:rsidRPr="00CF31E0">
        <w:rPr>
          <w:lang w:eastAsia="zh-CN"/>
        </w:rPr>
        <w:t>umber of participants according to their mother</w:t>
      </w:r>
      <w:r w:rsidR="004F77DA" w:rsidRPr="00CF31E0">
        <w:rPr>
          <w:lang w:eastAsia="zh-CN"/>
        </w:rPr>
        <w:t>’</w:t>
      </w:r>
      <w:r w:rsidRPr="00CF31E0">
        <w:rPr>
          <w:lang w:eastAsia="zh-CN"/>
        </w:rPr>
        <w:t>s social group</w:t>
      </w:r>
      <w:r w:rsidR="004F77DA" w:rsidRPr="00CF31E0">
        <w:rPr>
          <w:lang w:eastAsia="zh-CN"/>
        </w:rPr>
        <w:t>.</w:t>
      </w:r>
      <w:bookmarkEnd w:id="335"/>
      <w:bookmarkEnd w:id="336"/>
      <w:bookmarkEnd w:id="337"/>
      <w:bookmarkEnd w:id="338"/>
    </w:p>
    <w:p w14:paraId="3C13E8B3" w14:textId="35253962" w:rsidR="00DD47E4" w:rsidRPr="00CF31E0" w:rsidRDefault="004F77DA" w:rsidP="00603CB7">
      <w:pPr>
        <w:pStyle w:val="Paragraph"/>
        <w:rPr>
          <w:lang w:eastAsia="zh-CN"/>
        </w:rPr>
      </w:pPr>
      <w:r w:rsidRPr="00CF31E0">
        <w:rPr>
          <w:lang w:eastAsia="zh-CN"/>
        </w:rPr>
        <w:t xml:space="preserve">Table </w:t>
      </w:r>
      <w:r w:rsidR="00B97E48" w:rsidRPr="00CF31E0">
        <w:rPr>
          <w:lang w:eastAsia="zh-CN"/>
        </w:rPr>
        <w:t>6</w:t>
      </w:r>
      <w:r w:rsidRPr="00CF31E0">
        <w:rPr>
          <w:lang w:eastAsia="zh-CN"/>
        </w:rPr>
        <w:t>.</w:t>
      </w:r>
      <w:r w:rsidR="00DD47E4" w:rsidRPr="00CF31E0">
        <w:rPr>
          <w:lang w:eastAsia="zh-CN"/>
        </w:rPr>
        <w:t xml:space="preserve">8 above illustrates that the population size is roughly the same in the two groups. A total number of 310 participants have mothers from the </w:t>
      </w:r>
      <w:r w:rsidR="00FF4DC7" w:rsidRPr="00CF31E0">
        <w:rPr>
          <w:lang w:eastAsia="zh-CN"/>
        </w:rPr>
        <w:t>UBH</w:t>
      </w:r>
      <w:r w:rsidR="00DD47E4" w:rsidRPr="00CF31E0">
        <w:rPr>
          <w:lang w:eastAsia="zh-CN"/>
        </w:rPr>
        <w:t xml:space="preserve"> group, while 317 participants have mothers from the </w:t>
      </w:r>
      <w:r w:rsidR="00FF4DC7" w:rsidRPr="00CF31E0">
        <w:rPr>
          <w:lang w:eastAsia="zh-CN"/>
        </w:rPr>
        <w:t>HH</w:t>
      </w:r>
      <w:r w:rsidR="00DD47E4" w:rsidRPr="00CF31E0">
        <w:rPr>
          <w:lang w:eastAsia="zh-CN"/>
        </w:rPr>
        <w:t xml:space="preserve"> social group.</w:t>
      </w:r>
    </w:p>
    <w:p w14:paraId="62D2F0AB" w14:textId="70172796" w:rsidR="00DD47E4" w:rsidRPr="00CF31E0" w:rsidRDefault="00B97E48" w:rsidP="00E87209">
      <w:pPr>
        <w:pStyle w:val="Ahead"/>
        <w:rPr>
          <w:rFonts w:eastAsia="Times New Roman"/>
        </w:rPr>
      </w:pPr>
      <w:bookmarkStart w:id="339" w:name="_Toc6472690"/>
      <w:r w:rsidRPr="00CF31E0">
        <w:rPr>
          <w:rFonts w:eastAsia="Times New Roman"/>
        </w:rPr>
        <w:t>6</w:t>
      </w:r>
      <w:r w:rsidR="004E73D5" w:rsidRPr="00CF31E0">
        <w:rPr>
          <w:rFonts w:eastAsia="Times New Roman"/>
        </w:rPr>
        <w:t>.10.</w:t>
      </w:r>
      <w:r w:rsidR="004E73D5" w:rsidRPr="00CF31E0">
        <w:rPr>
          <w:rFonts w:eastAsia="Times New Roman"/>
        </w:rPr>
        <w:tab/>
      </w:r>
      <w:r w:rsidR="00DD47E4" w:rsidRPr="00CF31E0">
        <w:rPr>
          <w:rFonts w:eastAsia="Times New Roman"/>
        </w:rPr>
        <w:t>Frequency distribution of spouse’s social group</w:t>
      </w:r>
      <w:bookmarkEnd w:id="339"/>
    </w:p>
    <w:tbl>
      <w:tblPr>
        <w:tblW w:w="3686" w:type="dxa"/>
        <w:tblLayout w:type="fixed"/>
        <w:tblCellMar>
          <w:left w:w="0" w:type="dxa"/>
          <w:right w:w="0" w:type="dxa"/>
        </w:tblCellMar>
        <w:tblLook w:val="04A0" w:firstRow="1" w:lastRow="0" w:firstColumn="1" w:lastColumn="0" w:noHBand="0" w:noVBand="1"/>
      </w:tblPr>
      <w:tblGrid>
        <w:gridCol w:w="2268"/>
        <w:gridCol w:w="1418"/>
      </w:tblGrid>
      <w:tr w:rsidR="00A25DDA" w:rsidRPr="00CF31E0" w14:paraId="4D4AC1BE" w14:textId="77777777" w:rsidTr="00C73201">
        <w:trPr>
          <w:cantSplit/>
          <w:trHeight w:val="567"/>
        </w:trPr>
        <w:tc>
          <w:tcPr>
            <w:tcW w:w="2268" w:type="dxa"/>
            <w:tcBorders>
              <w:top w:val="single" w:sz="8" w:space="0" w:color="000000"/>
              <w:bottom w:val="single" w:sz="8" w:space="0" w:color="000000"/>
            </w:tcBorders>
            <w:shd w:val="clear" w:color="auto" w:fill="FFFFFF"/>
          </w:tcPr>
          <w:p w14:paraId="2AA722E9" w14:textId="410DA0D0" w:rsidR="00A25DDA" w:rsidRPr="00CF31E0" w:rsidRDefault="00A25DDA" w:rsidP="00C73201">
            <w:pPr>
              <w:spacing w:before="120" w:after="120"/>
              <w:rPr>
                <w:rFonts w:asciiTheme="majorBidi" w:hAnsiTheme="majorBidi" w:cstheme="majorBidi"/>
                <w:color w:val="000000" w:themeColor="text1"/>
                <w:sz w:val="22"/>
                <w:szCs w:val="22"/>
              </w:rPr>
            </w:pPr>
            <w:bookmarkStart w:id="340" w:name="_Toc522527404"/>
            <w:bookmarkStart w:id="341" w:name="_Toc522628816"/>
            <w:bookmarkStart w:id="342" w:name="_Toc522628980"/>
            <w:r w:rsidRPr="00CF31E0">
              <w:rPr>
                <w:rFonts w:asciiTheme="majorBidi" w:hAnsiTheme="majorBidi" w:cstheme="majorBidi"/>
                <w:color w:val="000000" w:themeColor="text1"/>
                <w:sz w:val="22"/>
                <w:szCs w:val="22"/>
              </w:rPr>
              <w:t>Spouse’s social group</w:t>
            </w:r>
          </w:p>
        </w:tc>
        <w:tc>
          <w:tcPr>
            <w:tcW w:w="1418" w:type="dxa"/>
            <w:tcBorders>
              <w:top w:val="single" w:sz="8" w:space="0" w:color="000000"/>
              <w:bottom w:val="single" w:sz="8" w:space="0" w:color="000000"/>
            </w:tcBorders>
            <w:shd w:val="clear" w:color="auto" w:fill="FFFFFF"/>
          </w:tcPr>
          <w:p w14:paraId="68F2FFC3" w14:textId="77777777" w:rsidR="00A25DDA" w:rsidRPr="00CF31E0" w:rsidRDefault="00A25DDA" w:rsidP="00C73201">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xml:space="preserve">Number </w:t>
            </w:r>
          </w:p>
        </w:tc>
      </w:tr>
      <w:tr w:rsidR="00A25DDA" w:rsidRPr="00CF31E0" w14:paraId="2FFB28A5" w14:textId="77777777" w:rsidTr="00C73201">
        <w:trPr>
          <w:cantSplit/>
        </w:trPr>
        <w:tc>
          <w:tcPr>
            <w:tcW w:w="2268" w:type="dxa"/>
            <w:tcBorders>
              <w:top w:val="single" w:sz="8" w:space="0" w:color="000000"/>
            </w:tcBorders>
            <w:shd w:val="clear" w:color="auto" w:fill="FFFFFF"/>
          </w:tcPr>
          <w:p w14:paraId="47F77110" w14:textId="77777777" w:rsidR="00A25DDA" w:rsidRPr="00CF31E0" w:rsidRDefault="00A25DDA" w:rsidP="00C73201">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UBH</w:t>
            </w:r>
          </w:p>
        </w:tc>
        <w:tc>
          <w:tcPr>
            <w:tcW w:w="1418" w:type="dxa"/>
            <w:tcBorders>
              <w:top w:val="single" w:sz="8" w:space="0" w:color="000000"/>
            </w:tcBorders>
            <w:shd w:val="clear" w:color="auto" w:fill="FFFFFF"/>
          </w:tcPr>
          <w:p w14:paraId="7AB940E2" w14:textId="587FEA6B" w:rsidR="00A25DDA" w:rsidRPr="00CF31E0" w:rsidRDefault="00A25DDA" w:rsidP="00C73201">
            <w:pPr>
              <w:spacing w:before="120" w:after="120"/>
              <w:rPr>
                <w:rFonts w:asciiTheme="majorBidi" w:hAnsiTheme="majorBidi" w:cstheme="majorBidi"/>
                <w:color w:val="000000" w:themeColor="text1"/>
                <w:sz w:val="22"/>
                <w:szCs w:val="22"/>
              </w:rPr>
            </w:pPr>
            <w:r w:rsidRPr="00CF31E0">
              <w:rPr>
                <w:color w:val="000000" w:themeColor="text1"/>
                <w:sz w:val="22"/>
                <w:szCs w:val="22"/>
              </w:rPr>
              <w:t>228</w:t>
            </w:r>
          </w:p>
        </w:tc>
      </w:tr>
      <w:tr w:rsidR="00A25DDA" w:rsidRPr="00CF31E0" w14:paraId="4D7568FF" w14:textId="77777777" w:rsidTr="004F45D7">
        <w:trPr>
          <w:cantSplit/>
        </w:trPr>
        <w:tc>
          <w:tcPr>
            <w:tcW w:w="2268" w:type="dxa"/>
            <w:shd w:val="clear" w:color="auto" w:fill="FFFFFF"/>
          </w:tcPr>
          <w:p w14:paraId="5153163C" w14:textId="77777777" w:rsidR="00A25DDA" w:rsidRPr="00CF31E0" w:rsidRDefault="00A25DDA" w:rsidP="00C73201">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HH</w:t>
            </w:r>
          </w:p>
        </w:tc>
        <w:tc>
          <w:tcPr>
            <w:tcW w:w="1418" w:type="dxa"/>
            <w:shd w:val="clear" w:color="auto" w:fill="FFFFFF"/>
          </w:tcPr>
          <w:p w14:paraId="7B88E2E5" w14:textId="40F58532" w:rsidR="00A25DDA" w:rsidRPr="00CF31E0" w:rsidRDefault="00A25DDA" w:rsidP="00C73201">
            <w:pPr>
              <w:spacing w:before="120" w:after="120"/>
              <w:rPr>
                <w:rFonts w:asciiTheme="majorBidi" w:hAnsiTheme="majorBidi" w:cstheme="majorBidi"/>
                <w:color w:val="000000" w:themeColor="text1"/>
                <w:sz w:val="22"/>
                <w:szCs w:val="22"/>
              </w:rPr>
            </w:pPr>
            <w:r w:rsidRPr="00CF31E0">
              <w:rPr>
                <w:color w:val="000000" w:themeColor="text1"/>
                <w:sz w:val="22"/>
                <w:szCs w:val="22"/>
              </w:rPr>
              <w:t>244</w:t>
            </w:r>
          </w:p>
        </w:tc>
      </w:tr>
      <w:tr w:rsidR="00A25DDA" w:rsidRPr="00CF31E0" w14:paraId="5A5A9FF9" w14:textId="77777777" w:rsidTr="004F45D7">
        <w:trPr>
          <w:cantSplit/>
        </w:trPr>
        <w:tc>
          <w:tcPr>
            <w:tcW w:w="2268" w:type="dxa"/>
            <w:shd w:val="clear" w:color="auto" w:fill="FFFFFF"/>
          </w:tcPr>
          <w:p w14:paraId="2C49D794" w14:textId="1F0F240B" w:rsidR="00A25DDA" w:rsidRPr="00CF31E0" w:rsidRDefault="00A25DDA" w:rsidP="00C73201">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Single</w:t>
            </w:r>
          </w:p>
        </w:tc>
        <w:tc>
          <w:tcPr>
            <w:tcW w:w="1418" w:type="dxa"/>
            <w:shd w:val="clear" w:color="auto" w:fill="FFFFFF"/>
          </w:tcPr>
          <w:p w14:paraId="27E0138C" w14:textId="72A5DD7E" w:rsidR="00A25DDA" w:rsidRPr="00CF31E0" w:rsidRDefault="00A25DDA" w:rsidP="00C73201">
            <w:pPr>
              <w:spacing w:before="120" w:after="120"/>
              <w:rPr>
                <w:color w:val="000000" w:themeColor="text1"/>
                <w:sz w:val="22"/>
                <w:szCs w:val="22"/>
              </w:rPr>
            </w:pPr>
            <w:r w:rsidRPr="00CF31E0">
              <w:rPr>
                <w:color w:val="000000" w:themeColor="text1"/>
                <w:sz w:val="22"/>
                <w:szCs w:val="22"/>
              </w:rPr>
              <w:t>156</w:t>
            </w:r>
          </w:p>
        </w:tc>
      </w:tr>
      <w:tr w:rsidR="00A25DDA" w:rsidRPr="00CF31E0" w14:paraId="50D3D312" w14:textId="77777777" w:rsidTr="004F45D7">
        <w:trPr>
          <w:cantSplit/>
        </w:trPr>
        <w:tc>
          <w:tcPr>
            <w:tcW w:w="2268" w:type="dxa"/>
            <w:shd w:val="clear" w:color="auto" w:fill="FFFFFF"/>
          </w:tcPr>
          <w:p w14:paraId="61B8038C" w14:textId="77557938" w:rsidR="00A25DDA" w:rsidRPr="00CF31E0" w:rsidRDefault="00A25DDA" w:rsidP="00C73201">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Widowed</w:t>
            </w:r>
          </w:p>
        </w:tc>
        <w:tc>
          <w:tcPr>
            <w:tcW w:w="1418" w:type="dxa"/>
            <w:shd w:val="clear" w:color="auto" w:fill="FFFFFF"/>
          </w:tcPr>
          <w:p w14:paraId="6B6D07DE" w14:textId="0C48ADBB" w:rsidR="00A25DDA" w:rsidRPr="00CF31E0" w:rsidRDefault="00A25DDA" w:rsidP="00C73201">
            <w:pPr>
              <w:spacing w:before="120" w:after="120"/>
              <w:rPr>
                <w:rFonts w:asciiTheme="majorBidi" w:hAnsiTheme="majorBidi" w:cstheme="majorBidi"/>
                <w:color w:val="000000" w:themeColor="text1"/>
                <w:sz w:val="22"/>
                <w:szCs w:val="22"/>
              </w:rPr>
            </w:pPr>
            <w:r w:rsidRPr="00CF31E0">
              <w:rPr>
                <w:color w:val="000000" w:themeColor="text1"/>
                <w:sz w:val="22"/>
                <w:szCs w:val="22"/>
              </w:rPr>
              <w:t xml:space="preserve">   5</w:t>
            </w:r>
          </w:p>
        </w:tc>
      </w:tr>
      <w:tr w:rsidR="00A25DDA" w:rsidRPr="00CF31E0" w14:paraId="2DD6ADE4" w14:textId="77777777" w:rsidTr="00A25DDA">
        <w:trPr>
          <w:cantSplit/>
        </w:trPr>
        <w:tc>
          <w:tcPr>
            <w:tcW w:w="2268" w:type="dxa"/>
            <w:shd w:val="clear" w:color="auto" w:fill="FFFFFF"/>
          </w:tcPr>
          <w:p w14:paraId="22F63F74" w14:textId="40CCD276" w:rsidR="00A25DDA" w:rsidRPr="00CF31E0" w:rsidRDefault="00A25DDA" w:rsidP="00C73201">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Divorced</w:t>
            </w:r>
          </w:p>
        </w:tc>
        <w:tc>
          <w:tcPr>
            <w:tcW w:w="1418" w:type="dxa"/>
            <w:shd w:val="clear" w:color="auto" w:fill="FFFFFF"/>
          </w:tcPr>
          <w:p w14:paraId="5BECFDEF" w14:textId="5B3D85E5" w:rsidR="00A25DDA" w:rsidRPr="00CF31E0" w:rsidRDefault="00A25DDA" w:rsidP="00C73201">
            <w:pPr>
              <w:spacing w:before="120" w:after="120"/>
              <w:rPr>
                <w:color w:val="000000" w:themeColor="text1"/>
                <w:sz w:val="22"/>
                <w:szCs w:val="22"/>
              </w:rPr>
            </w:pPr>
            <w:r w:rsidRPr="00CF31E0">
              <w:rPr>
                <w:color w:val="000000" w:themeColor="text1"/>
                <w:sz w:val="22"/>
                <w:szCs w:val="22"/>
              </w:rPr>
              <w:t xml:space="preserve">  16</w:t>
            </w:r>
          </w:p>
        </w:tc>
      </w:tr>
      <w:tr w:rsidR="00A25DDA" w:rsidRPr="00CF31E0" w14:paraId="41540276" w14:textId="77777777" w:rsidTr="00C73201">
        <w:trPr>
          <w:cantSplit/>
        </w:trPr>
        <w:tc>
          <w:tcPr>
            <w:tcW w:w="2268" w:type="dxa"/>
            <w:tcBorders>
              <w:bottom w:val="single" w:sz="8" w:space="0" w:color="000000"/>
            </w:tcBorders>
            <w:shd w:val="clear" w:color="auto" w:fill="FFFFFF"/>
          </w:tcPr>
          <w:p w14:paraId="230BE417" w14:textId="3024A6A8" w:rsidR="00A25DDA" w:rsidRPr="00CF31E0" w:rsidRDefault="00A25DDA" w:rsidP="00C73201">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Total</w:t>
            </w:r>
          </w:p>
        </w:tc>
        <w:tc>
          <w:tcPr>
            <w:tcW w:w="1418" w:type="dxa"/>
            <w:tcBorders>
              <w:bottom w:val="single" w:sz="8" w:space="0" w:color="000000"/>
            </w:tcBorders>
            <w:shd w:val="clear" w:color="auto" w:fill="FFFFFF"/>
          </w:tcPr>
          <w:p w14:paraId="1A3A1568" w14:textId="62468D69" w:rsidR="00A25DDA" w:rsidRPr="00CF31E0" w:rsidRDefault="00A25DDA" w:rsidP="00C73201">
            <w:pPr>
              <w:spacing w:before="120" w:after="120"/>
              <w:rPr>
                <w:color w:val="000000" w:themeColor="text1"/>
                <w:sz w:val="22"/>
                <w:szCs w:val="22"/>
              </w:rPr>
            </w:pPr>
            <w:r w:rsidRPr="00CF31E0">
              <w:rPr>
                <w:color w:val="000000" w:themeColor="text1"/>
                <w:sz w:val="22"/>
                <w:szCs w:val="22"/>
              </w:rPr>
              <w:t>649</w:t>
            </w:r>
          </w:p>
        </w:tc>
      </w:tr>
    </w:tbl>
    <w:p w14:paraId="25834523" w14:textId="6974F94A" w:rsidR="00DD47E4" w:rsidRPr="00CF31E0" w:rsidRDefault="00DD47E4">
      <w:pPr>
        <w:pStyle w:val="Tablecaption"/>
        <w:rPr>
          <w:lang w:eastAsia="zh-CN"/>
        </w:rPr>
      </w:pPr>
      <w:bookmarkStart w:id="343" w:name="_Toc6473076"/>
      <w:r w:rsidRPr="00CF31E0">
        <w:rPr>
          <w:lang w:eastAsia="zh-CN"/>
        </w:rPr>
        <w:t xml:space="preserve">Table </w:t>
      </w:r>
      <w:r w:rsidR="00B97E48" w:rsidRPr="00CF31E0">
        <w:rPr>
          <w:lang w:eastAsia="zh-CN"/>
        </w:rPr>
        <w:t>6</w:t>
      </w:r>
      <w:r w:rsidR="00C05171" w:rsidRPr="00CF31E0">
        <w:rPr>
          <w:lang w:eastAsia="zh-CN"/>
        </w:rPr>
        <w:t>.</w:t>
      </w:r>
      <w:r w:rsidR="00880C34" w:rsidRPr="00CF31E0">
        <w:rPr>
          <w:lang w:eastAsia="zh-CN"/>
        </w:rPr>
        <w:t>9</w:t>
      </w:r>
      <w:r w:rsidR="00C05171" w:rsidRPr="00CF31E0">
        <w:rPr>
          <w:lang w:eastAsia="zh-CN"/>
        </w:rPr>
        <w:t>:</w:t>
      </w:r>
      <w:r w:rsidRPr="00CF31E0">
        <w:rPr>
          <w:lang w:eastAsia="zh-CN"/>
        </w:rPr>
        <w:t xml:space="preserve"> </w:t>
      </w:r>
      <w:r w:rsidR="00C05171" w:rsidRPr="00CF31E0">
        <w:rPr>
          <w:lang w:eastAsia="zh-CN"/>
        </w:rPr>
        <w:t>N</w:t>
      </w:r>
      <w:r w:rsidRPr="00CF31E0">
        <w:rPr>
          <w:lang w:eastAsia="zh-CN"/>
        </w:rPr>
        <w:t>umber of participants according to their spouse</w:t>
      </w:r>
      <w:r w:rsidR="00C05171" w:rsidRPr="00CF31E0">
        <w:rPr>
          <w:lang w:eastAsia="zh-CN"/>
        </w:rPr>
        <w:t>’</w:t>
      </w:r>
      <w:r w:rsidRPr="00CF31E0">
        <w:rPr>
          <w:lang w:eastAsia="zh-CN"/>
        </w:rPr>
        <w:t>s social group.</w:t>
      </w:r>
      <w:bookmarkEnd w:id="340"/>
      <w:bookmarkEnd w:id="341"/>
      <w:bookmarkEnd w:id="342"/>
      <w:bookmarkEnd w:id="343"/>
    </w:p>
    <w:p w14:paraId="38000990" w14:textId="63993D20" w:rsidR="00DD47E4" w:rsidRPr="00CF31E0" w:rsidRDefault="00C05171" w:rsidP="00F66E00">
      <w:pPr>
        <w:pStyle w:val="Paragraph"/>
        <w:rPr>
          <w:lang w:eastAsia="zh-CN"/>
        </w:rPr>
      </w:pPr>
      <w:r w:rsidRPr="00CF31E0">
        <w:rPr>
          <w:lang w:eastAsia="zh-CN"/>
        </w:rPr>
        <w:lastRenderedPageBreak/>
        <w:t xml:space="preserve">Table </w:t>
      </w:r>
      <w:r w:rsidR="00B97E48" w:rsidRPr="00CF31E0">
        <w:rPr>
          <w:lang w:eastAsia="zh-CN"/>
        </w:rPr>
        <w:t>6</w:t>
      </w:r>
      <w:r w:rsidRPr="00CF31E0">
        <w:rPr>
          <w:lang w:eastAsia="zh-CN"/>
        </w:rPr>
        <w:t>.</w:t>
      </w:r>
      <w:r w:rsidR="00DD47E4" w:rsidRPr="00CF31E0">
        <w:rPr>
          <w:lang w:eastAsia="zh-CN"/>
        </w:rPr>
        <w:t>9 demonstrates that the total population is roughly the same in each spouse’s social group. A total number of 2</w:t>
      </w:r>
      <w:r w:rsidR="00F66E00">
        <w:rPr>
          <w:lang w:eastAsia="zh-CN"/>
        </w:rPr>
        <w:t>28</w:t>
      </w:r>
      <w:r w:rsidR="00DD47E4" w:rsidRPr="00CF31E0">
        <w:rPr>
          <w:lang w:eastAsia="zh-CN"/>
        </w:rPr>
        <w:t xml:space="preserve"> participants have a spouse from the </w:t>
      </w:r>
      <w:r w:rsidR="00FF4DC7" w:rsidRPr="00CF31E0">
        <w:rPr>
          <w:lang w:eastAsia="zh-CN"/>
        </w:rPr>
        <w:t>UBH</w:t>
      </w:r>
      <w:r w:rsidR="00DD47E4" w:rsidRPr="00CF31E0">
        <w:rPr>
          <w:lang w:eastAsia="zh-CN"/>
        </w:rPr>
        <w:t xml:space="preserve"> social group while 2</w:t>
      </w:r>
      <w:r w:rsidR="00F66E00">
        <w:rPr>
          <w:lang w:eastAsia="zh-CN"/>
        </w:rPr>
        <w:t xml:space="preserve">44 </w:t>
      </w:r>
      <w:r w:rsidR="00DD47E4" w:rsidRPr="00CF31E0">
        <w:rPr>
          <w:lang w:eastAsia="zh-CN"/>
        </w:rPr>
        <w:t xml:space="preserve">participants have a spouse from the </w:t>
      </w:r>
      <w:r w:rsidR="00FF4DC7" w:rsidRPr="00CF31E0">
        <w:rPr>
          <w:lang w:eastAsia="zh-CN"/>
        </w:rPr>
        <w:t>HH</w:t>
      </w:r>
      <w:r w:rsidR="00DD47E4" w:rsidRPr="00CF31E0">
        <w:rPr>
          <w:lang w:eastAsia="zh-CN"/>
        </w:rPr>
        <w:t xml:space="preserve"> social group. I have excluded the single, divorced and widowed participants from the comparison in the figure above, since there is no need to include them in the comparison when they did not give an answer to this particular question (they left it blank). </w:t>
      </w:r>
      <w:r w:rsidR="00F66E00">
        <w:rPr>
          <w:lang w:eastAsia="zh-CN"/>
        </w:rPr>
        <w:t>156</w:t>
      </w:r>
      <w:r w:rsidR="00DD47E4" w:rsidRPr="00CF31E0">
        <w:rPr>
          <w:lang w:eastAsia="zh-CN"/>
        </w:rPr>
        <w:t xml:space="preserve"> participants are single, 16 participants are divorced and 5 participants are widowed. </w:t>
      </w:r>
    </w:p>
    <w:p w14:paraId="747BA0FB" w14:textId="04A40DD7" w:rsidR="00DD47E4" w:rsidRPr="00CF31E0" w:rsidRDefault="00B97E48" w:rsidP="00E87209">
      <w:pPr>
        <w:pStyle w:val="Ahead"/>
        <w:rPr>
          <w:rFonts w:eastAsia="Times New Roman"/>
        </w:rPr>
      </w:pPr>
      <w:bookmarkStart w:id="344" w:name="_Toc502746052"/>
      <w:bookmarkStart w:id="345" w:name="_Toc6472691"/>
      <w:r w:rsidRPr="00CF31E0">
        <w:rPr>
          <w:rFonts w:eastAsia="Times New Roman"/>
        </w:rPr>
        <w:t>6</w:t>
      </w:r>
      <w:r w:rsidR="004E73D5" w:rsidRPr="00CF31E0">
        <w:rPr>
          <w:rFonts w:eastAsia="Times New Roman"/>
        </w:rPr>
        <w:t>.11.</w:t>
      </w:r>
      <w:r w:rsidR="004E73D5" w:rsidRPr="00CF31E0">
        <w:rPr>
          <w:rFonts w:eastAsia="Times New Roman"/>
        </w:rPr>
        <w:tab/>
      </w:r>
      <w:r w:rsidR="00DD47E4" w:rsidRPr="00CF31E0">
        <w:rPr>
          <w:rFonts w:eastAsia="Times New Roman"/>
        </w:rPr>
        <w:t>The administration of the questionnaire</w:t>
      </w:r>
      <w:bookmarkEnd w:id="344"/>
      <w:bookmarkEnd w:id="345"/>
      <w:r w:rsidR="00DD47E4" w:rsidRPr="00CF31E0">
        <w:rPr>
          <w:rFonts w:eastAsia="Times New Roman"/>
        </w:rPr>
        <w:t xml:space="preserve"> </w:t>
      </w:r>
    </w:p>
    <w:p w14:paraId="45DBA03D" w14:textId="04960D2A" w:rsidR="00DD47E4" w:rsidRPr="00CF31E0" w:rsidRDefault="00DD47E4" w:rsidP="00603CB7">
      <w:pPr>
        <w:pStyle w:val="Paragraph"/>
        <w:rPr>
          <w:lang w:eastAsia="zh-CN"/>
        </w:rPr>
      </w:pPr>
      <w:r w:rsidRPr="00CF31E0">
        <w:rPr>
          <w:lang w:eastAsia="zh-CN"/>
        </w:rPr>
        <w:t>The questionnaire was first administered in a group-administered paper-based format followed by an online-based format. The latter format compensated for the limitations I en</w:t>
      </w:r>
      <w:r w:rsidR="003E5F81" w:rsidRPr="00CF31E0">
        <w:rPr>
          <w:lang w:eastAsia="zh-CN"/>
        </w:rPr>
        <w:t>counte</w:t>
      </w:r>
      <w:r w:rsidRPr="00CF31E0">
        <w:rPr>
          <w:lang w:eastAsia="zh-CN"/>
        </w:rPr>
        <w:t xml:space="preserve">red with the paper-based questionnaire. </w:t>
      </w:r>
    </w:p>
    <w:p w14:paraId="159F22F3" w14:textId="24B3924D" w:rsidR="00DD47E4" w:rsidRPr="00CF31E0" w:rsidRDefault="00B97E48" w:rsidP="00E87209">
      <w:pPr>
        <w:pStyle w:val="Bhead"/>
      </w:pPr>
      <w:bookmarkStart w:id="346" w:name="_Toc502746053"/>
      <w:bookmarkStart w:id="347" w:name="_Toc6472692"/>
      <w:r w:rsidRPr="00CF31E0">
        <w:t>6</w:t>
      </w:r>
      <w:r w:rsidR="004E73D5" w:rsidRPr="00CF31E0">
        <w:t>.11.1</w:t>
      </w:r>
      <w:r w:rsidR="00FF76E5" w:rsidRPr="00CF31E0">
        <w:t>.</w:t>
      </w:r>
      <w:r w:rsidR="004E73D5" w:rsidRPr="00CF31E0">
        <w:tab/>
      </w:r>
      <w:r w:rsidR="00DD47E4" w:rsidRPr="00CF31E0">
        <w:t>The group-administered questionnaire</w:t>
      </w:r>
      <w:bookmarkEnd w:id="346"/>
      <w:bookmarkEnd w:id="347"/>
      <w:r w:rsidR="00DD47E4" w:rsidRPr="00CF31E0">
        <w:t xml:space="preserve"> </w:t>
      </w:r>
    </w:p>
    <w:p w14:paraId="150C6F24" w14:textId="350764C9" w:rsidR="00DD47E4" w:rsidRPr="00CF31E0" w:rsidRDefault="00DD47E4" w:rsidP="00603CB7">
      <w:pPr>
        <w:pStyle w:val="Paragraph"/>
        <w:rPr>
          <w:lang w:eastAsia="zh-CN"/>
        </w:rPr>
      </w:pPr>
      <w:r w:rsidRPr="00CF31E0">
        <w:rPr>
          <w:lang w:eastAsia="zh-CN"/>
        </w:rPr>
        <w:t xml:space="preserve">The paper-based format was administered to a group of participants who are female students aged 18 and over from two different locations; at Umm Al-Qura University in </w:t>
      </w:r>
      <w:r w:rsidR="00D30B2F">
        <w:rPr>
          <w:lang w:eastAsia="zh-CN"/>
        </w:rPr>
        <w:t>Makkah</w:t>
      </w:r>
      <w:r w:rsidRPr="00CF31E0">
        <w:rPr>
          <w:lang w:eastAsia="zh-CN"/>
        </w:rPr>
        <w:t xml:space="preserve"> city in S</w:t>
      </w:r>
      <w:r w:rsidR="0015491A" w:rsidRPr="00CF31E0">
        <w:rPr>
          <w:lang w:eastAsia="zh-CN"/>
        </w:rPr>
        <w:t>A</w:t>
      </w:r>
      <w:r w:rsidRPr="00CF31E0">
        <w:rPr>
          <w:lang w:eastAsia="zh-CN"/>
        </w:rPr>
        <w:t xml:space="preserve"> and at the 10</w:t>
      </w:r>
      <w:r w:rsidRPr="00CF31E0">
        <w:rPr>
          <w:vertAlign w:val="superscript"/>
          <w:lang w:eastAsia="zh-CN"/>
        </w:rPr>
        <w:t>th</w:t>
      </w:r>
      <w:r w:rsidRPr="00CF31E0">
        <w:rPr>
          <w:lang w:eastAsia="zh-CN"/>
        </w:rPr>
        <w:t xml:space="preserve"> female secondary school in Jeddah city. Prior to my visit to S</w:t>
      </w:r>
      <w:r w:rsidR="0015491A" w:rsidRPr="00CF31E0">
        <w:rPr>
          <w:lang w:eastAsia="zh-CN"/>
        </w:rPr>
        <w:t>A</w:t>
      </w:r>
      <w:r w:rsidRPr="00CF31E0">
        <w:rPr>
          <w:lang w:eastAsia="zh-CN"/>
        </w:rPr>
        <w:t xml:space="preserve">, the first step was to make appointments with people in charge. I made the following two appointments to attend. The appointments were as follows: </w:t>
      </w:r>
    </w:p>
    <w:p w14:paraId="191067A9" w14:textId="64566909" w:rsidR="00DD47E4" w:rsidRPr="00CF31E0" w:rsidRDefault="00DD47E4" w:rsidP="00603CB7">
      <w:pPr>
        <w:pStyle w:val="Paragraph"/>
        <w:rPr>
          <w:lang w:eastAsia="zh-CN"/>
        </w:rPr>
      </w:pPr>
      <w:r w:rsidRPr="00CF31E0">
        <w:rPr>
          <w:lang w:eastAsia="zh-CN"/>
        </w:rPr>
        <w:t>On 22-03-2016, I met the head of the medicine school at Umm Al-Qura University. I discussed with her the research purpose. She was very helpful, but she said she could</w:t>
      </w:r>
      <w:r w:rsidR="00CB2457" w:rsidRPr="00CF31E0">
        <w:rPr>
          <w:lang w:eastAsia="zh-CN"/>
        </w:rPr>
        <w:t xml:space="preserve"> not</w:t>
      </w:r>
      <w:r w:rsidRPr="00CF31E0">
        <w:rPr>
          <w:lang w:eastAsia="zh-CN"/>
        </w:rPr>
        <w:t xml:space="preserve"> offer me classes until her students finish their mid-term exams, which would be on 31-03-2016. I preferred not to wait because my stay in SA was very short and I had to start collecting my data as soon as possible. </w:t>
      </w:r>
    </w:p>
    <w:p w14:paraId="25657EFC" w14:textId="77777777" w:rsidR="00DD47E4" w:rsidRPr="00CF31E0" w:rsidRDefault="00DD47E4" w:rsidP="00603CB7">
      <w:pPr>
        <w:pStyle w:val="Paragraph"/>
        <w:rPr>
          <w:lang w:eastAsia="zh-CN"/>
        </w:rPr>
      </w:pPr>
      <w:r w:rsidRPr="00CF31E0">
        <w:rPr>
          <w:lang w:eastAsia="zh-CN"/>
        </w:rPr>
        <w:t xml:space="preserve">On 24-03-2016, I met the head of the English language centre at Umm Al-Qura University. In the meeting, we discussed the aims and the purpose of the research. I showed her all the official papers and she was pleased to </w:t>
      </w:r>
      <w:r w:rsidRPr="00CF31E0">
        <w:rPr>
          <w:lang w:eastAsia="zh-CN"/>
        </w:rPr>
        <w:lastRenderedPageBreak/>
        <w:t xml:space="preserve">make appointments for me with her students. She gave me the following classes to attend and to conduct the study: </w:t>
      </w:r>
    </w:p>
    <w:p w14:paraId="41C5530D" w14:textId="77777777" w:rsidR="00DD47E4" w:rsidRPr="00CF31E0" w:rsidRDefault="00DD47E4" w:rsidP="00603CB7">
      <w:pPr>
        <w:pStyle w:val="Paragraph"/>
        <w:rPr>
          <w:lang w:eastAsia="zh-CN"/>
        </w:rPr>
      </w:pPr>
      <w:r w:rsidRPr="00CF31E0">
        <w:rPr>
          <w:lang w:eastAsia="zh-CN"/>
        </w:rPr>
        <w:t xml:space="preserve">On 27-03-2016: general English class (101) held by one of the lecturers of the English language centre delivered to students from the information technology department. </w:t>
      </w:r>
    </w:p>
    <w:p w14:paraId="4A0FFAD4" w14:textId="77777777" w:rsidR="00DD47E4" w:rsidRPr="00CF31E0" w:rsidRDefault="00DD47E4" w:rsidP="00603CB7">
      <w:pPr>
        <w:pStyle w:val="Paragraph"/>
        <w:rPr>
          <w:lang w:eastAsia="zh-CN"/>
        </w:rPr>
      </w:pPr>
      <w:r w:rsidRPr="00CF31E0">
        <w:rPr>
          <w:lang w:eastAsia="zh-CN"/>
        </w:rPr>
        <w:t>On 28-03-2016: general English class (101) held by one of the lecturers of the English language centre and given to students from the physics department.</w:t>
      </w:r>
    </w:p>
    <w:p w14:paraId="62168070" w14:textId="77777777" w:rsidR="00DD47E4" w:rsidRPr="00CF31E0" w:rsidRDefault="00DD47E4" w:rsidP="00603CB7">
      <w:pPr>
        <w:pStyle w:val="Paragraph"/>
        <w:rPr>
          <w:lang w:eastAsia="zh-CN"/>
        </w:rPr>
      </w:pPr>
      <w:r w:rsidRPr="00CF31E0">
        <w:rPr>
          <w:lang w:eastAsia="zh-CN"/>
        </w:rPr>
        <w:t>On 31-03-2016, I made an appointment with the head teacher of the 10</w:t>
      </w:r>
      <w:r w:rsidRPr="00CF31E0">
        <w:rPr>
          <w:vertAlign w:val="superscript"/>
          <w:lang w:eastAsia="zh-CN"/>
        </w:rPr>
        <w:t>th</w:t>
      </w:r>
      <w:r w:rsidRPr="00CF31E0">
        <w:rPr>
          <w:lang w:eastAsia="zh-CN"/>
        </w:rPr>
        <w:t xml:space="preserve"> high school in Jeddah city. On the same day, she offered me some time to test her students.</w:t>
      </w:r>
    </w:p>
    <w:p w14:paraId="144A3855" w14:textId="7087F08A" w:rsidR="00DD47E4" w:rsidRPr="00CF31E0" w:rsidRDefault="00DD47E4" w:rsidP="00603CB7">
      <w:pPr>
        <w:pStyle w:val="Paragraph"/>
        <w:rPr>
          <w:rFonts w:eastAsia="Times New Roman"/>
          <w:lang w:eastAsia="zh-CN"/>
        </w:rPr>
      </w:pPr>
      <w:r w:rsidRPr="00CF31E0">
        <w:rPr>
          <w:lang w:eastAsia="en-US"/>
        </w:rPr>
        <w:t>It was convenient for me to meet with the head of the English language centre and the head teacher of the 10</w:t>
      </w:r>
      <w:r w:rsidRPr="00CF31E0">
        <w:rPr>
          <w:vertAlign w:val="superscript"/>
          <w:lang w:eastAsia="en-US"/>
        </w:rPr>
        <w:t>th</w:t>
      </w:r>
      <w:r w:rsidRPr="00CF31E0">
        <w:rPr>
          <w:lang w:eastAsia="en-US"/>
        </w:rPr>
        <w:t xml:space="preserve"> high school </w:t>
      </w:r>
      <w:r w:rsidR="00BF018C" w:rsidRPr="00CF31E0">
        <w:rPr>
          <w:lang w:eastAsia="en-US"/>
        </w:rPr>
        <w:t xml:space="preserve">and </w:t>
      </w:r>
      <w:r w:rsidRPr="00CF31E0">
        <w:rPr>
          <w:lang w:eastAsia="en-US"/>
        </w:rPr>
        <w:t xml:space="preserve">it was easy to find quick appointments with them. </w:t>
      </w:r>
      <w:r w:rsidR="00BF018C" w:rsidRPr="00CF31E0">
        <w:rPr>
          <w:lang w:eastAsia="en-US"/>
        </w:rPr>
        <w:t>M</w:t>
      </w:r>
      <w:r w:rsidRPr="00CF31E0">
        <w:rPr>
          <w:lang w:eastAsia="en-US"/>
        </w:rPr>
        <w:t>y stay in S</w:t>
      </w:r>
      <w:r w:rsidR="0015491A" w:rsidRPr="00CF31E0">
        <w:rPr>
          <w:lang w:eastAsia="en-US"/>
        </w:rPr>
        <w:t>A</w:t>
      </w:r>
      <w:r w:rsidRPr="00CF31E0">
        <w:rPr>
          <w:lang w:eastAsia="en-US"/>
        </w:rPr>
        <w:t xml:space="preserve"> was only for 18 days. It should be noted that the students recruited for the study are naïve and do not know much about </w:t>
      </w:r>
      <w:r w:rsidR="003F1BE3" w:rsidRPr="00CF31E0">
        <w:rPr>
          <w:lang w:eastAsia="en-US"/>
        </w:rPr>
        <w:t>variation</w:t>
      </w:r>
      <w:r w:rsidR="00BF018C" w:rsidRPr="00CF31E0">
        <w:rPr>
          <w:lang w:eastAsia="en-US"/>
        </w:rPr>
        <w:t xml:space="preserve"> in </w:t>
      </w:r>
      <w:r w:rsidRPr="00CF31E0">
        <w:rPr>
          <w:lang w:eastAsia="en-US"/>
        </w:rPr>
        <w:t xml:space="preserve">Arabic. </w:t>
      </w:r>
      <w:r w:rsidR="00BF018C" w:rsidRPr="00CF31E0">
        <w:rPr>
          <w:lang w:eastAsia="en-US"/>
        </w:rPr>
        <w:t xml:space="preserve">This was ideal because </w:t>
      </w:r>
      <w:r w:rsidRPr="00CF31E0">
        <w:rPr>
          <w:lang w:eastAsia="en-US"/>
        </w:rPr>
        <w:t>one of the purposes of this study is to elicit ordinary people</w:t>
      </w:r>
      <w:r w:rsidR="00BF018C" w:rsidRPr="00CF31E0">
        <w:rPr>
          <w:lang w:eastAsia="en-US"/>
        </w:rPr>
        <w:t>’s</w:t>
      </w:r>
      <w:r w:rsidRPr="00CF31E0">
        <w:rPr>
          <w:lang w:eastAsia="en-US"/>
        </w:rPr>
        <w:t xml:space="preserve"> perceptions about </w:t>
      </w:r>
      <w:r w:rsidR="00FF4DC7" w:rsidRPr="00CF31E0">
        <w:rPr>
          <w:lang w:eastAsia="en-US"/>
        </w:rPr>
        <w:t>UBH</w:t>
      </w:r>
      <w:r w:rsidRPr="00CF31E0">
        <w:rPr>
          <w:lang w:eastAsia="en-US"/>
        </w:rPr>
        <w:t xml:space="preserve"> and </w:t>
      </w:r>
      <w:r w:rsidR="00FF4DC7" w:rsidRPr="00CF31E0">
        <w:rPr>
          <w:lang w:eastAsia="en-US"/>
        </w:rPr>
        <w:t>HH</w:t>
      </w:r>
      <w:r w:rsidRPr="00CF31E0">
        <w:rPr>
          <w:lang w:eastAsia="en-US"/>
        </w:rPr>
        <w:t xml:space="preserve"> dialects in Hijaz. Following the above appointments, I started conducting my research. I gave all participants a consent form to sign and an information sheet to read and keep. No one seemed offended or withdrew their participation from the study. Subsequently, they received a paper copy of the questionnaire. It is important to note that there is an opportunity for participants to leave some parts blank in the paper-based questionnaire, since I cannot have control over them to complete the whole questionnaire, unlike the online</w:t>
      </w:r>
      <w:r w:rsidR="00C86BDA" w:rsidRPr="00CF31E0">
        <w:rPr>
          <w:lang w:eastAsia="en-US"/>
        </w:rPr>
        <w:t>-based</w:t>
      </w:r>
      <w:r w:rsidR="00A06672" w:rsidRPr="00CF31E0">
        <w:rPr>
          <w:lang w:eastAsia="en-US"/>
        </w:rPr>
        <w:t xml:space="preserve"> questionnaire, </w:t>
      </w:r>
      <w:r w:rsidRPr="00CF31E0">
        <w:rPr>
          <w:lang w:eastAsia="en-US"/>
        </w:rPr>
        <w:t xml:space="preserve">see section </w:t>
      </w:r>
      <w:r w:rsidR="00A06672" w:rsidRPr="00CF31E0">
        <w:rPr>
          <w:lang w:eastAsia="en-US"/>
        </w:rPr>
        <w:t>6.11.2 below</w:t>
      </w:r>
      <w:r w:rsidRPr="00CF31E0">
        <w:rPr>
          <w:lang w:eastAsia="en-US"/>
        </w:rPr>
        <w:t xml:space="preserve">. </w:t>
      </w:r>
    </w:p>
    <w:p w14:paraId="7E5FE114" w14:textId="515EB5A7" w:rsidR="00DD47E4" w:rsidRPr="00CF31E0" w:rsidRDefault="00DD47E4" w:rsidP="00603CB7">
      <w:pPr>
        <w:pStyle w:val="Paragraph"/>
        <w:rPr>
          <w:lang w:val="en" w:eastAsia="zh-CN"/>
        </w:rPr>
      </w:pPr>
      <w:r w:rsidRPr="00CF31E0">
        <w:rPr>
          <w:lang w:val="en" w:eastAsia="zh-CN"/>
        </w:rPr>
        <w:t>There were three drawbacks I faced when administering the paper-based questionnaire. First, it was not easy to access male participants at Umm Al-Qura University and male participants in secondary school, because the education system in S</w:t>
      </w:r>
      <w:r w:rsidR="0015491A" w:rsidRPr="00CF31E0">
        <w:rPr>
          <w:lang w:val="en" w:eastAsia="zh-CN"/>
        </w:rPr>
        <w:t>A</w:t>
      </w:r>
      <w:r w:rsidRPr="00CF31E0">
        <w:rPr>
          <w:lang w:val="en" w:eastAsia="zh-CN"/>
        </w:rPr>
        <w:t xml:space="preserve"> is gender</w:t>
      </w:r>
      <w:r w:rsidR="00C86BDA" w:rsidRPr="00CF31E0">
        <w:rPr>
          <w:lang w:val="en" w:eastAsia="zh-CN"/>
        </w:rPr>
        <w:t xml:space="preserve"> segregated</w:t>
      </w:r>
      <w:r w:rsidRPr="00CF31E0">
        <w:rPr>
          <w:lang w:val="en" w:eastAsia="zh-CN"/>
        </w:rPr>
        <w:t>. Therefore, to access the male group I would need to send a male representative on my behalf to administer it in the male section of the university and of the school. In</w:t>
      </w:r>
      <w:r w:rsidR="00BF018C" w:rsidRPr="00CF31E0">
        <w:rPr>
          <w:lang w:val="en" w:eastAsia="zh-CN"/>
        </w:rPr>
        <w:t xml:space="preserve"> order </w:t>
      </w:r>
      <w:r w:rsidR="00BF018C" w:rsidRPr="00CF31E0">
        <w:rPr>
          <w:lang w:val="en" w:eastAsia="zh-CN"/>
        </w:rPr>
        <w:lastRenderedPageBreak/>
        <w:t>to</w:t>
      </w:r>
      <w:r w:rsidRPr="00CF31E0">
        <w:rPr>
          <w:lang w:val="en" w:eastAsia="zh-CN"/>
        </w:rPr>
        <w:t xml:space="preserve"> do so, I need</w:t>
      </w:r>
      <w:r w:rsidR="00BF018C" w:rsidRPr="00CF31E0">
        <w:rPr>
          <w:lang w:val="en" w:eastAsia="zh-CN"/>
        </w:rPr>
        <w:t>ed</w:t>
      </w:r>
      <w:r w:rsidRPr="00CF31E0">
        <w:rPr>
          <w:lang w:val="en" w:eastAsia="zh-CN"/>
        </w:rPr>
        <w:t xml:space="preserve"> to do some paperwork </w:t>
      </w:r>
      <w:r w:rsidR="00BF018C" w:rsidRPr="00CF31E0">
        <w:rPr>
          <w:lang w:val="en" w:eastAsia="zh-CN"/>
        </w:rPr>
        <w:t xml:space="preserve">before </w:t>
      </w:r>
      <w:r w:rsidRPr="00CF31E0">
        <w:rPr>
          <w:lang w:val="en" w:eastAsia="zh-CN"/>
        </w:rPr>
        <w:t>I g</w:t>
      </w:r>
      <w:r w:rsidR="00BF018C" w:rsidRPr="00CF31E0">
        <w:rPr>
          <w:lang w:val="en" w:eastAsia="zh-CN"/>
        </w:rPr>
        <w:t>o</w:t>
      </w:r>
      <w:r w:rsidRPr="00CF31E0">
        <w:rPr>
          <w:lang w:val="en" w:eastAsia="zh-CN"/>
        </w:rPr>
        <w:t xml:space="preserve">t the approval from the male section. As a result, this would take more time to manage as my trip was only short-termed. This drawback has been compensated by using the same questionnaire in an online survey format. </w:t>
      </w:r>
      <w:r w:rsidR="00BF018C" w:rsidRPr="00CF31E0">
        <w:rPr>
          <w:lang w:val="en" w:eastAsia="zh-CN"/>
        </w:rPr>
        <w:t>S</w:t>
      </w:r>
      <w:r w:rsidRPr="00CF31E0">
        <w:rPr>
          <w:lang w:val="en" w:eastAsia="zh-CN"/>
        </w:rPr>
        <w:t>econd, the sample for the paper-based format lacks heterogeneous demographics: all of the participants I accessed were from Umm Al-Qura University in their first year of a BA degree, roughly aged from 18–20 years old, and female secondary school students in their last year of study at school, aged 18-19. Therefore, the online survey could also compensate for this particular limitation. Third, in the paper</w:t>
      </w:r>
      <w:r w:rsidR="005D0894" w:rsidRPr="00CF31E0">
        <w:rPr>
          <w:lang w:val="en" w:eastAsia="zh-CN"/>
        </w:rPr>
        <w:t>-based</w:t>
      </w:r>
      <w:r w:rsidRPr="00CF31E0">
        <w:rPr>
          <w:lang w:val="en" w:eastAsia="zh-CN"/>
        </w:rPr>
        <w:t xml:space="preserve"> questionnaire, though I asked students to complete all questions, they ha</w:t>
      </w:r>
      <w:r w:rsidR="00BF018C" w:rsidRPr="00CF31E0">
        <w:rPr>
          <w:lang w:val="en" w:eastAsia="zh-CN"/>
        </w:rPr>
        <w:t>d</w:t>
      </w:r>
      <w:r w:rsidRPr="00CF31E0">
        <w:rPr>
          <w:lang w:val="en" w:eastAsia="zh-CN"/>
        </w:rPr>
        <w:t xml:space="preserve"> the opportunity to leave some of the test items not completed. Therefore, </w:t>
      </w:r>
      <w:r w:rsidR="00BF018C" w:rsidRPr="00CF31E0">
        <w:rPr>
          <w:lang w:val="en" w:eastAsia="zh-CN"/>
        </w:rPr>
        <w:t>a</w:t>
      </w:r>
      <w:r w:rsidRPr="00CF31E0">
        <w:rPr>
          <w:lang w:val="en" w:eastAsia="zh-CN"/>
        </w:rPr>
        <w:t xml:space="preserve"> few students left some answers with no data given in some parts of the background questionnaire and in other parts of the questionnaires as well. All th</w:t>
      </w:r>
      <w:r w:rsidR="00BF018C" w:rsidRPr="00CF31E0">
        <w:rPr>
          <w:lang w:val="en" w:eastAsia="zh-CN"/>
        </w:rPr>
        <w:t>r</w:t>
      </w:r>
      <w:r w:rsidRPr="00CF31E0">
        <w:rPr>
          <w:lang w:val="en" w:eastAsia="zh-CN"/>
        </w:rPr>
        <w:t>e</w:t>
      </w:r>
      <w:r w:rsidR="00BF018C" w:rsidRPr="00CF31E0">
        <w:rPr>
          <w:lang w:val="en" w:eastAsia="zh-CN"/>
        </w:rPr>
        <w:t>e</w:t>
      </w:r>
      <w:r w:rsidRPr="00CF31E0">
        <w:rPr>
          <w:lang w:val="en" w:eastAsia="zh-CN"/>
        </w:rPr>
        <w:t xml:space="preserve"> aforementioned drawbacks have been overcome with the use of the online-based questionnaire. </w:t>
      </w:r>
    </w:p>
    <w:p w14:paraId="3F4AB20E" w14:textId="73926DB4" w:rsidR="00DD47E4" w:rsidRPr="00CF31E0" w:rsidRDefault="00B97E48" w:rsidP="00E87209">
      <w:pPr>
        <w:pStyle w:val="Bhead"/>
      </w:pPr>
      <w:bookmarkStart w:id="348" w:name="_Toc502746054"/>
      <w:bookmarkStart w:id="349" w:name="_Toc6472693"/>
      <w:r w:rsidRPr="00CF31E0">
        <w:t>6</w:t>
      </w:r>
      <w:r w:rsidR="004E73D5" w:rsidRPr="00CF31E0">
        <w:t>.11.2.</w:t>
      </w:r>
      <w:r w:rsidR="004E73D5" w:rsidRPr="00CF31E0">
        <w:tab/>
      </w:r>
      <w:r w:rsidR="00DD47E4" w:rsidRPr="00CF31E0">
        <w:t>The online</w:t>
      </w:r>
      <w:r w:rsidR="00C86BDA" w:rsidRPr="00CF31E0">
        <w:t>-based</w:t>
      </w:r>
      <w:r w:rsidR="00DD47E4" w:rsidRPr="00CF31E0">
        <w:t xml:space="preserve"> questionnaire</w:t>
      </w:r>
      <w:bookmarkEnd w:id="348"/>
      <w:bookmarkEnd w:id="349"/>
      <w:r w:rsidR="00DD47E4" w:rsidRPr="00CF31E0">
        <w:t xml:space="preserve"> </w:t>
      </w:r>
    </w:p>
    <w:p w14:paraId="2F9D8B3E" w14:textId="3216A9A3" w:rsidR="00DD47E4" w:rsidRPr="00CF31E0" w:rsidRDefault="00DD47E4" w:rsidP="00603CB7">
      <w:pPr>
        <w:pStyle w:val="Paragraph"/>
        <w:rPr>
          <w:lang w:eastAsia="zh-CN"/>
        </w:rPr>
      </w:pPr>
      <w:r w:rsidRPr="00CF31E0">
        <w:rPr>
          <w:lang w:val="en" w:eastAsia="zh-CN"/>
        </w:rPr>
        <w:t xml:space="preserve">The online survey format was designed in the same way </w:t>
      </w:r>
      <w:r w:rsidR="00BF018C" w:rsidRPr="00CF31E0">
        <w:rPr>
          <w:lang w:val="en" w:eastAsia="zh-CN"/>
        </w:rPr>
        <w:t xml:space="preserve">as </w:t>
      </w:r>
      <w:r w:rsidRPr="00CF31E0">
        <w:rPr>
          <w:lang w:val="en" w:eastAsia="zh-CN"/>
        </w:rPr>
        <w:t xml:space="preserve">the paper questionnaire. </w:t>
      </w:r>
      <w:r w:rsidRPr="00CF31E0">
        <w:rPr>
          <w:lang w:eastAsia="zh-CN"/>
        </w:rPr>
        <w:t>I used Polldaddy software as the main instrument for the online questionnaire. It is free online survey software from the creator of WordPress. Polldaddy was easy to use for the researcher and the participants, and the survey results were uploaded offline. Thus, an identical version to the paper-based questionnaire was designed in Polldaddy.</w:t>
      </w:r>
    </w:p>
    <w:p w14:paraId="49F3A04A" w14:textId="5387821C" w:rsidR="00DD47E4" w:rsidRPr="00CF31E0" w:rsidRDefault="00DD47E4" w:rsidP="00603CB7">
      <w:pPr>
        <w:pStyle w:val="Paragraph"/>
        <w:rPr>
          <w:lang w:eastAsia="zh-CN"/>
        </w:rPr>
      </w:pPr>
      <w:r w:rsidRPr="00CF31E0">
        <w:rPr>
          <w:lang w:val="en" w:eastAsia="zh-CN"/>
        </w:rPr>
        <w:t xml:space="preserve">The rationale for using the online-based questionnaire is as follows; first, the online-based questionnaire enabled me to compensate for the restricted access to male participants in administering the paper-based questionnaire. Second, it also facilitated access to </w:t>
      </w:r>
      <w:r w:rsidR="00BF018C" w:rsidRPr="00CF31E0">
        <w:rPr>
          <w:lang w:val="en" w:eastAsia="zh-CN"/>
        </w:rPr>
        <w:t xml:space="preserve">a </w:t>
      </w:r>
      <w:r w:rsidRPr="00CF31E0">
        <w:rPr>
          <w:lang w:val="en" w:eastAsia="zh-CN"/>
        </w:rPr>
        <w:t xml:space="preserve">more heterogeneous </w:t>
      </w:r>
      <w:r w:rsidR="00BF018C" w:rsidRPr="00CF31E0">
        <w:rPr>
          <w:lang w:val="en" w:eastAsia="zh-CN"/>
        </w:rPr>
        <w:t>group of informants</w:t>
      </w:r>
      <w:r w:rsidRPr="00CF31E0">
        <w:rPr>
          <w:lang w:val="en" w:eastAsia="zh-CN"/>
        </w:rPr>
        <w:t xml:space="preserve">. </w:t>
      </w:r>
      <w:r w:rsidRPr="00CF31E0">
        <w:rPr>
          <w:lang w:eastAsia="zh-CN"/>
        </w:rPr>
        <w:t xml:space="preserve">Third, data collected from the Internet was easy for me and took less time and effort </w:t>
      </w:r>
      <w:r w:rsidR="00BF018C" w:rsidRPr="00CF31E0">
        <w:rPr>
          <w:lang w:eastAsia="zh-CN"/>
        </w:rPr>
        <w:t xml:space="preserve">for </w:t>
      </w:r>
      <w:r w:rsidRPr="00CF31E0">
        <w:rPr>
          <w:lang w:eastAsia="zh-CN"/>
        </w:rPr>
        <w:t xml:space="preserve">me. </w:t>
      </w:r>
      <w:r w:rsidRPr="00CF31E0">
        <w:rPr>
          <w:rFonts w:eastAsia="MS Mincho"/>
          <w:lang w:eastAsia="en-US"/>
        </w:rPr>
        <w:t>This meant that I could collect data from participants living in the research context (i.e. Hijaz region) without having to travel back to S</w:t>
      </w:r>
      <w:r w:rsidR="0015491A" w:rsidRPr="00CF31E0">
        <w:rPr>
          <w:rFonts w:eastAsia="MS Mincho"/>
          <w:lang w:eastAsia="en-US"/>
        </w:rPr>
        <w:t>A</w:t>
      </w:r>
      <w:r w:rsidRPr="00CF31E0">
        <w:rPr>
          <w:rFonts w:eastAsia="MS Mincho"/>
          <w:lang w:eastAsia="en-US"/>
        </w:rPr>
        <w:t xml:space="preserve">. Fourth, the </w:t>
      </w:r>
      <w:r w:rsidR="00AC68E6" w:rsidRPr="00CF31E0">
        <w:rPr>
          <w:rFonts w:eastAsia="MS Mincho"/>
          <w:lang w:eastAsia="en-US"/>
        </w:rPr>
        <w:t xml:space="preserve">possibility </w:t>
      </w:r>
      <w:r w:rsidRPr="00CF31E0">
        <w:rPr>
          <w:rFonts w:eastAsia="MS Mincho"/>
          <w:lang w:eastAsia="en-US"/>
        </w:rPr>
        <w:t xml:space="preserve">of missed data has </w:t>
      </w:r>
      <w:r w:rsidR="00C05171" w:rsidRPr="00CF31E0">
        <w:rPr>
          <w:rFonts w:eastAsia="MS Mincho"/>
          <w:lang w:eastAsia="en-US"/>
        </w:rPr>
        <w:t xml:space="preserve">been </w:t>
      </w:r>
      <w:r w:rsidRPr="00CF31E0">
        <w:rPr>
          <w:rFonts w:eastAsia="MS Mincho"/>
          <w:lang w:eastAsia="en-US"/>
        </w:rPr>
        <w:t xml:space="preserve">minimized </w:t>
      </w:r>
      <w:r w:rsidR="00C05171" w:rsidRPr="00CF31E0">
        <w:rPr>
          <w:rFonts w:eastAsia="MS Mincho"/>
          <w:lang w:eastAsia="en-US"/>
        </w:rPr>
        <w:t xml:space="preserve">by the administering of </w:t>
      </w:r>
      <w:r w:rsidRPr="00CF31E0">
        <w:rPr>
          <w:rFonts w:eastAsia="MS Mincho"/>
          <w:lang w:eastAsia="en-US"/>
        </w:rPr>
        <w:t xml:space="preserve">the online questionnaire as I </w:t>
      </w:r>
      <w:r w:rsidR="00933917" w:rsidRPr="00CF31E0">
        <w:rPr>
          <w:rFonts w:eastAsia="MS Mincho"/>
          <w:lang w:eastAsia="en-US"/>
        </w:rPr>
        <w:t xml:space="preserve">ensured that </w:t>
      </w:r>
      <w:r w:rsidRPr="00CF31E0">
        <w:rPr>
          <w:lang w:eastAsia="zh-CN"/>
        </w:rPr>
        <w:lastRenderedPageBreak/>
        <w:t>each questionnaire item</w:t>
      </w:r>
      <w:r w:rsidR="00933917" w:rsidRPr="00CF31E0">
        <w:rPr>
          <w:lang w:eastAsia="zh-CN"/>
        </w:rPr>
        <w:t xml:space="preserve"> was compulsory, meaning that </w:t>
      </w:r>
      <w:r w:rsidRPr="00CF31E0">
        <w:rPr>
          <w:lang w:eastAsia="zh-CN"/>
        </w:rPr>
        <w:t xml:space="preserve">participants </w:t>
      </w:r>
      <w:r w:rsidR="00C05171" w:rsidRPr="00CF31E0">
        <w:rPr>
          <w:lang w:eastAsia="zh-CN"/>
        </w:rPr>
        <w:t xml:space="preserve">had </w:t>
      </w:r>
      <w:r w:rsidRPr="00CF31E0">
        <w:rPr>
          <w:lang w:eastAsia="zh-CN"/>
        </w:rPr>
        <w:t xml:space="preserve">to fill in the answer </w:t>
      </w:r>
      <w:r w:rsidR="00A86232" w:rsidRPr="00CF31E0">
        <w:rPr>
          <w:lang w:eastAsia="zh-CN"/>
        </w:rPr>
        <w:t>to</w:t>
      </w:r>
      <w:r w:rsidRPr="00CF31E0">
        <w:rPr>
          <w:lang w:eastAsia="zh-CN"/>
        </w:rPr>
        <w:t xml:space="preserve"> </w:t>
      </w:r>
      <w:r w:rsidR="00BF018C" w:rsidRPr="00CF31E0">
        <w:rPr>
          <w:lang w:eastAsia="zh-CN"/>
        </w:rPr>
        <w:t xml:space="preserve">be able to </w:t>
      </w:r>
      <w:r w:rsidRPr="00CF31E0">
        <w:rPr>
          <w:lang w:eastAsia="zh-CN"/>
        </w:rPr>
        <w:t xml:space="preserve">proceed to the next page. </w:t>
      </w:r>
    </w:p>
    <w:p w14:paraId="19FE3C1B" w14:textId="10973F6C" w:rsidR="00DD47E4" w:rsidRPr="00CF31E0" w:rsidRDefault="00B97E48" w:rsidP="00E87209">
      <w:pPr>
        <w:pStyle w:val="Ahead"/>
        <w:rPr>
          <w:rFonts w:eastAsia="MS Mincho"/>
        </w:rPr>
      </w:pPr>
      <w:bookmarkStart w:id="350" w:name="_Toc502746064"/>
      <w:bookmarkStart w:id="351" w:name="_Toc6472694"/>
      <w:r w:rsidRPr="00CF31E0">
        <w:rPr>
          <w:rFonts w:eastAsia="MS Mincho"/>
        </w:rPr>
        <w:t>6</w:t>
      </w:r>
      <w:r w:rsidR="00FD3A42" w:rsidRPr="00CF31E0">
        <w:rPr>
          <w:rFonts w:eastAsia="MS Mincho"/>
        </w:rPr>
        <w:t>.12.</w:t>
      </w:r>
      <w:r w:rsidR="00FD3A42" w:rsidRPr="00CF31E0">
        <w:rPr>
          <w:rFonts w:eastAsia="MS Mincho"/>
        </w:rPr>
        <w:tab/>
      </w:r>
      <w:r w:rsidR="00DD47E4" w:rsidRPr="00CF31E0">
        <w:rPr>
          <w:rFonts w:eastAsia="MS Mincho"/>
        </w:rPr>
        <w:t xml:space="preserve">Sampling technique for the </w:t>
      </w:r>
      <w:r w:rsidR="00AC68E6" w:rsidRPr="00CF31E0">
        <w:rPr>
          <w:rFonts w:eastAsia="MS Mincho"/>
        </w:rPr>
        <w:t>paper-</w:t>
      </w:r>
      <w:r w:rsidR="00DD47E4" w:rsidRPr="00CF31E0">
        <w:rPr>
          <w:rFonts w:eastAsia="MS Mincho"/>
        </w:rPr>
        <w:t xml:space="preserve">based and </w:t>
      </w:r>
      <w:r w:rsidR="00AC68E6" w:rsidRPr="00CF31E0">
        <w:rPr>
          <w:rFonts w:eastAsia="MS Mincho"/>
        </w:rPr>
        <w:t>online-</w:t>
      </w:r>
      <w:r w:rsidR="00DD47E4" w:rsidRPr="00CF31E0">
        <w:rPr>
          <w:rFonts w:eastAsia="MS Mincho"/>
        </w:rPr>
        <w:t>based questionnaires</w:t>
      </w:r>
      <w:bookmarkEnd w:id="350"/>
      <w:bookmarkEnd w:id="351"/>
    </w:p>
    <w:p w14:paraId="49549A7F" w14:textId="0C1EFDE9" w:rsidR="00DD47E4" w:rsidRPr="00CF31E0" w:rsidRDefault="00DD47E4" w:rsidP="00603CB7">
      <w:pPr>
        <w:pStyle w:val="Paragraph"/>
        <w:rPr>
          <w:lang w:eastAsia="zh-CN"/>
        </w:rPr>
      </w:pPr>
      <w:r w:rsidRPr="00CF31E0">
        <w:rPr>
          <w:lang w:eastAsia="zh-CN"/>
        </w:rPr>
        <w:t xml:space="preserve">I used the consecutive sampling technique with the paper-based questionnaire. Consecutive sampling is an example of non-probability sampling in which the researcher selects all accessible participants to him/her, who must share characteristics with the target population </w:t>
      </w:r>
      <w:r w:rsidRPr="00CF31E0">
        <w:rPr>
          <w:lang w:eastAsia="zh-CN"/>
        </w:rPr>
        <w:fldChar w:fldCharType="begin"/>
      </w:r>
      <w:r w:rsidRPr="00CF31E0">
        <w:rPr>
          <w:lang w:eastAsia="zh-CN"/>
        </w:rPr>
        <w:instrText xml:space="preserve"> ADDIN ZOTERO_ITEM CSL_CITATION {"citationID":"a1opb4fmaft","properties":{"formattedCitation":"(Creswell, 2014)","plainCitation":"(Creswell, 2014)","noteIndex":0},"citationItems":[{"id":247,"uris":["http://zotero.org/users/1939618/items/63IJV5D2"],"uri":["http://zotero.org/users/1939618/items/63IJV5D2"],"itemData":{"id":247,"type":"book","title":"Research Design: Qualitative, Quantitative, and Mixed Methods Approaches","publisher":"SAGE Publications","source":"Google Books","abstract":"The eagerly anticipated Fourth Edition of the title that pioneered the comparison of qualitative, quantitative, and mixed methods research design is here! For all three approaches, Creswell includes a preliminary consideration of philosophical assumptions, a review of the literature, an assessment of the use of theory in research approaches, and refl ections about the importance of writing and ethics in scholarly inquiry. He also presents the key elements of the research process, giving specifi c attention to each approach. The Fourth Edition includes extensively revised mixed methods coverage, increased coverage of ethical issues in research, and an expanded emphasis on worldview perspectives.","ISBN":"978-1-4833-2147-9","note":"Google-Books-ID: EbogAQAAQBAJ","shortTitle":"Research Design","language":"en","author":[{"family":"Creswell","given":"John W."}],"issued":{"date-parts":[["2014"]]}}}],"schema":"https://github.com/citation-style-language/schema/raw/master/csl-citation.json"} </w:instrText>
      </w:r>
      <w:r w:rsidRPr="00CF31E0">
        <w:rPr>
          <w:lang w:eastAsia="zh-CN"/>
        </w:rPr>
        <w:fldChar w:fldCharType="separate"/>
      </w:r>
      <w:r w:rsidRPr="00CF31E0">
        <w:rPr>
          <w:noProof/>
          <w:lang w:eastAsia="zh-CN"/>
        </w:rPr>
        <w:t>(Creswell, 2014)</w:t>
      </w:r>
      <w:r w:rsidRPr="00CF31E0">
        <w:rPr>
          <w:lang w:eastAsia="zh-CN"/>
        </w:rPr>
        <w:fldChar w:fldCharType="end"/>
      </w:r>
      <w:r w:rsidRPr="00CF31E0">
        <w:rPr>
          <w:lang w:eastAsia="zh-CN"/>
        </w:rPr>
        <w:t>. The data collection process for the paper-based questionnaire required me to conduct the data collection in S</w:t>
      </w:r>
      <w:r w:rsidR="0015491A" w:rsidRPr="00CF31E0">
        <w:rPr>
          <w:lang w:eastAsia="zh-CN"/>
        </w:rPr>
        <w:t>A</w:t>
      </w:r>
      <w:r w:rsidRPr="00CF31E0">
        <w:rPr>
          <w:lang w:eastAsia="zh-CN"/>
        </w:rPr>
        <w:t xml:space="preserve">. Therefore, I needed to go back to the </w:t>
      </w:r>
      <w:r w:rsidR="009A1FA1" w:rsidRPr="00CF31E0">
        <w:rPr>
          <w:lang w:eastAsia="zh-CN"/>
        </w:rPr>
        <w:t>count</w:t>
      </w:r>
      <w:r w:rsidRPr="00CF31E0">
        <w:rPr>
          <w:lang w:eastAsia="zh-CN"/>
        </w:rPr>
        <w:t>ry to conduct the research at a certain time. The accessible participants, or the ones that were convenient for me to access, were female students at Umm Al-Qura University and female students at the 10</w:t>
      </w:r>
      <w:r w:rsidRPr="00CF31E0">
        <w:rPr>
          <w:vertAlign w:val="superscript"/>
          <w:lang w:eastAsia="zh-CN"/>
        </w:rPr>
        <w:t>th</w:t>
      </w:r>
      <w:r w:rsidRPr="00CF31E0">
        <w:rPr>
          <w:lang w:eastAsia="zh-CN"/>
        </w:rPr>
        <w:t xml:space="preserve"> secondary school. The sample for the paper-based questionnaire consists of 150 female Hijazi students from two locations in Hijaz region; </w:t>
      </w:r>
      <w:r w:rsidR="00D30B2F">
        <w:rPr>
          <w:lang w:eastAsia="zh-CN"/>
        </w:rPr>
        <w:t>Makkah</w:t>
      </w:r>
      <w:r w:rsidRPr="00CF31E0">
        <w:rPr>
          <w:lang w:eastAsia="zh-CN"/>
        </w:rPr>
        <w:t xml:space="preserve"> and Jeddah. All of the selected participants share similar characteristics and traits with the population: they are Saudi, Hijazi, </w:t>
      </w:r>
      <w:r w:rsidR="00FF4DC7" w:rsidRPr="00CF31E0">
        <w:rPr>
          <w:lang w:eastAsia="zh-CN"/>
        </w:rPr>
        <w:t>UBH</w:t>
      </w:r>
      <w:r w:rsidRPr="00CF31E0">
        <w:rPr>
          <w:lang w:eastAsia="zh-CN"/>
        </w:rPr>
        <w:t xml:space="preserve"> or </w:t>
      </w:r>
      <w:r w:rsidR="00FF4DC7" w:rsidRPr="00CF31E0">
        <w:rPr>
          <w:lang w:eastAsia="zh-CN"/>
        </w:rPr>
        <w:t>HH</w:t>
      </w:r>
      <w:r w:rsidRPr="00CF31E0">
        <w:rPr>
          <w:lang w:eastAsia="zh-CN"/>
        </w:rPr>
        <w:t xml:space="preserve">, and aged 18 years old and over. </w:t>
      </w:r>
    </w:p>
    <w:p w14:paraId="4DB7C6F0" w14:textId="6E5355D9" w:rsidR="00DD47E4" w:rsidRPr="00CF31E0" w:rsidRDefault="00DD47E4" w:rsidP="00603CB7">
      <w:pPr>
        <w:pStyle w:val="Paragraph"/>
        <w:rPr>
          <w:lang w:eastAsia="zh-CN"/>
        </w:rPr>
      </w:pPr>
      <w:r w:rsidRPr="00CF31E0">
        <w:rPr>
          <w:lang w:eastAsia="zh-CN"/>
        </w:rPr>
        <w:t xml:space="preserve">In the online-based questionnaire, I used random sampling as the main sampling technique. It is one of the key techniques in the probability method. Samples in this technique are selected on a random basis. “The assumption underlying this procedure is that the selection is based entirely on probability and chance” </w:t>
      </w:r>
      <w:bookmarkStart w:id="352" w:name="ZOTERO_BREF_tt8EwqfNs4Zp"/>
      <w:r w:rsidRPr="00CF31E0">
        <w:rPr>
          <w:lang w:eastAsia="zh-CN"/>
        </w:rPr>
        <w:t>(D</w:t>
      </w:r>
      <w:r w:rsidR="005D0894" w:rsidRPr="00CF31E0">
        <w:rPr>
          <w:lang w:eastAsia="zh-CN"/>
        </w:rPr>
        <w:t>örnyei</w:t>
      </w:r>
      <w:r w:rsidRPr="00CF31E0">
        <w:rPr>
          <w:lang w:eastAsia="zh-CN"/>
        </w:rPr>
        <w:t>, 2007, p. 97)</w:t>
      </w:r>
      <w:bookmarkEnd w:id="352"/>
      <w:r w:rsidRPr="00CF31E0">
        <w:rPr>
          <w:lang w:eastAsia="zh-CN"/>
        </w:rPr>
        <w:t xml:space="preserve">. As a result, the subjectivity of the sample selection is highly minimized with this sampling technique. I found this technique to be very useful for the sampling process of the online questionnaire for two reasons. First, random sampling enables access to all demographic groups </w:t>
      </w:r>
      <w:bookmarkStart w:id="353" w:name="ZOTERO_BREF_ZqLRi2bXqWr3"/>
      <w:r w:rsidRPr="00CF31E0">
        <w:rPr>
          <w:lang w:eastAsia="zh-CN"/>
        </w:rPr>
        <w:t>(Flower, 2009)</w:t>
      </w:r>
      <w:bookmarkEnd w:id="353"/>
      <w:r w:rsidRPr="00CF31E0">
        <w:rPr>
          <w:lang w:eastAsia="zh-CN"/>
        </w:rPr>
        <w:t xml:space="preserve">, which is something that I could not achieve fully with the paper-based questionnaire, where male participants could not be accessed. Second, the random sampling technique enabled different age groups and diverse education levels to be accessed. Third, it decreases the possibility of bias in the research </w:t>
      </w:r>
      <w:r w:rsidR="009E1776" w:rsidRPr="00CF31E0">
        <w:rPr>
          <w:lang w:eastAsia="zh-CN"/>
        </w:rPr>
        <w:t>bec</w:t>
      </w:r>
      <w:r w:rsidRPr="00CF31E0">
        <w:rPr>
          <w:lang w:eastAsia="zh-CN"/>
        </w:rPr>
        <w:t>a</w:t>
      </w:r>
      <w:r w:rsidR="009E1776" w:rsidRPr="00CF31E0">
        <w:rPr>
          <w:lang w:eastAsia="zh-CN"/>
        </w:rPr>
        <w:t>u</w:t>
      </w:r>
      <w:r w:rsidRPr="00CF31E0">
        <w:rPr>
          <w:lang w:eastAsia="zh-CN"/>
        </w:rPr>
        <w:t>s</w:t>
      </w:r>
      <w:r w:rsidR="009E1776" w:rsidRPr="00CF31E0">
        <w:rPr>
          <w:lang w:eastAsia="zh-CN"/>
        </w:rPr>
        <w:t>e</w:t>
      </w:r>
      <w:r w:rsidRPr="00CF31E0">
        <w:rPr>
          <w:lang w:eastAsia="zh-CN"/>
        </w:rPr>
        <w:t xml:space="preserve"> the </w:t>
      </w:r>
      <w:r w:rsidRPr="00CF31E0">
        <w:rPr>
          <w:lang w:eastAsia="zh-CN"/>
        </w:rPr>
        <w:lastRenderedPageBreak/>
        <w:t>selection was entirely random</w:t>
      </w:r>
      <w:r w:rsidR="00AC68E6" w:rsidRPr="00CF31E0">
        <w:rPr>
          <w:lang w:eastAsia="zh-CN"/>
        </w:rPr>
        <w:t xml:space="preserve"> </w:t>
      </w:r>
      <w:r w:rsidRPr="00CF31E0">
        <w:rPr>
          <w:lang w:eastAsia="zh-CN"/>
        </w:rPr>
        <w:fldChar w:fldCharType="begin"/>
      </w:r>
      <w:r w:rsidRPr="00CF31E0">
        <w:rPr>
          <w:lang w:eastAsia="zh-CN"/>
        </w:rPr>
        <w:instrText xml:space="preserve"> ADDIN ZOTERO_ITEM CSL_CITATION {"citationID":"xA5D1gyc","properties":{"formattedCitation":"(Meyerhoff, Schleef, &amp; MacKenzie, 2015)","plainCitation":"(Meyerhoff, Schleef, &amp; MacKenzie, 2015)","noteIndex":0},"citationItems":[{"id":549,"uris":["http://zotero.org/users/1939618/items/V9I3EGP9"],"uri":["http://zotero.org/users/1939618/items/V9I3EGP9"],"itemData":{"id":549,"type":"book","title":"Doing sociolinguistics: A practical guide to data collection and analysis","publisher":"Routledge","publisher-place":"New York","source":"Google Scholar","event-place":"New York","shortTitle":"Doing sociolinguistics","author":[{"family":"Meyerhoff","given":"Miriam"},{"family":"Schleef","given":"Erik"},{"family":"MacKenzie","given":"Laurel"}],"issued":{"date-parts":[["2015"]]}}}],"schema":"https://github.com/citation-style-language/schema/raw/master/csl-citation.json"} </w:instrText>
      </w:r>
      <w:r w:rsidRPr="00CF31E0">
        <w:rPr>
          <w:lang w:eastAsia="zh-CN"/>
        </w:rPr>
        <w:fldChar w:fldCharType="separate"/>
      </w:r>
      <w:r w:rsidRPr="00CF31E0">
        <w:rPr>
          <w:noProof/>
          <w:lang w:eastAsia="zh-CN"/>
        </w:rPr>
        <w:t>(Meyerhoff, Schleef, &amp; MacKenzie, 2015)</w:t>
      </w:r>
      <w:r w:rsidRPr="00CF31E0">
        <w:rPr>
          <w:lang w:eastAsia="zh-CN"/>
        </w:rPr>
        <w:fldChar w:fldCharType="end"/>
      </w:r>
      <w:r w:rsidRPr="00CF31E0">
        <w:rPr>
          <w:lang w:eastAsia="zh-CN"/>
        </w:rPr>
        <w:t xml:space="preserve">. I designed a copy of the paper-based questionnaire online using Polldaddy software. Then, I distributed the questionnaire online via Facebook, Twitter, and WhatsApp instant messages. Thus, the sampling process for the online questionnaire was conducted randomly. </w:t>
      </w:r>
    </w:p>
    <w:p w14:paraId="4FC940C9" w14:textId="0E115FD2" w:rsidR="00DD47E4" w:rsidRPr="00CF31E0" w:rsidRDefault="00B97E48" w:rsidP="00E87209">
      <w:pPr>
        <w:pStyle w:val="Ahead"/>
        <w:rPr>
          <w:rFonts w:eastAsia="Times New Roman"/>
        </w:rPr>
      </w:pPr>
      <w:bookmarkStart w:id="354" w:name="_Toc6472695"/>
      <w:r w:rsidRPr="00CF31E0">
        <w:rPr>
          <w:rFonts w:eastAsia="Times New Roman"/>
        </w:rPr>
        <w:t>6</w:t>
      </w:r>
      <w:r w:rsidR="00FD3A42" w:rsidRPr="00CF31E0">
        <w:rPr>
          <w:rFonts w:eastAsia="Times New Roman"/>
        </w:rPr>
        <w:t>.13.</w:t>
      </w:r>
      <w:r w:rsidR="00FD3A42" w:rsidRPr="00CF31E0">
        <w:rPr>
          <w:rFonts w:eastAsia="Times New Roman"/>
        </w:rPr>
        <w:tab/>
      </w:r>
      <w:r w:rsidR="00DD47E4" w:rsidRPr="00CF31E0">
        <w:rPr>
          <w:rFonts w:eastAsia="Times New Roman"/>
        </w:rPr>
        <w:t>Exclusion processes</w:t>
      </w:r>
      <w:bookmarkEnd w:id="354"/>
    </w:p>
    <w:p w14:paraId="76C72E4A" w14:textId="1FF41358" w:rsidR="00DD47E4" w:rsidRPr="00CF31E0" w:rsidRDefault="00DD47E4" w:rsidP="00603CB7">
      <w:pPr>
        <w:pStyle w:val="Paragraph"/>
        <w:rPr>
          <w:lang w:eastAsia="zh-CN"/>
        </w:rPr>
      </w:pPr>
      <w:r w:rsidRPr="00CF31E0">
        <w:rPr>
          <w:lang w:eastAsia="zh-CN"/>
        </w:rPr>
        <w:t xml:space="preserve">In the </w:t>
      </w:r>
      <w:r w:rsidR="00AC68E6" w:rsidRPr="00CF31E0">
        <w:rPr>
          <w:lang w:eastAsia="zh-CN"/>
        </w:rPr>
        <w:t>paper-</w:t>
      </w:r>
      <w:r w:rsidRPr="00CF31E0">
        <w:rPr>
          <w:lang w:eastAsia="zh-CN"/>
        </w:rPr>
        <w:t xml:space="preserve">based questionnaire, two participants were excluded; one of these participants provided fairly arbitrary responses while the other participant did not answer </w:t>
      </w:r>
      <w:r w:rsidR="00AC68E6" w:rsidRPr="00CF31E0">
        <w:rPr>
          <w:lang w:eastAsia="zh-CN"/>
        </w:rPr>
        <w:t xml:space="preserve">part </w:t>
      </w:r>
      <w:r w:rsidRPr="00CF31E0">
        <w:rPr>
          <w:lang w:eastAsia="zh-CN"/>
        </w:rPr>
        <w:t>of the questionnaire. Thus, a total of 148 questionnaire paper</w:t>
      </w:r>
      <w:r w:rsidR="00AC68E6" w:rsidRPr="00CF31E0">
        <w:rPr>
          <w:lang w:eastAsia="zh-CN"/>
        </w:rPr>
        <w:t>s</w:t>
      </w:r>
      <w:r w:rsidRPr="00CF31E0">
        <w:rPr>
          <w:lang w:eastAsia="zh-CN"/>
        </w:rPr>
        <w:t xml:space="preserve"> were included in the final analysis </w:t>
      </w:r>
    </w:p>
    <w:p w14:paraId="4D318C1B" w14:textId="4600D507" w:rsidR="001E6BAC" w:rsidRPr="00CF31E0" w:rsidRDefault="00DD47E4" w:rsidP="00603CB7">
      <w:pPr>
        <w:pStyle w:val="Paragraph"/>
        <w:rPr>
          <w:lang w:eastAsia="zh-CN"/>
        </w:rPr>
      </w:pPr>
      <w:r w:rsidRPr="00CF31E0">
        <w:rPr>
          <w:lang w:eastAsia="zh-CN"/>
        </w:rPr>
        <w:t xml:space="preserve">In the online-based questionnaire, 33 questionnaire papers were excluded because 14 of the respondents were not Saudi and the remaining 20 were Saudi but were neither </w:t>
      </w:r>
      <w:r w:rsidR="00FF4DC7" w:rsidRPr="00CF31E0">
        <w:rPr>
          <w:lang w:eastAsia="zh-CN"/>
        </w:rPr>
        <w:t>UBH</w:t>
      </w:r>
      <w:r w:rsidRPr="00CF31E0">
        <w:rPr>
          <w:lang w:eastAsia="zh-CN"/>
        </w:rPr>
        <w:t xml:space="preserve"> Hijazi nor </w:t>
      </w:r>
      <w:r w:rsidR="00FF4DC7" w:rsidRPr="00CF31E0">
        <w:rPr>
          <w:lang w:eastAsia="zh-CN"/>
        </w:rPr>
        <w:t>HH</w:t>
      </w:r>
      <w:r w:rsidRPr="00CF31E0">
        <w:rPr>
          <w:lang w:eastAsia="zh-CN"/>
        </w:rPr>
        <w:t xml:space="preserve"> Hijazi. Thus, a total of 501 questionnaire paper</w:t>
      </w:r>
      <w:r w:rsidR="00AC68E6" w:rsidRPr="00CF31E0">
        <w:rPr>
          <w:lang w:eastAsia="zh-CN"/>
        </w:rPr>
        <w:t>s</w:t>
      </w:r>
      <w:r w:rsidRPr="00CF31E0">
        <w:rPr>
          <w:lang w:eastAsia="zh-CN"/>
        </w:rPr>
        <w:t xml:space="preserve"> were included in the analysis</w:t>
      </w:r>
      <w:r w:rsidR="009E1776" w:rsidRPr="00CF31E0">
        <w:rPr>
          <w:lang w:eastAsia="zh-CN"/>
        </w:rPr>
        <w:t>.</w:t>
      </w:r>
      <w:r w:rsidRPr="00CF31E0">
        <w:rPr>
          <w:lang w:eastAsia="zh-CN"/>
        </w:rPr>
        <w:t xml:space="preserve"> </w:t>
      </w:r>
      <w:r w:rsidR="001E6BAC" w:rsidRPr="00CF31E0">
        <w:rPr>
          <w:lang w:eastAsia="zh-CN"/>
        </w:rPr>
        <w:t xml:space="preserve"> Overall, the final figure of people analysed was 649.  </w:t>
      </w:r>
    </w:p>
    <w:p w14:paraId="62FEBB45" w14:textId="46B4FA04" w:rsidR="000B00DC" w:rsidRPr="00CF31E0" w:rsidRDefault="00B97E48" w:rsidP="00603CB7">
      <w:pPr>
        <w:pStyle w:val="Ahead"/>
        <w:ind w:left="0" w:firstLine="0"/>
        <w:rPr>
          <w:rFonts w:eastAsia="Times New Roman"/>
          <w:b w:val="0"/>
          <w:bCs/>
          <w:sz w:val="24"/>
          <w:szCs w:val="24"/>
        </w:rPr>
      </w:pPr>
      <w:bookmarkStart w:id="355" w:name="_Toc6472696"/>
      <w:r w:rsidRPr="00CF31E0">
        <w:rPr>
          <w:rFonts w:eastAsia="Times New Roman"/>
          <w:szCs w:val="22"/>
        </w:rPr>
        <w:t>6.14.</w:t>
      </w:r>
      <w:r w:rsidRPr="00CF31E0">
        <w:rPr>
          <w:rFonts w:eastAsia="Times New Roman"/>
          <w:szCs w:val="22"/>
        </w:rPr>
        <w:tab/>
      </w:r>
      <w:r w:rsidR="001E6BAC" w:rsidRPr="00CF31E0">
        <w:rPr>
          <w:rFonts w:eastAsia="Times New Roman"/>
        </w:rPr>
        <w:t>Conclusion</w:t>
      </w:r>
      <w:bookmarkEnd w:id="355"/>
      <w:r w:rsidR="001E6BAC" w:rsidRPr="00CF31E0">
        <w:rPr>
          <w:rFonts w:eastAsia="Times New Roman"/>
        </w:rPr>
        <w:t xml:space="preserve"> </w:t>
      </w:r>
    </w:p>
    <w:p w14:paraId="3F84BC99" w14:textId="1BD02B69" w:rsidR="002C33FF" w:rsidRPr="00CF31E0" w:rsidRDefault="001E6BAC" w:rsidP="00603CB7">
      <w:pPr>
        <w:pStyle w:val="Paragraph"/>
        <w:rPr>
          <w:rFonts w:eastAsia="Times New Roman"/>
          <w:bCs/>
        </w:rPr>
      </w:pPr>
      <w:r w:rsidRPr="00CF31E0">
        <w:t xml:space="preserve">This chapter </w:t>
      </w:r>
      <w:r w:rsidR="00317D36" w:rsidRPr="00CF31E0">
        <w:t xml:space="preserve">has </w:t>
      </w:r>
      <w:r w:rsidRPr="00CF31E0">
        <w:t xml:space="preserve">summarized </w:t>
      </w:r>
      <w:r w:rsidR="000B00DC" w:rsidRPr="00CF31E0">
        <w:t xml:space="preserve">the </w:t>
      </w:r>
      <w:r w:rsidRPr="00CF31E0">
        <w:t>frequency distribution of all demographic variables included in the study.</w:t>
      </w:r>
      <w:r w:rsidR="00530465" w:rsidRPr="00CF31E0">
        <w:t xml:space="preserve"> See </w:t>
      </w:r>
      <w:r w:rsidR="000B00DC" w:rsidRPr="00CF31E0">
        <w:t>T</w:t>
      </w:r>
      <w:r w:rsidR="00A06672" w:rsidRPr="00CF31E0">
        <w:t>able 6.10</w:t>
      </w:r>
      <w:r w:rsidR="00530465" w:rsidRPr="00CF31E0">
        <w:t xml:space="preserve"> below for </w:t>
      </w:r>
      <w:r w:rsidR="006C7EF6" w:rsidRPr="00CF31E0">
        <w:t xml:space="preserve">a </w:t>
      </w:r>
      <w:r w:rsidR="00530465" w:rsidRPr="00CF31E0">
        <w:t xml:space="preserve">summary of </w:t>
      </w:r>
      <w:r w:rsidR="001628A3" w:rsidRPr="00CF31E0">
        <w:t xml:space="preserve">the complete </w:t>
      </w:r>
      <w:r w:rsidR="00530465" w:rsidRPr="00CF31E0">
        <w:t xml:space="preserve">subject pool in the present study. </w:t>
      </w:r>
      <w:r w:rsidRPr="00CF31E0">
        <w:t xml:space="preserve">Also, the chapter </w:t>
      </w:r>
      <w:r w:rsidR="006C7EF6" w:rsidRPr="00CF31E0">
        <w:t xml:space="preserve">described </w:t>
      </w:r>
      <w:r w:rsidRPr="00CF31E0">
        <w:t xml:space="preserve">how participants were recruited and how the questionnaire was administered. Having described the demographic variables, sampling techniques and administration of the questionnaire, in the following chapter I will </w:t>
      </w:r>
      <w:r w:rsidR="006C7EF6" w:rsidRPr="00CF31E0">
        <w:t xml:space="preserve">begin to present the </w:t>
      </w:r>
      <w:r w:rsidRPr="00CF31E0">
        <w:t>results of the first research question.</w:t>
      </w:r>
    </w:p>
    <w:p w14:paraId="62441525" w14:textId="77777777" w:rsidR="002C33FF" w:rsidRPr="00CF31E0" w:rsidRDefault="002C33FF" w:rsidP="001E6BAC">
      <w:pPr>
        <w:pStyle w:val="Ahead"/>
        <w:jc w:val="both"/>
        <w:rPr>
          <w:rFonts w:eastAsia="Times New Roman"/>
          <w:b w:val="0"/>
          <w:bCs/>
          <w:sz w:val="24"/>
          <w:szCs w:val="24"/>
        </w:rPr>
        <w:sectPr w:rsidR="002C33FF" w:rsidRPr="00CF31E0" w:rsidSect="00603CB7">
          <w:footerReference w:type="default" r:id="rId29"/>
          <w:pgSz w:w="11900" w:h="16840"/>
          <w:pgMar w:top="1440" w:right="2268" w:bottom="1440" w:left="2268" w:header="709" w:footer="709" w:gutter="0"/>
          <w:cols w:space="708"/>
          <w:docGrid w:linePitch="360"/>
        </w:sectPr>
      </w:pPr>
    </w:p>
    <w:p w14:paraId="59C69A75" w14:textId="27C09E46" w:rsidR="00AB1B7A" w:rsidRPr="00CF31E0" w:rsidRDefault="00AB1B7A" w:rsidP="00160CC4">
      <w:pPr>
        <w:spacing w:before="120" w:after="120" w:line="360" w:lineRule="auto"/>
        <w:jc w:val="both"/>
        <w:rPr>
          <w:rFonts w:eastAsia="Times New Roman"/>
          <w:color w:val="000000" w:themeColor="text1"/>
          <w:szCs w:val="22"/>
          <w:lang w:eastAsia="zh-CN"/>
        </w:rPr>
      </w:pPr>
    </w:p>
    <w:p w14:paraId="1E332FBE" w14:textId="77777777" w:rsidR="00AB1B7A" w:rsidRPr="00CF31E0" w:rsidRDefault="00AB1B7A" w:rsidP="00AB1B7A">
      <w:pPr>
        <w:tabs>
          <w:tab w:val="left" w:pos="963"/>
        </w:tabs>
        <w:rPr>
          <w:rFonts w:eastAsia="Times New Roman"/>
          <w:color w:val="000000" w:themeColor="text1"/>
          <w:szCs w:val="22"/>
          <w:lang w:eastAsia="zh-CN"/>
        </w:rPr>
      </w:pPr>
      <w:r w:rsidRPr="00CF31E0">
        <w:rPr>
          <w:rFonts w:eastAsia="Times New Roman"/>
          <w:color w:val="000000" w:themeColor="text1"/>
          <w:szCs w:val="22"/>
          <w:lang w:eastAsia="zh-CN"/>
        </w:rPr>
        <w:tab/>
      </w:r>
    </w:p>
    <w:tbl>
      <w:tblPr>
        <w:tblStyle w:val="TableGrid"/>
        <w:tblW w:w="0" w:type="auto"/>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86"/>
        <w:gridCol w:w="567"/>
        <w:gridCol w:w="952"/>
        <w:gridCol w:w="567"/>
        <w:gridCol w:w="992"/>
        <w:gridCol w:w="567"/>
        <w:gridCol w:w="1032"/>
        <w:gridCol w:w="567"/>
        <w:gridCol w:w="953"/>
        <w:gridCol w:w="567"/>
        <w:gridCol w:w="1134"/>
        <w:gridCol w:w="567"/>
        <w:gridCol w:w="992"/>
        <w:gridCol w:w="567"/>
        <w:gridCol w:w="992"/>
        <w:gridCol w:w="533"/>
        <w:gridCol w:w="1006"/>
        <w:gridCol w:w="486"/>
      </w:tblGrid>
      <w:tr w:rsidR="008233D5" w:rsidRPr="00CF31E0" w14:paraId="4598DD5C" w14:textId="77777777" w:rsidTr="00603CB7">
        <w:tc>
          <w:tcPr>
            <w:tcW w:w="1453" w:type="dxa"/>
            <w:gridSpan w:val="2"/>
          </w:tcPr>
          <w:p w14:paraId="10A9638E" w14:textId="4D63D53A" w:rsidR="00AB1B7A" w:rsidRPr="00CF31E0" w:rsidRDefault="00AB1B7A" w:rsidP="00AB1B7A">
            <w:pPr>
              <w:tabs>
                <w:tab w:val="left" w:pos="963"/>
              </w:tabs>
              <w:rPr>
                <w:rFonts w:eastAsia="Times New Roman"/>
                <w:color w:val="000000" w:themeColor="text1"/>
                <w:sz w:val="18"/>
                <w:szCs w:val="18"/>
                <w:lang w:eastAsia="zh-CN"/>
              </w:rPr>
            </w:pPr>
            <w:bookmarkStart w:id="356" w:name="OLE_LINK1"/>
            <w:r w:rsidRPr="00CF31E0">
              <w:rPr>
                <w:rFonts w:eastAsia="Times New Roman"/>
                <w:color w:val="000000" w:themeColor="text1"/>
                <w:sz w:val="18"/>
                <w:szCs w:val="18"/>
                <w:lang w:eastAsia="zh-CN"/>
              </w:rPr>
              <w:t>Gender</w:t>
            </w:r>
          </w:p>
        </w:tc>
        <w:tc>
          <w:tcPr>
            <w:tcW w:w="1519" w:type="dxa"/>
            <w:gridSpan w:val="2"/>
          </w:tcPr>
          <w:p w14:paraId="4D5D08FD" w14:textId="09F7FFFE" w:rsidR="00AB1B7A" w:rsidRPr="00CF31E0" w:rsidRDefault="00AB1B7A"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Age</w:t>
            </w:r>
          </w:p>
        </w:tc>
        <w:tc>
          <w:tcPr>
            <w:tcW w:w="1559" w:type="dxa"/>
            <w:gridSpan w:val="2"/>
          </w:tcPr>
          <w:p w14:paraId="052EB9EA" w14:textId="0A2478A9" w:rsidR="00AB1B7A" w:rsidRPr="00CF31E0" w:rsidRDefault="00AB1B7A"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Place of birth</w:t>
            </w:r>
          </w:p>
        </w:tc>
        <w:tc>
          <w:tcPr>
            <w:tcW w:w="1599" w:type="dxa"/>
            <w:gridSpan w:val="2"/>
          </w:tcPr>
          <w:p w14:paraId="6C9EFDFA" w14:textId="3435A684" w:rsidR="00AB1B7A" w:rsidRPr="00CF31E0" w:rsidRDefault="00AB1B7A"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Places lived</w:t>
            </w:r>
          </w:p>
        </w:tc>
        <w:tc>
          <w:tcPr>
            <w:tcW w:w="1520" w:type="dxa"/>
            <w:gridSpan w:val="2"/>
          </w:tcPr>
          <w:p w14:paraId="2A8253F6" w14:textId="2A7C8B65" w:rsidR="00AB1B7A" w:rsidRPr="00CF31E0" w:rsidRDefault="00AB1B7A"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Marital status</w:t>
            </w:r>
          </w:p>
        </w:tc>
        <w:tc>
          <w:tcPr>
            <w:tcW w:w="1701" w:type="dxa"/>
            <w:gridSpan w:val="2"/>
          </w:tcPr>
          <w:p w14:paraId="64DBCCD2" w14:textId="06FC75FD" w:rsidR="00AB1B7A" w:rsidRPr="00CF31E0" w:rsidRDefault="00AB1B7A"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Education level</w:t>
            </w:r>
          </w:p>
        </w:tc>
        <w:tc>
          <w:tcPr>
            <w:tcW w:w="1559" w:type="dxa"/>
            <w:gridSpan w:val="2"/>
          </w:tcPr>
          <w:p w14:paraId="5F4D86EE" w14:textId="1E472BA7" w:rsidR="00AB1B7A" w:rsidRPr="00CF31E0" w:rsidRDefault="00AB1B7A"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Social group</w:t>
            </w:r>
          </w:p>
        </w:tc>
        <w:tc>
          <w:tcPr>
            <w:tcW w:w="1525" w:type="dxa"/>
            <w:gridSpan w:val="2"/>
          </w:tcPr>
          <w:p w14:paraId="3C3E2EDB" w14:textId="1C6D35C2" w:rsidR="00AB1B7A" w:rsidRPr="00CF31E0" w:rsidRDefault="00AB1B7A"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Mother’s social group</w:t>
            </w:r>
          </w:p>
        </w:tc>
        <w:tc>
          <w:tcPr>
            <w:tcW w:w="1492" w:type="dxa"/>
            <w:gridSpan w:val="2"/>
          </w:tcPr>
          <w:p w14:paraId="38984B98" w14:textId="161779E8" w:rsidR="00AB1B7A" w:rsidRPr="00CF31E0" w:rsidRDefault="00AB1B7A"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Spouse’s Social group</w:t>
            </w:r>
          </w:p>
        </w:tc>
      </w:tr>
      <w:tr w:rsidR="008233D5" w:rsidRPr="00CF31E0" w14:paraId="5442E8B5" w14:textId="03772D45" w:rsidTr="00603CB7">
        <w:trPr>
          <w:trHeight w:val="226"/>
        </w:trPr>
        <w:tc>
          <w:tcPr>
            <w:tcW w:w="886" w:type="dxa"/>
          </w:tcPr>
          <w:p w14:paraId="1470F5C8" w14:textId="0C947243"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Category</w:t>
            </w:r>
          </w:p>
        </w:tc>
        <w:tc>
          <w:tcPr>
            <w:tcW w:w="567" w:type="dxa"/>
          </w:tcPr>
          <w:p w14:paraId="6DFA9047" w14:textId="6C50A0A8"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No.</w:t>
            </w:r>
          </w:p>
        </w:tc>
        <w:tc>
          <w:tcPr>
            <w:tcW w:w="952" w:type="dxa"/>
          </w:tcPr>
          <w:p w14:paraId="4C91A796" w14:textId="68446520"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Category</w:t>
            </w:r>
          </w:p>
        </w:tc>
        <w:tc>
          <w:tcPr>
            <w:tcW w:w="567" w:type="dxa"/>
          </w:tcPr>
          <w:p w14:paraId="4B88A81B" w14:textId="21E7A180"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No.</w:t>
            </w:r>
          </w:p>
        </w:tc>
        <w:tc>
          <w:tcPr>
            <w:tcW w:w="992" w:type="dxa"/>
          </w:tcPr>
          <w:p w14:paraId="0AD70C99" w14:textId="22E862FB"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Category</w:t>
            </w:r>
          </w:p>
        </w:tc>
        <w:tc>
          <w:tcPr>
            <w:tcW w:w="567" w:type="dxa"/>
          </w:tcPr>
          <w:p w14:paraId="26B7A675" w14:textId="14F4FB21"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No.</w:t>
            </w:r>
          </w:p>
        </w:tc>
        <w:tc>
          <w:tcPr>
            <w:tcW w:w="1032" w:type="dxa"/>
          </w:tcPr>
          <w:p w14:paraId="770AFAA8" w14:textId="4829EF4E"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Category</w:t>
            </w:r>
          </w:p>
        </w:tc>
        <w:tc>
          <w:tcPr>
            <w:tcW w:w="567" w:type="dxa"/>
          </w:tcPr>
          <w:p w14:paraId="53CBB746" w14:textId="7ED28613"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No.</w:t>
            </w:r>
          </w:p>
        </w:tc>
        <w:tc>
          <w:tcPr>
            <w:tcW w:w="953" w:type="dxa"/>
          </w:tcPr>
          <w:p w14:paraId="7B3EFE42" w14:textId="0BCE5F0D"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Category</w:t>
            </w:r>
          </w:p>
        </w:tc>
        <w:tc>
          <w:tcPr>
            <w:tcW w:w="567" w:type="dxa"/>
          </w:tcPr>
          <w:p w14:paraId="156B2D43" w14:textId="27DA4DB3"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No.</w:t>
            </w:r>
          </w:p>
        </w:tc>
        <w:tc>
          <w:tcPr>
            <w:tcW w:w="1134" w:type="dxa"/>
          </w:tcPr>
          <w:p w14:paraId="3AAD144D" w14:textId="072135CA"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Category</w:t>
            </w:r>
          </w:p>
        </w:tc>
        <w:tc>
          <w:tcPr>
            <w:tcW w:w="567" w:type="dxa"/>
          </w:tcPr>
          <w:p w14:paraId="45B282D2" w14:textId="2370B1A0"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No.</w:t>
            </w:r>
          </w:p>
        </w:tc>
        <w:tc>
          <w:tcPr>
            <w:tcW w:w="992" w:type="dxa"/>
          </w:tcPr>
          <w:p w14:paraId="1CF09E39" w14:textId="2019457A"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Category</w:t>
            </w:r>
          </w:p>
        </w:tc>
        <w:tc>
          <w:tcPr>
            <w:tcW w:w="567" w:type="dxa"/>
          </w:tcPr>
          <w:p w14:paraId="6C7DEB91" w14:textId="355AFA3A"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No.</w:t>
            </w:r>
          </w:p>
        </w:tc>
        <w:tc>
          <w:tcPr>
            <w:tcW w:w="992" w:type="dxa"/>
          </w:tcPr>
          <w:p w14:paraId="55F2B8C9" w14:textId="048B0A8D"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Category</w:t>
            </w:r>
          </w:p>
        </w:tc>
        <w:tc>
          <w:tcPr>
            <w:tcW w:w="533" w:type="dxa"/>
          </w:tcPr>
          <w:p w14:paraId="0E4ABE45" w14:textId="7E3E63C3"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No.</w:t>
            </w:r>
          </w:p>
        </w:tc>
        <w:tc>
          <w:tcPr>
            <w:tcW w:w="1006" w:type="dxa"/>
          </w:tcPr>
          <w:p w14:paraId="5BA7ED2E" w14:textId="652083A9"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Category</w:t>
            </w:r>
          </w:p>
        </w:tc>
        <w:tc>
          <w:tcPr>
            <w:tcW w:w="486" w:type="dxa"/>
          </w:tcPr>
          <w:p w14:paraId="0E107527" w14:textId="3A862C7C"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No.</w:t>
            </w:r>
          </w:p>
        </w:tc>
      </w:tr>
      <w:tr w:rsidR="008233D5" w:rsidRPr="00CF31E0" w14:paraId="364F2913" w14:textId="54FB9BB4" w:rsidTr="00603CB7">
        <w:tc>
          <w:tcPr>
            <w:tcW w:w="886" w:type="dxa"/>
          </w:tcPr>
          <w:p w14:paraId="25E65048" w14:textId="48655DD9"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Male</w:t>
            </w:r>
          </w:p>
        </w:tc>
        <w:tc>
          <w:tcPr>
            <w:tcW w:w="567" w:type="dxa"/>
          </w:tcPr>
          <w:p w14:paraId="393213E3" w14:textId="47E01721"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276</w:t>
            </w:r>
          </w:p>
        </w:tc>
        <w:tc>
          <w:tcPr>
            <w:tcW w:w="952" w:type="dxa"/>
          </w:tcPr>
          <w:p w14:paraId="0FA29C8C" w14:textId="1DB264B1"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18-24</w:t>
            </w:r>
          </w:p>
        </w:tc>
        <w:tc>
          <w:tcPr>
            <w:tcW w:w="567" w:type="dxa"/>
          </w:tcPr>
          <w:p w14:paraId="1248842C" w14:textId="5FCD8D7A"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189</w:t>
            </w:r>
          </w:p>
        </w:tc>
        <w:tc>
          <w:tcPr>
            <w:tcW w:w="992" w:type="dxa"/>
          </w:tcPr>
          <w:p w14:paraId="6C5C57C9" w14:textId="7AE18D00"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Inside</w:t>
            </w:r>
            <w:r w:rsidR="008233D5" w:rsidRPr="00CF31E0">
              <w:rPr>
                <w:rFonts w:eastAsia="Times New Roman"/>
                <w:color w:val="000000" w:themeColor="text1"/>
                <w:sz w:val="18"/>
                <w:szCs w:val="18"/>
                <w:lang w:eastAsia="zh-CN"/>
              </w:rPr>
              <w:t xml:space="preserve"> Hijaz</w:t>
            </w:r>
          </w:p>
        </w:tc>
        <w:tc>
          <w:tcPr>
            <w:tcW w:w="567" w:type="dxa"/>
          </w:tcPr>
          <w:p w14:paraId="3AEB87BB" w14:textId="29A22CBF"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587</w:t>
            </w:r>
          </w:p>
        </w:tc>
        <w:tc>
          <w:tcPr>
            <w:tcW w:w="1032" w:type="dxa"/>
          </w:tcPr>
          <w:p w14:paraId="2DA0AB50" w14:textId="5D3842E9"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Inside Hijaz</w:t>
            </w:r>
          </w:p>
        </w:tc>
        <w:tc>
          <w:tcPr>
            <w:tcW w:w="567" w:type="dxa"/>
          </w:tcPr>
          <w:p w14:paraId="114E4A23" w14:textId="09C254DF"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638</w:t>
            </w:r>
          </w:p>
        </w:tc>
        <w:tc>
          <w:tcPr>
            <w:tcW w:w="953" w:type="dxa"/>
          </w:tcPr>
          <w:p w14:paraId="07D8E81E" w14:textId="1F851740"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Married</w:t>
            </w:r>
          </w:p>
        </w:tc>
        <w:tc>
          <w:tcPr>
            <w:tcW w:w="567" w:type="dxa"/>
          </w:tcPr>
          <w:p w14:paraId="6CF8C50F" w14:textId="26A8EE3C"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4</w:t>
            </w:r>
            <w:r w:rsidR="00D10947" w:rsidRPr="00CF31E0">
              <w:rPr>
                <w:rFonts w:eastAsia="Times New Roman"/>
                <w:color w:val="000000" w:themeColor="text1"/>
                <w:sz w:val="18"/>
                <w:szCs w:val="18"/>
                <w:lang w:eastAsia="zh-CN"/>
              </w:rPr>
              <w:t>72</w:t>
            </w:r>
          </w:p>
        </w:tc>
        <w:tc>
          <w:tcPr>
            <w:tcW w:w="1134" w:type="dxa"/>
          </w:tcPr>
          <w:p w14:paraId="274D8863" w14:textId="7F681C9A"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Primary</w:t>
            </w:r>
          </w:p>
        </w:tc>
        <w:tc>
          <w:tcPr>
            <w:tcW w:w="567" w:type="dxa"/>
          </w:tcPr>
          <w:p w14:paraId="1E28FF04" w14:textId="581E46F7"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1</w:t>
            </w:r>
          </w:p>
        </w:tc>
        <w:tc>
          <w:tcPr>
            <w:tcW w:w="992" w:type="dxa"/>
          </w:tcPr>
          <w:p w14:paraId="64760E5C" w14:textId="4B842300" w:rsidR="004E19C3" w:rsidRPr="00CF31E0" w:rsidRDefault="008233D5"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UBH</w:t>
            </w:r>
          </w:p>
        </w:tc>
        <w:tc>
          <w:tcPr>
            <w:tcW w:w="567" w:type="dxa"/>
          </w:tcPr>
          <w:p w14:paraId="2D3FEF9C" w14:textId="4FDD54A9" w:rsidR="004E19C3" w:rsidRPr="00CF31E0" w:rsidRDefault="008233D5"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323</w:t>
            </w:r>
          </w:p>
        </w:tc>
        <w:tc>
          <w:tcPr>
            <w:tcW w:w="992" w:type="dxa"/>
          </w:tcPr>
          <w:p w14:paraId="2011DBCE" w14:textId="6B55F1FE" w:rsidR="004E19C3" w:rsidRPr="00CF31E0" w:rsidRDefault="008233D5"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UBH</w:t>
            </w:r>
          </w:p>
        </w:tc>
        <w:tc>
          <w:tcPr>
            <w:tcW w:w="533" w:type="dxa"/>
          </w:tcPr>
          <w:p w14:paraId="1CD38177" w14:textId="3A4EF331" w:rsidR="004E19C3" w:rsidRPr="00CF31E0" w:rsidRDefault="008233D5"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31</w:t>
            </w:r>
            <w:r w:rsidR="00D77105" w:rsidRPr="00CF31E0">
              <w:rPr>
                <w:rFonts w:eastAsia="Times New Roman"/>
                <w:color w:val="000000" w:themeColor="text1"/>
                <w:sz w:val="18"/>
                <w:szCs w:val="18"/>
                <w:lang w:eastAsia="zh-CN"/>
              </w:rPr>
              <w:t>1</w:t>
            </w:r>
          </w:p>
        </w:tc>
        <w:tc>
          <w:tcPr>
            <w:tcW w:w="1006" w:type="dxa"/>
          </w:tcPr>
          <w:p w14:paraId="682A3564" w14:textId="52160C60" w:rsidR="004E19C3" w:rsidRPr="00CF31E0" w:rsidRDefault="008233D5"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UBH</w:t>
            </w:r>
          </w:p>
        </w:tc>
        <w:tc>
          <w:tcPr>
            <w:tcW w:w="486" w:type="dxa"/>
          </w:tcPr>
          <w:p w14:paraId="5391209E" w14:textId="3CA83130" w:rsidR="004E19C3" w:rsidRPr="00CF31E0" w:rsidRDefault="008233D5"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2</w:t>
            </w:r>
            <w:r w:rsidR="00357467" w:rsidRPr="00CF31E0">
              <w:rPr>
                <w:rFonts w:eastAsia="Times New Roman"/>
                <w:color w:val="000000" w:themeColor="text1"/>
                <w:sz w:val="18"/>
                <w:szCs w:val="18"/>
                <w:lang w:eastAsia="zh-CN"/>
              </w:rPr>
              <w:t>28</w:t>
            </w:r>
          </w:p>
        </w:tc>
      </w:tr>
      <w:tr w:rsidR="008233D5" w:rsidRPr="00CF31E0" w14:paraId="592C7409" w14:textId="78C82B99" w:rsidTr="00603CB7">
        <w:tc>
          <w:tcPr>
            <w:tcW w:w="886" w:type="dxa"/>
          </w:tcPr>
          <w:p w14:paraId="15E79F63" w14:textId="73CE2EA3"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Female</w:t>
            </w:r>
          </w:p>
        </w:tc>
        <w:tc>
          <w:tcPr>
            <w:tcW w:w="567" w:type="dxa"/>
          </w:tcPr>
          <w:p w14:paraId="0F998C4B" w14:textId="7AE426D3"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373</w:t>
            </w:r>
          </w:p>
        </w:tc>
        <w:tc>
          <w:tcPr>
            <w:tcW w:w="952" w:type="dxa"/>
          </w:tcPr>
          <w:p w14:paraId="71DA5880" w14:textId="6BB95D7B"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25-34</w:t>
            </w:r>
          </w:p>
        </w:tc>
        <w:tc>
          <w:tcPr>
            <w:tcW w:w="567" w:type="dxa"/>
          </w:tcPr>
          <w:p w14:paraId="4E747314" w14:textId="603BE497" w:rsidR="004E19C3" w:rsidRPr="00CF31E0" w:rsidRDefault="005971F4"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145</w:t>
            </w:r>
          </w:p>
        </w:tc>
        <w:tc>
          <w:tcPr>
            <w:tcW w:w="992" w:type="dxa"/>
          </w:tcPr>
          <w:p w14:paraId="608227E6" w14:textId="0D71CEEC" w:rsidR="004E19C3" w:rsidRPr="00CF31E0" w:rsidRDefault="008233D5"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Outside Hijaz</w:t>
            </w:r>
          </w:p>
        </w:tc>
        <w:tc>
          <w:tcPr>
            <w:tcW w:w="567" w:type="dxa"/>
          </w:tcPr>
          <w:p w14:paraId="3AE74216" w14:textId="4D9B632B"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62</w:t>
            </w:r>
          </w:p>
        </w:tc>
        <w:tc>
          <w:tcPr>
            <w:tcW w:w="1032" w:type="dxa"/>
          </w:tcPr>
          <w:p w14:paraId="7C419711" w14:textId="40490F91" w:rsidR="004E19C3" w:rsidRPr="00CF31E0" w:rsidRDefault="008233D5"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 xml:space="preserve">Outside </w:t>
            </w:r>
            <w:r w:rsidR="004E19C3" w:rsidRPr="00CF31E0">
              <w:rPr>
                <w:rFonts w:eastAsia="Times New Roman"/>
                <w:color w:val="000000" w:themeColor="text1"/>
                <w:sz w:val="18"/>
                <w:szCs w:val="18"/>
                <w:lang w:eastAsia="zh-CN"/>
              </w:rPr>
              <w:t>Hijaz</w:t>
            </w:r>
          </w:p>
        </w:tc>
        <w:tc>
          <w:tcPr>
            <w:tcW w:w="567" w:type="dxa"/>
          </w:tcPr>
          <w:p w14:paraId="2F92C2B1" w14:textId="7F3E991E"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9</w:t>
            </w:r>
          </w:p>
        </w:tc>
        <w:tc>
          <w:tcPr>
            <w:tcW w:w="953" w:type="dxa"/>
          </w:tcPr>
          <w:p w14:paraId="7B4D5252" w14:textId="6E1EC690"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Single</w:t>
            </w:r>
          </w:p>
        </w:tc>
        <w:tc>
          <w:tcPr>
            <w:tcW w:w="567" w:type="dxa"/>
          </w:tcPr>
          <w:p w14:paraId="1CBA6E3D" w14:textId="7833B687" w:rsidR="004E19C3" w:rsidRPr="00CF31E0" w:rsidRDefault="00D10947"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156</w:t>
            </w:r>
          </w:p>
        </w:tc>
        <w:tc>
          <w:tcPr>
            <w:tcW w:w="1134" w:type="dxa"/>
          </w:tcPr>
          <w:p w14:paraId="605C0A66" w14:textId="1C9557DC"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Intermediate</w:t>
            </w:r>
          </w:p>
        </w:tc>
        <w:tc>
          <w:tcPr>
            <w:tcW w:w="567" w:type="dxa"/>
          </w:tcPr>
          <w:p w14:paraId="4F54E708" w14:textId="28585C81"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7</w:t>
            </w:r>
          </w:p>
        </w:tc>
        <w:tc>
          <w:tcPr>
            <w:tcW w:w="992" w:type="dxa"/>
          </w:tcPr>
          <w:p w14:paraId="4607D993" w14:textId="273FA658" w:rsidR="004E19C3" w:rsidRPr="00CF31E0" w:rsidRDefault="008233D5"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HH</w:t>
            </w:r>
          </w:p>
        </w:tc>
        <w:tc>
          <w:tcPr>
            <w:tcW w:w="567" w:type="dxa"/>
          </w:tcPr>
          <w:p w14:paraId="675496E0" w14:textId="7905B74D" w:rsidR="004E19C3" w:rsidRPr="00CF31E0" w:rsidRDefault="008233D5"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326</w:t>
            </w:r>
          </w:p>
        </w:tc>
        <w:tc>
          <w:tcPr>
            <w:tcW w:w="992" w:type="dxa"/>
          </w:tcPr>
          <w:p w14:paraId="3632B32C" w14:textId="5B318233" w:rsidR="004E19C3" w:rsidRPr="00CF31E0" w:rsidRDefault="008233D5"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HH</w:t>
            </w:r>
          </w:p>
        </w:tc>
        <w:tc>
          <w:tcPr>
            <w:tcW w:w="533" w:type="dxa"/>
          </w:tcPr>
          <w:p w14:paraId="706F3540" w14:textId="4B50C95A" w:rsidR="004E19C3" w:rsidRPr="00CF31E0" w:rsidRDefault="008233D5"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31</w:t>
            </w:r>
            <w:r w:rsidR="00D77105" w:rsidRPr="00CF31E0">
              <w:rPr>
                <w:rFonts w:eastAsia="Times New Roman"/>
                <w:color w:val="000000" w:themeColor="text1"/>
                <w:sz w:val="18"/>
                <w:szCs w:val="18"/>
                <w:lang w:eastAsia="zh-CN"/>
              </w:rPr>
              <w:t>6</w:t>
            </w:r>
          </w:p>
        </w:tc>
        <w:tc>
          <w:tcPr>
            <w:tcW w:w="1006" w:type="dxa"/>
          </w:tcPr>
          <w:p w14:paraId="52105F7F" w14:textId="32E593EB" w:rsidR="004E19C3" w:rsidRPr="00CF31E0" w:rsidRDefault="008233D5"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HH</w:t>
            </w:r>
          </w:p>
        </w:tc>
        <w:tc>
          <w:tcPr>
            <w:tcW w:w="486" w:type="dxa"/>
          </w:tcPr>
          <w:p w14:paraId="323D896A" w14:textId="67371A34" w:rsidR="004E19C3" w:rsidRPr="00CF31E0" w:rsidRDefault="008233D5"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2</w:t>
            </w:r>
            <w:r w:rsidR="00357467" w:rsidRPr="00CF31E0">
              <w:rPr>
                <w:rFonts w:eastAsia="Times New Roman"/>
                <w:color w:val="000000" w:themeColor="text1"/>
                <w:sz w:val="18"/>
                <w:szCs w:val="18"/>
                <w:lang w:eastAsia="zh-CN"/>
              </w:rPr>
              <w:t>44</w:t>
            </w:r>
          </w:p>
        </w:tc>
      </w:tr>
      <w:tr w:rsidR="008233D5" w:rsidRPr="00CF31E0" w14:paraId="03D3F5F9" w14:textId="7D2DA6D0" w:rsidTr="00603CB7">
        <w:tc>
          <w:tcPr>
            <w:tcW w:w="886" w:type="dxa"/>
          </w:tcPr>
          <w:p w14:paraId="196C6280" w14:textId="77777777"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654431D9" w14:textId="77777777" w:rsidR="004E19C3" w:rsidRPr="00CF31E0" w:rsidRDefault="004E19C3" w:rsidP="00AB1B7A">
            <w:pPr>
              <w:tabs>
                <w:tab w:val="left" w:pos="963"/>
              </w:tabs>
              <w:rPr>
                <w:rFonts w:eastAsia="Times New Roman"/>
                <w:color w:val="000000" w:themeColor="text1"/>
                <w:sz w:val="18"/>
                <w:szCs w:val="18"/>
                <w:lang w:eastAsia="zh-CN"/>
              </w:rPr>
            </w:pPr>
          </w:p>
        </w:tc>
        <w:tc>
          <w:tcPr>
            <w:tcW w:w="952" w:type="dxa"/>
          </w:tcPr>
          <w:p w14:paraId="6E0B8B2F" w14:textId="6DC837C0"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35-44</w:t>
            </w:r>
          </w:p>
        </w:tc>
        <w:tc>
          <w:tcPr>
            <w:tcW w:w="567" w:type="dxa"/>
          </w:tcPr>
          <w:p w14:paraId="577769EF" w14:textId="2D6E7468" w:rsidR="004E19C3" w:rsidRPr="00CF31E0" w:rsidRDefault="005971F4"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174</w:t>
            </w:r>
          </w:p>
        </w:tc>
        <w:tc>
          <w:tcPr>
            <w:tcW w:w="992" w:type="dxa"/>
          </w:tcPr>
          <w:p w14:paraId="4BE77D3D" w14:textId="663D4470"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0A5F483A" w14:textId="77777777" w:rsidR="004E19C3" w:rsidRPr="00CF31E0" w:rsidRDefault="004E19C3" w:rsidP="00AB1B7A">
            <w:pPr>
              <w:tabs>
                <w:tab w:val="left" w:pos="963"/>
              </w:tabs>
              <w:rPr>
                <w:rFonts w:eastAsia="Times New Roman"/>
                <w:color w:val="000000" w:themeColor="text1"/>
                <w:sz w:val="18"/>
                <w:szCs w:val="18"/>
                <w:lang w:eastAsia="zh-CN"/>
              </w:rPr>
            </w:pPr>
          </w:p>
        </w:tc>
        <w:tc>
          <w:tcPr>
            <w:tcW w:w="1032" w:type="dxa"/>
          </w:tcPr>
          <w:p w14:paraId="0ABC6E0C" w14:textId="5712E16F"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28A4620C" w14:textId="77777777" w:rsidR="004E19C3" w:rsidRPr="00CF31E0" w:rsidRDefault="004E19C3" w:rsidP="00AB1B7A">
            <w:pPr>
              <w:tabs>
                <w:tab w:val="left" w:pos="963"/>
              </w:tabs>
              <w:rPr>
                <w:rFonts w:eastAsia="Times New Roman"/>
                <w:color w:val="000000" w:themeColor="text1"/>
                <w:sz w:val="18"/>
                <w:szCs w:val="18"/>
                <w:lang w:eastAsia="zh-CN"/>
              </w:rPr>
            </w:pPr>
          </w:p>
        </w:tc>
        <w:tc>
          <w:tcPr>
            <w:tcW w:w="953" w:type="dxa"/>
          </w:tcPr>
          <w:p w14:paraId="79D67083" w14:textId="00FFD3B4"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Divorced</w:t>
            </w:r>
          </w:p>
        </w:tc>
        <w:tc>
          <w:tcPr>
            <w:tcW w:w="567" w:type="dxa"/>
          </w:tcPr>
          <w:p w14:paraId="0DC78A0D" w14:textId="71695A62"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16</w:t>
            </w:r>
          </w:p>
        </w:tc>
        <w:tc>
          <w:tcPr>
            <w:tcW w:w="1134" w:type="dxa"/>
          </w:tcPr>
          <w:p w14:paraId="32A74D99" w14:textId="4151B460" w:rsidR="004E19C3" w:rsidRPr="00CF31E0" w:rsidRDefault="008233D5"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Secondary</w:t>
            </w:r>
          </w:p>
        </w:tc>
        <w:tc>
          <w:tcPr>
            <w:tcW w:w="567" w:type="dxa"/>
          </w:tcPr>
          <w:p w14:paraId="255E5FB3" w14:textId="08CAEE2A" w:rsidR="004E19C3" w:rsidRPr="00CF31E0" w:rsidRDefault="008233D5"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1</w:t>
            </w:r>
            <w:r w:rsidR="00F66E00">
              <w:rPr>
                <w:rFonts w:eastAsia="Times New Roman"/>
                <w:color w:val="000000" w:themeColor="text1"/>
                <w:sz w:val="18"/>
                <w:szCs w:val="18"/>
                <w:lang w:eastAsia="zh-CN"/>
              </w:rPr>
              <w:t>89</w:t>
            </w:r>
          </w:p>
        </w:tc>
        <w:tc>
          <w:tcPr>
            <w:tcW w:w="992" w:type="dxa"/>
          </w:tcPr>
          <w:p w14:paraId="5758B1BC" w14:textId="0CBF63A5"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56EED40B" w14:textId="77777777" w:rsidR="004E19C3" w:rsidRPr="00CF31E0" w:rsidRDefault="004E19C3" w:rsidP="00AB1B7A">
            <w:pPr>
              <w:tabs>
                <w:tab w:val="left" w:pos="963"/>
              </w:tabs>
              <w:rPr>
                <w:rFonts w:eastAsia="Times New Roman"/>
                <w:color w:val="000000" w:themeColor="text1"/>
                <w:sz w:val="18"/>
                <w:szCs w:val="18"/>
                <w:lang w:eastAsia="zh-CN"/>
              </w:rPr>
            </w:pPr>
          </w:p>
        </w:tc>
        <w:tc>
          <w:tcPr>
            <w:tcW w:w="992" w:type="dxa"/>
          </w:tcPr>
          <w:p w14:paraId="00A75A42" w14:textId="64AD7FD6" w:rsidR="004E19C3" w:rsidRPr="00CF31E0" w:rsidRDefault="00357467"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Other</w:t>
            </w:r>
          </w:p>
        </w:tc>
        <w:tc>
          <w:tcPr>
            <w:tcW w:w="533" w:type="dxa"/>
          </w:tcPr>
          <w:p w14:paraId="4CB0992F" w14:textId="7D0C0B2F" w:rsidR="004E19C3" w:rsidRPr="00CF31E0" w:rsidRDefault="008233D5"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22</w:t>
            </w:r>
          </w:p>
        </w:tc>
        <w:tc>
          <w:tcPr>
            <w:tcW w:w="1006" w:type="dxa"/>
          </w:tcPr>
          <w:p w14:paraId="2F3E4B1A" w14:textId="41E20069" w:rsidR="004E19C3" w:rsidRPr="00CF31E0" w:rsidRDefault="008233D5"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 xml:space="preserve">Single </w:t>
            </w:r>
          </w:p>
        </w:tc>
        <w:tc>
          <w:tcPr>
            <w:tcW w:w="486" w:type="dxa"/>
          </w:tcPr>
          <w:p w14:paraId="5B657724" w14:textId="352DACF5" w:rsidR="004E19C3" w:rsidRPr="00CF31E0" w:rsidRDefault="00357467"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156</w:t>
            </w:r>
          </w:p>
        </w:tc>
      </w:tr>
      <w:tr w:rsidR="008233D5" w:rsidRPr="00CF31E0" w14:paraId="79DD3B88" w14:textId="20F679BC" w:rsidTr="00603CB7">
        <w:tc>
          <w:tcPr>
            <w:tcW w:w="886" w:type="dxa"/>
          </w:tcPr>
          <w:p w14:paraId="7590020C" w14:textId="77777777"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485CD5A6" w14:textId="77777777" w:rsidR="004E19C3" w:rsidRPr="00CF31E0" w:rsidRDefault="004E19C3" w:rsidP="00AB1B7A">
            <w:pPr>
              <w:tabs>
                <w:tab w:val="left" w:pos="963"/>
              </w:tabs>
              <w:rPr>
                <w:rFonts w:eastAsia="Times New Roman"/>
                <w:color w:val="000000" w:themeColor="text1"/>
                <w:sz w:val="18"/>
                <w:szCs w:val="18"/>
                <w:lang w:eastAsia="zh-CN"/>
              </w:rPr>
            </w:pPr>
          </w:p>
        </w:tc>
        <w:tc>
          <w:tcPr>
            <w:tcW w:w="952" w:type="dxa"/>
          </w:tcPr>
          <w:p w14:paraId="30AB6B7A" w14:textId="33B5B880"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45-54</w:t>
            </w:r>
          </w:p>
        </w:tc>
        <w:tc>
          <w:tcPr>
            <w:tcW w:w="567" w:type="dxa"/>
          </w:tcPr>
          <w:p w14:paraId="3AE99382" w14:textId="1157D4EE" w:rsidR="004E19C3" w:rsidRPr="00CF31E0" w:rsidRDefault="005971F4"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10</w:t>
            </w:r>
            <w:r w:rsidR="006B5B7B" w:rsidRPr="00CF31E0">
              <w:rPr>
                <w:rFonts w:eastAsia="Times New Roman"/>
                <w:color w:val="000000" w:themeColor="text1"/>
                <w:sz w:val="18"/>
                <w:szCs w:val="18"/>
                <w:lang w:eastAsia="zh-CN"/>
              </w:rPr>
              <w:t>7</w:t>
            </w:r>
          </w:p>
        </w:tc>
        <w:tc>
          <w:tcPr>
            <w:tcW w:w="992" w:type="dxa"/>
          </w:tcPr>
          <w:p w14:paraId="3B46F2C6" w14:textId="5099E4C1"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5BAE9C64" w14:textId="77777777" w:rsidR="004E19C3" w:rsidRPr="00CF31E0" w:rsidRDefault="004E19C3" w:rsidP="00AB1B7A">
            <w:pPr>
              <w:tabs>
                <w:tab w:val="left" w:pos="963"/>
              </w:tabs>
              <w:rPr>
                <w:rFonts w:eastAsia="Times New Roman"/>
                <w:color w:val="000000" w:themeColor="text1"/>
                <w:sz w:val="18"/>
                <w:szCs w:val="18"/>
                <w:lang w:eastAsia="zh-CN"/>
              </w:rPr>
            </w:pPr>
          </w:p>
        </w:tc>
        <w:tc>
          <w:tcPr>
            <w:tcW w:w="1032" w:type="dxa"/>
          </w:tcPr>
          <w:p w14:paraId="2BDC6C66" w14:textId="42554115"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20C62DD9" w14:textId="77777777" w:rsidR="004E19C3" w:rsidRPr="00CF31E0" w:rsidRDefault="004E19C3" w:rsidP="00AB1B7A">
            <w:pPr>
              <w:tabs>
                <w:tab w:val="left" w:pos="963"/>
              </w:tabs>
              <w:rPr>
                <w:rFonts w:eastAsia="Times New Roman"/>
                <w:color w:val="000000" w:themeColor="text1"/>
                <w:sz w:val="18"/>
                <w:szCs w:val="18"/>
                <w:lang w:eastAsia="zh-CN"/>
              </w:rPr>
            </w:pPr>
          </w:p>
        </w:tc>
        <w:tc>
          <w:tcPr>
            <w:tcW w:w="953" w:type="dxa"/>
          </w:tcPr>
          <w:p w14:paraId="4237500F" w14:textId="71BD5211"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Widowed</w:t>
            </w:r>
          </w:p>
        </w:tc>
        <w:tc>
          <w:tcPr>
            <w:tcW w:w="567" w:type="dxa"/>
          </w:tcPr>
          <w:p w14:paraId="4FAFE53F" w14:textId="07025449"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5</w:t>
            </w:r>
          </w:p>
        </w:tc>
        <w:tc>
          <w:tcPr>
            <w:tcW w:w="1134" w:type="dxa"/>
          </w:tcPr>
          <w:p w14:paraId="5F072278" w14:textId="7681A043" w:rsidR="004E19C3" w:rsidRPr="00CF31E0" w:rsidRDefault="008233D5"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Diploma</w:t>
            </w:r>
          </w:p>
        </w:tc>
        <w:tc>
          <w:tcPr>
            <w:tcW w:w="567" w:type="dxa"/>
          </w:tcPr>
          <w:p w14:paraId="291D7CF7" w14:textId="01EB2808" w:rsidR="004E19C3" w:rsidRPr="00CF31E0" w:rsidRDefault="008233D5"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31</w:t>
            </w:r>
          </w:p>
        </w:tc>
        <w:tc>
          <w:tcPr>
            <w:tcW w:w="992" w:type="dxa"/>
          </w:tcPr>
          <w:p w14:paraId="2FC23953" w14:textId="620D08F5"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1FDD671A" w14:textId="77777777" w:rsidR="004E19C3" w:rsidRPr="00CF31E0" w:rsidRDefault="004E19C3" w:rsidP="00AB1B7A">
            <w:pPr>
              <w:tabs>
                <w:tab w:val="left" w:pos="963"/>
              </w:tabs>
              <w:rPr>
                <w:rFonts w:eastAsia="Times New Roman"/>
                <w:color w:val="000000" w:themeColor="text1"/>
                <w:sz w:val="18"/>
                <w:szCs w:val="18"/>
                <w:lang w:eastAsia="zh-CN"/>
              </w:rPr>
            </w:pPr>
          </w:p>
        </w:tc>
        <w:tc>
          <w:tcPr>
            <w:tcW w:w="992" w:type="dxa"/>
          </w:tcPr>
          <w:p w14:paraId="491DF5ED" w14:textId="16283747" w:rsidR="004E19C3" w:rsidRPr="00CF31E0" w:rsidRDefault="004E19C3" w:rsidP="00AB1B7A">
            <w:pPr>
              <w:tabs>
                <w:tab w:val="left" w:pos="963"/>
              </w:tabs>
              <w:rPr>
                <w:rFonts w:eastAsia="Times New Roman"/>
                <w:color w:val="000000" w:themeColor="text1"/>
                <w:sz w:val="18"/>
                <w:szCs w:val="18"/>
                <w:lang w:eastAsia="zh-CN"/>
              </w:rPr>
            </w:pPr>
          </w:p>
        </w:tc>
        <w:tc>
          <w:tcPr>
            <w:tcW w:w="533" w:type="dxa"/>
          </w:tcPr>
          <w:p w14:paraId="0FBA27E9" w14:textId="77777777" w:rsidR="004E19C3" w:rsidRPr="00CF31E0" w:rsidRDefault="004E19C3" w:rsidP="00AB1B7A">
            <w:pPr>
              <w:tabs>
                <w:tab w:val="left" w:pos="963"/>
              </w:tabs>
              <w:rPr>
                <w:rFonts w:eastAsia="Times New Roman"/>
                <w:color w:val="000000" w:themeColor="text1"/>
                <w:sz w:val="18"/>
                <w:szCs w:val="18"/>
                <w:lang w:eastAsia="zh-CN"/>
              </w:rPr>
            </w:pPr>
          </w:p>
        </w:tc>
        <w:tc>
          <w:tcPr>
            <w:tcW w:w="1006" w:type="dxa"/>
          </w:tcPr>
          <w:p w14:paraId="1D705799" w14:textId="3EEE4A40" w:rsidR="004E19C3" w:rsidRPr="00CF31E0" w:rsidRDefault="008233D5"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Widowed</w:t>
            </w:r>
          </w:p>
        </w:tc>
        <w:tc>
          <w:tcPr>
            <w:tcW w:w="486" w:type="dxa"/>
          </w:tcPr>
          <w:p w14:paraId="2AA8E6FB" w14:textId="65EF3D6A" w:rsidR="004E19C3" w:rsidRPr="00CF31E0" w:rsidRDefault="008233D5"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5</w:t>
            </w:r>
          </w:p>
        </w:tc>
      </w:tr>
      <w:tr w:rsidR="008233D5" w:rsidRPr="00CF31E0" w14:paraId="3821ED44" w14:textId="758FDA92" w:rsidTr="00603CB7">
        <w:tc>
          <w:tcPr>
            <w:tcW w:w="886" w:type="dxa"/>
          </w:tcPr>
          <w:p w14:paraId="3741BE07" w14:textId="77777777"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5F8FDEEE" w14:textId="77777777" w:rsidR="004E19C3" w:rsidRPr="00CF31E0" w:rsidRDefault="004E19C3" w:rsidP="00AB1B7A">
            <w:pPr>
              <w:tabs>
                <w:tab w:val="left" w:pos="963"/>
              </w:tabs>
              <w:rPr>
                <w:rFonts w:eastAsia="Times New Roman"/>
                <w:color w:val="000000" w:themeColor="text1"/>
                <w:sz w:val="18"/>
                <w:szCs w:val="18"/>
                <w:lang w:eastAsia="zh-CN"/>
              </w:rPr>
            </w:pPr>
          </w:p>
        </w:tc>
        <w:tc>
          <w:tcPr>
            <w:tcW w:w="952" w:type="dxa"/>
          </w:tcPr>
          <w:p w14:paraId="7023E27D" w14:textId="416F5B68"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55-64</w:t>
            </w:r>
          </w:p>
        </w:tc>
        <w:tc>
          <w:tcPr>
            <w:tcW w:w="567" w:type="dxa"/>
          </w:tcPr>
          <w:p w14:paraId="4C84C3CA" w14:textId="78D930FC" w:rsidR="004E19C3" w:rsidRPr="00CF31E0" w:rsidRDefault="005971F4"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3</w:t>
            </w:r>
            <w:r w:rsidR="006B5B7B" w:rsidRPr="00CF31E0">
              <w:rPr>
                <w:rFonts w:eastAsia="Times New Roman"/>
                <w:color w:val="000000" w:themeColor="text1"/>
                <w:sz w:val="18"/>
                <w:szCs w:val="18"/>
                <w:lang w:eastAsia="zh-CN"/>
              </w:rPr>
              <w:t>0</w:t>
            </w:r>
          </w:p>
        </w:tc>
        <w:tc>
          <w:tcPr>
            <w:tcW w:w="992" w:type="dxa"/>
          </w:tcPr>
          <w:p w14:paraId="2BB4CE59" w14:textId="3A2C31F1"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6E450FCF" w14:textId="77777777" w:rsidR="004E19C3" w:rsidRPr="00CF31E0" w:rsidRDefault="004E19C3" w:rsidP="00AB1B7A">
            <w:pPr>
              <w:tabs>
                <w:tab w:val="left" w:pos="963"/>
              </w:tabs>
              <w:rPr>
                <w:rFonts w:eastAsia="Times New Roman"/>
                <w:color w:val="000000" w:themeColor="text1"/>
                <w:sz w:val="18"/>
                <w:szCs w:val="18"/>
                <w:lang w:eastAsia="zh-CN"/>
              </w:rPr>
            </w:pPr>
          </w:p>
        </w:tc>
        <w:tc>
          <w:tcPr>
            <w:tcW w:w="1032" w:type="dxa"/>
          </w:tcPr>
          <w:p w14:paraId="525CE667" w14:textId="0214AD32"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6B093F96" w14:textId="77777777" w:rsidR="004E19C3" w:rsidRPr="00CF31E0" w:rsidRDefault="004E19C3" w:rsidP="00AB1B7A">
            <w:pPr>
              <w:tabs>
                <w:tab w:val="left" w:pos="963"/>
              </w:tabs>
              <w:rPr>
                <w:rFonts w:eastAsia="Times New Roman"/>
                <w:color w:val="000000" w:themeColor="text1"/>
                <w:sz w:val="18"/>
                <w:szCs w:val="18"/>
                <w:lang w:eastAsia="zh-CN"/>
              </w:rPr>
            </w:pPr>
          </w:p>
        </w:tc>
        <w:tc>
          <w:tcPr>
            <w:tcW w:w="953" w:type="dxa"/>
          </w:tcPr>
          <w:p w14:paraId="50FFCE7D" w14:textId="55319AB7"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1B321596" w14:textId="77777777" w:rsidR="004E19C3" w:rsidRPr="00CF31E0" w:rsidRDefault="004E19C3" w:rsidP="00AB1B7A">
            <w:pPr>
              <w:tabs>
                <w:tab w:val="left" w:pos="963"/>
              </w:tabs>
              <w:rPr>
                <w:rFonts w:eastAsia="Times New Roman"/>
                <w:color w:val="000000" w:themeColor="text1"/>
                <w:sz w:val="18"/>
                <w:szCs w:val="18"/>
                <w:lang w:eastAsia="zh-CN"/>
              </w:rPr>
            </w:pPr>
          </w:p>
        </w:tc>
        <w:tc>
          <w:tcPr>
            <w:tcW w:w="1134" w:type="dxa"/>
          </w:tcPr>
          <w:p w14:paraId="00A17FC9" w14:textId="7A6D1908" w:rsidR="004E19C3" w:rsidRPr="00CF31E0" w:rsidRDefault="008233D5"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Bachelor</w:t>
            </w:r>
          </w:p>
        </w:tc>
        <w:tc>
          <w:tcPr>
            <w:tcW w:w="567" w:type="dxa"/>
          </w:tcPr>
          <w:p w14:paraId="69D707B9" w14:textId="356B5F3F" w:rsidR="004E19C3" w:rsidRPr="00CF31E0" w:rsidRDefault="008233D5"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276</w:t>
            </w:r>
          </w:p>
        </w:tc>
        <w:tc>
          <w:tcPr>
            <w:tcW w:w="992" w:type="dxa"/>
          </w:tcPr>
          <w:p w14:paraId="4EAFE47C" w14:textId="1B2EB4B3"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7DACABCA" w14:textId="77777777" w:rsidR="004E19C3" w:rsidRPr="00CF31E0" w:rsidRDefault="004E19C3" w:rsidP="00AB1B7A">
            <w:pPr>
              <w:tabs>
                <w:tab w:val="left" w:pos="963"/>
              </w:tabs>
              <w:rPr>
                <w:rFonts w:eastAsia="Times New Roman"/>
                <w:color w:val="000000" w:themeColor="text1"/>
                <w:sz w:val="18"/>
                <w:szCs w:val="18"/>
                <w:lang w:eastAsia="zh-CN"/>
              </w:rPr>
            </w:pPr>
          </w:p>
        </w:tc>
        <w:tc>
          <w:tcPr>
            <w:tcW w:w="992" w:type="dxa"/>
          </w:tcPr>
          <w:p w14:paraId="4CDD582B" w14:textId="749E72F2" w:rsidR="004E19C3" w:rsidRPr="00CF31E0" w:rsidRDefault="004E19C3" w:rsidP="00AB1B7A">
            <w:pPr>
              <w:tabs>
                <w:tab w:val="left" w:pos="963"/>
              </w:tabs>
              <w:rPr>
                <w:rFonts w:eastAsia="Times New Roman"/>
                <w:color w:val="000000" w:themeColor="text1"/>
                <w:sz w:val="18"/>
                <w:szCs w:val="18"/>
                <w:lang w:eastAsia="zh-CN"/>
              </w:rPr>
            </w:pPr>
          </w:p>
        </w:tc>
        <w:tc>
          <w:tcPr>
            <w:tcW w:w="533" w:type="dxa"/>
          </w:tcPr>
          <w:p w14:paraId="1C18E203" w14:textId="77777777" w:rsidR="004E19C3" w:rsidRPr="00CF31E0" w:rsidRDefault="004E19C3" w:rsidP="00AB1B7A">
            <w:pPr>
              <w:tabs>
                <w:tab w:val="left" w:pos="963"/>
              </w:tabs>
              <w:rPr>
                <w:rFonts w:eastAsia="Times New Roman"/>
                <w:color w:val="000000" w:themeColor="text1"/>
                <w:sz w:val="18"/>
                <w:szCs w:val="18"/>
                <w:lang w:eastAsia="zh-CN"/>
              </w:rPr>
            </w:pPr>
          </w:p>
        </w:tc>
        <w:tc>
          <w:tcPr>
            <w:tcW w:w="1006" w:type="dxa"/>
          </w:tcPr>
          <w:p w14:paraId="628C36DF" w14:textId="26140066" w:rsidR="004E19C3" w:rsidRPr="00CF31E0" w:rsidRDefault="008233D5"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Divorced</w:t>
            </w:r>
          </w:p>
        </w:tc>
        <w:tc>
          <w:tcPr>
            <w:tcW w:w="486" w:type="dxa"/>
          </w:tcPr>
          <w:p w14:paraId="2AC1151E" w14:textId="68600A51" w:rsidR="004E19C3" w:rsidRPr="00CF31E0" w:rsidRDefault="008233D5"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16</w:t>
            </w:r>
          </w:p>
        </w:tc>
      </w:tr>
      <w:tr w:rsidR="008233D5" w:rsidRPr="00CF31E0" w14:paraId="5D2FAF1B" w14:textId="205CD611" w:rsidTr="00603CB7">
        <w:tc>
          <w:tcPr>
            <w:tcW w:w="886" w:type="dxa"/>
          </w:tcPr>
          <w:p w14:paraId="089824E5" w14:textId="77777777"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76AB83DD" w14:textId="77777777" w:rsidR="004E19C3" w:rsidRPr="00CF31E0" w:rsidRDefault="004E19C3" w:rsidP="00AB1B7A">
            <w:pPr>
              <w:tabs>
                <w:tab w:val="left" w:pos="963"/>
              </w:tabs>
              <w:rPr>
                <w:rFonts w:eastAsia="Times New Roman"/>
                <w:color w:val="000000" w:themeColor="text1"/>
                <w:sz w:val="18"/>
                <w:szCs w:val="18"/>
                <w:lang w:eastAsia="zh-CN"/>
              </w:rPr>
            </w:pPr>
          </w:p>
        </w:tc>
        <w:tc>
          <w:tcPr>
            <w:tcW w:w="952" w:type="dxa"/>
          </w:tcPr>
          <w:p w14:paraId="4FCC1AD7" w14:textId="5888E096"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Over 65</w:t>
            </w:r>
          </w:p>
        </w:tc>
        <w:tc>
          <w:tcPr>
            <w:tcW w:w="567" w:type="dxa"/>
          </w:tcPr>
          <w:p w14:paraId="63A98BDA" w14:textId="161CC09F" w:rsidR="004E19C3" w:rsidRPr="00CF31E0" w:rsidRDefault="004E19C3"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4</w:t>
            </w:r>
          </w:p>
        </w:tc>
        <w:tc>
          <w:tcPr>
            <w:tcW w:w="992" w:type="dxa"/>
          </w:tcPr>
          <w:p w14:paraId="642E860A" w14:textId="51451E55"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5FE46359" w14:textId="77777777" w:rsidR="004E19C3" w:rsidRPr="00CF31E0" w:rsidRDefault="004E19C3" w:rsidP="00AB1B7A">
            <w:pPr>
              <w:tabs>
                <w:tab w:val="left" w:pos="963"/>
              </w:tabs>
              <w:rPr>
                <w:rFonts w:eastAsia="Times New Roman"/>
                <w:color w:val="000000" w:themeColor="text1"/>
                <w:sz w:val="18"/>
                <w:szCs w:val="18"/>
                <w:lang w:eastAsia="zh-CN"/>
              </w:rPr>
            </w:pPr>
          </w:p>
        </w:tc>
        <w:tc>
          <w:tcPr>
            <w:tcW w:w="1032" w:type="dxa"/>
          </w:tcPr>
          <w:p w14:paraId="67D928F6" w14:textId="7EA3759F"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6193CE9A" w14:textId="77777777" w:rsidR="004E19C3" w:rsidRPr="00CF31E0" w:rsidRDefault="004E19C3" w:rsidP="00AB1B7A">
            <w:pPr>
              <w:tabs>
                <w:tab w:val="left" w:pos="963"/>
              </w:tabs>
              <w:rPr>
                <w:rFonts w:eastAsia="Times New Roman"/>
                <w:color w:val="000000" w:themeColor="text1"/>
                <w:sz w:val="18"/>
                <w:szCs w:val="18"/>
                <w:lang w:eastAsia="zh-CN"/>
              </w:rPr>
            </w:pPr>
          </w:p>
        </w:tc>
        <w:tc>
          <w:tcPr>
            <w:tcW w:w="953" w:type="dxa"/>
          </w:tcPr>
          <w:p w14:paraId="110564D3" w14:textId="4608FB0C"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62B03138" w14:textId="77777777" w:rsidR="004E19C3" w:rsidRPr="00CF31E0" w:rsidRDefault="004E19C3" w:rsidP="00AB1B7A">
            <w:pPr>
              <w:tabs>
                <w:tab w:val="left" w:pos="963"/>
              </w:tabs>
              <w:rPr>
                <w:rFonts w:eastAsia="Times New Roman"/>
                <w:color w:val="000000" w:themeColor="text1"/>
                <w:sz w:val="18"/>
                <w:szCs w:val="18"/>
                <w:lang w:eastAsia="zh-CN"/>
              </w:rPr>
            </w:pPr>
          </w:p>
        </w:tc>
        <w:tc>
          <w:tcPr>
            <w:tcW w:w="1134" w:type="dxa"/>
          </w:tcPr>
          <w:p w14:paraId="16F9A502" w14:textId="7B255C36" w:rsidR="004E19C3" w:rsidRPr="00CF31E0" w:rsidRDefault="008233D5"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Master</w:t>
            </w:r>
          </w:p>
        </w:tc>
        <w:tc>
          <w:tcPr>
            <w:tcW w:w="567" w:type="dxa"/>
          </w:tcPr>
          <w:p w14:paraId="4646CB49" w14:textId="7331D166" w:rsidR="004E19C3" w:rsidRPr="00CF31E0" w:rsidRDefault="008233D5"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118</w:t>
            </w:r>
          </w:p>
        </w:tc>
        <w:tc>
          <w:tcPr>
            <w:tcW w:w="992" w:type="dxa"/>
          </w:tcPr>
          <w:p w14:paraId="023BF39B" w14:textId="0C4821D6"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3BDBFBC2" w14:textId="77777777" w:rsidR="004E19C3" w:rsidRPr="00CF31E0" w:rsidRDefault="004E19C3" w:rsidP="00AB1B7A">
            <w:pPr>
              <w:tabs>
                <w:tab w:val="left" w:pos="963"/>
              </w:tabs>
              <w:rPr>
                <w:rFonts w:eastAsia="Times New Roman"/>
                <w:color w:val="000000" w:themeColor="text1"/>
                <w:sz w:val="18"/>
                <w:szCs w:val="18"/>
                <w:lang w:eastAsia="zh-CN"/>
              </w:rPr>
            </w:pPr>
          </w:p>
        </w:tc>
        <w:tc>
          <w:tcPr>
            <w:tcW w:w="992" w:type="dxa"/>
          </w:tcPr>
          <w:p w14:paraId="50FD256C" w14:textId="3B6564E2" w:rsidR="004E19C3" w:rsidRPr="00CF31E0" w:rsidRDefault="004E19C3" w:rsidP="00AB1B7A">
            <w:pPr>
              <w:tabs>
                <w:tab w:val="left" w:pos="963"/>
              </w:tabs>
              <w:rPr>
                <w:rFonts w:eastAsia="Times New Roman"/>
                <w:color w:val="000000" w:themeColor="text1"/>
                <w:sz w:val="18"/>
                <w:szCs w:val="18"/>
                <w:lang w:eastAsia="zh-CN"/>
              </w:rPr>
            </w:pPr>
          </w:p>
        </w:tc>
        <w:tc>
          <w:tcPr>
            <w:tcW w:w="533" w:type="dxa"/>
          </w:tcPr>
          <w:p w14:paraId="73401BFD" w14:textId="77777777" w:rsidR="004E19C3" w:rsidRPr="00CF31E0" w:rsidRDefault="004E19C3" w:rsidP="00AB1B7A">
            <w:pPr>
              <w:tabs>
                <w:tab w:val="left" w:pos="963"/>
              </w:tabs>
              <w:rPr>
                <w:rFonts w:eastAsia="Times New Roman"/>
                <w:color w:val="000000" w:themeColor="text1"/>
                <w:sz w:val="18"/>
                <w:szCs w:val="18"/>
                <w:lang w:eastAsia="zh-CN"/>
              </w:rPr>
            </w:pPr>
          </w:p>
        </w:tc>
        <w:tc>
          <w:tcPr>
            <w:tcW w:w="1006" w:type="dxa"/>
          </w:tcPr>
          <w:p w14:paraId="1A918F35" w14:textId="5527CF14" w:rsidR="004E19C3" w:rsidRPr="00CF31E0" w:rsidRDefault="004E19C3" w:rsidP="00AB1B7A">
            <w:pPr>
              <w:tabs>
                <w:tab w:val="left" w:pos="963"/>
              </w:tabs>
              <w:rPr>
                <w:rFonts w:eastAsia="Times New Roman"/>
                <w:color w:val="000000" w:themeColor="text1"/>
                <w:sz w:val="18"/>
                <w:szCs w:val="18"/>
                <w:lang w:eastAsia="zh-CN"/>
              </w:rPr>
            </w:pPr>
          </w:p>
        </w:tc>
        <w:tc>
          <w:tcPr>
            <w:tcW w:w="486" w:type="dxa"/>
          </w:tcPr>
          <w:p w14:paraId="248D0D2A" w14:textId="77777777" w:rsidR="004E19C3" w:rsidRPr="00CF31E0" w:rsidRDefault="004E19C3" w:rsidP="00AB1B7A">
            <w:pPr>
              <w:tabs>
                <w:tab w:val="left" w:pos="963"/>
              </w:tabs>
              <w:rPr>
                <w:rFonts w:eastAsia="Times New Roman"/>
                <w:color w:val="000000" w:themeColor="text1"/>
                <w:sz w:val="18"/>
                <w:szCs w:val="18"/>
                <w:lang w:eastAsia="zh-CN"/>
              </w:rPr>
            </w:pPr>
          </w:p>
        </w:tc>
      </w:tr>
      <w:tr w:rsidR="008233D5" w:rsidRPr="00CF31E0" w14:paraId="5017D1A7" w14:textId="175B863F" w:rsidTr="00603CB7">
        <w:tc>
          <w:tcPr>
            <w:tcW w:w="886" w:type="dxa"/>
          </w:tcPr>
          <w:p w14:paraId="095D8A42" w14:textId="77777777"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7F0683DE" w14:textId="77777777" w:rsidR="004E19C3" w:rsidRPr="00CF31E0" w:rsidRDefault="004E19C3" w:rsidP="00AB1B7A">
            <w:pPr>
              <w:tabs>
                <w:tab w:val="left" w:pos="963"/>
              </w:tabs>
              <w:rPr>
                <w:rFonts w:eastAsia="Times New Roman"/>
                <w:color w:val="000000" w:themeColor="text1"/>
                <w:sz w:val="18"/>
                <w:szCs w:val="18"/>
                <w:lang w:eastAsia="zh-CN"/>
              </w:rPr>
            </w:pPr>
          </w:p>
        </w:tc>
        <w:tc>
          <w:tcPr>
            <w:tcW w:w="952" w:type="dxa"/>
          </w:tcPr>
          <w:p w14:paraId="648DCB95" w14:textId="008B49EA" w:rsidR="004E19C3" w:rsidRPr="00CF31E0" w:rsidRDefault="004E19C3" w:rsidP="005971F4">
            <w:pPr>
              <w:tabs>
                <w:tab w:val="left" w:pos="963"/>
              </w:tabs>
              <w:rPr>
                <w:rFonts w:eastAsia="Times New Roman"/>
                <w:color w:val="000000" w:themeColor="text1"/>
                <w:sz w:val="18"/>
                <w:szCs w:val="18"/>
                <w:lang w:eastAsia="zh-CN"/>
              </w:rPr>
            </w:pPr>
          </w:p>
        </w:tc>
        <w:tc>
          <w:tcPr>
            <w:tcW w:w="567" w:type="dxa"/>
          </w:tcPr>
          <w:p w14:paraId="29F9A59E" w14:textId="7A9F4C2D" w:rsidR="004E19C3" w:rsidRPr="00CF31E0" w:rsidRDefault="004E19C3" w:rsidP="00AB1B7A">
            <w:pPr>
              <w:tabs>
                <w:tab w:val="left" w:pos="963"/>
              </w:tabs>
              <w:rPr>
                <w:rFonts w:eastAsia="Times New Roman"/>
                <w:color w:val="000000" w:themeColor="text1"/>
                <w:sz w:val="18"/>
                <w:szCs w:val="18"/>
                <w:lang w:eastAsia="zh-CN"/>
              </w:rPr>
            </w:pPr>
          </w:p>
        </w:tc>
        <w:tc>
          <w:tcPr>
            <w:tcW w:w="992" w:type="dxa"/>
          </w:tcPr>
          <w:p w14:paraId="2EC80984" w14:textId="24E2C058"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1E7164EE" w14:textId="77777777" w:rsidR="004E19C3" w:rsidRPr="00CF31E0" w:rsidRDefault="004E19C3" w:rsidP="00AB1B7A">
            <w:pPr>
              <w:tabs>
                <w:tab w:val="left" w:pos="963"/>
              </w:tabs>
              <w:rPr>
                <w:rFonts w:eastAsia="Times New Roman"/>
                <w:color w:val="000000" w:themeColor="text1"/>
                <w:sz w:val="18"/>
                <w:szCs w:val="18"/>
                <w:lang w:eastAsia="zh-CN"/>
              </w:rPr>
            </w:pPr>
          </w:p>
        </w:tc>
        <w:tc>
          <w:tcPr>
            <w:tcW w:w="1032" w:type="dxa"/>
          </w:tcPr>
          <w:p w14:paraId="4B21E67E" w14:textId="1C590715"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6C258CD6" w14:textId="77777777" w:rsidR="004E19C3" w:rsidRPr="00CF31E0" w:rsidRDefault="004E19C3" w:rsidP="00AB1B7A">
            <w:pPr>
              <w:tabs>
                <w:tab w:val="left" w:pos="963"/>
              </w:tabs>
              <w:rPr>
                <w:rFonts w:eastAsia="Times New Roman"/>
                <w:color w:val="000000" w:themeColor="text1"/>
                <w:sz w:val="18"/>
                <w:szCs w:val="18"/>
                <w:lang w:eastAsia="zh-CN"/>
              </w:rPr>
            </w:pPr>
          </w:p>
        </w:tc>
        <w:tc>
          <w:tcPr>
            <w:tcW w:w="953" w:type="dxa"/>
          </w:tcPr>
          <w:p w14:paraId="6E944BEF" w14:textId="2A933358"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123464BA" w14:textId="77777777" w:rsidR="004E19C3" w:rsidRPr="00CF31E0" w:rsidRDefault="004E19C3" w:rsidP="00AB1B7A">
            <w:pPr>
              <w:tabs>
                <w:tab w:val="left" w:pos="963"/>
              </w:tabs>
              <w:rPr>
                <w:rFonts w:eastAsia="Times New Roman"/>
                <w:color w:val="000000" w:themeColor="text1"/>
                <w:sz w:val="18"/>
                <w:szCs w:val="18"/>
                <w:lang w:eastAsia="zh-CN"/>
              </w:rPr>
            </w:pPr>
          </w:p>
        </w:tc>
        <w:tc>
          <w:tcPr>
            <w:tcW w:w="1134" w:type="dxa"/>
          </w:tcPr>
          <w:p w14:paraId="4A31F9B3" w14:textId="466650BA" w:rsidR="004E19C3" w:rsidRPr="00CF31E0" w:rsidRDefault="008233D5"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PhD</w:t>
            </w:r>
          </w:p>
        </w:tc>
        <w:tc>
          <w:tcPr>
            <w:tcW w:w="567" w:type="dxa"/>
          </w:tcPr>
          <w:p w14:paraId="3A705267" w14:textId="593B1AE8" w:rsidR="004E19C3" w:rsidRPr="00CF31E0" w:rsidRDefault="008233D5" w:rsidP="00AB1B7A">
            <w:pPr>
              <w:tabs>
                <w:tab w:val="left" w:pos="963"/>
              </w:tabs>
              <w:rPr>
                <w:rFonts w:eastAsia="Times New Roman"/>
                <w:color w:val="000000" w:themeColor="text1"/>
                <w:sz w:val="18"/>
                <w:szCs w:val="18"/>
                <w:lang w:eastAsia="zh-CN"/>
              </w:rPr>
            </w:pPr>
            <w:r w:rsidRPr="00CF31E0">
              <w:rPr>
                <w:rFonts w:eastAsia="Times New Roman"/>
                <w:color w:val="000000" w:themeColor="text1"/>
                <w:sz w:val="18"/>
                <w:szCs w:val="18"/>
                <w:lang w:eastAsia="zh-CN"/>
              </w:rPr>
              <w:t>27</w:t>
            </w:r>
          </w:p>
        </w:tc>
        <w:tc>
          <w:tcPr>
            <w:tcW w:w="992" w:type="dxa"/>
          </w:tcPr>
          <w:p w14:paraId="7A4514D3" w14:textId="55E48287"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1CCC2AC4" w14:textId="77777777" w:rsidR="004E19C3" w:rsidRPr="00CF31E0" w:rsidRDefault="004E19C3" w:rsidP="00AB1B7A">
            <w:pPr>
              <w:tabs>
                <w:tab w:val="left" w:pos="963"/>
              </w:tabs>
              <w:rPr>
                <w:rFonts w:eastAsia="Times New Roman"/>
                <w:color w:val="000000" w:themeColor="text1"/>
                <w:sz w:val="18"/>
                <w:szCs w:val="18"/>
                <w:lang w:eastAsia="zh-CN"/>
              </w:rPr>
            </w:pPr>
          </w:p>
        </w:tc>
        <w:tc>
          <w:tcPr>
            <w:tcW w:w="992" w:type="dxa"/>
          </w:tcPr>
          <w:p w14:paraId="473CE9D3" w14:textId="1B15578B" w:rsidR="004E19C3" w:rsidRPr="00CF31E0" w:rsidRDefault="004E19C3" w:rsidP="00AB1B7A">
            <w:pPr>
              <w:tabs>
                <w:tab w:val="left" w:pos="963"/>
              </w:tabs>
              <w:rPr>
                <w:rFonts w:eastAsia="Times New Roman"/>
                <w:color w:val="000000" w:themeColor="text1"/>
                <w:sz w:val="18"/>
                <w:szCs w:val="18"/>
                <w:lang w:eastAsia="zh-CN"/>
              </w:rPr>
            </w:pPr>
          </w:p>
        </w:tc>
        <w:tc>
          <w:tcPr>
            <w:tcW w:w="533" w:type="dxa"/>
          </w:tcPr>
          <w:p w14:paraId="30F4B09C" w14:textId="77777777" w:rsidR="004E19C3" w:rsidRPr="00CF31E0" w:rsidRDefault="004E19C3" w:rsidP="00AB1B7A">
            <w:pPr>
              <w:tabs>
                <w:tab w:val="left" w:pos="963"/>
              </w:tabs>
              <w:rPr>
                <w:rFonts w:eastAsia="Times New Roman"/>
                <w:color w:val="000000" w:themeColor="text1"/>
                <w:sz w:val="18"/>
                <w:szCs w:val="18"/>
                <w:lang w:eastAsia="zh-CN"/>
              </w:rPr>
            </w:pPr>
          </w:p>
        </w:tc>
        <w:tc>
          <w:tcPr>
            <w:tcW w:w="1006" w:type="dxa"/>
          </w:tcPr>
          <w:p w14:paraId="06E31135" w14:textId="17765056" w:rsidR="004E19C3" w:rsidRPr="00CF31E0" w:rsidRDefault="004E19C3" w:rsidP="00AB1B7A">
            <w:pPr>
              <w:tabs>
                <w:tab w:val="left" w:pos="963"/>
              </w:tabs>
              <w:rPr>
                <w:rFonts w:eastAsia="Times New Roman"/>
                <w:color w:val="000000" w:themeColor="text1"/>
                <w:sz w:val="18"/>
                <w:szCs w:val="18"/>
                <w:lang w:eastAsia="zh-CN"/>
              </w:rPr>
            </w:pPr>
          </w:p>
        </w:tc>
        <w:tc>
          <w:tcPr>
            <w:tcW w:w="486" w:type="dxa"/>
          </w:tcPr>
          <w:p w14:paraId="2D39DD87" w14:textId="77777777" w:rsidR="004E19C3" w:rsidRPr="00CF31E0" w:rsidRDefault="004E19C3" w:rsidP="00AB1B7A">
            <w:pPr>
              <w:tabs>
                <w:tab w:val="left" w:pos="963"/>
              </w:tabs>
              <w:rPr>
                <w:rFonts w:eastAsia="Times New Roman"/>
                <w:color w:val="000000" w:themeColor="text1"/>
                <w:sz w:val="18"/>
                <w:szCs w:val="18"/>
                <w:lang w:eastAsia="zh-CN"/>
              </w:rPr>
            </w:pPr>
          </w:p>
        </w:tc>
      </w:tr>
      <w:tr w:rsidR="008233D5" w:rsidRPr="00CF31E0" w14:paraId="06FC6E92" w14:textId="6E1DD208" w:rsidTr="00603CB7">
        <w:tc>
          <w:tcPr>
            <w:tcW w:w="886" w:type="dxa"/>
          </w:tcPr>
          <w:p w14:paraId="3CD2E4BC" w14:textId="77777777"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3F6749ED" w14:textId="77777777" w:rsidR="004E19C3" w:rsidRPr="00CF31E0" w:rsidRDefault="004E19C3" w:rsidP="00AB1B7A">
            <w:pPr>
              <w:tabs>
                <w:tab w:val="left" w:pos="963"/>
              </w:tabs>
              <w:rPr>
                <w:rFonts w:eastAsia="Times New Roman"/>
                <w:color w:val="000000" w:themeColor="text1"/>
                <w:sz w:val="18"/>
                <w:szCs w:val="18"/>
                <w:lang w:eastAsia="zh-CN"/>
              </w:rPr>
            </w:pPr>
          </w:p>
        </w:tc>
        <w:tc>
          <w:tcPr>
            <w:tcW w:w="952" w:type="dxa"/>
          </w:tcPr>
          <w:p w14:paraId="019DDDD0" w14:textId="08299C8C"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4D9462EF" w14:textId="77777777" w:rsidR="004E19C3" w:rsidRPr="00CF31E0" w:rsidRDefault="004E19C3" w:rsidP="00AB1B7A">
            <w:pPr>
              <w:tabs>
                <w:tab w:val="left" w:pos="963"/>
              </w:tabs>
              <w:rPr>
                <w:rFonts w:eastAsia="Times New Roman"/>
                <w:color w:val="000000" w:themeColor="text1"/>
                <w:sz w:val="18"/>
                <w:szCs w:val="18"/>
                <w:lang w:eastAsia="zh-CN"/>
              </w:rPr>
            </w:pPr>
          </w:p>
        </w:tc>
        <w:tc>
          <w:tcPr>
            <w:tcW w:w="992" w:type="dxa"/>
          </w:tcPr>
          <w:p w14:paraId="20531C0D" w14:textId="4A9191D5"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162CC067" w14:textId="77777777" w:rsidR="004E19C3" w:rsidRPr="00CF31E0" w:rsidRDefault="004E19C3" w:rsidP="00AB1B7A">
            <w:pPr>
              <w:tabs>
                <w:tab w:val="left" w:pos="963"/>
              </w:tabs>
              <w:rPr>
                <w:rFonts w:eastAsia="Times New Roman"/>
                <w:color w:val="000000" w:themeColor="text1"/>
                <w:sz w:val="18"/>
                <w:szCs w:val="18"/>
                <w:lang w:eastAsia="zh-CN"/>
              </w:rPr>
            </w:pPr>
          </w:p>
        </w:tc>
        <w:tc>
          <w:tcPr>
            <w:tcW w:w="1032" w:type="dxa"/>
          </w:tcPr>
          <w:p w14:paraId="2F67EE00" w14:textId="5398561F"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7F52BBD8" w14:textId="77777777" w:rsidR="004E19C3" w:rsidRPr="00CF31E0" w:rsidRDefault="004E19C3" w:rsidP="00AB1B7A">
            <w:pPr>
              <w:tabs>
                <w:tab w:val="left" w:pos="963"/>
              </w:tabs>
              <w:rPr>
                <w:rFonts w:eastAsia="Times New Roman"/>
                <w:color w:val="000000" w:themeColor="text1"/>
                <w:sz w:val="18"/>
                <w:szCs w:val="18"/>
                <w:lang w:eastAsia="zh-CN"/>
              </w:rPr>
            </w:pPr>
          </w:p>
        </w:tc>
        <w:tc>
          <w:tcPr>
            <w:tcW w:w="953" w:type="dxa"/>
          </w:tcPr>
          <w:p w14:paraId="41223BB9" w14:textId="0293E8B3"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50B0FA5F" w14:textId="77777777" w:rsidR="004E19C3" w:rsidRPr="00CF31E0" w:rsidRDefault="004E19C3" w:rsidP="00AB1B7A">
            <w:pPr>
              <w:tabs>
                <w:tab w:val="left" w:pos="963"/>
              </w:tabs>
              <w:rPr>
                <w:rFonts w:eastAsia="Times New Roman"/>
                <w:color w:val="000000" w:themeColor="text1"/>
                <w:sz w:val="18"/>
                <w:szCs w:val="18"/>
                <w:lang w:eastAsia="zh-CN"/>
              </w:rPr>
            </w:pPr>
          </w:p>
        </w:tc>
        <w:tc>
          <w:tcPr>
            <w:tcW w:w="1134" w:type="dxa"/>
          </w:tcPr>
          <w:p w14:paraId="5959EF80" w14:textId="4EBA0079"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0B8F7FE2" w14:textId="77777777" w:rsidR="004E19C3" w:rsidRPr="00CF31E0" w:rsidRDefault="004E19C3" w:rsidP="00AB1B7A">
            <w:pPr>
              <w:tabs>
                <w:tab w:val="left" w:pos="963"/>
              </w:tabs>
              <w:rPr>
                <w:rFonts w:eastAsia="Times New Roman"/>
                <w:color w:val="000000" w:themeColor="text1"/>
                <w:sz w:val="18"/>
                <w:szCs w:val="18"/>
                <w:lang w:eastAsia="zh-CN"/>
              </w:rPr>
            </w:pPr>
          </w:p>
        </w:tc>
        <w:tc>
          <w:tcPr>
            <w:tcW w:w="992" w:type="dxa"/>
          </w:tcPr>
          <w:p w14:paraId="6A45E800" w14:textId="3F17B535"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6FF7D29F" w14:textId="77777777" w:rsidR="004E19C3" w:rsidRPr="00CF31E0" w:rsidRDefault="004E19C3" w:rsidP="00AB1B7A">
            <w:pPr>
              <w:tabs>
                <w:tab w:val="left" w:pos="963"/>
              </w:tabs>
              <w:rPr>
                <w:rFonts w:eastAsia="Times New Roman"/>
                <w:color w:val="000000" w:themeColor="text1"/>
                <w:sz w:val="18"/>
                <w:szCs w:val="18"/>
                <w:lang w:eastAsia="zh-CN"/>
              </w:rPr>
            </w:pPr>
          </w:p>
        </w:tc>
        <w:tc>
          <w:tcPr>
            <w:tcW w:w="992" w:type="dxa"/>
          </w:tcPr>
          <w:p w14:paraId="16E2346D" w14:textId="57D05FCB" w:rsidR="004E19C3" w:rsidRPr="00CF31E0" w:rsidRDefault="004E19C3" w:rsidP="00AB1B7A">
            <w:pPr>
              <w:tabs>
                <w:tab w:val="left" w:pos="963"/>
              </w:tabs>
              <w:rPr>
                <w:rFonts w:eastAsia="Times New Roman"/>
                <w:color w:val="000000" w:themeColor="text1"/>
                <w:sz w:val="18"/>
                <w:szCs w:val="18"/>
                <w:lang w:eastAsia="zh-CN"/>
              </w:rPr>
            </w:pPr>
          </w:p>
        </w:tc>
        <w:tc>
          <w:tcPr>
            <w:tcW w:w="533" w:type="dxa"/>
          </w:tcPr>
          <w:p w14:paraId="6F77E49A" w14:textId="77777777" w:rsidR="004E19C3" w:rsidRPr="00CF31E0" w:rsidRDefault="004E19C3" w:rsidP="00AB1B7A">
            <w:pPr>
              <w:tabs>
                <w:tab w:val="left" w:pos="963"/>
              </w:tabs>
              <w:rPr>
                <w:rFonts w:eastAsia="Times New Roman"/>
                <w:color w:val="000000" w:themeColor="text1"/>
                <w:sz w:val="18"/>
                <w:szCs w:val="18"/>
                <w:lang w:eastAsia="zh-CN"/>
              </w:rPr>
            </w:pPr>
          </w:p>
        </w:tc>
        <w:tc>
          <w:tcPr>
            <w:tcW w:w="1006" w:type="dxa"/>
          </w:tcPr>
          <w:p w14:paraId="7F01E6B3" w14:textId="3813ED00" w:rsidR="004E19C3" w:rsidRPr="00CF31E0" w:rsidRDefault="004E19C3" w:rsidP="00AB1B7A">
            <w:pPr>
              <w:tabs>
                <w:tab w:val="left" w:pos="963"/>
              </w:tabs>
              <w:rPr>
                <w:rFonts w:eastAsia="Times New Roman"/>
                <w:color w:val="000000" w:themeColor="text1"/>
                <w:sz w:val="18"/>
                <w:szCs w:val="18"/>
                <w:lang w:eastAsia="zh-CN"/>
              </w:rPr>
            </w:pPr>
          </w:p>
        </w:tc>
        <w:tc>
          <w:tcPr>
            <w:tcW w:w="486" w:type="dxa"/>
          </w:tcPr>
          <w:p w14:paraId="090F643C" w14:textId="77777777" w:rsidR="004E19C3" w:rsidRPr="00CF31E0" w:rsidRDefault="004E19C3" w:rsidP="00AB1B7A">
            <w:pPr>
              <w:tabs>
                <w:tab w:val="left" w:pos="963"/>
              </w:tabs>
              <w:rPr>
                <w:rFonts w:eastAsia="Times New Roman"/>
                <w:color w:val="000000" w:themeColor="text1"/>
                <w:sz w:val="18"/>
                <w:szCs w:val="18"/>
                <w:lang w:eastAsia="zh-CN"/>
              </w:rPr>
            </w:pPr>
          </w:p>
        </w:tc>
      </w:tr>
      <w:tr w:rsidR="008233D5" w:rsidRPr="00CF31E0" w14:paraId="1809DCAF" w14:textId="679D6A5B" w:rsidTr="00603CB7">
        <w:tc>
          <w:tcPr>
            <w:tcW w:w="886" w:type="dxa"/>
          </w:tcPr>
          <w:p w14:paraId="1D2A8F2A" w14:textId="77777777"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08DCB8F8" w14:textId="77777777" w:rsidR="004E19C3" w:rsidRPr="00CF31E0" w:rsidRDefault="004E19C3" w:rsidP="00AB1B7A">
            <w:pPr>
              <w:tabs>
                <w:tab w:val="left" w:pos="963"/>
              </w:tabs>
              <w:rPr>
                <w:rFonts w:eastAsia="Times New Roman"/>
                <w:color w:val="000000" w:themeColor="text1"/>
                <w:sz w:val="18"/>
                <w:szCs w:val="18"/>
                <w:lang w:eastAsia="zh-CN"/>
              </w:rPr>
            </w:pPr>
          </w:p>
        </w:tc>
        <w:tc>
          <w:tcPr>
            <w:tcW w:w="952" w:type="dxa"/>
          </w:tcPr>
          <w:p w14:paraId="04C2F39C" w14:textId="1FE7560B"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3EB17013" w14:textId="77777777" w:rsidR="004E19C3" w:rsidRPr="00CF31E0" w:rsidRDefault="004E19C3" w:rsidP="00AB1B7A">
            <w:pPr>
              <w:tabs>
                <w:tab w:val="left" w:pos="963"/>
              </w:tabs>
              <w:rPr>
                <w:rFonts w:eastAsia="Times New Roman"/>
                <w:color w:val="000000" w:themeColor="text1"/>
                <w:sz w:val="18"/>
                <w:szCs w:val="18"/>
                <w:lang w:eastAsia="zh-CN"/>
              </w:rPr>
            </w:pPr>
          </w:p>
        </w:tc>
        <w:tc>
          <w:tcPr>
            <w:tcW w:w="992" w:type="dxa"/>
          </w:tcPr>
          <w:p w14:paraId="460867BC" w14:textId="5C3D8202"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4DE9A6BB" w14:textId="77777777" w:rsidR="004E19C3" w:rsidRPr="00CF31E0" w:rsidRDefault="004E19C3" w:rsidP="00AB1B7A">
            <w:pPr>
              <w:tabs>
                <w:tab w:val="left" w:pos="963"/>
              </w:tabs>
              <w:rPr>
                <w:rFonts w:eastAsia="Times New Roman"/>
                <w:color w:val="000000" w:themeColor="text1"/>
                <w:sz w:val="18"/>
                <w:szCs w:val="18"/>
                <w:lang w:eastAsia="zh-CN"/>
              </w:rPr>
            </w:pPr>
          </w:p>
        </w:tc>
        <w:tc>
          <w:tcPr>
            <w:tcW w:w="1032" w:type="dxa"/>
          </w:tcPr>
          <w:p w14:paraId="4B807CC0" w14:textId="52E59DF5"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3A475FED" w14:textId="77777777" w:rsidR="004E19C3" w:rsidRPr="00CF31E0" w:rsidRDefault="004E19C3" w:rsidP="00AB1B7A">
            <w:pPr>
              <w:tabs>
                <w:tab w:val="left" w:pos="963"/>
              </w:tabs>
              <w:rPr>
                <w:rFonts w:eastAsia="Times New Roman"/>
                <w:color w:val="000000" w:themeColor="text1"/>
                <w:sz w:val="18"/>
                <w:szCs w:val="18"/>
                <w:lang w:eastAsia="zh-CN"/>
              </w:rPr>
            </w:pPr>
          </w:p>
        </w:tc>
        <w:tc>
          <w:tcPr>
            <w:tcW w:w="953" w:type="dxa"/>
          </w:tcPr>
          <w:p w14:paraId="1B3EA958" w14:textId="0475E7B9"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18231C3C" w14:textId="77777777" w:rsidR="004E19C3" w:rsidRPr="00CF31E0" w:rsidRDefault="004E19C3" w:rsidP="00AB1B7A">
            <w:pPr>
              <w:tabs>
                <w:tab w:val="left" w:pos="963"/>
              </w:tabs>
              <w:rPr>
                <w:rFonts w:eastAsia="Times New Roman"/>
                <w:color w:val="000000" w:themeColor="text1"/>
                <w:sz w:val="18"/>
                <w:szCs w:val="18"/>
                <w:lang w:eastAsia="zh-CN"/>
              </w:rPr>
            </w:pPr>
          </w:p>
        </w:tc>
        <w:tc>
          <w:tcPr>
            <w:tcW w:w="1134" w:type="dxa"/>
          </w:tcPr>
          <w:p w14:paraId="4DF35568" w14:textId="1B2FE9A5"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78ECDD69" w14:textId="77777777" w:rsidR="004E19C3" w:rsidRPr="00CF31E0" w:rsidRDefault="004E19C3" w:rsidP="00AB1B7A">
            <w:pPr>
              <w:tabs>
                <w:tab w:val="left" w:pos="963"/>
              </w:tabs>
              <w:rPr>
                <w:rFonts w:eastAsia="Times New Roman"/>
                <w:color w:val="000000" w:themeColor="text1"/>
                <w:sz w:val="18"/>
                <w:szCs w:val="18"/>
                <w:lang w:eastAsia="zh-CN"/>
              </w:rPr>
            </w:pPr>
          </w:p>
        </w:tc>
        <w:tc>
          <w:tcPr>
            <w:tcW w:w="992" w:type="dxa"/>
          </w:tcPr>
          <w:p w14:paraId="0B2058B7" w14:textId="3355AD7A" w:rsidR="004E19C3" w:rsidRPr="00CF31E0" w:rsidRDefault="004E19C3" w:rsidP="00AB1B7A">
            <w:pPr>
              <w:tabs>
                <w:tab w:val="left" w:pos="963"/>
              </w:tabs>
              <w:rPr>
                <w:rFonts w:eastAsia="Times New Roman"/>
                <w:color w:val="000000" w:themeColor="text1"/>
                <w:sz w:val="18"/>
                <w:szCs w:val="18"/>
                <w:lang w:eastAsia="zh-CN"/>
              </w:rPr>
            </w:pPr>
          </w:p>
        </w:tc>
        <w:tc>
          <w:tcPr>
            <w:tcW w:w="567" w:type="dxa"/>
          </w:tcPr>
          <w:p w14:paraId="7556E75F" w14:textId="77777777" w:rsidR="004E19C3" w:rsidRPr="00CF31E0" w:rsidRDefault="004E19C3" w:rsidP="00AB1B7A">
            <w:pPr>
              <w:tabs>
                <w:tab w:val="left" w:pos="963"/>
              </w:tabs>
              <w:rPr>
                <w:rFonts w:eastAsia="Times New Roman"/>
                <w:color w:val="000000" w:themeColor="text1"/>
                <w:sz w:val="18"/>
                <w:szCs w:val="18"/>
                <w:lang w:eastAsia="zh-CN"/>
              </w:rPr>
            </w:pPr>
          </w:p>
        </w:tc>
        <w:tc>
          <w:tcPr>
            <w:tcW w:w="992" w:type="dxa"/>
          </w:tcPr>
          <w:p w14:paraId="72F82777" w14:textId="4E8F9513" w:rsidR="004E19C3" w:rsidRPr="00CF31E0" w:rsidRDefault="004E19C3" w:rsidP="00AB1B7A">
            <w:pPr>
              <w:tabs>
                <w:tab w:val="left" w:pos="963"/>
              </w:tabs>
              <w:rPr>
                <w:rFonts w:eastAsia="Times New Roman"/>
                <w:color w:val="000000" w:themeColor="text1"/>
                <w:sz w:val="18"/>
                <w:szCs w:val="18"/>
                <w:lang w:eastAsia="zh-CN"/>
              </w:rPr>
            </w:pPr>
          </w:p>
        </w:tc>
        <w:tc>
          <w:tcPr>
            <w:tcW w:w="533" w:type="dxa"/>
          </w:tcPr>
          <w:p w14:paraId="04B1BCAF" w14:textId="77777777" w:rsidR="004E19C3" w:rsidRPr="00CF31E0" w:rsidRDefault="004E19C3" w:rsidP="00AB1B7A">
            <w:pPr>
              <w:tabs>
                <w:tab w:val="left" w:pos="963"/>
              </w:tabs>
              <w:rPr>
                <w:rFonts w:eastAsia="Times New Roman"/>
                <w:color w:val="000000" w:themeColor="text1"/>
                <w:sz w:val="18"/>
                <w:szCs w:val="18"/>
                <w:lang w:eastAsia="zh-CN"/>
              </w:rPr>
            </w:pPr>
          </w:p>
        </w:tc>
        <w:tc>
          <w:tcPr>
            <w:tcW w:w="1006" w:type="dxa"/>
          </w:tcPr>
          <w:p w14:paraId="350EE8E8" w14:textId="0EFFC192" w:rsidR="004E19C3" w:rsidRPr="00CF31E0" w:rsidRDefault="004E19C3" w:rsidP="00AB1B7A">
            <w:pPr>
              <w:tabs>
                <w:tab w:val="left" w:pos="963"/>
              </w:tabs>
              <w:rPr>
                <w:rFonts w:eastAsia="Times New Roman"/>
                <w:color w:val="000000" w:themeColor="text1"/>
                <w:sz w:val="18"/>
                <w:szCs w:val="18"/>
                <w:lang w:eastAsia="zh-CN"/>
              </w:rPr>
            </w:pPr>
          </w:p>
        </w:tc>
        <w:tc>
          <w:tcPr>
            <w:tcW w:w="486" w:type="dxa"/>
          </w:tcPr>
          <w:p w14:paraId="1D060FAF" w14:textId="77777777" w:rsidR="004E19C3" w:rsidRPr="00CF31E0" w:rsidRDefault="004E19C3" w:rsidP="00AB1B7A">
            <w:pPr>
              <w:tabs>
                <w:tab w:val="left" w:pos="963"/>
              </w:tabs>
              <w:rPr>
                <w:rFonts w:eastAsia="Times New Roman"/>
                <w:color w:val="000000" w:themeColor="text1"/>
                <w:sz w:val="18"/>
                <w:szCs w:val="18"/>
                <w:lang w:eastAsia="zh-CN"/>
              </w:rPr>
            </w:pPr>
          </w:p>
        </w:tc>
      </w:tr>
    </w:tbl>
    <w:p w14:paraId="23849B67" w14:textId="6960FEF5" w:rsidR="001E6BAC" w:rsidRPr="00CF31E0" w:rsidRDefault="00CF1B53" w:rsidP="00603CB7">
      <w:pPr>
        <w:pStyle w:val="Tablecaption"/>
        <w:rPr>
          <w:lang w:eastAsia="zh-CN"/>
        </w:rPr>
      </w:pPr>
      <w:bookmarkStart w:id="357" w:name="_Toc6473077"/>
      <w:bookmarkEnd w:id="356"/>
      <w:r w:rsidRPr="00CF31E0">
        <w:rPr>
          <w:lang w:eastAsia="zh-CN"/>
        </w:rPr>
        <w:t xml:space="preserve">Table </w:t>
      </w:r>
      <w:r w:rsidR="0061369D" w:rsidRPr="00CF31E0">
        <w:rPr>
          <w:lang w:eastAsia="zh-CN"/>
        </w:rPr>
        <w:t>6</w:t>
      </w:r>
      <w:r w:rsidRPr="00CF31E0">
        <w:rPr>
          <w:lang w:eastAsia="zh-CN"/>
        </w:rPr>
        <w:t>.1</w:t>
      </w:r>
      <w:r w:rsidR="009C0B49" w:rsidRPr="00CF31E0">
        <w:rPr>
          <w:lang w:eastAsia="zh-CN"/>
        </w:rPr>
        <w:t>0</w:t>
      </w:r>
      <w:r w:rsidRPr="00CF31E0">
        <w:rPr>
          <w:lang w:eastAsia="zh-CN"/>
        </w:rPr>
        <w:t xml:space="preserve">: </w:t>
      </w:r>
      <w:r w:rsidR="005D1502" w:rsidRPr="00CF31E0">
        <w:rPr>
          <w:lang w:eastAsia="zh-CN"/>
        </w:rPr>
        <w:t>Summary of subject pool</w:t>
      </w:r>
      <w:r w:rsidRPr="00CF31E0">
        <w:rPr>
          <w:lang w:eastAsia="zh-CN"/>
        </w:rPr>
        <w:t>.</w:t>
      </w:r>
      <w:bookmarkEnd w:id="357"/>
    </w:p>
    <w:p w14:paraId="0F3F0A3F" w14:textId="77777777" w:rsidR="00CF1B53" w:rsidRPr="00CF31E0" w:rsidRDefault="00CF1B53" w:rsidP="00603CB7">
      <w:pPr>
        <w:pStyle w:val="Tablecaption"/>
        <w:rPr>
          <w:lang w:eastAsia="zh-CN"/>
        </w:rPr>
      </w:pPr>
    </w:p>
    <w:p w14:paraId="7849548F" w14:textId="77777777" w:rsidR="00CF1B53" w:rsidRPr="00CF31E0" w:rsidRDefault="00CF1B53" w:rsidP="00AB1B7A">
      <w:pPr>
        <w:tabs>
          <w:tab w:val="left" w:pos="963"/>
        </w:tabs>
        <w:rPr>
          <w:rFonts w:eastAsia="Times New Roman"/>
          <w:color w:val="000000" w:themeColor="text1"/>
          <w:szCs w:val="22"/>
          <w:lang w:eastAsia="zh-CN"/>
        </w:rPr>
      </w:pPr>
    </w:p>
    <w:p w14:paraId="303DE56A" w14:textId="77777777" w:rsidR="00CF1B53" w:rsidRPr="00CF31E0" w:rsidRDefault="00CF1B53" w:rsidP="00AB1B7A">
      <w:pPr>
        <w:tabs>
          <w:tab w:val="left" w:pos="963"/>
        </w:tabs>
        <w:rPr>
          <w:rFonts w:eastAsia="Times New Roman"/>
          <w:color w:val="000000" w:themeColor="text1"/>
          <w:szCs w:val="22"/>
          <w:lang w:eastAsia="zh-CN"/>
        </w:rPr>
        <w:sectPr w:rsidR="00CF1B53" w:rsidRPr="00CF31E0" w:rsidSect="00603CB7">
          <w:footerReference w:type="default" r:id="rId30"/>
          <w:pgSz w:w="16817" w:h="11901" w:orient="landscape"/>
          <w:pgMar w:top="1134" w:right="2268" w:bottom="2268" w:left="2268" w:header="709" w:footer="709" w:gutter="0"/>
          <w:cols w:space="708"/>
          <w:docGrid w:linePitch="360"/>
        </w:sectPr>
      </w:pPr>
    </w:p>
    <w:p w14:paraId="6CC2C2C5" w14:textId="1C6F4766" w:rsidR="0007702B" w:rsidRPr="00CF31E0" w:rsidRDefault="0007702B" w:rsidP="00730917">
      <w:pPr>
        <w:pStyle w:val="Title"/>
        <w:rPr>
          <w:rFonts w:eastAsia="Times New Roman"/>
          <w:color w:val="000000" w:themeColor="text1"/>
        </w:rPr>
      </w:pPr>
      <w:bookmarkStart w:id="358" w:name="_Toc6472697"/>
      <w:r w:rsidRPr="00CF31E0">
        <w:rPr>
          <w:rFonts w:eastAsia="Times New Roman"/>
          <w:color w:val="000000" w:themeColor="text1"/>
        </w:rPr>
        <w:lastRenderedPageBreak/>
        <w:t xml:space="preserve">Chapter </w:t>
      </w:r>
      <w:r w:rsidR="008F6C5D" w:rsidRPr="00CF31E0">
        <w:rPr>
          <w:rFonts w:eastAsia="Times New Roman"/>
          <w:color w:val="000000" w:themeColor="text1"/>
        </w:rPr>
        <w:t>7</w:t>
      </w:r>
      <w:r w:rsidRPr="00CF31E0">
        <w:rPr>
          <w:rFonts w:eastAsia="Times New Roman"/>
          <w:color w:val="000000" w:themeColor="text1"/>
        </w:rPr>
        <w:t xml:space="preserve">: </w:t>
      </w:r>
      <w:r w:rsidR="00BD7CFB" w:rsidRPr="00CF31E0">
        <w:rPr>
          <w:rFonts w:eastAsia="Times New Roman"/>
          <w:color w:val="000000" w:themeColor="text1"/>
        </w:rPr>
        <w:t>R</w:t>
      </w:r>
      <w:r w:rsidRPr="00CF31E0">
        <w:rPr>
          <w:rFonts w:eastAsia="Times New Roman"/>
          <w:color w:val="000000" w:themeColor="text1"/>
        </w:rPr>
        <w:t>esults</w:t>
      </w:r>
      <w:r w:rsidR="00BD7CFB" w:rsidRPr="00CF31E0">
        <w:rPr>
          <w:rFonts w:eastAsia="Times New Roman"/>
          <w:color w:val="000000" w:themeColor="text1"/>
        </w:rPr>
        <w:t xml:space="preserve"> chapter for RQ1</w:t>
      </w:r>
      <w:bookmarkEnd w:id="358"/>
    </w:p>
    <w:p w14:paraId="325FAF20" w14:textId="7412DF21" w:rsidR="00A23C2A" w:rsidRPr="00CF31E0" w:rsidRDefault="008F6C5D" w:rsidP="00DE7711">
      <w:pPr>
        <w:pStyle w:val="Ahead"/>
      </w:pPr>
      <w:bookmarkStart w:id="359" w:name="_Toc6472698"/>
      <w:r w:rsidRPr="00CF31E0">
        <w:t>7</w:t>
      </w:r>
      <w:r w:rsidR="0007702B" w:rsidRPr="00CF31E0">
        <w:t>.1</w:t>
      </w:r>
      <w:r w:rsidR="00D12517" w:rsidRPr="00CF31E0">
        <w:t>.</w:t>
      </w:r>
      <w:r w:rsidR="002D1BDF" w:rsidRPr="00CF31E0">
        <w:tab/>
      </w:r>
      <w:r w:rsidR="00A23C2A" w:rsidRPr="00CF31E0">
        <w:t>Introduction</w:t>
      </w:r>
      <w:bookmarkEnd w:id="359"/>
    </w:p>
    <w:p w14:paraId="77F3F292" w14:textId="5BC34CFC" w:rsidR="008C6682" w:rsidRPr="00CF31E0" w:rsidRDefault="008C6682" w:rsidP="00603CB7">
      <w:pPr>
        <w:pStyle w:val="Paragraph"/>
      </w:pPr>
      <w:r w:rsidRPr="00CF31E0">
        <w:t>This chapter presents findings from RQ1</w:t>
      </w:r>
      <w:r w:rsidR="0008788E" w:rsidRPr="00CF31E0">
        <w:t xml:space="preserve">. </w:t>
      </w:r>
      <w:r w:rsidRPr="00CF31E0">
        <w:t xml:space="preserve">The basic sample </w:t>
      </w:r>
      <w:r w:rsidR="001B1A67" w:rsidRPr="00CF31E0">
        <w:t xml:space="preserve">consists of </w:t>
      </w:r>
      <w:r w:rsidRPr="00CF31E0">
        <w:t>649 participants</w:t>
      </w:r>
      <w:r w:rsidR="001B1A67" w:rsidRPr="00CF31E0">
        <w:t xml:space="preserve">; </w:t>
      </w:r>
      <w:r w:rsidRPr="00CF31E0">
        <w:t xml:space="preserve">see </w:t>
      </w:r>
      <w:r w:rsidR="001B1A67" w:rsidRPr="00CF31E0">
        <w:t>T</w:t>
      </w:r>
      <w:r w:rsidR="0008788E" w:rsidRPr="00CF31E0">
        <w:t>able</w:t>
      </w:r>
      <w:r w:rsidR="001B1A67" w:rsidRPr="00CF31E0">
        <w:t xml:space="preserve"> 6.10 </w:t>
      </w:r>
      <w:r w:rsidR="0008788E" w:rsidRPr="00CF31E0">
        <w:t xml:space="preserve">in </w:t>
      </w:r>
      <w:r w:rsidR="00CE2B99" w:rsidRPr="00CF31E0">
        <w:t>C</w:t>
      </w:r>
      <w:r w:rsidRPr="00CF31E0">
        <w:t xml:space="preserve">hapter </w:t>
      </w:r>
      <w:r w:rsidR="008F6C5D" w:rsidRPr="00CF31E0">
        <w:t xml:space="preserve">6 </w:t>
      </w:r>
      <w:r w:rsidRPr="00CF31E0">
        <w:t xml:space="preserve">for </w:t>
      </w:r>
      <w:r w:rsidR="001B1A67" w:rsidRPr="00CF31E0">
        <w:t xml:space="preserve">further </w:t>
      </w:r>
      <w:r w:rsidRPr="00CF31E0">
        <w:t xml:space="preserve">details on the subject pool. The results from the questions are presented in tabular format. I conducted chi-square tests on the data elicited for each question to reveal the effects of the following demographic variables on the data:  </w:t>
      </w:r>
      <w:r w:rsidRPr="00CF31E0">
        <w:rPr>
          <w:bCs/>
          <w:lang w:eastAsia="zh-CN"/>
        </w:rPr>
        <w:t>gender, age, place of birth, places lived, marital status, education level, social group, mother’s social group and spouse’s social group</w:t>
      </w:r>
      <w:r w:rsidRPr="00CF31E0">
        <w:t xml:space="preserve">. </w:t>
      </w:r>
    </w:p>
    <w:p w14:paraId="26B6E703" w14:textId="6E6D5734" w:rsidR="00A23C2A" w:rsidRPr="00CF31E0" w:rsidRDefault="008F6C5D" w:rsidP="00E87209">
      <w:pPr>
        <w:pStyle w:val="Ahead"/>
        <w:rPr>
          <w:rFonts w:eastAsia="Times New Roman"/>
        </w:rPr>
      </w:pPr>
      <w:bookmarkStart w:id="360" w:name="_Toc6472699"/>
      <w:r w:rsidRPr="00CF31E0">
        <w:rPr>
          <w:rFonts w:eastAsia="Times New Roman"/>
        </w:rPr>
        <w:t>7</w:t>
      </w:r>
      <w:r w:rsidR="0067467E" w:rsidRPr="00CF31E0">
        <w:rPr>
          <w:rFonts w:eastAsia="Times New Roman"/>
        </w:rPr>
        <w:t>.2</w:t>
      </w:r>
      <w:r w:rsidR="00D12517" w:rsidRPr="00CF31E0">
        <w:rPr>
          <w:rFonts w:eastAsia="Times New Roman"/>
        </w:rPr>
        <w:t>.</w:t>
      </w:r>
      <w:r w:rsidR="002D1BDF" w:rsidRPr="00CF31E0">
        <w:tab/>
      </w:r>
      <w:r w:rsidR="00A23C2A" w:rsidRPr="00CF31E0">
        <w:rPr>
          <w:rFonts w:eastAsia="Times New Roman"/>
        </w:rPr>
        <w:t>Q1: What does the Hijazi dialect refer to?</w:t>
      </w:r>
      <w:bookmarkEnd w:id="360"/>
    </w:p>
    <w:p w14:paraId="51C93827" w14:textId="3AD81DDA" w:rsidR="00A23C2A" w:rsidRPr="00CF31E0" w:rsidRDefault="00A23C2A" w:rsidP="00603CB7">
      <w:pPr>
        <w:pStyle w:val="Paragraph"/>
      </w:pPr>
      <w:r w:rsidRPr="00CF31E0">
        <w:t xml:space="preserve">Participants were asked to provide information on their perceptions of what dialect they think the Hijazi dialect refers to. This question was designed to reveal whether there are any stereotypical attitudes underlying participants’ perceptions. For more details on the purpose of this particular question, see </w:t>
      </w:r>
      <w:r w:rsidR="00CE2B99" w:rsidRPr="00CF31E0">
        <w:t>C</w:t>
      </w:r>
      <w:r w:rsidR="00A06672" w:rsidRPr="00CF31E0">
        <w:t>hapter 2</w:t>
      </w:r>
      <w:r w:rsidR="00CE2B99" w:rsidRPr="00CF31E0">
        <w:t>,</w:t>
      </w:r>
      <w:r w:rsidR="00A06672" w:rsidRPr="00CF31E0">
        <w:t xml:space="preserve"> section 2.17.</w:t>
      </w:r>
      <w:r w:rsidRPr="00CF31E0">
        <w:t xml:space="preserve"> Participants were provided with three choices: UBH dialect, HH dialect, and both dialects. The results revealed that the majority of participants perceived that the Hijazi dialect refer</w:t>
      </w:r>
      <w:r w:rsidR="0008788E" w:rsidRPr="00CF31E0">
        <w:t xml:space="preserve">s to the HH dialect. See Table </w:t>
      </w:r>
      <w:r w:rsidR="00116DBE" w:rsidRPr="00CF31E0">
        <w:t>7</w:t>
      </w:r>
      <w:r w:rsidR="0008788E" w:rsidRPr="00CF31E0">
        <w:t>.1</w:t>
      </w:r>
      <w:r w:rsidRPr="00CF31E0">
        <w:t xml:space="preserve">. </w:t>
      </w:r>
    </w:p>
    <w:tbl>
      <w:tblPr>
        <w:tblW w:w="4820" w:type="dxa"/>
        <w:tblLayout w:type="fixed"/>
        <w:tblCellMar>
          <w:left w:w="0" w:type="dxa"/>
          <w:right w:w="0" w:type="dxa"/>
        </w:tblCellMar>
        <w:tblLook w:val="04A0" w:firstRow="1" w:lastRow="0" w:firstColumn="1" w:lastColumn="0" w:noHBand="0" w:noVBand="1"/>
      </w:tblPr>
      <w:tblGrid>
        <w:gridCol w:w="3119"/>
        <w:gridCol w:w="1701"/>
      </w:tblGrid>
      <w:tr w:rsidR="00A25DDA" w:rsidRPr="00CF31E0" w14:paraId="2500B9E1" w14:textId="77777777" w:rsidTr="00DE7BDA">
        <w:trPr>
          <w:cantSplit/>
          <w:trHeight w:val="567"/>
        </w:trPr>
        <w:tc>
          <w:tcPr>
            <w:tcW w:w="3119" w:type="dxa"/>
            <w:tcBorders>
              <w:top w:val="single" w:sz="8" w:space="0" w:color="000000"/>
              <w:bottom w:val="single" w:sz="8" w:space="0" w:color="000000"/>
            </w:tcBorders>
            <w:shd w:val="clear" w:color="auto" w:fill="FFFFFF"/>
          </w:tcPr>
          <w:p w14:paraId="6B4F1B85" w14:textId="1F1A5BB8" w:rsidR="00A25DDA" w:rsidRPr="00CF31E0" w:rsidRDefault="00645B00" w:rsidP="00C73201">
            <w:pPr>
              <w:spacing w:before="120" w:after="120"/>
              <w:rPr>
                <w:rFonts w:asciiTheme="majorBidi" w:hAnsiTheme="majorBidi" w:cstheme="majorBidi"/>
                <w:color w:val="000000" w:themeColor="text1"/>
                <w:sz w:val="22"/>
                <w:szCs w:val="22"/>
              </w:rPr>
            </w:pPr>
            <w:bookmarkStart w:id="361" w:name="_Toc522527405"/>
            <w:bookmarkStart w:id="362" w:name="_Toc522628817"/>
            <w:bookmarkStart w:id="363" w:name="_Toc522628981"/>
            <w:r>
              <w:rPr>
                <w:rFonts w:asciiTheme="majorBidi" w:hAnsiTheme="majorBidi" w:cstheme="majorBidi"/>
                <w:color w:val="000000" w:themeColor="text1"/>
                <w:sz w:val="22"/>
                <w:szCs w:val="22"/>
              </w:rPr>
              <w:t>The Hij</w:t>
            </w:r>
            <w:r w:rsidR="00A25DDA" w:rsidRPr="00CF31E0">
              <w:rPr>
                <w:rFonts w:asciiTheme="majorBidi" w:hAnsiTheme="majorBidi" w:cstheme="majorBidi"/>
                <w:color w:val="000000" w:themeColor="text1"/>
                <w:sz w:val="22"/>
                <w:szCs w:val="22"/>
              </w:rPr>
              <w:t>azi dialect refers to</w:t>
            </w:r>
          </w:p>
        </w:tc>
        <w:tc>
          <w:tcPr>
            <w:tcW w:w="1701" w:type="dxa"/>
            <w:tcBorders>
              <w:top w:val="single" w:sz="8" w:space="0" w:color="000000"/>
              <w:bottom w:val="single" w:sz="8" w:space="0" w:color="000000"/>
            </w:tcBorders>
            <w:shd w:val="clear" w:color="auto" w:fill="FFFFFF"/>
          </w:tcPr>
          <w:p w14:paraId="54DFB3C7" w14:textId="00E65396" w:rsidR="00A25DDA" w:rsidRPr="00CF31E0" w:rsidRDefault="00A25DDA" w:rsidP="00C73201">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xml:space="preserve">Raw frequency </w:t>
            </w:r>
          </w:p>
        </w:tc>
      </w:tr>
      <w:tr w:rsidR="00A25DDA" w:rsidRPr="00CF31E0" w14:paraId="00FD7D84" w14:textId="77777777" w:rsidTr="00DE7BDA">
        <w:trPr>
          <w:cantSplit/>
        </w:trPr>
        <w:tc>
          <w:tcPr>
            <w:tcW w:w="3119" w:type="dxa"/>
            <w:tcBorders>
              <w:top w:val="single" w:sz="8" w:space="0" w:color="000000"/>
            </w:tcBorders>
            <w:shd w:val="clear" w:color="auto" w:fill="FFFFFF"/>
          </w:tcPr>
          <w:p w14:paraId="27E7A563" w14:textId="37BFDB3E" w:rsidR="00A25DDA" w:rsidRPr="00CF31E0" w:rsidRDefault="00A25DDA" w:rsidP="00C73201">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UBH dialect</w:t>
            </w:r>
          </w:p>
        </w:tc>
        <w:tc>
          <w:tcPr>
            <w:tcW w:w="1701" w:type="dxa"/>
            <w:tcBorders>
              <w:top w:val="single" w:sz="8" w:space="0" w:color="000000"/>
            </w:tcBorders>
            <w:shd w:val="clear" w:color="auto" w:fill="FFFFFF"/>
          </w:tcPr>
          <w:p w14:paraId="7CC086BA" w14:textId="395CE2B3" w:rsidR="00A25DDA" w:rsidRPr="00CF31E0" w:rsidRDefault="00A25DDA" w:rsidP="00C73201">
            <w:pPr>
              <w:spacing w:before="120" w:after="120"/>
              <w:rPr>
                <w:rFonts w:asciiTheme="majorBidi" w:hAnsiTheme="majorBidi" w:cstheme="majorBidi"/>
                <w:color w:val="000000" w:themeColor="text1"/>
                <w:sz w:val="22"/>
                <w:szCs w:val="22"/>
              </w:rPr>
            </w:pPr>
            <w:r w:rsidRPr="00CF31E0">
              <w:rPr>
                <w:color w:val="000000" w:themeColor="text1"/>
                <w:sz w:val="22"/>
                <w:szCs w:val="22"/>
              </w:rPr>
              <w:t xml:space="preserve">  39</w:t>
            </w:r>
          </w:p>
        </w:tc>
      </w:tr>
      <w:tr w:rsidR="00A25DDA" w:rsidRPr="00CF31E0" w14:paraId="4865BFF8" w14:textId="77777777" w:rsidTr="004F45D7">
        <w:trPr>
          <w:cantSplit/>
        </w:trPr>
        <w:tc>
          <w:tcPr>
            <w:tcW w:w="3119" w:type="dxa"/>
            <w:shd w:val="clear" w:color="auto" w:fill="FFFFFF"/>
          </w:tcPr>
          <w:p w14:paraId="17C4F2AB" w14:textId="3B2DCD0B" w:rsidR="00A25DDA" w:rsidRPr="00CF31E0" w:rsidRDefault="00A25DDA" w:rsidP="00C73201">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HH dialect</w:t>
            </w:r>
          </w:p>
        </w:tc>
        <w:tc>
          <w:tcPr>
            <w:tcW w:w="1701" w:type="dxa"/>
            <w:shd w:val="clear" w:color="auto" w:fill="FFFFFF"/>
          </w:tcPr>
          <w:p w14:paraId="799E490F" w14:textId="13942A9B" w:rsidR="00A25DDA" w:rsidRPr="00CF31E0" w:rsidRDefault="00A25DDA" w:rsidP="00C73201">
            <w:pPr>
              <w:spacing w:before="120" w:after="120"/>
              <w:rPr>
                <w:rFonts w:asciiTheme="majorBidi" w:hAnsiTheme="majorBidi" w:cstheme="majorBidi"/>
                <w:color w:val="000000" w:themeColor="text1"/>
                <w:sz w:val="22"/>
                <w:szCs w:val="22"/>
              </w:rPr>
            </w:pPr>
            <w:r w:rsidRPr="00CF31E0">
              <w:rPr>
                <w:color w:val="000000" w:themeColor="text1"/>
                <w:sz w:val="22"/>
                <w:szCs w:val="22"/>
              </w:rPr>
              <w:t>529</w:t>
            </w:r>
          </w:p>
        </w:tc>
      </w:tr>
      <w:tr w:rsidR="00A25DDA" w:rsidRPr="00CF31E0" w14:paraId="662CC13E" w14:textId="77777777" w:rsidTr="004F45D7">
        <w:trPr>
          <w:cantSplit/>
        </w:trPr>
        <w:tc>
          <w:tcPr>
            <w:tcW w:w="3119" w:type="dxa"/>
            <w:tcBorders>
              <w:bottom w:val="single" w:sz="8" w:space="0" w:color="000000"/>
            </w:tcBorders>
            <w:shd w:val="clear" w:color="auto" w:fill="FFFFFF"/>
          </w:tcPr>
          <w:p w14:paraId="02826464" w14:textId="47534DF3" w:rsidR="00A25DDA" w:rsidRPr="00CF31E0" w:rsidRDefault="00A25DDA" w:rsidP="00C73201">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Both dialects</w:t>
            </w:r>
          </w:p>
        </w:tc>
        <w:tc>
          <w:tcPr>
            <w:tcW w:w="1701" w:type="dxa"/>
            <w:tcBorders>
              <w:bottom w:val="single" w:sz="8" w:space="0" w:color="000000"/>
            </w:tcBorders>
            <w:shd w:val="clear" w:color="auto" w:fill="FFFFFF"/>
          </w:tcPr>
          <w:p w14:paraId="5F51F4E4" w14:textId="6380D1EA" w:rsidR="00A25DDA" w:rsidRPr="00CF31E0" w:rsidRDefault="00A25DDA" w:rsidP="00C73201">
            <w:pPr>
              <w:spacing w:before="120" w:after="120"/>
              <w:rPr>
                <w:color w:val="000000" w:themeColor="text1"/>
                <w:sz w:val="22"/>
                <w:szCs w:val="22"/>
              </w:rPr>
            </w:pPr>
            <w:r w:rsidRPr="00CF31E0">
              <w:rPr>
                <w:color w:val="000000" w:themeColor="text1"/>
                <w:sz w:val="22"/>
                <w:szCs w:val="22"/>
              </w:rPr>
              <w:t xml:space="preserve">  81</w:t>
            </w:r>
          </w:p>
        </w:tc>
      </w:tr>
    </w:tbl>
    <w:p w14:paraId="7BC168CB" w14:textId="6462634F" w:rsidR="00A23C2A" w:rsidRPr="00CF31E0" w:rsidRDefault="00A23C2A" w:rsidP="00730917">
      <w:pPr>
        <w:pStyle w:val="Tablecaption"/>
      </w:pPr>
      <w:bookmarkStart w:id="364" w:name="_Toc6473078"/>
      <w:r w:rsidRPr="00CF31E0">
        <w:t xml:space="preserve">Table </w:t>
      </w:r>
      <w:r w:rsidR="00116DBE" w:rsidRPr="00CF31E0">
        <w:t>7</w:t>
      </w:r>
      <w:r w:rsidR="00A90457" w:rsidRPr="00CF31E0">
        <w:t>.</w:t>
      </w:r>
      <w:r w:rsidRPr="00CF31E0">
        <w:t>1: Participants’ selection of the choices provided in Q1.</w:t>
      </w:r>
      <w:bookmarkEnd w:id="361"/>
      <w:bookmarkEnd w:id="362"/>
      <w:bookmarkEnd w:id="363"/>
      <w:bookmarkEnd w:id="364"/>
      <w:r w:rsidRPr="00CF31E0">
        <w:t xml:space="preserve"> </w:t>
      </w:r>
    </w:p>
    <w:p w14:paraId="7A5ADB44" w14:textId="3AD3C762" w:rsidR="008C6682" w:rsidRPr="00CF31E0" w:rsidRDefault="00A23C2A" w:rsidP="00603CB7">
      <w:pPr>
        <w:pStyle w:val="Paragraph"/>
      </w:pPr>
      <w:r w:rsidRPr="00CF31E0">
        <w:t xml:space="preserve">As illustrated in Table </w:t>
      </w:r>
      <w:r w:rsidR="00116DBE" w:rsidRPr="00CF31E0">
        <w:t>7</w:t>
      </w:r>
      <w:r w:rsidR="00A90457" w:rsidRPr="00CF31E0">
        <w:t>.</w:t>
      </w:r>
      <w:r w:rsidRPr="00CF31E0">
        <w:t xml:space="preserve">1, 529 participants perceived that the Hijazi dialect refers to the HH dialect, and only 39 participants perceived that the Hijazi dialect refers to the UBH dialect. The remaining 81 participants perceived </w:t>
      </w:r>
      <w:r w:rsidRPr="00CF31E0">
        <w:lastRenderedPageBreak/>
        <w:t xml:space="preserve">the Hijazi dialect as referring to both of the other two dialects. </w:t>
      </w:r>
      <w:r w:rsidR="00BE1515" w:rsidRPr="00CF31E0">
        <w:t>For more details on the subject pool</w:t>
      </w:r>
      <w:r w:rsidR="005D1502" w:rsidRPr="00CF31E0">
        <w:t>,</w:t>
      </w:r>
      <w:r w:rsidR="00BE1515" w:rsidRPr="00CF31E0">
        <w:t xml:space="preserve"> see </w:t>
      </w:r>
      <w:r w:rsidR="001B1A67" w:rsidRPr="00CF31E0">
        <w:t>T</w:t>
      </w:r>
      <w:r w:rsidR="00BE1515" w:rsidRPr="00CF31E0">
        <w:t xml:space="preserve">able </w:t>
      </w:r>
      <w:r w:rsidR="001B1A67" w:rsidRPr="00CF31E0">
        <w:t xml:space="preserve">6.10 </w:t>
      </w:r>
      <w:r w:rsidR="0008788E" w:rsidRPr="00CF31E0">
        <w:t xml:space="preserve">in </w:t>
      </w:r>
      <w:r w:rsidR="001B1A67" w:rsidRPr="00CF31E0">
        <w:t>C</w:t>
      </w:r>
      <w:r w:rsidR="0008788E" w:rsidRPr="00CF31E0">
        <w:t>hapter</w:t>
      </w:r>
      <w:r w:rsidR="001B1A67" w:rsidRPr="00CF31E0">
        <w:t xml:space="preserve"> 6.</w:t>
      </w:r>
    </w:p>
    <w:p w14:paraId="77C3CB4C" w14:textId="6B966153" w:rsidR="00A23C2A" w:rsidRPr="00CF31E0" w:rsidRDefault="008C6682" w:rsidP="00603CB7">
      <w:pPr>
        <w:pStyle w:val="Paragraph"/>
        <w:rPr>
          <w:szCs w:val="28"/>
        </w:rPr>
      </w:pPr>
      <w:r w:rsidRPr="00CF31E0">
        <w:t xml:space="preserve">In order to measure the effects of the following demographic variables on the data: </w:t>
      </w:r>
      <w:r w:rsidRPr="00CF31E0">
        <w:rPr>
          <w:lang w:eastAsia="zh-CN"/>
        </w:rPr>
        <w:t>gender, age, place of birth, places lived, marital status, education level, social group, mother’s social group and spouse’s social</w:t>
      </w:r>
      <w:r w:rsidR="001B1A67" w:rsidRPr="00CF31E0">
        <w:rPr>
          <w:lang w:eastAsia="zh-CN"/>
        </w:rPr>
        <w:t xml:space="preserve"> group</w:t>
      </w:r>
      <w:r w:rsidR="00A23C2A" w:rsidRPr="00CF31E0">
        <w:t>, I conducted a series of chi-square tests</w:t>
      </w:r>
      <w:r w:rsidR="007376A7" w:rsidRPr="00CF31E0">
        <w:t xml:space="preserve"> in </w:t>
      </w:r>
      <w:r w:rsidR="007376A7" w:rsidRPr="00CF31E0">
        <w:rPr>
          <w:rFonts w:eastAsia="MS Mincho"/>
          <w:lang w:val="en-US" w:eastAsia="zh-CN"/>
        </w:rPr>
        <w:t>IBM SPSS (version 23)</w:t>
      </w:r>
      <w:r w:rsidR="00A23C2A" w:rsidRPr="00CF31E0">
        <w:t xml:space="preserve">. </w:t>
      </w:r>
      <w:r w:rsidR="00A23C2A" w:rsidRPr="00CF31E0">
        <w:rPr>
          <w:szCs w:val="28"/>
        </w:rPr>
        <w:t>The chi-square test “compares the observed frequencies or proportions of cases that occur in each of the categories, with the values that would be expected if there was no association between the two variable</w:t>
      </w:r>
      <w:r w:rsidR="00FE5B75" w:rsidRPr="00CF31E0">
        <w:rPr>
          <w:szCs w:val="28"/>
        </w:rPr>
        <w:t>s</w:t>
      </w:r>
      <w:r w:rsidR="00A23C2A" w:rsidRPr="00CF31E0">
        <w:rPr>
          <w:szCs w:val="28"/>
        </w:rPr>
        <w:t xml:space="preserve"> being measured” </w:t>
      </w:r>
      <w:r w:rsidR="00A23C2A" w:rsidRPr="00CF31E0">
        <w:rPr>
          <w:szCs w:val="28"/>
        </w:rPr>
        <w:fldChar w:fldCharType="begin"/>
      </w:r>
      <w:r w:rsidR="00A23C2A" w:rsidRPr="00CF31E0">
        <w:rPr>
          <w:szCs w:val="28"/>
        </w:rPr>
        <w:instrText xml:space="preserve"> ADDIN ZOTERO_ITEM CSL_CITATION {"citationID":"sjJbOBGd","properties":{"formattedCitation":"(Pallant, 2013, p. 225)","plainCitation":"(Pallant, 2013, p. 225)"},"citationItems":[{"id":208,"uris":["http://zotero.org/users/1939618/items/ME4Z3BDW"],"uri":["http://zotero.org/users/1939618/items/ME4Z3BDW"],"itemData":{"id":208,"type":"book","title":"SPSS survival manual","publisher":"McGraw-Hill Education (UK)","edition":"5th","source":"Google Scholar","URL":"https://books.google.co.uk/books?hl=en&amp;lr=&amp;id=fZZTBgAAQBAJ&amp;oi=fnd&amp;pg=PR7&amp;dq=spss+manual+survival+5th+edition&amp;ots=KUNtjTXXyQ&amp;sig=bmJQspifgoygavKVhpMYsXasP1I","author":[{"family":"Pallant","given":"Julie"}],"issued":{"date-parts":[["2013"]]},"accessed":{"date-parts":[["2016",11,25]]}},"locator":"225","label":"page"}],"schema":"https://github.com/citation-style-language/schema/raw/master/csl-citation.json"} </w:instrText>
      </w:r>
      <w:r w:rsidR="00A23C2A" w:rsidRPr="00CF31E0">
        <w:rPr>
          <w:szCs w:val="28"/>
        </w:rPr>
        <w:fldChar w:fldCharType="separate"/>
      </w:r>
      <w:r w:rsidR="00A23C2A" w:rsidRPr="00CF31E0">
        <w:rPr>
          <w:noProof/>
          <w:szCs w:val="28"/>
        </w:rPr>
        <w:t>(Pallant, 2013, p. 225)</w:t>
      </w:r>
      <w:r w:rsidR="00A23C2A" w:rsidRPr="00CF31E0">
        <w:rPr>
          <w:szCs w:val="28"/>
        </w:rPr>
        <w:fldChar w:fldCharType="end"/>
      </w:r>
      <w:r w:rsidR="00A23C2A" w:rsidRPr="00CF31E0">
        <w:rPr>
          <w:szCs w:val="28"/>
        </w:rPr>
        <w:t xml:space="preserve">. I selected this test over other statistical tests because it enables exploration of the relationship between two categorical variables (i.e. gender and social group dialect) that contain two or more categories. In contrast, other types of statistical tests need one categorical variable (i.e. gender) to be compared with another continuous variable (i.e. modern characteristic). </w:t>
      </w:r>
    </w:p>
    <w:p w14:paraId="2D5B2489" w14:textId="39C81620" w:rsidR="00A23C2A" w:rsidRPr="00CF31E0" w:rsidRDefault="00A23C2A" w:rsidP="00603CB7">
      <w:pPr>
        <w:pStyle w:val="Paragraph"/>
      </w:pPr>
      <w:r w:rsidRPr="00CF31E0">
        <w:t>The findings revealed that gender is the only demographic variable that seemed to affect the results, which I will illustrate in the next section.</w:t>
      </w:r>
    </w:p>
    <w:p w14:paraId="2C99F5AC" w14:textId="6994DACF" w:rsidR="00A23C2A" w:rsidRPr="00CF31E0" w:rsidRDefault="00116DBE" w:rsidP="00E87209">
      <w:pPr>
        <w:pStyle w:val="Bhead"/>
      </w:pPr>
      <w:bookmarkStart w:id="365" w:name="_Toc6472700"/>
      <w:r w:rsidRPr="00CF31E0">
        <w:t>7</w:t>
      </w:r>
      <w:r w:rsidR="00D12517" w:rsidRPr="00CF31E0">
        <w:t>.2.1.</w:t>
      </w:r>
      <w:r w:rsidR="00F106E7" w:rsidRPr="00CF31E0">
        <w:tab/>
      </w:r>
      <w:r w:rsidR="00A23C2A" w:rsidRPr="00CF31E0">
        <w:t>Effects of demographic variables on the data</w:t>
      </w:r>
      <w:bookmarkEnd w:id="365"/>
    </w:p>
    <w:p w14:paraId="29729E54" w14:textId="0E9B19BC" w:rsidR="00A23C2A" w:rsidRPr="00CF31E0" w:rsidRDefault="00A23C2A" w:rsidP="00603CB7">
      <w:pPr>
        <w:pStyle w:val="Paragraph"/>
      </w:pPr>
      <w:r w:rsidRPr="00CF31E0">
        <w:t xml:space="preserve">The results from the chi-square tests revealed that gender was the only demographic variable to have a significant effect on the results. Table </w:t>
      </w:r>
      <w:r w:rsidR="00116DBE" w:rsidRPr="00CF31E0">
        <w:t>7</w:t>
      </w:r>
      <w:r w:rsidR="00A90457" w:rsidRPr="00CF31E0">
        <w:t>.</w:t>
      </w:r>
      <w:r w:rsidRPr="00CF31E0">
        <w:t xml:space="preserve">2 illustrates the significance value. </w:t>
      </w:r>
    </w:p>
    <w:tbl>
      <w:tblPr>
        <w:tblW w:w="7139" w:type="dxa"/>
        <w:tblLayout w:type="fixed"/>
        <w:tblLook w:val="04A0" w:firstRow="1" w:lastRow="0" w:firstColumn="1" w:lastColumn="0" w:noHBand="0" w:noVBand="1"/>
      </w:tblPr>
      <w:tblGrid>
        <w:gridCol w:w="2235"/>
        <w:gridCol w:w="992"/>
        <w:gridCol w:w="510"/>
        <w:gridCol w:w="3402"/>
      </w:tblGrid>
      <w:tr w:rsidR="00117C0E" w:rsidRPr="00CF31E0" w14:paraId="5E263831" w14:textId="77777777" w:rsidTr="00FA4D2F">
        <w:trPr>
          <w:trHeight w:val="567"/>
        </w:trPr>
        <w:tc>
          <w:tcPr>
            <w:tcW w:w="2235" w:type="dxa"/>
            <w:tcBorders>
              <w:top w:val="single" w:sz="8" w:space="0" w:color="auto"/>
              <w:bottom w:val="single" w:sz="8" w:space="0" w:color="auto"/>
            </w:tcBorders>
            <w:shd w:val="clear" w:color="auto" w:fill="auto"/>
            <w:hideMark/>
          </w:tcPr>
          <w:p w14:paraId="6EB76EF1" w14:textId="77777777" w:rsidR="00117C0E" w:rsidRPr="00CF31E0" w:rsidRDefault="00117C0E" w:rsidP="00FA4D2F">
            <w:pPr>
              <w:spacing w:before="80" w:after="80" w:line="276" w:lineRule="auto"/>
              <w:rPr>
                <w:rFonts w:asciiTheme="majorBidi" w:eastAsia="Calibri" w:hAnsiTheme="majorBidi" w:cstheme="majorBidi"/>
                <w:color w:val="000000" w:themeColor="text1"/>
                <w:sz w:val="22"/>
                <w:szCs w:val="22"/>
                <w:lang w:val="en-US" w:eastAsia="en-US"/>
              </w:rPr>
            </w:pPr>
            <w:bookmarkStart w:id="366" w:name="_Toc522527406"/>
            <w:bookmarkStart w:id="367" w:name="_Toc522628818"/>
            <w:bookmarkStart w:id="368" w:name="_Toc522628982"/>
          </w:p>
        </w:tc>
        <w:tc>
          <w:tcPr>
            <w:tcW w:w="992" w:type="dxa"/>
            <w:tcBorders>
              <w:top w:val="single" w:sz="8" w:space="0" w:color="auto"/>
              <w:bottom w:val="single" w:sz="8" w:space="0" w:color="auto"/>
            </w:tcBorders>
            <w:shd w:val="clear" w:color="auto" w:fill="auto"/>
            <w:hideMark/>
          </w:tcPr>
          <w:p w14:paraId="0E28146E" w14:textId="77777777" w:rsidR="00117C0E" w:rsidRPr="00CF31E0" w:rsidRDefault="00117C0E" w:rsidP="00FA4D2F">
            <w:pPr>
              <w:spacing w:before="80" w:after="80" w:line="276" w:lineRule="auto"/>
              <w:rPr>
                <w:rFonts w:asciiTheme="majorBidi" w:eastAsia="Calibri" w:hAnsiTheme="majorBidi" w:cstheme="majorBidi"/>
                <w:color w:val="000000" w:themeColor="text1"/>
                <w:sz w:val="22"/>
                <w:szCs w:val="22"/>
                <w:lang w:val="en-US" w:eastAsia="en-US"/>
              </w:rPr>
            </w:pPr>
            <w:r w:rsidRPr="00CF31E0">
              <w:rPr>
                <w:rFonts w:asciiTheme="majorBidi" w:eastAsia="Calibri" w:hAnsiTheme="majorBidi" w:cstheme="majorBidi"/>
                <w:color w:val="000000" w:themeColor="text1"/>
                <w:sz w:val="22"/>
                <w:szCs w:val="22"/>
                <w:lang w:val="en-US" w:eastAsia="en-US"/>
              </w:rPr>
              <w:t>Value</w:t>
            </w:r>
          </w:p>
        </w:tc>
        <w:tc>
          <w:tcPr>
            <w:tcW w:w="510" w:type="dxa"/>
            <w:tcBorders>
              <w:top w:val="single" w:sz="8" w:space="0" w:color="auto"/>
              <w:bottom w:val="single" w:sz="8" w:space="0" w:color="auto"/>
            </w:tcBorders>
            <w:shd w:val="clear" w:color="auto" w:fill="auto"/>
          </w:tcPr>
          <w:p w14:paraId="32A4839F" w14:textId="77777777" w:rsidR="00117C0E" w:rsidRPr="00CF31E0" w:rsidRDefault="00117C0E" w:rsidP="00FA4D2F">
            <w:pPr>
              <w:spacing w:before="80" w:after="80" w:line="276" w:lineRule="auto"/>
              <w:rPr>
                <w:rFonts w:asciiTheme="majorBidi" w:eastAsia="Calibri" w:hAnsiTheme="majorBidi" w:cstheme="majorBidi"/>
                <w:color w:val="000000" w:themeColor="text1"/>
                <w:sz w:val="22"/>
                <w:szCs w:val="22"/>
                <w:lang w:val="en-US" w:eastAsia="en-US"/>
              </w:rPr>
            </w:pPr>
            <w:r w:rsidRPr="00CF31E0">
              <w:rPr>
                <w:rFonts w:asciiTheme="majorBidi" w:eastAsia="Calibri" w:hAnsiTheme="majorBidi" w:cstheme="majorBidi"/>
                <w:color w:val="000000" w:themeColor="text1"/>
                <w:sz w:val="22"/>
                <w:szCs w:val="22"/>
                <w:lang w:val="en-US" w:eastAsia="en-US"/>
              </w:rPr>
              <w:t>df</w:t>
            </w:r>
          </w:p>
        </w:tc>
        <w:tc>
          <w:tcPr>
            <w:tcW w:w="3402" w:type="dxa"/>
            <w:tcBorders>
              <w:top w:val="single" w:sz="8" w:space="0" w:color="auto"/>
              <w:bottom w:val="single" w:sz="8" w:space="0" w:color="auto"/>
            </w:tcBorders>
            <w:shd w:val="clear" w:color="auto" w:fill="auto"/>
          </w:tcPr>
          <w:p w14:paraId="6C5A456C" w14:textId="77777777" w:rsidR="00117C0E" w:rsidRPr="00CF31E0" w:rsidRDefault="00117C0E" w:rsidP="00FA4D2F">
            <w:pPr>
              <w:spacing w:before="80" w:after="80" w:line="276" w:lineRule="auto"/>
              <w:rPr>
                <w:rFonts w:asciiTheme="majorBidi" w:eastAsia="Calibri" w:hAnsiTheme="majorBidi" w:cstheme="majorBidi"/>
                <w:color w:val="000000" w:themeColor="text1"/>
                <w:sz w:val="22"/>
                <w:szCs w:val="22"/>
                <w:lang w:val="en-US" w:eastAsia="en-US"/>
              </w:rPr>
            </w:pPr>
            <w:r w:rsidRPr="00CF31E0">
              <w:rPr>
                <w:rFonts w:asciiTheme="majorBidi" w:eastAsia="Calibri" w:hAnsiTheme="majorBidi" w:cstheme="majorBidi"/>
                <w:color w:val="000000" w:themeColor="text1"/>
                <w:sz w:val="22"/>
                <w:szCs w:val="22"/>
                <w:lang w:eastAsia="en-US"/>
              </w:rPr>
              <w:t>Asymptotic Significance (2-sided)</w:t>
            </w:r>
          </w:p>
        </w:tc>
      </w:tr>
      <w:tr w:rsidR="00117C0E" w:rsidRPr="00CF31E0" w14:paraId="44E7F45A" w14:textId="77777777" w:rsidTr="004F45D7">
        <w:trPr>
          <w:trHeight w:val="567"/>
        </w:trPr>
        <w:tc>
          <w:tcPr>
            <w:tcW w:w="2235" w:type="dxa"/>
            <w:tcBorders>
              <w:top w:val="single" w:sz="8" w:space="0" w:color="auto"/>
            </w:tcBorders>
            <w:shd w:val="clear" w:color="auto" w:fill="auto"/>
            <w:vAlign w:val="bottom"/>
          </w:tcPr>
          <w:p w14:paraId="7B46A8A8" w14:textId="77777777" w:rsidR="00117C0E" w:rsidRPr="00CF31E0" w:rsidRDefault="00117C0E" w:rsidP="00FA4D2F">
            <w:pPr>
              <w:spacing w:before="80" w:after="200" w:line="276" w:lineRule="auto"/>
              <w:rPr>
                <w:rFonts w:asciiTheme="majorBidi" w:eastAsia="Calibri" w:hAnsiTheme="majorBidi" w:cstheme="majorBidi"/>
                <w:color w:val="000000" w:themeColor="text1"/>
                <w:sz w:val="22"/>
                <w:szCs w:val="22"/>
                <w:lang w:val="en-US" w:eastAsia="en-US"/>
              </w:rPr>
            </w:pPr>
            <w:r w:rsidRPr="00CF31E0">
              <w:rPr>
                <w:rFonts w:asciiTheme="majorBidi" w:eastAsia="Calibri" w:hAnsiTheme="majorBidi" w:cstheme="majorBidi"/>
                <w:color w:val="000000" w:themeColor="text1"/>
                <w:sz w:val="22"/>
                <w:szCs w:val="22"/>
                <w:lang w:val="en-US" w:eastAsia="en-US"/>
              </w:rPr>
              <w:t>Pearson Chi-Square</w:t>
            </w:r>
          </w:p>
        </w:tc>
        <w:tc>
          <w:tcPr>
            <w:tcW w:w="992" w:type="dxa"/>
            <w:tcBorders>
              <w:top w:val="single" w:sz="8" w:space="0" w:color="auto"/>
            </w:tcBorders>
            <w:shd w:val="clear" w:color="auto" w:fill="auto"/>
            <w:vAlign w:val="bottom"/>
          </w:tcPr>
          <w:p w14:paraId="60C134B5" w14:textId="52BF5CBB" w:rsidR="00117C0E" w:rsidRPr="00CF31E0" w:rsidRDefault="00117C0E" w:rsidP="004F45D7">
            <w:pPr>
              <w:spacing w:after="200" w:line="276" w:lineRule="auto"/>
              <w:jc w:val="center"/>
              <w:rPr>
                <w:rFonts w:asciiTheme="majorBidi" w:eastAsia="Calibri" w:hAnsiTheme="majorBidi" w:cstheme="majorBidi"/>
                <w:color w:val="000000" w:themeColor="text1"/>
                <w:sz w:val="22"/>
                <w:szCs w:val="22"/>
                <w:lang w:val="en-US" w:eastAsia="en-US"/>
              </w:rPr>
            </w:pPr>
            <w:r w:rsidRPr="00CF31E0">
              <w:rPr>
                <w:color w:val="000000" w:themeColor="text1"/>
                <w:sz w:val="22"/>
                <w:szCs w:val="22"/>
              </w:rPr>
              <w:t>18.980a</w:t>
            </w:r>
          </w:p>
        </w:tc>
        <w:tc>
          <w:tcPr>
            <w:tcW w:w="510" w:type="dxa"/>
            <w:tcBorders>
              <w:top w:val="single" w:sz="8" w:space="0" w:color="auto"/>
            </w:tcBorders>
            <w:shd w:val="clear" w:color="auto" w:fill="auto"/>
            <w:vAlign w:val="bottom"/>
          </w:tcPr>
          <w:p w14:paraId="6F0FF15F" w14:textId="77777777" w:rsidR="00117C0E" w:rsidRPr="00CF31E0" w:rsidRDefault="00117C0E" w:rsidP="00FA4D2F">
            <w:pPr>
              <w:spacing w:after="200" w:line="276" w:lineRule="auto"/>
              <w:rPr>
                <w:rFonts w:asciiTheme="majorBidi" w:eastAsia="Calibri" w:hAnsiTheme="majorBidi" w:cstheme="majorBidi"/>
                <w:color w:val="000000" w:themeColor="text1"/>
                <w:sz w:val="22"/>
                <w:szCs w:val="22"/>
                <w:lang w:val="en-US" w:eastAsia="en-US"/>
              </w:rPr>
            </w:pPr>
            <w:r w:rsidRPr="00CF31E0">
              <w:rPr>
                <w:rFonts w:asciiTheme="majorBidi" w:eastAsia="Calibri" w:hAnsiTheme="majorBidi" w:cstheme="majorBidi"/>
                <w:color w:val="000000" w:themeColor="text1"/>
                <w:sz w:val="22"/>
                <w:szCs w:val="22"/>
                <w:lang w:val="en-US" w:eastAsia="en-US"/>
              </w:rPr>
              <w:t>2</w:t>
            </w:r>
          </w:p>
        </w:tc>
        <w:tc>
          <w:tcPr>
            <w:tcW w:w="3402" w:type="dxa"/>
            <w:tcBorders>
              <w:top w:val="single" w:sz="8" w:space="0" w:color="auto"/>
            </w:tcBorders>
            <w:shd w:val="clear" w:color="auto" w:fill="auto"/>
            <w:vAlign w:val="bottom"/>
          </w:tcPr>
          <w:p w14:paraId="51ABBFBF" w14:textId="7BCA745F" w:rsidR="00117C0E" w:rsidRPr="00CF31E0" w:rsidRDefault="00117C0E">
            <w:pPr>
              <w:spacing w:after="200" w:line="276" w:lineRule="auto"/>
              <w:jc w:val="center"/>
              <w:rPr>
                <w:rFonts w:asciiTheme="majorBidi" w:eastAsia="Calibri" w:hAnsiTheme="majorBidi" w:cstheme="majorBidi"/>
                <w:color w:val="000000" w:themeColor="text1"/>
                <w:sz w:val="22"/>
                <w:szCs w:val="22"/>
                <w:lang w:eastAsia="en-US"/>
              </w:rPr>
            </w:pPr>
            <w:r w:rsidRPr="00CF31E0">
              <w:rPr>
                <w:rFonts w:asciiTheme="majorBidi" w:eastAsia="Calibri" w:hAnsiTheme="majorBidi" w:cstheme="majorBidi"/>
                <w:color w:val="000000" w:themeColor="text1"/>
                <w:sz w:val="22"/>
                <w:szCs w:val="22"/>
                <w:lang w:eastAsia="en-US"/>
              </w:rPr>
              <w:t>.000</w:t>
            </w:r>
          </w:p>
        </w:tc>
      </w:tr>
      <w:tr w:rsidR="00117C0E" w:rsidRPr="00CF31E0" w14:paraId="67C99692" w14:textId="77777777" w:rsidTr="004F45D7">
        <w:trPr>
          <w:trHeight w:val="567"/>
        </w:trPr>
        <w:tc>
          <w:tcPr>
            <w:tcW w:w="2235" w:type="dxa"/>
            <w:tcBorders>
              <w:bottom w:val="single" w:sz="8" w:space="0" w:color="auto"/>
            </w:tcBorders>
            <w:shd w:val="clear" w:color="auto" w:fill="auto"/>
            <w:vAlign w:val="bottom"/>
          </w:tcPr>
          <w:p w14:paraId="1196051A" w14:textId="77777777" w:rsidR="00117C0E" w:rsidRPr="00CF31E0" w:rsidRDefault="00117C0E" w:rsidP="00FA4D2F">
            <w:pPr>
              <w:spacing w:after="200" w:line="276" w:lineRule="auto"/>
              <w:rPr>
                <w:rFonts w:asciiTheme="majorBidi" w:eastAsia="Calibri" w:hAnsiTheme="majorBidi" w:cstheme="majorBidi"/>
                <w:color w:val="000000" w:themeColor="text1"/>
                <w:sz w:val="22"/>
                <w:szCs w:val="22"/>
                <w:lang w:eastAsia="en-US"/>
              </w:rPr>
            </w:pPr>
            <w:r w:rsidRPr="00CF31E0">
              <w:rPr>
                <w:rFonts w:asciiTheme="majorBidi" w:eastAsia="Calibri" w:hAnsiTheme="majorBidi" w:cstheme="majorBidi"/>
                <w:color w:val="000000" w:themeColor="text1"/>
                <w:sz w:val="22"/>
                <w:szCs w:val="22"/>
                <w:lang w:eastAsia="en-US"/>
              </w:rPr>
              <w:t>N of Valid Cases</w:t>
            </w:r>
          </w:p>
        </w:tc>
        <w:tc>
          <w:tcPr>
            <w:tcW w:w="992" w:type="dxa"/>
            <w:tcBorders>
              <w:bottom w:val="single" w:sz="8" w:space="0" w:color="auto"/>
            </w:tcBorders>
            <w:shd w:val="clear" w:color="auto" w:fill="auto"/>
            <w:vAlign w:val="bottom"/>
          </w:tcPr>
          <w:p w14:paraId="434E7935" w14:textId="6EDE0A5D" w:rsidR="00117C0E" w:rsidRPr="00CF31E0" w:rsidRDefault="00117C0E" w:rsidP="004F45D7">
            <w:pPr>
              <w:spacing w:after="200" w:line="276" w:lineRule="auto"/>
              <w:jc w:val="center"/>
              <w:rPr>
                <w:rFonts w:asciiTheme="majorBidi" w:eastAsia="Calibri" w:hAnsiTheme="majorBidi" w:cstheme="majorBidi"/>
                <w:color w:val="000000" w:themeColor="text1"/>
                <w:sz w:val="22"/>
                <w:szCs w:val="22"/>
                <w:lang w:eastAsia="en-US"/>
              </w:rPr>
            </w:pPr>
            <w:r w:rsidRPr="00CF31E0">
              <w:rPr>
                <w:color w:val="000000" w:themeColor="text1"/>
                <w:sz w:val="22"/>
                <w:szCs w:val="22"/>
              </w:rPr>
              <w:t>649</w:t>
            </w:r>
          </w:p>
        </w:tc>
        <w:tc>
          <w:tcPr>
            <w:tcW w:w="510" w:type="dxa"/>
            <w:tcBorders>
              <w:bottom w:val="single" w:sz="8" w:space="0" w:color="auto"/>
            </w:tcBorders>
            <w:shd w:val="clear" w:color="auto" w:fill="auto"/>
            <w:vAlign w:val="bottom"/>
          </w:tcPr>
          <w:p w14:paraId="348CBA06" w14:textId="77777777" w:rsidR="00117C0E" w:rsidRPr="00CF31E0" w:rsidRDefault="00117C0E" w:rsidP="00FA4D2F">
            <w:pPr>
              <w:spacing w:after="200" w:line="276" w:lineRule="auto"/>
              <w:rPr>
                <w:rFonts w:asciiTheme="majorBidi" w:eastAsia="Calibri" w:hAnsiTheme="majorBidi" w:cstheme="majorBidi"/>
                <w:color w:val="000000" w:themeColor="text1"/>
                <w:sz w:val="22"/>
                <w:szCs w:val="22"/>
                <w:lang w:val="en-US" w:eastAsia="en-US"/>
              </w:rPr>
            </w:pPr>
          </w:p>
        </w:tc>
        <w:tc>
          <w:tcPr>
            <w:tcW w:w="3402" w:type="dxa"/>
            <w:tcBorders>
              <w:bottom w:val="single" w:sz="8" w:space="0" w:color="auto"/>
            </w:tcBorders>
            <w:shd w:val="clear" w:color="auto" w:fill="auto"/>
            <w:vAlign w:val="bottom"/>
          </w:tcPr>
          <w:p w14:paraId="15C954DE" w14:textId="77777777" w:rsidR="00117C0E" w:rsidRPr="00CF31E0" w:rsidRDefault="00117C0E" w:rsidP="00FA4D2F">
            <w:pPr>
              <w:spacing w:after="200" w:line="276" w:lineRule="auto"/>
              <w:rPr>
                <w:rFonts w:asciiTheme="majorBidi" w:eastAsia="Calibri" w:hAnsiTheme="majorBidi" w:cstheme="majorBidi"/>
                <w:color w:val="000000" w:themeColor="text1"/>
                <w:sz w:val="22"/>
                <w:szCs w:val="22"/>
                <w:lang w:eastAsia="en-US"/>
              </w:rPr>
            </w:pPr>
          </w:p>
        </w:tc>
      </w:tr>
      <w:tr w:rsidR="00117C0E" w:rsidRPr="00CF31E0" w14:paraId="5EA2A567" w14:textId="77777777" w:rsidTr="00FA4D2F">
        <w:trPr>
          <w:trHeight w:val="567"/>
        </w:trPr>
        <w:tc>
          <w:tcPr>
            <w:tcW w:w="7139" w:type="dxa"/>
            <w:gridSpan w:val="4"/>
            <w:tcBorders>
              <w:top w:val="single" w:sz="8" w:space="0" w:color="auto"/>
              <w:bottom w:val="single" w:sz="8" w:space="0" w:color="auto"/>
            </w:tcBorders>
            <w:shd w:val="clear" w:color="auto" w:fill="auto"/>
          </w:tcPr>
          <w:p w14:paraId="3BA25BA5" w14:textId="7E052E47" w:rsidR="00117C0E" w:rsidRPr="00CF31E0" w:rsidRDefault="00117C0E">
            <w:pPr>
              <w:spacing w:before="80" w:after="80"/>
              <w:rPr>
                <w:rFonts w:asciiTheme="majorBidi" w:eastAsia="Calibri" w:hAnsiTheme="majorBidi" w:cstheme="majorBidi"/>
                <w:color w:val="000000" w:themeColor="text1"/>
                <w:sz w:val="22"/>
                <w:szCs w:val="22"/>
                <w:lang w:eastAsia="en-US"/>
              </w:rPr>
            </w:pPr>
            <w:r w:rsidRPr="00CF31E0">
              <w:rPr>
                <w:rFonts w:asciiTheme="majorBidi" w:eastAsia="Calibri" w:hAnsiTheme="majorBidi" w:cstheme="majorBidi"/>
                <w:color w:val="000000" w:themeColor="text1"/>
                <w:sz w:val="22"/>
                <w:szCs w:val="22"/>
                <w:lang w:eastAsia="en-US"/>
              </w:rPr>
              <w:t>a. 0 cells (.0%) have expected count less than 5. The minimum expected count is 16.59.</w:t>
            </w:r>
          </w:p>
        </w:tc>
      </w:tr>
    </w:tbl>
    <w:p w14:paraId="3F94AC6E" w14:textId="6F36EF4D" w:rsidR="00A23C2A" w:rsidRPr="00CF31E0" w:rsidRDefault="00A23C2A" w:rsidP="00730917">
      <w:pPr>
        <w:pStyle w:val="Tablecaption"/>
      </w:pPr>
      <w:bookmarkStart w:id="369" w:name="_Toc6473079"/>
      <w:r w:rsidRPr="00CF31E0">
        <w:t xml:space="preserve">Table </w:t>
      </w:r>
      <w:r w:rsidR="00116DBE" w:rsidRPr="00CF31E0">
        <w:t>7</w:t>
      </w:r>
      <w:r w:rsidR="00A90457" w:rsidRPr="00CF31E0">
        <w:t>.</w:t>
      </w:r>
      <w:r w:rsidRPr="00CF31E0">
        <w:t>2: Chi-square test results for gender demographic variable.</w:t>
      </w:r>
      <w:bookmarkEnd w:id="366"/>
      <w:bookmarkEnd w:id="367"/>
      <w:bookmarkEnd w:id="368"/>
      <w:bookmarkEnd w:id="369"/>
    </w:p>
    <w:p w14:paraId="521A17CA" w14:textId="29874B0B" w:rsidR="00A23C2A" w:rsidRPr="00CF31E0" w:rsidRDefault="00A23C2A" w:rsidP="00603CB7">
      <w:pPr>
        <w:pStyle w:val="Paragraph"/>
        <w:rPr>
          <w:lang w:eastAsia="en-US"/>
        </w:rPr>
      </w:pPr>
      <w:r w:rsidRPr="00CF31E0">
        <w:rPr>
          <w:lang w:eastAsia="en-US"/>
        </w:rPr>
        <w:t xml:space="preserve">Before examining the details provided in Table </w:t>
      </w:r>
      <w:r w:rsidR="00116DBE" w:rsidRPr="00CF31E0">
        <w:rPr>
          <w:lang w:eastAsia="en-US"/>
        </w:rPr>
        <w:t>7</w:t>
      </w:r>
      <w:r w:rsidR="00941940" w:rsidRPr="00CF31E0">
        <w:rPr>
          <w:lang w:eastAsia="en-US"/>
        </w:rPr>
        <w:t>.</w:t>
      </w:r>
      <w:r w:rsidRPr="00CF31E0">
        <w:rPr>
          <w:lang w:eastAsia="en-US"/>
        </w:rPr>
        <w:t xml:space="preserve">2, it is important to check whether or not the assumption of the chi-square test has been violated. The </w:t>
      </w:r>
      <w:r w:rsidRPr="00CF31E0">
        <w:rPr>
          <w:lang w:eastAsia="en-US"/>
        </w:rPr>
        <w:lastRenderedPageBreak/>
        <w:t xml:space="preserve">chi-square test assumes that the “minimum expected cell frequency” should be 5 or greater </w:t>
      </w:r>
      <w:r w:rsidRPr="00CF31E0">
        <w:rPr>
          <w:lang w:eastAsia="en-US"/>
        </w:rPr>
        <w:fldChar w:fldCharType="begin"/>
      </w:r>
      <w:r w:rsidRPr="00CF31E0">
        <w:rPr>
          <w:lang w:eastAsia="en-US"/>
        </w:rPr>
        <w:instrText xml:space="preserve"> ADDIN ZOTERO_ITEM CSL_CITATION {"citationID":"Re4gxU6K","properties":{"formattedCitation":"(Pallant, 2013, p. 227)","plainCitation":"(Pallant, 2013, p. 227)"},"citationItems":[{"id":208,"uris":["http://zotero.org/users/1939618/items/ME4Z3BDW"],"uri":["http://zotero.org/users/1939618/items/ME4Z3BDW"],"itemData":{"id":208,"type":"book","title":"SPSS survival manual","publisher":"McGraw-Hill Education (UK)","edition":"5th","source":"Google Scholar","URL":"https://books.google.co.uk/books?hl=en&amp;lr=&amp;id=fZZTBgAAQBAJ&amp;oi=fnd&amp;pg=PR7&amp;dq=spss+manual+survival+5th+edition&amp;ots=KUNtjTXXyQ&amp;sig=bmJQspifgoygavKVhpMYsXasP1I","author":[{"family":"Pallant","given":"Julie"}],"issued":{"date-parts":[["2013"]]},"accessed":{"date-parts":[["2016",11,25]]}},"locator":"227","label":"page"}],"schema":"https://github.com/citation-style-language/schema/raw/master/csl-citation.json"} </w:instrText>
      </w:r>
      <w:r w:rsidRPr="00CF31E0">
        <w:rPr>
          <w:lang w:eastAsia="en-US"/>
        </w:rPr>
        <w:fldChar w:fldCharType="separate"/>
      </w:r>
      <w:r w:rsidRPr="00CF31E0">
        <w:rPr>
          <w:noProof/>
          <w:lang w:eastAsia="en-US"/>
        </w:rPr>
        <w:t>(Pallant, 2013, p. 227)</w:t>
      </w:r>
      <w:r w:rsidRPr="00CF31E0">
        <w:rPr>
          <w:lang w:eastAsia="en-US"/>
        </w:rPr>
        <w:fldChar w:fldCharType="end"/>
      </w:r>
      <w:r w:rsidRPr="00CF31E0">
        <w:rPr>
          <w:lang w:eastAsia="en-US"/>
        </w:rPr>
        <w:t>. As can be seen from the table footnote, the chi-square test did not find any cell that violated this assumption; all the c</w:t>
      </w:r>
      <w:r w:rsidR="001B07C9" w:rsidRPr="00CF31E0">
        <w:rPr>
          <w:lang w:eastAsia="en-US"/>
        </w:rPr>
        <w:t>ells in the current data have an account</w:t>
      </w:r>
      <w:r w:rsidRPr="00CF31E0">
        <w:rPr>
          <w:lang w:eastAsia="en-US"/>
        </w:rPr>
        <w:t xml:space="preserve"> greater than the minimum expected value of 16.59.</w:t>
      </w:r>
    </w:p>
    <w:p w14:paraId="4F872903" w14:textId="4656B864" w:rsidR="00BD3DC4" w:rsidRPr="00CF31E0" w:rsidRDefault="00A23C2A" w:rsidP="00603CB7">
      <w:pPr>
        <w:pStyle w:val="Paragraph"/>
        <w:rPr>
          <w:rFonts w:eastAsia="Times New Roman"/>
        </w:rPr>
      </w:pPr>
      <w:r w:rsidRPr="00CF31E0">
        <w:rPr>
          <w:lang w:eastAsia="en-US"/>
        </w:rPr>
        <w:t xml:space="preserve">The Pearson chi-square value should be examined if the variable has more than two categories. SPSS includes other types of tests such as the Fisher exact test or continuity correction if the variable only has two categories. In the above example, the data includes more than one variable, so the Pearson chi-square test is the most suitable. The results show that the </w:t>
      </w:r>
      <w:r w:rsidR="00370C0F" w:rsidRPr="00CF31E0">
        <w:rPr>
          <w:lang w:eastAsia="en-US"/>
        </w:rPr>
        <w:t>p value is</w:t>
      </w:r>
      <w:r w:rsidRPr="00CF31E0">
        <w:rPr>
          <w:lang w:eastAsia="en-US"/>
        </w:rPr>
        <w:t xml:space="preserve"> p&gt;.001, which is statistically significant. </w:t>
      </w:r>
      <w:r w:rsidR="00BD3DC4" w:rsidRPr="00CF31E0">
        <w:rPr>
          <w:lang w:eastAsia="en-US"/>
        </w:rPr>
        <w:t xml:space="preserve">For a breakdown of the results, </w:t>
      </w:r>
      <w:r w:rsidR="00BD3DC4" w:rsidRPr="00CF31E0">
        <w:rPr>
          <w:rFonts w:eastAsia="Times New Roman"/>
        </w:rPr>
        <w:t xml:space="preserve">SPSS can be used to generate a crosstabulation showing the count and percentage data for each answer. This can be used in order to locate where the difference lies; the results are presented in Table </w:t>
      </w:r>
      <w:r w:rsidR="00116DBE" w:rsidRPr="00CF31E0">
        <w:rPr>
          <w:rFonts w:eastAsia="Times New Roman"/>
        </w:rPr>
        <w:t>7</w:t>
      </w:r>
      <w:r w:rsidR="00BD3DC4" w:rsidRPr="00CF31E0">
        <w:rPr>
          <w:rFonts w:eastAsia="Times New Roman"/>
        </w:rPr>
        <w:t>.3.</w:t>
      </w:r>
    </w:p>
    <w:tbl>
      <w:tblPr>
        <w:tblW w:w="73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847"/>
        <w:gridCol w:w="843"/>
        <w:gridCol w:w="1278"/>
        <w:gridCol w:w="1295"/>
        <w:gridCol w:w="1134"/>
        <w:gridCol w:w="1134"/>
        <w:gridCol w:w="850"/>
      </w:tblGrid>
      <w:tr w:rsidR="00012E0B" w:rsidRPr="00CF31E0" w14:paraId="238BC643" w14:textId="77777777" w:rsidTr="00603CB7">
        <w:trPr>
          <w:cantSplit/>
        </w:trPr>
        <w:tc>
          <w:tcPr>
            <w:tcW w:w="2968" w:type="dxa"/>
            <w:gridSpan w:val="3"/>
            <w:vMerge w:val="restart"/>
            <w:shd w:val="clear" w:color="auto" w:fill="FFFFFF"/>
            <w:vAlign w:val="bottom"/>
          </w:tcPr>
          <w:p w14:paraId="1E61FF05" w14:textId="77777777" w:rsidR="00012E0B" w:rsidRPr="00CF31E0" w:rsidRDefault="00012E0B" w:rsidP="00012E0B">
            <w:pPr>
              <w:widowControl w:val="0"/>
              <w:autoSpaceDE w:val="0"/>
              <w:autoSpaceDN w:val="0"/>
              <w:adjustRightInd w:val="0"/>
              <w:rPr>
                <w:rFonts w:asciiTheme="majorBidi" w:hAnsiTheme="majorBidi" w:cstheme="majorBidi"/>
                <w:color w:val="000000" w:themeColor="text1"/>
                <w:sz w:val="22"/>
                <w:szCs w:val="22"/>
                <w:lang w:eastAsia="en-US"/>
              </w:rPr>
            </w:pPr>
          </w:p>
        </w:tc>
        <w:tc>
          <w:tcPr>
            <w:tcW w:w="3563" w:type="dxa"/>
            <w:gridSpan w:val="3"/>
            <w:shd w:val="clear" w:color="auto" w:fill="FFFFFF"/>
            <w:vAlign w:val="bottom"/>
          </w:tcPr>
          <w:p w14:paraId="308134CA" w14:textId="405BD927" w:rsidR="00012E0B" w:rsidRPr="00CF31E0" w:rsidRDefault="00FC52C2" w:rsidP="00603CB7">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xml:space="preserve">The Hijazi dialect refers </w:t>
            </w:r>
            <w:r w:rsidR="00012E0B" w:rsidRPr="00CF31E0">
              <w:rPr>
                <w:rFonts w:asciiTheme="majorBidi" w:hAnsiTheme="majorBidi" w:cstheme="majorBidi"/>
                <w:color w:val="000000" w:themeColor="text1"/>
                <w:sz w:val="22"/>
                <w:szCs w:val="22"/>
                <w:lang w:eastAsia="en-US"/>
              </w:rPr>
              <w:t>to</w:t>
            </w:r>
          </w:p>
        </w:tc>
        <w:tc>
          <w:tcPr>
            <w:tcW w:w="850" w:type="dxa"/>
            <w:vMerge w:val="restart"/>
            <w:shd w:val="clear" w:color="auto" w:fill="FFFFFF"/>
            <w:vAlign w:val="bottom"/>
          </w:tcPr>
          <w:p w14:paraId="67D2F848"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Total</w:t>
            </w:r>
          </w:p>
        </w:tc>
      </w:tr>
      <w:tr w:rsidR="00012E0B" w:rsidRPr="00CF31E0" w14:paraId="6ACD694E" w14:textId="77777777" w:rsidTr="00603CB7">
        <w:trPr>
          <w:cantSplit/>
        </w:trPr>
        <w:tc>
          <w:tcPr>
            <w:tcW w:w="2968" w:type="dxa"/>
            <w:gridSpan w:val="3"/>
            <w:vMerge/>
            <w:shd w:val="clear" w:color="auto" w:fill="FFFFFF"/>
            <w:vAlign w:val="bottom"/>
          </w:tcPr>
          <w:p w14:paraId="4441C597" w14:textId="77777777" w:rsidR="00012E0B" w:rsidRPr="00CF31E0" w:rsidRDefault="00012E0B" w:rsidP="00012E0B">
            <w:pPr>
              <w:widowControl w:val="0"/>
              <w:autoSpaceDE w:val="0"/>
              <w:autoSpaceDN w:val="0"/>
              <w:adjustRightInd w:val="0"/>
              <w:rPr>
                <w:rFonts w:asciiTheme="majorBidi" w:hAnsiTheme="majorBidi" w:cstheme="majorBidi"/>
                <w:color w:val="000000" w:themeColor="text1"/>
                <w:sz w:val="22"/>
                <w:szCs w:val="22"/>
                <w:lang w:eastAsia="en-US"/>
              </w:rPr>
            </w:pPr>
          </w:p>
        </w:tc>
        <w:tc>
          <w:tcPr>
            <w:tcW w:w="1295" w:type="dxa"/>
            <w:shd w:val="clear" w:color="auto" w:fill="FFFFFF"/>
            <w:vAlign w:val="bottom"/>
          </w:tcPr>
          <w:p w14:paraId="2A46161C" w14:textId="060CE812"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UBH dialect</w:t>
            </w:r>
          </w:p>
        </w:tc>
        <w:tc>
          <w:tcPr>
            <w:tcW w:w="1134" w:type="dxa"/>
            <w:shd w:val="clear" w:color="auto" w:fill="FFFFFF"/>
            <w:vAlign w:val="bottom"/>
          </w:tcPr>
          <w:p w14:paraId="5DCB0B5C" w14:textId="10F696BB"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HH dialect</w:t>
            </w:r>
          </w:p>
        </w:tc>
        <w:tc>
          <w:tcPr>
            <w:tcW w:w="1134" w:type="dxa"/>
            <w:shd w:val="clear" w:color="auto" w:fill="FFFFFF"/>
            <w:vAlign w:val="bottom"/>
          </w:tcPr>
          <w:p w14:paraId="517FA46F" w14:textId="07ECB48A"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Both</w:t>
            </w:r>
          </w:p>
        </w:tc>
        <w:tc>
          <w:tcPr>
            <w:tcW w:w="850" w:type="dxa"/>
            <w:vMerge/>
            <w:shd w:val="clear" w:color="auto" w:fill="FFFFFF"/>
            <w:vAlign w:val="bottom"/>
          </w:tcPr>
          <w:p w14:paraId="28D41243" w14:textId="77777777" w:rsidR="00012E0B" w:rsidRPr="00CF31E0" w:rsidRDefault="00012E0B" w:rsidP="00603CB7">
            <w:pPr>
              <w:widowControl w:val="0"/>
              <w:autoSpaceDE w:val="0"/>
              <w:autoSpaceDN w:val="0"/>
              <w:adjustRightInd w:val="0"/>
              <w:jc w:val="right"/>
              <w:rPr>
                <w:rFonts w:asciiTheme="majorBidi" w:hAnsiTheme="majorBidi" w:cstheme="majorBidi"/>
                <w:color w:val="000000" w:themeColor="text1"/>
                <w:sz w:val="22"/>
                <w:szCs w:val="22"/>
                <w:lang w:eastAsia="en-US"/>
              </w:rPr>
            </w:pPr>
          </w:p>
        </w:tc>
      </w:tr>
      <w:tr w:rsidR="00012E0B" w:rsidRPr="00CF31E0" w14:paraId="19B046A7" w14:textId="77777777" w:rsidTr="00603CB7">
        <w:trPr>
          <w:cantSplit/>
        </w:trPr>
        <w:tc>
          <w:tcPr>
            <w:tcW w:w="847" w:type="dxa"/>
            <w:vMerge w:val="restart"/>
            <w:shd w:val="clear" w:color="auto" w:fill="FFFFFF"/>
          </w:tcPr>
          <w:p w14:paraId="654DD4C9" w14:textId="77777777" w:rsidR="00012E0B" w:rsidRPr="00CF31E0" w:rsidRDefault="00012E0B" w:rsidP="00012E0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Gender</w:t>
            </w:r>
          </w:p>
        </w:tc>
        <w:tc>
          <w:tcPr>
            <w:tcW w:w="843" w:type="dxa"/>
            <w:vMerge w:val="restart"/>
            <w:shd w:val="clear" w:color="auto" w:fill="FFFFFF"/>
          </w:tcPr>
          <w:p w14:paraId="75E9222B" w14:textId="00540F53" w:rsidR="00012E0B" w:rsidRPr="00CF31E0" w:rsidRDefault="00012E0B" w:rsidP="00012E0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Male</w:t>
            </w:r>
          </w:p>
        </w:tc>
        <w:tc>
          <w:tcPr>
            <w:tcW w:w="1278" w:type="dxa"/>
            <w:shd w:val="clear" w:color="auto" w:fill="FFFFFF"/>
          </w:tcPr>
          <w:p w14:paraId="0BD0D531" w14:textId="2D17881E" w:rsidR="00012E0B" w:rsidRPr="00CF31E0" w:rsidRDefault="00370C0F" w:rsidP="00012E0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Raw frequency</w:t>
            </w:r>
          </w:p>
        </w:tc>
        <w:tc>
          <w:tcPr>
            <w:tcW w:w="1295" w:type="dxa"/>
            <w:shd w:val="clear" w:color="auto" w:fill="FFFFFF"/>
            <w:vAlign w:val="center"/>
          </w:tcPr>
          <w:p w14:paraId="658F7F28"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8</w:t>
            </w:r>
          </w:p>
        </w:tc>
        <w:tc>
          <w:tcPr>
            <w:tcW w:w="1134" w:type="dxa"/>
            <w:shd w:val="clear" w:color="auto" w:fill="FFFFFF"/>
            <w:vAlign w:val="center"/>
          </w:tcPr>
          <w:p w14:paraId="4D0E10E0"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246</w:t>
            </w:r>
          </w:p>
        </w:tc>
        <w:tc>
          <w:tcPr>
            <w:tcW w:w="1134" w:type="dxa"/>
            <w:shd w:val="clear" w:color="auto" w:fill="FFFFFF"/>
            <w:vAlign w:val="center"/>
          </w:tcPr>
          <w:p w14:paraId="2FAA3811"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22</w:t>
            </w:r>
          </w:p>
        </w:tc>
        <w:tc>
          <w:tcPr>
            <w:tcW w:w="850" w:type="dxa"/>
            <w:shd w:val="clear" w:color="auto" w:fill="FFFFFF"/>
            <w:vAlign w:val="center"/>
          </w:tcPr>
          <w:p w14:paraId="3035C416"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276</w:t>
            </w:r>
          </w:p>
        </w:tc>
      </w:tr>
      <w:tr w:rsidR="00012E0B" w:rsidRPr="00CF31E0" w14:paraId="0AE62F24" w14:textId="77777777" w:rsidTr="00603CB7">
        <w:trPr>
          <w:cantSplit/>
        </w:trPr>
        <w:tc>
          <w:tcPr>
            <w:tcW w:w="847" w:type="dxa"/>
            <w:vMerge/>
            <w:shd w:val="clear" w:color="auto" w:fill="FFFFFF"/>
          </w:tcPr>
          <w:p w14:paraId="1A933329" w14:textId="77777777" w:rsidR="00012E0B" w:rsidRPr="00CF31E0" w:rsidRDefault="00012E0B" w:rsidP="00012E0B">
            <w:pPr>
              <w:widowControl w:val="0"/>
              <w:autoSpaceDE w:val="0"/>
              <w:autoSpaceDN w:val="0"/>
              <w:adjustRightInd w:val="0"/>
              <w:rPr>
                <w:rFonts w:asciiTheme="majorBidi" w:hAnsiTheme="majorBidi" w:cstheme="majorBidi"/>
                <w:color w:val="000000" w:themeColor="text1"/>
                <w:sz w:val="22"/>
                <w:szCs w:val="22"/>
                <w:lang w:eastAsia="en-US"/>
              </w:rPr>
            </w:pPr>
          </w:p>
        </w:tc>
        <w:tc>
          <w:tcPr>
            <w:tcW w:w="843" w:type="dxa"/>
            <w:vMerge/>
            <w:shd w:val="clear" w:color="auto" w:fill="FFFFFF"/>
          </w:tcPr>
          <w:p w14:paraId="1C1E721B" w14:textId="77777777" w:rsidR="00012E0B" w:rsidRPr="00CF31E0" w:rsidRDefault="00012E0B" w:rsidP="00012E0B">
            <w:pPr>
              <w:widowControl w:val="0"/>
              <w:autoSpaceDE w:val="0"/>
              <w:autoSpaceDN w:val="0"/>
              <w:adjustRightInd w:val="0"/>
              <w:rPr>
                <w:rFonts w:asciiTheme="majorBidi" w:hAnsiTheme="majorBidi" w:cstheme="majorBidi"/>
                <w:color w:val="000000" w:themeColor="text1"/>
                <w:sz w:val="22"/>
                <w:szCs w:val="22"/>
                <w:lang w:eastAsia="en-US"/>
              </w:rPr>
            </w:pPr>
          </w:p>
        </w:tc>
        <w:tc>
          <w:tcPr>
            <w:tcW w:w="1278" w:type="dxa"/>
            <w:shd w:val="clear" w:color="auto" w:fill="FFFFFF"/>
          </w:tcPr>
          <w:p w14:paraId="570C30DA" w14:textId="77777777" w:rsidR="00012E0B" w:rsidRPr="00CF31E0" w:rsidRDefault="00012E0B" w:rsidP="00012E0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within Gender</w:t>
            </w:r>
          </w:p>
        </w:tc>
        <w:tc>
          <w:tcPr>
            <w:tcW w:w="1295" w:type="dxa"/>
            <w:shd w:val="clear" w:color="auto" w:fill="FFFFFF"/>
            <w:vAlign w:val="center"/>
          </w:tcPr>
          <w:p w14:paraId="09BAFA22"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2.9%</w:t>
            </w:r>
          </w:p>
        </w:tc>
        <w:tc>
          <w:tcPr>
            <w:tcW w:w="1134" w:type="dxa"/>
            <w:shd w:val="clear" w:color="auto" w:fill="FFFFFF"/>
            <w:vAlign w:val="center"/>
          </w:tcPr>
          <w:p w14:paraId="651AA325"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89.1%</w:t>
            </w:r>
          </w:p>
        </w:tc>
        <w:tc>
          <w:tcPr>
            <w:tcW w:w="1134" w:type="dxa"/>
            <w:shd w:val="clear" w:color="auto" w:fill="FFFFFF"/>
            <w:vAlign w:val="center"/>
          </w:tcPr>
          <w:p w14:paraId="49F1B681"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8.0%</w:t>
            </w:r>
          </w:p>
        </w:tc>
        <w:tc>
          <w:tcPr>
            <w:tcW w:w="850" w:type="dxa"/>
            <w:shd w:val="clear" w:color="auto" w:fill="FFFFFF"/>
            <w:vAlign w:val="center"/>
          </w:tcPr>
          <w:p w14:paraId="58F35A90"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100.0%</w:t>
            </w:r>
          </w:p>
        </w:tc>
      </w:tr>
      <w:tr w:rsidR="00012E0B" w:rsidRPr="00CF31E0" w14:paraId="0C5D599B" w14:textId="77777777" w:rsidTr="00603CB7">
        <w:trPr>
          <w:cantSplit/>
        </w:trPr>
        <w:tc>
          <w:tcPr>
            <w:tcW w:w="847" w:type="dxa"/>
            <w:vMerge/>
            <w:shd w:val="clear" w:color="auto" w:fill="FFFFFF"/>
          </w:tcPr>
          <w:p w14:paraId="5537EECD" w14:textId="77777777" w:rsidR="00012E0B" w:rsidRPr="00CF31E0" w:rsidRDefault="00012E0B" w:rsidP="00012E0B">
            <w:pPr>
              <w:widowControl w:val="0"/>
              <w:autoSpaceDE w:val="0"/>
              <w:autoSpaceDN w:val="0"/>
              <w:adjustRightInd w:val="0"/>
              <w:rPr>
                <w:rFonts w:asciiTheme="majorBidi" w:hAnsiTheme="majorBidi" w:cstheme="majorBidi"/>
                <w:color w:val="000000" w:themeColor="text1"/>
                <w:sz w:val="22"/>
                <w:szCs w:val="22"/>
                <w:lang w:eastAsia="en-US"/>
              </w:rPr>
            </w:pPr>
          </w:p>
        </w:tc>
        <w:tc>
          <w:tcPr>
            <w:tcW w:w="843" w:type="dxa"/>
            <w:vMerge/>
            <w:shd w:val="clear" w:color="auto" w:fill="FFFFFF"/>
          </w:tcPr>
          <w:p w14:paraId="5DD1090F" w14:textId="77777777" w:rsidR="00012E0B" w:rsidRPr="00CF31E0" w:rsidRDefault="00012E0B" w:rsidP="00012E0B">
            <w:pPr>
              <w:widowControl w:val="0"/>
              <w:autoSpaceDE w:val="0"/>
              <w:autoSpaceDN w:val="0"/>
              <w:adjustRightInd w:val="0"/>
              <w:rPr>
                <w:rFonts w:asciiTheme="majorBidi" w:hAnsiTheme="majorBidi" w:cstheme="majorBidi"/>
                <w:color w:val="000000" w:themeColor="text1"/>
                <w:sz w:val="22"/>
                <w:szCs w:val="22"/>
                <w:lang w:eastAsia="en-US"/>
              </w:rPr>
            </w:pPr>
          </w:p>
        </w:tc>
        <w:tc>
          <w:tcPr>
            <w:tcW w:w="1278" w:type="dxa"/>
            <w:shd w:val="clear" w:color="auto" w:fill="FFFFFF"/>
          </w:tcPr>
          <w:p w14:paraId="37557571" w14:textId="77777777" w:rsidR="00012E0B" w:rsidRPr="00CF31E0" w:rsidRDefault="00012E0B" w:rsidP="00012E0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of Total</w:t>
            </w:r>
          </w:p>
        </w:tc>
        <w:tc>
          <w:tcPr>
            <w:tcW w:w="1295" w:type="dxa"/>
            <w:shd w:val="clear" w:color="auto" w:fill="FFFFFF"/>
            <w:vAlign w:val="center"/>
          </w:tcPr>
          <w:p w14:paraId="64874697"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1.2%</w:t>
            </w:r>
          </w:p>
        </w:tc>
        <w:tc>
          <w:tcPr>
            <w:tcW w:w="1134" w:type="dxa"/>
            <w:shd w:val="clear" w:color="auto" w:fill="FFFFFF"/>
            <w:vAlign w:val="center"/>
          </w:tcPr>
          <w:p w14:paraId="34AC0731"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37.9%</w:t>
            </w:r>
          </w:p>
        </w:tc>
        <w:tc>
          <w:tcPr>
            <w:tcW w:w="1134" w:type="dxa"/>
            <w:shd w:val="clear" w:color="auto" w:fill="FFFFFF"/>
            <w:vAlign w:val="center"/>
          </w:tcPr>
          <w:p w14:paraId="469CB1B3"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3.4%</w:t>
            </w:r>
          </w:p>
        </w:tc>
        <w:tc>
          <w:tcPr>
            <w:tcW w:w="850" w:type="dxa"/>
            <w:shd w:val="clear" w:color="auto" w:fill="FFFFFF"/>
            <w:vAlign w:val="center"/>
          </w:tcPr>
          <w:p w14:paraId="045A0423"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42.5%</w:t>
            </w:r>
          </w:p>
        </w:tc>
      </w:tr>
      <w:tr w:rsidR="00012E0B" w:rsidRPr="00CF31E0" w14:paraId="4479D61D" w14:textId="77777777" w:rsidTr="00603CB7">
        <w:trPr>
          <w:cantSplit/>
        </w:trPr>
        <w:tc>
          <w:tcPr>
            <w:tcW w:w="847" w:type="dxa"/>
            <w:vMerge/>
            <w:shd w:val="clear" w:color="auto" w:fill="FFFFFF"/>
          </w:tcPr>
          <w:p w14:paraId="74434D32" w14:textId="77777777" w:rsidR="00012E0B" w:rsidRPr="00CF31E0" w:rsidRDefault="00012E0B" w:rsidP="00012E0B">
            <w:pPr>
              <w:widowControl w:val="0"/>
              <w:autoSpaceDE w:val="0"/>
              <w:autoSpaceDN w:val="0"/>
              <w:adjustRightInd w:val="0"/>
              <w:rPr>
                <w:rFonts w:asciiTheme="majorBidi" w:hAnsiTheme="majorBidi" w:cstheme="majorBidi"/>
                <w:color w:val="000000" w:themeColor="text1"/>
                <w:sz w:val="22"/>
                <w:szCs w:val="22"/>
                <w:lang w:eastAsia="en-US"/>
              </w:rPr>
            </w:pPr>
          </w:p>
        </w:tc>
        <w:tc>
          <w:tcPr>
            <w:tcW w:w="843" w:type="dxa"/>
            <w:vMerge w:val="restart"/>
            <w:shd w:val="clear" w:color="auto" w:fill="FFFFFF"/>
          </w:tcPr>
          <w:p w14:paraId="54F578B7" w14:textId="087786D0" w:rsidR="00012E0B" w:rsidRPr="00CF31E0" w:rsidRDefault="00012E0B" w:rsidP="00012E0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Female</w:t>
            </w:r>
          </w:p>
        </w:tc>
        <w:tc>
          <w:tcPr>
            <w:tcW w:w="1278" w:type="dxa"/>
            <w:shd w:val="clear" w:color="auto" w:fill="FFFFFF"/>
          </w:tcPr>
          <w:p w14:paraId="6824E091" w14:textId="6CE2A6FC" w:rsidR="00012E0B" w:rsidRPr="00CF31E0" w:rsidRDefault="00370C0F" w:rsidP="00012E0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Raw frequency</w:t>
            </w:r>
          </w:p>
        </w:tc>
        <w:tc>
          <w:tcPr>
            <w:tcW w:w="1295" w:type="dxa"/>
            <w:shd w:val="clear" w:color="auto" w:fill="FFFFFF"/>
            <w:vAlign w:val="center"/>
          </w:tcPr>
          <w:p w14:paraId="69C7FD94"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31</w:t>
            </w:r>
          </w:p>
        </w:tc>
        <w:tc>
          <w:tcPr>
            <w:tcW w:w="1134" w:type="dxa"/>
            <w:shd w:val="clear" w:color="auto" w:fill="FFFFFF"/>
            <w:vAlign w:val="center"/>
          </w:tcPr>
          <w:p w14:paraId="38580DFA"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283</w:t>
            </w:r>
          </w:p>
        </w:tc>
        <w:tc>
          <w:tcPr>
            <w:tcW w:w="1134" w:type="dxa"/>
            <w:shd w:val="clear" w:color="auto" w:fill="FFFFFF"/>
            <w:vAlign w:val="center"/>
          </w:tcPr>
          <w:p w14:paraId="251D0949"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59</w:t>
            </w:r>
          </w:p>
        </w:tc>
        <w:tc>
          <w:tcPr>
            <w:tcW w:w="850" w:type="dxa"/>
            <w:shd w:val="clear" w:color="auto" w:fill="FFFFFF"/>
            <w:vAlign w:val="center"/>
          </w:tcPr>
          <w:p w14:paraId="65FA0AB6"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373</w:t>
            </w:r>
          </w:p>
        </w:tc>
      </w:tr>
      <w:tr w:rsidR="00012E0B" w:rsidRPr="00CF31E0" w14:paraId="6D0EEF1F" w14:textId="77777777" w:rsidTr="00603CB7">
        <w:trPr>
          <w:cantSplit/>
        </w:trPr>
        <w:tc>
          <w:tcPr>
            <w:tcW w:w="847" w:type="dxa"/>
            <w:vMerge/>
            <w:shd w:val="clear" w:color="auto" w:fill="FFFFFF"/>
          </w:tcPr>
          <w:p w14:paraId="1117E2E4" w14:textId="77777777" w:rsidR="00012E0B" w:rsidRPr="00CF31E0" w:rsidRDefault="00012E0B" w:rsidP="00012E0B">
            <w:pPr>
              <w:widowControl w:val="0"/>
              <w:autoSpaceDE w:val="0"/>
              <w:autoSpaceDN w:val="0"/>
              <w:adjustRightInd w:val="0"/>
              <w:rPr>
                <w:rFonts w:asciiTheme="majorBidi" w:hAnsiTheme="majorBidi" w:cstheme="majorBidi"/>
                <w:color w:val="000000" w:themeColor="text1"/>
                <w:sz w:val="22"/>
                <w:szCs w:val="22"/>
                <w:lang w:eastAsia="en-US"/>
              </w:rPr>
            </w:pPr>
          </w:p>
        </w:tc>
        <w:tc>
          <w:tcPr>
            <w:tcW w:w="843" w:type="dxa"/>
            <w:vMerge/>
            <w:shd w:val="clear" w:color="auto" w:fill="FFFFFF"/>
          </w:tcPr>
          <w:p w14:paraId="5C67FBD3" w14:textId="77777777" w:rsidR="00012E0B" w:rsidRPr="00CF31E0" w:rsidRDefault="00012E0B" w:rsidP="00012E0B">
            <w:pPr>
              <w:widowControl w:val="0"/>
              <w:autoSpaceDE w:val="0"/>
              <w:autoSpaceDN w:val="0"/>
              <w:adjustRightInd w:val="0"/>
              <w:rPr>
                <w:rFonts w:asciiTheme="majorBidi" w:hAnsiTheme="majorBidi" w:cstheme="majorBidi"/>
                <w:color w:val="000000" w:themeColor="text1"/>
                <w:sz w:val="22"/>
                <w:szCs w:val="22"/>
                <w:lang w:eastAsia="en-US"/>
              </w:rPr>
            </w:pPr>
          </w:p>
        </w:tc>
        <w:tc>
          <w:tcPr>
            <w:tcW w:w="1278" w:type="dxa"/>
            <w:shd w:val="clear" w:color="auto" w:fill="FFFFFF"/>
          </w:tcPr>
          <w:p w14:paraId="1C34B3EF" w14:textId="77777777" w:rsidR="00012E0B" w:rsidRPr="00CF31E0" w:rsidRDefault="00012E0B" w:rsidP="00012E0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within Gender</w:t>
            </w:r>
          </w:p>
        </w:tc>
        <w:tc>
          <w:tcPr>
            <w:tcW w:w="1295" w:type="dxa"/>
            <w:shd w:val="clear" w:color="auto" w:fill="FFFFFF"/>
            <w:vAlign w:val="center"/>
          </w:tcPr>
          <w:p w14:paraId="2CE788FB"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8.3%</w:t>
            </w:r>
          </w:p>
        </w:tc>
        <w:tc>
          <w:tcPr>
            <w:tcW w:w="1134" w:type="dxa"/>
            <w:shd w:val="clear" w:color="auto" w:fill="FFFFFF"/>
            <w:vAlign w:val="center"/>
          </w:tcPr>
          <w:p w14:paraId="497EBEA7"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75.9%</w:t>
            </w:r>
          </w:p>
        </w:tc>
        <w:tc>
          <w:tcPr>
            <w:tcW w:w="1134" w:type="dxa"/>
            <w:shd w:val="clear" w:color="auto" w:fill="FFFFFF"/>
            <w:vAlign w:val="center"/>
          </w:tcPr>
          <w:p w14:paraId="1E64F2B9"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15.8%</w:t>
            </w:r>
          </w:p>
        </w:tc>
        <w:tc>
          <w:tcPr>
            <w:tcW w:w="850" w:type="dxa"/>
            <w:shd w:val="clear" w:color="auto" w:fill="FFFFFF"/>
            <w:vAlign w:val="center"/>
          </w:tcPr>
          <w:p w14:paraId="21C065D2"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100.0%</w:t>
            </w:r>
          </w:p>
        </w:tc>
      </w:tr>
      <w:tr w:rsidR="00012E0B" w:rsidRPr="00CF31E0" w14:paraId="1281DBCE" w14:textId="77777777" w:rsidTr="00603CB7">
        <w:trPr>
          <w:cantSplit/>
        </w:trPr>
        <w:tc>
          <w:tcPr>
            <w:tcW w:w="847" w:type="dxa"/>
            <w:vMerge/>
            <w:shd w:val="clear" w:color="auto" w:fill="FFFFFF"/>
          </w:tcPr>
          <w:p w14:paraId="7F41E436" w14:textId="77777777" w:rsidR="00012E0B" w:rsidRPr="00CF31E0" w:rsidRDefault="00012E0B" w:rsidP="00012E0B">
            <w:pPr>
              <w:widowControl w:val="0"/>
              <w:autoSpaceDE w:val="0"/>
              <w:autoSpaceDN w:val="0"/>
              <w:adjustRightInd w:val="0"/>
              <w:rPr>
                <w:rFonts w:asciiTheme="majorBidi" w:hAnsiTheme="majorBidi" w:cstheme="majorBidi"/>
                <w:color w:val="000000" w:themeColor="text1"/>
                <w:sz w:val="22"/>
                <w:szCs w:val="22"/>
                <w:lang w:eastAsia="en-US"/>
              </w:rPr>
            </w:pPr>
          </w:p>
        </w:tc>
        <w:tc>
          <w:tcPr>
            <w:tcW w:w="843" w:type="dxa"/>
            <w:vMerge/>
            <w:shd w:val="clear" w:color="auto" w:fill="FFFFFF"/>
          </w:tcPr>
          <w:p w14:paraId="1DDCE0BC" w14:textId="77777777" w:rsidR="00012E0B" w:rsidRPr="00CF31E0" w:rsidRDefault="00012E0B" w:rsidP="00012E0B">
            <w:pPr>
              <w:widowControl w:val="0"/>
              <w:autoSpaceDE w:val="0"/>
              <w:autoSpaceDN w:val="0"/>
              <w:adjustRightInd w:val="0"/>
              <w:rPr>
                <w:rFonts w:asciiTheme="majorBidi" w:hAnsiTheme="majorBidi" w:cstheme="majorBidi"/>
                <w:color w:val="000000" w:themeColor="text1"/>
                <w:sz w:val="22"/>
                <w:szCs w:val="22"/>
                <w:lang w:eastAsia="en-US"/>
              </w:rPr>
            </w:pPr>
          </w:p>
        </w:tc>
        <w:tc>
          <w:tcPr>
            <w:tcW w:w="1278" w:type="dxa"/>
            <w:shd w:val="clear" w:color="auto" w:fill="FFFFFF"/>
          </w:tcPr>
          <w:p w14:paraId="3DA63C2D" w14:textId="77777777" w:rsidR="00012E0B" w:rsidRPr="00CF31E0" w:rsidRDefault="00012E0B" w:rsidP="00012E0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of Total</w:t>
            </w:r>
          </w:p>
        </w:tc>
        <w:tc>
          <w:tcPr>
            <w:tcW w:w="1295" w:type="dxa"/>
            <w:shd w:val="clear" w:color="auto" w:fill="FFFFFF"/>
            <w:vAlign w:val="center"/>
          </w:tcPr>
          <w:p w14:paraId="2D5F66D0"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4.8%</w:t>
            </w:r>
          </w:p>
        </w:tc>
        <w:tc>
          <w:tcPr>
            <w:tcW w:w="1134" w:type="dxa"/>
            <w:shd w:val="clear" w:color="auto" w:fill="FFFFFF"/>
            <w:vAlign w:val="center"/>
          </w:tcPr>
          <w:p w14:paraId="3FF7F295"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43.6%</w:t>
            </w:r>
          </w:p>
        </w:tc>
        <w:tc>
          <w:tcPr>
            <w:tcW w:w="1134" w:type="dxa"/>
            <w:shd w:val="clear" w:color="auto" w:fill="FFFFFF"/>
            <w:vAlign w:val="center"/>
          </w:tcPr>
          <w:p w14:paraId="262220BD"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9.1%</w:t>
            </w:r>
          </w:p>
        </w:tc>
        <w:tc>
          <w:tcPr>
            <w:tcW w:w="850" w:type="dxa"/>
            <w:shd w:val="clear" w:color="auto" w:fill="FFFFFF"/>
            <w:vAlign w:val="center"/>
          </w:tcPr>
          <w:p w14:paraId="064EA7A3"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57.5%</w:t>
            </w:r>
          </w:p>
        </w:tc>
      </w:tr>
      <w:tr w:rsidR="00012E0B" w:rsidRPr="00CF31E0" w14:paraId="281E9C44" w14:textId="77777777" w:rsidTr="00603CB7">
        <w:trPr>
          <w:cantSplit/>
        </w:trPr>
        <w:tc>
          <w:tcPr>
            <w:tcW w:w="1690" w:type="dxa"/>
            <w:gridSpan w:val="2"/>
            <w:vMerge w:val="restart"/>
            <w:shd w:val="clear" w:color="auto" w:fill="FFFFFF"/>
          </w:tcPr>
          <w:p w14:paraId="1ADA1B2C" w14:textId="77777777" w:rsidR="00012E0B" w:rsidRPr="00CF31E0" w:rsidRDefault="00012E0B" w:rsidP="00012E0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Total</w:t>
            </w:r>
          </w:p>
        </w:tc>
        <w:tc>
          <w:tcPr>
            <w:tcW w:w="1278" w:type="dxa"/>
            <w:shd w:val="clear" w:color="auto" w:fill="FFFFFF"/>
          </w:tcPr>
          <w:p w14:paraId="3C511657" w14:textId="30879859" w:rsidR="00012E0B" w:rsidRPr="00CF31E0" w:rsidRDefault="00370C0F" w:rsidP="00012E0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Raw frequency</w:t>
            </w:r>
          </w:p>
        </w:tc>
        <w:tc>
          <w:tcPr>
            <w:tcW w:w="1295" w:type="dxa"/>
            <w:shd w:val="clear" w:color="auto" w:fill="FFFFFF"/>
            <w:vAlign w:val="center"/>
          </w:tcPr>
          <w:p w14:paraId="0DD2D9A8"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39</w:t>
            </w:r>
          </w:p>
        </w:tc>
        <w:tc>
          <w:tcPr>
            <w:tcW w:w="1134" w:type="dxa"/>
            <w:shd w:val="clear" w:color="auto" w:fill="FFFFFF"/>
            <w:vAlign w:val="center"/>
          </w:tcPr>
          <w:p w14:paraId="6CF4B189"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529</w:t>
            </w:r>
          </w:p>
        </w:tc>
        <w:tc>
          <w:tcPr>
            <w:tcW w:w="1134" w:type="dxa"/>
            <w:shd w:val="clear" w:color="auto" w:fill="FFFFFF"/>
            <w:vAlign w:val="center"/>
          </w:tcPr>
          <w:p w14:paraId="024BB4C2"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81</w:t>
            </w:r>
          </w:p>
        </w:tc>
        <w:tc>
          <w:tcPr>
            <w:tcW w:w="850" w:type="dxa"/>
            <w:shd w:val="clear" w:color="auto" w:fill="FFFFFF"/>
            <w:vAlign w:val="center"/>
          </w:tcPr>
          <w:p w14:paraId="2D621DD1"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r>
      <w:tr w:rsidR="00012E0B" w:rsidRPr="00CF31E0" w14:paraId="1D1A0B0D" w14:textId="77777777" w:rsidTr="00603CB7">
        <w:trPr>
          <w:cantSplit/>
        </w:trPr>
        <w:tc>
          <w:tcPr>
            <w:tcW w:w="1690" w:type="dxa"/>
            <w:gridSpan w:val="2"/>
            <w:vMerge/>
            <w:shd w:val="clear" w:color="auto" w:fill="FFFFFF"/>
          </w:tcPr>
          <w:p w14:paraId="395DB62B" w14:textId="77777777" w:rsidR="00012E0B" w:rsidRPr="00CF31E0" w:rsidRDefault="00012E0B" w:rsidP="00012E0B">
            <w:pPr>
              <w:widowControl w:val="0"/>
              <w:autoSpaceDE w:val="0"/>
              <w:autoSpaceDN w:val="0"/>
              <w:adjustRightInd w:val="0"/>
              <w:rPr>
                <w:rFonts w:asciiTheme="majorBidi" w:hAnsiTheme="majorBidi" w:cstheme="majorBidi"/>
                <w:color w:val="000000" w:themeColor="text1"/>
                <w:sz w:val="22"/>
                <w:szCs w:val="22"/>
                <w:lang w:eastAsia="en-US"/>
              </w:rPr>
            </w:pPr>
          </w:p>
        </w:tc>
        <w:tc>
          <w:tcPr>
            <w:tcW w:w="1278" w:type="dxa"/>
            <w:shd w:val="clear" w:color="auto" w:fill="FFFFFF"/>
          </w:tcPr>
          <w:p w14:paraId="5B2264D0" w14:textId="77777777" w:rsidR="00012E0B" w:rsidRPr="00CF31E0" w:rsidRDefault="00012E0B" w:rsidP="00012E0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within Gender</w:t>
            </w:r>
          </w:p>
        </w:tc>
        <w:tc>
          <w:tcPr>
            <w:tcW w:w="1295" w:type="dxa"/>
            <w:shd w:val="clear" w:color="auto" w:fill="FFFFFF"/>
            <w:vAlign w:val="center"/>
          </w:tcPr>
          <w:p w14:paraId="51826D8E"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6.0%</w:t>
            </w:r>
          </w:p>
        </w:tc>
        <w:tc>
          <w:tcPr>
            <w:tcW w:w="1134" w:type="dxa"/>
            <w:shd w:val="clear" w:color="auto" w:fill="FFFFFF"/>
            <w:vAlign w:val="center"/>
          </w:tcPr>
          <w:p w14:paraId="13B1D34E"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81.5%</w:t>
            </w:r>
          </w:p>
        </w:tc>
        <w:tc>
          <w:tcPr>
            <w:tcW w:w="1134" w:type="dxa"/>
            <w:shd w:val="clear" w:color="auto" w:fill="FFFFFF"/>
            <w:vAlign w:val="center"/>
          </w:tcPr>
          <w:p w14:paraId="28040E56"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12.5%</w:t>
            </w:r>
          </w:p>
        </w:tc>
        <w:tc>
          <w:tcPr>
            <w:tcW w:w="850" w:type="dxa"/>
            <w:shd w:val="clear" w:color="auto" w:fill="FFFFFF"/>
            <w:vAlign w:val="center"/>
          </w:tcPr>
          <w:p w14:paraId="3EA6B928"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100.0%</w:t>
            </w:r>
          </w:p>
        </w:tc>
      </w:tr>
      <w:tr w:rsidR="00012E0B" w:rsidRPr="00CF31E0" w14:paraId="528F0EC4" w14:textId="77777777" w:rsidTr="00603CB7">
        <w:trPr>
          <w:cantSplit/>
        </w:trPr>
        <w:tc>
          <w:tcPr>
            <w:tcW w:w="1690" w:type="dxa"/>
            <w:gridSpan w:val="2"/>
            <w:vMerge/>
            <w:shd w:val="clear" w:color="auto" w:fill="FFFFFF"/>
          </w:tcPr>
          <w:p w14:paraId="6A7C8183" w14:textId="77777777" w:rsidR="00012E0B" w:rsidRPr="00CF31E0" w:rsidRDefault="00012E0B" w:rsidP="00012E0B">
            <w:pPr>
              <w:widowControl w:val="0"/>
              <w:autoSpaceDE w:val="0"/>
              <w:autoSpaceDN w:val="0"/>
              <w:adjustRightInd w:val="0"/>
              <w:rPr>
                <w:rFonts w:asciiTheme="majorBidi" w:hAnsiTheme="majorBidi" w:cstheme="majorBidi"/>
                <w:color w:val="000000" w:themeColor="text1"/>
                <w:sz w:val="22"/>
                <w:szCs w:val="22"/>
                <w:lang w:eastAsia="en-US"/>
              </w:rPr>
            </w:pPr>
          </w:p>
        </w:tc>
        <w:tc>
          <w:tcPr>
            <w:tcW w:w="1278" w:type="dxa"/>
            <w:shd w:val="clear" w:color="auto" w:fill="FFFFFF"/>
          </w:tcPr>
          <w:p w14:paraId="45816132" w14:textId="77777777" w:rsidR="00012E0B" w:rsidRPr="00CF31E0" w:rsidRDefault="00012E0B" w:rsidP="00012E0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of Total</w:t>
            </w:r>
          </w:p>
        </w:tc>
        <w:tc>
          <w:tcPr>
            <w:tcW w:w="1295" w:type="dxa"/>
            <w:shd w:val="clear" w:color="auto" w:fill="FFFFFF"/>
            <w:vAlign w:val="center"/>
          </w:tcPr>
          <w:p w14:paraId="0F7A9681"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6.0%</w:t>
            </w:r>
          </w:p>
        </w:tc>
        <w:tc>
          <w:tcPr>
            <w:tcW w:w="1134" w:type="dxa"/>
            <w:shd w:val="clear" w:color="auto" w:fill="FFFFFF"/>
            <w:vAlign w:val="center"/>
          </w:tcPr>
          <w:p w14:paraId="6CEC9672"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81.5%</w:t>
            </w:r>
          </w:p>
        </w:tc>
        <w:tc>
          <w:tcPr>
            <w:tcW w:w="1134" w:type="dxa"/>
            <w:shd w:val="clear" w:color="auto" w:fill="FFFFFF"/>
            <w:vAlign w:val="center"/>
          </w:tcPr>
          <w:p w14:paraId="4B548D79"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12.5%</w:t>
            </w:r>
          </w:p>
        </w:tc>
        <w:tc>
          <w:tcPr>
            <w:tcW w:w="850" w:type="dxa"/>
            <w:shd w:val="clear" w:color="auto" w:fill="FFFFFF"/>
            <w:vAlign w:val="center"/>
          </w:tcPr>
          <w:p w14:paraId="05C430C1"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100.0%</w:t>
            </w:r>
          </w:p>
        </w:tc>
      </w:tr>
    </w:tbl>
    <w:p w14:paraId="55E5AA15" w14:textId="1ED6CE4D" w:rsidR="00A23C2A" w:rsidRPr="00CF31E0" w:rsidRDefault="00A23C2A" w:rsidP="00730917">
      <w:pPr>
        <w:pStyle w:val="Tablecaption"/>
      </w:pPr>
      <w:bookmarkStart w:id="370" w:name="_Toc522527407"/>
      <w:bookmarkStart w:id="371" w:name="_Toc522628819"/>
      <w:bookmarkStart w:id="372" w:name="_Toc522628983"/>
      <w:bookmarkStart w:id="373" w:name="_Toc6473080"/>
      <w:r w:rsidRPr="00CF31E0">
        <w:t xml:space="preserve">Table </w:t>
      </w:r>
      <w:r w:rsidR="00116DBE" w:rsidRPr="00CF31E0">
        <w:t>7</w:t>
      </w:r>
      <w:r w:rsidR="00A90457" w:rsidRPr="00CF31E0">
        <w:t>.</w:t>
      </w:r>
      <w:r w:rsidRPr="00CF31E0">
        <w:t>3: Gender-Q1 crosstabulation.</w:t>
      </w:r>
      <w:bookmarkEnd w:id="370"/>
      <w:bookmarkEnd w:id="371"/>
      <w:bookmarkEnd w:id="372"/>
      <w:bookmarkEnd w:id="373"/>
      <w:r w:rsidRPr="00CF31E0">
        <w:t xml:space="preserve"> </w:t>
      </w:r>
    </w:p>
    <w:p w14:paraId="25692C98" w14:textId="0F204B35" w:rsidR="00A23C2A" w:rsidRPr="00CF31E0" w:rsidRDefault="00A23C2A" w:rsidP="008D6409">
      <w:pPr>
        <w:pStyle w:val="Paragraph"/>
      </w:pPr>
      <w:r w:rsidRPr="00CF31E0">
        <w:t xml:space="preserve">Table </w:t>
      </w:r>
      <w:r w:rsidR="00116DBE" w:rsidRPr="00CF31E0">
        <w:t>7</w:t>
      </w:r>
      <w:r w:rsidR="00A90457" w:rsidRPr="00CF31E0">
        <w:t>.</w:t>
      </w:r>
      <w:r w:rsidR="00A22A92" w:rsidRPr="00CF31E0">
        <w:t>3 shows that</w:t>
      </w:r>
      <w:r w:rsidR="0014348B" w:rsidRPr="00CF31E0">
        <w:t xml:space="preserve"> w</w:t>
      </w:r>
      <w:r w:rsidR="00D32B5E" w:rsidRPr="00CF31E0">
        <w:t xml:space="preserve">ithin </w:t>
      </w:r>
      <w:r w:rsidR="008D6409">
        <w:t xml:space="preserve">the </w:t>
      </w:r>
      <w:r w:rsidR="00D32B5E" w:rsidRPr="00CF31E0">
        <w:t>gender group,</w:t>
      </w:r>
      <w:r w:rsidR="008A0939" w:rsidRPr="00CF31E0">
        <w:t xml:space="preserve"> </w:t>
      </w:r>
      <w:r w:rsidR="00D32B5E" w:rsidRPr="00CF31E0">
        <w:t>8.3%</w:t>
      </w:r>
      <w:r w:rsidRPr="00CF31E0">
        <w:t xml:space="preserve"> </w:t>
      </w:r>
      <w:r w:rsidR="00780AA8">
        <w:t>of</w:t>
      </w:r>
      <w:r w:rsidR="00E010C7">
        <w:t xml:space="preserve"> female</w:t>
      </w:r>
      <w:r w:rsidR="008D6409">
        <w:t>s</w:t>
      </w:r>
      <w:r w:rsidR="00780AA8">
        <w:t xml:space="preserve"> stated that the Hijazi dialect referred to the UBH dialect</w:t>
      </w:r>
      <w:r w:rsidRPr="00CF31E0">
        <w:t xml:space="preserve">, with </w:t>
      </w:r>
      <w:r w:rsidR="00D32B5E" w:rsidRPr="00CF31E0">
        <w:t xml:space="preserve">a comparable figure of only </w:t>
      </w:r>
      <w:r w:rsidR="0014348B" w:rsidRPr="00CF31E0">
        <w:t>2.9</w:t>
      </w:r>
      <w:r w:rsidRPr="00CF31E0">
        <w:t>% for the male participants.</w:t>
      </w:r>
      <w:r w:rsidR="00E010C7">
        <w:t xml:space="preserve"> </w:t>
      </w:r>
      <w:r w:rsidR="00D32B5E" w:rsidRPr="00CF31E0">
        <w:t>75.9</w:t>
      </w:r>
      <w:r w:rsidRPr="00CF31E0">
        <w:t>%</w:t>
      </w:r>
      <w:r w:rsidR="00E010C7">
        <w:t xml:space="preserve"> of female</w:t>
      </w:r>
      <w:r w:rsidR="008D6409">
        <w:t>s</w:t>
      </w:r>
      <w:r w:rsidR="00E010C7">
        <w:t xml:space="preserve"> </w:t>
      </w:r>
      <w:r w:rsidR="00B30A7E">
        <w:t xml:space="preserve">and </w:t>
      </w:r>
      <w:r w:rsidR="00B30A7E" w:rsidRPr="00CF31E0">
        <w:t xml:space="preserve">89.1% of </w:t>
      </w:r>
      <w:r w:rsidR="00B30A7E">
        <w:t xml:space="preserve">male </w:t>
      </w:r>
      <w:r w:rsidR="00B30A7E">
        <w:lastRenderedPageBreak/>
        <w:t xml:space="preserve">participants </w:t>
      </w:r>
      <w:r w:rsidR="00E010C7">
        <w:t>stated that the Hijazi dialect referred to the HH dialect</w:t>
      </w:r>
      <w:r w:rsidRPr="00CF31E0">
        <w:t xml:space="preserve">. </w:t>
      </w:r>
      <w:r w:rsidR="00B30A7E">
        <w:t xml:space="preserve">More females </w:t>
      </w:r>
      <w:r w:rsidR="00B30A7E" w:rsidRPr="00CF31E0">
        <w:t xml:space="preserve">(9.1%) </w:t>
      </w:r>
      <w:r w:rsidR="00B30A7E">
        <w:t xml:space="preserve">than males (8.05%) stated that the Hijazi dialect referred to both HH and UBH dialects.  </w:t>
      </w:r>
    </w:p>
    <w:p w14:paraId="56546506" w14:textId="0FA5DBAE" w:rsidR="00A23C2A" w:rsidRPr="00CF31E0" w:rsidRDefault="00116DBE" w:rsidP="00E87209">
      <w:pPr>
        <w:pStyle w:val="Ahead"/>
        <w:rPr>
          <w:rFonts w:eastAsia="Times New Roman"/>
        </w:rPr>
      </w:pPr>
      <w:bookmarkStart w:id="374" w:name="_Toc6472701"/>
      <w:r w:rsidRPr="00CF31E0">
        <w:rPr>
          <w:rFonts w:eastAsia="Times New Roman"/>
        </w:rPr>
        <w:t>7</w:t>
      </w:r>
      <w:r w:rsidR="00D12517" w:rsidRPr="00CF31E0">
        <w:rPr>
          <w:rFonts w:eastAsia="Times New Roman"/>
        </w:rPr>
        <w:t>.3.</w:t>
      </w:r>
      <w:r w:rsidR="00F106E7" w:rsidRPr="00CF31E0">
        <w:rPr>
          <w:rFonts w:eastAsia="Times New Roman"/>
        </w:rPr>
        <w:tab/>
      </w:r>
      <w:r w:rsidR="00A23C2A" w:rsidRPr="00CF31E0">
        <w:rPr>
          <w:rFonts w:eastAsia="Times New Roman"/>
        </w:rPr>
        <w:t>Q2: What is the dominant dialect in Hijaz?</w:t>
      </w:r>
      <w:bookmarkEnd w:id="374"/>
    </w:p>
    <w:p w14:paraId="7EB47CC7" w14:textId="64F1E753" w:rsidR="00A23C2A" w:rsidRPr="00CF31E0" w:rsidRDefault="00A23C2A" w:rsidP="00603CB7">
      <w:pPr>
        <w:pStyle w:val="Paragraph"/>
      </w:pPr>
      <w:r w:rsidRPr="00CF31E0">
        <w:t xml:space="preserve">The participants were asked to choose from three alternatives regarding what is the dominant dialect in the Hijaz region: UBH dialect, HH dialect, and </w:t>
      </w:r>
      <w:r w:rsidR="007F4FBF">
        <w:t>no dominant</w:t>
      </w:r>
      <w:r w:rsidRPr="00CF31E0">
        <w:t xml:space="preserve">. The results revealed that the HH dialect was perceived as the most dominant dialect in Hijaz. See Table </w:t>
      </w:r>
      <w:r w:rsidR="00116DBE" w:rsidRPr="00CF31E0">
        <w:t>7</w:t>
      </w:r>
      <w:r w:rsidR="00A90457" w:rsidRPr="00CF31E0">
        <w:t>.</w:t>
      </w:r>
      <w:r w:rsidRPr="00CF31E0">
        <w:t xml:space="preserve">4. </w:t>
      </w:r>
    </w:p>
    <w:tbl>
      <w:tblPr>
        <w:tblW w:w="4820" w:type="dxa"/>
        <w:tblLayout w:type="fixed"/>
        <w:tblCellMar>
          <w:left w:w="0" w:type="dxa"/>
          <w:right w:w="0" w:type="dxa"/>
        </w:tblCellMar>
        <w:tblLook w:val="04A0" w:firstRow="1" w:lastRow="0" w:firstColumn="1" w:lastColumn="0" w:noHBand="0" w:noVBand="1"/>
      </w:tblPr>
      <w:tblGrid>
        <w:gridCol w:w="3119"/>
        <w:gridCol w:w="1701"/>
      </w:tblGrid>
      <w:tr w:rsidR="00DE7BDA" w:rsidRPr="00CF31E0" w14:paraId="21018AE5" w14:textId="77777777" w:rsidTr="00C73201">
        <w:trPr>
          <w:cantSplit/>
          <w:trHeight w:val="567"/>
        </w:trPr>
        <w:tc>
          <w:tcPr>
            <w:tcW w:w="3119" w:type="dxa"/>
            <w:tcBorders>
              <w:top w:val="single" w:sz="8" w:space="0" w:color="000000"/>
              <w:bottom w:val="single" w:sz="8" w:space="0" w:color="000000"/>
            </w:tcBorders>
            <w:shd w:val="clear" w:color="auto" w:fill="FFFFFF"/>
          </w:tcPr>
          <w:p w14:paraId="3F0EC5F0" w14:textId="413C7A33" w:rsidR="00DE7BDA" w:rsidRPr="00CF31E0" w:rsidRDefault="00DE7BDA" w:rsidP="00DE7BDA">
            <w:pPr>
              <w:spacing w:before="120" w:after="120"/>
              <w:rPr>
                <w:rFonts w:asciiTheme="majorBidi" w:hAnsiTheme="majorBidi" w:cstheme="majorBidi"/>
                <w:color w:val="000000" w:themeColor="text1"/>
                <w:sz w:val="22"/>
                <w:szCs w:val="22"/>
              </w:rPr>
            </w:pPr>
            <w:bookmarkStart w:id="375" w:name="_Toc522527408"/>
            <w:bookmarkStart w:id="376" w:name="_Toc522628820"/>
            <w:bookmarkStart w:id="377" w:name="_Toc522628984"/>
            <w:r w:rsidRPr="00CF31E0">
              <w:rPr>
                <w:rFonts w:asciiTheme="majorBidi" w:hAnsiTheme="majorBidi" w:cstheme="majorBidi"/>
                <w:color w:val="000000" w:themeColor="text1"/>
                <w:sz w:val="22"/>
                <w:szCs w:val="22"/>
              </w:rPr>
              <w:t>The dominant dialect in Hijaz</w:t>
            </w:r>
          </w:p>
        </w:tc>
        <w:tc>
          <w:tcPr>
            <w:tcW w:w="1701" w:type="dxa"/>
            <w:tcBorders>
              <w:top w:val="single" w:sz="8" w:space="0" w:color="000000"/>
              <w:bottom w:val="single" w:sz="8" w:space="0" w:color="000000"/>
            </w:tcBorders>
            <w:shd w:val="clear" w:color="auto" w:fill="FFFFFF"/>
          </w:tcPr>
          <w:p w14:paraId="34CC69BF" w14:textId="77777777" w:rsidR="00DE7BDA" w:rsidRPr="00CF31E0" w:rsidRDefault="00DE7BDA" w:rsidP="00C73201">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xml:space="preserve">Raw frequency </w:t>
            </w:r>
          </w:p>
        </w:tc>
      </w:tr>
      <w:tr w:rsidR="00DE7BDA" w:rsidRPr="00CF31E0" w14:paraId="0DB7CE6C" w14:textId="77777777" w:rsidTr="00C73201">
        <w:trPr>
          <w:cantSplit/>
        </w:trPr>
        <w:tc>
          <w:tcPr>
            <w:tcW w:w="3119" w:type="dxa"/>
            <w:tcBorders>
              <w:top w:val="single" w:sz="8" w:space="0" w:color="000000"/>
            </w:tcBorders>
            <w:shd w:val="clear" w:color="auto" w:fill="FFFFFF"/>
          </w:tcPr>
          <w:p w14:paraId="533A4A1B" w14:textId="77777777" w:rsidR="00DE7BDA" w:rsidRPr="00CF31E0" w:rsidRDefault="00DE7BDA" w:rsidP="00C73201">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UBH dialect</w:t>
            </w:r>
          </w:p>
        </w:tc>
        <w:tc>
          <w:tcPr>
            <w:tcW w:w="1701" w:type="dxa"/>
            <w:tcBorders>
              <w:top w:val="single" w:sz="8" w:space="0" w:color="000000"/>
            </w:tcBorders>
            <w:shd w:val="clear" w:color="auto" w:fill="FFFFFF"/>
          </w:tcPr>
          <w:p w14:paraId="7E39E29E" w14:textId="7FF7B0BF" w:rsidR="00DE7BDA" w:rsidRPr="00CF31E0" w:rsidRDefault="00DE7BDA" w:rsidP="00C73201">
            <w:pPr>
              <w:spacing w:before="120" w:after="120"/>
              <w:rPr>
                <w:rFonts w:asciiTheme="majorBidi" w:hAnsiTheme="majorBidi" w:cstheme="majorBidi"/>
                <w:color w:val="000000" w:themeColor="text1"/>
                <w:sz w:val="22"/>
                <w:szCs w:val="22"/>
              </w:rPr>
            </w:pPr>
            <w:r w:rsidRPr="00CF31E0">
              <w:rPr>
                <w:color w:val="000000" w:themeColor="text1"/>
                <w:sz w:val="22"/>
                <w:szCs w:val="22"/>
              </w:rPr>
              <w:t>109</w:t>
            </w:r>
          </w:p>
        </w:tc>
      </w:tr>
      <w:tr w:rsidR="00DE7BDA" w:rsidRPr="00CF31E0" w14:paraId="16C2F410" w14:textId="77777777" w:rsidTr="004F45D7">
        <w:trPr>
          <w:cantSplit/>
        </w:trPr>
        <w:tc>
          <w:tcPr>
            <w:tcW w:w="3119" w:type="dxa"/>
            <w:shd w:val="clear" w:color="auto" w:fill="FFFFFF"/>
          </w:tcPr>
          <w:p w14:paraId="5F76C4D9" w14:textId="77777777" w:rsidR="00DE7BDA" w:rsidRPr="00CF31E0" w:rsidRDefault="00DE7BDA" w:rsidP="00C73201">
            <w:pPr>
              <w:spacing w:before="120" w:after="12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HH dialect</w:t>
            </w:r>
          </w:p>
        </w:tc>
        <w:tc>
          <w:tcPr>
            <w:tcW w:w="1701" w:type="dxa"/>
            <w:shd w:val="clear" w:color="auto" w:fill="FFFFFF"/>
          </w:tcPr>
          <w:p w14:paraId="6A6A9AD6" w14:textId="4C84E51F" w:rsidR="00DE7BDA" w:rsidRPr="00CF31E0" w:rsidRDefault="00DE7BDA" w:rsidP="00C73201">
            <w:pPr>
              <w:spacing w:before="120" w:after="120"/>
              <w:rPr>
                <w:rFonts w:asciiTheme="majorBidi" w:hAnsiTheme="majorBidi" w:cstheme="majorBidi"/>
                <w:color w:val="000000" w:themeColor="text1"/>
                <w:sz w:val="22"/>
                <w:szCs w:val="22"/>
              </w:rPr>
            </w:pPr>
            <w:r w:rsidRPr="00CF31E0">
              <w:rPr>
                <w:color w:val="000000" w:themeColor="text1"/>
                <w:sz w:val="22"/>
                <w:szCs w:val="22"/>
              </w:rPr>
              <w:t>294</w:t>
            </w:r>
          </w:p>
        </w:tc>
      </w:tr>
      <w:tr w:rsidR="00DE7BDA" w:rsidRPr="00CF31E0" w14:paraId="0054F458" w14:textId="77777777" w:rsidTr="004F45D7">
        <w:trPr>
          <w:cantSplit/>
        </w:trPr>
        <w:tc>
          <w:tcPr>
            <w:tcW w:w="3119" w:type="dxa"/>
            <w:tcBorders>
              <w:bottom w:val="single" w:sz="8" w:space="0" w:color="000000"/>
            </w:tcBorders>
            <w:shd w:val="clear" w:color="auto" w:fill="FFFFFF"/>
          </w:tcPr>
          <w:p w14:paraId="5019C801" w14:textId="2F444866" w:rsidR="00DE7BDA" w:rsidRPr="00CF31E0" w:rsidRDefault="007F4FBF" w:rsidP="00C73201">
            <w:pPr>
              <w:spacing w:before="120" w:after="120"/>
              <w:rPr>
                <w:rFonts w:asciiTheme="majorBidi" w:hAnsiTheme="majorBidi" w:cstheme="majorBidi"/>
                <w:color w:val="000000" w:themeColor="text1"/>
                <w:sz w:val="22"/>
                <w:szCs w:val="22"/>
              </w:rPr>
            </w:pPr>
            <w:r>
              <w:rPr>
                <w:rFonts w:asciiTheme="majorBidi" w:hAnsiTheme="majorBidi" w:cstheme="majorBidi"/>
                <w:color w:val="000000" w:themeColor="text1"/>
                <w:sz w:val="22"/>
                <w:szCs w:val="22"/>
              </w:rPr>
              <w:t>No dominant</w:t>
            </w:r>
          </w:p>
        </w:tc>
        <w:tc>
          <w:tcPr>
            <w:tcW w:w="1701" w:type="dxa"/>
            <w:tcBorders>
              <w:bottom w:val="single" w:sz="8" w:space="0" w:color="000000"/>
            </w:tcBorders>
            <w:shd w:val="clear" w:color="auto" w:fill="FFFFFF"/>
          </w:tcPr>
          <w:p w14:paraId="081A9F11" w14:textId="14589683" w:rsidR="00DE7BDA" w:rsidRPr="00CF31E0" w:rsidRDefault="00DE7BDA" w:rsidP="00C73201">
            <w:pPr>
              <w:spacing w:before="120" w:after="120"/>
              <w:rPr>
                <w:color w:val="000000" w:themeColor="text1"/>
                <w:sz w:val="22"/>
                <w:szCs w:val="22"/>
              </w:rPr>
            </w:pPr>
            <w:r w:rsidRPr="00CF31E0">
              <w:rPr>
                <w:color w:val="000000" w:themeColor="text1"/>
                <w:sz w:val="22"/>
                <w:szCs w:val="22"/>
              </w:rPr>
              <w:t>246</w:t>
            </w:r>
          </w:p>
        </w:tc>
      </w:tr>
    </w:tbl>
    <w:p w14:paraId="74C497F2" w14:textId="598EFDDC" w:rsidR="00A23C2A" w:rsidRPr="00CF31E0" w:rsidRDefault="00A23C2A" w:rsidP="00730917">
      <w:pPr>
        <w:pStyle w:val="Tablecaption"/>
      </w:pPr>
      <w:bookmarkStart w:id="378" w:name="_Toc6473081"/>
      <w:r w:rsidRPr="00CF31E0">
        <w:t xml:space="preserve">Table </w:t>
      </w:r>
      <w:r w:rsidR="00116DBE" w:rsidRPr="00CF31E0">
        <w:t>7</w:t>
      </w:r>
      <w:r w:rsidR="00A90457" w:rsidRPr="00CF31E0">
        <w:t>.</w:t>
      </w:r>
      <w:r w:rsidRPr="00CF31E0">
        <w:t>4: Participants’ selection of the choices provided in Q2.</w:t>
      </w:r>
      <w:bookmarkEnd w:id="375"/>
      <w:bookmarkEnd w:id="376"/>
      <w:bookmarkEnd w:id="377"/>
      <w:bookmarkEnd w:id="378"/>
      <w:r w:rsidRPr="00CF31E0">
        <w:t xml:space="preserve"> </w:t>
      </w:r>
    </w:p>
    <w:p w14:paraId="35062017" w14:textId="5DADC792" w:rsidR="00A23C2A" w:rsidRPr="00CF31E0" w:rsidRDefault="00A23C2A" w:rsidP="00603CB7">
      <w:pPr>
        <w:pStyle w:val="Paragraph"/>
      </w:pPr>
      <w:r w:rsidRPr="00CF31E0">
        <w:t xml:space="preserve">Table </w:t>
      </w:r>
      <w:r w:rsidR="00116DBE" w:rsidRPr="00CF31E0">
        <w:t>7</w:t>
      </w:r>
      <w:r w:rsidR="00A90457" w:rsidRPr="00CF31E0">
        <w:t>.</w:t>
      </w:r>
      <w:r w:rsidRPr="00CF31E0">
        <w:t xml:space="preserve">4 shows that 294 participants selected the HH dialect as the most dominant dialect in the Hijaz region, while 109 participants selected the UBH dialect. Furthermore, 246 participants indicated that there is no dominant dialect in the Hijaz region. To reveal which demographic variables affected the above results, I ran a series of chi-square tests; I will present the results in full in the next section. </w:t>
      </w:r>
    </w:p>
    <w:p w14:paraId="603559D2" w14:textId="6ECE2665" w:rsidR="00A23C2A" w:rsidRPr="00CF31E0" w:rsidRDefault="00116DBE" w:rsidP="00E87209">
      <w:pPr>
        <w:pStyle w:val="Bhead"/>
      </w:pPr>
      <w:bookmarkStart w:id="379" w:name="_Toc6472702"/>
      <w:r w:rsidRPr="00CF31E0">
        <w:t>7</w:t>
      </w:r>
      <w:r w:rsidR="00D12517" w:rsidRPr="00CF31E0">
        <w:t>.3.1.</w:t>
      </w:r>
      <w:r w:rsidR="00F106E7" w:rsidRPr="00CF31E0">
        <w:tab/>
      </w:r>
      <w:r w:rsidR="00A23C2A" w:rsidRPr="00CF31E0">
        <w:t>Effects of demographic variables on the data</w:t>
      </w:r>
      <w:bookmarkEnd w:id="379"/>
      <w:r w:rsidR="00A23C2A" w:rsidRPr="00CF31E0">
        <w:t xml:space="preserve"> </w:t>
      </w:r>
    </w:p>
    <w:p w14:paraId="79C3B7FC" w14:textId="0D2848FD" w:rsidR="00A23C2A" w:rsidRPr="00CF31E0" w:rsidRDefault="00A23C2A" w:rsidP="00603CB7">
      <w:pPr>
        <w:pStyle w:val="Paragraph"/>
      </w:pPr>
      <w:r w:rsidRPr="00CF31E0">
        <w:t xml:space="preserve">Chi-square tests revealed that the following demographic variables affected the data for the above-mentioned question: gender, social group, mother’s social group and spouse’s social group. I will start by discussing the gender demographic variable. </w:t>
      </w:r>
    </w:p>
    <w:p w14:paraId="25583443" w14:textId="75A3E248" w:rsidR="00A23C2A" w:rsidRPr="00CF31E0" w:rsidRDefault="00116DBE" w:rsidP="00E87209">
      <w:pPr>
        <w:pStyle w:val="Chead"/>
      </w:pPr>
      <w:bookmarkStart w:id="380" w:name="_Toc6472703"/>
      <w:r w:rsidRPr="00CF31E0">
        <w:lastRenderedPageBreak/>
        <w:t>7</w:t>
      </w:r>
      <w:r w:rsidR="00D12517" w:rsidRPr="00CF31E0">
        <w:t>.3.1.1.</w:t>
      </w:r>
      <w:r w:rsidR="00F106E7" w:rsidRPr="00CF31E0">
        <w:tab/>
      </w:r>
      <w:r w:rsidR="00A23C2A" w:rsidRPr="00CF31E0">
        <w:t>Gender demographic variable</w:t>
      </w:r>
      <w:bookmarkEnd w:id="380"/>
      <w:r w:rsidR="00A23C2A" w:rsidRPr="00CF31E0">
        <w:t xml:space="preserve"> </w:t>
      </w:r>
    </w:p>
    <w:p w14:paraId="43D9A4BD" w14:textId="2B2CCC15" w:rsidR="00A23C2A" w:rsidRPr="00CF31E0" w:rsidRDefault="00A23C2A" w:rsidP="00603CB7">
      <w:pPr>
        <w:pStyle w:val="Paragraph"/>
      </w:pPr>
      <w:r w:rsidRPr="00CF31E0">
        <w:t xml:space="preserve">The chi-square test results revealed that there is a significant difference between the male and female gender groups. See Table </w:t>
      </w:r>
      <w:r w:rsidR="00116DBE" w:rsidRPr="00CF31E0">
        <w:t>7</w:t>
      </w:r>
      <w:r w:rsidR="00D12517" w:rsidRPr="00CF31E0">
        <w:t>.</w:t>
      </w:r>
      <w:r w:rsidRPr="00CF31E0">
        <w:t xml:space="preserve">5. </w:t>
      </w:r>
    </w:p>
    <w:tbl>
      <w:tblPr>
        <w:tblW w:w="7139" w:type="dxa"/>
        <w:tblLayout w:type="fixed"/>
        <w:tblLook w:val="04A0" w:firstRow="1" w:lastRow="0" w:firstColumn="1" w:lastColumn="0" w:noHBand="0" w:noVBand="1"/>
      </w:tblPr>
      <w:tblGrid>
        <w:gridCol w:w="2235"/>
        <w:gridCol w:w="992"/>
        <w:gridCol w:w="510"/>
        <w:gridCol w:w="3402"/>
      </w:tblGrid>
      <w:tr w:rsidR="00654F5A" w:rsidRPr="00CF31E0" w14:paraId="27E555B5" w14:textId="77777777" w:rsidTr="00603CB7">
        <w:trPr>
          <w:trHeight w:val="567"/>
        </w:trPr>
        <w:tc>
          <w:tcPr>
            <w:tcW w:w="2235" w:type="dxa"/>
            <w:tcBorders>
              <w:top w:val="single" w:sz="8" w:space="0" w:color="auto"/>
              <w:bottom w:val="single" w:sz="8" w:space="0" w:color="auto"/>
            </w:tcBorders>
            <w:shd w:val="clear" w:color="auto" w:fill="auto"/>
            <w:hideMark/>
          </w:tcPr>
          <w:p w14:paraId="3F9F3600" w14:textId="77777777" w:rsidR="00654F5A" w:rsidRPr="00CF31E0" w:rsidRDefault="00654F5A" w:rsidP="00603CB7">
            <w:pPr>
              <w:spacing w:before="80" w:after="80" w:line="276" w:lineRule="auto"/>
              <w:rPr>
                <w:rFonts w:asciiTheme="majorBidi" w:eastAsia="Calibri" w:hAnsiTheme="majorBidi" w:cstheme="majorBidi"/>
                <w:color w:val="000000" w:themeColor="text1"/>
                <w:sz w:val="22"/>
                <w:szCs w:val="22"/>
                <w:lang w:val="en-US" w:eastAsia="en-US"/>
              </w:rPr>
            </w:pPr>
          </w:p>
        </w:tc>
        <w:tc>
          <w:tcPr>
            <w:tcW w:w="992" w:type="dxa"/>
            <w:tcBorders>
              <w:top w:val="single" w:sz="8" w:space="0" w:color="auto"/>
              <w:bottom w:val="single" w:sz="8" w:space="0" w:color="auto"/>
            </w:tcBorders>
            <w:shd w:val="clear" w:color="auto" w:fill="auto"/>
            <w:hideMark/>
          </w:tcPr>
          <w:p w14:paraId="59E78626" w14:textId="77777777" w:rsidR="00654F5A" w:rsidRPr="00CF31E0" w:rsidRDefault="00654F5A" w:rsidP="00603CB7">
            <w:pPr>
              <w:spacing w:before="80" w:after="80" w:line="276" w:lineRule="auto"/>
              <w:rPr>
                <w:rFonts w:asciiTheme="majorBidi" w:eastAsia="Calibri" w:hAnsiTheme="majorBidi" w:cstheme="majorBidi"/>
                <w:color w:val="000000" w:themeColor="text1"/>
                <w:sz w:val="22"/>
                <w:szCs w:val="22"/>
                <w:lang w:val="en-US" w:eastAsia="en-US"/>
              </w:rPr>
            </w:pPr>
            <w:r w:rsidRPr="00CF31E0">
              <w:rPr>
                <w:rFonts w:asciiTheme="majorBidi" w:eastAsia="Calibri" w:hAnsiTheme="majorBidi" w:cstheme="majorBidi"/>
                <w:color w:val="000000" w:themeColor="text1"/>
                <w:sz w:val="22"/>
                <w:szCs w:val="22"/>
                <w:lang w:val="en-US" w:eastAsia="en-US"/>
              </w:rPr>
              <w:t>Value</w:t>
            </w:r>
          </w:p>
        </w:tc>
        <w:tc>
          <w:tcPr>
            <w:tcW w:w="510" w:type="dxa"/>
            <w:tcBorders>
              <w:top w:val="single" w:sz="8" w:space="0" w:color="auto"/>
              <w:bottom w:val="single" w:sz="8" w:space="0" w:color="auto"/>
            </w:tcBorders>
            <w:shd w:val="clear" w:color="auto" w:fill="auto"/>
          </w:tcPr>
          <w:p w14:paraId="22124C14" w14:textId="77777777" w:rsidR="00654F5A" w:rsidRPr="00CF31E0" w:rsidRDefault="00654F5A" w:rsidP="00603CB7">
            <w:pPr>
              <w:spacing w:before="80" w:after="80" w:line="276" w:lineRule="auto"/>
              <w:rPr>
                <w:rFonts w:asciiTheme="majorBidi" w:eastAsia="Calibri" w:hAnsiTheme="majorBidi" w:cstheme="majorBidi"/>
                <w:color w:val="000000" w:themeColor="text1"/>
                <w:sz w:val="22"/>
                <w:szCs w:val="22"/>
                <w:lang w:val="en-US" w:eastAsia="en-US"/>
              </w:rPr>
            </w:pPr>
            <w:r w:rsidRPr="00CF31E0">
              <w:rPr>
                <w:rFonts w:asciiTheme="majorBidi" w:eastAsia="Calibri" w:hAnsiTheme="majorBidi" w:cstheme="majorBidi"/>
                <w:color w:val="000000" w:themeColor="text1"/>
                <w:sz w:val="22"/>
                <w:szCs w:val="22"/>
                <w:lang w:val="en-US" w:eastAsia="en-US"/>
              </w:rPr>
              <w:t>df</w:t>
            </w:r>
          </w:p>
        </w:tc>
        <w:tc>
          <w:tcPr>
            <w:tcW w:w="3402" w:type="dxa"/>
            <w:tcBorders>
              <w:top w:val="single" w:sz="8" w:space="0" w:color="auto"/>
              <w:bottom w:val="single" w:sz="8" w:space="0" w:color="auto"/>
            </w:tcBorders>
            <w:shd w:val="clear" w:color="auto" w:fill="auto"/>
          </w:tcPr>
          <w:p w14:paraId="3D776187" w14:textId="77777777" w:rsidR="00654F5A" w:rsidRPr="00CF31E0" w:rsidRDefault="00654F5A" w:rsidP="00603CB7">
            <w:pPr>
              <w:spacing w:before="80" w:after="80" w:line="276" w:lineRule="auto"/>
              <w:rPr>
                <w:rFonts w:asciiTheme="majorBidi" w:eastAsia="Calibri" w:hAnsiTheme="majorBidi" w:cstheme="majorBidi"/>
                <w:color w:val="000000" w:themeColor="text1"/>
                <w:sz w:val="22"/>
                <w:szCs w:val="22"/>
                <w:lang w:val="en-US" w:eastAsia="en-US"/>
              </w:rPr>
            </w:pPr>
            <w:r w:rsidRPr="00CF31E0">
              <w:rPr>
                <w:rFonts w:asciiTheme="majorBidi" w:eastAsia="Calibri" w:hAnsiTheme="majorBidi" w:cstheme="majorBidi"/>
                <w:color w:val="000000" w:themeColor="text1"/>
                <w:sz w:val="22"/>
                <w:szCs w:val="22"/>
                <w:lang w:eastAsia="en-US"/>
              </w:rPr>
              <w:t>Asymptotic Significance (2-sided)</w:t>
            </w:r>
          </w:p>
        </w:tc>
      </w:tr>
      <w:tr w:rsidR="00654F5A" w:rsidRPr="00CF31E0" w14:paraId="79927015" w14:textId="77777777" w:rsidTr="00603CB7">
        <w:trPr>
          <w:trHeight w:val="567"/>
        </w:trPr>
        <w:tc>
          <w:tcPr>
            <w:tcW w:w="2235" w:type="dxa"/>
            <w:tcBorders>
              <w:top w:val="single" w:sz="8" w:space="0" w:color="auto"/>
            </w:tcBorders>
            <w:shd w:val="clear" w:color="auto" w:fill="auto"/>
            <w:vAlign w:val="bottom"/>
          </w:tcPr>
          <w:p w14:paraId="2415B62E" w14:textId="77777777" w:rsidR="00654F5A" w:rsidRPr="00CF31E0" w:rsidRDefault="00654F5A" w:rsidP="00B12C97">
            <w:pPr>
              <w:spacing w:before="80" w:after="200" w:line="276" w:lineRule="auto"/>
              <w:rPr>
                <w:rFonts w:asciiTheme="majorBidi" w:eastAsia="Calibri" w:hAnsiTheme="majorBidi" w:cstheme="majorBidi"/>
                <w:color w:val="000000" w:themeColor="text1"/>
                <w:sz w:val="22"/>
                <w:szCs w:val="22"/>
                <w:lang w:val="en-US" w:eastAsia="en-US"/>
              </w:rPr>
            </w:pPr>
            <w:r w:rsidRPr="00CF31E0">
              <w:rPr>
                <w:rFonts w:asciiTheme="majorBidi" w:eastAsia="Calibri" w:hAnsiTheme="majorBidi" w:cstheme="majorBidi"/>
                <w:color w:val="000000" w:themeColor="text1"/>
                <w:sz w:val="22"/>
                <w:szCs w:val="22"/>
                <w:lang w:val="en-US" w:eastAsia="en-US"/>
              </w:rPr>
              <w:t>Pearson Chi-Square</w:t>
            </w:r>
          </w:p>
        </w:tc>
        <w:tc>
          <w:tcPr>
            <w:tcW w:w="992" w:type="dxa"/>
            <w:tcBorders>
              <w:top w:val="single" w:sz="8" w:space="0" w:color="auto"/>
            </w:tcBorders>
            <w:shd w:val="clear" w:color="auto" w:fill="auto"/>
            <w:vAlign w:val="bottom"/>
          </w:tcPr>
          <w:p w14:paraId="6FFAC9BE" w14:textId="77777777" w:rsidR="00654F5A" w:rsidRPr="00CF31E0" w:rsidRDefault="00654F5A" w:rsidP="00B12C97">
            <w:pPr>
              <w:spacing w:after="200" w:line="276" w:lineRule="auto"/>
              <w:rPr>
                <w:rFonts w:asciiTheme="majorBidi" w:eastAsia="Calibri" w:hAnsiTheme="majorBidi" w:cstheme="majorBidi"/>
                <w:color w:val="000000" w:themeColor="text1"/>
                <w:sz w:val="22"/>
                <w:szCs w:val="22"/>
                <w:lang w:val="en-US" w:eastAsia="en-US"/>
              </w:rPr>
            </w:pPr>
            <w:r w:rsidRPr="00CF31E0">
              <w:rPr>
                <w:rFonts w:asciiTheme="majorBidi" w:eastAsia="Calibri" w:hAnsiTheme="majorBidi" w:cstheme="majorBidi"/>
                <w:color w:val="000000" w:themeColor="text1"/>
                <w:sz w:val="22"/>
                <w:szCs w:val="22"/>
                <w:lang w:eastAsia="en-US"/>
              </w:rPr>
              <w:t>7.243</w:t>
            </w:r>
            <w:r w:rsidRPr="00CF31E0">
              <w:rPr>
                <w:rFonts w:asciiTheme="majorBidi" w:eastAsia="Calibri" w:hAnsiTheme="majorBidi" w:cstheme="majorBidi"/>
                <w:color w:val="000000" w:themeColor="text1"/>
                <w:sz w:val="22"/>
                <w:szCs w:val="22"/>
                <w:vertAlign w:val="superscript"/>
                <w:lang w:eastAsia="en-US"/>
              </w:rPr>
              <w:t>a</w:t>
            </w:r>
          </w:p>
        </w:tc>
        <w:tc>
          <w:tcPr>
            <w:tcW w:w="510" w:type="dxa"/>
            <w:tcBorders>
              <w:top w:val="single" w:sz="8" w:space="0" w:color="auto"/>
            </w:tcBorders>
            <w:shd w:val="clear" w:color="auto" w:fill="auto"/>
            <w:vAlign w:val="bottom"/>
          </w:tcPr>
          <w:p w14:paraId="031A5F5C" w14:textId="77777777" w:rsidR="00654F5A" w:rsidRPr="00CF31E0" w:rsidRDefault="00654F5A" w:rsidP="00B12C97">
            <w:pPr>
              <w:spacing w:after="200" w:line="276" w:lineRule="auto"/>
              <w:rPr>
                <w:rFonts w:asciiTheme="majorBidi" w:eastAsia="Calibri" w:hAnsiTheme="majorBidi" w:cstheme="majorBidi"/>
                <w:color w:val="000000" w:themeColor="text1"/>
                <w:sz w:val="22"/>
                <w:szCs w:val="22"/>
                <w:lang w:val="en-US" w:eastAsia="en-US"/>
              </w:rPr>
            </w:pPr>
            <w:r w:rsidRPr="00CF31E0">
              <w:rPr>
                <w:rFonts w:asciiTheme="majorBidi" w:eastAsia="Calibri" w:hAnsiTheme="majorBidi" w:cstheme="majorBidi"/>
                <w:color w:val="000000" w:themeColor="text1"/>
                <w:sz w:val="22"/>
                <w:szCs w:val="22"/>
                <w:lang w:val="en-US" w:eastAsia="en-US"/>
              </w:rPr>
              <w:t>2</w:t>
            </w:r>
          </w:p>
        </w:tc>
        <w:tc>
          <w:tcPr>
            <w:tcW w:w="3402" w:type="dxa"/>
            <w:tcBorders>
              <w:top w:val="single" w:sz="8" w:space="0" w:color="auto"/>
            </w:tcBorders>
            <w:shd w:val="clear" w:color="auto" w:fill="auto"/>
            <w:vAlign w:val="bottom"/>
          </w:tcPr>
          <w:p w14:paraId="2AC8EF56" w14:textId="17E17B71" w:rsidR="00654F5A" w:rsidRPr="00CF31E0" w:rsidRDefault="00654F5A" w:rsidP="00B12C97">
            <w:pPr>
              <w:spacing w:after="200" w:line="276" w:lineRule="auto"/>
              <w:jc w:val="center"/>
              <w:rPr>
                <w:rFonts w:asciiTheme="majorBidi" w:eastAsia="Calibri" w:hAnsiTheme="majorBidi" w:cstheme="majorBidi"/>
                <w:color w:val="000000" w:themeColor="text1"/>
                <w:sz w:val="22"/>
                <w:szCs w:val="22"/>
                <w:lang w:eastAsia="en-US"/>
              </w:rPr>
            </w:pPr>
            <w:r w:rsidRPr="00CF31E0">
              <w:rPr>
                <w:rFonts w:asciiTheme="majorBidi" w:eastAsia="Calibri" w:hAnsiTheme="majorBidi" w:cstheme="majorBidi"/>
                <w:color w:val="000000" w:themeColor="text1"/>
                <w:sz w:val="22"/>
                <w:szCs w:val="22"/>
                <w:lang w:eastAsia="en-US"/>
              </w:rPr>
              <w:t>.027</w:t>
            </w:r>
          </w:p>
        </w:tc>
      </w:tr>
      <w:tr w:rsidR="00654F5A" w:rsidRPr="00CF31E0" w14:paraId="0DD930E6" w14:textId="77777777" w:rsidTr="00603CB7">
        <w:trPr>
          <w:trHeight w:val="567"/>
        </w:trPr>
        <w:tc>
          <w:tcPr>
            <w:tcW w:w="2235" w:type="dxa"/>
            <w:tcBorders>
              <w:bottom w:val="single" w:sz="8" w:space="0" w:color="auto"/>
            </w:tcBorders>
            <w:shd w:val="clear" w:color="auto" w:fill="auto"/>
            <w:vAlign w:val="bottom"/>
          </w:tcPr>
          <w:p w14:paraId="69AB96CE" w14:textId="77777777" w:rsidR="00654F5A" w:rsidRPr="00CF31E0" w:rsidRDefault="00654F5A" w:rsidP="00B12C97">
            <w:pPr>
              <w:spacing w:after="200" w:line="276" w:lineRule="auto"/>
              <w:rPr>
                <w:rFonts w:asciiTheme="majorBidi" w:eastAsia="Calibri" w:hAnsiTheme="majorBidi" w:cstheme="majorBidi"/>
                <w:color w:val="000000" w:themeColor="text1"/>
                <w:sz w:val="22"/>
                <w:szCs w:val="22"/>
                <w:lang w:eastAsia="en-US"/>
              </w:rPr>
            </w:pPr>
            <w:r w:rsidRPr="00CF31E0">
              <w:rPr>
                <w:rFonts w:asciiTheme="majorBidi" w:eastAsia="Calibri" w:hAnsiTheme="majorBidi" w:cstheme="majorBidi"/>
                <w:color w:val="000000" w:themeColor="text1"/>
                <w:sz w:val="22"/>
                <w:szCs w:val="22"/>
                <w:lang w:eastAsia="en-US"/>
              </w:rPr>
              <w:t>N of Valid Cases</w:t>
            </w:r>
          </w:p>
        </w:tc>
        <w:tc>
          <w:tcPr>
            <w:tcW w:w="992" w:type="dxa"/>
            <w:tcBorders>
              <w:bottom w:val="single" w:sz="8" w:space="0" w:color="auto"/>
            </w:tcBorders>
            <w:shd w:val="clear" w:color="auto" w:fill="auto"/>
            <w:vAlign w:val="bottom"/>
          </w:tcPr>
          <w:p w14:paraId="76C54D3A" w14:textId="77777777" w:rsidR="00654F5A" w:rsidRPr="00CF31E0" w:rsidRDefault="00654F5A" w:rsidP="00B12C97">
            <w:pPr>
              <w:spacing w:after="200" w:line="276" w:lineRule="auto"/>
              <w:rPr>
                <w:rFonts w:asciiTheme="majorBidi" w:eastAsia="Calibri" w:hAnsiTheme="majorBidi" w:cstheme="majorBidi"/>
                <w:color w:val="000000" w:themeColor="text1"/>
                <w:sz w:val="22"/>
                <w:szCs w:val="22"/>
                <w:lang w:eastAsia="en-US"/>
              </w:rPr>
            </w:pPr>
            <w:r w:rsidRPr="00CF31E0">
              <w:rPr>
                <w:rFonts w:asciiTheme="majorBidi" w:eastAsia="Calibri" w:hAnsiTheme="majorBidi" w:cstheme="majorBidi"/>
                <w:color w:val="000000" w:themeColor="text1"/>
                <w:sz w:val="22"/>
                <w:szCs w:val="22"/>
                <w:lang w:eastAsia="en-US"/>
              </w:rPr>
              <w:t>649</w:t>
            </w:r>
          </w:p>
        </w:tc>
        <w:tc>
          <w:tcPr>
            <w:tcW w:w="510" w:type="dxa"/>
            <w:tcBorders>
              <w:bottom w:val="single" w:sz="8" w:space="0" w:color="auto"/>
            </w:tcBorders>
            <w:shd w:val="clear" w:color="auto" w:fill="auto"/>
            <w:vAlign w:val="bottom"/>
          </w:tcPr>
          <w:p w14:paraId="0A309599" w14:textId="77777777" w:rsidR="00654F5A" w:rsidRPr="00CF31E0" w:rsidRDefault="00654F5A" w:rsidP="00B12C97">
            <w:pPr>
              <w:spacing w:after="200" w:line="276" w:lineRule="auto"/>
              <w:rPr>
                <w:rFonts w:asciiTheme="majorBidi" w:eastAsia="Calibri" w:hAnsiTheme="majorBidi" w:cstheme="majorBidi"/>
                <w:color w:val="000000" w:themeColor="text1"/>
                <w:sz w:val="22"/>
                <w:szCs w:val="22"/>
                <w:lang w:val="en-US" w:eastAsia="en-US"/>
              </w:rPr>
            </w:pPr>
          </w:p>
        </w:tc>
        <w:tc>
          <w:tcPr>
            <w:tcW w:w="3402" w:type="dxa"/>
            <w:tcBorders>
              <w:bottom w:val="single" w:sz="8" w:space="0" w:color="auto"/>
            </w:tcBorders>
            <w:shd w:val="clear" w:color="auto" w:fill="auto"/>
            <w:vAlign w:val="bottom"/>
          </w:tcPr>
          <w:p w14:paraId="4812A1E2" w14:textId="77777777" w:rsidR="00654F5A" w:rsidRPr="00CF31E0" w:rsidRDefault="00654F5A" w:rsidP="00B12C97">
            <w:pPr>
              <w:spacing w:after="200" w:line="276" w:lineRule="auto"/>
              <w:rPr>
                <w:rFonts w:asciiTheme="majorBidi" w:eastAsia="Calibri" w:hAnsiTheme="majorBidi" w:cstheme="majorBidi"/>
                <w:color w:val="000000" w:themeColor="text1"/>
                <w:sz w:val="22"/>
                <w:szCs w:val="22"/>
                <w:lang w:eastAsia="en-US"/>
              </w:rPr>
            </w:pPr>
          </w:p>
        </w:tc>
      </w:tr>
      <w:tr w:rsidR="00BF77CF" w:rsidRPr="00CF31E0" w14:paraId="75BAC77F" w14:textId="77777777" w:rsidTr="00603CB7">
        <w:trPr>
          <w:trHeight w:val="567"/>
        </w:trPr>
        <w:tc>
          <w:tcPr>
            <w:tcW w:w="7139" w:type="dxa"/>
            <w:gridSpan w:val="4"/>
            <w:tcBorders>
              <w:top w:val="single" w:sz="8" w:space="0" w:color="auto"/>
              <w:bottom w:val="single" w:sz="8" w:space="0" w:color="auto"/>
            </w:tcBorders>
            <w:shd w:val="clear" w:color="auto" w:fill="auto"/>
          </w:tcPr>
          <w:p w14:paraId="578A7517" w14:textId="677C5DBF" w:rsidR="00BF77CF" w:rsidRPr="00CF31E0" w:rsidRDefault="00BF77CF" w:rsidP="00603CB7">
            <w:pPr>
              <w:spacing w:before="80" w:after="80"/>
              <w:rPr>
                <w:rFonts w:asciiTheme="majorBidi" w:eastAsia="Calibri" w:hAnsiTheme="majorBidi" w:cstheme="majorBidi"/>
                <w:color w:val="000000" w:themeColor="text1"/>
                <w:sz w:val="22"/>
                <w:szCs w:val="22"/>
                <w:lang w:eastAsia="en-US"/>
              </w:rPr>
            </w:pPr>
            <w:r w:rsidRPr="00CF31E0">
              <w:rPr>
                <w:rFonts w:asciiTheme="majorBidi" w:eastAsia="Calibri" w:hAnsiTheme="majorBidi" w:cstheme="majorBidi"/>
                <w:color w:val="000000" w:themeColor="text1"/>
                <w:sz w:val="22"/>
                <w:szCs w:val="22"/>
                <w:lang w:eastAsia="en-US"/>
              </w:rPr>
              <w:t>a. 0 cells (.0%) have expected count less than 5. The minimum expected count is 46.35.</w:t>
            </w:r>
          </w:p>
        </w:tc>
      </w:tr>
    </w:tbl>
    <w:p w14:paraId="154D1AE1" w14:textId="709E1911" w:rsidR="00A23C2A" w:rsidRPr="00CF31E0" w:rsidRDefault="00A23C2A" w:rsidP="00730917">
      <w:pPr>
        <w:pStyle w:val="Tablecaption"/>
      </w:pPr>
      <w:bookmarkStart w:id="381" w:name="_Toc522527409"/>
      <w:bookmarkStart w:id="382" w:name="_Toc522628821"/>
      <w:bookmarkStart w:id="383" w:name="_Toc522628985"/>
      <w:bookmarkStart w:id="384" w:name="_Toc6473082"/>
      <w:r w:rsidRPr="00CF31E0">
        <w:t xml:space="preserve">Table </w:t>
      </w:r>
      <w:r w:rsidR="00116DBE" w:rsidRPr="00CF31E0">
        <w:t>7</w:t>
      </w:r>
      <w:r w:rsidR="00D12517" w:rsidRPr="00CF31E0">
        <w:t>.</w:t>
      </w:r>
      <w:r w:rsidRPr="00CF31E0">
        <w:t>5: Chi-square test results for gender demographic variable.</w:t>
      </w:r>
      <w:bookmarkEnd w:id="381"/>
      <w:bookmarkEnd w:id="382"/>
      <w:bookmarkEnd w:id="383"/>
      <w:bookmarkEnd w:id="384"/>
    </w:p>
    <w:p w14:paraId="69D1A130" w14:textId="09FA79BF" w:rsidR="00A23C2A" w:rsidRPr="00CF31E0" w:rsidRDefault="00A23C2A" w:rsidP="00603CB7">
      <w:pPr>
        <w:pStyle w:val="Paragraph"/>
        <w:spacing w:after="100"/>
      </w:pPr>
      <w:r w:rsidRPr="00CF31E0">
        <w:t xml:space="preserve">The table footnote in Table </w:t>
      </w:r>
      <w:r w:rsidR="00116DBE" w:rsidRPr="00CF31E0">
        <w:t>7</w:t>
      </w:r>
      <w:r w:rsidR="00D12517" w:rsidRPr="00CF31E0">
        <w:t>.</w:t>
      </w:r>
      <w:r w:rsidRPr="00CF31E0">
        <w:t xml:space="preserve">5 shows that the chi-square assumption is not violated by the data. The p value is p&lt;.027. Table </w:t>
      </w:r>
      <w:r w:rsidR="00116DBE" w:rsidRPr="00CF31E0">
        <w:t>7</w:t>
      </w:r>
      <w:r w:rsidR="00D12517" w:rsidRPr="00CF31E0">
        <w:t>.</w:t>
      </w:r>
      <w:r w:rsidRPr="00CF31E0">
        <w:t>6 illustrates where the difference lies between the two groups.</w:t>
      </w:r>
    </w:p>
    <w:tbl>
      <w:tblPr>
        <w:tblW w:w="7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9"/>
        <w:gridCol w:w="897"/>
        <w:gridCol w:w="1427"/>
        <w:gridCol w:w="983"/>
        <w:gridCol w:w="851"/>
        <w:gridCol w:w="1417"/>
        <w:gridCol w:w="992"/>
      </w:tblGrid>
      <w:tr w:rsidR="00012E0B" w:rsidRPr="00CF31E0" w14:paraId="3A92A4F8" w14:textId="77777777" w:rsidTr="00603CB7">
        <w:trPr>
          <w:cantSplit/>
        </w:trPr>
        <w:tc>
          <w:tcPr>
            <w:tcW w:w="3133" w:type="dxa"/>
            <w:gridSpan w:val="3"/>
            <w:vMerge w:val="restart"/>
            <w:shd w:val="clear" w:color="auto" w:fill="FFFFFF"/>
            <w:vAlign w:val="bottom"/>
          </w:tcPr>
          <w:p w14:paraId="1DDA6E4B" w14:textId="77777777" w:rsidR="00012E0B" w:rsidRPr="00CF31E0" w:rsidRDefault="00012E0B" w:rsidP="00012E0B">
            <w:pPr>
              <w:widowControl w:val="0"/>
              <w:autoSpaceDE w:val="0"/>
              <w:autoSpaceDN w:val="0"/>
              <w:adjustRightInd w:val="0"/>
              <w:rPr>
                <w:rFonts w:asciiTheme="majorBidi" w:hAnsiTheme="majorBidi" w:cstheme="majorBidi"/>
                <w:color w:val="000000" w:themeColor="text1"/>
                <w:sz w:val="22"/>
                <w:szCs w:val="22"/>
                <w:lang w:eastAsia="en-US"/>
              </w:rPr>
            </w:pPr>
          </w:p>
        </w:tc>
        <w:tc>
          <w:tcPr>
            <w:tcW w:w="3251" w:type="dxa"/>
            <w:gridSpan w:val="3"/>
            <w:shd w:val="clear" w:color="auto" w:fill="FFFFFF"/>
            <w:vAlign w:val="bottom"/>
          </w:tcPr>
          <w:p w14:paraId="5FC600DF" w14:textId="524F1417" w:rsidR="00012E0B" w:rsidRPr="00CF31E0" w:rsidRDefault="00FC52C2" w:rsidP="00012E0B">
            <w:pPr>
              <w:widowControl w:val="0"/>
              <w:autoSpaceDE w:val="0"/>
              <w:autoSpaceDN w:val="0"/>
              <w:adjustRightInd w:val="0"/>
              <w:spacing w:line="320" w:lineRule="atLeast"/>
              <w:ind w:left="60" w:right="60"/>
              <w:jc w:val="center"/>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xml:space="preserve">The dominant dialect in Hijaz </w:t>
            </w:r>
            <w:r w:rsidR="00012E0B" w:rsidRPr="00CF31E0">
              <w:rPr>
                <w:rFonts w:asciiTheme="majorBidi" w:hAnsiTheme="majorBidi" w:cstheme="majorBidi"/>
                <w:color w:val="000000" w:themeColor="text1"/>
                <w:sz w:val="22"/>
                <w:szCs w:val="22"/>
                <w:lang w:eastAsia="en-US"/>
              </w:rPr>
              <w:t>is</w:t>
            </w:r>
          </w:p>
        </w:tc>
        <w:tc>
          <w:tcPr>
            <w:tcW w:w="992" w:type="dxa"/>
            <w:vMerge w:val="restart"/>
            <w:shd w:val="clear" w:color="auto" w:fill="FFFFFF"/>
            <w:vAlign w:val="bottom"/>
          </w:tcPr>
          <w:p w14:paraId="4A1C4BBE"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Total</w:t>
            </w:r>
          </w:p>
        </w:tc>
      </w:tr>
      <w:tr w:rsidR="00012E0B" w:rsidRPr="00CF31E0" w14:paraId="78233E36" w14:textId="77777777" w:rsidTr="00603CB7">
        <w:trPr>
          <w:cantSplit/>
        </w:trPr>
        <w:tc>
          <w:tcPr>
            <w:tcW w:w="3133" w:type="dxa"/>
            <w:gridSpan w:val="3"/>
            <w:vMerge/>
            <w:shd w:val="clear" w:color="auto" w:fill="FFFFFF"/>
            <w:vAlign w:val="bottom"/>
          </w:tcPr>
          <w:p w14:paraId="26CF9BFB" w14:textId="77777777" w:rsidR="00012E0B" w:rsidRPr="00CF31E0" w:rsidRDefault="00012E0B" w:rsidP="00012E0B">
            <w:pPr>
              <w:widowControl w:val="0"/>
              <w:autoSpaceDE w:val="0"/>
              <w:autoSpaceDN w:val="0"/>
              <w:adjustRightInd w:val="0"/>
              <w:rPr>
                <w:rFonts w:asciiTheme="majorBidi" w:hAnsiTheme="majorBidi" w:cstheme="majorBidi"/>
                <w:color w:val="000000" w:themeColor="text1"/>
                <w:sz w:val="22"/>
                <w:szCs w:val="22"/>
                <w:lang w:eastAsia="en-US"/>
              </w:rPr>
            </w:pPr>
          </w:p>
        </w:tc>
        <w:tc>
          <w:tcPr>
            <w:tcW w:w="983" w:type="dxa"/>
            <w:shd w:val="clear" w:color="auto" w:fill="FFFFFF"/>
            <w:vAlign w:val="bottom"/>
          </w:tcPr>
          <w:p w14:paraId="059FB684" w14:textId="65CF3B1D"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UBH dialect</w:t>
            </w:r>
          </w:p>
        </w:tc>
        <w:tc>
          <w:tcPr>
            <w:tcW w:w="851" w:type="dxa"/>
            <w:shd w:val="clear" w:color="auto" w:fill="FFFFFF"/>
            <w:vAlign w:val="bottom"/>
          </w:tcPr>
          <w:p w14:paraId="5B29A09F" w14:textId="32FF3B92"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HH dialect</w:t>
            </w:r>
          </w:p>
        </w:tc>
        <w:tc>
          <w:tcPr>
            <w:tcW w:w="1417" w:type="dxa"/>
            <w:shd w:val="clear" w:color="auto" w:fill="FFFFFF"/>
            <w:vAlign w:val="bottom"/>
          </w:tcPr>
          <w:p w14:paraId="6703D637"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No dominant</w:t>
            </w:r>
          </w:p>
        </w:tc>
        <w:tc>
          <w:tcPr>
            <w:tcW w:w="992" w:type="dxa"/>
            <w:vMerge/>
            <w:shd w:val="clear" w:color="auto" w:fill="FFFFFF"/>
            <w:vAlign w:val="bottom"/>
          </w:tcPr>
          <w:p w14:paraId="193DEFBF" w14:textId="77777777" w:rsidR="00012E0B" w:rsidRPr="00CF31E0" w:rsidRDefault="00012E0B" w:rsidP="00012E0B">
            <w:pPr>
              <w:widowControl w:val="0"/>
              <w:autoSpaceDE w:val="0"/>
              <w:autoSpaceDN w:val="0"/>
              <w:adjustRightInd w:val="0"/>
              <w:rPr>
                <w:rFonts w:asciiTheme="majorBidi" w:hAnsiTheme="majorBidi" w:cstheme="majorBidi"/>
                <w:color w:val="000000" w:themeColor="text1"/>
                <w:sz w:val="22"/>
                <w:szCs w:val="22"/>
                <w:lang w:eastAsia="en-US"/>
              </w:rPr>
            </w:pPr>
          </w:p>
        </w:tc>
      </w:tr>
      <w:tr w:rsidR="00012E0B" w:rsidRPr="00CF31E0" w14:paraId="4257CBC5" w14:textId="77777777" w:rsidTr="00603CB7">
        <w:trPr>
          <w:cantSplit/>
        </w:trPr>
        <w:tc>
          <w:tcPr>
            <w:tcW w:w="809" w:type="dxa"/>
            <w:vMerge w:val="restart"/>
            <w:shd w:val="clear" w:color="auto" w:fill="FFFFFF"/>
          </w:tcPr>
          <w:p w14:paraId="7B1696EC" w14:textId="77777777" w:rsidR="00012E0B" w:rsidRPr="00CF31E0" w:rsidRDefault="00012E0B" w:rsidP="00012E0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Gender</w:t>
            </w:r>
          </w:p>
        </w:tc>
        <w:tc>
          <w:tcPr>
            <w:tcW w:w="897" w:type="dxa"/>
            <w:vMerge w:val="restart"/>
            <w:shd w:val="clear" w:color="auto" w:fill="FFFFFF"/>
          </w:tcPr>
          <w:p w14:paraId="2CA8DEEF" w14:textId="0BC5D6CC" w:rsidR="00012E0B" w:rsidRPr="00CF31E0" w:rsidRDefault="00012E0B" w:rsidP="00012E0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Male</w:t>
            </w:r>
          </w:p>
        </w:tc>
        <w:tc>
          <w:tcPr>
            <w:tcW w:w="1427" w:type="dxa"/>
            <w:shd w:val="clear" w:color="auto" w:fill="FFFFFF"/>
          </w:tcPr>
          <w:p w14:paraId="657D52C2" w14:textId="0B7045DD" w:rsidR="00012E0B" w:rsidRPr="00CF31E0" w:rsidRDefault="00FC52C2" w:rsidP="00012E0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Raw frequency</w:t>
            </w:r>
          </w:p>
        </w:tc>
        <w:tc>
          <w:tcPr>
            <w:tcW w:w="983" w:type="dxa"/>
            <w:shd w:val="clear" w:color="auto" w:fill="FFFFFF"/>
            <w:vAlign w:val="center"/>
          </w:tcPr>
          <w:p w14:paraId="13DCD7D0"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38</w:t>
            </w:r>
          </w:p>
        </w:tc>
        <w:tc>
          <w:tcPr>
            <w:tcW w:w="851" w:type="dxa"/>
            <w:shd w:val="clear" w:color="auto" w:fill="FFFFFF"/>
            <w:vAlign w:val="center"/>
          </w:tcPr>
          <w:p w14:paraId="1A4FF94B"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118</w:t>
            </w:r>
          </w:p>
        </w:tc>
        <w:tc>
          <w:tcPr>
            <w:tcW w:w="1417" w:type="dxa"/>
            <w:shd w:val="clear" w:color="auto" w:fill="FFFFFF"/>
            <w:vAlign w:val="center"/>
          </w:tcPr>
          <w:p w14:paraId="091B649A"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120</w:t>
            </w:r>
          </w:p>
        </w:tc>
        <w:tc>
          <w:tcPr>
            <w:tcW w:w="992" w:type="dxa"/>
            <w:shd w:val="clear" w:color="auto" w:fill="FFFFFF"/>
            <w:vAlign w:val="center"/>
          </w:tcPr>
          <w:p w14:paraId="7AEF1DD1"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276</w:t>
            </w:r>
          </w:p>
        </w:tc>
      </w:tr>
      <w:tr w:rsidR="00012E0B" w:rsidRPr="00CF31E0" w14:paraId="0963C179" w14:textId="77777777" w:rsidTr="00603CB7">
        <w:trPr>
          <w:cantSplit/>
        </w:trPr>
        <w:tc>
          <w:tcPr>
            <w:tcW w:w="809" w:type="dxa"/>
            <w:vMerge/>
            <w:shd w:val="clear" w:color="auto" w:fill="FFFFFF"/>
          </w:tcPr>
          <w:p w14:paraId="3D310D53" w14:textId="77777777" w:rsidR="00012E0B" w:rsidRPr="00CF31E0" w:rsidRDefault="00012E0B" w:rsidP="00012E0B">
            <w:pPr>
              <w:widowControl w:val="0"/>
              <w:autoSpaceDE w:val="0"/>
              <w:autoSpaceDN w:val="0"/>
              <w:adjustRightInd w:val="0"/>
              <w:rPr>
                <w:rFonts w:asciiTheme="majorBidi" w:hAnsiTheme="majorBidi" w:cstheme="majorBidi"/>
                <w:color w:val="000000" w:themeColor="text1"/>
                <w:sz w:val="22"/>
                <w:szCs w:val="22"/>
                <w:lang w:eastAsia="en-US"/>
              </w:rPr>
            </w:pPr>
          </w:p>
        </w:tc>
        <w:tc>
          <w:tcPr>
            <w:tcW w:w="897" w:type="dxa"/>
            <w:vMerge/>
            <w:shd w:val="clear" w:color="auto" w:fill="FFFFFF"/>
          </w:tcPr>
          <w:p w14:paraId="1DD8EAF1" w14:textId="77777777" w:rsidR="00012E0B" w:rsidRPr="00CF31E0" w:rsidRDefault="00012E0B" w:rsidP="00012E0B">
            <w:pPr>
              <w:widowControl w:val="0"/>
              <w:autoSpaceDE w:val="0"/>
              <w:autoSpaceDN w:val="0"/>
              <w:adjustRightInd w:val="0"/>
              <w:rPr>
                <w:rFonts w:asciiTheme="majorBidi" w:hAnsiTheme="majorBidi" w:cstheme="majorBidi"/>
                <w:color w:val="000000" w:themeColor="text1"/>
                <w:sz w:val="22"/>
                <w:szCs w:val="22"/>
                <w:lang w:eastAsia="en-US"/>
              </w:rPr>
            </w:pPr>
          </w:p>
        </w:tc>
        <w:tc>
          <w:tcPr>
            <w:tcW w:w="1427" w:type="dxa"/>
            <w:shd w:val="clear" w:color="auto" w:fill="FFFFFF"/>
          </w:tcPr>
          <w:p w14:paraId="25B9E576" w14:textId="77777777" w:rsidR="00012E0B" w:rsidRPr="00CF31E0" w:rsidRDefault="00012E0B" w:rsidP="00012E0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within Gender</w:t>
            </w:r>
          </w:p>
        </w:tc>
        <w:tc>
          <w:tcPr>
            <w:tcW w:w="983" w:type="dxa"/>
            <w:shd w:val="clear" w:color="auto" w:fill="FFFFFF"/>
            <w:vAlign w:val="center"/>
          </w:tcPr>
          <w:p w14:paraId="67A4A566"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13.8%</w:t>
            </w:r>
          </w:p>
        </w:tc>
        <w:tc>
          <w:tcPr>
            <w:tcW w:w="851" w:type="dxa"/>
            <w:shd w:val="clear" w:color="auto" w:fill="FFFFFF"/>
            <w:vAlign w:val="center"/>
          </w:tcPr>
          <w:p w14:paraId="326A2979"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42.8%</w:t>
            </w:r>
          </w:p>
        </w:tc>
        <w:tc>
          <w:tcPr>
            <w:tcW w:w="1417" w:type="dxa"/>
            <w:shd w:val="clear" w:color="auto" w:fill="FFFFFF"/>
            <w:vAlign w:val="center"/>
          </w:tcPr>
          <w:p w14:paraId="2DC5E49E"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43.5%</w:t>
            </w:r>
          </w:p>
        </w:tc>
        <w:tc>
          <w:tcPr>
            <w:tcW w:w="992" w:type="dxa"/>
            <w:shd w:val="clear" w:color="auto" w:fill="FFFFFF"/>
            <w:vAlign w:val="center"/>
          </w:tcPr>
          <w:p w14:paraId="1BE05D30"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100.0%</w:t>
            </w:r>
          </w:p>
        </w:tc>
      </w:tr>
      <w:tr w:rsidR="00012E0B" w:rsidRPr="00CF31E0" w14:paraId="227E44E4" w14:textId="77777777" w:rsidTr="00603CB7">
        <w:trPr>
          <w:cantSplit/>
        </w:trPr>
        <w:tc>
          <w:tcPr>
            <w:tcW w:w="809" w:type="dxa"/>
            <w:vMerge/>
            <w:shd w:val="clear" w:color="auto" w:fill="FFFFFF"/>
          </w:tcPr>
          <w:p w14:paraId="04B2A805" w14:textId="77777777" w:rsidR="00012E0B" w:rsidRPr="00CF31E0" w:rsidRDefault="00012E0B" w:rsidP="00012E0B">
            <w:pPr>
              <w:widowControl w:val="0"/>
              <w:autoSpaceDE w:val="0"/>
              <w:autoSpaceDN w:val="0"/>
              <w:adjustRightInd w:val="0"/>
              <w:rPr>
                <w:rFonts w:asciiTheme="majorBidi" w:hAnsiTheme="majorBidi" w:cstheme="majorBidi"/>
                <w:color w:val="000000" w:themeColor="text1"/>
                <w:sz w:val="22"/>
                <w:szCs w:val="22"/>
                <w:lang w:eastAsia="en-US"/>
              </w:rPr>
            </w:pPr>
          </w:p>
        </w:tc>
        <w:tc>
          <w:tcPr>
            <w:tcW w:w="897" w:type="dxa"/>
            <w:vMerge/>
            <w:shd w:val="clear" w:color="auto" w:fill="FFFFFF"/>
          </w:tcPr>
          <w:p w14:paraId="54E47C6A" w14:textId="77777777" w:rsidR="00012E0B" w:rsidRPr="00CF31E0" w:rsidRDefault="00012E0B" w:rsidP="00012E0B">
            <w:pPr>
              <w:widowControl w:val="0"/>
              <w:autoSpaceDE w:val="0"/>
              <w:autoSpaceDN w:val="0"/>
              <w:adjustRightInd w:val="0"/>
              <w:rPr>
                <w:rFonts w:asciiTheme="majorBidi" w:hAnsiTheme="majorBidi" w:cstheme="majorBidi"/>
                <w:color w:val="000000" w:themeColor="text1"/>
                <w:sz w:val="22"/>
                <w:szCs w:val="22"/>
                <w:lang w:eastAsia="en-US"/>
              </w:rPr>
            </w:pPr>
          </w:p>
        </w:tc>
        <w:tc>
          <w:tcPr>
            <w:tcW w:w="1427" w:type="dxa"/>
            <w:shd w:val="clear" w:color="auto" w:fill="FFFFFF"/>
          </w:tcPr>
          <w:p w14:paraId="5C85DBFA" w14:textId="77777777" w:rsidR="00012E0B" w:rsidRPr="00CF31E0" w:rsidRDefault="00012E0B" w:rsidP="00012E0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of Total</w:t>
            </w:r>
          </w:p>
        </w:tc>
        <w:tc>
          <w:tcPr>
            <w:tcW w:w="983" w:type="dxa"/>
            <w:shd w:val="clear" w:color="auto" w:fill="FFFFFF"/>
            <w:vAlign w:val="center"/>
          </w:tcPr>
          <w:p w14:paraId="1654EE20"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5.9%</w:t>
            </w:r>
          </w:p>
        </w:tc>
        <w:tc>
          <w:tcPr>
            <w:tcW w:w="851" w:type="dxa"/>
            <w:shd w:val="clear" w:color="auto" w:fill="FFFFFF"/>
            <w:vAlign w:val="center"/>
          </w:tcPr>
          <w:p w14:paraId="533FEF1B"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18.2%</w:t>
            </w:r>
          </w:p>
        </w:tc>
        <w:tc>
          <w:tcPr>
            <w:tcW w:w="1417" w:type="dxa"/>
            <w:shd w:val="clear" w:color="auto" w:fill="FFFFFF"/>
            <w:vAlign w:val="center"/>
          </w:tcPr>
          <w:p w14:paraId="56C4C276"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18.5%</w:t>
            </w:r>
          </w:p>
        </w:tc>
        <w:tc>
          <w:tcPr>
            <w:tcW w:w="992" w:type="dxa"/>
            <w:shd w:val="clear" w:color="auto" w:fill="FFFFFF"/>
            <w:vAlign w:val="center"/>
          </w:tcPr>
          <w:p w14:paraId="55651909"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42.5%</w:t>
            </w:r>
          </w:p>
        </w:tc>
      </w:tr>
      <w:tr w:rsidR="00012E0B" w:rsidRPr="00CF31E0" w14:paraId="1112DBF8" w14:textId="77777777" w:rsidTr="00603CB7">
        <w:trPr>
          <w:cantSplit/>
        </w:trPr>
        <w:tc>
          <w:tcPr>
            <w:tcW w:w="809" w:type="dxa"/>
            <w:vMerge/>
            <w:shd w:val="clear" w:color="auto" w:fill="FFFFFF"/>
          </w:tcPr>
          <w:p w14:paraId="61259167" w14:textId="77777777" w:rsidR="00012E0B" w:rsidRPr="00CF31E0" w:rsidRDefault="00012E0B" w:rsidP="00012E0B">
            <w:pPr>
              <w:widowControl w:val="0"/>
              <w:autoSpaceDE w:val="0"/>
              <w:autoSpaceDN w:val="0"/>
              <w:adjustRightInd w:val="0"/>
              <w:rPr>
                <w:rFonts w:asciiTheme="majorBidi" w:hAnsiTheme="majorBidi" w:cstheme="majorBidi"/>
                <w:color w:val="000000" w:themeColor="text1"/>
                <w:sz w:val="22"/>
                <w:szCs w:val="22"/>
                <w:lang w:eastAsia="en-US"/>
              </w:rPr>
            </w:pPr>
          </w:p>
        </w:tc>
        <w:tc>
          <w:tcPr>
            <w:tcW w:w="897" w:type="dxa"/>
            <w:vMerge w:val="restart"/>
            <w:shd w:val="clear" w:color="auto" w:fill="FFFFFF"/>
          </w:tcPr>
          <w:p w14:paraId="79480D8E" w14:textId="5B9D97FC" w:rsidR="00012E0B" w:rsidRPr="00CF31E0" w:rsidRDefault="00012E0B" w:rsidP="00012E0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Female</w:t>
            </w:r>
          </w:p>
        </w:tc>
        <w:tc>
          <w:tcPr>
            <w:tcW w:w="1427" w:type="dxa"/>
            <w:shd w:val="clear" w:color="auto" w:fill="FFFFFF"/>
          </w:tcPr>
          <w:p w14:paraId="5C3D0B6D" w14:textId="71E10184" w:rsidR="00012E0B" w:rsidRPr="00CF31E0" w:rsidRDefault="00FC52C2" w:rsidP="00012E0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Raw frequency</w:t>
            </w:r>
          </w:p>
        </w:tc>
        <w:tc>
          <w:tcPr>
            <w:tcW w:w="983" w:type="dxa"/>
            <w:shd w:val="clear" w:color="auto" w:fill="FFFFFF"/>
            <w:vAlign w:val="center"/>
          </w:tcPr>
          <w:p w14:paraId="2CEC44C4"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71</w:t>
            </w:r>
          </w:p>
        </w:tc>
        <w:tc>
          <w:tcPr>
            <w:tcW w:w="851" w:type="dxa"/>
            <w:shd w:val="clear" w:color="auto" w:fill="FFFFFF"/>
            <w:vAlign w:val="center"/>
          </w:tcPr>
          <w:p w14:paraId="7F16E9D1"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176</w:t>
            </w:r>
          </w:p>
        </w:tc>
        <w:tc>
          <w:tcPr>
            <w:tcW w:w="1417" w:type="dxa"/>
            <w:shd w:val="clear" w:color="auto" w:fill="FFFFFF"/>
            <w:vAlign w:val="center"/>
          </w:tcPr>
          <w:p w14:paraId="2D14F63B"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126</w:t>
            </w:r>
          </w:p>
        </w:tc>
        <w:tc>
          <w:tcPr>
            <w:tcW w:w="992" w:type="dxa"/>
            <w:shd w:val="clear" w:color="auto" w:fill="FFFFFF"/>
            <w:vAlign w:val="center"/>
          </w:tcPr>
          <w:p w14:paraId="1837004A"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373</w:t>
            </w:r>
          </w:p>
        </w:tc>
      </w:tr>
      <w:tr w:rsidR="00012E0B" w:rsidRPr="00CF31E0" w14:paraId="67753B2D" w14:textId="77777777" w:rsidTr="00603CB7">
        <w:trPr>
          <w:cantSplit/>
        </w:trPr>
        <w:tc>
          <w:tcPr>
            <w:tcW w:w="809" w:type="dxa"/>
            <w:vMerge/>
            <w:shd w:val="clear" w:color="auto" w:fill="FFFFFF"/>
          </w:tcPr>
          <w:p w14:paraId="1B8D7EB4" w14:textId="77777777" w:rsidR="00012E0B" w:rsidRPr="00CF31E0" w:rsidRDefault="00012E0B" w:rsidP="00012E0B">
            <w:pPr>
              <w:widowControl w:val="0"/>
              <w:autoSpaceDE w:val="0"/>
              <w:autoSpaceDN w:val="0"/>
              <w:adjustRightInd w:val="0"/>
              <w:rPr>
                <w:rFonts w:asciiTheme="majorBidi" w:hAnsiTheme="majorBidi" w:cstheme="majorBidi"/>
                <w:color w:val="000000" w:themeColor="text1"/>
                <w:sz w:val="22"/>
                <w:szCs w:val="22"/>
                <w:lang w:eastAsia="en-US"/>
              </w:rPr>
            </w:pPr>
          </w:p>
        </w:tc>
        <w:tc>
          <w:tcPr>
            <w:tcW w:w="897" w:type="dxa"/>
            <w:vMerge/>
            <w:shd w:val="clear" w:color="auto" w:fill="FFFFFF"/>
          </w:tcPr>
          <w:p w14:paraId="1E428F6B" w14:textId="77777777" w:rsidR="00012E0B" w:rsidRPr="00CF31E0" w:rsidRDefault="00012E0B" w:rsidP="00012E0B">
            <w:pPr>
              <w:widowControl w:val="0"/>
              <w:autoSpaceDE w:val="0"/>
              <w:autoSpaceDN w:val="0"/>
              <w:adjustRightInd w:val="0"/>
              <w:rPr>
                <w:rFonts w:asciiTheme="majorBidi" w:hAnsiTheme="majorBidi" w:cstheme="majorBidi"/>
                <w:color w:val="000000" w:themeColor="text1"/>
                <w:sz w:val="22"/>
                <w:szCs w:val="22"/>
                <w:lang w:eastAsia="en-US"/>
              </w:rPr>
            </w:pPr>
          </w:p>
        </w:tc>
        <w:tc>
          <w:tcPr>
            <w:tcW w:w="1427" w:type="dxa"/>
            <w:shd w:val="clear" w:color="auto" w:fill="FFFFFF"/>
          </w:tcPr>
          <w:p w14:paraId="7A84AF0B" w14:textId="77777777" w:rsidR="00012E0B" w:rsidRPr="00CF31E0" w:rsidRDefault="00012E0B" w:rsidP="00012E0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within Gender</w:t>
            </w:r>
          </w:p>
        </w:tc>
        <w:tc>
          <w:tcPr>
            <w:tcW w:w="983" w:type="dxa"/>
            <w:shd w:val="clear" w:color="auto" w:fill="FFFFFF"/>
            <w:vAlign w:val="center"/>
          </w:tcPr>
          <w:p w14:paraId="4F3C3B85"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19.0%</w:t>
            </w:r>
          </w:p>
        </w:tc>
        <w:tc>
          <w:tcPr>
            <w:tcW w:w="851" w:type="dxa"/>
            <w:shd w:val="clear" w:color="auto" w:fill="FFFFFF"/>
            <w:vAlign w:val="center"/>
          </w:tcPr>
          <w:p w14:paraId="54C44757"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47.2%</w:t>
            </w:r>
          </w:p>
        </w:tc>
        <w:tc>
          <w:tcPr>
            <w:tcW w:w="1417" w:type="dxa"/>
            <w:shd w:val="clear" w:color="auto" w:fill="FFFFFF"/>
            <w:vAlign w:val="center"/>
          </w:tcPr>
          <w:p w14:paraId="08F1AF46"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33.8%</w:t>
            </w:r>
          </w:p>
        </w:tc>
        <w:tc>
          <w:tcPr>
            <w:tcW w:w="992" w:type="dxa"/>
            <w:shd w:val="clear" w:color="auto" w:fill="FFFFFF"/>
            <w:vAlign w:val="center"/>
          </w:tcPr>
          <w:p w14:paraId="3ADDBBAA"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100.0%</w:t>
            </w:r>
          </w:p>
        </w:tc>
      </w:tr>
      <w:tr w:rsidR="00012E0B" w:rsidRPr="00CF31E0" w14:paraId="6DE52F97" w14:textId="77777777" w:rsidTr="00603CB7">
        <w:trPr>
          <w:cantSplit/>
        </w:trPr>
        <w:tc>
          <w:tcPr>
            <w:tcW w:w="809" w:type="dxa"/>
            <w:vMerge/>
            <w:shd w:val="clear" w:color="auto" w:fill="FFFFFF"/>
          </w:tcPr>
          <w:p w14:paraId="54407E30" w14:textId="77777777" w:rsidR="00012E0B" w:rsidRPr="00CF31E0" w:rsidRDefault="00012E0B" w:rsidP="00012E0B">
            <w:pPr>
              <w:widowControl w:val="0"/>
              <w:autoSpaceDE w:val="0"/>
              <w:autoSpaceDN w:val="0"/>
              <w:adjustRightInd w:val="0"/>
              <w:rPr>
                <w:rFonts w:asciiTheme="majorBidi" w:hAnsiTheme="majorBidi" w:cstheme="majorBidi"/>
                <w:color w:val="000000" w:themeColor="text1"/>
                <w:sz w:val="22"/>
                <w:szCs w:val="22"/>
                <w:lang w:eastAsia="en-US"/>
              </w:rPr>
            </w:pPr>
          </w:p>
        </w:tc>
        <w:tc>
          <w:tcPr>
            <w:tcW w:w="897" w:type="dxa"/>
            <w:vMerge/>
            <w:shd w:val="clear" w:color="auto" w:fill="FFFFFF"/>
          </w:tcPr>
          <w:p w14:paraId="4935D4DF" w14:textId="77777777" w:rsidR="00012E0B" w:rsidRPr="00CF31E0" w:rsidRDefault="00012E0B" w:rsidP="00012E0B">
            <w:pPr>
              <w:widowControl w:val="0"/>
              <w:autoSpaceDE w:val="0"/>
              <w:autoSpaceDN w:val="0"/>
              <w:adjustRightInd w:val="0"/>
              <w:rPr>
                <w:rFonts w:asciiTheme="majorBidi" w:hAnsiTheme="majorBidi" w:cstheme="majorBidi"/>
                <w:color w:val="000000" w:themeColor="text1"/>
                <w:sz w:val="22"/>
                <w:szCs w:val="22"/>
                <w:lang w:eastAsia="en-US"/>
              </w:rPr>
            </w:pPr>
          </w:p>
        </w:tc>
        <w:tc>
          <w:tcPr>
            <w:tcW w:w="1427" w:type="dxa"/>
            <w:shd w:val="clear" w:color="auto" w:fill="FFFFFF"/>
          </w:tcPr>
          <w:p w14:paraId="31345C42" w14:textId="77777777" w:rsidR="00012E0B" w:rsidRPr="00CF31E0" w:rsidRDefault="00012E0B" w:rsidP="00012E0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of Total</w:t>
            </w:r>
          </w:p>
        </w:tc>
        <w:tc>
          <w:tcPr>
            <w:tcW w:w="983" w:type="dxa"/>
            <w:shd w:val="clear" w:color="auto" w:fill="FFFFFF"/>
            <w:vAlign w:val="center"/>
          </w:tcPr>
          <w:p w14:paraId="40C4235F"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10.9%</w:t>
            </w:r>
          </w:p>
        </w:tc>
        <w:tc>
          <w:tcPr>
            <w:tcW w:w="851" w:type="dxa"/>
            <w:shd w:val="clear" w:color="auto" w:fill="FFFFFF"/>
            <w:vAlign w:val="center"/>
          </w:tcPr>
          <w:p w14:paraId="3F8DD3B8"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27.1%</w:t>
            </w:r>
          </w:p>
        </w:tc>
        <w:tc>
          <w:tcPr>
            <w:tcW w:w="1417" w:type="dxa"/>
            <w:shd w:val="clear" w:color="auto" w:fill="FFFFFF"/>
            <w:vAlign w:val="center"/>
          </w:tcPr>
          <w:p w14:paraId="3F001C60"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19.4%</w:t>
            </w:r>
          </w:p>
        </w:tc>
        <w:tc>
          <w:tcPr>
            <w:tcW w:w="992" w:type="dxa"/>
            <w:shd w:val="clear" w:color="auto" w:fill="FFFFFF"/>
            <w:vAlign w:val="center"/>
          </w:tcPr>
          <w:p w14:paraId="024D6340"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57.5%</w:t>
            </w:r>
          </w:p>
        </w:tc>
      </w:tr>
      <w:tr w:rsidR="00012E0B" w:rsidRPr="00CF31E0" w14:paraId="6A3E1675" w14:textId="77777777" w:rsidTr="00603CB7">
        <w:trPr>
          <w:cantSplit/>
        </w:trPr>
        <w:tc>
          <w:tcPr>
            <w:tcW w:w="1706" w:type="dxa"/>
            <w:gridSpan w:val="2"/>
            <w:vMerge w:val="restart"/>
            <w:shd w:val="clear" w:color="auto" w:fill="FFFFFF"/>
          </w:tcPr>
          <w:p w14:paraId="0C5FAD8B" w14:textId="77777777" w:rsidR="00012E0B" w:rsidRPr="00CF31E0" w:rsidRDefault="00012E0B" w:rsidP="00012E0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Total</w:t>
            </w:r>
          </w:p>
        </w:tc>
        <w:tc>
          <w:tcPr>
            <w:tcW w:w="1427" w:type="dxa"/>
            <w:shd w:val="clear" w:color="auto" w:fill="FFFFFF"/>
          </w:tcPr>
          <w:p w14:paraId="4D917773" w14:textId="0ADA666B" w:rsidR="00012E0B" w:rsidRPr="00CF31E0" w:rsidRDefault="00FC52C2" w:rsidP="00012E0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Raw frequency</w:t>
            </w:r>
          </w:p>
        </w:tc>
        <w:tc>
          <w:tcPr>
            <w:tcW w:w="983" w:type="dxa"/>
            <w:shd w:val="clear" w:color="auto" w:fill="FFFFFF"/>
            <w:vAlign w:val="center"/>
          </w:tcPr>
          <w:p w14:paraId="60A05B54"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109</w:t>
            </w:r>
          </w:p>
        </w:tc>
        <w:tc>
          <w:tcPr>
            <w:tcW w:w="851" w:type="dxa"/>
            <w:shd w:val="clear" w:color="auto" w:fill="FFFFFF"/>
            <w:vAlign w:val="center"/>
          </w:tcPr>
          <w:p w14:paraId="02DC9C95"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294</w:t>
            </w:r>
          </w:p>
        </w:tc>
        <w:tc>
          <w:tcPr>
            <w:tcW w:w="1417" w:type="dxa"/>
            <w:shd w:val="clear" w:color="auto" w:fill="FFFFFF"/>
            <w:vAlign w:val="center"/>
          </w:tcPr>
          <w:p w14:paraId="646FA54B"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246</w:t>
            </w:r>
          </w:p>
        </w:tc>
        <w:tc>
          <w:tcPr>
            <w:tcW w:w="992" w:type="dxa"/>
            <w:shd w:val="clear" w:color="auto" w:fill="FFFFFF"/>
            <w:vAlign w:val="center"/>
          </w:tcPr>
          <w:p w14:paraId="2A250BB0"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r>
      <w:tr w:rsidR="00012E0B" w:rsidRPr="00CF31E0" w14:paraId="43A5B751" w14:textId="77777777" w:rsidTr="00603CB7">
        <w:trPr>
          <w:cantSplit/>
        </w:trPr>
        <w:tc>
          <w:tcPr>
            <w:tcW w:w="1706" w:type="dxa"/>
            <w:gridSpan w:val="2"/>
            <w:vMerge/>
            <w:shd w:val="clear" w:color="auto" w:fill="FFFFFF"/>
          </w:tcPr>
          <w:p w14:paraId="6AF07732" w14:textId="77777777" w:rsidR="00012E0B" w:rsidRPr="00CF31E0" w:rsidRDefault="00012E0B" w:rsidP="00012E0B">
            <w:pPr>
              <w:widowControl w:val="0"/>
              <w:autoSpaceDE w:val="0"/>
              <w:autoSpaceDN w:val="0"/>
              <w:adjustRightInd w:val="0"/>
              <w:rPr>
                <w:rFonts w:asciiTheme="majorBidi" w:hAnsiTheme="majorBidi" w:cstheme="majorBidi"/>
                <w:color w:val="000000" w:themeColor="text1"/>
                <w:sz w:val="22"/>
                <w:szCs w:val="22"/>
                <w:lang w:eastAsia="en-US"/>
              </w:rPr>
            </w:pPr>
          </w:p>
        </w:tc>
        <w:tc>
          <w:tcPr>
            <w:tcW w:w="1427" w:type="dxa"/>
            <w:shd w:val="clear" w:color="auto" w:fill="FFFFFF"/>
          </w:tcPr>
          <w:p w14:paraId="26199A33" w14:textId="77777777" w:rsidR="00012E0B" w:rsidRPr="00CF31E0" w:rsidRDefault="00012E0B" w:rsidP="00012E0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within Gender</w:t>
            </w:r>
          </w:p>
        </w:tc>
        <w:tc>
          <w:tcPr>
            <w:tcW w:w="983" w:type="dxa"/>
            <w:shd w:val="clear" w:color="auto" w:fill="FFFFFF"/>
            <w:vAlign w:val="center"/>
          </w:tcPr>
          <w:p w14:paraId="3F3D52B2"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16.8%</w:t>
            </w:r>
          </w:p>
        </w:tc>
        <w:tc>
          <w:tcPr>
            <w:tcW w:w="851" w:type="dxa"/>
            <w:shd w:val="clear" w:color="auto" w:fill="FFFFFF"/>
            <w:vAlign w:val="center"/>
          </w:tcPr>
          <w:p w14:paraId="2E9A4B09"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45.3%</w:t>
            </w:r>
          </w:p>
        </w:tc>
        <w:tc>
          <w:tcPr>
            <w:tcW w:w="1417" w:type="dxa"/>
            <w:shd w:val="clear" w:color="auto" w:fill="FFFFFF"/>
            <w:vAlign w:val="center"/>
          </w:tcPr>
          <w:p w14:paraId="703D5FF9"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37.9%</w:t>
            </w:r>
          </w:p>
        </w:tc>
        <w:tc>
          <w:tcPr>
            <w:tcW w:w="992" w:type="dxa"/>
            <w:shd w:val="clear" w:color="auto" w:fill="FFFFFF"/>
            <w:vAlign w:val="center"/>
          </w:tcPr>
          <w:p w14:paraId="7D97CD23"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100.0%</w:t>
            </w:r>
          </w:p>
        </w:tc>
      </w:tr>
      <w:tr w:rsidR="00012E0B" w:rsidRPr="00CF31E0" w14:paraId="0D94421E" w14:textId="77777777" w:rsidTr="00603CB7">
        <w:trPr>
          <w:cantSplit/>
        </w:trPr>
        <w:tc>
          <w:tcPr>
            <w:tcW w:w="1706" w:type="dxa"/>
            <w:gridSpan w:val="2"/>
            <w:vMerge/>
            <w:shd w:val="clear" w:color="auto" w:fill="FFFFFF"/>
          </w:tcPr>
          <w:p w14:paraId="3A4D35C2" w14:textId="77777777" w:rsidR="00012E0B" w:rsidRPr="00CF31E0" w:rsidRDefault="00012E0B" w:rsidP="00012E0B">
            <w:pPr>
              <w:widowControl w:val="0"/>
              <w:autoSpaceDE w:val="0"/>
              <w:autoSpaceDN w:val="0"/>
              <w:adjustRightInd w:val="0"/>
              <w:rPr>
                <w:rFonts w:asciiTheme="majorBidi" w:hAnsiTheme="majorBidi" w:cstheme="majorBidi"/>
                <w:color w:val="000000" w:themeColor="text1"/>
                <w:sz w:val="22"/>
                <w:szCs w:val="22"/>
                <w:lang w:eastAsia="en-US"/>
              </w:rPr>
            </w:pPr>
          </w:p>
        </w:tc>
        <w:tc>
          <w:tcPr>
            <w:tcW w:w="1427" w:type="dxa"/>
            <w:shd w:val="clear" w:color="auto" w:fill="FFFFFF"/>
          </w:tcPr>
          <w:p w14:paraId="3F142C6B" w14:textId="77777777" w:rsidR="00012E0B" w:rsidRPr="00CF31E0" w:rsidRDefault="00012E0B" w:rsidP="00012E0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of Total</w:t>
            </w:r>
          </w:p>
        </w:tc>
        <w:tc>
          <w:tcPr>
            <w:tcW w:w="983" w:type="dxa"/>
            <w:shd w:val="clear" w:color="auto" w:fill="FFFFFF"/>
            <w:vAlign w:val="center"/>
          </w:tcPr>
          <w:p w14:paraId="03F8CFA7"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16.8%</w:t>
            </w:r>
          </w:p>
        </w:tc>
        <w:tc>
          <w:tcPr>
            <w:tcW w:w="851" w:type="dxa"/>
            <w:shd w:val="clear" w:color="auto" w:fill="FFFFFF"/>
            <w:vAlign w:val="center"/>
          </w:tcPr>
          <w:p w14:paraId="7B42F7C8"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45.3%</w:t>
            </w:r>
          </w:p>
        </w:tc>
        <w:tc>
          <w:tcPr>
            <w:tcW w:w="1417" w:type="dxa"/>
            <w:shd w:val="clear" w:color="auto" w:fill="FFFFFF"/>
            <w:vAlign w:val="center"/>
          </w:tcPr>
          <w:p w14:paraId="5328A3C0"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37.9%</w:t>
            </w:r>
          </w:p>
        </w:tc>
        <w:tc>
          <w:tcPr>
            <w:tcW w:w="992" w:type="dxa"/>
            <w:shd w:val="clear" w:color="auto" w:fill="FFFFFF"/>
            <w:vAlign w:val="center"/>
          </w:tcPr>
          <w:p w14:paraId="591ECC66" w14:textId="77777777" w:rsidR="00012E0B" w:rsidRPr="00CF31E0" w:rsidRDefault="00012E0B" w:rsidP="00012E0B">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100.0%</w:t>
            </w:r>
          </w:p>
        </w:tc>
      </w:tr>
    </w:tbl>
    <w:p w14:paraId="055E5415" w14:textId="691D3E45" w:rsidR="00A23C2A" w:rsidRDefault="00A23C2A" w:rsidP="00767CCC">
      <w:pPr>
        <w:pStyle w:val="Tablecaption"/>
      </w:pPr>
      <w:bookmarkStart w:id="385" w:name="_Toc522527410"/>
      <w:bookmarkStart w:id="386" w:name="_Toc522628822"/>
      <w:bookmarkStart w:id="387" w:name="_Toc522628986"/>
      <w:bookmarkStart w:id="388" w:name="_Toc6473083"/>
      <w:r w:rsidRPr="00CF31E0">
        <w:t xml:space="preserve">Table </w:t>
      </w:r>
      <w:r w:rsidR="00116DBE" w:rsidRPr="00CF31E0">
        <w:t>7</w:t>
      </w:r>
      <w:r w:rsidR="00D12517" w:rsidRPr="00CF31E0">
        <w:t>.</w:t>
      </w:r>
      <w:r w:rsidRPr="00CF31E0">
        <w:t>6: Gender-Q2 crosstabulation</w:t>
      </w:r>
      <w:r w:rsidR="00D12517" w:rsidRPr="00CF31E0">
        <w:t>.</w:t>
      </w:r>
      <w:bookmarkEnd w:id="385"/>
      <w:bookmarkEnd w:id="386"/>
      <w:bookmarkEnd w:id="387"/>
      <w:bookmarkEnd w:id="388"/>
      <w:r w:rsidRPr="00CF31E0">
        <w:t xml:space="preserve"> </w:t>
      </w:r>
    </w:p>
    <w:p w14:paraId="2DD52318" w14:textId="340F1C49" w:rsidR="002C5FC1" w:rsidRPr="002C5FC1" w:rsidRDefault="002C5FC1" w:rsidP="000E3509">
      <w:pPr>
        <w:pStyle w:val="Paragraph"/>
      </w:pPr>
      <w:r w:rsidRPr="00CF31E0">
        <w:t>In comparing the results from male and female participants within the gender factor, it seems that</w:t>
      </w:r>
      <w:r>
        <w:t xml:space="preserve"> female and male participants share a consensus </w:t>
      </w:r>
      <w:r>
        <w:lastRenderedPageBreak/>
        <w:t xml:space="preserve">in perceiving the HH dialect as the dominant dialect in Hijaz. However, the data counts show that males selected this dialect as dominant slightly less frequently than did females; they were more likely to select the option of no dominant dialect than were females. Thus, the overall pattern shows that both gender groups perceived the HH dialect as the dominant one, with 47.2% of female participants selecting the HH dialect and a comparable proportion of 42.8% of the male participants selecting the HH dialect. </w:t>
      </w:r>
    </w:p>
    <w:p w14:paraId="2BEAA1BA" w14:textId="4E7C6829" w:rsidR="00A23C2A" w:rsidRPr="00CF31E0" w:rsidRDefault="00F55269" w:rsidP="00E87209">
      <w:pPr>
        <w:pStyle w:val="Chead"/>
      </w:pPr>
      <w:bookmarkStart w:id="389" w:name="_Toc6472704"/>
      <w:r w:rsidRPr="00CF31E0">
        <w:t>7</w:t>
      </w:r>
      <w:r w:rsidR="00D12517" w:rsidRPr="00CF31E0">
        <w:t>.3.1.2.</w:t>
      </w:r>
      <w:r w:rsidR="00F106E7" w:rsidRPr="00CF31E0">
        <w:tab/>
      </w:r>
      <w:r w:rsidR="00A23C2A" w:rsidRPr="00CF31E0">
        <w:t>Social group demographic variable</w:t>
      </w:r>
      <w:bookmarkEnd w:id="389"/>
      <w:r w:rsidR="00A23C2A" w:rsidRPr="00CF31E0">
        <w:t xml:space="preserve"> </w:t>
      </w:r>
    </w:p>
    <w:p w14:paraId="634B36EF" w14:textId="15B4D0A1" w:rsidR="00A23C2A" w:rsidRPr="00CF31E0" w:rsidRDefault="00A23C2A" w:rsidP="00603CB7">
      <w:pPr>
        <w:pStyle w:val="Paragraph"/>
      </w:pPr>
      <w:r w:rsidRPr="00CF31E0">
        <w:t xml:space="preserve">The chi-square test results revealed that the two social groups differed significantly in terms of their answers to the above question. See Table </w:t>
      </w:r>
      <w:r w:rsidR="00116DBE" w:rsidRPr="00CF31E0">
        <w:t>7</w:t>
      </w:r>
      <w:r w:rsidR="00D12517" w:rsidRPr="00CF31E0">
        <w:t>.</w:t>
      </w:r>
      <w:r w:rsidRPr="00CF31E0">
        <w:t xml:space="preserve">7. </w:t>
      </w:r>
    </w:p>
    <w:tbl>
      <w:tblPr>
        <w:tblW w:w="7479" w:type="dxa"/>
        <w:tblLayout w:type="fixed"/>
        <w:tblLook w:val="04A0" w:firstRow="1" w:lastRow="0" w:firstColumn="1" w:lastColumn="0" w:noHBand="0" w:noVBand="1"/>
      </w:tblPr>
      <w:tblGrid>
        <w:gridCol w:w="2235"/>
        <w:gridCol w:w="1134"/>
        <w:gridCol w:w="567"/>
        <w:gridCol w:w="3543"/>
      </w:tblGrid>
      <w:tr w:rsidR="00630CE5" w:rsidRPr="00CF31E0" w14:paraId="31327070" w14:textId="77777777" w:rsidTr="00603CB7">
        <w:trPr>
          <w:trHeight w:val="567"/>
        </w:trPr>
        <w:tc>
          <w:tcPr>
            <w:tcW w:w="2235" w:type="dxa"/>
            <w:tcBorders>
              <w:top w:val="single" w:sz="8" w:space="0" w:color="auto"/>
              <w:bottom w:val="single" w:sz="8" w:space="0" w:color="auto"/>
            </w:tcBorders>
            <w:shd w:val="clear" w:color="auto" w:fill="auto"/>
            <w:hideMark/>
          </w:tcPr>
          <w:p w14:paraId="4EFAC692" w14:textId="77777777" w:rsidR="00630CE5" w:rsidRPr="00CF31E0" w:rsidRDefault="00630CE5" w:rsidP="00603CB7">
            <w:pPr>
              <w:spacing w:before="80" w:after="80" w:line="276" w:lineRule="auto"/>
              <w:rPr>
                <w:rFonts w:asciiTheme="majorBidi" w:eastAsia="Calibri" w:hAnsiTheme="majorBidi" w:cstheme="majorBidi"/>
                <w:color w:val="000000" w:themeColor="text1"/>
                <w:sz w:val="22"/>
                <w:szCs w:val="22"/>
                <w:lang w:val="en-US" w:eastAsia="en-US"/>
              </w:rPr>
            </w:pPr>
          </w:p>
        </w:tc>
        <w:tc>
          <w:tcPr>
            <w:tcW w:w="1134" w:type="dxa"/>
            <w:tcBorders>
              <w:top w:val="single" w:sz="8" w:space="0" w:color="auto"/>
              <w:bottom w:val="single" w:sz="8" w:space="0" w:color="auto"/>
            </w:tcBorders>
            <w:shd w:val="clear" w:color="auto" w:fill="auto"/>
            <w:hideMark/>
          </w:tcPr>
          <w:p w14:paraId="05A09D31" w14:textId="77777777" w:rsidR="00630CE5" w:rsidRPr="00CF31E0" w:rsidRDefault="00630CE5" w:rsidP="00603CB7">
            <w:pPr>
              <w:spacing w:before="80" w:after="80" w:line="276" w:lineRule="auto"/>
              <w:rPr>
                <w:rFonts w:asciiTheme="majorBidi" w:eastAsia="Calibri" w:hAnsiTheme="majorBidi" w:cstheme="majorBidi"/>
                <w:color w:val="000000" w:themeColor="text1"/>
                <w:sz w:val="22"/>
                <w:szCs w:val="22"/>
                <w:lang w:val="en-US" w:eastAsia="en-US"/>
              </w:rPr>
            </w:pPr>
            <w:r w:rsidRPr="00CF31E0">
              <w:rPr>
                <w:rFonts w:asciiTheme="majorBidi" w:eastAsia="Calibri" w:hAnsiTheme="majorBidi" w:cstheme="majorBidi"/>
                <w:color w:val="000000" w:themeColor="text1"/>
                <w:sz w:val="22"/>
                <w:szCs w:val="22"/>
                <w:lang w:val="en-US" w:eastAsia="en-US"/>
              </w:rPr>
              <w:t>Value</w:t>
            </w:r>
          </w:p>
        </w:tc>
        <w:tc>
          <w:tcPr>
            <w:tcW w:w="567" w:type="dxa"/>
            <w:tcBorders>
              <w:top w:val="single" w:sz="8" w:space="0" w:color="auto"/>
              <w:bottom w:val="single" w:sz="8" w:space="0" w:color="auto"/>
            </w:tcBorders>
            <w:shd w:val="clear" w:color="auto" w:fill="auto"/>
          </w:tcPr>
          <w:p w14:paraId="7DBB2595" w14:textId="77777777" w:rsidR="00630CE5" w:rsidRPr="00CF31E0" w:rsidRDefault="00630CE5" w:rsidP="00603CB7">
            <w:pPr>
              <w:spacing w:before="80" w:after="80" w:line="276" w:lineRule="auto"/>
              <w:rPr>
                <w:rFonts w:asciiTheme="majorBidi" w:eastAsia="Calibri" w:hAnsiTheme="majorBidi" w:cstheme="majorBidi"/>
                <w:color w:val="000000" w:themeColor="text1"/>
                <w:sz w:val="22"/>
                <w:szCs w:val="22"/>
                <w:lang w:val="en-US" w:eastAsia="en-US"/>
              </w:rPr>
            </w:pPr>
            <w:r w:rsidRPr="00CF31E0">
              <w:rPr>
                <w:rFonts w:asciiTheme="majorBidi" w:eastAsia="Calibri" w:hAnsiTheme="majorBidi" w:cstheme="majorBidi"/>
                <w:color w:val="000000" w:themeColor="text1"/>
                <w:sz w:val="22"/>
                <w:szCs w:val="22"/>
                <w:lang w:val="en-US" w:eastAsia="en-US"/>
              </w:rPr>
              <w:t>df</w:t>
            </w:r>
          </w:p>
        </w:tc>
        <w:tc>
          <w:tcPr>
            <w:tcW w:w="3543" w:type="dxa"/>
            <w:tcBorders>
              <w:top w:val="single" w:sz="8" w:space="0" w:color="auto"/>
              <w:bottom w:val="single" w:sz="8" w:space="0" w:color="auto"/>
            </w:tcBorders>
            <w:shd w:val="clear" w:color="auto" w:fill="auto"/>
          </w:tcPr>
          <w:p w14:paraId="0F9DBB98" w14:textId="77777777" w:rsidR="00630CE5" w:rsidRPr="00CF31E0" w:rsidRDefault="00630CE5" w:rsidP="00603CB7">
            <w:pPr>
              <w:spacing w:before="80" w:after="80" w:line="276" w:lineRule="auto"/>
              <w:rPr>
                <w:rFonts w:asciiTheme="majorBidi" w:eastAsia="Calibri" w:hAnsiTheme="majorBidi" w:cstheme="majorBidi"/>
                <w:color w:val="000000" w:themeColor="text1"/>
                <w:sz w:val="22"/>
                <w:szCs w:val="22"/>
                <w:lang w:val="en-US" w:eastAsia="en-US"/>
              </w:rPr>
            </w:pPr>
            <w:r w:rsidRPr="00CF31E0">
              <w:rPr>
                <w:rFonts w:asciiTheme="majorBidi" w:eastAsia="Calibri" w:hAnsiTheme="majorBidi" w:cstheme="majorBidi"/>
                <w:color w:val="000000" w:themeColor="text1"/>
                <w:sz w:val="22"/>
                <w:szCs w:val="22"/>
                <w:lang w:eastAsia="en-US"/>
              </w:rPr>
              <w:t>Asymptotic Significance (2-sided)</w:t>
            </w:r>
          </w:p>
        </w:tc>
      </w:tr>
      <w:tr w:rsidR="00630CE5" w:rsidRPr="00CF31E0" w14:paraId="59DC7643" w14:textId="77777777" w:rsidTr="00603CB7">
        <w:trPr>
          <w:trHeight w:val="567"/>
        </w:trPr>
        <w:tc>
          <w:tcPr>
            <w:tcW w:w="2235" w:type="dxa"/>
            <w:tcBorders>
              <w:top w:val="single" w:sz="8" w:space="0" w:color="auto"/>
            </w:tcBorders>
            <w:shd w:val="clear" w:color="auto" w:fill="auto"/>
            <w:vAlign w:val="bottom"/>
          </w:tcPr>
          <w:p w14:paraId="771057B2" w14:textId="77777777" w:rsidR="00630CE5" w:rsidRPr="00CF31E0" w:rsidRDefault="00630CE5" w:rsidP="00B12C97">
            <w:pPr>
              <w:spacing w:before="80" w:after="200" w:line="276" w:lineRule="auto"/>
              <w:rPr>
                <w:rFonts w:asciiTheme="majorBidi" w:eastAsia="Calibri" w:hAnsiTheme="majorBidi" w:cstheme="majorBidi"/>
                <w:color w:val="000000" w:themeColor="text1"/>
                <w:sz w:val="22"/>
                <w:szCs w:val="22"/>
                <w:lang w:val="en-US" w:eastAsia="en-US"/>
              </w:rPr>
            </w:pPr>
            <w:r w:rsidRPr="00CF31E0">
              <w:rPr>
                <w:rFonts w:asciiTheme="majorBidi" w:eastAsia="Calibri" w:hAnsiTheme="majorBidi" w:cstheme="majorBid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49012DCB" w14:textId="77777777" w:rsidR="00630CE5" w:rsidRPr="00CF31E0" w:rsidRDefault="00630CE5" w:rsidP="00B12C97">
            <w:pPr>
              <w:spacing w:after="200" w:line="276" w:lineRule="auto"/>
              <w:rPr>
                <w:rFonts w:asciiTheme="majorBidi" w:eastAsia="Calibri" w:hAnsiTheme="majorBidi" w:cstheme="majorBidi"/>
                <w:color w:val="000000" w:themeColor="text1"/>
                <w:sz w:val="22"/>
                <w:szCs w:val="22"/>
                <w:lang w:eastAsia="en-US"/>
              </w:rPr>
            </w:pPr>
            <w:r w:rsidRPr="00CF31E0">
              <w:rPr>
                <w:rFonts w:asciiTheme="majorBidi" w:eastAsia="Calibri" w:hAnsiTheme="majorBidi" w:cstheme="majorBidi"/>
                <w:color w:val="000000" w:themeColor="text1"/>
                <w:sz w:val="22"/>
                <w:szCs w:val="22"/>
                <w:lang w:eastAsia="en-US"/>
              </w:rPr>
              <w:t>112.854</w:t>
            </w:r>
            <w:r w:rsidRPr="00CF31E0">
              <w:rPr>
                <w:rFonts w:asciiTheme="majorBidi" w:eastAsia="Calibri" w:hAnsiTheme="majorBidi" w:cstheme="majorBidi"/>
                <w:color w:val="000000" w:themeColor="text1"/>
                <w:sz w:val="22"/>
                <w:szCs w:val="22"/>
                <w:vertAlign w:val="superscript"/>
                <w:lang w:eastAsia="en-US"/>
              </w:rPr>
              <w:t>a</w:t>
            </w:r>
          </w:p>
        </w:tc>
        <w:tc>
          <w:tcPr>
            <w:tcW w:w="567" w:type="dxa"/>
            <w:tcBorders>
              <w:top w:val="single" w:sz="8" w:space="0" w:color="auto"/>
            </w:tcBorders>
            <w:shd w:val="clear" w:color="auto" w:fill="auto"/>
            <w:vAlign w:val="bottom"/>
          </w:tcPr>
          <w:p w14:paraId="4D468E66" w14:textId="77777777" w:rsidR="00630CE5" w:rsidRPr="00CF31E0" w:rsidRDefault="00630CE5" w:rsidP="00B12C97">
            <w:pPr>
              <w:spacing w:after="200" w:line="276" w:lineRule="auto"/>
              <w:rPr>
                <w:rFonts w:asciiTheme="majorBidi" w:eastAsia="Calibri" w:hAnsiTheme="majorBidi" w:cstheme="majorBidi"/>
                <w:color w:val="000000" w:themeColor="text1"/>
                <w:sz w:val="22"/>
                <w:szCs w:val="22"/>
                <w:lang w:val="en-US" w:eastAsia="en-US"/>
              </w:rPr>
            </w:pPr>
            <w:r w:rsidRPr="00CF31E0">
              <w:rPr>
                <w:rFonts w:asciiTheme="majorBidi" w:eastAsia="Calibri" w:hAnsiTheme="majorBidi" w:cstheme="majorBidi"/>
                <w:color w:val="000000" w:themeColor="text1"/>
                <w:sz w:val="22"/>
                <w:szCs w:val="22"/>
                <w:lang w:val="en-US" w:eastAsia="en-US"/>
              </w:rPr>
              <w:t>2</w:t>
            </w:r>
          </w:p>
        </w:tc>
        <w:tc>
          <w:tcPr>
            <w:tcW w:w="3543" w:type="dxa"/>
            <w:tcBorders>
              <w:top w:val="single" w:sz="8" w:space="0" w:color="auto"/>
            </w:tcBorders>
            <w:shd w:val="clear" w:color="auto" w:fill="auto"/>
            <w:vAlign w:val="bottom"/>
          </w:tcPr>
          <w:p w14:paraId="26D1CE1A" w14:textId="77777777" w:rsidR="00630CE5" w:rsidRPr="00CF31E0" w:rsidRDefault="00630CE5" w:rsidP="00B12C97">
            <w:pPr>
              <w:spacing w:after="200" w:line="276" w:lineRule="auto"/>
              <w:jc w:val="center"/>
              <w:rPr>
                <w:rFonts w:asciiTheme="majorBidi" w:eastAsia="Calibri" w:hAnsiTheme="majorBidi" w:cstheme="majorBidi"/>
                <w:color w:val="000000" w:themeColor="text1"/>
                <w:sz w:val="22"/>
                <w:szCs w:val="22"/>
                <w:lang w:eastAsia="en-US"/>
              </w:rPr>
            </w:pPr>
            <w:r w:rsidRPr="00CF31E0">
              <w:rPr>
                <w:rFonts w:asciiTheme="majorBidi" w:eastAsia="Calibri" w:hAnsiTheme="majorBidi" w:cstheme="majorBidi"/>
                <w:color w:val="000000" w:themeColor="text1"/>
                <w:sz w:val="22"/>
                <w:szCs w:val="22"/>
                <w:lang w:eastAsia="en-US"/>
              </w:rPr>
              <w:t>.000</w:t>
            </w:r>
          </w:p>
        </w:tc>
      </w:tr>
      <w:tr w:rsidR="00630CE5" w:rsidRPr="00CF31E0" w14:paraId="522E8D28" w14:textId="77777777" w:rsidTr="00603CB7">
        <w:trPr>
          <w:trHeight w:val="567"/>
        </w:trPr>
        <w:tc>
          <w:tcPr>
            <w:tcW w:w="2235" w:type="dxa"/>
            <w:tcBorders>
              <w:bottom w:val="single" w:sz="8" w:space="0" w:color="auto"/>
            </w:tcBorders>
            <w:shd w:val="clear" w:color="auto" w:fill="auto"/>
            <w:vAlign w:val="bottom"/>
          </w:tcPr>
          <w:p w14:paraId="5E537CA1" w14:textId="77777777" w:rsidR="00630CE5" w:rsidRPr="00CF31E0" w:rsidRDefault="00630CE5" w:rsidP="00B12C97">
            <w:pPr>
              <w:spacing w:after="200" w:line="276" w:lineRule="auto"/>
              <w:rPr>
                <w:rFonts w:asciiTheme="majorBidi" w:eastAsia="Calibri" w:hAnsiTheme="majorBidi" w:cstheme="majorBidi"/>
                <w:color w:val="000000" w:themeColor="text1"/>
                <w:sz w:val="22"/>
                <w:szCs w:val="22"/>
                <w:lang w:eastAsia="en-US"/>
              </w:rPr>
            </w:pPr>
            <w:r w:rsidRPr="00CF31E0">
              <w:rPr>
                <w:rFonts w:asciiTheme="majorBidi" w:eastAsia="Calibri" w:hAnsiTheme="majorBidi" w:cstheme="majorBid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43E12499" w14:textId="77777777" w:rsidR="00630CE5" w:rsidRPr="00CF31E0" w:rsidRDefault="00630CE5" w:rsidP="00B12C97">
            <w:pPr>
              <w:spacing w:after="200" w:line="276" w:lineRule="auto"/>
              <w:rPr>
                <w:rFonts w:asciiTheme="majorBidi" w:eastAsia="Calibri" w:hAnsiTheme="majorBidi" w:cstheme="majorBidi"/>
                <w:color w:val="000000" w:themeColor="text1"/>
                <w:sz w:val="22"/>
                <w:szCs w:val="22"/>
                <w:lang w:eastAsia="en-US"/>
              </w:rPr>
            </w:pPr>
            <w:r w:rsidRPr="00CF31E0">
              <w:rPr>
                <w:rFonts w:asciiTheme="majorBidi" w:eastAsia="Calibri" w:hAnsiTheme="majorBidi" w:cstheme="majorBidi"/>
                <w:color w:val="000000" w:themeColor="text1"/>
                <w:sz w:val="22"/>
                <w:szCs w:val="22"/>
                <w:lang w:eastAsia="en-US"/>
              </w:rPr>
              <w:t>649</w:t>
            </w:r>
          </w:p>
        </w:tc>
        <w:tc>
          <w:tcPr>
            <w:tcW w:w="567" w:type="dxa"/>
            <w:tcBorders>
              <w:bottom w:val="single" w:sz="8" w:space="0" w:color="auto"/>
            </w:tcBorders>
            <w:shd w:val="clear" w:color="auto" w:fill="auto"/>
            <w:vAlign w:val="bottom"/>
          </w:tcPr>
          <w:p w14:paraId="2F45E1F1" w14:textId="77777777" w:rsidR="00630CE5" w:rsidRPr="00CF31E0" w:rsidRDefault="00630CE5" w:rsidP="00B12C97">
            <w:pPr>
              <w:spacing w:after="200" w:line="276" w:lineRule="auto"/>
              <w:rPr>
                <w:rFonts w:asciiTheme="majorBidi" w:eastAsia="Calibri" w:hAnsiTheme="majorBidi" w:cstheme="majorBidi"/>
                <w:color w:val="000000" w:themeColor="text1"/>
                <w:sz w:val="22"/>
                <w:szCs w:val="22"/>
                <w:lang w:val="en-US" w:eastAsia="en-US"/>
              </w:rPr>
            </w:pPr>
          </w:p>
        </w:tc>
        <w:tc>
          <w:tcPr>
            <w:tcW w:w="3543" w:type="dxa"/>
            <w:tcBorders>
              <w:bottom w:val="single" w:sz="8" w:space="0" w:color="auto"/>
            </w:tcBorders>
            <w:shd w:val="clear" w:color="auto" w:fill="auto"/>
            <w:vAlign w:val="bottom"/>
          </w:tcPr>
          <w:p w14:paraId="26F9A4A8" w14:textId="77777777" w:rsidR="00630CE5" w:rsidRPr="00CF31E0" w:rsidRDefault="00630CE5" w:rsidP="00B12C97">
            <w:pPr>
              <w:spacing w:after="200" w:line="276" w:lineRule="auto"/>
              <w:rPr>
                <w:rFonts w:asciiTheme="majorBidi" w:eastAsia="Calibri" w:hAnsiTheme="majorBidi" w:cstheme="majorBidi"/>
                <w:color w:val="000000" w:themeColor="text1"/>
                <w:sz w:val="22"/>
                <w:szCs w:val="22"/>
                <w:lang w:eastAsia="en-US"/>
              </w:rPr>
            </w:pPr>
          </w:p>
        </w:tc>
      </w:tr>
      <w:tr w:rsidR="00630CE5" w:rsidRPr="00CF31E0" w14:paraId="57CE16F9" w14:textId="77777777" w:rsidTr="00603CB7">
        <w:trPr>
          <w:trHeight w:val="567"/>
        </w:trPr>
        <w:tc>
          <w:tcPr>
            <w:tcW w:w="7479" w:type="dxa"/>
            <w:gridSpan w:val="4"/>
            <w:tcBorders>
              <w:top w:val="single" w:sz="8" w:space="0" w:color="auto"/>
              <w:bottom w:val="single" w:sz="8" w:space="0" w:color="auto"/>
            </w:tcBorders>
            <w:shd w:val="clear" w:color="auto" w:fill="auto"/>
          </w:tcPr>
          <w:p w14:paraId="5EEA2659" w14:textId="77777777" w:rsidR="00630CE5" w:rsidRPr="00CF31E0" w:rsidRDefault="00630CE5" w:rsidP="00630CE5">
            <w:pPr>
              <w:spacing w:before="80" w:after="80"/>
              <w:rPr>
                <w:rFonts w:asciiTheme="majorBidi" w:eastAsia="Calibri" w:hAnsiTheme="majorBidi" w:cstheme="majorBidi"/>
                <w:color w:val="000000" w:themeColor="text1"/>
                <w:sz w:val="22"/>
                <w:szCs w:val="22"/>
                <w:lang w:eastAsia="en-US"/>
              </w:rPr>
            </w:pPr>
            <w:r w:rsidRPr="00CF31E0">
              <w:rPr>
                <w:rFonts w:asciiTheme="majorBidi" w:eastAsia="Calibri" w:hAnsiTheme="majorBidi" w:cstheme="majorBidi"/>
                <w:color w:val="000000" w:themeColor="text1"/>
                <w:sz w:val="22"/>
                <w:szCs w:val="22"/>
                <w:lang w:eastAsia="en-US"/>
              </w:rPr>
              <w:t>a. 0 cells (.0%) have expected count less than 5. The minimum expected count is 54.42.</w:t>
            </w:r>
          </w:p>
        </w:tc>
      </w:tr>
    </w:tbl>
    <w:p w14:paraId="5D425F9D" w14:textId="54B45AE6" w:rsidR="00A23C2A" w:rsidRPr="00CF31E0" w:rsidRDefault="00A23C2A" w:rsidP="00730917">
      <w:pPr>
        <w:pStyle w:val="Tablecaption"/>
      </w:pPr>
      <w:bookmarkStart w:id="390" w:name="_Toc522527411"/>
      <w:bookmarkStart w:id="391" w:name="_Toc522628823"/>
      <w:bookmarkStart w:id="392" w:name="_Toc522628987"/>
      <w:bookmarkStart w:id="393" w:name="_Toc6473084"/>
      <w:r w:rsidRPr="00CF31E0">
        <w:t xml:space="preserve">Table </w:t>
      </w:r>
      <w:r w:rsidR="00116DBE" w:rsidRPr="00CF31E0">
        <w:t>7</w:t>
      </w:r>
      <w:r w:rsidR="00D12517" w:rsidRPr="00CF31E0">
        <w:t>.</w:t>
      </w:r>
      <w:r w:rsidRPr="00CF31E0">
        <w:t>7: Chi-square test results for social group demographic variable.</w:t>
      </w:r>
      <w:bookmarkEnd w:id="390"/>
      <w:bookmarkEnd w:id="391"/>
      <w:bookmarkEnd w:id="392"/>
      <w:bookmarkEnd w:id="393"/>
    </w:p>
    <w:p w14:paraId="391B71B3" w14:textId="4E6E95F1" w:rsidR="00767CCC" w:rsidRPr="00CF31E0" w:rsidRDefault="00A23C2A" w:rsidP="005D425C">
      <w:pPr>
        <w:pStyle w:val="Paragraph"/>
      </w:pPr>
      <w:r w:rsidRPr="00CF31E0">
        <w:t xml:space="preserve">Table </w:t>
      </w:r>
      <w:r w:rsidR="00116DBE" w:rsidRPr="00CF31E0">
        <w:t>7</w:t>
      </w:r>
      <w:r w:rsidR="00D12517" w:rsidRPr="00CF31E0">
        <w:t>.</w:t>
      </w:r>
      <w:r w:rsidRPr="00CF31E0">
        <w:t xml:space="preserve">7 illustrates that the p value is &lt;.001, which shows a significant difference. The remaining question is to ascertain where the difference lies between the two groups, which will be illustrated in Table </w:t>
      </w:r>
      <w:r w:rsidR="00116DBE" w:rsidRPr="00CF31E0">
        <w:t>7</w:t>
      </w:r>
      <w:r w:rsidR="00D12517" w:rsidRPr="00CF31E0">
        <w:t>.</w:t>
      </w:r>
      <w:r w:rsidRPr="00CF31E0">
        <w:t xml:space="preserve">8. </w:t>
      </w:r>
    </w:p>
    <w:tbl>
      <w:tblPr>
        <w:tblW w:w="7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2"/>
        <w:gridCol w:w="698"/>
        <w:gridCol w:w="1395"/>
        <w:gridCol w:w="1116"/>
        <w:gridCol w:w="1116"/>
        <w:gridCol w:w="1395"/>
        <w:gridCol w:w="836"/>
      </w:tblGrid>
      <w:tr w:rsidR="00012E0B" w:rsidRPr="00CF31E0" w14:paraId="6AAC7A14" w14:textId="77777777" w:rsidTr="00DE7BDA">
        <w:trPr>
          <w:cantSplit/>
          <w:trHeight w:val="299"/>
        </w:trPr>
        <w:tc>
          <w:tcPr>
            <w:tcW w:w="2795" w:type="dxa"/>
            <w:gridSpan w:val="3"/>
            <w:vMerge w:val="restart"/>
            <w:shd w:val="clear" w:color="auto" w:fill="FFFFFF"/>
            <w:vAlign w:val="bottom"/>
          </w:tcPr>
          <w:p w14:paraId="3C7B0293" w14:textId="77777777" w:rsidR="00012E0B" w:rsidRPr="00CF31E0" w:rsidRDefault="00012E0B" w:rsidP="00330B2A">
            <w:pPr>
              <w:widowControl w:val="0"/>
              <w:autoSpaceDE w:val="0"/>
              <w:autoSpaceDN w:val="0"/>
              <w:adjustRightInd w:val="0"/>
              <w:spacing w:line="276" w:lineRule="auto"/>
              <w:rPr>
                <w:rFonts w:asciiTheme="majorBidi" w:hAnsiTheme="majorBidi" w:cstheme="majorBidi"/>
                <w:color w:val="000000" w:themeColor="text1"/>
                <w:sz w:val="22"/>
                <w:szCs w:val="22"/>
                <w:lang w:eastAsia="en-US"/>
              </w:rPr>
            </w:pPr>
          </w:p>
        </w:tc>
        <w:tc>
          <w:tcPr>
            <w:tcW w:w="3627" w:type="dxa"/>
            <w:gridSpan w:val="3"/>
            <w:shd w:val="clear" w:color="auto" w:fill="FFFFFF"/>
            <w:vAlign w:val="bottom"/>
          </w:tcPr>
          <w:p w14:paraId="561E909A" w14:textId="37727633" w:rsidR="00012E0B" w:rsidRPr="00CF31E0" w:rsidRDefault="00FC52C2" w:rsidP="00330B2A">
            <w:pPr>
              <w:widowControl w:val="0"/>
              <w:autoSpaceDE w:val="0"/>
              <w:autoSpaceDN w:val="0"/>
              <w:adjustRightInd w:val="0"/>
              <w:spacing w:line="276" w:lineRule="auto"/>
              <w:ind w:left="60" w:right="60"/>
              <w:jc w:val="center"/>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xml:space="preserve">The dominant dialect in Hijaz </w:t>
            </w:r>
            <w:r w:rsidR="00012E0B" w:rsidRPr="00CF31E0">
              <w:rPr>
                <w:rFonts w:asciiTheme="majorBidi" w:hAnsiTheme="majorBidi" w:cstheme="majorBidi"/>
                <w:color w:val="000000" w:themeColor="text1"/>
                <w:sz w:val="22"/>
                <w:szCs w:val="22"/>
                <w:lang w:eastAsia="en-US"/>
              </w:rPr>
              <w:t>is</w:t>
            </w:r>
          </w:p>
        </w:tc>
        <w:tc>
          <w:tcPr>
            <w:tcW w:w="836" w:type="dxa"/>
            <w:vMerge w:val="restart"/>
            <w:shd w:val="clear" w:color="auto" w:fill="FFFFFF"/>
            <w:vAlign w:val="bottom"/>
          </w:tcPr>
          <w:p w14:paraId="6D9E3D8F"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Total</w:t>
            </w:r>
          </w:p>
        </w:tc>
      </w:tr>
      <w:tr w:rsidR="00012E0B" w:rsidRPr="00CF31E0" w14:paraId="304C2270" w14:textId="77777777" w:rsidTr="00DE7BDA">
        <w:trPr>
          <w:cantSplit/>
          <w:trHeight w:val="134"/>
        </w:trPr>
        <w:tc>
          <w:tcPr>
            <w:tcW w:w="2795" w:type="dxa"/>
            <w:gridSpan w:val="3"/>
            <w:vMerge/>
            <w:shd w:val="clear" w:color="auto" w:fill="FFFFFF"/>
            <w:vAlign w:val="bottom"/>
          </w:tcPr>
          <w:p w14:paraId="75D43717" w14:textId="77777777" w:rsidR="00012E0B" w:rsidRPr="00CF31E0" w:rsidRDefault="00012E0B" w:rsidP="00330B2A">
            <w:pPr>
              <w:widowControl w:val="0"/>
              <w:autoSpaceDE w:val="0"/>
              <w:autoSpaceDN w:val="0"/>
              <w:adjustRightInd w:val="0"/>
              <w:spacing w:line="276" w:lineRule="auto"/>
              <w:rPr>
                <w:rFonts w:asciiTheme="majorBidi" w:hAnsiTheme="majorBidi" w:cstheme="majorBidi"/>
                <w:color w:val="000000" w:themeColor="text1"/>
                <w:sz w:val="22"/>
                <w:szCs w:val="22"/>
                <w:lang w:eastAsia="en-US"/>
              </w:rPr>
            </w:pPr>
          </w:p>
        </w:tc>
        <w:tc>
          <w:tcPr>
            <w:tcW w:w="1116" w:type="dxa"/>
            <w:shd w:val="clear" w:color="auto" w:fill="FFFFFF"/>
            <w:vAlign w:val="bottom"/>
          </w:tcPr>
          <w:p w14:paraId="695267C9" w14:textId="5DD5DCA1"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UBH</w:t>
            </w:r>
          </w:p>
        </w:tc>
        <w:tc>
          <w:tcPr>
            <w:tcW w:w="1116" w:type="dxa"/>
            <w:shd w:val="clear" w:color="auto" w:fill="FFFFFF"/>
            <w:vAlign w:val="bottom"/>
          </w:tcPr>
          <w:p w14:paraId="196482BB" w14:textId="152A3B6D"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HH</w:t>
            </w:r>
          </w:p>
        </w:tc>
        <w:tc>
          <w:tcPr>
            <w:tcW w:w="1395" w:type="dxa"/>
            <w:shd w:val="clear" w:color="auto" w:fill="FFFFFF"/>
            <w:vAlign w:val="bottom"/>
          </w:tcPr>
          <w:p w14:paraId="3FF80B50"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No dominant</w:t>
            </w:r>
          </w:p>
        </w:tc>
        <w:tc>
          <w:tcPr>
            <w:tcW w:w="836" w:type="dxa"/>
            <w:vMerge/>
            <w:shd w:val="clear" w:color="auto" w:fill="FFFFFF"/>
            <w:vAlign w:val="bottom"/>
          </w:tcPr>
          <w:p w14:paraId="29D6CB90" w14:textId="77777777" w:rsidR="00012E0B" w:rsidRPr="00CF31E0" w:rsidRDefault="00012E0B" w:rsidP="00330B2A">
            <w:pPr>
              <w:widowControl w:val="0"/>
              <w:autoSpaceDE w:val="0"/>
              <w:autoSpaceDN w:val="0"/>
              <w:adjustRightInd w:val="0"/>
              <w:spacing w:line="276" w:lineRule="auto"/>
              <w:rPr>
                <w:rFonts w:asciiTheme="majorBidi" w:hAnsiTheme="majorBidi" w:cstheme="majorBidi"/>
                <w:color w:val="000000" w:themeColor="text1"/>
                <w:sz w:val="22"/>
                <w:szCs w:val="22"/>
                <w:lang w:eastAsia="en-US"/>
              </w:rPr>
            </w:pPr>
          </w:p>
        </w:tc>
      </w:tr>
      <w:tr w:rsidR="00012E0B" w:rsidRPr="00CF31E0" w14:paraId="7B1BDB14" w14:textId="77777777" w:rsidTr="00DE7BDA">
        <w:trPr>
          <w:cantSplit/>
          <w:trHeight w:val="588"/>
        </w:trPr>
        <w:tc>
          <w:tcPr>
            <w:tcW w:w="702" w:type="dxa"/>
            <w:vMerge w:val="restart"/>
            <w:shd w:val="clear" w:color="auto" w:fill="FFFFFF"/>
          </w:tcPr>
          <w:p w14:paraId="0FFCAFA0" w14:textId="77777777" w:rsidR="00012E0B" w:rsidRPr="00CF31E0" w:rsidRDefault="00012E0B" w:rsidP="00330B2A">
            <w:pPr>
              <w:widowControl w:val="0"/>
              <w:autoSpaceDE w:val="0"/>
              <w:autoSpaceDN w:val="0"/>
              <w:adjustRightInd w:val="0"/>
              <w:spacing w:line="276" w:lineRule="auto"/>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Social</w:t>
            </w:r>
          </w:p>
          <w:p w14:paraId="73D1F555" w14:textId="6BEA4CD0" w:rsidR="00012E0B" w:rsidRPr="00CF31E0" w:rsidRDefault="00012E0B" w:rsidP="00330B2A">
            <w:pPr>
              <w:widowControl w:val="0"/>
              <w:autoSpaceDE w:val="0"/>
              <w:autoSpaceDN w:val="0"/>
              <w:adjustRightInd w:val="0"/>
              <w:spacing w:line="276" w:lineRule="auto"/>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group</w:t>
            </w:r>
          </w:p>
        </w:tc>
        <w:tc>
          <w:tcPr>
            <w:tcW w:w="698" w:type="dxa"/>
            <w:vMerge w:val="restart"/>
            <w:shd w:val="clear" w:color="auto" w:fill="FFFFFF"/>
          </w:tcPr>
          <w:p w14:paraId="58BDA521" w14:textId="6E2E640A" w:rsidR="00012E0B" w:rsidRPr="00CF31E0" w:rsidRDefault="00012E0B" w:rsidP="00330B2A">
            <w:pPr>
              <w:widowControl w:val="0"/>
              <w:autoSpaceDE w:val="0"/>
              <w:autoSpaceDN w:val="0"/>
              <w:adjustRightInd w:val="0"/>
              <w:spacing w:line="276" w:lineRule="auto"/>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UBH</w:t>
            </w:r>
          </w:p>
        </w:tc>
        <w:tc>
          <w:tcPr>
            <w:tcW w:w="1394" w:type="dxa"/>
            <w:shd w:val="clear" w:color="auto" w:fill="FFFFFF"/>
          </w:tcPr>
          <w:p w14:paraId="7E74C883" w14:textId="5D6B068A" w:rsidR="00012E0B" w:rsidRPr="00CF31E0" w:rsidRDefault="00FC52C2" w:rsidP="00330B2A">
            <w:pPr>
              <w:widowControl w:val="0"/>
              <w:autoSpaceDE w:val="0"/>
              <w:autoSpaceDN w:val="0"/>
              <w:adjustRightInd w:val="0"/>
              <w:spacing w:line="276" w:lineRule="auto"/>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Raw frequency</w:t>
            </w:r>
          </w:p>
        </w:tc>
        <w:tc>
          <w:tcPr>
            <w:tcW w:w="1116" w:type="dxa"/>
            <w:shd w:val="clear" w:color="auto" w:fill="FFFFFF"/>
            <w:vAlign w:val="center"/>
          </w:tcPr>
          <w:p w14:paraId="613D4E83"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105</w:t>
            </w:r>
          </w:p>
        </w:tc>
        <w:tc>
          <w:tcPr>
            <w:tcW w:w="1116" w:type="dxa"/>
            <w:shd w:val="clear" w:color="auto" w:fill="FFFFFF"/>
            <w:vAlign w:val="center"/>
          </w:tcPr>
          <w:p w14:paraId="07F9DA6D"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119</w:t>
            </w:r>
          </w:p>
        </w:tc>
        <w:tc>
          <w:tcPr>
            <w:tcW w:w="1395" w:type="dxa"/>
            <w:shd w:val="clear" w:color="auto" w:fill="FFFFFF"/>
            <w:vAlign w:val="center"/>
          </w:tcPr>
          <w:p w14:paraId="173D2B1E" w14:textId="5D6C05A5" w:rsidR="00012E0B" w:rsidRPr="00CF31E0" w:rsidRDefault="005971F4"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99</w:t>
            </w:r>
          </w:p>
        </w:tc>
        <w:tc>
          <w:tcPr>
            <w:tcW w:w="836" w:type="dxa"/>
            <w:shd w:val="clear" w:color="auto" w:fill="FFFFFF"/>
            <w:vAlign w:val="center"/>
          </w:tcPr>
          <w:p w14:paraId="20ABD51F" w14:textId="086094D6" w:rsidR="00012E0B" w:rsidRPr="00CF31E0" w:rsidRDefault="005971F4"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323</w:t>
            </w:r>
          </w:p>
        </w:tc>
      </w:tr>
      <w:tr w:rsidR="00012E0B" w:rsidRPr="00CF31E0" w14:paraId="587E5AC0" w14:textId="77777777" w:rsidTr="00DE7BDA">
        <w:trPr>
          <w:cantSplit/>
          <w:trHeight w:val="134"/>
        </w:trPr>
        <w:tc>
          <w:tcPr>
            <w:tcW w:w="702" w:type="dxa"/>
            <w:vMerge/>
            <w:shd w:val="clear" w:color="auto" w:fill="FFFFFF"/>
          </w:tcPr>
          <w:p w14:paraId="76B07FC7" w14:textId="77777777" w:rsidR="00012E0B" w:rsidRPr="00CF31E0" w:rsidRDefault="00012E0B" w:rsidP="00330B2A">
            <w:pPr>
              <w:widowControl w:val="0"/>
              <w:autoSpaceDE w:val="0"/>
              <w:autoSpaceDN w:val="0"/>
              <w:adjustRightInd w:val="0"/>
              <w:spacing w:line="276" w:lineRule="auto"/>
              <w:rPr>
                <w:rFonts w:asciiTheme="majorBidi" w:hAnsiTheme="majorBidi" w:cstheme="majorBidi"/>
                <w:color w:val="000000" w:themeColor="text1"/>
                <w:sz w:val="22"/>
                <w:szCs w:val="22"/>
                <w:lang w:eastAsia="en-US"/>
              </w:rPr>
            </w:pPr>
          </w:p>
        </w:tc>
        <w:tc>
          <w:tcPr>
            <w:tcW w:w="698" w:type="dxa"/>
            <w:vMerge/>
            <w:shd w:val="clear" w:color="auto" w:fill="FFFFFF"/>
          </w:tcPr>
          <w:p w14:paraId="6C22FCB0" w14:textId="77777777" w:rsidR="00012E0B" w:rsidRPr="00CF31E0" w:rsidRDefault="00012E0B" w:rsidP="00330B2A">
            <w:pPr>
              <w:widowControl w:val="0"/>
              <w:autoSpaceDE w:val="0"/>
              <w:autoSpaceDN w:val="0"/>
              <w:adjustRightInd w:val="0"/>
              <w:spacing w:line="276" w:lineRule="auto"/>
              <w:rPr>
                <w:rFonts w:asciiTheme="majorBidi" w:hAnsiTheme="majorBidi" w:cstheme="majorBidi"/>
                <w:color w:val="000000" w:themeColor="text1"/>
                <w:sz w:val="22"/>
                <w:szCs w:val="22"/>
                <w:lang w:eastAsia="en-US"/>
              </w:rPr>
            </w:pPr>
          </w:p>
        </w:tc>
        <w:tc>
          <w:tcPr>
            <w:tcW w:w="1394" w:type="dxa"/>
            <w:shd w:val="clear" w:color="auto" w:fill="FFFFFF"/>
          </w:tcPr>
          <w:p w14:paraId="1544CE79" w14:textId="0B1688BE" w:rsidR="00012E0B" w:rsidRPr="00CF31E0" w:rsidRDefault="00012E0B" w:rsidP="00330B2A">
            <w:pPr>
              <w:widowControl w:val="0"/>
              <w:autoSpaceDE w:val="0"/>
              <w:autoSpaceDN w:val="0"/>
              <w:adjustRightInd w:val="0"/>
              <w:spacing w:line="276" w:lineRule="auto"/>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within Social group</w:t>
            </w:r>
          </w:p>
        </w:tc>
        <w:tc>
          <w:tcPr>
            <w:tcW w:w="1116" w:type="dxa"/>
            <w:shd w:val="clear" w:color="auto" w:fill="FFFFFF"/>
            <w:vAlign w:val="center"/>
          </w:tcPr>
          <w:p w14:paraId="0BB1A60B"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32.4%</w:t>
            </w:r>
          </w:p>
        </w:tc>
        <w:tc>
          <w:tcPr>
            <w:tcW w:w="1116" w:type="dxa"/>
            <w:shd w:val="clear" w:color="auto" w:fill="FFFFFF"/>
            <w:vAlign w:val="center"/>
          </w:tcPr>
          <w:p w14:paraId="393B9C4F"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36.7%</w:t>
            </w:r>
          </w:p>
        </w:tc>
        <w:tc>
          <w:tcPr>
            <w:tcW w:w="1395" w:type="dxa"/>
            <w:shd w:val="clear" w:color="auto" w:fill="FFFFFF"/>
            <w:vAlign w:val="center"/>
          </w:tcPr>
          <w:p w14:paraId="3EE851E6"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30.9%</w:t>
            </w:r>
          </w:p>
        </w:tc>
        <w:tc>
          <w:tcPr>
            <w:tcW w:w="836" w:type="dxa"/>
            <w:shd w:val="clear" w:color="auto" w:fill="FFFFFF"/>
            <w:vAlign w:val="center"/>
          </w:tcPr>
          <w:p w14:paraId="719ABE2B"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100.0%</w:t>
            </w:r>
          </w:p>
        </w:tc>
      </w:tr>
      <w:tr w:rsidR="00012E0B" w:rsidRPr="00CF31E0" w14:paraId="732F3382" w14:textId="77777777" w:rsidTr="00DE7BDA">
        <w:trPr>
          <w:cantSplit/>
          <w:trHeight w:val="134"/>
        </w:trPr>
        <w:tc>
          <w:tcPr>
            <w:tcW w:w="702" w:type="dxa"/>
            <w:vMerge/>
            <w:shd w:val="clear" w:color="auto" w:fill="FFFFFF"/>
          </w:tcPr>
          <w:p w14:paraId="6F62E36A" w14:textId="77777777" w:rsidR="00012E0B" w:rsidRPr="00CF31E0" w:rsidRDefault="00012E0B" w:rsidP="00330B2A">
            <w:pPr>
              <w:widowControl w:val="0"/>
              <w:autoSpaceDE w:val="0"/>
              <w:autoSpaceDN w:val="0"/>
              <w:adjustRightInd w:val="0"/>
              <w:spacing w:line="276" w:lineRule="auto"/>
              <w:rPr>
                <w:rFonts w:asciiTheme="majorBidi" w:hAnsiTheme="majorBidi" w:cstheme="majorBidi"/>
                <w:color w:val="000000" w:themeColor="text1"/>
                <w:sz w:val="22"/>
                <w:szCs w:val="22"/>
                <w:lang w:eastAsia="en-US"/>
              </w:rPr>
            </w:pPr>
          </w:p>
        </w:tc>
        <w:tc>
          <w:tcPr>
            <w:tcW w:w="698" w:type="dxa"/>
            <w:vMerge/>
            <w:shd w:val="clear" w:color="auto" w:fill="FFFFFF"/>
          </w:tcPr>
          <w:p w14:paraId="3FBB3BF7" w14:textId="77777777" w:rsidR="00012E0B" w:rsidRPr="00CF31E0" w:rsidRDefault="00012E0B" w:rsidP="00330B2A">
            <w:pPr>
              <w:widowControl w:val="0"/>
              <w:autoSpaceDE w:val="0"/>
              <w:autoSpaceDN w:val="0"/>
              <w:adjustRightInd w:val="0"/>
              <w:spacing w:line="276" w:lineRule="auto"/>
              <w:rPr>
                <w:rFonts w:asciiTheme="majorBidi" w:hAnsiTheme="majorBidi" w:cstheme="majorBidi"/>
                <w:color w:val="000000" w:themeColor="text1"/>
                <w:sz w:val="22"/>
                <w:szCs w:val="22"/>
                <w:lang w:eastAsia="en-US"/>
              </w:rPr>
            </w:pPr>
          </w:p>
        </w:tc>
        <w:tc>
          <w:tcPr>
            <w:tcW w:w="1394" w:type="dxa"/>
            <w:shd w:val="clear" w:color="auto" w:fill="FFFFFF"/>
          </w:tcPr>
          <w:p w14:paraId="0CF84049" w14:textId="77777777" w:rsidR="00012E0B" w:rsidRPr="00CF31E0" w:rsidRDefault="00012E0B" w:rsidP="00330B2A">
            <w:pPr>
              <w:widowControl w:val="0"/>
              <w:autoSpaceDE w:val="0"/>
              <w:autoSpaceDN w:val="0"/>
              <w:adjustRightInd w:val="0"/>
              <w:spacing w:line="276" w:lineRule="auto"/>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of Total</w:t>
            </w:r>
          </w:p>
        </w:tc>
        <w:tc>
          <w:tcPr>
            <w:tcW w:w="1116" w:type="dxa"/>
            <w:shd w:val="clear" w:color="auto" w:fill="FFFFFF"/>
            <w:vAlign w:val="center"/>
          </w:tcPr>
          <w:p w14:paraId="2AC6E3EC"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16.2%</w:t>
            </w:r>
          </w:p>
        </w:tc>
        <w:tc>
          <w:tcPr>
            <w:tcW w:w="1116" w:type="dxa"/>
            <w:shd w:val="clear" w:color="auto" w:fill="FFFFFF"/>
            <w:vAlign w:val="center"/>
          </w:tcPr>
          <w:p w14:paraId="2B229F71"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18.3%</w:t>
            </w:r>
          </w:p>
        </w:tc>
        <w:tc>
          <w:tcPr>
            <w:tcW w:w="1395" w:type="dxa"/>
            <w:shd w:val="clear" w:color="auto" w:fill="FFFFFF"/>
            <w:vAlign w:val="center"/>
          </w:tcPr>
          <w:p w14:paraId="6A4B6932"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15.4%</w:t>
            </w:r>
          </w:p>
        </w:tc>
        <w:tc>
          <w:tcPr>
            <w:tcW w:w="836" w:type="dxa"/>
            <w:shd w:val="clear" w:color="auto" w:fill="FFFFFF"/>
            <w:vAlign w:val="center"/>
          </w:tcPr>
          <w:p w14:paraId="6A0F9760"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49.9%</w:t>
            </w:r>
          </w:p>
        </w:tc>
      </w:tr>
      <w:tr w:rsidR="00012E0B" w:rsidRPr="00CF31E0" w14:paraId="14662093" w14:textId="77777777" w:rsidTr="00DE7BDA">
        <w:trPr>
          <w:cantSplit/>
          <w:trHeight w:val="134"/>
        </w:trPr>
        <w:tc>
          <w:tcPr>
            <w:tcW w:w="702" w:type="dxa"/>
            <w:vMerge/>
            <w:shd w:val="clear" w:color="auto" w:fill="FFFFFF"/>
          </w:tcPr>
          <w:p w14:paraId="74D8092B" w14:textId="77777777" w:rsidR="00012E0B" w:rsidRPr="00CF31E0" w:rsidRDefault="00012E0B" w:rsidP="00330B2A">
            <w:pPr>
              <w:widowControl w:val="0"/>
              <w:autoSpaceDE w:val="0"/>
              <w:autoSpaceDN w:val="0"/>
              <w:adjustRightInd w:val="0"/>
              <w:spacing w:line="276" w:lineRule="auto"/>
              <w:rPr>
                <w:rFonts w:asciiTheme="majorBidi" w:hAnsiTheme="majorBidi" w:cstheme="majorBidi"/>
                <w:color w:val="000000" w:themeColor="text1"/>
                <w:sz w:val="22"/>
                <w:szCs w:val="22"/>
                <w:lang w:eastAsia="en-US"/>
              </w:rPr>
            </w:pPr>
          </w:p>
        </w:tc>
        <w:tc>
          <w:tcPr>
            <w:tcW w:w="698" w:type="dxa"/>
            <w:vMerge w:val="restart"/>
            <w:shd w:val="clear" w:color="auto" w:fill="FFFFFF"/>
          </w:tcPr>
          <w:p w14:paraId="1EE4BC12" w14:textId="71808D75" w:rsidR="00012E0B" w:rsidRPr="00CF31E0" w:rsidRDefault="00012E0B" w:rsidP="00330B2A">
            <w:pPr>
              <w:widowControl w:val="0"/>
              <w:autoSpaceDE w:val="0"/>
              <w:autoSpaceDN w:val="0"/>
              <w:adjustRightInd w:val="0"/>
              <w:spacing w:line="276" w:lineRule="auto"/>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HH</w:t>
            </w:r>
          </w:p>
        </w:tc>
        <w:tc>
          <w:tcPr>
            <w:tcW w:w="1394" w:type="dxa"/>
            <w:shd w:val="clear" w:color="auto" w:fill="FFFFFF"/>
          </w:tcPr>
          <w:p w14:paraId="480FC559" w14:textId="08502E4C" w:rsidR="00012E0B" w:rsidRPr="00CF31E0" w:rsidRDefault="00FC52C2" w:rsidP="00330B2A">
            <w:pPr>
              <w:widowControl w:val="0"/>
              <w:autoSpaceDE w:val="0"/>
              <w:autoSpaceDN w:val="0"/>
              <w:adjustRightInd w:val="0"/>
              <w:spacing w:line="276" w:lineRule="auto"/>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Raw frequency</w:t>
            </w:r>
          </w:p>
        </w:tc>
        <w:tc>
          <w:tcPr>
            <w:tcW w:w="1116" w:type="dxa"/>
            <w:shd w:val="clear" w:color="auto" w:fill="FFFFFF"/>
            <w:vAlign w:val="center"/>
          </w:tcPr>
          <w:p w14:paraId="2012B3C3"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4</w:t>
            </w:r>
          </w:p>
        </w:tc>
        <w:tc>
          <w:tcPr>
            <w:tcW w:w="1116" w:type="dxa"/>
            <w:shd w:val="clear" w:color="auto" w:fill="FFFFFF"/>
            <w:vAlign w:val="center"/>
          </w:tcPr>
          <w:p w14:paraId="0886FDCF"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175</w:t>
            </w:r>
          </w:p>
        </w:tc>
        <w:tc>
          <w:tcPr>
            <w:tcW w:w="1395" w:type="dxa"/>
            <w:shd w:val="clear" w:color="auto" w:fill="FFFFFF"/>
            <w:vAlign w:val="center"/>
          </w:tcPr>
          <w:p w14:paraId="3DC3A9FE" w14:textId="6EB71971" w:rsidR="00012E0B" w:rsidRPr="00CF31E0" w:rsidRDefault="005971F4"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147</w:t>
            </w:r>
          </w:p>
        </w:tc>
        <w:tc>
          <w:tcPr>
            <w:tcW w:w="836" w:type="dxa"/>
            <w:shd w:val="clear" w:color="auto" w:fill="FFFFFF"/>
            <w:vAlign w:val="center"/>
          </w:tcPr>
          <w:p w14:paraId="165D4D2B" w14:textId="548B6EE7" w:rsidR="00012E0B" w:rsidRPr="00CF31E0" w:rsidRDefault="005971F4"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326</w:t>
            </w:r>
          </w:p>
        </w:tc>
      </w:tr>
      <w:tr w:rsidR="00012E0B" w:rsidRPr="00CF31E0" w14:paraId="0D53697B" w14:textId="77777777" w:rsidTr="00DE7BDA">
        <w:trPr>
          <w:cantSplit/>
          <w:trHeight w:val="134"/>
        </w:trPr>
        <w:tc>
          <w:tcPr>
            <w:tcW w:w="702" w:type="dxa"/>
            <w:vMerge/>
            <w:shd w:val="clear" w:color="auto" w:fill="FFFFFF"/>
          </w:tcPr>
          <w:p w14:paraId="2CFC527D" w14:textId="77777777" w:rsidR="00012E0B" w:rsidRPr="00CF31E0" w:rsidRDefault="00012E0B" w:rsidP="00330B2A">
            <w:pPr>
              <w:widowControl w:val="0"/>
              <w:autoSpaceDE w:val="0"/>
              <w:autoSpaceDN w:val="0"/>
              <w:adjustRightInd w:val="0"/>
              <w:spacing w:line="276" w:lineRule="auto"/>
              <w:rPr>
                <w:rFonts w:asciiTheme="majorBidi" w:hAnsiTheme="majorBidi" w:cstheme="majorBidi"/>
                <w:color w:val="000000" w:themeColor="text1"/>
                <w:sz w:val="22"/>
                <w:szCs w:val="22"/>
                <w:lang w:eastAsia="en-US"/>
              </w:rPr>
            </w:pPr>
          </w:p>
        </w:tc>
        <w:tc>
          <w:tcPr>
            <w:tcW w:w="698" w:type="dxa"/>
            <w:vMerge/>
            <w:shd w:val="clear" w:color="auto" w:fill="FFFFFF"/>
          </w:tcPr>
          <w:p w14:paraId="66F549E4" w14:textId="77777777" w:rsidR="00012E0B" w:rsidRPr="00CF31E0" w:rsidRDefault="00012E0B" w:rsidP="00330B2A">
            <w:pPr>
              <w:widowControl w:val="0"/>
              <w:autoSpaceDE w:val="0"/>
              <w:autoSpaceDN w:val="0"/>
              <w:adjustRightInd w:val="0"/>
              <w:spacing w:line="276" w:lineRule="auto"/>
              <w:rPr>
                <w:rFonts w:asciiTheme="majorBidi" w:hAnsiTheme="majorBidi" w:cstheme="majorBidi"/>
                <w:color w:val="000000" w:themeColor="text1"/>
                <w:sz w:val="22"/>
                <w:szCs w:val="22"/>
                <w:lang w:eastAsia="en-US"/>
              </w:rPr>
            </w:pPr>
          </w:p>
        </w:tc>
        <w:tc>
          <w:tcPr>
            <w:tcW w:w="1394" w:type="dxa"/>
            <w:shd w:val="clear" w:color="auto" w:fill="FFFFFF"/>
          </w:tcPr>
          <w:p w14:paraId="6B20B0C7" w14:textId="7A88A7FA" w:rsidR="00012E0B" w:rsidRPr="00CF31E0" w:rsidRDefault="00012E0B" w:rsidP="00330B2A">
            <w:pPr>
              <w:widowControl w:val="0"/>
              <w:autoSpaceDE w:val="0"/>
              <w:autoSpaceDN w:val="0"/>
              <w:adjustRightInd w:val="0"/>
              <w:spacing w:line="276" w:lineRule="auto"/>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within Social group</w:t>
            </w:r>
          </w:p>
        </w:tc>
        <w:tc>
          <w:tcPr>
            <w:tcW w:w="1116" w:type="dxa"/>
            <w:shd w:val="clear" w:color="auto" w:fill="FFFFFF"/>
            <w:vAlign w:val="center"/>
          </w:tcPr>
          <w:p w14:paraId="602AB348"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1.2%</w:t>
            </w:r>
          </w:p>
        </w:tc>
        <w:tc>
          <w:tcPr>
            <w:tcW w:w="1116" w:type="dxa"/>
            <w:shd w:val="clear" w:color="auto" w:fill="FFFFFF"/>
            <w:vAlign w:val="center"/>
          </w:tcPr>
          <w:p w14:paraId="612CCE0F"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53.8%</w:t>
            </w:r>
          </w:p>
        </w:tc>
        <w:tc>
          <w:tcPr>
            <w:tcW w:w="1395" w:type="dxa"/>
            <w:shd w:val="clear" w:color="auto" w:fill="FFFFFF"/>
            <w:vAlign w:val="center"/>
          </w:tcPr>
          <w:p w14:paraId="0EEA0DCA"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44.9%</w:t>
            </w:r>
          </w:p>
        </w:tc>
        <w:tc>
          <w:tcPr>
            <w:tcW w:w="836" w:type="dxa"/>
            <w:shd w:val="clear" w:color="auto" w:fill="FFFFFF"/>
            <w:vAlign w:val="center"/>
          </w:tcPr>
          <w:p w14:paraId="441FA6EB"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100.0%</w:t>
            </w:r>
          </w:p>
        </w:tc>
      </w:tr>
      <w:tr w:rsidR="00012E0B" w:rsidRPr="00CF31E0" w14:paraId="74C8B73A" w14:textId="77777777" w:rsidTr="00DE7BDA">
        <w:trPr>
          <w:cantSplit/>
          <w:trHeight w:val="134"/>
        </w:trPr>
        <w:tc>
          <w:tcPr>
            <w:tcW w:w="702" w:type="dxa"/>
            <w:vMerge/>
            <w:shd w:val="clear" w:color="auto" w:fill="FFFFFF"/>
          </w:tcPr>
          <w:p w14:paraId="6976C035" w14:textId="77777777" w:rsidR="00012E0B" w:rsidRPr="00CF31E0" w:rsidRDefault="00012E0B" w:rsidP="00330B2A">
            <w:pPr>
              <w:widowControl w:val="0"/>
              <w:autoSpaceDE w:val="0"/>
              <w:autoSpaceDN w:val="0"/>
              <w:adjustRightInd w:val="0"/>
              <w:spacing w:line="276" w:lineRule="auto"/>
              <w:rPr>
                <w:rFonts w:asciiTheme="majorBidi" w:hAnsiTheme="majorBidi" w:cstheme="majorBidi"/>
                <w:color w:val="000000" w:themeColor="text1"/>
                <w:sz w:val="22"/>
                <w:szCs w:val="22"/>
                <w:lang w:eastAsia="en-US"/>
              </w:rPr>
            </w:pPr>
          </w:p>
        </w:tc>
        <w:tc>
          <w:tcPr>
            <w:tcW w:w="698" w:type="dxa"/>
            <w:vMerge/>
            <w:shd w:val="clear" w:color="auto" w:fill="FFFFFF"/>
          </w:tcPr>
          <w:p w14:paraId="0BB89789" w14:textId="77777777" w:rsidR="00012E0B" w:rsidRPr="00CF31E0" w:rsidRDefault="00012E0B" w:rsidP="00330B2A">
            <w:pPr>
              <w:widowControl w:val="0"/>
              <w:autoSpaceDE w:val="0"/>
              <w:autoSpaceDN w:val="0"/>
              <w:adjustRightInd w:val="0"/>
              <w:spacing w:line="276" w:lineRule="auto"/>
              <w:rPr>
                <w:rFonts w:asciiTheme="majorBidi" w:hAnsiTheme="majorBidi" w:cstheme="majorBidi"/>
                <w:color w:val="000000" w:themeColor="text1"/>
                <w:sz w:val="22"/>
                <w:szCs w:val="22"/>
                <w:lang w:eastAsia="en-US"/>
              </w:rPr>
            </w:pPr>
          </w:p>
        </w:tc>
        <w:tc>
          <w:tcPr>
            <w:tcW w:w="1394" w:type="dxa"/>
            <w:shd w:val="clear" w:color="auto" w:fill="FFFFFF"/>
          </w:tcPr>
          <w:p w14:paraId="439A13EC" w14:textId="77777777" w:rsidR="00012E0B" w:rsidRPr="00CF31E0" w:rsidRDefault="00012E0B" w:rsidP="00330B2A">
            <w:pPr>
              <w:widowControl w:val="0"/>
              <w:autoSpaceDE w:val="0"/>
              <w:autoSpaceDN w:val="0"/>
              <w:adjustRightInd w:val="0"/>
              <w:spacing w:line="276" w:lineRule="auto"/>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of Total</w:t>
            </w:r>
          </w:p>
        </w:tc>
        <w:tc>
          <w:tcPr>
            <w:tcW w:w="1116" w:type="dxa"/>
            <w:shd w:val="clear" w:color="auto" w:fill="FFFFFF"/>
            <w:vAlign w:val="center"/>
          </w:tcPr>
          <w:p w14:paraId="08FB2492"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0.6%</w:t>
            </w:r>
          </w:p>
        </w:tc>
        <w:tc>
          <w:tcPr>
            <w:tcW w:w="1116" w:type="dxa"/>
            <w:shd w:val="clear" w:color="auto" w:fill="FFFFFF"/>
            <w:vAlign w:val="center"/>
          </w:tcPr>
          <w:p w14:paraId="25B6B4BB"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27.0%</w:t>
            </w:r>
          </w:p>
        </w:tc>
        <w:tc>
          <w:tcPr>
            <w:tcW w:w="1395" w:type="dxa"/>
            <w:shd w:val="clear" w:color="auto" w:fill="FFFFFF"/>
            <w:vAlign w:val="center"/>
          </w:tcPr>
          <w:p w14:paraId="6D402C8B"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22.5%</w:t>
            </w:r>
          </w:p>
        </w:tc>
        <w:tc>
          <w:tcPr>
            <w:tcW w:w="836" w:type="dxa"/>
            <w:shd w:val="clear" w:color="auto" w:fill="FFFFFF"/>
            <w:vAlign w:val="center"/>
          </w:tcPr>
          <w:p w14:paraId="51F9BCB1"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50.1%</w:t>
            </w:r>
          </w:p>
        </w:tc>
      </w:tr>
      <w:tr w:rsidR="00012E0B" w:rsidRPr="00CF31E0" w14:paraId="2761E6CB" w14:textId="77777777" w:rsidTr="00DE7BDA">
        <w:trPr>
          <w:cantSplit/>
          <w:trHeight w:val="588"/>
        </w:trPr>
        <w:tc>
          <w:tcPr>
            <w:tcW w:w="1400" w:type="dxa"/>
            <w:gridSpan w:val="2"/>
            <w:vMerge w:val="restart"/>
            <w:shd w:val="clear" w:color="auto" w:fill="FFFFFF"/>
          </w:tcPr>
          <w:p w14:paraId="532A1F9C" w14:textId="77777777" w:rsidR="00012E0B" w:rsidRPr="00CF31E0" w:rsidRDefault="00012E0B" w:rsidP="00330B2A">
            <w:pPr>
              <w:widowControl w:val="0"/>
              <w:autoSpaceDE w:val="0"/>
              <w:autoSpaceDN w:val="0"/>
              <w:adjustRightInd w:val="0"/>
              <w:spacing w:line="276" w:lineRule="auto"/>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Total</w:t>
            </w:r>
          </w:p>
        </w:tc>
        <w:tc>
          <w:tcPr>
            <w:tcW w:w="1394" w:type="dxa"/>
            <w:shd w:val="clear" w:color="auto" w:fill="FFFFFF"/>
          </w:tcPr>
          <w:p w14:paraId="120B811C" w14:textId="22FCEBE6" w:rsidR="00012E0B" w:rsidRPr="00CF31E0" w:rsidRDefault="00FC52C2" w:rsidP="00330B2A">
            <w:pPr>
              <w:widowControl w:val="0"/>
              <w:autoSpaceDE w:val="0"/>
              <w:autoSpaceDN w:val="0"/>
              <w:adjustRightInd w:val="0"/>
              <w:spacing w:line="276" w:lineRule="auto"/>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Raw frequency</w:t>
            </w:r>
          </w:p>
        </w:tc>
        <w:tc>
          <w:tcPr>
            <w:tcW w:w="1116" w:type="dxa"/>
            <w:shd w:val="clear" w:color="auto" w:fill="FFFFFF"/>
            <w:vAlign w:val="center"/>
          </w:tcPr>
          <w:p w14:paraId="5E64D60D"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109</w:t>
            </w:r>
          </w:p>
        </w:tc>
        <w:tc>
          <w:tcPr>
            <w:tcW w:w="1116" w:type="dxa"/>
            <w:shd w:val="clear" w:color="auto" w:fill="FFFFFF"/>
            <w:vAlign w:val="center"/>
          </w:tcPr>
          <w:p w14:paraId="5D74AA7B"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294</w:t>
            </w:r>
          </w:p>
        </w:tc>
        <w:tc>
          <w:tcPr>
            <w:tcW w:w="1395" w:type="dxa"/>
            <w:shd w:val="clear" w:color="auto" w:fill="FFFFFF"/>
            <w:vAlign w:val="center"/>
          </w:tcPr>
          <w:p w14:paraId="5FBD10E4"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246</w:t>
            </w:r>
          </w:p>
        </w:tc>
        <w:tc>
          <w:tcPr>
            <w:tcW w:w="836" w:type="dxa"/>
            <w:shd w:val="clear" w:color="auto" w:fill="FFFFFF"/>
            <w:vAlign w:val="center"/>
          </w:tcPr>
          <w:p w14:paraId="733DDD5B"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r>
      <w:tr w:rsidR="00012E0B" w:rsidRPr="00CF31E0" w14:paraId="45541B90" w14:textId="77777777" w:rsidTr="00DE7BDA">
        <w:trPr>
          <w:cantSplit/>
          <w:trHeight w:val="134"/>
        </w:trPr>
        <w:tc>
          <w:tcPr>
            <w:tcW w:w="1400" w:type="dxa"/>
            <w:gridSpan w:val="2"/>
            <w:vMerge/>
            <w:shd w:val="clear" w:color="auto" w:fill="FFFFFF"/>
          </w:tcPr>
          <w:p w14:paraId="71DFC19A" w14:textId="77777777" w:rsidR="00012E0B" w:rsidRPr="00CF31E0" w:rsidRDefault="00012E0B" w:rsidP="00330B2A">
            <w:pPr>
              <w:widowControl w:val="0"/>
              <w:autoSpaceDE w:val="0"/>
              <w:autoSpaceDN w:val="0"/>
              <w:adjustRightInd w:val="0"/>
              <w:spacing w:line="276" w:lineRule="auto"/>
              <w:rPr>
                <w:rFonts w:asciiTheme="majorBidi" w:hAnsiTheme="majorBidi" w:cstheme="majorBidi"/>
                <w:color w:val="000000" w:themeColor="text1"/>
                <w:sz w:val="22"/>
                <w:szCs w:val="22"/>
                <w:lang w:eastAsia="en-US"/>
              </w:rPr>
            </w:pPr>
          </w:p>
        </w:tc>
        <w:tc>
          <w:tcPr>
            <w:tcW w:w="1394" w:type="dxa"/>
            <w:shd w:val="clear" w:color="auto" w:fill="FFFFFF"/>
          </w:tcPr>
          <w:p w14:paraId="30131234" w14:textId="67A1228C" w:rsidR="00012E0B" w:rsidRPr="00CF31E0" w:rsidRDefault="00012E0B" w:rsidP="00330B2A">
            <w:pPr>
              <w:widowControl w:val="0"/>
              <w:autoSpaceDE w:val="0"/>
              <w:autoSpaceDN w:val="0"/>
              <w:adjustRightInd w:val="0"/>
              <w:spacing w:line="276" w:lineRule="auto"/>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within Social group</w:t>
            </w:r>
          </w:p>
        </w:tc>
        <w:tc>
          <w:tcPr>
            <w:tcW w:w="1116" w:type="dxa"/>
            <w:shd w:val="clear" w:color="auto" w:fill="FFFFFF"/>
            <w:vAlign w:val="center"/>
          </w:tcPr>
          <w:p w14:paraId="66AE2609"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16.8%</w:t>
            </w:r>
          </w:p>
        </w:tc>
        <w:tc>
          <w:tcPr>
            <w:tcW w:w="1116" w:type="dxa"/>
            <w:shd w:val="clear" w:color="auto" w:fill="FFFFFF"/>
            <w:vAlign w:val="center"/>
          </w:tcPr>
          <w:p w14:paraId="41F61C9C"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45.3%</w:t>
            </w:r>
          </w:p>
        </w:tc>
        <w:tc>
          <w:tcPr>
            <w:tcW w:w="1395" w:type="dxa"/>
            <w:shd w:val="clear" w:color="auto" w:fill="FFFFFF"/>
            <w:vAlign w:val="center"/>
          </w:tcPr>
          <w:p w14:paraId="19B45162"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37.9%</w:t>
            </w:r>
          </w:p>
        </w:tc>
        <w:tc>
          <w:tcPr>
            <w:tcW w:w="836" w:type="dxa"/>
            <w:shd w:val="clear" w:color="auto" w:fill="FFFFFF"/>
            <w:vAlign w:val="center"/>
          </w:tcPr>
          <w:p w14:paraId="35A2E5BC"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100.0%</w:t>
            </w:r>
          </w:p>
        </w:tc>
      </w:tr>
      <w:tr w:rsidR="00012E0B" w:rsidRPr="00CF31E0" w14:paraId="45476DC8" w14:textId="77777777" w:rsidTr="00DE7BDA">
        <w:trPr>
          <w:cantSplit/>
          <w:trHeight w:val="134"/>
        </w:trPr>
        <w:tc>
          <w:tcPr>
            <w:tcW w:w="1400" w:type="dxa"/>
            <w:gridSpan w:val="2"/>
            <w:vMerge/>
            <w:shd w:val="clear" w:color="auto" w:fill="FFFFFF"/>
          </w:tcPr>
          <w:p w14:paraId="7927A3D5" w14:textId="77777777" w:rsidR="00012E0B" w:rsidRPr="00CF31E0" w:rsidRDefault="00012E0B" w:rsidP="00330B2A">
            <w:pPr>
              <w:widowControl w:val="0"/>
              <w:autoSpaceDE w:val="0"/>
              <w:autoSpaceDN w:val="0"/>
              <w:adjustRightInd w:val="0"/>
              <w:spacing w:line="276" w:lineRule="auto"/>
              <w:rPr>
                <w:rFonts w:asciiTheme="majorBidi" w:hAnsiTheme="majorBidi" w:cstheme="majorBidi"/>
                <w:color w:val="000000" w:themeColor="text1"/>
                <w:sz w:val="22"/>
                <w:szCs w:val="22"/>
                <w:lang w:eastAsia="en-US"/>
              </w:rPr>
            </w:pPr>
          </w:p>
        </w:tc>
        <w:tc>
          <w:tcPr>
            <w:tcW w:w="1394" w:type="dxa"/>
            <w:shd w:val="clear" w:color="auto" w:fill="FFFFFF"/>
          </w:tcPr>
          <w:p w14:paraId="00C519D2" w14:textId="77777777" w:rsidR="00012E0B" w:rsidRPr="00CF31E0" w:rsidRDefault="00012E0B" w:rsidP="00330B2A">
            <w:pPr>
              <w:widowControl w:val="0"/>
              <w:autoSpaceDE w:val="0"/>
              <w:autoSpaceDN w:val="0"/>
              <w:adjustRightInd w:val="0"/>
              <w:spacing w:line="276" w:lineRule="auto"/>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of Total</w:t>
            </w:r>
          </w:p>
        </w:tc>
        <w:tc>
          <w:tcPr>
            <w:tcW w:w="1116" w:type="dxa"/>
            <w:shd w:val="clear" w:color="auto" w:fill="FFFFFF"/>
            <w:vAlign w:val="center"/>
          </w:tcPr>
          <w:p w14:paraId="247C2F15"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16.8%</w:t>
            </w:r>
          </w:p>
        </w:tc>
        <w:tc>
          <w:tcPr>
            <w:tcW w:w="1116" w:type="dxa"/>
            <w:shd w:val="clear" w:color="auto" w:fill="FFFFFF"/>
            <w:vAlign w:val="center"/>
          </w:tcPr>
          <w:p w14:paraId="4B270F66"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45.3%</w:t>
            </w:r>
          </w:p>
        </w:tc>
        <w:tc>
          <w:tcPr>
            <w:tcW w:w="1395" w:type="dxa"/>
            <w:shd w:val="clear" w:color="auto" w:fill="FFFFFF"/>
            <w:vAlign w:val="center"/>
          </w:tcPr>
          <w:p w14:paraId="34868812"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37.9%</w:t>
            </w:r>
          </w:p>
        </w:tc>
        <w:tc>
          <w:tcPr>
            <w:tcW w:w="836" w:type="dxa"/>
            <w:shd w:val="clear" w:color="auto" w:fill="FFFFFF"/>
            <w:vAlign w:val="center"/>
          </w:tcPr>
          <w:p w14:paraId="281EEBC3" w14:textId="77777777" w:rsidR="00012E0B" w:rsidRPr="00CF31E0" w:rsidRDefault="00012E0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100.0%</w:t>
            </w:r>
          </w:p>
        </w:tc>
      </w:tr>
    </w:tbl>
    <w:p w14:paraId="0F1647C5" w14:textId="554F3EE3" w:rsidR="00A23C2A" w:rsidRPr="00CF31E0" w:rsidRDefault="00A23C2A" w:rsidP="00730917">
      <w:pPr>
        <w:pStyle w:val="Tablecaption"/>
      </w:pPr>
      <w:bookmarkStart w:id="394" w:name="_Toc522527412"/>
      <w:bookmarkStart w:id="395" w:name="_Toc522628824"/>
      <w:bookmarkStart w:id="396" w:name="_Toc522628988"/>
      <w:bookmarkStart w:id="397" w:name="_Toc6473085"/>
      <w:r w:rsidRPr="00CF31E0">
        <w:t xml:space="preserve">Table </w:t>
      </w:r>
      <w:r w:rsidR="00116DBE" w:rsidRPr="00CF31E0">
        <w:t>7</w:t>
      </w:r>
      <w:r w:rsidR="00D12517" w:rsidRPr="00CF31E0">
        <w:t>.</w:t>
      </w:r>
      <w:r w:rsidRPr="00CF31E0">
        <w:t>8: Social group-Q2 crosstabulation.</w:t>
      </w:r>
      <w:bookmarkEnd w:id="394"/>
      <w:bookmarkEnd w:id="395"/>
      <w:bookmarkEnd w:id="396"/>
      <w:bookmarkEnd w:id="397"/>
    </w:p>
    <w:p w14:paraId="59CA6798" w14:textId="2B716CEA" w:rsidR="00A23C2A" w:rsidRPr="00CF31E0" w:rsidRDefault="00A23C2A" w:rsidP="00603CB7">
      <w:pPr>
        <w:pStyle w:val="Paragraph"/>
      </w:pPr>
      <w:r w:rsidRPr="00CF31E0">
        <w:t xml:space="preserve">As can be seen from the above table, two patterns emerged from the results. The first one is that the two social groups share a consensus that the HH dialect is the most dominant </w:t>
      </w:r>
      <w:r w:rsidR="00630DDB" w:rsidRPr="00CF31E0">
        <w:t>dialect in Hijaz since 36.7%</w:t>
      </w:r>
      <w:r w:rsidRPr="00CF31E0">
        <w:t xml:space="preserve"> </w:t>
      </w:r>
      <w:r w:rsidR="007D6CAE" w:rsidRPr="00CF31E0">
        <w:t xml:space="preserve">of </w:t>
      </w:r>
      <w:r w:rsidRPr="00CF31E0">
        <w:t>the UBH participan</w:t>
      </w:r>
      <w:r w:rsidR="00630DDB" w:rsidRPr="00CF31E0">
        <w:t>ts chose the HH dialect, and 53.8%</w:t>
      </w:r>
      <w:r w:rsidRPr="00CF31E0">
        <w:t xml:space="preserve"> of the HH participants chose the HH dialect in response to this question. </w:t>
      </w:r>
      <w:r w:rsidR="00630DDB" w:rsidRPr="00CF31E0">
        <w:t>Second, 32.4%</w:t>
      </w:r>
      <w:r w:rsidRPr="00CF31E0">
        <w:t xml:space="preserve"> of UBH participants chose </w:t>
      </w:r>
      <w:r w:rsidR="00630DDB" w:rsidRPr="00CF31E0">
        <w:t>the UBH dialect, while only 1.2% of</w:t>
      </w:r>
      <w:r w:rsidRPr="00CF31E0">
        <w:t xml:space="preserve"> HH participants chose the UBH dial</w:t>
      </w:r>
      <w:r w:rsidR="00630DDB" w:rsidRPr="00CF31E0">
        <w:t>ect. Similarly, a greater proportion</w:t>
      </w:r>
      <w:r w:rsidRPr="00CF31E0">
        <w:t xml:space="preserve"> of HH participants attributed dominance to their own dialect</w:t>
      </w:r>
      <w:r w:rsidR="00630DDB" w:rsidRPr="00CF31E0">
        <w:t xml:space="preserve"> (53.8%)</w:t>
      </w:r>
      <w:r w:rsidRPr="00CF31E0">
        <w:t xml:space="preserve"> than UBHs </w:t>
      </w:r>
      <w:r w:rsidR="00630DDB" w:rsidRPr="00CF31E0">
        <w:t xml:space="preserve">did to the HH dialect </w:t>
      </w:r>
      <w:r w:rsidR="007D6CAE" w:rsidRPr="00CF31E0">
        <w:t>(</w:t>
      </w:r>
      <w:r w:rsidR="00630DDB" w:rsidRPr="00CF31E0">
        <w:t>36.7%</w:t>
      </w:r>
      <w:r w:rsidR="007D6CAE" w:rsidRPr="00CF31E0">
        <w:t>)</w:t>
      </w:r>
      <w:r w:rsidR="00630DDB" w:rsidRPr="00CF31E0">
        <w:t>.</w:t>
      </w:r>
      <w:r w:rsidRPr="00CF31E0">
        <w:t xml:space="preserve"> </w:t>
      </w:r>
    </w:p>
    <w:p w14:paraId="44F51AE5" w14:textId="5C2C80B3" w:rsidR="00A23C2A" w:rsidRPr="00CF31E0" w:rsidRDefault="00116DBE" w:rsidP="00E87209">
      <w:pPr>
        <w:pStyle w:val="Chead"/>
      </w:pPr>
      <w:bookmarkStart w:id="398" w:name="_Toc6472705"/>
      <w:r w:rsidRPr="00CF31E0">
        <w:t>7</w:t>
      </w:r>
      <w:r w:rsidR="00D12517" w:rsidRPr="00CF31E0">
        <w:t>.3.1.3.</w:t>
      </w:r>
      <w:r w:rsidR="00F106E7" w:rsidRPr="00CF31E0">
        <w:tab/>
      </w:r>
      <w:r w:rsidR="00A23C2A" w:rsidRPr="00CF31E0">
        <w:t>Mother’s social group demographic variable</w:t>
      </w:r>
      <w:bookmarkEnd w:id="398"/>
    </w:p>
    <w:p w14:paraId="22BA9686" w14:textId="037B1F36" w:rsidR="006725F4" w:rsidRPr="00CF31E0" w:rsidRDefault="00A23C2A" w:rsidP="005D425C">
      <w:pPr>
        <w:pStyle w:val="Paragraph"/>
      </w:pPr>
      <w:r w:rsidRPr="00CF31E0">
        <w:t xml:space="preserve">The chi-square test revealed that the groups within the mother’s social group demographic variable selected different answers to each other. See Table </w:t>
      </w:r>
      <w:r w:rsidR="00116DBE" w:rsidRPr="00CF31E0">
        <w:t>7</w:t>
      </w:r>
      <w:r w:rsidR="00D12517" w:rsidRPr="00CF31E0">
        <w:t>.</w:t>
      </w:r>
      <w:r w:rsidRPr="00CF31E0">
        <w:t>9.</w:t>
      </w:r>
    </w:p>
    <w:tbl>
      <w:tblPr>
        <w:tblW w:w="7139" w:type="dxa"/>
        <w:tblLayout w:type="fixed"/>
        <w:tblLook w:val="04A0" w:firstRow="1" w:lastRow="0" w:firstColumn="1" w:lastColumn="0" w:noHBand="0" w:noVBand="1"/>
      </w:tblPr>
      <w:tblGrid>
        <w:gridCol w:w="2235"/>
        <w:gridCol w:w="992"/>
        <w:gridCol w:w="510"/>
        <w:gridCol w:w="3402"/>
      </w:tblGrid>
      <w:tr w:rsidR="006725F4" w:rsidRPr="00CF31E0" w14:paraId="3779BD0C" w14:textId="77777777" w:rsidTr="00202B1B">
        <w:trPr>
          <w:trHeight w:val="567"/>
        </w:trPr>
        <w:tc>
          <w:tcPr>
            <w:tcW w:w="2235" w:type="dxa"/>
            <w:tcBorders>
              <w:top w:val="single" w:sz="8" w:space="0" w:color="auto"/>
              <w:bottom w:val="single" w:sz="8" w:space="0" w:color="auto"/>
            </w:tcBorders>
            <w:shd w:val="clear" w:color="auto" w:fill="auto"/>
            <w:hideMark/>
          </w:tcPr>
          <w:p w14:paraId="1151CA46" w14:textId="77777777" w:rsidR="006725F4" w:rsidRPr="00CF31E0" w:rsidRDefault="006725F4" w:rsidP="006725F4">
            <w:pPr>
              <w:spacing w:after="200" w:line="276" w:lineRule="auto"/>
              <w:rPr>
                <w:rFonts w:asciiTheme="majorBidi" w:eastAsia="Calibri" w:hAnsiTheme="majorBidi" w:cstheme="majorBidi"/>
                <w:color w:val="000000" w:themeColor="text1"/>
                <w:sz w:val="22"/>
                <w:szCs w:val="22"/>
                <w:lang w:val="en-US" w:eastAsia="en-US"/>
              </w:rPr>
            </w:pPr>
          </w:p>
        </w:tc>
        <w:tc>
          <w:tcPr>
            <w:tcW w:w="992" w:type="dxa"/>
            <w:tcBorders>
              <w:top w:val="single" w:sz="8" w:space="0" w:color="auto"/>
              <w:bottom w:val="single" w:sz="8" w:space="0" w:color="auto"/>
            </w:tcBorders>
            <w:shd w:val="clear" w:color="auto" w:fill="auto"/>
            <w:hideMark/>
          </w:tcPr>
          <w:p w14:paraId="09C9ABA3" w14:textId="77777777" w:rsidR="006725F4" w:rsidRPr="00CF31E0" w:rsidRDefault="006725F4" w:rsidP="00603CB7">
            <w:pPr>
              <w:spacing w:before="80" w:after="80" w:line="276" w:lineRule="auto"/>
              <w:rPr>
                <w:rFonts w:asciiTheme="majorBidi" w:eastAsia="Calibri" w:hAnsiTheme="majorBidi" w:cstheme="majorBidi"/>
                <w:color w:val="000000" w:themeColor="text1"/>
                <w:sz w:val="22"/>
                <w:szCs w:val="22"/>
                <w:lang w:val="en-US" w:eastAsia="en-US"/>
              </w:rPr>
            </w:pPr>
            <w:r w:rsidRPr="00CF31E0">
              <w:rPr>
                <w:rFonts w:asciiTheme="majorBidi" w:eastAsia="Calibri" w:hAnsiTheme="majorBidi" w:cstheme="majorBidi"/>
                <w:color w:val="000000" w:themeColor="text1"/>
                <w:sz w:val="22"/>
                <w:szCs w:val="22"/>
                <w:lang w:val="en-US" w:eastAsia="en-US"/>
              </w:rPr>
              <w:t>Value</w:t>
            </w:r>
          </w:p>
        </w:tc>
        <w:tc>
          <w:tcPr>
            <w:tcW w:w="510" w:type="dxa"/>
            <w:tcBorders>
              <w:top w:val="single" w:sz="8" w:space="0" w:color="auto"/>
              <w:bottom w:val="single" w:sz="8" w:space="0" w:color="auto"/>
            </w:tcBorders>
            <w:shd w:val="clear" w:color="auto" w:fill="auto"/>
          </w:tcPr>
          <w:p w14:paraId="18CA3547" w14:textId="77777777" w:rsidR="006725F4" w:rsidRPr="00CF31E0" w:rsidRDefault="006725F4" w:rsidP="006725F4">
            <w:pPr>
              <w:spacing w:after="200" w:line="276" w:lineRule="auto"/>
              <w:rPr>
                <w:rFonts w:asciiTheme="majorBidi" w:eastAsia="Calibri" w:hAnsiTheme="majorBidi" w:cstheme="majorBidi"/>
                <w:color w:val="000000" w:themeColor="text1"/>
                <w:sz w:val="22"/>
                <w:szCs w:val="22"/>
                <w:lang w:val="en-US" w:eastAsia="en-US"/>
              </w:rPr>
            </w:pPr>
            <w:r w:rsidRPr="00CF31E0">
              <w:rPr>
                <w:rFonts w:asciiTheme="majorBidi" w:eastAsia="Calibri" w:hAnsiTheme="majorBidi" w:cstheme="majorBidi"/>
                <w:color w:val="000000" w:themeColor="text1"/>
                <w:sz w:val="22"/>
                <w:szCs w:val="22"/>
                <w:lang w:val="en-US" w:eastAsia="en-US"/>
              </w:rPr>
              <w:t>df</w:t>
            </w:r>
          </w:p>
        </w:tc>
        <w:tc>
          <w:tcPr>
            <w:tcW w:w="3402" w:type="dxa"/>
            <w:tcBorders>
              <w:top w:val="single" w:sz="8" w:space="0" w:color="auto"/>
              <w:bottom w:val="single" w:sz="8" w:space="0" w:color="auto"/>
            </w:tcBorders>
            <w:shd w:val="clear" w:color="auto" w:fill="auto"/>
          </w:tcPr>
          <w:p w14:paraId="206AACF3" w14:textId="77777777" w:rsidR="006725F4" w:rsidRPr="00CF31E0" w:rsidRDefault="006725F4" w:rsidP="006725F4">
            <w:pPr>
              <w:spacing w:after="200" w:line="276" w:lineRule="auto"/>
              <w:rPr>
                <w:rFonts w:asciiTheme="majorBidi" w:eastAsia="Calibri" w:hAnsiTheme="majorBidi" w:cstheme="majorBidi"/>
                <w:color w:val="000000" w:themeColor="text1"/>
                <w:sz w:val="22"/>
                <w:szCs w:val="22"/>
                <w:lang w:val="en-US" w:eastAsia="en-US"/>
              </w:rPr>
            </w:pPr>
            <w:r w:rsidRPr="00CF31E0">
              <w:rPr>
                <w:rFonts w:asciiTheme="majorBidi" w:eastAsia="Calibri" w:hAnsiTheme="majorBidi" w:cstheme="majorBidi"/>
                <w:color w:val="000000" w:themeColor="text1"/>
                <w:sz w:val="22"/>
                <w:szCs w:val="22"/>
                <w:lang w:eastAsia="en-US"/>
              </w:rPr>
              <w:t>Asymptotic Significance (2-sided)</w:t>
            </w:r>
          </w:p>
        </w:tc>
      </w:tr>
      <w:tr w:rsidR="006725F4" w:rsidRPr="00CF31E0" w14:paraId="3C2C219D" w14:textId="77777777" w:rsidTr="00603CB7">
        <w:trPr>
          <w:trHeight w:val="567"/>
        </w:trPr>
        <w:tc>
          <w:tcPr>
            <w:tcW w:w="2235" w:type="dxa"/>
            <w:tcBorders>
              <w:top w:val="single" w:sz="8" w:space="0" w:color="auto"/>
            </w:tcBorders>
            <w:shd w:val="clear" w:color="auto" w:fill="auto"/>
            <w:vAlign w:val="bottom"/>
          </w:tcPr>
          <w:p w14:paraId="545635DF" w14:textId="77777777" w:rsidR="006725F4" w:rsidRPr="00CF31E0" w:rsidRDefault="006725F4" w:rsidP="00B12C97">
            <w:pPr>
              <w:spacing w:before="80" w:after="200" w:line="276" w:lineRule="auto"/>
              <w:rPr>
                <w:rFonts w:asciiTheme="majorBidi" w:eastAsia="Calibri" w:hAnsiTheme="majorBidi" w:cstheme="majorBidi"/>
                <w:color w:val="000000" w:themeColor="text1"/>
                <w:sz w:val="22"/>
                <w:szCs w:val="22"/>
                <w:lang w:val="en-US" w:eastAsia="en-US"/>
              </w:rPr>
            </w:pPr>
            <w:r w:rsidRPr="00CF31E0">
              <w:rPr>
                <w:rFonts w:asciiTheme="majorBidi" w:eastAsia="Calibri" w:hAnsiTheme="majorBidi" w:cstheme="majorBidi"/>
                <w:color w:val="000000" w:themeColor="text1"/>
                <w:sz w:val="22"/>
                <w:szCs w:val="22"/>
                <w:lang w:val="en-US" w:eastAsia="en-US"/>
              </w:rPr>
              <w:t>Pearson Chi-Square</w:t>
            </w:r>
          </w:p>
        </w:tc>
        <w:tc>
          <w:tcPr>
            <w:tcW w:w="992" w:type="dxa"/>
            <w:tcBorders>
              <w:top w:val="single" w:sz="8" w:space="0" w:color="auto"/>
            </w:tcBorders>
            <w:shd w:val="clear" w:color="auto" w:fill="auto"/>
            <w:vAlign w:val="bottom"/>
          </w:tcPr>
          <w:p w14:paraId="0A5D94EA" w14:textId="77777777" w:rsidR="006725F4" w:rsidRPr="00CF31E0" w:rsidRDefault="006725F4" w:rsidP="00B12C97">
            <w:pPr>
              <w:spacing w:after="200" w:line="276" w:lineRule="auto"/>
              <w:rPr>
                <w:rFonts w:asciiTheme="majorBidi" w:eastAsia="Calibri" w:hAnsiTheme="majorBidi" w:cstheme="majorBidi"/>
                <w:color w:val="000000" w:themeColor="text1"/>
                <w:sz w:val="22"/>
                <w:szCs w:val="22"/>
                <w:lang w:eastAsia="en-US"/>
              </w:rPr>
            </w:pPr>
            <w:r w:rsidRPr="00CF31E0">
              <w:rPr>
                <w:rFonts w:asciiTheme="majorBidi" w:eastAsia="Calibri" w:hAnsiTheme="majorBidi" w:cstheme="majorBidi"/>
                <w:color w:val="000000" w:themeColor="text1"/>
                <w:sz w:val="22"/>
                <w:szCs w:val="22"/>
                <w:lang w:eastAsia="en-US"/>
              </w:rPr>
              <w:t>79.188</w:t>
            </w:r>
            <w:r w:rsidRPr="00CF31E0">
              <w:rPr>
                <w:rFonts w:asciiTheme="majorBidi" w:eastAsia="Calibri" w:hAnsiTheme="majorBidi" w:cstheme="majorBidi"/>
                <w:color w:val="000000" w:themeColor="text1"/>
                <w:sz w:val="22"/>
                <w:szCs w:val="22"/>
                <w:vertAlign w:val="superscript"/>
                <w:lang w:eastAsia="en-US"/>
              </w:rPr>
              <w:t>a</w:t>
            </w:r>
          </w:p>
        </w:tc>
        <w:tc>
          <w:tcPr>
            <w:tcW w:w="510" w:type="dxa"/>
            <w:tcBorders>
              <w:top w:val="single" w:sz="8" w:space="0" w:color="auto"/>
            </w:tcBorders>
            <w:shd w:val="clear" w:color="auto" w:fill="auto"/>
            <w:vAlign w:val="bottom"/>
          </w:tcPr>
          <w:p w14:paraId="432693DF" w14:textId="77777777" w:rsidR="006725F4" w:rsidRPr="00CF31E0" w:rsidRDefault="006725F4" w:rsidP="00B12C97">
            <w:pPr>
              <w:spacing w:after="200" w:line="276" w:lineRule="auto"/>
              <w:rPr>
                <w:rFonts w:asciiTheme="majorBidi" w:eastAsia="Calibri" w:hAnsiTheme="majorBidi" w:cstheme="majorBidi"/>
                <w:color w:val="000000" w:themeColor="text1"/>
                <w:sz w:val="22"/>
                <w:szCs w:val="22"/>
                <w:lang w:val="en-US" w:eastAsia="en-US"/>
              </w:rPr>
            </w:pPr>
            <w:r w:rsidRPr="00CF31E0">
              <w:rPr>
                <w:rFonts w:asciiTheme="majorBidi" w:eastAsia="Calibri" w:hAnsiTheme="majorBidi" w:cstheme="majorBidi"/>
                <w:color w:val="000000" w:themeColor="text1"/>
                <w:sz w:val="22"/>
                <w:szCs w:val="22"/>
                <w:lang w:val="en-US" w:eastAsia="en-US"/>
              </w:rPr>
              <w:t>4</w:t>
            </w:r>
          </w:p>
        </w:tc>
        <w:tc>
          <w:tcPr>
            <w:tcW w:w="3402" w:type="dxa"/>
            <w:tcBorders>
              <w:top w:val="single" w:sz="8" w:space="0" w:color="auto"/>
            </w:tcBorders>
            <w:shd w:val="clear" w:color="auto" w:fill="auto"/>
            <w:vAlign w:val="bottom"/>
          </w:tcPr>
          <w:p w14:paraId="3A03BB10" w14:textId="77777777" w:rsidR="006725F4" w:rsidRPr="00CF31E0" w:rsidRDefault="006725F4" w:rsidP="00B12C97">
            <w:pPr>
              <w:spacing w:after="200" w:line="276" w:lineRule="auto"/>
              <w:jc w:val="center"/>
              <w:rPr>
                <w:rFonts w:asciiTheme="majorBidi" w:eastAsia="Calibri" w:hAnsiTheme="majorBidi" w:cstheme="majorBidi"/>
                <w:color w:val="000000" w:themeColor="text1"/>
                <w:sz w:val="22"/>
                <w:szCs w:val="22"/>
                <w:lang w:eastAsia="en-US"/>
              </w:rPr>
            </w:pPr>
            <w:r w:rsidRPr="00CF31E0">
              <w:rPr>
                <w:rFonts w:asciiTheme="majorBidi" w:eastAsia="Calibri" w:hAnsiTheme="majorBidi" w:cstheme="majorBidi"/>
                <w:color w:val="000000" w:themeColor="text1"/>
                <w:sz w:val="22"/>
                <w:szCs w:val="22"/>
                <w:lang w:eastAsia="en-US"/>
              </w:rPr>
              <w:t>.000</w:t>
            </w:r>
          </w:p>
        </w:tc>
      </w:tr>
      <w:tr w:rsidR="006725F4" w:rsidRPr="00CF31E0" w14:paraId="6D98C38A" w14:textId="77777777" w:rsidTr="00603CB7">
        <w:trPr>
          <w:trHeight w:val="567"/>
        </w:trPr>
        <w:tc>
          <w:tcPr>
            <w:tcW w:w="2235" w:type="dxa"/>
            <w:tcBorders>
              <w:bottom w:val="single" w:sz="8" w:space="0" w:color="auto"/>
            </w:tcBorders>
            <w:shd w:val="clear" w:color="auto" w:fill="auto"/>
            <w:vAlign w:val="bottom"/>
          </w:tcPr>
          <w:p w14:paraId="1AB3ABAE" w14:textId="77777777" w:rsidR="006725F4" w:rsidRPr="00CF31E0" w:rsidRDefault="006725F4" w:rsidP="00B12C97">
            <w:pPr>
              <w:spacing w:after="200" w:line="276" w:lineRule="auto"/>
              <w:rPr>
                <w:rFonts w:asciiTheme="majorBidi" w:eastAsia="Calibri" w:hAnsiTheme="majorBidi" w:cstheme="majorBidi"/>
                <w:color w:val="000000" w:themeColor="text1"/>
                <w:sz w:val="22"/>
                <w:szCs w:val="22"/>
                <w:lang w:eastAsia="en-US"/>
              </w:rPr>
            </w:pPr>
            <w:r w:rsidRPr="00CF31E0">
              <w:rPr>
                <w:rFonts w:asciiTheme="majorBidi" w:eastAsia="Calibri" w:hAnsiTheme="majorBidi" w:cstheme="majorBidi"/>
                <w:color w:val="000000" w:themeColor="text1"/>
                <w:sz w:val="22"/>
                <w:szCs w:val="22"/>
                <w:lang w:eastAsia="en-US"/>
              </w:rPr>
              <w:t>N of Valid Cases</w:t>
            </w:r>
          </w:p>
        </w:tc>
        <w:tc>
          <w:tcPr>
            <w:tcW w:w="992" w:type="dxa"/>
            <w:tcBorders>
              <w:bottom w:val="single" w:sz="8" w:space="0" w:color="auto"/>
            </w:tcBorders>
            <w:shd w:val="clear" w:color="auto" w:fill="auto"/>
            <w:vAlign w:val="bottom"/>
          </w:tcPr>
          <w:p w14:paraId="79CE018F" w14:textId="77777777" w:rsidR="006725F4" w:rsidRPr="00CF31E0" w:rsidRDefault="006725F4" w:rsidP="00B12C97">
            <w:pPr>
              <w:spacing w:after="200" w:line="276" w:lineRule="auto"/>
              <w:rPr>
                <w:rFonts w:asciiTheme="majorBidi" w:eastAsia="Calibri" w:hAnsiTheme="majorBidi" w:cstheme="majorBidi"/>
                <w:color w:val="000000" w:themeColor="text1"/>
                <w:sz w:val="22"/>
                <w:szCs w:val="22"/>
                <w:lang w:eastAsia="en-US"/>
              </w:rPr>
            </w:pPr>
            <w:r w:rsidRPr="00CF31E0">
              <w:rPr>
                <w:rFonts w:asciiTheme="majorBidi" w:eastAsia="Calibri" w:hAnsiTheme="majorBidi" w:cstheme="majorBidi"/>
                <w:color w:val="000000" w:themeColor="text1"/>
                <w:sz w:val="22"/>
                <w:szCs w:val="22"/>
                <w:lang w:eastAsia="en-US"/>
              </w:rPr>
              <w:t>648</w:t>
            </w:r>
          </w:p>
        </w:tc>
        <w:tc>
          <w:tcPr>
            <w:tcW w:w="510" w:type="dxa"/>
            <w:tcBorders>
              <w:bottom w:val="single" w:sz="8" w:space="0" w:color="auto"/>
            </w:tcBorders>
            <w:shd w:val="clear" w:color="auto" w:fill="auto"/>
            <w:vAlign w:val="bottom"/>
          </w:tcPr>
          <w:p w14:paraId="6F1EB27F" w14:textId="77777777" w:rsidR="006725F4" w:rsidRPr="00CF31E0" w:rsidRDefault="006725F4" w:rsidP="00B12C97">
            <w:pPr>
              <w:spacing w:after="200" w:line="276" w:lineRule="auto"/>
              <w:rPr>
                <w:rFonts w:asciiTheme="majorBidi" w:eastAsia="Calibri" w:hAnsiTheme="majorBidi" w:cstheme="majorBidi"/>
                <w:color w:val="000000" w:themeColor="text1"/>
                <w:sz w:val="22"/>
                <w:szCs w:val="22"/>
                <w:lang w:val="en-US" w:eastAsia="en-US"/>
              </w:rPr>
            </w:pPr>
          </w:p>
        </w:tc>
        <w:tc>
          <w:tcPr>
            <w:tcW w:w="3402" w:type="dxa"/>
            <w:tcBorders>
              <w:bottom w:val="single" w:sz="8" w:space="0" w:color="auto"/>
            </w:tcBorders>
            <w:shd w:val="clear" w:color="auto" w:fill="auto"/>
            <w:vAlign w:val="bottom"/>
          </w:tcPr>
          <w:p w14:paraId="07B2B364" w14:textId="77777777" w:rsidR="006725F4" w:rsidRPr="00CF31E0" w:rsidRDefault="006725F4" w:rsidP="00B12C97">
            <w:pPr>
              <w:spacing w:after="200" w:line="276" w:lineRule="auto"/>
              <w:rPr>
                <w:rFonts w:asciiTheme="majorBidi" w:eastAsia="Calibri" w:hAnsiTheme="majorBidi" w:cstheme="majorBidi"/>
                <w:color w:val="000000" w:themeColor="text1"/>
                <w:sz w:val="22"/>
                <w:szCs w:val="22"/>
                <w:lang w:eastAsia="en-US"/>
              </w:rPr>
            </w:pPr>
          </w:p>
        </w:tc>
      </w:tr>
      <w:tr w:rsidR="006725F4" w:rsidRPr="00CF31E0" w14:paraId="46267C07" w14:textId="77777777" w:rsidTr="00202B1B">
        <w:trPr>
          <w:trHeight w:val="567"/>
        </w:trPr>
        <w:tc>
          <w:tcPr>
            <w:tcW w:w="7139" w:type="dxa"/>
            <w:gridSpan w:val="4"/>
            <w:tcBorders>
              <w:top w:val="single" w:sz="8" w:space="0" w:color="auto"/>
              <w:bottom w:val="single" w:sz="8" w:space="0" w:color="auto"/>
            </w:tcBorders>
            <w:shd w:val="clear" w:color="auto" w:fill="auto"/>
          </w:tcPr>
          <w:p w14:paraId="18927886" w14:textId="20C91431" w:rsidR="006725F4" w:rsidRPr="00CF31E0" w:rsidRDefault="006725F4" w:rsidP="006725F4">
            <w:pPr>
              <w:spacing w:before="80" w:after="80"/>
              <w:rPr>
                <w:rFonts w:asciiTheme="majorBidi" w:eastAsia="Calibri" w:hAnsiTheme="majorBidi" w:cstheme="majorBidi"/>
                <w:color w:val="000000" w:themeColor="text1"/>
                <w:sz w:val="22"/>
                <w:szCs w:val="22"/>
                <w:lang w:eastAsia="en-US"/>
              </w:rPr>
            </w:pPr>
            <w:r w:rsidRPr="00CF31E0">
              <w:rPr>
                <w:rFonts w:asciiTheme="majorBidi" w:eastAsia="Calibri" w:hAnsiTheme="majorBidi" w:cstheme="majorBidi"/>
                <w:color w:val="000000" w:themeColor="text1"/>
                <w:sz w:val="22"/>
                <w:szCs w:val="22"/>
                <w:lang w:eastAsia="en-US"/>
              </w:rPr>
              <w:t xml:space="preserve">a. 1 cells (11.1%) have expected </w:t>
            </w:r>
            <w:r w:rsidR="00F03C9C" w:rsidRPr="00CF31E0">
              <w:rPr>
                <w:rFonts w:asciiTheme="majorBidi" w:eastAsia="Calibri" w:hAnsiTheme="majorBidi" w:cstheme="majorBidi"/>
                <w:color w:val="000000" w:themeColor="text1"/>
                <w:sz w:val="22"/>
                <w:szCs w:val="22"/>
                <w:lang w:eastAsia="en-US"/>
              </w:rPr>
              <w:t>Count</w:t>
            </w:r>
            <w:r w:rsidRPr="00CF31E0">
              <w:rPr>
                <w:rFonts w:asciiTheme="majorBidi" w:eastAsia="Calibri" w:hAnsiTheme="majorBidi" w:cstheme="majorBidi"/>
                <w:color w:val="000000" w:themeColor="text1"/>
                <w:sz w:val="22"/>
                <w:szCs w:val="22"/>
                <w:lang w:eastAsia="en-US"/>
              </w:rPr>
              <w:t xml:space="preserve"> less than 5. The minimum expected </w:t>
            </w:r>
            <w:r w:rsidR="00F03C9C" w:rsidRPr="00CF31E0">
              <w:rPr>
                <w:rFonts w:asciiTheme="majorBidi" w:eastAsia="Calibri" w:hAnsiTheme="majorBidi" w:cstheme="majorBidi"/>
                <w:color w:val="000000" w:themeColor="text1"/>
                <w:sz w:val="22"/>
                <w:szCs w:val="22"/>
                <w:lang w:eastAsia="en-US"/>
              </w:rPr>
              <w:t>Count</w:t>
            </w:r>
            <w:r w:rsidRPr="00CF31E0">
              <w:rPr>
                <w:rFonts w:asciiTheme="majorBidi" w:eastAsia="Calibri" w:hAnsiTheme="majorBidi" w:cstheme="majorBidi"/>
                <w:color w:val="000000" w:themeColor="text1"/>
                <w:sz w:val="22"/>
                <w:szCs w:val="22"/>
                <w:lang w:eastAsia="en-US"/>
              </w:rPr>
              <w:t xml:space="preserve"> is 3.50.</w:t>
            </w:r>
          </w:p>
        </w:tc>
      </w:tr>
    </w:tbl>
    <w:p w14:paraId="25C08782" w14:textId="192DA8AE" w:rsidR="00A23C2A" w:rsidRPr="00CF31E0" w:rsidRDefault="00A23C2A" w:rsidP="00730917">
      <w:pPr>
        <w:pStyle w:val="Tablecaption"/>
      </w:pPr>
      <w:bookmarkStart w:id="399" w:name="_Toc522527413"/>
      <w:bookmarkStart w:id="400" w:name="_Toc522628825"/>
      <w:bookmarkStart w:id="401" w:name="_Toc522628989"/>
      <w:bookmarkStart w:id="402" w:name="_Toc6473086"/>
      <w:r w:rsidRPr="00CF31E0">
        <w:t xml:space="preserve">Table </w:t>
      </w:r>
      <w:r w:rsidR="00116DBE" w:rsidRPr="00CF31E0">
        <w:t>7</w:t>
      </w:r>
      <w:r w:rsidR="00D12517" w:rsidRPr="00CF31E0">
        <w:t>.</w:t>
      </w:r>
      <w:r w:rsidRPr="00CF31E0">
        <w:t>9: Chi-square test results for mother’s social group demographic variable.</w:t>
      </w:r>
      <w:bookmarkEnd w:id="399"/>
      <w:bookmarkEnd w:id="400"/>
      <w:bookmarkEnd w:id="401"/>
      <w:bookmarkEnd w:id="402"/>
    </w:p>
    <w:p w14:paraId="3DC0BD38" w14:textId="7537798D" w:rsidR="00A23C2A" w:rsidRPr="00CF31E0" w:rsidRDefault="00A23C2A" w:rsidP="00603CB7">
      <w:pPr>
        <w:pStyle w:val="Paragraph"/>
        <w:spacing w:after="0"/>
      </w:pPr>
      <w:r w:rsidRPr="00CF31E0">
        <w:t xml:space="preserve">As can be seen from the table footnote in Table </w:t>
      </w:r>
      <w:r w:rsidR="00116DBE" w:rsidRPr="00CF31E0">
        <w:t>7</w:t>
      </w:r>
      <w:r w:rsidR="00D12517" w:rsidRPr="00CF31E0">
        <w:t>.</w:t>
      </w:r>
      <w:r w:rsidRPr="00CF31E0">
        <w:t xml:space="preserve">9, only one cell has an expected </w:t>
      </w:r>
      <w:r w:rsidR="00F03C9C" w:rsidRPr="00CF31E0">
        <w:t>Count</w:t>
      </w:r>
      <w:r w:rsidRPr="00CF31E0">
        <w:t xml:space="preserve"> less than 5. However, the assumption is not violated. Pallant (2013) suggests that if more than 25% of cells have an expected </w:t>
      </w:r>
      <w:r w:rsidR="00F03C9C" w:rsidRPr="00CF31E0">
        <w:t>Count</w:t>
      </w:r>
      <w:r w:rsidRPr="00CF31E0">
        <w:t xml:space="preserve"> less than 5, then the assumption will be violated. In the above results, only one cell violates the assumption with a percentage of 11.1%. The Pearson chi-square test revealed a significant p value of p&lt;.001. See Table </w:t>
      </w:r>
      <w:r w:rsidR="00116DBE" w:rsidRPr="00CF31E0">
        <w:t>7</w:t>
      </w:r>
      <w:r w:rsidR="00D12517" w:rsidRPr="00CF31E0">
        <w:t>.</w:t>
      </w:r>
      <w:r w:rsidRPr="00CF31E0">
        <w:t xml:space="preserve">10 for a breakdown of the results.  </w:t>
      </w:r>
    </w:p>
    <w:p w14:paraId="25691A3C" w14:textId="77777777" w:rsidR="005D425C" w:rsidRPr="00CF31E0" w:rsidRDefault="005D425C" w:rsidP="00603CB7">
      <w:pPr>
        <w:pStyle w:val="Paragraph"/>
        <w:spacing w:after="0"/>
      </w:pPr>
    </w:p>
    <w:p w14:paraId="785002EA" w14:textId="77777777" w:rsidR="005D425C" w:rsidRPr="00CF31E0" w:rsidRDefault="005D425C" w:rsidP="00603CB7">
      <w:pPr>
        <w:pStyle w:val="Paragraph"/>
        <w:spacing w:after="0"/>
      </w:pPr>
    </w:p>
    <w:p w14:paraId="497B4368" w14:textId="77777777" w:rsidR="00330B2A" w:rsidRPr="00CF31E0" w:rsidRDefault="00330B2A" w:rsidP="00603CB7">
      <w:pPr>
        <w:pStyle w:val="Paragraph"/>
        <w:spacing w:after="0"/>
      </w:pPr>
    </w:p>
    <w:p w14:paraId="60639DA9" w14:textId="77777777" w:rsidR="00330B2A" w:rsidRPr="00CF31E0" w:rsidRDefault="00330B2A" w:rsidP="00603CB7">
      <w:pPr>
        <w:pStyle w:val="Paragraph"/>
        <w:spacing w:after="0"/>
      </w:pPr>
    </w:p>
    <w:tbl>
      <w:tblPr>
        <w:tblW w:w="7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08"/>
        <w:gridCol w:w="1843"/>
        <w:gridCol w:w="709"/>
        <w:gridCol w:w="850"/>
        <w:gridCol w:w="1701"/>
        <w:gridCol w:w="851"/>
      </w:tblGrid>
      <w:tr w:rsidR="006725F4" w:rsidRPr="00CF31E0" w14:paraId="5EF342BA" w14:textId="77777777" w:rsidTr="00603CB7">
        <w:trPr>
          <w:cantSplit/>
        </w:trPr>
        <w:tc>
          <w:tcPr>
            <w:tcW w:w="3549" w:type="dxa"/>
            <w:gridSpan w:val="3"/>
            <w:vMerge w:val="restart"/>
            <w:shd w:val="clear" w:color="auto" w:fill="FFFFFF"/>
            <w:vAlign w:val="bottom"/>
          </w:tcPr>
          <w:p w14:paraId="0012DDBD" w14:textId="77777777" w:rsidR="00012E0B" w:rsidRPr="00CF31E0" w:rsidRDefault="00012E0B" w:rsidP="00460631">
            <w:pPr>
              <w:widowControl w:val="0"/>
              <w:autoSpaceDE w:val="0"/>
              <w:autoSpaceDN w:val="0"/>
              <w:adjustRightInd w:val="0"/>
              <w:rPr>
                <w:rFonts w:asciiTheme="majorBidi" w:hAnsiTheme="majorBidi" w:cstheme="majorBidi"/>
                <w:color w:val="000000" w:themeColor="text1"/>
                <w:sz w:val="22"/>
                <w:szCs w:val="22"/>
                <w:lang w:eastAsia="en-US"/>
              </w:rPr>
            </w:pPr>
          </w:p>
        </w:tc>
        <w:tc>
          <w:tcPr>
            <w:tcW w:w="3260" w:type="dxa"/>
            <w:gridSpan w:val="3"/>
            <w:shd w:val="clear" w:color="auto" w:fill="FFFFFF"/>
            <w:vAlign w:val="bottom"/>
          </w:tcPr>
          <w:p w14:paraId="6ED14265" w14:textId="5EA7509F" w:rsidR="00012E0B" w:rsidRPr="00CF31E0" w:rsidRDefault="00FC52C2"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xml:space="preserve">The dominant dialect in Hijaz </w:t>
            </w:r>
            <w:r w:rsidR="00012E0B" w:rsidRPr="00CF31E0">
              <w:rPr>
                <w:rFonts w:asciiTheme="majorBidi" w:hAnsiTheme="majorBidi" w:cstheme="majorBidi"/>
                <w:color w:val="000000" w:themeColor="text1"/>
                <w:sz w:val="22"/>
                <w:szCs w:val="22"/>
                <w:lang w:eastAsia="en-US"/>
              </w:rPr>
              <w:t>is</w:t>
            </w:r>
          </w:p>
        </w:tc>
        <w:tc>
          <w:tcPr>
            <w:tcW w:w="851" w:type="dxa"/>
            <w:vMerge w:val="restart"/>
            <w:shd w:val="clear" w:color="auto" w:fill="FFFFFF"/>
            <w:vAlign w:val="bottom"/>
          </w:tcPr>
          <w:p w14:paraId="6CED195F"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Total</w:t>
            </w:r>
          </w:p>
        </w:tc>
      </w:tr>
      <w:tr w:rsidR="00460631" w:rsidRPr="00CF31E0" w14:paraId="0C3DD723" w14:textId="77777777" w:rsidTr="00460631">
        <w:trPr>
          <w:cantSplit/>
        </w:trPr>
        <w:tc>
          <w:tcPr>
            <w:tcW w:w="3549" w:type="dxa"/>
            <w:gridSpan w:val="3"/>
            <w:vMerge/>
            <w:shd w:val="clear" w:color="auto" w:fill="FFFFFF"/>
            <w:vAlign w:val="bottom"/>
          </w:tcPr>
          <w:p w14:paraId="3553C518" w14:textId="77777777" w:rsidR="00012E0B" w:rsidRPr="00CF31E0" w:rsidRDefault="00012E0B" w:rsidP="00460631">
            <w:pPr>
              <w:widowControl w:val="0"/>
              <w:autoSpaceDE w:val="0"/>
              <w:autoSpaceDN w:val="0"/>
              <w:adjustRightInd w:val="0"/>
              <w:rPr>
                <w:rFonts w:asciiTheme="majorBidi" w:hAnsiTheme="majorBidi" w:cstheme="majorBidi"/>
                <w:color w:val="000000" w:themeColor="text1"/>
                <w:sz w:val="22"/>
                <w:szCs w:val="22"/>
                <w:lang w:eastAsia="en-US"/>
              </w:rPr>
            </w:pPr>
          </w:p>
        </w:tc>
        <w:tc>
          <w:tcPr>
            <w:tcW w:w="709" w:type="dxa"/>
            <w:shd w:val="clear" w:color="auto" w:fill="FFFFFF"/>
            <w:vAlign w:val="bottom"/>
          </w:tcPr>
          <w:p w14:paraId="69BCF64B" w14:textId="27A70958" w:rsidR="00012E0B" w:rsidRPr="00CF31E0" w:rsidRDefault="00F44566"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UBH</w:t>
            </w:r>
          </w:p>
        </w:tc>
        <w:tc>
          <w:tcPr>
            <w:tcW w:w="850" w:type="dxa"/>
            <w:shd w:val="clear" w:color="auto" w:fill="FFFFFF"/>
            <w:vAlign w:val="bottom"/>
          </w:tcPr>
          <w:p w14:paraId="11418D84" w14:textId="7EAB85DF" w:rsidR="00012E0B" w:rsidRPr="00CF31E0" w:rsidRDefault="00F44566"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HH</w:t>
            </w:r>
          </w:p>
        </w:tc>
        <w:tc>
          <w:tcPr>
            <w:tcW w:w="1701" w:type="dxa"/>
            <w:shd w:val="clear" w:color="auto" w:fill="FFFFFF"/>
            <w:vAlign w:val="bottom"/>
          </w:tcPr>
          <w:p w14:paraId="1ADEB482" w14:textId="77777777" w:rsidR="00012E0B" w:rsidRPr="00CF31E0" w:rsidRDefault="00012E0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No dominant</w:t>
            </w:r>
          </w:p>
        </w:tc>
        <w:tc>
          <w:tcPr>
            <w:tcW w:w="851" w:type="dxa"/>
            <w:vMerge/>
            <w:shd w:val="clear" w:color="auto" w:fill="FFFFFF"/>
            <w:vAlign w:val="bottom"/>
          </w:tcPr>
          <w:p w14:paraId="6CBF9180" w14:textId="77777777" w:rsidR="00012E0B" w:rsidRPr="00CF31E0" w:rsidRDefault="00012E0B" w:rsidP="00603CB7">
            <w:pPr>
              <w:widowControl w:val="0"/>
              <w:autoSpaceDE w:val="0"/>
              <w:autoSpaceDN w:val="0"/>
              <w:adjustRightInd w:val="0"/>
              <w:jc w:val="right"/>
              <w:rPr>
                <w:rFonts w:asciiTheme="majorBidi" w:hAnsiTheme="majorBidi" w:cstheme="majorBidi"/>
                <w:color w:val="000000" w:themeColor="text1"/>
                <w:sz w:val="22"/>
                <w:szCs w:val="22"/>
                <w:lang w:eastAsia="en-US"/>
              </w:rPr>
            </w:pPr>
          </w:p>
        </w:tc>
      </w:tr>
      <w:tr w:rsidR="00460631" w:rsidRPr="00CF31E0" w14:paraId="47E8289F" w14:textId="77777777" w:rsidTr="00603CB7">
        <w:trPr>
          <w:cantSplit/>
        </w:trPr>
        <w:tc>
          <w:tcPr>
            <w:tcW w:w="998" w:type="dxa"/>
            <w:vMerge w:val="restart"/>
            <w:shd w:val="clear" w:color="auto" w:fill="FFFFFF"/>
          </w:tcPr>
          <w:p w14:paraId="3B73021A" w14:textId="59C3351C" w:rsidR="00012E0B" w:rsidRPr="00CF31E0" w:rsidRDefault="00012E0B" w:rsidP="00460631">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Mother</w:t>
            </w:r>
            <w:r w:rsidR="00F44566" w:rsidRPr="00CF31E0">
              <w:rPr>
                <w:rFonts w:asciiTheme="majorBidi" w:hAnsiTheme="majorBidi" w:cstheme="majorBidi"/>
                <w:color w:val="000000" w:themeColor="text1"/>
                <w:sz w:val="22"/>
                <w:szCs w:val="22"/>
                <w:lang w:eastAsia="en-US"/>
              </w:rPr>
              <w:t xml:space="preserve">’s social </w:t>
            </w:r>
            <w:r w:rsidRPr="00CF31E0">
              <w:rPr>
                <w:rFonts w:asciiTheme="majorBidi" w:hAnsiTheme="majorBidi" w:cstheme="majorBidi"/>
                <w:color w:val="000000" w:themeColor="text1"/>
                <w:sz w:val="22"/>
                <w:szCs w:val="22"/>
                <w:lang w:eastAsia="en-US"/>
              </w:rPr>
              <w:t>group</w:t>
            </w:r>
          </w:p>
        </w:tc>
        <w:tc>
          <w:tcPr>
            <w:tcW w:w="708" w:type="dxa"/>
            <w:vMerge w:val="restart"/>
            <w:shd w:val="clear" w:color="auto" w:fill="FFFFFF"/>
          </w:tcPr>
          <w:p w14:paraId="4624759D" w14:textId="721A6858" w:rsidR="00012E0B" w:rsidRPr="00CF31E0" w:rsidRDefault="00F44566" w:rsidP="00460631">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U</w:t>
            </w:r>
            <w:r w:rsidR="00FC52C2" w:rsidRPr="00CF31E0">
              <w:rPr>
                <w:rFonts w:asciiTheme="majorBidi" w:hAnsiTheme="majorBidi" w:cstheme="majorBidi"/>
                <w:color w:val="000000" w:themeColor="text1"/>
                <w:sz w:val="22"/>
                <w:szCs w:val="22"/>
                <w:lang w:eastAsia="en-US"/>
              </w:rPr>
              <w:t>BH</w:t>
            </w:r>
          </w:p>
        </w:tc>
        <w:tc>
          <w:tcPr>
            <w:tcW w:w="1843" w:type="dxa"/>
            <w:shd w:val="clear" w:color="auto" w:fill="FFFFFF"/>
          </w:tcPr>
          <w:p w14:paraId="7FC0DD86" w14:textId="7A005475" w:rsidR="00012E0B" w:rsidRPr="00CF31E0" w:rsidRDefault="00FC52C2" w:rsidP="00460631">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Raw frequency</w:t>
            </w:r>
          </w:p>
        </w:tc>
        <w:tc>
          <w:tcPr>
            <w:tcW w:w="709" w:type="dxa"/>
            <w:shd w:val="clear" w:color="auto" w:fill="FFFFFF"/>
            <w:vAlign w:val="center"/>
          </w:tcPr>
          <w:p w14:paraId="24FF678D"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93</w:t>
            </w:r>
          </w:p>
        </w:tc>
        <w:tc>
          <w:tcPr>
            <w:tcW w:w="850" w:type="dxa"/>
            <w:shd w:val="clear" w:color="auto" w:fill="FFFFFF"/>
            <w:vAlign w:val="center"/>
          </w:tcPr>
          <w:p w14:paraId="75344816"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125</w:t>
            </w:r>
          </w:p>
        </w:tc>
        <w:tc>
          <w:tcPr>
            <w:tcW w:w="1701" w:type="dxa"/>
            <w:shd w:val="clear" w:color="auto" w:fill="FFFFFF"/>
            <w:vAlign w:val="center"/>
          </w:tcPr>
          <w:p w14:paraId="71BE7936"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93</w:t>
            </w:r>
          </w:p>
        </w:tc>
        <w:tc>
          <w:tcPr>
            <w:tcW w:w="851" w:type="dxa"/>
            <w:shd w:val="clear" w:color="auto" w:fill="FFFFFF"/>
            <w:vAlign w:val="center"/>
          </w:tcPr>
          <w:p w14:paraId="333D0B52"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311</w:t>
            </w:r>
          </w:p>
        </w:tc>
      </w:tr>
      <w:tr w:rsidR="00460631" w:rsidRPr="00CF31E0" w14:paraId="2A441360" w14:textId="77777777" w:rsidTr="00603CB7">
        <w:trPr>
          <w:cantSplit/>
        </w:trPr>
        <w:tc>
          <w:tcPr>
            <w:tcW w:w="998" w:type="dxa"/>
            <w:vMerge/>
            <w:shd w:val="clear" w:color="auto" w:fill="FFFFFF"/>
          </w:tcPr>
          <w:p w14:paraId="306B41D1" w14:textId="77777777" w:rsidR="00012E0B" w:rsidRPr="00CF31E0" w:rsidRDefault="00012E0B" w:rsidP="00460631">
            <w:pPr>
              <w:widowControl w:val="0"/>
              <w:autoSpaceDE w:val="0"/>
              <w:autoSpaceDN w:val="0"/>
              <w:adjustRightInd w:val="0"/>
              <w:rPr>
                <w:rFonts w:asciiTheme="majorBidi" w:hAnsiTheme="majorBidi" w:cstheme="majorBidi"/>
                <w:color w:val="000000" w:themeColor="text1"/>
                <w:sz w:val="22"/>
                <w:szCs w:val="22"/>
                <w:lang w:eastAsia="en-US"/>
              </w:rPr>
            </w:pPr>
          </w:p>
        </w:tc>
        <w:tc>
          <w:tcPr>
            <w:tcW w:w="708" w:type="dxa"/>
            <w:vMerge/>
            <w:shd w:val="clear" w:color="auto" w:fill="FFFFFF"/>
          </w:tcPr>
          <w:p w14:paraId="1DC8B18A" w14:textId="77777777" w:rsidR="00012E0B" w:rsidRPr="00CF31E0" w:rsidRDefault="00012E0B" w:rsidP="00460631">
            <w:pPr>
              <w:widowControl w:val="0"/>
              <w:autoSpaceDE w:val="0"/>
              <w:autoSpaceDN w:val="0"/>
              <w:adjustRightInd w:val="0"/>
              <w:rPr>
                <w:rFonts w:asciiTheme="majorBidi" w:hAnsiTheme="majorBidi" w:cstheme="majorBidi"/>
                <w:color w:val="000000" w:themeColor="text1"/>
                <w:sz w:val="22"/>
                <w:szCs w:val="22"/>
                <w:lang w:eastAsia="en-US"/>
              </w:rPr>
            </w:pPr>
          </w:p>
        </w:tc>
        <w:tc>
          <w:tcPr>
            <w:tcW w:w="1843" w:type="dxa"/>
            <w:shd w:val="clear" w:color="auto" w:fill="FFFFFF"/>
          </w:tcPr>
          <w:p w14:paraId="374FC0F8" w14:textId="004674FE" w:rsidR="00012E0B" w:rsidRPr="00CF31E0" w:rsidRDefault="00F44566" w:rsidP="00460631">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within m</w:t>
            </w:r>
            <w:r w:rsidR="00012E0B" w:rsidRPr="00CF31E0">
              <w:rPr>
                <w:rFonts w:asciiTheme="majorBidi" w:hAnsiTheme="majorBidi" w:cstheme="majorBidi"/>
                <w:color w:val="000000" w:themeColor="text1"/>
                <w:sz w:val="22"/>
                <w:szCs w:val="22"/>
                <w:lang w:eastAsia="en-US"/>
              </w:rPr>
              <w:t>other</w:t>
            </w:r>
            <w:r w:rsidRPr="00CF31E0">
              <w:rPr>
                <w:rFonts w:asciiTheme="majorBidi" w:hAnsiTheme="majorBidi" w:cstheme="majorBidi"/>
                <w:color w:val="000000" w:themeColor="text1"/>
                <w:sz w:val="22"/>
                <w:szCs w:val="22"/>
                <w:lang w:eastAsia="en-US"/>
              </w:rPr>
              <w:t xml:space="preserve">’s social </w:t>
            </w:r>
            <w:r w:rsidR="00012E0B" w:rsidRPr="00CF31E0">
              <w:rPr>
                <w:rFonts w:asciiTheme="majorBidi" w:hAnsiTheme="majorBidi" w:cstheme="majorBidi"/>
                <w:color w:val="000000" w:themeColor="text1"/>
                <w:sz w:val="22"/>
                <w:szCs w:val="22"/>
                <w:lang w:eastAsia="en-US"/>
              </w:rPr>
              <w:t>group</w:t>
            </w:r>
          </w:p>
        </w:tc>
        <w:tc>
          <w:tcPr>
            <w:tcW w:w="709" w:type="dxa"/>
            <w:shd w:val="clear" w:color="auto" w:fill="FFFFFF"/>
            <w:vAlign w:val="center"/>
          </w:tcPr>
          <w:p w14:paraId="09AAA8AA"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29.9%</w:t>
            </w:r>
          </w:p>
        </w:tc>
        <w:tc>
          <w:tcPr>
            <w:tcW w:w="850" w:type="dxa"/>
            <w:shd w:val="clear" w:color="auto" w:fill="FFFFFF"/>
            <w:vAlign w:val="center"/>
          </w:tcPr>
          <w:p w14:paraId="73152891"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40.2%</w:t>
            </w:r>
          </w:p>
        </w:tc>
        <w:tc>
          <w:tcPr>
            <w:tcW w:w="1701" w:type="dxa"/>
            <w:shd w:val="clear" w:color="auto" w:fill="FFFFFF"/>
            <w:vAlign w:val="center"/>
          </w:tcPr>
          <w:p w14:paraId="0DC24654"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29.9%</w:t>
            </w:r>
          </w:p>
        </w:tc>
        <w:tc>
          <w:tcPr>
            <w:tcW w:w="851" w:type="dxa"/>
            <w:shd w:val="clear" w:color="auto" w:fill="FFFFFF"/>
            <w:vAlign w:val="center"/>
          </w:tcPr>
          <w:p w14:paraId="7110BD89"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100.0%</w:t>
            </w:r>
          </w:p>
        </w:tc>
      </w:tr>
      <w:tr w:rsidR="00460631" w:rsidRPr="00CF31E0" w14:paraId="42A8C579" w14:textId="77777777" w:rsidTr="00603CB7">
        <w:trPr>
          <w:cantSplit/>
        </w:trPr>
        <w:tc>
          <w:tcPr>
            <w:tcW w:w="998" w:type="dxa"/>
            <w:vMerge/>
            <w:shd w:val="clear" w:color="auto" w:fill="FFFFFF"/>
          </w:tcPr>
          <w:p w14:paraId="40CC9679" w14:textId="77777777" w:rsidR="00012E0B" w:rsidRPr="00CF31E0" w:rsidRDefault="00012E0B" w:rsidP="00460631">
            <w:pPr>
              <w:widowControl w:val="0"/>
              <w:autoSpaceDE w:val="0"/>
              <w:autoSpaceDN w:val="0"/>
              <w:adjustRightInd w:val="0"/>
              <w:rPr>
                <w:rFonts w:asciiTheme="majorBidi" w:hAnsiTheme="majorBidi" w:cstheme="majorBidi"/>
                <w:color w:val="000000" w:themeColor="text1"/>
                <w:sz w:val="22"/>
                <w:szCs w:val="22"/>
                <w:lang w:eastAsia="en-US"/>
              </w:rPr>
            </w:pPr>
          </w:p>
        </w:tc>
        <w:tc>
          <w:tcPr>
            <w:tcW w:w="708" w:type="dxa"/>
            <w:vMerge/>
            <w:shd w:val="clear" w:color="auto" w:fill="FFFFFF"/>
          </w:tcPr>
          <w:p w14:paraId="03B5668B" w14:textId="77777777" w:rsidR="00012E0B" w:rsidRPr="00CF31E0" w:rsidRDefault="00012E0B" w:rsidP="00460631">
            <w:pPr>
              <w:widowControl w:val="0"/>
              <w:autoSpaceDE w:val="0"/>
              <w:autoSpaceDN w:val="0"/>
              <w:adjustRightInd w:val="0"/>
              <w:rPr>
                <w:rFonts w:asciiTheme="majorBidi" w:hAnsiTheme="majorBidi" w:cstheme="majorBidi"/>
                <w:color w:val="000000" w:themeColor="text1"/>
                <w:sz w:val="22"/>
                <w:szCs w:val="22"/>
                <w:lang w:eastAsia="en-US"/>
              </w:rPr>
            </w:pPr>
          </w:p>
        </w:tc>
        <w:tc>
          <w:tcPr>
            <w:tcW w:w="1843" w:type="dxa"/>
            <w:shd w:val="clear" w:color="auto" w:fill="FFFFFF"/>
          </w:tcPr>
          <w:p w14:paraId="612B9A04" w14:textId="77777777" w:rsidR="00012E0B" w:rsidRPr="00CF31E0" w:rsidRDefault="00012E0B" w:rsidP="00460631">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of Total</w:t>
            </w:r>
          </w:p>
        </w:tc>
        <w:tc>
          <w:tcPr>
            <w:tcW w:w="709" w:type="dxa"/>
            <w:shd w:val="clear" w:color="auto" w:fill="FFFFFF"/>
            <w:vAlign w:val="center"/>
          </w:tcPr>
          <w:p w14:paraId="60C07C25"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14.4%</w:t>
            </w:r>
          </w:p>
        </w:tc>
        <w:tc>
          <w:tcPr>
            <w:tcW w:w="850" w:type="dxa"/>
            <w:shd w:val="clear" w:color="auto" w:fill="FFFFFF"/>
            <w:vAlign w:val="center"/>
          </w:tcPr>
          <w:p w14:paraId="53677879"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19.3%</w:t>
            </w:r>
          </w:p>
        </w:tc>
        <w:tc>
          <w:tcPr>
            <w:tcW w:w="1701" w:type="dxa"/>
            <w:shd w:val="clear" w:color="auto" w:fill="FFFFFF"/>
            <w:vAlign w:val="center"/>
          </w:tcPr>
          <w:p w14:paraId="43859C6A"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14.4%</w:t>
            </w:r>
          </w:p>
        </w:tc>
        <w:tc>
          <w:tcPr>
            <w:tcW w:w="851" w:type="dxa"/>
            <w:shd w:val="clear" w:color="auto" w:fill="FFFFFF"/>
            <w:vAlign w:val="center"/>
          </w:tcPr>
          <w:p w14:paraId="77CE5BE8"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48.0%</w:t>
            </w:r>
          </w:p>
        </w:tc>
      </w:tr>
      <w:tr w:rsidR="00460631" w:rsidRPr="00CF31E0" w14:paraId="11896096" w14:textId="77777777" w:rsidTr="00603CB7">
        <w:trPr>
          <w:cantSplit/>
        </w:trPr>
        <w:tc>
          <w:tcPr>
            <w:tcW w:w="998" w:type="dxa"/>
            <w:vMerge/>
            <w:shd w:val="clear" w:color="auto" w:fill="FFFFFF"/>
          </w:tcPr>
          <w:p w14:paraId="5FAC85E7" w14:textId="77777777" w:rsidR="00012E0B" w:rsidRPr="00CF31E0" w:rsidRDefault="00012E0B" w:rsidP="00460631">
            <w:pPr>
              <w:widowControl w:val="0"/>
              <w:autoSpaceDE w:val="0"/>
              <w:autoSpaceDN w:val="0"/>
              <w:adjustRightInd w:val="0"/>
              <w:rPr>
                <w:rFonts w:asciiTheme="majorBidi" w:hAnsiTheme="majorBidi" w:cstheme="majorBidi"/>
                <w:color w:val="000000" w:themeColor="text1"/>
                <w:sz w:val="22"/>
                <w:szCs w:val="22"/>
                <w:lang w:eastAsia="en-US"/>
              </w:rPr>
            </w:pPr>
          </w:p>
        </w:tc>
        <w:tc>
          <w:tcPr>
            <w:tcW w:w="708" w:type="dxa"/>
            <w:vMerge w:val="restart"/>
            <w:shd w:val="clear" w:color="auto" w:fill="FFFFFF"/>
          </w:tcPr>
          <w:p w14:paraId="7899CBAD" w14:textId="5F99B6F3" w:rsidR="00012E0B" w:rsidRPr="00CF31E0" w:rsidRDefault="00F44566" w:rsidP="00460631">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HH</w:t>
            </w:r>
          </w:p>
        </w:tc>
        <w:tc>
          <w:tcPr>
            <w:tcW w:w="1843" w:type="dxa"/>
            <w:shd w:val="clear" w:color="auto" w:fill="FFFFFF"/>
          </w:tcPr>
          <w:p w14:paraId="3F27A71B" w14:textId="6DE7E0B8" w:rsidR="00012E0B" w:rsidRPr="00CF31E0" w:rsidRDefault="00FC52C2" w:rsidP="00460631">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Raw frequency</w:t>
            </w:r>
          </w:p>
        </w:tc>
        <w:tc>
          <w:tcPr>
            <w:tcW w:w="709" w:type="dxa"/>
            <w:shd w:val="clear" w:color="auto" w:fill="FFFFFF"/>
            <w:vAlign w:val="center"/>
          </w:tcPr>
          <w:p w14:paraId="6F428901"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13</w:t>
            </w:r>
          </w:p>
        </w:tc>
        <w:tc>
          <w:tcPr>
            <w:tcW w:w="850" w:type="dxa"/>
            <w:shd w:val="clear" w:color="auto" w:fill="FFFFFF"/>
            <w:vAlign w:val="center"/>
          </w:tcPr>
          <w:p w14:paraId="668ECF2A"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162</w:t>
            </w:r>
          </w:p>
        </w:tc>
        <w:tc>
          <w:tcPr>
            <w:tcW w:w="1701" w:type="dxa"/>
            <w:shd w:val="clear" w:color="auto" w:fill="FFFFFF"/>
            <w:vAlign w:val="center"/>
          </w:tcPr>
          <w:p w14:paraId="0FAE7C5E"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141</w:t>
            </w:r>
          </w:p>
        </w:tc>
        <w:tc>
          <w:tcPr>
            <w:tcW w:w="851" w:type="dxa"/>
            <w:shd w:val="clear" w:color="auto" w:fill="FFFFFF"/>
            <w:vAlign w:val="center"/>
          </w:tcPr>
          <w:p w14:paraId="33E5CA29"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316</w:t>
            </w:r>
          </w:p>
        </w:tc>
      </w:tr>
      <w:tr w:rsidR="00460631" w:rsidRPr="00CF31E0" w14:paraId="0E71AB95" w14:textId="77777777" w:rsidTr="00603CB7">
        <w:trPr>
          <w:cantSplit/>
        </w:trPr>
        <w:tc>
          <w:tcPr>
            <w:tcW w:w="998" w:type="dxa"/>
            <w:vMerge/>
            <w:shd w:val="clear" w:color="auto" w:fill="FFFFFF"/>
          </w:tcPr>
          <w:p w14:paraId="5E4B1E3A" w14:textId="77777777" w:rsidR="00012E0B" w:rsidRPr="00CF31E0" w:rsidRDefault="00012E0B" w:rsidP="00460631">
            <w:pPr>
              <w:widowControl w:val="0"/>
              <w:autoSpaceDE w:val="0"/>
              <w:autoSpaceDN w:val="0"/>
              <w:adjustRightInd w:val="0"/>
              <w:rPr>
                <w:rFonts w:asciiTheme="majorBidi" w:hAnsiTheme="majorBidi" w:cstheme="majorBidi"/>
                <w:color w:val="000000" w:themeColor="text1"/>
                <w:sz w:val="22"/>
                <w:szCs w:val="22"/>
                <w:lang w:eastAsia="en-US"/>
              </w:rPr>
            </w:pPr>
          </w:p>
        </w:tc>
        <w:tc>
          <w:tcPr>
            <w:tcW w:w="708" w:type="dxa"/>
            <w:vMerge/>
            <w:shd w:val="clear" w:color="auto" w:fill="FFFFFF"/>
          </w:tcPr>
          <w:p w14:paraId="02D378B5" w14:textId="77777777" w:rsidR="00012E0B" w:rsidRPr="00CF31E0" w:rsidRDefault="00012E0B" w:rsidP="00460631">
            <w:pPr>
              <w:widowControl w:val="0"/>
              <w:autoSpaceDE w:val="0"/>
              <w:autoSpaceDN w:val="0"/>
              <w:adjustRightInd w:val="0"/>
              <w:rPr>
                <w:rFonts w:asciiTheme="majorBidi" w:hAnsiTheme="majorBidi" w:cstheme="majorBidi"/>
                <w:color w:val="000000" w:themeColor="text1"/>
                <w:sz w:val="22"/>
                <w:szCs w:val="22"/>
                <w:lang w:eastAsia="en-US"/>
              </w:rPr>
            </w:pPr>
          </w:p>
        </w:tc>
        <w:tc>
          <w:tcPr>
            <w:tcW w:w="1843" w:type="dxa"/>
            <w:shd w:val="clear" w:color="auto" w:fill="FFFFFF"/>
          </w:tcPr>
          <w:p w14:paraId="05CA5EDF" w14:textId="295A37A4" w:rsidR="00012E0B" w:rsidRPr="00CF31E0" w:rsidRDefault="00F44566" w:rsidP="00460631">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within m</w:t>
            </w:r>
            <w:r w:rsidR="00012E0B" w:rsidRPr="00CF31E0">
              <w:rPr>
                <w:rFonts w:asciiTheme="majorBidi" w:hAnsiTheme="majorBidi" w:cstheme="majorBidi"/>
                <w:color w:val="000000" w:themeColor="text1"/>
                <w:sz w:val="22"/>
                <w:szCs w:val="22"/>
                <w:lang w:eastAsia="en-US"/>
              </w:rPr>
              <w:t>other</w:t>
            </w:r>
            <w:r w:rsidRPr="00CF31E0">
              <w:rPr>
                <w:rFonts w:asciiTheme="majorBidi" w:hAnsiTheme="majorBidi" w:cstheme="majorBidi"/>
                <w:color w:val="000000" w:themeColor="text1"/>
                <w:sz w:val="22"/>
                <w:szCs w:val="22"/>
                <w:lang w:eastAsia="en-US"/>
              </w:rPr>
              <w:t xml:space="preserve">’s social </w:t>
            </w:r>
            <w:r w:rsidR="00012E0B" w:rsidRPr="00CF31E0">
              <w:rPr>
                <w:rFonts w:asciiTheme="majorBidi" w:hAnsiTheme="majorBidi" w:cstheme="majorBidi"/>
                <w:color w:val="000000" w:themeColor="text1"/>
                <w:sz w:val="22"/>
                <w:szCs w:val="22"/>
                <w:lang w:eastAsia="en-US"/>
              </w:rPr>
              <w:t>group</w:t>
            </w:r>
          </w:p>
        </w:tc>
        <w:tc>
          <w:tcPr>
            <w:tcW w:w="709" w:type="dxa"/>
            <w:shd w:val="clear" w:color="auto" w:fill="FFFFFF"/>
            <w:vAlign w:val="center"/>
          </w:tcPr>
          <w:p w14:paraId="3FA63D72"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4.1%</w:t>
            </w:r>
          </w:p>
        </w:tc>
        <w:tc>
          <w:tcPr>
            <w:tcW w:w="850" w:type="dxa"/>
            <w:shd w:val="clear" w:color="auto" w:fill="FFFFFF"/>
            <w:vAlign w:val="center"/>
          </w:tcPr>
          <w:p w14:paraId="6790243B"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51.3%</w:t>
            </w:r>
          </w:p>
        </w:tc>
        <w:tc>
          <w:tcPr>
            <w:tcW w:w="1701" w:type="dxa"/>
            <w:shd w:val="clear" w:color="auto" w:fill="FFFFFF"/>
            <w:vAlign w:val="center"/>
          </w:tcPr>
          <w:p w14:paraId="1FCAD695"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44.6%</w:t>
            </w:r>
          </w:p>
        </w:tc>
        <w:tc>
          <w:tcPr>
            <w:tcW w:w="851" w:type="dxa"/>
            <w:shd w:val="clear" w:color="auto" w:fill="FFFFFF"/>
            <w:vAlign w:val="center"/>
          </w:tcPr>
          <w:p w14:paraId="4396E23A"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100.0%</w:t>
            </w:r>
          </w:p>
        </w:tc>
      </w:tr>
      <w:tr w:rsidR="00460631" w:rsidRPr="00CF31E0" w14:paraId="3838DA64" w14:textId="77777777" w:rsidTr="00603CB7">
        <w:trPr>
          <w:cantSplit/>
        </w:trPr>
        <w:tc>
          <w:tcPr>
            <w:tcW w:w="998" w:type="dxa"/>
            <w:vMerge/>
            <w:shd w:val="clear" w:color="auto" w:fill="FFFFFF"/>
          </w:tcPr>
          <w:p w14:paraId="48D40037" w14:textId="77777777" w:rsidR="00012E0B" w:rsidRPr="00CF31E0" w:rsidRDefault="00012E0B" w:rsidP="00460631">
            <w:pPr>
              <w:widowControl w:val="0"/>
              <w:autoSpaceDE w:val="0"/>
              <w:autoSpaceDN w:val="0"/>
              <w:adjustRightInd w:val="0"/>
              <w:rPr>
                <w:rFonts w:asciiTheme="majorBidi" w:hAnsiTheme="majorBidi" w:cstheme="majorBidi"/>
                <w:color w:val="000000" w:themeColor="text1"/>
                <w:sz w:val="22"/>
                <w:szCs w:val="22"/>
                <w:lang w:eastAsia="en-US"/>
              </w:rPr>
            </w:pPr>
          </w:p>
        </w:tc>
        <w:tc>
          <w:tcPr>
            <w:tcW w:w="708" w:type="dxa"/>
            <w:vMerge/>
            <w:shd w:val="clear" w:color="auto" w:fill="FFFFFF"/>
          </w:tcPr>
          <w:p w14:paraId="081907A4" w14:textId="77777777" w:rsidR="00012E0B" w:rsidRPr="00CF31E0" w:rsidRDefault="00012E0B" w:rsidP="00460631">
            <w:pPr>
              <w:widowControl w:val="0"/>
              <w:autoSpaceDE w:val="0"/>
              <w:autoSpaceDN w:val="0"/>
              <w:adjustRightInd w:val="0"/>
              <w:rPr>
                <w:rFonts w:asciiTheme="majorBidi" w:hAnsiTheme="majorBidi" w:cstheme="majorBidi"/>
                <w:color w:val="000000" w:themeColor="text1"/>
                <w:sz w:val="22"/>
                <w:szCs w:val="22"/>
                <w:lang w:eastAsia="en-US"/>
              </w:rPr>
            </w:pPr>
          </w:p>
        </w:tc>
        <w:tc>
          <w:tcPr>
            <w:tcW w:w="1843" w:type="dxa"/>
            <w:shd w:val="clear" w:color="auto" w:fill="FFFFFF"/>
          </w:tcPr>
          <w:p w14:paraId="4346C0E5" w14:textId="77777777" w:rsidR="00012E0B" w:rsidRPr="00CF31E0" w:rsidRDefault="00012E0B" w:rsidP="00460631">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of Total</w:t>
            </w:r>
          </w:p>
        </w:tc>
        <w:tc>
          <w:tcPr>
            <w:tcW w:w="709" w:type="dxa"/>
            <w:shd w:val="clear" w:color="auto" w:fill="FFFFFF"/>
            <w:vAlign w:val="center"/>
          </w:tcPr>
          <w:p w14:paraId="0C62F260"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2.0%</w:t>
            </w:r>
          </w:p>
        </w:tc>
        <w:tc>
          <w:tcPr>
            <w:tcW w:w="850" w:type="dxa"/>
            <w:shd w:val="clear" w:color="auto" w:fill="FFFFFF"/>
            <w:vAlign w:val="center"/>
          </w:tcPr>
          <w:p w14:paraId="4AF916E7"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25.0%</w:t>
            </w:r>
          </w:p>
        </w:tc>
        <w:tc>
          <w:tcPr>
            <w:tcW w:w="1701" w:type="dxa"/>
            <w:shd w:val="clear" w:color="auto" w:fill="FFFFFF"/>
            <w:vAlign w:val="center"/>
          </w:tcPr>
          <w:p w14:paraId="50F08770"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21.8%</w:t>
            </w:r>
          </w:p>
        </w:tc>
        <w:tc>
          <w:tcPr>
            <w:tcW w:w="851" w:type="dxa"/>
            <w:shd w:val="clear" w:color="auto" w:fill="FFFFFF"/>
            <w:vAlign w:val="center"/>
          </w:tcPr>
          <w:p w14:paraId="3688C6A1"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48.8%</w:t>
            </w:r>
          </w:p>
        </w:tc>
      </w:tr>
      <w:tr w:rsidR="00460631" w:rsidRPr="00CF31E0" w14:paraId="5A8FAE2B" w14:textId="77777777" w:rsidTr="00603CB7">
        <w:trPr>
          <w:cantSplit/>
        </w:trPr>
        <w:tc>
          <w:tcPr>
            <w:tcW w:w="998" w:type="dxa"/>
            <w:vMerge/>
            <w:shd w:val="clear" w:color="auto" w:fill="FFFFFF"/>
          </w:tcPr>
          <w:p w14:paraId="781F083D" w14:textId="77777777" w:rsidR="00012E0B" w:rsidRPr="00CF31E0" w:rsidRDefault="00012E0B" w:rsidP="00460631">
            <w:pPr>
              <w:widowControl w:val="0"/>
              <w:autoSpaceDE w:val="0"/>
              <w:autoSpaceDN w:val="0"/>
              <w:adjustRightInd w:val="0"/>
              <w:rPr>
                <w:rFonts w:asciiTheme="majorBidi" w:hAnsiTheme="majorBidi" w:cstheme="majorBidi"/>
                <w:color w:val="000000" w:themeColor="text1"/>
                <w:sz w:val="22"/>
                <w:szCs w:val="22"/>
                <w:lang w:eastAsia="en-US"/>
              </w:rPr>
            </w:pPr>
          </w:p>
        </w:tc>
        <w:tc>
          <w:tcPr>
            <w:tcW w:w="708" w:type="dxa"/>
            <w:vMerge w:val="restart"/>
            <w:shd w:val="clear" w:color="auto" w:fill="FFFFFF"/>
          </w:tcPr>
          <w:p w14:paraId="598C0B2A" w14:textId="768726C1" w:rsidR="00012E0B" w:rsidRPr="00CF31E0" w:rsidRDefault="00460631" w:rsidP="00460631">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Other</w:t>
            </w:r>
          </w:p>
        </w:tc>
        <w:tc>
          <w:tcPr>
            <w:tcW w:w="1843" w:type="dxa"/>
            <w:shd w:val="clear" w:color="auto" w:fill="FFFFFF"/>
          </w:tcPr>
          <w:p w14:paraId="6C951F99" w14:textId="52E2E34B" w:rsidR="00012E0B" w:rsidRPr="00CF31E0" w:rsidRDefault="00FC52C2" w:rsidP="00460631">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Raw frequency</w:t>
            </w:r>
          </w:p>
        </w:tc>
        <w:tc>
          <w:tcPr>
            <w:tcW w:w="709" w:type="dxa"/>
            <w:shd w:val="clear" w:color="auto" w:fill="FFFFFF"/>
            <w:vAlign w:val="center"/>
          </w:tcPr>
          <w:p w14:paraId="2FEA2C84"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w:t>
            </w:r>
          </w:p>
        </w:tc>
        <w:tc>
          <w:tcPr>
            <w:tcW w:w="850" w:type="dxa"/>
            <w:shd w:val="clear" w:color="auto" w:fill="FFFFFF"/>
            <w:vAlign w:val="center"/>
          </w:tcPr>
          <w:p w14:paraId="45BA8836"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7</w:t>
            </w:r>
          </w:p>
        </w:tc>
        <w:tc>
          <w:tcPr>
            <w:tcW w:w="1701" w:type="dxa"/>
            <w:shd w:val="clear" w:color="auto" w:fill="FFFFFF"/>
            <w:vAlign w:val="center"/>
          </w:tcPr>
          <w:p w14:paraId="20086BAB" w14:textId="76D9141E"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w:t>
            </w:r>
            <w:r w:rsidR="00FC52C2" w:rsidRPr="00CF31E0">
              <w:rPr>
                <w:rFonts w:asciiTheme="majorBidi" w:hAnsiTheme="majorBidi" w:cstheme="majorBidi"/>
                <w:color w:val="000000" w:themeColor="text1"/>
                <w:sz w:val="22"/>
                <w:szCs w:val="22"/>
                <w:lang w:eastAsia="en-US"/>
              </w:rPr>
              <w:t>3</w:t>
            </w:r>
          </w:p>
        </w:tc>
        <w:tc>
          <w:tcPr>
            <w:tcW w:w="851" w:type="dxa"/>
            <w:shd w:val="clear" w:color="auto" w:fill="FFFFFF"/>
            <w:vAlign w:val="center"/>
          </w:tcPr>
          <w:p w14:paraId="7E172FBF" w14:textId="061F14CA"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w:t>
            </w:r>
            <w:r w:rsidR="00FC52C2" w:rsidRPr="00CF31E0">
              <w:rPr>
                <w:rFonts w:asciiTheme="majorBidi" w:hAnsiTheme="majorBidi" w:cstheme="majorBidi"/>
                <w:color w:val="000000" w:themeColor="text1"/>
                <w:sz w:val="22"/>
                <w:szCs w:val="22"/>
                <w:lang w:eastAsia="en-US"/>
              </w:rPr>
              <w:t>2</w:t>
            </w:r>
          </w:p>
        </w:tc>
      </w:tr>
      <w:tr w:rsidR="00460631" w:rsidRPr="00CF31E0" w14:paraId="632F8751" w14:textId="77777777" w:rsidTr="00603CB7">
        <w:trPr>
          <w:cantSplit/>
        </w:trPr>
        <w:tc>
          <w:tcPr>
            <w:tcW w:w="998" w:type="dxa"/>
            <w:vMerge/>
            <w:shd w:val="clear" w:color="auto" w:fill="FFFFFF"/>
          </w:tcPr>
          <w:p w14:paraId="55198428" w14:textId="77777777" w:rsidR="00012E0B" w:rsidRPr="00CF31E0" w:rsidRDefault="00012E0B" w:rsidP="00460631">
            <w:pPr>
              <w:widowControl w:val="0"/>
              <w:autoSpaceDE w:val="0"/>
              <w:autoSpaceDN w:val="0"/>
              <w:adjustRightInd w:val="0"/>
              <w:rPr>
                <w:rFonts w:asciiTheme="majorBidi" w:hAnsiTheme="majorBidi" w:cstheme="majorBidi"/>
                <w:color w:val="000000" w:themeColor="text1"/>
                <w:sz w:val="22"/>
                <w:szCs w:val="22"/>
                <w:lang w:eastAsia="en-US"/>
              </w:rPr>
            </w:pPr>
          </w:p>
        </w:tc>
        <w:tc>
          <w:tcPr>
            <w:tcW w:w="708" w:type="dxa"/>
            <w:vMerge/>
            <w:shd w:val="clear" w:color="auto" w:fill="FFFFFF"/>
          </w:tcPr>
          <w:p w14:paraId="4EEFD8E2" w14:textId="77777777" w:rsidR="00012E0B" w:rsidRPr="00CF31E0" w:rsidRDefault="00012E0B" w:rsidP="00460631">
            <w:pPr>
              <w:widowControl w:val="0"/>
              <w:autoSpaceDE w:val="0"/>
              <w:autoSpaceDN w:val="0"/>
              <w:adjustRightInd w:val="0"/>
              <w:rPr>
                <w:rFonts w:asciiTheme="majorBidi" w:hAnsiTheme="majorBidi" w:cstheme="majorBidi"/>
                <w:color w:val="000000" w:themeColor="text1"/>
                <w:sz w:val="22"/>
                <w:szCs w:val="22"/>
                <w:lang w:eastAsia="en-US"/>
              </w:rPr>
            </w:pPr>
          </w:p>
        </w:tc>
        <w:tc>
          <w:tcPr>
            <w:tcW w:w="1843" w:type="dxa"/>
            <w:shd w:val="clear" w:color="auto" w:fill="FFFFFF"/>
          </w:tcPr>
          <w:p w14:paraId="62603496" w14:textId="174BC666" w:rsidR="00012E0B" w:rsidRPr="00CF31E0" w:rsidRDefault="00F44566" w:rsidP="00460631">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within m</w:t>
            </w:r>
            <w:r w:rsidR="00012E0B" w:rsidRPr="00CF31E0">
              <w:rPr>
                <w:rFonts w:asciiTheme="majorBidi" w:hAnsiTheme="majorBidi" w:cstheme="majorBidi"/>
                <w:color w:val="000000" w:themeColor="text1"/>
                <w:sz w:val="22"/>
                <w:szCs w:val="22"/>
                <w:lang w:eastAsia="en-US"/>
              </w:rPr>
              <w:t>other</w:t>
            </w:r>
            <w:r w:rsidRPr="00CF31E0">
              <w:rPr>
                <w:rFonts w:asciiTheme="majorBidi" w:hAnsiTheme="majorBidi" w:cstheme="majorBidi"/>
                <w:color w:val="000000" w:themeColor="text1"/>
                <w:sz w:val="22"/>
                <w:szCs w:val="22"/>
                <w:lang w:eastAsia="en-US"/>
              </w:rPr>
              <w:t xml:space="preserve">’s social </w:t>
            </w:r>
            <w:r w:rsidR="00012E0B" w:rsidRPr="00CF31E0">
              <w:rPr>
                <w:rFonts w:asciiTheme="majorBidi" w:hAnsiTheme="majorBidi" w:cstheme="majorBidi"/>
                <w:color w:val="000000" w:themeColor="text1"/>
                <w:sz w:val="22"/>
                <w:szCs w:val="22"/>
                <w:lang w:eastAsia="en-US"/>
              </w:rPr>
              <w:t>group</w:t>
            </w:r>
          </w:p>
        </w:tc>
        <w:tc>
          <w:tcPr>
            <w:tcW w:w="709" w:type="dxa"/>
            <w:shd w:val="clear" w:color="auto" w:fill="FFFFFF"/>
            <w:vAlign w:val="center"/>
          </w:tcPr>
          <w:p w14:paraId="1FCE3A35"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9.5%</w:t>
            </w:r>
          </w:p>
        </w:tc>
        <w:tc>
          <w:tcPr>
            <w:tcW w:w="850" w:type="dxa"/>
            <w:shd w:val="clear" w:color="auto" w:fill="FFFFFF"/>
            <w:vAlign w:val="center"/>
          </w:tcPr>
          <w:p w14:paraId="459BC351"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33.3%</w:t>
            </w:r>
          </w:p>
        </w:tc>
        <w:tc>
          <w:tcPr>
            <w:tcW w:w="1701" w:type="dxa"/>
            <w:shd w:val="clear" w:color="auto" w:fill="FFFFFF"/>
            <w:vAlign w:val="center"/>
          </w:tcPr>
          <w:p w14:paraId="03A0DFE2"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57.1%</w:t>
            </w:r>
          </w:p>
        </w:tc>
        <w:tc>
          <w:tcPr>
            <w:tcW w:w="851" w:type="dxa"/>
            <w:shd w:val="clear" w:color="auto" w:fill="FFFFFF"/>
            <w:vAlign w:val="center"/>
          </w:tcPr>
          <w:p w14:paraId="4DB99254"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100.0%</w:t>
            </w:r>
          </w:p>
        </w:tc>
      </w:tr>
      <w:tr w:rsidR="00460631" w:rsidRPr="00CF31E0" w14:paraId="62C3160E" w14:textId="77777777" w:rsidTr="00603CB7">
        <w:trPr>
          <w:cantSplit/>
        </w:trPr>
        <w:tc>
          <w:tcPr>
            <w:tcW w:w="998" w:type="dxa"/>
            <w:vMerge/>
            <w:shd w:val="clear" w:color="auto" w:fill="FFFFFF"/>
          </w:tcPr>
          <w:p w14:paraId="51A5495B" w14:textId="77777777" w:rsidR="00012E0B" w:rsidRPr="00CF31E0" w:rsidRDefault="00012E0B" w:rsidP="00460631">
            <w:pPr>
              <w:widowControl w:val="0"/>
              <w:autoSpaceDE w:val="0"/>
              <w:autoSpaceDN w:val="0"/>
              <w:adjustRightInd w:val="0"/>
              <w:rPr>
                <w:rFonts w:asciiTheme="majorBidi" w:hAnsiTheme="majorBidi" w:cstheme="majorBidi"/>
                <w:color w:val="000000" w:themeColor="text1"/>
                <w:sz w:val="22"/>
                <w:szCs w:val="22"/>
                <w:lang w:eastAsia="en-US"/>
              </w:rPr>
            </w:pPr>
          </w:p>
        </w:tc>
        <w:tc>
          <w:tcPr>
            <w:tcW w:w="708" w:type="dxa"/>
            <w:vMerge/>
            <w:shd w:val="clear" w:color="auto" w:fill="FFFFFF"/>
          </w:tcPr>
          <w:p w14:paraId="4CFC0139" w14:textId="77777777" w:rsidR="00012E0B" w:rsidRPr="00CF31E0" w:rsidRDefault="00012E0B" w:rsidP="00460631">
            <w:pPr>
              <w:widowControl w:val="0"/>
              <w:autoSpaceDE w:val="0"/>
              <w:autoSpaceDN w:val="0"/>
              <w:adjustRightInd w:val="0"/>
              <w:rPr>
                <w:rFonts w:asciiTheme="majorBidi" w:hAnsiTheme="majorBidi" w:cstheme="majorBidi"/>
                <w:color w:val="000000" w:themeColor="text1"/>
                <w:sz w:val="22"/>
                <w:szCs w:val="22"/>
                <w:lang w:eastAsia="en-US"/>
              </w:rPr>
            </w:pPr>
          </w:p>
        </w:tc>
        <w:tc>
          <w:tcPr>
            <w:tcW w:w="1843" w:type="dxa"/>
            <w:shd w:val="clear" w:color="auto" w:fill="FFFFFF"/>
          </w:tcPr>
          <w:p w14:paraId="7AC7C763" w14:textId="77777777" w:rsidR="00012E0B" w:rsidRPr="00CF31E0" w:rsidRDefault="00012E0B" w:rsidP="00460631">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of Total</w:t>
            </w:r>
          </w:p>
        </w:tc>
        <w:tc>
          <w:tcPr>
            <w:tcW w:w="709" w:type="dxa"/>
            <w:shd w:val="clear" w:color="auto" w:fill="FFFFFF"/>
            <w:vAlign w:val="center"/>
          </w:tcPr>
          <w:p w14:paraId="5D391F71"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0.3%</w:t>
            </w:r>
          </w:p>
        </w:tc>
        <w:tc>
          <w:tcPr>
            <w:tcW w:w="850" w:type="dxa"/>
            <w:shd w:val="clear" w:color="auto" w:fill="FFFFFF"/>
            <w:vAlign w:val="center"/>
          </w:tcPr>
          <w:p w14:paraId="73782344"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1.1%</w:t>
            </w:r>
          </w:p>
        </w:tc>
        <w:tc>
          <w:tcPr>
            <w:tcW w:w="1701" w:type="dxa"/>
            <w:shd w:val="clear" w:color="auto" w:fill="FFFFFF"/>
            <w:vAlign w:val="center"/>
          </w:tcPr>
          <w:p w14:paraId="62EDD326"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1.9%</w:t>
            </w:r>
          </w:p>
        </w:tc>
        <w:tc>
          <w:tcPr>
            <w:tcW w:w="851" w:type="dxa"/>
            <w:shd w:val="clear" w:color="auto" w:fill="FFFFFF"/>
            <w:vAlign w:val="center"/>
          </w:tcPr>
          <w:p w14:paraId="58CA44ED"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3.2%</w:t>
            </w:r>
          </w:p>
        </w:tc>
      </w:tr>
      <w:tr w:rsidR="00460631" w:rsidRPr="00CF31E0" w14:paraId="2ED7DCDE" w14:textId="77777777" w:rsidTr="00603CB7">
        <w:trPr>
          <w:cantSplit/>
        </w:trPr>
        <w:tc>
          <w:tcPr>
            <w:tcW w:w="1706" w:type="dxa"/>
            <w:gridSpan w:val="2"/>
            <w:vMerge w:val="restart"/>
            <w:shd w:val="clear" w:color="auto" w:fill="FFFFFF"/>
          </w:tcPr>
          <w:p w14:paraId="71320EBE" w14:textId="77777777" w:rsidR="00012E0B" w:rsidRPr="00CF31E0" w:rsidRDefault="00012E0B" w:rsidP="00460631">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Total</w:t>
            </w:r>
          </w:p>
        </w:tc>
        <w:tc>
          <w:tcPr>
            <w:tcW w:w="1843" w:type="dxa"/>
            <w:shd w:val="clear" w:color="auto" w:fill="FFFFFF"/>
          </w:tcPr>
          <w:p w14:paraId="286C924D" w14:textId="45386E45" w:rsidR="00012E0B" w:rsidRPr="00CF31E0" w:rsidRDefault="00FC52C2" w:rsidP="00460631">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Raw frequency</w:t>
            </w:r>
          </w:p>
        </w:tc>
        <w:tc>
          <w:tcPr>
            <w:tcW w:w="709" w:type="dxa"/>
            <w:shd w:val="clear" w:color="auto" w:fill="FFFFFF"/>
            <w:vAlign w:val="center"/>
          </w:tcPr>
          <w:p w14:paraId="68355070"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108</w:t>
            </w:r>
          </w:p>
        </w:tc>
        <w:tc>
          <w:tcPr>
            <w:tcW w:w="850" w:type="dxa"/>
            <w:shd w:val="clear" w:color="auto" w:fill="FFFFFF"/>
            <w:vAlign w:val="center"/>
          </w:tcPr>
          <w:p w14:paraId="605BC8EE"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294</w:t>
            </w:r>
          </w:p>
        </w:tc>
        <w:tc>
          <w:tcPr>
            <w:tcW w:w="1701" w:type="dxa"/>
            <w:shd w:val="clear" w:color="auto" w:fill="FFFFFF"/>
            <w:vAlign w:val="center"/>
          </w:tcPr>
          <w:p w14:paraId="3C38300C"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246</w:t>
            </w:r>
          </w:p>
        </w:tc>
        <w:tc>
          <w:tcPr>
            <w:tcW w:w="851" w:type="dxa"/>
            <w:shd w:val="clear" w:color="auto" w:fill="FFFFFF"/>
            <w:vAlign w:val="center"/>
          </w:tcPr>
          <w:p w14:paraId="5298112D" w14:textId="0762B9FB"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64</w:t>
            </w:r>
            <w:r w:rsidR="00FC52C2" w:rsidRPr="00CF31E0">
              <w:rPr>
                <w:rFonts w:asciiTheme="majorBidi" w:hAnsiTheme="majorBidi" w:cstheme="majorBidi"/>
                <w:color w:val="000000" w:themeColor="text1"/>
                <w:sz w:val="22"/>
                <w:szCs w:val="22"/>
                <w:lang w:eastAsia="en-US"/>
              </w:rPr>
              <w:t>9</w:t>
            </w:r>
          </w:p>
        </w:tc>
      </w:tr>
      <w:tr w:rsidR="00460631" w:rsidRPr="00CF31E0" w14:paraId="36D69E0B" w14:textId="77777777" w:rsidTr="00603CB7">
        <w:trPr>
          <w:cantSplit/>
        </w:trPr>
        <w:tc>
          <w:tcPr>
            <w:tcW w:w="1706" w:type="dxa"/>
            <w:gridSpan w:val="2"/>
            <w:vMerge/>
            <w:shd w:val="clear" w:color="auto" w:fill="FFFFFF"/>
          </w:tcPr>
          <w:p w14:paraId="2A40EB3E" w14:textId="77777777" w:rsidR="00012E0B" w:rsidRPr="00CF31E0" w:rsidRDefault="00012E0B" w:rsidP="00460631">
            <w:pPr>
              <w:widowControl w:val="0"/>
              <w:autoSpaceDE w:val="0"/>
              <w:autoSpaceDN w:val="0"/>
              <w:adjustRightInd w:val="0"/>
              <w:rPr>
                <w:rFonts w:asciiTheme="majorBidi" w:hAnsiTheme="majorBidi" w:cstheme="majorBidi"/>
                <w:color w:val="000000" w:themeColor="text1"/>
                <w:sz w:val="22"/>
                <w:szCs w:val="22"/>
                <w:lang w:eastAsia="en-US"/>
              </w:rPr>
            </w:pPr>
          </w:p>
        </w:tc>
        <w:tc>
          <w:tcPr>
            <w:tcW w:w="1843" w:type="dxa"/>
            <w:shd w:val="clear" w:color="auto" w:fill="FFFFFF"/>
          </w:tcPr>
          <w:p w14:paraId="178D8504" w14:textId="218CF0C0" w:rsidR="00012E0B" w:rsidRPr="00CF31E0" w:rsidRDefault="00F44566" w:rsidP="00460631">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within m</w:t>
            </w:r>
            <w:r w:rsidR="00012E0B" w:rsidRPr="00CF31E0">
              <w:rPr>
                <w:rFonts w:asciiTheme="majorBidi" w:hAnsiTheme="majorBidi" w:cstheme="majorBidi"/>
                <w:color w:val="000000" w:themeColor="text1"/>
                <w:sz w:val="22"/>
                <w:szCs w:val="22"/>
                <w:lang w:eastAsia="en-US"/>
              </w:rPr>
              <w:t>other</w:t>
            </w:r>
            <w:r w:rsidRPr="00CF31E0">
              <w:rPr>
                <w:rFonts w:asciiTheme="majorBidi" w:hAnsiTheme="majorBidi" w:cstheme="majorBidi"/>
                <w:color w:val="000000" w:themeColor="text1"/>
                <w:sz w:val="22"/>
                <w:szCs w:val="22"/>
                <w:lang w:eastAsia="en-US"/>
              </w:rPr>
              <w:t xml:space="preserve">’s social </w:t>
            </w:r>
            <w:r w:rsidR="00012E0B" w:rsidRPr="00CF31E0">
              <w:rPr>
                <w:rFonts w:asciiTheme="majorBidi" w:hAnsiTheme="majorBidi" w:cstheme="majorBidi"/>
                <w:color w:val="000000" w:themeColor="text1"/>
                <w:sz w:val="22"/>
                <w:szCs w:val="22"/>
                <w:lang w:eastAsia="en-US"/>
              </w:rPr>
              <w:t>group</w:t>
            </w:r>
          </w:p>
        </w:tc>
        <w:tc>
          <w:tcPr>
            <w:tcW w:w="709" w:type="dxa"/>
            <w:shd w:val="clear" w:color="auto" w:fill="FFFFFF"/>
            <w:vAlign w:val="center"/>
          </w:tcPr>
          <w:p w14:paraId="2B34959D"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16.7%</w:t>
            </w:r>
          </w:p>
        </w:tc>
        <w:tc>
          <w:tcPr>
            <w:tcW w:w="850" w:type="dxa"/>
            <w:shd w:val="clear" w:color="auto" w:fill="FFFFFF"/>
            <w:vAlign w:val="center"/>
          </w:tcPr>
          <w:p w14:paraId="1B5C737E"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45.4%</w:t>
            </w:r>
          </w:p>
        </w:tc>
        <w:tc>
          <w:tcPr>
            <w:tcW w:w="1701" w:type="dxa"/>
            <w:shd w:val="clear" w:color="auto" w:fill="FFFFFF"/>
            <w:vAlign w:val="center"/>
          </w:tcPr>
          <w:p w14:paraId="44C758E1"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38.0%</w:t>
            </w:r>
          </w:p>
        </w:tc>
        <w:tc>
          <w:tcPr>
            <w:tcW w:w="851" w:type="dxa"/>
            <w:shd w:val="clear" w:color="auto" w:fill="FFFFFF"/>
            <w:vAlign w:val="center"/>
          </w:tcPr>
          <w:p w14:paraId="2EA97ABE"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100.0%</w:t>
            </w:r>
          </w:p>
        </w:tc>
      </w:tr>
      <w:tr w:rsidR="00460631" w:rsidRPr="00CF31E0" w14:paraId="3A4BAE7B" w14:textId="77777777" w:rsidTr="00603CB7">
        <w:trPr>
          <w:cantSplit/>
        </w:trPr>
        <w:tc>
          <w:tcPr>
            <w:tcW w:w="1706" w:type="dxa"/>
            <w:gridSpan w:val="2"/>
            <w:vMerge/>
            <w:shd w:val="clear" w:color="auto" w:fill="FFFFFF"/>
          </w:tcPr>
          <w:p w14:paraId="7793132D" w14:textId="77777777" w:rsidR="00012E0B" w:rsidRPr="00CF31E0" w:rsidRDefault="00012E0B" w:rsidP="00460631">
            <w:pPr>
              <w:widowControl w:val="0"/>
              <w:autoSpaceDE w:val="0"/>
              <w:autoSpaceDN w:val="0"/>
              <w:adjustRightInd w:val="0"/>
              <w:rPr>
                <w:rFonts w:asciiTheme="majorBidi" w:hAnsiTheme="majorBidi" w:cstheme="majorBidi"/>
                <w:color w:val="000000" w:themeColor="text1"/>
                <w:sz w:val="22"/>
                <w:szCs w:val="22"/>
                <w:lang w:eastAsia="en-US"/>
              </w:rPr>
            </w:pPr>
          </w:p>
        </w:tc>
        <w:tc>
          <w:tcPr>
            <w:tcW w:w="1843" w:type="dxa"/>
            <w:shd w:val="clear" w:color="auto" w:fill="FFFFFF"/>
          </w:tcPr>
          <w:p w14:paraId="6053A03A" w14:textId="77777777" w:rsidR="00012E0B" w:rsidRPr="00CF31E0" w:rsidRDefault="00012E0B" w:rsidP="00460631">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of Total</w:t>
            </w:r>
          </w:p>
        </w:tc>
        <w:tc>
          <w:tcPr>
            <w:tcW w:w="709" w:type="dxa"/>
            <w:shd w:val="clear" w:color="auto" w:fill="FFFFFF"/>
            <w:vAlign w:val="center"/>
          </w:tcPr>
          <w:p w14:paraId="0336CD15"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16.7%</w:t>
            </w:r>
          </w:p>
        </w:tc>
        <w:tc>
          <w:tcPr>
            <w:tcW w:w="850" w:type="dxa"/>
            <w:shd w:val="clear" w:color="auto" w:fill="FFFFFF"/>
            <w:vAlign w:val="center"/>
          </w:tcPr>
          <w:p w14:paraId="68664357"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45.4%</w:t>
            </w:r>
          </w:p>
        </w:tc>
        <w:tc>
          <w:tcPr>
            <w:tcW w:w="1701" w:type="dxa"/>
            <w:shd w:val="clear" w:color="auto" w:fill="FFFFFF"/>
            <w:vAlign w:val="center"/>
          </w:tcPr>
          <w:p w14:paraId="363260F6"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38.0%</w:t>
            </w:r>
          </w:p>
        </w:tc>
        <w:tc>
          <w:tcPr>
            <w:tcW w:w="851" w:type="dxa"/>
            <w:shd w:val="clear" w:color="auto" w:fill="FFFFFF"/>
            <w:vAlign w:val="center"/>
          </w:tcPr>
          <w:p w14:paraId="45BE8D9E" w14:textId="77777777" w:rsidR="00012E0B" w:rsidRPr="00CF31E0" w:rsidRDefault="00012E0B" w:rsidP="00460631">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100.0%</w:t>
            </w:r>
          </w:p>
        </w:tc>
      </w:tr>
    </w:tbl>
    <w:p w14:paraId="4B8F257B" w14:textId="39E6AE67" w:rsidR="00A23C2A" w:rsidRPr="00CF31E0" w:rsidRDefault="00A23C2A" w:rsidP="00730917">
      <w:pPr>
        <w:pStyle w:val="Tablecaption"/>
      </w:pPr>
      <w:bookmarkStart w:id="403" w:name="_Toc522527414"/>
      <w:bookmarkStart w:id="404" w:name="_Toc522628826"/>
      <w:bookmarkStart w:id="405" w:name="_Toc522628990"/>
      <w:bookmarkStart w:id="406" w:name="_Toc6473087"/>
      <w:r w:rsidRPr="00CF31E0">
        <w:t xml:space="preserve">Table </w:t>
      </w:r>
      <w:r w:rsidR="00116DBE" w:rsidRPr="00CF31E0">
        <w:t>7</w:t>
      </w:r>
      <w:r w:rsidR="00D12517" w:rsidRPr="00CF31E0">
        <w:t>.</w:t>
      </w:r>
      <w:r w:rsidRPr="00CF31E0">
        <w:t>10: Mother’s social group-Q3 crosstabulation.</w:t>
      </w:r>
      <w:bookmarkEnd w:id="403"/>
      <w:bookmarkEnd w:id="404"/>
      <w:bookmarkEnd w:id="405"/>
      <w:bookmarkEnd w:id="406"/>
      <w:r w:rsidRPr="00CF31E0">
        <w:t xml:space="preserve"> </w:t>
      </w:r>
    </w:p>
    <w:p w14:paraId="4D9DC729" w14:textId="61BD7BA9" w:rsidR="00A23C2A" w:rsidRPr="00CF31E0" w:rsidRDefault="00A23C2A" w:rsidP="00603CB7">
      <w:pPr>
        <w:pStyle w:val="Paragraph"/>
      </w:pPr>
      <w:r w:rsidRPr="00CF31E0">
        <w:t xml:space="preserve">As can be seen from Table </w:t>
      </w:r>
      <w:r w:rsidR="00116DBE" w:rsidRPr="00CF31E0">
        <w:t>7</w:t>
      </w:r>
      <w:r w:rsidR="00D12517" w:rsidRPr="00CF31E0">
        <w:t>.</w:t>
      </w:r>
      <w:r w:rsidRPr="00CF31E0">
        <w:t xml:space="preserve">10, a similar pattern emerged to that of the social group demographic variable. First, the HH dialect was perceived as the most dominant dialect by participants whose mothers are from the UBH and HH groups. With regard to the </w:t>
      </w:r>
      <w:r w:rsidRPr="00CF31E0">
        <w:rPr>
          <w:i/>
          <w:iCs/>
        </w:rPr>
        <w:t xml:space="preserve">other </w:t>
      </w:r>
      <w:r w:rsidRPr="00CF31E0">
        <w:t xml:space="preserve">group in the third row, I am not going to illustrate the results as the origin of this group is unknown. Second, participants whose mothers are from the UBH social group were more positive about their dialect; the same applies to participants whose mothers are from the HH group. </w:t>
      </w:r>
    </w:p>
    <w:p w14:paraId="27AC6D30" w14:textId="3D3DDEDB" w:rsidR="00A23C2A" w:rsidRPr="00CF31E0" w:rsidRDefault="00116DBE" w:rsidP="00E87209">
      <w:pPr>
        <w:pStyle w:val="Chead"/>
      </w:pPr>
      <w:bookmarkStart w:id="407" w:name="_Toc6472706"/>
      <w:r w:rsidRPr="00CF31E0">
        <w:t>7</w:t>
      </w:r>
      <w:r w:rsidR="00D12517" w:rsidRPr="00CF31E0">
        <w:t>.3.1.4.</w:t>
      </w:r>
      <w:r w:rsidR="00F106E7" w:rsidRPr="00CF31E0">
        <w:tab/>
      </w:r>
      <w:r w:rsidR="00A23C2A" w:rsidRPr="00CF31E0">
        <w:t>Spouse’s social group</w:t>
      </w:r>
      <w:bookmarkEnd w:id="407"/>
    </w:p>
    <w:p w14:paraId="1CE59020" w14:textId="099B56F2" w:rsidR="00A23C2A" w:rsidRPr="00CF31E0" w:rsidRDefault="00A23C2A" w:rsidP="00603CB7">
      <w:pPr>
        <w:pStyle w:val="Paragraph"/>
      </w:pPr>
      <w:r w:rsidRPr="00CF31E0">
        <w:t xml:space="preserve">Chi-square tests revealed that the different groups within the spouse demographic variable had different perceptions in response to the question. See Table </w:t>
      </w:r>
      <w:r w:rsidR="00116DBE" w:rsidRPr="00CF31E0">
        <w:t>7</w:t>
      </w:r>
      <w:r w:rsidR="00D12517" w:rsidRPr="00CF31E0">
        <w:t>.</w:t>
      </w:r>
      <w:r w:rsidRPr="00CF31E0">
        <w:t>11.</w:t>
      </w:r>
    </w:p>
    <w:p w14:paraId="308CC212" w14:textId="77777777" w:rsidR="005D425C" w:rsidRPr="00CF31E0" w:rsidRDefault="005D425C" w:rsidP="00603CB7">
      <w:pPr>
        <w:pStyle w:val="Paragraph"/>
      </w:pPr>
    </w:p>
    <w:p w14:paraId="22FDF825" w14:textId="77777777" w:rsidR="005D425C" w:rsidRPr="00CF31E0" w:rsidRDefault="005D425C" w:rsidP="00603CB7">
      <w:pPr>
        <w:pStyle w:val="Paragraph"/>
      </w:pPr>
    </w:p>
    <w:tbl>
      <w:tblPr>
        <w:tblW w:w="7139" w:type="dxa"/>
        <w:tblLayout w:type="fixed"/>
        <w:tblLook w:val="04A0" w:firstRow="1" w:lastRow="0" w:firstColumn="1" w:lastColumn="0" w:noHBand="0" w:noVBand="1"/>
      </w:tblPr>
      <w:tblGrid>
        <w:gridCol w:w="2235"/>
        <w:gridCol w:w="992"/>
        <w:gridCol w:w="510"/>
        <w:gridCol w:w="3402"/>
      </w:tblGrid>
      <w:tr w:rsidR="00053BEB" w:rsidRPr="00CF31E0" w14:paraId="553ACD62" w14:textId="77777777" w:rsidTr="00202B1B">
        <w:trPr>
          <w:trHeight w:val="567"/>
        </w:trPr>
        <w:tc>
          <w:tcPr>
            <w:tcW w:w="2235" w:type="dxa"/>
            <w:tcBorders>
              <w:top w:val="single" w:sz="8" w:space="0" w:color="auto"/>
              <w:bottom w:val="single" w:sz="8" w:space="0" w:color="auto"/>
            </w:tcBorders>
            <w:shd w:val="clear" w:color="auto" w:fill="auto"/>
            <w:hideMark/>
          </w:tcPr>
          <w:p w14:paraId="608DBE38" w14:textId="77777777" w:rsidR="00053BEB" w:rsidRPr="00CF31E0" w:rsidRDefault="00053BEB" w:rsidP="00603CB7">
            <w:pPr>
              <w:spacing w:before="80" w:after="200" w:line="276" w:lineRule="auto"/>
              <w:rPr>
                <w:rFonts w:eastAsia="Calibri"/>
                <w:color w:val="000000" w:themeColor="text1"/>
                <w:sz w:val="22"/>
                <w:szCs w:val="22"/>
                <w:lang w:val="en-US" w:eastAsia="en-US"/>
              </w:rPr>
            </w:pPr>
          </w:p>
        </w:tc>
        <w:tc>
          <w:tcPr>
            <w:tcW w:w="992" w:type="dxa"/>
            <w:tcBorders>
              <w:top w:val="single" w:sz="8" w:space="0" w:color="auto"/>
              <w:bottom w:val="single" w:sz="8" w:space="0" w:color="auto"/>
            </w:tcBorders>
            <w:shd w:val="clear" w:color="auto" w:fill="auto"/>
            <w:hideMark/>
          </w:tcPr>
          <w:p w14:paraId="38C745FB" w14:textId="77777777" w:rsidR="00053BEB" w:rsidRPr="00CF31E0" w:rsidRDefault="00053BEB" w:rsidP="00603CB7">
            <w:pPr>
              <w:spacing w:before="80" w:after="200" w:line="360"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510" w:type="dxa"/>
            <w:tcBorders>
              <w:top w:val="single" w:sz="8" w:space="0" w:color="auto"/>
              <w:bottom w:val="single" w:sz="8" w:space="0" w:color="auto"/>
            </w:tcBorders>
            <w:shd w:val="clear" w:color="auto" w:fill="auto"/>
          </w:tcPr>
          <w:p w14:paraId="4FD48DA4" w14:textId="77777777" w:rsidR="00053BEB" w:rsidRPr="00CF31E0" w:rsidRDefault="00053BEB" w:rsidP="00603CB7">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df</w:t>
            </w:r>
          </w:p>
        </w:tc>
        <w:tc>
          <w:tcPr>
            <w:tcW w:w="3402" w:type="dxa"/>
            <w:tcBorders>
              <w:top w:val="single" w:sz="8" w:space="0" w:color="auto"/>
              <w:bottom w:val="single" w:sz="8" w:space="0" w:color="auto"/>
            </w:tcBorders>
            <w:shd w:val="clear" w:color="auto" w:fill="auto"/>
          </w:tcPr>
          <w:p w14:paraId="284AB627" w14:textId="77777777" w:rsidR="00053BEB" w:rsidRPr="00CF31E0" w:rsidRDefault="00053BEB" w:rsidP="00603CB7">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053BEB" w:rsidRPr="00CF31E0" w14:paraId="72F0D921" w14:textId="77777777" w:rsidTr="00603CB7">
        <w:trPr>
          <w:trHeight w:val="567"/>
        </w:trPr>
        <w:tc>
          <w:tcPr>
            <w:tcW w:w="2235" w:type="dxa"/>
            <w:tcBorders>
              <w:top w:val="single" w:sz="8" w:space="0" w:color="auto"/>
            </w:tcBorders>
            <w:shd w:val="clear" w:color="auto" w:fill="auto"/>
            <w:vAlign w:val="bottom"/>
          </w:tcPr>
          <w:p w14:paraId="4BE612ED" w14:textId="77777777" w:rsidR="00053BEB" w:rsidRPr="00CF31E0" w:rsidRDefault="00053BEB" w:rsidP="00B12C97">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992" w:type="dxa"/>
            <w:tcBorders>
              <w:top w:val="single" w:sz="8" w:space="0" w:color="auto"/>
            </w:tcBorders>
            <w:shd w:val="clear" w:color="auto" w:fill="auto"/>
            <w:vAlign w:val="bottom"/>
          </w:tcPr>
          <w:p w14:paraId="5470DE45" w14:textId="77777777" w:rsidR="00053BEB" w:rsidRPr="00CF31E0" w:rsidRDefault="00053BEB" w:rsidP="00B12C97">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58.928</w:t>
            </w:r>
            <w:r w:rsidRPr="00CF31E0">
              <w:rPr>
                <w:rFonts w:eastAsia="Calibri"/>
                <w:color w:val="000000" w:themeColor="text1"/>
                <w:sz w:val="22"/>
                <w:szCs w:val="22"/>
                <w:vertAlign w:val="superscript"/>
                <w:lang w:eastAsia="en-US"/>
              </w:rPr>
              <w:t>a</w:t>
            </w:r>
          </w:p>
        </w:tc>
        <w:tc>
          <w:tcPr>
            <w:tcW w:w="510" w:type="dxa"/>
            <w:tcBorders>
              <w:top w:val="single" w:sz="8" w:space="0" w:color="auto"/>
            </w:tcBorders>
            <w:shd w:val="clear" w:color="auto" w:fill="auto"/>
            <w:vAlign w:val="bottom"/>
          </w:tcPr>
          <w:p w14:paraId="090BE48C" w14:textId="77777777" w:rsidR="00053BEB" w:rsidRPr="00CF31E0" w:rsidRDefault="00053BEB" w:rsidP="00B12C97">
            <w:pPr>
              <w:spacing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4</w:t>
            </w:r>
          </w:p>
        </w:tc>
        <w:tc>
          <w:tcPr>
            <w:tcW w:w="3402" w:type="dxa"/>
            <w:tcBorders>
              <w:top w:val="single" w:sz="8" w:space="0" w:color="auto"/>
            </w:tcBorders>
            <w:shd w:val="clear" w:color="auto" w:fill="auto"/>
            <w:vAlign w:val="bottom"/>
          </w:tcPr>
          <w:p w14:paraId="284B7C6B" w14:textId="77777777" w:rsidR="00053BEB" w:rsidRPr="00CF31E0" w:rsidRDefault="00053BEB" w:rsidP="00B12C97">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.000</w:t>
            </w:r>
          </w:p>
        </w:tc>
      </w:tr>
      <w:tr w:rsidR="00053BEB" w:rsidRPr="00CF31E0" w14:paraId="7057D3B7" w14:textId="77777777" w:rsidTr="00603CB7">
        <w:trPr>
          <w:trHeight w:val="567"/>
        </w:trPr>
        <w:tc>
          <w:tcPr>
            <w:tcW w:w="2235" w:type="dxa"/>
            <w:tcBorders>
              <w:bottom w:val="single" w:sz="8" w:space="0" w:color="auto"/>
            </w:tcBorders>
            <w:shd w:val="clear" w:color="auto" w:fill="auto"/>
            <w:vAlign w:val="bottom"/>
          </w:tcPr>
          <w:p w14:paraId="3C840B89" w14:textId="77777777" w:rsidR="00053BEB" w:rsidRPr="00CF31E0" w:rsidRDefault="00053BEB" w:rsidP="00B12C97">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992" w:type="dxa"/>
            <w:tcBorders>
              <w:bottom w:val="single" w:sz="8" w:space="0" w:color="auto"/>
            </w:tcBorders>
            <w:shd w:val="clear" w:color="auto" w:fill="auto"/>
            <w:vAlign w:val="bottom"/>
          </w:tcPr>
          <w:p w14:paraId="30BB627C" w14:textId="2B890A4B" w:rsidR="00053BEB" w:rsidRPr="00CF31E0" w:rsidRDefault="00053BEB" w:rsidP="00B12C97">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510" w:type="dxa"/>
            <w:tcBorders>
              <w:bottom w:val="single" w:sz="8" w:space="0" w:color="auto"/>
            </w:tcBorders>
            <w:shd w:val="clear" w:color="auto" w:fill="auto"/>
            <w:vAlign w:val="bottom"/>
          </w:tcPr>
          <w:p w14:paraId="1FBDEF1D" w14:textId="77777777" w:rsidR="00053BEB" w:rsidRPr="00CF31E0" w:rsidRDefault="00053BEB" w:rsidP="00B12C97">
            <w:pPr>
              <w:spacing w:after="200" w:line="276" w:lineRule="auto"/>
              <w:rPr>
                <w:rFonts w:eastAsia="Calibri"/>
                <w:color w:val="000000" w:themeColor="text1"/>
                <w:sz w:val="22"/>
                <w:szCs w:val="22"/>
                <w:lang w:val="en-US" w:eastAsia="en-US"/>
              </w:rPr>
            </w:pPr>
          </w:p>
        </w:tc>
        <w:tc>
          <w:tcPr>
            <w:tcW w:w="3402" w:type="dxa"/>
            <w:tcBorders>
              <w:bottom w:val="single" w:sz="8" w:space="0" w:color="auto"/>
            </w:tcBorders>
            <w:shd w:val="clear" w:color="auto" w:fill="auto"/>
            <w:vAlign w:val="bottom"/>
          </w:tcPr>
          <w:p w14:paraId="548AEAA0" w14:textId="77777777" w:rsidR="00053BEB" w:rsidRPr="00CF31E0" w:rsidRDefault="00053BEB" w:rsidP="00B12C97">
            <w:pPr>
              <w:spacing w:after="200" w:line="276" w:lineRule="auto"/>
              <w:rPr>
                <w:rFonts w:eastAsia="Calibri"/>
                <w:color w:val="000000" w:themeColor="text1"/>
                <w:sz w:val="22"/>
                <w:szCs w:val="22"/>
                <w:lang w:eastAsia="en-US"/>
              </w:rPr>
            </w:pPr>
          </w:p>
        </w:tc>
      </w:tr>
      <w:tr w:rsidR="00053BEB" w:rsidRPr="00CF31E0" w14:paraId="6DCB7E16" w14:textId="77777777" w:rsidTr="00202B1B">
        <w:trPr>
          <w:trHeight w:val="567"/>
        </w:trPr>
        <w:tc>
          <w:tcPr>
            <w:tcW w:w="7139" w:type="dxa"/>
            <w:gridSpan w:val="4"/>
            <w:tcBorders>
              <w:top w:val="single" w:sz="8" w:space="0" w:color="auto"/>
              <w:bottom w:val="single" w:sz="8" w:space="0" w:color="auto"/>
            </w:tcBorders>
            <w:shd w:val="clear" w:color="auto" w:fill="auto"/>
          </w:tcPr>
          <w:p w14:paraId="7461FA47" w14:textId="1B75F057" w:rsidR="00053BEB" w:rsidRPr="00CF31E0" w:rsidRDefault="00053BEB" w:rsidP="00053BEB">
            <w:pPr>
              <w:spacing w:before="80" w:after="80"/>
              <w:rPr>
                <w:rFonts w:eastAsia="Calibri"/>
                <w:color w:val="000000" w:themeColor="text1"/>
                <w:sz w:val="22"/>
                <w:szCs w:val="22"/>
                <w:lang w:eastAsia="en-US"/>
              </w:rPr>
            </w:pPr>
            <w:r w:rsidRPr="00CF31E0">
              <w:rPr>
                <w:rFonts w:eastAsia="Calibri"/>
                <w:color w:val="000000" w:themeColor="text1"/>
                <w:sz w:val="22"/>
                <w:szCs w:val="22"/>
                <w:lang w:eastAsia="en-US"/>
              </w:rPr>
              <w:t xml:space="preserve">a. 0 cells (.0%) have expected </w:t>
            </w:r>
            <w:r w:rsidR="00F03C9C" w:rsidRPr="00CF31E0">
              <w:rPr>
                <w:rFonts w:eastAsia="Calibri"/>
                <w:color w:val="000000" w:themeColor="text1"/>
                <w:sz w:val="22"/>
                <w:szCs w:val="22"/>
                <w:lang w:eastAsia="en-US"/>
              </w:rPr>
              <w:t>Count</w:t>
            </w:r>
            <w:r w:rsidRPr="00CF31E0">
              <w:rPr>
                <w:rFonts w:eastAsia="Calibri"/>
                <w:color w:val="000000" w:themeColor="text1"/>
                <w:sz w:val="22"/>
                <w:szCs w:val="22"/>
                <w:lang w:eastAsia="en-US"/>
              </w:rPr>
              <w:t xml:space="preserve"> less than 5. The minimum expected </w:t>
            </w:r>
            <w:r w:rsidR="00F03C9C" w:rsidRPr="00CF31E0">
              <w:rPr>
                <w:rFonts w:eastAsia="Calibri"/>
                <w:color w:val="000000" w:themeColor="text1"/>
                <w:sz w:val="22"/>
                <w:szCs w:val="22"/>
                <w:lang w:eastAsia="en-US"/>
              </w:rPr>
              <w:t>Count</w:t>
            </w:r>
            <w:r w:rsidRPr="00CF31E0">
              <w:rPr>
                <w:rFonts w:eastAsia="Calibri"/>
                <w:color w:val="000000" w:themeColor="text1"/>
                <w:sz w:val="22"/>
                <w:szCs w:val="22"/>
                <w:lang w:eastAsia="en-US"/>
              </w:rPr>
              <w:t xml:space="preserve"> is 29.73.</w:t>
            </w:r>
          </w:p>
        </w:tc>
      </w:tr>
    </w:tbl>
    <w:p w14:paraId="48B30D29" w14:textId="27633E29" w:rsidR="00A23C2A" w:rsidRPr="00CF31E0" w:rsidRDefault="00A23C2A" w:rsidP="00730917">
      <w:pPr>
        <w:pStyle w:val="Tablecaption"/>
      </w:pPr>
      <w:bookmarkStart w:id="408" w:name="_Toc522527415"/>
      <w:bookmarkStart w:id="409" w:name="_Toc522628827"/>
      <w:bookmarkStart w:id="410" w:name="_Toc522628991"/>
      <w:bookmarkStart w:id="411" w:name="_Toc6473088"/>
      <w:r w:rsidRPr="00CF31E0">
        <w:t xml:space="preserve">Table </w:t>
      </w:r>
      <w:r w:rsidR="00116DBE" w:rsidRPr="00CF31E0">
        <w:t>7</w:t>
      </w:r>
      <w:r w:rsidR="00D12517" w:rsidRPr="00CF31E0">
        <w:t>.</w:t>
      </w:r>
      <w:r w:rsidRPr="00CF31E0">
        <w:t>11: Chi-square test results for spouse’s social group demographic variable.</w:t>
      </w:r>
      <w:bookmarkEnd w:id="408"/>
      <w:bookmarkEnd w:id="409"/>
      <w:bookmarkEnd w:id="410"/>
      <w:bookmarkEnd w:id="411"/>
    </w:p>
    <w:p w14:paraId="406D0D03" w14:textId="0425617C" w:rsidR="003445DF" w:rsidRPr="00CF31E0" w:rsidRDefault="00A23C2A" w:rsidP="005D425C">
      <w:pPr>
        <w:pStyle w:val="Paragraph"/>
      </w:pPr>
      <w:r w:rsidRPr="00CF31E0">
        <w:t xml:space="preserve">Table </w:t>
      </w:r>
      <w:r w:rsidR="00116DBE" w:rsidRPr="00CF31E0">
        <w:t>7</w:t>
      </w:r>
      <w:r w:rsidR="00D12517" w:rsidRPr="00CF31E0">
        <w:t>.</w:t>
      </w:r>
      <w:r w:rsidRPr="00CF31E0">
        <w:t xml:space="preserve">11 shows that the difference between groups is significant with a p value of p&lt;.001. Most importantly, the chi-square assumption is not violated, as illustrated in the table footnote. For a breakdown of the results, see Table </w:t>
      </w:r>
      <w:r w:rsidR="00116DBE" w:rsidRPr="00CF31E0">
        <w:t>7</w:t>
      </w:r>
      <w:r w:rsidR="00D12517" w:rsidRPr="00CF31E0">
        <w:t>.</w:t>
      </w:r>
      <w:r w:rsidRPr="00CF31E0">
        <w:t xml:space="preserve">12. </w:t>
      </w:r>
    </w:p>
    <w:tbl>
      <w:tblPr>
        <w:tblW w:w="7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9"/>
        <w:gridCol w:w="1001"/>
        <w:gridCol w:w="1276"/>
        <w:gridCol w:w="1134"/>
        <w:gridCol w:w="850"/>
        <w:gridCol w:w="1418"/>
        <w:gridCol w:w="850"/>
      </w:tblGrid>
      <w:tr w:rsidR="00053BEB" w:rsidRPr="00CF31E0" w14:paraId="27D47033" w14:textId="77777777" w:rsidTr="00053BEB">
        <w:trPr>
          <w:cantSplit/>
        </w:trPr>
        <w:tc>
          <w:tcPr>
            <w:tcW w:w="3266" w:type="dxa"/>
            <w:gridSpan w:val="3"/>
            <w:vMerge w:val="restart"/>
            <w:shd w:val="clear" w:color="auto" w:fill="FFFFFF"/>
            <w:vAlign w:val="bottom"/>
          </w:tcPr>
          <w:p w14:paraId="697A8FF2" w14:textId="77777777" w:rsidR="009B706B" w:rsidRPr="00CF31E0" w:rsidRDefault="009B706B" w:rsidP="00330B2A">
            <w:pPr>
              <w:widowControl w:val="0"/>
              <w:autoSpaceDE w:val="0"/>
              <w:autoSpaceDN w:val="0"/>
              <w:adjustRightInd w:val="0"/>
              <w:spacing w:line="276" w:lineRule="auto"/>
              <w:rPr>
                <w:rFonts w:asciiTheme="majorBidi" w:hAnsiTheme="majorBidi" w:cstheme="majorBidi"/>
                <w:color w:val="000000" w:themeColor="text1"/>
                <w:sz w:val="22"/>
                <w:szCs w:val="22"/>
                <w:lang w:eastAsia="en-US"/>
              </w:rPr>
            </w:pPr>
          </w:p>
        </w:tc>
        <w:tc>
          <w:tcPr>
            <w:tcW w:w="3402" w:type="dxa"/>
            <w:gridSpan w:val="3"/>
            <w:shd w:val="clear" w:color="auto" w:fill="FFFFFF"/>
            <w:vAlign w:val="bottom"/>
          </w:tcPr>
          <w:p w14:paraId="1DF11F4B" w14:textId="54801DE7" w:rsidR="009B706B" w:rsidRPr="00CF31E0" w:rsidRDefault="00FC52C2" w:rsidP="00330B2A">
            <w:pPr>
              <w:widowControl w:val="0"/>
              <w:autoSpaceDE w:val="0"/>
              <w:autoSpaceDN w:val="0"/>
              <w:adjustRightInd w:val="0"/>
              <w:spacing w:line="276" w:lineRule="auto"/>
              <w:ind w:left="60" w:right="60"/>
              <w:jc w:val="center"/>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xml:space="preserve">The dominant dialect in Hijaz </w:t>
            </w:r>
            <w:r w:rsidR="009B706B" w:rsidRPr="00CF31E0">
              <w:rPr>
                <w:rFonts w:asciiTheme="majorBidi" w:hAnsiTheme="majorBidi" w:cstheme="majorBidi"/>
                <w:color w:val="000000" w:themeColor="text1"/>
                <w:sz w:val="22"/>
                <w:szCs w:val="22"/>
                <w:lang w:eastAsia="en-US"/>
              </w:rPr>
              <w:t>is</w:t>
            </w:r>
          </w:p>
        </w:tc>
        <w:tc>
          <w:tcPr>
            <w:tcW w:w="850" w:type="dxa"/>
            <w:vMerge w:val="restart"/>
            <w:shd w:val="clear" w:color="auto" w:fill="FFFFFF"/>
            <w:vAlign w:val="bottom"/>
          </w:tcPr>
          <w:p w14:paraId="464A34B2" w14:textId="77777777" w:rsidR="009B706B" w:rsidRPr="00CF31E0" w:rsidRDefault="009B706B" w:rsidP="00330B2A">
            <w:pPr>
              <w:widowControl w:val="0"/>
              <w:autoSpaceDE w:val="0"/>
              <w:autoSpaceDN w:val="0"/>
              <w:adjustRightInd w:val="0"/>
              <w:spacing w:line="276" w:lineRule="auto"/>
              <w:ind w:left="60" w:right="60"/>
              <w:jc w:val="center"/>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Total</w:t>
            </w:r>
          </w:p>
        </w:tc>
      </w:tr>
      <w:tr w:rsidR="00053BEB" w:rsidRPr="00CF31E0" w14:paraId="51484A95" w14:textId="77777777" w:rsidTr="00603CB7">
        <w:trPr>
          <w:cantSplit/>
        </w:trPr>
        <w:tc>
          <w:tcPr>
            <w:tcW w:w="3266" w:type="dxa"/>
            <w:gridSpan w:val="3"/>
            <w:vMerge/>
            <w:shd w:val="clear" w:color="auto" w:fill="FFFFFF"/>
            <w:vAlign w:val="bottom"/>
          </w:tcPr>
          <w:p w14:paraId="1BE11EB5" w14:textId="77777777" w:rsidR="009B706B" w:rsidRPr="00CF31E0" w:rsidRDefault="009B706B" w:rsidP="00330B2A">
            <w:pPr>
              <w:widowControl w:val="0"/>
              <w:autoSpaceDE w:val="0"/>
              <w:autoSpaceDN w:val="0"/>
              <w:adjustRightInd w:val="0"/>
              <w:spacing w:line="276" w:lineRule="auto"/>
              <w:rPr>
                <w:rFonts w:asciiTheme="majorBidi" w:hAnsiTheme="majorBidi" w:cstheme="majorBidi"/>
                <w:color w:val="000000" w:themeColor="text1"/>
                <w:sz w:val="22"/>
                <w:szCs w:val="22"/>
                <w:lang w:eastAsia="en-US"/>
              </w:rPr>
            </w:pPr>
          </w:p>
        </w:tc>
        <w:tc>
          <w:tcPr>
            <w:tcW w:w="1134" w:type="dxa"/>
            <w:shd w:val="clear" w:color="auto" w:fill="FFFFFF"/>
            <w:vAlign w:val="bottom"/>
          </w:tcPr>
          <w:p w14:paraId="2663D8DA" w14:textId="660FD2C3" w:rsidR="009B706B" w:rsidRPr="00CF31E0" w:rsidRDefault="009B706B" w:rsidP="00330B2A">
            <w:pPr>
              <w:widowControl w:val="0"/>
              <w:autoSpaceDE w:val="0"/>
              <w:autoSpaceDN w:val="0"/>
              <w:adjustRightInd w:val="0"/>
              <w:spacing w:line="276" w:lineRule="auto"/>
              <w:ind w:left="60" w:right="60"/>
              <w:jc w:val="center"/>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UBH</w:t>
            </w:r>
          </w:p>
        </w:tc>
        <w:tc>
          <w:tcPr>
            <w:tcW w:w="850" w:type="dxa"/>
            <w:shd w:val="clear" w:color="auto" w:fill="FFFFFF"/>
            <w:vAlign w:val="bottom"/>
          </w:tcPr>
          <w:p w14:paraId="5F82E787" w14:textId="0A3109D2" w:rsidR="009B706B" w:rsidRPr="00CF31E0" w:rsidRDefault="009B706B" w:rsidP="00330B2A">
            <w:pPr>
              <w:widowControl w:val="0"/>
              <w:autoSpaceDE w:val="0"/>
              <w:autoSpaceDN w:val="0"/>
              <w:adjustRightInd w:val="0"/>
              <w:spacing w:line="276" w:lineRule="auto"/>
              <w:ind w:left="60" w:right="60"/>
              <w:jc w:val="center"/>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HH</w:t>
            </w:r>
          </w:p>
        </w:tc>
        <w:tc>
          <w:tcPr>
            <w:tcW w:w="1418" w:type="dxa"/>
            <w:shd w:val="clear" w:color="auto" w:fill="FFFFFF"/>
            <w:vAlign w:val="bottom"/>
          </w:tcPr>
          <w:p w14:paraId="3BF9190F" w14:textId="77777777" w:rsidR="009B706B" w:rsidRPr="00CF31E0" w:rsidRDefault="009B706B" w:rsidP="00330B2A">
            <w:pPr>
              <w:widowControl w:val="0"/>
              <w:autoSpaceDE w:val="0"/>
              <w:autoSpaceDN w:val="0"/>
              <w:adjustRightInd w:val="0"/>
              <w:spacing w:line="276" w:lineRule="auto"/>
              <w:ind w:left="60" w:right="60"/>
              <w:jc w:val="center"/>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No dominant</w:t>
            </w:r>
          </w:p>
        </w:tc>
        <w:tc>
          <w:tcPr>
            <w:tcW w:w="850" w:type="dxa"/>
            <w:vMerge/>
            <w:shd w:val="clear" w:color="auto" w:fill="FFFFFF"/>
            <w:vAlign w:val="bottom"/>
          </w:tcPr>
          <w:p w14:paraId="5E432752" w14:textId="77777777" w:rsidR="009B706B" w:rsidRPr="00CF31E0" w:rsidRDefault="009B706B" w:rsidP="00330B2A">
            <w:pPr>
              <w:widowControl w:val="0"/>
              <w:autoSpaceDE w:val="0"/>
              <w:autoSpaceDN w:val="0"/>
              <w:adjustRightInd w:val="0"/>
              <w:spacing w:line="276" w:lineRule="auto"/>
              <w:rPr>
                <w:rFonts w:asciiTheme="majorBidi" w:hAnsiTheme="majorBidi" w:cstheme="majorBidi"/>
                <w:color w:val="000000" w:themeColor="text1"/>
                <w:sz w:val="22"/>
                <w:szCs w:val="22"/>
                <w:lang w:eastAsia="en-US"/>
              </w:rPr>
            </w:pPr>
          </w:p>
        </w:tc>
      </w:tr>
      <w:tr w:rsidR="00053BEB" w:rsidRPr="00CF31E0" w14:paraId="403C9699" w14:textId="77777777" w:rsidTr="00603CB7">
        <w:trPr>
          <w:cantSplit/>
        </w:trPr>
        <w:tc>
          <w:tcPr>
            <w:tcW w:w="989" w:type="dxa"/>
            <w:vMerge w:val="restart"/>
            <w:shd w:val="clear" w:color="auto" w:fill="FFFFFF"/>
          </w:tcPr>
          <w:p w14:paraId="5D620F24" w14:textId="38449991" w:rsidR="009B706B" w:rsidRPr="00CF31E0" w:rsidRDefault="009B706B" w:rsidP="00330B2A">
            <w:pPr>
              <w:widowControl w:val="0"/>
              <w:autoSpaceDE w:val="0"/>
              <w:autoSpaceDN w:val="0"/>
              <w:adjustRightInd w:val="0"/>
              <w:spacing w:line="276" w:lineRule="auto"/>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Spouse’s social group</w:t>
            </w:r>
          </w:p>
        </w:tc>
        <w:tc>
          <w:tcPr>
            <w:tcW w:w="1001" w:type="dxa"/>
            <w:vMerge w:val="restart"/>
            <w:shd w:val="clear" w:color="auto" w:fill="FFFFFF"/>
          </w:tcPr>
          <w:p w14:paraId="15EBD031" w14:textId="72A8ED4A" w:rsidR="009B706B" w:rsidRPr="00CF31E0" w:rsidRDefault="009B706B" w:rsidP="00330B2A">
            <w:pPr>
              <w:widowControl w:val="0"/>
              <w:autoSpaceDE w:val="0"/>
              <w:autoSpaceDN w:val="0"/>
              <w:adjustRightInd w:val="0"/>
              <w:spacing w:line="276" w:lineRule="auto"/>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UBH</w:t>
            </w:r>
          </w:p>
        </w:tc>
        <w:tc>
          <w:tcPr>
            <w:tcW w:w="1276" w:type="dxa"/>
            <w:shd w:val="clear" w:color="auto" w:fill="FFFFFF"/>
          </w:tcPr>
          <w:p w14:paraId="129EA1CC" w14:textId="5B00C856" w:rsidR="009B706B" w:rsidRPr="00CF31E0" w:rsidRDefault="00FC52C2" w:rsidP="00330B2A">
            <w:pPr>
              <w:widowControl w:val="0"/>
              <w:autoSpaceDE w:val="0"/>
              <w:autoSpaceDN w:val="0"/>
              <w:adjustRightInd w:val="0"/>
              <w:spacing w:line="276" w:lineRule="auto"/>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Raw frequency</w:t>
            </w:r>
          </w:p>
        </w:tc>
        <w:tc>
          <w:tcPr>
            <w:tcW w:w="1134" w:type="dxa"/>
            <w:shd w:val="clear" w:color="auto" w:fill="FFFFFF"/>
            <w:vAlign w:val="center"/>
          </w:tcPr>
          <w:p w14:paraId="6AB1D936"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63</w:t>
            </w:r>
          </w:p>
        </w:tc>
        <w:tc>
          <w:tcPr>
            <w:tcW w:w="850" w:type="dxa"/>
            <w:shd w:val="clear" w:color="auto" w:fill="FFFFFF"/>
            <w:vAlign w:val="center"/>
          </w:tcPr>
          <w:p w14:paraId="43E6DF1C"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90</w:t>
            </w:r>
          </w:p>
        </w:tc>
        <w:tc>
          <w:tcPr>
            <w:tcW w:w="1418" w:type="dxa"/>
            <w:shd w:val="clear" w:color="auto" w:fill="FFFFFF"/>
            <w:vAlign w:val="center"/>
          </w:tcPr>
          <w:p w14:paraId="0B09FDA2"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75</w:t>
            </w:r>
          </w:p>
        </w:tc>
        <w:tc>
          <w:tcPr>
            <w:tcW w:w="850" w:type="dxa"/>
            <w:shd w:val="clear" w:color="auto" w:fill="FFFFFF"/>
            <w:vAlign w:val="center"/>
          </w:tcPr>
          <w:p w14:paraId="1953D5C5"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228</w:t>
            </w:r>
          </w:p>
        </w:tc>
      </w:tr>
      <w:tr w:rsidR="00053BEB" w:rsidRPr="00CF31E0" w14:paraId="40A8E58D" w14:textId="77777777" w:rsidTr="00603CB7">
        <w:trPr>
          <w:cantSplit/>
        </w:trPr>
        <w:tc>
          <w:tcPr>
            <w:tcW w:w="989" w:type="dxa"/>
            <w:vMerge/>
            <w:shd w:val="clear" w:color="auto" w:fill="FFFFFF"/>
          </w:tcPr>
          <w:p w14:paraId="6F6A2F9D" w14:textId="77777777" w:rsidR="009B706B" w:rsidRPr="00CF31E0" w:rsidRDefault="009B706B" w:rsidP="00330B2A">
            <w:pPr>
              <w:widowControl w:val="0"/>
              <w:autoSpaceDE w:val="0"/>
              <w:autoSpaceDN w:val="0"/>
              <w:adjustRightInd w:val="0"/>
              <w:spacing w:line="276" w:lineRule="auto"/>
              <w:rPr>
                <w:rFonts w:asciiTheme="majorBidi" w:hAnsiTheme="majorBidi" w:cstheme="majorBidi"/>
                <w:color w:val="000000" w:themeColor="text1"/>
                <w:sz w:val="22"/>
                <w:szCs w:val="22"/>
                <w:lang w:eastAsia="en-US"/>
              </w:rPr>
            </w:pPr>
          </w:p>
        </w:tc>
        <w:tc>
          <w:tcPr>
            <w:tcW w:w="1001" w:type="dxa"/>
            <w:vMerge/>
            <w:shd w:val="clear" w:color="auto" w:fill="FFFFFF"/>
          </w:tcPr>
          <w:p w14:paraId="57B1978A" w14:textId="77777777" w:rsidR="009B706B" w:rsidRPr="00CF31E0" w:rsidRDefault="009B706B" w:rsidP="00330B2A">
            <w:pPr>
              <w:widowControl w:val="0"/>
              <w:autoSpaceDE w:val="0"/>
              <w:autoSpaceDN w:val="0"/>
              <w:adjustRightInd w:val="0"/>
              <w:spacing w:line="276" w:lineRule="auto"/>
              <w:rPr>
                <w:rFonts w:asciiTheme="majorBidi" w:hAnsiTheme="majorBidi" w:cstheme="majorBidi"/>
                <w:color w:val="000000" w:themeColor="text1"/>
                <w:sz w:val="22"/>
                <w:szCs w:val="22"/>
                <w:lang w:eastAsia="en-US"/>
              </w:rPr>
            </w:pPr>
          </w:p>
        </w:tc>
        <w:tc>
          <w:tcPr>
            <w:tcW w:w="1276" w:type="dxa"/>
            <w:shd w:val="clear" w:color="auto" w:fill="FFFFFF"/>
          </w:tcPr>
          <w:p w14:paraId="530F6C90" w14:textId="73AEB4E9" w:rsidR="009B706B" w:rsidRPr="00CF31E0" w:rsidRDefault="009B706B" w:rsidP="00330B2A">
            <w:pPr>
              <w:widowControl w:val="0"/>
              <w:autoSpaceDE w:val="0"/>
              <w:autoSpaceDN w:val="0"/>
              <w:adjustRightInd w:val="0"/>
              <w:spacing w:line="276" w:lineRule="auto"/>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within Spouse’s social group</w:t>
            </w:r>
          </w:p>
        </w:tc>
        <w:tc>
          <w:tcPr>
            <w:tcW w:w="1134" w:type="dxa"/>
            <w:shd w:val="clear" w:color="auto" w:fill="FFFFFF"/>
            <w:vAlign w:val="center"/>
          </w:tcPr>
          <w:p w14:paraId="11C4AB94"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27.6%</w:t>
            </w:r>
          </w:p>
        </w:tc>
        <w:tc>
          <w:tcPr>
            <w:tcW w:w="850" w:type="dxa"/>
            <w:shd w:val="clear" w:color="auto" w:fill="FFFFFF"/>
            <w:vAlign w:val="center"/>
          </w:tcPr>
          <w:p w14:paraId="40F70962"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39.5%</w:t>
            </w:r>
          </w:p>
        </w:tc>
        <w:tc>
          <w:tcPr>
            <w:tcW w:w="1418" w:type="dxa"/>
            <w:shd w:val="clear" w:color="auto" w:fill="FFFFFF"/>
            <w:vAlign w:val="center"/>
          </w:tcPr>
          <w:p w14:paraId="602FCC6A"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32.9%</w:t>
            </w:r>
          </w:p>
        </w:tc>
        <w:tc>
          <w:tcPr>
            <w:tcW w:w="850" w:type="dxa"/>
            <w:shd w:val="clear" w:color="auto" w:fill="FFFFFF"/>
            <w:vAlign w:val="center"/>
          </w:tcPr>
          <w:p w14:paraId="24C1FA37"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100.0%</w:t>
            </w:r>
          </w:p>
        </w:tc>
      </w:tr>
      <w:tr w:rsidR="00053BEB" w:rsidRPr="00CF31E0" w14:paraId="221BA866" w14:textId="77777777" w:rsidTr="00603CB7">
        <w:trPr>
          <w:cantSplit/>
        </w:trPr>
        <w:tc>
          <w:tcPr>
            <w:tcW w:w="989" w:type="dxa"/>
            <w:vMerge/>
            <w:shd w:val="clear" w:color="auto" w:fill="FFFFFF"/>
          </w:tcPr>
          <w:p w14:paraId="3B02A91E" w14:textId="77777777" w:rsidR="009B706B" w:rsidRPr="00CF31E0" w:rsidRDefault="009B706B" w:rsidP="00330B2A">
            <w:pPr>
              <w:widowControl w:val="0"/>
              <w:autoSpaceDE w:val="0"/>
              <w:autoSpaceDN w:val="0"/>
              <w:adjustRightInd w:val="0"/>
              <w:spacing w:line="276" w:lineRule="auto"/>
              <w:rPr>
                <w:rFonts w:asciiTheme="majorBidi" w:hAnsiTheme="majorBidi" w:cstheme="majorBidi"/>
                <w:color w:val="000000" w:themeColor="text1"/>
                <w:sz w:val="22"/>
                <w:szCs w:val="22"/>
                <w:lang w:eastAsia="en-US"/>
              </w:rPr>
            </w:pPr>
          </w:p>
        </w:tc>
        <w:tc>
          <w:tcPr>
            <w:tcW w:w="1001" w:type="dxa"/>
            <w:vMerge/>
            <w:shd w:val="clear" w:color="auto" w:fill="FFFFFF"/>
          </w:tcPr>
          <w:p w14:paraId="701EB69E" w14:textId="77777777" w:rsidR="009B706B" w:rsidRPr="00CF31E0" w:rsidRDefault="009B706B" w:rsidP="00330B2A">
            <w:pPr>
              <w:widowControl w:val="0"/>
              <w:autoSpaceDE w:val="0"/>
              <w:autoSpaceDN w:val="0"/>
              <w:adjustRightInd w:val="0"/>
              <w:spacing w:line="276" w:lineRule="auto"/>
              <w:rPr>
                <w:rFonts w:asciiTheme="majorBidi" w:hAnsiTheme="majorBidi" w:cstheme="majorBidi"/>
                <w:color w:val="000000" w:themeColor="text1"/>
                <w:sz w:val="22"/>
                <w:szCs w:val="22"/>
                <w:lang w:eastAsia="en-US"/>
              </w:rPr>
            </w:pPr>
          </w:p>
        </w:tc>
        <w:tc>
          <w:tcPr>
            <w:tcW w:w="1276" w:type="dxa"/>
            <w:shd w:val="clear" w:color="auto" w:fill="FFFFFF"/>
          </w:tcPr>
          <w:p w14:paraId="6550B99E" w14:textId="77777777" w:rsidR="009B706B" w:rsidRPr="00CF31E0" w:rsidRDefault="009B706B" w:rsidP="00330B2A">
            <w:pPr>
              <w:widowControl w:val="0"/>
              <w:autoSpaceDE w:val="0"/>
              <w:autoSpaceDN w:val="0"/>
              <w:adjustRightInd w:val="0"/>
              <w:spacing w:line="276" w:lineRule="auto"/>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of Total</w:t>
            </w:r>
          </w:p>
        </w:tc>
        <w:tc>
          <w:tcPr>
            <w:tcW w:w="1134" w:type="dxa"/>
            <w:shd w:val="clear" w:color="auto" w:fill="FFFFFF"/>
            <w:vAlign w:val="center"/>
          </w:tcPr>
          <w:p w14:paraId="64EDC3BA"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9.7%</w:t>
            </w:r>
          </w:p>
        </w:tc>
        <w:tc>
          <w:tcPr>
            <w:tcW w:w="850" w:type="dxa"/>
            <w:shd w:val="clear" w:color="auto" w:fill="FFFFFF"/>
            <w:vAlign w:val="center"/>
          </w:tcPr>
          <w:p w14:paraId="107AB4E7"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13.9%</w:t>
            </w:r>
          </w:p>
        </w:tc>
        <w:tc>
          <w:tcPr>
            <w:tcW w:w="1418" w:type="dxa"/>
            <w:shd w:val="clear" w:color="auto" w:fill="FFFFFF"/>
            <w:vAlign w:val="center"/>
          </w:tcPr>
          <w:p w14:paraId="4E7ABED6"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11.6%</w:t>
            </w:r>
          </w:p>
        </w:tc>
        <w:tc>
          <w:tcPr>
            <w:tcW w:w="850" w:type="dxa"/>
            <w:shd w:val="clear" w:color="auto" w:fill="FFFFFF"/>
            <w:vAlign w:val="center"/>
          </w:tcPr>
          <w:p w14:paraId="55F7E511"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35.1%</w:t>
            </w:r>
          </w:p>
        </w:tc>
      </w:tr>
      <w:tr w:rsidR="00053BEB" w:rsidRPr="00CF31E0" w14:paraId="39673EE8" w14:textId="77777777" w:rsidTr="00603CB7">
        <w:trPr>
          <w:cantSplit/>
        </w:trPr>
        <w:tc>
          <w:tcPr>
            <w:tcW w:w="989" w:type="dxa"/>
            <w:vMerge/>
            <w:shd w:val="clear" w:color="auto" w:fill="FFFFFF"/>
          </w:tcPr>
          <w:p w14:paraId="1A182820" w14:textId="77777777" w:rsidR="009B706B" w:rsidRPr="00CF31E0" w:rsidRDefault="009B706B" w:rsidP="00330B2A">
            <w:pPr>
              <w:widowControl w:val="0"/>
              <w:autoSpaceDE w:val="0"/>
              <w:autoSpaceDN w:val="0"/>
              <w:adjustRightInd w:val="0"/>
              <w:spacing w:line="276" w:lineRule="auto"/>
              <w:rPr>
                <w:rFonts w:asciiTheme="majorBidi" w:hAnsiTheme="majorBidi" w:cstheme="majorBidi"/>
                <w:color w:val="000000" w:themeColor="text1"/>
                <w:sz w:val="22"/>
                <w:szCs w:val="22"/>
                <w:lang w:eastAsia="en-US"/>
              </w:rPr>
            </w:pPr>
          </w:p>
        </w:tc>
        <w:tc>
          <w:tcPr>
            <w:tcW w:w="1001" w:type="dxa"/>
            <w:vMerge w:val="restart"/>
            <w:shd w:val="clear" w:color="auto" w:fill="FFFFFF"/>
          </w:tcPr>
          <w:p w14:paraId="2BC809A6" w14:textId="12D07C0A" w:rsidR="009B706B" w:rsidRPr="00CF31E0" w:rsidRDefault="009B706B" w:rsidP="00330B2A">
            <w:pPr>
              <w:widowControl w:val="0"/>
              <w:autoSpaceDE w:val="0"/>
              <w:autoSpaceDN w:val="0"/>
              <w:adjustRightInd w:val="0"/>
              <w:spacing w:line="276" w:lineRule="auto"/>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HH</w:t>
            </w:r>
          </w:p>
        </w:tc>
        <w:tc>
          <w:tcPr>
            <w:tcW w:w="1276" w:type="dxa"/>
            <w:shd w:val="clear" w:color="auto" w:fill="FFFFFF"/>
          </w:tcPr>
          <w:p w14:paraId="3426FDB9" w14:textId="52EE2619" w:rsidR="009B706B" w:rsidRPr="00CF31E0" w:rsidRDefault="00FC52C2" w:rsidP="00330B2A">
            <w:pPr>
              <w:widowControl w:val="0"/>
              <w:autoSpaceDE w:val="0"/>
              <w:autoSpaceDN w:val="0"/>
              <w:adjustRightInd w:val="0"/>
              <w:spacing w:line="276" w:lineRule="auto"/>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Raw frequency</w:t>
            </w:r>
          </w:p>
        </w:tc>
        <w:tc>
          <w:tcPr>
            <w:tcW w:w="1134" w:type="dxa"/>
            <w:shd w:val="clear" w:color="auto" w:fill="FFFFFF"/>
            <w:vAlign w:val="center"/>
          </w:tcPr>
          <w:p w14:paraId="56E06292"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8</w:t>
            </w:r>
          </w:p>
        </w:tc>
        <w:tc>
          <w:tcPr>
            <w:tcW w:w="850" w:type="dxa"/>
            <w:shd w:val="clear" w:color="auto" w:fill="FFFFFF"/>
            <w:vAlign w:val="center"/>
          </w:tcPr>
          <w:p w14:paraId="79325600"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118</w:t>
            </w:r>
          </w:p>
        </w:tc>
        <w:tc>
          <w:tcPr>
            <w:tcW w:w="1418" w:type="dxa"/>
            <w:shd w:val="clear" w:color="auto" w:fill="FFFFFF"/>
            <w:vAlign w:val="center"/>
          </w:tcPr>
          <w:p w14:paraId="1B1A2B79"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118</w:t>
            </w:r>
          </w:p>
        </w:tc>
        <w:tc>
          <w:tcPr>
            <w:tcW w:w="850" w:type="dxa"/>
            <w:shd w:val="clear" w:color="auto" w:fill="FFFFFF"/>
            <w:vAlign w:val="center"/>
          </w:tcPr>
          <w:p w14:paraId="560282F8"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244</w:t>
            </w:r>
          </w:p>
        </w:tc>
      </w:tr>
      <w:tr w:rsidR="00053BEB" w:rsidRPr="00CF31E0" w14:paraId="484F74FF" w14:textId="77777777" w:rsidTr="00603CB7">
        <w:trPr>
          <w:cantSplit/>
        </w:trPr>
        <w:tc>
          <w:tcPr>
            <w:tcW w:w="989" w:type="dxa"/>
            <w:vMerge/>
            <w:shd w:val="clear" w:color="auto" w:fill="FFFFFF"/>
          </w:tcPr>
          <w:p w14:paraId="48E529D1" w14:textId="77777777" w:rsidR="009B706B" w:rsidRPr="00CF31E0" w:rsidRDefault="009B706B" w:rsidP="00330B2A">
            <w:pPr>
              <w:widowControl w:val="0"/>
              <w:autoSpaceDE w:val="0"/>
              <w:autoSpaceDN w:val="0"/>
              <w:adjustRightInd w:val="0"/>
              <w:spacing w:line="276" w:lineRule="auto"/>
              <w:rPr>
                <w:rFonts w:asciiTheme="majorBidi" w:hAnsiTheme="majorBidi" w:cstheme="majorBidi"/>
                <w:color w:val="000000" w:themeColor="text1"/>
                <w:sz w:val="22"/>
                <w:szCs w:val="22"/>
                <w:lang w:eastAsia="en-US"/>
              </w:rPr>
            </w:pPr>
          </w:p>
        </w:tc>
        <w:tc>
          <w:tcPr>
            <w:tcW w:w="1001" w:type="dxa"/>
            <w:vMerge/>
            <w:shd w:val="clear" w:color="auto" w:fill="FFFFFF"/>
          </w:tcPr>
          <w:p w14:paraId="1A82011B" w14:textId="77777777" w:rsidR="009B706B" w:rsidRPr="00CF31E0" w:rsidRDefault="009B706B" w:rsidP="00330B2A">
            <w:pPr>
              <w:widowControl w:val="0"/>
              <w:autoSpaceDE w:val="0"/>
              <w:autoSpaceDN w:val="0"/>
              <w:adjustRightInd w:val="0"/>
              <w:spacing w:line="276" w:lineRule="auto"/>
              <w:rPr>
                <w:rFonts w:asciiTheme="majorBidi" w:hAnsiTheme="majorBidi" w:cstheme="majorBidi"/>
                <w:color w:val="000000" w:themeColor="text1"/>
                <w:sz w:val="22"/>
                <w:szCs w:val="22"/>
                <w:lang w:eastAsia="en-US"/>
              </w:rPr>
            </w:pPr>
          </w:p>
        </w:tc>
        <w:tc>
          <w:tcPr>
            <w:tcW w:w="1276" w:type="dxa"/>
            <w:shd w:val="clear" w:color="auto" w:fill="FFFFFF"/>
          </w:tcPr>
          <w:p w14:paraId="08713BE8" w14:textId="609B7399" w:rsidR="009B706B" w:rsidRPr="00CF31E0" w:rsidRDefault="009B706B" w:rsidP="00330B2A">
            <w:pPr>
              <w:widowControl w:val="0"/>
              <w:autoSpaceDE w:val="0"/>
              <w:autoSpaceDN w:val="0"/>
              <w:adjustRightInd w:val="0"/>
              <w:spacing w:line="276" w:lineRule="auto"/>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within Spouse’s social group</w:t>
            </w:r>
          </w:p>
        </w:tc>
        <w:tc>
          <w:tcPr>
            <w:tcW w:w="1134" w:type="dxa"/>
            <w:shd w:val="clear" w:color="auto" w:fill="FFFFFF"/>
            <w:vAlign w:val="center"/>
          </w:tcPr>
          <w:p w14:paraId="7B13F79D"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3.3%</w:t>
            </w:r>
          </w:p>
        </w:tc>
        <w:tc>
          <w:tcPr>
            <w:tcW w:w="850" w:type="dxa"/>
            <w:shd w:val="clear" w:color="auto" w:fill="FFFFFF"/>
            <w:vAlign w:val="center"/>
          </w:tcPr>
          <w:p w14:paraId="480F350D"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48.4%</w:t>
            </w:r>
          </w:p>
        </w:tc>
        <w:tc>
          <w:tcPr>
            <w:tcW w:w="1418" w:type="dxa"/>
            <w:shd w:val="clear" w:color="auto" w:fill="FFFFFF"/>
            <w:vAlign w:val="center"/>
          </w:tcPr>
          <w:p w14:paraId="0A7306AC"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48.4%</w:t>
            </w:r>
          </w:p>
        </w:tc>
        <w:tc>
          <w:tcPr>
            <w:tcW w:w="850" w:type="dxa"/>
            <w:shd w:val="clear" w:color="auto" w:fill="FFFFFF"/>
            <w:vAlign w:val="center"/>
          </w:tcPr>
          <w:p w14:paraId="79D3AAE1"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100.0%</w:t>
            </w:r>
          </w:p>
        </w:tc>
      </w:tr>
      <w:tr w:rsidR="00053BEB" w:rsidRPr="00CF31E0" w14:paraId="1DF9F109" w14:textId="77777777" w:rsidTr="00603CB7">
        <w:trPr>
          <w:cantSplit/>
        </w:trPr>
        <w:tc>
          <w:tcPr>
            <w:tcW w:w="989" w:type="dxa"/>
            <w:vMerge/>
            <w:shd w:val="clear" w:color="auto" w:fill="FFFFFF"/>
          </w:tcPr>
          <w:p w14:paraId="622125C6" w14:textId="77777777" w:rsidR="009B706B" w:rsidRPr="00CF31E0" w:rsidRDefault="009B706B" w:rsidP="00330B2A">
            <w:pPr>
              <w:widowControl w:val="0"/>
              <w:autoSpaceDE w:val="0"/>
              <w:autoSpaceDN w:val="0"/>
              <w:adjustRightInd w:val="0"/>
              <w:spacing w:line="276" w:lineRule="auto"/>
              <w:rPr>
                <w:rFonts w:asciiTheme="majorBidi" w:hAnsiTheme="majorBidi" w:cstheme="majorBidi"/>
                <w:color w:val="000000" w:themeColor="text1"/>
                <w:sz w:val="22"/>
                <w:szCs w:val="22"/>
                <w:lang w:eastAsia="en-US"/>
              </w:rPr>
            </w:pPr>
          </w:p>
        </w:tc>
        <w:tc>
          <w:tcPr>
            <w:tcW w:w="1001" w:type="dxa"/>
            <w:vMerge/>
            <w:shd w:val="clear" w:color="auto" w:fill="FFFFFF"/>
          </w:tcPr>
          <w:p w14:paraId="2CB2F742" w14:textId="77777777" w:rsidR="009B706B" w:rsidRPr="00CF31E0" w:rsidRDefault="009B706B" w:rsidP="00330B2A">
            <w:pPr>
              <w:widowControl w:val="0"/>
              <w:autoSpaceDE w:val="0"/>
              <w:autoSpaceDN w:val="0"/>
              <w:adjustRightInd w:val="0"/>
              <w:spacing w:line="276" w:lineRule="auto"/>
              <w:rPr>
                <w:rFonts w:asciiTheme="majorBidi" w:hAnsiTheme="majorBidi" w:cstheme="majorBidi"/>
                <w:color w:val="000000" w:themeColor="text1"/>
                <w:sz w:val="22"/>
                <w:szCs w:val="22"/>
                <w:lang w:eastAsia="en-US"/>
              </w:rPr>
            </w:pPr>
          </w:p>
        </w:tc>
        <w:tc>
          <w:tcPr>
            <w:tcW w:w="1276" w:type="dxa"/>
            <w:shd w:val="clear" w:color="auto" w:fill="FFFFFF"/>
          </w:tcPr>
          <w:p w14:paraId="68C4645C" w14:textId="77777777" w:rsidR="009B706B" w:rsidRPr="00CF31E0" w:rsidRDefault="009B706B" w:rsidP="00330B2A">
            <w:pPr>
              <w:widowControl w:val="0"/>
              <w:autoSpaceDE w:val="0"/>
              <w:autoSpaceDN w:val="0"/>
              <w:adjustRightInd w:val="0"/>
              <w:spacing w:line="276" w:lineRule="auto"/>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of Total</w:t>
            </w:r>
          </w:p>
        </w:tc>
        <w:tc>
          <w:tcPr>
            <w:tcW w:w="1134" w:type="dxa"/>
            <w:shd w:val="clear" w:color="auto" w:fill="FFFFFF"/>
            <w:vAlign w:val="center"/>
          </w:tcPr>
          <w:p w14:paraId="514AFEE7"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1.2%</w:t>
            </w:r>
          </w:p>
        </w:tc>
        <w:tc>
          <w:tcPr>
            <w:tcW w:w="850" w:type="dxa"/>
            <w:shd w:val="clear" w:color="auto" w:fill="FFFFFF"/>
            <w:vAlign w:val="center"/>
          </w:tcPr>
          <w:p w14:paraId="4521C9D2"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18.2%</w:t>
            </w:r>
          </w:p>
        </w:tc>
        <w:tc>
          <w:tcPr>
            <w:tcW w:w="1418" w:type="dxa"/>
            <w:shd w:val="clear" w:color="auto" w:fill="FFFFFF"/>
            <w:vAlign w:val="center"/>
          </w:tcPr>
          <w:p w14:paraId="3C485854"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18.2%</w:t>
            </w:r>
          </w:p>
        </w:tc>
        <w:tc>
          <w:tcPr>
            <w:tcW w:w="850" w:type="dxa"/>
            <w:shd w:val="clear" w:color="auto" w:fill="FFFFFF"/>
            <w:vAlign w:val="center"/>
          </w:tcPr>
          <w:p w14:paraId="3E715C97"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37.6%</w:t>
            </w:r>
          </w:p>
        </w:tc>
      </w:tr>
      <w:tr w:rsidR="00053BEB" w:rsidRPr="00CF31E0" w14:paraId="0A1D3AAD" w14:textId="77777777" w:rsidTr="00603CB7">
        <w:trPr>
          <w:cantSplit/>
        </w:trPr>
        <w:tc>
          <w:tcPr>
            <w:tcW w:w="989" w:type="dxa"/>
            <w:vMerge/>
            <w:shd w:val="clear" w:color="auto" w:fill="FFFFFF"/>
          </w:tcPr>
          <w:p w14:paraId="18A0BA7E" w14:textId="77777777" w:rsidR="009B706B" w:rsidRPr="00CF31E0" w:rsidRDefault="009B706B" w:rsidP="00330B2A">
            <w:pPr>
              <w:widowControl w:val="0"/>
              <w:autoSpaceDE w:val="0"/>
              <w:autoSpaceDN w:val="0"/>
              <w:adjustRightInd w:val="0"/>
              <w:spacing w:line="276" w:lineRule="auto"/>
              <w:rPr>
                <w:rFonts w:asciiTheme="majorBidi" w:hAnsiTheme="majorBidi" w:cstheme="majorBidi"/>
                <w:color w:val="000000" w:themeColor="text1"/>
                <w:sz w:val="22"/>
                <w:szCs w:val="22"/>
                <w:lang w:eastAsia="en-US"/>
              </w:rPr>
            </w:pPr>
          </w:p>
        </w:tc>
        <w:tc>
          <w:tcPr>
            <w:tcW w:w="1001" w:type="dxa"/>
            <w:vMerge w:val="restart"/>
            <w:shd w:val="clear" w:color="auto" w:fill="FFFFFF"/>
          </w:tcPr>
          <w:p w14:paraId="1CBD2615" w14:textId="77777777" w:rsidR="009B706B" w:rsidRPr="00CF31E0" w:rsidRDefault="009B706B" w:rsidP="00330B2A">
            <w:pPr>
              <w:widowControl w:val="0"/>
              <w:autoSpaceDE w:val="0"/>
              <w:autoSpaceDN w:val="0"/>
              <w:adjustRightInd w:val="0"/>
              <w:spacing w:line="276" w:lineRule="auto"/>
              <w:ind w:left="60" w:right="60"/>
              <w:rPr>
                <w:rFonts w:eastAsia="Times New Roman"/>
                <w:color w:val="000000" w:themeColor="text1"/>
                <w:sz w:val="22"/>
                <w:szCs w:val="22"/>
              </w:rPr>
            </w:pPr>
            <w:r w:rsidRPr="00CF31E0">
              <w:rPr>
                <w:rFonts w:eastAsia="Times New Roman"/>
                <w:color w:val="000000" w:themeColor="text1"/>
                <w:sz w:val="22"/>
                <w:szCs w:val="22"/>
              </w:rPr>
              <w:t>Single, divorced, widow/</w:t>
            </w:r>
          </w:p>
          <w:p w14:paraId="691F2D8A" w14:textId="1F6AB6C4" w:rsidR="009B706B" w:rsidRPr="00CF31E0" w:rsidRDefault="009B706B" w:rsidP="00330B2A">
            <w:pPr>
              <w:widowControl w:val="0"/>
              <w:autoSpaceDE w:val="0"/>
              <w:autoSpaceDN w:val="0"/>
              <w:adjustRightInd w:val="0"/>
              <w:spacing w:line="276" w:lineRule="auto"/>
              <w:ind w:left="60" w:right="60"/>
              <w:rPr>
                <w:rFonts w:asciiTheme="majorBidi" w:hAnsiTheme="majorBidi" w:cstheme="majorBidi"/>
                <w:color w:val="000000" w:themeColor="text1"/>
                <w:sz w:val="22"/>
                <w:szCs w:val="22"/>
                <w:lang w:eastAsia="en-US"/>
              </w:rPr>
            </w:pPr>
            <w:r w:rsidRPr="00CF31E0">
              <w:rPr>
                <w:rFonts w:eastAsia="Times New Roman"/>
                <w:color w:val="000000" w:themeColor="text1"/>
                <w:sz w:val="22"/>
                <w:szCs w:val="22"/>
              </w:rPr>
              <w:t>widower</w:t>
            </w:r>
          </w:p>
        </w:tc>
        <w:tc>
          <w:tcPr>
            <w:tcW w:w="1276" w:type="dxa"/>
            <w:shd w:val="clear" w:color="auto" w:fill="FFFFFF"/>
          </w:tcPr>
          <w:p w14:paraId="6C23090E" w14:textId="322BAD85" w:rsidR="009B706B" w:rsidRPr="00CF31E0" w:rsidRDefault="00FC52C2" w:rsidP="00330B2A">
            <w:pPr>
              <w:widowControl w:val="0"/>
              <w:autoSpaceDE w:val="0"/>
              <w:autoSpaceDN w:val="0"/>
              <w:adjustRightInd w:val="0"/>
              <w:spacing w:line="276" w:lineRule="auto"/>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Raw frequency</w:t>
            </w:r>
          </w:p>
        </w:tc>
        <w:tc>
          <w:tcPr>
            <w:tcW w:w="1134" w:type="dxa"/>
            <w:shd w:val="clear" w:color="auto" w:fill="FFFFFF"/>
            <w:vAlign w:val="center"/>
          </w:tcPr>
          <w:p w14:paraId="171F5CF1"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38</w:t>
            </w:r>
          </w:p>
        </w:tc>
        <w:tc>
          <w:tcPr>
            <w:tcW w:w="850" w:type="dxa"/>
            <w:shd w:val="clear" w:color="auto" w:fill="FFFFFF"/>
            <w:vAlign w:val="center"/>
          </w:tcPr>
          <w:p w14:paraId="293D50F6"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86</w:t>
            </w:r>
          </w:p>
        </w:tc>
        <w:tc>
          <w:tcPr>
            <w:tcW w:w="1418" w:type="dxa"/>
            <w:shd w:val="clear" w:color="auto" w:fill="FFFFFF"/>
            <w:vAlign w:val="center"/>
          </w:tcPr>
          <w:p w14:paraId="3057A4D1"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53</w:t>
            </w:r>
          </w:p>
        </w:tc>
        <w:tc>
          <w:tcPr>
            <w:tcW w:w="850" w:type="dxa"/>
            <w:shd w:val="clear" w:color="auto" w:fill="FFFFFF"/>
            <w:vAlign w:val="center"/>
          </w:tcPr>
          <w:p w14:paraId="2D5AA94A"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177</w:t>
            </w:r>
          </w:p>
        </w:tc>
      </w:tr>
      <w:tr w:rsidR="00053BEB" w:rsidRPr="00CF31E0" w14:paraId="6AC3901F" w14:textId="77777777" w:rsidTr="00603CB7">
        <w:trPr>
          <w:cantSplit/>
        </w:trPr>
        <w:tc>
          <w:tcPr>
            <w:tcW w:w="989" w:type="dxa"/>
            <w:vMerge/>
            <w:shd w:val="clear" w:color="auto" w:fill="FFFFFF"/>
          </w:tcPr>
          <w:p w14:paraId="1E60BA91" w14:textId="77777777" w:rsidR="009B706B" w:rsidRPr="00CF31E0" w:rsidRDefault="009B706B" w:rsidP="00330B2A">
            <w:pPr>
              <w:widowControl w:val="0"/>
              <w:autoSpaceDE w:val="0"/>
              <w:autoSpaceDN w:val="0"/>
              <w:adjustRightInd w:val="0"/>
              <w:spacing w:line="276" w:lineRule="auto"/>
              <w:rPr>
                <w:rFonts w:asciiTheme="majorBidi" w:hAnsiTheme="majorBidi" w:cstheme="majorBidi"/>
                <w:color w:val="000000" w:themeColor="text1"/>
                <w:sz w:val="22"/>
                <w:szCs w:val="22"/>
                <w:lang w:eastAsia="en-US"/>
              </w:rPr>
            </w:pPr>
          </w:p>
        </w:tc>
        <w:tc>
          <w:tcPr>
            <w:tcW w:w="1001" w:type="dxa"/>
            <w:vMerge/>
            <w:shd w:val="clear" w:color="auto" w:fill="FFFFFF"/>
          </w:tcPr>
          <w:p w14:paraId="7FE21D98" w14:textId="77777777" w:rsidR="009B706B" w:rsidRPr="00CF31E0" w:rsidRDefault="009B706B" w:rsidP="00330B2A">
            <w:pPr>
              <w:widowControl w:val="0"/>
              <w:autoSpaceDE w:val="0"/>
              <w:autoSpaceDN w:val="0"/>
              <w:adjustRightInd w:val="0"/>
              <w:spacing w:line="276" w:lineRule="auto"/>
              <w:rPr>
                <w:rFonts w:asciiTheme="majorBidi" w:hAnsiTheme="majorBidi" w:cstheme="majorBidi"/>
                <w:color w:val="000000" w:themeColor="text1"/>
                <w:sz w:val="22"/>
                <w:szCs w:val="22"/>
                <w:lang w:eastAsia="en-US"/>
              </w:rPr>
            </w:pPr>
          </w:p>
        </w:tc>
        <w:tc>
          <w:tcPr>
            <w:tcW w:w="1276" w:type="dxa"/>
            <w:shd w:val="clear" w:color="auto" w:fill="FFFFFF"/>
          </w:tcPr>
          <w:p w14:paraId="20965704" w14:textId="3F186633" w:rsidR="009B706B" w:rsidRPr="00CF31E0" w:rsidRDefault="009B706B" w:rsidP="00330B2A">
            <w:pPr>
              <w:widowControl w:val="0"/>
              <w:autoSpaceDE w:val="0"/>
              <w:autoSpaceDN w:val="0"/>
              <w:adjustRightInd w:val="0"/>
              <w:spacing w:line="276" w:lineRule="auto"/>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within Spouse’s social group</w:t>
            </w:r>
          </w:p>
        </w:tc>
        <w:tc>
          <w:tcPr>
            <w:tcW w:w="1134" w:type="dxa"/>
            <w:shd w:val="clear" w:color="auto" w:fill="FFFFFF"/>
            <w:vAlign w:val="center"/>
          </w:tcPr>
          <w:p w14:paraId="4295059A"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21.5%</w:t>
            </w:r>
          </w:p>
        </w:tc>
        <w:tc>
          <w:tcPr>
            <w:tcW w:w="850" w:type="dxa"/>
            <w:shd w:val="clear" w:color="auto" w:fill="FFFFFF"/>
            <w:vAlign w:val="center"/>
          </w:tcPr>
          <w:p w14:paraId="6A04B3EB"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48.6%</w:t>
            </w:r>
          </w:p>
        </w:tc>
        <w:tc>
          <w:tcPr>
            <w:tcW w:w="1418" w:type="dxa"/>
            <w:shd w:val="clear" w:color="auto" w:fill="FFFFFF"/>
            <w:vAlign w:val="center"/>
          </w:tcPr>
          <w:p w14:paraId="51772971"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29.9%</w:t>
            </w:r>
          </w:p>
        </w:tc>
        <w:tc>
          <w:tcPr>
            <w:tcW w:w="850" w:type="dxa"/>
            <w:shd w:val="clear" w:color="auto" w:fill="FFFFFF"/>
            <w:vAlign w:val="center"/>
          </w:tcPr>
          <w:p w14:paraId="637DC38B"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100.0%</w:t>
            </w:r>
          </w:p>
        </w:tc>
      </w:tr>
      <w:tr w:rsidR="00053BEB" w:rsidRPr="00CF31E0" w14:paraId="6840B88B" w14:textId="77777777" w:rsidTr="00603CB7">
        <w:trPr>
          <w:cantSplit/>
        </w:trPr>
        <w:tc>
          <w:tcPr>
            <w:tcW w:w="989" w:type="dxa"/>
            <w:vMerge/>
            <w:shd w:val="clear" w:color="auto" w:fill="FFFFFF"/>
          </w:tcPr>
          <w:p w14:paraId="6EAB5B48" w14:textId="77777777" w:rsidR="009B706B" w:rsidRPr="00CF31E0" w:rsidRDefault="009B706B" w:rsidP="00330B2A">
            <w:pPr>
              <w:widowControl w:val="0"/>
              <w:autoSpaceDE w:val="0"/>
              <w:autoSpaceDN w:val="0"/>
              <w:adjustRightInd w:val="0"/>
              <w:spacing w:line="276" w:lineRule="auto"/>
              <w:rPr>
                <w:rFonts w:asciiTheme="majorBidi" w:hAnsiTheme="majorBidi" w:cstheme="majorBidi"/>
                <w:color w:val="000000" w:themeColor="text1"/>
                <w:sz w:val="22"/>
                <w:szCs w:val="22"/>
                <w:lang w:eastAsia="en-US"/>
              </w:rPr>
            </w:pPr>
          </w:p>
        </w:tc>
        <w:tc>
          <w:tcPr>
            <w:tcW w:w="1001" w:type="dxa"/>
            <w:vMerge/>
            <w:shd w:val="clear" w:color="auto" w:fill="FFFFFF"/>
          </w:tcPr>
          <w:p w14:paraId="3ED9D337" w14:textId="77777777" w:rsidR="009B706B" w:rsidRPr="00CF31E0" w:rsidRDefault="009B706B" w:rsidP="00330B2A">
            <w:pPr>
              <w:widowControl w:val="0"/>
              <w:autoSpaceDE w:val="0"/>
              <w:autoSpaceDN w:val="0"/>
              <w:adjustRightInd w:val="0"/>
              <w:spacing w:line="276" w:lineRule="auto"/>
              <w:rPr>
                <w:rFonts w:asciiTheme="majorBidi" w:hAnsiTheme="majorBidi" w:cstheme="majorBidi"/>
                <w:color w:val="000000" w:themeColor="text1"/>
                <w:sz w:val="22"/>
                <w:szCs w:val="22"/>
                <w:lang w:eastAsia="en-US"/>
              </w:rPr>
            </w:pPr>
          </w:p>
        </w:tc>
        <w:tc>
          <w:tcPr>
            <w:tcW w:w="1276" w:type="dxa"/>
            <w:shd w:val="clear" w:color="auto" w:fill="FFFFFF"/>
          </w:tcPr>
          <w:p w14:paraId="4588BAC6" w14:textId="77777777" w:rsidR="009B706B" w:rsidRPr="00CF31E0" w:rsidRDefault="009B706B" w:rsidP="00330B2A">
            <w:pPr>
              <w:widowControl w:val="0"/>
              <w:autoSpaceDE w:val="0"/>
              <w:autoSpaceDN w:val="0"/>
              <w:adjustRightInd w:val="0"/>
              <w:spacing w:line="276" w:lineRule="auto"/>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of Total</w:t>
            </w:r>
          </w:p>
        </w:tc>
        <w:tc>
          <w:tcPr>
            <w:tcW w:w="1134" w:type="dxa"/>
            <w:shd w:val="clear" w:color="auto" w:fill="FFFFFF"/>
            <w:vAlign w:val="center"/>
          </w:tcPr>
          <w:p w14:paraId="297216F2"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5.9%</w:t>
            </w:r>
          </w:p>
        </w:tc>
        <w:tc>
          <w:tcPr>
            <w:tcW w:w="850" w:type="dxa"/>
            <w:shd w:val="clear" w:color="auto" w:fill="FFFFFF"/>
            <w:vAlign w:val="center"/>
          </w:tcPr>
          <w:p w14:paraId="18E713AA"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13.3%</w:t>
            </w:r>
          </w:p>
        </w:tc>
        <w:tc>
          <w:tcPr>
            <w:tcW w:w="1418" w:type="dxa"/>
            <w:shd w:val="clear" w:color="auto" w:fill="FFFFFF"/>
            <w:vAlign w:val="center"/>
          </w:tcPr>
          <w:p w14:paraId="73EA1AC0"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8.2%</w:t>
            </w:r>
          </w:p>
        </w:tc>
        <w:tc>
          <w:tcPr>
            <w:tcW w:w="850" w:type="dxa"/>
            <w:shd w:val="clear" w:color="auto" w:fill="FFFFFF"/>
            <w:vAlign w:val="center"/>
          </w:tcPr>
          <w:p w14:paraId="77112837"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27.3%</w:t>
            </w:r>
          </w:p>
        </w:tc>
      </w:tr>
      <w:tr w:rsidR="00053BEB" w:rsidRPr="00CF31E0" w14:paraId="20D8C06A" w14:textId="77777777" w:rsidTr="00603CB7">
        <w:trPr>
          <w:cantSplit/>
        </w:trPr>
        <w:tc>
          <w:tcPr>
            <w:tcW w:w="1990" w:type="dxa"/>
            <w:gridSpan w:val="2"/>
            <w:vMerge w:val="restart"/>
            <w:shd w:val="clear" w:color="auto" w:fill="FFFFFF"/>
          </w:tcPr>
          <w:p w14:paraId="15F4A25C" w14:textId="77777777" w:rsidR="009B706B" w:rsidRPr="00CF31E0" w:rsidRDefault="009B706B" w:rsidP="00330B2A">
            <w:pPr>
              <w:widowControl w:val="0"/>
              <w:autoSpaceDE w:val="0"/>
              <w:autoSpaceDN w:val="0"/>
              <w:adjustRightInd w:val="0"/>
              <w:spacing w:line="276" w:lineRule="auto"/>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Total</w:t>
            </w:r>
          </w:p>
        </w:tc>
        <w:tc>
          <w:tcPr>
            <w:tcW w:w="1276" w:type="dxa"/>
            <w:shd w:val="clear" w:color="auto" w:fill="FFFFFF"/>
          </w:tcPr>
          <w:p w14:paraId="6505728B" w14:textId="546938F8" w:rsidR="009B706B" w:rsidRPr="00CF31E0" w:rsidRDefault="00FC52C2" w:rsidP="00330B2A">
            <w:pPr>
              <w:widowControl w:val="0"/>
              <w:autoSpaceDE w:val="0"/>
              <w:autoSpaceDN w:val="0"/>
              <w:adjustRightInd w:val="0"/>
              <w:spacing w:line="276" w:lineRule="auto"/>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Raw frequency</w:t>
            </w:r>
          </w:p>
        </w:tc>
        <w:tc>
          <w:tcPr>
            <w:tcW w:w="1134" w:type="dxa"/>
            <w:shd w:val="clear" w:color="auto" w:fill="FFFFFF"/>
            <w:vAlign w:val="center"/>
          </w:tcPr>
          <w:p w14:paraId="1D083782"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109</w:t>
            </w:r>
          </w:p>
        </w:tc>
        <w:tc>
          <w:tcPr>
            <w:tcW w:w="850" w:type="dxa"/>
            <w:shd w:val="clear" w:color="auto" w:fill="FFFFFF"/>
            <w:vAlign w:val="center"/>
          </w:tcPr>
          <w:p w14:paraId="5F46371D"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294</w:t>
            </w:r>
          </w:p>
        </w:tc>
        <w:tc>
          <w:tcPr>
            <w:tcW w:w="1418" w:type="dxa"/>
            <w:shd w:val="clear" w:color="auto" w:fill="FFFFFF"/>
            <w:vAlign w:val="center"/>
          </w:tcPr>
          <w:p w14:paraId="23BD38EA"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246</w:t>
            </w:r>
          </w:p>
        </w:tc>
        <w:tc>
          <w:tcPr>
            <w:tcW w:w="850" w:type="dxa"/>
            <w:shd w:val="clear" w:color="auto" w:fill="FFFFFF"/>
            <w:vAlign w:val="center"/>
          </w:tcPr>
          <w:p w14:paraId="2D3D39A2"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r>
      <w:tr w:rsidR="00053BEB" w:rsidRPr="00CF31E0" w14:paraId="61CD3D81" w14:textId="77777777" w:rsidTr="00603CB7">
        <w:trPr>
          <w:cantSplit/>
        </w:trPr>
        <w:tc>
          <w:tcPr>
            <w:tcW w:w="1990" w:type="dxa"/>
            <w:gridSpan w:val="2"/>
            <w:vMerge/>
            <w:shd w:val="clear" w:color="auto" w:fill="FFFFFF"/>
          </w:tcPr>
          <w:p w14:paraId="365A5DB4" w14:textId="77777777" w:rsidR="009B706B" w:rsidRPr="00CF31E0" w:rsidRDefault="009B706B" w:rsidP="00330B2A">
            <w:pPr>
              <w:widowControl w:val="0"/>
              <w:autoSpaceDE w:val="0"/>
              <w:autoSpaceDN w:val="0"/>
              <w:adjustRightInd w:val="0"/>
              <w:spacing w:line="276" w:lineRule="auto"/>
              <w:rPr>
                <w:rFonts w:asciiTheme="majorBidi" w:hAnsiTheme="majorBidi" w:cstheme="majorBidi"/>
                <w:color w:val="000000" w:themeColor="text1"/>
                <w:sz w:val="22"/>
                <w:szCs w:val="22"/>
                <w:lang w:eastAsia="en-US"/>
              </w:rPr>
            </w:pPr>
          </w:p>
        </w:tc>
        <w:tc>
          <w:tcPr>
            <w:tcW w:w="1276" w:type="dxa"/>
            <w:shd w:val="clear" w:color="auto" w:fill="FFFFFF"/>
          </w:tcPr>
          <w:p w14:paraId="43C988E6" w14:textId="0874621F" w:rsidR="009B706B" w:rsidRPr="00CF31E0" w:rsidRDefault="009B706B" w:rsidP="00330B2A">
            <w:pPr>
              <w:widowControl w:val="0"/>
              <w:autoSpaceDE w:val="0"/>
              <w:autoSpaceDN w:val="0"/>
              <w:adjustRightInd w:val="0"/>
              <w:spacing w:line="276" w:lineRule="auto"/>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within Spouse’s social group</w:t>
            </w:r>
          </w:p>
        </w:tc>
        <w:tc>
          <w:tcPr>
            <w:tcW w:w="1134" w:type="dxa"/>
            <w:shd w:val="clear" w:color="auto" w:fill="FFFFFF"/>
            <w:vAlign w:val="center"/>
          </w:tcPr>
          <w:p w14:paraId="2595B679"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16.8%</w:t>
            </w:r>
          </w:p>
        </w:tc>
        <w:tc>
          <w:tcPr>
            <w:tcW w:w="850" w:type="dxa"/>
            <w:shd w:val="clear" w:color="auto" w:fill="FFFFFF"/>
            <w:vAlign w:val="center"/>
          </w:tcPr>
          <w:p w14:paraId="7B860E67"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45.3%</w:t>
            </w:r>
          </w:p>
        </w:tc>
        <w:tc>
          <w:tcPr>
            <w:tcW w:w="1418" w:type="dxa"/>
            <w:shd w:val="clear" w:color="auto" w:fill="FFFFFF"/>
            <w:vAlign w:val="center"/>
          </w:tcPr>
          <w:p w14:paraId="60E38C70"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37.9%</w:t>
            </w:r>
          </w:p>
        </w:tc>
        <w:tc>
          <w:tcPr>
            <w:tcW w:w="850" w:type="dxa"/>
            <w:shd w:val="clear" w:color="auto" w:fill="FFFFFF"/>
            <w:vAlign w:val="center"/>
          </w:tcPr>
          <w:p w14:paraId="148F8AD1"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100.0%</w:t>
            </w:r>
          </w:p>
        </w:tc>
      </w:tr>
      <w:tr w:rsidR="00053BEB" w:rsidRPr="00CF31E0" w14:paraId="3DE26520" w14:textId="77777777" w:rsidTr="00603CB7">
        <w:trPr>
          <w:cantSplit/>
        </w:trPr>
        <w:tc>
          <w:tcPr>
            <w:tcW w:w="1990" w:type="dxa"/>
            <w:gridSpan w:val="2"/>
            <w:vMerge/>
            <w:shd w:val="clear" w:color="auto" w:fill="FFFFFF"/>
          </w:tcPr>
          <w:p w14:paraId="36748C53" w14:textId="77777777" w:rsidR="009B706B" w:rsidRPr="00CF31E0" w:rsidRDefault="009B706B" w:rsidP="00330B2A">
            <w:pPr>
              <w:widowControl w:val="0"/>
              <w:autoSpaceDE w:val="0"/>
              <w:autoSpaceDN w:val="0"/>
              <w:adjustRightInd w:val="0"/>
              <w:spacing w:line="276" w:lineRule="auto"/>
              <w:rPr>
                <w:rFonts w:asciiTheme="majorBidi" w:hAnsiTheme="majorBidi" w:cstheme="majorBidi"/>
                <w:color w:val="000000" w:themeColor="text1"/>
                <w:sz w:val="22"/>
                <w:szCs w:val="22"/>
                <w:lang w:eastAsia="en-US"/>
              </w:rPr>
            </w:pPr>
          </w:p>
        </w:tc>
        <w:tc>
          <w:tcPr>
            <w:tcW w:w="1276" w:type="dxa"/>
            <w:shd w:val="clear" w:color="auto" w:fill="FFFFFF"/>
          </w:tcPr>
          <w:p w14:paraId="3038144F" w14:textId="77777777" w:rsidR="009B706B" w:rsidRPr="00CF31E0" w:rsidRDefault="009B706B" w:rsidP="00330B2A">
            <w:pPr>
              <w:widowControl w:val="0"/>
              <w:autoSpaceDE w:val="0"/>
              <w:autoSpaceDN w:val="0"/>
              <w:adjustRightInd w:val="0"/>
              <w:spacing w:line="276" w:lineRule="auto"/>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of Total</w:t>
            </w:r>
          </w:p>
        </w:tc>
        <w:tc>
          <w:tcPr>
            <w:tcW w:w="1134" w:type="dxa"/>
            <w:shd w:val="clear" w:color="auto" w:fill="FFFFFF"/>
            <w:vAlign w:val="center"/>
          </w:tcPr>
          <w:p w14:paraId="726FF177"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16.8%</w:t>
            </w:r>
          </w:p>
        </w:tc>
        <w:tc>
          <w:tcPr>
            <w:tcW w:w="850" w:type="dxa"/>
            <w:shd w:val="clear" w:color="auto" w:fill="FFFFFF"/>
            <w:vAlign w:val="center"/>
          </w:tcPr>
          <w:p w14:paraId="4B8F491B"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45.3%</w:t>
            </w:r>
          </w:p>
        </w:tc>
        <w:tc>
          <w:tcPr>
            <w:tcW w:w="1418" w:type="dxa"/>
            <w:shd w:val="clear" w:color="auto" w:fill="FFFFFF"/>
            <w:vAlign w:val="center"/>
          </w:tcPr>
          <w:p w14:paraId="52F479C8"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37.9%</w:t>
            </w:r>
          </w:p>
        </w:tc>
        <w:tc>
          <w:tcPr>
            <w:tcW w:w="850" w:type="dxa"/>
            <w:shd w:val="clear" w:color="auto" w:fill="FFFFFF"/>
            <w:vAlign w:val="center"/>
          </w:tcPr>
          <w:p w14:paraId="07F0D9DB" w14:textId="77777777" w:rsidR="009B706B" w:rsidRPr="00CF31E0" w:rsidRDefault="009B706B" w:rsidP="00330B2A">
            <w:pPr>
              <w:widowControl w:val="0"/>
              <w:autoSpaceDE w:val="0"/>
              <w:autoSpaceDN w:val="0"/>
              <w:adjustRightInd w:val="0"/>
              <w:spacing w:line="276" w:lineRule="auto"/>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100.0%</w:t>
            </w:r>
          </w:p>
        </w:tc>
      </w:tr>
    </w:tbl>
    <w:p w14:paraId="16D742D3" w14:textId="50200E47" w:rsidR="00A23C2A" w:rsidRPr="00CF31E0" w:rsidRDefault="00A23C2A" w:rsidP="00730917">
      <w:pPr>
        <w:pStyle w:val="Tablecaption"/>
      </w:pPr>
      <w:bookmarkStart w:id="412" w:name="_Toc522527416"/>
      <w:bookmarkStart w:id="413" w:name="_Toc522628828"/>
      <w:bookmarkStart w:id="414" w:name="_Toc522628992"/>
      <w:bookmarkStart w:id="415" w:name="_Toc6473089"/>
      <w:r w:rsidRPr="00CF31E0">
        <w:t xml:space="preserve">Table </w:t>
      </w:r>
      <w:r w:rsidR="00116DBE" w:rsidRPr="00CF31E0">
        <w:t>7</w:t>
      </w:r>
      <w:r w:rsidR="00D12517" w:rsidRPr="00CF31E0">
        <w:t>.</w:t>
      </w:r>
      <w:r w:rsidRPr="00CF31E0">
        <w:t>12: Spouse’s social group-Q2 crosstabulation.</w:t>
      </w:r>
      <w:bookmarkEnd w:id="412"/>
      <w:bookmarkEnd w:id="413"/>
      <w:bookmarkEnd w:id="414"/>
      <w:bookmarkEnd w:id="415"/>
      <w:r w:rsidRPr="00CF31E0">
        <w:t xml:space="preserve"> </w:t>
      </w:r>
    </w:p>
    <w:p w14:paraId="28B24D0A" w14:textId="4095F438" w:rsidR="00A23C2A" w:rsidRPr="00CF31E0" w:rsidRDefault="00A23C2A" w:rsidP="00603CB7">
      <w:pPr>
        <w:pStyle w:val="Paragraph"/>
      </w:pPr>
      <w:r w:rsidRPr="00CF31E0">
        <w:t xml:space="preserve">Table </w:t>
      </w:r>
      <w:r w:rsidR="00116DBE" w:rsidRPr="00CF31E0">
        <w:t>7</w:t>
      </w:r>
      <w:r w:rsidR="00D12517" w:rsidRPr="00CF31E0">
        <w:t>.</w:t>
      </w:r>
      <w:r w:rsidRPr="00CF31E0">
        <w:t>12 shows that within the spouse’s social group variable, three groups are included: UBH, HH, and a third group consisting of any other participants whose spouse are neither UBH or HH. The latter group is not the focus of the study; therefore, I will only present results from the first and second groups: UBH and HH, respectively. The results illustrated in the table above point to the same pattern revealed in the social group and mother’s social group demographic variables. The HH dialect was perceived as the most dominant dialect, and each social group was positive about their dial</w:t>
      </w:r>
      <w:r w:rsidR="000F4EC9" w:rsidRPr="00CF31E0">
        <w:t>ect. Within the spouse</w:t>
      </w:r>
      <w:r w:rsidR="00B12C97" w:rsidRPr="00CF31E0">
        <w:t>’s social</w:t>
      </w:r>
      <w:r w:rsidR="000F4EC9" w:rsidRPr="00CF31E0">
        <w:t xml:space="preserve"> group, 27.6%</w:t>
      </w:r>
      <w:r w:rsidRPr="00CF31E0">
        <w:t xml:space="preserve"> </w:t>
      </w:r>
      <w:r w:rsidR="000F4EC9" w:rsidRPr="00CF31E0">
        <w:t xml:space="preserve">of UBH </w:t>
      </w:r>
      <w:r w:rsidRPr="00CF31E0">
        <w:t>participants selec</w:t>
      </w:r>
      <w:r w:rsidR="000F4EC9" w:rsidRPr="00CF31E0">
        <w:t>ted the UBH dialect while only 3.3%</w:t>
      </w:r>
      <w:r w:rsidRPr="00CF31E0">
        <w:t xml:space="preserve"> </w:t>
      </w:r>
      <w:r w:rsidR="000F4EC9" w:rsidRPr="00CF31E0">
        <w:t xml:space="preserve">of the HH spouse’s social group </w:t>
      </w:r>
      <w:r w:rsidRPr="00CF31E0">
        <w:t>selected the UBH</w:t>
      </w:r>
      <w:r w:rsidR="000F4EC9" w:rsidRPr="00CF31E0">
        <w:t xml:space="preserve"> dialect. On the other hand, 48.4% of</w:t>
      </w:r>
      <w:r w:rsidRPr="00CF31E0">
        <w:t xml:space="preserve"> participants from the HH spouse</w:t>
      </w:r>
      <w:r w:rsidR="00B12C97" w:rsidRPr="00CF31E0">
        <w:t>’s social</w:t>
      </w:r>
      <w:r w:rsidRPr="00CF31E0">
        <w:t xml:space="preserve"> group s</w:t>
      </w:r>
      <w:r w:rsidR="000F4EC9" w:rsidRPr="00CF31E0">
        <w:t xml:space="preserve">elected the HH dialect, while 39.5% of </w:t>
      </w:r>
      <w:r w:rsidR="00B12C97" w:rsidRPr="00CF31E0">
        <w:t xml:space="preserve">the </w:t>
      </w:r>
      <w:r w:rsidR="000F4EC9" w:rsidRPr="00CF31E0">
        <w:t>UBH spouse’s social group selected the HH</w:t>
      </w:r>
      <w:r w:rsidRPr="00CF31E0">
        <w:t xml:space="preserve"> dialect. </w:t>
      </w:r>
    </w:p>
    <w:p w14:paraId="179F9D72" w14:textId="53C6F224" w:rsidR="00A23C2A" w:rsidRPr="00CF31E0" w:rsidRDefault="00116DBE" w:rsidP="00E87209">
      <w:pPr>
        <w:pStyle w:val="Ahead"/>
        <w:rPr>
          <w:rFonts w:eastAsia="Times New Roman"/>
        </w:rPr>
      </w:pPr>
      <w:bookmarkStart w:id="416" w:name="_Toc6472707"/>
      <w:r w:rsidRPr="00CF31E0">
        <w:rPr>
          <w:rFonts w:eastAsia="Times New Roman"/>
        </w:rPr>
        <w:t>7</w:t>
      </w:r>
      <w:r w:rsidR="00072DD9" w:rsidRPr="00CF31E0">
        <w:rPr>
          <w:rFonts w:eastAsia="Times New Roman"/>
        </w:rPr>
        <w:t>.4.</w:t>
      </w:r>
      <w:r w:rsidR="00F106E7" w:rsidRPr="00CF31E0">
        <w:rPr>
          <w:rFonts w:eastAsia="Times New Roman"/>
        </w:rPr>
        <w:tab/>
      </w:r>
      <w:r w:rsidR="00A23C2A" w:rsidRPr="00CF31E0">
        <w:rPr>
          <w:rFonts w:eastAsia="Times New Roman"/>
        </w:rPr>
        <w:t>Q3: What is the degree of difference between the two dialects?</w:t>
      </w:r>
      <w:bookmarkEnd w:id="416"/>
    </w:p>
    <w:p w14:paraId="6167E1C6" w14:textId="24BD9703" w:rsidR="00A23C2A" w:rsidRPr="00CF31E0" w:rsidRDefault="00A23C2A" w:rsidP="00603CB7">
      <w:pPr>
        <w:pStyle w:val="Paragraph"/>
      </w:pPr>
      <w:r w:rsidRPr="00CF31E0">
        <w:t xml:space="preserve">Participants were asked to indicate the degree of difference between the two dialects. They were given four choices: same, a little different, different, and completely different. The results revealed that the majority of participants perceived the two dialects as different. </w:t>
      </w:r>
    </w:p>
    <w:tbl>
      <w:tblPr>
        <w:tblW w:w="0" w:type="auto"/>
        <w:tblBorders>
          <w:top w:val="single" w:sz="4" w:space="0" w:color="auto"/>
          <w:bottom w:val="single" w:sz="4" w:space="0" w:color="auto"/>
        </w:tblBorders>
        <w:tblLook w:val="0000" w:firstRow="0" w:lastRow="0" w:firstColumn="0" w:lastColumn="0" w:noHBand="0" w:noVBand="0"/>
      </w:tblPr>
      <w:tblGrid>
        <w:gridCol w:w="3408"/>
        <w:gridCol w:w="1236"/>
      </w:tblGrid>
      <w:tr w:rsidR="007F558A" w:rsidRPr="00CF31E0" w14:paraId="773BC010" w14:textId="77777777" w:rsidTr="00603CB7">
        <w:trPr>
          <w:cantSplit/>
        </w:trPr>
        <w:tc>
          <w:tcPr>
            <w:tcW w:w="3408" w:type="dxa"/>
            <w:tcBorders>
              <w:top w:val="single" w:sz="4" w:space="0" w:color="auto"/>
              <w:bottom w:val="single" w:sz="4" w:space="0" w:color="auto"/>
            </w:tcBorders>
          </w:tcPr>
          <w:p w14:paraId="55B95DB6" w14:textId="77777777" w:rsidR="00A23C2A" w:rsidRPr="00CF31E0" w:rsidRDefault="00A23C2A"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The degree of difference</w:t>
            </w:r>
          </w:p>
        </w:tc>
        <w:tc>
          <w:tcPr>
            <w:tcW w:w="1236" w:type="dxa"/>
            <w:tcBorders>
              <w:top w:val="single" w:sz="4" w:space="0" w:color="auto"/>
              <w:bottom w:val="single" w:sz="4" w:space="0" w:color="auto"/>
            </w:tcBorders>
          </w:tcPr>
          <w:p w14:paraId="434CE00A" w14:textId="77777777" w:rsidR="00A23C2A" w:rsidRPr="00CF31E0" w:rsidRDefault="00A23C2A"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Number</w:t>
            </w:r>
          </w:p>
        </w:tc>
      </w:tr>
      <w:tr w:rsidR="007F558A" w:rsidRPr="00CF31E0" w14:paraId="0034F4D0" w14:textId="77777777" w:rsidTr="00603CB7">
        <w:trPr>
          <w:cantSplit/>
        </w:trPr>
        <w:tc>
          <w:tcPr>
            <w:tcW w:w="3408" w:type="dxa"/>
            <w:tcBorders>
              <w:top w:val="single" w:sz="4" w:space="0" w:color="auto"/>
              <w:bottom w:val="nil"/>
            </w:tcBorders>
          </w:tcPr>
          <w:p w14:paraId="4A441D3F" w14:textId="77777777" w:rsidR="00A23C2A" w:rsidRPr="00CF31E0" w:rsidRDefault="00A23C2A"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Same</w:t>
            </w:r>
          </w:p>
        </w:tc>
        <w:tc>
          <w:tcPr>
            <w:tcW w:w="1236" w:type="dxa"/>
            <w:tcBorders>
              <w:top w:val="single" w:sz="4" w:space="0" w:color="auto"/>
              <w:bottom w:val="nil"/>
            </w:tcBorders>
          </w:tcPr>
          <w:p w14:paraId="3222E842" w14:textId="56269400" w:rsidR="00A23C2A" w:rsidRPr="00CF31E0" w:rsidRDefault="00B12C97"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  </w:t>
            </w:r>
            <w:r w:rsidR="00A23C2A" w:rsidRPr="00CF31E0">
              <w:rPr>
                <w:rFonts w:eastAsia="Calibri"/>
                <w:color w:val="000000" w:themeColor="text1"/>
                <w:sz w:val="22"/>
                <w:szCs w:val="22"/>
                <w:lang w:eastAsia="en-US"/>
              </w:rPr>
              <w:t>10</w:t>
            </w:r>
          </w:p>
        </w:tc>
      </w:tr>
      <w:tr w:rsidR="007F558A" w:rsidRPr="00CF31E0" w14:paraId="6E599107" w14:textId="77777777" w:rsidTr="00603CB7">
        <w:trPr>
          <w:cantSplit/>
        </w:trPr>
        <w:tc>
          <w:tcPr>
            <w:tcW w:w="3408" w:type="dxa"/>
            <w:tcBorders>
              <w:top w:val="nil"/>
            </w:tcBorders>
          </w:tcPr>
          <w:p w14:paraId="0AA071F5" w14:textId="77777777" w:rsidR="00A23C2A" w:rsidRPr="00CF31E0" w:rsidRDefault="00A23C2A"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A little different</w:t>
            </w:r>
          </w:p>
        </w:tc>
        <w:tc>
          <w:tcPr>
            <w:tcW w:w="1236" w:type="dxa"/>
            <w:tcBorders>
              <w:top w:val="nil"/>
            </w:tcBorders>
          </w:tcPr>
          <w:p w14:paraId="484085CB" w14:textId="3B49F1AB" w:rsidR="00A23C2A" w:rsidRPr="00CF31E0" w:rsidRDefault="00B12C97"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  </w:t>
            </w:r>
            <w:r w:rsidR="00A23C2A" w:rsidRPr="00CF31E0">
              <w:rPr>
                <w:rFonts w:eastAsia="Calibri"/>
                <w:color w:val="000000" w:themeColor="text1"/>
                <w:sz w:val="22"/>
                <w:szCs w:val="22"/>
                <w:lang w:eastAsia="en-US"/>
              </w:rPr>
              <w:t>37</w:t>
            </w:r>
          </w:p>
        </w:tc>
      </w:tr>
      <w:tr w:rsidR="007F558A" w:rsidRPr="00CF31E0" w14:paraId="33613BDE" w14:textId="77777777" w:rsidTr="00603CB7">
        <w:trPr>
          <w:cantSplit/>
        </w:trPr>
        <w:tc>
          <w:tcPr>
            <w:tcW w:w="3408" w:type="dxa"/>
          </w:tcPr>
          <w:p w14:paraId="7D1DB7B8" w14:textId="77777777" w:rsidR="00A23C2A" w:rsidRPr="00CF31E0" w:rsidRDefault="00A23C2A"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Different</w:t>
            </w:r>
          </w:p>
        </w:tc>
        <w:tc>
          <w:tcPr>
            <w:tcW w:w="1236" w:type="dxa"/>
          </w:tcPr>
          <w:p w14:paraId="781E098C" w14:textId="77777777" w:rsidR="00A23C2A" w:rsidRPr="00CF31E0" w:rsidRDefault="00A23C2A" w:rsidP="00603CB7">
            <w:pPr>
              <w:keepNext/>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308</w:t>
            </w:r>
          </w:p>
        </w:tc>
      </w:tr>
      <w:tr w:rsidR="007F558A" w:rsidRPr="00CF31E0" w14:paraId="13E4DA74" w14:textId="77777777" w:rsidTr="00603CB7">
        <w:trPr>
          <w:cantSplit/>
        </w:trPr>
        <w:tc>
          <w:tcPr>
            <w:tcW w:w="3408" w:type="dxa"/>
          </w:tcPr>
          <w:p w14:paraId="34427ECD" w14:textId="77777777" w:rsidR="00A23C2A" w:rsidRPr="00CF31E0" w:rsidRDefault="00A23C2A"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Completely different</w:t>
            </w:r>
          </w:p>
        </w:tc>
        <w:tc>
          <w:tcPr>
            <w:tcW w:w="1236" w:type="dxa"/>
          </w:tcPr>
          <w:p w14:paraId="76075F6D" w14:textId="77777777" w:rsidR="00A23C2A" w:rsidRPr="00CF31E0" w:rsidRDefault="00A23C2A" w:rsidP="00603CB7">
            <w:pPr>
              <w:keepNext/>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294</w:t>
            </w:r>
          </w:p>
        </w:tc>
      </w:tr>
    </w:tbl>
    <w:p w14:paraId="4D9D3F60" w14:textId="12443B34" w:rsidR="00A23C2A" w:rsidRPr="00CF31E0" w:rsidRDefault="00A23C2A" w:rsidP="00730917">
      <w:pPr>
        <w:pStyle w:val="Tablecaption"/>
      </w:pPr>
      <w:bookmarkStart w:id="417" w:name="_Toc522527417"/>
      <w:bookmarkStart w:id="418" w:name="_Toc522628829"/>
      <w:bookmarkStart w:id="419" w:name="_Toc522628993"/>
      <w:bookmarkStart w:id="420" w:name="_Toc6473090"/>
      <w:r w:rsidRPr="00CF31E0">
        <w:t xml:space="preserve">Table </w:t>
      </w:r>
      <w:r w:rsidR="00116DBE" w:rsidRPr="00CF31E0">
        <w:t>7</w:t>
      </w:r>
      <w:r w:rsidR="00072DD9" w:rsidRPr="00CF31E0">
        <w:t>.</w:t>
      </w:r>
      <w:r w:rsidRPr="00CF31E0">
        <w:t>13: Participants’ selection of the choices provided in Q3.</w:t>
      </w:r>
      <w:bookmarkEnd w:id="417"/>
      <w:bookmarkEnd w:id="418"/>
      <w:bookmarkEnd w:id="419"/>
      <w:bookmarkEnd w:id="420"/>
    </w:p>
    <w:p w14:paraId="06D1EDF6" w14:textId="5E9FF17C" w:rsidR="00A23C2A" w:rsidRPr="00CF31E0" w:rsidRDefault="00A23C2A" w:rsidP="00603CB7">
      <w:pPr>
        <w:pStyle w:val="Paragraph"/>
      </w:pPr>
      <w:r w:rsidRPr="00CF31E0">
        <w:t xml:space="preserve">Table </w:t>
      </w:r>
      <w:r w:rsidR="00116DBE" w:rsidRPr="00CF31E0">
        <w:t>7</w:t>
      </w:r>
      <w:r w:rsidR="00072DD9" w:rsidRPr="00CF31E0">
        <w:t>.</w:t>
      </w:r>
      <w:r w:rsidRPr="00CF31E0">
        <w:t>1</w:t>
      </w:r>
      <w:r w:rsidR="00072DD9" w:rsidRPr="00CF31E0">
        <w:t>3</w:t>
      </w:r>
      <w:r w:rsidRPr="00CF31E0">
        <w:t xml:space="preserve"> illustrates that 308 participants perceived the two dialects as different from each other. A similarly large number of participants, 294, </w:t>
      </w:r>
      <w:r w:rsidRPr="00CF31E0">
        <w:lastRenderedPageBreak/>
        <w:t xml:space="preserve">perceived the two dialects as completely different. 37 participants perceived the dialects as a little different, while only 10 participants perceived them as similar dialects. Overall, 504 participants out of a total of 649 perceived the two dialects as different to completely different from each other. </w:t>
      </w:r>
    </w:p>
    <w:p w14:paraId="3EA29B62" w14:textId="488A1638" w:rsidR="00A23C2A" w:rsidRPr="00CF31E0" w:rsidRDefault="00A23C2A" w:rsidP="00603CB7">
      <w:pPr>
        <w:pStyle w:val="Paragraph"/>
      </w:pPr>
      <w:r w:rsidRPr="00CF31E0">
        <w:t xml:space="preserve">I conducted a series of chi-square tests and the results revealed that none of the demographic variables affected the data. </w:t>
      </w:r>
    </w:p>
    <w:p w14:paraId="68028A91" w14:textId="390019B5" w:rsidR="00A23C2A" w:rsidRPr="00CF31E0" w:rsidRDefault="00116DBE" w:rsidP="00E87209">
      <w:pPr>
        <w:pStyle w:val="Ahead"/>
        <w:rPr>
          <w:rFonts w:eastAsia="Times New Roman"/>
        </w:rPr>
      </w:pPr>
      <w:bookmarkStart w:id="421" w:name="_Toc6472708"/>
      <w:r w:rsidRPr="00CF31E0">
        <w:rPr>
          <w:rFonts w:eastAsia="Times New Roman"/>
        </w:rPr>
        <w:t>7</w:t>
      </w:r>
      <w:r w:rsidR="00072DD9" w:rsidRPr="00CF31E0">
        <w:rPr>
          <w:rFonts w:eastAsia="Times New Roman"/>
        </w:rPr>
        <w:t>.5.</w:t>
      </w:r>
      <w:r w:rsidR="00F106E7" w:rsidRPr="00CF31E0">
        <w:rPr>
          <w:rFonts w:eastAsia="Times New Roman"/>
        </w:rPr>
        <w:tab/>
      </w:r>
      <w:r w:rsidR="00A23C2A" w:rsidRPr="00CF31E0">
        <w:rPr>
          <w:rFonts w:eastAsia="Times New Roman"/>
        </w:rPr>
        <w:t>Q4: What distinguishes the HH dialect from the UBH dialect?</w:t>
      </w:r>
      <w:bookmarkEnd w:id="421"/>
    </w:p>
    <w:p w14:paraId="448AD5AF" w14:textId="0598DEED" w:rsidR="00A23C2A" w:rsidRPr="00CF31E0" w:rsidRDefault="00A23C2A" w:rsidP="00603CB7">
      <w:pPr>
        <w:pStyle w:val="Paragraph"/>
      </w:pPr>
      <w:r w:rsidRPr="00CF31E0">
        <w:t xml:space="preserve">Participants were asked to choose from different alternatives the linguistic aspects that makes the HH dialect different from the UBH dialect. The linguistic aspects in the choices were: words, sounds, style of speaking, see </w:t>
      </w:r>
      <w:r w:rsidR="00CE2B99" w:rsidRPr="00CF31E0">
        <w:t>C</w:t>
      </w:r>
      <w:r w:rsidRPr="00CF31E0">
        <w:t>hapter</w:t>
      </w:r>
      <w:r w:rsidR="00115053" w:rsidRPr="00CF31E0">
        <w:t xml:space="preserve"> </w:t>
      </w:r>
      <w:r w:rsidR="005C44A0" w:rsidRPr="00CF31E0">
        <w:t xml:space="preserve">2, </w:t>
      </w:r>
      <w:r w:rsidRPr="00CF31E0">
        <w:t>section</w:t>
      </w:r>
      <w:r w:rsidR="00115053" w:rsidRPr="00CF31E0">
        <w:t xml:space="preserve"> </w:t>
      </w:r>
      <w:r w:rsidR="005C44A0" w:rsidRPr="00CF31E0">
        <w:t>2</w:t>
      </w:r>
      <w:r w:rsidR="00115053" w:rsidRPr="00CF31E0">
        <w:t>.17</w:t>
      </w:r>
      <w:r w:rsidRPr="00CF31E0">
        <w:t xml:space="preserve"> for more details on the linguistic distinctions between the two dialects.  Participants were given the chance to select more than one aspect if they wanted to. See Table </w:t>
      </w:r>
      <w:r w:rsidR="005C44A0" w:rsidRPr="00CF31E0">
        <w:t>7</w:t>
      </w:r>
      <w:r w:rsidR="00072DD9" w:rsidRPr="00CF31E0">
        <w:t>.</w:t>
      </w:r>
      <w:r w:rsidRPr="00CF31E0">
        <w:t>14.</w:t>
      </w:r>
    </w:p>
    <w:tbl>
      <w:tblPr>
        <w:tblW w:w="0" w:type="auto"/>
        <w:tblBorders>
          <w:top w:val="single" w:sz="4" w:space="0" w:color="auto"/>
          <w:bottom w:val="single" w:sz="4" w:space="0" w:color="auto"/>
        </w:tblBorders>
        <w:tblLook w:val="0000" w:firstRow="0" w:lastRow="0" w:firstColumn="0" w:lastColumn="0" w:noHBand="0" w:noVBand="0"/>
      </w:tblPr>
      <w:tblGrid>
        <w:gridCol w:w="6487"/>
        <w:gridCol w:w="992"/>
      </w:tblGrid>
      <w:tr w:rsidR="007F558A" w:rsidRPr="00CF31E0" w14:paraId="06484088" w14:textId="77777777" w:rsidTr="00603CB7">
        <w:trPr>
          <w:cantSplit/>
        </w:trPr>
        <w:tc>
          <w:tcPr>
            <w:tcW w:w="6487" w:type="dxa"/>
            <w:tcBorders>
              <w:top w:val="single" w:sz="4" w:space="0" w:color="auto"/>
              <w:bottom w:val="single" w:sz="4" w:space="0" w:color="auto"/>
            </w:tcBorders>
          </w:tcPr>
          <w:p w14:paraId="1D3481D4" w14:textId="77777777" w:rsidR="00A23C2A" w:rsidRPr="00CF31E0" w:rsidRDefault="00A23C2A" w:rsidP="00603CB7">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What distinguishes the HH dialect from the UBH dialect?</w:t>
            </w:r>
          </w:p>
        </w:tc>
        <w:tc>
          <w:tcPr>
            <w:tcW w:w="992" w:type="dxa"/>
            <w:tcBorders>
              <w:top w:val="single" w:sz="4" w:space="0" w:color="auto"/>
              <w:bottom w:val="single" w:sz="4" w:space="0" w:color="auto"/>
            </w:tcBorders>
          </w:tcPr>
          <w:p w14:paraId="02656109" w14:textId="77777777" w:rsidR="00A23C2A" w:rsidRPr="00CF31E0" w:rsidRDefault="00A23C2A" w:rsidP="00603CB7">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Number</w:t>
            </w:r>
          </w:p>
        </w:tc>
      </w:tr>
      <w:tr w:rsidR="007F558A" w:rsidRPr="00CF31E0" w14:paraId="1968A5AF" w14:textId="77777777" w:rsidTr="00603CB7">
        <w:trPr>
          <w:cantSplit/>
        </w:trPr>
        <w:tc>
          <w:tcPr>
            <w:tcW w:w="6487" w:type="dxa"/>
            <w:tcBorders>
              <w:top w:val="single" w:sz="4" w:space="0" w:color="auto"/>
              <w:bottom w:val="nil"/>
            </w:tcBorders>
          </w:tcPr>
          <w:p w14:paraId="1CE065F8" w14:textId="77777777" w:rsidR="00A23C2A" w:rsidRPr="00CF31E0" w:rsidRDefault="00A23C2A" w:rsidP="00603CB7">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Sounds</w:t>
            </w:r>
          </w:p>
        </w:tc>
        <w:tc>
          <w:tcPr>
            <w:tcW w:w="992" w:type="dxa"/>
            <w:tcBorders>
              <w:top w:val="single" w:sz="4" w:space="0" w:color="auto"/>
              <w:bottom w:val="nil"/>
            </w:tcBorders>
          </w:tcPr>
          <w:p w14:paraId="67B4AD49" w14:textId="77777777" w:rsidR="00A23C2A" w:rsidRPr="00CF31E0" w:rsidRDefault="00A23C2A" w:rsidP="00603CB7">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132</w:t>
            </w:r>
          </w:p>
        </w:tc>
      </w:tr>
      <w:tr w:rsidR="007F558A" w:rsidRPr="00CF31E0" w14:paraId="6FEA02AE" w14:textId="77777777" w:rsidTr="00603CB7">
        <w:trPr>
          <w:cantSplit/>
        </w:trPr>
        <w:tc>
          <w:tcPr>
            <w:tcW w:w="6487" w:type="dxa"/>
            <w:tcBorders>
              <w:top w:val="nil"/>
            </w:tcBorders>
          </w:tcPr>
          <w:p w14:paraId="5EA8EE15" w14:textId="77777777" w:rsidR="00A23C2A" w:rsidRPr="00CF31E0" w:rsidRDefault="00A23C2A" w:rsidP="00603CB7">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Style of speaking </w:t>
            </w:r>
          </w:p>
        </w:tc>
        <w:tc>
          <w:tcPr>
            <w:tcW w:w="992" w:type="dxa"/>
            <w:tcBorders>
              <w:top w:val="nil"/>
            </w:tcBorders>
          </w:tcPr>
          <w:p w14:paraId="11C28EB9" w14:textId="1CADD727" w:rsidR="00A23C2A" w:rsidRPr="00CF31E0" w:rsidRDefault="00B12C97" w:rsidP="00603CB7">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  </w:t>
            </w:r>
            <w:r w:rsidR="00A23C2A" w:rsidRPr="00CF31E0">
              <w:rPr>
                <w:rFonts w:eastAsia="Calibri"/>
                <w:color w:val="000000" w:themeColor="text1"/>
                <w:sz w:val="22"/>
                <w:szCs w:val="22"/>
                <w:lang w:eastAsia="en-US"/>
              </w:rPr>
              <w:t>21</w:t>
            </w:r>
          </w:p>
        </w:tc>
      </w:tr>
      <w:tr w:rsidR="007F558A" w:rsidRPr="00CF31E0" w14:paraId="42150118" w14:textId="77777777" w:rsidTr="00603CB7">
        <w:trPr>
          <w:cantSplit/>
        </w:trPr>
        <w:tc>
          <w:tcPr>
            <w:tcW w:w="6487" w:type="dxa"/>
          </w:tcPr>
          <w:p w14:paraId="7F75C53E" w14:textId="025BCF94" w:rsidR="00A23C2A" w:rsidRPr="00CF31E0" w:rsidRDefault="00A23C2A" w:rsidP="00603CB7">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Words</w:t>
            </w:r>
            <w:r w:rsidR="00B12C97" w:rsidRPr="00CF31E0">
              <w:rPr>
                <w:rFonts w:eastAsia="Calibri"/>
                <w:color w:val="000000" w:themeColor="text1"/>
                <w:sz w:val="22"/>
                <w:szCs w:val="22"/>
                <w:lang w:eastAsia="en-US"/>
              </w:rPr>
              <w:t xml:space="preserve"> </w:t>
            </w:r>
          </w:p>
        </w:tc>
        <w:tc>
          <w:tcPr>
            <w:tcW w:w="992" w:type="dxa"/>
          </w:tcPr>
          <w:p w14:paraId="641CDB46" w14:textId="23C146D4" w:rsidR="00A23C2A" w:rsidRPr="00CF31E0" w:rsidRDefault="00B12C97" w:rsidP="00603CB7">
            <w:pPr>
              <w:keepNext/>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  </w:t>
            </w:r>
            <w:r w:rsidR="00A23C2A" w:rsidRPr="00CF31E0">
              <w:rPr>
                <w:rFonts w:eastAsia="Calibri"/>
                <w:color w:val="000000" w:themeColor="text1"/>
                <w:sz w:val="22"/>
                <w:szCs w:val="22"/>
                <w:lang w:eastAsia="en-US"/>
              </w:rPr>
              <w:t>51</w:t>
            </w:r>
          </w:p>
        </w:tc>
      </w:tr>
      <w:tr w:rsidR="007F558A" w:rsidRPr="00CF31E0" w14:paraId="1812CB8A" w14:textId="77777777" w:rsidTr="00603CB7">
        <w:trPr>
          <w:cantSplit/>
        </w:trPr>
        <w:tc>
          <w:tcPr>
            <w:tcW w:w="6487" w:type="dxa"/>
          </w:tcPr>
          <w:p w14:paraId="3AD7C871" w14:textId="77777777" w:rsidR="00A23C2A" w:rsidRPr="00CF31E0" w:rsidRDefault="00A23C2A" w:rsidP="00603CB7">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Words, style of speaking</w:t>
            </w:r>
          </w:p>
        </w:tc>
        <w:tc>
          <w:tcPr>
            <w:tcW w:w="992" w:type="dxa"/>
          </w:tcPr>
          <w:p w14:paraId="03315EE9" w14:textId="77777777" w:rsidR="00A23C2A" w:rsidRPr="00CF31E0" w:rsidRDefault="00A23C2A" w:rsidP="00603CB7">
            <w:pPr>
              <w:keepNext/>
              <w:spacing w:before="120" w:after="120"/>
              <w:jc w:val="both"/>
              <w:rPr>
                <w:rFonts w:eastAsia="Calibri"/>
                <w:color w:val="000000" w:themeColor="text1"/>
                <w:sz w:val="22"/>
                <w:szCs w:val="22"/>
                <w:lang w:eastAsia="en-US"/>
              </w:rPr>
            </w:pPr>
            <w:r w:rsidRPr="00CF31E0">
              <w:rPr>
                <w:rFonts w:eastAsia="Calibri"/>
                <w:color w:val="000000" w:themeColor="text1"/>
                <w:sz w:val="22"/>
                <w:szCs w:val="22"/>
                <w:lang w:eastAsia="en-US"/>
              </w:rPr>
              <w:t>49</w:t>
            </w:r>
          </w:p>
        </w:tc>
      </w:tr>
      <w:tr w:rsidR="007F558A" w:rsidRPr="00CF31E0" w14:paraId="5B45C493" w14:textId="77777777" w:rsidTr="00603CB7">
        <w:trPr>
          <w:cantSplit/>
        </w:trPr>
        <w:tc>
          <w:tcPr>
            <w:tcW w:w="6487" w:type="dxa"/>
          </w:tcPr>
          <w:p w14:paraId="24173E22" w14:textId="77777777" w:rsidR="00A23C2A" w:rsidRPr="00CF31E0" w:rsidRDefault="00A23C2A" w:rsidP="00603CB7">
            <w:pPr>
              <w:spacing w:before="120" w:after="120"/>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Sounds, words </w:t>
            </w:r>
          </w:p>
        </w:tc>
        <w:tc>
          <w:tcPr>
            <w:tcW w:w="992" w:type="dxa"/>
          </w:tcPr>
          <w:p w14:paraId="2AB77665" w14:textId="77777777" w:rsidR="00A23C2A" w:rsidRPr="00CF31E0" w:rsidRDefault="00A23C2A" w:rsidP="00603CB7">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134</w:t>
            </w:r>
          </w:p>
        </w:tc>
      </w:tr>
      <w:tr w:rsidR="007F558A" w:rsidRPr="00CF31E0" w14:paraId="6904F4D8" w14:textId="77777777" w:rsidTr="00603CB7">
        <w:trPr>
          <w:cantSplit/>
        </w:trPr>
        <w:tc>
          <w:tcPr>
            <w:tcW w:w="6487" w:type="dxa"/>
          </w:tcPr>
          <w:p w14:paraId="1E932AF9" w14:textId="77777777" w:rsidR="00A23C2A" w:rsidRPr="00CF31E0" w:rsidRDefault="00A23C2A" w:rsidP="00603CB7">
            <w:pPr>
              <w:widowControl w:val="0"/>
              <w:autoSpaceDE w:val="0"/>
              <w:autoSpaceDN w:val="0"/>
              <w:adjustRightInd w:val="0"/>
              <w:spacing w:before="120" w:after="120"/>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Sounds, style of speaking </w:t>
            </w:r>
          </w:p>
        </w:tc>
        <w:tc>
          <w:tcPr>
            <w:tcW w:w="992" w:type="dxa"/>
          </w:tcPr>
          <w:p w14:paraId="0EE457B2" w14:textId="5EFD8F0C" w:rsidR="00A23C2A" w:rsidRPr="00CF31E0" w:rsidRDefault="00B12C97" w:rsidP="00603CB7">
            <w:pPr>
              <w:widowControl w:val="0"/>
              <w:autoSpaceDE w:val="0"/>
              <w:autoSpaceDN w:val="0"/>
              <w:adjustRightInd w:val="0"/>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  </w:t>
            </w:r>
            <w:r w:rsidR="00A23C2A" w:rsidRPr="00CF31E0">
              <w:rPr>
                <w:rFonts w:eastAsia="Calibri"/>
                <w:color w:val="000000" w:themeColor="text1"/>
                <w:sz w:val="22"/>
                <w:szCs w:val="22"/>
                <w:lang w:eastAsia="en-US"/>
              </w:rPr>
              <w:t>55</w:t>
            </w:r>
          </w:p>
        </w:tc>
      </w:tr>
      <w:tr w:rsidR="007F558A" w:rsidRPr="00CF31E0" w14:paraId="611BF258" w14:textId="77777777" w:rsidTr="00603CB7">
        <w:trPr>
          <w:cantSplit/>
        </w:trPr>
        <w:tc>
          <w:tcPr>
            <w:tcW w:w="6487" w:type="dxa"/>
          </w:tcPr>
          <w:p w14:paraId="7E31F09C" w14:textId="77777777" w:rsidR="00A23C2A" w:rsidRPr="00CF31E0" w:rsidRDefault="00A23C2A" w:rsidP="00603CB7">
            <w:pPr>
              <w:spacing w:before="120" w:after="120"/>
              <w:jc w:val="both"/>
              <w:rPr>
                <w:rFonts w:eastAsia="Calibri"/>
                <w:color w:val="000000" w:themeColor="text1"/>
                <w:sz w:val="22"/>
                <w:szCs w:val="22"/>
                <w:lang w:eastAsia="en-US"/>
              </w:rPr>
            </w:pPr>
            <w:r w:rsidRPr="00CF31E0">
              <w:rPr>
                <w:rFonts w:eastAsia="Calibri"/>
                <w:color w:val="000000" w:themeColor="text1"/>
                <w:sz w:val="22"/>
                <w:szCs w:val="22"/>
                <w:lang w:eastAsia="en-US"/>
              </w:rPr>
              <w:t>Sounds, words, style of speaking</w:t>
            </w:r>
          </w:p>
        </w:tc>
        <w:tc>
          <w:tcPr>
            <w:tcW w:w="992" w:type="dxa"/>
          </w:tcPr>
          <w:p w14:paraId="5CE89153" w14:textId="77777777" w:rsidR="00A23C2A" w:rsidRPr="00CF31E0" w:rsidRDefault="00A23C2A" w:rsidP="00603CB7">
            <w:pPr>
              <w:keepNext/>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207</w:t>
            </w:r>
          </w:p>
        </w:tc>
      </w:tr>
    </w:tbl>
    <w:p w14:paraId="082D07F8" w14:textId="54ACCEE3" w:rsidR="00A23C2A" w:rsidRPr="00CF31E0" w:rsidRDefault="00A23C2A" w:rsidP="00730917">
      <w:pPr>
        <w:pStyle w:val="Tablecaption"/>
      </w:pPr>
      <w:bookmarkStart w:id="422" w:name="_Toc522527418"/>
      <w:bookmarkStart w:id="423" w:name="_Toc522628830"/>
      <w:bookmarkStart w:id="424" w:name="_Toc522628994"/>
      <w:bookmarkStart w:id="425" w:name="_Toc6473091"/>
      <w:r w:rsidRPr="00CF31E0">
        <w:t xml:space="preserve">Table </w:t>
      </w:r>
      <w:r w:rsidR="005C44A0" w:rsidRPr="00CF31E0">
        <w:t>7</w:t>
      </w:r>
      <w:r w:rsidR="00072DD9" w:rsidRPr="00CF31E0">
        <w:t>.</w:t>
      </w:r>
      <w:r w:rsidRPr="00CF31E0">
        <w:t>14: Participants’ selection of the choices provided in Q4.</w:t>
      </w:r>
      <w:bookmarkEnd w:id="422"/>
      <w:bookmarkEnd w:id="423"/>
      <w:bookmarkEnd w:id="424"/>
      <w:bookmarkEnd w:id="425"/>
    </w:p>
    <w:p w14:paraId="438E11FD" w14:textId="0489BB6D" w:rsidR="00A23C2A" w:rsidRPr="00CF31E0" w:rsidRDefault="00A23C2A" w:rsidP="00603CB7">
      <w:pPr>
        <w:pStyle w:val="Paragraph"/>
      </w:pPr>
      <w:r w:rsidRPr="00CF31E0">
        <w:t xml:space="preserve">As can be seen from Table </w:t>
      </w:r>
      <w:r w:rsidR="005C44A0" w:rsidRPr="00CF31E0">
        <w:t>7</w:t>
      </w:r>
      <w:r w:rsidR="00072DD9" w:rsidRPr="00CF31E0">
        <w:t>.</w:t>
      </w:r>
      <w:r w:rsidRPr="00CF31E0">
        <w:t xml:space="preserve">14, some participants tended to choose only one linguistic aspect while others chose more than one. In terms of a single linguistic aspect, </w:t>
      </w:r>
      <w:r w:rsidRPr="00CF31E0">
        <w:rPr>
          <w:i/>
          <w:iCs/>
        </w:rPr>
        <w:t>sounds</w:t>
      </w:r>
      <w:r w:rsidRPr="00CF31E0">
        <w:t xml:space="preserve"> </w:t>
      </w:r>
      <w:r w:rsidR="00037628" w:rsidRPr="00CF31E0">
        <w:t xml:space="preserve">appear </w:t>
      </w:r>
      <w:r w:rsidRPr="00CF31E0">
        <w:t xml:space="preserve">to be the most significant linguistic aspect that distinguishes the two dialects, since it was chosen 132 times. In terms of a combination of aspects, </w:t>
      </w:r>
      <w:r w:rsidRPr="00CF31E0">
        <w:rPr>
          <w:i/>
          <w:iCs/>
        </w:rPr>
        <w:t xml:space="preserve">sounds, words and style of speaking </w:t>
      </w:r>
      <w:r w:rsidRPr="00CF31E0">
        <w:t xml:space="preserve">seem to be </w:t>
      </w:r>
      <w:r w:rsidRPr="00CF31E0">
        <w:lastRenderedPageBreak/>
        <w:t xml:space="preserve">the most noteworthy aspects that differentiate the two dialects linguistically. I conducted a series of chi-square tests; the results showed that none of the demographic variables seem to have an effect on the data. </w:t>
      </w:r>
    </w:p>
    <w:p w14:paraId="2381F1F5" w14:textId="32E7F9B9" w:rsidR="00A23C2A" w:rsidRPr="00CF31E0" w:rsidRDefault="005C44A0" w:rsidP="00E87209">
      <w:pPr>
        <w:pStyle w:val="Ahead"/>
        <w:rPr>
          <w:rFonts w:eastAsia="Times New Roman"/>
        </w:rPr>
      </w:pPr>
      <w:bookmarkStart w:id="426" w:name="_Toc6472709"/>
      <w:r w:rsidRPr="00CF31E0">
        <w:rPr>
          <w:rFonts w:eastAsia="Times New Roman"/>
        </w:rPr>
        <w:t>7</w:t>
      </w:r>
      <w:r w:rsidR="00072DD9" w:rsidRPr="00CF31E0">
        <w:rPr>
          <w:rFonts w:eastAsia="Times New Roman"/>
        </w:rPr>
        <w:t>.6.</w:t>
      </w:r>
      <w:r w:rsidR="00F106E7" w:rsidRPr="00CF31E0">
        <w:rPr>
          <w:rFonts w:eastAsia="Times New Roman"/>
        </w:rPr>
        <w:tab/>
      </w:r>
      <w:r w:rsidR="00A23C2A" w:rsidRPr="00CF31E0">
        <w:rPr>
          <w:rFonts w:eastAsia="Times New Roman"/>
        </w:rPr>
        <w:t>Q5: What are the Arabic dialects that the HH dialect is similar to?</w:t>
      </w:r>
      <w:bookmarkEnd w:id="426"/>
    </w:p>
    <w:p w14:paraId="584DD7F1" w14:textId="3D92F8DF" w:rsidR="00BA0ABE" w:rsidRPr="00CF31E0" w:rsidRDefault="00A23C2A" w:rsidP="00330B2A">
      <w:pPr>
        <w:pStyle w:val="Paragraph"/>
        <w:rPr>
          <w:rFonts w:eastAsia="Times New Roman"/>
        </w:rPr>
      </w:pPr>
      <w:r w:rsidRPr="00CF31E0">
        <w:t>Participants were asked to provide answers concerning the perceived resemblance of the HH dialect to other Arabi</w:t>
      </w:r>
      <w:r w:rsidR="009006CF" w:rsidRPr="00CF31E0">
        <w:t>c dialects. Th</w:t>
      </w:r>
      <w:r w:rsidR="00BA0ABE" w:rsidRPr="00CF31E0">
        <w:t>ey were given five</w:t>
      </w:r>
      <w:r w:rsidRPr="00CF31E0">
        <w:t xml:space="preserve"> choices for the other Arabic dialects that the HH dialect could be similar to: Egyptian Arabic, Yemeni Arabic, Levantine Arabic, Sudanese Arabic. Also, I asked them to select more than one dialect if they thought that would best answer the question. </w:t>
      </w:r>
      <w:r w:rsidR="00BA0ABE" w:rsidRPr="00CF31E0">
        <w:rPr>
          <w:rFonts w:eastAsia="Times New Roman"/>
        </w:rPr>
        <w:t>For the fifth choice, I gave them free space to write down any other dialect not mentioned above. Also, I asked them to select more than one dialect if they thought that would best answer the question. See Table 6.15.</w:t>
      </w:r>
    </w:p>
    <w:p w14:paraId="19F22B6C" w14:textId="003F3E7A" w:rsidR="006138B3" w:rsidRPr="00CF31E0" w:rsidRDefault="00BA0ABE" w:rsidP="00330B2A">
      <w:pPr>
        <w:pStyle w:val="Paragraph"/>
        <w:rPr>
          <w:rFonts w:eastAsia="Times New Roman"/>
        </w:rPr>
      </w:pPr>
      <w:r w:rsidRPr="00CF31E0">
        <w:t xml:space="preserve">11 participants wrote Turkish language in the fifth choice (i.e. other). The answers were removed as the question provided only asked participants about the Arabic dialects that are similar to HH dialect, while the Turkish language is not classified as an Arabic dialect; it is a completely different language. </w:t>
      </w:r>
      <w:r w:rsidR="00A23C2A" w:rsidRPr="00CF31E0">
        <w:t xml:space="preserve">See Table </w:t>
      </w:r>
      <w:r w:rsidR="005C44A0" w:rsidRPr="00CF31E0">
        <w:t>7</w:t>
      </w:r>
      <w:r w:rsidR="00072DD9" w:rsidRPr="00CF31E0">
        <w:t>.</w:t>
      </w:r>
      <w:r w:rsidR="00A23C2A" w:rsidRPr="00CF31E0">
        <w:t>15.</w:t>
      </w:r>
    </w:p>
    <w:tbl>
      <w:tblPr>
        <w:tblpPr w:leftFromText="180" w:rightFromText="180" w:vertAnchor="text" w:tblpY="1"/>
        <w:tblOverlap w:val="never"/>
        <w:tblW w:w="0" w:type="auto"/>
        <w:tblBorders>
          <w:top w:val="single" w:sz="4" w:space="0" w:color="auto"/>
          <w:bottom w:val="single" w:sz="4" w:space="0" w:color="auto"/>
        </w:tblBorders>
        <w:tblLook w:val="0000" w:firstRow="0" w:lastRow="0" w:firstColumn="0" w:lastColumn="0" w:noHBand="0" w:noVBand="0"/>
      </w:tblPr>
      <w:tblGrid>
        <w:gridCol w:w="6345"/>
        <w:gridCol w:w="1134"/>
      </w:tblGrid>
      <w:tr w:rsidR="007F558A" w:rsidRPr="00CF31E0" w14:paraId="01F43096" w14:textId="77777777" w:rsidTr="00603CB7">
        <w:trPr>
          <w:cantSplit/>
        </w:trPr>
        <w:tc>
          <w:tcPr>
            <w:tcW w:w="6345" w:type="dxa"/>
            <w:tcBorders>
              <w:top w:val="single" w:sz="4" w:space="0" w:color="auto"/>
              <w:bottom w:val="single" w:sz="4" w:space="0" w:color="auto"/>
            </w:tcBorders>
          </w:tcPr>
          <w:p w14:paraId="3DA3B848" w14:textId="77777777" w:rsidR="00A23C2A" w:rsidRPr="00CF31E0" w:rsidRDefault="00A23C2A" w:rsidP="00603CB7">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HH dialect is similar to the following Arabic dialect(s)</w:t>
            </w:r>
          </w:p>
        </w:tc>
        <w:tc>
          <w:tcPr>
            <w:tcW w:w="1134" w:type="dxa"/>
            <w:tcBorders>
              <w:top w:val="single" w:sz="4" w:space="0" w:color="auto"/>
              <w:bottom w:val="single" w:sz="4" w:space="0" w:color="auto"/>
            </w:tcBorders>
          </w:tcPr>
          <w:p w14:paraId="4CE17FE4" w14:textId="77777777" w:rsidR="00A23C2A" w:rsidRPr="00CF31E0" w:rsidRDefault="00A23C2A" w:rsidP="00603CB7">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Number</w:t>
            </w:r>
          </w:p>
        </w:tc>
      </w:tr>
      <w:tr w:rsidR="007F558A" w:rsidRPr="00CF31E0" w14:paraId="5D59F912" w14:textId="77777777" w:rsidTr="00603CB7">
        <w:trPr>
          <w:cantSplit/>
        </w:trPr>
        <w:tc>
          <w:tcPr>
            <w:tcW w:w="6345" w:type="dxa"/>
            <w:tcBorders>
              <w:top w:val="single" w:sz="4" w:space="0" w:color="auto"/>
              <w:bottom w:val="nil"/>
            </w:tcBorders>
          </w:tcPr>
          <w:p w14:paraId="0FF8AD68" w14:textId="77777777" w:rsidR="00A23C2A" w:rsidRPr="00CF31E0" w:rsidRDefault="00A23C2A" w:rsidP="00603CB7">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Egyptian</w:t>
            </w:r>
          </w:p>
        </w:tc>
        <w:tc>
          <w:tcPr>
            <w:tcW w:w="1134" w:type="dxa"/>
            <w:tcBorders>
              <w:top w:val="single" w:sz="4" w:space="0" w:color="auto"/>
              <w:bottom w:val="nil"/>
            </w:tcBorders>
          </w:tcPr>
          <w:p w14:paraId="52212A20" w14:textId="77777777" w:rsidR="00A23C2A" w:rsidRPr="00CF31E0" w:rsidRDefault="00A23C2A" w:rsidP="00603CB7">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204</w:t>
            </w:r>
          </w:p>
        </w:tc>
      </w:tr>
      <w:tr w:rsidR="007F558A" w:rsidRPr="00CF31E0" w14:paraId="47E65893" w14:textId="77777777" w:rsidTr="00603CB7">
        <w:trPr>
          <w:cantSplit/>
        </w:trPr>
        <w:tc>
          <w:tcPr>
            <w:tcW w:w="6345" w:type="dxa"/>
            <w:tcBorders>
              <w:top w:val="nil"/>
            </w:tcBorders>
          </w:tcPr>
          <w:p w14:paraId="5FB51382" w14:textId="77777777" w:rsidR="00A23C2A" w:rsidRPr="00CF31E0" w:rsidRDefault="00A23C2A" w:rsidP="00603CB7">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Levantine</w:t>
            </w:r>
          </w:p>
        </w:tc>
        <w:tc>
          <w:tcPr>
            <w:tcW w:w="1134" w:type="dxa"/>
            <w:tcBorders>
              <w:top w:val="nil"/>
            </w:tcBorders>
          </w:tcPr>
          <w:p w14:paraId="40BA589D" w14:textId="27FFD896" w:rsidR="00A23C2A" w:rsidRPr="00CF31E0" w:rsidRDefault="00B12C97" w:rsidP="00603CB7">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  </w:t>
            </w:r>
            <w:r w:rsidR="00A23C2A" w:rsidRPr="00CF31E0">
              <w:rPr>
                <w:rFonts w:eastAsia="Calibri"/>
                <w:color w:val="000000" w:themeColor="text1"/>
                <w:sz w:val="22"/>
                <w:szCs w:val="22"/>
                <w:lang w:eastAsia="en-US"/>
              </w:rPr>
              <w:t>68</w:t>
            </w:r>
          </w:p>
        </w:tc>
      </w:tr>
      <w:tr w:rsidR="007F558A" w:rsidRPr="00CF31E0" w14:paraId="668AB73D" w14:textId="77777777" w:rsidTr="00603CB7">
        <w:trPr>
          <w:cantSplit/>
        </w:trPr>
        <w:tc>
          <w:tcPr>
            <w:tcW w:w="6345" w:type="dxa"/>
          </w:tcPr>
          <w:p w14:paraId="6AE0DB90" w14:textId="77777777" w:rsidR="00A23C2A" w:rsidRPr="00CF31E0" w:rsidRDefault="00A23C2A" w:rsidP="00603CB7">
            <w:pPr>
              <w:spacing w:before="120" w:after="120"/>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Egyptian, Levantine </w:t>
            </w:r>
          </w:p>
        </w:tc>
        <w:tc>
          <w:tcPr>
            <w:tcW w:w="1134" w:type="dxa"/>
          </w:tcPr>
          <w:p w14:paraId="4F540D30" w14:textId="77777777" w:rsidR="00A23C2A" w:rsidRPr="00CF31E0" w:rsidRDefault="00A23C2A" w:rsidP="00603CB7">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244</w:t>
            </w:r>
          </w:p>
        </w:tc>
      </w:tr>
      <w:tr w:rsidR="007F558A" w:rsidRPr="00CF31E0" w14:paraId="1CE105C8" w14:textId="77777777" w:rsidTr="00603CB7">
        <w:trPr>
          <w:cantSplit/>
        </w:trPr>
        <w:tc>
          <w:tcPr>
            <w:tcW w:w="6345" w:type="dxa"/>
          </w:tcPr>
          <w:p w14:paraId="72A47FF7" w14:textId="77777777" w:rsidR="00A23C2A" w:rsidRPr="00CF31E0" w:rsidRDefault="00A23C2A" w:rsidP="00603CB7">
            <w:pPr>
              <w:spacing w:before="120" w:after="120"/>
              <w:jc w:val="both"/>
              <w:rPr>
                <w:rFonts w:eastAsia="Calibri"/>
                <w:color w:val="000000" w:themeColor="text1"/>
                <w:sz w:val="22"/>
                <w:szCs w:val="22"/>
                <w:lang w:eastAsia="en-US"/>
              </w:rPr>
            </w:pPr>
            <w:r w:rsidRPr="00CF31E0">
              <w:rPr>
                <w:rFonts w:eastAsia="Calibri"/>
                <w:color w:val="000000" w:themeColor="text1"/>
                <w:sz w:val="22"/>
                <w:szCs w:val="22"/>
                <w:lang w:eastAsia="en-US"/>
              </w:rPr>
              <w:t>Egyptian, Yemeni and Sudanese</w:t>
            </w:r>
          </w:p>
        </w:tc>
        <w:tc>
          <w:tcPr>
            <w:tcW w:w="1134" w:type="dxa"/>
          </w:tcPr>
          <w:p w14:paraId="2BCE1AA5" w14:textId="77777777" w:rsidR="00A23C2A" w:rsidRPr="00CF31E0" w:rsidRDefault="00A23C2A" w:rsidP="00603CB7">
            <w:pPr>
              <w:keepNext/>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133</w:t>
            </w:r>
          </w:p>
        </w:tc>
      </w:tr>
    </w:tbl>
    <w:p w14:paraId="7FA79B53" w14:textId="6A37FD7A" w:rsidR="00A23C2A" w:rsidRPr="00CF31E0" w:rsidRDefault="00A23C2A" w:rsidP="00730917">
      <w:pPr>
        <w:pStyle w:val="Tablecaption"/>
      </w:pPr>
      <w:bookmarkStart w:id="427" w:name="_Toc522527419"/>
      <w:bookmarkStart w:id="428" w:name="_Toc522628831"/>
      <w:bookmarkStart w:id="429" w:name="_Toc522628995"/>
      <w:bookmarkStart w:id="430" w:name="_Toc6473092"/>
      <w:r w:rsidRPr="00CF31E0">
        <w:t xml:space="preserve">Table </w:t>
      </w:r>
      <w:r w:rsidR="005C44A0" w:rsidRPr="00CF31E0">
        <w:t>7</w:t>
      </w:r>
      <w:r w:rsidR="00C86F26" w:rsidRPr="00CF31E0">
        <w:t>.</w:t>
      </w:r>
      <w:r w:rsidRPr="00CF31E0">
        <w:t>15: Participants’ selection of the choices provided in Q5.</w:t>
      </w:r>
      <w:bookmarkEnd w:id="427"/>
      <w:bookmarkEnd w:id="428"/>
      <w:bookmarkEnd w:id="429"/>
      <w:bookmarkEnd w:id="430"/>
    </w:p>
    <w:p w14:paraId="56EE9895" w14:textId="01041248" w:rsidR="00A23C2A" w:rsidRPr="00CF31E0" w:rsidRDefault="00A23C2A" w:rsidP="00603CB7">
      <w:pPr>
        <w:pStyle w:val="Paragraph"/>
      </w:pPr>
      <w:r w:rsidRPr="00CF31E0">
        <w:t xml:space="preserve">Table </w:t>
      </w:r>
      <w:r w:rsidR="005C44A0" w:rsidRPr="00CF31E0">
        <w:t>7</w:t>
      </w:r>
      <w:r w:rsidR="00C86F26" w:rsidRPr="00CF31E0">
        <w:t>.</w:t>
      </w:r>
      <w:r w:rsidRPr="00CF31E0">
        <w:t xml:space="preserve">15 illustrates that 244 participants chose a combination of Egyptian and Levantine Arabic as the dialects most similar to the HH dialect. The second most selected choice was Egyptian Arabic on its own, which was chosen by 204 participants. Furthermore, 133 participants perceived the </w:t>
      </w:r>
      <w:r w:rsidRPr="00CF31E0">
        <w:lastRenderedPageBreak/>
        <w:t>following three dialects as similar to the HH dialect: Egyptian, Yemeni and Sudanese. Finally, 68 participants perceived Levantine Arabic as the most similar dialect to HH. It is clear from the pattern above that Egyptian Arabic was perceived as the most similar dialect to HH as three times more participants chose this dialect compared to Levantine Arabic.</w:t>
      </w:r>
    </w:p>
    <w:p w14:paraId="7E23990C" w14:textId="143E0949" w:rsidR="00A23C2A" w:rsidRPr="00CF31E0" w:rsidRDefault="005C44A0" w:rsidP="00E87209">
      <w:pPr>
        <w:pStyle w:val="Bhead"/>
      </w:pPr>
      <w:bookmarkStart w:id="431" w:name="_Toc6472710"/>
      <w:r w:rsidRPr="00CF31E0">
        <w:t>7</w:t>
      </w:r>
      <w:r w:rsidR="00C86F26" w:rsidRPr="00CF31E0">
        <w:t>.6.1.</w:t>
      </w:r>
      <w:r w:rsidR="00F106E7" w:rsidRPr="00CF31E0">
        <w:tab/>
      </w:r>
      <w:r w:rsidR="00A23C2A" w:rsidRPr="00CF31E0">
        <w:t>Effects of demographic variables on the data</w:t>
      </w:r>
      <w:bookmarkEnd w:id="431"/>
      <w:r w:rsidR="00A23C2A" w:rsidRPr="00CF31E0">
        <w:t xml:space="preserve"> </w:t>
      </w:r>
    </w:p>
    <w:p w14:paraId="36B368FB" w14:textId="238CD62E" w:rsidR="00A23C2A" w:rsidRPr="00CF31E0" w:rsidRDefault="00A23C2A" w:rsidP="00603CB7">
      <w:pPr>
        <w:pStyle w:val="Paragraph"/>
      </w:pPr>
      <w:r w:rsidRPr="00CF31E0">
        <w:t xml:space="preserve">I ran a series of chi-square tests which revealed that three demographic variables affected the data: social group, mother’s social group and spouse’s social group. </w:t>
      </w:r>
    </w:p>
    <w:p w14:paraId="775E6A1C" w14:textId="2AF6E0AE" w:rsidR="00A23C2A" w:rsidRPr="00CF31E0" w:rsidRDefault="005C44A0" w:rsidP="00E87209">
      <w:pPr>
        <w:pStyle w:val="Chead"/>
      </w:pPr>
      <w:bookmarkStart w:id="432" w:name="_Toc6472711"/>
      <w:r w:rsidRPr="00CF31E0">
        <w:t>7</w:t>
      </w:r>
      <w:r w:rsidR="00D47E7C" w:rsidRPr="00CF31E0">
        <w:t>.6.1.1.</w:t>
      </w:r>
      <w:r w:rsidR="00F106E7" w:rsidRPr="00CF31E0">
        <w:tab/>
      </w:r>
      <w:r w:rsidR="00A23C2A" w:rsidRPr="00CF31E0">
        <w:t>Social group demographic variable</w:t>
      </w:r>
      <w:bookmarkEnd w:id="432"/>
      <w:r w:rsidR="00A23C2A" w:rsidRPr="00CF31E0">
        <w:t xml:space="preserve"> </w:t>
      </w:r>
    </w:p>
    <w:p w14:paraId="086F6B0C" w14:textId="0FFDF6CF" w:rsidR="00E812EF" w:rsidRPr="00CF31E0" w:rsidRDefault="00A23C2A" w:rsidP="00A06672">
      <w:pPr>
        <w:widowControl w:val="0"/>
        <w:autoSpaceDE w:val="0"/>
        <w:autoSpaceDN w:val="0"/>
        <w:adjustRightInd w:val="0"/>
        <w:spacing w:after="200" w:line="400" w:lineRule="atLeast"/>
        <w:jc w:val="both"/>
        <w:rPr>
          <w:rFonts w:eastAsia="Times New Roman"/>
          <w:color w:val="000000" w:themeColor="text1"/>
        </w:rPr>
      </w:pPr>
      <w:r w:rsidRPr="00CF31E0">
        <w:rPr>
          <w:rFonts w:eastAsia="Times New Roman"/>
          <w:color w:val="000000" w:themeColor="text1"/>
        </w:rPr>
        <w:t xml:space="preserve">The results revealed that the two social groups, UBH and HH, had different perceptions regarding the dialects that resemble the HH dialect. The p value can be found below in </w:t>
      </w:r>
      <w:r w:rsidR="00D47E7C" w:rsidRPr="00CF31E0">
        <w:rPr>
          <w:rFonts w:eastAsia="Times New Roman"/>
          <w:color w:val="000000" w:themeColor="text1"/>
        </w:rPr>
        <w:t>T</w:t>
      </w:r>
      <w:r w:rsidRPr="00CF31E0">
        <w:rPr>
          <w:rFonts w:eastAsia="Times New Roman"/>
          <w:color w:val="000000" w:themeColor="text1"/>
        </w:rPr>
        <w:t xml:space="preserve">able </w:t>
      </w:r>
      <w:r w:rsidR="005C44A0" w:rsidRPr="00CF31E0">
        <w:rPr>
          <w:rFonts w:eastAsia="Times New Roman"/>
          <w:color w:val="000000" w:themeColor="text1"/>
        </w:rPr>
        <w:t>7</w:t>
      </w:r>
      <w:r w:rsidR="00D47E7C" w:rsidRPr="00CF31E0">
        <w:rPr>
          <w:rFonts w:eastAsia="Times New Roman"/>
          <w:color w:val="000000" w:themeColor="text1"/>
        </w:rPr>
        <w:t>.</w:t>
      </w:r>
      <w:r w:rsidRPr="00CF31E0">
        <w:rPr>
          <w:rFonts w:eastAsia="Times New Roman"/>
          <w:color w:val="000000" w:themeColor="text1"/>
        </w:rPr>
        <w:t>16.</w:t>
      </w:r>
    </w:p>
    <w:tbl>
      <w:tblPr>
        <w:tblW w:w="7139" w:type="dxa"/>
        <w:tblLayout w:type="fixed"/>
        <w:tblLook w:val="04A0" w:firstRow="1" w:lastRow="0" w:firstColumn="1" w:lastColumn="0" w:noHBand="0" w:noVBand="1"/>
      </w:tblPr>
      <w:tblGrid>
        <w:gridCol w:w="2235"/>
        <w:gridCol w:w="1134"/>
        <w:gridCol w:w="425"/>
        <w:gridCol w:w="3337"/>
        <w:gridCol w:w="8"/>
      </w:tblGrid>
      <w:tr w:rsidR="00B5138E" w:rsidRPr="00CF31E0" w14:paraId="76092CE8" w14:textId="77777777" w:rsidTr="00603CB7">
        <w:trPr>
          <w:gridAfter w:val="1"/>
          <w:wAfter w:w="8" w:type="dxa"/>
          <w:trHeight w:val="567"/>
        </w:trPr>
        <w:tc>
          <w:tcPr>
            <w:tcW w:w="2235" w:type="dxa"/>
            <w:tcBorders>
              <w:top w:val="single" w:sz="8" w:space="0" w:color="auto"/>
              <w:bottom w:val="single" w:sz="8" w:space="0" w:color="auto"/>
            </w:tcBorders>
            <w:shd w:val="clear" w:color="auto" w:fill="auto"/>
            <w:hideMark/>
          </w:tcPr>
          <w:p w14:paraId="7B75A66E" w14:textId="77777777" w:rsidR="00B5138E" w:rsidRPr="00CF31E0" w:rsidRDefault="00B5138E" w:rsidP="00603CB7">
            <w:pPr>
              <w:spacing w:before="80" w:after="200" w:line="276" w:lineRule="auto"/>
              <w:rPr>
                <w:rFonts w:eastAsia="Calibri"/>
                <w:color w:val="000000" w:themeColor="text1"/>
                <w:sz w:val="22"/>
                <w:szCs w:val="22"/>
                <w:lang w:val="en-US" w:eastAsia="en-US"/>
              </w:rPr>
            </w:pPr>
          </w:p>
        </w:tc>
        <w:tc>
          <w:tcPr>
            <w:tcW w:w="1134" w:type="dxa"/>
            <w:tcBorders>
              <w:top w:val="single" w:sz="8" w:space="0" w:color="auto"/>
              <w:bottom w:val="single" w:sz="8" w:space="0" w:color="auto"/>
            </w:tcBorders>
            <w:shd w:val="clear" w:color="auto" w:fill="auto"/>
            <w:hideMark/>
          </w:tcPr>
          <w:p w14:paraId="6B7EBDCC" w14:textId="77777777" w:rsidR="00B5138E" w:rsidRPr="00CF31E0" w:rsidRDefault="00B5138E" w:rsidP="00603CB7">
            <w:pPr>
              <w:spacing w:before="80" w:after="200" w:line="360"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425" w:type="dxa"/>
            <w:tcBorders>
              <w:top w:val="single" w:sz="8" w:space="0" w:color="auto"/>
              <w:bottom w:val="single" w:sz="8" w:space="0" w:color="auto"/>
            </w:tcBorders>
            <w:shd w:val="clear" w:color="auto" w:fill="auto"/>
          </w:tcPr>
          <w:p w14:paraId="78443444" w14:textId="77777777" w:rsidR="00B5138E" w:rsidRPr="00CF31E0" w:rsidRDefault="00B5138E" w:rsidP="00603CB7">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df</w:t>
            </w:r>
          </w:p>
        </w:tc>
        <w:tc>
          <w:tcPr>
            <w:tcW w:w="3337" w:type="dxa"/>
            <w:tcBorders>
              <w:top w:val="single" w:sz="8" w:space="0" w:color="auto"/>
              <w:bottom w:val="single" w:sz="8" w:space="0" w:color="auto"/>
            </w:tcBorders>
            <w:shd w:val="clear" w:color="auto" w:fill="auto"/>
          </w:tcPr>
          <w:p w14:paraId="6B9609F7" w14:textId="77777777" w:rsidR="00B5138E" w:rsidRPr="00CF31E0" w:rsidRDefault="00B5138E" w:rsidP="00603CB7">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B5138E" w:rsidRPr="00CF31E0" w14:paraId="7B7D66D3" w14:textId="77777777" w:rsidTr="00603CB7">
        <w:trPr>
          <w:gridAfter w:val="1"/>
          <w:wAfter w:w="8" w:type="dxa"/>
          <w:trHeight w:val="567"/>
        </w:trPr>
        <w:tc>
          <w:tcPr>
            <w:tcW w:w="2235" w:type="dxa"/>
            <w:tcBorders>
              <w:top w:val="single" w:sz="8" w:space="0" w:color="auto"/>
            </w:tcBorders>
            <w:shd w:val="clear" w:color="auto" w:fill="auto"/>
            <w:vAlign w:val="bottom"/>
          </w:tcPr>
          <w:p w14:paraId="590CBAF0" w14:textId="77777777" w:rsidR="00B5138E" w:rsidRPr="00CF31E0" w:rsidRDefault="00B5138E" w:rsidP="00C455D9">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586C705D" w14:textId="77777777" w:rsidR="00B5138E" w:rsidRPr="00CF31E0" w:rsidRDefault="00B5138E" w:rsidP="00C455D9">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101.921</w:t>
            </w:r>
            <w:r w:rsidRPr="00CF31E0">
              <w:rPr>
                <w:rFonts w:eastAsia="Calibri"/>
                <w:color w:val="000000" w:themeColor="text1"/>
                <w:sz w:val="22"/>
                <w:szCs w:val="22"/>
                <w:vertAlign w:val="superscript"/>
                <w:lang w:eastAsia="en-US"/>
              </w:rPr>
              <w:t>a</w:t>
            </w:r>
          </w:p>
        </w:tc>
        <w:tc>
          <w:tcPr>
            <w:tcW w:w="425" w:type="dxa"/>
            <w:tcBorders>
              <w:top w:val="single" w:sz="8" w:space="0" w:color="auto"/>
            </w:tcBorders>
            <w:shd w:val="clear" w:color="auto" w:fill="auto"/>
            <w:vAlign w:val="bottom"/>
          </w:tcPr>
          <w:p w14:paraId="531F7E32" w14:textId="77777777" w:rsidR="00B5138E" w:rsidRPr="00CF31E0" w:rsidRDefault="00B5138E" w:rsidP="00C455D9">
            <w:pPr>
              <w:spacing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3</w:t>
            </w:r>
          </w:p>
        </w:tc>
        <w:tc>
          <w:tcPr>
            <w:tcW w:w="3337" w:type="dxa"/>
            <w:tcBorders>
              <w:top w:val="single" w:sz="8" w:space="0" w:color="auto"/>
            </w:tcBorders>
            <w:shd w:val="clear" w:color="auto" w:fill="auto"/>
            <w:vAlign w:val="bottom"/>
          </w:tcPr>
          <w:p w14:paraId="7A3918E8" w14:textId="77777777" w:rsidR="00B5138E" w:rsidRPr="00CF31E0" w:rsidRDefault="00B5138E" w:rsidP="00C455D9">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.000</w:t>
            </w:r>
          </w:p>
        </w:tc>
      </w:tr>
      <w:tr w:rsidR="00202B1B" w:rsidRPr="00CF31E0" w14:paraId="4DB0BBA0" w14:textId="77777777" w:rsidTr="00603CB7">
        <w:trPr>
          <w:gridAfter w:val="1"/>
          <w:wAfter w:w="8" w:type="dxa"/>
          <w:trHeight w:val="567"/>
        </w:trPr>
        <w:tc>
          <w:tcPr>
            <w:tcW w:w="2235" w:type="dxa"/>
            <w:tcBorders>
              <w:bottom w:val="single" w:sz="8" w:space="0" w:color="auto"/>
            </w:tcBorders>
            <w:shd w:val="clear" w:color="auto" w:fill="auto"/>
            <w:vAlign w:val="bottom"/>
          </w:tcPr>
          <w:p w14:paraId="40DBBAF5" w14:textId="77777777" w:rsidR="00B5138E" w:rsidRPr="00CF31E0" w:rsidRDefault="00B5138E" w:rsidP="00C455D9">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48A01D99" w14:textId="77777777" w:rsidR="00B5138E" w:rsidRPr="00CF31E0" w:rsidRDefault="00B5138E" w:rsidP="00C455D9">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425" w:type="dxa"/>
            <w:tcBorders>
              <w:bottom w:val="single" w:sz="8" w:space="0" w:color="auto"/>
            </w:tcBorders>
            <w:shd w:val="clear" w:color="auto" w:fill="auto"/>
            <w:vAlign w:val="bottom"/>
          </w:tcPr>
          <w:p w14:paraId="419C5332" w14:textId="77777777" w:rsidR="00B5138E" w:rsidRPr="00CF31E0" w:rsidRDefault="00B5138E" w:rsidP="00C455D9">
            <w:pPr>
              <w:spacing w:after="200" w:line="276" w:lineRule="auto"/>
              <w:rPr>
                <w:rFonts w:eastAsia="Calibri"/>
                <w:color w:val="000000" w:themeColor="text1"/>
                <w:sz w:val="22"/>
                <w:szCs w:val="22"/>
                <w:lang w:val="en-US" w:eastAsia="en-US"/>
              </w:rPr>
            </w:pPr>
          </w:p>
        </w:tc>
        <w:tc>
          <w:tcPr>
            <w:tcW w:w="3337" w:type="dxa"/>
            <w:tcBorders>
              <w:bottom w:val="single" w:sz="8" w:space="0" w:color="auto"/>
            </w:tcBorders>
            <w:shd w:val="clear" w:color="auto" w:fill="auto"/>
            <w:vAlign w:val="bottom"/>
          </w:tcPr>
          <w:p w14:paraId="25306C20" w14:textId="77777777" w:rsidR="00B5138E" w:rsidRPr="00CF31E0" w:rsidRDefault="00B5138E" w:rsidP="00C455D9">
            <w:pPr>
              <w:spacing w:after="200" w:line="276" w:lineRule="auto"/>
              <w:rPr>
                <w:rFonts w:eastAsia="Calibri"/>
                <w:color w:val="000000" w:themeColor="text1"/>
                <w:sz w:val="22"/>
                <w:szCs w:val="22"/>
                <w:lang w:eastAsia="en-US"/>
              </w:rPr>
            </w:pPr>
          </w:p>
        </w:tc>
      </w:tr>
      <w:tr w:rsidR="00B5138E" w:rsidRPr="00CF31E0" w14:paraId="6E0C8B85" w14:textId="77777777" w:rsidTr="00202B1B">
        <w:trPr>
          <w:trHeight w:val="567"/>
        </w:trPr>
        <w:tc>
          <w:tcPr>
            <w:tcW w:w="7139" w:type="dxa"/>
            <w:gridSpan w:val="5"/>
            <w:tcBorders>
              <w:top w:val="single" w:sz="8" w:space="0" w:color="auto"/>
              <w:bottom w:val="single" w:sz="8" w:space="0" w:color="auto"/>
            </w:tcBorders>
            <w:shd w:val="clear" w:color="auto" w:fill="auto"/>
          </w:tcPr>
          <w:p w14:paraId="101AC537" w14:textId="4C1DBEA2" w:rsidR="00B5138E" w:rsidRPr="00CF31E0" w:rsidRDefault="00B5138E" w:rsidP="00B5138E">
            <w:pPr>
              <w:spacing w:before="80" w:after="80"/>
              <w:rPr>
                <w:rFonts w:eastAsia="Calibri"/>
                <w:color w:val="000000" w:themeColor="text1"/>
                <w:sz w:val="22"/>
                <w:szCs w:val="22"/>
                <w:lang w:eastAsia="en-US"/>
              </w:rPr>
            </w:pPr>
            <w:r w:rsidRPr="00CF31E0">
              <w:rPr>
                <w:rFonts w:eastAsia="Calibri"/>
                <w:color w:val="000000" w:themeColor="text1"/>
                <w:sz w:val="22"/>
                <w:szCs w:val="22"/>
                <w:lang w:eastAsia="en-US"/>
              </w:rPr>
              <w:t xml:space="preserve">a. 0 cells (.0%) have expected </w:t>
            </w:r>
            <w:r w:rsidR="00F03C9C" w:rsidRPr="00CF31E0">
              <w:rPr>
                <w:rFonts w:eastAsia="Calibri"/>
                <w:color w:val="000000" w:themeColor="text1"/>
                <w:sz w:val="22"/>
                <w:szCs w:val="22"/>
                <w:lang w:eastAsia="en-US"/>
              </w:rPr>
              <w:t>Count</w:t>
            </w:r>
            <w:r w:rsidRPr="00CF31E0">
              <w:rPr>
                <w:rFonts w:eastAsia="Calibri"/>
                <w:color w:val="000000" w:themeColor="text1"/>
                <w:sz w:val="22"/>
                <w:szCs w:val="22"/>
                <w:lang w:eastAsia="en-US"/>
              </w:rPr>
              <w:t xml:space="preserve"> less than 5. The minimum expected </w:t>
            </w:r>
            <w:r w:rsidR="00F03C9C" w:rsidRPr="00CF31E0">
              <w:rPr>
                <w:rFonts w:eastAsia="Calibri"/>
                <w:color w:val="000000" w:themeColor="text1"/>
                <w:sz w:val="22"/>
                <w:szCs w:val="22"/>
                <w:lang w:eastAsia="en-US"/>
              </w:rPr>
              <w:t>Count</w:t>
            </w:r>
            <w:r w:rsidRPr="00CF31E0">
              <w:rPr>
                <w:rFonts w:eastAsia="Calibri"/>
                <w:color w:val="000000" w:themeColor="text1"/>
                <w:sz w:val="22"/>
                <w:szCs w:val="22"/>
                <w:lang w:eastAsia="en-US"/>
              </w:rPr>
              <w:t xml:space="preserve"> is 33.95.</w:t>
            </w:r>
          </w:p>
        </w:tc>
      </w:tr>
    </w:tbl>
    <w:p w14:paraId="7B4B9995" w14:textId="5E28125F" w:rsidR="00A23C2A" w:rsidRPr="00CF31E0" w:rsidRDefault="00A23C2A" w:rsidP="00730917">
      <w:pPr>
        <w:pStyle w:val="Tablecaption"/>
      </w:pPr>
      <w:bookmarkStart w:id="433" w:name="_Toc522527420"/>
      <w:bookmarkStart w:id="434" w:name="_Toc522628832"/>
      <w:bookmarkStart w:id="435" w:name="_Toc522628996"/>
      <w:bookmarkStart w:id="436" w:name="_Toc6473093"/>
      <w:r w:rsidRPr="00CF31E0">
        <w:t xml:space="preserve">Table </w:t>
      </w:r>
      <w:r w:rsidR="005C44A0" w:rsidRPr="00CF31E0">
        <w:t>7</w:t>
      </w:r>
      <w:r w:rsidR="00D47E7C" w:rsidRPr="00CF31E0">
        <w:t>.</w:t>
      </w:r>
      <w:r w:rsidRPr="00CF31E0">
        <w:t>16: Chi-square test results for social group demographic variable.</w:t>
      </w:r>
      <w:bookmarkEnd w:id="433"/>
      <w:bookmarkEnd w:id="434"/>
      <w:bookmarkEnd w:id="435"/>
      <w:bookmarkEnd w:id="436"/>
    </w:p>
    <w:p w14:paraId="7B5DEC1F" w14:textId="6D8A651C" w:rsidR="00A23C2A" w:rsidRPr="00CF31E0" w:rsidRDefault="00A23C2A" w:rsidP="00603CB7">
      <w:pPr>
        <w:pStyle w:val="Paragraph"/>
        <w:spacing w:after="0"/>
      </w:pPr>
      <w:r w:rsidRPr="00CF31E0">
        <w:t xml:space="preserve">Table </w:t>
      </w:r>
      <w:r w:rsidR="005C44A0" w:rsidRPr="00CF31E0">
        <w:t>7</w:t>
      </w:r>
      <w:r w:rsidR="00D47E7C" w:rsidRPr="00CF31E0">
        <w:t>.</w:t>
      </w:r>
      <w:r w:rsidRPr="00CF31E0">
        <w:t>16</w:t>
      </w:r>
      <w:r w:rsidR="00D47E7C" w:rsidRPr="00CF31E0">
        <w:t>.</w:t>
      </w:r>
      <w:r w:rsidRPr="00CF31E0">
        <w:t xml:space="preserve"> illustrates that the Pearson chi-square results revealed that the p value is &lt;.001, which is a significant value. Table </w:t>
      </w:r>
      <w:r w:rsidR="005C44A0" w:rsidRPr="00CF31E0">
        <w:t>7</w:t>
      </w:r>
      <w:r w:rsidR="00D47E7C" w:rsidRPr="00CF31E0">
        <w:t>.</w:t>
      </w:r>
      <w:r w:rsidRPr="00CF31E0">
        <w:t xml:space="preserve">17 illustrates where the difference lies. </w:t>
      </w:r>
    </w:p>
    <w:p w14:paraId="291994CF" w14:textId="77777777" w:rsidR="005D425C" w:rsidRPr="00CF31E0" w:rsidRDefault="005D425C" w:rsidP="00603CB7">
      <w:pPr>
        <w:pStyle w:val="Paragraph"/>
        <w:spacing w:after="0"/>
      </w:pPr>
    </w:p>
    <w:p w14:paraId="0A3F7096" w14:textId="77777777" w:rsidR="005D425C" w:rsidRPr="00CF31E0" w:rsidRDefault="005D425C" w:rsidP="00603CB7">
      <w:pPr>
        <w:pStyle w:val="Paragraph"/>
        <w:spacing w:after="0"/>
      </w:pPr>
    </w:p>
    <w:p w14:paraId="3ECEDA5F" w14:textId="77777777" w:rsidR="005D425C" w:rsidRPr="00CF31E0" w:rsidRDefault="005D425C" w:rsidP="00603CB7">
      <w:pPr>
        <w:pStyle w:val="Paragraph"/>
        <w:spacing w:after="0"/>
      </w:pPr>
    </w:p>
    <w:p w14:paraId="1CF22909" w14:textId="77777777" w:rsidR="00A06672" w:rsidRPr="00CF31E0" w:rsidRDefault="00A06672" w:rsidP="00603CB7">
      <w:pPr>
        <w:pStyle w:val="Paragraph"/>
        <w:spacing w:after="0"/>
      </w:pPr>
    </w:p>
    <w:p w14:paraId="111CFCD6" w14:textId="77777777" w:rsidR="00A06672" w:rsidRPr="00CF31E0" w:rsidRDefault="00A06672" w:rsidP="00603CB7">
      <w:pPr>
        <w:pStyle w:val="Paragraph"/>
        <w:spacing w:after="0"/>
      </w:pPr>
    </w:p>
    <w:p w14:paraId="209C4AFA" w14:textId="77777777" w:rsidR="005D425C" w:rsidRPr="00CF31E0" w:rsidRDefault="005D425C" w:rsidP="00603CB7">
      <w:pPr>
        <w:pStyle w:val="Paragraph"/>
        <w:spacing w:after="0"/>
      </w:pPr>
    </w:p>
    <w:p w14:paraId="78938866" w14:textId="77777777" w:rsidR="00330B2A" w:rsidRPr="00CF31E0" w:rsidRDefault="00330B2A" w:rsidP="00603CB7">
      <w:pPr>
        <w:pStyle w:val="Paragraph"/>
        <w:spacing w:after="0"/>
      </w:pPr>
    </w:p>
    <w:tbl>
      <w:tblPr>
        <w:tblW w:w="7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0"/>
        <w:gridCol w:w="664"/>
        <w:gridCol w:w="1154"/>
        <w:gridCol w:w="1031"/>
        <w:gridCol w:w="1134"/>
        <w:gridCol w:w="992"/>
        <w:gridCol w:w="1134"/>
        <w:gridCol w:w="709"/>
      </w:tblGrid>
      <w:tr w:rsidR="00FF344B" w:rsidRPr="00CF31E0" w14:paraId="3331F7E0" w14:textId="77777777" w:rsidTr="00603CB7">
        <w:trPr>
          <w:cantSplit/>
        </w:trPr>
        <w:tc>
          <w:tcPr>
            <w:tcW w:w="2518" w:type="dxa"/>
            <w:gridSpan w:val="3"/>
            <w:vMerge w:val="restart"/>
            <w:shd w:val="clear" w:color="auto" w:fill="FFFFFF"/>
            <w:vAlign w:val="bottom"/>
          </w:tcPr>
          <w:p w14:paraId="6E3C4671"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rPr>
            </w:pPr>
          </w:p>
        </w:tc>
        <w:tc>
          <w:tcPr>
            <w:tcW w:w="4291" w:type="dxa"/>
            <w:gridSpan w:val="4"/>
            <w:shd w:val="clear" w:color="auto" w:fill="FFFFFF"/>
            <w:vAlign w:val="bottom"/>
          </w:tcPr>
          <w:p w14:paraId="1967614D" w14:textId="4D979A66" w:rsidR="00FF344B" w:rsidRPr="00CF31E0" w:rsidRDefault="00FF4DC7" w:rsidP="00FF344B">
            <w:pPr>
              <w:widowControl w:val="0"/>
              <w:autoSpaceDE w:val="0"/>
              <w:autoSpaceDN w:val="0"/>
              <w:adjustRightInd w:val="0"/>
              <w:spacing w:line="320" w:lineRule="atLeast"/>
              <w:ind w:left="60" w:right="60"/>
              <w:jc w:val="center"/>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HH</w:t>
            </w:r>
            <w:r w:rsidR="00F6645B" w:rsidRPr="00CF31E0">
              <w:rPr>
                <w:rFonts w:asciiTheme="majorBidi" w:hAnsiTheme="majorBidi" w:cstheme="majorBidi"/>
                <w:color w:val="000000" w:themeColor="text1"/>
                <w:sz w:val="22"/>
                <w:szCs w:val="22"/>
              </w:rPr>
              <w:t xml:space="preserve"> is similar to other Arabic </w:t>
            </w:r>
            <w:r w:rsidR="00FF344B" w:rsidRPr="00CF31E0">
              <w:rPr>
                <w:rFonts w:asciiTheme="majorBidi" w:hAnsiTheme="majorBidi" w:cstheme="majorBidi"/>
                <w:color w:val="000000" w:themeColor="text1"/>
                <w:sz w:val="22"/>
                <w:szCs w:val="22"/>
              </w:rPr>
              <w:t>dialects</w:t>
            </w:r>
          </w:p>
        </w:tc>
        <w:tc>
          <w:tcPr>
            <w:tcW w:w="709" w:type="dxa"/>
            <w:vMerge w:val="restart"/>
            <w:shd w:val="clear" w:color="auto" w:fill="FFFFFF"/>
            <w:vAlign w:val="bottom"/>
          </w:tcPr>
          <w:p w14:paraId="2E0C9161"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Total</w:t>
            </w:r>
          </w:p>
        </w:tc>
      </w:tr>
      <w:tr w:rsidR="00FF344B" w:rsidRPr="00CF31E0" w14:paraId="093A7CE3" w14:textId="77777777" w:rsidTr="00603CB7">
        <w:trPr>
          <w:cantSplit/>
        </w:trPr>
        <w:tc>
          <w:tcPr>
            <w:tcW w:w="2518" w:type="dxa"/>
            <w:gridSpan w:val="3"/>
            <w:vMerge/>
            <w:shd w:val="clear" w:color="auto" w:fill="FFFFFF"/>
            <w:vAlign w:val="bottom"/>
          </w:tcPr>
          <w:p w14:paraId="1EFF2AB6"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rPr>
            </w:pPr>
          </w:p>
        </w:tc>
        <w:tc>
          <w:tcPr>
            <w:tcW w:w="1031" w:type="dxa"/>
            <w:shd w:val="clear" w:color="auto" w:fill="FFFFFF"/>
            <w:vAlign w:val="bottom"/>
          </w:tcPr>
          <w:p w14:paraId="3E1655E5"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Egyptian</w:t>
            </w:r>
          </w:p>
        </w:tc>
        <w:tc>
          <w:tcPr>
            <w:tcW w:w="1134" w:type="dxa"/>
            <w:shd w:val="clear" w:color="auto" w:fill="FFFFFF"/>
            <w:vAlign w:val="bottom"/>
          </w:tcPr>
          <w:p w14:paraId="79E9FA7E"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Egyptian, Levantine</w:t>
            </w:r>
          </w:p>
        </w:tc>
        <w:tc>
          <w:tcPr>
            <w:tcW w:w="992" w:type="dxa"/>
            <w:shd w:val="clear" w:color="auto" w:fill="FFFFFF"/>
            <w:vAlign w:val="bottom"/>
          </w:tcPr>
          <w:p w14:paraId="203BBED8"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Egyptian, Yemeni, Sudanese</w:t>
            </w:r>
          </w:p>
        </w:tc>
        <w:tc>
          <w:tcPr>
            <w:tcW w:w="1134" w:type="dxa"/>
            <w:shd w:val="clear" w:color="auto" w:fill="FFFFFF"/>
            <w:vAlign w:val="bottom"/>
          </w:tcPr>
          <w:p w14:paraId="2F151CBE"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Levantine</w:t>
            </w:r>
          </w:p>
        </w:tc>
        <w:tc>
          <w:tcPr>
            <w:tcW w:w="709" w:type="dxa"/>
            <w:vMerge/>
            <w:shd w:val="clear" w:color="auto" w:fill="FFFFFF"/>
            <w:vAlign w:val="bottom"/>
          </w:tcPr>
          <w:p w14:paraId="57FC684F"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rPr>
            </w:pPr>
          </w:p>
        </w:tc>
      </w:tr>
      <w:tr w:rsidR="00FF344B" w:rsidRPr="00CF31E0" w14:paraId="567773A2" w14:textId="77777777" w:rsidTr="00603CB7">
        <w:trPr>
          <w:cantSplit/>
        </w:trPr>
        <w:tc>
          <w:tcPr>
            <w:tcW w:w="700" w:type="dxa"/>
            <w:vMerge w:val="restart"/>
            <w:shd w:val="clear" w:color="auto" w:fill="FFFFFF"/>
          </w:tcPr>
          <w:p w14:paraId="23D5D04E"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cstheme="majorBidi"/>
                <w:color w:val="000000" w:themeColor="text1"/>
                <w:sz w:val="22"/>
                <w:szCs w:val="22"/>
              </w:rPr>
              <w:t>Social group</w:t>
            </w:r>
          </w:p>
        </w:tc>
        <w:tc>
          <w:tcPr>
            <w:tcW w:w="664" w:type="dxa"/>
            <w:vMerge w:val="restart"/>
            <w:shd w:val="clear" w:color="auto" w:fill="FFFFFF"/>
          </w:tcPr>
          <w:p w14:paraId="5CA510E2"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cstheme="majorBidi"/>
                <w:color w:val="000000" w:themeColor="text1"/>
                <w:sz w:val="22"/>
                <w:szCs w:val="22"/>
              </w:rPr>
              <w:t>UBH</w:t>
            </w:r>
          </w:p>
        </w:tc>
        <w:tc>
          <w:tcPr>
            <w:tcW w:w="1154" w:type="dxa"/>
            <w:shd w:val="clear" w:color="auto" w:fill="FFFFFF"/>
          </w:tcPr>
          <w:p w14:paraId="4385920E" w14:textId="72262A25" w:rsidR="00FF344B" w:rsidRPr="00CF31E0" w:rsidRDefault="00F6645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Raw frequency</w:t>
            </w:r>
          </w:p>
        </w:tc>
        <w:tc>
          <w:tcPr>
            <w:tcW w:w="1031" w:type="dxa"/>
            <w:shd w:val="clear" w:color="auto" w:fill="FFFFFF"/>
            <w:vAlign w:val="center"/>
          </w:tcPr>
          <w:p w14:paraId="764108C3"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91</w:t>
            </w:r>
          </w:p>
        </w:tc>
        <w:tc>
          <w:tcPr>
            <w:tcW w:w="1134" w:type="dxa"/>
            <w:shd w:val="clear" w:color="auto" w:fill="FFFFFF"/>
            <w:vAlign w:val="center"/>
          </w:tcPr>
          <w:p w14:paraId="37FA0D56"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161</w:t>
            </w:r>
          </w:p>
        </w:tc>
        <w:tc>
          <w:tcPr>
            <w:tcW w:w="992" w:type="dxa"/>
            <w:shd w:val="clear" w:color="auto" w:fill="FFFFFF"/>
            <w:vAlign w:val="center"/>
          </w:tcPr>
          <w:p w14:paraId="0EDE76AF"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22</w:t>
            </w:r>
          </w:p>
        </w:tc>
        <w:tc>
          <w:tcPr>
            <w:tcW w:w="1134" w:type="dxa"/>
            <w:shd w:val="clear" w:color="auto" w:fill="FFFFFF"/>
            <w:vAlign w:val="center"/>
          </w:tcPr>
          <w:p w14:paraId="077BD445" w14:textId="23E2DCB6" w:rsidR="00FF344B" w:rsidRPr="00CF31E0" w:rsidRDefault="005971F4"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49</w:t>
            </w:r>
          </w:p>
        </w:tc>
        <w:tc>
          <w:tcPr>
            <w:tcW w:w="709" w:type="dxa"/>
            <w:shd w:val="clear" w:color="auto" w:fill="FFFFFF"/>
            <w:vAlign w:val="center"/>
          </w:tcPr>
          <w:p w14:paraId="348B137D" w14:textId="29ED7E1A" w:rsidR="00FF344B" w:rsidRPr="00CF31E0" w:rsidRDefault="005971F4"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323</w:t>
            </w:r>
          </w:p>
        </w:tc>
      </w:tr>
      <w:tr w:rsidR="00FF344B" w:rsidRPr="00CF31E0" w14:paraId="06913547" w14:textId="77777777" w:rsidTr="00603CB7">
        <w:trPr>
          <w:cantSplit/>
        </w:trPr>
        <w:tc>
          <w:tcPr>
            <w:tcW w:w="700" w:type="dxa"/>
            <w:vMerge/>
            <w:shd w:val="clear" w:color="auto" w:fill="FFFFFF"/>
          </w:tcPr>
          <w:p w14:paraId="3F9BE3CB"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rPr>
            </w:pPr>
          </w:p>
        </w:tc>
        <w:tc>
          <w:tcPr>
            <w:tcW w:w="664" w:type="dxa"/>
            <w:vMerge/>
            <w:shd w:val="clear" w:color="auto" w:fill="FFFFFF"/>
          </w:tcPr>
          <w:p w14:paraId="5A7EC9B2"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rPr>
            </w:pPr>
          </w:p>
        </w:tc>
        <w:tc>
          <w:tcPr>
            <w:tcW w:w="1154" w:type="dxa"/>
            <w:shd w:val="clear" w:color="auto" w:fill="FFFFFF"/>
          </w:tcPr>
          <w:p w14:paraId="4D0CA188"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within Social</w:t>
            </w:r>
            <w:r w:rsidRPr="00CF31E0">
              <w:rPr>
                <w:rFonts w:cstheme="majorBidi"/>
                <w:color w:val="000000" w:themeColor="text1"/>
                <w:sz w:val="22"/>
                <w:szCs w:val="22"/>
              </w:rPr>
              <w:t xml:space="preserve"> </w:t>
            </w:r>
            <w:r w:rsidRPr="00CF31E0">
              <w:rPr>
                <w:rFonts w:asciiTheme="majorBidi" w:hAnsiTheme="majorBidi" w:cstheme="majorBidi"/>
                <w:color w:val="000000" w:themeColor="text1"/>
                <w:sz w:val="22"/>
                <w:szCs w:val="22"/>
              </w:rPr>
              <w:t>group</w:t>
            </w:r>
          </w:p>
        </w:tc>
        <w:tc>
          <w:tcPr>
            <w:tcW w:w="1031" w:type="dxa"/>
            <w:shd w:val="clear" w:color="auto" w:fill="FFFFFF"/>
            <w:vAlign w:val="center"/>
          </w:tcPr>
          <w:p w14:paraId="789DBF83"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28.1%</w:t>
            </w:r>
          </w:p>
        </w:tc>
        <w:tc>
          <w:tcPr>
            <w:tcW w:w="1134" w:type="dxa"/>
            <w:shd w:val="clear" w:color="auto" w:fill="FFFFFF"/>
            <w:vAlign w:val="center"/>
          </w:tcPr>
          <w:p w14:paraId="56C8EE03"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49.7%</w:t>
            </w:r>
          </w:p>
        </w:tc>
        <w:tc>
          <w:tcPr>
            <w:tcW w:w="992" w:type="dxa"/>
            <w:shd w:val="clear" w:color="auto" w:fill="FFFFFF"/>
            <w:vAlign w:val="center"/>
          </w:tcPr>
          <w:p w14:paraId="755FD8CE"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6.8%</w:t>
            </w:r>
          </w:p>
        </w:tc>
        <w:tc>
          <w:tcPr>
            <w:tcW w:w="1134" w:type="dxa"/>
            <w:shd w:val="clear" w:color="auto" w:fill="FFFFFF"/>
            <w:vAlign w:val="center"/>
          </w:tcPr>
          <w:p w14:paraId="790D505E"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15.4%</w:t>
            </w:r>
          </w:p>
        </w:tc>
        <w:tc>
          <w:tcPr>
            <w:tcW w:w="709" w:type="dxa"/>
            <w:shd w:val="clear" w:color="auto" w:fill="FFFFFF"/>
            <w:vAlign w:val="center"/>
          </w:tcPr>
          <w:p w14:paraId="0ED117F8"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100.0%</w:t>
            </w:r>
          </w:p>
        </w:tc>
      </w:tr>
      <w:tr w:rsidR="00FF344B" w:rsidRPr="00CF31E0" w14:paraId="509C7F1F" w14:textId="77777777" w:rsidTr="00603CB7">
        <w:trPr>
          <w:cantSplit/>
          <w:trHeight w:val="348"/>
        </w:trPr>
        <w:tc>
          <w:tcPr>
            <w:tcW w:w="700" w:type="dxa"/>
            <w:vMerge/>
            <w:shd w:val="clear" w:color="auto" w:fill="FFFFFF"/>
          </w:tcPr>
          <w:p w14:paraId="0BB59068"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rPr>
            </w:pPr>
          </w:p>
        </w:tc>
        <w:tc>
          <w:tcPr>
            <w:tcW w:w="664" w:type="dxa"/>
            <w:vMerge/>
            <w:shd w:val="clear" w:color="auto" w:fill="FFFFFF"/>
          </w:tcPr>
          <w:p w14:paraId="4F718E51"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rPr>
            </w:pPr>
          </w:p>
        </w:tc>
        <w:tc>
          <w:tcPr>
            <w:tcW w:w="1154" w:type="dxa"/>
            <w:shd w:val="clear" w:color="auto" w:fill="FFFFFF"/>
          </w:tcPr>
          <w:p w14:paraId="526D9D87"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of Total</w:t>
            </w:r>
          </w:p>
        </w:tc>
        <w:tc>
          <w:tcPr>
            <w:tcW w:w="1031" w:type="dxa"/>
            <w:shd w:val="clear" w:color="auto" w:fill="FFFFFF"/>
            <w:vAlign w:val="center"/>
          </w:tcPr>
          <w:p w14:paraId="524137A8"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14.0%</w:t>
            </w:r>
          </w:p>
        </w:tc>
        <w:tc>
          <w:tcPr>
            <w:tcW w:w="1134" w:type="dxa"/>
            <w:shd w:val="clear" w:color="auto" w:fill="FFFFFF"/>
            <w:vAlign w:val="center"/>
          </w:tcPr>
          <w:p w14:paraId="2B010C49"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24.8%</w:t>
            </w:r>
          </w:p>
        </w:tc>
        <w:tc>
          <w:tcPr>
            <w:tcW w:w="992" w:type="dxa"/>
            <w:shd w:val="clear" w:color="auto" w:fill="FFFFFF"/>
            <w:vAlign w:val="center"/>
          </w:tcPr>
          <w:p w14:paraId="624127B5"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3.4%</w:t>
            </w:r>
          </w:p>
        </w:tc>
        <w:tc>
          <w:tcPr>
            <w:tcW w:w="1134" w:type="dxa"/>
            <w:shd w:val="clear" w:color="auto" w:fill="FFFFFF"/>
            <w:vAlign w:val="center"/>
          </w:tcPr>
          <w:p w14:paraId="789D26C3"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7.7%</w:t>
            </w:r>
          </w:p>
        </w:tc>
        <w:tc>
          <w:tcPr>
            <w:tcW w:w="709" w:type="dxa"/>
            <w:shd w:val="clear" w:color="auto" w:fill="FFFFFF"/>
            <w:vAlign w:val="center"/>
          </w:tcPr>
          <w:p w14:paraId="3FE50924"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49.9%</w:t>
            </w:r>
          </w:p>
        </w:tc>
      </w:tr>
      <w:tr w:rsidR="00FF344B" w:rsidRPr="00CF31E0" w14:paraId="704427FE" w14:textId="77777777" w:rsidTr="00603CB7">
        <w:trPr>
          <w:cantSplit/>
        </w:trPr>
        <w:tc>
          <w:tcPr>
            <w:tcW w:w="700" w:type="dxa"/>
            <w:vMerge/>
            <w:shd w:val="clear" w:color="auto" w:fill="FFFFFF"/>
          </w:tcPr>
          <w:p w14:paraId="1EC5A852"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rPr>
            </w:pPr>
          </w:p>
        </w:tc>
        <w:tc>
          <w:tcPr>
            <w:tcW w:w="664" w:type="dxa"/>
            <w:vMerge w:val="restart"/>
            <w:shd w:val="clear" w:color="auto" w:fill="FFFFFF"/>
          </w:tcPr>
          <w:p w14:paraId="1FD72663"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cstheme="majorBidi"/>
                <w:color w:val="000000" w:themeColor="text1"/>
                <w:sz w:val="22"/>
                <w:szCs w:val="22"/>
              </w:rPr>
              <w:t>HH</w:t>
            </w:r>
          </w:p>
        </w:tc>
        <w:tc>
          <w:tcPr>
            <w:tcW w:w="1154" w:type="dxa"/>
            <w:shd w:val="clear" w:color="auto" w:fill="FFFFFF"/>
          </w:tcPr>
          <w:p w14:paraId="1BE85A37" w14:textId="56AA582B" w:rsidR="00FF344B" w:rsidRPr="00CF31E0" w:rsidRDefault="00F6645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Raw frequency</w:t>
            </w:r>
          </w:p>
        </w:tc>
        <w:tc>
          <w:tcPr>
            <w:tcW w:w="1031" w:type="dxa"/>
            <w:shd w:val="clear" w:color="auto" w:fill="FFFFFF"/>
            <w:vAlign w:val="center"/>
          </w:tcPr>
          <w:p w14:paraId="3BD9B6F0"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113</w:t>
            </w:r>
          </w:p>
        </w:tc>
        <w:tc>
          <w:tcPr>
            <w:tcW w:w="1134" w:type="dxa"/>
            <w:shd w:val="clear" w:color="auto" w:fill="FFFFFF"/>
            <w:vAlign w:val="center"/>
          </w:tcPr>
          <w:p w14:paraId="2A4BEF8D"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83</w:t>
            </w:r>
          </w:p>
        </w:tc>
        <w:tc>
          <w:tcPr>
            <w:tcW w:w="992" w:type="dxa"/>
            <w:shd w:val="clear" w:color="auto" w:fill="FFFFFF"/>
            <w:vAlign w:val="center"/>
          </w:tcPr>
          <w:p w14:paraId="3E31D04F"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111</w:t>
            </w:r>
          </w:p>
        </w:tc>
        <w:tc>
          <w:tcPr>
            <w:tcW w:w="1134" w:type="dxa"/>
            <w:shd w:val="clear" w:color="auto" w:fill="FFFFFF"/>
            <w:vAlign w:val="center"/>
          </w:tcPr>
          <w:p w14:paraId="1811499B" w14:textId="026941CE" w:rsidR="00FF344B" w:rsidRPr="00CF31E0" w:rsidRDefault="005971F4"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19</w:t>
            </w:r>
          </w:p>
        </w:tc>
        <w:tc>
          <w:tcPr>
            <w:tcW w:w="709" w:type="dxa"/>
            <w:shd w:val="clear" w:color="auto" w:fill="FFFFFF"/>
            <w:vAlign w:val="center"/>
          </w:tcPr>
          <w:p w14:paraId="6A419027" w14:textId="69F6B84C" w:rsidR="00FF344B" w:rsidRPr="00CF31E0" w:rsidRDefault="005971F4"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326</w:t>
            </w:r>
          </w:p>
        </w:tc>
      </w:tr>
      <w:tr w:rsidR="00FF344B" w:rsidRPr="00CF31E0" w14:paraId="195C0CA0" w14:textId="77777777" w:rsidTr="00603CB7">
        <w:trPr>
          <w:cantSplit/>
        </w:trPr>
        <w:tc>
          <w:tcPr>
            <w:tcW w:w="700" w:type="dxa"/>
            <w:vMerge/>
            <w:shd w:val="clear" w:color="auto" w:fill="FFFFFF"/>
          </w:tcPr>
          <w:p w14:paraId="01BF36D6"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rPr>
            </w:pPr>
          </w:p>
        </w:tc>
        <w:tc>
          <w:tcPr>
            <w:tcW w:w="664" w:type="dxa"/>
            <w:vMerge/>
            <w:shd w:val="clear" w:color="auto" w:fill="FFFFFF"/>
          </w:tcPr>
          <w:p w14:paraId="1FA75116"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rPr>
            </w:pPr>
          </w:p>
        </w:tc>
        <w:tc>
          <w:tcPr>
            <w:tcW w:w="1154" w:type="dxa"/>
            <w:shd w:val="clear" w:color="auto" w:fill="FFFFFF"/>
          </w:tcPr>
          <w:p w14:paraId="70DE8C50"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within Social</w:t>
            </w:r>
            <w:r w:rsidRPr="00CF31E0">
              <w:rPr>
                <w:rFonts w:cstheme="majorBidi"/>
                <w:color w:val="000000" w:themeColor="text1"/>
                <w:sz w:val="22"/>
                <w:szCs w:val="22"/>
              </w:rPr>
              <w:t xml:space="preserve"> </w:t>
            </w:r>
            <w:r w:rsidRPr="00CF31E0">
              <w:rPr>
                <w:rFonts w:asciiTheme="majorBidi" w:hAnsiTheme="majorBidi" w:cstheme="majorBidi"/>
                <w:color w:val="000000" w:themeColor="text1"/>
                <w:sz w:val="22"/>
                <w:szCs w:val="22"/>
              </w:rPr>
              <w:t>group</w:t>
            </w:r>
          </w:p>
        </w:tc>
        <w:tc>
          <w:tcPr>
            <w:tcW w:w="1031" w:type="dxa"/>
            <w:shd w:val="clear" w:color="auto" w:fill="FFFFFF"/>
            <w:vAlign w:val="center"/>
          </w:tcPr>
          <w:p w14:paraId="24B9C94F"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34.8%</w:t>
            </w:r>
          </w:p>
        </w:tc>
        <w:tc>
          <w:tcPr>
            <w:tcW w:w="1134" w:type="dxa"/>
            <w:shd w:val="clear" w:color="auto" w:fill="FFFFFF"/>
            <w:vAlign w:val="center"/>
          </w:tcPr>
          <w:p w14:paraId="066C9313"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25.5%</w:t>
            </w:r>
          </w:p>
        </w:tc>
        <w:tc>
          <w:tcPr>
            <w:tcW w:w="992" w:type="dxa"/>
            <w:shd w:val="clear" w:color="auto" w:fill="FFFFFF"/>
            <w:vAlign w:val="center"/>
          </w:tcPr>
          <w:p w14:paraId="0E52FC4C"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34.2%</w:t>
            </w:r>
          </w:p>
        </w:tc>
        <w:tc>
          <w:tcPr>
            <w:tcW w:w="1134" w:type="dxa"/>
            <w:shd w:val="clear" w:color="auto" w:fill="FFFFFF"/>
            <w:vAlign w:val="center"/>
          </w:tcPr>
          <w:p w14:paraId="20A5B286"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5.5%</w:t>
            </w:r>
          </w:p>
        </w:tc>
        <w:tc>
          <w:tcPr>
            <w:tcW w:w="709" w:type="dxa"/>
            <w:shd w:val="clear" w:color="auto" w:fill="FFFFFF"/>
            <w:vAlign w:val="center"/>
          </w:tcPr>
          <w:p w14:paraId="0FBE7A07"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100.0%</w:t>
            </w:r>
          </w:p>
        </w:tc>
      </w:tr>
      <w:tr w:rsidR="00FF344B" w:rsidRPr="00CF31E0" w14:paraId="0700570C" w14:textId="77777777" w:rsidTr="00603CB7">
        <w:trPr>
          <w:cantSplit/>
        </w:trPr>
        <w:tc>
          <w:tcPr>
            <w:tcW w:w="700" w:type="dxa"/>
            <w:vMerge/>
            <w:shd w:val="clear" w:color="auto" w:fill="FFFFFF"/>
          </w:tcPr>
          <w:p w14:paraId="7B5D24CC"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rPr>
            </w:pPr>
          </w:p>
        </w:tc>
        <w:tc>
          <w:tcPr>
            <w:tcW w:w="664" w:type="dxa"/>
            <w:vMerge/>
            <w:shd w:val="clear" w:color="auto" w:fill="FFFFFF"/>
          </w:tcPr>
          <w:p w14:paraId="3F599BAC"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rPr>
            </w:pPr>
          </w:p>
        </w:tc>
        <w:tc>
          <w:tcPr>
            <w:tcW w:w="1154" w:type="dxa"/>
            <w:shd w:val="clear" w:color="auto" w:fill="FFFFFF"/>
          </w:tcPr>
          <w:p w14:paraId="6BB5EF2C"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of Total</w:t>
            </w:r>
          </w:p>
        </w:tc>
        <w:tc>
          <w:tcPr>
            <w:tcW w:w="1031" w:type="dxa"/>
            <w:shd w:val="clear" w:color="auto" w:fill="FFFFFF"/>
            <w:vAlign w:val="center"/>
          </w:tcPr>
          <w:p w14:paraId="3DA55515"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17.4%</w:t>
            </w:r>
          </w:p>
        </w:tc>
        <w:tc>
          <w:tcPr>
            <w:tcW w:w="1134" w:type="dxa"/>
            <w:shd w:val="clear" w:color="auto" w:fill="FFFFFF"/>
            <w:vAlign w:val="center"/>
          </w:tcPr>
          <w:p w14:paraId="0ABDE844"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12.8%</w:t>
            </w:r>
          </w:p>
        </w:tc>
        <w:tc>
          <w:tcPr>
            <w:tcW w:w="992" w:type="dxa"/>
            <w:shd w:val="clear" w:color="auto" w:fill="FFFFFF"/>
            <w:vAlign w:val="center"/>
          </w:tcPr>
          <w:p w14:paraId="32841FD1"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17.1%</w:t>
            </w:r>
          </w:p>
        </w:tc>
        <w:tc>
          <w:tcPr>
            <w:tcW w:w="1134" w:type="dxa"/>
            <w:shd w:val="clear" w:color="auto" w:fill="FFFFFF"/>
            <w:vAlign w:val="center"/>
          </w:tcPr>
          <w:p w14:paraId="11C567BA"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2.8%</w:t>
            </w:r>
          </w:p>
        </w:tc>
        <w:tc>
          <w:tcPr>
            <w:tcW w:w="709" w:type="dxa"/>
            <w:shd w:val="clear" w:color="auto" w:fill="FFFFFF"/>
            <w:vAlign w:val="center"/>
          </w:tcPr>
          <w:p w14:paraId="5D28F308"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50.1%</w:t>
            </w:r>
          </w:p>
        </w:tc>
      </w:tr>
      <w:tr w:rsidR="00FF344B" w:rsidRPr="00CF31E0" w14:paraId="0A49F699" w14:textId="77777777" w:rsidTr="00603CB7">
        <w:trPr>
          <w:cantSplit/>
        </w:trPr>
        <w:tc>
          <w:tcPr>
            <w:tcW w:w="1364" w:type="dxa"/>
            <w:gridSpan w:val="2"/>
            <w:vMerge w:val="restart"/>
            <w:shd w:val="clear" w:color="auto" w:fill="FFFFFF"/>
          </w:tcPr>
          <w:p w14:paraId="3318125F"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Total</w:t>
            </w:r>
          </w:p>
        </w:tc>
        <w:tc>
          <w:tcPr>
            <w:tcW w:w="1154" w:type="dxa"/>
            <w:shd w:val="clear" w:color="auto" w:fill="FFFFFF"/>
          </w:tcPr>
          <w:p w14:paraId="3D858407" w14:textId="08A28ABD" w:rsidR="00FF344B" w:rsidRPr="00CF31E0" w:rsidRDefault="00F6645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Raw frequency</w:t>
            </w:r>
          </w:p>
        </w:tc>
        <w:tc>
          <w:tcPr>
            <w:tcW w:w="1031" w:type="dxa"/>
            <w:shd w:val="clear" w:color="auto" w:fill="FFFFFF"/>
            <w:vAlign w:val="center"/>
          </w:tcPr>
          <w:p w14:paraId="4626DF41"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204</w:t>
            </w:r>
          </w:p>
        </w:tc>
        <w:tc>
          <w:tcPr>
            <w:tcW w:w="1134" w:type="dxa"/>
            <w:shd w:val="clear" w:color="auto" w:fill="FFFFFF"/>
            <w:vAlign w:val="center"/>
          </w:tcPr>
          <w:p w14:paraId="5C4F8ADE"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244</w:t>
            </w:r>
          </w:p>
        </w:tc>
        <w:tc>
          <w:tcPr>
            <w:tcW w:w="992" w:type="dxa"/>
            <w:shd w:val="clear" w:color="auto" w:fill="FFFFFF"/>
            <w:vAlign w:val="center"/>
          </w:tcPr>
          <w:p w14:paraId="728F40B6"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133</w:t>
            </w:r>
          </w:p>
        </w:tc>
        <w:tc>
          <w:tcPr>
            <w:tcW w:w="1134" w:type="dxa"/>
            <w:shd w:val="clear" w:color="auto" w:fill="FFFFFF"/>
            <w:vAlign w:val="center"/>
          </w:tcPr>
          <w:p w14:paraId="7CB26CB1"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68</w:t>
            </w:r>
          </w:p>
        </w:tc>
        <w:tc>
          <w:tcPr>
            <w:tcW w:w="709" w:type="dxa"/>
            <w:shd w:val="clear" w:color="auto" w:fill="FFFFFF"/>
            <w:vAlign w:val="center"/>
          </w:tcPr>
          <w:p w14:paraId="6400B5C3"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649</w:t>
            </w:r>
          </w:p>
        </w:tc>
      </w:tr>
      <w:tr w:rsidR="00FF344B" w:rsidRPr="00CF31E0" w14:paraId="40F09140" w14:textId="77777777" w:rsidTr="00603CB7">
        <w:trPr>
          <w:cantSplit/>
        </w:trPr>
        <w:tc>
          <w:tcPr>
            <w:tcW w:w="1364" w:type="dxa"/>
            <w:gridSpan w:val="2"/>
            <w:vMerge/>
            <w:shd w:val="clear" w:color="auto" w:fill="FFFFFF"/>
          </w:tcPr>
          <w:p w14:paraId="52860F9E"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rPr>
            </w:pPr>
          </w:p>
        </w:tc>
        <w:tc>
          <w:tcPr>
            <w:tcW w:w="1154" w:type="dxa"/>
            <w:shd w:val="clear" w:color="auto" w:fill="FFFFFF"/>
          </w:tcPr>
          <w:p w14:paraId="7C11F789"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within Social</w:t>
            </w:r>
            <w:r w:rsidRPr="00CF31E0">
              <w:rPr>
                <w:rFonts w:cstheme="majorBidi"/>
                <w:color w:val="000000" w:themeColor="text1"/>
                <w:sz w:val="22"/>
                <w:szCs w:val="22"/>
              </w:rPr>
              <w:t xml:space="preserve"> </w:t>
            </w:r>
            <w:r w:rsidRPr="00CF31E0">
              <w:rPr>
                <w:rFonts w:asciiTheme="majorBidi" w:hAnsiTheme="majorBidi" w:cstheme="majorBidi"/>
                <w:color w:val="000000" w:themeColor="text1"/>
                <w:sz w:val="22"/>
                <w:szCs w:val="22"/>
              </w:rPr>
              <w:t>group</w:t>
            </w:r>
          </w:p>
        </w:tc>
        <w:tc>
          <w:tcPr>
            <w:tcW w:w="1031" w:type="dxa"/>
            <w:shd w:val="clear" w:color="auto" w:fill="FFFFFF"/>
            <w:vAlign w:val="center"/>
          </w:tcPr>
          <w:p w14:paraId="58524C7D"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31.4%</w:t>
            </w:r>
          </w:p>
        </w:tc>
        <w:tc>
          <w:tcPr>
            <w:tcW w:w="1134" w:type="dxa"/>
            <w:shd w:val="clear" w:color="auto" w:fill="FFFFFF"/>
            <w:vAlign w:val="center"/>
          </w:tcPr>
          <w:p w14:paraId="684D2BDA"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37.6%</w:t>
            </w:r>
          </w:p>
        </w:tc>
        <w:tc>
          <w:tcPr>
            <w:tcW w:w="992" w:type="dxa"/>
            <w:shd w:val="clear" w:color="auto" w:fill="FFFFFF"/>
            <w:vAlign w:val="center"/>
          </w:tcPr>
          <w:p w14:paraId="73983F3B"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20.5%</w:t>
            </w:r>
          </w:p>
        </w:tc>
        <w:tc>
          <w:tcPr>
            <w:tcW w:w="1134" w:type="dxa"/>
            <w:shd w:val="clear" w:color="auto" w:fill="FFFFFF"/>
            <w:vAlign w:val="center"/>
          </w:tcPr>
          <w:p w14:paraId="32BEAFFF"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10.5%</w:t>
            </w:r>
          </w:p>
        </w:tc>
        <w:tc>
          <w:tcPr>
            <w:tcW w:w="709" w:type="dxa"/>
            <w:shd w:val="clear" w:color="auto" w:fill="FFFFFF"/>
            <w:vAlign w:val="center"/>
          </w:tcPr>
          <w:p w14:paraId="5872A353"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100.0%</w:t>
            </w:r>
          </w:p>
        </w:tc>
      </w:tr>
      <w:tr w:rsidR="00FF344B" w:rsidRPr="00CF31E0" w14:paraId="6175682F" w14:textId="77777777" w:rsidTr="00603CB7">
        <w:trPr>
          <w:cantSplit/>
        </w:trPr>
        <w:tc>
          <w:tcPr>
            <w:tcW w:w="1364" w:type="dxa"/>
            <w:gridSpan w:val="2"/>
            <w:vMerge/>
            <w:shd w:val="clear" w:color="auto" w:fill="FFFFFF"/>
          </w:tcPr>
          <w:p w14:paraId="680125E1"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rPr>
            </w:pPr>
          </w:p>
        </w:tc>
        <w:tc>
          <w:tcPr>
            <w:tcW w:w="1154" w:type="dxa"/>
            <w:shd w:val="clear" w:color="auto" w:fill="FFFFFF"/>
          </w:tcPr>
          <w:p w14:paraId="0F171C95"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of Total</w:t>
            </w:r>
          </w:p>
        </w:tc>
        <w:tc>
          <w:tcPr>
            <w:tcW w:w="1031" w:type="dxa"/>
            <w:shd w:val="clear" w:color="auto" w:fill="FFFFFF"/>
            <w:vAlign w:val="center"/>
          </w:tcPr>
          <w:p w14:paraId="04B02C91"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31.4%</w:t>
            </w:r>
          </w:p>
        </w:tc>
        <w:tc>
          <w:tcPr>
            <w:tcW w:w="1134" w:type="dxa"/>
            <w:shd w:val="clear" w:color="auto" w:fill="FFFFFF"/>
            <w:vAlign w:val="center"/>
          </w:tcPr>
          <w:p w14:paraId="75AA5F22"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37.6%</w:t>
            </w:r>
          </w:p>
        </w:tc>
        <w:tc>
          <w:tcPr>
            <w:tcW w:w="992" w:type="dxa"/>
            <w:shd w:val="clear" w:color="auto" w:fill="FFFFFF"/>
            <w:vAlign w:val="center"/>
          </w:tcPr>
          <w:p w14:paraId="24109EDA"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20.5%</w:t>
            </w:r>
          </w:p>
        </w:tc>
        <w:tc>
          <w:tcPr>
            <w:tcW w:w="1134" w:type="dxa"/>
            <w:shd w:val="clear" w:color="auto" w:fill="FFFFFF"/>
            <w:vAlign w:val="center"/>
          </w:tcPr>
          <w:p w14:paraId="2CAAE2A5"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10.5%</w:t>
            </w:r>
          </w:p>
        </w:tc>
        <w:tc>
          <w:tcPr>
            <w:tcW w:w="709" w:type="dxa"/>
            <w:shd w:val="clear" w:color="auto" w:fill="FFFFFF"/>
            <w:vAlign w:val="center"/>
          </w:tcPr>
          <w:p w14:paraId="32C5986D"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100.0%</w:t>
            </w:r>
          </w:p>
        </w:tc>
      </w:tr>
    </w:tbl>
    <w:p w14:paraId="141598F8" w14:textId="7155D8A8" w:rsidR="00A23C2A" w:rsidRPr="00CF31E0" w:rsidRDefault="00A23C2A" w:rsidP="00730917">
      <w:pPr>
        <w:pStyle w:val="Tablecaption"/>
      </w:pPr>
      <w:bookmarkStart w:id="437" w:name="_Toc522527421"/>
      <w:bookmarkStart w:id="438" w:name="_Toc522628833"/>
      <w:bookmarkStart w:id="439" w:name="_Toc522628997"/>
      <w:bookmarkStart w:id="440" w:name="_Toc6473094"/>
      <w:r w:rsidRPr="00CF31E0">
        <w:t xml:space="preserve">Table </w:t>
      </w:r>
      <w:r w:rsidR="005C44A0" w:rsidRPr="00CF31E0">
        <w:t>7</w:t>
      </w:r>
      <w:r w:rsidR="00D47E7C" w:rsidRPr="00CF31E0">
        <w:t>.</w:t>
      </w:r>
      <w:r w:rsidRPr="00CF31E0">
        <w:t>17: Social group-Q5 crosstabulation.</w:t>
      </w:r>
      <w:bookmarkEnd w:id="437"/>
      <w:bookmarkEnd w:id="438"/>
      <w:bookmarkEnd w:id="439"/>
      <w:bookmarkEnd w:id="440"/>
      <w:r w:rsidRPr="00CF31E0">
        <w:t xml:space="preserve"> </w:t>
      </w:r>
    </w:p>
    <w:p w14:paraId="0185105A" w14:textId="05659E0B" w:rsidR="00A23C2A" w:rsidRPr="00CF31E0" w:rsidRDefault="00A23C2A" w:rsidP="00603CB7">
      <w:pPr>
        <w:pStyle w:val="Paragraph"/>
      </w:pPr>
      <w:r w:rsidRPr="00CF31E0">
        <w:t xml:space="preserve">Table </w:t>
      </w:r>
      <w:r w:rsidR="005C44A0" w:rsidRPr="00CF31E0">
        <w:t>7</w:t>
      </w:r>
      <w:r w:rsidR="00D47E7C" w:rsidRPr="00CF31E0">
        <w:t>.</w:t>
      </w:r>
      <w:r w:rsidRPr="00CF31E0">
        <w:t xml:space="preserve">17 shows how each social group’s perceptions differ. First, </w:t>
      </w:r>
      <w:r w:rsidR="000F4EC9" w:rsidRPr="00CF31E0">
        <w:t xml:space="preserve">within social groups, </w:t>
      </w:r>
      <w:r w:rsidRPr="00CF31E0">
        <w:t>the HH participants perceived the Egyptian Arabic dialect to be the most similar dialect to the HH dialect</w:t>
      </w:r>
      <w:r w:rsidR="000F4EC9" w:rsidRPr="00CF31E0">
        <w:t xml:space="preserve"> (34.8%)</w:t>
      </w:r>
      <w:r w:rsidRPr="00CF31E0">
        <w:t>, and were more likely to have this perception than the UBH participants were</w:t>
      </w:r>
      <w:r w:rsidR="000F4EC9" w:rsidRPr="00CF31E0">
        <w:t xml:space="preserve"> (28.1%)</w:t>
      </w:r>
      <w:r w:rsidRPr="00CF31E0">
        <w:t>. Second, the UBH participants perceived a combination of Egyptian and Levantine Arabic dialects to be very similar to the HH dialect</w:t>
      </w:r>
      <w:r w:rsidR="000F4EC9" w:rsidRPr="00CF31E0">
        <w:t xml:space="preserve"> (49.7%)</w:t>
      </w:r>
      <w:r w:rsidRPr="00CF31E0">
        <w:t xml:space="preserve">, and were more likely to have this perception than the </w:t>
      </w:r>
      <w:r w:rsidR="000F4EC9" w:rsidRPr="00CF31E0">
        <w:t>HH participants were (25.5%). Third, 34.2% of</w:t>
      </w:r>
      <w:r w:rsidRPr="00CF31E0">
        <w:t xml:space="preserve"> HH participants perceived their dialect as similar to Egyptian, Yemani and Sudanes</w:t>
      </w:r>
      <w:r w:rsidR="000F4EC9" w:rsidRPr="00CF31E0">
        <w:t>e Arabic dialects, while only 6.8% of</w:t>
      </w:r>
      <w:r w:rsidRPr="00CF31E0">
        <w:t xml:space="preserve"> UBH participants perceived it to be similar to the aforementioned dialects. Fourth, UBH participants perceived the HH dialect as more similar to the Levantine Arabic dialect</w:t>
      </w:r>
      <w:r w:rsidR="000F4EC9" w:rsidRPr="00CF31E0">
        <w:t xml:space="preserve"> (15.4%)</w:t>
      </w:r>
      <w:r w:rsidRPr="00CF31E0">
        <w:t>, and were more likely to select this option than the HH participants</w:t>
      </w:r>
      <w:r w:rsidR="000F4EC9" w:rsidRPr="00CF31E0">
        <w:t xml:space="preserve"> (5.5%)</w:t>
      </w:r>
      <w:r w:rsidRPr="00CF31E0">
        <w:t xml:space="preserve">. </w:t>
      </w:r>
    </w:p>
    <w:p w14:paraId="361FDCBA" w14:textId="65268A57" w:rsidR="00A23C2A" w:rsidRPr="00CF31E0" w:rsidRDefault="00A23C2A" w:rsidP="00603CB7">
      <w:pPr>
        <w:pStyle w:val="Paragraph"/>
      </w:pPr>
      <w:r w:rsidRPr="00CF31E0">
        <w:lastRenderedPageBreak/>
        <w:t>The results for the mother’s social group and spouse’s social group have a very similar pattern to the above results for the social group demographic variable</w:t>
      </w:r>
      <w:r w:rsidR="00C455D9" w:rsidRPr="00CF31E0">
        <w:t xml:space="preserve"> (s</w:t>
      </w:r>
      <w:r w:rsidR="00A06672" w:rsidRPr="00CF31E0">
        <w:t>ee Appendix 2</w:t>
      </w:r>
      <w:r w:rsidR="00C455D9" w:rsidRPr="00CF31E0">
        <w:t>).</w:t>
      </w:r>
    </w:p>
    <w:p w14:paraId="047090DF" w14:textId="0C5CAC33" w:rsidR="00A23C2A" w:rsidRPr="00CF31E0" w:rsidRDefault="005C44A0" w:rsidP="00E87209">
      <w:pPr>
        <w:pStyle w:val="Ahead"/>
        <w:rPr>
          <w:rFonts w:eastAsia="Times New Roman"/>
        </w:rPr>
      </w:pPr>
      <w:bookmarkStart w:id="441" w:name="_Toc6472712"/>
      <w:r w:rsidRPr="00CF31E0">
        <w:rPr>
          <w:rFonts w:eastAsia="Times New Roman"/>
        </w:rPr>
        <w:t>7</w:t>
      </w:r>
      <w:r w:rsidR="00D47E7C" w:rsidRPr="00CF31E0">
        <w:rPr>
          <w:rFonts w:eastAsia="Times New Roman"/>
        </w:rPr>
        <w:t>.7.</w:t>
      </w:r>
      <w:r w:rsidR="00F106E7" w:rsidRPr="00CF31E0">
        <w:rPr>
          <w:rFonts w:eastAsia="Times New Roman"/>
        </w:rPr>
        <w:tab/>
      </w:r>
      <w:r w:rsidR="00A23C2A" w:rsidRPr="00CF31E0">
        <w:rPr>
          <w:rFonts w:eastAsia="Times New Roman"/>
        </w:rPr>
        <w:t>Q6: To what extent do UBH people speak the HH dialect?</w:t>
      </w:r>
      <w:bookmarkEnd w:id="441"/>
    </w:p>
    <w:p w14:paraId="2964119B" w14:textId="122B9574" w:rsidR="00EE670E" w:rsidRPr="00CF31E0" w:rsidRDefault="00A23C2A" w:rsidP="00603CB7">
      <w:pPr>
        <w:pStyle w:val="Paragraph"/>
      </w:pPr>
      <w:r w:rsidRPr="00CF31E0">
        <w:t xml:space="preserve">Participants were asked to answer the above question by selecting from four choices: always, sometimes, rarely and never. The results showed that nearly half of the participants perceived that UBH speakers sometimes speak the HH dialect. Also, nearly one-third of participants confirmed that UBHs rarely speak the HH dialect. See Table </w:t>
      </w:r>
      <w:r w:rsidR="005C44A0" w:rsidRPr="00CF31E0">
        <w:t>7.</w:t>
      </w:r>
      <w:r w:rsidRPr="00CF31E0">
        <w:t>18.</w:t>
      </w:r>
    </w:p>
    <w:tbl>
      <w:tblPr>
        <w:tblW w:w="0" w:type="auto"/>
        <w:tblBorders>
          <w:top w:val="single" w:sz="4" w:space="0" w:color="auto"/>
          <w:bottom w:val="single" w:sz="4" w:space="0" w:color="auto"/>
        </w:tblBorders>
        <w:tblLook w:val="0000" w:firstRow="0" w:lastRow="0" w:firstColumn="0" w:lastColumn="0" w:noHBand="0" w:noVBand="0"/>
      </w:tblPr>
      <w:tblGrid>
        <w:gridCol w:w="5350"/>
        <w:gridCol w:w="1137"/>
      </w:tblGrid>
      <w:tr w:rsidR="007F558A" w:rsidRPr="00CF31E0" w14:paraId="78106FBB" w14:textId="77777777" w:rsidTr="00603CB7">
        <w:trPr>
          <w:cantSplit/>
        </w:trPr>
        <w:tc>
          <w:tcPr>
            <w:tcW w:w="5350" w:type="dxa"/>
            <w:tcBorders>
              <w:top w:val="single" w:sz="4" w:space="0" w:color="auto"/>
              <w:bottom w:val="single" w:sz="4" w:space="0" w:color="auto"/>
            </w:tcBorders>
          </w:tcPr>
          <w:p w14:paraId="2EAC9E4A" w14:textId="77777777" w:rsidR="00A23C2A" w:rsidRPr="00CF31E0" w:rsidRDefault="00A23C2A"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To what extent do UBHs speak the HH dialect?</w:t>
            </w:r>
          </w:p>
        </w:tc>
        <w:tc>
          <w:tcPr>
            <w:tcW w:w="1137" w:type="dxa"/>
            <w:tcBorders>
              <w:top w:val="single" w:sz="4" w:space="0" w:color="auto"/>
              <w:bottom w:val="single" w:sz="4" w:space="0" w:color="auto"/>
            </w:tcBorders>
          </w:tcPr>
          <w:p w14:paraId="2F4152C1" w14:textId="77777777" w:rsidR="00A23C2A" w:rsidRPr="00CF31E0" w:rsidRDefault="00A23C2A"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Number</w:t>
            </w:r>
          </w:p>
        </w:tc>
      </w:tr>
      <w:tr w:rsidR="007F558A" w:rsidRPr="00CF31E0" w14:paraId="2AE3F42E" w14:textId="77777777" w:rsidTr="00603CB7">
        <w:trPr>
          <w:cantSplit/>
        </w:trPr>
        <w:tc>
          <w:tcPr>
            <w:tcW w:w="5350" w:type="dxa"/>
            <w:tcBorders>
              <w:top w:val="single" w:sz="4" w:space="0" w:color="auto"/>
              <w:bottom w:val="nil"/>
            </w:tcBorders>
          </w:tcPr>
          <w:p w14:paraId="299B4CED" w14:textId="77777777" w:rsidR="00A23C2A" w:rsidRPr="00CF31E0" w:rsidRDefault="00A23C2A"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Always </w:t>
            </w:r>
          </w:p>
        </w:tc>
        <w:tc>
          <w:tcPr>
            <w:tcW w:w="1137" w:type="dxa"/>
            <w:tcBorders>
              <w:top w:val="single" w:sz="4" w:space="0" w:color="auto"/>
              <w:bottom w:val="nil"/>
            </w:tcBorders>
          </w:tcPr>
          <w:p w14:paraId="45E2DA77" w14:textId="280110AC" w:rsidR="00A23C2A" w:rsidRPr="00CF31E0" w:rsidRDefault="008D5D64"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  </w:t>
            </w:r>
            <w:r w:rsidR="00A23C2A" w:rsidRPr="00CF31E0">
              <w:rPr>
                <w:rFonts w:eastAsia="Calibri"/>
                <w:color w:val="000000" w:themeColor="text1"/>
                <w:sz w:val="22"/>
                <w:szCs w:val="22"/>
                <w:lang w:eastAsia="en-US"/>
              </w:rPr>
              <w:t>21</w:t>
            </w:r>
          </w:p>
        </w:tc>
      </w:tr>
      <w:tr w:rsidR="007F558A" w:rsidRPr="00CF31E0" w14:paraId="575094A8" w14:textId="77777777" w:rsidTr="00603CB7">
        <w:trPr>
          <w:cantSplit/>
        </w:trPr>
        <w:tc>
          <w:tcPr>
            <w:tcW w:w="5350" w:type="dxa"/>
            <w:tcBorders>
              <w:top w:val="nil"/>
            </w:tcBorders>
          </w:tcPr>
          <w:p w14:paraId="061B403D" w14:textId="77777777" w:rsidR="00A23C2A" w:rsidRPr="00CF31E0" w:rsidRDefault="00A23C2A"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Sometimes</w:t>
            </w:r>
          </w:p>
        </w:tc>
        <w:tc>
          <w:tcPr>
            <w:tcW w:w="1137" w:type="dxa"/>
            <w:tcBorders>
              <w:top w:val="nil"/>
            </w:tcBorders>
          </w:tcPr>
          <w:p w14:paraId="5E7C0820" w14:textId="77777777" w:rsidR="00A23C2A" w:rsidRPr="00CF31E0" w:rsidRDefault="00A23C2A"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314</w:t>
            </w:r>
          </w:p>
        </w:tc>
      </w:tr>
      <w:tr w:rsidR="007F558A" w:rsidRPr="00CF31E0" w14:paraId="62F80A63" w14:textId="77777777" w:rsidTr="00603CB7">
        <w:trPr>
          <w:cantSplit/>
        </w:trPr>
        <w:tc>
          <w:tcPr>
            <w:tcW w:w="5350" w:type="dxa"/>
          </w:tcPr>
          <w:p w14:paraId="4963D37D" w14:textId="77777777" w:rsidR="00A23C2A" w:rsidRPr="00CF31E0" w:rsidRDefault="00A23C2A"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Rarely</w:t>
            </w:r>
          </w:p>
        </w:tc>
        <w:tc>
          <w:tcPr>
            <w:tcW w:w="1137" w:type="dxa"/>
          </w:tcPr>
          <w:p w14:paraId="15B52FD0" w14:textId="77777777" w:rsidR="00A23C2A" w:rsidRPr="00CF31E0" w:rsidRDefault="00A23C2A" w:rsidP="00603CB7">
            <w:pPr>
              <w:keepNext/>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207</w:t>
            </w:r>
          </w:p>
        </w:tc>
      </w:tr>
      <w:tr w:rsidR="007F558A" w:rsidRPr="00CF31E0" w14:paraId="203C97B2" w14:textId="77777777" w:rsidTr="00603CB7">
        <w:trPr>
          <w:cantSplit/>
        </w:trPr>
        <w:tc>
          <w:tcPr>
            <w:tcW w:w="5350" w:type="dxa"/>
          </w:tcPr>
          <w:p w14:paraId="60B37146" w14:textId="77777777" w:rsidR="00A23C2A" w:rsidRPr="00CF31E0" w:rsidRDefault="00A23C2A"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Never </w:t>
            </w:r>
          </w:p>
        </w:tc>
        <w:tc>
          <w:tcPr>
            <w:tcW w:w="1137" w:type="dxa"/>
          </w:tcPr>
          <w:p w14:paraId="5F0D6730" w14:textId="77777777" w:rsidR="00A23C2A" w:rsidRPr="00CF31E0" w:rsidRDefault="00A23C2A" w:rsidP="00603CB7">
            <w:pPr>
              <w:keepNext/>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107</w:t>
            </w:r>
          </w:p>
        </w:tc>
      </w:tr>
    </w:tbl>
    <w:p w14:paraId="4F9459C9" w14:textId="6CDDBDE6" w:rsidR="00A23C2A" w:rsidRPr="00CF31E0" w:rsidRDefault="00A23C2A" w:rsidP="00730917">
      <w:pPr>
        <w:pStyle w:val="Tablecaption"/>
      </w:pPr>
      <w:bookmarkStart w:id="442" w:name="_Toc522527422"/>
      <w:bookmarkStart w:id="443" w:name="_Toc522628834"/>
      <w:bookmarkStart w:id="444" w:name="_Toc522628998"/>
      <w:bookmarkStart w:id="445" w:name="_Toc6473095"/>
      <w:r w:rsidRPr="00CF31E0">
        <w:t xml:space="preserve">Table </w:t>
      </w:r>
      <w:r w:rsidR="005C44A0" w:rsidRPr="00CF31E0">
        <w:t>7</w:t>
      </w:r>
      <w:r w:rsidR="00D47E7C" w:rsidRPr="00CF31E0">
        <w:t>.</w:t>
      </w:r>
      <w:r w:rsidRPr="00CF31E0">
        <w:t>18: Participants’ selection of the choices provided in Q6.</w:t>
      </w:r>
      <w:bookmarkEnd w:id="442"/>
      <w:bookmarkEnd w:id="443"/>
      <w:bookmarkEnd w:id="444"/>
      <w:bookmarkEnd w:id="445"/>
    </w:p>
    <w:p w14:paraId="433BBD6C" w14:textId="11CB1F30" w:rsidR="00A23C2A" w:rsidRPr="00CF31E0" w:rsidRDefault="00A23C2A" w:rsidP="00603CB7">
      <w:pPr>
        <w:pStyle w:val="Paragraph"/>
      </w:pPr>
      <w:r w:rsidRPr="00CF31E0">
        <w:t xml:space="preserve">Table </w:t>
      </w:r>
      <w:r w:rsidR="005C44A0" w:rsidRPr="00CF31E0">
        <w:t>7</w:t>
      </w:r>
      <w:r w:rsidR="00D47E7C" w:rsidRPr="00CF31E0">
        <w:t>.</w:t>
      </w:r>
      <w:r w:rsidRPr="00CF31E0">
        <w:t xml:space="preserve">18 illustrates that, first, 21 participants perceived UBHs to </w:t>
      </w:r>
      <w:r w:rsidRPr="00CF31E0">
        <w:rPr>
          <w:i/>
          <w:iCs/>
        </w:rPr>
        <w:t>always</w:t>
      </w:r>
      <w:r w:rsidRPr="00CF31E0">
        <w:t xml:space="preserve"> speak the HH dialect. Second, 314 participants supposed that UBHs </w:t>
      </w:r>
      <w:r w:rsidRPr="00CF31E0">
        <w:rPr>
          <w:i/>
          <w:iCs/>
        </w:rPr>
        <w:t>sometimes</w:t>
      </w:r>
      <w:r w:rsidRPr="00CF31E0">
        <w:t xml:space="preserve"> speak the HH dialect. Third, 207 participants perceived UBHs to </w:t>
      </w:r>
      <w:r w:rsidRPr="00CF31E0">
        <w:rPr>
          <w:i/>
          <w:iCs/>
        </w:rPr>
        <w:t xml:space="preserve">rarely </w:t>
      </w:r>
      <w:r w:rsidRPr="00CF31E0">
        <w:t xml:space="preserve">speak the HH dialect. Fourth, 107 participants perceived UBHs to </w:t>
      </w:r>
      <w:r w:rsidRPr="00CF31E0">
        <w:rPr>
          <w:i/>
          <w:iCs/>
        </w:rPr>
        <w:t>never</w:t>
      </w:r>
      <w:r w:rsidRPr="00CF31E0">
        <w:t xml:space="preserve"> speak the HH dialect. </w:t>
      </w:r>
    </w:p>
    <w:p w14:paraId="66DE0A11" w14:textId="38782704" w:rsidR="00A23C2A" w:rsidRPr="00CF31E0" w:rsidRDefault="005C44A0" w:rsidP="00E87209">
      <w:pPr>
        <w:pStyle w:val="Bhead"/>
      </w:pPr>
      <w:bookmarkStart w:id="446" w:name="_Toc6472713"/>
      <w:r w:rsidRPr="00CF31E0">
        <w:t>7</w:t>
      </w:r>
      <w:r w:rsidR="00D47E7C" w:rsidRPr="00CF31E0">
        <w:t>.7.1.</w:t>
      </w:r>
      <w:r w:rsidR="00F106E7" w:rsidRPr="00CF31E0">
        <w:tab/>
      </w:r>
      <w:r w:rsidR="00A23C2A" w:rsidRPr="00CF31E0">
        <w:t>Effects of demographic variables on the data</w:t>
      </w:r>
      <w:bookmarkEnd w:id="446"/>
      <w:r w:rsidR="00A23C2A" w:rsidRPr="00CF31E0">
        <w:t xml:space="preserve"> </w:t>
      </w:r>
    </w:p>
    <w:p w14:paraId="6F350DEE" w14:textId="77777777" w:rsidR="00A23C2A" w:rsidRPr="00CF31E0" w:rsidRDefault="00A23C2A" w:rsidP="00603CB7">
      <w:pPr>
        <w:pStyle w:val="Paragraph"/>
      </w:pPr>
      <w:r w:rsidRPr="00CF31E0">
        <w:t xml:space="preserve">The chi-square test revealed that three demographic variables affected the results: social group, mother’s social group and spouse’s social group. </w:t>
      </w:r>
    </w:p>
    <w:p w14:paraId="40552391" w14:textId="747D8F3B" w:rsidR="00A23C2A" w:rsidRPr="00CF31E0" w:rsidRDefault="005C44A0" w:rsidP="00E87209">
      <w:pPr>
        <w:pStyle w:val="Chead"/>
      </w:pPr>
      <w:bookmarkStart w:id="447" w:name="_Toc6472714"/>
      <w:r w:rsidRPr="00CF31E0">
        <w:rPr>
          <w:bCs/>
        </w:rPr>
        <w:lastRenderedPageBreak/>
        <w:t>7</w:t>
      </w:r>
      <w:r w:rsidR="00D47E7C" w:rsidRPr="00CF31E0">
        <w:rPr>
          <w:bCs/>
        </w:rPr>
        <w:t>.7.1.1.</w:t>
      </w:r>
      <w:r w:rsidR="00F106E7" w:rsidRPr="00CF31E0">
        <w:rPr>
          <w:bCs/>
        </w:rPr>
        <w:tab/>
      </w:r>
      <w:r w:rsidR="00A23C2A" w:rsidRPr="00CF31E0">
        <w:t>Social group demographic variable</w:t>
      </w:r>
      <w:bookmarkEnd w:id="447"/>
    </w:p>
    <w:p w14:paraId="1D425602" w14:textId="0FECAEEA" w:rsidR="00A23C2A" w:rsidRPr="00CF31E0" w:rsidRDefault="00A23C2A" w:rsidP="00603CB7">
      <w:pPr>
        <w:pStyle w:val="Paragraph"/>
      </w:pPr>
      <w:r w:rsidRPr="00CF31E0">
        <w:t xml:space="preserve">The chi-square test revealed that the two social groups gave different answers to the question provided. See Table </w:t>
      </w:r>
      <w:r w:rsidR="005C44A0" w:rsidRPr="00CF31E0">
        <w:t>7</w:t>
      </w:r>
      <w:r w:rsidR="00D47E7C" w:rsidRPr="00CF31E0">
        <w:t>.</w:t>
      </w:r>
      <w:r w:rsidRPr="00CF31E0">
        <w:t xml:space="preserve">19. </w:t>
      </w:r>
    </w:p>
    <w:tbl>
      <w:tblPr>
        <w:tblW w:w="7139" w:type="dxa"/>
        <w:tblLayout w:type="fixed"/>
        <w:tblLook w:val="04A0" w:firstRow="1" w:lastRow="0" w:firstColumn="1" w:lastColumn="0" w:noHBand="0" w:noVBand="1"/>
      </w:tblPr>
      <w:tblGrid>
        <w:gridCol w:w="2235"/>
        <w:gridCol w:w="1134"/>
        <w:gridCol w:w="425"/>
        <w:gridCol w:w="3345"/>
      </w:tblGrid>
      <w:tr w:rsidR="00202B1B" w:rsidRPr="00CF31E0" w14:paraId="34AF2217" w14:textId="77777777" w:rsidTr="00603CB7">
        <w:trPr>
          <w:trHeight w:val="567"/>
        </w:trPr>
        <w:tc>
          <w:tcPr>
            <w:tcW w:w="2235" w:type="dxa"/>
            <w:tcBorders>
              <w:top w:val="single" w:sz="8" w:space="0" w:color="auto"/>
              <w:bottom w:val="single" w:sz="8" w:space="0" w:color="auto"/>
            </w:tcBorders>
            <w:shd w:val="clear" w:color="auto" w:fill="auto"/>
            <w:hideMark/>
          </w:tcPr>
          <w:p w14:paraId="537C3EA1" w14:textId="77777777" w:rsidR="00202B1B" w:rsidRPr="00CF31E0" w:rsidRDefault="00202B1B" w:rsidP="00603CB7">
            <w:pPr>
              <w:spacing w:before="80" w:after="200" w:line="276" w:lineRule="auto"/>
              <w:rPr>
                <w:rFonts w:eastAsia="Calibri"/>
                <w:color w:val="000000" w:themeColor="text1"/>
                <w:sz w:val="22"/>
                <w:szCs w:val="22"/>
                <w:lang w:val="en-US" w:eastAsia="en-US"/>
              </w:rPr>
            </w:pPr>
          </w:p>
        </w:tc>
        <w:tc>
          <w:tcPr>
            <w:tcW w:w="1134" w:type="dxa"/>
            <w:tcBorders>
              <w:top w:val="single" w:sz="8" w:space="0" w:color="auto"/>
              <w:bottom w:val="single" w:sz="8" w:space="0" w:color="auto"/>
            </w:tcBorders>
            <w:shd w:val="clear" w:color="auto" w:fill="auto"/>
            <w:hideMark/>
          </w:tcPr>
          <w:p w14:paraId="607B7C34" w14:textId="77777777" w:rsidR="00202B1B" w:rsidRPr="00CF31E0" w:rsidRDefault="00202B1B" w:rsidP="00603CB7">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425" w:type="dxa"/>
            <w:tcBorders>
              <w:top w:val="single" w:sz="8" w:space="0" w:color="auto"/>
              <w:bottom w:val="single" w:sz="8" w:space="0" w:color="auto"/>
            </w:tcBorders>
            <w:shd w:val="clear" w:color="auto" w:fill="auto"/>
          </w:tcPr>
          <w:p w14:paraId="7C58CF4C" w14:textId="77777777" w:rsidR="00202B1B" w:rsidRPr="00CF31E0" w:rsidRDefault="00202B1B" w:rsidP="00603CB7">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df</w:t>
            </w:r>
          </w:p>
        </w:tc>
        <w:tc>
          <w:tcPr>
            <w:tcW w:w="3345" w:type="dxa"/>
            <w:tcBorders>
              <w:top w:val="single" w:sz="8" w:space="0" w:color="auto"/>
              <w:bottom w:val="single" w:sz="8" w:space="0" w:color="auto"/>
            </w:tcBorders>
            <w:shd w:val="clear" w:color="auto" w:fill="auto"/>
          </w:tcPr>
          <w:p w14:paraId="761592D6" w14:textId="77777777" w:rsidR="00202B1B" w:rsidRPr="00CF31E0" w:rsidRDefault="00202B1B" w:rsidP="00603CB7">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202B1B" w:rsidRPr="00CF31E0" w14:paraId="63DCD1BD" w14:textId="77777777" w:rsidTr="00603CB7">
        <w:trPr>
          <w:trHeight w:val="567"/>
        </w:trPr>
        <w:tc>
          <w:tcPr>
            <w:tcW w:w="2235" w:type="dxa"/>
            <w:tcBorders>
              <w:top w:val="single" w:sz="8" w:space="0" w:color="auto"/>
            </w:tcBorders>
            <w:shd w:val="clear" w:color="auto" w:fill="auto"/>
            <w:vAlign w:val="bottom"/>
          </w:tcPr>
          <w:p w14:paraId="3DBB9A0E" w14:textId="77777777" w:rsidR="00202B1B" w:rsidRPr="00CF31E0" w:rsidRDefault="00202B1B" w:rsidP="008D5D6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6111F2C9" w14:textId="77777777" w:rsidR="00202B1B" w:rsidRPr="00CF31E0" w:rsidRDefault="00202B1B" w:rsidP="008D5D6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190.552</w:t>
            </w:r>
            <w:r w:rsidRPr="00CF31E0">
              <w:rPr>
                <w:rFonts w:eastAsia="Calibri"/>
                <w:color w:val="000000" w:themeColor="text1"/>
                <w:sz w:val="22"/>
                <w:szCs w:val="22"/>
                <w:vertAlign w:val="superscript"/>
                <w:lang w:eastAsia="en-US"/>
              </w:rPr>
              <w:t>a</w:t>
            </w:r>
          </w:p>
        </w:tc>
        <w:tc>
          <w:tcPr>
            <w:tcW w:w="425" w:type="dxa"/>
            <w:tcBorders>
              <w:top w:val="single" w:sz="8" w:space="0" w:color="auto"/>
            </w:tcBorders>
            <w:shd w:val="clear" w:color="auto" w:fill="auto"/>
            <w:vAlign w:val="bottom"/>
          </w:tcPr>
          <w:p w14:paraId="089BF1D9" w14:textId="77777777" w:rsidR="00202B1B" w:rsidRPr="00CF31E0" w:rsidRDefault="00202B1B" w:rsidP="008D5D64">
            <w:pPr>
              <w:spacing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3</w:t>
            </w:r>
          </w:p>
        </w:tc>
        <w:tc>
          <w:tcPr>
            <w:tcW w:w="3345" w:type="dxa"/>
            <w:tcBorders>
              <w:top w:val="single" w:sz="8" w:space="0" w:color="auto"/>
            </w:tcBorders>
            <w:shd w:val="clear" w:color="auto" w:fill="auto"/>
            <w:vAlign w:val="bottom"/>
          </w:tcPr>
          <w:p w14:paraId="6199C9BA" w14:textId="77777777" w:rsidR="00202B1B" w:rsidRPr="00CF31E0" w:rsidRDefault="00202B1B" w:rsidP="008D5D6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.000</w:t>
            </w:r>
          </w:p>
        </w:tc>
      </w:tr>
      <w:tr w:rsidR="00202B1B" w:rsidRPr="00CF31E0" w14:paraId="77FAC625" w14:textId="77777777" w:rsidTr="00603CB7">
        <w:trPr>
          <w:trHeight w:val="567"/>
        </w:trPr>
        <w:tc>
          <w:tcPr>
            <w:tcW w:w="2235" w:type="dxa"/>
            <w:shd w:val="clear" w:color="auto" w:fill="auto"/>
            <w:vAlign w:val="bottom"/>
          </w:tcPr>
          <w:p w14:paraId="29673274" w14:textId="77777777" w:rsidR="00202B1B" w:rsidRPr="00CF31E0" w:rsidRDefault="00202B1B" w:rsidP="008D5D64">
            <w:pPr>
              <w:spacing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Likelihood Ratio</w:t>
            </w:r>
          </w:p>
        </w:tc>
        <w:tc>
          <w:tcPr>
            <w:tcW w:w="1134" w:type="dxa"/>
            <w:shd w:val="clear" w:color="auto" w:fill="auto"/>
            <w:vAlign w:val="bottom"/>
          </w:tcPr>
          <w:p w14:paraId="77074A1A" w14:textId="77777777" w:rsidR="00202B1B" w:rsidRPr="00CF31E0" w:rsidRDefault="00202B1B" w:rsidP="008D5D6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205.039</w:t>
            </w:r>
          </w:p>
        </w:tc>
        <w:tc>
          <w:tcPr>
            <w:tcW w:w="425" w:type="dxa"/>
            <w:shd w:val="clear" w:color="auto" w:fill="auto"/>
            <w:vAlign w:val="bottom"/>
          </w:tcPr>
          <w:p w14:paraId="6DB2CFF6" w14:textId="77777777" w:rsidR="00202B1B" w:rsidRPr="00CF31E0" w:rsidRDefault="00202B1B" w:rsidP="008D5D64">
            <w:pPr>
              <w:spacing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3</w:t>
            </w:r>
          </w:p>
        </w:tc>
        <w:tc>
          <w:tcPr>
            <w:tcW w:w="3345" w:type="dxa"/>
            <w:shd w:val="clear" w:color="auto" w:fill="auto"/>
            <w:vAlign w:val="bottom"/>
          </w:tcPr>
          <w:p w14:paraId="7FE10E9E" w14:textId="77777777" w:rsidR="00202B1B" w:rsidRPr="00CF31E0" w:rsidRDefault="00202B1B" w:rsidP="008D5D6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.000</w:t>
            </w:r>
          </w:p>
        </w:tc>
      </w:tr>
      <w:tr w:rsidR="00202B1B" w:rsidRPr="00CF31E0" w14:paraId="4C562CF7" w14:textId="77777777" w:rsidTr="00603CB7">
        <w:trPr>
          <w:trHeight w:val="567"/>
        </w:trPr>
        <w:tc>
          <w:tcPr>
            <w:tcW w:w="2235" w:type="dxa"/>
            <w:tcBorders>
              <w:bottom w:val="single" w:sz="8" w:space="0" w:color="auto"/>
            </w:tcBorders>
            <w:shd w:val="clear" w:color="auto" w:fill="auto"/>
            <w:vAlign w:val="bottom"/>
          </w:tcPr>
          <w:p w14:paraId="6A90784B" w14:textId="77777777" w:rsidR="00202B1B" w:rsidRPr="00CF31E0" w:rsidRDefault="00202B1B" w:rsidP="008D5D6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4363C304" w14:textId="77777777" w:rsidR="00202B1B" w:rsidRPr="00CF31E0" w:rsidRDefault="00202B1B" w:rsidP="008D5D6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425" w:type="dxa"/>
            <w:tcBorders>
              <w:bottom w:val="single" w:sz="8" w:space="0" w:color="auto"/>
            </w:tcBorders>
            <w:shd w:val="clear" w:color="auto" w:fill="auto"/>
            <w:vAlign w:val="bottom"/>
          </w:tcPr>
          <w:p w14:paraId="653D4E43" w14:textId="77777777" w:rsidR="00202B1B" w:rsidRPr="00CF31E0" w:rsidRDefault="00202B1B" w:rsidP="008D5D64">
            <w:pPr>
              <w:spacing w:after="200" w:line="276" w:lineRule="auto"/>
              <w:rPr>
                <w:rFonts w:eastAsia="Calibri"/>
                <w:color w:val="000000" w:themeColor="text1"/>
                <w:sz w:val="22"/>
                <w:szCs w:val="22"/>
                <w:lang w:val="en-US" w:eastAsia="en-US"/>
              </w:rPr>
            </w:pPr>
          </w:p>
        </w:tc>
        <w:tc>
          <w:tcPr>
            <w:tcW w:w="3345" w:type="dxa"/>
            <w:tcBorders>
              <w:bottom w:val="single" w:sz="8" w:space="0" w:color="auto"/>
            </w:tcBorders>
            <w:shd w:val="clear" w:color="auto" w:fill="auto"/>
            <w:vAlign w:val="bottom"/>
          </w:tcPr>
          <w:p w14:paraId="7BF04A0F" w14:textId="77777777" w:rsidR="00202B1B" w:rsidRPr="00CF31E0" w:rsidRDefault="00202B1B" w:rsidP="008D5D64">
            <w:pPr>
              <w:spacing w:after="200" w:line="276" w:lineRule="auto"/>
              <w:rPr>
                <w:rFonts w:eastAsia="Calibri"/>
                <w:color w:val="000000" w:themeColor="text1"/>
                <w:sz w:val="22"/>
                <w:szCs w:val="22"/>
                <w:lang w:eastAsia="en-US"/>
              </w:rPr>
            </w:pPr>
          </w:p>
        </w:tc>
      </w:tr>
      <w:tr w:rsidR="00202B1B" w:rsidRPr="00CF31E0" w14:paraId="466EB97C" w14:textId="77777777" w:rsidTr="00202B1B">
        <w:trPr>
          <w:trHeight w:val="567"/>
        </w:trPr>
        <w:tc>
          <w:tcPr>
            <w:tcW w:w="7139" w:type="dxa"/>
            <w:gridSpan w:val="4"/>
            <w:tcBorders>
              <w:top w:val="single" w:sz="8" w:space="0" w:color="auto"/>
              <w:bottom w:val="single" w:sz="8" w:space="0" w:color="auto"/>
            </w:tcBorders>
            <w:shd w:val="clear" w:color="auto" w:fill="auto"/>
          </w:tcPr>
          <w:p w14:paraId="2107E1D0" w14:textId="1BEA0ED0" w:rsidR="00202B1B" w:rsidRPr="00CF31E0" w:rsidRDefault="00202B1B" w:rsidP="00202B1B">
            <w:pPr>
              <w:spacing w:before="80" w:after="80"/>
              <w:rPr>
                <w:rFonts w:eastAsia="Calibri"/>
                <w:color w:val="000000" w:themeColor="text1"/>
                <w:sz w:val="22"/>
                <w:szCs w:val="22"/>
                <w:lang w:eastAsia="en-US"/>
              </w:rPr>
            </w:pPr>
            <w:r w:rsidRPr="00CF31E0">
              <w:rPr>
                <w:rFonts w:eastAsia="Calibri"/>
                <w:color w:val="000000" w:themeColor="text1"/>
                <w:sz w:val="22"/>
                <w:szCs w:val="22"/>
                <w:lang w:eastAsia="en-US"/>
              </w:rPr>
              <w:t xml:space="preserve">a. 0 cells (.0%) have expected </w:t>
            </w:r>
            <w:r w:rsidR="00F03C9C" w:rsidRPr="00CF31E0">
              <w:rPr>
                <w:rFonts w:eastAsia="Calibri"/>
                <w:color w:val="000000" w:themeColor="text1"/>
                <w:sz w:val="22"/>
                <w:szCs w:val="22"/>
                <w:lang w:eastAsia="en-US"/>
              </w:rPr>
              <w:t>Count</w:t>
            </w:r>
            <w:r w:rsidRPr="00CF31E0">
              <w:rPr>
                <w:rFonts w:eastAsia="Calibri"/>
                <w:color w:val="000000" w:themeColor="text1"/>
                <w:sz w:val="22"/>
                <w:szCs w:val="22"/>
                <w:lang w:eastAsia="en-US"/>
              </w:rPr>
              <w:t xml:space="preserve"> less than 5. The minimum expected </w:t>
            </w:r>
            <w:r w:rsidR="00F03C9C" w:rsidRPr="00CF31E0">
              <w:rPr>
                <w:rFonts w:eastAsia="Calibri"/>
                <w:color w:val="000000" w:themeColor="text1"/>
                <w:sz w:val="22"/>
                <w:szCs w:val="22"/>
                <w:lang w:eastAsia="en-US"/>
              </w:rPr>
              <w:t>Count</w:t>
            </w:r>
            <w:r w:rsidRPr="00CF31E0">
              <w:rPr>
                <w:rFonts w:eastAsia="Calibri"/>
                <w:color w:val="000000" w:themeColor="text1"/>
                <w:sz w:val="22"/>
                <w:szCs w:val="22"/>
                <w:lang w:eastAsia="en-US"/>
              </w:rPr>
              <w:t xml:space="preserve"> is 10.48.</w:t>
            </w:r>
          </w:p>
        </w:tc>
      </w:tr>
    </w:tbl>
    <w:p w14:paraId="79CE5812" w14:textId="05FF10D1" w:rsidR="00A23C2A" w:rsidRPr="00CF31E0" w:rsidRDefault="00A23C2A" w:rsidP="00730917">
      <w:pPr>
        <w:pStyle w:val="Tablecaption"/>
      </w:pPr>
      <w:bookmarkStart w:id="448" w:name="_Toc522527423"/>
      <w:bookmarkStart w:id="449" w:name="_Toc522628835"/>
      <w:bookmarkStart w:id="450" w:name="_Toc522628999"/>
      <w:bookmarkStart w:id="451" w:name="_Toc6473096"/>
      <w:r w:rsidRPr="00CF31E0">
        <w:t xml:space="preserve">Table </w:t>
      </w:r>
      <w:r w:rsidR="005C44A0" w:rsidRPr="00CF31E0">
        <w:t>7</w:t>
      </w:r>
      <w:r w:rsidR="00D47E7C" w:rsidRPr="00CF31E0">
        <w:t>.</w:t>
      </w:r>
      <w:r w:rsidRPr="00CF31E0">
        <w:t>19: Chi-square test results for spouse’s social group demographic variable.</w:t>
      </w:r>
      <w:bookmarkEnd w:id="448"/>
      <w:bookmarkEnd w:id="449"/>
      <w:bookmarkEnd w:id="450"/>
      <w:bookmarkEnd w:id="451"/>
    </w:p>
    <w:p w14:paraId="312108AE" w14:textId="26F511D8" w:rsidR="003445DF" w:rsidRPr="00CF31E0" w:rsidRDefault="00A23C2A" w:rsidP="005D425C">
      <w:pPr>
        <w:pStyle w:val="Paragraph"/>
      </w:pPr>
      <w:r w:rsidRPr="00CF31E0">
        <w:t xml:space="preserve">The above table illustrates that the p value is significant &lt;.001. See Table </w:t>
      </w:r>
      <w:r w:rsidR="005C44A0" w:rsidRPr="00CF31E0">
        <w:t>7</w:t>
      </w:r>
      <w:r w:rsidR="00D47E7C" w:rsidRPr="00CF31E0">
        <w:t>.</w:t>
      </w:r>
      <w:r w:rsidRPr="00CF31E0">
        <w:t xml:space="preserve">20 for a breakdown of the results. </w:t>
      </w:r>
    </w:p>
    <w:tbl>
      <w:tblPr>
        <w:tblW w:w="7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0"/>
        <w:gridCol w:w="733"/>
        <w:gridCol w:w="1403"/>
        <w:gridCol w:w="866"/>
        <w:gridCol w:w="825"/>
        <w:gridCol w:w="719"/>
        <w:gridCol w:w="1148"/>
        <w:gridCol w:w="1134"/>
      </w:tblGrid>
      <w:tr w:rsidR="00FF344B" w:rsidRPr="00CF31E0" w14:paraId="6F304845" w14:textId="77777777" w:rsidTr="00F6645B">
        <w:trPr>
          <w:cantSplit/>
        </w:trPr>
        <w:tc>
          <w:tcPr>
            <w:tcW w:w="2826" w:type="dxa"/>
            <w:gridSpan w:val="3"/>
            <w:vMerge w:val="restart"/>
            <w:shd w:val="clear" w:color="auto" w:fill="FFFFFF"/>
            <w:vAlign w:val="bottom"/>
          </w:tcPr>
          <w:p w14:paraId="0430F1A4"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rPr>
            </w:pPr>
          </w:p>
        </w:tc>
        <w:tc>
          <w:tcPr>
            <w:tcW w:w="3558" w:type="dxa"/>
            <w:gridSpan w:val="4"/>
            <w:shd w:val="clear" w:color="auto" w:fill="FFFFFF"/>
            <w:vAlign w:val="bottom"/>
          </w:tcPr>
          <w:p w14:paraId="64B2D267" w14:textId="30C7BA7D" w:rsidR="00FF344B" w:rsidRPr="00CF31E0" w:rsidRDefault="00F6645B" w:rsidP="00202B1B">
            <w:pPr>
              <w:widowControl w:val="0"/>
              <w:autoSpaceDE w:val="0"/>
              <w:autoSpaceDN w:val="0"/>
              <w:adjustRightInd w:val="0"/>
              <w:spacing w:line="320" w:lineRule="atLeast"/>
              <w:ind w:left="60" w:right="60"/>
              <w:jc w:val="center"/>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xml:space="preserve">To what </w:t>
            </w:r>
            <w:r w:rsidR="00202B1B" w:rsidRPr="00CF31E0">
              <w:rPr>
                <w:rFonts w:asciiTheme="majorBidi" w:hAnsiTheme="majorBidi" w:cstheme="majorBidi"/>
                <w:color w:val="000000" w:themeColor="text1"/>
                <w:sz w:val="22"/>
                <w:szCs w:val="22"/>
              </w:rPr>
              <w:t>extent</w:t>
            </w:r>
            <w:r w:rsidRPr="00CF31E0">
              <w:rPr>
                <w:rFonts w:asciiTheme="majorBidi" w:hAnsiTheme="majorBidi" w:cstheme="majorBidi"/>
                <w:color w:val="000000" w:themeColor="text1"/>
                <w:sz w:val="22"/>
                <w:szCs w:val="22"/>
              </w:rPr>
              <w:t xml:space="preserve"> do </w:t>
            </w:r>
            <w:r w:rsidR="00FF4DC7" w:rsidRPr="00CF31E0">
              <w:rPr>
                <w:rFonts w:asciiTheme="majorBidi" w:hAnsiTheme="majorBidi" w:cstheme="majorBidi"/>
                <w:color w:val="000000" w:themeColor="text1"/>
                <w:sz w:val="22"/>
                <w:szCs w:val="22"/>
              </w:rPr>
              <w:t>UBH</w:t>
            </w:r>
            <w:r w:rsidRPr="00CF31E0">
              <w:rPr>
                <w:rFonts w:asciiTheme="majorBidi" w:hAnsiTheme="majorBidi" w:cstheme="majorBidi"/>
                <w:color w:val="000000" w:themeColor="text1"/>
                <w:sz w:val="22"/>
                <w:szCs w:val="22"/>
              </w:rPr>
              <w:t xml:space="preserve"> speak </w:t>
            </w:r>
            <w:r w:rsidR="00FF4DC7" w:rsidRPr="00CF31E0">
              <w:rPr>
                <w:rFonts w:asciiTheme="majorBidi" w:hAnsiTheme="majorBidi" w:cstheme="majorBidi"/>
                <w:color w:val="000000" w:themeColor="text1"/>
                <w:sz w:val="22"/>
                <w:szCs w:val="22"/>
              </w:rPr>
              <w:t>HH</w:t>
            </w:r>
            <w:r w:rsidRPr="00CF31E0">
              <w:rPr>
                <w:rFonts w:asciiTheme="majorBidi" w:hAnsiTheme="majorBidi" w:cstheme="majorBidi"/>
                <w:color w:val="000000" w:themeColor="text1"/>
                <w:sz w:val="22"/>
                <w:szCs w:val="22"/>
              </w:rPr>
              <w:t xml:space="preserve"> </w:t>
            </w:r>
            <w:r w:rsidR="00FF344B" w:rsidRPr="00CF31E0">
              <w:rPr>
                <w:rFonts w:asciiTheme="majorBidi" w:hAnsiTheme="majorBidi" w:cstheme="majorBidi"/>
                <w:color w:val="000000" w:themeColor="text1"/>
                <w:sz w:val="22"/>
                <w:szCs w:val="22"/>
              </w:rPr>
              <w:t>dialect</w:t>
            </w:r>
          </w:p>
        </w:tc>
        <w:tc>
          <w:tcPr>
            <w:tcW w:w="1134" w:type="dxa"/>
            <w:vMerge w:val="restart"/>
            <w:shd w:val="clear" w:color="auto" w:fill="FFFFFF"/>
            <w:vAlign w:val="bottom"/>
          </w:tcPr>
          <w:p w14:paraId="3B3EB19B"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Total</w:t>
            </w:r>
          </w:p>
        </w:tc>
      </w:tr>
      <w:tr w:rsidR="00F6645B" w:rsidRPr="00CF31E0" w14:paraId="485B22DE" w14:textId="77777777" w:rsidTr="00F6645B">
        <w:trPr>
          <w:cantSplit/>
        </w:trPr>
        <w:tc>
          <w:tcPr>
            <w:tcW w:w="2826" w:type="dxa"/>
            <w:gridSpan w:val="3"/>
            <w:vMerge/>
            <w:shd w:val="clear" w:color="auto" w:fill="FFFFFF"/>
            <w:vAlign w:val="bottom"/>
          </w:tcPr>
          <w:p w14:paraId="2A516B6A"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rPr>
            </w:pPr>
          </w:p>
        </w:tc>
        <w:tc>
          <w:tcPr>
            <w:tcW w:w="866" w:type="dxa"/>
            <w:shd w:val="clear" w:color="auto" w:fill="FFFFFF"/>
            <w:vAlign w:val="bottom"/>
          </w:tcPr>
          <w:p w14:paraId="10928E2A"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always</w:t>
            </w:r>
          </w:p>
        </w:tc>
        <w:tc>
          <w:tcPr>
            <w:tcW w:w="825" w:type="dxa"/>
            <w:shd w:val="clear" w:color="auto" w:fill="FFFFFF"/>
            <w:vAlign w:val="bottom"/>
          </w:tcPr>
          <w:p w14:paraId="61648DC3"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never</w:t>
            </w:r>
          </w:p>
        </w:tc>
        <w:tc>
          <w:tcPr>
            <w:tcW w:w="719" w:type="dxa"/>
            <w:shd w:val="clear" w:color="auto" w:fill="FFFFFF"/>
            <w:vAlign w:val="bottom"/>
          </w:tcPr>
          <w:p w14:paraId="699F6DFE"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rarely</w:t>
            </w:r>
          </w:p>
        </w:tc>
        <w:tc>
          <w:tcPr>
            <w:tcW w:w="1148" w:type="dxa"/>
            <w:shd w:val="clear" w:color="auto" w:fill="FFFFFF"/>
            <w:vAlign w:val="bottom"/>
          </w:tcPr>
          <w:p w14:paraId="244BA8A7"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sometimes</w:t>
            </w:r>
          </w:p>
        </w:tc>
        <w:tc>
          <w:tcPr>
            <w:tcW w:w="1134" w:type="dxa"/>
            <w:vMerge/>
            <w:shd w:val="clear" w:color="auto" w:fill="FFFFFF"/>
            <w:vAlign w:val="bottom"/>
          </w:tcPr>
          <w:p w14:paraId="0591E06B"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rPr>
            </w:pPr>
          </w:p>
        </w:tc>
      </w:tr>
      <w:tr w:rsidR="00F6645B" w:rsidRPr="00CF31E0" w14:paraId="4C35A5E0" w14:textId="77777777" w:rsidTr="00F6645B">
        <w:trPr>
          <w:cantSplit/>
          <w:trHeight w:val="348"/>
        </w:trPr>
        <w:tc>
          <w:tcPr>
            <w:tcW w:w="690" w:type="dxa"/>
            <w:vMerge w:val="restart"/>
            <w:shd w:val="clear" w:color="auto" w:fill="FFFFFF"/>
          </w:tcPr>
          <w:p w14:paraId="6B5568C0" w14:textId="77777777" w:rsidR="00FF344B" w:rsidRPr="00CF31E0" w:rsidRDefault="00FF344B" w:rsidP="00FF344B">
            <w:pPr>
              <w:widowControl w:val="0"/>
              <w:autoSpaceDE w:val="0"/>
              <w:autoSpaceDN w:val="0"/>
              <w:adjustRightInd w:val="0"/>
              <w:spacing w:line="320" w:lineRule="atLeast"/>
              <w:ind w:left="60" w:right="60"/>
              <w:rPr>
                <w:rFonts w:cstheme="majorBidi"/>
                <w:color w:val="000000" w:themeColor="text1"/>
                <w:sz w:val="22"/>
                <w:szCs w:val="22"/>
              </w:rPr>
            </w:pPr>
            <w:r w:rsidRPr="00CF31E0">
              <w:rPr>
                <w:rFonts w:asciiTheme="majorBidi" w:hAnsiTheme="majorBidi" w:cstheme="majorBidi"/>
                <w:color w:val="000000" w:themeColor="text1"/>
                <w:sz w:val="22"/>
                <w:szCs w:val="22"/>
              </w:rPr>
              <w:t>Social</w:t>
            </w:r>
          </w:p>
          <w:p w14:paraId="46A0803E"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group</w:t>
            </w:r>
          </w:p>
        </w:tc>
        <w:tc>
          <w:tcPr>
            <w:tcW w:w="733" w:type="dxa"/>
            <w:vMerge w:val="restart"/>
            <w:shd w:val="clear" w:color="auto" w:fill="FFFFFF"/>
          </w:tcPr>
          <w:p w14:paraId="166492FB"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cstheme="majorBidi"/>
                <w:color w:val="000000" w:themeColor="text1"/>
                <w:sz w:val="22"/>
                <w:szCs w:val="22"/>
              </w:rPr>
              <w:t>UBH</w:t>
            </w:r>
          </w:p>
        </w:tc>
        <w:tc>
          <w:tcPr>
            <w:tcW w:w="1403" w:type="dxa"/>
            <w:shd w:val="clear" w:color="auto" w:fill="FFFFFF"/>
          </w:tcPr>
          <w:p w14:paraId="2B677376" w14:textId="29AB039D" w:rsidR="00FF344B" w:rsidRPr="00CF31E0" w:rsidRDefault="00F6645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Raw frequency</w:t>
            </w:r>
          </w:p>
        </w:tc>
        <w:tc>
          <w:tcPr>
            <w:tcW w:w="866" w:type="dxa"/>
            <w:shd w:val="clear" w:color="auto" w:fill="FFFFFF"/>
            <w:vAlign w:val="center"/>
          </w:tcPr>
          <w:p w14:paraId="3AC54C43"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20</w:t>
            </w:r>
          </w:p>
        </w:tc>
        <w:tc>
          <w:tcPr>
            <w:tcW w:w="825" w:type="dxa"/>
            <w:shd w:val="clear" w:color="auto" w:fill="FFFFFF"/>
            <w:vAlign w:val="center"/>
          </w:tcPr>
          <w:p w14:paraId="3E0B6A60"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66</w:t>
            </w:r>
          </w:p>
        </w:tc>
        <w:tc>
          <w:tcPr>
            <w:tcW w:w="719" w:type="dxa"/>
            <w:shd w:val="clear" w:color="auto" w:fill="FFFFFF"/>
            <w:vAlign w:val="center"/>
          </w:tcPr>
          <w:p w14:paraId="56FCBC04"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166</w:t>
            </w:r>
          </w:p>
        </w:tc>
        <w:tc>
          <w:tcPr>
            <w:tcW w:w="1148" w:type="dxa"/>
            <w:shd w:val="clear" w:color="auto" w:fill="FFFFFF"/>
            <w:vAlign w:val="center"/>
          </w:tcPr>
          <w:p w14:paraId="38C5C8CF" w14:textId="6189B92B" w:rsidR="00FF344B" w:rsidRPr="00CF31E0" w:rsidRDefault="005971F4"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71</w:t>
            </w:r>
          </w:p>
        </w:tc>
        <w:tc>
          <w:tcPr>
            <w:tcW w:w="1134" w:type="dxa"/>
            <w:shd w:val="clear" w:color="auto" w:fill="FFFFFF"/>
            <w:vAlign w:val="center"/>
          </w:tcPr>
          <w:p w14:paraId="16B5817F" w14:textId="3A5BFDC4" w:rsidR="00FF344B" w:rsidRPr="00CF31E0" w:rsidRDefault="005971F4"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323</w:t>
            </w:r>
          </w:p>
        </w:tc>
      </w:tr>
      <w:tr w:rsidR="00F6645B" w:rsidRPr="00CF31E0" w14:paraId="57EB456A" w14:textId="77777777" w:rsidTr="00F6645B">
        <w:trPr>
          <w:cantSplit/>
        </w:trPr>
        <w:tc>
          <w:tcPr>
            <w:tcW w:w="690" w:type="dxa"/>
            <w:vMerge/>
            <w:shd w:val="clear" w:color="auto" w:fill="FFFFFF"/>
          </w:tcPr>
          <w:p w14:paraId="412959D1"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rPr>
            </w:pPr>
          </w:p>
        </w:tc>
        <w:tc>
          <w:tcPr>
            <w:tcW w:w="733" w:type="dxa"/>
            <w:vMerge/>
            <w:shd w:val="clear" w:color="auto" w:fill="FFFFFF"/>
          </w:tcPr>
          <w:p w14:paraId="6A677FCA"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rPr>
            </w:pPr>
          </w:p>
        </w:tc>
        <w:tc>
          <w:tcPr>
            <w:tcW w:w="1403" w:type="dxa"/>
            <w:shd w:val="clear" w:color="auto" w:fill="FFFFFF"/>
          </w:tcPr>
          <w:p w14:paraId="1F9E528F"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within Social</w:t>
            </w:r>
            <w:r w:rsidRPr="00CF31E0">
              <w:rPr>
                <w:rFonts w:cstheme="majorBidi"/>
                <w:color w:val="000000" w:themeColor="text1"/>
                <w:sz w:val="22"/>
                <w:szCs w:val="22"/>
              </w:rPr>
              <w:t xml:space="preserve"> </w:t>
            </w:r>
            <w:r w:rsidRPr="00CF31E0">
              <w:rPr>
                <w:rFonts w:asciiTheme="majorBidi" w:hAnsiTheme="majorBidi" w:cstheme="majorBidi"/>
                <w:color w:val="000000" w:themeColor="text1"/>
                <w:sz w:val="22"/>
                <w:szCs w:val="22"/>
              </w:rPr>
              <w:t>group</w:t>
            </w:r>
          </w:p>
        </w:tc>
        <w:tc>
          <w:tcPr>
            <w:tcW w:w="866" w:type="dxa"/>
            <w:shd w:val="clear" w:color="auto" w:fill="FFFFFF"/>
            <w:vAlign w:val="center"/>
          </w:tcPr>
          <w:p w14:paraId="17D1FA30"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6.2%</w:t>
            </w:r>
          </w:p>
        </w:tc>
        <w:tc>
          <w:tcPr>
            <w:tcW w:w="825" w:type="dxa"/>
            <w:shd w:val="clear" w:color="auto" w:fill="FFFFFF"/>
            <w:vAlign w:val="center"/>
          </w:tcPr>
          <w:p w14:paraId="6D77CCCA"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20.4%</w:t>
            </w:r>
          </w:p>
        </w:tc>
        <w:tc>
          <w:tcPr>
            <w:tcW w:w="719" w:type="dxa"/>
            <w:shd w:val="clear" w:color="auto" w:fill="FFFFFF"/>
            <w:vAlign w:val="center"/>
          </w:tcPr>
          <w:p w14:paraId="27F85AEB"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51.2%</w:t>
            </w:r>
          </w:p>
        </w:tc>
        <w:tc>
          <w:tcPr>
            <w:tcW w:w="1148" w:type="dxa"/>
            <w:shd w:val="clear" w:color="auto" w:fill="FFFFFF"/>
            <w:vAlign w:val="center"/>
          </w:tcPr>
          <w:p w14:paraId="7DC4B4D2"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22.2%</w:t>
            </w:r>
          </w:p>
        </w:tc>
        <w:tc>
          <w:tcPr>
            <w:tcW w:w="1134" w:type="dxa"/>
            <w:shd w:val="clear" w:color="auto" w:fill="FFFFFF"/>
            <w:vAlign w:val="center"/>
          </w:tcPr>
          <w:p w14:paraId="7E59D91E"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100.0%</w:t>
            </w:r>
          </w:p>
        </w:tc>
      </w:tr>
      <w:tr w:rsidR="00F6645B" w:rsidRPr="00CF31E0" w14:paraId="3337F148" w14:textId="77777777" w:rsidTr="00F6645B">
        <w:trPr>
          <w:cantSplit/>
        </w:trPr>
        <w:tc>
          <w:tcPr>
            <w:tcW w:w="690" w:type="dxa"/>
            <w:vMerge/>
            <w:shd w:val="clear" w:color="auto" w:fill="FFFFFF"/>
          </w:tcPr>
          <w:p w14:paraId="77D2D489"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rPr>
            </w:pPr>
          </w:p>
        </w:tc>
        <w:tc>
          <w:tcPr>
            <w:tcW w:w="733" w:type="dxa"/>
            <w:vMerge/>
            <w:shd w:val="clear" w:color="auto" w:fill="FFFFFF"/>
          </w:tcPr>
          <w:p w14:paraId="6E309496"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rPr>
            </w:pPr>
          </w:p>
        </w:tc>
        <w:tc>
          <w:tcPr>
            <w:tcW w:w="1403" w:type="dxa"/>
            <w:shd w:val="clear" w:color="auto" w:fill="FFFFFF"/>
          </w:tcPr>
          <w:p w14:paraId="58C13268"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of Total</w:t>
            </w:r>
          </w:p>
        </w:tc>
        <w:tc>
          <w:tcPr>
            <w:tcW w:w="866" w:type="dxa"/>
            <w:shd w:val="clear" w:color="auto" w:fill="FFFFFF"/>
            <w:vAlign w:val="center"/>
          </w:tcPr>
          <w:p w14:paraId="06B799A0"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3.1%</w:t>
            </w:r>
          </w:p>
        </w:tc>
        <w:tc>
          <w:tcPr>
            <w:tcW w:w="825" w:type="dxa"/>
            <w:shd w:val="clear" w:color="auto" w:fill="FFFFFF"/>
            <w:vAlign w:val="center"/>
          </w:tcPr>
          <w:p w14:paraId="4C8D3A6F"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10.2%</w:t>
            </w:r>
          </w:p>
        </w:tc>
        <w:tc>
          <w:tcPr>
            <w:tcW w:w="719" w:type="dxa"/>
            <w:shd w:val="clear" w:color="auto" w:fill="FFFFFF"/>
            <w:vAlign w:val="center"/>
          </w:tcPr>
          <w:p w14:paraId="61078DB6"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25.6%</w:t>
            </w:r>
          </w:p>
        </w:tc>
        <w:tc>
          <w:tcPr>
            <w:tcW w:w="1148" w:type="dxa"/>
            <w:shd w:val="clear" w:color="auto" w:fill="FFFFFF"/>
            <w:vAlign w:val="center"/>
          </w:tcPr>
          <w:p w14:paraId="79D473B4"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11.1%</w:t>
            </w:r>
          </w:p>
        </w:tc>
        <w:tc>
          <w:tcPr>
            <w:tcW w:w="1134" w:type="dxa"/>
            <w:shd w:val="clear" w:color="auto" w:fill="FFFFFF"/>
            <w:vAlign w:val="center"/>
          </w:tcPr>
          <w:p w14:paraId="6667B281"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49.9%</w:t>
            </w:r>
          </w:p>
        </w:tc>
      </w:tr>
      <w:tr w:rsidR="00F6645B" w:rsidRPr="00CF31E0" w14:paraId="35680081" w14:textId="77777777" w:rsidTr="00F6645B">
        <w:trPr>
          <w:cantSplit/>
        </w:trPr>
        <w:tc>
          <w:tcPr>
            <w:tcW w:w="690" w:type="dxa"/>
            <w:vMerge/>
            <w:shd w:val="clear" w:color="auto" w:fill="FFFFFF"/>
          </w:tcPr>
          <w:p w14:paraId="043018A6"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rPr>
            </w:pPr>
          </w:p>
        </w:tc>
        <w:tc>
          <w:tcPr>
            <w:tcW w:w="733" w:type="dxa"/>
            <w:vMerge w:val="restart"/>
            <w:shd w:val="clear" w:color="auto" w:fill="FFFFFF"/>
          </w:tcPr>
          <w:p w14:paraId="442E4257"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cstheme="majorBidi"/>
                <w:color w:val="000000" w:themeColor="text1"/>
                <w:sz w:val="22"/>
                <w:szCs w:val="22"/>
              </w:rPr>
              <w:t>HH</w:t>
            </w:r>
          </w:p>
        </w:tc>
        <w:tc>
          <w:tcPr>
            <w:tcW w:w="1403" w:type="dxa"/>
            <w:shd w:val="clear" w:color="auto" w:fill="FFFFFF"/>
          </w:tcPr>
          <w:p w14:paraId="3DB3D9A0" w14:textId="1A4E8755" w:rsidR="00FF344B" w:rsidRPr="00CF31E0" w:rsidRDefault="00F6645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Raw frequency</w:t>
            </w:r>
          </w:p>
        </w:tc>
        <w:tc>
          <w:tcPr>
            <w:tcW w:w="866" w:type="dxa"/>
            <w:shd w:val="clear" w:color="auto" w:fill="FFFFFF"/>
            <w:vAlign w:val="center"/>
          </w:tcPr>
          <w:p w14:paraId="37B096AF"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w:t>
            </w:r>
          </w:p>
        </w:tc>
        <w:tc>
          <w:tcPr>
            <w:tcW w:w="825" w:type="dxa"/>
            <w:shd w:val="clear" w:color="auto" w:fill="FFFFFF"/>
            <w:vAlign w:val="center"/>
          </w:tcPr>
          <w:p w14:paraId="0C917CF6"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41</w:t>
            </w:r>
          </w:p>
        </w:tc>
        <w:tc>
          <w:tcPr>
            <w:tcW w:w="719" w:type="dxa"/>
            <w:shd w:val="clear" w:color="auto" w:fill="FFFFFF"/>
            <w:vAlign w:val="center"/>
          </w:tcPr>
          <w:p w14:paraId="4473A47C"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41</w:t>
            </w:r>
          </w:p>
        </w:tc>
        <w:tc>
          <w:tcPr>
            <w:tcW w:w="1148" w:type="dxa"/>
            <w:shd w:val="clear" w:color="auto" w:fill="FFFFFF"/>
            <w:vAlign w:val="center"/>
          </w:tcPr>
          <w:p w14:paraId="237A0EF4" w14:textId="733B1731" w:rsidR="00FF344B" w:rsidRPr="00CF31E0" w:rsidRDefault="005971F4"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243</w:t>
            </w:r>
          </w:p>
        </w:tc>
        <w:tc>
          <w:tcPr>
            <w:tcW w:w="1134" w:type="dxa"/>
            <w:shd w:val="clear" w:color="auto" w:fill="FFFFFF"/>
            <w:vAlign w:val="center"/>
          </w:tcPr>
          <w:p w14:paraId="1C9C5B51" w14:textId="5AFBB746" w:rsidR="00FF344B" w:rsidRPr="00CF31E0" w:rsidRDefault="005971F4"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326</w:t>
            </w:r>
          </w:p>
        </w:tc>
      </w:tr>
      <w:tr w:rsidR="00F6645B" w:rsidRPr="00CF31E0" w14:paraId="14EB192B" w14:textId="77777777" w:rsidTr="00F6645B">
        <w:trPr>
          <w:cantSplit/>
        </w:trPr>
        <w:tc>
          <w:tcPr>
            <w:tcW w:w="690" w:type="dxa"/>
            <w:vMerge/>
            <w:shd w:val="clear" w:color="auto" w:fill="FFFFFF"/>
          </w:tcPr>
          <w:p w14:paraId="71E812AD"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rPr>
            </w:pPr>
          </w:p>
        </w:tc>
        <w:tc>
          <w:tcPr>
            <w:tcW w:w="733" w:type="dxa"/>
            <w:vMerge/>
            <w:shd w:val="clear" w:color="auto" w:fill="FFFFFF"/>
          </w:tcPr>
          <w:p w14:paraId="6F21716E"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rPr>
            </w:pPr>
          </w:p>
        </w:tc>
        <w:tc>
          <w:tcPr>
            <w:tcW w:w="1403" w:type="dxa"/>
            <w:shd w:val="clear" w:color="auto" w:fill="FFFFFF"/>
          </w:tcPr>
          <w:p w14:paraId="71096917"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within Social</w:t>
            </w:r>
            <w:r w:rsidRPr="00CF31E0">
              <w:rPr>
                <w:rFonts w:cstheme="majorBidi"/>
                <w:color w:val="000000" w:themeColor="text1"/>
                <w:sz w:val="22"/>
                <w:szCs w:val="22"/>
              </w:rPr>
              <w:t xml:space="preserve"> </w:t>
            </w:r>
            <w:r w:rsidRPr="00CF31E0">
              <w:rPr>
                <w:rFonts w:asciiTheme="majorBidi" w:hAnsiTheme="majorBidi" w:cstheme="majorBidi"/>
                <w:color w:val="000000" w:themeColor="text1"/>
                <w:sz w:val="22"/>
                <w:szCs w:val="22"/>
              </w:rPr>
              <w:t>group</w:t>
            </w:r>
          </w:p>
        </w:tc>
        <w:tc>
          <w:tcPr>
            <w:tcW w:w="866" w:type="dxa"/>
            <w:shd w:val="clear" w:color="auto" w:fill="FFFFFF"/>
            <w:vAlign w:val="center"/>
          </w:tcPr>
          <w:p w14:paraId="1111995C"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0.3%</w:t>
            </w:r>
          </w:p>
        </w:tc>
        <w:tc>
          <w:tcPr>
            <w:tcW w:w="825" w:type="dxa"/>
            <w:shd w:val="clear" w:color="auto" w:fill="FFFFFF"/>
            <w:vAlign w:val="center"/>
          </w:tcPr>
          <w:p w14:paraId="6B351797"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12.6%</w:t>
            </w:r>
          </w:p>
        </w:tc>
        <w:tc>
          <w:tcPr>
            <w:tcW w:w="719" w:type="dxa"/>
            <w:shd w:val="clear" w:color="auto" w:fill="FFFFFF"/>
            <w:vAlign w:val="center"/>
          </w:tcPr>
          <w:p w14:paraId="6ED6EC65"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12.6%</w:t>
            </w:r>
          </w:p>
        </w:tc>
        <w:tc>
          <w:tcPr>
            <w:tcW w:w="1148" w:type="dxa"/>
            <w:shd w:val="clear" w:color="auto" w:fill="FFFFFF"/>
            <w:vAlign w:val="center"/>
          </w:tcPr>
          <w:p w14:paraId="4637D84D"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74.5%</w:t>
            </w:r>
          </w:p>
        </w:tc>
        <w:tc>
          <w:tcPr>
            <w:tcW w:w="1134" w:type="dxa"/>
            <w:shd w:val="clear" w:color="auto" w:fill="FFFFFF"/>
            <w:vAlign w:val="center"/>
          </w:tcPr>
          <w:p w14:paraId="6771D451"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100.0%</w:t>
            </w:r>
          </w:p>
        </w:tc>
      </w:tr>
      <w:tr w:rsidR="00F6645B" w:rsidRPr="00CF31E0" w14:paraId="09D46172" w14:textId="77777777" w:rsidTr="00F6645B">
        <w:trPr>
          <w:cantSplit/>
        </w:trPr>
        <w:tc>
          <w:tcPr>
            <w:tcW w:w="690" w:type="dxa"/>
            <w:vMerge/>
            <w:shd w:val="clear" w:color="auto" w:fill="FFFFFF"/>
          </w:tcPr>
          <w:p w14:paraId="1A31561F"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rPr>
            </w:pPr>
          </w:p>
        </w:tc>
        <w:tc>
          <w:tcPr>
            <w:tcW w:w="733" w:type="dxa"/>
            <w:vMerge/>
            <w:shd w:val="clear" w:color="auto" w:fill="FFFFFF"/>
          </w:tcPr>
          <w:p w14:paraId="71C1B262"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rPr>
            </w:pPr>
          </w:p>
        </w:tc>
        <w:tc>
          <w:tcPr>
            <w:tcW w:w="1403" w:type="dxa"/>
            <w:shd w:val="clear" w:color="auto" w:fill="FFFFFF"/>
          </w:tcPr>
          <w:p w14:paraId="2EE5529D"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of Total</w:t>
            </w:r>
          </w:p>
        </w:tc>
        <w:tc>
          <w:tcPr>
            <w:tcW w:w="866" w:type="dxa"/>
            <w:shd w:val="clear" w:color="auto" w:fill="FFFFFF"/>
            <w:vAlign w:val="center"/>
          </w:tcPr>
          <w:p w14:paraId="2E9F1200"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0.2%</w:t>
            </w:r>
          </w:p>
        </w:tc>
        <w:tc>
          <w:tcPr>
            <w:tcW w:w="825" w:type="dxa"/>
            <w:shd w:val="clear" w:color="auto" w:fill="FFFFFF"/>
            <w:vAlign w:val="center"/>
          </w:tcPr>
          <w:p w14:paraId="27824FFC"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6.3%</w:t>
            </w:r>
          </w:p>
        </w:tc>
        <w:tc>
          <w:tcPr>
            <w:tcW w:w="719" w:type="dxa"/>
            <w:shd w:val="clear" w:color="auto" w:fill="FFFFFF"/>
            <w:vAlign w:val="center"/>
          </w:tcPr>
          <w:p w14:paraId="4D43430C"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6.3%</w:t>
            </w:r>
          </w:p>
        </w:tc>
        <w:tc>
          <w:tcPr>
            <w:tcW w:w="1148" w:type="dxa"/>
            <w:shd w:val="clear" w:color="auto" w:fill="FFFFFF"/>
            <w:vAlign w:val="center"/>
          </w:tcPr>
          <w:p w14:paraId="28700EA9"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37.3%</w:t>
            </w:r>
          </w:p>
        </w:tc>
        <w:tc>
          <w:tcPr>
            <w:tcW w:w="1134" w:type="dxa"/>
            <w:shd w:val="clear" w:color="auto" w:fill="FFFFFF"/>
            <w:vAlign w:val="center"/>
          </w:tcPr>
          <w:p w14:paraId="6DEF2110"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50.1%</w:t>
            </w:r>
          </w:p>
        </w:tc>
      </w:tr>
      <w:tr w:rsidR="00F6645B" w:rsidRPr="00CF31E0" w14:paraId="4F0CEA08" w14:textId="77777777" w:rsidTr="00F6645B">
        <w:trPr>
          <w:cantSplit/>
        </w:trPr>
        <w:tc>
          <w:tcPr>
            <w:tcW w:w="1423" w:type="dxa"/>
            <w:gridSpan w:val="2"/>
            <w:vMerge w:val="restart"/>
            <w:shd w:val="clear" w:color="auto" w:fill="FFFFFF"/>
          </w:tcPr>
          <w:p w14:paraId="33AB04FE"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Total</w:t>
            </w:r>
          </w:p>
        </w:tc>
        <w:tc>
          <w:tcPr>
            <w:tcW w:w="1403" w:type="dxa"/>
            <w:shd w:val="clear" w:color="auto" w:fill="FFFFFF"/>
          </w:tcPr>
          <w:p w14:paraId="42EB4F0D" w14:textId="62452680" w:rsidR="00FF344B" w:rsidRPr="00CF31E0" w:rsidRDefault="00F6645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Raw frequency</w:t>
            </w:r>
          </w:p>
        </w:tc>
        <w:tc>
          <w:tcPr>
            <w:tcW w:w="866" w:type="dxa"/>
            <w:shd w:val="clear" w:color="auto" w:fill="FFFFFF"/>
            <w:vAlign w:val="center"/>
          </w:tcPr>
          <w:p w14:paraId="58448A33"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21</w:t>
            </w:r>
          </w:p>
        </w:tc>
        <w:tc>
          <w:tcPr>
            <w:tcW w:w="825" w:type="dxa"/>
            <w:shd w:val="clear" w:color="auto" w:fill="FFFFFF"/>
            <w:vAlign w:val="center"/>
          </w:tcPr>
          <w:p w14:paraId="5876B69E"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107</w:t>
            </w:r>
          </w:p>
        </w:tc>
        <w:tc>
          <w:tcPr>
            <w:tcW w:w="719" w:type="dxa"/>
            <w:shd w:val="clear" w:color="auto" w:fill="FFFFFF"/>
            <w:vAlign w:val="center"/>
          </w:tcPr>
          <w:p w14:paraId="5D48C169"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207</w:t>
            </w:r>
          </w:p>
        </w:tc>
        <w:tc>
          <w:tcPr>
            <w:tcW w:w="1148" w:type="dxa"/>
            <w:shd w:val="clear" w:color="auto" w:fill="FFFFFF"/>
            <w:vAlign w:val="center"/>
          </w:tcPr>
          <w:p w14:paraId="4B30B635"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314</w:t>
            </w:r>
          </w:p>
        </w:tc>
        <w:tc>
          <w:tcPr>
            <w:tcW w:w="1134" w:type="dxa"/>
            <w:shd w:val="clear" w:color="auto" w:fill="FFFFFF"/>
            <w:vAlign w:val="center"/>
          </w:tcPr>
          <w:p w14:paraId="26CAD9A9"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649</w:t>
            </w:r>
          </w:p>
        </w:tc>
      </w:tr>
      <w:tr w:rsidR="00F6645B" w:rsidRPr="00CF31E0" w14:paraId="6CC1F276" w14:textId="77777777" w:rsidTr="00F6645B">
        <w:trPr>
          <w:cantSplit/>
        </w:trPr>
        <w:tc>
          <w:tcPr>
            <w:tcW w:w="1423" w:type="dxa"/>
            <w:gridSpan w:val="2"/>
            <w:vMerge/>
            <w:shd w:val="clear" w:color="auto" w:fill="FFFFFF"/>
          </w:tcPr>
          <w:p w14:paraId="3D7B133E"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rPr>
            </w:pPr>
          </w:p>
        </w:tc>
        <w:tc>
          <w:tcPr>
            <w:tcW w:w="1403" w:type="dxa"/>
            <w:shd w:val="clear" w:color="auto" w:fill="FFFFFF"/>
          </w:tcPr>
          <w:p w14:paraId="359DFF4D"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within Social</w:t>
            </w:r>
            <w:r w:rsidRPr="00CF31E0">
              <w:rPr>
                <w:rFonts w:cstheme="majorBidi"/>
                <w:color w:val="000000" w:themeColor="text1"/>
                <w:sz w:val="22"/>
                <w:szCs w:val="22"/>
              </w:rPr>
              <w:t xml:space="preserve"> </w:t>
            </w:r>
            <w:r w:rsidRPr="00CF31E0">
              <w:rPr>
                <w:rFonts w:asciiTheme="majorBidi" w:hAnsiTheme="majorBidi" w:cstheme="majorBidi"/>
                <w:color w:val="000000" w:themeColor="text1"/>
                <w:sz w:val="22"/>
                <w:szCs w:val="22"/>
              </w:rPr>
              <w:t>group</w:t>
            </w:r>
          </w:p>
        </w:tc>
        <w:tc>
          <w:tcPr>
            <w:tcW w:w="866" w:type="dxa"/>
            <w:shd w:val="clear" w:color="auto" w:fill="FFFFFF"/>
            <w:vAlign w:val="center"/>
          </w:tcPr>
          <w:p w14:paraId="0957F548"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3.2%</w:t>
            </w:r>
          </w:p>
        </w:tc>
        <w:tc>
          <w:tcPr>
            <w:tcW w:w="825" w:type="dxa"/>
            <w:shd w:val="clear" w:color="auto" w:fill="FFFFFF"/>
            <w:vAlign w:val="center"/>
          </w:tcPr>
          <w:p w14:paraId="0E698980"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16.5%</w:t>
            </w:r>
          </w:p>
        </w:tc>
        <w:tc>
          <w:tcPr>
            <w:tcW w:w="719" w:type="dxa"/>
            <w:shd w:val="clear" w:color="auto" w:fill="FFFFFF"/>
            <w:vAlign w:val="center"/>
          </w:tcPr>
          <w:p w14:paraId="01CCABC6"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31.9%</w:t>
            </w:r>
          </w:p>
        </w:tc>
        <w:tc>
          <w:tcPr>
            <w:tcW w:w="1148" w:type="dxa"/>
            <w:shd w:val="clear" w:color="auto" w:fill="FFFFFF"/>
            <w:vAlign w:val="center"/>
          </w:tcPr>
          <w:p w14:paraId="23E68E38"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48.4%</w:t>
            </w:r>
          </w:p>
        </w:tc>
        <w:tc>
          <w:tcPr>
            <w:tcW w:w="1134" w:type="dxa"/>
            <w:shd w:val="clear" w:color="auto" w:fill="FFFFFF"/>
            <w:vAlign w:val="center"/>
          </w:tcPr>
          <w:p w14:paraId="5EEAB22B"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100.0%</w:t>
            </w:r>
          </w:p>
        </w:tc>
      </w:tr>
      <w:tr w:rsidR="00F6645B" w:rsidRPr="00CF31E0" w14:paraId="42CD59E5" w14:textId="77777777" w:rsidTr="00F6645B">
        <w:trPr>
          <w:cantSplit/>
        </w:trPr>
        <w:tc>
          <w:tcPr>
            <w:tcW w:w="1423" w:type="dxa"/>
            <w:gridSpan w:val="2"/>
            <w:vMerge/>
            <w:shd w:val="clear" w:color="auto" w:fill="FFFFFF"/>
          </w:tcPr>
          <w:p w14:paraId="677F86B6"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rPr>
            </w:pPr>
          </w:p>
        </w:tc>
        <w:tc>
          <w:tcPr>
            <w:tcW w:w="1403" w:type="dxa"/>
            <w:shd w:val="clear" w:color="auto" w:fill="FFFFFF"/>
          </w:tcPr>
          <w:p w14:paraId="225FD90C"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of Total</w:t>
            </w:r>
          </w:p>
        </w:tc>
        <w:tc>
          <w:tcPr>
            <w:tcW w:w="866" w:type="dxa"/>
            <w:shd w:val="clear" w:color="auto" w:fill="FFFFFF"/>
            <w:vAlign w:val="center"/>
          </w:tcPr>
          <w:p w14:paraId="52166E89"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3.2%</w:t>
            </w:r>
          </w:p>
        </w:tc>
        <w:tc>
          <w:tcPr>
            <w:tcW w:w="825" w:type="dxa"/>
            <w:shd w:val="clear" w:color="auto" w:fill="FFFFFF"/>
            <w:vAlign w:val="center"/>
          </w:tcPr>
          <w:p w14:paraId="419B5B0E"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16.5%</w:t>
            </w:r>
          </w:p>
        </w:tc>
        <w:tc>
          <w:tcPr>
            <w:tcW w:w="719" w:type="dxa"/>
            <w:shd w:val="clear" w:color="auto" w:fill="FFFFFF"/>
            <w:vAlign w:val="center"/>
          </w:tcPr>
          <w:p w14:paraId="00010766"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31.9%</w:t>
            </w:r>
          </w:p>
        </w:tc>
        <w:tc>
          <w:tcPr>
            <w:tcW w:w="1148" w:type="dxa"/>
            <w:shd w:val="clear" w:color="auto" w:fill="FFFFFF"/>
            <w:vAlign w:val="center"/>
          </w:tcPr>
          <w:p w14:paraId="42858954"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48.4%</w:t>
            </w:r>
          </w:p>
        </w:tc>
        <w:tc>
          <w:tcPr>
            <w:tcW w:w="1134" w:type="dxa"/>
            <w:shd w:val="clear" w:color="auto" w:fill="FFFFFF"/>
            <w:vAlign w:val="center"/>
          </w:tcPr>
          <w:p w14:paraId="17F23AFA"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100.0%</w:t>
            </w:r>
          </w:p>
        </w:tc>
      </w:tr>
    </w:tbl>
    <w:p w14:paraId="40924EF7" w14:textId="42E25C72" w:rsidR="00A23C2A" w:rsidRPr="00CF31E0" w:rsidRDefault="00A23C2A" w:rsidP="00730917">
      <w:pPr>
        <w:pStyle w:val="Tablecaption"/>
      </w:pPr>
      <w:bookmarkStart w:id="452" w:name="_Toc522527424"/>
      <w:bookmarkStart w:id="453" w:name="_Toc522628836"/>
      <w:bookmarkStart w:id="454" w:name="_Toc522629000"/>
      <w:bookmarkStart w:id="455" w:name="_Toc6473097"/>
      <w:r w:rsidRPr="00CF31E0">
        <w:t xml:space="preserve">Table </w:t>
      </w:r>
      <w:r w:rsidR="005C44A0" w:rsidRPr="00CF31E0">
        <w:t>7</w:t>
      </w:r>
      <w:r w:rsidR="00D47E7C" w:rsidRPr="00CF31E0">
        <w:t>.</w:t>
      </w:r>
      <w:r w:rsidRPr="00CF31E0">
        <w:t>20: Social group-Q7 crosstabulation.</w:t>
      </w:r>
      <w:bookmarkEnd w:id="452"/>
      <w:bookmarkEnd w:id="453"/>
      <w:bookmarkEnd w:id="454"/>
      <w:bookmarkEnd w:id="455"/>
      <w:r w:rsidRPr="00CF31E0">
        <w:t xml:space="preserve"> </w:t>
      </w:r>
    </w:p>
    <w:p w14:paraId="4B43FC8E" w14:textId="47F3F4C7" w:rsidR="00A23C2A" w:rsidRPr="00CF31E0" w:rsidRDefault="00A23C2A" w:rsidP="00603CB7">
      <w:pPr>
        <w:pStyle w:val="Paragraph"/>
      </w:pPr>
      <w:r w:rsidRPr="00CF31E0">
        <w:t xml:space="preserve">The above table illustrates that, first; </w:t>
      </w:r>
      <w:r w:rsidR="000F4EC9" w:rsidRPr="00CF31E0">
        <w:t xml:space="preserve">within social groups, </w:t>
      </w:r>
      <w:r w:rsidR="00260433" w:rsidRPr="00CF31E0">
        <w:t>6.2% of</w:t>
      </w:r>
      <w:r w:rsidRPr="00CF31E0">
        <w:t xml:space="preserve"> UBH participants perceived UBHs to always spea</w:t>
      </w:r>
      <w:r w:rsidR="00260433" w:rsidRPr="00CF31E0">
        <w:t>k the HH dialect, while 0.3%</w:t>
      </w:r>
      <w:r w:rsidRPr="00CF31E0">
        <w:t xml:space="preserve"> </w:t>
      </w:r>
      <w:r w:rsidR="00260433" w:rsidRPr="00CF31E0">
        <w:t xml:space="preserve">of </w:t>
      </w:r>
      <w:r w:rsidRPr="00CF31E0">
        <w:lastRenderedPageBreak/>
        <w:t>HH participant</w:t>
      </w:r>
      <w:r w:rsidR="00260433" w:rsidRPr="00CF31E0">
        <w:t>s</w:t>
      </w:r>
      <w:r w:rsidRPr="00CF31E0">
        <w:t xml:space="preserve"> had</w:t>
      </w:r>
      <w:r w:rsidR="00260433" w:rsidRPr="00CF31E0">
        <w:t xml:space="preserve"> the same perception. Second, 20.4% of</w:t>
      </w:r>
      <w:r w:rsidRPr="00CF31E0">
        <w:t xml:space="preserve"> UBH participants perceived UBHs to neve</w:t>
      </w:r>
      <w:r w:rsidR="00260433" w:rsidRPr="00CF31E0">
        <w:t>r speak the HH dialect, while 12.6% of</w:t>
      </w:r>
      <w:r w:rsidRPr="00CF31E0">
        <w:t xml:space="preserve"> HH participants held </w:t>
      </w:r>
      <w:r w:rsidR="00260433" w:rsidRPr="00CF31E0">
        <w:t>a similar perception. Third, 51.2% of</w:t>
      </w:r>
      <w:r w:rsidRPr="00CF31E0">
        <w:t xml:space="preserve"> UBH participants thought that UBHs rarel</w:t>
      </w:r>
      <w:r w:rsidR="00260433" w:rsidRPr="00CF31E0">
        <w:t>y speak the HH dialect, while 12.6% of</w:t>
      </w:r>
      <w:r w:rsidRPr="00CF31E0">
        <w:t xml:space="preserve"> HH participants</w:t>
      </w:r>
      <w:r w:rsidR="00260433" w:rsidRPr="00CF31E0">
        <w:t xml:space="preserve"> answered similarly. Fourth, 74.5% of</w:t>
      </w:r>
      <w:r w:rsidRPr="00CF31E0">
        <w:t xml:space="preserve"> HH participants perceived UBHs to sometimes speak the HH dialect, while a </w:t>
      </w:r>
      <w:r w:rsidR="00EE670E" w:rsidRPr="00CF31E0">
        <w:t xml:space="preserve">smaller </w:t>
      </w:r>
      <w:r w:rsidR="00260433" w:rsidRPr="00CF31E0">
        <w:t>percentage</w:t>
      </w:r>
      <w:r w:rsidRPr="00CF31E0">
        <w:t xml:space="preserve"> of UBH participants provided the same answer</w:t>
      </w:r>
      <w:r w:rsidR="00260433" w:rsidRPr="00CF31E0">
        <w:t xml:space="preserve"> (22.2%)</w:t>
      </w:r>
      <w:r w:rsidRPr="00CF31E0">
        <w:t xml:space="preserve">. Overall, the results revealed that more HH participants considered UBHs to speak the HH dialect than the UBHs believed about themselves. </w:t>
      </w:r>
    </w:p>
    <w:p w14:paraId="56DB68FD" w14:textId="2E53EC45" w:rsidR="00A23C2A" w:rsidRPr="00CF31E0" w:rsidRDefault="00A23C2A" w:rsidP="00603CB7">
      <w:pPr>
        <w:pStyle w:val="Paragraph"/>
      </w:pPr>
      <w:r w:rsidRPr="00CF31E0">
        <w:t xml:space="preserve">The chi-square test results for mother’s social group and spouse’s social group revealed the same pattern to the above with a slightly different number of participants. Participants whose mothers are from a HH origin and participants whose spouse is from a HH origin also perceived UBHs to speak the HH dialect at a higher frequency than did the other UBH mother and spouse groups. </w:t>
      </w:r>
      <w:r w:rsidR="00A06672" w:rsidRPr="00CF31E0">
        <w:t>See Appendix 2</w:t>
      </w:r>
      <w:r w:rsidRPr="00CF31E0">
        <w:t xml:space="preserve"> for </w:t>
      </w:r>
      <w:r w:rsidR="00404887" w:rsidRPr="00CF31E0">
        <w:t xml:space="preserve">the </w:t>
      </w:r>
      <w:r w:rsidRPr="00CF31E0">
        <w:t>Chi-square test results for mother’s social group and spouse’s social group demographic variables.</w:t>
      </w:r>
    </w:p>
    <w:p w14:paraId="2ADC2E1B" w14:textId="0101660C" w:rsidR="00A23C2A" w:rsidRPr="00CF31E0" w:rsidRDefault="005C44A0" w:rsidP="00E87209">
      <w:pPr>
        <w:pStyle w:val="Ahead"/>
        <w:rPr>
          <w:rFonts w:eastAsia="Times New Roman"/>
        </w:rPr>
      </w:pPr>
      <w:bookmarkStart w:id="456" w:name="_Toc6472715"/>
      <w:r w:rsidRPr="00CF31E0">
        <w:rPr>
          <w:rFonts w:eastAsia="Times New Roman"/>
        </w:rPr>
        <w:t>7</w:t>
      </w:r>
      <w:r w:rsidR="00404887" w:rsidRPr="00CF31E0">
        <w:rPr>
          <w:rFonts w:eastAsia="Times New Roman"/>
        </w:rPr>
        <w:t>.8.</w:t>
      </w:r>
      <w:r w:rsidR="00F106E7" w:rsidRPr="00CF31E0">
        <w:rPr>
          <w:rFonts w:eastAsia="Times New Roman"/>
        </w:rPr>
        <w:tab/>
      </w:r>
      <w:r w:rsidR="00A23C2A" w:rsidRPr="00CF31E0">
        <w:rPr>
          <w:rFonts w:eastAsia="Times New Roman"/>
        </w:rPr>
        <w:t>Q7: To what extent do HH people speak the UBH dialect?</w:t>
      </w:r>
      <w:bookmarkEnd w:id="456"/>
    </w:p>
    <w:p w14:paraId="5BE19A13" w14:textId="2DB48BAA" w:rsidR="00A23C2A" w:rsidRPr="00CF31E0" w:rsidRDefault="00A23C2A" w:rsidP="00603CB7">
      <w:pPr>
        <w:pStyle w:val="Paragraph"/>
      </w:pPr>
      <w:r w:rsidRPr="00CF31E0">
        <w:t xml:space="preserve">Participants were asked to provide their perceptions about how often HHs speak the UBH dialect. See Table </w:t>
      </w:r>
      <w:r w:rsidR="005C44A0" w:rsidRPr="00CF31E0">
        <w:t>7</w:t>
      </w:r>
      <w:r w:rsidR="00404887" w:rsidRPr="00CF31E0">
        <w:t>.</w:t>
      </w:r>
      <w:r w:rsidRPr="00CF31E0">
        <w:t xml:space="preserve">21. </w:t>
      </w:r>
    </w:p>
    <w:tbl>
      <w:tblPr>
        <w:tblW w:w="0" w:type="auto"/>
        <w:tblBorders>
          <w:top w:val="single" w:sz="4" w:space="0" w:color="auto"/>
          <w:bottom w:val="single" w:sz="4" w:space="0" w:color="auto"/>
        </w:tblBorders>
        <w:tblLook w:val="0000" w:firstRow="0" w:lastRow="0" w:firstColumn="0" w:lastColumn="0" w:noHBand="0" w:noVBand="0"/>
      </w:tblPr>
      <w:tblGrid>
        <w:gridCol w:w="5350"/>
        <w:gridCol w:w="1137"/>
      </w:tblGrid>
      <w:tr w:rsidR="007F558A" w:rsidRPr="00CF31E0" w14:paraId="35B28079" w14:textId="77777777" w:rsidTr="00603CB7">
        <w:trPr>
          <w:cantSplit/>
        </w:trPr>
        <w:tc>
          <w:tcPr>
            <w:tcW w:w="5350" w:type="dxa"/>
            <w:tcBorders>
              <w:top w:val="single" w:sz="4" w:space="0" w:color="auto"/>
              <w:bottom w:val="single" w:sz="4" w:space="0" w:color="auto"/>
            </w:tcBorders>
          </w:tcPr>
          <w:p w14:paraId="5CF4A081" w14:textId="77777777" w:rsidR="00A23C2A" w:rsidRPr="00CF31E0" w:rsidRDefault="00A23C2A"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To what extent do HHs speak the UBH dialect?</w:t>
            </w:r>
          </w:p>
        </w:tc>
        <w:tc>
          <w:tcPr>
            <w:tcW w:w="1137" w:type="dxa"/>
            <w:tcBorders>
              <w:top w:val="single" w:sz="4" w:space="0" w:color="auto"/>
              <w:bottom w:val="single" w:sz="4" w:space="0" w:color="auto"/>
            </w:tcBorders>
          </w:tcPr>
          <w:p w14:paraId="2FBE6196" w14:textId="77777777" w:rsidR="00A23C2A" w:rsidRPr="00CF31E0" w:rsidRDefault="00A23C2A"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Number</w:t>
            </w:r>
          </w:p>
        </w:tc>
      </w:tr>
      <w:tr w:rsidR="007F558A" w:rsidRPr="00CF31E0" w14:paraId="4330FCA3" w14:textId="77777777" w:rsidTr="00603CB7">
        <w:trPr>
          <w:cantSplit/>
        </w:trPr>
        <w:tc>
          <w:tcPr>
            <w:tcW w:w="5350" w:type="dxa"/>
            <w:tcBorders>
              <w:top w:val="single" w:sz="4" w:space="0" w:color="auto"/>
              <w:bottom w:val="nil"/>
            </w:tcBorders>
          </w:tcPr>
          <w:p w14:paraId="1BF778A7" w14:textId="77777777" w:rsidR="00A23C2A" w:rsidRPr="00CF31E0" w:rsidRDefault="00A23C2A"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Always </w:t>
            </w:r>
          </w:p>
        </w:tc>
        <w:tc>
          <w:tcPr>
            <w:tcW w:w="1137" w:type="dxa"/>
            <w:tcBorders>
              <w:top w:val="single" w:sz="4" w:space="0" w:color="auto"/>
              <w:bottom w:val="nil"/>
            </w:tcBorders>
          </w:tcPr>
          <w:p w14:paraId="7FDC5836" w14:textId="423A324B" w:rsidR="00A23C2A" w:rsidRPr="00CF31E0" w:rsidRDefault="008D5D64"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  </w:t>
            </w:r>
            <w:r w:rsidR="00A23C2A" w:rsidRPr="00CF31E0">
              <w:rPr>
                <w:rFonts w:eastAsia="Calibri"/>
                <w:color w:val="000000" w:themeColor="text1"/>
                <w:sz w:val="22"/>
                <w:szCs w:val="22"/>
                <w:lang w:eastAsia="en-US"/>
              </w:rPr>
              <w:t>21</w:t>
            </w:r>
          </w:p>
        </w:tc>
      </w:tr>
      <w:tr w:rsidR="007F558A" w:rsidRPr="00CF31E0" w14:paraId="7E8AD0AE" w14:textId="77777777" w:rsidTr="00603CB7">
        <w:trPr>
          <w:cantSplit/>
        </w:trPr>
        <w:tc>
          <w:tcPr>
            <w:tcW w:w="5350" w:type="dxa"/>
            <w:tcBorders>
              <w:top w:val="nil"/>
            </w:tcBorders>
          </w:tcPr>
          <w:p w14:paraId="4958DE25" w14:textId="77777777" w:rsidR="00A23C2A" w:rsidRPr="00CF31E0" w:rsidRDefault="00A23C2A"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Sometimes</w:t>
            </w:r>
          </w:p>
        </w:tc>
        <w:tc>
          <w:tcPr>
            <w:tcW w:w="1137" w:type="dxa"/>
            <w:tcBorders>
              <w:top w:val="nil"/>
            </w:tcBorders>
          </w:tcPr>
          <w:p w14:paraId="714EFE9D" w14:textId="05674804" w:rsidR="00A23C2A" w:rsidRPr="00CF31E0" w:rsidRDefault="008D5D64"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  </w:t>
            </w:r>
            <w:r w:rsidR="00A23C2A" w:rsidRPr="00CF31E0">
              <w:rPr>
                <w:rFonts w:eastAsia="Calibri"/>
                <w:color w:val="000000" w:themeColor="text1"/>
                <w:sz w:val="22"/>
                <w:szCs w:val="22"/>
                <w:lang w:eastAsia="en-US"/>
              </w:rPr>
              <w:t>89</w:t>
            </w:r>
          </w:p>
        </w:tc>
      </w:tr>
      <w:tr w:rsidR="007F558A" w:rsidRPr="00CF31E0" w14:paraId="4A8198E1" w14:textId="77777777" w:rsidTr="00603CB7">
        <w:trPr>
          <w:cantSplit/>
        </w:trPr>
        <w:tc>
          <w:tcPr>
            <w:tcW w:w="5350" w:type="dxa"/>
          </w:tcPr>
          <w:p w14:paraId="2E74A8F6" w14:textId="77777777" w:rsidR="00A23C2A" w:rsidRPr="00CF31E0" w:rsidRDefault="00A23C2A"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Rarely</w:t>
            </w:r>
          </w:p>
        </w:tc>
        <w:tc>
          <w:tcPr>
            <w:tcW w:w="1137" w:type="dxa"/>
          </w:tcPr>
          <w:p w14:paraId="4C82A1AF" w14:textId="77777777" w:rsidR="00A23C2A" w:rsidRPr="00CF31E0" w:rsidRDefault="00A23C2A" w:rsidP="00603CB7">
            <w:pPr>
              <w:keepNext/>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178</w:t>
            </w:r>
          </w:p>
        </w:tc>
      </w:tr>
      <w:tr w:rsidR="007F558A" w:rsidRPr="00CF31E0" w14:paraId="77954494" w14:textId="77777777" w:rsidTr="00603CB7">
        <w:trPr>
          <w:cantSplit/>
        </w:trPr>
        <w:tc>
          <w:tcPr>
            <w:tcW w:w="5350" w:type="dxa"/>
          </w:tcPr>
          <w:p w14:paraId="68D2D590" w14:textId="77777777" w:rsidR="00A23C2A" w:rsidRPr="00CF31E0" w:rsidRDefault="00A23C2A"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Never </w:t>
            </w:r>
          </w:p>
        </w:tc>
        <w:tc>
          <w:tcPr>
            <w:tcW w:w="1137" w:type="dxa"/>
          </w:tcPr>
          <w:p w14:paraId="7B57EFBE" w14:textId="77777777" w:rsidR="00A23C2A" w:rsidRPr="00CF31E0" w:rsidRDefault="00A23C2A" w:rsidP="00603CB7">
            <w:pPr>
              <w:keepNext/>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361</w:t>
            </w:r>
          </w:p>
        </w:tc>
      </w:tr>
    </w:tbl>
    <w:p w14:paraId="3474EC02" w14:textId="025EC02B" w:rsidR="00A23C2A" w:rsidRPr="00CF31E0" w:rsidRDefault="00A23C2A" w:rsidP="00730917">
      <w:pPr>
        <w:pStyle w:val="Tablecaption"/>
      </w:pPr>
      <w:bookmarkStart w:id="457" w:name="_Toc522527425"/>
      <w:bookmarkStart w:id="458" w:name="_Toc522628837"/>
      <w:bookmarkStart w:id="459" w:name="_Toc522629001"/>
      <w:bookmarkStart w:id="460" w:name="_Toc6473098"/>
      <w:r w:rsidRPr="00CF31E0">
        <w:t xml:space="preserve">Table </w:t>
      </w:r>
      <w:r w:rsidR="005C44A0" w:rsidRPr="00CF31E0">
        <w:t>7</w:t>
      </w:r>
      <w:r w:rsidR="00404887" w:rsidRPr="00CF31E0">
        <w:t>.</w:t>
      </w:r>
      <w:r w:rsidRPr="00CF31E0">
        <w:t>21: Participants’ selection of the choices provided in Q7.</w:t>
      </w:r>
      <w:bookmarkEnd w:id="457"/>
      <w:bookmarkEnd w:id="458"/>
      <w:bookmarkEnd w:id="459"/>
      <w:bookmarkEnd w:id="460"/>
    </w:p>
    <w:p w14:paraId="79545DCF" w14:textId="17A4570C" w:rsidR="00A23C2A" w:rsidRPr="00CF31E0" w:rsidRDefault="00A23C2A" w:rsidP="00603CB7">
      <w:pPr>
        <w:pStyle w:val="Paragraph"/>
      </w:pPr>
      <w:r w:rsidRPr="00CF31E0">
        <w:t xml:space="preserve">The above table illustrates that, first; 21 participants perceived HHs to </w:t>
      </w:r>
      <w:r w:rsidRPr="00CF31E0">
        <w:rPr>
          <w:i/>
          <w:iCs/>
        </w:rPr>
        <w:t>always</w:t>
      </w:r>
      <w:r w:rsidRPr="00CF31E0">
        <w:t xml:space="preserve"> speak the UBH dialect. Second, 89 participants perceived HHs to </w:t>
      </w:r>
      <w:r w:rsidRPr="00CF31E0">
        <w:rPr>
          <w:i/>
          <w:iCs/>
        </w:rPr>
        <w:t>sometimes</w:t>
      </w:r>
      <w:r w:rsidRPr="00CF31E0">
        <w:t xml:space="preserve"> speak the UBH dialect. Third, 178 participants perceived that HH </w:t>
      </w:r>
      <w:r w:rsidRPr="00CF31E0">
        <w:lastRenderedPageBreak/>
        <w:t xml:space="preserve">people </w:t>
      </w:r>
      <w:r w:rsidRPr="00CF31E0">
        <w:rPr>
          <w:i/>
          <w:iCs/>
        </w:rPr>
        <w:t>rarely</w:t>
      </w:r>
      <w:r w:rsidRPr="00CF31E0">
        <w:t xml:space="preserve"> speak the UBH dialect. Finally, 361 participants perceived that HH people </w:t>
      </w:r>
      <w:r w:rsidRPr="00CF31E0">
        <w:rPr>
          <w:i/>
          <w:iCs/>
        </w:rPr>
        <w:t>never</w:t>
      </w:r>
      <w:r w:rsidRPr="00CF31E0">
        <w:t xml:space="preserve"> speak the UBH dialect. Overall, the results indicate that the majority of participants thought that HH people </w:t>
      </w:r>
      <w:r w:rsidRPr="00CF31E0">
        <w:rPr>
          <w:i/>
          <w:iCs/>
        </w:rPr>
        <w:t>rarely</w:t>
      </w:r>
      <w:r w:rsidRPr="00CF31E0">
        <w:t xml:space="preserve"> or </w:t>
      </w:r>
      <w:r w:rsidRPr="00CF31E0">
        <w:rPr>
          <w:i/>
          <w:iCs/>
        </w:rPr>
        <w:t xml:space="preserve">never </w:t>
      </w:r>
      <w:r w:rsidRPr="00CF31E0">
        <w:t xml:space="preserve">speak the UBH dialect. </w:t>
      </w:r>
    </w:p>
    <w:p w14:paraId="71289DE3" w14:textId="07FEF493" w:rsidR="00A23C2A" w:rsidRPr="00CF31E0" w:rsidRDefault="005C44A0" w:rsidP="00E87209">
      <w:pPr>
        <w:pStyle w:val="Bhead"/>
      </w:pPr>
      <w:bookmarkStart w:id="461" w:name="_Toc6472716"/>
      <w:r w:rsidRPr="00CF31E0">
        <w:t>7</w:t>
      </w:r>
      <w:r w:rsidR="00404887" w:rsidRPr="00CF31E0">
        <w:t>.8.1.</w:t>
      </w:r>
      <w:r w:rsidR="00F106E7" w:rsidRPr="00CF31E0">
        <w:tab/>
      </w:r>
      <w:r w:rsidR="00A23C2A" w:rsidRPr="00CF31E0">
        <w:t>Effects of demographic variables on the data</w:t>
      </w:r>
      <w:bookmarkEnd w:id="461"/>
    </w:p>
    <w:p w14:paraId="3E3E044D" w14:textId="78D0381D" w:rsidR="00A23C2A" w:rsidRPr="00CF31E0" w:rsidRDefault="00A23C2A" w:rsidP="00603CB7">
      <w:pPr>
        <w:pStyle w:val="Paragraph"/>
      </w:pPr>
      <w:r w:rsidRPr="00CF31E0">
        <w:t xml:space="preserve">I conducted a series of chi-square tests and the results revealed that the following demographic variables affected the results: gender, social group, mother’s social group and spouse’s social group. </w:t>
      </w:r>
    </w:p>
    <w:p w14:paraId="35D7D2CE" w14:textId="5AF9570D" w:rsidR="00A23C2A" w:rsidRPr="00CF31E0" w:rsidRDefault="005C44A0" w:rsidP="00E87209">
      <w:pPr>
        <w:pStyle w:val="Chead"/>
      </w:pPr>
      <w:bookmarkStart w:id="462" w:name="_Toc6472717"/>
      <w:r w:rsidRPr="00CF31E0">
        <w:t>7</w:t>
      </w:r>
      <w:r w:rsidR="00404887" w:rsidRPr="00CF31E0">
        <w:t>.8.1.1.</w:t>
      </w:r>
      <w:r w:rsidR="00F106E7" w:rsidRPr="00CF31E0">
        <w:tab/>
      </w:r>
      <w:r w:rsidR="00A23C2A" w:rsidRPr="00CF31E0">
        <w:t>Gender</w:t>
      </w:r>
      <w:bookmarkEnd w:id="462"/>
    </w:p>
    <w:p w14:paraId="33BEEE98" w14:textId="2A8D63EC" w:rsidR="00A23C2A" w:rsidRPr="00CF31E0" w:rsidRDefault="00A23C2A" w:rsidP="00603CB7">
      <w:pPr>
        <w:pStyle w:val="Paragraph"/>
      </w:pPr>
      <w:r w:rsidRPr="00CF31E0">
        <w:t xml:space="preserve">The chi-square test revealed that the answers of male and female participants to the above question differed from each other. See Table </w:t>
      </w:r>
      <w:r w:rsidR="005C44A0" w:rsidRPr="00CF31E0">
        <w:t>7</w:t>
      </w:r>
      <w:r w:rsidR="00404887" w:rsidRPr="00CF31E0">
        <w:t>.</w:t>
      </w:r>
      <w:r w:rsidRPr="00CF31E0">
        <w:t xml:space="preserve">22. </w:t>
      </w:r>
    </w:p>
    <w:tbl>
      <w:tblPr>
        <w:tblW w:w="7139" w:type="dxa"/>
        <w:tblLayout w:type="fixed"/>
        <w:tblLook w:val="04A0" w:firstRow="1" w:lastRow="0" w:firstColumn="1" w:lastColumn="0" w:noHBand="0" w:noVBand="1"/>
      </w:tblPr>
      <w:tblGrid>
        <w:gridCol w:w="2235"/>
        <w:gridCol w:w="1134"/>
        <w:gridCol w:w="425"/>
        <w:gridCol w:w="3345"/>
      </w:tblGrid>
      <w:tr w:rsidR="00CA6CAC" w:rsidRPr="00CF31E0" w14:paraId="38FAA174" w14:textId="77777777" w:rsidTr="00374582">
        <w:trPr>
          <w:trHeight w:val="567"/>
        </w:trPr>
        <w:tc>
          <w:tcPr>
            <w:tcW w:w="2235" w:type="dxa"/>
            <w:tcBorders>
              <w:top w:val="single" w:sz="8" w:space="0" w:color="auto"/>
              <w:bottom w:val="single" w:sz="8" w:space="0" w:color="auto"/>
            </w:tcBorders>
            <w:shd w:val="clear" w:color="auto" w:fill="auto"/>
            <w:hideMark/>
          </w:tcPr>
          <w:p w14:paraId="2493E0BB" w14:textId="77777777" w:rsidR="00CA6CAC" w:rsidRPr="00CF31E0" w:rsidRDefault="00CA6CAC" w:rsidP="00603CB7">
            <w:pPr>
              <w:spacing w:before="80" w:after="200" w:line="276" w:lineRule="auto"/>
              <w:rPr>
                <w:rFonts w:eastAsia="Calibri"/>
                <w:color w:val="000000" w:themeColor="text1"/>
                <w:sz w:val="22"/>
                <w:szCs w:val="22"/>
                <w:lang w:val="en-US" w:eastAsia="en-US"/>
              </w:rPr>
            </w:pPr>
          </w:p>
        </w:tc>
        <w:tc>
          <w:tcPr>
            <w:tcW w:w="1134" w:type="dxa"/>
            <w:tcBorders>
              <w:top w:val="single" w:sz="8" w:space="0" w:color="auto"/>
              <w:bottom w:val="single" w:sz="8" w:space="0" w:color="auto"/>
            </w:tcBorders>
            <w:shd w:val="clear" w:color="auto" w:fill="auto"/>
            <w:hideMark/>
          </w:tcPr>
          <w:p w14:paraId="58211EE1" w14:textId="77777777" w:rsidR="00CA6CAC" w:rsidRPr="00CF31E0" w:rsidRDefault="00CA6CAC" w:rsidP="00603CB7">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425" w:type="dxa"/>
            <w:tcBorders>
              <w:top w:val="single" w:sz="8" w:space="0" w:color="auto"/>
              <w:bottom w:val="single" w:sz="8" w:space="0" w:color="auto"/>
            </w:tcBorders>
            <w:shd w:val="clear" w:color="auto" w:fill="auto"/>
          </w:tcPr>
          <w:p w14:paraId="09AA7961" w14:textId="77777777" w:rsidR="00CA6CAC" w:rsidRPr="00CF31E0" w:rsidRDefault="00CA6CAC" w:rsidP="00603CB7">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df</w:t>
            </w:r>
          </w:p>
        </w:tc>
        <w:tc>
          <w:tcPr>
            <w:tcW w:w="3345" w:type="dxa"/>
            <w:tcBorders>
              <w:top w:val="single" w:sz="8" w:space="0" w:color="auto"/>
              <w:bottom w:val="single" w:sz="8" w:space="0" w:color="auto"/>
            </w:tcBorders>
            <w:shd w:val="clear" w:color="auto" w:fill="auto"/>
          </w:tcPr>
          <w:p w14:paraId="6BFF3755" w14:textId="77777777" w:rsidR="00CA6CAC" w:rsidRPr="00CF31E0" w:rsidRDefault="00CA6CAC" w:rsidP="00603CB7">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CA6CAC" w:rsidRPr="00CF31E0" w14:paraId="515E2E5E" w14:textId="77777777" w:rsidTr="00603CB7">
        <w:trPr>
          <w:trHeight w:val="567"/>
        </w:trPr>
        <w:tc>
          <w:tcPr>
            <w:tcW w:w="2235" w:type="dxa"/>
            <w:tcBorders>
              <w:top w:val="single" w:sz="8" w:space="0" w:color="auto"/>
            </w:tcBorders>
            <w:shd w:val="clear" w:color="auto" w:fill="auto"/>
            <w:vAlign w:val="bottom"/>
          </w:tcPr>
          <w:p w14:paraId="0210B670" w14:textId="77777777" w:rsidR="00CA6CAC" w:rsidRPr="00CF31E0" w:rsidRDefault="00CA6CAC" w:rsidP="008D5D6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56338B40" w14:textId="77777777" w:rsidR="00CA6CAC" w:rsidRPr="00CF31E0" w:rsidRDefault="00CA6CAC" w:rsidP="008D5D6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8.749</w:t>
            </w:r>
            <w:r w:rsidRPr="00CF31E0">
              <w:rPr>
                <w:rFonts w:eastAsia="Calibri"/>
                <w:color w:val="000000" w:themeColor="text1"/>
                <w:sz w:val="22"/>
                <w:szCs w:val="22"/>
                <w:vertAlign w:val="superscript"/>
                <w:lang w:eastAsia="en-US"/>
              </w:rPr>
              <w:t>a</w:t>
            </w:r>
          </w:p>
        </w:tc>
        <w:tc>
          <w:tcPr>
            <w:tcW w:w="425" w:type="dxa"/>
            <w:tcBorders>
              <w:top w:val="single" w:sz="8" w:space="0" w:color="auto"/>
            </w:tcBorders>
            <w:shd w:val="clear" w:color="auto" w:fill="auto"/>
            <w:vAlign w:val="bottom"/>
          </w:tcPr>
          <w:p w14:paraId="127208AC" w14:textId="77777777" w:rsidR="00CA6CAC" w:rsidRPr="00CF31E0" w:rsidRDefault="00CA6CAC" w:rsidP="008D5D64">
            <w:pPr>
              <w:spacing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3</w:t>
            </w:r>
          </w:p>
        </w:tc>
        <w:tc>
          <w:tcPr>
            <w:tcW w:w="3345" w:type="dxa"/>
            <w:tcBorders>
              <w:top w:val="single" w:sz="8" w:space="0" w:color="auto"/>
            </w:tcBorders>
            <w:shd w:val="clear" w:color="auto" w:fill="auto"/>
            <w:vAlign w:val="bottom"/>
          </w:tcPr>
          <w:p w14:paraId="3BC3609D" w14:textId="77777777" w:rsidR="00CA6CAC" w:rsidRPr="00CF31E0" w:rsidRDefault="00CA6CAC" w:rsidP="008D5D6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.033</w:t>
            </w:r>
          </w:p>
        </w:tc>
      </w:tr>
      <w:tr w:rsidR="00CA6CAC" w:rsidRPr="00CF31E0" w14:paraId="06D7F67E" w14:textId="77777777" w:rsidTr="00603CB7">
        <w:trPr>
          <w:trHeight w:val="567"/>
        </w:trPr>
        <w:tc>
          <w:tcPr>
            <w:tcW w:w="2235" w:type="dxa"/>
            <w:shd w:val="clear" w:color="auto" w:fill="auto"/>
            <w:vAlign w:val="bottom"/>
          </w:tcPr>
          <w:p w14:paraId="2525A2FE" w14:textId="77777777" w:rsidR="00CA6CAC" w:rsidRPr="00CF31E0" w:rsidRDefault="00CA6CAC" w:rsidP="008D5D64">
            <w:pPr>
              <w:spacing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Likelihood Ratio</w:t>
            </w:r>
          </w:p>
        </w:tc>
        <w:tc>
          <w:tcPr>
            <w:tcW w:w="1134" w:type="dxa"/>
            <w:shd w:val="clear" w:color="auto" w:fill="auto"/>
            <w:vAlign w:val="bottom"/>
          </w:tcPr>
          <w:p w14:paraId="2FEAB1C2" w14:textId="77777777" w:rsidR="00CA6CAC" w:rsidRPr="00CF31E0" w:rsidRDefault="00CA6CAC" w:rsidP="008D5D6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9.005</w:t>
            </w:r>
          </w:p>
        </w:tc>
        <w:tc>
          <w:tcPr>
            <w:tcW w:w="425" w:type="dxa"/>
            <w:shd w:val="clear" w:color="auto" w:fill="auto"/>
            <w:vAlign w:val="bottom"/>
          </w:tcPr>
          <w:p w14:paraId="59B21DE4" w14:textId="77777777" w:rsidR="00CA6CAC" w:rsidRPr="00CF31E0" w:rsidRDefault="00CA6CAC" w:rsidP="008D5D64">
            <w:pPr>
              <w:spacing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3</w:t>
            </w:r>
          </w:p>
        </w:tc>
        <w:tc>
          <w:tcPr>
            <w:tcW w:w="3345" w:type="dxa"/>
            <w:shd w:val="clear" w:color="auto" w:fill="auto"/>
            <w:vAlign w:val="bottom"/>
          </w:tcPr>
          <w:p w14:paraId="2131996F" w14:textId="77777777" w:rsidR="00CA6CAC" w:rsidRPr="00CF31E0" w:rsidRDefault="00CA6CAC" w:rsidP="008D5D6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.029</w:t>
            </w:r>
          </w:p>
        </w:tc>
      </w:tr>
      <w:tr w:rsidR="00CA6CAC" w:rsidRPr="00CF31E0" w14:paraId="0655B1AA" w14:textId="77777777" w:rsidTr="00603CB7">
        <w:trPr>
          <w:trHeight w:val="567"/>
        </w:trPr>
        <w:tc>
          <w:tcPr>
            <w:tcW w:w="2235" w:type="dxa"/>
            <w:tcBorders>
              <w:bottom w:val="single" w:sz="8" w:space="0" w:color="auto"/>
            </w:tcBorders>
            <w:shd w:val="clear" w:color="auto" w:fill="auto"/>
            <w:vAlign w:val="bottom"/>
          </w:tcPr>
          <w:p w14:paraId="2617F7F9" w14:textId="77777777" w:rsidR="00CA6CAC" w:rsidRPr="00CF31E0" w:rsidRDefault="00CA6CAC" w:rsidP="008D5D6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0090C7C7" w14:textId="77777777" w:rsidR="00CA6CAC" w:rsidRPr="00CF31E0" w:rsidRDefault="00CA6CAC" w:rsidP="008D5D6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425" w:type="dxa"/>
            <w:tcBorders>
              <w:bottom w:val="single" w:sz="8" w:space="0" w:color="auto"/>
            </w:tcBorders>
            <w:shd w:val="clear" w:color="auto" w:fill="auto"/>
            <w:vAlign w:val="bottom"/>
          </w:tcPr>
          <w:p w14:paraId="4D4CD93C" w14:textId="77777777" w:rsidR="00CA6CAC" w:rsidRPr="00CF31E0" w:rsidRDefault="00CA6CAC" w:rsidP="008D5D64">
            <w:pPr>
              <w:spacing w:after="200" w:line="276" w:lineRule="auto"/>
              <w:rPr>
                <w:rFonts w:eastAsia="Calibri"/>
                <w:color w:val="000000" w:themeColor="text1"/>
                <w:sz w:val="22"/>
                <w:szCs w:val="22"/>
                <w:lang w:val="en-US" w:eastAsia="en-US"/>
              </w:rPr>
            </w:pPr>
          </w:p>
        </w:tc>
        <w:tc>
          <w:tcPr>
            <w:tcW w:w="3345" w:type="dxa"/>
            <w:tcBorders>
              <w:bottom w:val="single" w:sz="8" w:space="0" w:color="auto"/>
            </w:tcBorders>
            <w:shd w:val="clear" w:color="auto" w:fill="auto"/>
            <w:vAlign w:val="bottom"/>
          </w:tcPr>
          <w:p w14:paraId="1836B8A1" w14:textId="77777777" w:rsidR="00CA6CAC" w:rsidRPr="00CF31E0" w:rsidRDefault="00CA6CAC" w:rsidP="008D5D64">
            <w:pPr>
              <w:spacing w:after="200" w:line="276" w:lineRule="auto"/>
              <w:rPr>
                <w:rFonts w:eastAsia="Calibri"/>
                <w:color w:val="000000" w:themeColor="text1"/>
                <w:sz w:val="22"/>
                <w:szCs w:val="22"/>
                <w:lang w:eastAsia="en-US"/>
              </w:rPr>
            </w:pPr>
          </w:p>
        </w:tc>
      </w:tr>
      <w:tr w:rsidR="00CA6CAC" w:rsidRPr="00CF31E0" w14:paraId="6C3E5C7F" w14:textId="77777777" w:rsidTr="00374582">
        <w:trPr>
          <w:trHeight w:val="567"/>
        </w:trPr>
        <w:tc>
          <w:tcPr>
            <w:tcW w:w="7139" w:type="dxa"/>
            <w:gridSpan w:val="4"/>
            <w:tcBorders>
              <w:top w:val="single" w:sz="8" w:space="0" w:color="auto"/>
              <w:bottom w:val="single" w:sz="8" w:space="0" w:color="auto"/>
            </w:tcBorders>
            <w:shd w:val="clear" w:color="auto" w:fill="auto"/>
          </w:tcPr>
          <w:p w14:paraId="208D6A93" w14:textId="7FAFD21A" w:rsidR="00CA6CAC" w:rsidRPr="00CF31E0" w:rsidRDefault="00CA6CAC" w:rsidP="00CA6CAC">
            <w:pPr>
              <w:spacing w:before="80" w:after="80"/>
              <w:rPr>
                <w:rFonts w:eastAsia="Calibri"/>
                <w:color w:val="000000" w:themeColor="text1"/>
                <w:sz w:val="22"/>
                <w:szCs w:val="22"/>
                <w:lang w:eastAsia="en-US"/>
              </w:rPr>
            </w:pPr>
            <w:r w:rsidRPr="00CF31E0">
              <w:rPr>
                <w:rFonts w:eastAsia="Calibri"/>
                <w:color w:val="000000" w:themeColor="text1"/>
                <w:sz w:val="22"/>
                <w:szCs w:val="22"/>
                <w:lang w:eastAsia="en-US"/>
              </w:rPr>
              <w:t xml:space="preserve">a. 0 cells (.0%) have expected </w:t>
            </w:r>
            <w:r w:rsidR="00F03C9C" w:rsidRPr="00CF31E0">
              <w:rPr>
                <w:rFonts w:eastAsia="Calibri"/>
                <w:color w:val="000000" w:themeColor="text1"/>
                <w:sz w:val="22"/>
                <w:szCs w:val="22"/>
                <w:lang w:eastAsia="en-US"/>
              </w:rPr>
              <w:t>Count</w:t>
            </w:r>
            <w:r w:rsidRPr="00CF31E0">
              <w:rPr>
                <w:rFonts w:eastAsia="Calibri"/>
                <w:color w:val="000000" w:themeColor="text1"/>
                <w:sz w:val="22"/>
                <w:szCs w:val="22"/>
                <w:lang w:eastAsia="en-US"/>
              </w:rPr>
              <w:t xml:space="preserve"> less than 5. The minimum expected </w:t>
            </w:r>
            <w:r w:rsidR="00F03C9C" w:rsidRPr="00CF31E0">
              <w:rPr>
                <w:rFonts w:eastAsia="Calibri"/>
                <w:color w:val="000000" w:themeColor="text1"/>
                <w:sz w:val="22"/>
                <w:szCs w:val="22"/>
                <w:lang w:eastAsia="en-US"/>
              </w:rPr>
              <w:t>Count</w:t>
            </w:r>
            <w:r w:rsidRPr="00CF31E0">
              <w:rPr>
                <w:rFonts w:eastAsia="Calibri"/>
                <w:color w:val="000000" w:themeColor="text1"/>
                <w:sz w:val="22"/>
                <w:szCs w:val="22"/>
                <w:lang w:eastAsia="en-US"/>
              </w:rPr>
              <w:t xml:space="preserve"> is 8.93.</w:t>
            </w:r>
          </w:p>
        </w:tc>
      </w:tr>
    </w:tbl>
    <w:p w14:paraId="2CD2DB19" w14:textId="0D3F0B49" w:rsidR="00A23C2A" w:rsidRPr="00CF31E0" w:rsidRDefault="00A23C2A" w:rsidP="008D5D64">
      <w:pPr>
        <w:pStyle w:val="Tablecaption"/>
      </w:pPr>
      <w:bookmarkStart w:id="463" w:name="_Toc522527426"/>
      <w:bookmarkStart w:id="464" w:name="_Toc522628838"/>
      <w:bookmarkStart w:id="465" w:name="_Toc522629002"/>
      <w:bookmarkStart w:id="466" w:name="_Toc6473099"/>
      <w:r w:rsidRPr="00CF31E0">
        <w:t xml:space="preserve">Table </w:t>
      </w:r>
      <w:r w:rsidR="008E0FC8" w:rsidRPr="00CF31E0">
        <w:t>7</w:t>
      </w:r>
      <w:r w:rsidR="00404887" w:rsidRPr="00CF31E0">
        <w:t>.</w:t>
      </w:r>
      <w:r w:rsidRPr="00CF31E0">
        <w:t>22: Chi-square test results for spouse’s social group demographic variable.</w:t>
      </w:r>
      <w:bookmarkEnd w:id="463"/>
      <w:bookmarkEnd w:id="464"/>
      <w:bookmarkEnd w:id="465"/>
      <w:bookmarkEnd w:id="466"/>
    </w:p>
    <w:p w14:paraId="28915F95" w14:textId="1CF2D2CB" w:rsidR="00A23C2A" w:rsidRPr="00CF31E0" w:rsidRDefault="00A23C2A" w:rsidP="00603CB7">
      <w:pPr>
        <w:pStyle w:val="Paragraph"/>
        <w:spacing w:after="0"/>
      </w:pPr>
      <w:r w:rsidRPr="00CF31E0">
        <w:t xml:space="preserve">Table </w:t>
      </w:r>
      <w:r w:rsidR="008E0FC8" w:rsidRPr="00CF31E0">
        <w:t>7</w:t>
      </w:r>
      <w:r w:rsidR="00404887" w:rsidRPr="00CF31E0">
        <w:t>.</w:t>
      </w:r>
      <w:r w:rsidRPr="00CF31E0">
        <w:t xml:space="preserve">22 shows that the p value is &lt;.033 with a corrected value of 8.74. Table </w:t>
      </w:r>
      <w:r w:rsidR="008E0FC8" w:rsidRPr="00CF31E0">
        <w:t>7</w:t>
      </w:r>
      <w:r w:rsidR="00404887" w:rsidRPr="00CF31E0">
        <w:t>.</w:t>
      </w:r>
      <w:r w:rsidRPr="00CF31E0">
        <w:t>23 illustrates where the difference lies between the two gender groups.</w:t>
      </w:r>
    </w:p>
    <w:p w14:paraId="13A50514" w14:textId="77777777" w:rsidR="00330B2A" w:rsidRPr="00CF31E0" w:rsidRDefault="00330B2A" w:rsidP="00603CB7">
      <w:pPr>
        <w:pStyle w:val="Paragraph"/>
        <w:spacing w:after="0"/>
      </w:pPr>
    </w:p>
    <w:p w14:paraId="00C6109A" w14:textId="77777777" w:rsidR="00330B2A" w:rsidRPr="00CF31E0" w:rsidRDefault="00330B2A" w:rsidP="00603CB7">
      <w:pPr>
        <w:pStyle w:val="Paragraph"/>
        <w:spacing w:after="0"/>
      </w:pPr>
    </w:p>
    <w:p w14:paraId="505C8087" w14:textId="77777777" w:rsidR="00330B2A" w:rsidRPr="00CF31E0" w:rsidRDefault="00330B2A" w:rsidP="00603CB7">
      <w:pPr>
        <w:pStyle w:val="Paragraph"/>
        <w:spacing w:after="0"/>
      </w:pPr>
    </w:p>
    <w:p w14:paraId="19D7E44B" w14:textId="77777777" w:rsidR="00330B2A" w:rsidRPr="00CF31E0" w:rsidRDefault="00330B2A" w:rsidP="00603CB7">
      <w:pPr>
        <w:pStyle w:val="Paragraph"/>
        <w:spacing w:after="0"/>
      </w:pPr>
    </w:p>
    <w:p w14:paraId="6E0A5DB9" w14:textId="77777777" w:rsidR="00330B2A" w:rsidRPr="00CF31E0" w:rsidRDefault="00330B2A" w:rsidP="00603CB7">
      <w:pPr>
        <w:pStyle w:val="Paragraph"/>
        <w:spacing w:after="0"/>
      </w:pPr>
    </w:p>
    <w:p w14:paraId="56566398" w14:textId="77777777" w:rsidR="00330B2A" w:rsidRPr="00CF31E0" w:rsidRDefault="00330B2A" w:rsidP="00603CB7">
      <w:pPr>
        <w:pStyle w:val="Paragraph"/>
        <w:spacing w:after="0"/>
      </w:pPr>
    </w:p>
    <w:tbl>
      <w:tblPr>
        <w:tblW w:w="7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6"/>
        <w:gridCol w:w="850"/>
        <w:gridCol w:w="1516"/>
        <w:gridCol w:w="753"/>
        <w:gridCol w:w="709"/>
        <w:gridCol w:w="724"/>
        <w:gridCol w:w="1118"/>
        <w:gridCol w:w="850"/>
      </w:tblGrid>
      <w:tr w:rsidR="00F6645B" w:rsidRPr="00CF31E0" w14:paraId="2C01C68B" w14:textId="77777777" w:rsidTr="00F6645B">
        <w:trPr>
          <w:cantSplit/>
        </w:trPr>
        <w:tc>
          <w:tcPr>
            <w:tcW w:w="3222" w:type="dxa"/>
            <w:gridSpan w:val="3"/>
            <w:vMerge w:val="restart"/>
            <w:shd w:val="clear" w:color="auto" w:fill="FFFFFF"/>
            <w:vAlign w:val="bottom"/>
          </w:tcPr>
          <w:p w14:paraId="0B6DCD46"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lang w:eastAsia="en-US"/>
              </w:rPr>
            </w:pPr>
          </w:p>
        </w:tc>
        <w:tc>
          <w:tcPr>
            <w:tcW w:w="3304" w:type="dxa"/>
            <w:gridSpan w:val="4"/>
            <w:shd w:val="clear" w:color="auto" w:fill="FFFFFF"/>
            <w:vAlign w:val="bottom"/>
          </w:tcPr>
          <w:p w14:paraId="0E689E98" w14:textId="2540A2C0" w:rsidR="00FF344B" w:rsidRPr="00CF31E0" w:rsidRDefault="00F6645B" w:rsidP="00CA6CAC">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xml:space="preserve">To what </w:t>
            </w:r>
            <w:r w:rsidR="00CA6CAC" w:rsidRPr="00CF31E0">
              <w:rPr>
                <w:rFonts w:asciiTheme="majorBidi" w:hAnsiTheme="majorBidi" w:cstheme="majorBidi"/>
                <w:color w:val="000000" w:themeColor="text1"/>
                <w:sz w:val="22"/>
                <w:szCs w:val="22"/>
                <w:lang w:eastAsia="en-US"/>
              </w:rPr>
              <w:t>extent</w:t>
            </w:r>
            <w:r w:rsidRPr="00CF31E0">
              <w:rPr>
                <w:rFonts w:asciiTheme="majorBidi" w:hAnsiTheme="majorBidi" w:cstheme="majorBidi"/>
                <w:color w:val="000000" w:themeColor="text1"/>
                <w:sz w:val="22"/>
                <w:szCs w:val="22"/>
                <w:lang w:eastAsia="en-US"/>
              </w:rPr>
              <w:t xml:space="preserve"> do </w:t>
            </w:r>
            <w:r w:rsidR="00FF4DC7" w:rsidRPr="00CF31E0">
              <w:rPr>
                <w:rFonts w:asciiTheme="majorBidi" w:hAnsiTheme="majorBidi" w:cstheme="majorBidi"/>
                <w:color w:val="000000" w:themeColor="text1"/>
                <w:sz w:val="22"/>
                <w:szCs w:val="22"/>
                <w:lang w:eastAsia="en-US"/>
              </w:rPr>
              <w:t>HH</w:t>
            </w:r>
            <w:r w:rsidRPr="00CF31E0">
              <w:rPr>
                <w:rFonts w:asciiTheme="majorBidi" w:hAnsiTheme="majorBidi" w:cstheme="majorBidi"/>
                <w:color w:val="000000" w:themeColor="text1"/>
                <w:sz w:val="22"/>
                <w:szCs w:val="22"/>
                <w:lang w:eastAsia="en-US"/>
              </w:rPr>
              <w:t xml:space="preserve"> speak </w:t>
            </w:r>
            <w:r w:rsidR="00FF4DC7" w:rsidRPr="00CF31E0">
              <w:rPr>
                <w:rFonts w:asciiTheme="majorBidi" w:hAnsiTheme="majorBidi" w:cstheme="majorBidi"/>
                <w:color w:val="000000" w:themeColor="text1"/>
                <w:sz w:val="22"/>
                <w:szCs w:val="22"/>
                <w:lang w:eastAsia="en-US"/>
              </w:rPr>
              <w:t>UBH</w:t>
            </w:r>
            <w:r w:rsidRPr="00CF31E0">
              <w:rPr>
                <w:rFonts w:asciiTheme="majorBidi" w:hAnsiTheme="majorBidi" w:cstheme="majorBidi"/>
                <w:color w:val="000000" w:themeColor="text1"/>
                <w:sz w:val="22"/>
                <w:szCs w:val="22"/>
                <w:lang w:eastAsia="en-US"/>
              </w:rPr>
              <w:t xml:space="preserve"> </w:t>
            </w:r>
            <w:r w:rsidR="00FF344B" w:rsidRPr="00CF31E0">
              <w:rPr>
                <w:rFonts w:asciiTheme="majorBidi" w:hAnsiTheme="majorBidi" w:cstheme="majorBidi"/>
                <w:color w:val="000000" w:themeColor="text1"/>
                <w:sz w:val="22"/>
                <w:szCs w:val="22"/>
                <w:lang w:eastAsia="en-US"/>
              </w:rPr>
              <w:t>dialect</w:t>
            </w:r>
          </w:p>
        </w:tc>
        <w:tc>
          <w:tcPr>
            <w:tcW w:w="850" w:type="dxa"/>
            <w:vMerge w:val="restart"/>
            <w:shd w:val="clear" w:color="auto" w:fill="FFFFFF"/>
            <w:vAlign w:val="bottom"/>
          </w:tcPr>
          <w:p w14:paraId="5E98EE7B"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Total</w:t>
            </w:r>
          </w:p>
        </w:tc>
      </w:tr>
      <w:tr w:rsidR="00F6645B" w:rsidRPr="00CF31E0" w14:paraId="186D6F2C" w14:textId="77777777" w:rsidTr="00F6645B">
        <w:trPr>
          <w:cantSplit/>
        </w:trPr>
        <w:tc>
          <w:tcPr>
            <w:tcW w:w="3222" w:type="dxa"/>
            <w:gridSpan w:val="3"/>
            <w:vMerge/>
            <w:shd w:val="clear" w:color="auto" w:fill="FFFFFF"/>
            <w:vAlign w:val="bottom"/>
          </w:tcPr>
          <w:p w14:paraId="5B2A7E83"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lang w:eastAsia="en-US"/>
              </w:rPr>
            </w:pPr>
          </w:p>
        </w:tc>
        <w:tc>
          <w:tcPr>
            <w:tcW w:w="753" w:type="dxa"/>
            <w:shd w:val="clear" w:color="auto" w:fill="FFFFFF"/>
            <w:vAlign w:val="bottom"/>
          </w:tcPr>
          <w:p w14:paraId="08445464"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always</w:t>
            </w:r>
          </w:p>
        </w:tc>
        <w:tc>
          <w:tcPr>
            <w:tcW w:w="709" w:type="dxa"/>
            <w:shd w:val="clear" w:color="auto" w:fill="FFFFFF"/>
            <w:vAlign w:val="bottom"/>
          </w:tcPr>
          <w:p w14:paraId="406629EA"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never</w:t>
            </w:r>
          </w:p>
        </w:tc>
        <w:tc>
          <w:tcPr>
            <w:tcW w:w="724" w:type="dxa"/>
            <w:shd w:val="clear" w:color="auto" w:fill="FFFFFF"/>
            <w:vAlign w:val="bottom"/>
          </w:tcPr>
          <w:p w14:paraId="2A62C895"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rarely</w:t>
            </w:r>
          </w:p>
        </w:tc>
        <w:tc>
          <w:tcPr>
            <w:tcW w:w="1118" w:type="dxa"/>
            <w:shd w:val="clear" w:color="auto" w:fill="FFFFFF"/>
            <w:vAlign w:val="bottom"/>
          </w:tcPr>
          <w:p w14:paraId="2AB5B60D"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sometimes</w:t>
            </w:r>
          </w:p>
        </w:tc>
        <w:tc>
          <w:tcPr>
            <w:tcW w:w="850" w:type="dxa"/>
            <w:vMerge/>
            <w:shd w:val="clear" w:color="auto" w:fill="FFFFFF"/>
            <w:vAlign w:val="bottom"/>
          </w:tcPr>
          <w:p w14:paraId="1815D3DC" w14:textId="77777777" w:rsidR="00FF344B" w:rsidRPr="00CF31E0" w:rsidRDefault="00FF344B" w:rsidP="00603CB7">
            <w:pPr>
              <w:widowControl w:val="0"/>
              <w:autoSpaceDE w:val="0"/>
              <w:autoSpaceDN w:val="0"/>
              <w:adjustRightInd w:val="0"/>
              <w:jc w:val="right"/>
              <w:rPr>
                <w:rFonts w:asciiTheme="majorBidi" w:hAnsiTheme="majorBidi" w:cstheme="majorBidi"/>
                <w:color w:val="000000" w:themeColor="text1"/>
                <w:sz w:val="22"/>
                <w:szCs w:val="22"/>
                <w:lang w:eastAsia="en-US"/>
              </w:rPr>
            </w:pPr>
          </w:p>
        </w:tc>
      </w:tr>
      <w:tr w:rsidR="00F6645B" w:rsidRPr="00CF31E0" w14:paraId="5B00D709" w14:textId="77777777" w:rsidTr="00F6645B">
        <w:trPr>
          <w:cantSplit/>
        </w:trPr>
        <w:tc>
          <w:tcPr>
            <w:tcW w:w="856" w:type="dxa"/>
            <w:vMerge w:val="restart"/>
            <w:shd w:val="clear" w:color="auto" w:fill="FFFFFF"/>
          </w:tcPr>
          <w:p w14:paraId="394EB311"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Gender</w:t>
            </w:r>
          </w:p>
        </w:tc>
        <w:tc>
          <w:tcPr>
            <w:tcW w:w="850" w:type="dxa"/>
            <w:vMerge w:val="restart"/>
            <w:shd w:val="clear" w:color="auto" w:fill="FFFFFF"/>
          </w:tcPr>
          <w:p w14:paraId="1B3862FA" w14:textId="5C745F0D"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Male</w:t>
            </w:r>
          </w:p>
        </w:tc>
        <w:tc>
          <w:tcPr>
            <w:tcW w:w="1516" w:type="dxa"/>
            <w:shd w:val="clear" w:color="auto" w:fill="FFFFFF"/>
          </w:tcPr>
          <w:p w14:paraId="5D39D574" w14:textId="231C31A1" w:rsidR="00FF344B" w:rsidRPr="00CF31E0" w:rsidRDefault="00F6645B" w:rsidP="00F6645B">
            <w:pPr>
              <w:widowControl w:val="0"/>
              <w:autoSpaceDE w:val="0"/>
              <w:autoSpaceDN w:val="0"/>
              <w:adjustRightInd w:val="0"/>
              <w:spacing w:line="320" w:lineRule="atLeast"/>
              <w:ind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Raw frequency</w:t>
            </w:r>
          </w:p>
        </w:tc>
        <w:tc>
          <w:tcPr>
            <w:tcW w:w="753" w:type="dxa"/>
            <w:shd w:val="clear" w:color="auto" w:fill="FFFFFF"/>
            <w:vAlign w:val="center"/>
          </w:tcPr>
          <w:p w14:paraId="0EBEABAB"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8</w:t>
            </w:r>
          </w:p>
        </w:tc>
        <w:tc>
          <w:tcPr>
            <w:tcW w:w="709" w:type="dxa"/>
            <w:shd w:val="clear" w:color="auto" w:fill="FFFFFF"/>
            <w:vAlign w:val="center"/>
          </w:tcPr>
          <w:p w14:paraId="43CC8182"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157</w:t>
            </w:r>
          </w:p>
        </w:tc>
        <w:tc>
          <w:tcPr>
            <w:tcW w:w="724" w:type="dxa"/>
            <w:shd w:val="clear" w:color="auto" w:fill="FFFFFF"/>
            <w:vAlign w:val="center"/>
          </w:tcPr>
          <w:p w14:paraId="17912F85"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85</w:t>
            </w:r>
          </w:p>
        </w:tc>
        <w:tc>
          <w:tcPr>
            <w:tcW w:w="1118" w:type="dxa"/>
            <w:shd w:val="clear" w:color="auto" w:fill="FFFFFF"/>
            <w:vAlign w:val="center"/>
          </w:tcPr>
          <w:p w14:paraId="37D8CC3F"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26</w:t>
            </w:r>
          </w:p>
        </w:tc>
        <w:tc>
          <w:tcPr>
            <w:tcW w:w="850" w:type="dxa"/>
            <w:shd w:val="clear" w:color="auto" w:fill="FFFFFF"/>
            <w:vAlign w:val="center"/>
          </w:tcPr>
          <w:p w14:paraId="132058F1"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276</w:t>
            </w:r>
          </w:p>
        </w:tc>
      </w:tr>
      <w:tr w:rsidR="00F6645B" w:rsidRPr="00CF31E0" w14:paraId="3DF801FF" w14:textId="77777777" w:rsidTr="00F6645B">
        <w:trPr>
          <w:cantSplit/>
        </w:trPr>
        <w:tc>
          <w:tcPr>
            <w:tcW w:w="856" w:type="dxa"/>
            <w:vMerge/>
            <w:shd w:val="clear" w:color="auto" w:fill="FFFFFF"/>
          </w:tcPr>
          <w:p w14:paraId="4A466B08"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lang w:eastAsia="en-US"/>
              </w:rPr>
            </w:pPr>
          </w:p>
        </w:tc>
        <w:tc>
          <w:tcPr>
            <w:tcW w:w="850" w:type="dxa"/>
            <w:vMerge/>
            <w:shd w:val="clear" w:color="auto" w:fill="FFFFFF"/>
          </w:tcPr>
          <w:p w14:paraId="0A84E7ED"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lang w:eastAsia="en-US"/>
              </w:rPr>
            </w:pPr>
          </w:p>
        </w:tc>
        <w:tc>
          <w:tcPr>
            <w:tcW w:w="1516" w:type="dxa"/>
            <w:shd w:val="clear" w:color="auto" w:fill="FFFFFF"/>
          </w:tcPr>
          <w:p w14:paraId="27C236A8"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within Gender</w:t>
            </w:r>
          </w:p>
        </w:tc>
        <w:tc>
          <w:tcPr>
            <w:tcW w:w="753" w:type="dxa"/>
            <w:shd w:val="clear" w:color="auto" w:fill="FFFFFF"/>
            <w:vAlign w:val="center"/>
          </w:tcPr>
          <w:p w14:paraId="60B7906A"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2.9%</w:t>
            </w:r>
          </w:p>
        </w:tc>
        <w:tc>
          <w:tcPr>
            <w:tcW w:w="709" w:type="dxa"/>
            <w:shd w:val="clear" w:color="auto" w:fill="FFFFFF"/>
            <w:vAlign w:val="center"/>
          </w:tcPr>
          <w:p w14:paraId="7D2C13FC"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56.9%</w:t>
            </w:r>
          </w:p>
        </w:tc>
        <w:tc>
          <w:tcPr>
            <w:tcW w:w="724" w:type="dxa"/>
            <w:shd w:val="clear" w:color="auto" w:fill="FFFFFF"/>
            <w:vAlign w:val="center"/>
          </w:tcPr>
          <w:p w14:paraId="1F07B6D1"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30.8%</w:t>
            </w:r>
          </w:p>
        </w:tc>
        <w:tc>
          <w:tcPr>
            <w:tcW w:w="1118" w:type="dxa"/>
            <w:shd w:val="clear" w:color="auto" w:fill="FFFFFF"/>
            <w:vAlign w:val="center"/>
          </w:tcPr>
          <w:p w14:paraId="05FD249B"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9.4%</w:t>
            </w:r>
          </w:p>
        </w:tc>
        <w:tc>
          <w:tcPr>
            <w:tcW w:w="850" w:type="dxa"/>
            <w:shd w:val="clear" w:color="auto" w:fill="FFFFFF"/>
            <w:vAlign w:val="center"/>
          </w:tcPr>
          <w:p w14:paraId="5B71F605"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100.0%</w:t>
            </w:r>
          </w:p>
        </w:tc>
      </w:tr>
      <w:tr w:rsidR="00F6645B" w:rsidRPr="00CF31E0" w14:paraId="1B3E3201" w14:textId="77777777" w:rsidTr="00F6645B">
        <w:trPr>
          <w:cantSplit/>
        </w:trPr>
        <w:tc>
          <w:tcPr>
            <w:tcW w:w="856" w:type="dxa"/>
            <w:vMerge/>
            <w:shd w:val="clear" w:color="auto" w:fill="FFFFFF"/>
          </w:tcPr>
          <w:p w14:paraId="37E9FE97"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lang w:eastAsia="en-US"/>
              </w:rPr>
            </w:pPr>
          </w:p>
        </w:tc>
        <w:tc>
          <w:tcPr>
            <w:tcW w:w="850" w:type="dxa"/>
            <w:vMerge/>
            <w:shd w:val="clear" w:color="auto" w:fill="FFFFFF"/>
          </w:tcPr>
          <w:p w14:paraId="26D8B216"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lang w:eastAsia="en-US"/>
              </w:rPr>
            </w:pPr>
          </w:p>
        </w:tc>
        <w:tc>
          <w:tcPr>
            <w:tcW w:w="1516" w:type="dxa"/>
            <w:shd w:val="clear" w:color="auto" w:fill="FFFFFF"/>
          </w:tcPr>
          <w:p w14:paraId="6234B78D"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of Total</w:t>
            </w:r>
          </w:p>
        </w:tc>
        <w:tc>
          <w:tcPr>
            <w:tcW w:w="753" w:type="dxa"/>
            <w:shd w:val="clear" w:color="auto" w:fill="FFFFFF"/>
            <w:vAlign w:val="center"/>
          </w:tcPr>
          <w:p w14:paraId="1B7299F4"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1.2%</w:t>
            </w:r>
          </w:p>
        </w:tc>
        <w:tc>
          <w:tcPr>
            <w:tcW w:w="709" w:type="dxa"/>
            <w:shd w:val="clear" w:color="auto" w:fill="FFFFFF"/>
            <w:vAlign w:val="center"/>
          </w:tcPr>
          <w:p w14:paraId="1688F78A"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24.2%</w:t>
            </w:r>
          </w:p>
        </w:tc>
        <w:tc>
          <w:tcPr>
            <w:tcW w:w="724" w:type="dxa"/>
            <w:shd w:val="clear" w:color="auto" w:fill="FFFFFF"/>
            <w:vAlign w:val="center"/>
          </w:tcPr>
          <w:p w14:paraId="1F8D3111"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13.1%</w:t>
            </w:r>
          </w:p>
        </w:tc>
        <w:tc>
          <w:tcPr>
            <w:tcW w:w="1118" w:type="dxa"/>
            <w:shd w:val="clear" w:color="auto" w:fill="FFFFFF"/>
            <w:vAlign w:val="center"/>
          </w:tcPr>
          <w:p w14:paraId="06A01B0B"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4.0%</w:t>
            </w:r>
          </w:p>
        </w:tc>
        <w:tc>
          <w:tcPr>
            <w:tcW w:w="850" w:type="dxa"/>
            <w:shd w:val="clear" w:color="auto" w:fill="FFFFFF"/>
            <w:vAlign w:val="center"/>
          </w:tcPr>
          <w:p w14:paraId="473A1B82"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42.5%</w:t>
            </w:r>
          </w:p>
        </w:tc>
      </w:tr>
      <w:tr w:rsidR="00F6645B" w:rsidRPr="00CF31E0" w14:paraId="61DA1F37" w14:textId="77777777" w:rsidTr="00F6645B">
        <w:trPr>
          <w:cantSplit/>
        </w:trPr>
        <w:tc>
          <w:tcPr>
            <w:tcW w:w="856" w:type="dxa"/>
            <w:vMerge/>
            <w:shd w:val="clear" w:color="auto" w:fill="FFFFFF"/>
          </w:tcPr>
          <w:p w14:paraId="3C1119CB"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lang w:eastAsia="en-US"/>
              </w:rPr>
            </w:pPr>
          </w:p>
        </w:tc>
        <w:tc>
          <w:tcPr>
            <w:tcW w:w="850" w:type="dxa"/>
            <w:vMerge w:val="restart"/>
            <w:shd w:val="clear" w:color="auto" w:fill="FFFFFF"/>
          </w:tcPr>
          <w:p w14:paraId="77175AE2" w14:textId="046BB791"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Female</w:t>
            </w:r>
          </w:p>
        </w:tc>
        <w:tc>
          <w:tcPr>
            <w:tcW w:w="1516" w:type="dxa"/>
            <w:shd w:val="clear" w:color="auto" w:fill="FFFFFF"/>
          </w:tcPr>
          <w:p w14:paraId="56067DA5" w14:textId="69CE6B72" w:rsidR="00FF344B" w:rsidRPr="00CF31E0" w:rsidRDefault="00F6645B" w:rsidP="00F6645B">
            <w:pPr>
              <w:widowControl w:val="0"/>
              <w:autoSpaceDE w:val="0"/>
              <w:autoSpaceDN w:val="0"/>
              <w:adjustRightInd w:val="0"/>
              <w:spacing w:line="320" w:lineRule="atLeast"/>
              <w:ind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Raw frequency</w:t>
            </w:r>
          </w:p>
        </w:tc>
        <w:tc>
          <w:tcPr>
            <w:tcW w:w="753" w:type="dxa"/>
            <w:shd w:val="clear" w:color="auto" w:fill="FFFFFF"/>
            <w:vAlign w:val="center"/>
          </w:tcPr>
          <w:p w14:paraId="520F125C"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13</w:t>
            </w:r>
          </w:p>
        </w:tc>
        <w:tc>
          <w:tcPr>
            <w:tcW w:w="709" w:type="dxa"/>
            <w:shd w:val="clear" w:color="auto" w:fill="FFFFFF"/>
            <w:vAlign w:val="center"/>
          </w:tcPr>
          <w:p w14:paraId="27403116"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204</w:t>
            </w:r>
          </w:p>
        </w:tc>
        <w:tc>
          <w:tcPr>
            <w:tcW w:w="724" w:type="dxa"/>
            <w:shd w:val="clear" w:color="auto" w:fill="FFFFFF"/>
            <w:vAlign w:val="center"/>
          </w:tcPr>
          <w:p w14:paraId="64A7CE6A"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93</w:t>
            </w:r>
          </w:p>
        </w:tc>
        <w:tc>
          <w:tcPr>
            <w:tcW w:w="1118" w:type="dxa"/>
            <w:shd w:val="clear" w:color="auto" w:fill="FFFFFF"/>
            <w:vAlign w:val="center"/>
          </w:tcPr>
          <w:p w14:paraId="14A6A5E8"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63</w:t>
            </w:r>
          </w:p>
        </w:tc>
        <w:tc>
          <w:tcPr>
            <w:tcW w:w="850" w:type="dxa"/>
            <w:shd w:val="clear" w:color="auto" w:fill="FFFFFF"/>
            <w:vAlign w:val="center"/>
          </w:tcPr>
          <w:p w14:paraId="58377040"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373</w:t>
            </w:r>
          </w:p>
        </w:tc>
      </w:tr>
      <w:tr w:rsidR="00F6645B" w:rsidRPr="00CF31E0" w14:paraId="58587D39" w14:textId="77777777" w:rsidTr="00F6645B">
        <w:trPr>
          <w:cantSplit/>
        </w:trPr>
        <w:tc>
          <w:tcPr>
            <w:tcW w:w="856" w:type="dxa"/>
            <w:vMerge/>
            <w:shd w:val="clear" w:color="auto" w:fill="FFFFFF"/>
          </w:tcPr>
          <w:p w14:paraId="07EC6444"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lang w:eastAsia="en-US"/>
              </w:rPr>
            </w:pPr>
          </w:p>
        </w:tc>
        <w:tc>
          <w:tcPr>
            <w:tcW w:w="850" w:type="dxa"/>
            <w:vMerge/>
            <w:shd w:val="clear" w:color="auto" w:fill="FFFFFF"/>
          </w:tcPr>
          <w:p w14:paraId="12CF2BAB"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lang w:eastAsia="en-US"/>
              </w:rPr>
            </w:pPr>
          </w:p>
        </w:tc>
        <w:tc>
          <w:tcPr>
            <w:tcW w:w="1516" w:type="dxa"/>
            <w:shd w:val="clear" w:color="auto" w:fill="FFFFFF"/>
          </w:tcPr>
          <w:p w14:paraId="30CB03FB"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within Gender</w:t>
            </w:r>
          </w:p>
        </w:tc>
        <w:tc>
          <w:tcPr>
            <w:tcW w:w="753" w:type="dxa"/>
            <w:shd w:val="clear" w:color="auto" w:fill="FFFFFF"/>
            <w:vAlign w:val="center"/>
          </w:tcPr>
          <w:p w14:paraId="77648B3F"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3.5%</w:t>
            </w:r>
          </w:p>
        </w:tc>
        <w:tc>
          <w:tcPr>
            <w:tcW w:w="709" w:type="dxa"/>
            <w:shd w:val="clear" w:color="auto" w:fill="FFFFFF"/>
            <w:vAlign w:val="center"/>
          </w:tcPr>
          <w:p w14:paraId="673EF2A2"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54.7%</w:t>
            </w:r>
          </w:p>
        </w:tc>
        <w:tc>
          <w:tcPr>
            <w:tcW w:w="724" w:type="dxa"/>
            <w:shd w:val="clear" w:color="auto" w:fill="FFFFFF"/>
            <w:vAlign w:val="center"/>
          </w:tcPr>
          <w:p w14:paraId="74EF2FB4"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24.9%</w:t>
            </w:r>
          </w:p>
        </w:tc>
        <w:tc>
          <w:tcPr>
            <w:tcW w:w="1118" w:type="dxa"/>
            <w:shd w:val="clear" w:color="auto" w:fill="FFFFFF"/>
            <w:vAlign w:val="center"/>
          </w:tcPr>
          <w:p w14:paraId="1705FA17"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16.9%</w:t>
            </w:r>
          </w:p>
        </w:tc>
        <w:tc>
          <w:tcPr>
            <w:tcW w:w="850" w:type="dxa"/>
            <w:shd w:val="clear" w:color="auto" w:fill="FFFFFF"/>
            <w:vAlign w:val="center"/>
          </w:tcPr>
          <w:p w14:paraId="5B57F4D5"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100.0%</w:t>
            </w:r>
          </w:p>
        </w:tc>
      </w:tr>
      <w:tr w:rsidR="00F6645B" w:rsidRPr="00CF31E0" w14:paraId="3900F004" w14:textId="77777777" w:rsidTr="00F6645B">
        <w:trPr>
          <w:cantSplit/>
        </w:trPr>
        <w:tc>
          <w:tcPr>
            <w:tcW w:w="856" w:type="dxa"/>
            <w:vMerge/>
            <w:shd w:val="clear" w:color="auto" w:fill="FFFFFF"/>
          </w:tcPr>
          <w:p w14:paraId="7960F541"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lang w:eastAsia="en-US"/>
              </w:rPr>
            </w:pPr>
          </w:p>
        </w:tc>
        <w:tc>
          <w:tcPr>
            <w:tcW w:w="850" w:type="dxa"/>
            <w:vMerge/>
            <w:shd w:val="clear" w:color="auto" w:fill="FFFFFF"/>
          </w:tcPr>
          <w:p w14:paraId="17ADC078"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lang w:eastAsia="en-US"/>
              </w:rPr>
            </w:pPr>
          </w:p>
        </w:tc>
        <w:tc>
          <w:tcPr>
            <w:tcW w:w="1516" w:type="dxa"/>
            <w:shd w:val="clear" w:color="auto" w:fill="FFFFFF"/>
          </w:tcPr>
          <w:p w14:paraId="7FBD66D3"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of Total</w:t>
            </w:r>
          </w:p>
        </w:tc>
        <w:tc>
          <w:tcPr>
            <w:tcW w:w="753" w:type="dxa"/>
            <w:shd w:val="clear" w:color="auto" w:fill="FFFFFF"/>
            <w:vAlign w:val="center"/>
          </w:tcPr>
          <w:p w14:paraId="201EA570"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2.0%</w:t>
            </w:r>
          </w:p>
        </w:tc>
        <w:tc>
          <w:tcPr>
            <w:tcW w:w="709" w:type="dxa"/>
            <w:shd w:val="clear" w:color="auto" w:fill="FFFFFF"/>
            <w:vAlign w:val="center"/>
          </w:tcPr>
          <w:p w14:paraId="52BD8C08"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31.4%</w:t>
            </w:r>
          </w:p>
        </w:tc>
        <w:tc>
          <w:tcPr>
            <w:tcW w:w="724" w:type="dxa"/>
            <w:shd w:val="clear" w:color="auto" w:fill="FFFFFF"/>
            <w:vAlign w:val="center"/>
          </w:tcPr>
          <w:p w14:paraId="4CB200A6"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14.3%</w:t>
            </w:r>
          </w:p>
        </w:tc>
        <w:tc>
          <w:tcPr>
            <w:tcW w:w="1118" w:type="dxa"/>
            <w:shd w:val="clear" w:color="auto" w:fill="FFFFFF"/>
            <w:vAlign w:val="center"/>
          </w:tcPr>
          <w:p w14:paraId="63CFAFCD"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9.7%</w:t>
            </w:r>
          </w:p>
        </w:tc>
        <w:tc>
          <w:tcPr>
            <w:tcW w:w="850" w:type="dxa"/>
            <w:shd w:val="clear" w:color="auto" w:fill="FFFFFF"/>
            <w:vAlign w:val="center"/>
          </w:tcPr>
          <w:p w14:paraId="319840F6"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57.5%</w:t>
            </w:r>
          </w:p>
        </w:tc>
      </w:tr>
      <w:tr w:rsidR="00F6645B" w:rsidRPr="00CF31E0" w14:paraId="20D8E298" w14:textId="77777777" w:rsidTr="00F6645B">
        <w:trPr>
          <w:cantSplit/>
        </w:trPr>
        <w:tc>
          <w:tcPr>
            <w:tcW w:w="1706" w:type="dxa"/>
            <w:gridSpan w:val="2"/>
            <w:vMerge w:val="restart"/>
            <w:shd w:val="clear" w:color="auto" w:fill="FFFFFF"/>
          </w:tcPr>
          <w:p w14:paraId="74048A57"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Total</w:t>
            </w:r>
          </w:p>
        </w:tc>
        <w:tc>
          <w:tcPr>
            <w:tcW w:w="1516" w:type="dxa"/>
            <w:shd w:val="clear" w:color="auto" w:fill="FFFFFF"/>
          </w:tcPr>
          <w:p w14:paraId="6D3C10FB" w14:textId="0E572B61" w:rsidR="00FF344B" w:rsidRPr="00CF31E0" w:rsidRDefault="00F6645B" w:rsidP="00F6645B">
            <w:pPr>
              <w:widowControl w:val="0"/>
              <w:autoSpaceDE w:val="0"/>
              <w:autoSpaceDN w:val="0"/>
              <w:adjustRightInd w:val="0"/>
              <w:spacing w:line="320" w:lineRule="atLeast"/>
              <w:ind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Raw frequency</w:t>
            </w:r>
          </w:p>
        </w:tc>
        <w:tc>
          <w:tcPr>
            <w:tcW w:w="753" w:type="dxa"/>
            <w:shd w:val="clear" w:color="auto" w:fill="FFFFFF"/>
            <w:vAlign w:val="center"/>
          </w:tcPr>
          <w:p w14:paraId="3464643F"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21</w:t>
            </w:r>
          </w:p>
        </w:tc>
        <w:tc>
          <w:tcPr>
            <w:tcW w:w="709" w:type="dxa"/>
            <w:shd w:val="clear" w:color="auto" w:fill="FFFFFF"/>
            <w:vAlign w:val="center"/>
          </w:tcPr>
          <w:p w14:paraId="0A66907E"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361</w:t>
            </w:r>
          </w:p>
        </w:tc>
        <w:tc>
          <w:tcPr>
            <w:tcW w:w="724" w:type="dxa"/>
            <w:shd w:val="clear" w:color="auto" w:fill="FFFFFF"/>
            <w:vAlign w:val="center"/>
          </w:tcPr>
          <w:p w14:paraId="1BC1EFD1"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178</w:t>
            </w:r>
          </w:p>
        </w:tc>
        <w:tc>
          <w:tcPr>
            <w:tcW w:w="1118" w:type="dxa"/>
            <w:shd w:val="clear" w:color="auto" w:fill="FFFFFF"/>
            <w:vAlign w:val="center"/>
          </w:tcPr>
          <w:p w14:paraId="7A19E7AF"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89</w:t>
            </w:r>
          </w:p>
        </w:tc>
        <w:tc>
          <w:tcPr>
            <w:tcW w:w="850" w:type="dxa"/>
            <w:shd w:val="clear" w:color="auto" w:fill="FFFFFF"/>
            <w:vAlign w:val="center"/>
          </w:tcPr>
          <w:p w14:paraId="4EDA1EB5"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r>
      <w:tr w:rsidR="00F6645B" w:rsidRPr="00CF31E0" w14:paraId="05766ACE" w14:textId="77777777" w:rsidTr="00F6645B">
        <w:trPr>
          <w:cantSplit/>
        </w:trPr>
        <w:tc>
          <w:tcPr>
            <w:tcW w:w="1706" w:type="dxa"/>
            <w:gridSpan w:val="2"/>
            <w:vMerge/>
            <w:shd w:val="clear" w:color="auto" w:fill="FFFFFF"/>
          </w:tcPr>
          <w:p w14:paraId="3B7996B8"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lang w:eastAsia="en-US"/>
              </w:rPr>
            </w:pPr>
          </w:p>
        </w:tc>
        <w:tc>
          <w:tcPr>
            <w:tcW w:w="1516" w:type="dxa"/>
            <w:shd w:val="clear" w:color="auto" w:fill="FFFFFF"/>
          </w:tcPr>
          <w:p w14:paraId="4297DED8"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within Gender</w:t>
            </w:r>
          </w:p>
        </w:tc>
        <w:tc>
          <w:tcPr>
            <w:tcW w:w="753" w:type="dxa"/>
            <w:shd w:val="clear" w:color="auto" w:fill="FFFFFF"/>
            <w:vAlign w:val="center"/>
          </w:tcPr>
          <w:p w14:paraId="574CE1AE"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3.2%</w:t>
            </w:r>
          </w:p>
        </w:tc>
        <w:tc>
          <w:tcPr>
            <w:tcW w:w="709" w:type="dxa"/>
            <w:shd w:val="clear" w:color="auto" w:fill="FFFFFF"/>
            <w:vAlign w:val="center"/>
          </w:tcPr>
          <w:p w14:paraId="3B7AA88D"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55.6%</w:t>
            </w:r>
          </w:p>
        </w:tc>
        <w:tc>
          <w:tcPr>
            <w:tcW w:w="724" w:type="dxa"/>
            <w:shd w:val="clear" w:color="auto" w:fill="FFFFFF"/>
            <w:vAlign w:val="center"/>
          </w:tcPr>
          <w:p w14:paraId="6BA108FB"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27.4%</w:t>
            </w:r>
          </w:p>
        </w:tc>
        <w:tc>
          <w:tcPr>
            <w:tcW w:w="1118" w:type="dxa"/>
            <w:shd w:val="clear" w:color="auto" w:fill="FFFFFF"/>
            <w:vAlign w:val="center"/>
          </w:tcPr>
          <w:p w14:paraId="1BE26445"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13.7%</w:t>
            </w:r>
          </w:p>
        </w:tc>
        <w:tc>
          <w:tcPr>
            <w:tcW w:w="850" w:type="dxa"/>
            <w:shd w:val="clear" w:color="auto" w:fill="FFFFFF"/>
            <w:vAlign w:val="center"/>
          </w:tcPr>
          <w:p w14:paraId="572D71DF"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100.0%</w:t>
            </w:r>
          </w:p>
        </w:tc>
      </w:tr>
      <w:tr w:rsidR="00F6645B" w:rsidRPr="00CF31E0" w14:paraId="3669FF15" w14:textId="77777777" w:rsidTr="00F6645B">
        <w:trPr>
          <w:cantSplit/>
        </w:trPr>
        <w:tc>
          <w:tcPr>
            <w:tcW w:w="1706" w:type="dxa"/>
            <w:gridSpan w:val="2"/>
            <w:vMerge/>
            <w:shd w:val="clear" w:color="auto" w:fill="FFFFFF"/>
          </w:tcPr>
          <w:p w14:paraId="0CD18A38" w14:textId="77777777" w:rsidR="00FF344B" w:rsidRPr="00CF31E0" w:rsidRDefault="00FF344B" w:rsidP="00FF344B">
            <w:pPr>
              <w:widowControl w:val="0"/>
              <w:autoSpaceDE w:val="0"/>
              <w:autoSpaceDN w:val="0"/>
              <w:adjustRightInd w:val="0"/>
              <w:rPr>
                <w:rFonts w:asciiTheme="majorBidi" w:hAnsiTheme="majorBidi" w:cstheme="majorBidi"/>
                <w:color w:val="000000" w:themeColor="text1"/>
                <w:sz w:val="22"/>
                <w:szCs w:val="22"/>
                <w:lang w:eastAsia="en-US"/>
              </w:rPr>
            </w:pPr>
          </w:p>
        </w:tc>
        <w:tc>
          <w:tcPr>
            <w:tcW w:w="1516" w:type="dxa"/>
            <w:shd w:val="clear" w:color="auto" w:fill="FFFFFF"/>
          </w:tcPr>
          <w:p w14:paraId="5DB032B3" w14:textId="77777777" w:rsidR="00FF344B" w:rsidRPr="00CF31E0" w:rsidRDefault="00FF344B" w:rsidP="00FF344B">
            <w:pPr>
              <w:widowControl w:val="0"/>
              <w:autoSpaceDE w:val="0"/>
              <w:autoSpaceDN w:val="0"/>
              <w:adjustRightInd w:val="0"/>
              <w:spacing w:line="320" w:lineRule="atLeast"/>
              <w:ind w:left="60" w:right="60"/>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 of Total</w:t>
            </w:r>
          </w:p>
        </w:tc>
        <w:tc>
          <w:tcPr>
            <w:tcW w:w="753" w:type="dxa"/>
            <w:shd w:val="clear" w:color="auto" w:fill="FFFFFF"/>
            <w:vAlign w:val="center"/>
          </w:tcPr>
          <w:p w14:paraId="4B95EB3F"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3.2%</w:t>
            </w:r>
          </w:p>
        </w:tc>
        <w:tc>
          <w:tcPr>
            <w:tcW w:w="709" w:type="dxa"/>
            <w:shd w:val="clear" w:color="auto" w:fill="FFFFFF"/>
            <w:vAlign w:val="center"/>
          </w:tcPr>
          <w:p w14:paraId="516EB125"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55.6%</w:t>
            </w:r>
          </w:p>
        </w:tc>
        <w:tc>
          <w:tcPr>
            <w:tcW w:w="724" w:type="dxa"/>
            <w:shd w:val="clear" w:color="auto" w:fill="FFFFFF"/>
            <w:vAlign w:val="center"/>
          </w:tcPr>
          <w:p w14:paraId="1E8EA971"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27.4%</w:t>
            </w:r>
          </w:p>
        </w:tc>
        <w:tc>
          <w:tcPr>
            <w:tcW w:w="1118" w:type="dxa"/>
            <w:shd w:val="clear" w:color="auto" w:fill="FFFFFF"/>
            <w:vAlign w:val="center"/>
          </w:tcPr>
          <w:p w14:paraId="62071516"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13.7%</w:t>
            </w:r>
          </w:p>
        </w:tc>
        <w:tc>
          <w:tcPr>
            <w:tcW w:w="850" w:type="dxa"/>
            <w:shd w:val="clear" w:color="auto" w:fill="FFFFFF"/>
            <w:vAlign w:val="center"/>
          </w:tcPr>
          <w:p w14:paraId="44C0E04F" w14:textId="77777777" w:rsidR="00FF344B" w:rsidRPr="00CF31E0" w:rsidRDefault="00FF344B" w:rsidP="00603CB7">
            <w:pPr>
              <w:widowControl w:val="0"/>
              <w:autoSpaceDE w:val="0"/>
              <w:autoSpaceDN w:val="0"/>
              <w:adjustRightInd w:val="0"/>
              <w:spacing w:line="320" w:lineRule="atLeast"/>
              <w:ind w:left="60" w:right="60"/>
              <w:jc w:val="right"/>
              <w:rPr>
                <w:rFonts w:asciiTheme="majorBid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100.0%</w:t>
            </w:r>
          </w:p>
        </w:tc>
      </w:tr>
    </w:tbl>
    <w:p w14:paraId="23B1CE83" w14:textId="0E9A3AEA" w:rsidR="00A23C2A" w:rsidRPr="00CF31E0" w:rsidRDefault="00A23C2A" w:rsidP="00730917">
      <w:pPr>
        <w:pStyle w:val="Tablecaption"/>
      </w:pPr>
      <w:bookmarkStart w:id="467" w:name="_Toc522527427"/>
      <w:bookmarkStart w:id="468" w:name="_Toc522628839"/>
      <w:bookmarkStart w:id="469" w:name="_Toc522629003"/>
      <w:bookmarkStart w:id="470" w:name="_Toc6473100"/>
      <w:r w:rsidRPr="00CF31E0">
        <w:t xml:space="preserve">Table </w:t>
      </w:r>
      <w:r w:rsidR="008E0FC8" w:rsidRPr="00CF31E0">
        <w:t>7</w:t>
      </w:r>
      <w:r w:rsidR="00404887" w:rsidRPr="00CF31E0">
        <w:t>.</w:t>
      </w:r>
      <w:r w:rsidRPr="00CF31E0">
        <w:t>23: Gender-Q8 crosstabulation.</w:t>
      </w:r>
      <w:bookmarkEnd w:id="467"/>
      <w:bookmarkEnd w:id="468"/>
      <w:bookmarkEnd w:id="469"/>
      <w:bookmarkEnd w:id="470"/>
      <w:r w:rsidRPr="00CF31E0">
        <w:t xml:space="preserve"> </w:t>
      </w:r>
    </w:p>
    <w:p w14:paraId="7BEFBEE9" w14:textId="4AEC59B0" w:rsidR="004E49C0" w:rsidRPr="00CF31E0" w:rsidRDefault="00A23C2A" w:rsidP="00603CB7">
      <w:pPr>
        <w:pStyle w:val="Paragraph"/>
      </w:pPr>
      <w:r w:rsidRPr="00CF31E0">
        <w:t xml:space="preserve">The results from Table </w:t>
      </w:r>
      <w:r w:rsidR="008E0FC8" w:rsidRPr="00CF31E0">
        <w:t>7</w:t>
      </w:r>
      <w:r w:rsidR="00404887" w:rsidRPr="00CF31E0">
        <w:t xml:space="preserve">.23 </w:t>
      </w:r>
      <w:r w:rsidRPr="00CF31E0">
        <w:t xml:space="preserve">indicate </w:t>
      </w:r>
      <w:r w:rsidR="008D5D64" w:rsidRPr="00CF31E0">
        <w:t xml:space="preserve">that a higher proportion of </w:t>
      </w:r>
      <w:r w:rsidR="004E49C0" w:rsidRPr="00CF31E0">
        <w:t>female</w:t>
      </w:r>
      <w:r w:rsidR="008D5D64" w:rsidRPr="00CF31E0">
        <w:t>s</w:t>
      </w:r>
      <w:r w:rsidR="004E49C0" w:rsidRPr="00CF31E0">
        <w:t xml:space="preserve"> </w:t>
      </w:r>
      <w:r w:rsidR="008D5D64" w:rsidRPr="00CF31E0">
        <w:t>than males perceived</w:t>
      </w:r>
      <w:r w:rsidR="004E49C0" w:rsidRPr="00CF31E0">
        <w:t xml:space="preserve"> HH </w:t>
      </w:r>
      <w:r w:rsidR="008D5D64" w:rsidRPr="00CF31E0">
        <w:t xml:space="preserve">to </w:t>
      </w:r>
      <w:r w:rsidR="004E49C0" w:rsidRPr="00CF31E0">
        <w:t>speak UBH. Thus, within gender, first, 3.5% of female</w:t>
      </w:r>
      <w:r w:rsidR="008D5D64" w:rsidRPr="00CF31E0">
        <w:t>s</w:t>
      </w:r>
      <w:r w:rsidR="004E49C0" w:rsidRPr="00CF31E0">
        <w:t xml:space="preserve"> perceive</w:t>
      </w:r>
      <w:r w:rsidR="008D5D64" w:rsidRPr="00CF31E0">
        <w:t>d</w:t>
      </w:r>
      <w:r w:rsidR="004E49C0" w:rsidRPr="00CF31E0">
        <w:t xml:space="preserve"> HH </w:t>
      </w:r>
      <w:r w:rsidR="008D5D64" w:rsidRPr="00CF31E0">
        <w:t xml:space="preserve">to </w:t>
      </w:r>
      <w:r w:rsidR="004E49C0" w:rsidRPr="00CF31E0">
        <w:t xml:space="preserve">always speak </w:t>
      </w:r>
      <w:r w:rsidR="008D5D64" w:rsidRPr="00CF31E0">
        <w:t xml:space="preserve">the </w:t>
      </w:r>
      <w:r w:rsidR="004E49C0" w:rsidRPr="00CF31E0">
        <w:t>UBH dialect, while 2.9% of male</w:t>
      </w:r>
      <w:r w:rsidR="008D5D64" w:rsidRPr="00CF31E0">
        <w:t>s</w:t>
      </w:r>
      <w:r w:rsidR="004E49C0" w:rsidRPr="00CF31E0">
        <w:t xml:space="preserve"> perceive</w:t>
      </w:r>
      <w:r w:rsidR="008D5D64" w:rsidRPr="00CF31E0">
        <w:t>d</w:t>
      </w:r>
      <w:r w:rsidR="004E49C0" w:rsidRPr="00CF31E0">
        <w:t xml:space="preserve"> HH </w:t>
      </w:r>
      <w:r w:rsidR="008D5D64" w:rsidRPr="00CF31E0">
        <w:t xml:space="preserve">to </w:t>
      </w:r>
      <w:r w:rsidR="004E49C0" w:rsidRPr="00CF31E0">
        <w:t xml:space="preserve">always speak </w:t>
      </w:r>
      <w:r w:rsidR="008D5D64" w:rsidRPr="00CF31E0">
        <w:t xml:space="preserve">the </w:t>
      </w:r>
      <w:r w:rsidR="004E49C0" w:rsidRPr="00CF31E0">
        <w:t>UBH dialect. Second, 16.9% of female</w:t>
      </w:r>
      <w:r w:rsidR="008D5D64" w:rsidRPr="00CF31E0">
        <w:t>s</w:t>
      </w:r>
      <w:r w:rsidR="004E49C0" w:rsidRPr="00CF31E0">
        <w:t xml:space="preserve"> perceive</w:t>
      </w:r>
      <w:r w:rsidR="008D5D64" w:rsidRPr="00CF31E0">
        <w:t>d</w:t>
      </w:r>
      <w:r w:rsidR="004E49C0" w:rsidRPr="00CF31E0">
        <w:t xml:space="preserve"> HH </w:t>
      </w:r>
      <w:r w:rsidR="008D5D64" w:rsidRPr="00CF31E0">
        <w:t xml:space="preserve">to </w:t>
      </w:r>
      <w:r w:rsidR="004E49C0" w:rsidRPr="00CF31E0">
        <w:t xml:space="preserve">sometimes speak </w:t>
      </w:r>
      <w:r w:rsidR="008D5D64" w:rsidRPr="00CF31E0">
        <w:t xml:space="preserve">the </w:t>
      </w:r>
      <w:r w:rsidR="004E49C0" w:rsidRPr="00CF31E0">
        <w:t>UBH dialect. Third, 44.7% of female</w:t>
      </w:r>
      <w:r w:rsidR="008D5D64" w:rsidRPr="00CF31E0">
        <w:t>s</w:t>
      </w:r>
      <w:r w:rsidR="004E49C0" w:rsidRPr="00CF31E0">
        <w:t xml:space="preserve"> perceive</w:t>
      </w:r>
      <w:r w:rsidR="008D5D64" w:rsidRPr="00CF31E0">
        <w:t>d</w:t>
      </w:r>
      <w:r w:rsidR="004E49C0" w:rsidRPr="00CF31E0">
        <w:t xml:space="preserve"> HH </w:t>
      </w:r>
      <w:r w:rsidR="008D5D64" w:rsidRPr="00CF31E0">
        <w:t xml:space="preserve">to </w:t>
      </w:r>
      <w:r w:rsidR="004E49C0" w:rsidRPr="00CF31E0">
        <w:t xml:space="preserve">never speak </w:t>
      </w:r>
      <w:r w:rsidR="008D5D64" w:rsidRPr="00CF31E0">
        <w:t xml:space="preserve">the </w:t>
      </w:r>
      <w:r w:rsidR="004E49C0" w:rsidRPr="00CF31E0">
        <w:t>UBH dialect, while a slightly higher proportion male</w:t>
      </w:r>
      <w:r w:rsidR="008D5D64" w:rsidRPr="00CF31E0">
        <w:t>s</w:t>
      </w:r>
      <w:r w:rsidR="004E49C0" w:rsidRPr="00CF31E0">
        <w:t xml:space="preserve"> </w:t>
      </w:r>
      <w:r w:rsidR="008D5D64" w:rsidRPr="00CF31E0">
        <w:t xml:space="preserve">gave this response </w:t>
      </w:r>
      <w:r w:rsidR="004E49C0" w:rsidRPr="00CF31E0">
        <w:t>to the same question (56.9%). Fourth, 24.9% of female</w:t>
      </w:r>
      <w:r w:rsidR="008D5D64" w:rsidRPr="00CF31E0">
        <w:t>s</w:t>
      </w:r>
      <w:r w:rsidR="004E49C0" w:rsidRPr="00CF31E0">
        <w:t xml:space="preserve"> perceive</w:t>
      </w:r>
      <w:r w:rsidR="008D5D64" w:rsidRPr="00CF31E0">
        <w:t>d</w:t>
      </w:r>
      <w:r w:rsidR="004E49C0" w:rsidRPr="00CF31E0">
        <w:t xml:space="preserve"> HH </w:t>
      </w:r>
      <w:r w:rsidR="008D5D64" w:rsidRPr="00CF31E0">
        <w:t xml:space="preserve">to </w:t>
      </w:r>
      <w:r w:rsidR="004E49C0" w:rsidRPr="00CF31E0">
        <w:t xml:space="preserve">rarely speak the UBH dialect, while a higher percentage </w:t>
      </w:r>
      <w:r w:rsidR="008D5D64" w:rsidRPr="00CF31E0">
        <w:t>of</w:t>
      </w:r>
      <w:r w:rsidR="004E49C0" w:rsidRPr="00CF31E0">
        <w:t xml:space="preserve"> male</w:t>
      </w:r>
      <w:r w:rsidR="008D5D64" w:rsidRPr="00CF31E0">
        <w:t>s</w:t>
      </w:r>
      <w:r w:rsidR="004E49C0" w:rsidRPr="00CF31E0">
        <w:t xml:space="preserve"> </w:t>
      </w:r>
      <w:r w:rsidR="0009259A" w:rsidRPr="00CF31E0">
        <w:t xml:space="preserve">(30.8%) </w:t>
      </w:r>
      <w:r w:rsidR="008D5D64" w:rsidRPr="00CF31E0">
        <w:t xml:space="preserve">gave the same response to this </w:t>
      </w:r>
      <w:r w:rsidR="004E49C0" w:rsidRPr="00CF31E0">
        <w:t xml:space="preserve">question. </w:t>
      </w:r>
    </w:p>
    <w:p w14:paraId="307BC567" w14:textId="683995AB" w:rsidR="00A23C2A" w:rsidRPr="00CF31E0" w:rsidRDefault="008E0FC8" w:rsidP="00E87209">
      <w:pPr>
        <w:pStyle w:val="Chead"/>
      </w:pPr>
      <w:bookmarkStart w:id="471" w:name="_Toc6472718"/>
      <w:r w:rsidRPr="00CF31E0">
        <w:t>7</w:t>
      </w:r>
      <w:r w:rsidR="00404887" w:rsidRPr="00CF31E0">
        <w:t>.8.1.2.</w:t>
      </w:r>
      <w:r w:rsidR="00F106E7" w:rsidRPr="00CF31E0">
        <w:tab/>
      </w:r>
      <w:r w:rsidR="00A23C2A" w:rsidRPr="00CF31E0">
        <w:t>Social group</w:t>
      </w:r>
      <w:bookmarkEnd w:id="471"/>
      <w:r w:rsidR="00A23C2A" w:rsidRPr="00CF31E0">
        <w:t xml:space="preserve"> </w:t>
      </w:r>
    </w:p>
    <w:p w14:paraId="1750DA1C" w14:textId="042FAE12" w:rsidR="00A23C2A" w:rsidRPr="00CF31E0" w:rsidRDefault="00A23C2A" w:rsidP="00603CB7">
      <w:pPr>
        <w:pStyle w:val="Paragraph"/>
      </w:pPr>
      <w:r w:rsidRPr="00CF31E0">
        <w:t xml:space="preserve">The chi-square test revealed that the two social groups differed significantly in terms of their perceptions. See Table </w:t>
      </w:r>
      <w:r w:rsidR="008E0FC8" w:rsidRPr="00CF31E0">
        <w:t>7</w:t>
      </w:r>
      <w:r w:rsidR="00404887" w:rsidRPr="00CF31E0">
        <w:t>.</w:t>
      </w:r>
      <w:r w:rsidRPr="00CF31E0">
        <w:t xml:space="preserve">24. </w:t>
      </w:r>
    </w:p>
    <w:p w14:paraId="202791A4" w14:textId="77777777" w:rsidR="00330B2A" w:rsidRPr="00CF31E0" w:rsidRDefault="00330B2A" w:rsidP="00603CB7">
      <w:pPr>
        <w:pStyle w:val="Paragraph"/>
      </w:pPr>
    </w:p>
    <w:p w14:paraId="2668D9F1" w14:textId="77777777" w:rsidR="00330B2A" w:rsidRPr="00CF31E0" w:rsidRDefault="00330B2A" w:rsidP="00603CB7">
      <w:pPr>
        <w:pStyle w:val="Paragraph"/>
      </w:pPr>
    </w:p>
    <w:p w14:paraId="1107398C" w14:textId="77777777" w:rsidR="00330B2A" w:rsidRPr="00CF31E0" w:rsidRDefault="00330B2A" w:rsidP="00603CB7">
      <w:pPr>
        <w:pStyle w:val="Paragraph"/>
      </w:pPr>
    </w:p>
    <w:tbl>
      <w:tblPr>
        <w:tblW w:w="7139" w:type="dxa"/>
        <w:tblLayout w:type="fixed"/>
        <w:tblLook w:val="04A0" w:firstRow="1" w:lastRow="0" w:firstColumn="1" w:lastColumn="0" w:noHBand="0" w:noVBand="1"/>
      </w:tblPr>
      <w:tblGrid>
        <w:gridCol w:w="2235"/>
        <w:gridCol w:w="1134"/>
        <w:gridCol w:w="425"/>
        <w:gridCol w:w="3345"/>
      </w:tblGrid>
      <w:tr w:rsidR="00CA6CAC" w:rsidRPr="00CF31E0" w14:paraId="6321FFF7" w14:textId="77777777" w:rsidTr="00374582">
        <w:trPr>
          <w:trHeight w:val="567"/>
        </w:trPr>
        <w:tc>
          <w:tcPr>
            <w:tcW w:w="2235" w:type="dxa"/>
            <w:tcBorders>
              <w:top w:val="single" w:sz="8" w:space="0" w:color="auto"/>
              <w:bottom w:val="single" w:sz="8" w:space="0" w:color="auto"/>
            </w:tcBorders>
            <w:shd w:val="clear" w:color="auto" w:fill="auto"/>
            <w:hideMark/>
          </w:tcPr>
          <w:p w14:paraId="72786C61" w14:textId="77777777" w:rsidR="00CA6CAC" w:rsidRPr="00CF31E0" w:rsidRDefault="00CA6CAC" w:rsidP="00603CB7">
            <w:pPr>
              <w:spacing w:before="80" w:after="200" w:line="276" w:lineRule="auto"/>
              <w:rPr>
                <w:rFonts w:eastAsia="Calibri"/>
                <w:color w:val="000000" w:themeColor="text1"/>
                <w:sz w:val="22"/>
                <w:szCs w:val="22"/>
                <w:lang w:val="en-US" w:eastAsia="en-US"/>
              </w:rPr>
            </w:pPr>
          </w:p>
        </w:tc>
        <w:tc>
          <w:tcPr>
            <w:tcW w:w="1134" w:type="dxa"/>
            <w:tcBorders>
              <w:top w:val="single" w:sz="8" w:space="0" w:color="auto"/>
              <w:bottom w:val="single" w:sz="8" w:space="0" w:color="auto"/>
            </w:tcBorders>
            <w:shd w:val="clear" w:color="auto" w:fill="auto"/>
            <w:hideMark/>
          </w:tcPr>
          <w:p w14:paraId="10E2B423" w14:textId="77777777" w:rsidR="00CA6CAC" w:rsidRPr="00CF31E0" w:rsidRDefault="00CA6CAC" w:rsidP="00603CB7">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425" w:type="dxa"/>
            <w:tcBorders>
              <w:top w:val="single" w:sz="8" w:space="0" w:color="auto"/>
              <w:bottom w:val="single" w:sz="8" w:space="0" w:color="auto"/>
            </w:tcBorders>
            <w:shd w:val="clear" w:color="auto" w:fill="auto"/>
          </w:tcPr>
          <w:p w14:paraId="64254F98" w14:textId="77777777" w:rsidR="00CA6CAC" w:rsidRPr="00CF31E0" w:rsidRDefault="00CA6CAC" w:rsidP="00603CB7">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df</w:t>
            </w:r>
          </w:p>
        </w:tc>
        <w:tc>
          <w:tcPr>
            <w:tcW w:w="3345" w:type="dxa"/>
            <w:tcBorders>
              <w:top w:val="single" w:sz="8" w:space="0" w:color="auto"/>
              <w:bottom w:val="single" w:sz="8" w:space="0" w:color="auto"/>
            </w:tcBorders>
            <w:shd w:val="clear" w:color="auto" w:fill="auto"/>
          </w:tcPr>
          <w:p w14:paraId="066B72DB" w14:textId="77777777" w:rsidR="00CA6CAC" w:rsidRPr="00CF31E0" w:rsidRDefault="00CA6CAC" w:rsidP="00603CB7">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CA6CAC" w:rsidRPr="00CF31E0" w14:paraId="3AB5ED31" w14:textId="77777777" w:rsidTr="00603CB7">
        <w:trPr>
          <w:trHeight w:val="567"/>
        </w:trPr>
        <w:tc>
          <w:tcPr>
            <w:tcW w:w="2235" w:type="dxa"/>
            <w:tcBorders>
              <w:top w:val="single" w:sz="8" w:space="0" w:color="auto"/>
            </w:tcBorders>
            <w:shd w:val="clear" w:color="auto" w:fill="auto"/>
            <w:vAlign w:val="bottom"/>
          </w:tcPr>
          <w:p w14:paraId="2A65A0B7" w14:textId="77777777" w:rsidR="00CA6CAC" w:rsidRPr="00CF31E0" w:rsidRDefault="00CA6CAC" w:rsidP="008D5D6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17D35B3C" w14:textId="77777777" w:rsidR="00CA6CAC" w:rsidRPr="00CF31E0" w:rsidRDefault="00CA6CAC" w:rsidP="008D5D6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32.839</w:t>
            </w:r>
            <w:r w:rsidRPr="00CF31E0">
              <w:rPr>
                <w:rFonts w:eastAsia="Calibri"/>
                <w:color w:val="000000" w:themeColor="text1"/>
                <w:sz w:val="22"/>
                <w:szCs w:val="22"/>
                <w:vertAlign w:val="superscript"/>
                <w:lang w:eastAsia="en-US"/>
              </w:rPr>
              <w:t>a</w:t>
            </w:r>
          </w:p>
        </w:tc>
        <w:tc>
          <w:tcPr>
            <w:tcW w:w="425" w:type="dxa"/>
            <w:tcBorders>
              <w:top w:val="single" w:sz="8" w:space="0" w:color="auto"/>
            </w:tcBorders>
            <w:shd w:val="clear" w:color="auto" w:fill="auto"/>
            <w:vAlign w:val="bottom"/>
          </w:tcPr>
          <w:p w14:paraId="225FBC9A" w14:textId="0BFB67C5" w:rsidR="00CA6CAC" w:rsidRPr="00CF31E0" w:rsidRDefault="00481818" w:rsidP="008D5D64">
            <w:pPr>
              <w:spacing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1</w:t>
            </w:r>
          </w:p>
        </w:tc>
        <w:tc>
          <w:tcPr>
            <w:tcW w:w="3345" w:type="dxa"/>
            <w:tcBorders>
              <w:top w:val="single" w:sz="8" w:space="0" w:color="auto"/>
            </w:tcBorders>
            <w:shd w:val="clear" w:color="auto" w:fill="auto"/>
            <w:vAlign w:val="bottom"/>
          </w:tcPr>
          <w:p w14:paraId="4DD33570" w14:textId="77777777" w:rsidR="00CA6CAC" w:rsidRPr="00CF31E0" w:rsidRDefault="00CA6CAC" w:rsidP="008D5D6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.000</w:t>
            </w:r>
          </w:p>
        </w:tc>
      </w:tr>
      <w:tr w:rsidR="00CA6CAC" w:rsidRPr="00CF31E0" w14:paraId="78DF7EE8" w14:textId="77777777" w:rsidTr="00603CB7">
        <w:trPr>
          <w:trHeight w:val="567"/>
        </w:trPr>
        <w:tc>
          <w:tcPr>
            <w:tcW w:w="2235" w:type="dxa"/>
            <w:tcBorders>
              <w:bottom w:val="single" w:sz="8" w:space="0" w:color="auto"/>
            </w:tcBorders>
            <w:shd w:val="clear" w:color="auto" w:fill="auto"/>
            <w:vAlign w:val="bottom"/>
          </w:tcPr>
          <w:p w14:paraId="7F0BC46D" w14:textId="77777777" w:rsidR="00CA6CAC" w:rsidRPr="00CF31E0" w:rsidRDefault="00CA6CAC" w:rsidP="008D5D6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017B836F" w14:textId="77777777" w:rsidR="00CA6CAC" w:rsidRPr="00CF31E0" w:rsidRDefault="00CA6CAC" w:rsidP="008D5D6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425" w:type="dxa"/>
            <w:tcBorders>
              <w:bottom w:val="single" w:sz="8" w:space="0" w:color="auto"/>
            </w:tcBorders>
            <w:shd w:val="clear" w:color="auto" w:fill="auto"/>
            <w:vAlign w:val="bottom"/>
          </w:tcPr>
          <w:p w14:paraId="7A6DFA22" w14:textId="77777777" w:rsidR="00CA6CAC" w:rsidRPr="00CF31E0" w:rsidRDefault="00CA6CAC" w:rsidP="008D5D64">
            <w:pPr>
              <w:spacing w:after="200" w:line="276" w:lineRule="auto"/>
              <w:rPr>
                <w:rFonts w:eastAsia="Calibri"/>
                <w:color w:val="000000" w:themeColor="text1"/>
                <w:sz w:val="22"/>
                <w:szCs w:val="22"/>
                <w:lang w:val="en-US" w:eastAsia="en-US"/>
              </w:rPr>
            </w:pPr>
          </w:p>
        </w:tc>
        <w:tc>
          <w:tcPr>
            <w:tcW w:w="3345" w:type="dxa"/>
            <w:tcBorders>
              <w:bottom w:val="single" w:sz="8" w:space="0" w:color="auto"/>
            </w:tcBorders>
            <w:shd w:val="clear" w:color="auto" w:fill="auto"/>
            <w:vAlign w:val="bottom"/>
          </w:tcPr>
          <w:p w14:paraId="6821EF20" w14:textId="77777777" w:rsidR="00CA6CAC" w:rsidRPr="00CF31E0" w:rsidRDefault="00CA6CAC" w:rsidP="008D5D64">
            <w:pPr>
              <w:spacing w:after="200" w:line="276" w:lineRule="auto"/>
              <w:rPr>
                <w:rFonts w:eastAsia="Calibri"/>
                <w:color w:val="000000" w:themeColor="text1"/>
                <w:sz w:val="22"/>
                <w:szCs w:val="22"/>
                <w:lang w:eastAsia="en-US"/>
              </w:rPr>
            </w:pPr>
          </w:p>
        </w:tc>
      </w:tr>
      <w:tr w:rsidR="00CA6CAC" w:rsidRPr="00CF31E0" w14:paraId="78AA8FE7" w14:textId="77777777" w:rsidTr="00374582">
        <w:trPr>
          <w:trHeight w:val="567"/>
        </w:trPr>
        <w:tc>
          <w:tcPr>
            <w:tcW w:w="7139" w:type="dxa"/>
            <w:gridSpan w:val="4"/>
            <w:tcBorders>
              <w:top w:val="single" w:sz="8" w:space="0" w:color="auto"/>
              <w:bottom w:val="single" w:sz="8" w:space="0" w:color="auto"/>
            </w:tcBorders>
            <w:shd w:val="clear" w:color="auto" w:fill="auto"/>
          </w:tcPr>
          <w:p w14:paraId="311473C8" w14:textId="264FD243" w:rsidR="00CA6CAC" w:rsidRPr="00CF31E0" w:rsidRDefault="00CA6CAC" w:rsidP="00CA6CAC">
            <w:pPr>
              <w:spacing w:before="80" w:after="80"/>
              <w:rPr>
                <w:rFonts w:eastAsia="Calibri"/>
                <w:color w:val="000000" w:themeColor="text1"/>
                <w:sz w:val="22"/>
                <w:szCs w:val="22"/>
                <w:lang w:eastAsia="en-US"/>
              </w:rPr>
            </w:pPr>
            <w:r w:rsidRPr="00CF31E0">
              <w:rPr>
                <w:rFonts w:eastAsia="Calibri"/>
                <w:color w:val="000000" w:themeColor="text1"/>
                <w:sz w:val="22"/>
                <w:szCs w:val="22"/>
                <w:lang w:eastAsia="en-US"/>
              </w:rPr>
              <w:t xml:space="preserve">a. 0 cells (.0%) have expected </w:t>
            </w:r>
            <w:r w:rsidR="00F03C9C" w:rsidRPr="00CF31E0">
              <w:rPr>
                <w:rFonts w:eastAsia="Calibri"/>
                <w:color w:val="000000" w:themeColor="text1"/>
                <w:sz w:val="22"/>
                <w:szCs w:val="22"/>
                <w:lang w:eastAsia="en-US"/>
              </w:rPr>
              <w:t>Count</w:t>
            </w:r>
            <w:r w:rsidRPr="00CF31E0">
              <w:rPr>
                <w:rFonts w:eastAsia="Calibri"/>
                <w:color w:val="000000" w:themeColor="text1"/>
                <w:sz w:val="22"/>
                <w:szCs w:val="22"/>
                <w:lang w:eastAsia="en-US"/>
              </w:rPr>
              <w:t xml:space="preserve"> less than 5. The minimum expected </w:t>
            </w:r>
            <w:r w:rsidR="00F03C9C" w:rsidRPr="00CF31E0">
              <w:rPr>
                <w:rFonts w:eastAsia="Calibri"/>
                <w:color w:val="000000" w:themeColor="text1"/>
                <w:sz w:val="22"/>
                <w:szCs w:val="22"/>
                <w:lang w:eastAsia="en-US"/>
              </w:rPr>
              <w:t>Count</w:t>
            </w:r>
            <w:r w:rsidRPr="00CF31E0">
              <w:rPr>
                <w:rFonts w:eastAsia="Calibri"/>
                <w:color w:val="000000" w:themeColor="text1"/>
                <w:sz w:val="22"/>
                <w:szCs w:val="22"/>
                <w:lang w:eastAsia="en-US"/>
              </w:rPr>
              <w:t xml:space="preserve"> is 10.48.</w:t>
            </w:r>
          </w:p>
        </w:tc>
      </w:tr>
    </w:tbl>
    <w:p w14:paraId="3ADA91CD" w14:textId="4C159396" w:rsidR="00A23C2A" w:rsidRPr="00CF31E0" w:rsidRDefault="00A23C2A" w:rsidP="00730917">
      <w:pPr>
        <w:pStyle w:val="Tablecaption"/>
      </w:pPr>
      <w:bookmarkStart w:id="472" w:name="_Toc522527428"/>
      <w:bookmarkStart w:id="473" w:name="_Toc522628840"/>
      <w:bookmarkStart w:id="474" w:name="_Toc522629004"/>
      <w:bookmarkStart w:id="475" w:name="_Toc6473101"/>
      <w:r w:rsidRPr="00CF31E0">
        <w:t xml:space="preserve">Table </w:t>
      </w:r>
      <w:r w:rsidR="008E0FC8" w:rsidRPr="00CF31E0">
        <w:t>7</w:t>
      </w:r>
      <w:r w:rsidR="00404887" w:rsidRPr="00CF31E0">
        <w:t>.</w:t>
      </w:r>
      <w:r w:rsidRPr="00CF31E0">
        <w:t>24: Chi-</w:t>
      </w:r>
      <w:r w:rsidR="00481818" w:rsidRPr="00CF31E0">
        <w:t>square test results for</w:t>
      </w:r>
      <w:r w:rsidRPr="00CF31E0">
        <w:t xml:space="preserve"> social group demographic variable.</w:t>
      </w:r>
      <w:bookmarkEnd w:id="472"/>
      <w:bookmarkEnd w:id="473"/>
      <w:bookmarkEnd w:id="474"/>
      <w:bookmarkEnd w:id="475"/>
    </w:p>
    <w:p w14:paraId="3F15A444" w14:textId="3324233C" w:rsidR="00CA6CAC" w:rsidRPr="00CF31E0" w:rsidRDefault="00A23C2A" w:rsidP="00754628">
      <w:pPr>
        <w:pStyle w:val="Paragraph"/>
      </w:pPr>
      <w:r w:rsidRPr="00CF31E0">
        <w:t xml:space="preserve">Table </w:t>
      </w:r>
      <w:r w:rsidR="008E0FC8" w:rsidRPr="00CF31E0">
        <w:t>7</w:t>
      </w:r>
      <w:r w:rsidR="00404887" w:rsidRPr="00CF31E0">
        <w:t>.</w:t>
      </w:r>
      <w:r w:rsidRPr="00CF31E0">
        <w:t xml:space="preserve">24 illustrates that the p value is &lt;.001, which indicates that the difference between groups is significant. </w:t>
      </w:r>
      <w:r w:rsidR="00BD3DC4" w:rsidRPr="00CF31E0">
        <w:t>For breakdown of the results, see</w:t>
      </w:r>
      <w:r w:rsidRPr="00CF31E0">
        <w:t xml:space="preserve"> Table </w:t>
      </w:r>
      <w:r w:rsidR="008E0FC8" w:rsidRPr="00CF31E0">
        <w:t>7</w:t>
      </w:r>
      <w:r w:rsidR="00404887" w:rsidRPr="00CF31E0">
        <w:t>.</w:t>
      </w:r>
      <w:r w:rsidRPr="00CF31E0">
        <w:t>25.</w:t>
      </w:r>
    </w:p>
    <w:tbl>
      <w:tblPr>
        <w:tblW w:w="7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6"/>
        <w:gridCol w:w="709"/>
        <w:gridCol w:w="1383"/>
        <w:gridCol w:w="744"/>
        <w:gridCol w:w="709"/>
        <w:gridCol w:w="707"/>
        <w:gridCol w:w="1134"/>
        <w:gridCol w:w="993"/>
      </w:tblGrid>
      <w:tr w:rsidR="00FF344B" w:rsidRPr="00CF31E0" w14:paraId="0B6671EC" w14:textId="77777777" w:rsidTr="00F6645B">
        <w:trPr>
          <w:cantSplit/>
        </w:trPr>
        <w:tc>
          <w:tcPr>
            <w:tcW w:w="2948" w:type="dxa"/>
            <w:gridSpan w:val="3"/>
            <w:vMerge w:val="restart"/>
            <w:shd w:val="clear" w:color="auto" w:fill="FFFFFF"/>
            <w:vAlign w:val="bottom"/>
          </w:tcPr>
          <w:p w14:paraId="75852185" w14:textId="77777777" w:rsidR="00FF344B" w:rsidRPr="00CF31E0" w:rsidRDefault="00FF344B" w:rsidP="00FF344B">
            <w:pPr>
              <w:rPr>
                <w:rFonts w:asciiTheme="majorBidi" w:hAnsiTheme="majorBidi" w:cstheme="majorBidi"/>
                <w:color w:val="000000" w:themeColor="text1"/>
                <w:sz w:val="22"/>
                <w:szCs w:val="22"/>
              </w:rPr>
            </w:pPr>
          </w:p>
        </w:tc>
        <w:tc>
          <w:tcPr>
            <w:tcW w:w="3294" w:type="dxa"/>
            <w:gridSpan w:val="4"/>
            <w:shd w:val="clear" w:color="auto" w:fill="FFFFFF"/>
            <w:vAlign w:val="bottom"/>
          </w:tcPr>
          <w:p w14:paraId="0F63E587" w14:textId="5D004B3F" w:rsidR="00FF344B" w:rsidRPr="00CF31E0" w:rsidRDefault="00F6645B" w:rsidP="00CA6CAC">
            <w:pPr>
              <w:spacing w:line="320" w:lineRule="atLeast"/>
              <w:ind w:left="60" w:right="60"/>
              <w:jc w:val="center"/>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xml:space="preserve">To what </w:t>
            </w:r>
            <w:r w:rsidR="00CA6CAC" w:rsidRPr="00CF31E0">
              <w:rPr>
                <w:rFonts w:asciiTheme="majorBidi" w:hAnsiTheme="majorBidi" w:cstheme="majorBidi"/>
                <w:color w:val="000000" w:themeColor="text1"/>
                <w:sz w:val="22"/>
                <w:szCs w:val="22"/>
              </w:rPr>
              <w:t>extent</w:t>
            </w:r>
            <w:r w:rsidRPr="00CF31E0">
              <w:rPr>
                <w:rFonts w:asciiTheme="majorBidi" w:hAnsiTheme="majorBidi" w:cstheme="majorBidi"/>
                <w:color w:val="000000" w:themeColor="text1"/>
                <w:sz w:val="22"/>
                <w:szCs w:val="22"/>
              </w:rPr>
              <w:t xml:space="preserve"> do </w:t>
            </w:r>
            <w:r w:rsidR="00FF4DC7" w:rsidRPr="00CF31E0">
              <w:rPr>
                <w:rFonts w:asciiTheme="majorBidi" w:hAnsiTheme="majorBidi" w:cstheme="majorBidi"/>
                <w:color w:val="000000" w:themeColor="text1"/>
                <w:sz w:val="22"/>
                <w:szCs w:val="22"/>
              </w:rPr>
              <w:t>HH</w:t>
            </w:r>
            <w:r w:rsidRPr="00CF31E0">
              <w:rPr>
                <w:rFonts w:asciiTheme="majorBidi" w:hAnsiTheme="majorBidi" w:cstheme="majorBidi"/>
                <w:color w:val="000000" w:themeColor="text1"/>
                <w:sz w:val="22"/>
                <w:szCs w:val="22"/>
              </w:rPr>
              <w:t xml:space="preserve"> speak </w:t>
            </w:r>
            <w:r w:rsidR="00FF4DC7" w:rsidRPr="00CF31E0">
              <w:rPr>
                <w:rFonts w:asciiTheme="majorBidi" w:hAnsiTheme="majorBidi" w:cstheme="majorBidi"/>
                <w:color w:val="000000" w:themeColor="text1"/>
                <w:sz w:val="22"/>
                <w:szCs w:val="22"/>
              </w:rPr>
              <w:t>UBH</w:t>
            </w:r>
            <w:r w:rsidRPr="00CF31E0">
              <w:rPr>
                <w:rFonts w:asciiTheme="majorBidi" w:hAnsiTheme="majorBidi" w:cstheme="majorBidi"/>
                <w:color w:val="000000" w:themeColor="text1"/>
                <w:sz w:val="22"/>
                <w:szCs w:val="22"/>
              </w:rPr>
              <w:t xml:space="preserve"> </w:t>
            </w:r>
            <w:r w:rsidR="00FF344B" w:rsidRPr="00CF31E0">
              <w:rPr>
                <w:rFonts w:asciiTheme="majorBidi" w:hAnsiTheme="majorBidi" w:cstheme="majorBidi"/>
                <w:color w:val="000000" w:themeColor="text1"/>
                <w:sz w:val="22"/>
                <w:szCs w:val="22"/>
              </w:rPr>
              <w:t>dialect</w:t>
            </w:r>
          </w:p>
        </w:tc>
        <w:tc>
          <w:tcPr>
            <w:tcW w:w="993" w:type="dxa"/>
            <w:vMerge w:val="restart"/>
            <w:shd w:val="clear" w:color="auto" w:fill="FFFFFF"/>
            <w:vAlign w:val="bottom"/>
          </w:tcPr>
          <w:p w14:paraId="0669296A" w14:textId="77777777" w:rsidR="00FF344B" w:rsidRPr="00CF31E0" w:rsidRDefault="00FF344B" w:rsidP="00FF344B">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Total</w:t>
            </w:r>
          </w:p>
        </w:tc>
      </w:tr>
      <w:tr w:rsidR="00F6645B" w:rsidRPr="00CF31E0" w14:paraId="30F895A8" w14:textId="77777777" w:rsidTr="00F6645B">
        <w:trPr>
          <w:cantSplit/>
        </w:trPr>
        <w:tc>
          <w:tcPr>
            <w:tcW w:w="2948" w:type="dxa"/>
            <w:gridSpan w:val="3"/>
            <w:vMerge/>
            <w:shd w:val="clear" w:color="auto" w:fill="FFFFFF"/>
            <w:vAlign w:val="bottom"/>
          </w:tcPr>
          <w:p w14:paraId="742D16DD" w14:textId="77777777" w:rsidR="00FF344B" w:rsidRPr="00CF31E0" w:rsidRDefault="00FF344B" w:rsidP="00FF344B">
            <w:pPr>
              <w:rPr>
                <w:rFonts w:asciiTheme="majorBidi" w:hAnsiTheme="majorBidi" w:cstheme="majorBidi"/>
                <w:color w:val="000000" w:themeColor="text1"/>
                <w:sz w:val="22"/>
                <w:szCs w:val="22"/>
              </w:rPr>
            </w:pPr>
          </w:p>
        </w:tc>
        <w:tc>
          <w:tcPr>
            <w:tcW w:w="744" w:type="dxa"/>
            <w:shd w:val="clear" w:color="auto" w:fill="FFFFFF"/>
            <w:vAlign w:val="bottom"/>
          </w:tcPr>
          <w:p w14:paraId="00D31BF8"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always</w:t>
            </w:r>
          </w:p>
        </w:tc>
        <w:tc>
          <w:tcPr>
            <w:tcW w:w="709" w:type="dxa"/>
            <w:shd w:val="clear" w:color="auto" w:fill="FFFFFF"/>
            <w:vAlign w:val="bottom"/>
          </w:tcPr>
          <w:p w14:paraId="3DE499FD"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never</w:t>
            </w:r>
          </w:p>
        </w:tc>
        <w:tc>
          <w:tcPr>
            <w:tcW w:w="707" w:type="dxa"/>
            <w:shd w:val="clear" w:color="auto" w:fill="FFFFFF"/>
            <w:vAlign w:val="bottom"/>
          </w:tcPr>
          <w:p w14:paraId="05F44ECA"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rarely</w:t>
            </w:r>
          </w:p>
        </w:tc>
        <w:tc>
          <w:tcPr>
            <w:tcW w:w="1134" w:type="dxa"/>
            <w:shd w:val="clear" w:color="auto" w:fill="FFFFFF"/>
            <w:vAlign w:val="bottom"/>
          </w:tcPr>
          <w:p w14:paraId="087F4C17"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sometimes</w:t>
            </w:r>
          </w:p>
        </w:tc>
        <w:tc>
          <w:tcPr>
            <w:tcW w:w="993" w:type="dxa"/>
            <w:vMerge/>
            <w:shd w:val="clear" w:color="auto" w:fill="FFFFFF"/>
            <w:vAlign w:val="bottom"/>
          </w:tcPr>
          <w:p w14:paraId="1696C462" w14:textId="77777777" w:rsidR="00FF344B" w:rsidRPr="00CF31E0" w:rsidRDefault="00FF344B" w:rsidP="00603CB7">
            <w:pPr>
              <w:jc w:val="right"/>
              <w:rPr>
                <w:rFonts w:asciiTheme="majorBidi" w:hAnsiTheme="majorBidi" w:cstheme="majorBidi"/>
                <w:color w:val="000000" w:themeColor="text1"/>
                <w:sz w:val="22"/>
                <w:szCs w:val="22"/>
              </w:rPr>
            </w:pPr>
          </w:p>
        </w:tc>
      </w:tr>
      <w:tr w:rsidR="00F6645B" w:rsidRPr="00CF31E0" w14:paraId="07B27A4C" w14:textId="77777777" w:rsidTr="00F6645B">
        <w:trPr>
          <w:cantSplit/>
        </w:trPr>
        <w:tc>
          <w:tcPr>
            <w:tcW w:w="856" w:type="dxa"/>
            <w:vMerge w:val="restart"/>
            <w:shd w:val="clear" w:color="auto" w:fill="FFFFFF"/>
          </w:tcPr>
          <w:p w14:paraId="4B920E65" w14:textId="77777777" w:rsidR="00FF344B" w:rsidRPr="00CF31E0" w:rsidRDefault="00FF344B" w:rsidP="00FF344B">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Social</w:t>
            </w:r>
          </w:p>
          <w:p w14:paraId="3D3F13A8" w14:textId="77777777" w:rsidR="00FF344B" w:rsidRPr="00CF31E0" w:rsidRDefault="00FF344B" w:rsidP="00FF344B">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group</w:t>
            </w:r>
          </w:p>
        </w:tc>
        <w:tc>
          <w:tcPr>
            <w:tcW w:w="709" w:type="dxa"/>
            <w:vMerge w:val="restart"/>
            <w:shd w:val="clear" w:color="auto" w:fill="FFFFFF"/>
          </w:tcPr>
          <w:p w14:paraId="37E1DB24" w14:textId="77777777" w:rsidR="00FF344B" w:rsidRPr="00CF31E0" w:rsidRDefault="00FF344B" w:rsidP="00FF344B">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UBH</w:t>
            </w:r>
          </w:p>
        </w:tc>
        <w:tc>
          <w:tcPr>
            <w:tcW w:w="1383" w:type="dxa"/>
            <w:shd w:val="clear" w:color="auto" w:fill="FFFFFF"/>
          </w:tcPr>
          <w:p w14:paraId="6EA0B603" w14:textId="0AA13792" w:rsidR="00FF344B" w:rsidRPr="00CF31E0" w:rsidRDefault="00F6645B" w:rsidP="00FF344B">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Raw frequency</w:t>
            </w:r>
          </w:p>
        </w:tc>
        <w:tc>
          <w:tcPr>
            <w:tcW w:w="744" w:type="dxa"/>
            <w:shd w:val="clear" w:color="auto" w:fill="FFFFFF"/>
            <w:vAlign w:val="center"/>
          </w:tcPr>
          <w:p w14:paraId="26738B4D"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19</w:t>
            </w:r>
          </w:p>
        </w:tc>
        <w:tc>
          <w:tcPr>
            <w:tcW w:w="709" w:type="dxa"/>
            <w:shd w:val="clear" w:color="auto" w:fill="FFFFFF"/>
            <w:vAlign w:val="center"/>
          </w:tcPr>
          <w:p w14:paraId="39B3C657"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161</w:t>
            </w:r>
          </w:p>
        </w:tc>
        <w:tc>
          <w:tcPr>
            <w:tcW w:w="707" w:type="dxa"/>
            <w:shd w:val="clear" w:color="auto" w:fill="FFFFFF"/>
            <w:vAlign w:val="center"/>
          </w:tcPr>
          <w:p w14:paraId="40CCC861"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82</w:t>
            </w:r>
          </w:p>
        </w:tc>
        <w:tc>
          <w:tcPr>
            <w:tcW w:w="1134" w:type="dxa"/>
            <w:shd w:val="clear" w:color="auto" w:fill="FFFFFF"/>
            <w:vAlign w:val="center"/>
          </w:tcPr>
          <w:p w14:paraId="0B3003BD" w14:textId="15EDC6D1" w:rsidR="00FF344B" w:rsidRPr="00CF31E0" w:rsidRDefault="005971F4"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61</w:t>
            </w:r>
          </w:p>
        </w:tc>
        <w:tc>
          <w:tcPr>
            <w:tcW w:w="993" w:type="dxa"/>
            <w:shd w:val="clear" w:color="auto" w:fill="FFFFFF"/>
            <w:vAlign w:val="center"/>
          </w:tcPr>
          <w:p w14:paraId="4C0C1C9C" w14:textId="4E97562D" w:rsidR="00FF344B" w:rsidRPr="00CF31E0" w:rsidRDefault="005971F4"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323</w:t>
            </w:r>
          </w:p>
        </w:tc>
      </w:tr>
      <w:tr w:rsidR="00F6645B" w:rsidRPr="00CF31E0" w14:paraId="4CA40826" w14:textId="77777777" w:rsidTr="00F6645B">
        <w:trPr>
          <w:cantSplit/>
        </w:trPr>
        <w:tc>
          <w:tcPr>
            <w:tcW w:w="856" w:type="dxa"/>
            <w:vMerge/>
            <w:shd w:val="clear" w:color="auto" w:fill="FFFFFF"/>
          </w:tcPr>
          <w:p w14:paraId="650A5F1E" w14:textId="77777777" w:rsidR="00FF344B" w:rsidRPr="00CF31E0" w:rsidRDefault="00FF344B" w:rsidP="00FF344B">
            <w:pPr>
              <w:rPr>
                <w:rFonts w:asciiTheme="majorBidi" w:hAnsiTheme="majorBidi" w:cstheme="majorBidi"/>
                <w:color w:val="000000" w:themeColor="text1"/>
                <w:sz w:val="22"/>
                <w:szCs w:val="22"/>
              </w:rPr>
            </w:pPr>
          </w:p>
        </w:tc>
        <w:tc>
          <w:tcPr>
            <w:tcW w:w="709" w:type="dxa"/>
            <w:vMerge/>
            <w:shd w:val="clear" w:color="auto" w:fill="FFFFFF"/>
          </w:tcPr>
          <w:p w14:paraId="59EFF3DD" w14:textId="77777777" w:rsidR="00FF344B" w:rsidRPr="00CF31E0" w:rsidRDefault="00FF344B" w:rsidP="00FF344B">
            <w:pPr>
              <w:rPr>
                <w:rFonts w:asciiTheme="majorBidi" w:hAnsiTheme="majorBidi" w:cstheme="majorBidi"/>
                <w:color w:val="000000" w:themeColor="text1"/>
                <w:sz w:val="22"/>
                <w:szCs w:val="22"/>
              </w:rPr>
            </w:pPr>
          </w:p>
        </w:tc>
        <w:tc>
          <w:tcPr>
            <w:tcW w:w="1383" w:type="dxa"/>
            <w:shd w:val="clear" w:color="auto" w:fill="FFFFFF"/>
          </w:tcPr>
          <w:p w14:paraId="656B49B0" w14:textId="77777777" w:rsidR="00FF344B" w:rsidRPr="00CF31E0" w:rsidRDefault="00FF344B" w:rsidP="00FF344B">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within Social group</w:t>
            </w:r>
          </w:p>
        </w:tc>
        <w:tc>
          <w:tcPr>
            <w:tcW w:w="744" w:type="dxa"/>
            <w:shd w:val="clear" w:color="auto" w:fill="FFFFFF"/>
            <w:vAlign w:val="center"/>
          </w:tcPr>
          <w:p w14:paraId="5FF6CE0F"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5.9%</w:t>
            </w:r>
          </w:p>
        </w:tc>
        <w:tc>
          <w:tcPr>
            <w:tcW w:w="709" w:type="dxa"/>
            <w:shd w:val="clear" w:color="auto" w:fill="FFFFFF"/>
            <w:vAlign w:val="center"/>
          </w:tcPr>
          <w:p w14:paraId="1A4C0F96"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49.7%</w:t>
            </w:r>
          </w:p>
        </w:tc>
        <w:tc>
          <w:tcPr>
            <w:tcW w:w="707" w:type="dxa"/>
            <w:shd w:val="clear" w:color="auto" w:fill="FFFFFF"/>
            <w:vAlign w:val="center"/>
          </w:tcPr>
          <w:p w14:paraId="72FEA3D0"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25.3%</w:t>
            </w:r>
          </w:p>
        </w:tc>
        <w:tc>
          <w:tcPr>
            <w:tcW w:w="1134" w:type="dxa"/>
            <w:shd w:val="clear" w:color="auto" w:fill="FFFFFF"/>
            <w:vAlign w:val="center"/>
          </w:tcPr>
          <w:p w14:paraId="2DDF56DA"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19.1%</w:t>
            </w:r>
          </w:p>
        </w:tc>
        <w:tc>
          <w:tcPr>
            <w:tcW w:w="993" w:type="dxa"/>
            <w:shd w:val="clear" w:color="auto" w:fill="FFFFFF"/>
            <w:vAlign w:val="center"/>
          </w:tcPr>
          <w:p w14:paraId="6C13BF6F"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100.0%</w:t>
            </w:r>
          </w:p>
        </w:tc>
      </w:tr>
      <w:tr w:rsidR="00F6645B" w:rsidRPr="00CF31E0" w14:paraId="4EB732BC" w14:textId="77777777" w:rsidTr="00F6645B">
        <w:trPr>
          <w:cantSplit/>
        </w:trPr>
        <w:tc>
          <w:tcPr>
            <w:tcW w:w="856" w:type="dxa"/>
            <w:vMerge/>
            <w:shd w:val="clear" w:color="auto" w:fill="FFFFFF"/>
          </w:tcPr>
          <w:p w14:paraId="4BD97956" w14:textId="77777777" w:rsidR="00FF344B" w:rsidRPr="00CF31E0" w:rsidRDefault="00FF344B" w:rsidP="00FF344B">
            <w:pPr>
              <w:rPr>
                <w:rFonts w:asciiTheme="majorBidi" w:hAnsiTheme="majorBidi" w:cstheme="majorBidi"/>
                <w:color w:val="000000" w:themeColor="text1"/>
                <w:sz w:val="22"/>
                <w:szCs w:val="22"/>
              </w:rPr>
            </w:pPr>
          </w:p>
        </w:tc>
        <w:tc>
          <w:tcPr>
            <w:tcW w:w="709" w:type="dxa"/>
            <w:vMerge/>
            <w:shd w:val="clear" w:color="auto" w:fill="FFFFFF"/>
          </w:tcPr>
          <w:p w14:paraId="7110C8C8" w14:textId="77777777" w:rsidR="00FF344B" w:rsidRPr="00CF31E0" w:rsidRDefault="00FF344B" w:rsidP="00FF344B">
            <w:pPr>
              <w:rPr>
                <w:rFonts w:asciiTheme="majorBidi" w:hAnsiTheme="majorBidi" w:cstheme="majorBidi"/>
                <w:color w:val="000000" w:themeColor="text1"/>
                <w:sz w:val="22"/>
                <w:szCs w:val="22"/>
              </w:rPr>
            </w:pPr>
          </w:p>
        </w:tc>
        <w:tc>
          <w:tcPr>
            <w:tcW w:w="1383" w:type="dxa"/>
            <w:shd w:val="clear" w:color="auto" w:fill="FFFFFF"/>
          </w:tcPr>
          <w:p w14:paraId="2BF39A1E" w14:textId="77777777" w:rsidR="00FF344B" w:rsidRPr="00CF31E0" w:rsidRDefault="00FF344B" w:rsidP="00FF344B">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of Total</w:t>
            </w:r>
          </w:p>
        </w:tc>
        <w:tc>
          <w:tcPr>
            <w:tcW w:w="744" w:type="dxa"/>
            <w:shd w:val="clear" w:color="auto" w:fill="FFFFFF"/>
            <w:vAlign w:val="center"/>
          </w:tcPr>
          <w:p w14:paraId="3B6C354F"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2.9%</w:t>
            </w:r>
          </w:p>
        </w:tc>
        <w:tc>
          <w:tcPr>
            <w:tcW w:w="709" w:type="dxa"/>
            <w:shd w:val="clear" w:color="auto" w:fill="FFFFFF"/>
            <w:vAlign w:val="center"/>
          </w:tcPr>
          <w:p w14:paraId="4145EB52"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24.8%</w:t>
            </w:r>
          </w:p>
        </w:tc>
        <w:tc>
          <w:tcPr>
            <w:tcW w:w="707" w:type="dxa"/>
            <w:shd w:val="clear" w:color="auto" w:fill="FFFFFF"/>
            <w:vAlign w:val="center"/>
          </w:tcPr>
          <w:p w14:paraId="3261778A"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12.6%</w:t>
            </w:r>
          </w:p>
        </w:tc>
        <w:tc>
          <w:tcPr>
            <w:tcW w:w="1134" w:type="dxa"/>
            <w:shd w:val="clear" w:color="auto" w:fill="FFFFFF"/>
            <w:vAlign w:val="center"/>
          </w:tcPr>
          <w:p w14:paraId="6033BF4C"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9.6%</w:t>
            </w:r>
          </w:p>
        </w:tc>
        <w:tc>
          <w:tcPr>
            <w:tcW w:w="993" w:type="dxa"/>
            <w:shd w:val="clear" w:color="auto" w:fill="FFFFFF"/>
            <w:vAlign w:val="center"/>
          </w:tcPr>
          <w:p w14:paraId="3C3EC277"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49.9%</w:t>
            </w:r>
          </w:p>
        </w:tc>
      </w:tr>
      <w:tr w:rsidR="00F6645B" w:rsidRPr="00CF31E0" w14:paraId="4B5E5EB3" w14:textId="77777777" w:rsidTr="00F6645B">
        <w:trPr>
          <w:cantSplit/>
        </w:trPr>
        <w:tc>
          <w:tcPr>
            <w:tcW w:w="856" w:type="dxa"/>
            <w:vMerge/>
            <w:shd w:val="clear" w:color="auto" w:fill="FFFFFF"/>
          </w:tcPr>
          <w:p w14:paraId="65223887" w14:textId="77777777" w:rsidR="00FF344B" w:rsidRPr="00CF31E0" w:rsidRDefault="00FF344B" w:rsidP="00FF344B">
            <w:pPr>
              <w:rPr>
                <w:rFonts w:asciiTheme="majorBidi" w:hAnsiTheme="majorBidi" w:cstheme="majorBidi"/>
                <w:color w:val="000000" w:themeColor="text1"/>
                <w:sz w:val="22"/>
                <w:szCs w:val="22"/>
              </w:rPr>
            </w:pPr>
          </w:p>
        </w:tc>
        <w:tc>
          <w:tcPr>
            <w:tcW w:w="709" w:type="dxa"/>
            <w:vMerge w:val="restart"/>
            <w:shd w:val="clear" w:color="auto" w:fill="FFFFFF"/>
          </w:tcPr>
          <w:p w14:paraId="6CDF71E6" w14:textId="77777777" w:rsidR="00FF344B" w:rsidRPr="00CF31E0" w:rsidRDefault="00FF344B" w:rsidP="00FF344B">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HH</w:t>
            </w:r>
          </w:p>
        </w:tc>
        <w:tc>
          <w:tcPr>
            <w:tcW w:w="1383" w:type="dxa"/>
            <w:shd w:val="clear" w:color="auto" w:fill="FFFFFF"/>
          </w:tcPr>
          <w:p w14:paraId="5321831C" w14:textId="38C9E794" w:rsidR="00FF344B" w:rsidRPr="00CF31E0" w:rsidRDefault="00F6645B" w:rsidP="00FF344B">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Raw frequency</w:t>
            </w:r>
          </w:p>
        </w:tc>
        <w:tc>
          <w:tcPr>
            <w:tcW w:w="744" w:type="dxa"/>
            <w:shd w:val="clear" w:color="auto" w:fill="FFFFFF"/>
            <w:vAlign w:val="center"/>
          </w:tcPr>
          <w:p w14:paraId="47AF9B11"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w:t>
            </w:r>
          </w:p>
        </w:tc>
        <w:tc>
          <w:tcPr>
            <w:tcW w:w="709" w:type="dxa"/>
            <w:shd w:val="clear" w:color="auto" w:fill="FFFFFF"/>
            <w:vAlign w:val="center"/>
          </w:tcPr>
          <w:p w14:paraId="36DCC979"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200</w:t>
            </w:r>
          </w:p>
        </w:tc>
        <w:tc>
          <w:tcPr>
            <w:tcW w:w="707" w:type="dxa"/>
            <w:shd w:val="clear" w:color="auto" w:fill="FFFFFF"/>
            <w:vAlign w:val="center"/>
          </w:tcPr>
          <w:p w14:paraId="4F29E8D2"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96</w:t>
            </w:r>
          </w:p>
        </w:tc>
        <w:tc>
          <w:tcPr>
            <w:tcW w:w="1134" w:type="dxa"/>
            <w:shd w:val="clear" w:color="auto" w:fill="FFFFFF"/>
            <w:vAlign w:val="center"/>
          </w:tcPr>
          <w:p w14:paraId="15D58D2B" w14:textId="5FE6022C" w:rsidR="00FF344B" w:rsidRPr="00CF31E0" w:rsidRDefault="005971F4"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28</w:t>
            </w:r>
          </w:p>
        </w:tc>
        <w:tc>
          <w:tcPr>
            <w:tcW w:w="993" w:type="dxa"/>
            <w:shd w:val="clear" w:color="auto" w:fill="FFFFFF"/>
            <w:vAlign w:val="center"/>
          </w:tcPr>
          <w:p w14:paraId="3C956C09" w14:textId="383517D6" w:rsidR="00FF344B" w:rsidRPr="00CF31E0" w:rsidRDefault="005971F4"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326</w:t>
            </w:r>
          </w:p>
        </w:tc>
      </w:tr>
      <w:tr w:rsidR="00F6645B" w:rsidRPr="00CF31E0" w14:paraId="2D88C98B" w14:textId="77777777" w:rsidTr="00F6645B">
        <w:trPr>
          <w:cantSplit/>
        </w:trPr>
        <w:tc>
          <w:tcPr>
            <w:tcW w:w="856" w:type="dxa"/>
            <w:vMerge/>
            <w:shd w:val="clear" w:color="auto" w:fill="FFFFFF"/>
          </w:tcPr>
          <w:p w14:paraId="7E63D32A" w14:textId="77777777" w:rsidR="00FF344B" w:rsidRPr="00CF31E0" w:rsidRDefault="00FF344B" w:rsidP="00FF344B">
            <w:pPr>
              <w:rPr>
                <w:rFonts w:asciiTheme="majorBidi" w:hAnsiTheme="majorBidi" w:cstheme="majorBidi"/>
                <w:color w:val="000000" w:themeColor="text1"/>
                <w:sz w:val="22"/>
                <w:szCs w:val="22"/>
              </w:rPr>
            </w:pPr>
          </w:p>
        </w:tc>
        <w:tc>
          <w:tcPr>
            <w:tcW w:w="709" w:type="dxa"/>
            <w:vMerge/>
            <w:shd w:val="clear" w:color="auto" w:fill="FFFFFF"/>
          </w:tcPr>
          <w:p w14:paraId="56A8DFCD" w14:textId="77777777" w:rsidR="00FF344B" w:rsidRPr="00CF31E0" w:rsidRDefault="00FF344B" w:rsidP="00FF344B">
            <w:pPr>
              <w:rPr>
                <w:rFonts w:asciiTheme="majorBidi" w:hAnsiTheme="majorBidi" w:cstheme="majorBidi"/>
                <w:color w:val="000000" w:themeColor="text1"/>
                <w:sz w:val="22"/>
                <w:szCs w:val="22"/>
              </w:rPr>
            </w:pPr>
          </w:p>
        </w:tc>
        <w:tc>
          <w:tcPr>
            <w:tcW w:w="1383" w:type="dxa"/>
            <w:shd w:val="clear" w:color="auto" w:fill="FFFFFF"/>
          </w:tcPr>
          <w:p w14:paraId="279EAAE5" w14:textId="77777777" w:rsidR="00FF344B" w:rsidRPr="00CF31E0" w:rsidRDefault="00FF344B" w:rsidP="00FF344B">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within Social group</w:t>
            </w:r>
          </w:p>
        </w:tc>
        <w:tc>
          <w:tcPr>
            <w:tcW w:w="744" w:type="dxa"/>
            <w:shd w:val="clear" w:color="auto" w:fill="FFFFFF"/>
            <w:vAlign w:val="center"/>
          </w:tcPr>
          <w:p w14:paraId="0D0ECA7E"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0.6%</w:t>
            </w:r>
          </w:p>
        </w:tc>
        <w:tc>
          <w:tcPr>
            <w:tcW w:w="709" w:type="dxa"/>
            <w:shd w:val="clear" w:color="auto" w:fill="FFFFFF"/>
            <w:vAlign w:val="center"/>
          </w:tcPr>
          <w:p w14:paraId="0B7AF933"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61.5%</w:t>
            </w:r>
          </w:p>
        </w:tc>
        <w:tc>
          <w:tcPr>
            <w:tcW w:w="707" w:type="dxa"/>
            <w:shd w:val="clear" w:color="auto" w:fill="FFFFFF"/>
            <w:vAlign w:val="center"/>
          </w:tcPr>
          <w:p w14:paraId="07B6E090"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29.5%</w:t>
            </w:r>
          </w:p>
        </w:tc>
        <w:tc>
          <w:tcPr>
            <w:tcW w:w="1134" w:type="dxa"/>
            <w:shd w:val="clear" w:color="auto" w:fill="FFFFFF"/>
            <w:vAlign w:val="center"/>
          </w:tcPr>
          <w:p w14:paraId="0DD1AF49"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8.3%</w:t>
            </w:r>
          </w:p>
        </w:tc>
        <w:tc>
          <w:tcPr>
            <w:tcW w:w="993" w:type="dxa"/>
            <w:shd w:val="clear" w:color="auto" w:fill="FFFFFF"/>
            <w:vAlign w:val="center"/>
          </w:tcPr>
          <w:p w14:paraId="403E351F"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100.0%</w:t>
            </w:r>
          </w:p>
        </w:tc>
      </w:tr>
      <w:tr w:rsidR="00F6645B" w:rsidRPr="00CF31E0" w14:paraId="5BD4F593" w14:textId="77777777" w:rsidTr="00F6645B">
        <w:trPr>
          <w:cantSplit/>
        </w:trPr>
        <w:tc>
          <w:tcPr>
            <w:tcW w:w="856" w:type="dxa"/>
            <w:vMerge/>
            <w:shd w:val="clear" w:color="auto" w:fill="FFFFFF"/>
          </w:tcPr>
          <w:p w14:paraId="73A8A6D2" w14:textId="77777777" w:rsidR="00FF344B" w:rsidRPr="00CF31E0" w:rsidRDefault="00FF344B" w:rsidP="00FF344B">
            <w:pPr>
              <w:rPr>
                <w:rFonts w:asciiTheme="majorBidi" w:hAnsiTheme="majorBidi" w:cstheme="majorBidi"/>
                <w:color w:val="000000" w:themeColor="text1"/>
                <w:sz w:val="22"/>
                <w:szCs w:val="22"/>
              </w:rPr>
            </w:pPr>
          </w:p>
        </w:tc>
        <w:tc>
          <w:tcPr>
            <w:tcW w:w="709" w:type="dxa"/>
            <w:vMerge/>
            <w:shd w:val="clear" w:color="auto" w:fill="FFFFFF"/>
          </w:tcPr>
          <w:p w14:paraId="2814B183" w14:textId="77777777" w:rsidR="00FF344B" w:rsidRPr="00CF31E0" w:rsidRDefault="00FF344B" w:rsidP="00FF344B">
            <w:pPr>
              <w:rPr>
                <w:rFonts w:asciiTheme="majorBidi" w:hAnsiTheme="majorBidi" w:cstheme="majorBidi"/>
                <w:color w:val="000000" w:themeColor="text1"/>
                <w:sz w:val="22"/>
                <w:szCs w:val="22"/>
              </w:rPr>
            </w:pPr>
          </w:p>
        </w:tc>
        <w:tc>
          <w:tcPr>
            <w:tcW w:w="1383" w:type="dxa"/>
            <w:shd w:val="clear" w:color="auto" w:fill="FFFFFF"/>
          </w:tcPr>
          <w:p w14:paraId="3CEAC5BB" w14:textId="77777777" w:rsidR="00FF344B" w:rsidRPr="00CF31E0" w:rsidRDefault="00FF344B" w:rsidP="00FF344B">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of Total</w:t>
            </w:r>
          </w:p>
        </w:tc>
        <w:tc>
          <w:tcPr>
            <w:tcW w:w="744" w:type="dxa"/>
            <w:shd w:val="clear" w:color="auto" w:fill="FFFFFF"/>
            <w:vAlign w:val="center"/>
          </w:tcPr>
          <w:p w14:paraId="15B07A4B"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0.3%</w:t>
            </w:r>
          </w:p>
        </w:tc>
        <w:tc>
          <w:tcPr>
            <w:tcW w:w="709" w:type="dxa"/>
            <w:shd w:val="clear" w:color="auto" w:fill="FFFFFF"/>
            <w:vAlign w:val="center"/>
          </w:tcPr>
          <w:p w14:paraId="2E503D2E"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30.8%</w:t>
            </w:r>
          </w:p>
        </w:tc>
        <w:tc>
          <w:tcPr>
            <w:tcW w:w="707" w:type="dxa"/>
            <w:shd w:val="clear" w:color="auto" w:fill="FFFFFF"/>
            <w:vAlign w:val="center"/>
          </w:tcPr>
          <w:p w14:paraId="5747CE73"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14.8%</w:t>
            </w:r>
          </w:p>
        </w:tc>
        <w:tc>
          <w:tcPr>
            <w:tcW w:w="1134" w:type="dxa"/>
            <w:shd w:val="clear" w:color="auto" w:fill="FFFFFF"/>
            <w:vAlign w:val="center"/>
          </w:tcPr>
          <w:p w14:paraId="78C7E937"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4.2%</w:t>
            </w:r>
          </w:p>
        </w:tc>
        <w:tc>
          <w:tcPr>
            <w:tcW w:w="993" w:type="dxa"/>
            <w:shd w:val="clear" w:color="auto" w:fill="FFFFFF"/>
            <w:vAlign w:val="center"/>
          </w:tcPr>
          <w:p w14:paraId="284AE236"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50.1%</w:t>
            </w:r>
          </w:p>
        </w:tc>
      </w:tr>
      <w:tr w:rsidR="00F6645B" w:rsidRPr="00CF31E0" w14:paraId="4D68940A" w14:textId="77777777" w:rsidTr="00F6645B">
        <w:trPr>
          <w:cantSplit/>
        </w:trPr>
        <w:tc>
          <w:tcPr>
            <w:tcW w:w="1565" w:type="dxa"/>
            <w:gridSpan w:val="2"/>
            <w:vMerge w:val="restart"/>
            <w:shd w:val="clear" w:color="auto" w:fill="FFFFFF"/>
          </w:tcPr>
          <w:p w14:paraId="13DDFEF1" w14:textId="77777777" w:rsidR="00FF344B" w:rsidRPr="00CF31E0" w:rsidRDefault="00FF344B" w:rsidP="00FF344B">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Total</w:t>
            </w:r>
          </w:p>
        </w:tc>
        <w:tc>
          <w:tcPr>
            <w:tcW w:w="1383" w:type="dxa"/>
            <w:shd w:val="clear" w:color="auto" w:fill="FFFFFF"/>
          </w:tcPr>
          <w:p w14:paraId="468A24AA" w14:textId="686208B9" w:rsidR="00FF344B" w:rsidRPr="00CF31E0" w:rsidRDefault="00F6645B" w:rsidP="00FF344B">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Raw frequency</w:t>
            </w:r>
          </w:p>
        </w:tc>
        <w:tc>
          <w:tcPr>
            <w:tcW w:w="744" w:type="dxa"/>
            <w:shd w:val="clear" w:color="auto" w:fill="FFFFFF"/>
            <w:vAlign w:val="center"/>
          </w:tcPr>
          <w:p w14:paraId="3CAD61AE"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21</w:t>
            </w:r>
          </w:p>
        </w:tc>
        <w:tc>
          <w:tcPr>
            <w:tcW w:w="709" w:type="dxa"/>
            <w:shd w:val="clear" w:color="auto" w:fill="FFFFFF"/>
            <w:vAlign w:val="center"/>
          </w:tcPr>
          <w:p w14:paraId="62891478"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361</w:t>
            </w:r>
          </w:p>
        </w:tc>
        <w:tc>
          <w:tcPr>
            <w:tcW w:w="707" w:type="dxa"/>
            <w:shd w:val="clear" w:color="auto" w:fill="FFFFFF"/>
            <w:vAlign w:val="center"/>
          </w:tcPr>
          <w:p w14:paraId="3FE32BA4"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178</w:t>
            </w:r>
          </w:p>
        </w:tc>
        <w:tc>
          <w:tcPr>
            <w:tcW w:w="1134" w:type="dxa"/>
            <w:shd w:val="clear" w:color="auto" w:fill="FFFFFF"/>
            <w:vAlign w:val="center"/>
          </w:tcPr>
          <w:p w14:paraId="090E0993"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89</w:t>
            </w:r>
          </w:p>
        </w:tc>
        <w:tc>
          <w:tcPr>
            <w:tcW w:w="993" w:type="dxa"/>
            <w:shd w:val="clear" w:color="auto" w:fill="FFFFFF"/>
            <w:vAlign w:val="center"/>
          </w:tcPr>
          <w:p w14:paraId="7A91FB74"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649</w:t>
            </w:r>
          </w:p>
        </w:tc>
      </w:tr>
      <w:tr w:rsidR="00F6645B" w:rsidRPr="00CF31E0" w14:paraId="45C941C8" w14:textId="77777777" w:rsidTr="00F6645B">
        <w:trPr>
          <w:cantSplit/>
        </w:trPr>
        <w:tc>
          <w:tcPr>
            <w:tcW w:w="1565" w:type="dxa"/>
            <w:gridSpan w:val="2"/>
            <w:vMerge/>
            <w:shd w:val="clear" w:color="auto" w:fill="FFFFFF"/>
          </w:tcPr>
          <w:p w14:paraId="40042A0F" w14:textId="77777777" w:rsidR="00FF344B" w:rsidRPr="00CF31E0" w:rsidRDefault="00FF344B" w:rsidP="00FF344B">
            <w:pPr>
              <w:rPr>
                <w:rFonts w:asciiTheme="majorBidi" w:hAnsiTheme="majorBidi" w:cstheme="majorBidi"/>
                <w:color w:val="000000" w:themeColor="text1"/>
                <w:sz w:val="22"/>
                <w:szCs w:val="22"/>
              </w:rPr>
            </w:pPr>
          </w:p>
        </w:tc>
        <w:tc>
          <w:tcPr>
            <w:tcW w:w="1383" w:type="dxa"/>
            <w:shd w:val="clear" w:color="auto" w:fill="FFFFFF"/>
          </w:tcPr>
          <w:p w14:paraId="7ACE66E6" w14:textId="77777777" w:rsidR="00FF344B" w:rsidRPr="00CF31E0" w:rsidRDefault="00FF344B" w:rsidP="00FF344B">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within Social group</w:t>
            </w:r>
          </w:p>
        </w:tc>
        <w:tc>
          <w:tcPr>
            <w:tcW w:w="744" w:type="dxa"/>
            <w:shd w:val="clear" w:color="auto" w:fill="FFFFFF"/>
            <w:vAlign w:val="center"/>
          </w:tcPr>
          <w:p w14:paraId="5B4E8382"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3.2%</w:t>
            </w:r>
          </w:p>
        </w:tc>
        <w:tc>
          <w:tcPr>
            <w:tcW w:w="709" w:type="dxa"/>
            <w:shd w:val="clear" w:color="auto" w:fill="FFFFFF"/>
            <w:vAlign w:val="center"/>
          </w:tcPr>
          <w:p w14:paraId="6E17F91A"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55.6%</w:t>
            </w:r>
          </w:p>
        </w:tc>
        <w:tc>
          <w:tcPr>
            <w:tcW w:w="707" w:type="dxa"/>
            <w:shd w:val="clear" w:color="auto" w:fill="FFFFFF"/>
            <w:vAlign w:val="center"/>
          </w:tcPr>
          <w:p w14:paraId="28BC4359"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27.4%</w:t>
            </w:r>
          </w:p>
        </w:tc>
        <w:tc>
          <w:tcPr>
            <w:tcW w:w="1134" w:type="dxa"/>
            <w:shd w:val="clear" w:color="auto" w:fill="FFFFFF"/>
            <w:vAlign w:val="center"/>
          </w:tcPr>
          <w:p w14:paraId="59706C32"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13.7%</w:t>
            </w:r>
          </w:p>
        </w:tc>
        <w:tc>
          <w:tcPr>
            <w:tcW w:w="993" w:type="dxa"/>
            <w:shd w:val="clear" w:color="auto" w:fill="FFFFFF"/>
            <w:vAlign w:val="center"/>
          </w:tcPr>
          <w:p w14:paraId="48F3A337"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100.0%</w:t>
            </w:r>
          </w:p>
        </w:tc>
      </w:tr>
      <w:tr w:rsidR="00F6645B" w:rsidRPr="00CF31E0" w14:paraId="7207358A" w14:textId="77777777" w:rsidTr="00F6645B">
        <w:trPr>
          <w:cantSplit/>
        </w:trPr>
        <w:tc>
          <w:tcPr>
            <w:tcW w:w="1565" w:type="dxa"/>
            <w:gridSpan w:val="2"/>
            <w:vMerge/>
            <w:shd w:val="clear" w:color="auto" w:fill="FFFFFF"/>
          </w:tcPr>
          <w:p w14:paraId="54ED7676" w14:textId="77777777" w:rsidR="00FF344B" w:rsidRPr="00CF31E0" w:rsidRDefault="00FF344B" w:rsidP="00FF344B">
            <w:pPr>
              <w:rPr>
                <w:rFonts w:asciiTheme="majorBidi" w:hAnsiTheme="majorBidi" w:cstheme="majorBidi"/>
                <w:color w:val="000000" w:themeColor="text1"/>
                <w:sz w:val="22"/>
                <w:szCs w:val="22"/>
              </w:rPr>
            </w:pPr>
          </w:p>
        </w:tc>
        <w:tc>
          <w:tcPr>
            <w:tcW w:w="1383" w:type="dxa"/>
            <w:shd w:val="clear" w:color="auto" w:fill="FFFFFF"/>
          </w:tcPr>
          <w:p w14:paraId="34E680C8" w14:textId="77777777" w:rsidR="00FF344B" w:rsidRPr="00CF31E0" w:rsidRDefault="00FF344B" w:rsidP="00FF344B">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of Total</w:t>
            </w:r>
          </w:p>
        </w:tc>
        <w:tc>
          <w:tcPr>
            <w:tcW w:w="744" w:type="dxa"/>
            <w:shd w:val="clear" w:color="auto" w:fill="FFFFFF"/>
            <w:vAlign w:val="center"/>
          </w:tcPr>
          <w:p w14:paraId="09E7526D"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3.2%</w:t>
            </w:r>
          </w:p>
        </w:tc>
        <w:tc>
          <w:tcPr>
            <w:tcW w:w="709" w:type="dxa"/>
            <w:shd w:val="clear" w:color="auto" w:fill="FFFFFF"/>
            <w:vAlign w:val="center"/>
          </w:tcPr>
          <w:p w14:paraId="0A51C3F1"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55.6%</w:t>
            </w:r>
          </w:p>
        </w:tc>
        <w:tc>
          <w:tcPr>
            <w:tcW w:w="707" w:type="dxa"/>
            <w:shd w:val="clear" w:color="auto" w:fill="FFFFFF"/>
            <w:vAlign w:val="center"/>
          </w:tcPr>
          <w:p w14:paraId="7DD6ABB2"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27.4%</w:t>
            </w:r>
          </w:p>
        </w:tc>
        <w:tc>
          <w:tcPr>
            <w:tcW w:w="1134" w:type="dxa"/>
            <w:shd w:val="clear" w:color="auto" w:fill="FFFFFF"/>
            <w:vAlign w:val="center"/>
          </w:tcPr>
          <w:p w14:paraId="2F85BFE1"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13.7%</w:t>
            </w:r>
          </w:p>
        </w:tc>
        <w:tc>
          <w:tcPr>
            <w:tcW w:w="993" w:type="dxa"/>
            <w:shd w:val="clear" w:color="auto" w:fill="FFFFFF"/>
            <w:vAlign w:val="center"/>
          </w:tcPr>
          <w:p w14:paraId="391EEA17" w14:textId="77777777" w:rsidR="00FF344B" w:rsidRPr="00CF31E0" w:rsidRDefault="00FF344B" w:rsidP="00603CB7">
            <w:pPr>
              <w:spacing w:line="320" w:lineRule="atLeast"/>
              <w:ind w:left="60" w:right="60"/>
              <w:jc w:val="right"/>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100.0%</w:t>
            </w:r>
          </w:p>
        </w:tc>
      </w:tr>
    </w:tbl>
    <w:p w14:paraId="0543330E" w14:textId="1A4BB7E4" w:rsidR="00A23C2A" w:rsidRPr="00CF31E0" w:rsidRDefault="00A23C2A" w:rsidP="00730917">
      <w:pPr>
        <w:pStyle w:val="Tablecaption"/>
      </w:pPr>
      <w:bookmarkStart w:id="476" w:name="_Toc522527429"/>
      <w:bookmarkStart w:id="477" w:name="_Toc522628841"/>
      <w:bookmarkStart w:id="478" w:name="_Toc522629005"/>
      <w:bookmarkStart w:id="479" w:name="_Toc6473102"/>
      <w:r w:rsidRPr="00CF31E0">
        <w:t xml:space="preserve">Table </w:t>
      </w:r>
      <w:r w:rsidR="008E0FC8" w:rsidRPr="00CF31E0">
        <w:t>7</w:t>
      </w:r>
      <w:r w:rsidR="00404887" w:rsidRPr="00CF31E0">
        <w:t>.</w:t>
      </w:r>
      <w:r w:rsidRPr="00CF31E0">
        <w:t>25: Social group-Q8 crosstabulation.</w:t>
      </w:r>
      <w:bookmarkEnd w:id="476"/>
      <w:bookmarkEnd w:id="477"/>
      <w:bookmarkEnd w:id="478"/>
      <w:bookmarkEnd w:id="479"/>
      <w:r w:rsidRPr="00CF31E0">
        <w:t xml:space="preserve"> </w:t>
      </w:r>
    </w:p>
    <w:p w14:paraId="6A7FCC26" w14:textId="65DA71A7" w:rsidR="00A23C2A" w:rsidRPr="00CF31E0" w:rsidRDefault="00A23C2A" w:rsidP="00603CB7">
      <w:pPr>
        <w:pStyle w:val="Paragraph"/>
      </w:pPr>
      <w:r w:rsidRPr="00CF31E0">
        <w:t xml:space="preserve">Table </w:t>
      </w:r>
      <w:r w:rsidR="008E0FC8" w:rsidRPr="00CF31E0">
        <w:t>7</w:t>
      </w:r>
      <w:r w:rsidR="00404887" w:rsidRPr="00CF31E0">
        <w:t>.</w:t>
      </w:r>
      <w:r w:rsidRPr="00CF31E0">
        <w:t xml:space="preserve">25 illustrates that, </w:t>
      </w:r>
      <w:r w:rsidR="004E49C0" w:rsidRPr="00CF31E0">
        <w:t xml:space="preserve">within social group, first, 5.9% of </w:t>
      </w:r>
      <w:r w:rsidRPr="00CF31E0">
        <w:t>UBH participants perceived HHs to always speak</w:t>
      </w:r>
      <w:r w:rsidR="004E49C0" w:rsidRPr="00CF31E0">
        <w:t xml:space="preserve"> the UBH dialect, while 0.6% of</w:t>
      </w:r>
      <w:r w:rsidRPr="00CF31E0">
        <w:t xml:space="preserve"> HH participants had </w:t>
      </w:r>
      <w:r w:rsidR="004E49C0" w:rsidRPr="00CF31E0">
        <w:t>the same perception. Second, 49.7% of</w:t>
      </w:r>
      <w:r w:rsidRPr="00CF31E0">
        <w:t xml:space="preserve"> UBH participants perceived HHs to never </w:t>
      </w:r>
      <w:r w:rsidR="002519A7" w:rsidRPr="00CF31E0">
        <w:t>speak the UBH dialect, while 61.5% of</w:t>
      </w:r>
      <w:r w:rsidRPr="00CF31E0">
        <w:t xml:space="preserve"> HH participants ha</w:t>
      </w:r>
      <w:r w:rsidR="002519A7" w:rsidRPr="00CF31E0">
        <w:t>d the same perception. Third, 25.3% of</w:t>
      </w:r>
      <w:r w:rsidRPr="00CF31E0">
        <w:t xml:space="preserve"> UBH participants considered HH participants to rarely s</w:t>
      </w:r>
      <w:r w:rsidR="002519A7" w:rsidRPr="00CF31E0">
        <w:t>peak the UBH dialect, whereas 29.5%</w:t>
      </w:r>
      <w:r w:rsidRPr="00CF31E0">
        <w:t xml:space="preserve"> </w:t>
      </w:r>
      <w:r w:rsidR="002519A7" w:rsidRPr="00CF31E0">
        <w:lastRenderedPageBreak/>
        <w:t xml:space="preserve">of </w:t>
      </w:r>
      <w:r w:rsidRPr="00CF31E0">
        <w:t>HH participants sele</w:t>
      </w:r>
      <w:r w:rsidR="002519A7" w:rsidRPr="00CF31E0">
        <w:t>cted the same answer. Fourth, 19.1% of</w:t>
      </w:r>
      <w:r w:rsidRPr="00CF31E0">
        <w:t xml:space="preserve"> UBH participants assumed that HH participants sometimes speak t</w:t>
      </w:r>
      <w:r w:rsidR="002519A7" w:rsidRPr="00CF31E0">
        <w:t>he UBH dialect; however, only 8.3% of</w:t>
      </w:r>
      <w:r w:rsidRPr="00CF31E0">
        <w:t xml:space="preserve"> HH participants selected the same answer. Overall, the general pattern that can be deduced from the above results is that the HH participants’ perceptions indicate that they speak the UBH dialect less frequently than is perceived by the UBH participants. </w:t>
      </w:r>
    </w:p>
    <w:p w14:paraId="6284BC6A" w14:textId="4F43C15A" w:rsidR="00A23C2A" w:rsidRPr="00CF31E0" w:rsidRDefault="00A23C2A" w:rsidP="00603CB7">
      <w:pPr>
        <w:pStyle w:val="Paragraph"/>
      </w:pPr>
      <w:r w:rsidRPr="00CF31E0">
        <w:t xml:space="preserve">The mother’s social group and the spouse’s social group demographic results revealed the same pattern as the above. </w:t>
      </w:r>
      <w:r w:rsidR="00A06672" w:rsidRPr="00CF31E0">
        <w:t>See Appendix 2</w:t>
      </w:r>
      <w:r w:rsidRPr="00CF31E0">
        <w:t xml:space="preserve"> for Chi-square test results for mother’s social group and spouse social group demographic variables. </w:t>
      </w:r>
    </w:p>
    <w:p w14:paraId="59306511" w14:textId="08470CFB" w:rsidR="00A23C2A" w:rsidRPr="00CF31E0" w:rsidRDefault="003B1221" w:rsidP="00E87209">
      <w:pPr>
        <w:pStyle w:val="Ahead"/>
        <w:rPr>
          <w:rFonts w:eastAsia="Times New Roman"/>
        </w:rPr>
      </w:pPr>
      <w:bookmarkStart w:id="480" w:name="_Toc6472719"/>
      <w:r w:rsidRPr="00CF31E0">
        <w:rPr>
          <w:rFonts w:eastAsia="Times New Roman"/>
        </w:rPr>
        <w:t>7</w:t>
      </w:r>
      <w:r w:rsidR="00D449FD" w:rsidRPr="00CF31E0">
        <w:rPr>
          <w:rFonts w:eastAsia="Times New Roman"/>
        </w:rPr>
        <w:t>.9.</w:t>
      </w:r>
      <w:r w:rsidR="00F106E7" w:rsidRPr="00CF31E0">
        <w:rPr>
          <w:rFonts w:eastAsia="Times New Roman"/>
        </w:rPr>
        <w:tab/>
      </w:r>
      <w:r w:rsidR="00A23C2A" w:rsidRPr="00CF31E0">
        <w:rPr>
          <w:rFonts w:eastAsia="Times New Roman"/>
        </w:rPr>
        <w:t>Q8: When does intermarriage start to happen between the two social groups?</w:t>
      </w:r>
      <w:bookmarkEnd w:id="480"/>
    </w:p>
    <w:p w14:paraId="30A22374" w14:textId="28C9AF95" w:rsidR="00A23C2A" w:rsidRPr="00CF31E0" w:rsidRDefault="00A23C2A" w:rsidP="00603CB7">
      <w:pPr>
        <w:pStyle w:val="Paragraph"/>
      </w:pPr>
      <w:r w:rsidRPr="00CF31E0">
        <w:t xml:space="preserve">In the above question, participants were provided with two choices: in recent times, in the past. The findings revealed that the majority of participants perceived intermarriage to have recently occurred. See Table </w:t>
      </w:r>
      <w:r w:rsidR="003B1221" w:rsidRPr="00CF31E0">
        <w:t>7</w:t>
      </w:r>
      <w:r w:rsidR="00D449FD" w:rsidRPr="00CF31E0">
        <w:t>.</w:t>
      </w:r>
      <w:r w:rsidRPr="00CF31E0">
        <w:t xml:space="preserve">26. </w:t>
      </w:r>
    </w:p>
    <w:tbl>
      <w:tblPr>
        <w:tblW w:w="0" w:type="auto"/>
        <w:tblBorders>
          <w:top w:val="single" w:sz="4" w:space="0" w:color="auto"/>
          <w:bottom w:val="single" w:sz="4" w:space="0" w:color="auto"/>
        </w:tblBorders>
        <w:tblLook w:val="0000" w:firstRow="0" w:lastRow="0" w:firstColumn="0" w:lastColumn="0" w:noHBand="0" w:noVBand="0"/>
      </w:tblPr>
      <w:tblGrid>
        <w:gridCol w:w="3936"/>
        <w:gridCol w:w="1134"/>
      </w:tblGrid>
      <w:tr w:rsidR="007F558A" w:rsidRPr="00CF31E0" w14:paraId="0759962E" w14:textId="77777777" w:rsidTr="00603CB7">
        <w:trPr>
          <w:cantSplit/>
        </w:trPr>
        <w:tc>
          <w:tcPr>
            <w:tcW w:w="3936" w:type="dxa"/>
            <w:tcBorders>
              <w:top w:val="single" w:sz="4" w:space="0" w:color="auto"/>
              <w:bottom w:val="single" w:sz="4" w:space="0" w:color="auto"/>
            </w:tcBorders>
          </w:tcPr>
          <w:p w14:paraId="371AD057" w14:textId="77777777" w:rsidR="00A23C2A" w:rsidRPr="00CF31E0" w:rsidRDefault="00A23C2A"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The beginning of intermarriage </w:t>
            </w:r>
          </w:p>
        </w:tc>
        <w:tc>
          <w:tcPr>
            <w:tcW w:w="1134" w:type="dxa"/>
            <w:tcBorders>
              <w:top w:val="single" w:sz="4" w:space="0" w:color="auto"/>
              <w:bottom w:val="single" w:sz="4" w:space="0" w:color="auto"/>
            </w:tcBorders>
          </w:tcPr>
          <w:p w14:paraId="1AB75C38" w14:textId="77777777" w:rsidR="00A23C2A" w:rsidRPr="00CF31E0" w:rsidRDefault="00A23C2A"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Number</w:t>
            </w:r>
          </w:p>
        </w:tc>
      </w:tr>
      <w:tr w:rsidR="007F558A" w:rsidRPr="00CF31E0" w14:paraId="1007A062" w14:textId="77777777" w:rsidTr="00603CB7">
        <w:trPr>
          <w:cantSplit/>
        </w:trPr>
        <w:tc>
          <w:tcPr>
            <w:tcW w:w="3936" w:type="dxa"/>
            <w:tcBorders>
              <w:top w:val="nil"/>
            </w:tcBorders>
          </w:tcPr>
          <w:p w14:paraId="12E32147" w14:textId="77777777" w:rsidR="00A23C2A" w:rsidRPr="00CF31E0" w:rsidRDefault="00A23C2A"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In recent times</w:t>
            </w:r>
          </w:p>
        </w:tc>
        <w:tc>
          <w:tcPr>
            <w:tcW w:w="1134" w:type="dxa"/>
            <w:tcBorders>
              <w:top w:val="nil"/>
            </w:tcBorders>
          </w:tcPr>
          <w:p w14:paraId="2E806DF8" w14:textId="77777777" w:rsidR="00A23C2A" w:rsidRPr="00CF31E0" w:rsidRDefault="00A23C2A"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563</w:t>
            </w:r>
          </w:p>
        </w:tc>
      </w:tr>
      <w:tr w:rsidR="007F558A" w:rsidRPr="00CF31E0" w14:paraId="3DA16D99" w14:textId="77777777" w:rsidTr="00603CB7">
        <w:trPr>
          <w:cantSplit/>
        </w:trPr>
        <w:tc>
          <w:tcPr>
            <w:tcW w:w="3936" w:type="dxa"/>
          </w:tcPr>
          <w:p w14:paraId="0FA0888D" w14:textId="77777777" w:rsidR="00A23C2A" w:rsidRPr="00CF31E0" w:rsidRDefault="00A23C2A"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In the past</w:t>
            </w:r>
          </w:p>
        </w:tc>
        <w:tc>
          <w:tcPr>
            <w:tcW w:w="1134" w:type="dxa"/>
          </w:tcPr>
          <w:p w14:paraId="1CA33E80" w14:textId="73EC2D0D" w:rsidR="00A23C2A" w:rsidRPr="00CF31E0" w:rsidRDefault="008D5D64" w:rsidP="00603CB7">
            <w:pPr>
              <w:keepNext/>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  </w:t>
            </w:r>
            <w:r w:rsidR="00A23C2A" w:rsidRPr="00CF31E0">
              <w:rPr>
                <w:rFonts w:eastAsia="Calibri"/>
                <w:color w:val="000000" w:themeColor="text1"/>
                <w:sz w:val="22"/>
                <w:szCs w:val="22"/>
                <w:lang w:eastAsia="en-US"/>
              </w:rPr>
              <w:t>86</w:t>
            </w:r>
          </w:p>
        </w:tc>
      </w:tr>
    </w:tbl>
    <w:p w14:paraId="74F649CA" w14:textId="5C61BC05" w:rsidR="00A23C2A" w:rsidRPr="00CF31E0" w:rsidRDefault="00A23C2A" w:rsidP="00730917">
      <w:pPr>
        <w:pStyle w:val="Tablecaption"/>
      </w:pPr>
      <w:bookmarkStart w:id="481" w:name="_Toc522527430"/>
      <w:bookmarkStart w:id="482" w:name="_Toc522628842"/>
      <w:bookmarkStart w:id="483" w:name="_Toc522629006"/>
      <w:bookmarkStart w:id="484" w:name="_Toc6473103"/>
      <w:r w:rsidRPr="00CF31E0">
        <w:t xml:space="preserve">Table </w:t>
      </w:r>
      <w:r w:rsidR="003B1221" w:rsidRPr="00CF31E0">
        <w:t>7</w:t>
      </w:r>
      <w:r w:rsidR="00D449FD" w:rsidRPr="00CF31E0">
        <w:t>.</w:t>
      </w:r>
      <w:r w:rsidRPr="00CF31E0">
        <w:t>26: Participants’ selection of the choices provided in Q8.</w:t>
      </w:r>
      <w:bookmarkEnd w:id="481"/>
      <w:bookmarkEnd w:id="482"/>
      <w:bookmarkEnd w:id="483"/>
      <w:bookmarkEnd w:id="484"/>
    </w:p>
    <w:p w14:paraId="5006696F" w14:textId="05324F50" w:rsidR="00A23C2A" w:rsidRPr="00CF31E0" w:rsidRDefault="00A23C2A" w:rsidP="00603CB7">
      <w:pPr>
        <w:pStyle w:val="Paragraph"/>
      </w:pPr>
      <w:r w:rsidRPr="00CF31E0">
        <w:t>As can be seen, 563 participants perceived intermarriage to be a recent phenomenon, while only 86 participants perceived that it happened in the past.</w:t>
      </w:r>
      <w:r w:rsidR="002E2A22" w:rsidRPr="00CF31E0">
        <w:t xml:space="preserve"> </w:t>
      </w:r>
      <w:r w:rsidRPr="00CF31E0">
        <w:t xml:space="preserve">I conducted a series of chi-square tests; the results showed that none of the demographic variables seem to affect the data. </w:t>
      </w:r>
    </w:p>
    <w:p w14:paraId="3BDB8426" w14:textId="2C77044D" w:rsidR="00A23C2A" w:rsidRPr="00CF31E0" w:rsidRDefault="003B1221" w:rsidP="00E87209">
      <w:pPr>
        <w:pStyle w:val="Ahead"/>
        <w:rPr>
          <w:rFonts w:eastAsia="Times New Roman"/>
        </w:rPr>
      </w:pPr>
      <w:bookmarkStart w:id="485" w:name="_Toc6472720"/>
      <w:r w:rsidRPr="00CF31E0">
        <w:rPr>
          <w:rFonts w:eastAsia="Times New Roman"/>
        </w:rPr>
        <w:t>7</w:t>
      </w:r>
      <w:r w:rsidR="00D449FD" w:rsidRPr="00CF31E0">
        <w:rPr>
          <w:rFonts w:eastAsia="Times New Roman"/>
        </w:rPr>
        <w:t>.10.</w:t>
      </w:r>
      <w:r w:rsidR="00F106E7" w:rsidRPr="00CF31E0">
        <w:rPr>
          <w:rFonts w:eastAsia="Times New Roman"/>
        </w:rPr>
        <w:tab/>
      </w:r>
      <w:r w:rsidR="00A23C2A" w:rsidRPr="00CF31E0">
        <w:rPr>
          <w:rFonts w:eastAsia="Times New Roman"/>
        </w:rPr>
        <w:t>Q9: Is intermarriage acceptable among UBHs?</w:t>
      </w:r>
      <w:bookmarkEnd w:id="485"/>
    </w:p>
    <w:p w14:paraId="2E4CDA9B" w14:textId="46287C3F" w:rsidR="00C54384" w:rsidRPr="00CF31E0" w:rsidRDefault="00A23C2A" w:rsidP="00FE3128">
      <w:pPr>
        <w:pStyle w:val="Paragraph"/>
      </w:pPr>
      <w:r w:rsidRPr="00CF31E0">
        <w:t xml:space="preserve">In the above question, the participants were provided with four choices: strongly agree, agree, disagree and strongly disagree. The findings revealed </w:t>
      </w:r>
      <w:r w:rsidRPr="00CF31E0">
        <w:lastRenderedPageBreak/>
        <w:t>that the majority of participants did not consider intermarriage to be an acceptable phenomenon among UBHs</w:t>
      </w:r>
      <w:r w:rsidR="00B61F1F" w:rsidRPr="00CF31E0">
        <w:t xml:space="preserve"> (s</w:t>
      </w:r>
      <w:r w:rsidRPr="00CF31E0">
        <w:t xml:space="preserve">ee Table </w:t>
      </w:r>
      <w:r w:rsidR="003B1221" w:rsidRPr="00CF31E0">
        <w:t>7</w:t>
      </w:r>
      <w:r w:rsidR="00D449FD" w:rsidRPr="00CF31E0">
        <w:t>.</w:t>
      </w:r>
      <w:r w:rsidRPr="00CF31E0">
        <w:t>27</w:t>
      </w:r>
      <w:r w:rsidR="00B61F1F" w:rsidRPr="00CF31E0">
        <w:t>)</w:t>
      </w:r>
      <w:r w:rsidRPr="00CF31E0">
        <w:t>.</w:t>
      </w:r>
    </w:p>
    <w:tbl>
      <w:tblPr>
        <w:tblW w:w="0" w:type="auto"/>
        <w:tblBorders>
          <w:top w:val="single" w:sz="4" w:space="0" w:color="auto"/>
          <w:bottom w:val="single" w:sz="4" w:space="0" w:color="auto"/>
        </w:tblBorders>
        <w:tblLook w:val="0000" w:firstRow="0" w:lastRow="0" w:firstColumn="0" w:lastColumn="0" w:noHBand="0" w:noVBand="0"/>
      </w:tblPr>
      <w:tblGrid>
        <w:gridCol w:w="4786"/>
        <w:gridCol w:w="1134"/>
      </w:tblGrid>
      <w:tr w:rsidR="007F558A" w:rsidRPr="00CF31E0" w14:paraId="12C24F22" w14:textId="77777777" w:rsidTr="00603CB7">
        <w:trPr>
          <w:cantSplit/>
        </w:trPr>
        <w:tc>
          <w:tcPr>
            <w:tcW w:w="4786" w:type="dxa"/>
            <w:tcBorders>
              <w:top w:val="single" w:sz="4" w:space="0" w:color="auto"/>
              <w:bottom w:val="single" w:sz="4" w:space="0" w:color="auto"/>
            </w:tcBorders>
          </w:tcPr>
          <w:p w14:paraId="68C73B26" w14:textId="77777777" w:rsidR="00A23C2A" w:rsidRPr="00CF31E0" w:rsidRDefault="00A23C2A"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Intermarriage is acceptable among UBHs</w:t>
            </w:r>
          </w:p>
        </w:tc>
        <w:tc>
          <w:tcPr>
            <w:tcW w:w="1134" w:type="dxa"/>
            <w:tcBorders>
              <w:top w:val="single" w:sz="4" w:space="0" w:color="auto"/>
              <w:bottom w:val="single" w:sz="4" w:space="0" w:color="auto"/>
            </w:tcBorders>
          </w:tcPr>
          <w:p w14:paraId="3E350309" w14:textId="77777777" w:rsidR="00A23C2A" w:rsidRPr="00CF31E0" w:rsidRDefault="00A23C2A"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Number</w:t>
            </w:r>
          </w:p>
        </w:tc>
      </w:tr>
      <w:tr w:rsidR="007F558A" w:rsidRPr="00CF31E0" w14:paraId="3FEB8BBC" w14:textId="77777777" w:rsidTr="00603CB7">
        <w:trPr>
          <w:cantSplit/>
        </w:trPr>
        <w:tc>
          <w:tcPr>
            <w:tcW w:w="4786" w:type="dxa"/>
            <w:tcBorders>
              <w:top w:val="single" w:sz="4" w:space="0" w:color="auto"/>
              <w:bottom w:val="nil"/>
            </w:tcBorders>
          </w:tcPr>
          <w:p w14:paraId="43627D2E" w14:textId="77777777" w:rsidR="00A23C2A" w:rsidRPr="00CF31E0" w:rsidRDefault="00A23C2A"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Strongly agree</w:t>
            </w:r>
          </w:p>
        </w:tc>
        <w:tc>
          <w:tcPr>
            <w:tcW w:w="1134" w:type="dxa"/>
            <w:tcBorders>
              <w:top w:val="single" w:sz="4" w:space="0" w:color="auto"/>
              <w:bottom w:val="nil"/>
            </w:tcBorders>
          </w:tcPr>
          <w:p w14:paraId="34691F89" w14:textId="05715211" w:rsidR="00A23C2A" w:rsidRPr="00CF31E0" w:rsidRDefault="00B61F1F"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  </w:t>
            </w:r>
            <w:r w:rsidR="00A23C2A" w:rsidRPr="00CF31E0">
              <w:rPr>
                <w:rFonts w:eastAsia="Calibri"/>
                <w:color w:val="000000" w:themeColor="text1"/>
                <w:sz w:val="22"/>
                <w:szCs w:val="22"/>
                <w:lang w:eastAsia="en-US"/>
              </w:rPr>
              <w:t>32</w:t>
            </w:r>
          </w:p>
        </w:tc>
      </w:tr>
      <w:tr w:rsidR="007F558A" w:rsidRPr="00CF31E0" w14:paraId="63FD4F54" w14:textId="77777777" w:rsidTr="00603CB7">
        <w:trPr>
          <w:cantSplit/>
        </w:trPr>
        <w:tc>
          <w:tcPr>
            <w:tcW w:w="4786" w:type="dxa"/>
            <w:tcBorders>
              <w:top w:val="nil"/>
            </w:tcBorders>
          </w:tcPr>
          <w:p w14:paraId="4A5C7148" w14:textId="77777777" w:rsidR="00A23C2A" w:rsidRPr="00CF31E0" w:rsidRDefault="00A23C2A"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Agree</w:t>
            </w:r>
          </w:p>
        </w:tc>
        <w:tc>
          <w:tcPr>
            <w:tcW w:w="1134" w:type="dxa"/>
            <w:tcBorders>
              <w:top w:val="nil"/>
            </w:tcBorders>
          </w:tcPr>
          <w:p w14:paraId="5772A3A8" w14:textId="77777777" w:rsidR="00A23C2A" w:rsidRPr="00CF31E0" w:rsidRDefault="00A23C2A"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122</w:t>
            </w:r>
          </w:p>
        </w:tc>
      </w:tr>
      <w:tr w:rsidR="007F558A" w:rsidRPr="00CF31E0" w14:paraId="15B7A834" w14:textId="77777777" w:rsidTr="00603CB7">
        <w:trPr>
          <w:cantSplit/>
        </w:trPr>
        <w:tc>
          <w:tcPr>
            <w:tcW w:w="4786" w:type="dxa"/>
          </w:tcPr>
          <w:p w14:paraId="07D9278E" w14:textId="77777777" w:rsidR="00A23C2A" w:rsidRPr="00CF31E0" w:rsidRDefault="00A23C2A"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Disagree</w:t>
            </w:r>
          </w:p>
        </w:tc>
        <w:tc>
          <w:tcPr>
            <w:tcW w:w="1134" w:type="dxa"/>
          </w:tcPr>
          <w:p w14:paraId="30CF247D" w14:textId="77777777" w:rsidR="00A23C2A" w:rsidRPr="00CF31E0" w:rsidRDefault="00A23C2A" w:rsidP="00603CB7">
            <w:pPr>
              <w:keepNext/>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380</w:t>
            </w:r>
          </w:p>
        </w:tc>
      </w:tr>
      <w:tr w:rsidR="007F558A" w:rsidRPr="00CF31E0" w14:paraId="10912704" w14:textId="77777777" w:rsidTr="00603CB7">
        <w:trPr>
          <w:cantSplit/>
        </w:trPr>
        <w:tc>
          <w:tcPr>
            <w:tcW w:w="4786" w:type="dxa"/>
          </w:tcPr>
          <w:p w14:paraId="41BC8FBC" w14:textId="77777777" w:rsidR="00A23C2A" w:rsidRPr="00CF31E0" w:rsidRDefault="00A23C2A"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Strongly disagree</w:t>
            </w:r>
          </w:p>
        </w:tc>
        <w:tc>
          <w:tcPr>
            <w:tcW w:w="1134" w:type="dxa"/>
          </w:tcPr>
          <w:p w14:paraId="79E2E5A7" w14:textId="77777777" w:rsidR="00A23C2A" w:rsidRPr="00CF31E0" w:rsidRDefault="00A23C2A" w:rsidP="00603CB7">
            <w:pPr>
              <w:keepNext/>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115</w:t>
            </w:r>
          </w:p>
        </w:tc>
      </w:tr>
    </w:tbl>
    <w:p w14:paraId="2B9274C9" w14:textId="23CA3A84" w:rsidR="00A23C2A" w:rsidRPr="00CF31E0" w:rsidRDefault="00A23C2A" w:rsidP="00730917">
      <w:pPr>
        <w:pStyle w:val="Tablecaption"/>
      </w:pPr>
      <w:bookmarkStart w:id="486" w:name="_Toc522527431"/>
      <w:bookmarkStart w:id="487" w:name="_Toc522628843"/>
      <w:bookmarkStart w:id="488" w:name="_Toc522629007"/>
      <w:bookmarkStart w:id="489" w:name="_Toc6473104"/>
      <w:r w:rsidRPr="00CF31E0">
        <w:t xml:space="preserve">Table </w:t>
      </w:r>
      <w:r w:rsidR="003B1221" w:rsidRPr="00CF31E0">
        <w:t>7</w:t>
      </w:r>
      <w:r w:rsidR="00D449FD" w:rsidRPr="00CF31E0">
        <w:t>.</w:t>
      </w:r>
      <w:r w:rsidRPr="00CF31E0">
        <w:t>27: Participants’ selection of the choices provided in Q9.</w:t>
      </w:r>
      <w:bookmarkEnd w:id="486"/>
      <w:bookmarkEnd w:id="487"/>
      <w:bookmarkEnd w:id="488"/>
      <w:bookmarkEnd w:id="489"/>
    </w:p>
    <w:p w14:paraId="37640D56" w14:textId="2033AA0E" w:rsidR="00A23C2A" w:rsidRPr="00CF31E0" w:rsidRDefault="00A23C2A" w:rsidP="00603CB7">
      <w:pPr>
        <w:pStyle w:val="Paragraph"/>
      </w:pPr>
      <w:r w:rsidRPr="00CF31E0">
        <w:t xml:space="preserve">As can be seen from Table </w:t>
      </w:r>
      <w:r w:rsidR="003B1221" w:rsidRPr="00CF31E0">
        <w:t>7</w:t>
      </w:r>
      <w:r w:rsidR="00D449FD" w:rsidRPr="00CF31E0">
        <w:t>.</w:t>
      </w:r>
      <w:r w:rsidRPr="00CF31E0">
        <w:t xml:space="preserve">27, only 32 participants strongly agreed with the statement provided above, while 122 participants agreed. However, 380 participants disagreed that intermarriage is acceptable among UBHs, which is a dramatic increase. Finally, 115 participants supported the latter result by selecting the choice </w:t>
      </w:r>
      <w:r w:rsidRPr="00CF31E0">
        <w:rPr>
          <w:i/>
          <w:iCs/>
        </w:rPr>
        <w:t>strongly disagree</w:t>
      </w:r>
      <w:r w:rsidRPr="00CF31E0">
        <w:t xml:space="preserve">. </w:t>
      </w:r>
    </w:p>
    <w:p w14:paraId="4F85A481" w14:textId="790F953A" w:rsidR="00A23C2A" w:rsidRPr="00CF31E0" w:rsidRDefault="003B1221" w:rsidP="00E87209">
      <w:pPr>
        <w:pStyle w:val="Bhead"/>
      </w:pPr>
      <w:bookmarkStart w:id="490" w:name="_Toc6472721"/>
      <w:r w:rsidRPr="00CF31E0">
        <w:t>7</w:t>
      </w:r>
      <w:r w:rsidR="00D449FD" w:rsidRPr="00CF31E0">
        <w:t>.10.1.</w:t>
      </w:r>
      <w:r w:rsidR="001458D0" w:rsidRPr="00CF31E0">
        <w:tab/>
      </w:r>
      <w:r w:rsidR="00A23C2A" w:rsidRPr="00CF31E0">
        <w:t>Effects of demographic variables on the data</w:t>
      </w:r>
      <w:bookmarkEnd w:id="490"/>
    </w:p>
    <w:p w14:paraId="5504CA45" w14:textId="77777777" w:rsidR="00A23C2A" w:rsidRPr="00CF31E0" w:rsidRDefault="00A23C2A" w:rsidP="00603CB7">
      <w:pPr>
        <w:pStyle w:val="Paragraph"/>
      </w:pPr>
      <w:r w:rsidRPr="00CF31E0">
        <w:t xml:space="preserve">The chi-square test revealed that three demographic variables affected the data: social group, mother’s social group and spouse’s social group. </w:t>
      </w:r>
    </w:p>
    <w:p w14:paraId="64641728" w14:textId="65DCD079" w:rsidR="00A23C2A" w:rsidRPr="00CF31E0" w:rsidRDefault="003B1221" w:rsidP="00E87209">
      <w:pPr>
        <w:pStyle w:val="Chead"/>
      </w:pPr>
      <w:bookmarkStart w:id="491" w:name="_Toc6472722"/>
      <w:r w:rsidRPr="00CF31E0">
        <w:t>7</w:t>
      </w:r>
      <w:r w:rsidR="00D449FD" w:rsidRPr="00CF31E0">
        <w:t>.10.1.1.</w:t>
      </w:r>
      <w:r w:rsidR="001458D0" w:rsidRPr="00CF31E0">
        <w:tab/>
      </w:r>
      <w:r w:rsidR="00A23C2A" w:rsidRPr="00CF31E0">
        <w:t>Social group</w:t>
      </w:r>
      <w:bookmarkEnd w:id="491"/>
    </w:p>
    <w:p w14:paraId="6ED94D98" w14:textId="63369C47" w:rsidR="00A23C2A" w:rsidRPr="00CF31E0" w:rsidRDefault="00A23C2A" w:rsidP="00603CB7">
      <w:pPr>
        <w:pStyle w:val="Paragraph"/>
      </w:pPr>
      <w:r w:rsidRPr="00CF31E0">
        <w:t xml:space="preserve">The two social groups were significantly different in terms of their answers to the question provided. Table </w:t>
      </w:r>
      <w:r w:rsidR="003B1221" w:rsidRPr="00CF31E0">
        <w:t>7</w:t>
      </w:r>
      <w:r w:rsidR="00D449FD" w:rsidRPr="00CF31E0">
        <w:t>.</w:t>
      </w:r>
      <w:r w:rsidRPr="00CF31E0">
        <w:t xml:space="preserve">28 illustrates that the p value is &lt;.001, while Table </w:t>
      </w:r>
      <w:r w:rsidR="003B1221" w:rsidRPr="00CF31E0">
        <w:t>7.</w:t>
      </w:r>
      <w:r w:rsidRPr="00CF31E0">
        <w:t>29 shows where the difference lies between the two groups.</w:t>
      </w:r>
    </w:p>
    <w:tbl>
      <w:tblPr>
        <w:tblW w:w="7246" w:type="dxa"/>
        <w:tblLayout w:type="fixed"/>
        <w:tblLook w:val="04A0" w:firstRow="1" w:lastRow="0" w:firstColumn="1" w:lastColumn="0" w:noHBand="0" w:noVBand="1"/>
      </w:tblPr>
      <w:tblGrid>
        <w:gridCol w:w="2269"/>
        <w:gridCol w:w="1151"/>
        <w:gridCol w:w="431"/>
        <w:gridCol w:w="3395"/>
      </w:tblGrid>
      <w:tr w:rsidR="00E73298" w:rsidRPr="00CF31E0" w14:paraId="7B29968D" w14:textId="77777777" w:rsidTr="00603CB7">
        <w:trPr>
          <w:trHeight w:val="495"/>
        </w:trPr>
        <w:tc>
          <w:tcPr>
            <w:tcW w:w="2269" w:type="dxa"/>
            <w:tcBorders>
              <w:top w:val="single" w:sz="8" w:space="0" w:color="auto"/>
              <w:bottom w:val="single" w:sz="8" w:space="0" w:color="auto"/>
            </w:tcBorders>
            <w:shd w:val="clear" w:color="auto" w:fill="auto"/>
            <w:hideMark/>
          </w:tcPr>
          <w:p w14:paraId="2E52D565" w14:textId="77777777" w:rsidR="00E73298" w:rsidRPr="00CF31E0" w:rsidRDefault="00E73298" w:rsidP="00603CB7">
            <w:pPr>
              <w:spacing w:before="80" w:after="200" w:line="276" w:lineRule="auto"/>
              <w:rPr>
                <w:rFonts w:eastAsia="Calibri"/>
                <w:color w:val="000000" w:themeColor="text1"/>
                <w:sz w:val="22"/>
                <w:szCs w:val="22"/>
                <w:lang w:val="en-US" w:eastAsia="en-US"/>
              </w:rPr>
            </w:pPr>
          </w:p>
        </w:tc>
        <w:tc>
          <w:tcPr>
            <w:tcW w:w="1151" w:type="dxa"/>
            <w:tcBorders>
              <w:top w:val="single" w:sz="8" w:space="0" w:color="auto"/>
              <w:bottom w:val="single" w:sz="8" w:space="0" w:color="auto"/>
            </w:tcBorders>
            <w:shd w:val="clear" w:color="auto" w:fill="auto"/>
            <w:hideMark/>
          </w:tcPr>
          <w:p w14:paraId="3AD1603A" w14:textId="77777777" w:rsidR="00E73298" w:rsidRPr="00CF31E0" w:rsidRDefault="00E73298" w:rsidP="00603CB7">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431" w:type="dxa"/>
            <w:tcBorders>
              <w:top w:val="single" w:sz="8" w:space="0" w:color="auto"/>
              <w:bottom w:val="single" w:sz="8" w:space="0" w:color="auto"/>
            </w:tcBorders>
            <w:shd w:val="clear" w:color="auto" w:fill="auto"/>
          </w:tcPr>
          <w:p w14:paraId="0D65776D" w14:textId="77777777" w:rsidR="00E73298" w:rsidRPr="00CF31E0" w:rsidRDefault="00E73298" w:rsidP="00603CB7">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df</w:t>
            </w:r>
          </w:p>
        </w:tc>
        <w:tc>
          <w:tcPr>
            <w:tcW w:w="3395" w:type="dxa"/>
            <w:tcBorders>
              <w:top w:val="single" w:sz="8" w:space="0" w:color="auto"/>
              <w:bottom w:val="single" w:sz="8" w:space="0" w:color="auto"/>
            </w:tcBorders>
            <w:shd w:val="clear" w:color="auto" w:fill="auto"/>
          </w:tcPr>
          <w:p w14:paraId="08A348B9" w14:textId="77777777" w:rsidR="00E73298" w:rsidRPr="00CF31E0" w:rsidRDefault="00E73298" w:rsidP="00603CB7">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E73298" w:rsidRPr="00CF31E0" w14:paraId="7F45F7E0" w14:textId="77777777" w:rsidTr="00603CB7">
        <w:trPr>
          <w:trHeight w:val="495"/>
        </w:trPr>
        <w:tc>
          <w:tcPr>
            <w:tcW w:w="2269" w:type="dxa"/>
            <w:tcBorders>
              <w:top w:val="single" w:sz="8" w:space="0" w:color="auto"/>
            </w:tcBorders>
            <w:shd w:val="clear" w:color="auto" w:fill="auto"/>
            <w:vAlign w:val="bottom"/>
          </w:tcPr>
          <w:p w14:paraId="0581AC04" w14:textId="77777777" w:rsidR="00E73298" w:rsidRPr="00CF31E0" w:rsidRDefault="00E73298" w:rsidP="00B61F1F">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51" w:type="dxa"/>
            <w:tcBorders>
              <w:top w:val="single" w:sz="8" w:space="0" w:color="auto"/>
            </w:tcBorders>
            <w:shd w:val="clear" w:color="auto" w:fill="auto"/>
            <w:vAlign w:val="bottom"/>
          </w:tcPr>
          <w:p w14:paraId="5AB0D49E" w14:textId="77777777" w:rsidR="00E73298" w:rsidRPr="00CF31E0" w:rsidRDefault="00E73298" w:rsidP="00B61F1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23.130</w:t>
            </w:r>
            <w:r w:rsidRPr="00CF31E0">
              <w:rPr>
                <w:rFonts w:eastAsia="Calibri"/>
                <w:color w:val="000000" w:themeColor="text1"/>
                <w:sz w:val="22"/>
                <w:szCs w:val="22"/>
                <w:vertAlign w:val="superscript"/>
                <w:lang w:eastAsia="en-US"/>
              </w:rPr>
              <w:t>a</w:t>
            </w:r>
          </w:p>
        </w:tc>
        <w:tc>
          <w:tcPr>
            <w:tcW w:w="431" w:type="dxa"/>
            <w:tcBorders>
              <w:top w:val="single" w:sz="8" w:space="0" w:color="auto"/>
            </w:tcBorders>
            <w:shd w:val="clear" w:color="auto" w:fill="auto"/>
            <w:vAlign w:val="bottom"/>
          </w:tcPr>
          <w:p w14:paraId="4CD98FF5" w14:textId="7AD428B3" w:rsidR="00E73298" w:rsidRPr="00CF31E0" w:rsidRDefault="00481818" w:rsidP="00B61F1F">
            <w:pPr>
              <w:spacing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1</w:t>
            </w:r>
          </w:p>
        </w:tc>
        <w:tc>
          <w:tcPr>
            <w:tcW w:w="3395" w:type="dxa"/>
            <w:tcBorders>
              <w:top w:val="single" w:sz="8" w:space="0" w:color="auto"/>
            </w:tcBorders>
            <w:shd w:val="clear" w:color="auto" w:fill="auto"/>
            <w:vAlign w:val="bottom"/>
          </w:tcPr>
          <w:p w14:paraId="51748CAF" w14:textId="77777777" w:rsidR="00E73298" w:rsidRPr="00CF31E0" w:rsidRDefault="00E73298" w:rsidP="00B61F1F">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.000</w:t>
            </w:r>
          </w:p>
        </w:tc>
      </w:tr>
      <w:tr w:rsidR="00E73298" w:rsidRPr="00CF31E0" w14:paraId="458E2AAD" w14:textId="77777777" w:rsidTr="00603CB7">
        <w:trPr>
          <w:trHeight w:val="495"/>
        </w:trPr>
        <w:tc>
          <w:tcPr>
            <w:tcW w:w="2269" w:type="dxa"/>
            <w:tcBorders>
              <w:bottom w:val="single" w:sz="8" w:space="0" w:color="auto"/>
            </w:tcBorders>
            <w:shd w:val="clear" w:color="auto" w:fill="auto"/>
            <w:vAlign w:val="bottom"/>
          </w:tcPr>
          <w:p w14:paraId="2109326C" w14:textId="77777777" w:rsidR="00E73298" w:rsidRPr="00CF31E0" w:rsidRDefault="00E73298" w:rsidP="00B61F1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51" w:type="dxa"/>
            <w:tcBorders>
              <w:bottom w:val="single" w:sz="8" w:space="0" w:color="auto"/>
            </w:tcBorders>
            <w:shd w:val="clear" w:color="auto" w:fill="auto"/>
            <w:vAlign w:val="bottom"/>
          </w:tcPr>
          <w:p w14:paraId="78E01E51" w14:textId="77777777" w:rsidR="00E73298" w:rsidRPr="00CF31E0" w:rsidRDefault="00E73298" w:rsidP="00B61F1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431" w:type="dxa"/>
            <w:tcBorders>
              <w:bottom w:val="single" w:sz="8" w:space="0" w:color="auto"/>
            </w:tcBorders>
            <w:shd w:val="clear" w:color="auto" w:fill="auto"/>
            <w:vAlign w:val="bottom"/>
          </w:tcPr>
          <w:p w14:paraId="48F7F566" w14:textId="77777777" w:rsidR="00E73298" w:rsidRPr="00CF31E0" w:rsidRDefault="00E73298" w:rsidP="00B61F1F">
            <w:pPr>
              <w:spacing w:after="200" w:line="276" w:lineRule="auto"/>
              <w:rPr>
                <w:rFonts w:eastAsia="Calibri"/>
                <w:color w:val="000000" w:themeColor="text1"/>
                <w:sz w:val="22"/>
                <w:szCs w:val="22"/>
                <w:lang w:val="en-US" w:eastAsia="en-US"/>
              </w:rPr>
            </w:pPr>
          </w:p>
        </w:tc>
        <w:tc>
          <w:tcPr>
            <w:tcW w:w="3395" w:type="dxa"/>
            <w:tcBorders>
              <w:bottom w:val="single" w:sz="8" w:space="0" w:color="auto"/>
            </w:tcBorders>
            <w:shd w:val="clear" w:color="auto" w:fill="auto"/>
            <w:vAlign w:val="bottom"/>
          </w:tcPr>
          <w:p w14:paraId="6B8E1A27" w14:textId="77777777" w:rsidR="00E73298" w:rsidRPr="00CF31E0" w:rsidRDefault="00E73298" w:rsidP="00B61F1F">
            <w:pPr>
              <w:spacing w:after="200" w:line="276" w:lineRule="auto"/>
              <w:rPr>
                <w:rFonts w:eastAsia="Calibri"/>
                <w:color w:val="000000" w:themeColor="text1"/>
                <w:sz w:val="22"/>
                <w:szCs w:val="22"/>
                <w:lang w:eastAsia="en-US"/>
              </w:rPr>
            </w:pPr>
          </w:p>
        </w:tc>
      </w:tr>
      <w:tr w:rsidR="00E73298" w:rsidRPr="00CF31E0" w14:paraId="20FD1CB7" w14:textId="77777777" w:rsidTr="00603CB7">
        <w:trPr>
          <w:trHeight w:val="360"/>
        </w:trPr>
        <w:tc>
          <w:tcPr>
            <w:tcW w:w="7246" w:type="dxa"/>
            <w:gridSpan w:val="4"/>
            <w:tcBorders>
              <w:top w:val="single" w:sz="8" w:space="0" w:color="auto"/>
              <w:bottom w:val="single" w:sz="8" w:space="0" w:color="auto"/>
            </w:tcBorders>
            <w:shd w:val="clear" w:color="auto" w:fill="auto"/>
          </w:tcPr>
          <w:p w14:paraId="7A0806E3" w14:textId="4E648F24" w:rsidR="00E73298" w:rsidRPr="00CF31E0" w:rsidRDefault="00E73298" w:rsidP="00E73298">
            <w:pPr>
              <w:spacing w:before="80" w:after="80"/>
              <w:rPr>
                <w:rFonts w:eastAsia="Calibri"/>
                <w:color w:val="000000" w:themeColor="text1"/>
                <w:sz w:val="22"/>
                <w:szCs w:val="22"/>
                <w:lang w:eastAsia="en-US"/>
              </w:rPr>
            </w:pPr>
            <w:r w:rsidRPr="00CF31E0">
              <w:rPr>
                <w:rFonts w:eastAsia="Calibri"/>
                <w:color w:val="000000" w:themeColor="text1"/>
                <w:sz w:val="22"/>
                <w:szCs w:val="22"/>
                <w:lang w:eastAsia="en-US"/>
              </w:rPr>
              <w:t xml:space="preserve">a. 0 cells (.0%) have expected </w:t>
            </w:r>
            <w:r w:rsidR="00F03C9C" w:rsidRPr="00CF31E0">
              <w:rPr>
                <w:rFonts w:eastAsia="Calibri"/>
                <w:color w:val="000000" w:themeColor="text1"/>
                <w:sz w:val="22"/>
                <w:szCs w:val="22"/>
                <w:lang w:eastAsia="en-US"/>
              </w:rPr>
              <w:t>Count</w:t>
            </w:r>
            <w:r w:rsidRPr="00CF31E0">
              <w:rPr>
                <w:rFonts w:eastAsia="Calibri"/>
                <w:color w:val="000000" w:themeColor="text1"/>
                <w:sz w:val="22"/>
                <w:szCs w:val="22"/>
                <w:lang w:eastAsia="en-US"/>
              </w:rPr>
              <w:t xml:space="preserve"> less than 5. The minimum expected </w:t>
            </w:r>
            <w:r w:rsidR="00F03C9C" w:rsidRPr="00CF31E0">
              <w:rPr>
                <w:rFonts w:eastAsia="Calibri"/>
                <w:color w:val="000000" w:themeColor="text1"/>
                <w:sz w:val="22"/>
                <w:szCs w:val="22"/>
                <w:lang w:eastAsia="en-US"/>
              </w:rPr>
              <w:t>Count</w:t>
            </w:r>
            <w:r w:rsidRPr="00CF31E0">
              <w:rPr>
                <w:rFonts w:eastAsia="Calibri"/>
                <w:color w:val="000000" w:themeColor="text1"/>
                <w:sz w:val="22"/>
                <w:szCs w:val="22"/>
                <w:lang w:eastAsia="en-US"/>
              </w:rPr>
              <w:t xml:space="preserve"> is 15.98.</w:t>
            </w:r>
          </w:p>
        </w:tc>
      </w:tr>
    </w:tbl>
    <w:p w14:paraId="267C9656" w14:textId="6A63C009" w:rsidR="00A23C2A" w:rsidRPr="00CF31E0" w:rsidRDefault="00A23C2A" w:rsidP="00730917">
      <w:pPr>
        <w:pStyle w:val="Tablecaption"/>
      </w:pPr>
      <w:bookmarkStart w:id="492" w:name="_Toc522527432"/>
      <w:bookmarkStart w:id="493" w:name="_Toc522628844"/>
      <w:bookmarkStart w:id="494" w:name="_Toc522629008"/>
      <w:bookmarkStart w:id="495" w:name="_Toc6473105"/>
      <w:r w:rsidRPr="00CF31E0">
        <w:t xml:space="preserve">Table </w:t>
      </w:r>
      <w:r w:rsidR="003B1221" w:rsidRPr="00CF31E0">
        <w:t>7</w:t>
      </w:r>
      <w:r w:rsidR="00D449FD" w:rsidRPr="00CF31E0">
        <w:t>.</w:t>
      </w:r>
      <w:r w:rsidRPr="00CF31E0">
        <w:t>28: Chi-</w:t>
      </w:r>
      <w:r w:rsidR="00481818" w:rsidRPr="00CF31E0">
        <w:t>square test results for</w:t>
      </w:r>
      <w:r w:rsidRPr="00CF31E0">
        <w:t xml:space="preserve"> social group demographic variable.</w:t>
      </w:r>
      <w:bookmarkEnd w:id="492"/>
      <w:bookmarkEnd w:id="493"/>
      <w:bookmarkEnd w:id="494"/>
      <w:bookmarkEnd w:id="495"/>
    </w:p>
    <w:tbl>
      <w:tblPr>
        <w:tblW w:w="7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4"/>
        <w:gridCol w:w="709"/>
        <w:gridCol w:w="1560"/>
        <w:gridCol w:w="708"/>
        <w:gridCol w:w="870"/>
        <w:gridCol w:w="973"/>
        <w:gridCol w:w="1012"/>
        <w:gridCol w:w="850"/>
      </w:tblGrid>
      <w:tr w:rsidR="00F6645B" w:rsidRPr="00CF31E0" w14:paraId="4E039C98" w14:textId="77777777" w:rsidTr="00F6645B">
        <w:trPr>
          <w:cantSplit/>
        </w:trPr>
        <w:tc>
          <w:tcPr>
            <w:tcW w:w="2983" w:type="dxa"/>
            <w:gridSpan w:val="3"/>
            <w:vMerge w:val="restart"/>
            <w:shd w:val="clear" w:color="auto" w:fill="FFFFFF"/>
            <w:vAlign w:val="bottom"/>
          </w:tcPr>
          <w:p w14:paraId="7500E8B3" w14:textId="77777777" w:rsidR="00E97FF2" w:rsidRPr="00CF31E0" w:rsidRDefault="00E97FF2" w:rsidP="008A0939">
            <w:pPr>
              <w:rPr>
                <w:rFonts w:asciiTheme="majorBidi" w:hAnsiTheme="majorBidi" w:cstheme="majorBidi"/>
                <w:color w:val="000000" w:themeColor="text1"/>
                <w:sz w:val="22"/>
                <w:szCs w:val="22"/>
              </w:rPr>
            </w:pPr>
          </w:p>
        </w:tc>
        <w:tc>
          <w:tcPr>
            <w:tcW w:w="3563" w:type="dxa"/>
            <w:gridSpan w:val="4"/>
            <w:shd w:val="clear" w:color="auto" w:fill="FFFFFF"/>
            <w:vAlign w:val="bottom"/>
          </w:tcPr>
          <w:p w14:paraId="3EEC2280" w14:textId="0DEEFA17" w:rsidR="00E97FF2" w:rsidRPr="00CF31E0" w:rsidRDefault="00F6645B" w:rsidP="008A0939">
            <w:pPr>
              <w:spacing w:line="320" w:lineRule="atLeast"/>
              <w:ind w:left="60" w:right="60"/>
              <w:jc w:val="center"/>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xml:space="preserve">Is intermarriage acceptable </w:t>
            </w:r>
            <w:r w:rsidR="00E97FF2" w:rsidRPr="00CF31E0">
              <w:rPr>
                <w:rFonts w:asciiTheme="majorBidi" w:hAnsiTheme="majorBidi" w:cstheme="majorBidi"/>
                <w:color w:val="000000" w:themeColor="text1"/>
                <w:sz w:val="22"/>
                <w:szCs w:val="22"/>
              </w:rPr>
              <w:t>among_</w:t>
            </w:r>
            <w:r w:rsidR="00E73298" w:rsidRPr="00CF31E0">
              <w:rPr>
                <w:rFonts w:asciiTheme="majorBidi" w:hAnsiTheme="majorBidi" w:cstheme="majorBidi"/>
                <w:color w:val="000000" w:themeColor="text1"/>
                <w:sz w:val="22"/>
                <w:szCs w:val="22"/>
              </w:rPr>
              <w:t xml:space="preserve"> </w:t>
            </w:r>
            <w:r w:rsidR="00FF4DC7" w:rsidRPr="00CF31E0">
              <w:rPr>
                <w:rFonts w:asciiTheme="majorBidi" w:hAnsiTheme="majorBidi" w:cstheme="majorBidi"/>
                <w:color w:val="000000" w:themeColor="text1"/>
                <w:sz w:val="22"/>
                <w:szCs w:val="22"/>
              </w:rPr>
              <w:t>UBH</w:t>
            </w:r>
          </w:p>
        </w:tc>
        <w:tc>
          <w:tcPr>
            <w:tcW w:w="850" w:type="dxa"/>
            <w:vMerge w:val="restart"/>
            <w:shd w:val="clear" w:color="auto" w:fill="FFFFFF"/>
            <w:vAlign w:val="bottom"/>
          </w:tcPr>
          <w:p w14:paraId="03F44B91"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Total</w:t>
            </w:r>
          </w:p>
        </w:tc>
      </w:tr>
      <w:tr w:rsidR="00F6645B" w:rsidRPr="00CF31E0" w14:paraId="4533D640" w14:textId="77777777" w:rsidTr="00F6645B">
        <w:trPr>
          <w:cantSplit/>
        </w:trPr>
        <w:tc>
          <w:tcPr>
            <w:tcW w:w="2983" w:type="dxa"/>
            <w:gridSpan w:val="3"/>
            <w:vMerge/>
            <w:shd w:val="clear" w:color="auto" w:fill="FFFFFF"/>
            <w:vAlign w:val="bottom"/>
          </w:tcPr>
          <w:p w14:paraId="7B9B3F6B" w14:textId="77777777" w:rsidR="00E97FF2" w:rsidRPr="00CF31E0" w:rsidRDefault="00E97FF2" w:rsidP="008A0939">
            <w:pPr>
              <w:rPr>
                <w:rFonts w:asciiTheme="majorBidi" w:hAnsiTheme="majorBidi" w:cstheme="majorBidi"/>
                <w:color w:val="000000" w:themeColor="text1"/>
                <w:sz w:val="22"/>
                <w:szCs w:val="22"/>
              </w:rPr>
            </w:pPr>
          </w:p>
        </w:tc>
        <w:tc>
          <w:tcPr>
            <w:tcW w:w="708" w:type="dxa"/>
            <w:shd w:val="clear" w:color="auto" w:fill="FFFFFF"/>
            <w:vAlign w:val="bottom"/>
          </w:tcPr>
          <w:p w14:paraId="0DDCE1A9"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agree</w:t>
            </w:r>
          </w:p>
        </w:tc>
        <w:tc>
          <w:tcPr>
            <w:tcW w:w="870" w:type="dxa"/>
            <w:shd w:val="clear" w:color="auto" w:fill="FFFFFF"/>
            <w:vAlign w:val="bottom"/>
          </w:tcPr>
          <w:p w14:paraId="6DC9D88C"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disagree</w:t>
            </w:r>
          </w:p>
        </w:tc>
        <w:tc>
          <w:tcPr>
            <w:tcW w:w="973" w:type="dxa"/>
            <w:shd w:val="clear" w:color="auto" w:fill="FFFFFF"/>
            <w:vAlign w:val="bottom"/>
          </w:tcPr>
          <w:p w14:paraId="73856FFD"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strongly agree</w:t>
            </w:r>
          </w:p>
        </w:tc>
        <w:tc>
          <w:tcPr>
            <w:tcW w:w="1012" w:type="dxa"/>
            <w:shd w:val="clear" w:color="auto" w:fill="FFFFFF"/>
            <w:vAlign w:val="bottom"/>
          </w:tcPr>
          <w:p w14:paraId="612623EF"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strongly disagree</w:t>
            </w:r>
          </w:p>
        </w:tc>
        <w:tc>
          <w:tcPr>
            <w:tcW w:w="850" w:type="dxa"/>
            <w:vMerge/>
            <w:shd w:val="clear" w:color="auto" w:fill="FFFFFF"/>
            <w:vAlign w:val="bottom"/>
          </w:tcPr>
          <w:p w14:paraId="0F3D7EBD" w14:textId="77777777" w:rsidR="00E97FF2" w:rsidRPr="00CF31E0" w:rsidRDefault="00E97FF2" w:rsidP="008A0939">
            <w:pPr>
              <w:rPr>
                <w:rFonts w:asciiTheme="majorBidi" w:hAnsiTheme="majorBidi" w:cstheme="majorBidi"/>
                <w:color w:val="000000" w:themeColor="text1"/>
                <w:sz w:val="22"/>
                <w:szCs w:val="22"/>
              </w:rPr>
            </w:pPr>
          </w:p>
        </w:tc>
      </w:tr>
      <w:tr w:rsidR="00F6645B" w:rsidRPr="00CF31E0" w14:paraId="4F832E05" w14:textId="77777777" w:rsidTr="00F6645B">
        <w:trPr>
          <w:cantSplit/>
        </w:trPr>
        <w:tc>
          <w:tcPr>
            <w:tcW w:w="714" w:type="dxa"/>
            <w:vMerge w:val="restart"/>
            <w:shd w:val="clear" w:color="auto" w:fill="FFFFFF"/>
          </w:tcPr>
          <w:p w14:paraId="70AF3AED"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Social</w:t>
            </w:r>
          </w:p>
          <w:p w14:paraId="0D748299"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group</w:t>
            </w:r>
          </w:p>
        </w:tc>
        <w:tc>
          <w:tcPr>
            <w:tcW w:w="709" w:type="dxa"/>
            <w:vMerge w:val="restart"/>
            <w:shd w:val="clear" w:color="auto" w:fill="FFFFFF"/>
          </w:tcPr>
          <w:p w14:paraId="49C2DBA8"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UBH</w:t>
            </w:r>
          </w:p>
        </w:tc>
        <w:tc>
          <w:tcPr>
            <w:tcW w:w="1560" w:type="dxa"/>
            <w:shd w:val="clear" w:color="auto" w:fill="FFFFFF"/>
          </w:tcPr>
          <w:p w14:paraId="53719F16" w14:textId="19E8B405" w:rsidR="00E97FF2" w:rsidRPr="00CF31E0" w:rsidRDefault="00F6645B"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Raw frequency</w:t>
            </w:r>
          </w:p>
        </w:tc>
        <w:tc>
          <w:tcPr>
            <w:tcW w:w="708" w:type="dxa"/>
            <w:shd w:val="clear" w:color="auto" w:fill="FFFFFF"/>
            <w:vAlign w:val="center"/>
          </w:tcPr>
          <w:p w14:paraId="48F0EDC7"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39</w:t>
            </w:r>
          </w:p>
        </w:tc>
        <w:tc>
          <w:tcPr>
            <w:tcW w:w="870" w:type="dxa"/>
            <w:shd w:val="clear" w:color="auto" w:fill="FFFFFF"/>
            <w:vAlign w:val="center"/>
          </w:tcPr>
          <w:p w14:paraId="5DDEBC84"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210</w:t>
            </w:r>
          </w:p>
        </w:tc>
        <w:tc>
          <w:tcPr>
            <w:tcW w:w="973" w:type="dxa"/>
            <w:shd w:val="clear" w:color="auto" w:fill="FFFFFF"/>
            <w:vAlign w:val="center"/>
          </w:tcPr>
          <w:p w14:paraId="44F2E9E5"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12</w:t>
            </w:r>
          </w:p>
        </w:tc>
        <w:tc>
          <w:tcPr>
            <w:tcW w:w="1012" w:type="dxa"/>
            <w:shd w:val="clear" w:color="auto" w:fill="FFFFFF"/>
            <w:vAlign w:val="center"/>
          </w:tcPr>
          <w:p w14:paraId="3603DD25" w14:textId="2C82FB18"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6</w:t>
            </w:r>
            <w:r w:rsidR="005971F4" w:rsidRPr="00CF31E0">
              <w:rPr>
                <w:rFonts w:asciiTheme="majorBidi" w:hAnsiTheme="majorBidi" w:cstheme="majorBidi"/>
                <w:color w:val="000000" w:themeColor="text1"/>
                <w:sz w:val="22"/>
                <w:szCs w:val="22"/>
              </w:rPr>
              <w:t>2</w:t>
            </w:r>
          </w:p>
        </w:tc>
        <w:tc>
          <w:tcPr>
            <w:tcW w:w="850" w:type="dxa"/>
            <w:shd w:val="clear" w:color="auto" w:fill="FFFFFF"/>
            <w:vAlign w:val="center"/>
          </w:tcPr>
          <w:p w14:paraId="4D479DF2" w14:textId="7069C8E9"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32</w:t>
            </w:r>
            <w:r w:rsidR="005971F4" w:rsidRPr="00CF31E0">
              <w:rPr>
                <w:rFonts w:asciiTheme="majorBidi" w:hAnsiTheme="majorBidi" w:cstheme="majorBidi"/>
                <w:color w:val="000000" w:themeColor="text1"/>
                <w:sz w:val="22"/>
                <w:szCs w:val="22"/>
              </w:rPr>
              <w:t>3</w:t>
            </w:r>
          </w:p>
        </w:tc>
      </w:tr>
      <w:tr w:rsidR="00F6645B" w:rsidRPr="00CF31E0" w14:paraId="61637670" w14:textId="77777777" w:rsidTr="00F6645B">
        <w:trPr>
          <w:cantSplit/>
        </w:trPr>
        <w:tc>
          <w:tcPr>
            <w:tcW w:w="714" w:type="dxa"/>
            <w:vMerge/>
            <w:shd w:val="clear" w:color="auto" w:fill="FFFFFF"/>
          </w:tcPr>
          <w:p w14:paraId="76895F3D" w14:textId="77777777" w:rsidR="00E97FF2" w:rsidRPr="00CF31E0" w:rsidRDefault="00E97FF2" w:rsidP="008A0939">
            <w:pPr>
              <w:rPr>
                <w:rFonts w:asciiTheme="majorBidi" w:hAnsiTheme="majorBidi" w:cstheme="majorBidi"/>
                <w:color w:val="000000" w:themeColor="text1"/>
                <w:sz w:val="22"/>
                <w:szCs w:val="22"/>
              </w:rPr>
            </w:pPr>
          </w:p>
        </w:tc>
        <w:tc>
          <w:tcPr>
            <w:tcW w:w="709" w:type="dxa"/>
            <w:vMerge/>
            <w:shd w:val="clear" w:color="auto" w:fill="FFFFFF"/>
          </w:tcPr>
          <w:p w14:paraId="0F1796CE" w14:textId="77777777" w:rsidR="00E97FF2" w:rsidRPr="00CF31E0" w:rsidRDefault="00E97FF2" w:rsidP="008A0939">
            <w:pPr>
              <w:rPr>
                <w:rFonts w:asciiTheme="majorBidi" w:hAnsiTheme="majorBidi" w:cstheme="majorBidi"/>
                <w:color w:val="000000" w:themeColor="text1"/>
                <w:sz w:val="22"/>
                <w:szCs w:val="22"/>
              </w:rPr>
            </w:pPr>
          </w:p>
        </w:tc>
        <w:tc>
          <w:tcPr>
            <w:tcW w:w="1560" w:type="dxa"/>
            <w:shd w:val="clear" w:color="auto" w:fill="FFFFFF"/>
          </w:tcPr>
          <w:p w14:paraId="17012931"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within Social</w:t>
            </w:r>
          </w:p>
          <w:p w14:paraId="2295F3CD"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group</w:t>
            </w:r>
          </w:p>
        </w:tc>
        <w:tc>
          <w:tcPr>
            <w:tcW w:w="708" w:type="dxa"/>
            <w:shd w:val="clear" w:color="auto" w:fill="FFFFFF"/>
            <w:vAlign w:val="center"/>
          </w:tcPr>
          <w:p w14:paraId="6DB6BF62"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12.0%</w:t>
            </w:r>
          </w:p>
        </w:tc>
        <w:tc>
          <w:tcPr>
            <w:tcW w:w="870" w:type="dxa"/>
            <w:shd w:val="clear" w:color="auto" w:fill="FFFFFF"/>
            <w:vAlign w:val="center"/>
          </w:tcPr>
          <w:p w14:paraId="16D9107C"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64.8%</w:t>
            </w:r>
          </w:p>
        </w:tc>
        <w:tc>
          <w:tcPr>
            <w:tcW w:w="973" w:type="dxa"/>
            <w:shd w:val="clear" w:color="auto" w:fill="FFFFFF"/>
            <w:vAlign w:val="center"/>
          </w:tcPr>
          <w:p w14:paraId="205A1E85"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3.7%</w:t>
            </w:r>
          </w:p>
        </w:tc>
        <w:tc>
          <w:tcPr>
            <w:tcW w:w="1012" w:type="dxa"/>
            <w:shd w:val="clear" w:color="auto" w:fill="FFFFFF"/>
            <w:vAlign w:val="center"/>
          </w:tcPr>
          <w:p w14:paraId="3C519402"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19.4%</w:t>
            </w:r>
          </w:p>
        </w:tc>
        <w:tc>
          <w:tcPr>
            <w:tcW w:w="850" w:type="dxa"/>
            <w:shd w:val="clear" w:color="auto" w:fill="FFFFFF"/>
            <w:vAlign w:val="center"/>
          </w:tcPr>
          <w:p w14:paraId="20A7D357"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100.0%</w:t>
            </w:r>
          </w:p>
        </w:tc>
      </w:tr>
      <w:tr w:rsidR="00F6645B" w:rsidRPr="00CF31E0" w14:paraId="1D666B5A" w14:textId="77777777" w:rsidTr="00F6645B">
        <w:trPr>
          <w:cantSplit/>
        </w:trPr>
        <w:tc>
          <w:tcPr>
            <w:tcW w:w="714" w:type="dxa"/>
            <w:vMerge/>
            <w:shd w:val="clear" w:color="auto" w:fill="FFFFFF"/>
          </w:tcPr>
          <w:p w14:paraId="3FC38B9E" w14:textId="77777777" w:rsidR="00E97FF2" w:rsidRPr="00CF31E0" w:rsidRDefault="00E97FF2" w:rsidP="008A0939">
            <w:pPr>
              <w:rPr>
                <w:rFonts w:asciiTheme="majorBidi" w:hAnsiTheme="majorBidi" w:cstheme="majorBidi"/>
                <w:color w:val="000000" w:themeColor="text1"/>
                <w:sz w:val="22"/>
                <w:szCs w:val="22"/>
              </w:rPr>
            </w:pPr>
          </w:p>
        </w:tc>
        <w:tc>
          <w:tcPr>
            <w:tcW w:w="709" w:type="dxa"/>
            <w:vMerge/>
            <w:shd w:val="clear" w:color="auto" w:fill="FFFFFF"/>
          </w:tcPr>
          <w:p w14:paraId="4BCFF993" w14:textId="77777777" w:rsidR="00E97FF2" w:rsidRPr="00CF31E0" w:rsidRDefault="00E97FF2" w:rsidP="008A0939">
            <w:pPr>
              <w:rPr>
                <w:rFonts w:asciiTheme="majorBidi" w:hAnsiTheme="majorBidi" w:cstheme="majorBidi"/>
                <w:color w:val="000000" w:themeColor="text1"/>
                <w:sz w:val="22"/>
                <w:szCs w:val="22"/>
              </w:rPr>
            </w:pPr>
          </w:p>
        </w:tc>
        <w:tc>
          <w:tcPr>
            <w:tcW w:w="1560" w:type="dxa"/>
            <w:shd w:val="clear" w:color="auto" w:fill="FFFFFF"/>
          </w:tcPr>
          <w:p w14:paraId="04A659B1"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of Total</w:t>
            </w:r>
          </w:p>
        </w:tc>
        <w:tc>
          <w:tcPr>
            <w:tcW w:w="708" w:type="dxa"/>
            <w:shd w:val="clear" w:color="auto" w:fill="FFFFFF"/>
            <w:vAlign w:val="center"/>
          </w:tcPr>
          <w:p w14:paraId="7CCB943E"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6.0%</w:t>
            </w:r>
          </w:p>
        </w:tc>
        <w:tc>
          <w:tcPr>
            <w:tcW w:w="870" w:type="dxa"/>
            <w:shd w:val="clear" w:color="auto" w:fill="FFFFFF"/>
            <w:vAlign w:val="center"/>
          </w:tcPr>
          <w:p w14:paraId="29031087"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32.4%</w:t>
            </w:r>
          </w:p>
        </w:tc>
        <w:tc>
          <w:tcPr>
            <w:tcW w:w="973" w:type="dxa"/>
            <w:shd w:val="clear" w:color="auto" w:fill="FFFFFF"/>
            <w:vAlign w:val="center"/>
          </w:tcPr>
          <w:p w14:paraId="759DC436"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1.8%</w:t>
            </w:r>
          </w:p>
        </w:tc>
        <w:tc>
          <w:tcPr>
            <w:tcW w:w="1012" w:type="dxa"/>
            <w:shd w:val="clear" w:color="auto" w:fill="FFFFFF"/>
            <w:vAlign w:val="center"/>
          </w:tcPr>
          <w:p w14:paraId="407D3C29"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9.7%</w:t>
            </w:r>
          </w:p>
        </w:tc>
        <w:tc>
          <w:tcPr>
            <w:tcW w:w="850" w:type="dxa"/>
            <w:shd w:val="clear" w:color="auto" w:fill="FFFFFF"/>
            <w:vAlign w:val="center"/>
          </w:tcPr>
          <w:p w14:paraId="1F79C424"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49.9%</w:t>
            </w:r>
          </w:p>
        </w:tc>
      </w:tr>
      <w:tr w:rsidR="00F6645B" w:rsidRPr="00CF31E0" w14:paraId="2B014D68" w14:textId="77777777" w:rsidTr="00F6645B">
        <w:trPr>
          <w:cantSplit/>
        </w:trPr>
        <w:tc>
          <w:tcPr>
            <w:tcW w:w="714" w:type="dxa"/>
            <w:vMerge/>
            <w:shd w:val="clear" w:color="auto" w:fill="FFFFFF"/>
          </w:tcPr>
          <w:p w14:paraId="7D31201A" w14:textId="77777777" w:rsidR="00E97FF2" w:rsidRPr="00CF31E0" w:rsidRDefault="00E97FF2" w:rsidP="008A0939">
            <w:pPr>
              <w:rPr>
                <w:rFonts w:asciiTheme="majorBidi" w:hAnsiTheme="majorBidi" w:cstheme="majorBidi"/>
                <w:color w:val="000000" w:themeColor="text1"/>
                <w:sz w:val="22"/>
                <w:szCs w:val="22"/>
              </w:rPr>
            </w:pPr>
          </w:p>
        </w:tc>
        <w:tc>
          <w:tcPr>
            <w:tcW w:w="709" w:type="dxa"/>
            <w:vMerge w:val="restart"/>
            <w:shd w:val="clear" w:color="auto" w:fill="FFFFFF"/>
          </w:tcPr>
          <w:p w14:paraId="60A97F6D"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HH</w:t>
            </w:r>
          </w:p>
        </w:tc>
        <w:tc>
          <w:tcPr>
            <w:tcW w:w="1560" w:type="dxa"/>
            <w:shd w:val="clear" w:color="auto" w:fill="FFFFFF"/>
          </w:tcPr>
          <w:p w14:paraId="618A6DB5" w14:textId="2F7970ED" w:rsidR="00E97FF2" w:rsidRPr="00CF31E0" w:rsidRDefault="00F6645B"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Raw frequency</w:t>
            </w:r>
          </w:p>
        </w:tc>
        <w:tc>
          <w:tcPr>
            <w:tcW w:w="708" w:type="dxa"/>
            <w:shd w:val="clear" w:color="auto" w:fill="FFFFFF"/>
            <w:vAlign w:val="center"/>
          </w:tcPr>
          <w:p w14:paraId="169FB54A"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83</w:t>
            </w:r>
          </w:p>
        </w:tc>
        <w:tc>
          <w:tcPr>
            <w:tcW w:w="870" w:type="dxa"/>
            <w:shd w:val="clear" w:color="auto" w:fill="FFFFFF"/>
            <w:vAlign w:val="center"/>
          </w:tcPr>
          <w:p w14:paraId="07FA8704"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170</w:t>
            </w:r>
          </w:p>
        </w:tc>
        <w:tc>
          <w:tcPr>
            <w:tcW w:w="973" w:type="dxa"/>
            <w:shd w:val="clear" w:color="auto" w:fill="FFFFFF"/>
            <w:vAlign w:val="center"/>
          </w:tcPr>
          <w:p w14:paraId="311A6199"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20</w:t>
            </w:r>
          </w:p>
        </w:tc>
        <w:tc>
          <w:tcPr>
            <w:tcW w:w="1012" w:type="dxa"/>
            <w:shd w:val="clear" w:color="auto" w:fill="FFFFFF"/>
            <w:vAlign w:val="center"/>
          </w:tcPr>
          <w:p w14:paraId="5C1EE673" w14:textId="7CF12F9C"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5</w:t>
            </w:r>
            <w:r w:rsidR="005971F4" w:rsidRPr="00CF31E0">
              <w:rPr>
                <w:rFonts w:asciiTheme="majorBidi" w:hAnsiTheme="majorBidi" w:cstheme="majorBidi"/>
                <w:color w:val="000000" w:themeColor="text1"/>
                <w:sz w:val="22"/>
                <w:szCs w:val="22"/>
              </w:rPr>
              <w:t>3</w:t>
            </w:r>
          </w:p>
        </w:tc>
        <w:tc>
          <w:tcPr>
            <w:tcW w:w="850" w:type="dxa"/>
            <w:shd w:val="clear" w:color="auto" w:fill="FFFFFF"/>
            <w:vAlign w:val="center"/>
          </w:tcPr>
          <w:p w14:paraId="287BA8A3" w14:textId="4AA3EE5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32</w:t>
            </w:r>
            <w:r w:rsidR="005971F4" w:rsidRPr="00CF31E0">
              <w:rPr>
                <w:rFonts w:asciiTheme="majorBidi" w:hAnsiTheme="majorBidi" w:cstheme="majorBidi"/>
                <w:color w:val="000000" w:themeColor="text1"/>
                <w:sz w:val="22"/>
                <w:szCs w:val="22"/>
              </w:rPr>
              <w:t>6</w:t>
            </w:r>
          </w:p>
        </w:tc>
      </w:tr>
      <w:tr w:rsidR="00F6645B" w:rsidRPr="00CF31E0" w14:paraId="1D2D0872" w14:textId="77777777" w:rsidTr="00F6645B">
        <w:trPr>
          <w:cantSplit/>
        </w:trPr>
        <w:tc>
          <w:tcPr>
            <w:tcW w:w="714" w:type="dxa"/>
            <w:vMerge/>
            <w:shd w:val="clear" w:color="auto" w:fill="FFFFFF"/>
          </w:tcPr>
          <w:p w14:paraId="6C03609A" w14:textId="77777777" w:rsidR="00E97FF2" w:rsidRPr="00CF31E0" w:rsidRDefault="00E97FF2" w:rsidP="008A0939">
            <w:pPr>
              <w:rPr>
                <w:rFonts w:asciiTheme="majorBidi" w:hAnsiTheme="majorBidi" w:cstheme="majorBidi"/>
                <w:color w:val="000000" w:themeColor="text1"/>
                <w:sz w:val="22"/>
                <w:szCs w:val="22"/>
              </w:rPr>
            </w:pPr>
          </w:p>
        </w:tc>
        <w:tc>
          <w:tcPr>
            <w:tcW w:w="709" w:type="dxa"/>
            <w:vMerge/>
            <w:shd w:val="clear" w:color="auto" w:fill="FFFFFF"/>
          </w:tcPr>
          <w:p w14:paraId="589DDB45" w14:textId="77777777" w:rsidR="00E97FF2" w:rsidRPr="00CF31E0" w:rsidRDefault="00E97FF2" w:rsidP="008A0939">
            <w:pPr>
              <w:rPr>
                <w:rFonts w:asciiTheme="majorBidi" w:hAnsiTheme="majorBidi" w:cstheme="majorBidi"/>
                <w:color w:val="000000" w:themeColor="text1"/>
                <w:sz w:val="22"/>
                <w:szCs w:val="22"/>
              </w:rPr>
            </w:pPr>
          </w:p>
        </w:tc>
        <w:tc>
          <w:tcPr>
            <w:tcW w:w="1560" w:type="dxa"/>
            <w:shd w:val="clear" w:color="auto" w:fill="FFFFFF"/>
          </w:tcPr>
          <w:p w14:paraId="3AF1D27D"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within Social</w:t>
            </w:r>
          </w:p>
          <w:p w14:paraId="6A24D8E1"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group</w:t>
            </w:r>
          </w:p>
        </w:tc>
        <w:tc>
          <w:tcPr>
            <w:tcW w:w="708" w:type="dxa"/>
            <w:shd w:val="clear" w:color="auto" w:fill="FFFFFF"/>
            <w:vAlign w:val="center"/>
          </w:tcPr>
          <w:p w14:paraId="22A116EB"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25.5%</w:t>
            </w:r>
          </w:p>
        </w:tc>
        <w:tc>
          <w:tcPr>
            <w:tcW w:w="870" w:type="dxa"/>
            <w:shd w:val="clear" w:color="auto" w:fill="FFFFFF"/>
            <w:vAlign w:val="center"/>
          </w:tcPr>
          <w:p w14:paraId="18F8ED6C"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52.3%</w:t>
            </w:r>
          </w:p>
        </w:tc>
        <w:tc>
          <w:tcPr>
            <w:tcW w:w="973" w:type="dxa"/>
            <w:shd w:val="clear" w:color="auto" w:fill="FFFFFF"/>
            <w:vAlign w:val="center"/>
          </w:tcPr>
          <w:p w14:paraId="20B8F69E"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6.2%</w:t>
            </w:r>
          </w:p>
        </w:tc>
        <w:tc>
          <w:tcPr>
            <w:tcW w:w="1012" w:type="dxa"/>
            <w:shd w:val="clear" w:color="auto" w:fill="FFFFFF"/>
            <w:vAlign w:val="center"/>
          </w:tcPr>
          <w:p w14:paraId="72D9CF95"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16.0%</w:t>
            </w:r>
          </w:p>
        </w:tc>
        <w:tc>
          <w:tcPr>
            <w:tcW w:w="850" w:type="dxa"/>
            <w:shd w:val="clear" w:color="auto" w:fill="FFFFFF"/>
            <w:vAlign w:val="center"/>
          </w:tcPr>
          <w:p w14:paraId="28FD6C35"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100.0%</w:t>
            </w:r>
          </w:p>
        </w:tc>
      </w:tr>
      <w:tr w:rsidR="00F6645B" w:rsidRPr="00CF31E0" w14:paraId="0DB55CB1" w14:textId="77777777" w:rsidTr="00F6645B">
        <w:trPr>
          <w:cantSplit/>
        </w:trPr>
        <w:tc>
          <w:tcPr>
            <w:tcW w:w="714" w:type="dxa"/>
            <w:vMerge/>
            <w:shd w:val="clear" w:color="auto" w:fill="FFFFFF"/>
          </w:tcPr>
          <w:p w14:paraId="63A9B310" w14:textId="77777777" w:rsidR="00E97FF2" w:rsidRPr="00CF31E0" w:rsidRDefault="00E97FF2" w:rsidP="008A0939">
            <w:pPr>
              <w:rPr>
                <w:rFonts w:asciiTheme="majorBidi" w:hAnsiTheme="majorBidi" w:cstheme="majorBidi"/>
                <w:color w:val="000000" w:themeColor="text1"/>
                <w:sz w:val="22"/>
                <w:szCs w:val="22"/>
              </w:rPr>
            </w:pPr>
          </w:p>
        </w:tc>
        <w:tc>
          <w:tcPr>
            <w:tcW w:w="709" w:type="dxa"/>
            <w:vMerge/>
            <w:shd w:val="clear" w:color="auto" w:fill="FFFFFF"/>
          </w:tcPr>
          <w:p w14:paraId="004748C1" w14:textId="77777777" w:rsidR="00E97FF2" w:rsidRPr="00CF31E0" w:rsidRDefault="00E97FF2" w:rsidP="008A0939">
            <w:pPr>
              <w:rPr>
                <w:rFonts w:asciiTheme="majorBidi" w:hAnsiTheme="majorBidi" w:cstheme="majorBidi"/>
                <w:color w:val="000000" w:themeColor="text1"/>
                <w:sz w:val="22"/>
                <w:szCs w:val="22"/>
              </w:rPr>
            </w:pPr>
          </w:p>
        </w:tc>
        <w:tc>
          <w:tcPr>
            <w:tcW w:w="1560" w:type="dxa"/>
            <w:shd w:val="clear" w:color="auto" w:fill="FFFFFF"/>
          </w:tcPr>
          <w:p w14:paraId="49BEC2B8"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of Total</w:t>
            </w:r>
          </w:p>
        </w:tc>
        <w:tc>
          <w:tcPr>
            <w:tcW w:w="708" w:type="dxa"/>
            <w:shd w:val="clear" w:color="auto" w:fill="FFFFFF"/>
            <w:vAlign w:val="center"/>
          </w:tcPr>
          <w:p w14:paraId="3640E5F0"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12.8%</w:t>
            </w:r>
          </w:p>
        </w:tc>
        <w:tc>
          <w:tcPr>
            <w:tcW w:w="870" w:type="dxa"/>
            <w:shd w:val="clear" w:color="auto" w:fill="FFFFFF"/>
            <w:vAlign w:val="center"/>
          </w:tcPr>
          <w:p w14:paraId="72C1E8EC"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26.2%</w:t>
            </w:r>
          </w:p>
        </w:tc>
        <w:tc>
          <w:tcPr>
            <w:tcW w:w="973" w:type="dxa"/>
            <w:shd w:val="clear" w:color="auto" w:fill="FFFFFF"/>
            <w:vAlign w:val="center"/>
          </w:tcPr>
          <w:p w14:paraId="1411A38B"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3.1%</w:t>
            </w:r>
          </w:p>
        </w:tc>
        <w:tc>
          <w:tcPr>
            <w:tcW w:w="1012" w:type="dxa"/>
            <w:shd w:val="clear" w:color="auto" w:fill="FFFFFF"/>
            <w:vAlign w:val="center"/>
          </w:tcPr>
          <w:p w14:paraId="03BBBE14"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8.0%</w:t>
            </w:r>
          </w:p>
        </w:tc>
        <w:tc>
          <w:tcPr>
            <w:tcW w:w="850" w:type="dxa"/>
            <w:shd w:val="clear" w:color="auto" w:fill="FFFFFF"/>
            <w:vAlign w:val="center"/>
          </w:tcPr>
          <w:p w14:paraId="5477A9AE"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50.1%</w:t>
            </w:r>
          </w:p>
        </w:tc>
      </w:tr>
      <w:tr w:rsidR="00F6645B" w:rsidRPr="00CF31E0" w14:paraId="08865DF0" w14:textId="77777777" w:rsidTr="00F6645B">
        <w:trPr>
          <w:cantSplit/>
        </w:trPr>
        <w:tc>
          <w:tcPr>
            <w:tcW w:w="1423" w:type="dxa"/>
            <w:gridSpan w:val="2"/>
            <w:vMerge w:val="restart"/>
            <w:shd w:val="clear" w:color="auto" w:fill="FFFFFF"/>
          </w:tcPr>
          <w:p w14:paraId="01B1BC09"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Total</w:t>
            </w:r>
          </w:p>
        </w:tc>
        <w:tc>
          <w:tcPr>
            <w:tcW w:w="1560" w:type="dxa"/>
            <w:shd w:val="clear" w:color="auto" w:fill="FFFFFF"/>
          </w:tcPr>
          <w:p w14:paraId="1A874E8F" w14:textId="314E68CF" w:rsidR="00E97FF2" w:rsidRPr="00CF31E0" w:rsidRDefault="00F6645B"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Raw frequency</w:t>
            </w:r>
          </w:p>
        </w:tc>
        <w:tc>
          <w:tcPr>
            <w:tcW w:w="708" w:type="dxa"/>
            <w:shd w:val="clear" w:color="auto" w:fill="FFFFFF"/>
            <w:vAlign w:val="center"/>
          </w:tcPr>
          <w:p w14:paraId="53DD7AA6"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122</w:t>
            </w:r>
          </w:p>
        </w:tc>
        <w:tc>
          <w:tcPr>
            <w:tcW w:w="870" w:type="dxa"/>
            <w:shd w:val="clear" w:color="auto" w:fill="FFFFFF"/>
            <w:vAlign w:val="center"/>
          </w:tcPr>
          <w:p w14:paraId="72B713B5"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380</w:t>
            </w:r>
          </w:p>
        </w:tc>
        <w:tc>
          <w:tcPr>
            <w:tcW w:w="973" w:type="dxa"/>
            <w:shd w:val="clear" w:color="auto" w:fill="FFFFFF"/>
            <w:vAlign w:val="center"/>
          </w:tcPr>
          <w:p w14:paraId="747C0C0C"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32</w:t>
            </w:r>
          </w:p>
        </w:tc>
        <w:tc>
          <w:tcPr>
            <w:tcW w:w="1012" w:type="dxa"/>
            <w:shd w:val="clear" w:color="auto" w:fill="FFFFFF"/>
            <w:vAlign w:val="center"/>
          </w:tcPr>
          <w:p w14:paraId="55E72DF5"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115</w:t>
            </w:r>
          </w:p>
        </w:tc>
        <w:tc>
          <w:tcPr>
            <w:tcW w:w="850" w:type="dxa"/>
            <w:shd w:val="clear" w:color="auto" w:fill="FFFFFF"/>
            <w:vAlign w:val="center"/>
          </w:tcPr>
          <w:p w14:paraId="20DAE4C0"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649</w:t>
            </w:r>
          </w:p>
        </w:tc>
      </w:tr>
      <w:tr w:rsidR="00F6645B" w:rsidRPr="00CF31E0" w14:paraId="4167DAEB" w14:textId="77777777" w:rsidTr="00F6645B">
        <w:trPr>
          <w:cantSplit/>
        </w:trPr>
        <w:tc>
          <w:tcPr>
            <w:tcW w:w="1423" w:type="dxa"/>
            <w:gridSpan w:val="2"/>
            <w:vMerge/>
            <w:shd w:val="clear" w:color="auto" w:fill="FFFFFF"/>
          </w:tcPr>
          <w:p w14:paraId="25CE7EE8" w14:textId="77777777" w:rsidR="00E97FF2" w:rsidRPr="00CF31E0" w:rsidRDefault="00E97FF2" w:rsidP="008A0939">
            <w:pPr>
              <w:rPr>
                <w:rFonts w:asciiTheme="majorBidi" w:hAnsiTheme="majorBidi" w:cstheme="majorBidi"/>
                <w:color w:val="000000" w:themeColor="text1"/>
                <w:sz w:val="22"/>
                <w:szCs w:val="22"/>
              </w:rPr>
            </w:pPr>
          </w:p>
        </w:tc>
        <w:tc>
          <w:tcPr>
            <w:tcW w:w="1560" w:type="dxa"/>
            <w:shd w:val="clear" w:color="auto" w:fill="FFFFFF"/>
          </w:tcPr>
          <w:p w14:paraId="7DE73F07"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within Social</w:t>
            </w:r>
          </w:p>
          <w:p w14:paraId="2B69EAF4"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group</w:t>
            </w:r>
          </w:p>
        </w:tc>
        <w:tc>
          <w:tcPr>
            <w:tcW w:w="708" w:type="dxa"/>
            <w:shd w:val="clear" w:color="auto" w:fill="FFFFFF"/>
            <w:vAlign w:val="center"/>
          </w:tcPr>
          <w:p w14:paraId="19674C6A"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18.8%</w:t>
            </w:r>
          </w:p>
        </w:tc>
        <w:tc>
          <w:tcPr>
            <w:tcW w:w="870" w:type="dxa"/>
            <w:shd w:val="clear" w:color="auto" w:fill="FFFFFF"/>
            <w:vAlign w:val="center"/>
          </w:tcPr>
          <w:p w14:paraId="2AEB33B5"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58.6%</w:t>
            </w:r>
          </w:p>
        </w:tc>
        <w:tc>
          <w:tcPr>
            <w:tcW w:w="973" w:type="dxa"/>
            <w:shd w:val="clear" w:color="auto" w:fill="FFFFFF"/>
            <w:vAlign w:val="center"/>
          </w:tcPr>
          <w:p w14:paraId="1C2B7F3F"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4.9%</w:t>
            </w:r>
          </w:p>
        </w:tc>
        <w:tc>
          <w:tcPr>
            <w:tcW w:w="1012" w:type="dxa"/>
            <w:shd w:val="clear" w:color="auto" w:fill="FFFFFF"/>
            <w:vAlign w:val="center"/>
          </w:tcPr>
          <w:p w14:paraId="4BBD5B38"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17.7%</w:t>
            </w:r>
          </w:p>
        </w:tc>
        <w:tc>
          <w:tcPr>
            <w:tcW w:w="850" w:type="dxa"/>
            <w:shd w:val="clear" w:color="auto" w:fill="FFFFFF"/>
            <w:vAlign w:val="center"/>
          </w:tcPr>
          <w:p w14:paraId="3A614A30"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100.0%</w:t>
            </w:r>
          </w:p>
        </w:tc>
      </w:tr>
      <w:tr w:rsidR="00F6645B" w:rsidRPr="00CF31E0" w14:paraId="74A8637F" w14:textId="77777777" w:rsidTr="00F6645B">
        <w:trPr>
          <w:cantSplit/>
        </w:trPr>
        <w:tc>
          <w:tcPr>
            <w:tcW w:w="1423" w:type="dxa"/>
            <w:gridSpan w:val="2"/>
            <w:vMerge/>
            <w:shd w:val="clear" w:color="auto" w:fill="FFFFFF"/>
          </w:tcPr>
          <w:p w14:paraId="48464E26" w14:textId="77777777" w:rsidR="00E97FF2" w:rsidRPr="00CF31E0" w:rsidRDefault="00E97FF2" w:rsidP="008A0939">
            <w:pPr>
              <w:rPr>
                <w:rFonts w:asciiTheme="majorBidi" w:hAnsiTheme="majorBidi" w:cstheme="majorBidi"/>
                <w:color w:val="000000" w:themeColor="text1"/>
                <w:sz w:val="22"/>
                <w:szCs w:val="22"/>
              </w:rPr>
            </w:pPr>
          </w:p>
        </w:tc>
        <w:tc>
          <w:tcPr>
            <w:tcW w:w="1560" w:type="dxa"/>
            <w:shd w:val="clear" w:color="auto" w:fill="FFFFFF"/>
          </w:tcPr>
          <w:p w14:paraId="4C30ED68"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of Total</w:t>
            </w:r>
          </w:p>
        </w:tc>
        <w:tc>
          <w:tcPr>
            <w:tcW w:w="708" w:type="dxa"/>
            <w:shd w:val="clear" w:color="auto" w:fill="FFFFFF"/>
            <w:vAlign w:val="center"/>
          </w:tcPr>
          <w:p w14:paraId="0C109450"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18.8%</w:t>
            </w:r>
          </w:p>
        </w:tc>
        <w:tc>
          <w:tcPr>
            <w:tcW w:w="870" w:type="dxa"/>
            <w:shd w:val="clear" w:color="auto" w:fill="FFFFFF"/>
            <w:vAlign w:val="center"/>
          </w:tcPr>
          <w:p w14:paraId="73167942"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58.6%</w:t>
            </w:r>
          </w:p>
        </w:tc>
        <w:tc>
          <w:tcPr>
            <w:tcW w:w="973" w:type="dxa"/>
            <w:shd w:val="clear" w:color="auto" w:fill="FFFFFF"/>
            <w:vAlign w:val="center"/>
          </w:tcPr>
          <w:p w14:paraId="4036BBA8"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4.9%</w:t>
            </w:r>
          </w:p>
        </w:tc>
        <w:tc>
          <w:tcPr>
            <w:tcW w:w="1012" w:type="dxa"/>
            <w:shd w:val="clear" w:color="auto" w:fill="FFFFFF"/>
            <w:vAlign w:val="center"/>
          </w:tcPr>
          <w:p w14:paraId="0EC9FE6A"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17.7%</w:t>
            </w:r>
          </w:p>
        </w:tc>
        <w:tc>
          <w:tcPr>
            <w:tcW w:w="850" w:type="dxa"/>
            <w:shd w:val="clear" w:color="auto" w:fill="FFFFFF"/>
            <w:vAlign w:val="center"/>
          </w:tcPr>
          <w:p w14:paraId="7631EEF0"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100.0%</w:t>
            </w:r>
          </w:p>
        </w:tc>
      </w:tr>
    </w:tbl>
    <w:p w14:paraId="7F3A1C7B" w14:textId="0E94EBFF" w:rsidR="00A23C2A" w:rsidRPr="00CF31E0" w:rsidRDefault="00A23C2A" w:rsidP="00730917">
      <w:pPr>
        <w:pStyle w:val="Tablecaption"/>
      </w:pPr>
      <w:bookmarkStart w:id="496" w:name="_Toc522527433"/>
      <w:bookmarkStart w:id="497" w:name="_Toc522628845"/>
      <w:bookmarkStart w:id="498" w:name="_Toc522629009"/>
      <w:bookmarkStart w:id="499" w:name="_Toc6473106"/>
      <w:r w:rsidRPr="00CF31E0">
        <w:t xml:space="preserve">Table </w:t>
      </w:r>
      <w:r w:rsidR="003B1221" w:rsidRPr="00CF31E0">
        <w:t>7</w:t>
      </w:r>
      <w:r w:rsidR="00D449FD" w:rsidRPr="00CF31E0">
        <w:t>.</w:t>
      </w:r>
      <w:r w:rsidRPr="00CF31E0">
        <w:t>29: Social group-Q5 crosstabulation.</w:t>
      </w:r>
      <w:bookmarkEnd w:id="496"/>
      <w:bookmarkEnd w:id="497"/>
      <w:bookmarkEnd w:id="498"/>
      <w:bookmarkEnd w:id="499"/>
      <w:r w:rsidRPr="00CF31E0">
        <w:t xml:space="preserve"> </w:t>
      </w:r>
    </w:p>
    <w:p w14:paraId="4FE080B6" w14:textId="2F1C748C" w:rsidR="00A23C2A" w:rsidRPr="00CF31E0" w:rsidRDefault="00A23C2A" w:rsidP="00603CB7">
      <w:pPr>
        <w:pStyle w:val="Paragraph"/>
      </w:pPr>
      <w:r w:rsidRPr="00CF31E0">
        <w:t xml:space="preserve">Table </w:t>
      </w:r>
      <w:r w:rsidR="003B1221" w:rsidRPr="00CF31E0">
        <w:t>7</w:t>
      </w:r>
      <w:r w:rsidR="00D449FD" w:rsidRPr="00CF31E0">
        <w:t>.</w:t>
      </w:r>
      <w:r w:rsidRPr="00CF31E0">
        <w:t xml:space="preserve">29 demonstrates that, </w:t>
      </w:r>
      <w:r w:rsidR="00FC79E4" w:rsidRPr="00CF31E0">
        <w:t>within social groups, first, 12.0% of</w:t>
      </w:r>
      <w:r w:rsidRPr="00CF31E0">
        <w:t xml:space="preserve"> UBH participants agreed that intermarriage is accepta</w:t>
      </w:r>
      <w:r w:rsidR="00FC79E4" w:rsidRPr="00CF31E0">
        <w:t>ble among UBHs, while the proportion</w:t>
      </w:r>
      <w:r w:rsidRPr="00CF31E0">
        <w:t xml:space="preserve"> is nearly dou</w:t>
      </w:r>
      <w:r w:rsidR="00FC79E4" w:rsidRPr="00CF31E0">
        <w:t>ble for HH participants, with 25.5%</w:t>
      </w:r>
      <w:r w:rsidRPr="00CF31E0">
        <w:t xml:space="preserve"> of the latter agreeing that intermarriage is ac</w:t>
      </w:r>
      <w:r w:rsidR="00FC79E4" w:rsidRPr="00CF31E0">
        <w:t>ceptable among UBHs. Second, 64.8% of</w:t>
      </w:r>
      <w:r w:rsidRPr="00CF31E0">
        <w:t xml:space="preserve"> UBH participants disagreed with the idea that intermarriage is ac</w:t>
      </w:r>
      <w:r w:rsidR="00FC79E4" w:rsidRPr="00CF31E0">
        <w:t>ceptable among UBHs, whereas 52.3% of</w:t>
      </w:r>
      <w:r w:rsidRPr="00CF31E0">
        <w:t xml:space="preserve"> HH participant</w:t>
      </w:r>
      <w:r w:rsidR="00FC79E4" w:rsidRPr="00CF31E0">
        <w:t>s also disagreed. Third, only 3.7%</w:t>
      </w:r>
      <w:r w:rsidRPr="00CF31E0">
        <w:t xml:space="preserve"> </w:t>
      </w:r>
      <w:r w:rsidR="00FC79E4" w:rsidRPr="00CF31E0">
        <w:t xml:space="preserve">of </w:t>
      </w:r>
      <w:r w:rsidRPr="00CF31E0">
        <w:t>UBH participants strongly disagreed that intermarriage is acc</w:t>
      </w:r>
      <w:r w:rsidR="00FC79E4" w:rsidRPr="00CF31E0">
        <w:t>e</w:t>
      </w:r>
      <w:r w:rsidR="00F6645B" w:rsidRPr="00CF31E0">
        <w:t>ptable among UBHs while 6.2% of</w:t>
      </w:r>
      <w:r w:rsidRPr="00CF31E0">
        <w:t xml:space="preserve"> HH participa</w:t>
      </w:r>
      <w:r w:rsidR="00FC79E4" w:rsidRPr="00CF31E0">
        <w:t>nts strongly agreed. Finally, 19.4% of</w:t>
      </w:r>
      <w:r w:rsidRPr="00CF31E0">
        <w:t xml:space="preserve"> UBH participants strongly disagreed on the in</w:t>
      </w:r>
      <w:r w:rsidR="00FC79E4" w:rsidRPr="00CF31E0">
        <w:t>termarriage phenomenon, while 16.0% of</w:t>
      </w:r>
      <w:r w:rsidRPr="00CF31E0">
        <w:t xml:space="preserve"> HH participants strongly disagreed. Generally, the results indicate that the significant difference found</w:t>
      </w:r>
      <w:r w:rsidR="00FC79E4" w:rsidRPr="00CF31E0">
        <w:t xml:space="preserve"> in the proportions</w:t>
      </w:r>
      <w:r w:rsidRPr="00CF31E0">
        <w:t xml:space="preserve"> occurs because UBHs are less supportive of the intermarriage phenomenon than the HH participants. </w:t>
      </w:r>
    </w:p>
    <w:p w14:paraId="62CD0F8E" w14:textId="525A9FB4" w:rsidR="00A23C2A" w:rsidRPr="00CF31E0" w:rsidRDefault="00A23C2A" w:rsidP="00603CB7">
      <w:pPr>
        <w:pStyle w:val="Paragraph"/>
        <w:rPr>
          <w:rFonts w:ascii="Times New Roman" w:eastAsia="Times New Roman" w:hAnsi="Times New Roman"/>
          <w:b/>
          <w:sz w:val="32"/>
          <w:szCs w:val="26"/>
          <w:lang w:val="en-US" w:eastAsia="zh-CN"/>
        </w:rPr>
      </w:pPr>
      <w:r w:rsidRPr="00CF31E0">
        <w:t xml:space="preserve">The mother’s social group and the spouse’s social group results showed the same pattern, where the UBH participants did not demonstrate strong agreement on intermarriage while the HH participants were more in agreement. </w:t>
      </w:r>
      <w:r w:rsidR="00755978" w:rsidRPr="00CF31E0">
        <w:t>See Appendix 2.</w:t>
      </w:r>
      <w:r w:rsidRPr="00CF31E0">
        <w:rPr>
          <w:rFonts w:ascii="Times New Roman" w:eastAsia="Times New Roman" w:hAnsi="Times New Roman"/>
          <w:b/>
          <w:sz w:val="32"/>
          <w:szCs w:val="26"/>
          <w:lang w:val="en-US" w:eastAsia="zh-CN"/>
        </w:rPr>
        <w:t xml:space="preserve"> </w:t>
      </w:r>
    </w:p>
    <w:p w14:paraId="6C0F3BA5" w14:textId="43D4996D" w:rsidR="00A23C2A" w:rsidRPr="00CF31E0" w:rsidRDefault="003B1221" w:rsidP="00E87209">
      <w:pPr>
        <w:pStyle w:val="Ahead"/>
        <w:rPr>
          <w:rFonts w:eastAsia="Times New Roman"/>
        </w:rPr>
      </w:pPr>
      <w:bookmarkStart w:id="500" w:name="_Toc6472723"/>
      <w:r w:rsidRPr="00CF31E0">
        <w:rPr>
          <w:rFonts w:eastAsia="Times New Roman"/>
        </w:rPr>
        <w:lastRenderedPageBreak/>
        <w:t>7</w:t>
      </w:r>
      <w:r w:rsidR="00D449FD" w:rsidRPr="00CF31E0">
        <w:rPr>
          <w:rFonts w:eastAsia="Times New Roman"/>
        </w:rPr>
        <w:t>.11.</w:t>
      </w:r>
      <w:r w:rsidR="001458D0" w:rsidRPr="00CF31E0">
        <w:rPr>
          <w:rFonts w:eastAsia="Times New Roman"/>
        </w:rPr>
        <w:tab/>
      </w:r>
      <w:r w:rsidR="00A23C2A" w:rsidRPr="00CF31E0">
        <w:rPr>
          <w:rFonts w:eastAsia="Times New Roman"/>
        </w:rPr>
        <w:t>Q10: Is intermarriage acceptable among HH people?</w:t>
      </w:r>
      <w:bookmarkEnd w:id="500"/>
    </w:p>
    <w:p w14:paraId="1F701FA1" w14:textId="4E0EB048" w:rsidR="00A23C2A" w:rsidRPr="00CF31E0" w:rsidRDefault="00A23C2A" w:rsidP="00603CB7">
      <w:pPr>
        <w:pStyle w:val="Paragraph"/>
      </w:pPr>
      <w:r w:rsidRPr="00CF31E0">
        <w:t xml:space="preserve">The same question as the previous one was asked but the focus this time was on HH people. Contrary to the results to the previous question, the findings revealed that the majority of participants perceived the intermarriage phenomenon to be acceptable among HH people. See Table </w:t>
      </w:r>
      <w:r w:rsidR="003B1221" w:rsidRPr="00CF31E0">
        <w:t>7</w:t>
      </w:r>
      <w:r w:rsidR="00D449FD" w:rsidRPr="00CF31E0">
        <w:t>.</w:t>
      </w:r>
      <w:r w:rsidRPr="00CF31E0">
        <w:t xml:space="preserve">30. </w:t>
      </w:r>
    </w:p>
    <w:tbl>
      <w:tblPr>
        <w:tblW w:w="0" w:type="auto"/>
        <w:tblBorders>
          <w:top w:val="single" w:sz="4" w:space="0" w:color="auto"/>
          <w:bottom w:val="single" w:sz="4" w:space="0" w:color="auto"/>
        </w:tblBorders>
        <w:tblLook w:val="0000" w:firstRow="0" w:lastRow="0" w:firstColumn="0" w:lastColumn="0" w:noHBand="0" w:noVBand="0"/>
      </w:tblPr>
      <w:tblGrid>
        <w:gridCol w:w="4503"/>
        <w:gridCol w:w="1134"/>
      </w:tblGrid>
      <w:tr w:rsidR="007F558A" w:rsidRPr="00CF31E0" w14:paraId="47D40724" w14:textId="77777777" w:rsidTr="00603CB7">
        <w:trPr>
          <w:cantSplit/>
        </w:trPr>
        <w:tc>
          <w:tcPr>
            <w:tcW w:w="4503" w:type="dxa"/>
            <w:tcBorders>
              <w:top w:val="single" w:sz="4" w:space="0" w:color="auto"/>
              <w:bottom w:val="single" w:sz="4" w:space="0" w:color="auto"/>
            </w:tcBorders>
          </w:tcPr>
          <w:p w14:paraId="16262793" w14:textId="77777777" w:rsidR="00A23C2A" w:rsidRPr="00CF31E0" w:rsidRDefault="00A23C2A" w:rsidP="00603CB7">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Intermarriage is acceptable among HHs</w:t>
            </w:r>
          </w:p>
        </w:tc>
        <w:tc>
          <w:tcPr>
            <w:tcW w:w="1134" w:type="dxa"/>
            <w:tcBorders>
              <w:top w:val="single" w:sz="4" w:space="0" w:color="auto"/>
              <w:bottom w:val="single" w:sz="4" w:space="0" w:color="auto"/>
            </w:tcBorders>
          </w:tcPr>
          <w:p w14:paraId="50C8F10B" w14:textId="77777777" w:rsidR="00A23C2A" w:rsidRPr="00CF31E0" w:rsidRDefault="00A23C2A" w:rsidP="00603CB7">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Number</w:t>
            </w:r>
          </w:p>
        </w:tc>
      </w:tr>
      <w:tr w:rsidR="007F558A" w:rsidRPr="00CF31E0" w14:paraId="0912DC60" w14:textId="77777777" w:rsidTr="00603CB7">
        <w:trPr>
          <w:cantSplit/>
        </w:trPr>
        <w:tc>
          <w:tcPr>
            <w:tcW w:w="4503" w:type="dxa"/>
            <w:tcBorders>
              <w:top w:val="single" w:sz="4" w:space="0" w:color="auto"/>
              <w:bottom w:val="nil"/>
            </w:tcBorders>
          </w:tcPr>
          <w:p w14:paraId="2C22C93F" w14:textId="77777777" w:rsidR="00A23C2A" w:rsidRPr="00CF31E0" w:rsidRDefault="00A23C2A" w:rsidP="00603CB7">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Strongly agree</w:t>
            </w:r>
          </w:p>
        </w:tc>
        <w:tc>
          <w:tcPr>
            <w:tcW w:w="1134" w:type="dxa"/>
            <w:tcBorders>
              <w:top w:val="single" w:sz="4" w:space="0" w:color="auto"/>
              <w:bottom w:val="nil"/>
            </w:tcBorders>
          </w:tcPr>
          <w:p w14:paraId="4D8F2F35" w14:textId="0B3DD082" w:rsidR="00A23C2A" w:rsidRPr="00CF31E0" w:rsidRDefault="00B61F1F" w:rsidP="00603CB7">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  </w:t>
            </w:r>
            <w:r w:rsidR="00A23C2A" w:rsidRPr="00CF31E0">
              <w:rPr>
                <w:rFonts w:eastAsia="Calibri"/>
                <w:color w:val="000000" w:themeColor="text1"/>
                <w:sz w:val="22"/>
                <w:szCs w:val="22"/>
                <w:lang w:eastAsia="en-US"/>
              </w:rPr>
              <w:t>65</w:t>
            </w:r>
          </w:p>
        </w:tc>
      </w:tr>
      <w:tr w:rsidR="007F558A" w:rsidRPr="00CF31E0" w14:paraId="22FB1D68" w14:textId="77777777" w:rsidTr="00603CB7">
        <w:trPr>
          <w:cantSplit/>
        </w:trPr>
        <w:tc>
          <w:tcPr>
            <w:tcW w:w="4503" w:type="dxa"/>
            <w:tcBorders>
              <w:top w:val="nil"/>
            </w:tcBorders>
          </w:tcPr>
          <w:p w14:paraId="339CF35E" w14:textId="77777777" w:rsidR="00A23C2A" w:rsidRPr="00CF31E0" w:rsidRDefault="00A23C2A" w:rsidP="00603CB7">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Agree</w:t>
            </w:r>
          </w:p>
        </w:tc>
        <w:tc>
          <w:tcPr>
            <w:tcW w:w="1134" w:type="dxa"/>
            <w:tcBorders>
              <w:top w:val="nil"/>
            </w:tcBorders>
          </w:tcPr>
          <w:p w14:paraId="2731223C" w14:textId="77777777" w:rsidR="00A23C2A" w:rsidRPr="00CF31E0" w:rsidRDefault="00A23C2A" w:rsidP="00603CB7">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456</w:t>
            </w:r>
          </w:p>
        </w:tc>
      </w:tr>
      <w:tr w:rsidR="007F558A" w:rsidRPr="00CF31E0" w14:paraId="56B8F509" w14:textId="77777777" w:rsidTr="00603CB7">
        <w:trPr>
          <w:cantSplit/>
        </w:trPr>
        <w:tc>
          <w:tcPr>
            <w:tcW w:w="4503" w:type="dxa"/>
          </w:tcPr>
          <w:p w14:paraId="16A3EECF" w14:textId="77777777" w:rsidR="00A23C2A" w:rsidRPr="00CF31E0" w:rsidRDefault="00A23C2A" w:rsidP="00603CB7">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Disagree</w:t>
            </w:r>
          </w:p>
        </w:tc>
        <w:tc>
          <w:tcPr>
            <w:tcW w:w="1134" w:type="dxa"/>
          </w:tcPr>
          <w:p w14:paraId="2A0D2E60" w14:textId="77777777" w:rsidR="00A23C2A" w:rsidRPr="00CF31E0" w:rsidRDefault="00A23C2A" w:rsidP="00603CB7">
            <w:pPr>
              <w:keepNext/>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107</w:t>
            </w:r>
          </w:p>
        </w:tc>
      </w:tr>
      <w:tr w:rsidR="007F558A" w:rsidRPr="00CF31E0" w14:paraId="0C7BA777" w14:textId="77777777" w:rsidTr="00603CB7">
        <w:trPr>
          <w:cantSplit/>
        </w:trPr>
        <w:tc>
          <w:tcPr>
            <w:tcW w:w="4503" w:type="dxa"/>
          </w:tcPr>
          <w:p w14:paraId="109D4425" w14:textId="77777777" w:rsidR="00A23C2A" w:rsidRPr="00CF31E0" w:rsidRDefault="00A23C2A" w:rsidP="00603CB7">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Strongly disagree</w:t>
            </w:r>
          </w:p>
        </w:tc>
        <w:tc>
          <w:tcPr>
            <w:tcW w:w="1134" w:type="dxa"/>
          </w:tcPr>
          <w:p w14:paraId="7C4C0C2A" w14:textId="77777777" w:rsidR="00A23C2A" w:rsidRPr="00CF31E0" w:rsidRDefault="00A23C2A" w:rsidP="00603CB7">
            <w:pPr>
              <w:keepNext/>
              <w:spacing w:before="120" w:after="120"/>
              <w:jc w:val="both"/>
              <w:rPr>
                <w:rFonts w:eastAsia="Calibri"/>
                <w:color w:val="000000" w:themeColor="text1"/>
                <w:sz w:val="22"/>
                <w:szCs w:val="22"/>
                <w:lang w:eastAsia="en-US"/>
              </w:rPr>
            </w:pPr>
            <w:r w:rsidRPr="00CF31E0">
              <w:rPr>
                <w:rFonts w:eastAsia="Calibri"/>
                <w:color w:val="000000" w:themeColor="text1"/>
                <w:sz w:val="22"/>
                <w:szCs w:val="22"/>
                <w:lang w:eastAsia="en-US"/>
              </w:rPr>
              <w:t>21</w:t>
            </w:r>
          </w:p>
        </w:tc>
      </w:tr>
    </w:tbl>
    <w:p w14:paraId="7ED42B9C" w14:textId="248DA827" w:rsidR="00A23C2A" w:rsidRPr="00CF31E0" w:rsidRDefault="00A23C2A" w:rsidP="00730917">
      <w:pPr>
        <w:pStyle w:val="Tablecaption"/>
      </w:pPr>
      <w:bookmarkStart w:id="501" w:name="_Toc522527434"/>
      <w:bookmarkStart w:id="502" w:name="_Toc522628846"/>
      <w:bookmarkStart w:id="503" w:name="_Toc522629010"/>
      <w:bookmarkStart w:id="504" w:name="_Toc6473107"/>
      <w:r w:rsidRPr="00CF31E0">
        <w:t xml:space="preserve">Table </w:t>
      </w:r>
      <w:r w:rsidR="003B1221" w:rsidRPr="00CF31E0">
        <w:t>7</w:t>
      </w:r>
      <w:r w:rsidR="00D449FD" w:rsidRPr="00CF31E0">
        <w:t>.</w:t>
      </w:r>
      <w:r w:rsidRPr="00CF31E0">
        <w:t>30: Participants’ selection of the choices provided in Q10.</w:t>
      </w:r>
      <w:bookmarkEnd w:id="501"/>
      <w:bookmarkEnd w:id="502"/>
      <w:bookmarkEnd w:id="503"/>
      <w:bookmarkEnd w:id="504"/>
    </w:p>
    <w:p w14:paraId="2BF41ACC" w14:textId="6978AC85" w:rsidR="00A23C2A" w:rsidRPr="00CF31E0" w:rsidRDefault="00A23C2A" w:rsidP="00603CB7">
      <w:pPr>
        <w:pStyle w:val="Paragraph"/>
      </w:pPr>
      <w:r w:rsidRPr="00CF31E0">
        <w:t xml:space="preserve">Table </w:t>
      </w:r>
      <w:r w:rsidR="003B1221" w:rsidRPr="00CF31E0">
        <w:t>7</w:t>
      </w:r>
      <w:r w:rsidR="00D449FD" w:rsidRPr="00CF31E0">
        <w:t>.</w:t>
      </w:r>
      <w:r w:rsidRPr="00CF31E0">
        <w:t xml:space="preserve">30 demonstrates that, first, 65 participants strongly agreed that intermarriage is acceptable among HH people. Second, 456 participants agreed with the statement in the question. Third, 107 participants disagreed, and finally, 21 participants strongly disagreed. </w:t>
      </w:r>
    </w:p>
    <w:p w14:paraId="09A57C9F" w14:textId="557F47AD" w:rsidR="00A23C2A" w:rsidRPr="00CF31E0" w:rsidRDefault="003B1221" w:rsidP="00E87209">
      <w:pPr>
        <w:pStyle w:val="Bhead"/>
      </w:pPr>
      <w:bookmarkStart w:id="505" w:name="_Toc6472724"/>
      <w:r w:rsidRPr="00CF31E0">
        <w:t>7</w:t>
      </w:r>
      <w:r w:rsidR="00D449FD" w:rsidRPr="00CF31E0">
        <w:t>.11.1.</w:t>
      </w:r>
      <w:r w:rsidR="001458D0" w:rsidRPr="00CF31E0">
        <w:tab/>
      </w:r>
      <w:r w:rsidR="00A23C2A" w:rsidRPr="00CF31E0">
        <w:t>Effects of demographic variables on the data</w:t>
      </w:r>
      <w:bookmarkEnd w:id="505"/>
    </w:p>
    <w:p w14:paraId="2CAA85AD" w14:textId="77777777" w:rsidR="00A23C2A" w:rsidRPr="00CF31E0" w:rsidRDefault="00A23C2A" w:rsidP="00603CB7">
      <w:pPr>
        <w:pStyle w:val="Paragraph"/>
      </w:pPr>
      <w:r w:rsidRPr="00CF31E0">
        <w:t xml:space="preserve">The chi-square test revealed that three demographic variables affected the results: social group, mother’s social group and spouse’s social group. </w:t>
      </w:r>
    </w:p>
    <w:p w14:paraId="6A30528E" w14:textId="0EED9E21" w:rsidR="00A23C2A" w:rsidRPr="00CF31E0" w:rsidRDefault="003B1221" w:rsidP="00E87209">
      <w:pPr>
        <w:pStyle w:val="Chead"/>
      </w:pPr>
      <w:bookmarkStart w:id="506" w:name="_Toc6472725"/>
      <w:r w:rsidRPr="00CF31E0">
        <w:t>7</w:t>
      </w:r>
      <w:r w:rsidR="00D449FD" w:rsidRPr="00CF31E0">
        <w:t>.11.1.1.</w:t>
      </w:r>
      <w:r w:rsidR="001458D0" w:rsidRPr="00CF31E0">
        <w:tab/>
      </w:r>
      <w:r w:rsidR="00A23C2A" w:rsidRPr="00CF31E0">
        <w:t>Social group</w:t>
      </w:r>
      <w:bookmarkEnd w:id="506"/>
    </w:p>
    <w:p w14:paraId="5ADC0F17" w14:textId="25126D70" w:rsidR="00A23C2A" w:rsidRPr="00CF31E0" w:rsidRDefault="00A23C2A" w:rsidP="00603CB7">
      <w:pPr>
        <w:pStyle w:val="Paragraph"/>
      </w:pPr>
      <w:r w:rsidRPr="00CF31E0">
        <w:t xml:space="preserve">The chi-square test results revealed that the two social groups differed at the p level, as illustrated in Table </w:t>
      </w:r>
      <w:r w:rsidR="003B1221" w:rsidRPr="00CF31E0">
        <w:t>7</w:t>
      </w:r>
      <w:r w:rsidR="00D449FD" w:rsidRPr="00CF31E0">
        <w:t>.</w:t>
      </w:r>
      <w:r w:rsidRPr="00CF31E0">
        <w:t xml:space="preserve">31. Table </w:t>
      </w:r>
      <w:r w:rsidR="003B1221" w:rsidRPr="00CF31E0">
        <w:t>7</w:t>
      </w:r>
      <w:r w:rsidR="00D449FD" w:rsidRPr="00CF31E0">
        <w:t>.</w:t>
      </w:r>
      <w:r w:rsidRPr="00CF31E0">
        <w:t xml:space="preserve">32 demonstrates </w:t>
      </w:r>
      <w:r w:rsidR="00F03C9C" w:rsidRPr="00CF31E0">
        <w:t>Count</w:t>
      </w:r>
      <w:r w:rsidRPr="00CF31E0">
        <w:t xml:space="preserve"> and percentage data for each social group’s answers to the question.</w:t>
      </w:r>
    </w:p>
    <w:p w14:paraId="6EDCEF9E" w14:textId="77777777" w:rsidR="00330B2A" w:rsidRPr="00CF31E0" w:rsidRDefault="00330B2A" w:rsidP="00603CB7">
      <w:pPr>
        <w:pStyle w:val="Paragraph"/>
      </w:pPr>
    </w:p>
    <w:tbl>
      <w:tblPr>
        <w:tblW w:w="7139" w:type="dxa"/>
        <w:tblLayout w:type="fixed"/>
        <w:tblLook w:val="04A0" w:firstRow="1" w:lastRow="0" w:firstColumn="1" w:lastColumn="0" w:noHBand="0" w:noVBand="1"/>
      </w:tblPr>
      <w:tblGrid>
        <w:gridCol w:w="2235"/>
        <w:gridCol w:w="1134"/>
        <w:gridCol w:w="425"/>
        <w:gridCol w:w="3345"/>
      </w:tblGrid>
      <w:tr w:rsidR="002304BD" w:rsidRPr="00CF31E0" w14:paraId="5093BC90" w14:textId="77777777" w:rsidTr="00374582">
        <w:trPr>
          <w:trHeight w:val="567"/>
        </w:trPr>
        <w:tc>
          <w:tcPr>
            <w:tcW w:w="2235" w:type="dxa"/>
            <w:tcBorders>
              <w:top w:val="single" w:sz="8" w:space="0" w:color="auto"/>
              <w:bottom w:val="single" w:sz="8" w:space="0" w:color="auto"/>
            </w:tcBorders>
            <w:shd w:val="clear" w:color="auto" w:fill="auto"/>
            <w:hideMark/>
          </w:tcPr>
          <w:p w14:paraId="7C777777" w14:textId="77777777" w:rsidR="002304BD" w:rsidRPr="00CF31E0" w:rsidRDefault="002304BD" w:rsidP="00603CB7">
            <w:pPr>
              <w:spacing w:before="80" w:after="200" w:line="276" w:lineRule="auto"/>
              <w:rPr>
                <w:rFonts w:eastAsia="Calibri"/>
                <w:color w:val="000000" w:themeColor="text1"/>
                <w:sz w:val="22"/>
                <w:szCs w:val="22"/>
                <w:lang w:val="en-US" w:eastAsia="en-US"/>
              </w:rPr>
            </w:pPr>
          </w:p>
        </w:tc>
        <w:tc>
          <w:tcPr>
            <w:tcW w:w="1134" w:type="dxa"/>
            <w:tcBorders>
              <w:top w:val="single" w:sz="8" w:space="0" w:color="auto"/>
              <w:bottom w:val="single" w:sz="8" w:space="0" w:color="auto"/>
            </w:tcBorders>
            <w:shd w:val="clear" w:color="auto" w:fill="auto"/>
            <w:hideMark/>
          </w:tcPr>
          <w:p w14:paraId="0E2EFD8E" w14:textId="77777777" w:rsidR="002304BD" w:rsidRPr="00CF31E0" w:rsidRDefault="002304BD" w:rsidP="00603CB7">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425" w:type="dxa"/>
            <w:tcBorders>
              <w:top w:val="single" w:sz="8" w:space="0" w:color="auto"/>
              <w:bottom w:val="single" w:sz="8" w:space="0" w:color="auto"/>
            </w:tcBorders>
            <w:shd w:val="clear" w:color="auto" w:fill="auto"/>
          </w:tcPr>
          <w:p w14:paraId="3BC1E4A9" w14:textId="77777777" w:rsidR="002304BD" w:rsidRPr="00CF31E0" w:rsidRDefault="002304BD" w:rsidP="00603CB7">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df</w:t>
            </w:r>
          </w:p>
        </w:tc>
        <w:tc>
          <w:tcPr>
            <w:tcW w:w="3345" w:type="dxa"/>
            <w:tcBorders>
              <w:top w:val="single" w:sz="8" w:space="0" w:color="auto"/>
              <w:bottom w:val="single" w:sz="8" w:space="0" w:color="auto"/>
            </w:tcBorders>
            <w:shd w:val="clear" w:color="auto" w:fill="auto"/>
          </w:tcPr>
          <w:p w14:paraId="186E0A74" w14:textId="77777777" w:rsidR="002304BD" w:rsidRPr="00CF31E0" w:rsidRDefault="002304BD" w:rsidP="00603CB7">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2304BD" w:rsidRPr="00CF31E0" w14:paraId="06B63A1B" w14:textId="77777777" w:rsidTr="00603CB7">
        <w:trPr>
          <w:trHeight w:val="567"/>
        </w:trPr>
        <w:tc>
          <w:tcPr>
            <w:tcW w:w="2235" w:type="dxa"/>
            <w:tcBorders>
              <w:top w:val="single" w:sz="8" w:space="0" w:color="auto"/>
            </w:tcBorders>
            <w:shd w:val="clear" w:color="auto" w:fill="auto"/>
            <w:vAlign w:val="bottom"/>
          </w:tcPr>
          <w:p w14:paraId="4EB5B189" w14:textId="77777777" w:rsidR="002304BD" w:rsidRPr="00CF31E0" w:rsidRDefault="002304BD" w:rsidP="00B61F1F">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2B68AAB7" w14:textId="77777777" w:rsidR="002304BD" w:rsidRPr="00CF31E0" w:rsidRDefault="002304BD" w:rsidP="00B61F1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133.077</w:t>
            </w:r>
            <w:r w:rsidRPr="00CF31E0">
              <w:rPr>
                <w:rFonts w:eastAsia="Calibri"/>
                <w:color w:val="000000" w:themeColor="text1"/>
                <w:sz w:val="22"/>
                <w:szCs w:val="22"/>
                <w:vertAlign w:val="superscript"/>
                <w:lang w:eastAsia="en-US"/>
              </w:rPr>
              <w:t>a</w:t>
            </w:r>
          </w:p>
        </w:tc>
        <w:tc>
          <w:tcPr>
            <w:tcW w:w="425" w:type="dxa"/>
            <w:tcBorders>
              <w:top w:val="single" w:sz="8" w:space="0" w:color="auto"/>
            </w:tcBorders>
            <w:shd w:val="clear" w:color="auto" w:fill="auto"/>
            <w:vAlign w:val="bottom"/>
          </w:tcPr>
          <w:p w14:paraId="6969EF11" w14:textId="46E2FB80" w:rsidR="002304BD" w:rsidRPr="00CF31E0" w:rsidRDefault="00481818" w:rsidP="00B61F1F">
            <w:pPr>
              <w:spacing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1</w:t>
            </w:r>
          </w:p>
        </w:tc>
        <w:tc>
          <w:tcPr>
            <w:tcW w:w="3345" w:type="dxa"/>
            <w:tcBorders>
              <w:top w:val="single" w:sz="8" w:space="0" w:color="auto"/>
            </w:tcBorders>
            <w:shd w:val="clear" w:color="auto" w:fill="auto"/>
            <w:vAlign w:val="bottom"/>
          </w:tcPr>
          <w:p w14:paraId="20054F0C" w14:textId="77777777" w:rsidR="002304BD" w:rsidRPr="00CF31E0" w:rsidRDefault="002304BD" w:rsidP="00B61F1F">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.000</w:t>
            </w:r>
          </w:p>
        </w:tc>
      </w:tr>
      <w:tr w:rsidR="002304BD" w:rsidRPr="00CF31E0" w14:paraId="0BA66379" w14:textId="77777777" w:rsidTr="00603CB7">
        <w:trPr>
          <w:trHeight w:val="567"/>
        </w:trPr>
        <w:tc>
          <w:tcPr>
            <w:tcW w:w="2235" w:type="dxa"/>
            <w:tcBorders>
              <w:bottom w:val="single" w:sz="8" w:space="0" w:color="auto"/>
            </w:tcBorders>
            <w:shd w:val="clear" w:color="auto" w:fill="auto"/>
            <w:vAlign w:val="bottom"/>
          </w:tcPr>
          <w:p w14:paraId="7466468D" w14:textId="77777777" w:rsidR="002304BD" w:rsidRPr="00CF31E0" w:rsidRDefault="002304BD" w:rsidP="00B61F1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12AD7B0C" w14:textId="77777777" w:rsidR="002304BD" w:rsidRPr="00CF31E0" w:rsidRDefault="002304BD" w:rsidP="00B61F1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425" w:type="dxa"/>
            <w:tcBorders>
              <w:bottom w:val="single" w:sz="8" w:space="0" w:color="auto"/>
            </w:tcBorders>
            <w:shd w:val="clear" w:color="auto" w:fill="auto"/>
            <w:vAlign w:val="bottom"/>
          </w:tcPr>
          <w:p w14:paraId="24563D86" w14:textId="77777777" w:rsidR="002304BD" w:rsidRPr="00CF31E0" w:rsidRDefault="002304BD" w:rsidP="00B61F1F">
            <w:pPr>
              <w:spacing w:after="200" w:line="276" w:lineRule="auto"/>
              <w:rPr>
                <w:rFonts w:eastAsia="Calibri"/>
                <w:color w:val="000000" w:themeColor="text1"/>
                <w:sz w:val="22"/>
                <w:szCs w:val="22"/>
                <w:lang w:val="en-US" w:eastAsia="en-US"/>
              </w:rPr>
            </w:pPr>
          </w:p>
        </w:tc>
        <w:tc>
          <w:tcPr>
            <w:tcW w:w="3345" w:type="dxa"/>
            <w:tcBorders>
              <w:bottom w:val="single" w:sz="8" w:space="0" w:color="auto"/>
            </w:tcBorders>
            <w:shd w:val="clear" w:color="auto" w:fill="auto"/>
            <w:vAlign w:val="bottom"/>
          </w:tcPr>
          <w:p w14:paraId="1B830012" w14:textId="77777777" w:rsidR="002304BD" w:rsidRPr="00CF31E0" w:rsidRDefault="002304BD" w:rsidP="00B61F1F">
            <w:pPr>
              <w:spacing w:after="200" w:line="276" w:lineRule="auto"/>
              <w:rPr>
                <w:rFonts w:eastAsia="Calibri"/>
                <w:color w:val="000000" w:themeColor="text1"/>
                <w:sz w:val="22"/>
                <w:szCs w:val="22"/>
                <w:lang w:eastAsia="en-US"/>
              </w:rPr>
            </w:pPr>
          </w:p>
        </w:tc>
      </w:tr>
      <w:tr w:rsidR="002304BD" w:rsidRPr="00CF31E0" w14:paraId="606D89BB" w14:textId="77777777" w:rsidTr="00374582">
        <w:trPr>
          <w:trHeight w:val="567"/>
        </w:trPr>
        <w:tc>
          <w:tcPr>
            <w:tcW w:w="7139" w:type="dxa"/>
            <w:gridSpan w:val="4"/>
            <w:tcBorders>
              <w:top w:val="single" w:sz="8" w:space="0" w:color="auto"/>
              <w:bottom w:val="single" w:sz="8" w:space="0" w:color="auto"/>
            </w:tcBorders>
            <w:shd w:val="clear" w:color="auto" w:fill="auto"/>
          </w:tcPr>
          <w:p w14:paraId="0942BD87" w14:textId="750FCC9E" w:rsidR="002304BD" w:rsidRPr="00CF31E0" w:rsidRDefault="002304BD" w:rsidP="002304BD">
            <w:pPr>
              <w:spacing w:before="80" w:after="80"/>
              <w:rPr>
                <w:rFonts w:eastAsia="Calibri"/>
                <w:color w:val="000000" w:themeColor="text1"/>
                <w:sz w:val="22"/>
                <w:szCs w:val="22"/>
                <w:lang w:eastAsia="en-US"/>
              </w:rPr>
            </w:pPr>
            <w:r w:rsidRPr="00CF31E0">
              <w:rPr>
                <w:rFonts w:eastAsia="Calibri"/>
                <w:color w:val="000000" w:themeColor="text1"/>
                <w:sz w:val="22"/>
                <w:szCs w:val="22"/>
                <w:lang w:eastAsia="en-US"/>
              </w:rPr>
              <w:t xml:space="preserve">a. 0 cells (.0%) have expected </w:t>
            </w:r>
            <w:r w:rsidR="00F03C9C" w:rsidRPr="00CF31E0">
              <w:rPr>
                <w:rFonts w:eastAsia="Calibri"/>
                <w:color w:val="000000" w:themeColor="text1"/>
                <w:sz w:val="22"/>
                <w:szCs w:val="22"/>
                <w:lang w:eastAsia="en-US"/>
              </w:rPr>
              <w:t>Count</w:t>
            </w:r>
            <w:r w:rsidRPr="00CF31E0">
              <w:rPr>
                <w:rFonts w:eastAsia="Calibri"/>
                <w:color w:val="000000" w:themeColor="text1"/>
                <w:sz w:val="22"/>
                <w:szCs w:val="22"/>
                <w:lang w:eastAsia="en-US"/>
              </w:rPr>
              <w:t xml:space="preserve"> less than 5. The minimum expected </w:t>
            </w:r>
            <w:r w:rsidR="00F03C9C" w:rsidRPr="00CF31E0">
              <w:rPr>
                <w:rFonts w:eastAsia="Calibri"/>
                <w:color w:val="000000" w:themeColor="text1"/>
                <w:sz w:val="22"/>
                <w:szCs w:val="22"/>
                <w:lang w:eastAsia="en-US"/>
              </w:rPr>
              <w:t>Count</w:t>
            </w:r>
            <w:r w:rsidRPr="00CF31E0">
              <w:rPr>
                <w:rFonts w:eastAsia="Calibri"/>
                <w:color w:val="000000" w:themeColor="text1"/>
                <w:sz w:val="22"/>
                <w:szCs w:val="22"/>
                <w:lang w:eastAsia="en-US"/>
              </w:rPr>
              <w:t xml:space="preserve"> is 10.48.</w:t>
            </w:r>
          </w:p>
        </w:tc>
      </w:tr>
    </w:tbl>
    <w:p w14:paraId="374FDCF7" w14:textId="13B76720" w:rsidR="00A23C2A" w:rsidRPr="00CF31E0" w:rsidRDefault="00A23C2A" w:rsidP="00730917">
      <w:pPr>
        <w:pStyle w:val="Tablecaption"/>
      </w:pPr>
      <w:bookmarkStart w:id="507" w:name="_Toc522527435"/>
      <w:bookmarkStart w:id="508" w:name="_Toc522628847"/>
      <w:bookmarkStart w:id="509" w:name="_Toc522629011"/>
      <w:bookmarkStart w:id="510" w:name="_Toc6473108"/>
      <w:r w:rsidRPr="00CF31E0">
        <w:t xml:space="preserve">Table </w:t>
      </w:r>
      <w:r w:rsidR="003B1221" w:rsidRPr="00CF31E0">
        <w:t>7</w:t>
      </w:r>
      <w:r w:rsidR="00D449FD" w:rsidRPr="00CF31E0">
        <w:t>.</w:t>
      </w:r>
      <w:r w:rsidRPr="00CF31E0">
        <w:t>31: Chi-</w:t>
      </w:r>
      <w:r w:rsidR="00481818" w:rsidRPr="00CF31E0">
        <w:t>square test results for</w:t>
      </w:r>
      <w:r w:rsidRPr="00CF31E0">
        <w:t xml:space="preserve"> social group demographic variable.</w:t>
      </w:r>
      <w:bookmarkEnd w:id="507"/>
      <w:bookmarkEnd w:id="508"/>
      <w:bookmarkEnd w:id="509"/>
      <w:bookmarkEnd w:id="510"/>
    </w:p>
    <w:tbl>
      <w:tblPr>
        <w:tblW w:w="7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0"/>
        <w:gridCol w:w="659"/>
        <w:gridCol w:w="1472"/>
        <w:gridCol w:w="719"/>
        <w:gridCol w:w="977"/>
        <w:gridCol w:w="865"/>
        <w:gridCol w:w="992"/>
        <w:gridCol w:w="851"/>
      </w:tblGrid>
      <w:tr w:rsidR="00E97FF2" w:rsidRPr="00CF31E0" w14:paraId="2B25BA46" w14:textId="77777777" w:rsidTr="00F6645B">
        <w:trPr>
          <w:cantSplit/>
        </w:trPr>
        <w:tc>
          <w:tcPr>
            <w:tcW w:w="2831" w:type="dxa"/>
            <w:gridSpan w:val="3"/>
            <w:vMerge w:val="restart"/>
            <w:shd w:val="clear" w:color="auto" w:fill="FFFFFF"/>
            <w:vAlign w:val="bottom"/>
          </w:tcPr>
          <w:p w14:paraId="464D3212" w14:textId="77777777" w:rsidR="00E97FF2" w:rsidRPr="00CF31E0" w:rsidRDefault="00E97FF2" w:rsidP="008A0939">
            <w:pPr>
              <w:rPr>
                <w:rFonts w:asciiTheme="majorBidi" w:hAnsiTheme="majorBidi" w:cstheme="majorBidi"/>
                <w:color w:val="000000" w:themeColor="text1"/>
                <w:sz w:val="22"/>
                <w:szCs w:val="22"/>
              </w:rPr>
            </w:pPr>
          </w:p>
        </w:tc>
        <w:tc>
          <w:tcPr>
            <w:tcW w:w="3553" w:type="dxa"/>
            <w:gridSpan w:val="4"/>
            <w:shd w:val="clear" w:color="auto" w:fill="FFFFFF"/>
            <w:vAlign w:val="bottom"/>
          </w:tcPr>
          <w:p w14:paraId="1A86BBB3" w14:textId="59C30A0E" w:rsidR="00E97FF2" w:rsidRPr="00CF31E0" w:rsidRDefault="00F6645B" w:rsidP="008A0939">
            <w:pPr>
              <w:spacing w:line="320" w:lineRule="atLeast"/>
              <w:ind w:left="60" w:right="60"/>
              <w:jc w:val="center"/>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xml:space="preserve">Is intermarriage acceptable among </w:t>
            </w:r>
            <w:r w:rsidR="00FF4DC7" w:rsidRPr="00CF31E0">
              <w:rPr>
                <w:rFonts w:asciiTheme="majorBidi" w:hAnsiTheme="majorBidi" w:cstheme="majorBidi"/>
                <w:color w:val="000000" w:themeColor="text1"/>
                <w:sz w:val="22"/>
                <w:szCs w:val="22"/>
              </w:rPr>
              <w:t>HH</w:t>
            </w:r>
          </w:p>
        </w:tc>
        <w:tc>
          <w:tcPr>
            <w:tcW w:w="851" w:type="dxa"/>
            <w:vMerge w:val="restart"/>
            <w:shd w:val="clear" w:color="auto" w:fill="FFFFFF"/>
            <w:vAlign w:val="bottom"/>
          </w:tcPr>
          <w:p w14:paraId="3DDB8FBA"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Total</w:t>
            </w:r>
          </w:p>
        </w:tc>
      </w:tr>
      <w:tr w:rsidR="00F6645B" w:rsidRPr="00CF31E0" w14:paraId="480FAFCB" w14:textId="77777777" w:rsidTr="00F6645B">
        <w:trPr>
          <w:cantSplit/>
        </w:trPr>
        <w:tc>
          <w:tcPr>
            <w:tcW w:w="2831" w:type="dxa"/>
            <w:gridSpan w:val="3"/>
            <w:vMerge/>
            <w:shd w:val="clear" w:color="auto" w:fill="FFFFFF"/>
            <w:vAlign w:val="bottom"/>
          </w:tcPr>
          <w:p w14:paraId="6167D1E4" w14:textId="77777777" w:rsidR="00E97FF2" w:rsidRPr="00CF31E0" w:rsidRDefault="00E97FF2" w:rsidP="008A0939">
            <w:pPr>
              <w:rPr>
                <w:rFonts w:asciiTheme="majorBidi" w:hAnsiTheme="majorBidi" w:cstheme="majorBidi"/>
                <w:color w:val="000000" w:themeColor="text1"/>
                <w:sz w:val="22"/>
                <w:szCs w:val="22"/>
              </w:rPr>
            </w:pPr>
          </w:p>
        </w:tc>
        <w:tc>
          <w:tcPr>
            <w:tcW w:w="719" w:type="dxa"/>
            <w:shd w:val="clear" w:color="auto" w:fill="FFFFFF"/>
            <w:vAlign w:val="bottom"/>
          </w:tcPr>
          <w:p w14:paraId="66EBF616"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agree</w:t>
            </w:r>
          </w:p>
        </w:tc>
        <w:tc>
          <w:tcPr>
            <w:tcW w:w="977" w:type="dxa"/>
            <w:shd w:val="clear" w:color="auto" w:fill="FFFFFF"/>
            <w:vAlign w:val="bottom"/>
          </w:tcPr>
          <w:p w14:paraId="054C972B"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disagree</w:t>
            </w:r>
          </w:p>
        </w:tc>
        <w:tc>
          <w:tcPr>
            <w:tcW w:w="865" w:type="dxa"/>
            <w:shd w:val="clear" w:color="auto" w:fill="FFFFFF"/>
            <w:vAlign w:val="bottom"/>
          </w:tcPr>
          <w:p w14:paraId="664FF2AF"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strongly agree</w:t>
            </w:r>
          </w:p>
        </w:tc>
        <w:tc>
          <w:tcPr>
            <w:tcW w:w="992" w:type="dxa"/>
            <w:shd w:val="clear" w:color="auto" w:fill="FFFFFF"/>
            <w:vAlign w:val="bottom"/>
          </w:tcPr>
          <w:p w14:paraId="241E07E8"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strongly disagree</w:t>
            </w:r>
          </w:p>
        </w:tc>
        <w:tc>
          <w:tcPr>
            <w:tcW w:w="851" w:type="dxa"/>
            <w:vMerge/>
            <w:shd w:val="clear" w:color="auto" w:fill="FFFFFF"/>
            <w:vAlign w:val="bottom"/>
          </w:tcPr>
          <w:p w14:paraId="2F220B13" w14:textId="77777777" w:rsidR="00E97FF2" w:rsidRPr="00CF31E0" w:rsidRDefault="00E97FF2" w:rsidP="008A0939">
            <w:pPr>
              <w:rPr>
                <w:rFonts w:asciiTheme="majorBidi" w:hAnsiTheme="majorBidi" w:cstheme="majorBidi"/>
                <w:color w:val="000000" w:themeColor="text1"/>
                <w:sz w:val="22"/>
                <w:szCs w:val="22"/>
              </w:rPr>
            </w:pPr>
          </w:p>
        </w:tc>
      </w:tr>
      <w:tr w:rsidR="00F6645B" w:rsidRPr="00CF31E0" w14:paraId="08A48684" w14:textId="77777777" w:rsidTr="00F6645B">
        <w:trPr>
          <w:cantSplit/>
        </w:trPr>
        <w:tc>
          <w:tcPr>
            <w:tcW w:w="700" w:type="dxa"/>
            <w:vMerge w:val="restart"/>
            <w:shd w:val="clear" w:color="auto" w:fill="FFFFFF"/>
          </w:tcPr>
          <w:p w14:paraId="1CD7DB0F"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Social</w:t>
            </w:r>
          </w:p>
          <w:p w14:paraId="1FFB9FE6"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group</w:t>
            </w:r>
          </w:p>
        </w:tc>
        <w:tc>
          <w:tcPr>
            <w:tcW w:w="659" w:type="dxa"/>
            <w:vMerge w:val="restart"/>
            <w:shd w:val="clear" w:color="auto" w:fill="FFFFFF"/>
          </w:tcPr>
          <w:p w14:paraId="1331FF0B"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UBH</w:t>
            </w:r>
          </w:p>
        </w:tc>
        <w:tc>
          <w:tcPr>
            <w:tcW w:w="1472" w:type="dxa"/>
            <w:shd w:val="clear" w:color="auto" w:fill="FFFFFF"/>
          </w:tcPr>
          <w:p w14:paraId="0011FD3A" w14:textId="145E6EB1" w:rsidR="00E97FF2" w:rsidRPr="00CF31E0" w:rsidRDefault="00F6645B"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Raw frequency</w:t>
            </w:r>
          </w:p>
        </w:tc>
        <w:tc>
          <w:tcPr>
            <w:tcW w:w="719" w:type="dxa"/>
            <w:shd w:val="clear" w:color="auto" w:fill="FFFFFF"/>
            <w:vAlign w:val="center"/>
          </w:tcPr>
          <w:p w14:paraId="4D2C3E56"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163</w:t>
            </w:r>
          </w:p>
        </w:tc>
        <w:tc>
          <w:tcPr>
            <w:tcW w:w="977" w:type="dxa"/>
            <w:shd w:val="clear" w:color="auto" w:fill="FFFFFF"/>
            <w:vAlign w:val="center"/>
          </w:tcPr>
          <w:p w14:paraId="35603FC9"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96</w:t>
            </w:r>
          </w:p>
        </w:tc>
        <w:tc>
          <w:tcPr>
            <w:tcW w:w="865" w:type="dxa"/>
            <w:shd w:val="clear" w:color="auto" w:fill="FFFFFF"/>
            <w:vAlign w:val="center"/>
          </w:tcPr>
          <w:p w14:paraId="487BE1A1"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54</w:t>
            </w:r>
          </w:p>
        </w:tc>
        <w:tc>
          <w:tcPr>
            <w:tcW w:w="992" w:type="dxa"/>
            <w:shd w:val="clear" w:color="auto" w:fill="FFFFFF"/>
            <w:vAlign w:val="center"/>
          </w:tcPr>
          <w:p w14:paraId="538BAEA2" w14:textId="3CAC6A9F"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w:t>
            </w:r>
            <w:r w:rsidR="00481818" w:rsidRPr="00CF31E0">
              <w:rPr>
                <w:rFonts w:asciiTheme="majorBidi" w:hAnsiTheme="majorBidi" w:cstheme="majorBidi"/>
                <w:color w:val="000000" w:themeColor="text1"/>
                <w:sz w:val="22"/>
                <w:szCs w:val="22"/>
              </w:rPr>
              <w:t>0</w:t>
            </w:r>
          </w:p>
        </w:tc>
        <w:tc>
          <w:tcPr>
            <w:tcW w:w="851" w:type="dxa"/>
            <w:shd w:val="clear" w:color="auto" w:fill="FFFFFF"/>
            <w:vAlign w:val="center"/>
          </w:tcPr>
          <w:p w14:paraId="30B77231" w14:textId="1FBDE513"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32</w:t>
            </w:r>
            <w:r w:rsidR="00481818" w:rsidRPr="00CF31E0">
              <w:rPr>
                <w:rFonts w:asciiTheme="majorBidi" w:hAnsiTheme="majorBidi" w:cstheme="majorBidi"/>
                <w:color w:val="000000" w:themeColor="text1"/>
                <w:sz w:val="22"/>
                <w:szCs w:val="22"/>
              </w:rPr>
              <w:t>3</w:t>
            </w:r>
          </w:p>
        </w:tc>
      </w:tr>
      <w:tr w:rsidR="00F6645B" w:rsidRPr="00CF31E0" w14:paraId="63DC2510" w14:textId="77777777" w:rsidTr="00F6645B">
        <w:trPr>
          <w:cantSplit/>
        </w:trPr>
        <w:tc>
          <w:tcPr>
            <w:tcW w:w="700" w:type="dxa"/>
            <w:vMerge/>
            <w:shd w:val="clear" w:color="auto" w:fill="FFFFFF"/>
          </w:tcPr>
          <w:p w14:paraId="2AC918B9" w14:textId="77777777" w:rsidR="00E97FF2" w:rsidRPr="00CF31E0" w:rsidRDefault="00E97FF2" w:rsidP="008A0939">
            <w:pPr>
              <w:rPr>
                <w:rFonts w:asciiTheme="majorBidi" w:hAnsiTheme="majorBidi" w:cstheme="majorBidi"/>
                <w:color w:val="000000" w:themeColor="text1"/>
                <w:sz w:val="22"/>
                <w:szCs w:val="22"/>
              </w:rPr>
            </w:pPr>
          </w:p>
        </w:tc>
        <w:tc>
          <w:tcPr>
            <w:tcW w:w="659" w:type="dxa"/>
            <w:vMerge/>
            <w:shd w:val="clear" w:color="auto" w:fill="FFFFFF"/>
          </w:tcPr>
          <w:p w14:paraId="7FC62F78" w14:textId="77777777" w:rsidR="00E97FF2" w:rsidRPr="00CF31E0" w:rsidRDefault="00E97FF2" w:rsidP="008A0939">
            <w:pPr>
              <w:rPr>
                <w:rFonts w:asciiTheme="majorBidi" w:hAnsiTheme="majorBidi" w:cstheme="majorBidi"/>
                <w:color w:val="000000" w:themeColor="text1"/>
                <w:sz w:val="22"/>
                <w:szCs w:val="22"/>
              </w:rPr>
            </w:pPr>
          </w:p>
        </w:tc>
        <w:tc>
          <w:tcPr>
            <w:tcW w:w="1472" w:type="dxa"/>
            <w:shd w:val="clear" w:color="auto" w:fill="FFFFFF"/>
          </w:tcPr>
          <w:p w14:paraId="71180C9F"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within Social</w:t>
            </w:r>
          </w:p>
          <w:p w14:paraId="42A91DAF"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group</w:t>
            </w:r>
          </w:p>
        </w:tc>
        <w:tc>
          <w:tcPr>
            <w:tcW w:w="719" w:type="dxa"/>
            <w:shd w:val="clear" w:color="auto" w:fill="FFFFFF"/>
            <w:vAlign w:val="center"/>
          </w:tcPr>
          <w:p w14:paraId="6CE48808"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50.3%</w:t>
            </w:r>
          </w:p>
        </w:tc>
        <w:tc>
          <w:tcPr>
            <w:tcW w:w="977" w:type="dxa"/>
            <w:shd w:val="clear" w:color="auto" w:fill="FFFFFF"/>
            <w:vAlign w:val="center"/>
          </w:tcPr>
          <w:p w14:paraId="1643835C"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29.6%</w:t>
            </w:r>
          </w:p>
        </w:tc>
        <w:tc>
          <w:tcPr>
            <w:tcW w:w="865" w:type="dxa"/>
            <w:shd w:val="clear" w:color="auto" w:fill="FFFFFF"/>
            <w:vAlign w:val="center"/>
          </w:tcPr>
          <w:p w14:paraId="37131BFE"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16.7%</w:t>
            </w:r>
          </w:p>
        </w:tc>
        <w:tc>
          <w:tcPr>
            <w:tcW w:w="992" w:type="dxa"/>
            <w:shd w:val="clear" w:color="auto" w:fill="FFFFFF"/>
            <w:vAlign w:val="center"/>
          </w:tcPr>
          <w:p w14:paraId="7325A242"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3.4%</w:t>
            </w:r>
          </w:p>
        </w:tc>
        <w:tc>
          <w:tcPr>
            <w:tcW w:w="851" w:type="dxa"/>
            <w:shd w:val="clear" w:color="auto" w:fill="FFFFFF"/>
            <w:vAlign w:val="center"/>
          </w:tcPr>
          <w:p w14:paraId="05CEA6A8"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100.0%</w:t>
            </w:r>
          </w:p>
        </w:tc>
      </w:tr>
      <w:tr w:rsidR="00F6645B" w:rsidRPr="00CF31E0" w14:paraId="476EE003" w14:textId="77777777" w:rsidTr="00F6645B">
        <w:trPr>
          <w:cantSplit/>
        </w:trPr>
        <w:tc>
          <w:tcPr>
            <w:tcW w:w="700" w:type="dxa"/>
            <w:vMerge/>
            <w:shd w:val="clear" w:color="auto" w:fill="FFFFFF"/>
          </w:tcPr>
          <w:p w14:paraId="0F86D332" w14:textId="77777777" w:rsidR="00E97FF2" w:rsidRPr="00CF31E0" w:rsidRDefault="00E97FF2" w:rsidP="008A0939">
            <w:pPr>
              <w:rPr>
                <w:rFonts w:asciiTheme="majorBidi" w:hAnsiTheme="majorBidi" w:cstheme="majorBidi"/>
                <w:color w:val="000000" w:themeColor="text1"/>
                <w:sz w:val="22"/>
                <w:szCs w:val="22"/>
              </w:rPr>
            </w:pPr>
          </w:p>
        </w:tc>
        <w:tc>
          <w:tcPr>
            <w:tcW w:w="659" w:type="dxa"/>
            <w:vMerge/>
            <w:shd w:val="clear" w:color="auto" w:fill="FFFFFF"/>
          </w:tcPr>
          <w:p w14:paraId="4260ECB9" w14:textId="77777777" w:rsidR="00E97FF2" w:rsidRPr="00CF31E0" w:rsidRDefault="00E97FF2" w:rsidP="008A0939">
            <w:pPr>
              <w:rPr>
                <w:rFonts w:asciiTheme="majorBidi" w:hAnsiTheme="majorBidi" w:cstheme="majorBidi"/>
                <w:color w:val="000000" w:themeColor="text1"/>
                <w:sz w:val="22"/>
                <w:szCs w:val="22"/>
              </w:rPr>
            </w:pPr>
          </w:p>
        </w:tc>
        <w:tc>
          <w:tcPr>
            <w:tcW w:w="1472" w:type="dxa"/>
            <w:shd w:val="clear" w:color="auto" w:fill="FFFFFF"/>
          </w:tcPr>
          <w:p w14:paraId="1B663A98"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of Total</w:t>
            </w:r>
          </w:p>
        </w:tc>
        <w:tc>
          <w:tcPr>
            <w:tcW w:w="719" w:type="dxa"/>
            <w:shd w:val="clear" w:color="auto" w:fill="FFFFFF"/>
            <w:vAlign w:val="center"/>
          </w:tcPr>
          <w:p w14:paraId="3BE29456"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25.1%</w:t>
            </w:r>
          </w:p>
        </w:tc>
        <w:tc>
          <w:tcPr>
            <w:tcW w:w="977" w:type="dxa"/>
            <w:shd w:val="clear" w:color="auto" w:fill="FFFFFF"/>
            <w:vAlign w:val="center"/>
          </w:tcPr>
          <w:p w14:paraId="7E618D24"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14.8%</w:t>
            </w:r>
          </w:p>
        </w:tc>
        <w:tc>
          <w:tcPr>
            <w:tcW w:w="865" w:type="dxa"/>
            <w:shd w:val="clear" w:color="auto" w:fill="FFFFFF"/>
            <w:vAlign w:val="center"/>
          </w:tcPr>
          <w:p w14:paraId="7F709F7A"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8.3%</w:t>
            </w:r>
          </w:p>
        </w:tc>
        <w:tc>
          <w:tcPr>
            <w:tcW w:w="992" w:type="dxa"/>
            <w:shd w:val="clear" w:color="auto" w:fill="FFFFFF"/>
            <w:vAlign w:val="center"/>
          </w:tcPr>
          <w:p w14:paraId="1EA2FFD6"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1.7%</w:t>
            </w:r>
          </w:p>
        </w:tc>
        <w:tc>
          <w:tcPr>
            <w:tcW w:w="851" w:type="dxa"/>
            <w:shd w:val="clear" w:color="auto" w:fill="FFFFFF"/>
            <w:vAlign w:val="center"/>
          </w:tcPr>
          <w:p w14:paraId="6E3D7999"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49.9%</w:t>
            </w:r>
          </w:p>
        </w:tc>
      </w:tr>
      <w:tr w:rsidR="00F6645B" w:rsidRPr="00CF31E0" w14:paraId="46AEA979" w14:textId="77777777" w:rsidTr="00F6645B">
        <w:trPr>
          <w:cantSplit/>
        </w:trPr>
        <w:tc>
          <w:tcPr>
            <w:tcW w:w="700" w:type="dxa"/>
            <w:vMerge/>
            <w:shd w:val="clear" w:color="auto" w:fill="FFFFFF"/>
          </w:tcPr>
          <w:p w14:paraId="0394AFA1" w14:textId="77777777" w:rsidR="00E97FF2" w:rsidRPr="00CF31E0" w:rsidRDefault="00E97FF2" w:rsidP="008A0939">
            <w:pPr>
              <w:rPr>
                <w:rFonts w:asciiTheme="majorBidi" w:hAnsiTheme="majorBidi" w:cstheme="majorBidi"/>
                <w:color w:val="000000" w:themeColor="text1"/>
                <w:sz w:val="22"/>
                <w:szCs w:val="22"/>
              </w:rPr>
            </w:pPr>
          </w:p>
        </w:tc>
        <w:tc>
          <w:tcPr>
            <w:tcW w:w="659" w:type="dxa"/>
            <w:vMerge w:val="restart"/>
            <w:shd w:val="clear" w:color="auto" w:fill="FFFFFF"/>
          </w:tcPr>
          <w:p w14:paraId="7A227379"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HH</w:t>
            </w:r>
          </w:p>
        </w:tc>
        <w:tc>
          <w:tcPr>
            <w:tcW w:w="1472" w:type="dxa"/>
            <w:shd w:val="clear" w:color="auto" w:fill="FFFFFF"/>
          </w:tcPr>
          <w:p w14:paraId="16B4EDCF" w14:textId="6F7BC23A" w:rsidR="00E97FF2" w:rsidRPr="00CF31E0" w:rsidRDefault="00F6645B" w:rsidP="00F6645B">
            <w:pPr>
              <w:spacing w:line="320" w:lineRule="atLeast"/>
              <w:ind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Raw frequency</w:t>
            </w:r>
          </w:p>
        </w:tc>
        <w:tc>
          <w:tcPr>
            <w:tcW w:w="719" w:type="dxa"/>
            <w:shd w:val="clear" w:color="auto" w:fill="FFFFFF"/>
            <w:vAlign w:val="center"/>
          </w:tcPr>
          <w:p w14:paraId="3613D3A0"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293</w:t>
            </w:r>
          </w:p>
        </w:tc>
        <w:tc>
          <w:tcPr>
            <w:tcW w:w="977" w:type="dxa"/>
            <w:shd w:val="clear" w:color="auto" w:fill="FFFFFF"/>
            <w:vAlign w:val="center"/>
          </w:tcPr>
          <w:p w14:paraId="31AA6829"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11</w:t>
            </w:r>
          </w:p>
        </w:tc>
        <w:tc>
          <w:tcPr>
            <w:tcW w:w="865" w:type="dxa"/>
            <w:shd w:val="clear" w:color="auto" w:fill="FFFFFF"/>
            <w:vAlign w:val="center"/>
          </w:tcPr>
          <w:p w14:paraId="716AA7DC"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11</w:t>
            </w:r>
          </w:p>
        </w:tc>
        <w:tc>
          <w:tcPr>
            <w:tcW w:w="992" w:type="dxa"/>
            <w:shd w:val="clear" w:color="auto" w:fill="FFFFFF"/>
            <w:vAlign w:val="center"/>
          </w:tcPr>
          <w:p w14:paraId="23B6A141" w14:textId="06574B5D"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w:t>
            </w:r>
            <w:r w:rsidR="00481818" w:rsidRPr="00CF31E0">
              <w:rPr>
                <w:rFonts w:asciiTheme="majorBidi" w:hAnsiTheme="majorBidi" w:cstheme="majorBidi"/>
                <w:color w:val="000000" w:themeColor="text1"/>
                <w:sz w:val="22"/>
                <w:szCs w:val="22"/>
              </w:rPr>
              <w:t>1</w:t>
            </w:r>
          </w:p>
        </w:tc>
        <w:tc>
          <w:tcPr>
            <w:tcW w:w="851" w:type="dxa"/>
            <w:shd w:val="clear" w:color="auto" w:fill="FFFFFF"/>
            <w:vAlign w:val="center"/>
          </w:tcPr>
          <w:p w14:paraId="3054F7AE" w14:textId="69538051"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32</w:t>
            </w:r>
            <w:r w:rsidR="00481818" w:rsidRPr="00CF31E0">
              <w:rPr>
                <w:rFonts w:asciiTheme="majorBidi" w:hAnsiTheme="majorBidi" w:cstheme="majorBidi"/>
                <w:color w:val="000000" w:themeColor="text1"/>
                <w:sz w:val="22"/>
                <w:szCs w:val="22"/>
              </w:rPr>
              <w:t>6</w:t>
            </w:r>
          </w:p>
        </w:tc>
      </w:tr>
      <w:tr w:rsidR="00F6645B" w:rsidRPr="00CF31E0" w14:paraId="1F522A4A" w14:textId="77777777" w:rsidTr="00F6645B">
        <w:trPr>
          <w:cantSplit/>
        </w:trPr>
        <w:tc>
          <w:tcPr>
            <w:tcW w:w="700" w:type="dxa"/>
            <w:vMerge/>
            <w:shd w:val="clear" w:color="auto" w:fill="FFFFFF"/>
          </w:tcPr>
          <w:p w14:paraId="35A869F0" w14:textId="77777777" w:rsidR="00E97FF2" w:rsidRPr="00CF31E0" w:rsidRDefault="00E97FF2" w:rsidP="008A0939">
            <w:pPr>
              <w:rPr>
                <w:rFonts w:asciiTheme="majorBidi" w:hAnsiTheme="majorBidi" w:cstheme="majorBidi"/>
                <w:color w:val="000000" w:themeColor="text1"/>
                <w:sz w:val="22"/>
                <w:szCs w:val="22"/>
              </w:rPr>
            </w:pPr>
          </w:p>
        </w:tc>
        <w:tc>
          <w:tcPr>
            <w:tcW w:w="659" w:type="dxa"/>
            <w:vMerge/>
            <w:shd w:val="clear" w:color="auto" w:fill="FFFFFF"/>
          </w:tcPr>
          <w:p w14:paraId="18F4F402" w14:textId="77777777" w:rsidR="00E97FF2" w:rsidRPr="00CF31E0" w:rsidRDefault="00E97FF2" w:rsidP="008A0939">
            <w:pPr>
              <w:rPr>
                <w:rFonts w:asciiTheme="majorBidi" w:hAnsiTheme="majorBidi" w:cstheme="majorBidi"/>
                <w:color w:val="000000" w:themeColor="text1"/>
                <w:sz w:val="22"/>
                <w:szCs w:val="22"/>
              </w:rPr>
            </w:pPr>
          </w:p>
        </w:tc>
        <w:tc>
          <w:tcPr>
            <w:tcW w:w="1472" w:type="dxa"/>
            <w:shd w:val="clear" w:color="auto" w:fill="FFFFFF"/>
          </w:tcPr>
          <w:p w14:paraId="08419FB6"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within Social</w:t>
            </w:r>
          </w:p>
          <w:p w14:paraId="5898B852"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group</w:t>
            </w:r>
          </w:p>
        </w:tc>
        <w:tc>
          <w:tcPr>
            <w:tcW w:w="719" w:type="dxa"/>
            <w:shd w:val="clear" w:color="auto" w:fill="FFFFFF"/>
            <w:vAlign w:val="center"/>
          </w:tcPr>
          <w:p w14:paraId="75E40C42"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90.2%</w:t>
            </w:r>
          </w:p>
        </w:tc>
        <w:tc>
          <w:tcPr>
            <w:tcW w:w="977" w:type="dxa"/>
            <w:shd w:val="clear" w:color="auto" w:fill="FFFFFF"/>
            <w:vAlign w:val="center"/>
          </w:tcPr>
          <w:p w14:paraId="48B74473"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3.4%</w:t>
            </w:r>
          </w:p>
        </w:tc>
        <w:tc>
          <w:tcPr>
            <w:tcW w:w="865" w:type="dxa"/>
            <w:shd w:val="clear" w:color="auto" w:fill="FFFFFF"/>
            <w:vAlign w:val="center"/>
          </w:tcPr>
          <w:p w14:paraId="39C9CF03"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3.4%</w:t>
            </w:r>
          </w:p>
        </w:tc>
        <w:tc>
          <w:tcPr>
            <w:tcW w:w="992" w:type="dxa"/>
            <w:shd w:val="clear" w:color="auto" w:fill="FFFFFF"/>
            <w:vAlign w:val="center"/>
          </w:tcPr>
          <w:p w14:paraId="0E177AC3"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3.1%</w:t>
            </w:r>
          </w:p>
        </w:tc>
        <w:tc>
          <w:tcPr>
            <w:tcW w:w="851" w:type="dxa"/>
            <w:shd w:val="clear" w:color="auto" w:fill="FFFFFF"/>
            <w:vAlign w:val="center"/>
          </w:tcPr>
          <w:p w14:paraId="35CD480F"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100.0%</w:t>
            </w:r>
          </w:p>
        </w:tc>
      </w:tr>
      <w:tr w:rsidR="00F6645B" w:rsidRPr="00CF31E0" w14:paraId="0F23EFDC" w14:textId="77777777" w:rsidTr="00F6645B">
        <w:trPr>
          <w:cantSplit/>
        </w:trPr>
        <w:tc>
          <w:tcPr>
            <w:tcW w:w="700" w:type="dxa"/>
            <w:vMerge/>
            <w:shd w:val="clear" w:color="auto" w:fill="FFFFFF"/>
          </w:tcPr>
          <w:p w14:paraId="2E2D0D42" w14:textId="77777777" w:rsidR="00E97FF2" w:rsidRPr="00CF31E0" w:rsidRDefault="00E97FF2" w:rsidP="008A0939">
            <w:pPr>
              <w:rPr>
                <w:rFonts w:asciiTheme="majorBidi" w:hAnsiTheme="majorBidi" w:cstheme="majorBidi"/>
                <w:color w:val="000000" w:themeColor="text1"/>
                <w:sz w:val="22"/>
                <w:szCs w:val="22"/>
              </w:rPr>
            </w:pPr>
          </w:p>
        </w:tc>
        <w:tc>
          <w:tcPr>
            <w:tcW w:w="659" w:type="dxa"/>
            <w:vMerge/>
            <w:shd w:val="clear" w:color="auto" w:fill="FFFFFF"/>
          </w:tcPr>
          <w:p w14:paraId="1162758C" w14:textId="77777777" w:rsidR="00E97FF2" w:rsidRPr="00CF31E0" w:rsidRDefault="00E97FF2" w:rsidP="008A0939">
            <w:pPr>
              <w:rPr>
                <w:rFonts w:asciiTheme="majorBidi" w:hAnsiTheme="majorBidi" w:cstheme="majorBidi"/>
                <w:color w:val="000000" w:themeColor="text1"/>
                <w:sz w:val="22"/>
                <w:szCs w:val="22"/>
              </w:rPr>
            </w:pPr>
          </w:p>
        </w:tc>
        <w:tc>
          <w:tcPr>
            <w:tcW w:w="1472" w:type="dxa"/>
            <w:shd w:val="clear" w:color="auto" w:fill="FFFFFF"/>
          </w:tcPr>
          <w:p w14:paraId="094423CD"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of Total</w:t>
            </w:r>
          </w:p>
        </w:tc>
        <w:tc>
          <w:tcPr>
            <w:tcW w:w="719" w:type="dxa"/>
            <w:shd w:val="clear" w:color="auto" w:fill="FFFFFF"/>
            <w:vAlign w:val="center"/>
          </w:tcPr>
          <w:p w14:paraId="161E1BD5"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45.1%</w:t>
            </w:r>
          </w:p>
        </w:tc>
        <w:tc>
          <w:tcPr>
            <w:tcW w:w="977" w:type="dxa"/>
            <w:shd w:val="clear" w:color="auto" w:fill="FFFFFF"/>
            <w:vAlign w:val="center"/>
          </w:tcPr>
          <w:p w14:paraId="1C1E823D"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1.7%</w:t>
            </w:r>
          </w:p>
        </w:tc>
        <w:tc>
          <w:tcPr>
            <w:tcW w:w="865" w:type="dxa"/>
            <w:shd w:val="clear" w:color="auto" w:fill="FFFFFF"/>
            <w:vAlign w:val="center"/>
          </w:tcPr>
          <w:p w14:paraId="5977190D"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1.7%</w:t>
            </w:r>
          </w:p>
        </w:tc>
        <w:tc>
          <w:tcPr>
            <w:tcW w:w="992" w:type="dxa"/>
            <w:shd w:val="clear" w:color="auto" w:fill="FFFFFF"/>
            <w:vAlign w:val="center"/>
          </w:tcPr>
          <w:p w14:paraId="4908FF15"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1.5%</w:t>
            </w:r>
          </w:p>
        </w:tc>
        <w:tc>
          <w:tcPr>
            <w:tcW w:w="851" w:type="dxa"/>
            <w:shd w:val="clear" w:color="auto" w:fill="FFFFFF"/>
            <w:vAlign w:val="center"/>
          </w:tcPr>
          <w:p w14:paraId="792EB007"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50.1%</w:t>
            </w:r>
          </w:p>
        </w:tc>
      </w:tr>
      <w:tr w:rsidR="00F6645B" w:rsidRPr="00CF31E0" w14:paraId="46629D14" w14:textId="77777777" w:rsidTr="00F6645B">
        <w:trPr>
          <w:cantSplit/>
        </w:trPr>
        <w:tc>
          <w:tcPr>
            <w:tcW w:w="1359" w:type="dxa"/>
            <w:gridSpan w:val="2"/>
            <w:vMerge w:val="restart"/>
            <w:shd w:val="clear" w:color="auto" w:fill="FFFFFF"/>
          </w:tcPr>
          <w:p w14:paraId="70B59360"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Total</w:t>
            </w:r>
          </w:p>
        </w:tc>
        <w:tc>
          <w:tcPr>
            <w:tcW w:w="1472" w:type="dxa"/>
            <w:shd w:val="clear" w:color="auto" w:fill="FFFFFF"/>
          </w:tcPr>
          <w:p w14:paraId="00E3BC85" w14:textId="46E2ABDE" w:rsidR="00E97FF2" w:rsidRPr="00CF31E0" w:rsidRDefault="00F6645B"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Raw frequency</w:t>
            </w:r>
          </w:p>
        </w:tc>
        <w:tc>
          <w:tcPr>
            <w:tcW w:w="719" w:type="dxa"/>
            <w:shd w:val="clear" w:color="auto" w:fill="FFFFFF"/>
            <w:vAlign w:val="center"/>
          </w:tcPr>
          <w:p w14:paraId="3BC3EA7F"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456</w:t>
            </w:r>
          </w:p>
        </w:tc>
        <w:tc>
          <w:tcPr>
            <w:tcW w:w="977" w:type="dxa"/>
            <w:shd w:val="clear" w:color="auto" w:fill="FFFFFF"/>
            <w:vAlign w:val="center"/>
          </w:tcPr>
          <w:p w14:paraId="6607DC1C"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107</w:t>
            </w:r>
          </w:p>
        </w:tc>
        <w:tc>
          <w:tcPr>
            <w:tcW w:w="865" w:type="dxa"/>
            <w:shd w:val="clear" w:color="auto" w:fill="FFFFFF"/>
            <w:vAlign w:val="center"/>
          </w:tcPr>
          <w:p w14:paraId="5693F889"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65</w:t>
            </w:r>
          </w:p>
        </w:tc>
        <w:tc>
          <w:tcPr>
            <w:tcW w:w="992" w:type="dxa"/>
            <w:shd w:val="clear" w:color="auto" w:fill="FFFFFF"/>
            <w:vAlign w:val="center"/>
          </w:tcPr>
          <w:p w14:paraId="05B27BDC"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21</w:t>
            </w:r>
          </w:p>
        </w:tc>
        <w:tc>
          <w:tcPr>
            <w:tcW w:w="851" w:type="dxa"/>
            <w:shd w:val="clear" w:color="auto" w:fill="FFFFFF"/>
            <w:vAlign w:val="center"/>
          </w:tcPr>
          <w:p w14:paraId="2B466377"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649</w:t>
            </w:r>
          </w:p>
        </w:tc>
      </w:tr>
      <w:tr w:rsidR="00F6645B" w:rsidRPr="00CF31E0" w14:paraId="654FED90" w14:textId="77777777" w:rsidTr="00F6645B">
        <w:trPr>
          <w:cantSplit/>
        </w:trPr>
        <w:tc>
          <w:tcPr>
            <w:tcW w:w="1359" w:type="dxa"/>
            <w:gridSpan w:val="2"/>
            <w:vMerge/>
            <w:shd w:val="clear" w:color="auto" w:fill="FFFFFF"/>
          </w:tcPr>
          <w:p w14:paraId="5030E1BB" w14:textId="77777777" w:rsidR="00E97FF2" w:rsidRPr="00CF31E0" w:rsidRDefault="00E97FF2" w:rsidP="008A0939">
            <w:pPr>
              <w:rPr>
                <w:rFonts w:asciiTheme="majorBidi" w:hAnsiTheme="majorBidi" w:cstheme="majorBidi"/>
                <w:color w:val="000000" w:themeColor="text1"/>
                <w:sz w:val="22"/>
                <w:szCs w:val="22"/>
              </w:rPr>
            </w:pPr>
          </w:p>
        </w:tc>
        <w:tc>
          <w:tcPr>
            <w:tcW w:w="1472" w:type="dxa"/>
            <w:shd w:val="clear" w:color="auto" w:fill="FFFFFF"/>
          </w:tcPr>
          <w:p w14:paraId="7E509820"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within Social</w:t>
            </w:r>
          </w:p>
          <w:p w14:paraId="74E8F19E"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group</w:t>
            </w:r>
          </w:p>
        </w:tc>
        <w:tc>
          <w:tcPr>
            <w:tcW w:w="719" w:type="dxa"/>
            <w:shd w:val="clear" w:color="auto" w:fill="FFFFFF"/>
            <w:vAlign w:val="center"/>
          </w:tcPr>
          <w:p w14:paraId="278A2D1E"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70.3%</w:t>
            </w:r>
          </w:p>
        </w:tc>
        <w:tc>
          <w:tcPr>
            <w:tcW w:w="977" w:type="dxa"/>
            <w:shd w:val="clear" w:color="auto" w:fill="FFFFFF"/>
            <w:vAlign w:val="center"/>
          </w:tcPr>
          <w:p w14:paraId="7AF18EF8"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16.5%</w:t>
            </w:r>
          </w:p>
        </w:tc>
        <w:tc>
          <w:tcPr>
            <w:tcW w:w="865" w:type="dxa"/>
            <w:shd w:val="clear" w:color="auto" w:fill="FFFFFF"/>
            <w:vAlign w:val="center"/>
          </w:tcPr>
          <w:p w14:paraId="2006AD57"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10.0%</w:t>
            </w:r>
          </w:p>
        </w:tc>
        <w:tc>
          <w:tcPr>
            <w:tcW w:w="992" w:type="dxa"/>
            <w:shd w:val="clear" w:color="auto" w:fill="FFFFFF"/>
            <w:vAlign w:val="center"/>
          </w:tcPr>
          <w:p w14:paraId="3B34B627"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3.2%</w:t>
            </w:r>
          </w:p>
        </w:tc>
        <w:tc>
          <w:tcPr>
            <w:tcW w:w="851" w:type="dxa"/>
            <w:shd w:val="clear" w:color="auto" w:fill="FFFFFF"/>
            <w:vAlign w:val="center"/>
          </w:tcPr>
          <w:p w14:paraId="703CBDF2"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100.0%</w:t>
            </w:r>
          </w:p>
        </w:tc>
      </w:tr>
      <w:tr w:rsidR="00F6645B" w:rsidRPr="00CF31E0" w14:paraId="0AAC1B60" w14:textId="77777777" w:rsidTr="00F6645B">
        <w:trPr>
          <w:cantSplit/>
        </w:trPr>
        <w:tc>
          <w:tcPr>
            <w:tcW w:w="1359" w:type="dxa"/>
            <w:gridSpan w:val="2"/>
            <w:vMerge/>
            <w:shd w:val="clear" w:color="auto" w:fill="FFFFFF"/>
          </w:tcPr>
          <w:p w14:paraId="4659A8DF" w14:textId="77777777" w:rsidR="00E97FF2" w:rsidRPr="00CF31E0" w:rsidRDefault="00E97FF2" w:rsidP="008A0939">
            <w:pPr>
              <w:rPr>
                <w:rFonts w:asciiTheme="majorBidi" w:hAnsiTheme="majorBidi" w:cstheme="majorBidi"/>
                <w:color w:val="000000" w:themeColor="text1"/>
                <w:sz w:val="22"/>
                <w:szCs w:val="22"/>
              </w:rPr>
            </w:pPr>
          </w:p>
        </w:tc>
        <w:tc>
          <w:tcPr>
            <w:tcW w:w="1472" w:type="dxa"/>
            <w:shd w:val="clear" w:color="auto" w:fill="FFFFFF"/>
          </w:tcPr>
          <w:p w14:paraId="78B03AA4"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 of Total</w:t>
            </w:r>
          </w:p>
        </w:tc>
        <w:tc>
          <w:tcPr>
            <w:tcW w:w="719" w:type="dxa"/>
            <w:shd w:val="clear" w:color="auto" w:fill="FFFFFF"/>
            <w:vAlign w:val="center"/>
          </w:tcPr>
          <w:p w14:paraId="1BC6984C"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70.3%</w:t>
            </w:r>
          </w:p>
        </w:tc>
        <w:tc>
          <w:tcPr>
            <w:tcW w:w="977" w:type="dxa"/>
            <w:shd w:val="clear" w:color="auto" w:fill="FFFFFF"/>
            <w:vAlign w:val="center"/>
          </w:tcPr>
          <w:p w14:paraId="2CCD52AF"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16.5%</w:t>
            </w:r>
          </w:p>
        </w:tc>
        <w:tc>
          <w:tcPr>
            <w:tcW w:w="865" w:type="dxa"/>
            <w:shd w:val="clear" w:color="auto" w:fill="FFFFFF"/>
            <w:vAlign w:val="center"/>
          </w:tcPr>
          <w:p w14:paraId="5BE9CA74"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10.0%</w:t>
            </w:r>
          </w:p>
        </w:tc>
        <w:tc>
          <w:tcPr>
            <w:tcW w:w="992" w:type="dxa"/>
            <w:shd w:val="clear" w:color="auto" w:fill="FFFFFF"/>
            <w:vAlign w:val="center"/>
          </w:tcPr>
          <w:p w14:paraId="3308BDE6"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3.2%</w:t>
            </w:r>
          </w:p>
        </w:tc>
        <w:tc>
          <w:tcPr>
            <w:tcW w:w="851" w:type="dxa"/>
            <w:shd w:val="clear" w:color="auto" w:fill="FFFFFF"/>
            <w:vAlign w:val="center"/>
          </w:tcPr>
          <w:p w14:paraId="716A00C3" w14:textId="77777777" w:rsidR="00E97FF2" w:rsidRPr="00CF31E0" w:rsidRDefault="00E97FF2" w:rsidP="008A0939">
            <w:pPr>
              <w:spacing w:line="320" w:lineRule="atLeast"/>
              <w:ind w:left="60" w:right="60"/>
              <w:rPr>
                <w:rFonts w:asciiTheme="majorBidi" w:hAnsiTheme="majorBidi" w:cstheme="majorBidi"/>
                <w:color w:val="000000" w:themeColor="text1"/>
                <w:sz w:val="22"/>
                <w:szCs w:val="22"/>
              </w:rPr>
            </w:pPr>
            <w:r w:rsidRPr="00CF31E0">
              <w:rPr>
                <w:rFonts w:asciiTheme="majorBidi" w:hAnsiTheme="majorBidi" w:cstheme="majorBidi"/>
                <w:color w:val="000000" w:themeColor="text1"/>
                <w:sz w:val="22"/>
                <w:szCs w:val="22"/>
              </w:rPr>
              <w:t>100.0%</w:t>
            </w:r>
          </w:p>
        </w:tc>
      </w:tr>
    </w:tbl>
    <w:p w14:paraId="4D6C6787" w14:textId="7DB58E87" w:rsidR="00A23C2A" w:rsidRPr="00CF31E0" w:rsidRDefault="00A23C2A" w:rsidP="00730917">
      <w:pPr>
        <w:pStyle w:val="Tablecaption"/>
      </w:pPr>
      <w:bookmarkStart w:id="511" w:name="_Toc522527436"/>
      <w:bookmarkStart w:id="512" w:name="_Toc522628848"/>
      <w:bookmarkStart w:id="513" w:name="_Toc522629012"/>
      <w:bookmarkStart w:id="514" w:name="_Toc6473109"/>
      <w:r w:rsidRPr="00CF31E0">
        <w:t xml:space="preserve">Table </w:t>
      </w:r>
      <w:r w:rsidR="003B1221" w:rsidRPr="00CF31E0">
        <w:t>7</w:t>
      </w:r>
      <w:r w:rsidR="00D449FD" w:rsidRPr="00CF31E0">
        <w:t>.</w:t>
      </w:r>
      <w:r w:rsidRPr="00CF31E0">
        <w:t>32: Social group-Q11 crosstabulation.</w:t>
      </w:r>
      <w:bookmarkEnd w:id="511"/>
      <w:bookmarkEnd w:id="512"/>
      <w:bookmarkEnd w:id="513"/>
      <w:bookmarkEnd w:id="514"/>
      <w:r w:rsidRPr="00CF31E0">
        <w:t xml:space="preserve"> </w:t>
      </w:r>
    </w:p>
    <w:p w14:paraId="088DB045" w14:textId="6FB5D176" w:rsidR="00A23C2A" w:rsidRPr="00CF31E0" w:rsidRDefault="00A23C2A" w:rsidP="00603CB7">
      <w:pPr>
        <w:pStyle w:val="Paragraph"/>
      </w:pPr>
      <w:r w:rsidRPr="00CF31E0">
        <w:t xml:space="preserve">Table </w:t>
      </w:r>
      <w:r w:rsidR="003B1221" w:rsidRPr="00CF31E0">
        <w:t>7</w:t>
      </w:r>
      <w:r w:rsidR="00D449FD" w:rsidRPr="00CF31E0">
        <w:t>.</w:t>
      </w:r>
      <w:r w:rsidRPr="00CF31E0">
        <w:t xml:space="preserve">32 shows that, </w:t>
      </w:r>
      <w:r w:rsidR="00FC79E4" w:rsidRPr="00CF31E0">
        <w:t>within social groups, first, 50.3% of</w:t>
      </w:r>
      <w:r w:rsidRPr="00CF31E0">
        <w:t xml:space="preserve"> UBH participants agreed that intermarriage is acceptable amon</w:t>
      </w:r>
      <w:r w:rsidR="00FC79E4" w:rsidRPr="00CF31E0">
        <w:t>g HH people, while 90.2% of</w:t>
      </w:r>
      <w:r w:rsidRPr="00CF31E0">
        <w:t xml:space="preserve"> HH participants agreed</w:t>
      </w:r>
      <w:r w:rsidR="00FC79E4" w:rsidRPr="00CF31E0">
        <w:t xml:space="preserve"> with this statement. Second, 29.6% of</w:t>
      </w:r>
      <w:r w:rsidRPr="00CF31E0">
        <w:t xml:space="preserve"> UBH participants disagreed with the statement in the </w:t>
      </w:r>
      <w:r w:rsidR="00FC79E4" w:rsidRPr="00CF31E0">
        <w:t>question provided, while 3.4%</w:t>
      </w:r>
      <w:r w:rsidRPr="00CF31E0">
        <w:t xml:space="preserve"> </w:t>
      </w:r>
      <w:r w:rsidR="00FC79E4" w:rsidRPr="00CF31E0">
        <w:t xml:space="preserve">of </w:t>
      </w:r>
      <w:r w:rsidRPr="00CF31E0">
        <w:t>HH participa</w:t>
      </w:r>
      <w:r w:rsidR="00FC79E4" w:rsidRPr="00CF31E0">
        <w:t>nts disagreed with it. Third, 16.7% of</w:t>
      </w:r>
      <w:r w:rsidRPr="00CF31E0">
        <w:t xml:space="preserve"> UBH participants strongly agreed on the interma</w:t>
      </w:r>
      <w:r w:rsidR="00FC79E4" w:rsidRPr="00CF31E0">
        <w:t>rriage phenomenon, while only 3.4% of</w:t>
      </w:r>
      <w:r w:rsidRPr="00CF31E0">
        <w:t xml:space="preserve"> HH participa</w:t>
      </w:r>
      <w:r w:rsidR="00FC79E4" w:rsidRPr="00CF31E0">
        <w:t>nts strongly agreed. Finally, 3.4% of</w:t>
      </w:r>
      <w:r w:rsidRPr="00CF31E0">
        <w:t xml:space="preserve"> UBH participants strongly disagreed on the statement in</w:t>
      </w:r>
      <w:r w:rsidR="00FC79E4" w:rsidRPr="00CF31E0">
        <w:t xml:space="preserve"> the question provided, while 3.1% of</w:t>
      </w:r>
      <w:r w:rsidRPr="00CF31E0">
        <w:t xml:space="preserve"> HH participants strongly disagreed. Overall, HH participants seemed more supportive of the idea that intermarriage is acceptable among HH than UBH </w:t>
      </w:r>
      <w:r w:rsidRPr="00CF31E0">
        <w:lastRenderedPageBreak/>
        <w:t xml:space="preserve">were. The results for mother’s social group and spouse’s social group showed the same pattern as the above. </w:t>
      </w:r>
      <w:r w:rsidR="00755978" w:rsidRPr="00CF31E0">
        <w:t>See Appendix 2.</w:t>
      </w:r>
    </w:p>
    <w:p w14:paraId="03087732" w14:textId="14922C88" w:rsidR="00A23C2A" w:rsidRPr="00CF31E0" w:rsidRDefault="003B1221" w:rsidP="00E87209">
      <w:pPr>
        <w:pStyle w:val="Ahead"/>
        <w:rPr>
          <w:rFonts w:eastAsia="Times New Roman"/>
        </w:rPr>
      </w:pPr>
      <w:bookmarkStart w:id="515" w:name="_Toc6472726"/>
      <w:r w:rsidRPr="00CF31E0">
        <w:rPr>
          <w:rFonts w:eastAsia="Times New Roman"/>
        </w:rPr>
        <w:t>7</w:t>
      </w:r>
      <w:r w:rsidR="00D449FD" w:rsidRPr="00CF31E0">
        <w:rPr>
          <w:rFonts w:eastAsia="Times New Roman"/>
        </w:rPr>
        <w:t>.12.</w:t>
      </w:r>
      <w:r w:rsidR="001458D0" w:rsidRPr="00CF31E0">
        <w:rPr>
          <w:rFonts w:eastAsia="Times New Roman"/>
        </w:rPr>
        <w:tab/>
      </w:r>
      <w:r w:rsidR="00A23C2A" w:rsidRPr="00CF31E0">
        <w:rPr>
          <w:rFonts w:eastAsia="Times New Roman"/>
        </w:rPr>
        <w:t>Conclusion</w:t>
      </w:r>
      <w:bookmarkEnd w:id="515"/>
    </w:p>
    <w:p w14:paraId="76D15D20" w14:textId="32F995FA" w:rsidR="00A23C2A" w:rsidRPr="00CF31E0" w:rsidRDefault="00A23C2A" w:rsidP="00603CB7">
      <w:pPr>
        <w:pStyle w:val="Paragraph"/>
      </w:pPr>
      <w:r w:rsidRPr="00CF31E0">
        <w:t>This chapter has enhanced the background information provided on the Hijaz region, as all of the questions asked in this part of the study mainly focused on eliciting answers about participants’ sociolinguistic perceptions about the region. To sum up, the HH dialect was perceived as the most representative reference for the Hijazi dialect. Furthermore, the HH dialect was selected as the most dominant dialect in Hijaz</w:t>
      </w:r>
      <w:r w:rsidR="00B80305" w:rsidRPr="00CF31E0">
        <w:t>. Participants perceived the the UBH and HH</w:t>
      </w:r>
      <w:r w:rsidRPr="00CF31E0">
        <w:t xml:space="preserve"> dialects as being different from each other. The two dialects were perceived as different in all linguistic aspects provided in the choices: sounds, words and style of speaking. Another significant result indicated that the HH dialect was perceived to be most similar to the Egyptian Arabic dialect. In terms of dialect contact, more HH participants perceived UBHs trying to speak the HH dialect than HH participants perceived HHs trying to speak the UBH dialect. Socially, intermarriage between the two groups was perceived to have occurred in recent years rather than in the past. Moreover, participants observed that the intermarriage phenomenon is more acceptable among the HH community than among the UBH community. </w:t>
      </w:r>
    </w:p>
    <w:p w14:paraId="54E46546" w14:textId="77777777" w:rsidR="00A23C2A" w:rsidRPr="00CF31E0" w:rsidRDefault="00A23C2A" w:rsidP="00603CB7">
      <w:pPr>
        <w:pStyle w:val="Paragraph"/>
      </w:pPr>
      <w:r w:rsidRPr="00CF31E0">
        <w:t xml:space="preserve">With regard to the effects of demographic variables on the data, the results revealed that a systematic pattern emerged in the results. In other words, the social group demographic variable was foregrounded when the question involved social or linguistic queries about the two groups. This means that the two groups attempt to deliver the most suitable answers for their own group. </w:t>
      </w:r>
    </w:p>
    <w:p w14:paraId="6BF83FE3" w14:textId="77777777" w:rsidR="00A23C2A" w:rsidRPr="00CF31E0" w:rsidRDefault="00A23C2A" w:rsidP="00160CC4">
      <w:pPr>
        <w:spacing w:before="120" w:after="120" w:line="360" w:lineRule="auto"/>
        <w:jc w:val="both"/>
        <w:rPr>
          <w:rFonts w:eastAsia="Times New Roman"/>
          <w:color w:val="000000" w:themeColor="text1"/>
          <w:szCs w:val="22"/>
          <w:lang w:eastAsia="zh-CN"/>
        </w:rPr>
        <w:sectPr w:rsidR="00A23C2A" w:rsidRPr="00CF31E0" w:rsidSect="00603CB7">
          <w:footerReference w:type="even" r:id="rId31"/>
          <w:footerReference w:type="default" r:id="rId32"/>
          <w:pgSz w:w="11905" w:h="16837"/>
          <w:pgMar w:top="1418" w:right="2268" w:bottom="1418" w:left="2268" w:header="720" w:footer="720" w:gutter="0"/>
          <w:cols w:space="720"/>
          <w:noEndnote/>
          <w:docGrid w:linePitch="381"/>
        </w:sectPr>
      </w:pPr>
    </w:p>
    <w:p w14:paraId="4912138B" w14:textId="68FB9A03" w:rsidR="00A23C2A" w:rsidRPr="00CF31E0" w:rsidRDefault="00A23C2A" w:rsidP="00603CB7">
      <w:pPr>
        <w:pStyle w:val="Title"/>
        <w:spacing w:after="500"/>
        <w:contextualSpacing w:val="0"/>
        <w:rPr>
          <w:rFonts w:eastAsia="Times New Roman"/>
          <w:color w:val="000000" w:themeColor="text1"/>
          <w:lang w:eastAsia="en-US"/>
        </w:rPr>
      </w:pPr>
      <w:bookmarkStart w:id="516" w:name="_Toc6472727"/>
      <w:r w:rsidRPr="00CF31E0">
        <w:rPr>
          <w:rFonts w:eastAsia="Times New Roman"/>
          <w:color w:val="000000" w:themeColor="text1"/>
          <w:lang w:eastAsia="en-US"/>
        </w:rPr>
        <w:lastRenderedPageBreak/>
        <w:t xml:space="preserve">Chapter </w:t>
      </w:r>
      <w:r w:rsidR="003B1221" w:rsidRPr="00CF31E0">
        <w:rPr>
          <w:rFonts w:eastAsia="Times New Roman"/>
          <w:color w:val="000000" w:themeColor="text1"/>
          <w:lang w:eastAsia="en-US"/>
        </w:rPr>
        <w:t>8</w:t>
      </w:r>
      <w:r w:rsidRPr="00CF31E0">
        <w:rPr>
          <w:rFonts w:eastAsia="Times New Roman"/>
          <w:color w:val="000000" w:themeColor="text1"/>
          <w:lang w:eastAsia="en-US"/>
        </w:rPr>
        <w:t xml:space="preserve">: Discussion </w:t>
      </w:r>
      <w:r w:rsidR="00BD7CFB" w:rsidRPr="00CF31E0">
        <w:rPr>
          <w:rFonts w:eastAsia="Times New Roman"/>
          <w:color w:val="000000" w:themeColor="text1"/>
          <w:lang w:eastAsia="en-US"/>
        </w:rPr>
        <w:t>c</w:t>
      </w:r>
      <w:r w:rsidRPr="00CF31E0">
        <w:rPr>
          <w:rFonts w:eastAsia="Times New Roman"/>
          <w:color w:val="000000" w:themeColor="text1"/>
          <w:lang w:eastAsia="en-US"/>
        </w:rPr>
        <w:t>hapter for RQ1</w:t>
      </w:r>
      <w:bookmarkEnd w:id="516"/>
    </w:p>
    <w:p w14:paraId="5AF18F72" w14:textId="17505B2E" w:rsidR="00A23C2A" w:rsidRPr="00CF31E0" w:rsidRDefault="00730917" w:rsidP="00E87209">
      <w:pPr>
        <w:pStyle w:val="Ahead"/>
        <w:rPr>
          <w:rFonts w:eastAsia="Times New Roman"/>
        </w:rPr>
      </w:pPr>
      <w:bookmarkStart w:id="517" w:name="_Toc515415556"/>
      <w:bookmarkStart w:id="518" w:name="_Toc515610177"/>
      <w:bookmarkStart w:id="519" w:name="_Toc6472728"/>
      <w:r w:rsidRPr="00CF31E0">
        <w:rPr>
          <w:rFonts w:eastAsia="Times New Roman"/>
        </w:rPr>
        <w:t>8</w:t>
      </w:r>
      <w:r w:rsidR="0026086B" w:rsidRPr="00CF31E0">
        <w:rPr>
          <w:rFonts w:eastAsia="Times New Roman"/>
        </w:rPr>
        <w:t>.1.</w:t>
      </w:r>
      <w:r w:rsidR="001E77DF" w:rsidRPr="00CF31E0">
        <w:rPr>
          <w:rFonts w:eastAsia="Times New Roman"/>
        </w:rPr>
        <w:tab/>
      </w:r>
      <w:r w:rsidR="00A23C2A" w:rsidRPr="00CF31E0">
        <w:rPr>
          <w:rFonts w:eastAsia="Times New Roman"/>
        </w:rPr>
        <w:t>Introduction</w:t>
      </w:r>
      <w:bookmarkEnd w:id="517"/>
      <w:bookmarkEnd w:id="518"/>
      <w:bookmarkEnd w:id="519"/>
      <w:r w:rsidR="00A23C2A" w:rsidRPr="00CF31E0">
        <w:rPr>
          <w:rFonts w:eastAsia="Times New Roman"/>
        </w:rPr>
        <w:t xml:space="preserve"> </w:t>
      </w:r>
    </w:p>
    <w:p w14:paraId="7AD1E45B" w14:textId="77777777" w:rsidR="00A23C2A" w:rsidRPr="00CF31E0" w:rsidRDefault="00A23C2A" w:rsidP="00603CB7">
      <w:pPr>
        <w:pStyle w:val="Paragraph"/>
        <w:rPr>
          <w:lang w:eastAsia="zh-CN"/>
        </w:rPr>
      </w:pPr>
      <w:r w:rsidRPr="00CF31E0">
        <w:rPr>
          <w:lang w:eastAsia="zh-CN"/>
        </w:rPr>
        <w:t xml:space="preserve">The chapter begins with a brief summary of the results followed by a reflection on the following themes revealed by the findings: effects of Hijazi social ideology on participants’ perceptions on the dominance of the HH dialect; the perceived dichotomous dialect situation; the perceived similarity between the HH dialect and other Arabic dialects; perceived effects of dialect contact; perceptions on intermarriage between the two social groups; the systematic emergence of social group patterns in the results; and finally, the effects of the gender demographic variable. The chapter concludes with generalizations and implications of the research, together with a discussion of the contribution of the findings to dialect research on the region. </w:t>
      </w:r>
    </w:p>
    <w:p w14:paraId="68E22DD4" w14:textId="00C6B162" w:rsidR="00A23C2A" w:rsidRPr="00CF31E0" w:rsidRDefault="00730917" w:rsidP="00E87209">
      <w:pPr>
        <w:pStyle w:val="Ahead"/>
        <w:rPr>
          <w:rFonts w:eastAsia="Times New Roman"/>
        </w:rPr>
      </w:pPr>
      <w:bookmarkStart w:id="520" w:name="_Toc515415557"/>
      <w:bookmarkStart w:id="521" w:name="_Toc515610178"/>
      <w:bookmarkStart w:id="522" w:name="_Toc6472729"/>
      <w:r w:rsidRPr="00CF31E0">
        <w:rPr>
          <w:rFonts w:eastAsia="Times New Roman"/>
        </w:rPr>
        <w:t>8</w:t>
      </w:r>
      <w:r w:rsidR="0026086B" w:rsidRPr="00CF31E0">
        <w:rPr>
          <w:rFonts w:eastAsia="Times New Roman"/>
        </w:rPr>
        <w:t>.2.</w:t>
      </w:r>
      <w:r w:rsidR="001E77DF" w:rsidRPr="00CF31E0">
        <w:rPr>
          <w:rFonts w:eastAsia="Times New Roman"/>
        </w:rPr>
        <w:tab/>
      </w:r>
      <w:r w:rsidR="00A23C2A" w:rsidRPr="00CF31E0">
        <w:rPr>
          <w:rFonts w:eastAsia="Times New Roman"/>
        </w:rPr>
        <w:t>Summary of results</w:t>
      </w:r>
      <w:bookmarkEnd w:id="520"/>
      <w:bookmarkEnd w:id="521"/>
      <w:bookmarkEnd w:id="522"/>
    </w:p>
    <w:p w14:paraId="03B9264F" w14:textId="48C47BF5" w:rsidR="00A23C2A" w:rsidRPr="00CF31E0" w:rsidRDefault="00A23C2A" w:rsidP="00603CB7">
      <w:pPr>
        <w:pStyle w:val="Paragraph"/>
        <w:rPr>
          <w:lang w:eastAsia="zh-CN"/>
        </w:rPr>
      </w:pPr>
      <w:r w:rsidRPr="00CF31E0">
        <w:rPr>
          <w:lang w:eastAsia="zh-CN"/>
        </w:rPr>
        <w:t xml:space="preserve">The present study has revealed several interesting findings. First, the HH dialect was stereotyped as a dialect representing the whole Hijaz region, and was also perceived as the most dominant dialect in Hijaz. Second, both the </w:t>
      </w:r>
      <w:r w:rsidRPr="00CF31E0">
        <w:rPr>
          <w:lang w:eastAsia="en-US"/>
        </w:rPr>
        <w:t>UBH</w:t>
      </w:r>
      <w:r w:rsidRPr="00CF31E0">
        <w:rPr>
          <w:lang w:eastAsia="zh-CN"/>
        </w:rPr>
        <w:t xml:space="preserve"> and HH dialects were perceived as very different or completely different from each other. This is supported by a further result which revealed that the HH dialect differs from UBH in terms of the following linguistic aspects: dialect sounds, words, and style of speaking. Third, a further result revealed that a number of Arabic dialects were perceived as similar to the HH dialect. Egyptian was perceived to be the most similar, followed by Levantine and then by the Sudanese and Yemeni dialects. Fourth, with regard to the effects of dialect contact between the two social groups, the results revealed that </w:t>
      </w:r>
      <w:r w:rsidRPr="00CF31E0">
        <w:rPr>
          <w:lang w:eastAsia="en-US"/>
        </w:rPr>
        <w:t>UBH</w:t>
      </w:r>
      <w:r w:rsidRPr="00CF31E0">
        <w:rPr>
          <w:lang w:eastAsia="zh-CN"/>
        </w:rPr>
        <w:t xml:space="preserve"> speakers were perceived as embracing the HH dialect in their speech to a greater exte</w:t>
      </w:r>
      <w:r w:rsidR="0083332F" w:rsidRPr="00CF31E0">
        <w:rPr>
          <w:lang w:eastAsia="zh-CN"/>
        </w:rPr>
        <w:t>nt than was the case with HH</w:t>
      </w:r>
      <w:r w:rsidRPr="00CF31E0">
        <w:rPr>
          <w:lang w:eastAsia="zh-CN"/>
        </w:rPr>
        <w:t xml:space="preserve"> participants and the </w:t>
      </w:r>
      <w:r w:rsidRPr="00CF31E0">
        <w:rPr>
          <w:lang w:eastAsia="en-US"/>
        </w:rPr>
        <w:t>UBH</w:t>
      </w:r>
      <w:r w:rsidRPr="00CF31E0">
        <w:rPr>
          <w:lang w:eastAsia="zh-CN"/>
        </w:rPr>
        <w:t xml:space="preserve"> dialect. Fifth, with regard</w:t>
      </w:r>
      <w:r w:rsidR="0083332F" w:rsidRPr="00CF31E0">
        <w:rPr>
          <w:lang w:eastAsia="zh-CN"/>
        </w:rPr>
        <w:t xml:space="preserve"> to intermarriage, HH</w:t>
      </w:r>
      <w:r w:rsidRPr="00CF31E0">
        <w:rPr>
          <w:lang w:eastAsia="zh-CN"/>
        </w:rPr>
        <w:t xml:space="preserve"> people were perceived as accepting intermarriage wi</w:t>
      </w:r>
      <w:r w:rsidR="0083332F" w:rsidRPr="00CF31E0">
        <w:rPr>
          <w:lang w:eastAsia="zh-CN"/>
        </w:rPr>
        <w:t>th people from the UBH</w:t>
      </w:r>
      <w:r w:rsidRPr="00CF31E0">
        <w:rPr>
          <w:lang w:eastAsia="zh-CN"/>
        </w:rPr>
        <w:t xml:space="preserve"> social group to a gr</w:t>
      </w:r>
      <w:r w:rsidR="0083332F" w:rsidRPr="00CF31E0">
        <w:rPr>
          <w:lang w:eastAsia="zh-CN"/>
        </w:rPr>
        <w:t>eater extent than UBH</w:t>
      </w:r>
      <w:r w:rsidRPr="00CF31E0">
        <w:rPr>
          <w:lang w:eastAsia="zh-CN"/>
        </w:rPr>
        <w:t xml:space="preserve"> accepting</w:t>
      </w:r>
      <w:r w:rsidR="0083332F" w:rsidRPr="00CF31E0">
        <w:rPr>
          <w:lang w:eastAsia="zh-CN"/>
        </w:rPr>
        <w:t xml:space="preserve"> intermarriage </w:t>
      </w:r>
      <w:r w:rsidR="0083332F" w:rsidRPr="00CF31E0">
        <w:rPr>
          <w:lang w:eastAsia="zh-CN"/>
        </w:rPr>
        <w:lastRenderedPageBreak/>
        <w:t>with HH</w:t>
      </w:r>
      <w:r w:rsidRPr="00CF31E0">
        <w:rPr>
          <w:lang w:eastAsia="zh-CN"/>
        </w:rPr>
        <w:t xml:space="preserve"> people. Regarding the point in time in which intermarriage started to occur, most participants perceived intermarriage to have started to occur in recent times rather than in the past. Sixth, the participants’ social group, and their mother’s and spouse’s social group seems to have had significant and systematic effects on the results. The gender variable also affected the results, but its effects emerged in only a few instances and did not maintain a systematic pattern in the data. </w:t>
      </w:r>
    </w:p>
    <w:p w14:paraId="0F902064" w14:textId="618F9C85" w:rsidR="00A23C2A" w:rsidRPr="00CF31E0" w:rsidRDefault="00730917" w:rsidP="00E87209">
      <w:pPr>
        <w:pStyle w:val="Ahead"/>
        <w:rPr>
          <w:rFonts w:eastAsia="Times New Roman"/>
        </w:rPr>
      </w:pPr>
      <w:bookmarkStart w:id="523" w:name="_Toc515415558"/>
      <w:bookmarkStart w:id="524" w:name="_Toc515610179"/>
      <w:bookmarkStart w:id="525" w:name="_Toc6472730"/>
      <w:r w:rsidRPr="00CF31E0">
        <w:rPr>
          <w:rFonts w:eastAsia="Times New Roman"/>
        </w:rPr>
        <w:t>8</w:t>
      </w:r>
      <w:r w:rsidR="0026086B" w:rsidRPr="00CF31E0">
        <w:rPr>
          <w:rFonts w:eastAsia="Times New Roman"/>
        </w:rPr>
        <w:t>.3.</w:t>
      </w:r>
      <w:r w:rsidR="001E77DF" w:rsidRPr="00CF31E0">
        <w:rPr>
          <w:rFonts w:eastAsia="Times New Roman"/>
        </w:rPr>
        <w:tab/>
      </w:r>
      <w:r w:rsidR="00A23C2A" w:rsidRPr="00CF31E0">
        <w:rPr>
          <w:rFonts w:eastAsia="Times New Roman"/>
        </w:rPr>
        <w:t>Effects of Hijazi social ideology on participants’ perceptions of the dominance of the HH dialect</w:t>
      </w:r>
      <w:bookmarkEnd w:id="523"/>
      <w:bookmarkEnd w:id="524"/>
      <w:bookmarkEnd w:id="525"/>
    </w:p>
    <w:p w14:paraId="273768D5" w14:textId="7DCCB25D" w:rsidR="00A23C2A" w:rsidRPr="00CF31E0" w:rsidRDefault="00A23C2A" w:rsidP="00603CB7">
      <w:pPr>
        <w:pStyle w:val="Paragraph"/>
        <w:rPr>
          <w:lang w:eastAsia="zh-CN"/>
        </w:rPr>
      </w:pPr>
      <w:r w:rsidRPr="00CF31E0">
        <w:rPr>
          <w:lang w:eastAsia="zh-CN"/>
        </w:rPr>
        <w:t>As stated above, the HH dialect was perceived as being the dominant dialect in Hijaz and the reference point for the Hijazi dialect. On the face of the issue, one might take the view that the above results are driven by stereotypical assumptions participants hold towards the HH dialect. However, I would argue that the results are more likely to reflect language ideology in the region, which shapes participants’ perceptions of stereotypes regarding the HH dialect. The direct approach adopted in this part of the study has the potential to reveal the macro language ideological system that is reflected in language attitudes, enabling a full understanding to be obtained of how certain stereotypes are driven by language ideology</w:t>
      </w:r>
      <w:r w:rsidR="00077225" w:rsidRPr="00CF31E0">
        <w:rPr>
          <w:lang w:eastAsia="zh-CN"/>
        </w:rPr>
        <w:t>.</w:t>
      </w:r>
      <w:r w:rsidRPr="00CF31E0">
        <w:rPr>
          <w:lang w:eastAsia="zh-CN"/>
        </w:rPr>
        <w:t xml:space="preserve"> </w:t>
      </w:r>
      <w:r w:rsidRPr="00CF31E0">
        <w:rPr>
          <w:lang w:eastAsia="en-US"/>
        </w:rPr>
        <w:fldChar w:fldCharType="begin"/>
      </w:r>
      <w:r w:rsidRPr="00CF31E0">
        <w:rPr>
          <w:lang w:eastAsia="en-US"/>
        </w:rPr>
        <w:instrText xml:space="preserve"> ADDIN ZOTERO_ITEM CSL_CITATION {"citationID":"a1caf62d823","properties":{"formattedCitation":"(Bishop, Coupland, &amp; Garrett, 2011; Kristiansen, Garrett, &amp; Coupland, 2005)","plainCitation":"(Bishop, Coupland, &amp; Garrett, 2011; Kristiansen, Garrett, &amp; Coupland, 2005)","noteIndex":0},"citationItems":[{"id":307,"uris":["http://zotero.org/users/1939618/items/5EYQ7BBW"],"uri":["http://zotero.org/users/1939618/items/5EYQ7BBW"],"itemData":{"id":307,"type":"article-journal","title":"Conceptual accent evaluation: Thirty years of accent prejudice in the UK","container-title":"Acta Linguistica Hafniensia","source":"www-tandfonline-com.sheffield.idm.oclc.org","archive_location":"world","abstract":"(2005). Conceptual accent evaluation: Thirty years of accent prejudice in the UK. Acta Linguistica Hafniensia: Vol. 37, No. 1, pp. 131-154.","URL":"http://www-tandfonline-com.sheffield.idm.oclc.org/doi/abs/10.1080/03740463.2005.10416087","ISSN":"10.1080/03740463.2005.10416087","shortTitle":"Conceptual accent evaluation","language":"en","author":[{"family":"Bishop","given":"Hywel"},{"family":"Coupland","given":"Nikolas"},{"family":"Garrett","given":"Peter"}],"issued":{"date-parts":[["2011",11,24]]},"accessed":{"date-parts":[["2018",1,4]]}},"label":"page"},{"id":303,"uris":["http://zotero.org/users/1939618/items/C4CULAJ5"],"uri":["http://zotero.org/users/1939618/items/C4CULAJ5"],"itemData":{"id":303,"type":"article-journal","title":"Introducing subjectivities in language variation and change","container-title":"Acta Linguistica Hafniensia","page":"9-35","volume":"37","issue":"1","source":"www-tandfonline-com.sheffield.idm.oclc.org (Atypon)","abstract":"This volume is devoted both to the theoretical question of which roles subjective processes play in language variation and change (LVC), and to the many methodological questions raised by the study of these subjective processes. Obviously, to talk about ‘subjective’ processes implies that there are also ‘objective’ processes, and more generally it suggests that LVC should be studied in terms of a distinction between the ‘subjective’ and the ‘objective’. Such a distinction is not, however, what we normally meet within the literature, where the factors involved in LVC are commonly divided and grouped in terms like internal versus external, linguistic versus social versus (socio)psychological, macro versus micro, and not to forget, the tripartite division introduced by Labov in his summing up of his own life work: internal versus social versus cognitive (Labov 1994, 2001, forthcoming.).","DOI":"10.1080/03740463.2005.10416081","ISSN":"0374-0463","journalAbbreviation":"Acta Linguistica Hafniensia","author":[{"family":"Kristiansen","given":"Tore"},{"family":"Garrett","given":"Peter"},{"family":"Coupland","given":"Nikolas"}],"issued":{"date-parts":[["2005",1,1]]}},"label":"page"}],"schema":"https://github.com/citation-style-language/schema/raw/master/csl-citation.json"} </w:instrText>
      </w:r>
      <w:r w:rsidRPr="00CF31E0">
        <w:rPr>
          <w:lang w:eastAsia="en-US"/>
        </w:rPr>
        <w:fldChar w:fldCharType="separate"/>
      </w:r>
      <w:r w:rsidRPr="00CF31E0">
        <w:rPr>
          <w:noProof/>
          <w:lang w:eastAsia="en-US"/>
        </w:rPr>
        <w:t>Kristiansen</w:t>
      </w:r>
      <w:r w:rsidR="0052281A" w:rsidRPr="00CF31E0">
        <w:rPr>
          <w:noProof/>
          <w:lang w:eastAsia="en-US"/>
        </w:rPr>
        <w:t xml:space="preserve"> et al.</w:t>
      </w:r>
      <w:r w:rsidRPr="00CF31E0">
        <w:rPr>
          <w:noProof/>
          <w:lang w:eastAsia="en-US"/>
        </w:rPr>
        <w:t xml:space="preserve"> (2005)</w:t>
      </w:r>
      <w:r w:rsidRPr="00CF31E0">
        <w:rPr>
          <w:lang w:eastAsia="en-US"/>
        </w:rPr>
        <w:fldChar w:fldCharType="end"/>
      </w:r>
      <w:r w:rsidRPr="00CF31E0">
        <w:rPr>
          <w:lang w:eastAsia="zh-CN"/>
        </w:rPr>
        <w:t xml:space="preserve"> argue that the direct approach is powerful in revealing language ideology through which the researcher can interpret how stereotypes are formed. </w:t>
      </w:r>
    </w:p>
    <w:p w14:paraId="13BD7851" w14:textId="2914D0FE" w:rsidR="00A23C2A" w:rsidRPr="00CF31E0" w:rsidRDefault="00A23C2A" w:rsidP="00603CB7">
      <w:pPr>
        <w:pStyle w:val="Paragraph"/>
        <w:rPr>
          <w:lang w:eastAsia="zh-CN"/>
        </w:rPr>
      </w:pPr>
      <w:r w:rsidRPr="00CF31E0">
        <w:rPr>
          <w:lang w:eastAsia="zh-CN"/>
        </w:rPr>
        <w:t xml:space="preserve">Returning to discuss the above-mentioned results, three possible interpretations can be put forward: the first interpretation will be discussed in relation to the reason why </w:t>
      </w:r>
      <w:r w:rsidRPr="00CF31E0">
        <w:rPr>
          <w:lang w:eastAsia="en-US"/>
        </w:rPr>
        <w:t xml:space="preserve">the UBH dialect was neither strongly perceived as a reference point for the Hijazi dialect nor as a dominant dialect in the region. The reason for this might be due to the resemblance between the UBH dialect and other Bedouin dialects in SA; as discussed in </w:t>
      </w:r>
      <w:r w:rsidR="00CE2B99" w:rsidRPr="00CF31E0">
        <w:rPr>
          <w:lang w:eastAsia="en-US"/>
        </w:rPr>
        <w:t>C</w:t>
      </w:r>
      <w:r w:rsidRPr="00CF31E0">
        <w:rPr>
          <w:lang w:eastAsia="en-US"/>
        </w:rPr>
        <w:t xml:space="preserve">hapter </w:t>
      </w:r>
      <w:r w:rsidR="00730917" w:rsidRPr="00CF31E0">
        <w:rPr>
          <w:lang w:eastAsia="en-US"/>
        </w:rPr>
        <w:t>2</w:t>
      </w:r>
      <w:r w:rsidRPr="00CF31E0">
        <w:rPr>
          <w:lang w:eastAsia="en-US"/>
        </w:rPr>
        <w:t>, section</w:t>
      </w:r>
      <w:r w:rsidR="00C0233C" w:rsidRPr="00CF31E0">
        <w:rPr>
          <w:lang w:eastAsia="en-US"/>
        </w:rPr>
        <w:t xml:space="preserve"> </w:t>
      </w:r>
      <w:r w:rsidR="00730917" w:rsidRPr="00CF31E0">
        <w:rPr>
          <w:lang w:eastAsia="en-US"/>
        </w:rPr>
        <w:t>2</w:t>
      </w:r>
      <w:r w:rsidR="00C0233C" w:rsidRPr="00CF31E0">
        <w:rPr>
          <w:lang w:eastAsia="en-US"/>
        </w:rPr>
        <w:t>.17</w:t>
      </w:r>
      <w:r w:rsidRPr="00CF31E0">
        <w:rPr>
          <w:lang w:eastAsia="en-US"/>
        </w:rPr>
        <w:t>,</w:t>
      </w:r>
      <w:r w:rsidR="009349F6" w:rsidRPr="00CF31E0">
        <w:rPr>
          <w:lang w:eastAsia="en-US"/>
        </w:rPr>
        <w:t xml:space="preserve"> therefore, it</w:t>
      </w:r>
      <w:r w:rsidRPr="00CF31E0">
        <w:rPr>
          <w:lang w:eastAsia="en-US"/>
        </w:rPr>
        <w:t xml:space="preserve"> is not treated as a distinctive dialect in the Hijaz region. In other words, </w:t>
      </w:r>
      <w:r w:rsidRPr="00CF31E0">
        <w:rPr>
          <w:lang w:eastAsia="zh-CN"/>
        </w:rPr>
        <w:t xml:space="preserve">it may be the case that should </w:t>
      </w:r>
      <w:r w:rsidRPr="00CF31E0">
        <w:rPr>
          <w:lang w:eastAsia="en-US"/>
        </w:rPr>
        <w:t>UBH speakers</w:t>
      </w:r>
      <w:r w:rsidRPr="00CF31E0">
        <w:rPr>
          <w:lang w:eastAsia="zh-CN"/>
        </w:rPr>
        <w:t xml:space="preserve"> in Hijaz belong to the same tribes that dwell in other parts of SA, and that </w:t>
      </w:r>
      <w:r w:rsidRPr="00CF31E0">
        <w:rPr>
          <w:lang w:eastAsia="zh-CN"/>
        </w:rPr>
        <w:lastRenderedPageBreak/>
        <w:t xml:space="preserve">these Bedouin groups may share similar dialects. Therefore, the </w:t>
      </w:r>
      <w:r w:rsidRPr="00CF31E0">
        <w:rPr>
          <w:lang w:eastAsia="en-US"/>
        </w:rPr>
        <w:t>UBH</w:t>
      </w:r>
      <w:r w:rsidRPr="00CF31E0">
        <w:rPr>
          <w:lang w:eastAsia="zh-CN"/>
        </w:rPr>
        <w:t xml:space="preserve"> dialect is not perceived as a reference point for the Hijaz dialect or even as the dominant dialect in the region as the dialect is spoken throughout SA. </w:t>
      </w:r>
    </w:p>
    <w:p w14:paraId="0CF55E5A" w14:textId="1C1450D8" w:rsidR="00A23C2A" w:rsidRPr="00CF31E0" w:rsidRDefault="00A23C2A" w:rsidP="00603CB7">
      <w:pPr>
        <w:pStyle w:val="Paragraph"/>
        <w:rPr>
          <w:lang w:eastAsia="en-US"/>
        </w:rPr>
      </w:pPr>
      <w:r w:rsidRPr="00CF31E0">
        <w:rPr>
          <w:rFonts w:cs="Arial"/>
          <w:lang w:eastAsia="zh-CN"/>
        </w:rPr>
        <w:t xml:space="preserve">This interpretation is supported by the results obtained by </w:t>
      </w:r>
      <w:r w:rsidRPr="00CF31E0">
        <w:rPr>
          <w:lang w:eastAsia="en-US"/>
        </w:rPr>
        <w:t>Ingham</w:t>
      </w:r>
      <w:r w:rsidRPr="00CF31E0">
        <w:rPr>
          <w:lang w:eastAsia="en-US"/>
        </w:rPr>
        <w:fldChar w:fldCharType="begin"/>
      </w:r>
      <w:r w:rsidRPr="00CF31E0">
        <w:rPr>
          <w:lang w:eastAsia="en-US"/>
        </w:rPr>
        <w:instrText xml:space="preserve"> ADDIN ZOTERO_ITEM CSL_CITATION {"citationID":"Upd6wfJj","properties":{"formattedCitation":"(Ingham, 1986, p. 271)","plainCitation":"(Ingham, 1986, p. 271)","noteIndex":0},"citationItems":[{"id":135,"uris":["http://zotero.org/users/1939618/items/7KBX4XWK"],"uri":["http://zotero.org/users/1939618/items/7KBX4XWK"],"itemData":{"id":135,"type":"article-journal","title":"Notes on the dialect of the Āl Murra of eastern and southern Arabia","container-title":"Bulletin of the School of Oriental and African Studies","page":"271–291","volume":"49","issue":"02","source":"Google Scholar","author":[{"family":"Ingham","given":"Bruce"}],"issued":{"date-parts":[["1986"]]}},"locator":"271","label":"page"}],"schema":"https://github.com/citation-style-language/schema/raw/master/csl-citation.json"} </w:instrText>
      </w:r>
      <w:r w:rsidRPr="00CF31E0">
        <w:rPr>
          <w:lang w:eastAsia="en-US"/>
        </w:rPr>
        <w:fldChar w:fldCharType="separate"/>
      </w:r>
      <w:r w:rsidRPr="00CF31E0">
        <w:rPr>
          <w:noProof/>
          <w:lang w:eastAsia="en-US"/>
        </w:rPr>
        <w:t xml:space="preserve"> (1986, p. 271)</w:t>
      </w:r>
      <w:r w:rsidRPr="00CF31E0">
        <w:rPr>
          <w:lang w:eastAsia="en-US"/>
        </w:rPr>
        <w:fldChar w:fldCharType="end"/>
      </w:r>
      <w:r w:rsidRPr="00CF31E0">
        <w:rPr>
          <w:lang w:eastAsia="en-US"/>
        </w:rPr>
        <w:t xml:space="preserve">. Ingham found that Bedouin people in SA always share the same dialect if they belong to the same tribe, even if they move to distant geographical places. Ingham </w:t>
      </w:r>
      <w:r w:rsidRPr="00CF31E0">
        <w:rPr>
          <w:lang w:eastAsia="en-US"/>
        </w:rPr>
        <w:fldChar w:fldCharType="begin"/>
      </w:r>
      <w:r w:rsidRPr="00CF31E0">
        <w:rPr>
          <w:lang w:eastAsia="en-US"/>
        </w:rPr>
        <w:instrText xml:space="preserve"> ADDIN ZOTERO_ITEM CSL_CITATION {"citationID":"XPKsU73v","properties":{"formattedCitation":"(Ingham, 1986, p. 271)","plainCitation":"(Ingham, 1986, p. 271)","noteIndex":0},"citationItems":[{"id":135,"uris":["http://zotero.org/users/1939618/items/7KBX4XWK"],"uri":["http://zotero.org/users/1939618/items/7KBX4XWK"],"itemData":{"id":135,"type":"article-journal","title":"Notes on the dialect of the Āl Murra of eastern and southern Arabia","container-title":"Bulletin of the School of Oriental and African Studies","page":"271–291","volume":"49","issue":"02","source":"Google Scholar","author":[{"family":"Ingham","given":"Bruce"}],"issued":{"date-parts":[["1986"]]}},"locator":"271","label":"page"}],"schema":"https://github.com/citation-style-language/schema/raw/master/csl-citation.json"} </w:instrText>
      </w:r>
      <w:r w:rsidRPr="00CF31E0">
        <w:rPr>
          <w:lang w:eastAsia="en-US"/>
        </w:rPr>
        <w:fldChar w:fldCharType="separate"/>
      </w:r>
      <w:r w:rsidRPr="00CF31E0">
        <w:rPr>
          <w:noProof/>
          <w:lang w:eastAsia="en-US"/>
        </w:rPr>
        <w:t>(1986, p. 271)</w:t>
      </w:r>
      <w:r w:rsidRPr="00CF31E0">
        <w:rPr>
          <w:lang w:eastAsia="en-US"/>
        </w:rPr>
        <w:fldChar w:fldCharType="end"/>
      </w:r>
      <w:r w:rsidRPr="00CF31E0">
        <w:rPr>
          <w:lang w:eastAsia="en-US"/>
        </w:rPr>
        <w:t xml:space="preserve"> found that there is a great deal of linguistic similarity between the Al-Murra and Ajman tribes, which are located adjacent to each other in the southern part of the Najd region. An example of the linguistic similarities found between the two trib</w:t>
      </w:r>
      <w:r w:rsidR="00F373D8" w:rsidRPr="00CF31E0">
        <w:rPr>
          <w:lang w:eastAsia="en-US"/>
        </w:rPr>
        <w:t>e</w:t>
      </w:r>
      <w:r w:rsidRPr="00CF31E0">
        <w:rPr>
          <w:lang w:eastAsia="en-US"/>
        </w:rPr>
        <w:t xml:space="preserve">s is that reflexes of classical “kaf” remain as /k/ in the Al-Murra and Ajman dialects, while it has undergone changes in the other neighbouring dialects. Although the two tribes have many neighbours, their dialects have not been affected by their dialect neighbours. Ingham attributed the reason for the similarity found between the two dialects to their genealogical ties, as they derive from a single ancestor, originally from south-western SA (i.e. Najran region). Another similar finding was revealed by </w:t>
      </w:r>
      <w:r w:rsidRPr="00CF31E0">
        <w:rPr>
          <w:lang w:eastAsia="en-US"/>
        </w:rPr>
        <w:fldChar w:fldCharType="begin"/>
      </w:r>
      <w:r w:rsidRPr="00CF31E0">
        <w:rPr>
          <w:lang w:eastAsia="en-US"/>
        </w:rPr>
        <w:instrText xml:space="preserve"> ADDIN ZOTERO_ITEM CSL_CITATION {"citationID":"HeDMcLbg","properties":{"formattedCitation":"(Al-Hazmy, 1975)","plainCitation":"(Al-Hazmy, 1975)","noteIndex":0},"citationItems":[{"id":16,"uris":["http://zotero.org/users/1939618/items/HV4G7JNU"],"uri":["http://zotero.org/users/1939618/items/HV4G7JNU"],"itemData":{"id":16,"type":"thesis","title":"A critical and comparative study of the spoken dialect of the harb tribe in Saudi Arabia","publisher":"University of Leeds","source":"Google Scholar","URL":"http://etheses.whiterose.ac.uk/916/1/uk_bl_ethos_510015.pdf","author":[{"family":"Al-Hazmy","given":"Alayan Mohammed"}],"issued":{"date-parts":[["1975"]]},"accessed":{"date-parts":[["2014",6,4]]}}}],"schema":"https://github.com/citation-style-language/schema/raw/master/csl-citation.json"} </w:instrText>
      </w:r>
      <w:r w:rsidRPr="00CF31E0">
        <w:rPr>
          <w:lang w:eastAsia="en-US"/>
        </w:rPr>
        <w:fldChar w:fldCharType="separate"/>
      </w:r>
      <w:r w:rsidRPr="00CF31E0">
        <w:rPr>
          <w:noProof/>
          <w:lang w:eastAsia="en-US"/>
        </w:rPr>
        <w:t>Al-Hazmy (1975)</w:t>
      </w:r>
      <w:r w:rsidRPr="00CF31E0">
        <w:rPr>
          <w:lang w:eastAsia="en-US"/>
        </w:rPr>
        <w:fldChar w:fldCharType="end"/>
      </w:r>
      <w:r w:rsidRPr="00CF31E0">
        <w:rPr>
          <w:lang w:eastAsia="en-US"/>
        </w:rPr>
        <w:t xml:space="preserve">, who found that the dialect of the Harb tribe, a sub-dialect of UBH </w:t>
      </w:r>
      <w:r w:rsidR="000A5766" w:rsidRPr="00CF31E0">
        <w:rPr>
          <w:lang w:eastAsia="en-US"/>
        </w:rPr>
        <w:t xml:space="preserve">dialect </w:t>
      </w:r>
      <w:r w:rsidRPr="00CF31E0">
        <w:rPr>
          <w:lang w:eastAsia="en-US"/>
        </w:rPr>
        <w:t>spoken in the Hijaz region, is very similar to the Harb tribe dialect spoken in the Najd region (i.e. central region) in almost all linguistic aspects including phonology, lexicon, structure and with a slight difference in morphology</w:t>
      </w:r>
      <w:r w:rsidRPr="00B9622D">
        <w:rPr>
          <w:rStyle w:val="FootnoteReference"/>
        </w:rPr>
        <w:footnoteReference w:id="14"/>
      </w:r>
      <w:r w:rsidRPr="00CF31E0">
        <w:rPr>
          <w:lang w:eastAsia="en-US"/>
        </w:rPr>
        <w:t xml:space="preserve">.   In other words, although the tribe members are geographically distant they maintain the same dialect.  </w:t>
      </w:r>
    </w:p>
    <w:p w14:paraId="4B9B6977" w14:textId="30E38921" w:rsidR="00A23C2A" w:rsidRPr="00CF31E0" w:rsidRDefault="00A23C2A" w:rsidP="00603CB7">
      <w:pPr>
        <w:pStyle w:val="Paragraph"/>
        <w:rPr>
          <w:rFonts w:cs="Arial"/>
          <w:lang w:eastAsia="zh-CN"/>
        </w:rPr>
      </w:pPr>
      <w:r w:rsidRPr="00CF31E0">
        <w:rPr>
          <w:lang w:eastAsia="en-US"/>
        </w:rPr>
        <w:t xml:space="preserve">It is important to note that the present study differs from the above-mentioned studies in the approach taken. The above studies examined similar patterns between dialects in their dialect production, while the present study instead focuses on dialect perceptions. Therefore, I believe that due to the resemblance between the UBH dialect and other tribal/Bedouin dialects in SA, the former is not perceived as the main </w:t>
      </w:r>
      <w:r w:rsidRPr="00CF31E0">
        <w:rPr>
          <w:lang w:eastAsia="en-US"/>
        </w:rPr>
        <w:lastRenderedPageBreak/>
        <w:t xml:space="preserve">representative and dominant dialect in Hijaz as the same dialect might be spoken in other parts of SA. </w:t>
      </w:r>
    </w:p>
    <w:p w14:paraId="2429E6F4" w14:textId="2E327ACE" w:rsidR="00A23C2A" w:rsidRPr="00CF31E0" w:rsidRDefault="00A23C2A" w:rsidP="00603CB7">
      <w:pPr>
        <w:pStyle w:val="Paragraph"/>
        <w:rPr>
          <w:noProof/>
          <w:lang w:eastAsia="en-US"/>
        </w:rPr>
      </w:pPr>
      <w:r w:rsidRPr="00CF31E0">
        <w:rPr>
          <w:lang w:eastAsia="en-US"/>
        </w:rPr>
        <w:t xml:space="preserve">The second interpretation is related to perceiving the HH dialect as the dominant and the reference dialect in Hijaz. </w:t>
      </w:r>
      <w:r w:rsidRPr="00CF31E0">
        <w:rPr>
          <w:lang w:eastAsia="zh-CN"/>
        </w:rPr>
        <w:t xml:space="preserve">The HH dialect is a new dialect that emerged from settlers; most significantly, as discussed in </w:t>
      </w:r>
      <w:r w:rsidR="00963EAD" w:rsidRPr="00CF31E0">
        <w:rPr>
          <w:lang w:eastAsia="zh-CN"/>
        </w:rPr>
        <w:t>C</w:t>
      </w:r>
      <w:r w:rsidRPr="00CF31E0">
        <w:rPr>
          <w:lang w:eastAsia="zh-CN"/>
        </w:rPr>
        <w:t>hapter</w:t>
      </w:r>
      <w:r w:rsidR="00C0233C" w:rsidRPr="00CF31E0">
        <w:rPr>
          <w:lang w:eastAsia="zh-CN"/>
        </w:rPr>
        <w:t xml:space="preserve"> </w:t>
      </w:r>
      <w:r w:rsidR="00730917" w:rsidRPr="00CF31E0">
        <w:rPr>
          <w:lang w:eastAsia="zh-CN"/>
        </w:rPr>
        <w:t>2</w:t>
      </w:r>
      <w:r w:rsidR="00C0233C" w:rsidRPr="00CF31E0">
        <w:rPr>
          <w:lang w:eastAsia="zh-CN"/>
        </w:rPr>
        <w:t>,</w:t>
      </w:r>
      <w:r w:rsidRPr="00CF31E0">
        <w:rPr>
          <w:lang w:eastAsia="zh-CN"/>
        </w:rPr>
        <w:t xml:space="preserve"> section</w:t>
      </w:r>
      <w:r w:rsidR="00C0233C" w:rsidRPr="00CF31E0">
        <w:rPr>
          <w:lang w:eastAsia="zh-CN"/>
        </w:rPr>
        <w:t xml:space="preserve"> </w:t>
      </w:r>
      <w:r w:rsidR="00730917" w:rsidRPr="00CF31E0">
        <w:rPr>
          <w:lang w:eastAsia="zh-CN"/>
        </w:rPr>
        <w:t>2</w:t>
      </w:r>
      <w:r w:rsidR="00C0233C" w:rsidRPr="00CF31E0">
        <w:rPr>
          <w:lang w:eastAsia="zh-CN"/>
        </w:rPr>
        <w:t>.17</w:t>
      </w:r>
      <w:r w:rsidRPr="00CF31E0">
        <w:rPr>
          <w:lang w:eastAsia="zh-CN"/>
        </w:rPr>
        <w:t>, the settlers came from all different parts of the Islamic world and contributed different features to the dialect, that have resulted in the dialect being different and distinctive from all other dialects in SA. The results seemed to reveal a tendency among Hijazi people to relate the newly emerg</w:t>
      </w:r>
      <w:r w:rsidR="00D7203D" w:rsidRPr="00CF31E0">
        <w:rPr>
          <w:lang w:eastAsia="zh-CN"/>
        </w:rPr>
        <w:t xml:space="preserve">ing </w:t>
      </w:r>
      <w:r w:rsidRPr="00CF31E0">
        <w:rPr>
          <w:lang w:eastAsia="zh-CN"/>
        </w:rPr>
        <w:t xml:space="preserve">dialect </w:t>
      </w:r>
      <w:r w:rsidR="00D7203D" w:rsidRPr="00CF31E0">
        <w:rPr>
          <w:lang w:eastAsia="zh-CN"/>
        </w:rPr>
        <w:t xml:space="preserve">of </w:t>
      </w:r>
      <w:r w:rsidRPr="00CF31E0">
        <w:rPr>
          <w:lang w:eastAsia="zh-CN"/>
        </w:rPr>
        <w:t>the region</w:t>
      </w:r>
      <w:r w:rsidR="00E13029" w:rsidRPr="00CF31E0">
        <w:rPr>
          <w:lang w:eastAsia="zh-CN"/>
        </w:rPr>
        <w:t xml:space="preserve"> to</w:t>
      </w:r>
      <w:r w:rsidRPr="00CF31E0">
        <w:rPr>
          <w:lang w:eastAsia="zh-CN"/>
        </w:rPr>
        <w:t xml:space="preserve"> the settlers dwelled in. </w:t>
      </w:r>
      <w:r w:rsidRPr="00CF31E0">
        <w:rPr>
          <w:lang w:eastAsia="en-US"/>
        </w:rPr>
        <w:t xml:space="preserve">Interestingly, </w:t>
      </w:r>
      <w:r w:rsidRPr="00CF31E0">
        <w:rPr>
          <w:lang w:eastAsia="zh-CN"/>
        </w:rPr>
        <w:t xml:space="preserve">one can conclude that Hijaz is the settlers’ homeland. Thus, the dialect of the settler’s group is stereotypically referred to using the place name (i.e. Hijaz). The results are broadly consistent with </w:t>
      </w:r>
      <w:r w:rsidRPr="00CF31E0">
        <w:rPr>
          <w:noProof/>
          <w:lang w:eastAsia="en-US"/>
        </w:rPr>
        <w:t xml:space="preserve">Alrumaih’s (2002) perceptual study, where he investigated dialect regions in SA by examining Najdi participants’ (i.e. central region nationals) perceptions. One of the interesting findings that emerged from his study was that the Hijaz region sterotypically was one of the top regions associated with a frequently written regional label, “settlers”. This means that even outsiders to the Hijaz region, central region participants in </w:t>
      </w:r>
      <w:r w:rsidR="00565147" w:rsidRPr="00CF31E0">
        <w:rPr>
          <w:noProof/>
          <w:lang w:eastAsia="en-US"/>
        </w:rPr>
        <w:t xml:space="preserve">Alrumaih’s (2002) </w:t>
      </w:r>
      <w:r w:rsidRPr="00CF31E0">
        <w:rPr>
          <w:noProof/>
          <w:lang w:eastAsia="en-US"/>
        </w:rPr>
        <w:t>study, sterotypically associate the Hijaz region with the settlers group, while neglecting other social groups in Hijaz. This ster</w:t>
      </w:r>
      <w:r w:rsidR="00F373D8" w:rsidRPr="00CF31E0">
        <w:rPr>
          <w:noProof/>
          <w:lang w:eastAsia="en-US"/>
        </w:rPr>
        <w:t>e</w:t>
      </w:r>
      <w:r w:rsidRPr="00CF31E0">
        <w:rPr>
          <w:noProof/>
          <w:lang w:eastAsia="en-US"/>
        </w:rPr>
        <w:t xml:space="preserve">otypical association, from insiders and outsiders to the Hijaz region, shows how the language ideology of the HH dialect is not only confined to residents of Hijaz but is rather extended to outside of Hijaz, where sterotypical assumptions about the dialect take the form of HH being perceived as the only Hijazi dialect in the region. </w:t>
      </w:r>
    </w:p>
    <w:p w14:paraId="3CFB9574" w14:textId="77777777" w:rsidR="00A23C2A" w:rsidRPr="00CF31E0" w:rsidRDefault="00A23C2A" w:rsidP="00603CB7">
      <w:pPr>
        <w:pStyle w:val="Paragraph"/>
        <w:rPr>
          <w:lang w:eastAsia="zh-CN"/>
        </w:rPr>
      </w:pPr>
      <w:r w:rsidRPr="00CF31E0">
        <w:rPr>
          <w:lang w:eastAsia="zh-CN"/>
        </w:rPr>
        <w:t xml:space="preserve">A final possible interpretation concerning HH dialect perceptions is related to the Saudi media. The Saudi media most often represent the HH dialect as the main reference point for the Hijazi dialect, through TV series, YouTube videos and shows. A very popular Saudi satirical comedy called “Tash ma Tash”, which ran for 19 seasons (1992 to 2011), depicted the Hijazi image as a person speaking pure HH dialect. In the series, the Hijazi character is always referred to as the Hijazi person, specifically from Jeddah city, and when the character speaks he immediately adopts an HH accent, which I </w:t>
      </w:r>
      <w:r w:rsidRPr="00CF31E0">
        <w:rPr>
          <w:lang w:eastAsia="zh-CN"/>
        </w:rPr>
        <w:lastRenderedPageBreak/>
        <w:t xml:space="preserve">would argue reflects a stereotypical view of the Hijazi dialect image always being attached to the HH dialect. Thus, this could be another factor that prompted participants to stereotypically refer to the Hijazi dialect as the HH dialect. </w:t>
      </w:r>
    </w:p>
    <w:p w14:paraId="1AA16320" w14:textId="76FBA302" w:rsidR="00A23C2A" w:rsidRPr="00CF31E0" w:rsidRDefault="00A23C2A" w:rsidP="00603CB7">
      <w:pPr>
        <w:pStyle w:val="Paragraph"/>
      </w:pPr>
      <w:r w:rsidRPr="00CF31E0">
        <w:rPr>
          <w:lang w:eastAsia="zh-CN"/>
        </w:rPr>
        <w:fldChar w:fldCharType="begin"/>
      </w:r>
      <w:r w:rsidRPr="00CF31E0">
        <w:rPr>
          <w:lang w:eastAsia="zh-CN"/>
        </w:rPr>
        <w:instrText xml:space="preserve"> ADDIN ZOTERO_ITEM CSL_CITATION {"citationID":"9K0p4J9R","properties":{"formattedCitation":"(Montgomery, 2012)","plainCitation":"(Montgomery, 2012)","dontUpdate":true,"noteIndex":0},"citationItems":[{"id":94,"uris":["http://zotero.org/users/1939618/items/FVUC7ENJ"],"uri":["http://zotero.org/users/1939618/items/FVUC7ENJ"],"itemData":{"id":94,"type":"article-journal","title":"The effect of proximity in perceptual dialectology","container-title":"Journal of Sociolinguistics","page":"638–668","volume":"16","issue":"5","source":"Google Scholar","author":[{"family":"Montgomery","given":"Chris"}],"issued":{"date-parts":[["2012"]]}}}],"schema":"https://github.com/citation-style-language/schema/raw/master/csl-citation.json"} </w:instrText>
      </w:r>
      <w:r w:rsidRPr="00CF31E0">
        <w:rPr>
          <w:lang w:eastAsia="zh-CN"/>
        </w:rPr>
        <w:fldChar w:fldCharType="separate"/>
      </w:r>
      <w:r w:rsidRPr="00CF31E0">
        <w:rPr>
          <w:noProof/>
          <w:lang w:eastAsia="zh-CN"/>
        </w:rPr>
        <w:t>Montgomery (2012)</w:t>
      </w:r>
      <w:r w:rsidRPr="00CF31E0">
        <w:rPr>
          <w:lang w:eastAsia="zh-CN"/>
        </w:rPr>
        <w:fldChar w:fldCharType="end"/>
      </w:r>
      <w:r w:rsidRPr="00CF31E0">
        <w:rPr>
          <w:lang w:eastAsia="zh-CN"/>
        </w:rPr>
        <w:t xml:space="preserve"> examined how proximity could affect participants</w:t>
      </w:r>
      <w:r w:rsidR="00077225" w:rsidRPr="00CF31E0">
        <w:rPr>
          <w:lang w:eastAsia="zh-CN"/>
        </w:rPr>
        <w:t>’</w:t>
      </w:r>
      <w:r w:rsidRPr="00CF31E0">
        <w:rPr>
          <w:lang w:eastAsia="zh-CN"/>
        </w:rPr>
        <w:t xml:space="preserve"> perceptions towards dialect areas in Northern Great Britain. Montgomery conducted fieldwork</w:t>
      </w:r>
      <w:r w:rsidR="00776F37" w:rsidRPr="00CF31E0">
        <w:rPr>
          <w:lang w:eastAsia="zh-CN"/>
        </w:rPr>
        <w:t xml:space="preserve"> on two instances</w:t>
      </w:r>
      <w:r w:rsidRPr="00CF31E0">
        <w:rPr>
          <w:lang w:eastAsia="zh-CN"/>
        </w:rPr>
        <w:t xml:space="preserve">. The first took place in 2004 in </w:t>
      </w:r>
      <w:r w:rsidR="00776F37" w:rsidRPr="00CF31E0">
        <w:rPr>
          <w:lang w:eastAsia="zh-CN"/>
        </w:rPr>
        <w:t xml:space="preserve">the </w:t>
      </w:r>
      <w:r w:rsidRPr="00CF31E0">
        <w:rPr>
          <w:lang w:eastAsia="zh-CN"/>
        </w:rPr>
        <w:t xml:space="preserve">North of England and the second took place in 2009 </w:t>
      </w:r>
      <w:r w:rsidR="00776F37" w:rsidRPr="00CF31E0">
        <w:rPr>
          <w:lang w:eastAsia="zh-CN"/>
        </w:rPr>
        <w:t xml:space="preserve">on the </w:t>
      </w:r>
      <w:r w:rsidRPr="00CF31E0">
        <w:rPr>
          <w:lang w:eastAsia="zh-CN"/>
        </w:rPr>
        <w:t>Sco</w:t>
      </w:r>
      <w:r w:rsidR="00776F37" w:rsidRPr="00CF31E0">
        <w:rPr>
          <w:lang w:eastAsia="zh-CN"/>
        </w:rPr>
        <w:t>t</w:t>
      </w:r>
      <w:r w:rsidRPr="00CF31E0">
        <w:rPr>
          <w:lang w:eastAsia="zh-CN"/>
        </w:rPr>
        <w:t>tish</w:t>
      </w:r>
      <w:r w:rsidR="00776F37" w:rsidRPr="00CF31E0">
        <w:rPr>
          <w:lang w:eastAsia="zh-CN"/>
        </w:rPr>
        <w:t>–</w:t>
      </w:r>
      <w:r w:rsidRPr="00CF31E0">
        <w:rPr>
          <w:lang w:eastAsia="zh-CN"/>
        </w:rPr>
        <w:t xml:space="preserve">English border. One of the significant results revealed from both studies was that </w:t>
      </w:r>
      <w:r w:rsidR="00776F37" w:rsidRPr="00CF31E0">
        <w:rPr>
          <w:lang w:eastAsia="zh-CN"/>
        </w:rPr>
        <w:t xml:space="preserve">the </w:t>
      </w:r>
      <w:r w:rsidRPr="00CF31E0">
        <w:rPr>
          <w:lang w:eastAsia="zh-CN"/>
        </w:rPr>
        <w:t>Great</w:t>
      </w:r>
      <w:r w:rsidR="00776F37" w:rsidRPr="00CF31E0">
        <w:rPr>
          <w:lang w:eastAsia="zh-CN"/>
        </w:rPr>
        <w:t>er</w:t>
      </w:r>
      <w:r w:rsidRPr="00CF31E0">
        <w:rPr>
          <w:lang w:eastAsia="zh-CN"/>
        </w:rPr>
        <w:t xml:space="preserve"> Manchester dialect area was recognized as a prominent dialect area, though the area was not stigmatized in previous perceptual dialectology literature such as the work</w:t>
      </w:r>
      <w:r w:rsidR="00776F37" w:rsidRPr="00CF31E0">
        <w:rPr>
          <w:lang w:eastAsia="zh-CN"/>
        </w:rPr>
        <w:t xml:space="preserve"> </w:t>
      </w:r>
      <w:r w:rsidR="00F373D8" w:rsidRPr="00CF31E0">
        <w:rPr>
          <w:lang w:eastAsia="zh-CN"/>
        </w:rPr>
        <w:t>b</w:t>
      </w:r>
      <w:r w:rsidR="00776F37" w:rsidRPr="00CF31E0">
        <w:rPr>
          <w:lang w:eastAsia="zh-CN"/>
        </w:rPr>
        <w:t>y</w:t>
      </w:r>
      <w:r w:rsidRPr="00CF31E0">
        <w:rPr>
          <w:lang w:eastAsia="zh-CN"/>
        </w:rPr>
        <w:t xml:space="preserve"> </w:t>
      </w:r>
      <w:r w:rsidRPr="00CF31E0">
        <w:rPr>
          <w:lang w:eastAsia="zh-CN"/>
        </w:rPr>
        <w:fldChar w:fldCharType="begin"/>
      </w:r>
      <w:r w:rsidRPr="00CF31E0">
        <w:rPr>
          <w:lang w:eastAsia="zh-CN"/>
        </w:rPr>
        <w:instrText xml:space="preserve"> ADDIN ZOTERO_ITEM CSL_CITATION {"citationID":"jwrGtbgf","properties":{"formattedCitation":"(Inoue, 1996)","plainCitation":"(Inoue, 1996)","noteIndex":0},"citationItems":[{"id":52,"uris":["http://zotero.org/users/1939618/items/FDTGFD4K"],"uri":["http://zotero.org/users/1939618/items/FDTGFD4K"],"itemData":{"id":52,"type":"chapter","title":"Subjective dialect division in Great Britain","container-title":"Handbook of Perceptual Dialectology","publisher":"John Benjamins Publishing","publisher-place":"Amsterdam","page":"161-176","volume":"1","source":"Google Scholar","event-place":"Amsterdam","URL":"http://www.jstor.org/stable/455482","author":[{"family":"Inoue","given":"Fumio"}],"editor":[{"family":"Preston","given":"Dennis R."}],"issued":{"date-parts":[["1996"]]},"accessed":{"date-parts":[["2014",10,24]]}}}],"schema":"https://github.com/citation-style-language/schema/raw/master/csl-citation.json"} </w:instrText>
      </w:r>
      <w:r w:rsidRPr="00CF31E0">
        <w:rPr>
          <w:lang w:eastAsia="zh-CN"/>
        </w:rPr>
        <w:fldChar w:fldCharType="separate"/>
      </w:r>
      <w:r w:rsidRPr="00CF31E0">
        <w:rPr>
          <w:noProof/>
          <w:lang w:eastAsia="zh-CN"/>
        </w:rPr>
        <w:t xml:space="preserve">Inoue </w:t>
      </w:r>
      <w:r w:rsidR="00776F37" w:rsidRPr="00CF31E0">
        <w:rPr>
          <w:noProof/>
          <w:lang w:eastAsia="zh-CN"/>
        </w:rPr>
        <w:t>(</w:t>
      </w:r>
      <w:r w:rsidRPr="00CF31E0">
        <w:rPr>
          <w:noProof/>
          <w:lang w:eastAsia="zh-CN"/>
        </w:rPr>
        <w:t>1996)</w:t>
      </w:r>
      <w:r w:rsidRPr="00CF31E0">
        <w:rPr>
          <w:lang w:eastAsia="zh-CN"/>
        </w:rPr>
        <w:fldChar w:fldCharType="end"/>
      </w:r>
      <w:r w:rsidRPr="00CF31E0">
        <w:rPr>
          <w:lang w:eastAsia="zh-CN"/>
        </w:rPr>
        <w:t xml:space="preserve">. </w:t>
      </w:r>
      <w:r w:rsidRPr="00CF31E0">
        <w:rPr>
          <w:lang w:eastAsia="zh-CN"/>
        </w:rPr>
        <w:fldChar w:fldCharType="begin"/>
      </w:r>
      <w:r w:rsidRPr="00CF31E0">
        <w:rPr>
          <w:lang w:eastAsia="zh-CN"/>
        </w:rPr>
        <w:instrText xml:space="preserve"> ADDIN ZOTERO_ITEM CSL_CITATION {"citationID":"Rc31m6cd","properties":{"formattedCitation":"(Montgomery, 2012)","plainCitation":"(Montgomery, 2012)","dontUpdate":true,"noteIndex":0},"citationItems":[{"id":94,"uris":["http://zotero.org/users/1939618/items/FVUC7ENJ"],"uri":["http://zotero.org/users/1939618/items/FVUC7ENJ"],"itemData":{"id":94,"type":"article-journal","title":"The effect of proximity in perceptual dialectology","container-title":"Journal of Sociolinguistics","page":"638–668","volume":"16","issue":"5","source":"Google Scholar","author":[{"family":"Montgomery","given":"Chris"}],"issued":{"date-parts":[["2012"]]}}}],"schema":"https://github.com/citation-style-language/schema/raw/master/csl-citation.json"} </w:instrText>
      </w:r>
      <w:r w:rsidRPr="00CF31E0">
        <w:rPr>
          <w:lang w:eastAsia="zh-CN"/>
        </w:rPr>
        <w:fldChar w:fldCharType="separate"/>
      </w:r>
      <w:r w:rsidRPr="00CF31E0">
        <w:rPr>
          <w:noProof/>
          <w:lang w:eastAsia="zh-CN"/>
        </w:rPr>
        <w:t>Montgomery (2012)</w:t>
      </w:r>
      <w:r w:rsidRPr="00CF31E0">
        <w:rPr>
          <w:lang w:eastAsia="zh-CN"/>
        </w:rPr>
        <w:fldChar w:fldCharType="end"/>
      </w:r>
      <w:r w:rsidRPr="00CF31E0">
        <w:rPr>
          <w:lang w:eastAsia="zh-CN"/>
        </w:rPr>
        <w:t xml:space="preserve"> attributed </w:t>
      </w:r>
      <w:r w:rsidR="00776F37" w:rsidRPr="00CF31E0">
        <w:rPr>
          <w:lang w:eastAsia="zh-CN"/>
        </w:rPr>
        <w:t xml:space="preserve">this </w:t>
      </w:r>
      <w:r w:rsidRPr="00CF31E0">
        <w:rPr>
          <w:lang w:eastAsia="zh-CN"/>
        </w:rPr>
        <w:t xml:space="preserve">to the effect of cultural prominence </w:t>
      </w:r>
      <w:r w:rsidR="00776F37" w:rsidRPr="00CF31E0">
        <w:rPr>
          <w:lang w:eastAsia="zh-CN"/>
        </w:rPr>
        <w:t xml:space="preserve">where </w:t>
      </w:r>
      <w:r w:rsidRPr="00CF31E0">
        <w:t xml:space="preserve">Greater Manchester “became a focal point for many in the </w:t>
      </w:r>
      <w:r w:rsidR="00CC48DD" w:rsidRPr="00CF31E0">
        <w:t>count</w:t>
      </w:r>
      <w:r w:rsidRPr="00CF31E0">
        <w:t xml:space="preserve">ry. It has remained significant in the national consciousness, playing host to the 2002 Commonwealth Games and now the destination of many relocated BBC jobs from London” </w:t>
      </w:r>
      <w:r w:rsidR="00776F37" w:rsidRPr="00CF31E0">
        <w:t>(</w:t>
      </w:r>
      <w:r w:rsidRPr="00CF31E0">
        <w:t>p.</w:t>
      </w:r>
      <w:r w:rsidR="00776F37" w:rsidRPr="00CF31E0">
        <w:t xml:space="preserve"> </w:t>
      </w:r>
      <w:r w:rsidRPr="00CF31E0">
        <w:t>659</w:t>
      </w:r>
      <w:r w:rsidR="00776F37" w:rsidRPr="00CF31E0">
        <w:t>)</w:t>
      </w:r>
      <w:r w:rsidRPr="00CF31E0">
        <w:t xml:space="preserve">. As a result, the region has gained much more attention in the print </w:t>
      </w:r>
      <w:r w:rsidR="00353D20" w:rsidRPr="00CF31E0">
        <w:t>m</w:t>
      </w:r>
      <w:r w:rsidRPr="00CF31E0">
        <w:t xml:space="preserve">edia. Thus, I might conclude that </w:t>
      </w:r>
      <w:r w:rsidR="00353D20" w:rsidRPr="00CF31E0">
        <w:t>the m</w:t>
      </w:r>
      <w:r w:rsidRPr="00CF31E0">
        <w:t>edia in general</w:t>
      </w:r>
      <w:r w:rsidR="00353D20" w:rsidRPr="00CF31E0">
        <w:t>,</w:t>
      </w:r>
      <w:r w:rsidRPr="00CF31E0">
        <w:t xml:space="preserve"> could have potential enhancing effects on participants</w:t>
      </w:r>
      <w:r w:rsidR="00353D20" w:rsidRPr="00CF31E0">
        <w:t>’</w:t>
      </w:r>
      <w:r w:rsidRPr="00CF31E0">
        <w:t xml:space="preserve"> perceptions </w:t>
      </w:r>
      <w:r w:rsidR="00353D20" w:rsidRPr="00CF31E0">
        <w:t xml:space="preserve">regarding </w:t>
      </w:r>
      <w:r w:rsidRPr="00CF31E0">
        <w:t xml:space="preserve">the salience of particular dialects. </w:t>
      </w:r>
    </w:p>
    <w:p w14:paraId="78FEC7FB" w14:textId="619DEF66" w:rsidR="00A23C2A" w:rsidRPr="00CF31E0" w:rsidRDefault="00730917" w:rsidP="00E87209">
      <w:pPr>
        <w:pStyle w:val="Ahead"/>
        <w:rPr>
          <w:rFonts w:eastAsia="Times New Roman"/>
        </w:rPr>
      </w:pPr>
      <w:bookmarkStart w:id="526" w:name="_Toc515415559"/>
      <w:bookmarkStart w:id="527" w:name="_Toc515610180"/>
      <w:bookmarkStart w:id="528" w:name="_Toc6472731"/>
      <w:r w:rsidRPr="00CF31E0">
        <w:rPr>
          <w:rFonts w:eastAsia="Times New Roman"/>
        </w:rPr>
        <w:t>8</w:t>
      </w:r>
      <w:r w:rsidR="00353D20" w:rsidRPr="00CF31E0">
        <w:rPr>
          <w:rFonts w:eastAsia="Times New Roman"/>
        </w:rPr>
        <w:t>.4.</w:t>
      </w:r>
      <w:r w:rsidR="001E77DF" w:rsidRPr="00CF31E0">
        <w:rPr>
          <w:rFonts w:eastAsia="Times New Roman"/>
        </w:rPr>
        <w:tab/>
      </w:r>
      <w:r w:rsidR="00A23C2A" w:rsidRPr="00CF31E0">
        <w:rPr>
          <w:rFonts w:eastAsia="Times New Roman"/>
        </w:rPr>
        <w:t>The dichotomous dialect situation</w:t>
      </w:r>
      <w:bookmarkEnd w:id="526"/>
      <w:bookmarkEnd w:id="527"/>
      <w:bookmarkEnd w:id="528"/>
    </w:p>
    <w:p w14:paraId="614AD521" w14:textId="6EAF8F2C" w:rsidR="00A23C2A" w:rsidRPr="00CF31E0" w:rsidRDefault="00A23C2A" w:rsidP="00603CB7">
      <w:pPr>
        <w:pStyle w:val="Paragraph"/>
        <w:rPr>
          <w:lang w:eastAsia="zh-CN"/>
        </w:rPr>
      </w:pPr>
      <w:r w:rsidRPr="00CF31E0">
        <w:rPr>
          <w:lang w:eastAsia="zh-CN"/>
        </w:rPr>
        <w:t>The majority of participants perceived the two dialects as different; a further finding revealed that participants related the difference between the two dialects to sounds, words and style of speaking. The present perceptual result</w:t>
      </w:r>
      <w:r w:rsidR="00353D20" w:rsidRPr="00CF31E0">
        <w:rPr>
          <w:lang w:eastAsia="zh-CN"/>
        </w:rPr>
        <w:t>s</w:t>
      </w:r>
      <w:r w:rsidRPr="00CF31E0">
        <w:rPr>
          <w:lang w:eastAsia="zh-CN"/>
        </w:rPr>
        <w:t xml:space="preserve"> confirms </w:t>
      </w:r>
      <w:r w:rsidR="00353D20" w:rsidRPr="00CF31E0">
        <w:rPr>
          <w:lang w:eastAsia="zh-CN"/>
        </w:rPr>
        <w:t xml:space="preserve">the </w:t>
      </w:r>
      <w:r w:rsidRPr="00CF31E0">
        <w:rPr>
          <w:lang w:eastAsia="zh-CN"/>
        </w:rPr>
        <w:t xml:space="preserve">results from </w:t>
      </w:r>
      <w:r w:rsidR="00353D20" w:rsidRPr="00CF31E0">
        <w:rPr>
          <w:lang w:eastAsia="zh-CN"/>
        </w:rPr>
        <w:t>a</w:t>
      </w:r>
      <w:r w:rsidRPr="00CF31E0">
        <w:rPr>
          <w:lang w:eastAsia="zh-CN"/>
        </w:rPr>
        <w:t xml:space="preserve"> production study conducted by </w:t>
      </w:r>
      <w:r w:rsidRPr="00CF31E0">
        <w:rPr>
          <w:lang w:eastAsia="zh-CN"/>
        </w:rPr>
        <w:fldChar w:fldCharType="begin"/>
      </w:r>
      <w:r w:rsidRPr="00CF31E0">
        <w:rPr>
          <w:lang w:eastAsia="zh-CN"/>
        </w:rPr>
        <w:instrText xml:space="preserve"> ADDIN ZOTERO_ITEM CSL_CITATION {"citationID":"RuDogEpJ","properties":{"formattedCitation":"(Nassir Al-Jehani, 1985)","plainCitation":"(Nassir Al-Jehani, 1985)","dontUpdate":true,"noteIndex":0},"citationItems":[{"id":537,"uris":["http://zotero.org/users/1939618/items/CKTFSSZ4"],"uri":["http://zotero.org/users/1939618/items/CKTFSSZ4"],"itemData":{"id":537,"type":"thesis","title":"SOCIOSTYLISTIC STRATIFICATION OF ARABIC IN MAKKAH","publisher":"University of Michigan","URL":"https://www.researchgate.net/publication/36173456_SOCIOSTYLISTIC_STRATIFICATION_OF_ARABIC_IN_MAKKAH_SOCIOLINGUISTICS_VARIATION_SAUDI_ARABIA","language":"en","author":[{"family":"Al-Jehani","given":"Nassir"}],"issued":{"date-parts":[["1985"]]},"accessed":{"date-parts":[["2018",7,12]]}}}],"schema":"https://github.com/citation-style-language/schema/raw/master/csl-citation.json"} </w:instrText>
      </w:r>
      <w:r w:rsidRPr="00CF31E0">
        <w:rPr>
          <w:lang w:eastAsia="zh-CN"/>
        </w:rPr>
        <w:fldChar w:fldCharType="separate"/>
      </w:r>
      <w:r w:rsidRPr="00CF31E0">
        <w:rPr>
          <w:noProof/>
          <w:lang w:eastAsia="zh-CN"/>
        </w:rPr>
        <w:t xml:space="preserve">Al-Jehani </w:t>
      </w:r>
      <w:r w:rsidR="00353D20" w:rsidRPr="00CF31E0">
        <w:rPr>
          <w:noProof/>
          <w:lang w:eastAsia="zh-CN"/>
        </w:rPr>
        <w:t>(</w:t>
      </w:r>
      <w:r w:rsidRPr="00CF31E0">
        <w:rPr>
          <w:noProof/>
          <w:lang w:eastAsia="zh-CN"/>
        </w:rPr>
        <w:t>1985)</w:t>
      </w:r>
      <w:r w:rsidRPr="00CF31E0">
        <w:rPr>
          <w:lang w:eastAsia="zh-CN"/>
        </w:rPr>
        <w:fldChar w:fldCharType="end"/>
      </w:r>
      <w:r w:rsidRPr="00CF31E0">
        <w:rPr>
          <w:lang w:eastAsia="zh-CN"/>
        </w:rPr>
        <w:t>, which revealed that the two dialect</w:t>
      </w:r>
      <w:r w:rsidR="00353D20" w:rsidRPr="00CF31E0">
        <w:rPr>
          <w:lang w:eastAsia="zh-CN"/>
        </w:rPr>
        <w:t>s</w:t>
      </w:r>
      <w:r w:rsidRPr="00CF31E0">
        <w:rPr>
          <w:lang w:eastAsia="zh-CN"/>
        </w:rPr>
        <w:t xml:space="preserve"> differ in their phonology and style of speaking</w:t>
      </w:r>
      <w:r w:rsidR="00353D20" w:rsidRPr="00CF31E0">
        <w:rPr>
          <w:lang w:eastAsia="zh-CN"/>
        </w:rPr>
        <w:t xml:space="preserve">; </w:t>
      </w:r>
      <w:r w:rsidRPr="00CF31E0">
        <w:rPr>
          <w:lang w:eastAsia="zh-CN"/>
        </w:rPr>
        <w:t xml:space="preserve">see </w:t>
      </w:r>
      <w:r w:rsidR="00963EAD" w:rsidRPr="00CF31E0">
        <w:rPr>
          <w:lang w:eastAsia="zh-CN"/>
        </w:rPr>
        <w:t>C</w:t>
      </w:r>
      <w:r w:rsidRPr="00CF31E0">
        <w:rPr>
          <w:lang w:eastAsia="zh-CN"/>
        </w:rPr>
        <w:t xml:space="preserve">hapter </w:t>
      </w:r>
      <w:r w:rsidR="00730917" w:rsidRPr="00CF31E0">
        <w:rPr>
          <w:lang w:eastAsia="zh-CN"/>
        </w:rPr>
        <w:t>3</w:t>
      </w:r>
      <w:r w:rsidR="00AC0185" w:rsidRPr="00CF31E0">
        <w:rPr>
          <w:lang w:eastAsia="zh-CN"/>
        </w:rPr>
        <w:t xml:space="preserve">, </w:t>
      </w:r>
      <w:r w:rsidRPr="00CF31E0">
        <w:rPr>
          <w:lang w:eastAsia="zh-CN"/>
        </w:rPr>
        <w:t>section</w:t>
      </w:r>
      <w:r w:rsidR="00AC0185" w:rsidRPr="00CF31E0">
        <w:rPr>
          <w:lang w:eastAsia="zh-CN"/>
        </w:rPr>
        <w:t xml:space="preserve"> </w:t>
      </w:r>
      <w:r w:rsidR="00730917" w:rsidRPr="00CF31E0">
        <w:rPr>
          <w:lang w:eastAsia="zh-CN"/>
        </w:rPr>
        <w:t>3</w:t>
      </w:r>
      <w:r w:rsidR="00AC0185" w:rsidRPr="00CF31E0">
        <w:rPr>
          <w:lang w:eastAsia="zh-CN"/>
        </w:rPr>
        <w:t>.3.2</w:t>
      </w:r>
      <w:r w:rsidRPr="00CF31E0">
        <w:rPr>
          <w:lang w:eastAsia="zh-CN"/>
        </w:rPr>
        <w:t xml:space="preserve">. </w:t>
      </w:r>
    </w:p>
    <w:p w14:paraId="0EDF30E0" w14:textId="4379929E" w:rsidR="00A23C2A" w:rsidRPr="00CF31E0" w:rsidRDefault="00A23C2A" w:rsidP="00603CB7">
      <w:pPr>
        <w:pStyle w:val="Paragraph"/>
        <w:rPr>
          <w:lang w:eastAsia="zh-CN"/>
        </w:rPr>
      </w:pPr>
      <w:r w:rsidRPr="00CF31E0">
        <w:rPr>
          <w:lang w:eastAsia="zh-CN"/>
        </w:rPr>
        <w:t xml:space="preserve">I would argue that this is an expected result as it demonstrates how the two dialects belong to different language ideological systems. The language ideology of the </w:t>
      </w:r>
      <w:r w:rsidRPr="00CF31E0">
        <w:rPr>
          <w:lang w:eastAsia="en-US"/>
        </w:rPr>
        <w:t>UBH</w:t>
      </w:r>
      <w:r w:rsidRPr="00CF31E0">
        <w:rPr>
          <w:lang w:eastAsia="zh-CN"/>
        </w:rPr>
        <w:t xml:space="preserve"> dialect is simply an outcome of the system of beliefs that directs people to stereotypically differentiate it from the other dialect, </w:t>
      </w:r>
      <w:r w:rsidRPr="00CF31E0">
        <w:rPr>
          <w:lang w:eastAsia="zh-CN"/>
        </w:rPr>
        <w:lastRenderedPageBreak/>
        <w:t xml:space="preserve">and the same applies to the HH dialect. In order to understand the language ideology of the two dialects, we need to look back to their birth. As discussed in the literature review, see </w:t>
      </w:r>
      <w:r w:rsidR="00963EAD" w:rsidRPr="00CF31E0">
        <w:rPr>
          <w:lang w:eastAsia="zh-CN"/>
        </w:rPr>
        <w:t>C</w:t>
      </w:r>
      <w:r w:rsidRPr="00CF31E0">
        <w:rPr>
          <w:lang w:eastAsia="zh-CN"/>
        </w:rPr>
        <w:t>hapter</w:t>
      </w:r>
      <w:r w:rsidR="00614247" w:rsidRPr="00CF31E0">
        <w:rPr>
          <w:lang w:eastAsia="zh-CN"/>
        </w:rPr>
        <w:t xml:space="preserve"> </w:t>
      </w:r>
      <w:r w:rsidR="00730917" w:rsidRPr="00CF31E0">
        <w:rPr>
          <w:lang w:eastAsia="zh-CN"/>
        </w:rPr>
        <w:t xml:space="preserve">2, </w:t>
      </w:r>
      <w:r w:rsidRPr="00CF31E0">
        <w:rPr>
          <w:lang w:eastAsia="zh-CN"/>
        </w:rPr>
        <w:t>section</w:t>
      </w:r>
      <w:r w:rsidR="00614247" w:rsidRPr="00CF31E0">
        <w:rPr>
          <w:lang w:eastAsia="zh-CN"/>
        </w:rPr>
        <w:t xml:space="preserve"> </w:t>
      </w:r>
      <w:r w:rsidR="00730917" w:rsidRPr="00CF31E0">
        <w:rPr>
          <w:lang w:eastAsia="zh-CN"/>
        </w:rPr>
        <w:t>2</w:t>
      </w:r>
      <w:r w:rsidR="00D838BE" w:rsidRPr="00CF31E0">
        <w:rPr>
          <w:lang w:eastAsia="zh-CN"/>
        </w:rPr>
        <w:t>.13</w:t>
      </w:r>
      <w:r w:rsidRPr="00CF31E0">
        <w:rPr>
          <w:lang w:eastAsia="zh-CN"/>
        </w:rPr>
        <w:t xml:space="preserve">, the </w:t>
      </w:r>
      <w:r w:rsidRPr="00CF31E0">
        <w:rPr>
          <w:lang w:eastAsia="en-US"/>
        </w:rPr>
        <w:t>UBH</w:t>
      </w:r>
      <w:r w:rsidRPr="00CF31E0">
        <w:rPr>
          <w:lang w:eastAsia="zh-CN"/>
        </w:rPr>
        <w:t xml:space="preserve"> dialect emerged with internal migration movements, where rural Bedouins settled in Hijaz cities, mainly for economic reasons </w:t>
      </w:r>
      <w:r w:rsidRPr="00CF31E0">
        <w:rPr>
          <w:lang w:eastAsia="zh-CN"/>
        </w:rPr>
        <w:fldChar w:fldCharType="begin"/>
      </w:r>
      <w:r w:rsidRPr="00CF31E0">
        <w:rPr>
          <w:lang w:eastAsia="zh-CN"/>
        </w:rPr>
        <w:instrText xml:space="preserve"> ADDIN ZOTERO_ITEM CSL_CITATION {"citationID":"9KaY6TVm","properties":{"formattedCitation":"(Hamdan, 1990; Vassiliev, 2013)","plainCitation":"(Hamdan, 1990; Vassiliev, 2013)","noteIndex":0},"citationItems":[{"id":200,"uris":["http://zotero.org/users/1939618/items/N5XRP2MU"],"uri":["http://zotero.org/users/1939618/items/N5XRP2MU"],"itemData":{"id":200,"type":"article-journal","title":"Social change in the Saudi family","source":"Google Scholar","URL":"http://lib.dr.iastate.edu/rtd/11187/","author":[{"family":"Hamdan","given":"Saeed"}],"issued":{"date-parts":[["1990"]]},"accessed":{"date-parts":[["2015",12,6]]}},"label":"page"},{"id":173,"uris":["http://zotero.org/users/1939618/items/6I5BC846"],"uri":["http://zotero.org/users/1939618/items/6I5BC846"],"itemData":{"id":173,"type":"book","title":"The History of Saudi Arabia","publisher":"Saqi","source":"Google Scholar","URL":"https://books.google.co.uk/books?hl=en&amp;lr=&amp;id=lEIhBQAAQBAJ&amp;oi=fnd&amp;pg=PT4&amp;dq=Vassiliev,+A.+(2013).+The+History+of+Saudi+Arabia.+London,+Saqi+books.+&amp;ots=KPwVsHcASb&amp;sig=oVibAvTA79h5vqAaHDXY7YS9H7I","author":[{"family":"Vassiliev","given":"Alexei"}],"issued":{"date-parts":[["2013"]]},"accessed":{"date-parts":[["2015",9,28]]}},"label":"page"}],"schema":"https://github.com/citation-style-language/schema/raw/master/csl-citation.json"} </w:instrText>
      </w:r>
      <w:r w:rsidRPr="00CF31E0">
        <w:rPr>
          <w:lang w:eastAsia="zh-CN"/>
        </w:rPr>
        <w:fldChar w:fldCharType="separate"/>
      </w:r>
      <w:r w:rsidR="00E44A3C" w:rsidRPr="00CF31E0">
        <w:rPr>
          <w:noProof/>
          <w:lang w:eastAsia="zh-CN"/>
        </w:rPr>
        <w:t>(Hamdan, 1990; Vassiliev, 2000</w:t>
      </w:r>
      <w:r w:rsidRPr="00CF31E0">
        <w:rPr>
          <w:noProof/>
          <w:lang w:eastAsia="zh-CN"/>
        </w:rPr>
        <w:t>)</w:t>
      </w:r>
      <w:r w:rsidRPr="00CF31E0">
        <w:rPr>
          <w:lang w:eastAsia="zh-CN"/>
        </w:rPr>
        <w:fldChar w:fldCharType="end"/>
      </w:r>
      <w:r w:rsidRPr="00CF31E0">
        <w:rPr>
          <w:lang w:eastAsia="zh-CN"/>
        </w:rPr>
        <w:t xml:space="preserve">. On the other hand, the HH dialect is a new dialect formulated by a group of settlers, and emerged after external migration to the Hijaz region </w:t>
      </w:r>
      <w:r w:rsidRPr="00CF31E0">
        <w:rPr>
          <w:lang w:eastAsia="zh-CN"/>
        </w:rPr>
        <w:fldChar w:fldCharType="begin"/>
      </w:r>
      <w:r w:rsidRPr="00CF31E0">
        <w:rPr>
          <w:lang w:eastAsia="zh-CN"/>
        </w:rPr>
        <w:instrText xml:space="preserve"> ADDIN ZOTERO_ITEM CSL_CITATION {"citationID":"I7ioi0VX","properties":{"formattedCitation":"(Alahmadi, 2015)","plainCitation":"(Alahmadi, 2015)","noteIndex":0},"citationItems":[{"id":476,"uris":["http://zotero.org/users/1939618/items/ZDMCRMJ9"],"uri":["http://zotero.org/users/1939618/items/ZDMCRMJ9"],"itemData":{"id":476,"type":"article-journal","title":"Loanwords in the Urban Meccan Hijazi Dialect: An Analysis of Lexical Variation according to Speakers’ Sex, Age and Education","container-title":"International Journal of English Linguistics","page":"34-58","volume":"5","source":"ResearchGate","abstract":"This study aims to investigate the degree of lexical variation in Urban Meccan Hijazi Arabic (UMH) by identifying the loan words that are commonly spoken in this dialect and determining from which languages they have been borrowed. Also, it explores the effect of social factors such as age, sex and educational level on the use of loan words by UMH speakers. For the purpose of the study, I designed a questionnaire and distributed it to eighty participants whose mother tongue is UMH. The sample consisted of three groups, namely, old and young, male and female and educated and uneducated participants. In order to provide answers to the research questions, the questionnaire was divided into two sections; section one investigates the participants’ background, i.e., their age, sex, educational level, how long have they been living in Mecca, etc., and section two examines their use of the loan words in UMH. The results revealed that in addition to some words that have been borrowed from Persian and Italian, most of the loan words found in UMH have been borrowed from Turkish. This could have resulted from the Ottoman occupation of Saudi Arabia for around 400 years, and the interaction with pilgrims who visit Mecca every year. Additionally, the results of the t-tests showed that the differences between the three groups (i.e., old vs. young, male vs. female and educated vs. uneducated) are statistically significant. This indicates that the three social factors play a crucial role in the participants’ use of the loan words in UMH. Finally, the study concludes with some recommendations for further research.","DOI":"10.5539/ijel.v5n6p3","shortTitle":"Loanwords in the Urban Meccan Hijazi Dialect","author":[{"family":"Alahmadi","given":"Sameeha"}],"issued":{"date-parts":[["2015",12,1]]}}}],"schema":"https://github.com/citation-style-language/schema/raw/master/csl-citation.json"} </w:instrText>
      </w:r>
      <w:r w:rsidRPr="00CF31E0">
        <w:rPr>
          <w:lang w:eastAsia="zh-CN"/>
        </w:rPr>
        <w:fldChar w:fldCharType="separate"/>
      </w:r>
      <w:r w:rsidRPr="00CF31E0">
        <w:rPr>
          <w:noProof/>
          <w:lang w:eastAsia="zh-CN"/>
        </w:rPr>
        <w:t>(Alahmadi, 2015)</w:t>
      </w:r>
      <w:r w:rsidRPr="00CF31E0">
        <w:rPr>
          <w:lang w:eastAsia="zh-CN"/>
        </w:rPr>
        <w:fldChar w:fldCharType="end"/>
      </w:r>
      <w:r w:rsidRPr="00CF31E0">
        <w:rPr>
          <w:lang w:eastAsia="zh-CN"/>
        </w:rPr>
        <w:t xml:space="preserve">. Hence, the settlers who came from different ethnic groups have bestowed some linguistic features on the HH dialect </w:t>
      </w:r>
      <w:r w:rsidRPr="00CF31E0">
        <w:rPr>
          <w:lang w:eastAsia="zh-CN"/>
        </w:rPr>
        <w:fldChar w:fldCharType="begin"/>
      </w:r>
      <w:r w:rsidRPr="00CF31E0">
        <w:rPr>
          <w:lang w:eastAsia="zh-CN"/>
        </w:rPr>
        <w:instrText xml:space="preserve"> ADDIN ZOTERO_ITEM CSL_CITATION {"citationID":"rNpk0lDA","properties":{"formattedCitation":"(Alahmadi, 2015, 2016; Nasir Al-Jehani, 1990; Nassir Al-Jehani, 1985; Nahedh, 1989)","plainCitation":"(Alahmadi, 2015, 2016; Nasir Al-Jehani, 1990; Nassir Al-Jehani, 1985; Nahedh, 1989)","noteIndex":0},"citationItems":[{"id":476,"uris":["http://zotero.org/users/1939618/items/ZDMCRMJ9"],"uri":["http://zotero.org/users/1939618/items/ZDMCRMJ9"],"itemData":{"id":476,"type":"article-journal","title":"Loanwords in the Urban Meccan Hijazi Dialect: An Analysis of Lexical Variation according to Speakers’ Sex, Age and Education","container-title":"International Journal of English Linguistics","page":"34-58","volume":"5","source":"ResearchGate","abstract":"This study aims to investigate the degree of lexical variation in Urban Meccan Hijazi Arabic (UMH) by identifying the loan words that are commonly spoken in this dialect and determining from which languages they have been borrowed. Also, it explores the effect of social factors such as age, sex and educational level on the use of loan words by UMH speakers. For the purpose of the study, I designed a questionnaire and distributed it to eighty participants whose mother tongue is UMH. The sample consisted of three groups, namely, old and young, male and female and educated and uneducated participants. In order to provide answers to the research questions, the questionnaire was divided into two sections; section one investigates the participants’ background, i.e., their age, sex, educational level, how long have they been living in Mecca, etc., and section two examines their use of the loan words in UMH. The results revealed that in addition to some words that have been borrowed from Persian and Italian, most of the loan words found in UMH have been borrowed from Turkish. This could have resulted from the Ottoman occupation of Saudi Arabia for around 400 years, and the interaction with pilgrims who visit Mecca every year. Additionally, the results of the t-tests showed that the differences between the three groups (i.e., old vs. young, male vs. female and educated vs. uneducated) are statistically significant. This indicates that the three social factors play a crucial role in the participants’ use of the loan words in UMH. Finally, the study concludes with some recommendations for further research.","DOI":"10.5539/ijel.v5n6p3","shortTitle":"Loanwords in the Urban Meccan Hijazi Dialect","author":[{"family":"Alahmadi","given":"Sameeha"}],"issued":{"date-parts":[["2015",12,1]]}},"label":"page"},{"id":470,"uris":["http://zotero.org/users/1939618/items/65KMBJ76"],"uri":["http://zotero.org/users/1939618/items/65KMBJ76"],"itemData":{"id":470,"type":"article-journal","title":"Insight into the Attitudes of Speakers of Urban Meccan Hijazi Arabic towards their Dialect","container-title":"Advances in Language and Literary Studies","page":"249-256","volume":"7","source":"ResearchGate","DOI":"10.7575/aiac.alls.v.7n.2p.249","author":[{"family":"Alahmadi","given":"Sameeha"}],"issued":{"date-parts":[["2016",4,1]]}},"label":"page"},{"id":480,"uris":["http://zotero.org/users/1939618/items/R9E5Q4TA"],"uri":["http://zotero.org/users/1939618/items/R9E5Q4TA"],"itemData":{"id":480,"type":"article-journal","title":"Color Terms in Mecca: A Sociolinguistic Perspective","container-title":"Anthropological Linguistics","page":"163–74","volume":"32","issue":"1-2","source":"find.shef.ac.uk","abstract":"The present study focuses on the variability in color labeling by Meccan speakers of Arabic from different social backgrounds, a subject only marginally considered in the existing literature. Color labeling was found to strongly correlate with the sex, ethnic background, and age of speakers.","ISSN":"0003-5483","shortTitle":"Color Terms in Mecca","language":"English","author":[{"family":"Al-Jehani","given":"Nasir"}],"issued":{"date-parts":[["1990"]]}},"label":"page"},{"id":537,"uris":["http://zotero.org/users/1939618/items/CKTFSSZ4"],"uri":["http://zotero.org/users/1939618/items/CKTFSSZ4"],"itemData":{"id":537,"type":"thesis","title":"SOCIOSTYLISTIC STRATIFICATION OF ARABIC IN MAKKAH","publisher":"University of Michigan","URL":"https://www.researchgate.net/publication/36173456_SOCIOSTYLISTIC_STRATIFICATION_OF_ARABIC_IN_MAKKAH_SOCIOLINGUISTICS_VARIATION_SAUDI_ARABIA","language":"en","author":[{"family":"Al-Jehani","given":"Nassir"}],"issued":{"date-parts":[["1985"]]},"accessed":{"date-parts":[["2018",7,12]]}},"label":"page"},{"id":515,"uris":["http://zotero.org/users/1939618/items/J2X24F6B"],"uri":["http://zotero.org/users/1939618/items/J2X24F6B"],"itemData":{"id":515,"type":"thesis","title":"THE SEDENTARIZATION OF A BEDOUIN COMMUNITY IN SAUDI ARABIA","publisher":"University of Leeds","source":"Zotero","abstract":"This thesis examines the sedentarization of bedouin nomads in Saudi Arabia: partly in general, but mostly focussing on a particular region (Sajir) which was studied in the field.","language":"en","author":[{"family":"Nahedh","given":"Monera"}],"issued":{"date-parts":[["1989"]]}},"label":"page"}],"schema":"https://github.com/citation-style-language/schema/raw/master/csl-citation.json"} </w:instrText>
      </w:r>
      <w:r w:rsidRPr="00CF31E0">
        <w:rPr>
          <w:lang w:eastAsia="zh-CN"/>
        </w:rPr>
        <w:fldChar w:fldCharType="separate"/>
      </w:r>
      <w:r w:rsidRPr="00CF31E0">
        <w:rPr>
          <w:noProof/>
          <w:lang w:eastAsia="zh-CN"/>
        </w:rPr>
        <w:t xml:space="preserve">(Alahmadi, 2015, 2016; Al-Jehani, </w:t>
      </w:r>
      <w:r w:rsidR="0052281A" w:rsidRPr="00CF31E0">
        <w:rPr>
          <w:noProof/>
          <w:lang w:eastAsia="zh-CN"/>
        </w:rPr>
        <w:t xml:space="preserve">1985, </w:t>
      </w:r>
      <w:r w:rsidRPr="00CF31E0">
        <w:rPr>
          <w:noProof/>
          <w:lang w:eastAsia="zh-CN"/>
        </w:rPr>
        <w:t>1990; Nahedh, 1989)</w:t>
      </w:r>
      <w:r w:rsidRPr="00CF31E0">
        <w:rPr>
          <w:lang w:eastAsia="zh-CN"/>
        </w:rPr>
        <w:fldChar w:fldCharType="end"/>
      </w:r>
      <w:r w:rsidRPr="00CF31E0">
        <w:rPr>
          <w:lang w:eastAsia="zh-CN"/>
        </w:rPr>
        <w:t xml:space="preserve">. As a result, one might conclude that the two dialects have different language ideologies which have apparently affected the way in which the dialects are perceived. </w:t>
      </w:r>
    </w:p>
    <w:p w14:paraId="202D996D" w14:textId="503D3B6F" w:rsidR="00A23C2A" w:rsidRPr="00CF31E0" w:rsidRDefault="00A23C2A" w:rsidP="00603CB7">
      <w:pPr>
        <w:pStyle w:val="Paragraph"/>
        <w:rPr>
          <w:lang w:eastAsia="zh-CN"/>
        </w:rPr>
      </w:pPr>
      <w:r w:rsidRPr="00CF31E0">
        <w:rPr>
          <w:lang w:eastAsia="zh-CN"/>
        </w:rPr>
        <w:t xml:space="preserve">These findings are consistent with Ingham’s production study </w:t>
      </w:r>
      <w:r w:rsidRPr="00CF31E0">
        <w:rPr>
          <w:lang w:eastAsia="zh-CN"/>
        </w:rPr>
        <w:fldChar w:fldCharType="begin"/>
      </w:r>
      <w:r w:rsidRPr="00CF31E0">
        <w:rPr>
          <w:lang w:eastAsia="zh-CN"/>
        </w:rPr>
        <w:instrText xml:space="preserve"> ADDIN ZOTERO_ITEM CSL_CITATION {"citationID":"BNW3ZHpt","properties":{"formattedCitation":"(Ingham, 1971)","plainCitation":"(Ingham, 1971)","noteIndex":0},"citationItems":[{"id":131,"uris":["http://zotero.org/users/1939618/items/RDKBEK7V"],"uri":["http://zotero.org/users/1939618/items/RDKBEK7V"],"itemData":{"id":131,"type":"article-journal","title":"Some characteristics of Meccan speech","container-title":"Bulletin of the School of Oriental and African Studies","page":"273–297","volume":"34","issue":"02","source":"Google Scholar","author":[{"family":"Ingham","given":"Bruce"}],"issued":{"date-parts":[["1971"]]}}}],"schema":"https://github.com/citation-style-language/schema/raw/master/csl-citation.json"} </w:instrText>
      </w:r>
      <w:r w:rsidRPr="00CF31E0">
        <w:rPr>
          <w:lang w:eastAsia="zh-CN"/>
        </w:rPr>
        <w:fldChar w:fldCharType="separate"/>
      </w:r>
      <w:r w:rsidRPr="00CF31E0">
        <w:rPr>
          <w:noProof/>
          <w:lang w:eastAsia="zh-CN"/>
        </w:rPr>
        <w:t xml:space="preserve"> (1971)</w:t>
      </w:r>
      <w:r w:rsidRPr="00CF31E0">
        <w:rPr>
          <w:lang w:eastAsia="zh-CN"/>
        </w:rPr>
        <w:fldChar w:fldCharType="end"/>
      </w:r>
      <w:r w:rsidRPr="00CF31E0">
        <w:rPr>
          <w:lang w:eastAsia="zh-CN"/>
        </w:rPr>
        <w:t xml:space="preserve">. Ingham found that linguistically there is a clear difference between a sub-HH dialect, the </w:t>
      </w:r>
      <w:r w:rsidR="00D30B2F">
        <w:rPr>
          <w:lang w:eastAsia="zh-CN"/>
        </w:rPr>
        <w:t>Makkan</w:t>
      </w:r>
      <w:r w:rsidRPr="00CF31E0">
        <w:rPr>
          <w:lang w:eastAsia="zh-CN"/>
        </w:rPr>
        <w:t xml:space="preserve"> dialect, and other Saudi dialects; see Chapter</w:t>
      </w:r>
      <w:r w:rsidR="00D838BE" w:rsidRPr="00CF31E0">
        <w:rPr>
          <w:lang w:eastAsia="zh-CN"/>
        </w:rPr>
        <w:t xml:space="preserve"> </w:t>
      </w:r>
      <w:r w:rsidR="00730917" w:rsidRPr="00CF31E0">
        <w:rPr>
          <w:lang w:eastAsia="zh-CN"/>
        </w:rPr>
        <w:t>2</w:t>
      </w:r>
      <w:r w:rsidR="00D838BE" w:rsidRPr="00CF31E0">
        <w:rPr>
          <w:lang w:eastAsia="zh-CN"/>
        </w:rPr>
        <w:t>, s</w:t>
      </w:r>
      <w:r w:rsidRPr="00CF31E0">
        <w:rPr>
          <w:lang w:eastAsia="zh-CN"/>
        </w:rPr>
        <w:t>ection</w:t>
      </w:r>
      <w:r w:rsidR="00D838BE" w:rsidRPr="00CF31E0">
        <w:rPr>
          <w:lang w:eastAsia="zh-CN"/>
        </w:rPr>
        <w:t xml:space="preserve"> </w:t>
      </w:r>
      <w:r w:rsidR="00730917" w:rsidRPr="00CF31E0">
        <w:rPr>
          <w:lang w:eastAsia="zh-CN"/>
        </w:rPr>
        <w:t>2</w:t>
      </w:r>
      <w:r w:rsidR="00D838BE" w:rsidRPr="00CF31E0">
        <w:rPr>
          <w:lang w:eastAsia="zh-CN"/>
        </w:rPr>
        <w:t>.17</w:t>
      </w:r>
      <w:r w:rsidRPr="00CF31E0">
        <w:rPr>
          <w:lang w:eastAsia="zh-CN"/>
        </w:rPr>
        <w:t xml:space="preserve"> for more details on the different linguistic aspects of the two dialects. In this aspect, I would argue that the two dialects are different, as has proved by the above-mentioned production study and the present perception study. </w:t>
      </w:r>
    </w:p>
    <w:p w14:paraId="59FEA1B3" w14:textId="3EA7A592" w:rsidR="00A23C2A" w:rsidRPr="00CF31E0" w:rsidRDefault="00730917" w:rsidP="00E87209">
      <w:pPr>
        <w:pStyle w:val="Ahead"/>
        <w:rPr>
          <w:rFonts w:eastAsia="Times New Roman"/>
        </w:rPr>
      </w:pPr>
      <w:bookmarkStart w:id="529" w:name="_Toc515415560"/>
      <w:bookmarkStart w:id="530" w:name="_Toc515610181"/>
      <w:bookmarkStart w:id="531" w:name="_Toc6472732"/>
      <w:r w:rsidRPr="00CF31E0">
        <w:rPr>
          <w:rFonts w:eastAsia="Times New Roman"/>
        </w:rPr>
        <w:t>8</w:t>
      </w:r>
      <w:r w:rsidR="00353D20" w:rsidRPr="00CF31E0">
        <w:rPr>
          <w:rFonts w:eastAsia="Times New Roman"/>
        </w:rPr>
        <w:t>.5.</w:t>
      </w:r>
      <w:r w:rsidR="001E77DF" w:rsidRPr="00CF31E0">
        <w:rPr>
          <w:rFonts w:eastAsia="Times New Roman"/>
        </w:rPr>
        <w:tab/>
      </w:r>
      <w:r w:rsidR="00A23C2A" w:rsidRPr="00CF31E0">
        <w:rPr>
          <w:rFonts w:eastAsia="Times New Roman"/>
        </w:rPr>
        <w:t>The perceived similarity between the HH dialect and other Arabic dialects</w:t>
      </w:r>
      <w:bookmarkEnd w:id="529"/>
      <w:bookmarkEnd w:id="530"/>
      <w:bookmarkEnd w:id="531"/>
    </w:p>
    <w:p w14:paraId="188E4239" w14:textId="4F8F885E" w:rsidR="00A23C2A" w:rsidRPr="00CF31E0" w:rsidRDefault="00A23C2A" w:rsidP="00603CB7">
      <w:pPr>
        <w:pStyle w:val="Paragraph"/>
        <w:rPr>
          <w:lang w:eastAsia="en-US"/>
        </w:rPr>
      </w:pPr>
      <w:r w:rsidRPr="00CF31E0">
        <w:rPr>
          <w:lang w:eastAsia="zh-CN"/>
        </w:rPr>
        <w:t xml:space="preserve">Egyptian and Levantine Arabic dialects were perceived as the most similar dialects to the HH dialect, followed by the Egyptian Arabic dialect, then by a combination of Egyptian, Yemeni and Sudanese Arabic dialects, and finally the Levantine Arabic dialect. Prior to discussing the results, it would be useful to revisit </w:t>
      </w:r>
      <w:r w:rsidRPr="00CF31E0">
        <w:rPr>
          <w:lang w:eastAsia="en-US"/>
        </w:rPr>
        <w:t xml:space="preserve">Biadsy </w:t>
      </w:r>
      <w:r w:rsidR="0052281A" w:rsidRPr="00CF31E0">
        <w:rPr>
          <w:lang w:eastAsia="en-US"/>
        </w:rPr>
        <w:t>et al.’s</w:t>
      </w:r>
      <w:r w:rsidRPr="00CF31E0">
        <w:rPr>
          <w:lang w:eastAsia="en-US"/>
        </w:rPr>
        <w:t xml:space="preserve"> (2009, p. 55) geo-linguistic dialect classification, which I illustrated in Chapter </w:t>
      </w:r>
      <w:r w:rsidR="00730917" w:rsidRPr="00CF31E0">
        <w:rPr>
          <w:lang w:eastAsia="en-US"/>
        </w:rPr>
        <w:t>3</w:t>
      </w:r>
      <w:r w:rsidR="00151820" w:rsidRPr="00CF31E0">
        <w:rPr>
          <w:lang w:eastAsia="en-US"/>
        </w:rPr>
        <w:t>, section 3.2</w:t>
      </w:r>
      <w:r w:rsidRPr="00CF31E0">
        <w:rPr>
          <w:lang w:eastAsia="en-US"/>
        </w:rPr>
        <w:t>. The researchers classified Arabic dialects into five main dialects: Gulf Arabic (i.e. dialects of Kuwait, Saudi Arabia</w:t>
      </w:r>
      <w:r w:rsidR="003445DF" w:rsidRPr="00CF31E0">
        <w:rPr>
          <w:lang w:eastAsia="en-US"/>
        </w:rPr>
        <w:t xml:space="preserve"> (SA)</w:t>
      </w:r>
      <w:r w:rsidRPr="00CF31E0">
        <w:rPr>
          <w:lang w:eastAsia="en-US"/>
        </w:rPr>
        <w:t xml:space="preserve">, Bahrain, Qatar, United Arab Emirates and Oman), Iraqi Arabic (i.e. Iraqi dialect), Levantine Arabic (dialects of </w:t>
      </w:r>
      <w:r w:rsidRPr="00CF31E0">
        <w:rPr>
          <w:lang w:eastAsia="en-US"/>
        </w:rPr>
        <w:lastRenderedPageBreak/>
        <w:t xml:space="preserve">Lebanon, Syria, Jordan, Palestine), Egyptian Arabic (dialects of Egypt and Sudan) and finally Magrabi Arabic (i.e. dialects of Morocoo, Algeria, Tunisia and Mauritania); see Figure </w:t>
      </w:r>
      <w:r w:rsidR="00730917" w:rsidRPr="00CF31E0">
        <w:rPr>
          <w:lang w:eastAsia="en-US"/>
        </w:rPr>
        <w:t>3</w:t>
      </w:r>
      <w:r w:rsidR="0034202F" w:rsidRPr="00CF31E0">
        <w:rPr>
          <w:lang w:eastAsia="en-US"/>
        </w:rPr>
        <w:t>.2</w:t>
      </w:r>
      <w:r w:rsidRPr="00CF31E0">
        <w:rPr>
          <w:lang w:eastAsia="en-US"/>
        </w:rPr>
        <w:t xml:space="preserve"> in </w:t>
      </w:r>
      <w:r w:rsidR="00963EAD" w:rsidRPr="00CF31E0">
        <w:rPr>
          <w:lang w:eastAsia="en-US"/>
        </w:rPr>
        <w:t>C</w:t>
      </w:r>
      <w:r w:rsidRPr="00CF31E0">
        <w:rPr>
          <w:lang w:eastAsia="en-US"/>
        </w:rPr>
        <w:t>hapter</w:t>
      </w:r>
      <w:r w:rsidR="00D838BE" w:rsidRPr="00CF31E0">
        <w:rPr>
          <w:lang w:eastAsia="en-US"/>
        </w:rPr>
        <w:t xml:space="preserve"> </w:t>
      </w:r>
      <w:r w:rsidR="00730917" w:rsidRPr="00CF31E0">
        <w:rPr>
          <w:lang w:eastAsia="en-US"/>
        </w:rPr>
        <w:t>3</w:t>
      </w:r>
      <w:r w:rsidR="00D838BE" w:rsidRPr="00CF31E0">
        <w:rPr>
          <w:lang w:eastAsia="en-US"/>
        </w:rPr>
        <w:t>.</w:t>
      </w:r>
      <w:r w:rsidRPr="00CF31E0">
        <w:rPr>
          <w:lang w:eastAsia="en-US"/>
        </w:rPr>
        <w:t xml:space="preserve"> I would argue that this dialect classification can help to interpret why the results emerged in a certain pattern. This is because the researchers took geography into consideration when formulating their classification. Likewise, the results of the present study can be interpreted from a geographical point of view. </w:t>
      </w:r>
    </w:p>
    <w:p w14:paraId="2462C0A5" w14:textId="32BC0354" w:rsidR="00A23C2A" w:rsidRPr="00CF31E0" w:rsidRDefault="00A23C2A" w:rsidP="00603CB7">
      <w:pPr>
        <w:pStyle w:val="Paragraph"/>
        <w:rPr>
          <w:lang w:eastAsia="zh-CN"/>
        </w:rPr>
      </w:pPr>
      <w:r w:rsidRPr="00CF31E0">
        <w:rPr>
          <w:lang w:eastAsia="zh-CN"/>
        </w:rPr>
        <w:t xml:space="preserve">Overall, it seems that the group of dialects perceived as similar to the HH dialect are dialects of neighbouring </w:t>
      </w:r>
      <w:r w:rsidR="00CC48DD" w:rsidRPr="00CF31E0">
        <w:rPr>
          <w:lang w:eastAsia="zh-CN"/>
        </w:rPr>
        <w:t>count</w:t>
      </w:r>
      <w:r w:rsidRPr="00CF31E0">
        <w:rPr>
          <w:lang w:eastAsia="zh-CN"/>
        </w:rPr>
        <w:t xml:space="preserve">ries to SA, see Arab world map, </w:t>
      </w:r>
      <w:r w:rsidR="00730917" w:rsidRPr="00CF31E0">
        <w:rPr>
          <w:lang w:eastAsia="zh-CN"/>
        </w:rPr>
        <w:t>F</w:t>
      </w:r>
      <w:r w:rsidRPr="00CF31E0">
        <w:rPr>
          <w:lang w:eastAsia="zh-CN"/>
        </w:rPr>
        <w:t>igure</w:t>
      </w:r>
      <w:r w:rsidR="0034202F" w:rsidRPr="00CF31E0">
        <w:rPr>
          <w:lang w:eastAsia="zh-CN"/>
        </w:rPr>
        <w:t xml:space="preserve"> </w:t>
      </w:r>
      <w:r w:rsidR="00730917" w:rsidRPr="00CF31E0">
        <w:rPr>
          <w:lang w:eastAsia="zh-CN"/>
        </w:rPr>
        <w:t>3</w:t>
      </w:r>
      <w:r w:rsidR="0034202F" w:rsidRPr="00CF31E0">
        <w:rPr>
          <w:lang w:eastAsia="zh-CN"/>
        </w:rPr>
        <w:t>.1</w:t>
      </w:r>
      <w:r w:rsidRPr="00CF31E0">
        <w:rPr>
          <w:lang w:eastAsia="zh-CN"/>
        </w:rPr>
        <w:t xml:space="preserve"> in </w:t>
      </w:r>
      <w:r w:rsidR="00963EAD" w:rsidRPr="00CF31E0">
        <w:rPr>
          <w:lang w:eastAsia="zh-CN"/>
        </w:rPr>
        <w:t>C</w:t>
      </w:r>
      <w:r w:rsidRPr="00CF31E0">
        <w:rPr>
          <w:lang w:eastAsia="zh-CN"/>
        </w:rPr>
        <w:t>hapter</w:t>
      </w:r>
      <w:r w:rsidR="0034202F" w:rsidRPr="00CF31E0">
        <w:rPr>
          <w:lang w:eastAsia="zh-CN"/>
        </w:rPr>
        <w:t xml:space="preserve"> </w:t>
      </w:r>
      <w:r w:rsidR="00730917" w:rsidRPr="00CF31E0">
        <w:rPr>
          <w:lang w:eastAsia="zh-CN"/>
        </w:rPr>
        <w:t>3</w:t>
      </w:r>
      <w:r w:rsidR="0034202F" w:rsidRPr="00CF31E0">
        <w:rPr>
          <w:lang w:eastAsia="zh-CN"/>
        </w:rPr>
        <w:t>.</w:t>
      </w:r>
      <w:r w:rsidR="00EF65DD" w:rsidRPr="00CF31E0">
        <w:rPr>
          <w:lang w:eastAsia="zh-CN"/>
        </w:rPr>
        <w:t xml:space="preserve"> </w:t>
      </w:r>
      <w:r w:rsidRPr="00CF31E0">
        <w:rPr>
          <w:lang w:eastAsia="zh-CN"/>
        </w:rPr>
        <w:t xml:space="preserve">First, Egypt and Sudan are geographically located at the western border of SA; although the Red Sea separates SA from Egypt and Sudan, the </w:t>
      </w:r>
      <w:r w:rsidR="00CC48DD" w:rsidRPr="00CF31E0">
        <w:rPr>
          <w:lang w:eastAsia="zh-CN"/>
        </w:rPr>
        <w:t>count</w:t>
      </w:r>
      <w:r w:rsidRPr="00CF31E0">
        <w:rPr>
          <w:lang w:eastAsia="zh-CN"/>
        </w:rPr>
        <w:t xml:space="preserve">ries are connected via many ports. Second, one of the Levantine </w:t>
      </w:r>
      <w:r w:rsidR="00CC48DD" w:rsidRPr="00CF31E0">
        <w:rPr>
          <w:lang w:eastAsia="zh-CN"/>
        </w:rPr>
        <w:t>count</w:t>
      </w:r>
      <w:r w:rsidRPr="00CF31E0">
        <w:rPr>
          <w:lang w:eastAsia="zh-CN"/>
        </w:rPr>
        <w:t xml:space="preserve">ries (i.e. Jordan) is located at the northern border, and the remaining Levantine </w:t>
      </w:r>
      <w:r w:rsidR="00CC48DD" w:rsidRPr="00CF31E0">
        <w:rPr>
          <w:lang w:eastAsia="zh-CN"/>
        </w:rPr>
        <w:t>count</w:t>
      </w:r>
      <w:r w:rsidRPr="00CF31E0">
        <w:rPr>
          <w:lang w:eastAsia="zh-CN"/>
        </w:rPr>
        <w:t xml:space="preserve">ries are adjacent to Jordan. Third, Yemen is located at the southern border. Therefore, I would argue that the geography and location of the previously mentioned </w:t>
      </w:r>
      <w:r w:rsidR="00CC48DD" w:rsidRPr="00CF31E0">
        <w:rPr>
          <w:lang w:eastAsia="zh-CN"/>
        </w:rPr>
        <w:t>count</w:t>
      </w:r>
      <w:r w:rsidRPr="00CF31E0">
        <w:rPr>
          <w:lang w:eastAsia="zh-CN"/>
        </w:rPr>
        <w:t xml:space="preserve">ries made the external migration of this particular group of settlers </w:t>
      </w:r>
      <w:r w:rsidR="00F373D8" w:rsidRPr="00CF31E0">
        <w:rPr>
          <w:lang w:eastAsia="zh-CN"/>
        </w:rPr>
        <w:t xml:space="preserve">convenient and </w:t>
      </w:r>
      <w:r w:rsidRPr="00CF31E0">
        <w:rPr>
          <w:lang w:eastAsia="zh-CN"/>
        </w:rPr>
        <w:t xml:space="preserve">less stressful. Overall, the results are consistent with the background information on the region, which indicates that settler groups were mainly from Arab </w:t>
      </w:r>
      <w:r w:rsidR="00CC48DD" w:rsidRPr="00CF31E0">
        <w:rPr>
          <w:lang w:eastAsia="zh-CN"/>
        </w:rPr>
        <w:t>count</w:t>
      </w:r>
      <w:r w:rsidRPr="00CF31E0">
        <w:rPr>
          <w:lang w:eastAsia="zh-CN"/>
        </w:rPr>
        <w:t xml:space="preserve">ries and areas such as Egypt, the Levant, and Yemen </w:t>
      </w:r>
      <w:r w:rsidRPr="00CF31E0">
        <w:rPr>
          <w:lang w:eastAsia="zh-CN"/>
        </w:rPr>
        <w:fldChar w:fldCharType="begin"/>
      </w:r>
      <w:r w:rsidRPr="00CF31E0">
        <w:rPr>
          <w:lang w:eastAsia="zh-CN"/>
        </w:rPr>
        <w:instrText xml:space="preserve"> ADDIN ZOTERO_ITEM CSL_CITATION {"citationID":"YxMStl0N","properties":{"formattedCitation":"(Al-Ansari, 1970; Vassiliev, 2013)","plainCitation":"(Al-Ansari, 1970; Vassiliev, 2013)","noteIndex":0},"citationItems":[{"id":377,"uris":["http://zotero.org/users/1939618/items/5DGNNAUN"],"uri":["http://zotero.org/users/1939618/items/5DGNNAUN"],"itemData":{"id":377,"type":"book","title":"</w:instrText>
      </w:r>
      <w:r w:rsidRPr="00CF31E0">
        <w:rPr>
          <w:rtl/>
          <w:lang w:eastAsia="zh-CN"/>
        </w:rPr>
        <w:instrText>تحفة المحبين والأصحاب فى معرفة ما للمدنيين من الأنساب</w:instrText>
      </w:r>
      <w:r w:rsidRPr="00CF31E0">
        <w:rPr>
          <w:lang w:eastAsia="zh-CN"/>
        </w:rPr>
        <w:instrText>","publisher":"Almaktaba Ala-Atika","publisher-place":"Tunisia","source":"Internet Archive","event-place":"Tunisia","abstract":"</w:instrText>
      </w:r>
      <w:r w:rsidRPr="00CF31E0">
        <w:rPr>
          <w:rtl/>
          <w:lang w:eastAsia="zh-CN"/>
        </w:rPr>
        <w:instrText>كتاب تحفة المحبين والأصحاب في معرفة ما للمدنيين من الأنسابالقُرْمِيِّة المدنيةالمؤلف الأستاذ عبد الرحمن بن عبد الكريم الأنصاريالمحقق الدكتور محمد العروسي المطويمَكْتَبَةُ عُلُومِ النَّسَبِاَللَّهُمَّ صَلِّ عَلَى مُحَمَّدٍ وَآلِ مُحَمَّدٍ</w:instrText>
      </w:r>
      <w:r w:rsidRPr="00CF31E0">
        <w:rPr>
          <w:lang w:eastAsia="zh-CN"/>
        </w:rPr>
        <w:instrText xml:space="preserve">","URL":"http://archive.org/details/olomnasb_ymail_201611","language":"Arabic","author":[{"family":"Al-Ansari","given":"Abdulrahman"}],"issued":{"date-parts":[["1970"]]},"accessed":{"date-parts":[["2018",4,4]]}},"label":"page"},{"id":173,"uris":["http://zotero.org/users/1939618/items/6I5BC846"],"uri":["http://zotero.org/users/1939618/items/6I5BC846"],"itemData":{"id":173,"type":"book","title":"The History of Saudi Arabia","publisher":"Saqi","source":"Google Scholar","URL":"https://books.google.co.uk/books?hl=en&amp;lr=&amp;id=lEIhBQAAQBAJ&amp;oi=fnd&amp;pg=PT4&amp;dq=Vassiliev,+A.+(2013).+The+History+of+Saudi+Arabia.+London,+Saqi+books.+&amp;ots=KPwVsHcASb&amp;sig=oVibAvTA79h5vqAaHDXY7YS9H7I","author":[{"family":"Vassiliev","given":"Alexei"}],"issued":{"date-parts":[["2013"]]},"accessed":{"date-parts":[["2015",9,28]]}},"label":"page"}],"schema":"https://github.com/citation-style-language/schema/raw/master/csl-citation.json"} </w:instrText>
      </w:r>
      <w:r w:rsidRPr="00CF31E0">
        <w:rPr>
          <w:lang w:eastAsia="zh-CN"/>
        </w:rPr>
        <w:fldChar w:fldCharType="separate"/>
      </w:r>
      <w:r w:rsidRPr="00CF31E0">
        <w:rPr>
          <w:noProof/>
          <w:lang w:eastAsia="zh-CN"/>
        </w:rPr>
        <w:t>(</w:t>
      </w:r>
      <w:r w:rsidR="00E44A3C" w:rsidRPr="00CF31E0">
        <w:rPr>
          <w:noProof/>
          <w:lang w:eastAsia="zh-CN"/>
        </w:rPr>
        <w:t>Al-Ansari, 1970; Vassiliev, 2000</w:t>
      </w:r>
      <w:r w:rsidRPr="00CF31E0">
        <w:rPr>
          <w:noProof/>
          <w:lang w:eastAsia="zh-CN"/>
        </w:rPr>
        <w:t>)</w:t>
      </w:r>
      <w:r w:rsidRPr="00CF31E0">
        <w:rPr>
          <w:lang w:eastAsia="zh-CN"/>
        </w:rPr>
        <w:fldChar w:fldCharType="end"/>
      </w:r>
      <w:r w:rsidRPr="00CF31E0">
        <w:rPr>
          <w:lang w:val="en-US" w:eastAsia="en-US"/>
        </w:rPr>
        <w:t xml:space="preserve">. Therefore, the settler group dialect is perceived to have similar linguistic features to the settlers’ original dialects that are spoken in places such as Egypt, the Levant, Yemen, and Sudan. </w:t>
      </w:r>
    </w:p>
    <w:p w14:paraId="442E39DD" w14:textId="409AF6ED" w:rsidR="00A23C2A" w:rsidRPr="00CF31E0" w:rsidRDefault="00A23C2A" w:rsidP="00603CB7">
      <w:pPr>
        <w:pStyle w:val="Paragraph"/>
        <w:rPr>
          <w:lang w:eastAsia="zh-CN"/>
        </w:rPr>
      </w:pPr>
      <w:r w:rsidRPr="00CF31E0">
        <w:rPr>
          <w:lang w:eastAsia="zh-CN"/>
        </w:rPr>
        <w:t xml:space="preserve">One might wonder why none of the dialects from the Gulf </w:t>
      </w:r>
      <w:r w:rsidR="008B0485" w:rsidRPr="00CF31E0">
        <w:rPr>
          <w:lang w:eastAsia="zh-CN"/>
        </w:rPr>
        <w:t>count</w:t>
      </w:r>
      <w:r w:rsidRPr="00CF31E0">
        <w:rPr>
          <w:lang w:eastAsia="zh-CN"/>
        </w:rPr>
        <w:t xml:space="preserve">ries (i.e. Oman, Qatar, Bahrain, Kuwait, and the United Arab Emirates) on the eastern border of SA, or Iraq on the northern border of SA, were perceived to be similar to the HH dialect. It would seem that the external migration to SA was not comprised of settlers in Hijaz from Iraq and the Gulf </w:t>
      </w:r>
      <w:r w:rsidR="00CC48DD" w:rsidRPr="00CF31E0">
        <w:rPr>
          <w:lang w:eastAsia="zh-CN"/>
        </w:rPr>
        <w:t>count</w:t>
      </w:r>
      <w:r w:rsidRPr="00CF31E0">
        <w:rPr>
          <w:lang w:eastAsia="zh-CN"/>
        </w:rPr>
        <w:t xml:space="preserve">ries. This is supported by the fact that I did not find any official data or resources on the background to Hijaz mentioning any settlers from these </w:t>
      </w:r>
      <w:r w:rsidR="00CC48DD" w:rsidRPr="00CF31E0">
        <w:rPr>
          <w:lang w:eastAsia="zh-CN"/>
        </w:rPr>
        <w:t>count</w:t>
      </w:r>
      <w:r w:rsidRPr="00CF31E0">
        <w:rPr>
          <w:lang w:eastAsia="zh-CN"/>
        </w:rPr>
        <w:t xml:space="preserve">ries, and on the other hand, the results have confirmed that the Arabic dialects spoken in Iraq and on the eastern border of SA (i.e. Gulf </w:t>
      </w:r>
      <w:r w:rsidR="00405789" w:rsidRPr="00CF31E0">
        <w:rPr>
          <w:lang w:eastAsia="zh-CN"/>
        </w:rPr>
        <w:t>countries</w:t>
      </w:r>
      <w:r w:rsidRPr="00CF31E0">
        <w:rPr>
          <w:lang w:eastAsia="zh-CN"/>
        </w:rPr>
        <w:t xml:space="preserve">) are not perceived as similar to the HH dialect. One might wonder then why people </w:t>
      </w:r>
      <w:r w:rsidRPr="00CF31E0">
        <w:rPr>
          <w:lang w:eastAsia="zh-CN"/>
        </w:rPr>
        <w:lastRenderedPageBreak/>
        <w:t xml:space="preserve">from these </w:t>
      </w:r>
      <w:r w:rsidR="00405789" w:rsidRPr="00CF31E0">
        <w:rPr>
          <w:lang w:eastAsia="zh-CN"/>
        </w:rPr>
        <w:t>countries</w:t>
      </w:r>
      <w:r w:rsidRPr="00CF31E0">
        <w:rPr>
          <w:lang w:eastAsia="zh-CN"/>
        </w:rPr>
        <w:t xml:space="preserve"> did not migrate to the Hijaz region. The reason is straightforwa</w:t>
      </w:r>
      <w:r w:rsidR="008C45DB" w:rsidRPr="00CF31E0">
        <w:rPr>
          <w:lang w:eastAsia="zh-CN"/>
        </w:rPr>
        <w:t>rd and clear, that is, all Gulf</w:t>
      </w:r>
      <w:r w:rsidR="00405789" w:rsidRPr="00CF31E0">
        <w:rPr>
          <w:lang w:eastAsia="zh-CN"/>
        </w:rPr>
        <w:t xml:space="preserve"> countries</w:t>
      </w:r>
      <w:r w:rsidRPr="00CF31E0">
        <w:rPr>
          <w:lang w:eastAsia="zh-CN"/>
        </w:rPr>
        <w:t xml:space="preserve"> and Iraq experienced a similar economic situation to that of SA. According to the head of the data services department at OPEC </w:t>
      </w:r>
      <w:r w:rsidRPr="00CF31E0">
        <w:rPr>
          <w:lang w:eastAsia="zh-CN"/>
        </w:rPr>
        <w:fldChar w:fldCharType="begin"/>
      </w:r>
      <w:r w:rsidRPr="00CF31E0">
        <w:rPr>
          <w:lang w:eastAsia="zh-CN"/>
        </w:rPr>
        <w:instrText xml:space="preserve"> ADDIN ZOTERO_ITEM CSL_CITATION {"citationID":"Lvc4FY5J","properties":{"formattedCitation":"(Zayer, 2007)","plainCitation":"(Zayer, 2007)","noteIndex":0},"citationItems":[{"id":488,"uris":["http://zotero.org/users/1939618/items/BLGI7TFE"],"uri":["http://zotero.org/users/1939618/items/BLGI7TFE"],"itemData":{"id":488,"type":"article-journal","title":"Annual Statistical Bulletin 2006","page":"27","source":"Zotero","language":"en","author":[{"family":"Zayer","given":"Fuad Al"}],"issued":{"date-parts":[["2007"]]}}}],"schema":"https://github.com/citation-style-language/schema/raw/master/csl-citation.json"} </w:instrText>
      </w:r>
      <w:r w:rsidRPr="00CF31E0">
        <w:rPr>
          <w:lang w:eastAsia="zh-CN"/>
        </w:rPr>
        <w:fldChar w:fldCharType="separate"/>
      </w:r>
      <w:r w:rsidRPr="00CF31E0">
        <w:rPr>
          <w:noProof/>
          <w:lang w:eastAsia="zh-CN"/>
        </w:rPr>
        <w:t>(</w:t>
      </w:r>
      <w:r w:rsidR="004953E1" w:rsidRPr="00CF31E0">
        <w:rPr>
          <w:noProof/>
          <w:lang w:eastAsia="zh-CN"/>
        </w:rPr>
        <w:t>Al-</w:t>
      </w:r>
      <w:r w:rsidRPr="00CF31E0">
        <w:rPr>
          <w:noProof/>
          <w:lang w:eastAsia="zh-CN"/>
        </w:rPr>
        <w:t>Zayer, 2007)</w:t>
      </w:r>
      <w:r w:rsidRPr="00CF31E0">
        <w:rPr>
          <w:lang w:eastAsia="zh-CN"/>
        </w:rPr>
        <w:fldChar w:fldCharType="end"/>
      </w:r>
      <w:r w:rsidRPr="00CF31E0">
        <w:rPr>
          <w:lang w:eastAsia="zh-CN"/>
        </w:rPr>
        <w:t xml:space="preserve">, SA along with Iraq and the Gulf </w:t>
      </w:r>
      <w:r w:rsidR="00405789" w:rsidRPr="00CF31E0">
        <w:rPr>
          <w:lang w:eastAsia="zh-CN"/>
        </w:rPr>
        <w:t>countr</w:t>
      </w:r>
      <w:r w:rsidRPr="00CF31E0">
        <w:rPr>
          <w:lang w:eastAsia="zh-CN"/>
        </w:rPr>
        <w:t xml:space="preserve">ies hold a considerable amount of the world’s oil reserves. Therefore, similar to the situation in SA, I would assume that citizens in these </w:t>
      </w:r>
      <w:r w:rsidR="00405789" w:rsidRPr="00CF31E0">
        <w:rPr>
          <w:lang w:eastAsia="zh-CN"/>
        </w:rPr>
        <w:t>countries</w:t>
      </w:r>
      <w:r w:rsidRPr="00CF31E0">
        <w:rPr>
          <w:lang w:eastAsia="zh-CN"/>
        </w:rPr>
        <w:t xml:space="preserve"> benefitted from and served t</w:t>
      </w:r>
      <w:r w:rsidR="008C45DB" w:rsidRPr="00CF31E0">
        <w:rPr>
          <w:lang w:eastAsia="zh-CN"/>
        </w:rPr>
        <w:t>he development process in their</w:t>
      </w:r>
      <w:r w:rsidR="00405789" w:rsidRPr="00CF31E0">
        <w:rPr>
          <w:lang w:eastAsia="zh-CN"/>
        </w:rPr>
        <w:t xml:space="preserve"> countr</w:t>
      </w:r>
      <w:r w:rsidRPr="00CF31E0">
        <w:rPr>
          <w:lang w:eastAsia="zh-CN"/>
        </w:rPr>
        <w:t xml:space="preserve">ies. </w:t>
      </w:r>
    </w:p>
    <w:p w14:paraId="7D67711F" w14:textId="17A5C413" w:rsidR="00A23C2A" w:rsidRPr="00CF31E0" w:rsidRDefault="00A23C2A" w:rsidP="00603CB7">
      <w:pPr>
        <w:pStyle w:val="Paragraph"/>
        <w:rPr>
          <w:lang w:eastAsia="zh-CN"/>
        </w:rPr>
      </w:pPr>
      <w:r w:rsidRPr="00CF31E0">
        <w:rPr>
          <w:lang w:eastAsia="zh-CN"/>
        </w:rPr>
        <w:t xml:space="preserve">The results revealed a very significant pattern in which the Egyptian dialect was chosen as the most similar dialect to the HH dialect by 204 participants, and when other Arabic dialects were chosen, the Egyptian dialect was selected in combination with them. A possible interpretation for this result is that it might be the case that the majority of settlers in Hijaz are </w:t>
      </w:r>
      <w:r w:rsidR="00F373D8" w:rsidRPr="00CF31E0">
        <w:rPr>
          <w:lang w:eastAsia="zh-CN"/>
        </w:rPr>
        <w:t xml:space="preserve">of </w:t>
      </w:r>
      <w:r w:rsidRPr="00CF31E0">
        <w:rPr>
          <w:lang w:eastAsia="zh-CN"/>
        </w:rPr>
        <w:t xml:space="preserve">Egyptian origin, although statistically there is a clear lack of census/official figures of Hijaz settlers. </w:t>
      </w:r>
      <w:r w:rsidRPr="00CF31E0">
        <w:rPr>
          <w:lang w:eastAsia="zh-CN"/>
        </w:rPr>
        <w:fldChar w:fldCharType="begin"/>
      </w:r>
      <w:r w:rsidRPr="00CF31E0">
        <w:rPr>
          <w:lang w:eastAsia="zh-CN"/>
        </w:rPr>
        <w:instrText xml:space="preserve"> ADDIN ZOTERO_ITEM CSL_CITATION {"citationID":"4XRQgaap","properties":{"formattedCitation":"(Sell, 1988)","plainCitation":"(Sell, 1988)","noteIndex":0},"citationItems":[{"id":486,"uris":["http://zotero.org/users/1939618/items/VZEF3EKW"],"uri":["http://zotero.org/users/1939618/items/VZEF3EKW"],"itemData":{"id":486,"type":"article-journal","title":"Egyptian International Labor Migration and Social Processes: Toward Regional Integration","container-title":"The International Migration Review","page":"87–108","volume":"22","issue":"3","source":"find.shef.ac.uk","abstract":"This article reviews evidence that contemporary Egyptian international labor migration to oil-rich Arab countries has followed a classic social process which starts with a homo economicus phase, advances into a goal reorientation phase, and ends with the establishment of diaspora communities in destination societies. The history of Egyptian migration, current estimates of migration, the role of Egyptians in selected Arab countries, and emergent processes all were found to support the predictions of the social process model. Particularly important support comes from the finding that all social classes participated in this migration. Conclusions suggest the likelihood that Egyptian migration processes will promote economic and perhaps social integration in the region.","DOI":"10.2307/2546586","ISSN":"0197-9183","shortTitle":"Egyptian International Labor Migration and Social Processes","language":"eng","author":[{"family":"Sell","given":"Ralph R."}],"issued":{"date-parts":[["1988",10,1]]}}}],"schema":"https://github.com/citation-style-language/schema/raw/master/csl-citation.json"} </w:instrText>
      </w:r>
      <w:r w:rsidRPr="00CF31E0">
        <w:rPr>
          <w:lang w:eastAsia="zh-CN"/>
        </w:rPr>
        <w:fldChar w:fldCharType="separate"/>
      </w:r>
      <w:r w:rsidRPr="00CF31E0">
        <w:rPr>
          <w:noProof/>
          <w:lang w:eastAsia="zh-CN"/>
        </w:rPr>
        <w:t>Sell (1988)</w:t>
      </w:r>
      <w:r w:rsidRPr="00CF31E0">
        <w:rPr>
          <w:lang w:eastAsia="zh-CN"/>
        </w:rPr>
        <w:fldChar w:fldCharType="end"/>
      </w:r>
      <w:r w:rsidRPr="00CF31E0">
        <w:rPr>
          <w:lang w:eastAsia="zh-CN"/>
        </w:rPr>
        <w:t xml:space="preserve"> attributed the high number of Egyptian migrants to other </w:t>
      </w:r>
      <w:r w:rsidR="007D397F" w:rsidRPr="00CF31E0">
        <w:rPr>
          <w:lang w:eastAsia="zh-CN"/>
        </w:rPr>
        <w:t>countries to the fact that the count</w:t>
      </w:r>
      <w:r w:rsidRPr="00CF31E0">
        <w:rPr>
          <w:lang w:eastAsia="zh-CN"/>
        </w:rPr>
        <w:t>ry is overpopulated,</w:t>
      </w:r>
      <w:r w:rsidRPr="00B9622D">
        <w:rPr>
          <w:rStyle w:val="FootnoteReference"/>
        </w:rPr>
        <w:footnoteReference w:id="15"/>
      </w:r>
      <w:r w:rsidRPr="00CF31E0">
        <w:rPr>
          <w:lang w:eastAsia="zh-CN"/>
        </w:rPr>
        <w:t xml:space="preserve"> and the gov</w:t>
      </w:r>
      <w:r w:rsidR="007D397F" w:rsidRPr="00CF31E0">
        <w:rPr>
          <w:lang w:eastAsia="zh-CN"/>
        </w:rPr>
        <w:t>ernment’s failure to fulfil the count</w:t>
      </w:r>
      <w:r w:rsidRPr="00CF31E0">
        <w:rPr>
          <w:lang w:eastAsia="zh-CN"/>
        </w:rPr>
        <w:t>ry’s employment needs. Therefore, Egyptians seek migration predominantly to find jobs. In 1982, according to the Ministry of Foreign Affairs in Egypt</w:t>
      </w:r>
      <w:r w:rsidR="005C2CC0" w:rsidRPr="00CF31E0">
        <w:rPr>
          <w:lang w:eastAsia="zh-CN"/>
        </w:rPr>
        <w:t xml:space="preserve"> in (</w:t>
      </w:r>
      <w:r w:rsidR="005C2CC0" w:rsidRPr="00CF31E0">
        <w:rPr>
          <w:lang w:eastAsia="zh-CN"/>
        </w:rPr>
        <w:fldChar w:fldCharType="begin"/>
      </w:r>
      <w:r w:rsidR="005C2CC0" w:rsidRPr="00CF31E0">
        <w:rPr>
          <w:lang w:eastAsia="zh-CN"/>
        </w:rPr>
        <w:instrText xml:space="preserve"> ADDIN ZOTERO_ITEM CSL_CITATION {"citationID":"4XRQgaap","properties":{"formattedCitation":"(Sell, 1988)","plainCitation":"(Sell, 1988)","noteIndex":0},"citationItems":[{"id":486,"uris":["http://zotero.org/users/1939618/items/VZEF3EKW"],"uri":["http://zotero.org/users/1939618/items/VZEF3EKW"],"itemData":{"id":486,"type":"article-journal","title":"Egyptian International Labor Migration and Social Processes: Toward Regional Integration","container-title":"The International Migration Review","page":"87–108","volume":"22","issue":"3","source":"find.shef.ac.uk","abstract":"This article reviews evidence that contemporary Egyptian international labor migration to oil-rich Arab countries has followed a classic social process which starts with a homo economicus phase, advances into a goal reorientation phase, and ends with the establishment of diaspora communities in destination societies. The history of Egyptian migration, current estimates of migration, the role of Egyptians in selected Arab countries, and emergent processes all were found to support the predictions of the social process model. Particularly important support comes from the finding that all social classes participated in this migration. Conclusions suggest the likelihood that Egyptian migration processes will promote economic and perhaps social integration in the region.","DOI":"10.2307/2546586","ISSN":"0197-9183","shortTitle":"Egyptian International Labor Migration and Social Processes","language":"eng","author":[{"family":"Sell","given":"Ralph R."}],"issued":{"date-parts":[["1988",10,1]]}}}],"schema":"https://github.com/citation-style-language/schema/raw/master/csl-citation.json"} </w:instrText>
      </w:r>
      <w:r w:rsidR="005C2CC0" w:rsidRPr="00CF31E0">
        <w:rPr>
          <w:lang w:eastAsia="zh-CN"/>
        </w:rPr>
        <w:fldChar w:fldCharType="separate"/>
      </w:r>
      <w:r w:rsidR="005C2CC0" w:rsidRPr="00CF31E0">
        <w:rPr>
          <w:noProof/>
          <w:lang w:eastAsia="zh-CN"/>
        </w:rPr>
        <w:t>Sell, 1988)</w:t>
      </w:r>
      <w:r w:rsidR="005C2CC0" w:rsidRPr="00CF31E0">
        <w:rPr>
          <w:lang w:eastAsia="zh-CN"/>
        </w:rPr>
        <w:fldChar w:fldCharType="end"/>
      </w:r>
      <w:r w:rsidRPr="00CF31E0">
        <w:rPr>
          <w:lang w:eastAsia="zh-CN"/>
        </w:rPr>
        <w:t xml:space="preserve">, the majority of Egyptian migrants chose rich Arab </w:t>
      </w:r>
      <w:r w:rsidR="007D397F" w:rsidRPr="00CF31E0">
        <w:rPr>
          <w:lang w:eastAsia="zh-CN"/>
        </w:rPr>
        <w:t>count</w:t>
      </w:r>
      <w:r w:rsidRPr="00CF31E0">
        <w:rPr>
          <w:lang w:eastAsia="zh-CN"/>
        </w:rPr>
        <w:t xml:space="preserve">ries as their main destination. Regarding the oil-rich Arab </w:t>
      </w:r>
      <w:r w:rsidR="007D397F" w:rsidRPr="00CF31E0">
        <w:rPr>
          <w:lang w:eastAsia="zh-CN"/>
        </w:rPr>
        <w:t>count</w:t>
      </w:r>
      <w:r w:rsidRPr="00CF31E0">
        <w:rPr>
          <w:lang w:eastAsia="zh-CN"/>
        </w:rPr>
        <w:t xml:space="preserve">ries, according to CIA, Saudi Arabia, Iraq and Kuwait are among the top ten oil-producing </w:t>
      </w:r>
      <w:r w:rsidR="007D397F" w:rsidRPr="00CF31E0">
        <w:rPr>
          <w:lang w:eastAsia="zh-CN"/>
        </w:rPr>
        <w:t>count</w:t>
      </w:r>
      <w:r w:rsidRPr="00CF31E0">
        <w:rPr>
          <w:lang w:eastAsia="zh-CN"/>
        </w:rPr>
        <w:t xml:space="preserve">ries, see </w:t>
      </w:r>
      <w:r w:rsidR="00353D20" w:rsidRPr="00CF31E0">
        <w:rPr>
          <w:lang w:eastAsia="zh-CN"/>
        </w:rPr>
        <w:t>T</w:t>
      </w:r>
      <w:r w:rsidRPr="00CF31E0">
        <w:rPr>
          <w:lang w:eastAsia="zh-CN"/>
        </w:rPr>
        <w:t xml:space="preserve">able </w:t>
      </w:r>
      <w:r w:rsidR="00730917" w:rsidRPr="00CF31E0">
        <w:rPr>
          <w:lang w:eastAsia="zh-CN"/>
        </w:rPr>
        <w:t>2</w:t>
      </w:r>
      <w:r w:rsidR="00353D20" w:rsidRPr="00CF31E0">
        <w:rPr>
          <w:lang w:eastAsia="zh-CN"/>
        </w:rPr>
        <w:t>.1</w:t>
      </w:r>
      <w:r w:rsidRPr="00CF31E0">
        <w:rPr>
          <w:lang w:eastAsia="zh-CN"/>
        </w:rPr>
        <w:t xml:space="preserve"> in </w:t>
      </w:r>
      <w:r w:rsidR="00353D20" w:rsidRPr="00CF31E0">
        <w:rPr>
          <w:lang w:eastAsia="zh-CN"/>
        </w:rPr>
        <w:t>C</w:t>
      </w:r>
      <w:r w:rsidRPr="00CF31E0">
        <w:rPr>
          <w:lang w:eastAsia="zh-CN"/>
        </w:rPr>
        <w:t xml:space="preserve">hapter </w:t>
      </w:r>
      <w:r w:rsidR="00730917" w:rsidRPr="00CF31E0">
        <w:rPr>
          <w:lang w:eastAsia="zh-CN"/>
        </w:rPr>
        <w:t>2</w:t>
      </w:r>
      <w:r w:rsidRPr="00CF31E0">
        <w:rPr>
          <w:lang w:eastAsia="zh-CN"/>
        </w:rPr>
        <w:t>. Notwithstanding</w:t>
      </w:r>
      <w:r w:rsidR="00F373D8" w:rsidRPr="00CF31E0">
        <w:rPr>
          <w:lang w:eastAsia="zh-CN"/>
        </w:rPr>
        <w:t xml:space="preserve"> this claim</w:t>
      </w:r>
      <w:r w:rsidRPr="00CF31E0">
        <w:rPr>
          <w:lang w:eastAsia="zh-CN"/>
        </w:rPr>
        <w:t>, I could not find clear statistics on the number of Egyptian migrants who entered SA after the oil boom, although, as I suggested above</w:t>
      </w:r>
      <w:r w:rsidR="00060C92" w:rsidRPr="00CF31E0">
        <w:rPr>
          <w:lang w:eastAsia="zh-CN"/>
        </w:rPr>
        <w:t>,</w:t>
      </w:r>
      <w:r w:rsidRPr="00CF31E0">
        <w:rPr>
          <w:lang w:eastAsia="zh-CN"/>
        </w:rPr>
        <w:t xml:space="preserve"> </w:t>
      </w:r>
      <w:r w:rsidR="00060C92" w:rsidRPr="00CF31E0">
        <w:rPr>
          <w:lang w:eastAsia="zh-CN"/>
        </w:rPr>
        <w:t>a</w:t>
      </w:r>
      <w:r w:rsidRPr="00CF31E0">
        <w:rPr>
          <w:lang w:eastAsia="zh-CN"/>
        </w:rPr>
        <w:t>ccording to the Ministry of Foreign Affairs in Egypt, Egyptian migrants chose SA as one of their top destinations. Thus, it would seem that the majority of migrants to Hijaz are Egyptians; therefore, this group of settlers bestowed the highest proportion of linguistic features on the HH dialect.</w:t>
      </w:r>
    </w:p>
    <w:p w14:paraId="30E42569" w14:textId="4D5FC71F" w:rsidR="00A23C2A" w:rsidRPr="00CF31E0" w:rsidRDefault="00730917" w:rsidP="00E87209">
      <w:pPr>
        <w:pStyle w:val="Ahead"/>
        <w:rPr>
          <w:rFonts w:eastAsia="Times New Roman"/>
        </w:rPr>
      </w:pPr>
      <w:bookmarkStart w:id="532" w:name="_Toc515610183"/>
      <w:bookmarkStart w:id="533" w:name="_Toc515610184"/>
      <w:bookmarkStart w:id="534" w:name="_Toc515610185"/>
      <w:bookmarkStart w:id="535" w:name="_Toc515415562"/>
      <w:bookmarkStart w:id="536" w:name="_Toc515610186"/>
      <w:bookmarkStart w:id="537" w:name="_Toc6472733"/>
      <w:bookmarkEnd w:id="532"/>
      <w:bookmarkEnd w:id="533"/>
      <w:bookmarkEnd w:id="534"/>
      <w:r w:rsidRPr="00CF31E0">
        <w:rPr>
          <w:rFonts w:eastAsia="Times New Roman"/>
        </w:rPr>
        <w:lastRenderedPageBreak/>
        <w:t>8</w:t>
      </w:r>
      <w:r w:rsidR="00060C92" w:rsidRPr="00CF31E0">
        <w:rPr>
          <w:rFonts w:eastAsia="Times New Roman"/>
        </w:rPr>
        <w:t>.6.</w:t>
      </w:r>
      <w:r w:rsidR="001E77DF" w:rsidRPr="00CF31E0">
        <w:rPr>
          <w:rFonts w:eastAsia="Times New Roman"/>
        </w:rPr>
        <w:tab/>
      </w:r>
      <w:r w:rsidR="00A23C2A" w:rsidRPr="00CF31E0">
        <w:rPr>
          <w:rFonts w:eastAsia="Times New Roman"/>
        </w:rPr>
        <w:t>Perceived effects on dialect contact</w:t>
      </w:r>
      <w:bookmarkEnd w:id="535"/>
      <w:bookmarkEnd w:id="536"/>
      <w:bookmarkEnd w:id="537"/>
      <w:r w:rsidR="00A23C2A" w:rsidRPr="00CF31E0">
        <w:rPr>
          <w:rFonts w:eastAsia="Times New Roman"/>
        </w:rPr>
        <w:t xml:space="preserve"> </w:t>
      </w:r>
    </w:p>
    <w:p w14:paraId="3B7C0C74" w14:textId="2FCDA2B9" w:rsidR="00A23C2A" w:rsidRPr="00CF31E0" w:rsidRDefault="00A23C2A" w:rsidP="00603CB7">
      <w:pPr>
        <w:pStyle w:val="Paragraph"/>
        <w:rPr>
          <w:lang w:eastAsia="zh-CN"/>
        </w:rPr>
      </w:pPr>
      <w:r w:rsidRPr="00CF31E0">
        <w:rPr>
          <w:lang w:eastAsia="zh-CN"/>
        </w:rPr>
        <w:t xml:space="preserve">The results revealed a very significant pattern, where </w:t>
      </w:r>
      <w:r w:rsidRPr="00CF31E0">
        <w:rPr>
          <w:lang w:eastAsia="en-US"/>
        </w:rPr>
        <w:t>UBH</w:t>
      </w:r>
      <w:r w:rsidRPr="00CF31E0">
        <w:rPr>
          <w:lang w:eastAsia="zh-CN"/>
        </w:rPr>
        <w:t xml:space="preserve"> speakers were perceived as more likely to speak the HH dialect than HH speakers were perceived to speak the </w:t>
      </w:r>
      <w:r w:rsidRPr="00CF31E0">
        <w:rPr>
          <w:lang w:eastAsia="en-US"/>
        </w:rPr>
        <w:t>UBH</w:t>
      </w:r>
      <w:r w:rsidRPr="00CF31E0">
        <w:rPr>
          <w:lang w:eastAsia="zh-CN"/>
        </w:rPr>
        <w:t xml:space="preserve"> dialect. There are two possible interpretations for </w:t>
      </w:r>
      <w:r w:rsidR="00E43850" w:rsidRPr="00CF31E0">
        <w:rPr>
          <w:lang w:eastAsia="zh-CN"/>
        </w:rPr>
        <w:t>this finding: first, the UBH</w:t>
      </w:r>
      <w:r w:rsidRPr="00CF31E0">
        <w:rPr>
          <w:lang w:eastAsia="zh-CN"/>
        </w:rPr>
        <w:t xml:space="preserve"> participants were perceived to be more likely to be affected by the other dialec</w:t>
      </w:r>
      <w:r w:rsidR="00E43850" w:rsidRPr="00CF31E0">
        <w:rPr>
          <w:lang w:eastAsia="zh-CN"/>
        </w:rPr>
        <w:t>t group. The reason why UBHs</w:t>
      </w:r>
      <w:r w:rsidRPr="00CF31E0">
        <w:rPr>
          <w:lang w:eastAsia="zh-CN"/>
        </w:rPr>
        <w:t xml:space="preserve"> are willing to speak the HH dialect might be due to the modernity of the HH dialect as it is a new and modern dialect in the region. However, we are not yet certain of the characteristics of the HH dialect (the results for both dialect characteristics will be discussed in Chapter </w:t>
      </w:r>
      <w:r w:rsidR="00730917" w:rsidRPr="00CF31E0">
        <w:rPr>
          <w:lang w:eastAsia="zh-CN"/>
        </w:rPr>
        <w:t>10</w:t>
      </w:r>
      <w:r w:rsidRPr="00CF31E0">
        <w:rPr>
          <w:lang w:eastAsia="zh-CN"/>
        </w:rPr>
        <w:t xml:space="preserve">). I would contend that the current results can only be fully understood in conjunction with revealing the perceived characteristics associated with both dialects; therefore, I will revisit this finding in Chapter </w:t>
      </w:r>
      <w:r w:rsidR="00730917" w:rsidRPr="00CF31E0">
        <w:rPr>
          <w:lang w:eastAsia="zh-CN"/>
        </w:rPr>
        <w:t>10</w:t>
      </w:r>
      <w:r w:rsidR="00C92D0B" w:rsidRPr="00CF31E0">
        <w:rPr>
          <w:lang w:eastAsia="zh-CN"/>
        </w:rPr>
        <w:t>, section 10.6</w:t>
      </w:r>
      <w:r w:rsidRPr="00CF31E0">
        <w:rPr>
          <w:lang w:eastAsia="zh-CN"/>
        </w:rPr>
        <w:t>.</w:t>
      </w:r>
    </w:p>
    <w:p w14:paraId="2F7646C1" w14:textId="15731A39" w:rsidR="00A23C2A" w:rsidRPr="00CF31E0" w:rsidRDefault="00A23C2A" w:rsidP="00603CB7">
      <w:pPr>
        <w:pStyle w:val="Paragraph"/>
        <w:rPr>
          <w:lang w:eastAsia="zh-CN"/>
        </w:rPr>
      </w:pPr>
      <w:r w:rsidRPr="00CF31E0">
        <w:rPr>
          <w:lang w:eastAsia="zh-CN"/>
        </w:rPr>
        <w:t xml:space="preserve">Remarkably, Bedouin people in the present study were perceived to speak the HH dialect sometimes, while Ingham’s research (1982, 1986) revealed that members of Bedouin tribes such as Dhafir, Al-Mura and Ajman seemed to be conservative in their dialect features even when they were scattered around Arabia; that is, speakers of Bedouin tribes have not been affected by the dialects of other neighbouring tribes and used </w:t>
      </w:r>
      <w:r w:rsidRPr="00CF31E0">
        <w:rPr>
          <w:lang w:val="en-US" w:eastAsia="en-US"/>
        </w:rPr>
        <w:t xml:space="preserve">linguistic conservatism as a marker of dialect identification. </w:t>
      </w:r>
      <w:r w:rsidR="00CE670C" w:rsidRPr="00CF31E0">
        <w:rPr>
          <w:lang w:val="en-US" w:eastAsia="en-US"/>
        </w:rPr>
        <w:t>However</w:t>
      </w:r>
      <w:r w:rsidRPr="00CF31E0">
        <w:rPr>
          <w:lang w:val="en-US" w:eastAsia="en-US"/>
        </w:rPr>
        <w:t xml:space="preserve">, the evidence from the present study would suggest that Bedouins are nowadays less conservative in their dialects and more open to change than was the case earlier. In other words, it seems that Bedouins are attempting to free their dialect from the inherited genealogy that connects them to their tribe by accepting the adoption of other people’s dialects. </w:t>
      </w:r>
      <w:r w:rsidR="00BD3DC4" w:rsidRPr="00CF31E0">
        <w:rPr>
          <w:lang w:val="en-US" w:eastAsia="en-US"/>
        </w:rPr>
        <w:t>However, the evidence from the present study does not show the nature of the linguistic change the UBH seem to adopt</w:t>
      </w:r>
      <w:r w:rsidR="00826872" w:rsidRPr="00CF31E0">
        <w:rPr>
          <w:lang w:val="en-US" w:eastAsia="en-US"/>
        </w:rPr>
        <w:t xml:space="preserve">: </w:t>
      </w:r>
      <w:r w:rsidR="00BD3DC4" w:rsidRPr="00CF31E0">
        <w:rPr>
          <w:lang w:val="en-US" w:eastAsia="en-US"/>
        </w:rPr>
        <w:t xml:space="preserve">whether they codeswitch in certain situations or whether they style shift whenever appropriate. Therefore, more research on </w:t>
      </w:r>
      <w:r w:rsidR="00C52542" w:rsidRPr="00CF31E0">
        <w:rPr>
          <w:lang w:val="en-US" w:eastAsia="en-US"/>
        </w:rPr>
        <w:t xml:space="preserve">the </w:t>
      </w:r>
      <w:r w:rsidR="00BD3DC4" w:rsidRPr="00CF31E0">
        <w:rPr>
          <w:lang w:val="en-US" w:eastAsia="en-US"/>
        </w:rPr>
        <w:t xml:space="preserve">production of the dialect is needed to reveal whether UBH are bi-dialectal or </w:t>
      </w:r>
      <w:r w:rsidR="00C52542" w:rsidRPr="00CF31E0">
        <w:rPr>
          <w:lang w:val="en-US" w:eastAsia="en-US"/>
        </w:rPr>
        <w:t xml:space="preserve">if </w:t>
      </w:r>
      <w:r w:rsidR="00BD3DC4" w:rsidRPr="00CF31E0">
        <w:rPr>
          <w:lang w:val="en-US" w:eastAsia="en-US"/>
        </w:rPr>
        <w:t xml:space="preserve">they use a mixed dialect. </w:t>
      </w:r>
    </w:p>
    <w:p w14:paraId="67851D52" w14:textId="24BB65F1" w:rsidR="00A23C2A" w:rsidRPr="00CF31E0" w:rsidRDefault="00A23C2A" w:rsidP="00603CB7">
      <w:pPr>
        <w:pStyle w:val="Paragraph"/>
        <w:rPr>
          <w:lang w:val="en-US" w:eastAsia="en-US"/>
        </w:rPr>
      </w:pPr>
      <w:r w:rsidRPr="00CF31E0">
        <w:rPr>
          <w:lang w:val="en-US" w:eastAsia="en-US"/>
        </w:rPr>
        <w:t xml:space="preserve">The other interpretation of this finding relates to the </w:t>
      </w:r>
      <w:r w:rsidR="00FF4DC7" w:rsidRPr="00CF31E0">
        <w:rPr>
          <w:lang w:val="en-US" w:eastAsia="en-US"/>
        </w:rPr>
        <w:t>HH</w:t>
      </w:r>
      <w:r w:rsidRPr="00CF31E0">
        <w:rPr>
          <w:lang w:val="en-US" w:eastAsia="en-US"/>
        </w:rPr>
        <w:t xml:space="preserve"> group demonstrating a strong affiliation to their dialect. It might be the case that </w:t>
      </w:r>
      <w:r w:rsidRPr="00CF31E0">
        <w:rPr>
          <w:lang w:val="en-US" w:eastAsia="en-US"/>
        </w:rPr>
        <w:lastRenderedPageBreak/>
        <w:t xml:space="preserve">this group sees their dialect as part of their culture and identity, which they feel a strong relationship with. Again, a full understanding of the HH dialect culture and identity will be obtained when I discuss the results of perceived dialect characteristics of HH dialect in Chapter </w:t>
      </w:r>
      <w:r w:rsidR="00730917" w:rsidRPr="00CF31E0">
        <w:rPr>
          <w:lang w:val="en-US" w:eastAsia="en-US"/>
        </w:rPr>
        <w:t>10</w:t>
      </w:r>
      <w:r w:rsidR="00C92D0B" w:rsidRPr="00CF31E0">
        <w:rPr>
          <w:lang w:val="en-US" w:eastAsia="en-US"/>
        </w:rPr>
        <w:t>, section 10.6.</w:t>
      </w:r>
      <w:r w:rsidRPr="00CF31E0">
        <w:rPr>
          <w:lang w:val="en-US" w:eastAsia="en-US"/>
        </w:rPr>
        <w:t xml:space="preserve"> In line with the present study, </w:t>
      </w:r>
      <w:r w:rsidRPr="00CF31E0">
        <w:rPr>
          <w:lang w:val="en-US" w:eastAsia="en-US"/>
        </w:rPr>
        <w:fldChar w:fldCharType="begin"/>
      </w:r>
      <w:r w:rsidRPr="00CF31E0">
        <w:rPr>
          <w:lang w:val="en-US" w:eastAsia="en-US"/>
        </w:rPr>
        <w:instrText xml:space="preserve"> ADDIN ZOTERO_ITEM CSL_CITATION {"citationID":"PeMG6IrU","properties":{"formattedCitation":"(Alahmadi, 2016)","plainCitation":"(Alahmadi, 2016)","dontUpdate":true,"noteIndex":0},"citationItems":[{"id":470,"uris":["http://zotero.org/users/1939618/items/65KMBJ76"],"uri":["http://zotero.org/users/1939618/items/65KMBJ76"],"itemData":{"id":470,"type":"article-journal","title":"Insight into the Attitudes of Speakers of Urban Meccan Hijazi Arabic towards their Dialect","container-title":"Advances in Language and Literary Studies","page":"249-256","volume":"7","source":"ResearchGate","DOI":"10.7575/aiac.alls.v.7n.2p.249","author":[{"family":"Alahmadi","given":"Sameeha"}],"issued":{"date-parts":[["2016",4,1]]}}}],"schema":"https://github.com/citation-style-language/schema/raw/master/csl-citation.json"} </w:instrText>
      </w:r>
      <w:r w:rsidRPr="00CF31E0">
        <w:rPr>
          <w:lang w:val="en-US" w:eastAsia="en-US"/>
        </w:rPr>
        <w:fldChar w:fldCharType="separate"/>
      </w:r>
      <w:r w:rsidRPr="00CF31E0">
        <w:rPr>
          <w:noProof/>
          <w:lang w:val="en-US" w:eastAsia="en-US"/>
        </w:rPr>
        <w:t>Alahmadi (2016)</w:t>
      </w:r>
      <w:r w:rsidRPr="00CF31E0">
        <w:rPr>
          <w:lang w:val="en-US" w:eastAsia="en-US"/>
        </w:rPr>
        <w:fldChar w:fldCharType="end"/>
      </w:r>
      <w:r w:rsidRPr="00CF31E0">
        <w:rPr>
          <w:lang w:val="en-US" w:eastAsia="en-US"/>
        </w:rPr>
        <w:t xml:space="preserve"> conducted an attitudinal study on the </w:t>
      </w:r>
      <w:r w:rsidR="00D30B2F">
        <w:rPr>
          <w:lang w:val="en-US" w:eastAsia="en-US"/>
        </w:rPr>
        <w:t>Makkan</w:t>
      </w:r>
      <w:r w:rsidRPr="00CF31E0">
        <w:rPr>
          <w:lang w:val="en-US" w:eastAsia="en-US"/>
        </w:rPr>
        <w:t xml:space="preserve"> HH dialect, and her results showed a very similar pattern whereby </w:t>
      </w:r>
      <w:r w:rsidR="00D30B2F">
        <w:rPr>
          <w:lang w:val="en-US" w:eastAsia="en-US"/>
        </w:rPr>
        <w:t>Makkan</w:t>
      </w:r>
      <w:r w:rsidRPr="00CF31E0">
        <w:rPr>
          <w:lang w:val="en-US" w:eastAsia="en-US"/>
        </w:rPr>
        <w:t xml:space="preserve"> HH participants showed “their desire to use and preserve their dialect” (p. 253). Furthermore, one of the interesting results in Alahmadi’s work is that </w:t>
      </w:r>
      <w:r w:rsidR="00D30B2F">
        <w:rPr>
          <w:lang w:val="en-US" w:eastAsia="en-US"/>
        </w:rPr>
        <w:t>Makkan</w:t>
      </w:r>
      <w:r w:rsidRPr="00CF31E0">
        <w:rPr>
          <w:lang w:val="en-US" w:eastAsia="en-US"/>
        </w:rPr>
        <w:t xml:space="preserve"> </w:t>
      </w:r>
      <w:r w:rsidR="00FF4DC7" w:rsidRPr="00CF31E0">
        <w:rPr>
          <w:lang w:val="en-US" w:eastAsia="en-US"/>
        </w:rPr>
        <w:t>HH</w:t>
      </w:r>
      <w:r w:rsidRPr="00CF31E0">
        <w:rPr>
          <w:lang w:val="en-US" w:eastAsia="en-US"/>
        </w:rPr>
        <w:t xml:space="preserve"> participants attributed the rise of the HH dialect to its culture, which seems to be the reason why participants in the present study are not affected by </w:t>
      </w:r>
      <w:r w:rsidR="00E43850" w:rsidRPr="00CF31E0">
        <w:rPr>
          <w:lang w:val="en-US" w:eastAsia="en-US"/>
        </w:rPr>
        <w:t>dialect contact with the UBH</w:t>
      </w:r>
      <w:r w:rsidRPr="00CF31E0">
        <w:rPr>
          <w:lang w:val="en-US" w:eastAsia="en-US"/>
        </w:rPr>
        <w:t xml:space="preserve"> group. </w:t>
      </w:r>
    </w:p>
    <w:p w14:paraId="64C09078" w14:textId="546220C6" w:rsidR="00A23C2A" w:rsidRPr="00CF31E0" w:rsidRDefault="00730917" w:rsidP="00E87209">
      <w:pPr>
        <w:pStyle w:val="Ahead"/>
        <w:rPr>
          <w:rFonts w:eastAsia="Times New Roman"/>
        </w:rPr>
      </w:pPr>
      <w:bookmarkStart w:id="538" w:name="_Toc515415563"/>
      <w:bookmarkStart w:id="539" w:name="_Toc515610187"/>
      <w:bookmarkStart w:id="540" w:name="_Toc6472734"/>
      <w:r w:rsidRPr="00CF31E0">
        <w:rPr>
          <w:rFonts w:eastAsia="Times New Roman"/>
        </w:rPr>
        <w:t>8</w:t>
      </w:r>
      <w:r w:rsidR="00060C92" w:rsidRPr="00CF31E0">
        <w:rPr>
          <w:rFonts w:eastAsia="Times New Roman"/>
        </w:rPr>
        <w:t>.7.</w:t>
      </w:r>
      <w:r w:rsidR="001E77DF" w:rsidRPr="00CF31E0">
        <w:rPr>
          <w:rFonts w:eastAsia="Times New Roman"/>
        </w:rPr>
        <w:tab/>
      </w:r>
      <w:r w:rsidR="00A23C2A" w:rsidRPr="00CF31E0">
        <w:rPr>
          <w:rFonts w:eastAsia="Times New Roman"/>
        </w:rPr>
        <w:t>Intermarriage between the two social groups</w:t>
      </w:r>
      <w:bookmarkEnd w:id="538"/>
      <w:bookmarkEnd w:id="539"/>
      <w:bookmarkEnd w:id="540"/>
    </w:p>
    <w:p w14:paraId="4A734234" w14:textId="364C208F" w:rsidR="00A23C2A" w:rsidRPr="00CF31E0" w:rsidRDefault="00A23C2A" w:rsidP="00603CB7">
      <w:pPr>
        <w:pStyle w:val="Paragraph"/>
        <w:rPr>
          <w:lang w:eastAsia="zh-CN"/>
        </w:rPr>
      </w:pPr>
      <w:r w:rsidRPr="00CF31E0">
        <w:rPr>
          <w:lang w:eastAsia="zh-CN"/>
        </w:rPr>
        <w:t>Intermarriage between the two social groups was mostly perceived to have occurred in recent years, but what is especially interesting is that intermarriage is perceived to be much</w:t>
      </w:r>
      <w:r w:rsidR="008C40FD" w:rsidRPr="00CF31E0">
        <w:rPr>
          <w:lang w:eastAsia="zh-CN"/>
        </w:rPr>
        <w:t xml:space="preserve"> more acceptable among the HH group than the UBH</w:t>
      </w:r>
      <w:r w:rsidRPr="00CF31E0">
        <w:rPr>
          <w:lang w:eastAsia="zh-CN"/>
        </w:rPr>
        <w:t xml:space="preserve"> group. Regarding the occurrence of intermarriage in recent years, I would argue that this is an</w:t>
      </w:r>
      <w:r w:rsidR="008C40FD" w:rsidRPr="00CF31E0">
        <w:rPr>
          <w:lang w:eastAsia="zh-CN"/>
        </w:rPr>
        <w:t xml:space="preserve"> expected finding as the UBH</w:t>
      </w:r>
      <w:r w:rsidRPr="00CF31E0">
        <w:rPr>
          <w:lang w:eastAsia="zh-CN"/>
        </w:rPr>
        <w:t xml:space="preserve"> society is conservative across the whole Arabian Peninsula, and the issue of retaining and maintaining genealogy is a dominant aspect of Bedouins’ beliefs </w:t>
      </w:r>
      <w:r w:rsidRPr="00CF31E0">
        <w:rPr>
          <w:lang w:eastAsia="zh-CN"/>
        </w:rPr>
        <w:fldChar w:fldCharType="begin"/>
      </w:r>
      <w:r w:rsidRPr="00CF31E0">
        <w:rPr>
          <w:lang w:eastAsia="zh-CN"/>
        </w:rPr>
        <w:instrText xml:space="preserve"> ADDIN ZOTERO_ITEM CSL_CITATION {"citationID":"ikCGkvss","properties":{"formattedCitation":"(Ingham, 1986; Nahedh, 1989)","plainCitation":"(Ingham, 1986; Nahedh, 1989)","noteIndex":0},"citationItems":[{"id":135,"uris":["http://zotero.org/users/1939618/items/7KBX4XWK"],"uri":["http://zotero.org/users/1939618/items/7KBX4XWK"],"itemData":{"id":135,"type":"article-journal","title":"Notes on the dialect of the Āl Murra of eastern and southern Arabia","container-title":"Bulletin of the School of Oriental and African Studies","page":"271–291","volume":"49","issue":"02","source":"Google Scholar","author":[{"family":"Ingham","given":"Bruce"}],"issued":{"date-parts":[["1986"]]}},"label":"page"},{"id":515,"uris":["http://zotero.org/users/1939618/items/J2X24F6B"],"uri":["http://zotero.org/users/1939618/items/J2X24F6B"],"itemData":{"id":515,"type":"thesis","title":"THE SEDENTARIZATION OF A BEDOUIN COMMUNITY IN SAUDI ARABIA","publisher":"University of Leeds","source":"Zotero","abstract":"This thesis examines the sedentarization of bedouin nomads in Saudi Arabia: partly in general, but mostly focussing on a particular region (Sajir) which was studied in the field.","language":"en","author":[{"family":"Nahedh","given":"Monera"}],"issued":{"date-parts":[["1989"]]}},"label":"page"}],"schema":"https://github.com/citation-style-language/schema/raw/master/csl-citation.json"} </w:instrText>
      </w:r>
      <w:r w:rsidRPr="00CF31E0">
        <w:rPr>
          <w:lang w:eastAsia="zh-CN"/>
        </w:rPr>
        <w:fldChar w:fldCharType="separate"/>
      </w:r>
      <w:r w:rsidRPr="00CF31E0">
        <w:rPr>
          <w:noProof/>
          <w:lang w:eastAsia="zh-CN"/>
        </w:rPr>
        <w:t>(Ingham, 1986; Nahedh, 1989)</w:t>
      </w:r>
      <w:r w:rsidRPr="00CF31E0">
        <w:rPr>
          <w:lang w:eastAsia="zh-CN"/>
        </w:rPr>
        <w:fldChar w:fldCharType="end"/>
      </w:r>
      <w:r w:rsidRPr="00CF31E0">
        <w:rPr>
          <w:lang w:eastAsia="zh-CN"/>
        </w:rPr>
        <w:t xml:space="preserve">. To put it another way, the only way in which tribes can prosper and endure is through marriage with other tribal members to maintain the same genealogy, otherwise the tribe cannot retain its genealogical ties. Therefore, it can be understood why it took a long time for intermarriage to occur, since it was not easy for a conservative society such as the Saudi one to change unless the change happened gradually and over time. </w:t>
      </w:r>
    </w:p>
    <w:p w14:paraId="6378F4CA" w14:textId="1EC6302D" w:rsidR="003F45E8" w:rsidRPr="00CF31E0" w:rsidRDefault="00A23C2A" w:rsidP="00603CB7">
      <w:pPr>
        <w:pStyle w:val="Paragraph"/>
        <w:rPr>
          <w:lang w:eastAsia="zh-CN"/>
        </w:rPr>
      </w:pPr>
      <w:r w:rsidRPr="00CF31E0">
        <w:rPr>
          <w:lang w:eastAsia="zh-CN"/>
        </w:rPr>
        <w:t>I will now turn to discuss the intermarriage finding in relation to the result discussed above about perceptions of dialect c</w:t>
      </w:r>
      <w:r w:rsidR="008C40FD" w:rsidRPr="00CF31E0">
        <w:rPr>
          <w:lang w:eastAsia="zh-CN"/>
        </w:rPr>
        <w:t>ontact. First, the UBH group</w:t>
      </w:r>
      <w:r w:rsidRPr="00CF31E0">
        <w:rPr>
          <w:lang w:eastAsia="zh-CN"/>
        </w:rPr>
        <w:t xml:space="preserve"> was perceived to be adopting the HH dialect sometimes, while at the same time rejecting intermarria</w:t>
      </w:r>
      <w:r w:rsidR="008C40FD" w:rsidRPr="00CF31E0">
        <w:rPr>
          <w:lang w:eastAsia="zh-CN"/>
        </w:rPr>
        <w:t>ge with them. Second, the HH</w:t>
      </w:r>
      <w:r w:rsidRPr="00CF31E0">
        <w:rPr>
          <w:lang w:eastAsia="zh-CN"/>
        </w:rPr>
        <w:t xml:space="preserve"> group was perceived to be rejecting adoption of the UBH dialect, while they are </w:t>
      </w:r>
      <w:r w:rsidRPr="00CF31E0">
        <w:rPr>
          <w:lang w:eastAsia="zh-CN"/>
        </w:rPr>
        <w:lastRenderedPageBreak/>
        <w:t>we</w:t>
      </w:r>
      <w:r w:rsidR="008C40FD" w:rsidRPr="00CF31E0">
        <w:rPr>
          <w:lang w:eastAsia="zh-CN"/>
        </w:rPr>
        <w:t>lcome to intermarry with UBH</w:t>
      </w:r>
      <w:r w:rsidRPr="00CF31E0">
        <w:rPr>
          <w:lang w:eastAsia="zh-CN"/>
        </w:rPr>
        <w:t xml:space="preserve"> members. These findings seem to contradict the findings regarding language contact. The most likely explanation for such a contradi</w:t>
      </w:r>
      <w:r w:rsidR="008C40FD" w:rsidRPr="00CF31E0">
        <w:rPr>
          <w:lang w:eastAsia="zh-CN"/>
        </w:rPr>
        <w:t>ctory result is that the UBH</w:t>
      </w:r>
      <w:r w:rsidRPr="00CF31E0">
        <w:rPr>
          <w:lang w:eastAsia="zh-CN"/>
        </w:rPr>
        <w:t xml:space="preserve"> group have attempted to modernize their lifestyle by speaking a new city dialect (i.e. the HH dialect) but at the same time they want to retain their traditional identity by maintaining their genealogy with other tribal membe</w:t>
      </w:r>
      <w:r w:rsidR="008C40FD" w:rsidRPr="00CF31E0">
        <w:rPr>
          <w:lang w:eastAsia="zh-CN"/>
        </w:rPr>
        <w:t>rs. This might mean that UBH</w:t>
      </w:r>
      <w:r w:rsidRPr="00CF31E0">
        <w:rPr>
          <w:lang w:eastAsia="zh-CN"/>
        </w:rPr>
        <w:t xml:space="preserve">s start to separate their dialect from the genealogical issues they were preoccupied with in the past; that is, the dialect might not be regarded as an identity marker of their genealogy. This contrasts with past studies conducted by </w:t>
      </w:r>
      <w:r w:rsidRPr="00CF31E0">
        <w:rPr>
          <w:lang w:eastAsia="zh-CN"/>
        </w:rPr>
        <w:fldChar w:fldCharType="begin"/>
      </w:r>
      <w:r w:rsidRPr="00CF31E0">
        <w:rPr>
          <w:lang w:eastAsia="zh-CN"/>
        </w:rPr>
        <w:instrText xml:space="preserve"> ADDIN ZOTERO_ITEM CSL_CITATION {"citationID":"52i5rwej","properties":{"formattedCitation":"(Al-Hazmy, 1975; El Salman, 2016; Ingham, 1982, 1986)","plainCitation":"(Al-Hazmy, 1975; El Salman, 2016; Ingham, 1982, 1986)","dontUpdate":true,"noteIndex":0},"citationItems":[{"id":16,"uris":["http://zotero.org/users/1939618/items/HV4G7JNU"],"uri":["http://zotero.org/users/1939618/items/HV4G7JNU"],"itemData":{"id":16,"type":"thesis","title":"A critical and comparative study of the spoken dialect of the harb tribe in Saudi Arabia","publisher":"University of Leeds","source":"Google Scholar","URL":"http://etheses.whiterose.ac.uk/916/1/uk_bl_ethos_510015.pdf","author":[{"family":"Al-Hazmy","given":"Alayan Mohammed"}],"issued":{"date-parts":[["1975"]]},"accessed":{"date-parts":[["2014",6,4]]}},"label":"page"},{"id":473,"uris":["http://zotero.org/users/1939618/items/5M365W26"],"uri":["http://zotero.org/users/1939618/items/5M365W26"],"itemData":{"id":473,"type":"article-journal","title":"The Linguistic and Social Aspects of the Bedouin Dialect","container-title":"Advances in Language and Literary Studies","page":"20-24","volume":"7","issue":"4","source":"www.journals.aiac.org.au","abstract":"This is a sociolinguistic study that tries to investigate the peculiarity of the Bedouin dialect regardless of the place where it is used. Some variants that are used in their dialect are used wherever they are from. Two sounds in particular were chosen to carry out this study. These are the /ʤ/ variant of the (Q) variable, and the /ts/ variant of the (K) variable. The study shows that some sounds that are known to be exclusively used by Bedouins, are still used by the old Bedouins wherever they live. For example, Old informants from Jordan used the /ts/ variant within the tribe domains, and the old informants from other tribes living in Saudi Arabia used it as well. This is also seen with regard to the /ʤ/ sound.  The /ʤ/ is used also in relatively high percentage in the speech of the old in Jordan and Saudi Arabia. This shows that belonging to the Bedouin group per se, is what matters in determining the sound used regardless of the region to which one belongs. Unlike the rural people who might use the different alternates of the (Q) variable depending on the region to which they belong, for example, [k] is used in some parts of Palestine while [q] is used in other parts like Tirat Haifa village in the northern part of Palestine. Bedouins are consistent in using the [g] variant or the /ʤ/ of the (Q) variable regardless of the area where they live. In other words, the two sounds appear in the dialects of the Bedouins whether they live in Jordan or Saudi Arabia.  This raises the possibility that their sharing the same culture (being Bedouins) leads to their sharing these linguistic features. Part of their culture is belonging to their tribes as they are traditionally divided into tribes. The dialect of the tribe remains important where ever they are.Keywords. Linguistic variation, variant","ISSN":"2203-4714","language":"en-US","author":[{"family":"El Salman","given":"Mahmoud"}],"issued":{"date-parts":[["2016",8,1]]}},"label":"page"},{"id":133,"uris":["http://zotero.org/users/1939618/items/RNWI55AQ"],"uri":["http://zotero.org/users/1939618/items/RNWI55AQ"],"itemData":{"id":133,"type":"article-journal","title":"Notes on the dialect of the Ḍhafr of north-eastern Arabia","container-title":"Bulletin of the School of Oriental and African Studies","page":"245–259","volume":"45","issue":"02","source":"Google Scholar","author":[{"family":"Ingham","given":"Bruce"}],"issued":{"date-parts":[["1982"]]}},"label":"page"},{"id":135,"uris":["http://zotero.org/users/1939618/items/7KBX4XWK"],"uri":["http://zotero.org/users/1939618/items/7KBX4XWK"],"itemData":{"id":135,"type":"article-journal","title":"Notes on the dialect of the Āl Murra of eastern and southern Arabia","container-title":"Bulletin of the School of Oriental and African Studies","page":"271–291","volume":"49","issue":"02","source":"Google Scholar","author":[{"family":"Ingham","given":"Bruce"}],"issued":{"date-parts":[["1986"]]}},"label":"page"}],"schema":"https://github.com/citation-style-language/schema/raw/master/csl-citation.json"} </w:instrText>
      </w:r>
      <w:r w:rsidRPr="00CF31E0">
        <w:rPr>
          <w:lang w:eastAsia="zh-CN"/>
        </w:rPr>
        <w:fldChar w:fldCharType="separate"/>
      </w:r>
      <w:r w:rsidRPr="00CF31E0">
        <w:rPr>
          <w:noProof/>
          <w:lang w:eastAsia="zh-CN"/>
        </w:rPr>
        <w:t>Al-Hazmy (1975), El Salman (2016), and Ingham (1982, 1986)</w:t>
      </w:r>
      <w:r w:rsidRPr="00CF31E0">
        <w:rPr>
          <w:lang w:eastAsia="zh-CN"/>
        </w:rPr>
        <w:fldChar w:fldCharType="end"/>
      </w:r>
      <w:r w:rsidRPr="00CF31E0">
        <w:rPr>
          <w:lang w:eastAsia="zh-CN"/>
        </w:rPr>
        <w:t xml:space="preserve">, where the dialect production of different tribal dialects confirmed that Bedouin tribal dialects preserved their linguistic behaviour regardless of where they were spoken. </w:t>
      </w:r>
    </w:p>
    <w:p w14:paraId="40A0FCA1" w14:textId="68A95267" w:rsidR="00A23C2A" w:rsidRPr="00CF31E0" w:rsidRDefault="008C40FD" w:rsidP="00603CB7">
      <w:pPr>
        <w:pStyle w:val="Paragraph"/>
        <w:rPr>
          <w:lang w:eastAsia="zh-CN"/>
        </w:rPr>
      </w:pPr>
      <w:r w:rsidRPr="00CF31E0">
        <w:rPr>
          <w:lang w:eastAsia="zh-CN"/>
        </w:rPr>
        <w:t>Second, the HH</w:t>
      </w:r>
      <w:r w:rsidR="00A23C2A" w:rsidRPr="00CF31E0">
        <w:rPr>
          <w:lang w:eastAsia="zh-CN"/>
        </w:rPr>
        <w:t xml:space="preserve"> group use their dialect as an identity marker and at the same time are wil</w:t>
      </w:r>
      <w:r w:rsidRPr="00CF31E0">
        <w:rPr>
          <w:lang w:eastAsia="zh-CN"/>
        </w:rPr>
        <w:t>ling to intermarry with UBH group</w:t>
      </w:r>
      <w:r w:rsidR="00A23C2A" w:rsidRPr="00CF31E0">
        <w:rPr>
          <w:lang w:eastAsia="zh-CN"/>
        </w:rPr>
        <w:t xml:space="preserve"> as the latter is a symbol of traditional identity, which the </w:t>
      </w:r>
      <w:r w:rsidR="00FF4DC7" w:rsidRPr="00CF31E0">
        <w:rPr>
          <w:lang w:eastAsia="zh-CN"/>
        </w:rPr>
        <w:t>HH</w:t>
      </w:r>
      <w:r w:rsidR="00A23C2A" w:rsidRPr="00CF31E0">
        <w:rPr>
          <w:lang w:eastAsia="zh-CN"/>
        </w:rPr>
        <w:t xml:space="preserve"> group might be looking for as an assertion of their identity in the Saudi society. </w:t>
      </w:r>
    </w:p>
    <w:p w14:paraId="13497CD8" w14:textId="539037C0" w:rsidR="00A23C2A" w:rsidRPr="00CF31E0" w:rsidRDefault="00730917" w:rsidP="00E87209">
      <w:pPr>
        <w:pStyle w:val="Ahead"/>
        <w:rPr>
          <w:rFonts w:eastAsia="Times New Roman"/>
        </w:rPr>
      </w:pPr>
      <w:bookmarkStart w:id="541" w:name="_Toc515415564"/>
      <w:bookmarkStart w:id="542" w:name="_Toc515610188"/>
      <w:bookmarkStart w:id="543" w:name="_Toc6472735"/>
      <w:r w:rsidRPr="00CF31E0">
        <w:rPr>
          <w:rFonts w:eastAsia="Times New Roman"/>
        </w:rPr>
        <w:t>8</w:t>
      </w:r>
      <w:r w:rsidR="00EC7246" w:rsidRPr="00CF31E0">
        <w:rPr>
          <w:rFonts w:eastAsia="Times New Roman"/>
        </w:rPr>
        <w:t>.8.</w:t>
      </w:r>
      <w:r w:rsidR="001E77DF" w:rsidRPr="00CF31E0">
        <w:rPr>
          <w:rFonts w:eastAsia="Times New Roman"/>
        </w:rPr>
        <w:tab/>
      </w:r>
      <w:r w:rsidR="00A23C2A" w:rsidRPr="00CF31E0">
        <w:rPr>
          <w:rFonts w:eastAsia="Times New Roman"/>
        </w:rPr>
        <w:t>Systematic emergence of social group patterns in the results</w:t>
      </w:r>
      <w:bookmarkEnd w:id="541"/>
      <w:bookmarkEnd w:id="542"/>
      <w:bookmarkEnd w:id="543"/>
    </w:p>
    <w:p w14:paraId="05471B67" w14:textId="46E2EB4F" w:rsidR="00A23C2A" w:rsidRPr="00CF31E0" w:rsidRDefault="00A23C2A" w:rsidP="00603CB7">
      <w:pPr>
        <w:pStyle w:val="Paragraph"/>
        <w:rPr>
          <w:lang w:eastAsia="zh-CN"/>
        </w:rPr>
      </w:pPr>
      <w:r w:rsidRPr="00CF31E0">
        <w:rPr>
          <w:lang w:eastAsia="zh-CN"/>
        </w:rPr>
        <w:t>Participants’ social group, and their mother’s and spouse’s social group, affected the results significantly, specifically affecting the findings for six out of ten questions included in this part of the study. The findings are characterized by all three social groups having a combined systematic effect, resulting in participants having positive attitudes towards the dialect of their social group. In other words, there seems to be a strong association between the participants’ social group, mother’s social group and spouse’s social group demographic variables. As stated in Chapter</w:t>
      </w:r>
      <w:r w:rsidR="00136BBF" w:rsidRPr="00CF31E0">
        <w:rPr>
          <w:lang w:eastAsia="zh-CN"/>
        </w:rPr>
        <w:t xml:space="preserve"> </w:t>
      </w:r>
      <w:r w:rsidR="00730917" w:rsidRPr="00CF31E0">
        <w:rPr>
          <w:lang w:eastAsia="zh-CN"/>
        </w:rPr>
        <w:t>2</w:t>
      </w:r>
      <w:r w:rsidR="00F40B6D" w:rsidRPr="00CF31E0">
        <w:rPr>
          <w:lang w:eastAsia="zh-CN"/>
        </w:rPr>
        <w:t xml:space="preserve">, section </w:t>
      </w:r>
      <w:r w:rsidR="00730917" w:rsidRPr="00CF31E0">
        <w:rPr>
          <w:lang w:eastAsia="zh-CN"/>
        </w:rPr>
        <w:t>2</w:t>
      </w:r>
      <w:r w:rsidR="00F40B6D" w:rsidRPr="00CF31E0">
        <w:rPr>
          <w:lang w:eastAsia="zh-CN"/>
        </w:rPr>
        <w:t>.17</w:t>
      </w:r>
      <w:r w:rsidRPr="00CF31E0">
        <w:rPr>
          <w:lang w:eastAsia="zh-CN"/>
        </w:rPr>
        <w:t xml:space="preserve">, the main purpose of including the participants’ mother’s and spouse’s social groups along with the social group of participants was to see if the mother’s or spouse’s social group have a different effect on the results compared to the participants’ social group. The pattern that emerged points to the </w:t>
      </w:r>
      <w:r w:rsidRPr="00CF31E0">
        <w:rPr>
          <w:lang w:eastAsia="zh-CN"/>
        </w:rPr>
        <w:lastRenderedPageBreak/>
        <w:t>homogeneity of results from the participants’ social group, and the mother’s and spouse’s social groups, that is, for participants of the same social group, those with the same mother’s and spouse’s group have a consensus on being positive about their own dialects. Looking at the data more closely, it is evident that each social group has more positive attitudes about its in-group than is the case for the attitudes of the out-group towards them. To give an example, regarding the dominant dialect in Hijaz, the overall results reveal that the HH dialect is the dominant dialect, but on</w:t>
      </w:r>
      <w:r w:rsidR="008C40FD" w:rsidRPr="00CF31E0">
        <w:rPr>
          <w:lang w:eastAsia="zh-CN"/>
        </w:rPr>
        <w:t xml:space="preserve"> closer analysis 16% of UBH participants</w:t>
      </w:r>
      <w:r w:rsidRPr="00CF31E0">
        <w:rPr>
          <w:lang w:eastAsia="zh-CN"/>
        </w:rPr>
        <w:t xml:space="preserve"> perceived the </w:t>
      </w:r>
      <w:r w:rsidRPr="00CF31E0">
        <w:rPr>
          <w:lang w:eastAsia="en-US"/>
        </w:rPr>
        <w:t>UBH</w:t>
      </w:r>
      <w:r w:rsidRPr="00CF31E0">
        <w:rPr>
          <w:lang w:eastAsia="zh-CN"/>
        </w:rPr>
        <w:t xml:space="preserve"> dialect as the dominant on</w:t>
      </w:r>
      <w:r w:rsidR="00956CCE" w:rsidRPr="00CF31E0">
        <w:rPr>
          <w:lang w:eastAsia="zh-CN"/>
        </w:rPr>
        <w:t>e, while only 0.6% of the HH participants</w:t>
      </w:r>
      <w:r w:rsidRPr="00CF31E0">
        <w:rPr>
          <w:lang w:eastAsia="zh-CN"/>
        </w:rPr>
        <w:t xml:space="preserve"> perceived the </w:t>
      </w:r>
      <w:r w:rsidRPr="00CF31E0">
        <w:rPr>
          <w:lang w:eastAsia="en-US"/>
        </w:rPr>
        <w:t>UBH</w:t>
      </w:r>
      <w:r w:rsidRPr="00CF31E0">
        <w:rPr>
          <w:lang w:eastAsia="zh-CN"/>
        </w:rPr>
        <w:t xml:space="preserve"> dialect as the dominant dialect; a similar pattern emerged with regard to the HH dialect but with larger percentages. One interpretation of this finding is that each social group is positive about their own dialect. It could be argued that the direct approach I adopted reveals how language ideology affects people’s attitudes towards their dialects. </w:t>
      </w:r>
    </w:p>
    <w:p w14:paraId="67FAA999" w14:textId="30C05859" w:rsidR="00A23C2A" w:rsidRPr="00CF31E0" w:rsidRDefault="00A23C2A" w:rsidP="00603CB7">
      <w:pPr>
        <w:pStyle w:val="Paragraph"/>
        <w:rPr>
          <w:lang w:eastAsia="zh-CN"/>
        </w:rPr>
      </w:pPr>
      <w:r w:rsidRPr="00CF31E0">
        <w:rPr>
          <w:lang w:eastAsia="zh-CN"/>
        </w:rPr>
        <w:t xml:space="preserve">In line with many established studies, the local variety is always prioritized in people’s perceptions </w:t>
      </w:r>
      <w:r w:rsidRPr="00CF31E0">
        <w:rPr>
          <w:lang w:eastAsia="zh-CN"/>
        </w:rPr>
        <w:fldChar w:fldCharType="begin"/>
      </w:r>
      <w:r w:rsidRPr="00CF31E0">
        <w:rPr>
          <w:lang w:eastAsia="zh-CN"/>
        </w:rPr>
        <w:instrText xml:space="preserve"> ADDIN ZOTERO_ITEM CSL_CITATION {"citationID":"eVhrKEYA","properties":{"formattedCitation":"(Demirci &amp; Kleiner, 1999; Kristiansen, 2009)","plainCitation":"(Demirci &amp; Kleiner, 1999; Kristiansen, 2009)","noteIndex":0},"citationItems":[{"id":228,"uris":["http://zotero.org/users/1939618/items/QU3GMM3I"],"uri":["http://zotero.org/users/1939618/items/QU3GMM3I"],"itemData":{"id":228,"type":"chapter","title":"The perception of Turkish dialects","container-title":"Handbook of perceptual dialectology","page":"263–281","volume":"1","source":"Google Scholar","author":[{"family":"Demirci","given":"Mahide"},{"family":"Kleiner","given":"Brian"}],"editor":[{"family":"Preston, Dennis, R","given":""}],"issued":{"date-parts":[["1999"]]}},"label":"page"},{"id":482,"uris":["http://zotero.org/users/1939618/items/8I7GNAP9"],"uri":["http://zotero.org/users/1939618/items/8I7GNAP9"],"itemData":{"id":482,"type":"article-journal","title":"The macro-level social meanings of late-modern Danish accents","container-title":"Acta Linguistica Hafniensia","page":"167-192","volume":"41","issue":"1","source":"Taylor and Francis+NEJM","abstract":"The paper reports on the main findings of the LANCHART language attitudes studies. These studies were designed to falsify (or modify) the picture of adolescent language ideology – and its role in language change – that had emerged from previous sociolinguistic studies in Denmark. This picture is formulated as three hypotheses: (1) There are two value systems at two levels of consciousness, (2) Language change is governed by subconscious values, (3) Copenhagen is Denmark's only linguistic norm centre. Following strict guidelines for data collection among 9th graders (aged 15–16) in Copenhagen, Næstved, Vissenbjerg, Odder, and Vinderup we obtained subconsciously offered attitudes that could be compared with consciously offered attitudes. The results neither falsify nor modify the established picture but strongly confirm it.","DOI":"10.1080/03740460903364219","ISSN":"0374-0463","author":[{"family":"Kristiansen","given":"Tore"}],"issued":{"date-parts":[["2009",11,1]]}},"label":"page"}],"schema":"https://github.com/citation-style-language/schema/raw/master/csl-citation.json"} </w:instrText>
      </w:r>
      <w:r w:rsidRPr="00CF31E0">
        <w:rPr>
          <w:lang w:eastAsia="zh-CN"/>
        </w:rPr>
        <w:fldChar w:fldCharType="separate"/>
      </w:r>
      <w:r w:rsidRPr="00CF31E0">
        <w:rPr>
          <w:noProof/>
          <w:lang w:eastAsia="zh-CN"/>
        </w:rPr>
        <w:t>(Demirci &amp; Kleiner, 1999; Kristiansen, 2009)</w:t>
      </w:r>
      <w:r w:rsidRPr="00CF31E0">
        <w:rPr>
          <w:lang w:eastAsia="zh-CN"/>
        </w:rPr>
        <w:fldChar w:fldCharType="end"/>
      </w:r>
      <w:r w:rsidRPr="00CF31E0">
        <w:rPr>
          <w:lang w:eastAsia="zh-CN"/>
        </w:rPr>
        <w:t xml:space="preserve">. </w:t>
      </w:r>
      <w:r w:rsidRPr="00CF31E0">
        <w:rPr>
          <w:lang w:eastAsia="zh-CN"/>
        </w:rPr>
        <w:fldChar w:fldCharType="begin"/>
      </w:r>
      <w:r w:rsidRPr="00CF31E0">
        <w:rPr>
          <w:lang w:eastAsia="zh-CN"/>
        </w:rPr>
        <w:instrText xml:space="preserve"> ADDIN ZOTERO_ITEM CSL_CITATION {"citationID":"tLLwXrEs","properties":{"formattedCitation":"(Kristiansen, 2009)","plainCitation":"(Kristiansen, 2009)","noteIndex":0},"citationItems":[{"id":482,"uris":["http://zotero.org/users/1939618/items/8I7GNAP9"],"uri":["http://zotero.org/users/1939618/items/8I7GNAP9"],"itemData":{"id":482,"type":"article-journal","title":"The macro-level social meanings of late-modern Danish accents","container-title":"Acta Linguistica Hafniensia","page":"167-192","volume":"41","issue":"1","source":"Taylor and Francis+NEJM","abstract":"The paper reports on the main findings of the LANCHART language attitudes studies. These studies were designed to falsify (or modify) the picture of adolescent language ideology – and its role in language change – that had emerged from previous sociolinguistic studies in Denmark. This picture is formulated as three hypotheses: (1) There are two value systems at two levels of consciousness, (2) Language change is governed by subconscious values, (3) Copenhagen is Denmark's only linguistic norm centre. Following strict guidelines for data collection among 9th graders (aged 15–16) in Copenhagen, Næstved, Vissenbjerg, Odder, and Vinderup we obtained subconsciously offered attitudes that could be compared with consciously offered attitudes. The results neither falsify nor modify the established picture but strongly confirm it.","DOI":"10.1080/03740460903364219","ISSN":"0374-0463","author":[{"family":"Kristiansen","given":"Tore"}],"issued":{"date-parts":[["2009",11,1]]}}}],"schema":"https://github.com/citation-style-language/schema/raw/master/csl-citation.json"} </w:instrText>
      </w:r>
      <w:r w:rsidRPr="00CF31E0">
        <w:rPr>
          <w:lang w:eastAsia="zh-CN"/>
        </w:rPr>
        <w:fldChar w:fldCharType="separate"/>
      </w:r>
      <w:r w:rsidRPr="00CF31E0">
        <w:rPr>
          <w:noProof/>
          <w:lang w:eastAsia="zh-CN"/>
        </w:rPr>
        <w:t>Kristiansen (2009)</w:t>
      </w:r>
      <w:r w:rsidRPr="00CF31E0">
        <w:rPr>
          <w:lang w:eastAsia="zh-CN"/>
        </w:rPr>
        <w:fldChar w:fldCharType="end"/>
      </w:r>
      <w:r w:rsidRPr="00CF31E0">
        <w:rPr>
          <w:lang w:eastAsia="zh-CN"/>
        </w:rPr>
        <w:t xml:space="preserve"> conducted a study on Danish adolescents to reveal the extent to which conscious and unconscious attitudes support patterns of language variation and change in the </w:t>
      </w:r>
      <w:r w:rsidR="00956CCE" w:rsidRPr="00CF31E0">
        <w:rPr>
          <w:lang w:eastAsia="zh-CN"/>
        </w:rPr>
        <w:t>count</w:t>
      </w:r>
      <w:r w:rsidRPr="00CF31E0">
        <w:rPr>
          <w:lang w:eastAsia="zh-CN"/>
        </w:rPr>
        <w:t xml:space="preserve">ry. In order to reveal the conscious attitudes, </w:t>
      </w:r>
      <w:r w:rsidRPr="00CF31E0">
        <w:rPr>
          <w:lang w:eastAsia="zh-CN"/>
        </w:rPr>
        <w:fldChar w:fldCharType="begin"/>
      </w:r>
      <w:r w:rsidRPr="00CF31E0">
        <w:rPr>
          <w:lang w:eastAsia="zh-CN"/>
        </w:rPr>
        <w:instrText xml:space="preserve"> ADDIN ZOTERO_ITEM CSL_CITATION {"citationID":"T6G1DuiE","properties":{"formattedCitation":"(Kristiansen, 2009)","plainCitation":"(Kristiansen, 2009)","noteIndex":0},"citationItems":[{"id":482,"uris":["http://zotero.org/users/1939618/items/8I7GNAP9"],"uri":["http://zotero.org/users/1939618/items/8I7GNAP9"],"itemData":{"id":482,"type":"article-journal","title":"The macro-level social meanings of late-modern Danish accents","container-title":"Acta Linguistica Hafniensia","page":"167-192","volume":"41","issue":"1","source":"Taylor and Francis+NEJM","abstract":"The paper reports on the main findings of the LANCHART language attitudes studies. These studies were designed to falsify (or modify) the picture of adolescent language ideology – and its role in language change – that had emerged from previous sociolinguistic studies in Denmark. This picture is formulated as three hypotheses: (1) There are two value systems at two levels of consciousness, (2) Language change is governed by subconscious values, (3) Copenhagen is Denmark's only linguistic norm centre. Following strict guidelines for data collection among 9th graders (aged 15–16) in Copenhagen, Næstved, Vissenbjerg, Odder, and Vinderup we obtained subconsciously offered attitudes that could be compared with consciously offered attitudes. The results neither falsify nor modify the established picture but strongly confirm it.","DOI":"10.1080/03740460903364219","ISSN":"0374-0463","author":[{"family":"Kristiansen","given":"Tore"}],"issued":{"date-parts":[["2009",11,1]]}}}],"schema":"https://github.com/citation-style-language/schema/raw/master/csl-citation.json"} </w:instrText>
      </w:r>
      <w:r w:rsidRPr="00CF31E0">
        <w:rPr>
          <w:lang w:eastAsia="zh-CN"/>
        </w:rPr>
        <w:fldChar w:fldCharType="separate"/>
      </w:r>
      <w:r w:rsidRPr="00CF31E0">
        <w:rPr>
          <w:noProof/>
          <w:lang w:eastAsia="zh-CN"/>
        </w:rPr>
        <w:t>Kristiansen (2009)</w:t>
      </w:r>
      <w:r w:rsidRPr="00CF31E0">
        <w:rPr>
          <w:lang w:eastAsia="zh-CN"/>
        </w:rPr>
        <w:fldChar w:fldCharType="end"/>
      </w:r>
      <w:r w:rsidRPr="00CF31E0">
        <w:rPr>
          <w:lang w:eastAsia="zh-CN"/>
        </w:rPr>
        <w:t xml:space="preserve"> adopted a direct approach where participants were presented conceptually with all of the dialect names in Denmark and were asked to rank “the dialects they like the best” in a dialect chart </w:t>
      </w:r>
      <w:r w:rsidRPr="00CF31E0">
        <w:rPr>
          <w:lang w:eastAsia="zh-CN"/>
        </w:rPr>
        <w:fldChar w:fldCharType="begin"/>
      </w:r>
      <w:r w:rsidRPr="00CF31E0">
        <w:rPr>
          <w:lang w:eastAsia="zh-CN"/>
        </w:rPr>
        <w:instrText xml:space="preserve"> ADDIN ZOTERO_ITEM CSL_CITATION {"citationID":"4B5lhFda","properties":{"formattedCitation":"(Kristiansen, 2009, p. 177)","plainCitation":"(Kristiansen, 2009, p. 177)","noteIndex":0},"citationItems":[{"id":482,"uris":["http://zotero.org/users/1939618/items/8I7GNAP9"],"uri":["http://zotero.org/users/1939618/items/8I7GNAP9"],"itemData":{"id":482,"type":"article-journal","title":"The macro-level social meanings of late-modern Danish accents","container-title":"Acta Linguistica Hafniensia","page":"167-192","volume":"41","issue":"1","source":"Taylor and Francis+NEJM","abstract":"The paper reports on the main findings of the LANCHART language attitudes studies. These studies were designed to falsify (or modify) the picture of adolescent language ideology – and its role in language change – that had emerged from previous sociolinguistic studies in Denmark. This picture is formulated as three hypotheses: (1) There are two value systems at two levels of consciousness, (2) Language change is governed by subconscious values, (3) Copenhagen is Denmark's only linguistic norm centre. Following strict guidelines for data collection among 9th graders (aged 15–16) in Copenhagen, Næstved, Vissenbjerg, Odder, and Vinderup we obtained subconsciously offered attitudes that could be compared with consciously offered attitudes. The results neither falsify nor modify the established picture but strongly confirm it.","DOI":"10.1080/03740460903364219","ISSN":"0374-0463","author":[{"family":"Kristiansen","given":"Tore"}],"issued":{"date-parts":[["2009",11,1]]}},"locator":"177","label":"page"}],"schema":"https://github.com/citation-style-language/schema/raw/master/csl-citation.json"} </w:instrText>
      </w:r>
      <w:r w:rsidRPr="00CF31E0">
        <w:rPr>
          <w:lang w:eastAsia="zh-CN"/>
        </w:rPr>
        <w:fldChar w:fldCharType="separate"/>
      </w:r>
      <w:r w:rsidRPr="00CF31E0">
        <w:rPr>
          <w:noProof/>
          <w:lang w:eastAsia="zh-CN"/>
        </w:rPr>
        <w:t>(Kristiansen, 2009, p. 177)</w:t>
      </w:r>
      <w:r w:rsidRPr="00CF31E0">
        <w:rPr>
          <w:lang w:eastAsia="zh-CN"/>
        </w:rPr>
        <w:fldChar w:fldCharType="end"/>
      </w:r>
      <w:r w:rsidRPr="00CF31E0">
        <w:rPr>
          <w:lang w:eastAsia="zh-CN"/>
        </w:rPr>
        <w:t xml:space="preserve">. Results for the ranking task uncovered “local patriotism” where the local dialect is always preferred. Similarly, in the present study, each social group preferred their own dialect, but what distinguishes my results from Kristiansen’s results is that the latter revealed a pattern whereby all social groups prioritize their local dialect as one of the most preferred dialects. In the present study, a pattern emerged whereby the preference is revealed when looking closely at the in-group and out-group results through the social demographic variables. In other words, on the face of it, the result points to a preference for one dialect over the other, but </w:t>
      </w:r>
      <w:r w:rsidRPr="00CF31E0">
        <w:rPr>
          <w:lang w:eastAsia="zh-CN"/>
        </w:rPr>
        <w:lastRenderedPageBreak/>
        <w:t xml:space="preserve">when splitting the results for the two social groups, the pattern seems to point to a preference for participants’ own social group dialect. </w:t>
      </w:r>
    </w:p>
    <w:p w14:paraId="4B54890C" w14:textId="12A0839B" w:rsidR="009B061B" w:rsidRPr="00CF31E0" w:rsidRDefault="00A23C2A" w:rsidP="00603CB7">
      <w:pPr>
        <w:pStyle w:val="Paragraph"/>
        <w:rPr>
          <w:lang w:eastAsia="en-US"/>
        </w:rPr>
      </w:pPr>
      <w:r w:rsidRPr="00CF31E0">
        <w:rPr>
          <w:lang w:eastAsia="en-US"/>
        </w:rPr>
        <w:t>The above discussion indicates that participants’ attitudes emerged in a systematic w</w:t>
      </w:r>
      <w:r w:rsidR="009371AE" w:rsidRPr="00CF31E0">
        <w:rPr>
          <w:lang w:eastAsia="en-US"/>
        </w:rPr>
        <w:t>ay. In other words, when UBH</w:t>
      </w:r>
      <w:r w:rsidRPr="00CF31E0">
        <w:rPr>
          <w:lang w:eastAsia="en-US"/>
        </w:rPr>
        <w:t xml:space="preserve"> participants were asked about their perceptions of their dialect, they gave their dialect a highe</w:t>
      </w:r>
      <w:r w:rsidR="009371AE" w:rsidRPr="00CF31E0">
        <w:rPr>
          <w:lang w:eastAsia="en-US"/>
        </w:rPr>
        <w:t>r mean score than did the HH group. Similarly, when HH</w:t>
      </w:r>
      <w:r w:rsidRPr="00CF31E0">
        <w:rPr>
          <w:lang w:eastAsia="en-US"/>
        </w:rPr>
        <w:t xml:space="preserve"> participants were asked about their perceptions of their dialect, they gave their dialect a higher mean</w:t>
      </w:r>
      <w:r w:rsidR="009371AE" w:rsidRPr="00CF31E0">
        <w:rPr>
          <w:lang w:eastAsia="en-US"/>
        </w:rPr>
        <w:t xml:space="preserve"> score than did the UBH</w:t>
      </w:r>
      <w:r w:rsidRPr="00CF31E0">
        <w:rPr>
          <w:lang w:eastAsia="en-US"/>
        </w:rPr>
        <w:t xml:space="preserve">s. The most likely explanation for this systematic pattern may be attributed to the direct approach adopted in this particular part of the study. </w:t>
      </w:r>
      <w:r w:rsidR="009B061B" w:rsidRPr="00CF31E0">
        <w:rPr>
          <w:lang w:eastAsia="en-US"/>
        </w:rPr>
        <w:fldChar w:fldCharType="begin"/>
      </w:r>
      <w:r w:rsidR="009B061B" w:rsidRPr="00CF31E0">
        <w:rPr>
          <w:lang w:eastAsia="en-US"/>
        </w:rPr>
        <w:instrText xml:space="preserve"> ADDIN ZOTERO_ITEM CSL_CITATION {"citationID":"g90fTFbs","properties":{"formattedCitation":"(Demirci &amp; Kleiner, 1999, p. 281)","plainCitation":"(Demirci &amp; Kleiner, 1999, p. 281)","noteIndex":0},"citationItems":[{"id":228,"uris":["http://zotero.org/users/1939618/items/QU3GMM3I"],"uri":["http://zotero.org/users/1939618/items/QU3GMM3I"],"itemData":{"id":228,"type":"chapter","title":"The perception of Turkish dialects","container-title":"Handbook of perceptual dialectology","page":"263–281","volume":"1","source":"Google Scholar","author":[{"family":"Demirci","given":"Mahide"},{"family":"Kleiner","given":"Brian"}],"editor":[{"family":"Preston, Dennis, R","given":""}],"issued":{"date-parts":[["1999"]]}},"locator":"281","label":"page"}],"schema":"https://github.com/citation-style-language/schema/raw/master/csl-citation.json"} </w:instrText>
      </w:r>
      <w:r w:rsidR="009B061B" w:rsidRPr="00CF31E0">
        <w:rPr>
          <w:lang w:eastAsia="en-US"/>
        </w:rPr>
        <w:fldChar w:fldCharType="separate"/>
      </w:r>
      <w:r w:rsidR="009B061B" w:rsidRPr="00CF31E0">
        <w:rPr>
          <w:noProof/>
          <w:lang w:eastAsia="en-US"/>
        </w:rPr>
        <w:t>Demirci and Kleiner's (1999, p. 281)</w:t>
      </w:r>
      <w:r w:rsidR="009B061B" w:rsidRPr="00CF31E0">
        <w:rPr>
          <w:lang w:eastAsia="en-US"/>
        </w:rPr>
        <w:fldChar w:fldCharType="end"/>
      </w:r>
      <w:r w:rsidR="009B061B" w:rsidRPr="00CF31E0">
        <w:rPr>
          <w:lang w:eastAsia="en-US"/>
        </w:rPr>
        <w:t xml:space="preserve"> results support my results; when they used a task involving direct questioning to elicit perceptions towards Turkish dialects, age and gender-related patterns emerged systematically. </w:t>
      </w:r>
    </w:p>
    <w:p w14:paraId="125384BA" w14:textId="6292C1FC" w:rsidR="00A23C2A" w:rsidRPr="00CF31E0" w:rsidRDefault="00A23C2A" w:rsidP="00603CB7">
      <w:pPr>
        <w:pStyle w:val="Paragraph"/>
        <w:rPr>
          <w:lang w:eastAsia="en-US"/>
        </w:rPr>
      </w:pPr>
      <w:r w:rsidRPr="00CF31E0">
        <w:rPr>
          <w:lang w:eastAsia="en-US"/>
        </w:rPr>
        <w:t xml:space="preserve">In contrast, </w:t>
      </w:r>
      <w:r w:rsidRPr="00CF31E0">
        <w:rPr>
          <w:lang w:eastAsia="en-US"/>
        </w:rPr>
        <w:fldChar w:fldCharType="begin"/>
      </w:r>
      <w:r w:rsidRPr="00CF31E0">
        <w:rPr>
          <w:lang w:eastAsia="en-US"/>
        </w:rPr>
        <w:instrText xml:space="preserve"> ADDIN ZOTERO_ITEM CSL_CITATION {"citationID":"dKoRP3Ky","properties":{"formattedCitation":"(Labov, 1972, p. 146)","plainCitation":"(Labov, 1972, p. 146)","noteIndex":0},"citationItems":[{"id":233,"uris":["http://zotero.org/users/1939618/items/2GMT5P85"],"uri":["http://zotero.org/users/1939618/items/2GMT5P85"],"itemData":{"id":233,"type":"book","title":"Sociolinguistic patterns","collection-number":"4","publisher":"University of Pennsylvania Press","source":"Google Scholar","URL":"https://books.google.co.uk/books?hl=en&amp;lr=&amp;id=hD0PNMu8CfQC&amp;oi=fnd&amp;pg=PR10&amp;dq=sociolinguistic+patterns,+william+labov&amp;ots=1e6cvbmkz0&amp;sig=KYWYRdrH3Vnc8s7ge-9XCfKT9jc","author":[{"family":"Labov","given":"William"}],"issued":{"date-parts":[["1972"]]},"accessed":{"date-parts":[["2017",5,17]]}},"locator":"146","label":"page"}],"schema":"https://github.com/citation-style-language/schema/raw/master/csl-citation.json"} </w:instrText>
      </w:r>
      <w:r w:rsidRPr="00CF31E0">
        <w:rPr>
          <w:lang w:eastAsia="en-US"/>
        </w:rPr>
        <w:fldChar w:fldCharType="separate"/>
      </w:r>
      <w:r w:rsidRPr="00CF31E0">
        <w:rPr>
          <w:lang w:eastAsia="en-US"/>
        </w:rPr>
        <w:t>Labov (1972, p. 146)</w:t>
      </w:r>
      <w:r w:rsidRPr="00CF31E0">
        <w:rPr>
          <w:lang w:eastAsia="en-US"/>
        </w:rPr>
        <w:fldChar w:fldCharType="end"/>
      </w:r>
      <w:r w:rsidRPr="00CF31E0">
        <w:rPr>
          <w:lang w:eastAsia="en-US"/>
        </w:rPr>
        <w:t xml:space="preserve"> claims that language attitudes “do not emerge in a systematic form if respondents are questioned directly about dialects”. It can be argued, contrary to Labov’s claim, that a social group-related pattern did systematically emerge in the current results when the participants were questioned directly about their dialect attitudes. It should be noted that Labov made a general point that does not hold in different linguistic and social situations. In other words, the general statement Labov made cannot be generalized in the present research context, which demonstrates that this particular Hijazi society use</w:t>
      </w:r>
      <w:r w:rsidR="009B061B" w:rsidRPr="00CF31E0">
        <w:rPr>
          <w:lang w:eastAsia="en-US"/>
        </w:rPr>
        <w:t>s</w:t>
      </w:r>
      <w:r w:rsidRPr="00CF31E0">
        <w:rPr>
          <w:lang w:eastAsia="en-US"/>
        </w:rPr>
        <w:t xml:space="preserve"> different dialects defined by linguistic usage according to social groups. Thus, </w:t>
      </w:r>
      <w:r w:rsidR="00911DC6" w:rsidRPr="00CF31E0">
        <w:rPr>
          <w:lang w:eastAsia="en-US"/>
        </w:rPr>
        <w:t>i</w:t>
      </w:r>
      <w:r w:rsidRPr="00CF31E0">
        <w:rPr>
          <w:lang w:eastAsia="en-US"/>
        </w:rPr>
        <w:t xml:space="preserve">t seems that that in this sort of setting and this particular society, structured and systematic attitudes could emerge when people </w:t>
      </w:r>
      <w:r w:rsidR="00911DC6" w:rsidRPr="00CF31E0">
        <w:rPr>
          <w:lang w:eastAsia="en-US"/>
        </w:rPr>
        <w:t xml:space="preserve">are </w:t>
      </w:r>
      <w:r w:rsidRPr="00CF31E0">
        <w:rPr>
          <w:lang w:eastAsia="en-US"/>
        </w:rPr>
        <w:t>questioned directly</w:t>
      </w:r>
      <w:r w:rsidR="000610A6" w:rsidRPr="00CF31E0">
        <w:rPr>
          <w:lang w:eastAsia="en-US"/>
        </w:rPr>
        <w:t>.</w:t>
      </w:r>
    </w:p>
    <w:p w14:paraId="3BD4447E" w14:textId="0A6A111E" w:rsidR="00A23C2A" w:rsidRPr="00CF31E0" w:rsidRDefault="00730917" w:rsidP="00E87209">
      <w:pPr>
        <w:pStyle w:val="Ahead"/>
        <w:rPr>
          <w:rFonts w:eastAsia="Times New Roman"/>
        </w:rPr>
      </w:pPr>
      <w:bookmarkStart w:id="544" w:name="_Toc515415565"/>
      <w:bookmarkStart w:id="545" w:name="_Toc515610189"/>
      <w:bookmarkStart w:id="546" w:name="_Toc6472736"/>
      <w:r w:rsidRPr="00CF31E0">
        <w:rPr>
          <w:rFonts w:eastAsia="Times New Roman"/>
        </w:rPr>
        <w:t>8</w:t>
      </w:r>
      <w:r w:rsidR="00EC7246" w:rsidRPr="00CF31E0">
        <w:rPr>
          <w:rFonts w:eastAsia="Times New Roman"/>
        </w:rPr>
        <w:t>.9.</w:t>
      </w:r>
      <w:r w:rsidR="001E77DF" w:rsidRPr="00CF31E0">
        <w:rPr>
          <w:rFonts w:eastAsia="Times New Roman"/>
        </w:rPr>
        <w:tab/>
      </w:r>
      <w:r w:rsidR="00A23C2A" w:rsidRPr="00CF31E0">
        <w:rPr>
          <w:rFonts w:eastAsia="Times New Roman"/>
        </w:rPr>
        <w:t>The effects of gender on the results</w:t>
      </w:r>
      <w:bookmarkEnd w:id="544"/>
      <w:bookmarkEnd w:id="545"/>
      <w:bookmarkEnd w:id="546"/>
    </w:p>
    <w:p w14:paraId="1F533732" w14:textId="77777777" w:rsidR="006E65FD" w:rsidRDefault="001B2E0A" w:rsidP="005108F5">
      <w:pPr>
        <w:pStyle w:val="Paragraph"/>
        <w:rPr>
          <w:lang w:eastAsia="zh-CN"/>
        </w:rPr>
      </w:pPr>
      <w:r w:rsidRPr="00CF31E0">
        <w:rPr>
          <w:lang w:val="en-US" w:eastAsia="zh-CN"/>
        </w:rPr>
        <w:t xml:space="preserve">The </w:t>
      </w:r>
      <w:r w:rsidR="00A23C2A" w:rsidRPr="00CF31E0">
        <w:rPr>
          <w:lang w:eastAsia="zh-CN"/>
        </w:rPr>
        <w:t xml:space="preserve">effect </w:t>
      </w:r>
      <w:r w:rsidRPr="00CF31E0">
        <w:rPr>
          <w:lang w:eastAsia="zh-CN"/>
        </w:rPr>
        <w:t xml:space="preserve">of gender demographics </w:t>
      </w:r>
      <w:r w:rsidR="00A23C2A" w:rsidRPr="00CF31E0">
        <w:rPr>
          <w:lang w:eastAsia="zh-CN"/>
        </w:rPr>
        <w:t xml:space="preserve">is shown relatively less frequently than is the case for the above-mentioned social groups. First, the female group perceived the HH dialect as the </w:t>
      </w:r>
      <w:r w:rsidR="00A61670" w:rsidRPr="00CF31E0">
        <w:rPr>
          <w:lang w:eastAsia="zh-CN"/>
        </w:rPr>
        <w:t xml:space="preserve">dominant dialect </w:t>
      </w:r>
      <w:r w:rsidR="00DC42D7" w:rsidRPr="00CF31E0">
        <w:rPr>
          <w:lang w:eastAsia="zh-CN"/>
        </w:rPr>
        <w:t>in Hijaz</w:t>
      </w:r>
      <w:r w:rsidR="00A23C2A" w:rsidRPr="00CF31E0">
        <w:rPr>
          <w:lang w:eastAsia="zh-CN"/>
        </w:rPr>
        <w:t xml:space="preserve">. Before I interpret this result, it is important to address the question of what is the feature that the HH dialect maintains that attracts the female group to hold such perceptions. Revisiting the background information in Chapter </w:t>
      </w:r>
      <w:r w:rsidR="00730917" w:rsidRPr="00CF31E0">
        <w:rPr>
          <w:lang w:eastAsia="zh-CN"/>
        </w:rPr>
        <w:t>2</w:t>
      </w:r>
      <w:r w:rsidR="00A23C2A" w:rsidRPr="00CF31E0">
        <w:rPr>
          <w:lang w:eastAsia="zh-CN"/>
        </w:rPr>
        <w:t xml:space="preserve">, it is </w:t>
      </w:r>
      <w:r w:rsidR="00A23C2A" w:rsidRPr="00CF31E0">
        <w:rPr>
          <w:lang w:eastAsia="zh-CN"/>
        </w:rPr>
        <w:lastRenderedPageBreak/>
        <w:t xml:space="preserve">evident that the HH dialect is a new and modern dialect that exemplifies modern culture in the region. The modernity of the dialect derives from a group of characteristics, all of which contribute to the meaning of modernity in participants’ mental processes. Therefore, </w:t>
      </w:r>
      <w:r w:rsidR="002A636D" w:rsidRPr="00CF31E0">
        <w:rPr>
          <w:lang w:eastAsia="zh-CN"/>
        </w:rPr>
        <w:t>I would argue that the perception</w:t>
      </w:r>
      <w:r w:rsidR="00A23C2A" w:rsidRPr="00CF31E0">
        <w:rPr>
          <w:lang w:eastAsia="zh-CN"/>
        </w:rPr>
        <w:t xml:space="preserve"> of the HH dialect </w:t>
      </w:r>
      <w:r w:rsidR="002A636D" w:rsidRPr="00CF31E0">
        <w:rPr>
          <w:lang w:eastAsia="zh-CN"/>
        </w:rPr>
        <w:t xml:space="preserve">as </w:t>
      </w:r>
      <w:r w:rsidR="00A61670" w:rsidRPr="00CF31E0">
        <w:rPr>
          <w:lang w:eastAsia="zh-CN"/>
        </w:rPr>
        <w:t xml:space="preserve">the dominant dialect </w:t>
      </w:r>
      <w:r w:rsidR="00A23C2A" w:rsidRPr="00CF31E0">
        <w:rPr>
          <w:lang w:eastAsia="zh-CN"/>
        </w:rPr>
        <w:t xml:space="preserve">evident in female perceptions is attributed to the dialect containing a feature that might be preferable to women. On the face of the issue, this feature seems to be the modernity of the dialect, though there may be other characteristics that the dialect possesses which attract the female group; this will be revealed in the next chapter, where a full analysis will be provided regarding the cognitive processes of the stored beliefs about the modernity of the HH dialect within participants’ mental lexicon. </w:t>
      </w:r>
      <w:r w:rsidR="00A23C2A" w:rsidRPr="00CF31E0">
        <w:rPr>
          <w:lang w:eastAsia="zh-CN"/>
        </w:rPr>
        <w:fldChar w:fldCharType="begin"/>
      </w:r>
      <w:r w:rsidR="00A23C2A" w:rsidRPr="00CF31E0">
        <w:rPr>
          <w:lang w:eastAsia="zh-CN"/>
        </w:rPr>
        <w:instrText xml:space="preserve"> ADDIN ZOTERO_ITEM CSL_CITATION {"citationID":"LCcvujHq","properties":{"formattedCitation":"(Trudgill, 1972)","plainCitation":"(Trudgill, 1972)","dontUpdate":true,"noteIndex":0},"citationItems":[{"id":313,"uris":["http://zotero.org/users/1939618/items/N9NI3GPZ"],"uri":["http://zotero.org/users/1939618/items/N9NI3GPZ"],"itemData":{"id":313,"type":"article-journal","title":"Sex, covert prestige and linguistic change in the urban British English of Norwich","container-title":"Language in Society","page":"179–195","volume":"1","issue":"2","source":"find.shef.ac.uk","abstract":"ABSTRACT Women use linguistic forms associated with the prestige standard more frequently than men. One reason for this is that working-class speech has favourable connotations for male speakers. Favourable attitudes to non-standard speech are not normally expressed, however, and emerge only in inaccurate self-evaluation test responses. Patterns of sex differentiation deviating from the norm indicate that a linguistic change is taking place: standard forms are introduced by middle-class women, non-standard forms by working-class men. (Sociolinguistic variation; linguistic change; women's and men's speech; contextual styles; social class; British English.)","DOI":"10.1017/S0047404500000488","ISSN":"0047-4045","author":[{"family":"Trudgill","given":"Peter"}],"issued":{"date-parts":[["1972"]]}}}],"schema":"https://github.com/citation-style-language/schema/raw/master/csl-citation.json"} </w:instrText>
      </w:r>
      <w:r w:rsidR="00A23C2A" w:rsidRPr="00CF31E0">
        <w:rPr>
          <w:lang w:eastAsia="zh-CN"/>
        </w:rPr>
        <w:fldChar w:fldCharType="separate"/>
      </w:r>
      <w:r w:rsidR="00A23C2A" w:rsidRPr="00CF31E0">
        <w:rPr>
          <w:noProof/>
          <w:lang w:eastAsia="zh-CN"/>
        </w:rPr>
        <w:t>Trudgill (1972)</w:t>
      </w:r>
      <w:r w:rsidR="00A23C2A" w:rsidRPr="00CF31E0">
        <w:rPr>
          <w:lang w:eastAsia="zh-CN"/>
        </w:rPr>
        <w:fldChar w:fldCharType="end"/>
      </w:r>
      <w:r w:rsidR="00A23C2A" w:rsidRPr="00CF31E0">
        <w:rPr>
          <w:lang w:eastAsia="zh-CN"/>
        </w:rPr>
        <w:t xml:space="preserve"> argues that linguistically the female group always prefers prestigious language; if prestigious characteristics are perceived as one of the characteristics that contribute to the modernity of the HH dialect, then I can confirm Trudgill’s claim in regard to the way women interpret and perceive the dialects. It should be noted that </w:t>
      </w:r>
      <w:r w:rsidR="00A23C2A" w:rsidRPr="00CF31E0">
        <w:rPr>
          <w:lang w:eastAsia="zh-CN"/>
        </w:rPr>
        <w:fldChar w:fldCharType="begin"/>
      </w:r>
      <w:r w:rsidR="00A23C2A" w:rsidRPr="00CF31E0">
        <w:rPr>
          <w:lang w:eastAsia="zh-CN"/>
        </w:rPr>
        <w:instrText xml:space="preserve"> ADDIN ZOTERO_ITEM CSL_CITATION {"citationID":"3Q9DJ9GH","properties":{"formattedCitation":"(Trudgill, 1972)","plainCitation":"(Trudgill, 1972)","dontUpdate":true,"noteIndex":0},"citationItems":[{"id":313,"uris":["http://zotero.org/users/1939618/items/N9NI3GPZ"],"uri":["http://zotero.org/users/1939618/items/N9NI3GPZ"],"itemData":{"id":313,"type":"article-journal","title":"Sex, covert prestige and linguistic change in the urban British English of Norwich","container-title":"Language in Society","page":"179–195","volume":"1","issue":"2","source":"find.shef.ac.uk","abstract":"ABSTRACT Women use linguistic forms associated with the prestige standard more frequently than men. One reason for this is that working-class speech has favourable connotations for male speakers. Favourable attitudes to non-standard speech are not normally expressed, however, and emerge only in inaccurate self-evaluation test responses. Patterns of sex differentiation deviating from the norm indicate that a linguistic change is taking place: standard forms are introduced by middle-class women, non-standard forms by working-class men. (Sociolinguistic variation; linguistic change; women's and men's speech; contextual styles; social class; British English.)","DOI":"10.1017/S0047404500000488","ISSN":"0047-4045","author":[{"family":"Trudgill","given":"Peter"}],"issued":{"date-parts":[["1972"]]}}}],"schema":"https://github.com/citation-style-language/schema/raw/master/csl-citation.json"} </w:instrText>
      </w:r>
      <w:r w:rsidR="00A23C2A" w:rsidRPr="00CF31E0">
        <w:rPr>
          <w:lang w:eastAsia="zh-CN"/>
        </w:rPr>
        <w:fldChar w:fldCharType="separate"/>
      </w:r>
      <w:r w:rsidR="00A23C2A" w:rsidRPr="00CF31E0">
        <w:rPr>
          <w:noProof/>
          <w:lang w:eastAsia="zh-CN"/>
        </w:rPr>
        <w:t>Trudgill (1972)</w:t>
      </w:r>
      <w:r w:rsidR="00A23C2A" w:rsidRPr="00CF31E0">
        <w:rPr>
          <w:lang w:eastAsia="zh-CN"/>
        </w:rPr>
        <w:fldChar w:fldCharType="end"/>
      </w:r>
      <w:r w:rsidR="00A23C2A" w:rsidRPr="00CF31E0">
        <w:rPr>
          <w:lang w:eastAsia="zh-CN"/>
        </w:rPr>
        <w:t xml:space="preserve"> work</w:t>
      </w:r>
      <w:r w:rsidR="00911DC6" w:rsidRPr="00CF31E0">
        <w:rPr>
          <w:lang w:eastAsia="zh-CN"/>
        </w:rPr>
        <w:t>ed</w:t>
      </w:r>
      <w:r w:rsidR="00A23C2A" w:rsidRPr="00CF31E0">
        <w:rPr>
          <w:lang w:eastAsia="zh-CN"/>
        </w:rPr>
        <w:t xml:space="preserve"> in a different context (i.e. UK) and different community (English participants), although he did find that women tend to prefer to use prestigious language and that might be the case in the results of the present study. </w:t>
      </w:r>
    </w:p>
    <w:p w14:paraId="7079427D" w14:textId="285B547C" w:rsidR="0070472F" w:rsidRDefault="0070472F" w:rsidP="009F7F09">
      <w:pPr>
        <w:pStyle w:val="Paragraph"/>
        <w:rPr>
          <w:lang w:eastAsia="zh-CN"/>
        </w:rPr>
      </w:pPr>
      <w:r w:rsidRPr="00EF3F0B">
        <w:rPr>
          <w:lang w:eastAsia="zh-CN"/>
        </w:rPr>
        <w:t>Second, the male group perceived</w:t>
      </w:r>
      <w:r>
        <w:rPr>
          <w:lang w:eastAsia="zh-CN"/>
        </w:rPr>
        <w:t xml:space="preserve"> that Hijazi dialect refers to</w:t>
      </w:r>
      <w:r w:rsidR="009F7F09">
        <w:rPr>
          <w:lang w:eastAsia="zh-CN"/>
        </w:rPr>
        <w:t xml:space="preserve"> the</w:t>
      </w:r>
      <w:r>
        <w:rPr>
          <w:lang w:eastAsia="zh-CN"/>
        </w:rPr>
        <w:t xml:space="preserve"> HH dialect. This result can be interpreted by looking at the most associated characteristics for HH dialect</w:t>
      </w:r>
      <w:r w:rsidR="009F7F09">
        <w:rPr>
          <w:lang w:eastAsia="zh-CN"/>
        </w:rPr>
        <w:t>,</w:t>
      </w:r>
      <w:r>
        <w:rPr>
          <w:lang w:eastAsia="zh-CN"/>
        </w:rPr>
        <w:t xml:space="preserve"> revealed in the results of the keyword technique </w:t>
      </w:r>
      <w:r w:rsidRPr="00EF3F0B">
        <w:rPr>
          <w:lang w:eastAsia="zh-CN"/>
        </w:rPr>
        <w:t>in Chapter 5, section 5.5.1</w:t>
      </w:r>
      <w:r w:rsidR="009F7F09">
        <w:rPr>
          <w:lang w:eastAsia="zh-CN"/>
        </w:rPr>
        <w:t>. Here</w:t>
      </w:r>
      <w:r>
        <w:rPr>
          <w:lang w:eastAsia="zh-CN"/>
        </w:rPr>
        <w:t>,</w:t>
      </w:r>
      <w:r w:rsidR="009F7F09">
        <w:rPr>
          <w:lang w:eastAsia="zh-CN"/>
        </w:rPr>
        <w:t xml:space="preserve"> it can be seen that </w:t>
      </w:r>
      <w:r>
        <w:rPr>
          <w:lang w:eastAsia="zh-CN"/>
        </w:rPr>
        <w:t>the HH dialect was described as a feminine dialect. Thus, it might be the case that the male group attempts to con</w:t>
      </w:r>
      <w:r w:rsidR="009F7F09">
        <w:rPr>
          <w:lang w:eastAsia="zh-CN"/>
        </w:rPr>
        <w:t xml:space="preserve">front an </w:t>
      </w:r>
      <w:r>
        <w:rPr>
          <w:lang w:eastAsia="zh-CN"/>
        </w:rPr>
        <w:t xml:space="preserve">in- and out-group issue </w:t>
      </w:r>
      <w:r w:rsidR="009F7F09">
        <w:rPr>
          <w:lang w:eastAsia="zh-CN"/>
        </w:rPr>
        <w:t xml:space="preserve">by </w:t>
      </w:r>
      <w:r>
        <w:rPr>
          <w:lang w:eastAsia="zh-CN"/>
        </w:rPr>
        <w:t>exclud</w:t>
      </w:r>
      <w:r w:rsidR="009F7F09">
        <w:rPr>
          <w:lang w:eastAsia="zh-CN"/>
        </w:rPr>
        <w:t>ing</w:t>
      </w:r>
      <w:r>
        <w:rPr>
          <w:lang w:eastAsia="zh-CN"/>
        </w:rPr>
        <w:t xml:space="preserve"> a </w:t>
      </w:r>
      <w:r w:rsidR="009F7F09">
        <w:rPr>
          <w:lang w:eastAsia="zh-CN"/>
        </w:rPr>
        <w:t>‘</w:t>
      </w:r>
      <w:r>
        <w:rPr>
          <w:lang w:eastAsia="zh-CN"/>
        </w:rPr>
        <w:t>feminine</w:t>
      </w:r>
      <w:r w:rsidR="009F7F09">
        <w:rPr>
          <w:lang w:eastAsia="zh-CN"/>
        </w:rPr>
        <w:t>’</w:t>
      </w:r>
      <w:r>
        <w:rPr>
          <w:lang w:eastAsia="zh-CN"/>
        </w:rPr>
        <w:t xml:space="preserve"> dialect which is spoken by HH people from their own group. </w:t>
      </w:r>
    </w:p>
    <w:p w14:paraId="6F391A6E" w14:textId="0E20E739" w:rsidR="00A23C2A" w:rsidRPr="00CF31E0" w:rsidRDefault="006E65FD" w:rsidP="009F7F09">
      <w:pPr>
        <w:pStyle w:val="Paragraph"/>
        <w:rPr>
          <w:lang w:eastAsia="zh-CN"/>
        </w:rPr>
      </w:pPr>
      <w:r w:rsidRPr="00CF31E0">
        <w:rPr>
          <w:lang w:eastAsia="zh-CN"/>
        </w:rPr>
        <w:t>Third</w:t>
      </w:r>
      <w:r w:rsidR="00A23C2A" w:rsidRPr="00CF31E0">
        <w:rPr>
          <w:lang w:eastAsia="zh-CN"/>
        </w:rPr>
        <w:t>, the male group’s perceptions regardin</w:t>
      </w:r>
      <w:r w:rsidR="001F510A" w:rsidRPr="00CF31E0">
        <w:rPr>
          <w:lang w:eastAsia="zh-CN"/>
        </w:rPr>
        <w:t>g the extent to which the HH</w:t>
      </w:r>
      <w:r w:rsidR="00A23C2A" w:rsidRPr="00CF31E0">
        <w:rPr>
          <w:lang w:eastAsia="zh-CN"/>
        </w:rPr>
        <w:t xml:space="preserve"> people speak the </w:t>
      </w:r>
      <w:r w:rsidR="00A23C2A" w:rsidRPr="00CF31E0">
        <w:rPr>
          <w:lang w:eastAsia="en-US"/>
        </w:rPr>
        <w:t>UBH</w:t>
      </w:r>
      <w:r w:rsidR="00A23C2A" w:rsidRPr="00CF31E0">
        <w:rPr>
          <w:lang w:eastAsia="zh-CN"/>
        </w:rPr>
        <w:t xml:space="preserve"> dialect seem to point towards a pattern where they rarely perceiv</w:t>
      </w:r>
      <w:r w:rsidR="001F510A" w:rsidRPr="00CF31E0">
        <w:rPr>
          <w:lang w:eastAsia="zh-CN"/>
        </w:rPr>
        <w:t>e the HH</w:t>
      </w:r>
      <w:r w:rsidR="00A23C2A" w:rsidRPr="00CF31E0">
        <w:rPr>
          <w:lang w:eastAsia="zh-CN"/>
        </w:rPr>
        <w:t xml:space="preserve"> group as speaking the </w:t>
      </w:r>
      <w:r w:rsidR="00A23C2A" w:rsidRPr="00CF31E0">
        <w:rPr>
          <w:lang w:eastAsia="en-US"/>
        </w:rPr>
        <w:t>UBH</w:t>
      </w:r>
      <w:r w:rsidR="00A23C2A" w:rsidRPr="00CF31E0">
        <w:rPr>
          <w:lang w:eastAsia="zh-CN"/>
        </w:rPr>
        <w:t xml:space="preserve"> dialect more frequently than the female group. This result can be explained with reference to the gender-segregation issue in Saudi Arabia, as illustrated in Chapter</w:t>
      </w:r>
      <w:r w:rsidR="00F40B6D" w:rsidRPr="00CF31E0">
        <w:rPr>
          <w:lang w:eastAsia="zh-CN"/>
        </w:rPr>
        <w:t xml:space="preserve"> </w:t>
      </w:r>
      <w:r w:rsidR="00DE7711" w:rsidRPr="00CF31E0">
        <w:rPr>
          <w:lang w:eastAsia="zh-CN"/>
        </w:rPr>
        <w:t>2</w:t>
      </w:r>
      <w:r w:rsidR="00A23C2A" w:rsidRPr="00CF31E0">
        <w:rPr>
          <w:lang w:eastAsia="zh-CN"/>
        </w:rPr>
        <w:t>, section</w:t>
      </w:r>
      <w:r w:rsidR="00F40B6D" w:rsidRPr="00CF31E0">
        <w:rPr>
          <w:lang w:eastAsia="zh-CN"/>
        </w:rPr>
        <w:t xml:space="preserve"> </w:t>
      </w:r>
      <w:r w:rsidR="00DE7711" w:rsidRPr="00CF31E0">
        <w:rPr>
          <w:lang w:eastAsia="zh-CN"/>
        </w:rPr>
        <w:t>2</w:t>
      </w:r>
      <w:r w:rsidR="00F40B6D" w:rsidRPr="00CF31E0">
        <w:rPr>
          <w:lang w:eastAsia="zh-CN"/>
        </w:rPr>
        <w:t>.11</w:t>
      </w:r>
      <w:r w:rsidR="00A23C2A" w:rsidRPr="00CF31E0">
        <w:rPr>
          <w:lang w:eastAsia="zh-CN"/>
        </w:rPr>
        <w:t xml:space="preserve">. Gender segregation means that the male group are more likely to </w:t>
      </w:r>
      <w:r w:rsidR="00A23C2A" w:rsidRPr="00CF31E0">
        <w:rPr>
          <w:lang w:eastAsia="zh-CN"/>
        </w:rPr>
        <w:lastRenderedPageBreak/>
        <w:t>en</w:t>
      </w:r>
      <w:r w:rsidR="00A61670" w:rsidRPr="00CF31E0">
        <w:rPr>
          <w:lang w:eastAsia="zh-CN"/>
        </w:rPr>
        <w:t>count</w:t>
      </w:r>
      <w:r w:rsidR="00A23C2A" w:rsidRPr="00CF31E0">
        <w:rPr>
          <w:lang w:eastAsia="zh-CN"/>
        </w:rPr>
        <w:t xml:space="preserve">er and interact with their male </w:t>
      </w:r>
      <w:r w:rsidR="00A61670" w:rsidRPr="00CF31E0">
        <w:rPr>
          <w:lang w:eastAsia="zh-CN"/>
        </w:rPr>
        <w:t>counter</w:t>
      </w:r>
      <w:r w:rsidR="001B2E0A" w:rsidRPr="00CF31E0">
        <w:rPr>
          <w:lang w:eastAsia="zh-CN"/>
        </w:rPr>
        <w:t xml:space="preserve">parts. Thus, I might conclude that </w:t>
      </w:r>
      <w:r w:rsidR="001F510A" w:rsidRPr="00CF31E0">
        <w:rPr>
          <w:lang w:eastAsia="zh-CN"/>
        </w:rPr>
        <w:t>the HH</w:t>
      </w:r>
      <w:r w:rsidR="00A23C2A" w:rsidRPr="00CF31E0">
        <w:rPr>
          <w:lang w:eastAsia="zh-CN"/>
        </w:rPr>
        <w:t xml:space="preserve"> male group were perceive</w:t>
      </w:r>
      <w:r w:rsidR="001B2E0A" w:rsidRPr="00CF31E0">
        <w:rPr>
          <w:lang w:eastAsia="zh-CN"/>
        </w:rPr>
        <w:t>d as rarely adopting the UBH</w:t>
      </w:r>
      <w:r w:rsidR="00A23C2A" w:rsidRPr="00CF31E0">
        <w:rPr>
          <w:lang w:eastAsia="zh-CN"/>
        </w:rPr>
        <w:t xml:space="preserve"> dialect. On the other hand, the female group en</w:t>
      </w:r>
      <w:r w:rsidR="00A61670" w:rsidRPr="00CF31E0">
        <w:rPr>
          <w:lang w:eastAsia="zh-CN"/>
        </w:rPr>
        <w:t>count</w:t>
      </w:r>
      <w:r w:rsidR="00A23C2A" w:rsidRPr="00CF31E0">
        <w:rPr>
          <w:lang w:eastAsia="zh-CN"/>
        </w:rPr>
        <w:t xml:space="preserve">er more </w:t>
      </w:r>
      <w:r w:rsidR="001B2E0A" w:rsidRPr="00CF31E0">
        <w:rPr>
          <w:lang w:eastAsia="zh-CN"/>
        </w:rPr>
        <w:t xml:space="preserve">HH </w:t>
      </w:r>
      <w:r w:rsidR="00A23C2A" w:rsidRPr="00CF31E0">
        <w:rPr>
          <w:lang w:eastAsia="zh-CN"/>
        </w:rPr>
        <w:t>female members of society who seem to be adop</w:t>
      </w:r>
      <w:r w:rsidR="001B2E0A" w:rsidRPr="00CF31E0">
        <w:rPr>
          <w:lang w:eastAsia="zh-CN"/>
        </w:rPr>
        <w:t>ting a UBH</w:t>
      </w:r>
      <w:r w:rsidR="00A23C2A" w:rsidRPr="00CF31E0">
        <w:rPr>
          <w:lang w:eastAsia="zh-CN"/>
        </w:rPr>
        <w:t xml:space="preserve"> dialect more frequently than is the case with the male group. Simply put, I would argue that participants’ perceptions are confined to applying to a single gender group rather than applying to both groups as SA society is predominantly gender segregated. </w:t>
      </w:r>
    </w:p>
    <w:p w14:paraId="3313E2A7" w14:textId="7E9D2F1B" w:rsidR="00A23C2A" w:rsidRPr="00CF31E0" w:rsidRDefault="00DE7711" w:rsidP="00E87209">
      <w:pPr>
        <w:pStyle w:val="Ahead"/>
        <w:rPr>
          <w:rFonts w:eastAsia="Times New Roman"/>
        </w:rPr>
      </w:pPr>
      <w:bookmarkStart w:id="547" w:name="_Toc515415566"/>
      <w:bookmarkStart w:id="548" w:name="_Toc515610190"/>
      <w:bookmarkStart w:id="549" w:name="_Toc6472737"/>
      <w:r w:rsidRPr="00CF31E0">
        <w:rPr>
          <w:rFonts w:eastAsia="Times New Roman"/>
        </w:rPr>
        <w:t>8</w:t>
      </w:r>
      <w:r w:rsidR="00EC7246" w:rsidRPr="00CF31E0">
        <w:rPr>
          <w:rFonts w:eastAsia="Times New Roman"/>
        </w:rPr>
        <w:t>.10.</w:t>
      </w:r>
      <w:r w:rsidR="001E77DF" w:rsidRPr="00CF31E0">
        <w:rPr>
          <w:rFonts w:eastAsia="Times New Roman"/>
        </w:rPr>
        <w:tab/>
      </w:r>
      <w:r w:rsidR="00A23C2A" w:rsidRPr="00CF31E0">
        <w:rPr>
          <w:rFonts w:eastAsia="Times New Roman"/>
        </w:rPr>
        <w:t>Conclusion</w:t>
      </w:r>
      <w:bookmarkEnd w:id="547"/>
      <w:bookmarkEnd w:id="548"/>
      <w:bookmarkEnd w:id="549"/>
      <w:r w:rsidR="00A23C2A" w:rsidRPr="00CF31E0">
        <w:rPr>
          <w:rFonts w:eastAsia="Times New Roman"/>
        </w:rPr>
        <w:t xml:space="preserve"> </w:t>
      </w:r>
    </w:p>
    <w:p w14:paraId="1CEAEC46" w14:textId="28F0AA85" w:rsidR="00A23C2A" w:rsidRPr="00CF31E0" w:rsidRDefault="00A23C2A" w:rsidP="00603CB7">
      <w:pPr>
        <w:pStyle w:val="Paragraph"/>
        <w:rPr>
          <w:lang w:eastAsia="zh-CN"/>
        </w:rPr>
      </w:pPr>
      <w:r w:rsidRPr="00CF31E0">
        <w:rPr>
          <w:lang w:eastAsia="zh-CN"/>
        </w:rPr>
        <w:t xml:space="preserve">This chapter can be concluded with two main points: first, with the generalizations that can be made from the present results; and second, with the implications of this study on the Hijazi dialect situation. Regarding the generalizations, although this study has a sociolinguistic purpose, the findings suggest that this approach would also be beneficial in other linguistic fields as well as fields from other sectors such as social and </w:t>
      </w:r>
      <w:r w:rsidR="00F66E00">
        <w:rPr>
          <w:lang w:eastAsia="zh-CN"/>
        </w:rPr>
        <w:t xml:space="preserve">linguistic </w:t>
      </w:r>
      <w:r w:rsidRPr="00CF31E0">
        <w:rPr>
          <w:lang w:eastAsia="zh-CN"/>
        </w:rPr>
        <w:t xml:space="preserve">anthropological fields. This is because this part of the study incorporates a broader analysis of the linguistic situation in the region. As has been revealed and discussed, general attitudes regarding the dialect situation in general and a relative social issue, intermarriage, have paved the way for other aspects of investigation in the thesis. Similarly, regarding researchers from other fields, the findings of the present study can be used to gain a broad understanding of the linguistic situation in the region. Researchers can then move on to narrow their research according to their research purpose. It must be kept in mind that the perceptions towards the linguistic situation in the Hijaz region have not been investigated to date; therefore, the findings could have remarkable significance as they can inform research practice in SA in general and in the Hijaz region in particular. </w:t>
      </w:r>
    </w:p>
    <w:p w14:paraId="1E009FB8" w14:textId="02EB62D2" w:rsidR="00A23C2A" w:rsidRPr="00CF31E0" w:rsidRDefault="00A23C2A" w:rsidP="00603CB7">
      <w:pPr>
        <w:pStyle w:val="Paragraph"/>
        <w:rPr>
          <w:lang w:eastAsia="zh-CN"/>
        </w:rPr>
      </w:pPr>
      <w:r w:rsidRPr="00CF31E0">
        <w:rPr>
          <w:lang w:eastAsia="zh-CN"/>
        </w:rPr>
        <w:t xml:space="preserve">These findings can make a considerable contribution to the understanding of the macro language ideological systems in the Hijaz region. In this respect, a dichotomous language ideology appears to be in operation between two dialects, with the HH dialect being perceived as the most dominant in the </w:t>
      </w:r>
      <w:r w:rsidRPr="00CF31E0">
        <w:rPr>
          <w:lang w:eastAsia="zh-CN"/>
        </w:rPr>
        <w:lastRenderedPageBreak/>
        <w:t>region. This dialect is perceived to be distinguished from the</w:t>
      </w:r>
      <w:r w:rsidRPr="00CF31E0">
        <w:rPr>
          <w:lang w:eastAsia="en-US"/>
        </w:rPr>
        <w:t xml:space="preserve"> UBH dialect</w:t>
      </w:r>
      <w:r w:rsidRPr="00CF31E0">
        <w:rPr>
          <w:lang w:eastAsia="zh-CN"/>
        </w:rPr>
        <w:t xml:space="preserve"> in different linguistic aspects, while at the same time it is perceived as a similar dialect to other Arabic dialects. Most interestingly, the Bedouin social group seems flexible in adopting the </w:t>
      </w:r>
      <w:r w:rsidR="00FF4DC7" w:rsidRPr="00CF31E0">
        <w:rPr>
          <w:lang w:eastAsia="zh-CN"/>
        </w:rPr>
        <w:t>HH</w:t>
      </w:r>
      <w:r w:rsidRPr="00CF31E0">
        <w:rPr>
          <w:lang w:eastAsia="zh-CN"/>
        </w:rPr>
        <w:t xml:space="preserve"> dialect. On the contrary, they do not seem to be very flexible when it comes to intermarriage with the </w:t>
      </w:r>
      <w:r w:rsidR="00FF4DC7" w:rsidRPr="00CF31E0">
        <w:rPr>
          <w:lang w:eastAsia="zh-CN"/>
        </w:rPr>
        <w:t>HH</w:t>
      </w:r>
      <w:r w:rsidRPr="00CF31E0">
        <w:rPr>
          <w:lang w:eastAsia="zh-CN"/>
        </w:rPr>
        <w:t xml:space="preserve"> group; a reverse pattern was revealed for the </w:t>
      </w:r>
      <w:r w:rsidR="00FF4DC7" w:rsidRPr="00CF31E0">
        <w:rPr>
          <w:lang w:eastAsia="zh-CN"/>
        </w:rPr>
        <w:t>HH</w:t>
      </w:r>
      <w:r w:rsidRPr="00CF31E0">
        <w:rPr>
          <w:lang w:eastAsia="zh-CN"/>
        </w:rPr>
        <w:t xml:space="preserve"> social group. </w:t>
      </w:r>
    </w:p>
    <w:p w14:paraId="7AB8352E" w14:textId="1F15C248" w:rsidR="00160CC4" w:rsidRPr="00CF31E0" w:rsidRDefault="00A23C2A" w:rsidP="00603CB7">
      <w:pPr>
        <w:pStyle w:val="Paragraph"/>
        <w:rPr>
          <w:lang w:eastAsia="zh-CN"/>
        </w:rPr>
      </w:pPr>
      <w:r w:rsidRPr="00CF31E0">
        <w:rPr>
          <w:lang w:eastAsia="zh-CN"/>
        </w:rPr>
        <w:t xml:space="preserve">As can be seen, the findings discussed above set the scene for the overall perceived linguistic situation in the region, which can pave the way for further and more in-depth investigations of the two dialects. Having revealed the results for the broad linguistic situation in Hijaz, I can now move on to investigate the perceived characteristics of the two dialects and to confirm whether or not the perceived characteristics are driven by the language ideology that has been uncovered in this chapter. </w:t>
      </w:r>
    </w:p>
    <w:p w14:paraId="7B0FE471" w14:textId="77777777" w:rsidR="00A23C2A" w:rsidRPr="00CF31E0" w:rsidRDefault="00A23C2A" w:rsidP="00A23C2A">
      <w:pPr>
        <w:spacing w:before="120" w:after="120" w:line="360" w:lineRule="auto"/>
        <w:jc w:val="both"/>
        <w:rPr>
          <w:rFonts w:eastAsia="Calibri" w:cs="Arial"/>
          <w:color w:val="000000" w:themeColor="text1"/>
          <w:lang w:eastAsia="zh-CN"/>
        </w:rPr>
        <w:sectPr w:rsidR="00A23C2A" w:rsidRPr="00CF31E0" w:rsidSect="00603CB7">
          <w:footerReference w:type="even" r:id="rId33"/>
          <w:footerReference w:type="default" r:id="rId34"/>
          <w:pgSz w:w="11900" w:h="16840"/>
          <w:pgMar w:top="1440" w:right="2268" w:bottom="1440" w:left="2268" w:header="709" w:footer="709" w:gutter="0"/>
          <w:cols w:space="708"/>
          <w:docGrid w:linePitch="360"/>
        </w:sectPr>
      </w:pPr>
    </w:p>
    <w:p w14:paraId="43106DAE" w14:textId="1156B00E" w:rsidR="00A23C2A" w:rsidRPr="00CF31E0" w:rsidRDefault="00EC7246" w:rsidP="000A1504">
      <w:pPr>
        <w:pStyle w:val="Title"/>
        <w:rPr>
          <w:rFonts w:eastAsia="MS Mincho"/>
          <w:color w:val="000000" w:themeColor="text1"/>
          <w:lang w:val="en-US" w:eastAsia="en-US"/>
        </w:rPr>
      </w:pPr>
      <w:bookmarkStart w:id="550" w:name="_Toc502437221"/>
      <w:bookmarkStart w:id="551" w:name="_Toc6472738"/>
      <w:r w:rsidRPr="00CF31E0">
        <w:rPr>
          <w:rFonts w:eastAsia="MS Mincho"/>
          <w:color w:val="000000" w:themeColor="text1"/>
          <w:lang w:val="en-US" w:eastAsia="en-US"/>
        </w:rPr>
        <w:lastRenderedPageBreak/>
        <w:t xml:space="preserve">Chapter </w:t>
      </w:r>
      <w:r w:rsidR="000A1504" w:rsidRPr="00CF31E0">
        <w:rPr>
          <w:rFonts w:eastAsia="MS Mincho"/>
          <w:color w:val="000000" w:themeColor="text1"/>
          <w:lang w:val="en-US" w:eastAsia="en-US"/>
        </w:rPr>
        <w:t>9</w:t>
      </w:r>
      <w:r w:rsidRPr="00CF31E0">
        <w:rPr>
          <w:rFonts w:eastAsia="MS Mincho"/>
          <w:color w:val="000000" w:themeColor="text1"/>
          <w:lang w:val="en-US" w:eastAsia="en-US"/>
        </w:rPr>
        <w:t>: Results chapter for RQ</w:t>
      </w:r>
      <w:r w:rsidR="00A23C2A" w:rsidRPr="00CF31E0">
        <w:rPr>
          <w:rFonts w:eastAsia="MS Mincho"/>
          <w:color w:val="000000" w:themeColor="text1"/>
          <w:lang w:val="en-US" w:eastAsia="en-US"/>
        </w:rPr>
        <w:t>2</w:t>
      </w:r>
      <w:bookmarkEnd w:id="550"/>
      <w:bookmarkEnd w:id="551"/>
    </w:p>
    <w:p w14:paraId="684C92A3" w14:textId="45ACB9CA" w:rsidR="00A23C2A" w:rsidRPr="00CF31E0" w:rsidRDefault="000A1504" w:rsidP="00E87209">
      <w:pPr>
        <w:pStyle w:val="Ahead"/>
        <w:rPr>
          <w:rFonts w:eastAsia="Times New Roman"/>
        </w:rPr>
      </w:pPr>
      <w:bookmarkStart w:id="552" w:name="_Toc502437222"/>
      <w:bookmarkStart w:id="553" w:name="_Toc6472739"/>
      <w:r w:rsidRPr="00CF31E0">
        <w:rPr>
          <w:rFonts w:eastAsia="Times New Roman"/>
        </w:rPr>
        <w:t>9</w:t>
      </w:r>
      <w:r w:rsidR="00EC7246" w:rsidRPr="00CF31E0">
        <w:rPr>
          <w:rFonts w:eastAsia="Times New Roman"/>
        </w:rPr>
        <w:t>.1.</w:t>
      </w:r>
      <w:r w:rsidR="002A057C" w:rsidRPr="00CF31E0">
        <w:rPr>
          <w:rFonts w:eastAsia="Times New Roman"/>
        </w:rPr>
        <w:tab/>
      </w:r>
      <w:r w:rsidR="00A23C2A" w:rsidRPr="00CF31E0">
        <w:rPr>
          <w:rFonts w:eastAsia="Times New Roman"/>
        </w:rPr>
        <w:t>Introduction</w:t>
      </w:r>
      <w:bookmarkEnd w:id="552"/>
      <w:bookmarkEnd w:id="553"/>
      <w:r w:rsidR="00A23C2A" w:rsidRPr="00CF31E0">
        <w:rPr>
          <w:rFonts w:eastAsia="Times New Roman"/>
        </w:rPr>
        <w:t xml:space="preserve"> </w:t>
      </w:r>
    </w:p>
    <w:p w14:paraId="5CA25CAB" w14:textId="0E6056C6" w:rsidR="00A23C2A" w:rsidRPr="00CF31E0" w:rsidRDefault="00A23C2A" w:rsidP="00603CB7">
      <w:pPr>
        <w:pStyle w:val="Paragraph"/>
        <w:rPr>
          <w:lang w:eastAsia="zh-CN"/>
        </w:rPr>
      </w:pPr>
      <w:r w:rsidRPr="00CF31E0">
        <w:rPr>
          <w:lang w:eastAsia="zh-CN"/>
        </w:rPr>
        <w:t>This chapter presents the results for RQ2. The results are presented in sequential order. I will begin by presenting how the results were refined, in which a reliability test was the main data processing tool used to refine the data. Following this, I will present the data</w:t>
      </w:r>
      <w:r w:rsidR="00C86BDA" w:rsidRPr="00CF31E0">
        <w:rPr>
          <w:lang w:eastAsia="zh-CN"/>
        </w:rPr>
        <w:t>-reduction</w:t>
      </w:r>
      <w:r w:rsidRPr="00CF31E0">
        <w:rPr>
          <w:lang w:eastAsia="zh-CN"/>
        </w:rPr>
        <w:t xml:space="preserve"> results, where all of the collected data were reduced to two-factor solutions through factor analysis procedures. Having identified the factors, I deliberately separated the raw data according to participants’ social groups, and then embedded factors within the data for each dialect that were perceived by the two separate participants’ social groups. Then, I will present a comparison of the results derived from paired t-tests, which compared the mean score of each factor in each dialect with its equivalent in the data on the other dialect. Finally, I will conclude the chapter by presenting the effects of demographic variables on the results. By examining the results derived from refining, reducing and comparing the data, this chapter will demonstrate how a consensus regarding perceptions of each dialect by each group clearly emerged.</w:t>
      </w:r>
    </w:p>
    <w:p w14:paraId="5BC9E3B6" w14:textId="20ED9BFC" w:rsidR="00A23C2A" w:rsidRPr="00CF31E0" w:rsidRDefault="000A1504" w:rsidP="00E87209">
      <w:pPr>
        <w:pStyle w:val="Ahead"/>
        <w:rPr>
          <w:rFonts w:eastAsia="Times New Roman"/>
        </w:rPr>
      </w:pPr>
      <w:bookmarkStart w:id="554" w:name="_Toc502437223"/>
      <w:bookmarkStart w:id="555" w:name="_Toc6472740"/>
      <w:r w:rsidRPr="00CF31E0">
        <w:rPr>
          <w:rFonts w:eastAsia="Times New Roman"/>
        </w:rPr>
        <w:t>9</w:t>
      </w:r>
      <w:r w:rsidR="00EC7246" w:rsidRPr="00CF31E0">
        <w:rPr>
          <w:rFonts w:eastAsia="Times New Roman"/>
        </w:rPr>
        <w:t>.2.</w:t>
      </w:r>
      <w:r w:rsidR="002A057C" w:rsidRPr="00CF31E0">
        <w:rPr>
          <w:rFonts w:eastAsia="Times New Roman"/>
        </w:rPr>
        <w:tab/>
      </w:r>
      <w:r w:rsidR="00A23C2A" w:rsidRPr="00CF31E0">
        <w:rPr>
          <w:rFonts w:eastAsia="Times New Roman"/>
        </w:rPr>
        <w:t>Overview of data analysis stages</w:t>
      </w:r>
      <w:bookmarkEnd w:id="554"/>
      <w:bookmarkEnd w:id="555"/>
    </w:p>
    <w:p w14:paraId="6B31A3EB" w14:textId="77777777" w:rsidR="00A23C2A" w:rsidRPr="00CF31E0" w:rsidRDefault="00A23C2A" w:rsidP="00603CB7">
      <w:pPr>
        <w:pStyle w:val="Paragraph"/>
        <w:rPr>
          <w:lang w:eastAsia="zh-CN"/>
        </w:rPr>
      </w:pPr>
      <w:r w:rsidRPr="00CF31E0">
        <w:rPr>
          <w:lang w:eastAsia="zh-CN"/>
        </w:rPr>
        <w:t xml:space="preserve">The data analysis process consisted of several stages: reliability test, factor analysis, one-way analysis of variance (ANOVA) and paired t-tests. </w:t>
      </w:r>
      <w:r w:rsidRPr="00CF31E0">
        <w:rPr>
          <w:rFonts w:eastAsia="MS Mincho"/>
          <w:lang w:eastAsia="en-US"/>
        </w:rPr>
        <w:t xml:space="preserve">Each stage had its own effect in refining and cleaning the data. </w:t>
      </w:r>
      <w:r w:rsidRPr="00CF31E0">
        <w:rPr>
          <w:lang w:eastAsia="zh-CN"/>
        </w:rPr>
        <w:t xml:space="preserve">First, the reliability test was used to refine the data to achieve internal consistency. Second, factor analysis was applied for two purposes: to combine characteristics that pattern together and group them into separate factors, and to reveal the dimensions or the themes behind the perceived characteristics. Third, ANOVA was used to reveal whether the social background of the participants had any effects on the results. Finally, paired </w:t>
      </w:r>
      <w:r w:rsidRPr="00CF31E0">
        <w:rPr>
          <w:lang w:eastAsia="zh-CN"/>
        </w:rPr>
        <w:lastRenderedPageBreak/>
        <w:t xml:space="preserve">t-tests were conducted to compare participants’ perceptions towards factors within each dialect and to compare equivalent factors in the two dialects. </w:t>
      </w:r>
    </w:p>
    <w:p w14:paraId="6A6A504D" w14:textId="34ADB6C1" w:rsidR="00A23C2A" w:rsidRPr="00CF31E0" w:rsidRDefault="00A23C2A" w:rsidP="00603CB7">
      <w:pPr>
        <w:pStyle w:val="Paragraph"/>
        <w:rPr>
          <w:lang w:eastAsia="zh-CN"/>
        </w:rPr>
      </w:pPr>
      <w:r w:rsidRPr="00CF31E0">
        <w:rPr>
          <w:lang w:eastAsia="zh-CN"/>
        </w:rPr>
        <w:t xml:space="preserve">As previously mentioned, the preliminary data collected from the free-adjective questionnaire formed the basis for this data collection stage. In this data collection stage, new questionnaire format was designed to include all of the perceived characteristics and were then distributed to participants. As previously mentioned in </w:t>
      </w:r>
      <w:r w:rsidR="00963EAD" w:rsidRPr="00CF31E0">
        <w:rPr>
          <w:lang w:eastAsia="zh-CN"/>
        </w:rPr>
        <w:t>C</w:t>
      </w:r>
      <w:r w:rsidR="005E6E25" w:rsidRPr="00CF31E0">
        <w:rPr>
          <w:lang w:eastAsia="zh-CN"/>
        </w:rPr>
        <w:t>hapter 6</w:t>
      </w:r>
      <w:r w:rsidR="00963EAD" w:rsidRPr="00CF31E0">
        <w:rPr>
          <w:lang w:eastAsia="zh-CN"/>
        </w:rPr>
        <w:t>,</w:t>
      </w:r>
      <w:r w:rsidRPr="00CF31E0">
        <w:rPr>
          <w:lang w:eastAsia="zh-CN"/>
        </w:rPr>
        <w:t xml:space="preserve"> section</w:t>
      </w:r>
      <w:r w:rsidR="005E6E25" w:rsidRPr="00CF31E0">
        <w:rPr>
          <w:lang w:eastAsia="zh-CN"/>
        </w:rPr>
        <w:t xml:space="preserve"> </w:t>
      </w:r>
      <w:r w:rsidR="005E4DFC" w:rsidRPr="00CF31E0">
        <w:rPr>
          <w:lang w:eastAsia="zh-CN"/>
        </w:rPr>
        <w:t>6.11</w:t>
      </w:r>
      <w:r w:rsidRPr="00CF31E0">
        <w:rPr>
          <w:lang w:eastAsia="zh-CN"/>
        </w:rPr>
        <w:t>, the questionnaire was administered in two stages; group</w:t>
      </w:r>
      <w:r w:rsidR="00C86BDA" w:rsidRPr="00CF31E0">
        <w:rPr>
          <w:lang w:eastAsia="zh-CN"/>
        </w:rPr>
        <w:t>-administered</w:t>
      </w:r>
      <w:r w:rsidRPr="00CF31E0">
        <w:rPr>
          <w:lang w:eastAsia="zh-CN"/>
        </w:rPr>
        <w:t xml:space="preserve"> paper-based questionnaire and online-based questionnaire. Afterwards, the data collected from the two stages were combined into one Excel spreadsheet to prepare them for data processing. The data collected at this stage went through four procedures. Each procedure played a significant part in arriving at the major findings presented at the end of the chapter. All of the procedures are sequentially ordered; this means that each procedure was a pre-requisite for the one that follows.</w:t>
      </w:r>
    </w:p>
    <w:p w14:paraId="0B978366" w14:textId="7BD89AC7" w:rsidR="00A23C2A" w:rsidRPr="00CF31E0" w:rsidRDefault="000A1504" w:rsidP="00E87209">
      <w:pPr>
        <w:pStyle w:val="Ahead"/>
        <w:rPr>
          <w:rFonts w:eastAsia="Times New Roman"/>
        </w:rPr>
      </w:pPr>
      <w:bookmarkStart w:id="556" w:name="_Toc502437224"/>
      <w:bookmarkStart w:id="557" w:name="_Toc6472741"/>
      <w:r w:rsidRPr="00CF31E0">
        <w:rPr>
          <w:rFonts w:eastAsia="Times New Roman"/>
        </w:rPr>
        <w:t>9</w:t>
      </w:r>
      <w:r w:rsidR="002A057C" w:rsidRPr="00CF31E0">
        <w:rPr>
          <w:rFonts w:eastAsia="Times New Roman"/>
        </w:rPr>
        <w:t>.3.</w:t>
      </w:r>
      <w:r w:rsidR="002A057C" w:rsidRPr="00CF31E0">
        <w:rPr>
          <w:rFonts w:eastAsia="Times New Roman"/>
        </w:rPr>
        <w:tab/>
      </w:r>
      <w:r w:rsidR="00C62685" w:rsidRPr="00CF31E0">
        <w:rPr>
          <w:rFonts w:eastAsia="Times New Roman"/>
        </w:rPr>
        <w:t>Data-</w:t>
      </w:r>
      <w:r w:rsidR="00A23C2A" w:rsidRPr="00CF31E0">
        <w:rPr>
          <w:rFonts w:eastAsia="Times New Roman"/>
        </w:rPr>
        <w:t>refining results</w:t>
      </w:r>
      <w:r w:rsidR="00C62685" w:rsidRPr="00CF31E0">
        <w:rPr>
          <w:rFonts w:eastAsia="Times New Roman"/>
        </w:rPr>
        <w:t xml:space="preserve">: </w:t>
      </w:r>
      <w:r w:rsidR="00A23C2A" w:rsidRPr="00CF31E0">
        <w:rPr>
          <w:rFonts w:eastAsia="Times New Roman"/>
        </w:rPr>
        <w:t>Reliability test</w:t>
      </w:r>
      <w:bookmarkEnd w:id="556"/>
      <w:bookmarkEnd w:id="557"/>
    </w:p>
    <w:p w14:paraId="4E98A956" w14:textId="552C3245" w:rsidR="00A23C2A" w:rsidRPr="00CF31E0" w:rsidRDefault="00A23C2A" w:rsidP="00603CB7">
      <w:pPr>
        <w:pStyle w:val="Paragraph"/>
        <w:rPr>
          <w:lang w:val="en-US" w:eastAsia="en-US"/>
        </w:rPr>
      </w:pPr>
      <w:r w:rsidRPr="00CF31E0">
        <w:rPr>
          <w:lang w:val="en-US" w:eastAsia="zh-CN"/>
        </w:rPr>
        <w:t xml:space="preserve">I inserted all characteristics in the scale into IBM SPSS (version 23) to start processing them. </w:t>
      </w:r>
      <w:r w:rsidRPr="00CF31E0">
        <w:rPr>
          <w:lang w:eastAsia="en-US"/>
        </w:rPr>
        <w:t xml:space="preserve">In the reliability test, I wanted to make sure that variables in the scale have internal consistency, and that they are measuring the same underlying construct </w:t>
      </w:r>
      <w:r w:rsidRPr="00CF31E0">
        <w:rPr>
          <w:lang w:eastAsia="en-US"/>
        </w:rPr>
        <w:fldChar w:fldCharType="begin"/>
      </w:r>
      <w:r w:rsidRPr="00CF31E0">
        <w:rPr>
          <w:lang w:eastAsia="en-US"/>
        </w:rPr>
        <w:instrText xml:space="preserve"> ADDIN ZOTERO_ITEM CSL_CITATION {"citationID":"a19dfn7k2t","properties":{"formattedCitation":"(Nunnally &amp; Bernstein, 1974; Pallant, 2013)","plainCitation":"(Nunnally &amp; Bernstein, 1974; Pallant, 2013)"},"citationItems":[{"id":223,"uris":["http://zotero.org/users/1939618/items/AM9Z2HVI"],"uri":["http://zotero.org/users/1939618/items/AM9Z2HVI"],"itemData":{"id":223,"type":"book","title":"Psychometric theory","publisher":"McGraw-Hill.","publisher-place":"New York","edition":"3rd","source":"Google Scholar","event-place":"New York","URL":"http://www.jstor.org/stable/pdf/1175619.pdf","author":[{"family":"Nunnally","given":"Jum C."},{"family":"Bernstein","given":"Ira H."}],"issued":{"date-parts":[["1974"]]},"accessed":{"date-parts":[["2016",11,26]]}},"label":"page"},{"id":208,"uris":["http://zotero.org/users/1939618/items/ME4Z3BDW"],"uri":["http://zotero.org/users/1939618/items/ME4Z3BDW"],"itemData":{"id":208,"type":"book","title":"SPSS survival manual","publisher":"McGraw-Hill Education (UK)","edition":"5th","source":"Google Scholar","URL":"https://books.google.co.uk/books?hl=en&amp;lr=&amp;id=fZZTBgAAQBAJ&amp;oi=fnd&amp;pg=PR7&amp;dq=spss+manual+survival+5th+edition&amp;ots=KUNtjTXXyQ&amp;sig=bmJQspifgoygavKVhpMYsXasP1I","author":[{"family":"Pallant","given":"Julie"}],"issued":{"date-parts":[["2013"]]},"accessed":{"date-parts":[["2016",11,25]]}},"label":"page"}],"schema":"https://github.com/citation-style-language/schema/raw/master/csl-citation.json"} </w:instrText>
      </w:r>
      <w:r w:rsidRPr="00CF31E0">
        <w:rPr>
          <w:lang w:eastAsia="en-US"/>
        </w:rPr>
        <w:fldChar w:fldCharType="separate"/>
      </w:r>
      <w:r w:rsidRPr="00CF31E0">
        <w:rPr>
          <w:noProof/>
          <w:lang w:eastAsia="en-US"/>
        </w:rPr>
        <w:t>(Nunnally &amp; Bernstein, 1974; Pallant, 2013)</w:t>
      </w:r>
      <w:r w:rsidRPr="00CF31E0">
        <w:rPr>
          <w:lang w:eastAsia="en-US"/>
        </w:rPr>
        <w:fldChar w:fldCharType="end"/>
      </w:r>
      <w:r w:rsidRPr="00CF31E0">
        <w:rPr>
          <w:lang w:eastAsia="en-US"/>
        </w:rPr>
        <w:t>. By ensuring that this is the case, the items in the factor analysis (the next stage of the data processing) are more likely to have factorability. Two statistical approaches have been used in the literature to measure the internal consistency of scale items: the split-half technique and Cronbach’s Alpha technique. In the current analysis, I applied the Cronbach’s Alpha technique. Cronbach’s Alpha “</w:t>
      </w:r>
      <w:r w:rsidRPr="00CF31E0">
        <w:rPr>
          <w:lang w:val="en-US" w:eastAsia="en-US"/>
        </w:rPr>
        <w:t>represents the proportion of total variance in a given scale that can be attributed to a common source” (DeVellis, 1991</w:t>
      </w:r>
      <w:r w:rsidR="0052281A" w:rsidRPr="00CF31E0">
        <w:rPr>
          <w:lang w:val="en-US" w:eastAsia="en-US"/>
        </w:rPr>
        <w:t xml:space="preserve"> as cited</w:t>
      </w:r>
      <w:r w:rsidRPr="00CF31E0">
        <w:rPr>
          <w:lang w:val="en-US" w:eastAsia="en-US"/>
        </w:rPr>
        <w:t xml:space="preserve"> in </w:t>
      </w:r>
      <w:r w:rsidRPr="00CF31E0">
        <w:rPr>
          <w:lang w:val="en-US" w:eastAsia="en-US"/>
        </w:rPr>
        <w:fldChar w:fldCharType="begin"/>
      </w:r>
      <w:r w:rsidRPr="00CF31E0">
        <w:rPr>
          <w:lang w:val="en-US" w:eastAsia="en-US"/>
        </w:rPr>
        <w:instrText xml:space="preserve"> ADDIN ZOTERO_ITEM CSL_CITATION {"citationID":"Bh3p7xH3","properties":{"formattedCitation":"(Pett, Lackey, &amp; Sullivan, 2011, pp. 16, chapter, 6)","plainCitation":"(Pett, Lackey, &amp; Sullivan, 2011, pp. 16, chapter, 6)"},"citationItems":[{"id":207,"uris":["http://zotero.org/users/1939618/items/ZQHWHPQI"],"uri":["http://zotero.org/users/1939618/items/ZQHWHPQI"],"itemData":{"id":207,"type":"book","title":"Making sense of factor analysis: The use of factor analysis for instrument development in health care research","publisher":"Sage","source":"Google Scholar","shortTitle":"Making sense of factor analysis","author":[{"family":"Pett","given":"Marjorie A."},{"family":"Lackey","given":"Nancy R."},{"family":"Sullivan","given":"John J."}],"issued":{"date-parts":[["2011"]]}},"locator":"16, chapter, 6","label":"page"}],"schema":"https://github.com/citation-style-language/schema/raw/master/csl-citation.json"} </w:instrText>
      </w:r>
      <w:r w:rsidRPr="00CF31E0">
        <w:rPr>
          <w:lang w:val="en-US" w:eastAsia="en-US"/>
        </w:rPr>
        <w:fldChar w:fldCharType="separate"/>
      </w:r>
      <w:r w:rsidR="00030EEC" w:rsidRPr="00CF31E0">
        <w:rPr>
          <w:noProof/>
          <w:lang w:val="en-US" w:eastAsia="en-US"/>
        </w:rPr>
        <w:t>Pett, Lackey, &amp; Sullivan, 2003</w:t>
      </w:r>
      <w:r w:rsidR="00FA482A">
        <w:rPr>
          <w:noProof/>
          <w:lang w:val="en-US" w:eastAsia="en-US"/>
        </w:rPr>
        <w:t>, p. 16</w:t>
      </w:r>
      <w:r w:rsidRPr="00CF31E0">
        <w:rPr>
          <w:noProof/>
          <w:lang w:val="en-US" w:eastAsia="en-US"/>
        </w:rPr>
        <w:t>)</w:t>
      </w:r>
      <w:r w:rsidRPr="00CF31E0">
        <w:rPr>
          <w:lang w:val="en-US" w:eastAsia="en-US"/>
        </w:rPr>
        <w:fldChar w:fldCharType="end"/>
      </w:r>
      <w:r w:rsidRPr="00CF31E0">
        <w:rPr>
          <w:lang w:val="en-US" w:eastAsia="en-US"/>
        </w:rPr>
        <w:t xml:space="preserve">. </w:t>
      </w:r>
      <w:r w:rsidR="004C5C0C">
        <w:rPr>
          <w:lang w:val="en-US" w:eastAsia="en-US"/>
        </w:rPr>
        <w:t xml:space="preserve">This means that </w:t>
      </w:r>
      <w:r w:rsidR="00AE24A5">
        <w:rPr>
          <w:lang w:val="en-US" w:eastAsia="en-US"/>
        </w:rPr>
        <w:t xml:space="preserve">Cronbach’s Alpha technique estimates how closely related the items in the scale as a group. </w:t>
      </w:r>
      <w:r w:rsidRPr="00CF31E0">
        <w:rPr>
          <w:lang w:val="en-US" w:eastAsia="en-US"/>
        </w:rPr>
        <w:t xml:space="preserve">I chose the Cronbach’s Alpha technique over the split-half technique because it not only measures scale reliability but also provides “the average of all </w:t>
      </w:r>
      <w:r w:rsidRPr="00CF31E0">
        <w:rPr>
          <w:lang w:val="en-US" w:eastAsia="en-US"/>
        </w:rPr>
        <w:lastRenderedPageBreak/>
        <w:t>possible split-half reliability coefficients that can be obtained from a given set of items in a scale</w:t>
      </w:r>
      <w:r w:rsidRPr="00CF31E0">
        <w:rPr>
          <w:rFonts w:eastAsia="Calibri"/>
          <w:lang w:eastAsia="en-US"/>
        </w:rPr>
        <w:t>”</w:t>
      </w:r>
      <w:r w:rsidRPr="00CF31E0">
        <w:rPr>
          <w:lang w:val="en-US" w:eastAsia="en-US"/>
        </w:rPr>
        <w:t xml:space="preserve"> </w:t>
      </w:r>
      <w:r w:rsidRPr="00CF31E0">
        <w:rPr>
          <w:lang w:val="en-US" w:eastAsia="en-US"/>
        </w:rPr>
        <w:fldChar w:fldCharType="begin"/>
      </w:r>
      <w:r w:rsidRPr="00CF31E0">
        <w:rPr>
          <w:lang w:val="en-US" w:eastAsia="en-US"/>
        </w:rPr>
        <w:instrText xml:space="preserve"> ADDIN ZOTERO_ITEM CSL_CITATION {"citationID":"Y4QyAsdy","properties":{"formattedCitation":"(Pett et al., 2011, p. 17, chapter 6)","plainCitation":"(Pett et al., 2011, p. 17, chapter 6)"},"citationItems":[{"id":207,"uris":["http://zotero.org/users/1939618/items/ZQHWHPQI"],"uri":["http://zotero.org/users/1939618/items/ZQHWHPQI"],"itemData":{"id":207,"type":"book","title":"Making sense of factor analysis: The use of factor analysis for instrument development in health care research","publisher":"Sage","source":"Google Scholar","shortTitle":"Making sense of factor analysis","author":[{"family":"Pett","given":"Marjorie A."},{"family":"Lackey","given":"Nancy R."},{"family":"Sullivan","given":"John J."}],"issued":{"date-parts":[["2011"]]}},"locator":"17, chapter 6","label":"page"}],"schema":"https://github.com/citation-style-language/schema/raw/master/csl-citation.json"} </w:instrText>
      </w:r>
      <w:r w:rsidRPr="00CF31E0">
        <w:rPr>
          <w:lang w:val="en-US" w:eastAsia="en-US"/>
        </w:rPr>
        <w:fldChar w:fldCharType="separate"/>
      </w:r>
      <w:r w:rsidR="00030EEC" w:rsidRPr="00CF31E0">
        <w:rPr>
          <w:noProof/>
          <w:lang w:val="en-US" w:eastAsia="en-US"/>
        </w:rPr>
        <w:t>(Pett et al., 2003</w:t>
      </w:r>
      <w:r w:rsidRPr="00CF31E0">
        <w:rPr>
          <w:noProof/>
          <w:lang w:val="en-US" w:eastAsia="en-US"/>
        </w:rPr>
        <w:t>, p. 17)</w:t>
      </w:r>
      <w:r w:rsidRPr="00CF31E0">
        <w:rPr>
          <w:lang w:val="en-US" w:eastAsia="en-US"/>
        </w:rPr>
        <w:fldChar w:fldCharType="end"/>
      </w:r>
      <w:r w:rsidRPr="00CF31E0">
        <w:rPr>
          <w:rFonts w:eastAsia="Times New Roman"/>
          <w:szCs w:val="22"/>
          <w:lang w:eastAsia="zh-CN"/>
        </w:rPr>
        <w:t>.</w:t>
      </w:r>
    </w:p>
    <w:p w14:paraId="51A51472" w14:textId="6871BE09" w:rsidR="00A23C2A" w:rsidRPr="00CF31E0" w:rsidRDefault="00A23C2A" w:rsidP="005E4DFC">
      <w:pPr>
        <w:pStyle w:val="Paragraph"/>
        <w:rPr>
          <w:rFonts w:eastAsia="MS Mincho"/>
          <w:lang w:val="en-US" w:eastAsia="en-US"/>
        </w:rPr>
      </w:pPr>
      <w:r w:rsidRPr="00CF31E0">
        <w:rPr>
          <w:lang w:eastAsia="en-US"/>
        </w:rPr>
        <w:fldChar w:fldCharType="begin"/>
      </w:r>
      <w:r w:rsidRPr="00CF31E0">
        <w:rPr>
          <w:lang w:eastAsia="en-US"/>
        </w:rPr>
        <w:instrText xml:space="preserve"> ADDIN ZOTERO_ITEM CSL_CITATION {"citationID":"c1MjK3ea","properties":{"formattedCitation":"(Pallant, 2013, p. 101)","plainCitation":"(Pallant, 2013, p. 101)"},"citationItems":[{"id":208,"uris":["http://zotero.org/users/1939618/items/ME4Z3BDW"],"uri":["http://zotero.org/users/1939618/items/ME4Z3BDW"],"itemData":{"id":208,"type":"book","title":"SPSS survival manual","publisher":"McGraw-Hill Education (UK)","edition":"5th","source":"Google Scholar","URL":"https://books.google.co.uk/books?hl=en&amp;lr=&amp;id=fZZTBgAAQBAJ&amp;oi=fnd&amp;pg=PR7&amp;dq=spss+manual+survival+5th+edition&amp;ots=KUNtjTXXyQ&amp;sig=bmJQspifgoygavKVhpMYsXasP1I","author":[{"family":"Pallant","given":"Julie"}],"issued":{"date-parts":[["2013"]]},"accessed":{"date-parts":[["2016",11,25]]}},"locator":"101","label":"page"}],"schema":"https://github.com/citation-style-language/schema/raw/master/csl-citation.json"} </w:instrText>
      </w:r>
      <w:r w:rsidRPr="00CF31E0">
        <w:rPr>
          <w:lang w:eastAsia="en-US"/>
        </w:rPr>
        <w:fldChar w:fldCharType="separate"/>
      </w:r>
      <w:r w:rsidRPr="00CF31E0">
        <w:rPr>
          <w:noProof/>
          <w:lang w:eastAsia="en-US"/>
        </w:rPr>
        <w:t>Pallant (2013, p. 89)</w:t>
      </w:r>
      <w:r w:rsidRPr="00CF31E0">
        <w:rPr>
          <w:lang w:eastAsia="en-US"/>
        </w:rPr>
        <w:fldChar w:fldCharType="end"/>
      </w:r>
      <w:r w:rsidRPr="00CF31E0">
        <w:rPr>
          <w:rFonts w:eastAsia="MS Mincho"/>
          <w:lang w:val="en-US" w:eastAsia="en-US"/>
        </w:rPr>
        <w:t xml:space="preserve"> </w:t>
      </w:r>
      <w:r w:rsidRPr="00CF31E0">
        <w:rPr>
          <w:rFonts w:eastAsia="MS Mincho"/>
          <w:lang w:eastAsia="en-US"/>
        </w:rPr>
        <w:t>recommends</w:t>
      </w:r>
      <w:r w:rsidRPr="00CF31E0">
        <w:rPr>
          <w:rFonts w:eastAsia="MS Mincho"/>
          <w:lang w:val="en-US" w:eastAsia="en-US"/>
        </w:rPr>
        <w:t xml:space="preserve"> that any item that is negatively worded in the scale should be reversed “to help prevent response bias”. As mentioned earlier, a semantic differential scale was used in the questionnaire. Scores for each item can range from 1 (least) to 5 (most). </w:t>
      </w:r>
      <w:r w:rsidRPr="00CF31E0">
        <w:rPr>
          <w:rFonts w:eastAsia="MS Mincho"/>
          <w:lang w:eastAsia="en-US"/>
        </w:rPr>
        <w:t xml:space="preserve">A </w:t>
      </w:r>
      <w:r w:rsidRPr="00CF31E0">
        <w:rPr>
          <w:rFonts w:eastAsia="MS Mincho"/>
          <w:lang w:val="en-US" w:eastAsia="en-US"/>
        </w:rPr>
        <w:t xml:space="preserve">negatively worded </w:t>
      </w:r>
      <w:r w:rsidRPr="00CF31E0">
        <w:rPr>
          <w:rFonts w:eastAsia="MS Mincho"/>
          <w:lang w:eastAsia="en-US"/>
        </w:rPr>
        <w:t xml:space="preserve">item </w:t>
      </w:r>
      <w:r w:rsidRPr="00CF31E0">
        <w:rPr>
          <w:rFonts w:eastAsia="MS Mincho"/>
          <w:lang w:val="en-US" w:eastAsia="en-US"/>
        </w:rPr>
        <w:t>in the questionnaire</w:t>
      </w:r>
      <w:r w:rsidR="005E4DFC" w:rsidRPr="00CF31E0">
        <w:rPr>
          <w:rFonts w:eastAsia="MS Mincho"/>
          <w:lang w:val="en-US" w:eastAsia="en-US"/>
        </w:rPr>
        <w:t xml:space="preserve"> is</w:t>
      </w:r>
      <w:r w:rsidRPr="00CF31E0">
        <w:rPr>
          <w:rFonts w:eastAsia="MS Mincho"/>
          <w:lang w:val="en-US" w:eastAsia="en-US"/>
        </w:rPr>
        <w:t xml:space="preserve"> </w:t>
      </w:r>
      <w:r w:rsidRPr="00CF31E0">
        <w:rPr>
          <w:rFonts w:eastAsia="MS Mincho"/>
          <w:iCs/>
          <w:lang w:val="en-US" w:eastAsia="en-US"/>
        </w:rPr>
        <w:t>(</w:t>
      </w:r>
      <w:r w:rsidRPr="00CF31E0">
        <w:rPr>
          <w:rFonts w:eastAsia="MS Mincho"/>
          <w:i/>
          <w:lang w:val="en-US" w:eastAsia="en-US"/>
        </w:rPr>
        <w:t>some of the letters are not produced with the proper sound target)</w:t>
      </w:r>
      <w:r w:rsidR="005E4DFC" w:rsidRPr="00CF31E0">
        <w:rPr>
          <w:rFonts w:eastAsia="MS Mincho"/>
          <w:i/>
          <w:lang w:val="en-US" w:eastAsia="en-US"/>
        </w:rPr>
        <w:t xml:space="preserve"> </w:t>
      </w:r>
      <w:r w:rsidR="005E4DFC" w:rsidRPr="00CF31E0">
        <w:rPr>
          <w:rFonts w:eastAsia="MS Mincho"/>
          <w:iCs/>
          <w:lang w:val="en-US" w:eastAsia="en-US"/>
        </w:rPr>
        <w:t>see Appendix 1, for a copy of the questionnaire</w:t>
      </w:r>
      <w:r w:rsidRPr="00CF31E0">
        <w:rPr>
          <w:rFonts w:eastAsia="MS Mincho"/>
          <w:iCs/>
          <w:lang w:val="en-US" w:eastAsia="en-US"/>
        </w:rPr>
        <w:t xml:space="preserve">. </w:t>
      </w:r>
      <w:r w:rsidRPr="00CF31E0">
        <w:rPr>
          <w:rFonts w:eastAsia="MS Mincho"/>
          <w:lang w:val="en-US" w:eastAsia="en-US"/>
        </w:rPr>
        <w:t xml:space="preserve"> I reversed the scores for only this item, because high scores in this item indicate a negative attitude towards this characteristic. However, if for example we take another item such as the item </w:t>
      </w:r>
      <w:r w:rsidRPr="00CF31E0">
        <w:rPr>
          <w:rFonts w:eastAsia="MS Mincho"/>
          <w:i/>
          <w:lang w:val="en-US" w:eastAsia="en-US"/>
        </w:rPr>
        <w:t>distinctive</w:t>
      </w:r>
      <w:r w:rsidRPr="00CF31E0">
        <w:rPr>
          <w:rFonts w:eastAsia="MS Mincho"/>
          <w:lang w:val="en-US" w:eastAsia="en-US"/>
        </w:rPr>
        <w:t>,</w:t>
      </w:r>
      <w:r w:rsidRPr="00CF31E0">
        <w:rPr>
          <w:rFonts w:eastAsia="MS Mincho"/>
          <w:i/>
          <w:lang w:val="en-US" w:eastAsia="en-US"/>
        </w:rPr>
        <w:t xml:space="preserve"> </w:t>
      </w:r>
      <w:r w:rsidRPr="00CF31E0">
        <w:rPr>
          <w:rFonts w:eastAsia="MS Mincho"/>
          <w:lang w:val="en-US" w:eastAsia="en-US"/>
        </w:rPr>
        <w:t>high scores in this item indicate a positive attitude towards this characteristic. I used SPSS</w:t>
      </w:r>
      <w:r w:rsidR="0084047B" w:rsidRPr="00CF31E0">
        <w:rPr>
          <w:rFonts w:eastAsia="MS Mincho"/>
          <w:lang w:val="en-US" w:eastAsia="en-US"/>
        </w:rPr>
        <w:t xml:space="preserve"> (version 23)</w:t>
      </w:r>
      <w:r w:rsidRPr="00CF31E0">
        <w:rPr>
          <w:rFonts w:eastAsia="MS Mincho"/>
          <w:lang w:val="en-US" w:eastAsia="en-US"/>
        </w:rPr>
        <w:t xml:space="preserve"> to test the reliability of the scales in this study.</w:t>
      </w:r>
    </w:p>
    <w:tbl>
      <w:tblPr>
        <w:tblW w:w="0" w:type="auto"/>
        <w:tblInd w:w="88" w:type="dxa"/>
        <w:tblBorders>
          <w:top w:val="single" w:sz="4" w:space="0" w:color="auto"/>
          <w:bottom w:val="single" w:sz="4" w:space="0" w:color="auto"/>
        </w:tblBorders>
        <w:tblLook w:val="0000" w:firstRow="0" w:lastRow="0" w:firstColumn="0" w:lastColumn="0" w:noHBand="0" w:noVBand="0"/>
      </w:tblPr>
      <w:tblGrid>
        <w:gridCol w:w="1655"/>
        <w:gridCol w:w="1870"/>
        <w:gridCol w:w="1547"/>
        <w:gridCol w:w="1419"/>
      </w:tblGrid>
      <w:tr w:rsidR="00BC35BF" w:rsidRPr="00CF31E0" w14:paraId="5455D2CD" w14:textId="77777777" w:rsidTr="00603CB7">
        <w:tc>
          <w:tcPr>
            <w:tcW w:w="1655" w:type="dxa"/>
            <w:tcBorders>
              <w:top w:val="single" w:sz="4" w:space="0" w:color="auto"/>
              <w:bottom w:val="single" w:sz="4" w:space="0" w:color="auto"/>
            </w:tcBorders>
          </w:tcPr>
          <w:p w14:paraId="3D66D0DA" w14:textId="77777777" w:rsidR="00BC35BF" w:rsidRPr="00CF31E0" w:rsidRDefault="00BC35BF" w:rsidP="00603CB7">
            <w:pPr>
              <w:spacing w:before="120" w:after="120"/>
              <w:rPr>
                <w:rFonts w:eastAsia="Calibri"/>
                <w:color w:val="000000" w:themeColor="text1"/>
                <w:sz w:val="22"/>
                <w:szCs w:val="22"/>
              </w:rPr>
            </w:pPr>
          </w:p>
        </w:tc>
        <w:tc>
          <w:tcPr>
            <w:tcW w:w="1870" w:type="dxa"/>
            <w:tcBorders>
              <w:top w:val="single" w:sz="4" w:space="0" w:color="auto"/>
              <w:bottom w:val="single" w:sz="4" w:space="0" w:color="auto"/>
            </w:tcBorders>
          </w:tcPr>
          <w:p w14:paraId="2C670587" w14:textId="77777777" w:rsidR="00BC35BF" w:rsidRPr="00CF31E0" w:rsidRDefault="00BC35BF" w:rsidP="00603CB7">
            <w:pPr>
              <w:spacing w:before="120" w:after="120"/>
              <w:rPr>
                <w:rFonts w:eastAsia="Calibri"/>
                <w:color w:val="000000" w:themeColor="text1"/>
                <w:sz w:val="22"/>
                <w:szCs w:val="22"/>
              </w:rPr>
            </w:pPr>
          </w:p>
        </w:tc>
        <w:tc>
          <w:tcPr>
            <w:tcW w:w="1547" w:type="dxa"/>
            <w:tcBorders>
              <w:top w:val="single" w:sz="4" w:space="0" w:color="auto"/>
              <w:bottom w:val="single" w:sz="4" w:space="0" w:color="auto"/>
            </w:tcBorders>
          </w:tcPr>
          <w:p w14:paraId="074BC6B7" w14:textId="3C7E28F1" w:rsidR="00BC35BF" w:rsidRPr="00CF31E0" w:rsidRDefault="00BC35BF" w:rsidP="00603CB7">
            <w:pPr>
              <w:spacing w:before="120" w:after="120"/>
              <w:rPr>
                <w:rFonts w:eastAsia="Calibri"/>
                <w:color w:val="000000" w:themeColor="text1"/>
                <w:sz w:val="22"/>
                <w:szCs w:val="22"/>
              </w:rPr>
            </w:pPr>
            <w:r w:rsidRPr="00CF31E0">
              <w:rPr>
                <w:rFonts w:eastAsia="Calibri"/>
                <w:color w:val="000000" w:themeColor="text1"/>
                <w:sz w:val="22"/>
                <w:szCs w:val="22"/>
              </w:rPr>
              <w:t>N</w:t>
            </w:r>
          </w:p>
        </w:tc>
        <w:tc>
          <w:tcPr>
            <w:tcW w:w="1419" w:type="dxa"/>
            <w:tcBorders>
              <w:top w:val="single" w:sz="4" w:space="0" w:color="auto"/>
              <w:bottom w:val="single" w:sz="4" w:space="0" w:color="auto"/>
            </w:tcBorders>
          </w:tcPr>
          <w:p w14:paraId="01131694" w14:textId="63EFF0F6" w:rsidR="00BC35BF" w:rsidRPr="00CF31E0" w:rsidRDefault="00BC35BF" w:rsidP="00603CB7">
            <w:pPr>
              <w:spacing w:before="120" w:after="120"/>
              <w:rPr>
                <w:rFonts w:eastAsia="Calibri"/>
                <w:color w:val="000000" w:themeColor="text1"/>
                <w:sz w:val="22"/>
                <w:szCs w:val="22"/>
              </w:rPr>
            </w:pPr>
            <w:r w:rsidRPr="00CF31E0">
              <w:rPr>
                <w:rFonts w:eastAsia="Calibri"/>
                <w:color w:val="000000" w:themeColor="text1"/>
                <w:sz w:val="22"/>
                <w:szCs w:val="22"/>
              </w:rPr>
              <w:t>%</w:t>
            </w:r>
          </w:p>
        </w:tc>
      </w:tr>
      <w:tr w:rsidR="007F558A" w:rsidRPr="00CF31E0" w14:paraId="0AF319FF" w14:textId="77777777" w:rsidTr="00603CB7">
        <w:tc>
          <w:tcPr>
            <w:tcW w:w="1655" w:type="dxa"/>
            <w:tcBorders>
              <w:top w:val="single" w:sz="4" w:space="0" w:color="auto"/>
              <w:bottom w:val="single" w:sz="8" w:space="0" w:color="auto"/>
            </w:tcBorders>
          </w:tcPr>
          <w:p w14:paraId="79AEED54" w14:textId="77777777" w:rsidR="00A23C2A" w:rsidRPr="00CF31E0" w:rsidRDefault="00A23C2A" w:rsidP="00603CB7">
            <w:pPr>
              <w:spacing w:before="120" w:after="120"/>
              <w:rPr>
                <w:rFonts w:eastAsia="Calibri"/>
                <w:color w:val="000000" w:themeColor="text1"/>
                <w:sz w:val="22"/>
                <w:szCs w:val="22"/>
              </w:rPr>
            </w:pPr>
            <w:r w:rsidRPr="00CF31E0">
              <w:rPr>
                <w:rFonts w:eastAsia="Calibri"/>
                <w:color w:val="000000" w:themeColor="text1"/>
                <w:sz w:val="22"/>
                <w:szCs w:val="22"/>
              </w:rPr>
              <w:t>Cases</w:t>
            </w:r>
          </w:p>
        </w:tc>
        <w:tc>
          <w:tcPr>
            <w:tcW w:w="1870" w:type="dxa"/>
            <w:tcBorders>
              <w:top w:val="single" w:sz="4" w:space="0" w:color="auto"/>
              <w:bottom w:val="single" w:sz="8" w:space="0" w:color="auto"/>
            </w:tcBorders>
          </w:tcPr>
          <w:p w14:paraId="46D3AFA5" w14:textId="77777777" w:rsidR="00A23C2A" w:rsidRPr="00CF31E0" w:rsidRDefault="00A23C2A" w:rsidP="00603CB7">
            <w:pPr>
              <w:spacing w:before="120" w:after="120"/>
              <w:rPr>
                <w:rFonts w:eastAsia="Calibri"/>
                <w:color w:val="000000" w:themeColor="text1"/>
                <w:sz w:val="22"/>
                <w:szCs w:val="22"/>
              </w:rPr>
            </w:pPr>
            <w:r w:rsidRPr="00CF31E0">
              <w:rPr>
                <w:rFonts w:eastAsia="Calibri"/>
                <w:color w:val="000000" w:themeColor="text1"/>
                <w:sz w:val="22"/>
                <w:szCs w:val="22"/>
              </w:rPr>
              <w:t>Valid</w:t>
            </w:r>
          </w:p>
        </w:tc>
        <w:tc>
          <w:tcPr>
            <w:tcW w:w="1547" w:type="dxa"/>
            <w:tcBorders>
              <w:top w:val="single" w:sz="4" w:space="0" w:color="auto"/>
              <w:bottom w:val="single" w:sz="8" w:space="0" w:color="auto"/>
            </w:tcBorders>
          </w:tcPr>
          <w:p w14:paraId="420617A5" w14:textId="5C204628" w:rsidR="00A23C2A" w:rsidRPr="00CF31E0" w:rsidRDefault="00A23C2A" w:rsidP="00603CB7">
            <w:pPr>
              <w:spacing w:before="120" w:after="120"/>
              <w:rPr>
                <w:rFonts w:eastAsia="Calibri"/>
                <w:color w:val="000000" w:themeColor="text1"/>
                <w:sz w:val="22"/>
                <w:szCs w:val="22"/>
              </w:rPr>
            </w:pPr>
            <w:r w:rsidRPr="00CF31E0">
              <w:rPr>
                <w:rFonts w:eastAsia="Calibri"/>
                <w:color w:val="000000" w:themeColor="text1"/>
                <w:sz w:val="22"/>
                <w:szCs w:val="22"/>
              </w:rPr>
              <w:t>129</w:t>
            </w:r>
            <w:r w:rsidR="00962B4B" w:rsidRPr="00CF31E0">
              <w:rPr>
                <w:rFonts w:eastAsia="Calibri"/>
                <w:color w:val="000000" w:themeColor="text1"/>
                <w:sz w:val="22"/>
                <w:szCs w:val="22"/>
              </w:rPr>
              <w:t>8</w:t>
            </w:r>
          </w:p>
        </w:tc>
        <w:tc>
          <w:tcPr>
            <w:tcW w:w="1419" w:type="dxa"/>
            <w:tcBorders>
              <w:top w:val="single" w:sz="4" w:space="0" w:color="auto"/>
              <w:bottom w:val="single" w:sz="8" w:space="0" w:color="auto"/>
            </w:tcBorders>
          </w:tcPr>
          <w:p w14:paraId="7EC5F273" w14:textId="6F1567C3" w:rsidR="00A23C2A" w:rsidRPr="00CF31E0" w:rsidRDefault="00F153A5" w:rsidP="00603CB7">
            <w:pPr>
              <w:spacing w:before="120" w:after="120"/>
              <w:rPr>
                <w:rFonts w:eastAsia="Calibri"/>
                <w:color w:val="000000" w:themeColor="text1"/>
                <w:sz w:val="22"/>
                <w:szCs w:val="22"/>
              </w:rPr>
            </w:pPr>
            <w:r w:rsidRPr="00CF31E0">
              <w:rPr>
                <w:rFonts w:eastAsia="Calibri"/>
                <w:color w:val="000000" w:themeColor="text1"/>
                <w:sz w:val="22"/>
                <w:szCs w:val="22"/>
              </w:rPr>
              <w:t>100.0</w:t>
            </w:r>
          </w:p>
        </w:tc>
      </w:tr>
    </w:tbl>
    <w:p w14:paraId="1A6FCB49" w14:textId="7769A477" w:rsidR="00505974" w:rsidRPr="00CF31E0" w:rsidRDefault="00A23C2A" w:rsidP="000A1504">
      <w:pPr>
        <w:pStyle w:val="Tablecaption"/>
        <w:rPr>
          <w:lang w:eastAsia="zh-CN"/>
        </w:rPr>
      </w:pPr>
      <w:bookmarkStart w:id="558" w:name="_Toc522527437"/>
      <w:bookmarkStart w:id="559" w:name="_Toc522628849"/>
      <w:bookmarkStart w:id="560" w:name="_Toc522629013"/>
      <w:bookmarkStart w:id="561" w:name="_Toc6473110"/>
      <w:r w:rsidRPr="00CF31E0">
        <w:rPr>
          <w:lang w:eastAsia="zh-CN"/>
        </w:rPr>
        <w:t xml:space="preserve">Table </w:t>
      </w:r>
      <w:r w:rsidR="000A1504" w:rsidRPr="00CF31E0">
        <w:rPr>
          <w:lang w:eastAsia="zh-CN"/>
        </w:rPr>
        <w:t>9</w:t>
      </w:r>
      <w:r w:rsidR="002A057C" w:rsidRPr="00CF31E0">
        <w:rPr>
          <w:lang w:eastAsia="zh-CN"/>
        </w:rPr>
        <w:t>.</w:t>
      </w:r>
      <w:r w:rsidRPr="00CF31E0">
        <w:rPr>
          <w:lang w:eastAsia="zh-CN"/>
        </w:rPr>
        <w:t>1: Case processing summary</w:t>
      </w:r>
      <w:r w:rsidR="002A057C" w:rsidRPr="00CF31E0">
        <w:rPr>
          <w:lang w:eastAsia="zh-CN"/>
        </w:rPr>
        <w:t>.</w:t>
      </w:r>
      <w:bookmarkEnd w:id="558"/>
      <w:bookmarkEnd w:id="559"/>
      <w:bookmarkEnd w:id="560"/>
      <w:bookmarkEnd w:id="561"/>
    </w:p>
    <w:p w14:paraId="10B39121" w14:textId="2AD75966" w:rsidR="00A23C2A" w:rsidRPr="00CF31E0" w:rsidRDefault="00A23C2A" w:rsidP="00603CB7">
      <w:pPr>
        <w:pStyle w:val="Paragraph"/>
        <w:rPr>
          <w:lang w:eastAsia="zh-CN"/>
        </w:rPr>
      </w:pPr>
      <w:r w:rsidRPr="00CF31E0">
        <w:rPr>
          <w:lang w:eastAsia="zh-CN"/>
        </w:rPr>
        <w:t xml:space="preserve">As can be seen from Table </w:t>
      </w:r>
      <w:r w:rsidR="000A1504" w:rsidRPr="00CF31E0">
        <w:rPr>
          <w:lang w:eastAsia="zh-CN"/>
        </w:rPr>
        <w:t>9</w:t>
      </w:r>
      <w:r w:rsidR="002A057C" w:rsidRPr="00CF31E0">
        <w:rPr>
          <w:lang w:eastAsia="zh-CN"/>
        </w:rPr>
        <w:t>.</w:t>
      </w:r>
      <w:r w:rsidRPr="00CF31E0">
        <w:rPr>
          <w:lang w:eastAsia="zh-CN"/>
        </w:rPr>
        <w:t>1, that the number of participants is doubled because they were given two que</w:t>
      </w:r>
      <w:r w:rsidR="00E11D1A" w:rsidRPr="00CF31E0">
        <w:rPr>
          <w:lang w:eastAsia="zh-CN"/>
        </w:rPr>
        <w:t>stionnaires, one for the UBH</w:t>
      </w:r>
      <w:r w:rsidRPr="00CF31E0">
        <w:rPr>
          <w:lang w:eastAsia="zh-CN"/>
        </w:rPr>
        <w:t xml:space="preserve"> dial</w:t>
      </w:r>
      <w:r w:rsidR="00E11D1A" w:rsidRPr="00CF31E0">
        <w:rPr>
          <w:lang w:eastAsia="zh-CN"/>
        </w:rPr>
        <w:t>ect and the other for the HH</w:t>
      </w:r>
      <w:r w:rsidRPr="00CF31E0">
        <w:rPr>
          <w:lang w:eastAsia="zh-CN"/>
        </w:rPr>
        <w:t xml:space="preserve"> dialect. </w:t>
      </w:r>
    </w:p>
    <w:p w14:paraId="53D34DAB" w14:textId="228D74C0" w:rsidR="00A23C2A" w:rsidRPr="00CF31E0" w:rsidRDefault="00A23C2A" w:rsidP="00603CB7">
      <w:pPr>
        <w:pStyle w:val="Paragraph"/>
        <w:rPr>
          <w:lang w:eastAsia="zh-CN"/>
        </w:rPr>
      </w:pPr>
      <w:r w:rsidRPr="00CF31E0">
        <w:rPr>
          <w:lang w:val="en-US" w:eastAsia="zh-CN"/>
        </w:rPr>
        <w:t xml:space="preserve">At this stage, my main concern was to test the reliability of the items in each scale. I kept re-running the analysis for the reliability test many times until I reached a reasonable Cronbach’s Alpha value. I will now illustrate the findings of the first analysis obtained from the reliability test. </w:t>
      </w:r>
      <w:r w:rsidRPr="00CF31E0">
        <w:rPr>
          <w:lang w:eastAsia="zh-CN"/>
        </w:rPr>
        <w:t xml:space="preserve">Table </w:t>
      </w:r>
      <w:r w:rsidR="000A1504" w:rsidRPr="00CF31E0">
        <w:rPr>
          <w:lang w:eastAsia="zh-CN"/>
        </w:rPr>
        <w:t>9</w:t>
      </w:r>
      <w:r w:rsidR="002A057C" w:rsidRPr="00CF31E0">
        <w:rPr>
          <w:lang w:eastAsia="zh-CN"/>
        </w:rPr>
        <w:t>.</w:t>
      </w:r>
      <w:r w:rsidRPr="00CF31E0">
        <w:rPr>
          <w:lang w:eastAsia="zh-CN"/>
        </w:rPr>
        <w:t>2 illustrates the Cronbach’s Alpha value obtained the first time I ran the analysis before removing any item from the scale.</w:t>
      </w:r>
    </w:p>
    <w:tbl>
      <w:tblPr>
        <w:tblW w:w="7446"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2627"/>
        <w:gridCol w:w="3402"/>
        <w:gridCol w:w="1417"/>
      </w:tblGrid>
      <w:tr w:rsidR="007F558A" w:rsidRPr="00CF31E0" w14:paraId="412940EC" w14:textId="77777777" w:rsidTr="00603CB7">
        <w:trPr>
          <w:trHeight w:val="968"/>
        </w:trPr>
        <w:tc>
          <w:tcPr>
            <w:tcW w:w="2627" w:type="dxa"/>
            <w:shd w:val="clear" w:color="auto" w:fill="FFFFFF"/>
            <w:tcMar>
              <w:top w:w="0" w:type="dxa"/>
              <w:left w:w="75" w:type="dxa"/>
              <w:bottom w:w="0" w:type="dxa"/>
              <w:right w:w="75" w:type="dxa"/>
            </w:tcMar>
            <w:vAlign w:val="bottom"/>
            <w:hideMark/>
          </w:tcPr>
          <w:p w14:paraId="72D0AE4D" w14:textId="27C4A34C" w:rsidR="00A23C2A" w:rsidRPr="00CF31E0" w:rsidRDefault="00BC35BF" w:rsidP="00603CB7">
            <w:pPr>
              <w:spacing w:before="120" w:after="120"/>
              <w:rPr>
                <w:rFonts w:eastAsia="Calibri"/>
                <w:color w:val="000000" w:themeColor="text1"/>
                <w:sz w:val="22"/>
                <w:szCs w:val="22"/>
              </w:rPr>
            </w:pPr>
            <w:r w:rsidRPr="00CF31E0">
              <w:rPr>
                <w:rFonts w:eastAsia="Calibri"/>
                <w:color w:val="000000" w:themeColor="text1"/>
                <w:sz w:val="22"/>
                <w:szCs w:val="22"/>
              </w:rPr>
              <w:t xml:space="preserve">Cronbach’s </w:t>
            </w:r>
            <w:r w:rsidR="00A23C2A" w:rsidRPr="00CF31E0">
              <w:rPr>
                <w:rFonts w:eastAsia="Calibri"/>
                <w:color w:val="000000" w:themeColor="text1"/>
                <w:sz w:val="22"/>
                <w:szCs w:val="22"/>
              </w:rPr>
              <w:t>Alpha</w:t>
            </w:r>
          </w:p>
        </w:tc>
        <w:tc>
          <w:tcPr>
            <w:tcW w:w="3402" w:type="dxa"/>
            <w:shd w:val="clear" w:color="auto" w:fill="FFFFFF"/>
            <w:tcMar>
              <w:top w:w="0" w:type="dxa"/>
              <w:left w:w="75" w:type="dxa"/>
              <w:bottom w:w="0" w:type="dxa"/>
              <w:right w:w="75" w:type="dxa"/>
            </w:tcMar>
            <w:vAlign w:val="bottom"/>
            <w:hideMark/>
          </w:tcPr>
          <w:p w14:paraId="4ABBC306" w14:textId="3DB96144" w:rsidR="00A23C2A" w:rsidRPr="00CF31E0" w:rsidRDefault="00BC35BF" w:rsidP="00603CB7">
            <w:pPr>
              <w:spacing w:before="120" w:after="120"/>
              <w:rPr>
                <w:rFonts w:eastAsia="Calibri"/>
                <w:color w:val="000000" w:themeColor="text1"/>
                <w:sz w:val="22"/>
                <w:szCs w:val="22"/>
              </w:rPr>
            </w:pPr>
            <w:r w:rsidRPr="00CF31E0">
              <w:rPr>
                <w:rFonts w:eastAsia="Calibri"/>
                <w:color w:val="000000" w:themeColor="text1"/>
                <w:sz w:val="22"/>
                <w:szCs w:val="22"/>
              </w:rPr>
              <w:t xml:space="preserve">Cronbach’s </w:t>
            </w:r>
            <w:r w:rsidR="00A23C2A" w:rsidRPr="00CF31E0">
              <w:rPr>
                <w:rFonts w:eastAsia="Calibri"/>
                <w:color w:val="000000" w:themeColor="text1"/>
                <w:sz w:val="22"/>
                <w:szCs w:val="22"/>
              </w:rPr>
              <w:t>Alpha Based on Standardized Items</w:t>
            </w:r>
          </w:p>
        </w:tc>
        <w:tc>
          <w:tcPr>
            <w:tcW w:w="1417" w:type="dxa"/>
            <w:shd w:val="clear" w:color="auto" w:fill="FFFFFF"/>
            <w:tcMar>
              <w:top w:w="0" w:type="dxa"/>
              <w:left w:w="75" w:type="dxa"/>
              <w:bottom w:w="0" w:type="dxa"/>
              <w:right w:w="75" w:type="dxa"/>
            </w:tcMar>
            <w:vAlign w:val="bottom"/>
            <w:hideMark/>
          </w:tcPr>
          <w:p w14:paraId="20358B2F" w14:textId="77777777" w:rsidR="00A23C2A" w:rsidRPr="00CF31E0" w:rsidRDefault="00A23C2A" w:rsidP="00603CB7">
            <w:pPr>
              <w:spacing w:before="120" w:after="120"/>
              <w:rPr>
                <w:rFonts w:eastAsia="Calibri"/>
                <w:color w:val="000000" w:themeColor="text1"/>
                <w:sz w:val="22"/>
                <w:szCs w:val="22"/>
              </w:rPr>
            </w:pPr>
            <w:r w:rsidRPr="00CF31E0">
              <w:rPr>
                <w:rFonts w:eastAsia="Calibri"/>
                <w:color w:val="000000" w:themeColor="text1"/>
                <w:sz w:val="22"/>
                <w:szCs w:val="22"/>
              </w:rPr>
              <w:t>N of Items</w:t>
            </w:r>
          </w:p>
        </w:tc>
      </w:tr>
      <w:tr w:rsidR="007F558A" w:rsidRPr="00CF31E0" w14:paraId="4529256B" w14:textId="77777777" w:rsidTr="00603CB7">
        <w:trPr>
          <w:trHeight w:val="455"/>
        </w:trPr>
        <w:tc>
          <w:tcPr>
            <w:tcW w:w="2627" w:type="dxa"/>
            <w:shd w:val="clear" w:color="auto" w:fill="FFFFFF"/>
            <w:tcMar>
              <w:top w:w="0" w:type="dxa"/>
              <w:left w:w="75" w:type="dxa"/>
              <w:bottom w:w="0" w:type="dxa"/>
              <w:right w:w="75" w:type="dxa"/>
            </w:tcMar>
            <w:vAlign w:val="center"/>
            <w:hideMark/>
          </w:tcPr>
          <w:p w14:paraId="66AC7613" w14:textId="77777777" w:rsidR="00A23C2A" w:rsidRPr="00CF31E0" w:rsidRDefault="00A23C2A" w:rsidP="00603CB7">
            <w:pPr>
              <w:spacing w:before="120" w:after="120"/>
              <w:rPr>
                <w:rFonts w:eastAsia="Calibri"/>
                <w:color w:val="000000" w:themeColor="text1"/>
                <w:sz w:val="22"/>
                <w:szCs w:val="22"/>
              </w:rPr>
            </w:pPr>
            <w:r w:rsidRPr="00CF31E0">
              <w:rPr>
                <w:rFonts w:eastAsia="Calibri"/>
                <w:color w:val="000000" w:themeColor="text1"/>
                <w:sz w:val="22"/>
                <w:szCs w:val="22"/>
              </w:rPr>
              <w:t>.549</w:t>
            </w:r>
          </w:p>
        </w:tc>
        <w:tc>
          <w:tcPr>
            <w:tcW w:w="3402" w:type="dxa"/>
            <w:shd w:val="clear" w:color="auto" w:fill="FFFFFF"/>
            <w:tcMar>
              <w:top w:w="0" w:type="dxa"/>
              <w:left w:w="75" w:type="dxa"/>
              <w:bottom w:w="0" w:type="dxa"/>
              <w:right w:w="75" w:type="dxa"/>
            </w:tcMar>
            <w:vAlign w:val="center"/>
            <w:hideMark/>
          </w:tcPr>
          <w:p w14:paraId="013A96AA" w14:textId="77777777" w:rsidR="00A23C2A" w:rsidRPr="00CF31E0" w:rsidRDefault="00A23C2A" w:rsidP="00603CB7">
            <w:pPr>
              <w:spacing w:before="120" w:after="120"/>
              <w:rPr>
                <w:rFonts w:eastAsia="Calibri"/>
                <w:color w:val="000000" w:themeColor="text1"/>
                <w:sz w:val="22"/>
                <w:szCs w:val="22"/>
              </w:rPr>
            </w:pPr>
            <w:r w:rsidRPr="00CF31E0">
              <w:rPr>
                <w:rFonts w:eastAsia="Calibri"/>
                <w:color w:val="000000" w:themeColor="text1"/>
                <w:sz w:val="22"/>
                <w:szCs w:val="22"/>
              </w:rPr>
              <w:t>.586</w:t>
            </w:r>
          </w:p>
        </w:tc>
        <w:tc>
          <w:tcPr>
            <w:tcW w:w="1417" w:type="dxa"/>
            <w:shd w:val="clear" w:color="auto" w:fill="FFFFFF"/>
            <w:tcMar>
              <w:top w:w="0" w:type="dxa"/>
              <w:left w:w="75" w:type="dxa"/>
              <w:bottom w:w="0" w:type="dxa"/>
              <w:right w:w="75" w:type="dxa"/>
            </w:tcMar>
            <w:vAlign w:val="center"/>
            <w:hideMark/>
          </w:tcPr>
          <w:p w14:paraId="3FB2B07B" w14:textId="77777777" w:rsidR="00A23C2A" w:rsidRPr="00CF31E0" w:rsidRDefault="00A23C2A" w:rsidP="00603CB7">
            <w:pPr>
              <w:spacing w:before="120" w:after="120"/>
              <w:rPr>
                <w:rFonts w:eastAsia="Calibri"/>
                <w:color w:val="000000" w:themeColor="text1"/>
                <w:sz w:val="22"/>
                <w:szCs w:val="22"/>
              </w:rPr>
            </w:pPr>
            <w:r w:rsidRPr="00CF31E0">
              <w:rPr>
                <w:rFonts w:eastAsia="Calibri"/>
                <w:color w:val="000000" w:themeColor="text1"/>
                <w:sz w:val="22"/>
                <w:szCs w:val="22"/>
              </w:rPr>
              <w:t>22</w:t>
            </w:r>
          </w:p>
        </w:tc>
      </w:tr>
    </w:tbl>
    <w:p w14:paraId="568D4ACB" w14:textId="0BD5528F" w:rsidR="00A23C2A" w:rsidRPr="00CF31E0" w:rsidRDefault="00A23C2A" w:rsidP="000A1504">
      <w:pPr>
        <w:pStyle w:val="Tablecaption"/>
      </w:pPr>
      <w:bookmarkStart w:id="562" w:name="_Toc522527438"/>
      <w:bookmarkStart w:id="563" w:name="_Toc522628850"/>
      <w:bookmarkStart w:id="564" w:name="_Toc522629014"/>
      <w:bookmarkStart w:id="565" w:name="_Toc6473111"/>
      <w:r w:rsidRPr="00CF31E0">
        <w:t xml:space="preserve">Table </w:t>
      </w:r>
      <w:r w:rsidR="000A1504" w:rsidRPr="00CF31E0">
        <w:t>9</w:t>
      </w:r>
      <w:r w:rsidR="002A057C" w:rsidRPr="00CF31E0">
        <w:t>.</w:t>
      </w:r>
      <w:r w:rsidRPr="00CF31E0">
        <w:t>2</w:t>
      </w:r>
      <w:r w:rsidR="002A057C" w:rsidRPr="00CF31E0">
        <w:t>:</w:t>
      </w:r>
      <w:r w:rsidRPr="00CF31E0">
        <w:t xml:space="preserve"> Reliability statistics.</w:t>
      </w:r>
      <w:bookmarkEnd w:id="562"/>
      <w:bookmarkEnd w:id="563"/>
      <w:bookmarkEnd w:id="564"/>
      <w:bookmarkEnd w:id="565"/>
      <w:r w:rsidRPr="00CF31E0">
        <w:t xml:space="preserve"> </w:t>
      </w:r>
    </w:p>
    <w:p w14:paraId="61A76BC8" w14:textId="003F25F1" w:rsidR="00A23C2A" w:rsidRPr="00CF31E0" w:rsidRDefault="00A23C2A" w:rsidP="00603CB7">
      <w:pPr>
        <w:pStyle w:val="Paragraph"/>
        <w:rPr>
          <w:lang w:val="en-US" w:eastAsia="zh-CN"/>
        </w:rPr>
      </w:pPr>
      <w:r w:rsidRPr="00CF31E0">
        <w:rPr>
          <w:lang w:val="en-US" w:eastAsia="zh-CN"/>
        </w:rPr>
        <w:lastRenderedPageBreak/>
        <w:t xml:space="preserve">As can be seen from </w:t>
      </w:r>
      <w:r w:rsidR="002A057C" w:rsidRPr="00CF31E0">
        <w:rPr>
          <w:lang w:val="en-US" w:eastAsia="zh-CN"/>
        </w:rPr>
        <w:t>T</w:t>
      </w:r>
      <w:r w:rsidRPr="00CF31E0">
        <w:rPr>
          <w:lang w:val="en-US" w:eastAsia="zh-CN"/>
        </w:rPr>
        <w:t xml:space="preserve">able </w:t>
      </w:r>
      <w:r w:rsidR="000A1504" w:rsidRPr="00CF31E0">
        <w:rPr>
          <w:lang w:val="en-US" w:eastAsia="zh-CN"/>
        </w:rPr>
        <w:t>9</w:t>
      </w:r>
      <w:r w:rsidR="002A057C" w:rsidRPr="00CF31E0">
        <w:rPr>
          <w:lang w:val="en-US" w:eastAsia="zh-CN"/>
        </w:rPr>
        <w:t>.</w:t>
      </w:r>
      <w:r w:rsidRPr="00CF31E0">
        <w:rPr>
          <w:lang w:val="en-US" w:eastAsia="zh-CN"/>
        </w:rPr>
        <w:t xml:space="preserve">2 above, the Cronbach’s Alpha value for the data from both dialects is .549. However, ideally it should be above .7 </w:t>
      </w:r>
      <w:r w:rsidRPr="00CF31E0">
        <w:rPr>
          <w:lang w:val="en-US" w:eastAsia="zh-CN"/>
        </w:rPr>
        <w:fldChar w:fldCharType="begin"/>
      </w:r>
      <w:r w:rsidRPr="00CF31E0">
        <w:rPr>
          <w:lang w:val="en-US" w:eastAsia="zh-CN"/>
        </w:rPr>
        <w:instrText xml:space="preserve"> ADDIN ZOTERO_ITEM CSL_CITATION {"citationID":"zm4bwWUZ","properties":{"formattedCitation":"(Pallant, 2013, p. 104)","plainCitation":"(Pallant, 2013, p. 104)"},"citationItems":[{"id":208,"uris":["http://zotero.org/users/1939618/items/ME4Z3BDW"],"uri":["http://zotero.org/users/1939618/items/ME4Z3BDW"],"itemData":{"id":208,"type":"book","title":"SPSS survival manual","publisher":"McGraw-Hill Education (UK)","edition":"5th","source":"Google Scholar","URL":"https://books.google.co.uk/books?hl=en&amp;lr=&amp;id=fZZTBgAAQBAJ&amp;oi=fnd&amp;pg=PR7&amp;dq=spss+manual+survival+5th+edition&amp;ots=KUNtjTXXyQ&amp;sig=bmJQspifgoygavKVhpMYsXasP1I","author":[{"family":"Pallant","given":"Julie"}],"issued":{"date-parts":[["2013"]]},"accessed":{"date-parts":[["2016",11,25]]}},"locator":"104","label":"page"}],"schema":"https://github.com/citation-style-language/schema/raw/master/csl-citation.json"} </w:instrText>
      </w:r>
      <w:r w:rsidRPr="00CF31E0">
        <w:rPr>
          <w:lang w:val="en-US" w:eastAsia="zh-CN"/>
        </w:rPr>
        <w:fldChar w:fldCharType="separate"/>
      </w:r>
      <w:r w:rsidRPr="00CF31E0">
        <w:rPr>
          <w:noProof/>
          <w:lang w:val="en-US" w:eastAsia="zh-CN"/>
        </w:rPr>
        <w:t>(Pallant, 2013, p. 104)</w:t>
      </w:r>
      <w:r w:rsidRPr="00CF31E0">
        <w:rPr>
          <w:lang w:val="en-US" w:eastAsia="zh-CN"/>
        </w:rPr>
        <w:fldChar w:fldCharType="end"/>
      </w:r>
      <w:r w:rsidRPr="00CF31E0">
        <w:rPr>
          <w:lang w:val="en-US" w:eastAsia="zh-CN"/>
        </w:rPr>
        <w:t xml:space="preserve">. In other words, if the Cronbach’s Alpha value is lower than .7, then the internal consistency of the items is not satisfactory. This problem can be solved by deleting items that negatively affect the internal consistency of the items in the scale. In the next section, I will demonstrate in detail how and why this can be achieved. See Table </w:t>
      </w:r>
      <w:r w:rsidR="000A1504" w:rsidRPr="00CF31E0">
        <w:rPr>
          <w:lang w:val="en-US" w:eastAsia="zh-CN"/>
        </w:rPr>
        <w:t>9</w:t>
      </w:r>
      <w:r w:rsidR="002A057C" w:rsidRPr="00CF31E0">
        <w:rPr>
          <w:lang w:val="en-US" w:eastAsia="zh-CN"/>
        </w:rPr>
        <w:t>.</w:t>
      </w:r>
      <w:r w:rsidRPr="00CF31E0">
        <w:rPr>
          <w:lang w:val="en-US" w:eastAsia="zh-CN"/>
        </w:rPr>
        <w:t xml:space="preserve">3 for the item-total statistics for the data on both dialects. </w:t>
      </w:r>
    </w:p>
    <w:tbl>
      <w:tblPr>
        <w:tblW w:w="768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69"/>
        <w:gridCol w:w="997"/>
        <w:gridCol w:w="1114"/>
        <w:gridCol w:w="1153"/>
        <w:gridCol w:w="1276"/>
        <w:gridCol w:w="1276"/>
      </w:tblGrid>
      <w:tr w:rsidR="001136D4" w:rsidRPr="00CF31E0" w14:paraId="1A46882D" w14:textId="77777777" w:rsidTr="001136D4">
        <w:trPr>
          <w:cantSplit/>
        </w:trPr>
        <w:tc>
          <w:tcPr>
            <w:tcW w:w="1869" w:type="dxa"/>
            <w:shd w:val="clear" w:color="auto" w:fill="FFFFFF"/>
            <w:vAlign w:val="bottom"/>
          </w:tcPr>
          <w:p w14:paraId="6EDEC606" w14:textId="77777777" w:rsidR="00A23C2A" w:rsidRPr="00CF31E0" w:rsidRDefault="00A23C2A" w:rsidP="00A23C2A">
            <w:pPr>
              <w:widowControl w:val="0"/>
              <w:autoSpaceDE w:val="0"/>
              <w:autoSpaceDN w:val="0"/>
              <w:adjustRightInd w:val="0"/>
              <w:spacing w:before="120"/>
              <w:jc w:val="both"/>
              <w:rPr>
                <w:rFonts w:eastAsia="Times New Roman"/>
                <w:color w:val="000000" w:themeColor="text1"/>
                <w:sz w:val="22"/>
                <w:szCs w:val="22"/>
                <w:lang w:eastAsia="zh-CN"/>
              </w:rPr>
            </w:pPr>
          </w:p>
        </w:tc>
        <w:tc>
          <w:tcPr>
            <w:tcW w:w="997" w:type="dxa"/>
            <w:shd w:val="clear" w:color="auto" w:fill="FFFFFF"/>
            <w:vAlign w:val="bottom"/>
          </w:tcPr>
          <w:p w14:paraId="735FC35F" w14:textId="77777777" w:rsidR="00A23C2A" w:rsidRPr="00CF31E0" w:rsidRDefault="00A23C2A" w:rsidP="00603CB7">
            <w:pPr>
              <w:widowControl w:val="0"/>
              <w:autoSpaceDE w:val="0"/>
              <w:autoSpaceDN w:val="0"/>
              <w:adjustRightInd w:val="0"/>
              <w:spacing w:before="120"/>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Scale Mean if Item Deleted</w:t>
            </w:r>
          </w:p>
        </w:tc>
        <w:tc>
          <w:tcPr>
            <w:tcW w:w="1114" w:type="dxa"/>
            <w:shd w:val="clear" w:color="auto" w:fill="FFFFFF"/>
            <w:vAlign w:val="bottom"/>
          </w:tcPr>
          <w:p w14:paraId="3BD702A2" w14:textId="77777777" w:rsidR="00A23C2A" w:rsidRPr="00CF31E0" w:rsidRDefault="00A23C2A" w:rsidP="00603CB7">
            <w:pPr>
              <w:widowControl w:val="0"/>
              <w:autoSpaceDE w:val="0"/>
              <w:autoSpaceDN w:val="0"/>
              <w:adjustRightInd w:val="0"/>
              <w:spacing w:before="120"/>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Scale Variance if Item Deleted</w:t>
            </w:r>
          </w:p>
        </w:tc>
        <w:tc>
          <w:tcPr>
            <w:tcW w:w="1153" w:type="dxa"/>
            <w:shd w:val="clear" w:color="auto" w:fill="FFFFFF"/>
            <w:vAlign w:val="bottom"/>
          </w:tcPr>
          <w:p w14:paraId="428CC2B7" w14:textId="77777777" w:rsidR="00A23C2A" w:rsidRPr="00CF31E0" w:rsidRDefault="00A23C2A" w:rsidP="00603CB7">
            <w:pPr>
              <w:widowControl w:val="0"/>
              <w:autoSpaceDE w:val="0"/>
              <w:autoSpaceDN w:val="0"/>
              <w:adjustRightInd w:val="0"/>
              <w:spacing w:before="120"/>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Corrected Item-Total Correlation</w:t>
            </w:r>
          </w:p>
        </w:tc>
        <w:tc>
          <w:tcPr>
            <w:tcW w:w="1276" w:type="dxa"/>
            <w:shd w:val="clear" w:color="auto" w:fill="FFFFFF"/>
            <w:vAlign w:val="bottom"/>
          </w:tcPr>
          <w:p w14:paraId="2D16B35C" w14:textId="77777777" w:rsidR="00A23C2A" w:rsidRPr="00CF31E0" w:rsidRDefault="00A23C2A" w:rsidP="00603CB7">
            <w:pPr>
              <w:widowControl w:val="0"/>
              <w:autoSpaceDE w:val="0"/>
              <w:autoSpaceDN w:val="0"/>
              <w:adjustRightInd w:val="0"/>
              <w:spacing w:before="120"/>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Squared Multiple Correlation</w:t>
            </w:r>
          </w:p>
        </w:tc>
        <w:tc>
          <w:tcPr>
            <w:tcW w:w="1276" w:type="dxa"/>
            <w:shd w:val="clear" w:color="auto" w:fill="FFFFFF"/>
            <w:vAlign w:val="bottom"/>
          </w:tcPr>
          <w:p w14:paraId="5AEB91D5" w14:textId="119F4720" w:rsidR="00A23C2A" w:rsidRPr="00CF31E0" w:rsidRDefault="001D00E6" w:rsidP="00603CB7">
            <w:pPr>
              <w:widowControl w:val="0"/>
              <w:autoSpaceDE w:val="0"/>
              <w:autoSpaceDN w:val="0"/>
              <w:adjustRightInd w:val="0"/>
              <w:spacing w:before="120"/>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 xml:space="preserve">Cronbach’s </w:t>
            </w:r>
            <w:r w:rsidR="00A23C2A" w:rsidRPr="00CF31E0">
              <w:rPr>
                <w:rFonts w:eastAsia="Times New Roman"/>
                <w:color w:val="000000" w:themeColor="text1"/>
                <w:sz w:val="22"/>
                <w:szCs w:val="22"/>
                <w:lang w:eastAsia="zh-CN"/>
              </w:rPr>
              <w:t>Alpha if Item Deleted</w:t>
            </w:r>
          </w:p>
        </w:tc>
      </w:tr>
      <w:tr w:rsidR="001136D4" w:rsidRPr="00CF31E0" w14:paraId="2D7A7890" w14:textId="77777777" w:rsidTr="001136D4">
        <w:trPr>
          <w:cantSplit/>
        </w:trPr>
        <w:tc>
          <w:tcPr>
            <w:tcW w:w="1869" w:type="dxa"/>
            <w:shd w:val="clear" w:color="auto" w:fill="FFFFFF"/>
          </w:tcPr>
          <w:p w14:paraId="1EE2DA20"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Similar to other Arabic dialects</w:t>
            </w:r>
          </w:p>
        </w:tc>
        <w:tc>
          <w:tcPr>
            <w:tcW w:w="997" w:type="dxa"/>
            <w:shd w:val="clear" w:color="auto" w:fill="FFFFFF"/>
            <w:vAlign w:val="center"/>
          </w:tcPr>
          <w:p w14:paraId="7FD6C4CE"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64.2039</w:t>
            </w:r>
          </w:p>
        </w:tc>
        <w:tc>
          <w:tcPr>
            <w:tcW w:w="1114" w:type="dxa"/>
            <w:shd w:val="clear" w:color="auto" w:fill="FFFFFF"/>
            <w:vAlign w:val="center"/>
          </w:tcPr>
          <w:p w14:paraId="6D49021A"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87.816</w:t>
            </w:r>
          </w:p>
        </w:tc>
        <w:tc>
          <w:tcPr>
            <w:tcW w:w="1153" w:type="dxa"/>
            <w:shd w:val="clear" w:color="auto" w:fill="FFFFFF"/>
            <w:vAlign w:val="center"/>
          </w:tcPr>
          <w:p w14:paraId="24E2959C"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.090</w:t>
            </w:r>
          </w:p>
        </w:tc>
        <w:tc>
          <w:tcPr>
            <w:tcW w:w="1276" w:type="dxa"/>
            <w:shd w:val="clear" w:color="auto" w:fill="FFFFFF"/>
            <w:vAlign w:val="center"/>
          </w:tcPr>
          <w:p w14:paraId="23924662"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.479</w:t>
            </w:r>
          </w:p>
        </w:tc>
        <w:tc>
          <w:tcPr>
            <w:tcW w:w="1276" w:type="dxa"/>
            <w:shd w:val="clear" w:color="auto" w:fill="FFFFFF"/>
            <w:vAlign w:val="center"/>
          </w:tcPr>
          <w:p w14:paraId="3DA2E6BB"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.551</w:t>
            </w:r>
          </w:p>
        </w:tc>
      </w:tr>
      <w:tr w:rsidR="001136D4" w:rsidRPr="00CF31E0" w14:paraId="1CF2F778" w14:textId="77777777" w:rsidTr="001136D4">
        <w:trPr>
          <w:cantSplit/>
        </w:trPr>
        <w:tc>
          <w:tcPr>
            <w:tcW w:w="1869" w:type="dxa"/>
            <w:shd w:val="clear" w:color="auto" w:fill="FFFFFF"/>
          </w:tcPr>
          <w:p w14:paraId="4E7003FA"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Traditional</w:t>
            </w:r>
          </w:p>
        </w:tc>
        <w:tc>
          <w:tcPr>
            <w:tcW w:w="997" w:type="dxa"/>
            <w:shd w:val="clear" w:color="auto" w:fill="FFFFFF"/>
            <w:vAlign w:val="center"/>
          </w:tcPr>
          <w:p w14:paraId="3A557B97"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63.7744</w:t>
            </w:r>
          </w:p>
        </w:tc>
        <w:tc>
          <w:tcPr>
            <w:tcW w:w="1114" w:type="dxa"/>
            <w:shd w:val="clear" w:color="auto" w:fill="FFFFFF"/>
            <w:vAlign w:val="center"/>
          </w:tcPr>
          <w:p w14:paraId="7C732DAA"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82.648</w:t>
            </w:r>
          </w:p>
        </w:tc>
        <w:tc>
          <w:tcPr>
            <w:tcW w:w="1153" w:type="dxa"/>
            <w:shd w:val="clear" w:color="auto" w:fill="FFFFFF"/>
            <w:vAlign w:val="center"/>
          </w:tcPr>
          <w:p w14:paraId="69ABBC7B"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.343</w:t>
            </w:r>
          </w:p>
        </w:tc>
        <w:tc>
          <w:tcPr>
            <w:tcW w:w="1276" w:type="dxa"/>
            <w:shd w:val="clear" w:color="auto" w:fill="FFFFFF"/>
            <w:vAlign w:val="center"/>
          </w:tcPr>
          <w:p w14:paraId="7C6A9FE9"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.380</w:t>
            </w:r>
          </w:p>
        </w:tc>
        <w:tc>
          <w:tcPr>
            <w:tcW w:w="1276" w:type="dxa"/>
            <w:shd w:val="clear" w:color="auto" w:fill="FFFFFF"/>
            <w:vAlign w:val="center"/>
          </w:tcPr>
          <w:p w14:paraId="218596B2"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.512</w:t>
            </w:r>
          </w:p>
        </w:tc>
      </w:tr>
      <w:tr w:rsidR="001136D4" w:rsidRPr="00CF31E0" w14:paraId="1D1BD25F" w14:textId="77777777" w:rsidTr="001136D4">
        <w:trPr>
          <w:cantSplit/>
        </w:trPr>
        <w:tc>
          <w:tcPr>
            <w:tcW w:w="1869" w:type="dxa"/>
            <w:shd w:val="clear" w:color="auto" w:fill="FFFFFF"/>
          </w:tcPr>
          <w:p w14:paraId="300C710A" w14:textId="02A29A9D" w:rsidR="00A23C2A" w:rsidRPr="00CF31E0" w:rsidRDefault="001136D4"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 xml:space="preserve">Sounds </w:t>
            </w:r>
            <w:r w:rsidR="00A23C2A" w:rsidRPr="00CF31E0">
              <w:rPr>
                <w:rFonts w:eastAsia="Times New Roman"/>
                <w:color w:val="000000" w:themeColor="text1"/>
                <w:sz w:val="22"/>
                <w:szCs w:val="22"/>
                <w:lang w:eastAsia="zh-CN"/>
              </w:rPr>
              <w:t>Correct</w:t>
            </w:r>
          </w:p>
        </w:tc>
        <w:tc>
          <w:tcPr>
            <w:tcW w:w="997" w:type="dxa"/>
            <w:shd w:val="clear" w:color="auto" w:fill="FFFFFF"/>
            <w:vAlign w:val="center"/>
          </w:tcPr>
          <w:p w14:paraId="68595A2E"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64.0116</w:t>
            </w:r>
          </w:p>
        </w:tc>
        <w:tc>
          <w:tcPr>
            <w:tcW w:w="1114" w:type="dxa"/>
            <w:shd w:val="clear" w:color="auto" w:fill="FFFFFF"/>
            <w:vAlign w:val="center"/>
          </w:tcPr>
          <w:p w14:paraId="46E596D7"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81.217</w:t>
            </w:r>
          </w:p>
        </w:tc>
        <w:tc>
          <w:tcPr>
            <w:tcW w:w="1153" w:type="dxa"/>
            <w:shd w:val="clear" w:color="auto" w:fill="FFFFFF"/>
            <w:vAlign w:val="center"/>
          </w:tcPr>
          <w:p w14:paraId="70D880CE"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.409</w:t>
            </w:r>
          </w:p>
        </w:tc>
        <w:tc>
          <w:tcPr>
            <w:tcW w:w="1276" w:type="dxa"/>
            <w:shd w:val="clear" w:color="auto" w:fill="FFFFFF"/>
            <w:vAlign w:val="center"/>
          </w:tcPr>
          <w:p w14:paraId="3CD262B6"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.465</w:t>
            </w:r>
          </w:p>
        </w:tc>
        <w:tc>
          <w:tcPr>
            <w:tcW w:w="1276" w:type="dxa"/>
            <w:shd w:val="clear" w:color="auto" w:fill="FFFFFF"/>
            <w:vAlign w:val="center"/>
          </w:tcPr>
          <w:p w14:paraId="6E21ADF7"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.502</w:t>
            </w:r>
          </w:p>
        </w:tc>
      </w:tr>
      <w:tr w:rsidR="001136D4" w:rsidRPr="00CF31E0" w14:paraId="3D47AFBA" w14:textId="77777777" w:rsidTr="001136D4">
        <w:trPr>
          <w:cantSplit/>
        </w:trPr>
        <w:tc>
          <w:tcPr>
            <w:tcW w:w="1869" w:type="dxa"/>
            <w:shd w:val="clear" w:color="auto" w:fill="FFFFFF"/>
          </w:tcPr>
          <w:p w14:paraId="4F6240BB"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Feminine</w:t>
            </w:r>
          </w:p>
        </w:tc>
        <w:tc>
          <w:tcPr>
            <w:tcW w:w="997" w:type="dxa"/>
            <w:shd w:val="clear" w:color="auto" w:fill="FFFFFF"/>
            <w:vAlign w:val="center"/>
          </w:tcPr>
          <w:p w14:paraId="075A24F2"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64.4651</w:t>
            </w:r>
          </w:p>
        </w:tc>
        <w:tc>
          <w:tcPr>
            <w:tcW w:w="1114" w:type="dxa"/>
            <w:shd w:val="clear" w:color="auto" w:fill="FFFFFF"/>
            <w:vAlign w:val="center"/>
          </w:tcPr>
          <w:p w14:paraId="284817AE"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89.422</w:t>
            </w:r>
          </w:p>
        </w:tc>
        <w:tc>
          <w:tcPr>
            <w:tcW w:w="1153" w:type="dxa"/>
            <w:shd w:val="clear" w:color="auto" w:fill="FFFFFF"/>
            <w:vAlign w:val="center"/>
          </w:tcPr>
          <w:p w14:paraId="70C137CA"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.057</w:t>
            </w:r>
          </w:p>
        </w:tc>
        <w:tc>
          <w:tcPr>
            <w:tcW w:w="1276" w:type="dxa"/>
            <w:shd w:val="clear" w:color="auto" w:fill="FFFFFF"/>
            <w:vAlign w:val="center"/>
          </w:tcPr>
          <w:p w14:paraId="3F862875"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.490</w:t>
            </w:r>
          </w:p>
        </w:tc>
        <w:tc>
          <w:tcPr>
            <w:tcW w:w="1276" w:type="dxa"/>
            <w:shd w:val="clear" w:color="auto" w:fill="FFFFFF"/>
            <w:vAlign w:val="center"/>
          </w:tcPr>
          <w:p w14:paraId="18CAF5E2"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.555</w:t>
            </w:r>
          </w:p>
        </w:tc>
      </w:tr>
      <w:tr w:rsidR="001136D4" w:rsidRPr="00CF31E0" w14:paraId="7860E7E2" w14:textId="77777777" w:rsidTr="001136D4">
        <w:trPr>
          <w:cantSplit/>
        </w:trPr>
        <w:tc>
          <w:tcPr>
            <w:tcW w:w="1869" w:type="dxa"/>
            <w:shd w:val="clear" w:color="auto" w:fill="FFFFFF"/>
          </w:tcPr>
          <w:p w14:paraId="022D3722"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Distinctive</w:t>
            </w:r>
          </w:p>
        </w:tc>
        <w:tc>
          <w:tcPr>
            <w:tcW w:w="997" w:type="dxa"/>
            <w:shd w:val="clear" w:color="auto" w:fill="FFFFFF"/>
            <w:vAlign w:val="center"/>
          </w:tcPr>
          <w:p w14:paraId="1BA8CE8C"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63.0054</w:t>
            </w:r>
          </w:p>
        </w:tc>
        <w:tc>
          <w:tcPr>
            <w:tcW w:w="1114" w:type="dxa"/>
            <w:shd w:val="clear" w:color="auto" w:fill="FFFFFF"/>
            <w:vAlign w:val="center"/>
          </w:tcPr>
          <w:p w14:paraId="3608975F"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85.479</w:t>
            </w:r>
          </w:p>
        </w:tc>
        <w:tc>
          <w:tcPr>
            <w:tcW w:w="1153" w:type="dxa"/>
            <w:shd w:val="clear" w:color="auto" w:fill="FFFFFF"/>
            <w:vAlign w:val="center"/>
          </w:tcPr>
          <w:p w14:paraId="02A3DF13"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.265</w:t>
            </w:r>
          </w:p>
        </w:tc>
        <w:tc>
          <w:tcPr>
            <w:tcW w:w="1276" w:type="dxa"/>
            <w:shd w:val="clear" w:color="auto" w:fill="FFFFFF"/>
            <w:vAlign w:val="center"/>
          </w:tcPr>
          <w:p w14:paraId="63B17AEC"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.226</w:t>
            </w:r>
          </w:p>
        </w:tc>
        <w:tc>
          <w:tcPr>
            <w:tcW w:w="1276" w:type="dxa"/>
            <w:shd w:val="clear" w:color="auto" w:fill="FFFFFF"/>
            <w:vAlign w:val="center"/>
          </w:tcPr>
          <w:p w14:paraId="2AC59138"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.525</w:t>
            </w:r>
          </w:p>
        </w:tc>
      </w:tr>
      <w:tr w:rsidR="001136D4" w:rsidRPr="00CF31E0" w14:paraId="5A4540A5" w14:textId="77777777" w:rsidTr="001136D4">
        <w:trPr>
          <w:cantSplit/>
          <w:trHeight w:val="370"/>
        </w:trPr>
        <w:tc>
          <w:tcPr>
            <w:tcW w:w="1869" w:type="dxa"/>
            <w:shd w:val="clear" w:color="auto" w:fill="FFFFFF"/>
          </w:tcPr>
          <w:p w14:paraId="38ACC170"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Understandable</w:t>
            </w:r>
          </w:p>
        </w:tc>
        <w:tc>
          <w:tcPr>
            <w:tcW w:w="997" w:type="dxa"/>
            <w:shd w:val="clear" w:color="auto" w:fill="FFFFFF"/>
            <w:vAlign w:val="center"/>
          </w:tcPr>
          <w:p w14:paraId="5685B496"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63.5667</w:t>
            </w:r>
          </w:p>
        </w:tc>
        <w:tc>
          <w:tcPr>
            <w:tcW w:w="1114" w:type="dxa"/>
            <w:shd w:val="clear" w:color="auto" w:fill="FFFFFF"/>
            <w:vAlign w:val="center"/>
          </w:tcPr>
          <w:p w14:paraId="626DC298"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82.375</w:t>
            </w:r>
          </w:p>
        </w:tc>
        <w:tc>
          <w:tcPr>
            <w:tcW w:w="1153" w:type="dxa"/>
            <w:shd w:val="clear" w:color="auto" w:fill="FFFFFF"/>
            <w:vAlign w:val="center"/>
          </w:tcPr>
          <w:p w14:paraId="27CF34D6"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.442</w:t>
            </w:r>
          </w:p>
        </w:tc>
        <w:tc>
          <w:tcPr>
            <w:tcW w:w="1276" w:type="dxa"/>
            <w:shd w:val="clear" w:color="auto" w:fill="FFFFFF"/>
            <w:vAlign w:val="center"/>
          </w:tcPr>
          <w:p w14:paraId="532AB3A2"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.422</w:t>
            </w:r>
          </w:p>
        </w:tc>
        <w:tc>
          <w:tcPr>
            <w:tcW w:w="1276" w:type="dxa"/>
            <w:shd w:val="clear" w:color="auto" w:fill="FFFFFF"/>
            <w:vAlign w:val="center"/>
          </w:tcPr>
          <w:p w14:paraId="283A290B"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.503</w:t>
            </w:r>
          </w:p>
        </w:tc>
      </w:tr>
      <w:tr w:rsidR="001136D4" w:rsidRPr="00CF31E0" w14:paraId="3E2C3B1A" w14:textId="77777777" w:rsidTr="001136D4">
        <w:trPr>
          <w:cantSplit/>
        </w:trPr>
        <w:tc>
          <w:tcPr>
            <w:tcW w:w="1869" w:type="dxa"/>
            <w:shd w:val="clear" w:color="auto" w:fill="FFFFFF"/>
          </w:tcPr>
          <w:p w14:paraId="2DCDD5E1"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Prestigious</w:t>
            </w:r>
          </w:p>
        </w:tc>
        <w:tc>
          <w:tcPr>
            <w:tcW w:w="997" w:type="dxa"/>
            <w:shd w:val="clear" w:color="auto" w:fill="FFFFFF"/>
            <w:vAlign w:val="center"/>
          </w:tcPr>
          <w:p w14:paraId="4C92EDB5"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64.1496</w:t>
            </w:r>
          </w:p>
        </w:tc>
        <w:tc>
          <w:tcPr>
            <w:tcW w:w="1114" w:type="dxa"/>
            <w:shd w:val="clear" w:color="auto" w:fill="FFFFFF"/>
            <w:vAlign w:val="center"/>
          </w:tcPr>
          <w:p w14:paraId="3BB611D8"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80.469</w:t>
            </w:r>
          </w:p>
        </w:tc>
        <w:tc>
          <w:tcPr>
            <w:tcW w:w="1153" w:type="dxa"/>
            <w:shd w:val="clear" w:color="auto" w:fill="FFFFFF"/>
            <w:vAlign w:val="center"/>
          </w:tcPr>
          <w:p w14:paraId="52D7642F"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.466</w:t>
            </w:r>
          </w:p>
        </w:tc>
        <w:tc>
          <w:tcPr>
            <w:tcW w:w="1276" w:type="dxa"/>
            <w:shd w:val="clear" w:color="auto" w:fill="FFFFFF"/>
            <w:vAlign w:val="center"/>
          </w:tcPr>
          <w:p w14:paraId="2C2B3B50"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.484</w:t>
            </w:r>
          </w:p>
        </w:tc>
        <w:tc>
          <w:tcPr>
            <w:tcW w:w="1276" w:type="dxa"/>
            <w:shd w:val="clear" w:color="auto" w:fill="FFFFFF"/>
            <w:vAlign w:val="center"/>
          </w:tcPr>
          <w:p w14:paraId="118F368B"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.495</w:t>
            </w:r>
          </w:p>
        </w:tc>
      </w:tr>
      <w:tr w:rsidR="001136D4" w:rsidRPr="00CF31E0" w14:paraId="200B9E26" w14:textId="77777777" w:rsidTr="001136D4">
        <w:trPr>
          <w:cantSplit/>
        </w:trPr>
        <w:tc>
          <w:tcPr>
            <w:tcW w:w="1869" w:type="dxa"/>
            <w:shd w:val="clear" w:color="auto" w:fill="FFFFFF"/>
          </w:tcPr>
          <w:p w14:paraId="41E42EA9"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Common in towns</w:t>
            </w:r>
          </w:p>
        </w:tc>
        <w:tc>
          <w:tcPr>
            <w:tcW w:w="997" w:type="dxa"/>
            <w:shd w:val="clear" w:color="auto" w:fill="FFFFFF"/>
            <w:vAlign w:val="center"/>
          </w:tcPr>
          <w:p w14:paraId="69DED78B"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63.7938</w:t>
            </w:r>
          </w:p>
        </w:tc>
        <w:tc>
          <w:tcPr>
            <w:tcW w:w="1114" w:type="dxa"/>
            <w:shd w:val="clear" w:color="auto" w:fill="FFFFFF"/>
            <w:vAlign w:val="center"/>
          </w:tcPr>
          <w:p w14:paraId="24FFDAA5"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87.684</w:t>
            </w:r>
          </w:p>
        </w:tc>
        <w:tc>
          <w:tcPr>
            <w:tcW w:w="1153" w:type="dxa"/>
            <w:shd w:val="clear" w:color="auto" w:fill="FFFFFF"/>
            <w:vAlign w:val="center"/>
          </w:tcPr>
          <w:p w14:paraId="0673BC0B"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.084</w:t>
            </w:r>
          </w:p>
        </w:tc>
        <w:tc>
          <w:tcPr>
            <w:tcW w:w="1276" w:type="dxa"/>
            <w:shd w:val="clear" w:color="auto" w:fill="FFFFFF"/>
            <w:vAlign w:val="center"/>
          </w:tcPr>
          <w:p w14:paraId="2101AC25"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.658</w:t>
            </w:r>
          </w:p>
        </w:tc>
        <w:tc>
          <w:tcPr>
            <w:tcW w:w="1276" w:type="dxa"/>
            <w:shd w:val="clear" w:color="auto" w:fill="FFFFFF"/>
            <w:vAlign w:val="center"/>
          </w:tcPr>
          <w:p w14:paraId="5835B91E"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.553</w:t>
            </w:r>
          </w:p>
        </w:tc>
      </w:tr>
      <w:tr w:rsidR="001136D4" w:rsidRPr="00CF31E0" w14:paraId="65890F11" w14:textId="77777777" w:rsidTr="001136D4">
        <w:trPr>
          <w:cantSplit/>
        </w:trPr>
        <w:tc>
          <w:tcPr>
            <w:tcW w:w="1869" w:type="dxa"/>
            <w:shd w:val="clear" w:color="auto" w:fill="FFFFFF"/>
          </w:tcPr>
          <w:p w14:paraId="78BEE102" w14:textId="4C1AF86F" w:rsidR="00A23C2A" w:rsidRPr="00CF31E0" w:rsidRDefault="001136D4"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Signifies t</w:t>
            </w:r>
            <w:r w:rsidR="00A23C2A" w:rsidRPr="00CF31E0">
              <w:rPr>
                <w:rFonts w:eastAsia="Times New Roman"/>
                <w:color w:val="000000" w:themeColor="text1"/>
                <w:sz w:val="22"/>
                <w:szCs w:val="22"/>
                <w:lang w:eastAsia="zh-CN"/>
              </w:rPr>
              <w:t>ribal loyalty</w:t>
            </w:r>
          </w:p>
        </w:tc>
        <w:tc>
          <w:tcPr>
            <w:tcW w:w="997" w:type="dxa"/>
            <w:shd w:val="clear" w:color="auto" w:fill="FFFFFF"/>
            <w:vAlign w:val="center"/>
          </w:tcPr>
          <w:p w14:paraId="4DCAF553"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63.4938</w:t>
            </w:r>
          </w:p>
        </w:tc>
        <w:tc>
          <w:tcPr>
            <w:tcW w:w="1114" w:type="dxa"/>
            <w:shd w:val="clear" w:color="auto" w:fill="FFFFFF"/>
            <w:vAlign w:val="center"/>
          </w:tcPr>
          <w:p w14:paraId="7E3244B2"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87.240</w:t>
            </w:r>
          </w:p>
        </w:tc>
        <w:tc>
          <w:tcPr>
            <w:tcW w:w="1153" w:type="dxa"/>
            <w:shd w:val="clear" w:color="auto" w:fill="FFFFFF"/>
            <w:vAlign w:val="center"/>
          </w:tcPr>
          <w:p w14:paraId="69824ECE"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.140</w:t>
            </w:r>
          </w:p>
        </w:tc>
        <w:tc>
          <w:tcPr>
            <w:tcW w:w="1276" w:type="dxa"/>
            <w:shd w:val="clear" w:color="auto" w:fill="FFFFFF"/>
            <w:vAlign w:val="center"/>
          </w:tcPr>
          <w:p w14:paraId="4716357D"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.195</w:t>
            </w:r>
          </w:p>
        </w:tc>
        <w:tc>
          <w:tcPr>
            <w:tcW w:w="1276" w:type="dxa"/>
            <w:shd w:val="clear" w:color="auto" w:fill="FFFFFF"/>
            <w:vAlign w:val="center"/>
          </w:tcPr>
          <w:p w14:paraId="3A0ED188"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.542</w:t>
            </w:r>
          </w:p>
        </w:tc>
      </w:tr>
      <w:tr w:rsidR="001136D4" w:rsidRPr="00CF31E0" w14:paraId="3388F56A" w14:textId="77777777" w:rsidTr="001136D4">
        <w:trPr>
          <w:cantSplit/>
        </w:trPr>
        <w:tc>
          <w:tcPr>
            <w:tcW w:w="1869" w:type="dxa"/>
            <w:shd w:val="clear" w:color="auto" w:fill="FFFFFF"/>
          </w:tcPr>
          <w:p w14:paraId="5613F603"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Modern</w:t>
            </w:r>
          </w:p>
        </w:tc>
        <w:tc>
          <w:tcPr>
            <w:tcW w:w="997" w:type="dxa"/>
            <w:shd w:val="clear" w:color="auto" w:fill="FFFFFF"/>
            <w:vAlign w:val="center"/>
          </w:tcPr>
          <w:p w14:paraId="56D1AE13"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64.1736</w:t>
            </w:r>
          </w:p>
        </w:tc>
        <w:tc>
          <w:tcPr>
            <w:tcW w:w="1114" w:type="dxa"/>
            <w:shd w:val="clear" w:color="auto" w:fill="FFFFFF"/>
            <w:vAlign w:val="center"/>
          </w:tcPr>
          <w:p w14:paraId="450FF8B3"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83.962</w:t>
            </w:r>
          </w:p>
        </w:tc>
        <w:tc>
          <w:tcPr>
            <w:tcW w:w="1153" w:type="dxa"/>
            <w:shd w:val="clear" w:color="auto" w:fill="FFFFFF"/>
            <w:vAlign w:val="center"/>
          </w:tcPr>
          <w:p w14:paraId="10C4D727"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.278</w:t>
            </w:r>
          </w:p>
        </w:tc>
        <w:tc>
          <w:tcPr>
            <w:tcW w:w="1276" w:type="dxa"/>
            <w:shd w:val="clear" w:color="auto" w:fill="FFFFFF"/>
            <w:vAlign w:val="center"/>
          </w:tcPr>
          <w:p w14:paraId="6A7EAAC3"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.583</w:t>
            </w:r>
          </w:p>
        </w:tc>
        <w:tc>
          <w:tcPr>
            <w:tcW w:w="1276" w:type="dxa"/>
            <w:shd w:val="clear" w:color="auto" w:fill="FFFFFF"/>
            <w:vAlign w:val="center"/>
          </w:tcPr>
          <w:p w14:paraId="1869F281"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.521</w:t>
            </w:r>
          </w:p>
        </w:tc>
      </w:tr>
      <w:tr w:rsidR="001136D4" w:rsidRPr="00CF31E0" w14:paraId="76FA7942" w14:textId="77777777" w:rsidTr="001136D4">
        <w:trPr>
          <w:cantSplit/>
        </w:trPr>
        <w:tc>
          <w:tcPr>
            <w:tcW w:w="1869" w:type="dxa"/>
            <w:shd w:val="clear" w:color="auto" w:fill="FFFFFF"/>
          </w:tcPr>
          <w:p w14:paraId="283B9FFA"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Easy to imitate</w:t>
            </w:r>
          </w:p>
        </w:tc>
        <w:tc>
          <w:tcPr>
            <w:tcW w:w="997" w:type="dxa"/>
            <w:shd w:val="clear" w:color="auto" w:fill="FFFFFF"/>
            <w:vAlign w:val="center"/>
          </w:tcPr>
          <w:p w14:paraId="127503B4"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63.8054</w:t>
            </w:r>
          </w:p>
        </w:tc>
        <w:tc>
          <w:tcPr>
            <w:tcW w:w="1114" w:type="dxa"/>
            <w:shd w:val="clear" w:color="auto" w:fill="FFFFFF"/>
            <w:vAlign w:val="center"/>
          </w:tcPr>
          <w:p w14:paraId="2E1BC79D"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86.627</w:t>
            </w:r>
          </w:p>
        </w:tc>
        <w:tc>
          <w:tcPr>
            <w:tcW w:w="1153" w:type="dxa"/>
            <w:shd w:val="clear" w:color="auto" w:fill="FFFFFF"/>
            <w:vAlign w:val="center"/>
          </w:tcPr>
          <w:p w14:paraId="7AC5A6DA"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.195</w:t>
            </w:r>
          </w:p>
        </w:tc>
        <w:tc>
          <w:tcPr>
            <w:tcW w:w="1276" w:type="dxa"/>
            <w:shd w:val="clear" w:color="auto" w:fill="FFFFFF"/>
            <w:vAlign w:val="center"/>
          </w:tcPr>
          <w:p w14:paraId="0B9EEAB7"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.402</w:t>
            </w:r>
          </w:p>
        </w:tc>
        <w:tc>
          <w:tcPr>
            <w:tcW w:w="1276" w:type="dxa"/>
            <w:shd w:val="clear" w:color="auto" w:fill="FFFFFF"/>
            <w:vAlign w:val="center"/>
          </w:tcPr>
          <w:p w14:paraId="6A9F2926"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.534</w:t>
            </w:r>
          </w:p>
        </w:tc>
      </w:tr>
      <w:tr w:rsidR="001136D4" w:rsidRPr="00CF31E0" w14:paraId="16672521" w14:textId="77777777" w:rsidTr="001136D4">
        <w:trPr>
          <w:cantSplit/>
        </w:trPr>
        <w:tc>
          <w:tcPr>
            <w:tcW w:w="1869" w:type="dxa"/>
            <w:shd w:val="clear" w:color="auto" w:fill="FFFFFF"/>
          </w:tcPr>
          <w:p w14:paraId="020ACCBF"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Masculine</w:t>
            </w:r>
          </w:p>
        </w:tc>
        <w:tc>
          <w:tcPr>
            <w:tcW w:w="997" w:type="dxa"/>
            <w:shd w:val="clear" w:color="auto" w:fill="FFFFFF"/>
            <w:vAlign w:val="center"/>
          </w:tcPr>
          <w:p w14:paraId="735D60EC"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64.0171</w:t>
            </w:r>
          </w:p>
        </w:tc>
        <w:tc>
          <w:tcPr>
            <w:tcW w:w="1114" w:type="dxa"/>
            <w:shd w:val="clear" w:color="auto" w:fill="FFFFFF"/>
            <w:vAlign w:val="center"/>
          </w:tcPr>
          <w:p w14:paraId="605C3E03"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86.971</w:t>
            </w:r>
          </w:p>
        </w:tc>
        <w:tc>
          <w:tcPr>
            <w:tcW w:w="1153" w:type="dxa"/>
            <w:shd w:val="clear" w:color="auto" w:fill="FFFFFF"/>
            <w:vAlign w:val="center"/>
          </w:tcPr>
          <w:p w14:paraId="4DC3E8A8"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.174</w:t>
            </w:r>
          </w:p>
        </w:tc>
        <w:tc>
          <w:tcPr>
            <w:tcW w:w="1276" w:type="dxa"/>
            <w:shd w:val="clear" w:color="auto" w:fill="FFFFFF"/>
            <w:vAlign w:val="center"/>
          </w:tcPr>
          <w:p w14:paraId="6FC160A0"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.354</w:t>
            </w:r>
          </w:p>
        </w:tc>
        <w:tc>
          <w:tcPr>
            <w:tcW w:w="1276" w:type="dxa"/>
            <w:shd w:val="clear" w:color="auto" w:fill="FFFFFF"/>
            <w:vAlign w:val="center"/>
          </w:tcPr>
          <w:p w14:paraId="68A4D408"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.537</w:t>
            </w:r>
          </w:p>
        </w:tc>
      </w:tr>
      <w:tr w:rsidR="001136D4" w:rsidRPr="00CF31E0" w14:paraId="35B73929" w14:textId="77777777" w:rsidTr="001136D4">
        <w:trPr>
          <w:cantSplit/>
        </w:trPr>
        <w:tc>
          <w:tcPr>
            <w:tcW w:w="1869" w:type="dxa"/>
            <w:shd w:val="clear" w:color="auto" w:fill="FFFFFF"/>
          </w:tcPr>
          <w:p w14:paraId="0E081DE3"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Practical</w:t>
            </w:r>
          </w:p>
        </w:tc>
        <w:tc>
          <w:tcPr>
            <w:tcW w:w="997" w:type="dxa"/>
            <w:shd w:val="clear" w:color="auto" w:fill="FFFFFF"/>
            <w:vAlign w:val="center"/>
          </w:tcPr>
          <w:p w14:paraId="686F3819"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63.9814</w:t>
            </w:r>
          </w:p>
        </w:tc>
        <w:tc>
          <w:tcPr>
            <w:tcW w:w="1114" w:type="dxa"/>
            <w:shd w:val="clear" w:color="auto" w:fill="FFFFFF"/>
            <w:vAlign w:val="center"/>
          </w:tcPr>
          <w:p w14:paraId="0DC7FE7D"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80.769</w:t>
            </w:r>
          </w:p>
        </w:tc>
        <w:tc>
          <w:tcPr>
            <w:tcW w:w="1153" w:type="dxa"/>
            <w:shd w:val="clear" w:color="auto" w:fill="FFFFFF"/>
            <w:vAlign w:val="center"/>
          </w:tcPr>
          <w:p w14:paraId="4C7AA7FF"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.492</w:t>
            </w:r>
          </w:p>
        </w:tc>
        <w:tc>
          <w:tcPr>
            <w:tcW w:w="1276" w:type="dxa"/>
            <w:shd w:val="clear" w:color="auto" w:fill="FFFFFF"/>
            <w:vAlign w:val="center"/>
          </w:tcPr>
          <w:p w14:paraId="188BD062"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.453</w:t>
            </w:r>
          </w:p>
        </w:tc>
        <w:tc>
          <w:tcPr>
            <w:tcW w:w="1276" w:type="dxa"/>
            <w:shd w:val="clear" w:color="auto" w:fill="FFFFFF"/>
            <w:vAlign w:val="center"/>
          </w:tcPr>
          <w:p w14:paraId="46C604E9"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.494</w:t>
            </w:r>
          </w:p>
        </w:tc>
      </w:tr>
      <w:tr w:rsidR="001136D4" w:rsidRPr="00CF31E0" w14:paraId="0D65A030" w14:textId="77777777" w:rsidTr="001136D4">
        <w:trPr>
          <w:cantSplit/>
        </w:trPr>
        <w:tc>
          <w:tcPr>
            <w:tcW w:w="1869" w:type="dxa"/>
            <w:shd w:val="clear" w:color="auto" w:fill="FFFFFF"/>
          </w:tcPr>
          <w:p w14:paraId="51189D8E"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Closer to MSA</w:t>
            </w:r>
          </w:p>
        </w:tc>
        <w:tc>
          <w:tcPr>
            <w:tcW w:w="997" w:type="dxa"/>
            <w:shd w:val="clear" w:color="auto" w:fill="FFFFFF"/>
            <w:vAlign w:val="center"/>
          </w:tcPr>
          <w:p w14:paraId="38612B40"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64.3023</w:t>
            </w:r>
          </w:p>
        </w:tc>
        <w:tc>
          <w:tcPr>
            <w:tcW w:w="1114" w:type="dxa"/>
            <w:shd w:val="clear" w:color="auto" w:fill="FFFFFF"/>
            <w:vAlign w:val="center"/>
          </w:tcPr>
          <w:p w14:paraId="02C507DA"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82.593</w:t>
            </w:r>
          </w:p>
        </w:tc>
        <w:tc>
          <w:tcPr>
            <w:tcW w:w="1153" w:type="dxa"/>
            <w:shd w:val="clear" w:color="auto" w:fill="FFFFFF"/>
            <w:vAlign w:val="center"/>
          </w:tcPr>
          <w:p w14:paraId="5BCAE240"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.367</w:t>
            </w:r>
          </w:p>
        </w:tc>
        <w:tc>
          <w:tcPr>
            <w:tcW w:w="1276" w:type="dxa"/>
            <w:shd w:val="clear" w:color="auto" w:fill="FFFFFF"/>
            <w:vAlign w:val="center"/>
          </w:tcPr>
          <w:p w14:paraId="1156A9F7"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.410</w:t>
            </w:r>
          </w:p>
        </w:tc>
        <w:tc>
          <w:tcPr>
            <w:tcW w:w="1276" w:type="dxa"/>
            <w:shd w:val="clear" w:color="auto" w:fill="FFFFFF"/>
            <w:vAlign w:val="center"/>
          </w:tcPr>
          <w:p w14:paraId="44C324C0"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.509</w:t>
            </w:r>
          </w:p>
        </w:tc>
      </w:tr>
      <w:tr w:rsidR="001136D4" w:rsidRPr="00CF31E0" w14:paraId="5F578EB5" w14:textId="77777777" w:rsidTr="001136D4">
        <w:trPr>
          <w:cantSplit/>
        </w:trPr>
        <w:tc>
          <w:tcPr>
            <w:tcW w:w="1869" w:type="dxa"/>
            <w:shd w:val="clear" w:color="auto" w:fill="FFFFFF"/>
          </w:tcPr>
          <w:p w14:paraId="0EBEFB07"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Understandable to other Arabs</w:t>
            </w:r>
          </w:p>
        </w:tc>
        <w:tc>
          <w:tcPr>
            <w:tcW w:w="997" w:type="dxa"/>
            <w:shd w:val="clear" w:color="auto" w:fill="FFFFFF"/>
            <w:vAlign w:val="center"/>
          </w:tcPr>
          <w:p w14:paraId="4FB0E7C0"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64.0884</w:t>
            </w:r>
          </w:p>
        </w:tc>
        <w:tc>
          <w:tcPr>
            <w:tcW w:w="1114" w:type="dxa"/>
            <w:shd w:val="clear" w:color="auto" w:fill="FFFFFF"/>
            <w:vAlign w:val="center"/>
          </w:tcPr>
          <w:p w14:paraId="50B79108"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84.275</w:t>
            </w:r>
          </w:p>
        </w:tc>
        <w:tc>
          <w:tcPr>
            <w:tcW w:w="1153" w:type="dxa"/>
            <w:shd w:val="clear" w:color="auto" w:fill="FFFFFF"/>
            <w:vAlign w:val="center"/>
          </w:tcPr>
          <w:p w14:paraId="2D43C968"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.247</w:t>
            </w:r>
          </w:p>
        </w:tc>
        <w:tc>
          <w:tcPr>
            <w:tcW w:w="1276" w:type="dxa"/>
            <w:shd w:val="clear" w:color="auto" w:fill="FFFFFF"/>
            <w:vAlign w:val="center"/>
          </w:tcPr>
          <w:p w14:paraId="1C926B08"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.364</w:t>
            </w:r>
          </w:p>
        </w:tc>
        <w:tc>
          <w:tcPr>
            <w:tcW w:w="1276" w:type="dxa"/>
            <w:shd w:val="clear" w:color="auto" w:fill="FFFFFF"/>
            <w:vAlign w:val="center"/>
          </w:tcPr>
          <w:p w14:paraId="3820D9FD"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.525</w:t>
            </w:r>
          </w:p>
        </w:tc>
      </w:tr>
      <w:tr w:rsidR="001136D4" w:rsidRPr="00CF31E0" w14:paraId="0A0E7177" w14:textId="77777777" w:rsidTr="001136D4">
        <w:trPr>
          <w:cantSplit/>
        </w:trPr>
        <w:tc>
          <w:tcPr>
            <w:tcW w:w="1869" w:type="dxa"/>
            <w:shd w:val="clear" w:color="auto" w:fill="FFFFFF"/>
          </w:tcPr>
          <w:p w14:paraId="3D0AA0C1"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Serious</w:t>
            </w:r>
          </w:p>
        </w:tc>
        <w:tc>
          <w:tcPr>
            <w:tcW w:w="997" w:type="dxa"/>
            <w:shd w:val="clear" w:color="auto" w:fill="FFFFFF"/>
            <w:vAlign w:val="center"/>
          </w:tcPr>
          <w:p w14:paraId="5BC5CE46"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64.1256</w:t>
            </w:r>
          </w:p>
        </w:tc>
        <w:tc>
          <w:tcPr>
            <w:tcW w:w="1114" w:type="dxa"/>
            <w:shd w:val="clear" w:color="auto" w:fill="FFFFFF"/>
            <w:vAlign w:val="center"/>
          </w:tcPr>
          <w:p w14:paraId="4E873C2E"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91.547</w:t>
            </w:r>
          </w:p>
        </w:tc>
        <w:tc>
          <w:tcPr>
            <w:tcW w:w="1153" w:type="dxa"/>
            <w:shd w:val="clear" w:color="auto" w:fill="FFFFFF"/>
            <w:vAlign w:val="center"/>
          </w:tcPr>
          <w:p w14:paraId="351C8801"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-.028</w:t>
            </w:r>
          </w:p>
        </w:tc>
        <w:tc>
          <w:tcPr>
            <w:tcW w:w="1276" w:type="dxa"/>
            <w:shd w:val="clear" w:color="auto" w:fill="FFFFFF"/>
            <w:vAlign w:val="center"/>
          </w:tcPr>
          <w:p w14:paraId="229A594B"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.574</w:t>
            </w:r>
          </w:p>
        </w:tc>
        <w:tc>
          <w:tcPr>
            <w:tcW w:w="1276" w:type="dxa"/>
            <w:shd w:val="clear" w:color="auto" w:fill="FFFFFF"/>
            <w:vAlign w:val="center"/>
          </w:tcPr>
          <w:p w14:paraId="16605E4D"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.569</w:t>
            </w:r>
          </w:p>
        </w:tc>
      </w:tr>
      <w:tr w:rsidR="001136D4" w:rsidRPr="00CF31E0" w14:paraId="16C22376" w14:textId="77777777" w:rsidTr="001136D4">
        <w:trPr>
          <w:cantSplit/>
        </w:trPr>
        <w:tc>
          <w:tcPr>
            <w:tcW w:w="1869" w:type="dxa"/>
            <w:shd w:val="clear" w:color="auto" w:fill="FFFFFF"/>
          </w:tcPr>
          <w:p w14:paraId="67238C43" w14:textId="5F2E9949" w:rsidR="00A23C2A" w:rsidRPr="00CF31E0" w:rsidRDefault="001136D4"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Spoken with a soft voice</w:t>
            </w:r>
          </w:p>
        </w:tc>
        <w:tc>
          <w:tcPr>
            <w:tcW w:w="997" w:type="dxa"/>
            <w:shd w:val="clear" w:color="auto" w:fill="FFFFFF"/>
            <w:vAlign w:val="center"/>
          </w:tcPr>
          <w:p w14:paraId="59C8E2B8"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64.2574</w:t>
            </w:r>
          </w:p>
        </w:tc>
        <w:tc>
          <w:tcPr>
            <w:tcW w:w="1114" w:type="dxa"/>
            <w:shd w:val="clear" w:color="auto" w:fill="FFFFFF"/>
            <w:vAlign w:val="center"/>
          </w:tcPr>
          <w:p w14:paraId="0AAE9AC4"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90.368</w:t>
            </w:r>
          </w:p>
        </w:tc>
        <w:tc>
          <w:tcPr>
            <w:tcW w:w="1153" w:type="dxa"/>
            <w:shd w:val="clear" w:color="auto" w:fill="FFFFFF"/>
            <w:vAlign w:val="center"/>
          </w:tcPr>
          <w:p w14:paraId="67741696"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.009</w:t>
            </w:r>
          </w:p>
        </w:tc>
        <w:tc>
          <w:tcPr>
            <w:tcW w:w="1276" w:type="dxa"/>
            <w:shd w:val="clear" w:color="auto" w:fill="FFFFFF"/>
            <w:vAlign w:val="center"/>
          </w:tcPr>
          <w:p w14:paraId="6B9359F9"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.643</w:t>
            </w:r>
          </w:p>
        </w:tc>
        <w:tc>
          <w:tcPr>
            <w:tcW w:w="1276" w:type="dxa"/>
            <w:shd w:val="clear" w:color="auto" w:fill="FFFFFF"/>
            <w:vAlign w:val="center"/>
          </w:tcPr>
          <w:p w14:paraId="0EEF8B5D"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.564</w:t>
            </w:r>
          </w:p>
        </w:tc>
      </w:tr>
      <w:tr w:rsidR="001136D4" w:rsidRPr="00CF31E0" w14:paraId="2DEA78AC" w14:textId="77777777" w:rsidTr="001136D4">
        <w:trPr>
          <w:cantSplit/>
        </w:trPr>
        <w:tc>
          <w:tcPr>
            <w:tcW w:w="1869" w:type="dxa"/>
            <w:shd w:val="clear" w:color="auto" w:fill="FFFFFF"/>
          </w:tcPr>
          <w:p w14:paraId="30D733F2" w14:textId="3D9CB650"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 xml:space="preserve">Popular in </w:t>
            </w:r>
            <w:r w:rsidR="00E11D1A" w:rsidRPr="00CF31E0">
              <w:rPr>
                <w:rFonts w:eastAsia="Times New Roman"/>
                <w:color w:val="000000" w:themeColor="text1"/>
                <w:sz w:val="22"/>
                <w:szCs w:val="22"/>
                <w:lang w:eastAsia="zh-CN"/>
              </w:rPr>
              <w:t>count</w:t>
            </w:r>
            <w:r w:rsidRPr="00CF31E0">
              <w:rPr>
                <w:rFonts w:eastAsia="Times New Roman"/>
                <w:color w:val="000000" w:themeColor="text1"/>
                <w:sz w:val="22"/>
                <w:szCs w:val="22"/>
                <w:lang w:eastAsia="zh-CN"/>
              </w:rPr>
              <w:t>ryside</w:t>
            </w:r>
          </w:p>
        </w:tc>
        <w:tc>
          <w:tcPr>
            <w:tcW w:w="997" w:type="dxa"/>
            <w:shd w:val="clear" w:color="auto" w:fill="FFFFFF"/>
            <w:vAlign w:val="center"/>
          </w:tcPr>
          <w:p w14:paraId="4AF088BB"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64.1853</w:t>
            </w:r>
          </w:p>
        </w:tc>
        <w:tc>
          <w:tcPr>
            <w:tcW w:w="1114" w:type="dxa"/>
            <w:shd w:val="clear" w:color="auto" w:fill="FFFFFF"/>
            <w:vAlign w:val="center"/>
          </w:tcPr>
          <w:p w14:paraId="08BA4228"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92.525</w:t>
            </w:r>
          </w:p>
        </w:tc>
        <w:tc>
          <w:tcPr>
            <w:tcW w:w="1153" w:type="dxa"/>
            <w:shd w:val="clear" w:color="auto" w:fill="FFFFFF"/>
            <w:vAlign w:val="center"/>
          </w:tcPr>
          <w:p w14:paraId="6C88B24C"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-.075</w:t>
            </w:r>
          </w:p>
        </w:tc>
        <w:tc>
          <w:tcPr>
            <w:tcW w:w="1276" w:type="dxa"/>
            <w:shd w:val="clear" w:color="auto" w:fill="FFFFFF"/>
            <w:vAlign w:val="center"/>
          </w:tcPr>
          <w:p w14:paraId="532D0F89"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.649</w:t>
            </w:r>
          </w:p>
        </w:tc>
        <w:tc>
          <w:tcPr>
            <w:tcW w:w="1276" w:type="dxa"/>
            <w:shd w:val="clear" w:color="auto" w:fill="FFFFFF"/>
            <w:vAlign w:val="center"/>
          </w:tcPr>
          <w:p w14:paraId="02B9D344"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.583</w:t>
            </w:r>
          </w:p>
        </w:tc>
      </w:tr>
      <w:tr w:rsidR="001136D4" w:rsidRPr="00CF31E0" w14:paraId="5AA32E86" w14:textId="77777777" w:rsidTr="001136D4">
        <w:trPr>
          <w:cantSplit/>
        </w:trPr>
        <w:tc>
          <w:tcPr>
            <w:tcW w:w="1869" w:type="dxa"/>
            <w:shd w:val="clear" w:color="auto" w:fill="FFFFFF"/>
          </w:tcPr>
          <w:p w14:paraId="17243555"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Difficult to imitate</w:t>
            </w:r>
          </w:p>
        </w:tc>
        <w:tc>
          <w:tcPr>
            <w:tcW w:w="997" w:type="dxa"/>
            <w:shd w:val="clear" w:color="auto" w:fill="FFFFFF"/>
            <w:vAlign w:val="center"/>
          </w:tcPr>
          <w:p w14:paraId="631EB600"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64.3341</w:t>
            </w:r>
          </w:p>
        </w:tc>
        <w:tc>
          <w:tcPr>
            <w:tcW w:w="1114" w:type="dxa"/>
            <w:shd w:val="clear" w:color="auto" w:fill="FFFFFF"/>
            <w:vAlign w:val="center"/>
          </w:tcPr>
          <w:p w14:paraId="2C38F9B7"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91.040</w:t>
            </w:r>
          </w:p>
        </w:tc>
        <w:tc>
          <w:tcPr>
            <w:tcW w:w="1153" w:type="dxa"/>
            <w:shd w:val="clear" w:color="auto" w:fill="FFFFFF"/>
            <w:vAlign w:val="center"/>
          </w:tcPr>
          <w:p w14:paraId="20D0A18C"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.012</w:t>
            </w:r>
          </w:p>
        </w:tc>
        <w:tc>
          <w:tcPr>
            <w:tcW w:w="1276" w:type="dxa"/>
            <w:shd w:val="clear" w:color="auto" w:fill="FFFFFF"/>
            <w:vAlign w:val="center"/>
          </w:tcPr>
          <w:p w14:paraId="7ED236F2"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.270</w:t>
            </w:r>
          </w:p>
        </w:tc>
        <w:tc>
          <w:tcPr>
            <w:tcW w:w="1276" w:type="dxa"/>
            <w:shd w:val="clear" w:color="auto" w:fill="FFFFFF"/>
            <w:vAlign w:val="center"/>
          </w:tcPr>
          <w:p w14:paraId="6192DFDE"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.559</w:t>
            </w:r>
          </w:p>
        </w:tc>
      </w:tr>
      <w:tr w:rsidR="001136D4" w:rsidRPr="00CF31E0" w14:paraId="68CF0847" w14:textId="77777777" w:rsidTr="001136D4">
        <w:trPr>
          <w:cantSplit/>
        </w:trPr>
        <w:tc>
          <w:tcPr>
            <w:tcW w:w="1869" w:type="dxa"/>
            <w:shd w:val="clear" w:color="auto" w:fill="FFFFFF"/>
          </w:tcPr>
          <w:p w14:paraId="413CB394"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Poetic</w:t>
            </w:r>
          </w:p>
        </w:tc>
        <w:tc>
          <w:tcPr>
            <w:tcW w:w="997" w:type="dxa"/>
            <w:shd w:val="clear" w:color="auto" w:fill="FFFFFF"/>
            <w:vAlign w:val="center"/>
          </w:tcPr>
          <w:p w14:paraId="50C219FE"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64.2194</w:t>
            </w:r>
          </w:p>
        </w:tc>
        <w:tc>
          <w:tcPr>
            <w:tcW w:w="1114" w:type="dxa"/>
            <w:shd w:val="clear" w:color="auto" w:fill="FFFFFF"/>
            <w:vAlign w:val="center"/>
          </w:tcPr>
          <w:p w14:paraId="416C0E53"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89.068</w:t>
            </w:r>
          </w:p>
        </w:tc>
        <w:tc>
          <w:tcPr>
            <w:tcW w:w="1153" w:type="dxa"/>
            <w:shd w:val="clear" w:color="auto" w:fill="FFFFFF"/>
            <w:vAlign w:val="center"/>
          </w:tcPr>
          <w:p w14:paraId="696E52F4"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.046</w:t>
            </w:r>
          </w:p>
        </w:tc>
        <w:tc>
          <w:tcPr>
            <w:tcW w:w="1276" w:type="dxa"/>
            <w:shd w:val="clear" w:color="auto" w:fill="FFFFFF"/>
            <w:vAlign w:val="center"/>
          </w:tcPr>
          <w:p w14:paraId="48713B73"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.600</w:t>
            </w:r>
          </w:p>
        </w:tc>
        <w:tc>
          <w:tcPr>
            <w:tcW w:w="1276" w:type="dxa"/>
            <w:shd w:val="clear" w:color="auto" w:fill="FFFFFF"/>
            <w:vAlign w:val="center"/>
          </w:tcPr>
          <w:p w14:paraId="3B027854"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.559</w:t>
            </w:r>
          </w:p>
        </w:tc>
      </w:tr>
      <w:tr w:rsidR="001136D4" w:rsidRPr="00CF31E0" w14:paraId="4BF044F2" w14:textId="77777777" w:rsidTr="001136D4">
        <w:trPr>
          <w:cantSplit/>
        </w:trPr>
        <w:tc>
          <w:tcPr>
            <w:tcW w:w="1869" w:type="dxa"/>
            <w:shd w:val="clear" w:color="auto" w:fill="FFFFFF"/>
          </w:tcPr>
          <w:p w14:paraId="697D7CDC"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lastRenderedPageBreak/>
              <w:t>Difficult to understand</w:t>
            </w:r>
          </w:p>
        </w:tc>
        <w:tc>
          <w:tcPr>
            <w:tcW w:w="997" w:type="dxa"/>
            <w:shd w:val="clear" w:color="auto" w:fill="FFFFFF"/>
            <w:vAlign w:val="center"/>
          </w:tcPr>
          <w:p w14:paraId="0E2BE170"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63.7767</w:t>
            </w:r>
          </w:p>
        </w:tc>
        <w:tc>
          <w:tcPr>
            <w:tcW w:w="1114" w:type="dxa"/>
            <w:shd w:val="clear" w:color="auto" w:fill="FFFFFF"/>
            <w:vAlign w:val="center"/>
          </w:tcPr>
          <w:p w14:paraId="44742D2D"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91.146</w:t>
            </w:r>
          </w:p>
        </w:tc>
        <w:tc>
          <w:tcPr>
            <w:tcW w:w="1153" w:type="dxa"/>
            <w:shd w:val="clear" w:color="auto" w:fill="FFFFFF"/>
            <w:vAlign w:val="center"/>
          </w:tcPr>
          <w:p w14:paraId="37F5E69F"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.009</w:t>
            </w:r>
          </w:p>
        </w:tc>
        <w:tc>
          <w:tcPr>
            <w:tcW w:w="1276" w:type="dxa"/>
            <w:shd w:val="clear" w:color="auto" w:fill="FFFFFF"/>
            <w:vAlign w:val="center"/>
          </w:tcPr>
          <w:p w14:paraId="6F9D4257"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.277</w:t>
            </w:r>
          </w:p>
        </w:tc>
        <w:tc>
          <w:tcPr>
            <w:tcW w:w="1276" w:type="dxa"/>
            <w:shd w:val="clear" w:color="auto" w:fill="FFFFFF"/>
            <w:vAlign w:val="center"/>
          </w:tcPr>
          <w:p w14:paraId="7F0708F9"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.560</w:t>
            </w:r>
          </w:p>
        </w:tc>
      </w:tr>
      <w:tr w:rsidR="001136D4" w:rsidRPr="00CF31E0" w14:paraId="2CC081D0" w14:textId="77777777" w:rsidTr="001136D4">
        <w:trPr>
          <w:cantSplit/>
        </w:trPr>
        <w:tc>
          <w:tcPr>
            <w:tcW w:w="1869" w:type="dxa"/>
            <w:shd w:val="clear" w:color="auto" w:fill="FFFFFF"/>
          </w:tcPr>
          <w:p w14:paraId="5B91E7EE"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Recoded not proper sounds</w:t>
            </w:r>
          </w:p>
        </w:tc>
        <w:tc>
          <w:tcPr>
            <w:tcW w:w="997" w:type="dxa"/>
            <w:shd w:val="clear" w:color="auto" w:fill="FFFFFF"/>
            <w:vAlign w:val="center"/>
          </w:tcPr>
          <w:p w14:paraId="077B8482"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64.1481</w:t>
            </w:r>
          </w:p>
        </w:tc>
        <w:tc>
          <w:tcPr>
            <w:tcW w:w="1114" w:type="dxa"/>
            <w:shd w:val="clear" w:color="auto" w:fill="FFFFFF"/>
            <w:vAlign w:val="center"/>
          </w:tcPr>
          <w:p w14:paraId="28972A0C"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90.334</w:t>
            </w:r>
          </w:p>
        </w:tc>
        <w:tc>
          <w:tcPr>
            <w:tcW w:w="1153" w:type="dxa"/>
            <w:shd w:val="clear" w:color="auto" w:fill="FFFFFF"/>
            <w:vAlign w:val="center"/>
          </w:tcPr>
          <w:p w14:paraId="4A34D863"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.035</w:t>
            </w:r>
          </w:p>
        </w:tc>
        <w:tc>
          <w:tcPr>
            <w:tcW w:w="1276" w:type="dxa"/>
            <w:shd w:val="clear" w:color="auto" w:fill="FFFFFF"/>
            <w:vAlign w:val="center"/>
          </w:tcPr>
          <w:p w14:paraId="685E397C"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.307</w:t>
            </w:r>
          </w:p>
        </w:tc>
        <w:tc>
          <w:tcPr>
            <w:tcW w:w="1276" w:type="dxa"/>
            <w:shd w:val="clear" w:color="auto" w:fill="FFFFFF"/>
            <w:vAlign w:val="center"/>
          </w:tcPr>
          <w:p w14:paraId="01D03CFE" w14:textId="77777777" w:rsidR="00A23C2A" w:rsidRPr="00CF31E0" w:rsidRDefault="00A23C2A" w:rsidP="001136D4">
            <w:pPr>
              <w:widowControl w:val="0"/>
              <w:autoSpaceDE w:val="0"/>
              <w:autoSpaceDN w:val="0"/>
              <w:adjustRightInd w:val="0"/>
              <w:spacing w:before="12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.557</w:t>
            </w:r>
          </w:p>
        </w:tc>
      </w:tr>
    </w:tbl>
    <w:p w14:paraId="7040E27A" w14:textId="26784F6D" w:rsidR="00A23C2A" w:rsidRPr="00CF31E0" w:rsidRDefault="00A23C2A" w:rsidP="001136D4">
      <w:pPr>
        <w:pStyle w:val="Tablecaption"/>
        <w:jc w:val="left"/>
        <w:rPr>
          <w:lang w:eastAsia="zh-CN"/>
        </w:rPr>
      </w:pPr>
      <w:bookmarkStart w:id="566" w:name="_Toc522527439"/>
      <w:bookmarkStart w:id="567" w:name="_Toc522628851"/>
      <w:bookmarkStart w:id="568" w:name="_Toc522629015"/>
      <w:bookmarkStart w:id="569" w:name="_Toc6473112"/>
      <w:r w:rsidRPr="00CF31E0">
        <w:rPr>
          <w:lang w:eastAsia="zh-CN"/>
        </w:rPr>
        <w:t xml:space="preserve">Table </w:t>
      </w:r>
      <w:r w:rsidR="000A1504" w:rsidRPr="00CF31E0">
        <w:rPr>
          <w:lang w:eastAsia="zh-CN"/>
        </w:rPr>
        <w:t>9</w:t>
      </w:r>
      <w:r w:rsidR="002A057C" w:rsidRPr="00CF31E0">
        <w:rPr>
          <w:lang w:eastAsia="zh-CN"/>
        </w:rPr>
        <w:t>.</w:t>
      </w:r>
      <w:r w:rsidRPr="00CF31E0">
        <w:rPr>
          <w:lang w:eastAsia="zh-CN"/>
        </w:rPr>
        <w:t>3: Item-total statistics.</w:t>
      </w:r>
      <w:bookmarkEnd w:id="566"/>
      <w:bookmarkEnd w:id="567"/>
      <w:bookmarkEnd w:id="568"/>
      <w:bookmarkEnd w:id="569"/>
      <w:r w:rsidRPr="00CF31E0">
        <w:rPr>
          <w:lang w:eastAsia="zh-CN"/>
        </w:rPr>
        <w:t xml:space="preserve"> </w:t>
      </w:r>
    </w:p>
    <w:p w14:paraId="043D51F8" w14:textId="44BC5BCA" w:rsidR="00A23C2A" w:rsidRPr="00CF31E0" w:rsidRDefault="00A23C2A" w:rsidP="00603CB7">
      <w:pPr>
        <w:pStyle w:val="Paragraph"/>
        <w:rPr>
          <w:lang w:val="en-US" w:eastAsia="zh-CN"/>
        </w:rPr>
      </w:pPr>
      <w:r w:rsidRPr="00CF31E0">
        <w:rPr>
          <w:lang w:val="en-US" w:eastAsia="zh-CN"/>
        </w:rPr>
        <w:t xml:space="preserve">In Table </w:t>
      </w:r>
      <w:r w:rsidR="000A1504" w:rsidRPr="00CF31E0">
        <w:rPr>
          <w:lang w:val="en-US" w:eastAsia="zh-CN"/>
        </w:rPr>
        <w:t>9</w:t>
      </w:r>
      <w:r w:rsidR="002A057C" w:rsidRPr="00CF31E0">
        <w:rPr>
          <w:lang w:val="en-US" w:eastAsia="zh-CN"/>
        </w:rPr>
        <w:t>.3</w:t>
      </w:r>
      <w:r w:rsidRPr="00CF31E0">
        <w:rPr>
          <w:lang w:val="en-US" w:eastAsia="zh-CN"/>
        </w:rPr>
        <w:t xml:space="preserve"> above, the corrected item-total correlation values reveal the degree to which each item correlates with the total score. Any item that has a value of less than .3 is considered to have very low internal consistency in the scale; that is, it may measure something different from the main purpose of the scale. </w:t>
      </w:r>
      <w:r w:rsidRPr="00CF31E0">
        <w:rPr>
          <w:lang w:val="en-US" w:eastAsia="zh-CN"/>
        </w:rPr>
        <w:fldChar w:fldCharType="begin"/>
      </w:r>
      <w:r w:rsidRPr="00CF31E0">
        <w:rPr>
          <w:lang w:val="en-US" w:eastAsia="zh-CN"/>
        </w:rPr>
        <w:instrText xml:space="preserve"> ADDIN ZOTERO_ITEM CSL_CITATION {"citationID":"WIb5s4qX","properties":{"formattedCitation":"(Pallant, 2013, p. 104)","plainCitation":"(Pallant, 2013, p. 104)"},"citationItems":[{"id":208,"uris":["http://zotero.org/users/1939618/items/ME4Z3BDW"],"uri":["http://zotero.org/users/1939618/items/ME4Z3BDW"],"itemData":{"id":208,"type":"book","title":"SPSS survival manual","publisher":"McGraw-Hill Education (UK)","edition":"5th","source":"Google Scholar","URL":"https://books.google.co.uk/books?hl=en&amp;lr=&amp;id=fZZTBgAAQBAJ&amp;oi=fnd&amp;pg=PR7&amp;dq=spss+manual+survival+5th+edition&amp;ots=KUNtjTXXyQ&amp;sig=bmJQspifgoygavKVhpMYsXasP1I","author":[{"family":"Pallant","given":"Julie"}],"issued":{"date-parts":[["2013"]]},"accessed":{"date-parts":[["2016",11,25]]}},"locator":"104","label":"page"}],"schema":"https://github.com/citation-style-language/schema/raw/master/csl-citation.json"} </w:instrText>
      </w:r>
      <w:r w:rsidRPr="00CF31E0">
        <w:rPr>
          <w:lang w:val="en-US" w:eastAsia="zh-CN"/>
        </w:rPr>
        <w:fldChar w:fldCharType="separate"/>
      </w:r>
      <w:r w:rsidRPr="00CF31E0">
        <w:rPr>
          <w:noProof/>
          <w:lang w:val="en-US" w:eastAsia="zh-CN"/>
        </w:rPr>
        <w:t>Pallant (2013, p. 104)</w:t>
      </w:r>
      <w:r w:rsidRPr="00CF31E0">
        <w:rPr>
          <w:lang w:val="en-US" w:eastAsia="zh-CN"/>
        </w:rPr>
        <w:fldChar w:fldCharType="end"/>
      </w:r>
      <w:r w:rsidRPr="00CF31E0">
        <w:rPr>
          <w:lang w:val="en-US" w:eastAsia="zh-CN"/>
        </w:rPr>
        <w:t xml:space="preserve"> </w:t>
      </w:r>
      <w:r w:rsidRPr="00CF31E0">
        <w:rPr>
          <w:lang w:eastAsia="zh-CN"/>
        </w:rPr>
        <w:t>recommends</w:t>
      </w:r>
      <w:r w:rsidRPr="00CF31E0">
        <w:rPr>
          <w:lang w:val="en-US" w:eastAsia="zh-CN"/>
        </w:rPr>
        <w:t xml:space="preserve"> that if the overall Cronbach’s Alpha value is less than .7, as is the case in Table </w:t>
      </w:r>
      <w:r w:rsidR="000A1504" w:rsidRPr="00CF31E0">
        <w:rPr>
          <w:lang w:val="en-US" w:eastAsia="zh-CN"/>
        </w:rPr>
        <w:t>9</w:t>
      </w:r>
      <w:r w:rsidR="00DC0D62" w:rsidRPr="00CF31E0">
        <w:rPr>
          <w:lang w:val="en-US" w:eastAsia="zh-CN"/>
        </w:rPr>
        <w:t>.</w:t>
      </w:r>
      <w:r w:rsidRPr="00CF31E0">
        <w:rPr>
          <w:lang w:val="en-US" w:eastAsia="zh-CN"/>
        </w:rPr>
        <w:t xml:space="preserve">2 above, then items with values less than .3 have to be removed from the scale until a higher overall Cronbach’s Alpha value is obtained. The effect of deleting each item from the scale is displayed in the last column in the above table (Cronbach’s Alpha if Item Deleted). It is clear that deleting some items results in a dramatic increase in the Cronbach’s Alpha value. Returning to Table </w:t>
      </w:r>
      <w:r w:rsidR="000A1504" w:rsidRPr="00CF31E0">
        <w:rPr>
          <w:lang w:val="en-US" w:eastAsia="zh-CN"/>
        </w:rPr>
        <w:t>9</w:t>
      </w:r>
      <w:r w:rsidR="00DC0D62" w:rsidRPr="00CF31E0">
        <w:rPr>
          <w:lang w:val="en-US" w:eastAsia="zh-CN"/>
        </w:rPr>
        <w:t>.</w:t>
      </w:r>
      <w:r w:rsidRPr="00CF31E0">
        <w:rPr>
          <w:lang w:val="en-US" w:eastAsia="zh-CN"/>
        </w:rPr>
        <w:t xml:space="preserve">2, the Cronbach’s Alpha value is only .549, and it is highly recommended that the value should be over .7. Therefore, I deleted the top seven items that affect the scale negatively to increase the Cronbach’s Alpha value. These items are are: </w:t>
      </w:r>
      <w:r w:rsidRPr="00CF31E0">
        <w:rPr>
          <w:i/>
          <w:iCs/>
          <w:lang w:val="en-US" w:eastAsia="zh-CN"/>
        </w:rPr>
        <w:t>serious</w:t>
      </w:r>
      <w:r w:rsidRPr="00CF31E0">
        <w:rPr>
          <w:lang w:val="en-US" w:eastAsia="zh-CN"/>
        </w:rPr>
        <w:t xml:space="preserve">, </w:t>
      </w:r>
      <w:r w:rsidRPr="00CF31E0">
        <w:rPr>
          <w:i/>
          <w:iCs/>
          <w:lang w:val="en-US" w:eastAsia="zh-CN"/>
        </w:rPr>
        <w:t>softness</w:t>
      </w:r>
      <w:r w:rsidRPr="00CF31E0">
        <w:rPr>
          <w:lang w:val="en-US" w:eastAsia="zh-CN"/>
        </w:rPr>
        <w:t xml:space="preserve">, </w:t>
      </w:r>
      <w:r w:rsidRPr="00CF31E0">
        <w:rPr>
          <w:i/>
          <w:iCs/>
          <w:lang w:val="en-US" w:eastAsia="zh-CN"/>
        </w:rPr>
        <w:t>popular in</w:t>
      </w:r>
      <w:r w:rsidR="0035341D" w:rsidRPr="00CF31E0">
        <w:rPr>
          <w:i/>
          <w:iCs/>
          <w:lang w:val="en-US" w:eastAsia="zh-CN"/>
        </w:rPr>
        <w:t xml:space="preserve"> country</w:t>
      </w:r>
      <w:r w:rsidRPr="00CF31E0">
        <w:rPr>
          <w:i/>
          <w:iCs/>
          <w:lang w:val="en-US" w:eastAsia="zh-CN"/>
        </w:rPr>
        <w:t>side</w:t>
      </w:r>
      <w:r w:rsidRPr="00CF31E0">
        <w:rPr>
          <w:lang w:val="en-US" w:eastAsia="zh-CN"/>
        </w:rPr>
        <w:t xml:space="preserve">, </w:t>
      </w:r>
      <w:r w:rsidRPr="00CF31E0">
        <w:rPr>
          <w:i/>
          <w:iCs/>
          <w:lang w:val="en-US" w:eastAsia="zh-CN"/>
        </w:rPr>
        <w:t>difficult to imitate</w:t>
      </w:r>
      <w:r w:rsidRPr="00CF31E0">
        <w:rPr>
          <w:lang w:val="en-US" w:eastAsia="zh-CN"/>
        </w:rPr>
        <w:t xml:space="preserve">, </w:t>
      </w:r>
      <w:r w:rsidRPr="00CF31E0">
        <w:rPr>
          <w:i/>
          <w:iCs/>
          <w:lang w:val="en-US" w:eastAsia="zh-CN"/>
        </w:rPr>
        <w:t>poetic</w:t>
      </w:r>
      <w:r w:rsidRPr="00CF31E0">
        <w:rPr>
          <w:lang w:val="en-US" w:eastAsia="zh-CN"/>
        </w:rPr>
        <w:t xml:space="preserve">, </w:t>
      </w:r>
      <w:r w:rsidRPr="00CF31E0">
        <w:rPr>
          <w:i/>
          <w:iCs/>
          <w:lang w:val="en-US" w:eastAsia="zh-CN"/>
        </w:rPr>
        <w:t>difficult to understand</w:t>
      </w:r>
      <w:r w:rsidRPr="00CF31E0">
        <w:rPr>
          <w:lang w:val="en-US" w:eastAsia="zh-CN"/>
        </w:rPr>
        <w:t xml:space="preserve">, </w:t>
      </w:r>
      <w:r w:rsidR="002C58AE" w:rsidRPr="00CF31E0">
        <w:rPr>
          <w:lang w:val="en-US" w:eastAsia="zh-CN"/>
        </w:rPr>
        <w:t>[</w:t>
      </w:r>
      <w:r w:rsidRPr="00CF31E0">
        <w:rPr>
          <w:lang w:val="en-US" w:eastAsia="zh-CN"/>
        </w:rPr>
        <w:t>recoded</w:t>
      </w:r>
      <w:r w:rsidR="002C58AE" w:rsidRPr="00CF31E0">
        <w:rPr>
          <w:lang w:val="en-US" w:eastAsia="zh-CN"/>
        </w:rPr>
        <w:t>]</w:t>
      </w:r>
      <w:r w:rsidRPr="00CF31E0">
        <w:rPr>
          <w:i/>
          <w:lang w:val="en-US" w:eastAsia="zh-CN"/>
        </w:rPr>
        <w:t xml:space="preserve"> not proper sounds</w:t>
      </w:r>
      <w:r w:rsidRPr="00CF31E0">
        <w:rPr>
          <w:lang w:val="en-US" w:eastAsia="zh-CN"/>
        </w:rPr>
        <w:t xml:space="preserve">. The effects of deleting these items from the scale are shown in Table </w:t>
      </w:r>
      <w:r w:rsidR="000A1504" w:rsidRPr="00CF31E0">
        <w:rPr>
          <w:lang w:val="en-US" w:eastAsia="zh-CN"/>
        </w:rPr>
        <w:t>9</w:t>
      </w:r>
      <w:r w:rsidR="00DC0D62" w:rsidRPr="00CF31E0">
        <w:rPr>
          <w:lang w:val="en-US" w:eastAsia="zh-CN"/>
        </w:rPr>
        <w:t>.</w:t>
      </w:r>
      <w:r w:rsidRPr="00CF31E0">
        <w:rPr>
          <w:lang w:val="en-US" w:eastAsia="zh-CN"/>
        </w:rPr>
        <w:t>4.</w:t>
      </w:r>
    </w:p>
    <w:tbl>
      <w:tblPr>
        <w:tblW w:w="7446"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2627"/>
        <w:gridCol w:w="3402"/>
        <w:gridCol w:w="1417"/>
      </w:tblGrid>
      <w:tr w:rsidR="001D00E6" w:rsidRPr="00CF31E0" w14:paraId="6012BAF7" w14:textId="77777777" w:rsidTr="00374582">
        <w:trPr>
          <w:trHeight w:val="968"/>
        </w:trPr>
        <w:tc>
          <w:tcPr>
            <w:tcW w:w="2627" w:type="dxa"/>
            <w:shd w:val="clear" w:color="auto" w:fill="FFFFFF"/>
            <w:tcMar>
              <w:top w:w="0" w:type="dxa"/>
              <w:left w:w="75" w:type="dxa"/>
              <w:bottom w:w="0" w:type="dxa"/>
              <w:right w:w="75" w:type="dxa"/>
            </w:tcMar>
            <w:vAlign w:val="bottom"/>
            <w:hideMark/>
          </w:tcPr>
          <w:p w14:paraId="2433F94F" w14:textId="77777777" w:rsidR="001D00E6" w:rsidRPr="00CF31E0" w:rsidRDefault="001D00E6" w:rsidP="00603CB7">
            <w:pPr>
              <w:spacing w:before="120" w:after="120"/>
              <w:rPr>
                <w:rFonts w:eastAsia="Calibri"/>
                <w:color w:val="000000" w:themeColor="text1"/>
                <w:sz w:val="22"/>
                <w:szCs w:val="22"/>
              </w:rPr>
            </w:pPr>
            <w:r w:rsidRPr="00CF31E0">
              <w:rPr>
                <w:rFonts w:eastAsia="Calibri"/>
                <w:color w:val="000000" w:themeColor="text1"/>
                <w:sz w:val="22"/>
                <w:szCs w:val="22"/>
              </w:rPr>
              <w:t>Cronbach’s Alpha</w:t>
            </w:r>
          </w:p>
        </w:tc>
        <w:tc>
          <w:tcPr>
            <w:tcW w:w="3402" w:type="dxa"/>
            <w:shd w:val="clear" w:color="auto" w:fill="FFFFFF"/>
            <w:tcMar>
              <w:top w:w="0" w:type="dxa"/>
              <w:left w:w="75" w:type="dxa"/>
              <w:bottom w:w="0" w:type="dxa"/>
              <w:right w:w="75" w:type="dxa"/>
            </w:tcMar>
            <w:vAlign w:val="bottom"/>
            <w:hideMark/>
          </w:tcPr>
          <w:p w14:paraId="78F01760" w14:textId="77777777" w:rsidR="001D00E6" w:rsidRPr="00CF31E0" w:rsidRDefault="001D00E6" w:rsidP="00603CB7">
            <w:pPr>
              <w:spacing w:before="120" w:after="120"/>
              <w:rPr>
                <w:rFonts w:eastAsia="Calibri"/>
                <w:color w:val="000000" w:themeColor="text1"/>
                <w:sz w:val="22"/>
                <w:szCs w:val="22"/>
              </w:rPr>
            </w:pPr>
            <w:r w:rsidRPr="00CF31E0">
              <w:rPr>
                <w:rFonts w:eastAsia="Calibri"/>
                <w:color w:val="000000" w:themeColor="text1"/>
                <w:sz w:val="22"/>
                <w:szCs w:val="22"/>
              </w:rPr>
              <w:t>Cronbach’s Alpha Based on Standardized Items</w:t>
            </w:r>
          </w:p>
        </w:tc>
        <w:tc>
          <w:tcPr>
            <w:tcW w:w="1417" w:type="dxa"/>
            <w:shd w:val="clear" w:color="auto" w:fill="FFFFFF"/>
            <w:tcMar>
              <w:top w:w="0" w:type="dxa"/>
              <w:left w:w="75" w:type="dxa"/>
              <w:bottom w:w="0" w:type="dxa"/>
              <w:right w:w="75" w:type="dxa"/>
            </w:tcMar>
            <w:vAlign w:val="bottom"/>
            <w:hideMark/>
          </w:tcPr>
          <w:p w14:paraId="2DBDA940" w14:textId="77777777" w:rsidR="001D00E6" w:rsidRPr="00CF31E0" w:rsidRDefault="001D00E6" w:rsidP="00603CB7">
            <w:pPr>
              <w:spacing w:before="120" w:after="120"/>
              <w:rPr>
                <w:rFonts w:eastAsia="Calibri"/>
                <w:color w:val="000000" w:themeColor="text1"/>
                <w:sz w:val="22"/>
                <w:szCs w:val="22"/>
              </w:rPr>
            </w:pPr>
            <w:r w:rsidRPr="00CF31E0">
              <w:rPr>
                <w:rFonts w:eastAsia="Calibri"/>
                <w:color w:val="000000" w:themeColor="text1"/>
                <w:sz w:val="22"/>
                <w:szCs w:val="22"/>
              </w:rPr>
              <w:t>N of Items</w:t>
            </w:r>
          </w:p>
        </w:tc>
      </w:tr>
      <w:tr w:rsidR="001D00E6" w:rsidRPr="00CF31E0" w14:paraId="3AC7CCE6" w14:textId="77777777" w:rsidTr="00374582">
        <w:trPr>
          <w:trHeight w:val="455"/>
        </w:trPr>
        <w:tc>
          <w:tcPr>
            <w:tcW w:w="2627" w:type="dxa"/>
            <w:shd w:val="clear" w:color="auto" w:fill="FFFFFF"/>
            <w:tcMar>
              <w:top w:w="0" w:type="dxa"/>
              <w:left w:w="75" w:type="dxa"/>
              <w:bottom w:w="0" w:type="dxa"/>
              <w:right w:w="75" w:type="dxa"/>
            </w:tcMar>
            <w:vAlign w:val="center"/>
            <w:hideMark/>
          </w:tcPr>
          <w:p w14:paraId="499B70D8" w14:textId="33657B69" w:rsidR="001D00E6" w:rsidRPr="00CF31E0" w:rsidRDefault="001D00E6" w:rsidP="00603CB7">
            <w:pPr>
              <w:spacing w:before="120" w:after="120"/>
              <w:rPr>
                <w:rFonts w:eastAsia="Calibri"/>
                <w:color w:val="000000" w:themeColor="text1"/>
                <w:sz w:val="22"/>
                <w:szCs w:val="22"/>
              </w:rPr>
            </w:pPr>
            <w:r w:rsidRPr="00CF31E0">
              <w:rPr>
                <w:rFonts w:eastAsia="Calibri"/>
                <w:color w:val="000000" w:themeColor="text1"/>
                <w:sz w:val="22"/>
                <w:szCs w:val="22"/>
              </w:rPr>
              <w:t>.724</w:t>
            </w:r>
          </w:p>
        </w:tc>
        <w:tc>
          <w:tcPr>
            <w:tcW w:w="3402" w:type="dxa"/>
            <w:shd w:val="clear" w:color="auto" w:fill="FFFFFF"/>
            <w:tcMar>
              <w:top w:w="0" w:type="dxa"/>
              <w:left w:w="75" w:type="dxa"/>
              <w:bottom w:w="0" w:type="dxa"/>
              <w:right w:w="75" w:type="dxa"/>
            </w:tcMar>
            <w:vAlign w:val="center"/>
            <w:hideMark/>
          </w:tcPr>
          <w:p w14:paraId="6B44E383" w14:textId="609CCAC7" w:rsidR="001D00E6" w:rsidRPr="00CF31E0" w:rsidRDefault="001D00E6" w:rsidP="00603CB7">
            <w:pPr>
              <w:spacing w:before="120" w:after="120"/>
              <w:rPr>
                <w:rFonts w:eastAsia="Calibri"/>
                <w:color w:val="000000" w:themeColor="text1"/>
                <w:sz w:val="22"/>
                <w:szCs w:val="22"/>
              </w:rPr>
            </w:pPr>
            <w:r w:rsidRPr="00CF31E0">
              <w:rPr>
                <w:rFonts w:eastAsia="Calibri"/>
                <w:color w:val="000000" w:themeColor="text1"/>
                <w:sz w:val="22"/>
                <w:szCs w:val="22"/>
              </w:rPr>
              <w:t>.729</w:t>
            </w:r>
          </w:p>
        </w:tc>
        <w:tc>
          <w:tcPr>
            <w:tcW w:w="1417" w:type="dxa"/>
            <w:shd w:val="clear" w:color="auto" w:fill="FFFFFF"/>
            <w:tcMar>
              <w:top w:w="0" w:type="dxa"/>
              <w:left w:w="75" w:type="dxa"/>
              <w:bottom w:w="0" w:type="dxa"/>
              <w:right w:w="75" w:type="dxa"/>
            </w:tcMar>
            <w:vAlign w:val="center"/>
            <w:hideMark/>
          </w:tcPr>
          <w:p w14:paraId="4CD8F8A6" w14:textId="1C386E40" w:rsidR="001D00E6" w:rsidRPr="00CF31E0" w:rsidRDefault="001D00E6" w:rsidP="00603CB7">
            <w:pPr>
              <w:spacing w:before="120" w:after="120"/>
              <w:rPr>
                <w:rFonts w:eastAsia="Calibri"/>
                <w:color w:val="000000" w:themeColor="text1"/>
                <w:sz w:val="22"/>
                <w:szCs w:val="22"/>
              </w:rPr>
            </w:pPr>
            <w:r w:rsidRPr="00CF31E0">
              <w:rPr>
                <w:rFonts w:eastAsia="Calibri"/>
                <w:color w:val="000000" w:themeColor="text1"/>
                <w:sz w:val="22"/>
                <w:szCs w:val="22"/>
              </w:rPr>
              <w:t>15</w:t>
            </w:r>
          </w:p>
        </w:tc>
      </w:tr>
    </w:tbl>
    <w:p w14:paraId="34197B0A" w14:textId="233F0461" w:rsidR="00A23C2A" w:rsidRPr="00CF31E0" w:rsidRDefault="00A23C2A" w:rsidP="000A1504">
      <w:pPr>
        <w:pStyle w:val="Tablecaption"/>
        <w:rPr>
          <w:lang w:eastAsia="zh-CN"/>
        </w:rPr>
      </w:pPr>
      <w:bookmarkStart w:id="570" w:name="_Toc522527440"/>
      <w:bookmarkStart w:id="571" w:name="_Toc522628852"/>
      <w:bookmarkStart w:id="572" w:name="_Toc522629016"/>
      <w:bookmarkStart w:id="573" w:name="_Toc6473113"/>
      <w:r w:rsidRPr="00CF31E0">
        <w:rPr>
          <w:lang w:eastAsia="zh-CN"/>
        </w:rPr>
        <w:t xml:space="preserve">Table </w:t>
      </w:r>
      <w:r w:rsidR="000A1504" w:rsidRPr="00CF31E0">
        <w:rPr>
          <w:lang w:eastAsia="zh-CN"/>
        </w:rPr>
        <w:t>9</w:t>
      </w:r>
      <w:r w:rsidR="00DC0D62" w:rsidRPr="00CF31E0">
        <w:rPr>
          <w:lang w:eastAsia="zh-CN"/>
        </w:rPr>
        <w:t>.</w:t>
      </w:r>
      <w:r w:rsidRPr="00CF31E0">
        <w:rPr>
          <w:lang w:eastAsia="zh-CN"/>
        </w:rPr>
        <w:t>4: Reliability statistics</w:t>
      </w:r>
      <w:r w:rsidR="00DC0D62" w:rsidRPr="00CF31E0">
        <w:rPr>
          <w:lang w:eastAsia="zh-CN"/>
        </w:rPr>
        <w:t>.</w:t>
      </w:r>
      <w:bookmarkEnd w:id="570"/>
      <w:bookmarkEnd w:id="571"/>
      <w:bookmarkEnd w:id="572"/>
      <w:bookmarkEnd w:id="573"/>
    </w:p>
    <w:p w14:paraId="50920F71" w14:textId="4397D32E" w:rsidR="00A23C2A" w:rsidRPr="00CF31E0" w:rsidRDefault="00A23C2A" w:rsidP="00603CB7">
      <w:pPr>
        <w:pStyle w:val="Paragraph"/>
        <w:rPr>
          <w:lang w:val="en-US" w:eastAsia="zh-CN"/>
        </w:rPr>
      </w:pPr>
      <w:r w:rsidRPr="00CF31E0">
        <w:rPr>
          <w:lang w:eastAsia="zh-CN"/>
        </w:rPr>
        <w:t xml:space="preserve">Table </w:t>
      </w:r>
      <w:r w:rsidR="000A1504" w:rsidRPr="00CF31E0">
        <w:rPr>
          <w:lang w:eastAsia="zh-CN"/>
        </w:rPr>
        <w:t>9</w:t>
      </w:r>
      <w:r w:rsidR="00DC0D62" w:rsidRPr="00CF31E0">
        <w:rPr>
          <w:lang w:eastAsia="zh-CN"/>
        </w:rPr>
        <w:t>.</w:t>
      </w:r>
      <w:r w:rsidRPr="00CF31E0">
        <w:rPr>
          <w:lang w:eastAsia="zh-CN"/>
        </w:rPr>
        <w:t>4 shows</w:t>
      </w:r>
      <w:r w:rsidRPr="00CF31E0">
        <w:rPr>
          <w:lang w:val="en-US" w:eastAsia="zh-CN"/>
        </w:rPr>
        <w:t xml:space="preserve"> that the Cronbach’s Alpha value increased to an acceptable level of reliability of .7</w:t>
      </w:r>
      <w:r w:rsidR="0035341D" w:rsidRPr="00CF31E0">
        <w:rPr>
          <w:lang w:val="en-US" w:eastAsia="zh-CN"/>
        </w:rPr>
        <w:t>24</w:t>
      </w:r>
      <w:r w:rsidRPr="00CF31E0">
        <w:rPr>
          <w:lang w:val="en-US" w:eastAsia="zh-CN"/>
        </w:rPr>
        <w:t xml:space="preserve">, and the number of items in the scale decreased to 15, since 7 items were deleted from the scale. Thus, only 15 items in the scale </w:t>
      </w:r>
      <w:r w:rsidRPr="00CF31E0">
        <w:rPr>
          <w:lang w:eastAsia="zh-CN"/>
        </w:rPr>
        <w:t>were</w:t>
      </w:r>
      <w:r w:rsidRPr="00CF31E0">
        <w:rPr>
          <w:lang w:val="en-US" w:eastAsia="zh-CN"/>
        </w:rPr>
        <w:t xml:space="preserve"> applied in the next stage of data analysis. The items in the scale </w:t>
      </w:r>
      <w:r w:rsidRPr="00CF31E0">
        <w:rPr>
          <w:lang w:val="en-US" w:eastAsia="zh-CN"/>
        </w:rPr>
        <w:lastRenderedPageBreak/>
        <w:t>are now ready to be processed in factor analysis which I will illustrate in the following section.</w:t>
      </w:r>
    </w:p>
    <w:p w14:paraId="0E672F9B" w14:textId="328D72AA" w:rsidR="00A23C2A" w:rsidRPr="00CF31E0" w:rsidRDefault="000A1504" w:rsidP="00E87209">
      <w:pPr>
        <w:pStyle w:val="Ahead"/>
        <w:rPr>
          <w:rFonts w:eastAsia="Times New Roman"/>
        </w:rPr>
      </w:pPr>
      <w:bookmarkStart w:id="574" w:name="_Toc502437225"/>
      <w:bookmarkStart w:id="575" w:name="_Toc6472742"/>
      <w:r w:rsidRPr="00CF31E0">
        <w:rPr>
          <w:rFonts w:eastAsia="Times New Roman"/>
        </w:rPr>
        <w:t>9</w:t>
      </w:r>
      <w:r w:rsidR="00DC0D62" w:rsidRPr="00CF31E0">
        <w:rPr>
          <w:rFonts w:eastAsia="Times New Roman"/>
        </w:rPr>
        <w:t>.4.</w:t>
      </w:r>
      <w:r w:rsidR="00DC0D62" w:rsidRPr="00CF31E0">
        <w:rPr>
          <w:rFonts w:eastAsia="Times New Roman"/>
        </w:rPr>
        <w:tab/>
      </w:r>
      <w:r w:rsidR="00C62685" w:rsidRPr="00CF31E0">
        <w:rPr>
          <w:rFonts w:eastAsia="Times New Roman"/>
        </w:rPr>
        <w:t>Data-</w:t>
      </w:r>
      <w:r w:rsidR="00A23C2A" w:rsidRPr="00CF31E0">
        <w:rPr>
          <w:rFonts w:eastAsia="Times New Roman"/>
        </w:rPr>
        <w:t>reduction results</w:t>
      </w:r>
      <w:r w:rsidR="00C62685" w:rsidRPr="00CF31E0">
        <w:rPr>
          <w:rFonts w:eastAsia="Times New Roman"/>
        </w:rPr>
        <w:t>: F</w:t>
      </w:r>
      <w:r w:rsidR="00A23C2A" w:rsidRPr="00CF31E0">
        <w:rPr>
          <w:rFonts w:eastAsia="Times New Roman"/>
        </w:rPr>
        <w:t>actor analysis</w:t>
      </w:r>
      <w:bookmarkEnd w:id="574"/>
      <w:bookmarkEnd w:id="575"/>
      <w:r w:rsidR="00A23C2A" w:rsidRPr="00CF31E0">
        <w:rPr>
          <w:rFonts w:eastAsia="Times New Roman"/>
        </w:rPr>
        <w:t xml:space="preserve"> </w:t>
      </w:r>
    </w:p>
    <w:p w14:paraId="279A00B6" w14:textId="5323D015" w:rsidR="00A23C2A" w:rsidRPr="00CF31E0" w:rsidRDefault="00A23C2A" w:rsidP="00603CB7">
      <w:pPr>
        <w:pStyle w:val="Paragraph"/>
        <w:rPr>
          <w:lang w:val="en-US" w:eastAsia="en-US"/>
        </w:rPr>
      </w:pPr>
      <w:r w:rsidRPr="00CF31E0">
        <w:rPr>
          <w:lang w:val="en-US" w:eastAsia="en-US"/>
        </w:rPr>
        <w:t xml:space="preserve">Factor analysis is a technique used to structurally analyze variables to reveal the interrelationships among them </w:t>
      </w:r>
      <w:bookmarkStart w:id="576" w:name="ZOTERO_BREF_ujJDxYAiVdAa"/>
      <w:r w:rsidRPr="00CF31E0">
        <w:rPr>
          <w:lang w:val="en-US" w:eastAsia="en-US"/>
        </w:rPr>
        <w:fldChar w:fldCharType="begin"/>
      </w:r>
      <w:r w:rsidRPr="00CF31E0">
        <w:rPr>
          <w:lang w:val="en-US" w:eastAsia="en-US"/>
        </w:rPr>
        <w:instrText xml:space="preserve"> ADDIN ZOTERO_ITEM CSL_CITATION {"citationID":"G4AreSvs","properties":{"formattedCitation":"(Pett et al., 2011, p. 2, chapter 1)","plainCitation":"(Pett et al., 2011, p. 2, chapter 1)"},"citationItems":[{"id":207,"uris":["http://zotero.org/users/1939618/items/ZQHWHPQI"],"uri":["http://zotero.org/users/1939618/items/ZQHWHPQI"],"itemData":{"id":207,"type":"book","title":"Making sense of factor analysis: The use of factor analysis for instrument development in health care research","publisher":"Sage","source":"Google Scholar","shortTitle":"Making sense of factor analysis","author":[{"family":"Pett","given":"Marjorie A."},{"family":"Lackey","given":"Nancy R."},{"family":"Sullivan","given":"John J."}],"issued":{"date-parts":[["2011"]]}},"locator":"2, chapter 1","label":"page"}],"schema":"https://github.com/citation-style-language/schema/raw/master/csl-citation.json"} </w:instrText>
      </w:r>
      <w:r w:rsidRPr="00CF31E0">
        <w:rPr>
          <w:lang w:val="en-US" w:eastAsia="en-US"/>
        </w:rPr>
        <w:fldChar w:fldCharType="separate"/>
      </w:r>
      <w:r w:rsidR="00030EEC" w:rsidRPr="00CF31E0">
        <w:rPr>
          <w:noProof/>
          <w:lang w:val="en-US" w:eastAsia="en-US"/>
        </w:rPr>
        <w:t>(Pett et al., 2003</w:t>
      </w:r>
      <w:r w:rsidR="00FA482A">
        <w:rPr>
          <w:noProof/>
          <w:lang w:val="en-US" w:eastAsia="en-US"/>
        </w:rPr>
        <w:t>, p. 2</w:t>
      </w:r>
      <w:r w:rsidRPr="00CF31E0">
        <w:rPr>
          <w:noProof/>
          <w:lang w:val="en-US" w:eastAsia="en-US"/>
        </w:rPr>
        <w:t>)</w:t>
      </w:r>
      <w:r w:rsidRPr="00CF31E0">
        <w:rPr>
          <w:lang w:val="en-US" w:eastAsia="en-US"/>
        </w:rPr>
        <w:fldChar w:fldCharType="end"/>
      </w:r>
      <w:bookmarkEnd w:id="576"/>
      <w:r w:rsidRPr="00CF31E0">
        <w:rPr>
          <w:lang w:val="en-US" w:eastAsia="en-US"/>
        </w:rPr>
        <w:t xml:space="preserve">. Afterwards, factor analysis implements a reduction process on the observed variables. In other words, only variables that seem to be inter-correlated are grouped together to form a factor that has common characteristics </w:t>
      </w:r>
      <w:bookmarkStart w:id="577" w:name="ZOTERO_BREF_xi37GR79Kw7r"/>
      <w:r w:rsidRPr="00CF31E0">
        <w:rPr>
          <w:lang w:val="en-US" w:eastAsia="en-US"/>
        </w:rPr>
        <w:fldChar w:fldCharType="begin"/>
      </w:r>
      <w:r w:rsidRPr="00CF31E0">
        <w:rPr>
          <w:lang w:val="en-US" w:eastAsia="en-US"/>
        </w:rPr>
        <w:instrText xml:space="preserve"> ADDIN ZOTERO_ITEM CSL_CITATION {"citationID":"at07nscl68","properties":{"formattedCitation":"(Conway &amp; Huffcutt, 2003; Pallant, 2013; Pett et al., 2011)","plainCitation":"(Conway &amp; Huffcutt, 2003; Pallant, 2013; Pett et al., 2011)","noteIndex":0},"citationItems":[{"id":257,"uris":["http://zotero.org/users/1939618/items/JHPCPZZI"],"uri":["http://zotero.org/users/1939618/items/JHPCPZZI"],"itemData":{"id":257,"type":"article-journal","title":"A review and evaluation of exploratory factor analysis practices in organizational research","container-title":"Organizational research methods","page":"147–168","volume":"6","issue":"2","source":"Google Scholar","author":[{"family":"Conway","given":"James M."},{"family":"Huffcutt","given":"Allen I."}],"issued":{"date-parts":[["2003"]]}},"label":"page"},{"id":208,"uris":["http://zotero.org/users/1939618/items/ME4Z3BDW"],"uri":["http://zotero.org/users/1939618/items/ME4Z3BDW"],"itemData":{"id":208,"type":"book","title":"SPSS survival manual","publisher":"McGraw-Hill Education (UK)","edition":"5th","source":"Google Scholar","URL":"https://books.google.co.uk/books?hl=en&amp;lr=&amp;id=fZZTBgAAQBAJ&amp;oi=fnd&amp;pg=PR7&amp;dq=spss+manual+survival+5th+edition&amp;ots=KUNtjTXXyQ&amp;sig=bmJQspifgoygavKVhpMYsXasP1I","author":[{"family":"Pallant","given":"Julie"}],"issued":{"date-parts":[["2013"]]},"accessed":{"date-parts":[["2016",11,25]]}},"label":"page"},{"id":207,"uris":["http://zotero.org/users/1939618/items/ZQHWHPQI"],"uri":["http://zotero.org/users/1939618/items/ZQHWHPQI"],"itemData":{"id":207,"type":"book","title":"Making sense of factor analysis: The use of factor analysis for instrument development in health care research","publisher":"Sage","source":"Google Scholar","shortTitle":"Making sense of factor analysis","author":[{"family":"Pett","given":"Marjorie A."},{"family":"Lackey","given":"Nancy R."},{"family":"Sullivan","given":"John J."}],"issued":{"date-parts":[["2011"]]}},"label":"page"}],"schema":"https://github.com/citation-style-language/schema/raw/master/csl-citation.json"} </w:instrText>
      </w:r>
      <w:r w:rsidRPr="00CF31E0">
        <w:rPr>
          <w:lang w:val="en-US" w:eastAsia="en-US"/>
        </w:rPr>
        <w:fldChar w:fldCharType="separate"/>
      </w:r>
      <w:r w:rsidRPr="00CF31E0">
        <w:rPr>
          <w:noProof/>
          <w:lang w:val="en-US" w:eastAsia="en-US"/>
        </w:rPr>
        <w:t xml:space="preserve">(Conway &amp; Huffcutt, 2003; </w:t>
      </w:r>
      <w:r w:rsidR="00030EEC" w:rsidRPr="00CF31E0">
        <w:rPr>
          <w:noProof/>
          <w:lang w:val="en-US" w:eastAsia="en-US"/>
        </w:rPr>
        <w:t>Pallant, 2013; Pett et al., 2003</w:t>
      </w:r>
      <w:r w:rsidRPr="00CF31E0">
        <w:rPr>
          <w:noProof/>
          <w:lang w:val="en-US" w:eastAsia="en-US"/>
        </w:rPr>
        <w:t>)</w:t>
      </w:r>
      <w:r w:rsidRPr="00CF31E0">
        <w:rPr>
          <w:lang w:val="en-US" w:eastAsia="en-US"/>
        </w:rPr>
        <w:fldChar w:fldCharType="end"/>
      </w:r>
      <w:bookmarkEnd w:id="577"/>
      <w:r w:rsidR="006A176D" w:rsidRPr="00CF31E0">
        <w:rPr>
          <w:lang w:val="en-US" w:eastAsia="en-US"/>
        </w:rPr>
        <w:t>. Tabachnick &amp; Fidell</w:t>
      </w:r>
      <w:r w:rsidRPr="00CF31E0">
        <w:rPr>
          <w:lang w:val="en-US" w:eastAsia="en-US"/>
        </w:rPr>
        <w:t xml:space="preserve"> </w:t>
      </w:r>
      <w:r w:rsidR="0052281A" w:rsidRPr="00CF31E0">
        <w:rPr>
          <w:lang w:val="en-US" w:eastAsia="en-US"/>
        </w:rPr>
        <w:t xml:space="preserve">as cited </w:t>
      </w:r>
      <w:r w:rsidRPr="00CF31E0">
        <w:rPr>
          <w:lang w:val="en-US" w:eastAsia="en-US"/>
        </w:rPr>
        <w:t xml:space="preserve">in </w:t>
      </w:r>
      <w:bookmarkStart w:id="578" w:name="ZOTERO_BREF_bdCWo9vg86k6"/>
      <w:r w:rsidRPr="00CF31E0">
        <w:rPr>
          <w:rFonts w:eastAsia="Times New Roman"/>
          <w:szCs w:val="22"/>
          <w:lang w:eastAsia="zh-CN"/>
        </w:rPr>
        <w:t xml:space="preserve">Pett et al. </w:t>
      </w:r>
      <w:r w:rsidR="0052281A" w:rsidRPr="00CF31E0">
        <w:rPr>
          <w:rFonts w:eastAsia="Times New Roman"/>
          <w:szCs w:val="22"/>
          <w:lang w:eastAsia="zh-CN"/>
        </w:rPr>
        <w:t>(</w:t>
      </w:r>
      <w:r w:rsidR="00030EEC" w:rsidRPr="00CF31E0">
        <w:rPr>
          <w:rFonts w:eastAsia="Times New Roman"/>
          <w:szCs w:val="22"/>
          <w:lang w:eastAsia="zh-CN"/>
        </w:rPr>
        <w:t>2003</w:t>
      </w:r>
      <w:r w:rsidR="00241288" w:rsidRPr="00CF31E0">
        <w:rPr>
          <w:rFonts w:eastAsia="Times New Roman"/>
          <w:szCs w:val="22"/>
          <w:lang w:eastAsia="zh-CN"/>
        </w:rPr>
        <w:t>, p.3</w:t>
      </w:r>
      <w:r w:rsidRPr="00CF31E0">
        <w:rPr>
          <w:rFonts w:eastAsia="Times New Roman"/>
          <w:szCs w:val="22"/>
          <w:lang w:eastAsia="zh-CN"/>
        </w:rPr>
        <w:t>)</w:t>
      </w:r>
      <w:bookmarkEnd w:id="578"/>
      <w:r w:rsidRPr="00CF31E0">
        <w:rPr>
          <w:lang w:val="en-US" w:eastAsia="en-US"/>
        </w:rPr>
        <w:t xml:space="preserve"> define a factor as “a linear combination or cluster of related observed variables that represents a specific underlying dimension of a construct, which is as distinct as possible from the other factors included in the solution”.</w:t>
      </w:r>
      <w:r w:rsidR="000B29BE">
        <w:rPr>
          <w:lang w:val="en-US" w:eastAsia="en-US"/>
        </w:rPr>
        <w:t xml:space="preserve"> This means that factor analysis </w:t>
      </w:r>
      <w:r w:rsidR="00E226B1">
        <w:rPr>
          <w:lang w:val="en-US" w:eastAsia="en-US"/>
        </w:rPr>
        <w:t xml:space="preserve">used to describe variance only among correlated items in the scale which formulates a unified dimension. </w:t>
      </w:r>
      <w:r w:rsidRPr="00CF31E0">
        <w:rPr>
          <w:lang w:val="en-US" w:eastAsia="en-US"/>
        </w:rPr>
        <w:t xml:space="preserve"> Factor analysis is very beneficial in the data processing for this piece of research for many reasons; first, it reduces the number of data. Second, it groups characteristics that share common meaning in meaningful factors. Third, it reveals the dimensions behind observed characteristics. Fourth, mean scores for factors obtained can be processed in paired </w:t>
      </w:r>
      <w:r w:rsidR="005D0894" w:rsidRPr="00CF31E0">
        <w:rPr>
          <w:lang w:val="en-US" w:eastAsia="en-US"/>
        </w:rPr>
        <w:t>t</w:t>
      </w:r>
      <w:r w:rsidRPr="00CF31E0">
        <w:rPr>
          <w:lang w:val="en-US" w:eastAsia="en-US"/>
        </w:rPr>
        <w:t xml:space="preserve">-tests and ANOVA. Factor analysis has been widely used in language attitude studies (e.g. </w:t>
      </w:r>
      <w:r w:rsidRPr="00CF31E0">
        <w:rPr>
          <w:lang w:val="en-US" w:eastAsia="en-US"/>
        </w:rPr>
        <w:fldChar w:fldCharType="begin"/>
      </w:r>
      <w:r w:rsidRPr="00CF31E0">
        <w:rPr>
          <w:lang w:val="en-US" w:eastAsia="en-US"/>
        </w:rPr>
        <w:instrText xml:space="preserve"> ADDIN ZOTERO_ITEM CSL_CITATION {"citationID":"syV8wA9p","properties":{"formattedCitation":"(Garrett, Coupland, &amp; Williams, 2003; Preston, 1999; Zahn, Christopher &amp; Hopper, Robert, 1985)","plainCitation":"(Garrett, Coupland, &amp; Williams, 2003; Preston, 1999; Zahn, Christopher &amp; Hopper, Robert, 1985)","noteIndex":0},"citationItems":[{"id":311,"uris":["http://zotero.org/users/1939618/items/UQ7HLIBB"],"uri":["http://zotero.org/users/1939618/items/UQ7HLIBB"],"itemData":{"id":311,"type":"book","title":"Investigating language attitudes [electronic resource]: social meanings of dialect, ethnicity and performance","publisher":"University of Wales Press","publisher-place":"Cardiff","number-of-pages":"x+251","source":"find.shef.ac.uk","event-place":"Cardiff","URL":"https://www.dawsonera.com/guard/protected/dawson.jsp?name=https://idp.shef.ac.uk/shibboleth&amp;dest=http://www.dawsonera.com/depp/reader/protected/external/AbstractView/S9781783162086","ISBN":"978-1-78316-208-6","shortTitle":"Investigating language attitudes [electronic resource]","language":"eng","author":[{"family":"Garrett","given":"Peter"},{"family":"Coupland","given":"Nikolas"},{"family":"Williams","given":"Angie"}],"issued":{"date-parts":[["2003"]]},"accessed":{"date-parts":[["2018",1,8]]}},"label":"page"},{"id":240,"uris":["http://zotero.org/users/1939618/items/TF8GPXHH"],"uri":["http://zotero.org/users/1939618/items/TF8GPXHH"],"itemData":{"id":240,"type":"chapter","title":"A language attitude approach to the perception of regional variety","container-title":"Handbook of perceptual dialectology","page":"359–374","volume":"1","source":"Google Scholar","author":[{"family":"Preston","given":"Dennis R."}],"issued":{"date-parts":[["1999"]]}},"label":"page"},{"id":288,"uris":["http://zotero.org/users/1939618/items/CJ8CXVSM"],"uri":["http://zotero.org/users/1939618/items/CJ8CXVSM"],"itemData":{"id":288,"type":"article-journal","title":"Measuring Language Attitudes: The Speech Evaluation Instrument","container-title":"Journal of Language and Social Psychology","page":"113-123","volume":"4","issue":"2","source":"SAGE Journals","abstract":"This paper describes investigations in the measurement of listeners' evaluations of spoken language. Lack of integration in research in this area has been due in part to the numerous measurement instruments used to assess such evaluative reactions. The paper reviews the development of past instruments, describes the design, analysis, and implementation of an omnibus measure, the Speech Evaluation Instrument (SEI), and interprets these findings in light of past research. The use of the SEI is recommended to researchers as a way to make findings of various studies more comparable. Although the development of the SEI was based on evaluation of linguistic diversity, its applicability to a wider range of speech phenomena is suggested.","DOI":"10.1177/0261927X8500400203","ISSN":"0261-927X","shortTitle":"Measuring Language Attitudes","journalAbbreviation":"Journal of Language and Social Psychology","language":"en","author":[{"literal":"Zahn, Christopher"},{"literal":"Hopper, Robert"}],"issued":{"date-parts":[["1985",6,1]]}},"label":"page"}],"schema":"https://github.com/citation-style-language/schema/raw/master/csl-citation.json"} </w:instrText>
      </w:r>
      <w:r w:rsidRPr="00CF31E0">
        <w:rPr>
          <w:lang w:val="en-US" w:eastAsia="en-US"/>
        </w:rPr>
        <w:fldChar w:fldCharType="separate"/>
      </w:r>
      <w:r w:rsidRPr="00CF31E0">
        <w:rPr>
          <w:noProof/>
          <w:lang w:val="en-US" w:eastAsia="en-US"/>
        </w:rPr>
        <w:t>Garrett</w:t>
      </w:r>
      <w:r w:rsidR="0052281A" w:rsidRPr="00CF31E0">
        <w:rPr>
          <w:noProof/>
          <w:lang w:val="en-US" w:eastAsia="en-US"/>
        </w:rPr>
        <w:t xml:space="preserve"> et al.</w:t>
      </w:r>
      <w:r w:rsidRPr="00CF31E0">
        <w:rPr>
          <w:noProof/>
          <w:lang w:val="en-US" w:eastAsia="en-US"/>
        </w:rPr>
        <w:t>, 2003; Preston, 1999</w:t>
      </w:r>
      <w:r w:rsidR="00241288" w:rsidRPr="00CF31E0">
        <w:rPr>
          <w:noProof/>
          <w:lang w:val="en-US" w:eastAsia="en-US"/>
        </w:rPr>
        <w:t>a</w:t>
      </w:r>
      <w:r w:rsidRPr="00CF31E0">
        <w:rPr>
          <w:noProof/>
          <w:lang w:val="en-US" w:eastAsia="en-US"/>
        </w:rPr>
        <w:t>; Zahn &amp; Hopper, 1985)</w:t>
      </w:r>
      <w:r w:rsidRPr="00CF31E0">
        <w:rPr>
          <w:lang w:val="en-US" w:eastAsia="en-US"/>
        </w:rPr>
        <w:fldChar w:fldCharType="end"/>
      </w:r>
      <w:r w:rsidRPr="00CF31E0">
        <w:rPr>
          <w:lang w:val="en-US" w:eastAsia="en-US"/>
        </w:rPr>
        <w:t xml:space="preserve"> and it </w:t>
      </w:r>
      <w:r w:rsidR="00DC0D62" w:rsidRPr="00CF31E0">
        <w:rPr>
          <w:lang w:val="en-US" w:eastAsia="en-US"/>
        </w:rPr>
        <w:t xml:space="preserve">has </w:t>
      </w:r>
      <w:r w:rsidRPr="00CF31E0">
        <w:rPr>
          <w:lang w:val="en-US" w:eastAsia="en-US"/>
        </w:rPr>
        <w:t xml:space="preserve">proved to be successful in revealing the latent dimensions behind </w:t>
      </w:r>
      <w:r w:rsidR="00300A34" w:rsidRPr="00CF31E0">
        <w:rPr>
          <w:lang w:val="en-US" w:eastAsia="en-US"/>
        </w:rPr>
        <w:t xml:space="preserve">the </w:t>
      </w:r>
      <w:r w:rsidRPr="00CF31E0">
        <w:rPr>
          <w:lang w:val="en-US" w:eastAsia="en-US"/>
        </w:rPr>
        <w:t xml:space="preserve">observed characteristics. </w:t>
      </w:r>
    </w:p>
    <w:p w14:paraId="5A1A10D2" w14:textId="091A2E73" w:rsidR="00A23C2A" w:rsidRPr="00CF31E0" w:rsidRDefault="00A23C2A" w:rsidP="00603CB7">
      <w:pPr>
        <w:pStyle w:val="Paragraph"/>
        <w:rPr>
          <w:lang w:val="en-US" w:eastAsia="zh-CN"/>
        </w:rPr>
      </w:pPr>
      <w:r w:rsidRPr="00CF31E0">
        <w:rPr>
          <w:lang w:val="en-US" w:eastAsia="zh-CN"/>
        </w:rPr>
        <w:t xml:space="preserve">When a researcher intends to use factor analysis, </w:t>
      </w:r>
      <w:r w:rsidR="00FF1384" w:rsidRPr="00CF31E0">
        <w:rPr>
          <w:lang w:val="en-US" w:eastAsia="zh-CN"/>
        </w:rPr>
        <w:t xml:space="preserve">a </w:t>
      </w:r>
      <w:r w:rsidRPr="00CF31E0">
        <w:rPr>
          <w:lang w:val="en-US" w:eastAsia="zh-CN"/>
        </w:rPr>
        <w:t>number of decisions has to be taken and most of them may involve the re</w:t>
      </w:r>
      <w:bookmarkStart w:id="579" w:name="ZOTERO_BREF_OygxqEylqnZW"/>
      <w:r w:rsidRPr="00CF31E0">
        <w:rPr>
          <w:lang w:val="en-US" w:eastAsia="zh-CN"/>
        </w:rPr>
        <w:t xml:space="preserve">searcher sense of subjectivity </w:t>
      </w:r>
      <w:r w:rsidRPr="00CF31E0">
        <w:rPr>
          <w:lang w:val="en-US" w:eastAsia="zh-CN"/>
        </w:rPr>
        <w:fldChar w:fldCharType="begin"/>
      </w:r>
      <w:r w:rsidRPr="00CF31E0">
        <w:rPr>
          <w:lang w:val="en-US" w:eastAsia="zh-CN"/>
        </w:rPr>
        <w:instrText xml:space="preserve"> ADDIN ZOTERO_ITEM CSL_CITATION {"citationID":"alh4ll8tdt","properties":{"formattedCitation":"(Conway &amp; Huffcutt, 2003; Pallant, 2013; Pett et al., 2011; Reio Jr &amp; Shuck, 2015)","plainCitation":"(Conway &amp; Huffcutt, 2003; Pallant, 2013; Pett et al., 2011; Reio Jr &amp; Shuck, 2015)","noteIndex":0},"citationItems":[{"id":257,"uris":["http://zotero.org/users/1939618/items/JHPCPZZI"],"uri":["http://zotero.org/users/1939618/items/JHPCPZZI"],"itemData":{"id":257,"type":"article-journal","title":"A review and evaluation of exploratory factor analysis practices in organizational research","container-title":"Organizational research methods","page":"147–168","volume":"6","issue":"2","source":"Google Scholar","author":[{"family":"Conway","given":"James M."},{"family":"Huffcutt","given":"Allen I."}],"issued":{"date-parts":[["2003"]]}},"label":"page"},{"id":208,"uris":["http://zotero.org/users/1939618/items/ME4Z3BDW"],"uri":["http://zotero.org/users/1939618/items/ME4Z3BDW"],"itemData":{"id":208,"type":"book","title":"SPSS survival manual","publisher":"McGraw-Hill Education (UK)","edition":"5th","source":"Google Scholar","URL":"https://books.google.co.uk/books?hl=en&amp;lr=&amp;id=fZZTBgAAQBAJ&amp;oi=fnd&amp;pg=PR7&amp;dq=spss+manual+survival+5th+edition&amp;ots=KUNtjTXXyQ&amp;sig=bmJQspifgoygavKVhpMYsXasP1I","author":[{"family":"Pallant","given":"Julie"}],"issued":{"date-parts":[["2013"]]},"accessed":{"date-parts":[["2016",11,25]]}},"label":"page"},{"id":207,"uris":["http://zotero.org/users/1939618/items/ZQHWHPQI"],"uri":["http://zotero.org/users/1939618/items/ZQHWHPQI"],"itemData":{"id":207,"type":"book","title":"Making sense of factor analysis: The use of factor analysis for instrument development in health care research","publisher":"Sage","source":"Google Scholar","shortTitle":"Making sense of factor analysis","author":[{"family":"Pett","given":"Marjorie A."},{"family":"Lackey","given":"Nancy R."},{"family":"Sullivan","given":"John J."}],"issued":{"date-parts":[["2011"]]}},"label":"page"},{"id":253,"uris":["http://zotero.org/users/1939618/items/NST3QAPF"],"uri":["http://zotero.org/users/1939618/items/NST3QAPF"],"itemData":{"id":253,"type":"article-journal","title":"Exploratory factor analysis: Implications for theory, research, and practice","container-title":"Advances in Developing Human Resources","page":"12–25","volume":"17","issue":"1","source":"Google Scholar","shortTitle":"Exploratory factor analysis","author":[{"family":"Reio Jr","given":"Thomas G."},{"family":"Shuck","given":"Brad"}],"issued":{"date-parts":[["2015"]]}},"label":"page"}],"schema":"https://github.com/citation-style-language/schema/raw/master/csl-citation.json"} </w:instrText>
      </w:r>
      <w:r w:rsidRPr="00CF31E0">
        <w:rPr>
          <w:lang w:val="en-US" w:eastAsia="zh-CN"/>
        </w:rPr>
        <w:fldChar w:fldCharType="separate"/>
      </w:r>
      <w:r w:rsidRPr="00CF31E0">
        <w:rPr>
          <w:noProof/>
          <w:lang w:val="en-US" w:eastAsia="zh-CN"/>
        </w:rPr>
        <w:t xml:space="preserve">(Conway &amp; Huffcutt, 2003; </w:t>
      </w:r>
      <w:r w:rsidR="00030EEC" w:rsidRPr="00CF31E0">
        <w:rPr>
          <w:noProof/>
          <w:lang w:val="en-US" w:eastAsia="zh-CN"/>
        </w:rPr>
        <w:t>Pallant, 2013; Pett et al., 2003</w:t>
      </w:r>
      <w:r w:rsidRPr="00CF31E0">
        <w:rPr>
          <w:noProof/>
          <w:lang w:val="en-US" w:eastAsia="zh-CN"/>
        </w:rPr>
        <w:t>; Reio Jr &amp; Shuck, 2015)</w:t>
      </w:r>
      <w:r w:rsidRPr="00CF31E0">
        <w:rPr>
          <w:lang w:val="en-US" w:eastAsia="zh-CN"/>
        </w:rPr>
        <w:fldChar w:fldCharType="end"/>
      </w:r>
      <w:bookmarkEnd w:id="579"/>
      <w:r w:rsidRPr="00CF31E0">
        <w:rPr>
          <w:szCs w:val="22"/>
          <w:lang w:val="en-US" w:eastAsia="zh-CN"/>
        </w:rPr>
        <w:t>.</w:t>
      </w:r>
      <w:r w:rsidRPr="00CF31E0">
        <w:rPr>
          <w:lang w:val="en-US" w:eastAsia="zh-CN"/>
        </w:rPr>
        <w:t xml:space="preserve"> Thus, although factor analysis is a statistical method, the researcher point of view needs to be present in some decision when conducting the analysis </w:t>
      </w:r>
      <w:bookmarkStart w:id="580" w:name="ZOTERO_BREF_MdTalX05DCpA"/>
      <w:r w:rsidRPr="00CF31E0">
        <w:rPr>
          <w:lang w:val="en-US" w:eastAsia="zh-CN"/>
        </w:rPr>
        <w:fldChar w:fldCharType="begin"/>
      </w:r>
      <w:r w:rsidRPr="00CF31E0">
        <w:rPr>
          <w:lang w:val="en-US" w:eastAsia="zh-CN"/>
        </w:rPr>
        <w:instrText xml:space="preserve"> ADDIN ZOTERO_ITEM CSL_CITATION {"citationID":"IVpJ2i4n","properties":{"formattedCitation":"(Reio Jr &amp; Shuck, 2015)","plainCitation":"(Reio Jr &amp; Shuck, 2015)"},"citationItems":[{"id":253,"uris":["http://zotero.org/users/1939618/items/NST3QAPF"],"uri":["http://zotero.org/users/1939618/items/NST3QAPF"],"itemData":{"id":253,"type":"article-journal","title":"Exploratory factor analysis: Implications for theory, research, and practice","container-title":"Advances in Developing Human Resources","page":"12–25","volume":"17","issue":"1","source":"Google Scholar","shortTitle":"Exploratory factor analysis","author":[{"family":"Reio Jr","given":"Thomas G."},{"family":"Shuck","given":"Brad"}],"issued":{"date-parts":[["2015"]]}}}],"schema":"https://github.com/citation-style-language/schema/raw/master/csl-citation.json"} </w:instrText>
      </w:r>
      <w:r w:rsidRPr="00CF31E0">
        <w:rPr>
          <w:lang w:val="en-US" w:eastAsia="zh-CN"/>
        </w:rPr>
        <w:fldChar w:fldCharType="separate"/>
      </w:r>
      <w:r w:rsidRPr="00CF31E0">
        <w:rPr>
          <w:noProof/>
          <w:lang w:val="en-US" w:eastAsia="zh-CN"/>
        </w:rPr>
        <w:t>(Reio Jr &amp; Shuck, 2015)</w:t>
      </w:r>
      <w:r w:rsidRPr="00CF31E0">
        <w:rPr>
          <w:lang w:val="en-US" w:eastAsia="zh-CN"/>
        </w:rPr>
        <w:fldChar w:fldCharType="end"/>
      </w:r>
      <w:bookmarkEnd w:id="580"/>
      <w:r w:rsidRPr="00CF31E0">
        <w:rPr>
          <w:szCs w:val="22"/>
          <w:lang w:eastAsia="zh-CN"/>
        </w:rPr>
        <w:t xml:space="preserve">. </w:t>
      </w:r>
      <w:r w:rsidRPr="00CF31E0">
        <w:rPr>
          <w:lang w:val="en-US" w:eastAsia="zh-CN"/>
        </w:rPr>
        <w:t xml:space="preserve">Therefore, </w:t>
      </w:r>
      <w:bookmarkStart w:id="581" w:name="ZOTERO_BREF_uUU1iP11SD6V"/>
      <w:r w:rsidRPr="00CF31E0">
        <w:rPr>
          <w:szCs w:val="22"/>
          <w:lang w:eastAsia="zh-CN"/>
        </w:rPr>
        <w:t>Reio Jr &amp; Shuck (2015, p. 12)</w:t>
      </w:r>
      <w:bookmarkEnd w:id="581"/>
      <w:r w:rsidRPr="00CF31E0">
        <w:rPr>
          <w:lang w:val="en-US" w:eastAsia="zh-CN"/>
        </w:rPr>
        <w:t xml:space="preserve"> suggest “steps must be taken to improve the quality of </w:t>
      </w:r>
      <w:r w:rsidRPr="00CF31E0">
        <w:rPr>
          <w:lang w:val="en-US" w:eastAsia="zh-CN"/>
        </w:rPr>
        <w:lastRenderedPageBreak/>
        <w:t>the decision making associated with conducting EFAs if sound theory building and research related to statistical method is involved”</w:t>
      </w:r>
      <w:r w:rsidR="00E226B1">
        <w:rPr>
          <w:lang w:val="en-US" w:eastAsia="zh-CN"/>
        </w:rPr>
        <w:t>.</w:t>
      </w:r>
    </w:p>
    <w:p w14:paraId="350425CD" w14:textId="5F782789" w:rsidR="00A23C2A" w:rsidRPr="00CF31E0" w:rsidRDefault="00A23C2A" w:rsidP="00603CB7">
      <w:pPr>
        <w:pStyle w:val="Paragraph"/>
        <w:rPr>
          <w:lang w:eastAsia="en-US"/>
        </w:rPr>
      </w:pPr>
      <w:r w:rsidRPr="00CF31E0">
        <w:rPr>
          <w:lang w:eastAsia="en-US"/>
        </w:rPr>
        <w:t xml:space="preserve">In the light of the current research, I have followed three main decisions, which are widely relied on </w:t>
      </w:r>
      <w:r w:rsidR="00FF1384" w:rsidRPr="00CF31E0">
        <w:rPr>
          <w:lang w:eastAsia="en-US"/>
        </w:rPr>
        <w:t xml:space="preserve">in </w:t>
      </w:r>
      <w:r w:rsidRPr="00CF31E0">
        <w:rPr>
          <w:lang w:eastAsia="en-US"/>
        </w:rPr>
        <w:t xml:space="preserve">the literature </w:t>
      </w:r>
      <w:bookmarkStart w:id="582" w:name="ZOTERO_BREF_91khE6NaGnGz"/>
      <w:r w:rsidRPr="00CF31E0">
        <w:rPr>
          <w:lang w:eastAsia="en-US"/>
        </w:rPr>
        <w:t xml:space="preserve">suggested by many researchers </w:t>
      </w:r>
      <w:r w:rsidRPr="00CF31E0">
        <w:rPr>
          <w:lang w:eastAsia="en-US"/>
        </w:rPr>
        <w:fldChar w:fldCharType="begin"/>
      </w:r>
      <w:r w:rsidRPr="00CF31E0">
        <w:rPr>
          <w:lang w:eastAsia="en-US"/>
        </w:rPr>
        <w:instrText xml:space="preserve"> ADDIN ZOTERO_ITEM CSL_CITATION {"citationID":"ahn424p43u","properties":{"formattedCitation":"(Conway &amp; Huffcutt, 2003; Pallant, 2013; Pett et al., 2011; Reio Jr &amp; Shuck, 2015)","plainCitation":"(Conway &amp; Huffcutt, 2003; Pallant, 2013; Pett et al., 2011; Reio Jr &amp; Shuck, 2015)","noteIndex":0},"citationItems":[{"id":257,"uris":["http://zotero.org/users/1939618/items/JHPCPZZI"],"uri":["http://zotero.org/users/1939618/items/JHPCPZZI"],"itemData":{"id":257,"type":"article-journal","title":"A review and evaluation of exploratory factor analysis practices in organizational research","container-title":"Organizational research methods","page":"147–168","volume":"6","issue":"2","source":"Google Scholar","author":[{"family":"Conway","given":"James M."},{"family":"Huffcutt","given":"Allen I."}],"issued":{"date-parts":[["2003"]]}},"label":"page"},{"id":208,"uris":["http://zotero.org/users/1939618/items/ME4Z3BDW"],"uri":["http://zotero.org/users/1939618/items/ME4Z3BDW"],"itemData":{"id":208,"type":"book","title":"SPSS survival manual","publisher":"McGraw-Hill Education (UK)","edition":"5th","source":"Google Scholar","URL":"https://books.google.co.uk/books?hl=en&amp;lr=&amp;id=fZZTBgAAQBAJ&amp;oi=fnd&amp;pg=PR7&amp;dq=spss+manual+survival+5th+edition&amp;ots=KUNtjTXXyQ&amp;sig=bmJQspifgoygavKVhpMYsXasP1I","author":[{"family":"Pallant","given":"Julie"}],"issued":{"date-parts":[["2013"]]},"accessed":{"date-parts":[["2016",11,25]]}},"label":"page"},{"id":207,"uris":["http://zotero.org/users/1939618/items/ZQHWHPQI"],"uri":["http://zotero.org/users/1939618/items/ZQHWHPQI"],"itemData":{"id":207,"type":"book","title":"Making sense of factor analysis: The use of factor analysis for instrument development in health care research","publisher":"Sage","source":"Google Scholar","shortTitle":"Making sense of factor analysis","author":[{"family":"Pett","given":"Marjorie A."},{"family":"Lackey","given":"Nancy R."},{"family":"Sullivan","given":"John J."}],"issued":{"date-parts":[["2011"]]}},"label":"page"},{"id":253,"uris":["http://zotero.org/users/1939618/items/NST3QAPF"],"uri":["http://zotero.org/users/1939618/items/NST3QAPF"],"itemData":{"id":253,"type":"article-journal","title":"Exploratory factor analysis: Implications for theory, research, and practice","container-title":"Advances in Developing Human Resources","page":"12–25","volume":"17","issue":"1","source":"Google Scholar","shortTitle":"Exploratory factor analysis","author":[{"family":"Reio Jr","given":"Thomas G."},{"family":"Shuck","given":"Brad"}],"issued":{"date-parts":[["2015"]]}},"label":"page"}],"schema":"https://github.com/citation-style-language/schema/raw/master/csl-citation.json"} </w:instrText>
      </w:r>
      <w:r w:rsidRPr="00CF31E0">
        <w:rPr>
          <w:lang w:eastAsia="en-US"/>
        </w:rPr>
        <w:fldChar w:fldCharType="separate"/>
      </w:r>
      <w:r w:rsidRPr="00CF31E0">
        <w:rPr>
          <w:noProof/>
          <w:lang w:eastAsia="en-US"/>
        </w:rPr>
        <w:t xml:space="preserve">(Conway &amp; Huffcutt, 2003; </w:t>
      </w:r>
      <w:r w:rsidR="00030EEC" w:rsidRPr="00CF31E0">
        <w:rPr>
          <w:noProof/>
          <w:lang w:eastAsia="en-US"/>
        </w:rPr>
        <w:t>Pallant, 2013; Pett et al., 2003</w:t>
      </w:r>
      <w:r w:rsidRPr="00CF31E0">
        <w:rPr>
          <w:noProof/>
          <w:lang w:eastAsia="en-US"/>
        </w:rPr>
        <w:t>; Reio Jr &amp; Shuck, 2015)</w:t>
      </w:r>
      <w:r w:rsidRPr="00CF31E0">
        <w:rPr>
          <w:lang w:eastAsia="en-US"/>
        </w:rPr>
        <w:fldChar w:fldCharType="end"/>
      </w:r>
      <w:bookmarkEnd w:id="582"/>
      <w:r w:rsidRPr="00CF31E0">
        <w:rPr>
          <w:rFonts w:eastAsia="Times New Roman"/>
          <w:szCs w:val="22"/>
          <w:lang w:eastAsia="zh-CN"/>
        </w:rPr>
        <w:t xml:space="preserve"> </w:t>
      </w:r>
      <w:r w:rsidRPr="00CF31E0">
        <w:rPr>
          <w:lang w:eastAsia="en-US"/>
        </w:rPr>
        <w:t xml:space="preserve">to obtain meaningful factors. The three decisions are; checking the appropriateness of the data for factor analysis, extracting the factors, and rotating and interpreting the factors. I will illustrate techniques and results emerged for each step in the following sections.  </w:t>
      </w:r>
    </w:p>
    <w:p w14:paraId="7B2AF752" w14:textId="01B32B64" w:rsidR="00A23C2A" w:rsidRPr="00CF31E0" w:rsidRDefault="000A1504" w:rsidP="00E87209">
      <w:pPr>
        <w:pStyle w:val="Bhead"/>
        <w:rPr>
          <w:rFonts w:eastAsia="MS Mincho"/>
        </w:rPr>
      </w:pPr>
      <w:bookmarkStart w:id="583" w:name="_Toc6472743"/>
      <w:r w:rsidRPr="00CF31E0">
        <w:rPr>
          <w:rFonts w:eastAsia="MS Mincho"/>
        </w:rPr>
        <w:t>9</w:t>
      </w:r>
      <w:r w:rsidR="00DC0D62" w:rsidRPr="00CF31E0">
        <w:rPr>
          <w:rFonts w:eastAsia="MS Mincho"/>
        </w:rPr>
        <w:t>.4.1.</w:t>
      </w:r>
      <w:r w:rsidR="00DC0D62" w:rsidRPr="00CF31E0">
        <w:rPr>
          <w:rFonts w:eastAsia="MS Mincho"/>
        </w:rPr>
        <w:tab/>
      </w:r>
      <w:r w:rsidR="00A23C2A" w:rsidRPr="00CF31E0">
        <w:rPr>
          <w:rFonts w:eastAsia="MS Mincho"/>
        </w:rPr>
        <w:t>Checking the appropriateness of the data for factor analysis</w:t>
      </w:r>
      <w:bookmarkEnd w:id="583"/>
    </w:p>
    <w:p w14:paraId="3A5EFA6D" w14:textId="5E41DBF3" w:rsidR="00A23C2A" w:rsidRPr="00CF31E0" w:rsidRDefault="00A23C2A" w:rsidP="00603CB7">
      <w:pPr>
        <w:pStyle w:val="Paragraph"/>
        <w:rPr>
          <w:lang w:eastAsia="en-US"/>
        </w:rPr>
      </w:pPr>
      <w:r w:rsidRPr="00CF31E0">
        <w:rPr>
          <w:lang w:eastAsia="en-US"/>
        </w:rPr>
        <w:t>In the first step, I had to make sure that the data I obtained was suitable for factor analysis to be run. In doing so, I had to check two main issues to determine the factorability and suitability. First, a large s</w:t>
      </w:r>
      <w:bookmarkStart w:id="584" w:name="ZOTERO_BREF_p2WpevMywmLR"/>
      <w:r w:rsidRPr="00CF31E0">
        <w:rPr>
          <w:lang w:eastAsia="en-US"/>
        </w:rPr>
        <w:t>ample size has to be available.</w:t>
      </w:r>
      <w:r w:rsidRPr="00CF31E0">
        <w:rPr>
          <w:rFonts w:eastAsia="Times New Roman"/>
          <w:szCs w:val="22"/>
          <w:lang w:eastAsia="zh-CN"/>
        </w:rPr>
        <w:t xml:space="preserve"> </w:t>
      </w:r>
      <w:r w:rsidRPr="00CF31E0">
        <w:rPr>
          <w:rFonts w:eastAsia="Times New Roman"/>
          <w:szCs w:val="22"/>
          <w:lang w:eastAsia="zh-CN"/>
        </w:rPr>
        <w:fldChar w:fldCharType="begin"/>
      </w:r>
      <w:r w:rsidRPr="00CF31E0">
        <w:rPr>
          <w:rFonts w:eastAsia="Times New Roman"/>
          <w:szCs w:val="22"/>
          <w:lang w:eastAsia="zh-CN"/>
        </w:rPr>
        <w:instrText xml:space="preserve"> ADDIN ZOTERO_ITEM CSL_CITATION {"citationID":"Z5R9cJuw","properties":{"formattedCitation":"(Barbara G. Tabachnick, Fidell, &amp; Osterlind, 2001, p. 631)","plainCitation":"(Barbara G. Tabachnick, Fidell, &amp; Osterlind, 2001, p. 631)","noteIndex":0},"citationItems":[{"id":217,"uris":["http://zotero.org/users/1939618/items/TIBK6GHB"],"uri":["http://zotero.org/users/1939618/items/TIBK6GHB"],"itemData":{"id":217,"type":"book","title":"Using multivariate statistics","publisher":"Allyn &amp; Bacon.","publisher-place":"Boston","edition":"4th","source":"Google Scholar","event-place":"Boston","URL":"https://www.ulb.tu-darmstadt.de/tocs/135813948.pdf","author":[{"family":"Tabachnick","given":"Barbara G."},{"family":"Fidell","given":"Linda S."},{"family":"Osterlind","given":"Steven J."}],"issued":{"date-parts":[["2001"]]},"accessed":{"date-parts":[["2016",11,25]]}},"locator":"631","label":"page"}],"schema":"https://github.com/citation-style-language/schema/raw/master/csl-citation.json"} </w:instrText>
      </w:r>
      <w:r w:rsidRPr="00CF31E0">
        <w:rPr>
          <w:rFonts w:eastAsia="Times New Roman"/>
          <w:szCs w:val="22"/>
          <w:lang w:eastAsia="zh-CN"/>
        </w:rPr>
        <w:fldChar w:fldCharType="separate"/>
      </w:r>
      <w:r w:rsidR="00241288" w:rsidRPr="00CF31E0">
        <w:rPr>
          <w:rFonts w:eastAsia="Times New Roman"/>
          <w:noProof/>
          <w:szCs w:val="22"/>
          <w:lang w:eastAsia="zh-CN"/>
        </w:rPr>
        <w:t>(Tabachnick &amp; Fidell , 2007, p. 613</w:t>
      </w:r>
      <w:r w:rsidRPr="00CF31E0">
        <w:rPr>
          <w:rFonts w:eastAsia="Times New Roman"/>
          <w:noProof/>
          <w:szCs w:val="22"/>
          <w:lang w:eastAsia="zh-CN"/>
        </w:rPr>
        <w:t>)</w:t>
      </w:r>
      <w:r w:rsidRPr="00CF31E0">
        <w:rPr>
          <w:rFonts w:eastAsia="Times New Roman"/>
          <w:szCs w:val="22"/>
          <w:lang w:eastAsia="zh-CN"/>
        </w:rPr>
        <w:fldChar w:fldCharType="end"/>
      </w:r>
      <w:bookmarkEnd w:id="584"/>
      <w:r w:rsidRPr="00CF31E0">
        <w:rPr>
          <w:lang w:eastAsia="en-US"/>
        </w:rPr>
        <w:t xml:space="preserve"> commented that “it is comforting to have at least 300 hundred cases for factor analysis”. Treiblmair and Filzmoser </w:t>
      </w:r>
      <w:r w:rsidR="00BE2071" w:rsidRPr="00CF31E0">
        <w:rPr>
          <w:lang w:eastAsia="en-US"/>
        </w:rPr>
        <w:t xml:space="preserve">as cited </w:t>
      </w:r>
      <w:r w:rsidRPr="00CF31E0">
        <w:rPr>
          <w:lang w:eastAsia="en-US"/>
        </w:rPr>
        <w:t xml:space="preserve">in </w:t>
      </w:r>
      <w:bookmarkStart w:id="585" w:name="ZOTERO_BREF_MnWErOM88CvM"/>
      <w:r w:rsidRPr="00CF31E0">
        <w:rPr>
          <w:rFonts w:eastAsia="Times New Roman"/>
          <w:szCs w:val="22"/>
          <w:lang w:eastAsia="zh-CN"/>
        </w:rPr>
        <w:t>Reio Jr &amp; Shuck (2015, p. 15)</w:t>
      </w:r>
      <w:bookmarkEnd w:id="585"/>
      <w:r w:rsidRPr="00CF31E0">
        <w:rPr>
          <w:lang w:eastAsia="en-US"/>
        </w:rPr>
        <w:t xml:space="preserve"> argue that large samples are always preferred with the use of factor analysis since the occurrence of error is minimized and results are more generalizable. Recently, a rule of thumb participant-to-variable ratio has emerged and many researchers argue that it is more useful for analysis than the sample size rule (</w:t>
      </w:r>
      <w:bookmarkStart w:id="586" w:name="ZOTERO_BREF_tBzSQ5fyxCH4"/>
      <w:r w:rsidRPr="00CF31E0">
        <w:rPr>
          <w:rFonts w:eastAsia="Times New Roman"/>
          <w:szCs w:val="22"/>
          <w:lang w:eastAsia="zh-CN"/>
        </w:rPr>
        <w:t>Reio Jr &amp; Shuck, 2015</w:t>
      </w:r>
      <w:bookmarkEnd w:id="586"/>
      <w:r w:rsidRPr="00CF31E0">
        <w:rPr>
          <w:rFonts w:eastAsia="Times New Roman"/>
          <w:szCs w:val="22"/>
          <w:lang w:eastAsia="zh-CN"/>
        </w:rPr>
        <w:t>)</w:t>
      </w:r>
      <w:r w:rsidRPr="00CF31E0">
        <w:rPr>
          <w:lang w:eastAsia="en-US"/>
        </w:rPr>
        <w:t>. Participant-to-variable ratio ranges from 5:1 to 10:1, that the ratio of participants to each single variable has to be at least 10:1. In the current study, 649 participants took part in the study. On one hand, it is a good sample size that is sufficient for factor analysis to be conducted. On the other hand, the pa</w:t>
      </w:r>
      <w:r w:rsidR="00810284" w:rsidRPr="00CF31E0">
        <w:rPr>
          <w:lang w:eastAsia="en-US"/>
        </w:rPr>
        <w:t>rticipant-to-variable ratio is 3</w:t>
      </w:r>
      <w:r w:rsidRPr="00CF31E0">
        <w:rPr>
          <w:lang w:eastAsia="en-US"/>
        </w:rPr>
        <w:t>0:1 which a very sufficient amount to run the factor analysis.</w:t>
      </w:r>
    </w:p>
    <w:p w14:paraId="68BA082E" w14:textId="77777777" w:rsidR="00A23C2A" w:rsidRPr="00CF31E0" w:rsidRDefault="00A23C2A" w:rsidP="00603CB7">
      <w:pPr>
        <w:pStyle w:val="Paragraph"/>
        <w:rPr>
          <w:lang w:eastAsia="en-US"/>
        </w:rPr>
      </w:pPr>
      <w:r w:rsidRPr="00CF31E0">
        <w:rPr>
          <w:lang w:eastAsia="en-US"/>
        </w:rPr>
        <w:t xml:space="preserve">The second issue that has to be considered is related to “the strength of intercorrelations among the items” </w:t>
      </w:r>
      <w:bookmarkStart w:id="587" w:name="ZOTERO_BREF_WGXYKcdAI50d"/>
      <w:r w:rsidRPr="00CF31E0">
        <w:rPr>
          <w:rFonts w:eastAsia="Times New Roman"/>
          <w:szCs w:val="22"/>
          <w:lang w:eastAsia="zh-CN"/>
        </w:rPr>
        <w:t>(Pallant, 2013, p. 190)</w:t>
      </w:r>
      <w:bookmarkEnd w:id="587"/>
      <w:r w:rsidRPr="00CF31E0">
        <w:rPr>
          <w:lang w:eastAsia="en-US"/>
        </w:rPr>
        <w:t xml:space="preserve">. To make sure that the relation among items is fairly good, SPSS includes two types of statistical test. The first test is called The Kaiser-Meyer-Olkin (KMO) </w:t>
      </w:r>
      <w:r w:rsidRPr="00CF31E0">
        <w:rPr>
          <w:lang w:eastAsia="en-US"/>
        </w:rPr>
        <w:lastRenderedPageBreak/>
        <w:t xml:space="preserve">measure. The KMO index ranges from 0 to 1. To make sure that a good factor analysis is being conducted, the minimum value obtained should be .6. </w:t>
      </w:r>
      <w:bookmarkStart w:id="588" w:name="ZOTERO_BREF_LAFZKLoHpH5W"/>
      <w:r w:rsidRPr="00CF31E0">
        <w:rPr>
          <w:rFonts w:eastAsia="Times New Roman"/>
          <w:szCs w:val="22"/>
          <w:lang w:eastAsia="zh-CN"/>
        </w:rPr>
        <w:t>(Pallant, 2013, p. 190)</w:t>
      </w:r>
      <w:bookmarkEnd w:id="588"/>
      <w:r w:rsidRPr="00CF31E0">
        <w:rPr>
          <w:lang w:eastAsia="en-US"/>
        </w:rPr>
        <w:t xml:space="preserve"> advises that if the minimum value of the data is less than .6, then factor analysis is not an appropriate analysis method for the variables. </w:t>
      </w:r>
    </w:p>
    <w:p w14:paraId="43D8ABB8" w14:textId="77777777" w:rsidR="00A23C2A" w:rsidRPr="00CF31E0" w:rsidRDefault="00A23C2A" w:rsidP="00603CB7">
      <w:pPr>
        <w:pStyle w:val="Paragraph"/>
        <w:rPr>
          <w:lang w:val="en-US" w:eastAsia="en-US"/>
        </w:rPr>
      </w:pPr>
      <w:r w:rsidRPr="00CF31E0">
        <w:rPr>
          <w:lang w:eastAsia="en-US"/>
        </w:rPr>
        <w:t xml:space="preserve">The second test is called Bartlett’s Test of Sphericity. It checks whether some of the variables are somehow similar to each other or redundant, so that any redundant variables can be eliminated, resulting in a reduced number of factors. In other words, if the correlation among the variables is high, then the number of factors will supposedly be very low. “Bartlett’s test of Sphericity should be significant (p&lt;.05) for the factor analysis to be considered appropriate” </w:t>
      </w:r>
      <w:bookmarkStart w:id="589" w:name="ZOTERO_BREF_yba3g7WIdUo5"/>
      <w:r w:rsidRPr="00CF31E0">
        <w:rPr>
          <w:rFonts w:eastAsia="Times New Roman"/>
          <w:szCs w:val="22"/>
          <w:lang w:eastAsia="zh-CN"/>
        </w:rPr>
        <w:t>(Pallant, 2013, p. 190)</w:t>
      </w:r>
      <w:bookmarkEnd w:id="589"/>
      <w:r w:rsidRPr="00CF31E0">
        <w:rPr>
          <w:lang w:val="en-US" w:eastAsia="en-US"/>
        </w:rPr>
        <w:t xml:space="preserve">. </w:t>
      </w:r>
    </w:p>
    <w:p w14:paraId="6A4097F8" w14:textId="4C74AB32" w:rsidR="00A23C2A" w:rsidRPr="00CF31E0" w:rsidRDefault="00A23C2A" w:rsidP="00603CB7">
      <w:pPr>
        <w:pStyle w:val="Paragraph"/>
        <w:rPr>
          <w:lang w:val="en-US" w:eastAsia="zh-CN"/>
        </w:rPr>
      </w:pPr>
      <w:r w:rsidRPr="00CF31E0">
        <w:rPr>
          <w:lang w:val="en-US" w:eastAsia="zh-CN"/>
        </w:rPr>
        <w:t xml:space="preserve">In the current study, the data of both dialects have been proven to be appropriate for factor analysis, with a value of .882 in the KMO test, and a value of p&lt;.000 in the Bartlett’s test, which is an extremely significant result. See Table </w:t>
      </w:r>
      <w:r w:rsidR="00DC0D62" w:rsidRPr="00CF31E0">
        <w:rPr>
          <w:lang w:val="en-US" w:eastAsia="zh-CN"/>
        </w:rPr>
        <w:t>8.5</w:t>
      </w:r>
      <w:r w:rsidRPr="00CF31E0">
        <w:rPr>
          <w:lang w:val="en-US" w:eastAsia="zh-CN"/>
        </w:rPr>
        <w:t xml:space="preserve">. </w:t>
      </w:r>
    </w:p>
    <w:tbl>
      <w:tblPr>
        <w:tblW w:w="723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680"/>
        <w:gridCol w:w="2683"/>
        <w:gridCol w:w="1867"/>
      </w:tblGrid>
      <w:tr w:rsidR="007F558A" w:rsidRPr="00CF31E0" w14:paraId="6326A6AC" w14:textId="77777777" w:rsidTr="00603CB7">
        <w:trPr>
          <w:cantSplit/>
          <w:trHeight w:val="628"/>
        </w:trPr>
        <w:tc>
          <w:tcPr>
            <w:tcW w:w="5363" w:type="dxa"/>
            <w:gridSpan w:val="2"/>
            <w:tcBorders>
              <w:top w:val="single" w:sz="8" w:space="0" w:color="auto"/>
              <w:bottom w:val="single" w:sz="4" w:space="0" w:color="auto"/>
            </w:tcBorders>
            <w:shd w:val="clear" w:color="auto" w:fill="FFFFFF"/>
          </w:tcPr>
          <w:p w14:paraId="48B10F46" w14:textId="5194412B" w:rsidR="00A23C2A" w:rsidRPr="00CF31E0" w:rsidRDefault="00A23C2A" w:rsidP="00603CB7">
            <w:pPr>
              <w:widowControl w:val="0"/>
              <w:autoSpaceDE w:val="0"/>
              <w:autoSpaceDN w:val="0"/>
              <w:adjustRightInd w:val="0"/>
              <w:spacing w:before="120" w:after="120"/>
              <w:ind w:left="62" w:right="62"/>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Kaiser-Meyer-Olkin Measure of Sampling Adequacy</w:t>
            </w:r>
          </w:p>
        </w:tc>
        <w:tc>
          <w:tcPr>
            <w:tcW w:w="1867" w:type="dxa"/>
            <w:tcBorders>
              <w:top w:val="single" w:sz="8" w:space="0" w:color="auto"/>
              <w:bottom w:val="single" w:sz="4" w:space="0" w:color="auto"/>
            </w:tcBorders>
            <w:shd w:val="clear" w:color="auto" w:fill="FFFFFF"/>
            <w:vAlign w:val="center"/>
          </w:tcPr>
          <w:p w14:paraId="4BA3BA15" w14:textId="77777777" w:rsidR="00A23C2A" w:rsidRPr="00CF31E0" w:rsidRDefault="00A23C2A"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.882</w:t>
            </w:r>
          </w:p>
        </w:tc>
      </w:tr>
      <w:tr w:rsidR="007F558A" w:rsidRPr="00CF31E0" w14:paraId="16266F2C" w14:textId="77777777" w:rsidTr="00603CB7">
        <w:trPr>
          <w:cantSplit/>
          <w:trHeight w:val="628"/>
        </w:trPr>
        <w:tc>
          <w:tcPr>
            <w:tcW w:w="2680" w:type="dxa"/>
            <w:vMerge w:val="restart"/>
            <w:tcBorders>
              <w:top w:val="single" w:sz="4" w:space="0" w:color="auto"/>
              <w:bottom w:val="nil"/>
            </w:tcBorders>
            <w:shd w:val="clear" w:color="auto" w:fill="FFFFFF"/>
          </w:tcPr>
          <w:p w14:paraId="5CD4F5AA" w14:textId="3F94DE0C" w:rsidR="00A23C2A" w:rsidRPr="00CF31E0" w:rsidRDefault="000558E9"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 xml:space="preserve">Bartlett’s </w:t>
            </w:r>
            <w:r w:rsidR="00A23C2A" w:rsidRPr="00CF31E0">
              <w:rPr>
                <w:rFonts w:eastAsia="Times New Roman"/>
                <w:color w:val="000000" w:themeColor="text1"/>
                <w:sz w:val="22"/>
                <w:szCs w:val="22"/>
                <w:lang w:eastAsia="zh-CN"/>
              </w:rPr>
              <w:t>Test of Sphericity</w:t>
            </w:r>
          </w:p>
        </w:tc>
        <w:tc>
          <w:tcPr>
            <w:tcW w:w="2683" w:type="dxa"/>
            <w:tcBorders>
              <w:top w:val="single" w:sz="4" w:space="0" w:color="auto"/>
              <w:bottom w:val="nil"/>
            </w:tcBorders>
            <w:shd w:val="clear" w:color="auto" w:fill="FFFFFF"/>
          </w:tcPr>
          <w:p w14:paraId="70E16B26" w14:textId="77777777" w:rsidR="00A23C2A" w:rsidRPr="00CF31E0" w:rsidRDefault="00A23C2A"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Approx. Chi-Square</w:t>
            </w:r>
          </w:p>
        </w:tc>
        <w:tc>
          <w:tcPr>
            <w:tcW w:w="1867" w:type="dxa"/>
            <w:tcBorders>
              <w:top w:val="single" w:sz="4" w:space="0" w:color="auto"/>
              <w:bottom w:val="nil"/>
            </w:tcBorders>
            <w:shd w:val="clear" w:color="auto" w:fill="FFFFFF"/>
            <w:vAlign w:val="center"/>
          </w:tcPr>
          <w:p w14:paraId="12D87C54" w14:textId="77777777" w:rsidR="00A23C2A" w:rsidRPr="00CF31E0" w:rsidRDefault="00A23C2A"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6496.377</w:t>
            </w:r>
          </w:p>
        </w:tc>
      </w:tr>
      <w:tr w:rsidR="007F558A" w:rsidRPr="00CF31E0" w14:paraId="55F3A51B" w14:textId="77777777" w:rsidTr="00603CB7">
        <w:trPr>
          <w:cantSplit/>
          <w:trHeight w:val="142"/>
        </w:trPr>
        <w:tc>
          <w:tcPr>
            <w:tcW w:w="2680" w:type="dxa"/>
            <w:vMerge/>
            <w:shd w:val="clear" w:color="auto" w:fill="FFFFFF"/>
          </w:tcPr>
          <w:p w14:paraId="7CDBE9B7" w14:textId="77777777" w:rsidR="00A23C2A" w:rsidRPr="00CF31E0" w:rsidRDefault="00A23C2A" w:rsidP="00603CB7">
            <w:pPr>
              <w:widowControl w:val="0"/>
              <w:autoSpaceDE w:val="0"/>
              <w:autoSpaceDN w:val="0"/>
              <w:adjustRightInd w:val="0"/>
              <w:spacing w:before="120" w:after="120"/>
              <w:jc w:val="both"/>
              <w:rPr>
                <w:rFonts w:eastAsia="Times New Roman"/>
                <w:color w:val="000000" w:themeColor="text1"/>
                <w:sz w:val="22"/>
                <w:szCs w:val="22"/>
                <w:lang w:eastAsia="zh-CN"/>
              </w:rPr>
            </w:pPr>
          </w:p>
        </w:tc>
        <w:tc>
          <w:tcPr>
            <w:tcW w:w="2683" w:type="dxa"/>
            <w:shd w:val="clear" w:color="auto" w:fill="FFFFFF"/>
          </w:tcPr>
          <w:p w14:paraId="1BA201F3" w14:textId="77777777" w:rsidR="00A23C2A" w:rsidRPr="00CF31E0" w:rsidRDefault="00A23C2A"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Sig.</w:t>
            </w:r>
          </w:p>
        </w:tc>
        <w:tc>
          <w:tcPr>
            <w:tcW w:w="1867" w:type="dxa"/>
            <w:shd w:val="clear" w:color="auto" w:fill="FFFFFF"/>
            <w:vAlign w:val="center"/>
          </w:tcPr>
          <w:p w14:paraId="3131937B" w14:textId="77777777" w:rsidR="00A23C2A" w:rsidRPr="00CF31E0" w:rsidRDefault="00A23C2A"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.000</w:t>
            </w:r>
          </w:p>
        </w:tc>
      </w:tr>
    </w:tbl>
    <w:p w14:paraId="7F11EB53" w14:textId="4D175185" w:rsidR="00A23C2A" w:rsidRPr="00CF31E0" w:rsidRDefault="00A23C2A" w:rsidP="000A1504">
      <w:pPr>
        <w:pStyle w:val="Tablecaption"/>
        <w:rPr>
          <w:lang w:eastAsia="zh-CN"/>
        </w:rPr>
      </w:pPr>
      <w:bookmarkStart w:id="590" w:name="_Toc522527441"/>
      <w:bookmarkStart w:id="591" w:name="_Toc522628853"/>
      <w:bookmarkStart w:id="592" w:name="_Toc522629017"/>
      <w:bookmarkStart w:id="593" w:name="_Toc6473114"/>
      <w:r w:rsidRPr="00CF31E0">
        <w:rPr>
          <w:lang w:eastAsia="zh-CN"/>
        </w:rPr>
        <w:t xml:space="preserve">Table </w:t>
      </w:r>
      <w:r w:rsidR="000A1504" w:rsidRPr="00CF31E0">
        <w:rPr>
          <w:lang w:eastAsia="zh-CN"/>
        </w:rPr>
        <w:t>9</w:t>
      </w:r>
      <w:r w:rsidR="00300A34" w:rsidRPr="00CF31E0">
        <w:rPr>
          <w:lang w:eastAsia="zh-CN"/>
        </w:rPr>
        <w:t>.</w:t>
      </w:r>
      <w:r w:rsidR="00DC0D62" w:rsidRPr="00CF31E0">
        <w:rPr>
          <w:lang w:eastAsia="zh-CN"/>
        </w:rPr>
        <w:t>5</w:t>
      </w:r>
      <w:r w:rsidRPr="00CF31E0">
        <w:rPr>
          <w:lang w:eastAsia="zh-CN"/>
        </w:rPr>
        <w:t>: KMO and Bartlett’s test results.</w:t>
      </w:r>
      <w:bookmarkEnd w:id="590"/>
      <w:bookmarkEnd w:id="591"/>
      <w:bookmarkEnd w:id="592"/>
      <w:bookmarkEnd w:id="593"/>
    </w:p>
    <w:p w14:paraId="0E12CD09" w14:textId="129F2905" w:rsidR="00A23C2A" w:rsidRPr="00CF31E0" w:rsidRDefault="000A1504" w:rsidP="00E87209">
      <w:pPr>
        <w:pStyle w:val="Bhead"/>
        <w:rPr>
          <w:rFonts w:eastAsia="MS Mincho"/>
        </w:rPr>
      </w:pPr>
      <w:bookmarkStart w:id="594" w:name="_Toc6472744"/>
      <w:r w:rsidRPr="00CF31E0">
        <w:rPr>
          <w:rFonts w:eastAsia="MS Mincho"/>
        </w:rPr>
        <w:t>9</w:t>
      </w:r>
      <w:r w:rsidR="00300A34" w:rsidRPr="00CF31E0">
        <w:rPr>
          <w:rFonts w:eastAsia="MS Mincho"/>
        </w:rPr>
        <w:t>.4.2.</w:t>
      </w:r>
      <w:r w:rsidR="00DC0D62" w:rsidRPr="00CF31E0">
        <w:rPr>
          <w:rFonts w:eastAsia="MS Mincho"/>
        </w:rPr>
        <w:tab/>
      </w:r>
      <w:r w:rsidR="00A23C2A" w:rsidRPr="00CF31E0">
        <w:rPr>
          <w:rFonts w:eastAsia="MS Mincho"/>
        </w:rPr>
        <w:t>Extracting the factors</w:t>
      </w:r>
      <w:bookmarkEnd w:id="594"/>
    </w:p>
    <w:p w14:paraId="025094E3" w14:textId="4CE42463" w:rsidR="00A23C2A" w:rsidRPr="00CF31E0" w:rsidRDefault="00A23C2A" w:rsidP="00603CB7">
      <w:pPr>
        <w:pStyle w:val="Paragraph"/>
        <w:rPr>
          <w:lang w:val="en-US" w:eastAsia="en-US"/>
        </w:rPr>
      </w:pPr>
      <w:r w:rsidRPr="00CF31E0">
        <w:rPr>
          <w:lang w:eastAsia="en-US"/>
        </w:rPr>
        <w:t xml:space="preserve">The main purpose of the second step is to reduce the number of factors through conducting factor extraction. The extraction process “begins with </w:t>
      </w:r>
      <w:r w:rsidRPr="00CF31E0">
        <w:rPr>
          <w:lang w:val="en-US" w:eastAsia="en-US"/>
        </w:rPr>
        <w:t xml:space="preserve">providing an initial estimate of the total amount of variance in each individual item that is explained by the factors we are about to extract” </w:t>
      </w:r>
      <w:bookmarkStart w:id="595" w:name="ZOTERO_BREF_c3eN110tyJtT"/>
      <w:r w:rsidR="00030EEC" w:rsidRPr="00CF31E0">
        <w:rPr>
          <w:rFonts w:eastAsia="Times New Roman"/>
          <w:szCs w:val="22"/>
          <w:lang w:eastAsia="zh-CN"/>
        </w:rPr>
        <w:t>(Pett et al., 2003</w:t>
      </w:r>
      <w:r w:rsidR="00FA482A">
        <w:rPr>
          <w:rFonts w:eastAsia="Times New Roman"/>
          <w:szCs w:val="22"/>
          <w:lang w:eastAsia="zh-CN"/>
        </w:rPr>
        <w:t>, p. 4</w:t>
      </w:r>
      <w:r w:rsidRPr="00CF31E0">
        <w:rPr>
          <w:rFonts w:eastAsia="Times New Roman"/>
          <w:szCs w:val="22"/>
          <w:lang w:eastAsia="zh-CN"/>
        </w:rPr>
        <w:t>)</w:t>
      </w:r>
      <w:bookmarkEnd w:id="595"/>
      <w:r w:rsidRPr="00CF31E0">
        <w:rPr>
          <w:lang w:val="en-US" w:eastAsia="en-US"/>
        </w:rPr>
        <w:t xml:space="preserve">. </w:t>
      </w:r>
      <w:r w:rsidR="0072434D">
        <w:rPr>
          <w:lang w:val="en-US" w:eastAsia="en-US"/>
        </w:rPr>
        <w:t>This means that each characteristic in each factor will be given a rough estimate for its shared variance within the factor that it belongs</w:t>
      </w:r>
      <w:r w:rsidR="00E1400F">
        <w:rPr>
          <w:lang w:val="en-US" w:eastAsia="en-US"/>
        </w:rPr>
        <w:t xml:space="preserve"> </w:t>
      </w:r>
      <w:r w:rsidR="0072434D">
        <w:rPr>
          <w:lang w:val="en-US" w:eastAsia="en-US"/>
        </w:rPr>
        <w:t xml:space="preserve">to. </w:t>
      </w:r>
      <w:r w:rsidRPr="00CF31E0">
        <w:rPr>
          <w:lang w:val="en-US" w:eastAsia="en-US"/>
        </w:rPr>
        <w:t xml:space="preserve">This explained variance is called variable communality. Communality values range from 0 to 1; a value of 0 indicates that the </w:t>
      </w:r>
      <w:r w:rsidRPr="00CF31E0">
        <w:rPr>
          <w:lang w:val="en-US" w:eastAsia="en-US"/>
        </w:rPr>
        <w:lastRenderedPageBreak/>
        <w:t>variance within the item is not explained by the extracted factor</w:t>
      </w:r>
      <w:r w:rsidR="00BB3C03" w:rsidRPr="00CF31E0">
        <w:rPr>
          <w:lang w:val="en-US" w:eastAsia="en-US"/>
        </w:rPr>
        <w:t xml:space="preserve"> (i.e.  </w:t>
      </w:r>
      <w:r w:rsidRPr="00CF31E0">
        <w:rPr>
          <w:lang w:val="en-US" w:eastAsia="en-US"/>
        </w:rPr>
        <w:t>the item does not have any common characteristics with other items within the factor and it is not strongly connected with them</w:t>
      </w:r>
      <w:r w:rsidR="00BB3C03" w:rsidRPr="00CF31E0">
        <w:rPr>
          <w:lang w:val="en-US" w:eastAsia="en-US"/>
        </w:rPr>
        <w:t>)</w:t>
      </w:r>
      <w:r w:rsidRPr="00CF31E0">
        <w:rPr>
          <w:lang w:val="en-US" w:eastAsia="en-US"/>
        </w:rPr>
        <w:t xml:space="preserve">. </w:t>
      </w:r>
      <w:r w:rsidR="00BB3C03" w:rsidRPr="00CF31E0">
        <w:rPr>
          <w:lang w:val="en-US" w:eastAsia="en-US"/>
        </w:rPr>
        <w:t>A</w:t>
      </w:r>
      <w:r w:rsidRPr="00CF31E0">
        <w:rPr>
          <w:lang w:val="en-US" w:eastAsia="en-US"/>
        </w:rPr>
        <w:t xml:space="preserve"> value of 1 indicates that all of the variance within the item is described by the extracted factor. </w:t>
      </w:r>
    </w:p>
    <w:tbl>
      <w:tblPr>
        <w:tblW w:w="7518" w:type="dxa"/>
        <w:tblLayout w:type="fixed"/>
        <w:tblCellMar>
          <w:left w:w="0" w:type="dxa"/>
          <w:right w:w="0" w:type="dxa"/>
        </w:tblCellMar>
        <w:tblLook w:val="04A0" w:firstRow="1" w:lastRow="0" w:firstColumn="1" w:lastColumn="0" w:noHBand="0" w:noVBand="1"/>
      </w:tblPr>
      <w:tblGrid>
        <w:gridCol w:w="3245"/>
        <w:gridCol w:w="2136"/>
        <w:gridCol w:w="2137"/>
      </w:tblGrid>
      <w:tr w:rsidR="00374582" w:rsidRPr="00CF31E0" w14:paraId="288AC401" w14:textId="77777777" w:rsidTr="00374582">
        <w:trPr>
          <w:cantSplit/>
          <w:trHeight w:val="567"/>
        </w:trPr>
        <w:tc>
          <w:tcPr>
            <w:tcW w:w="3245" w:type="dxa"/>
            <w:tcBorders>
              <w:top w:val="single" w:sz="8" w:space="0" w:color="000000"/>
              <w:bottom w:val="single" w:sz="8" w:space="0" w:color="000000"/>
            </w:tcBorders>
            <w:shd w:val="clear" w:color="auto" w:fill="FFFFFF"/>
            <w:vAlign w:val="bottom"/>
            <w:hideMark/>
          </w:tcPr>
          <w:p w14:paraId="34006A96" w14:textId="77777777" w:rsidR="00374582" w:rsidRPr="00CF31E0" w:rsidRDefault="00374582" w:rsidP="00603CB7">
            <w:pPr>
              <w:widowControl w:val="0"/>
              <w:autoSpaceDE w:val="0"/>
              <w:autoSpaceDN w:val="0"/>
              <w:adjustRightInd w:val="0"/>
              <w:spacing w:before="120" w:after="12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Variables</w:t>
            </w:r>
          </w:p>
        </w:tc>
        <w:tc>
          <w:tcPr>
            <w:tcW w:w="2136" w:type="dxa"/>
            <w:tcBorders>
              <w:top w:val="single" w:sz="8" w:space="0" w:color="000000"/>
              <w:bottom w:val="single" w:sz="8" w:space="0" w:color="000000"/>
            </w:tcBorders>
            <w:shd w:val="clear" w:color="auto" w:fill="FFFFFF"/>
            <w:vAlign w:val="bottom"/>
            <w:hideMark/>
          </w:tcPr>
          <w:p w14:paraId="0F05D403" w14:textId="77777777" w:rsidR="00374582" w:rsidRPr="00CF31E0" w:rsidRDefault="0037458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Initial</w:t>
            </w:r>
          </w:p>
        </w:tc>
        <w:tc>
          <w:tcPr>
            <w:tcW w:w="2137" w:type="dxa"/>
            <w:tcBorders>
              <w:top w:val="single" w:sz="8" w:space="0" w:color="000000"/>
              <w:bottom w:val="single" w:sz="8" w:space="0" w:color="000000"/>
            </w:tcBorders>
            <w:shd w:val="clear" w:color="auto" w:fill="FFFFFF"/>
            <w:vAlign w:val="bottom"/>
            <w:hideMark/>
          </w:tcPr>
          <w:p w14:paraId="6DA3308F" w14:textId="77777777" w:rsidR="00374582" w:rsidRPr="00CF31E0" w:rsidRDefault="0037458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Extraction</w:t>
            </w:r>
          </w:p>
        </w:tc>
      </w:tr>
      <w:tr w:rsidR="00374582" w:rsidRPr="00CF31E0" w14:paraId="102FC1C3" w14:textId="77777777" w:rsidTr="00603CB7">
        <w:trPr>
          <w:cantSplit/>
        </w:trPr>
        <w:tc>
          <w:tcPr>
            <w:tcW w:w="3245" w:type="dxa"/>
            <w:tcBorders>
              <w:top w:val="single" w:sz="8" w:space="0" w:color="000000"/>
            </w:tcBorders>
            <w:shd w:val="clear" w:color="auto" w:fill="FFFFFF"/>
            <w:vAlign w:val="bottom"/>
            <w:hideMark/>
          </w:tcPr>
          <w:p w14:paraId="6E8E1CF9"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Traditional</w:t>
            </w:r>
          </w:p>
        </w:tc>
        <w:tc>
          <w:tcPr>
            <w:tcW w:w="2136" w:type="dxa"/>
            <w:tcBorders>
              <w:top w:val="single" w:sz="8" w:space="0" w:color="000000"/>
            </w:tcBorders>
            <w:shd w:val="clear" w:color="auto" w:fill="FFFFFF"/>
            <w:vAlign w:val="bottom"/>
            <w:hideMark/>
          </w:tcPr>
          <w:p w14:paraId="5CFA68A7"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.352</w:t>
            </w:r>
          </w:p>
        </w:tc>
        <w:tc>
          <w:tcPr>
            <w:tcW w:w="2137" w:type="dxa"/>
            <w:tcBorders>
              <w:top w:val="single" w:sz="8" w:space="0" w:color="000000"/>
            </w:tcBorders>
            <w:shd w:val="clear" w:color="auto" w:fill="FFFFFF"/>
            <w:vAlign w:val="bottom"/>
            <w:hideMark/>
          </w:tcPr>
          <w:p w14:paraId="0D8DB39A"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.445</w:t>
            </w:r>
          </w:p>
        </w:tc>
      </w:tr>
      <w:tr w:rsidR="00374582" w:rsidRPr="00CF31E0" w14:paraId="56BB1B82" w14:textId="77777777" w:rsidTr="00603CB7">
        <w:trPr>
          <w:cantSplit/>
        </w:trPr>
        <w:tc>
          <w:tcPr>
            <w:tcW w:w="3245" w:type="dxa"/>
            <w:shd w:val="clear" w:color="auto" w:fill="FFFFFF"/>
            <w:vAlign w:val="bottom"/>
            <w:hideMark/>
          </w:tcPr>
          <w:p w14:paraId="13290CC4"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Correct</w:t>
            </w:r>
          </w:p>
        </w:tc>
        <w:tc>
          <w:tcPr>
            <w:tcW w:w="2136" w:type="dxa"/>
            <w:shd w:val="clear" w:color="auto" w:fill="FFFFFF"/>
            <w:vAlign w:val="bottom"/>
            <w:hideMark/>
          </w:tcPr>
          <w:p w14:paraId="28DB7426"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.389</w:t>
            </w:r>
          </w:p>
        </w:tc>
        <w:tc>
          <w:tcPr>
            <w:tcW w:w="2137" w:type="dxa"/>
            <w:shd w:val="clear" w:color="auto" w:fill="FFFFFF"/>
            <w:vAlign w:val="bottom"/>
            <w:hideMark/>
          </w:tcPr>
          <w:p w14:paraId="0603B172"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.483</w:t>
            </w:r>
          </w:p>
        </w:tc>
      </w:tr>
      <w:tr w:rsidR="00374582" w:rsidRPr="00CF31E0" w14:paraId="347F0284" w14:textId="77777777" w:rsidTr="00603CB7">
        <w:trPr>
          <w:cantSplit/>
        </w:trPr>
        <w:tc>
          <w:tcPr>
            <w:tcW w:w="3245" w:type="dxa"/>
            <w:shd w:val="clear" w:color="auto" w:fill="FFFFFF"/>
            <w:vAlign w:val="bottom"/>
            <w:hideMark/>
          </w:tcPr>
          <w:p w14:paraId="631B33CC"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Feminine</w:t>
            </w:r>
          </w:p>
        </w:tc>
        <w:tc>
          <w:tcPr>
            <w:tcW w:w="2136" w:type="dxa"/>
            <w:shd w:val="clear" w:color="auto" w:fill="FFFFFF"/>
            <w:vAlign w:val="bottom"/>
            <w:hideMark/>
          </w:tcPr>
          <w:p w14:paraId="259F16B1"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.392</w:t>
            </w:r>
          </w:p>
        </w:tc>
        <w:tc>
          <w:tcPr>
            <w:tcW w:w="2137" w:type="dxa"/>
            <w:shd w:val="clear" w:color="auto" w:fill="FFFFFF"/>
            <w:vAlign w:val="bottom"/>
            <w:hideMark/>
          </w:tcPr>
          <w:p w14:paraId="63364842"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.430</w:t>
            </w:r>
          </w:p>
        </w:tc>
      </w:tr>
      <w:tr w:rsidR="00374582" w:rsidRPr="00CF31E0" w14:paraId="2FA73BA7" w14:textId="77777777" w:rsidTr="00603CB7">
        <w:trPr>
          <w:cantSplit/>
        </w:trPr>
        <w:tc>
          <w:tcPr>
            <w:tcW w:w="3245" w:type="dxa"/>
            <w:shd w:val="clear" w:color="auto" w:fill="FFFFFF"/>
            <w:vAlign w:val="bottom"/>
            <w:hideMark/>
          </w:tcPr>
          <w:p w14:paraId="07904312"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Distinctive</w:t>
            </w:r>
          </w:p>
        </w:tc>
        <w:tc>
          <w:tcPr>
            <w:tcW w:w="2136" w:type="dxa"/>
            <w:shd w:val="clear" w:color="auto" w:fill="FFFFFF"/>
            <w:vAlign w:val="bottom"/>
            <w:hideMark/>
          </w:tcPr>
          <w:p w14:paraId="4469B718"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.206</w:t>
            </w:r>
          </w:p>
        </w:tc>
        <w:tc>
          <w:tcPr>
            <w:tcW w:w="2137" w:type="dxa"/>
            <w:shd w:val="clear" w:color="auto" w:fill="FFFFFF"/>
            <w:vAlign w:val="bottom"/>
            <w:hideMark/>
          </w:tcPr>
          <w:p w14:paraId="26A1FE58"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.439</w:t>
            </w:r>
          </w:p>
        </w:tc>
      </w:tr>
      <w:tr w:rsidR="00374582" w:rsidRPr="00CF31E0" w14:paraId="2B667183" w14:textId="77777777" w:rsidTr="00603CB7">
        <w:trPr>
          <w:cantSplit/>
        </w:trPr>
        <w:tc>
          <w:tcPr>
            <w:tcW w:w="3245" w:type="dxa"/>
            <w:shd w:val="clear" w:color="auto" w:fill="FFFFFF"/>
            <w:vAlign w:val="bottom"/>
            <w:hideMark/>
          </w:tcPr>
          <w:p w14:paraId="3DA84CA9"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Understandable</w:t>
            </w:r>
          </w:p>
        </w:tc>
        <w:tc>
          <w:tcPr>
            <w:tcW w:w="2136" w:type="dxa"/>
            <w:shd w:val="clear" w:color="auto" w:fill="FFFFFF"/>
            <w:vAlign w:val="bottom"/>
            <w:hideMark/>
          </w:tcPr>
          <w:p w14:paraId="7C91C4CF"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.406</w:t>
            </w:r>
          </w:p>
        </w:tc>
        <w:tc>
          <w:tcPr>
            <w:tcW w:w="2137" w:type="dxa"/>
            <w:shd w:val="clear" w:color="auto" w:fill="FFFFFF"/>
            <w:vAlign w:val="bottom"/>
            <w:hideMark/>
          </w:tcPr>
          <w:p w14:paraId="7F383C18"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.486</w:t>
            </w:r>
          </w:p>
        </w:tc>
      </w:tr>
      <w:tr w:rsidR="00374582" w:rsidRPr="00CF31E0" w14:paraId="51E14D90" w14:textId="77777777" w:rsidTr="00603CB7">
        <w:trPr>
          <w:cantSplit/>
        </w:trPr>
        <w:tc>
          <w:tcPr>
            <w:tcW w:w="3245" w:type="dxa"/>
            <w:shd w:val="clear" w:color="auto" w:fill="FFFFFF"/>
            <w:vAlign w:val="bottom"/>
            <w:hideMark/>
          </w:tcPr>
          <w:p w14:paraId="141D6DC2"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Prestigious</w:t>
            </w:r>
          </w:p>
        </w:tc>
        <w:tc>
          <w:tcPr>
            <w:tcW w:w="2136" w:type="dxa"/>
            <w:shd w:val="clear" w:color="auto" w:fill="FFFFFF"/>
            <w:vAlign w:val="bottom"/>
            <w:hideMark/>
          </w:tcPr>
          <w:p w14:paraId="480863AC"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.472</w:t>
            </w:r>
          </w:p>
        </w:tc>
        <w:tc>
          <w:tcPr>
            <w:tcW w:w="2137" w:type="dxa"/>
            <w:shd w:val="clear" w:color="auto" w:fill="FFFFFF"/>
            <w:vAlign w:val="bottom"/>
            <w:hideMark/>
          </w:tcPr>
          <w:p w14:paraId="04E4A02B"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.536</w:t>
            </w:r>
          </w:p>
        </w:tc>
      </w:tr>
      <w:tr w:rsidR="00374582" w:rsidRPr="00CF31E0" w14:paraId="10A9D7CF" w14:textId="77777777" w:rsidTr="00603CB7">
        <w:trPr>
          <w:cantSplit/>
        </w:trPr>
        <w:tc>
          <w:tcPr>
            <w:tcW w:w="3245" w:type="dxa"/>
            <w:shd w:val="clear" w:color="auto" w:fill="FFFFFF"/>
            <w:vAlign w:val="bottom"/>
            <w:hideMark/>
          </w:tcPr>
          <w:p w14:paraId="4B697324"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Common in towns</w:t>
            </w:r>
          </w:p>
        </w:tc>
        <w:tc>
          <w:tcPr>
            <w:tcW w:w="2136" w:type="dxa"/>
            <w:shd w:val="clear" w:color="auto" w:fill="FFFFFF"/>
            <w:vAlign w:val="bottom"/>
            <w:hideMark/>
          </w:tcPr>
          <w:p w14:paraId="27730026"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.590</w:t>
            </w:r>
          </w:p>
        </w:tc>
        <w:tc>
          <w:tcPr>
            <w:tcW w:w="2137" w:type="dxa"/>
            <w:shd w:val="clear" w:color="auto" w:fill="FFFFFF"/>
            <w:vAlign w:val="bottom"/>
            <w:hideMark/>
          </w:tcPr>
          <w:p w14:paraId="01D98401"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.678</w:t>
            </w:r>
          </w:p>
        </w:tc>
      </w:tr>
      <w:tr w:rsidR="00374582" w:rsidRPr="00CF31E0" w14:paraId="0B27BCBD" w14:textId="77777777" w:rsidTr="00603CB7">
        <w:trPr>
          <w:cantSplit/>
        </w:trPr>
        <w:tc>
          <w:tcPr>
            <w:tcW w:w="3245" w:type="dxa"/>
            <w:shd w:val="clear" w:color="auto" w:fill="FFFFFF"/>
            <w:vAlign w:val="bottom"/>
            <w:hideMark/>
          </w:tcPr>
          <w:p w14:paraId="5EC8D194" w14:textId="44A7D9B2" w:rsidR="00374582" w:rsidRPr="00CF31E0" w:rsidRDefault="001136D4"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Signifies t</w:t>
            </w:r>
            <w:r w:rsidR="00374582" w:rsidRPr="00CF31E0">
              <w:rPr>
                <w:rFonts w:eastAsia="Times New Roman"/>
                <w:color w:val="000000" w:themeColor="text1"/>
                <w:sz w:val="22"/>
                <w:szCs w:val="22"/>
                <w:lang w:eastAsia="zh-CN"/>
              </w:rPr>
              <w:t>ribal loyalty</w:t>
            </w:r>
          </w:p>
        </w:tc>
        <w:tc>
          <w:tcPr>
            <w:tcW w:w="2136" w:type="dxa"/>
            <w:shd w:val="clear" w:color="auto" w:fill="FFFFFF"/>
            <w:vAlign w:val="bottom"/>
            <w:hideMark/>
          </w:tcPr>
          <w:p w14:paraId="591D0024"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.160</w:t>
            </w:r>
          </w:p>
        </w:tc>
        <w:tc>
          <w:tcPr>
            <w:tcW w:w="2137" w:type="dxa"/>
            <w:shd w:val="clear" w:color="auto" w:fill="FFFFFF"/>
            <w:vAlign w:val="bottom"/>
            <w:hideMark/>
          </w:tcPr>
          <w:p w14:paraId="489B5C10"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.192</w:t>
            </w:r>
          </w:p>
        </w:tc>
      </w:tr>
      <w:tr w:rsidR="00374582" w:rsidRPr="00CF31E0" w14:paraId="0967732C" w14:textId="77777777" w:rsidTr="00603CB7">
        <w:trPr>
          <w:cantSplit/>
        </w:trPr>
        <w:tc>
          <w:tcPr>
            <w:tcW w:w="3245" w:type="dxa"/>
            <w:shd w:val="clear" w:color="auto" w:fill="FFFFFF"/>
            <w:vAlign w:val="bottom"/>
            <w:hideMark/>
          </w:tcPr>
          <w:p w14:paraId="0E8059DB"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Modern</w:t>
            </w:r>
          </w:p>
        </w:tc>
        <w:tc>
          <w:tcPr>
            <w:tcW w:w="2136" w:type="dxa"/>
            <w:shd w:val="clear" w:color="auto" w:fill="FFFFFF"/>
            <w:vAlign w:val="bottom"/>
            <w:hideMark/>
          </w:tcPr>
          <w:p w14:paraId="6D03ED10"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.570</w:t>
            </w:r>
          </w:p>
        </w:tc>
        <w:tc>
          <w:tcPr>
            <w:tcW w:w="2137" w:type="dxa"/>
            <w:shd w:val="clear" w:color="auto" w:fill="FFFFFF"/>
            <w:vAlign w:val="bottom"/>
            <w:hideMark/>
          </w:tcPr>
          <w:p w14:paraId="4AAA7C18"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.656</w:t>
            </w:r>
          </w:p>
        </w:tc>
      </w:tr>
      <w:tr w:rsidR="00374582" w:rsidRPr="00CF31E0" w14:paraId="039E4A5C" w14:textId="77777777" w:rsidTr="00603CB7">
        <w:trPr>
          <w:cantSplit/>
        </w:trPr>
        <w:tc>
          <w:tcPr>
            <w:tcW w:w="3245" w:type="dxa"/>
            <w:shd w:val="clear" w:color="auto" w:fill="FFFFFF"/>
            <w:vAlign w:val="bottom"/>
            <w:hideMark/>
          </w:tcPr>
          <w:p w14:paraId="60BA1947"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Easy to imitate</w:t>
            </w:r>
          </w:p>
        </w:tc>
        <w:tc>
          <w:tcPr>
            <w:tcW w:w="2136" w:type="dxa"/>
            <w:shd w:val="clear" w:color="auto" w:fill="FFFFFF"/>
            <w:vAlign w:val="bottom"/>
            <w:hideMark/>
          </w:tcPr>
          <w:p w14:paraId="5E689EC5"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.345</w:t>
            </w:r>
          </w:p>
        </w:tc>
        <w:tc>
          <w:tcPr>
            <w:tcW w:w="2137" w:type="dxa"/>
            <w:shd w:val="clear" w:color="auto" w:fill="FFFFFF"/>
            <w:vAlign w:val="bottom"/>
            <w:hideMark/>
          </w:tcPr>
          <w:p w14:paraId="6E9FCD92"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.375</w:t>
            </w:r>
          </w:p>
        </w:tc>
      </w:tr>
      <w:tr w:rsidR="00374582" w:rsidRPr="00CF31E0" w14:paraId="07C4E34B" w14:textId="77777777" w:rsidTr="00603CB7">
        <w:trPr>
          <w:cantSplit/>
        </w:trPr>
        <w:tc>
          <w:tcPr>
            <w:tcW w:w="3245" w:type="dxa"/>
            <w:shd w:val="clear" w:color="auto" w:fill="FFFFFF"/>
            <w:vAlign w:val="bottom"/>
            <w:hideMark/>
          </w:tcPr>
          <w:p w14:paraId="6A9769AF"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Masculine</w:t>
            </w:r>
          </w:p>
        </w:tc>
        <w:tc>
          <w:tcPr>
            <w:tcW w:w="2136" w:type="dxa"/>
            <w:shd w:val="clear" w:color="auto" w:fill="FFFFFF"/>
            <w:vAlign w:val="bottom"/>
            <w:hideMark/>
          </w:tcPr>
          <w:p w14:paraId="4DBE5C9A"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.264</w:t>
            </w:r>
          </w:p>
        </w:tc>
        <w:tc>
          <w:tcPr>
            <w:tcW w:w="2137" w:type="dxa"/>
            <w:shd w:val="clear" w:color="auto" w:fill="FFFFFF"/>
            <w:vAlign w:val="bottom"/>
            <w:hideMark/>
          </w:tcPr>
          <w:p w14:paraId="1AF36DB8"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.278</w:t>
            </w:r>
          </w:p>
        </w:tc>
      </w:tr>
      <w:tr w:rsidR="00374582" w:rsidRPr="00CF31E0" w14:paraId="50753533" w14:textId="77777777" w:rsidTr="00603CB7">
        <w:trPr>
          <w:cantSplit/>
        </w:trPr>
        <w:tc>
          <w:tcPr>
            <w:tcW w:w="3245" w:type="dxa"/>
            <w:shd w:val="clear" w:color="auto" w:fill="FFFFFF"/>
            <w:vAlign w:val="bottom"/>
            <w:hideMark/>
          </w:tcPr>
          <w:p w14:paraId="2750779C"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Practical</w:t>
            </w:r>
          </w:p>
        </w:tc>
        <w:tc>
          <w:tcPr>
            <w:tcW w:w="2136" w:type="dxa"/>
            <w:shd w:val="clear" w:color="auto" w:fill="FFFFFF"/>
            <w:vAlign w:val="bottom"/>
            <w:hideMark/>
          </w:tcPr>
          <w:p w14:paraId="55095A76"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.447</w:t>
            </w:r>
          </w:p>
        </w:tc>
        <w:tc>
          <w:tcPr>
            <w:tcW w:w="2137" w:type="dxa"/>
            <w:shd w:val="clear" w:color="auto" w:fill="FFFFFF"/>
            <w:vAlign w:val="bottom"/>
            <w:hideMark/>
          </w:tcPr>
          <w:p w14:paraId="62E042F2"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.498</w:t>
            </w:r>
          </w:p>
        </w:tc>
      </w:tr>
      <w:tr w:rsidR="00374582" w:rsidRPr="00CF31E0" w14:paraId="0A05FA48" w14:textId="77777777" w:rsidTr="00603CB7">
        <w:trPr>
          <w:cantSplit/>
        </w:trPr>
        <w:tc>
          <w:tcPr>
            <w:tcW w:w="3245" w:type="dxa"/>
            <w:shd w:val="clear" w:color="auto" w:fill="FFFFFF"/>
            <w:vAlign w:val="bottom"/>
            <w:hideMark/>
          </w:tcPr>
          <w:p w14:paraId="3B86C5F6"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Closer to MSA</w:t>
            </w:r>
          </w:p>
        </w:tc>
        <w:tc>
          <w:tcPr>
            <w:tcW w:w="2136" w:type="dxa"/>
            <w:shd w:val="clear" w:color="auto" w:fill="FFFFFF"/>
            <w:vAlign w:val="bottom"/>
            <w:hideMark/>
          </w:tcPr>
          <w:p w14:paraId="3C653F71"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.360</w:t>
            </w:r>
          </w:p>
        </w:tc>
        <w:tc>
          <w:tcPr>
            <w:tcW w:w="2137" w:type="dxa"/>
            <w:shd w:val="clear" w:color="auto" w:fill="FFFFFF"/>
            <w:vAlign w:val="bottom"/>
            <w:hideMark/>
          </w:tcPr>
          <w:p w14:paraId="133F9A0F"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.478</w:t>
            </w:r>
          </w:p>
        </w:tc>
      </w:tr>
      <w:tr w:rsidR="00374582" w:rsidRPr="00CF31E0" w14:paraId="5B6F5359" w14:textId="77777777" w:rsidTr="00603CB7">
        <w:trPr>
          <w:cantSplit/>
        </w:trPr>
        <w:tc>
          <w:tcPr>
            <w:tcW w:w="3245" w:type="dxa"/>
            <w:shd w:val="clear" w:color="auto" w:fill="FFFFFF"/>
            <w:vAlign w:val="bottom"/>
            <w:hideMark/>
          </w:tcPr>
          <w:p w14:paraId="225F64EA"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Understandable to other Arabs</w:t>
            </w:r>
          </w:p>
        </w:tc>
        <w:tc>
          <w:tcPr>
            <w:tcW w:w="2136" w:type="dxa"/>
            <w:shd w:val="clear" w:color="auto" w:fill="FFFFFF"/>
            <w:vAlign w:val="bottom"/>
            <w:hideMark/>
          </w:tcPr>
          <w:p w14:paraId="40AF26CC"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.351</w:t>
            </w:r>
          </w:p>
        </w:tc>
        <w:tc>
          <w:tcPr>
            <w:tcW w:w="2137" w:type="dxa"/>
            <w:shd w:val="clear" w:color="auto" w:fill="FFFFFF"/>
            <w:vAlign w:val="bottom"/>
            <w:hideMark/>
          </w:tcPr>
          <w:p w14:paraId="1A702605"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.370</w:t>
            </w:r>
          </w:p>
        </w:tc>
      </w:tr>
      <w:tr w:rsidR="00374582" w:rsidRPr="00CF31E0" w14:paraId="1DB889DC" w14:textId="77777777" w:rsidTr="00603CB7">
        <w:trPr>
          <w:cantSplit/>
        </w:trPr>
        <w:tc>
          <w:tcPr>
            <w:tcW w:w="3245" w:type="dxa"/>
            <w:tcBorders>
              <w:bottom w:val="single" w:sz="8" w:space="0" w:color="000000"/>
            </w:tcBorders>
            <w:shd w:val="clear" w:color="auto" w:fill="FFFFFF"/>
            <w:vAlign w:val="bottom"/>
            <w:hideMark/>
          </w:tcPr>
          <w:p w14:paraId="58DD6CC0"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Similar to other Arabic dialects</w:t>
            </w:r>
          </w:p>
        </w:tc>
        <w:tc>
          <w:tcPr>
            <w:tcW w:w="2136" w:type="dxa"/>
            <w:tcBorders>
              <w:bottom w:val="single" w:sz="8" w:space="0" w:color="000000"/>
            </w:tcBorders>
            <w:shd w:val="clear" w:color="auto" w:fill="FFFFFF"/>
            <w:vAlign w:val="bottom"/>
            <w:hideMark/>
          </w:tcPr>
          <w:p w14:paraId="41A1DF69"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.437</w:t>
            </w:r>
          </w:p>
        </w:tc>
        <w:tc>
          <w:tcPr>
            <w:tcW w:w="2137" w:type="dxa"/>
            <w:tcBorders>
              <w:bottom w:val="single" w:sz="8" w:space="0" w:color="000000"/>
            </w:tcBorders>
            <w:shd w:val="clear" w:color="auto" w:fill="FFFFFF"/>
            <w:vAlign w:val="bottom"/>
            <w:hideMark/>
          </w:tcPr>
          <w:p w14:paraId="7A049AEE" w14:textId="77777777" w:rsidR="00374582" w:rsidRPr="00CF31E0" w:rsidRDefault="00374582" w:rsidP="00603CB7">
            <w:pPr>
              <w:widowControl w:val="0"/>
              <w:autoSpaceDE w:val="0"/>
              <w:autoSpaceDN w:val="0"/>
              <w:adjustRightInd w:val="0"/>
              <w:spacing w:before="120" w:after="120"/>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.453</w:t>
            </w:r>
          </w:p>
        </w:tc>
      </w:tr>
    </w:tbl>
    <w:p w14:paraId="74BD3A0C" w14:textId="275CCEFF" w:rsidR="00A23C2A" w:rsidRPr="00CF31E0" w:rsidRDefault="00A23C2A" w:rsidP="000A1504">
      <w:pPr>
        <w:pStyle w:val="Tablecaption"/>
        <w:rPr>
          <w:lang w:eastAsia="zh-CN"/>
        </w:rPr>
      </w:pPr>
      <w:bookmarkStart w:id="596" w:name="_Toc522527442"/>
      <w:bookmarkStart w:id="597" w:name="_Toc522628854"/>
      <w:bookmarkStart w:id="598" w:name="_Toc522629018"/>
      <w:bookmarkStart w:id="599" w:name="_Toc6473115"/>
      <w:r w:rsidRPr="00CF31E0">
        <w:rPr>
          <w:lang w:eastAsia="zh-CN"/>
        </w:rPr>
        <w:t xml:space="preserve">Table </w:t>
      </w:r>
      <w:r w:rsidR="000A1504" w:rsidRPr="00CF31E0">
        <w:rPr>
          <w:lang w:eastAsia="zh-CN"/>
        </w:rPr>
        <w:t>9</w:t>
      </w:r>
      <w:r w:rsidR="00300A34" w:rsidRPr="00CF31E0">
        <w:rPr>
          <w:lang w:eastAsia="zh-CN"/>
        </w:rPr>
        <w:t>.</w:t>
      </w:r>
      <w:r w:rsidR="00DC0D62" w:rsidRPr="00CF31E0">
        <w:rPr>
          <w:lang w:eastAsia="zh-CN"/>
        </w:rPr>
        <w:t>6</w:t>
      </w:r>
      <w:r w:rsidRPr="00CF31E0">
        <w:rPr>
          <w:lang w:eastAsia="zh-CN"/>
        </w:rPr>
        <w:t>: Communalities.</w:t>
      </w:r>
      <w:bookmarkEnd w:id="596"/>
      <w:bookmarkEnd w:id="597"/>
      <w:bookmarkEnd w:id="598"/>
      <w:bookmarkEnd w:id="599"/>
    </w:p>
    <w:p w14:paraId="405DB808" w14:textId="2E7DC49C" w:rsidR="00A23C2A" w:rsidRPr="00CF31E0" w:rsidRDefault="00A23C2A" w:rsidP="00603CB7">
      <w:pPr>
        <w:pStyle w:val="Paragraph"/>
        <w:rPr>
          <w:lang w:eastAsia="en-US"/>
        </w:rPr>
      </w:pPr>
      <w:r w:rsidRPr="00CF31E0">
        <w:rPr>
          <w:lang w:val="en-US" w:eastAsia="en-US"/>
        </w:rPr>
        <w:t xml:space="preserve">As can be seen from Table </w:t>
      </w:r>
      <w:r w:rsidR="000A1504" w:rsidRPr="00CF31E0">
        <w:rPr>
          <w:lang w:val="en-US" w:eastAsia="en-US"/>
        </w:rPr>
        <w:t>9</w:t>
      </w:r>
      <w:r w:rsidR="00300A34" w:rsidRPr="00CF31E0">
        <w:rPr>
          <w:lang w:val="en-US" w:eastAsia="en-US"/>
        </w:rPr>
        <w:t>.</w:t>
      </w:r>
      <w:r w:rsidR="00DC0D62" w:rsidRPr="00CF31E0">
        <w:rPr>
          <w:lang w:val="en-US" w:eastAsia="en-US"/>
        </w:rPr>
        <w:t>6</w:t>
      </w:r>
      <w:r w:rsidRPr="00CF31E0">
        <w:rPr>
          <w:lang w:val="en-US" w:eastAsia="en-US"/>
        </w:rPr>
        <w:t xml:space="preserve">, after extraction, most of the items have a communality value above .3, which according to </w:t>
      </w:r>
      <w:r w:rsidRPr="00CF31E0">
        <w:rPr>
          <w:lang w:val="en-US" w:eastAsia="en-US"/>
        </w:rPr>
        <w:fldChar w:fldCharType="begin"/>
      </w:r>
      <w:r w:rsidRPr="00CF31E0">
        <w:rPr>
          <w:lang w:val="en-US" w:eastAsia="en-US"/>
        </w:rPr>
        <w:instrText xml:space="preserve"> ADDIN ZOTERO_ITEM CSL_CITATION {"citationID":"bbgloi6hf","properties":{"formattedCitation":"(Pallant, 2013; Pett et al., 2011)","plainCitation":"(Pallant, 2013; Pett et al., 2011)"},"citationItems":[{"id":208,"uris":["http://zotero.org/users/1939618/items/ME4Z3BDW"],"uri":["http://zotero.org/users/1939618/items/ME4Z3BDW"],"itemData":{"id":208,"type":"book","title":"SPSS survival manual","publisher":"McGraw-Hill Education (UK)","edition":"5th","source":"Google Scholar","URL":"https://books.google.co.uk/books?hl=en&amp;lr=&amp;id=fZZTBgAAQBAJ&amp;oi=fnd&amp;pg=PR7&amp;dq=spss+manual+survival+5th+edition&amp;ots=KUNtjTXXyQ&amp;sig=bmJQspifgoygavKVhpMYsXasP1I","author":[{"family":"Pallant","given":"Julie"}],"issued":{"date-parts":[["2013"]]},"accessed":{"date-parts":[["2016",11,25]]}},"label":"page"},{"id":207,"uris":["http://zotero.org/users/1939618/items/ZQHWHPQI"],"uri":["http://zotero.org/users/1939618/items/ZQHWHPQI"],"itemData":{"id":207,"type":"book","title":"Making sense of factor analysis: The use of factor analysis for instrument development in health care research","publisher":"Sage","source":"Google Scholar","shortTitle":"Making sense of factor analysis","author":[{"family":"Pett","given":"Marjorie A."},{"family":"Lackey","given":"Nancy R."},{"family":"Sullivan","given":"John J."}],"issued":{"date-parts":[["2011"]]}},"label":"page"}],"schema":"https://github.com/citation-style-language/schema/raw/master/csl-citation.json"} </w:instrText>
      </w:r>
      <w:r w:rsidRPr="00CF31E0">
        <w:rPr>
          <w:lang w:val="en-US" w:eastAsia="en-US"/>
        </w:rPr>
        <w:fldChar w:fldCharType="separate"/>
      </w:r>
      <w:r w:rsidRPr="00CF31E0">
        <w:rPr>
          <w:rFonts w:eastAsia="Times New Roman"/>
          <w:szCs w:val="22"/>
          <w:lang w:eastAsia="zh-CN"/>
        </w:rPr>
        <w:t>Pall</w:t>
      </w:r>
      <w:r w:rsidR="00030EEC" w:rsidRPr="00CF31E0">
        <w:rPr>
          <w:rFonts w:eastAsia="Times New Roman"/>
          <w:szCs w:val="22"/>
          <w:lang w:eastAsia="zh-CN"/>
        </w:rPr>
        <w:t>ant (2013) and Pett et al. (2003</w:t>
      </w:r>
      <w:r w:rsidRPr="00CF31E0">
        <w:rPr>
          <w:rFonts w:eastAsia="Times New Roman"/>
          <w:szCs w:val="22"/>
          <w:lang w:eastAsia="zh-CN"/>
        </w:rPr>
        <w:t>)</w:t>
      </w:r>
      <w:r w:rsidRPr="00CF31E0">
        <w:rPr>
          <w:lang w:val="en-US" w:eastAsia="en-US"/>
        </w:rPr>
        <w:fldChar w:fldCharType="end"/>
      </w:r>
      <w:r w:rsidRPr="00CF31E0">
        <w:rPr>
          <w:lang w:val="en-US" w:eastAsia="en-US"/>
        </w:rPr>
        <w:t xml:space="preserve"> is very moderate. Two items have a value lower than .3: </w:t>
      </w:r>
      <w:r w:rsidRPr="00CF31E0">
        <w:rPr>
          <w:i/>
          <w:iCs/>
          <w:lang w:val="en-US" w:eastAsia="en-US"/>
        </w:rPr>
        <w:t xml:space="preserve">tribal loyalty </w:t>
      </w:r>
      <w:r w:rsidRPr="00CF31E0">
        <w:rPr>
          <w:lang w:val="en-US" w:eastAsia="en-US"/>
        </w:rPr>
        <w:t>and</w:t>
      </w:r>
      <w:r w:rsidRPr="00CF31E0">
        <w:rPr>
          <w:i/>
          <w:iCs/>
          <w:lang w:val="en-US" w:eastAsia="en-US"/>
        </w:rPr>
        <w:t xml:space="preserve"> masculine</w:t>
      </w:r>
      <w:r w:rsidRPr="00CF31E0">
        <w:rPr>
          <w:i/>
          <w:lang w:val="en-US" w:eastAsia="en-US"/>
        </w:rPr>
        <w:t xml:space="preserve">. </w:t>
      </w:r>
      <w:r w:rsidRPr="00CF31E0">
        <w:rPr>
          <w:lang w:val="en-US" w:eastAsia="en-US"/>
        </w:rPr>
        <w:t xml:space="preserve">This means that these two items share little with the factors they are attached to. Another issue is raised by </w:t>
      </w:r>
      <w:r w:rsidRPr="00CF31E0">
        <w:rPr>
          <w:lang w:val="en-US" w:eastAsia="en-US"/>
        </w:rPr>
        <w:fldChar w:fldCharType="begin"/>
      </w:r>
      <w:r w:rsidRPr="00CF31E0">
        <w:rPr>
          <w:lang w:val="en-US" w:eastAsia="en-US"/>
        </w:rPr>
        <w:instrText xml:space="preserve"> ADDIN ZOTERO_ITEM CSL_CITATION {"citationID":"uj6aNgv5","properties":{"formattedCitation":"(Norris &amp; Lecavalier, 2010)","plainCitation":"(Norris &amp; Lecavalier, 2010)"},"citationItems":[{"id":269,"uris":["http://zotero.org/users/1939618/items/XDM5WXQA"],"uri":["http://zotero.org/users/1939618/items/XDM5WXQA"],"itemData":{"id":269,"type":"article-journal","title":"Evaluating the Use of Exploratory Factor Analysis in Developmental Disability Psychological Research","container-title":"Journal of Autism and Developmental Disorders","page":"8-20","volume":"40","issue":"1","abstract":"Exploratory factor analysis (EFA) is a widely used but poorly understood statistical procedure. This paper described EFA and its methodological variations. Then, key methodological variations were used to evaluate EFA usage over a 10-year period in five leading developmental disabilities journals. Sixty-six studies were located and evaluated on multiple procedural variations. Only 35% (n = 23) of studies used EFA; principal components analysis was the model used most often (n = 40, 61%). Orthogonal rotation was used most often (n = 39, 59%). A large portion of studies ran analyses with a subject: item ratio larger than 5:1 (n = 49, 74%). Most researchers employed multiple criteria for retaining factors (n = 45, 68%). Overall, results indicated that published recommendations and guidelines for the use of EFA are largely ignored.","DOI":"10.1007/s10803-009-0816-2","ISSN":"1573-3432","journalAbbreviation":"Journal of Autism and Developmental Disorders","author":[{"family":"Norris","given":"Megan"},{"family":"Lecavalier","given":"Luc"}],"issued":{"date-parts":[["2010",1,1]]}}}],"schema":"https://github.com/citation-style-language/schema/raw/master/csl-citation.json"} </w:instrText>
      </w:r>
      <w:r w:rsidRPr="00CF31E0">
        <w:rPr>
          <w:lang w:val="en-US" w:eastAsia="en-US"/>
        </w:rPr>
        <w:fldChar w:fldCharType="separate"/>
      </w:r>
      <w:r w:rsidRPr="00CF31E0">
        <w:rPr>
          <w:rFonts w:eastAsia="Times New Roman"/>
          <w:szCs w:val="22"/>
          <w:lang w:eastAsia="zh-CN"/>
        </w:rPr>
        <w:t>Norris &amp; Lecavalier (2010, p.11)</w:t>
      </w:r>
      <w:r w:rsidRPr="00CF31E0">
        <w:rPr>
          <w:lang w:val="en-US" w:eastAsia="en-US"/>
        </w:rPr>
        <w:fldChar w:fldCharType="end"/>
      </w:r>
      <w:r w:rsidRPr="00CF31E0">
        <w:rPr>
          <w:lang w:eastAsia="en-US"/>
        </w:rPr>
        <w:t xml:space="preserve">; </w:t>
      </w:r>
      <w:r w:rsidRPr="00CF31E0">
        <w:rPr>
          <w:lang w:val="en-US" w:eastAsia="en-US"/>
        </w:rPr>
        <w:t xml:space="preserve">they argue that if the communality values after extraction vary greatly from their initial values, “the </w:t>
      </w:r>
      <w:r w:rsidRPr="00CF31E0">
        <w:rPr>
          <w:lang w:eastAsia="en-US"/>
        </w:rPr>
        <w:t xml:space="preserve">interpretation of the solution can also </w:t>
      </w:r>
      <w:r w:rsidRPr="00CF31E0">
        <w:rPr>
          <w:lang w:eastAsia="en-US"/>
        </w:rPr>
        <w:lastRenderedPageBreak/>
        <w:t xml:space="preserve">vary greatly”. However, the above table shows that the extraction estimates do not vary greatly from their initial estimates. </w:t>
      </w:r>
    </w:p>
    <w:p w14:paraId="05B5F95E" w14:textId="32E0FCBD" w:rsidR="00A23C2A" w:rsidRPr="00CF31E0" w:rsidRDefault="00A23C2A" w:rsidP="00603CB7">
      <w:pPr>
        <w:pStyle w:val="Paragraph"/>
        <w:rPr>
          <w:rFonts w:eastAsia="Times New Roman"/>
        </w:rPr>
      </w:pPr>
      <w:r w:rsidRPr="00CF31E0">
        <w:rPr>
          <w:lang w:eastAsia="en-US"/>
        </w:rPr>
        <w:t xml:space="preserve">Having ascertained that the communality estimates are fairly good, the next step is to extract the factors. </w:t>
      </w:r>
      <w:r w:rsidRPr="00CF31E0">
        <w:rPr>
          <w:lang w:val="en-US" w:eastAsia="en-US"/>
        </w:rPr>
        <w:t>Many approaches are used in the literature to extract factors, such as: principal component analysis, principal Axis factoring, image factoring, maximum likelihood factoring, alpha factoring, unweighted least squares and generalized least squares. The method I used to extract the factors is called principal axis factoring (PAF). I chose the PA</w:t>
      </w:r>
      <w:r w:rsidR="00FF1384" w:rsidRPr="00CF31E0">
        <w:rPr>
          <w:lang w:val="en-US" w:eastAsia="en-US"/>
        </w:rPr>
        <w:t>F</w:t>
      </w:r>
      <w:r w:rsidRPr="00CF31E0">
        <w:rPr>
          <w:lang w:val="en-US" w:eastAsia="en-US"/>
        </w:rPr>
        <w:t xml:space="preserve"> method over other extraction methods </w:t>
      </w:r>
      <w:r w:rsidRPr="00CF31E0">
        <w:rPr>
          <w:rFonts w:eastAsia="Calibri"/>
          <w:lang w:eastAsia="en-US"/>
        </w:rPr>
        <w:t>because it reveals the underlying structure of variables, while for example principal component analysis only reduces the number of variables without interpreting their underlying structure (Conway &amp; Huffcutt, 2003, p. 150). In the light of my current research, I attempt to investigate the dimensions behind obse</w:t>
      </w:r>
      <w:r w:rsidR="00E01C55" w:rsidRPr="00CF31E0">
        <w:rPr>
          <w:rFonts w:eastAsia="Calibri"/>
          <w:lang w:eastAsia="en-US"/>
        </w:rPr>
        <w:t>rved variables to guide theory</w:t>
      </w:r>
      <w:r w:rsidRPr="00CF31E0">
        <w:rPr>
          <w:rFonts w:eastAsia="Calibri"/>
          <w:lang w:eastAsia="en-US"/>
        </w:rPr>
        <w:t xml:space="preserve"> and practice in regards to dialect attit</w:t>
      </w:r>
      <w:r w:rsidR="00E01C55" w:rsidRPr="00CF31E0">
        <w:rPr>
          <w:rFonts w:eastAsia="Calibri"/>
          <w:lang w:eastAsia="en-US"/>
        </w:rPr>
        <w:t>udinal studies in the</w:t>
      </w:r>
      <w:r w:rsidRPr="00CF31E0">
        <w:rPr>
          <w:rFonts w:eastAsia="Calibri"/>
          <w:lang w:eastAsia="en-US"/>
        </w:rPr>
        <w:t xml:space="preserve"> region. Thus, since I have particular theory or research in mind, I believe that PAF</w:t>
      </w:r>
      <w:r w:rsidRPr="00CF31E0">
        <w:rPr>
          <w:rFonts w:eastAsia="Times New Roman"/>
        </w:rPr>
        <w:t xml:space="preserve"> should be the extraction method because it reveals the latent constructs undergirding the observed variables. Therefore, PAF might be more applicable and constructive in my research than other extraction methods. </w:t>
      </w:r>
    </w:p>
    <w:p w14:paraId="312C3901" w14:textId="6D6306D8" w:rsidR="00A23C2A" w:rsidRPr="00CF31E0" w:rsidRDefault="00A23C2A" w:rsidP="00603CB7">
      <w:pPr>
        <w:pStyle w:val="Paragraph"/>
        <w:rPr>
          <w:lang w:val="en-US" w:eastAsia="en-US"/>
        </w:rPr>
      </w:pPr>
      <w:r w:rsidRPr="00CF31E0">
        <w:rPr>
          <w:lang w:val="en-US" w:eastAsia="en-US"/>
        </w:rPr>
        <w:t xml:space="preserve">After extracting the factors, the researcher needs to decide whether to keep the number of factors as it is or to find a solution to reduce the number of factors. </w:t>
      </w:r>
      <w:bookmarkStart w:id="600" w:name="ZOTERO_BREF_Ui4h7luyQYct"/>
      <w:r w:rsidRPr="00CF31E0">
        <w:rPr>
          <w:rFonts w:eastAsia="Times New Roman"/>
          <w:szCs w:val="22"/>
          <w:lang w:eastAsia="zh-CN"/>
        </w:rPr>
        <w:t xml:space="preserve">Conway &amp; Huffcutt (2003) and Reio Jr </w:t>
      </w:r>
      <w:r w:rsidR="00BE2071" w:rsidRPr="00CF31E0">
        <w:rPr>
          <w:rFonts w:eastAsia="Times New Roman"/>
          <w:szCs w:val="22"/>
          <w:lang w:eastAsia="zh-CN"/>
        </w:rPr>
        <w:t xml:space="preserve">and </w:t>
      </w:r>
      <w:r w:rsidRPr="00CF31E0">
        <w:rPr>
          <w:rFonts w:eastAsia="Times New Roman"/>
          <w:szCs w:val="22"/>
          <w:lang w:eastAsia="zh-CN"/>
        </w:rPr>
        <w:t>Shuck (2015)</w:t>
      </w:r>
      <w:bookmarkEnd w:id="600"/>
      <w:r w:rsidRPr="00CF31E0">
        <w:rPr>
          <w:lang w:val="en-US" w:eastAsia="en-US"/>
        </w:rPr>
        <w:t xml:space="preserve"> argue that choosing the number of factors to retain is a very vital decision and a researcher has to consult research background to decide on the best number of factors that can represent research findings which can inform theory building. Overall, it is up to the researcher to decide on the solution that best fits the research purpose </w:t>
      </w:r>
      <w:bookmarkStart w:id="601" w:name="ZOTERO_BREF_3QLwXSVfgDLl"/>
      <w:r w:rsidRPr="00CF31E0">
        <w:rPr>
          <w:rFonts w:eastAsia="Times New Roman"/>
          <w:szCs w:val="22"/>
          <w:lang w:eastAsia="zh-CN"/>
        </w:rPr>
        <w:t>(Pallant, 2013, p. 190)</w:t>
      </w:r>
      <w:bookmarkEnd w:id="601"/>
      <w:r w:rsidRPr="00CF31E0">
        <w:rPr>
          <w:lang w:val="en-US" w:eastAsia="en-US"/>
        </w:rPr>
        <w:t xml:space="preserve">. After extracting the initial factors, </w:t>
      </w:r>
      <w:bookmarkStart w:id="602" w:name="ZOTERO_BREF_vxdtJOcjKMCn"/>
      <w:r w:rsidRPr="00CF31E0">
        <w:rPr>
          <w:rFonts w:eastAsia="Times New Roman"/>
          <w:szCs w:val="22"/>
          <w:lang w:eastAsia="zh-CN"/>
        </w:rPr>
        <w:t>Pallant (2013, p. 191)</w:t>
      </w:r>
      <w:bookmarkEnd w:id="602"/>
      <w:r w:rsidRPr="00CF31E0">
        <w:rPr>
          <w:lang w:val="en-US" w:eastAsia="en-US"/>
        </w:rPr>
        <w:t xml:space="preserve"> summarizes the researcher's task in two points; “the researcher needs to find a simple solution with as few factors as possible; and [there is a] need to explain as much of the variance in the original data set as possible”. </w:t>
      </w:r>
    </w:p>
    <w:p w14:paraId="0893BB80" w14:textId="616AA1BE" w:rsidR="00A23C2A" w:rsidRPr="00CF31E0" w:rsidRDefault="00A23C2A" w:rsidP="00603CB7">
      <w:pPr>
        <w:pStyle w:val="Paragraph"/>
        <w:rPr>
          <w:lang w:eastAsia="en-US"/>
        </w:rPr>
      </w:pPr>
      <w:r w:rsidRPr="00CF31E0">
        <w:rPr>
          <w:lang w:val="en-US" w:eastAsia="en-US"/>
        </w:rPr>
        <w:lastRenderedPageBreak/>
        <w:t xml:space="preserve">A number of factor retention rules are available to help the researcher to choose the number of factors to retain. The approaches used in the current study are: The eigenvalue greater than one rule </w:t>
      </w:r>
      <w:bookmarkStart w:id="603" w:name="ZOTERO_BREF_NVQzH0ZHXd2A"/>
      <w:r w:rsidRPr="00CF31E0">
        <w:rPr>
          <w:lang w:val="en-US" w:eastAsia="en-US"/>
        </w:rPr>
        <w:fldChar w:fldCharType="begin"/>
      </w:r>
      <w:r w:rsidRPr="00CF31E0">
        <w:rPr>
          <w:lang w:val="en-US" w:eastAsia="en-US"/>
        </w:rPr>
        <w:instrText xml:space="preserve"> ADDIN ZOTERO_ITEM CSL_CITATION {"citationID":"a2n9gq52qs","properties":{"formattedCitation":"(Kaiser, 1956)","plainCitation":"(Kaiser, 1956)"},"citationItems":[{"id":262,"uris":["http://zotero.org/users/1939618/items/ITGMZ7SF"],"uri":["http://zotero.org/users/1939618/items/ITGMZ7SF"],"itemData":{"id":262,"type":"thesis","title":"The varimax method of factor analysis","publisher":"University of California, Berkeley","source":"Google Scholar","author":[{"family":"Kaiser","given":"Henry Felix"}],"issued":{"date-parts":[["1956"]]}}}],"schema":"https://github.com/citation-style-language/schema/raw/master/csl-citation.json"} </w:instrText>
      </w:r>
      <w:r w:rsidRPr="00CF31E0">
        <w:rPr>
          <w:lang w:val="en-US" w:eastAsia="en-US"/>
        </w:rPr>
        <w:fldChar w:fldCharType="separate"/>
      </w:r>
      <w:r w:rsidR="006A176D" w:rsidRPr="00CF31E0">
        <w:rPr>
          <w:noProof/>
          <w:lang w:val="en-US" w:eastAsia="en-US"/>
        </w:rPr>
        <w:t>(Kaiser, 1958</w:t>
      </w:r>
      <w:r w:rsidRPr="00CF31E0">
        <w:rPr>
          <w:noProof/>
          <w:lang w:val="en-US" w:eastAsia="en-US"/>
        </w:rPr>
        <w:t>)</w:t>
      </w:r>
      <w:r w:rsidRPr="00CF31E0">
        <w:rPr>
          <w:lang w:val="en-US" w:eastAsia="en-US"/>
        </w:rPr>
        <w:fldChar w:fldCharType="end"/>
      </w:r>
      <w:bookmarkEnd w:id="603"/>
      <w:r w:rsidRPr="00CF31E0">
        <w:rPr>
          <w:lang w:val="en-US" w:eastAsia="en-US"/>
        </w:rPr>
        <w:t xml:space="preserve">, scree plot </w:t>
      </w:r>
      <w:bookmarkStart w:id="604" w:name="ZOTERO_BREF_kTrCoqVIkNLt"/>
      <w:r w:rsidRPr="00CF31E0">
        <w:rPr>
          <w:lang w:val="en-US" w:eastAsia="en-US"/>
        </w:rPr>
        <w:fldChar w:fldCharType="begin"/>
      </w:r>
      <w:r w:rsidRPr="00CF31E0">
        <w:rPr>
          <w:lang w:val="en-US" w:eastAsia="en-US"/>
        </w:rPr>
        <w:instrText xml:space="preserve"> ADDIN ZOTERO_ITEM CSL_CITATION {"citationID":"ae915c3ofv","properties":{"formattedCitation":"(Cattell, 1966)","plainCitation":"(Cattell, 1966)"},"citationItems":[{"id":261,"uris":["http://zotero.org/users/1939618/items/59IZSVQG"],"uri":["http://zotero.org/users/1939618/items/59IZSVQG"],"itemData":{"id":261,"type":"article-journal","title":"The scree test for the number of factors.","container-title":"Multivariate Behavioural Research","page":"245-276","volume":"1","source":"Google Scholar","author":[{"family":"Cattell","given":"R. B."}],"issued":{"date-parts":[["1966"]]}}}],"schema":"https://github.com/citation-style-language/schema/raw/master/csl-citation.json"} </w:instrText>
      </w:r>
      <w:r w:rsidRPr="00CF31E0">
        <w:rPr>
          <w:lang w:val="en-US" w:eastAsia="en-US"/>
        </w:rPr>
        <w:fldChar w:fldCharType="separate"/>
      </w:r>
      <w:r w:rsidRPr="00CF31E0">
        <w:rPr>
          <w:noProof/>
          <w:lang w:val="en-US" w:eastAsia="en-US"/>
        </w:rPr>
        <w:t>(Cattell, 1966)</w:t>
      </w:r>
      <w:r w:rsidRPr="00CF31E0">
        <w:rPr>
          <w:lang w:val="en-US" w:eastAsia="en-US"/>
        </w:rPr>
        <w:fldChar w:fldCharType="end"/>
      </w:r>
      <w:bookmarkEnd w:id="604"/>
      <w:r w:rsidRPr="00CF31E0">
        <w:rPr>
          <w:lang w:val="en-US" w:eastAsia="en-US"/>
        </w:rPr>
        <w:t xml:space="preserve"> and parallel analysis </w:t>
      </w:r>
      <w:bookmarkStart w:id="605" w:name="ZOTERO_BREF_zPMyF5UgPT6S"/>
      <w:r w:rsidRPr="00CF31E0">
        <w:rPr>
          <w:lang w:val="en-US" w:eastAsia="en-US"/>
        </w:rPr>
        <w:fldChar w:fldCharType="begin"/>
      </w:r>
      <w:r w:rsidRPr="00CF31E0">
        <w:rPr>
          <w:lang w:val="en-US" w:eastAsia="en-US"/>
        </w:rPr>
        <w:instrText xml:space="preserve"> ADDIN ZOTERO_ITEM CSL_CITATION {"citationID":"a1kfpuhno6c","properties":{"formattedCitation":"(Horn, 1965)","plainCitation":"(Horn, 1965)"},"citationItems":[{"id":260,"uris":["http://zotero.org/users/1939618/items/RSDBJDVG"],"uri":["http://zotero.org/users/1939618/items/RSDBJDVG"],"itemData":{"id":260,"type":"article-journal","title":"A rationale and test for the number of factors in factor analysis","container-title":"Psychometrika","page":"179–185","volume":"30","issue":"2","source":"Google Scholar","author":[{"family":"Horn","given":"John L."}],"issued":{"date-parts":[["1965"]]}}}],"schema":"https://github.com/citation-style-language/schema/raw/master/csl-citation.json"} </w:instrText>
      </w:r>
      <w:r w:rsidRPr="00CF31E0">
        <w:rPr>
          <w:lang w:val="en-US" w:eastAsia="en-US"/>
        </w:rPr>
        <w:fldChar w:fldCharType="separate"/>
      </w:r>
      <w:r w:rsidRPr="00CF31E0">
        <w:rPr>
          <w:noProof/>
          <w:lang w:val="en-US" w:eastAsia="en-US"/>
        </w:rPr>
        <w:t>(Horn, 1965)</w:t>
      </w:r>
      <w:r w:rsidRPr="00CF31E0">
        <w:rPr>
          <w:lang w:val="en-US" w:eastAsia="en-US"/>
        </w:rPr>
        <w:fldChar w:fldCharType="end"/>
      </w:r>
      <w:bookmarkEnd w:id="605"/>
      <w:r w:rsidRPr="00CF31E0">
        <w:rPr>
          <w:lang w:val="en-US" w:eastAsia="en-US"/>
        </w:rPr>
        <w:t xml:space="preserve">. I have used more than one retention rule because each rule has its own limitation and the use of more than one can compensate for any limitation found in a single rule </w:t>
      </w:r>
      <w:r w:rsidRPr="00CF31E0">
        <w:rPr>
          <w:lang w:val="en-US" w:eastAsia="en-US"/>
        </w:rPr>
        <w:fldChar w:fldCharType="begin"/>
      </w:r>
      <w:r w:rsidRPr="00CF31E0">
        <w:rPr>
          <w:lang w:val="en-US" w:eastAsia="en-US"/>
        </w:rPr>
        <w:instrText xml:space="preserve"> ADDIN ZOTERO_ITEM CSL_CITATION {"citationID":"a2jm794keqe","properties":{"formattedCitation":"(Fabrigar, Wegener, MacCallum, &amp; Strahan, 1999)","plainCitation":"(Fabrigar, Wegener, MacCallum, &amp; Strahan, 1999)"},"citationItems":[{"id":267,"uris":["http://zotero.org/users/1939618/items/Q4DBEKJS"],"uri":["http://zotero.org/users/1939618/items/Q4DBEKJS"],"itemData":{"id":267,"type":"article-journal","title":"Evaluating the use of exploratory factor analysis in psychological research.","container-title":"Psychological methods","page":"272-299","volume":"4","issue":"3","source":"Google Scholar","author":[{"family":"Fabrigar","given":"Leandre R."},{"family":"Wegener","given":"Duane T."},{"family":"MacCallum","given":"Robert C."},{"family":"Strahan","given":"Erin J."}],"issued":{"date-parts":[["1999"]]}},"label":"page"}],"schema":"https://github.com/citation-style-language/schema/raw/master/csl-citation.json"} </w:instrText>
      </w:r>
      <w:r w:rsidRPr="00CF31E0">
        <w:rPr>
          <w:lang w:val="en-US" w:eastAsia="en-US"/>
        </w:rPr>
        <w:fldChar w:fldCharType="separate"/>
      </w:r>
      <w:r w:rsidRPr="00CF31E0">
        <w:rPr>
          <w:noProof/>
          <w:lang w:val="en-US" w:eastAsia="en-US"/>
        </w:rPr>
        <w:t>(Fabrigar, Wegener, MacCallum, &amp; Strahan, 1999)</w:t>
      </w:r>
      <w:r w:rsidRPr="00CF31E0">
        <w:rPr>
          <w:lang w:val="en-US" w:eastAsia="en-US"/>
        </w:rPr>
        <w:fldChar w:fldCharType="end"/>
      </w:r>
      <w:r w:rsidRPr="00CF31E0">
        <w:rPr>
          <w:rFonts w:eastAsia="Times New Roman"/>
          <w:szCs w:val="22"/>
          <w:lang w:eastAsia="zh-CN"/>
        </w:rPr>
        <w:t>.</w:t>
      </w:r>
    </w:p>
    <w:p w14:paraId="037BF586" w14:textId="29EC6273" w:rsidR="00A23C2A" w:rsidRPr="00CF31E0" w:rsidRDefault="000A1504" w:rsidP="00E87209">
      <w:pPr>
        <w:pStyle w:val="Chead"/>
        <w:rPr>
          <w:rFonts w:eastAsia="MS Mincho"/>
        </w:rPr>
      </w:pPr>
      <w:bookmarkStart w:id="606" w:name="_Toc6472745"/>
      <w:r w:rsidRPr="00CF31E0">
        <w:rPr>
          <w:rFonts w:eastAsia="MS Mincho"/>
        </w:rPr>
        <w:t>9</w:t>
      </w:r>
      <w:r w:rsidR="001011B3" w:rsidRPr="00CF31E0">
        <w:rPr>
          <w:rFonts w:eastAsia="MS Mincho"/>
        </w:rPr>
        <w:t>.4.2.1.</w:t>
      </w:r>
      <w:r w:rsidR="002A5315" w:rsidRPr="00CF31E0">
        <w:rPr>
          <w:rFonts w:eastAsia="MS Mincho"/>
        </w:rPr>
        <w:tab/>
      </w:r>
      <w:r w:rsidR="00A23C2A" w:rsidRPr="00CF31E0">
        <w:rPr>
          <w:rFonts w:eastAsia="MS Mincho"/>
        </w:rPr>
        <w:t>First technique</w:t>
      </w:r>
      <w:r w:rsidR="001011B3" w:rsidRPr="00CF31E0">
        <w:rPr>
          <w:rFonts w:eastAsia="MS Mincho"/>
        </w:rPr>
        <w:t xml:space="preserve">: </w:t>
      </w:r>
      <w:r w:rsidR="00A23C2A" w:rsidRPr="00CF31E0">
        <w:rPr>
          <w:rFonts w:eastAsia="MS Mincho"/>
        </w:rPr>
        <w:t>Kaiser’s criterion</w:t>
      </w:r>
      <w:bookmarkEnd w:id="606"/>
    </w:p>
    <w:p w14:paraId="308A8FE0" w14:textId="08172C89" w:rsidR="00C54384" w:rsidRPr="00CF31E0" w:rsidRDefault="00A23C2A" w:rsidP="00FF08C0">
      <w:pPr>
        <w:pStyle w:val="Paragraph"/>
        <w:rPr>
          <w:rFonts w:eastAsia="Times New Roman"/>
          <w:lang w:eastAsia="zh-CN"/>
        </w:rPr>
      </w:pPr>
      <w:r w:rsidRPr="00CF31E0">
        <w:rPr>
          <w:lang w:val="en-US" w:eastAsia="en-US"/>
        </w:rPr>
        <w:t xml:space="preserve">Kaiser’s criterion for choosing factor numbers is one of the most common techniques used for factor retention. In Kaiser’s criterion, only factors with an eigenvalue of 1 or more than 1 are retained in the results. “The eigenvalue of a factor represents the amount of the total variance explained by the factor” </w:t>
      </w:r>
      <w:bookmarkStart w:id="607" w:name="ZOTERO_BREF_pNMTtbPSTm65"/>
      <w:r w:rsidRPr="00CF31E0">
        <w:rPr>
          <w:rFonts w:eastAsia="Times New Roman"/>
          <w:szCs w:val="22"/>
          <w:lang w:eastAsia="zh-CN"/>
        </w:rPr>
        <w:t>(Pallant, 2013, p. 191)</w:t>
      </w:r>
      <w:bookmarkEnd w:id="607"/>
      <w:r w:rsidRPr="00CF31E0">
        <w:rPr>
          <w:lang w:val="en-US" w:eastAsia="en-US"/>
        </w:rPr>
        <w:t xml:space="preserve">. This means that these factors have a greater contribution to the variance than the factors with eigenvalues less than 1 </w:t>
      </w:r>
      <w:bookmarkStart w:id="608" w:name="ZOTERO_BREF_nArz18pxoMgH"/>
      <w:r w:rsidR="002F5AAC" w:rsidRPr="00CF31E0">
        <w:rPr>
          <w:rFonts w:eastAsia="Times New Roman"/>
          <w:szCs w:val="22"/>
          <w:lang w:eastAsia="zh-CN"/>
        </w:rPr>
        <w:t>(Pett et al., 2003</w:t>
      </w:r>
      <w:r w:rsidR="00FA482A">
        <w:rPr>
          <w:rFonts w:eastAsia="Times New Roman"/>
          <w:szCs w:val="22"/>
          <w:lang w:eastAsia="zh-CN"/>
        </w:rPr>
        <w:t>, p. 27</w:t>
      </w:r>
      <w:r w:rsidRPr="00CF31E0">
        <w:rPr>
          <w:rFonts w:eastAsia="Times New Roman"/>
          <w:szCs w:val="22"/>
          <w:lang w:eastAsia="zh-CN"/>
        </w:rPr>
        <w:t>)</w:t>
      </w:r>
      <w:bookmarkEnd w:id="608"/>
      <w:r w:rsidRPr="00CF31E0">
        <w:rPr>
          <w:lang w:val="en-US" w:eastAsia="en-US"/>
        </w:rPr>
        <w:t xml:space="preserve">. </w:t>
      </w:r>
      <w:r w:rsidRPr="00CF31E0">
        <w:rPr>
          <w:rFonts w:ascii="ﬂıø◊ÙÁ" w:hAnsi="ﬂıø◊ÙÁ" w:cs="ﬂıø◊ÙÁ"/>
          <w:lang w:eastAsia="en-US"/>
        </w:rPr>
        <w:t xml:space="preserve">The following table </w:t>
      </w:r>
      <w:r w:rsidRPr="00CF31E0">
        <w:rPr>
          <w:lang w:eastAsia="en-US"/>
        </w:rPr>
        <w:t>illustrates</w:t>
      </w:r>
      <w:r w:rsidRPr="00CF31E0">
        <w:rPr>
          <w:rFonts w:eastAsia="Times New Roman"/>
          <w:lang w:eastAsia="zh-CN"/>
        </w:rPr>
        <w:t xml:space="preserve"> the eigenvalues of all the factors extracted</w:t>
      </w:r>
      <w:r w:rsidR="00FF08C0" w:rsidRPr="00CF31E0">
        <w:rPr>
          <w:rFonts w:eastAsia="Times New Roman"/>
          <w:lang w:eastAsia="zh-CN"/>
        </w:rPr>
        <w:t>.</w:t>
      </w:r>
    </w:p>
    <w:tbl>
      <w:tblPr>
        <w:tblW w:w="8080"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51"/>
        <w:gridCol w:w="709"/>
        <w:gridCol w:w="1134"/>
        <w:gridCol w:w="1275"/>
        <w:gridCol w:w="709"/>
        <w:gridCol w:w="1134"/>
        <w:gridCol w:w="1276"/>
        <w:gridCol w:w="992"/>
      </w:tblGrid>
      <w:tr w:rsidR="00366F75" w:rsidRPr="00CF31E0" w14:paraId="545A28C4" w14:textId="77777777" w:rsidTr="00366F75">
        <w:trPr>
          <w:trHeight w:val="1021"/>
        </w:trPr>
        <w:tc>
          <w:tcPr>
            <w:tcW w:w="851" w:type="dxa"/>
            <w:vMerge w:val="restart"/>
          </w:tcPr>
          <w:p w14:paraId="7C4D074B" w14:textId="77777777" w:rsidR="00A23C2A" w:rsidRPr="00CF31E0" w:rsidRDefault="00A23C2A" w:rsidP="00A23C2A">
            <w:pPr>
              <w:widowControl w:val="0"/>
              <w:autoSpaceDE w:val="0"/>
              <w:autoSpaceDN w:val="0"/>
              <w:adjustRightInd w:val="0"/>
              <w:spacing w:before="120" w:after="240" w:line="360" w:lineRule="auto"/>
              <w:ind w:left="-8"/>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Factor</w:t>
            </w:r>
          </w:p>
          <w:p w14:paraId="321DD437" w14:textId="77777777" w:rsidR="00A23C2A" w:rsidRPr="00CF31E0" w:rsidRDefault="00A23C2A" w:rsidP="00A23C2A">
            <w:pPr>
              <w:widowControl w:val="0"/>
              <w:autoSpaceDE w:val="0"/>
              <w:autoSpaceDN w:val="0"/>
              <w:adjustRightInd w:val="0"/>
              <w:spacing w:before="120" w:after="240" w:line="360" w:lineRule="auto"/>
              <w:ind w:left="-8"/>
              <w:jc w:val="both"/>
              <w:rPr>
                <w:rFonts w:eastAsia="Times New Roman"/>
                <w:color w:val="000000" w:themeColor="text1"/>
                <w:sz w:val="22"/>
                <w:szCs w:val="22"/>
                <w:lang w:eastAsia="zh-CN"/>
              </w:rPr>
            </w:pPr>
          </w:p>
        </w:tc>
        <w:tc>
          <w:tcPr>
            <w:tcW w:w="3118" w:type="dxa"/>
            <w:gridSpan w:val="3"/>
          </w:tcPr>
          <w:p w14:paraId="1A2FC701" w14:textId="77777777" w:rsidR="00A23C2A" w:rsidRPr="00CF31E0" w:rsidRDefault="00A23C2A" w:rsidP="00A23C2A">
            <w:pPr>
              <w:widowControl w:val="0"/>
              <w:autoSpaceDE w:val="0"/>
              <w:autoSpaceDN w:val="0"/>
              <w:adjustRightInd w:val="0"/>
              <w:spacing w:before="120" w:after="240" w:line="360" w:lineRule="auto"/>
              <w:ind w:left="-8"/>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Initial Eigenvalue</w:t>
            </w:r>
          </w:p>
        </w:tc>
        <w:tc>
          <w:tcPr>
            <w:tcW w:w="3119" w:type="dxa"/>
            <w:gridSpan w:val="3"/>
          </w:tcPr>
          <w:p w14:paraId="26CF4E85" w14:textId="77777777" w:rsidR="00A23C2A" w:rsidRPr="00CF31E0" w:rsidRDefault="00A23C2A" w:rsidP="00A23C2A">
            <w:pPr>
              <w:widowControl w:val="0"/>
              <w:autoSpaceDE w:val="0"/>
              <w:autoSpaceDN w:val="0"/>
              <w:adjustRightInd w:val="0"/>
              <w:spacing w:before="120" w:after="240" w:line="360" w:lineRule="auto"/>
              <w:ind w:left="-8"/>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Extraction Sums of Squared Loadings</w:t>
            </w:r>
          </w:p>
        </w:tc>
        <w:tc>
          <w:tcPr>
            <w:tcW w:w="992" w:type="dxa"/>
          </w:tcPr>
          <w:p w14:paraId="0711E3BB" w14:textId="77777777" w:rsidR="00A23C2A" w:rsidRPr="00CF31E0" w:rsidRDefault="00A23C2A" w:rsidP="00A23C2A">
            <w:pPr>
              <w:widowControl w:val="0"/>
              <w:autoSpaceDE w:val="0"/>
              <w:autoSpaceDN w:val="0"/>
              <w:adjustRightInd w:val="0"/>
              <w:spacing w:before="120" w:after="240" w:line="360" w:lineRule="auto"/>
              <w:ind w:left="-8"/>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Rotation Sums of Squared Loadings</w:t>
            </w:r>
          </w:p>
        </w:tc>
      </w:tr>
      <w:tr w:rsidR="00366F75" w:rsidRPr="00CF31E0" w14:paraId="6C398EB1" w14:textId="77777777" w:rsidTr="004F45D7">
        <w:trPr>
          <w:trHeight w:val="690"/>
        </w:trPr>
        <w:tc>
          <w:tcPr>
            <w:tcW w:w="851" w:type="dxa"/>
            <w:vMerge/>
          </w:tcPr>
          <w:p w14:paraId="21DACB03" w14:textId="77777777" w:rsidR="00A23C2A" w:rsidRPr="00CF31E0" w:rsidRDefault="00A23C2A" w:rsidP="00A23C2A">
            <w:pPr>
              <w:widowControl w:val="0"/>
              <w:autoSpaceDE w:val="0"/>
              <w:autoSpaceDN w:val="0"/>
              <w:adjustRightInd w:val="0"/>
              <w:spacing w:before="120" w:after="240" w:line="360" w:lineRule="auto"/>
              <w:ind w:left="-8"/>
              <w:jc w:val="both"/>
              <w:rPr>
                <w:rFonts w:eastAsia="Times New Roman"/>
                <w:color w:val="000000" w:themeColor="text1"/>
                <w:sz w:val="22"/>
                <w:szCs w:val="22"/>
                <w:lang w:eastAsia="zh-CN"/>
              </w:rPr>
            </w:pPr>
          </w:p>
        </w:tc>
        <w:tc>
          <w:tcPr>
            <w:tcW w:w="709" w:type="dxa"/>
          </w:tcPr>
          <w:p w14:paraId="61AAE377" w14:textId="77777777" w:rsidR="00A23C2A" w:rsidRPr="00CF31E0" w:rsidRDefault="00A23C2A" w:rsidP="00603CB7">
            <w:pPr>
              <w:spacing w:before="120" w:after="240" w:line="276" w:lineRule="auto"/>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Total</w:t>
            </w:r>
          </w:p>
        </w:tc>
        <w:tc>
          <w:tcPr>
            <w:tcW w:w="1134" w:type="dxa"/>
          </w:tcPr>
          <w:p w14:paraId="73E540F7" w14:textId="77777777" w:rsidR="00A23C2A" w:rsidRPr="00CF31E0" w:rsidRDefault="00A23C2A" w:rsidP="00603CB7">
            <w:pPr>
              <w:spacing w:before="120" w:after="240" w:line="276" w:lineRule="auto"/>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 of Variance</w:t>
            </w:r>
          </w:p>
        </w:tc>
        <w:tc>
          <w:tcPr>
            <w:tcW w:w="1275" w:type="dxa"/>
          </w:tcPr>
          <w:p w14:paraId="3CFA43C9" w14:textId="77777777" w:rsidR="00A23C2A" w:rsidRPr="00CF31E0" w:rsidRDefault="00A23C2A" w:rsidP="00603CB7">
            <w:pPr>
              <w:spacing w:before="120" w:after="240" w:line="276" w:lineRule="auto"/>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Cumulative %</w:t>
            </w:r>
          </w:p>
        </w:tc>
        <w:tc>
          <w:tcPr>
            <w:tcW w:w="709" w:type="dxa"/>
          </w:tcPr>
          <w:p w14:paraId="680739D4" w14:textId="77777777" w:rsidR="00A23C2A" w:rsidRPr="00CF31E0" w:rsidRDefault="00A23C2A" w:rsidP="00603CB7">
            <w:pPr>
              <w:spacing w:before="120" w:after="240" w:line="276" w:lineRule="auto"/>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Total</w:t>
            </w:r>
          </w:p>
        </w:tc>
        <w:tc>
          <w:tcPr>
            <w:tcW w:w="1134" w:type="dxa"/>
          </w:tcPr>
          <w:p w14:paraId="7842629D" w14:textId="77777777" w:rsidR="00A23C2A" w:rsidRPr="00CF31E0" w:rsidRDefault="00A23C2A" w:rsidP="00603CB7">
            <w:pPr>
              <w:spacing w:before="120" w:after="240" w:line="276" w:lineRule="auto"/>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 of Variance</w:t>
            </w:r>
          </w:p>
        </w:tc>
        <w:tc>
          <w:tcPr>
            <w:tcW w:w="1276" w:type="dxa"/>
          </w:tcPr>
          <w:p w14:paraId="25CE10C1" w14:textId="77777777" w:rsidR="00A23C2A" w:rsidRPr="00CF31E0" w:rsidRDefault="00A23C2A" w:rsidP="00603CB7">
            <w:pPr>
              <w:spacing w:before="120" w:after="240" w:line="276" w:lineRule="auto"/>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Cumulative %</w:t>
            </w:r>
          </w:p>
        </w:tc>
        <w:tc>
          <w:tcPr>
            <w:tcW w:w="992" w:type="dxa"/>
          </w:tcPr>
          <w:p w14:paraId="6D658F5B" w14:textId="77777777" w:rsidR="00A23C2A" w:rsidRPr="00CF31E0" w:rsidRDefault="00A23C2A" w:rsidP="00603CB7">
            <w:pPr>
              <w:spacing w:before="120" w:after="240" w:line="276" w:lineRule="auto"/>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Total</w:t>
            </w:r>
          </w:p>
        </w:tc>
      </w:tr>
      <w:tr w:rsidR="00366F75" w:rsidRPr="00CF31E0" w14:paraId="6A051C52" w14:textId="77777777" w:rsidTr="004F45D7">
        <w:tblPrEx>
          <w:tblCellMar>
            <w:left w:w="0" w:type="dxa"/>
            <w:right w:w="0" w:type="dxa"/>
          </w:tblCellMar>
        </w:tblPrEx>
        <w:tc>
          <w:tcPr>
            <w:tcW w:w="851" w:type="dxa"/>
            <w:shd w:val="clear" w:color="auto" w:fill="FFFFFF"/>
            <w:tcMar>
              <w:top w:w="0" w:type="dxa"/>
              <w:left w:w="75" w:type="dxa"/>
              <w:bottom w:w="0" w:type="dxa"/>
              <w:right w:w="75" w:type="dxa"/>
            </w:tcMar>
            <w:hideMark/>
          </w:tcPr>
          <w:p w14:paraId="77240712" w14:textId="77777777" w:rsidR="00A23C2A" w:rsidRPr="00CF31E0" w:rsidRDefault="00A23C2A" w:rsidP="00A23C2A">
            <w:pPr>
              <w:spacing w:line="240" w:lineRule="atLeast"/>
              <w:ind w:left="45"/>
              <w:rPr>
                <w:rFonts w:eastAsia="Calibri"/>
                <w:color w:val="000000" w:themeColor="text1"/>
                <w:sz w:val="22"/>
                <w:szCs w:val="22"/>
              </w:rPr>
            </w:pPr>
            <w:r w:rsidRPr="00CF31E0">
              <w:rPr>
                <w:rFonts w:eastAsia="Calibri"/>
                <w:color w:val="000000" w:themeColor="text1"/>
                <w:sz w:val="22"/>
                <w:szCs w:val="22"/>
              </w:rPr>
              <w:t>1</w:t>
            </w:r>
          </w:p>
        </w:tc>
        <w:tc>
          <w:tcPr>
            <w:tcW w:w="709" w:type="dxa"/>
            <w:shd w:val="clear" w:color="auto" w:fill="FFFFFF"/>
            <w:tcMar>
              <w:top w:w="0" w:type="dxa"/>
              <w:left w:w="75" w:type="dxa"/>
              <w:bottom w:w="0" w:type="dxa"/>
              <w:right w:w="75" w:type="dxa"/>
            </w:tcMar>
            <w:vAlign w:val="center"/>
            <w:hideMark/>
          </w:tcPr>
          <w:p w14:paraId="3C303799"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4.609</w:t>
            </w:r>
          </w:p>
        </w:tc>
        <w:tc>
          <w:tcPr>
            <w:tcW w:w="1134" w:type="dxa"/>
            <w:shd w:val="clear" w:color="auto" w:fill="FFFFFF"/>
            <w:tcMar>
              <w:top w:w="0" w:type="dxa"/>
              <w:left w:w="75" w:type="dxa"/>
              <w:bottom w:w="0" w:type="dxa"/>
              <w:right w:w="75" w:type="dxa"/>
            </w:tcMar>
            <w:vAlign w:val="center"/>
            <w:hideMark/>
          </w:tcPr>
          <w:p w14:paraId="20D1BE61"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30.729</w:t>
            </w:r>
          </w:p>
        </w:tc>
        <w:tc>
          <w:tcPr>
            <w:tcW w:w="1275" w:type="dxa"/>
            <w:shd w:val="clear" w:color="auto" w:fill="FFFFFF"/>
            <w:tcMar>
              <w:top w:w="0" w:type="dxa"/>
              <w:left w:w="75" w:type="dxa"/>
              <w:bottom w:w="0" w:type="dxa"/>
              <w:right w:w="75" w:type="dxa"/>
            </w:tcMar>
            <w:vAlign w:val="center"/>
            <w:hideMark/>
          </w:tcPr>
          <w:p w14:paraId="298141E4"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30.729</w:t>
            </w:r>
          </w:p>
        </w:tc>
        <w:tc>
          <w:tcPr>
            <w:tcW w:w="709" w:type="dxa"/>
            <w:shd w:val="clear" w:color="auto" w:fill="FFFFFF"/>
            <w:tcMar>
              <w:top w:w="0" w:type="dxa"/>
              <w:left w:w="75" w:type="dxa"/>
              <w:bottom w:w="0" w:type="dxa"/>
              <w:right w:w="75" w:type="dxa"/>
            </w:tcMar>
            <w:vAlign w:val="center"/>
            <w:hideMark/>
          </w:tcPr>
          <w:p w14:paraId="5EC99993"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4.114</w:t>
            </w:r>
          </w:p>
        </w:tc>
        <w:tc>
          <w:tcPr>
            <w:tcW w:w="1134" w:type="dxa"/>
            <w:shd w:val="clear" w:color="auto" w:fill="FFFFFF"/>
            <w:tcMar>
              <w:top w:w="0" w:type="dxa"/>
              <w:left w:w="75" w:type="dxa"/>
              <w:bottom w:w="0" w:type="dxa"/>
              <w:right w:w="75" w:type="dxa"/>
            </w:tcMar>
            <w:vAlign w:val="center"/>
            <w:hideMark/>
          </w:tcPr>
          <w:p w14:paraId="77157CC2"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27.424</w:t>
            </w:r>
          </w:p>
        </w:tc>
        <w:tc>
          <w:tcPr>
            <w:tcW w:w="1276" w:type="dxa"/>
            <w:shd w:val="clear" w:color="auto" w:fill="FFFFFF"/>
            <w:tcMar>
              <w:top w:w="0" w:type="dxa"/>
              <w:left w:w="75" w:type="dxa"/>
              <w:bottom w:w="0" w:type="dxa"/>
              <w:right w:w="75" w:type="dxa"/>
            </w:tcMar>
            <w:vAlign w:val="center"/>
            <w:hideMark/>
          </w:tcPr>
          <w:p w14:paraId="0E600EF3"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27.424</w:t>
            </w:r>
          </w:p>
        </w:tc>
        <w:tc>
          <w:tcPr>
            <w:tcW w:w="992" w:type="dxa"/>
            <w:shd w:val="clear" w:color="auto" w:fill="FFFFFF"/>
            <w:tcMar>
              <w:top w:w="0" w:type="dxa"/>
              <w:left w:w="75" w:type="dxa"/>
              <w:bottom w:w="0" w:type="dxa"/>
              <w:right w:w="75" w:type="dxa"/>
            </w:tcMar>
            <w:vAlign w:val="center"/>
            <w:hideMark/>
          </w:tcPr>
          <w:p w14:paraId="162A261E"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4.001</w:t>
            </w:r>
          </w:p>
        </w:tc>
      </w:tr>
      <w:tr w:rsidR="00366F75" w:rsidRPr="00CF31E0" w14:paraId="562970E1" w14:textId="77777777" w:rsidTr="004F45D7">
        <w:tblPrEx>
          <w:tblCellMar>
            <w:left w:w="0" w:type="dxa"/>
            <w:right w:w="0" w:type="dxa"/>
          </w:tblCellMar>
        </w:tblPrEx>
        <w:trPr>
          <w:trHeight w:val="269"/>
        </w:trPr>
        <w:tc>
          <w:tcPr>
            <w:tcW w:w="851" w:type="dxa"/>
            <w:shd w:val="clear" w:color="auto" w:fill="FFFFFF"/>
            <w:tcMar>
              <w:top w:w="0" w:type="dxa"/>
              <w:left w:w="75" w:type="dxa"/>
              <w:bottom w:w="0" w:type="dxa"/>
              <w:right w:w="75" w:type="dxa"/>
            </w:tcMar>
            <w:hideMark/>
          </w:tcPr>
          <w:p w14:paraId="611C644E" w14:textId="77777777" w:rsidR="00A23C2A" w:rsidRPr="00CF31E0" w:rsidRDefault="00A23C2A" w:rsidP="00A23C2A">
            <w:pPr>
              <w:spacing w:line="240" w:lineRule="atLeast"/>
              <w:ind w:left="45"/>
              <w:rPr>
                <w:rFonts w:eastAsia="Calibri"/>
                <w:color w:val="000000" w:themeColor="text1"/>
                <w:sz w:val="22"/>
                <w:szCs w:val="22"/>
              </w:rPr>
            </w:pPr>
            <w:r w:rsidRPr="00CF31E0">
              <w:rPr>
                <w:rFonts w:eastAsia="Calibri"/>
                <w:color w:val="000000" w:themeColor="text1"/>
                <w:sz w:val="22"/>
                <w:szCs w:val="22"/>
              </w:rPr>
              <w:t>2</w:t>
            </w:r>
          </w:p>
        </w:tc>
        <w:tc>
          <w:tcPr>
            <w:tcW w:w="709" w:type="dxa"/>
            <w:shd w:val="clear" w:color="auto" w:fill="FFFFFF"/>
            <w:tcMar>
              <w:top w:w="0" w:type="dxa"/>
              <w:left w:w="75" w:type="dxa"/>
              <w:bottom w:w="0" w:type="dxa"/>
              <w:right w:w="75" w:type="dxa"/>
            </w:tcMar>
            <w:vAlign w:val="center"/>
            <w:hideMark/>
          </w:tcPr>
          <w:p w14:paraId="19410178"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2.675</w:t>
            </w:r>
          </w:p>
        </w:tc>
        <w:tc>
          <w:tcPr>
            <w:tcW w:w="1134" w:type="dxa"/>
            <w:shd w:val="clear" w:color="auto" w:fill="FFFFFF"/>
            <w:tcMar>
              <w:top w:w="0" w:type="dxa"/>
              <w:left w:w="75" w:type="dxa"/>
              <w:bottom w:w="0" w:type="dxa"/>
              <w:right w:w="75" w:type="dxa"/>
            </w:tcMar>
            <w:vAlign w:val="center"/>
            <w:hideMark/>
          </w:tcPr>
          <w:p w14:paraId="6DE2191B"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17.835</w:t>
            </w:r>
          </w:p>
        </w:tc>
        <w:tc>
          <w:tcPr>
            <w:tcW w:w="1275" w:type="dxa"/>
            <w:shd w:val="clear" w:color="auto" w:fill="FFFFFF"/>
            <w:tcMar>
              <w:top w:w="0" w:type="dxa"/>
              <w:left w:w="75" w:type="dxa"/>
              <w:bottom w:w="0" w:type="dxa"/>
              <w:right w:w="75" w:type="dxa"/>
            </w:tcMar>
            <w:vAlign w:val="center"/>
            <w:hideMark/>
          </w:tcPr>
          <w:p w14:paraId="15EA09B6"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48.564</w:t>
            </w:r>
          </w:p>
        </w:tc>
        <w:tc>
          <w:tcPr>
            <w:tcW w:w="709" w:type="dxa"/>
            <w:shd w:val="clear" w:color="auto" w:fill="FFFFFF"/>
            <w:tcMar>
              <w:top w:w="0" w:type="dxa"/>
              <w:left w:w="75" w:type="dxa"/>
              <w:bottom w:w="0" w:type="dxa"/>
              <w:right w:w="75" w:type="dxa"/>
            </w:tcMar>
            <w:vAlign w:val="center"/>
            <w:hideMark/>
          </w:tcPr>
          <w:p w14:paraId="4E8349FB"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2.120</w:t>
            </w:r>
          </w:p>
        </w:tc>
        <w:tc>
          <w:tcPr>
            <w:tcW w:w="1134" w:type="dxa"/>
            <w:shd w:val="clear" w:color="auto" w:fill="FFFFFF"/>
            <w:tcMar>
              <w:top w:w="0" w:type="dxa"/>
              <w:left w:w="75" w:type="dxa"/>
              <w:bottom w:w="0" w:type="dxa"/>
              <w:right w:w="75" w:type="dxa"/>
            </w:tcMar>
            <w:vAlign w:val="center"/>
            <w:hideMark/>
          </w:tcPr>
          <w:p w14:paraId="1DBA0B3C"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14.135</w:t>
            </w:r>
          </w:p>
        </w:tc>
        <w:tc>
          <w:tcPr>
            <w:tcW w:w="1276" w:type="dxa"/>
            <w:shd w:val="clear" w:color="auto" w:fill="FFFFFF"/>
            <w:tcMar>
              <w:top w:w="0" w:type="dxa"/>
              <w:left w:w="75" w:type="dxa"/>
              <w:bottom w:w="0" w:type="dxa"/>
              <w:right w:w="75" w:type="dxa"/>
            </w:tcMar>
            <w:vAlign w:val="center"/>
            <w:hideMark/>
          </w:tcPr>
          <w:p w14:paraId="054DC99A"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41.558</w:t>
            </w:r>
          </w:p>
        </w:tc>
        <w:tc>
          <w:tcPr>
            <w:tcW w:w="992" w:type="dxa"/>
            <w:shd w:val="clear" w:color="auto" w:fill="FFFFFF"/>
            <w:tcMar>
              <w:top w:w="0" w:type="dxa"/>
              <w:left w:w="75" w:type="dxa"/>
              <w:bottom w:w="0" w:type="dxa"/>
              <w:right w:w="75" w:type="dxa"/>
            </w:tcMar>
            <w:vAlign w:val="center"/>
            <w:hideMark/>
          </w:tcPr>
          <w:p w14:paraId="143BD364"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2.435</w:t>
            </w:r>
          </w:p>
        </w:tc>
      </w:tr>
      <w:tr w:rsidR="00366F75" w:rsidRPr="00CF31E0" w14:paraId="373823A3" w14:textId="77777777" w:rsidTr="004F45D7">
        <w:tblPrEx>
          <w:tblCellMar>
            <w:left w:w="0" w:type="dxa"/>
            <w:right w:w="0" w:type="dxa"/>
          </w:tblCellMar>
        </w:tblPrEx>
        <w:tc>
          <w:tcPr>
            <w:tcW w:w="851" w:type="dxa"/>
            <w:shd w:val="clear" w:color="auto" w:fill="FFFFFF"/>
            <w:tcMar>
              <w:top w:w="0" w:type="dxa"/>
              <w:left w:w="75" w:type="dxa"/>
              <w:bottom w:w="0" w:type="dxa"/>
              <w:right w:w="75" w:type="dxa"/>
            </w:tcMar>
            <w:hideMark/>
          </w:tcPr>
          <w:p w14:paraId="0EDC4181" w14:textId="77777777" w:rsidR="00A23C2A" w:rsidRPr="00CF31E0" w:rsidRDefault="00A23C2A" w:rsidP="00A23C2A">
            <w:pPr>
              <w:spacing w:line="240" w:lineRule="atLeast"/>
              <w:ind w:left="45"/>
              <w:rPr>
                <w:rFonts w:eastAsia="Calibri"/>
                <w:color w:val="000000" w:themeColor="text1"/>
                <w:sz w:val="22"/>
                <w:szCs w:val="22"/>
              </w:rPr>
            </w:pPr>
            <w:r w:rsidRPr="00CF31E0">
              <w:rPr>
                <w:rFonts w:eastAsia="Calibri"/>
                <w:color w:val="000000" w:themeColor="text1"/>
                <w:sz w:val="22"/>
                <w:szCs w:val="22"/>
              </w:rPr>
              <w:t>3</w:t>
            </w:r>
          </w:p>
        </w:tc>
        <w:tc>
          <w:tcPr>
            <w:tcW w:w="709" w:type="dxa"/>
            <w:shd w:val="clear" w:color="auto" w:fill="FFFFFF"/>
            <w:tcMar>
              <w:top w:w="0" w:type="dxa"/>
              <w:left w:w="75" w:type="dxa"/>
              <w:bottom w:w="0" w:type="dxa"/>
              <w:right w:w="75" w:type="dxa"/>
            </w:tcMar>
            <w:vAlign w:val="center"/>
            <w:hideMark/>
          </w:tcPr>
          <w:p w14:paraId="32C9BC91"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1.124</w:t>
            </w:r>
          </w:p>
        </w:tc>
        <w:tc>
          <w:tcPr>
            <w:tcW w:w="1134" w:type="dxa"/>
            <w:shd w:val="clear" w:color="auto" w:fill="FFFFFF"/>
            <w:tcMar>
              <w:top w:w="0" w:type="dxa"/>
              <w:left w:w="75" w:type="dxa"/>
              <w:bottom w:w="0" w:type="dxa"/>
              <w:right w:w="75" w:type="dxa"/>
            </w:tcMar>
            <w:vAlign w:val="center"/>
            <w:hideMark/>
          </w:tcPr>
          <w:p w14:paraId="0053E431"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7.493</w:t>
            </w:r>
          </w:p>
        </w:tc>
        <w:tc>
          <w:tcPr>
            <w:tcW w:w="1275" w:type="dxa"/>
            <w:shd w:val="clear" w:color="auto" w:fill="FFFFFF"/>
            <w:tcMar>
              <w:top w:w="0" w:type="dxa"/>
              <w:left w:w="75" w:type="dxa"/>
              <w:bottom w:w="0" w:type="dxa"/>
              <w:right w:w="75" w:type="dxa"/>
            </w:tcMar>
            <w:vAlign w:val="center"/>
            <w:hideMark/>
          </w:tcPr>
          <w:p w14:paraId="2D65D34A"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56.057</w:t>
            </w:r>
          </w:p>
        </w:tc>
        <w:tc>
          <w:tcPr>
            <w:tcW w:w="709" w:type="dxa"/>
            <w:shd w:val="clear" w:color="auto" w:fill="FFFFFF"/>
            <w:tcMar>
              <w:top w:w="0" w:type="dxa"/>
              <w:left w:w="75" w:type="dxa"/>
              <w:bottom w:w="0" w:type="dxa"/>
              <w:right w:w="75" w:type="dxa"/>
            </w:tcMar>
            <w:vAlign w:val="center"/>
            <w:hideMark/>
          </w:tcPr>
          <w:p w14:paraId="36678D29"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.564</w:t>
            </w:r>
          </w:p>
        </w:tc>
        <w:tc>
          <w:tcPr>
            <w:tcW w:w="1134" w:type="dxa"/>
            <w:shd w:val="clear" w:color="auto" w:fill="FFFFFF"/>
            <w:tcMar>
              <w:top w:w="0" w:type="dxa"/>
              <w:left w:w="75" w:type="dxa"/>
              <w:bottom w:w="0" w:type="dxa"/>
              <w:right w:w="75" w:type="dxa"/>
            </w:tcMar>
            <w:vAlign w:val="center"/>
            <w:hideMark/>
          </w:tcPr>
          <w:p w14:paraId="3D9F2680"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3.762</w:t>
            </w:r>
          </w:p>
        </w:tc>
        <w:tc>
          <w:tcPr>
            <w:tcW w:w="1276" w:type="dxa"/>
            <w:shd w:val="clear" w:color="auto" w:fill="FFFFFF"/>
            <w:tcMar>
              <w:top w:w="0" w:type="dxa"/>
              <w:left w:w="75" w:type="dxa"/>
              <w:bottom w:w="0" w:type="dxa"/>
              <w:right w:w="75" w:type="dxa"/>
            </w:tcMar>
            <w:vAlign w:val="center"/>
            <w:hideMark/>
          </w:tcPr>
          <w:p w14:paraId="1D94D6B7"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45.320</w:t>
            </w:r>
          </w:p>
        </w:tc>
        <w:tc>
          <w:tcPr>
            <w:tcW w:w="992" w:type="dxa"/>
            <w:shd w:val="clear" w:color="auto" w:fill="FFFFFF"/>
            <w:tcMar>
              <w:top w:w="0" w:type="dxa"/>
              <w:left w:w="75" w:type="dxa"/>
              <w:bottom w:w="0" w:type="dxa"/>
              <w:right w:w="75" w:type="dxa"/>
            </w:tcMar>
            <w:vAlign w:val="center"/>
            <w:hideMark/>
          </w:tcPr>
          <w:p w14:paraId="71FDF8A1"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1.040</w:t>
            </w:r>
          </w:p>
        </w:tc>
      </w:tr>
      <w:tr w:rsidR="00366F75" w:rsidRPr="00CF31E0" w14:paraId="0752A984" w14:textId="77777777" w:rsidTr="004F45D7">
        <w:tblPrEx>
          <w:tblCellMar>
            <w:left w:w="0" w:type="dxa"/>
            <w:right w:w="0" w:type="dxa"/>
          </w:tblCellMar>
        </w:tblPrEx>
        <w:tc>
          <w:tcPr>
            <w:tcW w:w="851" w:type="dxa"/>
            <w:shd w:val="clear" w:color="auto" w:fill="FFFFFF"/>
            <w:tcMar>
              <w:top w:w="0" w:type="dxa"/>
              <w:left w:w="75" w:type="dxa"/>
              <w:bottom w:w="0" w:type="dxa"/>
              <w:right w:w="75" w:type="dxa"/>
            </w:tcMar>
            <w:hideMark/>
          </w:tcPr>
          <w:p w14:paraId="7FBBF44F" w14:textId="77777777" w:rsidR="00A23C2A" w:rsidRPr="00CF31E0" w:rsidRDefault="00A23C2A" w:rsidP="00A23C2A">
            <w:pPr>
              <w:spacing w:line="240" w:lineRule="atLeast"/>
              <w:ind w:left="45"/>
              <w:rPr>
                <w:rFonts w:eastAsia="Calibri"/>
                <w:color w:val="000000" w:themeColor="text1"/>
                <w:sz w:val="22"/>
                <w:szCs w:val="22"/>
              </w:rPr>
            </w:pPr>
            <w:r w:rsidRPr="00CF31E0">
              <w:rPr>
                <w:rFonts w:eastAsia="Calibri"/>
                <w:color w:val="000000" w:themeColor="text1"/>
                <w:sz w:val="22"/>
                <w:szCs w:val="22"/>
              </w:rPr>
              <w:t>4</w:t>
            </w:r>
          </w:p>
        </w:tc>
        <w:tc>
          <w:tcPr>
            <w:tcW w:w="709" w:type="dxa"/>
            <w:shd w:val="clear" w:color="auto" w:fill="FFFFFF"/>
            <w:tcMar>
              <w:top w:w="0" w:type="dxa"/>
              <w:left w:w="75" w:type="dxa"/>
              <w:bottom w:w="0" w:type="dxa"/>
              <w:right w:w="75" w:type="dxa"/>
            </w:tcMar>
            <w:vAlign w:val="center"/>
            <w:hideMark/>
          </w:tcPr>
          <w:p w14:paraId="68988191"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.814</w:t>
            </w:r>
          </w:p>
        </w:tc>
        <w:tc>
          <w:tcPr>
            <w:tcW w:w="1134" w:type="dxa"/>
            <w:shd w:val="clear" w:color="auto" w:fill="FFFFFF"/>
            <w:tcMar>
              <w:top w:w="0" w:type="dxa"/>
              <w:left w:w="75" w:type="dxa"/>
              <w:bottom w:w="0" w:type="dxa"/>
              <w:right w:w="75" w:type="dxa"/>
            </w:tcMar>
            <w:vAlign w:val="center"/>
            <w:hideMark/>
          </w:tcPr>
          <w:p w14:paraId="3DAF9615"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5.425</w:t>
            </w:r>
          </w:p>
        </w:tc>
        <w:tc>
          <w:tcPr>
            <w:tcW w:w="1275" w:type="dxa"/>
            <w:shd w:val="clear" w:color="auto" w:fill="FFFFFF"/>
            <w:tcMar>
              <w:top w:w="0" w:type="dxa"/>
              <w:left w:w="75" w:type="dxa"/>
              <w:bottom w:w="0" w:type="dxa"/>
              <w:right w:w="75" w:type="dxa"/>
            </w:tcMar>
            <w:vAlign w:val="center"/>
            <w:hideMark/>
          </w:tcPr>
          <w:p w14:paraId="141D6784"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61.482</w:t>
            </w:r>
          </w:p>
        </w:tc>
        <w:tc>
          <w:tcPr>
            <w:tcW w:w="709" w:type="dxa"/>
            <w:shd w:val="clear" w:color="auto" w:fill="FFFFFF"/>
            <w:tcMar>
              <w:top w:w="0" w:type="dxa"/>
              <w:left w:w="75" w:type="dxa"/>
              <w:bottom w:w="0" w:type="dxa"/>
              <w:right w:w="75" w:type="dxa"/>
            </w:tcMar>
            <w:vAlign w:val="center"/>
            <w:hideMark/>
          </w:tcPr>
          <w:p w14:paraId="4718FC28" w14:textId="77777777" w:rsidR="00A23C2A" w:rsidRPr="00CF31E0" w:rsidRDefault="00A23C2A" w:rsidP="00603CB7">
            <w:pPr>
              <w:jc w:val="right"/>
              <w:rPr>
                <w:rFonts w:eastAsia="Calibri"/>
                <w:color w:val="000000" w:themeColor="text1"/>
                <w:sz w:val="22"/>
                <w:szCs w:val="22"/>
              </w:rPr>
            </w:pPr>
          </w:p>
        </w:tc>
        <w:tc>
          <w:tcPr>
            <w:tcW w:w="1134" w:type="dxa"/>
            <w:shd w:val="clear" w:color="auto" w:fill="FFFFFF"/>
            <w:tcMar>
              <w:top w:w="0" w:type="dxa"/>
              <w:left w:w="75" w:type="dxa"/>
              <w:bottom w:w="0" w:type="dxa"/>
              <w:right w:w="75" w:type="dxa"/>
            </w:tcMar>
            <w:vAlign w:val="center"/>
            <w:hideMark/>
          </w:tcPr>
          <w:p w14:paraId="248E7621" w14:textId="77777777" w:rsidR="00A23C2A" w:rsidRPr="00CF31E0" w:rsidRDefault="00A23C2A" w:rsidP="00603CB7">
            <w:pPr>
              <w:jc w:val="right"/>
              <w:rPr>
                <w:rFonts w:eastAsia="Calibri"/>
                <w:color w:val="000000" w:themeColor="text1"/>
                <w:sz w:val="22"/>
                <w:szCs w:val="22"/>
              </w:rPr>
            </w:pPr>
          </w:p>
        </w:tc>
        <w:tc>
          <w:tcPr>
            <w:tcW w:w="1276" w:type="dxa"/>
            <w:shd w:val="clear" w:color="auto" w:fill="FFFFFF"/>
            <w:tcMar>
              <w:top w:w="0" w:type="dxa"/>
              <w:left w:w="75" w:type="dxa"/>
              <w:bottom w:w="0" w:type="dxa"/>
              <w:right w:w="75" w:type="dxa"/>
            </w:tcMar>
            <w:vAlign w:val="center"/>
            <w:hideMark/>
          </w:tcPr>
          <w:p w14:paraId="0856A389" w14:textId="77777777" w:rsidR="00A23C2A" w:rsidRPr="00CF31E0" w:rsidRDefault="00A23C2A" w:rsidP="00603CB7">
            <w:pPr>
              <w:jc w:val="right"/>
              <w:rPr>
                <w:rFonts w:eastAsia="Calibri"/>
                <w:color w:val="000000" w:themeColor="text1"/>
                <w:sz w:val="22"/>
                <w:szCs w:val="22"/>
              </w:rPr>
            </w:pPr>
          </w:p>
        </w:tc>
        <w:tc>
          <w:tcPr>
            <w:tcW w:w="992" w:type="dxa"/>
            <w:shd w:val="clear" w:color="auto" w:fill="FFFFFF"/>
            <w:tcMar>
              <w:top w:w="0" w:type="dxa"/>
              <w:left w:w="75" w:type="dxa"/>
              <w:bottom w:w="0" w:type="dxa"/>
              <w:right w:w="75" w:type="dxa"/>
            </w:tcMar>
            <w:vAlign w:val="center"/>
            <w:hideMark/>
          </w:tcPr>
          <w:p w14:paraId="7ECC868C" w14:textId="77777777" w:rsidR="00A23C2A" w:rsidRPr="00CF31E0" w:rsidRDefault="00A23C2A" w:rsidP="00603CB7">
            <w:pPr>
              <w:jc w:val="right"/>
              <w:rPr>
                <w:rFonts w:eastAsia="Calibri"/>
                <w:color w:val="000000" w:themeColor="text1"/>
                <w:sz w:val="22"/>
                <w:szCs w:val="22"/>
              </w:rPr>
            </w:pPr>
          </w:p>
        </w:tc>
      </w:tr>
      <w:tr w:rsidR="00366F75" w:rsidRPr="00CF31E0" w14:paraId="65101223" w14:textId="77777777" w:rsidTr="004F45D7">
        <w:tblPrEx>
          <w:tblCellMar>
            <w:left w:w="0" w:type="dxa"/>
            <w:right w:w="0" w:type="dxa"/>
          </w:tblCellMar>
        </w:tblPrEx>
        <w:tc>
          <w:tcPr>
            <w:tcW w:w="851" w:type="dxa"/>
            <w:shd w:val="clear" w:color="auto" w:fill="FFFFFF"/>
            <w:tcMar>
              <w:top w:w="0" w:type="dxa"/>
              <w:left w:w="75" w:type="dxa"/>
              <w:bottom w:w="0" w:type="dxa"/>
              <w:right w:w="75" w:type="dxa"/>
            </w:tcMar>
            <w:hideMark/>
          </w:tcPr>
          <w:p w14:paraId="093DDBC9" w14:textId="77777777" w:rsidR="00A23C2A" w:rsidRPr="00CF31E0" w:rsidRDefault="00A23C2A" w:rsidP="00A23C2A">
            <w:pPr>
              <w:spacing w:line="240" w:lineRule="atLeast"/>
              <w:ind w:left="45"/>
              <w:rPr>
                <w:rFonts w:eastAsia="Calibri"/>
                <w:color w:val="000000" w:themeColor="text1"/>
                <w:sz w:val="22"/>
                <w:szCs w:val="22"/>
              </w:rPr>
            </w:pPr>
            <w:r w:rsidRPr="00CF31E0">
              <w:rPr>
                <w:rFonts w:eastAsia="Calibri"/>
                <w:color w:val="000000" w:themeColor="text1"/>
                <w:sz w:val="22"/>
                <w:szCs w:val="22"/>
              </w:rPr>
              <w:t>5</w:t>
            </w:r>
          </w:p>
        </w:tc>
        <w:tc>
          <w:tcPr>
            <w:tcW w:w="709" w:type="dxa"/>
            <w:shd w:val="clear" w:color="auto" w:fill="FFFFFF"/>
            <w:tcMar>
              <w:top w:w="0" w:type="dxa"/>
              <w:left w:w="75" w:type="dxa"/>
              <w:bottom w:w="0" w:type="dxa"/>
              <w:right w:w="75" w:type="dxa"/>
            </w:tcMar>
            <w:vAlign w:val="center"/>
            <w:hideMark/>
          </w:tcPr>
          <w:p w14:paraId="252575A7"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.789</w:t>
            </w:r>
          </w:p>
        </w:tc>
        <w:tc>
          <w:tcPr>
            <w:tcW w:w="1134" w:type="dxa"/>
            <w:shd w:val="clear" w:color="auto" w:fill="FFFFFF"/>
            <w:tcMar>
              <w:top w:w="0" w:type="dxa"/>
              <w:left w:w="75" w:type="dxa"/>
              <w:bottom w:w="0" w:type="dxa"/>
              <w:right w:w="75" w:type="dxa"/>
            </w:tcMar>
            <w:vAlign w:val="center"/>
            <w:hideMark/>
          </w:tcPr>
          <w:p w14:paraId="291F5406"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5.258</w:t>
            </w:r>
          </w:p>
        </w:tc>
        <w:tc>
          <w:tcPr>
            <w:tcW w:w="1275" w:type="dxa"/>
            <w:shd w:val="clear" w:color="auto" w:fill="FFFFFF"/>
            <w:tcMar>
              <w:top w:w="0" w:type="dxa"/>
              <w:left w:w="75" w:type="dxa"/>
              <w:bottom w:w="0" w:type="dxa"/>
              <w:right w:w="75" w:type="dxa"/>
            </w:tcMar>
            <w:vAlign w:val="center"/>
            <w:hideMark/>
          </w:tcPr>
          <w:p w14:paraId="31E7212E"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66.740</w:t>
            </w:r>
          </w:p>
        </w:tc>
        <w:tc>
          <w:tcPr>
            <w:tcW w:w="709" w:type="dxa"/>
            <w:shd w:val="clear" w:color="auto" w:fill="FFFFFF"/>
            <w:tcMar>
              <w:top w:w="0" w:type="dxa"/>
              <w:left w:w="75" w:type="dxa"/>
              <w:bottom w:w="0" w:type="dxa"/>
              <w:right w:w="75" w:type="dxa"/>
            </w:tcMar>
            <w:vAlign w:val="center"/>
            <w:hideMark/>
          </w:tcPr>
          <w:p w14:paraId="0AF0A1A1" w14:textId="77777777" w:rsidR="00A23C2A" w:rsidRPr="00CF31E0" w:rsidRDefault="00A23C2A" w:rsidP="00603CB7">
            <w:pPr>
              <w:jc w:val="right"/>
              <w:rPr>
                <w:rFonts w:eastAsia="Calibri"/>
                <w:color w:val="000000" w:themeColor="text1"/>
                <w:sz w:val="22"/>
                <w:szCs w:val="22"/>
              </w:rPr>
            </w:pPr>
          </w:p>
        </w:tc>
        <w:tc>
          <w:tcPr>
            <w:tcW w:w="1134" w:type="dxa"/>
            <w:shd w:val="clear" w:color="auto" w:fill="FFFFFF"/>
            <w:tcMar>
              <w:top w:w="0" w:type="dxa"/>
              <w:left w:w="75" w:type="dxa"/>
              <w:bottom w:w="0" w:type="dxa"/>
              <w:right w:w="75" w:type="dxa"/>
            </w:tcMar>
            <w:vAlign w:val="center"/>
            <w:hideMark/>
          </w:tcPr>
          <w:p w14:paraId="4C754EA4" w14:textId="77777777" w:rsidR="00A23C2A" w:rsidRPr="00CF31E0" w:rsidRDefault="00A23C2A" w:rsidP="00603CB7">
            <w:pPr>
              <w:jc w:val="right"/>
              <w:rPr>
                <w:rFonts w:eastAsia="Calibri"/>
                <w:color w:val="000000" w:themeColor="text1"/>
                <w:sz w:val="22"/>
                <w:szCs w:val="22"/>
              </w:rPr>
            </w:pPr>
          </w:p>
        </w:tc>
        <w:tc>
          <w:tcPr>
            <w:tcW w:w="1276" w:type="dxa"/>
            <w:shd w:val="clear" w:color="auto" w:fill="FFFFFF"/>
            <w:tcMar>
              <w:top w:w="0" w:type="dxa"/>
              <w:left w:w="75" w:type="dxa"/>
              <w:bottom w:w="0" w:type="dxa"/>
              <w:right w:w="75" w:type="dxa"/>
            </w:tcMar>
            <w:vAlign w:val="center"/>
            <w:hideMark/>
          </w:tcPr>
          <w:p w14:paraId="4B56C969" w14:textId="77777777" w:rsidR="00A23C2A" w:rsidRPr="00CF31E0" w:rsidRDefault="00A23C2A" w:rsidP="00603CB7">
            <w:pPr>
              <w:jc w:val="right"/>
              <w:rPr>
                <w:rFonts w:eastAsia="Calibri"/>
                <w:color w:val="000000" w:themeColor="text1"/>
                <w:sz w:val="22"/>
                <w:szCs w:val="22"/>
              </w:rPr>
            </w:pPr>
          </w:p>
        </w:tc>
        <w:tc>
          <w:tcPr>
            <w:tcW w:w="992" w:type="dxa"/>
            <w:shd w:val="clear" w:color="auto" w:fill="FFFFFF"/>
            <w:tcMar>
              <w:top w:w="0" w:type="dxa"/>
              <w:left w:w="75" w:type="dxa"/>
              <w:bottom w:w="0" w:type="dxa"/>
              <w:right w:w="75" w:type="dxa"/>
            </w:tcMar>
            <w:vAlign w:val="center"/>
            <w:hideMark/>
          </w:tcPr>
          <w:p w14:paraId="5B79A732" w14:textId="77777777" w:rsidR="00A23C2A" w:rsidRPr="00CF31E0" w:rsidRDefault="00A23C2A" w:rsidP="00603CB7">
            <w:pPr>
              <w:jc w:val="right"/>
              <w:rPr>
                <w:rFonts w:eastAsia="Calibri"/>
                <w:color w:val="000000" w:themeColor="text1"/>
                <w:sz w:val="22"/>
                <w:szCs w:val="22"/>
              </w:rPr>
            </w:pPr>
          </w:p>
        </w:tc>
      </w:tr>
      <w:tr w:rsidR="00366F75" w:rsidRPr="00CF31E0" w14:paraId="75939390" w14:textId="77777777" w:rsidTr="004F45D7">
        <w:tblPrEx>
          <w:tblCellMar>
            <w:left w:w="0" w:type="dxa"/>
            <w:right w:w="0" w:type="dxa"/>
          </w:tblCellMar>
        </w:tblPrEx>
        <w:tc>
          <w:tcPr>
            <w:tcW w:w="851" w:type="dxa"/>
            <w:shd w:val="clear" w:color="auto" w:fill="FFFFFF"/>
            <w:tcMar>
              <w:top w:w="0" w:type="dxa"/>
              <w:left w:w="75" w:type="dxa"/>
              <w:bottom w:w="0" w:type="dxa"/>
              <w:right w:w="75" w:type="dxa"/>
            </w:tcMar>
            <w:hideMark/>
          </w:tcPr>
          <w:p w14:paraId="3494B4EA" w14:textId="77777777" w:rsidR="00A23C2A" w:rsidRPr="00CF31E0" w:rsidRDefault="00A23C2A" w:rsidP="00A23C2A">
            <w:pPr>
              <w:spacing w:line="240" w:lineRule="atLeast"/>
              <w:ind w:left="45"/>
              <w:rPr>
                <w:rFonts w:eastAsia="Calibri"/>
                <w:color w:val="000000" w:themeColor="text1"/>
                <w:sz w:val="22"/>
                <w:szCs w:val="22"/>
              </w:rPr>
            </w:pPr>
            <w:r w:rsidRPr="00CF31E0">
              <w:rPr>
                <w:rFonts w:eastAsia="Calibri"/>
                <w:color w:val="000000" w:themeColor="text1"/>
                <w:sz w:val="22"/>
                <w:szCs w:val="22"/>
              </w:rPr>
              <w:t>6</w:t>
            </w:r>
          </w:p>
        </w:tc>
        <w:tc>
          <w:tcPr>
            <w:tcW w:w="709" w:type="dxa"/>
            <w:shd w:val="clear" w:color="auto" w:fill="FFFFFF"/>
            <w:tcMar>
              <w:top w:w="0" w:type="dxa"/>
              <w:left w:w="75" w:type="dxa"/>
              <w:bottom w:w="0" w:type="dxa"/>
              <w:right w:w="75" w:type="dxa"/>
            </w:tcMar>
            <w:vAlign w:val="center"/>
            <w:hideMark/>
          </w:tcPr>
          <w:p w14:paraId="47ED3393"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.714</w:t>
            </w:r>
          </w:p>
        </w:tc>
        <w:tc>
          <w:tcPr>
            <w:tcW w:w="1134" w:type="dxa"/>
            <w:shd w:val="clear" w:color="auto" w:fill="FFFFFF"/>
            <w:tcMar>
              <w:top w:w="0" w:type="dxa"/>
              <w:left w:w="75" w:type="dxa"/>
              <w:bottom w:w="0" w:type="dxa"/>
              <w:right w:w="75" w:type="dxa"/>
            </w:tcMar>
            <w:vAlign w:val="center"/>
            <w:hideMark/>
          </w:tcPr>
          <w:p w14:paraId="71E05B93"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4.762</w:t>
            </w:r>
          </w:p>
        </w:tc>
        <w:tc>
          <w:tcPr>
            <w:tcW w:w="1275" w:type="dxa"/>
            <w:shd w:val="clear" w:color="auto" w:fill="FFFFFF"/>
            <w:tcMar>
              <w:top w:w="0" w:type="dxa"/>
              <w:left w:w="75" w:type="dxa"/>
              <w:bottom w:w="0" w:type="dxa"/>
              <w:right w:w="75" w:type="dxa"/>
            </w:tcMar>
            <w:vAlign w:val="center"/>
            <w:hideMark/>
          </w:tcPr>
          <w:p w14:paraId="47261A0D"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71.502</w:t>
            </w:r>
          </w:p>
        </w:tc>
        <w:tc>
          <w:tcPr>
            <w:tcW w:w="709" w:type="dxa"/>
            <w:shd w:val="clear" w:color="auto" w:fill="FFFFFF"/>
            <w:tcMar>
              <w:top w:w="0" w:type="dxa"/>
              <w:left w:w="75" w:type="dxa"/>
              <w:bottom w:w="0" w:type="dxa"/>
              <w:right w:w="75" w:type="dxa"/>
            </w:tcMar>
            <w:vAlign w:val="center"/>
            <w:hideMark/>
          </w:tcPr>
          <w:p w14:paraId="1BC2441C" w14:textId="77777777" w:rsidR="00A23C2A" w:rsidRPr="00CF31E0" w:rsidRDefault="00A23C2A" w:rsidP="00603CB7">
            <w:pPr>
              <w:jc w:val="right"/>
              <w:rPr>
                <w:rFonts w:eastAsia="Calibri"/>
                <w:color w:val="000000" w:themeColor="text1"/>
                <w:sz w:val="22"/>
                <w:szCs w:val="22"/>
              </w:rPr>
            </w:pPr>
          </w:p>
        </w:tc>
        <w:tc>
          <w:tcPr>
            <w:tcW w:w="1134" w:type="dxa"/>
            <w:shd w:val="clear" w:color="auto" w:fill="FFFFFF"/>
            <w:tcMar>
              <w:top w:w="0" w:type="dxa"/>
              <w:left w:w="75" w:type="dxa"/>
              <w:bottom w:w="0" w:type="dxa"/>
              <w:right w:w="75" w:type="dxa"/>
            </w:tcMar>
            <w:vAlign w:val="center"/>
            <w:hideMark/>
          </w:tcPr>
          <w:p w14:paraId="06BBA26B" w14:textId="77777777" w:rsidR="00A23C2A" w:rsidRPr="00CF31E0" w:rsidRDefault="00A23C2A" w:rsidP="00603CB7">
            <w:pPr>
              <w:jc w:val="right"/>
              <w:rPr>
                <w:rFonts w:eastAsia="Calibri"/>
                <w:color w:val="000000" w:themeColor="text1"/>
                <w:sz w:val="22"/>
                <w:szCs w:val="22"/>
              </w:rPr>
            </w:pPr>
          </w:p>
        </w:tc>
        <w:tc>
          <w:tcPr>
            <w:tcW w:w="1276" w:type="dxa"/>
            <w:shd w:val="clear" w:color="auto" w:fill="FFFFFF"/>
            <w:tcMar>
              <w:top w:w="0" w:type="dxa"/>
              <w:left w:w="75" w:type="dxa"/>
              <w:bottom w:w="0" w:type="dxa"/>
              <w:right w:w="75" w:type="dxa"/>
            </w:tcMar>
            <w:vAlign w:val="center"/>
            <w:hideMark/>
          </w:tcPr>
          <w:p w14:paraId="675297D8" w14:textId="77777777" w:rsidR="00A23C2A" w:rsidRPr="00CF31E0" w:rsidRDefault="00A23C2A" w:rsidP="00603CB7">
            <w:pPr>
              <w:jc w:val="right"/>
              <w:rPr>
                <w:rFonts w:eastAsia="Calibri"/>
                <w:color w:val="000000" w:themeColor="text1"/>
                <w:sz w:val="22"/>
                <w:szCs w:val="22"/>
              </w:rPr>
            </w:pPr>
          </w:p>
        </w:tc>
        <w:tc>
          <w:tcPr>
            <w:tcW w:w="992" w:type="dxa"/>
            <w:shd w:val="clear" w:color="auto" w:fill="FFFFFF"/>
            <w:tcMar>
              <w:top w:w="0" w:type="dxa"/>
              <w:left w:w="75" w:type="dxa"/>
              <w:bottom w:w="0" w:type="dxa"/>
              <w:right w:w="75" w:type="dxa"/>
            </w:tcMar>
            <w:vAlign w:val="center"/>
            <w:hideMark/>
          </w:tcPr>
          <w:p w14:paraId="6698236A" w14:textId="77777777" w:rsidR="00A23C2A" w:rsidRPr="00CF31E0" w:rsidRDefault="00A23C2A" w:rsidP="00603CB7">
            <w:pPr>
              <w:jc w:val="right"/>
              <w:rPr>
                <w:rFonts w:eastAsia="Calibri"/>
                <w:color w:val="000000" w:themeColor="text1"/>
                <w:sz w:val="22"/>
                <w:szCs w:val="22"/>
              </w:rPr>
            </w:pPr>
          </w:p>
        </w:tc>
      </w:tr>
      <w:tr w:rsidR="00366F75" w:rsidRPr="00CF31E0" w14:paraId="65CFEFFE" w14:textId="77777777" w:rsidTr="004F45D7">
        <w:tblPrEx>
          <w:tblCellMar>
            <w:left w:w="0" w:type="dxa"/>
            <w:right w:w="0" w:type="dxa"/>
          </w:tblCellMar>
        </w:tblPrEx>
        <w:tc>
          <w:tcPr>
            <w:tcW w:w="851" w:type="dxa"/>
            <w:shd w:val="clear" w:color="auto" w:fill="FFFFFF"/>
            <w:tcMar>
              <w:top w:w="0" w:type="dxa"/>
              <w:left w:w="75" w:type="dxa"/>
              <w:bottom w:w="0" w:type="dxa"/>
              <w:right w:w="75" w:type="dxa"/>
            </w:tcMar>
            <w:hideMark/>
          </w:tcPr>
          <w:p w14:paraId="3990F765" w14:textId="77777777" w:rsidR="00A23C2A" w:rsidRPr="00CF31E0" w:rsidRDefault="00A23C2A" w:rsidP="00A23C2A">
            <w:pPr>
              <w:spacing w:line="240" w:lineRule="atLeast"/>
              <w:ind w:left="45"/>
              <w:rPr>
                <w:rFonts w:eastAsia="Calibri"/>
                <w:color w:val="000000" w:themeColor="text1"/>
                <w:sz w:val="22"/>
                <w:szCs w:val="22"/>
              </w:rPr>
            </w:pPr>
            <w:r w:rsidRPr="00CF31E0">
              <w:rPr>
                <w:rFonts w:eastAsia="Calibri"/>
                <w:color w:val="000000" w:themeColor="text1"/>
                <w:sz w:val="22"/>
                <w:szCs w:val="22"/>
              </w:rPr>
              <w:t>7</w:t>
            </w:r>
          </w:p>
        </w:tc>
        <w:tc>
          <w:tcPr>
            <w:tcW w:w="709" w:type="dxa"/>
            <w:shd w:val="clear" w:color="auto" w:fill="FFFFFF"/>
            <w:tcMar>
              <w:top w:w="0" w:type="dxa"/>
              <w:left w:w="75" w:type="dxa"/>
              <w:bottom w:w="0" w:type="dxa"/>
              <w:right w:w="75" w:type="dxa"/>
            </w:tcMar>
            <w:vAlign w:val="center"/>
            <w:hideMark/>
          </w:tcPr>
          <w:p w14:paraId="096FAFBE"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.642</w:t>
            </w:r>
          </w:p>
        </w:tc>
        <w:tc>
          <w:tcPr>
            <w:tcW w:w="1134" w:type="dxa"/>
            <w:shd w:val="clear" w:color="auto" w:fill="FFFFFF"/>
            <w:tcMar>
              <w:top w:w="0" w:type="dxa"/>
              <w:left w:w="75" w:type="dxa"/>
              <w:bottom w:w="0" w:type="dxa"/>
              <w:right w:w="75" w:type="dxa"/>
            </w:tcMar>
            <w:vAlign w:val="center"/>
            <w:hideMark/>
          </w:tcPr>
          <w:p w14:paraId="1CB5BB88"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4.279</w:t>
            </w:r>
          </w:p>
        </w:tc>
        <w:tc>
          <w:tcPr>
            <w:tcW w:w="1275" w:type="dxa"/>
            <w:shd w:val="clear" w:color="auto" w:fill="FFFFFF"/>
            <w:tcMar>
              <w:top w:w="0" w:type="dxa"/>
              <w:left w:w="75" w:type="dxa"/>
              <w:bottom w:w="0" w:type="dxa"/>
              <w:right w:w="75" w:type="dxa"/>
            </w:tcMar>
            <w:vAlign w:val="center"/>
            <w:hideMark/>
          </w:tcPr>
          <w:p w14:paraId="02E80A08"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75.781</w:t>
            </w:r>
          </w:p>
        </w:tc>
        <w:tc>
          <w:tcPr>
            <w:tcW w:w="709" w:type="dxa"/>
            <w:shd w:val="clear" w:color="auto" w:fill="FFFFFF"/>
            <w:tcMar>
              <w:top w:w="0" w:type="dxa"/>
              <w:left w:w="75" w:type="dxa"/>
              <w:bottom w:w="0" w:type="dxa"/>
              <w:right w:w="75" w:type="dxa"/>
            </w:tcMar>
            <w:vAlign w:val="center"/>
            <w:hideMark/>
          </w:tcPr>
          <w:p w14:paraId="1AD57C2C" w14:textId="77777777" w:rsidR="00A23C2A" w:rsidRPr="00CF31E0" w:rsidRDefault="00A23C2A" w:rsidP="00603CB7">
            <w:pPr>
              <w:jc w:val="right"/>
              <w:rPr>
                <w:rFonts w:eastAsia="Calibri"/>
                <w:color w:val="000000" w:themeColor="text1"/>
                <w:sz w:val="22"/>
                <w:szCs w:val="22"/>
              </w:rPr>
            </w:pPr>
          </w:p>
        </w:tc>
        <w:tc>
          <w:tcPr>
            <w:tcW w:w="1134" w:type="dxa"/>
            <w:shd w:val="clear" w:color="auto" w:fill="FFFFFF"/>
            <w:tcMar>
              <w:top w:w="0" w:type="dxa"/>
              <w:left w:w="75" w:type="dxa"/>
              <w:bottom w:w="0" w:type="dxa"/>
              <w:right w:w="75" w:type="dxa"/>
            </w:tcMar>
            <w:vAlign w:val="center"/>
            <w:hideMark/>
          </w:tcPr>
          <w:p w14:paraId="0B095E5C" w14:textId="77777777" w:rsidR="00A23C2A" w:rsidRPr="00CF31E0" w:rsidRDefault="00A23C2A" w:rsidP="00603CB7">
            <w:pPr>
              <w:jc w:val="right"/>
              <w:rPr>
                <w:rFonts w:eastAsia="Calibri"/>
                <w:color w:val="000000" w:themeColor="text1"/>
                <w:sz w:val="22"/>
                <w:szCs w:val="22"/>
              </w:rPr>
            </w:pPr>
          </w:p>
        </w:tc>
        <w:tc>
          <w:tcPr>
            <w:tcW w:w="1276" w:type="dxa"/>
            <w:shd w:val="clear" w:color="auto" w:fill="FFFFFF"/>
            <w:tcMar>
              <w:top w:w="0" w:type="dxa"/>
              <w:left w:w="75" w:type="dxa"/>
              <w:bottom w:w="0" w:type="dxa"/>
              <w:right w:w="75" w:type="dxa"/>
            </w:tcMar>
            <w:vAlign w:val="center"/>
            <w:hideMark/>
          </w:tcPr>
          <w:p w14:paraId="0175A6A6" w14:textId="77777777" w:rsidR="00A23C2A" w:rsidRPr="00CF31E0" w:rsidRDefault="00A23C2A" w:rsidP="00603CB7">
            <w:pPr>
              <w:jc w:val="right"/>
              <w:rPr>
                <w:rFonts w:eastAsia="Calibri"/>
                <w:color w:val="000000" w:themeColor="text1"/>
                <w:sz w:val="22"/>
                <w:szCs w:val="22"/>
              </w:rPr>
            </w:pPr>
          </w:p>
        </w:tc>
        <w:tc>
          <w:tcPr>
            <w:tcW w:w="992" w:type="dxa"/>
            <w:shd w:val="clear" w:color="auto" w:fill="FFFFFF"/>
            <w:tcMar>
              <w:top w:w="0" w:type="dxa"/>
              <w:left w:w="75" w:type="dxa"/>
              <w:bottom w:w="0" w:type="dxa"/>
              <w:right w:w="75" w:type="dxa"/>
            </w:tcMar>
            <w:vAlign w:val="center"/>
            <w:hideMark/>
          </w:tcPr>
          <w:p w14:paraId="1986DCC3" w14:textId="77777777" w:rsidR="00A23C2A" w:rsidRPr="00CF31E0" w:rsidRDefault="00A23C2A" w:rsidP="00603CB7">
            <w:pPr>
              <w:jc w:val="right"/>
              <w:rPr>
                <w:rFonts w:eastAsia="Calibri"/>
                <w:color w:val="000000" w:themeColor="text1"/>
                <w:sz w:val="22"/>
                <w:szCs w:val="22"/>
              </w:rPr>
            </w:pPr>
          </w:p>
        </w:tc>
      </w:tr>
      <w:tr w:rsidR="00366F75" w:rsidRPr="00CF31E0" w14:paraId="1DE6D30B" w14:textId="77777777" w:rsidTr="004F45D7">
        <w:tblPrEx>
          <w:tblCellMar>
            <w:left w:w="0" w:type="dxa"/>
            <w:right w:w="0" w:type="dxa"/>
          </w:tblCellMar>
        </w:tblPrEx>
        <w:tc>
          <w:tcPr>
            <w:tcW w:w="851" w:type="dxa"/>
            <w:shd w:val="clear" w:color="auto" w:fill="FFFFFF"/>
            <w:tcMar>
              <w:top w:w="0" w:type="dxa"/>
              <w:left w:w="75" w:type="dxa"/>
              <w:bottom w:w="0" w:type="dxa"/>
              <w:right w:w="75" w:type="dxa"/>
            </w:tcMar>
            <w:hideMark/>
          </w:tcPr>
          <w:p w14:paraId="7536CFBB" w14:textId="77777777" w:rsidR="00A23C2A" w:rsidRPr="00CF31E0" w:rsidRDefault="00A23C2A" w:rsidP="00A23C2A">
            <w:pPr>
              <w:spacing w:line="240" w:lineRule="atLeast"/>
              <w:ind w:left="45"/>
              <w:rPr>
                <w:rFonts w:eastAsia="Calibri"/>
                <w:color w:val="000000" w:themeColor="text1"/>
                <w:sz w:val="22"/>
                <w:szCs w:val="22"/>
              </w:rPr>
            </w:pPr>
            <w:r w:rsidRPr="00CF31E0">
              <w:rPr>
                <w:rFonts w:eastAsia="Calibri"/>
                <w:color w:val="000000" w:themeColor="text1"/>
                <w:sz w:val="22"/>
                <w:szCs w:val="22"/>
              </w:rPr>
              <w:t>8</w:t>
            </w:r>
          </w:p>
        </w:tc>
        <w:tc>
          <w:tcPr>
            <w:tcW w:w="709" w:type="dxa"/>
            <w:shd w:val="clear" w:color="auto" w:fill="FFFFFF"/>
            <w:tcMar>
              <w:top w:w="0" w:type="dxa"/>
              <w:left w:w="75" w:type="dxa"/>
              <w:bottom w:w="0" w:type="dxa"/>
              <w:right w:w="75" w:type="dxa"/>
            </w:tcMar>
            <w:vAlign w:val="center"/>
            <w:hideMark/>
          </w:tcPr>
          <w:p w14:paraId="52CC231B"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.585</w:t>
            </w:r>
          </w:p>
        </w:tc>
        <w:tc>
          <w:tcPr>
            <w:tcW w:w="1134" w:type="dxa"/>
            <w:shd w:val="clear" w:color="auto" w:fill="FFFFFF"/>
            <w:tcMar>
              <w:top w:w="0" w:type="dxa"/>
              <w:left w:w="75" w:type="dxa"/>
              <w:bottom w:w="0" w:type="dxa"/>
              <w:right w:w="75" w:type="dxa"/>
            </w:tcMar>
            <w:vAlign w:val="center"/>
            <w:hideMark/>
          </w:tcPr>
          <w:p w14:paraId="7C6BAB7B"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3.901</w:t>
            </w:r>
          </w:p>
        </w:tc>
        <w:tc>
          <w:tcPr>
            <w:tcW w:w="1275" w:type="dxa"/>
            <w:shd w:val="clear" w:color="auto" w:fill="FFFFFF"/>
            <w:tcMar>
              <w:top w:w="0" w:type="dxa"/>
              <w:left w:w="75" w:type="dxa"/>
              <w:bottom w:w="0" w:type="dxa"/>
              <w:right w:w="75" w:type="dxa"/>
            </w:tcMar>
            <w:vAlign w:val="center"/>
            <w:hideMark/>
          </w:tcPr>
          <w:p w14:paraId="499E845F"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79.682</w:t>
            </w:r>
          </w:p>
        </w:tc>
        <w:tc>
          <w:tcPr>
            <w:tcW w:w="709" w:type="dxa"/>
            <w:shd w:val="clear" w:color="auto" w:fill="FFFFFF"/>
            <w:tcMar>
              <w:top w:w="0" w:type="dxa"/>
              <w:left w:w="75" w:type="dxa"/>
              <w:bottom w:w="0" w:type="dxa"/>
              <w:right w:w="75" w:type="dxa"/>
            </w:tcMar>
            <w:vAlign w:val="center"/>
            <w:hideMark/>
          </w:tcPr>
          <w:p w14:paraId="6148FF8F" w14:textId="77777777" w:rsidR="00A23C2A" w:rsidRPr="00CF31E0" w:rsidRDefault="00A23C2A" w:rsidP="00603CB7">
            <w:pPr>
              <w:jc w:val="right"/>
              <w:rPr>
                <w:rFonts w:eastAsia="Calibri"/>
                <w:color w:val="000000" w:themeColor="text1"/>
                <w:sz w:val="22"/>
                <w:szCs w:val="22"/>
              </w:rPr>
            </w:pPr>
          </w:p>
        </w:tc>
        <w:tc>
          <w:tcPr>
            <w:tcW w:w="1134" w:type="dxa"/>
            <w:shd w:val="clear" w:color="auto" w:fill="FFFFFF"/>
            <w:tcMar>
              <w:top w:w="0" w:type="dxa"/>
              <w:left w:w="75" w:type="dxa"/>
              <w:bottom w:w="0" w:type="dxa"/>
              <w:right w:w="75" w:type="dxa"/>
            </w:tcMar>
            <w:vAlign w:val="center"/>
            <w:hideMark/>
          </w:tcPr>
          <w:p w14:paraId="488102FD" w14:textId="77777777" w:rsidR="00A23C2A" w:rsidRPr="00CF31E0" w:rsidRDefault="00A23C2A" w:rsidP="00603CB7">
            <w:pPr>
              <w:jc w:val="right"/>
              <w:rPr>
                <w:rFonts w:eastAsia="Calibri"/>
                <w:color w:val="000000" w:themeColor="text1"/>
                <w:sz w:val="22"/>
                <w:szCs w:val="22"/>
              </w:rPr>
            </w:pPr>
          </w:p>
        </w:tc>
        <w:tc>
          <w:tcPr>
            <w:tcW w:w="1276" w:type="dxa"/>
            <w:shd w:val="clear" w:color="auto" w:fill="FFFFFF"/>
            <w:tcMar>
              <w:top w:w="0" w:type="dxa"/>
              <w:left w:w="75" w:type="dxa"/>
              <w:bottom w:w="0" w:type="dxa"/>
              <w:right w:w="75" w:type="dxa"/>
            </w:tcMar>
            <w:vAlign w:val="center"/>
            <w:hideMark/>
          </w:tcPr>
          <w:p w14:paraId="185C8F49" w14:textId="77777777" w:rsidR="00A23C2A" w:rsidRPr="00CF31E0" w:rsidRDefault="00A23C2A" w:rsidP="00603CB7">
            <w:pPr>
              <w:jc w:val="right"/>
              <w:rPr>
                <w:rFonts w:eastAsia="Calibri"/>
                <w:color w:val="000000" w:themeColor="text1"/>
                <w:sz w:val="22"/>
                <w:szCs w:val="22"/>
              </w:rPr>
            </w:pPr>
          </w:p>
        </w:tc>
        <w:tc>
          <w:tcPr>
            <w:tcW w:w="992" w:type="dxa"/>
            <w:shd w:val="clear" w:color="auto" w:fill="FFFFFF"/>
            <w:tcMar>
              <w:top w:w="0" w:type="dxa"/>
              <w:left w:w="75" w:type="dxa"/>
              <w:bottom w:w="0" w:type="dxa"/>
              <w:right w:w="75" w:type="dxa"/>
            </w:tcMar>
            <w:vAlign w:val="center"/>
            <w:hideMark/>
          </w:tcPr>
          <w:p w14:paraId="31F1A229" w14:textId="77777777" w:rsidR="00A23C2A" w:rsidRPr="00CF31E0" w:rsidRDefault="00A23C2A" w:rsidP="00603CB7">
            <w:pPr>
              <w:jc w:val="right"/>
              <w:rPr>
                <w:rFonts w:eastAsia="Calibri"/>
                <w:color w:val="000000" w:themeColor="text1"/>
                <w:sz w:val="22"/>
                <w:szCs w:val="22"/>
              </w:rPr>
            </w:pPr>
          </w:p>
        </w:tc>
      </w:tr>
      <w:tr w:rsidR="00366F75" w:rsidRPr="00CF31E0" w14:paraId="6C591457" w14:textId="77777777" w:rsidTr="004F45D7">
        <w:tblPrEx>
          <w:tblCellMar>
            <w:left w:w="0" w:type="dxa"/>
            <w:right w:w="0" w:type="dxa"/>
          </w:tblCellMar>
        </w:tblPrEx>
        <w:tc>
          <w:tcPr>
            <w:tcW w:w="851" w:type="dxa"/>
            <w:shd w:val="clear" w:color="auto" w:fill="FFFFFF"/>
            <w:tcMar>
              <w:top w:w="0" w:type="dxa"/>
              <w:left w:w="75" w:type="dxa"/>
              <w:bottom w:w="0" w:type="dxa"/>
              <w:right w:w="75" w:type="dxa"/>
            </w:tcMar>
            <w:hideMark/>
          </w:tcPr>
          <w:p w14:paraId="3B3AFFCC" w14:textId="77777777" w:rsidR="00A23C2A" w:rsidRPr="00CF31E0" w:rsidRDefault="00A23C2A" w:rsidP="00A23C2A">
            <w:pPr>
              <w:spacing w:line="240" w:lineRule="atLeast"/>
              <w:ind w:left="45"/>
              <w:rPr>
                <w:rFonts w:eastAsia="Calibri"/>
                <w:color w:val="000000" w:themeColor="text1"/>
                <w:sz w:val="22"/>
                <w:szCs w:val="22"/>
              </w:rPr>
            </w:pPr>
            <w:r w:rsidRPr="00CF31E0">
              <w:rPr>
                <w:rFonts w:eastAsia="Calibri"/>
                <w:color w:val="000000" w:themeColor="text1"/>
                <w:sz w:val="22"/>
                <w:szCs w:val="22"/>
              </w:rPr>
              <w:t>9</w:t>
            </w:r>
          </w:p>
        </w:tc>
        <w:tc>
          <w:tcPr>
            <w:tcW w:w="709" w:type="dxa"/>
            <w:shd w:val="clear" w:color="auto" w:fill="FFFFFF"/>
            <w:tcMar>
              <w:top w:w="0" w:type="dxa"/>
              <w:left w:w="75" w:type="dxa"/>
              <w:bottom w:w="0" w:type="dxa"/>
              <w:right w:w="75" w:type="dxa"/>
            </w:tcMar>
            <w:vAlign w:val="center"/>
            <w:hideMark/>
          </w:tcPr>
          <w:p w14:paraId="617414CB"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.541</w:t>
            </w:r>
          </w:p>
        </w:tc>
        <w:tc>
          <w:tcPr>
            <w:tcW w:w="1134" w:type="dxa"/>
            <w:shd w:val="clear" w:color="auto" w:fill="FFFFFF"/>
            <w:tcMar>
              <w:top w:w="0" w:type="dxa"/>
              <w:left w:w="75" w:type="dxa"/>
              <w:bottom w:w="0" w:type="dxa"/>
              <w:right w:w="75" w:type="dxa"/>
            </w:tcMar>
            <w:vAlign w:val="center"/>
            <w:hideMark/>
          </w:tcPr>
          <w:p w14:paraId="3D4E87DD"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3.606</w:t>
            </w:r>
          </w:p>
        </w:tc>
        <w:tc>
          <w:tcPr>
            <w:tcW w:w="1275" w:type="dxa"/>
            <w:shd w:val="clear" w:color="auto" w:fill="FFFFFF"/>
            <w:tcMar>
              <w:top w:w="0" w:type="dxa"/>
              <w:left w:w="75" w:type="dxa"/>
              <w:bottom w:w="0" w:type="dxa"/>
              <w:right w:w="75" w:type="dxa"/>
            </w:tcMar>
            <w:vAlign w:val="center"/>
            <w:hideMark/>
          </w:tcPr>
          <w:p w14:paraId="08BEF424"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83.288</w:t>
            </w:r>
          </w:p>
        </w:tc>
        <w:tc>
          <w:tcPr>
            <w:tcW w:w="709" w:type="dxa"/>
            <w:shd w:val="clear" w:color="auto" w:fill="FFFFFF"/>
            <w:tcMar>
              <w:top w:w="0" w:type="dxa"/>
              <w:left w:w="75" w:type="dxa"/>
              <w:bottom w:w="0" w:type="dxa"/>
              <w:right w:w="75" w:type="dxa"/>
            </w:tcMar>
            <w:vAlign w:val="center"/>
            <w:hideMark/>
          </w:tcPr>
          <w:p w14:paraId="20A8CE2A" w14:textId="77777777" w:rsidR="00A23C2A" w:rsidRPr="00CF31E0" w:rsidRDefault="00A23C2A" w:rsidP="00603CB7">
            <w:pPr>
              <w:jc w:val="right"/>
              <w:rPr>
                <w:rFonts w:eastAsia="Calibri"/>
                <w:color w:val="000000" w:themeColor="text1"/>
                <w:sz w:val="22"/>
                <w:szCs w:val="22"/>
              </w:rPr>
            </w:pPr>
          </w:p>
        </w:tc>
        <w:tc>
          <w:tcPr>
            <w:tcW w:w="1134" w:type="dxa"/>
            <w:shd w:val="clear" w:color="auto" w:fill="FFFFFF"/>
            <w:tcMar>
              <w:top w:w="0" w:type="dxa"/>
              <w:left w:w="75" w:type="dxa"/>
              <w:bottom w:w="0" w:type="dxa"/>
              <w:right w:w="75" w:type="dxa"/>
            </w:tcMar>
            <w:vAlign w:val="center"/>
            <w:hideMark/>
          </w:tcPr>
          <w:p w14:paraId="06F9E6DF" w14:textId="77777777" w:rsidR="00A23C2A" w:rsidRPr="00CF31E0" w:rsidRDefault="00A23C2A" w:rsidP="00603CB7">
            <w:pPr>
              <w:jc w:val="right"/>
              <w:rPr>
                <w:rFonts w:eastAsia="Calibri"/>
                <w:color w:val="000000" w:themeColor="text1"/>
                <w:sz w:val="22"/>
                <w:szCs w:val="22"/>
              </w:rPr>
            </w:pPr>
          </w:p>
        </w:tc>
        <w:tc>
          <w:tcPr>
            <w:tcW w:w="1276" w:type="dxa"/>
            <w:shd w:val="clear" w:color="auto" w:fill="FFFFFF"/>
            <w:tcMar>
              <w:top w:w="0" w:type="dxa"/>
              <w:left w:w="75" w:type="dxa"/>
              <w:bottom w:w="0" w:type="dxa"/>
              <w:right w:w="75" w:type="dxa"/>
            </w:tcMar>
            <w:vAlign w:val="center"/>
            <w:hideMark/>
          </w:tcPr>
          <w:p w14:paraId="3C1AA2AC" w14:textId="77777777" w:rsidR="00A23C2A" w:rsidRPr="00CF31E0" w:rsidRDefault="00A23C2A" w:rsidP="00603CB7">
            <w:pPr>
              <w:jc w:val="right"/>
              <w:rPr>
                <w:rFonts w:eastAsia="Calibri"/>
                <w:color w:val="000000" w:themeColor="text1"/>
                <w:sz w:val="22"/>
                <w:szCs w:val="22"/>
              </w:rPr>
            </w:pPr>
          </w:p>
        </w:tc>
        <w:tc>
          <w:tcPr>
            <w:tcW w:w="992" w:type="dxa"/>
            <w:shd w:val="clear" w:color="auto" w:fill="FFFFFF"/>
            <w:tcMar>
              <w:top w:w="0" w:type="dxa"/>
              <w:left w:w="75" w:type="dxa"/>
              <w:bottom w:w="0" w:type="dxa"/>
              <w:right w:w="75" w:type="dxa"/>
            </w:tcMar>
            <w:vAlign w:val="center"/>
            <w:hideMark/>
          </w:tcPr>
          <w:p w14:paraId="64DF7A06" w14:textId="77777777" w:rsidR="00A23C2A" w:rsidRPr="00CF31E0" w:rsidRDefault="00A23C2A" w:rsidP="00603CB7">
            <w:pPr>
              <w:jc w:val="right"/>
              <w:rPr>
                <w:rFonts w:eastAsia="Calibri"/>
                <w:color w:val="000000" w:themeColor="text1"/>
                <w:sz w:val="22"/>
                <w:szCs w:val="22"/>
              </w:rPr>
            </w:pPr>
          </w:p>
        </w:tc>
      </w:tr>
      <w:tr w:rsidR="00366F75" w:rsidRPr="00CF31E0" w14:paraId="01F388C8" w14:textId="77777777" w:rsidTr="004F45D7">
        <w:tblPrEx>
          <w:tblCellMar>
            <w:left w:w="0" w:type="dxa"/>
            <w:right w:w="0" w:type="dxa"/>
          </w:tblCellMar>
        </w:tblPrEx>
        <w:tc>
          <w:tcPr>
            <w:tcW w:w="851" w:type="dxa"/>
            <w:shd w:val="clear" w:color="auto" w:fill="FFFFFF"/>
            <w:tcMar>
              <w:top w:w="0" w:type="dxa"/>
              <w:left w:w="75" w:type="dxa"/>
              <w:bottom w:w="0" w:type="dxa"/>
              <w:right w:w="75" w:type="dxa"/>
            </w:tcMar>
            <w:hideMark/>
          </w:tcPr>
          <w:p w14:paraId="306E377B" w14:textId="77777777" w:rsidR="00A23C2A" w:rsidRPr="00CF31E0" w:rsidRDefault="00A23C2A" w:rsidP="00A23C2A">
            <w:pPr>
              <w:spacing w:line="240" w:lineRule="atLeast"/>
              <w:ind w:left="45"/>
              <w:rPr>
                <w:rFonts w:eastAsia="Calibri"/>
                <w:color w:val="000000" w:themeColor="text1"/>
                <w:sz w:val="22"/>
                <w:szCs w:val="22"/>
              </w:rPr>
            </w:pPr>
            <w:r w:rsidRPr="00CF31E0">
              <w:rPr>
                <w:rFonts w:eastAsia="Calibri"/>
                <w:color w:val="000000" w:themeColor="text1"/>
                <w:sz w:val="22"/>
                <w:szCs w:val="22"/>
              </w:rPr>
              <w:t>10</w:t>
            </w:r>
          </w:p>
        </w:tc>
        <w:tc>
          <w:tcPr>
            <w:tcW w:w="709" w:type="dxa"/>
            <w:shd w:val="clear" w:color="auto" w:fill="FFFFFF"/>
            <w:tcMar>
              <w:top w:w="0" w:type="dxa"/>
              <w:left w:w="75" w:type="dxa"/>
              <w:bottom w:w="0" w:type="dxa"/>
              <w:right w:w="75" w:type="dxa"/>
            </w:tcMar>
            <w:vAlign w:val="center"/>
            <w:hideMark/>
          </w:tcPr>
          <w:p w14:paraId="0F53367D"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.506</w:t>
            </w:r>
          </w:p>
        </w:tc>
        <w:tc>
          <w:tcPr>
            <w:tcW w:w="1134" w:type="dxa"/>
            <w:shd w:val="clear" w:color="auto" w:fill="FFFFFF"/>
            <w:tcMar>
              <w:top w:w="0" w:type="dxa"/>
              <w:left w:w="75" w:type="dxa"/>
              <w:bottom w:w="0" w:type="dxa"/>
              <w:right w:w="75" w:type="dxa"/>
            </w:tcMar>
            <w:vAlign w:val="center"/>
            <w:hideMark/>
          </w:tcPr>
          <w:p w14:paraId="065E13DC"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3.372</w:t>
            </w:r>
          </w:p>
        </w:tc>
        <w:tc>
          <w:tcPr>
            <w:tcW w:w="1275" w:type="dxa"/>
            <w:shd w:val="clear" w:color="auto" w:fill="FFFFFF"/>
            <w:tcMar>
              <w:top w:w="0" w:type="dxa"/>
              <w:left w:w="75" w:type="dxa"/>
              <w:bottom w:w="0" w:type="dxa"/>
              <w:right w:w="75" w:type="dxa"/>
            </w:tcMar>
            <w:vAlign w:val="center"/>
            <w:hideMark/>
          </w:tcPr>
          <w:p w14:paraId="622C861C"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86.660</w:t>
            </w:r>
          </w:p>
        </w:tc>
        <w:tc>
          <w:tcPr>
            <w:tcW w:w="709" w:type="dxa"/>
            <w:shd w:val="clear" w:color="auto" w:fill="FFFFFF"/>
            <w:tcMar>
              <w:top w:w="0" w:type="dxa"/>
              <w:left w:w="75" w:type="dxa"/>
              <w:bottom w:w="0" w:type="dxa"/>
              <w:right w:w="75" w:type="dxa"/>
            </w:tcMar>
            <w:vAlign w:val="center"/>
            <w:hideMark/>
          </w:tcPr>
          <w:p w14:paraId="6121B9EF" w14:textId="77777777" w:rsidR="00A23C2A" w:rsidRPr="00CF31E0" w:rsidRDefault="00A23C2A" w:rsidP="00603CB7">
            <w:pPr>
              <w:jc w:val="right"/>
              <w:rPr>
                <w:rFonts w:eastAsia="Calibri"/>
                <w:color w:val="000000" w:themeColor="text1"/>
                <w:sz w:val="22"/>
                <w:szCs w:val="22"/>
              </w:rPr>
            </w:pPr>
          </w:p>
        </w:tc>
        <w:tc>
          <w:tcPr>
            <w:tcW w:w="1134" w:type="dxa"/>
            <w:shd w:val="clear" w:color="auto" w:fill="FFFFFF"/>
            <w:tcMar>
              <w:top w:w="0" w:type="dxa"/>
              <w:left w:w="75" w:type="dxa"/>
              <w:bottom w:w="0" w:type="dxa"/>
              <w:right w:w="75" w:type="dxa"/>
            </w:tcMar>
            <w:vAlign w:val="center"/>
            <w:hideMark/>
          </w:tcPr>
          <w:p w14:paraId="65E6F6E4" w14:textId="77777777" w:rsidR="00A23C2A" w:rsidRPr="00CF31E0" w:rsidRDefault="00A23C2A" w:rsidP="00603CB7">
            <w:pPr>
              <w:jc w:val="right"/>
              <w:rPr>
                <w:rFonts w:eastAsia="Calibri"/>
                <w:color w:val="000000" w:themeColor="text1"/>
                <w:sz w:val="22"/>
                <w:szCs w:val="22"/>
              </w:rPr>
            </w:pPr>
          </w:p>
        </w:tc>
        <w:tc>
          <w:tcPr>
            <w:tcW w:w="1276" w:type="dxa"/>
            <w:shd w:val="clear" w:color="auto" w:fill="FFFFFF"/>
            <w:tcMar>
              <w:top w:w="0" w:type="dxa"/>
              <w:left w:w="75" w:type="dxa"/>
              <w:bottom w:w="0" w:type="dxa"/>
              <w:right w:w="75" w:type="dxa"/>
            </w:tcMar>
            <w:vAlign w:val="center"/>
            <w:hideMark/>
          </w:tcPr>
          <w:p w14:paraId="689A6656" w14:textId="77777777" w:rsidR="00A23C2A" w:rsidRPr="00CF31E0" w:rsidRDefault="00A23C2A" w:rsidP="00603CB7">
            <w:pPr>
              <w:jc w:val="right"/>
              <w:rPr>
                <w:rFonts w:eastAsia="Calibri"/>
                <w:color w:val="000000" w:themeColor="text1"/>
                <w:sz w:val="22"/>
                <w:szCs w:val="22"/>
              </w:rPr>
            </w:pPr>
          </w:p>
        </w:tc>
        <w:tc>
          <w:tcPr>
            <w:tcW w:w="992" w:type="dxa"/>
            <w:shd w:val="clear" w:color="auto" w:fill="FFFFFF"/>
            <w:tcMar>
              <w:top w:w="0" w:type="dxa"/>
              <w:left w:w="75" w:type="dxa"/>
              <w:bottom w:w="0" w:type="dxa"/>
              <w:right w:w="75" w:type="dxa"/>
            </w:tcMar>
            <w:vAlign w:val="center"/>
            <w:hideMark/>
          </w:tcPr>
          <w:p w14:paraId="0654E576" w14:textId="77777777" w:rsidR="00A23C2A" w:rsidRPr="00CF31E0" w:rsidRDefault="00A23C2A" w:rsidP="00603CB7">
            <w:pPr>
              <w:jc w:val="right"/>
              <w:rPr>
                <w:rFonts w:eastAsia="Calibri"/>
                <w:color w:val="000000" w:themeColor="text1"/>
                <w:sz w:val="22"/>
                <w:szCs w:val="22"/>
              </w:rPr>
            </w:pPr>
          </w:p>
        </w:tc>
      </w:tr>
      <w:tr w:rsidR="00366F75" w:rsidRPr="00CF31E0" w14:paraId="00A250F9" w14:textId="77777777" w:rsidTr="004F45D7">
        <w:tblPrEx>
          <w:tblCellMar>
            <w:left w:w="0" w:type="dxa"/>
            <w:right w:w="0" w:type="dxa"/>
          </w:tblCellMar>
        </w:tblPrEx>
        <w:tc>
          <w:tcPr>
            <w:tcW w:w="851" w:type="dxa"/>
            <w:shd w:val="clear" w:color="auto" w:fill="FFFFFF"/>
            <w:tcMar>
              <w:top w:w="0" w:type="dxa"/>
              <w:left w:w="75" w:type="dxa"/>
              <w:bottom w:w="0" w:type="dxa"/>
              <w:right w:w="75" w:type="dxa"/>
            </w:tcMar>
            <w:hideMark/>
          </w:tcPr>
          <w:p w14:paraId="76D31ADF" w14:textId="77777777" w:rsidR="00A23C2A" w:rsidRPr="00CF31E0" w:rsidRDefault="00A23C2A" w:rsidP="00A23C2A">
            <w:pPr>
              <w:spacing w:line="240" w:lineRule="atLeast"/>
              <w:ind w:left="45"/>
              <w:rPr>
                <w:rFonts w:eastAsia="Calibri"/>
                <w:color w:val="000000" w:themeColor="text1"/>
                <w:sz w:val="22"/>
                <w:szCs w:val="22"/>
              </w:rPr>
            </w:pPr>
            <w:r w:rsidRPr="00CF31E0">
              <w:rPr>
                <w:rFonts w:eastAsia="Calibri"/>
                <w:color w:val="000000" w:themeColor="text1"/>
                <w:sz w:val="22"/>
                <w:szCs w:val="22"/>
              </w:rPr>
              <w:t>11</w:t>
            </w:r>
          </w:p>
        </w:tc>
        <w:tc>
          <w:tcPr>
            <w:tcW w:w="709" w:type="dxa"/>
            <w:shd w:val="clear" w:color="auto" w:fill="FFFFFF"/>
            <w:tcMar>
              <w:top w:w="0" w:type="dxa"/>
              <w:left w:w="75" w:type="dxa"/>
              <w:bottom w:w="0" w:type="dxa"/>
              <w:right w:w="75" w:type="dxa"/>
            </w:tcMar>
            <w:vAlign w:val="center"/>
            <w:hideMark/>
          </w:tcPr>
          <w:p w14:paraId="1BBAE264"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.478</w:t>
            </w:r>
          </w:p>
        </w:tc>
        <w:tc>
          <w:tcPr>
            <w:tcW w:w="1134" w:type="dxa"/>
            <w:shd w:val="clear" w:color="auto" w:fill="FFFFFF"/>
            <w:tcMar>
              <w:top w:w="0" w:type="dxa"/>
              <w:left w:w="75" w:type="dxa"/>
              <w:bottom w:w="0" w:type="dxa"/>
              <w:right w:w="75" w:type="dxa"/>
            </w:tcMar>
            <w:vAlign w:val="center"/>
            <w:hideMark/>
          </w:tcPr>
          <w:p w14:paraId="6B8BC6A8"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3.186</w:t>
            </w:r>
          </w:p>
        </w:tc>
        <w:tc>
          <w:tcPr>
            <w:tcW w:w="1275" w:type="dxa"/>
            <w:shd w:val="clear" w:color="auto" w:fill="FFFFFF"/>
            <w:tcMar>
              <w:top w:w="0" w:type="dxa"/>
              <w:left w:w="75" w:type="dxa"/>
              <w:bottom w:w="0" w:type="dxa"/>
              <w:right w:w="75" w:type="dxa"/>
            </w:tcMar>
            <w:vAlign w:val="center"/>
            <w:hideMark/>
          </w:tcPr>
          <w:p w14:paraId="6C50FAF0"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89.846</w:t>
            </w:r>
          </w:p>
        </w:tc>
        <w:tc>
          <w:tcPr>
            <w:tcW w:w="709" w:type="dxa"/>
            <w:shd w:val="clear" w:color="auto" w:fill="FFFFFF"/>
            <w:tcMar>
              <w:top w:w="0" w:type="dxa"/>
              <w:left w:w="75" w:type="dxa"/>
              <w:bottom w:w="0" w:type="dxa"/>
              <w:right w:w="75" w:type="dxa"/>
            </w:tcMar>
            <w:vAlign w:val="center"/>
            <w:hideMark/>
          </w:tcPr>
          <w:p w14:paraId="79B7B634" w14:textId="77777777" w:rsidR="00A23C2A" w:rsidRPr="00CF31E0" w:rsidRDefault="00A23C2A" w:rsidP="00603CB7">
            <w:pPr>
              <w:jc w:val="right"/>
              <w:rPr>
                <w:rFonts w:eastAsia="Calibri"/>
                <w:color w:val="000000" w:themeColor="text1"/>
                <w:sz w:val="22"/>
                <w:szCs w:val="22"/>
              </w:rPr>
            </w:pPr>
          </w:p>
        </w:tc>
        <w:tc>
          <w:tcPr>
            <w:tcW w:w="1134" w:type="dxa"/>
            <w:shd w:val="clear" w:color="auto" w:fill="FFFFFF"/>
            <w:tcMar>
              <w:top w:w="0" w:type="dxa"/>
              <w:left w:w="75" w:type="dxa"/>
              <w:bottom w:w="0" w:type="dxa"/>
              <w:right w:w="75" w:type="dxa"/>
            </w:tcMar>
            <w:vAlign w:val="center"/>
            <w:hideMark/>
          </w:tcPr>
          <w:p w14:paraId="17D5F42F" w14:textId="77777777" w:rsidR="00A23C2A" w:rsidRPr="00CF31E0" w:rsidRDefault="00A23C2A" w:rsidP="00603CB7">
            <w:pPr>
              <w:jc w:val="right"/>
              <w:rPr>
                <w:rFonts w:eastAsia="Calibri"/>
                <w:color w:val="000000" w:themeColor="text1"/>
                <w:sz w:val="22"/>
                <w:szCs w:val="22"/>
              </w:rPr>
            </w:pPr>
          </w:p>
        </w:tc>
        <w:tc>
          <w:tcPr>
            <w:tcW w:w="1276" w:type="dxa"/>
            <w:shd w:val="clear" w:color="auto" w:fill="FFFFFF"/>
            <w:tcMar>
              <w:top w:w="0" w:type="dxa"/>
              <w:left w:w="75" w:type="dxa"/>
              <w:bottom w:w="0" w:type="dxa"/>
              <w:right w:w="75" w:type="dxa"/>
            </w:tcMar>
            <w:vAlign w:val="center"/>
            <w:hideMark/>
          </w:tcPr>
          <w:p w14:paraId="06057C54" w14:textId="77777777" w:rsidR="00A23C2A" w:rsidRPr="00CF31E0" w:rsidRDefault="00A23C2A" w:rsidP="00603CB7">
            <w:pPr>
              <w:jc w:val="right"/>
              <w:rPr>
                <w:rFonts w:eastAsia="Calibri"/>
                <w:color w:val="000000" w:themeColor="text1"/>
                <w:sz w:val="22"/>
                <w:szCs w:val="22"/>
              </w:rPr>
            </w:pPr>
          </w:p>
        </w:tc>
        <w:tc>
          <w:tcPr>
            <w:tcW w:w="992" w:type="dxa"/>
            <w:shd w:val="clear" w:color="auto" w:fill="FFFFFF"/>
            <w:tcMar>
              <w:top w:w="0" w:type="dxa"/>
              <w:left w:w="75" w:type="dxa"/>
              <w:bottom w:w="0" w:type="dxa"/>
              <w:right w:w="75" w:type="dxa"/>
            </w:tcMar>
            <w:vAlign w:val="center"/>
            <w:hideMark/>
          </w:tcPr>
          <w:p w14:paraId="1B7F6069" w14:textId="77777777" w:rsidR="00A23C2A" w:rsidRPr="00CF31E0" w:rsidRDefault="00A23C2A" w:rsidP="00603CB7">
            <w:pPr>
              <w:jc w:val="right"/>
              <w:rPr>
                <w:rFonts w:eastAsia="Calibri"/>
                <w:color w:val="000000" w:themeColor="text1"/>
                <w:sz w:val="22"/>
                <w:szCs w:val="22"/>
              </w:rPr>
            </w:pPr>
          </w:p>
        </w:tc>
      </w:tr>
      <w:tr w:rsidR="00366F75" w:rsidRPr="00CF31E0" w14:paraId="4A9CEFC7" w14:textId="77777777" w:rsidTr="004F45D7">
        <w:tblPrEx>
          <w:tblCellMar>
            <w:left w:w="0" w:type="dxa"/>
            <w:right w:w="0" w:type="dxa"/>
          </w:tblCellMar>
        </w:tblPrEx>
        <w:tc>
          <w:tcPr>
            <w:tcW w:w="851" w:type="dxa"/>
            <w:shd w:val="clear" w:color="auto" w:fill="FFFFFF"/>
            <w:tcMar>
              <w:top w:w="0" w:type="dxa"/>
              <w:left w:w="75" w:type="dxa"/>
              <w:bottom w:w="0" w:type="dxa"/>
              <w:right w:w="75" w:type="dxa"/>
            </w:tcMar>
            <w:hideMark/>
          </w:tcPr>
          <w:p w14:paraId="6E09161A" w14:textId="77777777" w:rsidR="00A23C2A" w:rsidRPr="00CF31E0" w:rsidRDefault="00A23C2A" w:rsidP="00A23C2A">
            <w:pPr>
              <w:spacing w:line="240" w:lineRule="atLeast"/>
              <w:ind w:left="45"/>
              <w:rPr>
                <w:rFonts w:eastAsia="Calibri"/>
                <w:color w:val="000000" w:themeColor="text1"/>
                <w:sz w:val="22"/>
                <w:szCs w:val="22"/>
              </w:rPr>
            </w:pPr>
            <w:r w:rsidRPr="00CF31E0">
              <w:rPr>
                <w:rFonts w:eastAsia="Calibri"/>
                <w:color w:val="000000" w:themeColor="text1"/>
                <w:sz w:val="22"/>
                <w:szCs w:val="22"/>
              </w:rPr>
              <w:t>12</w:t>
            </w:r>
          </w:p>
        </w:tc>
        <w:tc>
          <w:tcPr>
            <w:tcW w:w="709" w:type="dxa"/>
            <w:shd w:val="clear" w:color="auto" w:fill="FFFFFF"/>
            <w:tcMar>
              <w:top w:w="0" w:type="dxa"/>
              <w:left w:w="75" w:type="dxa"/>
              <w:bottom w:w="0" w:type="dxa"/>
              <w:right w:w="75" w:type="dxa"/>
            </w:tcMar>
            <w:vAlign w:val="center"/>
            <w:hideMark/>
          </w:tcPr>
          <w:p w14:paraId="6DA1E5BF"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.440</w:t>
            </w:r>
          </w:p>
        </w:tc>
        <w:tc>
          <w:tcPr>
            <w:tcW w:w="1134" w:type="dxa"/>
            <w:shd w:val="clear" w:color="auto" w:fill="FFFFFF"/>
            <w:tcMar>
              <w:top w:w="0" w:type="dxa"/>
              <w:left w:w="75" w:type="dxa"/>
              <w:bottom w:w="0" w:type="dxa"/>
              <w:right w:w="75" w:type="dxa"/>
            </w:tcMar>
            <w:vAlign w:val="center"/>
            <w:hideMark/>
          </w:tcPr>
          <w:p w14:paraId="76F7B0D1"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2.934</w:t>
            </w:r>
          </w:p>
        </w:tc>
        <w:tc>
          <w:tcPr>
            <w:tcW w:w="1275" w:type="dxa"/>
            <w:shd w:val="clear" w:color="auto" w:fill="FFFFFF"/>
            <w:tcMar>
              <w:top w:w="0" w:type="dxa"/>
              <w:left w:w="75" w:type="dxa"/>
              <w:bottom w:w="0" w:type="dxa"/>
              <w:right w:w="75" w:type="dxa"/>
            </w:tcMar>
            <w:vAlign w:val="center"/>
            <w:hideMark/>
          </w:tcPr>
          <w:p w14:paraId="17473970"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92.780</w:t>
            </w:r>
          </w:p>
        </w:tc>
        <w:tc>
          <w:tcPr>
            <w:tcW w:w="709" w:type="dxa"/>
            <w:shd w:val="clear" w:color="auto" w:fill="FFFFFF"/>
            <w:tcMar>
              <w:top w:w="0" w:type="dxa"/>
              <w:left w:w="75" w:type="dxa"/>
              <w:bottom w:w="0" w:type="dxa"/>
              <w:right w:w="75" w:type="dxa"/>
            </w:tcMar>
            <w:vAlign w:val="center"/>
            <w:hideMark/>
          </w:tcPr>
          <w:p w14:paraId="22734CBD" w14:textId="77777777" w:rsidR="00A23C2A" w:rsidRPr="00CF31E0" w:rsidRDefault="00A23C2A" w:rsidP="00603CB7">
            <w:pPr>
              <w:jc w:val="right"/>
              <w:rPr>
                <w:rFonts w:eastAsia="Calibri"/>
                <w:color w:val="000000" w:themeColor="text1"/>
                <w:sz w:val="22"/>
                <w:szCs w:val="22"/>
              </w:rPr>
            </w:pPr>
          </w:p>
        </w:tc>
        <w:tc>
          <w:tcPr>
            <w:tcW w:w="1134" w:type="dxa"/>
            <w:shd w:val="clear" w:color="auto" w:fill="FFFFFF"/>
            <w:tcMar>
              <w:top w:w="0" w:type="dxa"/>
              <w:left w:w="75" w:type="dxa"/>
              <w:bottom w:w="0" w:type="dxa"/>
              <w:right w:w="75" w:type="dxa"/>
            </w:tcMar>
            <w:vAlign w:val="center"/>
            <w:hideMark/>
          </w:tcPr>
          <w:p w14:paraId="3C53BA57" w14:textId="77777777" w:rsidR="00A23C2A" w:rsidRPr="00CF31E0" w:rsidRDefault="00A23C2A" w:rsidP="00603CB7">
            <w:pPr>
              <w:jc w:val="right"/>
              <w:rPr>
                <w:rFonts w:eastAsia="Calibri"/>
                <w:color w:val="000000" w:themeColor="text1"/>
                <w:sz w:val="22"/>
                <w:szCs w:val="22"/>
              </w:rPr>
            </w:pPr>
          </w:p>
        </w:tc>
        <w:tc>
          <w:tcPr>
            <w:tcW w:w="1276" w:type="dxa"/>
            <w:shd w:val="clear" w:color="auto" w:fill="FFFFFF"/>
            <w:tcMar>
              <w:top w:w="0" w:type="dxa"/>
              <w:left w:w="75" w:type="dxa"/>
              <w:bottom w:w="0" w:type="dxa"/>
              <w:right w:w="75" w:type="dxa"/>
            </w:tcMar>
            <w:vAlign w:val="center"/>
            <w:hideMark/>
          </w:tcPr>
          <w:p w14:paraId="7320609D" w14:textId="77777777" w:rsidR="00A23C2A" w:rsidRPr="00CF31E0" w:rsidRDefault="00A23C2A" w:rsidP="00603CB7">
            <w:pPr>
              <w:jc w:val="right"/>
              <w:rPr>
                <w:rFonts w:eastAsia="Calibri"/>
                <w:color w:val="000000" w:themeColor="text1"/>
                <w:sz w:val="22"/>
                <w:szCs w:val="22"/>
              </w:rPr>
            </w:pPr>
          </w:p>
        </w:tc>
        <w:tc>
          <w:tcPr>
            <w:tcW w:w="992" w:type="dxa"/>
            <w:shd w:val="clear" w:color="auto" w:fill="FFFFFF"/>
            <w:tcMar>
              <w:top w:w="0" w:type="dxa"/>
              <w:left w:w="75" w:type="dxa"/>
              <w:bottom w:w="0" w:type="dxa"/>
              <w:right w:w="75" w:type="dxa"/>
            </w:tcMar>
            <w:vAlign w:val="center"/>
            <w:hideMark/>
          </w:tcPr>
          <w:p w14:paraId="3C274C0A" w14:textId="77777777" w:rsidR="00A23C2A" w:rsidRPr="00CF31E0" w:rsidRDefault="00A23C2A" w:rsidP="00603CB7">
            <w:pPr>
              <w:jc w:val="right"/>
              <w:rPr>
                <w:rFonts w:eastAsia="Calibri"/>
                <w:color w:val="000000" w:themeColor="text1"/>
                <w:sz w:val="22"/>
                <w:szCs w:val="22"/>
              </w:rPr>
            </w:pPr>
          </w:p>
        </w:tc>
      </w:tr>
      <w:tr w:rsidR="00366F75" w:rsidRPr="00CF31E0" w14:paraId="2A815749" w14:textId="77777777" w:rsidTr="004F45D7">
        <w:tblPrEx>
          <w:tblCellMar>
            <w:left w:w="0" w:type="dxa"/>
            <w:right w:w="0" w:type="dxa"/>
          </w:tblCellMar>
        </w:tblPrEx>
        <w:tc>
          <w:tcPr>
            <w:tcW w:w="851" w:type="dxa"/>
            <w:shd w:val="clear" w:color="auto" w:fill="FFFFFF"/>
            <w:tcMar>
              <w:top w:w="0" w:type="dxa"/>
              <w:left w:w="75" w:type="dxa"/>
              <w:bottom w:w="0" w:type="dxa"/>
              <w:right w:w="75" w:type="dxa"/>
            </w:tcMar>
            <w:hideMark/>
          </w:tcPr>
          <w:p w14:paraId="01A77E76" w14:textId="77777777" w:rsidR="00A23C2A" w:rsidRPr="00CF31E0" w:rsidRDefault="00A23C2A" w:rsidP="00A23C2A">
            <w:pPr>
              <w:spacing w:line="240" w:lineRule="atLeast"/>
              <w:ind w:left="45"/>
              <w:rPr>
                <w:rFonts w:eastAsia="Calibri"/>
                <w:color w:val="000000" w:themeColor="text1"/>
                <w:sz w:val="22"/>
                <w:szCs w:val="22"/>
              </w:rPr>
            </w:pPr>
            <w:r w:rsidRPr="00CF31E0">
              <w:rPr>
                <w:rFonts w:eastAsia="Calibri"/>
                <w:color w:val="000000" w:themeColor="text1"/>
                <w:sz w:val="22"/>
                <w:szCs w:val="22"/>
              </w:rPr>
              <w:lastRenderedPageBreak/>
              <w:t>13</w:t>
            </w:r>
          </w:p>
        </w:tc>
        <w:tc>
          <w:tcPr>
            <w:tcW w:w="709" w:type="dxa"/>
            <w:shd w:val="clear" w:color="auto" w:fill="FFFFFF"/>
            <w:tcMar>
              <w:top w:w="0" w:type="dxa"/>
              <w:left w:w="75" w:type="dxa"/>
              <w:bottom w:w="0" w:type="dxa"/>
              <w:right w:w="75" w:type="dxa"/>
            </w:tcMar>
            <w:vAlign w:val="center"/>
            <w:hideMark/>
          </w:tcPr>
          <w:p w14:paraId="11AB2E31"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.399</w:t>
            </w:r>
          </w:p>
        </w:tc>
        <w:tc>
          <w:tcPr>
            <w:tcW w:w="1134" w:type="dxa"/>
            <w:shd w:val="clear" w:color="auto" w:fill="FFFFFF"/>
            <w:tcMar>
              <w:top w:w="0" w:type="dxa"/>
              <w:left w:w="75" w:type="dxa"/>
              <w:bottom w:w="0" w:type="dxa"/>
              <w:right w:w="75" w:type="dxa"/>
            </w:tcMar>
            <w:vAlign w:val="center"/>
            <w:hideMark/>
          </w:tcPr>
          <w:p w14:paraId="6F17BF8D"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2.661</w:t>
            </w:r>
          </w:p>
        </w:tc>
        <w:tc>
          <w:tcPr>
            <w:tcW w:w="1275" w:type="dxa"/>
            <w:shd w:val="clear" w:color="auto" w:fill="FFFFFF"/>
            <w:tcMar>
              <w:top w:w="0" w:type="dxa"/>
              <w:left w:w="75" w:type="dxa"/>
              <w:bottom w:w="0" w:type="dxa"/>
              <w:right w:w="75" w:type="dxa"/>
            </w:tcMar>
            <w:vAlign w:val="center"/>
            <w:hideMark/>
          </w:tcPr>
          <w:p w14:paraId="7D1C80F0"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95.441</w:t>
            </w:r>
          </w:p>
        </w:tc>
        <w:tc>
          <w:tcPr>
            <w:tcW w:w="709" w:type="dxa"/>
            <w:shd w:val="clear" w:color="auto" w:fill="FFFFFF"/>
            <w:tcMar>
              <w:top w:w="0" w:type="dxa"/>
              <w:left w:w="75" w:type="dxa"/>
              <w:bottom w:w="0" w:type="dxa"/>
              <w:right w:w="75" w:type="dxa"/>
            </w:tcMar>
            <w:vAlign w:val="center"/>
            <w:hideMark/>
          </w:tcPr>
          <w:p w14:paraId="498B713F" w14:textId="77777777" w:rsidR="00A23C2A" w:rsidRPr="00CF31E0" w:rsidRDefault="00A23C2A" w:rsidP="00603CB7">
            <w:pPr>
              <w:jc w:val="right"/>
              <w:rPr>
                <w:rFonts w:eastAsia="Calibri"/>
                <w:color w:val="000000" w:themeColor="text1"/>
                <w:sz w:val="22"/>
                <w:szCs w:val="22"/>
              </w:rPr>
            </w:pPr>
          </w:p>
        </w:tc>
        <w:tc>
          <w:tcPr>
            <w:tcW w:w="1134" w:type="dxa"/>
            <w:shd w:val="clear" w:color="auto" w:fill="FFFFFF"/>
            <w:tcMar>
              <w:top w:w="0" w:type="dxa"/>
              <w:left w:w="75" w:type="dxa"/>
              <w:bottom w:w="0" w:type="dxa"/>
              <w:right w:w="75" w:type="dxa"/>
            </w:tcMar>
            <w:vAlign w:val="center"/>
            <w:hideMark/>
          </w:tcPr>
          <w:p w14:paraId="058453AF" w14:textId="77777777" w:rsidR="00A23C2A" w:rsidRPr="00CF31E0" w:rsidRDefault="00A23C2A" w:rsidP="00603CB7">
            <w:pPr>
              <w:jc w:val="right"/>
              <w:rPr>
                <w:rFonts w:eastAsia="Calibri"/>
                <w:color w:val="000000" w:themeColor="text1"/>
                <w:sz w:val="22"/>
                <w:szCs w:val="22"/>
              </w:rPr>
            </w:pPr>
          </w:p>
        </w:tc>
        <w:tc>
          <w:tcPr>
            <w:tcW w:w="1276" w:type="dxa"/>
            <w:shd w:val="clear" w:color="auto" w:fill="FFFFFF"/>
            <w:tcMar>
              <w:top w:w="0" w:type="dxa"/>
              <w:left w:w="75" w:type="dxa"/>
              <w:bottom w:w="0" w:type="dxa"/>
              <w:right w:w="75" w:type="dxa"/>
            </w:tcMar>
            <w:vAlign w:val="center"/>
            <w:hideMark/>
          </w:tcPr>
          <w:p w14:paraId="408B133A" w14:textId="77777777" w:rsidR="00A23C2A" w:rsidRPr="00CF31E0" w:rsidRDefault="00A23C2A" w:rsidP="00603CB7">
            <w:pPr>
              <w:jc w:val="right"/>
              <w:rPr>
                <w:rFonts w:eastAsia="Calibri"/>
                <w:color w:val="000000" w:themeColor="text1"/>
                <w:sz w:val="22"/>
                <w:szCs w:val="22"/>
              </w:rPr>
            </w:pPr>
          </w:p>
        </w:tc>
        <w:tc>
          <w:tcPr>
            <w:tcW w:w="992" w:type="dxa"/>
            <w:shd w:val="clear" w:color="auto" w:fill="FFFFFF"/>
            <w:tcMar>
              <w:top w:w="0" w:type="dxa"/>
              <w:left w:w="75" w:type="dxa"/>
              <w:bottom w:w="0" w:type="dxa"/>
              <w:right w:w="75" w:type="dxa"/>
            </w:tcMar>
            <w:vAlign w:val="center"/>
            <w:hideMark/>
          </w:tcPr>
          <w:p w14:paraId="326D69D1" w14:textId="77777777" w:rsidR="00A23C2A" w:rsidRPr="00CF31E0" w:rsidRDefault="00A23C2A" w:rsidP="00603CB7">
            <w:pPr>
              <w:jc w:val="right"/>
              <w:rPr>
                <w:rFonts w:eastAsia="Calibri"/>
                <w:color w:val="000000" w:themeColor="text1"/>
                <w:sz w:val="22"/>
                <w:szCs w:val="22"/>
              </w:rPr>
            </w:pPr>
          </w:p>
        </w:tc>
      </w:tr>
      <w:tr w:rsidR="00366F75" w:rsidRPr="00CF31E0" w14:paraId="07E85BD6" w14:textId="77777777" w:rsidTr="004F45D7">
        <w:tblPrEx>
          <w:tblCellMar>
            <w:left w:w="0" w:type="dxa"/>
            <w:right w:w="0" w:type="dxa"/>
          </w:tblCellMar>
        </w:tblPrEx>
        <w:tc>
          <w:tcPr>
            <w:tcW w:w="851" w:type="dxa"/>
            <w:shd w:val="clear" w:color="auto" w:fill="FFFFFF"/>
            <w:tcMar>
              <w:top w:w="0" w:type="dxa"/>
              <w:left w:w="75" w:type="dxa"/>
              <w:bottom w:w="0" w:type="dxa"/>
              <w:right w:w="75" w:type="dxa"/>
            </w:tcMar>
            <w:hideMark/>
          </w:tcPr>
          <w:p w14:paraId="3EFE55A0" w14:textId="77777777" w:rsidR="00A23C2A" w:rsidRPr="00CF31E0" w:rsidRDefault="00A23C2A" w:rsidP="00A23C2A">
            <w:pPr>
              <w:spacing w:line="240" w:lineRule="atLeast"/>
              <w:ind w:left="45"/>
              <w:rPr>
                <w:rFonts w:eastAsia="Calibri"/>
                <w:color w:val="000000" w:themeColor="text1"/>
                <w:sz w:val="22"/>
                <w:szCs w:val="22"/>
              </w:rPr>
            </w:pPr>
            <w:r w:rsidRPr="00CF31E0">
              <w:rPr>
                <w:rFonts w:eastAsia="Calibri"/>
                <w:color w:val="000000" w:themeColor="text1"/>
                <w:sz w:val="22"/>
                <w:szCs w:val="22"/>
              </w:rPr>
              <w:t>14</w:t>
            </w:r>
          </w:p>
        </w:tc>
        <w:tc>
          <w:tcPr>
            <w:tcW w:w="709" w:type="dxa"/>
            <w:shd w:val="clear" w:color="auto" w:fill="FFFFFF"/>
            <w:tcMar>
              <w:top w:w="0" w:type="dxa"/>
              <w:left w:w="75" w:type="dxa"/>
              <w:bottom w:w="0" w:type="dxa"/>
              <w:right w:w="75" w:type="dxa"/>
            </w:tcMar>
            <w:vAlign w:val="center"/>
            <w:hideMark/>
          </w:tcPr>
          <w:p w14:paraId="3E27A741"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.351</w:t>
            </w:r>
          </w:p>
        </w:tc>
        <w:tc>
          <w:tcPr>
            <w:tcW w:w="1134" w:type="dxa"/>
            <w:shd w:val="clear" w:color="auto" w:fill="FFFFFF"/>
            <w:tcMar>
              <w:top w:w="0" w:type="dxa"/>
              <w:left w:w="75" w:type="dxa"/>
              <w:bottom w:w="0" w:type="dxa"/>
              <w:right w:w="75" w:type="dxa"/>
            </w:tcMar>
            <w:vAlign w:val="center"/>
            <w:hideMark/>
          </w:tcPr>
          <w:p w14:paraId="12483112"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2.343</w:t>
            </w:r>
          </w:p>
        </w:tc>
        <w:tc>
          <w:tcPr>
            <w:tcW w:w="1275" w:type="dxa"/>
            <w:shd w:val="clear" w:color="auto" w:fill="FFFFFF"/>
            <w:tcMar>
              <w:top w:w="0" w:type="dxa"/>
              <w:left w:w="75" w:type="dxa"/>
              <w:bottom w:w="0" w:type="dxa"/>
              <w:right w:w="75" w:type="dxa"/>
            </w:tcMar>
            <w:vAlign w:val="center"/>
            <w:hideMark/>
          </w:tcPr>
          <w:p w14:paraId="768F4BD0"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97.784</w:t>
            </w:r>
          </w:p>
        </w:tc>
        <w:tc>
          <w:tcPr>
            <w:tcW w:w="709" w:type="dxa"/>
            <w:shd w:val="clear" w:color="auto" w:fill="FFFFFF"/>
            <w:tcMar>
              <w:top w:w="0" w:type="dxa"/>
              <w:left w:w="75" w:type="dxa"/>
              <w:bottom w:w="0" w:type="dxa"/>
              <w:right w:w="75" w:type="dxa"/>
            </w:tcMar>
            <w:vAlign w:val="center"/>
            <w:hideMark/>
          </w:tcPr>
          <w:p w14:paraId="725C6751" w14:textId="77777777" w:rsidR="00A23C2A" w:rsidRPr="00CF31E0" w:rsidRDefault="00A23C2A" w:rsidP="00603CB7">
            <w:pPr>
              <w:jc w:val="right"/>
              <w:rPr>
                <w:rFonts w:eastAsia="Calibri"/>
                <w:color w:val="000000" w:themeColor="text1"/>
                <w:sz w:val="22"/>
                <w:szCs w:val="22"/>
              </w:rPr>
            </w:pPr>
          </w:p>
        </w:tc>
        <w:tc>
          <w:tcPr>
            <w:tcW w:w="1134" w:type="dxa"/>
            <w:shd w:val="clear" w:color="auto" w:fill="FFFFFF"/>
            <w:tcMar>
              <w:top w:w="0" w:type="dxa"/>
              <w:left w:w="75" w:type="dxa"/>
              <w:bottom w:w="0" w:type="dxa"/>
              <w:right w:w="75" w:type="dxa"/>
            </w:tcMar>
            <w:vAlign w:val="center"/>
            <w:hideMark/>
          </w:tcPr>
          <w:p w14:paraId="5DF478E6" w14:textId="77777777" w:rsidR="00A23C2A" w:rsidRPr="00CF31E0" w:rsidRDefault="00A23C2A" w:rsidP="00603CB7">
            <w:pPr>
              <w:jc w:val="right"/>
              <w:rPr>
                <w:rFonts w:eastAsia="Calibri"/>
                <w:color w:val="000000" w:themeColor="text1"/>
                <w:sz w:val="22"/>
                <w:szCs w:val="22"/>
              </w:rPr>
            </w:pPr>
          </w:p>
        </w:tc>
        <w:tc>
          <w:tcPr>
            <w:tcW w:w="1276" w:type="dxa"/>
            <w:shd w:val="clear" w:color="auto" w:fill="FFFFFF"/>
            <w:tcMar>
              <w:top w:w="0" w:type="dxa"/>
              <w:left w:w="75" w:type="dxa"/>
              <w:bottom w:w="0" w:type="dxa"/>
              <w:right w:w="75" w:type="dxa"/>
            </w:tcMar>
            <w:vAlign w:val="center"/>
            <w:hideMark/>
          </w:tcPr>
          <w:p w14:paraId="06CEEDBE" w14:textId="77777777" w:rsidR="00A23C2A" w:rsidRPr="00CF31E0" w:rsidRDefault="00A23C2A" w:rsidP="00603CB7">
            <w:pPr>
              <w:jc w:val="right"/>
              <w:rPr>
                <w:rFonts w:eastAsia="Calibri"/>
                <w:color w:val="000000" w:themeColor="text1"/>
                <w:sz w:val="22"/>
                <w:szCs w:val="22"/>
              </w:rPr>
            </w:pPr>
          </w:p>
        </w:tc>
        <w:tc>
          <w:tcPr>
            <w:tcW w:w="992" w:type="dxa"/>
            <w:shd w:val="clear" w:color="auto" w:fill="FFFFFF"/>
            <w:tcMar>
              <w:top w:w="0" w:type="dxa"/>
              <w:left w:w="75" w:type="dxa"/>
              <w:bottom w:w="0" w:type="dxa"/>
              <w:right w:w="75" w:type="dxa"/>
            </w:tcMar>
            <w:vAlign w:val="center"/>
            <w:hideMark/>
          </w:tcPr>
          <w:p w14:paraId="4B8351DD" w14:textId="77777777" w:rsidR="00A23C2A" w:rsidRPr="00CF31E0" w:rsidRDefault="00A23C2A" w:rsidP="00603CB7">
            <w:pPr>
              <w:jc w:val="right"/>
              <w:rPr>
                <w:rFonts w:eastAsia="Calibri"/>
                <w:color w:val="000000" w:themeColor="text1"/>
                <w:sz w:val="22"/>
                <w:szCs w:val="22"/>
              </w:rPr>
            </w:pPr>
          </w:p>
        </w:tc>
      </w:tr>
      <w:tr w:rsidR="00366F75" w:rsidRPr="00CF31E0" w14:paraId="73A06A80" w14:textId="77777777" w:rsidTr="004F45D7">
        <w:tblPrEx>
          <w:tblCellMar>
            <w:left w:w="0" w:type="dxa"/>
            <w:right w:w="0" w:type="dxa"/>
          </w:tblCellMar>
        </w:tblPrEx>
        <w:tc>
          <w:tcPr>
            <w:tcW w:w="851" w:type="dxa"/>
            <w:shd w:val="clear" w:color="auto" w:fill="FFFFFF"/>
            <w:tcMar>
              <w:top w:w="0" w:type="dxa"/>
              <w:left w:w="75" w:type="dxa"/>
              <w:bottom w:w="0" w:type="dxa"/>
              <w:right w:w="75" w:type="dxa"/>
            </w:tcMar>
            <w:hideMark/>
          </w:tcPr>
          <w:p w14:paraId="7817DE55" w14:textId="77777777" w:rsidR="00A23C2A" w:rsidRPr="00CF31E0" w:rsidRDefault="00A23C2A" w:rsidP="00A23C2A">
            <w:pPr>
              <w:spacing w:line="240" w:lineRule="atLeast"/>
              <w:ind w:left="45"/>
              <w:rPr>
                <w:rFonts w:eastAsia="Calibri"/>
                <w:color w:val="000000" w:themeColor="text1"/>
                <w:sz w:val="22"/>
                <w:szCs w:val="22"/>
              </w:rPr>
            </w:pPr>
            <w:r w:rsidRPr="00CF31E0">
              <w:rPr>
                <w:rFonts w:eastAsia="Calibri"/>
                <w:color w:val="000000" w:themeColor="text1"/>
                <w:sz w:val="22"/>
                <w:szCs w:val="22"/>
              </w:rPr>
              <w:t>15</w:t>
            </w:r>
          </w:p>
        </w:tc>
        <w:tc>
          <w:tcPr>
            <w:tcW w:w="709" w:type="dxa"/>
            <w:shd w:val="clear" w:color="auto" w:fill="FFFFFF"/>
            <w:tcMar>
              <w:top w:w="0" w:type="dxa"/>
              <w:left w:w="75" w:type="dxa"/>
              <w:bottom w:w="0" w:type="dxa"/>
              <w:right w:w="75" w:type="dxa"/>
            </w:tcMar>
            <w:vAlign w:val="center"/>
            <w:hideMark/>
          </w:tcPr>
          <w:p w14:paraId="46B9488E"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.332</w:t>
            </w:r>
          </w:p>
        </w:tc>
        <w:tc>
          <w:tcPr>
            <w:tcW w:w="1134" w:type="dxa"/>
            <w:shd w:val="clear" w:color="auto" w:fill="FFFFFF"/>
            <w:tcMar>
              <w:top w:w="0" w:type="dxa"/>
              <w:left w:w="75" w:type="dxa"/>
              <w:bottom w:w="0" w:type="dxa"/>
              <w:right w:w="75" w:type="dxa"/>
            </w:tcMar>
            <w:vAlign w:val="center"/>
            <w:hideMark/>
          </w:tcPr>
          <w:p w14:paraId="4D215C28"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2.216</w:t>
            </w:r>
          </w:p>
        </w:tc>
        <w:tc>
          <w:tcPr>
            <w:tcW w:w="1275" w:type="dxa"/>
            <w:shd w:val="clear" w:color="auto" w:fill="FFFFFF"/>
            <w:tcMar>
              <w:top w:w="0" w:type="dxa"/>
              <w:left w:w="75" w:type="dxa"/>
              <w:bottom w:w="0" w:type="dxa"/>
              <w:right w:w="75" w:type="dxa"/>
            </w:tcMar>
            <w:vAlign w:val="center"/>
            <w:hideMark/>
          </w:tcPr>
          <w:p w14:paraId="13D94BF1" w14:textId="77777777" w:rsidR="00A23C2A" w:rsidRPr="00CF31E0" w:rsidRDefault="00A23C2A" w:rsidP="00603CB7">
            <w:pPr>
              <w:spacing w:line="240" w:lineRule="atLeast"/>
              <w:ind w:left="45"/>
              <w:jc w:val="right"/>
              <w:rPr>
                <w:rFonts w:eastAsia="Calibri"/>
                <w:color w:val="000000" w:themeColor="text1"/>
                <w:sz w:val="22"/>
                <w:szCs w:val="22"/>
              </w:rPr>
            </w:pPr>
            <w:r w:rsidRPr="00CF31E0">
              <w:rPr>
                <w:rFonts w:eastAsia="Calibri"/>
                <w:color w:val="000000" w:themeColor="text1"/>
                <w:sz w:val="22"/>
                <w:szCs w:val="22"/>
              </w:rPr>
              <w:t>100.000</w:t>
            </w:r>
          </w:p>
        </w:tc>
        <w:tc>
          <w:tcPr>
            <w:tcW w:w="709" w:type="dxa"/>
            <w:shd w:val="clear" w:color="auto" w:fill="FFFFFF"/>
            <w:tcMar>
              <w:top w:w="0" w:type="dxa"/>
              <w:left w:w="75" w:type="dxa"/>
              <w:bottom w:w="0" w:type="dxa"/>
              <w:right w:w="75" w:type="dxa"/>
            </w:tcMar>
            <w:vAlign w:val="center"/>
            <w:hideMark/>
          </w:tcPr>
          <w:p w14:paraId="12431520" w14:textId="77777777" w:rsidR="00A23C2A" w:rsidRPr="00CF31E0" w:rsidRDefault="00A23C2A" w:rsidP="00603CB7">
            <w:pPr>
              <w:jc w:val="right"/>
              <w:rPr>
                <w:rFonts w:eastAsia="Calibri"/>
                <w:color w:val="000000" w:themeColor="text1"/>
                <w:sz w:val="22"/>
                <w:szCs w:val="22"/>
              </w:rPr>
            </w:pPr>
          </w:p>
        </w:tc>
        <w:tc>
          <w:tcPr>
            <w:tcW w:w="1134" w:type="dxa"/>
            <w:shd w:val="clear" w:color="auto" w:fill="FFFFFF"/>
            <w:tcMar>
              <w:top w:w="0" w:type="dxa"/>
              <w:left w:w="75" w:type="dxa"/>
              <w:bottom w:w="0" w:type="dxa"/>
              <w:right w:w="75" w:type="dxa"/>
            </w:tcMar>
            <w:vAlign w:val="center"/>
            <w:hideMark/>
          </w:tcPr>
          <w:p w14:paraId="328E256C" w14:textId="77777777" w:rsidR="00A23C2A" w:rsidRPr="00CF31E0" w:rsidRDefault="00A23C2A" w:rsidP="00603CB7">
            <w:pPr>
              <w:jc w:val="right"/>
              <w:rPr>
                <w:rFonts w:eastAsia="Calibri"/>
                <w:color w:val="000000" w:themeColor="text1"/>
                <w:sz w:val="22"/>
                <w:szCs w:val="22"/>
              </w:rPr>
            </w:pPr>
          </w:p>
        </w:tc>
        <w:tc>
          <w:tcPr>
            <w:tcW w:w="1276" w:type="dxa"/>
            <w:shd w:val="clear" w:color="auto" w:fill="FFFFFF"/>
            <w:tcMar>
              <w:top w:w="0" w:type="dxa"/>
              <w:left w:w="75" w:type="dxa"/>
              <w:bottom w:w="0" w:type="dxa"/>
              <w:right w:w="75" w:type="dxa"/>
            </w:tcMar>
            <w:vAlign w:val="center"/>
            <w:hideMark/>
          </w:tcPr>
          <w:p w14:paraId="123E6DF0" w14:textId="77777777" w:rsidR="00A23C2A" w:rsidRPr="00CF31E0" w:rsidRDefault="00A23C2A" w:rsidP="00603CB7">
            <w:pPr>
              <w:jc w:val="right"/>
              <w:rPr>
                <w:rFonts w:eastAsia="Calibri"/>
                <w:color w:val="000000" w:themeColor="text1"/>
                <w:sz w:val="22"/>
                <w:szCs w:val="22"/>
              </w:rPr>
            </w:pPr>
          </w:p>
        </w:tc>
        <w:tc>
          <w:tcPr>
            <w:tcW w:w="992" w:type="dxa"/>
            <w:shd w:val="clear" w:color="auto" w:fill="FFFFFF"/>
            <w:tcMar>
              <w:top w:w="0" w:type="dxa"/>
              <w:left w:w="75" w:type="dxa"/>
              <w:bottom w:w="0" w:type="dxa"/>
              <w:right w:w="75" w:type="dxa"/>
            </w:tcMar>
            <w:vAlign w:val="center"/>
            <w:hideMark/>
          </w:tcPr>
          <w:p w14:paraId="000C5187" w14:textId="77777777" w:rsidR="00A23C2A" w:rsidRPr="00CF31E0" w:rsidRDefault="00A23C2A" w:rsidP="00603CB7">
            <w:pPr>
              <w:jc w:val="right"/>
              <w:rPr>
                <w:rFonts w:eastAsia="Calibri"/>
                <w:color w:val="000000" w:themeColor="text1"/>
                <w:sz w:val="22"/>
                <w:szCs w:val="22"/>
              </w:rPr>
            </w:pPr>
          </w:p>
        </w:tc>
      </w:tr>
    </w:tbl>
    <w:p w14:paraId="0A8B6113" w14:textId="76827054" w:rsidR="00A23C2A" w:rsidRPr="00CF31E0" w:rsidRDefault="00A23C2A" w:rsidP="000A1504">
      <w:pPr>
        <w:pStyle w:val="Tablecaption"/>
        <w:rPr>
          <w:lang w:eastAsia="zh-CN"/>
        </w:rPr>
      </w:pPr>
      <w:bookmarkStart w:id="609" w:name="_Toc522527443"/>
      <w:bookmarkStart w:id="610" w:name="_Toc522628855"/>
      <w:bookmarkStart w:id="611" w:name="_Toc522629019"/>
      <w:bookmarkStart w:id="612" w:name="_Toc6473116"/>
      <w:r w:rsidRPr="00CF31E0">
        <w:rPr>
          <w:lang w:eastAsia="zh-CN"/>
        </w:rPr>
        <w:t xml:space="preserve">Table </w:t>
      </w:r>
      <w:r w:rsidR="000A1504" w:rsidRPr="00CF31E0">
        <w:rPr>
          <w:lang w:eastAsia="zh-CN"/>
        </w:rPr>
        <w:t>9</w:t>
      </w:r>
      <w:r w:rsidR="001011B3" w:rsidRPr="00CF31E0">
        <w:rPr>
          <w:lang w:eastAsia="zh-CN"/>
        </w:rPr>
        <w:t>.</w:t>
      </w:r>
      <w:r w:rsidR="002A5315" w:rsidRPr="00CF31E0">
        <w:rPr>
          <w:lang w:eastAsia="zh-CN"/>
        </w:rPr>
        <w:t>7</w:t>
      </w:r>
      <w:r w:rsidRPr="00CF31E0">
        <w:rPr>
          <w:lang w:eastAsia="zh-CN"/>
        </w:rPr>
        <w:t>: Total variance explained.</w:t>
      </w:r>
      <w:bookmarkEnd w:id="609"/>
      <w:bookmarkEnd w:id="610"/>
      <w:bookmarkEnd w:id="611"/>
      <w:bookmarkEnd w:id="612"/>
      <w:r w:rsidRPr="00CF31E0">
        <w:rPr>
          <w:lang w:eastAsia="zh-CN"/>
        </w:rPr>
        <w:t xml:space="preserve"> </w:t>
      </w:r>
    </w:p>
    <w:p w14:paraId="2017BE4A" w14:textId="1B3BC465" w:rsidR="00A23C2A" w:rsidRPr="00CF31E0" w:rsidRDefault="00A23C2A" w:rsidP="00603CB7">
      <w:pPr>
        <w:pStyle w:val="Paragraph"/>
        <w:rPr>
          <w:rFonts w:eastAsia="MS Mincho"/>
          <w:lang w:eastAsia="en-US"/>
        </w:rPr>
      </w:pPr>
      <w:r w:rsidRPr="00CF31E0">
        <w:rPr>
          <w:lang w:eastAsia="zh-CN"/>
        </w:rPr>
        <w:t xml:space="preserve">The eigenvalues for each variable are shown in Table </w:t>
      </w:r>
      <w:r w:rsidR="000A1504" w:rsidRPr="00CF31E0">
        <w:rPr>
          <w:lang w:eastAsia="zh-CN"/>
        </w:rPr>
        <w:t>9</w:t>
      </w:r>
      <w:r w:rsidR="001011B3" w:rsidRPr="00CF31E0">
        <w:rPr>
          <w:lang w:eastAsia="zh-CN"/>
        </w:rPr>
        <w:t>.</w:t>
      </w:r>
      <w:r w:rsidR="002A5315" w:rsidRPr="00CF31E0">
        <w:rPr>
          <w:lang w:eastAsia="zh-CN"/>
        </w:rPr>
        <w:t>7</w:t>
      </w:r>
      <w:r w:rsidRPr="00CF31E0">
        <w:rPr>
          <w:lang w:eastAsia="zh-CN"/>
        </w:rPr>
        <w:t xml:space="preserve"> above. As can be seen, only the first three components have eigenvalues of 1 or more. Thus, according to Kaiser’s criterion, only the first three factors should be retained. They share a total of </w:t>
      </w:r>
      <w:r w:rsidR="0035341D" w:rsidRPr="00CF31E0">
        <w:rPr>
          <w:lang w:eastAsia="zh-CN"/>
        </w:rPr>
        <w:t>45.320</w:t>
      </w:r>
      <w:r w:rsidRPr="00CF31E0">
        <w:rPr>
          <w:lang w:eastAsia="zh-CN"/>
        </w:rPr>
        <w:t xml:space="preserve">% of the variance. I argue that this should not be a suitable solution for two reasons. First, Kaiser’s criterion is often criticized for generating too many factors when there is a possibility to obtain a reduced number of factors </w:t>
      </w:r>
      <w:r w:rsidRPr="00CF31E0">
        <w:rPr>
          <w:lang w:eastAsia="zh-CN"/>
        </w:rPr>
        <w:fldChar w:fldCharType="begin"/>
      </w:r>
      <w:r w:rsidRPr="00CF31E0">
        <w:rPr>
          <w:lang w:eastAsia="zh-CN"/>
        </w:rPr>
        <w:instrText xml:space="preserve"> ADDIN ZOTERO_ITEM CSL_CITATION {"citationID":"2lu8id6t1c","properties":{"formattedCitation":"(Pallant, 2013; Pett et al., 2011)","plainCitation":"(Pallant, 2013; Pett et al., 2011)"},"citationItems":[{"id":208,"uris":["http://zotero.org/users/1939618/items/ME4Z3BDW"],"uri":["http://zotero.org/users/1939618/items/ME4Z3BDW"],"itemData":{"id":208,"type":"book","title":"SPSS survival manual","publisher":"McGraw-Hill Education (UK)","edition":"5th","source":"Google Scholar","URL":"https://books.google.co.uk/books?hl=en&amp;lr=&amp;id=fZZTBgAAQBAJ&amp;oi=fnd&amp;pg=PR7&amp;dq=spss+manual+survival+5th+edition&amp;ots=KUNtjTXXyQ&amp;sig=bmJQspifgoygavKVhpMYsXasP1I","author":[{"family":"Pallant","given":"Julie"}],"issued":{"date-parts":[["2013"]]},"accessed":{"date-parts":[["2016",11,25]]}},"label":"page"},{"id":207,"uris":["http://zotero.org/users/1939618/items/ZQHWHPQI"],"uri":["http://zotero.org/users/1939618/items/ZQHWHPQI"],"itemData":{"id":207,"type":"book","title":"Making sense of factor analysis: The use of factor analysis for instrument development in health care research","publisher":"Sage","source":"Google Scholar","shortTitle":"Making sense of factor analysis","author":[{"family":"Pett","given":"Marjorie A."},{"family":"Lackey","given":"Nancy R."},{"family":"Sullivan","given":"John J."}],"issued":{"date-parts":[["2011"]]}},"label":"page"}],"schema":"https://github.com/citation-style-language/schema/raw/master/csl-citation.json"} </w:instrText>
      </w:r>
      <w:r w:rsidRPr="00CF31E0">
        <w:rPr>
          <w:lang w:eastAsia="zh-CN"/>
        </w:rPr>
        <w:fldChar w:fldCharType="separate"/>
      </w:r>
      <w:r w:rsidRPr="00CF31E0">
        <w:rPr>
          <w:noProof/>
          <w:lang w:eastAsia="zh-CN"/>
        </w:rPr>
        <w:t>(</w:t>
      </w:r>
      <w:r w:rsidR="00030EEC" w:rsidRPr="00CF31E0">
        <w:rPr>
          <w:noProof/>
          <w:lang w:eastAsia="zh-CN"/>
        </w:rPr>
        <w:t>Pallant, 2013; Pett et al., 2003</w:t>
      </w:r>
      <w:r w:rsidRPr="00CF31E0">
        <w:rPr>
          <w:noProof/>
          <w:lang w:eastAsia="zh-CN"/>
        </w:rPr>
        <w:t>)</w:t>
      </w:r>
      <w:r w:rsidRPr="00CF31E0">
        <w:rPr>
          <w:lang w:eastAsia="zh-CN"/>
        </w:rPr>
        <w:fldChar w:fldCharType="end"/>
      </w:r>
      <w:r w:rsidRPr="00CF31E0">
        <w:rPr>
          <w:lang w:eastAsia="zh-CN"/>
        </w:rPr>
        <w:t xml:space="preserve">. This means that it might be possible for the data to yield fewer factors. </w:t>
      </w:r>
      <w:r w:rsidRPr="00CF31E0">
        <w:rPr>
          <w:rFonts w:eastAsia="MS Mincho"/>
          <w:lang w:eastAsia="en-US"/>
        </w:rPr>
        <w:t>Therefore, I decided to examine more than one technique and choosing the solution “that gives a high proportion of variance ac</w:t>
      </w:r>
      <w:r w:rsidR="00C54185" w:rsidRPr="00CF31E0">
        <w:rPr>
          <w:rFonts w:eastAsia="MS Mincho"/>
          <w:lang w:eastAsia="en-US"/>
        </w:rPr>
        <w:t>count</w:t>
      </w:r>
      <w:r w:rsidRPr="00CF31E0">
        <w:rPr>
          <w:rFonts w:eastAsia="MS Mincho"/>
          <w:lang w:eastAsia="en-US"/>
        </w:rPr>
        <w:t>ed for or that gives the most interpretable solution</w:t>
      </w:r>
      <w:r w:rsidR="00E90789" w:rsidRPr="00CF31E0">
        <w:rPr>
          <w:rFonts w:eastAsia="MS Mincho"/>
          <w:lang w:eastAsia="en-US"/>
        </w:rPr>
        <w:t>”</w:t>
      </w:r>
      <w:r w:rsidRPr="00CF31E0">
        <w:rPr>
          <w:rFonts w:eastAsia="MS Mincho"/>
          <w:lang w:eastAsia="en-US"/>
        </w:rPr>
        <w:t xml:space="preserve"> (</w:t>
      </w:r>
      <w:r w:rsidRPr="00CF31E0">
        <w:rPr>
          <w:rFonts w:eastAsia="Calibri"/>
          <w:lang w:eastAsia="en-US"/>
        </w:rPr>
        <w:t>Conway &amp; Huffcutt, 2003, p. 151)</w:t>
      </w:r>
      <w:r w:rsidRPr="00CF31E0">
        <w:rPr>
          <w:rFonts w:eastAsia="MS Mincho"/>
          <w:lang w:eastAsia="en-US"/>
        </w:rPr>
        <w:t xml:space="preserve">. </w:t>
      </w:r>
      <w:r w:rsidR="00E226B1">
        <w:rPr>
          <w:rFonts w:eastAsia="MS Mincho"/>
          <w:lang w:eastAsia="en-US"/>
        </w:rPr>
        <w:t>This</w:t>
      </w:r>
      <w:r w:rsidR="00AF4060">
        <w:rPr>
          <w:rFonts w:eastAsia="MS Mincho"/>
          <w:lang w:eastAsia="en-US"/>
        </w:rPr>
        <w:t xml:space="preserve"> means the solution</w:t>
      </w:r>
      <w:r w:rsidR="00E226B1">
        <w:rPr>
          <w:rFonts w:eastAsia="MS Mincho"/>
          <w:lang w:eastAsia="en-US"/>
        </w:rPr>
        <w:t xml:space="preserve"> is preferably contains high variance</w:t>
      </w:r>
      <w:r w:rsidR="00AF4060">
        <w:rPr>
          <w:rFonts w:eastAsia="MS Mincho"/>
          <w:lang w:eastAsia="en-US"/>
        </w:rPr>
        <w:t xml:space="preserve"> that interprets meaningful </w:t>
      </w:r>
      <w:r w:rsidR="00E226B1">
        <w:rPr>
          <w:rFonts w:eastAsia="MS Mincho"/>
          <w:lang w:eastAsia="en-US"/>
        </w:rPr>
        <w:t>factors.</w:t>
      </w:r>
    </w:p>
    <w:p w14:paraId="49EBF30D" w14:textId="026C19DE" w:rsidR="00A23C2A" w:rsidRPr="00CF31E0" w:rsidRDefault="00A23C2A" w:rsidP="00603CB7">
      <w:pPr>
        <w:pStyle w:val="Paragraph"/>
        <w:rPr>
          <w:lang w:eastAsia="zh-CN"/>
        </w:rPr>
      </w:pPr>
      <w:r w:rsidRPr="00CF31E0">
        <w:rPr>
          <w:lang w:eastAsia="zh-CN"/>
        </w:rPr>
        <w:t xml:space="preserve">Second, background information on the region indicates </w:t>
      </w:r>
      <w:r w:rsidR="00D74530" w:rsidRPr="00CF31E0">
        <w:rPr>
          <w:lang w:eastAsia="zh-CN"/>
        </w:rPr>
        <w:t xml:space="preserve">a dichotomous language ideology between the UBH and HH dialect. </w:t>
      </w:r>
      <w:r w:rsidRPr="00CF31E0">
        <w:rPr>
          <w:lang w:eastAsia="zh-CN"/>
        </w:rPr>
        <w:t xml:space="preserve">In other words, the background information reveals that there is a clear dialect dichotomy in the region. Therefore, a two-factor solution is more applicable to my results. In order to establish whether the dichotomy found in the background information is actually supported by the data, </w:t>
      </w:r>
      <w:r w:rsidR="00D74530" w:rsidRPr="00CF31E0">
        <w:rPr>
          <w:lang w:eastAsia="zh-CN"/>
        </w:rPr>
        <w:t xml:space="preserve">in the following section, </w:t>
      </w:r>
      <w:r w:rsidRPr="00CF31E0">
        <w:rPr>
          <w:lang w:eastAsia="zh-CN"/>
        </w:rPr>
        <w:t xml:space="preserve">I used the scree plot technique to investigate whether there is any possibility of reducing the number of factors. </w:t>
      </w:r>
    </w:p>
    <w:p w14:paraId="7BD80F36" w14:textId="26234438" w:rsidR="00A23C2A" w:rsidRPr="00CF31E0" w:rsidRDefault="000A1504" w:rsidP="00E87209">
      <w:pPr>
        <w:pStyle w:val="Chead"/>
      </w:pPr>
      <w:bookmarkStart w:id="613" w:name="_Toc6472746"/>
      <w:r w:rsidRPr="00CF31E0">
        <w:t>9</w:t>
      </w:r>
      <w:r w:rsidR="001011B3" w:rsidRPr="00CF31E0">
        <w:t>.4.2.2.</w:t>
      </w:r>
      <w:r w:rsidR="002A5315" w:rsidRPr="00CF31E0">
        <w:tab/>
      </w:r>
      <w:r w:rsidR="00A23C2A" w:rsidRPr="00CF31E0">
        <w:t>Second technique: Scree plot test</w:t>
      </w:r>
      <w:bookmarkEnd w:id="613"/>
    </w:p>
    <w:p w14:paraId="2ACC947D" w14:textId="4906935A" w:rsidR="00A23C2A" w:rsidRPr="00CF31E0" w:rsidRDefault="00A23C2A" w:rsidP="00603CB7">
      <w:pPr>
        <w:pStyle w:val="Paragraph"/>
        <w:rPr>
          <w:lang w:eastAsia="en-US"/>
        </w:rPr>
      </w:pPr>
      <w:r w:rsidRPr="00CF31E0">
        <w:rPr>
          <w:lang w:eastAsia="en-US"/>
        </w:rPr>
        <w:t>Another way of interpreting the output is by using the scree plot technique. A scree plot is an approach that “involves plotting each of the eigenvalues of the factors and inspecting the plot to find a point at which the shape of the curve changes direction and becomes horizontal” (Pallant,</w:t>
      </w:r>
      <w:r w:rsidR="004859A5" w:rsidRPr="00CF31E0">
        <w:rPr>
          <w:lang w:eastAsia="en-US"/>
        </w:rPr>
        <w:t xml:space="preserve"> 2013,</w:t>
      </w:r>
      <w:r w:rsidRPr="00CF31E0">
        <w:rPr>
          <w:lang w:eastAsia="en-US"/>
        </w:rPr>
        <w:t xml:space="preserve"> p. 191). In other words, factors above the elbow indicate that they contributed the most to the variability of the data; therefore, they have to be kept, while </w:t>
      </w:r>
      <w:r w:rsidRPr="00CF31E0">
        <w:rPr>
          <w:lang w:eastAsia="en-US"/>
        </w:rPr>
        <w:lastRenderedPageBreak/>
        <w:t xml:space="preserve">factors below the elbow have to be eliminated because they demonstrated a relatively low value of variability. Scree plot is criticized because there is not clear cut point in the scree in which researchers can claim that this is the point of decision. </w:t>
      </w:r>
    </w:p>
    <w:p w14:paraId="05693B48" w14:textId="31FCD410" w:rsidR="00A23C2A" w:rsidRPr="00CF31E0" w:rsidRDefault="00A23C2A" w:rsidP="00603CB7">
      <w:pPr>
        <w:pStyle w:val="Paragraph"/>
        <w:rPr>
          <w:lang w:eastAsia="zh-CN"/>
        </w:rPr>
      </w:pPr>
      <w:r w:rsidRPr="00CF31E0">
        <w:rPr>
          <w:lang w:eastAsia="zh-CN"/>
        </w:rPr>
        <w:t xml:space="preserve">The scree plot test separates factors according to their shared variance. The factor that has the most shared variance assumes a horizontal shape, while if the factor contributes very little to the total variance, the shape of the scree changes to vertical. See </w:t>
      </w:r>
      <w:r w:rsidR="001011B3" w:rsidRPr="00CF31E0">
        <w:rPr>
          <w:lang w:eastAsia="zh-CN"/>
        </w:rPr>
        <w:t>F</w:t>
      </w:r>
      <w:r w:rsidRPr="00CF31E0">
        <w:rPr>
          <w:lang w:eastAsia="zh-CN"/>
        </w:rPr>
        <w:t xml:space="preserve">igure </w:t>
      </w:r>
      <w:r w:rsidR="000A1504" w:rsidRPr="00CF31E0">
        <w:rPr>
          <w:lang w:eastAsia="zh-CN"/>
        </w:rPr>
        <w:t>9</w:t>
      </w:r>
      <w:r w:rsidR="001011B3" w:rsidRPr="00CF31E0">
        <w:rPr>
          <w:lang w:eastAsia="zh-CN"/>
        </w:rPr>
        <w:t>.</w:t>
      </w:r>
      <w:r w:rsidRPr="00CF31E0">
        <w:rPr>
          <w:lang w:eastAsia="zh-CN"/>
        </w:rPr>
        <w:t xml:space="preserve">1. </w:t>
      </w:r>
    </w:p>
    <w:p w14:paraId="3113F1A7" w14:textId="77777777" w:rsidR="00A23C2A" w:rsidRPr="00CF31E0" w:rsidRDefault="00A23C2A" w:rsidP="00A23C2A">
      <w:pPr>
        <w:widowControl w:val="0"/>
        <w:autoSpaceDE w:val="0"/>
        <w:autoSpaceDN w:val="0"/>
        <w:adjustRightInd w:val="0"/>
        <w:spacing w:before="120" w:line="360" w:lineRule="auto"/>
        <w:jc w:val="both"/>
        <w:rPr>
          <w:rFonts w:eastAsia="Times New Roman"/>
          <w:color w:val="000000" w:themeColor="text1"/>
          <w:lang w:eastAsia="zh-CN"/>
        </w:rPr>
      </w:pPr>
      <w:r w:rsidRPr="00CF31E0">
        <w:rPr>
          <w:rFonts w:eastAsia="Times New Roman"/>
          <w:noProof/>
          <w:color w:val="000000" w:themeColor="text1"/>
        </w:rPr>
        <w:drawing>
          <wp:inline distT="0" distB="0" distL="0" distR="0" wp14:anchorId="41B5BC20" wp14:editId="7C29AE24">
            <wp:extent cx="3393104" cy="2715133"/>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93104" cy="2715133"/>
                    </a:xfrm>
                    <a:prstGeom prst="rect">
                      <a:avLst/>
                    </a:prstGeom>
                    <a:noFill/>
                    <a:ln>
                      <a:noFill/>
                    </a:ln>
                  </pic:spPr>
                </pic:pic>
              </a:graphicData>
            </a:graphic>
          </wp:inline>
        </w:drawing>
      </w:r>
    </w:p>
    <w:p w14:paraId="652A6BDB" w14:textId="4B603ABC" w:rsidR="00A23C2A" w:rsidRPr="00CF31E0" w:rsidRDefault="00A23C2A" w:rsidP="000A1504">
      <w:pPr>
        <w:pStyle w:val="Figcaption"/>
        <w:rPr>
          <w:color w:val="000000" w:themeColor="text1"/>
        </w:rPr>
      </w:pPr>
      <w:bookmarkStart w:id="614" w:name="_Toc522527333"/>
      <w:bookmarkStart w:id="615" w:name="_Toc522628164"/>
      <w:bookmarkStart w:id="616" w:name="_Toc522628282"/>
      <w:bookmarkStart w:id="617" w:name="_Toc522628382"/>
      <w:bookmarkStart w:id="618" w:name="_Toc6472985"/>
      <w:r w:rsidRPr="00CF31E0">
        <w:rPr>
          <w:color w:val="000000" w:themeColor="text1"/>
        </w:rPr>
        <w:t xml:space="preserve">Figure </w:t>
      </w:r>
      <w:r w:rsidR="000A1504" w:rsidRPr="00CF31E0">
        <w:rPr>
          <w:color w:val="000000" w:themeColor="text1"/>
        </w:rPr>
        <w:t>9</w:t>
      </w:r>
      <w:r w:rsidR="001011B3" w:rsidRPr="00CF31E0">
        <w:rPr>
          <w:color w:val="000000" w:themeColor="text1"/>
        </w:rPr>
        <w:t>.</w:t>
      </w:r>
      <w:r w:rsidRPr="00CF31E0">
        <w:rPr>
          <w:color w:val="000000" w:themeColor="text1"/>
        </w:rPr>
        <w:t>1: Scree plot test.</w:t>
      </w:r>
      <w:bookmarkEnd w:id="614"/>
      <w:bookmarkEnd w:id="615"/>
      <w:bookmarkEnd w:id="616"/>
      <w:bookmarkEnd w:id="617"/>
      <w:bookmarkEnd w:id="618"/>
      <w:r w:rsidRPr="00CF31E0">
        <w:rPr>
          <w:color w:val="000000" w:themeColor="text1"/>
        </w:rPr>
        <w:t xml:space="preserve"> </w:t>
      </w:r>
    </w:p>
    <w:p w14:paraId="5AEE6859" w14:textId="45BA1EBB" w:rsidR="00A23C2A" w:rsidRPr="00CF31E0" w:rsidRDefault="00A23C2A" w:rsidP="004F45D7">
      <w:pPr>
        <w:pStyle w:val="Paragraph"/>
        <w:spacing w:before="240"/>
        <w:rPr>
          <w:lang w:eastAsia="zh-CN"/>
        </w:rPr>
      </w:pPr>
      <w:r w:rsidRPr="00CF31E0">
        <w:rPr>
          <w:lang w:eastAsia="zh-CN"/>
        </w:rPr>
        <w:t xml:space="preserve">Figure </w:t>
      </w:r>
      <w:r w:rsidR="000A1504" w:rsidRPr="00CF31E0">
        <w:rPr>
          <w:lang w:eastAsia="zh-CN"/>
        </w:rPr>
        <w:t>9</w:t>
      </w:r>
      <w:r w:rsidR="001011B3" w:rsidRPr="00CF31E0">
        <w:rPr>
          <w:lang w:eastAsia="zh-CN"/>
        </w:rPr>
        <w:t>.</w:t>
      </w:r>
      <w:r w:rsidRPr="00CF31E0">
        <w:rPr>
          <w:lang w:eastAsia="zh-CN"/>
        </w:rPr>
        <w:t xml:space="preserve">1 displays that two factors seem to be above the elbow, which means that factors 1 and 2 demonstrate the most variability in the above figure. Pallant (2013) recommends that only components or factors that make a change to the shape of the plot should be retained. </w:t>
      </w:r>
    </w:p>
    <w:p w14:paraId="07260AAF" w14:textId="66CE2155" w:rsidR="00A23C2A" w:rsidRPr="00CF31E0" w:rsidRDefault="00A23C2A" w:rsidP="00603CB7">
      <w:pPr>
        <w:pStyle w:val="Paragraph"/>
        <w:rPr>
          <w:rFonts w:eastAsia="MS Mincho"/>
          <w:lang w:eastAsia="en-US"/>
        </w:rPr>
      </w:pPr>
      <w:r w:rsidRPr="00CF31E0">
        <w:rPr>
          <w:lang w:eastAsia="zh-CN"/>
        </w:rPr>
        <w:fldChar w:fldCharType="begin"/>
      </w:r>
      <w:r w:rsidRPr="00CF31E0">
        <w:rPr>
          <w:lang w:eastAsia="zh-CN"/>
        </w:rPr>
        <w:instrText xml:space="preserve"> ADDIN ZOTERO_ITEM CSL_CITATION {"citationID":"433MQ08b","properties":{"formattedCitation":"(Pett et al., 2011, p. 30, chapter 4)","plainCitation":"(Pett et al., 2011, p. 30, chapter 4)"},"citationItems":[{"id":207,"uris":["http://zotero.org/users/1939618/items/ZQHWHPQI"],"uri":["http://zotero.org/users/1939618/items/ZQHWHPQI"],"itemData":{"id":207,"type":"book","title":"Making sense of factor analysis: The use of factor analysis for instrument development in health care research","publisher":"Sage","source":"Google Scholar","shortTitle":"Making sense of factor analysis","author":[{"family":"Pett","given":"Marjorie A."},{"family":"Lackey","given":"Nancy R."},{"family":"Sullivan","given":"John J."}],"issued":{"date-parts":[["2011"]]}},"locator":"30, chapter 4","label":"page"}],"schema":"https://github.com/citation-style-language/schema/raw/master/csl-citation.json"} </w:instrText>
      </w:r>
      <w:r w:rsidRPr="00CF31E0">
        <w:rPr>
          <w:lang w:eastAsia="zh-CN"/>
        </w:rPr>
        <w:fldChar w:fldCharType="separate"/>
      </w:r>
      <w:r w:rsidRPr="00CF31E0">
        <w:rPr>
          <w:noProof/>
          <w:lang w:eastAsia="zh-CN"/>
        </w:rPr>
        <w:t>Pet</w:t>
      </w:r>
      <w:r w:rsidR="00030EEC" w:rsidRPr="00CF31E0">
        <w:rPr>
          <w:noProof/>
          <w:lang w:eastAsia="zh-CN"/>
        </w:rPr>
        <w:t>t et al. (2003</w:t>
      </w:r>
      <w:r w:rsidRPr="00CF31E0">
        <w:rPr>
          <w:noProof/>
          <w:lang w:eastAsia="zh-CN"/>
        </w:rPr>
        <w:t xml:space="preserve">, p. 30, </w:t>
      </w:r>
      <w:r w:rsidR="00963EAD" w:rsidRPr="00CF31E0">
        <w:rPr>
          <w:noProof/>
          <w:lang w:eastAsia="zh-CN"/>
        </w:rPr>
        <w:t>C</w:t>
      </w:r>
      <w:r w:rsidRPr="00CF31E0">
        <w:rPr>
          <w:noProof/>
          <w:lang w:eastAsia="zh-CN"/>
        </w:rPr>
        <w:t>hapter 4)</w:t>
      </w:r>
      <w:r w:rsidRPr="00CF31E0">
        <w:rPr>
          <w:lang w:eastAsia="zh-CN"/>
        </w:rPr>
        <w:fldChar w:fldCharType="end"/>
      </w:r>
      <w:r w:rsidRPr="00CF31E0">
        <w:rPr>
          <w:lang w:eastAsia="zh-CN"/>
        </w:rPr>
        <w:t xml:space="preserve"> comments that “it is often necessary to use subjective judgment to determine where the discontinuity of the eigenvalues occurs”. Accordingly, the researcher has to consider the research background when determining the number of factors and whether the research data needs to be represented with many or a few factors. Other authors argue that if the change in the curve is not clear in the scree plot, then the researcher can re-run a couple of factor analysis solutions with a </w:t>
      </w:r>
      <w:r w:rsidRPr="00CF31E0">
        <w:rPr>
          <w:lang w:eastAsia="zh-CN"/>
        </w:rPr>
        <w:lastRenderedPageBreak/>
        <w:t xml:space="preserve">fixed number of factors for each solution, until the researcher reaches a solution where he or she can observe a change in the curve </w:t>
      </w:r>
      <w:r w:rsidRPr="00CF31E0">
        <w:rPr>
          <w:lang w:eastAsia="zh-CN"/>
        </w:rPr>
        <w:fldChar w:fldCharType="begin"/>
      </w:r>
      <w:r w:rsidRPr="00CF31E0">
        <w:rPr>
          <w:lang w:eastAsia="zh-CN"/>
        </w:rPr>
        <w:instrText xml:space="preserve"> ADDIN ZOTERO_ITEM CSL_CITATION {"citationID":"2k7qsg9m4m","properties":{"formattedCitation":"(Pedhazur &amp; Schmelkin, 1991; Barbara G. Tabachnick et al., 2001)","plainCitation":"(Pedhazur &amp; Schmelkin, 1991; Barbara G. Tabachnick et al., 2001)","noteIndex":0},"citationItems":[{"id":226,"uris":["http://zotero.org/users/1939618/items/MVHI33I4"],"uri":["http://zotero.org/users/1939618/items/MVHI33I4"],"itemData":{"id":226,"type":"book","title":"Measurement, design, and analysis: An integrated approach","publisher":"Lawrence Erlbaum.","publisher-place":"Hillsdale, NJ","source":"Google Scholar","event-place":"Hillsdale, NJ","URL":"https://books.google.co.uk/books?hl=en&amp;lr=&amp;id=WXt_NSiqV7wC&amp;oi=fnd&amp;pg=PR2&amp;dq=Measurement,+design,+and+analysis:+An+integrated+approach.&amp;ots=7sxmH1jkJP&amp;sig=Zc9eCjwFYfacykWQiyhq5eG2s6c","shortTitle":"Measurement, design, and analysis","author":[{"family":"Pedhazur","given":"Elazar J."},{"family":"Schmelkin","given":"Liora Pedhazur"}],"issued":{"date-parts":[["1991"]]},"accessed":{"date-parts":[["2016",11,26]]}},"label":"page"},{"id":217,"uris":["http://zotero.org/users/1939618/items/TIBK6GHB"],"uri":["http://zotero.org/users/1939618/items/TIBK6GHB"],"itemData":{"id":217,"type":"book","title":"Using multivariate statistics","publisher":"Allyn &amp; Bacon.","publisher-place":"Boston","edition":"4th","source":"Google Scholar","event-place":"Boston","URL":"https://www.ulb.tu-darmstadt.de/tocs/135813948.pdf","author":[{"family":"Tabachnick","given":"Barbara G."},{"family":"Fidell","given":"Linda S."},{"family":"Osterlind","given":"Steven J."}],"issued":{"date-parts":[["2001"]]},"accessed":{"date-parts":[["2016",11,25]]}},"label":"page"}],"schema":"https://github.com/citation-style-language/schema/raw/master/csl-citation.json"} </w:instrText>
      </w:r>
      <w:r w:rsidRPr="00CF31E0">
        <w:rPr>
          <w:lang w:eastAsia="zh-CN"/>
        </w:rPr>
        <w:fldChar w:fldCharType="separate"/>
      </w:r>
      <w:r w:rsidRPr="00CF31E0">
        <w:rPr>
          <w:szCs w:val="22"/>
          <w:lang w:eastAsia="zh-CN"/>
        </w:rPr>
        <w:t>(Pedhazur &amp; Schmelki</w:t>
      </w:r>
      <w:r w:rsidR="006A176D" w:rsidRPr="00CF31E0">
        <w:rPr>
          <w:szCs w:val="22"/>
          <w:lang w:eastAsia="zh-CN"/>
        </w:rPr>
        <w:t xml:space="preserve">n, 1991; Tabachnick &amp; </w:t>
      </w:r>
      <w:r w:rsidR="006A176D" w:rsidRPr="00CF31E0">
        <w:rPr>
          <w:rFonts w:eastAsia="Times New Roman"/>
          <w:noProof/>
          <w:szCs w:val="22"/>
          <w:lang w:eastAsia="zh-CN"/>
        </w:rPr>
        <w:t>Fidell</w:t>
      </w:r>
      <w:r w:rsidR="006A176D" w:rsidRPr="00CF31E0">
        <w:rPr>
          <w:szCs w:val="22"/>
          <w:lang w:eastAsia="zh-CN"/>
        </w:rPr>
        <w:t>, 2007</w:t>
      </w:r>
      <w:r w:rsidRPr="00CF31E0">
        <w:rPr>
          <w:szCs w:val="22"/>
          <w:lang w:eastAsia="zh-CN"/>
        </w:rPr>
        <w:t>)</w:t>
      </w:r>
      <w:r w:rsidRPr="00CF31E0">
        <w:rPr>
          <w:lang w:eastAsia="zh-CN"/>
        </w:rPr>
        <w:fldChar w:fldCharType="end"/>
      </w:r>
      <w:r w:rsidRPr="00CF31E0">
        <w:rPr>
          <w:lang w:eastAsia="zh-CN"/>
        </w:rPr>
        <w:t xml:space="preserve">. In the example above, although the change in the curve is somewhat obvious, there might be potential for the change in the curve to happen in the third plot, since it also represents a slight change in the shape. </w:t>
      </w:r>
      <w:r w:rsidRPr="00CF31E0">
        <w:rPr>
          <w:rFonts w:eastAsia="MS Mincho"/>
          <w:lang w:eastAsia="en-US"/>
        </w:rPr>
        <w:t>Therefore</w:t>
      </w:r>
      <w:r w:rsidRPr="00CF31E0">
        <w:rPr>
          <w:szCs w:val="22"/>
          <w:lang w:eastAsia="zh-CN"/>
        </w:rPr>
        <w:t xml:space="preserve">, the decision taking for number of factors retained is not straightforward with the scree plot technique. Hence, it is highly recommended finding a solution that can compensate for drawbacks of Kaiser’s criterion and scree test. This means </w:t>
      </w:r>
      <w:r w:rsidR="00FF1384" w:rsidRPr="00CF31E0">
        <w:rPr>
          <w:szCs w:val="22"/>
          <w:lang w:eastAsia="zh-CN"/>
        </w:rPr>
        <w:t xml:space="preserve">a smaller </w:t>
      </w:r>
      <w:r w:rsidRPr="00CF31E0">
        <w:rPr>
          <w:szCs w:val="22"/>
          <w:lang w:eastAsia="zh-CN"/>
        </w:rPr>
        <w:t>number of factors and objective</w:t>
      </w:r>
      <w:r w:rsidRPr="00CF31E0">
        <w:rPr>
          <w:rFonts w:eastAsia="MS Mincho"/>
          <w:lang w:eastAsia="en-US"/>
        </w:rPr>
        <w:t xml:space="preserve"> selection. </w:t>
      </w:r>
    </w:p>
    <w:p w14:paraId="65A10E6A" w14:textId="1214BDBC" w:rsidR="00A23C2A" w:rsidRPr="00CF31E0" w:rsidRDefault="000A1504" w:rsidP="00E87209">
      <w:pPr>
        <w:pStyle w:val="Chead"/>
      </w:pPr>
      <w:bookmarkStart w:id="619" w:name="_Toc6472747"/>
      <w:r w:rsidRPr="00CF31E0">
        <w:t>9</w:t>
      </w:r>
      <w:r w:rsidR="001011B3" w:rsidRPr="00CF31E0">
        <w:t>.4.2.3.</w:t>
      </w:r>
      <w:r w:rsidR="002A5315" w:rsidRPr="00CF31E0">
        <w:tab/>
      </w:r>
      <w:r w:rsidR="00A23C2A" w:rsidRPr="00CF31E0">
        <w:t>Third technique: Parallel analysis</w:t>
      </w:r>
      <w:bookmarkEnd w:id="619"/>
      <w:r w:rsidR="00A23C2A" w:rsidRPr="00CF31E0">
        <w:t xml:space="preserve"> </w:t>
      </w:r>
    </w:p>
    <w:p w14:paraId="6EB2D68A" w14:textId="4C74B1FE" w:rsidR="00A23C2A" w:rsidRPr="00CF31E0" w:rsidRDefault="00A23C2A" w:rsidP="00603CB7">
      <w:pPr>
        <w:pStyle w:val="Paragraph"/>
        <w:rPr>
          <w:lang w:eastAsia="en-US"/>
        </w:rPr>
      </w:pPr>
      <w:r w:rsidRPr="00CF31E0">
        <w:rPr>
          <w:lang w:eastAsia="en-US"/>
        </w:rPr>
        <w:t xml:space="preserve">Parallel analysis is a statistical program developed by Watkins (2000). It “involves comparing the size of the eigenvalues with those obtained from a randomly generated data set of the same size” </w:t>
      </w:r>
      <w:bookmarkStart w:id="620" w:name="ZOTERO_BREF_qZ8AqFTnfsc5"/>
      <w:r w:rsidRPr="00CF31E0">
        <w:rPr>
          <w:rFonts w:eastAsia="Times New Roman"/>
          <w:szCs w:val="22"/>
          <w:lang w:eastAsia="zh-CN"/>
        </w:rPr>
        <w:t>(Pallant, 2013, p. 191)</w:t>
      </w:r>
      <w:bookmarkEnd w:id="620"/>
      <w:r w:rsidRPr="00CF31E0">
        <w:rPr>
          <w:lang w:eastAsia="en-US"/>
        </w:rPr>
        <w:t xml:space="preserve">. </w:t>
      </w:r>
      <w:r w:rsidR="00AF4060">
        <w:rPr>
          <w:lang w:eastAsia="en-US"/>
        </w:rPr>
        <w:t>This means i</w:t>
      </w:r>
      <w:r w:rsidRPr="00CF31E0">
        <w:rPr>
          <w:lang w:eastAsia="en-US"/>
        </w:rPr>
        <w:t xml:space="preserve">f the eigenvalue of the random data is greater than the eigenvalue from the actual data, then the factor has to be removed, and if the eigenvalue of the random data is smaller than the one in the actual data, then the factor has to be retained. Many authors argue that parallel analysis is much more accurate than Kaiser’s criterion, since the latter is more likely to generate too many factors </w:t>
      </w:r>
      <w:bookmarkStart w:id="621" w:name="ZOTERO_BREF_OwC46Al7zhKp"/>
      <w:r w:rsidRPr="00CF31E0">
        <w:rPr>
          <w:lang w:eastAsia="en-US"/>
        </w:rPr>
        <w:fldChar w:fldCharType="begin"/>
      </w:r>
      <w:r w:rsidRPr="00CF31E0">
        <w:rPr>
          <w:lang w:eastAsia="en-US"/>
        </w:rPr>
        <w:instrText xml:space="preserve"> ADDIN ZOTERO_ITEM CSL_CITATION {"citationID":"a1558gtf2ci","properties":{"formattedCitation":"(Hubbard &amp; Allen, 1987; Pallant, 2013; Zwick &amp; Velicer, 1986)","plainCitation":"(Hubbard &amp; Allen, 1987; Pallant, 2013; Zwick &amp; Velicer, 1986)"},"citationItems":[{"id":219,"uris":["http://zotero.org/users/1939618/items/Q93PID3J"],"uri":["http://zotero.org/users/1939618/items/Q93PID3J"],"itemData":{"id":219,"type":"article-journal","title":"An empirical comparison of alternative methods for principal component extraction","container-title":"Journal of Business Research","page":"173–190","volume":"15","issue":"2","source":"Google Scholar","author":[{"family":"Hubbard","given":"Raymond"},{"family":"Allen","given":"Stuart J."}],"issued":{"date-parts":[["1987"]]}},"label":"page"},{"id":208,"uris":["http://zotero.org/users/1939618/items/ME4Z3BDW"],"uri":["http://zotero.org/users/1939618/items/ME4Z3BDW"],"itemData":{"id":208,"type":"book","title":"SPSS survival manual","publisher":"McGraw-Hill Education (UK)","edition":"5th","source":"Google Scholar","URL":"https://books.google.co.uk/books?hl=en&amp;lr=&amp;id=fZZTBgAAQBAJ&amp;oi=fnd&amp;pg=PR7&amp;dq=spss+manual+survival+5th+edition&amp;ots=KUNtjTXXyQ&amp;sig=bmJQspifgoygavKVhpMYsXasP1I","author":[{"family":"Pallant","given":"Julie"}],"issued":{"date-parts":[["2013"]]},"accessed":{"date-parts":[["2016",11,25]]}},"label":"page"},{"id":221,"uris":["http://zotero.org/users/1939618/items/P89TMK3X"],"uri":["http://zotero.org/users/1939618/items/P89TMK3X"],"itemData":{"id":221,"type":"article-journal","title":"Comparison of five rules for determining the number of components to retain.","container-title":"Psychological bulletin","page":"432","volume":"99","issue":"3","source":"Google Scholar","author":[{"family":"Zwick","given":"William R."},{"family":"Velicer","given":"Wayne F."}],"issued":{"date-parts":[["1986"]]}},"label":"page"}],"schema":"https://github.com/citation-style-language/schema/raw/master/csl-citation.json"} </w:instrText>
      </w:r>
      <w:r w:rsidRPr="00CF31E0">
        <w:rPr>
          <w:lang w:eastAsia="en-US"/>
        </w:rPr>
        <w:fldChar w:fldCharType="separate"/>
      </w:r>
      <w:r w:rsidRPr="00CF31E0">
        <w:rPr>
          <w:noProof/>
          <w:lang w:eastAsia="en-US"/>
        </w:rPr>
        <w:t>(Hubbard &amp; Allen, 1987; Pallant, 2013; Zwick &amp; Velicer, 1986)</w:t>
      </w:r>
      <w:r w:rsidRPr="00CF31E0">
        <w:rPr>
          <w:lang w:eastAsia="en-US"/>
        </w:rPr>
        <w:fldChar w:fldCharType="end"/>
      </w:r>
      <w:bookmarkEnd w:id="621"/>
      <w:r w:rsidRPr="00CF31E0">
        <w:rPr>
          <w:lang w:eastAsia="en-US"/>
        </w:rPr>
        <w:t xml:space="preserve">. Furthermore, </w:t>
      </w:r>
      <w:bookmarkStart w:id="622" w:name="ZOTERO_BREF_PAHGzKHSv79q"/>
      <w:r w:rsidRPr="00CF31E0">
        <w:rPr>
          <w:rFonts w:eastAsia="Times New Roman"/>
          <w:szCs w:val="22"/>
          <w:lang w:eastAsia="zh-CN"/>
        </w:rPr>
        <w:t xml:space="preserve">Conway </w:t>
      </w:r>
      <w:r w:rsidR="00BE2071" w:rsidRPr="00CF31E0">
        <w:rPr>
          <w:rFonts w:eastAsia="Times New Roman"/>
          <w:szCs w:val="22"/>
          <w:lang w:eastAsia="zh-CN"/>
        </w:rPr>
        <w:t xml:space="preserve">and </w:t>
      </w:r>
      <w:r w:rsidRPr="00CF31E0">
        <w:rPr>
          <w:rFonts w:eastAsia="Times New Roman"/>
          <w:szCs w:val="22"/>
          <w:lang w:eastAsia="zh-CN"/>
        </w:rPr>
        <w:t xml:space="preserve">Huffcutt (2003) and Reio Jr </w:t>
      </w:r>
      <w:r w:rsidR="00BE2071" w:rsidRPr="00CF31E0">
        <w:rPr>
          <w:rFonts w:eastAsia="Times New Roman"/>
          <w:szCs w:val="22"/>
          <w:lang w:eastAsia="zh-CN"/>
        </w:rPr>
        <w:t xml:space="preserve">and </w:t>
      </w:r>
      <w:r w:rsidRPr="00CF31E0">
        <w:rPr>
          <w:rFonts w:eastAsia="Times New Roman"/>
          <w:szCs w:val="22"/>
          <w:lang w:eastAsia="zh-CN"/>
        </w:rPr>
        <w:t>Shuck (2015)</w:t>
      </w:r>
      <w:bookmarkEnd w:id="622"/>
      <w:r w:rsidRPr="00CF31E0">
        <w:rPr>
          <w:lang w:eastAsia="en-US"/>
        </w:rPr>
        <w:t xml:space="preserve"> argue that parallel analysis is the most accurate among all other factor retention rules. Hence, when parallel analysis was applied to the research data, it proved to be more accurate for obtaining a reduced number of factors, in contrast to Kaiser’s criterion. </w:t>
      </w:r>
    </w:p>
    <w:p w14:paraId="7922410E" w14:textId="7FCF7392" w:rsidR="009108BC" w:rsidRPr="00CF31E0" w:rsidRDefault="00A23C2A" w:rsidP="009108BC">
      <w:pPr>
        <w:pStyle w:val="Paragraph"/>
        <w:rPr>
          <w:lang w:eastAsia="en-US"/>
        </w:rPr>
      </w:pPr>
      <w:r w:rsidRPr="00CF31E0">
        <w:rPr>
          <w:lang w:eastAsia="en-US"/>
        </w:rPr>
        <w:t xml:space="preserve">Table </w:t>
      </w:r>
      <w:r w:rsidR="000A1504" w:rsidRPr="00CF31E0">
        <w:rPr>
          <w:lang w:eastAsia="en-US"/>
        </w:rPr>
        <w:t>9</w:t>
      </w:r>
      <w:r w:rsidR="001011B3" w:rsidRPr="00CF31E0">
        <w:rPr>
          <w:lang w:eastAsia="en-US"/>
        </w:rPr>
        <w:t>.</w:t>
      </w:r>
      <w:r w:rsidR="002A5315" w:rsidRPr="00CF31E0">
        <w:rPr>
          <w:lang w:eastAsia="en-US"/>
        </w:rPr>
        <w:t>8</w:t>
      </w:r>
      <w:r w:rsidR="001011B3" w:rsidRPr="00CF31E0">
        <w:rPr>
          <w:lang w:eastAsia="en-US"/>
        </w:rPr>
        <w:t xml:space="preserve"> </w:t>
      </w:r>
      <w:r w:rsidRPr="00CF31E0">
        <w:rPr>
          <w:lang w:eastAsia="en-US"/>
        </w:rPr>
        <w:t xml:space="preserve">illustrates the random eigenvalues from the random data in parallel analysis, and Table </w:t>
      </w:r>
      <w:r w:rsidR="000A1504" w:rsidRPr="00CF31E0">
        <w:rPr>
          <w:lang w:eastAsia="en-US"/>
        </w:rPr>
        <w:t>9</w:t>
      </w:r>
      <w:r w:rsidR="001011B3" w:rsidRPr="00CF31E0">
        <w:rPr>
          <w:lang w:eastAsia="en-US"/>
        </w:rPr>
        <w:t>.</w:t>
      </w:r>
      <w:r w:rsidR="002A5315" w:rsidRPr="00CF31E0">
        <w:rPr>
          <w:lang w:eastAsia="en-US"/>
        </w:rPr>
        <w:t>9</w:t>
      </w:r>
      <w:r w:rsidR="001011B3" w:rsidRPr="00CF31E0">
        <w:rPr>
          <w:lang w:eastAsia="en-US"/>
        </w:rPr>
        <w:t xml:space="preserve"> </w:t>
      </w:r>
      <w:r w:rsidRPr="00CF31E0">
        <w:rPr>
          <w:lang w:eastAsia="en-US"/>
        </w:rPr>
        <w:t>gives a comparison between the eigenvalues from the random data and the eigenvalues from the actual data obtained in total variance explained</w:t>
      </w:r>
      <w:r w:rsidR="004859A5" w:rsidRPr="00CF31E0">
        <w:rPr>
          <w:lang w:eastAsia="en-US"/>
        </w:rPr>
        <w:t>,</w:t>
      </w:r>
      <w:r w:rsidRPr="00CF31E0">
        <w:rPr>
          <w:lang w:eastAsia="en-US"/>
        </w:rPr>
        <w:t xml:space="preserve"> see </w:t>
      </w:r>
      <w:r w:rsidR="000A1504" w:rsidRPr="00CF31E0">
        <w:rPr>
          <w:lang w:eastAsia="en-US"/>
        </w:rPr>
        <w:t>T</w:t>
      </w:r>
      <w:r w:rsidRPr="00CF31E0">
        <w:rPr>
          <w:lang w:eastAsia="en-US"/>
        </w:rPr>
        <w:t xml:space="preserve">able </w:t>
      </w:r>
      <w:r w:rsidR="000A1504" w:rsidRPr="00CF31E0">
        <w:rPr>
          <w:lang w:eastAsia="en-US"/>
        </w:rPr>
        <w:t>9</w:t>
      </w:r>
      <w:r w:rsidR="007D674B" w:rsidRPr="00CF31E0">
        <w:rPr>
          <w:lang w:eastAsia="en-US"/>
        </w:rPr>
        <w:t>.8</w:t>
      </w:r>
      <w:r w:rsidR="004859A5" w:rsidRPr="00CF31E0">
        <w:rPr>
          <w:lang w:eastAsia="en-US"/>
        </w:rPr>
        <w:t xml:space="preserve"> and </w:t>
      </w:r>
      <w:r w:rsidR="000A1504" w:rsidRPr="00CF31E0">
        <w:rPr>
          <w:lang w:eastAsia="en-US"/>
        </w:rPr>
        <w:t>9</w:t>
      </w:r>
      <w:r w:rsidR="009108BC" w:rsidRPr="00CF31E0">
        <w:rPr>
          <w:lang w:eastAsia="en-US"/>
        </w:rPr>
        <w:t>.</w:t>
      </w:r>
    </w:p>
    <w:tbl>
      <w:tblPr>
        <w:tblW w:w="7371" w:type="dxa"/>
        <w:tblLayout w:type="fixed"/>
        <w:tblCellMar>
          <w:left w:w="0" w:type="dxa"/>
          <w:right w:w="0" w:type="dxa"/>
        </w:tblCellMar>
        <w:tblLook w:val="04A0" w:firstRow="1" w:lastRow="0" w:firstColumn="1" w:lastColumn="0" w:noHBand="0" w:noVBand="1"/>
      </w:tblPr>
      <w:tblGrid>
        <w:gridCol w:w="3245"/>
        <w:gridCol w:w="2425"/>
        <w:gridCol w:w="1701"/>
      </w:tblGrid>
      <w:tr w:rsidR="00991142" w:rsidRPr="00CF31E0" w14:paraId="560237F0" w14:textId="77777777" w:rsidTr="00603CB7">
        <w:trPr>
          <w:cantSplit/>
          <w:trHeight w:val="567"/>
        </w:trPr>
        <w:tc>
          <w:tcPr>
            <w:tcW w:w="3245" w:type="dxa"/>
            <w:tcBorders>
              <w:top w:val="single" w:sz="8" w:space="0" w:color="000000"/>
              <w:bottom w:val="single" w:sz="8" w:space="0" w:color="000000"/>
            </w:tcBorders>
            <w:shd w:val="clear" w:color="auto" w:fill="FFFFFF"/>
            <w:vAlign w:val="bottom"/>
            <w:hideMark/>
          </w:tcPr>
          <w:p w14:paraId="132AC2E5" w14:textId="77777777" w:rsidR="00991142" w:rsidRPr="00CF31E0" w:rsidRDefault="00991142" w:rsidP="00603CB7">
            <w:pPr>
              <w:widowControl w:val="0"/>
              <w:autoSpaceDE w:val="0"/>
              <w:autoSpaceDN w:val="0"/>
              <w:adjustRightInd w:val="0"/>
              <w:spacing w:before="120" w:after="12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Eigenvalue</w:t>
            </w:r>
          </w:p>
        </w:tc>
        <w:tc>
          <w:tcPr>
            <w:tcW w:w="2425" w:type="dxa"/>
            <w:tcBorders>
              <w:top w:val="single" w:sz="8" w:space="0" w:color="000000"/>
              <w:bottom w:val="single" w:sz="8" w:space="0" w:color="000000"/>
            </w:tcBorders>
            <w:shd w:val="clear" w:color="auto" w:fill="FFFFFF"/>
            <w:vAlign w:val="bottom"/>
            <w:hideMark/>
          </w:tcPr>
          <w:p w14:paraId="6A838DE0" w14:textId="77777777" w:rsidR="00991142" w:rsidRPr="00CF31E0" w:rsidRDefault="0099114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 Random Eigenvalue</w:t>
            </w:r>
          </w:p>
        </w:tc>
        <w:tc>
          <w:tcPr>
            <w:tcW w:w="1701" w:type="dxa"/>
            <w:tcBorders>
              <w:top w:val="single" w:sz="8" w:space="0" w:color="000000"/>
              <w:bottom w:val="single" w:sz="8" w:space="0" w:color="000000"/>
            </w:tcBorders>
            <w:shd w:val="clear" w:color="auto" w:fill="FFFFFF"/>
            <w:vAlign w:val="bottom"/>
            <w:hideMark/>
          </w:tcPr>
          <w:p w14:paraId="53E6BD8A" w14:textId="77777777" w:rsidR="00991142" w:rsidRPr="00CF31E0" w:rsidRDefault="0099114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Standard Dev.</w:t>
            </w:r>
          </w:p>
        </w:tc>
      </w:tr>
      <w:tr w:rsidR="00991142" w:rsidRPr="00CF31E0" w14:paraId="15E0B661" w14:textId="77777777" w:rsidTr="00603CB7">
        <w:trPr>
          <w:cantSplit/>
        </w:trPr>
        <w:tc>
          <w:tcPr>
            <w:tcW w:w="3245" w:type="dxa"/>
            <w:tcBorders>
              <w:top w:val="single" w:sz="8" w:space="0" w:color="000000"/>
            </w:tcBorders>
            <w:shd w:val="clear" w:color="auto" w:fill="FFFFFF"/>
            <w:hideMark/>
          </w:tcPr>
          <w:p w14:paraId="2E28E61A" w14:textId="77777777" w:rsidR="00991142" w:rsidRPr="00CF31E0" w:rsidRDefault="0099114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lastRenderedPageBreak/>
              <w:t>1</w:t>
            </w:r>
          </w:p>
        </w:tc>
        <w:tc>
          <w:tcPr>
            <w:tcW w:w="2425" w:type="dxa"/>
            <w:tcBorders>
              <w:top w:val="single" w:sz="8" w:space="0" w:color="000000"/>
            </w:tcBorders>
            <w:shd w:val="clear" w:color="auto" w:fill="FFFFFF"/>
            <w:vAlign w:val="center"/>
            <w:hideMark/>
          </w:tcPr>
          <w:p w14:paraId="72104D35" w14:textId="77777777" w:rsidR="00991142" w:rsidRPr="00CF31E0" w:rsidRDefault="0099114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val="en-US" w:eastAsia="zh-CN"/>
              </w:rPr>
              <w:t>1.1852</w:t>
            </w:r>
          </w:p>
        </w:tc>
        <w:tc>
          <w:tcPr>
            <w:tcW w:w="1701" w:type="dxa"/>
            <w:tcBorders>
              <w:top w:val="single" w:sz="8" w:space="0" w:color="000000"/>
            </w:tcBorders>
            <w:shd w:val="clear" w:color="auto" w:fill="FFFFFF"/>
            <w:hideMark/>
          </w:tcPr>
          <w:p w14:paraId="766EDB51" w14:textId="77777777" w:rsidR="00991142" w:rsidRPr="00CF31E0" w:rsidRDefault="00991142" w:rsidP="00603CB7">
            <w:pPr>
              <w:widowControl w:val="0"/>
              <w:autoSpaceDE w:val="0"/>
              <w:autoSpaceDN w:val="0"/>
              <w:adjustRightInd w:val="0"/>
              <w:spacing w:before="120" w:after="12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.0198</w:t>
            </w:r>
          </w:p>
        </w:tc>
      </w:tr>
      <w:tr w:rsidR="00991142" w:rsidRPr="00CF31E0" w14:paraId="6FFB4BCA" w14:textId="77777777" w:rsidTr="00603CB7">
        <w:trPr>
          <w:cantSplit/>
        </w:trPr>
        <w:tc>
          <w:tcPr>
            <w:tcW w:w="3245" w:type="dxa"/>
            <w:shd w:val="clear" w:color="auto" w:fill="FFFFFF"/>
            <w:hideMark/>
          </w:tcPr>
          <w:p w14:paraId="68C155C4" w14:textId="77777777" w:rsidR="00991142" w:rsidRPr="00CF31E0" w:rsidRDefault="0099114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2</w:t>
            </w:r>
          </w:p>
        </w:tc>
        <w:tc>
          <w:tcPr>
            <w:tcW w:w="2425" w:type="dxa"/>
            <w:shd w:val="clear" w:color="auto" w:fill="FFFFFF"/>
            <w:vAlign w:val="center"/>
            <w:hideMark/>
          </w:tcPr>
          <w:p w14:paraId="5C0438B0" w14:textId="77777777" w:rsidR="00991142" w:rsidRPr="00CF31E0" w:rsidRDefault="0099114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val="en-US" w:eastAsia="zh-CN"/>
              </w:rPr>
              <w:t>1.1430</w:t>
            </w:r>
          </w:p>
        </w:tc>
        <w:tc>
          <w:tcPr>
            <w:tcW w:w="1701" w:type="dxa"/>
            <w:shd w:val="clear" w:color="auto" w:fill="FFFFFF"/>
            <w:hideMark/>
          </w:tcPr>
          <w:p w14:paraId="28FF94C6" w14:textId="77777777" w:rsidR="00991142" w:rsidRPr="00CF31E0" w:rsidRDefault="00991142" w:rsidP="00603CB7">
            <w:pPr>
              <w:widowControl w:val="0"/>
              <w:autoSpaceDE w:val="0"/>
              <w:autoSpaceDN w:val="0"/>
              <w:adjustRightInd w:val="0"/>
              <w:spacing w:before="120" w:after="12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.0167</w:t>
            </w:r>
          </w:p>
        </w:tc>
      </w:tr>
      <w:tr w:rsidR="00991142" w:rsidRPr="00CF31E0" w14:paraId="5B86EC62" w14:textId="77777777" w:rsidTr="00603CB7">
        <w:trPr>
          <w:cantSplit/>
        </w:trPr>
        <w:tc>
          <w:tcPr>
            <w:tcW w:w="3245" w:type="dxa"/>
            <w:shd w:val="clear" w:color="auto" w:fill="FFFFFF"/>
            <w:hideMark/>
          </w:tcPr>
          <w:p w14:paraId="169778C0" w14:textId="77777777" w:rsidR="00991142" w:rsidRPr="00CF31E0" w:rsidRDefault="0099114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3</w:t>
            </w:r>
          </w:p>
        </w:tc>
        <w:tc>
          <w:tcPr>
            <w:tcW w:w="2425" w:type="dxa"/>
            <w:shd w:val="clear" w:color="auto" w:fill="FFFFFF"/>
            <w:vAlign w:val="center"/>
            <w:hideMark/>
          </w:tcPr>
          <w:p w14:paraId="4C0014AC" w14:textId="77777777" w:rsidR="00991142" w:rsidRPr="00CF31E0" w:rsidRDefault="0099114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val="en-US" w:eastAsia="zh-CN"/>
              </w:rPr>
              <w:t>1.1157</w:t>
            </w:r>
          </w:p>
        </w:tc>
        <w:tc>
          <w:tcPr>
            <w:tcW w:w="1701" w:type="dxa"/>
            <w:shd w:val="clear" w:color="auto" w:fill="FFFFFF"/>
            <w:hideMark/>
          </w:tcPr>
          <w:p w14:paraId="3A25E9CB" w14:textId="77777777" w:rsidR="00991142" w:rsidRPr="00CF31E0" w:rsidRDefault="00991142" w:rsidP="00603CB7">
            <w:pPr>
              <w:widowControl w:val="0"/>
              <w:autoSpaceDE w:val="0"/>
              <w:autoSpaceDN w:val="0"/>
              <w:adjustRightInd w:val="0"/>
              <w:spacing w:before="120" w:after="12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.0136</w:t>
            </w:r>
          </w:p>
        </w:tc>
      </w:tr>
      <w:tr w:rsidR="00991142" w:rsidRPr="00CF31E0" w14:paraId="6EB05E03" w14:textId="77777777" w:rsidTr="00603CB7">
        <w:trPr>
          <w:cantSplit/>
        </w:trPr>
        <w:tc>
          <w:tcPr>
            <w:tcW w:w="3245" w:type="dxa"/>
            <w:shd w:val="clear" w:color="auto" w:fill="FFFFFF"/>
            <w:hideMark/>
          </w:tcPr>
          <w:p w14:paraId="62274B0F" w14:textId="77777777" w:rsidR="00991142" w:rsidRPr="00CF31E0" w:rsidRDefault="0099114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4</w:t>
            </w:r>
          </w:p>
        </w:tc>
        <w:tc>
          <w:tcPr>
            <w:tcW w:w="2425" w:type="dxa"/>
            <w:shd w:val="clear" w:color="auto" w:fill="FFFFFF"/>
            <w:vAlign w:val="center"/>
            <w:hideMark/>
          </w:tcPr>
          <w:p w14:paraId="18776807" w14:textId="77777777" w:rsidR="00991142" w:rsidRPr="00CF31E0" w:rsidRDefault="0099114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val="en-US" w:eastAsia="zh-CN"/>
              </w:rPr>
              <w:t>1.0877</w:t>
            </w:r>
          </w:p>
        </w:tc>
        <w:tc>
          <w:tcPr>
            <w:tcW w:w="1701" w:type="dxa"/>
            <w:shd w:val="clear" w:color="auto" w:fill="FFFFFF"/>
            <w:hideMark/>
          </w:tcPr>
          <w:p w14:paraId="37DE8566" w14:textId="77777777" w:rsidR="00991142" w:rsidRPr="00CF31E0" w:rsidRDefault="00991142" w:rsidP="00603CB7">
            <w:pPr>
              <w:widowControl w:val="0"/>
              <w:autoSpaceDE w:val="0"/>
              <w:autoSpaceDN w:val="0"/>
              <w:adjustRightInd w:val="0"/>
              <w:spacing w:before="120" w:after="12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.0125</w:t>
            </w:r>
          </w:p>
        </w:tc>
      </w:tr>
      <w:tr w:rsidR="00991142" w:rsidRPr="00CF31E0" w14:paraId="54B147C7" w14:textId="77777777" w:rsidTr="00603CB7">
        <w:trPr>
          <w:cantSplit/>
        </w:trPr>
        <w:tc>
          <w:tcPr>
            <w:tcW w:w="3245" w:type="dxa"/>
            <w:shd w:val="clear" w:color="auto" w:fill="FFFFFF"/>
            <w:hideMark/>
          </w:tcPr>
          <w:p w14:paraId="7F138F9F" w14:textId="77777777" w:rsidR="00991142" w:rsidRPr="00CF31E0" w:rsidRDefault="0099114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5</w:t>
            </w:r>
          </w:p>
        </w:tc>
        <w:tc>
          <w:tcPr>
            <w:tcW w:w="2425" w:type="dxa"/>
            <w:shd w:val="clear" w:color="auto" w:fill="FFFFFF"/>
            <w:vAlign w:val="center"/>
            <w:hideMark/>
          </w:tcPr>
          <w:p w14:paraId="2C79D49A" w14:textId="77777777" w:rsidR="00991142" w:rsidRPr="00CF31E0" w:rsidRDefault="0099114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val="en-US" w:eastAsia="zh-CN"/>
              </w:rPr>
              <w:t>1.0634</w:t>
            </w:r>
          </w:p>
        </w:tc>
        <w:tc>
          <w:tcPr>
            <w:tcW w:w="1701" w:type="dxa"/>
            <w:shd w:val="clear" w:color="auto" w:fill="FFFFFF"/>
            <w:hideMark/>
          </w:tcPr>
          <w:p w14:paraId="58DDEBF0" w14:textId="77777777" w:rsidR="00991142" w:rsidRPr="00CF31E0" w:rsidRDefault="00991142" w:rsidP="00603CB7">
            <w:pPr>
              <w:widowControl w:val="0"/>
              <w:autoSpaceDE w:val="0"/>
              <w:autoSpaceDN w:val="0"/>
              <w:adjustRightInd w:val="0"/>
              <w:spacing w:before="120" w:after="12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.0108</w:t>
            </w:r>
          </w:p>
        </w:tc>
      </w:tr>
      <w:tr w:rsidR="00991142" w:rsidRPr="00CF31E0" w14:paraId="70DA0562" w14:textId="77777777" w:rsidTr="00603CB7">
        <w:trPr>
          <w:cantSplit/>
        </w:trPr>
        <w:tc>
          <w:tcPr>
            <w:tcW w:w="3245" w:type="dxa"/>
            <w:shd w:val="clear" w:color="auto" w:fill="FFFFFF"/>
            <w:hideMark/>
          </w:tcPr>
          <w:p w14:paraId="301B8538" w14:textId="77777777" w:rsidR="00991142" w:rsidRPr="00CF31E0" w:rsidRDefault="0099114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6</w:t>
            </w:r>
          </w:p>
        </w:tc>
        <w:tc>
          <w:tcPr>
            <w:tcW w:w="2425" w:type="dxa"/>
            <w:shd w:val="clear" w:color="auto" w:fill="FFFFFF"/>
            <w:vAlign w:val="center"/>
            <w:hideMark/>
          </w:tcPr>
          <w:p w14:paraId="2AD28CB6" w14:textId="77777777" w:rsidR="00991142" w:rsidRPr="00CF31E0" w:rsidRDefault="0099114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1.0413</w:t>
            </w:r>
          </w:p>
        </w:tc>
        <w:tc>
          <w:tcPr>
            <w:tcW w:w="1701" w:type="dxa"/>
            <w:shd w:val="clear" w:color="auto" w:fill="FFFFFF"/>
            <w:hideMark/>
          </w:tcPr>
          <w:p w14:paraId="6A6CF403" w14:textId="77777777" w:rsidR="00991142" w:rsidRPr="00CF31E0" w:rsidRDefault="00991142" w:rsidP="00603CB7">
            <w:pPr>
              <w:widowControl w:val="0"/>
              <w:autoSpaceDE w:val="0"/>
              <w:autoSpaceDN w:val="0"/>
              <w:adjustRightInd w:val="0"/>
              <w:spacing w:before="120" w:after="12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.0117</w:t>
            </w:r>
          </w:p>
        </w:tc>
      </w:tr>
      <w:tr w:rsidR="00991142" w:rsidRPr="00CF31E0" w14:paraId="56C0B880" w14:textId="77777777" w:rsidTr="00603CB7">
        <w:trPr>
          <w:cantSplit/>
        </w:trPr>
        <w:tc>
          <w:tcPr>
            <w:tcW w:w="3245" w:type="dxa"/>
            <w:shd w:val="clear" w:color="auto" w:fill="FFFFFF"/>
            <w:hideMark/>
          </w:tcPr>
          <w:p w14:paraId="770D68D3" w14:textId="77777777" w:rsidR="00991142" w:rsidRPr="00CF31E0" w:rsidRDefault="0099114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7</w:t>
            </w:r>
          </w:p>
        </w:tc>
        <w:tc>
          <w:tcPr>
            <w:tcW w:w="2425" w:type="dxa"/>
            <w:shd w:val="clear" w:color="auto" w:fill="FFFFFF"/>
            <w:vAlign w:val="center"/>
            <w:hideMark/>
          </w:tcPr>
          <w:p w14:paraId="587B59F7" w14:textId="77777777" w:rsidR="00991142" w:rsidRPr="00CF31E0" w:rsidRDefault="0099114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1.0186</w:t>
            </w:r>
          </w:p>
        </w:tc>
        <w:tc>
          <w:tcPr>
            <w:tcW w:w="1701" w:type="dxa"/>
            <w:shd w:val="clear" w:color="auto" w:fill="FFFFFF"/>
            <w:hideMark/>
          </w:tcPr>
          <w:p w14:paraId="0F37478D" w14:textId="77777777" w:rsidR="00991142" w:rsidRPr="00CF31E0" w:rsidRDefault="00991142" w:rsidP="00603CB7">
            <w:pPr>
              <w:widowControl w:val="0"/>
              <w:autoSpaceDE w:val="0"/>
              <w:autoSpaceDN w:val="0"/>
              <w:adjustRightInd w:val="0"/>
              <w:spacing w:before="120" w:after="12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.0112</w:t>
            </w:r>
          </w:p>
        </w:tc>
      </w:tr>
      <w:tr w:rsidR="00991142" w:rsidRPr="00CF31E0" w14:paraId="1DAE2BF9" w14:textId="77777777" w:rsidTr="00603CB7">
        <w:trPr>
          <w:cantSplit/>
        </w:trPr>
        <w:tc>
          <w:tcPr>
            <w:tcW w:w="3245" w:type="dxa"/>
            <w:shd w:val="clear" w:color="auto" w:fill="FFFFFF"/>
            <w:hideMark/>
          </w:tcPr>
          <w:p w14:paraId="3A72DCE5" w14:textId="77777777" w:rsidR="00991142" w:rsidRPr="00CF31E0" w:rsidRDefault="0099114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8</w:t>
            </w:r>
          </w:p>
        </w:tc>
        <w:tc>
          <w:tcPr>
            <w:tcW w:w="2425" w:type="dxa"/>
            <w:shd w:val="clear" w:color="auto" w:fill="FFFFFF"/>
            <w:vAlign w:val="center"/>
            <w:hideMark/>
          </w:tcPr>
          <w:p w14:paraId="63910139" w14:textId="77777777" w:rsidR="00991142" w:rsidRPr="00CF31E0" w:rsidRDefault="0099114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1.9961</w:t>
            </w:r>
          </w:p>
        </w:tc>
        <w:tc>
          <w:tcPr>
            <w:tcW w:w="1701" w:type="dxa"/>
            <w:shd w:val="clear" w:color="auto" w:fill="FFFFFF"/>
            <w:hideMark/>
          </w:tcPr>
          <w:p w14:paraId="4CE8E536" w14:textId="77777777" w:rsidR="00991142" w:rsidRPr="00CF31E0" w:rsidRDefault="00991142" w:rsidP="00603CB7">
            <w:pPr>
              <w:widowControl w:val="0"/>
              <w:autoSpaceDE w:val="0"/>
              <w:autoSpaceDN w:val="0"/>
              <w:adjustRightInd w:val="0"/>
              <w:spacing w:before="120" w:after="12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.0100</w:t>
            </w:r>
          </w:p>
        </w:tc>
      </w:tr>
      <w:tr w:rsidR="00991142" w:rsidRPr="00CF31E0" w14:paraId="36465B15" w14:textId="77777777" w:rsidTr="00603CB7">
        <w:trPr>
          <w:cantSplit/>
        </w:trPr>
        <w:tc>
          <w:tcPr>
            <w:tcW w:w="3245" w:type="dxa"/>
            <w:shd w:val="clear" w:color="auto" w:fill="FFFFFF"/>
            <w:hideMark/>
          </w:tcPr>
          <w:p w14:paraId="3DD9C3C0" w14:textId="77777777" w:rsidR="00991142" w:rsidRPr="00CF31E0" w:rsidRDefault="0099114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9</w:t>
            </w:r>
          </w:p>
        </w:tc>
        <w:tc>
          <w:tcPr>
            <w:tcW w:w="2425" w:type="dxa"/>
            <w:shd w:val="clear" w:color="auto" w:fill="FFFFFF"/>
            <w:vAlign w:val="center"/>
            <w:hideMark/>
          </w:tcPr>
          <w:p w14:paraId="663783D9" w14:textId="77777777" w:rsidR="00991142" w:rsidRPr="00CF31E0" w:rsidRDefault="00991142" w:rsidP="00603CB7">
            <w:pPr>
              <w:widowControl w:val="0"/>
              <w:autoSpaceDE w:val="0"/>
              <w:autoSpaceDN w:val="0"/>
              <w:adjustRightInd w:val="0"/>
              <w:spacing w:before="120" w:after="120"/>
              <w:ind w:left="62" w:right="62"/>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0.9764</w:t>
            </w:r>
          </w:p>
        </w:tc>
        <w:tc>
          <w:tcPr>
            <w:tcW w:w="1701" w:type="dxa"/>
            <w:shd w:val="clear" w:color="auto" w:fill="FFFFFF"/>
            <w:hideMark/>
          </w:tcPr>
          <w:p w14:paraId="7ACA19A2" w14:textId="77777777" w:rsidR="00991142" w:rsidRPr="00CF31E0" w:rsidRDefault="00991142" w:rsidP="00603CB7">
            <w:pPr>
              <w:widowControl w:val="0"/>
              <w:autoSpaceDE w:val="0"/>
              <w:autoSpaceDN w:val="0"/>
              <w:adjustRightInd w:val="0"/>
              <w:spacing w:before="120" w:after="12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.0105</w:t>
            </w:r>
          </w:p>
        </w:tc>
      </w:tr>
      <w:tr w:rsidR="00991142" w:rsidRPr="00CF31E0" w14:paraId="41642855" w14:textId="77777777" w:rsidTr="00603CB7">
        <w:trPr>
          <w:cantSplit/>
        </w:trPr>
        <w:tc>
          <w:tcPr>
            <w:tcW w:w="3245" w:type="dxa"/>
            <w:shd w:val="clear" w:color="auto" w:fill="FFFFFF"/>
            <w:hideMark/>
          </w:tcPr>
          <w:p w14:paraId="4420F870" w14:textId="77777777" w:rsidR="00991142" w:rsidRPr="00CF31E0" w:rsidRDefault="0099114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10</w:t>
            </w:r>
          </w:p>
        </w:tc>
        <w:tc>
          <w:tcPr>
            <w:tcW w:w="2425" w:type="dxa"/>
            <w:shd w:val="clear" w:color="auto" w:fill="FFFFFF"/>
            <w:vAlign w:val="center"/>
            <w:hideMark/>
          </w:tcPr>
          <w:p w14:paraId="3FE7C94A" w14:textId="77777777" w:rsidR="00991142" w:rsidRPr="00CF31E0" w:rsidRDefault="0099114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0.9572</w:t>
            </w:r>
          </w:p>
        </w:tc>
        <w:tc>
          <w:tcPr>
            <w:tcW w:w="1701" w:type="dxa"/>
            <w:shd w:val="clear" w:color="auto" w:fill="FFFFFF"/>
            <w:hideMark/>
          </w:tcPr>
          <w:p w14:paraId="3A21E53D" w14:textId="77777777" w:rsidR="00991142" w:rsidRPr="00CF31E0" w:rsidRDefault="00991142" w:rsidP="00603CB7">
            <w:pPr>
              <w:widowControl w:val="0"/>
              <w:autoSpaceDE w:val="0"/>
              <w:autoSpaceDN w:val="0"/>
              <w:adjustRightInd w:val="0"/>
              <w:spacing w:before="120" w:after="12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.0109</w:t>
            </w:r>
          </w:p>
        </w:tc>
      </w:tr>
      <w:tr w:rsidR="00991142" w:rsidRPr="00CF31E0" w14:paraId="641CCDDB" w14:textId="77777777" w:rsidTr="00603CB7">
        <w:trPr>
          <w:cantSplit/>
        </w:trPr>
        <w:tc>
          <w:tcPr>
            <w:tcW w:w="3245" w:type="dxa"/>
            <w:shd w:val="clear" w:color="auto" w:fill="FFFFFF"/>
            <w:hideMark/>
          </w:tcPr>
          <w:p w14:paraId="3A6C102F" w14:textId="77777777" w:rsidR="00991142" w:rsidRPr="00CF31E0" w:rsidRDefault="0099114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11</w:t>
            </w:r>
          </w:p>
        </w:tc>
        <w:tc>
          <w:tcPr>
            <w:tcW w:w="2425" w:type="dxa"/>
            <w:shd w:val="clear" w:color="auto" w:fill="FFFFFF"/>
            <w:vAlign w:val="center"/>
            <w:hideMark/>
          </w:tcPr>
          <w:p w14:paraId="5EB5A39A" w14:textId="77777777" w:rsidR="00991142" w:rsidRPr="00CF31E0" w:rsidRDefault="0099114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0.9331</w:t>
            </w:r>
          </w:p>
        </w:tc>
        <w:tc>
          <w:tcPr>
            <w:tcW w:w="1701" w:type="dxa"/>
            <w:shd w:val="clear" w:color="auto" w:fill="FFFFFF"/>
            <w:hideMark/>
          </w:tcPr>
          <w:p w14:paraId="7952448D" w14:textId="77777777" w:rsidR="00991142" w:rsidRPr="00CF31E0" w:rsidRDefault="00991142" w:rsidP="00603CB7">
            <w:pPr>
              <w:widowControl w:val="0"/>
              <w:autoSpaceDE w:val="0"/>
              <w:autoSpaceDN w:val="0"/>
              <w:adjustRightInd w:val="0"/>
              <w:spacing w:before="120" w:after="12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.0106</w:t>
            </w:r>
          </w:p>
        </w:tc>
      </w:tr>
      <w:tr w:rsidR="00991142" w:rsidRPr="00CF31E0" w14:paraId="74686F6A" w14:textId="77777777" w:rsidTr="00603CB7">
        <w:trPr>
          <w:cantSplit/>
        </w:trPr>
        <w:tc>
          <w:tcPr>
            <w:tcW w:w="3245" w:type="dxa"/>
            <w:shd w:val="clear" w:color="auto" w:fill="FFFFFF"/>
            <w:hideMark/>
          </w:tcPr>
          <w:p w14:paraId="40123555" w14:textId="77777777" w:rsidR="00991142" w:rsidRPr="00CF31E0" w:rsidRDefault="0099114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12</w:t>
            </w:r>
          </w:p>
        </w:tc>
        <w:tc>
          <w:tcPr>
            <w:tcW w:w="2425" w:type="dxa"/>
            <w:shd w:val="clear" w:color="auto" w:fill="FFFFFF"/>
            <w:vAlign w:val="center"/>
            <w:hideMark/>
          </w:tcPr>
          <w:p w14:paraId="1594D180" w14:textId="77777777" w:rsidR="00991142" w:rsidRPr="00CF31E0" w:rsidRDefault="0099114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0.9107</w:t>
            </w:r>
          </w:p>
        </w:tc>
        <w:tc>
          <w:tcPr>
            <w:tcW w:w="1701" w:type="dxa"/>
            <w:shd w:val="clear" w:color="auto" w:fill="FFFFFF"/>
            <w:hideMark/>
          </w:tcPr>
          <w:p w14:paraId="0935EA41" w14:textId="77777777" w:rsidR="00991142" w:rsidRPr="00CF31E0" w:rsidRDefault="00991142" w:rsidP="00603CB7">
            <w:pPr>
              <w:widowControl w:val="0"/>
              <w:autoSpaceDE w:val="0"/>
              <w:autoSpaceDN w:val="0"/>
              <w:adjustRightInd w:val="0"/>
              <w:spacing w:before="120" w:after="12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.0116</w:t>
            </w:r>
          </w:p>
        </w:tc>
      </w:tr>
      <w:tr w:rsidR="00991142" w:rsidRPr="00CF31E0" w14:paraId="6FC5B648" w14:textId="77777777" w:rsidTr="00603CB7">
        <w:trPr>
          <w:cantSplit/>
        </w:trPr>
        <w:tc>
          <w:tcPr>
            <w:tcW w:w="3245" w:type="dxa"/>
            <w:shd w:val="clear" w:color="auto" w:fill="FFFFFF"/>
            <w:hideMark/>
          </w:tcPr>
          <w:p w14:paraId="6587315D" w14:textId="77777777" w:rsidR="00991142" w:rsidRPr="00CF31E0" w:rsidRDefault="0099114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13</w:t>
            </w:r>
          </w:p>
        </w:tc>
        <w:tc>
          <w:tcPr>
            <w:tcW w:w="2425" w:type="dxa"/>
            <w:shd w:val="clear" w:color="auto" w:fill="FFFFFF"/>
            <w:vAlign w:val="center"/>
            <w:hideMark/>
          </w:tcPr>
          <w:p w14:paraId="0E7DA05E" w14:textId="77777777" w:rsidR="00991142" w:rsidRPr="00CF31E0" w:rsidRDefault="0099114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0.8857</w:t>
            </w:r>
          </w:p>
        </w:tc>
        <w:tc>
          <w:tcPr>
            <w:tcW w:w="1701" w:type="dxa"/>
            <w:shd w:val="clear" w:color="auto" w:fill="FFFFFF"/>
            <w:hideMark/>
          </w:tcPr>
          <w:p w14:paraId="047DF8FD" w14:textId="77777777" w:rsidR="00991142" w:rsidRPr="00CF31E0" w:rsidRDefault="00991142" w:rsidP="00603CB7">
            <w:pPr>
              <w:widowControl w:val="0"/>
              <w:autoSpaceDE w:val="0"/>
              <w:autoSpaceDN w:val="0"/>
              <w:adjustRightInd w:val="0"/>
              <w:spacing w:before="120" w:after="12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.0125</w:t>
            </w:r>
          </w:p>
        </w:tc>
      </w:tr>
      <w:tr w:rsidR="00991142" w:rsidRPr="00CF31E0" w14:paraId="622251F3" w14:textId="77777777" w:rsidTr="00603CB7">
        <w:trPr>
          <w:cantSplit/>
        </w:trPr>
        <w:tc>
          <w:tcPr>
            <w:tcW w:w="3245" w:type="dxa"/>
            <w:shd w:val="clear" w:color="auto" w:fill="FFFFFF"/>
            <w:hideMark/>
          </w:tcPr>
          <w:p w14:paraId="0EEEE717" w14:textId="77777777" w:rsidR="00991142" w:rsidRPr="00CF31E0" w:rsidRDefault="0099114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14</w:t>
            </w:r>
          </w:p>
        </w:tc>
        <w:tc>
          <w:tcPr>
            <w:tcW w:w="2425" w:type="dxa"/>
            <w:shd w:val="clear" w:color="auto" w:fill="FFFFFF"/>
            <w:vAlign w:val="center"/>
            <w:hideMark/>
          </w:tcPr>
          <w:p w14:paraId="7E24054A" w14:textId="77777777" w:rsidR="00991142" w:rsidRPr="00CF31E0" w:rsidRDefault="0099114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0.8600</w:t>
            </w:r>
          </w:p>
        </w:tc>
        <w:tc>
          <w:tcPr>
            <w:tcW w:w="1701" w:type="dxa"/>
            <w:shd w:val="clear" w:color="auto" w:fill="FFFFFF"/>
            <w:hideMark/>
          </w:tcPr>
          <w:p w14:paraId="46EBE0F8" w14:textId="77777777" w:rsidR="00991142" w:rsidRPr="00CF31E0" w:rsidRDefault="00991142" w:rsidP="00603CB7">
            <w:pPr>
              <w:widowControl w:val="0"/>
              <w:autoSpaceDE w:val="0"/>
              <w:autoSpaceDN w:val="0"/>
              <w:adjustRightInd w:val="0"/>
              <w:spacing w:before="120" w:after="12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.0157</w:t>
            </w:r>
          </w:p>
        </w:tc>
      </w:tr>
      <w:tr w:rsidR="00991142" w:rsidRPr="00CF31E0" w14:paraId="3B332543" w14:textId="77777777" w:rsidTr="00603CB7">
        <w:trPr>
          <w:cantSplit/>
        </w:trPr>
        <w:tc>
          <w:tcPr>
            <w:tcW w:w="3245" w:type="dxa"/>
            <w:tcBorders>
              <w:bottom w:val="single" w:sz="8" w:space="0" w:color="000000"/>
            </w:tcBorders>
            <w:shd w:val="clear" w:color="auto" w:fill="FFFFFF"/>
            <w:hideMark/>
          </w:tcPr>
          <w:p w14:paraId="59AEB888" w14:textId="77777777" w:rsidR="00991142" w:rsidRPr="00CF31E0" w:rsidRDefault="0099114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15</w:t>
            </w:r>
          </w:p>
        </w:tc>
        <w:tc>
          <w:tcPr>
            <w:tcW w:w="2425" w:type="dxa"/>
            <w:tcBorders>
              <w:bottom w:val="single" w:sz="8" w:space="0" w:color="000000"/>
            </w:tcBorders>
            <w:shd w:val="clear" w:color="auto" w:fill="FFFFFF"/>
            <w:vAlign w:val="center"/>
            <w:hideMark/>
          </w:tcPr>
          <w:p w14:paraId="1EEA30C5" w14:textId="77777777" w:rsidR="00991142" w:rsidRPr="00CF31E0" w:rsidRDefault="0099114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0.8261</w:t>
            </w:r>
          </w:p>
        </w:tc>
        <w:tc>
          <w:tcPr>
            <w:tcW w:w="1701" w:type="dxa"/>
            <w:tcBorders>
              <w:bottom w:val="single" w:sz="8" w:space="0" w:color="000000"/>
            </w:tcBorders>
            <w:shd w:val="clear" w:color="auto" w:fill="FFFFFF"/>
            <w:hideMark/>
          </w:tcPr>
          <w:p w14:paraId="195DB69B" w14:textId="77777777" w:rsidR="00991142" w:rsidRPr="00CF31E0" w:rsidRDefault="00991142" w:rsidP="00603CB7">
            <w:pPr>
              <w:widowControl w:val="0"/>
              <w:autoSpaceDE w:val="0"/>
              <w:autoSpaceDN w:val="0"/>
              <w:adjustRightInd w:val="0"/>
              <w:spacing w:before="120" w:after="12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.0187</w:t>
            </w:r>
          </w:p>
        </w:tc>
      </w:tr>
    </w:tbl>
    <w:p w14:paraId="6E84BCEC" w14:textId="6E9443E5" w:rsidR="00DB766A" w:rsidRPr="00CF31E0" w:rsidRDefault="00A23C2A" w:rsidP="004F45D7">
      <w:pPr>
        <w:pStyle w:val="Tablecaption"/>
        <w:spacing w:after="400"/>
        <w:rPr>
          <w:lang w:eastAsia="en-US"/>
        </w:rPr>
      </w:pPr>
      <w:bookmarkStart w:id="623" w:name="_Toc522527444"/>
      <w:bookmarkStart w:id="624" w:name="_Toc522628856"/>
      <w:bookmarkStart w:id="625" w:name="_Toc522629020"/>
      <w:bookmarkStart w:id="626" w:name="_Toc6473117"/>
      <w:r w:rsidRPr="00CF31E0">
        <w:rPr>
          <w:lang w:eastAsia="en-US"/>
        </w:rPr>
        <w:t xml:space="preserve">Table </w:t>
      </w:r>
      <w:r w:rsidR="007F6C6D" w:rsidRPr="00CF31E0">
        <w:rPr>
          <w:lang w:eastAsia="en-US"/>
        </w:rPr>
        <w:t>9</w:t>
      </w:r>
      <w:r w:rsidR="001011B3" w:rsidRPr="00CF31E0">
        <w:rPr>
          <w:lang w:eastAsia="en-US"/>
        </w:rPr>
        <w:t>.</w:t>
      </w:r>
      <w:r w:rsidR="002A5315" w:rsidRPr="00CF31E0">
        <w:rPr>
          <w:lang w:eastAsia="en-US"/>
        </w:rPr>
        <w:t>8</w:t>
      </w:r>
      <w:r w:rsidRPr="00CF31E0">
        <w:rPr>
          <w:lang w:eastAsia="en-US"/>
        </w:rPr>
        <w:t>: Parallel analysis results for the data from both dialects.</w:t>
      </w:r>
      <w:bookmarkEnd w:id="623"/>
      <w:bookmarkEnd w:id="624"/>
      <w:bookmarkEnd w:id="625"/>
      <w:bookmarkEnd w:id="626"/>
      <w:r w:rsidRPr="00CF31E0">
        <w:rPr>
          <w:lang w:eastAsia="en-US"/>
        </w:rPr>
        <w:t xml:space="preserve"> </w:t>
      </w:r>
    </w:p>
    <w:tbl>
      <w:tblPr>
        <w:tblW w:w="0" w:type="auto"/>
        <w:tblBorders>
          <w:top w:val="single" w:sz="4" w:space="0" w:color="auto"/>
          <w:bottom w:val="single" w:sz="4" w:space="0" w:color="auto"/>
        </w:tblBorders>
        <w:tblLook w:val="04A0" w:firstRow="1" w:lastRow="0" w:firstColumn="1" w:lastColumn="0" w:noHBand="0" w:noVBand="1"/>
      </w:tblPr>
      <w:tblGrid>
        <w:gridCol w:w="1272"/>
        <w:gridCol w:w="2024"/>
        <w:gridCol w:w="2127"/>
        <w:gridCol w:w="2056"/>
      </w:tblGrid>
      <w:tr w:rsidR="007F558A" w:rsidRPr="00CF31E0" w14:paraId="6A6BC17B" w14:textId="77777777" w:rsidTr="00603CB7">
        <w:tc>
          <w:tcPr>
            <w:tcW w:w="1272" w:type="dxa"/>
            <w:tcBorders>
              <w:top w:val="single" w:sz="8" w:space="0" w:color="auto"/>
              <w:bottom w:val="single" w:sz="8" w:space="0" w:color="auto"/>
            </w:tcBorders>
          </w:tcPr>
          <w:p w14:paraId="4DF3E1AA" w14:textId="77777777" w:rsidR="00A23C2A" w:rsidRPr="00CF31E0" w:rsidRDefault="00A23C2A" w:rsidP="00603CB7">
            <w:pPr>
              <w:spacing w:before="120" w:after="120"/>
              <w:jc w:val="both"/>
              <w:rPr>
                <w:rFonts w:eastAsia="MS Mincho"/>
                <w:color w:val="000000" w:themeColor="text1"/>
                <w:sz w:val="22"/>
                <w:szCs w:val="22"/>
                <w:lang w:eastAsia="zh-CN"/>
              </w:rPr>
            </w:pPr>
            <w:r w:rsidRPr="00CF31E0">
              <w:rPr>
                <w:rFonts w:eastAsia="MS Mincho"/>
                <w:color w:val="000000" w:themeColor="text1"/>
                <w:sz w:val="22"/>
                <w:szCs w:val="22"/>
                <w:lang w:eastAsia="zh-CN"/>
              </w:rPr>
              <w:t xml:space="preserve">Component number </w:t>
            </w:r>
          </w:p>
        </w:tc>
        <w:tc>
          <w:tcPr>
            <w:tcW w:w="2024" w:type="dxa"/>
            <w:tcBorders>
              <w:top w:val="single" w:sz="8" w:space="0" w:color="auto"/>
              <w:bottom w:val="single" w:sz="8" w:space="0" w:color="auto"/>
            </w:tcBorders>
          </w:tcPr>
          <w:p w14:paraId="202502E3" w14:textId="77777777" w:rsidR="00A23C2A" w:rsidRPr="00CF31E0" w:rsidRDefault="00A23C2A" w:rsidP="00603CB7">
            <w:pPr>
              <w:spacing w:before="120" w:after="120"/>
              <w:jc w:val="both"/>
              <w:rPr>
                <w:rFonts w:eastAsia="MS Mincho"/>
                <w:color w:val="000000" w:themeColor="text1"/>
                <w:sz w:val="22"/>
                <w:szCs w:val="22"/>
                <w:lang w:eastAsia="zh-CN"/>
              </w:rPr>
            </w:pPr>
            <w:r w:rsidRPr="00CF31E0">
              <w:rPr>
                <w:rFonts w:eastAsia="MS Mincho"/>
                <w:color w:val="000000" w:themeColor="text1"/>
                <w:sz w:val="22"/>
                <w:szCs w:val="22"/>
                <w:lang w:eastAsia="zh-CN"/>
              </w:rPr>
              <w:t>Actual eigenvalue from dialects data</w:t>
            </w:r>
          </w:p>
        </w:tc>
        <w:tc>
          <w:tcPr>
            <w:tcW w:w="2127" w:type="dxa"/>
            <w:tcBorders>
              <w:top w:val="single" w:sz="8" w:space="0" w:color="auto"/>
              <w:bottom w:val="single" w:sz="8" w:space="0" w:color="auto"/>
            </w:tcBorders>
          </w:tcPr>
          <w:p w14:paraId="46EC86EC" w14:textId="77777777" w:rsidR="00A23C2A" w:rsidRPr="00CF31E0" w:rsidRDefault="00A23C2A" w:rsidP="00603CB7">
            <w:pPr>
              <w:spacing w:before="120" w:after="120"/>
              <w:jc w:val="both"/>
              <w:rPr>
                <w:rFonts w:eastAsia="MS Mincho"/>
                <w:color w:val="000000" w:themeColor="text1"/>
                <w:sz w:val="22"/>
                <w:szCs w:val="22"/>
                <w:lang w:eastAsia="zh-CN"/>
              </w:rPr>
            </w:pPr>
            <w:r w:rsidRPr="00CF31E0">
              <w:rPr>
                <w:rFonts w:eastAsia="MS Mincho"/>
                <w:color w:val="000000" w:themeColor="text1"/>
                <w:sz w:val="22"/>
                <w:szCs w:val="22"/>
                <w:lang w:eastAsia="zh-CN"/>
              </w:rPr>
              <w:t>Criterion value from parallel analysis</w:t>
            </w:r>
          </w:p>
        </w:tc>
        <w:tc>
          <w:tcPr>
            <w:tcW w:w="2056" w:type="dxa"/>
            <w:tcBorders>
              <w:top w:val="single" w:sz="8" w:space="0" w:color="auto"/>
              <w:bottom w:val="single" w:sz="8" w:space="0" w:color="auto"/>
            </w:tcBorders>
          </w:tcPr>
          <w:p w14:paraId="7B00D802" w14:textId="77777777" w:rsidR="00A23C2A" w:rsidRPr="00CF31E0" w:rsidRDefault="00A23C2A" w:rsidP="00603CB7">
            <w:pPr>
              <w:spacing w:before="120" w:after="120"/>
              <w:jc w:val="both"/>
              <w:rPr>
                <w:rFonts w:eastAsia="MS Mincho"/>
                <w:color w:val="000000" w:themeColor="text1"/>
                <w:sz w:val="22"/>
                <w:szCs w:val="22"/>
                <w:lang w:eastAsia="zh-CN"/>
              </w:rPr>
            </w:pPr>
            <w:r w:rsidRPr="00CF31E0">
              <w:rPr>
                <w:rFonts w:eastAsia="MS Mincho"/>
                <w:color w:val="000000" w:themeColor="text1"/>
                <w:sz w:val="22"/>
                <w:szCs w:val="22"/>
                <w:lang w:eastAsia="zh-CN"/>
              </w:rPr>
              <w:t>Decision</w:t>
            </w:r>
          </w:p>
        </w:tc>
      </w:tr>
      <w:tr w:rsidR="007F558A" w:rsidRPr="00CF31E0" w14:paraId="53C4DF03" w14:textId="77777777" w:rsidTr="00603CB7">
        <w:tc>
          <w:tcPr>
            <w:tcW w:w="1272" w:type="dxa"/>
            <w:tcBorders>
              <w:top w:val="single" w:sz="8" w:space="0" w:color="auto"/>
              <w:bottom w:val="nil"/>
            </w:tcBorders>
          </w:tcPr>
          <w:p w14:paraId="42EA7628" w14:textId="77777777" w:rsidR="00A23C2A" w:rsidRPr="00CF31E0" w:rsidRDefault="00A23C2A" w:rsidP="00603CB7">
            <w:pPr>
              <w:spacing w:before="120" w:after="120"/>
              <w:jc w:val="both"/>
              <w:rPr>
                <w:rFonts w:eastAsia="MS Mincho"/>
                <w:color w:val="000000" w:themeColor="text1"/>
                <w:sz w:val="22"/>
                <w:szCs w:val="22"/>
                <w:lang w:eastAsia="zh-CN"/>
              </w:rPr>
            </w:pPr>
            <w:r w:rsidRPr="00CF31E0">
              <w:rPr>
                <w:rFonts w:eastAsia="MS Mincho"/>
                <w:color w:val="000000" w:themeColor="text1"/>
                <w:sz w:val="22"/>
                <w:szCs w:val="22"/>
                <w:lang w:eastAsia="zh-CN"/>
              </w:rPr>
              <w:t>1</w:t>
            </w:r>
          </w:p>
        </w:tc>
        <w:tc>
          <w:tcPr>
            <w:tcW w:w="2024" w:type="dxa"/>
            <w:tcBorders>
              <w:top w:val="single" w:sz="8" w:space="0" w:color="auto"/>
              <w:bottom w:val="nil"/>
            </w:tcBorders>
          </w:tcPr>
          <w:p w14:paraId="37C3BAA4" w14:textId="77777777" w:rsidR="00A23C2A" w:rsidRPr="00CF31E0" w:rsidRDefault="00A23C2A" w:rsidP="00603CB7">
            <w:pPr>
              <w:spacing w:before="120" w:after="120"/>
              <w:jc w:val="both"/>
              <w:rPr>
                <w:rFonts w:eastAsia="MS Mincho"/>
                <w:color w:val="000000" w:themeColor="text1"/>
                <w:sz w:val="22"/>
                <w:szCs w:val="22"/>
                <w:lang w:eastAsia="zh-CN"/>
              </w:rPr>
            </w:pPr>
            <w:r w:rsidRPr="00CF31E0">
              <w:rPr>
                <w:rFonts w:eastAsia="MS Mincho"/>
                <w:color w:val="000000" w:themeColor="text1"/>
                <w:sz w:val="22"/>
                <w:szCs w:val="22"/>
                <w:lang w:eastAsia="zh-CN"/>
              </w:rPr>
              <w:t>4.114</w:t>
            </w:r>
          </w:p>
        </w:tc>
        <w:tc>
          <w:tcPr>
            <w:tcW w:w="2127" w:type="dxa"/>
            <w:tcBorders>
              <w:top w:val="single" w:sz="8" w:space="0" w:color="auto"/>
              <w:bottom w:val="nil"/>
            </w:tcBorders>
          </w:tcPr>
          <w:p w14:paraId="6ADC04CF" w14:textId="77777777" w:rsidR="00A23C2A" w:rsidRPr="00CF31E0" w:rsidRDefault="00A23C2A" w:rsidP="00603CB7">
            <w:pPr>
              <w:spacing w:before="120" w:after="120"/>
              <w:jc w:val="both"/>
              <w:rPr>
                <w:rFonts w:eastAsia="MS Mincho"/>
                <w:color w:val="000000" w:themeColor="text1"/>
                <w:sz w:val="22"/>
                <w:szCs w:val="22"/>
                <w:lang w:eastAsia="zh-CN"/>
              </w:rPr>
            </w:pPr>
            <w:r w:rsidRPr="00CF31E0">
              <w:rPr>
                <w:rFonts w:eastAsia="MS Mincho"/>
                <w:color w:val="000000" w:themeColor="text1"/>
                <w:sz w:val="22"/>
                <w:szCs w:val="22"/>
                <w:lang w:val="en-US" w:eastAsia="zh-CN"/>
              </w:rPr>
              <w:t xml:space="preserve">1.1852                                   </w:t>
            </w:r>
          </w:p>
        </w:tc>
        <w:tc>
          <w:tcPr>
            <w:tcW w:w="2056" w:type="dxa"/>
            <w:tcBorders>
              <w:top w:val="single" w:sz="8" w:space="0" w:color="auto"/>
              <w:bottom w:val="nil"/>
            </w:tcBorders>
          </w:tcPr>
          <w:p w14:paraId="15B1743C" w14:textId="77777777" w:rsidR="00A23C2A" w:rsidRPr="00CF31E0" w:rsidRDefault="00A23C2A" w:rsidP="00603CB7">
            <w:pPr>
              <w:spacing w:before="120" w:after="120"/>
              <w:jc w:val="both"/>
              <w:rPr>
                <w:rFonts w:eastAsia="MS Mincho"/>
                <w:color w:val="000000" w:themeColor="text1"/>
                <w:sz w:val="22"/>
                <w:szCs w:val="22"/>
                <w:lang w:eastAsia="zh-CN"/>
              </w:rPr>
            </w:pPr>
            <w:r w:rsidRPr="00CF31E0">
              <w:rPr>
                <w:rFonts w:eastAsia="MS Mincho"/>
                <w:color w:val="000000" w:themeColor="text1"/>
                <w:sz w:val="22"/>
                <w:szCs w:val="22"/>
                <w:lang w:eastAsia="zh-CN"/>
              </w:rPr>
              <w:t>accept</w:t>
            </w:r>
          </w:p>
        </w:tc>
      </w:tr>
      <w:tr w:rsidR="007F558A" w:rsidRPr="00CF31E0" w14:paraId="76B6C8B8" w14:textId="77777777" w:rsidTr="00603CB7">
        <w:tc>
          <w:tcPr>
            <w:tcW w:w="1272" w:type="dxa"/>
            <w:tcBorders>
              <w:top w:val="nil"/>
              <w:bottom w:val="nil"/>
            </w:tcBorders>
          </w:tcPr>
          <w:p w14:paraId="42AC5F4A" w14:textId="77777777" w:rsidR="00A23C2A" w:rsidRPr="00CF31E0" w:rsidRDefault="00A23C2A" w:rsidP="00603CB7">
            <w:pPr>
              <w:spacing w:before="120" w:after="120"/>
              <w:jc w:val="both"/>
              <w:rPr>
                <w:rFonts w:eastAsia="MS Mincho"/>
                <w:color w:val="000000" w:themeColor="text1"/>
                <w:sz w:val="22"/>
                <w:szCs w:val="22"/>
                <w:lang w:eastAsia="zh-CN"/>
              </w:rPr>
            </w:pPr>
            <w:r w:rsidRPr="00CF31E0">
              <w:rPr>
                <w:rFonts w:eastAsia="MS Mincho"/>
                <w:color w:val="000000" w:themeColor="text1"/>
                <w:sz w:val="22"/>
                <w:szCs w:val="22"/>
                <w:lang w:eastAsia="zh-CN"/>
              </w:rPr>
              <w:t>2</w:t>
            </w:r>
          </w:p>
        </w:tc>
        <w:tc>
          <w:tcPr>
            <w:tcW w:w="2024" w:type="dxa"/>
            <w:tcBorders>
              <w:top w:val="nil"/>
              <w:bottom w:val="nil"/>
            </w:tcBorders>
          </w:tcPr>
          <w:p w14:paraId="69D0749E" w14:textId="77777777" w:rsidR="00A23C2A" w:rsidRPr="00CF31E0" w:rsidRDefault="00A23C2A" w:rsidP="00603CB7">
            <w:pPr>
              <w:spacing w:before="120" w:after="120"/>
              <w:jc w:val="both"/>
              <w:rPr>
                <w:rFonts w:eastAsia="MS Mincho"/>
                <w:color w:val="000000" w:themeColor="text1"/>
                <w:sz w:val="22"/>
                <w:szCs w:val="22"/>
                <w:lang w:eastAsia="zh-CN"/>
              </w:rPr>
            </w:pPr>
            <w:r w:rsidRPr="00CF31E0">
              <w:rPr>
                <w:rFonts w:eastAsia="MS Mincho"/>
                <w:color w:val="000000" w:themeColor="text1"/>
                <w:sz w:val="22"/>
                <w:szCs w:val="22"/>
                <w:lang w:eastAsia="zh-CN"/>
              </w:rPr>
              <w:t>2.120</w:t>
            </w:r>
          </w:p>
        </w:tc>
        <w:tc>
          <w:tcPr>
            <w:tcW w:w="2127" w:type="dxa"/>
            <w:tcBorders>
              <w:top w:val="nil"/>
              <w:bottom w:val="nil"/>
            </w:tcBorders>
          </w:tcPr>
          <w:p w14:paraId="7D16D053" w14:textId="77777777" w:rsidR="00A23C2A" w:rsidRPr="00CF31E0" w:rsidRDefault="00A23C2A" w:rsidP="00603CB7">
            <w:pPr>
              <w:spacing w:before="120" w:after="120"/>
              <w:jc w:val="both"/>
              <w:rPr>
                <w:rFonts w:eastAsia="MS Mincho"/>
                <w:color w:val="000000" w:themeColor="text1"/>
                <w:sz w:val="22"/>
                <w:szCs w:val="22"/>
                <w:lang w:eastAsia="zh-CN"/>
              </w:rPr>
            </w:pPr>
            <w:r w:rsidRPr="00CF31E0">
              <w:rPr>
                <w:rFonts w:eastAsia="MS Mincho"/>
                <w:color w:val="000000" w:themeColor="text1"/>
                <w:sz w:val="22"/>
                <w:szCs w:val="22"/>
                <w:lang w:val="en-US" w:eastAsia="zh-CN"/>
              </w:rPr>
              <w:t>1.1430</w:t>
            </w:r>
          </w:p>
        </w:tc>
        <w:tc>
          <w:tcPr>
            <w:tcW w:w="2056" w:type="dxa"/>
            <w:tcBorders>
              <w:top w:val="nil"/>
              <w:bottom w:val="nil"/>
            </w:tcBorders>
          </w:tcPr>
          <w:p w14:paraId="6F42F4D0" w14:textId="77777777" w:rsidR="00A23C2A" w:rsidRPr="00CF31E0" w:rsidRDefault="00A23C2A" w:rsidP="00603CB7">
            <w:pPr>
              <w:spacing w:before="120" w:after="120"/>
              <w:jc w:val="both"/>
              <w:rPr>
                <w:rFonts w:eastAsia="MS Mincho"/>
                <w:color w:val="000000" w:themeColor="text1"/>
                <w:sz w:val="22"/>
                <w:szCs w:val="22"/>
                <w:lang w:eastAsia="zh-CN"/>
              </w:rPr>
            </w:pPr>
            <w:r w:rsidRPr="00CF31E0">
              <w:rPr>
                <w:rFonts w:eastAsia="MS Mincho"/>
                <w:color w:val="000000" w:themeColor="text1"/>
                <w:sz w:val="22"/>
                <w:szCs w:val="22"/>
                <w:lang w:eastAsia="zh-CN"/>
              </w:rPr>
              <w:t>accept</w:t>
            </w:r>
          </w:p>
        </w:tc>
      </w:tr>
      <w:tr w:rsidR="007F558A" w:rsidRPr="00CF31E0" w14:paraId="74C6D3D2" w14:textId="77777777" w:rsidTr="00603CB7">
        <w:tc>
          <w:tcPr>
            <w:tcW w:w="1272" w:type="dxa"/>
            <w:tcBorders>
              <w:top w:val="nil"/>
              <w:bottom w:val="single" w:sz="8" w:space="0" w:color="auto"/>
            </w:tcBorders>
          </w:tcPr>
          <w:p w14:paraId="5D3F301B" w14:textId="77777777" w:rsidR="00A23C2A" w:rsidRPr="00CF31E0" w:rsidRDefault="00A23C2A" w:rsidP="00603CB7">
            <w:pPr>
              <w:spacing w:before="120" w:after="120"/>
              <w:jc w:val="both"/>
              <w:rPr>
                <w:rFonts w:eastAsia="MS Mincho"/>
                <w:color w:val="000000" w:themeColor="text1"/>
                <w:sz w:val="22"/>
                <w:szCs w:val="22"/>
                <w:lang w:eastAsia="zh-CN"/>
              </w:rPr>
            </w:pPr>
            <w:r w:rsidRPr="00CF31E0">
              <w:rPr>
                <w:rFonts w:eastAsia="MS Mincho"/>
                <w:color w:val="000000" w:themeColor="text1"/>
                <w:sz w:val="22"/>
                <w:szCs w:val="22"/>
                <w:lang w:eastAsia="zh-CN"/>
              </w:rPr>
              <w:t>3</w:t>
            </w:r>
          </w:p>
        </w:tc>
        <w:tc>
          <w:tcPr>
            <w:tcW w:w="2024" w:type="dxa"/>
            <w:tcBorders>
              <w:top w:val="nil"/>
              <w:bottom w:val="single" w:sz="8" w:space="0" w:color="auto"/>
            </w:tcBorders>
          </w:tcPr>
          <w:p w14:paraId="5C255FFC" w14:textId="225336BD" w:rsidR="00A23C2A" w:rsidRPr="00CF31E0" w:rsidRDefault="00C52542" w:rsidP="00603CB7">
            <w:pPr>
              <w:spacing w:before="120" w:after="120"/>
              <w:jc w:val="both"/>
              <w:rPr>
                <w:rFonts w:eastAsia="MS Mincho"/>
                <w:color w:val="000000" w:themeColor="text1"/>
                <w:sz w:val="22"/>
                <w:szCs w:val="22"/>
                <w:lang w:eastAsia="zh-CN"/>
              </w:rPr>
            </w:pPr>
            <w:r w:rsidRPr="00CF31E0">
              <w:rPr>
                <w:rFonts w:eastAsia="MS Mincho"/>
                <w:color w:val="000000" w:themeColor="text1"/>
                <w:sz w:val="22"/>
                <w:szCs w:val="22"/>
                <w:lang w:eastAsia="zh-CN"/>
              </w:rPr>
              <w:t xml:space="preserve">  </w:t>
            </w:r>
            <w:r w:rsidR="00A23C2A" w:rsidRPr="00CF31E0">
              <w:rPr>
                <w:rFonts w:eastAsia="MS Mincho"/>
                <w:color w:val="000000" w:themeColor="text1"/>
                <w:sz w:val="22"/>
                <w:szCs w:val="22"/>
                <w:lang w:eastAsia="zh-CN"/>
              </w:rPr>
              <w:t>.564</w:t>
            </w:r>
          </w:p>
        </w:tc>
        <w:tc>
          <w:tcPr>
            <w:tcW w:w="2127" w:type="dxa"/>
            <w:tcBorders>
              <w:top w:val="nil"/>
              <w:bottom w:val="single" w:sz="8" w:space="0" w:color="auto"/>
            </w:tcBorders>
          </w:tcPr>
          <w:p w14:paraId="20E04122" w14:textId="77777777" w:rsidR="00A23C2A" w:rsidRPr="00CF31E0" w:rsidRDefault="00A23C2A" w:rsidP="00603CB7">
            <w:pPr>
              <w:spacing w:before="120" w:after="120"/>
              <w:jc w:val="both"/>
              <w:rPr>
                <w:rFonts w:eastAsia="MS Mincho"/>
                <w:color w:val="000000" w:themeColor="text1"/>
                <w:sz w:val="22"/>
                <w:szCs w:val="22"/>
                <w:lang w:eastAsia="zh-CN"/>
              </w:rPr>
            </w:pPr>
            <w:r w:rsidRPr="00CF31E0">
              <w:rPr>
                <w:rFonts w:eastAsia="MS Mincho"/>
                <w:color w:val="000000" w:themeColor="text1"/>
                <w:sz w:val="22"/>
                <w:szCs w:val="22"/>
                <w:lang w:val="en-US" w:eastAsia="zh-CN"/>
              </w:rPr>
              <w:t>1.1157</w:t>
            </w:r>
          </w:p>
        </w:tc>
        <w:tc>
          <w:tcPr>
            <w:tcW w:w="2056" w:type="dxa"/>
            <w:tcBorders>
              <w:top w:val="nil"/>
              <w:bottom w:val="single" w:sz="8" w:space="0" w:color="auto"/>
            </w:tcBorders>
          </w:tcPr>
          <w:p w14:paraId="562F6F1F" w14:textId="77777777" w:rsidR="00A23C2A" w:rsidRPr="00CF31E0" w:rsidRDefault="00A23C2A" w:rsidP="00603CB7">
            <w:pPr>
              <w:spacing w:before="120" w:after="120"/>
              <w:jc w:val="both"/>
              <w:rPr>
                <w:rFonts w:eastAsia="MS Mincho"/>
                <w:color w:val="000000" w:themeColor="text1"/>
                <w:sz w:val="22"/>
                <w:szCs w:val="22"/>
                <w:lang w:eastAsia="zh-CN"/>
              </w:rPr>
            </w:pPr>
            <w:r w:rsidRPr="00CF31E0">
              <w:rPr>
                <w:rFonts w:eastAsia="MS Mincho"/>
                <w:color w:val="000000" w:themeColor="text1"/>
                <w:sz w:val="22"/>
                <w:szCs w:val="22"/>
                <w:lang w:eastAsia="zh-CN"/>
              </w:rPr>
              <w:t>reject</w:t>
            </w:r>
          </w:p>
        </w:tc>
      </w:tr>
    </w:tbl>
    <w:p w14:paraId="0AB91E25" w14:textId="6271E4A5" w:rsidR="00A23C2A" w:rsidRPr="00CF31E0" w:rsidRDefault="00A23C2A" w:rsidP="007F6C6D">
      <w:pPr>
        <w:pStyle w:val="Tablecaption"/>
        <w:rPr>
          <w:lang w:eastAsia="en-US"/>
        </w:rPr>
      </w:pPr>
      <w:bookmarkStart w:id="627" w:name="_Toc522527445"/>
      <w:bookmarkStart w:id="628" w:name="_Toc522628857"/>
      <w:bookmarkStart w:id="629" w:name="_Toc522629021"/>
      <w:bookmarkStart w:id="630" w:name="_Toc6473118"/>
      <w:r w:rsidRPr="00CF31E0">
        <w:rPr>
          <w:lang w:eastAsia="en-US"/>
        </w:rPr>
        <w:t xml:space="preserve">Table </w:t>
      </w:r>
      <w:r w:rsidR="007F6C6D" w:rsidRPr="00CF31E0">
        <w:rPr>
          <w:lang w:eastAsia="en-US"/>
        </w:rPr>
        <w:t>9</w:t>
      </w:r>
      <w:r w:rsidR="001011B3" w:rsidRPr="00CF31E0">
        <w:rPr>
          <w:lang w:eastAsia="en-US"/>
        </w:rPr>
        <w:t>.</w:t>
      </w:r>
      <w:r w:rsidR="002A5315" w:rsidRPr="00CF31E0">
        <w:rPr>
          <w:lang w:eastAsia="en-US"/>
        </w:rPr>
        <w:t>9</w:t>
      </w:r>
      <w:r w:rsidRPr="00CF31E0">
        <w:rPr>
          <w:lang w:eastAsia="en-US"/>
        </w:rPr>
        <w:t>: Comparison of eigenvalues from the dialect data and criterion values from parallel analysis.</w:t>
      </w:r>
      <w:bookmarkEnd w:id="627"/>
      <w:bookmarkEnd w:id="628"/>
      <w:bookmarkEnd w:id="629"/>
      <w:bookmarkEnd w:id="630"/>
      <w:r w:rsidRPr="00CF31E0">
        <w:rPr>
          <w:lang w:eastAsia="en-US"/>
        </w:rPr>
        <w:t xml:space="preserve"> </w:t>
      </w:r>
    </w:p>
    <w:p w14:paraId="217FBAA5" w14:textId="465D66F5" w:rsidR="00A23C2A" w:rsidRPr="00CF31E0" w:rsidRDefault="00A23C2A" w:rsidP="00603CB7">
      <w:pPr>
        <w:pStyle w:val="Paragraph"/>
        <w:rPr>
          <w:lang w:eastAsia="en-US"/>
        </w:rPr>
      </w:pPr>
      <w:r w:rsidRPr="00CF31E0">
        <w:rPr>
          <w:lang w:eastAsia="en-US"/>
        </w:rPr>
        <w:t xml:space="preserve">As can be seen from Table </w:t>
      </w:r>
      <w:r w:rsidR="007F6C6D" w:rsidRPr="00CF31E0">
        <w:rPr>
          <w:lang w:eastAsia="en-US"/>
        </w:rPr>
        <w:t>9</w:t>
      </w:r>
      <w:r w:rsidR="00123E3A" w:rsidRPr="00CF31E0">
        <w:rPr>
          <w:lang w:eastAsia="en-US"/>
        </w:rPr>
        <w:t>.</w:t>
      </w:r>
      <w:r w:rsidR="002A5315" w:rsidRPr="00CF31E0">
        <w:rPr>
          <w:lang w:eastAsia="en-US"/>
        </w:rPr>
        <w:t>9</w:t>
      </w:r>
      <w:r w:rsidR="00123E3A" w:rsidRPr="00CF31E0">
        <w:rPr>
          <w:lang w:eastAsia="en-US"/>
        </w:rPr>
        <w:t xml:space="preserve"> </w:t>
      </w:r>
      <w:r w:rsidRPr="00CF31E0">
        <w:rPr>
          <w:lang w:eastAsia="en-US"/>
        </w:rPr>
        <w:t xml:space="preserve">above, the parallel analysis results are on the one hand different from those obtained from Kaiser’s criterion. The latter test tended to generate three factors while parallel analysis generated only two-factor solutions. On the other hand, the results are the same as those obtained from the scree plot in terms of the number of factors to retain. In </w:t>
      </w:r>
      <w:r w:rsidRPr="00CF31E0">
        <w:rPr>
          <w:lang w:eastAsia="en-US"/>
        </w:rPr>
        <w:lastRenderedPageBreak/>
        <w:t>light of the solutions I obtained from each criterion, I would argue that the two-factor solution is the best one for the current research</w:t>
      </w:r>
      <w:r w:rsidR="000C20CB" w:rsidRPr="00CF31E0">
        <w:rPr>
          <w:lang w:eastAsia="en-US"/>
        </w:rPr>
        <w:t xml:space="preserve"> as this was indicated by two of the three tests (t</w:t>
      </w:r>
      <w:r w:rsidRPr="00CF31E0">
        <w:rPr>
          <w:lang w:eastAsia="en-US"/>
        </w:rPr>
        <w:t>he scree plot test and parallel analysis</w:t>
      </w:r>
      <w:r w:rsidR="000C20CB" w:rsidRPr="00CF31E0">
        <w:rPr>
          <w:lang w:eastAsia="en-US"/>
        </w:rPr>
        <w:t>)</w:t>
      </w:r>
      <w:r w:rsidRPr="00CF31E0">
        <w:rPr>
          <w:lang w:eastAsia="en-US"/>
        </w:rPr>
        <w:t xml:space="preserve">. I can now argue that the two-factor solutions are not only driven by the background information of the region, but they are also driven by the data itself. </w:t>
      </w:r>
      <w:r w:rsidR="000C20CB" w:rsidRPr="00CF31E0">
        <w:rPr>
          <w:lang w:eastAsia="en-US"/>
        </w:rPr>
        <w:t xml:space="preserve">Following this decision I was able to </w:t>
      </w:r>
      <w:r w:rsidRPr="00CF31E0">
        <w:rPr>
          <w:rFonts w:eastAsia="Times New Roman"/>
          <w:lang w:eastAsia="zh-CN"/>
        </w:rPr>
        <w:t>re-run the analysis and instruct the extraction method to select two factors.</w:t>
      </w:r>
    </w:p>
    <w:p w14:paraId="3C280F4D" w14:textId="044526CD" w:rsidR="00A23C2A" w:rsidRPr="00CF31E0" w:rsidRDefault="00A23C2A" w:rsidP="00603CB7">
      <w:pPr>
        <w:pStyle w:val="Paragraph"/>
        <w:rPr>
          <w:lang w:eastAsia="zh-CN"/>
        </w:rPr>
      </w:pPr>
      <w:r w:rsidRPr="00CF31E0">
        <w:rPr>
          <w:lang w:eastAsia="zh-CN"/>
        </w:rPr>
        <w:t xml:space="preserve">In sum, three techniques were applied to the data to decide on the number of factors to retain. First, when using Kaiser’s criterion three factors were generated (see Table </w:t>
      </w:r>
      <w:r w:rsidR="007F6C6D" w:rsidRPr="00CF31E0">
        <w:rPr>
          <w:lang w:eastAsia="zh-CN"/>
        </w:rPr>
        <w:t>9</w:t>
      </w:r>
      <w:r w:rsidR="002F6AF0" w:rsidRPr="00CF31E0">
        <w:rPr>
          <w:lang w:eastAsia="zh-CN"/>
        </w:rPr>
        <w:t>.7</w:t>
      </w:r>
      <w:r w:rsidRPr="00CF31E0">
        <w:rPr>
          <w:lang w:eastAsia="zh-CN"/>
        </w:rPr>
        <w:t xml:space="preserve">). Second, with the scree plot technique two factors were generated. Third, similar to the solution obtained from the scree plot technique, the parallel analysis test created two factors. The solution from the scree plot and parallel analysis seems to be the most suitable for </w:t>
      </w:r>
      <w:r w:rsidR="00F67814" w:rsidRPr="00CF31E0">
        <w:rPr>
          <w:lang w:eastAsia="zh-CN"/>
        </w:rPr>
        <w:t xml:space="preserve">the present research as the </w:t>
      </w:r>
      <w:r w:rsidR="00C52542" w:rsidRPr="00CF31E0">
        <w:rPr>
          <w:lang w:eastAsia="zh-CN"/>
        </w:rPr>
        <w:t>two-</w:t>
      </w:r>
      <w:r w:rsidR="00A7236B" w:rsidRPr="00CF31E0">
        <w:rPr>
          <w:lang w:eastAsia="zh-CN"/>
        </w:rPr>
        <w:t xml:space="preserve">factor </w:t>
      </w:r>
      <w:r w:rsidR="00F67814" w:rsidRPr="00CF31E0">
        <w:rPr>
          <w:lang w:eastAsia="zh-CN"/>
        </w:rPr>
        <w:t xml:space="preserve">solutions </w:t>
      </w:r>
      <w:r w:rsidR="00C52542" w:rsidRPr="00CF31E0">
        <w:rPr>
          <w:lang w:eastAsia="zh-CN"/>
        </w:rPr>
        <w:t>were</w:t>
      </w:r>
      <w:r w:rsidR="00F67814" w:rsidRPr="00CF31E0">
        <w:rPr>
          <w:lang w:eastAsia="zh-CN"/>
        </w:rPr>
        <w:t xml:space="preserve"> approved by two techniques</w:t>
      </w:r>
      <w:r w:rsidR="00C52542" w:rsidRPr="00CF31E0">
        <w:rPr>
          <w:lang w:eastAsia="zh-CN"/>
        </w:rPr>
        <w:t xml:space="preserve">, </w:t>
      </w:r>
      <w:r w:rsidR="00F67814" w:rsidRPr="00CF31E0">
        <w:rPr>
          <w:lang w:eastAsia="zh-CN"/>
        </w:rPr>
        <w:t>scree plot and parallel analysis, while the three</w:t>
      </w:r>
      <w:r w:rsidR="00C52542" w:rsidRPr="00CF31E0">
        <w:rPr>
          <w:lang w:eastAsia="zh-CN"/>
        </w:rPr>
        <w:t>-factor</w:t>
      </w:r>
      <w:r w:rsidR="00F67814" w:rsidRPr="00CF31E0">
        <w:rPr>
          <w:lang w:eastAsia="zh-CN"/>
        </w:rPr>
        <w:t xml:space="preserve"> </w:t>
      </w:r>
      <w:r w:rsidR="002A68D6" w:rsidRPr="00CF31E0">
        <w:rPr>
          <w:lang w:eastAsia="zh-CN"/>
        </w:rPr>
        <w:t>solutions</w:t>
      </w:r>
      <w:r w:rsidR="00F67814" w:rsidRPr="00CF31E0">
        <w:rPr>
          <w:lang w:eastAsia="zh-CN"/>
        </w:rPr>
        <w:t xml:space="preserve"> </w:t>
      </w:r>
      <w:r w:rsidR="00C52542" w:rsidRPr="00CF31E0">
        <w:rPr>
          <w:lang w:eastAsia="zh-CN"/>
        </w:rPr>
        <w:t>were</w:t>
      </w:r>
      <w:r w:rsidR="00F67814" w:rsidRPr="00CF31E0">
        <w:rPr>
          <w:lang w:eastAsia="zh-CN"/>
        </w:rPr>
        <w:t xml:space="preserve"> approved by only Kaiser’s technique. </w:t>
      </w:r>
      <w:r w:rsidR="00C52542" w:rsidRPr="00CF31E0">
        <w:rPr>
          <w:lang w:eastAsia="zh-CN"/>
        </w:rPr>
        <w:t>Although the three-</w:t>
      </w:r>
      <w:r w:rsidR="00FF6FAE" w:rsidRPr="00CF31E0">
        <w:rPr>
          <w:lang w:eastAsia="zh-CN"/>
        </w:rPr>
        <w:t>factor solutions</w:t>
      </w:r>
      <w:r w:rsidR="00F67814" w:rsidRPr="00CF31E0">
        <w:rPr>
          <w:lang w:eastAsia="zh-CN"/>
        </w:rPr>
        <w:t xml:space="preserve"> delivered more variance </w:t>
      </w:r>
      <w:r w:rsidR="002A68D6" w:rsidRPr="00CF31E0">
        <w:rPr>
          <w:lang w:eastAsia="zh-CN"/>
        </w:rPr>
        <w:t>than</w:t>
      </w:r>
      <w:r w:rsidR="00F67814" w:rsidRPr="00CF31E0">
        <w:rPr>
          <w:lang w:eastAsia="zh-CN"/>
        </w:rPr>
        <w:t xml:space="preserve"> </w:t>
      </w:r>
      <w:r w:rsidR="00FF6FAE" w:rsidRPr="00CF31E0">
        <w:rPr>
          <w:lang w:eastAsia="zh-CN"/>
        </w:rPr>
        <w:t xml:space="preserve">the </w:t>
      </w:r>
      <w:r w:rsidR="00C52542" w:rsidRPr="00CF31E0">
        <w:rPr>
          <w:lang w:eastAsia="zh-CN"/>
        </w:rPr>
        <w:t>two-</w:t>
      </w:r>
      <w:r w:rsidR="00FF6FAE" w:rsidRPr="00CF31E0">
        <w:rPr>
          <w:lang w:eastAsia="zh-CN"/>
        </w:rPr>
        <w:t xml:space="preserve">factor solutions, </w:t>
      </w:r>
      <w:r w:rsidR="002A68D6" w:rsidRPr="00CF31E0">
        <w:rPr>
          <w:lang w:eastAsia="zh-CN"/>
        </w:rPr>
        <w:t>the</w:t>
      </w:r>
      <w:r w:rsidR="00C52542" w:rsidRPr="00CF31E0">
        <w:rPr>
          <w:lang w:eastAsia="zh-CN"/>
        </w:rPr>
        <w:t>se were suitable for use in the present study due to being</w:t>
      </w:r>
      <w:r w:rsidR="002A68D6" w:rsidRPr="00CF31E0">
        <w:rPr>
          <w:lang w:eastAsia="zh-CN"/>
        </w:rPr>
        <w:t xml:space="preserve"> </w:t>
      </w:r>
      <w:r w:rsidR="00FF6FAE" w:rsidRPr="00CF31E0">
        <w:rPr>
          <w:lang w:eastAsia="zh-CN"/>
        </w:rPr>
        <w:t>approved and revealed</w:t>
      </w:r>
      <w:r w:rsidR="002A68D6" w:rsidRPr="00CF31E0">
        <w:rPr>
          <w:lang w:eastAsia="zh-CN"/>
        </w:rPr>
        <w:t xml:space="preserve"> by </w:t>
      </w:r>
      <w:r w:rsidR="00FF6FAE" w:rsidRPr="00CF31E0">
        <w:rPr>
          <w:lang w:eastAsia="zh-CN"/>
        </w:rPr>
        <w:t xml:space="preserve">two techniques. </w:t>
      </w:r>
    </w:p>
    <w:p w14:paraId="67DFE220" w14:textId="55D61252" w:rsidR="00A23C2A" w:rsidRPr="00CF31E0" w:rsidRDefault="00A23C2A" w:rsidP="00603CB7">
      <w:pPr>
        <w:pStyle w:val="Paragraph"/>
        <w:rPr>
          <w:lang w:val="en-US" w:eastAsia="zh-CN"/>
        </w:rPr>
      </w:pPr>
      <w:r w:rsidRPr="00CF31E0">
        <w:rPr>
          <w:lang w:val="en-US" w:eastAsia="zh-CN"/>
        </w:rPr>
        <w:t xml:space="preserve">Overall, the decision on the number of factors that researchers choose to retain must not only depend on statistical guidelines, but also needs to depend on the theoretical coherence of the factors and the original goals of the research </w:t>
      </w:r>
      <w:r w:rsidRPr="00CF31E0">
        <w:rPr>
          <w:lang w:val="en-US" w:eastAsia="zh-CN"/>
        </w:rPr>
        <w:fldChar w:fldCharType="begin"/>
      </w:r>
      <w:r w:rsidRPr="00CF31E0">
        <w:rPr>
          <w:lang w:val="en-US" w:eastAsia="zh-CN"/>
        </w:rPr>
        <w:instrText xml:space="preserve"> ADDIN ZOTERO_ITEM CSL_CITATION {"citationID":"2jhi56c1t8","properties":{"formattedCitation":"(Nunnally &amp; Bernstein, 1974; Pedhazur &amp; Schmelkin, 1991)","plainCitation":"(Nunnally &amp; Bernstein, 1974; Pedhazur &amp; Schmelkin, 1991)"},"citationItems":[{"id":223,"uris":["http://zotero.org/users/1939618/items/AM9Z2HVI"],"uri":["http://zotero.org/users/1939618/items/AM9Z2HVI"],"itemData":{"id":223,"type":"book","title":"Psychometric theory","publisher":"McGraw-Hill.","publisher-place":"New York","edition":"3rd","source":"Google Scholar","event-place":"New York","URL":"http://www.jstor.org/stable/pdf/1175619.pdf","author":[{"family":"Nunnally","given":"Jum C."},{"family":"Bernstein","given":"Ira H."}],"issued":{"date-parts":[["1974"]]},"accessed":{"date-parts":[["2016",11,26]]}},"label":"page"},{"id":226,"uris":["http://zotero.org/users/1939618/items/MVHI33I4"],"uri":["http://zotero.org/users/1939618/items/MVHI33I4"],"itemData":{"id":226,"type":"book","title":"Measurement, design, and analysis: An integrated approach","publisher":"Lawrence Erlbaum.","publisher-place":"Hillsdale, NJ","source":"Google Scholar","event-place":"Hillsdale, NJ","URL":"https://books.google.co.uk/books?hl=en&amp;lr=&amp;id=WXt_NSiqV7wC&amp;oi=fnd&amp;pg=PR2&amp;dq=Measurement,+design,+and+analysis:+An+integrated+approach.&amp;ots=7sxmH1jkJP&amp;sig=Zc9eCjwFYfacykWQiyhq5eG2s6c","shortTitle":"Measurement, design, and analysis","author":[{"family":"Pedhazur","given":"Elazar J."},{"family":"Schmelkin","given":"Liora Pedhazur"}],"issued":{"date-parts":[["1991"]]},"accessed":{"date-parts":[["2016",11,26]]}},"label":"page"}],"schema":"https://github.com/citation-style-language/schema/raw/master/csl-citation.json"} </w:instrText>
      </w:r>
      <w:r w:rsidRPr="00CF31E0">
        <w:rPr>
          <w:lang w:val="en-US" w:eastAsia="zh-CN"/>
        </w:rPr>
        <w:fldChar w:fldCharType="separate"/>
      </w:r>
      <w:r w:rsidRPr="00CF31E0">
        <w:rPr>
          <w:noProof/>
          <w:lang w:val="en-US" w:eastAsia="zh-CN"/>
        </w:rPr>
        <w:t>(Nunnally &amp; Bernstein, 1974; Pedhazur &amp; Schmelkin, 1991)</w:t>
      </w:r>
      <w:r w:rsidRPr="00CF31E0">
        <w:rPr>
          <w:lang w:val="en-US" w:eastAsia="zh-CN"/>
        </w:rPr>
        <w:fldChar w:fldCharType="end"/>
      </w:r>
      <w:r w:rsidRPr="00CF31E0">
        <w:rPr>
          <w:lang w:val="en-US" w:eastAsia="zh-CN"/>
        </w:rPr>
        <w:t xml:space="preserve">. In other words, the factors need to be easy to interpret and need to represent the background information and initial conceptualization of the research. As previously mentioned, a two-factor solution for the current data seems to have much more factor interpretability and practicality. </w:t>
      </w:r>
    </w:p>
    <w:p w14:paraId="12F2C7B6" w14:textId="6BEE2843" w:rsidR="00A23C2A" w:rsidRPr="00CF31E0" w:rsidRDefault="007F6C6D" w:rsidP="00E87209">
      <w:pPr>
        <w:pStyle w:val="Bhead"/>
      </w:pPr>
      <w:bookmarkStart w:id="631" w:name="_Toc502437226"/>
      <w:bookmarkStart w:id="632" w:name="_Toc6472748"/>
      <w:r w:rsidRPr="00CF31E0">
        <w:t>9</w:t>
      </w:r>
      <w:r w:rsidR="00123E3A" w:rsidRPr="00CF31E0">
        <w:t>.4.3.</w:t>
      </w:r>
      <w:r w:rsidR="002A5315" w:rsidRPr="00CF31E0">
        <w:tab/>
      </w:r>
      <w:r w:rsidR="00A23C2A" w:rsidRPr="00CF31E0">
        <w:t>Factor rotation and interpretation</w:t>
      </w:r>
      <w:bookmarkEnd w:id="631"/>
      <w:bookmarkEnd w:id="632"/>
    </w:p>
    <w:p w14:paraId="06E43BAE" w14:textId="7738BC20" w:rsidR="00A23C2A" w:rsidRPr="00CF31E0" w:rsidRDefault="00A23C2A" w:rsidP="00603CB7">
      <w:pPr>
        <w:pStyle w:val="Paragraph"/>
        <w:rPr>
          <w:lang w:val="en-US" w:eastAsia="en-US"/>
        </w:rPr>
      </w:pPr>
      <w:r w:rsidRPr="00CF31E0">
        <w:rPr>
          <w:lang w:val="en-US" w:eastAsia="en-US"/>
        </w:rPr>
        <w:t xml:space="preserve">After determining the number of factors, the next step to implement was to attempt to understand what they represent. Factor rotation is the process of clumping similar variables together, without affecting the underlying </w:t>
      </w:r>
      <w:r w:rsidRPr="00CF31E0">
        <w:rPr>
          <w:lang w:val="en-US" w:eastAsia="en-US"/>
        </w:rPr>
        <w:lastRenderedPageBreak/>
        <w:t xml:space="preserve">solution </w:t>
      </w:r>
      <w:bookmarkStart w:id="633" w:name="ZOTERO_BREF_FmDe8SOngnFF"/>
      <w:r w:rsidRPr="00CF31E0">
        <w:rPr>
          <w:rFonts w:eastAsia="Times New Roman"/>
          <w:szCs w:val="22"/>
          <w:lang w:eastAsia="zh-CN"/>
        </w:rPr>
        <w:t>(Conway &amp; Huffcutt, 2003; Pallant, 2013</w:t>
      </w:r>
      <w:bookmarkEnd w:id="633"/>
      <w:r w:rsidRPr="00CF31E0">
        <w:rPr>
          <w:rFonts w:eastAsia="Times New Roman"/>
          <w:szCs w:val="22"/>
          <w:lang w:eastAsia="zh-CN"/>
        </w:rPr>
        <w:t>).</w:t>
      </w:r>
      <w:r w:rsidRPr="00CF31E0">
        <w:rPr>
          <w:lang w:val="en-US" w:eastAsia="en-US"/>
        </w:rPr>
        <w:t xml:space="preserve"> Moreover, factor rotation attempts to avoid multiple loadings by loading each of the variables strongly in one factor (Thurstone </w:t>
      </w:r>
      <w:r w:rsidR="00BE2071" w:rsidRPr="00CF31E0">
        <w:rPr>
          <w:lang w:val="en-US" w:eastAsia="en-US"/>
        </w:rPr>
        <w:t xml:space="preserve">as cited </w:t>
      </w:r>
      <w:r w:rsidRPr="00CF31E0">
        <w:rPr>
          <w:lang w:val="en-US" w:eastAsia="en-US"/>
        </w:rPr>
        <w:t xml:space="preserve">in </w:t>
      </w:r>
      <w:bookmarkStart w:id="634" w:name="ZOTERO_BREF_DmHOICqtD6iJ"/>
      <w:r w:rsidRPr="00CF31E0">
        <w:rPr>
          <w:rFonts w:eastAsia="Times New Roman"/>
          <w:szCs w:val="22"/>
          <w:lang w:eastAsia="zh-CN"/>
        </w:rPr>
        <w:t>Pallant, 2013, p. 182</w:t>
      </w:r>
      <w:bookmarkStart w:id="635" w:name="ZOTERO_BREF_pDBwDpIsOYG2"/>
      <w:bookmarkEnd w:id="634"/>
      <w:r w:rsidRPr="00CF31E0">
        <w:rPr>
          <w:rFonts w:eastAsia="Times New Roman"/>
          <w:szCs w:val="22"/>
          <w:lang w:eastAsia="zh-CN"/>
        </w:rPr>
        <w:t>)</w:t>
      </w:r>
      <w:r w:rsidRPr="00CF31E0">
        <w:rPr>
          <w:lang w:val="en-US" w:eastAsia="en-US"/>
        </w:rPr>
        <w:t xml:space="preserve">. </w:t>
      </w:r>
      <w:r w:rsidRPr="00CF31E0">
        <w:rPr>
          <w:lang w:val="en-US" w:eastAsia="en-US"/>
        </w:rPr>
        <w:fldChar w:fldCharType="begin"/>
      </w:r>
      <w:r w:rsidRPr="00CF31E0">
        <w:rPr>
          <w:lang w:val="en-US" w:eastAsia="en-US"/>
        </w:rPr>
        <w:instrText xml:space="preserve"> ADDIN ZOTERO_ITEM CSL_CITATION {"citationID":"gANepe9H","properties":{"formattedCitation":"(Pedhazur &amp; Schmelkin, 1991, p. 612)","plainCitation":"(Pedhazur &amp; Schmelkin, 1991, p. 612)"},"citationItems":[{"id":226,"uris":["http://zotero.org/users/1939618/items/MVHI33I4"],"uri":["http://zotero.org/users/1939618/items/MVHI33I4"],"itemData":{"id":226,"type":"book","title":"Measurement, design, and analysis: An integrated approach","publisher":"Lawrence Erlbaum.","publisher-place":"Hillsdale, NJ","source":"Google Scholar","event-place":"Hillsdale, NJ","URL":"https://books.google.co.uk/books?hl=en&amp;lr=&amp;id=WXt_NSiqV7wC&amp;oi=fnd&amp;pg=PR2&amp;dq=Measurement,+design,+and+analysis:+An+integrated+approach.&amp;ots=7sxmH1jkJP&amp;sig=Zc9eCjwFYfacykWQiyhq5eG2s6c","shortTitle":"Measurement, design, and analysis","author":[{"family":"Pedhazur","given":"Elazar J."},{"family":"Schmelkin","given":"Liora Pedhazur"}],"issued":{"date-parts":[["1991"]]},"accessed":{"date-parts":[["2016",11,26]]}},"locator":"612","label":"page"}],"schema":"https://github.com/citation-style-language/schema/raw/master/csl-citation.json"} </w:instrText>
      </w:r>
      <w:r w:rsidRPr="00CF31E0">
        <w:rPr>
          <w:lang w:val="en-US" w:eastAsia="en-US"/>
        </w:rPr>
        <w:fldChar w:fldCharType="separate"/>
      </w:r>
      <w:r w:rsidRPr="00CF31E0">
        <w:rPr>
          <w:noProof/>
          <w:lang w:val="en-US" w:eastAsia="en-US"/>
        </w:rPr>
        <w:t xml:space="preserve">Pedhazur </w:t>
      </w:r>
      <w:r w:rsidR="00BE2071" w:rsidRPr="00CF31E0">
        <w:rPr>
          <w:noProof/>
          <w:lang w:val="en-US" w:eastAsia="en-US"/>
        </w:rPr>
        <w:t xml:space="preserve">and </w:t>
      </w:r>
      <w:r w:rsidRPr="00CF31E0">
        <w:rPr>
          <w:noProof/>
          <w:lang w:val="en-US" w:eastAsia="en-US"/>
        </w:rPr>
        <w:t>Schmelkin (1991, p. 612)</w:t>
      </w:r>
      <w:r w:rsidRPr="00CF31E0">
        <w:rPr>
          <w:lang w:val="en-US" w:eastAsia="en-US"/>
        </w:rPr>
        <w:fldChar w:fldCharType="end"/>
      </w:r>
      <w:bookmarkEnd w:id="635"/>
      <w:r w:rsidRPr="00CF31E0">
        <w:rPr>
          <w:lang w:val="en-US" w:eastAsia="en-US"/>
        </w:rPr>
        <w:t xml:space="preserve"> summarize an ideal factor rotation as “one that results in a simple structure such that each [item] has a high, or meaningful, loading on one factor only and each factor has high, or meaningful, loadings for only some of the [items]</w:t>
      </w:r>
      <w:r w:rsidRPr="00CF31E0">
        <w:rPr>
          <w:rFonts w:eastAsia="Calibri"/>
          <w:lang w:eastAsia="en-US"/>
        </w:rPr>
        <w:t>”</w:t>
      </w:r>
      <w:r w:rsidRPr="00CF31E0">
        <w:rPr>
          <w:lang w:val="en-US" w:eastAsia="en-US"/>
        </w:rPr>
        <w:t xml:space="preserve">. </w:t>
      </w:r>
    </w:p>
    <w:p w14:paraId="7CD23C47" w14:textId="19DEA51B" w:rsidR="00A23C2A" w:rsidRPr="00CF31E0" w:rsidRDefault="00A23C2A" w:rsidP="00603CB7">
      <w:pPr>
        <w:pStyle w:val="Paragraph"/>
        <w:rPr>
          <w:rFonts w:eastAsia="Times New Roman"/>
          <w:lang w:eastAsia="zh-CN"/>
        </w:rPr>
      </w:pPr>
      <w:r w:rsidRPr="00CF31E0">
        <w:rPr>
          <w:lang w:eastAsia="en-US"/>
        </w:rPr>
        <w:t xml:space="preserve">There are two main methods for factor rotation; oblique and orthogonal. Examples of oblique rotations are oblimin, quartimin, and promax. Examples of orthogonal rotations are: varimax, quartimax and equamax. Oblique rotation is best used when the factors extracted are correlated with each other. On the other hand, orthogonal rotation assumes that factors are not correlated with each other </w:t>
      </w:r>
      <w:bookmarkStart w:id="636" w:name="ZOTERO_BREF_YwI9y6F7epgc"/>
      <w:r w:rsidRPr="00CF31E0">
        <w:rPr>
          <w:rFonts w:eastAsia="Times New Roman"/>
          <w:lang w:eastAsia="zh-CN"/>
        </w:rPr>
        <w:t>(Fabrigar</w:t>
      </w:r>
      <w:r w:rsidR="00BE2071" w:rsidRPr="00CF31E0">
        <w:rPr>
          <w:rFonts w:eastAsia="Times New Roman"/>
          <w:lang w:eastAsia="zh-CN"/>
        </w:rPr>
        <w:t xml:space="preserve"> et al.</w:t>
      </w:r>
      <w:r w:rsidRPr="00CF31E0">
        <w:rPr>
          <w:rFonts w:eastAsia="Times New Roman"/>
          <w:lang w:eastAsia="zh-CN"/>
        </w:rPr>
        <w:t>, 1999)</w:t>
      </w:r>
      <w:bookmarkEnd w:id="636"/>
      <w:r w:rsidRPr="00CF31E0">
        <w:rPr>
          <w:lang w:eastAsia="en-US"/>
        </w:rPr>
        <w:t xml:space="preserve">. Therefore, </w:t>
      </w:r>
      <w:bookmarkStart w:id="637" w:name="ZOTERO_BREF_qDmSHJuYSR8X"/>
      <w:r w:rsidRPr="00CF31E0">
        <w:rPr>
          <w:rFonts w:eastAsia="Times New Roman"/>
          <w:lang w:eastAsia="zh-CN"/>
        </w:rPr>
        <w:t xml:space="preserve">Reio Jr </w:t>
      </w:r>
      <w:r w:rsidR="00BE2071" w:rsidRPr="00CF31E0">
        <w:rPr>
          <w:rFonts w:eastAsia="Times New Roman"/>
          <w:lang w:eastAsia="zh-CN"/>
        </w:rPr>
        <w:t xml:space="preserve">and </w:t>
      </w:r>
      <w:r w:rsidRPr="00CF31E0">
        <w:rPr>
          <w:rFonts w:eastAsia="Times New Roman"/>
          <w:lang w:eastAsia="zh-CN"/>
        </w:rPr>
        <w:t>Shuck (2015, p. 19)</w:t>
      </w:r>
      <w:bookmarkEnd w:id="637"/>
      <w:r w:rsidRPr="00CF31E0">
        <w:rPr>
          <w:lang w:eastAsia="en-US"/>
        </w:rPr>
        <w:t xml:space="preserve"> argue that “</w:t>
      </w:r>
      <w:r w:rsidRPr="00CF31E0">
        <w:rPr>
          <w:rFonts w:ascii="TimesNewRomanPSMT" w:eastAsia="Times New Roman" w:hAnsi="TimesNewRomanPSMT"/>
          <w:lang w:eastAsia="zh-CN"/>
        </w:rPr>
        <w:t>if the factors are in reality correlated, orthogonal rotations can yield illusory solutions thereby threatening theory building, suggesting</w:t>
      </w:r>
      <w:r w:rsidRPr="00CF31E0">
        <w:rPr>
          <w:rFonts w:eastAsia="Times New Roman"/>
          <w:lang w:eastAsia="zh-CN"/>
        </w:rPr>
        <w:t xml:space="preserve"> </w:t>
      </w:r>
      <w:r w:rsidRPr="00CF31E0">
        <w:rPr>
          <w:rFonts w:ascii="TimesNewRomanPSMT" w:eastAsia="Times New Roman" w:hAnsi="TimesNewRomanPSMT"/>
          <w:lang w:eastAsia="zh-CN"/>
        </w:rPr>
        <w:t>instead that oblique rotations are to be preferred”. As a result, the researcher has to be very careful when deciding th</w:t>
      </w:r>
      <w:bookmarkStart w:id="638" w:name="ZOTERO_BREF_JnLjKowkT71Y"/>
      <w:r w:rsidRPr="00CF31E0">
        <w:rPr>
          <w:rFonts w:ascii="TimesNewRomanPSMT" w:eastAsia="Times New Roman" w:hAnsi="TimesNewRomanPSMT"/>
          <w:lang w:eastAsia="zh-CN"/>
        </w:rPr>
        <w:t xml:space="preserve">e rotation method to be chosen. </w:t>
      </w:r>
      <w:r w:rsidRPr="00CF31E0">
        <w:rPr>
          <w:rFonts w:ascii="TimesNewRomanPSMT" w:eastAsia="Times New Roman" w:hAnsi="TimesNewRomanPSMT"/>
          <w:lang w:eastAsia="zh-CN"/>
        </w:rPr>
        <w:fldChar w:fldCharType="begin"/>
      </w:r>
      <w:r w:rsidRPr="00CF31E0">
        <w:rPr>
          <w:rFonts w:ascii="TimesNewRomanPSMT" w:eastAsia="Times New Roman" w:hAnsi="TimesNewRomanPSMT"/>
          <w:lang w:eastAsia="zh-CN"/>
        </w:rPr>
        <w:instrText xml:space="preserve"> ADDIN ZOTERO_ITEM CSL_CITATION {"citationID":"mDntsuXE","properties":{"formattedCitation":"(B. G. Tabachnick &amp; Fidell, 2007, p. 646)","plainCitation":"(B. G. Tabachnick &amp; Fidell, 2007, p. 646)","dontUpdate":true,"noteIndex":0},"citationItems":[{"id":263,"uris":["http://zotero.org/users/1939618/items/D8DWARUM"],"uri":["http://zotero.org/users/1939618/items/D8DWARUM"],"itemData":{"id":263,"type":"book","title":"Multivariate analysis of variance and covariance","publisher":"NJ: Pearson Allyn &amp; Bacon","publisher-place":"Upper Saddle River","edition":"5th","source":"Google Scholar","event-place":"Upper Saddle River","author":[{"family":"Tabachnick","given":"B. G."},{"family":"Fidell","given":"L. S."}],"issued":{"date-parts":[["2007"]]}},"locator":"646","label":"page"}],"schema":"https://github.com/citation-style-language/schema/raw/master/csl-citation.json"} </w:instrText>
      </w:r>
      <w:r w:rsidRPr="00CF31E0">
        <w:rPr>
          <w:rFonts w:ascii="TimesNewRomanPSMT" w:eastAsia="Times New Roman" w:hAnsi="TimesNewRomanPSMT"/>
          <w:lang w:eastAsia="zh-CN"/>
        </w:rPr>
        <w:fldChar w:fldCharType="separate"/>
      </w:r>
      <w:r w:rsidRPr="00CF31E0">
        <w:rPr>
          <w:rFonts w:ascii="TimesNewRomanPSMT" w:eastAsia="Times New Roman" w:hAnsi="TimesNewRomanPSMT"/>
          <w:noProof/>
          <w:lang w:eastAsia="zh-CN"/>
        </w:rPr>
        <w:t xml:space="preserve">Tabachnick </w:t>
      </w:r>
      <w:r w:rsidR="0069594E" w:rsidRPr="00CF31E0">
        <w:rPr>
          <w:rFonts w:ascii="TimesNewRomanPSMT" w:eastAsia="Times New Roman" w:hAnsi="TimesNewRomanPSMT"/>
          <w:noProof/>
          <w:lang w:eastAsia="zh-CN"/>
        </w:rPr>
        <w:t xml:space="preserve">and </w:t>
      </w:r>
      <w:r w:rsidRPr="00CF31E0">
        <w:rPr>
          <w:rFonts w:ascii="TimesNewRomanPSMT" w:eastAsia="Times New Roman" w:hAnsi="TimesNewRomanPSMT"/>
          <w:noProof/>
          <w:lang w:eastAsia="zh-CN"/>
        </w:rPr>
        <w:t>Fidell (2007, p. 646)</w:t>
      </w:r>
      <w:r w:rsidRPr="00CF31E0">
        <w:rPr>
          <w:rFonts w:ascii="TimesNewRomanPSMT" w:eastAsia="Times New Roman" w:hAnsi="TimesNewRomanPSMT"/>
          <w:lang w:eastAsia="zh-CN"/>
        </w:rPr>
        <w:fldChar w:fldCharType="end"/>
      </w:r>
      <w:bookmarkEnd w:id="638"/>
      <w:r w:rsidRPr="00CF31E0">
        <w:rPr>
          <w:rFonts w:eastAsia="Times New Roman"/>
          <w:lang w:eastAsia="zh-CN"/>
        </w:rPr>
        <w:t xml:space="preserve"> illustrate a very explicit and logical way for researchers to test whether orthogonal or oblique rotation is the best rotation method for factor analysis. The steps are illustrated in the following paragraph; </w:t>
      </w:r>
    </w:p>
    <w:p w14:paraId="755092EE" w14:textId="0CF2BF3F" w:rsidR="00DB766A" w:rsidRPr="00CF31E0" w:rsidRDefault="00A23C2A" w:rsidP="00DB766A">
      <w:pPr>
        <w:pStyle w:val="Extract"/>
        <w:rPr>
          <w:lang w:eastAsia="zh-CN"/>
        </w:rPr>
      </w:pPr>
      <w:r w:rsidRPr="00CF31E0">
        <w:rPr>
          <w:lang w:eastAsia="zh-CN"/>
        </w:rPr>
        <w:t xml:space="preserve">Perhaps the best way to decide between orthogonal and oblique rotation is to request oblique rotation [e.g., direct oblimin or promax from SPSS] with the desired number of factors [see Brown, 2009b] and look at the correlations among factors…if factor correlations are not driven by the data, the solution remains nearly orthogonal. Look at the factor correlation matrix for correlations around .32 and above. If correlations exceed .32, then there is 10% (or more) overlap in variance among factors, enough variance to warrant oblique rotation unless there are compelling </w:t>
      </w:r>
      <w:r w:rsidR="00DB766A" w:rsidRPr="00CF31E0">
        <w:rPr>
          <w:lang w:eastAsia="zh-CN"/>
        </w:rPr>
        <w:t>reasons for orthogonal rotation.</w:t>
      </w:r>
    </w:p>
    <w:p w14:paraId="6F080A70" w14:textId="79C6B5C5" w:rsidR="00A23C2A" w:rsidRPr="00CF31E0" w:rsidRDefault="00A23C2A" w:rsidP="00603CB7">
      <w:pPr>
        <w:pStyle w:val="Paragraph"/>
        <w:rPr>
          <w:rFonts w:ascii="TimesNewRomanPSMT" w:hAnsi="TimesNewRomanPSMT"/>
          <w:lang w:eastAsia="zh-CN"/>
        </w:rPr>
      </w:pPr>
      <w:r w:rsidRPr="00CF31E0">
        <w:rPr>
          <w:lang w:eastAsia="zh-CN"/>
        </w:rPr>
        <w:lastRenderedPageBreak/>
        <w:t>Following Tabachnick and Fiddell’s (2007) strategy for deciding on the factor rotation method, I tested the initial solution with Oblique rotation (i.e. promax). I</w:t>
      </w:r>
      <w:r w:rsidRPr="00CF31E0">
        <w:rPr>
          <w:rFonts w:ascii="TimesNewRomanPSMT" w:hAnsi="TimesNewRomanPSMT"/>
          <w:lang w:eastAsia="zh-CN"/>
        </w:rPr>
        <w:t xml:space="preserve"> re-ran the analysis with a fixed number of two factors, choosing oblique rotation. See Table </w:t>
      </w:r>
      <w:r w:rsidR="0069594E" w:rsidRPr="00CF31E0">
        <w:rPr>
          <w:rFonts w:ascii="TimesNewRomanPSMT" w:hAnsi="TimesNewRomanPSMT"/>
          <w:lang w:eastAsia="zh-CN"/>
        </w:rPr>
        <w:t>8.</w:t>
      </w:r>
      <w:r w:rsidR="002A5315" w:rsidRPr="00CF31E0">
        <w:rPr>
          <w:rFonts w:ascii="TimesNewRomanPSMT" w:hAnsi="TimesNewRomanPSMT"/>
          <w:lang w:eastAsia="zh-CN"/>
        </w:rPr>
        <w:t>10</w:t>
      </w:r>
      <w:r w:rsidR="0069594E" w:rsidRPr="00CF31E0">
        <w:rPr>
          <w:rFonts w:ascii="TimesNewRomanPSMT" w:hAnsi="TimesNewRomanPSMT"/>
          <w:lang w:eastAsia="zh-CN"/>
        </w:rPr>
        <w:t xml:space="preserve"> </w:t>
      </w:r>
      <w:r w:rsidRPr="00CF31E0">
        <w:rPr>
          <w:rFonts w:ascii="TimesNewRomanPSMT" w:hAnsi="TimesNewRomanPSMT"/>
          <w:lang w:eastAsia="zh-CN"/>
        </w:rPr>
        <w:t>for the result obtained with oblique rotation.</w:t>
      </w:r>
    </w:p>
    <w:p w14:paraId="48B3F7DF" w14:textId="77777777" w:rsidR="00FF095C" w:rsidRPr="00CF31E0" w:rsidRDefault="00FF095C" w:rsidP="00603CB7">
      <w:pPr>
        <w:pStyle w:val="Paragraph"/>
        <w:rPr>
          <w:lang w:eastAsia="zh-CN"/>
        </w:rPr>
      </w:pPr>
    </w:p>
    <w:tbl>
      <w:tblPr>
        <w:tblW w:w="3869"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111"/>
        <w:gridCol w:w="1379"/>
        <w:gridCol w:w="1379"/>
      </w:tblGrid>
      <w:tr w:rsidR="007F558A" w:rsidRPr="00CF31E0" w14:paraId="4B235613" w14:textId="77777777" w:rsidTr="00603CB7">
        <w:trPr>
          <w:cantSplit/>
          <w:trHeight w:val="519"/>
        </w:trPr>
        <w:tc>
          <w:tcPr>
            <w:tcW w:w="1111" w:type="dxa"/>
            <w:tcBorders>
              <w:top w:val="single" w:sz="8" w:space="0" w:color="auto"/>
              <w:bottom w:val="single" w:sz="8" w:space="0" w:color="auto"/>
            </w:tcBorders>
            <w:shd w:val="clear" w:color="auto" w:fill="FFFFFF"/>
            <w:vAlign w:val="bottom"/>
          </w:tcPr>
          <w:p w14:paraId="70D5FBDB" w14:textId="77777777" w:rsidR="00A23C2A" w:rsidRPr="00CF31E0" w:rsidRDefault="00A23C2A" w:rsidP="00603CB7">
            <w:pPr>
              <w:widowControl w:val="0"/>
              <w:autoSpaceDE w:val="0"/>
              <w:autoSpaceDN w:val="0"/>
              <w:adjustRightInd w:val="0"/>
              <w:spacing w:before="120" w:after="12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Factor</w:t>
            </w:r>
          </w:p>
        </w:tc>
        <w:tc>
          <w:tcPr>
            <w:tcW w:w="1379" w:type="dxa"/>
            <w:tcBorders>
              <w:top w:val="single" w:sz="8" w:space="0" w:color="auto"/>
              <w:bottom w:val="single" w:sz="8" w:space="0" w:color="auto"/>
            </w:tcBorders>
            <w:shd w:val="clear" w:color="auto" w:fill="FFFFFF"/>
            <w:vAlign w:val="bottom"/>
          </w:tcPr>
          <w:p w14:paraId="5C2BE8B5" w14:textId="77777777" w:rsidR="00A23C2A" w:rsidRPr="00CF31E0" w:rsidRDefault="00A23C2A" w:rsidP="00603CB7">
            <w:pPr>
              <w:widowControl w:val="0"/>
              <w:autoSpaceDE w:val="0"/>
              <w:autoSpaceDN w:val="0"/>
              <w:adjustRightInd w:val="0"/>
              <w:spacing w:before="120" w:after="120"/>
              <w:rPr>
                <w:rFonts w:eastAsia="Times New Roman"/>
                <w:color w:val="000000" w:themeColor="text1"/>
                <w:sz w:val="22"/>
                <w:szCs w:val="22"/>
                <w:lang w:eastAsia="zh-CN"/>
              </w:rPr>
            </w:pPr>
            <w:r w:rsidRPr="00CF31E0">
              <w:rPr>
                <w:rFonts w:eastAsia="Times New Roman"/>
                <w:color w:val="000000" w:themeColor="text1"/>
                <w:sz w:val="22"/>
                <w:szCs w:val="22"/>
                <w:lang w:eastAsia="zh-CN"/>
              </w:rPr>
              <w:t>1</w:t>
            </w:r>
          </w:p>
        </w:tc>
        <w:tc>
          <w:tcPr>
            <w:tcW w:w="1379" w:type="dxa"/>
            <w:tcBorders>
              <w:top w:val="single" w:sz="8" w:space="0" w:color="auto"/>
              <w:bottom w:val="single" w:sz="8" w:space="0" w:color="auto"/>
            </w:tcBorders>
            <w:shd w:val="clear" w:color="auto" w:fill="FFFFFF"/>
            <w:vAlign w:val="bottom"/>
          </w:tcPr>
          <w:p w14:paraId="1B8B5407" w14:textId="77777777" w:rsidR="00A23C2A" w:rsidRPr="00CF31E0" w:rsidRDefault="00A23C2A" w:rsidP="00603CB7">
            <w:pPr>
              <w:widowControl w:val="0"/>
              <w:autoSpaceDE w:val="0"/>
              <w:autoSpaceDN w:val="0"/>
              <w:adjustRightInd w:val="0"/>
              <w:spacing w:before="120" w:after="120"/>
              <w:rPr>
                <w:rFonts w:eastAsia="Times New Roman"/>
                <w:color w:val="000000" w:themeColor="text1"/>
                <w:sz w:val="22"/>
                <w:szCs w:val="22"/>
                <w:lang w:eastAsia="zh-CN"/>
              </w:rPr>
            </w:pPr>
            <w:r w:rsidRPr="00CF31E0">
              <w:rPr>
                <w:rFonts w:eastAsia="Times New Roman"/>
                <w:color w:val="000000" w:themeColor="text1"/>
                <w:sz w:val="22"/>
                <w:szCs w:val="22"/>
                <w:lang w:eastAsia="zh-CN"/>
              </w:rPr>
              <w:t>2</w:t>
            </w:r>
          </w:p>
        </w:tc>
      </w:tr>
      <w:tr w:rsidR="007F558A" w:rsidRPr="00CF31E0" w14:paraId="610799B5" w14:textId="77777777" w:rsidTr="00603CB7">
        <w:trPr>
          <w:cantSplit/>
          <w:trHeight w:val="519"/>
        </w:trPr>
        <w:tc>
          <w:tcPr>
            <w:tcW w:w="1111" w:type="dxa"/>
            <w:tcBorders>
              <w:top w:val="single" w:sz="8" w:space="0" w:color="auto"/>
              <w:bottom w:val="nil"/>
            </w:tcBorders>
            <w:shd w:val="clear" w:color="auto" w:fill="FFFFFF"/>
          </w:tcPr>
          <w:p w14:paraId="25AA0653" w14:textId="77777777" w:rsidR="00A23C2A" w:rsidRPr="00CF31E0" w:rsidRDefault="00A23C2A" w:rsidP="00603CB7">
            <w:pPr>
              <w:widowControl w:val="0"/>
              <w:autoSpaceDE w:val="0"/>
              <w:autoSpaceDN w:val="0"/>
              <w:adjustRightInd w:val="0"/>
              <w:spacing w:before="120" w:after="12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1</w:t>
            </w:r>
          </w:p>
        </w:tc>
        <w:tc>
          <w:tcPr>
            <w:tcW w:w="1379" w:type="dxa"/>
            <w:tcBorders>
              <w:top w:val="single" w:sz="8" w:space="0" w:color="auto"/>
              <w:bottom w:val="nil"/>
            </w:tcBorders>
            <w:shd w:val="clear" w:color="auto" w:fill="FFFFFF"/>
            <w:vAlign w:val="center"/>
          </w:tcPr>
          <w:p w14:paraId="06C15574" w14:textId="77777777" w:rsidR="00A23C2A" w:rsidRPr="00CF31E0" w:rsidRDefault="00A23C2A" w:rsidP="00603CB7">
            <w:pPr>
              <w:widowControl w:val="0"/>
              <w:autoSpaceDE w:val="0"/>
              <w:autoSpaceDN w:val="0"/>
              <w:adjustRightInd w:val="0"/>
              <w:spacing w:before="120" w:after="12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1.000</w:t>
            </w:r>
          </w:p>
        </w:tc>
        <w:tc>
          <w:tcPr>
            <w:tcW w:w="1379" w:type="dxa"/>
            <w:tcBorders>
              <w:top w:val="single" w:sz="8" w:space="0" w:color="auto"/>
              <w:bottom w:val="nil"/>
            </w:tcBorders>
            <w:shd w:val="clear" w:color="auto" w:fill="FFFFFF"/>
            <w:vAlign w:val="center"/>
          </w:tcPr>
          <w:p w14:paraId="41F7F891" w14:textId="77777777" w:rsidR="00A23C2A" w:rsidRPr="00CF31E0" w:rsidRDefault="00A23C2A" w:rsidP="00603CB7">
            <w:pPr>
              <w:widowControl w:val="0"/>
              <w:autoSpaceDE w:val="0"/>
              <w:autoSpaceDN w:val="0"/>
              <w:adjustRightInd w:val="0"/>
              <w:spacing w:before="120" w:after="12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-.268</w:t>
            </w:r>
          </w:p>
        </w:tc>
      </w:tr>
      <w:tr w:rsidR="007F558A" w:rsidRPr="00CF31E0" w14:paraId="20CE18D9" w14:textId="77777777" w:rsidTr="00603CB7">
        <w:trPr>
          <w:cantSplit/>
          <w:trHeight w:val="559"/>
        </w:trPr>
        <w:tc>
          <w:tcPr>
            <w:tcW w:w="1111" w:type="dxa"/>
            <w:tcBorders>
              <w:top w:val="nil"/>
              <w:bottom w:val="single" w:sz="8" w:space="0" w:color="auto"/>
            </w:tcBorders>
            <w:shd w:val="clear" w:color="auto" w:fill="FFFFFF"/>
          </w:tcPr>
          <w:p w14:paraId="7BA09615" w14:textId="77777777" w:rsidR="00A23C2A" w:rsidRPr="00CF31E0" w:rsidRDefault="00A23C2A" w:rsidP="00603CB7">
            <w:pPr>
              <w:widowControl w:val="0"/>
              <w:autoSpaceDE w:val="0"/>
              <w:autoSpaceDN w:val="0"/>
              <w:adjustRightInd w:val="0"/>
              <w:spacing w:before="120" w:after="12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2</w:t>
            </w:r>
          </w:p>
        </w:tc>
        <w:tc>
          <w:tcPr>
            <w:tcW w:w="1379" w:type="dxa"/>
            <w:tcBorders>
              <w:top w:val="nil"/>
              <w:bottom w:val="single" w:sz="8" w:space="0" w:color="auto"/>
            </w:tcBorders>
            <w:shd w:val="clear" w:color="auto" w:fill="FFFFFF"/>
            <w:vAlign w:val="center"/>
          </w:tcPr>
          <w:p w14:paraId="5AAAA1F5" w14:textId="77777777" w:rsidR="00A23C2A" w:rsidRPr="00CF31E0" w:rsidRDefault="00A23C2A" w:rsidP="00603CB7">
            <w:pPr>
              <w:widowControl w:val="0"/>
              <w:autoSpaceDE w:val="0"/>
              <w:autoSpaceDN w:val="0"/>
              <w:adjustRightInd w:val="0"/>
              <w:spacing w:before="120" w:after="12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-.268</w:t>
            </w:r>
          </w:p>
        </w:tc>
        <w:tc>
          <w:tcPr>
            <w:tcW w:w="1379" w:type="dxa"/>
            <w:tcBorders>
              <w:top w:val="nil"/>
              <w:bottom w:val="single" w:sz="8" w:space="0" w:color="auto"/>
            </w:tcBorders>
            <w:shd w:val="clear" w:color="auto" w:fill="FFFFFF"/>
            <w:vAlign w:val="center"/>
          </w:tcPr>
          <w:p w14:paraId="5F141748" w14:textId="77777777" w:rsidR="00A23C2A" w:rsidRPr="00CF31E0" w:rsidRDefault="00A23C2A" w:rsidP="00603CB7">
            <w:pPr>
              <w:widowControl w:val="0"/>
              <w:autoSpaceDE w:val="0"/>
              <w:autoSpaceDN w:val="0"/>
              <w:adjustRightInd w:val="0"/>
              <w:spacing w:before="120" w:after="12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1.000</w:t>
            </w:r>
          </w:p>
        </w:tc>
      </w:tr>
    </w:tbl>
    <w:p w14:paraId="04F9BA5F" w14:textId="2A8B8F79" w:rsidR="00A23C2A" w:rsidRPr="00CF31E0" w:rsidRDefault="00A23C2A" w:rsidP="007F6C6D">
      <w:pPr>
        <w:pStyle w:val="Tablecaption"/>
        <w:rPr>
          <w:lang w:eastAsia="zh-CN"/>
        </w:rPr>
      </w:pPr>
      <w:bookmarkStart w:id="639" w:name="_Toc522527446"/>
      <w:bookmarkStart w:id="640" w:name="_Toc522628858"/>
      <w:bookmarkStart w:id="641" w:name="_Toc522629022"/>
      <w:bookmarkStart w:id="642" w:name="_Toc6473119"/>
      <w:r w:rsidRPr="00CF31E0">
        <w:rPr>
          <w:lang w:eastAsia="zh-CN"/>
        </w:rPr>
        <w:t xml:space="preserve">Table </w:t>
      </w:r>
      <w:r w:rsidR="007F6C6D" w:rsidRPr="00CF31E0">
        <w:rPr>
          <w:lang w:eastAsia="zh-CN"/>
        </w:rPr>
        <w:t>9</w:t>
      </w:r>
      <w:r w:rsidR="0069594E" w:rsidRPr="00CF31E0">
        <w:rPr>
          <w:lang w:eastAsia="zh-CN"/>
        </w:rPr>
        <w:t>.</w:t>
      </w:r>
      <w:r w:rsidR="002A5315" w:rsidRPr="00CF31E0">
        <w:rPr>
          <w:lang w:eastAsia="zh-CN"/>
        </w:rPr>
        <w:t>10</w:t>
      </w:r>
      <w:r w:rsidRPr="00CF31E0">
        <w:rPr>
          <w:lang w:eastAsia="zh-CN"/>
        </w:rPr>
        <w:t>: Factor correlation matrix</w:t>
      </w:r>
      <w:r w:rsidR="0069594E" w:rsidRPr="00CF31E0">
        <w:rPr>
          <w:lang w:eastAsia="zh-CN"/>
        </w:rPr>
        <w:t>.</w:t>
      </w:r>
      <w:bookmarkEnd w:id="639"/>
      <w:bookmarkEnd w:id="640"/>
      <w:bookmarkEnd w:id="641"/>
      <w:bookmarkEnd w:id="642"/>
    </w:p>
    <w:p w14:paraId="003C5430" w14:textId="470BD59F" w:rsidR="00A23C2A" w:rsidRPr="00CF31E0" w:rsidRDefault="00A23C2A" w:rsidP="00603CB7">
      <w:pPr>
        <w:pStyle w:val="Paragraph"/>
        <w:rPr>
          <w:rFonts w:eastAsia="Calibri"/>
          <w:lang w:eastAsia="en-US"/>
        </w:rPr>
      </w:pPr>
      <w:r w:rsidRPr="00CF31E0">
        <w:rPr>
          <w:lang w:eastAsia="zh-CN"/>
        </w:rPr>
        <w:t xml:space="preserve">As can be seen from Table </w:t>
      </w:r>
      <w:r w:rsidR="007F6C6D" w:rsidRPr="00CF31E0">
        <w:rPr>
          <w:lang w:eastAsia="zh-CN"/>
        </w:rPr>
        <w:t>9</w:t>
      </w:r>
      <w:r w:rsidR="0069594E" w:rsidRPr="00CF31E0">
        <w:rPr>
          <w:lang w:eastAsia="zh-CN"/>
        </w:rPr>
        <w:t>.</w:t>
      </w:r>
      <w:r w:rsidR="002A5315" w:rsidRPr="00CF31E0">
        <w:rPr>
          <w:lang w:eastAsia="zh-CN"/>
        </w:rPr>
        <w:t>10</w:t>
      </w:r>
      <w:r w:rsidR="0069594E" w:rsidRPr="00CF31E0">
        <w:rPr>
          <w:lang w:eastAsia="zh-CN"/>
        </w:rPr>
        <w:t xml:space="preserve"> </w:t>
      </w:r>
      <w:r w:rsidRPr="00CF31E0">
        <w:rPr>
          <w:lang w:eastAsia="zh-CN"/>
        </w:rPr>
        <w:t xml:space="preserve">above, the correlation matrix is only -.286, which is less than .32. As a result, I needed to re-run the analysis to set up orthogonal rotation as the default method of rotation for my current data. </w:t>
      </w:r>
      <w:r w:rsidRPr="00CF31E0">
        <w:rPr>
          <w:rFonts w:eastAsia="Calibri"/>
          <w:lang w:eastAsia="en-US"/>
        </w:rPr>
        <w:t xml:space="preserve">An orthogonal rotation is preferable with this analysis since factor correlation is not driven by the data. As a result, the final solution was tested with orthogonal rotation (i.e. assuming factors are uncorrelated). </w:t>
      </w:r>
    </w:p>
    <w:p w14:paraId="4C921470" w14:textId="561C72F6" w:rsidR="00A23C2A" w:rsidRPr="00CF31E0" w:rsidRDefault="00A23C2A" w:rsidP="00603CB7">
      <w:pPr>
        <w:pStyle w:val="Paragraph"/>
        <w:rPr>
          <w:lang w:val="en-US" w:eastAsia="en-US"/>
        </w:rPr>
      </w:pPr>
      <w:r w:rsidRPr="00CF31E0">
        <w:rPr>
          <w:lang w:val="en-US" w:eastAsia="en-US"/>
        </w:rPr>
        <w:t>It is important to note that the loadings in each factor can be made even easier and simpler to understand by simplifying the presentation “so that the patterns of item-to-factor correlations in the factor structure matrix are more distinct</w:t>
      </w:r>
      <w:r w:rsidRPr="00CF31E0">
        <w:rPr>
          <w:rFonts w:eastAsia="Calibri"/>
          <w:lang w:eastAsia="en-US"/>
        </w:rPr>
        <w:t>”</w:t>
      </w:r>
      <w:r w:rsidRPr="00CF31E0">
        <w:rPr>
          <w:lang w:val="en-US" w:eastAsia="en-US"/>
        </w:rPr>
        <w:t xml:space="preserve"> </w:t>
      </w:r>
      <w:bookmarkStart w:id="643" w:name="ZOTERO_BREF_jQfzTtVjvBI8"/>
      <w:r w:rsidR="00030EEC" w:rsidRPr="00CF31E0">
        <w:rPr>
          <w:rFonts w:eastAsia="Times New Roman"/>
          <w:szCs w:val="22"/>
          <w:lang w:eastAsia="zh-CN"/>
        </w:rPr>
        <w:t>(Pett et al., 2003</w:t>
      </w:r>
      <w:r w:rsidR="00FA482A">
        <w:rPr>
          <w:rFonts w:eastAsia="Times New Roman"/>
          <w:szCs w:val="22"/>
          <w:lang w:eastAsia="zh-CN"/>
        </w:rPr>
        <w:t>, p. 3</w:t>
      </w:r>
      <w:r w:rsidRPr="00CF31E0">
        <w:rPr>
          <w:rFonts w:eastAsia="Times New Roman"/>
          <w:szCs w:val="22"/>
          <w:lang w:eastAsia="zh-CN"/>
        </w:rPr>
        <w:t>)</w:t>
      </w:r>
      <w:bookmarkEnd w:id="643"/>
      <w:r w:rsidRPr="00CF31E0">
        <w:rPr>
          <w:lang w:val="en-US" w:eastAsia="en-US"/>
        </w:rPr>
        <w:t xml:space="preserve">. We can simplify the loadings in SPSS by directing the computer to suppress small coefficients under 0.4 in the coefficient display format. By doing so, only values that are strong are worth noting. On the other hand, if the values are not specified when running the analysis, the factor analysis will report all items in each factor, even those that are not worth noting </w:t>
      </w:r>
      <w:bookmarkStart w:id="644" w:name="ZOTERO_BREF_AizKzqrF3QKL"/>
      <w:r w:rsidR="00030EEC" w:rsidRPr="00CF31E0">
        <w:rPr>
          <w:rFonts w:eastAsia="Times New Roman"/>
          <w:szCs w:val="22"/>
          <w:lang w:eastAsia="zh-CN"/>
        </w:rPr>
        <w:t>(Pett et al., 2003</w:t>
      </w:r>
      <w:r w:rsidR="00FA482A">
        <w:rPr>
          <w:rFonts w:eastAsia="Times New Roman"/>
          <w:szCs w:val="22"/>
          <w:lang w:eastAsia="zh-CN"/>
        </w:rPr>
        <w:t>, p. 4</w:t>
      </w:r>
      <w:r w:rsidRPr="00CF31E0">
        <w:rPr>
          <w:rFonts w:eastAsia="Times New Roman"/>
          <w:szCs w:val="22"/>
          <w:lang w:eastAsia="zh-CN"/>
        </w:rPr>
        <w:t>)</w:t>
      </w:r>
      <w:bookmarkEnd w:id="644"/>
      <w:r w:rsidRPr="00CF31E0">
        <w:rPr>
          <w:lang w:val="en-US" w:eastAsia="en-US"/>
        </w:rPr>
        <w:t xml:space="preserve">. It is important to note that by suppressing small values under 0.4 we are not deleting any of the items. All items are present in the calculation of communalities, and are present in the underlying analysis, but some items are absent in the loading. The reason for their absence is because I instructed SPSS to suppress small </w:t>
      </w:r>
      <w:r w:rsidRPr="00CF31E0">
        <w:rPr>
          <w:lang w:val="en-US" w:eastAsia="en-US"/>
        </w:rPr>
        <w:lastRenderedPageBreak/>
        <w:t xml:space="preserve">values under 0.4. Thus, any item with a value less than 0.4. is not going to show up in the component matrix. </w:t>
      </w:r>
    </w:p>
    <w:p w14:paraId="1B26E22F" w14:textId="0A9699D3" w:rsidR="00A23C2A" w:rsidRPr="00CF31E0" w:rsidRDefault="00A23C2A" w:rsidP="00603CB7">
      <w:pPr>
        <w:pStyle w:val="Paragraph"/>
        <w:rPr>
          <w:lang w:eastAsia="zh-CN"/>
        </w:rPr>
      </w:pPr>
      <w:r w:rsidRPr="00CF31E0">
        <w:rPr>
          <w:lang w:val="en-US" w:eastAsia="zh-CN"/>
        </w:rPr>
        <w:t xml:space="preserve">To </w:t>
      </w:r>
      <w:r w:rsidR="0069594E" w:rsidRPr="00CF31E0">
        <w:rPr>
          <w:lang w:val="en-US" w:eastAsia="zh-CN"/>
        </w:rPr>
        <w:t>s</w:t>
      </w:r>
      <w:r w:rsidRPr="00CF31E0">
        <w:rPr>
          <w:lang w:val="en-US" w:eastAsia="zh-CN"/>
        </w:rPr>
        <w:t xml:space="preserve">um up, </w:t>
      </w:r>
      <w:r w:rsidRPr="00CF31E0">
        <w:rPr>
          <w:lang w:eastAsia="zh-CN"/>
        </w:rPr>
        <w:t>so far, three decisions have been taken to proceed with the final analysis. The decisions taken are as follows:</w:t>
      </w:r>
    </w:p>
    <w:p w14:paraId="3DBFE237" w14:textId="77777777" w:rsidR="00A23C2A" w:rsidRPr="00CF31E0" w:rsidRDefault="00A23C2A" w:rsidP="00467EF6">
      <w:pPr>
        <w:widowControl w:val="0"/>
        <w:numPr>
          <w:ilvl w:val="0"/>
          <w:numId w:val="18"/>
        </w:numPr>
        <w:autoSpaceDE w:val="0"/>
        <w:autoSpaceDN w:val="0"/>
        <w:adjustRightInd w:val="0"/>
        <w:spacing w:before="120" w:after="240" w:line="360" w:lineRule="auto"/>
        <w:contextualSpacing/>
        <w:jc w:val="both"/>
        <w:rPr>
          <w:rFonts w:eastAsia="Times New Roman"/>
          <w:color w:val="000000" w:themeColor="text1"/>
          <w:lang w:eastAsia="zh-CN"/>
        </w:rPr>
      </w:pPr>
      <w:r w:rsidRPr="00CF31E0">
        <w:rPr>
          <w:rFonts w:eastAsia="Times New Roman"/>
          <w:color w:val="000000" w:themeColor="text1"/>
          <w:lang w:eastAsia="zh-CN"/>
        </w:rPr>
        <w:t>The extraction method is principal axis factoring.</w:t>
      </w:r>
    </w:p>
    <w:p w14:paraId="05563A37" w14:textId="77777777" w:rsidR="00A23C2A" w:rsidRPr="00CF31E0" w:rsidRDefault="00A23C2A" w:rsidP="00467EF6">
      <w:pPr>
        <w:widowControl w:val="0"/>
        <w:numPr>
          <w:ilvl w:val="0"/>
          <w:numId w:val="18"/>
        </w:numPr>
        <w:autoSpaceDE w:val="0"/>
        <w:autoSpaceDN w:val="0"/>
        <w:adjustRightInd w:val="0"/>
        <w:spacing w:before="120" w:after="240" w:line="360" w:lineRule="auto"/>
        <w:contextualSpacing/>
        <w:jc w:val="both"/>
        <w:rPr>
          <w:rFonts w:eastAsia="Times New Roman"/>
          <w:color w:val="000000" w:themeColor="text1"/>
          <w:lang w:eastAsia="zh-CN"/>
        </w:rPr>
      </w:pPr>
      <w:r w:rsidRPr="00CF31E0">
        <w:rPr>
          <w:rFonts w:eastAsia="Times New Roman"/>
          <w:color w:val="000000" w:themeColor="text1"/>
          <w:lang w:eastAsia="zh-CN"/>
        </w:rPr>
        <w:t>The number of factors to retain is two.</w:t>
      </w:r>
    </w:p>
    <w:p w14:paraId="5804087A" w14:textId="77777777" w:rsidR="00A23C2A" w:rsidRPr="00CF31E0" w:rsidRDefault="00A23C2A" w:rsidP="00467EF6">
      <w:pPr>
        <w:widowControl w:val="0"/>
        <w:numPr>
          <w:ilvl w:val="0"/>
          <w:numId w:val="18"/>
        </w:numPr>
        <w:autoSpaceDE w:val="0"/>
        <w:autoSpaceDN w:val="0"/>
        <w:adjustRightInd w:val="0"/>
        <w:spacing w:before="120" w:after="240" w:line="360" w:lineRule="auto"/>
        <w:contextualSpacing/>
        <w:jc w:val="both"/>
        <w:rPr>
          <w:rFonts w:eastAsia="Times New Roman"/>
          <w:color w:val="000000" w:themeColor="text1"/>
          <w:lang w:eastAsia="zh-CN"/>
        </w:rPr>
      </w:pPr>
      <w:r w:rsidRPr="00CF31E0">
        <w:rPr>
          <w:rFonts w:eastAsia="Times New Roman"/>
          <w:color w:val="000000" w:themeColor="text1"/>
          <w:lang w:eastAsia="zh-CN"/>
        </w:rPr>
        <w:t xml:space="preserve">The rotation method is orthogonal (i.e. quartimax). </w:t>
      </w:r>
    </w:p>
    <w:p w14:paraId="579F9C1E" w14:textId="4DE31ED8" w:rsidR="00DB766A" w:rsidRPr="00CF31E0" w:rsidRDefault="00A23C2A" w:rsidP="00FF095C">
      <w:pPr>
        <w:pStyle w:val="Paragraph"/>
        <w:spacing w:after="0"/>
        <w:rPr>
          <w:lang w:val="en-US" w:eastAsia="zh-CN"/>
        </w:rPr>
      </w:pPr>
      <w:r w:rsidRPr="00CF31E0">
        <w:rPr>
          <w:lang w:val="en-US" w:eastAsia="zh-CN"/>
        </w:rPr>
        <w:t xml:space="preserve">Table </w:t>
      </w:r>
      <w:r w:rsidR="007F6C6D" w:rsidRPr="00CF31E0">
        <w:rPr>
          <w:lang w:val="en-US" w:eastAsia="zh-CN"/>
        </w:rPr>
        <w:t>9</w:t>
      </w:r>
      <w:r w:rsidR="0069594E" w:rsidRPr="00CF31E0">
        <w:rPr>
          <w:lang w:val="en-US" w:eastAsia="zh-CN"/>
        </w:rPr>
        <w:t>.</w:t>
      </w:r>
      <w:r w:rsidR="002A5315" w:rsidRPr="00CF31E0">
        <w:rPr>
          <w:lang w:val="en-US" w:eastAsia="zh-CN"/>
        </w:rPr>
        <w:t>11</w:t>
      </w:r>
      <w:r w:rsidR="0069594E" w:rsidRPr="00CF31E0">
        <w:rPr>
          <w:lang w:val="en-US" w:eastAsia="zh-CN"/>
        </w:rPr>
        <w:t xml:space="preserve"> </w:t>
      </w:r>
      <w:r w:rsidRPr="00CF31E0">
        <w:rPr>
          <w:lang w:val="en-US" w:eastAsia="zh-CN"/>
        </w:rPr>
        <w:t xml:space="preserve">provides a summary of the steps taken until I reached a final two-factor solution. </w:t>
      </w:r>
    </w:p>
    <w:tbl>
      <w:tblPr>
        <w:tblStyle w:val="PlainTable21"/>
        <w:tblpPr w:leftFromText="180" w:rightFromText="180" w:vertAnchor="text" w:horzAnchor="page" w:tblpX="2498" w:tblpY="361"/>
        <w:tblW w:w="7763" w:type="dxa"/>
        <w:tblBorders>
          <w:top w:val="single" w:sz="8" w:space="0" w:color="auto"/>
          <w:left w:val="single" w:sz="8" w:space="0" w:color="auto"/>
          <w:bottom w:val="single" w:sz="8" w:space="0" w:color="auto"/>
          <w:right w:val="single" w:sz="8" w:space="0" w:color="auto"/>
          <w:insideH w:val="single" w:sz="4" w:space="0" w:color="7F7F7F"/>
          <w:insideV w:val="single" w:sz="4" w:space="0" w:color="7F7F7F"/>
        </w:tblBorders>
        <w:tblLayout w:type="fixed"/>
        <w:tblLook w:val="0000" w:firstRow="0" w:lastRow="0" w:firstColumn="0" w:lastColumn="0" w:noHBand="0" w:noVBand="0"/>
        <w:tblCaption w:val="b"/>
      </w:tblPr>
      <w:tblGrid>
        <w:gridCol w:w="1242"/>
        <w:gridCol w:w="1134"/>
        <w:gridCol w:w="1134"/>
        <w:gridCol w:w="1134"/>
        <w:gridCol w:w="851"/>
        <w:gridCol w:w="992"/>
        <w:gridCol w:w="1276"/>
      </w:tblGrid>
      <w:tr w:rsidR="00E2565F" w:rsidRPr="00CF31E0" w14:paraId="3F1CC77A" w14:textId="77777777" w:rsidTr="00603CB7">
        <w:trPr>
          <w:cnfStyle w:val="000000100000" w:firstRow="0" w:lastRow="0" w:firstColumn="0" w:lastColumn="0" w:oddVBand="0" w:evenVBand="0" w:oddHBand="1" w:evenHBand="0" w:firstRowFirstColumn="0" w:firstRowLastColumn="0" w:lastRowFirstColumn="0" w:lastRowLastColumn="0"/>
          <w:trHeight w:val="723"/>
        </w:trPr>
        <w:tc>
          <w:tcPr>
            <w:cnfStyle w:val="000010000000" w:firstRow="0" w:lastRow="0" w:firstColumn="0" w:lastColumn="0" w:oddVBand="1" w:evenVBand="0" w:oddHBand="0" w:evenHBand="0" w:firstRowFirstColumn="0" w:firstRowLastColumn="0" w:lastRowFirstColumn="0" w:lastRowLastColumn="0"/>
            <w:tcW w:w="1242" w:type="dxa"/>
          </w:tcPr>
          <w:p w14:paraId="635CB278" w14:textId="77777777" w:rsidR="00A23C2A" w:rsidRPr="00CF31E0" w:rsidRDefault="00A23C2A" w:rsidP="00A23C2A">
            <w:pPr>
              <w:spacing w:before="120" w:after="180" w:line="360" w:lineRule="auto"/>
              <w:jc w:val="both"/>
              <w:rPr>
                <w:rFonts w:eastAsia="Times New Roman"/>
                <w:b/>
                <w:bCs/>
                <w:color w:val="000000" w:themeColor="text1"/>
                <w:sz w:val="20"/>
                <w:szCs w:val="20"/>
                <w:lang w:eastAsia="zh-CN"/>
              </w:rPr>
            </w:pPr>
            <w:r w:rsidRPr="00CF31E0">
              <w:rPr>
                <w:rFonts w:eastAsia="Times New Roman"/>
                <w:b/>
                <w:bCs/>
                <w:color w:val="000000" w:themeColor="text1"/>
                <w:sz w:val="20"/>
                <w:szCs w:val="20"/>
                <w:lang w:eastAsia="zh-CN"/>
              </w:rPr>
              <w:t>Reliability score</w:t>
            </w:r>
          </w:p>
        </w:tc>
        <w:tc>
          <w:tcPr>
            <w:cnfStyle w:val="000001000000" w:firstRow="0" w:lastRow="0" w:firstColumn="0" w:lastColumn="0" w:oddVBand="0" w:evenVBand="1" w:oddHBand="0" w:evenHBand="0" w:firstRowFirstColumn="0" w:firstRowLastColumn="0" w:lastRowFirstColumn="0" w:lastRowLastColumn="0"/>
            <w:tcW w:w="1134" w:type="dxa"/>
          </w:tcPr>
          <w:p w14:paraId="763791F0" w14:textId="1A8BAB44" w:rsidR="00A23C2A" w:rsidRPr="00CF31E0" w:rsidRDefault="00541EC3" w:rsidP="00A23C2A">
            <w:pPr>
              <w:spacing w:before="120" w:after="180" w:line="360" w:lineRule="auto"/>
              <w:jc w:val="both"/>
              <w:rPr>
                <w:rFonts w:eastAsia="Times New Roman"/>
                <w:b/>
                <w:bCs/>
                <w:color w:val="000000" w:themeColor="text1"/>
                <w:sz w:val="20"/>
                <w:szCs w:val="20"/>
                <w:lang w:eastAsia="zh-CN"/>
              </w:rPr>
            </w:pPr>
            <w:r w:rsidRPr="00CF31E0">
              <w:rPr>
                <w:rFonts w:eastAsia="Times New Roman"/>
                <w:b/>
                <w:bCs/>
                <w:color w:val="000000" w:themeColor="text1"/>
                <w:sz w:val="20"/>
                <w:szCs w:val="20"/>
                <w:lang w:eastAsia="zh-CN"/>
              </w:rPr>
              <w:t xml:space="preserve">Solutions </w:t>
            </w:r>
          </w:p>
        </w:tc>
        <w:tc>
          <w:tcPr>
            <w:cnfStyle w:val="000010000000" w:firstRow="0" w:lastRow="0" w:firstColumn="0" w:lastColumn="0" w:oddVBand="1" w:evenVBand="0" w:oddHBand="0" w:evenHBand="0" w:firstRowFirstColumn="0" w:firstRowLastColumn="0" w:lastRowFirstColumn="0" w:lastRowLastColumn="0"/>
            <w:tcW w:w="1134" w:type="dxa"/>
          </w:tcPr>
          <w:p w14:paraId="4CE6970D" w14:textId="77777777" w:rsidR="00A23C2A" w:rsidRPr="00CF31E0" w:rsidRDefault="00A23C2A" w:rsidP="00A23C2A">
            <w:pPr>
              <w:spacing w:before="120" w:after="180" w:line="360" w:lineRule="auto"/>
              <w:jc w:val="both"/>
              <w:rPr>
                <w:rFonts w:eastAsia="Times New Roman"/>
                <w:b/>
                <w:bCs/>
                <w:color w:val="000000" w:themeColor="text1"/>
                <w:sz w:val="20"/>
                <w:szCs w:val="20"/>
                <w:lang w:eastAsia="zh-CN"/>
              </w:rPr>
            </w:pPr>
            <w:r w:rsidRPr="00CF31E0">
              <w:rPr>
                <w:rFonts w:eastAsia="Times New Roman"/>
                <w:b/>
                <w:bCs/>
                <w:color w:val="000000" w:themeColor="text1"/>
                <w:sz w:val="20"/>
                <w:szCs w:val="20"/>
                <w:lang w:eastAsia="zh-CN"/>
              </w:rPr>
              <w:t xml:space="preserve">Extraction method </w:t>
            </w:r>
          </w:p>
        </w:tc>
        <w:tc>
          <w:tcPr>
            <w:cnfStyle w:val="000001000000" w:firstRow="0" w:lastRow="0" w:firstColumn="0" w:lastColumn="0" w:oddVBand="0" w:evenVBand="1" w:oddHBand="0" w:evenHBand="0" w:firstRowFirstColumn="0" w:firstRowLastColumn="0" w:lastRowFirstColumn="0" w:lastRowLastColumn="0"/>
            <w:tcW w:w="1134" w:type="dxa"/>
          </w:tcPr>
          <w:p w14:paraId="453DB918" w14:textId="7B36074C" w:rsidR="00A23C2A" w:rsidRPr="00CF31E0" w:rsidRDefault="00A23C2A" w:rsidP="00A23C2A">
            <w:pPr>
              <w:spacing w:before="120" w:after="180" w:line="360" w:lineRule="auto"/>
              <w:jc w:val="both"/>
              <w:rPr>
                <w:rFonts w:eastAsia="Times New Roman"/>
                <w:b/>
                <w:bCs/>
                <w:color w:val="000000" w:themeColor="text1"/>
                <w:sz w:val="20"/>
                <w:szCs w:val="20"/>
                <w:lang w:eastAsia="zh-CN"/>
              </w:rPr>
            </w:pPr>
            <w:r w:rsidRPr="00CF31E0">
              <w:rPr>
                <w:rFonts w:eastAsia="Times New Roman"/>
                <w:b/>
                <w:bCs/>
                <w:color w:val="000000" w:themeColor="text1"/>
                <w:sz w:val="20"/>
                <w:szCs w:val="20"/>
                <w:lang w:eastAsia="zh-CN"/>
              </w:rPr>
              <w:t>Criterion for extractio</w:t>
            </w:r>
            <w:r w:rsidR="00E2565F" w:rsidRPr="00CF31E0">
              <w:rPr>
                <w:rFonts w:eastAsia="Times New Roman"/>
                <w:b/>
                <w:bCs/>
                <w:color w:val="000000" w:themeColor="text1"/>
                <w:sz w:val="20"/>
                <w:szCs w:val="20"/>
                <w:lang w:eastAsia="zh-CN"/>
              </w:rPr>
              <w:t>n</w:t>
            </w:r>
            <w:r w:rsidRPr="00CF31E0">
              <w:rPr>
                <w:rFonts w:eastAsia="Times New Roman"/>
                <w:b/>
                <w:bCs/>
                <w:color w:val="000000" w:themeColor="text1"/>
                <w:sz w:val="20"/>
                <w:szCs w:val="20"/>
                <w:lang w:eastAsia="zh-CN"/>
              </w:rPr>
              <w:t xml:space="preserve"> </w:t>
            </w:r>
          </w:p>
        </w:tc>
        <w:tc>
          <w:tcPr>
            <w:cnfStyle w:val="000010000000" w:firstRow="0" w:lastRow="0" w:firstColumn="0" w:lastColumn="0" w:oddVBand="1" w:evenVBand="0" w:oddHBand="0" w:evenHBand="0" w:firstRowFirstColumn="0" w:firstRowLastColumn="0" w:lastRowFirstColumn="0" w:lastRowLastColumn="0"/>
            <w:tcW w:w="851" w:type="dxa"/>
          </w:tcPr>
          <w:p w14:paraId="6BF2B2B8" w14:textId="62C2E645" w:rsidR="00A23C2A" w:rsidRPr="00CF31E0" w:rsidRDefault="00E2565F" w:rsidP="00E2565F">
            <w:pPr>
              <w:spacing w:before="120" w:after="180" w:line="360" w:lineRule="auto"/>
              <w:jc w:val="both"/>
              <w:rPr>
                <w:rFonts w:eastAsia="Times New Roman"/>
                <w:b/>
                <w:bCs/>
                <w:color w:val="000000" w:themeColor="text1"/>
                <w:sz w:val="20"/>
                <w:szCs w:val="20"/>
                <w:lang w:eastAsia="zh-CN"/>
              </w:rPr>
            </w:pPr>
            <w:r w:rsidRPr="00CF31E0">
              <w:rPr>
                <w:rFonts w:eastAsia="Times New Roman"/>
                <w:b/>
                <w:bCs/>
                <w:color w:val="000000" w:themeColor="text1"/>
                <w:sz w:val="20"/>
                <w:szCs w:val="20"/>
                <w:lang w:eastAsia="zh-CN"/>
              </w:rPr>
              <w:t xml:space="preserve">No. </w:t>
            </w:r>
            <w:r w:rsidR="00A23C2A" w:rsidRPr="00CF31E0">
              <w:rPr>
                <w:rFonts w:eastAsia="Times New Roman"/>
                <w:b/>
                <w:bCs/>
                <w:color w:val="000000" w:themeColor="text1"/>
                <w:sz w:val="20"/>
                <w:szCs w:val="20"/>
                <w:lang w:eastAsia="zh-CN"/>
              </w:rPr>
              <w:t>of factors</w:t>
            </w:r>
          </w:p>
        </w:tc>
        <w:tc>
          <w:tcPr>
            <w:cnfStyle w:val="000001000000" w:firstRow="0" w:lastRow="0" w:firstColumn="0" w:lastColumn="0" w:oddVBand="0" w:evenVBand="1" w:oddHBand="0" w:evenHBand="0" w:firstRowFirstColumn="0" w:firstRowLastColumn="0" w:lastRowFirstColumn="0" w:lastRowLastColumn="0"/>
            <w:tcW w:w="992" w:type="dxa"/>
          </w:tcPr>
          <w:p w14:paraId="58BF375A" w14:textId="6A08C20D" w:rsidR="00A23C2A" w:rsidRPr="00CF31E0" w:rsidRDefault="00A23C2A" w:rsidP="00E2565F">
            <w:pPr>
              <w:spacing w:before="120" w:after="180" w:line="360" w:lineRule="auto"/>
              <w:jc w:val="both"/>
              <w:rPr>
                <w:rFonts w:eastAsia="Times New Roman"/>
                <w:b/>
                <w:bCs/>
                <w:color w:val="000000" w:themeColor="text1"/>
                <w:sz w:val="20"/>
                <w:szCs w:val="20"/>
                <w:lang w:eastAsia="zh-CN"/>
              </w:rPr>
            </w:pPr>
            <w:r w:rsidRPr="00CF31E0">
              <w:rPr>
                <w:rFonts w:eastAsia="Times New Roman"/>
                <w:b/>
                <w:bCs/>
                <w:color w:val="000000" w:themeColor="text1"/>
                <w:sz w:val="20"/>
                <w:szCs w:val="20"/>
                <w:lang w:eastAsia="zh-CN"/>
              </w:rPr>
              <w:t xml:space="preserve">Total of </w:t>
            </w:r>
            <w:r w:rsidR="00E2565F" w:rsidRPr="00CF31E0">
              <w:rPr>
                <w:rFonts w:eastAsia="Times New Roman"/>
                <w:b/>
                <w:bCs/>
                <w:color w:val="000000" w:themeColor="text1"/>
                <w:sz w:val="20"/>
                <w:szCs w:val="20"/>
                <w:lang w:eastAsia="zh-CN"/>
              </w:rPr>
              <w:t>variance(</w:t>
            </w:r>
            <w:r w:rsidRPr="00CF31E0">
              <w:rPr>
                <w:rFonts w:eastAsia="Times New Roman"/>
                <w:b/>
                <w:bCs/>
                <w:color w:val="000000" w:themeColor="text1"/>
                <w:sz w:val="20"/>
                <w:szCs w:val="20"/>
                <w:lang w:eastAsia="zh-CN"/>
              </w:rPr>
              <w:t>%</w:t>
            </w:r>
            <w:r w:rsidR="00E2565F" w:rsidRPr="00CF31E0">
              <w:rPr>
                <w:rFonts w:eastAsia="Times New Roman"/>
                <w:b/>
                <w:bCs/>
                <w:color w:val="000000" w:themeColor="text1"/>
                <w:sz w:val="20"/>
                <w:szCs w:val="20"/>
                <w:lang w:eastAsia="zh-CN"/>
              </w:rPr>
              <w:t>)</w:t>
            </w:r>
          </w:p>
        </w:tc>
        <w:tc>
          <w:tcPr>
            <w:cnfStyle w:val="000010000000" w:firstRow="0" w:lastRow="0" w:firstColumn="0" w:lastColumn="0" w:oddVBand="1" w:evenVBand="0" w:oddHBand="0" w:evenHBand="0" w:firstRowFirstColumn="0" w:firstRowLastColumn="0" w:lastRowFirstColumn="0" w:lastRowLastColumn="0"/>
            <w:tcW w:w="1276" w:type="dxa"/>
          </w:tcPr>
          <w:p w14:paraId="3ABB50F0" w14:textId="77777777" w:rsidR="00A23C2A" w:rsidRPr="00CF31E0" w:rsidRDefault="00A23C2A" w:rsidP="00A23C2A">
            <w:pPr>
              <w:spacing w:before="120" w:after="180" w:line="360" w:lineRule="auto"/>
              <w:jc w:val="both"/>
              <w:rPr>
                <w:rFonts w:eastAsia="Times New Roman"/>
                <w:b/>
                <w:bCs/>
                <w:color w:val="000000" w:themeColor="text1"/>
                <w:sz w:val="20"/>
                <w:szCs w:val="20"/>
                <w:lang w:eastAsia="zh-CN"/>
              </w:rPr>
            </w:pPr>
            <w:r w:rsidRPr="00CF31E0">
              <w:rPr>
                <w:rFonts w:eastAsia="Times New Roman"/>
                <w:b/>
                <w:bCs/>
                <w:color w:val="000000" w:themeColor="text1"/>
                <w:sz w:val="20"/>
                <w:szCs w:val="20"/>
                <w:lang w:eastAsia="zh-CN"/>
              </w:rPr>
              <w:t>Rotation method</w:t>
            </w:r>
          </w:p>
        </w:tc>
      </w:tr>
      <w:tr w:rsidR="00E2565F" w:rsidRPr="00CF31E0" w14:paraId="0ED7AC9E" w14:textId="77777777" w:rsidTr="00603CB7">
        <w:trPr>
          <w:trHeight w:val="1452"/>
        </w:trPr>
        <w:tc>
          <w:tcPr>
            <w:cnfStyle w:val="000010000000" w:firstRow="0" w:lastRow="0" w:firstColumn="0" w:lastColumn="0" w:oddVBand="1" w:evenVBand="0" w:oddHBand="0" w:evenHBand="0" w:firstRowFirstColumn="0" w:firstRowLastColumn="0" w:lastRowFirstColumn="0" w:lastRowLastColumn="0"/>
            <w:tcW w:w="1242" w:type="dxa"/>
            <w:vMerge w:val="restart"/>
          </w:tcPr>
          <w:p w14:paraId="4E1D6750" w14:textId="77777777" w:rsidR="00A23C2A" w:rsidRPr="00CF31E0" w:rsidRDefault="00A23C2A" w:rsidP="00A23C2A">
            <w:pPr>
              <w:spacing w:before="120" w:after="180" w:line="360" w:lineRule="auto"/>
              <w:jc w:val="both"/>
              <w:rPr>
                <w:rFonts w:eastAsia="Times New Roman"/>
                <w:color w:val="000000" w:themeColor="text1"/>
                <w:sz w:val="20"/>
                <w:szCs w:val="20"/>
                <w:lang w:eastAsia="zh-CN"/>
              </w:rPr>
            </w:pPr>
            <w:r w:rsidRPr="00CF31E0">
              <w:rPr>
                <w:rFonts w:eastAsia="Times New Roman"/>
                <w:color w:val="000000" w:themeColor="text1"/>
                <w:sz w:val="20"/>
                <w:szCs w:val="20"/>
                <w:lang w:eastAsia="zh-CN"/>
              </w:rPr>
              <w:t xml:space="preserve"> (.724) </w:t>
            </w:r>
          </w:p>
          <w:p w14:paraId="591159A7" w14:textId="77777777" w:rsidR="00A23C2A" w:rsidRPr="00CF31E0" w:rsidRDefault="00A23C2A" w:rsidP="00A23C2A">
            <w:pPr>
              <w:spacing w:before="120" w:after="180" w:line="360" w:lineRule="auto"/>
              <w:jc w:val="both"/>
              <w:rPr>
                <w:rFonts w:eastAsia="Times New Roman"/>
                <w:color w:val="000000" w:themeColor="text1"/>
                <w:sz w:val="20"/>
                <w:szCs w:val="20"/>
                <w:lang w:eastAsia="zh-CN"/>
              </w:rPr>
            </w:pPr>
          </w:p>
          <w:p w14:paraId="09A94399" w14:textId="77777777" w:rsidR="00A23C2A" w:rsidRPr="00CF31E0" w:rsidRDefault="00A23C2A" w:rsidP="00A23C2A">
            <w:pPr>
              <w:spacing w:before="120" w:after="180" w:line="360" w:lineRule="auto"/>
              <w:jc w:val="both"/>
              <w:rPr>
                <w:rFonts w:eastAsia="Times New Roman"/>
                <w:color w:val="000000" w:themeColor="text1"/>
                <w:sz w:val="20"/>
                <w:szCs w:val="20"/>
                <w:lang w:eastAsia="zh-CN"/>
              </w:rPr>
            </w:pPr>
          </w:p>
        </w:tc>
        <w:tc>
          <w:tcPr>
            <w:cnfStyle w:val="000001000000" w:firstRow="0" w:lastRow="0" w:firstColumn="0" w:lastColumn="0" w:oddVBand="0" w:evenVBand="1" w:oddHBand="0" w:evenHBand="0" w:firstRowFirstColumn="0" w:firstRowLastColumn="0" w:lastRowFirstColumn="0" w:lastRowLastColumn="0"/>
            <w:tcW w:w="1134" w:type="dxa"/>
          </w:tcPr>
          <w:p w14:paraId="3D92F596" w14:textId="77777777" w:rsidR="00A23C2A" w:rsidRPr="00CF31E0" w:rsidRDefault="00A23C2A" w:rsidP="00A23C2A">
            <w:pPr>
              <w:spacing w:before="120" w:after="180" w:line="360" w:lineRule="auto"/>
              <w:jc w:val="both"/>
              <w:rPr>
                <w:rFonts w:eastAsia="Times New Roman"/>
                <w:color w:val="000000" w:themeColor="text1"/>
                <w:sz w:val="20"/>
                <w:szCs w:val="20"/>
                <w:lang w:eastAsia="zh-CN"/>
              </w:rPr>
            </w:pPr>
            <w:r w:rsidRPr="00CF31E0">
              <w:rPr>
                <w:rFonts w:eastAsia="Times New Roman"/>
                <w:color w:val="000000" w:themeColor="text1"/>
                <w:sz w:val="20"/>
                <w:szCs w:val="20"/>
                <w:lang w:eastAsia="zh-CN"/>
              </w:rPr>
              <w:t>The first solution</w:t>
            </w:r>
          </w:p>
        </w:tc>
        <w:tc>
          <w:tcPr>
            <w:cnfStyle w:val="000010000000" w:firstRow="0" w:lastRow="0" w:firstColumn="0" w:lastColumn="0" w:oddVBand="1" w:evenVBand="0" w:oddHBand="0" w:evenHBand="0" w:firstRowFirstColumn="0" w:firstRowLastColumn="0" w:lastRowFirstColumn="0" w:lastRowLastColumn="0"/>
            <w:tcW w:w="1134" w:type="dxa"/>
          </w:tcPr>
          <w:p w14:paraId="49E44D63" w14:textId="1A491871" w:rsidR="00A23C2A" w:rsidRPr="00CF31E0" w:rsidRDefault="00A23C2A" w:rsidP="005D1502">
            <w:pPr>
              <w:spacing w:before="120" w:after="180" w:line="360" w:lineRule="auto"/>
              <w:jc w:val="both"/>
              <w:rPr>
                <w:rFonts w:eastAsia="Times New Roman"/>
                <w:color w:val="000000" w:themeColor="text1"/>
                <w:sz w:val="20"/>
                <w:szCs w:val="20"/>
                <w:lang w:eastAsia="zh-CN"/>
              </w:rPr>
            </w:pPr>
            <w:r w:rsidRPr="00CF31E0">
              <w:rPr>
                <w:rFonts w:eastAsia="Times New Roman"/>
                <w:color w:val="000000" w:themeColor="text1"/>
                <w:sz w:val="20"/>
                <w:szCs w:val="20"/>
                <w:lang w:eastAsia="zh-CN"/>
              </w:rPr>
              <w:t xml:space="preserve">Principal </w:t>
            </w:r>
            <w:r w:rsidR="00652CDD" w:rsidRPr="00CF31E0">
              <w:rPr>
                <w:rFonts w:eastAsia="Times New Roman"/>
                <w:color w:val="000000" w:themeColor="text1"/>
                <w:sz w:val="20"/>
                <w:szCs w:val="20"/>
                <w:lang w:eastAsia="zh-CN"/>
              </w:rPr>
              <w:t>a</w:t>
            </w:r>
            <w:r w:rsidRPr="00CF31E0">
              <w:rPr>
                <w:rFonts w:eastAsia="Times New Roman"/>
                <w:color w:val="000000" w:themeColor="text1"/>
                <w:sz w:val="20"/>
                <w:szCs w:val="20"/>
                <w:lang w:eastAsia="zh-CN"/>
              </w:rPr>
              <w:t>xis factoring method</w:t>
            </w:r>
          </w:p>
        </w:tc>
        <w:tc>
          <w:tcPr>
            <w:cnfStyle w:val="000001000000" w:firstRow="0" w:lastRow="0" w:firstColumn="0" w:lastColumn="0" w:oddVBand="0" w:evenVBand="1" w:oddHBand="0" w:evenHBand="0" w:firstRowFirstColumn="0" w:firstRowLastColumn="0" w:lastRowFirstColumn="0" w:lastRowLastColumn="0"/>
            <w:tcW w:w="1134" w:type="dxa"/>
          </w:tcPr>
          <w:p w14:paraId="5679BD42" w14:textId="77777777" w:rsidR="00A23C2A" w:rsidRPr="00CF31E0" w:rsidRDefault="00A23C2A" w:rsidP="00A23C2A">
            <w:pPr>
              <w:spacing w:before="120" w:after="180" w:line="360" w:lineRule="auto"/>
              <w:jc w:val="both"/>
              <w:rPr>
                <w:rFonts w:eastAsia="Times New Roman"/>
                <w:color w:val="000000" w:themeColor="text1"/>
                <w:sz w:val="20"/>
                <w:szCs w:val="20"/>
                <w:lang w:eastAsia="zh-CN"/>
              </w:rPr>
            </w:pPr>
            <w:r w:rsidRPr="00CF31E0">
              <w:rPr>
                <w:rFonts w:eastAsia="Times New Roman"/>
                <w:color w:val="000000" w:themeColor="text1"/>
                <w:sz w:val="20"/>
                <w:szCs w:val="20"/>
                <w:lang w:eastAsia="zh-CN"/>
              </w:rPr>
              <w:t>Eigenvalue of 1</w:t>
            </w:r>
          </w:p>
        </w:tc>
        <w:tc>
          <w:tcPr>
            <w:cnfStyle w:val="000010000000" w:firstRow="0" w:lastRow="0" w:firstColumn="0" w:lastColumn="0" w:oddVBand="1" w:evenVBand="0" w:oddHBand="0" w:evenHBand="0" w:firstRowFirstColumn="0" w:firstRowLastColumn="0" w:lastRowFirstColumn="0" w:lastRowLastColumn="0"/>
            <w:tcW w:w="851" w:type="dxa"/>
          </w:tcPr>
          <w:p w14:paraId="175E7534" w14:textId="77777777" w:rsidR="00A23C2A" w:rsidRPr="00CF31E0" w:rsidRDefault="00A23C2A" w:rsidP="00A23C2A">
            <w:pPr>
              <w:spacing w:before="120" w:after="180" w:line="360" w:lineRule="auto"/>
              <w:jc w:val="both"/>
              <w:rPr>
                <w:rFonts w:eastAsia="Times New Roman"/>
                <w:color w:val="000000" w:themeColor="text1"/>
                <w:sz w:val="20"/>
                <w:szCs w:val="20"/>
                <w:lang w:eastAsia="zh-CN"/>
              </w:rPr>
            </w:pPr>
            <w:r w:rsidRPr="00CF31E0">
              <w:rPr>
                <w:rFonts w:eastAsia="Times New Roman"/>
                <w:color w:val="000000" w:themeColor="text1"/>
                <w:sz w:val="20"/>
                <w:szCs w:val="20"/>
                <w:lang w:eastAsia="zh-CN"/>
              </w:rPr>
              <w:t>3 factors</w:t>
            </w:r>
          </w:p>
        </w:tc>
        <w:tc>
          <w:tcPr>
            <w:cnfStyle w:val="000001000000" w:firstRow="0" w:lastRow="0" w:firstColumn="0" w:lastColumn="0" w:oddVBand="0" w:evenVBand="1" w:oddHBand="0" w:evenHBand="0" w:firstRowFirstColumn="0" w:firstRowLastColumn="0" w:lastRowFirstColumn="0" w:lastRowLastColumn="0"/>
            <w:tcW w:w="992" w:type="dxa"/>
          </w:tcPr>
          <w:p w14:paraId="1DC318C5" w14:textId="77777777" w:rsidR="00A23C2A" w:rsidRPr="00CF31E0" w:rsidRDefault="00A23C2A" w:rsidP="00A23C2A">
            <w:pPr>
              <w:spacing w:before="120" w:after="180" w:line="360" w:lineRule="auto"/>
              <w:jc w:val="both"/>
              <w:rPr>
                <w:rFonts w:eastAsia="Times New Roman"/>
                <w:color w:val="000000" w:themeColor="text1"/>
                <w:sz w:val="20"/>
                <w:szCs w:val="20"/>
                <w:lang w:eastAsia="zh-CN"/>
              </w:rPr>
            </w:pPr>
            <w:r w:rsidRPr="00CF31E0">
              <w:rPr>
                <w:rFonts w:eastAsia="Times New Roman"/>
                <w:color w:val="000000" w:themeColor="text1"/>
                <w:sz w:val="20"/>
                <w:szCs w:val="20"/>
                <w:lang w:eastAsia="zh-CN"/>
              </w:rPr>
              <w:t>45.320%</w:t>
            </w:r>
          </w:p>
        </w:tc>
        <w:tc>
          <w:tcPr>
            <w:cnfStyle w:val="000010000000" w:firstRow="0" w:lastRow="0" w:firstColumn="0" w:lastColumn="0" w:oddVBand="1" w:evenVBand="0" w:oddHBand="0" w:evenHBand="0" w:firstRowFirstColumn="0" w:firstRowLastColumn="0" w:lastRowFirstColumn="0" w:lastRowLastColumn="0"/>
            <w:tcW w:w="1276" w:type="dxa"/>
          </w:tcPr>
          <w:p w14:paraId="6099FEFA" w14:textId="77777777" w:rsidR="00A23C2A" w:rsidRPr="00CF31E0" w:rsidRDefault="00A23C2A" w:rsidP="00A23C2A">
            <w:pPr>
              <w:spacing w:before="120" w:after="180" w:line="360" w:lineRule="auto"/>
              <w:jc w:val="both"/>
              <w:rPr>
                <w:rFonts w:eastAsia="Times New Roman"/>
                <w:color w:val="000000" w:themeColor="text1"/>
                <w:sz w:val="20"/>
                <w:szCs w:val="20"/>
                <w:lang w:eastAsia="zh-CN"/>
              </w:rPr>
            </w:pPr>
            <w:r w:rsidRPr="00CF31E0">
              <w:rPr>
                <w:rFonts w:eastAsia="Times New Roman"/>
                <w:color w:val="000000" w:themeColor="text1"/>
                <w:sz w:val="20"/>
                <w:szCs w:val="20"/>
                <w:lang w:eastAsia="zh-CN"/>
              </w:rPr>
              <w:t xml:space="preserve">Oblique (promax) </w:t>
            </w:r>
          </w:p>
        </w:tc>
      </w:tr>
      <w:tr w:rsidR="00E2565F" w:rsidRPr="00CF31E0" w14:paraId="6BAE5822" w14:textId="77777777" w:rsidTr="00603CB7">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1242" w:type="dxa"/>
            <w:vMerge/>
          </w:tcPr>
          <w:p w14:paraId="0305DD2E" w14:textId="77777777" w:rsidR="00A23C2A" w:rsidRPr="00CF31E0" w:rsidRDefault="00A23C2A" w:rsidP="00A23C2A">
            <w:pPr>
              <w:spacing w:before="120" w:after="180" w:line="360" w:lineRule="auto"/>
              <w:jc w:val="both"/>
              <w:rPr>
                <w:rFonts w:eastAsia="Times New Roman"/>
                <w:color w:val="000000" w:themeColor="text1"/>
                <w:sz w:val="20"/>
                <w:szCs w:val="20"/>
                <w:lang w:eastAsia="zh-CN"/>
              </w:rPr>
            </w:pPr>
          </w:p>
        </w:tc>
        <w:tc>
          <w:tcPr>
            <w:cnfStyle w:val="000001000000" w:firstRow="0" w:lastRow="0" w:firstColumn="0" w:lastColumn="0" w:oddVBand="0" w:evenVBand="1" w:oddHBand="0" w:evenHBand="0" w:firstRowFirstColumn="0" w:firstRowLastColumn="0" w:lastRowFirstColumn="0" w:lastRowLastColumn="0"/>
            <w:tcW w:w="1134" w:type="dxa"/>
          </w:tcPr>
          <w:p w14:paraId="1302CE88" w14:textId="77777777" w:rsidR="00A23C2A" w:rsidRPr="00CF31E0" w:rsidRDefault="00A23C2A" w:rsidP="00A23C2A">
            <w:pPr>
              <w:spacing w:before="120" w:after="180" w:line="360" w:lineRule="auto"/>
              <w:jc w:val="both"/>
              <w:rPr>
                <w:rFonts w:eastAsia="Times New Roman"/>
                <w:color w:val="000000" w:themeColor="text1"/>
                <w:sz w:val="20"/>
                <w:szCs w:val="20"/>
                <w:lang w:eastAsia="zh-CN"/>
              </w:rPr>
            </w:pPr>
            <w:r w:rsidRPr="00CF31E0">
              <w:rPr>
                <w:rFonts w:eastAsia="Times New Roman"/>
                <w:color w:val="000000" w:themeColor="text1"/>
                <w:sz w:val="20"/>
                <w:szCs w:val="20"/>
                <w:lang w:eastAsia="zh-CN"/>
              </w:rPr>
              <w:t>The second solution</w:t>
            </w:r>
          </w:p>
        </w:tc>
        <w:tc>
          <w:tcPr>
            <w:cnfStyle w:val="000010000000" w:firstRow="0" w:lastRow="0" w:firstColumn="0" w:lastColumn="0" w:oddVBand="1" w:evenVBand="0" w:oddHBand="0" w:evenHBand="0" w:firstRowFirstColumn="0" w:firstRowLastColumn="0" w:lastRowFirstColumn="0" w:lastRowLastColumn="0"/>
            <w:tcW w:w="1134" w:type="dxa"/>
          </w:tcPr>
          <w:p w14:paraId="6DBA0050" w14:textId="67828277" w:rsidR="00A23C2A" w:rsidRPr="00CF31E0" w:rsidRDefault="00652CDD" w:rsidP="00D01077">
            <w:pPr>
              <w:spacing w:before="120" w:after="180" w:line="360" w:lineRule="auto"/>
              <w:jc w:val="both"/>
              <w:rPr>
                <w:rFonts w:eastAsia="Times New Roman"/>
                <w:color w:val="000000" w:themeColor="text1"/>
                <w:sz w:val="20"/>
                <w:szCs w:val="20"/>
                <w:lang w:eastAsia="zh-CN"/>
              </w:rPr>
            </w:pPr>
            <w:r w:rsidRPr="00CF31E0">
              <w:rPr>
                <w:rFonts w:eastAsia="Times New Roman"/>
                <w:color w:val="000000" w:themeColor="text1"/>
                <w:sz w:val="20"/>
                <w:szCs w:val="20"/>
                <w:lang w:eastAsia="zh-CN"/>
              </w:rPr>
              <w:t>Principal</w:t>
            </w:r>
            <w:r w:rsidR="00366F75" w:rsidRPr="00CF31E0">
              <w:rPr>
                <w:rFonts w:eastAsia="Times New Roman"/>
                <w:color w:val="000000" w:themeColor="text1"/>
                <w:sz w:val="20"/>
                <w:szCs w:val="20"/>
                <w:lang w:eastAsia="zh-CN"/>
              </w:rPr>
              <w:t xml:space="preserve"> </w:t>
            </w:r>
            <w:r w:rsidRPr="00CF31E0">
              <w:rPr>
                <w:rFonts w:eastAsia="Times New Roman"/>
                <w:color w:val="000000" w:themeColor="text1"/>
                <w:sz w:val="20"/>
                <w:szCs w:val="20"/>
                <w:lang w:eastAsia="zh-CN"/>
              </w:rPr>
              <w:t>a</w:t>
            </w:r>
            <w:r w:rsidR="00A23C2A" w:rsidRPr="00CF31E0">
              <w:rPr>
                <w:rFonts w:eastAsia="Times New Roman"/>
                <w:color w:val="000000" w:themeColor="text1"/>
                <w:sz w:val="20"/>
                <w:szCs w:val="20"/>
                <w:lang w:eastAsia="zh-CN"/>
              </w:rPr>
              <w:t xml:space="preserve">xis factoring method </w:t>
            </w:r>
          </w:p>
        </w:tc>
        <w:tc>
          <w:tcPr>
            <w:cnfStyle w:val="000001000000" w:firstRow="0" w:lastRow="0" w:firstColumn="0" w:lastColumn="0" w:oddVBand="0" w:evenVBand="1" w:oddHBand="0" w:evenHBand="0" w:firstRowFirstColumn="0" w:firstRowLastColumn="0" w:lastRowFirstColumn="0" w:lastRowLastColumn="0"/>
            <w:tcW w:w="1134" w:type="dxa"/>
          </w:tcPr>
          <w:p w14:paraId="13AAE3CB" w14:textId="77777777" w:rsidR="00A23C2A" w:rsidRPr="00CF31E0" w:rsidRDefault="00A23C2A" w:rsidP="00A23C2A">
            <w:pPr>
              <w:spacing w:before="120" w:after="180" w:line="360" w:lineRule="auto"/>
              <w:jc w:val="both"/>
              <w:rPr>
                <w:rFonts w:eastAsia="Times New Roman"/>
                <w:color w:val="000000" w:themeColor="text1"/>
                <w:sz w:val="20"/>
                <w:szCs w:val="20"/>
                <w:lang w:eastAsia="zh-CN"/>
              </w:rPr>
            </w:pPr>
            <w:r w:rsidRPr="00CF31E0">
              <w:rPr>
                <w:rFonts w:eastAsia="Times New Roman"/>
                <w:color w:val="000000" w:themeColor="text1"/>
                <w:sz w:val="20"/>
                <w:szCs w:val="20"/>
                <w:lang w:eastAsia="zh-CN"/>
              </w:rPr>
              <w:t>Scree plot</w:t>
            </w:r>
          </w:p>
        </w:tc>
        <w:tc>
          <w:tcPr>
            <w:cnfStyle w:val="000010000000" w:firstRow="0" w:lastRow="0" w:firstColumn="0" w:lastColumn="0" w:oddVBand="1" w:evenVBand="0" w:oddHBand="0" w:evenHBand="0" w:firstRowFirstColumn="0" w:firstRowLastColumn="0" w:lastRowFirstColumn="0" w:lastRowLastColumn="0"/>
            <w:tcW w:w="851" w:type="dxa"/>
          </w:tcPr>
          <w:p w14:paraId="1DF1976C" w14:textId="77777777" w:rsidR="00A23C2A" w:rsidRPr="00CF31E0" w:rsidRDefault="00A23C2A" w:rsidP="00A23C2A">
            <w:pPr>
              <w:spacing w:before="120" w:after="180" w:line="360" w:lineRule="auto"/>
              <w:jc w:val="both"/>
              <w:rPr>
                <w:rFonts w:eastAsia="Times New Roman"/>
                <w:color w:val="000000" w:themeColor="text1"/>
                <w:sz w:val="20"/>
                <w:szCs w:val="20"/>
                <w:lang w:eastAsia="zh-CN"/>
              </w:rPr>
            </w:pPr>
            <w:r w:rsidRPr="00CF31E0">
              <w:rPr>
                <w:rFonts w:eastAsia="Times New Roman"/>
                <w:color w:val="000000" w:themeColor="text1"/>
                <w:sz w:val="20"/>
                <w:szCs w:val="20"/>
                <w:lang w:eastAsia="zh-CN"/>
              </w:rPr>
              <w:t>2 factors</w:t>
            </w:r>
          </w:p>
        </w:tc>
        <w:tc>
          <w:tcPr>
            <w:cnfStyle w:val="000001000000" w:firstRow="0" w:lastRow="0" w:firstColumn="0" w:lastColumn="0" w:oddVBand="0" w:evenVBand="1" w:oddHBand="0" w:evenHBand="0" w:firstRowFirstColumn="0" w:firstRowLastColumn="0" w:lastRowFirstColumn="0" w:lastRowLastColumn="0"/>
            <w:tcW w:w="992" w:type="dxa"/>
          </w:tcPr>
          <w:p w14:paraId="584AD84F" w14:textId="77777777" w:rsidR="00A23C2A" w:rsidRPr="00CF31E0" w:rsidRDefault="00A23C2A" w:rsidP="00A23C2A">
            <w:pPr>
              <w:spacing w:before="120" w:after="180" w:line="360" w:lineRule="auto"/>
              <w:jc w:val="both"/>
              <w:rPr>
                <w:rFonts w:eastAsia="Times New Roman"/>
                <w:color w:val="000000" w:themeColor="text1"/>
                <w:sz w:val="20"/>
                <w:szCs w:val="20"/>
                <w:lang w:eastAsia="zh-CN"/>
              </w:rPr>
            </w:pPr>
            <w:r w:rsidRPr="00CF31E0">
              <w:rPr>
                <w:rFonts w:eastAsia="Times New Roman"/>
                <w:color w:val="000000" w:themeColor="text1"/>
                <w:sz w:val="20"/>
                <w:szCs w:val="20"/>
                <w:lang w:eastAsia="zh-CN"/>
              </w:rPr>
              <w:t>41.169%</w:t>
            </w:r>
          </w:p>
        </w:tc>
        <w:tc>
          <w:tcPr>
            <w:cnfStyle w:val="000010000000" w:firstRow="0" w:lastRow="0" w:firstColumn="0" w:lastColumn="0" w:oddVBand="1" w:evenVBand="0" w:oddHBand="0" w:evenHBand="0" w:firstRowFirstColumn="0" w:firstRowLastColumn="0" w:lastRowFirstColumn="0" w:lastRowLastColumn="0"/>
            <w:tcW w:w="1276" w:type="dxa"/>
          </w:tcPr>
          <w:p w14:paraId="4A5932E1" w14:textId="1000D41A" w:rsidR="00A23C2A" w:rsidRPr="00CF31E0" w:rsidRDefault="00E2565F" w:rsidP="00A23C2A">
            <w:pPr>
              <w:spacing w:before="120" w:after="180" w:line="360" w:lineRule="auto"/>
              <w:jc w:val="both"/>
              <w:rPr>
                <w:rFonts w:eastAsia="Times New Roman"/>
                <w:color w:val="000000" w:themeColor="text1"/>
                <w:sz w:val="20"/>
                <w:szCs w:val="20"/>
                <w:lang w:eastAsia="zh-CN"/>
              </w:rPr>
            </w:pPr>
            <w:r w:rsidRPr="00CF31E0">
              <w:rPr>
                <w:rFonts w:eastAsia="Times New Roman"/>
                <w:color w:val="000000" w:themeColor="text1"/>
                <w:sz w:val="20"/>
                <w:szCs w:val="20"/>
                <w:lang w:eastAsia="zh-CN"/>
              </w:rPr>
              <w:t>Oblique (promax)</w:t>
            </w:r>
          </w:p>
          <w:p w14:paraId="5B01B5F5" w14:textId="6C6475BF" w:rsidR="00A23C2A" w:rsidRPr="00CF31E0" w:rsidRDefault="00A23C2A" w:rsidP="00A23C2A">
            <w:pPr>
              <w:spacing w:before="120" w:after="180" w:line="360" w:lineRule="auto"/>
              <w:jc w:val="both"/>
              <w:rPr>
                <w:rFonts w:eastAsia="Times New Roman"/>
                <w:color w:val="000000" w:themeColor="text1"/>
                <w:sz w:val="20"/>
                <w:szCs w:val="20"/>
                <w:lang w:eastAsia="zh-CN"/>
              </w:rPr>
            </w:pPr>
          </w:p>
        </w:tc>
      </w:tr>
      <w:tr w:rsidR="00E2565F" w:rsidRPr="00CF31E0" w14:paraId="564DE449" w14:textId="77777777" w:rsidTr="00603CB7">
        <w:trPr>
          <w:trHeight w:val="344"/>
        </w:trPr>
        <w:tc>
          <w:tcPr>
            <w:cnfStyle w:val="000010000000" w:firstRow="0" w:lastRow="0" w:firstColumn="0" w:lastColumn="0" w:oddVBand="1" w:evenVBand="0" w:oddHBand="0" w:evenHBand="0" w:firstRowFirstColumn="0" w:firstRowLastColumn="0" w:lastRowFirstColumn="0" w:lastRowLastColumn="0"/>
            <w:tcW w:w="1242" w:type="dxa"/>
            <w:vMerge/>
          </w:tcPr>
          <w:p w14:paraId="1A781248" w14:textId="77777777" w:rsidR="00A23C2A" w:rsidRPr="00CF31E0" w:rsidRDefault="00A23C2A" w:rsidP="00A23C2A">
            <w:pPr>
              <w:spacing w:before="120" w:after="180" w:line="360" w:lineRule="auto"/>
              <w:jc w:val="both"/>
              <w:rPr>
                <w:rFonts w:eastAsia="Times New Roman"/>
                <w:color w:val="000000" w:themeColor="text1"/>
                <w:sz w:val="20"/>
                <w:szCs w:val="20"/>
                <w:lang w:eastAsia="zh-CN"/>
              </w:rPr>
            </w:pPr>
          </w:p>
        </w:tc>
        <w:tc>
          <w:tcPr>
            <w:cnfStyle w:val="000001000000" w:firstRow="0" w:lastRow="0" w:firstColumn="0" w:lastColumn="0" w:oddVBand="0" w:evenVBand="1" w:oddHBand="0" w:evenHBand="0" w:firstRowFirstColumn="0" w:firstRowLastColumn="0" w:lastRowFirstColumn="0" w:lastRowLastColumn="0"/>
            <w:tcW w:w="1134" w:type="dxa"/>
          </w:tcPr>
          <w:p w14:paraId="0B620649" w14:textId="77777777" w:rsidR="00A23C2A" w:rsidRPr="00CF31E0" w:rsidRDefault="00A23C2A" w:rsidP="00A23C2A">
            <w:pPr>
              <w:spacing w:before="120" w:after="180" w:line="360" w:lineRule="auto"/>
              <w:jc w:val="both"/>
              <w:rPr>
                <w:rFonts w:eastAsia="Times New Roman"/>
                <w:color w:val="000000" w:themeColor="text1"/>
                <w:sz w:val="20"/>
                <w:szCs w:val="20"/>
                <w:lang w:eastAsia="zh-CN"/>
              </w:rPr>
            </w:pPr>
            <w:r w:rsidRPr="00CF31E0">
              <w:rPr>
                <w:rFonts w:eastAsia="Times New Roman"/>
                <w:color w:val="000000" w:themeColor="text1"/>
                <w:sz w:val="20"/>
                <w:szCs w:val="20"/>
                <w:lang w:eastAsia="zh-CN"/>
              </w:rPr>
              <w:t>The third solution</w:t>
            </w:r>
          </w:p>
        </w:tc>
        <w:tc>
          <w:tcPr>
            <w:cnfStyle w:val="000010000000" w:firstRow="0" w:lastRow="0" w:firstColumn="0" w:lastColumn="0" w:oddVBand="1" w:evenVBand="0" w:oddHBand="0" w:evenHBand="0" w:firstRowFirstColumn="0" w:firstRowLastColumn="0" w:lastRowFirstColumn="0" w:lastRowLastColumn="0"/>
            <w:tcW w:w="1134" w:type="dxa"/>
          </w:tcPr>
          <w:p w14:paraId="4A97E5DA" w14:textId="65060F0E" w:rsidR="00A23C2A" w:rsidRPr="00CF31E0" w:rsidRDefault="00A23C2A" w:rsidP="00A23C2A">
            <w:pPr>
              <w:spacing w:before="120" w:after="180" w:line="360" w:lineRule="auto"/>
              <w:jc w:val="both"/>
              <w:rPr>
                <w:rFonts w:eastAsia="Times New Roman"/>
                <w:color w:val="000000" w:themeColor="text1"/>
                <w:sz w:val="20"/>
                <w:szCs w:val="20"/>
                <w:lang w:eastAsia="zh-CN"/>
              </w:rPr>
            </w:pPr>
            <w:r w:rsidRPr="00CF31E0">
              <w:rPr>
                <w:rFonts w:eastAsia="Times New Roman"/>
                <w:color w:val="000000" w:themeColor="text1"/>
                <w:sz w:val="20"/>
                <w:szCs w:val="20"/>
                <w:lang w:eastAsia="zh-CN"/>
              </w:rPr>
              <w:t xml:space="preserve">Not applicable </w:t>
            </w:r>
          </w:p>
        </w:tc>
        <w:tc>
          <w:tcPr>
            <w:cnfStyle w:val="000001000000" w:firstRow="0" w:lastRow="0" w:firstColumn="0" w:lastColumn="0" w:oddVBand="0" w:evenVBand="1" w:oddHBand="0" w:evenHBand="0" w:firstRowFirstColumn="0" w:firstRowLastColumn="0" w:lastRowFirstColumn="0" w:lastRowLastColumn="0"/>
            <w:tcW w:w="1134" w:type="dxa"/>
          </w:tcPr>
          <w:p w14:paraId="4059B30A" w14:textId="77777777" w:rsidR="00A23C2A" w:rsidRPr="00CF31E0" w:rsidRDefault="00A23C2A" w:rsidP="00A23C2A">
            <w:pPr>
              <w:spacing w:before="120" w:after="180" w:line="360" w:lineRule="auto"/>
              <w:jc w:val="both"/>
              <w:rPr>
                <w:rFonts w:eastAsia="Times New Roman"/>
                <w:color w:val="000000" w:themeColor="text1"/>
                <w:sz w:val="20"/>
                <w:szCs w:val="20"/>
                <w:lang w:eastAsia="zh-CN"/>
              </w:rPr>
            </w:pPr>
            <w:r w:rsidRPr="00CF31E0">
              <w:rPr>
                <w:rFonts w:eastAsia="Times New Roman"/>
                <w:color w:val="000000" w:themeColor="text1"/>
                <w:sz w:val="20"/>
                <w:szCs w:val="20"/>
                <w:lang w:eastAsia="zh-CN"/>
              </w:rPr>
              <w:t>Parallel analysis</w:t>
            </w:r>
          </w:p>
        </w:tc>
        <w:tc>
          <w:tcPr>
            <w:cnfStyle w:val="000010000000" w:firstRow="0" w:lastRow="0" w:firstColumn="0" w:lastColumn="0" w:oddVBand="1" w:evenVBand="0" w:oddHBand="0" w:evenHBand="0" w:firstRowFirstColumn="0" w:firstRowLastColumn="0" w:lastRowFirstColumn="0" w:lastRowLastColumn="0"/>
            <w:tcW w:w="851" w:type="dxa"/>
          </w:tcPr>
          <w:p w14:paraId="4C364E1D" w14:textId="77777777" w:rsidR="00A23C2A" w:rsidRPr="00CF31E0" w:rsidRDefault="00A23C2A" w:rsidP="00A23C2A">
            <w:pPr>
              <w:spacing w:before="120" w:after="180" w:line="360" w:lineRule="auto"/>
              <w:jc w:val="both"/>
              <w:rPr>
                <w:rFonts w:eastAsia="Times New Roman"/>
                <w:color w:val="000000" w:themeColor="text1"/>
                <w:sz w:val="20"/>
                <w:szCs w:val="20"/>
                <w:lang w:eastAsia="zh-CN"/>
              </w:rPr>
            </w:pPr>
            <w:r w:rsidRPr="00CF31E0">
              <w:rPr>
                <w:rFonts w:eastAsia="Times New Roman"/>
                <w:color w:val="000000" w:themeColor="text1"/>
                <w:sz w:val="20"/>
                <w:szCs w:val="20"/>
                <w:lang w:eastAsia="zh-CN"/>
              </w:rPr>
              <w:t>2 factors</w:t>
            </w:r>
          </w:p>
        </w:tc>
        <w:tc>
          <w:tcPr>
            <w:cnfStyle w:val="000001000000" w:firstRow="0" w:lastRow="0" w:firstColumn="0" w:lastColumn="0" w:oddVBand="0" w:evenVBand="1" w:oddHBand="0" w:evenHBand="0" w:firstRowFirstColumn="0" w:firstRowLastColumn="0" w:lastRowFirstColumn="0" w:lastRowLastColumn="0"/>
            <w:tcW w:w="992" w:type="dxa"/>
          </w:tcPr>
          <w:p w14:paraId="5A5F9350" w14:textId="77777777" w:rsidR="00A23C2A" w:rsidRPr="00CF31E0" w:rsidRDefault="00A23C2A" w:rsidP="00A23C2A">
            <w:pPr>
              <w:spacing w:before="120" w:after="180" w:line="360" w:lineRule="auto"/>
              <w:jc w:val="both"/>
              <w:rPr>
                <w:rFonts w:eastAsia="Times New Roman"/>
                <w:color w:val="000000" w:themeColor="text1"/>
                <w:sz w:val="20"/>
                <w:szCs w:val="20"/>
                <w:lang w:eastAsia="zh-CN"/>
              </w:rPr>
            </w:pPr>
            <w:r w:rsidRPr="00CF31E0">
              <w:rPr>
                <w:rFonts w:eastAsia="Times New Roman"/>
                <w:color w:val="000000" w:themeColor="text1"/>
                <w:sz w:val="20"/>
                <w:szCs w:val="20"/>
                <w:lang w:eastAsia="zh-CN"/>
              </w:rPr>
              <w:t>41.169%</w:t>
            </w:r>
          </w:p>
        </w:tc>
        <w:tc>
          <w:tcPr>
            <w:cnfStyle w:val="000010000000" w:firstRow="0" w:lastRow="0" w:firstColumn="0" w:lastColumn="0" w:oddVBand="1" w:evenVBand="0" w:oddHBand="0" w:evenHBand="0" w:firstRowFirstColumn="0" w:firstRowLastColumn="0" w:lastRowFirstColumn="0" w:lastRowLastColumn="0"/>
            <w:tcW w:w="1276" w:type="dxa"/>
          </w:tcPr>
          <w:p w14:paraId="1FA349AB" w14:textId="77777777" w:rsidR="00A23C2A" w:rsidRPr="00CF31E0" w:rsidRDefault="00A23C2A" w:rsidP="00A23C2A">
            <w:pPr>
              <w:widowControl w:val="0"/>
              <w:autoSpaceDE w:val="0"/>
              <w:autoSpaceDN w:val="0"/>
              <w:adjustRightInd w:val="0"/>
              <w:spacing w:before="120" w:after="240" w:line="360" w:lineRule="auto"/>
              <w:jc w:val="both"/>
              <w:rPr>
                <w:rFonts w:eastAsia="Times New Roman"/>
                <w:color w:val="000000" w:themeColor="text1"/>
                <w:sz w:val="20"/>
                <w:szCs w:val="20"/>
                <w:lang w:eastAsia="zh-CN"/>
              </w:rPr>
            </w:pPr>
            <w:r w:rsidRPr="00CF31E0">
              <w:rPr>
                <w:rFonts w:eastAsia="Times New Roman"/>
                <w:color w:val="000000" w:themeColor="text1"/>
                <w:sz w:val="20"/>
                <w:szCs w:val="20"/>
                <w:lang w:eastAsia="zh-CN"/>
              </w:rPr>
              <w:t>Orthogonal (quartimax)</w:t>
            </w:r>
          </w:p>
        </w:tc>
      </w:tr>
    </w:tbl>
    <w:p w14:paraId="053BA315" w14:textId="347C70DE" w:rsidR="00A23C2A" w:rsidRPr="00CF31E0" w:rsidRDefault="00A23C2A" w:rsidP="007F6C6D">
      <w:pPr>
        <w:pStyle w:val="Tablecaption"/>
        <w:rPr>
          <w:lang w:eastAsia="zh-CN"/>
        </w:rPr>
      </w:pPr>
      <w:bookmarkStart w:id="645" w:name="_Toc522527447"/>
      <w:bookmarkStart w:id="646" w:name="_Toc522628859"/>
      <w:bookmarkStart w:id="647" w:name="_Toc522629023"/>
      <w:bookmarkStart w:id="648" w:name="_Toc6473120"/>
      <w:r w:rsidRPr="00CF31E0">
        <w:rPr>
          <w:lang w:eastAsia="zh-CN"/>
        </w:rPr>
        <w:t xml:space="preserve">Table </w:t>
      </w:r>
      <w:r w:rsidR="007F6C6D" w:rsidRPr="00CF31E0">
        <w:rPr>
          <w:lang w:eastAsia="zh-CN"/>
        </w:rPr>
        <w:t>9</w:t>
      </w:r>
      <w:r w:rsidR="0069594E" w:rsidRPr="00CF31E0">
        <w:rPr>
          <w:lang w:eastAsia="zh-CN"/>
        </w:rPr>
        <w:t>.</w:t>
      </w:r>
      <w:r w:rsidR="002A5315" w:rsidRPr="00CF31E0">
        <w:rPr>
          <w:lang w:eastAsia="zh-CN"/>
        </w:rPr>
        <w:t>11</w:t>
      </w:r>
      <w:r w:rsidRPr="00CF31E0">
        <w:rPr>
          <w:lang w:eastAsia="zh-CN"/>
        </w:rPr>
        <w:t>: Summary of decisions and steps taken until the final two-factor solution was obtained.</w:t>
      </w:r>
      <w:bookmarkEnd w:id="645"/>
      <w:bookmarkEnd w:id="646"/>
      <w:bookmarkEnd w:id="647"/>
      <w:bookmarkEnd w:id="648"/>
    </w:p>
    <w:p w14:paraId="5BEC18F2" w14:textId="2502B3E4" w:rsidR="00A23C2A" w:rsidRPr="00CF31E0" w:rsidRDefault="00A23C2A" w:rsidP="00603CB7">
      <w:pPr>
        <w:pStyle w:val="Paragraph"/>
        <w:rPr>
          <w:lang w:eastAsia="zh-CN"/>
        </w:rPr>
      </w:pPr>
      <w:r w:rsidRPr="00CF31E0">
        <w:rPr>
          <w:lang w:eastAsia="zh-CN"/>
        </w:rPr>
        <w:t xml:space="preserve">Table </w:t>
      </w:r>
      <w:r w:rsidR="007F6C6D" w:rsidRPr="00CF31E0">
        <w:rPr>
          <w:lang w:eastAsia="zh-CN"/>
        </w:rPr>
        <w:t>9</w:t>
      </w:r>
      <w:r w:rsidR="0069594E" w:rsidRPr="00CF31E0">
        <w:rPr>
          <w:lang w:eastAsia="zh-CN"/>
        </w:rPr>
        <w:t>.</w:t>
      </w:r>
      <w:r w:rsidR="002A5315" w:rsidRPr="00CF31E0">
        <w:rPr>
          <w:lang w:eastAsia="zh-CN"/>
        </w:rPr>
        <w:t>11</w:t>
      </w:r>
      <w:r w:rsidR="0069594E" w:rsidRPr="00CF31E0">
        <w:rPr>
          <w:lang w:eastAsia="zh-CN"/>
        </w:rPr>
        <w:t xml:space="preserve"> </w:t>
      </w:r>
      <w:r w:rsidRPr="00CF31E0">
        <w:rPr>
          <w:lang w:eastAsia="zh-CN"/>
        </w:rPr>
        <w:t xml:space="preserve">above illustrates five aspects: (1) the final reliability score that allows the data to proceed to factor analysis; (2) a summary of the three solutions the data went through until it reached the most applicable one; (3) the main extraction method in all solutions, which is the principal axis factoring method; (4) the criterion applied in each solution with an </w:t>
      </w:r>
      <w:r w:rsidRPr="00CF31E0">
        <w:rPr>
          <w:lang w:eastAsia="zh-CN"/>
        </w:rPr>
        <w:lastRenderedPageBreak/>
        <w:t xml:space="preserve">illustration of the variance obtained; (5) the alteration of the rotation method from oblique to orthogonal. </w:t>
      </w:r>
    </w:p>
    <w:p w14:paraId="0B85DE39" w14:textId="77777777" w:rsidR="00A23C2A" w:rsidRPr="00CF31E0" w:rsidRDefault="00A23C2A" w:rsidP="00603CB7">
      <w:pPr>
        <w:pStyle w:val="Paragraph"/>
        <w:rPr>
          <w:lang w:eastAsia="zh-CN"/>
        </w:rPr>
      </w:pPr>
      <w:r w:rsidRPr="00CF31E0">
        <w:rPr>
          <w:lang w:eastAsia="zh-CN"/>
        </w:rPr>
        <w:t xml:space="preserve">In the following section, I will establish the final agreed-upon and justified solution obtained from factor analysis. The solution includes: total variance explained, factor matrix and rotated factor matrix. I will illustrate each finding in detail. </w:t>
      </w:r>
    </w:p>
    <w:p w14:paraId="1DCC9C0E" w14:textId="73BBF0FD" w:rsidR="00A23C2A" w:rsidRPr="00CF31E0" w:rsidRDefault="007F6C6D" w:rsidP="00E87209">
      <w:pPr>
        <w:pStyle w:val="Bhead"/>
      </w:pPr>
      <w:bookmarkStart w:id="649" w:name="_Toc6472749"/>
      <w:r w:rsidRPr="00CF31E0">
        <w:t>9</w:t>
      </w:r>
      <w:r w:rsidR="000D1F73" w:rsidRPr="00CF31E0">
        <w:t>.4.4.</w:t>
      </w:r>
      <w:r w:rsidR="00FF76E5" w:rsidRPr="00CF31E0">
        <w:tab/>
      </w:r>
      <w:r w:rsidR="00A23C2A" w:rsidRPr="00CF31E0">
        <w:t>Final solution</w:t>
      </w:r>
      <w:bookmarkEnd w:id="649"/>
      <w:r w:rsidR="00A23C2A" w:rsidRPr="00CF31E0">
        <w:t xml:space="preserve"> </w:t>
      </w:r>
    </w:p>
    <w:p w14:paraId="4D8B9748" w14:textId="0C191ED6" w:rsidR="00A23C2A" w:rsidRPr="00CF31E0" w:rsidRDefault="00A23C2A" w:rsidP="00603CB7">
      <w:pPr>
        <w:pStyle w:val="Paragraph"/>
      </w:pPr>
      <w:r w:rsidRPr="00CF31E0">
        <w:t xml:space="preserve">At this stage, I re-ran the analysis, taking into consideration all of the above decisions. The KMO test, Bartlett’s test and communalities estimates all remained the same as above (i.e. as in the initial solution) because the decisions taken did not affect the results of the tests that checked the appropriateness of the data to be run in factor analysis. This means that the data are still appropriate and that the modifications that took place after the preliminary tests and estimates (i.e. KMO, Bartlett’s and communalities). I will start by illustrating the shared variance obtained with the two-factor solutions. See Table </w:t>
      </w:r>
      <w:r w:rsidR="007F6C6D" w:rsidRPr="00CF31E0">
        <w:t>9</w:t>
      </w:r>
      <w:r w:rsidR="00CF3993" w:rsidRPr="00CF31E0">
        <w:t>.12</w:t>
      </w:r>
      <w:r w:rsidRPr="00CF31E0">
        <w:t xml:space="preserve">. </w:t>
      </w:r>
    </w:p>
    <w:tbl>
      <w:tblPr>
        <w:tblW w:w="8114" w:type="dxa"/>
        <w:tblInd w:w="108"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000" w:firstRow="0" w:lastRow="0" w:firstColumn="0" w:lastColumn="0" w:noHBand="0" w:noVBand="0"/>
      </w:tblPr>
      <w:tblGrid>
        <w:gridCol w:w="851"/>
        <w:gridCol w:w="709"/>
        <w:gridCol w:w="1026"/>
        <w:gridCol w:w="1276"/>
        <w:gridCol w:w="708"/>
        <w:gridCol w:w="1134"/>
        <w:gridCol w:w="1276"/>
        <w:gridCol w:w="1134"/>
      </w:tblGrid>
      <w:tr w:rsidR="003F2ED7" w:rsidRPr="00CF31E0" w14:paraId="534376E1" w14:textId="77777777" w:rsidTr="004F45D7">
        <w:trPr>
          <w:trHeight w:val="1658"/>
        </w:trPr>
        <w:tc>
          <w:tcPr>
            <w:tcW w:w="851" w:type="dxa"/>
            <w:vMerge w:val="restart"/>
            <w:tcBorders>
              <w:top w:val="single" w:sz="8" w:space="0" w:color="000000"/>
              <w:bottom w:val="single" w:sz="4" w:space="0" w:color="000000"/>
            </w:tcBorders>
          </w:tcPr>
          <w:p w14:paraId="044F796C" w14:textId="77777777" w:rsidR="00A23C2A" w:rsidRPr="00CF31E0" w:rsidRDefault="00A23C2A" w:rsidP="00A23C2A">
            <w:pPr>
              <w:tabs>
                <w:tab w:val="left" w:pos="505"/>
              </w:tabs>
              <w:spacing w:before="120" w:after="240" w:line="360" w:lineRule="auto"/>
              <w:ind w:left="4"/>
              <w:jc w:val="both"/>
              <w:rPr>
                <w:rFonts w:eastAsia="Times New Roman"/>
                <w:color w:val="000000" w:themeColor="text1"/>
                <w:sz w:val="22"/>
                <w:szCs w:val="22"/>
              </w:rPr>
            </w:pPr>
            <w:r w:rsidRPr="00CF31E0">
              <w:rPr>
                <w:rFonts w:eastAsia="Times New Roman"/>
                <w:color w:val="000000" w:themeColor="text1"/>
                <w:sz w:val="22"/>
                <w:szCs w:val="22"/>
              </w:rPr>
              <w:t xml:space="preserve">Factor </w:t>
            </w:r>
          </w:p>
          <w:p w14:paraId="77F1E3D8" w14:textId="77777777" w:rsidR="00A23C2A" w:rsidRPr="00CF31E0" w:rsidRDefault="00A23C2A" w:rsidP="00A23C2A">
            <w:pPr>
              <w:spacing w:before="120" w:after="240" w:line="276" w:lineRule="auto"/>
              <w:ind w:left="4"/>
              <w:rPr>
                <w:rFonts w:eastAsia="Times New Roman"/>
                <w:color w:val="000000" w:themeColor="text1"/>
                <w:sz w:val="22"/>
                <w:szCs w:val="22"/>
              </w:rPr>
            </w:pPr>
          </w:p>
        </w:tc>
        <w:tc>
          <w:tcPr>
            <w:tcW w:w="3011" w:type="dxa"/>
            <w:gridSpan w:val="3"/>
            <w:tcBorders>
              <w:top w:val="single" w:sz="8" w:space="0" w:color="000000"/>
              <w:bottom w:val="single" w:sz="4" w:space="0" w:color="000000"/>
            </w:tcBorders>
          </w:tcPr>
          <w:p w14:paraId="56514B0F" w14:textId="77777777" w:rsidR="00A23C2A" w:rsidRPr="00CF31E0" w:rsidRDefault="00A23C2A" w:rsidP="00A23C2A">
            <w:pPr>
              <w:spacing w:before="120" w:after="240" w:line="276" w:lineRule="auto"/>
              <w:ind w:left="4"/>
              <w:rPr>
                <w:rFonts w:eastAsia="Times New Roman"/>
                <w:color w:val="000000" w:themeColor="text1"/>
                <w:sz w:val="22"/>
                <w:szCs w:val="22"/>
              </w:rPr>
            </w:pPr>
            <w:r w:rsidRPr="00CF31E0">
              <w:rPr>
                <w:rFonts w:eastAsia="Times New Roman"/>
                <w:color w:val="000000" w:themeColor="text1"/>
                <w:sz w:val="22"/>
                <w:szCs w:val="22"/>
              </w:rPr>
              <w:t xml:space="preserve">Initial Eigenvalue </w:t>
            </w:r>
          </w:p>
        </w:tc>
        <w:tc>
          <w:tcPr>
            <w:tcW w:w="3118" w:type="dxa"/>
            <w:gridSpan w:val="3"/>
            <w:tcBorders>
              <w:top w:val="single" w:sz="8" w:space="0" w:color="000000"/>
              <w:bottom w:val="single" w:sz="4" w:space="0" w:color="000000"/>
            </w:tcBorders>
          </w:tcPr>
          <w:p w14:paraId="6E17EE0F" w14:textId="77777777" w:rsidR="00A23C2A" w:rsidRPr="00CF31E0" w:rsidRDefault="00A23C2A" w:rsidP="00A23C2A">
            <w:pPr>
              <w:spacing w:before="120" w:after="240" w:line="276" w:lineRule="auto"/>
              <w:ind w:left="4"/>
              <w:rPr>
                <w:rFonts w:eastAsia="Times New Roman"/>
                <w:color w:val="000000" w:themeColor="text1"/>
                <w:sz w:val="22"/>
                <w:szCs w:val="22"/>
              </w:rPr>
            </w:pPr>
            <w:r w:rsidRPr="00CF31E0">
              <w:rPr>
                <w:rFonts w:eastAsia="Times New Roman"/>
                <w:color w:val="000000" w:themeColor="text1"/>
                <w:sz w:val="22"/>
                <w:szCs w:val="22"/>
              </w:rPr>
              <w:t xml:space="preserve">Extraction Sums of Squared Loadings </w:t>
            </w:r>
          </w:p>
        </w:tc>
        <w:tc>
          <w:tcPr>
            <w:tcW w:w="1134" w:type="dxa"/>
            <w:tcBorders>
              <w:top w:val="single" w:sz="8" w:space="0" w:color="000000"/>
              <w:bottom w:val="single" w:sz="4" w:space="0" w:color="000000"/>
            </w:tcBorders>
          </w:tcPr>
          <w:p w14:paraId="5E64920A" w14:textId="77777777" w:rsidR="00A23C2A" w:rsidRPr="00CF31E0" w:rsidRDefault="00A23C2A" w:rsidP="00A23C2A">
            <w:pPr>
              <w:spacing w:before="120" w:after="240" w:line="276" w:lineRule="auto"/>
              <w:ind w:left="4"/>
              <w:rPr>
                <w:rFonts w:eastAsia="Times New Roman"/>
                <w:color w:val="000000" w:themeColor="text1"/>
                <w:sz w:val="22"/>
                <w:szCs w:val="22"/>
              </w:rPr>
            </w:pPr>
            <w:r w:rsidRPr="00CF31E0">
              <w:rPr>
                <w:rFonts w:eastAsia="Times New Roman"/>
                <w:color w:val="000000" w:themeColor="text1"/>
                <w:sz w:val="22"/>
                <w:szCs w:val="22"/>
              </w:rPr>
              <w:t>Rotation Sums of Squared Loadings</w:t>
            </w:r>
          </w:p>
        </w:tc>
      </w:tr>
      <w:tr w:rsidR="00B05135" w:rsidRPr="00CF31E0" w14:paraId="75B4EE17" w14:textId="77777777" w:rsidTr="004F45D7">
        <w:trPr>
          <w:trHeight w:val="1107"/>
        </w:trPr>
        <w:tc>
          <w:tcPr>
            <w:tcW w:w="851" w:type="dxa"/>
            <w:vMerge/>
            <w:tcBorders>
              <w:top w:val="single" w:sz="4" w:space="0" w:color="000000"/>
              <w:bottom w:val="single" w:sz="4" w:space="0" w:color="000000"/>
            </w:tcBorders>
          </w:tcPr>
          <w:p w14:paraId="5E346922" w14:textId="77777777" w:rsidR="00A23C2A" w:rsidRPr="00CF31E0" w:rsidRDefault="00A23C2A" w:rsidP="00A23C2A">
            <w:pPr>
              <w:spacing w:before="120" w:after="240" w:line="360" w:lineRule="auto"/>
              <w:ind w:left="4"/>
              <w:jc w:val="both"/>
              <w:rPr>
                <w:rFonts w:eastAsia="Times New Roman"/>
                <w:color w:val="000000" w:themeColor="text1"/>
                <w:sz w:val="22"/>
                <w:szCs w:val="22"/>
              </w:rPr>
            </w:pPr>
          </w:p>
        </w:tc>
        <w:tc>
          <w:tcPr>
            <w:tcW w:w="709" w:type="dxa"/>
            <w:tcBorders>
              <w:top w:val="single" w:sz="4" w:space="0" w:color="000000"/>
              <w:bottom w:val="single" w:sz="4" w:space="0" w:color="000000"/>
            </w:tcBorders>
          </w:tcPr>
          <w:p w14:paraId="1BB21D90" w14:textId="77777777" w:rsidR="00A23C2A" w:rsidRPr="00CF31E0" w:rsidRDefault="00A23C2A" w:rsidP="001136D4">
            <w:pPr>
              <w:spacing w:before="120" w:after="240" w:line="276" w:lineRule="auto"/>
              <w:rPr>
                <w:rFonts w:eastAsia="Times New Roman"/>
                <w:color w:val="000000" w:themeColor="text1"/>
                <w:sz w:val="22"/>
                <w:szCs w:val="22"/>
              </w:rPr>
            </w:pPr>
            <w:r w:rsidRPr="00CF31E0">
              <w:rPr>
                <w:rFonts w:eastAsia="Times New Roman"/>
                <w:color w:val="000000" w:themeColor="text1"/>
                <w:sz w:val="22"/>
                <w:szCs w:val="22"/>
              </w:rPr>
              <w:t>Total</w:t>
            </w:r>
          </w:p>
        </w:tc>
        <w:tc>
          <w:tcPr>
            <w:tcW w:w="1026" w:type="dxa"/>
            <w:tcBorders>
              <w:top w:val="single" w:sz="4" w:space="0" w:color="000000"/>
              <w:bottom w:val="single" w:sz="4" w:space="0" w:color="000000"/>
            </w:tcBorders>
          </w:tcPr>
          <w:p w14:paraId="1B24D97C" w14:textId="77777777" w:rsidR="00A23C2A" w:rsidRPr="00CF31E0" w:rsidRDefault="00A23C2A" w:rsidP="001136D4">
            <w:pPr>
              <w:spacing w:before="120" w:after="240" w:line="276" w:lineRule="auto"/>
              <w:rPr>
                <w:rFonts w:eastAsia="Times New Roman"/>
                <w:color w:val="000000" w:themeColor="text1"/>
                <w:sz w:val="22"/>
                <w:szCs w:val="22"/>
              </w:rPr>
            </w:pPr>
            <w:r w:rsidRPr="00CF31E0">
              <w:rPr>
                <w:rFonts w:eastAsia="Times New Roman"/>
                <w:color w:val="000000" w:themeColor="text1"/>
                <w:sz w:val="22"/>
                <w:szCs w:val="22"/>
              </w:rPr>
              <w:t>% of Variance</w:t>
            </w:r>
          </w:p>
        </w:tc>
        <w:tc>
          <w:tcPr>
            <w:tcW w:w="1276" w:type="dxa"/>
            <w:tcBorders>
              <w:top w:val="single" w:sz="4" w:space="0" w:color="000000"/>
              <w:bottom w:val="single" w:sz="4" w:space="0" w:color="000000"/>
            </w:tcBorders>
          </w:tcPr>
          <w:p w14:paraId="6FB8180D" w14:textId="77777777" w:rsidR="00A23C2A" w:rsidRPr="00CF31E0" w:rsidRDefault="00A23C2A" w:rsidP="001136D4">
            <w:pPr>
              <w:spacing w:before="120" w:after="240" w:line="276" w:lineRule="auto"/>
              <w:rPr>
                <w:rFonts w:eastAsia="Times New Roman"/>
                <w:color w:val="000000" w:themeColor="text1"/>
                <w:sz w:val="22"/>
                <w:szCs w:val="22"/>
              </w:rPr>
            </w:pPr>
            <w:r w:rsidRPr="00CF31E0">
              <w:rPr>
                <w:rFonts w:eastAsia="Times New Roman"/>
                <w:color w:val="000000" w:themeColor="text1"/>
                <w:sz w:val="22"/>
                <w:szCs w:val="22"/>
              </w:rPr>
              <w:t>Cumulative %</w:t>
            </w:r>
          </w:p>
        </w:tc>
        <w:tc>
          <w:tcPr>
            <w:tcW w:w="708" w:type="dxa"/>
            <w:tcBorders>
              <w:top w:val="single" w:sz="4" w:space="0" w:color="000000"/>
              <w:bottom w:val="single" w:sz="4" w:space="0" w:color="000000"/>
            </w:tcBorders>
          </w:tcPr>
          <w:p w14:paraId="047F98CC" w14:textId="77777777" w:rsidR="00A23C2A" w:rsidRPr="00CF31E0" w:rsidRDefault="00A23C2A" w:rsidP="001136D4">
            <w:pPr>
              <w:spacing w:before="120" w:after="240" w:line="276" w:lineRule="auto"/>
              <w:rPr>
                <w:rFonts w:eastAsia="Times New Roman"/>
                <w:color w:val="000000" w:themeColor="text1"/>
                <w:sz w:val="22"/>
                <w:szCs w:val="22"/>
              </w:rPr>
            </w:pPr>
            <w:r w:rsidRPr="00CF31E0">
              <w:rPr>
                <w:rFonts w:eastAsia="Times New Roman"/>
                <w:color w:val="000000" w:themeColor="text1"/>
                <w:sz w:val="22"/>
                <w:szCs w:val="22"/>
              </w:rPr>
              <w:t>Total</w:t>
            </w:r>
          </w:p>
        </w:tc>
        <w:tc>
          <w:tcPr>
            <w:tcW w:w="1134" w:type="dxa"/>
            <w:tcBorders>
              <w:top w:val="single" w:sz="4" w:space="0" w:color="000000"/>
              <w:bottom w:val="single" w:sz="4" w:space="0" w:color="000000"/>
            </w:tcBorders>
          </w:tcPr>
          <w:p w14:paraId="2E157725" w14:textId="77777777" w:rsidR="00A23C2A" w:rsidRPr="00CF31E0" w:rsidRDefault="00A23C2A" w:rsidP="001136D4">
            <w:pPr>
              <w:spacing w:before="120" w:after="240" w:line="276" w:lineRule="auto"/>
              <w:rPr>
                <w:rFonts w:eastAsia="Times New Roman"/>
                <w:color w:val="000000" w:themeColor="text1"/>
                <w:sz w:val="22"/>
                <w:szCs w:val="22"/>
              </w:rPr>
            </w:pPr>
            <w:r w:rsidRPr="00CF31E0">
              <w:rPr>
                <w:rFonts w:eastAsia="Times New Roman"/>
                <w:color w:val="000000" w:themeColor="text1"/>
                <w:sz w:val="22"/>
                <w:szCs w:val="22"/>
              </w:rPr>
              <w:t>% of Variance</w:t>
            </w:r>
          </w:p>
        </w:tc>
        <w:tc>
          <w:tcPr>
            <w:tcW w:w="1276" w:type="dxa"/>
            <w:tcBorders>
              <w:top w:val="single" w:sz="4" w:space="0" w:color="000000"/>
              <w:bottom w:val="single" w:sz="4" w:space="0" w:color="000000"/>
            </w:tcBorders>
          </w:tcPr>
          <w:p w14:paraId="0888804A" w14:textId="77777777" w:rsidR="00A23C2A" w:rsidRPr="00CF31E0" w:rsidRDefault="00A23C2A" w:rsidP="001136D4">
            <w:pPr>
              <w:spacing w:before="120" w:after="240" w:line="276" w:lineRule="auto"/>
              <w:rPr>
                <w:rFonts w:eastAsia="Times New Roman"/>
                <w:color w:val="000000" w:themeColor="text1"/>
                <w:sz w:val="22"/>
                <w:szCs w:val="22"/>
              </w:rPr>
            </w:pPr>
            <w:r w:rsidRPr="00CF31E0">
              <w:rPr>
                <w:rFonts w:eastAsia="Times New Roman"/>
                <w:color w:val="000000" w:themeColor="text1"/>
                <w:sz w:val="22"/>
                <w:szCs w:val="22"/>
              </w:rPr>
              <w:t>Cumulative %</w:t>
            </w:r>
          </w:p>
        </w:tc>
        <w:tc>
          <w:tcPr>
            <w:tcW w:w="1134" w:type="dxa"/>
            <w:tcBorders>
              <w:top w:val="single" w:sz="4" w:space="0" w:color="000000"/>
              <w:bottom w:val="single" w:sz="4" w:space="0" w:color="000000"/>
            </w:tcBorders>
          </w:tcPr>
          <w:p w14:paraId="77AE530C" w14:textId="77777777" w:rsidR="00A23C2A" w:rsidRPr="00CF31E0" w:rsidRDefault="00A23C2A" w:rsidP="001136D4">
            <w:pPr>
              <w:spacing w:before="120" w:after="240" w:line="276" w:lineRule="auto"/>
              <w:rPr>
                <w:rFonts w:eastAsia="Times New Roman"/>
                <w:color w:val="000000" w:themeColor="text1"/>
                <w:sz w:val="22"/>
                <w:szCs w:val="22"/>
              </w:rPr>
            </w:pPr>
            <w:r w:rsidRPr="00CF31E0">
              <w:rPr>
                <w:rFonts w:eastAsia="Times New Roman"/>
                <w:color w:val="000000" w:themeColor="text1"/>
                <w:sz w:val="22"/>
                <w:szCs w:val="22"/>
              </w:rPr>
              <w:t xml:space="preserve">Total </w:t>
            </w:r>
          </w:p>
        </w:tc>
      </w:tr>
      <w:tr w:rsidR="00B05135" w:rsidRPr="00CF31E0" w14:paraId="5F45653F" w14:textId="77777777" w:rsidTr="004F45D7">
        <w:tblPrEx>
          <w:tblCellMar>
            <w:left w:w="0" w:type="dxa"/>
            <w:right w:w="0" w:type="dxa"/>
          </w:tblCellMar>
          <w:tblLook w:val="04A0" w:firstRow="1" w:lastRow="0" w:firstColumn="1" w:lastColumn="0" w:noHBand="0" w:noVBand="1"/>
        </w:tblPrEx>
        <w:tc>
          <w:tcPr>
            <w:tcW w:w="851" w:type="dxa"/>
            <w:tcBorders>
              <w:top w:val="single" w:sz="4" w:space="0" w:color="000000"/>
              <w:bottom w:val="single" w:sz="4" w:space="0" w:color="000000"/>
            </w:tcBorders>
            <w:shd w:val="clear" w:color="auto" w:fill="FFFFFF"/>
            <w:tcMar>
              <w:top w:w="0" w:type="dxa"/>
              <w:left w:w="75" w:type="dxa"/>
              <w:bottom w:w="0" w:type="dxa"/>
              <w:right w:w="75" w:type="dxa"/>
            </w:tcMar>
            <w:hideMark/>
          </w:tcPr>
          <w:p w14:paraId="391ED66D" w14:textId="77777777" w:rsidR="00B05135" w:rsidRPr="00CF31E0" w:rsidRDefault="00B05135" w:rsidP="00A23C2A">
            <w:pPr>
              <w:spacing w:line="240" w:lineRule="atLeast"/>
              <w:ind w:left="45"/>
              <w:rPr>
                <w:rFonts w:eastAsia="Calibri"/>
                <w:color w:val="000000" w:themeColor="text1"/>
                <w:sz w:val="22"/>
                <w:szCs w:val="22"/>
              </w:rPr>
            </w:pPr>
            <w:r w:rsidRPr="00CF31E0">
              <w:rPr>
                <w:rFonts w:eastAsia="Calibri"/>
                <w:color w:val="000000" w:themeColor="text1"/>
                <w:sz w:val="22"/>
                <w:szCs w:val="22"/>
              </w:rPr>
              <w:t>1</w:t>
            </w:r>
          </w:p>
        </w:tc>
        <w:tc>
          <w:tcPr>
            <w:tcW w:w="709" w:type="dxa"/>
            <w:tcBorders>
              <w:top w:val="single" w:sz="4" w:space="0" w:color="000000"/>
              <w:left w:val="nil"/>
              <w:bottom w:val="single" w:sz="4" w:space="0" w:color="000000"/>
            </w:tcBorders>
            <w:shd w:val="clear" w:color="auto" w:fill="FFFFFF"/>
            <w:tcMar>
              <w:top w:w="0" w:type="dxa"/>
              <w:left w:w="75" w:type="dxa"/>
              <w:bottom w:w="0" w:type="dxa"/>
              <w:right w:w="75" w:type="dxa"/>
            </w:tcMar>
            <w:vAlign w:val="center"/>
            <w:hideMark/>
          </w:tcPr>
          <w:p w14:paraId="0FEE7E7C" w14:textId="77777777" w:rsidR="00B05135" w:rsidRPr="00CF31E0" w:rsidRDefault="00B05135"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4.609</w:t>
            </w:r>
          </w:p>
        </w:tc>
        <w:tc>
          <w:tcPr>
            <w:tcW w:w="102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4B771737" w14:textId="77777777" w:rsidR="00B05135" w:rsidRPr="00CF31E0" w:rsidRDefault="00B05135"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30.729</w:t>
            </w:r>
          </w:p>
        </w:tc>
        <w:tc>
          <w:tcPr>
            <w:tcW w:w="127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32C26D5A" w14:textId="77777777" w:rsidR="00B05135" w:rsidRPr="00CF31E0" w:rsidRDefault="00B05135"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30.729</w:t>
            </w:r>
          </w:p>
        </w:tc>
        <w:tc>
          <w:tcPr>
            <w:tcW w:w="708"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67E9DD66" w14:textId="77777777" w:rsidR="00B05135" w:rsidRPr="00CF31E0" w:rsidRDefault="00B05135"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4.090</w:t>
            </w:r>
          </w:p>
        </w:tc>
        <w:tc>
          <w:tcPr>
            <w:tcW w:w="1134"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11DF8BBE" w14:textId="77777777" w:rsidR="00B05135" w:rsidRPr="00CF31E0" w:rsidRDefault="00B05135"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27.266</w:t>
            </w:r>
          </w:p>
        </w:tc>
        <w:tc>
          <w:tcPr>
            <w:tcW w:w="127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4800AAE6" w14:textId="77777777" w:rsidR="00B05135" w:rsidRPr="00CF31E0" w:rsidRDefault="00B05135"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27.266</w:t>
            </w:r>
          </w:p>
        </w:tc>
        <w:tc>
          <w:tcPr>
            <w:tcW w:w="1134"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5CA92034" w14:textId="77777777" w:rsidR="00B05135" w:rsidRPr="00CF31E0" w:rsidRDefault="00B05135"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3.952</w:t>
            </w:r>
          </w:p>
        </w:tc>
      </w:tr>
      <w:tr w:rsidR="00B05135" w:rsidRPr="00CF31E0" w14:paraId="27B8DA6A" w14:textId="77777777" w:rsidTr="004F45D7">
        <w:tblPrEx>
          <w:tblCellMar>
            <w:left w:w="0" w:type="dxa"/>
            <w:right w:w="0" w:type="dxa"/>
          </w:tblCellMar>
          <w:tblLook w:val="04A0" w:firstRow="1" w:lastRow="0" w:firstColumn="1" w:lastColumn="0" w:noHBand="0" w:noVBand="1"/>
        </w:tblPrEx>
        <w:tc>
          <w:tcPr>
            <w:tcW w:w="851" w:type="dxa"/>
            <w:tcBorders>
              <w:top w:val="single" w:sz="4" w:space="0" w:color="000000"/>
              <w:bottom w:val="single" w:sz="4" w:space="0" w:color="000000"/>
            </w:tcBorders>
            <w:shd w:val="clear" w:color="auto" w:fill="FFFFFF"/>
            <w:tcMar>
              <w:top w:w="0" w:type="dxa"/>
              <w:left w:w="75" w:type="dxa"/>
              <w:bottom w:w="0" w:type="dxa"/>
              <w:right w:w="75" w:type="dxa"/>
            </w:tcMar>
            <w:hideMark/>
          </w:tcPr>
          <w:p w14:paraId="044A137B" w14:textId="77777777" w:rsidR="00A23C2A" w:rsidRPr="00CF31E0" w:rsidRDefault="00A23C2A" w:rsidP="00A23C2A">
            <w:pPr>
              <w:spacing w:line="240" w:lineRule="atLeast"/>
              <w:ind w:left="45"/>
              <w:rPr>
                <w:rFonts w:eastAsia="Calibri"/>
                <w:color w:val="000000" w:themeColor="text1"/>
                <w:sz w:val="22"/>
                <w:szCs w:val="22"/>
              </w:rPr>
            </w:pPr>
            <w:r w:rsidRPr="00CF31E0">
              <w:rPr>
                <w:rFonts w:eastAsia="Calibri"/>
                <w:color w:val="000000" w:themeColor="text1"/>
                <w:sz w:val="22"/>
                <w:szCs w:val="22"/>
              </w:rPr>
              <w:t>2</w:t>
            </w:r>
          </w:p>
        </w:tc>
        <w:tc>
          <w:tcPr>
            <w:tcW w:w="709"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28DA173F"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2.675</w:t>
            </w:r>
          </w:p>
        </w:tc>
        <w:tc>
          <w:tcPr>
            <w:tcW w:w="102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51BAA341"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17.835</w:t>
            </w:r>
          </w:p>
        </w:tc>
        <w:tc>
          <w:tcPr>
            <w:tcW w:w="127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0015C684"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48.564</w:t>
            </w:r>
          </w:p>
        </w:tc>
        <w:tc>
          <w:tcPr>
            <w:tcW w:w="708"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5E6D5785"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2.085</w:t>
            </w:r>
          </w:p>
        </w:tc>
        <w:tc>
          <w:tcPr>
            <w:tcW w:w="1134"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23C3718C"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13.903</w:t>
            </w:r>
          </w:p>
        </w:tc>
        <w:tc>
          <w:tcPr>
            <w:tcW w:w="127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1BE7BC03"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41.169</w:t>
            </w:r>
          </w:p>
        </w:tc>
        <w:tc>
          <w:tcPr>
            <w:tcW w:w="1134"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242482C1"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2.609</w:t>
            </w:r>
          </w:p>
        </w:tc>
      </w:tr>
      <w:tr w:rsidR="00B05135" w:rsidRPr="00CF31E0" w14:paraId="08C104A4" w14:textId="77777777" w:rsidTr="004F45D7">
        <w:tblPrEx>
          <w:tblCellMar>
            <w:left w:w="0" w:type="dxa"/>
            <w:right w:w="0" w:type="dxa"/>
          </w:tblCellMar>
          <w:tblLook w:val="04A0" w:firstRow="1" w:lastRow="0" w:firstColumn="1" w:lastColumn="0" w:noHBand="0" w:noVBand="1"/>
        </w:tblPrEx>
        <w:tc>
          <w:tcPr>
            <w:tcW w:w="851" w:type="dxa"/>
            <w:tcBorders>
              <w:top w:val="single" w:sz="4" w:space="0" w:color="000000"/>
              <w:bottom w:val="single" w:sz="4" w:space="0" w:color="000000"/>
            </w:tcBorders>
            <w:shd w:val="clear" w:color="auto" w:fill="FFFFFF"/>
            <w:tcMar>
              <w:top w:w="0" w:type="dxa"/>
              <w:left w:w="75" w:type="dxa"/>
              <w:bottom w:w="0" w:type="dxa"/>
              <w:right w:w="75" w:type="dxa"/>
            </w:tcMar>
            <w:hideMark/>
          </w:tcPr>
          <w:p w14:paraId="799FE61A" w14:textId="77777777" w:rsidR="00A23C2A" w:rsidRPr="00CF31E0" w:rsidRDefault="00A23C2A" w:rsidP="00A23C2A">
            <w:pPr>
              <w:spacing w:line="240" w:lineRule="atLeast"/>
              <w:ind w:left="45"/>
              <w:rPr>
                <w:rFonts w:eastAsia="Calibri"/>
                <w:color w:val="000000" w:themeColor="text1"/>
                <w:sz w:val="22"/>
                <w:szCs w:val="22"/>
              </w:rPr>
            </w:pPr>
            <w:r w:rsidRPr="00CF31E0">
              <w:rPr>
                <w:rFonts w:eastAsia="Calibri"/>
                <w:color w:val="000000" w:themeColor="text1"/>
                <w:sz w:val="22"/>
                <w:szCs w:val="22"/>
              </w:rPr>
              <w:t>3</w:t>
            </w:r>
          </w:p>
        </w:tc>
        <w:tc>
          <w:tcPr>
            <w:tcW w:w="709"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064B6C3C"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1.124</w:t>
            </w:r>
          </w:p>
        </w:tc>
        <w:tc>
          <w:tcPr>
            <w:tcW w:w="102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1683E5C8"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7.493</w:t>
            </w:r>
          </w:p>
        </w:tc>
        <w:tc>
          <w:tcPr>
            <w:tcW w:w="127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5D12F508"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56.057</w:t>
            </w:r>
          </w:p>
        </w:tc>
        <w:tc>
          <w:tcPr>
            <w:tcW w:w="708"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3B4F29C5" w14:textId="77777777" w:rsidR="00A23C2A" w:rsidRPr="00CF31E0" w:rsidRDefault="00A23C2A" w:rsidP="001136D4">
            <w:pPr>
              <w:rPr>
                <w:rFonts w:eastAsia="Calibri"/>
                <w:color w:val="000000" w:themeColor="text1"/>
                <w:sz w:val="22"/>
                <w:szCs w:val="22"/>
              </w:rPr>
            </w:pPr>
          </w:p>
        </w:tc>
        <w:tc>
          <w:tcPr>
            <w:tcW w:w="1134"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670239B0" w14:textId="77777777" w:rsidR="00A23C2A" w:rsidRPr="00CF31E0" w:rsidRDefault="00A23C2A" w:rsidP="001136D4">
            <w:pPr>
              <w:rPr>
                <w:rFonts w:eastAsia="Calibri"/>
                <w:color w:val="000000" w:themeColor="text1"/>
                <w:sz w:val="22"/>
                <w:szCs w:val="22"/>
              </w:rPr>
            </w:pPr>
          </w:p>
        </w:tc>
        <w:tc>
          <w:tcPr>
            <w:tcW w:w="127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5B6C0DF2" w14:textId="77777777" w:rsidR="00A23C2A" w:rsidRPr="00CF31E0" w:rsidRDefault="00A23C2A" w:rsidP="001136D4">
            <w:pPr>
              <w:rPr>
                <w:rFonts w:eastAsia="Calibri"/>
                <w:color w:val="000000" w:themeColor="text1"/>
                <w:sz w:val="22"/>
                <w:szCs w:val="22"/>
              </w:rPr>
            </w:pPr>
          </w:p>
        </w:tc>
        <w:tc>
          <w:tcPr>
            <w:tcW w:w="1134"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5B5FE42A" w14:textId="77777777" w:rsidR="00A23C2A" w:rsidRPr="00CF31E0" w:rsidRDefault="00A23C2A" w:rsidP="001136D4">
            <w:pPr>
              <w:rPr>
                <w:rFonts w:eastAsia="Calibri"/>
                <w:color w:val="000000" w:themeColor="text1"/>
                <w:sz w:val="22"/>
                <w:szCs w:val="22"/>
              </w:rPr>
            </w:pPr>
          </w:p>
        </w:tc>
      </w:tr>
      <w:tr w:rsidR="00B05135" w:rsidRPr="00CF31E0" w14:paraId="30ABDF74" w14:textId="77777777" w:rsidTr="004F45D7">
        <w:tblPrEx>
          <w:tblCellMar>
            <w:left w:w="0" w:type="dxa"/>
            <w:right w:w="0" w:type="dxa"/>
          </w:tblCellMar>
          <w:tblLook w:val="04A0" w:firstRow="1" w:lastRow="0" w:firstColumn="1" w:lastColumn="0" w:noHBand="0" w:noVBand="1"/>
        </w:tblPrEx>
        <w:tc>
          <w:tcPr>
            <w:tcW w:w="851" w:type="dxa"/>
            <w:tcBorders>
              <w:top w:val="single" w:sz="4" w:space="0" w:color="000000"/>
              <w:bottom w:val="single" w:sz="4" w:space="0" w:color="000000"/>
            </w:tcBorders>
            <w:shd w:val="clear" w:color="auto" w:fill="FFFFFF"/>
            <w:tcMar>
              <w:top w:w="0" w:type="dxa"/>
              <w:left w:w="75" w:type="dxa"/>
              <w:bottom w:w="0" w:type="dxa"/>
              <w:right w:w="75" w:type="dxa"/>
            </w:tcMar>
            <w:hideMark/>
          </w:tcPr>
          <w:p w14:paraId="6FDBB1D6" w14:textId="77777777" w:rsidR="00A23C2A" w:rsidRPr="00CF31E0" w:rsidRDefault="00A23C2A" w:rsidP="00A23C2A">
            <w:pPr>
              <w:spacing w:line="240" w:lineRule="atLeast"/>
              <w:ind w:left="45"/>
              <w:rPr>
                <w:rFonts w:eastAsia="Calibri"/>
                <w:color w:val="000000" w:themeColor="text1"/>
                <w:sz w:val="22"/>
                <w:szCs w:val="22"/>
              </w:rPr>
            </w:pPr>
            <w:r w:rsidRPr="00CF31E0">
              <w:rPr>
                <w:rFonts w:eastAsia="Calibri"/>
                <w:color w:val="000000" w:themeColor="text1"/>
                <w:sz w:val="22"/>
                <w:szCs w:val="22"/>
              </w:rPr>
              <w:t>4</w:t>
            </w:r>
          </w:p>
        </w:tc>
        <w:tc>
          <w:tcPr>
            <w:tcW w:w="709"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5A4249AA"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.814</w:t>
            </w:r>
          </w:p>
        </w:tc>
        <w:tc>
          <w:tcPr>
            <w:tcW w:w="102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3C10E064"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5.425</w:t>
            </w:r>
          </w:p>
        </w:tc>
        <w:tc>
          <w:tcPr>
            <w:tcW w:w="127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6E7D29CD"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61.482</w:t>
            </w:r>
          </w:p>
        </w:tc>
        <w:tc>
          <w:tcPr>
            <w:tcW w:w="708"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52B996A2" w14:textId="77777777" w:rsidR="00A23C2A" w:rsidRPr="00CF31E0" w:rsidRDefault="00A23C2A" w:rsidP="001136D4">
            <w:pPr>
              <w:rPr>
                <w:rFonts w:eastAsia="Calibri"/>
                <w:color w:val="000000" w:themeColor="text1"/>
                <w:sz w:val="22"/>
                <w:szCs w:val="22"/>
              </w:rPr>
            </w:pPr>
          </w:p>
        </w:tc>
        <w:tc>
          <w:tcPr>
            <w:tcW w:w="1134"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34D493C1" w14:textId="77777777" w:rsidR="00A23C2A" w:rsidRPr="00CF31E0" w:rsidRDefault="00A23C2A" w:rsidP="001136D4">
            <w:pPr>
              <w:rPr>
                <w:rFonts w:eastAsia="Calibri"/>
                <w:color w:val="000000" w:themeColor="text1"/>
                <w:sz w:val="22"/>
                <w:szCs w:val="22"/>
              </w:rPr>
            </w:pPr>
          </w:p>
        </w:tc>
        <w:tc>
          <w:tcPr>
            <w:tcW w:w="127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5A3510DA" w14:textId="77777777" w:rsidR="00A23C2A" w:rsidRPr="00CF31E0" w:rsidRDefault="00A23C2A" w:rsidP="001136D4">
            <w:pPr>
              <w:rPr>
                <w:rFonts w:eastAsia="Calibri"/>
                <w:color w:val="000000" w:themeColor="text1"/>
                <w:sz w:val="22"/>
                <w:szCs w:val="22"/>
              </w:rPr>
            </w:pPr>
          </w:p>
        </w:tc>
        <w:tc>
          <w:tcPr>
            <w:tcW w:w="1134"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40D46ECF" w14:textId="77777777" w:rsidR="00A23C2A" w:rsidRPr="00CF31E0" w:rsidRDefault="00A23C2A" w:rsidP="001136D4">
            <w:pPr>
              <w:rPr>
                <w:rFonts w:eastAsia="Calibri"/>
                <w:color w:val="000000" w:themeColor="text1"/>
                <w:sz w:val="22"/>
                <w:szCs w:val="22"/>
              </w:rPr>
            </w:pPr>
          </w:p>
        </w:tc>
      </w:tr>
      <w:tr w:rsidR="00B05135" w:rsidRPr="00CF31E0" w14:paraId="622F938C" w14:textId="77777777" w:rsidTr="004F45D7">
        <w:tblPrEx>
          <w:tblCellMar>
            <w:left w:w="0" w:type="dxa"/>
            <w:right w:w="0" w:type="dxa"/>
          </w:tblCellMar>
          <w:tblLook w:val="04A0" w:firstRow="1" w:lastRow="0" w:firstColumn="1" w:lastColumn="0" w:noHBand="0" w:noVBand="1"/>
        </w:tblPrEx>
        <w:tc>
          <w:tcPr>
            <w:tcW w:w="851" w:type="dxa"/>
            <w:tcBorders>
              <w:top w:val="single" w:sz="4" w:space="0" w:color="000000"/>
              <w:bottom w:val="single" w:sz="4" w:space="0" w:color="000000"/>
            </w:tcBorders>
            <w:shd w:val="clear" w:color="auto" w:fill="FFFFFF"/>
            <w:tcMar>
              <w:top w:w="0" w:type="dxa"/>
              <w:left w:w="75" w:type="dxa"/>
              <w:bottom w:w="0" w:type="dxa"/>
              <w:right w:w="75" w:type="dxa"/>
            </w:tcMar>
            <w:hideMark/>
          </w:tcPr>
          <w:p w14:paraId="4CA84054" w14:textId="77777777" w:rsidR="00A23C2A" w:rsidRPr="00CF31E0" w:rsidRDefault="00A23C2A" w:rsidP="00A23C2A">
            <w:pPr>
              <w:spacing w:line="240" w:lineRule="atLeast"/>
              <w:ind w:left="45"/>
              <w:rPr>
                <w:rFonts w:eastAsia="Calibri"/>
                <w:color w:val="000000" w:themeColor="text1"/>
                <w:sz w:val="22"/>
                <w:szCs w:val="22"/>
              </w:rPr>
            </w:pPr>
            <w:r w:rsidRPr="00CF31E0">
              <w:rPr>
                <w:rFonts w:eastAsia="Calibri"/>
                <w:color w:val="000000" w:themeColor="text1"/>
                <w:sz w:val="22"/>
                <w:szCs w:val="22"/>
              </w:rPr>
              <w:t>5</w:t>
            </w:r>
          </w:p>
        </w:tc>
        <w:tc>
          <w:tcPr>
            <w:tcW w:w="709"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6DB8B286"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.789</w:t>
            </w:r>
          </w:p>
        </w:tc>
        <w:tc>
          <w:tcPr>
            <w:tcW w:w="102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61A5C0FA"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5.258</w:t>
            </w:r>
          </w:p>
        </w:tc>
        <w:tc>
          <w:tcPr>
            <w:tcW w:w="127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2EE9323B"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66.740</w:t>
            </w:r>
          </w:p>
        </w:tc>
        <w:tc>
          <w:tcPr>
            <w:tcW w:w="708"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4338BB21" w14:textId="77777777" w:rsidR="00A23C2A" w:rsidRPr="00CF31E0" w:rsidRDefault="00A23C2A" w:rsidP="001136D4">
            <w:pPr>
              <w:rPr>
                <w:rFonts w:eastAsia="Calibri"/>
                <w:color w:val="000000" w:themeColor="text1"/>
                <w:sz w:val="22"/>
                <w:szCs w:val="22"/>
              </w:rPr>
            </w:pPr>
          </w:p>
        </w:tc>
        <w:tc>
          <w:tcPr>
            <w:tcW w:w="1134"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726FB594" w14:textId="77777777" w:rsidR="00A23C2A" w:rsidRPr="00CF31E0" w:rsidRDefault="00A23C2A" w:rsidP="001136D4">
            <w:pPr>
              <w:rPr>
                <w:rFonts w:eastAsia="Calibri"/>
                <w:color w:val="000000" w:themeColor="text1"/>
                <w:sz w:val="22"/>
                <w:szCs w:val="22"/>
              </w:rPr>
            </w:pPr>
          </w:p>
        </w:tc>
        <w:tc>
          <w:tcPr>
            <w:tcW w:w="127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4295F1BE" w14:textId="77777777" w:rsidR="00A23C2A" w:rsidRPr="00CF31E0" w:rsidRDefault="00A23C2A" w:rsidP="001136D4">
            <w:pPr>
              <w:rPr>
                <w:rFonts w:eastAsia="Calibri"/>
                <w:color w:val="000000" w:themeColor="text1"/>
                <w:sz w:val="22"/>
                <w:szCs w:val="22"/>
              </w:rPr>
            </w:pPr>
          </w:p>
        </w:tc>
        <w:tc>
          <w:tcPr>
            <w:tcW w:w="1134"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0D67CCFC" w14:textId="77777777" w:rsidR="00A23C2A" w:rsidRPr="00CF31E0" w:rsidRDefault="00A23C2A" w:rsidP="001136D4">
            <w:pPr>
              <w:rPr>
                <w:rFonts w:eastAsia="Calibri"/>
                <w:color w:val="000000" w:themeColor="text1"/>
                <w:sz w:val="22"/>
                <w:szCs w:val="22"/>
              </w:rPr>
            </w:pPr>
          </w:p>
        </w:tc>
      </w:tr>
      <w:tr w:rsidR="00B05135" w:rsidRPr="00CF31E0" w14:paraId="456C25CE" w14:textId="77777777" w:rsidTr="004F45D7">
        <w:tblPrEx>
          <w:tblCellMar>
            <w:left w:w="0" w:type="dxa"/>
            <w:right w:w="0" w:type="dxa"/>
          </w:tblCellMar>
          <w:tblLook w:val="04A0" w:firstRow="1" w:lastRow="0" w:firstColumn="1" w:lastColumn="0" w:noHBand="0" w:noVBand="1"/>
        </w:tblPrEx>
        <w:tc>
          <w:tcPr>
            <w:tcW w:w="851" w:type="dxa"/>
            <w:tcBorders>
              <w:top w:val="single" w:sz="4" w:space="0" w:color="000000"/>
              <w:bottom w:val="single" w:sz="4" w:space="0" w:color="000000"/>
            </w:tcBorders>
            <w:shd w:val="clear" w:color="auto" w:fill="FFFFFF"/>
            <w:tcMar>
              <w:top w:w="0" w:type="dxa"/>
              <w:left w:w="75" w:type="dxa"/>
              <w:bottom w:w="0" w:type="dxa"/>
              <w:right w:w="75" w:type="dxa"/>
            </w:tcMar>
            <w:hideMark/>
          </w:tcPr>
          <w:p w14:paraId="563C3DF2" w14:textId="77777777" w:rsidR="00A23C2A" w:rsidRPr="00CF31E0" w:rsidRDefault="00A23C2A" w:rsidP="00A23C2A">
            <w:pPr>
              <w:spacing w:line="240" w:lineRule="atLeast"/>
              <w:ind w:left="45"/>
              <w:rPr>
                <w:rFonts w:eastAsia="Calibri"/>
                <w:color w:val="000000" w:themeColor="text1"/>
                <w:sz w:val="22"/>
                <w:szCs w:val="22"/>
              </w:rPr>
            </w:pPr>
            <w:r w:rsidRPr="00CF31E0">
              <w:rPr>
                <w:rFonts w:eastAsia="Calibri"/>
                <w:color w:val="000000" w:themeColor="text1"/>
                <w:sz w:val="22"/>
                <w:szCs w:val="22"/>
              </w:rPr>
              <w:t>6</w:t>
            </w:r>
          </w:p>
        </w:tc>
        <w:tc>
          <w:tcPr>
            <w:tcW w:w="709"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60214FD1"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.714</w:t>
            </w:r>
          </w:p>
        </w:tc>
        <w:tc>
          <w:tcPr>
            <w:tcW w:w="102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78FFFC22"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4.762</w:t>
            </w:r>
          </w:p>
        </w:tc>
        <w:tc>
          <w:tcPr>
            <w:tcW w:w="127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0F78A42F"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71.502</w:t>
            </w:r>
          </w:p>
        </w:tc>
        <w:tc>
          <w:tcPr>
            <w:tcW w:w="708"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223F4DE8" w14:textId="77777777" w:rsidR="00A23C2A" w:rsidRPr="00CF31E0" w:rsidRDefault="00A23C2A" w:rsidP="001136D4">
            <w:pPr>
              <w:rPr>
                <w:rFonts w:eastAsia="Calibri"/>
                <w:color w:val="000000" w:themeColor="text1"/>
                <w:sz w:val="22"/>
                <w:szCs w:val="22"/>
              </w:rPr>
            </w:pPr>
          </w:p>
        </w:tc>
        <w:tc>
          <w:tcPr>
            <w:tcW w:w="1134"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719C84E9" w14:textId="77777777" w:rsidR="00A23C2A" w:rsidRPr="00CF31E0" w:rsidRDefault="00A23C2A" w:rsidP="001136D4">
            <w:pPr>
              <w:rPr>
                <w:rFonts w:eastAsia="Calibri"/>
                <w:color w:val="000000" w:themeColor="text1"/>
                <w:sz w:val="22"/>
                <w:szCs w:val="22"/>
              </w:rPr>
            </w:pPr>
          </w:p>
        </w:tc>
        <w:tc>
          <w:tcPr>
            <w:tcW w:w="127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1CA3D15D" w14:textId="77777777" w:rsidR="00A23C2A" w:rsidRPr="00CF31E0" w:rsidRDefault="00A23C2A" w:rsidP="001136D4">
            <w:pPr>
              <w:rPr>
                <w:rFonts w:eastAsia="Calibri"/>
                <w:color w:val="000000" w:themeColor="text1"/>
                <w:sz w:val="22"/>
                <w:szCs w:val="22"/>
              </w:rPr>
            </w:pPr>
          </w:p>
        </w:tc>
        <w:tc>
          <w:tcPr>
            <w:tcW w:w="1134"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53A393DB" w14:textId="77777777" w:rsidR="00A23C2A" w:rsidRPr="00CF31E0" w:rsidRDefault="00A23C2A" w:rsidP="001136D4">
            <w:pPr>
              <w:rPr>
                <w:rFonts w:eastAsia="Calibri"/>
                <w:color w:val="000000" w:themeColor="text1"/>
                <w:sz w:val="22"/>
                <w:szCs w:val="22"/>
              </w:rPr>
            </w:pPr>
          </w:p>
        </w:tc>
      </w:tr>
      <w:tr w:rsidR="00B05135" w:rsidRPr="00CF31E0" w14:paraId="5311BF9C" w14:textId="77777777" w:rsidTr="004F45D7">
        <w:tblPrEx>
          <w:tblCellMar>
            <w:left w:w="0" w:type="dxa"/>
            <w:right w:w="0" w:type="dxa"/>
          </w:tblCellMar>
          <w:tblLook w:val="04A0" w:firstRow="1" w:lastRow="0" w:firstColumn="1" w:lastColumn="0" w:noHBand="0" w:noVBand="1"/>
        </w:tblPrEx>
        <w:trPr>
          <w:trHeight w:val="297"/>
        </w:trPr>
        <w:tc>
          <w:tcPr>
            <w:tcW w:w="851" w:type="dxa"/>
            <w:tcBorders>
              <w:top w:val="single" w:sz="4" w:space="0" w:color="000000"/>
              <w:bottom w:val="single" w:sz="4" w:space="0" w:color="000000"/>
            </w:tcBorders>
            <w:shd w:val="clear" w:color="auto" w:fill="FFFFFF"/>
            <w:tcMar>
              <w:top w:w="0" w:type="dxa"/>
              <w:left w:w="75" w:type="dxa"/>
              <w:bottom w:w="0" w:type="dxa"/>
              <w:right w:w="75" w:type="dxa"/>
            </w:tcMar>
            <w:hideMark/>
          </w:tcPr>
          <w:p w14:paraId="60F3233B" w14:textId="77777777" w:rsidR="00A23C2A" w:rsidRPr="00CF31E0" w:rsidRDefault="00A23C2A" w:rsidP="00A23C2A">
            <w:pPr>
              <w:spacing w:line="240" w:lineRule="atLeast"/>
              <w:ind w:left="45"/>
              <w:rPr>
                <w:rFonts w:eastAsia="Calibri"/>
                <w:color w:val="000000" w:themeColor="text1"/>
                <w:sz w:val="22"/>
                <w:szCs w:val="22"/>
              </w:rPr>
            </w:pPr>
            <w:r w:rsidRPr="00CF31E0">
              <w:rPr>
                <w:rFonts w:eastAsia="Calibri"/>
                <w:color w:val="000000" w:themeColor="text1"/>
                <w:sz w:val="22"/>
                <w:szCs w:val="22"/>
              </w:rPr>
              <w:t>7</w:t>
            </w:r>
          </w:p>
        </w:tc>
        <w:tc>
          <w:tcPr>
            <w:tcW w:w="709"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6A9B6EA4"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.642</w:t>
            </w:r>
          </w:p>
        </w:tc>
        <w:tc>
          <w:tcPr>
            <w:tcW w:w="102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67F06C1B"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4.279</w:t>
            </w:r>
          </w:p>
        </w:tc>
        <w:tc>
          <w:tcPr>
            <w:tcW w:w="127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0D70428B"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75.781</w:t>
            </w:r>
          </w:p>
        </w:tc>
        <w:tc>
          <w:tcPr>
            <w:tcW w:w="708"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26B59634" w14:textId="77777777" w:rsidR="00A23C2A" w:rsidRPr="00CF31E0" w:rsidRDefault="00A23C2A" w:rsidP="001136D4">
            <w:pPr>
              <w:rPr>
                <w:rFonts w:eastAsia="Calibri"/>
                <w:color w:val="000000" w:themeColor="text1"/>
                <w:sz w:val="22"/>
                <w:szCs w:val="22"/>
              </w:rPr>
            </w:pPr>
          </w:p>
        </w:tc>
        <w:tc>
          <w:tcPr>
            <w:tcW w:w="1134"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1F501C37" w14:textId="77777777" w:rsidR="00A23C2A" w:rsidRPr="00CF31E0" w:rsidRDefault="00A23C2A" w:rsidP="001136D4">
            <w:pPr>
              <w:rPr>
                <w:rFonts w:eastAsia="Calibri"/>
                <w:color w:val="000000" w:themeColor="text1"/>
                <w:sz w:val="22"/>
                <w:szCs w:val="22"/>
              </w:rPr>
            </w:pPr>
          </w:p>
        </w:tc>
        <w:tc>
          <w:tcPr>
            <w:tcW w:w="127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5F571CDB" w14:textId="77777777" w:rsidR="00A23C2A" w:rsidRPr="00CF31E0" w:rsidRDefault="00A23C2A" w:rsidP="001136D4">
            <w:pPr>
              <w:rPr>
                <w:rFonts w:eastAsia="Calibri"/>
                <w:color w:val="000000" w:themeColor="text1"/>
                <w:sz w:val="22"/>
                <w:szCs w:val="22"/>
              </w:rPr>
            </w:pPr>
          </w:p>
        </w:tc>
        <w:tc>
          <w:tcPr>
            <w:tcW w:w="1134"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2BFAE436" w14:textId="77777777" w:rsidR="00A23C2A" w:rsidRPr="00CF31E0" w:rsidRDefault="00A23C2A" w:rsidP="001136D4">
            <w:pPr>
              <w:rPr>
                <w:rFonts w:eastAsia="Calibri"/>
                <w:color w:val="000000" w:themeColor="text1"/>
                <w:sz w:val="22"/>
                <w:szCs w:val="22"/>
              </w:rPr>
            </w:pPr>
          </w:p>
        </w:tc>
      </w:tr>
      <w:tr w:rsidR="00B05135" w:rsidRPr="00CF31E0" w14:paraId="7D38FA14" w14:textId="77777777" w:rsidTr="004F45D7">
        <w:tblPrEx>
          <w:tblCellMar>
            <w:left w:w="0" w:type="dxa"/>
            <w:right w:w="0" w:type="dxa"/>
          </w:tblCellMar>
          <w:tblLook w:val="04A0" w:firstRow="1" w:lastRow="0" w:firstColumn="1" w:lastColumn="0" w:noHBand="0" w:noVBand="1"/>
        </w:tblPrEx>
        <w:tc>
          <w:tcPr>
            <w:tcW w:w="851" w:type="dxa"/>
            <w:tcBorders>
              <w:top w:val="single" w:sz="4" w:space="0" w:color="000000"/>
              <w:bottom w:val="single" w:sz="4" w:space="0" w:color="000000"/>
            </w:tcBorders>
            <w:shd w:val="clear" w:color="auto" w:fill="FFFFFF"/>
            <w:tcMar>
              <w:top w:w="0" w:type="dxa"/>
              <w:left w:w="75" w:type="dxa"/>
              <w:bottom w:w="0" w:type="dxa"/>
              <w:right w:w="75" w:type="dxa"/>
            </w:tcMar>
            <w:hideMark/>
          </w:tcPr>
          <w:p w14:paraId="6AF0B543" w14:textId="77777777" w:rsidR="00A23C2A" w:rsidRPr="00CF31E0" w:rsidRDefault="00A23C2A" w:rsidP="00A23C2A">
            <w:pPr>
              <w:spacing w:line="240" w:lineRule="atLeast"/>
              <w:ind w:left="45"/>
              <w:rPr>
                <w:rFonts w:eastAsia="Calibri"/>
                <w:color w:val="000000" w:themeColor="text1"/>
                <w:sz w:val="22"/>
                <w:szCs w:val="22"/>
              </w:rPr>
            </w:pPr>
            <w:r w:rsidRPr="00CF31E0">
              <w:rPr>
                <w:rFonts w:eastAsia="Calibri"/>
                <w:color w:val="000000" w:themeColor="text1"/>
                <w:sz w:val="22"/>
                <w:szCs w:val="22"/>
              </w:rPr>
              <w:t>8</w:t>
            </w:r>
          </w:p>
        </w:tc>
        <w:tc>
          <w:tcPr>
            <w:tcW w:w="709"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2F66B344"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.585</w:t>
            </w:r>
          </w:p>
        </w:tc>
        <w:tc>
          <w:tcPr>
            <w:tcW w:w="102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11F80F26"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3.901</w:t>
            </w:r>
          </w:p>
        </w:tc>
        <w:tc>
          <w:tcPr>
            <w:tcW w:w="127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7469D74E"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79.682</w:t>
            </w:r>
          </w:p>
        </w:tc>
        <w:tc>
          <w:tcPr>
            <w:tcW w:w="708"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1B75B583" w14:textId="77777777" w:rsidR="00A23C2A" w:rsidRPr="00CF31E0" w:rsidRDefault="00A23C2A" w:rsidP="001136D4">
            <w:pPr>
              <w:rPr>
                <w:rFonts w:eastAsia="Calibri"/>
                <w:color w:val="000000" w:themeColor="text1"/>
                <w:sz w:val="22"/>
                <w:szCs w:val="22"/>
              </w:rPr>
            </w:pPr>
          </w:p>
        </w:tc>
        <w:tc>
          <w:tcPr>
            <w:tcW w:w="1134"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0DC124E8" w14:textId="77777777" w:rsidR="00A23C2A" w:rsidRPr="00CF31E0" w:rsidRDefault="00A23C2A" w:rsidP="001136D4">
            <w:pPr>
              <w:rPr>
                <w:rFonts w:eastAsia="Calibri"/>
                <w:color w:val="000000" w:themeColor="text1"/>
                <w:sz w:val="22"/>
                <w:szCs w:val="22"/>
              </w:rPr>
            </w:pPr>
          </w:p>
        </w:tc>
        <w:tc>
          <w:tcPr>
            <w:tcW w:w="127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45B1823E" w14:textId="77777777" w:rsidR="00A23C2A" w:rsidRPr="00CF31E0" w:rsidRDefault="00A23C2A" w:rsidP="001136D4">
            <w:pPr>
              <w:rPr>
                <w:rFonts w:eastAsia="Calibri"/>
                <w:color w:val="000000" w:themeColor="text1"/>
                <w:sz w:val="22"/>
                <w:szCs w:val="22"/>
              </w:rPr>
            </w:pPr>
          </w:p>
        </w:tc>
        <w:tc>
          <w:tcPr>
            <w:tcW w:w="1134"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45DE5393" w14:textId="77777777" w:rsidR="00A23C2A" w:rsidRPr="00CF31E0" w:rsidRDefault="00A23C2A" w:rsidP="001136D4">
            <w:pPr>
              <w:rPr>
                <w:rFonts w:eastAsia="Calibri"/>
                <w:color w:val="000000" w:themeColor="text1"/>
                <w:sz w:val="22"/>
                <w:szCs w:val="22"/>
              </w:rPr>
            </w:pPr>
          </w:p>
        </w:tc>
      </w:tr>
      <w:tr w:rsidR="00B05135" w:rsidRPr="00CF31E0" w14:paraId="58CFE205" w14:textId="77777777" w:rsidTr="004F45D7">
        <w:tblPrEx>
          <w:tblCellMar>
            <w:left w:w="0" w:type="dxa"/>
            <w:right w:w="0" w:type="dxa"/>
          </w:tblCellMar>
          <w:tblLook w:val="04A0" w:firstRow="1" w:lastRow="0" w:firstColumn="1" w:lastColumn="0" w:noHBand="0" w:noVBand="1"/>
        </w:tblPrEx>
        <w:tc>
          <w:tcPr>
            <w:tcW w:w="851" w:type="dxa"/>
            <w:tcBorders>
              <w:top w:val="single" w:sz="4" w:space="0" w:color="000000"/>
              <w:bottom w:val="single" w:sz="4" w:space="0" w:color="000000"/>
            </w:tcBorders>
            <w:shd w:val="clear" w:color="auto" w:fill="FFFFFF"/>
            <w:tcMar>
              <w:top w:w="0" w:type="dxa"/>
              <w:left w:w="75" w:type="dxa"/>
              <w:bottom w:w="0" w:type="dxa"/>
              <w:right w:w="75" w:type="dxa"/>
            </w:tcMar>
            <w:hideMark/>
          </w:tcPr>
          <w:p w14:paraId="0DDEBCA4" w14:textId="77777777" w:rsidR="00A23C2A" w:rsidRPr="00CF31E0" w:rsidRDefault="00A23C2A" w:rsidP="00A23C2A">
            <w:pPr>
              <w:spacing w:line="240" w:lineRule="atLeast"/>
              <w:ind w:left="45"/>
              <w:rPr>
                <w:rFonts w:eastAsia="Calibri"/>
                <w:color w:val="000000" w:themeColor="text1"/>
                <w:sz w:val="22"/>
                <w:szCs w:val="22"/>
              </w:rPr>
            </w:pPr>
            <w:r w:rsidRPr="00CF31E0">
              <w:rPr>
                <w:rFonts w:eastAsia="Calibri"/>
                <w:color w:val="000000" w:themeColor="text1"/>
                <w:sz w:val="22"/>
                <w:szCs w:val="22"/>
              </w:rPr>
              <w:t>9</w:t>
            </w:r>
          </w:p>
        </w:tc>
        <w:tc>
          <w:tcPr>
            <w:tcW w:w="709"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34F79E4B"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.541</w:t>
            </w:r>
          </w:p>
        </w:tc>
        <w:tc>
          <w:tcPr>
            <w:tcW w:w="102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1A807E5D"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3.606</w:t>
            </w:r>
          </w:p>
        </w:tc>
        <w:tc>
          <w:tcPr>
            <w:tcW w:w="127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4E7C6477"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83.288</w:t>
            </w:r>
          </w:p>
        </w:tc>
        <w:tc>
          <w:tcPr>
            <w:tcW w:w="708"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1527094B" w14:textId="77777777" w:rsidR="00A23C2A" w:rsidRPr="00CF31E0" w:rsidRDefault="00A23C2A" w:rsidP="001136D4">
            <w:pPr>
              <w:rPr>
                <w:rFonts w:eastAsia="Calibri"/>
                <w:color w:val="000000" w:themeColor="text1"/>
                <w:sz w:val="22"/>
                <w:szCs w:val="22"/>
              </w:rPr>
            </w:pPr>
          </w:p>
        </w:tc>
        <w:tc>
          <w:tcPr>
            <w:tcW w:w="1134"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159C307B" w14:textId="77777777" w:rsidR="00A23C2A" w:rsidRPr="00CF31E0" w:rsidRDefault="00A23C2A" w:rsidP="00A23C2A">
            <w:pPr>
              <w:rPr>
                <w:rFonts w:eastAsia="Calibri"/>
                <w:color w:val="000000" w:themeColor="text1"/>
                <w:sz w:val="22"/>
                <w:szCs w:val="22"/>
              </w:rPr>
            </w:pPr>
          </w:p>
        </w:tc>
        <w:tc>
          <w:tcPr>
            <w:tcW w:w="127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23FC94EF" w14:textId="77777777" w:rsidR="00A23C2A" w:rsidRPr="00CF31E0" w:rsidRDefault="00A23C2A" w:rsidP="00A23C2A">
            <w:pPr>
              <w:rPr>
                <w:rFonts w:eastAsia="Calibri"/>
                <w:color w:val="000000" w:themeColor="text1"/>
                <w:sz w:val="22"/>
                <w:szCs w:val="22"/>
              </w:rPr>
            </w:pPr>
          </w:p>
        </w:tc>
        <w:tc>
          <w:tcPr>
            <w:tcW w:w="1134"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2BEA5BC8" w14:textId="77777777" w:rsidR="00A23C2A" w:rsidRPr="00CF31E0" w:rsidRDefault="00A23C2A" w:rsidP="00A23C2A">
            <w:pPr>
              <w:rPr>
                <w:rFonts w:eastAsia="Calibri"/>
                <w:color w:val="000000" w:themeColor="text1"/>
                <w:sz w:val="22"/>
                <w:szCs w:val="22"/>
              </w:rPr>
            </w:pPr>
          </w:p>
        </w:tc>
      </w:tr>
      <w:tr w:rsidR="00B05135" w:rsidRPr="00CF31E0" w14:paraId="0B3D4EF7" w14:textId="77777777" w:rsidTr="004F45D7">
        <w:tblPrEx>
          <w:tblCellMar>
            <w:left w:w="0" w:type="dxa"/>
            <w:right w:w="0" w:type="dxa"/>
          </w:tblCellMar>
          <w:tblLook w:val="04A0" w:firstRow="1" w:lastRow="0" w:firstColumn="1" w:lastColumn="0" w:noHBand="0" w:noVBand="1"/>
        </w:tblPrEx>
        <w:tc>
          <w:tcPr>
            <w:tcW w:w="851" w:type="dxa"/>
            <w:tcBorders>
              <w:top w:val="single" w:sz="4" w:space="0" w:color="000000"/>
              <w:bottom w:val="single" w:sz="4" w:space="0" w:color="000000"/>
            </w:tcBorders>
            <w:shd w:val="clear" w:color="auto" w:fill="FFFFFF"/>
            <w:tcMar>
              <w:top w:w="0" w:type="dxa"/>
              <w:left w:w="75" w:type="dxa"/>
              <w:bottom w:w="0" w:type="dxa"/>
              <w:right w:w="75" w:type="dxa"/>
            </w:tcMar>
            <w:hideMark/>
          </w:tcPr>
          <w:p w14:paraId="3A1EB5E7" w14:textId="77777777" w:rsidR="00A23C2A" w:rsidRPr="00CF31E0" w:rsidRDefault="00A23C2A" w:rsidP="00A23C2A">
            <w:pPr>
              <w:spacing w:line="240" w:lineRule="atLeast"/>
              <w:ind w:left="45"/>
              <w:rPr>
                <w:rFonts w:eastAsia="Calibri"/>
                <w:color w:val="000000" w:themeColor="text1"/>
                <w:sz w:val="22"/>
                <w:szCs w:val="22"/>
              </w:rPr>
            </w:pPr>
            <w:r w:rsidRPr="00CF31E0">
              <w:rPr>
                <w:rFonts w:eastAsia="Calibri"/>
                <w:color w:val="000000" w:themeColor="text1"/>
                <w:sz w:val="22"/>
                <w:szCs w:val="22"/>
              </w:rPr>
              <w:t>10</w:t>
            </w:r>
          </w:p>
        </w:tc>
        <w:tc>
          <w:tcPr>
            <w:tcW w:w="709"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473541D3"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.506</w:t>
            </w:r>
          </w:p>
        </w:tc>
        <w:tc>
          <w:tcPr>
            <w:tcW w:w="102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612B0C80"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3.372</w:t>
            </w:r>
          </w:p>
        </w:tc>
        <w:tc>
          <w:tcPr>
            <w:tcW w:w="127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4B8B63F7"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86.660</w:t>
            </w:r>
          </w:p>
        </w:tc>
        <w:tc>
          <w:tcPr>
            <w:tcW w:w="708"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3D86CFED" w14:textId="77777777" w:rsidR="00A23C2A" w:rsidRPr="00CF31E0" w:rsidRDefault="00A23C2A" w:rsidP="001136D4">
            <w:pPr>
              <w:rPr>
                <w:rFonts w:eastAsia="Calibri"/>
                <w:color w:val="000000" w:themeColor="text1"/>
                <w:sz w:val="22"/>
                <w:szCs w:val="22"/>
              </w:rPr>
            </w:pPr>
          </w:p>
        </w:tc>
        <w:tc>
          <w:tcPr>
            <w:tcW w:w="1134"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77E37EBA" w14:textId="77777777" w:rsidR="00A23C2A" w:rsidRPr="00CF31E0" w:rsidRDefault="00A23C2A" w:rsidP="00A23C2A">
            <w:pPr>
              <w:rPr>
                <w:rFonts w:eastAsia="Calibri"/>
                <w:color w:val="000000" w:themeColor="text1"/>
                <w:sz w:val="22"/>
                <w:szCs w:val="22"/>
              </w:rPr>
            </w:pPr>
          </w:p>
        </w:tc>
        <w:tc>
          <w:tcPr>
            <w:tcW w:w="127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6D819848" w14:textId="77777777" w:rsidR="00A23C2A" w:rsidRPr="00CF31E0" w:rsidRDefault="00A23C2A" w:rsidP="00A23C2A">
            <w:pPr>
              <w:rPr>
                <w:rFonts w:eastAsia="Calibri"/>
                <w:color w:val="000000" w:themeColor="text1"/>
                <w:sz w:val="22"/>
                <w:szCs w:val="22"/>
              </w:rPr>
            </w:pPr>
          </w:p>
        </w:tc>
        <w:tc>
          <w:tcPr>
            <w:tcW w:w="1134"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1FBC05F5" w14:textId="77777777" w:rsidR="00A23C2A" w:rsidRPr="00CF31E0" w:rsidRDefault="00A23C2A" w:rsidP="00A23C2A">
            <w:pPr>
              <w:rPr>
                <w:rFonts w:eastAsia="Calibri"/>
                <w:color w:val="000000" w:themeColor="text1"/>
                <w:sz w:val="22"/>
                <w:szCs w:val="22"/>
              </w:rPr>
            </w:pPr>
          </w:p>
        </w:tc>
      </w:tr>
      <w:tr w:rsidR="00B05135" w:rsidRPr="00CF31E0" w14:paraId="6D635D1A" w14:textId="77777777" w:rsidTr="004F45D7">
        <w:tblPrEx>
          <w:tblCellMar>
            <w:left w:w="0" w:type="dxa"/>
            <w:right w:w="0" w:type="dxa"/>
          </w:tblCellMar>
          <w:tblLook w:val="04A0" w:firstRow="1" w:lastRow="0" w:firstColumn="1" w:lastColumn="0" w:noHBand="0" w:noVBand="1"/>
        </w:tblPrEx>
        <w:tc>
          <w:tcPr>
            <w:tcW w:w="851" w:type="dxa"/>
            <w:tcBorders>
              <w:top w:val="single" w:sz="4" w:space="0" w:color="000000"/>
              <w:bottom w:val="single" w:sz="4" w:space="0" w:color="000000"/>
            </w:tcBorders>
            <w:shd w:val="clear" w:color="auto" w:fill="FFFFFF"/>
            <w:tcMar>
              <w:top w:w="0" w:type="dxa"/>
              <w:left w:w="75" w:type="dxa"/>
              <w:bottom w:w="0" w:type="dxa"/>
              <w:right w:w="75" w:type="dxa"/>
            </w:tcMar>
            <w:hideMark/>
          </w:tcPr>
          <w:p w14:paraId="4A0B0DBB" w14:textId="77777777" w:rsidR="00A23C2A" w:rsidRPr="00CF31E0" w:rsidRDefault="00A23C2A" w:rsidP="00A23C2A">
            <w:pPr>
              <w:spacing w:line="240" w:lineRule="atLeast"/>
              <w:ind w:left="45"/>
              <w:rPr>
                <w:rFonts w:eastAsia="Calibri"/>
                <w:color w:val="000000" w:themeColor="text1"/>
                <w:sz w:val="22"/>
                <w:szCs w:val="22"/>
              </w:rPr>
            </w:pPr>
            <w:r w:rsidRPr="00CF31E0">
              <w:rPr>
                <w:rFonts w:eastAsia="Calibri"/>
                <w:color w:val="000000" w:themeColor="text1"/>
                <w:sz w:val="22"/>
                <w:szCs w:val="22"/>
              </w:rPr>
              <w:t>11</w:t>
            </w:r>
          </w:p>
        </w:tc>
        <w:tc>
          <w:tcPr>
            <w:tcW w:w="709"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251A9B06"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.478</w:t>
            </w:r>
          </w:p>
        </w:tc>
        <w:tc>
          <w:tcPr>
            <w:tcW w:w="102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08B9F1BA"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3.186</w:t>
            </w:r>
          </w:p>
        </w:tc>
        <w:tc>
          <w:tcPr>
            <w:tcW w:w="127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607B170E"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89.846</w:t>
            </w:r>
          </w:p>
        </w:tc>
        <w:tc>
          <w:tcPr>
            <w:tcW w:w="708"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6D304D8C" w14:textId="77777777" w:rsidR="00A23C2A" w:rsidRPr="00CF31E0" w:rsidRDefault="00A23C2A" w:rsidP="001136D4">
            <w:pPr>
              <w:rPr>
                <w:rFonts w:eastAsia="Calibri"/>
                <w:color w:val="000000" w:themeColor="text1"/>
                <w:sz w:val="22"/>
                <w:szCs w:val="22"/>
              </w:rPr>
            </w:pPr>
          </w:p>
        </w:tc>
        <w:tc>
          <w:tcPr>
            <w:tcW w:w="1134"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711BEF6A" w14:textId="77777777" w:rsidR="00A23C2A" w:rsidRPr="00CF31E0" w:rsidRDefault="00A23C2A" w:rsidP="00A23C2A">
            <w:pPr>
              <w:rPr>
                <w:rFonts w:eastAsia="Calibri"/>
                <w:color w:val="000000" w:themeColor="text1"/>
                <w:sz w:val="22"/>
                <w:szCs w:val="22"/>
              </w:rPr>
            </w:pPr>
          </w:p>
        </w:tc>
        <w:tc>
          <w:tcPr>
            <w:tcW w:w="127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57BCA394" w14:textId="77777777" w:rsidR="00A23C2A" w:rsidRPr="00CF31E0" w:rsidRDefault="00A23C2A" w:rsidP="00A23C2A">
            <w:pPr>
              <w:rPr>
                <w:rFonts w:eastAsia="Calibri"/>
                <w:color w:val="000000" w:themeColor="text1"/>
                <w:sz w:val="22"/>
                <w:szCs w:val="22"/>
              </w:rPr>
            </w:pPr>
          </w:p>
        </w:tc>
        <w:tc>
          <w:tcPr>
            <w:tcW w:w="1134"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7ADC3828" w14:textId="77777777" w:rsidR="00A23C2A" w:rsidRPr="00CF31E0" w:rsidRDefault="00A23C2A" w:rsidP="00A23C2A">
            <w:pPr>
              <w:rPr>
                <w:rFonts w:eastAsia="Calibri"/>
                <w:color w:val="000000" w:themeColor="text1"/>
                <w:sz w:val="22"/>
                <w:szCs w:val="22"/>
              </w:rPr>
            </w:pPr>
          </w:p>
        </w:tc>
      </w:tr>
      <w:tr w:rsidR="00B05135" w:rsidRPr="00CF31E0" w14:paraId="6FDEB72C" w14:textId="77777777" w:rsidTr="004F45D7">
        <w:tblPrEx>
          <w:tblCellMar>
            <w:left w:w="0" w:type="dxa"/>
            <w:right w:w="0" w:type="dxa"/>
          </w:tblCellMar>
          <w:tblLook w:val="04A0" w:firstRow="1" w:lastRow="0" w:firstColumn="1" w:lastColumn="0" w:noHBand="0" w:noVBand="1"/>
        </w:tblPrEx>
        <w:tc>
          <w:tcPr>
            <w:tcW w:w="851" w:type="dxa"/>
            <w:tcBorders>
              <w:top w:val="single" w:sz="4" w:space="0" w:color="000000"/>
              <w:bottom w:val="single" w:sz="4" w:space="0" w:color="000000"/>
            </w:tcBorders>
            <w:shd w:val="clear" w:color="auto" w:fill="FFFFFF"/>
            <w:tcMar>
              <w:top w:w="0" w:type="dxa"/>
              <w:left w:w="75" w:type="dxa"/>
              <w:bottom w:w="0" w:type="dxa"/>
              <w:right w:w="75" w:type="dxa"/>
            </w:tcMar>
            <w:hideMark/>
          </w:tcPr>
          <w:p w14:paraId="17F790FB" w14:textId="77777777" w:rsidR="00A23C2A" w:rsidRPr="00CF31E0" w:rsidRDefault="00A23C2A" w:rsidP="00A23C2A">
            <w:pPr>
              <w:spacing w:line="240" w:lineRule="atLeast"/>
              <w:ind w:left="45"/>
              <w:rPr>
                <w:rFonts w:eastAsia="Calibri"/>
                <w:color w:val="000000" w:themeColor="text1"/>
                <w:sz w:val="22"/>
                <w:szCs w:val="22"/>
              </w:rPr>
            </w:pPr>
            <w:r w:rsidRPr="00CF31E0">
              <w:rPr>
                <w:rFonts w:eastAsia="Calibri"/>
                <w:color w:val="000000" w:themeColor="text1"/>
                <w:sz w:val="22"/>
                <w:szCs w:val="22"/>
              </w:rPr>
              <w:t>12</w:t>
            </w:r>
          </w:p>
        </w:tc>
        <w:tc>
          <w:tcPr>
            <w:tcW w:w="709"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0F819B45"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.440</w:t>
            </w:r>
          </w:p>
        </w:tc>
        <w:tc>
          <w:tcPr>
            <w:tcW w:w="102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7A2E4E60"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2.934</w:t>
            </w:r>
          </w:p>
        </w:tc>
        <w:tc>
          <w:tcPr>
            <w:tcW w:w="127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5D81AE70"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92.780</w:t>
            </w:r>
          </w:p>
        </w:tc>
        <w:tc>
          <w:tcPr>
            <w:tcW w:w="708"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530DD860" w14:textId="77777777" w:rsidR="00A23C2A" w:rsidRPr="00CF31E0" w:rsidRDefault="00A23C2A" w:rsidP="001136D4">
            <w:pPr>
              <w:rPr>
                <w:rFonts w:eastAsia="Calibri"/>
                <w:color w:val="000000" w:themeColor="text1"/>
                <w:sz w:val="22"/>
                <w:szCs w:val="22"/>
              </w:rPr>
            </w:pPr>
          </w:p>
        </w:tc>
        <w:tc>
          <w:tcPr>
            <w:tcW w:w="1134"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5532C4F9" w14:textId="77777777" w:rsidR="00A23C2A" w:rsidRPr="00CF31E0" w:rsidRDefault="00A23C2A" w:rsidP="00A23C2A">
            <w:pPr>
              <w:rPr>
                <w:rFonts w:eastAsia="Calibri"/>
                <w:color w:val="000000" w:themeColor="text1"/>
                <w:sz w:val="22"/>
                <w:szCs w:val="22"/>
              </w:rPr>
            </w:pPr>
          </w:p>
        </w:tc>
        <w:tc>
          <w:tcPr>
            <w:tcW w:w="127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17BB6617" w14:textId="77777777" w:rsidR="00A23C2A" w:rsidRPr="00CF31E0" w:rsidRDefault="00A23C2A" w:rsidP="00A23C2A">
            <w:pPr>
              <w:rPr>
                <w:rFonts w:eastAsia="Calibri"/>
                <w:color w:val="000000" w:themeColor="text1"/>
                <w:sz w:val="22"/>
                <w:szCs w:val="22"/>
              </w:rPr>
            </w:pPr>
          </w:p>
        </w:tc>
        <w:tc>
          <w:tcPr>
            <w:tcW w:w="1134"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0B484DD6" w14:textId="77777777" w:rsidR="00A23C2A" w:rsidRPr="00CF31E0" w:rsidRDefault="00A23C2A" w:rsidP="00A23C2A">
            <w:pPr>
              <w:rPr>
                <w:rFonts w:eastAsia="Calibri"/>
                <w:color w:val="000000" w:themeColor="text1"/>
                <w:sz w:val="22"/>
                <w:szCs w:val="22"/>
              </w:rPr>
            </w:pPr>
          </w:p>
        </w:tc>
      </w:tr>
      <w:tr w:rsidR="00B05135" w:rsidRPr="00CF31E0" w14:paraId="20CBCB39" w14:textId="77777777" w:rsidTr="004F45D7">
        <w:tblPrEx>
          <w:tblCellMar>
            <w:left w:w="0" w:type="dxa"/>
            <w:right w:w="0" w:type="dxa"/>
          </w:tblCellMar>
          <w:tblLook w:val="04A0" w:firstRow="1" w:lastRow="0" w:firstColumn="1" w:lastColumn="0" w:noHBand="0" w:noVBand="1"/>
        </w:tblPrEx>
        <w:tc>
          <w:tcPr>
            <w:tcW w:w="851" w:type="dxa"/>
            <w:tcBorders>
              <w:top w:val="single" w:sz="4" w:space="0" w:color="000000"/>
              <w:bottom w:val="single" w:sz="4" w:space="0" w:color="000000"/>
            </w:tcBorders>
            <w:shd w:val="clear" w:color="auto" w:fill="FFFFFF"/>
            <w:tcMar>
              <w:top w:w="0" w:type="dxa"/>
              <w:left w:w="75" w:type="dxa"/>
              <w:bottom w:w="0" w:type="dxa"/>
              <w:right w:w="75" w:type="dxa"/>
            </w:tcMar>
            <w:hideMark/>
          </w:tcPr>
          <w:p w14:paraId="4E26082C" w14:textId="77777777" w:rsidR="00A23C2A" w:rsidRPr="00CF31E0" w:rsidRDefault="00A23C2A" w:rsidP="00A23C2A">
            <w:pPr>
              <w:spacing w:line="240" w:lineRule="atLeast"/>
              <w:ind w:left="45"/>
              <w:rPr>
                <w:rFonts w:eastAsia="Calibri"/>
                <w:color w:val="000000" w:themeColor="text1"/>
                <w:sz w:val="22"/>
                <w:szCs w:val="22"/>
              </w:rPr>
            </w:pPr>
            <w:r w:rsidRPr="00CF31E0">
              <w:rPr>
                <w:rFonts w:eastAsia="Calibri"/>
                <w:color w:val="000000" w:themeColor="text1"/>
                <w:sz w:val="22"/>
                <w:szCs w:val="22"/>
              </w:rPr>
              <w:lastRenderedPageBreak/>
              <w:t>13</w:t>
            </w:r>
          </w:p>
        </w:tc>
        <w:tc>
          <w:tcPr>
            <w:tcW w:w="709"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24145D1F"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.399</w:t>
            </w:r>
          </w:p>
        </w:tc>
        <w:tc>
          <w:tcPr>
            <w:tcW w:w="102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3C453FA2"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2.661</w:t>
            </w:r>
          </w:p>
        </w:tc>
        <w:tc>
          <w:tcPr>
            <w:tcW w:w="127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47A70DBB"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95.441</w:t>
            </w:r>
          </w:p>
        </w:tc>
        <w:tc>
          <w:tcPr>
            <w:tcW w:w="708"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6EC69DA4" w14:textId="77777777" w:rsidR="00A23C2A" w:rsidRPr="00CF31E0" w:rsidRDefault="00A23C2A" w:rsidP="001136D4">
            <w:pPr>
              <w:rPr>
                <w:rFonts w:eastAsia="Calibri"/>
                <w:color w:val="000000" w:themeColor="text1"/>
                <w:sz w:val="22"/>
                <w:szCs w:val="22"/>
              </w:rPr>
            </w:pPr>
          </w:p>
        </w:tc>
        <w:tc>
          <w:tcPr>
            <w:tcW w:w="1134"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549A8D32" w14:textId="77777777" w:rsidR="00A23C2A" w:rsidRPr="00CF31E0" w:rsidRDefault="00A23C2A" w:rsidP="00A23C2A">
            <w:pPr>
              <w:rPr>
                <w:rFonts w:eastAsia="Calibri"/>
                <w:color w:val="000000" w:themeColor="text1"/>
                <w:sz w:val="22"/>
                <w:szCs w:val="22"/>
              </w:rPr>
            </w:pPr>
          </w:p>
        </w:tc>
        <w:tc>
          <w:tcPr>
            <w:tcW w:w="127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4827914D" w14:textId="77777777" w:rsidR="00A23C2A" w:rsidRPr="00CF31E0" w:rsidRDefault="00A23C2A" w:rsidP="00A23C2A">
            <w:pPr>
              <w:rPr>
                <w:rFonts w:eastAsia="Calibri"/>
                <w:color w:val="000000" w:themeColor="text1"/>
                <w:sz w:val="22"/>
                <w:szCs w:val="22"/>
              </w:rPr>
            </w:pPr>
          </w:p>
        </w:tc>
        <w:tc>
          <w:tcPr>
            <w:tcW w:w="1134"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30FE2485" w14:textId="77777777" w:rsidR="00A23C2A" w:rsidRPr="00CF31E0" w:rsidRDefault="00A23C2A" w:rsidP="00A23C2A">
            <w:pPr>
              <w:rPr>
                <w:rFonts w:eastAsia="Calibri"/>
                <w:color w:val="000000" w:themeColor="text1"/>
                <w:sz w:val="22"/>
                <w:szCs w:val="22"/>
              </w:rPr>
            </w:pPr>
          </w:p>
        </w:tc>
      </w:tr>
      <w:tr w:rsidR="00B05135" w:rsidRPr="00CF31E0" w14:paraId="100E10C4" w14:textId="77777777" w:rsidTr="004F45D7">
        <w:tblPrEx>
          <w:tblCellMar>
            <w:left w:w="0" w:type="dxa"/>
            <w:right w:w="0" w:type="dxa"/>
          </w:tblCellMar>
          <w:tblLook w:val="04A0" w:firstRow="1" w:lastRow="0" w:firstColumn="1" w:lastColumn="0" w:noHBand="0" w:noVBand="1"/>
        </w:tblPrEx>
        <w:tc>
          <w:tcPr>
            <w:tcW w:w="851" w:type="dxa"/>
            <w:tcBorders>
              <w:top w:val="single" w:sz="4" w:space="0" w:color="000000"/>
              <w:bottom w:val="single" w:sz="4" w:space="0" w:color="000000"/>
            </w:tcBorders>
            <w:shd w:val="clear" w:color="auto" w:fill="FFFFFF"/>
            <w:tcMar>
              <w:top w:w="0" w:type="dxa"/>
              <w:left w:w="75" w:type="dxa"/>
              <w:bottom w:w="0" w:type="dxa"/>
              <w:right w:w="75" w:type="dxa"/>
            </w:tcMar>
            <w:hideMark/>
          </w:tcPr>
          <w:p w14:paraId="4540196E" w14:textId="77777777" w:rsidR="00A23C2A" w:rsidRPr="00CF31E0" w:rsidRDefault="00A23C2A" w:rsidP="00A23C2A">
            <w:pPr>
              <w:spacing w:line="240" w:lineRule="atLeast"/>
              <w:ind w:left="45"/>
              <w:rPr>
                <w:rFonts w:eastAsia="Calibri"/>
                <w:color w:val="000000" w:themeColor="text1"/>
                <w:sz w:val="22"/>
                <w:szCs w:val="22"/>
              </w:rPr>
            </w:pPr>
            <w:r w:rsidRPr="00CF31E0">
              <w:rPr>
                <w:rFonts w:eastAsia="Calibri"/>
                <w:color w:val="000000" w:themeColor="text1"/>
                <w:sz w:val="22"/>
                <w:szCs w:val="22"/>
              </w:rPr>
              <w:t>14</w:t>
            </w:r>
          </w:p>
        </w:tc>
        <w:tc>
          <w:tcPr>
            <w:tcW w:w="709"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471C74FD"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.351</w:t>
            </w:r>
          </w:p>
        </w:tc>
        <w:tc>
          <w:tcPr>
            <w:tcW w:w="102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29C0FA8F"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2.343</w:t>
            </w:r>
          </w:p>
        </w:tc>
        <w:tc>
          <w:tcPr>
            <w:tcW w:w="127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6B5901F5"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97.784</w:t>
            </w:r>
          </w:p>
        </w:tc>
        <w:tc>
          <w:tcPr>
            <w:tcW w:w="708"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50AD152E" w14:textId="77777777" w:rsidR="00A23C2A" w:rsidRPr="00CF31E0" w:rsidRDefault="00A23C2A" w:rsidP="001136D4">
            <w:pPr>
              <w:rPr>
                <w:rFonts w:eastAsia="Calibri"/>
                <w:color w:val="000000" w:themeColor="text1"/>
                <w:sz w:val="22"/>
                <w:szCs w:val="22"/>
              </w:rPr>
            </w:pPr>
          </w:p>
        </w:tc>
        <w:tc>
          <w:tcPr>
            <w:tcW w:w="1134"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1B12653F" w14:textId="77777777" w:rsidR="00A23C2A" w:rsidRPr="00CF31E0" w:rsidRDefault="00A23C2A" w:rsidP="00A23C2A">
            <w:pPr>
              <w:rPr>
                <w:rFonts w:eastAsia="Calibri"/>
                <w:color w:val="000000" w:themeColor="text1"/>
                <w:sz w:val="22"/>
                <w:szCs w:val="22"/>
              </w:rPr>
            </w:pPr>
          </w:p>
        </w:tc>
        <w:tc>
          <w:tcPr>
            <w:tcW w:w="1276"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2BC2EC11" w14:textId="77777777" w:rsidR="00A23C2A" w:rsidRPr="00CF31E0" w:rsidRDefault="00A23C2A" w:rsidP="00A23C2A">
            <w:pPr>
              <w:rPr>
                <w:rFonts w:eastAsia="Calibri"/>
                <w:color w:val="000000" w:themeColor="text1"/>
                <w:sz w:val="22"/>
                <w:szCs w:val="22"/>
              </w:rPr>
            </w:pPr>
          </w:p>
        </w:tc>
        <w:tc>
          <w:tcPr>
            <w:tcW w:w="1134" w:type="dxa"/>
            <w:tcBorders>
              <w:top w:val="single" w:sz="4" w:space="0" w:color="000000"/>
              <w:bottom w:val="single" w:sz="4" w:space="0" w:color="000000"/>
            </w:tcBorders>
            <w:shd w:val="clear" w:color="auto" w:fill="FFFFFF"/>
            <w:tcMar>
              <w:top w:w="0" w:type="dxa"/>
              <w:left w:w="75" w:type="dxa"/>
              <w:bottom w:w="0" w:type="dxa"/>
              <w:right w:w="75" w:type="dxa"/>
            </w:tcMar>
            <w:vAlign w:val="center"/>
            <w:hideMark/>
          </w:tcPr>
          <w:p w14:paraId="6FE71B45" w14:textId="77777777" w:rsidR="00A23C2A" w:rsidRPr="00CF31E0" w:rsidRDefault="00A23C2A" w:rsidP="00A23C2A">
            <w:pPr>
              <w:rPr>
                <w:rFonts w:eastAsia="Calibri"/>
                <w:color w:val="000000" w:themeColor="text1"/>
                <w:sz w:val="22"/>
                <w:szCs w:val="22"/>
              </w:rPr>
            </w:pPr>
          </w:p>
        </w:tc>
      </w:tr>
      <w:tr w:rsidR="00B05135" w:rsidRPr="00CF31E0" w14:paraId="6E0CBFEC" w14:textId="77777777" w:rsidTr="004F45D7">
        <w:tblPrEx>
          <w:tblCellMar>
            <w:left w:w="0" w:type="dxa"/>
            <w:right w:w="0" w:type="dxa"/>
          </w:tblCellMar>
          <w:tblLook w:val="04A0" w:firstRow="1" w:lastRow="0" w:firstColumn="1" w:lastColumn="0" w:noHBand="0" w:noVBand="1"/>
        </w:tblPrEx>
        <w:tc>
          <w:tcPr>
            <w:tcW w:w="851" w:type="dxa"/>
            <w:tcBorders>
              <w:top w:val="single" w:sz="4" w:space="0" w:color="000000"/>
              <w:bottom w:val="single" w:sz="8" w:space="0" w:color="000000"/>
            </w:tcBorders>
            <w:shd w:val="clear" w:color="auto" w:fill="FFFFFF"/>
            <w:tcMar>
              <w:top w:w="0" w:type="dxa"/>
              <w:left w:w="75" w:type="dxa"/>
              <w:bottom w:w="0" w:type="dxa"/>
              <w:right w:w="75" w:type="dxa"/>
            </w:tcMar>
            <w:hideMark/>
          </w:tcPr>
          <w:p w14:paraId="06A5FBDC" w14:textId="77777777" w:rsidR="00A23C2A" w:rsidRPr="00CF31E0" w:rsidRDefault="00A23C2A" w:rsidP="00A23C2A">
            <w:pPr>
              <w:spacing w:line="240" w:lineRule="atLeast"/>
              <w:ind w:left="45"/>
              <w:rPr>
                <w:rFonts w:eastAsia="Calibri"/>
                <w:color w:val="000000" w:themeColor="text1"/>
                <w:sz w:val="22"/>
                <w:szCs w:val="22"/>
              </w:rPr>
            </w:pPr>
            <w:r w:rsidRPr="00CF31E0">
              <w:rPr>
                <w:rFonts w:eastAsia="Calibri"/>
                <w:color w:val="000000" w:themeColor="text1"/>
                <w:sz w:val="22"/>
                <w:szCs w:val="22"/>
              </w:rPr>
              <w:t>15</w:t>
            </w:r>
          </w:p>
        </w:tc>
        <w:tc>
          <w:tcPr>
            <w:tcW w:w="709" w:type="dxa"/>
            <w:tcBorders>
              <w:top w:val="single" w:sz="4" w:space="0" w:color="000000"/>
              <w:bottom w:val="single" w:sz="8" w:space="0" w:color="000000"/>
            </w:tcBorders>
            <w:shd w:val="clear" w:color="auto" w:fill="FFFFFF"/>
            <w:tcMar>
              <w:top w:w="0" w:type="dxa"/>
              <w:left w:w="75" w:type="dxa"/>
              <w:bottom w:w="0" w:type="dxa"/>
              <w:right w:w="75" w:type="dxa"/>
            </w:tcMar>
            <w:vAlign w:val="center"/>
            <w:hideMark/>
          </w:tcPr>
          <w:p w14:paraId="28BBD36E"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.332</w:t>
            </w:r>
          </w:p>
        </w:tc>
        <w:tc>
          <w:tcPr>
            <w:tcW w:w="1026" w:type="dxa"/>
            <w:tcBorders>
              <w:top w:val="single" w:sz="4" w:space="0" w:color="000000"/>
              <w:bottom w:val="single" w:sz="8" w:space="0" w:color="000000"/>
            </w:tcBorders>
            <w:shd w:val="clear" w:color="auto" w:fill="FFFFFF"/>
            <w:tcMar>
              <w:top w:w="0" w:type="dxa"/>
              <w:left w:w="75" w:type="dxa"/>
              <w:bottom w:w="0" w:type="dxa"/>
              <w:right w:w="75" w:type="dxa"/>
            </w:tcMar>
            <w:vAlign w:val="center"/>
            <w:hideMark/>
          </w:tcPr>
          <w:p w14:paraId="48AAF8C1"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2.216</w:t>
            </w:r>
          </w:p>
        </w:tc>
        <w:tc>
          <w:tcPr>
            <w:tcW w:w="1276" w:type="dxa"/>
            <w:tcBorders>
              <w:top w:val="single" w:sz="4" w:space="0" w:color="000000"/>
              <w:bottom w:val="single" w:sz="8" w:space="0" w:color="000000"/>
            </w:tcBorders>
            <w:shd w:val="clear" w:color="auto" w:fill="FFFFFF"/>
            <w:tcMar>
              <w:top w:w="0" w:type="dxa"/>
              <w:left w:w="75" w:type="dxa"/>
              <w:bottom w:w="0" w:type="dxa"/>
              <w:right w:w="75" w:type="dxa"/>
            </w:tcMar>
            <w:vAlign w:val="center"/>
            <w:hideMark/>
          </w:tcPr>
          <w:p w14:paraId="6215DD20" w14:textId="77777777" w:rsidR="00A23C2A" w:rsidRPr="00CF31E0" w:rsidRDefault="00A23C2A" w:rsidP="001136D4">
            <w:pPr>
              <w:spacing w:line="240" w:lineRule="atLeast"/>
              <w:ind w:left="45"/>
              <w:rPr>
                <w:rFonts w:eastAsia="Calibri"/>
                <w:color w:val="000000" w:themeColor="text1"/>
                <w:sz w:val="22"/>
                <w:szCs w:val="22"/>
              </w:rPr>
            </w:pPr>
            <w:r w:rsidRPr="00CF31E0">
              <w:rPr>
                <w:rFonts w:eastAsia="Calibri"/>
                <w:color w:val="000000" w:themeColor="text1"/>
                <w:sz w:val="22"/>
                <w:szCs w:val="22"/>
              </w:rPr>
              <w:t>100.000</w:t>
            </w:r>
          </w:p>
        </w:tc>
        <w:tc>
          <w:tcPr>
            <w:tcW w:w="708" w:type="dxa"/>
            <w:tcBorders>
              <w:top w:val="single" w:sz="4" w:space="0" w:color="000000"/>
              <w:bottom w:val="single" w:sz="8" w:space="0" w:color="000000"/>
            </w:tcBorders>
            <w:shd w:val="clear" w:color="auto" w:fill="FFFFFF"/>
            <w:tcMar>
              <w:top w:w="0" w:type="dxa"/>
              <w:left w:w="75" w:type="dxa"/>
              <w:bottom w:w="0" w:type="dxa"/>
              <w:right w:w="75" w:type="dxa"/>
            </w:tcMar>
            <w:vAlign w:val="center"/>
            <w:hideMark/>
          </w:tcPr>
          <w:p w14:paraId="7BD10CBB" w14:textId="77777777" w:rsidR="00A23C2A" w:rsidRPr="00CF31E0" w:rsidRDefault="00A23C2A" w:rsidP="001136D4">
            <w:pPr>
              <w:rPr>
                <w:rFonts w:eastAsia="Calibri"/>
                <w:color w:val="000000" w:themeColor="text1"/>
                <w:sz w:val="22"/>
                <w:szCs w:val="22"/>
              </w:rPr>
            </w:pPr>
          </w:p>
        </w:tc>
        <w:tc>
          <w:tcPr>
            <w:tcW w:w="1134" w:type="dxa"/>
            <w:tcBorders>
              <w:top w:val="single" w:sz="4" w:space="0" w:color="000000"/>
              <w:bottom w:val="single" w:sz="8" w:space="0" w:color="000000"/>
            </w:tcBorders>
            <w:shd w:val="clear" w:color="auto" w:fill="FFFFFF"/>
            <w:tcMar>
              <w:top w:w="0" w:type="dxa"/>
              <w:left w:w="75" w:type="dxa"/>
              <w:bottom w:w="0" w:type="dxa"/>
              <w:right w:w="75" w:type="dxa"/>
            </w:tcMar>
            <w:vAlign w:val="center"/>
            <w:hideMark/>
          </w:tcPr>
          <w:p w14:paraId="1DE268A8" w14:textId="77777777" w:rsidR="00A23C2A" w:rsidRPr="00CF31E0" w:rsidRDefault="00A23C2A" w:rsidP="00A23C2A">
            <w:pPr>
              <w:rPr>
                <w:rFonts w:eastAsia="Calibri"/>
                <w:color w:val="000000" w:themeColor="text1"/>
                <w:sz w:val="22"/>
                <w:szCs w:val="22"/>
              </w:rPr>
            </w:pPr>
          </w:p>
        </w:tc>
        <w:tc>
          <w:tcPr>
            <w:tcW w:w="1276" w:type="dxa"/>
            <w:tcBorders>
              <w:top w:val="single" w:sz="4" w:space="0" w:color="000000"/>
              <w:bottom w:val="single" w:sz="8" w:space="0" w:color="000000"/>
            </w:tcBorders>
            <w:shd w:val="clear" w:color="auto" w:fill="FFFFFF"/>
            <w:tcMar>
              <w:top w:w="0" w:type="dxa"/>
              <w:left w:w="75" w:type="dxa"/>
              <w:bottom w:w="0" w:type="dxa"/>
              <w:right w:w="75" w:type="dxa"/>
            </w:tcMar>
            <w:vAlign w:val="center"/>
            <w:hideMark/>
          </w:tcPr>
          <w:p w14:paraId="11D5BF23" w14:textId="77777777" w:rsidR="00A23C2A" w:rsidRPr="00CF31E0" w:rsidRDefault="00A23C2A" w:rsidP="00A23C2A">
            <w:pPr>
              <w:rPr>
                <w:rFonts w:eastAsia="Calibri"/>
                <w:color w:val="000000" w:themeColor="text1"/>
                <w:sz w:val="22"/>
                <w:szCs w:val="22"/>
              </w:rPr>
            </w:pPr>
          </w:p>
        </w:tc>
        <w:tc>
          <w:tcPr>
            <w:tcW w:w="1134" w:type="dxa"/>
            <w:tcBorders>
              <w:top w:val="single" w:sz="4" w:space="0" w:color="000000"/>
              <w:bottom w:val="single" w:sz="8" w:space="0" w:color="000000"/>
            </w:tcBorders>
            <w:shd w:val="clear" w:color="auto" w:fill="FFFFFF"/>
            <w:tcMar>
              <w:top w:w="0" w:type="dxa"/>
              <w:left w:w="75" w:type="dxa"/>
              <w:bottom w:w="0" w:type="dxa"/>
              <w:right w:w="75" w:type="dxa"/>
            </w:tcMar>
            <w:vAlign w:val="center"/>
            <w:hideMark/>
          </w:tcPr>
          <w:p w14:paraId="50126DD7" w14:textId="77777777" w:rsidR="00A23C2A" w:rsidRPr="00CF31E0" w:rsidRDefault="00A23C2A" w:rsidP="00A23C2A">
            <w:pPr>
              <w:rPr>
                <w:rFonts w:eastAsia="Calibri"/>
                <w:color w:val="000000" w:themeColor="text1"/>
                <w:sz w:val="22"/>
                <w:szCs w:val="22"/>
              </w:rPr>
            </w:pPr>
          </w:p>
        </w:tc>
      </w:tr>
    </w:tbl>
    <w:p w14:paraId="7A2BB35F" w14:textId="3AC0B436" w:rsidR="00A23C2A" w:rsidRPr="00CF31E0" w:rsidRDefault="00A23C2A" w:rsidP="007F6C6D">
      <w:pPr>
        <w:pStyle w:val="Tablecaption"/>
        <w:rPr>
          <w:lang w:eastAsia="zh-CN"/>
        </w:rPr>
      </w:pPr>
      <w:bookmarkStart w:id="650" w:name="_Toc522527448"/>
      <w:bookmarkStart w:id="651" w:name="_Toc522628860"/>
      <w:bookmarkStart w:id="652" w:name="_Toc522629024"/>
      <w:bookmarkStart w:id="653" w:name="_Toc6473121"/>
      <w:r w:rsidRPr="00CF31E0">
        <w:rPr>
          <w:lang w:eastAsia="zh-CN"/>
        </w:rPr>
        <w:t xml:space="preserve">Table </w:t>
      </w:r>
      <w:r w:rsidR="007F6C6D" w:rsidRPr="00CF31E0">
        <w:rPr>
          <w:lang w:eastAsia="zh-CN"/>
        </w:rPr>
        <w:t>9</w:t>
      </w:r>
      <w:r w:rsidR="000D1F73" w:rsidRPr="00CF31E0">
        <w:rPr>
          <w:lang w:eastAsia="zh-CN"/>
        </w:rPr>
        <w:t>.</w:t>
      </w:r>
      <w:r w:rsidR="00CF3993" w:rsidRPr="00CF31E0">
        <w:rPr>
          <w:lang w:eastAsia="zh-CN"/>
        </w:rPr>
        <w:t>12</w:t>
      </w:r>
      <w:r w:rsidRPr="00CF31E0">
        <w:rPr>
          <w:lang w:eastAsia="zh-CN"/>
        </w:rPr>
        <w:t>: Total variance explained.</w:t>
      </w:r>
      <w:bookmarkEnd w:id="650"/>
      <w:bookmarkEnd w:id="651"/>
      <w:bookmarkEnd w:id="652"/>
      <w:bookmarkEnd w:id="653"/>
      <w:r w:rsidRPr="00CF31E0">
        <w:rPr>
          <w:lang w:eastAsia="zh-CN"/>
        </w:rPr>
        <w:t xml:space="preserve"> </w:t>
      </w:r>
    </w:p>
    <w:p w14:paraId="03A81FF4" w14:textId="0DCE4580" w:rsidR="00144854" w:rsidRPr="00CF31E0" w:rsidRDefault="00A23C2A" w:rsidP="00603CB7">
      <w:pPr>
        <w:pStyle w:val="Paragraph"/>
        <w:rPr>
          <w:lang w:eastAsia="zh-CN"/>
        </w:rPr>
      </w:pPr>
      <w:r w:rsidRPr="00CF31E0">
        <w:rPr>
          <w:lang w:eastAsia="zh-CN"/>
        </w:rPr>
        <w:t xml:space="preserve">As can be seen from Table </w:t>
      </w:r>
      <w:r w:rsidR="007F6C6D" w:rsidRPr="00CF31E0">
        <w:rPr>
          <w:lang w:eastAsia="zh-CN"/>
        </w:rPr>
        <w:t>9</w:t>
      </w:r>
      <w:r w:rsidR="000D1F73" w:rsidRPr="00CF31E0">
        <w:rPr>
          <w:lang w:eastAsia="zh-CN"/>
        </w:rPr>
        <w:t>.</w:t>
      </w:r>
      <w:r w:rsidR="00CF3993" w:rsidRPr="00CF31E0">
        <w:rPr>
          <w:lang w:eastAsia="zh-CN"/>
        </w:rPr>
        <w:t>12</w:t>
      </w:r>
      <w:r w:rsidR="000D1F73" w:rsidRPr="00CF31E0">
        <w:rPr>
          <w:lang w:eastAsia="zh-CN"/>
        </w:rPr>
        <w:t xml:space="preserve"> </w:t>
      </w:r>
      <w:r w:rsidRPr="00CF31E0">
        <w:rPr>
          <w:lang w:eastAsia="zh-CN"/>
        </w:rPr>
        <w:t xml:space="preserve">above, the cumulative variance of the two factors is 41.169%, which is an acceptable value. Pallant (2013) recommends that the shared value is better when it is above 40%. This means that the value of shared variance for the current data is statistically acceptable. </w:t>
      </w:r>
    </w:p>
    <w:p w14:paraId="3AE75B2D" w14:textId="48FDA638" w:rsidR="00A23C2A" w:rsidRPr="00CF31E0" w:rsidRDefault="00144854" w:rsidP="00603CB7">
      <w:pPr>
        <w:pStyle w:val="Paragraph"/>
        <w:rPr>
          <w:lang w:eastAsia="zh-CN"/>
        </w:rPr>
      </w:pPr>
      <w:r w:rsidRPr="00CF31E0">
        <w:rPr>
          <w:lang w:eastAsia="zh-CN"/>
        </w:rPr>
        <w:t xml:space="preserve">The </w:t>
      </w:r>
      <w:r w:rsidR="00A23C2A" w:rsidRPr="00CF31E0">
        <w:rPr>
          <w:lang w:eastAsia="zh-CN"/>
        </w:rPr>
        <w:t>two-factor components</w:t>
      </w:r>
      <w:r w:rsidRPr="00CF31E0">
        <w:rPr>
          <w:lang w:eastAsia="zh-CN"/>
        </w:rPr>
        <w:t xml:space="preserve"> arrived at following</w:t>
      </w:r>
      <w:r w:rsidRPr="00CF31E0">
        <w:t xml:space="preserve"> a</w:t>
      </w:r>
      <w:r w:rsidRPr="00CF31E0">
        <w:rPr>
          <w:lang w:eastAsia="zh-CN"/>
        </w:rPr>
        <w:t xml:space="preserve">ll of the steps and decisions discussed above can be found in in </w:t>
      </w:r>
      <w:r w:rsidR="009D542D" w:rsidRPr="00CF31E0">
        <w:rPr>
          <w:lang w:eastAsia="zh-CN"/>
        </w:rPr>
        <w:t>T</w:t>
      </w:r>
      <w:r w:rsidRPr="00CF31E0">
        <w:rPr>
          <w:lang w:eastAsia="zh-CN"/>
        </w:rPr>
        <w:t xml:space="preserve">ables </w:t>
      </w:r>
      <w:r w:rsidR="007F6C6D" w:rsidRPr="00CF31E0">
        <w:rPr>
          <w:lang w:eastAsia="zh-CN"/>
        </w:rPr>
        <w:t>9</w:t>
      </w:r>
      <w:r w:rsidRPr="00CF31E0">
        <w:rPr>
          <w:lang w:eastAsia="zh-CN"/>
        </w:rPr>
        <w:t xml:space="preserve">.13 and </w:t>
      </w:r>
      <w:r w:rsidR="007F6C6D" w:rsidRPr="00CF31E0">
        <w:rPr>
          <w:lang w:eastAsia="zh-CN"/>
        </w:rPr>
        <w:t>9</w:t>
      </w:r>
      <w:r w:rsidRPr="00CF31E0">
        <w:rPr>
          <w:lang w:eastAsia="zh-CN"/>
        </w:rPr>
        <w:t xml:space="preserve">.14 below. </w:t>
      </w:r>
      <w:r w:rsidR="00A23C2A" w:rsidRPr="00CF31E0">
        <w:rPr>
          <w:lang w:eastAsia="zh-CN"/>
        </w:rPr>
        <w:t xml:space="preserve">Two tables are </w:t>
      </w:r>
      <w:r w:rsidRPr="00CF31E0">
        <w:rPr>
          <w:lang w:eastAsia="zh-CN"/>
        </w:rPr>
        <w:t xml:space="preserve">presented at this </w:t>
      </w:r>
      <w:r w:rsidR="00A23C2A" w:rsidRPr="00CF31E0">
        <w:rPr>
          <w:lang w:eastAsia="zh-CN"/>
        </w:rPr>
        <w:t>stage; one</w:t>
      </w:r>
      <w:r w:rsidRPr="00CF31E0">
        <w:rPr>
          <w:lang w:eastAsia="zh-CN"/>
        </w:rPr>
        <w:t xml:space="preserve"> (</w:t>
      </w:r>
      <w:r w:rsidR="009D542D" w:rsidRPr="00CF31E0">
        <w:rPr>
          <w:lang w:eastAsia="zh-CN"/>
        </w:rPr>
        <w:t>T</w:t>
      </w:r>
      <w:r w:rsidRPr="00CF31E0">
        <w:rPr>
          <w:lang w:eastAsia="zh-CN"/>
        </w:rPr>
        <w:t xml:space="preserve">able </w:t>
      </w:r>
      <w:r w:rsidR="007F6C6D" w:rsidRPr="00CF31E0">
        <w:rPr>
          <w:lang w:eastAsia="zh-CN"/>
        </w:rPr>
        <w:t>9</w:t>
      </w:r>
      <w:r w:rsidRPr="00CF31E0">
        <w:rPr>
          <w:lang w:eastAsia="zh-CN"/>
        </w:rPr>
        <w:t>.13)</w:t>
      </w:r>
      <w:r w:rsidR="00A23C2A" w:rsidRPr="00CF31E0">
        <w:rPr>
          <w:lang w:eastAsia="zh-CN"/>
        </w:rPr>
        <w:t xml:space="preserve"> gives the initial factor results before rotation; and the other</w:t>
      </w:r>
      <w:r w:rsidRPr="00CF31E0">
        <w:rPr>
          <w:lang w:eastAsia="zh-CN"/>
        </w:rPr>
        <w:t xml:space="preserve"> (</w:t>
      </w:r>
      <w:r w:rsidR="009D542D" w:rsidRPr="00CF31E0">
        <w:rPr>
          <w:lang w:eastAsia="zh-CN"/>
        </w:rPr>
        <w:t>T</w:t>
      </w:r>
      <w:r w:rsidRPr="00CF31E0">
        <w:rPr>
          <w:lang w:eastAsia="zh-CN"/>
        </w:rPr>
        <w:t xml:space="preserve">able </w:t>
      </w:r>
      <w:r w:rsidR="007F6C6D" w:rsidRPr="00CF31E0">
        <w:rPr>
          <w:lang w:eastAsia="zh-CN"/>
        </w:rPr>
        <w:t>9</w:t>
      </w:r>
      <w:r w:rsidRPr="00CF31E0">
        <w:rPr>
          <w:lang w:eastAsia="zh-CN"/>
        </w:rPr>
        <w:t>.14)</w:t>
      </w:r>
      <w:r w:rsidR="00A23C2A" w:rsidRPr="00CF31E0">
        <w:rPr>
          <w:lang w:eastAsia="zh-CN"/>
        </w:rPr>
        <w:t xml:space="preserve"> gives the results after rotation.</w:t>
      </w:r>
    </w:p>
    <w:tbl>
      <w:tblPr>
        <w:tblW w:w="7371" w:type="dxa"/>
        <w:tblLayout w:type="fixed"/>
        <w:tblCellMar>
          <w:left w:w="0" w:type="dxa"/>
          <w:right w:w="0" w:type="dxa"/>
        </w:tblCellMar>
        <w:tblLook w:val="04A0" w:firstRow="1" w:lastRow="0" w:firstColumn="1" w:lastColumn="0" w:noHBand="0" w:noVBand="1"/>
      </w:tblPr>
      <w:tblGrid>
        <w:gridCol w:w="3245"/>
        <w:gridCol w:w="2425"/>
        <w:gridCol w:w="1701"/>
      </w:tblGrid>
      <w:tr w:rsidR="0046507D" w:rsidRPr="00CF31E0" w14:paraId="229654F8" w14:textId="77777777" w:rsidTr="00603CB7">
        <w:trPr>
          <w:cantSplit/>
        </w:trPr>
        <w:tc>
          <w:tcPr>
            <w:tcW w:w="3245" w:type="dxa"/>
            <w:tcBorders>
              <w:top w:val="single" w:sz="8" w:space="0" w:color="000000"/>
            </w:tcBorders>
            <w:shd w:val="clear" w:color="auto" w:fill="FFFFFF"/>
            <w:vAlign w:val="bottom"/>
          </w:tcPr>
          <w:p w14:paraId="77AAC678" w14:textId="77777777" w:rsidR="0046507D" w:rsidRPr="00CF31E0" w:rsidRDefault="0046507D" w:rsidP="00603CB7">
            <w:pPr>
              <w:widowControl w:val="0"/>
              <w:autoSpaceDE w:val="0"/>
              <w:autoSpaceDN w:val="0"/>
              <w:adjustRightInd w:val="0"/>
              <w:spacing w:before="120" w:after="120"/>
              <w:jc w:val="both"/>
              <w:rPr>
                <w:rFonts w:eastAsia="Times New Roman"/>
                <w:color w:val="000000" w:themeColor="text1"/>
                <w:sz w:val="22"/>
                <w:szCs w:val="22"/>
                <w:lang w:eastAsia="zh-CN"/>
              </w:rPr>
            </w:pPr>
          </w:p>
        </w:tc>
        <w:tc>
          <w:tcPr>
            <w:tcW w:w="4126" w:type="dxa"/>
            <w:gridSpan w:val="2"/>
            <w:tcBorders>
              <w:top w:val="single" w:sz="8" w:space="0" w:color="000000"/>
            </w:tcBorders>
            <w:shd w:val="clear" w:color="auto" w:fill="FFFFFF"/>
            <w:vAlign w:val="bottom"/>
          </w:tcPr>
          <w:p w14:paraId="4E29545D" w14:textId="282D9C5F" w:rsidR="0046507D" w:rsidRPr="00CF31E0" w:rsidRDefault="0046507D" w:rsidP="00603CB7">
            <w:pPr>
              <w:widowControl w:val="0"/>
              <w:autoSpaceDE w:val="0"/>
              <w:autoSpaceDN w:val="0"/>
              <w:adjustRightInd w:val="0"/>
              <w:spacing w:before="120" w:after="120"/>
              <w:ind w:left="60" w:right="60"/>
              <w:jc w:val="center"/>
              <w:rPr>
                <w:rFonts w:eastAsia="Times New Roman"/>
                <w:color w:val="000000" w:themeColor="text1"/>
                <w:sz w:val="22"/>
                <w:szCs w:val="22"/>
                <w:lang w:eastAsia="zh-CN"/>
              </w:rPr>
            </w:pPr>
            <w:r w:rsidRPr="00CF31E0">
              <w:rPr>
                <w:rFonts w:eastAsia="Times New Roman"/>
                <w:color w:val="000000" w:themeColor="text1"/>
                <w:sz w:val="22"/>
                <w:szCs w:val="22"/>
                <w:lang w:eastAsia="zh-CN"/>
              </w:rPr>
              <w:t>Factor</w:t>
            </w:r>
          </w:p>
        </w:tc>
      </w:tr>
      <w:tr w:rsidR="0046507D" w:rsidRPr="00CF31E0" w14:paraId="6D95828B" w14:textId="77777777" w:rsidTr="00603CB7">
        <w:trPr>
          <w:cantSplit/>
        </w:trPr>
        <w:tc>
          <w:tcPr>
            <w:tcW w:w="3245" w:type="dxa"/>
            <w:tcBorders>
              <w:bottom w:val="single" w:sz="8" w:space="0" w:color="000000"/>
            </w:tcBorders>
            <w:shd w:val="clear" w:color="auto" w:fill="FFFFFF"/>
            <w:vAlign w:val="bottom"/>
            <w:hideMark/>
          </w:tcPr>
          <w:p w14:paraId="5FACF09F" w14:textId="218450A5" w:rsidR="0046507D" w:rsidRPr="00CF31E0" w:rsidRDefault="0046507D" w:rsidP="00603CB7">
            <w:pPr>
              <w:widowControl w:val="0"/>
              <w:autoSpaceDE w:val="0"/>
              <w:autoSpaceDN w:val="0"/>
              <w:adjustRightInd w:val="0"/>
              <w:spacing w:before="120" w:after="12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Variables</w:t>
            </w:r>
          </w:p>
        </w:tc>
        <w:tc>
          <w:tcPr>
            <w:tcW w:w="2425" w:type="dxa"/>
            <w:tcBorders>
              <w:bottom w:val="single" w:sz="8" w:space="0" w:color="000000"/>
            </w:tcBorders>
            <w:shd w:val="clear" w:color="auto" w:fill="FFFFFF"/>
            <w:vAlign w:val="bottom"/>
            <w:hideMark/>
          </w:tcPr>
          <w:p w14:paraId="0897EF96" w14:textId="50C2774E" w:rsidR="0046507D" w:rsidRPr="00CF31E0" w:rsidRDefault="0046507D"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1</w:t>
            </w:r>
          </w:p>
        </w:tc>
        <w:tc>
          <w:tcPr>
            <w:tcW w:w="1701" w:type="dxa"/>
            <w:tcBorders>
              <w:bottom w:val="single" w:sz="8" w:space="0" w:color="000000"/>
            </w:tcBorders>
            <w:shd w:val="clear" w:color="auto" w:fill="FFFFFF"/>
            <w:vAlign w:val="bottom"/>
            <w:hideMark/>
          </w:tcPr>
          <w:p w14:paraId="47CF0F94" w14:textId="00263619" w:rsidR="0046507D" w:rsidRPr="00CF31E0" w:rsidRDefault="0046507D"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2</w:t>
            </w:r>
          </w:p>
        </w:tc>
      </w:tr>
      <w:tr w:rsidR="0046507D" w:rsidRPr="00CF31E0" w14:paraId="232AF15B" w14:textId="77777777" w:rsidTr="00603CB7">
        <w:trPr>
          <w:cantSplit/>
        </w:trPr>
        <w:tc>
          <w:tcPr>
            <w:tcW w:w="3245" w:type="dxa"/>
            <w:tcBorders>
              <w:top w:val="single" w:sz="8" w:space="0" w:color="000000"/>
            </w:tcBorders>
            <w:shd w:val="clear" w:color="auto" w:fill="FFFFFF"/>
          </w:tcPr>
          <w:p w14:paraId="1BBE1046" w14:textId="0C610EEA" w:rsidR="0046507D" w:rsidRPr="00CF31E0" w:rsidRDefault="0046507D"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Traditional</w:t>
            </w:r>
          </w:p>
        </w:tc>
        <w:tc>
          <w:tcPr>
            <w:tcW w:w="2425" w:type="dxa"/>
            <w:tcBorders>
              <w:top w:val="single" w:sz="8" w:space="0" w:color="000000"/>
            </w:tcBorders>
            <w:shd w:val="clear" w:color="auto" w:fill="FFFFFF"/>
            <w:vAlign w:val="center"/>
          </w:tcPr>
          <w:p w14:paraId="658317FB" w14:textId="1F9B12C7" w:rsidR="0046507D" w:rsidRPr="00CF31E0" w:rsidRDefault="0046507D"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p>
        </w:tc>
        <w:tc>
          <w:tcPr>
            <w:tcW w:w="1701" w:type="dxa"/>
            <w:tcBorders>
              <w:top w:val="single" w:sz="8" w:space="0" w:color="000000"/>
            </w:tcBorders>
            <w:shd w:val="clear" w:color="auto" w:fill="FFFFFF"/>
          </w:tcPr>
          <w:p w14:paraId="713BEE1E" w14:textId="5535A02D" w:rsidR="0046507D" w:rsidRPr="00CF31E0" w:rsidRDefault="004C2C4B" w:rsidP="00603CB7">
            <w:pPr>
              <w:widowControl w:val="0"/>
              <w:autoSpaceDE w:val="0"/>
              <w:autoSpaceDN w:val="0"/>
              <w:adjustRightInd w:val="0"/>
              <w:spacing w:before="120" w:after="12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.629</w:t>
            </w:r>
          </w:p>
        </w:tc>
      </w:tr>
      <w:tr w:rsidR="0046507D" w:rsidRPr="00CF31E0" w14:paraId="77261EAD" w14:textId="77777777" w:rsidTr="00603CB7">
        <w:trPr>
          <w:cantSplit/>
        </w:trPr>
        <w:tc>
          <w:tcPr>
            <w:tcW w:w="3245" w:type="dxa"/>
            <w:shd w:val="clear" w:color="auto" w:fill="FFFFFF"/>
          </w:tcPr>
          <w:p w14:paraId="4179FEA9" w14:textId="101D72E9" w:rsidR="0046507D" w:rsidRPr="00CF31E0" w:rsidRDefault="0046507D"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Correct</w:t>
            </w:r>
          </w:p>
        </w:tc>
        <w:tc>
          <w:tcPr>
            <w:tcW w:w="2425" w:type="dxa"/>
            <w:shd w:val="clear" w:color="auto" w:fill="FFFFFF"/>
            <w:vAlign w:val="center"/>
          </w:tcPr>
          <w:p w14:paraId="002B61A1" w14:textId="05A4DBE3" w:rsidR="0046507D" w:rsidRPr="00CF31E0" w:rsidRDefault="0046507D"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p>
        </w:tc>
        <w:tc>
          <w:tcPr>
            <w:tcW w:w="1701" w:type="dxa"/>
            <w:shd w:val="clear" w:color="auto" w:fill="FFFFFF"/>
          </w:tcPr>
          <w:p w14:paraId="1B4D14DD" w14:textId="64884F5C" w:rsidR="0046507D" w:rsidRPr="00CF31E0" w:rsidRDefault="004C2C4B" w:rsidP="00603CB7">
            <w:pPr>
              <w:widowControl w:val="0"/>
              <w:autoSpaceDE w:val="0"/>
              <w:autoSpaceDN w:val="0"/>
              <w:adjustRightInd w:val="0"/>
              <w:spacing w:before="120" w:after="12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.671</w:t>
            </w:r>
          </w:p>
        </w:tc>
      </w:tr>
      <w:tr w:rsidR="0046507D" w:rsidRPr="00CF31E0" w14:paraId="175435A2" w14:textId="77777777" w:rsidTr="00603CB7">
        <w:trPr>
          <w:cantSplit/>
        </w:trPr>
        <w:tc>
          <w:tcPr>
            <w:tcW w:w="3245" w:type="dxa"/>
            <w:shd w:val="clear" w:color="auto" w:fill="FFFFFF"/>
          </w:tcPr>
          <w:p w14:paraId="0C73CA83" w14:textId="41168321" w:rsidR="0046507D" w:rsidRPr="00CF31E0" w:rsidRDefault="0046507D"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Feminine</w:t>
            </w:r>
          </w:p>
        </w:tc>
        <w:tc>
          <w:tcPr>
            <w:tcW w:w="2425" w:type="dxa"/>
            <w:shd w:val="clear" w:color="auto" w:fill="FFFFFF"/>
            <w:vAlign w:val="center"/>
          </w:tcPr>
          <w:p w14:paraId="512CBA36" w14:textId="28762619" w:rsidR="0046507D"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.601</w:t>
            </w:r>
          </w:p>
        </w:tc>
        <w:tc>
          <w:tcPr>
            <w:tcW w:w="1701" w:type="dxa"/>
            <w:shd w:val="clear" w:color="auto" w:fill="FFFFFF"/>
          </w:tcPr>
          <w:p w14:paraId="3BF0936B" w14:textId="2094496A" w:rsidR="0046507D" w:rsidRPr="00CF31E0" w:rsidRDefault="0046507D" w:rsidP="00603CB7">
            <w:pPr>
              <w:widowControl w:val="0"/>
              <w:autoSpaceDE w:val="0"/>
              <w:autoSpaceDN w:val="0"/>
              <w:adjustRightInd w:val="0"/>
              <w:spacing w:before="120" w:after="120"/>
              <w:jc w:val="both"/>
              <w:rPr>
                <w:rFonts w:eastAsia="MS Mincho"/>
                <w:color w:val="000000" w:themeColor="text1"/>
                <w:sz w:val="22"/>
                <w:szCs w:val="22"/>
                <w:lang w:val="en-US" w:eastAsia="en-US"/>
              </w:rPr>
            </w:pPr>
          </w:p>
        </w:tc>
      </w:tr>
      <w:tr w:rsidR="0046507D" w:rsidRPr="00CF31E0" w14:paraId="472B3F65" w14:textId="77777777" w:rsidTr="00603CB7">
        <w:trPr>
          <w:cantSplit/>
        </w:trPr>
        <w:tc>
          <w:tcPr>
            <w:tcW w:w="3245" w:type="dxa"/>
            <w:shd w:val="clear" w:color="auto" w:fill="FFFFFF"/>
          </w:tcPr>
          <w:p w14:paraId="149A3F74" w14:textId="1BCE18C3" w:rsidR="0046507D" w:rsidRPr="00CF31E0" w:rsidRDefault="0046507D"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Distinctive</w:t>
            </w:r>
          </w:p>
        </w:tc>
        <w:tc>
          <w:tcPr>
            <w:tcW w:w="2425" w:type="dxa"/>
            <w:shd w:val="clear" w:color="auto" w:fill="FFFFFF"/>
            <w:vAlign w:val="center"/>
          </w:tcPr>
          <w:p w14:paraId="7C80F012" w14:textId="01F83D01" w:rsidR="0046507D" w:rsidRPr="00CF31E0" w:rsidRDefault="0046507D"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p>
        </w:tc>
        <w:tc>
          <w:tcPr>
            <w:tcW w:w="1701" w:type="dxa"/>
            <w:shd w:val="clear" w:color="auto" w:fill="FFFFFF"/>
          </w:tcPr>
          <w:p w14:paraId="7986E5CF" w14:textId="3C82D37D" w:rsidR="0046507D" w:rsidRPr="00CF31E0" w:rsidRDefault="0046507D" w:rsidP="00603CB7">
            <w:pPr>
              <w:widowControl w:val="0"/>
              <w:autoSpaceDE w:val="0"/>
              <w:autoSpaceDN w:val="0"/>
              <w:adjustRightInd w:val="0"/>
              <w:spacing w:before="120" w:after="120"/>
              <w:jc w:val="both"/>
              <w:rPr>
                <w:rFonts w:eastAsia="MS Mincho"/>
                <w:color w:val="000000" w:themeColor="text1"/>
                <w:sz w:val="22"/>
                <w:szCs w:val="22"/>
                <w:lang w:val="en-US" w:eastAsia="en-US"/>
              </w:rPr>
            </w:pPr>
          </w:p>
        </w:tc>
      </w:tr>
      <w:tr w:rsidR="0046507D" w:rsidRPr="00CF31E0" w14:paraId="64906E45" w14:textId="77777777" w:rsidTr="00603CB7">
        <w:trPr>
          <w:cantSplit/>
        </w:trPr>
        <w:tc>
          <w:tcPr>
            <w:tcW w:w="3245" w:type="dxa"/>
            <w:shd w:val="clear" w:color="auto" w:fill="FFFFFF"/>
          </w:tcPr>
          <w:p w14:paraId="612BCFA5" w14:textId="1CAB2F24" w:rsidR="0046507D" w:rsidRPr="00CF31E0" w:rsidRDefault="0046507D"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Understandable</w:t>
            </w:r>
          </w:p>
        </w:tc>
        <w:tc>
          <w:tcPr>
            <w:tcW w:w="2425" w:type="dxa"/>
            <w:shd w:val="clear" w:color="auto" w:fill="FFFFFF"/>
            <w:vAlign w:val="center"/>
          </w:tcPr>
          <w:p w14:paraId="68C9D17E" w14:textId="1B169BDA" w:rsidR="0046507D"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.512</w:t>
            </w:r>
          </w:p>
        </w:tc>
        <w:tc>
          <w:tcPr>
            <w:tcW w:w="1701" w:type="dxa"/>
            <w:shd w:val="clear" w:color="auto" w:fill="FFFFFF"/>
          </w:tcPr>
          <w:p w14:paraId="2176C5D6" w14:textId="624B6D31" w:rsidR="0046507D" w:rsidRPr="00CF31E0" w:rsidRDefault="004C2C4B" w:rsidP="00603CB7">
            <w:pPr>
              <w:widowControl w:val="0"/>
              <w:autoSpaceDE w:val="0"/>
              <w:autoSpaceDN w:val="0"/>
              <w:adjustRightInd w:val="0"/>
              <w:spacing w:before="120" w:after="12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.423</w:t>
            </w:r>
          </w:p>
        </w:tc>
      </w:tr>
      <w:tr w:rsidR="0046507D" w:rsidRPr="00CF31E0" w14:paraId="3F8947DD" w14:textId="77777777" w:rsidTr="00603CB7">
        <w:trPr>
          <w:cantSplit/>
        </w:trPr>
        <w:tc>
          <w:tcPr>
            <w:tcW w:w="3245" w:type="dxa"/>
            <w:shd w:val="clear" w:color="auto" w:fill="FFFFFF"/>
          </w:tcPr>
          <w:p w14:paraId="13E32A81" w14:textId="2956CA4A" w:rsidR="0046507D" w:rsidRPr="00CF31E0" w:rsidRDefault="0046507D"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Prestigious</w:t>
            </w:r>
          </w:p>
        </w:tc>
        <w:tc>
          <w:tcPr>
            <w:tcW w:w="2425" w:type="dxa"/>
            <w:shd w:val="clear" w:color="auto" w:fill="FFFFFF"/>
            <w:vAlign w:val="center"/>
          </w:tcPr>
          <w:p w14:paraId="0CE25DC0" w14:textId="4DAFD7C6" w:rsidR="0046507D"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.605</w:t>
            </w:r>
          </w:p>
        </w:tc>
        <w:tc>
          <w:tcPr>
            <w:tcW w:w="1701" w:type="dxa"/>
            <w:shd w:val="clear" w:color="auto" w:fill="FFFFFF"/>
          </w:tcPr>
          <w:p w14:paraId="63333BC8" w14:textId="18D3A1E2" w:rsidR="0046507D" w:rsidRPr="00CF31E0" w:rsidRDefault="0046507D" w:rsidP="00603CB7">
            <w:pPr>
              <w:widowControl w:val="0"/>
              <w:autoSpaceDE w:val="0"/>
              <w:autoSpaceDN w:val="0"/>
              <w:adjustRightInd w:val="0"/>
              <w:spacing w:before="120" w:after="120"/>
              <w:jc w:val="both"/>
              <w:rPr>
                <w:rFonts w:eastAsia="MS Mincho"/>
                <w:color w:val="000000" w:themeColor="text1"/>
                <w:sz w:val="22"/>
                <w:szCs w:val="22"/>
                <w:lang w:val="en-US" w:eastAsia="en-US"/>
              </w:rPr>
            </w:pPr>
          </w:p>
        </w:tc>
      </w:tr>
      <w:tr w:rsidR="0046507D" w:rsidRPr="00CF31E0" w14:paraId="438462BF" w14:textId="77777777" w:rsidTr="00603CB7">
        <w:trPr>
          <w:cantSplit/>
        </w:trPr>
        <w:tc>
          <w:tcPr>
            <w:tcW w:w="3245" w:type="dxa"/>
            <w:shd w:val="clear" w:color="auto" w:fill="FFFFFF"/>
          </w:tcPr>
          <w:p w14:paraId="1096CBD2" w14:textId="03242152" w:rsidR="0046507D" w:rsidRPr="00CF31E0" w:rsidRDefault="0046507D"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Common in towns</w:t>
            </w:r>
          </w:p>
        </w:tc>
        <w:tc>
          <w:tcPr>
            <w:tcW w:w="2425" w:type="dxa"/>
            <w:shd w:val="clear" w:color="auto" w:fill="FFFFFF"/>
            <w:vAlign w:val="center"/>
          </w:tcPr>
          <w:p w14:paraId="0415E54D" w14:textId="358BD92B" w:rsidR="0046507D"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.807</w:t>
            </w:r>
          </w:p>
        </w:tc>
        <w:tc>
          <w:tcPr>
            <w:tcW w:w="1701" w:type="dxa"/>
            <w:shd w:val="clear" w:color="auto" w:fill="FFFFFF"/>
          </w:tcPr>
          <w:p w14:paraId="570A5C51" w14:textId="425A55C1" w:rsidR="0046507D" w:rsidRPr="00CF31E0" w:rsidRDefault="0046507D" w:rsidP="00603CB7">
            <w:pPr>
              <w:widowControl w:val="0"/>
              <w:autoSpaceDE w:val="0"/>
              <w:autoSpaceDN w:val="0"/>
              <w:adjustRightInd w:val="0"/>
              <w:spacing w:before="120" w:after="120"/>
              <w:jc w:val="both"/>
              <w:rPr>
                <w:rFonts w:eastAsia="MS Mincho"/>
                <w:color w:val="000000" w:themeColor="text1"/>
                <w:sz w:val="22"/>
                <w:szCs w:val="22"/>
                <w:lang w:val="en-US" w:eastAsia="en-US"/>
              </w:rPr>
            </w:pPr>
          </w:p>
        </w:tc>
      </w:tr>
      <w:tr w:rsidR="0046507D" w:rsidRPr="00CF31E0" w14:paraId="6F9F6A2F" w14:textId="77777777" w:rsidTr="00603CB7">
        <w:trPr>
          <w:cantSplit/>
        </w:trPr>
        <w:tc>
          <w:tcPr>
            <w:tcW w:w="3245" w:type="dxa"/>
            <w:shd w:val="clear" w:color="auto" w:fill="FFFFFF"/>
          </w:tcPr>
          <w:p w14:paraId="48CD12A0" w14:textId="2087C781" w:rsidR="0046507D" w:rsidRPr="00CF31E0" w:rsidRDefault="001136D4"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Signifies t</w:t>
            </w:r>
            <w:r w:rsidR="0046507D" w:rsidRPr="00CF31E0">
              <w:rPr>
                <w:rFonts w:eastAsia="Times New Roman"/>
                <w:color w:val="000000" w:themeColor="text1"/>
                <w:sz w:val="22"/>
                <w:szCs w:val="22"/>
                <w:lang w:eastAsia="zh-CN"/>
              </w:rPr>
              <w:t>ribal loyalty</w:t>
            </w:r>
          </w:p>
        </w:tc>
        <w:tc>
          <w:tcPr>
            <w:tcW w:w="2425" w:type="dxa"/>
            <w:shd w:val="clear" w:color="auto" w:fill="FFFFFF"/>
            <w:vAlign w:val="center"/>
          </w:tcPr>
          <w:p w14:paraId="7E506AC6" w14:textId="1681DEEF" w:rsidR="0046507D" w:rsidRPr="00CF31E0" w:rsidRDefault="0046507D"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p>
        </w:tc>
        <w:tc>
          <w:tcPr>
            <w:tcW w:w="1701" w:type="dxa"/>
            <w:shd w:val="clear" w:color="auto" w:fill="FFFFFF"/>
          </w:tcPr>
          <w:p w14:paraId="6E1D2849" w14:textId="5F63E62B" w:rsidR="0046507D" w:rsidRPr="00CF31E0" w:rsidRDefault="0046507D" w:rsidP="00603CB7">
            <w:pPr>
              <w:widowControl w:val="0"/>
              <w:autoSpaceDE w:val="0"/>
              <w:autoSpaceDN w:val="0"/>
              <w:adjustRightInd w:val="0"/>
              <w:spacing w:before="120" w:after="120"/>
              <w:jc w:val="both"/>
              <w:rPr>
                <w:rFonts w:eastAsia="MS Mincho"/>
                <w:color w:val="000000" w:themeColor="text1"/>
                <w:sz w:val="22"/>
                <w:szCs w:val="22"/>
                <w:lang w:val="en-US" w:eastAsia="en-US"/>
              </w:rPr>
            </w:pPr>
          </w:p>
        </w:tc>
      </w:tr>
      <w:tr w:rsidR="0046507D" w:rsidRPr="00CF31E0" w14:paraId="2267D13E" w14:textId="77777777" w:rsidTr="00603CB7">
        <w:trPr>
          <w:cantSplit/>
        </w:trPr>
        <w:tc>
          <w:tcPr>
            <w:tcW w:w="3245" w:type="dxa"/>
            <w:shd w:val="clear" w:color="auto" w:fill="FFFFFF"/>
          </w:tcPr>
          <w:p w14:paraId="51B97C0B" w14:textId="330CFDF8" w:rsidR="0046507D" w:rsidRPr="00CF31E0" w:rsidRDefault="0046507D"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Modern</w:t>
            </w:r>
          </w:p>
        </w:tc>
        <w:tc>
          <w:tcPr>
            <w:tcW w:w="2425" w:type="dxa"/>
            <w:shd w:val="clear" w:color="auto" w:fill="FFFFFF"/>
            <w:vAlign w:val="center"/>
          </w:tcPr>
          <w:p w14:paraId="53D88C49" w14:textId="043F9B7A" w:rsidR="0046507D" w:rsidRPr="00CF31E0" w:rsidRDefault="004C2C4B" w:rsidP="00603CB7">
            <w:pPr>
              <w:widowControl w:val="0"/>
              <w:autoSpaceDE w:val="0"/>
              <w:autoSpaceDN w:val="0"/>
              <w:adjustRightInd w:val="0"/>
              <w:spacing w:before="120" w:after="120"/>
              <w:ind w:left="62" w:right="62"/>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.786</w:t>
            </w:r>
          </w:p>
        </w:tc>
        <w:tc>
          <w:tcPr>
            <w:tcW w:w="1701" w:type="dxa"/>
            <w:shd w:val="clear" w:color="auto" w:fill="FFFFFF"/>
          </w:tcPr>
          <w:p w14:paraId="358AA1A4" w14:textId="0F522C1A" w:rsidR="0046507D" w:rsidRPr="00CF31E0" w:rsidRDefault="0046507D" w:rsidP="00603CB7">
            <w:pPr>
              <w:widowControl w:val="0"/>
              <w:autoSpaceDE w:val="0"/>
              <w:autoSpaceDN w:val="0"/>
              <w:adjustRightInd w:val="0"/>
              <w:spacing w:before="120" w:after="120"/>
              <w:jc w:val="both"/>
              <w:rPr>
                <w:rFonts w:eastAsia="MS Mincho"/>
                <w:color w:val="000000" w:themeColor="text1"/>
                <w:sz w:val="22"/>
                <w:szCs w:val="22"/>
                <w:lang w:val="en-US" w:eastAsia="en-US"/>
              </w:rPr>
            </w:pPr>
          </w:p>
        </w:tc>
      </w:tr>
      <w:tr w:rsidR="0046507D" w:rsidRPr="00CF31E0" w14:paraId="5E411112" w14:textId="77777777" w:rsidTr="00603CB7">
        <w:trPr>
          <w:cantSplit/>
        </w:trPr>
        <w:tc>
          <w:tcPr>
            <w:tcW w:w="3245" w:type="dxa"/>
            <w:shd w:val="clear" w:color="auto" w:fill="FFFFFF"/>
          </w:tcPr>
          <w:p w14:paraId="03D30800" w14:textId="1B57382F" w:rsidR="0046507D" w:rsidRPr="00CF31E0" w:rsidRDefault="0046507D"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Easy to imitate</w:t>
            </w:r>
          </w:p>
        </w:tc>
        <w:tc>
          <w:tcPr>
            <w:tcW w:w="2425" w:type="dxa"/>
            <w:shd w:val="clear" w:color="auto" w:fill="FFFFFF"/>
            <w:vAlign w:val="center"/>
          </w:tcPr>
          <w:p w14:paraId="51E69E9F" w14:textId="5DC39DED" w:rsidR="0046507D"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.597</w:t>
            </w:r>
          </w:p>
        </w:tc>
        <w:tc>
          <w:tcPr>
            <w:tcW w:w="1701" w:type="dxa"/>
            <w:shd w:val="clear" w:color="auto" w:fill="FFFFFF"/>
          </w:tcPr>
          <w:p w14:paraId="17602390" w14:textId="6D9F89B4" w:rsidR="0046507D" w:rsidRPr="00CF31E0" w:rsidRDefault="0046507D" w:rsidP="00603CB7">
            <w:pPr>
              <w:widowControl w:val="0"/>
              <w:autoSpaceDE w:val="0"/>
              <w:autoSpaceDN w:val="0"/>
              <w:adjustRightInd w:val="0"/>
              <w:spacing w:before="120" w:after="120"/>
              <w:jc w:val="both"/>
              <w:rPr>
                <w:rFonts w:eastAsia="MS Mincho"/>
                <w:color w:val="000000" w:themeColor="text1"/>
                <w:sz w:val="22"/>
                <w:szCs w:val="22"/>
                <w:lang w:val="en-US" w:eastAsia="en-US"/>
              </w:rPr>
            </w:pPr>
          </w:p>
        </w:tc>
      </w:tr>
      <w:tr w:rsidR="0046507D" w:rsidRPr="00CF31E0" w14:paraId="3974E930" w14:textId="77777777" w:rsidTr="00603CB7">
        <w:trPr>
          <w:cantSplit/>
        </w:trPr>
        <w:tc>
          <w:tcPr>
            <w:tcW w:w="3245" w:type="dxa"/>
            <w:shd w:val="clear" w:color="auto" w:fill="FFFFFF"/>
          </w:tcPr>
          <w:p w14:paraId="0138BD81" w14:textId="175F633B" w:rsidR="0046507D" w:rsidRPr="00CF31E0" w:rsidRDefault="0046507D"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Masculine</w:t>
            </w:r>
          </w:p>
        </w:tc>
        <w:tc>
          <w:tcPr>
            <w:tcW w:w="2425" w:type="dxa"/>
            <w:shd w:val="clear" w:color="auto" w:fill="FFFFFF"/>
            <w:vAlign w:val="center"/>
          </w:tcPr>
          <w:p w14:paraId="78CAA8CB" w14:textId="7A69F00B" w:rsidR="0046507D" w:rsidRPr="00CF31E0" w:rsidRDefault="0046507D"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p>
        </w:tc>
        <w:tc>
          <w:tcPr>
            <w:tcW w:w="1701" w:type="dxa"/>
            <w:shd w:val="clear" w:color="auto" w:fill="FFFFFF"/>
          </w:tcPr>
          <w:p w14:paraId="11BA7706" w14:textId="6E6863CD" w:rsidR="0046507D" w:rsidRPr="00CF31E0" w:rsidRDefault="004C2C4B" w:rsidP="00603CB7">
            <w:pPr>
              <w:widowControl w:val="0"/>
              <w:autoSpaceDE w:val="0"/>
              <w:autoSpaceDN w:val="0"/>
              <w:adjustRightInd w:val="0"/>
              <w:spacing w:before="120" w:after="12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.406</w:t>
            </w:r>
          </w:p>
        </w:tc>
      </w:tr>
      <w:tr w:rsidR="0046507D" w:rsidRPr="00CF31E0" w14:paraId="4B6C06F5" w14:textId="77777777" w:rsidTr="00603CB7">
        <w:trPr>
          <w:cantSplit/>
        </w:trPr>
        <w:tc>
          <w:tcPr>
            <w:tcW w:w="3245" w:type="dxa"/>
            <w:shd w:val="clear" w:color="auto" w:fill="FFFFFF"/>
          </w:tcPr>
          <w:p w14:paraId="55229F44" w14:textId="43DA44DA" w:rsidR="0046507D" w:rsidRPr="00CF31E0" w:rsidRDefault="0046507D"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Practical</w:t>
            </w:r>
          </w:p>
        </w:tc>
        <w:tc>
          <w:tcPr>
            <w:tcW w:w="2425" w:type="dxa"/>
            <w:shd w:val="clear" w:color="auto" w:fill="FFFFFF"/>
            <w:vAlign w:val="center"/>
          </w:tcPr>
          <w:p w14:paraId="2C44E2D3" w14:textId="4BF10997" w:rsidR="0046507D"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.565</w:t>
            </w:r>
          </w:p>
        </w:tc>
        <w:tc>
          <w:tcPr>
            <w:tcW w:w="1701" w:type="dxa"/>
            <w:shd w:val="clear" w:color="auto" w:fill="FFFFFF"/>
          </w:tcPr>
          <w:p w14:paraId="69BE7A70" w14:textId="454BA968" w:rsidR="0046507D" w:rsidRPr="00CF31E0" w:rsidRDefault="004C2C4B" w:rsidP="00603CB7">
            <w:pPr>
              <w:widowControl w:val="0"/>
              <w:autoSpaceDE w:val="0"/>
              <w:autoSpaceDN w:val="0"/>
              <w:adjustRightInd w:val="0"/>
              <w:spacing w:before="120" w:after="12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.419</w:t>
            </w:r>
          </w:p>
        </w:tc>
      </w:tr>
      <w:tr w:rsidR="0046507D" w:rsidRPr="00CF31E0" w14:paraId="7DC836AF" w14:textId="77777777" w:rsidTr="00603CB7">
        <w:trPr>
          <w:cantSplit/>
        </w:trPr>
        <w:tc>
          <w:tcPr>
            <w:tcW w:w="3245" w:type="dxa"/>
            <w:shd w:val="clear" w:color="auto" w:fill="FFFFFF"/>
          </w:tcPr>
          <w:p w14:paraId="0A53D0E7" w14:textId="440074D7" w:rsidR="0046507D" w:rsidRPr="00CF31E0" w:rsidRDefault="0046507D"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Closer to MSA</w:t>
            </w:r>
          </w:p>
        </w:tc>
        <w:tc>
          <w:tcPr>
            <w:tcW w:w="2425" w:type="dxa"/>
            <w:shd w:val="clear" w:color="auto" w:fill="FFFFFF"/>
            <w:vAlign w:val="center"/>
          </w:tcPr>
          <w:p w14:paraId="4C81F6F9" w14:textId="6D4B4992" w:rsidR="0046507D" w:rsidRPr="00CF31E0" w:rsidRDefault="0046507D"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p>
        </w:tc>
        <w:tc>
          <w:tcPr>
            <w:tcW w:w="1701" w:type="dxa"/>
            <w:shd w:val="clear" w:color="auto" w:fill="FFFFFF"/>
          </w:tcPr>
          <w:p w14:paraId="30EC8C1E" w14:textId="15F79C7B" w:rsidR="0046507D" w:rsidRPr="00CF31E0" w:rsidRDefault="004C2C4B" w:rsidP="00603CB7">
            <w:pPr>
              <w:widowControl w:val="0"/>
              <w:autoSpaceDE w:val="0"/>
              <w:autoSpaceDN w:val="0"/>
              <w:adjustRightInd w:val="0"/>
              <w:spacing w:before="120" w:after="12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.597</w:t>
            </w:r>
          </w:p>
        </w:tc>
      </w:tr>
      <w:tr w:rsidR="0046507D" w:rsidRPr="00CF31E0" w14:paraId="38754798" w14:textId="77777777" w:rsidTr="00603CB7">
        <w:trPr>
          <w:cantSplit/>
        </w:trPr>
        <w:tc>
          <w:tcPr>
            <w:tcW w:w="3245" w:type="dxa"/>
            <w:shd w:val="clear" w:color="auto" w:fill="FFFFFF"/>
          </w:tcPr>
          <w:p w14:paraId="04E6C4F9" w14:textId="580E52F7" w:rsidR="0046507D" w:rsidRPr="00CF31E0" w:rsidRDefault="0046507D"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lastRenderedPageBreak/>
              <w:t>Understandable to other Arabs</w:t>
            </w:r>
          </w:p>
        </w:tc>
        <w:tc>
          <w:tcPr>
            <w:tcW w:w="2425" w:type="dxa"/>
            <w:shd w:val="clear" w:color="auto" w:fill="FFFFFF"/>
            <w:vAlign w:val="center"/>
          </w:tcPr>
          <w:p w14:paraId="241F3F6D" w14:textId="76AB936D" w:rsidR="0046507D"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.601</w:t>
            </w:r>
          </w:p>
        </w:tc>
        <w:tc>
          <w:tcPr>
            <w:tcW w:w="1701" w:type="dxa"/>
            <w:shd w:val="clear" w:color="auto" w:fill="FFFFFF"/>
          </w:tcPr>
          <w:p w14:paraId="5DD11090" w14:textId="7C5263C4" w:rsidR="0046507D" w:rsidRPr="00CF31E0" w:rsidRDefault="0046507D" w:rsidP="00603CB7">
            <w:pPr>
              <w:widowControl w:val="0"/>
              <w:autoSpaceDE w:val="0"/>
              <w:autoSpaceDN w:val="0"/>
              <w:adjustRightInd w:val="0"/>
              <w:spacing w:before="120" w:after="120"/>
              <w:jc w:val="both"/>
              <w:rPr>
                <w:rFonts w:eastAsia="MS Mincho"/>
                <w:color w:val="000000" w:themeColor="text1"/>
                <w:sz w:val="22"/>
                <w:szCs w:val="22"/>
                <w:lang w:val="en-US" w:eastAsia="en-US"/>
              </w:rPr>
            </w:pPr>
          </w:p>
        </w:tc>
      </w:tr>
      <w:tr w:rsidR="0046507D" w:rsidRPr="00CF31E0" w14:paraId="2797BE08" w14:textId="77777777" w:rsidTr="00603CB7">
        <w:trPr>
          <w:cantSplit/>
        </w:trPr>
        <w:tc>
          <w:tcPr>
            <w:tcW w:w="3245" w:type="dxa"/>
            <w:tcBorders>
              <w:bottom w:val="single" w:sz="8" w:space="0" w:color="000000"/>
            </w:tcBorders>
            <w:shd w:val="clear" w:color="auto" w:fill="FFFFFF"/>
          </w:tcPr>
          <w:p w14:paraId="06485F8C" w14:textId="47346224" w:rsidR="0046507D" w:rsidRPr="00CF31E0" w:rsidRDefault="0046507D" w:rsidP="00603CB7">
            <w:pPr>
              <w:widowControl w:val="0"/>
              <w:autoSpaceDE w:val="0"/>
              <w:autoSpaceDN w:val="0"/>
              <w:adjustRightInd w:val="0"/>
              <w:spacing w:before="120" w:after="120"/>
              <w:ind w:left="62" w:right="62"/>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Similar to other Arabic dialects</w:t>
            </w:r>
          </w:p>
        </w:tc>
        <w:tc>
          <w:tcPr>
            <w:tcW w:w="2425" w:type="dxa"/>
            <w:tcBorders>
              <w:bottom w:val="single" w:sz="8" w:space="0" w:color="000000"/>
            </w:tcBorders>
            <w:shd w:val="clear" w:color="auto" w:fill="FFFFFF"/>
            <w:vAlign w:val="center"/>
          </w:tcPr>
          <w:p w14:paraId="218642B8" w14:textId="54DA8D1F" w:rsidR="0046507D"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.665</w:t>
            </w:r>
          </w:p>
        </w:tc>
        <w:tc>
          <w:tcPr>
            <w:tcW w:w="1701" w:type="dxa"/>
            <w:tcBorders>
              <w:bottom w:val="single" w:sz="8" w:space="0" w:color="000000"/>
            </w:tcBorders>
            <w:shd w:val="clear" w:color="auto" w:fill="FFFFFF"/>
          </w:tcPr>
          <w:p w14:paraId="36BA63E9" w14:textId="0F30F33D" w:rsidR="0046507D" w:rsidRPr="00CF31E0" w:rsidRDefault="0046507D" w:rsidP="00603CB7">
            <w:pPr>
              <w:widowControl w:val="0"/>
              <w:autoSpaceDE w:val="0"/>
              <w:autoSpaceDN w:val="0"/>
              <w:adjustRightInd w:val="0"/>
              <w:spacing w:before="120" w:after="120"/>
              <w:jc w:val="both"/>
              <w:rPr>
                <w:rFonts w:eastAsia="MS Mincho"/>
                <w:color w:val="000000" w:themeColor="text1"/>
                <w:sz w:val="22"/>
                <w:szCs w:val="22"/>
                <w:lang w:val="en-US" w:eastAsia="en-US"/>
              </w:rPr>
            </w:pPr>
          </w:p>
        </w:tc>
      </w:tr>
    </w:tbl>
    <w:p w14:paraId="768CF4F2" w14:textId="39935366" w:rsidR="00A23C2A" w:rsidRPr="00CF31E0" w:rsidRDefault="00A23C2A" w:rsidP="007F6C6D">
      <w:pPr>
        <w:pStyle w:val="Tablecaption"/>
        <w:rPr>
          <w:lang w:eastAsia="zh-CN"/>
        </w:rPr>
      </w:pPr>
      <w:bookmarkStart w:id="654" w:name="_Toc522527449"/>
      <w:bookmarkStart w:id="655" w:name="_Toc522628861"/>
      <w:bookmarkStart w:id="656" w:name="_Toc522629025"/>
      <w:bookmarkStart w:id="657" w:name="_Toc6473122"/>
      <w:r w:rsidRPr="00CF31E0">
        <w:rPr>
          <w:lang w:eastAsia="zh-CN"/>
        </w:rPr>
        <w:t xml:space="preserve">Table </w:t>
      </w:r>
      <w:r w:rsidR="007F6C6D" w:rsidRPr="00CF31E0">
        <w:rPr>
          <w:lang w:eastAsia="zh-CN"/>
        </w:rPr>
        <w:t>9</w:t>
      </w:r>
      <w:r w:rsidR="000D1F73" w:rsidRPr="00CF31E0">
        <w:rPr>
          <w:lang w:eastAsia="zh-CN"/>
        </w:rPr>
        <w:t>.</w:t>
      </w:r>
      <w:r w:rsidR="00CF3993" w:rsidRPr="00CF31E0">
        <w:rPr>
          <w:lang w:eastAsia="zh-CN"/>
        </w:rPr>
        <w:t>13</w:t>
      </w:r>
      <w:r w:rsidRPr="00CF31E0">
        <w:rPr>
          <w:lang w:eastAsia="zh-CN"/>
        </w:rPr>
        <w:t>: Factor matrix (before rotation)</w:t>
      </w:r>
      <w:r w:rsidR="000D1F73" w:rsidRPr="00CF31E0">
        <w:rPr>
          <w:lang w:eastAsia="zh-CN"/>
        </w:rPr>
        <w:t>.</w:t>
      </w:r>
      <w:bookmarkEnd w:id="654"/>
      <w:bookmarkEnd w:id="655"/>
      <w:bookmarkEnd w:id="656"/>
      <w:bookmarkEnd w:id="657"/>
      <w:r w:rsidRPr="00CF31E0">
        <w:rPr>
          <w:lang w:eastAsia="zh-CN"/>
        </w:rPr>
        <w:t xml:space="preserve"> </w:t>
      </w:r>
    </w:p>
    <w:p w14:paraId="02EA2608" w14:textId="77777777" w:rsidR="00C52542" w:rsidRPr="00CF31E0" w:rsidRDefault="00C52542" w:rsidP="007F6C6D">
      <w:pPr>
        <w:pStyle w:val="Tablecaption"/>
        <w:rPr>
          <w:lang w:eastAsia="zh-CN"/>
        </w:rPr>
      </w:pPr>
    </w:p>
    <w:tbl>
      <w:tblPr>
        <w:tblW w:w="7371" w:type="dxa"/>
        <w:tblLayout w:type="fixed"/>
        <w:tblCellMar>
          <w:left w:w="0" w:type="dxa"/>
          <w:right w:w="0" w:type="dxa"/>
        </w:tblCellMar>
        <w:tblLook w:val="04A0" w:firstRow="1" w:lastRow="0" w:firstColumn="1" w:lastColumn="0" w:noHBand="0" w:noVBand="1"/>
      </w:tblPr>
      <w:tblGrid>
        <w:gridCol w:w="3245"/>
        <w:gridCol w:w="2425"/>
        <w:gridCol w:w="1701"/>
      </w:tblGrid>
      <w:tr w:rsidR="004C2C4B" w:rsidRPr="00CF31E0" w14:paraId="3B7CDEA8" w14:textId="77777777" w:rsidTr="00603CB7">
        <w:trPr>
          <w:cantSplit/>
        </w:trPr>
        <w:tc>
          <w:tcPr>
            <w:tcW w:w="3245" w:type="dxa"/>
            <w:tcBorders>
              <w:top w:val="single" w:sz="8" w:space="0" w:color="000000"/>
            </w:tcBorders>
            <w:shd w:val="clear" w:color="auto" w:fill="FFFFFF"/>
            <w:vAlign w:val="bottom"/>
          </w:tcPr>
          <w:p w14:paraId="10188835" w14:textId="77777777" w:rsidR="004C2C4B" w:rsidRPr="00CF31E0" w:rsidRDefault="004C2C4B" w:rsidP="00603CB7">
            <w:pPr>
              <w:widowControl w:val="0"/>
              <w:autoSpaceDE w:val="0"/>
              <w:autoSpaceDN w:val="0"/>
              <w:adjustRightInd w:val="0"/>
              <w:spacing w:before="120" w:after="120"/>
              <w:jc w:val="both"/>
              <w:rPr>
                <w:rFonts w:eastAsia="Times New Roman"/>
                <w:color w:val="000000" w:themeColor="text1"/>
                <w:sz w:val="22"/>
                <w:szCs w:val="22"/>
                <w:lang w:eastAsia="zh-CN"/>
              </w:rPr>
            </w:pPr>
          </w:p>
        </w:tc>
        <w:tc>
          <w:tcPr>
            <w:tcW w:w="4126" w:type="dxa"/>
            <w:gridSpan w:val="2"/>
            <w:tcBorders>
              <w:top w:val="single" w:sz="8" w:space="0" w:color="000000"/>
            </w:tcBorders>
            <w:shd w:val="clear" w:color="auto" w:fill="FFFFFF"/>
            <w:vAlign w:val="bottom"/>
          </w:tcPr>
          <w:p w14:paraId="182E18DF" w14:textId="77777777" w:rsidR="004C2C4B" w:rsidRPr="00CF31E0" w:rsidRDefault="004C2C4B" w:rsidP="00603CB7">
            <w:pPr>
              <w:widowControl w:val="0"/>
              <w:autoSpaceDE w:val="0"/>
              <w:autoSpaceDN w:val="0"/>
              <w:adjustRightInd w:val="0"/>
              <w:spacing w:before="120" w:after="120"/>
              <w:ind w:left="60" w:right="60"/>
              <w:jc w:val="center"/>
              <w:rPr>
                <w:rFonts w:eastAsia="Times New Roman"/>
                <w:color w:val="000000" w:themeColor="text1"/>
                <w:sz w:val="22"/>
                <w:szCs w:val="22"/>
                <w:lang w:eastAsia="zh-CN"/>
              </w:rPr>
            </w:pPr>
            <w:r w:rsidRPr="00CF31E0">
              <w:rPr>
                <w:rFonts w:eastAsia="Times New Roman"/>
                <w:color w:val="000000" w:themeColor="text1"/>
                <w:sz w:val="22"/>
                <w:szCs w:val="22"/>
                <w:lang w:eastAsia="zh-CN"/>
              </w:rPr>
              <w:t>Factor</w:t>
            </w:r>
          </w:p>
        </w:tc>
      </w:tr>
      <w:tr w:rsidR="004C2C4B" w:rsidRPr="00CF31E0" w14:paraId="042768F9" w14:textId="77777777" w:rsidTr="00603CB7">
        <w:trPr>
          <w:cantSplit/>
        </w:trPr>
        <w:tc>
          <w:tcPr>
            <w:tcW w:w="3245" w:type="dxa"/>
            <w:tcBorders>
              <w:bottom w:val="single" w:sz="8" w:space="0" w:color="000000"/>
            </w:tcBorders>
            <w:shd w:val="clear" w:color="auto" w:fill="FFFFFF"/>
            <w:vAlign w:val="bottom"/>
            <w:hideMark/>
          </w:tcPr>
          <w:p w14:paraId="40769CFC" w14:textId="77777777" w:rsidR="004C2C4B" w:rsidRPr="00CF31E0" w:rsidRDefault="004C2C4B" w:rsidP="00603CB7">
            <w:pPr>
              <w:widowControl w:val="0"/>
              <w:autoSpaceDE w:val="0"/>
              <w:autoSpaceDN w:val="0"/>
              <w:adjustRightInd w:val="0"/>
              <w:spacing w:before="120" w:after="12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Variables</w:t>
            </w:r>
          </w:p>
        </w:tc>
        <w:tc>
          <w:tcPr>
            <w:tcW w:w="2425" w:type="dxa"/>
            <w:tcBorders>
              <w:bottom w:val="single" w:sz="8" w:space="0" w:color="000000"/>
            </w:tcBorders>
            <w:shd w:val="clear" w:color="auto" w:fill="FFFFFF"/>
            <w:vAlign w:val="bottom"/>
            <w:hideMark/>
          </w:tcPr>
          <w:p w14:paraId="2171541A" w14:textId="77777777" w:rsidR="004C2C4B"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1</w:t>
            </w:r>
          </w:p>
        </w:tc>
        <w:tc>
          <w:tcPr>
            <w:tcW w:w="1701" w:type="dxa"/>
            <w:tcBorders>
              <w:bottom w:val="single" w:sz="8" w:space="0" w:color="000000"/>
            </w:tcBorders>
            <w:shd w:val="clear" w:color="auto" w:fill="FFFFFF"/>
            <w:vAlign w:val="bottom"/>
            <w:hideMark/>
          </w:tcPr>
          <w:p w14:paraId="13B43A25" w14:textId="77777777" w:rsidR="004C2C4B"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2</w:t>
            </w:r>
          </w:p>
        </w:tc>
      </w:tr>
      <w:tr w:rsidR="004C2C4B" w:rsidRPr="00CF31E0" w14:paraId="4089F900" w14:textId="77777777" w:rsidTr="00603CB7">
        <w:trPr>
          <w:cantSplit/>
        </w:trPr>
        <w:tc>
          <w:tcPr>
            <w:tcW w:w="3245" w:type="dxa"/>
            <w:tcBorders>
              <w:top w:val="single" w:sz="8" w:space="0" w:color="000000"/>
            </w:tcBorders>
            <w:shd w:val="clear" w:color="auto" w:fill="FFFFFF"/>
          </w:tcPr>
          <w:p w14:paraId="76F2CF87" w14:textId="77777777" w:rsidR="004C2C4B"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Traditional</w:t>
            </w:r>
          </w:p>
        </w:tc>
        <w:tc>
          <w:tcPr>
            <w:tcW w:w="2425" w:type="dxa"/>
            <w:tcBorders>
              <w:top w:val="single" w:sz="8" w:space="0" w:color="000000"/>
            </w:tcBorders>
            <w:shd w:val="clear" w:color="auto" w:fill="FFFFFF"/>
            <w:vAlign w:val="center"/>
          </w:tcPr>
          <w:p w14:paraId="5C105B49" w14:textId="77777777" w:rsidR="004C2C4B"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p>
        </w:tc>
        <w:tc>
          <w:tcPr>
            <w:tcW w:w="1701" w:type="dxa"/>
            <w:tcBorders>
              <w:top w:val="single" w:sz="8" w:space="0" w:color="000000"/>
            </w:tcBorders>
            <w:shd w:val="clear" w:color="auto" w:fill="FFFFFF"/>
          </w:tcPr>
          <w:p w14:paraId="7A8AF946" w14:textId="6B5249F2" w:rsidR="004C2C4B" w:rsidRPr="00CF31E0" w:rsidRDefault="004C2C4B" w:rsidP="00603CB7">
            <w:pPr>
              <w:widowControl w:val="0"/>
              <w:autoSpaceDE w:val="0"/>
              <w:autoSpaceDN w:val="0"/>
              <w:adjustRightInd w:val="0"/>
              <w:spacing w:before="120" w:after="12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.671</w:t>
            </w:r>
          </w:p>
        </w:tc>
      </w:tr>
      <w:tr w:rsidR="004C2C4B" w:rsidRPr="00CF31E0" w14:paraId="5A3A1552" w14:textId="77777777" w:rsidTr="00603CB7">
        <w:trPr>
          <w:cantSplit/>
        </w:trPr>
        <w:tc>
          <w:tcPr>
            <w:tcW w:w="3245" w:type="dxa"/>
            <w:shd w:val="clear" w:color="auto" w:fill="FFFFFF"/>
          </w:tcPr>
          <w:p w14:paraId="08225789" w14:textId="77777777" w:rsidR="004C2C4B"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Correct</w:t>
            </w:r>
          </w:p>
        </w:tc>
        <w:tc>
          <w:tcPr>
            <w:tcW w:w="2425" w:type="dxa"/>
            <w:shd w:val="clear" w:color="auto" w:fill="FFFFFF"/>
            <w:vAlign w:val="center"/>
          </w:tcPr>
          <w:p w14:paraId="2884D0C7" w14:textId="77777777" w:rsidR="004C2C4B"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p>
        </w:tc>
        <w:tc>
          <w:tcPr>
            <w:tcW w:w="1701" w:type="dxa"/>
            <w:shd w:val="clear" w:color="auto" w:fill="FFFFFF"/>
          </w:tcPr>
          <w:p w14:paraId="0A4A2A01" w14:textId="61488E4B" w:rsidR="004C2C4B" w:rsidRPr="00CF31E0" w:rsidRDefault="004C2C4B" w:rsidP="00603CB7">
            <w:pPr>
              <w:widowControl w:val="0"/>
              <w:autoSpaceDE w:val="0"/>
              <w:autoSpaceDN w:val="0"/>
              <w:adjustRightInd w:val="0"/>
              <w:spacing w:before="120" w:after="12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.682</w:t>
            </w:r>
          </w:p>
        </w:tc>
      </w:tr>
      <w:tr w:rsidR="004C2C4B" w:rsidRPr="00CF31E0" w14:paraId="78AF649F" w14:textId="77777777" w:rsidTr="00603CB7">
        <w:trPr>
          <w:cantSplit/>
        </w:trPr>
        <w:tc>
          <w:tcPr>
            <w:tcW w:w="3245" w:type="dxa"/>
            <w:shd w:val="clear" w:color="auto" w:fill="FFFFFF"/>
          </w:tcPr>
          <w:p w14:paraId="0150C408" w14:textId="77777777" w:rsidR="004C2C4B"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Feminine</w:t>
            </w:r>
          </w:p>
        </w:tc>
        <w:tc>
          <w:tcPr>
            <w:tcW w:w="2425" w:type="dxa"/>
            <w:shd w:val="clear" w:color="auto" w:fill="FFFFFF"/>
            <w:vAlign w:val="center"/>
          </w:tcPr>
          <w:p w14:paraId="127D2733" w14:textId="7F7D0867" w:rsidR="004C2C4B"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.486</w:t>
            </w:r>
          </w:p>
        </w:tc>
        <w:tc>
          <w:tcPr>
            <w:tcW w:w="1701" w:type="dxa"/>
            <w:shd w:val="clear" w:color="auto" w:fill="FFFFFF"/>
          </w:tcPr>
          <w:p w14:paraId="66557D28" w14:textId="044D54D1" w:rsidR="004C2C4B" w:rsidRPr="00CF31E0" w:rsidRDefault="004C2C4B" w:rsidP="00603CB7">
            <w:pPr>
              <w:widowControl w:val="0"/>
              <w:autoSpaceDE w:val="0"/>
              <w:autoSpaceDN w:val="0"/>
              <w:adjustRightInd w:val="0"/>
              <w:spacing w:before="120" w:after="12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-.408</w:t>
            </w:r>
          </w:p>
        </w:tc>
      </w:tr>
      <w:tr w:rsidR="004C2C4B" w:rsidRPr="00CF31E0" w14:paraId="4CA12B3B" w14:textId="77777777" w:rsidTr="00603CB7">
        <w:trPr>
          <w:cantSplit/>
        </w:trPr>
        <w:tc>
          <w:tcPr>
            <w:tcW w:w="3245" w:type="dxa"/>
            <w:shd w:val="clear" w:color="auto" w:fill="FFFFFF"/>
          </w:tcPr>
          <w:p w14:paraId="7BB41E5F" w14:textId="77777777" w:rsidR="004C2C4B"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Distinctive</w:t>
            </w:r>
          </w:p>
        </w:tc>
        <w:tc>
          <w:tcPr>
            <w:tcW w:w="2425" w:type="dxa"/>
            <w:shd w:val="clear" w:color="auto" w:fill="FFFFFF"/>
            <w:vAlign w:val="center"/>
          </w:tcPr>
          <w:p w14:paraId="47FE1108" w14:textId="77777777" w:rsidR="004C2C4B"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p>
        </w:tc>
        <w:tc>
          <w:tcPr>
            <w:tcW w:w="1701" w:type="dxa"/>
            <w:shd w:val="clear" w:color="auto" w:fill="FFFFFF"/>
          </w:tcPr>
          <w:p w14:paraId="78E036BF" w14:textId="77777777" w:rsidR="004C2C4B" w:rsidRPr="00CF31E0" w:rsidRDefault="004C2C4B" w:rsidP="00603CB7">
            <w:pPr>
              <w:widowControl w:val="0"/>
              <w:autoSpaceDE w:val="0"/>
              <w:autoSpaceDN w:val="0"/>
              <w:adjustRightInd w:val="0"/>
              <w:spacing w:before="120" w:after="120"/>
              <w:jc w:val="both"/>
              <w:rPr>
                <w:rFonts w:eastAsia="MS Mincho"/>
                <w:color w:val="000000" w:themeColor="text1"/>
                <w:sz w:val="22"/>
                <w:szCs w:val="22"/>
                <w:lang w:val="en-US" w:eastAsia="en-US"/>
              </w:rPr>
            </w:pPr>
          </w:p>
        </w:tc>
      </w:tr>
      <w:tr w:rsidR="004C2C4B" w:rsidRPr="00CF31E0" w14:paraId="5E313A92" w14:textId="77777777" w:rsidTr="00603CB7">
        <w:trPr>
          <w:cantSplit/>
        </w:trPr>
        <w:tc>
          <w:tcPr>
            <w:tcW w:w="3245" w:type="dxa"/>
            <w:shd w:val="clear" w:color="auto" w:fill="FFFFFF"/>
          </w:tcPr>
          <w:p w14:paraId="5E045B36" w14:textId="77777777" w:rsidR="004C2C4B"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Understandable</w:t>
            </w:r>
          </w:p>
        </w:tc>
        <w:tc>
          <w:tcPr>
            <w:tcW w:w="2425" w:type="dxa"/>
            <w:shd w:val="clear" w:color="auto" w:fill="FFFFFF"/>
            <w:vAlign w:val="center"/>
          </w:tcPr>
          <w:p w14:paraId="682C0C38" w14:textId="6634B9A0" w:rsidR="004C2C4B"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w:t>
            </w:r>
            <w:r w:rsidR="00922B1A" w:rsidRPr="00CF31E0">
              <w:rPr>
                <w:rFonts w:eastAsia="Times New Roman"/>
                <w:color w:val="000000" w:themeColor="text1"/>
                <w:sz w:val="22"/>
                <w:szCs w:val="22"/>
                <w:lang w:eastAsia="zh-CN"/>
              </w:rPr>
              <w:t>630</w:t>
            </w:r>
          </w:p>
        </w:tc>
        <w:tc>
          <w:tcPr>
            <w:tcW w:w="1701" w:type="dxa"/>
            <w:shd w:val="clear" w:color="auto" w:fill="FFFFFF"/>
          </w:tcPr>
          <w:p w14:paraId="7CDDA5DE" w14:textId="6B44DDAB" w:rsidR="004C2C4B" w:rsidRPr="00CF31E0" w:rsidRDefault="004C2C4B" w:rsidP="00603CB7">
            <w:pPr>
              <w:widowControl w:val="0"/>
              <w:autoSpaceDE w:val="0"/>
              <w:autoSpaceDN w:val="0"/>
              <w:adjustRightInd w:val="0"/>
              <w:spacing w:before="120" w:after="120"/>
              <w:jc w:val="both"/>
              <w:rPr>
                <w:rFonts w:eastAsia="MS Mincho"/>
                <w:color w:val="000000" w:themeColor="text1"/>
                <w:sz w:val="22"/>
                <w:szCs w:val="22"/>
                <w:lang w:val="en-US" w:eastAsia="en-US"/>
              </w:rPr>
            </w:pPr>
          </w:p>
        </w:tc>
      </w:tr>
      <w:tr w:rsidR="004C2C4B" w:rsidRPr="00CF31E0" w14:paraId="0D00FBED" w14:textId="77777777" w:rsidTr="00603CB7">
        <w:trPr>
          <w:cantSplit/>
        </w:trPr>
        <w:tc>
          <w:tcPr>
            <w:tcW w:w="3245" w:type="dxa"/>
            <w:shd w:val="clear" w:color="auto" w:fill="FFFFFF"/>
          </w:tcPr>
          <w:p w14:paraId="21A0D5B9" w14:textId="77777777" w:rsidR="004C2C4B"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Prestigious</w:t>
            </w:r>
          </w:p>
        </w:tc>
        <w:tc>
          <w:tcPr>
            <w:tcW w:w="2425" w:type="dxa"/>
            <w:shd w:val="clear" w:color="auto" w:fill="FFFFFF"/>
            <w:vAlign w:val="center"/>
          </w:tcPr>
          <w:p w14:paraId="3233D627" w14:textId="61BAE653" w:rsidR="004C2C4B"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.6</w:t>
            </w:r>
            <w:r w:rsidR="00922B1A" w:rsidRPr="00CF31E0">
              <w:rPr>
                <w:rFonts w:eastAsia="Times New Roman"/>
                <w:color w:val="000000" w:themeColor="text1"/>
                <w:sz w:val="22"/>
                <w:szCs w:val="22"/>
                <w:lang w:eastAsia="zh-CN"/>
              </w:rPr>
              <w:t>90</w:t>
            </w:r>
          </w:p>
        </w:tc>
        <w:tc>
          <w:tcPr>
            <w:tcW w:w="1701" w:type="dxa"/>
            <w:shd w:val="clear" w:color="auto" w:fill="FFFFFF"/>
          </w:tcPr>
          <w:p w14:paraId="09AB55A3" w14:textId="77777777" w:rsidR="004C2C4B" w:rsidRPr="00CF31E0" w:rsidRDefault="004C2C4B" w:rsidP="00603CB7">
            <w:pPr>
              <w:widowControl w:val="0"/>
              <w:autoSpaceDE w:val="0"/>
              <w:autoSpaceDN w:val="0"/>
              <w:adjustRightInd w:val="0"/>
              <w:spacing w:before="120" w:after="120"/>
              <w:jc w:val="both"/>
              <w:rPr>
                <w:rFonts w:eastAsia="MS Mincho"/>
                <w:color w:val="000000" w:themeColor="text1"/>
                <w:sz w:val="22"/>
                <w:szCs w:val="22"/>
                <w:lang w:val="en-US" w:eastAsia="en-US"/>
              </w:rPr>
            </w:pPr>
          </w:p>
        </w:tc>
      </w:tr>
      <w:tr w:rsidR="004C2C4B" w:rsidRPr="00CF31E0" w14:paraId="4E141FCA" w14:textId="77777777" w:rsidTr="00603CB7">
        <w:trPr>
          <w:cantSplit/>
        </w:trPr>
        <w:tc>
          <w:tcPr>
            <w:tcW w:w="3245" w:type="dxa"/>
            <w:shd w:val="clear" w:color="auto" w:fill="FFFFFF"/>
          </w:tcPr>
          <w:p w14:paraId="79CD5EED" w14:textId="77777777" w:rsidR="004C2C4B"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Common in towns</w:t>
            </w:r>
          </w:p>
        </w:tc>
        <w:tc>
          <w:tcPr>
            <w:tcW w:w="2425" w:type="dxa"/>
            <w:shd w:val="clear" w:color="auto" w:fill="FFFFFF"/>
            <w:vAlign w:val="center"/>
          </w:tcPr>
          <w:p w14:paraId="56BFB444" w14:textId="44FBE227" w:rsidR="004C2C4B"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w:t>
            </w:r>
            <w:r w:rsidR="00922B1A" w:rsidRPr="00CF31E0">
              <w:rPr>
                <w:rFonts w:eastAsia="Times New Roman"/>
                <w:color w:val="000000" w:themeColor="text1"/>
                <w:sz w:val="22"/>
                <w:szCs w:val="22"/>
                <w:lang w:eastAsia="zh-CN"/>
              </w:rPr>
              <w:t>706</w:t>
            </w:r>
          </w:p>
        </w:tc>
        <w:tc>
          <w:tcPr>
            <w:tcW w:w="1701" w:type="dxa"/>
            <w:shd w:val="clear" w:color="auto" w:fill="FFFFFF"/>
          </w:tcPr>
          <w:p w14:paraId="13736C72" w14:textId="6D403293" w:rsidR="004C2C4B" w:rsidRPr="00CF31E0" w:rsidRDefault="00922B1A" w:rsidP="00603CB7">
            <w:pPr>
              <w:widowControl w:val="0"/>
              <w:autoSpaceDE w:val="0"/>
              <w:autoSpaceDN w:val="0"/>
              <w:adjustRightInd w:val="0"/>
              <w:spacing w:before="120" w:after="12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-.411</w:t>
            </w:r>
          </w:p>
        </w:tc>
      </w:tr>
      <w:tr w:rsidR="004C2C4B" w:rsidRPr="00CF31E0" w14:paraId="26B20E4F" w14:textId="77777777" w:rsidTr="00603CB7">
        <w:trPr>
          <w:cantSplit/>
        </w:trPr>
        <w:tc>
          <w:tcPr>
            <w:tcW w:w="3245" w:type="dxa"/>
            <w:shd w:val="clear" w:color="auto" w:fill="FFFFFF"/>
          </w:tcPr>
          <w:p w14:paraId="75146212" w14:textId="682F2089" w:rsidR="004C2C4B" w:rsidRPr="00CF31E0" w:rsidRDefault="00036181"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Signifies t</w:t>
            </w:r>
            <w:r w:rsidR="004C2C4B" w:rsidRPr="00CF31E0">
              <w:rPr>
                <w:rFonts w:eastAsia="Times New Roman"/>
                <w:color w:val="000000" w:themeColor="text1"/>
                <w:sz w:val="22"/>
                <w:szCs w:val="22"/>
                <w:lang w:eastAsia="zh-CN"/>
              </w:rPr>
              <w:t>ribal loyalty</w:t>
            </w:r>
          </w:p>
        </w:tc>
        <w:tc>
          <w:tcPr>
            <w:tcW w:w="2425" w:type="dxa"/>
            <w:shd w:val="clear" w:color="auto" w:fill="FFFFFF"/>
            <w:vAlign w:val="center"/>
          </w:tcPr>
          <w:p w14:paraId="2A0336A4" w14:textId="77777777" w:rsidR="004C2C4B"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p>
        </w:tc>
        <w:tc>
          <w:tcPr>
            <w:tcW w:w="1701" w:type="dxa"/>
            <w:shd w:val="clear" w:color="auto" w:fill="FFFFFF"/>
          </w:tcPr>
          <w:p w14:paraId="5853ECD8" w14:textId="77777777" w:rsidR="004C2C4B" w:rsidRPr="00CF31E0" w:rsidRDefault="004C2C4B" w:rsidP="00603CB7">
            <w:pPr>
              <w:widowControl w:val="0"/>
              <w:autoSpaceDE w:val="0"/>
              <w:autoSpaceDN w:val="0"/>
              <w:adjustRightInd w:val="0"/>
              <w:spacing w:before="120" w:after="120"/>
              <w:jc w:val="both"/>
              <w:rPr>
                <w:rFonts w:eastAsia="MS Mincho"/>
                <w:color w:val="000000" w:themeColor="text1"/>
                <w:sz w:val="22"/>
                <w:szCs w:val="22"/>
                <w:lang w:val="en-US" w:eastAsia="en-US"/>
              </w:rPr>
            </w:pPr>
          </w:p>
        </w:tc>
      </w:tr>
      <w:tr w:rsidR="004C2C4B" w:rsidRPr="00CF31E0" w14:paraId="664C793C" w14:textId="77777777" w:rsidTr="00603CB7">
        <w:trPr>
          <w:cantSplit/>
        </w:trPr>
        <w:tc>
          <w:tcPr>
            <w:tcW w:w="3245" w:type="dxa"/>
            <w:shd w:val="clear" w:color="auto" w:fill="FFFFFF"/>
          </w:tcPr>
          <w:p w14:paraId="17DBBF7F" w14:textId="77777777" w:rsidR="004C2C4B"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Modern</w:t>
            </w:r>
          </w:p>
        </w:tc>
        <w:tc>
          <w:tcPr>
            <w:tcW w:w="2425" w:type="dxa"/>
            <w:shd w:val="clear" w:color="auto" w:fill="FFFFFF"/>
            <w:vAlign w:val="center"/>
          </w:tcPr>
          <w:p w14:paraId="644E39F6" w14:textId="0C231658" w:rsidR="004C2C4B" w:rsidRPr="00CF31E0" w:rsidRDefault="004C2C4B" w:rsidP="00603CB7">
            <w:pPr>
              <w:widowControl w:val="0"/>
              <w:autoSpaceDE w:val="0"/>
              <w:autoSpaceDN w:val="0"/>
              <w:adjustRightInd w:val="0"/>
              <w:spacing w:before="120" w:after="120"/>
              <w:ind w:left="62" w:right="62"/>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.7</w:t>
            </w:r>
            <w:r w:rsidR="00922B1A" w:rsidRPr="00CF31E0">
              <w:rPr>
                <w:rFonts w:eastAsia="Times New Roman"/>
                <w:color w:val="000000" w:themeColor="text1"/>
                <w:sz w:val="22"/>
                <w:szCs w:val="22"/>
                <w:lang w:eastAsia="zh-CN"/>
              </w:rPr>
              <w:t>57</w:t>
            </w:r>
          </w:p>
        </w:tc>
        <w:tc>
          <w:tcPr>
            <w:tcW w:w="1701" w:type="dxa"/>
            <w:shd w:val="clear" w:color="auto" w:fill="FFFFFF"/>
          </w:tcPr>
          <w:p w14:paraId="28126F81" w14:textId="77777777" w:rsidR="004C2C4B" w:rsidRPr="00CF31E0" w:rsidRDefault="004C2C4B" w:rsidP="00603CB7">
            <w:pPr>
              <w:widowControl w:val="0"/>
              <w:autoSpaceDE w:val="0"/>
              <w:autoSpaceDN w:val="0"/>
              <w:adjustRightInd w:val="0"/>
              <w:spacing w:before="120" w:after="120"/>
              <w:jc w:val="both"/>
              <w:rPr>
                <w:rFonts w:eastAsia="MS Mincho"/>
                <w:color w:val="000000" w:themeColor="text1"/>
                <w:sz w:val="22"/>
                <w:szCs w:val="22"/>
                <w:lang w:val="en-US" w:eastAsia="en-US"/>
              </w:rPr>
            </w:pPr>
          </w:p>
        </w:tc>
      </w:tr>
      <w:tr w:rsidR="004C2C4B" w:rsidRPr="00CF31E0" w14:paraId="707A8DF4" w14:textId="77777777" w:rsidTr="00603CB7">
        <w:trPr>
          <w:cantSplit/>
        </w:trPr>
        <w:tc>
          <w:tcPr>
            <w:tcW w:w="3245" w:type="dxa"/>
            <w:shd w:val="clear" w:color="auto" w:fill="FFFFFF"/>
          </w:tcPr>
          <w:p w14:paraId="1ED3D6AE" w14:textId="77777777" w:rsidR="004C2C4B"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Easy to imitate</w:t>
            </w:r>
          </w:p>
        </w:tc>
        <w:tc>
          <w:tcPr>
            <w:tcW w:w="2425" w:type="dxa"/>
            <w:shd w:val="clear" w:color="auto" w:fill="FFFFFF"/>
            <w:vAlign w:val="center"/>
          </w:tcPr>
          <w:p w14:paraId="3FDF898F" w14:textId="284124FB" w:rsidR="004C2C4B"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.5</w:t>
            </w:r>
            <w:r w:rsidR="00922B1A" w:rsidRPr="00CF31E0">
              <w:rPr>
                <w:rFonts w:eastAsia="Times New Roman"/>
                <w:color w:val="000000" w:themeColor="text1"/>
                <w:sz w:val="22"/>
                <w:szCs w:val="22"/>
                <w:lang w:eastAsia="zh-CN"/>
              </w:rPr>
              <w:t>81</w:t>
            </w:r>
          </w:p>
        </w:tc>
        <w:tc>
          <w:tcPr>
            <w:tcW w:w="1701" w:type="dxa"/>
            <w:shd w:val="clear" w:color="auto" w:fill="FFFFFF"/>
          </w:tcPr>
          <w:p w14:paraId="7DACFD33" w14:textId="77777777" w:rsidR="004C2C4B" w:rsidRPr="00CF31E0" w:rsidRDefault="004C2C4B" w:rsidP="00603CB7">
            <w:pPr>
              <w:widowControl w:val="0"/>
              <w:autoSpaceDE w:val="0"/>
              <w:autoSpaceDN w:val="0"/>
              <w:adjustRightInd w:val="0"/>
              <w:spacing w:before="120" w:after="120"/>
              <w:jc w:val="both"/>
              <w:rPr>
                <w:rFonts w:eastAsia="MS Mincho"/>
                <w:color w:val="000000" w:themeColor="text1"/>
                <w:sz w:val="22"/>
                <w:szCs w:val="22"/>
                <w:lang w:val="en-US" w:eastAsia="en-US"/>
              </w:rPr>
            </w:pPr>
          </w:p>
        </w:tc>
      </w:tr>
      <w:tr w:rsidR="004C2C4B" w:rsidRPr="00CF31E0" w14:paraId="6271315D" w14:textId="77777777" w:rsidTr="00603CB7">
        <w:trPr>
          <w:cantSplit/>
        </w:trPr>
        <w:tc>
          <w:tcPr>
            <w:tcW w:w="3245" w:type="dxa"/>
            <w:shd w:val="clear" w:color="auto" w:fill="FFFFFF"/>
          </w:tcPr>
          <w:p w14:paraId="28A4B038" w14:textId="77777777" w:rsidR="004C2C4B"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Masculine</w:t>
            </w:r>
          </w:p>
        </w:tc>
        <w:tc>
          <w:tcPr>
            <w:tcW w:w="2425" w:type="dxa"/>
            <w:shd w:val="clear" w:color="auto" w:fill="FFFFFF"/>
            <w:vAlign w:val="center"/>
          </w:tcPr>
          <w:p w14:paraId="51092172" w14:textId="77777777" w:rsidR="004C2C4B"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p>
        </w:tc>
        <w:tc>
          <w:tcPr>
            <w:tcW w:w="1701" w:type="dxa"/>
            <w:shd w:val="clear" w:color="auto" w:fill="FFFFFF"/>
          </w:tcPr>
          <w:p w14:paraId="6654E8BB" w14:textId="2BC919E5" w:rsidR="004C2C4B" w:rsidRPr="00CF31E0" w:rsidRDefault="004C2C4B" w:rsidP="00603CB7">
            <w:pPr>
              <w:widowControl w:val="0"/>
              <w:autoSpaceDE w:val="0"/>
              <w:autoSpaceDN w:val="0"/>
              <w:adjustRightInd w:val="0"/>
              <w:spacing w:before="120" w:after="12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w:t>
            </w:r>
            <w:r w:rsidR="00922B1A" w:rsidRPr="00CF31E0">
              <w:rPr>
                <w:rFonts w:eastAsia="MS Mincho"/>
                <w:color w:val="000000" w:themeColor="text1"/>
                <w:sz w:val="22"/>
                <w:szCs w:val="22"/>
                <w:lang w:val="en-US" w:eastAsia="en-US"/>
              </w:rPr>
              <w:t>500</w:t>
            </w:r>
          </w:p>
        </w:tc>
      </w:tr>
      <w:tr w:rsidR="004C2C4B" w:rsidRPr="00CF31E0" w14:paraId="41E22094" w14:textId="77777777" w:rsidTr="00603CB7">
        <w:trPr>
          <w:cantSplit/>
        </w:trPr>
        <w:tc>
          <w:tcPr>
            <w:tcW w:w="3245" w:type="dxa"/>
            <w:shd w:val="clear" w:color="auto" w:fill="FFFFFF"/>
          </w:tcPr>
          <w:p w14:paraId="2B7F980D" w14:textId="77777777" w:rsidR="004C2C4B"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Practical</w:t>
            </w:r>
          </w:p>
        </w:tc>
        <w:tc>
          <w:tcPr>
            <w:tcW w:w="2425" w:type="dxa"/>
            <w:shd w:val="clear" w:color="auto" w:fill="FFFFFF"/>
            <w:vAlign w:val="center"/>
          </w:tcPr>
          <w:p w14:paraId="58F8E757" w14:textId="4CF2C59E" w:rsidR="004C2C4B"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w:t>
            </w:r>
            <w:r w:rsidR="00922B1A" w:rsidRPr="00CF31E0">
              <w:rPr>
                <w:rFonts w:eastAsia="Times New Roman"/>
                <w:color w:val="000000" w:themeColor="text1"/>
                <w:sz w:val="22"/>
                <w:szCs w:val="22"/>
                <w:lang w:eastAsia="zh-CN"/>
              </w:rPr>
              <w:t>679</w:t>
            </w:r>
          </w:p>
        </w:tc>
        <w:tc>
          <w:tcPr>
            <w:tcW w:w="1701" w:type="dxa"/>
            <w:shd w:val="clear" w:color="auto" w:fill="FFFFFF"/>
          </w:tcPr>
          <w:p w14:paraId="5FCFCC6B" w14:textId="3273A6DB" w:rsidR="004C2C4B" w:rsidRPr="00CF31E0" w:rsidRDefault="004C2C4B" w:rsidP="00603CB7">
            <w:pPr>
              <w:widowControl w:val="0"/>
              <w:autoSpaceDE w:val="0"/>
              <w:autoSpaceDN w:val="0"/>
              <w:adjustRightInd w:val="0"/>
              <w:spacing w:before="120" w:after="120"/>
              <w:jc w:val="both"/>
              <w:rPr>
                <w:rFonts w:eastAsia="MS Mincho"/>
                <w:color w:val="000000" w:themeColor="text1"/>
                <w:sz w:val="22"/>
                <w:szCs w:val="22"/>
                <w:lang w:val="en-US" w:eastAsia="en-US"/>
              </w:rPr>
            </w:pPr>
          </w:p>
        </w:tc>
      </w:tr>
      <w:tr w:rsidR="004C2C4B" w:rsidRPr="00CF31E0" w14:paraId="4D0CBE12" w14:textId="77777777" w:rsidTr="00603CB7">
        <w:trPr>
          <w:cantSplit/>
        </w:trPr>
        <w:tc>
          <w:tcPr>
            <w:tcW w:w="3245" w:type="dxa"/>
            <w:shd w:val="clear" w:color="auto" w:fill="FFFFFF"/>
          </w:tcPr>
          <w:p w14:paraId="1B08A356" w14:textId="77777777" w:rsidR="004C2C4B"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Closer to MSA</w:t>
            </w:r>
          </w:p>
        </w:tc>
        <w:tc>
          <w:tcPr>
            <w:tcW w:w="2425" w:type="dxa"/>
            <w:shd w:val="clear" w:color="auto" w:fill="FFFFFF"/>
            <w:vAlign w:val="center"/>
          </w:tcPr>
          <w:p w14:paraId="356EDE5A" w14:textId="77777777" w:rsidR="004C2C4B"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p>
        </w:tc>
        <w:tc>
          <w:tcPr>
            <w:tcW w:w="1701" w:type="dxa"/>
            <w:shd w:val="clear" w:color="auto" w:fill="FFFFFF"/>
          </w:tcPr>
          <w:p w14:paraId="795500CD" w14:textId="2AEEF747" w:rsidR="004C2C4B" w:rsidRPr="00CF31E0" w:rsidRDefault="004C2C4B" w:rsidP="00603CB7">
            <w:pPr>
              <w:widowControl w:val="0"/>
              <w:autoSpaceDE w:val="0"/>
              <w:autoSpaceDN w:val="0"/>
              <w:adjustRightInd w:val="0"/>
              <w:spacing w:before="120" w:after="12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w:t>
            </w:r>
            <w:r w:rsidR="00922B1A" w:rsidRPr="00CF31E0">
              <w:rPr>
                <w:rFonts w:eastAsia="MS Mincho"/>
                <w:color w:val="000000" w:themeColor="text1"/>
                <w:sz w:val="22"/>
                <w:szCs w:val="22"/>
                <w:lang w:val="en-US" w:eastAsia="en-US"/>
              </w:rPr>
              <w:t>625</w:t>
            </w:r>
          </w:p>
        </w:tc>
      </w:tr>
      <w:tr w:rsidR="004C2C4B" w:rsidRPr="00CF31E0" w14:paraId="2AAD91B5" w14:textId="77777777" w:rsidTr="00603CB7">
        <w:trPr>
          <w:cantSplit/>
        </w:trPr>
        <w:tc>
          <w:tcPr>
            <w:tcW w:w="3245" w:type="dxa"/>
            <w:shd w:val="clear" w:color="auto" w:fill="FFFFFF"/>
          </w:tcPr>
          <w:p w14:paraId="7CE48D48" w14:textId="77777777" w:rsidR="004C2C4B"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Understandable to other Arabs</w:t>
            </w:r>
          </w:p>
        </w:tc>
        <w:tc>
          <w:tcPr>
            <w:tcW w:w="2425" w:type="dxa"/>
            <w:shd w:val="clear" w:color="auto" w:fill="FFFFFF"/>
            <w:vAlign w:val="center"/>
          </w:tcPr>
          <w:p w14:paraId="670CEDB4" w14:textId="20DA87CD" w:rsidR="004C2C4B"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.60</w:t>
            </w:r>
            <w:r w:rsidR="00922B1A" w:rsidRPr="00CF31E0">
              <w:rPr>
                <w:rFonts w:eastAsia="Times New Roman"/>
                <w:color w:val="000000" w:themeColor="text1"/>
                <w:sz w:val="22"/>
                <w:szCs w:val="22"/>
                <w:lang w:eastAsia="zh-CN"/>
              </w:rPr>
              <w:t>0</w:t>
            </w:r>
          </w:p>
        </w:tc>
        <w:tc>
          <w:tcPr>
            <w:tcW w:w="1701" w:type="dxa"/>
            <w:shd w:val="clear" w:color="auto" w:fill="FFFFFF"/>
          </w:tcPr>
          <w:p w14:paraId="7607F777" w14:textId="77777777" w:rsidR="004C2C4B" w:rsidRPr="00CF31E0" w:rsidRDefault="004C2C4B" w:rsidP="00603CB7">
            <w:pPr>
              <w:widowControl w:val="0"/>
              <w:autoSpaceDE w:val="0"/>
              <w:autoSpaceDN w:val="0"/>
              <w:adjustRightInd w:val="0"/>
              <w:spacing w:before="120" w:after="120"/>
              <w:jc w:val="both"/>
              <w:rPr>
                <w:rFonts w:eastAsia="MS Mincho"/>
                <w:color w:val="000000" w:themeColor="text1"/>
                <w:sz w:val="22"/>
                <w:szCs w:val="22"/>
                <w:lang w:val="en-US" w:eastAsia="en-US"/>
              </w:rPr>
            </w:pPr>
          </w:p>
        </w:tc>
      </w:tr>
      <w:tr w:rsidR="004C2C4B" w:rsidRPr="00CF31E0" w14:paraId="6B322F97" w14:textId="77777777" w:rsidTr="00603CB7">
        <w:trPr>
          <w:cantSplit/>
        </w:trPr>
        <w:tc>
          <w:tcPr>
            <w:tcW w:w="3245" w:type="dxa"/>
            <w:tcBorders>
              <w:bottom w:val="single" w:sz="8" w:space="0" w:color="000000"/>
            </w:tcBorders>
            <w:shd w:val="clear" w:color="auto" w:fill="FFFFFF"/>
          </w:tcPr>
          <w:p w14:paraId="5FBBA1CC" w14:textId="77777777" w:rsidR="004C2C4B" w:rsidRPr="00CF31E0" w:rsidRDefault="004C2C4B"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Similar to other Arabic dialects</w:t>
            </w:r>
          </w:p>
        </w:tc>
        <w:tc>
          <w:tcPr>
            <w:tcW w:w="2425" w:type="dxa"/>
            <w:tcBorders>
              <w:bottom w:val="single" w:sz="8" w:space="0" w:color="000000"/>
            </w:tcBorders>
            <w:shd w:val="clear" w:color="auto" w:fill="FFFFFF"/>
            <w:vAlign w:val="center"/>
          </w:tcPr>
          <w:p w14:paraId="3C3AEF2B" w14:textId="0EE794C8" w:rsidR="004C2C4B" w:rsidRPr="00CF31E0" w:rsidRDefault="004C2C4B" w:rsidP="00603CB7">
            <w:pPr>
              <w:widowControl w:val="0"/>
              <w:autoSpaceDE w:val="0"/>
              <w:autoSpaceDN w:val="0"/>
              <w:adjustRightInd w:val="0"/>
              <w:spacing w:before="120" w:after="120"/>
              <w:ind w:left="62" w:right="62"/>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w:t>
            </w:r>
            <w:r w:rsidR="00922B1A" w:rsidRPr="00CF31E0">
              <w:rPr>
                <w:rFonts w:eastAsia="Times New Roman"/>
                <w:color w:val="000000" w:themeColor="text1"/>
                <w:sz w:val="22"/>
                <w:szCs w:val="22"/>
                <w:lang w:eastAsia="zh-CN"/>
              </w:rPr>
              <w:t>577</w:t>
            </w:r>
          </w:p>
        </w:tc>
        <w:tc>
          <w:tcPr>
            <w:tcW w:w="1701" w:type="dxa"/>
            <w:tcBorders>
              <w:bottom w:val="single" w:sz="8" w:space="0" w:color="000000"/>
            </w:tcBorders>
            <w:shd w:val="clear" w:color="auto" w:fill="FFFFFF"/>
          </w:tcPr>
          <w:p w14:paraId="3BF61937" w14:textId="77777777" w:rsidR="004C2C4B" w:rsidRPr="00CF31E0" w:rsidRDefault="004C2C4B" w:rsidP="00603CB7">
            <w:pPr>
              <w:widowControl w:val="0"/>
              <w:autoSpaceDE w:val="0"/>
              <w:autoSpaceDN w:val="0"/>
              <w:adjustRightInd w:val="0"/>
              <w:spacing w:before="120" w:after="120"/>
              <w:jc w:val="both"/>
              <w:rPr>
                <w:rFonts w:eastAsia="MS Mincho"/>
                <w:color w:val="000000" w:themeColor="text1"/>
                <w:sz w:val="22"/>
                <w:szCs w:val="22"/>
                <w:lang w:val="en-US" w:eastAsia="en-US"/>
              </w:rPr>
            </w:pPr>
          </w:p>
        </w:tc>
      </w:tr>
    </w:tbl>
    <w:p w14:paraId="56859841" w14:textId="63F34F83" w:rsidR="00A23C2A" w:rsidRPr="00CF31E0" w:rsidRDefault="00A23C2A" w:rsidP="007F6C6D">
      <w:pPr>
        <w:pStyle w:val="Tablecaption"/>
      </w:pPr>
      <w:bookmarkStart w:id="658" w:name="_Toc522527450"/>
      <w:bookmarkStart w:id="659" w:name="_Toc522628862"/>
      <w:bookmarkStart w:id="660" w:name="_Toc522629026"/>
      <w:bookmarkStart w:id="661" w:name="_Toc6473123"/>
      <w:r w:rsidRPr="00CF31E0">
        <w:t xml:space="preserve">Table </w:t>
      </w:r>
      <w:r w:rsidR="007F6C6D" w:rsidRPr="00CF31E0">
        <w:t>9</w:t>
      </w:r>
      <w:r w:rsidR="000D1F73" w:rsidRPr="00CF31E0">
        <w:t>.1</w:t>
      </w:r>
      <w:r w:rsidR="00CF3993" w:rsidRPr="00CF31E0">
        <w:t>4</w:t>
      </w:r>
      <w:r w:rsidRPr="00CF31E0">
        <w:t>: Rotated factor matrix</w:t>
      </w:r>
      <w:r w:rsidR="000D1F73" w:rsidRPr="00CF31E0">
        <w:t>.</w:t>
      </w:r>
      <w:bookmarkEnd w:id="658"/>
      <w:bookmarkEnd w:id="659"/>
      <w:bookmarkEnd w:id="660"/>
      <w:bookmarkEnd w:id="661"/>
    </w:p>
    <w:p w14:paraId="47EFE33F" w14:textId="5C6E5A12" w:rsidR="00A23C2A" w:rsidRPr="00CF31E0" w:rsidRDefault="00A23C2A" w:rsidP="00603CB7">
      <w:pPr>
        <w:pStyle w:val="Paragraph"/>
        <w:rPr>
          <w:lang w:val="en-US" w:eastAsia="en-US"/>
        </w:rPr>
      </w:pPr>
      <w:r w:rsidRPr="00CF31E0">
        <w:rPr>
          <w:lang w:val="en-US" w:eastAsia="en-US"/>
        </w:rPr>
        <w:t xml:space="preserve">When interpreting the loadings in each factor, it is important to understand what these numbers refer to. </w:t>
      </w:r>
      <w:r w:rsidRPr="00CF31E0">
        <w:rPr>
          <w:lang w:val="en-US" w:eastAsia="en-US"/>
        </w:rPr>
        <w:fldChar w:fldCharType="begin"/>
      </w:r>
      <w:r w:rsidRPr="00CF31E0">
        <w:rPr>
          <w:lang w:val="en-US" w:eastAsia="en-US"/>
        </w:rPr>
        <w:instrText xml:space="preserve"> ADDIN ZOTERO_ITEM CSL_CITATION {"citationID":"ZUTKdGEj","properties":{"formattedCitation":"(Pett et al., 2011, p. 3, chapter 7)","plainCitation":"(Pett et al., 2011, p. 3, chapter 7)"},"citationItems":[{"id":207,"uris":["http://zotero.org/users/1939618/items/ZQHWHPQI"],"uri":["http://zotero.org/users/1939618/items/ZQHWHPQI"],"itemData":{"id":207,"type":"book","title":"Making sense of factor analysis: The use of factor analysis for instrument development in health care research","publisher":"Sage","source":"Google Scholar","shortTitle":"Making sense of factor analysis","author":[{"family":"Pett","given":"Marjorie A."},{"family":"Lackey","given":"Nancy R."},{"family":"Sullivan","given":"John J."}],"issued":{"date-parts":[["2011"]]}},"locator":"3, chapter 7","label":"page"}],"schema":"https://github.com/citation-style-language/schema/raw/master/csl-citation.json"} </w:instrText>
      </w:r>
      <w:r w:rsidRPr="00CF31E0">
        <w:rPr>
          <w:lang w:val="en-US" w:eastAsia="en-US"/>
        </w:rPr>
        <w:fldChar w:fldCharType="separate"/>
      </w:r>
      <w:r w:rsidR="00030EEC" w:rsidRPr="00CF31E0">
        <w:rPr>
          <w:lang w:val="en-US" w:eastAsia="en-US"/>
        </w:rPr>
        <w:t>Pett et al. (2003</w:t>
      </w:r>
      <w:r w:rsidRPr="00CF31E0">
        <w:rPr>
          <w:lang w:val="en-US" w:eastAsia="en-US"/>
        </w:rPr>
        <w:t>, p. 3)</w:t>
      </w:r>
      <w:r w:rsidRPr="00CF31E0">
        <w:rPr>
          <w:lang w:val="en-US" w:eastAsia="en-US"/>
        </w:rPr>
        <w:fldChar w:fldCharType="end"/>
      </w:r>
      <w:r w:rsidRPr="00CF31E0">
        <w:rPr>
          <w:lang w:val="en-US" w:eastAsia="en-US"/>
        </w:rPr>
        <w:t xml:space="preserve"> provide some guidelines to better understand the underlying meaning under item-to-factor loadings:</w:t>
      </w:r>
    </w:p>
    <w:p w14:paraId="58EDD2E2" w14:textId="77777777" w:rsidR="00A23C2A" w:rsidRPr="00CF31E0" w:rsidRDefault="00A23C2A" w:rsidP="00603CB7">
      <w:pPr>
        <w:pStyle w:val="Extract"/>
        <w:rPr>
          <w:lang w:eastAsia="en-US"/>
        </w:rPr>
      </w:pPr>
      <w:r w:rsidRPr="00CF31E0">
        <w:rPr>
          <w:lang w:eastAsia="en-US"/>
        </w:rPr>
        <w:t>.45 (20% shared variance): fair</w:t>
      </w:r>
    </w:p>
    <w:p w14:paraId="36C010A1" w14:textId="77777777" w:rsidR="00A23C2A" w:rsidRPr="00CF31E0" w:rsidRDefault="00A23C2A" w:rsidP="00603CB7">
      <w:pPr>
        <w:pStyle w:val="Extract"/>
        <w:rPr>
          <w:lang w:eastAsia="en-US"/>
        </w:rPr>
      </w:pPr>
      <w:r w:rsidRPr="00CF31E0">
        <w:rPr>
          <w:lang w:eastAsia="en-US"/>
        </w:rPr>
        <w:t>.55 (30% shared variance): good</w:t>
      </w:r>
    </w:p>
    <w:p w14:paraId="014AB2E1" w14:textId="77777777" w:rsidR="00A23C2A" w:rsidRPr="00CF31E0" w:rsidRDefault="00A23C2A" w:rsidP="00603CB7">
      <w:pPr>
        <w:pStyle w:val="Extract"/>
        <w:rPr>
          <w:lang w:eastAsia="en-US"/>
        </w:rPr>
      </w:pPr>
      <w:r w:rsidRPr="00CF31E0">
        <w:rPr>
          <w:lang w:eastAsia="en-US"/>
        </w:rPr>
        <w:lastRenderedPageBreak/>
        <w:t>.63 (40% shared variance): very good</w:t>
      </w:r>
    </w:p>
    <w:p w14:paraId="29BD12AB" w14:textId="77777777" w:rsidR="00A23C2A" w:rsidRPr="00CF31E0" w:rsidRDefault="00A23C2A" w:rsidP="00603CB7">
      <w:pPr>
        <w:pStyle w:val="Extract"/>
        <w:rPr>
          <w:lang w:eastAsia="en-US"/>
        </w:rPr>
      </w:pPr>
      <w:r w:rsidRPr="00CF31E0">
        <w:rPr>
          <w:lang w:eastAsia="en-US"/>
        </w:rPr>
        <w:t>.71 (50% shared variance): excellent</w:t>
      </w:r>
    </w:p>
    <w:p w14:paraId="5581F50D" w14:textId="33DD2A4D" w:rsidR="00A23C2A" w:rsidRPr="00CF31E0" w:rsidRDefault="00A23C2A" w:rsidP="00603CB7">
      <w:pPr>
        <w:pStyle w:val="Paragraph"/>
        <w:rPr>
          <w:lang w:val="en-US" w:eastAsia="en-US"/>
        </w:rPr>
      </w:pPr>
      <w:r w:rsidRPr="00CF31E0">
        <w:rPr>
          <w:lang w:val="en-US" w:eastAsia="en-US"/>
        </w:rPr>
        <w:t xml:space="preserve">Thus, when looking back at Table </w:t>
      </w:r>
      <w:r w:rsidR="007F6C6D" w:rsidRPr="00CF31E0">
        <w:rPr>
          <w:lang w:val="en-US" w:eastAsia="en-US"/>
        </w:rPr>
        <w:t>9</w:t>
      </w:r>
      <w:r w:rsidR="000D1F73" w:rsidRPr="00CF31E0">
        <w:rPr>
          <w:lang w:val="en-US" w:eastAsia="en-US"/>
        </w:rPr>
        <w:t>.</w:t>
      </w:r>
      <w:r w:rsidR="00CF3993" w:rsidRPr="00CF31E0">
        <w:rPr>
          <w:lang w:val="en-US" w:eastAsia="en-US"/>
        </w:rPr>
        <w:t>1</w:t>
      </w:r>
      <w:r w:rsidR="00C7300D">
        <w:rPr>
          <w:lang w:val="en-US" w:eastAsia="en-US"/>
        </w:rPr>
        <w:t>4</w:t>
      </w:r>
      <w:r w:rsidRPr="00CF31E0">
        <w:rPr>
          <w:lang w:val="en-US" w:eastAsia="en-US"/>
        </w:rPr>
        <w:t xml:space="preserve">, we can deduce that in factor 1 two of the items (i.e. </w:t>
      </w:r>
      <w:r w:rsidRPr="00CF31E0">
        <w:rPr>
          <w:i/>
          <w:lang w:val="en-US" w:eastAsia="en-US"/>
        </w:rPr>
        <w:t>common in towns</w:t>
      </w:r>
      <w:r w:rsidRPr="00CF31E0">
        <w:rPr>
          <w:iCs/>
          <w:lang w:val="en-US" w:eastAsia="en-US"/>
        </w:rPr>
        <w:t xml:space="preserve">, </w:t>
      </w:r>
      <w:r w:rsidRPr="00CF31E0">
        <w:rPr>
          <w:i/>
          <w:lang w:val="en-US" w:eastAsia="en-US"/>
        </w:rPr>
        <w:t>modern</w:t>
      </w:r>
      <w:r w:rsidRPr="00CF31E0">
        <w:rPr>
          <w:lang w:val="en-US" w:eastAsia="en-US"/>
        </w:rPr>
        <w:t xml:space="preserve">) shared 50% of the variance. Three of the items (i.e. </w:t>
      </w:r>
      <w:r w:rsidRPr="00CF31E0">
        <w:rPr>
          <w:i/>
          <w:lang w:val="en-US" w:eastAsia="en-US"/>
        </w:rPr>
        <w:t>understandable</w:t>
      </w:r>
      <w:r w:rsidRPr="00CF31E0">
        <w:rPr>
          <w:iCs/>
          <w:lang w:val="en-US" w:eastAsia="en-US"/>
        </w:rPr>
        <w:t>,</w:t>
      </w:r>
      <w:r w:rsidRPr="00CF31E0">
        <w:rPr>
          <w:i/>
          <w:lang w:val="en-US" w:eastAsia="en-US"/>
        </w:rPr>
        <w:t xml:space="preserve"> prestigious</w:t>
      </w:r>
      <w:r w:rsidRPr="00CF31E0">
        <w:rPr>
          <w:iCs/>
          <w:lang w:val="en-US" w:eastAsia="en-US"/>
        </w:rPr>
        <w:t xml:space="preserve">, </w:t>
      </w:r>
      <w:r w:rsidRPr="00CF31E0">
        <w:rPr>
          <w:i/>
          <w:lang w:val="en-US" w:eastAsia="en-US"/>
        </w:rPr>
        <w:t>practical</w:t>
      </w:r>
      <w:r w:rsidRPr="00CF31E0">
        <w:rPr>
          <w:lang w:val="en-US" w:eastAsia="en-US"/>
        </w:rPr>
        <w:t xml:space="preserve">) shared 40% of the variance, and two of the items (i.e. </w:t>
      </w:r>
      <w:r w:rsidRPr="00CF31E0">
        <w:rPr>
          <w:i/>
          <w:iCs/>
          <w:lang w:val="en-US" w:eastAsia="en-US"/>
        </w:rPr>
        <w:t>easy to imitate</w:t>
      </w:r>
      <w:r w:rsidRPr="00CF31E0">
        <w:rPr>
          <w:lang w:val="en-US" w:eastAsia="en-US"/>
        </w:rPr>
        <w:t>,</w:t>
      </w:r>
      <w:r w:rsidRPr="00CF31E0">
        <w:rPr>
          <w:i/>
          <w:iCs/>
          <w:lang w:val="en-US" w:eastAsia="en-US"/>
        </w:rPr>
        <w:t xml:space="preserve"> </w:t>
      </w:r>
      <w:r w:rsidRPr="00CF31E0">
        <w:rPr>
          <w:i/>
          <w:lang w:val="en-US" w:eastAsia="en-US"/>
        </w:rPr>
        <w:t>similar to other Arabic dialects</w:t>
      </w:r>
      <w:r w:rsidRPr="00CF31E0">
        <w:rPr>
          <w:lang w:val="en-US" w:eastAsia="en-US"/>
        </w:rPr>
        <w:t xml:space="preserve">) shared 30% of the variance. Finally, only one item (i.e. </w:t>
      </w:r>
      <w:r w:rsidRPr="00CF31E0">
        <w:rPr>
          <w:i/>
          <w:lang w:val="en-US" w:eastAsia="en-US"/>
        </w:rPr>
        <w:t>feminine</w:t>
      </w:r>
      <w:r w:rsidRPr="00CF31E0">
        <w:rPr>
          <w:lang w:val="en-US" w:eastAsia="en-US"/>
        </w:rPr>
        <w:t xml:space="preserve">) shared 20% of the variance. </w:t>
      </w:r>
    </w:p>
    <w:p w14:paraId="75A2CB46" w14:textId="76C31447" w:rsidR="00A23C2A" w:rsidRPr="00CF31E0" w:rsidRDefault="00A23C2A" w:rsidP="00603CB7">
      <w:pPr>
        <w:pStyle w:val="Paragraph"/>
        <w:rPr>
          <w:lang w:val="en-US" w:eastAsia="en-US"/>
        </w:rPr>
      </w:pPr>
      <w:r w:rsidRPr="00CF31E0">
        <w:rPr>
          <w:lang w:val="en-US" w:eastAsia="en-US"/>
        </w:rPr>
        <w:t xml:space="preserve">As can be seen from Tables </w:t>
      </w:r>
      <w:r w:rsidR="007F6C6D" w:rsidRPr="00CF31E0">
        <w:rPr>
          <w:lang w:val="en-US" w:eastAsia="en-US"/>
        </w:rPr>
        <w:t>9</w:t>
      </w:r>
      <w:r w:rsidR="001C78B8" w:rsidRPr="00CF31E0">
        <w:rPr>
          <w:lang w:val="en-US" w:eastAsia="en-US"/>
        </w:rPr>
        <w:t>.</w:t>
      </w:r>
      <w:r w:rsidR="00CF3993" w:rsidRPr="00CF31E0">
        <w:rPr>
          <w:lang w:val="en-US" w:eastAsia="en-US"/>
        </w:rPr>
        <w:t>13</w:t>
      </w:r>
      <w:r w:rsidR="001C78B8" w:rsidRPr="00CF31E0">
        <w:rPr>
          <w:lang w:val="en-US" w:eastAsia="en-US"/>
        </w:rPr>
        <w:t xml:space="preserve"> </w:t>
      </w:r>
      <w:r w:rsidRPr="00CF31E0">
        <w:rPr>
          <w:lang w:val="en-US" w:eastAsia="en-US"/>
        </w:rPr>
        <w:t xml:space="preserve">and </w:t>
      </w:r>
      <w:r w:rsidR="007F6C6D" w:rsidRPr="00CF31E0">
        <w:rPr>
          <w:lang w:val="en-US" w:eastAsia="en-US"/>
        </w:rPr>
        <w:t>9</w:t>
      </w:r>
      <w:r w:rsidR="001C78B8" w:rsidRPr="00CF31E0">
        <w:rPr>
          <w:lang w:val="en-US" w:eastAsia="en-US"/>
        </w:rPr>
        <w:t>.1</w:t>
      </w:r>
      <w:r w:rsidR="00CF3993" w:rsidRPr="00CF31E0">
        <w:rPr>
          <w:lang w:val="en-US" w:eastAsia="en-US"/>
        </w:rPr>
        <w:t>4</w:t>
      </w:r>
      <w:r w:rsidRPr="00CF31E0">
        <w:rPr>
          <w:lang w:val="en-US" w:eastAsia="en-US"/>
        </w:rPr>
        <w:t xml:space="preserve">, factors after rotation are much easier to interpret as they contain fewer cases of multiple loadings. For example, when looking at the item </w:t>
      </w:r>
      <w:r w:rsidRPr="00CF31E0">
        <w:rPr>
          <w:i/>
          <w:lang w:val="en-US" w:eastAsia="en-US"/>
        </w:rPr>
        <w:t>practical</w:t>
      </w:r>
      <w:r w:rsidRPr="00CF31E0">
        <w:rPr>
          <w:lang w:val="en-US" w:eastAsia="en-US"/>
        </w:rPr>
        <w:t xml:space="preserve">, it had multiple loadings before rotation, while after rotation, it presented only within the factor that it had a strong relation to except for the items </w:t>
      </w:r>
      <w:r w:rsidRPr="00CF31E0">
        <w:rPr>
          <w:i/>
          <w:iCs/>
          <w:lang w:val="en-US" w:eastAsia="en-US"/>
        </w:rPr>
        <w:t>feminine</w:t>
      </w:r>
      <w:r w:rsidRPr="00CF31E0">
        <w:rPr>
          <w:lang w:val="en-US" w:eastAsia="en-US"/>
        </w:rPr>
        <w:t xml:space="preserve"> and </w:t>
      </w:r>
      <w:r w:rsidRPr="00CF31E0">
        <w:rPr>
          <w:i/>
          <w:lang w:val="en-US" w:eastAsia="en-US"/>
        </w:rPr>
        <w:t>common in towns</w:t>
      </w:r>
      <w:r w:rsidRPr="00CF31E0">
        <w:rPr>
          <w:lang w:val="en-US" w:eastAsia="en-US"/>
        </w:rPr>
        <w:t xml:space="preserve">; in these cases, these items cannot be reported as part of factor 1 because it is negatively loaded. Thus, factor 1 is loaded with nine items, while factor 2 is loaded with four items. </w:t>
      </w:r>
    </w:p>
    <w:p w14:paraId="015D32F8" w14:textId="181AC08E" w:rsidR="00A23C2A" w:rsidRPr="00CF31E0" w:rsidRDefault="00A23C2A" w:rsidP="00603CB7">
      <w:pPr>
        <w:pStyle w:val="Paragraph"/>
        <w:rPr>
          <w:lang w:val="en-US" w:eastAsia="en-US"/>
        </w:rPr>
      </w:pPr>
      <w:r w:rsidRPr="00CF31E0">
        <w:rPr>
          <w:lang w:val="en-US" w:eastAsia="en-US"/>
        </w:rPr>
        <w:t>Another important issue to report in regard to the two-factor solution is that it seems from the above tables that two of the items (</w:t>
      </w:r>
      <w:r w:rsidRPr="00CF31E0">
        <w:rPr>
          <w:i/>
          <w:lang w:val="en-US" w:eastAsia="en-US"/>
        </w:rPr>
        <w:t xml:space="preserve">distinctive </w:t>
      </w:r>
      <w:r w:rsidRPr="00CF31E0">
        <w:rPr>
          <w:iCs/>
          <w:lang w:val="en-US" w:eastAsia="en-US"/>
        </w:rPr>
        <w:t>and</w:t>
      </w:r>
      <w:r w:rsidRPr="00CF31E0">
        <w:rPr>
          <w:i/>
          <w:lang w:val="en-US" w:eastAsia="en-US"/>
        </w:rPr>
        <w:t xml:space="preserve"> tribal loyalty</w:t>
      </w:r>
      <w:r w:rsidRPr="00CF31E0">
        <w:rPr>
          <w:lang w:val="en-US" w:eastAsia="en-US"/>
        </w:rPr>
        <w:t xml:space="preserve">) do not have any value in the table, which means that they shared little variance with the factor, giving a value of less than 0.4. It is important to note that the aforementioned items are absent from the table because I instructed SPSS to suppress small values under 0.4. This means that they are present in the underlying structure but absent from the final results because their value is less than 0.4. Moreover, when looking back at the communality of the two items (see Table </w:t>
      </w:r>
      <w:r w:rsidR="002F6AF0" w:rsidRPr="00CF31E0">
        <w:rPr>
          <w:lang w:val="en-US" w:eastAsia="en-US"/>
        </w:rPr>
        <w:t>8.6</w:t>
      </w:r>
      <w:r w:rsidRPr="00CF31E0">
        <w:rPr>
          <w:lang w:val="en-US" w:eastAsia="en-US"/>
        </w:rPr>
        <w:t xml:space="preserve">), it is evident that they have very low communality values compared to the other items. </w:t>
      </w:r>
    </w:p>
    <w:p w14:paraId="6F791534" w14:textId="24772425" w:rsidR="00A23C2A" w:rsidRPr="00CF31E0" w:rsidRDefault="00A23C2A" w:rsidP="00603CB7">
      <w:pPr>
        <w:pStyle w:val="Paragraph"/>
        <w:rPr>
          <w:lang w:val="en-US" w:eastAsia="en-US"/>
        </w:rPr>
      </w:pPr>
      <w:r w:rsidRPr="00CF31E0">
        <w:rPr>
          <w:lang w:val="en-US" w:eastAsia="en-US"/>
        </w:rPr>
        <w:t xml:space="preserve">Most importantly, the two-factor solutions are very similar to the results obtained from the free-adjective questionnaire; see Table </w:t>
      </w:r>
      <w:r w:rsidR="007F6C6D" w:rsidRPr="00CF31E0">
        <w:rPr>
          <w:lang w:val="en-US" w:eastAsia="en-US"/>
        </w:rPr>
        <w:t>5</w:t>
      </w:r>
      <w:r w:rsidR="007D674B" w:rsidRPr="00CF31E0">
        <w:rPr>
          <w:lang w:val="en-US" w:eastAsia="en-US"/>
        </w:rPr>
        <w:t>.2.</w:t>
      </w:r>
      <w:r w:rsidRPr="00CF31E0">
        <w:rPr>
          <w:lang w:val="en-US" w:eastAsia="en-US"/>
        </w:rPr>
        <w:t xml:space="preserve"> </w:t>
      </w:r>
      <w:r w:rsidR="001C78B8" w:rsidRPr="00CF31E0">
        <w:rPr>
          <w:lang w:val="en-US" w:eastAsia="en-US"/>
        </w:rPr>
        <w:t>i</w:t>
      </w:r>
      <w:r w:rsidRPr="00CF31E0">
        <w:rPr>
          <w:lang w:val="en-US" w:eastAsia="en-US"/>
        </w:rPr>
        <w:t xml:space="preserve">n </w:t>
      </w:r>
      <w:r w:rsidR="001C78B8" w:rsidRPr="00CF31E0">
        <w:rPr>
          <w:lang w:val="en-US" w:eastAsia="en-US"/>
        </w:rPr>
        <w:t>C</w:t>
      </w:r>
      <w:r w:rsidRPr="00CF31E0">
        <w:rPr>
          <w:lang w:val="en-US" w:eastAsia="en-US"/>
        </w:rPr>
        <w:t xml:space="preserve">hapter </w:t>
      </w:r>
      <w:r w:rsidR="007F6C6D" w:rsidRPr="00CF31E0">
        <w:rPr>
          <w:lang w:val="en-US" w:eastAsia="en-US"/>
        </w:rPr>
        <w:t>5</w:t>
      </w:r>
      <w:r w:rsidRPr="00CF31E0">
        <w:rPr>
          <w:lang w:val="en-US" w:eastAsia="en-US"/>
        </w:rPr>
        <w:t xml:space="preserve">. In other words, what has been observed </w:t>
      </w:r>
      <w:r w:rsidR="00AA4B6F" w:rsidRPr="00CF31E0">
        <w:rPr>
          <w:lang w:val="en-US" w:eastAsia="en-US"/>
        </w:rPr>
        <w:t>as characteristics of the UBH</w:t>
      </w:r>
      <w:r w:rsidRPr="00CF31E0">
        <w:rPr>
          <w:lang w:val="en-US" w:eastAsia="en-US"/>
        </w:rPr>
        <w:t xml:space="preserve"> dialect in the free-adjective questionnaire are comparable to the results </w:t>
      </w:r>
      <w:r w:rsidRPr="00CF31E0">
        <w:rPr>
          <w:lang w:val="en-US" w:eastAsia="en-US"/>
        </w:rPr>
        <w:lastRenderedPageBreak/>
        <w:t>obtained from factor 1. Similarly, what has been observed a</w:t>
      </w:r>
      <w:r w:rsidR="00801AA9" w:rsidRPr="00CF31E0">
        <w:rPr>
          <w:lang w:val="en-US" w:eastAsia="en-US"/>
        </w:rPr>
        <w:t>s characteristics of the UBH</w:t>
      </w:r>
      <w:r w:rsidRPr="00CF31E0">
        <w:rPr>
          <w:lang w:val="en-US" w:eastAsia="en-US"/>
        </w:rPr>
        <w:t xml:space="preserve"> dialect is comparable to the factor 2 results. </w:t>
      </w:r>
    </w:p>
    <w:p w14:paraId="132F662E" w14:textId="09B25AF0" w:rsidR="00A23C2A" w:rsidRPr="00CF31E0" w:rsidRDefault="007F6C6D" w:rsidP="00E87209">
      <w:pPr>
        <w:pStyle w:val="Bhead"/>
        <w:rPr>
          <w:rFonts w:eastAsia="MS Mincho"/>
        </w:rPr>
      </w:pPr>
      <w:bookmarkStart w:id="662" w:name="_Toc6472750"/>
      <w:r w:rsidRPr="00CF31E0">
        <w:rPr>
          <w:rFonts w:eastAsia="MS Mincho"/>
        </w:rPr>
        <w:t>9</w:t>
      </w:r>
      <w:r w:rsidR="001C78B8" w:rsidRPr="00CF31E0">
        <w:rPr>
          <w:rFonts w:eastAsia="MS Mincho"/>
        </w:rPr>
        <w:t>.4.</w:t>
      </w:r>
      <w:r w:rsidR="00CF3993" w:rsidRPr="00CF31E0">
        <w:rPr>
          <w:rFonts w:eastAsia="MS Mincho"/>
        </w:rPr>
        <w:t>5</w:t>
      </w:r>
      <w:r w:rsidR="001C78B8" w:rsidRPr="00CF31E0">
        <w:rPr>
          <w:rFonts w:eastAsia="MS Mincho"/>
        </w:rPr>
        <w:t>.</w:t>
      </w:r>
      <w:r w:rsidR="00CF3993" w:rsidRPr="00CF31E0">
        <w:rPr>
          <w:rFonts w:eastAsia="MS Mincho"/>
        </w:rPr>
        <w:tab/>
      </w:r>
      <w:r w:rsidR="00A23C2A" w:rsidRPr="00CF31E0">
        <w:rPr>
          <w:rFonts w:eastAsia="MS Mincho"/>
        </w:rPr>
        <w:t>Naming the factors</w:t>
      </w:r>
      <w:bookmarkEnd w:id="662"/>
    </w:p>
    <w:p w14:paraId="1C6F9C26" w14:textId="417B647E" w:rsidR="00A23C2A" w:rsidRPr="006E02B4" w:rsidRDefault="00A23C2A" w:rsidP="00603CB7">
      <w:pPr>
        <w:pStyle w:val="Paragraph"/>
        <w:rPr>
          <w:lang w:val="en-US" w:eastAsia="en-US"/>
        </w:rPr>
      </w:pPr>
      <w:r w:rsidRPr="00CF31E0">
        <w:rPr>
          <w:lang w:val="en-US" w:eastAsia="en-US"/>
        </w:rPr>
        <w:fldChar w:fldCharType="begin"/>
      </w:r>
      <w:r w:rsidRPr="00CF31E0">
        <w:rPr>
          <w:lang w:val="en-US" w:eastAsia="en-US"/>
        </w:rPr>
        <w:instrText xml:space="preserve"> ADDIN ZOTERO_ITEM CSL_CITATION {"citationID":"MzooIeQG","properties":{"formattedCitation":"(Pedhazur &amp; Schmelkin, 1991)","plainCitation":"(Pedhazur &amp; Schmelkin, 1991)"},"citationItems":[{"id":226,"uris":["http://zotero.org/users/1939618/items/MVHI33I4"],"uri":["http://zotero.org/users/1939618/items/MVHI33I4"],"itemData":{"id":226,"type":"book","title":"Measurement, design, and analysis: An integrated approach","publisher":"Lawrence Erlbaum.","publisher-place":"Hillsdale, NJ","source":"Google Scholar","event-place":"Hillsdale, NJ","URL":"https://books.google.co.uk/books?hl=en&amp;lr=&amp;id=WXt_NSiqV7wC&amp;oi=fnd&amp;pg=PR2&amp;dq=Measurement,+design,+and+analysis:+An+integrated+approach.&amp;ots=7sxmH1jkJP&amp;sig=Zc9eCjwFYfacykWQiyhq5eG2s6c","shortTitle":"Measurement, design, and analysis","author":[{"family":"Pedhazur","given":"Elazar J."},{"family":"Schmelkin","given":"Liora Pedhazur"}],"issued":{"date-parts":[["1991"]]},"accessed":{"date-parts":[["2016",11,26]]}}}],"schema":"https://github.com/citation-style-language/schema/raw/master/csl-citation.json"} </w:instrText>
      </w:r>
      <w:r w:rsidRPr="00CF31E0">
        <w:rPr>
          <w:lang w:val="en-US" w:eastAsia="en-US"/>
        </w:rPr>
        <w:fldChar w:fldCharType="separate"/>
      </w:r>
      <w:r w:rsidRPr="00CF31E0">
        <w:rPr>
          <w:lang w:val="en-US" w:eastAsia="en-US"/>
        </w:rPr>
        <w:t>Pedhazur and Schmelkin (1991)</w:t>
      </w:r>
      <w:r w:rsidRPr="00CF31E0">
        <w:rPr>
          <w:lang w:val="en-US" w:eastAsia="en-US"/>
        </w:rPr>
        <w:fldChar w:fldCharType="end"/>
      </w:r>
      <w:r w:rsidRPr="00CF31E0">
        <w:rPr>
          <w:lang w:val="en-US" w:eastAsia="en-US"/>
        </w:rPr>
        <w:t xml:space="preserve"> suggest that if items in the factor analysis were initially taken from people’s perceptions, then it would better for the researcher to go back to the original perceptions and to see if there is any relation between people’s perceptions and particular factors. Consequently</w:t>
      </w:r>
      <w:r w:rsidR="00801AA9" w:rsidRPr="00CF31E0">
        <w:rPr>
          <w:lang w:val="en-US" w:eastAsia="en-US"/>
        </w:rPr>
        <w:t>,</w:t>
      </w:r>
      <w:r w:rsidRPr="00CF31E0">
        <w:rPr>
          <w:lang w:val="en-US" w:eastAsia="en-US"/>
        </w:rPr>
        <w:t xml:space="preserve"> the researcher can name the factors according to the relation found between participants’ perception and factor components. </w:t>
      </w:r>
      <w:r w:rsidRPr="00CF31E0">
        <w:rPr>
          <w:lang w:val="en-US" w:eastAsia="en-US"/>
        </w:rPr>
        <w:fldChar w:fldCharType="begin"/>
      </w:r>
      <w:r w:rsidRPr="00CF31E0">
        <w:rPr>
          <w:lang w:val="en-US" w:eastAsia="en-US"/>
        </w:rPr>
        <w:instrText xml:space="preserve"> ADDIN ZOTERO_ITEM CSL_CITATION {"citationID":"r1dpNTms","properties":{"formattedCitation":"(Pett et al., 2011, p. 4, chapter 7)","plainCitation":"(Pett et al., 2011, p. 4, chapter 7)"},"citationItems":[{"id":207,"uris":["http://zotero.org/users/1939618/items/ZQHWHPQI"],"uri":["http://zotero.org/users/1939618/items/ZQHWHPQI"],"itemData":{"id":207,"type":"book","title":"Making sense of factor analysis: The use of factor analysis for instrument development in health care research","publisher":"Sage","source":"Google Scholar","shortTitle":"Making sense of factor analysis","author":[{"family":"Pett","given":"Marjorie A."},{"family":"Lackey","given":"Nancy R."},{"family":"Sullivan","given":"John J."}],"issued":{"date-parts":[["2011"]]}},"locator":"4, chapter 7","label":"page"}],"schema":"https://github.com/citation-style-language/schema/raw/master/csl-citation.json"} </w:instrText>
      </w:r>
      <w:r w:rsidRPr="00CF31E0">
        <w:rPr>
          <w:lang w:val="en-US" w:eastAsia="en-US"/>
        </w:rPr>
        <w:fldChar w:fldCharType="separate"/>
      </w:r>
      <w:r w:rsidR="00030EEC" w:rsidRPr="00CF31E0">
        <w:rPr>
          <w:noProof/>
          <w:lang w:val="en-US" w:eastAsia="en-US"/>
        </w:rPr>
        <w:t>Pett et al. (2003</w:t>
      </w:r>
      <w:r w:rsidR="00FA482A">
        <w:rPr>
          <w:noProof/>
          <w:lang w:val="en-US" w:eastAsia="en-US"/>
        </w:rPr>
        <w:t>, p. 4</w:t>
      </w:r>
      <w:r w:rsidRPr="00CF31E0">
        <w:rPr>
          <w:noProof/>
          <w:lang w:val="en-US" w:eastAsia="en-US"/>
        </w:rPr>
        <w:t>)</w:t>
      </w:r>
      <w:r w:rsidRPr="00CF31E0">
        <w:rPr>
          <w:lang w:val="en-US" w:eastAsia="en-US"/>
        </w:rPr>
        <w:fldChar w:fldCharType="end"/>
      </w:r>
      <w:r w:rsidRPr="00CF31E0">
        <w:rPr>
          <w:lang w:val="en-US" w:eastAsia="en-US"/>
        </w:rPr>
        <w:t xml:space="preserve"> </w:t>
      </w:r>
      <w:r w:rsidRPr="009F40B8">
        <w:rPr>
          <w:lang w:val="en-US" w:eastAsia="en-US"/>
        </w:rPr>
        <w:t xml:space="preserve">recommend that the researcher can deduce the factor name by looking at items that have </w:t>
      </w:r>
      <w:r w:rsidR="00F323FC" w:rsidRPr="009F40B8">
        <w:rPr>
          <w:lang w:val="en-US" w:eastAsia="en-US"/>
        </w:rPr>
        <w:t>high</w:t>
      </w:r>
      <w:r w:rsidRPr="009F40B8">
        <w:rPr>
          <w:lang w:val="en-US" w:eastAsia="en-US"/>
        </w:rPr>
        <w:t xml:space="preserve"> loadings in the factor, and then the researcher can identify a name that best represents all items in the factor. Thus, when looking at the results from factor analysis, it seems that the </w:t>
      </w:r>
      <w:r w:rsidRPr="009F40B8">
        <w:rPr>
          <w:i/>
          <w:iCs/>
          <w:lang w:val="en-US" w:eastAsia="en-US"/>
        </w:rPr>
        <w:t>modern</w:t>
      </w:r>
      <w:r w:rsidRPr="009F40B8">
        <w:rPr>
          <w:lang w:val="en-US" w:eastAsia="en-US"/>
        </w:rPr>
        <w:t xml:space="preserve"> name </w:t>
      </w:r>
      <w:r w:rsidRPr="00CF31E0">
        <w:rPr>
          <w:lang w:val="en-US" w:eastAsia="en-US"/>
        </w:rPr>
        <w:t xml:space="preserve">best exemplifies the first factor for two reasons: first, the component </w:t>
      </w:r>
      <w:r w:rsidRPr="00CF31E0">
        <w:rPr>
          <w:i/>
          <w:iCs/>
          <w:lang w:val="en-US" w:eastAsia="en-US"/>
        </w:rPr>
        <w:t>modern</w:t>
      </w:r>
      <w:r w:rsidRPr="00CF31E0">
        <w:rPr>
          <w:lang w:val="en-US" w:eastAsia="en-US"/>
        </w:rPr>
        <w:t xml:space="preserve"> has a high item-to-factor loading; second, all items in factor 1 come under one theme, which is moderni</w:t>
      </w:r>
      <w:r w:rsidR="00AA3AF9" w:rsidRPr="00CF31E0">
        <w:rPr>
          <w:lang w:val="en-US" w:eastAsia="en-US"/>
        </w:rPr>
        <w:t>ty</w:t>
      </w:r>
      <w:r w:rsidRPr="00CF31E0">
        <w:rPr>
          <w:lang w:val="en-US" w:eastAsia="en-US"/>
        </w:rPr>
        <w:t xml:space="preserve">. Thus, factor 1 has been named </w:t>
      </w:r>
      <w:r w:rsidRPr="006E02B4">
        <w:rPr>
          <w:b/>
          <w:lang w:val="en-US" w:eastAsia="en-US"/>
        </w:rPr>
        <w:t>Modern</w:t>
      </w:r>
      <w:r w:rsidRPr="006E02B4">
        <w:rPr>
          <w:lang w:val="en-US" w:eastAsia="en-US"/>
        </w:rPr>
        <w:t>.</w:t>
      </w:r>
      <w:r w:rsidRPr="00CF31E0">
        <w:rPr>
          <w:lang w:val="en-US" w:eastAsia="en-US"/>
        </w:rPr>
        <w:t xml:space="preserve"> In regard to factor 2, </w:t>
      </w:r>
      <w:r w:rsidRPr="00CF31E0">
        <w:rPr>
          <w:i/>
          <w:lang w:val="en-US" w:eastAsia="en-US"/>
        </w:rPr>
        <w:t xml:space="preserve">traditional </w:t>
      </w:r>
      <w:r w:rsidRPr="00CF31E0">
        <w:rPr>
          <w:lang w:val="en-US" w:eastAsia="en-US"/>
        </w:rPr>
        <w:t xml:space="preserve">seems the best representative name for the same reasons: high loading </w:t>
      </w:r>
      <w:r w:rsidR="00E64F4F">
        <w:rPr>
          <w:lang w:val="en-US" w:eastAsia="en-US"/>
        </w:rPr>
        <w:t>(i</w:t>
      </w:r>
      <w:r w:rsidR="00F323FC">
        <w:rPr>
          <w:lang w:val="en-US" w:eastAsia="en-US"/>
        </w:rPr>
        <w:t>.e. it came second after correct</w:t>
      </w:r>
      <w:r w:rsidR="00E64F4F">
        <w:rPr>
          <w:lang w:val="en-US" w:eastAsia="en-US"/>
        </w:rPr>
        <w:t xml:space="preserve">, see Table 9.14 above) </w:t>
      </w:r>
      <w:r w:rsidRPr="00CF31E0">
        <w:rPr>
          <w:lang w:val="en-US" w:eastAsia="en-US"/>
        </w:rPr>
        <w:t xml:space="preserve">and good representation of other items in the factor. Hence, factor 2 has been named </w:t>
      </w:r>
      <w:r w:rsidRPr="006E02B4">
        <w:rPr>
          <w:b/>
          <w:lang w:val="en-US" w:eastAsia="en-US"/>
        </w:rPr>
        <w:t>Traditional</w:t>
      </w:r>
      <w:r w:rsidRPr="006E02B4">
        <w:rPr>
          <w:lang w:val="en-US" w:eastAsia="en-US"/>
        </w:rPr>
        <w:t>.</w:t>
      </w:r>
      <w:r w:rsidR="00E64D82">
        <w:rPr>
          <w:lang w:val="en-US" w:eastAsia="en-US"/>
        </w:rPr>
        <w:t xml:space="preserve"> Though correct</w:t>
      </w:r>
      <w:r w:rsidR="00E16C39">
        <w:rPr>
          <w:lang w:val="en-US" w:eastAsia="en-US"/>
        </w:rPr>
        <w:t xml:space="preserve"> has a higher loading than traditional in factor two, </w:t>
      </w:r>
      <w:r w:rsidR="00344630">
        <w:rPr>
          <w:lang w:val="en-US" w:eastAsia="en-US"/>
        </w:rPr>
        <w:t>I</w:t>
      </w:r>
      <w:r w:rsidR="00E16C39">
        <w:rPr>
          <w:lang w:val="en-US" w:eastAsia="en-US"/>
        </w:rPr>
        <w:t xml:space="preserve"> name the factor traditional for two reasons; first, </w:t>
      </w:r>
      <w:r w:rsidR="00F323FC">
        <w:rPr>
          <w:b/>
          <w:bCs/>
          <w:lang w:val="en-US" w:eastAsia="en-US"/>
        </w:rPr>
        <w:t>traditional</w:t>
      </w:r>
      <w:r w:rsidR="00E16C39">
        <w:rPr>
          <w:lang w:val="en-US" w:eastAsia="en-US"/>
        </w:rPr>
        <w:t xml:space="preserve"> best represents other items within factor 2 </w:t>
      </w:r>
      <w:r w:rsidR="00E64F4F">
        <w:rPr>
          <w:lang w:val="en-US" w:eastAsia="en-US"/>
        </w:rPr>
        <w:t xml:space="preserve">more than </w:t>
      </w:r>
      <w:r w:rsidR="00F323FC">
        <w:rPr>
          <w:b/>
          <w:bCs/>
          <w:lang w:val="en-US" w:eastAsia="en-US"/>
        </w:rPr>
        <w:t>correct</w:t>
      </w:r>
      <w:r w:rsidR="00E64F4F" w:rsidRPr="000E3509">
        <w:rPr>
          <w:i/>
          <w:iCs/>
          <w:lang w:val="en-US" w:eastAsia="en-US"/>
        </w:rPr>
        <w:t xml:space="preserve"> </w:t>
      </w:r>
      <w:r w:rsidR="00E16C39">
        <w:rPr>
          <w:lang w:val="en-US" w:eastAsia="en-US"/>
        </w:rPr>
        <w:t xml:space="preserve">and </w:t>
      </w:r>
      <w:r w:rsidR="00F323FC">
        <w:rPr>
          <w:lang w:val="en-US" w:eastAsia="en-US"/>
        </w:rPr>
        <w:t xml:space="preserve">second, </w:t>
      </w:r>
      <w:r w:rsidR="00F323FC">
        <w:rPr>
          <w:b/>
          <w:bCs/>
          <w:lang w:val="en-US" w:eastAsia="en-US"/>
        </w:rPr>
        <w:t>traditional</w:t>
      </w:r>
      <w:r w:rsidR="00E16C39">
        <w:rPr>
          <w:lang w:val="en-US" w:eastAsia="en-US"/>
        </w:rPr>
        <w:t xml:space="preserve"> </w:t>
      </w:r>
      <w:r w:rsidR="00E64F4F">
        <w:rPr>
          <w:lang w:val="en-US" w:eastAsia="en-US"/>
        </w:rPr>
        <w:t>best represents the Hijazi dialects background information discussed in chapter 2.</w:t>
      </w:r>
    </w:p>
    <w:p w14:paraId="00C62271" w14:textId="25D268B0" w:rsidR="00A23C2A" w:rsidRPr="00CF31E0" w:rsidRDefault="00A23C2A" w:rsidP="00603CB7">
      <w:pPr>
        <w:pStyle w:val="Paragraph"/>
        <w:rPr>
          <w:lang w:val="en-US" w:eastAsia="en-US"/>
        </w:rPr>
      </w:pPr>
      <w:r w:rsidRPr="00CF31E0">
        <w:rPr>
          <w:lang w:val="en-US" w:eastAsia="en-US"/>
        </w:rPr>
        <w:t xml:space="preserve">It is evident that the finding that emerges from factor analysis indicates the dimensions underlying the dialect characteristics: modern and traditional. As previously mentioned, all dialect data from both social groups were combined and processed as a whole. This is because I wanted to reach a more generalizable result across all participants. There is a tendency in </w:t>
      </w:r>
      <w:r w:rsidR="005D0894" w:rsidRPr="00CF31E0">
        <w:rPr>
          <w:lang w:val="en-US" w:eastAsia="en-US"/>
        </w:rPr>
        <w:t xml:space="preserve">participants’ </w:t>
      </w:r>
      <w:r w:rsidRPr="00CF31E0">
        <w:rPr>
          <w:lang w:val="en-US" w:eastAsia="en-US"/>
        </w:rPr>
        <w:t xml:space="preserve">perceptions to split modern characteristics from traditional characteristics. The remaining question to be addressed is to determine to </w:t>
      </w:r>
      <w:r w:rsidRPr="00CF31E0">
        <w:rPr>
          <w:lang w:val="en-US" w:eastAsia="en-US"/>
        </w:rPr>
        <w:lastRenderedPageBreak/>
        <w:t xml:space="preserve">which dialect the modern factor is associated and likewise the traditional factors, or whether it might be the case that both dialects were perceived as modern and traditional equally. The results from the paired t-test will reveal the extent to which factors are associated with dialects. </w:t>
      </w:r>
    </w:p>
    <w:p w14:paraId="1DCEFF5F" w14:textId="1406F7E4" w:rsidR="00A23C2A" w:rsidRPr="00CF31E0" w:rsidRDefault="007F6C6D" w:rsidP="00E87209">
      <w:pPr>
        <w:pStyle w:val="Ahead"/>
        <w:rPr>
          <w:rFonts w:eastAsia="MS Mincho"/>
        </w:rPr>
      </w:pPr>
      <w:bookmarkStart w:id="663" w:name="_Toc502437227"/>
      <w:bookmarkStart w:id="664" w:name="_Toc6472751"/>
      <w:r w:rsidRPr="00CF31E0">
        <w:rPr>
          <w:rFonts w:eastAsia="MS Mincho"/>
        </w:rPr>
        <w:t>9</w:t>
      </w:r>
      <w:r w:rsidR="001C78B8" w:rsidRPr="00CF31E0">
        <w:rPr>
          <w:rFonts w:eastAsia="MS Mincho"/>
        </w:rPr>
        <w:t>.5.</w:t>
      </w:r>
      <w:r w:rsidR="00CF3993" w:rsidRPr="00CF31E0">
        <w:rPr>
          <w:rFonts w:eastAsia="MS Mincho"/>
        </w:rPr>
        <w:tab/>
      </w:r>
      <w:r w:rsidR="00A23C2A" w:rsidRPr="00CF31E0">
        <w:rPr>
          <w:rFonts w:eastAsia="MS Mincho"/>
        </w:rPr>
        <w:t>Data comparison results</w:t>
      </w:r>
      <w:bookmarkEnd w:id="663"/>
      <w:bookmarkEnd w:id="664"/>
    </w:p>
    <w:p w14:paraId="29279BE8" w14:textId="4B5F61B9" w:rsidR="00A23C2A" w:rsidRPr="00CF31E0" w:rsidRDefault="004859A5" w:rsidP="00603CB7">
      <w:pPr>
        <w:pStyle w:val="Paragraph"/>
        <w:rPr>
          <w:lang w:val="en-US" w:eastAsia="zh-CN"/>
        </w:rPr>
      </w:pPr>
      <w:r w:rsidRPr="00CF31E0">
        <w:rPr>
          <w:lang w:val="en-US" w:eastAsia="zh-CN"/>
        </w:rPr>
        <w:t>Paired-samples t</w:t>
      </w:r>
      <w:r w:rsidR="00A23C2A" w:rsidRPr="00CF31E0">
        <w:rPr>
          <w:lang w:val="en-US" w:eastAsia="zh-CN"/>
        </w:rPr>
        <w:t xml:space="preserve">-tests are used when the researcher wants to test the mean scores for the same group but under two different occasions </w:t>
      </w:r>
      <w:r w:rsidR="00A23C2A" w:rsidRPr="00CF31E0">
        <w:rPr>
          <w:lang w:val="en-US" w:eastAsia="zh-CN"/>
        </w:rPr>
        <w:fldChar w:fldCharType="begin"/>
      </w:r>
      <w:r w:rsidR="00A23C2A" w:rsidRPr="00CF31E0">
        <w:rPr>
          <w:lang w:val="en-US" w:eastAsia="zh-CN"/>
        </w:rPr>
        <w:instrText xml:space="preserve"> ADDIN ZOTERO_ITEM CSL_CITATION {"citationID":"a1e84thtt1p","properties":{"formattedCitation":"{\\rtf (D\\uc0\\u246{}rnyei, 2007; Pallant, 2013)}","plainCitation":"(Dörnyei, 2007; Pallant, 2013)"},"citationItems":[{"id":1,"uris":["http://zotero.org/users/1939618/items/WEXVS5ZD"],"uri":["http://zotero.org/users/1939618/items/WEXVS5ZD"],"itemData":{"id":1,"type":"book","title":"Research methods in applied linguistics: Quantitative, qualitative, and mixed methodologies","publisher":"Oxford University Press Oxford","source":"Google Scholar","URL":"http://rightomc.pixub.com/k/research-methods-in-applied-linguistics-quantitative-qualitative-and-mixed-methodologies-by-zoltan-dornyei.pdf","shortTitle":"Research methods in applied linguistics","author":[{"family":"Dörnyei","given":"Zoltán"}],"issued":{"date-parts":[["2007"]]},"accessed":{"date-parts":[["2014",9,24]]}},"label":"page"},{"id":208,"uris":["http://zotero.org/users/1939618/items/ME4Z3BDW"],"uri":["http://zotero.org/users/1939618/items/ME4Z3BDW"],"itemData":{"id":208,"type":"book","title":"SPSS survival manual","publisher":"McGraw-Hill Education (UK)","edition":"5th","source":"Google Scholar","URL":"https://books.google.co.uk/books?hl=en&amp;lr=&amp;id=fZZTBgAAQBAJ&amp;oi=fnd&amp;pg=PR7&amp;dq=spss+manual+survival+5th+edition&amp;ots=KUNtjTXXyQ&amp;sig=bmJQspifgoygavKVhpMYsXasP1I","author":[{"family":"Pallant","given":"Julie"}],"issued":{"date-parts":[["2013"]]},"accessed":{"date-parts":[["2016",11,25]]}},"label":"page"}],"schema":"https://github.com/citation-style-language/schema/raw/master/csl-citation.json"} </w:instrText>
      </w:r>
      <w:r w:rsidR="00A23C2A" w:rsidRPr="00CF31E0">
        <w:rPr>
          <w:lang w:val="en-US" w:eastAsia="zh-CN"/>
        </w:rPr>
        <w:fldChar w:fldCharType="separate"/>
      </w:r>
      <w:r w:rsidR="00A23C2A" w:rsidRPr="00CF31E0">
        <w:rPr>
          <w:rFonts w:hAnsi="Calibri Light"/>
          <w:szCs w:val="22"/>
          <w:lang w:eastAsia="zh-CN"/>
        </w:rPr>
        <w:t>(</w:t>
      </w:r>
      <w:r w:rsidR="00A23C2A" w:rsidRPr="00CF31E0">
        <w:rPr>
          <w:szCs w:val="22"/>
          <w:lang w:eastAsia="zh-CN"/>
        </w:rPr>
        <w:t>D</w:t>
      </w:r>
      <w:r w:rsidR="005D0894" w:rsidRPr="00CF31E0">
        <w:rPr>
          <w:szCs w:val="22"/>
          <w:lang w:eastAsia="zh-CN"/>
        </w:rPr>
        <w:t>örnyei</w:t>
      </w:r>
      <w:r w:rsidR="00A23C2A" w:rsidRPr="00CF31E0">
        <w:rPr>
          <w:rFonts w:hAnsi="Calibri Light"/>
          <w:szCs w:val="22"/>
          <w:lang w:eastAsia="zh-CN"/>
        </w:rPr>
        <w:t>, 2007; Pallant, 2013)</w:t>
      </w:r>
      <w:r w:rsidR="00A23C2A" w:rsidRPr="00CF31E0">
        <w:rPr>
          <w:lang w:val="en-US" w:eastAsia="zh-CN"/>
        </w:rPr>
        <w:fldChar w:fldCharType="end"/>
      </w:r>
      <w:r w:rsidR="00A23C2A" w:rsidRPr="00CF31E0">
        <w:rPr>
          <w:lang w:val="en-US" w:eastAsia="zh-CN"/>
        </w:rPr>
        <w:t>. In the current analysis, two occasions occurred with the sa</w:t>
      </w:r>
      <w:r w:rsidR="00801AA9" w:rsidRPr="00CF31E0">
        <w:rPr>
          <w:lang w:val="en-US" w:eastAsia="zh-CN"/>
        </w:rPr>
        <w:t>me group of people (i.e. UBH and HH social groups</w:t>
      </w:r>
      <w:r w:rsidR="00A23C2A" w:rsidRPr="00CF31E0">
        <w:rPr>
          <w:lang w:val="en-US" w:eastAsia="zh-CN"/>
        </w:rPr>
        <w:t xml:space="preserve">). </w:t>
      </w:r>
      <w:r w:rsidR="002E4EC9" w:rsidRPr="00CF31E0">
        <w:rPr>
          <w:lang w:val="en-US" w:eastAsia="zh-CN"/>
        </w:rPr>
        <w:t xml:space="preserve">On </w:t>
      </w:r>
      <w:r w:rsidR="00A23C2A" w:rsidRPr="00CF31E0">
        <w:rPr>
          <w:lang w:val="en-US" w:eastAsia="zh-CN"/>
        </w:rPr>
        <w:t xml:space="preserve">the first occasion, the question in the questionnaire </w:t>
      </w:r>
      <w:r w:rsidR="002E4EC9" w:rsidRPr="00CF31E0">
        <w:rPr>
          <w:lang w:val="en-US" w:eastAsia="zh-CN"/>
        </w:rPr>
        <w:t xml:space="preserve">was </w:t>
      </w:r>
      <w:r w:rsidR="00A23C2A" w:rsidRPr="00CF31E0">
        <w:rPr>
          <w:lang w:val="en-US" w:eastAsia="zh-CN"/>
        </w:rPr>
        <w:t xml:space="preserve">as follows; </w:t>
      </w:r>
    </w:p>
    <w:p w14:paraId="6F94D631" w14:textId="3ED4EAA2" w:rsidR="00A23C2A" w:rsidRPr="00CF31E0" w:rsidRDefault="00A23C2A" w:rsidP="00603CB7">
      <w:pPr>
        <w:pStyle w:val="Extract"/>
        <w:rPr>
          <w:lang w:eastAsia="zh-CN"/>
        </w:rPr>
      </w:pPr>
      <w:r w:rsidRPr="00CF31E0">
        <w:rPr>
          <w:lang w:eastAsia="zh-CN"/>
        </w:rPr>
        <w:t xml:space="preserve">What are the most common </w:t>
      </w:r>
      <w:r w:rsidR="00801AA9" w:rsidRPr="00CF31E0">
        <w:rPr>
          <w:lang w:eastAsia="zh-CN"/>
        </w:rPr>
        <w:t>characteristics with the UBH</w:t>
      </w:r>
      <w:r w:rsidRPr="00CF31E0">
        <w:rPr>
          <w:lang w:eastAsia="zh-CN"/>
        </w:rPr>
        <w:t xml:space="preserve"> dialect; choose from a scale from 1-5. 1 indicates the least, 5 indicates the most. </w:t>
      </w:r>
    </w:p>
    <w:p w14:paraId="3BE9F782" w14:textId="2534C675" w:rsidR="00A23C2A" w:rsidRPr="00CF31E0" w:rsidRDefault="00A23C2A" w:rsidP="00603CB7">
      <w:pPr>
        <w:pStyle w:val="Extract"/>
        <w:rPr>
          <w:lang w:eastAsia="zh-CN"/>
        </w:rPr>
      </w:pPr>
      <w:r w:rsidRPr="00CF31E0">
        <w:rPr>
          <w:lang w:eastAsia="zh-CN"/>
        </w:rPr>
        <w:t>In the second occasion, the same question i</w:t>
      </w:r>
      <w:r w:rsidR="00801AA9" w:rsidRPr="00CF31E0">
        <w:rPr>
          <w:lang w:eastAsia="zh-CN"/>
        </w:rPr>
        <w:t>s repeated but addressing HH</w:t>
      </w:r>
      <w:r w:rsidRPr="00CF31E0">
        <w:rPr>
          <w:lang w:eastAsia="zh-CN"/>
        </w:rPr>
        <w:t xml:space="preserve"> dialect at this time. It is as follows</w:t>
      </w:r>
      <w:r w:rsidR="007F6C6D" w:rsidRPr="00CF31E0">
        <w:rPr>
          <w:lang w:eastAsia="zh-CN"/>
        </w:rPr>
        <w:t xml:space="preserve">:   </w:t>
      </w:r>
    </w:p>
    <w:p w14:paraId="19C90AAC" w14:textId="1799B7EC" w:rsidR="00A23C2A" w:rsidRPr="00CF31E0" w:rsidRDefault="00A23C2A" w:rsidP="00603CB7">
      <w:pPr>
        <w:pStyle w:val="Extract"/>
        <w:rPr>
          <w:lang w:eastAsia="zh-CN"/>
        </w:rPr>
      </w:pPr>
      <w:r w:rsidRPr="00CF31E0">
        <w:rPr>
          <w:lang w:eastAsia="zh-CN"/>
        </w:rPr>
        <w:t>What are the most common</w:t>
      </w:r>
      <w:r w:rsidR="00801AA9" w:rsidRPr="00CF31E0">
        <w:rPr>
          <w:lang w:eastAsia="zh-CN"/>
        </w:rPr>
        <w:t xml:space="preserve"> characteristics with the HH</w:t>
      </w:r>
      <w:r w:rsidRPr="00CF31E0">
        <w:rPr>
          <w:lang w:eastAsia="zh-CN"/>
        </w:rPr>
        <w:t xml:space="preserve"> dialect; choose from a scale from 1-5. 1 indicates the least, 5 indicates the most. </w:t>
      </w:r>
    </w:p>
    <w:p w14:paraId="0C3BFF1C" w14:textId="74AE3E95" w:rsidR="00801AA9" w:rsidRPr="00CF31E0" w:rsidRDefault="00A23C2A" w:rsidP="00603CB7">
      <w:pPr>
        <w:pStyle w:val="Paragraph"/>
        <w:rPr>
          <w:lang w:val="en-US" w:eastAsia="zh-CN"/>
        </w:rPr>
      </w:pPr>
      <w:r w:rsidRPr="00CF31E0">
        <w:rPr>
          <w:lang w:val="en-US" w:eastAsia="zh-CN"/>
        </w:rPr>
        <w:t xml:space="preserve">Thus, data </w:t>
      </w:r>
      <w:r w:rsidR="002E4EC9" w:rsidRPr="00CF31E0">
        <w:rPr>
          <w:lang w:val="en-US" w:eastAsia="zh-CN"/>
        </w:rPr>
        <w:t xml:space="preserve">was </w:t>
      </w:r>
      <w:r w:rsidRPr="00CF31E0">
        <w:rPr>
          <w:lang w:val="en-US" w:eastAsia="zh-CN"/>
        </w:rPr>
        <w:t xml:space="preserve">collected from the same participants under two different occasions. In paired t-tests, I compared mean scores from each factor in each dialect with its equivalent in the other dialect. </w:t>
      </w:r>
    </w:p>
    <w:p w14:paraId="536FEF18" w14:textId="01D2C5E7" w:rsidR="00A23C2A" w:rsidRPr="00CF31E0" w:rsidRDefault="00A23C2A" w:rsidP="00603CB7">
      <w:pPr>
        <w:pStyle w:val="Paragraph"/>
        <w:rPr>
          <w:rFonts w:eastAsia="Times New Roman"/>
          <w:lang w:val="en-US" w:eastAsia="zh-CN"/>
        </w:rPr>
      </w:pPr>
      <w:r w:rsidRPr="00CF31E0">
        <w:rPr>
          <w:lang w:eastAsia="en-US"/>
        </w:rPr>
        <w:t xml:space="preserve">Paired t-tests were used to compare the mean score for each factor obtained above to its equivalent in the other dialect. </w:t>
      </w:r>
      <w:r w:rsidR="007D674B" w:rsidRPr="00CF31E0">
        <w:rPr>
          <w:lang w:eastAsia="en-US"/>
        </w:rPr>
        <w:t>B</w:t>
      </w:r>
      <w:r w:rsidRPr="00CF31E0">
        <w:rPr>
          <w:lang w:eastAsia="en-US"/>
        </w:rPr>
        <w:t>efore proceeding with the paired t-tests, the combined data in the SPSS data file were transferred to two separate Excel spreadsheets. One spreadsheet combin</w:t>
      </w:r>
      <w:r w:rsidR="00801AA9" w:rsidRPr="00CF31E0">
        <w:rPr>
          <w:lang w:eastAsia="en-US"/>
        </w:rPr>
        <w:t>es all of the UBH and HH dialect data from the UBH</w:t>
      </w:r>
      <w:r w:rsidRPr="00CF31E0">
        <w:rPr>
          <w:lang w:eastAsia="en-US"/>
        </w:rPr>
        <w:t xml:space="preserve"> group’s perceptions, and the other spread</w:t>
      </w:r>
      <w:r w:rsidR="00801AA9" w:rsidRPr="00CF31E0">
        <w:rPr>
          <w:lang w:eastAsia="en-US"/>
        </w:rPr>
        <w:t>sheet combines all of the UBH and HH dialect data from the HH</w:t>
      </w:r>
      <w:r w:rsidRPr="00CF31E0">
        <w:rPr>
          <w:lang w:eastAsia="en-US"/>
        </w:rPr>
        <w:t xml:space="preserve"> group’s perceptions. Afterwards, I ran the paired t-tests </w:t>
      </w:r>
      <w:r w:rsidR="00801AA9" w:rsidRPr="00CF31E0">
        <w:rPr>
          <w:lang w:eastAsia="en-US"/>
        </w:rPr>
        <w:t>twice, once only for the UBH</w:t>
      </w:r>
      <w:r w:rsidRPr="00CF31E0">
        <w:rPr>
          <w:lang w:eastAsia="en-US"/>
        </w:rPr>
        <w:t xml:space="preserve"> part</w:t>
      </w:r>
      <w:r w:rsidR="00801AA9" w:rsidRPr="00CF31E0">
        <w:rPr>
          <w:lang w:eastAsia="en-US"/>
        </w:rPr>
        <w:t>icipants and once for the HH</w:t>
      </w:r>
      <w:r w:rsidRPr="00CF31E0">
        <w:rPr>
          <w:lang w:eastAsia="en-US"/>
        </w:rPr>
        <w:t xml:space="preserve"> participants. The following </w:t>
      </w:r>
      <w:r w:rsidRPr="00CF31E0">
        <w:rPr>
          <w:lang w:eastAsia="en-US"/>
        </w:rPr>
        <w:lastRenderedPageBreak/>
        <w:t>sections are structured according to the participants’ social group. I will start by presenting the findings on t</w:t>
      </w:r>
      <w:r w:rsidR="00801AA9" w:rsidRPr="00CF31E0">
        <w:rPr>
          <w:lang w:eastAsia="en-US"/>
        </w:rPr>
        <w:t>he two dialects from the UBH</w:t>
      </w:r>
      <w:r w:rsidRPr="00CF31E0">
        <w:rPr>
          <w:lang w:eastAsia="en-US"/>
        </w:rPr>
        <w:t xml:space="preserve"> participants’ results.</w:t>
      </w:r>
    </w:p>
    <w:p w14:paraId="08344556" w14:textId="5BA3D04A" w:rsidR="00A23C2A" w:rsidRPr="00CF31E0" w:rsidRDefault="007F6C6D" w:rsidP="00E87209">
      <w:pPr>
        <w:pStyle w:val="Bhead"/>
        <w:rPr>
          <w:rFonts w:eastAsia="MS Mincho"/>
        </w:rPr>
      </w:pPr>
      <w:bookmarkStart w:id="665" w:name="_Toc502437228"/>
      <w:bookmarkStart w:id="666" w:name="_Toc6472752"/>
      <w:r w:rsidRPr="00CF31E0">
        <w:rPr>
          <w:rFonts w:eastAsia="MS Mincho"/>
        </w:rPr>
        <w:t>9</w:t>
      </w:r>
      <w:r w:rsidR="001C78B8" w:rsidRPr="00CF31E0">
        <w:rPr>
          <w:rFonts w:eastAsia="MS Mincho"/>
        </w:rPr>
        <w:t>.5.1.</w:t>
      </w:r>
      <w:r w:rsidR="00CF3993" w:rsidRPr="00CF31E0">
        <w:rPr>
          <w:rFonts w:eastAsia="MS Mincho"/>
        </w:rPr>
        <w:tab/>
      </w:r>
      <w:r w:rsidR="00A23C2A" w:rsidRPr="00CF31E0">
        <w:rPr>
          <w:rFonts w:eastAsia="MS Mincho"/>
        </w:rPr>
        <w:t>Comparing</w:t>
      </w:r>
      <w:r w:rsidR="00801AA9" w:rsidRPr="00CF31E0">
        <w:rPr>
          <w:rFonts w:eastAsia="MS Mincho"/>
        </w:rPr>
        <w:t xml:space="preserve"> the factor mean scores: UBH</w:t>
      </w:r>
      <w:r w:rsidR="00A23C2A" w:rsidRPr="00CF31E0">
        <w:rPr>
          <w:rFonts w:eastAsia="MS Mincho"/>
        </w:rPr>
        <w:t xml:space="preserve"> participants</w:t>
      </w:r>
      <w:bookmarkEnd w:id="665"/>
      <w:bookmarkEnd w:id="666"/>
    </w:p>
    <w:p w14:paraId="5854B102" w14:textId="367A91F5" w:rsidR="00A23C2A" w:rsidRPr="00CF31E0" w:rsidRDefault="00A23C2A" w:rsidP="00603CB7">
      <w:pPr>
        <w:pStyle w:val="Paragraph"/>
        <w:rPr>
          <w:lang w:eastAsia="zh-CN"/>
        </w:rPr>
      </w:pPr>
      <w:r w:rsidRPr="00CF31E0">
        <w:rPr>
          <w:lang w:eastAsia="zh-CN"/>
        </w:rPr>
        <w:t>In this section, I will compare the factor mean scores of the modern factor in the</w:t>
      </w:r>
      <w:r w:rsidR="00801AA9" w:rsidRPr="00CF31E0">
        <w:rPr>
          <w:lang w:eastAsia="zh-CN"/>
        </w:rPr>
        <w:t xml:space="preserve"> UBH</w:t>
      </w:r>
      <w:r w:rsidRPr="00CF31E0">
        <w:rPr>
          <w:lang w:eastAsia="zh-CN"/>
        </w:rPr>
        <w:t xml:space="preserve"> dialect w</w:t>
      </w:r>
      <w:r w:rsidR="00801AA9" w:rsidRPr="00CF31E0">
        <w:rPr>
          <w:lang w:eastAsia="zh-CN"/>
        </w:rPr>
        <w:t>ith its equivalent in the HH</w:t>
      </w:r>
      <w:r w:rsidRPr="00CF31E0">
        <w:rPr>
          <w:lang w:eastAsia="zh-CN"/>
        </w:rPr>
        <w:t xml:space="preserve"> dialect. Similarly, I will compare the factor mean scores of the t</w:t>
      </w:r>
      <w:r w:rsidR="00801AA9" w:rsidRPr="00CF31E0">
        <w:rPr>
          <w:lang w:eastAsia="zh-CN"/>
        </w:rPr>
        <w:t>raditional factor in the UBH</w:t>
      </w:r>
      <w:r w:rsidRPr="00CF31E0">
        <w:rPr>
          <w:lang w:eastAsia="zh-CN"/>
        </w:rPr>
        <w:t xml:space="preserve"> dialect w</w:t>
      </w:r>
      <w:r w:rsidR="00801AA9" w:rsidRPr="00CF31E0">
        <w:rPr>
          <w:lang w:eastAsia="zh-CN"/>
        </w:rPr>
        <w:t>ith its equivalent in the HH</w:t>
      </w:r>
      <w:r w:rsidRPr="00CF31E0">
        <w:rPr>
          <w:lang w:eastAsia="zh-CN"/>
        </w:rPr>
        <w:t xml:space="preserve"> dialect. Then, if any statistical significance emerges in the results, I will compare the factor score means to identify where the difference lies. Table </w:t>
      </w:r>
      <w:r w:rsidR="007F6C6D" w:rsidRPr="00CF31E0">
        <w:rPr>
          <w:lang w:eastAsia="zh-CN"/>
        </w:rPr>
        <w:t>9</w:t>
      </w:r>
      <w:r w:rsidR="001C78B8" w:rsidRPr="00CF31E0">
        <w:rPr>
          <w:lang w:eastAsia="zh-CN"/>
        </w:rPr>
        <w:t>.1</w:t>
      </w:r>
      <w:r w:rsidR="00CF3993" w:rsidRPr="00CF31E0">
        <w:rPr>
          <w:lang w:eastAsia="zh-CN"/>
        </w:rPr>
        <w:t>5</w:t>
      </w:r>
      <w:r w:rsidR="001C78B8" w:rsidRPr="00CF31E0">
        <w:rPr>
          <w:lang w:eastAsia="zh-CN"/>
        </w:rPr>
        <w:t xml:space="preserve"> </w:t>
      </w:r>
      <w:r w:rsidRPr="00CF31E0">
        <w:rPr>
          <w:lang w:eastAsia="zh-CN"/>
        </w:rPr>
        <w:t>illustrates the significance values for each pair of factors (e</w:t>
      </w:r>
      <w:r w:rsidR="00801AA9" w:rsidRPr="00CF31E0">
        <w:rPr>
          <w:lang w:eastAsia="zh-CN"/>
        </w:rPr>
        <w:t>.g. modern factor in the UBH</w:t>
      </w:r>
      <w:r w:rsidRPr="00CF31E0">
        <w:rPr>
          <w:lang w:eastAsia="zh-CN"/>
        </w:rPr>
        <w:t xml:space="preserve"> dialect with</w:t>
      </w:r>
      <w:r w:rsidR="00801AA9" w:rsidRPr="00CF31E0">
        <w:rPr>
          <w:lang w:eastAsia="zh-CN"/>
        </w:rPr>
        <w:t xml:space="preserve"> the modern factor in the HH</w:t>
      </w:r>
      <w:r w:rsidRPr="00CF31E0">
        <w:rPr>
          <w:lang w:eastAsia="zh-CN"/>
        </w:rPr>
        <w:t xml:space="preserve"> dialect).</w:t>
      </w:r>
    </w:p>
    <w:tbl>
      <w:tblPr>
        <w:tblW w:w="7382"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63"/>
        <w:gridCol w:w="2567"/>
        <w:gridCol w:w="942"/>
        <w:gridCol w:w="1022"/>
        <w:gridCol w:w="1013"/>
        <w:gridCol w:w="1275"/>
      </w:tblGrid>
      <w:tr w:rsidR="00DB766A" w:rsidRPr="00CF31E0" w14:paraId="2AF09C4A" w14:textId="77777777" w:rsidTr="00DB766A">
        <w:trPr>
          <w:cantSplit/>
          <w:trHeight w:val="145"/>
        </w:trPr>
        <w:tc>
          <w:tcPr>
            <w:tcW w:w="3130" w:type="dxa"/>
            <w:gridSpan w:val="2"/>
            <w:vMerge w:val="restart"/>
            <w:shd w:val="clear" w:color="auto" w:fill="FFFFFF"/>
            <w:vAlign w:val="bottom"/>
          </w:tcPr>
          <w:p w14:paraId="177EC2C0" w14:textId="77777777" w:rsidR="00DB766A" w:rsidRPr="00CF31E0" w:rsidRDefault="00DB766A" w:rsidP="00603CB7">
            <w:pPr>
              <w:widowControl w:val="0"/>
              <w:autoSpaceDE w:val="0"/>
              <w:autoSpaceDN w:val="0"/>
              <w:adjustRightInd w:val="0"/>
              <w:spacing w:line="360" w:lineRule="auto"/>
              <w:rPr>
                <w:rFonts w:eastAsia="Times New Roman"/>
                <w:color w:val="000000" w:themeColor="text1"/>
                <w:sz w:val="22"/>
                <w:szCs w:val="22"/>
                <w:lang w:eastAsia="zh-CN"/>
              </w:rPr>
            </w:pPr>
          </w:p>
        </w:tc>
        <w:tc>
          <w:tcPr>
            <w:tcW w:w="942" w:type="dxa"/>
            <w:vMerge w:val="restart"/>
            <w:shd w:val="clear" w:color="auto" w:fill="FFFFFF"/>
            <w:vAlign w:val="bottom"/>
          </w:tcPr>
          <w:p w14:paraId="7501FC5D" w14:textId="77777777" w:rsidR="00DB766A" w:rsidRPr="00CF31E0" w:rsidRDefault="00DB766A" w:rsidP="00603CB7">
            <w:pPr>
              <w:widowControl w:val="0"/>
              <w:autoSpaceDE w:val="0"/>
              <w:autoSpaceDN w:val="0"/>
              <w:adjustRightInd w:val="0"/>
              <w:spacing w:line="360" w:lineRule="auto"/>
              <w:ind w:left="60" w:right="60"/>
              <w:jc w:val="center"/>
              <w:rPr>
                <w:rFonts w:eastAsia="Times New Roman"/>
                <w:color w:val="000000" w:themeColor="text1"/>
                <w:sz w:val="22"/>
                <w:szCs w:val="22"/>
                <w:lang w:eastAsia="zh-CN"/>
              </w:rPr>
            </w:pPr>
            <w:r w:rsidRPr="00CF31E0">
              <w:rPr>
                <w:rFonts w:eastAsia="Times New Roman"/>
                <w:color w:val="000000" w:themeColor="text1"/>
                <w:sz w:val="22"/>
                <w:szCs w:val="22"/>
                <w:lang w:eastAsia="zh-CN"/>
              </w:rPr>
              <w:t>Mean</w:t>
            </w:r>
          </w:p>
        </w:tc>
        <w:tc>
          <w:tcPr>
            <w:tcW w:w="1022" w:type="dxa"/>
            <w:vMerge w:val="restart"/>
            <w:shd w:val="clear" w:color="auto" w:fill="FFFFFF"/>
            <w:vAlign w:val="bottom"/>
          </w:tcPr>
          <w:p w14:paraId="683B79F6" w14:textId="77777777" w:rsidR="00DB766A" w:rsidRPr="00CF31E0" w:rsidRDefault="00DB766A" w:rsidP="00603CB7">
            <w:pPr>
              <w:widowControl w:val="0"/>
              <w:autoSpaceDE w:val="0"/>
              <w:autoSpaceDN w:val="0"/>
              <w:adjustRightInd w:val="0"/>
              <w:spacing w:line="360" w:lineRule="auto"/>
              <w:ind w:left="60" w:right="60"/>
              <w:jc w:val="center"/>
              <w:rPr>
                <w:rFonts w:eastAsia="Times New Roman"/>
                <w:color w:val="000000" w:themeColor="text1"/>
                <w:sz w:val="22"/>
                <w:szCs w:val="22"/>
                <w:lang w:eastAsia="zh-CN"/>
              </w:rPr>
            </w:pPr>
            <w:r w:rsidRPr="00CF31E0">
              <w:rPr>
                <w:rFonts w:eastAsia="Times New Roman"/>
                <w:color w:val="000000" w:themeColor="text1"/>
                <w:sz w:val="22"/>
                <w:szCs w:val="22"/>
                <w:lang w:eastAsia="zh-CN"/>
              </w:rPr>
              <w:t>Std. Deviation</w:t>
            </w:r>
          </w:p>
        </w:tc>
        <w:tc>
          <w:tcPr>
            <w:tcW w:w="1013" w:type="dxa"/>
            <w:vMerge w:val="restart"/>
            <w:shd w:val="clear" w:color="auto" w:fill="FFFFFF"/>
            <w:vAlign w:val="bottom"/>
          </w:tcPr>
          <w:p w14:paraId="4CC2CE13" w14:textId="77777777" w:rsidR="00DB766A" w:rsidRPr="00CF31E0" w:rsidRDefault="00DB766A" w:rsidP="00603CB7">
            <w:pPr>
              <w:widowControl w:val="0"/>
              <w:autoSpaceDE w:val="0"/>
              <w:autoSpaceDN w:val="0"/>
              <w:adjustRightInd w:val="0"/>
              <w:spacing w:line="360" w:lineRule="auto"/>
              <w:ind w:left="60" w:right="60"/>
              <w:jc w:val="center"/>
              <w:rPr>
                <w:rFonts w:eastAsia="Times New Roman"/>
                <w:color w:val="000000" w:themeColor="text1"/>
                <w:sz w:val="22"/>
                <w:szCs w:val="22"/>
                <w:lang w:eastAsia="zh-CN"/>
              </w:rPr>
            </w:pPr>
            <w:r w:rsidRPr="00CF31E0">
              <w:rPr>
                <w:rFonts w:eastAsia="Times New Roman"/>
                <w:color w:val="000000" w:themeColor="text1"/>
                <w:sz w:val="22"/>
                <w:szCs w:val="22"/>
                <w:lang w:eastAsia="zh-CN"/>
              </w:rPr>
              <w:t>Std. Error Mean</w:t>
            </w:r>
          </w:p>
        </w:tc>
        <w:tc>
          <w:tcPr>
            <w:tcW w:w="1275" w:type="dxa"/>
            <w:shd w:val="clear" w:color="auto" w:fill="FFFFFF"/>
            <w:vAlign w:val="bottom"/>
          </w:tcPr>
          <w:p w14:paraId="0CAEDA12" w14:textId="77777777" w:rsidR="00DB766A" w:rsidRPr="00CF31E0" w:rsidRDefault="00DB766A" w:rsidP="00603CB7">
            <w:pPr>
              <w:widowControl w:val="0"/>
              <w:autoSpaceDE w:val="0"/>
              <w:autoSpaceDN w:val="0"/>
              <w:adjustRightInd w:val="0"/>
              <w:spacing w:line="360" w:lineRule="auto"/>
              <w:rPr>
                <w:rFonts w:eastAsia="Times New Roman"/>
                <w:color w:val="000000" w:themeColor="text1"/>
                <w:sz w:val="22"/>
                <w:szCs w:val="22"/>
                <w:lang w:eastAsia="zh-CN"/>
              </w:rPr>
            </w:pPr>
          </w:p>
        </w:tc>
      </w:tr>
      <w:tr w:rsidR="00DB766A" w:rsidRPr="00CF31E0" w14:paraId="31B0E96B" w14:textId="77777777" w:rsidTr="00DB766A">
        <w:trPr>
          <w:cantSplit/>
          <w:trHeight w:val="145"/>
        </w:trPr>
        <w:tc>
          <w:tcPr>
            <w:tcW w:w="3130" w:type="dxa"/>
            <w:gridSpan w:val="2"/>
            <w:vMerge/>
            <w:shd w:val="clear" w:color="auto" w:fill="FFFFFF"/>
            <w:vAlign w:val="bottom"/>
          </w:tcPr>
          <w:p w14:paraId="6BA87BC0" w14:textId="77777777" w:rsidR="00DB766A" w:rsidRPr="00CF31E0" w:rsidRDefault="00DB766A" w:rsidP="00603CB7">
            <w:pPr>
              <w:widowControl w:val="0"/>
              <w:autoSpaceDE w:val="0"/>
              <w:autoSpaceDN w:val="0"/>
              <w:adjustRightInd w:val="0"/>
              <w:spacing w:line="360" w:lineRule="auto"/>
              <w:rPr>
                <w:rFonts w:eastAsia="Times New Roman"/>
                <w:color w:val="000000" w:themeColor="text1"/>
                <w:sz w:val="22"/>
                <w:szCs w:val="22"/>
                <w:lang w:eastAsia="zh-CN"/>
              </w:rPr>
            </w:pPr>
          </w:p>
        </w:tc>
        <w:tc>
          <w:tcPr>
            <w:tcW w:w="942" w:type="dxa"/>
            <w:vMerge/>
            <w:shd w:val="clear" w:color="auto" w:fill="FFFFFF"/>
            <w:vAlign w:val="bottom"/>
          </w:tcPr>
          <w:p w14:paraId="39A06FC8" w14:textId="77777777" w:rsidR="00DB766A" w:rsidRPr="00CF31E0" w:rsidRDefault="00DB766A" w:rsidP="00603CB7">
            <w:pPr>
              <w:widowControl w:val="0"/>
              <w:autoSpaceDE w:val="0"/>
              <w:autoSpaceDN w:val="0"/>
              <w:adjustRightInd w:val="0"/>
              <w:spacing w:line="360" w:lineRule="auto"/>
              <w:rPr>
                <w:rFonts w:eastAsia="Times New Roman"/>
                <w:color w:val="000000" w:themeColor="text1"/>
                <w:sz w:val="22"/>
                <w:szCs w:val="22"/>
                <w:lang w:eastAsia="zh-CN"/>
              </w:rPr>
            </w:pPr>
          </w:p>
        </w:tc>
        <w:tc>
          <w:tcPr>
            <w:tcW w:w="1022" w:type="dxa"/>
            <w:vMerge/>
            <w:shd w:val="clear" w:color="auto" w:fill="FFFFFF"/>
            <w:vAlign w:val="bottom"/>
          </w:tcPr>
          <w:p w14:paraId="5AED2F3C" w14:textId="77777777" w:rsidR="00DB766A" w:rsidRPr="00CF31E0" w:rsidRDefault="00DB766A" w:rsidP="00603CB7">
            <w:pPr>
              <w:widowControl w:val="0"/>
              <w:autoSpaceDE w:val="0"/>
              <w:autoSpaceDN w:val="0"/>
              <w:adjustRightInd w:val="0"/>
              <w:spacing w:line="360" w:lineRule="auto"/>
              <w:rPr>
                <w:rFonts w:eastAsia="Times New Roman"/>
                <w:color w:val="000000" w:themeColor="text1"/>
                <w:sz w:val="22"/>
                <w:szCs w:val="22"/>
                <w:lang w:eastAsia="zh-CN"/>
              </w:rPr>
            </w:pPr>
          </w:p>
        </w:tc>
        <w:tc>
          <w:tcPr>
            <w:tcW w:w="1013" w:type="dxa"/>
            <w:vMerge/>
            <w:shd w:val="clear" w:color="auto" w:fill="FFFFFF"/>
            <w:vAlign w:val="bottom"/>
          </w:tcPr>
          <w:p w14:paraId="5839F9FF" w14:textId="77777777" w:rsidR="00DB766A" w:rsidRPr="00CF31E0" w:rsidRDefault="00DB766A" w:rsidP="00603CB7">
            <w:pPr>
              <w:widowControl w:val="0"/>
              <w:autoSpaceDE w:val="0"/>
              <w:autoSpaceDN w:val="0"/>
              <w:adjustRightInd w:val="0"/>
              <w:spacing w:line="360" w:lineRule="auto"/>
              <w:rPr>
                <w:rFonts w:eastAsia="Times New Roman"/>
                <w:color w:val="000000" w:themeColor="text1"/>
                <w:sz w:val="22"/>
                <w:szCs w:val="22"/>
                <w:lang w:eastAsia="zh-CN"/>
              </w:rPr>
            </w:pPr>
          </w:p>
        </w:tc>
        <w:tc>
          <w:tcPr>
            <w:tcW w:w="1275" w:type="dxa"/>
            <w:shd w:val="clear" w:color="auto" w:fill="FFFFFF"/>
            <w:vAlign w:val="bottom"/>
          </w:tcPr>
          <w:p w14:paraId="7B136259" w14:textId="7653E591" w:rsidR="00DB766A" w:rsidRPr="00CF31E0" w:rsidRDefault="00DB766A" w:rsidP="00603CB7">
            <w:pPr>
              <w:widowControl w:val="0"/>
              <w:autoSpaceDE w:val="0"/>
              <w:autoSpaceDN w:val="0"/>
              <w:adjustRightInd w:val="0"/>
              <w:spacing w:line="360" w:lineRule="auto"/>
              <w:rPr>
                <w:rFonts w:eastAsia="Times New Roman"/>
                <w:color w:val="000000" w:themeColor="text1"/>
                <w:sz w:val="22"/>
                <w:szCs w:val="22"/>
                <w:lang w:eastAsia="zh-CN"/>
              </w:rPr>
            </w:pPr>
            <w:r w:rsidRPr="00CF31E0">
              <w:rPr>
                <w:rFonts w:eastAsia="Times New Roman"/>
                <w:color w:val="000000" w:themeColor="text1"/>
                <w:sz w:val="22"/>
                <w:szCs w:val="22"/>
                <w:lang w:eastAsia="zh-CN"/>
              </w:rPr>
              <w:t>Sig (2-tailed)</w:t>
            </w:r>
          </w:p>
        </w:tc>
      </w:tr>
      <w:tr w:rsidR="00DB766A" w:rsidRPr="00CF31E0" w14:paraId="6F673E67" w14:textId="77777777" w:rsidTr="00DB766A">
        <w:trPr>
          <w:cantSplit/>
          <w:trHeight w:val="961"/>
        </w:trPr>
        <w:tc>
          <w:tcPr>
            <w:tcW w:w="563" w:type="dxa"/>
            <w:shd w:val="clear" w:color="auto" w:fill="FFFFFF"/>
          </w:tcPr>
          <w:p w14:paraId="6AF775BA" w14:textId="77777777" w:rsidR="00DB766A" w:rsidRPr="00CF31E0" w:rsidRDefault="00DB766A" w:rsidP="00603CB7">
            <w:pPr>
              <w:widowControl w:val="0"/>
              <w:autoSpaceDE w:val="0"/>
              <w:autoSpaceDN w:val="0"/>
              <w:adjustRightInd w:val="0"/>
              <w:spacing w:before="120" w:line="360" w:lineRule="auto"/>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Pair 1</w:t>
            </w:r>
          </w:p>
        </w:tc>
        <w:tc>
          <w:tcPr>
            <w:tcW w:w="2567" w:type="dxa"/>
            <w:shd w:val="clear" w:color="auto" w:fill="FFFFFF"/>
          </w:tcPr>
          <w:p w14:paraId="326C41D4" w14:textId="51865D1B" w:rsidR="00DB766A" w:rsidRPr="00CF31E0" w:rsidRDefault="00DB766A" w:rsidP="00603CB7">
            <w:pPr>
              <w:widowControl w:val="0"/>
              <w:autoSpaceDE w:val="0"/>
              <w:autoSpaceDN w:val="0"/>
              <w:adjustRightInd w:val="0"/>
              <w:spacing w:before="120" w:line="360" w:lineRule="auto"/>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Modern factor (UBH dialect) – Modern factor (HH dialect)</w:t>
            </w:r>
          </w:p>
        </w:tc>
        <w:tc>
          <w:tcPr>
            <w:tcW w:w="942" w:type="dxa"/>
            <w:shd w:val="clear" w:color="auto" w:fill="FFFFFF"/>
            <w:vAlign w:val="center"/>
          </w:tcPr>
          <w:p w14:paraId="7E263302" w14:textId="77777777" w:rsidR="00DB766A" w:rsidRPr="00CF31E0" w:rsidRDefault="00DB766A" w:rsidP="00DB766A">
            <w:pPr>
              <w:widowControl w:val="0"/>
              <w:autoSpaceDE w:val="0"/>
              <w:autoSpaceDN w:val="0"/>
              <w:adjustRightInd w:val="0"/>
              <w:spacing w:line="360" w:lineRule="auto"/>
              <w:ind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-.87980</w:t>
            </w:r>
          </w:p>
        </w:tc>
        <w:tc>
          <w:tcPr>
            <w:tcW w:w="1022" w:type="dxa"/>
            <w:shd w:val="clear" w:color="auto" w:fill="FFFFFF"/>
            <w:vAlign w:val="center"/>
          </w:tcPr>
          <w:p w14:paraId="1A7FE17E" w14:textId="77777777" w:rsidR="00DB766A" w:rsidRPr="00CF31E0" w:rsidRDefault="00DB766A" w:rsidP="00DB766A">
            <w:pPr>
              <w:widowControl w:val="0"/>
              <w:autoSpaceDE w:val="0"/>
              <w:autoSpaceDN w:val="0"/>
              <w:adjustRightInd w:val="0"/>
              <w:spacing w:line="360" w:lineRule="auto"/>
              <w:ind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1.85810</w:t>
            </w:r>
          </w:p>
        </w:tc>
        <w:tc>
          <w:tcPr>
            <w:tcW w:w="1013" w:type="dxa"/>
            <w:shd w:val="clear" w:color="auto" w:fill="FFFFFF"/>
            <w:vAlign w:val="center"/>
          </w:tcPr>
          <w:p w14:paraId="36FA6BBA" w14:textId="77777777" w:rsidR="00DB766A" w:rsidRPr="00CF31E0" w:rsidRDefault="00DB766A" w:rsidP="00DB766A">
            <w:pPr>
              <w:widowControl w:val="0"/>
              <w:autoSpaceDE w:val="0"/>
              <w:autoSpaceDN w:val="0"/>
              <w:adjustRightInd w:val="0"/>
              <w:spacing w:line="360" w:lineRule="auto"/>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.03270</w:t>
            </w:r>
          </w:p>
        </w:tc>
        <w:tc>
          <w:tcPr>
            <w:tcW w:w="1275" w:type="dxa"/>
            <w:shd w:val="clear" w:color="auto" w:fill="FFFFFF"/>
            <w:vAlign w:val="center"/>
          </w:tcPr>
          <w:p w14:paraId="256D5BCB" w14:textId="77777777" w:rsidR="00DB766A" w:rsidRPr="00CF31E0" w:rsidRDefault="00DB766A" w:rsidP="00DB766A">
            <w:pPr>
              <w:widowControl w:val="0"/>
              <w:autoSpaceDE w:val="0"/>
              <w:autoSpaceDN w:val="0"/>
              <w:adjustRightInd w:val="0"/>
              <w:spacing w:line="360" w:lineRule="auto"/>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.000</w:t>
            </w:r>
          </w:p>
        </w:tc>
      </w:tr>
      <w:tr w:rsidR="00DB766A" w:rsidRPr="00CF31E0" w14:paraId="70994532" w14:textId="77777777" w:rsidTr="00DB766A">
        <w:trPr>
          <w:cantSplit/>
          <w:trHeight w:val="970"/>
        </w:trPr>
        <w:tc>
          <w:tcPr>
            <w:tcW w:w="563" w:type="dxa"/>
            <w:shd w:val="clear" w:color="auto" w:fill="FFFFFF"/>
          </w:tcPr>
          <w:p w14:paraId="66D1F671" w14:textId="77777777" w:rsidR="00DB766A" w:rsidRPr="00CF31E0" w:rsidRDefault="00DB766A" w:rsidP="00603CB7">
            <w:pPr>
              <w:widowControl w:val="0"/>
              <w:autoSpaceDE w:val="0"/>
              <w:autoSpaceDN w:val="0"/>
              <w:adjustRightInd w:val="0"/>
              <w:spacing w:before="120" w:line="360" w:lineRule="auto"/>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Pair 2</w:t>
            </w:r>
          </w:p>
        </w:tc>
        <w:tc>
          <w:tcPr>
            <w:tcW w:w="2567" w:type="dxa"/>
            <w:shd w:val="clear" w:color="auto" w:fill="FFFFFF"/>
          </w:tcPr>
          <w:p w14:paraId="1FE84503" w14:textId="327C3F2D" w:rsidR="00DB766A" w:rsidRPr="00CF31E0" w:rsidRDefault="00DB766A" w:rsidP="00603CB7">
            <w:pPr>
              <w:widowControl w:val="0"/>
              <w:autoSpaceDE w:val="0"/>
              <w:autoSpaceDN w:val="0"/>
              <w:adjustRightInd w:val="0"/>
              <w:spacing w:before="120" w:line="360" w:lineRule="auto"/>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Traditional factor (UBH dialect)- Traditional factor (HH dialect)</w:t>
            </w:r>
          </w:p>
        </w:tc>
        <w:tc>
          <w:tcPr>
            <w:tcW w:w="942" w:type="dxa"/>
            <w:shd w:val="clear" w:color="auto" w:fill="FFFFFF"/>
            <w:vAlign w:val="center"/>
          </w:tcPr>
          <w:p w14:paraId="2CAC5683" w14:textId="77777777" w:rsidR="00DB766A" w:rsidRPr="00CF31E0" w:rsidRDefault="00DB766A" w:rsidP="00DB766A">
            <w:pPr>
              <w:widowControl w:val="0"/>
              <w:autoSpaceDE w:val="0"/>
              <w:autoSpaceDN w:val="0"/>
              <w:adjustRightInd w:val="0"/>
              <w:spacing w:line="360" w:lineRule="auto"/>
              <w:ind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1.27978</w:t>
            </w:r>
          </w:p>
        </w:tc>
        <w:tc>
          <w:tcPr>
            <w:tcW w:w="1022" w:type="dxa"/>
            <w:shd w:val="clear" w:color="auto" w:fill="FFFFFF"/>
            <w:vAlign w:val="center"/>
          </w:tcPr>
          <w:p w14:paraId="6A7FB1EF" w14:textId="77777777" w:rsidR="00DB766A" w:rsidRPr="00CF31E0" w:rsidRDefault="00DB766A" w:rsidP="00DB766A">
            <w:pPr>
              <w:widowControl w:val="0"/>
              <w:autoSpaceDE w:val="0"/>
              <w:autoSpaceDN w:val="0"/>
              <w:adjustRightInd w:val="0"/>
              <w:spacing w:line="360" w:lineRule="auto"/>
              <w:ind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1.91936</w:t>
            </w:r>
          </w:p>
        </w:tc>
        <w:tc>
          <w:tcPr>
            <w:tcW w:w="1013" w:type="dxa"/>
            <w:shd w:val="clear" w:color="auto" w:fill="FFFFFF"/>
            <w:vAlign w:val="center"/>
          </w:tcPr>
          <w:p w14:paraId="3FDA0F91" w14:textId="77777777" w:rsidR="00DB766A" w:rsidRPr="00CF31E0" w:rsidRDefault="00DB766A" w:rsidP="00DB766A">
            <w:pPr>
              <w:widowControl w:val="0"/>
              <w:autoSpaceDE w:val="0"/>
              <w:autoSpaceDN w:val="0"/>
              <w:adjustRightInd w:val="0"/>
              <w:spacing w:line="360" w:lineRule="auto"/>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.04781</w:t>
            </w:r>
          </w:p>
        </w:tc>
        <w:tc>
          <w:tcPr>
            <w:tcW w:w="1275" w:type="dxa"/>
            <w:shd w:val="clear" w:color="auto" w:fill="FFFFFF"/>
            <w:vAlign w:val="center"/>
          </w:tcPr>
          <w:p w14:paraId="1421D29B" w14:textId="77777777" w:rsidR="00DB766A" w:rsidRPr="00CF31E0" w:rsidRDefault="00DB766A" w:rsidP="00DB766A">
            <w:pPr>
              <w:widowControl w:val="0"/>
              <w:autoSpaceDE w:val="0"/>
              <w:autoSpaceDN w:val="0"/>
              <w:adjustRightInd w:val="0"/>
              <w:spacing w:line="360" w:lineRule="auto"/>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.000</w:t>
            </w:r>
          </w:p>
        </w:tc>
      </w:tr>
    </w:tbl>
    <w:p w14:paraId="4300748B" w14:textId="475655FB" w:rsidR="00A23C2A" w:rsidRPr="00CF31E0" w:rsidRDefault="00A23C2A" w:rsidP="007F6C6D">
      <w:pPr>
        <w:pStyle w:val="Tablecaption"/>
        <w:rPr>
          <w:lang w:eastAsia="en-US"/>
        </w:rPr>
      </w:pPr>
      <w:bookmarkStart w:id="667" w:name="_Toc522527451"/>
      <w:bookmarkStart w:id="668" w:name="_Toc522628863"/>
      <w:bookmarkStart w:id="669" w:name="_Toc522629027"/>
      <w:bookmarkStart w:id="670" w:name="_Toc6473124"/>
      <w:r w:rsidRPr="00CF31E0">
        <w:rPr>
          <w:rFonts w:eastAsia="Times New Roman"/>
          <w:lang w:eastAsia="zh-CN"/>
        </w:rPr>
        <w:t xml:space="preserve">Table </w:t>
      </w:r>
      <w:r w:rsidR="007F6C6D" w:rsidRPr="00CF31E0">
        <w:rPr>
          <w:rFonts w:eastAsia="Times New Roman"/>
          <w:lang w:eastAsia="zh-CN"/>
        </w:rPr>
        <w:t>9</w:t>
      </w:r>
      <w:r w:rsidR="001C78B8" w:rsidRPr="00CF31E0">
        <w:rPr>
          <w:rFonts w:eastAsia="Times New Roman"/>
          <w:lang w:eastAsia="zh-CN"/>
        </w:rPr>
        <w:t>.1</w:t>
      </w:r>
      <w:r w:rsidR="00CF3993" w:rsidRPr="00CF31E0">
        <w:rPr>
          <w:rFonts w:eastAsia="Times New Roman"/>
          <w:lang w:eastAsia="zh-CN"/>
        </w:rPr>
        <w:t>5</w:t>
      </w:r>
      <w:r w:rsidRPr="00CF31E0">
        <w:rPr>
          <w:rFonts w:eastAsia="Times New Roman"/>
          <w:lang w:eastAsia="zh-CN"/>
        </w:rPr>
        <w:t xml:space="preserve">: </w:t>
      </w:r>
      <w:r w:rsidR="00801AA9" w:rsidRPr="00CF31E0">
        <w:rPr>
          <w:lang w:eastAsia="en-US"/>
        </w:rPr>
        <w:t>Paired</w:t>
      </w:r>
      <w:r w:rsidR="005D0894" w:rsidRPr="00CF31E0">
        <w:rPr>
          <w:lang w:eastAsia="en-US"/>
        </w:rPr>
        <w:t>-samples</w:t>
      </w:r>
      <w:r w:rsidR="00801AA9" w:rsidRPr="00CF31E0">
        <w:rPr>
          <w:lang w:eastAsia="en-US"/>
        </w:rPr>
        <w:t xml:space="preserve"> test for UBH</w:t>
      </w:r>
      <w:r w:rsidRPr="00CF31E0">
        <w:rPr>
          <w:lang w:eastAsia="en-US"/>
        </w:rPr>
        <w:t xml:space="preserve"> participants.</w:t>
      </w:r>
      <w:bookmarkEnd w:id="667"/>
      <w:bookmarkEnd w:id="668"/>
      <w:bookmarkEnd w:id="669"/>
      <w:bookmarkEnd w:id="670"/>
    </w:p>
    <w:p w14:paraId="0383C933" w14:textId="562D55D9" w:rsidR="00A23C2A" w:rsidRPr="00CF31E0" w:rsidRDefault="00A23C2A" w:rsidP="00603CB7">
      <w:pPr>
        <w:pStyle w:val="Paragraph"/>
      </w:pPr>
      <w:r w:rsidRPr="00CF31E0">
        <w:t xml:space="preserve">As can be seen from Table </w:t>
      </w:r>
      <w:r w:rsidR="007F6C6D" w:rsidRPr="00CF31E0">
        <w:t>9</w:t>
      </w:r>
      <w:r w:rsidR="001C78B8" w:rsidRPr="00CF31E0">
        <w:t>.1</w:t>
      </w:r>
      <w:r w:rsidR="00CF3993" w:rsidRPr="00CF31E0">
        <w:t>5</w:t>
      </w:r>
      <w:r w:rsidR="001C78B8" w:rsidRPr="00CF31E0">
        <w:t xml:space="preserve"> </w:t>
      </w:r>
      <w:r w:rsidRPr="00CF31E0">
        <w:t>above, the significance values are illustrated in the last column (Sig. 2- tailed). This is the probability value that a researcher needs to look at when analysing findings from paired t-tests. The table above shows that the p value is (.000) for the two sets of pairs, which shows that they are significantly different. There is a significant value in the modern f</w:t>
      </w:r>
      <w:r w:rsidR="00A301F2" w:rsidRPr="00CF31E0">
        <w:t>actor test scores in the UBH dialect data and HH</w:t>
      </w:r>
      <w:r w:rsidRPr="00CF31E0">
        <w:t xml:space="preserve"> dialect data. Likewise, there is another significant value in the traditional f</w:t>
      </w:r>
      <w:r w:rsidR="00A301F2" w:rsidRPr="00CF31E0">
        <w:t>actor test scores in the UBH and HH</w:t>
      </w:r>
      <w:r w:rsidRPr="00CF31E0">
        <w:t xml:space="preserve"> dialect data. Generally, the results are clearly significant, and what is needed now is to identify where the high and low </w:t>
      </w:r>
      <w:r w:rsidRPr="00CF31E0">
        <w:lastRenderedPageBreak/>
        <w:t xml:space="preserve">mean scores lie within each factor. In doing so, the mean scores for each factor need to be compared with their equivalent in the other dialect. See Table </w:t>
      </w:r>
      <w:r w:rsidR="001C78B8" w:rsidRPr="00CF31E0">
        <w:t>8.1</w:t>
      </w:r>
      <w:r w:rsidR="00CF3993" w:rsidRPr="00CF31E0">
        <w:t>6</w:t>
      </w:r>
      <w:r w:rsidRPr="00CF31E0">
        <w:t xml:space="preserve">. </w:t>
      </w:r>
    </w:p>
    <w:tbl>
      <w:tblPr>
        <w:tblW w:w="7401" w:type="dxa"/>
        <w:tblInd w:w="-20"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417"/>
        <w:gridCol w:w="3008"/>
        <w:gridCol w:w="1701"/>
        <w:gridCol w:w="1275"/>
      </w:tblGrid>
      <w:tr w:rsidR="007F558A" w:rsidRPr="00CF31E0" w14:paraId="65AFDDD6" w14:textId="77777777" w:rsidTr="00603CB7">
        <w:trPr>
          <w:cantSplit/>
          <w:trHeight w:val="646"/>
        </w:trPr>
        <w:tc>
          <w:tcPr>
            <w:tcW w:w="4425" w:type="dxa"/>
            <w:gridSpan w:val="2"/>
            <w:shd w:val="clear" w:color="auto" w:fill="FFFFFF"/>
            <w:vAlign w:val="bottom"/>
          </w:tcPr>
          <w:p w14:paraId="71CA4EB0" w14:textId="77777777" w:rsidR="00A23C2A" w:rsidRPr="00CF31E0" w:rsidRDefault="00A23C2A" w:rsidP="00A23C2A">
            <w:pPr>
              <w:spacing w:line="360" w:lineRule="auto"/>
              <w:rPr>
                <w:rFonts w:eastAsia="Times New Roman"/>
                <w:color w:val="000000" w:themeColor="text1"/>
                <w:sz w:val="22"/>
                <w:szCs w:val="22"/>
                <w:lang w:eastAsia="zh-CN"/>
              </w:rPr>
            </w:pPr>
          </w:p>
        </w:tc>
        <w:tc>
          <w:tcPr>
            <w:tcW w:w="1701" w:type="dxa"/>
            <w:shd w:val="clear" w:color="auto" w:fill="FFFFFF"/>
            <w:vAlign w:val="bottom"/>
          </w:tcPr>
          <w:p w14:paraId="7939B9BC" w14:textId="77777777" w:rsidR="00A23C2A" w:rsidRPr="00CF31E0" w:rsidRDefault="00A23C2A" w:rsidP="00A23C2A">
            <w:pPr>
              <w:widowControl w:val="0"/>
              <w:autoSpaceDE w:val="0"/>
              <w:autoSpaceDN w:val="0"/>
              <w:adjustRightInd w:val="0"/>
              <w:spacing w:line="360" w:lineRule="auto"/>
              <w:ind w:left="60" w:right="60"/>
              <w:jc w:val="center"/>
              <w:rPr>
                <w:rFonts w:eastAsia="Times New Roman"/>
                <w:color w:val="000000" w:themeColor="text1"/>
                <w:sz w:val="22"/>
                <w:szCs w:val="22"/>
                <w:lang w:eastAsia="zh-CN"/>
              </w:rPr>
            </w:pPr>
            <w:r w:rsidRPr="00CF31E0">
              <w:rPr>
                <w:rFonts w:eastAsia="Times New Roman"/>
                <w:color w:val="000000" w:themeColor="text1"/>
                <w:sz w:val="22"/>
                <w:szCs w:val="22"/>
                <w:lang w:eastAsia="zh-CN"/>
              </w:rPr>
              <w:t>Mean</w:t>
            </w:r>
          </w:p>
        </w:tc>
        <w:tc>
          <w:tcPr>
            <w:tcW w:w="1275" w:type="dxa"/>
            <w:shd w:val="clear" w:color="auto" w:fill="FFFFFF"/>
            <w:vAlign w:val="bottom"/>
          </w:tcPr>
          <w:p w14:paraId="36974E9E" w14:textId="77777777" w:rsidR="00A23C2A" w:rsidRPr="00CF31E0" w:rsidRDefault="00A23C2A" w:rsidP="00A23C2A">
            <w:pPr>
              <w:widowControl w:val="0"/>
              <w:autoSpaceDE w:val="0"/>
              <w:autoSpaceDN w:val="0"/>
              <w:adjustRightInd w:val="0"/>
              <w:spacing w:line="360" w:lineRule="auto"/>
              <w:ind w:left="60" w:right="60"/>
              <w:jc w:val="center"/>
              <w:rPr>
                <w:rFonts w:eastAsia="Times New Roman"/>
                <w:color w:val="000000" w:themeColor="text1"/>
                <w:sz w:val="22"/>
                <w:szCs w:val="22"/>
                <w:lang w:eastAsia="zh-CN"/>
              </w:rPr>
            </w:pPr>
            <w:r w:rsidRPr="00CF31E0">
              <w:rPr>
                <w:rFonts w:eastAsia="Times New Roman"/>
                <w:color w:val="000000" w:themeColor="text1"/>
                <w:sz w:val="22"/>
                <w:szCs w:val="22"/>
                <w:lang w:eastAsia="zh-CN"/>
              </w:rPr>
              <w:t>N</w:t>
            </w:r>
          </w:p>
        </w:tc>
      </w:tr>
      <w:tr w:rsidR="007F558A" w:rsidRPr="00CF31E0" w14:paraId="474CA9BB" w14:textId="77777777" w:rsidTr="00603CB7">
        <w:trPr>
          <w:cantSplit/>
          <w:trHeight w:val="646"/>
        </w:trPr>
        <w:tc>
          <w:tcPr>
            <w:tcW w:w="1417" w:type="dxa"/>
            <w:vMerge w:val="restart"/>
            <w:shd w:val="clear" w:color="auto" w:fill="FFFFFF"/>
          </w:tcPr>
          <w:p w14:paraId="26DE3DCD" w14:textId="77777777" w:rsidR="00A23C2A" w:rsidRPr="00CF31E0" w:rsidRDefault="00A23C2A" w:rsidP="00A23C2A">
            <w:pPr>
              <w:widowControl w:val="0"/>
              <w:autoSpaceDE w:val="0"/>
              <w:autoSpaceDN w:val="0"/>
              <w:adjustRightInd w:val="0"/>
              <w:spacing w:line="360" w:lineRule="auto"/>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Pair 1</w:t>
            </w:r>
          </w:p>
        </w:tc>
        <w:tc>
          <w:tcPr>
            <w:tcW w:w="3008" w:type="dxa"/>
            <w:shd w:val="clear" w:color="auto" w:fill="FFFFFF"/>
          </w:tcPr>
          <w:p w14:paraId="36F599E5" w14:textId="13A4DA12" w:rsidR="00A23C2A" w:rsidRPr="00CF31E0" w:rsidRDefault="00A23C2A" w:rsidP="00603CB7">
            <w:pPr>
              <w:widowControl w:val="0"/>
              <w:autoSpaceDE w:val="0"/>
              <w:autoSpaceDN w:val="0"/>
              <w:adjustRightInd w:val="0"/>
              <w:spacing w:before="120" w:line="360" w:lineRule="auto"/>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Modern factor (</w:t>
            </w:r>
            <w:r w:rsidR="00FF4DC7" w:rsidRPr="00CF31E0">
              <w:rPr>
                <w:rFonts w:eastAsia="Times New Roman"/>
                <w:color w:val="000000" w:themeColor="text1"/>
                <w:sz w:val="22"/>
                <w:szCs w:val="22"/>
                <w:lang w:eastAsia="zh-CN"/>
              </w:rPr>
              <w:t>UBH</w:t>
            </w:r>
            <w:r w:rsidRPr="00CF31E0">
              <w:rPr>
                <w:rFonts w:eastAsia="Times New Roman"/>
                <w:color w:val="000000" w:themeColor="text1"/>
                <w:sz w:val="22"/>
                <w:szCs w:val="22"/>
                <w:lang w:eastAsia="zh-CN"/>
              </w:rPr>
              <w:t xml:space="preserve"> dialect)</w:t>
            </w:r>
          </w:p>
        </w:tc>
        <w:tc>
          <w:tcPr>
            <w:tcW w:w="1701" w:type="dxa"/>
            <w:shd w:val="clear" w:color="auto" w:fill="FFFFFF"/>
            <w:vAlign w:val="center"/>
          </w:tcPr>
          <w:p w14:paraId="071DB76B" w14:textId="77777777" w:rsidR="00A23C2A" w:rsidRPr="00CF31E0" w:rsidRDefault="00A23C2A" w:rsidP="00A23C2A">
            <w:pPr>
              <w:widowControl w:val="0"/>
              <w:autoSpaceDE w:val="0"/>
              <w:autoSpaceDN w:val="0"/>
              <w:adjustRightInd w:val="0"/>
              <w:spacing w:line="360" w:lineRule="auto"/>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2.6763</w:t>
            </w:r>
          </w:p>
        </w:tc>
        <w:tc>
          <w:tcPr>
            <w:tcW w:w="1275" w:type="dxa"/>
            <w:shd w:val="clear" w:color="auto" w:fill="FFFFFF"/>
            <w:vAlign w:val="center"/>
          </w:tcPr>
          <w:p w14:paraId="1A123374" w14:textId="77777777" w:rsidR="00A23C2A" w:rsidRPr="00CF31E0" w:rsidRDefault="00A23C2A" w:rsidP="00A23C2A">
            <w:pPr>
              <w:widowControl w:val="0"/>
              <w:autoSpaceDE w:val="0"/>
              <w:autoSpaceDN w:val="0"/>
              <w:adjustRightInd w:val="0"/>
              <w:spacing w:line="360" w:lineRule="auto"/>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323</w:t>
            </w:r>
          </w:p>
        </w:tc>
      </w:tr>
      <w:tr w:rsidR="007F558A" w:rsidRPr="00CF31E0" w14:paraId="3198B7E8" w14:textId="77777777" w:rsidTr="00603CB7">
        <w:trPr>
          <w:cantSplit/>
          <w:trHeight w:val="646"/>
        </w:trPr>
        <w:tc>
          <w:tcPr>
            <w:tcW w:w="1417" w:type="dxa"/>
            <w:vMerge/>
            <w:shd w:val="clear" w:color="auto" w:fill="FFFFFF"/>
          </w:tcPr>
          <w:p w14:paraId="63183470" w14:textId="77777777" w:rsidR="00A23C2A" w:rsidRPr="00CF31E0" w:rsidRDefault="00A23C2A" w:rsidP="00A23C2A">
            <w:pPr>
              <w:widowControl w:val="0"/>
              <w:autoSpaceDE w:val="0"/>
              <w:autoSpaceDN w:val="0"/>
              <w:adjustRightInd w:val="0"/>
              <w:spacing w:line="360" w:lineRule="auto"/>
              <w:rPr>
                <w:rFonts w:eastAsia="Times New Roman"/>
                <w:color w:val="000000" w:themeColor="text1"/>
                <w:sz w:val="22"/>
                <w:szCs w:val="22"/>
                <w:lang w:eastAsia="zh-CN"/>
              </w:rPr>
            </w:pPr>
          </w:p>
        </w:tc>
        <w:tc>
          <w:tcPr>
            <w:tcW w:w="3008" w:type="dxa"/>
            <w:shd w:val="clear" w:color="auto" w:fill="FFFFFF"/>
          </w:tcPr>
          <w:p w14:paraId="32A08DCC" w14:textId="3A377111" w:rsidR="00A23C2A" w:rsidRPr="00CF31E0" w:rsidRDefault="00A23C2A" w:rsidP="00603CB7">
            <w:pPr>
              <w:widowControl w:val="0"/>
              <w:autoSpaceDE w:val="0"/>
              <w:autoSpaceDN w:val="0"/>
              <w:adjustRightInd w:val="0"/>
              <w:spacing w:before="120" w:line="360" w:lineRule="auto"/>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Modern factor (</w:t>
            </w:r>
            <w:r w:rsidR="00FF4DC7" w:rsidRPr="00CF31E0">
              <w:rPr>
                <w:rFonts w:eastAsia="Times New Roman"/>
                <w:color w:val="000000" w:themeColor="text1"/>
                <w:sz w:val="22"/>
                <w:szCs w:val="22"/>
                <w:lang w:eastAsia="zh-CN"/>
              </w:rPr>
              <w:t>HH</w:t>
            </w:r>
            <w:r w:rsidRPr="00CF31E0">
              <w:rPr>
                <w:rFonts w:eastAsia="Times New Roman"/>
                <w:color w:val="000000" w:themeColor="text1"/>
                <w:sz w:val="22"/>
                <w:szCs w:val="22"/>
                <w:lang w:eastAsia="zh-CN"/>
              </w:rPr>
              <w:t xml:space="preserve"> dialect)</w:t>
            </w:r>
          </w:p>
        </w:tc>
        <w:tc>
          <w:tcPr>
            <w:tcW w:w="1701" w:type="dxa"/>
            <w:shd w:val="clear" w:color="auto" w:fill="FFFFFF"/>
            <w:vAlign w:val="center"/>
          </w:tcPr>
          <w:p w14:paraId="546C8E2B" w14:textId="77777777" w:rsidR="00A23C2A" w:rsidRPr="00CF31E0" w:rsidRDefault="00A23C2A" w:rsidP="00A23C2A">
            <w:pPr>
              <w:widowControl w:val="0"/>
              <w:autoSpaceDE w:val="0"/>
              <w:autoSpaceDN w:val="0"/>
              <w:adjustRightInd w:val="0"/>
              <w:spacing w:line="360" w:lineRule="auto"/>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3.5561</w:t>
            </w:r>
          </w:p>
        </w:tc>
        <w:tc>
          <w:tcPr>
            <w:tcW w:w="1275" w:type="dxa"/>
            <w:shd w:val="clear" w:color="auto" w:fill="FFFFFF"/>
            <w:vAlign w:val="center"/>
          </w:tcPr>
          <w:p w14:paraId="6396F743" w14:textId="77777777" w:rsidR="00A23C2A" w:rsidRPr="00CF31E0" w:rsidRDefault="00A23C2A" w:rsidP="00A23C2A">
            <w:pPr>
              <w:widowControl w:val="0"/>
              <w:autoSpaceDE w:val="0"/>
              <w:autoSpaceDN w:val="0"/>
              <w:adjustRightInd w:val="0"/>
              <w:spacing w:line="360" w:lineRule="auto"/>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323</w:t>
            </w:r>
          </w:p>
        </w:tc>
      </w:tr>
      <w:tr w:rsidR="007F558A" w:rsidRPr="00CF31E0" w14:paraId="0FA359B8" w14:textId="77777777" w:rsidTr="00603CB7">
        <w:trPr>
          <w:cantSplit/>
          <w:trHeight w:val="646"/>
        </w:trPr>
        <w:tc>
          <w:tcPr>
            <w:tcW w:w="1417" w:type="dxa"/>
            <w:vMerge w:val="restart"/>
            <w:shd w:val="clear" w:color="auto" w:fill="FFFFFF"/>
          </w:tcPr>
          <w:p w14:paraId="4AD40EB4" w14:textId="77777777" w:rsidR="00A23C2A" w:rsidRPr="00CF31E0" w:rsidRDefault="00A23C2A" w:rsidP="00A23C2A">
            <w:pPr>
              <w:widowControl w:val="0"/>
              <w:autoSpaceDE w:val="0"/>
              <w:autoSpaceDN w:val="0"/>
              <w:adjustRightInd w:val="0"/>
              <w:spacing w:line="360" w:lineRule="auto"/>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Pair 2</w:t>
            </w:r>
          </w:p>
        </w:tc>
        <w:tc>
          <w:tcPr>
            <w:tcW w:w="3008" w:type="dxa"/>
            <w:shd w:val="clear" w:color="auto" w:fill="FFFFFF"/>
          </w:tcPr>
          <w:p w14:paraId="4444FDE9" w14:textId="02556A2B" w:rsidR="00A23C2A" w:rsidRPr="00CF31E0" w:rsidRDefault="00A23C2A" w:rsidP="00603CB7">
            <w:pPr>
              <w:widowControl w:val="0"/>
              <w:autoSpaceDE w:val="0"/>
              <w:autoSpaceDN w:val="0"/>
              <w:adjustRightInd w:val="0"/>
              <w:spacing w:before="120" w:line="360" w:lineRule="auto"/>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Traditional factor (</w:t>
            </w:r>
            <w:r w:rsidR="00FF4DC7" w:rsidRPr="00CF31E0">
              <w:rPr>
                <w:rFonts w:eastAsia="Times New Roman"/>
                <w:color w:val="000000" w:themeColor="text1"/>
                <w:sz w:val="22"/>
                <w:szCs w:val="22"/>
                <w:lang w:eastAsia="zh-CN"/>
              </w:rPr>
              <w:t>UBH</w:t>
            </w:r>
            <w:r w:rsidRPr="00CF31E0">
              <w:rPr>
                <w:rFonts w:eastAsia="Times New Roman"/>
                <w:color w:val="000000" w:themeColor="text1"/>
                <w:sz w:val="22"/>
                <w:szCs w:val="22"/>
                <w:lang w:eastAsia="zh-CN"/>
              </w:rPr>
              <w:t xml:space="preserve"> dialect)</w:t>
            </w:r>
          </w:p>
        </w:tc>
        <w:tc>
          <w:tcPr>
            <w:tcW w:w="1701" w:type="dxa"/>
            <w:shd w:val="clear" w:color="auto" w:fill="FFFFFF"/>
            <w:vAlign w:val="center"/>
          </w:tcPr>
          <w:p w14:paraId="25CDAA6A" w14:textId="77777777" w:rsidR="00A23C2A" w:rsidRPr="00CF31E0" w:rsidRDefault="00A23C2A" w:rsidP="00A23C2A">
            <w:pPr>
              <w:widowControl w:val="0"/>
              <w:autoSpaceDE w:val="0"/>
              <w:autoSpaceDN w:val="0"/>
              <w:adjustRightInd w:val="0"/>
              <w:spacing w:line="360" w:lineRule="auto"/>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3.7233</w:t>
            </w:r>
          </w:p>
        </w:tc>
        <w:tc>
          <w:tcPr>
            <w:tcW w:w="1275" w:type="dxa"/>
            <w:shd w:val="clear" w:color="auto" w:fill="FFFFFF"/>
            <w:vAlign w:val="center"/>
          </w:tcPr>
          <w:p w14:paraId="5E0F6505" w14:textId="77777777" w:rsidR="00A23C2A" w:rsidRPr="00CF31E0" w:rsidRDefault="00A23C2A" w:rsidP="00A23C2A">
            <w:pPr>
              <w:widowControl w:val="0"/>
              <w:autoSpaceDE w:val="0"/>
              <w:autoSpaceDN w:val="0"/>
              <w:adjustRightInd w:val="0"/>
              <w:spacing w:line="360" w:lineRule="auto"/>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323</w:t>
            </w:r>
          </w:p>
        </w:tc>
      </w:tr>
      <w:tr w:rsidR="007F558A" w:rsidRPr="00CF31E0" w14:paraId="00D5FABC" w14:textId="77777777" w:rsidTr="00603CB7">
        <w:trPr>
          <w:cantSplit/>
          <w:trHeight w:val="646"/>
        </w:trPr>
        <w:tc>
          <w:tcPr>
            <w:tcW w:w="1417" w:type="dxa"/>
            <w:vMerge/>
            <w:shd w:val="clear" w:color="auto" w:fill="FFFFFF"/>
          </w:tcPr>
          <w:p w14:paraId="08B5A6B6" w14:textId="77777777" w:rsidR="00A23C2A" w:rsidRPr="00CF31E0" w:rsidRDefault="00A23C2A" w:rsidP="00A23C2A">
            <w:pPr>
              <w:widowControl w:val="0"/>
              <w:autoSpaceDE w:val="0"/>
              <w:autoSpaceDN w:val="0"/>
              <w:adjustRightInd w:val="0"/>
              <w:spacing w:line="360" w:lineRule="auto"/>
              <w:rPr>
                <w:rFonts w:eastAsia="Times New Roman"/>
                <w:color w:val="000000" w:themeColor="text1"/>
                <w:sz w:val="22"/>
                <w:szCs w:val="22"/>
                <w:lang w:eastAsia="zh-CN"/>
              </w:rPr>
            </w:pPr>
          </w:p>
        </w:tc>
        <w:tc>
          <w:tcPr>
            <w:tcW w:w="3008" w:type="dxa"/>
            <w:shd w:val="clear" w:color="auto" w:fill="FFFFFF"/>
          </w:tcPr>
          <w:p w14:paraId="3BC956CE" w14:textId="29936B16" w:rsidR="00A23C2A" w:rsidRPr="00CF31E0" w:rsidRDefault="00A23C2A" w:rsidP="00603CB7">
            <w:pPr>
              <w:widowControl w:val="0"/>
              <w:autoSpaceDE w:val="0"/>
              <w:autoSpaceDN w:val="0"/>
              <w:adjustRightInd w:val="0"/>
              <w:spacing w:before="120" w:line="360" w:lineRule="auto"/>
              <w:ind w:left="62" w:right="62"/>
              <w:rPr>
                <w:rFonts w:eastAsia="Times New Roman"/>
                <w:color w:val="000000" w:themeColor="text1"/>
                <w:sz w:val="22"/>
                <w:szCs w:val="22"/>
                <w:lang w:eastAsia="zh-CN"/>
              </w:rPr>
            </w:pPr>
            <w:r w:rsidRPr="00CF31E0">
              <w:rPr>
                <w:rFonts w:eastAsia="Times New Roman"/>
                <w:color w:val="000000" w:themeColor="text1"/>
                <w:sz w:val="22"/>
                <w:szCs w:val="22"/>
                <w:lang w:eastAsia="zh-CN"/>
              </w:rPr>
              <w:t>Traditional factor (</w:t>
            </w:r>
            <w:r w:rsidR="00FF4DC7" w:rsidRPr="00CF31E0">
              <w:rPr>
                <w:rFonts w:eastAsia="Times New Roman"/>
                <w:color w:val="000000" w:themeColor="text1"/>
                <w:sz w:val="22"/>
                <w:szCs w:val="22"/>
                <w:lang w:eastAsia="zh-CN"/>
              </w:rPr>
              <w:t>HH</w:t>
            </w:r>
            <w:r w:rsidRPr="00CF31E0">
              <w:rPr>
                <w:rFonts w:eastAsia="Times New Roman"/>
                <w:color w:val="000000" w:themeColor="text1"/>
                <w:sz w:val="22"/>
                <w:szCs w:val="22"/>
                <w:lang w:eastAsia="zh-CN"/>
              </w:rPr>
              <w:t xml:space="preserve"> dialect)</w:t>
            </w:r>
          </w:p>
        </w:tc>
        <w:tc>
          <w:tcPr>
            <w:tcW w:w="1701" w:type="dxa"/>
            <w:shd w:val="clear" w:color="auto" w:fill="FFFFFF"/>
            <w:vAlign w:val="center"/>
          </w:tcPr>
          <w:p w14:paraId="3613E9A3" w14:textId="77777777" w:rsidR="00A23C2A" w:rsidRPr="00CF31E0" w:rsidRDefault="00A23C2A" w:rsidP="00A23C2A">
            <w:pPr>
              <w:widowControl w:val="0"/>
              <w:autoSpaceDE w:val="0"/>
              <w:autoSpaceDN w:val="0"/>
              <w:adjustRightInd w:val="0"/>
              <w:spacing w:line="360" w:lineRule="auto"/>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2.4435</w:t>
            </w:r>
          </w:p>
        </w:tc>
        <w:tc>
          <w:tcPr>
            <w:tcW w:w="1275" w:type="dxa"/>
            <w:shd w:val="clear" w:color="auto" w:fill="FFFFFF"/>
            <w:vAlign w:val="center"/>
          </w:tcPr>
          <w:p w14:paraId="34F6F306" w14:textId="77777777" w:rsidR="00A23C2A" w:rsidRPr="00CF31E0" w:rsidRDefault="00A23C2A" w:rsidP="00A23C2A">
            <w:pPr>
              <w:widowControl w:val="0"/>
              <w:autoSpaceDE w:val="0"/>
              <w:autoSpaceDN w:val="0"/>
              <w:adjustRightInd w:val="0"/>
              <w:spacing w:line="360" w:lineRule="auto"/>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323</w:t>
            </w:r>
          </w:p>
        </w:tc>
      </w:tr>
    </w:tbl>
    <w:p w14:paraId="2C00B1B3" w14:textId="45EB18C1" w:rsidR="00A23C2A" w:rsidRPr="00CF31E0" w:rsidRDefault="00A23C2A" w:rsidP="007F6C6D">
      <w:pPr>
        <w:pStyle w:val="Tablecaption"/>
        <w:rPr>
          <w:lang w:eastAsia="zh-CN"/>
        </w:rPr>
      </w:pPr>
      <w:bookmarkStart w:id="671" w:name="_Toc522527452"/>
      <w:bookmarkStart w:id="672" w:name="_Toc522628864"/>
      <w:bookmarkStart w:id="673" w:name="_Toc522629028"/>
      <w:bookmarkStart w:id="674" w:name="_Toc6473125"/>
      <w:r w:rsidRPr="00CF31E0">
        <w:rPr>
          <w:lang w:eastAsia="zh-CN"/>
        </w:rPr>
        <w:t xml:space="preserve">Table </w:t>
      </w:r>
      <w:r w:rsidR="007F6C6D" w:rsidRPr="00CF31E0">
        <w:rPr>
          <w:lang w:eastAsia="zh-CN"/>
        </w:rPr>
        <w:t>9</w:t>
      </w:r>
      <w:r w:rsidR="001C78B8" w:rsidRPr="00CF31E0">
        <w:rPr>
          <w:lang w:eastAsia="zh-CN"/>
        </w:rPr>
        <w:t>.1</w:t>
      </w:r>
      <w:r w:rsidR="00CF3993" w:rsidRPr="00CF31E0">
        <w:rPr>
          <w:lang w:eastAsia="zh-CN"/>
        </w:rPr>
        <w:t>6</w:t>
      </w:r>
      <w:r w:rsidRPr="00CF31E0">
        <w:rPr>
          <w:lang w:eastAsia="zh-CN"/>
        </w:rPr>
        <w:t>: Paired</w:t>
      </w:r>
      <w:r w:rsidR="005D0894" w:rsidRPr="00CF31E0">
        <w:rPr>
          <w:lang w:eastAsia="zh-CN"/>
        </w:rPr>
        <w:t>-samples</w:t>
      </w:r>
      <w:r w:rsidRPr="00CF31E0">
        <w:rPr>
          <w:lang w:eastAsia="zh-CN"/>
        </w:rPr>
        <w:t xml:space="preserve"> statistics for </w:t>
      </w:r>
      <w:r w:rsidR="00FF4DC7" w:rsidRPr="00CF31E0">
        <w:rPr>
          <w:lang w:eastAsia="zh-CN"/>
        </w:rPr>
        <w:t>UBH</w:t>
      </w:r>
      <w:r w:rsidRPr="00CF31E0">
        <w:rPr>
          <w:lang w:eastAsia="zh-CN"/>
        </w:rPr>
        <w:t xml:space="preserve"> participants</w:t>
      </w:r>
      <w:r w:rsidR="001C78B8" w:rsidRPr="00CF31E0">
        <w:rPr>
          <w:lang w:eastAsia="zh-CN"/>
        </w:rPr>
        <w:t>.</w:t>
      </w:r>
      <w:bookmarkEnd w:id="671"/>
      <w:bookmarkEnd w:id="672"/>
      <w:bookmarkEnd w:id="673"/>
      <w:bookmarkEnd w:id="674"/>
    </w:p>
    <w:p w14:paraId="31ADEABC" w14:textId="28250D4E" w:rsidR="00A23C2A" w:rsidRPr="00CF31E0" w:rsidRDefault="00A23C2A" w:rsidP="00603CB7">
      <w:pPr>
        <w:pStyle w:val="Paragraph"/>
      </w:pPr>
      <w:r w:rsidRPr="00CF31E0">
        <w:t xml:space="preserve">As can be seen from Table </w:t>
      </w:r>
      <w:r w:rsidR="007F6C6D" w:rsidRPr="00CF31E0">
        <w:t>9</w:t>
      </w:r>
      <w:r w:rsidR="001C78B8" w:rsidRPr="00CF31E0">
        <w:t>.1</w:t>
      </w:r>
      <w:r w:rsidR="00CF3993" w:rsidRPr="00CF31E0">
        <w:t>6</w:t>
      </w:r>
      <w:r w:rsidR="001C78B8" w:rsidRPr="00CF31E0">
        <w:t xml:space="preserve"> </w:t>
      </w:r>
      <w:r w:rsidRPr="00CF31E0">
        <w:t>above, the mean score for</w:t>
      </w:r>
      <w:r w:rsidR="00AC0322" w:rsidRPr="00CF31E0">
        <w:t xml:space="preserve"> the modern factor in the HH</w:t>
      </w:r>
      <w:r w:rsidRPr="00CF31E0">
        <w:t xml:space="preserve"> dialect is 3.5561, which is clearly higher th</w:t>
      </w:r>
      <w:r w:rsidR="00AC0322" w:rsidRPr="00CF31E0">
        <w:t>an its equivalent in the UBH</w:t>
      </w:r>
      <w:r w:rsidRPr="00CF31E0">
        <w:t xml:space="preserve"> dialect. Furthermore, the mean score of the traditional fact</w:t>
      </w:r>
      <w:r w:rsidR="00AC0322" w:rsidRPr="00CF31E0">
        <w:t>or in the UBH</w:t>
      </w:r>
      <w:r w:rsidRPr="00CF31E0">
        <w:t xml:space="preserve"> dialect is 3.7233, which is higher t</w:t>
      </w:r>
      <w:r w:rsidR="00AC0322" w:rsidRPr="00CF31E0">
        <w:t>han its equivalent in the HH dialect. Overall, the UBH</w:t>
      </w:r>
      <w:r w:rsidRPr="00CF31E0">
        <w:t xml:space="preserve"> p</w:t>
      </w:r>
      <w:r w:rsidR="00AC0322" w:rsidRPr="00CF31E0">
        <w:t>articipants perceived the HH</w:t>
      </w:r>
      <w:r w:rsidRPr="00CF31E0">
        <w:t xml:space="preserve"> dialect as </w:t>
      </w:r>
      <w:r w:rsidR="00AC0322" w:rsidRPr="00CF31E0">
        <w:t>modern and perceived the UBH</w:t>
      </w:r>
      <w:r w:rsidRPr="00CF31E0">
        <w:t xml:space="preserve"> dialect as traditional. It is important to note that the aforementioned results are representative of only </w:t>
      </w:r>
      <w:r w:rsidR="00FF4DC7" w:rsidRPr="00CF31E0">
        <w:t>UBH</w:t>
      </w:r>
      <w:r w:rsidRPr="00CF31E0">
        <w:t xml:space="preserve"> participants’ perceptions. </w:t>
      </w:r>
      <w:r w:rsidR="005E4DFC" w:rsidRPr="00CF31E0">
        <w:t>In section 9.5.2. below</w:t>
      </w:r>
      <w:r w:rsidRPr="00CF31E0">
        <w:t>, I will</w:t>
      </w:r>
      <w:r w:rsidR="00AC0322" w:rsidRPr="00CF31E0">
        <w:t xml:space="preserve"> examine the results from HH</w:t>
      </w:r>
      <w:r w:rsidRPr="00CF31E0">
        <w:t xml:space="preserve"> participants’ perceptions; then I will be able to determine whether or not the results from the two social groups are comparable.</w:t>
      </w:r>
    </w:p>
    <w:p w14:paraId="09B2506B" w14:textId="0D4B2FE6" w:rsidR="00A23C2A" w:rsidRPr="00CF31E0" w:rsidRDefault="007F6C6D" w:rsidP="00E87209">
      <w:pPr>
        <w:pStyle w:val="Bhead"/>
        <w:rPr>
          <w:rFonts w:eastAsia="MS Mincho"/>
        </w:rPr>
      </w:pPr>
      <w:bookmarkStart w:id="675" w:name="_Toc502437229"/>
      <w:bookmarkStart w:id="676" w:name="_Toc6472753"/>
      <w:r w:rsidRPr="00CF31E0">
        <w:rPr>
          <w:rFonts w:eastAsia="MS Mincho"/>
        </w:rPr>
        <w:t>9</w:t>
      </w:r>
      <w:r w:rsidR="007C3DFC" w:rsidRPr="00CF31E0">
        <w:rPr>
          <w:rFonts w:eastAsia="MS Mincho"/>
        </w:rPr>
        <w:t>.5.2.</w:t>
      </w:r>
      <w:r w:rsidR="00CF3993" w:rsidRPr="00CF31E0">
        <w:rPr>
          <w:rFonts w:eastAsia="MS Mincho"/>
        </w:rPr>
        <w:tab/>
      </w:r>
      <w:r w:rsidR="00A23C2A" w:rsidRPr="00CF31E0">
        <w:rPr>
          <w:rFonts w:eastAsia="MS Mincho"/>
        </w:rPr>
        <w:t>Comparin</w:t>
      </w:r>
      <w:r w:rsidR="00AC0322" w:rsidRPr="00CF31E0">
        <w:rPr>
          <w:rFonts w:eastAsia="MS Mincho"/>
        </w:rPr>
        <w:t>g the factor mean scores: HH</w:t>
      </w:r>
      <w:r w:rsidR="00A23C2A" w:rsidRPr="00CF31E0">
        <w:rPr>
          <w:rFonts w:eastAsia="MS Mincho"/>
        </w:rPr>
        <w:t xml:space="preserve"> participants</w:t>
      </w:r>
      <w:bookmarkEnd w:id="675"/>
      <w:bookmarkEnd w:id="676"/>
      <w:r w:rsidR="00A23C2A" w:rsidRPr="00CF31E0">
        <w:rPr>
          <w:rFonts w:eastAsia="MS Mincho"/>
        </w:rPr>
        <w:t xml:space="preserve"> </w:t>
      </w:r>
    </w:p>
    <w:p w14:paraId="5690840D" w14:textId="43501CD9" w:rsidR="00DB766A" w:rsidRPr="00CF31E0" w:rsidRDefault="00A23C2A" w:rsidP="00FA482A">
      <w:pPr>
        <w:pStyle w:val="Paragraph"/>
        <w:rPr>
          <w:lang w:eastAsia="zh-CN"/>
        </w:rPr>
      </w:pPr>
      <w:r w:rsidRPr="00CF31E0">
        <w:rPr>
          <w:lang w:eastAsia="zh-CN"/>
        </w:rPr>
        <w:t>In this section, I will compare the factor mean scores of</w:t>
      </w:r>
      <w:r w:rsidR="00AC0322" w:rsidRPr="00CF31E0">
        <w:rPr>
          <w:lang w:eastAsia="zh-CN"/>
        </w:rPr>
        <w:t xml:space="preserve"> the modern factor in the HH</w:t>
      </w:r>
      <w:r w:rsidRPr="00CF31E0">
        <w:rPr>
          <w:lang w:eastAsia="zh-CN"/>
        </w:rPr>
        <w:t xml:space="preserve"> dialect with</w:t>
      </w:r>
      <w:r w:rsidR="00AC0322" w:rsidRPr="00CF31E0">
        <w:rPr>
          <w:lang w:eastAsia="zh-CN"/>
        </w:rPr>
        <w:t xml:space="preserve"> their equivalent in the UBH</w:t>
      </w:r>
      <w:r w:rsidRPr="00CF31E0">
        <w:rPr>
          <w:lang w:eastAsia="zh-CN"/>
        </w:rPr>
        <w:t xml:space="preserve"> dialect. I will follow the same steps with the traditional factor. Then, if the p value reveals any significance, I will compare the mean scores of each pair of factors to identify where the difference lies. Table </w:t>
      </w:r>
      <w:r w:rsidR="007F6C6D" w:rsidRPr="00CF31E0">
        <w:rPr>
          <w:lang w:eastAsia="zh-CN"/>
        </w:rPr>
        <w:t>9</w:t>
      </w:r>
      <w:r w:rsidR="00CF3993" w:rsidRPr="00CF31E0">
        <w:rPr>
          <w:lang w:eastAsia="zh-CN"/>
        </w:rPr>
        <w:t xml:space="preserve">.17 </w:t>
      </w:r>
      <w:r w:rsidRPr="00CF31E0">
        <w:rPr>
          <w:lang w:eastAsia="zh-CN"/>
        </w:rPr>
        <w:t xml:space="preserve">illustrates the significance values of each pair of factors. </w:t>
      </w:r>
    </w:p>
    <w:tbl>
      <w:tblPr>
        <w:tblW w:w="7409"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12"/>
        <w:gridCol w:w="2391"/>
        <w:gridCol w:w="992"/>
        <w:gridCol w:w="1134"/>
        <w:gridCol w:w="1134"/>
        <w:gridCol w:w="1146"/>
      </w:tblGrid>
      <w:tr w:rsidR="00DB766A" w:rsidRPr="00CF31E0" w14:paraId="33348FB9" w14:textId="77777777" w:rsidTr="00DB766A">
        <w:trPr>
          <w:cantSplit/>
          <w:trHeight w:val="613"/>
        </w:trPr>
        <w:tc>
          <w:tcPr>
            <w:tcW w:w="3003" w:type="dxa"/>
            <w:gridSpan w:val="2"/>
            <w:vMerge w:val="restart"/>
            <w:shd w:val="clear" w:color="auto" w:fill="FFFFFF"/>
            <w:vAlign w:val="bottom"/>
          </w:tcPr>
          <w:p w14:paraId="16304BE5" w14:textId="77777777" w:rsidR="00DB766A" w:rsidRPr="00CF31E0" w:rsidRDefault="00DB766A" w:rsidP="00A23C2A">
            <w:pPr>
              <w:spacing w:before="120" w:after="240"/>
              <w:rPr>
                <w:rFonts w:eastAsia="Times New Roman"/>
                <w:color w:val="000000" w:themeColor="text1"/>
                <w:sz w:val="22"/>
                <w:szCs w:val="22"/>
                <w:lang w:eastAsia="zh-CN"/>
              </w:rPr>
            </w:pPr>
          </w:p>
        </w:tc>
        <w:tc>
          <w:tcPr>
            <w:tcW w:w="992" w:type="dxa"/>
            <w:vMerge w:val="restart"/>
            <w:shd w:val="clear" w:color="auto" w:fill="FFFFFF"/>
            <w:vAlign w:val="bottom"/>
          </w:tcPr>
          <w:p w14:paraId="55DC537A" w14:textId="77777777" w:rsidR="00DB766A" w:rsidRPr="00CF31E0" w:rsidRDefault="00DB766A" w:rsidP="00A23C2A">
            <w:pPr>
              <w:spacing w:before="120" w:after="240"/>
              <w:ind w:left="60" w:right="60"/>
              <w:jc w:val="center"/>
              <w:rPr>
                <w:rFonts w:eastAsia="Times New Roman"/>
                <w:color w:val="000000" w:themeColor="text1"/>
                <w:sz w:val="22"/>
                <w:szCs w:val="22"/>
                <w:lang w:eastAsia="zh-CN"/>
              </w:rPr>
            </w:pPr>
            <w:r w:rsidRPr="00CF31E0">
              <w:rPr>
                <w:rFonts w:eastAsia="Times New Roman"/>
                <w:color w:val="000000" w:themeColor="text1"/>
                <w:sz w:val="22"/>
                <w:szCs w:val="22"/>
                <w:lang w:eastAsia="zh-CN"/>
              </w:rPr>
              <w:t>Mean</w:t>
            </w:r>
          </w:p>
        </w:tc>
        <w:tc>
          <w:tcPr>
            <w:tcW w:w="1134" w:type="dxa"/>
            <w:vMerge w:val="restart"/>
            <w:shd w:val="clear" w:color="auto" w:fill="FFFFFF"/>
            <w:vAlign w:val="bottom"/>
          </w:tcPr>
          <w:p w14:paraId="007B4D82" w14:textId="77777777" w:rsidR="00DB766A" w:rsidRPr="00CF31E0" w:rsidRDefault="00DB766A" w:rsidP="00A23C2A">
            <w:pPr>
              <w:spacing w:before="120" w:after="240"/>
              <w:ind w:left="60" w:right="60"/>
              <w:jc w:val="center"/>
              <w:rPr>
                <w:rFonts w:eastAsia="Times New Roman"/>
                <w:color w:val="000000" w:themeColor="text1"/>
                <w:sz w:val="22"/>
                <w:szCs w:val="22"/>
                <w:lang w:eastAsia="zh-CN"/>
              </w:rPr>
            </w:pPr>
            <w:r w:rsidRPr="00CF31E0">
              <w:rPr>
                <w:rFonts w:eastAsia="Times New Roman"/>
                <w:color w:val="000000" w:themeColor="text1"/>
                <w:sz w:val="22"/>
                <w:szCs w:val="22"/>
                <w:lang w:eastAsia="zh-CN"/>
              </w:rPr>
              <w:t>Std. Deviation</w:t>
            </w:r>
          </w:p>
        </w:tc>
        <w:tc>
          <w:tcPr>
            <w:tcW w:w="1134" w:type="dxa"/>
            <w:vMerge w:val="restart"/>
            <w:shd w:val="clear" w:color="auto" w:fill="FFFFFF"/>
            <w:vAlign w:val="bottom"/>
          </w:tcPr>
          <w:p w14:paraId="15593412" w14:textId="77777777" w:rsidR="00DB766A" w:rsidRPr="00CF31E0" w:rsidRDefault="00DB766A" w:rsidP="00A23C2A">
            <w:pPr>
              <w:spacing w:before="120" w:after="240"/>
              <w:ind w:left="60" w:right="60"/>
              <w:jc w:val="center"/>
              <w:rPr>
                <w:rFonts w:eastAsia="Times New Roman"/>
                <w:color w:val="000000" w:themeColor="text1"/>
                <w:sz w:val="22"/>
                <w:szCs w:val="22"/>
                <w:lang w:eastAsia="zh-CN"/>
              </w:rPr>
            </w:pPr>
            <w:r w:rsidRPr="00CF31E0">
              <w:rPr>
                <w:rFonts w:eastAsia="Times New Roman"/>
                <w:color w:val="000000" w:themeColor="text1"/>
                <w:sz w:val="22"/>
                <w:szCs w:val="22"/>
                <w:lang w:eastAsia="zh-CN"/>
              </w:rPr>
              <w:t>Std. Error Mean</w:t>
            </w:r>
          </w:p>
        </w:tc>
        <w:tc>
          <w:tcPr>
            <w:tcW w:w="1146" w:type="dxa"/>
            <w:vMerge w:val="restart"/>
            <w:shd w:val="clear" w:color="auto" w:fill="FFFFFF"/>
            <w:vAlign w:val="bottom"/>
          </w:tcPr>
          <w:p w14:paraId="21D2E8AA" w14:textId="384E649F" w:rsidR="00DB766A" w:rsidRPr="00CF31E0" w:rsidRDefault="00DB766A" w:rsidP="00A23C2A">
            <w:pPr>
              <w:spacing w:before="120" w:after="240"/>
              <w:rPr>
                <w:rFonts w:eastAsia="Times New Roman"/>
                <w:color w:val="000000" w:themeColor="text1"/>
                <w:sz w:val="22"/>
                <w:szCs w:val="22"/>
                <w:lang w:eastAsia="zh-CN"/>
              </w:rPr>
            </w:pPr>
            <w:r w:rsidRPr="00CF31E0">
              <w:rPr>
                <w:rFonts w:eastAsia="Times New Roman"/>
                <w:color w:val="000000" w:themeColor="text1"/>
                <w:sz w:val="22"/>
                <w:szCs w:val="22"/>
                <w:lang w:eastAsia="zh-CN"/>
              </w:rPr>
              <w:t>Sig (2-tailed</w:t>
            </w:r>
          </w:p>
        </w:tc>
      </w:tr>
      <w:tr w:rsidR="00DB766A" w:rsidRPr="00CF31E0" w14:paraId="01F8B704" w14:textId="77777777" w:rsidTr="00DB766A">
        <w:trPr>
          <w:cantSplit/>
          <w:trHeight w:val="613"/>
        </w:trPr>
        <w:tc>
          <w:tcPr>
            <w:tcW w:w="3003" w:type="dxa"/>
            <w:gridSpan w:val="2"/>
            <w:vMerge/>
            <w:shd w:val="clear" w:color="auto" w:fill="FFFFFF"/>
            <w:vAlign w:val="bottom"/>
          </w:tcPr>
          <w:p w14:paraId="027A72C2" w14:textId="77777777" w:rsidR="00DB766A" w:rsidRPr="00CF31E0" w:rsidRDefault="00DB766A" w:rsidP="00A23C2A">
            <w:pPr>
              <w:spacing w:before="120" w:after="240"/>
              <w:rPr>
                <w:rFonts w:eastAsia="Times New Roman"/>
                <w:color w:val="000000" w:themeColor="text1"/>
                <w:sz w:val="22"/>
                <w:szCs w:val="22"/>
                <w:lang w:eastAsia="zh-CN"/>
              </w:rPr>
            </w:pPr>
          </w:p>
        </w:tc>
        <w:tc>
          <w:tcPr>
            <w:tcW w:w="992" w:type="dxa"/>
            <w:vMerge/>
            <w:shd w:val="clear" w:color="auto" w:fill="FFFFFF"/>
            <w:vAlign w:val="bottom"/>
          </w:tcPr>
          <w:p w14:paraId="2E911D56" w14:textId="77777777" w:rsidR="00DB766A" w:rsidRPr="00CF31E0" w:rsidRDefault="00DB766A" w:rsidP="00A23C2A">
            <w:pPr>
              <w:spacing w:before="120" w:after="240"/>
              <w:rPr>
                <w:rFonts w:eastAsia="Times New Roman"/>
                <w:color w:val="000000" w:themeColor="text1"/>
                <w:sz w:val="22"/>
                <w:szCs w:val="22"/>
                <w:lang w:eastAsia="zh-CN"/>
              </w:rPr>
            </w:pPr>
          </w:p>
        </w:tc>
        <w:tc>
          <w:tcPr>
            <w:tcW w:w="1134" w:type="dxa"/>
            <w:vMerge/>
            <w:shd w:val="clear" w:color="auto" w:fill="FFFFFF"/>
            <w:vAlign w:val="bottom"/>
          </w:tcPr>
          <w:p w14:paraId="101F2575" w14:textId="77777777" w:rsidR="00DB766A" w:rsidRPr="00CF31E0" w:rsidRDefault="00DB766A" w:rsidP="00A23C2A">
            <w:pPr>
              <w:spacing w:before="120" w:after="240"/>
              <w:rPr>
                <w:rFonts w:eastAsia="Times New Roman"/>
                <w:color w:val="000000" w:themeColor="text1"/>
                <w:sz w:val="22"/>
                <w:szCs w:val="22"/>
                <w:lang w:eastAsia="zh-CN"/>
              </w:rPr>
            </w:pPr>
          </w:p>
        </w:tc>
        <w:tc>
          <w:tcPr>
            <w:tcW w:w="1134" w:type="dxa"/>
            <w:vMerge/>
            <w:shd w:val="clear" w:color="auto" w:fill="FFFFFF"/>
            <w:vAlign w:val="bottom"/>
          </w:tcPr>
          <w:p w14:paraId="15ECA4A1" w14:textId="77777777" w:rsidR="00DB766A" w:rsidRPr="00CF31E0" w:rsidRDefault="00DB766A" w:rsidP="00A23C2A">
            <w:pPr>
              <w:spacing w:before="120" w:after="240"/>
              <w:rPr>
                <w:rFonts w:eastAsia="Times New Roman"/>
                <w:color w:val="000000" w:themeColor="text1"/>
                <w:sz w:val="22"/>
                <w:szCs w:val="22"/>
                <w:lang w:eastAsia="zh-CN"/>
              </w:rPr>
            </w:pPr>
          </w:p>
        </w:tc>
        <w:tc>
          <w:tcPr>
            <w:tcW w:w="1146" w:type="dxa"/>
            <w:vMerge/>
            <w:shd w:val="clear" w:color="auto" w:fill="FFFFFF"/>
            <w:vAlign w:val="bottom"/>
          </w:tcPr>
          <w:p w14:paraId="5214C5E5" w14:textId="77777777" w:rsidR="00DB766A" w:rsidRPr="00CF31E0" w:rsidRDefault="00DB766A" w:rsidP="00A23C2A">
            <w:pPr>
              <w:spacing w:before="120" w:after="240"/>
              <w:rPr>
                <w:rFonts w:eastAsia="Times New Roman"/>
                <w:color w:val="000000" w:themeColor="text1"/>
                <w:sz w:val="22"/>
                <w:szCs w:val="22"/>
                <w:lang w:eastAsia="zh-CN"/>
              </w:rPr>
            </w:pPr>
          </w:p>
        </w:tc>
      </w:tr>
      <w:tr w:rsidR="00DB766A" w:rsidRPr="00CF31E0" w14:paraId="5C313A0A" w14:textId="77777777" w:rsidTr="00DB766A">
        <w:trPr>
          <w:cantSplit/>
          <w:trHeight w:val="981"/>
        </w:trPr>
        <w:tc>
          <w:tcPr>
            <w:tcW w:w="612" w:type="dxa"/>
            <w:shd w:val="clear" w:color="auto" w:fill="FFFFFF"/>
          </w:tcPr>
          <w:p w14:paraId="3D91B93E" w14:textId="77777777" w:rsidR="00DB766A" w:rsidRPr="00CF31E0" w:rsidRDefault="00DB766A" w:rsidP="00A23C2A">
            <w:pPr>
              <w:spacing w:before="120" w:after="24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Pair 1</w:t>
            </w:r>
          </w:p>
        </w:tc>
        <w:tc>
          <w:tcPr>
            <w:tcW w:w="2391" w:type="dxa"/>
            <w:shd w:val="clear" w:color="auto" w:fill="FFFFFF"/>
          </w:tcPr>
          <w:p w14:paraId="1A7C607C" w14:textId="11E45DED" w:rsidR="00DB766A" w:rsidRPr="00CF31E0" w:rsidRDefault="00DB766A" w:rsidP="00A23C2A">
            <w:pPr>
              <w:spacing w:before="120" w:after="24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Modern factor (UBH dialect) – Modern factor (HH dialect)</w:t>
            </w:r>
          </w:p>
        </w:tc>
        <w:tc>
          <w:tcPr>
            <w:tcW w:w="992" w:type="dxa"/>
            <w:shd w:val="clear" w:color="auto" w:fill="FFFFFF"/>
            <w:vAlign w:val="center"/>
          </w:tcPr>
          <w:p w14:paraId="308E412D" w14:textId="77777777" w:rsidR="00DB766A" w:rsidRPr="00CF31E0" w:rsidRDefault="00DB766A" w:rsidP="00036181">
            <w:pPr>
              <w:spacing w:before="120" w:after="24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-1.43395</w:t>
            </w:r>
          </w:p>
        </w:tc>
        <w:tc>
          <w:tcPr>
            <w:tcW w:w="1134" w:type="dxa"/>
            <w:shd w:val="clear" w:color="auto" w:fill="FFFFFF"/>
            <w:vAlign w:val="center"/>
          </w:tcPr>
          <w:p w14:paraId="5C6723CD" w14:textId="77777777" w:rsidR="00DB766A" w:rsidRPr="00CF31E0" w:rsidRDefault="00DB766A" w:rsidP="00036181">
            <w:pPr>
              <w:spacing w:before="120" w:after="24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1.81958</w:t>
            </w:r>
          </w:p>
        </w:tc>
        <w:tc>
          <w:tcPr>
            <w:tcW w:w="1134" w:type="dxa"/>
            <w:shd w:val="clear" w:color="auto" w:fill="FFFFFF"/>
            <w:vAlign w:val="center"/>
          </w:tcPr>
          <w:p w14:paraId="7BD5621C" w14:textId="77777777" w:rsidR="00DB766A" w:rsidRPr="00CF31E0" w:rsidRDefault="00DB766A" w:rsidP="00036181">
            <w:pPr>
              <w:spacing w:before="120" w:after="24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.03197</w:t>
            </w:r>
          </w:p>
        </w:tc>
        <w:tc>
          <w:tcPr>
            <w:tcW w:w="1146" w:type="dxa"/>
            <w:shd w:val="clear" w:color="auto" w:fill="FFFFFF"/>
            <w:vAlign w:val="center"/>
          </w:tcPr>
          <w:p w14:paraId="533CBD26" w14:textId="77777777" w:rsidR="00DB766A" w:rsidRPr="00CF31E0" w:rsidRDefault="00DB766A" w:rsidP="00036181">
            <w:pPr>
              <w:spacing w:before="120" w:after="24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.000</w:t>
            </w:r>
          </w:p>
        </w:tc>
      </w:tr>
      <w:tr w:rsidR="00DB766A" w:rsidRPr="00CF31E0" w14:paraId="7B0F838B" w14:textId="77777777" w:rsidTr="00DB766A">
        <w:trPr>
          <w:cantSplit/>
          <w:trHeight w:val="929"/>
        </w:trPr>
        <w:tc>
          <w:tcPr>
            <w:tcW w:w="612" w:type="dxa"/>
            <w:shd w:val="clear" w:color="auto" w:fill="FFFFFF"/>
          </w:tcPr>
          <w:p w14:paraId="678C664D" w14:textId="77777777" w:rsidR="00DB766A" w:rsidRPr="00CF31E0" w:rsidRDefault="00DB766A" w:rsidP="00A23C2A">
            <w:pPr>
              <w:spacing w:before="120" w:after="24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Pair 2</w:t>
            </w:r>
          </w:p>
        </w:tc>
        <w:tc>
          <w:tcPr>
            <w:tcW w:w="2391" w:type="dxa"/>
            <w:shd w:val="clear" w:color="auto" w:fill="FFFFFF"/>
          </w:tcPr>
          <w:p w14:paraId="103D7B8E" w14:textId="58BC07F0" w:rsidR="00DB766A" w:rsidRPr="00CF31E0" w:rsidRDefault="00DB766A" w:rsidP="00A23C2A">
            <w:pPr>
              <w:spacing w:before="120" w:after="24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Traditional factor (UBH dialect) – Traditional factor (HH dialect)</w:t>
            </w:r>
          </w:p>
        </w:tc>
        <w:tc>
          <w:tcPr>
            <w:tcW w:w="992" w:type="dxa"/>
            <w:shd w:val="clear" w:color="auto" w:fill="FFFFFF"/>
            <w:vAlign w:val="center"/>
          </w:tcPr>
          <w:p w14:paraId="21B9B96D" w14:textId="77777777" w:rsidR="00DB766A" w:rsidRPr="00CF31E0" w:rsidRDefault="00DB766A" w:rsidP="00036181">
            <w:pPr>
              <w:spacing w:before="120" w:after="24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.46420</w:t>
            </w:r>
          </w:p>
        </w:tc>
        <w:tc>
          <w:tcPr>
            <w:tcW w:w="1134" w:type="dxa"/>
            <w:shd w:val="clear" w:color="auto" w:fill="FFFFFF"/>
            <w:vAlign w:val="center"/>
          </w:tcPr>
          <w:p w14:paraId="6D0B3EF8" w14:textId="77777777" w:rsidR="00DB766A" w:rsidRPr="00CF31E0" w:rsidRDefault="00DB766A" w:rsidP="00036181">
            <w:pPr>
              <w:spacing w:before="120" w:after="24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1.85698</w:t>
            </w:r>
          </w:p>
        </w:tc>
        <w:tc>
          <w:tcPr>
            <w:tcW w:w="1134" w:type="dxa"/>
            <w:shd w:val="clear" w:color="auto" w:fill="FFFFFF"/>
            <w:vAlign w:val="center"/>
          </w:tcPr>
          <w:p w14:paraId="637BAF05" w14:textId="77777777" w:rsidR="00DB766A" w:rsidRPr="00CF31E0" w:rsidRDefault="00DB766A" w:rsidP="00036181">
            <w:pPr>
              <w:spacing w:before="120" w:after="24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.04614</w:t>
            </w:r>
          </w:p>
        </w:tc>
        <w:tc>
          <w:tcPr>
            <w:tcW w:w="1146" w:type="dxa"/>
            <w:shd w:val="clear" w:color="auto" w:fill="FFFFFF"/>
            <w:vAlign w:val="center"/>
          </w:tcPr>
          <w:p w14:paraId="0FE5B9A4" w14:textId="77777777" w:rsidR="00DB766A" w:rsidRPr="00CF31E0" w:rsidRDefault="00DB766A" w:rsidP="00036181">
            <w:pPr>
              <w:spacing w:before="120" w:after="240"/>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.000</w:t>
            </w:r>
          </w:p>
        </w:tc>
      </w:tr>
    </w:tbl>
    <w:p w14:paraId="1D3669D4" w14:textId="620BA920" w:rsidR="00A23C2A" w:rsidRPr="00CF31E0" w:rsidRDefault="00A23C2A" w:rsidP="007F3BE4">
      <w:pPr>
        <w:pStyle w:val="Tablecaption"/>
        <w:rPr>
          <w:lang w:eastAsia="en-US"/>
        </w:rPr>
      </w:pPr>
      <w:bookmarkStart w:id="677" w:name="_Toc522527453"/>
      <w:bookmarkStart w:id="678" w:name="_Toc522628865"/>
      <w:bookmarkStart w:id="679" w:name="_Toc522629029"/>
      <w:bookmarkStart w:id="680" w:name="_Toc6473126"/>
      <w:r w:rsidRPr="00CF31E0">
        <w:rPr>
          <w:rFonts w:eastAsia="Times New Roman"/>
          <w:lang w:eastAsia="zh-CN"/>
        </w:rPr>
        <w:t xml:space="preserve">Table </w:t>
      </w:r>
      <w:r w:rsidR="007F3BE4" w:rsidRPr="00CF31E0">
        <w:rPr>
          <w:rFonts w:eastAsia="Times New Roman"/>
          <w:lang w:eastAsia="zh-CN"/>
        </w:rPr>
        <w:t>9</w:t>
      </w:r>
      <w:r w:rsidR="004F077D" w:rsidRPr="00CF31E0">
        <w:rPr>
          <w:rFonts w:eastAsia="Times New Roman"/>
          <w:lang w:eastAsia="zh-CN"/>
        </w:rPr>
        <w:t>.1</w:t>
      </w:r>
      <w:r w:rsidR="00CF3993" w:rsidRPr="00CF31E0">
        <w:rPr>
          <w:rFonts w:eastAsia="Times New Roman"/>
          <w:lang w:eastAsia="zh-CN"/>
        </w:rPr>
        <w:t>7</w:t>
      </w:r>
      <w:r w:rsidRPr="00CF31E0">
        <w:rPr>
          <w:rFonts w:eastAsia="Times New Roman"/>
          <w:lang w:eastAsia="zh-CN"/>
        </w:rPr>
        <w:t xml:space="preserve">: </w:t>
      </w:r>
      <w:r w:rsidR="00AC0322" w:rsidRPr="00CF31E0">
        <w:rPr>
          <w:lang w:eastAsia="en-US"/>
        </w:rPr>
        <w:t>Paired</w:t>
      </w:r>
      <w:r w:rsidR="005D0894" w:rsidRPr="00CF31E0">
        <w:rPr>
          <w:lang w:eastAsia="en-US"/>
        </w:rPr>
        <w:t>-samples</w:t>
      </w:r>
      <w:r w:rsidR="00AC0322" w:rsidRPr="00CF31E0">
        <w:rPr>
          <w:lang w:eastAsia="en-US"/>
        </w:rPr>
        <w:t xml:space="preserve"> test for HH</w:t>
      </w:r>
      <w:r w:rsidRPr="00CF31E0">
        <w:rPr>
          <w:lang w:eastAsia="en-US"/>
        </w:rPr>
        <w:t xml:space="preserve"> participants.</w:t>
      </w:r>
      <w:bookmarkEnd w:id="677"/>
      <w:bookmarkEnd w:id="678"/>
      <w:bookmarkEnd w:id="679"/>
      <w:bookmarkEnd w:id="680"/>
    </w:p>
    <w:p w14:paraId="77198E1F" w14:textId="1BBBB4A7" w:rsidR="00C52542" w:rsidRPr="00CF31E0" w:rsidRDefault="00A23C2A" w:rsidP="00DB766A">
      <w:pPr>
        <w:pStyle w:val="Paragraph"/>
      </w:pPr>
      <w:r w:rsidRPr="00CF31E0">
        <w:t xml:space="preserve">As can be seen from Table </w:t>
      </w:r>
      <w:r w:rsidR="007F3BE4" w:rsidRPr="00CF31E0">
        <w:t>9</w:t>
      </w:r>
      <w:r w:rsidR="004F077D" w:rsidRPr="00CF31E0">
        <w:t>.1</w:t>
      </w:r>
      <w:r w:rsidR="00CF3993" w:rsidRPr="00CF31E0">
        <w:t>7</w:t>
      </w:r>
      <w:r w:rsidR="004F077D" w:rsidRPr="00CF31E0">
        <w:t xml:space="preserve"> </w:t>
      </w:r>
      <w:r w:rsidRPr="00CF31E0">
        <w:t>above, the p value is .000 for the two pairs of factors, which shows that they are significantly different. This means that there is a significant difference in the modern factor</w:t>
      </w:r>
      <w:r w:rsidR="005F39F2" w:rsidRPr="00CF31E0">
        <w:t xml:space="preserve"> mean scores between the UBH dialect data and the HH</w:t>
      </w:r>
      <w:r w:rsidRPr="00CF31E0">
        <w:t xml:space="preserve"> dialect data. Similarly, there is another significant difference in the traditional f</w:t>
      </w:r>
      <w:r w:rsidR="00EA3D0B" w:rsidRPr="00CF31E0">
        <w:t>actor mean scores in the UBH and HH</w:t>
      </w:r>
      <w:r w:rsidRPr="00CF31E0">
        <w:t xml:space="preserve"> dialect data. Having revealed a significant difference between the two-factor scores within each pair, it is vital to find out where the highest and lowest scores lie. See Table </w:t>
      </w:r>
      <w:r w:rsidR="007F3BE4" w:rsidRPr="00CF31E0">
        <w:t>9</w:t>
      </w:r>
      <w:r w:rsidR="004F077D" w:rsidRPr="00CF31E0">
        <w:t>.1</w:t>
      </w:r>
      <w:r w:rsidR="00CF3993" w:rsidRPr="00CF31E0">
        <w:t>8</w:t>
      </w:r>
      <w:r w:rsidRPr="00CF31E0">
        <w:t>.</w:t>
      </w:r>
    </w:p>
    <w:tbl>
      <w:tblPr>
        <w:tblW w:w="7401"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36"/>
        <w:gridCol w:w="4643"/>
        <w:gridCol w:w="8"/>
        <w:gridCol w:w="1133"/>
        <w:gridCol w:w="8"/>
        <w:gridCol w:w="673"/>
      </w:tblGrid>
      <w:tr w:rsidR="007F558A" w:rsidRPr="00CF31E0" w14:paraId="509D38DD" w14:textId="77777777" w:rsidTr="00603CB7">
        <w:trPr>
          <w:cantSplit/>
          <w:trHeight w:val="605"/>
        </w:trPr>
        <w:tc>
          <w:tcPr>
            <w:tcW w:w="5587" w:type="dxa"/>
            <w:gridSpan w:val="3"/>
            <w:shd w:val="clear" w:color="auto" w:fill="FFFFFF"/>
            <w:vAlign w:val="bottom"/>
          </w:tcPr>
          <w:p w14:paraId="42765907" w14:textId="77777777" w:rsidR="00A23C2A" w:rsidRPr="00CF31E0" w:rsidRDefault="00A23C2A" w:rsidP="00A23C2A">
            <w:pPr>
              <w:spacing w:before="120" w:after="240" w:line="276" w:lineRule="auto"/>
              <w:rPr>
                <w:rFonts w:eastAsia="Times New Roman"/>
                <w:color w:val="000000" w:themeColor="text1"/>
                <w:sz w:val="22"/>
                <w:szCs w:val="22"/>
                <w:lang w:eastAsia="zh-CN"/>
              </w:rPr>
            </w:pPr>
          </w:p>
        </w:tc>
        <w:tc>
          <w:tcPr>
            <w:tcW w:w="1141" w:type="dxa"/>
            <w:gridSpan w:val="2"/>
            <w:shd w:val="clear" w:color="auto" w:fill="FFFFFF"/>
            <w:vAlign w:val="bottom"/>
          </w:tcPr>
          <w:p w14:paraId="5142389C" w14:textId="77777777" w:rsidR="00A23C2A" w:rsidRPr="00CF31E0" w:rsidRDefault="00A23C2A" w:rsidP="00A23C2A">
            <w:pPr>
              <w:spacing w:before="120" w:after="240" w:line="320" w:lineRule="atLeast"/>
              <w:ind w:left="60" w:right="60"/>
              <w:jc w:val="center"/>
              <w:rPr>
                <w:rFonts w:eastAsia="Times New Roman"/>
                <w:color w:val="000000" w:themeColor="text1"/>
                <w:sz w:val="22"/>
                <w:szCs w:val="22"/>
                <w:lang w:eastAsia="zh-CN"/>
              </w:rPr>
            </w:pPr>
            <w:r w:rsidRPr="00CF31E0">
              <w:rPr>
                <w:rFonts w:eastAsia="Times New Roman"/>
                <w:color w:val="000000" w:themeColor="text1"/>
                <w:sz w:val="22"/>
                <w:szCs w:val="22"/>
                <w:lang w:eastAsia="zh-CN"/>
              </w:rPr>
              <w:t>Mean</w:t>
            </w:r>
          </w:p>
        </w:tc>
        <w:tc>
          <w:tcPr>
            <w:tcW w:w="673" w:type="dxa"/>
            <w:shd w:val="clear" w:color="auto" w:fill="FFFFFF"/>
            <w:vAlign w:val="bottom"/>
          </w:tcPr>
          <w:p w14:paraId="7482950E" w14:textId="77777777" w:rsidR="00A23C2A" w:rsidRPr="00CF31E0" w:rsidRDefault="00A23C2A" w:rsidP="00A23C2A">
            <w:pPr>
              <w:spacing w:before="120" w:after="240" w:line="320" w:lineRule="atLeast"/>
              <w:ind w:left="60" w:right="60"/>
              <w:jc w:val="center"/>
              <w:rPr>
                <w:rFonts w:eastAsia="Times New Roman"/>
                <w:color w:val="000000" w:themeColor="text1"/>
                <w:sz w:val="22"/>
                <w:szCs w:val="22"/>
                <w:lang w:eastAsia="zh-CN"/>
              </w:rPr>
            </w:pPr>
            <w:r w:rsidRPr="00CF31E0">
              <w:rPr>
                <w:rFonts w:eastAsia="Times New Roman"/>
                <w:color w:val="000000" w:themeColor="text1"/>
                <w:sz w:val="22"/>
                <w:szCs w:val="22"/>
                <w:lang w:eastAsia="zh-CN"/>
              </w:rPr>
              <w:t>N</w:t>
            </w:r>
          </w:p>
        </w:tc>
      </w:tr>
      <w:tr w:rsidR="007F558A" w:rsidRPr="00CF31E0" w14:paraId="7E712C29" w14:textId="77777777" w:rsidTr="00603CB7">
        <w:trPr>
          <w:cantSplit/>
          <w:trHeight w:val="605"/>
        </w:trPr>
        <w:tc>
          <w:tcPr>
            <w:tcW w:w="936" w:type="dxa"/>
            <w:vMerge w:val="restart"/>
            <w:shd w:val="clear" w:color="auto" w:fill="FFFFFF"/>
          </w:tcPr>
          <w:p w14:paraId="3A9B5D03" w14:textId="77777777" w:rsidR="00A23C2A" w:rsidRPr="00CF31E0" w:rsidRDefault="00A23C2A" w:rsidP="00A23C2A">
            <w:pPr>
              <w:spacing w:before="120" w:after="240" w:line="320" w:lineRule="atLeast"/>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Pair 1</w:t>
            </w:r>
          </w:p>
        </w:tc>
        <w:tc>
          <w:tcPr>
            <w:tcW w:w="4643" w:type="dxa"/>
            <w:shd w:val="clear" w:color="auto" w:fill="FFFFFF"/>
          </w:tcPr>
          <w:p w14:paraId="754C170D" w14:textId="4C173AD6" w:rsidR="00A23C2A" w:rsidRPr="00CF31E0" w:rsidRDefault="00A23C2A" w:rsidP="00A23C2A">
            <w:pPr>
              <w:spacing w:before="120" w:after="240" w:line="320" w:lineRule="atLeast"/>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Modern fa</w:t>
            </w:r>
            <w:r w:rsidR="00E10020" w:rsidRPr="00CF31E0">
              <w:rPr>
                <w:rFonts w:eastAsia="Times New Roman"/>
                <w:color w:val="000000" w:themeColor="text1"/>
                <w:sz w:val="22"/>
                <w:szCs w:val="22"/>
                <w:lang w:eastAsia="zh-CN"/>
              </w:rPr>
              <w:t>ctor (UBH</w:t>
            </w:r>
            <w:r w:rsidRPr="00CF31E0">
              <w:rPr>
                <w:rFonts w:eastAsia="Times New Roman"/>
                <w:color w:val="000000" w:themeColor="text1"/>
                <w:sz w:val="22"/>
                <w:szCs w:val="22"/>
                <w:lang w:eastAsia="zh-CN"/>
              </w:rPr>
              <w:t xml:space="preserve"> dialect)</w:t>
            </w:r>
          </w:p>
        </w:tc>
        <w:tc>
          <w:tcPr>
            <w:tcW w:w="1141" w:type="dxa"/>
            <w:gridSpan w:val="2"/>
            <w:shd w:val="clear" w:color="auto" w:fill="FFFFFF"/>
            <w:vAlign w:val="center"/>
          </w:tcPr>
          <w:p w14:paraId="031D3B32" w14:textId="77777777" w:rsidR="00A23C2A" w:rsidRPr="00CF31E0" w:rsidRDefault="00A23C2A" w:rsidP="00A23C2A">
            <w:pPr>
              <w:spacing w:before="120" w:after="240" w:line="320" w:lineRule="atLeast"/>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2.4034</w:t>
            </w:r>
          </w:p>
        </w:tc>
        <w:tc>
          <w:tcPr>
            <w:tcW w:w="681" w:type="dxa"/>
            <w:gridSpan w:val="2"/>
            <w:shd w:val="clear" w:color="auto" w:fill="FFFFFF"/>
            <w:vAlign w:val="center"/>
          </w:tcPr>
          <w:p w14:paraId="1374AF2E" w14:textId="77777777" w:rsidR="00A23C2A" w:rsidRPr="00CF31E0" w:rsidRDefault="00A23C2A" w:rsidP="00A23C2A">
            <w:pPr>
              <w:spacing w:before="120" w:after="240" w:line="320" w:lineRule="atLeast"/>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326</w:t>
            </w:r>
          </w:p>
        </w:tc>
      </w:tr>
      <w:tr w:rsidR="007F558A" w:rsidRPr="00CF31E0" w14:paraId="328BDC95" w14:textId="77777777" w:rsidTr="00603CB7">
        <w:trPr>
          <w:cantSplit/>
          <w:trHeight w:val="126"/>
        </w:trPr>
        <w:tc>
          <w:tcPr>
            <w:tcW w:w="936" w:type="dxa"/>
            <w:vMerge/>
            <w:shd w:val="clear" w:color="auto" w:fill="FFFFFF"/>
          </w:tcPr>
          <w:p w14:paraId="56B8176E" w14:textId="77777777" w:rsidR="00A23C2A" w:rsidRPr="00CF31E0" w:rsidRDefault="00A23C2A" w:rsidP="00A23C2A">
            <w:pPr>
              <w:spacing w:before="120" w:after="240" w:line="276" w:lineRule="auto"/>
              <w:rPr>
                <w:rFonts w:eastAsia="Times New Roman"/>
                <w:color w:val="000000" w:themeColor="text1"/>
                <w:sz w:val="22"/>
                <w:szCs w:val="22"/>
                <w:lang w:eastAsia="zh-CN"/>
              </w:rPr>
            </w:pPr>
          </w:p>
        </w:tc>
        <w:tc>
          <w:tcPr>
            <w:tcW w:w="4643" w:type="dxa"/>
            <w:shd w:val="clear" w:color="auto" w:fill="FFFFFF"/>
          </w:tcPr>
          <w:p w14:paraId="6F67BE6F" w14:textId="758EB14E" w:rsidR="00A23C2A" w:rsidRPr="00CF31E0" w:rsidRDefault="00E10020" w:rsidP="00A23C2A">
            <w:pPr>
              <w:spacing w:before="120" w:after="240" w:line="320" w:lineRule="atLeast"/>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Modern factor (HH</w:t>
            </w:r>
            <w:r w:rsidR="00A23C2A" w:rsidRPr="00CF31E0">
              <w:rPr>
                <w:rFonts w:eastAsia="Times New Roman"/>
                <w:color w:val="000000" w:themeColor="text1"/>
                <w:sz w:val="22"/>
                <w:szCs w:val="22"/>
                <w:lang w:eastAsia="zh-CN"/>
              </w:rPr>
              <w:t xml:space="preserve"> dialect)</w:t>
            </w:r>
          </w:p>
        </w:tc>
        <w:tc>
          <w:tcPr>
            <w:tcW w:w="1141" w:type="dxa"/>
            <w:gridSpan w:val="2"/>
            <w:shd w:val="clear" w:color="auto" w:fill="FFFFFF"/>
            <w:vAlign w:val="center"/>
          </w:tcPr>
          <w:p w14:paraId="7A01A29B" w14:textId="77777777" w:rsidR="00A23C2A" w:rsidRPr="00CF31E0" w:rsidRDefault="00A23C2A" w:rsidP="00A23C2A">
            <w:pPr>
              <w:spacing w:before="120" w:after="240" w:line="320" w:lineRule="atLeast"/>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3.8373</w:t>
            </w:r>
          </w:p>
        </w:tc>
        <w:tc>
          <w:tcPr>
            <w:tcW w:w="681" w:type="dxa"/>
            <w:gridSpan w:val="2"/>
            <w:shd w:val="clear" w:color="auto" w:fill="FFFFFF"/>
            <w:vAlign w:val="center"/>
          </w:tcPr>
          <w:p w14:paraId="2BC7FEEF" w14:textId="77777777" w:rsidR="00A23C2A" w:rsidRPr="00CF31E0" w:rsidRDefault="00A23C2A" w:rsidP="00A23C2A">
            <w:pPr>
              <w:spacing w:before="120" w:after="240" w:line="320" w:lineRule="atLeast"/>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326</w:t>
            </w:r>
          </w:p>
        </w:tc>
      </w:tr>
      <w:tr w:rsidR="007F558A" w:rsidRPr="00CF31E0" w14:paraId="60248F76" w14:textId="77777777" w:rsidTr="00603CB7">
        <w:trPr>
          <w:cantSplit/>
          <w:trHeight w:val="595"/>
        </w:trPr>
        <w:tc>
          <w:tcPr>
            <w:tcW w:w="936" w:type="dxa"/>
            <w:vMerge w:val="restart"/>
            <w:shd w:val="clear" w:color="auto" w:fill="FFFFFF"/>
          </w:tcPr>
          <w:p w14:paraId="3A9A1E17" w14:textId="77777777" w:rsidR="00A23C2A" w:rsidRPr="00CF31E0" w:rsidRDefault="00A23C2A" w:rsidP="00A23C2A">
            <w:pPr>
              <w:spacing w:before="120" w:after="240" w:line="320" w:lineRule="atLeast"/>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Pair 2</w:t>
            </w:r>
          </w:p>
        </w:tc>
        <w:tc>
          <w:tcPr>
            <w:tcW w:w="4643" w:type="dxa"/>
            <w:shd w:val="clear" w:color="auto" w:fill="FFFFFF"/>
          </w:tcPr>
          <w:p w14:paraId="458129A7" w14:textId="089F3833" w:rsidR="00A23C2A" w:rsidRPr="00CF31E0" w:rsidRDefault="00E10020" w:rsidP="00A23C2A">
            <w:pPr>
              <w:spacing w:before="120" w:after="240" w:line="320" w:lineRule="atLeast"/>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Traditional factor (UBH</w:t>
            </w:r>
            <w:r w:rsidR="00A23C2A" w:rsidRPr="00CF31E0">
              <w:rPr>
                <w:rFonts w:eastAsia="Times New Roman"/>
                <w:color w:val="000000" w:themeColor="text1"/>
                <w:sz w:val="22"/>
                <w:szCs w:val="22"/>
                <w:lang w:eastAsia="zh-CN"/>
              </w:rPr>
              <w:t xml:space="preserve"> dialect)</w:t>
            </w:r>
          </w:p>
        </w:tc>
        <w:tc>
          <w:tcPr>
            <w:tcW w:w="1141" w:type="dxa"/>
            <w:gridSpan w:val="2"/>
            <w:shd w:val="clear" w:color="auto" w:fill="FFFFFF"/>
            <w:vAlign w:val="center"/>
          </w:tcPr>
          <w:p w14:paraId="0727C895" w14:textId="77777777" w:rsidR="00A23C2A" w:rsidRPr="00CF31E0" w:rsidRDefault="00A23C2A" w:rsidP="00A23C2A">
            <w:pPr>
              <w:spacing w:before="120" w:after="240" w:line="320" w:lineRule="atLeast"/>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3.3877</w:t>
            </w:r>
          </w:p>
        </w:tc>
        <w:tc>
          <w:tcPr>
            <w:tcW w:w="681" w:type="dxa"/>
            <w:gridSpan w:val="2"/>
            <w:shd w:val="clear" w:color="auto" w:fill="FFFFFF"/>
            <w:vAlign w:val="center"/>
          </w:tcPr>
          <w:p w14:paraId="1C46B899" w14:textId="77777777" w:rsidR="00A23C2A" w:rsidRPr="00CF31E0" w:rsidRDefault="00A23C2A" w:rsidP="00A23C2A">
            <w:pPr>
              <w:spacing w:before="120" w:after="240" w:line="320" w:lineRule="atLeast"/>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326</w:t>
            </w:r>
          </w:p>
        </w:tc>
      </w:tr>
      <w:tr w:rsidR="007F558A" w:rsidRPr="00CF31E0" w14:paraId="4EA930EB" w14:textId="77777777" w:rsidTr="00603CB7">
        <w:trPr>
          <w:cantSplit/>
          <w:trHeight w:val="126"/>
        </w:trPr>
        <w:tc>
          <w:tcPr>
            <w:tcW w:w="936" w:type="dxa"/>
            <w:vMerge/>
            <w:shd w:val="clear" w:color="auto" w:fill="FFFFFF"/>
          </w:tcPr>
          <w:p w14:paraId="75A07F73" w14:textId="77777777" w:rsidR="00A23C2A" w:rsidRPr="00CF31E0" w:rsidRDefault="00A23C2A" w:rsidP="00A23C2A">
            <w:pPr>
              <w:spacing w:before="120" w:after="240" w:line="276" w:lineRule="auto"/>
              <w:rPr>
                <w:rFonts w:eastAsia="Times New Roman"/>
                <w:color w:val="000000" w:themeColor="text1"/>
                <w:sz w:val="22"/>
                <w:szCs w:val="22"/>
                <w:lang w:eastAsia="zh-CN"/>
              </w:rPr>
            </w:pPr>
          </w:p>
        </w:tc>
        <w:tc>
          <w:tcPr>
            <w:tcW w:w="4643" w:type="dxa"/>
            <w:shd w:val="clear" w:color="auto" w:fill="FFFFFF"/>
          </w:tcPr>
          <w:p w14:paraId="294659F6" w14:textId="3B37E0BC" w:rsidR="00A23C2A" w:rsidRPr="00CF31E0" w:rsidRDefault="00E10020" w:rsidP="00A23C2A">
            <w:pPr>
              <w:spacing w:before="120" w:after="240" w:line="320" w:lineRule="atLeast"/>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Traditional factor (HH</w:t>
            </w:r>
            <w:r w:rsidR="00A23C2A" w:rsidRPr="00CF31E0">
              <w:rPr>
                <w:rFonts w:eastAsia="Times New Roman"/>
                <w:color w:val="000000" w:themeColor="text1"/>
                <w:sz w:val="22"/>
                <w:szCs w:val="22"/>
                <w:lang w:eastAsia="zh-CN"/>
              </w:rPr>
              <w:t xml:space="preserve"> dialect)</w:t>
            </w:r>
          </w:p>
        </w:tc>
        <w:tc>
          <w:tcPr>
            <w:tcW w:w="1141" w:type="dxa"/>
            <w:gridSpan w:val="2"/>
            <w:shd w:val="clear" w:color="auto" w:fill="FFFFFF"/>
            <w:vAlign w:val="center"/>
          </w:tcPr>
          <w:p w14:paraId="0AF5FD86" w14:textId="77777777" w:rsidR="00A23C2A" w:rsidRPr="00CF31E0" w:rsidRDefault="00A23C2A" w:rsidP="00A23C2A">
            <w:pPr>
              <w:spacing w:before="120" w:after="240" w:line="320" w:lineRule="atLeast"/>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2.9235</w:t>
            </w:r>
          </w:p>
        </w:tc>
        <w:tc>
          <w:tcPr>
            <w:tcW w:w="681" w:type="dxa"/>
            <w:gridSpan w:val="2"/>
            <w:shd w:val="clear" w:color="auto" w:fill="FFFFFF"/>
            <w:vAlign w:val="center"/>
          </w:tcPr>
          <w:p w14:paraId="1A0BB847" w14:textId="77777777" w:rsidR="00A23C2A" w:rsidRPr="00CF31E0" w:rsidRDefault="00A23C2A" w:rsidP="00A23C2A">
            <w:pPr>
              <w:spacing w:before="120" w:after="240" w:line="320" w:lineRule="atLeast"/>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326</w:t>
            </w:r>
          </w:p>
        </w:tc>
      </w:tr>
    </w:tbl>
    <w:p w14:paraId="4BC678E5" w14:textId="127537F7" w:rsidR="00A23C2A" w:rsidRPr="00CF31E0" w:rsidRDefault="00A23C2A" w:rsidP="007F3BE4">
      <w:pPr>
        <w:pStyle w:val="Tablecaption"/>
        <w:rPr>
          <w:lang w:eastAsia="zh-CN"/>
        </w:rPr>
      </w:pPr>
      <w:bookmarkStart w:id="681" w:name="_Toc522527454"/>
      <w:bookmarkStart w:id="682" w:name="_Toc522628866"/>
      <w:bookmarkStart w:id="683" w:name="_Toc522629030"/>
      <w:bookmarkStart w:id="684" w:name="_Toc6473127"/>
      <w:r w:rsidRPr="00CF31E0">
        <w:rPr>
          <w:lang w:eastAsia="zh-CN"/>
        </w:rPr>
        <w:t xml:space="preserve">Table </w:t>
      </w:r>
      <w:r w:rsidR="007F3BE4" w:rsidRPr="00CF31E0">
        <w:rPr>
          <w:lang w:eastAsia="zh-CN"/>
        </w:rPr>
        <w:t>9</w:t>
      </w:r>
      <w:r w:rsidR="004F077D" w:rsidRPr="00CF31E0">
        <w:rPr>
          <w:lang w:eastAsia="zh-CN"/>
        </w:rPr>
        <w:t>.1</w:t>
      </w:r>
      <w:r w:rsidR="00CF3993" w:rsidRPr="00CF31E0">
        <w:rPr>
          <w:lang w:eastAsia="zh-CN"/>
        </w:rPr>
        <w:t>8</w:t>
      </w:r>
      <w:r w:rsidRPr="00CF31E0">
        <w:rPr>
          <w:lang w:eastAsia="zh-CN"/>
        </w:rPr>
        <w:t>: Pair</w:t>
      </w:r>
      <w:r w:rsidR="00E10020" w:rsidRPr="00CF31E0">
        <w:rPr>
          <w:lang w:eastAsia="zh-CN"/>
        </w:rPr>
        <w:t>ed</w:t>
      </w:r>
      <w:r w:rsidR="005D0894" w:rsidRPr="00CF31E0">
        <w:rPr>
          <w:lang w:eastAsia="zh-CN"/>
        </w:rPr>
        <w:t>-samples</w:t>
      </w:r>
      <w:r w:rsidR="00E10020" w:rsidRPr="00CF31E0">
        <w:rPr>
          <w:lang w:eastAsia="zh-CN"/>
        </w:rPr>
        <w:t xml:space="preserve"> statistics for HH</w:t>
      </w:r>
      <w:r w:rsidRPr="00CF31E0">
        <w:rPr>
          <w:lang w:eastAsia="zh-CN"/>
        </w:rPr>
        <w:t xml:space="preserve"> participants</w:t>
      </w:r>
      <w:r w:rsidR="004F077D" w:rsidRPr="00CF31E0">
        <w:rPr>
          <w:lang w:eastAsia="zh-CN"/>
        </w:rPr>
        <w:t>.</w:t>
      </w:r>
      <w:bookmarkEnd w:id="681"/>
      <w:bookmarkEnd w:id="682"/>
      <w:bookmarkEnd w:id="683"/>
      <w:bookmarkEnd w:id="684"/>
    </w:p>
    <w:p w14:paraId="1818B4A6" w14:textId="6E532887" w:rsidR="00A23C2A" w:rsidRPr="00CF31E0" w:rsidRDefault="00A23C2A" w:rsidP="00603CB7">
      <w:pPr>
        <w:pStyle w:val="Paragraph"/>
      </w:pPr>
      <w:r w:rsidRPr="00CF31E0">
        <w:t xml:space="preserve">As illustrated in Table </w:t>
      </w:r>
      <w:r w:rsidR="007F3BE4" w:rsidRPr="00CF31E0">
        <w:t>9</w:t>
      </w:r>
      <w:r w:rsidR="00CF3993" w:rsidRPr="00CF31E0">
        <w:t>.18</w:t>
      </w:r>
      <w:r w:rsidRPr="00CF31E0">
        <w:t>, the mean score for</w:t>
      </w:r>
      <w:r w:rsidR="00E10020" w:rsidRPr="00CF31E0">
        <w:t xml:space="preserve"> the modern factor in the HH</w:t>
      </w:r>
      <w:r w:rsidRPr="00CF31E0">
        <w:t xml:space="preserve"> dialect is 3.8373, which is clearly higher th</w:t>
      </w:r>
      <w:r w:rsidR="00E10020" w:rsidRPr="00CF31E0">
        <w:t>an its equivalent in the UBH</w:t>
      </w:r>
      <w:r w:rsidRPr="00CF31E0">
        <w:t xml:space="preserve"> dialect data. The mean score of the t</w:t>
      </w:r>
      <w:r w:rsidR="00E10020" w:rsidRPr="00CF31E0">
        <w:t>raditional factor in the UBH</w:t>
      </w:r>
      <w:r w:rsidRPr="00CF31E0">
        <w:t xml:space="preserve"> dialect data is 3.3877, which is also higher t</w:t>
      </w:r>
      <w:r w:rsidR="00E10020" w:rsidRPr="00CF31E0">
        <w:t>han its equivalent in the HH</w:t>
      </w:r>
      <w:r w:rsidRPr="00CF31E0">
        <w:t xml:space="preserve"> dialect data. </w:t>
      </w:r>
      <w:r w:rsidRPr="00CF31E0">
        <w:lastRenderedPageBreak/>
        <w:t>Overall</w:t>
      </w:r>
      <w:r w:rsidR="00E10020" w:rsidRPr="00CF31E0">
        <w:t>, I can conclude that the HH</w:t>
      </w:r>
      <w:r w:rsidRPr="00CF31E0">
        <w:t xml:space="preserve"> p</w:t>
      </w:r>
      <w:r w:rsidR="00E10020" w:rsidRPr="00CF31E0">
        <w:t>articipants perceived the HH</w:t>
      </w:r>
      <w:r w:rsidRPr="00CF31E0">
        <w:t xml:space="preserve"> dialect as </w:t>
      </w:r>
      <w:r w:rsidR="00E10020" w:rsidRPr="00CF31E0">
        <w:t>modern and perceived the UBH</w:t>
      </w:r>
      <w:r w:rsidRPr="00CF31E0">
        <w:t xml:space="preserve"> dialect as traditional. In comparing this result</w:t>
      </w:r>
      <w:r w:rsidR="00E10020" w:rsidRPr="00CF31E0">
        <w:t xml:space="preserve"> with the previous one from UBH</w:t>
      </w:r>
      <w:r w:rsidRPr="00CF31E0">
        <w:t xml:space="preserve"> participants’ perceptions (see Table </w:t>
      </w:r>
      <w:r w:rsidR="007F3BE4" w:rsidRPr="00CF31E0">
        <w:t>9</w:t>
      </w:r>
      <w:r w:rsidR="00EE7A6B" w:rsidRPr="00CF31E0">
        <w:t>.18)</w:t>
      </w:r>
      <w:r w:rsidRPr="00CF31E0">
        <w:t xml:space="preserve">, it is evident </w:t>
      </w:r>
      <w:r w:rsidR="00E10020" w:rsidRPr="00CF31E0">
        <w:t>that on the one hand, the HH</w:t>
      </w:r>
      <w:r w:rsidRPr="00CF31E0">
        <w:t xml:space="preserve"> dialect was perceived as modern by participants of </w:t>
      </w:r>
      <w:r w:rsidR="00E10020" w:rsidRPr="00CF31E0">
        <w:t>both social groups (i.e. UBH and HH</w:t>
      </w:r>
      <w:r w:rsidRPr="00CF31E0">
        <w:t>)</w:t>
      </w:r>
      <w:r w:rsidR="00E10020" w:rsidRPr="00CF31E0">
        <w:t>; on the other hand, the UBH</w:t>
      </w:r>
      <w:r w:rsidRPr="00CF31E0">
        <w:t xml:space="preserve"> dialect was perceived as more traditional by participants of both social groups. Overall, the paired t-tests uncover the uniformity of perceptions of each dialect by each social group. Having revealed the significant results from the paired t-tests, the remaining task is to find out which social background variable has the most effect on the mean factor scores. This question will be addressed in the next section by running a one-way analysis of variance (ANOVA) test in IBM SPSS</w:t>
      </w:r>
      <w:r w:rsidR="000F79C7" w:rsidRPr="00CF31E0">
        <w:t>.</w:t>
      </w:r>
    </w:p>
    <w:p w14:paraId="7F6B2B25" w14:textId="3C089962" w:rsidR="00A23C2A" w:rsidRPr="00CF31E0" w:rsidRDefault="007F3BE4" w:rsidP="00DE7711">
      <w:pPr>
        <w:pStyle w:val="Ahead"/>
        <w:rPr>
          <w:rFonts w:eastAsia="Times New Roman"/>
        </w:rPr>
      </w:pPr>
      <w:bookmarkStart w:id="685" w:name="_Toc502437230"/>
      <w:bookmarkStart w:id="686" w:name="_Toc6472754"/>
      <w:r w:rsidRPr="00CF31E0">
        <w:rPr>
          <w:rFonts w:eastAsia="Times New Roman"/>
        </w:rPr>
        <w:t>9</w:t>
      </w:r>
      <w:r w:rsidR="004F077D" w:rsidRPr="00CF31E0">
        <w:rPr>
          <w:rFonts w:eastAsia="Times New Roman"/>
        </w:rPr>
        <w:t>.6.</w:t>
      </w:r>
      <w:r w:rsidR="00CF3993" w:rsidRPr="00CF31E0">
        <w:rPr>
          <w:rFonts w:eastAsia="Times New Roman"/>
        </w:rPr>
        <w:tab/>
      </w:r>
      <w:r w:rsidR="00F44DB2" w:rsidRPr="00CF31E0">
        <w:rPr>
          <w:rFonts w:eastAsia="Times New Roman"/>
        </w:rPr>
        <w:t>E</w:t>
      </w:r>
      <w:r w:rsidR="00A23C2A" w:rsidRPr="00CF31E0">
        <w:rPr>
          <w:rFonts w:eastAsia="Times New Roman"/>
        </w:rPr>
        <w:t>ffects of social background on participants’ perceptions</w:t>
      </w:r>
      <w:bookmarkEnd w:id="685"/>
      <w:bookmarkEnd w:id="686"/>
    </w:p>
    <w:p w14:paraId="4D6323D3" w14:textId="1BCEB7CD" w:rsidR="00A23C2A" w:rsidRPr="00CF31E0" w:rsidRDefault="00A23C2A" w:rsidP="00603CB7">
      <w:pPr>
        <w:pStyle w:val="Paragraph"/>
        <w:rPr>
          <w:lang w:val="en-US" w:eastAsia="en-US"/>
        </w:rPr>
      </w:pPr>
      <w:r w:rsidRPr="00CF31E0">
        <w:rPr>
          <w:lang w:val="en-US" w:eastAsia="en-US"/>
        </w:rPr>
        <w:t xml:space="preserve">I used </w:t>
      </w:r>
      <w:r w:rsidR="000F79C7" w:rsidRPr="00CF31E0">
        <w:rPr>
          <w:lang w:val="en-US" w:eastAsia="en-US"/>
        </w:rPr>
        <w:t>one-way</w:t>
      </w:r>
      <w:r w:rsidRPr="00CF31E0">
        <w:rPr>
          <w:lang w:val="en-US" w:eastAsia="en-US"/>
        </w:rPr>
        <w:t xml:space="preserve"> analysis of variance (ANOVA) to examine whether there are any significant differences in the mean score of the dependent variables (i.e. continuous variable) with the independent variables. The dependent variable must be continuous in nature</w:t>
      </w:r>
      <w:r w:rsidR="00AA3AF9" w:rsidRPr="00CF31E0">
        <w:rPr>
          <w:lang w:val="en-US" w:eastAsia="en-US"/>
        </w:rPr>
        <w:t>;</w:t>
      </w:r>
      <w:r w:rsidRPr="00CF31E0">
        <w:rPr>
          <w:lang w:val="en-US" w:eastAsia="en-US"/>
        </w:rPr>
        <w:t xml:space="preserve"> in the current research, the dependent variable is the factors’ scores. The independent variable has to have three or more levels</w:t>
      </w:r>
      <w:r w:rsidR="00AA3AF9" w:rsidRPr="00CF31E0">
        <w:rPr>
          <w:lang w:val="en-US" w:eastAsia="en-US"/>
        </w:rPr>
        <w:t>;</w:t>
      </w:r>
      <w:r w:rsidRPr="00CF31E0">
        <w:rPr>
          <w:lang w:val="en-US" w:eastAsia="en-US"/>
        </w:rPr>
        <w:t xml:space="preserve"> in the current research, the social background is going to be the independent variable, such as; age, gender, education, place of birth, place of residence, social group, mother’s social group, spouse’s social group. For example, if we take one independent variable (i.e. education), you will find it contains many groups (i.e. primary, intermediate, secondary and so one). Therefore, </w:t>
      </w:r>
      <w:r w:rsidR="00F25B85" w:rsidRPr="00CF31E0">
        <w:rPr>
          <w:lang w:val="en-US" w:eastAsia="en-US"/>
        </w:rPr>
        <w:t xml:space="preserve">the technique </w:t>
      </w:r>
      <w:r w:rsidRPr="00CF31E0">
        <w:rPr>
          <w:lang w:val="en-US" w:eastAsia="en-US"/>
        </w:rPr>
        <w:t>is called one</w:t>
      </w:r>
      <w:r w:rsidR="00F25B85" w:rsidRPr="00CF31E0">
        <w:rPr>
          <w:lang w:val="en-US" w:eastAsia="en-US"/>
        </w:rPr>
        <w:t>-</w:t>
      </w:r>
      <w:r w:rsidRPr="00CF31E0">
        <w:rPr>
          <w:lang w:val="en-US" w:eastAsia="en-US"/>
        </w:rPr>
        <w:t xml:space="preserve">way (i.e. education) between groups (i.e. primary, intermediate, secondary and so on) ANOVA </w:t>
      </w:r>
      <w:r w:rsidRPr="00CF31E0">
        <w:rPr>
          <w:lang w:eastAsia="en-US"/>
        </w:rPr>
        <w:t>(Dörnyei, 2007; Pallant, 2013)</w:t>
      </w:r>
      <w:r w:rsidRPr="00CF31E0">
        <w:rPr>
          <w:lang w:val="en-US" w:eastAsia="en-US"/>
        </w:rPr>
        <w:t xml:space="preserve">. </w:t>
      </w:r>
    </w:p>
    <w:p w14:paraId="6F623961" w14:textId="30F128C8" w:rsidR="00A23C2A" w:rsidRPr="00CF31E0" w:rsidRDefault="00A23C2A" w:rsidP="00603CB7">
      <w:pPr>
        <w:pStyle w:val="Paragraph"/>
        <w:rPr>
          <w:lang w:val="en-US" w:eastAsia="en-US"/>
        </w:rPr>
      </w:pPr>
      <w:r w:rsidRPr="00CF31E0">
        <w:rPr>
          <w:lang w:val="en-US" w:eastAsia="en-US"/>
        </w:rPr>
        <w:t xml:space="preserve">In the current analysis, ANOVA is used to test if there is a difference in the factors’ mean scores for the social background of the participants. Thus, I will examine each factor separately with the demographic variables, then, if there is any significance in the results, the next step is to spot the difference </w:t>
      </w:r>
      <w:r w:rsidRPr="00CF31E0">
        <w:rPr>
          <w:lang w:val="en-US" w:eastAsia="en-US"/>
        </w:rPr>
        <w:lastRenderedPageBreak/>
        <w:t>by using post</w:t>
      </w:r>
      <w:r w:rsidR="005D0894" w:rsidRPr="00CF31E0">
        <w:rPr>
          <w:lang w:val="en-US" w:eastAsia="en-US"/>
        </w:rPr>
        <w:t>-hoc</w:t>
      </w:r>
      <w:r w:rsidRPr="00CF31E0">
        <w:rPr>
          <w:lang w:val="en-US" w:eastAsia="en-US"/>
        </w:rPr>
        <w:t xml:space="preserve"> tests, which will help the researcher to find where the difference lies across categories of independent variables (i.e. age groups) </w:t>
      </w:r>
      <w:bookmarkStart w:id="687" w:name="ZOTERO_BREF_DCYikBL5bmcl"/>
      <w:r w:rsidRPr="00CF31E0">
        <w:rPr>
          <w:rFonts w:eastAsia="Times New Roman"/>
          <w:szCs w:val="22"/>
          <w:lang w:eastAsia="zh-CN"/>
        </w:rPr>
        <w:t>(Pallant, 2013)</w:t>
      </w:r>
      <w:bookmarkEnd w:id="687"/>
      <w:r w:rsidRPr="00CF31E0">
        <w:rPr>
          <w:lang w:val="en-US" w:eastAsia="en-US"/>
        </w:rPr>
        <w:t xml:space="preserve">. </w:t>
      </w:r>
    </w:p>
    <w:p w14:paraId="26403560" w14:textId="49C1B8DF" w:rsidR="00A23C2A" w:rsidRPr="00CF31E0" w:rsidRDefault="00A23C2A" w:rsidP="00603CB7">
      <w:pPr>
        <w:pStyle w:val="Paragraph"/>
      </w:pPr>
      <w:r w:rsidRPr="00CF31E0">
        <w:t>Overall, in the following tests ANOVA will reveal if any of the demographic variables (gender, age, place of birth, places lived, marital status, education, mother’s social group and spouse’s social group) ha</w:t>
      </w:r>
      <w:r w:rsidR="00515E30" w:rsidRPr="00CF31E0">
        <w:t>s</w:t>
      </w:r>
      <w:r w:rsidRPr="00CF31E0">
        <w:t xml:space="preserve"> an effect on participants’ perceptions. It should be noted that I did not include participants’ social group as one of the demographic variables to be tested in ANOVA because I already separated the current data according to participants’ social group. In other words, in each set of data only one socia</w:t>
      </w:r>
      <w:r w:rsidR="00CD0348" w:rsidRPr="00CF31E0">
        <w:t>l group is found, either UBH or HH</w:t>
      </w:r>
      <w:r w:rsidRPr="00CF31E0">
        <w:t>; therefore, there is no need to include participants’ social group in the ANOVA test. Most importantly, the effect of participants’ social group has already been revealed in the paired</w:t>
      </w:r>
      <w:r w:rsidR="005D0894" w:rsidRPr="00CF31E0">
        <w:t xml:space="preserve"> t-</w:t>
      </w:r>
      <w:r w:rsidRPr="00CF31E0">
        <w:t>tests above (see</w:t>
      </w:r>
      <w:r w:rsidR="007F3BE4" w:rsidRPr="00CF31E0">
        <w:t xml:space="preserve"> section</w:t>
      </w:r>
      <w:r w:rsidR="00E17DE3" w:rsidRPr="00CF31E0">
        <w:t xml:space="preserve"> </w:t>
      </w:r>
      <w:r w:rsidR="007F3BE4" w:rsidRPr="00CF31E0">
        <w:t>9</w:t>
      </w:r>
      <w:r w:rsidR="00E17DE3" w:rsidRPr="00CF31E0">
        <w:t>.5.2</w:t>
      </w:r>
      <w:r w:rsidRPr="00CF31E0">
        <w:t>), where the findings of each social group seem to point towards homogeneity of p</w:t>
      </w:r>
      <w:r w:rsidR="00E52933" w:rsidRPr="00CF31E0">
        <w:t>erceptions of UBH and HH</w:t>
      </w:r>
      <w:r w:rsidRPr="00CF31E0">
        <w:t xml:space="preserve"> dialect</w:t>
      </w:r>
      <w:r w:rsidR="00E52933" w:rsidRPr="00CF31E0">
        <w:t>s by both UBH and HH</w:t>
      </w:r>
      <w:r w:rsidRPr="00CF31E0">
        <w:t xml:space="preserve"> social groups.</w:t>
      </w:r>
    </w:p>
    <w:p w14:paraId="084C7660" w14:textId="20E52534" w:rsidR="00A23C2A" w:rsidRPr="00CF31E0" w:rsidRDefault="00A23C2A" w:rsidP="00603CB7">
      <w:pPr>
        <w:pStyle w:val="Paragraph"/>
      </w:pPr>
      <w:r w:rsidRPr="00CF31E0">
        <w:t>Returning to the ANOVA test results, if the demographic variables were shown to have any effect, then I ran a post-hoc test to find out in which category (e.g. male or female) of the demographic variable (e.g. gender) the effect occurs. I then followed the same steps used on the factors in the paired t-tests. This means that, first, results will be again divided according to participants’ social group. One ANOVA test was appl</w:t>
      </w:r>
      <w:r w:rsidR="00E52933" w:rsidRPr="00CF31E0">
        <w:t>ied to the data from the UBH</w:t>
      </w:r>
      <w:r w:rsidRPr="00CF31E0">
        <w:t xml:space="preserve"> participants, and another </w:t>
      </w:r>
      <w:r w:rsidR="00E52933" w:rsidRPr="00CF31E0">
        <w:t>ANOVA test was run on the HH</w:t>
      </w:r>
      <w:r w:rsidRPr="00CF31E0">
        <w:t xml:space="preserve"> participants’ data. Second, within the data for participants’ social group,</w:t>
      </w:r>
      <w:r w:rsidR="00E52933" w:rsidRPr="00CF31E0">
        <w:t xml:space="preserve"> there are </w:t>
      </w:r>
      <w:r w:rsidR="00F43E9F" w:rsidRPr="00CF31E0">
        <w:t xml:space="preserve">perceptions towards </w:t>
      </w:r>
      <w:r w:rsidR="00E52933" w:rsidRPr="00CF31E0">
        <w:t>two dialects: UBH and HH</w:t>
      </w:r>
      <w:r w:rsidRPr="00CF31E0">
        <w:t>, and within each dialect data is a two-factor solution. With regards to the results obtained through the ANOVA test, I will only present the significant results; all other re</w:t>
      </w:r>
      <w:r w:rsidR="005E4DFC" w:rsidRPr="00CF31E0">
        <w:t>sults will be illustrated in</w:t>
      </w:r>
      <w:r w:rsidRPr="00CF31E0">
        <w:t xml:space="preserve"> Appendix</w:t>
      </w:r>
      <w:r w:rsidR="005E4DFC" w:rsidRPr="00CF31E0">
        <w:t xml:space="preserve"> 3.</w:t>
      </w:r>
    </w:p>
    <w:p w14:paraId="7865F3D3" w14:textId="27DE30B5" w:rsidR="00A23C2A" w:rsidRPr="00CF31E0" w:rsidRDefault="007F3BE4" w:rsidP="00E87209">
      <w:pPr>
        <w:pStyle w:val="Bhead"/>
      </w:pPr>
      <w:bookmarkStart w:id="688" w:name="_Toc502437231"/>
      <w:bookmarkStart w:id="689" w:name="_Toc6472755"/>
      <w:r w:rsidRPr="00CF31E0">
        <w:lastRenderedPageBreak/>
        <w:t>9</w:t>
      </w:r>
      <w:r w:rsidR="0089309F" w:rsidRPr="00CF31E0">
        <w:t>.6.1.</w:t>
      </w:r>
      <w:r w:rsidR="00CF3993" w:rsidRPr="00CF31E0">
        <w:tab/>
      </w:r>
      <w:r w:rsidR="00A23C2A" w:rsidRPr="00CF31E0">
        <w:t>Effects of</w:t>
      </w:r>
      <w:r w:rsidR="00D52458" w:rsidRPr="00CF31E0">
        <w:t xml:space="preserve"> demographic variables on both</w:t>
      </w:r>
      <w:r w:rsidR="00A23C2A" w:rsidRPr="00CF31E0">
        <w:t xml:space="preserve"> factor</w:t>
      </w:r>
      <w:r w:rsidR="00D52458" w:rsidRPr="00CF31E0">
        <w:t>s in UBH and HH dialect</w:t>
      </w:r>
      <w:r w:rsidR="00F44DB2" w:rsidRPr="00CF31E0">
        <w:t>s</w:t>
      </w:r>
      <w:r w:rsidR="00D52458" w:rsidRPr="00CF31E0">
        <w:t>; from UBH</w:t>
      </w:r>
      <w:r w:rsidR="00A23C2A" w:rsidRPr="00CF31E0">
        <w:t xml:space="preserve"> participants</w:t>
      </w:r>
      <w:bookmarkEnd w:id="688"/>
      <w:bookmarkEnd w:id="689"/>
    </w:p>
    <w:p w14:paraId="63D5CD20" w14:textId="4C0895DA" w:rsidR="006E02B4" w:rsidRPr="00CF31E0" w:rsidRDefault="00A23C2A" w:rsidP="00422793">
      <w:pPr>
        <w:pStyle w:val="Paragraph"/>
        <w:rPr>
          <w:rFonts w:eastAsia="Times New Roman"/>
        </w:rPr>
      </w:pPr>
      <w:r w:rsidRPr="00CF31E0">
        <w:t xml:space="preserve">As previously mentioned, each factor within each dialect was treated as a dependent variable in the ANOVA test to be tested against each of the aforementioned demographic variables. I </w:t>
      </w:r>
      <w:r w:rsidR="00B12D33" w:rsidRPr="00CF31E0">
        <w:t>will begi</w:t>
      </w:r>
      <w:r w:rsidRPr="00CF31E0">
        <w:t xml:space="preserve">n with </w:t>
      </w:r>
      <w:r w:rsidR="009A4DD8" w:rsidRPr="00CF31E0">
        <w:t>the modern factor in the UBH</w:t>
      </w:r>
      <w:r w:rsidRPr="00CF31E0">
        <w:t xml:space="preserve"> dialec</w:t>
      </w:r>
      <w:r w:rsidR="009A4DD8" w:rsidRPr="00CF31E0">
        <w:t>t data from UBHs</w:t>
      </w:r>
      <w:r w:rsidRPr="00CF31E0">
        <w:t>’ perceptions. The only demographic variable that was found to have an effect on the modern factor scores is gender</w:t>
      </w:r>
      <w:r w:rsidR="00415AB6" w:rsidRPr="00CF31E0">
        <w:t xml:space="preserve"> (s</w:t>
      </w:r>
      <w:r w:rsidRPr="00CF31E0">
        <w:t xml:space="preserve">ee Table </w:t>
      </w:r>
      <w:r w:rsidR="007F3BE4" w:rsidRPr="00CF31E0">
        <w:t>9</w:t>
      </w:r>
      <w:r w:rsidR="0089309F" w:rsidRPr="00CF31E0">
        <w:t>.1</w:t>
      </w:r>
      <w:r w:rsidR="00CF3993" w:rsidRPr="00CF31E0">
        <w:t>9</w:t>
      </w:r>
      <w:r w:rsidR="00415AB6" w:rsidRPr="00CF31E0">
        <w:t xml:space="preserve"> below)</w:t>
      </w:r>
      <w:r w:rsidRPr="00CF31E0">
        <w:t xml:space="preserve">. </w:t>
      </w:r>
    </w:p>
    <w:tbl>
      <w:tblPr>
        <w:tblW w:w="7351" w:type="dxa"/>
        <w:tblInd w:w="20" w:type="dxa"/>
        <w:tblBorders>
          <w:top w:val="single" w:sz="8" w:space="0" w:color="000000"/>
          <w:bottom w:val="single" w:sz="8" w:space="0" w:color="000000"/>
        </w:tblBorders>
        <w:tblLayout w:type="fixed"/>
        <w:tblCellMar>
          <w:left w:w="0" w:type="dxa"/>
          <w:right w:w="0" w:type="dxa"/>
        </w:tblCellMar>
        <w:tblLook w:val="0000" w:firstRow="0" w:lastRow="0" w:firstColumn="0" w:lastColumn="0" w:noHBand="0" w:noVBand="0"/>
      </w:tblPr>
      <w:tblGrid>
        <w:gridCol w:w="1470"/>
        <w:gridCol w:w="1629"/>
        <w:gridCol w:w="992"/>
        <w:gridCol w:w="2126"/>
        <w:gridCol w:w="1134"/>
      </w:tblGrid>
      <w:tr w:rsidR="00DB766A" w:rsidRPr="00CF31E0" w14:paraId="197BEA60" w14:textId="77777777" w:rsidTr="004F45D7">
        <w:trPr>
          <w:cantSplit/>
        </w:trPr>
        <w:tc>
          <w:tcPr>
            <w:tcW w:w="1470" w:type="dxa"/>
            <w:tcBorders>
              <w:top w:val="single" w:sz="8" w:space="0" w:color="000000"/>
              <w:bottom w:val="single" w:sz="8" w:space="0" w:color="000000"/>
            </w:tcBorders>
            <w:shd w:val="clear" w:color="auto" w:fill="FFFFFF"/>
            <w:vAlign w:val="bottom"/>
          </w:tcPr>
          <w:p w14:paraId="5E2BFFE2" w14:textId="77777777" w:rsidR="00DB766A" w:rsidRPr="00CF31E0" w:rsidRDefault="00DB766A" w:rsidP="00A23C2A">
            <w:pPr>
              <w:autoSpaceDE w:val="0"/>
              <w:autoSpaceDN w:val="0"/>
              <w:adjustRightInd w:val="0"/>
              <w:spacing w:before="120" w:line="360" w:lineRule="auto"/>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Gender</w:t>
            </w:r>
          </w:p>
        </w:tc>
        <w:tc>
          <w:tcPr>
            <w:tcW w:w="1629" w:type="dxa"/>
            <w:tcBorders>
              <w:top w:val="single" w:sz="8" w:space="0" w:color="000000"/>
              <w:bottom w:val="single" w:sz="8" w:space="0" w:color="000000"/>
            </w:tcBorders>
            <w:shd w:val="clear" w:color="auto" w:fill="FFFFFF"/>
            <w:vAlign w:val="bottom"/>
          </w:tcPr>
          <w:p w14:paraId="5904685A" w14:textId="77777777" w:rsidR="00DB766A" w:rsidRPr="00CF31E0" w:rsidRDefault="00DB766A" w:rsidP="00603CB7">
            <w:pPr>
              <w:autoSpaceDE w:val="0"/>
              <w:autoSpaceDN w:val="0"/>
              <w:adjustRightInd w:val="0"/>
              <w:spacing w:before="120" w:line="360" w:lineRule="auto"/>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Sum of Squares</w:t>
            </w:r>
          </w:p>
        </w:tc>
        <w:tc>
          <w:tcPr>
            <w:tcW w:w="992" w:type="dxa"/>
            <w:tcBorders>
              <w:top w:val="single" w:sz="8" w:space="0" w:color="000000"/>
              <w:bottom w:val="single" w:sz="8" w:space="0" w:color="000000"/>
            </w:tcBorders>
            <w:shd w:val="clear" w:color="auto" w:fill="FFFFFF"/>
            <w:vAlign w:val="bottom"/>
          </w:tcPr>
          <w:p w14:paraId="19242A13" w14:textId="77777777" w:rsidR="00DB766A" w:rsidRPr="00CF31E0" w:rsidRDefault="00DB766A" w:rsidP="00603CB7">
            <w:pPr>
              <w:autoSpaceDE w:val="0"/>
              <w:autoSpaceDN w:val="0"/>
              <w:adjustRightInd w:val="0"/>
              <w:spacing w:before="120" w:line="360" w:lineRule="auto"/>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df</w:t>
            </w:r>
          </w:p>
        </w:tc>
        <w:tc>
          <w:tcPr>
            <w:tcW w:w="2126" w:type="dxa"/>
            <w:tcBorders>
              <w:top w:val="single" w:sz="8" w:space="0" w:color="000000"/>
              <w:bottom w:val="single" w:sz="8" w:space="0" w:color="000000"/>
            </w:tcBorders>
            <w:shd w:val="clear" w:color="auto" w:fill="FFFFFF"/>
            <w:vAlign w:val="bottom"/>
          </w:tcPr>
          <w:p w14:paraId="1B6EEB87" w14:textId="77777777" w:rsidR="00DB766A" w:rsidRPr="00CF31E0" w:rsidRDefault="00DB766A" w:rsidP="00603CB7">
            <w:pPr>
              <w:autoSpaceDE w:val="0"/>
              <w:autoSpaceDN w:val="0"/>
              <w:adjustRightInd w:val="0"/>
              <w:spacing w:before="120" w:line="360" w:lineRule="auto"/>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Mean Square</w:t>
            </w:r>
          </w:p>
        </w:tc>
        <w:tc>
          <w:tcPr>
            <w:tcW w:w="1134" w:type="dxa"/>
            <w:tcBorders>
              <w:top w:val="single" w:sz="8" w:space="0" w:color="000000"/>
              <w:bottom w:val="single" w:sz="8" w:space="0" w:color="000000"/>
            </w:tcBorders>
            <w:shd w:val="clear" w:color="auto" w:fill="FFFFFF"/>
            <w:vAlign w:val="bottom"/>
          </w:tcPr>
          <w:p w14:paraId="1E901B81" w14:textId="77777777" w:rsidR="00DB766A" w:rsidRPr="00CF31E0" w:rsidRDefault="00DB766A" w:rsidP="00603CB7">
            <w:pPr>
              <w:autoSpaceDE w:val="0"/>
              <w:autoSpaceDN w:val="0"/>
              <w:adjustRightInd w:val="0"/>
              <w:spacing w:before="120" w:line="360" w:lineRule="auto"/>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Sig.</w:t>
            </w:r>
          </w:p>
        </w:tc>
      </w:tr>
      <w:tr w:rsidR="00DB766A" w:rsidRPr="00CF31E0" w14:paraId="2AE0ACE7" w14:textId="77777777" w:rsidTr="004F45D7">
        <w:trPr>
          <w:cantSplit/>
        </w:trPr>
        <w:tc>
          <w:tcPr>
            <w:tcW w:w="1470" w:type="dxa"/>
            <w:tcBorders>
              <w:top w:val="single" w:sz="8" w:space="0" w:color="000000"/>
              <w:bottom w:val="nil"/>
            </w:tcBorders>
            <w:shd w:val="clear" w:color="auto" w:fill="FFFFFF"/>
          </w:tcPr>
          <w:p w14:paraId="41DB156E" w14:textId="77777777" w:rsidR="00DB766A" w:rsidRPr="00CF31E0" w:rsidRDefault="00DB766A" w:rsidP="00A23C2A">
            <w:pPr>
              <w:autoSpaceDE w:val="0"/>
              <w:autoSpaceDN w:val="0"/>
              <w:adjustRightInd w:val="0"/>
              <w:spacing w:before="120" w:line="360" w:lineRule="auto"/>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Between Groups</w:t>
            </w:r>
          </w:p>
        </w:tc>
        <w:tc>
          <w:tcPr>
            <w:tcW w:w="1629" w:type="dxa"/>
            <w:tcBorders>
              <w:top w:val="single" w:sz="8" w:space="0" w:color="000000"/>
              <w:bottom w:val="nil"/>
            </w:tcBorders>
            <w:shd w:val="clear" w:color="auto" w:fill="FFFFFF"/>
            <w:vAlign w:val="center"/>
          </w:tcPr>
          <w:p w14:paraId="0CD1EB6A" w14:textId="0B6B3205" w:rsidR="00DB766A" w:rsidRPr="00CF31E0" w:rsidRDefault="00DB766A" w:rsidP="00603CB7">
            <w:pPr>
              <w:autoSpaceDE w:val="0"/>
              <w:autoSpaceDN w:val="0"/>
              <w:adjustRightInd w:val="0"/>
              <w:spacing w:before="120" w:line="360" w:lineRule="auto"/>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8.944</w:t>
            </w:r>
          </w:p>
        </w:tc>
        <w:tc>
          <w:tcPr>
            <w:tcW w:w="992" w:type="dxa"/>
            <w:tcBorders>
              <w:top w:val="single" w:sz="8" w:space="0" w:color="000000"/>
              <w:bottom w:val="nil"/>
            </w:tcBorders>
            <w:shd w:val="clear" w:color="auto" w:fill="FFFFFF"/>
            <w:vAlign w:val="center"/>
          </w:tcPr>
          <w:p w14:paraId="6C40FBCD" w14:textId="77777777" w:rsidR="00DB766A" w:rsidRPr="00CF31E0" w:rsidRDefault="00DB766A" w:rsidP="00603CB7">
            <w:pPr>
              <w:autoSpaceDE w:val="0"/>
              <w:autoSpaceDN w:val="0"/>
              <w:adjustRightInd w:val="0"/>
              <w:spacing w:before="120" w:line="360" w:lineRule="auto"/>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1</w:t>
            </w:r>
          </w:p>
        </w:tc>
        <w:tc>
          <w:tcPr>
            <w:tcW w:w="2126" w:type="dxa"/>
            <w:tcBorders>
              <w:top w:val="single" w:sz="8" w:space="0" w:color="000000"/>
              <w:bottom w:val="nil"/>
            </w:tcBorders>
            <w:shd w:val="clear" w:color="auto" w:fill="FFFFFF"/>
            <w:vAlign w:val="center"/>
          </w:tcPr>
          <w:p w14:paraId="1408CD74" w14:textId="77777777" w:rsidR="00DB766A" w:rsidRPr="00CF31E0" w:rsidRDefault="00DB766A" w:rsidP="00603CB7">
            <w:pPr>
              <w:autoSpaceDE w:val="0"/>
              <w:autoSpaceDN w:val="0"/>
              <w:adjustRightInd w:val="0"/>
              <w:spacing w:before="120" w:line="360" w:lineRule="auto"/>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8.944</w:t>
            </w:r>
          </w:p>
        </w:tc>
        <w:tc>
          <w:tcPr>
            <w:tcW w:w="1134" w:type="dxa"/>
            <w:tcBorders>
              <w:top w:val="single" w:sz="8" w:space="0" w:color="000000"/>
              <w:bottom w:val="nil"/>
            </w:tcBorders>
            <w:shd w:val="clear" w:color="auto" w:fill="FFFFFF"/>
            <w:vAlign w:val="center"/>
          </w:tcPr>
          <w:p w14:paraId="1AAE46D9" w14:textId="77777777" w:rsidR="00DB766A" w:rsidRPr="00CF31E0" w:rsidRDefault="00DB766A" w:rsidP="00603CB7">
            <w:pPr>
              <w:autoSpaceDE w:val="0"/>
              <w:autoSpaceDN w:val="0"/>
              <w:adjustRightInd w:val="0"/>
              <w:spacing w:before="120" w:line="360" w:lineRule="auto"/>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.025</w:t>
            </w:r>
          </w:p>
        </w:tc>
      </w:tr>
      <w:tr w:rsidR="00DB766A" w:rsidRPr="00CF31E0" w14:paraId="4D93A41E" w14:textId="77777777" w:rsidTr="004F45D7">
        <w:trPr>
          <w:cantSplit/>
        </w:trPr>
        <w:tc>
          <w:tcPr>
            <w:tcW w:w="1470" w:type="dxa"/>
            <w:tcBorders>
              <w:top w:val="nil"/>
            </w:tcBorders>
            <w:shd w:val="clear" w:color="auto" w:fill="FFFFFF"/>
          </w:tcPr>
          <w:p w14:paraId="0855EAFE" w14:textId="77777777" w:rsidR="00DB766A" w:rsidRPr="00CF31E0" w:rsidRDefault="00DB766A" w:rsidP="00A23C2A">
            <w:pPr>
              <w:autoSpaceDE w:val="0"/>
              <w:autoSpaceDN w:val="0"/>
              <w:adjustRightInd w:val="0"/>
              <w:spacing w:before="120" w:line="360" w:lineRule="auto"/>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Within Groups</w:t>
            </w:r>
          </w:p>
        </w:tc>
        <w:tc>
          <w:tcPr>
            <w:tcW w:w="1629" w:type="dxa"/>
            <w:tcBorders>
              <w:top w:val="nil"/>
            </w:tcBorders>
            <w:shd w:val="clear" w:color="auto" w:fill="FFFFFF"/>
            <w:vAlign w:val="center"/>
          </w:tcPr>
          <w:p w14:paraId="6324DA47" w14:textId="77777777" w:rsidR="00DB766A" w:rsidRPr="00CF31E0" w:rsidRDefault="00DB766A" w:rsidP="00603CB7">
            <w:pPr>
              <w:autoSpaceDE w:val="0"/>
              <w:autoSpaceDN w:val="0"/>
              <w:adjustRightInd w:val="0"/>
              <w:spacing w:before="120" w:line="360" w:lineRule="auto"/>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1138.760</w:t>
            </w:r>
          </w:p>
        </w:tc>
        <w:tc>
          <w:tcPr>
            <w:tcW w:w="992" w:type="dxa"/>
            <w:tcBorders>
              <w:top w:val="nil"/>
            </w:tcBorders>
            <w:shd w:val="clear" w:color="auto" w:fill="FFFFFF"/>
            <w:vAlign w:val="center"/>
          </w:tcPr>
          <w:p w14:paraId="17D6C4FD" w14:textId="09B1EFDF" w:rsidR="00DB766A" w:rsidRPr="00CF31E0" w:rsidRDefault="00DB766A" w:rsidP="00603CB7">
            <w:pPr>
              <w:autoSpaceDE w:val="0"/>
              <w:autoSpaceDN w:val="0"/>
              <w:adjustRightInd w:val="0"/>
              <w:spacing w:before="120" w:line="360" w:lineRule="auto"/>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322</w:t>
            </w:r>
          </w:p>
        </w:tc>
        <w:tc>
          <w:tcPr>
            <w:tcW w:w="2126" w:type="dxa"/>
            <w:tcBorders>
              <w:top w:val="nil"/>
            </w:tcBorders>
            <w:shd w:val="clear" w:color="auto" w:fill="FFFFFF"/>
            <w:vAlign w:val="center"/>
          </w:tcPr>
          <w:p w14:paraId="254FE6AB" w14:textId="77777777" w:rsidR="00DB766A" w:rsidRPr="00CF31E0" w:rsidRDefault="00DB766A" w:rsidP="00603CB7">
            <w:pPr>
              <w:autoSpaceDE w:val="0"/>
              <w:autoSpaceDN w:val="0"/>
              <w:adjustRightInd w:val="0"/>
              <w:spacing w:before="120" w:line="360" w:lineRule="auto"/>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1.760</w:t>
            </w:r>
          </w:p>
        </w:tc>
        <w:tc>
          <w:tcPr>
            <w:tcW w:w="1134" w:type="dxa"/>
            <w:tcBorders>
              <w:top w:val="nil"/>
            </w:tcBorders>
            <w:shd w:val="clear" w:color="auto" w:fill="FFFFFF"/>
            <w:vAlign w:val="center"/>
          </w:tcPr>
          <w:p w14:paraId="0D10838E" w14:textId="77777777" w:rsidR="00DB766A" w:rsidRPr="00CF31E0" w:rsidRDefault="00DB766A" w:rsidP="00603CB7">
            <w:pPr>
              <w:autoSpaceDE w:val="0"/>
              <w:autoSpaceDN w:val="0"/>
              <w:adjustRightInd w:val="0"/>
              <w:spacing w:before="120" w:line="360" w:lineRule="auto"/>
              <w:jc w:val="right"/>
              <w:rPr>
                <w:rFonts w:eastAsia="Times New Roman"/>
                <w:color w:val="000000" w:themeColor="text1"/>
                <w:sz w:val="22"/>
                <w:szCs w:val="22"/>
                <w:lang w:eastAsia="zh-CN"/>
              </w:rPr>
            </w:pPr>
          </w:p>
        </w:tc>
      </w:tr>
      <w:tr w:rsidR="00DB766A" w:rsidRPr="00CF31E0" w14:paraId="02DFE331" w14:textId="77777777" w:rsidTr="004F45D7">
        <w:trPr>
          <w:cantSplit/>
        </w:trPr>
        <w:tc>
          <w:tcPr>
            <w:tcW w:w="1470" w:type="dxa"/>
            <w:shd w:val="clear" w:color="auto" w:fill="FFFFFF"/>
          </w:tcPr>
          <w:p w14:paraId="340C0251" w14:textId="77777777" w:rsidR="00DB766A" w:rsidRPr="00CF31E0" w:rsidRDefault="00DB766A" w:rsidP="00A23C2A">
            <w:pPr>
              <w:autoSpaceDE w:val="0"/>
              <w:autoSpaceDN w:val="0"/>
              <w:adjustRightInd w:val="0"/>
              <w:spacing w:before="120" w:line="360" w:lineRule="auto"/>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Total</w:t>
            </w:r>
          </w:p>
        </w:tc>
        <w:tc>
          <w:tcPr>
            <w:tcW w:w="1629" w:type="dxa"/>
            <w:shd w:val="clear" w:color="auto" w:fill="FFFFFF"/>
            <w:vAlign w:val="center"/>
          </w:tcPr>
          <w:p w14:paraId="4BC1BB16" w14:textId="77777777" w:rsidR="00DB766A" w:rsidRPr="00CF31E0" w:rsidRDefault="00DB766A" w:rsidP="00603CB7">
            <w:pPr>
              <w:autoSpaceDE w:val="0"/>
              <w:autoSpaceDN w:val="0"/>
              <w:adjustRightInd w:val="0"/>
              <w:spacing w:before="120" w:line="360" w:lineRule="auto"/>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1147.704</w:t>
            </w:r>
          </w:p>
        </w:tc>
        <w:tc>
          <w:tcPr>
            <w:tcW w:w="992" w:type="dxa"/>
            <w:shd w:val="clear" w:color="auto" w:fill="FFFFFF"/>
            <w:vAlign w:val="center"/>
          </w:tcPr>
          <w:p w14:paraId="623316C7" w14:textId="50B7C017" w:rsidR="00DB766A" w:rsidRPr="00CF31E0" w:rsidRDefault="00DB766A" w:rsidP="00603CB7">
            <w:pPr>
              <w:autoSpaceDE w:val="0"/>
              <w:autoSpaceDN w:val="0"/>
              <w:adjustRightInd w:val="0"/>
              <w:spacing w:before="120" w:line="360" w:lineRule="auto"/>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323</w:t>
            </w:r>
          </w:p>
        </w:tc>
        <w:tc>
          <w:tcPr>
            <w:tcW w:w="2126" w:type="dxa"/>
            <w:shd w:val="clear" w:color="auto" w:fill="FFFFFF"/>
            <w:vAlign w:val="center"/>
          </w:tcPr>
          <w:p w14:paraId="5CFDBDB0" w14:textId="77777777" w:rsidR="00DB766A" w:rsidRPr="00CF31E0" w:rsidRDefault="00DB766A" w:rsidP="00603CB7">
            <w:pPr>
              <w:autoSpaceDE w:val="0"/>
              <w:autoSpaceDN w:val="0"/>
              <w:adjustRightInd w:val="0"/>
              <w:spacing w:before="120" w:line="360" w:lineRule="auto"/>
              <w:jc w:val="right"/>
              <w:rPr>
                <w:rFonts w:eastAsia="Times New Roman"/>
                <w:color w:val="000000" w:themeColor="text1"/>
                <w:sz w:val="22"/>
                <w:szCs w:val="22"/>
                <w:lang w:eastAsia="zh-CN"/>
              </w:rPr>
            </w:pPr>
          </w:p>
        </w:tc>
        <w:tc>
          <w:tcPr>
            <w:tcW w:w="1134" w:type="dxa"/>
            <w:shd w:val="clear" w:color="auto" w:fill="FFFFFF"/>
            <w:vAlign w:val="center"/>
          </w:tcPr>
          <w:p w14:paraId="26C23109" w14:textId="77777777" w:rsidR="00DB766A" w:rsidRPr="00CF31E0" w:rsidRDefault="00DB766A" w:rsidP="00603CB7">
            <w:pPr>
              <w:autoSpaceDE w:val="0"/>
              <w:autoSpaceDN w:val="0"/>
              <w:adjustRightInd w:val="0"/>
              <w:spacing w:before="120" w:line="360" w:lineRule="auto"/>
              <w:jc w:val="right"/>
              <w:rPr>
                <w:rFonts w:eastAsia="Times New Roman"/>
                <w:color w:val="000000" w:themeColor="text1"/>
                <w:sz w:val="22"/>
                <w:szCs w:val="22"/>
                <w:lang w:eastAsia="zh-CN"/>
              </w:rPr>
            </w:pPr>
          </w:p>
        </w:tc>
      </w:tr>
    </w:tbl>
    <w:p w14:paraId="621B75C3" w14:textId="18B2663D" w:rsidR="00A23C2A" w:rsidRPr="00CF31E0" w:rsidRDefault="00A23C2A" w:rsidP="00F97841">
      <w:pPr>
        <w:pStyle w:val="Tablecaption"/>
      </w:pPr>
      <w:bookmarkStart w:id="690" w:name="_Toc522527455"/>
      <w:bookmarkStart w:id="691" w:name="_Toc522628867"/>
      <w:bookmarkStart w:id="692" w:name="_Toc522629031"/>
      <w:bookmarkStart w:id="693" w:name="_Toc6473128"/>
      <w:r w:rsidRPr="00CF31E0">
        <w:t xml:space="preserve">Table </w:t>
      </w:r>
      <w:r w:rsidR="007F3BE4" w:rsidRPr="00CF31E0">
        <w:t>9</w:t>
      </w:r>
      <w:r w:rsidR="0089309F" w:rsidRPr="00CF31E0">
        <w:t>.1</w:t>
      </w:r>
      <w:r w:rsidR="00CF3993" w:rsidRPr="00CF31E0">
        <w:t>9</w:t>
      </w:r>
      <w:r w:rsidRPr="00CF31E0">
        <w:t xml:space="preserve">: ANOVA </w:t>
      </w:r>
      <w:r w:rsidR="000D217E">
        <w:t>statistics</w:t>
      </w:r>
      <w:r w:rsidR="00F97841">
        <w:t xml:space="preserve"> </w:t>
      </w:r>
      <w:r w:rsidR="0015593A">
        <w:t>for gender demographic variable.</w:t>
      </w:r>
      <w:r w:rsidRPr="00CF31E0">
        <w:t>.</w:t>
      </w:r>
      <w:bookmarkEnd w:id="690"/>
      <w:bookmarkEnd w:id="691"/>
      <w:bookmarkEnd w:id="692"/>
      <w:bookmarkEnd w:id="693"/>
    </w:p>
    <w:p w14:paraId="5281A510" w14:textId="25B1E278" w:rsidR="00A23C2A" w:rsidRPr="00CF31E0" w:rsidRDefault="00A23C2A" w:rsidP="00603CB7">
      <w:pPr>
        <w:pStyle w:val="Paragraph"/>
        <w:rPr>
          <w:lang w:val="en-US" w:eastAsia="en-US"/>
        </w:rPr>
      </w:pPr>
      <w:r w:rsidRPr="00CF31E0">
        <w:rPr>
          <w:lang w:val="en-US" w:eastAsia="en-US"/>
        </w:rPr>
        <w:t xml:space="preserve">In Table </w:t>
      </w:r>
      <w:r w:rsidR="007F3BE4" w:rsidRPr="00CF31E0">
        <w:rPr>
          <w:lang w:val="en-US" w:eastAsia="en-US"/>
        </w:rPr>
        <w:t>9</w:t>
      </w:r>
      <w:r w:rsidR="0089309F" w:rsidRPr="00CF31E0">
        <w:rPr>
          <w:lang w:val="en-US" w:eastAsia="en-US"/>
        </w:rPr>
        <w:t>.1</w:t>
      </w:r>
      <w:r w:rsidR="00CF3993" w:rsidRPr="00CF31E0">
        <w:rPr>
          <w:lang w:val="en-US" w:eastAsia="en-US"/>
        </w:rPr>
        <w:t>9</w:t>
      </w:r>
      <w:r w:rsidRPr="00CF31E0">
        <w:rPr>
          <w:lang w:val="en-US" w:eastAsia="en-US"/>
        </w:rPr>
        <w:t>, the only column I am interested in is the one marked Sig. (i.e. the p value), which reveals the degree of significance. When looking at the p value in the table above, it clearly represents a significant value (.02</w:t>
      </w:r>
      <w:r w:rsidR="00D76B3F" w:rsidRPr="00CF31E0">
        <w:rPr>
          <w:lang w:val="en-US" w:eastAsia="en-US"/>
        </w:rPr>
        <w:t>5</w:t>
      </w:r>
      <w:r w:rsidRPr="00CF31E0">
        <w:rPr>
          <w:lang w:val="en-US" w:eastAsia="en-US"/>
        </w:rPr>
        <w:t>), which means that there is a</w:t>
      </w:r>
      <w:r w:rsidR="00D76B3F" w:rsidRPr="00CF31E0">
        <w:rPr>
          <w:lang w:val="en-US" w:eastAsia="en-US"/>
        </w:rPr>
        <w:t xml:space="preserve"> robust </w:t>
      </w:r>
      <w:r w:rsidRPr="00CF31E0">
        <w:rPr>
          <w:lang w:val="en-US" w:eastAsia="en-US"/>
        </w:rPr>
        <w:t>difference in the mean scores for the modern factor across gender groups in the data for the two dialects.</w:t>
      </w:r>
    </w:p>
    <w:p w14:paraId="1775FBC3" w14:textId="06C706B5" w:rsidR="00F97841" w:rsidRPr="00CF31E0" w:rsidRDefault="00A23C2A" w:rsidP="00422793">
      <w:pPr>
        <w:pStyle w:val="Paragraph"/>
        <w:rPr>
          <w:lang w:val="en-US" w:eastAsia="en-US"/>
        </w:rPr>
      </w:pPr>
      <w:r w:rsidRPr="00CF31E0">
        <w:rPr>
          <w:lang w:val="en-US" w:eastAsia="en-US"/>
        </w:rPr>
        <w:t xml:space="preserve">The ANOVA test indicates that there is a difference in the results, but it does not show which group differs statistically from the other group. Therefore, post-hoc tests must be used to ascertain where the difference is located. With the gender demographic variable, I could not run the post-hoc test analysis because post-hoc tests need to have one independent variable (that is, gender in the above table), with three or more levels or distinct categories. In the above table, there are only two different categories (i.e. male and female). In this case, I could compare the mean scores for each category to identify where exactly the difference lies. See Table </w:t>
      </w:r>
      <w:r w:rsidR="007F3BE4" w:rsidRPr="00CF31E0">
        <w:rPr>
          <w:lang w:val="en-US" w:eastAsia="en-US"/>
        </w:rPr>
        <w:t>9</w:t>
      </w:r>
      <w:r w:rsidR="0089309F" w:rsidRPr="00CF31E0">
        <w:rPr>
          <w:lang w:val="en-US" w:eastAsia="en-US"/>
        </w:rPr>
        <w:t>.</w:t>
      </w:r>
      <w:r w:rsidR="00CF3993" w:rsidRPr="00CF31E0">
        <w:rPr>
          <w:lang w:val="en-US" w:eastAsia="en-US"/>
        </w:rPr>
        <w:t>20</w:t>
      </w:r>
      <w:r w:rsidRPr="00CF31E0">
        <w:rPr>
          <w:lang w:val="en-US" w:eastAsia="en-US"/>
        </w:rPr>
        <w:t>.</w:t>
      </w:r>
    </w:p>
    <w:tbl>
      <w:tblPr>
        <w:tblStyle w:val="TableGrid21"/>
        <w:tblW w:w="7479" w:type="dxa"/>
        <w:tblBorders>
          <w:top w:val="single" w:sz="8" w:space="0" w:color="000000"/>
          <w:left w:val="none" w:sz="0" w:space="0" w:color="auto"/>
          <w:bottom w:val="single" w:sz="8" w:space="0" w:color="000000"/>
          <w:right w:val="none" w:sz="0" w:space="0" w:color="auto"/>
          <w:insideH w:val="none" w:sz="0" w:space="0" w:color="auto"/>
          <w:insideV w:val="none" w:sz="0" w:space="0" w:color="auto"/>
        </w:tblBorders>
        <w:tblLayout w:type="fixed"/>
        <w:tblLook w:val="0000" w:firstRow="0" w:lastRow="0" w:firstColumn="0" w:lastColumn="0" w:noHBand="0" w:noVBand="0"/>
      </w:tblPr>
      <w:tblGrid>
        <w:gridCol w:w="2264"/>
        <w:gridCol w:w="1134"/>
        <w:gridCol w:w="1134"/>
        <w:gridCol w:w="1388"/>
        <w:gridCol w:w="1559"/>
      </w:tblGrid>
      <w:tr w:rsidR="007F558A" w:rsidRPr="00CF31E0" w14:paraId="703B2241" w14:textId="77777777" w:rsidTr="00603CB7">
        <w:trPr>
          <w:trHeight w:val="447"/>
        </w:trPr>
        <w:tc>
          <w:tcPr>
            <w:tcW w:w="2264" w:type="dxa"/>
            <w:tcBorders>
              <w:top w:val="single" w:sz="8" w:space="0" w:color="000000"/>
              <w:bottom w:val="single" w:sz="8" w:space="0" w:color="000000"/>
            </w:tcBorders>
          </w:tcPr>
          <w:p w14:paraId="4A18B979" w14:textId="77777777" w:rsidR="00A23C2A" w:rsidRPr="00CF31E0" w:rsidRDefault="00A23C2A" w:rsidP="00603CB7">
            <w:pPr>
              <w:autoSpaceDE w:val="0"/>
              <w:autoSpaceDN w:val="0"/>
              <w:adjustRightInd w:val="0"/>
              <w:spacing w:before="120" w:after="0" w:line="360" w:lineRule="auto"/>
              <w:jc w:val="both"/>
              <w:rPr>
                <w:rFonts w:eastAsia="Times New Roman"/>
                <w:color w:val="000000" w:themeColor="text1"/>
                <w:lang w:eastAsia="zh-CN"/>
              </w:rPr>
            </w:pPr>
            <w:r w:rsidRPr="00CF31E0">
              <w:rPr>
                <w:rFonts w:eastAsia="Times New Roman"/>
                <w:color w:val="000000" w:themeColor="text1"/>
                <w:lang w:eastAsia="zh-CN"/>
              </w:rPr>
              <w:t>Factor</w:t>
            </w:r>
          </w:p>
        </w:tc>
        <w:tc>
          <w:tcPr>
            <w:tcW w:w="2268" w:type="dxa"/>
            <w:gridSpan w:val="2"/>
            <w:tcBorders>
              <w:top w:val="single" w:sz="8" w:space="0" w:color="000000"/>
              <w:bottom w:val="single" w:sz="8" w:space="0" w:color="000000"/>
            </w:tcBorders>
          </w:tcPr>
          <w:p w14:paraId="31903D9C" w14:textId="77777777" w:rsidR="00A23C2A" w:rsidRPr="00CF31E0" w:rsidRDefault="00A23C2A" w:rsidP="00603CB7">
            <w:pPr>
              <w:autoSpaceDE w:val="0"/>
              <w:autoSpaceDN w:val="0"/>
              <w:adjustRightInd w:val="0"/>
              <w:spacing w:before="120" w:after="0" w:line="360" w:lineRule="auto"/>
              <w:ind w:left="60" w:right="60"/>
              <w:jc w:val="both"/>
              <w:rPr>
                <w:rFonts w:eastAsia="Times New Roman"/>
                <w:color w:val="000000" w:themeColor="text1"/>
                <w:lang w:eastAsia="zh-CN"/>
              </w:rPr>
            </w:pPr>
            <w:r w:rsidRPr="00CF31E0">
              <w:rPr>
                <w:rFonts w:eastAsia="Times New Roman"/>
                <w:color w:val="000000" w:themeColor="text1"/>
                <w:lang w:eastAsia="zh-CN"/>
              </w:rPr>
              <w:t>Gender</w:t>
            </w:r>
          </w:p>
        </w:tc>
        <w:tc>
          <w:tcPr>
            <w:tcW w:w="1388" w:type="dxa"/>
            <w:tcBorders>
              <w:top w:val="single" w:sz="8" w:space="0" w:color="000000"/>
              <w:bottom w:val="single" w:sz="8" w:space="0" w:color="000000"/>
            </w:tcBorders>
          </w:tcPr>
          <w:p w14:paraId="05985DAC" w14:textId="77777777" w:rsidR="00A23C2A" w:rsidRPr="00CF31E0" w:rsidRDefault="00A23C2A" w:rsidP="00603CB7">
            <w:pPr>
              <w:autoSpaceDE w:val="0"/>
              <w:autoSpaceDN w:val="0"/>
              <w:adjustRightInd w:val="0"/>
              <w:spacing w:before="120" w:after="0" w:line="360" w:lineRule="auto"/>
              <w:ind w:left="60" w:right="60"/>
              <w:jc w:val="both"/>
              <w:rPr>
                <w:rFonts w:eastAsia="Times New Roman"/>
                <w:color w:val="000000" w:themeColor="text1"/>
                <w:lang w:eastAsia="zh-CN"/>
              </w:rPr>
            </w:pPr>
            <w:r w:rsidRPr="00CF31E0">
              <w:rPr>
                <w:rFonts w:eastAsia="Times New Roman"/>
                <w:color w:val="000000" w:themeColor="text1"/>
                <w:lang w:eastAsia="zh-CN"/>
              </w:rPr>
              <w:t>Statistic</w:t>
            </w:r>
          </w:p>
        </w:tc>
        <w:tc>
          <w:tcPr>
            <w:tcW w:w="1559" w:type="dxa"/>
            <w:tcBorders>
              <w:top w:val="single" w:sz="8" w:space="0" w:color="000000"/>
              <w:bottom w:val="single" w:sz="8" w:space="0" w:color="000000"/>
            </w:tcBorders>
          </w:tcPr>
          <w:p w14:paraId="414E3459" w14:textId="77777777" w:rsidR="00A23C2A" w:rsidRPr="00CF31E0" w:rsidRDefault="00A23C2A" w:rsidP="00603CB7">
            <w:pPr>
              <w:autoSpaceDE w:val="0"/>
              <w:autoSpaceDN w:val="0"/>
              <w:adjustRightInd w:val="0"/>
              <w:spacing w:before="120" w:after="0" w:line="360" w:lineRule="auto"/>
              <w:ind w:left="60" w:right="60"/>
              <w:jc w:val="both"/>
              <w:rPr>
                <w:rFonts w:eastAsia="Times New Roman"/>
                <w:color w:val="000000" w:themeColor="text1"/>
                <w:lang w:eastAsia="zh-CN"/>
              </w:rPr>
            </w:pPr>
            <w:r w:rsidRPr="00CF31E0">
              <w:rPr>
                <w:rFonts w:eastAsia="Times New Roman"/>
                <w:color w:val="000000" w:themeColor="text1"/>
                <w:lang w:eastAsia="zh-CN"/>
              </w:rPr>
              <w:t>Std. Error</w:t>
            </w:r>
          </w:p>
        </w:tc>
      </w:tr>
      <w:tr w:rsidR="007F558A" w:rsidRPr="00CF31E0" w14:paraId="0B856690" w14:textId="77777777" w:rsidTr="00603CB7">
        <w:trPr>
          <w:trHeight w:val="483"/>
        </w:trPr>
        <w:tc>
          <w:tcPr>
            <w:tcW w:w="2264" w:type="dxa"/>
            <w:vMerge w:val="restart"/>
            <w:tcBorders>
              <w:top w:val="single" w:sz="8" w:space="0" w:color="000000"/>
              <w:bottom w:val="nil"/>
            </w:tcBorders>
          </w:tcPr>
          <w:p w14:paraId="279E1558" w14:textId="59323F67" w:rsidR="00A23C2A" w:rsidRPr="00CF31E0" w:rsidRDefault="00A23C2A" w:rsidP="00603CB7">
            <w:pPr>
              <w:autoSpaceDE w:val="0"/>
              <w:autoSpaceDN w:val="0"/>
              <w:adjustRightInd w:val="0"/>
              <w:spacing w:before="120" w:after="240" w:line="360" w:lineRule="auto"/>
              <w:ind w:left="60" w:right="60"/>
              <w:jc w:val="both"/>
              <w:rPr>
                <w:rFonts w:eastAsia="Times New Roman"/>
                <w:color w:val="000000" w:themeColor="text1"/>
                <w:lang w:eastAsia="zh-CN"/>
              </w:rPr>
            </w:pPr>
            <w:r w:rsidRPr="00CF31E0">
              <w:rPr>
                <w:rFonts w:eastAsia="Times New Roman"/>
                <w:color w:val="000000" w:themeColor="text1"/>
                <w:lang w:eastAsia="zh-CN"/>
              </w:rPr>
              <w:lastRenderedPageBreak/>
              <w:t xml:space="preserve">Modern factor in </w:t>
            </w:r>
          </w:p>
          <w:p w14:paraId="76A5A2DD" w14:textId="40A72DE2" w:rsidR="00A23C2A" w:rsidRPr="00CF31E0" w:rsidRDefault="00FF4DC7" w:rsidP="00603CB7">
            <w:pPr>
              <w:autoSpaceDE w:val="0"/>
              <w:autoSpaceDN w:val="0"/>
              <w:adjustRightInd w:val="0"/>
              <w:spacing w:before="120" w:after="240" w:line="360" w:lineRule="auto"/>
              <w:ind w:left="60" w:right="60"/>
              <w:jc w:val="both"/>
              <w:rPr>
                <w:rFonts w:eastAsia="Times New Roman"/>
                <w:color w:val="000000" w:themeColor="text1"/>
                <w:lang w:eastAsia="zh-CN"/>
              </w:rPr>
            </w:pPr>
            <w:r w:rsidRPr="00CF31E0">
              <w:rPr>
                <w:rFonts w:eastAsia="Times New Roman"/>
                <w:color w:val="000000" w:themeColor="text1"/>
                <w:lang w:eastAsia="zh-CN"/>
              </w:rPr>
              <w:t>UBH</w:t>
            </w:r>
            <w:r w:rsidR="00A23C2A" w:rsidRPr="00CF31E0">
              <w:rPr>
                <w:rFonts w:eastAsia="Times New Roman"/>
                <w:color w:val="000000" w:themeColor="text1"/>
                <w:lang w:eastAsia="zh-CN"/>
              </w:rPr>
              <w:t xml:space="preserve"> dialect</w:t>
            </w:r>
          </w:p>
        </w:tc>
        <w:tc>
          <w:tcPr>
            <w:tcW w:w="1134" w:type="dxa"/>
            <w:tcBorders>
              <w:top w:val="single" w:sz="8" w:space="0" w:color="000000"/>
              <w:bottom w:val="nil"/>
            </w:tcBorders>
          </w:tcPr>
          <w:p w14:paraId="4B65E694" w14:textId="0F06B9F4" w:rsidR="00A23C2A" w:rsidRPr="00CF31E0" w:rsidRDefault="00211C89" w:rsidP="00603CB7">
            <w:pPr>
              <w:autoSpaceDE w:val="0"/>
              <w:autoSpaceDN w:val="0"/>
              <w:adjustRightInd w:val="0"/>
              <w:spacing w:before="120" w:after="240" w:line="360" w:lineRule="auto"/>
              <w:ind w:left="60" w:right="60"/>
              <w:jc w:val="both"/>
              <w:rPr>
                <w:rFonts w:eastAsia="Times New Roman"/>
                <w:color w:val="000000" w:themeColor="text1"/>
                <w:lang w:eastAsia="zh-CN"/>
              </w:rPr>
            </w:pPr>
            <w:r w:rsidRPr="00CF31E0">
              <w:rPr>
                <w:rFonts w:eastAsia="Times New Roman"/>
                <w:color w:val="000000" w:themeColor="text1"/>
                <w:lang w:eastAsia="zh-CN"/>
              </w:rPr>
              <w:t>Male</w:t>
            </w:r>
          </w:p>
        </w:tc>
        <w:tc>
          <w:tcPr>
            <w:tcW w:w="1134" w:type="dxa"/>
            <w:tcBorders>
              <w:top w:val="single" w:sz="8" w:space="0" w:color="000000"/>
              <w:bottom w:val="nil"/>
            </w:tcBorders>
          </w:tcPr>
          <w:p w14:paraId="1F4BA3FE" w14:textId="77777777" w:rsidR="00A23C2A" w:rsidRPr="00CF31E0" w:rsidRDefault="00A23C2A" w:rsidP="00603CB7">
            <w:pPr>
              <w:autoSpaceDE w:val="0"/>
              <w:autoSpaceDN w:val="0"/>
              <w:adjustRightInd w:val="0"/>
              <w:spacing w:before="120" w:after="240" w:line="360" w:lineRule="auto"/>
              <w:ind w:left="60" w:right="60"/>
              <w:jc w:val="both"/>
              <w:rPr>
                <w:rFonts w:eastAsia="Times New Roman"/>
                <w:color w:val="000000" w:themeColor="text1"/>
                <w:lang w:eastAsia="zh-CN"/>
              </w:rPr>
            </w:pPr>
            <w:r w:rsidRPr="00CF31E0">
              <w:rPr>
                <w:rFonts w:eastAsia="Times New Roman"/>
                <w:color w:val="000000" w:themeColor="text1"/>
                <w:lang w:eastAsia="zh-CN"/>
              </w:rPr>
              <w:t>Mean</w:t>
            </w:r>
          </w:p>
        </w:tc>
        <w:tc>
          <w:tcPr>
            <w:tcW w:w="1388" w:type="dxa"/>
            <w:tcBorders>
              <w:top w:val="single" w:sz="8" w:space="0" w:color="000000"/>
              <w:bottom w:val="nil"/>
            </w:tcBorders>
          </w:tcPr>
          <w:p w14:paraId="33DF1427" w14:textId="77777777" w:rsidR="00A23C2A" w:rsidRPr="00CF31E0" w:rsidRDefault="00A23C2A" w:rsidP="00603CB7">
            <w:pPr>
              <w:autoSpaceDE w:val="0"/>
              <w:autoSpaceDN w:val="0"/>
              <w:adjustRightInd w:val="0"/>
              <w:spacing w:before="120" w:after="240" w:line="360" w:lineRule="auto"/>
              <w:ind w:left="60" w:right="60"/>
              <w:jc w:val="both"/>
              <w:rPr>
                <w:rFonts w:eastAsia="Times New Roman"/>
                <w:color w:val="000000" w:themeColor="text1"/>
                <w:lang w:eastAsia="zh-CN"/>
              </w:rPr>
            </w:pPr>
            <w:r w:rsidRPr="00CF31E0">
              <w:rPr>
                <w:rFonts w:eastAsia="Times New Roman"/>
                <w:color w:val="000000" w:themeColor="text1"/>
                <w:lang w:eastAsia="zh-CN"/>
              </w:rPr>
              <w:t>1.8188</w:t>
            </w:r>
          </w:p>
        </w:tc>
        <w:tc>
          <w:tcPr>
            <w:tcW w:w="1559" w:type="dxa"/>
            <w:tcBorders>
              <w:top w:val="single" w:sz="8" w:space="0" w:color="000000"/>
              <w:bottom w:val="nil"/>
            </w:tcBorders>
          </w:tcPr>
          <w:p w14:paraId="1014DD95" w14:textId="77777777" w:rsidR="00A23C2A" w:rsidRPr="00CF31E0" w:rsidRDefault="00A23C2A" w:rsidP="00603CB7">
            <w:pPr>
              <w:autoSpaceDE w:val="0"/>
              <w:autoSpaceDN w:val="0"/>
              <w:adjustRightInd w:val="0"/>
              <w:spacing w:before="120" w:after="240" w:line="360" w:lineRule="auto"/>
              <w:ind w:left="60" w:right="60"/>
              <w:jc w:val="both"/>
              <w:rPr>
                <w:rFonts w:eastAsia="Times New Roman"/>
                <w:color w:val="000000" w:themeColor="text1"/>
                <w:lang w:eastAsia="zh-CN"/>
              </w:rPr>
            </w:pPr>
            <w:r w:rsidRPr="00CF31E0">
              <w:rPr>
                <w:rFonts w:eastAsia="Times New Roman"/>
                <w:color w:val="000000" w:themeColor="text1"/>
                <w:lang w:eastAsia="zh-CN"/>
              </w:rPr>
              <w:t>.07518</w:t>
            </w:r>
          </w:p>
        </w:tc>
      </w:tr>
      <w:tr w:rsidR="007F558A" w:rsidRPr="00CF31E0" w14:paraId="609CC4A3" w14:textId="77777777" w:rsidTr="00603CB7">
        <w:trPr>
          <w:trHeight w:val="165"/>
        </w:trPr>
        <w:tc>
          <w:tcPr>
            <w:tcW w:w="2264" w:type="dxa"/>
            <w:vMerge/>
            <w:tcBorders>
              <w:top w:val="nil"/>
            </w:tcBorders>
          </w:tcPr>
          <w:p w14:paraId="17BC5617" w14:textId="77777777" w:rsidR="00A23C2A" w:rsidRPr="00CF31E0" w:rsidRDefault="00A23C2A" w:rsidP="00603CB7">
            <w:pPr>
              <w:autoSpaceDE w:val="0"/>
              <w:autoSpaceDN w:val="0"/>
              <w:adjustRightInd w:val="0"/>
              <w:spacing w:before="120" w:after="240" w:line="360" w:lineRule="auto"/>
              <w:jc w:val="both"/>
              <w:rPr>
                <w:rFonts w:eastAsia="Times New Roman"/>
                <w:color w:val="000000" w:themeColor="text1"/>
                <w:lang w:eastAsia="zh-CN"/>
              </w:rPr>
            </w:pPr>
          </w:p>
        </w:tc>
        <w:tc>
          <w:tcPr>
            <w:tcW w:w="1134" w:type="dxa"/>
            <w:tcBorders>
              <w:top w:val="nil"/>
            </w:tcBorders>
          </w:tcPr>
          <w:p w14:paraId="2F3F778A" w14:textId="1018851C" w:rsidR="00A23C2A" w:rsidRPr="00CF31E0" w:rsidRDefault="00211C89" w:rsidP="00603CB7">
            <w:pPr>
              <w:autoSpaceDE w:val="0"/>
              <w:autoSpaceDN w:val="0"/>
              <w:adjustRightInd w:val="0"/>
              <w:spacing w:before="120" w:after="0" w:line="360" w:lineRule="auto"/>
              <w:ind w:left="62" w:right="62"/>
              <w:jc w:val="both"/>
              <w:rPr>
                <w:rFonts w:eastAsia="Times New Roman"/>
                <w:color w:val="000000" w:themeColor="text1"/>
                <w:lang w:eastAsia="zh-CN"/>
              </w:rPr>
            </w:pPr>
            <w:r w:rsidRPr="00CF31E0">
              <w:rPr>
                <w:rFonts w:eastAsia="Times New Roman"/>
                <w:color w:val="000000" w:themeColor="text1"/>
                <w:lang w:eastAsia="zh-CN"/>
              </w:rPr>
              <w:t>Female</w:t>
            </w:r>
          </w:p>
        </w:tc>
        <w:tc>
          <w:tcPr>
            <w:tcW w:w="1134" w:type="dxa"/>
            <w:tcBorders>
              <w:top w:val="nil"/>
            </w:tcBorders>
          </w:tcPr>
          <w:p w14:paraId="30D9B20A" w14:textId="77777777" w:rsidR="00A23C2A" w:rsidRPr="00CF31E0" w:rsidRDefault="00A23C2A" w:rsidP="00603CB7">
            <w:pPr>
              <w:autoSpaceDE w:val="0"/>
              <w:autoSpaceDN w:val="0"/>
              <w:adjustRightInd w:val="0"/>
              <w:spacing w:before="120" w:after="0" w:line="360" w:lineRule="auto"/>
              <w:ind w:left="60" w:right="60"/>
              <w:jc w:val="both"/>
              <w:rPr>
                <w:rFonts w:eastAsia="Times New Roman"/>
                <w:color w:val="000000" w:themeColor="text1"/>
                <w:lang w:eastAsia="zh-CN"/>
              </w:rPr>
            </w:pPr>
            <w:r w:rsidRPr="00CF31E0">
              <w:rPr>
                <w:rFonts w:eastAsia="Times New Roman"/>
                <w:color w:val="000000" w:themeColor="text1"/>
                <w:lang w:eastAsia="zh-CN"/>
              </w:rPr>
              <w:t>Mean</w:t>
            </w:r>
          </w:p>
        </w:tc>
        <w:tc>
          <w:tcPr>
            <w:tcW w:w="1388" w:type="dxa"/>
            <w:tcBorders>
              <w:top w:val="nil"/>
            </w:tcBorders>
          </w:tcPr>
          <w:p w14:paraId="2A8FF95C" w14:textId="77777777" w:rsidR="00A23C2A" w:rsidRPr="00CF31E0" w:rsidRDefault="00A23C2A" w:rsidP="00603CB7">
            <w:pPr>
              <w:autoSpaceDE w:val="0"/>
              <w:autoSpaceDN w:val="0"/>
              <w:adjustRightInd w:val="0"/>
              <w:spacing w:before="120" w:after="0" w:line="360" w:lineRule="auto"/>
              <w:ind w:left="60" w:right="60"/>
              <w:jc w:val="both"/>
              <w:rPr>
                <w:rFonts w:eastAsia="Times New Roman"/>
                <w:color w:val="000000" w:themeColor="text1"/>
                <w:lang w:eastAsia="zh-CN"/>
              </w:rPr>
            </w:pPr>
            <w:r w:rsidRPr="00CF31E0">
              <w:rPr>
                <w:rFonts w:eastAsia="Times New Roman"/>
                <w:color w:val="000000" w:themeColor="text1"/>
                <w:lang w:eastAsia="zh-CN"/>
              </w:rPr>
              <w:t>2.0563</w:t>
            </w:r>
          </w:p>
        </w:tc>
        <w:tc>
          <w:tcPr>
            <w:tcW w:w="1559" w:type="dxa"/>
            <w:tcBorders>
              <w:top w:val="nil"/>
            </w:tcBorders>
          </w:tcPr>
          <w:p w14:paraId="705DFC16" w14:textId="77777777" w:rsidR="00A23C2A" w:rsidRPr="00CF31E0" w:rsidRDefault="00A23C2A" w:rsidP="00603CB7">
            <w:pPr>
              <w:autoSpaceDE w:val="0"/>
              <w:autoSpaceDN w:val="0"/>
              <w:adjustRightInd w:val="0"/>
              <w:spacing w:before="120" w:after="0" w:line="360" w:lineRule="auto"/>
              <w:ind w:left="60" w:right="60"/>
              <w:jc w:val="both"/>
              <w:rPr>
                <w:rFonts w:eastAsia="Times New Roman"/>
                <w:color w:val="000000" w:themeColor="text1"/>
                <w:lang w:eastAsia="zh-CN"/>
              </w:rPr>
            </w:pPr>
            <w:r w:rsidRPr="00CF31E0">
              <w:rPr>
                <w:rFonts w:eastAsia="Times New Roman"/>
                <w:color w:val="000000" w:themeColor="text1"/>
                <w:lang w:eastAsia="zh-CN"/>
              </w:rPr>
              <w:t>.07152</w:t>
            </w:r>
          </w:p>
        </w:tc>
      </w:tr>
    </w:tbl>
    <w:p w14:paraId="79308996" w14:textId="4BB6A190" w:rsidR="00A23C2A" w:rsidRPr="00CF31E0" w:rsidRDefault="00A23C2A" w:rsidP="007F3BE4">
      <w:pPr>
        <w:pStyle w:val="Tablecaption"/>
      </w:pPr>
      <w:bookmarkStart w:id="694" w:name="_Toc522527456"/>
      <w:bookmarkStart w:id="695" w:name="_Toc522628868"/>
      <w:bookmarkStart w:id="696" w:name="_Toc522629032"/>
      <w:bookmarkStart w:id="697" w:name="_Toc6473129"/>
      <w:r w:rsidRPr="00CF31E0">
        <w:t xml:space="preserve">Table </w:t>
      </w:r>
      <w:r w:rsidR="007F3BE4" w:rsidRPr="00CF31E0">
        <w:t>9</w:t>
      </w:r>
      <w:r w:rsidR="0089309F" w:rsidRPr="00CF31E0">
        <w:t>.</w:t>
      </w:r>
      <w:r w:rsidR="00CF3993" w:rsidRPr="00CF31E0">
        <w:t>20</w:t>
      </w:r>
      <w:r w:rsidRPr="00CF31E0">
        <w:t>: Descriptive statistics</w:t>
      </w:r>
      <w:r w:rsidR="009E356D">
        <w:t xml:space="preserve"> for gender demographic variable</w:t>
      </w:r>
      <w:r w:rsidRPr="00CF31E0">
        <w:t>.</w:t>
      </w:r>
      <w:bookmarkEnd w:id="694"/>
      <w:bookmarkEnd w:id="695"/>
      <w:bookmarkEnd w:id="696"/>
      <w:bookmarkEnd w:id="697"/>
      <w:r w:rsidRPr="00CF31E0">
        <w:t xml:space="preserve"> </w:t>
      </w:r>
    </w:p>
    <w:p w14:paraId="561B40AB" w14:textId="10B329A2" w:rsidR="00A23C2A" w:rsidRPr="00CF31E0" w:rsidRDefault="00A23C2A" w:rsidP="00603CB7">
      <w:pPr>
        <w:pStyle w:val="Paragraph"/>
        <w:rPr>
          <w:lang w:val="en-US" w:eastAsia="en-US"/>
        </w:rPr>
      </w:pPr>
      <w:r w:rsidRPr="00CF31E0">
        <w:rPr>
          <w:lang w:val="en-US" w:eastAsia="en-US"/>
        </w:rPr>
        <w:t>Table</w:t>
      </w:r>
      <w:r w:rsidR="007F3BE4" w:rsidRPr="00CF31E0">
        <w:rPr>
          <w:lang w:val="en-US" w:eastAsia="en-US"/>
        </w:rPr>
        <w:t xml:space="preserve"> 9</w:t>
      </w:r>
      <w:r w:rsidR="0089309F" w:rsidRPr="00CF31E0">
        <w:rPr>
          <w:lang w:val="en-US" w:eastAsia="en-US"/>
        </w:rPr>
        <w:t>.</w:t>
      </w:r>
      <w:r w:rsidR="00CF3993" w:rsidRPr="00CF31E0">
        <w:rPr>
          <w:lang w:val="en-US" w:eastAsia="en-US"/>
        </w:rPr>
        <w:t>20</w:t>
      </w:r>
      <w:r w:rsidR="0089309F" w:rsidRPr="00CF31E0">
        <w:rPr>
          <w:lang w:val="en-US" w:eastAsia="en-US"/>
        </w:rPr>
        <w:t xml:space="preserve"> </w:t>
      </w:r>
      <w:r w:rsidRPr="00CF31E0">
        <w:rPr>
          <w:lang w:val="en-US" w:eastAsia="en-US"/>
        </w:rPr>
        <w:t>presents descriptive statistics for the two categories, male and female, of the independent variable, gender. The most significant output that can be used to identify the difference between the two social groups is the mean value. As can be seen, the mean value for the male group is 1.8188, while it is 2.0563 for the female group. Accordingly, the two gender groups have different perceptions regard</w:t>
      </w:r>
      <w:r w:rsidR="00FA5614" w:rsidRPr="00CF31E0">
        <w:rPr>
          <w:lang w:val="en-US" w:eastAsia="en-US"/>
        </w:rPr>
        <w:t>ing the modernity of the UBH</w:t>
      </w:r>
      <w:r w:rsidRPr="00CF31E0">
        <w:rPr>
          <w:lang w:val="en-US" w:eastAsia="en-US"/>
        </w:rPr>
        <w:t xml:space="preserve"> dialect. The female group perceives it more positively (i.e. as more modern) than does the male group. </w:t>
      </w:r>
    </w:p>
    <w:p w14:paraId="67C4A2A2" w14:textId="2457C6BA" w:rsidR="00A23C2A" w:rsidRPr="00CF31E0" w:rsidRDefault="00A23C2A" w:rsidP="00603CB7">
      <w:pPr>
        <w:pStyle w:val="Paragraph"/>
      </w:pPr>
      <w:r w:rsidRPr="00CF31E0">
        <w:t>Running the ANOVA test with the tradi</w:t>
      </w:r>
      <w:r w:rsidR="001F5F37" w:rsidRPr="00CF31E0">
        <w:t>tional factor within the UBH</w:t>
      </w:r>
      <w:r w:rsidRPr="00CF31E0">
        <w:t xml:space="preserve"> dialect data did not reveal any significant difference in the results. </w:t>
      </w:r>
      <w:r w:rsidR="001F5F37" w:rsidRPr="00CF31E0">
        <w:t>Furthermore, r</w:t>
      </w:r>
      <w:r w:rsidRPr="00CF31E0">
        <w:t xml:space="preserve">unning the ANOVA test with </w:t>
      </w:r>
      <w:r w:rsidR="00FA5614" w:rsidRPr="00CF31E0">
        <w:t>the modern factor within the HH</w:t>
      </w:r>
      <w:r w:rsidRPr="00CF31E0">
        <w:t xml:space="preserve"> dialect data did not reveal any significant difference in the results. </w:t>
      </w:r>
    </w:p>
    <w:p w14:paraId="5D8D80C5" w14:textId="6D43EECE" w:rsidR="00A23C2A" w:rsidRPr="00CF31E0" w:rsidRDefault="001F5F37" w:rsidP="00603CB7">
      <w:pPr>
        <w:pStyle w:val="Paragraph"/>
      </w:pPr>
      <w:r w:rsidRPr="00CF31E0">
        <w:rPr>
          <w:lang w:val="en-US"/>
        </w:rPr>
        <w:t>W</w:t>
      </w:r>
      <w:r w:rsidRPr="00CF31E0">
        <w:t>ith regards to the traditional factor within HH dialect, t</w:t>
      </w:r>
      <w:r w:rsidR="00A23C2A" w:rsidRPr="00CF31E0">
        <w:t xml:space="preserve">he scores of the places lived demographic variable seem to be significantly different between those who lived inside Hijaz and outside Hijaz. See Table </w:t>
      </w:r>
      <w:r w:rsidR="007F3BE4" w:rsidRPr="00CF31E0">
        <w:t>9</w:t>
      </w:r>
      <w:r w:rsidR="0089309F" w:rsidRPr="00CF31E0">
        <w:t>.</w:t>
      </w:r>
      <w:r w:rsidR="00871021" w:rsidRPr="00CF31E0">
        <w:t>21</w:t>
      </w:r>
      <w:r w:rsidR="0089309F" w:rsidRPr="00CF31E0">
        <w:t xml:space="preserve"> </w:t>
      </w:r>
      <w:r w:rsidR="00A23C2A" w:rsidRPr="00CF31E0">
        <w:t xml:space="preserve">and </w:t>
      </w:r>
      <w:r w:rsidR="007F3BE4" w:rsidRPr="00CF31E0">
        <w:t>9</w:t>
      </w:r>
      <w:r w:rsidR="0089309F" w:rsidRPr="00CF31E0">
        <w:t>.</w:t>
      </w:r>
      <w:r w:rsidR="00871021" w:rsidRPr="00CF31E0">
        <w:t>22</w:t>
      </w:r>
      <w:r w:rsidR="00A23C2A" w:rsidRPr="00CF31E0">
        <w:t>.</w:t>
      </w:r>
    </w:p>
    <w:tbl>
      <w:tblPr>
        <w:tblW w:w="7199" w:type="dxa"/>
        <w:tblInd w:w="20" w:type="dxa"/>
        <w:tblBorders>
          <w:top w:val="single" w:sz="8" w:space="0" w:color="000000"/>
          <w:bottom w:val="single" w:sz="8" w:space="0" w:color="000000"/>
        </w:tblBorders>
        <w:tblLayout w:type="fixed"/>
        <w:tblCellMar>
          <w:left w:w="0" w:type="dxa"/>
          <w:right w:w="0" w:type="dxa"/>
        </w:tblCellMar>
        <w:tblLook w:val="0000" w:firstRow="0" w:lastRow="0" w:firstColumn="0" w:lastColumn="0" w:noHBand="0" w:noVBand="0"/>
      </w:tblPr>
      <w:tblGrid>
        <w:gridCol w:w="1944"/>
        <w:gridCol w:w="2072"/>
        <w:gridCol w:w="644"/>
        <w:gridCol w:w="1749"/>
        <w:gridCol w:w="790"/>
      </w:tblGrid>
      <w:tr w:rsidR="00DB766A" w:rsidRPr="00CF31E0" w14:paraId="7EF5262A" w14:textId="77777777" w:rsidTr="00DB766A">
        <w:trPr>
          <w:cantSplit/>
          <w:trHeight w:val="529"/>
        </w:trPr>
        <w:tc>
          <w:tcPr>
            <w:tcW w:w="1944" w:type="dxa"/>
            <w:tcBorders>
              <w:top w:val="single" w:sz="8" w:space="0" w:color="000000"/>
              <w:bottom w:val="single" w:sz="8" w:space="0" w:color="000000"/>
            </w:tcBorders>
            <w:shd w:val="clear" w:color="auto" w:fill="FFFFFF"/>
            <w:vAlign w:val="bottom"/>
          </w:tcPr>
          <w:p w14:paraId="5150C37D" w14:textId="2289B52D" w:rsidR="00DB766A" w:rsidRPr="00CF31E0" w:rsidRDefault="00DB766A" w:rsidP="00211C89">
            <w:pPr>
              <w:autoSpaceDE w:val="0"/>
              <w:autoSpaceDN w:val="0"/>
              <w:adjustRightInd w:val="0"/>
              <w:spacing w:before="120" w:line="360" w:lineRule="auto"/>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Places lived</w:t>
            </w:r>
          </w:p>
        </w:tc>
        <w:tc>
          <w:tcPr>
            <w:tcW w:w="2072" w:type="dxa"/>
            <w:tcBorders>
              <w:top w:val="single" w:sz="8" w:space="0" w:color="000000"/>
              <w:bottom w:val="single" w:sz="8" w:space="0" w:color="000000"/>
            </w:tcBorders>
            <w:shd w:val="clear" w:color="auto" w:fill="FFFFFF"/>
            <w:vAlign w:val="bottom"/>
          </w:tcPr>
          <w:p w14:paraId="226875FE" w14:textId="77777777" w:rsidR="00DB766A" w:rsidRPr="00CF31E0" w:rsidRDefault="00DB766A" w:rsidP="00603CB7">
            <w:pPr>
              <w:autoSpaceDE w:val="0"/>
              <w:autoSpaceDN w:val="0"/>
              <w:adjustRightInd w:val="0"/>
              <w:spacing w:before="120" w:line="360" w:lineRule="auto"/>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Sum of Squares</w:t>
            </w:r>
          </w:p>
        </w:tc>
        <w:tc>
          <w:tcPr>
            <w:tcW w:w="644" w:type="dxa"/>
            <w:tcBorders>
              <w:top w:val="single" w:sz="8" w:space="0" w:color="000000"/>
              <w:bottom w:val="single" w:sz="8" w:space="0" w:color="000000"/>
            </w:tcBorders>
            <w:shd w:val="clear" w:color="auto" w:fill="FFFFFF"/>
            <w:vAlign w:val="bottom"/>
          </w:tcPr>
          <w:p w14:paraId="1C83541D" w14:textId="77777777" w:rsidR="00DB766A" w:rsidRPr="00CF31E0" w:rsidRDefault="00DB766A" w:rsidP="00603CB7">
            <w:pPr>
              <w:autoSpaceDE w:val="0"/>
              <w:autoSpaceDN w:val="0"/>
              <w:adjustRightInd w:val="0"/>
              <w:spacing w:before="120" w:line="360" w:lineRule="auto"/>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df</w:t>
            </w:r>
          </w:p>
        </w:tc>
        <w:tc>
          <w:tcPr>
            <w:tcW w:w="1749" w:type="dxa"/>
            <w:tcBorders>
              <w:top w:val="single" w:sz="8" w:space="0" w:color="000000"/>
              <w:bottom w:val="single" w:sz="8" w:space="0" w:color="000000"/>
            </w:tcBorders>
            <w:shd w:val="clear" w:color="auto" w:fill="FFFFFF"/>
            <w:vAlign w:val="bottom"/>
          </w:tcPr>
          <w:p w14:paraId="753E90E8" w14:textId="77777777" w:rsidR="00DB766A" w:rsidRPr="00CF31E0" w:rsidRDefault="00DB766A" w:rsidP="00603CB7">
            <w:pPr>
              <w:autoSpaceDE w:val="0"/>
              <w:autoSpaceDN w:val="0"/>
              <w:adjustRightInd w:val="0"/>
              <w:spacing w:before="120" w:line="360" w:lineRule="auto"/>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Mean Square</w:t>
            </w:r>
          </w:p>
        </w:tc>
        <w:tc>
          <w:tcPr>
            <w:tcW w:w="790" w:type="dxa"/>
            <w:tcBorders>
              <w:top w:val="single" w:sz="8" w:space="0" w:color="000000"/>
              <w:bottom w:val="single" w:sz="8" w:space="0" w:color="000000"/>
            </w:tcBorders>
            <w:shd w:val="clear" w:color="auto" w:fill="FFFFFF"/>
            <w:vAlign w:val="bottom"/>
          </w:tcPr>
          <w:p w14:paraId="40CFCCEB" w14:textId="77777777" w:rsidR="00DB766A" w:rsidRPr="00CF31E0" w:rsidRDefault="00DB766A" w:rsidP="00603CB7">
            <w:pPr>
              <w:autoSpaceDE w:val="0"/>
              <w:autoSpaceDN w:val="0"/>
              <w:adjustRightInd w:val="0"/>
              <w:spacing w:before="120" w:line="360" w:lineRule="auto"/>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Sig.</w:t>
            </w:r>
          </w:p>
        </w:tc>
      </w:tr>
      <w:tr w:rsidR="00DB766A" w:rsidRPr="00CF31E0" w14:paraId="0C8577F5" w14:textId="77777777" w:rsidTr="004F45D7">
        <w:trPr>
          <w:cantSplit/>
          <w:trHeight w:val="933"/>
        </w:trPr>
        <w:tc>
          <w:tcPr>
            <w:tcW w:w="1944" w:type="dxa"/>
            <w:tcBorders>
              <w:top w:val="single" w:sz="8" w:space="0" w:color="000000"/>
              <w:bottom w:val="nil"/>
            </w:tcBorders>
            <w:shd w:val="clear" w:color="auto" w:fill="FFFFFF"/>
            <w:vAlign w:val="center"/>
          </w:tcPr>
          <w:p w14:paraId="1DC60E73" w14:textId="77777777" w:rsidR="00DB766A" w:rsidRPr="00CF31E0" w:rsidRDefault="00DB766A" w:rsidP="004F45D7">
            <w:pPr>
              <w:autoSpaceDE w:val="0"/>
              <w:autoSpaceDN w:val="0"/>
              <w:adjustRightInd w:val="0"/>
              <w:spacing w:before="120" w:line="360" w:lineRule="auto"/>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Between Groups</w:t>
            </w:r>
          </w:p>
        </w:tc>
        <w:tc>
          <w:tcPr>
            <w:tcW w:w="2072" w:type="dxa"/>
            <w:tcBorders>
              <w:top w:val="single" w:sz="8" w:space="0" w:color="000000"/>
              <w:bottom w:val="nil"/>
            </w:tcBorders>
            <w:shd w:val="clear" w:color="auto" w:fill="FFFFFF"/>
            <w:vAlign w:val="center"/>
          </w:tcPr>
          <w:p w14:paraId="5225088D" w14:textId="5CD03E5C" w:rsidR="00DB766A" w:rsidRPr="00CF31E0" w:rsidRDefault="00DB766A" w:rsidP="0055355E">
            <w:pPr>
              <w:autoSpaceDE w:val="0"/>
              <w:autoSpaceDN w:val="0"/>
              <w:adjustRightInd w:val="0"/>
              <w:spacing w:before="120" w:line="360" w:lineRule="auto"/>
              <w:ind w:left="60" w:right="60"/>
              <w:jc w:val="right"/>
              <w:rPr>
                <w:rFonts w:eastAsia="Times New Roman"/>
                <w:color w:val="000000" w:themeColor="text1"/>
                <w:sz w:val="22"/>
                <w:szCs w:val="22"/>
                <w:lang w:eastAsia="zh-CN"/>
              </w:rPr>
            </w:pPr>
            <w:r w:rsidRPr="00CF31E0">
              <w:rPr>
                <w:color w:val="000000" w:themeColor="text1"/>
                <w:sz w:val="22"/>
                <w:szCs w:val="22"/>
              </w:rPr>
              <w:t>6.897</w:t>
            </w:r>
          </w:p>
        </w:tc>
        <w:tc>
          <w:tcPr>
            <w:tcW w:w="644" w:type="dxa"/>
            <w:tcBorders>
              <w:top w:val="single" w:sz="8" w:space="0" w:color="000000"/>
              <w:bottom w:val="nil"/>
            </w:tcBorders>
            <w:shd w:val="clear" w:color="auto" w:fill="FFFFFF"/>
            <w:vAlign w:val="center"/>
          </w:tcPr>
          <w:p w14:paraId="71C5DA98" w14:textId="77777777" w:rsidR="00DB766A" w:rsidRPr="00CF31E0" w:rsidRDefault="00DB766A" w:rsidP="0055355E">
            <w:pPr>
              <w:autoSpaceDE w:val="0"/>
              <w:autoSpaceDN w:val="0"/>
              <w:adjustRightInd w:val="0"/>
              <w:spacing w:before="120" w:line="360" w:lineRule="auto"/>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1</w:t>
            </w:r>
          </w:p>
        </w:tc>
        <w:tc>
          <w:tcPr>
            <w:tcW w:w="1749" w:type="dxa"/>
            <w:tcBorders>
              <w:top w:val="single" w:sz="8" w:space="0" w:color="000000"/>
              <w:bottom w:val="nil"/>
            </w:tcBorders>
            <w:shd w:val="clear" w:color="auto" w:fill="FFFFFF"/>
            <w:vAlign w:val="center"/>
          </w:tcPr>
          <w:p w14:paraId="4E5FDD19" w14:textId="6E8714C0" w:rsidR="00DB766A" w:rsidRPr="00CF31E0" w:rsidRDefault="00DB766A" w:rsidP="0055355E">
            <w:pPr>
              <w:autoSpaceDE w:val="0"/>
              <w:autoSpaceDN w:val="0"/>
              <w:adjustRightInd w:val="0"/>
              <w:spacing w:before="120" w:line="360" w:lineRule="auto"/>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6.897</w:t>
            </w:r>
          </w:p>
        </w:tc>
        <w:tc>
          <w:tcPr>
            <w:tcW w:w="790" w:type="dxa"/>
            <w:tcBorders>
              <w:top w:val="single" w:sz="8" w:space="0" w:color="000000"/>
              <w:bottom w:val="nil"/>
            </w:tcBorders>
            <w:shd w:val="clear" w:color="auto" w:fill="FFFFFF"/>
            <w:vAlign w:val="center"/>
          </w:tcPr>
          <w:p w14:paraId="19F2A3E0" w14:textId="5D48531D" w:rsidR="00DB766A" w:rsidRPr="00CF31E0" w:rsidRDefault="00DB766A" w:rsidP="004F45D7">
            <w:pPr>
              <w:autoSpaceDE w:val="0"/>
              <w:autoSpaceDN w:val="0"/>
              <w:adjustRightInd w:val="0"/>
              <w:spacing w:before="120" w:line="360" w:lineRule="auto"/>
              <w:ind w:left="60" w:right="60"/>
              <w:jc w:val="center"/>
              <w:rPr>
                <w:rFonts w:eastAsia="Times New Roman"/>
                <w:color w:val="000000" w:themeColor="text1"/>
                <w:sz w:val="22"/>
                <w:szCs w:val="22"/>
                <w:lang w:eastAsia="zh-CN"/>
              </w:rPr>
            </w:pPr>
            <w:r w:rsidRPr="00CF31E0">
              <w:rPr>
                <w:rFonts w:eastAsia="Times New Roman"/>
                <w:color w:val="000000" w:themeColor="text1"/>
                <w:sz w:val="22"/>
                <w:szCs w:val="22"/>
                <w:lang w:eastAsia="zh-CN"/>
              </w:rPr>
              <w:t>.043</w:t>
            </w:r>
          </w:p>
        </w:tc>
      </w:tr>
      <w:tr w:rsidR="00DB766A" w:rsidRPr="00CF31E0" w14:paraId="22200DC0" w14:textId="77777777" w:rsidTr="004F45D7">
        <w:trPr>
          <w:cantSplit/>
          <w:trHeight w:val="520"/>
        </w:trPr>
        <w:tc>
          <w:tcPr>
            <w:tcW w:w="1944" w:type="dxa"/>
            <w:tcBorders>
              <w:top w:val="nil"/>
            </w:tcBorders>
            <w:shd w:val="clear" w:color="auto" w:fill="FFFFFF"/>
            <w:vAlign w:val="center"/>
          </w:tcPr>
          <w:p w14:paraId="7757B297" w14:textId="77777777" w:rsidR="00DB766A" w:rsidRPr="00CF31E0" w:rsidRDefault="00DB766A" w:rsidP="004F45D7">
            <w:pPr>
              <w:autoSpaceDE w:val="0"/>
              <w:autoSpaceDN w:val="0"/>
              <w:adjustRightInd w:val="0"/>
              <w:spacing w:before="120" w:line="360" w:lineRule="auto"/>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Within Groups</w:t>
            </w:r>
          </w:p>
        </w:tc>
        <w:tc>
          <w:tcPr>
            <w:tcW w:w="2072" w:type="dxa"/>
            <w:tcBorders>
              <w:top w:val="nil"/>
            </w:tcBorders>
            <w:shd w:val="clear" w:color="auto" w:fill="FFFFFF"/>
            <w:vAlign w:val="center"/>
          </w:tcPr>
          <w:p w14:paraId="7A6B3AB8" w14:textId="3F41F4EA" w:rsidR="00DB766A" w:rsidRPr="00CF31E0" w:rsidRDefault="00DB766A" w:rsidP="0055355E">
            <w:pPr>
              <w:autoSpaceDE w:val="0"/>
              <w:autoSpaceDN w:val="0"/>
              <w:adjustRightInd w:val="0"/>
              <w:spacing w:before="120" w:line="360" w:lineRule="auto"/>
              <w:ind w:left="60" w:right="60"/>
              <w:jc w:val="right"/>
              <w:rPr>
                <w:rFonts w:eastAsia="Times New Roman"/>
                <w:color w:val="000000" w:themeColor="text1"/>
                <w:sz w:val="22"/>
                <w:szCs w:val="22"/>
                <w:lang w:eastAsia="zh-CN"/>
              </w:rPr>
            </w:pPr>
            <w:r w:rsidRPr="00CF31E0">
              <w:rPr>
                <w:color w:val="000000" w:themeColor="text1"/>
                <w:sz w:val="22"/>
                <w:szCs w:val="22"/>
              </w:rPr>
              <w:t>963.059</w:t>
            </w:r>
          </w:p>
        </w:tc>
        <w:tc>
          <w:tcPr>
            <w:tcW w:w="644" w:type="dxa"/>
            <w:tcBorders>
              <w:top w:val="nil"/>
            </w:tcBorders>
            <w:shd w:val="clear" w:color="auto" w:fill="FFFFFF"/>
            <w:vAlign w:val="center"/>
          </w:tcPr>
          <w:p w14:paraId="7EB8AC63" w14:textId="77777777" w:rsidR="00DB766A" w:rsidRPr="00CF31E0" w:rsidRDefault="00DB766A" w:rsidP="0055355E">
            <w:pPr>
              <w:autoSpaceDE w:val="0"/>
              <w:autoSpaceDN w:val="0"/>
              <w:adjustRightInd w:val="0"/>
              <w:spacing w:before="120" w:line="360" w:lineRule="auto"/>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322</w:t>
            </w:r>
          </w:p>
        </w:tc>
        <w:tc>
          <w:tcPr>
            <w:tcW w:w="1749" w:type="dxa"/>
            <w:tcBorders>
              <w:top w:val="nil"/>
            </w:tcBorders>
            <w:shd w:val="clear" w:color="auto" w:fill="FFFFFF"/>
            <w:vAlign w:val="center"/>
          </w:tcPr>
          <w:p w14:paraId="0DBA4270" w14:textId="7B3A16FF" w:rsidR="00DB766A" w:rsidRPr="00CF31E0" w:rsidRDefault="00DB766A" w:rsidP="0055355E">
            <w:pPr>
              <w:autoSpaceDE w:val="0"/>
              <w:autoSpaceDN w:val="0"/>
              <w:adjustRightInd w:val="0"/>
              <w:spacing w:before="120" w:line="360" w:lineRule="auto"/>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1.678</w:t>
            </w:r>
          </w:p>
        </w:tc>
        <w:tc>
          <w:tcPr>
            <w:tcW w:w="790" w:type="dxa"/>
            <w:tcBorders>
              <w:top w:val="nil"/>
            </w:tcBorders>
            <w:shd w:val="clear" w:color="auto" w:fill="FFFFFF"/>
            <w:vAlign w:val="center"/>
          </w:tcPr>
          <w:p w14:paraId="5B1DD277" w14:textId="77777777" w:rsidR="00DB766A" w:rsidRPr="00CF31E0" w:rsidRDefault="00DB766A" w:rsidP="004F45D7">
            <w:pPr>
              <w:autoSpaceDE w:val="0"/>
              <w:autoSpaceDN w:val="0"/>
              <w:adjustRightInd w:val="0"/>
              <w:spacing w:before="120" w:line="360" w:lineRule="auto"/>
              <w:jc w:val="center"/>
              <w:rPr>
                <w:rFonts w:eastAsia="Times New Roman"/>
                <w:color w:val="000000" w:themeColor="text1"/>
                <w:sz w:val="22"/>
                <w:szCs w:val="22"/>
                <w:lang w:eastAsia="zh-CN"/>
              </w:rPr>
            </w:pPr>
          </w:p>
        </w:tc>
      </w:tr>
      <w:tr w:rsidR="00DB766A" w:rsidRPr="00CF31E0" w14:paraId="5C5298A8" w14:textId="77777777" w:rsidTr="004F45D7">
        <w:trPr>
          <w:cantSplit/>
          <w:trHeight w:val="540"/>
        </w:trPr>
        <w:tc>
          <w:tcPr>
            <w:tcW w:w="1944" w:type="dxa"/>
            <w:shd w:val="clear" w:color="auto" w:fill="FFFFFF"/>
            <w:vAlign w:val="center"/>
          </w:tcPr>
          <w:p w14:paraId="42BC5584" w14:textId="77777777" w:rsidR="00DB766A" w:rsidRPr="00CF31E0" w:rsidRDefault="00DB766A" w:rsidP="004F45D7">
            <w:pPr>
              <w:autoSpaceDE w:val="0"/>
              <w:autoSpaceDN w:val="0"/>
              <w:adjustRightInd w:val="0"/>
              <w:spacing w:before="120" w:line="360" w:lineRule="auto"/>
              <w:ind w:left="60" w:right="60"/>
              <w:rPr>
                <w:rFonts w:eastAsia="Times New Roman"/>
                <w:color w:val="000000" w:themeColor="text1"/>
                <w:sz w:val="22"/>
                <w:szCs w:val="22"/>
                <w:lang w:eastAsia="zh-CN"/>
              </w:rPr>
            </w:pPr>
            <w:r w:rsidRPr="00CF31E0">
              <w:rPr>
                <w:rFonts w:eastAsia="Times New Roman"/>
                <w:color w:val="000000" w:themeColor="text1"/>
                <w:sz w:val="22"/>
                <w:szCs w:val="22"/>
                <w:lang w:eastAsia="zh-CN"/>
              </w:rPr>
              <w:t>Total</w:t>
            </w:r>
          </w:p>
        </w:tc>
        <w:tc>
          <w:tcPr>
            <w:tcW w:w="2072" w:type="dxa"/>
            <w:shd w:val="clear" w:color="auto" w:fill="FFFFFF"/>
            <w:vAlign w:val="center"/>
          </w:tcPr>
          <w:p w14:paraId="4E298FD4" w14:textId="7FFEAF58" w:rsidR="00DB766A" w:rsidRPr="00CF31E0" w:rsidRDefault="00DB766A" w:rsidP="0055355E">
            <w:pPr>
              <w:autoSpaceDE w:val="0"/>
              <w:autoSpaceDN w:val="0"/>
              <w:adjustRightInd w:val="0"/>
              <w:spacing w:before="120" w:line="360" w:lineRule="auto"/>
              <w:ind w:left="60" w:right="60"/>
              <w:jc w:val="right"/>
              <w:rPr>
                <w:rFonts w:eastAsia="Times New Roman"/>
                <w:color w:val="000000" w:themeColor="text1"/>
                <w:sz w:val="22"/>
                <w:szCs w:val="22"/>
                <w:lang w:eastAsia="zh-CN"/>
              </w:rPr>
            </w:pPr>
            <w:r w:rsidRPr="00CF31E0">
              <w:rPr>
                <w:color w:val="000000" w:themeColor="text1"/>
                <w:sz w:val="22"/>
                <w:szCs w:val="22"/>
              </w:rPr>
              <w:t>969.957</w:t>
            </w:r>
          </w:p>
        </w:tc>
        <w:tc>
          <w:tcPr>
            <w:tcW w:w="644" w:type="dxa"/>
            <w:shd w:val="clear" w:color="auto" w:fill="FFFFFF"/>
            <w:vAlign w:val="center"/>
          </w:tcPr>
          <w:p w14:paraId="2B7FA0EB" w14:textId="77777777" w:rsidR="00DB766A" w:rsidRPr="00CF31E0" w:rsidRDefault="00DB766A" w:rsidP="0055355E">
            <w:pPr>
              <w:autoSpaceDE w:val="0"/>
              <w:autoSpaceDN w:val="0"/>
              <w:adjustRightInd w:val="0"/>
              <w:spacing w:before="120" w:line="360" w:lineRule="auto"/>
              <w:ind w:left="60" w:right="60"/>
              <w:jc w:val="right"/>
              <w:rPr>
                <w:rFonts w:eastAsia="Times New Roman"/>
                <w:color w:val="000000" w:themeColor="text1"/>
                <w:sz w:val="22"/>
                <w:szCs w:val="22"/>
                <w:lang w:eastAsia="zh-CN"/>
              </w:rPr>
            </w:pPr>
            <w:r w:rsidRPr="00CF31E0">
              <w:rPr>
                <w:rFonts w:eastAsia="Times New Roman"/>
                <w:color w:val="000000" w:themeColor="text1"/>
                <w:sz w:val="22"/>
                <w:szCs w:val="22"/>
                <w:lang w:eastAsia="zh-CN"/>
              </w:rPr>
              <w:t>323</w:t>
            </w:r>
          </w:p>
        </w:tc>
        <w:tc>
          <w:tcPr>
            <w:tcW w:w="1749" w:type="dxa"/>
            <w:shd w:val="clear" w:color="auto" w:fill="FFFFFF"/>
            <w:vAlign w:val="center"/>
          </w:tcPr>
          <w:p w14:paraId="5A4D163C" w14:textId="77777777" w:rsidR="00DB766A" w:rsidRPr="00CF31E0" w:rsidRDefault="00DB766A" w:rsidP="0055355E">
            <w:pPr>
              <w:autoSpaceDE w:val="0"/>
              <w:autoSpaceDN w:val="0"/>
              <w:adjustRightInd w:val="0"/>
              <w:spacing w:before="120" w:line="360" w:lineRule="auto"/>
              <w:jc w:val="right"/>
              <w:rPr>
                <w:rFonts w:eastAsia="Times New Roman"/>
                <w:color w:val="000000" w:themeColor="text1"/>
                <w:sz w:val="22"/>
                <w:szCs w:val="22"/>
                <w:lang w:eastAsia="zh-CN"/>
              </w:rPr>
            </w:pPr>
          </w:p>
        </w:tc>
        <w:tc>
          <w:tcPr>
            <w:tcW w:w="790" w:type="dxa"/>
            <w:shd w:val="clear" w:color="auto" w:fill="FFFFFF"/>
            <w:vAlign w:val="center"/>
          </w:tcPr>
          <w:p w14:paraId="6C0A25A2" w14:textId="77777777" w:rsidR="00DB766A" w:rsidRPr="00CF31E0" w:rsidRDefault="00DB766A" w:rsidP="004F45D7">
            <w:pPr>
              <w:autoSpaceDE w:val="0"/>
              <w:autoSpaceDN w:val="0"/>
              <w:adjustRightInd w:val="0"/>
              <w:spacing w:before="120" w:line="360" w:lineRule="auto"/>
              <w:jc w:val="center"/>
              <w:rPr>
                <w:rFonts w:eastAsia="Times New Roman"/>
                <w:color w:val="000000" w:themeColor="text1"/>
                <w:sz w:val="22"/>
                <w:szCs w:val="22"/>
                <w:lang w:eastAsia="zh-CN"/>
              </w:rPr>
            </w:pPr>
          </w:p>
        </w:tc>
      </w:tr>
    </w:tbl>
    <w:p w14:paraId="78606B4C" w14:textId="68A7DECA" w:rsidR="00F97841" w:rsidRPr="00CF31E0" w:rsidRDefault="00A23C2A" w:rsidP="000D217E">
      <w:pPr>
        <w:pStyle w:val="Tablecaption"/>
      </w:pPr>
      <w:bookmarkStart w:id="698" w:name="_Toc522527457"/>
      <w:bookmarkStart w:id="699" w:name="_Toc522628869"/>
      <w:bookmarkStart w:id="700" w:name="_Toc522629033"/>
      <w:bookmarkStart w:id="701" w:name="_Toc6473130"/>
      <w:r w:rsidRPr="00CF31E0">
        <w:t xml:space="preserve">Table </w:t>
      </w:r>
      <w:r w:rsidR="00211C89" w:rsidRPr="00CF31E0">
        <w:t>9</w:t>
      </w:r>
      <w:r w:rsidR="0089309F" w:rsidRPr="00CF31E0">
        <w:t>.</w:t>
      </w:r>
      <w:r w:rsidR="00871021" w:rsidRPr="00CF31E0">
        <w:t>21</w:t>
      </w:r>
      <w:r w:rsidRPr="00CF31E0">
        <w:t xml:space="preserve">: ANOVA statistics for the </w:t>
      </w:r>
      <w:r w:rsidR="00F97841" w:rsidRPr="00CF31E0">
        <w:t>place</w:t>
      </w:r>
      <w:r w:rsidR="00F97841">
        <w:t>s</w:t>
      </w:r>
      <w:r w:rsidR="00F97841" w:rsidRPr="00CF31E0">
        <w:t xml:space="preserve"> </w:t>
      </w:r>
      <w:r w:rsidRPr="00CF31E0">
        <w:t>lived demographic variable</w:t>
      </w:r>
      <w:r w:rsidR="0089309F" w:rsidRPr="00CF31E0">
        <w:t>.</w:t>
      </w:r>
      <w:bookmarkEnd w:id="698"/>
      <w:bookmarkEnd w:id="699"/>
      <w:bookmarkEnd w:id="700"/>
      <w:bookmarkEnd w:id="701"/>
    </w:p>
    <w:tbl>
      <w:tblPr>
        <w:tblW w:w="7381" w:type="dxa"/>
        <w:tblInd w:w="-10" w:type="dxa"/>
        <w:tblBorders>
          <w:top w:val="single" w:sz="8" w:space="0" w:color="000000"/>
          <w:bottom w:val="single" w:sz="8" w:space="0" w:color="000000"/>
        </w:tblBorders>
        <w:tblLayout w:type="fixed"/>
        <w:tblCellMar>
          <w:left w:w="0" w:type="dxa"/>
          <w:right w:w="0" w:type="dxa"/>
        </w:tblCellMar>
        <w:tblLook w:val="0000" w:firstRow="0" w:lastRow="0" w:firstColumn="0" w:lastColumn="0" w:noHBand="0" w:noVBand="0"/>
      </w:tblPr>
      <w:tblGrid>
        <w:gridCol w:w="2406"/>
        <w:gridCol w:w="1692"/>
        <w:gridCol w:w="683"/>
        <w:gridCol w:w="1091"/>
        <w:gridCol w:w="1509"/>
      </w:tblGrid>
      <w:tr w:rsidR="007F558A" w:rsidRPr="00CF31E0" w14:paraId="419E8B41" w14:textId="77777777" w:rsidTr="00603CB7">
        <w:trPr>
          <w:cantSplit/>
        </w:trPr>
        <w:tc>
          <w:tcPr>
            <w:tcW w:w="2406" w:type="dxa"/>
            <w:tcBorders>
              <w:top w:val="single" w:sz="8" w:space="0" w:color="000000"/>
              <w:bottom w:val="single" w:sz="8" w:space="0" w:color="000000"/>
            </w:tcBorders>
          </w:tcPr>
          <w:p w14:paraId="10E103D0" w14:textId="77777777" w:rsidR="00A23C2A" w:rsidRPr="00CF31E0" w:rsidRDefault="00A23C2A" w:rsidP="00603CB7">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 xml:space="preserve">Factor </w:t>
            </w:r>
          </w:p>
        </w:tc>
        <w:tc>
          <w:tcPr>
            <w:tcW w:w="2375" w:type="dxa"/>
            <w:gridSpan w:val="2"/>
            <w:tcBorders>
              <w:top w:val="single" w:sz="8" w:space="0" w:color="000000"/>
              <w:bottom w:val="single" w:sz="8" w:space="0" w:color="000000"/>
            </w:tcBorders>
            <w:shd w:val="clear" w:color="auto" w:fill="FFFFFF"/>
            <w:vAlign w:val="bottom"/>
          </w:tcPr>
          <w:p w14:paraId="235C0267" w14:textId="77777777" w:rsidR="00A23C2A" w:rsidRPr="00CF31E0" w:rsidRDefault="00A23C2A" w:rsidP="00603CB7">
            <w:pPr>
              <w:widowControl w:val="0"/>
              <w:autoSpaceDE w:val="0"/>
              <w:autoSpaceDN w:val="0"/>
              <w:adjustRightInd w:val="0"/>
              <w:spacing w:before="120" w:after="120" w:line="360" w:lineRule="auto"/>
              <w:ind w:left="60" w:right="60"/>
              <w:rPr>
                <w:rFonts w:eastAsia="Calibri"/>
                <w:color w:val="000000" w:themeColor="text1"/>
                <w:sz w:val="22"/>
                <w:szCs w:val="22"/>
                <w:lang w:eastAsia="en-US"/>
              </w:rPr>
            </w:pPr>
            <w:r w:rsidRPr="00CF31E0">
              <w:rPr>
                <w:rFonts w:eastAsia="Calibri"/>
                <w:color w:val="000000" w:themeColor="text1"/>
                <w:sz w:val="22"/>
                <w:szCs w:val="22"/>
                <w:lang w:eastAsia="en-US"/>
              </w:rPr>
              <w:t>Places lived</w:t>
            </w:r>
          </w:p>
        </w:tc>
        <w:tc>
          <w:tcPr>
            <w:tcW w:w="1091" w:type="dxa"/>
            <w:tcBorders>
              <w:top w:val="single" w:sz="8" w:space="0" w:color="000000"/>
              <w:bottom w:val="single" w:sz="8" w:space="0" w:color="000000"/>
            </w:tcBorders>
            <w:shd w:val="clear" w:color="auto" w:fill="FFFFFF"/>
            <w:vAlign w:val="bottom"/>
          </w:tcPr>
          <w:p w14:paraId="1BD4F9F8" w14:textId="77777777" w:rsidR="00A23C2A" w:rsidRPr="00CF31E0" w:rsidRDefault="00A23C2A" w:rsidP="00603CB7">
            <w:pPr>
              <w:widowControl w:val="0"/>
              <w:autoSpaceDE w:val="0"/>
              <w:autoSpaceDN w:val="0"/>
              <w:adjustRightInd w:val="0"/>
              <w:spacing w:before="120" w:after="120" w:line="360" w:lineRule="auto"/>
              <w:ind w:left="60" w:right="60"/>
              <w:jc w:val="center"/>
              <w:rPr>
                <w:rFonts w:eastAsia="Calibri"/>
                <w:color w:val="000000" w:themeColor="text1"/>
                <w:sz w:val="22"/>
                <w:szCs w:val="22"/>
                <w:lang w:eastAsia="en-US"/>
              </w:rPr>
            </w:pPr>
            <w:r w:rsidRPr="00CF31E0">
              <w:rPr>
                <w:rFonts w:eastAsia="Calibri"/>
                <w:color w:val="000000" w:themeColor="text1"/>
                <w:sz w:val="22"/>
                <w:szCs w:val="22"/>
                <w:lang w:eastAsia="en-US"/>
              </w:rPr>
              <w:t>Statistic</w:t>
            </w:r>
          </w:p>
        </w:tc>
        <w:tc>
          <w:tcPr>
            <w:tcW w:w="1509" w:type="dxa"/>
            <w:tcBorders>
              <w:top w:val="single" w:sz="8" w:space="0" w:color="000000"/>
              <w:bottom w:val="single" w:sz="8" w:space="0" w:color="000000"/>
            </w:tcBorders>
            <w:shd w:val="clear" w:color="auto" w:fill="FFFFFF"/>
            <w:vAlign w:val="bottom"/>
          </w:tcPr>
          <w:p w14:paraId="54865CAF" w14:textId="77777777" w:rsidR="00A23C2A" w:rsidRPr="00CF31E0" w:rsidRDefault="00A23C2A" w:rsidP="00603CB7">
            <w:pPr>
              <w:widowControl w:val="0"/>
              <w:autoSpaceDE w:val="0"/>
              <w:autoSpaceDN w:val="0"/>
              <w:adjustRightInd w:val="0"/>
              <w:spacing w:before="120" w:after="120" w:line="360" w:lineRule="auto"/>
              <w:ind w:left="60" w:right="60"/>
              <w:jc w:val="center"/>
              <w:rPr>
                <w:rFonts w:eastAsia="Calibri"/>
                <w:color w:val="000000" w:themeColor="text1"/>
                <w:sz w:val="22"/>
                <w:szCs w:val="22"/>
                <w:lang w:eastAsia="en-US"/>
              </w:rPr>
            </w:pPr>
            <w:r w:rsidRPr="00CF31E0">
              <w:rPr>
                <w:rFonts w:eastAsia="Calibri"/>
                <w:color w:val="000000" w:themeColor="text1"/>
                <w:sz w:val="22"/>
                <w:szCs w:val="22"/>
                <w:lang w:eastAsia="en-US"/>
              </w:rPr>
              <w:t>Std. Error</w:t>
            </w:r>
          </w:p>
        </w:tc>
      </w:tr>
      <w:tr w:rsidR="007F558A" w:rsidRPr="00CF31E0" w14:paraId="00008235" w14:textId="77777777" w:rsidTr="00603CB7">
        <w:trPr>
          <w:cantSplit/>
        </w:trPr>
        <w:tc>
          <w:tcPr>
            <w:tcW w:w="2406" w:type="dxa"/>
            <w:vMerge w:val="restart"/>
            <w:tcBorders>
              <w:top w:val="single" w:sz="8" w:space="0" w:color="000000"/>
              <w:bottom w:val="nil"/>
            </w:tcBorders>
            <w:shd w:val="clear" w:color="auto" w:fill="FFFFFF"/>
          </w:tcPr>
          <w:p w14:paraId="7A5102BE" w14:textId="23AE036B" w:rsidR="00A23C2A" w:rsidRPr="00CF31E0" w:rsidRDefault="00A23C2A" w:rsidP="00603CB7">
            <w:pPr>
              <w:widowControl w:val="0"/>
              <w:autoSpaceDE w:val="0"/>
              <w:autoSpaceDN w:val="0"/>
              <w:adjustRightInd w:val="0"/>
              <w:spacing w:beforeLines="80" w:before="192" w:after="120" w:line="360" w:lineRule="auto"/>
              <w:ind w:left="62" w:right="62"/>
              <w:rPr>
                <w:rFonts w:eastAsia="Calibri"/>
                <w:color w:val="000000" w:themeColor="text1"/>
                <w:sz w:val="22"/>
                <w:szCs w:val="22"/>
                <w:lang w:eastAsia="en-US"/>
              </w:rPr>
            </w:pPr>
            <w:r w:rsidRPr="00CF31E0">
              <w:rPr>
                <w:rFonts w:eastAsia="Calibri"/>
                <w:color w:val="000000" w:themeColor="text1"/>
                <w:sz w:val="22"/>
                <w:szCs w:val="22"/>
                <w:lang w:eastAsia="en-US"/>
              </w:rPr>
              <w:lastRenderedPageBreak/>
              <w:t xml:space="preserve">Traditional factor in </w:t>
            </w:r>
            <w:r w:rsidR="00FF4DC7" w:rsidRPr="00CF31E0">
              <w:rPr>
                <w:rFonts w:eastAsia="Calibri"/>
                <w:color w:val="000000" w:themeColor="text1"/>
                <w:sz w:val="22"/>
                <w:szCs w:val="22"/>
                <w:lang w:eastAsia="en-US"/>
              </w:rPr>
              <w:t>HH</w:t>
            </w:r>
            <w:r w:rsidRPr="00CF31E0">
              <w:rPr>
                <w:rFonts w:eastAsia="Calibri"/>
                <w:color w:val="000000" w:themeColor="text1"/>
                <w:sz w:val="22"/>
                <w:szCs w:val="22"/>
                <w:lang w:eastAsia="en-US"/>
              </w:rPr>
              <w:t xml:space="preserve"> dialect</w:t>
            </w:r>
          </w:p>
        </w:tc>
        <w:tc>
          <w:tcPr>
            <w:tcW w:w="1692" w:type="dxa"/>
            <w:tcBorders>
              <w:top w:val="single" w:sz="8" w:space="0" w:color="000000"/>
              <w:bottom w:val="nil"/>
            </w:tcBorders>
            <w:shd w:val="clear" w:color="auto" w:fill="FFFFFF"/>
          </w:tcPr>
          <w:p w14:paraId="10E333D4" w14:textId="77777777" w:rsidR="00A23C2A" w:rsidRPr="00CF31E0" w:rsidRDefault="00A23C2A" w:rsidP="00603CB7">
            <w:pPr>
              <w:widowControl w:val="0"/>
              <w:autoSpaceDE w:val="0"/>
              <w:autoSpaceDN w:val="0"/>
              <w:adjustRightInd w:val="0"/>
              <w:spacing w:beforeLines="80" w:before="192" w:after="120" w:line="360" w:lineRule="auto"/>
              <w:ind w:left="60" w:right="60"/>
              <w:rPr>
                <w:rFonts w:eastAsia="Calibri"/>
                <w:color w:val="000000" w:themeColor="text1"/>
                <w:sz w:val="22"/>
                <w:szCs w:val="22"/>
                <w:lang w:eastAsia="en-US"/>
              </w:rPr>
            </w:pPr>
            <w:r w:rsidRPr="00CF31E0">
              <w:rPr>
                <w:rFonts w:eastAsia="Calibri"/>
                <w:color w:val="000000" w:themeColor="text1"/>
                <w:sz w:val="22"/>
                <w:szCs w:val="22"/>
                <w:lang w:eastAsia="en-US"/>
              </w:rPr>
              <w:t>Inside Hijaz</w:t>
            </w:r>
          </w:p>
        </w:tc>
        <w:tc>
          <w:tcPr>
            <w:tcW w:w="683" w:type="dxa"/>
            <w:tcBorders>
              <w:top w:val="single" w:sz="8" w:space="0" w:color="000000"/>
              <w:bottom w:val="nil"/>
            </w:tcBorders>
            <w:shd w:val="clear" w:color="auto" w:fill="FFFFFF"/>
          </w:tcPr>
          <w:p w14:paraId="774808C8" w14:textId="77777777" w:rsidR="00A23C2A" w:rsidRPr="00CF31E0" w:rsidRDefault="00A23C2A" w:rsidP="00603CB7">
            <w:pPr>
              <w:widowControl w:val="0"/>
              <w:autoSpaceDE w:val="0"/>
              <w:autoSpaceDN w:val="0"/>
              <w:adjustRightInd w:val="0"/>
              <w:spacing w:beforeLines="80" w:before="192" w:after="120" w:line="360" w:lineRule="auto"/>
              <w:ind w:left="60" w:right="60"/>
              <w:rPr>
                <w:rFonts w:eastAsia="Calibri"/>
                <w:color w:val="000000" w:themeColor="text1"/>
                <w:sz w:val="22"/>
                <w:szCs w:val="22"/>
                <w:lang w:eastAsia="en-US"/>
              </w:rPr>
            </w:pPr>
            <w:r w:rsidRPr="00CF31E0">
              <w:rPr>
                <w:rFonts w:eastAsia="Calibri"/>
                <w:color w:val="000000" w:themeColor="text1"/>
                <w:sz w:val="22"/>
                <w:szCs w:val="22"/>
                <w:lang w:eastAsia="en-US"/>
              </w:rPr>
              <w:t>Mean</w:t>
            </w:r>
          </w:p>
        </w:tc>
        <w:tc>
          <w:tcPr>
            <w:tcW w:w="1091" w:type="dxa"/>
            <w:tcBorders>
              <w:top w:val="single" w:sz="8" w:space="0" w:color="000000"/>
              <w:bottom w:val="nil"/>
            </w:tcBorders>
            <w:shd w:val="clear" w:color="auto" w:fill="FFFFFF"/>
            <w:vAlign w:val="center"/>
          </w:tcPr>
          <w:p w14:paraId="2185C669" w14:textId="77777777" w:rsidR="00A23C2A" w:rsidRPr="00CF31E0" w:rsidRDefault="00A23C2A" w:rsidP="00603CB7">
            <w:pPr>
              <w:widowControl w:val="0"/>
              <w:autoSpaceDE w:val="0"/>
              <w:autoSpaceDN w:val="0"/>
              <w:adjustRightInd w:val="0"/>
              <w:spacing w:beforeLines="80" w:before="192" w:after="120" w:line="360"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2.3823</w:t>
            </w:r>
          </w:p>
        </w:tc>
        <w:tc>
          <w:tcPr>
            <w:tcW w:w="1509" w:type="dxa"/>
            <w:tcBorders>
              <w:top w:val="single" w:sz="8" w:space="0" w:color="000000"/>
              <w:bottom w:val="nil"/>
            </w:tcBorders>
            <w:shd w:val="clear" w:color="auto" w:fill="FFFFFF"/>
            <w:vAlign w:val="center"/>
          </w:tcPr>
          <w:p w14:paraId="2419773F" w14:textId="77777777" w:rsidR="00A23C2A" w:rsidRPr="00CF31E0" w:rsidRDefault="00A23C2A" w:rsidP="00603CB7">
            <w:pPr>
              <w:widowControl w:val="0"/>
              <w:autoSpaceDE w:val="0"/>
              <w:autoSpaceDN w:val="0"/>
              <w:adjustRightInd w:val="0"/>
              <w:spacing w:beforeLines="80" w:before="192" w:after="120" w:line="360"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.05447</w:t>
            </w:r>
          </w:p>
        </w:tc>
      </w:tr>
      <w:tr w:rsidR="007F558A" w:rsidRPr="00CF31E0" w14:paraId="10339576" w14:textId="77777777" w:rsidTr="00603CB7">
        <w:trPr>
          <w:cantSplit/>
        </w:trPr>
        <w:tc>
          <w:tcPr>
            <w:tcW w:w="2406" w:type="dxa"/>
            <w:vMerge/>
            <w:tcBorders>
              <w:top w:val="nil"/>
            </w:tcBorders>
            <w:shd w:val="clear" w:color="auto" w:fill="FFFFFF"/>
          </w:tcPr>
          <w:p w14:paraId="2E8FE852" w14:textId="77777777" w:rsidR="00A23C2A" w:rsidRPr="00CF31E0" w:rsidRDefault="00A23C2A" w:rsidP="00603CB7">
            <w:pPr>
              <w:widowControl w:val="0"/>
              <w:autoSpaceDE w:val="0"/>
              <w:autoSpaceDN w:val="0"/>
              <w:adjustRightInd w:val="0"/>
              <w:spacing w:after="120" w:line="360" w:lineRule="auto"/>
              <w:rPr>
                <w:rFonts w:eastAsia="Calibri"/>
                <w:color w:val="000000" w:themeColor="text1"/>
                <w:sz w:val="22"/>
                <w:szCs w:val="22"/>
                <w:lang w:eastAsia="en-US"/>
              </w:rPr>
            </w:pPr>
          </w:p>
        </w:tc>
        <w:tc>
          <w:tcPr>
            <w:tcW w:w="1692" w:type="dxa"/>
            <w:tcBorders>
              <w:top w:val="nil"/>
            </w:tcBorders>
            <w:shd w:val="clear" w:color="auto" w:fill="FFFFFF"/>
          </w:tcPr>
          <w:p w14:paraId="61D06D0D" w14:textId="77777777" w:rsidR="00A23C2A" w:rsidRPr="00CF31E0" w:rsidRDefault="00A23C2A" w:rsidP="00603CB7">
            <w:pPr>
              <w:widowControl w:val="0"/>
              <w:autoSpaceDE w:val="0"/>
              <w:autoSpaceDN w:val="0"/>
              <w:adjustRightInd w:val="0"/>
              <w:spacing w:after="120" w:line="360" w:lineRule="auto"/>
              <w:ind w:left="60" w:right="60"/>
              <w:rPr>
                <w:rFonts w:eastAsia="Calibri"/>
                <w:color w:val="000000" w:themeColor="text1"/>
                <w:sz w:val="22"/>
                <w:szCs w:val="22"/>
                <w:lang w:eastAsia="en-US"/>
              </w:rPr>
            </w:pPr>
            <w:r w:rsidRPr="00CF31E0">
              <w:rPr>
                <w:rFonts w:eastAsia="Calibri"/>
                <w:color w:val="000000" w:themeColor="text1"/>
                <w:sz w:val="22"/>
                <w:szCs w:val="22"/>
                <w:lang w:eastAsia="en-US"/>
              </w:rPr>
              <w:t>Outside Hijaz</w:t>
            </w:r>
          </w:p>
        </w:tc>
        <w:tc>
          <w:tcPr>
            <w:tcW w:w="683" w:type="dxa"/>
            <w:tcBorders>
              <w:top w:val="nil"/>
            </w:tcBorders>
            <w:shd w:val="clear" w:color="auto" w:fill="FFFFFF"/>
          </w:tcPr>
          <w:p w14:paraId="13F47C7E" w14:textId="77777777" w:rsidR="00A23C2A" w:rsidRPr="00CF31E0" w:rsidRDefault="00A23C2A" w:rsidP="00603CB7">
            <w:pPr>
              <w:widowControl w:val="0"/>
              <w:autoSpaceDE w:val="0"/>
              <w:autoSpaceDN w:val="0"/>
              <w:adjustRightInd w:val="0"/>
              <w:spacing w:after="120" w:line="360" w:lineRule="auto"/>
              <w:ind w:left="60" w:right="60"/>
              <w:rPr>
                <w:rFonts w:eastAsia="Calibri"/>
                <w:color w:val="000000" w:themeColor="text1"/>
                <w:sz w:val="22"/>
                <w:szCs w:val="22"/>
                <w:lang w:eastAsia="en-US"/>
              </w:rPr>
            </w:pPr>
            <w:r w:rsidRPr="00CF31E0">
              <w:rPr>
                <w:rFonts w:eastAsia="Calibri"/>
                <w:color w:val="000000" w:themeColor="text1"/>
                <w:sz w:val="22"/>
                <w:szCs w:val="22"/>
                <w:lang w:eastAsia="en-US"/>
              </w:rPr>
              <w:t>Mean</w:t>
            </w:r>
          </w:p>
        </w:tc>
        <w:tc>
          <w:tcPr>
            <w:tcW w:w="1091" w:type="dxa"/>
            <w:tcBorders>
              <w:top w:val="nil"/>
            </w:tcBorders>
            <w:shd w:val="clear" w:color="auto" w:fill="FFFFFF"/>
            <w:vAlign w:val="center"/>
          </w:tcPr>
          <w:p w14:paraId="2558AF6A" w14:textId="77777777" w:rsidR="00A23C2A" w:rsidRPr="00CF31E0" w:rsidRDefault="00A23C2A" w:rsidP="00603CB7">
            <w:pPr>
              <w:widowControl w:val="0"/>
              <w:autoSpaceDE w:val="0"/>
              <w:autoSpaceDN w:val="0"/>
              <w:adjustRightInd w:val="0"/>
              <w:spacing w:after="120" w:line="360"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3.1818</w:t>
            </w:r>
          </w:p>
        </w:tc>
        <w:tc>
          <w:tcPr>
            <w:tcW w:w="1509" w:type="dxa"/>
            <w:tcBorders>
              <w:top w:val="nil"/>
            </w:tcBorders>
            <w:shd w:val="clear" w:color="auto" w:fill="FFFFFF"/>
            <w:vAlign w:val="center"/>
          </w:tcPr>
          <w:p w14:paraId="564E2D7A" w14:textId="77777777" w:rsidR="00A23C2A" w:rsidRPr="00CF31E0" w:rsidRDefault="00A23C2A" w:rsidP="00603CB7">
            <w:pPr>
              <w:widowControl w:val="0"/>
              <w:autoSpaceDE w:val="0"/>
              <w:autoSpaceDN w:val="0"/>
              <w:adjustRightInd w:val="0"/>
              <w:spacing w:after="120" w:line="360"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.40041</w:t>
            </w:r>
          </w:p>
        </w:tc>
      </w:tr>
    </w:tbl>
    <w:p w14:paraId="25F9982D" w14:textId="0B1AE3CC" w:rsidR="00A23C2A" w:rsidRPr="00CF31E0" w:rsidRDefault="00A23C2A" w:rsidP="00F97841">
      <w:pPr>
        <w:pStyle w:val="Tablecaption"/>
        <w:rPr>
          <w:lang w:eastAsia="en-US"/>
        </w:rPr>
      </w:pPr>
      <w:bookmarkStart w:id="702" w:name="_Toc6473131"/>
      <w:bookmarkStart w:id="703" w:name="_Toc522527458"/>
      <w:bookmarkStart w:id="704" w:name="_Toc522628870"/>
      <w:bookmarkStart w:id="705" w:name="_Toc522629034"/>
      <w:r w:rsidRPr="00CF31E0">
        <w:rPr>
          <w:lang w:eastAsia="en-US"/>
        </w:rPr>
        <w:t xml:space="preserve">Table </w:t>
      </w:r>
      <w:r w:rsidR="007F3BE4" w:rsidRPr="00CF31E0">
        <w:rPr>
          <w:lang w:eastAsia="en-US"/>
        </w:rPr>
        <w:t>9</w:t>
      </w:r>
      <w:r w:rsidR="002B17DE" w:rsidRPr="00CF31E0">
        <w:rPr>
          <w:lang w:eastAsia="en-US"/>
        </w:rPr>
        <w:t>.</w:t>
      </w:r>
      <w:r w:rsidR="00871021" w:rsidRPr="00CF31E0">
        <w:rPr>
          <w:lang w:eastAsia="en-US"/>
        </w:rPr>
        <w:t>22</w:t>
      </w:r>
      <w:r w:rsidRPr="00CF31E0">
        <w:rPr>
          <w:lang w:eastAsia="en-US"/>
        </w:rPr>
        <w:t xml:space="preserve">: </w:t>
      </w:r>
      <w:r w:rsidR="002B17DE" w:rsidRPr="00CF31E0">
        <w:rPr>
          <w:lang w:eastAsia="en-US"/>
        </w:rPr>
        <w:t>D</w:t>
      </w:r>
      <w:r w:rsidRPr="00CF31E0">
        <w:rPr>
          <w:lang w:eastAsia="en-US"/>
        </w:rPr>
        <w:t>escriptive statistics</w:t>
      </w:r>
      <w:r w:rsidR="009E356D">
        <w:rPr>
          <w:lang w:eastAsia="en-US"/>
        </w:rPr>
        <w:t xml:space="preserve"> for the place</w:t>
      </w:r>
      <w:r w:rsidR="00F97841">
        <w:rPr>
          <w:lang w:eastAsia="en-US"/>
        </w:rPr>
        <w:t>s</w:t>
      </w:r>
      <w:r w:rsidR="009E356D">
        <w:rPr>
          <w:lang w:eastAsia="en-US"/>
        </w:rPr>
        <w:t xml:space="preserve"> lived demographic variable.</w:t>
      </w:r>
      <w:bookmarkEnd w:id="702"/>
      <w:bookmarkEnd w:id="703"/>
      <w:bookmarkEnd w:id="704"/>
      <w:bookmarkEnd w:id="705"/>
      <w:r w:rsidRPr="00CF31E0">
        <w:rPr>
          <w:lang w:eastAsia="en-US"/>
        </w:rPr>
        <w:t xml:space="preserve"> </w:t>
      </w:r>
    </w:p>
    <w:p w14:paraId="734FB4AF" w14:textId="5A6C35D1" w:rsidR="00A23C2A" w:rsidRPr="00CF31E0" w:rsidRDefault="00A23C2A" w:rsidP="00603CB7">
      <w:pPr>
        <w:pStyle w:val="Paragraph"/>
        <w:rPr>
          <w:lang w:val="en-US" w:eastAsia="en-US"/>
        </w:rPr>
      </w:pPr>
      <w:r w:rsidRPr="00CF31E0">
        <w:rPr>
          <w:lang w:eastAsia="en-US"/>
        </w:rPr>
        <w:t xml:space="preserve">Table </w:t>
      </w:r>
      <w:r w:rsidR="007F3BE4" w:rsidRPr="00CF31E0">
        <w:rPr>
          <w:lang w:eastAsia="en-US"/>
        </w:rPr>
        <w:t>9</w:t>
      </w:r>
      <w:r w:rsidR="002B17DE" w:rsidRPr="00CF31E0">
        <w:rPr>
          <w:lang w:eastAsia="en-US"/>
        </w:rPr>
        <w:t>.</w:t>
      </w:r>
      <w:r w:rsidR="00871021" w:rsidRPr="00CF31E0">
        <w:rPr>
          <w:lang w:eastAsia="en-US"/>
        </w:rPr>
        <w:t>21</w:t>
      </w:r>
      <w:r w:rsidR="002B17DE" w:rsidRPr="00CF31E0">
        <w:rPr>
          <w:lang w:eastAsia="en-US"/>
        </w:rPr>
        <w:t xml:space="preserve"> </w:t>
      </w:r>
      <w:r w:rsidRPr="00CF31E0">
        <w:rPr>
          <w:lang w:eastAsia="en-US"/>
        </w:rPr>
        <w:t xml:space="preserve">illustrates that the ANOVA result is statistically significant. </w:t>
      </w:r>
      <w:r w:rsidR="00871021" w:rsidRPr="00CF31E0">
        <w:rPr>
          <w:lang w:eastAsia="en-US"/>
        </w:rPr>
        <w:t xml:space="preserve">Table </w:t>
      </w:r>
      <w:r w:rsidR="009E356D">
        <w:rPr>
          <w:lang w:eastAsia="en-US"/>
        </w:rPr>
        <w:t>9</w:t>
      </w:r>
      <w:r w:rsidR="00871021" w:rsidRPr="00CF31E0">
        <w:rPr>
          <w:lang w:eastAsia="en-US"/>
        </w:rPr>
        <w:t>.22</w:t>
      </w:r>
      <w:r w:rsidRPr="00CF31E0">
        <w:rPr>
          <w:lang w:eastAsia="en-US"/>
        </w:rPr>
        <w:t xml:space="preserve"> illustrates that </w:t>
      </w:r>
      <w:r w:rsidRPr="00CF31E0">
        <w:rPr>
          <w:lang w:val="en-US" w:eastAsia="en-US"/>
        </w:rPr>
        <w:t xml:space="preserve">the mean value for the group who lived inside Hijaz for the last ten years is 2.3823, while it is 3.1818 for the group lived outside Hijaz in the last 10 years. Accordingly, the two groups have different perceptions regarding the </w:t>
      </w:r>
      <w:r w:rsidR="00FA5614" w:rsidRPr="00CF31E0">
        <w:rPr>
          <w:lang w:val="en-US" w:eastAsia="en-US"/>
        </w:rPr>
        <w:t>traditional factor of the HH</w:t>
      </w:r>
      <w:r w:rsidRPr="00CF31E0">
        <w:rPr>
          <w:lang w:val="en-US" w:eastAsia="en-US"/>
        </w:rPr>
        <w:t xml:space="preserve"> dialect. The group lived outside Hijaz perceives it more traditional dialect than the group lived inside Hijaz. </w:t>
      </w:r>
    </w:p>
    <w:p w14:paraId="7910A4C2" w14:textId="45BF17E3" w:rsidR="00A23C2A" w:rsidRPr="00CF31E0" w:rsidRDefault="007F3BE4" w:rsidP="00DE7711">
      <w:pPr>
        <w:pStyle w:val="Bhead"/>
      </w:pPr>
      <w:bookmarkStart w:id="706" w:name="_Toc502437235"/>
      <w:bookmarkStart w:id="707" w:name="_Toc6472756"/>
      <w:r w:rsidRPr="00CF31E0">
        <w:t>9</w:t>
      </w:r>
      <w:r w:rsidR="002B17DE" w:rsidRPr="00CF31E0">
        <w:t>.6.</w:t>
      </w:r>
      <w:r w:rsidR="006C7EF6" w:rsidRPr="00CF31E0">
        <w:t>2</w:t>
      </w:r>
      <w:r w:rsidR="002B17DE" w:rsidRPr="00CF31E0">
        <w:t>.</w:t>
      </w:r>
      <w:r w:rsidR="00871021" w:rsidRPr="00CF31E0">
        <w:tab/>
      </w:r>
      <w:r w:rsidR="00A23C2A" w:rsidRPr="00CF31E0">
        <w:t xml:space="preserve">Effects of demographic variables on </w:t>
      </w:r>
      <w:r w:rsidR="001F5F37" w:rsidRPr="00CF31E0">
        <w:t>both factors in UBH and HH dialect; from HH</w:t>
      </w:r>
      <w:r w:rsidR="00A23C2A" w:rsidRPr="00CF31E0">
        <w:t xml:space="preserve"> participants</w:t>
      </w:r>
      <w:bookmarkEnd w:id="706"/>
      <w:bookmarkEnd w:id="707"/>
    </w:p>
    <w:p w14:paraId="0E8DB1FF" w14:textId="0045861E" w:rsidR="00A23C2A" w:rsidRPr="00CF31E0" w:rsidRDefault="00A23C2A" w:rsidP="00603CB7">
      <w:pPr>
        <w:pStyle w:val="Paragraph"/>
      </w:pPr>
      <w:r w:rsidRPr="00CF31E0">
        <w:t>No significant differences were found for any factor w</w:t>
      </w:r>
      <w:r w:rsidR="001F5F37" w:rsidRPr="00CF31E0">
        <w:t>ithin each dialect in the HH</w:t>
      </w:r>
      <w:r w:rsidRPr="00CF31E0">
        <w:t xml:space="preserve"> participants’ data. This s</w:t>
      </w:r>
      <w:r w:rsidR="00FA5614" w:rsidRPr="00CF31E0">
        <w:t>upports the uniformity of HH</w:t>
      </w:r>
      <w:r w:rsidRPr="00CF31E0">
        <w:t xml:space="preserve"> participants’ perception</w:t>
      </w:r>
      <w:r w:rsidR="00FA5614" w:rsidRPr="00CF31E0">
        <w:t>s towards the UBH and HH</w:t>
      </w:r>
      <w:r w:rsidRPr="00CF31E0">
        <w:t xml:space="preserve"> dialects. </w:t>
      </w:r>
    </w:p>
    <w:p w14:paraId="6A43E6B0" w14:textId="4DBA49F6" w:rsidR="008B5676" w:rsidRPr="00CF31E0" w:rsidRDefault="00A23C2A" w:rsidP="00DB766A">
      <w:pPr>
        <w:pStyle w:val="Paragraph"/>
      </w:pPr>
      <w:r w:rsidRPr="00CF31E0">
        <w:t xml:space="preserve">Table </w:t>
      </w:r>
      <w:r w:rsidR="007F3BE4" w:rsidRPr="00CF31E0">
        <w:t>9</w:t>
      </w:r>
      <w:r w:rsidR="002B17DE" w:rsidRPr="00CF31E0">
        <w:t>.</w:t>
      </w:r>
      <w:r w:rsidR="00871021" w:rsidRPr="00CF31E0">
        <w:t>23</w:t>
      </w:r>
      <w:r w:rsidRPr="00CF31E0">
        <w:t xml:space="preserve"> summarize</w:t>
      </w:r>
      <w:r w:rsidR="000701AB" w:rsidRPr="00CF31E0">
        <w:t>s</w:t>
      </w:r>
      <w:r w:rsidRPr="00CF31E0">
        <w:t xml:space="preserve"> all of the demographic variables that present significant results in relation to the depend</w:t>
      </w:r>
      <w:r w:rsidR="00515E30" w:rsidRPr="00CF31E0">
        <w:t>e</w:t>
      </w:r>
      <w:r w:rsidRPr="00CF31E0">
        <w:t>nt factors within each dialect.</w:t>
      </w:r>
    </w:p>
    <w:tbl>
      <w:tblPr>
        <w:tblW w:w="0" w:type="auto"/>
        <w:tblBorders>
          <w:top w:val="single" w:sz="4" w:space="0" w:color="auto"/>
          <w:bottom w:val="single" w:sz="4" w:space="0" w:color="auto"/>
        </w:tblBorders>
        <w:tblLook w:val="0000" w:firstRow="0" w:lastRow="0" w:firstColumn="0" w:lastColumn="0" w:noHBand="0" w:noVBand="0"/>
      </w:tblPr>
      <w:tblGrid>
        <w:gridCol w:w="1695"/>
        <w:gridCol w:w="1833"/>
        <w:gridCol w:w="2097"/>
        <w:gridCol w:w="1942"/>
      </w:tblGrid>
      <w:tr w:rsidR="007F558A" w:rsidRPr="00CF31E0" w14:paraId="08B90691" w14:textId="77777777" w:rsidTr="00A23C2A">
        <w:trPr>
          <w:trHeight w:val="248"/>
        </w:trPr>
        <w:tc>
          <w:tcPr>
            <w:tcW w:w="1695" w:type="dxa"/>
            <w:tcBorders>
              <w:top w:val="single" w:sz="4" w:space="0" w:color="auto"/>
              <w:bottom w:val="single" w:sz="4" w:space="0" w:color="auto"/>
            </w:tcBorders>
          </w:tcPr>
          <w:p w14:paraId="247556FC" w14:textId="77777777" w:rsidR="00A23C2A" w:rsidRPr="00CF31E0" w:rsidRDefault="00A23C2A" w:rsidP="00603CB7">
            <w:pPr>
              <w:spacing w:before="120" w:after="120"/>
              <w:jc w:val="both"/>
              <w:rPr>
                <w:rFonts w:eastAsia="Times New Roman"/>
                <w:color w:val="000000" w:themeColor="text1"/>
                <w:sz w:val="22"/>
                <w:szCs w:val="22"/>
              </w:rPr>
            </w:pPr>
            <w:r w:rsidRPr="00CF31E0">
              <w:rPr>
                <w:rFonts w:eastAsia="Times New Roman"/>
                <w:color w:val="000000" w:themeColor="text1"/>
                <w:sz w:val="22"/>
                <w:szCs w:val="22"/>
              </w:rPr>
              <w:t>Demographics</w:t>
            </w:r>
          </w:p>
        </w:tc>
        <w:tc>
          <w:tcPr>
            <w:tcW w:w="1833" w:type="dxa"/>
            <w:tcBorders>
              <w:top w:val="single" w:sz="4" w:space="0" w:color="auto"/>
              <w:bottom w:val="single" w:sz="4" w:space="0" w:color="auto"/>
            </w:tcBorders>
          </w:tcPr>
          <w:p w14:paraId="4496BB9E" w14:textId="77777777" w:rsidR="00A23C2A" w:rsidRPr="00CF31E0" w:rsidRDefault="00A23C2A" w:rsidP="00603CB7">
            <w:pPr>
              <w:spacing w:before="120" w:after="120"/>
              <w:jc w:val="both"/>
              <w:rPr>
                <w:rFonts w:eastAsia="Times New Roman"/>
                <w:color w:val="000000" w:themeColor="text1"/>
                <w:sz w:val="22"/>
                <w:szCs w:val="22"/>
              </w:rPr>
            </w:pPr>
            <w:r w:rsidRPr="00CF31E0">
              <w:rPr>
                <w:rFonts w:eastAsia="Times New Roman"/>
                <w:color w:val="000000" w:themeColor="text1"/>
                <w:sz w:val="22"/>
                <w:szCs w:val="22"/>
              </w:rPr>
              <w:t>Participant group</w:t>
            </w:r>
          </w:p>
        </w:tc>
        <w:tc>
          <w:tcPr>
            <w:tcW w:w="2097" w:type="dxa"/>
            <w:tcBorders>
              <w:top w:val="single" w:sz="4" w:space="0" w:color="auto"/>
              <w:bottom w:val="single" w:sz="4" w:space="0" w:color="auto"/>
            </w:tcBorders>
          </w:tcPr>
          <w:p w14:paraId="65A86D78" w14:textId="77777777" w:rsidR="00A23C2A" w:rsidRPr="00CF31E0" w:rsidRDefault="00A23C2A" w:rsidP="00603CB7">
            <w:pPr>
              <w:spacing w:before="120" w:after="120"/>
              <w:jc w:val="both"/>
              <w:rPr>
                <w:rFonts w:eastAsia="Times New Roman"/>
                <w:color w:val="000000" w:themeColor="text1"/>
                <w:sz w:val="22"/>
                <w:szCs w:val="22"/>
              </w:rPr>
            </w:pPr>
            <w:r w:rsidRPr="00CF31E0">
              <w:rPr>
                <w:rFonts w:eastAsia="Times New Roman"/>
                <w:color w:val="000000" w:themeColor="text1"/>
                <w:sz w:val="22"/>
                <w:szCs w:val="22"/>
              </w:rPr>
              <w:t>Dialect group</w:t>
            </w:r>
          </w:p>
        </w:tc>
        <w:tc>
          <w:tcPr>
            <w:tcW w:w="1942" w:type="dxa"/>
            <w:tcBorders>
              <w:top w:val="single" w:sz="4" w:space="0" w:color="auto"/>
              <w:bottom w:val="single" w:sz="4" w:space="0" w:color="auto"/>
            </w:tcBorders>
          </w:tcPr>
          <w:p w14:paraId="097C82F7" w14:textId="77777777" w:rsidR="00A23C2A" w:rsidRPr="00CF31E0" w:rsidRDefault="00A23C2A" w:rsidP="00603CB7">
            <w:pPr>
              <w:spacing w:before="120" w:after="120"/>
              <w:jc w:val="both"/>
              <w:rPr>
                <w:rFonts w:eastAsia="Times New Roman"/>
                <w:color w:val="000000" w:themeColor="text1"/>
                <w:sz w:val="22"/>
                <w:szCs w:val="22"/>
              </w:rPr>
            </w:pPr>
            <w:r w:rsidRPr="00CF31E0">
              <w:rPr>
                <w:rFonts w:eastAsia="Times New Roman"/>
                <w:color w:val="000000" w:themeColor="text1"/>
                <w:sz w:val="22"/>
                <w:szCs w:val="22"/>
              </w:rPr>
              <w:t>Factor</w:t>
            </w:r>
          </w:p>
        </w:tc>
      </w:tr>
      <w:tr w:rsidR="007F558A" w:rsidRPr="00CF31E0" w14:paraId="42978B5A" w14:textId="77777777" w:rsidTr="00603CB7">
        <w:trPr>
          <w:trHeight w:val="351"/>
        </w:trPr>
        <w:tc>
          <w:tcPr>
            <w:tcW w:w="1695" w:type="dxa"/>
            <w:tcBorders>
              <w:top w:val="single" w:sz="4" w:space="0" w:color="auto"/>
              <w:bottom w:val="nil"/>
            </w:tcBorders>
          </w:tcPr>
          <w:p w14:paraId="3D3D8B12" w14:textId="77777777" w:rsidR="00A23C2A" w:rsidRPr="00CF31E0" w:rsidRDefault="00A23C2A" w:rsidP="00603CB7">
            <w:pPr>
              <w:spacing w:before="120" w:after="120"/>
              <w:jc w:val="both"/>
              <w:rPr>
                <w:rFonts w:eastAsia="Times New Roman"/>
                <w:color w:val="000000" w:themeColor="text1"/>
                <w:sz w:val="22"/>
                <w:szCs w:val="22"/>
              </w:rPr>
            </w:pPr>
            <w:r w:rsidRPr="00CF31E0">
              <w:rPr>
                <w:rFonts w:eastAsia="Times New Roman"/>
                <w:color w:val="000000" w:themeColor="text1"/>
                <w:sz w:val="22"/>
                <w:szCs w:val="22"/>
              </w:rPr>
              <w:t>Gender</w:t>
            </w:r>
          </w:p>
        </w:tc>
        <w:tc>
          <w:tcPr>
            <w:tcW w:w="1833" w:type="dxa"/>
            <w:tcBorders>
              <w:top w:val="single" w:sz="4" w:space="0" w:color="auto"/>
              <w:bottom w:val="nil"/>
            </w:tcBorders>
          </w:tcPr>
          <w:p w14:paraId="7D0CF353" w14:textId="3EE6ED02" w:rsidR="00A23C2A" w:rsidRPr="00CF31E0" w:rsidRDefault="00FA5614" w:rsidP="00603CB7">
            <w:pPr>
              <w:spacing w:before="120" w:after="120"/>
              <w:jc w:val="both"/>
              <w:rPr>
                <w:rFonts w:eastAsia="Times New Roman"/>
                <w:color w:val="000000" w:themeColor="text1"/>
                <w:sz w:val="22"/>
                <w:szCs w:val="22"/>
              </w:rPr>
            </w:pPr>
            <w:r w:rsidRPr="00CF31E0">
              <w:rPr>
                <w:rFonts w:eastAsia="Times New Roman"/>
                <w:color w:val="000000" w:themeColor="text1"/>
                <w:sz w:val="22"/>
                <w:szCs w:val="22"/>
              </w:rPr>
              <w:t>UBH</w:t>
            </w:r>
          </w:p>
        </w:tc>
        <w:tc>
          <w:tcPr>
            <w:tcW w:w="2097" w:type="dxa"/>
            <w:tcBorders>
              <w:top w:val="single" w:sz="4" w:space="0" w:color="auto"/>
              <w:bottom w:val="nil"/>
            </w:tcBorders>
          </w:tcPr>
          <w:p w14:paraId="74DFA36C" w14:textId="4AD81A51" w:rsidR="00A23C2A" w:rsidRPr="00CF31E0" w:rsidRDefault="00FA5614" w:rsidP="00603CB7">
            <w:pPr>
              <w:spacing w:before="120" w:after="120"/>
              <w:jc w:val="both"/>
              <w:rPr>
                <w:rFonts w:eastAsia="Times New Roman"/>
                <w:color w:val="000000" w:themeColor="text1"/>
                <w:sz w:val="22"/>
                <w:szCs w:val="22"/>
              </w:rPr>
            </w:pPr>
            <w:r w:rsidRPr="00CF31E0">
              <w:rPr>
                <w:rFonts w:eastAsia="Times New Roman"/>
                <w:color w:val="000000" w:themeColor="text1"/>
                <w:sz w:val="22"/>
                <w:szCs w:val="22"/>
              </w:rPr>
              <w:t>UBH</w:t>
            </w:r>
          </w:p>
        </w:tc>
        <w:tc>
          <w:tcPr>
            <w:tcW w:w="1942" w:type="dxa"/>
            <w:tcBorders>
              <w:top w:val="single" w:sz="4" w:space="0" w:color="auto"/>
              <w:bottom w:val="nil"/>
            </w:tcBorders>
          </w:tcPr>
          <w:p w14:paraId="428D5235" w14:textId="77777777" w:rsidR="00A23C2A" w:rsidRPr="00CF31E0" w:rsidRDefault="00A23C2A" w:rsidP="00603CB7">
            <w:pPr>
              <w:spacing w:before="120" w:after="120"/>
              <w:jc w:val="both"/>
              <w:rPr>
                <w:rFonts w:eastAsia="Times New Roman"/>
                <w:color w:val="000000" w:themeColor="text1"/>
                <w:sz w:val="22"/>
                <w:szCs w:val="22"/>
              </w:rPr>
            </w:pPr>
            <w:r w:rsidRPr="00CF31E0">
              <w:rPr>
                <w:rFonts w:eastAsia="Times New Roman"/>
                <w:color w:val="000000" w:themeColor="text1"/>
                <w:sz w:val="22"/>
                <w:szCs w:val="22"/>
              </w:rPr>
              <w:t>Modern factor</w:t>
            </w:r>
          </w:p>
        </w:tc>
      </w:tr>
      <w:tr w:rsidR="007F558A" w:rsidRPr="00CF31E0" w14:paraId="7F90A262" w14:textId="77777777" w:rsidTr="00603CB7">
        <w:trPr>
          <w:trHeight w:val="540"/>
        </w:trPr>
        <w:tc>
          <w:tcPr>
            <w:tcW w:w="1695" w:type="dxa"/>
            <w:tcBorders>
              <w:top w:val="nil"/>
              <w:bottom w:val="single" w:sz="4" w:space="0" w:color="auto"/>
            </w:tcBorders>
          </w:tcPr>
          <w:p w14:paraId="4AC9DC34" w14:textId="77777777" w:rsidR="00A23C2A" w:rsidRPr="00CF31E0" w:rsidRDefault="00A23C2A" w:rsidP="00603CB7">
            <w:pPr>
              <w:spacing w:before="120" w:after="120"/>
              <w:jc w:val="both"/>
              <w:rPr>
                <w:rFonts w:eastAsia="Times New Roman"/>
                <w:color w:val="000000" w:themeColor="text1"/>
                <w:sz w:val="22"/>
                <w:szCs w:val="22"/>
              </w:rPr>
            </w:pPr>
            <w:r w:rsidRPr="00CF31E0">
              <w:rPr>
                <w:rFonts w:eastAsia="Times New Roman"/>
                <w:color w:val="000000" w:themeColor="text1"/>
                <w:sz w:val="22"/>
                <w:szCs w:val="22"/>
              </w:rPr>
              <w:t>Places lived</w:t>
            </w:r>
          </w:p>
        </w:tc>
        <w:tc>
          <w:tcPr>
            <w:tcW w:w="1833" w:type="dxa"/>
            <w:tcBorders>
              <w:top w:val="nil"/>
              <w:bottom w:val="single" w:sz="4" w:space="0" w:color="auto"/>
            </w:tcBorders>
          </w:tcPr>
          <w:p w14:paraId="3D118EEF" w14:textId="20A7F36C" w:rsidR="00A23C2A" w:rsidRPr="00CF31E0" w:rsidRDefault="00FA5614" w:rsidP="00603CB7">
            <w:pPr>
              <w:spacing w:before="120" w:after="120"/>
              <w:jc w:val="both"/>
              <w:rPr>
                <w:rFonts w:eastAsia="Times New Roman"/>
                <w:color w:val="000000" w:themeColor="text1"/>
                <w:sz w:val="22"/>
                <w:szCs w:val="22"/>
              </w:rPr>
            </w:pPr>
            <w:r w:rsidRPr="00CF31E0">
              <w:rPr>
                <w:rFonts w:eastAsia="Times New Roman"/>
                <w:color w:val="000000" w:themeColor="text1"/>
                <w:sz w:val="22"/>
                <w:szCs w:val="22"/>
              </w:rPr>
              <w:t>UBH</w:t>
            </w:r>
          </w:p>
        </w:tc>
        <w:tc>
          <w:tcPr>
            <w:tcW w:w="2097" w:type="dxa"/>
            <w:tcBorders>
              <w:top w:val="nil"/>
              <w:bottom w:val="single" w:sz="4" w:space="0" w:color="auto"/>
            </w:tcBorders>
          </w:tcPr>
          <w:p w14:paraId="65A52AB5" w14:textId="2A4804FA" w:rsidR="00A23C2A" w:rsidRPr="00CF31E0" w:rsidRDefault="00A23C2A" w:rsidP="00603CB7">
            <w:pPr>
              <w:spacing w:before="120" w:after="120"/>
              <w:jc w:val="both"/>
              <w:rPr>
                <w:rFonts w:eastAsia="Times New Roman"/>
                <w:color w:val="000000" w:themeColor="text1"/>
                <w:sz w:val="22"/>
                <w:szCs w:val="22"/>
              </w:rPr>
            </w:pPr>
            <w:r w:rsidRPr="00CF31E0">
              <w:rPr>
                <w:rFonts w:eastAsia="Times New Roman"/>
                <w:color w:val="000000" w:themeColor="text1"/>
                <w:sz w:val="22"/>
                <w:szCs w:val="22"/>
              </w:rPr>
              <w:t>H</w:t>
            </w:r>
            <w:r w:rsidR="00FA5614" w:rsidRPr="00CF31E0">
              <w:rPr>
                <w:rFonts w:eastAsia="Times New Roman"/>
                <w:color w:val="000000" w:themeColor="text1"/>
                <w:sz w:val="22"/>
                <w:szCs w:val="22"/>
              </w:rPr>
              <w:t>H</w:t>
            </w:r>
          </w:p>
        </w:tc>
        <w:tc>
          <w:tcPr>
            <w:tcW w:w="1942" w:type="dxa"/>
            <w:tcBorders>
              <w:top w:val="nil"/>
              <w:bottom w:val="single" w:sz="4" w:space="0" w:color="auto"/>
            </w:tcBorders>
          </w:tcPr>
          <w:p w14:paraId="0C645153" w14:textId="77777777" w:rsidR="00A23C2A" w:rsidRPr="00CF31E0" w:rsidRDefault="00A23C2A" w:rsidP="00603CB7">
            <w:pPr>
              <w:spacing w:before="120" w:after="120"/>
              <w:jc w:val="both"/>
              <w:rPr>
                <w:rFonts w:eastAsia="Times New Roman"/>
                <w:color w:val="000000" w:themeColor="text1"/>
                <w:sz w:val="22"/>
                <w:szCs w:val="22"/>
              </w:rPr>
            </w:pPr>
            <w:r w:rsidRPr="00CF31E0">
              <w:rPr>
                <w:rFonts w:eastAsia="Times New Roman"/>
                <w:color w:val="000000" w:themeColor="text1"/>
                <w:sz w:val="22"/>
                <w:szCs w:val="22"/>
              </w:rPr>
              <w:t>Traditional factor</w:t>
            </w:r>
          </w:p>
        </w:tc>
      </w:tr>
    </w:tbl>
    <w:p w14:paraId="6AB28382" w14:textId="1E5B0AF4" w:rsidR="00A23C2A" w:rsidRPr="00CF31E0" w:rsidRDefault="00A23C2A" w:rsidP="007F3BE4">
      <w:pPr>
        <w:pStyle w:val="Tablecaption"/>
      </w:pPr>
      <w:bookmarkStart w:id="708" w:name="_Toc522527459"/>
      <w:bookmarkStart w:id="709" w:name="_Toc522628871"/>
      <w:bookmarkStart w:id="710" w:name="_Toc522629035"/>
      <w:bookmarkStart w:id="711" w:name="_Toc6473132"/>
      <w:r w:rsidRPr="00CF31E0">
        <w:t xml:space="preserve">Table </w:t>
      </w:r>
      <w:r w:rsidR="007F3BE4" w:rsidRPr="00CF31E0">
        <w:t>9</w:t>
      </w:r>
      <w:r w:rsidR="002B17DE" w:rsidRPr="00CF31E0">
        <w:t>.</w:t>
      </w:r>
      <w:r w:rsidR="00871021" w:rsidRPr="00CF31E0">
        <w:t>23</w:t>
      </w:r>
      <w:r w:rsidRPr="00CF31E0">
        <w:t>: Summary of ANOVA results.</w:t>
      </w:r>
      <w:bookmarkEnd w:id="708"/>
      <w:bookmarkEnd w:id="709"/>
      <w:bookmarkEnd w:id="710"/>
      <w:bookmarkEnd w:id="711"/>
      <w:r w:rsidRPr="00CF31E0">
        <w:t xml:space="preserve"> </w:t>
      </w:r>
    </w:p>
    <w:p w14:paraId="1359F6AD" w14:textId="25BFEA17" w:rsidR="00A23C2A" w:rsidRPr="00CF31E0" w:rsidRDefault="00A23C2A" w:rsidP="00603CB7">
      <w:pPr>
        <w:pStyle w:val="Paragraph"/>
      </w:pPr>
      <w:r w:rsidRPr="00CF31E0">
        <w:t xml:space="preserve">As can be seen from Table </w:t>
      </w:r>
      <w:r w:rsidR="007F3BE4" w:rsidRPr="00CF31E0">
        <w:t>9</w:t>
      </w:r>
      <w:r w:rsidR="002B17DE" w:rsidRPr="00CF31E0">
        <w:t>.</w:t>
      </w:r>
      <w:r w:rsidR="00871021" w:rsidRPr="00CF31E0">
        <w:t>23</w:t>
      </w:r>
      <w:r w:rsidR="002B17DE" w:rsidRPr="00CF31E0">
        <w:t xml:space="preserve"> </w:t>
      </w:r>
      <w:r w:rsidRPr="00CF31E0">
        <w:t xml:space="preserve">above, relatively few demographic variables have significant differences in their categories towards perceptions of each dialect. It is evident that the data seem to reveal a consistency in the perceptions of each dialect by most demographic variables.  </w:t>
      </w:r>
    </w:p>
    <w:p w14:paraId="7D58F57A" w14:textId="4E8437B7" w:rsidR="00A23C2A" w:rsidRPr="00CF31E0" w:rsidRDefault="007F3BE4" w:rsidP="00E87209">
      <w:pPr>
        <w:pStyle w:val="Ahead"/>
        <w:rPr>
          <w:rFonts w:eastAsia="Times New Roman"/>
        </w:rPr>
      </w:pPr>
      <w:bookmarkStart w:id="712" w:name="_Toc502437236"/>
      <w:bookmarkStart w:id="713" w:name="_Toc6472757"/>
      <w:r w:rsidRPr="00CF31E0">
        <w:rPr>
          <w:rFonts w:eastAsia="Times New Roman"/>
        </w:rPr>
        <w:lastRenderedPageBreak/>
        <w:t>9</w:t>
      </w:r>
      <w:r w:rsidR="002B17DE" w:rsidRPr="00CF31E0">
        <w:rPr>
          <w:rFonts w:eastAsia="Times New Roman"/>
        </w:rPr>
        <w:t>.7.</w:t>
      </w:r>
      <w:r w:rsidR="00871021" w:rsidRPr="00CF31E0">
        <w:rPr>
          <w:rFonts w:eastAsia="Times New Roman"/>
        </w:rPr>
        <w:tab/>
      </w:r>
      <w:r w:rsidR="00A23C2A" w:rsidRPr="00CF31E0">
        <w:rPr>
          <w:rFonts w:eastAsia="Times New Roman"/>
        </w:rPr>
        <w:t>Conclusion</w:t>
      </w:r>
      <w:bookmarkEnd w:id="712"/>
      <w:bookmarkEnd w:id="713"/>
      <w:r w:rsidR="00A23C2A" w:rsidRPr="00CF31E0">
        <w:rPr>
          <w:rFonts w:eastAsia="Times New Roman"/>
        </w:rPr>
        <w:t xml:space="preserve"> </w:t>
      </w:r>
    </w:p>
    <w:p w14:paraId="58CE5715" w14:textId="415A4CA2" w:rsidR="00A23C2A" w:rsidRPr="00CF31E0" w:rsidRDefault="00A23C2A" w:rsidP="00603CB7">
      <w:pPr>
        <w:pStyle w:val="Paragraph"/>
      </w:pPr>
      <w:r w:rsidRPr="00CF31E0">
        <w:t>This chapter has presented the results that were derived from refining, reducing and comparing the data. When refining the data, seven variables were removed from the scale because they are not internally consistent with other variables. In the data</w:t>
      </w:r>
      <w:r w:rsidR="00C86BDA" w:rsidRPr="00CF31E0">
        <w:t>-reduction</w:t>
      </w:r>
      <w:r w:rsidRPr="00CF31E0">
        <w:t xml:space="preserve"> results, variables were divided into two separate factors: modern factor and traditional factor. In the comparison results, on the one hand, the modern factor has been proved </w:t>
      </w:r>
      <w:r w:rsidR="00C03B82" w:rsidRPr="00CF31E0">
        <w:t>to be associated with the HH</w:t>
      </w:r>
      <w:r w:rsidRPr="00CF31E0">
        <w:t xml:space="preserve"> dialect, as it was perceived as such by participants from both s</w:t>
      </w:r>
      <w:r w:rsidR="00C03B82" w:rsidRPr="00CF31E0">
        <w:t>ocial groups (i.e. UBH and HH</w:t>
      </w:r>
      <w:r w:rsidRPr="00CF31E0">
        <w:t>). On the other hand, the traditional factor is al</w:t>
      </w:r>
      <w:r w:rsidR="00C03B82" w:rsidRPr="00CF31E0">
        <w:t>ways associated with the UBH</w:t>
      </w:r>
      <w:r w:rsidRPr="00CF31E0">
        <w:t xml:space="preserve"> dialect, as it was perceived a</w:t>
      </w:r>
      <w:r w:rsidR="00C03B82" w:rsidRPr="00CF31E0">
        <w:t>s such by the UBH and HH</w:t>
      </w:r>
      <w:r w:rsidRPr="00CF31E0">
        <w:t xml:space="preserve"> social groups. Moreover, a few demographic variables have effects on the factor scores, which suggests a homogeneity of perceptions from all participants across all demographic variables.</w:t>
      </w:r>
    </w:p>
    <w:p w14:paraId="2C0C2F9C" w14:textId="31521DAC" w:rsidR="00A23C2A" w:rsidRPr="00CF31E0" w:rsidRDefault="00A23C2A" w:rsidP="00603CB7">
      <w:pPr>
        <w:pStyle w:val="Paragraph"/>
      </w:pPr>
      <w:r w:rsidRPr="00CF31E0">
        <w:t>To sum up, two main findings have emerged: first, the modern characteristics of dialects were a</w:t>
      </w:r>
      <w:r w:rsidR="00C03B82" w:rsidRPr="00CF31E0">
        <w:t>ssociated mostly with the HH</w:t>
      </w:r>
      <w:r w:rsidRPr="00CF31E0">
        <w:t xml:space="preserve"> dialect, and the traditional characteristics of dialects </w:t>
      </w:r>
      <w:r w:rsidR="00C03B82" w:rsidRPr="00CF31E0">
        <w:t>were associated with the UBH</w:t>
      </w:r>
      <w:r w:rsidRPr="00CF31E0">
        <w:t xml:space="preserve"> dialect. Second, the two dimensions behind the language attitudes in the region were revealed as follows: modern and traditional. The results of this research question will be discussed in depth in the following chapter, which will shed some light on the potential contribution and implication of the results.  </w:t>
      </w:r>
    </w:p>
    <w:p w14:paraId="36AC305D" w14:textId="77777777" w:rsidR="00A23C2A" w:rsidRPr="00CF31E0" w:rsidRDefault="00A23C2A" w:rsidP="00A23C2A">
      <w:pPr>
        <w:tabs>
          <w:tab w:val="left" w:pos="9062"/>
        </w:tabs>
        <w:spacing w:before="120" w:after="240" w:line="360" w:lineRule="auto"/>
        <w:jc w:val="both"/>
        <w:rPr>
          <w:rFonts w:eastAsia="Times New Roman"/>
          <w:color w:val="000000" w:themeColor="text1"/>
        </w:rPr>
        <w:sectPr w:rsidR="00A23C2A" w:rsidRPr="00CF31E0" w:rsidSect="00603CB7">
          <w:footerReference w:type="default" r:id="rId36"/>
          <w:pgSz w:w="11906" w:h="16838"/>
          <w:pgMar w:top="1440" w:right="2268" w:bottom="1440" w:left="2268" w:header="709" w:footer="709" w:gutter="0"/>
          <w:cols w:space="708"/>
          <w:docGrid w:linePitch="360"/>
        </w:sectPr>
      </w:pPr>
    </w:p>
    <w:p w14:paraId="52621B36" w14:textId="0BF9D26E" w:rsidR="00A23C2A" w:rsidRPr="00CF31E0" w:rsidRDefault="00376DBC" w:rsidP="007F3BE4">
      <w:pPr>
        <w:pStyle w:val="Title"/>
        <w:rPr>
          <w:rFonts w:eastAsia="SimSun"/>
          <w:color w:val="000000" w:themeColor="text1"/>
          <w:lang w:eastAsia="zh-CN"/>
        </w:rPr>
      </w:pPr>
      <w:bookmarkStart w:id="714" w:name="_Toc503383070"/>
      <w:bookmarkStart w:id="715" w:name="_Toc6472758"/>
      <w:r w:rsidRPr="00CF31E0">
        <w:rPr>
          <w:rFonts w:eastAsia="SimSun"/>
          <w:color w:val="000000" w:themeColor="text1"/>
          <w:lang w:eastAsia="zh-CN"/>
        </w:rPr>
        <w:lastRenderedPageBreak/>
        <w:t xml:space="preserve">Chapter </w:t>
      </w:r>
      <w:r w:rsidR="007F3BE4" w:rsidRPr="00CF31E0">
        <w:rPr>
          <w:rFonts w:eastAsia="SimSun"/>
          <w:color w:val="000000" w:themeColor="text1"/>
          <w:lang w:eastAsia="zh-CN"/>
        </w:rPr>
        <w:t>10</w:t>
      </w:r>
      <w:r w:rsidRPr="00CF31E0">
        <w:rPr>
          <w:rFonts w:eastAsia="SimSun"/>
          <w:color w:val="000000" w:themeColor="text1"/>
          <w:lang w:eastAsia="zh-CN"/>
        </w:rPr>
        <w:t xml:space="preserve">: </w:t>
      </w:r>
      <w:r w:rsidR="00A23C2A" w:rsidRPr="00CF31E0">
        <w:rPr>
          <w:rFonts w:eastAsia="SimSun"/>
          <w:color w:val="000000" w:themeColor="text1"/>
          <w:lang w:eastAsia="zh-CN"/>
        </w:rPr>
        <w:t>Discussion chapter for RQ2</w:t>
      </w:r>
      <w:bookmarkEnd w:id="714"/>
      <w:bookmarkEnd w:id="715"/>
    </w:p>
    <w:p w14:paraId="18BADA3C" w14:textId="0A0A6B94" w:rsidR="00A23C2A" w:rsidRPr="00CF31E0" w:rsidRDefault="007F3BE4" w:rsidP="00E87209">
      <w:pPr>
        <w:pStyle w:val="Ahead"/>
        <w:rPr>
          <w:rFonts w:eastAsia="SimSun"/>
        </w:rPr>
      </w:pPr>
      <w:bookmarkStart w:id="716" w:name="_Toc503383071"/>
      <w:bookmarkStart w:id="717" w:name="_Toc6472759"/>
      <w:r w:rsidRPr="00CF31E0">
        <w:rPr>
          <w:rFonts w:eastAsia="SimSun"/>
        </w:rPr>
        <w:t>10</w:t>
      </w:r>
      <w:r w:rsidR="00376DBC" w:rsidRPr="00CF31E0">
        <w:rPr>
          <w:rFonts w:eastAsia="SimSun"/>
        </w:rPr>
        <w:t>.1.</w:t>
      </w:r>
      <w:r w:rsidR="00B36FA3" w:rsidRPr="00CF31E0">
        <w:rPr>
          <w:rFonts w:eastAsia="SimSun"/>
        </w:rPr>
        <w:tab/>
      </w:r>
      <w:r w:rsidR="00A23C2A" w:rsidRPr="00CF31E0">
        <w:rPr>
          <w:rFonts w:eastAsia="SimSun"/>
        </w:rPr>
        <w:t>Introduction</w:t>
      </w:r>
      <w:bookmarkEnd w:id="716"/>
      <w:bookmarkEnd w:id="717"/>
      <w:r w:rsidR="00A23C2A" w:rsidRPr="00CF31E0">
        <w:rPr>
          <w:rFonts w:eastAsia="SimSun"/>
        </w:rPr>
        <w:t xml:space="preserve"> </w:t>
      </w:r>
    </w:p>
    <w:p w14:paraId="5352EDB0" w14:textId="112AD0AA" w:rsidR="00A23C2A" w:rsidRPr="00CF31E0" w:rsidRDefault="00A23C2A" w:rsidP="00603CB7">
      <w:pPr>
        <w:pStyle w:val="Paragraph"/>
        <w:rPr>
          <w:lang w:eastAsia="zh-CN"/>
        </w:rPr>
      </w:pPr>
      <w:r w:rsidRPr="00CF31E0">
        <w:rPr>
          <w:lang w:eastAsia="zh-CN"/>
        </w:rPr>
        <w:t xml:space="preserve">This chapter reflects on the main findings in relation to RQ2, discussing their implications for and contributions to research into the Saudi Hijazi dialect, as well as the broader field of research into language attitudes. The findings will be discussed by first referring to the background information of the Hijaz region, and they will then be related to the whole body of research conducted in the field </w:t>
      </w:r>
      <w:r w:rsidR="007B74AC" w:rsidRPr="00CF31E0">
        <w:rPr>
          <w:lang w:eastAsia="zh-CN"/>
        </w:rPr>
        <w:t xml:space="preserve">of </w:t>
      </w:r>
      <w:r w:rsidRPr="00CF31E0">
        <w:rPr>
          <w:lang w:eastAsia="zh-CN"/>
        </w:rPr>
        <w:t xml:space="preserve">language attitude studies. </w:t>
      </w:r>
    </w:p>
    <w:p w14:paraId="2F755420" w14:textId="29269E7F" w:rsidR="00A23C2A" w:rsidRPr="00CF31E0" w:rsidRDefault="00A23C2A" w:rsidP="00603CB7">
      <w:pPr>
        <w:pStyle w:val="Paragraph"/>
        <w:rPr>
          <w:lang w:eastAsia="zh-CN"/>
        </w:rPr>
      </w:pPr>
      <w:r w:rsidRPr="00CF31E0">
        <w:rPr>
          <w:lang w:eastAsia="zh-CN"/>
        </w:rPr>
        <w:t xml:space="preserve">The chapter </w:t>
      </w:r>
      <w:r w:rsidR="00376DBC" w:rsidRPr="00CF31E0">
        <w:rPr>
          <w:lang w:eastAsia="zh-CN"/>
        </w:rPr>
        <w:t>begins</w:t>
      </w:r>
      <w:r w:rsidRPr="00CF31E0">
        <w:rPr>
          <w:lang w:eastAsia="zh-CN"/>
        </w:rPr>
        <w:t xml:space="preserve"> with a brief summary of the main results obtained from RQ2. Second, it moves on to discuss the major findings of the present result</w:t>
      </w:r>
      <w:r w:rsidR="00376DBC" w:rsidRPr="00CF31E0">
        <w:rPr>
          <w:lang w:eastAsia="zh-CN"/>
        </w:rPr>
        <w:t>s,</w:t>
      </w:r>
      <w:r w:rsidRPr="00CF31E0">
        <w:rPr>
          <w:lang w:eastAsia="zh-CN"/>
        </w:rPr>
        <w:t xml:space="preserve"> </w:t>
      </w:r>
      <w:r w:rsidR="00376DBC" w:rsidRPr="00CF31E0">
        <w:rPr>
          <w:lang w:eastAsia="zh-CN"/>
        </w:rPr>
        <w:t>focusing on</w:t>
      </w:r>
      <w:r w:rsidRPr="00CF31E0">
        <w:rPr>
          <w:lang w:eastAsia="zh-CN"/>
        </w:rPr>
        <w:t xml:space="preserve"> the revealed modern and traditional dimensions in </w:t>
      </w:r>
      <w:r w:rsidR="00376DBC" w:rsidRPr="00CF31E0">
        <w:rPr>
          <w:lang w:eastAsia="zh-CN"/>
        </w:rPr>
        <w:t xml:space="preserve">the </w:t>
      </w:r>
      <w:r w:rsidRPr="00CF31E0">
        <w:rPr>
          <w:lang w:eastAsia="zh-CN"/>
        </w:rPr>
        <w:t xml:space="preserve">Hijazi dialect. </w:t>
      </w:r>
      <w:r w:rsidR="00376DBC" w:rsidRPr="00CF31E0">
        <w:rPr>
          <w:lang w:eastAsia="zh-CN"/>
        </w:rPr>
        <w:t>Third</w:t>
      </w:r>
      <w:r w:rsidRPr="00CF31E0">
        <w:rPr>
          <w:lang w:eastAsia="zh-CN"/>
        </w:rPr>
        <w:t xml:space="preserve">, it discusses the stereotypical associations of dialects </w:t>
      </w:r>
      <w:r w:rsidR="00EC0BEB" w:rsidRPr="00CF31E0">
        <w:rPr>
          <w:lang w:eastAsia="zh-CN"/>
        </w:rPr>
        <w:t xml:space="preserve">with </w:t>
      </w:r>
      <w:r w:rsidRPr="00CF31E0">
        <w:rPr>
          <w:lang w:eastAsia="zh-CN"/>
        </w:rPr>
        <w:t xml:space="preserve">modern and traditional dimensions. </w:t>
      </w:r>
      <w:r w:rsidR="00EC0BEB" w:rsidRPr="00CF31E0">
        <w:rPr>
          <w:lang w:eastAsia="zh-CN"/>
        </w:rPr>
        <w:t>Fourth</w:t>
      </w:r>
      <w:r w:rsidRPr="00CF31E0">
        <w:rPr>
          <w:lang w:eastAsia="zh-CN"/>
        </w:rPr>
        <w:t xml:space="preserve">, with a closer look </w:t>
      </w:r>
      <w:r w:rsidR="00EC0BEB" w:rsidRPr="00CF31E0">
        <w:rPr>
          <w:lang w:eastAsia="zh-CN"/>
        </w:rPr>
        <w:t xml:space="preserve">at </w:t>
      </w:r>
      <w:r w:rsidRPr="00CF31E0">
        <w:rPr>
          <w:lang w:eastAsia="zh-CN"/>
        </w:rPr>
        <w:t xml:space="preserve">the data, the </w:t>
      </w:r>
      <w:r w:rsidR="00EC0BEB" w:rsidRPr="00CF31E0">
        <w:rPr>
          <w:lang w:eastAsia="zh-CN"/>
        </w:rPr>
        <w:t>discussion focused on the</w:t>
      </w:r>
      <w:r w:rsidRPr="00CF31E0">
        <w:rPr>
          <w:lang w:eastAsia="zh-CN"/>
        </w:rPr>
        <w:t xml:space="preserve"> following three significant patterns</w:t>
      </w:r>
      <w:r w:rsidR="00EC0BEB" w:rsidRPr="00CF31E0">
        <w:rPr>
          <w:lang w:eastAsia="zh-CN"/>
        </w:rPr>
        <w:t xml:space="preserve">: </w:t>
      </w:r>
      <w:r w:rsidRPr="00CF31E0">
        <w:rPr>
          <w:lang w:eastAsia="zh-CN"/>
        </w:rPr>
        <w:t xml:space="preserve">linguistic security of UBH participants, the homogeneity of </w:t>
      </w:r>
      <w:r w:rsidR="00EC0BEB" w:rsidRPr="00CF31E0">
        <w:rPr>
          <w:lang w:eastAsia="zh-CN"/>
        </w:rPr>
        <w:t xml:space="preserve">the </w:t>
      </w:r>
      <w:r w:rsidRPr="00CF31E0">
        <w:rPr>
          <w:lang w:eastAsia="zh-CN"/>
        </w:rPr>
        <w:t xml:space="preserve">results and </w:t>
      </w:r>
      <w:r w:rsidR="00EC0BEB" w:rsidRPr="00CF31E0">
        <w:rPr>
          <w:lang w:eastAsia="zh-CN"/>
        </w:rPr>
        <w:t xml:space="preserve">the </w:t>
      </w:r>
      <w:r w:rsidRPr="00CF31E0">
        <w:rPr>
          <w:lang w:eastAsia="zh-CN"/>
        </w:rPr>
        <w:t xml:space="preserve">in-group loyalties of both UBH and HH participants. </w:t>
      </w:r>
    </w:p>
    <w:p w14:paraId="43292BA3" w14:textId="4CCDC749" w:rsidR="00A23C2A" w:rsidRPr="00CF31E0" w:rsidRDefault="007F3BE4" w:rsidP="00E87209">
      <w:pPr>
        <w:pStyle w:val="Ahead"/>
        <w:rPr>
          <w:rFonts w:eastAsia="SimSun"/>
        </w:rPr>
      </w:pPr>
      <w:bookmarkStart w:id="718" w:name="_Toc503383072"/>
      <w:bookmarkStart w:id="719" w:name="_Toc6472760"/>
      <w:r w:rsidRPr="00CF31E0">
        <w:rPr>
          <w:rFonts w:eastAsia="SimSun"/>
        </w:rPr>
        <w:t>10</w:t>
      </w:r>
      <w:r w:rsidR="00EC0BEB" w:rsidRPr="00CF31E0">
        <w:rPr>
          <w:rFonts w:eastAsia="SimSun"/>
        </w:rPr>
        <w:t>.2.</w:t>
      </w:r>
      <w:r w:rsidR="00B36FA3" w:rsidRPr="00CF31E0">
        <w:rPr>
          <w:rFonts w:eastAsia="SimSun"/>
        </w:rPr>
        <w:tab/>
      </w:r>
      <w:r w:rsidR="00A23C2A" w:rsidRPr="00CF31E0">
        <w:rPr>
          <w:rFonts w:eastAsia="SimSun"/>
        </w:rPr>
        <w:t>Summary of results</w:t>
      </w:r>
      <w:bookmarkEnd w:id="718"/>
      <w:bookmarkEnd w:id="719"/>
    </w:p>
    <w:p w14:paraId="1D7BE827" w14:textId="4487A43F" w:rsidR="00A23C2A" w:rsidRPr="00CF31E0" w:rsidRDefault="00EC0BEB" w:rsidP="00603CB7">
      <w:pPr>
        <w:pStyle w:val="Paragraph"/>
        <w:rPr>
          <w:lang w:eastAsia="zh-CN"/>
        </w:rPr>
      </w:pPr>
      <w:r w:rsidRPr="00CF31E0">
        <w:rPr>
          <w:lang w:eastAsia="zh-CN"/>
        </w:rPr>
        <w:t xml:space="preserve">The findings </w:t>
      </w:r>
      <w:r w:rsidR="00A23C2A" w:rsidRPr="00CF31E0">
        <w:rPr>
          <w:lang w:eastAsia="zh-CN"/>
        </w:rPr>
        <w:t xml:space="preserve">revealed a dichotomous pattern in respect to the conceptual dimensions that lie behind language attitudes in the region. This means that a clear modern/traditional dichotomy is apparent with a stereotypical association of the UBH dialect with the traditional factor and the HH dialect with the modern factor. </w:t>
      </w:r>
    </w:p>
    <w:p w14:paraId="3585F523" w14:textId="46A4880E" w:rsidR="00A23C2A" w:rsidRPr="00CF31E0" w:rsidRDefault="00A23C2A" w:rsidP="00603CB7">
      <w:pPr>
        <w:pStyle w:val="Paragraph"/>
        <w:rPr>
          <w:lang w:eastAsia="zh-CN"/>
        </w:rPr>
      </w:pPr>
      <w:r w:rsidRPr="00CF31E0">
        <w:rPr>
          <w:lang w:eastAsia="zh-CN"/>
        </w:rPr>
        <w:t xml:space="preserve">The linguistic security of UBH speakers is yet another interesting pattern that </w:t>
      </w:r>
      <w:r w:rsidR="00EC0BEB" w:rsidRPr="00CF31E0">
        <w:rPr>
          <w:lang w:eastAsia="zh-CN"/>
        </w:rPr>
        <w:t xml:space="preserve">shows why </w:t>
      </w:r>
      <w:r w:rsidRPr="00CF31E0">
        <w:rPr>
          <w:lang w:eastAsia="zh-CN"/>
        </w:rPr>
        <w:t xml:space="preserve">UBH dialect </w:t>
      </w:r>
      <w:r w:rsidR="00EC0BEB" w:rsidRPr="00CF31E0">
        <w:rPr>
          <w:lang w:eastAsia="zh-CN"/>
        </w:rPr>
        <w:t>was</w:t>
      </w:r>
      <w:r w:rsidRPr="00CF31E0">
        <w:rPr>
          <w:lang w:eastAsia="zh-CN"/>
        </w:rPr>
        <w:t xml:space="preserve"> rated highly in characteristics related to the linguistic security of a language/dialect. </w:t>
      </w:r>
    </w:p>
    <w:p w14:paraId="6F1A18CD" w14:textId="77777777" w:rsidR="00A23C2A" w:rsidRPr="00CF31E0" w:rsidRDefault="00A23C2A" w:rsidP="00603CB7">
      <w:pPr>
        <w:pStyle w:val="Paragraph"/>
        <w:rPr>
          <w:lang w:eastAsia="zh-CN"/>
        </w:rPr>
      </w:pPr>
      <w:r w:rsidRPr="00CF31E0">
        <w:rPr>
          <w:lang w:eastAsia="zh-CN"/>
        </w:rPr>
        <w:t xml:space="preserve">The homogeneity of the results across all participants in the study is another remarkable aspect of these findings. This means that participants from both social groups (i.e. UBH and HH) mostly associate the characteristics of </w:t>
      </w:r>
      <w:r w:rsidRPr="00CF31E0">
        <w:rPr>
          <w:lang w:eastAsia="zh-CN"/>
        </w:rPr>
        <w:lastRenderedPageBreak/>
        <w:t xml:space="preserve">modernity to the HH dialect, and the characteristics of traditionalism to the UBH dialect. </w:t>
      </w:r>
    </w:p>
    <w:p w14:paraId="57366F8D" w14:textId="1ED340DE" w:rsidR="00A23C2A" w:rsidRPr="00CF31E0" w:rsidRDefault="00EC0BEB" w:rsidP="00603CB7">
      <w:pPr>
        <w:pStyle w:val="Paragraph"/>
        <w:rPr>
          <w:lang w:eastAsia="zh-CN"/>
        </w:rPr>
      </w:pPr>
      <w:r w:rsidRPr="00CF31E0">
        <w:rPr>
          <w:lang w:eastAsia="zh-CN"/>
        </w:rPr>
        <w:t>The r</w:t>
      </w:r>
      <w:r w:rsidR="00A23C2A" w:rsidRPr="00CF31E0">
        <w:rPr>
          <w:lang w:eastAsia="zh-CN"/>
        </w:rPr>
        <w:t xml:space="preserve">esults revealed that both UBH and HH participants demonstrate a high level of </w:t>
      </w:r>
      <w:r w:rsidR="00067AAC" w:rsidRPr="00CF31E0">
        <w:rPr>
          <w:lang w:eastAsia="zh-CN"/>
        </w:rPr>
        <w:t>i</w:t>
      </w:r>
      <w:r w:rsidR="00A23C2A" w:rsidRPr="00CF31E0">
        <w:rPr>
          <w:lang w:eastAsia="zh-CN"/>
        </w:rPr>
        <w:t xml:space="preserve">n-group </w:t>
      </w:r>
      <w:r w:rsidR="00067AAC" w:rsidRPr="00CF31E0">
        <w:rPr>
          <w:lang w:eastAsia="zh-CN"/>
        </w:rPr>
        <w:t>loyalty</w:t>
      </w:r>
      <w:r w:rsidR="00A23C2A" w:rsidRPr="00CF31E0">
        <w:rPr>
          <w:lang w:eastAsia="zh-CN"/>
        </w:rPr>
        <w:t xml:space="preserve">. In other words, the strongest perception of </w:t>
      </w:r>
      <w:r w:rsidR="00067AAC" w:rsidRPr="00CF31E0">
        <w:rPr>
          <w:lang w:eastAsia="zh-CN"/>
        </w:rPr>
        <w:t xml:space="preserve">the </w:t>
      </w:r>
      <w:r w:rsidR="00A23C2A" w:rsidRPr="00CF31E0">
        <w:rPr>
          <w:lang w:eastAsia="zh-CN"/>
        </w:rPr>
        <w:t xml:space="preserve">modern/traditional dimensions comes from the groups themselves, as each group has </w:t>
      </w:r>
      <w:r w:rsidR="00067AAC" w:rsidRPr="00CF31E0">
        <w:rPr>
          <w:lang w:eastAsia="zh-CN"/>
        </w:rPr>
        <w:t xml:space="preserve">a </w:t>
      </w:r>
      <w:r w:rsidR="00A23C2A" w:rsidRPr="00CF31E0">
        <w:rPr>
          <w:lang w:eastAsia="zh-CN"/>
        </w:rPr>
        <w:t xml:space="preserve">tendency to rate their group higher in both dimensions. </w:t>
      </w:r>
    </w:p>
    <w:p w14:paraId="5E625075" w14:textId="296C45EA" w:rsidR="00A23C2A" w:rsidRPr="00CF31E0" w:rsidRDefault="00A23C2A" w:rsidP="00603CB7">
      <w:pPr>
        <w:pStyle w:val="Paragraph"/>
        <w:rPr>
          <w:lang w:eastAsia="zh-CN"/>
        </w:rPr>
      </w:pPr>
      <w:r w:rsidRPr="00CF31E0">
        <w:rPr>
          <w:lang w:eastAsia="zh-CN"/>
        </w:rPr>
        <w:t xml:space="preserve">The evidence from </w:t>
      </w:r>
      <w:r w:rsidR="00067AAC" w:rsidRPr="00CF31E0">
        <w:rPr>
          <w:lang w:eastAsia="zh-CN"/>
        </w:rPr>
        <w:t xml:space="preserve">the </w:t>
      </w:r>
      <w:r w:rsidRPr="00CF31E0">
        <w:rPr>
          <w:lang w:eastAsia="zh-CN"/>
        </w:rPr>
        <w:t xml:space="preserve">effects of </w:t>
      </w:r>
      <w:r w:rsidR="00067AAC" w:rsidRPr="00CF31E0">
        <w:rPr>
          <w:lang w:eastAsia="zh-CN"/>
        </w:rPr>
        <w:t xml:space="preserve">the </w:t>
      </w:r>
      <w:r w:rsidRPr="00CF31E0">
        <w:rPr>
          <w:lang w:eastAsia="zh-CN"/>
        </w:rPr>
        <w:t>demographic variables on the results confirm</w:t>
      </w:r>
      <w:r w:rsidR="00067AAC" w:rsidRPr="00CF31E0">
        <w:rPr>
          <w:lang w:eastAsia="zh-CN"/>
        </w:rPr>
        <w:t>s</w:t>
      </w:r>
      <w:r w:rsidRPr="00CF31E0">
        <w:rPr>
          <w:lang w:eastAsia="zh-CN"/>
        </w:rPr>
        <w:t xml:space="preserve"> the homogeneity of results as only two demographic variables (i.e. gender and place of birth) affected </w:t>
      </w:r>
      <w:r w:rsidR="00067AAC" w:rsidRPr="00CF31E0">
        <w:rPr>
          <w:lang w:eastAsia="zh-CN"/>
        </w:rPr>
        <w:t xml:space="preserve">the </w:t>
      </w:r>
      <w:r w:rsidRPr="00CF31E0">
        <w:rPr>
          <w:lang w:eastAsia="zh-CN"/>
        </w:rPr>
        <w:t xml:space="preserve">findings. </w:t>
      </w:r>
    </w:p>
    <w:p w14:paraId="7CB58958" w14:textId="0D63100B" w:rsidR="00A23C2A" w:rsidRPr="00CF31E0" w:rsidRDefault="007F3BE4" w:rsidP="00E87209">
      <w:pPr>
        <w:pStyle w:val="Ahead"/>
        <w:rPr>
          <w:rFonts w:eastAsia="SimSun"/>
        </w:rPr>
      </w:pPr>
      <w:bookmarkStart w:id="720" w:name="_Toc503383073"/>
      <w:bookmarkStart w:id="721" w:name="_Toc6472761"/>
      <w:r w:rsidRPr="00CF31E0">
        <w:rPr>
          <w:rFonts w:eastAsia="SimSun"/>
        </w:rPr>
        <w:t>10</w:t>
      </w:r>
      <w:r w:rsidR="00067AAC" w:rsidRPr="00CF31E0">
        <w:rPr>
          <w:rFonts w:eastAsia="SimSun"/>
        </w:rPr>
        <w:t>.3.</w:t>
      </w:r>
      <w:r w:rsidR="00B36FA3" w:rsidRPr="00CF31E0">
        <w:rPr>
          <w:rFonts w:eastAsia="SimSun"/>
        </w:rPr>
        <w:tab/>
      </w:r>
      <w:r w:rsidR="00A23C2A" w:rsidRPr="00CF31E0">
        <w:rPr>
          <w:rFonts w:eastAsia="SimSun"/>
        </w:rPr>
        <w:t>Modern</w:t>
      </w:r>
      <w:r w:rsidR="00992986" w:rsidRPr="00CF31E0">
        <w:rPr>
          <w:rFonts w:eastAsia="SimSun"/>
        </w:rPr>
        <w:t>–t</w:t>
      </w:r>
      <w:r w:rsidR="00A23C2A" w:rsidRPr="00CF31E0">
        <w:rPr>
          <w:rFonts w:eastAsia="SimSun"/>
        </w:rPr>
        <w:t>raditional dichotomy</w:t>
      </w:r>
      <w:bookmarkEnd w:id="720"/>
      <w:r w:rsidR="00A23C2A" w:rsidRPr="00CF31E0">
        <w:rPr>
          <w:rFonts w:eastAsia="SimSun"/>
        </w:rPr>
        <w:t>/dimension</w:t>
      </w:r>
      <w:bookmarkEnd w:id="721"/>
      <w:r w:rsidR="00A23C2A" w:rsidRPr="00CF31E0">
        <w:rPr>
          <w:rFonts w:eastAsia="SimSun"/>
        </w:rPr>
        <w:t xml:space="preserve"> </w:t>
      </w:r>
    </w:p>
    <w:p w14:paraId="5B62E3F0" w14:textId="698A6789" w:rsidR="00A23C2A" w:rsidRPr="00CF31E0" w:rsidRDefault="00A23C2A" w:rsidP="00603CB7">
      <w:pPr>
        <w:pStyle w:val="Paragraph"/>
        <w:rPr>
          <w:lang w:eastAsia="zh-CN"/>
        </w:rPr>
      </w:pPr>
      <w:r w:rsidRPr="00CF31E0">
        <w:rPr>
          <w:lang w:eastAsia="zh-CN"/>
        </w:rPr>
        <w:t xml:space="preserve">In the context of the background information presented in </w:t>
      </w:r>
      <w:r w:rsidR="00963EAD" w:rsidRPr="00CF31E0">
        <w:rPr>
          <w:lang w:eastAsia="zh-CN"/>
        </w:rPr>
        <w:t>C</w:t>
      </w:r>
      <w:r w:rsidRPr="00CF31E0">
        <w:rPr>
          <w:lang w:eastAsia="zh-CN"/>
        </w:rPr>
        <w:t xml:space="preserve">hapter </w:t>
      </w:r>
      <w:r w:rsidR="007F3BE4" w:rsidRPr="00CF31E0">
        <w:rPr>
          <w:lang w:eastAsia="zh-CN"/>
        </w:rPr>
        <w:t>2</w:t>
      </w:r>
      <w:r w:rsidRPr="00CF31E0">
        <w:rPr>
          <w:lang w:eastAsia="zh-CN"/>
        </w:rPr>
        <w:t>, the findings are broadly consistent with the modern/traditional dichotomy in the region. Discussing the data deeply, it is evident that the dichotomy arises naturally from both the initial and final data. First, the data collected in the initial stage (i.e. the free</w:t>
      </w:r>
      <w:r w:rsidR="00C86BDA" w:rsidRPr="00CF31E0">
        <w:rPr>
          <w:lang w:eastAsia="zh-CN"/>
        </w:rPr>
        <w:t>-adjective</w:t>
      </w:r>
      <w:r w:rsidRPr="00CF31E0">
        <w:rPr>
          <w:lang w:eastAsia="zh-CN"/>
        </w:rPr>
        <w:t xml:space="preserve"> questionnaire) revealed the presence of a modern</w:t>
      </w:r>
      <w:r w:rsidR="005D0894" w:rsidRPr="00CF31E0">
        <w:rPr>
          <w:lang w:eastAsia="zh-CN"/>
        </w:rPr>
        <w:t>–traditional</w:t>
      </w:r>
      <w:r w:rsidRPr="00CF31E0">
        <w:rPr>
          <w:lang w:eastAsia="zh-CN"/>
        </w:rPr>
        <w:t xml:space="preserve"> dichotomy. In other words, participants had a tendency to explain the UBH dialect with a group of characteristics that appear to have a unified dimension. Similarly, the HH dialect has been described with another set of characteristics that seem to have a different unified dimension. At this particular stage, the make-up of each dimension was not revealed since further evidence with a large number of participants and more complex analysis was needed to confirm it. This was conducted in the subsequent data collection stage, and is illustrated in detail in </w:t>
      </w:r>
      <w:r w:rsidR="00963EAD" w:rsidRPr="00CF31E0">
        <w:rPr>
          <w:lang w:eastAsia="zh-CN"/>
        </w:rPr>
        <w:t>C</w:t>
      </w:r>
      <w:r w:rsidR="00212705" w:rsidRPr="00CF31E0">
        <w:rPr>
          <w:lang w:eastAsia="zh-CN"/>
        </w:rPr>
        <w:t>hapter 9.</w:t>
      </w:r>
    </w:p>
    <w:p w14:paraId="7BCF4879" w14:textId="22C1D4B6" w:rsidR="00A23C2A" w:rsidRPr="00CF31E0" w:rsidRDefault="00A23C2A" w:rsidP="00603CB7">
      <w:pPr>
        <w:pStyle w:val="Paragraph"/>
        <w:rPr>
          <w:lang w:eastAsia="zh-CN"/>
        </w:rPr>
      </w:pPr>
      <w:r w:rsidRPr="00CF31E0">
        <w:rPr>
          <w:lang w:eastAsia="zh-CN"/>
        </w:rPr>
        <w:t>Now, therefore, I move to discuss the results from the rating</w:t>
      </w:r>
      <w:r w:rsidR="005D0894" w:rsidRPr="00CF31E0">
        <w:rPr>
          <w:lang w:eastAsia="zh-CN"/>
        </w:rPr>
        <w:t>-scale</w:t>
      </w:r>
      <w:r w:rsidRPr="00CF31E0">
        <w:rPr>
          <w:lang w:eastAsia="zh-CN"/>
        </w:rPr>
        <w:t xml:space="preserve"> questionnaire. The results at this stage revealed comparable results to the above. Similarly, the dichotomy again clearly arises, as revealed by the complex techniques of factor analysis, from the data in which there was a tendency to differentiate UBH dialect from HH dialect with, respectively</w:t>
      </w:r>
      <w:r w:rsidR="00515E30" w:rsidRPr="00CF31E0">
        <w:rPr>
          <w:lang w:eastAsia="zh-CN"/>
        </w:rPr>
        <w:t>,</w:t>
      </w:r>
      <w:r w:rsidRPr="00CF31E0">
        <w:rPr>
          <w:lang w:eastAsia="zh-CN"/>
        </w:rPr>
        <w:t xml:space="preserve"> traditional and modern dimensions. Based on the background information regarding the region and the results obtained from this piece of research, I </w:t>
      </w:r>
      <w:r w:rsidRPr="00CF31E0">
        <w:rPr>
          <w:lang w:eastAsia="zh-CN"/>
        </w:rPr>
        <w:lastRenderedPageBreak/>
        <w:t>would argue that there is a strong correlation between the modern</w:t>
      </w:r>
      <w:r w:rsidR="005D0894" w:rsidRPr="00CF31E0">
        <w:rPr>
          <w:lang w:eastAsia="zh-CN"/>
        </w:rPr>
        <w:t>–traditional</w:t>
      </w:r>
      <w:r w:rsidRPr="00CF31E0">
        <w:rPr>
          <w:lang w:eastAsia="zh-CN"/>
        </w:rPr>
        <w:t xml:space="preserve"> dichotomy and the religious, historical, economic and social influences discussed in </w:t>
      </w:r>
      <w:r w:rsidR="00A743FF" w:rsidRPr="00CF31E0">
        <w:rPr>
          <w:lang w:eastAsia="zh-CN"/>
        </w:rPr>
        <w:t>C</w:t>
      </w:r>
      <w:r w:rsidRPr="00CF31E0">
        <w:rPr>
          <w:lang w:eastAsia="zh-CN"/>
        </w:rPr>
        <w:t xml:space="preserve">hapter </w:t>
      </w:r>
      <w:r w:rsidR="007F3BE4" w:rsidRPr="00CF31E0">
        <w:rPr>
          <w:lang w:eastAsia="zh-CN"/>
        </w:rPr>
        <w:t>2.</w:t>
      </w:r>
    </w:p>
    <w:p w14:paraId="5A1C4570" w14:textId="32B7992D" w:rsidR="00A23C2A" w:rsidRPr="00CF31E0" w:rsidRDefault="00A23C2A" w:rsidP="00603CB7">
      <w:pPr>
        <w:pStyle w:val="Paragraph"/>
        <w:rPr>
          <w:lang w:eastAsia="zh-CN"/>
        </w:rPr>
      </w:pPr>
      <w:r w:rsidRPr="00CF31E0">
        <w:rPr>
          <w:lang w:eastAsia="zh-CN"/>
        </w:rPr>
        <w:t>With regards to the historical, religious and social aspects, the Hijaz region is the homeland of Islam, it has the most two sacred mosques in the Islamic world and thus it is the place to which all Muslims around the globe undertake pilgrimage</w:t>
      </w:r>
      <w:r w:rsidR="00447DC5" w:rsidRPr="00CF31E0">
        <w:rPr>
          <w:lang w:eastAsia="zh-CN"/>
        </w:rPr>
        <w:t xml:space="preserve"> </w:t>
      </w:r>
      <w:r w:rsidRPr="00CF31E0">
        <w:rPr>
          <w:lang w:eastAsia="zh-CN"/>
        </w:rPr>
        <w:fldChar w:fldCharType="begin"/>
      </w:r>
      <w:r w:rsidRPr="00CF31E0">
        <w:rPr>
          <w:lang w:eastAsia="zh-CN"/>
        </w:rPr>
        <w:instrText xml:space="preserve"> ADDIN ZOTERO_ITEM CSL_CITATION {"citationID":"YB1AkWi5","properties":{"formattedCitation":"(Bianchi, 2004, 2013; Chiffoleau, 2015)","plainCitation":"(Bianchi, 2004, 2013; Chiffoleau, 2015)","noteIndex":0},"citationItems":[{"id":364,"uris":["http://zotero.org/users/1939618/items/MPTGYXG9"],"uri":["http://zotero.org/users/1939618/items/MPTGYXG9"],"itemData":{"id":364,"type":"book","title":"Guests of God: pilgrimage and politics in the Islamic world","shortTitle":"Guests of God","author":[{"family":"Bianchi","given":"Robert"}],"issued":{"date-parts":[["2004"]]}},"label":"page"},{"id":205,"uris":["http://zotero.org/users/1939618/items/RUCZSXCZ"],"uri":["http://zotero.org/users/1939618/items/RUCZSXCZ"],"itemData":{"id":205,"type":"book","title":"Islamic Globalization: Pilgrimage, Capitalism, Democracy, and Diplomacy","publisher":"World scientific","source":"Google Scholar","URL":"https://books.google.co.uk/books?hl=en&amp;lr=&amp;id=1zG7CgAAQBAJ&amp;oi=fnd&amp;pg=PR7&amp;dq=travel+and+travellers,+travel+for+religious+purposes+by+Robert+R.+Bianchi+from+the+oxford+encyclopedia+of+the+modern+islamic+world&amp;ots=zwQsJU0KzT&amp;sig=oftqaWKgjI6PQIASM7uORIKTxyg","shortTitle":"Islamic Globalization","author":[{"family":"Bianchi","given":"Robert"}],"issued":{"date-parts":[["2013"]]},"accessed":{"date-parts":[["2016",2,1]]}},"label":"page"},{"id":384,"uris":["http://zotero.org/users/1939618/items/SZTHJXGQ"],"uri":["http://zotero.org/users/1939618/items/SZTHJXGQ"],"itemData":{"id":384,"type":"chapter","title":"Economics: Agents, Pilgrims, and Profits","container-title":"The Hajj: Pilgrimage in Islam","publisher":"Cambridge University Press","publisher-place":"Cambridge","page":"155-174","event-place":"Cambridge","author":[{"family":"Chiffoleau","given":"Sylvia"}],"editor":[{"family":"Tagliacozzo","given":"E."},{"family":"Toorawa","given":"S."}],"issued":{"date-parts":[["2015"]]}},"label":"page"}],"schema":"https://github.com/citation-style-language/schema/raw/master/csl-citation.json"} </w:instrText>
      </w:r>
      <w:r w:rsidRPr="00CF31E0">
        <w:rPr>
          <w:lang w:eastAsia="zh-CN"/>
        </w:rPr>
        <w:fldChar w:fldCharType="separate"/>
      </w:r>
      <w:r w:rsidRPr="00CF31E0">
        <w:rPr>
          <w:noProof/>
          <w:lang w:eastAsia="zh-CN"/>
        </w:rPr>
        <w:t>(Bianchi, 2004, 2013; Chiffoleau, 2015)</w:t>
      </w:r>
      <w:r w:rsidRPr="00CF31E0">
        <w:rPr>
          <w:lang w:eastAsia="zh-CN"/>
        </w:rPr>
        <w:fldChar w:fldCharType="end"/>
      </w:r>
      <w:r w:rsidRPr="00CF31E0">
        <w:rPr>
          <w:lang w:eastAsia="zh-CN"/>
        </w:rPr>
        <w:t>. The Hijaz region, therefore, attracts a large number of Muslims, making it more cosmopolitan than any other region in Saudi Arabia</w:t>
      </w:r>
      <w:r w:rsidR="00D01077" w:rsidRPr="00CF31E0">
        <w:rPr>
          <w:lang w:eastAsia="zh-CN"/>
        </w:rPr>
        <w:t xml:space="preserve"> (SA)</w:t>
      </w:r>
      <w:r w:rsidR="00447DC5" w:rsidRPr="00CF31E0">
        <w:rPr>
          <w:lang w:eastAsia="zh-CN"/>
        </w:rPr>
        <w:t xml:space="preserve"> </w:t>
      </w:r>
      <w:r w:rsidRPr="00CF31E0">
        <w:rPr>
          <w:lang w:eastAsia="zh-CN"/>
        </w:rPr>
        <w:fldChar w:fldCharType="begin"/>
      </w:r>
      <w:r w:rsidRPr="00CF31E0">
        <w:rPr>
          <w:lang w:eastAsia="zh-CN"/>
        </w:rPr>
        <w:instrText xml:space="preserve"> ADDIN ZOTERO_ITEM CSL_CITATION {"citationID":"MLSj03ar","properties":{"formattedCitation":"(Alahmadi, 2015; Al-Ansari, 1970)","plainCitation":"(Alahmadi, 2015; Al-Ansari, 1970)","noteIndex":0},"citationItems":[{"id":476,"uris":["http://zotero.org/users/1939618/items/ZDMCRMJ9"],"uri":["http://zotero.org/users/1939618/items/ZDMCRMJ9"],"itemData":{"id":476,"type":"article-journal","title":"Loanwords in the Urban Meccan Hijazi Dialect: An Analysis of Lexical Variation according to Speakers’ Sex, Age and Education","container-title":"International Journal of English Linguistics","page":"34-58","volume":"5","source":"ResearchGate","abstract":"This study aims to investigate the degree of lexical variation in Urban Meccan Hijazi Arabic (UMH) by identifying the loan words that are commonly spoken in this dialect and determining from which languages they have been borrowed. Also, it explores the effect of social factors such as age, sex and educational level on the use of loan words by UMH speakers. For the purpose of the study, I designed a questionnaire and distributed it to eighty participants whose mother tongue is UMH. The sample consisted of three groups, namely, old and young, male and female and educated and uneducated participants. In order to provide answers to the research questions, the questionnaire was divided into two sections; section one investigates the participants’ background, i.e., their age, sex, educational level, how long have they been living in Mecca, etc., and section two examines their use of the loan words in UMH. The results revealed that in addition to some words that have been borrowed from Persian and Italian, most of the loan words found in UMH have been borrowed from Turkish. This could have resulted from the Ottoman occupation of Saudi Arabia for around 400 years, and the interaction with pilgrims who visit Mecca every year. Additionally, the results of the t-tests showed that the differences between the three groups (i.e., old vs. young, male vs. female and educated vs. uneducated) are statistically significant. This indicates that the three social factors play a crucial role in the participants’ use of the loan words in UMH. Finally, the study concludes with some recommendations for further research.","DOI":"10.5539/ijel.v5n6p3","shortTitle":"Loanwords in the Urban Meccan Hijazi Dialect","author":[{"family":"Alahmadi","given":"Sameeha"}],"issued":{"date-parts":[["2015",12,1]]}},"label":"page"},{"id":377,"uris":["http://zotero.org/users/1939618/items/5DGNNAUN"],"uri":["http://zotero.org/users/1939618/items/5DGNNAUN"],"itemData":{"id":377,"type":"book","title":"</w:instrText>
      </w:r>
      <w:r w:rsidRPr="00CF31E0">
        <w:rPr>
          <w:rtl/>
          <w:lang w:eastAsia="zh-CN"/>
        </w:rPr>
        <w:instrText>تحفة المحبين والأصحاب فى معرفة ما للمدنيين من الأنساب</w:instrText>
      </w:r>
      <w:r w:rsidRPr="00CF31E0">
        <w:rPr>
          <w:lang w:eastAsia="zh-CN"/>
        </w:rPr>
        <w:instrText>","publisher":"Almaktaba Ala-Atika","publisher-place":"Tunisia","source":"Internet Archive","event-place":"Tunisia","abstract":"</w:instrText>
      </w:r>
      <w:r w:rsidRPr="00CF31E0">
        <w:rPr>
          <w:rtl/>
          <w:lang w:eastAsia="zh-CN"/>
        </w:rPr>
        <w:instrText>كتاب تحفة المحبين والأصحاب في معرفة ما للمدنيين من الأنسابالقُرْمِيِّة المدنيةالمؤلف الأستاذ عبد الرحمن بن عبد الكريم الأنصاريالمحقق الدكتور محمد العروسي المطويمَكْتَبَةُ عُلُومِ النَّسَبِاَللَّهُمَّ صَلِّ عَلَى مُحَمَّدٍ وَآلِ مُحَمَّدٍ</w:instrText>
      </w:r>
      <w:r w:rsidRPr="00CF31E0">
        <w:rPr>
          <w:lang w:eastAsia="zh-CN"/>
        </w:rPr>
        <w:instrText xml:space="preserve">","URL":"http://archive.org/details/olomnasb_ymail_201611","language":"Arabic","author":[{"family":"Al-Ansari","given":"Abdulrahman"}],"issued":{"date-parts":[["1970"]]},"accessed":{"date-parts":[["2018",4,4]]}},"label":"page"}],"schema":"https://github.com/citation-style-language/schema/raw/master/csl-citation.json"} </w:instrText>
      </w:r>
      <w:r w:rsidRPr="00CF31E0">
        <w:rPr>
          <w:lang w:eastAsia="zh-CN"/>
        </w:rPr>
        <w:fldChar w:fldCharType="separate"/>
      </w:r>
      <w:r w:rsidRPr="00CF31E0">
        <w:rPr>
          <w:noProof/>
          <w:lang w:eastAsia="zh-CN"/>
        </w:rPr>
        <w:t>(Alahmadi, 2015; Al-Ansari, 1970)</w:t>
      </w:r>
      <w:r w:rsidRPr="00CF31E0">
        <w:rPr>
          <w:lang w:eastAsia="zh-CN"/>
        </w:rPr>
        <w:fldChar w:fldCharType="end"/>
      </w:r>
      <w:r w:rsidRPr="00CF31E0">
        <w:rPr>
          <w:lang w:eastAsia="zh-CN"/>
        </w:rPr>
        <w:t>. In terms of how this is related to the dichotomy revealed in the results, after the discovery of oil in S</w:t>
      </w:r>
      <w:r w:rsidR="00D01077" w:rsidRPr="00CF31E0">
        <w:rPr>
          <w:lang w:eastAsia="zh-CN"/>
        </w:rPr>
        <w:t>A</w:t>
      </w:r>
      <w:r w:rsidRPr="00CF31E0">
        <w:rPr>
          <w:lang w:eastAsia="zh-CN"/>
        </w:rPr>
        <w:t xml:space="preserve"> in 193</w:t>
      </w:r>
      <w:r w:rsidR="00E17DE3" w:rsidRPr="00CF31E0">
        <w:rPr>
          <w:lang w:eastAsia="zh-CN"/>
        </w:rPr>
        <w:t>8</w:t>
      </w:r>
      <w:r w:rsidRPr="00CF31E0">
        <w:rPr>
          <w:lang w:eastAsia="zh-CN"/>
        </w:rPr>
        <w:t xml:space="preserve">, as discussed in </w:t>
      </w:r>
      <w:r w:rsidR="00A743FF" w:rsidRPr="00CF31E0">
        <w:rPr>
          <w:lang w:eastAsia="zh-CN"/>
        </w:rPr>
        <w:t>C</w:t>
      </w:r>
      <w:r w:rsidRPr="00CF31E0">
        <w:rPr>
          <w:lang w:eastAsia="zh-CN"/>
        </w:rPr>
        <w:t xml:space="preserve">hapter </w:t>
      </w:r>
      <w:r w:rsidR="007F3BE4" w:rsidRPr="00CF31E0">
        <w:rPr>
          <w:lang w:eastAsia="zh-CN"/>
        </w:rPr>
        <w:t>2</w:t>
      </w:r>
      <w:r w:rsidRPr="00CF31E0">
        <w:rPr>
          <w:lang w:eastAsia="zh-CN"/>
        </w:rPr>
        <w:t xml:space="preserve"> </w:t>
      </w:r>
      <w:r w:rsidR="00A743FF" w:rsidRPr="00CF31E0">
        <w:rPr>
          <w:lang w:eastAsia="zh-CN"/>
        </w:rPr>
        <w:t>(</w:t>
      </w:r>
      <w:r w:rsidRPr="00CF31E0">
        <w:rPr>
          <w:lang w:eastAsia="zh-CN"/>
        </w:rPr>
        <w:t xml:space="preserve">see section </w:t>
      </w:r>
      <w:r w:rsidR="007F3BE4" w:rsidRPr="00CF31E0">
        <w:rPr>
          <w:lang w:eastAsia="zh-CN"/>
        </w:rPr>
        <w:t>2</w:t>
      </w:r>
      <w:r w:rsidR="00037006" w:rsidRPr="00CF31E0">
        <w:rPr>
          <w:lang w:eastAsia="zh-CN"/>
        </w:rPr>
        <w:t>.17</w:t>
      </w:r>
      <w:r w:rsidR="00A743FF" w:rsidRPr="00CF31E0">
        <w:rPr>
          <w:lang w:eastAsia="zh-CN"/>
        </w:rPr>
        <w:t>),</w:t>
      </w:r>
      <w:r w:rsidRPr="00CF31E0">
        <w:rPr>
          <w:lang w:eastAsia="zh-CN"/>
        </w:rPr>
        <w:t xml:space="preserve"> pilgrims have had a high tendency to settle down in the region for both religious and economic reasons</w:t>
      </w:r>
      <w:r w:rsidR="00447DC5" w:rsidRPr="00CF31E0">
        <w:rPr>
          <w:lang w:eastAsia="zh-CN"/>
        </w:rPr>
        <w:t xml:space="preserve"> </w:t>
      </w:r>
      <w:r w:rsidRPr="00CF31E0">
        <w:rPr>
          <w:lang w:eastAsia="zh-CN"/>
        </w:rPr>
        <w:fldChar w:fldCharType="begin"/>
      </w:r>
      <w:r w:rsidRPr="00CF31E0">
        <w:rPr>
          <w:lang w:eastAsia="zh-CN"/>
        </w:rPr>
        <w:instrText xml:space="preserve"> ADDIN ZOTERO_ITEM CSL_CITATION {"citationID":"FbLMJJrU","properties":{"formattedCitation":"(Al-Jehani, 1985; Al-Rasheed, 2010; Nahedh, 1989; Ochsenwald, 1984)","plainCitation":"(Al-Jehani, 1985; Al-Rasheed, 2010; Nahedh, 1989; Ochsenwald, 1984)","noteIndex":0},"citationItems":[{"id":537,"uris":["http://zotero.org/users/1939618/items/CKTFSSZ4"],"uri":["http://zotero.org/users/1939618/items/CKTFSSZ4"],"itemData":{"id":537,"type":"thesis","title":"SOCIOSTYLISTIC STRATIFICATION OF ARABIC IN MAKKAH","publisher":"University of Michigan","URL":"https://www.researchgate.net/publication/36173456_SOCIOSTYLISTIC_STRATIFICATION_OF_ARABIC_IN_MAKKAH_SOCIOLINGUISTICS_VARIATION_SAUDI_ARABIA","language":"en","author":[{"family":"Al-Jehani","given":"Nassir"}],"issued":{"date-parts":[["1985"]]},"accessed":{"date-parts":[["2018",7,12]]}},"label":"page"},{"id":170,"uris":["http://zotero.org/users/1939618/items/5PRQ9KEN"],"uri":["http://zotero.org/users/1939618/items/5PRQ9KEN"],"itemData":{"id":170,"type":"book","title":"A history of Saudi Arabia","publisher":"Cambridge University Press","publisher-place":"Cambridge","source":"Google Scholar","event-place":"Cambridge","URL":"https://books.google.co.uk/books?hl=en&amp;lr=&amp;id=ReoiwJiOqQAC&amp;oi=fnd&amp;pg=PR10&amp;dq=Al-Rasheed,+M.+(2010).+A+history+of+Saudi+Arabia.+Cambridge,+Cambridge+University+Press.&amp;ots=NaKXTzyoyc&amp;sig=nZSLxW_SacQ6E1xRWtPUxRhNG6g","author":[{"family":"Al-Rasheed","given":"Madawi"}],"issued":{"date-parts":[["2010"]]},"accessed":{"date-parts":[["2015",9,28]]}},"label":"page"},{"id":515,"uris":["http://zotero.org/users/1939618/items/J2X24F6B"],"uri":["http://zotero.org/users/1939618/items/J2X24F6B"],"itemData":{"id":515,"type":"thesis","title":"THE SEDENTARIZATION OF A BEDOUIN COMMUNITY IN SAUDI ARABIA","publisher":"University of Leeds","source":"Zotero","abstract":"This thesis examines the sedentarization of bedouin nomads in Saudi Arabia: partly in general, but mostly focussing on a particular region (Sajir) which was studied in the field.","language":"en","author":[{"family":"Nahedh","given":"Monera"}],"issued":{"date-parts":[["1989"]]}},"label":"page"},{"id":101,"uris":["http://zotero.org/users/1939618/items/FUUT425D"],"uri":["http://zotero.org/users/1939618/items/FUUT425D"],"itemData":{"id":101,"type":"book","title":"Religion, society, and the state in Arabia: the Hijaz under Ottoman control, 1840-1908","publisher":"The Ohio State University Press","source":"kb.osu.edu","abstract":"(print) xiii, 241 p. : ill. ; 24 cm","URL":"http://hdl.handle.net/1811/24661","ISBN":"0814203663","note":"(print) xiii, 241 p. : ill. ; 24 cm","shortTitle":"Religion, society, and the state in Arabia","language":"en","author":[{"family":"Ochsenwald","given":"William"}],"issued":{"date-parts":[["1984"]]},"accessed":{"date-parts":[["2015",1,19]]}},"label":"page"}],"schema":"https://github.com/citation-style-language/schema/raw/master/csl-citation.json"} </w:instrText>
      </w:r>
      <w:r w:rsidRPr="00CF31E0">
        <w:rPr>
          <w:lang w:eastAsia="zh-CN"/>
        </w:rPr>
        <w:fldChar w:fldCharType="separate"/>
      </w:r>
      <w:r w:rsidRPr="00CF31E0">
        <w:rPr>
          <w:noProof/>
          <w:lang w:eastAsia="zh-CN"/>
        </w:rPr>
        <w:t>(Al-</w:t>
      </w:r>
      <w:r w:rsidR="00EA159E" w:rsidRPr="00CF31E0">
        <w:rPr>
          <w:noProof/>
          <w:lang w:eastAsia="zh-CN"/>
        </w:rPr>
        <w:t xml:space="preserve">Jehani, 1985; </w:t>
      </w:r>
      <w:r w:rsidRPr="00CF31E0">
        <w:rPr>
          <w:noProof/>
          <w:lang w:eastAsia="zh-CN"/>
        </w:rPr>
        <w:t>Nahedh, 1989; Ochsenwald, 1984)</w:t>
      </w:r>
      <w:r w:rsidRPr="00CF31E0">
        <w:rPr>
          <w:lang w:eastAsia="zh-CN"/>
        </w:rPr>
        <w:fldChar w:fldCharType="end"/>
      </w:r>
      <w:r w:rsidRPr="00CF31E0">
        <w:rPr>
          <w:lang w:eastAsia="zh-CN"/>
        </w:rPr>
        <w:t>. As a result, a social dichotomy is found between the new settlers (i.e. HH social group) and original people of Hijaz (i.e. UBH social group)</w:t>
      </w:r>
      <w:r w:rsidR="00447DC5" w:rsidRPr="00CF31E0">
        <w:rPr>
          <w:lang w:eastAsia="zh-CN"/>
        </w:rPr>
        <w:t xml:space="preserve"> </w:t>
      </w:r>
      <w:r w:rsidRPr="00CF31E0">
        <w:rPr>
          <w:lang w:eastAsia="zh-CN"/>
        </w:rPr>
        <w:fldChar w:fldCharType="begin"/>
      </w:r>
      <w:r w:rsidRPr="00CF31E0">
        <w:rPr>
          <w:lang w:eastAsia="zh-CN"/>
        </w:rPr>
        <w:instrText xml:space="preserve"> ADDIN ZOTERO_ITEM CSL_CITATION {"citationID":"DUroAfDE","properties":{"formattedCitation":"(Al-Jehani, 1985; Nahedh, 1989)","plainCitation":"(Al-Jehani, 1985; Nahedh, 1989)","noteIndex":0},"citationItems":[{"id":537,"uris":["http://zotero.org/users/1939618/items/CKTFSSZ4"],"uri":["http://zotero.org/users/1939618/items/CKTFSSZ4"],"itemData":{"id":537,"type":"thesis","title":"SOCIOSTYLISTIC STRATIFICATION OF ARABIC IN MAKKAH","publisher":"University of Michigan","URL":"https://www.researchgate.net/publication/36173456_SOCIOSTYLISTIC_STRATIFICATION_OF_ARABIC_IN_MAKKAH_SOCIOLINGUISTICS_VARIATION_SAUDI_ARABIA","language":"en","author":[{"family":"Al-Jehani","given":"Nassir"}],"issued":{"date-parts":[["1985"]]},"accessed":{"date-parts":[["2018",7,12]]}},"label":"page"},{"id":515,"uris":["http://zotero.org/users/1939618/items/J2X24F6B"],"uri":["http://zotero.org/users/1939618/items/J2X24F6B"],"itemData":{"id":515,"type":"thesis","title":"THE SEDENTARIZATION OF A BEDOUIN COMMUNITY IN SAUDI ARABIA","publisher":"University of Leeds","source":"Zotero","abstract":"This thesis examines the sedentarization of bedouin nomads in Saudi Arabia: partly in general, but mostly focussing on a particular region (Sajir) which was studied in the field.","language":"en","author":[{"family":"Nahedh","given":"Monera"}],"issued":{"date-parts":[["1989"]]}},"label":"page"}],"schema":"https://github.com/citation-style-language/schema/raw/master/csl-citation.json"} </w:instrText>
      </w:r>
      <w:r w:rsidRPr="00CF31E0">
        <w:rPr>
          <w:lang w:eastAsia="zh-CN"/>
        </w:rPr>
        <w:fldChar w:fldCharType="separate"/>
      </w:r>
      <w:r w:rsidRPr="00CF31E0">
        <w:rPr>
          <w:noProof/>
          <w:lang w:eastAsia="zh-CN"/>
        </w:rPr>
        <w:t>(Al-Jehani, 1985; Nahedh, 1989)</w:t>
      </w:r>
      <w:r w:rsidRPr="00CF31E0">
        <w:rPr>
          <w:lang w:eastAsia="zh-CN"/>
        </w:rPr>
        <w:fldChar w:fldCharType="end"/>
      </w:r>
      <w:r w:rsidRPr="00CF31E0">
        <w:rPr>
          <w:lang w:eastAsia="zh-CN"/>
        </w:rPr>
        <w:t>. Hence, historically, the Hijaz region combined two cultures; the traditional culture of S</w:t>
      </w:r>
      <w:r w:rsidR="00D01077" w:rsidRPr="00CF31E0">
        <w:rPr>
          <w:lang w:eastAsia="zh-CN"/>
        </w:rPr>
        <w:t>A</w:t>
      </w:r>
      <w:r w:rsidRPr="00CF31E0">
        <w:rPr>
          <w:lang w:eastAsia="zh-CN"/>
        </w:rPr>
        <w:t xml:space="preserve"> as presented by the original citizens of the Hijaz region, and the cultures of other Islamic </w:t>
      </w:r>
      <w:r w:rsidR="00936AB7" w:rsidRPr="00CF31E0">
        <w:rPr>
          <w:lang w:eastAsia="zh-CN"/>
        </w:rPr>
        <w:t>count</w:t>
      </w:r>
      <w:r w:rsidRPr="00CF31E0">
        <w:rPr>
          <w:lang w:eastAsia="zh-CN"/>
        </w:rPr>
        <w:t xml:space="preserve">ries as presented by new settlers in Hijaz </w:t>
      </w:r>
      <w:r w:rsidRPr="00CF31E0">
        <w:rPr>
          <w:lang w:eastAsia="zh-CN"/>
        </w:rPr>
        <w:fldChar w:fldCharType="begin"/>
      </w:r>
      <w:r w:rsidRPr="00CF31E0">
        <w:rPr>
          <w:lang w:eastAsia="zh-CN"/>
        </w:rPr>
        <w:instrText xml:space="preserve"> ADDIN ZOTERO_ITEM CSL_CITATION {"citationID":"rCBfE0u8","properties":{"formattedCitation":"(Ochsenwald, 1984, p. 17)","plainCitation":"(Ochsenwald, 1984, p. 17)","noteIndex":0},"citationItems":[{"id":101,"uris":["http://zotero.org/users/1939618/items/FUUT425D"],"uri":["http://zotero.org/users/1939618/items/FUUT425D"],"itemData":{"id":101,"type":"book","title":"Religion, society, and the state in Arabia: the Hijaz under Ottoman control, 1840-1908","publisher":"The Ohio State University Press","source":"kb.osu.edu","abstract":"(print) xiii, 241 p. : ill. ; 24 cm","URL":"http://hdl.handle.net/1811/24661","ISBN":"0814203663","note":"(print) xiii, 241 p. : ill. ; 24 cm","shortTitle":"Religion, society, and the state in Arabia","language":"en","author":[{"family":"Ochsenwald","given":"William"}],"issued":{"date-parts":[["1984"]]},"accessed":{"date-parts":[["2015",1,19]]}},"locator":"17","label":"page"}],"schema":"https://github.com/citation-style-language/schema/raw/master/csl-citation.json"} </w:instrText>
      </w:r>
      <w:r w:rsidRPr="00CF31E0">
        <w:rPr>
          <w:lang w:eastAsia="zh-CN"/>
        </w:rPr>
        <w:fldChar w:fldCharType="separate"/>
      </w:r>
      <w:r w:rsidRPr="00CF31E0">
        <w:rPr>
          <w:lang w:eastAsia="zh-CN"/>
        </w:rPr>
        <w:t>(Ochsenwald, 1984, p. 17)</w:t>
      </w:r>
      <w:r w:rsidRPr="00CF31E0">
        <w:rPr>
          <w:lang w:eastAsia="zh-CN"/>
        </w:rPr>
        <w:fldChar w:fldCharType="end"/>
      </w:r>
      <w:r w:rsidRPr="00CF31E0">
        <w:rPr>
          <w:lang w:eastAsia="zh-CN"/>
        </w:rPr>
        <w:t>.</w:t>
      </w:r>
    </w:p>
    <w:p w14:paraId="09A0C0B8" w14:textId="447E5423" w:rsidR="00A23C2A" w:rsidRPr="00CF31E0" w:rsidRDefault="00A23C2A" w:rsidP="00603CB7">
      <w:pPr>
        <w:pStyle w:val="Paragraph"/>
        <w:rPr>
          <w:lang w:eastAsia="zh-CN"/>
        </w:rPr>
      </w:pPr>
      <w:r w:rsidRPr="00CF31E0">
        <w:rPr>
          <w:lang w:eastAsia="zh-CN"/>
        </w:rPr>
        <w:t>From an economic perspective, the Hijaz region has witnessed rapid economic growth after the discovery of oil in S</w:t>
      </w:r>
      <w:r w:rsidR="00D01077" w:rsidRPr="00CF31E0">
        <w:rPr>
          <w:lang w:eastAsia="zh-CN"/>
        </w:rPr>
        <w:t>A</w:t>
      </w:r>
      <w:r w:rsidRPr="00CF31E0">
        <w:rPr>
          <w:lang w:eastAsia="zh-CN"/>
        </w:rPr>
        <w:t xml:space="preserve">, with Jeddah city being the  most economically advanced place in Hijaz </w:t>
      </w:r>
      <w:r w:rsidRPr="00CF31E0">
        <w:rPr>
          <w:lang w:eastAsia="zh-CN"/>
        </w:rPr>
        <w:fldChar w:fldCharType="begin"/>
      </w:r>
      <w:r w:rsidRPr="00CF31E0">
        <w:rPr>
          <w:lang w:eastAsia="zh-CN"/>
        </w:rPr>
        <w:instrText xml:space="preserve"> ADDIN ZOTERO_ITEM CSL_CITATION {"citationID":"a1fanq5av9g","properties":{"formattedCitation":"(Al-Farsi, 2000)","plainCitation":"(Al-Farsi, 2000)"},"citationItems":[{"id":319,"uris":["http://zotero.org/users/1939618/items/P7NJ26FI"],"uri":["http://zotero.org/users/1939618/items/P7NJ26FI"],"itemData":{"id":319,"type":"book","title":"Modernity and tradition: The Saudi equation","publisher":"Knight Communications Ltd","source":"Google Scholar","shortTitle":"Modernity and tradition","author":[{"family":"Al-Farsi","given":"Fouad"}],"issued":{"date-parts":[["2000"]]}}}],"schema":"https://github.com/citation-style-language/schema/raw/master/csl-citation.json"} </w:instrText>
      </w:r>
      <w:r w:rsidRPr="00CF31E0">
        <w:rPr>
          <w:lang w:eastAsia="zh-CN"/>
        </w:rPr>
        <w:fldChar w:fldCharType="separate"/>
      </w:r>
      <w:r w:rsidR="001255CD" w:rsidRPr="00CF31E0">
        <w:rPr>
          <w:lang w:eastAsia="zh-CN"/>
        </w:rPr>
        <w:t>(Al-Farsy</w:t>
      </w:r>
      <w:r w:rsidRPr="00CF31E0">
        <w:rPr>
          <w:lang w:eastAsia="zh-CN"/>
        </w:rPr>
        <w:t>, 2000)</w:t>
      </w:r>
      <w:r w:rsidRPr="00CF31E0">
        <w:rPr>
          <w:lang w:eastAsia="zh-CN"/>
        </w:rPr>
        <w:fldChar w:fldCharType="end"/>
      </w:r>
      <w:r w:rsidRPr="00CF31E0">
        <w:rPr>
          <w:lang w:eastAsia="zh-CN"/>
        </w:rPr>
        <w:t>. This economic growth has attracted a large number of mig</w:t>
      </w:r>
      <w:r w:rsidR="00021F59" w:rsidRPr="00CF31E0">
        <w:rPr>
          <w:lang w:eastAsia="zh-CN"/>
        </w:rPr>
        <w:t>rants, especially to Jeddah</w:t>
      </w:r>
      <w:r w:rsidRPr="00CF31E0">
        <w:rPr>
          <w:lang w:eastAsia="zh-CN"/>
        </w:rPr>
        <w:t xml:space="preserve">, since many job opportunities are available in the construction of the infrastructure required to support this development </w:t>
      </w:r>
      <w:r w:rsidR="0051430F" w:rsidRPr="00CF31E0">
        <w:rPr>
          <w:lang w:eastAsia="zh-CN"/>
        </w:rPr>
        <w:t>(</w:t>
      </w:r>
      <w:r w:rsidR="0051430F" w:rsidRPr="00CF31E0">
        <w:rPr>
          <w:rFonts w:eastAsia="Times New Roman" w:hAnsiTheme="majorHAnsi"/>
        </w:rPr>
        <w:t>Al-Bassam, 2012)</w:t>
      </w:r>
      <w:r w:rsidR="001255CD" w:rsidRPr="00CF31E0">
        <w:rPr>
          <w:rFonts w:eastAsia="Times New Roman" w:hAnsiTheme="majorHAnsi"/>
        </w:rPr>
        <w:t>.</w:t>
      </w:r>
    </w:p>
    <w:p w14:paraId="770DFCF3" w14:textId="787FEC69" w:rsidR="00A23C2A" w:rsidRPr="00CF31E0" w:rsidRDefault="00A23C2A" w:rsidP="00603CB7">
      <w:pPr>
        <w:pStyle w:val="Paragraph"/>
        <w:rPr>
          <w:lang w:eastAsia="zh-CN"/>
        </w:rPr>
      </w:pPr>
      <w:r w:rsidRPr="00CF31E0">
        <w:rPr>
          <w:lang w:eastAsia="zh-CN"/>
        </w:rPr>
        <w:t xml:space="preserve">The attitudinal consistency of </w:t>
      </w:r>
      <w:r w:rsidR="00725A63" w:rsidRPr="00CF31E0">
        <w:rPr>
          <w:lang w:eastAsia="zh-CN"/>
        </w:rPr>
        <w:t xml:space="preserve">the </w:t>
      </w:r>
      <w:r w:rsidRPr="00CF31E0">
        <w:rPr>
          <w:lang w:eastAsia="zh-CN"/>
        </w:rPr>
        <w:t xml:space="preserve">results in the present study </w:t>
      </w:r>
      <w:r w:rsidR="00725A63" w:rsidRPr="00CF31E0">
        <w:rPr>
          <w:lang w:eastAsia="zh-CN"/>
        </w:rPr>
        <w:t xml:space="preserve">in relation to </w:t>
      </w:r>
      <w:r w:rsidRPr="00CF31E0">
        <w:rPr>
          <w:lang w:eastAsia="zh-CN"/>
        </w:rPr>
        <w:t xml:space="preserve">background information, </w:t>
      </w:r>
      <w:r w:rsidR="00725A63" w:rsidRPr="00CF31E0">
        <w:rPr>
          <w:lang w:eastAsia="zh-CN"/>
        </w:rPr>
        <w:t xml:space="preserve">the </w:t>
      </w:r>
      <w:r w:rsidRPr="00CF31E0">
        <w:rPr>
          <w:lang w:eastAsia="zh-CN"/>
        </w:rPr>
        <w:t>free</w:t>
      </w:r>
      <w:r w:rsidR="00C86BDA" w:rsidRPr="00CF31E0">
        <w:rPr>
          <w:lang w:eastAsia="zh-CN"/>
        </w:rPr>
        <w:t>-adjective</w:t>
      </w:r>
      <w:r w:rsidRPr="00CF31E0">
        <w:rPr>
          <w:lang w:eastAsia="zh-CN"/>
        </w:rPr>
        <w:t xml:space="preserve"> questionnaire results and the rating</w:t>
      </w:r>
      <w:r w:rsidR="005D0894" w:rsidRPr="00CF31E0">
        <w:rPr>
          <w:lang w:eastAsia="zh-CN"/>
        </w:rPr>
        <w:t>-scale</w:t>
      </w:r>
      <w:r w:rsidRPr="00CF31E0">
        <w:rPr>
          <w:lang w:eastAsia="zh-CN"/>
        </w:rPr>
        <w:t xml:space="preserve"> questionnaire </w:t>
      </w:r>
      <w:r w:rsidR="00725A63" w:rsidRPr="00CF31E0">
        <w:rPr>
          <w:lang w:eastAsia="zh-CN"/>
        </w:rPr>
        <w:t>r</w:t>
      </w:r>
      <w:r w:rsidRPr="00CF31E0">
        <w:rPr>
          <w:lang w:eastAsia="zh-CN"/>
        </w:rPr>
        <w:t>esults echoes the results from two other attitudinal studies revealing consistent results</w:t>
      </w:r>
      <w:r w:rsidR="00725A63" w:rsidRPr="00CF31E0">
        <w:rPr>
          <w:lang w:eastAsia="zh-CN"/>
        </w:rPr>
        <w:t xml:space="preserve">: </w:t>
      </w:r>
      <w:r w:rsidRPr="00CF31E0">
        <w:rPr>
          <w:lang w:eastAsia="zh-CN"/>
        </w:rPr>
        <w:t xml:space="preserve">the first study </w:t>
      </w:r>
      <w:r w:rsidR="00725A63" w:rsidRPr="00CF31E0">
        <w:rPr>
          <w:lang w:eastAsia="zh-CN"/>
        </w:rPr>
        <w:t xml:space="preserve">was </w:t>
      </w:r>
      <w:r w:rsidRPr="00CF31E0">
        <w:rPr>
          <w:lang w:eastAsia="zh-CN"/>
        </w:rPr>
        <w:t xml:space="preserve">conducted by </w:t>
      </w:r>
      <w:r w:rsidRPr="00CF31E0">
        <w:rPr>
          <w:lang w:eastAsia="zh-CN"/>
        </w:rPr>
        <w:fldChar w:fldCharType="begin"/>
      </w:r>
      <w:r w:rsidRPr="00CF31E0">
        <w:rPr>
          <w:lang w:eastAsia="zh-CN"/>
        </w:rPr>
        <w:instrText xml:space="preserve"> ADDIN ZOTERO_ITEM CSL_CITATION {"citationID":"a1hvmfhtpuu","properties":{"formattedCitation":"(Giles, 1970)","plainCitation":"(Giles, 1970)","noteIndex":0},"citationItems":[{"id":62,"uris":["http://zotero.org/users/1939618/items/ZXQ48QBG"],"uri":["http://zotero.org/users/1939618/items/ZXQ48QBG"],"itemData":{"id":62,"type":"article-journal","title":"Evaluative reactions to accents","container-title":"Educational review","page":"211–227","volume":"22","issue":"3","source":"Google Scholar","author":[{"family":"Giles","given":"Howard"}],"issued":{"date-parts":[["1970"]]}}}],"schema":"https://github.com/citation-style-language/schema/raw/master/csl-citation.json"} </w:instrText>
      </w:r>
      <w:r w:rsidRPr="00CF31E0">
        <w:rPr>
          <w:lang w:eastAsia="zh-CN"/>
        </w:rPr>
        <w:fldChar w:fldCharType="separate"/>
      </w:r>
      <w:r w:rsidRPr="00CF31E0">
        <w:rPr>
          <w:lang w:eastAsia="zh-CN"/>
        </w:rPr>
        <w:t xml:space="preserve">Giles </w:t>
      </w:r>
      <w:r w:rsidR="00725A63" w:rsidRPr="00CF31E0">
        <w:rPr>
          <w:lang w:eastAsia="zh-CN"/>
        </w:rPr>
        <w:t>(</w:t>
      </w:r>
      <w:r w:rsidRPr="00CF31E0">
        <w:rPr>
          <w:lang w:eastAsia="zh-CN"/>
        </w:rPr>
        <w:t>1970)</w:t>
      </w:r>
      <w:r w:rsidRPr="00CF31E0">
        <w:rPr>
          <w:lang w:eastAsia="zh-CN"/>
        </w:rPr>
        <w:fldChar w:fldCharType="end"/>
      </w:r>
      <w:r w:rsidRPr="00CF31E0">
        <w:rPr>
          <w:lang w:eastAsia="zh-CN"/>
        </w:rPr>
        <w:t xml:space="preserve">, </w:t>
      </w:r>
      <w:r w:rsidR="00725A63" w:rsidRPr="00CF31E0">
        <w:rPr>
          <w:lang w:eastAsia="zh-CN"/>
        </w:rPr>
        <w:t xml:space="preserve">while </w:t>
      </w:r>
      <w:r w:rsidRPr="00CF31E0">
        <w:rPr>
          <w:lang w:eastAsia="zh-CN"/>
        </w:rPr>
        <w:t xml:space="preserve">the second study </w:t>
      </w:r>
      <w:r w:rsidR="00725A63" w:rsidRPr="00CF31E0">
        <w:rPr>
          <w:lang w:eastAsia="zh-CN"/>
        </w:rPr>
        <w:t>was</w:t>
      </w:r>
      <w:r w:rsidRPr="00CF31E0">
        <w:rPr>
          <w:lang w:eastAsia="zh-CN"/>
        </w:rPr>
        <w:t xml:space="preserve"> conducted by the </w:t>
      </w:r>
      <w:r w:rsidRPr="00CF31E0">
        <w:rPr>
          <w:lang w:eastAsia="zh-CN"/>
        </w:rPr>
        <w:fldChar w:fldCharType="begin"/>
      </w:r>
      <w:r w:rsidRPr="00CF31E0">
        <w:rPr>
          <w:lang w:eastAsia="zh-CN"/>
        </w:rPr>
        <w:instrText xml:space="preserve"> ADDIN ZOTERO_ITEM CSL_CITATION {"citationID":"3Z8AxJSy","properties":{"formattedCitation":"(BBC, 2005)","plainCitation":"(BBC, 2005)","dontUpdate":true,"noteIndex":0},"citationItems":[{"id":283,"uris":["http://zotero.org/users/1939618/items/N9WVNE2C"],"uri":["http://zotero.org/users/1939618/items/N9WVNE2C"],"itemData":{"id":283,"type":"article-newspaper","title":"Regional accents 'bad for trade'","source":"news.bbc.co.uk","abstract":"Business leaders believe English regional accents are a disadvantage in business, says a survey.","URL":"http://news.bbc.co.uk/1/hi/england/4566028.stm","language":"en-GB","author":[{"literal":"BBC"}],"issued":{"date-parts":[["2005",12,29]]},"accessed":{"date-parts":[["2017",12,28]]}}}],"schema":"https://github.com/citation-style-language/schema/raw/master/csl-citation.json"} </w:instrText>
      </w:r>
      <w:r w:rsidRPr="00CF31E0">
        <w:rPr>
          <w:lang w:eastAsia="zh-CN"/>
        </w:rPr>
        <w:fldChar w:fldCharType="separate"/>
      </w:r>
      <w:r w:rsidRPr="00CF31E0">
        <w:rPr>
          <w:lang w:eastAsia="zh-CN"/>
        </w:rPr>
        <w:t>BBC (2005)</w:t>
      </w:r>
      <w:r w:rsidRPr="00CF31E0">
        <w:rPr>
          <w:lang w:eastAsia="zh-CN"/>
        </w:rPr>
        <w:fldChar w:fldCharType="end"/>
      </w:r>
      <w:r w:rsidRPr="00CF31E0">
        <w:rPr>
          <w:lang w:eastAsia="zh-CN"/>
        </w:rPr>
        <w:t xml:space="preserve">. </w:t>
      </w:r>
      <w:r w:rsidRPr="00CF31E0">
        <w:rPr>
          <w:lang w:eastAsia="zh-CN"/>
        </w:rPr>
        <w:fldChar w:fldCharType="begin"/>
      </w:r>
      <w:r w:rsidRPr="00CF31E0">
        <w:rPr>
          <w:lang w:eastAsia="zh-CN"/>
        </w:rPr>
        <w:instrText xml:space="preserve"> ADDIN ZOTERO_ITEM CSL_CITATION {"citationID":"5jQKHnnB","properties":{"formattedCitation":"(Bishop, Coupland, &amp; Garrett, 2011)","plainCitation":"(Bishop, Coupland, &amp; Garrett, 2011)","dontUpdate":true,"noteIndex":0},"citationItems":[{"id":307,"uris":["http://zotero.org/users/1939618/items/5EYQ7BBW"],"uri":["http://zotero.org/users/1939618/items/5EYQ7BBW"],"itemData":{"id":307,"type":"article-journal","title":"Conceptual accent evaluation: Thirty years of accent prejudice in the UK","container-title":"Acta Linguistica Hafniensia","source":"www-tandfonline-com.sheffield.idm.oclc.org","archive_location":"world","abstract":"(2005). Conceptual accent evaluation: Thirty years of accent prejudice in the UK. Acta Linguistica Hafniensia: Vol. 37, No. 1, pp. 131-154.","URL":"http://www-tandfonline-com.sheffield.idm.oclc.org/doi/abs/10.1080/03740463.2005.10416087","ISSN":"10.1080/03740463.2005.10416087","shortTitle":"Conceptual accent evaluation","language":"en","author":[{"family":"Bishop","given":"Hywel"},{"family":"Coupland","given":"Nikolas"},{"family":"Garrett","given":"Peter"}],"issued":{"date-parts":[["2011",11,24]]},"accessed":{"date-parts":[["2018",1,4]]}}}],"schema":"https://github.com/citation-style-language/schema/raw/master/csl-citation.json"} </w:instrText>
      </w:r>
      <w:r w:rsidRPr="00CF31E0">
        <w:rPr>
          <w:lang w:eastAsia="zh-CN"/>
        </w:rPr>
        <w:fldChar w:fldCharType="separate"/>
      </w:r>
      <w:r w:rsidRPr="00CF31E0">
        <w:rPr>
          <w:lang w:eastAsia="zh-CN"/>
        </w:rPr>
        <w:t>Bishop</w:t>
      </w:r>
      <w:r w:rsidR="00447DC5" w:rsidRPr="00CF31E0">
        <w:rPr>
          <w:lang w:eastAsia="zh-CN"/>
        </w:rPr>
        <w:t xml:space="preserve"> et al.</w:t>
      </w:r>
      <w:r w:rsidR="00655DEF" w:rsidRPr="00CF31E0">
        <w:rPr>
          <w:lang w:eastAsia="zh-CN"/>
        </w:rPr>
        <w:t xml:space="preserve"> (2005</w:t>
      </w:r>
      <w:r w:rsidRPr="00CF31E0">
        <w:rPr>
          <w:lang w:eastAsia="zh-CN"/>
        </w:rPr>
        <w:t>)</w:t>
      </w:r>
      <w:r w:rsidRPr="00CF31E0">
        <w:rPr>
          <w:lang w:eastAsia="zh-CN"/>
        </w:rPr>
        <w:fldChar w:fldCharType="end"/>
      </w:r>
      <w:r w:rsidRPr="00CF31E0">
        <w:rPr>
          <w:lang w:eastAsia="zh-CN"/>
        </w:rPr>
        <w:t xml:space="preserve"> compare</w:t>
      </w:r>
      <w:r w:rsidR="00725A63" w:rsidRPr="00CF31E0">
        <w:rPr>
          <w:lang w:eastAsia="zh-CN"/>
        </w:rPr>
        <w:t>d</w:t>
      </w:r>
      <w:r w:rsidRPr="00CF31E0">
        <w:rPr>
          <w:lang w:eastAsia="zh-CN"/>
        </w:rPr>
        <w:t xml:space="preserve"> the results of these two similar conceptual </w:t>
      </w:r>
      <w:r w:rsidRPr="00CF31E0">
        <w:rPr>
          <w:lang w:eastAsia="zh-CN"/>
        </w:rPr>
        <w:lastRenderedPageBreak/>
        <w:t xml:space="preserve">studies conducted </w:t>
      </w:r>
      <w:r w:rsidR="00DA273F">
        <w:rPr>
          <w:lang w:eastAsia="zh-CN"/>
        </w:rPr>
        <w:t>35</w:t>
      </w:r>
      <w:r w:rsidRPr="00CF31E0">
        <w:rPr>
          <w:lang w:eastAsia="zh-CN"/>
        </w:rPr>
        <w:t xml:space="preserve"> years apart. In the BBC study, the researchers replicated a conceptual study by </w:t>
      </w:r>
      <w:r w:rsidRPr="00CF31E0">
        <w:rPr>
          <w:lang w:eastAsia="zh-CN"/>
        </w:rPr>
        <w:fldChar w:fldCharType="begin"/>
      </w:r>
      <w:r w:rsidRPr="00CF31E0">
        <w:rPr>
          <w:lang w:eastAsia="zh-CN"/>
        </w:rPr>
        <w:instrText xml:space="preserve"> ADDIN ZOTERO_ITEM CSL_CITATION {"citationID":"idfGaonI","properties":{"formattedCitation":"(Giles, 1970)","plainCitation":"(Giles, 1970)"},"citationItems":[{"id":62,"uris":["http://zotero.org/users/1939618/items/ZXQ48QBG"],"uri":["http://zotero.org/users/1939618/items/ZXQ48QBG"],"itemData":{"id":62,"type":"article-journal","title":"Evaluative reactions to accents","container-title":"Educational review","page":"211–227","volume":"22","issue":"3","source":"Google Scholar","author":[{"family":"Giles","given":"Howard"}],"issued":{"date-parts":[["1970"]]}}}],"schema":"https://github.com/citation-style-language/schema/raw/master/csl-citation.json"} </w:instrText>
      </w:r>
      <w:r w:rsidRPr="00CF31E0">
        <w:rPr>
          <w:lang w:eastAsia="zh-CN"/>
        </w:rPr>
        <w:fldChar w:fldCharType="separate"/>
      </w:r>
      <w:r w:rsidRPr="00CF31E0">
        <w:rPr>
          <w:lang w:eastAsia="zh-CN"/>
        </w:rPr>
        <w:t xml:space="preserve">Giles </w:t>
      </w:r>
      <w:r w:rsidR="00725A63" w:rsidRPr="00CF31E0">
        <w:rPr>
          <w:lang w:eastAsia="zh-CN"/>
        </w:rPr>
        <w:t>(</w:t>
      </w:r>
      <w:r w:rsidRPr="00CF31E0">
        <w:rPr>
          <w:lang w:eastAsia="zh-CN"/>
        </w:rPr>
        <w:t>1970)</w:t>
      </w:r>
      <w:r w:rsidRPr="00CF31E0">
        <w:rPr>
          <w:lang w:eastAsia="zh-CN"/>
        </w:rPr>
        <w:fldChar w:fldCharType="end"/>
      </w:r>
      <w:r w:rsidRPr="00CF31E0">
        <w:rPr>
          <w:lang w:eastAsia="zh-CN"/>
        </w:rPr>
        <w:t>. Giles investigated the evaluative reactions among young British people to 16 varieties of English. The BBC study investigated adult British perceptions toward</w:t>
      </w:r>
      <w:r w:rsidR="00725A63" w:rsidRPr="00CF31E0">
        <w:rPr>
          <w:lang w:eastAsia="zh-CN"/>
        </w:rPr>
        <w:t>s</w:t>
      </w:r>
      <w:r w:rsidRPr="00CF31E0">
        <w:rPr>
          <w:lang w:eastAsia="zh-CN"/>
        </w:rPr>
        <w:t xml:space="preserve"> </w:t>
      </w:r>
      <w:r w:rsidR="00DA273F">
        <w:rPr>
          <w:lang w:eastAsia="zh-CN"/>
        </w:rPr>
        <w:t>34</w:t>
      </w:r>
      <w:r w:rsidRPr="00CF31E0">
        <w:rPr>
          <w:lang w:eastAsia="zh-CN"/>
        </w:rPr>
        <w:t xml:space="preserve"> accent varieties in the UK. When they compared the two studies, they found very similar findings</w:t>
      </w:r>
      <w:r w:rsidR="00725A63" w:rsidRPr="00CF31E0">
        <w:rPr>
          <w:lang w:eastAsia="zh-CN"/>
        </w:rPr>
        <w:t>;</w:t>
      </w:r>
      <w:r w:rsidRPr="00CF31E0">
        <w:rPr>
          <w:lang w:eastAsia="zh-CN"/>
        </w:rPr>
        <w:t xml:space="preserve"> on </w:t>
      </w:r>
      <w:r w:rsidR="00725A63" w:rsidRPr="00CF31E0">
        <w:rPr>
          <w:lang w:eastAsia="zh-CN"/>
        </w:rPr>
        <w:t xml:space="preserve">the </w:t>
      </w:r>
      <w:r w:rsidRPr="00CF31E0">
        <w:rPr>
          <w:lang w:eastAsia="zh-CN"/>
        </w:rPr>
        <w:t xml:space="preserve">one hand, </w:t>
      </w:r>
      <w:r w:rsidR="00725A63" w:rsidRPr="00CF31E0">
        <w:rPr>
          <w:lang w:eastAsia="zh-CN"/>
        </w:rPr>
        <w:t xml:space="preserve">there was </w:t>
      </w:r>
      <w:r w:rsidRPr="00CF31E0">
        <w:rPr>
          <w:lang w:eastAsia="zh-CN"/>
        </w:rPr>
        <w:t xml:space="preserve">a tendency to validate standard varieties in </w:t>
      </w:r>
      <w:r w:rsidR="00725A63" w:rsidRPr="00CF31E0">
        <w:rPr>
          <w:lang w:eastAsia="zh-CN"/>
        </w:rPr>
        <w:t xml:space="preserve">terms of </w:t>
      </w:r>
      <w:r w:rsidRPr="00CF31E0">
        <w:rPr>
          <w:lang w:eastAsia="zh-CN"/>
        </w:rPr>
        <w:t xml:space="preserve">prestige and social attractiveness dimensions and on the other hand ethnic </w:t>
      </w:r>
      <w:r w:rsidR="00725A63" w:rsidRPr="00CF31E0">
        <w:rPr>
          <w:lang w:eastAsia="zh-CN"/>
        </w:rPr>
        <w:t xml:space="preserve">varieties were </w:t>
      </w:r>
      <w:r w:rsidRPr="00CF31E0">
        <w:rPr>
          <w:lang w:eastAsia="zh-CN"/>
        </w:rPr>
        <w:t>rated</w:t>
      </w:r>
      <w:r w:rsidR="00725A63" w:rsidRPr="00CF31E0">
        <w:rPr>
          <w:lang w:eastAsia="zh-CN"/>
        </w:rPr>
        <w:t xml:space="preserve"> less highly</w:t>
      </w:r>
      <w:r w:rsidRPr="00CF31E0">
        <w:rPr>
          <w:lang w:eastAsia="zh-CN"/>
        </w:rPr>
        <w:t xml:space="preserve"> in all dimensions</w:t>
      </w:r>
      <w:r w:rsidR="00725A63" w:rsidRPr="00CF31E0">
        <w:rPr>
          <w:lang w:eastAsia="zh-CN"/>
        </w:rPr>
        <w:t xml:space="preserve">. </w:t>
      </w:r>
      <w:r w:rsidRPr="00CF31E0">
        <w:rPr>
          <w:lang w:eastAsia="zh-CN"/>
        </w:rPr>
        <w:fldChar w:fldCharType="begin"/>
      </w:r>
      <w:r w:rsidRPr="00CF31E0">
        <w:rPr>
          <w:lang w:eastAsia="zh-CN"/>
        </w:rPr>
        <w:instrText xml:space="preserve"> ADDIN ZOTERO_ITEM CSL_CITATION {"citationID":"cUt3rXSk","properties":{"formattedCitation":"(Bishop et al., 2011)","plainCitation":"(Bishop et al., 2011)","dontUpdate":true,"noteIndex":0},"citationItems":[{"id":307,"uris":["http://zotero.org/users/1939618/items/5EYQ7BBW"],"uri":["http://zotero.org/users/1939618/items/5EYQ7BBW"],"itemData":{"id":307,"type":"article-journal","title":"Conceptual accent evaluation: Thirty years of accent prejudice in the UK","container-title":"Acta Linguistica Hafniensia","source":"www-tandfonline-com.sheffield.idm.oclc.org","archive_location":"world","abstract":"(2005). Conceptual accent evaluation: Thirty years of accent prejudice in the UK. Acta Linguistica Hafniensia: Vol. 37, No. 1, pp. 131-154.","URL":"http://www-tandfonline-com.sheffield.idm.oclc.org/doi/abs/10.1080/03740463.2005.10416087","ISSN":"10.1080/03740463.2005.10416087","shortTitle":"Conceptual accent evaluation","language":"en","author":[{"family":"Bishop","given":"Hywel"},{"family":"Coupland","given":"Nikolas"},{"family":"Garrett","given":"Peter"}],"issued":{"date-parts":[["2011",11,24]]},"accessed":{"date-parts":[["2018",1,4]]}}}],"schema":"https://github.com/citation-style-language/schema/raw/master/csl-citation.json"} </w:instrText>
      </w:r>
      <w:r w:rsidRPr="00CF31E0">
        <w:rPr>
          <w:lang w:eastAsia="zh-CN"/>
        </w:rPr>
        <w:fldChar w:fldCharType="separate"/>
      </w:r>
      <w:r w:rsidR="00655DEF" w:rsidRPr="00CF31E0">
        <w:rPr>
          <w:lang w:eastAsia="zh-CN"/>
        </w:rPr>
        <w:t>Bishop et al. (2005</w:t>
      </w:r>
      <w:r w:rsidRPr="00CF31E0">
        <w:rPr>
          <w:lang w:eastAsia="zh-CN"/>
        </w:rPr>
        <w:t>)</w:t>
      </w:r>
      <w:r w:rsidRPr="00CF31E0">
        <w:rPr>
          <w:lang w:eastAsia="zh-CN"/>
        </w:rPr>
        <w:fldChar w:fldCharType="end"/>
      </w:r>
      <w:r w:rsidRPr="00CF31E0">
        <w:rPr>
          <w:lang w:eastAsia="zh-CN"/>
        </w:rPr>
        <w:t xml:space="preserve"> attribute the similarity of </w:t>
      </w:r>
      <w:r w:rsidR="008479D3" w:rsidRPr="00CF31E0">
        <w:rPr>
          <w:lang w:eastAsia="zh-CN"/>
        </w:rPr>
        <w:t xml:space="preserve">the </w:t>
      </w:r>
      <w:r w:rsidRPr="00CF31E0">
        <w:rPr>
          <w:lang w:eastAsia="zh-CN"/>
        </w:rPr>
        <w:t xml:space="preserve">results across the two different generations to the ideological positions the English participants hold towards the different accents in the UK. The remaining question that needs to be addressed is why such similar and fixed ideological assumptions have been revealed between the two studies towards the targeted English accents. </w:t>
      </w:r>
      <w:r w:rsidRPr="00CF31E0">
        <w:rPr>
          <w:lang w:eastAsia="zh-CN"/>
        </w:rPr>
        <w:fldChar w:fldCharType="begin"/>
      </w:r>
      <w:r w:rsidRPr="00CF31E0">
        <w:rPr>
          <w:lang w:eastAsia="zh-CN"/>
        </w:rPr>
        <w:instrText xml:space="preserve"> ADDIN ZOTERO_ITEM CSL_CITATION {"citationID":"n5iNwR3V","properties":{"formattedCitation":"(Bishop, Coupland, &amp; Garrett, 2011, p. 152)","plainCitation":"(Bishop, Coupland, &amp; Garrett, 2011, p. 152)","dontUpdate":true,"noteIndex":0},"citationItems":[{"id":307,"uris":["http://zotero.org/users/1939618/items/5EYQ7BBW"],"uri":["http://zotero.org/users/1939618/items/5EYQ7BBW"],"itemData":{"id":307,"type":"article-journal","title":"Conceptual accent evaluation: Thirty years of accent prejudice in the UK","container-title":"Acta Linguistica Hafniensia","source":"www-tandfonline-com.sheffield.idm.oclc.org","archive_location":"world","abstract":"(2005). Conceptual accent evaluation: Thirty years of accent prejudice in the UK. Acta Linguistica Hafniensia: Vol. 37, No. 1, pp. 131-154.","URL":"http://www-tandfonline-com.sheffield.idm.oclc.org/doi/abs/10.1080/03740463.2005.10416087","ISSN":"10.1080/03740463.2005.10416087","shortTitle":"Conceptual accent evaluation","language":"en","author":[{"family":"Bishop","given":"Hywel"},{"family":"Coupland","given":"Nikolas"},{"family":"Garrett","given":"Peter"}],"issued":{"date-parts":[["2011",11,24]]},"accessed":{"date-parts":[["2018",1,4]]}},"locator":"152","label":"page"}],"schema":"https://github.com/citation-style-language/schema/raw/master/csl-citation.json"} </w:instrText>
      </w:r>
      <w:r w:rsidRPr="00CF31E0">
        <w:rPr>
          <w:lang w:eastAsia="zh-CN"/>
        </w:rPr>
        <w:fldChar w:fldCharType="separate"/>
      </w:r>
      <w:r w:rsidRPr="00CF31E0">
        <w:rPr>
          <w:lang w:eastAsia="zh-CN"/>
        </w:rPr>
        <w:t>Bishop</w:t>
      </w:r>
      <w:r w:rsidR="00447DC5" w:rsidRPr="00CF31E0">
        <w:rPr>
          <w:lang w:eastAsia="zh-CN"/>
        </w:rPr>
        <w:t xml:space="preserve"> et al.</w:t>
      </w:r>
      <w:r w:rsidR="00655DEF" w:rsidRPr="00CF31E0">
        <w:rPr>
          <w:lang w:eastAsia="zh-CN"/>
        </w:rPr>
        <w:t xml:space="preserve"> (2005</w:t>
      </w:r>
      <w:r w:rsidRPr="00CF31E0">
        <w:rPr>
          <w:lang w:eastAsia="zh-CN"/>
        </w:rPr>
        <w:t>, p. 152)</w:t>
      </w:r>
      <w:r w:rsidRPr="00CF31E0">
        <w:rPr>
          <w:lang w:eastAsia="zh-CN"/>
        </w:rPr>
        <w:fldChar w:fldCharType="end"/>
      </w:r>
      <w:r w:rsidR="004658C0" w:rsidRPr="00CF31E0">
        <w:rPr>
          <w:lang w:eastAsia="zh-CN"/>
        </w:rPr>
        <w:t xml:space="preserve"> argue that “t</w:t>
      </w:r>
      <w:r w:rsidRPr="00CF31E0">
        <w:rPr>
          <w:lang w:eastAsia="zh-CN"/>
        </w:rPr>
        <w:t xml:space="preserve">he conceptual approach in this research seems to us to have led informants directly into the most abstract and most tightly structured language ideologies around accent variation in Britain”. Thus, as discussed in the literature </w:t>
      </w:r>
      <w:r w:rsidR="00D11D30" w:rsidRPr="00CF31E0">
        <w:rPr>
          <w:lang w:eastAsia="zh-CN"/>
        </w:rPr>
        <w:t>(</w:t>
      </w:r>
      <w:r w:rsidRPr="00CF31E0">
        <w:rPr>
          <w:lang w:eastAsia="zh-CN"/>
        </w:rPr>
        <w:t xml:space="preserve">see </w:t>
      </w:r>
      <w:r w:rsidR="00A743FF" w:rsidRPr="00CF31E0">
        <w:rPr>
          <w:lang w:eastAsia="zh-CN"/>
        </w:rPr>
        <w:t>C</w:t>
      </w:r>
      <w:r w:rsidRPr="00CF31E0">
        <w:rPr>
          <w:lang w:eastAsia="zh-CN"/>
        </w:rPr>
        <w:t>hapter</w:t>
      </w:r>
      <w:r w:rsidR="007F3BE4" w:rsidRPr="00CF31E0">
        <w:rPr>
          <w:lang w:eastAsia="zh-CN"/>
        </w:rPr>
        <w:t xml:space="preserve"> 4</w:t>
      </w:r>
      <w:r w:rsidR="00AE6581" w:rsidRPr="00CF31E0">
        <w:rPr>
          <w:lang w:eastAsia="zh-CN"/>
        </w:rPr>
        <w:t xml:space="preserve">, </w:t>
      </w:r>
      <w:r w:rsidRPr="00CF31E0">
        <w:rPr>
          <w:lang w:eastAsia="zh-CN"/>
        </w:rPr>
        <w:t>sectio</w:t>
      </w:r>
      <w:r w:rsidR="00AE6581" w:rsidRPr="00CF31E0">
        <w:rPr>
          <w:lang w:eastAsia="zh-CN"/>
        </w:rPr>
        <w:t xml:space="preserve">n </w:t>
      </w:r>
      <w:r w:rsidR="007F3BE4" w:rsidRPr="00CF31E0">
        <w:rPr>
          <w:lang w:eastAsia="zh-CN"/>
        </w:rPr>
        <w:t>4</w:t>
      </w:r>
      <w:r w:rsidR="00AE6581" w:rsidRPr="00CF31E0">
        <w:rPr>
          <w:lang w:eastAsia="zh-CN"/>
        </w:rPr>
        <w:t>.5.1</w:t>
      </w:r>
      <w:r w:rsidR="00D11D30" w:rsidRPr="00CF31E0">
        <w:rPr>
          <w:lang w:eastAsia="zh-CN"/>
        </w:rPr>
        <w:t>),</w:t>
      </w:r>
      <w:r w:rsidRPr="00CF31E0">
        <w:rPr>
          <w:lang w:eastAsia="zh-CN"/>
        </w:rPr>
        <w:t xml:space="preserve"> </w:t>
      </w:r>
      <w:r w:rsidR="008479D3" w:rsidRPr="00CF31E0">
        <w:rPr>
          <w:lang w:eastAsia="zh-CN"/>
        </w:rPr>
        <w:t xml:space="preserve">the </w:t>
      </w:r>
      <w:r w:rsidRPr="00CF31E0">
        <w:rPr>
          <w:lang w:eastAsia="zh-CN"/>
        </w:rPr>
        <w:t>conceptual approach is inherently targeted at tapping into overt and structured language ideologies</w:t>
      </w:r>
      <w:r w:rsidR="008479D3" w:rsidRPr="00CF31E0">
        <w:rPr>
          <w:lang w:eastAsia="zh-CN"/>
        </w:rPr>
        <w:t>,</w:t>
      </w:r>
      <w:r w:rsidRPr="00CF31E0">
        <w:rPr>
          <w:lang w:eastAsia="zh-CN"/>
        </w:rPr>
        <w:t xml:space="preserve"> which might fail to deliver covert stereotypical assumptions. Therefore, </w:t>
      </w:r>
      <w:r w:rsidRPr="00CF31E0">
        <w:rPr>
          <w:lang w:eastAsia="zh-CN"/>
        </w:rPr>
        <w:fldChar w:fldCharType="begin"/>
      </w:r>
      <w:r w:rsidRPr="00CF31E0">
        <w:rPr>
          <w:lang w:eastAsia="zh-CN"/>
        </w:rPr>
        <w:instrText xml:space="preserve"> ADDIN ZOTERO_ITEM CSL_CITATION {"citationID":"mvSdct2k","properties":{"formattedCitation":"(Bishop et al., 2011)","plainCitation":"(Bishop et al., 2011)","dontUpdate":true,"noteIndex":0},"citationItems":[{"id":307,"uris":["http://zotero.org/users/1939618/items/5EYQ7BBW"],"uri":["http://zotero.org/users/1939618/items/5EYQ7BBW"],"itemData":{"id":307,"type":"article-journal","title":"Conceptual accent evaluation: Thirty years of accent prejudice in the UK","container-title":"Acta Linguistica Hafniensia","source":"www-tandfonline-com.sheffield.idm.oclc.org","archive_location":"world","abstract":"(2005). Conceptual accent evaluation: Thirty years of accent prejudice in the UK. Acta Linguistica Hafniensia: Vol. 37, No. 1, pp. 131-154.","URL":"http://www-tandfonline-com.sheffield.idm.oclc.org/doi/abs/10.1080/03740463.2005.10416087","ISSN":"10.1080/03740463.2005.10416087","shortTitle":"Conceptual accent evaluation","language":"en","author":[{"family":"Bishop","given":"Hywel"},{"family":"Coupland","given":"Nikolas"},{"family":"Garrett","given":"Peter"}],"issued":{"date-parts":[["2011",11,24]]},"accessed":{"date-parts":[["2018",1,4]]}}}],"schema":"https://github.com/citation-style-language/schema/raw/master/csl-citation.json"} </w:instrText>
      </w:r>
      <w:r w:rsidRPr="00CF31E0">
        <w:rPr>
          <w:lang w:eastAsia="zh-CN"/>
        </w:rPr>
        <w:fldChar w:fldCharType="separate"/>
      </w:r>
      <w:r w:rsidR="00655DEF" w:rsidRPr="00CF31E0">
        <w:rPr>
          <w:lang w:eastAsia="zh-CN"/>
        </w:rPr>
        <w:t>Bishop et al. (2005</w:t>
      </w:r>
      <w:r w:rsidRPr="00CF31E0">
        <w:rPr>
          <w:lang w:eastAsia="zh-CN"/>
        </w:rPr>
        <w:t>)</w:t>
      </w:r>
      <w:r w:rsidRPr="00CF31E0">
        <w:rPr>
          <w:lang w:eastAsia="zh-CN"/>
        </w:rPr>
        <w:fldChar w:fldCharType="end"/>
      </w:r>
      <w:r w:rsidRPr="00CF31E0">
        <w:rPr>
          <w:lang w:eastAsia="zh-CN"/>
        </w:rPr>
        <w:t xml:space="preserve"> argue that other methodological approaches might lead to different findings from </w:t>
      </w:r>
      <w:r w:rsidR="008479D3" w:rsidRPr="00CF31E0">
        <w:rPr>
          <w:lang w:eastAsia="zh-CN"/>
        </w:rPr>
        <w:t>those</w:t>
      </w:r>
      <w:r w:rsidRPr="00CF31E0">
        <w:rPr>
          <w:lang w:eastAsia="zh-CN"/>
        </w:rPr>
        <w:t xml:space="preserve"> obtained </w:t>
      </w:r>
      <w:r w:rsidR="008479D3" w:rsidRPr="00CF31E0">
        <w:rPr>
          <w:lang w:eastAsia="zh-CN"/>
        </w:rPr>
        <w:t xml:space="preserve">via the </w:t>
      </w:r>
      <w:r w:rsidRPr="00CF31E0">
        <w:rPr>
          <w:lang w:eastAsia="zh-CN"/>
        </w:rPr>
        <w:t xml:space="preserve">conceptual approach. Therefore, as discussed in the literature, I am going to incorporate a socio-phonetic approach </w:t>
      </w:r>
      <w:r w:rsidR="008479D3" w:rsidRPr="00CF31E0">
        <w:rPr>
          <w:lang w:eastAsia="zh-CN"/>
        </w:rPr>
        <w:t>in</w:t>
      </w:r>
      <w:r w:rsidRPr="00CF31E0">
        <w:rPr>
          <w:lang w:eastAsia="zh-CN"/>
        </w:rPr>
        <w:t xml:space="preserve">to the present study to reveal deeper and more covert attitudes which the conceptual approach might </w:t>
      </w:r>
      <w:r w:rsidR="008479D3" w:rsidRPr="00CF31E0">
        <w:rPr>
          <w:lang w:eastAsia="zh-CN"/>
        </w:rPr>
        <w:t xml:space="preserve">have </w:t>
      </w:r>
      <w:r w:rsidRPr="00CF31E0">
        <w:rPr>
          <w:lang w:eastAsia="zh-CN"/>
        </w:rPr>
        <w:t xml:space="preserve">failed to tap into. </w:t>
      </w:r>
    </w:p>
    <w:p w14:paraId="6EADF9A0" w14:textId="3690870B" w:rsidR="00A23C2A" w:rsidRPr="00CF31E0" w:rsidRDefault="00A23C2A" w:rsidP="00603CB7">
      <w:pPr>
        <w:pStyle w:val="Paragraph"/>
        <w:rPr>
          <w:lang w:eastAsia="zh-CN"/>
        </w:rPr>
      </w:pPr>
      <w:r w:rsidRPr="00CF31E0">
        <w:rPr>
          <w:lang w:eastAsia="zh-CN"/>
        </w:rPr>
        <w:t xml:space="preserve">Overall, the conceptual approach seems to be successful in generating comparable findings to </w:t>
      </w:r>
      <w:r w:rsidR="003B615C" w:rsidRPr="00CF31E0">
        <w:rPr>
          <w:lang w:eastAsia="zh-CN"/>
        </w:rPr>
        <w:t xml:space="preserve">those uncovered in </w:t>
      </w:r>
      <w:r w:rsidRPr="00CF31E0">
        <w:rPr>
          <w:lang w:eastAsia="zh-CN"/>
        </w:rPr>
        <w:t xml:space="preserve">the </w:t>
      </w:r>
      <w:r w:rsidR="003B615C" w:rsidRPr="00CF31E0">
        <w:rPr>
          <w:lang w:eastAsia="zh-CN"/>
        </w:rPr>
        <w:t xml:space="preserve">research on the </w:t>
      </w:r>
      <w:r w:rsidRPr="00CF31E0">
        <w:rPr>
          <w:lang w:eastAsia="zh-CN"/>
        </w:rPr>
        <w:t>background information in the region</w:t>
      </w:r>
      <w:r w:rsidR="003B615C" w:rsidRPr="00CF31E0">
        <w:rPr>
          <w:lang w:eastAsia="zh-CN"/>
        </w:rPr>
        <w:t>,</w:t>
      </w:r>
      <w:r w:rsidRPr="00CF31E0">
        <w:rPr>
          <w:lang w:eastAsia="zh-CN"/>
        </w:rPr>
        <w:t xml:space="preserve"> which revealed structured language ideologies</w:t>
      </w:r>
      <w:r w:rsidR="003B615C" w:rsidRPr="00CF31E0">
        <w:rPr>
          <w:lang w:eastAsia="zh-CN"/>
        </w:rPr>
        <w:t xml:space="preserve">. However, </w:t>
      </w:r>
      <w:r w:rsidRPr="00CF31E0">
        <w:rPr>
          <w:lang w:eastAsia="zh-CN"/>
        </w:rPr>
        <w:t>I cannot be fully certain that such category-bounded attitudes would reveal the whole picture of Hijazi language attitudes, as more research is needed to uncover covert ster</w:t>
      </w:r>
      <w:r w:rsidR="00515E30" w:rsidRPr="00CF31E0">
        <w:rPr>
          <w:lang w:eastAsia="zh-CN"/>
        </w:rPr>
        <w:t>e</w:t>
      </w:r>
      <w:r w:rsidRPr="00CF31E0">
        <w:rPr>
          <w:lang w:eastAsia="zh-CN"/>
        </w:rPr>
        <w:t xml:space="preserve">otypes free from category-bounded language ideologies. Therefore, in </w:t>
      </w:r>
      <w:r w:rsidR="003B615C" w:rsidRPr="00CF31E0">
        <w:rPr>
          <w:lang w:eastAsia="zh-CN"/>
        </w:rPr>
        <w:t>C</w:t>
      </w:r>
      <w:r w:rsidR="00FB79FF" w:rsidRPr="00CF31E0">
        <w:rPr>
          <w:lang w:eastAsia="zh-CN"/>
        </w:rPr>
        <w:t>hapter 12</w:t>
      </w:r>
      <w:r w:rsidRPr="00CF31E0">
        <w:rPr>
          <w:lang w:eastAsia="zh-CN"/>
        </w:rPr>
        <w:t xml:space="preserve"> I will have the </w:t>
      </w:r>
      <w:r w:rsidRPr="00CF31E0">
        <w:rPr>
          <w:lang w:eastAsia="zh-CN"/>
        </w:rPr>
        <w:lastRenderedPageBreak/>
        <w:t xml:space="preserve">opportunity to test the validity of the present findings by incorporating a socio-phonetic approach </w:t>
      </w:r>
      <w:r w:rsidR="003B615C" w:rsidRPr="00CF31E0">
        <w:rPr>
          <w:lang w:eastAsia="zh-CN"/>
        </w:rPr>
        <w:t>in</w:t>
      </w:r>
      <w:r w:rsidRPr="00CF31E0">
        <w:rPr>
          <w:lang w:eastAsia="zh-CN"/>
        </w:rPr>
        <w:t xml:space="preserve">to the present conceptual approach. </w:t>
      </w:r>
    </w:p>
    <w:p w14:paraId="234E5900" w14:textId="55C6C9FA" w:rsidR="00A23C2A" w:rsidRPr="00CF31E0" w:rsidRDefault="00A23C2A" w:rsidP="00603CB7">
      <w:pPr>
        <w:pStyle w:val="Paragraph"/>
        <w:rPr>
          <w:lang w:eastAsia="zh-CN"/>
        </w:rPr>
      </w:pPr>
      <w:r w:rsidRPr="00CF31E0">
        <w:rPr>
          <w:lang w:eastAsia="zh-CN"/>
        </w:rPr>
        <w:t xml:space="preserve">The social dichotomy is empirically found in other folk linguistics studies. </w:t>
      </w:r>
      <w:r w:rsidRPr="00CF31E0">
        <w:rPr>
          <w:lang w:eastAsia="zh-CN"/>
        </w:rPr>
        <w:fldChar w:fldCharType="begin"/>
      </w:r>
      <w:r w:rsidRPr="00CF31E0">
        <w:rPr>
          <w:lang w:eastAsia="zh-CN"/>
        </w:rPr>
        <w:instrText xml:space="preserve"> ADDIN ZOTERO_ITEM CSL_CITATION {"citationID":"BFB1cyPK","properties":{"formattedCitation":"(Evans, 2013)","plainCitation":"(Evans, 2013)"},"citationItems":[{"id":79,"uris":["http://zotero.org/users/1939618/items/IQDD6VA3"],"uri":["http://zotero.org/users/1939618/items/IQDD6VA3"],"itemData":{"id":79,"type":"article-journal","title":"Seattle to Spokane: Mapping perceptions of English in Washington state","container-title":"Journal of English Linguistics","page":"0075424213494822","source":"Google Scholar","shortTitle":"Seattle to Spokane","author":[{"family":"Evans","given":"Betsy E."}],"issued":{"date-parts":[["2013"]]}}}],"schema":"https://github.com/citation-style-language/schema/raw/master/csl-citation.json"} </w:instrText>
      </w:r>
      <w:r w:rsidRPr="00CF31E0">
        <w:rPr>
          <w:lang w:eastAsia="zh-CN"/>
        </w:rPr>
        <w:fldChar w:fldCharType="separate"/>
      </w:r>
      <w:r w:rsidRPr="00CF31E0">
        <w:rPr>
          <w:lang w:eastAsia="zh-CN"/>
        </w:rPr>
        <w:t>Evans (2013)</w:t>
      </w:r>
      <w:r w:rsidRPr="00CF31E0">
        <w:rPr>
          <w:lang w:eastAsia="zh-CN"/>
        </w:rPr>
        <w:fldChar w:fldCharType="end"/>
      </w:r>
      <w:r w:rsidRPr="00CF31E0">
        <w:rPr>
          <w:lang w:eastAsia="zh-CN"/>
        </w:rPr>
        <w:t xml:space="preserve"> revealed a similar pattern in her study investigating peoples’ perceptions of language varieties in Washington. Her findings revealed that Washington residents perceive two different patterns of language varieties within the state. First, urban areas were identified as different where educated people were most concentrated. Second, the distinction between urban/rural varieties was explicit: people from the eastern side of the state were described as adopting rural and farming lifestyles and were labelled as “</w:t>
      </w:r>
      <w:r w:rsidR="00143809" w:rsidRPr="00CF31E0">
        <w:rPr>
          <w:lang w:eastAsia="zh-CN"/>
        </w:rPr>
        <w:t>count</w:t>
      </w:r>
      <w:r w:rsidRPr="00CF31E0">
        <w:rPr>
          <w:lang w:eastAsia="zh-CN"/>
        </w:rPr>
        <w:t xml:space="preserve">ry” </w:t>
      </w:r>
      <w:r w:rsidRPr="00CF31E0">
        <w:rPr>
          <w:lang w:eastAsia="zh-CN"/>
        </w:rPr>
        <w:fldChar w:fldCharType="begin"/>
      </w:r>
      <w:r w:rsidRPr="00CF31E0">
        <w:rPr>
          <w:lang w:eastAsia="zh-CN"/>
        </w:rPr>
        <w:instrText xml:space="preserve"> ADDIN ZOTERO_ITEM CSL_CITATION {"citationID":"McOQw99i","properties":{"formattedCitation":"(Evans, 2013, p. 286)","plainCitation":"(Evans, 2013, p. 286)"},"citationItems":[{"id":79,"uris":["http://zotero.org/users/1939618/items/IQDD6VA3"],"uri":["http://zotero.org/users/1939618/items/IQDD6VA3"],"itemData":{"id":79,"type":"article-journal","title":"Seattle to Spokane: Mapping perceptions of English in Washington state","container-title":"Journal of English Linguistics","page":"0075424213494822","source":"Google Scholar","shortTitle":"Seattle to Spokane","author":[{"family":"Evans","given":"Betsy E."}],"issued":{"date-parts":[["2013"]]}},"locator":"286","label":"page"}],"schema":"https://github.com/citation-style-language/schema/raw/master/csl-citation.json"} </w:instrText>
      </w:r>
      <w:r w:rsidRPr="00CF31E0">
        <w:rPr>
          <w:lang w:eastAsia="zh-CN"/>
        </w:rPr>
        <w:fldChar w:fldCharType="separate"/>
      </w:r>
      <w:r w:rsidRPr="00CF31E0">
        <w:rPr>
          <w:lang w:eastAsia="zh-CN"/>
        </w:rPr>
        <w:t>(Evans, 2013, p. 286)</w:t>
      </w:r>
      <w:r w:rsidRPr="00CF31E0">
        <w:rPr>
          <w:lang w:eastAsia="zh-CN"/>
        </w:rPr>
        <w:fldChar w:fldCharType="end"/>
      </w:r>
      <w:r w:rsidRPr="00CF31E0">
        <w:rPr>
          <w:lang w:eastAsia="zh-CN"/>
        </w:rPr>
        <w:t xml:space="preserve">. Such distinctions have not been “found in national perceptual dialect map surveys” </w:t>
      </w:r>
      <w:r w:rsidRPr="00CF31E0">
        <w:rPr>
          <w:lang w:eastAsia="zh-CN"/>
        </w:rPr>
        <w:fldChar w:fldCharType="begin"/>
      </w:r>
      <w:r w:rsidRPr="00CF31E0">
        <w:rPr>
          <w:lang w:eastAsia="zh-CN"/>
        </w:rPr>
        <w:instrText xml:space="preserve"> ADDIN ZOTERO_ITEM CSL_CITATION {"citationID":"0JyNBb18","properties":{"formattedCitation":"(Evans, 2013, p. 281)","plainCitation":"(Evans, 2013, p. 281)"},"citationItems":[{"id":79,"uris":["http://zotero.org/users/1939618/items/IQDD6VA3"],"uri":["http://zotero.org/users/1939618/items/IQDD6VA3"],"itemData":{"id":79,"type":"article-journal","title":"Seattle to Spokane: Mapping perceptions of English in Washington state","container-title":"Journal of English Linguistics","page":"0075424213494822","source":"Google Scholar","shortTitle":"Seattle to Spokane","author":[{"family":"Evans","given":"Betsy E."}],"issued":{"date-parts":[["2013"]]}},"locator":"281","label":"page"}],"schema":"https://github.com/citation-style-language/schema/raw/master/csl-citation.json"} </w:instrText>
      </w:r>
      <w:r w:rsidRPr="00CF31E0">
        <w:rPr>
          <w:lang w:eastAsia="zh-CN"/>
        </w:rPr>
        <w:fldChar w:fldCharType="separate"/>
      </w:r>
      <w:r w:rsidRPr="00CF31E0">
        <w:rPr>
          <w:lang w:eastAsia="zh-CN"/>
        </w:rPr>
        <w:t>(Evans, 2013, p. 281)</w:t>
      </w:r>
      <w:r w:rsidRPr="00CF31E0">
        <w:rPr>
          <w:lang w:eastAsia="zh-CN"/>
        </w:rPr>
        <w:fldChar w:fldCharType="end"/>
      </w:r>
      <w:r w:rsidRPr="00CF31E0">
        <w:rPr>
          <w:lang w:eastAsia="zh-CN"/>
        </w:rPr>
        <w:t>. Evans asserts that her study revealed a detailed ac</w:t>
      </w:r>
      <w:r w:rsidR="00143809" w:rsidRPr="00CF31E0">
        <w:rPr>
          <w:lang w:eastAsia="zh-CN"/>
        </w:rPr>
        <w:t>count</w:t>
      </w:r>
      <w:r w:rsidR="008C6682" w:rsidRPr="00CF31E0">
        <w:rPr>
          <w:lang w:eastAsia="zh-CN"/>
        </w:rPr>
        <w:t xml:space="preserve"> </w:t>
      </w:r>
      <w:r w:rsidRPr="00CF31E0">
        <w:rPr>
          <w:lang w:eastAsia="zh-CN"/>
        </w:rPr>
        <w:t xml:space="preserve">of perceptions since it was a regionally based study that asked informants only about their perceptions of their region, not of the whole </w:t>
      </w:r>
      <w:r w:rsidR="00143809" w:rsidRPr="00CF31E0">
        <w:rPr>
          <w:lang w:eastAsia="zh-CN"/>
        </w:rPr>
        <w:t>count</w:t>
      </w:r>
      <w:r w:rsidRPr="00CF31E0">
        <w:rPr>
          <w:lang w:eastAsia="zh-CN"/>
        </w:rPr>
        <w:t>ry or of neighbouring regions. Focus</w:t>
      </w:r>
      <w:r w:rsidR="005D0894" w:rsidRPr="00CF31E0">
        <w:rPr>
          <w:lang w:eastAsia="zh-CN"/>
        </w:rPr>
        <w:t>ing</w:t>
      </w:r>
      <w:r w:rsidRPr="00CF31E0">
        <w:rPr>
          <w:lang w:eastAsia="zh-CN"/>
        </w:rPr>
        <w:t xml:space="preserve"> respondents’ attention on their own region is therefore argued to lead to more accurate and detailed results than those that have been found in earlier studies. </w:t>
      </w:r>
    </w:p>
    <w:p w14:paraId="0FB921CE" w14:textId="08A61079" w:rsidR="00A23C2A" w:rsidRPr="00CF31E0" w:rsidRDefault="00A23C2A" w:rsidP="00603CB7">
      <w:pPr>
        <w:pStyle w:val="Paragraph"/>
        <w:rPr>
          <w:lang w:eastAsia="zh-CN"/>
        </w:rPr>
      </w:pPr>
      <w:r w:rsidRPr="00CF31E0">
        <w:rPr>
          <w:lang w:eastAsia="zh-CN"/>
        </w:rPr>
        <w:t>In a similar vein, the current study is regionally</w:t>
      </w:r>
      <w:r w:rsidR="005D0894" w:rsidRPr="00CF31E0">
        <w:rPr>
          <w:lang w:eastAsia="zh-CN"/>
        </w:rPr>
        <w:t xml:space="preserve"> based</w:t>
      </w:r>
      <w:r w:rsidRPr="00CF31E0">
        <w:rPr>
          <w:lang w:eastAsia="zh-CN"/>
        </w:rPr>
        <w:t xml:space="preserve"> (i.e. only one region of SA is investigated), although the geographical distribution of the dialects is not investigated as it is beyond the scope of the current study, which is intended to be conceptual rather than perceptual</w:t>
      </w:r>
      <w:r w:rsidR="00037006" w:rsidRPr="00CF31E0">
        <w:rPr>
          <w:lang w:eastAsia="zh-CN"/>
        </w:rPr>
        <w:t xml:space="preserve">. </w:t>
      </w:r>
      <w:r w:rsidRPr="00CF31E0">
        <w:rPr>
          <w:lang w:eastAsia="zh-CN"/>
        </w:rPr>
        <w:t>In terms of their findings, both the current study and that of Evans point toward a similar dichotomy; namely, the current study reveals a modern</w:t>
      </w:r>
      <w:r w:rsidR="005D0894" w:rsidRPr="00CF31E0">
        <w:rPr>
          <w:lang w:eastAsia="zh-CN"/>
        </w:rPr>
        <w:t>–traditional</w:t>
      </w:r>
      <w:r w:rsidRPr="00CF31E0">
        <w:rPr>
          <w:lang w:eastAsia="zh-CN"/>
        </w:rPr>
        <w:t xml:space="preserve"> social dichotomy and Evans’ study reveals an urban-rural social dichotomy. It should be noted that Evan</w:t>
      </w:r>
      <w:r w:rsidR="00D97A66" w:rsidRPr="00CF31E0">
        <w:rPr>
          <w:lang w:eastAsia="zh-CN"/>
        </w:rPr>
        <w:t>s</w:t>
      </w:r>
      <w:r w:rsidRPr="00CF31E0">
        <w:rPr>
          <w:lang w:eastAsia="zh-CN"/>
        </w:rPr>
        <w:t>’s approach is different from</w:t>
      </w:r>
      <w:r w:rsidR="00D94F7B" w:rsidRPr="00CF31E0">
        <w:rPr>
          <w:lang w:eastAsia="zh-CN"/>
        </w:rPr>
        <w:t xml:space="preserve"> that of</w:t>
      </w:r>
      <w:r w:rsidRPr="00CF31E0">
        <w:rPr>
          <w:lang w:eastAsia="zh-CN"/>
        </w:rPr>
        <w:t xml:space="preserve"> the present study</w:t>
      </w:r>
      <w:r w:rsidR="00D94F7B" w:rsidRPr="00CF31E0">
        <w:rPr>
          <w:lang w:eastAsia="zh-CN"/>
        </w:rPr>
        <w:t>.</w:t>
      </w:r>
      <w:r w:rsidRPr="00CF31E0">
        <w:rPr>
          <w:lang w:eastAsia="zh-CN"/>
        </w:rPr>
        <w:t xml:space="preserve"> Evan</w:t>
      </w:r>
      <w:r w:rsidR="00D97A66" w:rsidRPr="00CF31E0">
        <w:rPr>
          <w:lang w:eastAsia="zh-CN"/>
        </w:rPr>
        <w:t>s</w:t>
      </w:r>
      <w:r w:rsidRPr="00CF31E0">
        <w:rPr>
          <w:lang w:eastAsia="zh-CN"/>
        </w:rPr>
        <w:t xml:space="preserve"> applied a perceptual approach where a draw-map task was used along with labelling way</w:t>
      </w:r>
      <w:r w:rsidR="00D94F7B" w:rsidRPr="00CF31E0">
        <w:rPr>
          <w:lang w:eastAsia="zh-CN"/>
        </w:rPr>
        <w:t>s</w:t>
      </w:r>
      <w:r w:rsidRPr="00CF31E0">
        <w:rPr>
          <w:lang w:eastAsia="zh-CN"/>
        </w:rPr>
        <w:t xml:space="preserve"> of speaking in perceived different areas, while the present study relied on </w:t>
      </w:r>
      <w:r w:rsidR="00D94F7B" w:rsidRPr="00CF31E0">
        <w:rPr>
          <w:lang w:eastAsia="zh-CN"/>
        </w:rPr>
        <w:t xml:space="preserve">a </w:t>
      </w:r>
      <w:r w:rsidRPr="00CF31E0">
        <w:rPr>
          <w:lang w:eastAsia="zh-CN"/>
        </w:rPr>
        <w:t xml:space="preserve">conceptual approach. Notwithstanding the disparities in </w:t>
      </w:r>
      <w:r w:rsidR="00D94F7B" w:rsidRPr="00CF31E0">
        <w:rPr>
          <w:lang w:eastAsia="zh-CN"/>
        </w:rPr>
        <w:t xml:space="preserve">the </w:t>
      </w:r>
      <w:r w:rsidRPr="00CF31E0">
        <w:rPr>
          <w:lang w:eastAsia="zh-CN"/>
        </w:rPr>
        <w:t xml:space="preserve">approaches of the two studies, the language dichotomy appears to </w:t>
      </w:r>
      <w:r w:rsidR="00D94F7B" w:rsidRPr="00CF31E0">
        <w:rPr>
          <w:lang w:eastAsia="zh-CN"/>
        </w:rPr>
        <w:t>emerge</w:t>
      </w:r>
      <w:r w:rsidRPr="00CF31E0">
        <w:rPr>
          <w:lang w:eastAsia="zh-CN"/>
        </w:rPr>
        <w:t xml:space="preserve"> in both studies’ results. The most likely interpretation for the similar results </w:t>
      </w:r>
      <w:r w:rsidR="00D94F7B" w:rsidRPr="00CF31E0">
        <w:rPr>
          <w:lang w:eastAsia="zh-CN"/>
        </w:rPr>
        <w:t xml:space="preserve">is </w:t>
      </w:r>
      <w:r w:rsidRPr="00CF31E0">
        <w:rPr>
          <w:lang w:eastAsia="zh-CN"/>
        </w:rPr>
        <w:t>two</w:t>
      </w:r>
      <w:r w:rsidR="00D94F7B" w:rsidRPr="00CF31E0">
        <w:rPr>
          <w:lang w:eastAsia="zh-CN"/>
        </w:rPr>
        <w:t>-</w:t>
      </w:r>
      <w:r w:rsidRPr="00CF31E0">
        <w:rPr>
          <w:lang w:eastAsia="zh-CN"/>
        </w:rPr>
        <w:t xml:space="preserve">fold; first, the direct measures applied in both studies, </w:t>
      </w:r>
      <w:r w:rsidR="00D94F7B" w:rsidRPr="00CF31E0">
        <w:rPr>
          <w:lang w:eastAsia="zh-CN"/>
        </w:rPr>
        <w:t xml:space="preserve">the </w:t>
      </w:r>
      <w:r w:rsidRPr="00CF31E0">
        <w:rPr>
          <w:lang w:eastAsia="zh-CN"/>
        </w:rPr>
        <w:t>perceptual approach in Evan</w:t>
      </w:r>
      <w:r w:rsidR="00D97A66" w:rsidRPr="00CF31E0">
        <w:rPr>
          <w:lang w:eastAsia="zh-CN"/>
        </w:rPr>
        <w:t>s</w:t>
      </w:r>
      <w:r w:rsidRPr="00CF31E0">
        <w:rPr>
          <w:lang w:eastAsia="zh-CN"/>
        </w:rPr>
        <w:t xml:space="preserve">’s </w:t>
      </w:r>
      <w:r w:rsidR="00D94F7B" w:rsidRPr="00CF31E0">
        <w:rPr>
          <w:lang w:eastAsia="zh-CN"/>
        </w:rPr>
        <w:t xml:space="preserve">study </w:t>
      </w:r>
      <w:r w:rsidRPr="00CF31E0">
        <w:rPr>
          <w:lang w:eastAsia="zh-CN"/>
        </w:rPr>
        <w:t xml:space="preserve">and </w:t>
      </w:r>
      <w:r w:rsidR="00D94F7B" w:rsidRPr="00CF31E0">
        <w:rPr>
          <w:lang w:eastAsia="zh-CN"/>
        </w:rPr>
        <w:t xml:space="preserve">the </w:t>
      </w:r>
      <w:r w:rsidRPr="00CF31E0">
        <w:rPr>
          <w:lang w:eastAsia="zh-CN"/>
        </w:rPr>
        <w:t xml:space="preserve">conceptual approach in the present study, </w:t>
      </w:r>
      <w:r w:rsidR="00D94F7B" w:rsidRPr="00CF31E0">
        <w:rPr>
          <w:lang w:eastAsia="zh-CN"/>
        </w:rPr>
        <w:lastRenderedPageBreak/>
        <w:t xml:space="preserve">are </w:t>
      </w:r>
      <w:r w:rsidRPr="00CF31E0">
        <w:rPr>
          <w:lang w:eastAsia="zh-CN"/>
        </w:rPr>
        <w:t>more likely to yield</w:t>
      </w:r>
      <w:r w:rsidR="00D94F7B" w:rsidRPr="00CF31E0">
        <w:rPr>
          <w:lang w:eastAsia="zh-CN"/>
        </w:rPr>
        <w:t>, respectively,</w:t>
      </w:r>
      <w:r w:rsidRPr="00CF31E0">
        <w:rPr>
          <w:lang w:eastAsia="zh-CN"/>
        </w:rPr>
        <w:t xml:space="preserve"> </w:t>
      </w:r>
      <w:r w:rsidR="00D94F7B" w:rsidRPr="00CF31E0">
        <w:rPr>
          <w:lang w:eastAsia="zh-CN"/>
        </w:rPr>
        <w:t xml:space="preserve">a </w:t>
      </w:r>
      <w:r w:rsidRPr="00CF31E0">
        <w:rPr>
          <w:lang w:eastAsia="zh-CN"/>
        </w:rPr>
        <w:t xml:space="preserve">structured language ideology in the Washington state on </w:t>
      </w:r>
      <w:r w:rsidR="00D94F7B" w:rsidRPr="00CF31E0">
        <w:rPr>
          <w:lang w:eastAsia="zh-CN"/>
        </w:rPr>
        <w:t xml:space="preserve">the </w:t>
      </w:r>
      <w:r w:rsidRPr="00CF31E0">
        <w:rPr>
          <w:lang w:eastAsia="zh-CN"/>
        </w:rPr>
        <w:t xml:space="preserve">one hand, and </w:t>
      </w:r>
      <w:r w:rsidR="00D94F7B" w:rsidRPr="00CF31E0">
        <w:rPr>
          <w:lang w:eastAsia="zh-CN"/>
        </w:rPr>
        <w:t xml:space="preserve">the </w:t>
      </w:r>
      <w:r w:rsidRPr="00CF31E0">
        <w:rPr>
          <w:lang w:eastAsia="zh-CN"/>
        </w:rPr>
        <w:t xml:space="preserve">Hijaz region on the other hand. </w:t>
      </w:r>
    </w:p>
    <w:p w14:paraId="4C529648" w14:textId="24835D4E" w:rsidR="00A23C2A" w:rsidRPr="00CF31E0" w:rsidRDefault="00A23C2A" w:rsidP="00603CB7">
      <w:pPr>
        <w:pStyle w:val="Paragraph"/>
        <w:rPr>
          <w:lang w:eastAsia="zh-CN"/>
        </w:rPr>
      </w:pPr>
      <w:r w:rsidRPr="00CF31E0">
        <w:rPr>
          <w:lang w:eastAsia="zh-CN"/>
        </w:rPr>
        <w:t xml:space="preserve">The second interpretation is related to the way people view the world. The similar dichotomy revealed in </w:t>
      </w:r>
      <w:r w:rsidR="00D94F7B" w:rsidRPr="00CF31E0">
        <w:rPr>
          <w:lang w:eastAsia="zh-CN"/>
        </w:rPr>
        <w:t xml:space="preserve">the </w:t>
      </w:r>
      <w:r w:rsidRPr="00CF31E0">
        <w:rPr>
          <w:lang w:eastAsia="zh-CN"/>
        </w:rPr>
        <w:t xml:space="preserve">two different studies with two different approaches might lead me to hypothesize that people have </w:t>
      </w:r>
      <w:r w:rsidR="00D94F7B" w:rsidRPr="00CF31E0">
        <w:rPr>
          <w:lang w:eastAsia="zh-CN"/>
        </w:rPr>
        <w:t xml:space="preserve">a </w:t>
      </w:r>
      <w:r w:rsidRPr="00CF31E0">
        <w:rPr>
          <w:lang w:eastAsia="zh-CN"/>
        </w:rPr>
        <w:t xml:space="preserve">tendency to conceptualize varieties into different groups according to their ideological positions in the research context. </w:t>
      </w:r>
    </w:p>
    <w:p w14:paraId="175C15B6" w14:textId="65D2A74E" w:rsidR="00A23C2A" w:rsidRPr="00CF31E0" w:rsidRDefault="00A23C2A" w:rsidP="00603CB7">
      <w:pPr>
        <w:pStyle w:val="Paragraph"/>
        <w:rPr>
          <w:lang w:eastAsia="zh-CN"/>
        </w:rPr>
      </w:pPr>
      <w:r w:rsidRPr="00CF31E0">
        <w:rPr>
          <w:lang w:eastAsia="zh-CN"/>
        </w:rPr>
        <w:t>Having revealed and discussed the modern</w:t>
      </w:r>
      <w:r w:rsidR="005D0894" w:rsidRPr="00CF31E0">
        <w:rPr>
          <w:lang w:eastAsia="zh-CN"/>
        </w:rPr>
        <w:t>–traditional</w:t>
      </w:r>
      <w:r w:rsidRPr="00CF31E0">
        <w:rPr>
          <w:lang w:eastAsia="zh-CN"/>
        </w:rPr>
        <w:t xml:space="preserve"> dichotomy, the association of dialect characteristics to modern and traditional dimensions needs further discussion, and this will be the subject of the next section. </w:t>
      </w:r>
    </w:p>
    <w:p w14:paraId="42B99A85" w14:textId="5D6941C3" w:rsidR="00A23C2A" w:rsidRPr="00CF31E0" w:rsidRDefault="00D11D30" w:rsidP="00E87209">
      <w:pPr>
        <w:pStyle w:val="Ahead"/>
        <w:rPr>
          <w:rFonts w:eastAsia="SimSun"/>
        </w:rPr>
      </w:pPr>
      <w:bookmarkStart w:id="722" w:name="_Toc503383074"/>
      <w:bookmarkStart w:id="723" w:name="_Toc6472762"/>
      <w:r w:rsidRPr="00CF31E0">
        <w:rPr>
          <w:rFonts w:eastAsia="SimSun"/>
        </w:rPr>
        <w:t>10</w:t>
      </w:r>
      <w:r w:rsidR="00767262" w:rsidRPr="00CF31E0">
        <w:rPr>
          <w:rFonts w:eastAsia="SimSun"/>
        </w:rPr>
        <w:t>.4.</w:t>
      </w:r>
      <w:r w:rsidR="00B36FA3" w:rsidRPr="00CF31E0">
        <w:rPr>
          <w:rFonts w:eastAsia="SimSun"/>
        </w:rPr>
        <w:tab/>
      </w:r>
      <w:r w:rsidR="00A23C2A" w:rsidRPr="00CF31E0">
        <w:rPr>
          <w:rFonts w:eastAsia="SimSun"/>
        </w:rPr>
        <w:t>Stereotypical association of dialects to modern and traditional dimensions</w:t>
      </w:r>
      <w:bookmarkEnd w:id="722"/>
      <w:bookmarkEnd w:id="723"/>
    </w:p>
    <w:p w14:paraId="5965972A" w14:textId="2A0CBB4B" w:rsidR="002C5A6D" w:rsidRPr="00CF31E0" w:rsidRDefault="00767262" w:rsidP="00603CB7">
      <w:pPr>
        <w:pStyle w:val="Paragraph"/>
        <w:rPr>
          <w:lang w:eastAsia="zh-CN"/>
        </w:rPr>
      </w:pPr>
      <w:r w:rsidRPr="00CF31E0">
        <w:rPr>
          <w:lang w:eastAsia="zh-CN"/>
        </w:rPr>
        <w:t>The r</w:t>
      </w:r>
      <w:r w:rsidR="00A23C2A" w:rsidRPr="00CF31E0">
        <w:rPr>
          <w:lang w:eastAsia="zh-CN"/>
        </w:rPr>
        <w:t xml:space="preserve">esults revealed that the dialect characteristics are associated </w:t>
      </w:r>
      <w:r w:rsidRPr="00CF31E0">
        <w:rPr>
          <w:lang w:eastAsia="zh-CN"/>
        </w:rPr>
        <w:t xml:space="preserve">with </w:t>
      </w:r>
      <w:r w:rsidR="00A23C2A" w:rsidRPr="00CF31E0">
        <w:rPr>
          <w:lang w:eastAsia="zh-CN"/>
        </w:rPr>
        <w:t xml:space="preserve">both dimensions stereotypically. In other words, a group of characteristics are more likely to emerge in the traditional dimension that is highly associated with </w:t>
      </w:r>
      <w:r w:rsidRPr="00CF31E0">
        <w:rPr>
          <w:lang w:eastAsia="zh-CN"/>
        </w:rPr>
        <w:t xml:space="preserve">the </w:t>
      </w:r>
      <w:r w:rsidR="00A23C2A" w:rsidRPr="00CF31E0">
        <w:rPr>
          <w:lang w:eastAsia="zh-CN"/>
        </w:rPr>
        <w:t xml:space="preserve">UBH dialect, and the same applies to </w:t>
      </w:r>
      <w:r w:rsidRPr="00CF31E0">
        <w:rPr>
          <w:lang w:eastAsia="zh-CN"/>
        </w:rPr>
        <w:t xml:space="preserve">the </w:t>
      </w:r>
      <w:r w:rsidR="00A23C2A" w:rsidRPr="00CF31E0">
        <w:rPr>
          <w:lang w:eastAsia="zh-CN"/>
        </w:rPr>
        <w:t xml:space="preserve">HH dialect with the modern dimension, see </w:t>
      </w:r>
      <w:r w:rsidRPr="00CF31E0">
        <w:rPr>
          <w:lang w:eastAsia="zh-CN"/>
        </w:rPr>
        <w:t>T</w:t>
      </w:r>
      <w:r w:rsidR="00A23C2A" w:rsidRPr="00CF31E0">
        <w:rPr>
          <w:lang w:eastAsia="zh-CN"/>
        </w:rPr>
        <w:t xml:space="preserve">able </w:t>
      </w:r>
      <w:r w:rsidR="00D11D30" w:rsidRPr="00CF31E0">
        <w:rPr>
          <w:lang w:eastAsia="zh-CN"/>
        </w:rPr>
        <w:t>10</w:t>
      </w:r>
      <w:r w:rsidRPr="00CF31E0">
        <w:rPr>
          <w:lang w:eastAsia="zh-CN"/>
        </w:rPr>
        <w:t xml:space="preserve">.1. </w:t>
      </w:r>
    </w:p>
    <w:tbl>
      <w:tblPr>
        <w:tblW w:w="7371" w:type="dxa"/>
        <w:tblLayout w:type="fixed"/>
        <w:tblCellMar>
          <w:left w:w="0" w:type="dxa"/>
          <w:right w:w="0" w:type="dxa"/>
        </w:tblCellMar>
        <w:tblLook w:val="04A0" w:firstRow="1" w:lastRow="0" w:firstColumn="1" w:lastColumn="0" w:noHBand="0" w:noVBand="1"/>
      </w:tblPr>
      <w:tblGrid>
        <w:gridCol w:w="3245"/>
        <w:gridCol w:w="2425"/>
        <w:gridCol w:w="1701"/>
      </w:tblGrid>
      <w:tr w:rsidR="003C49A2" w:rsidRPr="00CF31E0" w14:paraId="3E5C4E05" w14:textId="77777777" w:rsidTr="00603CB7">
        <w:trPr>
          <w:cantSplit/>
        </w:trPr>
        <w:tc>
          <w:tcPr>
            <w:tcW w:w="3245" w:type="dxa"/>
            <w:tcBorders>
              <w:top w:val="single" w:sz="8" w:space="0" w:color="000000"/>
            </w:tcBorders>
            <w:shd w:val="clear" w:color="auto" w:fill="FFFFFF"/>
            <w:vAlign w:val="bottom"/>
          </w:tcPr>
          <w:p w14:paraId="73DE6848" w14:textId="77777777" w:rsidR="003C49A2" w:rsidRPr="00CF31E0" w:rsidRDefault="003C49A2" w:rsidP="00603CB7">
            <w:pPr>
              <w:widowControl w:val="0"/>
              <w:autoSpaceDE w:val="0"/>
              <w:autoSpaceDN w:val="0"/>
              <w:adjustRightInd w:val="0"/>
              <w:spacing w:before="120" w:after="120"/>
              <w:jc w:val="both"/>
              <w:rPr>
                <w:rFonts w:eastAsia="Times New Roman"/>
                <w:color w:val="000000" w:themeColor="text1"/>
                <w:sz w:val="22"/>
                <w:szCs w:val="22"/>
                <w:lang w:eastAsia="zh-CN"/>
              </w:rPr>
            </w:pPr>
          </w:p>
        </w:tc>
        <w:tc>
          <w:tcPr>
            <w:tcW w:w="4126" w:type="dxa"/>
            <w:gridSpan w:val="2"/>
            <w:tcBorders>
              <w:top w:val="single" w:sz="8" w:space="0" w:color="000000"/>
            </w:tcBorders>
            <w:shd w:val="clear" w:color="auto" w:fill="FFFFFF"/>
            <w:vAlign w:val="bottom"/>
          </w:tcPr>
          <w:p w14:paraId="36538D30" w14:textId="77777777" w:rsidR="003C49A2" w:rsidRPr="00CF31E0" w:rsidRDefault="003C49A2" w:rsidP="00603CB7">
            <w:pPr>
              <w:widowControl w:val="0"/>
              <w:autoSpaceDE w:val="0"/>
              <w:autoSpaceDN w:val="0"/>
              <w:adjustRightInd w:val="0"/>
              <w:spacing w:before="120" w:after="120"/>
              <w:ind w:left="60" w:right="60"/>
              <w:jc w:val="center"/>
              <w:rPr>
                <w:rFonts w:eastAsia="Times New Roman"/>
                <w:color w:val="000000" w:themeColor="text1"/>
                <w:sz w:val="22"/>
                <w:szCs w:val="22"/>
                <w:lang w:eastAsia="zh-CN"/>
              </w:rPr>
            </w:pPr>
            <w:r w:rsidRPr="00CF31E0">
              <w:rPr>
                <w:rFonts w:eastAsia="Times New Roman"/>
                <w:color w:val="000000" w:themeColor="text1"/>
                <w:sz w:val="22"/>
                <w:szCs w:val="22"/>
                <w:lang w:eastAsia="zh-CN"/>
              </w:rPr>
              <w:t>Factor</w:t>
            </w:r>
          </w:p>
        </w:tc>
      </w:tr>
      <w:tr w:rsidR="003C49A2" w:rsidRPr="00CF31E0" w14:paraId="5B30DB80" w14:textId="77777777" w:rsidTr="00603CB7">
        <w:trPr>
          <w:cantSplit/>
        </w:trPr>
        <w:tc>
          <w:tcPr>
            <w:tcW w:w="3245" w:type="dxa"/>
            <w:tcBorders>
              <w:bottom w:val="single" w:sz="8" w:space="0" w:color="000000"/>
            </w:tcBorders>
            <w:shd w:val="clear" w:color="auto" w:fill="FFFFFF"/>
            <w:vAlign w:val="bottom"/>
            <w:hideMark/>
          </w:tcPr>
          <w:p w14:paraId="7629D8A6" w14:textId="77777777" w:rsidR="003C49A2" w:rsidRPr="00CF31E0" w:rsidRDefault="003C49A2" w:rsidP="00603CB7">
            <w:pPr>
              <w:widowControl w:val="0"/>
              <w:autoSpaceDE w:val="0"/>
              <w:autoSpaceDN w:val="0"/>
              <w:adjustRightInd w:val="0"/>
              <w:spacing w:before="120" w:after="12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Variables</w:t>
            </w:r>
          </w:p>
        </w:tc>
        <w:tc>
          <w:tcPr>
            <w:tcW w:w="2425" w:type="dxa"/>
            <w:tcBorders>
              <w:bottom w:val="single" w:sz="8" w:space="0" w:color="000000"/>
            </w:tcBorders>
            <w:shd w:val="clear" w:color="auto" w:fill="FFFFFF"/>
            <w:vAlign w:val="bottom"/>
            <w:hideMark/>
          </w:tcPr>
          <w:p w14:paraId="3E695968" w14:textId="77777777" w:rsidR="003C49A2" w:rsidRPr="00CF31E0" w:rsidRDefault="003C49A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1</w:t>
            </w:r>
          </w:p>
        </w:tc>
        <w:tc>
          <w:tcPr>
            <w:tcW w:w="1701" w:type="dxa"/>
            <w:tcBorders>
              <w:bottom w:val="single" w:sz="8" w:space="0" w:color="000000"/>
            </w:tcBorders>
            <w:shd w:val="clear" w:color="auto" w:fill="FFFFFF"/>
            <w:vAlign w:val="bottom"/>
            <w:hideMark/>
          </w:tcPr>
          <w:p w14:paraId="6A97C36B" w14:textId="77777777" w:rsidR="003C49A2" w:rsidRPr="00CF31E0" w:rsidRDefault="003C49A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2</w:t>
            </w:r>
          </w:p>
        </w:tc>
      </w:tr>
      <w:tr w:rsidR="003C49A2" w:rsidRPr="00CF31E0" w14:paraId="7CEF91B3" w14:textId="77777777" w:rsidTr="00603CB7">
        <w:trPr>
          <w:cantSplit/>
        </w:trPr>
        <w:tc>
          <w:tcPr>
            <w:tcW w:w="3245" w:type="dxa"/>
            <w:tcBorders>
              <w:top w:val="single" w:sz="8" w:space="0" w:color="000000"/>
            </w:tcBorders>
            <w:shd w:val="clear" w:color="auto" w:fill="FFFFFF"/>
          </w:tcPr>
          <w:p w14:paraId="7C61B276" w14:textId="77777777" w:rsidR="003C49A2" w:rsidRPr="00CF31E0" w:rsidRDefault="003C49A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Traditional</w:t>
            </w:r>
          </w:p>
        </w:tc>
        <w:tc>
          <w:tcPr>
            <w:tcW w:w="2425" w:type="dxa"/>
            <w:tcBorders>
              <w:top w:val="single" w:sz="8" w:space="0" w:color="000000"/>
            </w:tcBorders>
            <w:shd w:val="clear" w:color="auto" w:fill="FFFFFF"/>
            <w:vAlign w:val="center"/>
          </w:tcPr>
          <w:p w14:paraId="4B084776" w14:textId="77777777" w:rsidR="003C49A2" w:rsidRPr="00CF31E0" w:rsidRDefault="003C49A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p>
        </w:tc>
        <w:tc>
          <w:tcPr>
            <w:tcW w:w="1701" w:type="dxa"/>
            <w:tcBorders>
              <w:top w:val="single" w:sz="8" w:space="0" w:color="000000"/>
            </w:tcBorders>
            <w:shd w:val="clear" w:color="auto" w:fill="FFFFFF"/>
          </w:tcPr>
          <w:p w14:paraId="17AA579B" w14:textId="77777777" w:rsidR="003C49A2" w:rsidRPr="00CF31E0" w:rsidRDefault="003C49A2" w:rsidP="00603CB7">
            <w:pPr>
              <w:widowControl w:val="0"/>
              <w:autoSpaceDE w:val="0"/>
              <w:autoSpaceDN w:val="0"/>
              <w:adjustRightInd w:val="0"/>
              <w:spacing w:before="120" w:after="12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.671</w:t>
            </w:r>
          </w:p>
        </w:tc>
      </w:tr>
      <w:tr w:rsidR="003C49A2" w:rsidRPr="00CF31E0" w14:paraId="58966098" w14:textId="77777777" w:rsidTr="00603CB7">
        <w:trPr>
          <w:cantSplit/>
        </w:trPr>
        <w:tc>
          <w:tcPr>
            <w:tcW w:w="3245" w:type="dxa"/>
            <w:shd w:val="clear" w:color="auto" w:fill="FFFFFF"/>
          </w:tcPr>
          <w:p w14:paraId="0DB5694E" w14:textId="3F1BA9AF" w:rsidR="003C49A2" w:rsidRPr="00CF31E0" w:rsidRDefault="00036181"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Sounds c</w:t>
            </w:r>
            <w:r w:rsidR="003C49A2" w:rsidRPr="00CF31E0">
              <w:rPr>
                <w:rFonts w:eastAsia="Times New Roman"/>
                <w:color w:val="000000" w:themeColor="text1"/>
                <w:sz w:val="22"/>
                <w:szCs w:val="22"/>
                <w:lang w:eastAsia="zh-CN"/>
              </w:rPr>
              <w:t>orrect</w:t>
            </w:r>
          </w:p>
        </w:tc>
        <w:tc>
          <w:tcPr>
            <w:tcW w:w="2425" w:type="dxa"/>
            <w:shd w:val="clear" w:color="auto" w:fill="FFFFFF"/>
            <w:vAlign w:val="center"/>
          </w:tcPr>
          <w:p w14:paraId="039590C2" w14:textId="77777777" w:rsidR="003C49A2" w:rsidRPr="00CF31E0" w:rsidRDefault="003C49A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p>
        </w:tc>
        <w:tc>
          <w:tcPr>
            <w:tcW w:w="1701" w:type="dxa"/>
            <w:shd w:val="clear" w:color="auto" w:fill="FFFFFF"/>
          </w:tcPr>
          <w:p w14:paraId="1BDF1787" w14:textId="77777777" w:rsidR="003C49A2" w:rsidRPr="00CF31E0" w:rsidRDefault="003C49A2" w:rsidP="00603CB7">
            <w:pPr>
              <w:widowControl w:val="0"/>
              <w:autoSpaceDE w:val="0"/>
              <w:autoSpaceDN w:val="0"/>
              <w:adjustRightInd w:val="0"/>
              <w:spacing w:before="120" w:after="12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.682</w:t>
            </w:r>
          </w:p>
        </w:tc>
      </w:tr>
      <w:tr w:rsidR="003C49A2" w:rsidRPr="00CF31E0" w14:paraId="4F3DF4EE" w14:textId="77777777" w:rsidTr="00603CB7">
        <w:trPr>
          <w:cantSplit/>
        </w:trPr>
        <w:tc>
          <w:tcPr>
            <w:tcW w:w="3245" w:type="dxa"/>
            <w:shd w:val="clear" w:color="auto" w:fill="FFFFFF"/>
          </w:tcPr>
          <w:p w14:paraId="1C049D29" w14:textId="77777777" w:rsidR="003C49A2" w:rsidRPr="00CF31E0" w:rsidRDefault="003C49A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Feminine</w:t>
            </w:r>
          </w:p>
        </w:tc>
        <w:tc>
          <w:tcPr>
            <w:tcW w:w="2425" w:type="dxa"/>
            <w:shd w:val="clear" w:color="auto" w:fill="FFFFFF"/>
            <w:vAlign w:val="center"/>
          </w:tcPr>
          <w:p w14:paraId="780DDD9F" w14:textId="77777777" w:rsidR="003C49A2" w:rsidRPr="00CF31E0" w:rsidRDefault="003C49A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.486</w:t>
            </w:r>
          </w:p>
        </w:tc>
        <w:tc>
          <w:tcPr>
            <w:tcW w:w="1701" w:type="dxa"/>
            <w:shd w:val="clear" w:color="auto" w:fill="FFFFFF"/>
          </w:tcPr>
          <w:p w14:paraId="46FC11A6" w14:textId="77777777" w:rsidR="003C49A2" w:rsidRPr="00CF31E0" w:rsidRDefault="003C49A2" w:rsidP="00603CB7">
            <w:pPr>
              <w:widowControl w:val="0"/>
              <w:autoSpaceDE w:val="0"/>
              <w:autoSpaceDN w:val="0"/>
              <w:adjustRightInd w:val="0"/>
              <w:spacing w:before="120" w:after="12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-.408</w:t>
            </w:r>
          </w:p>
        </w:tc>
      </w:tr>
      <w:tr w:rsidR="003C49A2" w:rsidRPr="00CF31E0" w14:paraId="6C98B2CC" w14:textId="77777777" w:rsidTr="00603CB7">
        <w:trPr>
          <w:cantSplit/>
        </w:trPr>
        <w:tc>
          <w:tcPr>
            <w:tcW w:w="3245" w:type="dxa"/>
            <w:shd w:val="clear" w:color="auto" w:fill="FFFFFF"/>
          </w:tcPr>
          <w:p w14:paraId="16EA3052" w14:textId="77777777" w:rsidR="003C49A2" w:rsidRPr="00CF31E0" w:rsidRDefault="003C49A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Distinctive</w:t>
            </w:r>
          </w:p>
        </w:tc>
        <w:tc>
          <w:tcPr>
            <w:tcW w:w="2425" w:type="dxa"/>
            <w:shd w:val="clear" w:color="auto" w:fill="FFFFFF"/>
            <w:vAlign w:val="center"/>
          </w:tcPr>
          <w:p w14:paraId="314C75CF" w14:textId="77777777" w:rsidR="003C49A2" w:rsidRPr="00CF31E0" w:rsidRDefault="003C49A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p>
        </w:tc>
        <w:tc>
          <w:tcPr>
            <w:tcW w:w="1701" w:type="dxa"/>
            <w:shd w:val="clear" w:color="auto" w:fill="FFFFFF"/>
          </w:tcPr>
          <w:p w14:paraId="5D504CA1" w14:textId="77777777" w:rsidR="003C49A2" w:rsidRPr="00CF31E0" w:rsidRDefault="003C49A2" w:rsidP="00603CB7">
            <w:pPr>
              <w:widowControl w:val="0"/>
              <w:autoSpaceDE w:val="0"/>
              <w:autoSpaceDN w:val="0"/>
              <w:adjustRightInd w:val="0"/>
              <w:spacing w:before="120" w:after="120"/>
              <w:jc w:val="both"/>
              <w:rPr>
                <w:rFonts w:eastAsia="MS Mincho"/>
                <w:color w:val="000000" w:themeColor="text1"/>
                <w:sz w:val="22"/>
                <w:szCs w:val="22"/>
                <w:lang w:val="en-US" w:eastAsia="en-US"/>
              </w:rPr>
            </w:pPr>
          </w:p>
        </w:tc>
      </w:tr>
      <w:tr w:rsidR="003C49A2" w:rsidRPr="00CF31E0" w14:paraId="58A2857E" w14:textId="77777777" w:rsidTr="00603CB7">
        <w:trPr>
          <w:cantSplit/>
        </w:trPr>
        <w:tc>
          <w:tcPr>
            <w:tcW w:w="3245" w:type="dxa"/>
            <w:shd w:val="clear" w:color="auto" w:fill="FFFFFF"/>
          </w:tcPr>
          <w:p w14:paraId="3910350B" w14:textId="77777777" w:rsidR="003C49A2" w:rsidRPr="00CF31E0" w:rsidRDefault="003C49A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Understandable</w:t>
            </w:r>
          </w:p>
        </w:tc>
        <w:tc>
          <w:tcPr>
            <w:tcW w:w="2425" w:type="dxa"/>
            <w:shd w:val="clear" w:color="auto" w:fill="FFFFFF"/>
            <w:vAlign w:val="center"/>
          </w:tcPr>
          <w:p w14:paraId="3DCFC748" w14:textId="77777777" w:rsidR="003C49A2" w:rsidRPr="00CF31E0" w:rsidRDefault="003C49A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.630</w:t>
            </w:r>
          </w:p>
        </w:tc>
        <w:tc>
          <w:tcPr>
            <w:tcW w:w="1701" w:type="dxa"/>
            <w:shd w:val="clear" w:color="auto" w:fill="FFFFFF"/>
          </w:tcPr>
          <w:p w14:paraId="671CD84A" w14:textId="77777777" w:rsidR="003C49A2" w:rsidRPr="00CF31E0" w:rsidRDefault="003C49A2" w:rsidP="00603CB7">
            <w:pPr>
              <w:widowControl w:val="0"/>
              <w:autoSpaceDE w:val="0"/>
              <w:autoSpaceDN w:val="0"/>
              <w:adjustRightInd w:val="0"/>
              <w:spacing w:before="120" w:after="120"/>
              <w:jc w:val="both"/>
              <w:rPr>
                <w:rFonts w:eastAsia="MS Mincho"/>
                <w:color w:val="000000" w:themeColor="text1"/>
                <w:sz w:val="22"/>
                <w:szCs w:val="22"/>
                <w:lang w:val="en-US" w:eastAsia="en-US"/>
              </w:rPr>
            </w:pPr>
          </w:p>
        </w:tc>
      </w:tr>
      <w:tr w:rsidR="003C49A2" w:rsidRPr="00CF31E0" w14:paraId="11F42A60" w14:textId="77777777" w:rsidTr="00603CB7">
        <w:trPr>
          <w:cantSplit/>
        </w:trPr>
        <w:tc>
          <w:tcPr>
            <w:tcW w:w="3245" w:type="dxa"/>
            <w:shd w:val="clear" w:color="auto" w:fill="FFFFFF"/>
          </w:tcPr>
          <w:p w14:paraId="6DE82137" w14:textId="77777777" w:rsidR="003C49A2" w:rsidRPr="00CF31E0" w:rsidRDefault="003C49A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Prestigious</w:t>
            </w:r>
          </w:p>
        </w:tc>
        <w:tc>
          <w:tcPr>
            <w:tcW w:w="2425" w:type="dxa"/>
            <w:shd w:val="clear" w:color="auto" w:fill="FFFFFF"/>
            <w:vAlign w:val="center"/>
          </w:tcPr>
          <w:p w14:paraId="7D4F3124" w14:textId="77777777" w:rsidR="003C49A2" w:rsidRPr="00CF31E0" w:rsidRDefault="003C49A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.690</w:t>
            </w:r>
          </w:p>
        </w:tc>
        <w:tc>
          <w:tcPr>
            <w:tcW w:w="1701" w:type="dxa"/>
            <w:shd w:val="clear" w:color="auto" w:fill="FFFFFF"/>
          </w:tcPr>
          <w:p w14:paraId="621D1D26" w14:textId="77777777" w:rsidR="003C49A2" w:rsidRPr="00CF31E0" w:rsidRDefault="003C49A2" w:rsidP="00603CB7">
            <w:pPr>
              <w:widowControl w:val="0"/>
              <w:autoSpaceDE w:val="0"/>
              <w:autoSpaceDN w:val="0"/>
              <w:adjustRightInd w:val="0"/>
              <w:spacing w:before="120" w:after="120"/>
              <w:jc w:val="both"/>
              <w:rPr>
                <w:rFonts w:eastAsia="MS Mincho"/>
                <w:color w:val="000000" w:themeColor="text1"/>
                <w:sz w:val="22"/>
                <w:szCs w:val="22"/>
                <w:lang w:val="en-US" w:eastAsia="en-US"/>
              </w:rPr>
            </w:pPr>
          </w:p>
        </w:tc>
      </w:tr>
      <w:tr w:rsidR="003C49A2" w:rsidRPr="00CF31E0" w14:paraId="5E3B8569" w14:textId="77777777" w:rsidTr="00603CB7">
        <w:trPr>
          <w:cantSplit/>
        </w:trPr>
        <w:tc>
          <w:tcPr>
            <w:tcW w:w="3245" w:type="dxa"/>
            <w:shd w:val="clear" w:color="auto" w:fill="FFFFFF"/>
          </w:tcPr>
          <w:p w14:paraId="5F0A6A1B" w14:textId="77777777" w:rsidR="003C49A2" w:rsidRPr="00CF31E0" w:rsidRDefault="003C49A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Common in towns</w:t>
            </w:r>
          </w:p>
        </w:tc>
        <w:tc>
          <w:tcPr>
            <w:tcW w:w="2425" w:type="dxa"/>
            <w:shd w:val="clear" w:color="auto" w:fill="FFFFFF"/>
            <w:vAlign w:val="center"/>
          </w:tcPr>
          <w:p w14:paraId="2D9587B8" w14:textId="77777777" w:rsidR="003C49A2" w:rsidRPr="00CF31E0" w:rsidRDefault="003C49A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.706</w:t>
            </w:r>
          </w:p>
        </w:tc>
        <w:tc>
          <w:tcPr>
            <w:tcW w:w="1701" w:type="dxa"/>
            <w:shd w:val="clear" w:color="auto" w:fill="FFFFFF"/>
          </w:tcPr>
          <w:p w14:paraId="5C8465A0" w14:textId="77777777" w:rsidR="003C49A2" w:rsidRPr="00CF31E0" w:rsidRDefault="003C49A2" w:rsidP="00603CB7">
            <w:pPr>
              <w:widowControl w:val="0"/>
              <w:autoSpaceDE w:val="0"/>
              <w:autoSpaceDN w:val="0"/>
              <w:adjustRightInd w:val="0"/>
              <w:spacing w:before="120" w:after="12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-.411</w:t>
            </w:r>
          </w:p>
        </w:tc>
      </w:tr>
      <w:tr w:rsidR="003C49A2" w:rsidRPr="00CF31E0" w14:paraId="6B904990" w14:textId="77777777" w:rsidTr="00603CB7">
        <w:trPr>
          <w:cantSplit/>
        </w:trPr>
        <w:tc>
          <w:tcPr>
            <w:tcW w:w="3245" w:type="dxa"/>
            <w:shd w:val="clear" w:color="auto" w:fill="FFFFFF"/>
          </w:tcPr>
          <w:p w14:paraId="2C7A08A1" w14:textId="54978C70" w:rsidR="003C49A2" w:rsidRPr="00CF31E0" w:rsidRDefault="00036181"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Signifies t</w:t>
            </w:r>
            <w:r w:rsidR="003C49A2" w:rsidRPr="00CF31E0">
              <w:rPr>
                <w:rFonts w:eastAsia="Times New Roman"/>
                <w:color w:val="000000" w:themeColor="text1"/>
                <w:sz w:val="22"/>
                <w:szCs w:val="22"/>
                <w:lang w:eastAsia="zh-CN"/>
              </w:rPr>
              <w:t>ribal loyalty</w:t>
            </w:r>
          </w:p>
        </w:tc>
        <w:tc>
          <w:tcPr>
            <w:tcW w:w="2425" w:type="dxa"/>
            <w:shd w:val="clear" w:color="auto" w:fill="FFFFFF"/>
            <w:vAlign w:val="center"/>
          </w:tcPr>
          <w:p w14:paraId="60A9C926" w14:textId="77777777" w:rsidR="003C49A2" w:rsidRPr="00CF31E0" w:rsidRDefault="003C49A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p>
        </w:tc>
        <w:tc>
          <w:tcPr>
            <w:tcW w:w="1701" w:type="dxa"/>
            <w:shd w:val="clear" w:color="auto" w:fill="FFFFFF"/>
          </w:tcPr>
          <w:p w14:paraId="6C96ADA3" w14:textId="77777777" w:rsidR="003C49A2" w:rsidRPr="00CF31E0" w:rsidRDefault="003C49A2" w:rsidP="00603CB7">
            <w:pPr>
              <w:widowControl w:val="0"/>
              <w:autoSpaceDE w:val="0"/>
              <w:autoSpaceDN w:val="0"/>
              <w:adjustRightInd w:val="0"/>
              <w:spacing w:before="120" w:after="120"/>
              <w:jc w:val="both"/>
              <w:rPr>
                <w:rFonts w:eastAsia="MS Mincho"/>
                <w:color w:val="000000" w:themeColor="text1"/>
                <w:sz w:val="22"/>
                <w:szCs w:val="22"/>
                <w:lang w:val="en-US" w:eastAsia="en-US"/>
              </w:rPr>
            </w:pPr>
          </w:p>
        </w:tc>
      </w:tr>
      <w:tr w:rsidR="003C49A2" w:rsidRPr="00CF31E0" w14:paraId="1048E8A6" w14:textId="77777777" w:rsidTr="00603CB7">
        <w:trPr>
          <w:cantSplit/>
        </w:trPr>
        <w:tc>
          <w:tcPr>
            <w:tcW w:w="3245" w:type="dxa"/>
            <w:shd w:val="clear" w:color="auto" w:fill="FFFFFF"/>
          </w:tcPr>
          <w:p w14:paraId="19630330" w14:textId="77777777" w:rsidR="003C49A2" w:rsidRPr="00CF31E0" w:rsidRDefault="003C49A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lastRenderedPageBreak/>
              <w:t>Modern</w:t>
            </w:r>
          </w:p>
        </w:tc>
        <w:tc>
          <w:tcPr>
            <w:tcW w:w="2425" w:type="dxa"/>
            <w:shd w:val="clear" w:color="auto" w:fill="FFFFFF"/>
            <w:vAlign w:val="center"/>
          </w:tcPr>
          <w:p w14:paraId="067E153E" w14:textId="77777777" w:rsidR="003C49A2" w:rsidRPr="00CF31E0" w:rsidRDefault="003C49A2" w:rsidP="00603CB7">
            <w:pPr>
              <w:widowControl w:val="0"/>
              <w:autoSpaceDE w:val="0"/>
              <w:autoSpaceDN w:val="0"/>
              <w:adjustRightInd w:val="0"/>
              <w:spacing w:before="120" w:after="120"/>
              <w:ind w:left="62" w:right="62"/>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.757</w:t>
            </w:r>
          </w:p>
        </w:tc>
        <w:tc>
          <w:tcPr>
            <w:tcW w:w="1701" w:type="dxa"/>
            <w:shd w:val="clear" w:color="auto" w:fill="FFFFFF"/>
          </w:tcPr>
          <w:p w14:paraId="2E01A5F8" w14:textId="77777777" w:rsidR="003C49A2" w:rsidRPr="00CF31E0" w:rsidRDefault="003C49A2" w:rsidP="00603CB7">
            <w:pPr>
              <w:widowControl w:val="0"/>
              <w:autoSpaceDE w:val="0"/>
              <w:autoSpaceDN w:val="0"/>
              <w:adjustRightInd w:val="0"/>
              <w:spacing w:before="120" w:after="120"/>
              <w:jc w:val="both"/>
              <w:rPr>
                <w:rFonts w:eastAsia="MS Mincho"/>
                <w:color w:val="000000" w:themeColor="text1"/>
                <w:sz w:val="22"/>
                <w:szCs w:val="22"/>
                <w:lang w:val="en-US" w:eastAsia="en-US"/>
              </w:rPr>
            </w:pPr>
          </w:p>
        </w:tc>
      </w:tr>
      <w:tr w:rsidR="003C49A2" w:rsidRPr="00CF31E0" w14:paraId="04C6764F" w14:textId="77777777" w:rsidTr="00603CB7">
        <w:trPr>
          <w:cantSplit/>
        </w:trPr>
        <w:tc>
          <w:tcPr>
            <w:tcW w:w="3245" w:type="dxa"/>
            <w:shd w:val="clear" w:color="auto" w:fill="FFFFFF"/>
          </w:tcPr>
          <w:p w14:paraId="5811DBB4" w14:textId="77777777" w:rsidR="003C49A2" w:rsidRPr="00CF31E0" w:rsidRDefault="003C49A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Easy to imitate</w:t>
            </w:r>
          </w:p>
        </w:tc>
        <w:tc>
          <w:tcPr>
            <w:tcW w:w="2425" w:type="dxa"/>
            <w:shd w:val="clear" w:color="auto" w:fill="FFFFFF"/>
            <w:vAlign w:val="center"/>
          </w:tcPr>
          <w:p w14:paraId="40267975" w14:textId="77777777" w:rsidR="003C49A2" w:rsidRPr="00CF31E0" w:rsidRDefault="003C49A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.581</w:t>
            </w:r>
          </w:p>
        </w:tc>
        <w:tc>
          <w:tcPr>
            <w:tcW w:w="1701" w:type="dxa"/>
            <w:shd w:val="clear" w:color="auto" w:fill="FFFFFF"/>
          </w:tcPr>
          <w:p w14:paraId="1F0E5B04" w14:textId="77777777" w:rsidR="003C49A2" w:rsidRPr="00CF31E0" w:rsidRDefault="003C49A2" w:rsidP="00603CB7">
            <w:pPr>
              <w:widowControl w:val="0"/>
              <w:autoSpaceDE w:val="0"/>
              <w:autoSpaceDN w:val="0"/>
              <w:adjustRightInd w:val="0"/>
              <w:spacing w:before="120" w:after="120"/>
              <w:jc w:val="both"/>
              <w:rPr>
                <w:rFonts w:eastAsia="MS Mincho"/>
                <w:color w:val="000000" w:themeColor="text1"/>
                <w:sz w:val="22"/>
                <w:szCs w:val="22"/>
                <w:lang w:val="en-US" w:eastAsia="en-US"/>
              </w:rPr>
            </w:pPr>
          </w:p>
        </w:tc>
      </w:tr>
      <w:tr w:rsidR="003C49A2" w:rsidRPr="00CF31E0" w14:paraId="372A3FE4" w14:textId="77777777" w:rsidTr="00603CB7">
        <w:trPr>
          <w:cantSplit/>
        </w:trPr>
        <w:tc>
          <w:tcPr>
            <w:tcW w:w="3245" w:type="dxa"/>
            <w:shd w:val="clear" w:color="auto" w:fill="FFFFFF"/>
          </w:tcPr>
          <w:p w14:paraId="4CB55D9C" w14:textId="77777777" w:rsidR="003C49A2" w:rsidRPr="00CF31E0" w:rsidRDefault="003C49A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Masculine</w:t>
            </w:r>
          </w:p>
        </w:tc>
        <w:tc>
          <w:tcPr>
            <w:tcW w:w="2425" w:type="dxa"/>
            <w:shd w:val="clear" w:color="auto" w:fill="FFFFFF"/>
            <w:vAlign w:val="center"/>
          </w:tcPr>
          <w:p w14:paraId="64D50A41" w14:textId="77777777" w:rsidR="003C49A2" w:rsidRPr="00CF31E0" w:rsidRDefault="003C49A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p>
        </w:tc>
        <w:tc>
          <w:tcPr>
            <w:tcW w:w="1701" w:type="dxa"/>
            <w:shd w:val="clear" w:color="auto" w:fill="FFFFFF"/>
          </w:tcPr>
          <w:p w14:paraId="5BF73E9F" w14:textId="77777777" w:rsidR="003C49A2" w:rsidRPr="00CF31E0" w:rsidRDefault="003C49A2" w:rsidP="00603CB7">
            <w:pPr>
              <w:widowControl w:val="0"/>
              <w:autoSpaceDE w:val="0"/>
              <w:autoSpaceDN w:val="0"/>
              <w:adjustRightInd w:val="0"/>
              <w:spacing w:before="120" w:after="12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.500</w:t>
            </w:r>
          </w:p>
        </w:tc>
      </w:tr>
      <w:tr w:rsidR="003C49A2" w:rsidRPr="00CF31E0" w14:paraId="13D83DE3" w14:textId="77777777" w:rsidTr="00603CB7">
        <w:trPr>
          <w:cantSplit/>
        </w:trPr>
        <w:tc>
          <w:tcPr>
            <w:tcW w:w="3245" w:type="dxa"/>
            <w:shd w:val="clear" w:color="auto" w:fill="FFFFFF"/>
          </w:tcPr>
          <w:p w14:paraId="6AE1D768" w14:textId="77777777" w:rsidR="003C49A2" w:rsidRPr="00CF31E0" w:rsidRDefault="003C49A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Practical</w:t>
            </w:r>
          </w:p>
        </w:tc>
        <w:tc>
          <w:tcPr>
            <w:tcW w:w="2425" w:type="dxa"/>
            <w:shd w:val="clear" w:color="auto" w:fill="FFFFFF"/>
            <w:vAlign w:val="center"/>
          </w:tcPr>
          <w:p w14:paraId="751198DB" w14:textId="77777777" w:rsidR="003C49A2" w:rsidRPr="00CF31E0" w:rsidRDefault="003C49A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.679</w:t>
            </w:r>
          </w:p>
        </w:tc>
        <w:tc>
          <w:tcPr>
            <w:tcW w:w="1701" w:type="dxa"/>
            <w:shd w:val="clear" w:color="auto" w:fill="FFFFFF"/>
          </w:tcPr>
          <w:p w14:paraId="3F21EEF0" w14:textId="77777777" w:rsidR="003C49A2" w:rsidRPr="00CF31E0" w:rsidRDefault="003C49A2" w:rsidP="00603CB7">
            <w:pPr>
              <w:widowControl w:val="0"/>
              <w:autoSpaceDE w:val="0"/>
              <w:autoSpaceDN w:val="0"/>
              <w:adjustRightInd w:val="0"/>
              <w:spacing w:before="120" w:after="120"/>
              <w:jc w:val="both"/>
              <w:rPr>
                <w:rFonts w:eastAsia="MS Mincho"/>
                <w:color w:val="000000" w:themeColor="text1"/>
                <w:sz w:val="22"/>
                <w:szCs w:val="22"/>
                <w:lang w:val="en-US" w:eastAsia="en-US"/>
              </w:rPr>
            </w:pPr>
          </w:p>
        </w:tc>
      </w:tr>
      <w:tr w:rsidR="003C49A2" w:rsidRPr="00CF31E0" w14:paraId="3C337965" w14:textId="77777777" w:rsidTr="00603CB7">
        <w:trPr>
          <w:cantSplit/>
        </w:trPr>
        <w:tc>
          <w:tcPr>
            <w:tcW w:w="3245" w:type="dxa"/>
            <w:shd w:val="clear" w:color="auto" w:fill="FFFFFF"/>
          </w:tcPr>
          <w:p w14:paraId="69CAF8FE" w14:textId="77777777" w:rsidR="003C49A2" w:rsidRPr="00CF31E0" w:rsidRDefault="003C49A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Closer to MSA</w:t>
            </w:r>
          </w:p>
        </w:tc>
        <w:tc>
          <w:tcPr>
            <w:tcW w:w="2425" w:type="dxa"/>
            <w:shd w:val="clear" w:color="auto" w:fill="FFFFFF"/>
            <w:vAlign w:val="center"/>
          </w:tcPr>
          <w:p w14:paraId="2ABF05B6" w14:textId="77777777" w:rsidR="003C49A2" w:rsidRPr="00CF31E0" w:rsidRDefault="003C49A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p>
        </w:tc>
        <w:tc>
          <w:tcPr>
            <w:tcW w:w="1701" w:type="dxa"/>
            <w:shd w:val="clear" w:color="auto" w:fill="FFFFFF"/>
          </w:tcPr>
          <w:p w14:paraId="7D4ADDFF" w14:textId="77777777" w:rsidR="003C49A2" w:rsidRPr="00CF31E0" w:rsidRDefault="003C49A2" w:rsidP="00603CB7">
            <w:pPr>
              <w:widowControl w:val="0"/>
              <w:autoSpaceDE w:val="0"/>
              <w:autoSpaceDN w:val="0"/>
              <w:adjustRightInd w:val="0"/>
              <w:spacing w:before="120" w:after="12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.625</w:t>
            </w:r>
          </w:p>
        </w:tc>
      </w:tr>
      <w:tr w:rsidR="003C49A2" w:rsidRPr="00CF31E0" w14:paraId="567324B1" w14:textId="77777777" w:rsidTr="00603CB7">
        <w:trPr>
          <w:cantSplit/>
        </w:trPr>
        <w:tc>
          <w:tcPr>
            <w:tcW w:w="3245" w:type="dxa"/>
            <w:shd w:val="clear" w:color="auto" w:fill="FFFFFF"/>
          </w:tcPr>
          <w:p w14:paraId="1DC4F7FA" w14:textId="77777777" w:rsidR="003C49A2" w:rsidRPr="00CF31E0" w:rsidRDefault="003C49A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Understandable to other Arabs</w:t>
            </w:r>
          </w:p>
        </w:tc>
        <w:tc>
          <w:tcPr>
            <w:tcW w:w="2425" w:type="dxa"/>
            <w:shd w:val="clear" w:color="auto" w:fill="FFFFFF"/>
            <w:vAlign w:val="center"/>
          </w:tcPr>
          <w:p w14:paraId="2869F4F5" w14:textId="77777777" w:rsidR="003C49A2" w:rsidRPr="00CF31E0" w:rsidRDefault="003C49A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.600</w:t>
            </w:r>
          </w:p>
        </w:tc>
        <w:tc>
          <w:tcPr>
            <w:tcW w:w="1701" w:type="dxa"/>
            <w:shd w:val="clear" w:color="auto" w:fill="FFFFFF"/>
          </w:tcPr>
          <w:p w14:paraId="03E72B42" w14:textId="77777777" w:rsidR="003C49A2" w:rsidRPr="00CF31E0" w:rsidRDefault="003C49A2" w:rsidP="00603CB7">
            <w:pPr>
              <w:widowControl w:val="0"/>
              <w:autoSpaceDE w:val="0"/>
              <w:autoSpaceDN w:val="0"/>
              <w:adjustRightInd w:val="0"/>
              <w:spacing w:before="120" w:after="120"/>
              <w:jc w:val="both"/>
              <w:rPr>
                <w:rFonts w:eastAsia="MS Mincho"/>
                <w:color w:val="000000" w:themeColor="text1"/>
                <w:sz w:val="22"/>
                <w:szCs w:val="22"/>
                <w:lang w:val="en-US" w:eastAsia="en-US"/>
              </w:rPr>
            </w:pPr>
          </w:p>
        </w:tc>
      </w:tr>
      <w:tr w:rsidR="003C49A2" w:rsidRPr="00CF31E0" w14:paraId="54E50CF3" w14:textId="77777777" w:rsidTr="00603CB7">
        <w:trPr>
          <w:cantSplit/>
        </w:trPr>
        <w:tc>
          <w:tcPr>
            <w:tcW w:w="3245" w:type="dxa"/>
            <w:tcBorders>
              <w:bottom w:val="single" w:sz="8" w:space="0" w:color="000000"/>
            </w:tcBorders>
            <w:shd w:val="clear" w:color="auto" w:fill="FFFFFF"/>
          </w:tcPr>
          <w:p w14:paraId="1A539077" w14:textId="77777777" w:rsidR="003C49A2" w:rsidRPr="00CF31E0" w:rsidRDefault="003C49A2" w:rsidP="00603CB7">
            <w:pPr>
              <w:widowControl w:val="0"/>
              <w:autoSpaceDE w:val="0"/>
              <w:autoSpaceDN w:val="0"/>
              <w:adjustRightInd w:val="0"/>
              <w:spacing w:before="120" w:after="120"/>
              <w:ind w:left="62" w:right="62"/>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Similar to other Arabic dialects</w:t>
            </w:r>
          </w:p>
        </w:tc>
        <w:tc>
          <w:tcPr>
            <w:tcW w:w="2425" w:type="dxa"/>
            <w:tcBorders>
              <w:bottom w:val="single" w:sz="8" w:space="0" w:color="000000"/>
            </w:tcBorders>
            <w:shd w:val="clear" w:color="auto" w:fill="FFFFFF"/>
            <w:vAlign w:val="center"/>
          </w:tcPr>
          <w:p w14:paraId="12D9E9DE" w14:textId="77777777" w:rsidR="003C49A2" w:rsidRPr="00CF31E0" w:rsidRDefault="003C49A2" w:rsidP="00603CB7">
            <w:pPr>
              <w:widowControl w:val="0"/>
              <w:autoSpaceDE w:val="0"/>
              <w:autoSpaceDN w:val="0"/>
              <w:adjustRightInd w:val="0"/>
              <w:spacing w:before="120" w:after="12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.577</w:t>
            </w:r>
          </w:p>
        </w:tc>
        <w:tc>
          <w:tcPr>
            <w:tcW w:w="1701" w:type="dxa"/>
            <w:tcBorders>
              <w:bottom w:val="single" w:sz="8" w:space="0" w:color="000000"/>
            </w:tcBorders>
            <w:shd w:val="clear" w:color="auto" w:fill="FFFFFF"/>
          </w:tcPr>
          <w:p w14:paraId="4CEDABCF" w14:textId="77777777" w:rsidR="003C49A2" w:rsidRPr="00CF31E0" w:rsidRDefault="003C49A2" w:rsidP="00603CB7">
            <w:pPr>
              <w:widowControl w:val="0"/>
              <w:autoSpaceDE w:val="0"/>
              <w:autoSpaceDN w:val="0"/>
              <w:adjustRightInd w:val="0"/>
              <w:spacing w:before="120" w:after="120"/>
              <w:jc w:val="both"/>
              <w:rPr>
                <w:rFonts w:eastAsia="MS Mincho"/>
                <w:color w:val="000000" w:themeColor="text1"/>
                <w:sz w:val="22"/>
                <w:szCs w:val="22"/>
                <w:lang w:val="en-US" w:eastAsia="en-US"/>
              </w:rPr>
            </w:pPr>
          </w:p>
        </w:tc>
      </w:tr>
    </w:tbl>
    <w:p w14:paraId="764ED5B1" w14:textId="457A03D6" w:rsidR="00A23C2A" w:rsidRPr="00CF31E0" w:rsidRDefault="00A23C2A" w:rsidP="00D11D30">
      <w:pPr>
        <w:pStyle w:val="Tablecaption"/>
        <w:rPr>
          <w:lang w:eastAsia="zh-CN"/>
        </w:rPr>
      </w:pPr>
      <w:bookmarkStart w:id="724" w:name="_Toc522527460"/>
      <w:bookmarkStart w:id="725" w:name="_Toc522628872"/>
      <w:bookmarkStart w:id="726" w:name="_Toc522629036"/>
      <w:bookmarkStart w:id="727" w:name="_Toc6473133"/>
      <w:r w:rsidRPr="00CF31E0">
        <w:rPr>
          <w:lang w:eastAsia="zh-CN"/>
        </w:rPr>
        <w:t xml:space="preserve">Table </w:t>
      </w:r>
      <w:r w:rsidR="00D11D30" w:rsidRPr="00CF31E0">
        <w:rPr>
          <w:lang w:eastAsia="zh-CN"/>
        </w:rPr>
        <w:t>10</w:t>
      </w:r>
      <w:r w:rsidR="00767262" w:rsidRPr="00CF31E0">
        <w:rPr>
          <w:lang w:eastAsia="zh-CN"/>
        </w:rPr>
        <w:t>.1: T</w:t>
      </w:r>
      <w:r w:rsidRPr="00CF31E0">
        <w:rPr>
          <w:lang w:eastAsia="zh-CN"/>
        </w:rPr>
        <w:t xml:space="preserve">he rotated </w:t>
      </w:r>
      <w:r w:rsidR="00767262" w:rsidRPr="00CF31E0">
        <w:rPr>
          <w:lang w:eastAsia="zh-CN"/>
        </w:rPr>
        <w:t>two-</w:t>
      </w:r>
      <w:r w:rsidRPr="00CF31E0">
        <w:rPr>
          <w:lang w:eastAsia="zh-CN"/>
        </w:rPr>
        <w:t>factor solution as revealed by FA.</w:t>
      </w:r>
      <w:bookmarkEnd w:id="724"/>
      <w:bookmarkEnd w:id="725"/>
      <w:bookmarkEnd w:id="726"/>
      <w:bookmarkEnd w:id="727"/>
      <w:r w:rsidRPr="00CF31E0">
        <w:rPr>
          <w:lang w:eastAsia="zh-CN"/>
        </w:rPr>
        <w:t xml:space="preserve"> </w:t>
      </w:r>
    </w:p>
    <w:p w14:paraId="4968E375" w14:textId="6A83D3C6" w:rsidR="00A23C2A" w:rsidRPr="00CF31E0" w:rsidRDefault="00A23C2A" w:rsidP="00603CB7">
      <w:pPr>
        <w:pStyle w:val="Paragraph"/>
        <w:rPr>
          <w:lang w:eastAsia="zh-CN"/>
        </w:rPr>
      </w:pPr>
      <w:r w:rsidRPr="00CF31E0">
        <w:rPr>
          <w:lang w:eastAsia="zh-CN"/>
        </w:rPr>
        <w:t>As can be seen from the above table</w:t>
      </w:r>
      <w:r w:rsidR="00767262" w:rsidRPr="00CF31E0">
        <w:rPr>
          <w:lang w:eastAsia="zh-CN"/>
        </w:rPr>
        <w:t>,</w:t>
      </w:r>
      <w:r w:rsidRPr="00CF31E0">
        <w:rPr>
          <w:lang w:eastAsia="zh-CN"/>
        </w:rPr>
        <w:t xml:space="preserve"> </w:t>
      </w:r>
      <w:r w:rsidR="00767262" w:rsidRPr="00CF31E0">
        <w:rPr>
          <w:lang w:eastAsia="zh-CN"/>
        </w:rPr>
        <w:t xml:space="preserve">the </w:t>
      </w:r>
      <w:r w:rsidRPr="00CF31E0">
        <w:rPr>
          <w:lang w:eastAsia="zh-CN"/>
        </w:rPr>
        <w:t xml:space="preserve">HH dialect has been stereotypically associated with a fixed group of characteristics which </w:t>
      </w:r>
      <w:r w:rsidR="008046DE" w:rsidRPr="00CF31E0">
        <w:rPr>
          <w:lang w:eastAsia="zh-CN"/>
        </w:rPr>
        <w:t xml:space="preserve">encompass </w:t>
      </w:r>
      <w:r w:rsidRPr="00CF31E0">
        <w:rPr>
          <w:lang w:eastAsia="zh-CN"/>
        </w:rPr>
        <w:t xml:space="preserve">a modern theme, while </w:t>
      </w:r>
      <w:r w:rsidR="008046DE" w:rsidRPr="00CF31E0">
        <w:rPr>
          <w:lang w:eastAsia="zh-CN"/>
        </w:rPr>
        <w:t xml:space="preserve">the </w:t>
      </w:r>
      <w:r w:rsidRPr="00CF31E0">
        <w:rPr>
          <w:lang w:eastAsia="zh-CN"/>
        </w:rPr>
        <w:t xml:space="preserve">UBH dialect </w:t>
      </w:r>
      <w:r w:rsidR="008046DE" w:rsidRPr="00CF31E0">
        <w:rPr>
          <w:lang w:eastAsia="zh-CN"/>
        </w:rPr>
        <w:t xml:space="preserve">is </w:t>
      </w:r>
      <w:r w:rsidRPr="00CF31E0">
        <w:rPr>
          <w:lang w:eastAsia="zh-CN"/>
        </w:rPr>
        <w:t xml:space="preserve">stereotypically associated with another group of characteristics that </w:t>
      </w:r>
      <w:r w:rsidR="008046DE" w:rsidRPr="00CF31E0">
        <w:rPr>
          <w:lang w:eastAsia="zh-CN"/>
        </w:rPr>
        <w:t xml:space="preserve">reflect </w:t>
      </w:r>
      <w:r w:rsidRPr="00CF31E0">
        <w:rPr>
          <w:lang w:eastAsia="zh-CN"/>
        </w:rPr>
        <w:t xml:space="preserve">a traditional theme or dimension. The stereotypical association of dialect characteristics is comparable with the stereotypical attitudes revealed in the background information </w:t>
      </w:r>
      <w:r w:rsidRPr="00CF31E0">
        <w:rPr>
          <w:lang w:eastAsia="zh-CN"/>
        </w:rPr>
        <w:fldChar w:fldCharType="begin"/>
      </w:r>
      <w:r w:rsidRPr="00CF31E0">
        <w:rPr>
          <w:lang w:eastAsia="zh-CN"/>
        </w:rPr>
        <w:instrText xml:space="preserve"> ADDIN ZOTERO_ITEM CSL_CITATION {"citationID":"k2uiSM4Z","properties":{"formattedCitation":"(Alahmadi, 2016; Al-Jehani, 1985; Nahedh, 1989)","plainCitation":"(Alahmadi, 2016; Al-Jehani, 1985; Nahedh, 1989)","noteIndex":0},"citationItems":[{"id":470,"uris":["http://zotero.org/users/1939618/items/65KMBJ76"],"uri":["http://zotero.org/users/1939618/items/65KMBJ76"],"itemData":{"id":470,"type":"article-journal","title":"Insight into the Attitudes of Speakers of Urban Meccan Hijazi Arabic towards their Dialect","container-title":"Advances in Language and Literary Studies","page":"249-256","volume":"7","source":"ResearchGate","DOI":"10.7575/aiac.alls.v.7n.2p.249","author":[{"family":"Alahmadi","given":"Sameeha"}],"issued":{"date-parts":[["2016",4,1]]}},"label":"page"},{"id":537,"uris":["http://zotero.org/users/1939618/items/CKTFSSZ4"],"uri":["http://zotero.org/users/1939618/items/CKTFSSZ4"],"itemData":{"id":537,"type":"thesis","title":"SOCIOSTYLISTIC STRATIFICATION OF ARABIC IN MAKKAH","publisher":"University of Michigan","URL":"https://www.researchgate.net/publication/36173456_SOCIOSTYLISTIC_STRATIFICATION_OF_ARABIC_IN_MAKKAH_SOCIOLINGUISTICS_VARIATION_SAUDI_ARABIA","language":"en","author":[{"family":"Al-Jehani","given":"Nassir"}],"issued":{"date-parts":[["1985"]]},"accessed":{"date-parts":[["2018",7,12]]}},"label":"page"},{"id":515,"uris":["http://zotero.org/users/1939618/items/J2X24F6B"],"uri":["http://zotero.org/users/1939618/items/J2X24F6B"],"itemData":{"id":515,"type":"thesis","title":"THE SEDENTARIZATION OF A BEDOUIN COMMUNITY IN SAUDI ARABIA","publisher":"University of Leeds","source":"Zotero","abstract":"This thesis examines the sedentarization of bedouin nomads in Saudi Arabia: partly in general, but mostly focussing on a particular region (Sajir) which was studied in the field.","language":"en","author":[{"family":"Nahedh","given":"Monera"}],"issued":{"date-parts":[["1989"]]}},"label":"page"}],"schema":"https://github.com/citation-style-language/schema/raw/master/csl-citation.json"} </w:instrText>
      </w:r>
      <w:r w:rsidRPr="00CF31E0">
        <w:rPr>
          <w:lang w:eastAsia="zh-CN"/>
        </w:rPr>
        <w:fldChar w:fldCharType="separate"/>
      </w:r>
      <w:r w:rsidRPr="00CF31E0">
        <w:rPr>
          <w:noProof/>
          <w:lang w:eastAsia="zh-CN"/>
        </w:rPr>
        <w:t>(Alahmadi, 2016; Al-Jehani, 1985; Nahedh, 1989)</w:t>
      </w:r>
      <w:r w:rsidRPr="00CF31E0">
        <w:rPr>
          <w:lang w:eastAsia="zh-CN"/>
        </w:rPr>
        <w:fldChar w:fldCharType="end"/>
      </w:r>
      <w:r w:rsidR="008046DE" w:rsidRPr="00CF31E0">
        <w:rPr>
          <w:lang w:eastAsia="zh-CN"/>
        </w:rPr>
        <w:t>.</w:t>
      </w:r>
    </w:p>
    <w:p w14:paraId="57EAD898" w14:textId="102E1080" w:rsidR="00A23C2A" w:rsidRPr="00CF31E0" w:rsidRDefault="00A23C2A" w:rsidP="00603CB7">
      <w:pPr>
        <w:pStyle w:val="Paragraph"/>
        <w:rPr>
          <w:lang w:eastAsia="zh-CN"/>
        </w:rPr>
      </w:pPr>
      <w:r w:rsidRPr="00CF31E0">
        <w:rPr>
          <w:lang w:eastAsia="zh-CN"/>
        </w:rPr>
        <w:t>Garret</w:t>
      </w:r>
      <w:r w:rsidR="00C40289" w:rsidRPr="00CF31E0">
        <w:rPr>
          <w:lang w:eastAsia="zh-CN"/>
        </w:rPr>
        <w:t>t</w:t>
      </w:r>
      <w:r w:rsidRPr="00CF31E0">
        <w:rPr>
          <w:lang w:eastAsia="zh-CN"/>
        </w:rPr>
        <w:t xml:space="preserve"> (2010, p. 33) argues “social stereotypes tend to perpetuate themselves and be self-fulfilling, acting, like ideology, as a store of ‘common sense’ beliefs or filters through which information and social life generally is conducted and made sense of”. In the light of the current discussion, I argue that the stereotypical association of the UBH dialect as traditional and the HH dialect as modern act essentially like ideology because the stereotype is driven by the powerful ideological positions reviewed in </w:t>
      </w:r>
      <w:r w:rsidR="00A743FF" w:rsidRPr="00CF31E0">
        <w:rPr>
          <w:lang w:eastAsia="zh-CN"/>
        </w:rPr>
        <w:t>C</w:t>
      </w:r>
      <w:r w:rsidRPr="00CF31E0">
        <w:rPr>
          <w:lang w:eastAsia="zh-CN"/>
        </w:rPr>
        <w:t xml:space="preserve">hapter </w:t>
      </w:r>
      <w:r w:rsidR="00D11D30" w:rsidRPr="00CF31E0">
        <w:rPr>
          <w:lang w:eastAsia="zh-CN"/>
        </w:rPr>
        <w:t>2</w:t>
      </w:r>
      <w:r w:rsidRPr="00CF31E0">
        <w:rPr>
          <w:lang w:eastAsia="zh-CN"/>
        </w:rPr>
        <w:t xml:space="preserve">. This means that the modern language ideology is built </w:t>
      </w:r>
      <w:r w:rsidR="0076111B" w:rsidRPr="00CF31E0">
        <w:rPr>
          <w:lang w:eastAsia="zh-CN"/>
        </w:rPr>
        <w:t>on the perceptions of the</w:t>
      </w:r>
      <w:r w:rsidRPr="00CF31E0">
        <w:rPr>
          <w:lang w:eastAsia="zh-CN"/>
        </w:rPr>
        <w:t xml:space="preserve"> HH dialect; and the traditional language ideology is built </w:t>
      </w:r>
      <w:r w:rsidR="0076111B" w:rsidRPr="00CF31E0">
        <w:rPr>
          <w:lang w:eastAsia="zh-CN"/>
        </w:rPr>
        <w:t>on the perceptions of the</w:t>
      </w:r>
      <w:r w:rsidRPr="00CF31E0">
        <w:rPr>
          <w:lang w:eastAsia="zh-CN"/>
        </w:rPr>
        <w:t xml:space="preserve"> UBH dialect. </w:t>
      </w:r>
    </w:p>
    <w:p w14:paraId="678417EF" w14:textId="2F812406" w:rsidR="00A23C2A" w:rsidRPr="00CF31E0" w:rsidRDefault="00D11D30" w:rsidP="00E87209">
      <w:pPr>
        <w:pStyle w:val="Ahead"/>
        <w:rPr>
          <w:rFonts w:eastAsia="SimSun"/>
        </w:rPr>
      </w:pPr>
      <w:bookmarkStart w:id="728" w:name="_Toc503383079"/>
      <w:bookmarkStart w:id="729" w:name="_Toc6472763"/>
      <w:r w:rsidRPr="00CF31E0">
        <w:rPr>
          <w:rFonts w:eastAsia="SimSun"/>
        </w:rPr>
        <w:t>10</w:t>
      </w:r>
      <w:r w:rsidR="008046DE" w:rsidRPr="00CF31E0">
        <w:rPr>
          <w:rFonts w:eastAsia="SimSun"/>
        </w:rPr>
        <w:t>.5.</w:t>
      </w:r>
      <w:r w:rsidR="00B36FA3" w:rsidRPr="00CF31E0">
        <w:rPr>
          <w:rFonts w:eastAsia="SimSun"/>
        </w:rPr>
        <w:tab/>
      </w:r>
      <w:r w:rsidR="00A23C2A" w:rsidRPr="00CF31E0">
        <w:rPr>
          <w:rFonts w:eastAsia="SimSun"/>
        </w:rPr>
        <w:t xml:space="preserve">Linguistic security of UBH </w:t>
      </w:r>
      <w:bookmarkEnd w:id="728"/>
      <w:r w:rsidR="00A23C2A" w:rsidRPr="00CF31E0">
        <w:rPr>
          <w:rFonts w:eastAsia="SimSun"/>
        </w:rPr>
        <w:t>participants</w:t>
      </w:r>
      <w:bookmarkEnd w:id="729"/>
      <w:r w:rsidR="00A23C2A" w:rsidRPr="00CF31E0">
        <w:rPr>
          <w:rFonts w:eastAsia="SimSun"/>
        </w:rPr>
        <w:t xml:space="preserve"> </w:t>
      </w:r>
    </w:p>
    <w:p w14:paraId="382B5EEB" w14:textId="61FB4BF6" w:rsidR="008A412B" w:rsidRPr="00CF31E0" w:rsidRDefault="00A23C2A" w:rsidP="00603CB7">
      <w:pPr>
        <w:pStyle w:val="Paragraph"/>
        <w:rPr>
          <w:lang w:eastAsia="zh-CN"/>
        </w:rPr>
      </w:pPr>
      <w:r w:rsidRPr="00CF31E0">
        <w:rPr>
          <w:lang w:eastAsia="zh-CN"/>
        </w:rPr>
        <w:t xml:space="preserve">When looking at the mean scores of the traditional factor given to each dialect by each social group, it seems that, in respect to the traditional factor, the UBH participants give the UBH dialect a mean score of 3.72, </w:t>
      </w:r>
      <w:r w:rsidRPr="00CF31E0">
        <w:rPr>
          <w:lang w:eastAsia="zh-CN"/>
        </w:rPr>
        <w:lastRenderedPageBreak/>
        <w:t xml:space="preserve">while the HH participants give their dialect a mean score of 2.92 </w:t>
      </w:r>
      <w:r w:rsidR="008A0892" w:rsidRPr="00CF31E0">
        <w:rPr>
          <w:lang w:eastAsia="zh-CN"/>
        </w:rPr>
        <w:t>(</w:t>
      </w:r>
      <w:r w:rsidRPr="00CF31E0">
        <w:rPr>
          <w:lang w:eastAsia="zh-CN"/>
        </w:rPr>
        <w:t xml:space="preserve">see </w:t>
      </w:r>
      <w:r w:rsidR="008046DE" w:rsidRPr="00CF31E0">
        <w:rPr>
          <w:lang w:eastAsia="zh-CN"/>
        </w:rPr>
        <w:t>T</w:t>
      </w:r>
      <w:r w:rsidRPr="00CF31E0">
        <w:rPr>
          <w:lang w:eastAsia="zh-CN"/>
        </w:rPr>
        <w:t>able</w:t>
      </w:r>
      <w:r w:rsidR="008046DE" w:rsidRPr="00CF31E0">
        <w:rPr>
          <w:lang w:eastAsia="zh-CN"/>
        </w:rPr>
        <w:t xml:space="preserve"> </w:t>
      </w:r>
      <w:r w:rsidR="00D11D30" w:rsidRPr="00CF31E0">
        <w:rPr>
          <w:lang w:eastAsia="zh-CN"/>
        </w:rPr>
        <w:t>10</w:t>
      </w:r>
      <w:r w:rsidR="008046DE" w:rsidRPr="00CF31E0">
        <w:rPr>
          <w:lang w:eastAsia="zh-CN"/>
        </w:rPr>
        <w:t xml:space="preserve">.2 </w:t>
      </w:r>
      <w:r w:rsidRPr="00CF31E0">
        <w:rPr>
          <w:lang w:eastAsia="zh-CN"/>
        </w:rPr>
        <w:t>below</w:t>
      </w:r>
      <w:r w:rsidR="008A0892" w:rsidRPr="00CF31E0">
        <w:rPr>
          <w:lang w:eastAsia="zh-CN"/>
        </w:rPr>
        <w:t>)</w:t>
      </w:r>
      <w:r w:rsidRPr="00CF31E0">
        <w:rPr>
          <w:lang w:eastAsia="zh-CN"/>
        </w:rPr>
        <w:t xml:space="preserve">. With a closer look at the make-up of the traditional factor, it is evident that some of the characteristics in the factor give a strong indication of the linguistic security of the UBH dialect as perceived by the UBH group: see </w:t>
      </w:r>
      <w:r w:rsidR="008046DE" w:rsidRPr="00CF31E0">
        <w:rPr>
          <w:lang w:eastAsia="zh-CN"/>
        </w:rPr>
        <w:t>T</w:t>
      </w:r>
      <w:r w:rsidRPr="00CF31E0">
        <w:rPr>
          <w:lang w:eastAsia="zh-CN"/>
        </w:rPr>
        <w:t xml:space="preserve">able </w:t>
      </w:r>
      <w:r w:rsidR="00D11D30" w:rsidRPr="00CF31E0">
        <w:rPr>
          <w:lang w:eastAsia="zh-CN"/>
        </w:rPr>
        <w:t>10</w:t>
      </w:r>
      <w:r w:rsidR="008046DE" w:rsidRPr="00CF31E0">
        <w:rPr>
          <w:lang w:eastAsia="zh-CN"/>
        </w:rPr>
        <w:t xml:space="preserve">.3 </w:t>
      </w:r>
      <w:r w:rsidRPr="00CF31E0">
        <w:rPr>
          <w:lang w:eastAsia="zh-CN"/>
        </w:rPr>
        <w:t xml:space="preserve">below. </w:t>
      </w:r>
    </w:p>
    <w:tbl>
      <w:tblPr>
        <w:tblStyle w:val="TableGrid4"/>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763"/>
        <w:gridCol w:w="3048"/>
      </w:tblGrid>
      <w:tr w:rsidR="007F558A" w:rsidRPr="00CF31E0" w14:paraId="5EA96878" w14:textId="77777777" w:rsidTr="00603CB7">
        <w:tc>
          <w:tcPr>
            <w:tcW w:w="1560" w:type="dxa"/>
            <w:tcBorders>
              <w:top w:val="single" w:sz="4" w:space="0" w:color="auto"/>
              <w:bottom w:val="single" w:sz="4" w:space="0" w:color="auto"/>
            </w:tcBorders>
          </w:tcPr>
          <w:p w14:paraId="3939BDDA" w14:textId="77777777" w:rsidR="00A23C2A" w:rsidRPr="00CF31E0" w:rsidRDefault="00A23C2A" w:rsidP="00603CB7">
            <w:pPr>
              <w:spacing w:before="80" w:after="80"/>
              <w:jc w:val="both"/>
              <w:rPr>
                <w:rFonts w:cs="Arial"/>
                <w:color w:val="000000" w:themeColor="text1"/>
                <w:lang w:eastAsia="zh-CN"/>
              </w:rPr>
            </w:pPr>
          </w:p>
        </w:tc>
        <w:tc>
          <w:tcPr>
            <w:tcW w:w="2763" w:type="dxa"/>
            <w:tcBorders>
              <w:top w:val="single" w:sz="4" w:space="0" w:color="auto"/>
              <w:bottom w:val="single" w:sz="4" w:space="0" w:color="auto"/>
            </w:tcBorders>
          </w:tcPr>
          <w:p w14:paraId="77352E68" w14:textId="77777777" w:rsidR="00A23C2A" w:rsidRPr="00CF31E0" w:rsidRDefault="00A23C2A" w:rsidP="00603CB7">
            <w:pPr>
              <w:spacing w:before="80" w:after="80"/>
              <w:jc w:val="both"/>
              <w:rPr>
                <w:rFonts w:cs="Arial"/>
                <w:color w:val="000000" w:themeColor="text1"/>
                <w:lang w:eastAsia="zh-CN"/>
              </w:rPr>
            </w:pPr>
            <w:r w:rsidRPr="00CF31E0">
              <w:rPr>
                <w:rFonts w:cs="Arial"/>
                <w:color w:val="000000" w:themeColor="text1"/>
                <w:lang w:eastAsia="zh-CN"/>
              </w:rPr>
              <w:t xml:space="preserve">Traditional Factor mean score for UBH dialect </w:t>
            </w:r>
          </w:p>
        </w:tc>
        <w:tc>
          <w:tcPr>
            <w:tcW w:w="3048" w:type="dxa"/>
            <w:tcBorders>
              <w:top w:val="single" w:sz="4" w:space="0" w:color="auto"/>
              <w:bottom w:val="single" w:sz="4" w:space="0" w:color="auto"/>
            </w:tcBorders>
          </w:tcPr>
          <w:p w14:paraId="4E42404B" w14:textId="77777777" w:rsidR="00A23C2A" w:rsidRPr="00CF31E0" w:rsidRDefault="00A23C2A" w:rsidP="00603CB7">
            <w:pPr>
              <w:spacing w:before="80" w:after="80"/>
              <w:jc w:val="both"/>
              <w:rPr>
                <w:rFonts w:cs="Arial"/>
                <w:color w:val="000000" w:themeColor="text1"/>
                <w:lang w:eastAsia="zh-CN"/>
              </w:rPr>
            </w:pPr>
            <w:r w:rsidRPr="00CF31E0">
              <w:rPr>
                <w:rFonts w:cs="Arial"/>
                <w:color w:val="000000" w:themeColor="text1"/>
                <w:lang w:eastAsia="zh-CN"/>
              </w:rPr>
              <w:t>Traditional Factor mean score for HH dialect</w:t>
            </w:r>
          </w:p>
        </w:tc>
      </w:tr>
      <w:tr w:rsidR="007F558A" w:rsidRPr="00CF31E0" w14:paraId="0A216F45" w14:textId="77777777" w:rsidTr="00603CB7">
        <w:tc>
          <w:tcPr>
            <w:tcW w:w="1560" w:type="dxa"/>
            <w:tcBorders>
              <w:top w:val="single" w:sz="4" w:space="0" w:color="auto"/>
              <w:bottom w:val="nil"/>
            </w:tcBorders>
          </w:tcPr>
          <w:p w14:paraId="24199AAA" w14:textId="77777777" w:rsidR="00A23C2A" w:rsidRPr="00CF31E0" w:rsidRDefault="00A23C2A" w:rsidP="00603CB7">
            <w:pPr>
              <w:spacing w:before="80" w:after="80"/>
              <w:jc w:val="both"/>
              <w:rPr>
                <w:rFonts w:cs="Arial"/>
                <w:color w:val="000000" w:themeColor="text1"/>
                <w:lang w:eastAsia="zh-CN"/>
              </w:rPr>
            </w:pPr>
            <w:r w:rsidRPr="00CF31E0">
              <w:rPr>
                <w:rFonts w:cs="Arial"/>
                <w:color w:val="000000" w:themeColor="text1"/>
                <w:lang w:eastAsia="zh-CN"/>
              </w:rPr>
              <w:t>UBH participants</w:t>
            </w:r>
          </w:p>
        </w:tc>
        <w:tc>
          <w:tcPr>
            <w:tcW w:w="2763" w:type="dxa"/>
            <w:tcBorders>
              <w:top w:val="single" w:sz="4" w:space="0" w:color="auto"/>
              <w:bottom w:val="nil"/>
            </w:tcBorders>
          </w:tcPr>
          <w:p w14:paraId="054F21C9" w14:textId="77777777" w:rsidR="00A23C2A" w:rsidRPr="00CF31E0" w:rsidRDefault="00A23C2A" w:rsidP="00603CB7">
            <w:pPr>
              <w:spacing w:before="80" w:after="80"/>
              <w:jc w:val="both"/>
              <w:rPr>
                <w:rFonts w:cs="Arial"/>
                <w:color w:val="000000" w:themeColor="text1"/>
                <w:lang w:eastAsia="zh-CN"/>
              </w:rPr>
            </w:pPr>
            <w:r w:rsidRPr="00CF31E0">
              <w:rPr>
                <w:rFonts w:cs="Arial"/>
                <w:color w:val="000000" w:themeColor="text1"/>
                <w:lang w:eastAsia="zh-CN"/>
              </w:rPr>
              <w:t>3.72</w:t>
            </w:r>
          </w:p>
        </w:tc>
        <w:tc>
          <w:tcPr>
            <w:tcW w:w="3048" w:type="dxa"/>
            <w:tcBorders>
              <w:top w:val="single" w:sz="4" w:space="0" w:color="auto"/>
              <w:bottom w:val="nil"/>
            </w:tcBorders>
          </w:tcPr>
          <w:p w14:paraId="47CFCE12" w14:textId="77777777" w:rsidR="00A23C2A" w:rsidRPr="00CF31E0" w:rsidRDefault="00A23C2A" w:rsidP="00603CB7">
            <w:pPr>
              <w:spacing w:before="80" w:after="80"/>
              <w:jc w:val="both"/>
              <w:rPr>
                <w:rFonts w:cs="Arial"/>
                <w:color w:val="000000" w:themeColor="text1"/>
                <w:lang w:eastAsia="zh-CN"/>
              </w:rPr>
            </w:pPr>
            <w:r w:rsidRPr="00CF31E0">
              <w:rPr>
                <w:rFonts w:cs="Arial"/>
                <w:color w:val="000000" w:themeColor="text1"/>
                <w:lang w:eastAsia="zh-CN"/>
              </w:rPr>
              <w:t>2.44</w:t>
            </w:r>
          </w:p>
        </w:tc>
      </w:tr>
      <w:tr w:rsidR="007F558A" w:rsidRPr="00CF31E0" w14:paraId="5CDB5A5B" w14:textId="77777777" w:rsidTr="00603CB7">
        <w:tc>
          <w:tcPr>
            <w:tcW w:w="1560" w:type="dxa"/>
            <w:tcBorders>
              <w:top w:val="nil"/>
            </w:tcBorders>
          </w:tcPr>
          <w:p w14:paraId="3FB65EAB" w14:textId="77777777" w:rsidR="00A23C2A" w:rsidRPr="00CF31E0" w:rsidRDefault="00A23C2A" w:rsidP="00603CB7">
            <w:pPr>
              <w:spacing w:before="80" w:after="160"/>
              <w:jc w:val="both"/>
              <w:rPr>
                <w:rFonts w:cs="Arial"/>
                <w:color w:val="000000" w:themeColor="text1"/>
                <w:lang w:eastAsia="zh-CN"/>
              </w:rPr>
            </w:pPr>
            <w:r w:rsidRPr="00CF31E0">
              <w:rPr>
                <w:rFonts w:cs="Arial"/>
                <w:color w:val="000000" w:themeColor="text1"/>
                <w:lang w:eastAsia="zh-CN"/>
              </w:rPr>
              <w:t>HH participants</w:t>
            </w:r>
          </w:p>
        </w:tc>
        <w:tc>
          <w:tcPr>
            <w:tcW w:w="2763" w:type="dxa"/>
            <w:tcBorders>
              <w:top w:val="nil"/>
            </w:tcBorders>
          </w:tcPr>
          <w:p w14:paraId="525A8D3A" w14:textId="77777777" w:rsidR="00A23C2A" w:rsidRPr="00CF31E0" w:rsidRDefault="00A23C2A" w:rsidP="00603CB7">
            <w:pPr>
              <w:spacing w:before="80" w:after="80"/>
              <w:jc w:val="both"/>
              <w:rPr>
                <w:rFonts w:cs="Arial"/>
                <w:color w:val="000000" w:themeColor="text1"/>
                <w:lang w:eastAsia="zh-CN"/>
              </w:rPr>
            </w:pPr>
            <w:r w:rsidRPr="00CF31E0">
              <w:rPr>
                <w:rFonts w:cs="Arial"/>
                <w:color w:val="000000" w:themeColor="text1"/>
                <w:lang w:eastAsia="zh-CN"/>
              </w:rPr>
              <w:t>3.38</w:t>
            </w:r>
          </w:p>
        </w:tc>
        <w:tc>
          <w:tcPr>
            <w:tcW w:w="3048" w:type="dxa"/>
            <w:tcBorders>
              <w:top w:val="nil"/>
            </w:tcBorders>
          </w:tcPr>
          <w:p w14:paraId="76E8D25E" w14:textId="77777777" w:rsidR="00A23C2A" w:rsidRPr="00CF31E0" w:rsidRDefault="00A23C2A" w:rsidP="00603CB7">
            <w:pPr>
              <w:spacing w:before="80" w:after="80"/>
              <w:jc w:val="both"/>
              <w:rPr>
                <w:rFonts w:cs="Arial"/>
                <w:color w:val="000000" w:themeColor="text1"/>
                <w:lang w:eastAsia="zh-CN"/>
              </w:rPr>
            </w:pPr>
            <w:r w:rsidRPr="00CF31E0">
              <w:rPr>
                <w:rFonts w:cs="Arial"/>
                <w:color w:val="000000" w:themeColor="text1"/>
                <w:lang w:eastAsia="zh-CN"/>
              </w:rPr>
              <w:t>2.92</w:t>
            </w:r>
          </w:p>
        </w:tc>
      </w:tr>
    </w:tbl>
    <w:p w14:paraId="662638C9" w14:textId="009E0AE4" w:rsidR="00A23C2A" w:rsidRPr="00CF31E0" w:rsidRDefault="00A23C2A" w:rsidP="00D11D30">
      <w:pPr>
        <w:pStyle w:val="Tablecaption"/>
        <w:rPr>
          <w:lang w:eastAsia="zh-CN"/>
        </w:rPr>
      </w:pPr>
      <w:bookmarkStart w:id="730" w:name="_Toc522527461"/>
      <w:bookmarkStart w:id="731" w:name="_Toc522628873"/>
      <w:bookmarkStart w:id="732" w:name="_Toc522629037"/>
      <w:bookmarkStart w:id="733" w:name="_Toc6473134"/>
      <w:r w:rsidRPr="00CF31E0">
        <w:rPr>
          <w:lang w:eastAsia="zh-CN"/>
        </w:rPr>
        <w:t xml:space="preserve">Table </w:t>
      </w:r>
      <w:r w:rsidR="00D11D30" w:rsidRPr="00CF31E0">
        <w:rPr>
          <w:lang w:eastAsia="zh-CN"/>
        </w:rPr>
        <w:t>10</w:t>
      </w:r>
      <w:r w:rsidR="008046DE" w:rsidRPr="00CF31E0">
        <w:rPr>
          <w:lang w:eastAsia="zh-CN"/>
        </w:rPr>
        <w:t>.2:</w:t>
      </w:r>
      <w:r w:rsidRPr="00CF31E0">
        <w:rPr>
          <w:lang w:eastAsia="zh-CN"/>
        </w:rPr>
        <w:t xml:space="preserve"> Mean scores of traditional factor within each dialect data.</w:t>
      </w:r>
      <w:bookmarkEnd w:id="730"/>
      <w:bookmarkEnd w:id="731"/>
      <w:bookmarkEnd w:id="732"/>
      <w:bookmarkEnd w:id="733"/>
    </w:p>
    <w:tbl>
      <w:tblPr>
        <w:tblW w:w="7371" w:type="dxa"/>
        <w:tblLayout w:type="fixed"/>
        <w:tblCellMar>
          <w:left w:w="0" w:type="dxa"/>
          <w:right w:w="0" w:type="dxa"/>
        </w:tblCellMar>
        <w:tblLook w:val="04A0" w:firstRow="1" w:lastRow="0" w:firstColumn="1" w:lastColumn="0" w:noHBand="0" w:noVBand="1"/>
      </w:tblPr>
      <w:tblGrid>
        <w:gridCol w:w="3245"/>
        <w:gridCol w:w="2425"/>
        <w:gridCol w:w="1701"/>
      </w:tblGrid>
      <w:tr w:rsidR="003C49A2" w:rsidRPr="00CF31E0" w14:paraId="47BC9E4D" w14:textId="77777777" w:rsidTr="00603CB7">
        <w:trPr>
          <w:cantSplit/>
        </w:trPr>
        <w:tc>
          <w:tcPr>
            <w:tcW w:w="3245" w:type="dxa"/>
            <w:tcBorders>
              <w:top w:val="single" w:sz="8" w:space="0" w:color="000000"/>
            </w:tcBorders>
            <w:shd w:val="clear" w:color="auto" w:fill="FFFFFF"/>
            <w:vAlign w:val="bottom"/>
          </w:tcPr>
          <w:p w14:paraId="6135865E" w14:textId="77777777" w:rsidR="003C49A2" w:rsidRPr="00CF31E0" w:rsidRDefault="003C49A2" w:rsidP="00603CB7">
            <w:pPr>
              <w:widowControl w:val="0"/>
              <w:autoSpaceDE w:val="0"/>
              <w:autoSpaceDN w:val="0"/>
              <w:adjustRightInd w:val="0"/>
              <w:spacing w:before="80" w:after="80"/>
              <w:jc w:val="both"/>
              <w:rPr>
                <w:rFonts w:eastAsia="Times New Roman"/>
                <w:color w:val="000000" w:themeColor="text1"/>
                <w:sz w:val="22"/>
                <w:szCs w:val="22"/>
                <w:lang w:eastAsia="zh-CN"/>
              </w:rPr>
            </w:pPr>
          </w:p>
        </w:tc>
        <w:tc>
          <w:tcPr>
            <w:tcW w:w="4126" w:type="dxa"/>
            <w:gridSpan w:val="2"/>
            <w:tcBorders>
              <w:top w:val="single" w:sz="8" w:space="0" w:color="000000"/>
            </w:tcBorders>
            <w:shd w:val="clear" w:color="auto" w:fill="FFFFFF"/>
            <w:vAlign w:val="bottom"/>
          </w:tcPr>
          <w:p w14:paraId="5D70B42A" w14:textId="77777777" w:rsidR="003C49A2" w:rsidRPr="00CF31E0" w:rsidRDefault="003C49A2" w:rsidP="00603CB7">
            <w:pPr>
              <w:widowControl w:val="0"/>
              <w:autoSpaceDE w:val="0"/>
              <w:autoSpaceDN w:val="0"/>
              <w:adjustRightInd w:val="0"/>
              <w:spacing w:before="80" w:after="80"/>
              <w:ind w:left="60" w:right="60"/>
              <w:jc w:val="center"/>
              <w:rPr>
                <w:rFonts w:eastAsia="Times New Roman"/>
                <w:color w:val="000000" w:themeColor="text1"/>
                <w:sz w:val="22"/>
                <w:szCs w:val="22"/>
                <w:lang w:eastAsia="zh-CN"/>
              </w:rPr>
            </w:pPr>
            <w:r w:rsidRPr="00CF31E0">
              <w:rPr>
                <w:rFonts w:eastAsia="Times New Roman"/>
                <w:color w:val="000000" w:themeColor="text1"/>
                <w:sz w:val="22"/>
                <w:szCs w:val="22"/>
                <w:lang w:eastAsia="zh-CN"/>
              </w:rPr>
              <w:t>Factor</w:t>
            </w:r>
          </w:p>
        </w:tc>
      </w:tr>
      <w:tr w:rsidR="003C49A2" w:rsidRPr="00CF31E0" w14:paraId="67D76088" w14:textId="77777777" w:rsidTr="00603CB7">
        <w:trPr>
          <w:cantSplit/>
        </w:trPr>
        <w:tc>
          <w:tcPr>
            <w:tcW w:w="3245" w:type="dxa"/>
            <w:tcBorders>
              <w:bottom w:val="single" w:sz="8" w:space="0" w:color="000000"/>
            </w:tcBorders>
            <w:shd w:val="clear" w:color="auto" w:fill="FFFFFF"/>
            <w:vAlign w:val="bottom"/>
            <w:hideMark/>
          </w:tcPr>
          <w:p w14:paraId="2A11D128" w14:textId="77777777" w:rsidR="003C49A2" w:rsidRPr="00CF31E0" w:rsidRDefault="003C49A2" w:rsidP="00603CB7">
            <w:pPr>
              <w:widowControl w:val="0"/>
              <w:autoSpaceDE w:val="0"/>
              <w:autoSpaceDN w:val="0"/>
              <w:adjustRightInd w:val="0"/>
              <w:spacing w:before="80" w:after="8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Variables</w:t>
            </w:r>
          </w:p>
        </w:tc>
        <w:tc>
          <w:tcPr>
            <w:tcW w:w="2425" w:type="dxa"/>
            <w:tcBorders>
              <w:bottom w:val="single" w:sz="8" w:space="0" w:color="000000"/>
            </w:tcBorders>
            <w:shd w:val="clear" w:color="auto" w:fill="FFFFFF"/>
            <w:vAlign w:val="bottom"/>
            <w:hideMark/>
          </w:tcPr>
          <w:p w14:paraId="0891B590" w14:textId="77777777" w:rsidR="003C49A2" w:rsidRPr="00CF31E0" w:rsidRDefault="003C49A2" w:rsidP="00603CB7">
            <w:pPr>
              <w:widowControl w:val="0"/>
              <w:autoSpaceDE w:val="0"/>
              <w:autoSpaceDN w:val="0"/>
              <w:adjustRightInd w:val="0"/>
              <w:spacing w:before="80" w:after="8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1</w:t>
            </w:r>
          </w:p>
        </w:tc>
        <w:tc>
          <w:tcPr>
            <w:tcW w:w="1701" w:type="dxa"/>
            <w:tcBorders>
              <w:bottom w:val="single" w:sz="8" w:space="0" w:color="000000"/>
            </w:tcBorders>
            <w:shd w:val="clear" w:color="auto" w:fill="FFFFFF"/>
            <w:vAlign w:val="bottom"/>
            <w:hideMark/>
          </w:tcPr>
          <w:p w14:paraId="58EF1A78" w14:textId="77777777" w:rsidR="003C49A2" w:rsidRPr="00CF31E0" w:rsidRDefault="003C49A2" w:rsidP="00603CB7">
            <w:pPr>
              <w:widowControl w:val="0"/>
              <w:autoSpaceDE w:val="0"/>
              <w:autoSpaceDN w:val="0"/>
              <w:adjustRightInd w:val="0"/>
              <w:spacing w:before="80" w:after="8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2</w:t>
            </w:r>
          </w:p>
        </w:tc>
      </w:tr>
      <w:tr w:rsidR="003C49A2" w:rsidRPr="00CF31E0" w14:paraId="3EAD1DEF" w14:textId="77777777" w:rsidTr="00603CB7">
        <w:trPr>
          <w:cantSplit/>
        </w:trPr>
        <w:tc>
          <w:tcPr>
            <w:tcW w:w="3245" w:type="dxa"/>
            <w:tcBorders>
              <w:top w:val="single" w:sz="8" w:space="0" w:color="000000"/>
            </w:tcBorders>
            <w:shd w:val="clear" w:color="auto" w:fill="FFFFFF"/>
          </w:tcPr>
          <w:p w14:paraId="4C9F33AC" w14:textId="77777777" w:rsidR="003C49A2" w:rsidRPr="00CF31E0" w:rsidRDefault="003C49A2" w:rsidP="00603CB7">
            <w:pPr>
              <w:widowControl w:val="0"/>
              <w:autoSpaceDE w:val="0"/>
              <w:autoSpaceDN w:val="0"/>
              <w:adjustRightInd w:val="0"/>
              <w:spacing w:before="80" w:after="8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Traditional</w:t>
            </w:r>
          </w:p>
        </w:tc>
        <w:tc>
          <w:tcPr>
            <w:tcW w:w="2425" w:type="dxa"/>
            <w:tcBorders>
              <w:top w:val="single" w:sz="8" w:space="0" w:color="000000"/>
            </w:tcBorders>
            <w:shd w:val="clear" w:color="auto" w:fill="FFFFFF"/>
            <w:vAlign w:val="center"/>
          </w:tcPr>
          <w:p w14:paraId="128E2767" w14:textId="77777777" w:rsidR="003C49A2" w:rsidRPr="00CF31E0" w:rsidRDefault="003C49A2" w:rsidP="00603CB7">
            <w:pPr>
              <w:widowControl w:val="0"/>
              <w:autoSpaceDE w:val="0"/>
              <w:autoSpaceDN w:val="0"/>
              <w:adjustRightInd w:val="0"/>
              <w:spacing w:before="80" w:after="80"/>
              <w:ind w:left="60" w:right="60"/>
              <w:jc w:val="both"/>
              <w:rPr>
                <w:rFonts w:eastAsia="Times New Roman"/>
                <w:color w:val="000000" w:themeColor="text1"/>
                <w:sz w:val="22"/>
                <w:szCs w:val="22"/>
                <w:lang w:eastAsia="zh-CN"/>
              </w:rPr>
            </w:pPr>
          </w:p>
        </w:tc>
        <w:tc>
          <w:tcPr>
            <w:tcW w:w="1701" w:type="dxa"/>
            <w:tcBorders>
              <w:top w:val="single" w:sz="8" w:space="0" w:color="000000"/>
            </w:tcBorders>
            <w:shd w:val="clear" w:color="auto" w:fill="FFFFFF"/>
          </w:tcPr>
          <w:p w14:paraId="728A4CB1" w14:textId="77777777" w:rsidR="003C49A2" w:rsidRPr="00CF31E0" w:rsidRDefault="003C49A2" w:rsidP="00603CB7">
            <w:pPr>
              <w:widowControl w:val="0"/>
              <w:autoSpaceDE w:val="0"/>
              <w:autoSpaceDN w:val="0"/>
              <w:adjustRightInd w:val="0"/>
              <w:spacing w:before="80" w:after="8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.671</w:t>
            </w:r>
          </w:p>
        </w:tc>
      </w:tr>
      <w:tr w:rsidR="003C49A2" w:rsidRPr="00CF31E0" w14:paraId="08DC0F82" w14:textId="77777777" w:rsidTr="00603CB7">
        <w:trPr>
          <w:cantSplit/>
        </w:trPr>
        <w:tc>
          <w:tcPr>
            <w:tcW w:w="3245" w:type="dxa"/>
            <w:shd w:val="clear" w:color="auto" w:fill="FFFFFF"/>
          </w:tcPr>
          <w:p w14:paraId="1262286D" w14:textId="1D74C544" w:rsidR="003C49A2" w:rsidRPr="00CF31E0" w:rsidRDefault="00036181" w:rsidP="00603CB7">
            <w:pPr>
              <w:widowControl w:val="0"/>
              <w:autoSpaceDE w:val="0"/>
              <w:autoSpaceDN w:val="0"/>
              <w:adjustRightInd w:val="0"/>
              <w:spacing w:before="80" w:after="8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Sounds c</w:t>
            </w:r>
            <w:r w:rsidR="003C49A2" w:rsidRPr="00CF31E0">
              <w:rPr>
                <w:rFonts w:eastAsia="Times New Roman"/>
                <w:color w:val="000000" w:themeColor="text1"/>
                <w:sz w:val="22"/>
                <w:szCs w:val="22"/>
                <w:lang w:eastAsia="zh-CN"/>
              </w:rPr>
              <w:t>orrect</w:t>
            </w:r>
          </w:p>
        </w:tc>
        <w:tc>
          <w:tcPr>
            <w:tcW w:w="2425" w:type="dxa"/>
            <w:shd w:val="clear" w:color="auto" w:fill="FFFFFF"/>
            <w:vAlign w:val="center"/>
          </w:tcPr>
          <w:p w14:paraId="5AB5A5D4" w14:textId="77777777" w:rsidR="003C49A2" w:rsidRPr="00CF31E0" w:rsidRDefault="003C49A2" w:rsidP="00603CB7">
            <w:pPr>
              <w:widowControl w:val="0"/>
              <w:autoSpaceDE w:val="0"/>
              <w:autoSpaceDN w:val="0"/>
              <w:adjustRightInd w:val="0"/>
              <w:spacing w:before="80" w:after="80"/>
              <w:ind w:left="60" w:right="60"/>
              <w:jc w:val="both"/>
              <w:rPr>
                <w:rFonts w:eastAsia="Times New Roman"/>
                <w:color w:val="000000" w:themeColor="text1"/>
                <w:sz w:val="22"/>
                <w:szCs w:val="22"/>
                <w:lang w:eastAsia="zh-CN"/>
              </w:rPr>
            </w:pPr>
          </w:p>
        </w:tc>
        <w:tc>
          <w:tcPr>
            <w:tcW w:w="1701" w:type="dxa"/>
            <w:shd w:val="clear" w:color="auto" w:fill="FFFFFF"/>
          </w:tcPr>
          <w:p w14:paraId="05A793C1" w14:textId="77777777" w:rsidR="003C49A2" w:rsidRPr="00CF31E0" w:rsidRDefault="003C49A2" w:rsidP="00603CB7">
            <w:pPr>
              <w:widowControl w:val="0"/>
              <w:autoSpaceDE w:val="0"/>
              <w:autoSpaceDN w:val="0"/>
              <w:adjustRightInd w:val="0"/>
              <w:spacing w:before="80" w:after="8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.682</w:t>
            </w:r>
          </w:p>
        </w:tc>
      </w:tr>
      <w:tr w:rsidR="003C49A2" w:rsidRPr="00CF31E0" w14:paraId="3DC08DE3" w14:textId="77777777" w:rsidTr="00603CB7">
        <w:trPr>
          <w:cantSplit/>
        </w:trPr>
        <w:tc>
          <w:tcPr>
            <w:tcW w:w="3245" w:type="dxa"/>
            <w:shd w:val="clear" w:color="auto" w:fill="FFFFFF"/>
          </w:tcPr>
          <w:p w14:paraId="7D4BB122" w14:textId="77777777" w:rsidR="003C49A2" w:rsidRPr="00CF31E0" w:rsidRDefault="003C49A2" w:rsidP="00603CB7">
            <w:pPr>
              <w:widowControl w:val="0"/>
              <w:autoSpaceDE w:val="0"/>
              <w:autoSpaceDN w:val="0"/>
              <w:adjustRightInd w:val="0"/>
              <w:spacing w:before="80" w:after="8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Feminine</w:t>
            </w:r>
          </w:p>
        </w:tc>
        <w:tc>
          <w:tcPr>
            <w:tcW w:w="2425" w:type="dxa"/>
            <w:shd w:val="clear" w:color="auto" w:fill="FFFFFF"/>
            <w:vAlign w:val="center"/>
          </w:tcPr>
          <w:p w14:paraId="5BD76D6C" w14:textId="77777777" w:rsidR="003C49A2" w:rsidRPr="00CF31E0" w:rsidRDefault="003C49A2" w:rsidP="00603CB7">
            <w:pPr>
              <w:widowControl w:val="0"/>
              <w:autoSpaceDE w:val="0"/>
              <w:autoSpaceDN w:val="0"/>
              <w:adjustRightInd w:val="0"/>
              <w:spacing w:before="80" w:after="8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.486</w:t>
            </w:r>
          </w:p>
        </w:tc>
        <w:tc>
          <w:tcPr>
            <w:tcW w:w="1701" w:type="dxa"/>
            <w:shd w:val="clear" w:color="auto" w:fill="FFFFFF"/>
          </w:tcPr>
          <w:p w14:paraId="728D9CAD" w14:textId="77777777" w:rsidR="003C49A2" w:rsidRPr="00CF31E0" w:rsidRDefault="003C49A2" w:rsidP="00603CB7">
            <w:pPr>
              <w:widowControl w:val="0"/>
              <w:autoSpaceDE w:val="0"/>
              <w:autoSpaceDN w:val="0"/>
              <w:adjustRightInd w:val="0"/>
              <w:spacing w:before="80" w:after="8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-.408</w:t>
            </w:r>
          </w:p>
        </w:tc>
      </w:tr>
      <w:tr w:rsidR="003C49A2" w:rsidRPr="00CF31E0" w14:paraId="0CA82356" w14:textId="77777777" w:rsidTr="00603CB7">
        <w:trPr>
          <w:cantSplit/>
        </w:trPr>
        <w:tc>
          <w:tcPr>
            <w:tcW w:w="3245" w:type="dxa"/>
            <w:shd w:val="clear" w:color="auto" w:fill="FFFFFF"/>
          </w:tcPr>
          <w:p w14:paraId="1F100CAB" w14:textId="77777777" w:rsidR="003C49A2" w:rsidRPr="00CF31E0" w:rsidRDefault="003C49A2" w:rsidP="00603CB7">
            <w:pPr>
              <w:widowControl w:val="0"/>
              <w:autoSpaceDE w:val="0"/>
              <w:autoSpaceDN w:val="0"/>
              <w:adjustRightInd w:val="0"/>
              <w:spacing w:before="80" w:after="8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Distinctive</w:t>
            </w:r>
          </w:p>
        </w:tc>
        <w:tc>
          <w:tcPr>
            <w:tcW w:w="2425" w:type="dxa"/>
            <w:shd w:val="clear" w:color="auto" w:fill="FFFFFF"/>
            <w:vAlign w:val="center"/>
          </w:tcPr>
          <w:p w14:paraId="45C2AF5F" w14:textId="77777777" w:rsidR="003C49A2" w:rsidRPr="00CF31E0" w:rsidRDefault="003C49A2" w:rsidP="00603CB7">
            <w:pPr>
              <w:widowControl w:val="0"/>
              <w:autoSpaceDE w:val="0"/>
              <w:autoSpaceDN w:val="0"/>
              <w:adjustRightInd w:val="0"/>
              <w:spacing w:before="80" w:after="80"/>
              <w:ind w:left="60" w:right="60"/>
              <w:jc w:val="both"/>
              <w:rPr>
                <w:rFonts w:eastAsia="Times New Roman"/>
                <w:color w:val="000000" w:themeColor="text1"/>
                <w:sz w:val="22"/>
                <w:szCs w:val="22"/>
                <w:lang w:eastAsia="zh-CN"/>
              </w:rPr>
            </w:pPr>
          </w:p>
        </w:tc>
        <w:tc>
          <w:tcPr>
            <w:tcW w:w="1701" w:type="dxa"/>
            <w:shd w:val="clear" w:color="auto" w:fill="FFFFFF"/>
          </w:tcPr>
          <w:p w14:paraId="58CEB2A4" w14:textId="77777777" w:rsidR="003C49A2" w:rsidRPr="00CF31E0" w:rsidRDefault="003C49A2" w:rsidP="00603CB7">
            <w:pPr>
              <w:widowControl w:val="0"/>
              <w:autoSpaceDE w:val="0"/>
              <w:autoSpaceDN w:val="0"/>
              <w:adjustRightInd w:val="0"/>
              <w:spacing w:before="80" w:after="80"/>
              <w:jc w:val="both"/>
              <w:rPr>
                <w:rFonts w:eastAsia="MS Mincho"/>
                <w:color w:val="000000" w:themeColor="text1"/>
                <w:sz w:val="22"/>
                <w:szCs w:val="22"/>
                <w:lang w:val="en-US" w:eastAsia="en-US"/>
              </w:rPr>
            </w:pPr>
          </w:p>
        </w:tc>
      </w:tr>
      <w:tr w:rsidR="003C49A2" w:rsidRPr="00CF31E0" w14:paraId="5FC13DCC" w14:textId="77777777" w:rsidTr="00603CB7">
        <w:trPr>
          <w:cantSplit/>
        </w:trPr>
        <w:tc>
          <w:tcPr>
            <w:tcW w:w="3245" w:type="dxa"/>
            <w:shd w:val="clear" w:color="auto" w:fill="FFFFFF"/>
          </w:tcPr>
          <w:p w14:paraId="296040FB" w14:textId="77777777" w:rsidR="003C49A2" w:rsidRPr="00CF31E0" w:rsidRDefault="003C49A2" w:rsidP="00603CB7">
            <w:pPr>
              <w:widowControl w:val="0"/>
              <w:autoSpaceDE w:val="0"/>
              <w:autoSpaceDN w:val="0"/>
              <w:adjustRightInd w:val="0"/>
              <w:spacing w:before="80" w:after="8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Understandable</w:t>
            </w:r>
          </w:p>
        </w:tc>
        <w:tc>
          <w:tcPr>
            <w:tcW w:w="2425" w:type="dxa"/>
            <w:shd w:val="clear" w:color="auto" w:fill="FFFFFF"/>
            <w:vAlign w:val="center"/>
          </w:tcPr>
          <w:p w14:paraId="6CA9B380" w14:textId="77777777" w:rsidR="003C49A2" w:rsidRPr="00CF31E0" w:rsidRDefault="003C49A2" w:rsidP="00603CB7">
            <w:pPr>
              <w:widowControl w:val="0"/>
              <w:autoSpaceDE w:val="0"/>
              <w:autoSpaceDN w:val="0"/>
              <w:adjustRightInd w:val="0"/>
              <w:spacing w:before="80" w:after="8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.630</w:t>
            </w:r>
          </w:p>
        </w:tc>
        <w:tc>
          <w:tcPr>
            <w:tcW w:w="1701" w:type="dxa"/>
            <w:shd w:val="clear" w:color="auto" w:fill="FFFFFF"/>
          </w:tcPr>
          <w:p w14:paraId="455818EE" w14:textId="77777777" w:rsidR="003C49A2" w:rsidRPr="00CF31E0" w:rsidRDefault="003C49A2" w:rsidP="00603CB7">
            <w:pPr>
              <w:widowControl w:val="0"/>
              <w:autoSpaceDE w:val="0"/>
              <w:autoSpaceDN w:val="0"/>
              <w:adjustRightInd w:val="0"/>
              <w:spacing w:before="80" w:after="80"/>
              <w:jc w:val="both"/>
              <w:rPr>
                <w:rFonts w:eastAsia="MS Mincho"/>
                <w:color w:val="000000" w:themeColor="text1"/>
                <w:sz w:val="22"/>
                <w:szCs w:val="22"/>
                <w:lang w:val="en-US" w:eastAsia="en-US"/>
              </w:rPr>
            </w:pPr>
          </w:p>
        </w:tc>
      </w:tr>
      <w:tr w:rsidR="003C49A2" w:rsidRPr="00CF31E0" w14:paraId="790A57F0" w14:textId="77777777" w:rsidTr="00603CB7">
        <w:trPr>
          <w:cantSplit/>
        </w:trPr>
        <w:tc>
          <w:tcPr>
            <w:tcW w:w="3245" w:type="dxa"/>
            <w:shd w:val="clear" w:color="auto" w:fill="FFFFFF"/>
          </w:tcPr>
          <w:p w14:paraId="136CA510" w14:textId="77777777" w:rsidR="003C49A2" w:rsidRPr="00CF31E0" w:rsidRDefault="003C49A2" w:rsidP="00603CB7">
            <w:pPr>
              <w:widowControl w:val="0"/>
              <w:autoSpaceDE w:val="0"/>
              <w:autoSpaceDN w:val="0"/>
              <w:adjustRightInd w:val="0"/>
              <w:spacing w:before="80" w:after="8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Prestigious</w:t>
            </w:r>
          </w:p>
        </w:tc>
        <w:tc>
          <w:tcPr>
            <w:tcW w:w="2425" w:type="dxa"/>
            <w:shd w:val="clear" w:color="auto" w:fill="FFFFFF"/>
            <w:vAlign w:val="center"/>
          </w:tcPr>
          <w:p w14:paraId="4A050425" w14:textId="77777777" w:rsidR="003C49A2" w:rsidRPr="00CF31E0" w:rsidRDefault="003C49A2" w:rsidP="00603CB7">
            <w:pPr>
              <w:widowControl w:val="0"/>
              <w:autoSpaceDE w:val="0"/>
              <w:autoSpaceDN w:val="0"/>
              <w:adjustRightInd w:val="0"/>
              <w:spacing w:before="80" w:after="8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.690</w:t>
            </w:r>
          </w:p>
        </w:tc>
        <w:tc>
          <w:tcPr>
            <w:tcW w:w="1701" w:type="dxa"/>
            <w:shd w:val="clear" w:color="auto" w:fill="FFFFFF"/>
          </w:tcPr>
          <w:p w14:paraId="3D7CD529" w14:textId="77777777" w:rsidR="003C49A2" w:rsidRPr="00CF31E0" w:rsidRDefault="003C49A2" w:rsidP="00603CB7">
            <w:pPr>
              <w:widowControl w:val="0"/>
              <w:autoSpaceDE w:val="0"/>
              <w:autoSpaceDN w:val="0"/>
              <w:adjustRightInd w:val="0"/>
              <w:spacing w:before="80" w:after="80"/>
              <w:jc w:val="both"/>
              <w:rPr>
                <w:rFonts w:eastAsia="MS Mincho"/>
                <w:color w:val="000000" w:themeColor="text1"/>
                <w:sz w:val="22"/>
                <w:szCs w:val="22"/>
                <w:lang w:val="en-US" w:eastAsia="en-US"/>
              </w:rPr>
            </w:pPr>
          </w:p>
        </w:tc>
      </w:tr>
      <w:tr w:rsidR="003C49A2" w:rsidRPr="00CF31E0" w14:paraId="62799CCE" w14:textId="77777777" w:rsidTr="00603CB7">
        <w:trPr>
          <w:cantSplit/>
        </w:trPr>
        <w:tc>
          <w:tcPr>
            <w:tcW w:w="3245" w:type="dxa"/>
            <w:shd w:val="clear" w:color="auto" w:fill="FFFFFF"/>
          </w:tcPr>
          <w:p w14:paraId="1CDC8E6C" w14:textId="77777777" w:rsidR="003C49A2" w:rsidRPr="00CF31E0" w:rsidRDefault="003C49A2" w:rsidP="00603CB7">
            <w:pPr>
              <w:widowControl w:val="0"/>
              <w:autoSpaceDE w:val="0"/>
              <w:autoSpaceDN w:val="0"/>
              <w:adjustRightInd w:val="0"/>
              <w:spacing w:before="80" w:after="8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Common in towns</w:t>
            </w:r>
          </w:p>
        </w:tc>
        <w:tc>
          <w:tcPr>
            <w:tcW w:w="2425" w:type="dxa"/>
            <w:shd w:val="clear" w:color="auto" w:fill="FFFFFF"/>
            <w:vAlign w:val="center"/>
          </w:tcPr>
          <w:p w14:paraId="54507EDA" w14:textId="77777777" w:rsidR="003C49A2" w:rsidRPr="00CF31E0" w:rsidRDefault="003C49A2" w:rsidP="00603CB7">
            <w:pPr>
              <w:widowControl w:val="0"/>
              <w:autoSpaceDE w:val="0"/>
              <w:autoSpaceDN w:val="0"/>
              <w:adjustRightInd w:val="0"/>
              <w:spacing w:before="80" w:after="8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.706</w:t>
            </w:r>
          </w:p>
        </w:tc>
        <w:tc>
          <w:tcPr>
            <w:tcW w:w="1701" w:type="dxa"/>
            <w:shd w:val="clear" w:color="auto" w:fill="FFFFFF"/>
          </w:tcPr>
          <w:p w14:paraId="2F1F6530" w14:textId="77777777" w:rsidR="003C49A2" w:rsidRPr="00CF31E0" w:rsidRDefault="003C49A2" w:rsidP="00603CB7">
            <w:pPr>
              <w:widowControl w:val="0"/>
              <w:autoSpaceDE w:val="0"/>
              <w:autoSpaceDN w:val="0"/>
              <w:adjustRightInd w:val="0"/>
              <w:spacing w:before="80" w:after="8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-.411</w:t>
            </w:r>
          </w:p>
        </w:tc>
      </w:tr>
      <w:tr w:rsidR="003C49A2" w:rsidRPr="00CF31E0" w14:paraId="74F91EA1" w14:textId="77777777" w:rsidTr="00603CB7">
        <w:trPr>
          <w:cantSplit/>
        </w:trPr>
        <w:tc>
          <w:tcPr>
            <w:tcW w:w="3245" w:type="dxa"/>
            <w:shd w:val="clear" w:color="auto" w:fill="FFFFFF"/>
          </w:tcPr>
          <w:p w14:paraId="6E8177C7" w14:textId="2E0DC153" w:rsidR="003C49A2" w:rsidRPr="00CF31E0" w:rsidRDefault="00036181" w:rsidP="00603CB7">
            <w:pPr>
              <w:widowControl w:val="0"/>
              <w:autoSpaceDE w:val="0"/>
              <w:autoSpaceDN w:val="0"/>
              <w:adjustRightInd w:val="0"/>
              <w:spacing w:before="80" w:after="8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Signifies t</w:t>
            </w:r>
            <w:r w:rsidR="003C49A2" w:rsidRPr="00CF31E0">
              <w:rPr>
                <w:rFonts w:eastAsia="Times New Roman"/>
                <w:color w:val="000000" w:themeColor="text1"/>
                <w:sz w:val="22"/>
                <w:szCs w:val="22"/>
                <w:lang w:eastAsia="zh-CN"/>
              </w:rPr>
              <w:t>ribal loyalty</w:t>
            </w:r>
          </w:p>
        </w:tc>
        <w:tc>
          <w:tcPr>
            <w:tcW w:w="2425" w:type="dxa"/>
            <w:shd w:val="clear" w:color="auto" w:fill="FFFFFF"/>
            <w:vAlign w:val="center"/>
          </w:tcPr>
          <w:p w14:paraId="77DD118A" w14:textId="77777777" w:rsidR="003C49A2" w:rsidRPr="00CF31E0" w:rsidRDefault="003C49A2" w:rsidP="00603CB7">
            <w:pPr>
              <w:widowControl w:val="0"/>
              <w:autoSpaceDE w:val="0"/>
              <w:autoSpaceDN w:val="0"/>
              <w:adjustRightInd w:val="0"/>
              <w:spacing w:before="80" w:after="80"/>
              <w:ind w:left="60" w:right="60"/>
              <w:jc w:val="both"/>
              <w:rPr>
                <w:rFonts w:eastAsia="Times New Roman"/>
                <w:color w:val="000000" w:themeColor="text1"/>
                <w:sz w:val="22"/>
                <w:szCs w:val="22"/>
                <w:lang w:eastAsia="zh-CN"/>
              </w:rPr>
            </w:pPr>
          </w:p>
        </w:tc>
        <w:tc>
          <w:tcPr>
            <w:tcW w:w="1701" w:type="dxa"/>
            <w:shd w:val="clear" w:color="auto" w:fill="FFFFFF"/>
          </w:tcPr>
          <w:p w14:paraId="76F6CBE6" w14:textId="77777777" w:rsidR="003C49A2" w:rsidRPr="00CF31E0" w:rsidRDefault="003C49A2" w:rsidP="00603CB7">
            <w:pPr>
              <w:widowControl w:val="0"/>
              <w:autoSpaceDE w:val="0"/>
              <w:autoSpaceDN w:val="0"/>
              <w:adjustRightInd w:val="0"/>
              <w:spacing w:before="80" w:after="80"/>
              <w:jc w:val="both"/>
              <w:rPr>
                <w:rFonts w:eastAsia="MS Mincho"/>
                <w:color w:val="000000" w:themeColor="text1"/>
                <w:sz w:val="22"/>
                <w:szCs w:val="22"/>
                <w:lang w:val="en-US" w:eastAsia="en-US"/>
              </w:rPr>
            </w:pPr>
          </w:p>
        </w:tc>
      </w:tr>
      <w:tr w:rsidR="003C49A2" w:rsidRPr="00CF31E0" w14:paraId="6955E65B" w14:textId="77777777" w:rsidTr="00603CB7">
        <w:trPr>
          <w:cantSplit/>
        </w:trPr>
        <w:tc>
          <w:tcPr>
            <w:tcW w:w="3245" w:type="dxa"/>
            <w:shd w:val="clear" w:color="auto" w:fill="FFFFFF"/>
          </w:tcPr>
          <w:p w14:paraId="1418EBDF" w14:textId="77777777" w:rsidR="003C49A2" w:rsidRPr="00CF31E0" w:rsidRDefault="003C49A2" w:rsidP="00603CB7">
            <w:pPr>
              <w:widowControl w:val="0"/>
              <w:autoSpaceDE w:val="0"/>
              <w:autoSpaceDN w:val="0"/>
              <w:adjustRightInd w:val="0"/>
              <w:spacing w:before="80" w:after="8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Modern</w:t>
            </w:r>
          </w:p>
        </w:tc>
        <w:tc>
          <w:tcPr>
            <w:tcW w:w="2425" w:type="dxa"/>
            <w:shd w:val="clear" w:color="auto" w:fill="FFFFFF"/>
            <w:vAlign w:val="center"/>
          </w:tcPr>
          <w:p w14:paraId="1B1D7459" w14:textId="77777777" w:rsidR="003C49A2" w:rsidRPr="00CF31E0" w:rsidRDefault="003C49A2" w:rsidP="00603CB7">
            <w:pPr>
              <w:widowControl w:val="0"/>
              <w:autoSpaceDE w:val="0"/>
              <w:autoSpaceDN w:val="0"/>
              <w:adjustRightInd w:val="0"/>
              <w:spacing w:before="80" w:after="80"/>
              <w:ind w:left="62" w:right="62"/>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.757</w:t>
            </w:r>
          </w:p>
        </w:tc>
        <w:tc>
          <w:tcPr>
            <w:tcW w:w="1701" w:type="dxa"/>
            <w:shd w:val="clear" w:color="auto" w:fill="FFFFFF"/>
          </w:tcPr>
          <w:p w14:paraId="540545DC" w14:textId="77777777" w:rsidR="003C49A2" w:rsidRPr="00CF31E0" w:rsidRDefault="003C49A2" w:rsidP="00603CB7">
            <w:pPr>
              <w:widowControl w:val="0"/>
              <w:autoSpaceDE w:val="0"/>
              <w:autoSpaceDN w:val="0"/>
              <w:adjustRightInd w:val="0"/>
              <w:spacing w:before="80" w:after="80"/>
              <w:jc w:val="both"/>
              <w:rPr>
                <w:rFonts w:eastAsia="MS Mincho"/>
                <w:color w:val="000000" w:themeColor="text1"/>
                <w:sz w:val="22"/>
                <w:szCs w:val="22"/>
                <w:lang w:val="en-US" w:eastAsia="en-US"/>
              </w:rPr>
            </w:pPr>
          </w:p>
        </w:tc>
      </w:tr>
      <w:tr w:rsidR="003C49A2" w:rsidRPr="00CF31E0" w14:paraId="6DB7469B" w14:textId="77777777" w:rsidTr="00603CB7">
        <w:trPr>
          <w:cantSplit/>
        </w:trPr>
        <w:tc>
          <w:tcPr>
            <w:tcW w:w="3245" w:type="dxa"/>
            <w:shd w:val="clear" w:color="auto" w:fill="FFFFFF"/>
          </w:tcPr>
          <w:p w14:paraId="1F731E4E" w14:textId="77777777" w:rsidR="003C49A2" w:rsidRPr="00CF31E0" w:rsidRDefault="003C49A2" w:rsidP="00603CB7">
            <w:pPr>
              <w:widowControl w:val="0"/>
              <w:autoSpaceDE w:val="0"/>
              <w:autoSpaceDN w:val="0"/>
              <w:adjustRightInd w:val="0"/>
              <w:spacing w:before="80" w:after="8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Easy to imitate</w:t>
            </w:r>
          </w:p>
        </w:tc>
        <w:tc>
          <w:tcPr>
            <w:tcW w:w="2425" w:type="dxa"/>
            <w:shd w:val="clear" w:color="auto" w:fill="FFFFFF"/>
            <w:vAlign w:val="center"/>
          </w:tcPr>
          <w:p w14:paraId="1E5E69BC" w14:textId="77777777" w:rsidR="003C49A2" w:rsidRPr="00CF31E0" w:rsidRDefault="003C49A2" w:rsidP="00603CB7">
            <w:pPr>
              <w:widowControl w:val="0"/>
              <w:autoSpaceDE w:val="0"/>
              <w:autoSpaceDN w:val="0"/>
              <w:adjustRightInd w:val="0"/>
              <w:spacing w:before="80" w:after="8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.581</w:t>
            </w:r>
          </w:p>
        </w:tc>
        <w:tc>
          <w:tcPr>
            <w:tcW w:w="1701" w:type="dxa"/>
            <w:shd w:val="clear" w:color="auto" w:fill="FFFFFF"/>
          </w:tcPr>
          <w:p w14:paraId="270B0B25" w14:textId="77777777" w:rsidR="003C49A2" w:rsidRPr="00CF31E0" w:rsidRDefault="003C49A2" w:rsidP="00603CB7">
            <w:pPr>
              <w:widowControl w:val="0"/>
              <w:autoSpaceDE w:val="0"/>
              <w:autoSpaceDN w:val="0"/>
              <w:adjustRightInd w:val="0"/>
              <w:spacing w:before="80" w:after="80"/>
              <w:jc w:val="both"/>
              <w:rPr>
                <w:rFonts w:eastAsia="MS Mincho"/>
                <w:color w:val="000000" w:themeColor="text1"/>
                <w:sz w:val="22"/>
                <w:szCs w:val="22"/>
                <w:lang w:val="en-US" w:eastAsia="en-US"/>
              </w:rPr>
            </w:pPr>
          </w:p>
        </w:tc>
      </w:tr>
      <w:tr w:rsidR="003C49A2" w:rsidRPr="00CF31E0" w14:paraId="2898FF5C" w14:textId="77777777" w:rsidTr="00036181">
        <w:trPr>
          <w:cantSplit/>
          <w:trHeight w:val="433"/>
        </w:trPr>
        <w:tc>
          <w:tcPr>
            <w:tcW w:w="3245" w:type="dxa"/>
            <w:shd w:val="clear" w:color="auto" w:fill="FFFFFF"/>
          </w:tcPr>
          <w:p w14:paraId="2B1CA30B" w14:textId="77777777" w:rsidR="003C49A2" w:rsidRPr="00CF31E0" w:rsidRDefault="003C49A2" w:rsidP="00603CB7">
            <w:pPr>
              <w:widowControl w:val="0"/>
              <w:autoSpaceDE w:val="0"/>
              <w:autoSpaceDN w:val="0"/>
              <w:adjustRightInd w:val="0"/>
              <w:spacing w:before="80" w:after="8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Masculine</w:t>
            </w:r>
          </w:p>
        </w:tc>
        <w:tc>
          <w:tcPr>
            <w:tcW w:w="2425" w:type="dxa"/>
            <w:shd w:val="clear" w:color="auto" w:fill="FFFFFF"/>
            <w:vAlign w:val="center"/>
          </w:tcPr>
          <w:p w14:paraId="04A7A4B5" w14:textId="77777777" w:rsidR="003C49A2" w:rsidRPr="00CF31E0" w:rsidRDefault="003C49A2" w:rsidP="00603CB7">
            <w:pPr>
              <w:widowControl w:val="0"/>
              <w:autoSpaceDE w:val="0"/>
              <w:autoSpaceDN w:val="0"/>
              <w:adjustRightInd w:val="0"/>
              <w:spacing w:before="80" w:after="80"/>
              <w:ind w:left="60" w:right="60"/>
              <w:jc w:val="both"/>
              <w:rPr>
                <w:rFonts w:eastAsia="Times New Roman"/>
                <w:color w:val="000000" w:themeColor="text1"/>
                <w:sz w:val="22"/>
                <w:szCs w:val="22"/>
                <w:lang w:eastAsia="zh-CN"/>
              </w:rPr>
            </w:pPr>
          </w:p>
        </w:tc>
        <w:tc>
          <w:tcPr>
            <w:tcW w:w="1701" w:type="dxa"/>
            <w:shd w:val="clear" w:color="auto" w:fill="FFFFFF"/>
          </w:tcPr>
          <w:p w14:paraId="2E6660B6" w14:textId="77777777" w:rsidR="003C49A2" w:rsidRPr="00CF31E0" w:rsidRDefault="003C49A2" w:rsidP="00603CB7">
            <w:pPr>
              <w:widowControl w:val="0"/>
              <w:autoSpaceDE w:val="0"/>
              <w:autoSpaceDN w:val="0"/>
              <w:adjustRightInd w:val="0"/>
              <w:spacing w:before="80" w:after="8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.500</w:t>
            </w:r>
          </w:p>
        </w:tc>
      </w:tr>
      <w:tr w:rsidR="003C49A2" w:rsidRPr="00CF31E0" w14:paraId="10521DC5" w14:textId="77777777" w:rsidTr="00603CB7">
        <w:trPr>
          <w:cantSplit/>
        </w:trPr>
        <w:tc>
          <w:tcPr>
            <w:tcW w:w="3245" w:type="dxa"/>
            <w:shd w:val="clear" w:color="auto" w:fill="FFFFFF"/>
          </w:tcPr>
          <w:p w14:paraId="10892CB7" w14:textId="77777777" w:rsidR="003C49A2" w:rsidRPr="00CF31E0" w:rsidRDefault="003C49A2" w:rsidP="00603CB7">
            <w:pPr>
              <w:widowControl w:val="0"/>
              <w:autoSpaceDE w:val="0"/>
              <w:autoSpaceDN w:val="0"/>
              <w:adjustRightInd w:val="0"/>
              <w:spacing w:before="80" w:after="8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Practical</w:t>
            </w:r>
          </w:p>
        </w:tc>
        <w:tc>
          <w:tcPr>
            <w:tcW w:w="2425" w:type="dxa"/>
            <w:shd w:val="clear" w:color="auto" w:fill="FFFFFF"/>
            <w:vAlign w:val="center"/>
          </w:tcPr>
          <w:p w14:paraId="7985161C" w14:textId="77777777" w:rsidR="003C49A2" w:rsidRPr="00CF31E0" w:rsidRDefault="003C49A2" w:rsidP="00603CB7">
            <w:pPr>
              <w:widowControl w:val="0"/>
              <w:autoSpaceDE w:val="0"/>
              <w:autoSpaceDN w:val="0"/>
              <w:adjustRightInd w:val="0"/>
              <w:spacing w:before="80" w:after="8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.679</w:t>
            </w:r>
          </w:p>
        </w:tc>
        <w:tc>
          <w:tcPr>
            <w:tcW w:w="1701" w:type="dxa"/>
            <w:shd w:val="clear" w:color="auto" w:fill="FFFFFF"/>
          </w:tcPr>
          <w:p w14:paraId="01AE21C4" w14:textId="77777777" w:rsidR="003C49A2" w:rsidRPr="00CF31E0" w:rsidRDefault="003C49A2" w:rsidP="00603CB7">
            <w:pPr>
              <w:widowControl w:val="0"/>
              <w:autoSpaceDE w:val="0"/>
              <w:autoSpaceDN w:val="0"/>
              <w:adjustRightInd w:val="0"/>
              <w:spacing w:before="80" w:after="80"/>
              <w:jc w:val="both"/>
              <w:rPr>
                <w:rFonts w:eastAsia="MS Mincho"/>
                <w:color w:val="000000" w:themeColor="text1"/>
                <w:sz w:val="22"/>
                <w:szCs w:val="22"/>
                <w:lang w:val="en-US" w:eastAsia="en-US"/>
              </w:rPr>
            </w:pPr>
          </w:p>
        </w:tc>
      </w:tr>
      <w:tr w:rsidR="003C49A2" w:rsidRPr="00CF31E0" w14:paraId="30F1438F" w14:textId="77777777" w:rsidTr="00603CB7">
        <w:trPr>
          <w:cantSplit/>
        </w:trPr>
        <w:tc>
          <w:tcPr>
            <w:tcW w:w="3245" w:type="dxa"/>
            <w:shd w:val="clear" w:color="auto" w:fill="FFFFFF"/>
          </w:tcPr>
          <w:p w14:paraId="394CBF93" w14:textId="77777777" w:rsidR="003C49A2" w:rsidRPr="00CF31E0" w:rsidRDefault="003C49A2" w:rsidP="00603CB7">
            <w:pPr>
              <w:widowControl w:val="0"/>
              <w:autoSpaceDE w:val="0"/>
              <w:autoSpaceDN w:val="0"/>
              <w:adjustRightInd w:val="0"/>
              <w:spacing w:before="80" w:after="8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Closer to MSA</w:t>
            </w:r>
          </w:p>
        </w:tc>
        <w:tc>
          <w:tcPr>
            <w:tcW w:w="2425" w:type="dxa"/>
            <w:shd w:val="clear" w:color="auto" w:fill="FFFFFF"/>
            <w:vAlign w:val="center"/>
          </w:tcPr>
          <w:p w14:paraId="505E2CF0" w14:textId="77777777" w:rsidR="003C49A2" w:rsidRPr="00CF31E0" w:rsidRDefault="003C49A2" w:rsidP="00603CB7">
            <w:pPr>
              <w:widowControl w:val="0"/>
              <w:autoSpaceDE w:val="0"/>
              <w:autoSpaceDN w:val="0"/>
              <w:adjustRightInd w:val="0"/>
              <w:spacing w:before="80" w:after="80"/>
              <w:ind w:left="60" w:right="60"/>
              <w:jc w:val="both"/>
              <w:rPr>
                <w:rFonts w:eastAsia="Times New Roman"/>
                <w:color w:val="000000" w:themeColor="text1"/>
                <w:sz w:val="22"/>
                <w:szCs w:val="22"/>
                <w:lang w:eastAsia="zh-CN"/>
              </w:rPr>
            </w:pPr>
          </w:p>
        </w:tc>
        <w:tc>
          <w:tcPr>
            <w:tcW w:w="1701" w:type="dxa"/>
            <w:shd w:val="clear" w:color="auto" w:fill="FFFFFF"/>
          </w:tcPr>
          <w:p w14:paraId="47EED86A" w14:textId="77777777" w:rsidR="003C49A2" w:rsidRPr="00CF31E0" w:rsidRDefault="003C49A2" w:rsidP="00603CB7">
            <w:pPr>
              <w:widowControl w:val="0"/>
              <w:autoSpaceDE w:val="0"/>
              <w:autoSpaceDN w:val="0"/>
              <w:adjustRightInd w:val="0"/>
              <w:spacing w:before="80" w:after="80"/>
              <w:jc w:val="both"/>
              <w:rPr>
                <w:rFonts w:eastAsia="MS Mincho"/>
                <w:color w:val="000000" w:themeColor="text1"/>
                <w:sz w:val="22"/>
                <w:szCs w:val="22"/>
                <w:lang w:val="en-US" w:eastAsia="en-US"/>
              </w:rPr>
            </w:pPr>
            <w:r w:rsidRPr="00CF31E0">
              <w:rPr>
                <w:rFonts w:eastAsia="MS Mincho"/>
                <w:color w:val="000000" w:themeColor="text1"/>
                <w:sz w:val="22"/>
                <w:szCs w:val="22"/>
                <w:lang w:val="en-US" w:eastAsia="en-US"/>
              </w:rPr>
              <w:t>.625</w:t>
            </w:r>
          </w:p>
        </w:tc>
      </w:tr>
      <w:tr w:rsidR="003C49A2" w:rsidRPr="00CF31E0" w14:paraId="727AA243" w14:textId="77777777" w:rsidTr="00603CB7">
        <w:trPr>
          <w:cantSplit/>
        </w:trPr>
        <w:tc>
          <w:tcPr>
            <w:tcW w:w="3245" w:type="dxa"/>
            <w:shd w:val="clear" w:color="auto" w:fill="FFFFFF"/>
          </w:tcPr>
          <w:p w14:paraId="32B991C0" w14:textId="77777777" w:rsidR="003C49A2" w:rsidRPr="00CF31E0" w:rsidRDefault="003C49A2" w:rsidP="00603CB7">
            <w:pPr>
              <w:widowControl w:val="0"/>
              <w:autoSpaceDE w:val="0"/>
              <w:autoSpaceDN w:val="0"/>
              <w:adjustRightInd w:val="0"/>
              <w:spacing w:before="80" w:after="8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Understandable to other Arabs</w:t>
            </w:r>
          </w:p>
        </w:tc>
        <w:tc>
          <w:tcPr>
            <w:tcW w:w="2425" w:type="dxa"/>
            <w:shd w:val="clear" w:color="auto" w:fill="FFFFFF"/>
            <w:vAlign w:val="center"/>
          </w:tcPr>
          <w:p w14:paraId="1419538F" w14:textId="77777777" w:rsidR="003C49A2" w:rsidRPr="00CF31E0" w:rsidRDefault="003C49A2" w:rsidP="00603CB7">
            <w:pPr>
              <w:widowControl w:val="0"/>
              <w:autoSpaceDE w:val="0"/>
              <w:autoSpaceDN w:val="0"/>
              <w:adjustRightInd w:val="0"/>
              <w:spacing w:before="80" w:after="8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.600</w:t>
            </w:r>
          </w:p>
        </w:tc>
        <w:tc>
          <w:tcPr>
            <w:tcW w:w="1701" w:type="dxa"/>
            <w:shd w:val="clear" w:color="auto" w:fill="FFFFFF"/>
          </w:tcPr>
          <w:p w14:paraId="2AA76280" w14:textId="77777777" w:rsidR="003C49A2" w:rsidRPr="00CF31E0" w:rsidRDefault="003C49A2" w:rsidP="00603CB7">
            <w:pPr>
              <w:widowControl w:val="0"/>
              <w:autoSpaceDE w:val="0"/>
              <w:autoSpaceDN w:val="0"/>
              <w:adjustRightInd w:val="0"/>
              <w:spacing w:before="80" w:after="80"/>
              <w:jc w:val="both"/>
              <w:rPr>
                <w:rFonts w:eastAsia="MS Mincho"/>
                <w:color w:val="000000" w:themeColor="text1"/>
                <w:sz w:val="22"/>
                <w:szCs w:val="22"/>
                <w:lang w:val="en-US" w:eastAsia="en-US"/>
              </w:rPr>
            </w:pPr>
          </w:p>
        </w:tc>
      </w:tr>
      <w:tr w:rsidR="003C49A2" w:rsidRPr="00CF31E0" w14:paraId="73C96B3E" w14:textId="77777777" w:rsidTr="00603CB7">
        <w:trPr>
          <w:cantSplit/>
        </w:trPr>
        <w:tc>
          <w:tcPr>
            <w:tcW w:w="3245" w:type="dxa"/>
            <w:tcBorders>
              <w:bottom w:val="single" w:sz="8" w:space="0" w:color="000000"/>
            </w:tcBorders>
            <w:shd w:val="clear" w:color="auto" w:fill="FFFFFF"/>
          </w:tcPr>
          <w:p w14:paraId="65AFD568" w14:textId="77777777" w:rsidR="003C49A2" w:rsidRPr="00CF31E0" w:rsidRDefault="003C49A2" w:rsidP="00603CB7">
            <w:pPr>
              <w:widowControl w:val="0"/>
              <w:autoSpaceDE w:val="0"/>
              <w:autoSpaceDN w:val="0"/>
              <w:adjustRightInd w:val="0"/>
              <w:spacing w:before="80" w:after="8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Similar to other Arabic dialects</w:t>
            </w:r>
          </w:p>
        </w:tc>
        <w:tc>
          <w:tcPr>
            <w:tcW w:w="2425" w:type="dxa"/>
            <w:tcBorders>
              <w:bottom w:val="single" w:sz="8" w:space="0" w:color="000000"/>
            </w:tcBorders>
            <w:shd w:val="clear" w:color="auto" w:fill="FFFFFF"/>
            <w:vAlign w:val="center"/>
          </w:tcPr>
          <w:p w14:paraId="259AD45E" w14:textId="77777777" w:rsidR="003C49A2" w:rsidRPr="00CF31E0" w:rsidRDefault="003C49A2" w:rsidP="00603CB7">
            <w:pPr>
              <w:widowControl w:val="0"/>
              <w:autoSpaceDE w:val="0"/>
              <w:autoSpaceDN w:val="0"/>
              <w:adjustRightInd w:val="0"/>
              <w:spacing w:before="80" w:after="80"/>
              <w:ind w:left="60" w:right="60"/>
              <w:jc w:val="both"/>
              <w:rPr>
                <w:rFonts w:eastAsia="Times New Roman"/>
                <w:color w:val="000000" w:themeColor="text1"/>
                <w:sz w:val="22"/>
                <w:szCs w:val="22"/>
                <w:lang w:eastAsia="zh-CN"/>
              </w:rPr>
            </w:pPr>
            <w:r w:rsidRPr="00CF31E0">
              <w:rPr>
                <w:rFonts w:eastAsia="Times New Roman"/>
                <w:color w:val="000000" w:themeColor="text1"/>
                <w:sz w:val="22"/>
                <w:szCs w:val="22"/>
                <w:lang w:eastAsia="zh-CN"/>
              </w:rPr>
              <w:t>.577</w:t>
            </w:r>
          </w:p>
        </w:tc>
        <w:tc>
          <w:tcPr>
            <w:tcW w:w="1701" w:type="dxa"/>
            <w:tcBorders>
              <w:bottom w:val="single" w:sz="8" w:space="0" w:color="000000"/>
            </w:tcBorders>
            <w:shd w:val="clear" w:color="auto" w:fill="FFFFFF"/>
          </w:tcPr>
          <w:p w14:paraId="3FD1EEF8" w14:textId="77777777" w:rsidR="003C49A2" w:rsidRPr="00CF31E0" w:rsidRDefault="003C49A2" w:rsidP="00603CB7">
            <w:pPr>
              <w:widowControl w:val="0"/>
              <w:autoSpaceDE w:val="0"/>
              <w:autoSpaceDN w:val="0"/>
              <w:adjustRightInd w:val="0"/>
              <w:spacing w:before="80" w:after="80"/>
              <w:jc w:val="both"/>
              <w:rPr>
                <w:rFonts w:eastAsia="MS Mincho"/>
                <w:color w:val="000000" w:themeColor="text1"/>
                <w:sz w:val="22"/>
                <w:szCs w:val="22"/>
                <w:lang w:val="en-US" w:eastAsia="en-US"/>
              </w:rPr>
            </w:pPr>
          </w:p>
        </w:tc>
      </w:tr>
    </w:tbl>
    <w:p w14:paraId="104DA2B8" w14:textId="4A147D3B" w:rsidR="00A23C2A" w:rsidRPr="00CF31E0" w:rsidRDefault="00A23C2A" w:rsidP="00D11D30">
      <w:pPr>
        <w:pStyle w:val="Tablecaption"/>
        <w:rPr>
          <w:lang w:eastAsia="zh-CN"/>
        </w:rPr>
      </w:pPr>
      <w:bookmarkStart w:id="734" w:name="_Toc522527462"/>
      <w:bookmarkStart w:id="735" w:name="_Toc522628874"/>
      <w:bookmarkStart w:id="736" w:name="_Toc522629038"/>
      <w:bookmarkStart w:id="737" w:name="_Toc6473135"/>
      <w:r w:rsidRPr="00CF31E0">
        <w:rPr>
          <w:lang w:eastAsia="zh-CN"/>
        </w:rPr>
        <w:t xml:space="preserve">Table </w:t>
      </w:r>
      <w:r w:rsidR="00D11D30" w:rsidRPr="00CF31E0">
        <w:rPr>
          <w:lang w:eastAsia="zh-CN"/>
        </w:rPr>
        <w:t>10</w:t>
      </w:r>
      <w:r w:rsidR="008046DE" w:rsidRPr="00CF31E0">
        <w:rPr>
          <w:lang w:eastAsia="zh-CN"/>
        </w:rPr>
        <w:t>.3:</w:t>
      </w:r>
      <w:r w:rsidRPr="00CF31E0">
        <w:rPr>
          <w:lang w:eastAsia="zh-CN"/>
        </w:rPr>
        <w:t xml:space="preserve"> </w:t>
      </w:r>
      <w:r w:rsidR="008046DE" w:rsidRPr="00CF31E0">
        <w:rPr>
          <w:lang w:eastAsia="zh-CN"/>
        </w:rPr>
        <w:t>T</w:t>
      </w:r>
      <w:r w:rsidRPr="00CF31E0">
        <w:rPr>
          <w:lang w:eastAsia="zh-CN"/>
        </w:rPr>
        <w:t>he rotated two</w:t>
      </w:r>
      <w:r w:rsidR="008046DE" w:rsidRPr="00CF31E0">
        <w:rPr>
          <w:lang w:eastAsia="zh-CN"/>
        </w:rPr>
        <w:t>-</w:t>
      </w:r>
      <w:r w:rsidRPr="00CF31E0">
        <w:rPr>
          <w:lang w:eastAsia="zh-CN"/>
        </w:rPr>
        <w:t>factor solution as revealed by FA.</w:t>
      </w:r>
      <w:bookmarkEnd w:id="734"/>
      <w:bookmarkEnd w:id="735"/>
      <w:bookmarkEnd w:id="736"/>
      <w:bookmarkEnd w:id="737"/>
      <w:r w:rsidRPr="00CF31E0">
        <w:rPr>
          <w:lang w:eastAsia="zh-CN"/>
        </w:rPr>
        <w:t xml:space="preserve"> </w:t>
      </w:r>
    </w:p>
    <w:p w14:paraId="0D682CE9" w14:textId="00F10547" w:rsidR="00A23C2A" w:rsidRPr="00CF31E0" w:rsidRDefault="00A23C2A" w:rsidP="00603CB7">
      <w:pPr>
        <w:pStyle w:val="Paragraph"/>
        <w:rPr>
          <w:lang w:eastAsia="zh-CN"/>
        </w:rPr>
      </w:pPr>
      <w:r w:rsidRPr="00CF31E0">
        <w:rPr>
          <w:lang w:eastAsia="zh-CN"/>
        </w:rPr>
        <w:t xml:space="preserve">As can be seen in Table </w:t>
      </w:r>
      <w:r w:rsidR="00D11D30" w:rsidRPr="00CF31E0">
        <w:rPr>
          <w:lang w:eastAsia="zh-CN"/>
        </w:rPr>
        <w:t>10</w:t>
      </w:r>
      <w:r w:rsidR="008046DE" w:rsidRPr="00CF31E0">
        <w:rPr>
          <w:lang w:eastAsia="zh-CN"/>
        </w:rPr>
        <w:t>.3</w:t>
      </w:r>
      <w:r w:rsidRPr="00CF31E0">
        <w:rPr>
          <w:lang w:eastAsia="zh-CN"/>
        </w:rPr>
        <w:t xml:space="preserve">, there are two characteristics that imply that the notion of linguistic security is perceived to be exclusively related to the </w:t>
      </w:r>
      <w:r w:rsidRPr="00CF31E0">
        <w:rPr>
          <w:lang w:eastAsia="zh-CN"/>
        </w:rPr>
        <w:lastRenderedPageBreak/>
        <w:t xml:space="preserve">UBH dialect, these are; correct and closer to </w:t>
      </w:r>
      <w:r w:rsidR="00141854" w:rsidRPr="00CF31E0">
        <w:rPr>
          <w:lang w:eastAsia="zh-CN"/>
        </w:rPr>
        <w:t>M</w:t>
      </w:r>
      <w:r w:rsidRPr="00CF31E0">
        <w:rPr>
          <w:lang w:eastAsia="zh-CN"/>
        </w:rPr>
        <w:t xml:space="preserve">odern </w:t>
      </w:r>
      <w:r w:rsidR="00141854" w:rsidRPr="00CF31E0">
        <w:rPr>
          <w:lang w:eastAsia="zh-CN"/>
        </w:rPr>
        <w:t>S</w:t>
      </w:r>
      <w:r w:rsidRPr="00CF31E0">
        <w:rPr>
          <w:lang w:eastAsia="zh-CN"/>
        </w:rPr>
        <w:t xml:space="preserve">tandard Arabic (MSA). These characteristics indicate that the speakers of this dialect have the privilege of being linguistically secure. This result is also supported by the following production studies </w:t>
      </w:r>
      <w:r w:rsidRPr="00CF31E0">
        <w:rPr>
          <w:lang w:eastAsia="zh-CN"/>
        </w:rPr>
        <w:fldChar w:fldCharType="begin"/>
      </w:r>
      <w:r w:rsidRPr="00CF31E0">
        <w:rPr>
          <w:lang w:eastAsia="zh-CN"/>
        </w:rPr>
        <w:instrText xml:space="preserve"> ADDIN ZOTERO_ITEM CSL_CITATION {"citationID":"vm0Kw73C","properties":{"formattedCitation":"(Nassir Al-Jehani, 1985; Ingham, 1971; Ryding, 2005)","plainCitation":"(Nassir Al-Jehani, 1985; Ingham, 1971; Ryding, 2005)","noteIndex":0},"citationItems":[{"id":537,"uris":["http://zotero.org/users/1939618/items/CKTFSSZ4"],"uri":["http://zotero.org/users/1939618/items/CKTFSSZ4"],"itemData":{"id":537,"type":"thesis","title":"SOCIOSTYLISTIC STRATIFICATION OF ARABIC IN MAKKAH","publisher":"University of Michigan","URL":"https://www.researchgate.net/publication/36173456_SOCIOSTYLISTIC_STRATIFICATION_OF_ARABIC_IN_MAKKAH_SOCIOLINGUISTICS_VARIATION_SAUDI_ARABIA","language":"en","author":[{"family":"Al-Jehani","given":"Nassir"}],"issued":{"date-parts":[["1985"]]},"accessed":{"date-parts":[["2018",7,12]]}},"label":"page"},{"id":131,"uris":["http://zotero.org/users/1939618/items/RDKBEK7V"],"uri":["http://zotero.org/users/1939618/items/RDKBEK7V"],"itemData":{"id":131,"type":"article-journal","title":"Some characteristics of Meccan speech","container-title":"Bulletin of the School of Oriental and African Studies","page":"273–297","volume":"34","issue":"02","source":"Google Scholar","author":[{"family":"Ingham","given":"Bruce"}],"issued":{"date-parts":[["1971"]]}},"label":"page"},{"id":535,"uris":["http://zotero.org/users/1939618/items/GWNNAK27"],"uri":["http://zotero.org/users/1939618/items/GWNNAK27"],"itemData":{"id":535,"type":"book","title":"A Reference Grammar of Modern Standard Arabic by Karin C. Ryding","publisher":"Cambridge University Press","publisher-place":"Cambridge","event-place":"Cambridge","abstract":"Cambridge Core - English Language and Linguistics: General Interest - A Reference Grammar of Modern Standard Arabic -  by Karin C. Ryding","URL":"/core/books/reference-grammar-of-modern-standard-arabic/207FA6CB610D541184C4B8CB10A4084A","note":"DOI: 10.1017/CBO9780511486975","language":"en","author":[{"family":"Ryding","given":"Karin C."}],"issued":{"date-parts":[["2005",8]]},"accessed":{"date-parts":[["2018",7,11]]}},"label":"page"}],"schema":"https://github.com/citation-style-language/schema/raw/master/csl-citation.json"} </w:instrText>
      </w:r>
      <w:r w:rsidRPr="00CF31E0">
        <w:rPr>
          <w:lang w:eastAsia="zh-CN"/>
        </w:rPr>
        <w:fldChar w:fldCharType="separate"/>
      </w:r>
      <w:r w:rsidR="001E5DEC" w:rsidRPr="00CF31E0">
        <w:rPr>
          <w:noProof/>
          <w:lang w:eastAsia="zh-CN"/>
        </w:rPr>
        <w:t>(</w:t>
      </w:r>
      <w:r w:rsidRPr="00CF31E0">
        <w:rPr>
          <w:noProof/>
          <w:lang w:eastAsia="zh-CN"/>
        </w:rPr>
        <w:t>Al-Jehani, 1985; Ingham, 1971; Ryding, 2005)</w:t>
      </w:r>
      <w:r w:rsidRPr="00CF31E0">
        <w:rPr>
          <w:lang w:eastAsia="zh-CN"/>
        </w:rPr>
        <w:fldChar w:fldCharType="end"/>
      </w:r>
      <w:r w:rsidRPr="00CF31E0">
        <w:rPr>
          <w:lang w:eastAsia="zh-CN"/>
        </w:rPr>
        <w:t xml:space="preserve">, mentioned in </w:t>
      </w:r>
      <w:r w:rsidR="00A743FF" w:rsidRPr="00CF31E0">
        <w:rPr>
          <w:lang w:eastAsia="zh-CN"/>
        </w:rPr>
        <w:t>C</w:t>
      </w:r>
      <w:r w:rsidR="0046502F" w:rsidRPr="00CF31E0">
        <w:rPr>
          <w:lang w:eastAsia="zh-CN"/>
        </w:rPr>
        <w:t>hapter 2</w:t>
      </w:r>
      <w:r w:rsidR="00A743FF" w:rsidRPr="00CF31E0">
        <w:rPr>
          <w:lang w:eastAsia="zh-CN"/>
        </w:rPr>
        <w:t>,</w:t>
      </w:r>
      <w:r w:rsidR="0046502F" w:rsidRPr="00CF31E0">
        <w:rPr>
          <w:lang w:eastAsia="zh-CN"/>
        </w:rPr>
        <w:t xml:space="preserve"> section 2.17,</w:t>
      </w:r>
      <w:r w:rsidRPr="00CF31E0">
        <w:rPr>
          <w:lang w:eastAsia="zh-CN"/>
        </w:rPr>
        <w:t xml:space="preserve"> where the evidence showed that UBH dialect is similar to MSA in some phonological sounds.</w:t>
      </w:r>
    </w:p>
    <w:p w14:paraId="708FA5BB" w14:textId="5C8218D8" w:rsidR="00A23C2A" w:rsidRPr="00CF31E0" w:rsidRDefault="00A23C2A" w:rsidP="00603CB7">
      <w:pPr>
        <w:pStyle w:val="Paragraph"/>
        <w:rPr>
          <w:lang w:eastAsia="zh-CN"/>
        </w:rPr>
      </w:pPr>
      <w:r w:rsidRPr="00CF31E0">
        <w:rPr>
          <w:lang w:eastAsia="zh-CN"/>
        </w:rPr>
        <w:t xml:space="preserve">A possible interpretation that can be put forward to explain these findings. First, regarding Table </w:t>
      </w:r>
      <w:r w:rsidR="00D11D30" w:rsidRPr="00CF31E0">
        <w:rPr>
          <w:lang w:eastAsia="zh-CN"/>
        </w:rPr>
        <w:t>10</w:t>
      </w:r>
      <w:r w:rsidR="00037006" w:rsidRPr="00CF31E0">
        <w:rPr>
          <w:lang w:eastAsia="zh-CN"/>
        </w:rPr>
        <w:t>.2</w:t>
      </w:r>
      <w:r w:rsidRPr="00CF31E0">
        <w:rPr>
          <w:lang w:eastAsia="zh-CN"/>
        </w:rPr>
        <w:t>, it seems to be the case that speakers of a dialect with a high level of linguistic security (i.e. the UBH dialect in the current study) do not focus on the modern dimension since their linguistic status gives them a sense of uniqueness. This result is supported by Preston’s study</w:t>
      </w:r>
      <w:r w:rsidRPr="00CF31E0">
        <w:rPr>
          <w:lang w:eastAsia="zh-CN"/>
        </w:rPr>
        <w:fldChar w:fldCharType="begin"/>
      </w:r>
      <w:r w:rsidRPr="00CF31E0">
        <w:rPr>
          <w:lang w:eastAsia="zh-CN"/>
        </w:rPr>
        <w:instrText xml:space="preserve"> ADDIN ZOTERO_ITEM CSL_CITATION {"citationID":"RsT8G5kl","properties":{"formattedCitation":"(Preston, 1999)","plainCitation":"(Preston, 1999)"},"citationItems":[{"id":240,"uris":["http://zotero.org/users/1939618/items/TF8GPXHH"],"uri":["http://zotero.org/users/1939618/items/TF8GPXHH"],"itemData":{"id":240,"type":"chapter","title":"A language attitude approach to the perception of regional variety","container-title":"Handbook of perceptual dialectology","page":"359–374","volume":"1","source":"Google Scholar","author":[{"family":"Preston","given":"Dennis R."}],"issued":{"date-parts":[["1999"]]}}}],"schema":"https://github.com/citation-style-language/schema/raw/master/csl-citation.json"} </w:instrText>
      </w:r>
      <w:r w:rsidRPr="00CF31E0">
        <w:rPr>
          <w:lang w:eastAsia="zh-CN"/>
        </w:rPr>
        <w:fldChar w:fldCharType="separate"/>
      </w:r>
      <w:r w:rsidR="00755978" w:rsidRPr="00CF31E0">
        <w:rPr>
          <w:lang w:eastAsia="zh-CN"/>
        </w:rPr>
        <w:t xml:space="preserve"> </w:t>
      </w:r>
      <w:r w:rsidRPr="00CF31E0">
        <w:rPr>
          <w:lang w:eastAsia="zh-CN"/>
        </w:rPr>
        <w:t>(1999</w:t>
      </w:r>
      <w:r w:rsidR="00755978" w:rsidRPr="00CF31E0">
        <w:rPr>
          <w:lang w:eastAsia="zh-CN"/>
        </w:rPr>
        <w:t>a</w:t>
      </w:r>
      <w:r w:rsidRPr="00CF31E0">
        <w:rPr>
          <w:lang w:eastAsia="zh-CN"/>
        </w:rPr>
        <w:t>)</w:t>
      </w:r>
      <w:r w:rsidRPr="00CF31E0">
        <w:rPr>
          <w:lang w:eastAsia="zh-CN"/>
        </w:rPr>
        <w:fldChar w:fldCharType="end"/>
      </w:r>
      <w:r w:rsidRPr="00CF31E0">
        <w:rPr>
          <w:lang w:eastAsia="zh-CN"/>
        </w:rPr>
        <w:t xml:space="preserve"> </w:t>
      </w:r>
      <w:r w:rsidRPr="00CF31E0">
        <w:rPr>
          <w:lang w:eastAsia="zh-CN"/>
        </w:rPr>
        <w:fldChar w:fldCharType="begin"/>
      </w:r>
      <w:r w:rsidRPr="00CF31E0">
        <w:rPr>
          <w:lang w:eastAsia="zh-CN"/>
        </w:rPr>
        <w:instrText xml:space="preserve"> ADDIN ZOTERO_ITEM CSL_CITATION {"citationID":"O5LsGECV","properties":{"formattedCitation":"(Garrett, 2010, p. 183,185)","plainCitation":"(Garrett, 2010, p. 183,185)"},"citationItems":[{"id":29,"uris":["http://zotero.org/users/1939618/items/NF3PAHT2"],"uri":["http://zotero.org/users/1939618/items/NF3PAHT2"],"itemData":{"id":29,"type":"book","title":"Attitudes to Language","publisher":"Cambridge University Press","number-of-pages":"269","source":"Google Books","abstract":"Just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behaviour.","ISBN":"978-1-139-48682-8","language":"en","author":[{"family":"Garrett","given":"Peter"}],"issued":{"date-parts":[["2010",4,8]]}},"locator":"183,185","label":"page"}],"schema":"https://github.com/citation-style-language/schema/raw/master/csl-citation.json"} </w:instrText>
      </w:r>
      <w:r w:rsidRPr="00CF31E0">
        <w:rPr>
          <w:lang w:eastAsia="zh-CN"/>
        </w:rPr>
        <w:fldChar w:fldCharType="end"/>
      </w:r>
      <w:r w:rsidRPr="00CF31E0">
        <w:rPr>
          <w:lang w:eastAsia="zh-CN"/>
        </w:rPr>
        <w:t xml:space="preserve">of Michiganders, which revealed a high level of linguistic security through the assignation of a high average score for the status variable “correct”, although the Michiganders rated themselves at an approximate mid-point for “pleasantness”. In contrast, southern dialect speakers rated their dialect high on pleasantness and at an approximate mid-point for correctness. Hence, it seems that Michiganders have a high level of linguistic security; therefore, they focus their ratings on correctness. Southern dialect speakers do not have such linguistic security; hence they compensate for this by rating their dialect high on pleasantness. </w:t>
      </w:r>
    </w:p>
    <w:p w14:paraId="51D5F4E3" w14:textId="053C19E3" w:rsidR="00A23C2A" w:rsidRPr="00CF31E0" w:rsidRDefault="00A23C2A" w:rsidP="00603CB7">
      <w:pPr>
        <w:pStyle w:val="Paragraph"/>
        <w:rPr>
          <w:lang w:eastAsia="zh-CN"/>
        </w:rPr>
      </w:pPr>
      <w:r w:rsidRPr="00CF31E0">
        <w:rPr>
          <w:lang w:eastAsia="zh-CN"/>
        </w:rPr>
        <w:t xml:space="preserve">Similarly, Hartley’s (1996) study revealed that residents of Oregon displayed an even greater level of linguistic security by rating their dialect highly both in the correct dimension and the pleasant dimension. Another finding that is similar to the current result is in </w:t>
      </w:r>
      <w:r w:rsidRPr="00CF31E0">
        <w:rPr>
          <w:lang w:eastAsia="zh-CN"/>
        </w:rPr>
        <w:fldChar w:fldCharType="begin"/>
      </w:r>
      <w:r w:rsidRPr="00CF31E0">
        <w:rPr>
          <w:lang w:eastAsia="zh-CN"/>
        </w:rPr>
        <w:instrText xml:space="preserve"> ADDIN ZOTERO_ITEM CSL_CITATION {"citationID":"lek2wYiE","properties":{"formattedCitation":"(Evans, 2013)","plainCitation":"(Evans, 2013)"},"citationItems":[{"id":79,"uris":["http://zotero.org/users/1939618/items/IQDD6VA3"],"uri":["http://zotero.org/users/1939618/items/IQDD6VA3"],"itemData":{"id":79,"type":"article-journal","title":"Seattle to Spokane: Mapping perceptions of English in Washington state","container-title":"Journal of English Linguistics","page":"0075424213494822","source":"Google Scholar","shortTitle":"Seattle to Spokane","author":[{"family":"Evans","given":"Betsy E."}],"issued":{"date-parts":[["2013"]]}}}],"schema":"https://github.com/citation-style-language/schema/raw/master/csl-citation.json"} </w:instrText>
      </w:r>
      <w:r w:rsidRPr="00CF31E0">
        <w:rPr>
          <w:lang w:eastAsia="zh-CN"/>
        </w:rPr>
        <w:fldChar w:fldCharType="separate"/>
      </w:r>
      <w:r w:rsidRPr="00CF31E0">
        <w:rPr>
          <w:lang w:eastAsia="zh-CN"/>
        </w:rPr>
        <w:t>Evans (2013)</w:t>
      </w:r>
      <w:r w:rsidRPr="00CF31E0">
        <w:rPr>
          <w:lang w:eastAsia="zh-CN"/>
        </w:rPr>
        <w:fldChar w:fldCharType="end"/>
      </w:r>
      <w:r w:rsidRPr="00CF31E0">
        <w:rPr>
          <w:lang w:eastAsia="zh-CN"/>
        </w:rPr>
        <w:t xml:space="preserve">. Her study exposed that the comments and labels given by informants suggest that Washington possesses a reasonable level of linguistic security, since many respondents describe the linguistic variation in the state as “standard”, “normal”, or “normal English” </w:t>
      </w:r>
      <w:r w:rsidRPr="00CF31E0">
        <w:rPr>
          <w:lang w:eastAsia="zh-CN"/>
        </w:rPr>
        <w:fldChar w:fldCharType="begin"/>
      </w:r>
      <w:r w:rsidRPr="00CF31E0">
        <w:rPr>
          <w:lang w:eastAsia="zh-CN"/>
        </w:rPr>
        <w:instrText xml:space="preserve"> ADDIN ZOTERO_ITEM CSL_CITATION {"citationID":"yrmEWa7v","properties":{"formattedCitation":"(Evans, 2013, p. 284)","plainCitation":"(Evans, 2013, p. 284)"},"citationItems":[{"id":79,"uris":["http://zotero.org/users/1939618/items/IQDD6VA3"],"uri":["http://zotero.org/users/1939618/items/IQDD6VA3"],"itemData":{"id":79,"type":"article-journal","title":"Seattle to Spokane: Mapping perceptions of English in Washington state","container-title":"Journal of English Linguistics","page":"0075424213494822","source":"Google Scholar","shortTitle":"Seattle to Spokane","author":[{"family":"Evans","given":"Betsy E."}],"issued":{"date-parts":[["2013"]]}},"locator":"284","label":"page"}],"schema":"https://github.com/citation-style-language/schema/raw/master/csl-citation.json"} </w:instrText>
      </w:r>
      <w:r w:rsidRPr="00CF31E0">
        <w:rPr>
          <w:lang w:eastAsia="zh-CN"/>
        </w:rPr>
        <w:fldChar w:fldCharType="separate"/>
      </w:r>
      <w:r w:rsidRPr="00CF31E0">
        <w:rPr>
          <w:lang w:eastAsia="zh-CN"/>
        </w:rPr>
        <w:t>(Evans, 2013, p. 284)</w:t>
      </w:r>
      <w:r w:rsidRPr="00CF31E0">
        <w:rPr>
          <w:lang w:eastAsia="zh-CN"/>
        </w:rPr>
        <w:fldChar w:fldCharType="end"/>
      </w:r>
      <w:r w:rsidRPr="00CF31E0">
        <w:rPr>
          <w:lang w:eastAsia="zh-CN"/>
        </w:rPr>
        <w:t xml:space="preserve">. </w:t>
      </w:r>
    </w:p>
    <w:p w14:paraId="18208F58" w14:textId="06D54F67" w:rsidR="00A23C2A" w:rsidRPr="00CF31E0" w:rsidRDefault="00A23C2A" w:rsidP="00603CB7">
      <w:pPr>
        <w:pStyle w:val="Paragraph"/>
        <w:rPr>
          <w:lang w:eastAsia="zh-CN"/>
        </w:rPr>
      </w:pPr>
      <w:r w:rsidRPr="00CF31E0">
        <w:rPr>
          <w:lang w:eastAsia="zh-CN"/>
        </w:rPr>
        <w:t xml:space="preserve">It should be noted that the above three studies are different from the present study in </w:t>
      </w:r>
      <w:r w:rsidR="00E716F1" w:rsidRPr="00CF31E0">
        <w:rPr>
          <w:lang w:eastAsia="zh-CN"/>
        </w:rPr>
        <w:t xml:space="preserve">their </w:t>
      </w:r>
      <w:r w:rsidRPr="00CF31E0">
        <w:rPr>
          <w:lang w:eastAsia="zh-CN"/>
        </w:rPr>
        <w:t xml:space="preserve">research design. The above studies </w:t>
      </w:r>
      <w:r w:rsidR="00E716F1" w:rsidRPr="00CF31E0">
        <w:rPr>
          <w:lang w:eastAsia="zh-CN"/>
        </w:rPr>
        <w:t xml:space="preserve">adopted </w:t>
      </w:r>
      <w:r w:rsidRPr="00CF31E0">
        <w:rPr>
          <w:lang w:eastAsia="zh-CN"/>
        </w:rPr>
        <w:t xml:space="preserve">a perceptual approach, which has been discussed in </w:t>
      </w:r>
      <w:r w:rsidR="00A743FF" w:rsidRPr="00CF31E0">
        <w:rPr>
          <w:lang w:eastAsia="zh-CN"/>
        </w:rPr>
        <w:t>C</w:t>
      </w:r>
      <w:r w:rsidRPr="00CF31E0">
        <w:rPr>
          <w:lang w:eastAsia="zh-CN"/>
        </w:rPr>
        <w:t>hapter</w:t>
      </w:r>
      <w:r w:rsidR="00AE6581" w:rsidRPr="00CF31E0">
        <w:rPr>
          <w:lang w:eastAsia="zh-CN"/>
        </w:rPr>
        <w:t xml:space="preserve"> </w:t>
      </w:r>
      <w:r w:rsidR="00D11D30" w:rsidRPr="00CF31E0">
        <w:rPr>
          <w:lang w:eastAsia="zh-CN"/>
        </w:rPr>
        <w:t>4</w:t>
      </w:r>
      <w:r w:rsidRPr="00CF31E0">
        <w:rPr>
          <w:lang w:eastAsia="zh-CN"/>
        </w:rPr>
        <w:t>,</w:t>
      </w:r>
      <w:r w:rsidR="00C54185" w:rsidRPr="00CF31E0">
        <w:rPr>
          <w:lang w:eastAsia="zh-CN"/>
        </w:rPr>
        <w:t xml:space="preserve"> </w:t>
      </w:r>
      <w:r w:rsidRPr="00CF31E0">
        <w:rPr>
          <w:lang w:eastAsia="zh-CN"/>
        </w:rPr>
        <w:t>section</w:t>
      </w:r>
      <w:r w:rsidR="00AE6581" w:rsidRPr="00CF31E0">
        <w:rPr>
          <w:lang w:eastAsia="zh-CN"/>
        </w:rPr>
        <w:t xml:space="preserve"> </w:t>
      </w:r>
      <w:r w:rsidR="00D11D30" w:rsidRPr="00CF31E0">
        <w:rPr>
          <w:lang w:eastAsia="zh-CN"/>
        </w:rPr>
        <w:t>4</w:t>
      </w:r>
      <w:r w:rsidR="00AE6581" w:rsidRPr="00CF31E0">
        <w:rPr>
          <w:lang w:eastAsia="zh-CN"/>
        </w:rPr>
        <w:t xml:space="preserve">.8, </w:t>
      </w:r>
      <w:r w:rsidR="00E716F1" w:rsidRPr="00CF31E0">
        <w:rPr>
          <w:lang w:eastAsia="zh-CN"/>
        </w:rPr>
        <w:t>w</w:t>
      </w:r>
      <w:r w:rsidRPr="00CF31E0">
        <w:rPr>
          <w:lang w:eastAsia="zh-CN"/>
        </w:rPr>
        <w:t xml:space="preserve">hile the present study relied on </w:t>
      </w:r>
      <w:r w:rsidR="00E716F1" w:rsidRPr="00CF31E0">
        <w:rPr>
          <w:lang w:eastAsia="zh-CN"/>
        </w:rPr>
        <w:t xml:space="preserve">an </w:t>
      </w:r>
      <w:r w:rsidRPr="00CF31E0">
        <w:rPr>
          <w:lang w:eastAsia="zh-CN"/>
        </w:rPr>
        <w:t xml:space="preserve">attitudinal approach. The perceptual approach </w:t>
      </w:r>
      <w:r w:rsidR="00E716F1" w:rsidRPr="00CF31E0">
        <w:rPr>
          <w:lang w:eastAsia="zh-CN"/>
        </w:rPr>
        <w:lastRenderedPageBreak/>
        <w:t xml:space="preserve">adopted </w:t>
      </w:r>
      <w:r w:rsidRPr="00CF31E0">
        <w:rPr>
          <w:lang w:eastAsia="zh-CN"/>
        </w:rPr>
        <w:t>in the above stud</w:t>
      </w:r>
      <w:r w:rsidR="00D97A66" w:rsidRPr="00CF31E0">
        <w:rPr>
          <w:lang w:eastAsia="zh-CN"/>
        </w:rPr>
        <w:t>ies</w:t>
      </w:r>
      <w:r w:rsidRPr="00CF31E0">
        <w:rPr>
          <w:lang w:eastAsia="zh-CN"/>
        </w:rPr>
        <w:t xml:space="preserve"> generated attitudinal comments and ratings along with the perceptual results. A general point can be made here that both perceptual and attitudinal research complement each other</w:t>
      </w:r>
      <w:r w:rsidR="00E716F1" w:rsidRPr="00CF31E0">
        <w:rPr>
          <w:lang w:eastAsia="zh-CN"/>
        </w:rPr>
        <w:t xml:space="preserve">; </w:t>
      </w:r>
      <w:r w:rsidRPr="00CF31E0">
        <w:rPr>
          <w:lang w:eastAsia="zh-CN"/>
        </w:rPr>
        <w:t xml:space="preserve">therefore, similar patterns can emerge from both fields as they </w:t>
      </w:r>
      <w:r w:rsidR="00E716F1" w:rsidRPr="00CF31E0">
        <w:rPr>
          <w:lang w:eastAsia="zh-CN"/>
        </w:rPr>
        <w:t xml:space="preserve">are </w:t>
      </w:r>
      <w:r w:rsidRPr="00CF31E0">
        <w:rPr>
          <w:lang w:eastAsia="zh-CN"/>
        </w:rPr>
        <w:t xml:space="preserve">both targeted at eliciting folk linguistic views about language. </w:t>
      </w:r>
    </w:p>
    <w:p w14:paraId="3427E582" w14:textId="4053E481" w:rsidR="00A23C2A" w:rsidRPr="00CF31E0" w:rsidRDefault="00D11D30" w:rsidP="00E87209">
      <w:pPr>
        <w:pStyle w:val="Ahead"/>
        <w:rPr>
          <w:rFonts w:eastAsia="SimSun"/>
        </w:rPr>
      </w:pPr>
      <w:bookmarkStart w:id="738" w:name="_Toc503383078"/>
      <w:bookmarkStart w:id="739" w:name="_Toc6472764"/>
      <w:r w:rsidRPr="00CF31E0">
        <w:rPr>
          <w:rFonts w:eastAsia="SimSun"/>
        </w:rPr>
        <w:t>10</w:t>
      </w:r>
      <w:r w:rsidR="00E716F1" w:rsidRPr="00CF31E0">
        <w:rPr>
          <w:rFonts w:eastAsia="SimSun"/>
        </w:rPr>
        <w:t>.6.</w:t>
      </w:r>
      <w:r w:rsidR="00B36FA3" w:rsidRPr="00CF31E0">
        <w:rPr>
          <w:rFonts w:eastAsia="SimSun"/>
        </w:rPr>
        <w:tab/>
      </w:r>
      <w:r w:rsidR="00A23C2A" w:rsidRPr="00CF31E0">
        <w:rPr>
          <w:rFonts w:eastAsia="SimSun"/>
        </w:rPr>
        <w:t>The homogeneity of results</w:t>
      </w:r>
      <w:bookmarkEnd w:id="738"/>
      <w:bookmarkEnd w:id="739"/>
      <w:r w:rsidR="00A23C2A" w:rsidRPr="00CF31E0">
        <w:rPr>
          <w:rFonts w:eastAsia="SimSun"/>
        </w:rPr>
        <w:t xml:space="preserve"> </w:t>
      </w:r>
    </w:p>
    <w:p w14:paraId="799C6B17" w14:textId="21CB689D" w:rsidR="00A23C2A" w:rsidRPr="00CF31E0" w:rsidRDefault="00A23C2A" w:rsidP="00603CB7">
      <w:pPr>
        <w:pStyle w:val="Paragraph"/>
        <w:rPr>
          <w:lang w:eastAsia="zh-CN"/>
        </w:rPr>
      </w:pPr>
      <w:r w:rsidRPr="00CF31E0">
        <w:rPr>
          <w:lang w:eastAsia="zh-CN"/>
        </w:rPr>
        <w:t xml:space="preserve">One of the major findings revealed in </w:t>
      </w:r>
      <w:r w:rsidR="00A743FF" w:rsidRPr="00CF31E0">
        <w:rPr>
          <w:lang w:eastAsia="zh-CN"/>
        </w:rPr>
        <w:t>C</w:t>
      </w:r>
      <w:r w:rsidRPr="00CF31E0">
        <w:rPr>
          <w:lang w:eastAsia="zh-CN"/>
        </w:rPr>
        <w:t xml:space="preserve">hapter </w:t>
      </w:r>
      <w:r w:rsidR="00D11D30" w:rsidRPr="00CF31E0">
        <w:rPr>
          <w:lang w:eastAsia="zh-CN"/>
        </w:rPr>
        <w:t xml:space="preserve">6 </w:t>
      </w:r>
      <w:r w:rsidRPr="00CF31E0">
        <w:rPr>
          <w:lang w:eastAsia="zh-CN"/>
        </w:rPr>
        <w:t>was the homogeneity of respondents’ perceptions, both across most demographic variables and across the mean factor scores as revealed by t</w:t>
      </w:r>
      <w:r w:rsidR="005D0894" w:rsidRPr="00CF31E0">
        <w:rPr>
          <w:lang w:eastAsia="zh-CN"/>
        </w:rPr>
        <w:t>-tests</w:t>
      </w:r>
      <w:r w:rsidRPr="00CF31E0">
        <w:rPr>
          <w:lang w:eastAsia="zh-CN"/>
        </w:rPr>
        <w:t xml:space="preserve">. The latter revealed a significant p value (.000) when each factor was compared with its equivalent in the other dialect data. This means there is a significant difference found between UBH and HH participants in respect to the modern dimension within the HH dialect data, and the traditional dimension within the UBH dialect data. </w:t>
      </w:r>
    </w:p>
    <w:p w14:paraId="00C53A69" w14:textId="77777777" w:rsidR="00A23C2A" w:rsidRPr="00CF31E0" w:rsidRDefault="00A23C2A" w:rsidP="00603CB7">
      <w:pPr>
        <w:pStyle w:val="Paragraph"/>
        <w:rPr>
          <w:lang w:eastAsia="zh-CN"/>
        </w:rPr>
      </w:pPr>
      <w:r w:rsidRPr="00CF31E0">
        <w:rPr>
          <w:lang w:eastAsia="zh-CN"/>
        </w:rPr>
        <w:t xml:space="preserve">One might argue that the homogeneity of these results is again strongly related to the ideological positions in the region that were discussed above, which yield a stereotypical pattern in participants’ attitudes towards dialect variation in the region. </w:t>
      </w:r>
    </w:p>
    <w:p w14:paraId="295E7496" w14:textId="7BA9AE97" w:rsidR="00A23C2A" w:rsidRPr="00CF31E0" w:rsidRDefault="00A23C2A" w:rsidP="00603CB7">
      <w:pPr>
        <w:pStyle w:val="Paragraph"/>
        <w:rPr>
          <w:lang w:eastAsia="zh-CN"/>
        </w:rPr>
      </w:pPr>
      <w:r w:rsidRPr="00CF31E0">
        <w:rPr>
          <w:lang w:eastAsia="zh-CN"/>
        </w:rPr>
        <w:t xml:space="preserve">When looking at the modern factor rating, it is evident that the HH dialect has been rated homogenously high in the modern dimension, even though the make-up of this social group consists of people from widely different ethnic origins (i.e. the Levant, Egyptians, Sudanese, Iraqi, Yemeni, Indonesian, Malaysians, Turkish, etc.), as discussed in </w:t>
      </w:r>
      <w:r w:rsidR="00A743FF" w:rsidRPr="00CF31E0">
        <w:rPr>
          <w:lang w:eastAsia="zh-CN"/>
        </w:rPr>
        <w:t>C</w:t>
      </w:r>
      <w:r w:rsidRPr="00CF31E0">
        <w:rPr>
          <w:lang w:eastAsia="zh-CN"/>
        </w:rPr>
        <w:t xml:space="preserve">hapter </w:t>
      </w:r>
      <w:r w:rsidR="00D11D30" w:rsidRPr="00CF31E0">
        <w:rPr>
          <w:lang w:eastAsia="zh-CN"/>
        </w:rPr>
        <w:t>2</w:t>
      </w:r>
      <w:r w:rsidRPr="00CF31E0">
        <w:rPr>
          <w:lang w:eastAsia="zh-CN"/>
        </w:rPr>
        <w:t>, section</w:t>
      </w:r>
      <w:r w:rsidR="00456C4E" w:rsidRPr="00CF31E0">
        <w:rPr>
          <w:lang w:eastAsia="zh-CN"/>
        </w:rPr>
        <w:t xml:space="preserve"> </w:t>
      </w:r>
      <w:r w:rsidR="00D11D30" w:rsidRPr="00CF31E0">
        <w:rPr>
          <w:lang w:eastAsia="zh-CN"/>
        </w:rPr>
        <w:t>2</w:t>
      </w:r>
      <w:r w:rsidR="00456C4E" w:rsidRPr="00CF31E0">
        <w:rPr>
          <w:lang w:eastAsia="zh-CN"/>
        </w:rPr>
        <w:t xml:space="preserve">.5. </w:t>
      </w:r>
      <w:r w:rsidRPr="00CF31E0">
        <w:rPr>
          <w:lang w:eastAsia="zh-CN"/>
        </w:rPr>
        <w:t xml:space="preserve">The most likely explanation for the current result is that the positive attitudes that have been given to the HH dialect </w:t>
      </w:r>
      <w:r w:rsidR="0049084A" w:rsidRPr="00CF31E0">
        <w:rPr>
          <w:lang w:eastAsia="zh-CN"/>
        </w:rPr>
        <w:t xml:space="preserve">are </w:t>
      </w:r>
      <w:r w:rsidRPr="00CF31E0">
        <w:rPr>
          <w:lang w:eastAsia="zh-CN"/>
        </w:rPr>
        <w:t xml:space="preserve">because of the urbanization that this particular group has brought to the region, as discussed in </w:t>
      </w:r>
      <w:r w:rsidR="00A743FF" w:rsidRPr="00CF31E0">
        <w:rPr>
          <w:lang w:eastAsia="zh-CN"/>
        </w:rPr>
        <w:t>C</w:t>
      </w:r>
      <w:r w:rsidRPr="00CF31E0">
        <w:rPr>
          <w:lang w:eastAsia="zh-CN"/>
        </w:rPr>
        <w:t>hapte</w:t>
      </w:r>
      <w:r w:rsidR="00456C4E" w:rsidRPr="00CF31E0">
        <w:rPr>
          <w:lang w:eastAsia="zh-CN"/>
        </w:rPr>
        <w:t xml:space="preserve">r </w:t>
      </w:r>
      <w:r w:rsidR="00D11D30" w:rsidRPr="00CF31E0">
        <w:rPr>
          <w:lang w:eastAsia="zh-CN"/>
        </w:rPr>
        <w:t>2</w:t>
      </w:r>
      <w:r w:rsidR="00456C4E" w:rsidRPr="00CF31E0">
        <w:rPr>
          <w:lang w:eastAsia="zh-CN"/>
        </w:rPr>
        <w:t xml:space="preserve"> </w:t>
      </w:r>
      <w:r w:rsidR="008A0892" w:rsidRPr="00CF31E0">
        <w:rPr>
          <w:lang w:eastAsia="zh-CN"/>
        </w:rPr>
        <w:t>(</w:t>
      </w:r>
      <w:r w:rsidRPr="00CF31E0">
        <w:rPr>
          <w:lang w:eastAsia="zh-CN"/>
        </w:rPr>
        <w:t>see section</w:t>
      </w:r>
      <w:r w:rsidR="00AE6581" w:rsidRPr="00CF31E0">
        <w:rPr>
          <w:lang w:eastAsia="zh-CN"/>
        </w:rPr>
        <w:t xml:space="preserve">s </w:t>
      </w:r>
      <w:r w:rsidR="00D11D30" w:rsidRPr="00CF31E0">
        <w:rPr>
          <w:lang w:eastAsia="zh-CN"/>
        </w:rPr>
        <w:t>2</w:t>
      </w:r>
      <w:r w:rsidR="00AE6581" w:rsidRPr="00CF31E0">
        <w:rPr>
          <w:lang w:eastAsia="zh-CN"/>
        </w:rPr>
        <w:t xml:space="preserve">.4 and </w:t>
      </w:r>
      <w:r w:rsidR="00D11D30" w:rsidRPr="00CF31E0">
        <w:rPr>
          <w:lang w:eastAsia="zh-CN"/>
        </w:rPr>
        <w:t>2</w:t>
      </w:r>
      <w:r w:rsidR="00AE6581" w:rsidRPr="00CF31E0">
        <w:rPr>
          <w:lang w:eastAsia="zh-CN"/>
        </w:rPr>
        <w:t>.14</w:t>
      </w:r>
      <w:r w:rsidR="008A0892" w:rsidRPr="00CF31E0">
        <w:rPr>
          <w:lang w:eastAsia="zh-CN"/>
        </w:rPr>
        <w:t>)</w:t>
      </w:r>
      <w:r w:rsidR="00AE6581" w:rsidRPr="00CF31E0">
        <w:rPr>
          <w:lang w:eastAsia="zh-CN"/>
        </w:rPr>
        <w:t>.</w:t>
      </w:r>
      <w:r w:rsidR="00447DC5" w:rsidRPr="00CF31E0">
        <w:rPr>
          <w:lang w:eastAsia="zh-CN"/>
        </w:rPr>
        <w:t xml:space="preserve"> </w:t>
      </w:r>
      <w:r w:rsidRPr="00CF31E0">
        <w:rPr>
          <w:lang w:eastAsia="zh-CN"/>
        </w:rPr>
        <w:fldChar w:fldCharType="begin"/>
      </w:r>
      <w:r w:rsidRPr="00CF31E0">
        <w:rPr>
          <w:lang w:eastAsia="zh-CN"/>
        </w:rPr>
        <w:instrText xml:space="preserve"> ADDIN ZOTERO_ITEM CSL_CITATION {"citationID":"58yTDWf6","properties":{"formattedCitation":"(Bishop et al., 2011, p. 151)","plainCitation":"(Bishop et al., 2011, p. 151)","dontUpdate":true,"noteIndex":0},"citationItems":[{"id":307,"uris":["http://zotero.org/users/1939618/items/5EYQ7BBW"],"uri":["http://zotero.org/users/1939618/items/5EYQ7BBW"],"itemData":{"id":307,"type":"article-journal","title":"Conceptual accent evaluation: Thirty years of accent prejudice in the UK","container-title":"Acta Linguistica Hafniensia","source":"www-tandfonline-com.sheffield.idm.oclc.org","archive_location":"world","abstract":"(2005). Conceptual accent evaluation: Thirty years of accent prejudice in the UK. Acta Linguistica Hafniensia: Vol. 37, No. 1, pp. 131-154.","URL":"http://www-tandfonline-com.sheffield.idm.oclc.org/doi/abs/10.1080/03740463.2005.10416087","ISSN":"10.1080/03740463.2005.10416087","shortTitle":"Conceptual accent evaluation","language":"en","author":[{"family":"Bishop","given":"Hywel"},{"family":"Coupland","given":"Nikolas"},{"family":"Garrett","given":"Peter"}],"issued":{"date-parts":[["2011",11,24]]},"accessed":{"date-parts":[["2018",1,4]]}},"locator":"151","label":"page"}],"schema":"https://github.com/citation-style-language/schema/raw/master/csl-citation.json"} </w:instrText>
      </w:r>
      <w:r w:rsidRPr="00CF31E0">
        <w:rPr>
          <w:lang w:eastAsia="zh-CN"/>
        </w:rPr>
        <w:fldChar w:fldCharType="separate"/>
      </w:r>
      <w:r w:rsidR="00655DEF" w:rsidRPr="00CF31E0">
        <w:rPr>
          <w:lang w:eastAsia="zh-CN"/>
        </w:rPr>
        <w:t>Bishop et al. (2005</w:t>
      </w:r>
      <w:r w:rsidRPr="00CF31E0">
        <w:rPr>
          <w:lang w:eastAsia="zh-CN"/>
        </w:rPr>
        <w:t>, p. 151)</w:t>
      </w:r>
      <w:r w:rsidRPr="00CF31E0">
        <w:rPr>
          <w:lang w:eastAsia="zh-CN"/>
        </w:rPr>
        <w:fldChar w:fldCharType="end"/>
      </w:r>
      <w:r w:rsidRPr="00CF31E0">
        <w:rPr>
          <w:lang w:eastAsia="zh-CN"/>
        </w:rPr>
        <w:t xml:space="preserve"> argue that “Language attitudes research is a set of analytic procedures for exposing and reading language ideologies, and is not itself ideology-free”. Therefore, a positive ideological position for this particular group has emerged, which has been reflected in participants’ attitudes. Not in line with </w:t>
      </w:r>
      <w:r w:rsidRPr="00CF31E0">
        <w:rPr>
          <w:lang w:eastAsia="zh-CN"/>
        </w:rPr>
        <w:lastRenderedPageBreak/>
        <w:t xml:space="preserve">the present study, in Giles’ and the BBC’s studies, accents from other ethnic groups were rated low in terms of prestige and social attractiveness dimensions. </w:t>
      </w:r>
    </w:p>
    <w:p w14:paraId="27AB58F0" w14:textId="6DFBAE13" w:rsidR="00A23C2A" w:rsidRPr="00CF31E0" w:rsidRDefault="00E716F1" w:rsidP="00603CB7">
      <w:pPr>
        <w:pStyle w:val="Paragraph"/>
        <w:rPr>
          <w:lang w:eastAsia="zh-CN"/>
        </w:rPr>
      </w:pPr>
      <w:r w:rsidRPr="00CF31E0">
        <w:rPr>
          <w:lang w:eastAsia="zh-CN"/>
        </w:rPr>
        <w:t>R</w:t>
      </w:r>
      <w:r w:rsidR="00A23C2A" w:rsidRPr="00CF31E0">
        <w:rPr>
          <w:lang w:eastAsia="zh-CN"/>
        </w:rPr>
        <w:t xml:space="preserve">evisiting </w:t>
      </w:r>
      <w:r w:rsidRPr="00CF31E0">
        <w:rPr>
          <w:lang w:eastAsia="zh-CN"/>
        </w:rPr>
        <w:t xml:space="preserve">the </w:t>
      </w:r>
      <w:r w:rsidR="00A23C2A" w:rsidRPr="00CF31E0">
        <w:rPr>
          <w:lang w:eastAsia="zh-CN"/>
        </w:rPr>
        <w:t xml:space="preserve">results from RQ1 </w:t>
      </w:r>
      <w:r w:rsidR="00D11D30" w:rsidRPr="00CF31E0">
        <w:rPr>
          <w:lang w:eastAsia="zh-CN"/>
        </w:rPr>
        <w:t>(</w:t>
      </w:r>
      <w:r w:rsidR="00A23C2A" w:rsidRPr="00CF31E0">
        <w:rPr>
          <w:lang w:eastAsia="zh-CN"/>
        </w:rPr>
        <w:t xml:space="preserve">see </w:t>
      </w:r>
      <w:r w:rsidR="00A743FF" w:rsidRPr="00CF31E0">
        <w:rPr>
          <w:lang w:eastAsia="zh-CN"/>
        </w:rPr>
        <w:t>C</w:t>
      </w:r>
      <w:r w:rsidR="00A23C2A" w:rsidRPr="00CF31E0">
        <w:rPr>
          <w:lang w:eastAsia="zh-CN"/>
        </w:rPr>
        <w:t>hapter</w:t>
      </w:r>
      <w:r w:rsidR="00533110" w:rsidRPr="00CF31E0">
        <w:rPr>
          <w:lang w:eastAsia="zh-CN"/>
        </w:rPr>
        <w:t xml:space="preserve"> 7</w:t>
      </w:r>
      <w:r w:rsidR="00D11D30" w:rsidRPr="00CF31E0">
        <w:rPr>
          <w:lang w:eastAsia="zh-CN"/>
        </w:rPr>
        <w:t>,</w:t>
      </w:r>
      <w:r w:rsidR="00A23C2A" w:rsidRPr="00CF31E0">
        <w:rPr>
          <w:lang w:eastAsia="zh-CN"/>
        </w:rPr>
        <w:t xml:space="preserve"> sectio</w:t>
      </w:r>
      <w:r w:rsidR="00533110" w:rsidRPr="00CF31E0">
        <w:rPr>
          <w:lang w:eastAsia="zh-CN"/>
        </w:rPr>
        <w:t>n 7.6</w:t>
      </w:r>
      <w:r w:rsidR="00D11D30" w:rsidRPr="00CF31E0">
        <w:rPr>
          <w:lang w:eastAsia="zh-CN"/>
        </w:rPr>
        <w:t>)</w:t>
      </w:r>
      <w:r w:rsidR="00A23C2A" w:rsidRPr="00CF31E0">
        <w:rPr>
          <w:lang w:eastAsia="zh-CN"/>
        </w:rPr>
        <w:t xml:space="preserve">, it is evident that the perceived dialect contact between the two social groups delivered a pattern where UBH speakers were perceived as more likely to speak the HH dialect than HH speakers were perceived to speak the UBH dialect. I believe that the present result (i.e. the results from the current research question) </w:t>
      </w:r>
      <w:r w:rsidRPr="00CF31E0">
        <w:rPr>
          <w:lang w:eastAsia="zh-CN"/>
        </w:rPr>
        <w:t xml:space="preserve">can </w:t>
      </w:r>
      <w:r w:rsidR="00A23C2A" w:rsidRPr="00CF31E0">
        <w:rPr>
          <w:lang w:eastAsia="zh-CN"/>
        </w:rPr>
        <w:t xml:space="preserve">interpret why </w:t>
      </w:r>
      <w:r w:rsidRPr="00CF31E0">
        <w:rPr>
          <w:lang w:eastAsia="zh-CN"/>
        </w:rPr>
        <w:t xml:space="preserve">the </w:t>
      </w:r>
      <w:r w:rsidR="00A23C2A" w:rsidRPr="00CF31E0">
        <w:rPr>
          <w:lang w:eastAsia="zh-CN"/>
        </w:rPr>
        <w:t xml:space="preserve">HH dialect seems to be a favourable dialect </w:t>
      </w:r>
      <w:r w:rsidRPr="00CF31E0">
        <w:rPr>
          <w:lang w:eastAsia="zh-CN"/>
        </w:rPr>
        <w:t xml:space="preserve">for </w:t>
      </w:r>
      <w:r w:rsidR="00A23C2A" w:rsidRPr="00CF31E0">
        <w:rPr>
          <w:lang w:eastAsia="zh-CN"/>
        </w:rPr>
        <w:t xml:space="preserve">UBH speakers. The reason </w:t>
      </w:r>
      <w:r w:rsidRPr="00CF31E0">
        <w:rPr>
          <w:lang w:eastAsia="zh-CN"/>
        </w:rPr>
        <w:t xml:space="preserve">is </w:t>
      </w:r>
      <w:r w:rsidR="00A23C2A" w:rsidRPr="00CF31E0">
        <w:rPr>
          <w:lang w:eastAsia="zh-CN"/>
        </w:rPr>
        <w:t xml:space="preserve">simply that the modernity of </w:t>
      </w:r>
      <w:r w:rsidRPr="00CF31E0">
        <w:rPr>
          <w:lang w:eastAsia="zh-CN"/>
        </w:rPr>
        <w:t xml:space="preserve">the </w:t>
      </w:r>
      <w:r w:rsidR="00A23C2A" w:rsidRPr="00CF31E0">
        <w:rPr>
          <w:lang w:eastAsia="zh-CN"/>
        </w:rPr>
        <w:t>HH dialect establish</w:t>
      </w:r>
      <w:r w:rsidRPr="00CF31E0">
        <w:rPr>
          <w:lang w:eastAsia="zh-CN"/>
        </w:rPr>
        <w:t>es</w:t>
      </w:r>
      <w:r w:rsidR="00A23C2A" w:rsidRPr="00CF31E0">
        <w:rPr>
          <w:lang w:eastAsia="zh-CN"/>
        </w:rPr>
        <w:t xml:space="preserve"> positive attitudes </w:t>
      </w:r>
      <w:r w:rsidR="00071CD5" w:rsidRPr="00CF31E0">
        <w:rPr>
          <w:lang w:eastAsia="zh-CN"/>
        </w:rPr>
        <w:t xml:space="preserve">in </w:t>
      </w:r>
      <w:r w:rsidR="00A23C2A" w:rsidRPr="00CF31E0">
        <w:rPr>
          <w:lang w:eastAsia="zh-CN"/>
        </w:rPr>
        <w:t>UBH speakers</w:t>
      </w:r>
      <w:r w:rsidR="00071CD5" w:rsidRPr="00CF31E0">
        <w:rPr>
          <w:lang w:eastAsia="zh-CN"/>
        </w:rPr>
        <w:t>’</w:t>
      </w:r>
      <w:r w:rsidR="00A23C2A" w:rsidRPr="00CF31E0">
        <w:rPr>
          <w:lang w:eastAsia="zh-CN"/>
        </w:rPr>
        <w:t xml:space="preserve"> mental image</w:t>
      </w:r>
      <w:r w:rsidR="00071CD5" w:rsidRPr="00CF31E0">
        <w:rPr>
          <w:lang w:eastAsia="zh-CN"/>
        </w:rPr>
        <w:t>,</w:t>
      </w:r>
      <w:r w:rsidR="00A23C2A" w:rsidRPr="00CF31E0">
        <w:rPr>
          <w:lang w:eastAsia="zh-CN"/>
        </w:rPr>
        <w:t xml:space="preserve"> which is reflected in their </w:t>
      </w:r>
      <w:r w:rsidR="00071CD5" w:rsidRPr="00CF31E0">
        <w:rPr>
          <w:lang w:eastAsia="zh-CN"/>
        </w:rPr>
        <w:t xml:space="preserve">linguistic </w:t>
      </w:r>
      <w:r w:rsidR="00A23C2A" w:rsidRPr="00CF31E0">
        <w:rPr>
          <w:lang w:eastAsia="zh-CN"/>
        </w:rPr>
        <w:t xml:space="preserve">behaviour </w:t>
      </w:r>
      <w:r w:rsidR="00071CD5" w:rsidRPr="00CF31E0">
        <w:rPr>
          <w:lang w:eastAsia="zh-CN"/>
        </w:rPr>
        <w:t xml:space="preserve">in terms of </w:t>
      </w:r>
      <w:r w:rsidR="00A23C2A" w:rsidRPr="00CF31E0">
        <w:rPr>
          <w:lang w:eastAsia="zh-CN"/>
        </w:rPr>
        <w:t xml:space="preserve">speaking the HH dialect. </w:t>
      </w:r>
    </w:p>
    <w:p w14:paraId="737FC83D" w14:textId="6B51FA6C" w:rsidR="00A23C2A" w:rsidRPr="00CF31E0" w:rsidRDefault="00D11D30" w:rsidP="00E87209">
      <w:pPr>
        <w:pStyle w:val="Ahead"/>
        <w:rPr>
          <w:rFonts w:eastAsia="SimSun"/>
        </w:rPr>
      </w:pPr>
      <w:bookmarkStart w:id="740" w:name="_Toc6472765"/>
      <w:r w:rsidRPr="00CF31E0">
        <w:rPr>
          <w:rFonts w:eastAsia="SimSun"/>
        </w:rPr>
        <w:t>10</w:t>
      </w:r>
      <w:r w:rsidR="00071CD5" w:rsidRPr="00CF31E0">
        <w:rPr>
          <w:rFonts w:eastAsia="SimSun"/>
        </w:rPr>
        <w:t>.7.</w:t>
      </w:r>
      <w:r w:rsidR="00B36FA3" w:rsidRPr="00CF31E0">
        <w:rPr>
          <w:rFonts w:eastAsia="SimSun"/>
        </w:rPr>
        <w:tab/>
      </w:r>
      <w:r w:rsidR="00A23C2A" w:rsidRPr="00CF31E0">
        <w:rPr>
          <w:rFonts w:eastAsia="SimSun"/>
        </w:rPr>
        <w:t>In-group loyalties</w:t>
      </w:r>
      <w:bookmarkEnd w:id="740"/>
      <w:r w:rsidR="00A23C2A" w:rsidRPr="00CF31E0">
        <w:rPr>
          <w:rFonts w:eastAsia="SimSun"/>
        </w:rPr>
        <w:t xml:space="preserve"> </w:t>
      </w:r>
    </w:p>
    <w:p w14:paraId="0831B494" w14:textId="21DC8CB9" w:rsidR="00A23C2A" w:rsidRPr="00CF31E0" w:rsidRDefault="00A23C2A" w:rsidP="00603CB7">
      <w:pPr>
        <w:pStyle w:val="Paragraph"/>
        <w:rPr>
          <w:rFonts w:eastAsia="SimSun" w:cs="Arial"/>
          <w:szCs w:val="22"/>
          <w:lang w:eastAsia="zh-CN"/>
        </w:rPr>
      </w:pPr>
      <w:r w:rsidRPr="00CF31E0">
        <w:rPr>
          <w:lang w:eastAsia="zh-CN"/>
        </w:rPr>
        <w:t xml:space="preserve">Another very significant result is revealed when comparing the mean scores of factors from the paired t-tests. The results revealed that both social groups indicate interesting patterns of in-group loyalties. </w:t>
      </w:r>
      <w:r w:rsidR="0046502F" w:rsidRPr="00CF31E0">
        <w:rPr>
          <w:lang w:eastAsia="zh-CN"/>
        </w:rPr>
        <w:t xml:space="preserve">Table </w:t>
      </w:r>
      <w:r w:rsidR="00D11D30" w:rsidRPr="00CF31E0">
        <w:rPr>
          <w:lang w:eastAsia="zh-CN"/>
        </w:rPr>
        <w:t>10</w:t>
      </w:r>
      <w:r w:rsidR="00071CD5" w:rsidRPr="00CF31E0">
        <w:rPr>
          <w:lang w:eastAsia="zh-CN"/>
        </w:rPr>
        <w:t xml:space="preserve">.4 </w:t>
      </w:r>
      <w:r w:rsidRPr="00CF31E0">
        <w:rPr>
          <w:lang w:eastAsia="zh-CN"/>
        </w:rPr>
        <w:t>compares the mean scores of UBH and HH participants in respect to the modern factor within the UBH dialect, and the mean scores of the same participants in respect to the modern factor within the HH dialect.</w:t>
      </w:r>
    </w:p>
    <w:tbl>
      <w:tblPr>
        <w:tblStyle w:val="TableGrid4"/>
        <w:tblW w:w="747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2634"/>
        <w:gridCol w:w="2976"/>
      </w:tblGrid>
      <w:tr w:rsidR="007F558A" w:rsidRPr="00CF31E0" w14:paraId="423CE3FE" w14:textId="77777777" w:rsidTr="00603CB7">
        <w:tc>
          <w:tcPr>
            <w:tcW w:w="1869" w:type="dxa"/>
            <w:tcBorders>
              <w:top w:val="single" w:sz="4" w:space="0" w:color="auto"/>
              <w:bottom w:val="single" w:sz="4" w:space="0" w:color="auto"/>
            </w:tcBorders>
          </w:tcPr>
          <w:p w14:paraId="0EDEC68C" w14:textId="77777777" w:rsidR="00A23C2A" w:rsidRPr="00CF31E0" w:rsidRDefault="00A23C2A" w:rsidP="00603CB7">
            <w:pPr>
              <w:spacing w:before="120" w:after="120"/>
              <w:jc w:val="both"/>
              <w:rPr>
                <w:rFonts w:cs="Arial"/>
                <w:color w:val="000000" w:themeColor="text1"/>
                <w:lang w:eastAsia="zh-CN"/>
              </w:rPr>
            </w:pPr>
          </w:p>
        </w:tc>
        <w:tc>
          <w:tcPr>
            <w:tcW w:w="2634" w:type="dxa"/>
            <w:tcBorders>
              <w:top w:val="single" w:sz="4" w:space="0" w:color="auto"/>
              <w:bottom w:val="single" w:sz="4" w:space="0" w:color="auto"/>
            </w:tcBorders>
          </w:tcPr>
          <w:p w14:paraId="13739DFD" w14:textId="77777777" w:rsidR="00A23C2A" w:rsidRPr="00CF31E0" w:rsidRDefault="00A23C2A" w:rsidP="00603CB7">
            <w:pPr>
              <w:spacing w:before="120" w:after="120"/>
              <w:jc w:val="both"/>
              <w:rPr>
                <w:rFonts w:cs="Arial"/>
                <w:color w:val="000000" w:themeColor="text1"/>
                <w:lang w:eastAsia="zh-CN"/>
              </w:rPr>
            </w:pPr>
            <w:r w:rsidRPr="00CF31E0">
              <w:rPr>
                <w:rFonts w:cs="Arial"/>
                <w:color w:val="000000" w:themeColor="text1"/>
                <w:lang w:eastAsia="zh-CN"/>
              </w:rPr>
              <w:t xml:space="preserve">Modern Factor mean score for UBH dialect </w:t>
            </w:r>
          </w:p>
        </w:tc>
        <w:tc>
          <w:tcPr>
            <w:tcW w:w="2976" w:type="dxa"/>
            <w:tcBorders>
              <w:top w:val="single" w:sz="4" w:space="0" w:color="auto"/>
              <w:bottom w:val="single" w:sz="4" w:space="0" w:color="auto"/>
            </w:tcBorders>
          </w:tcPr>
          <w:p w14:paraId="55809E11" w14:textId="77777777" w:rsidR="00A23C2A" w:rsidRPr="00CF31E0" w:rsidRDefault="00A23C2A" w:rsidP="00603CB7">
            <w:pPr>
              <w:spacing w:before="120" w:after="120"/>
              <w:jc w:val="both"/>
              <w:rPr>
                <w:rFonts w:cs="Arial"/>
                <w:color w:val="000000" w:themeColor="text1"/>
                <w:lang w:eastAsia="zh-CN"/>
              </w:rPr>
            </w:pPr>
            <w:r w:rsidRPr="00CF31E0">
              <w:rPr>
                <w:rFonts w:cs="Arial"/>
                <w:color w:val="000000" w:themeColor="text1"/>
                <w:lang w:eastAsia="zh-CN"/>
              </w:rPr>
              <w:t>Modern Factor mean score for HH dialect</w:t>
            </w:r>
          </w:p>
        </w:tc>
      </w:tr>
      <w:tr w:rsidR="007F558A" w:rsidRPr="00CF31E0" w14:paraId="5599B00B" w14:textId="77777777" w:rsidTr="00603CB7">
        <w:tc>
          <w:tcPr>
            <w:tcW w:w="1869" w:type="dxa"/>
            <w:tcBorders>
              <w:top w:val="single" w:sz="4" w:space="0" w:color="auto"/>
              <w:bottom w:val="nil"/>
            </w:tcBorders>
          </w:tcPr>
          <w:p w14:paraId="35035DBE" w14:textId="77777777" w:rsidR="00A23C2A" w:rsidRPr="00CF31E0" w:rsidRDefault="00A23C2A" w:rsidP="00603CB7">
            <w:pPr>
              <w:spacing w:before="120" w:after="120"/>
              <w:jc w:val="both"/>
              <w:rPr>
                <w:rFonts w:cs="Arial"/>
                <w:color w:val="000000" w:themeColor="text1"/>
                <w:lang w:eastAsia="zh-CN"/>
              </w:rPr>
            </w:pPr>
            <w:r w:rsidRPr="00CF31E0">
              <w:rPr>
                <w:rFonts w:cs="Arial"/>
                <w:color w:val="000000" w:themeColor="text1"/>
                <w:lang w:eastAsia="zh-CN"/>
              </w:rPr>
              <w:t>UBH participants</w:t>
            </w:r>
          </w:p>
        </w:tc>
        <w:tc>
          <w:tcPr>
            <w:tcW w:w="2634" w:type="dxa"/>
            <w:tcBorders>
              <w:top w:val="single" w:sz="4" w:space="0" w:color="auto"/>
              <w:bottom w:val="nil"/>
            </w:tcBorders>
          </w:tcPr>
          <w:p w14:paraId="5D300D06" w14:textId="77777777" w:rsidR="00A23C2A" w:rsidRPr="00CF31E0" w:rsidRDefault="00A23C2A" w:rsidP="00603CB7">
            <w:pPr>
              <w:spacing w:before="120" w:after="120"/>
              <w:jc w:val="both"/>
              <w:rPr>
                <w:rFonts w:cs="Arial"/>
                <w:color w:val="000000" w:themeColor="text1"/>
                <w:lang w:eastAsia="zh-CN"/>
              </w:rPr>
            </w:pPr>
            <w:r w:rsidRPr="00CF31E0">
              <w:rPr>
                <w:rFonts w:cs="Arial"/>
                <w:color w:val="000000" w:themeColor="text1"/>
                <w:lang w:eastAsia="zh-CN"/>
              </w:rPr>
              <w:t>2.67</w:t>
            </w:r>
          </w:p>
        </w:tc>
        <w:tc>
          <w:tcPr>
            <w:tcW w:w="2976" w:type="dxa"/>
            <w:tcBorders>
              <w:top w:val="single" w:sz="4" w:space="0" w:color="auto"/>
              <w:bottom w:val="nil"/>
            </w:tcBorders>
          </w:tcPr>
          <w:p w14:paraId="17709891" w14:textId="77777777" w:rsidR="00A23C2A" w:rsidRPr="00CF31E0" w:rsidRDefault="00A23C2A" w:rsidP="00603CB7">
            <w:pPr>
              <w:spacing w:before="120" w:after="120"/>
              <w:jc w:val="both"/>
              <w:rPr>
                <w:rFonts w:cs="Arial"/>
                <w:color w:val="000000" w:themeColor="text1"/>
                <w:lang w:eastAsia="zh-CN"/>
              </w:rPr>
            </w:pPr>
            <w:r w:rsidRPr="00CF31E0">
              <w:rPr>
                <w:rFonts w:cs="Arial"/>
                <w:color w:val="000000" w:themeColor="text1"/>
                <w:lang w:eastAsia="zh-CN"/>
              </w:rPr>
              <w:t>3.55</w:t>
            </w:r>
          </w:p>
        </w:tc>
      </w:tr>
      <w:tr w:rsidR="007F558A" w:rsidRPr="00CF31E0" w14:paraId="3FEDB23F" w14:textId="77777777" w:rsidTr="00603CB7">
        <w:tc>
          <w:tcPr>
            <w:tcW w:w="1869" w:type="dxa"/>
            <w:tcBorders>
              <w:top w:val="nil"/>
            </w:tcBorders>
          </w:tcPr>
          <w:p w14:paraId="040366C6" w14:textId="77777777" w:rsidR="00A23C2A" w:rsidRPr="00CF31E0" w:rsidRDefault="00A23C2A" w:rsidP="00603CB7">
            <w:pPr>
              <w:spacing w:before="120" w:after="120"/>
              <w:jc w:val="both"/>
              <w:rPr>
                <w:rFonts w:cs="Arial"/>
                <w:color w:val="000000" w:themeColor="text1"/>
                <w:lang w:eastAsia="zh-CN"/>
              </w:rPr>
            </w:pPr>
            <w:r w:rsidRPr="00CF31E0">
              <w:rPr>
                <w:rFonts w:cs="Arial"/>
                <w:color w:val="000000" w:themeColor="text1"/>
                <w:lang w:eastAsia="zh-CN"/>
              </w:rPr>
              <w:t>HH participants</w:t>
            </w:r>
          </w:p>
        </w:tc>
        <w:tc>
          <w:tcPr>
            <w:tcW w:w="2634" w:type="dxa"/>
            <w:tcBorders>
              <w:top w:val="nil"/>
            </w:tcBorders>
          </w:tcPr>
          <w:p w14:paraId="118A6611" w14:textId="77777777" w:rsidR="00A23C2A" w:rsidRPr="00CF31E0" w:rsidRDefault="00A23C2A" w:rsidP="00603CB7">
            <w:pPr>
              <w:spacing w:before="120" w:after="120"/>
              <w:jc w:val="both"/>
              <w:rPr>
                <w:rFonts w:cs="Arial"/>
                <w:color w:val="000000" w:themeColor="text1"/>
                <w:lang w:eastAsia="zh-CN"/>
              </w:rPr>
            </w:pPr>
            <w:r w:rsidRPr="00CF31E0">
              <w:rPr>
                <w:rFonts w:cs="Arial"/>
                <w:color w:val="000000" w:themeColor="text1"/>
                <w:lang w:eastAsia="zh-CN"/>
              </w:rPr>
              <w:t>2.40</w:t>
            </w:r>
          </w:p>
        </w:tc>
        <w:tc>
          <w:tcPr>
            <w:tcW w:w="2976" w:type="dxa"/>
            <w:tcBorders>
              <w:top w:val="nil"/>
            </w:tcBorders>
          </w:tcPr>
          <w:p w14:paraId="057A4D22" w14:textId="77777777" w:rsidR="00A23C2A" w:rsidRPr="00CF31E0" w:rsidRDefault="00A23C2A" w:rsidP="00603CB7">
            <w:pPr>
              <w:spacing w:before="120" w:after="120"/>
              <w:jc w:val="both"/>
              <w:rPr>
                <w:rFonts w:cs="Arial"/>
                <w:color w:val="000000" w:themeColor="text1"/>
                <w:lang w:eastAsia="zh-CN"/>
              </w:rPr>
            </w:pPr>
            <w:r w:rsidRPr="00CF31E0">
              <w:rPr>
                <w:rFonts w:cs="Arial"/>
                <w:color w:val="000000" w:themeColor="text1"/>
                <w:lang w:eastAsia="zh-CN"/>
              </w:rPr>
              <w:t>3.83</w:t>
            </w:r>
          </w:p>
        </w:tc>
      </w:tr>
    </w:tbl>
    <w:p w14:paraId="1CDBEAC3" w14:textId="077108FF" w:rsidR="00A23C2A" w:rsidRPr="00CF31E0" w:rsidRDefault="00A23C2A" w:rsidP="00D11D30">
      <w:pPr>
        <w:pStyle w:val="Tablecaption"/>
        <w:rPr>
          <w:lang w:eastAsia="zh-CN"/>
        </w:rPr>
      </w:pPr>
      <w:bookmarkStart w:id="741" w:name="_Toc522628875"/>
      <w:bookmarkStart w:id="742" w:name="_Toc522629039"/>
      <w:bookmarkStart w:id="743" w:name="_Toc6473136"/>
      <w:r w:rsidRPr="00CF31E0">
        <w:rPr>
          <w:lang w:eastAsia="zh-CN"/>
        </w:rPr>
        <w:t xml:space="preserve">Table </w:t>
      </w:r>
      <w:r w:rsidR="00D11D30" w:rsidRPr="00CF31E0">
        <w:rPr>
          <w:lang w:eastAsia="zh-CN"/>
        </w:rPr>
        <w:t>10</w:t>
      </w:r>
      <w:r w:rsidR="00071CD5" w:rsidRPr="00CF31E0">
        <w:rPr>
          <w:lang w:eastAsia="zh-CN"/>
        </w:rPr>
        <w:t>.4:</w:t>
      </w:r>
      <w:r w:rsidRPr="00CF31E0">
        <w:rPr>
          <w:lang w:eastAsia="zh-CN"/>
        </w:rPr>
        <w:t xml:space="preserve"> </w:t>
      </w:r>
      <w:r w:rsidR="00071CD5" w:rsidRPr="00CF31E0">
        <w:rPr>
          <w:lang w:eastAsia="zh-CN"/>
        </w:rPr>
        <w:t>M</w:t>
      </w:r>
      <w:r w:rsidRPr="00CF31E0">
        <w:rPr>
          <w:lang w:eastAsia="zh-CN"/>
        </w:rPr>
        <w:t>ean scores given to the modern factor in the UBH and HH dialect data from both social groups.</w:t>
      </w:r>
      <w:bookmarkEnd w:id="741"/>
      <w:bookmarkEnd w:id="742"/>
      <w:bookmarkEnd w:id="743"/>
    </w:p>
    <w:p w14:paraId="3BCA0671" w14:textId="2C353830" w:rsidR="00A23C2A" w:rsidRPr="00CF31E0" w:rsidRDefault="00A23C2A" w:rsidP="00B12032">
      <w:pPr>
        <w:pStyle w:val="Paragraph"/>
        <w:rPr>
          <w:lang w:eastAsia="zh-CN"/>
        </w:rPr>
      </w:pPr>
      <w:r w:rsidRPr="00CF31E0">
        <w:rPr>
          <w:lang w:eastAsia="zh-CN"/>
        </w:rPr>
        <w:t>As can be seen from the above table</w:t>
      </w:r>
      <w:r w:rsidR="007D110D">
        <w:rPr>
          <w:lang w:eastAsia="zh-CN"/>
        </w:rPr>
        <w:t xml:space="preserve"> </w:t>
      </w:r>
      <w:r w:rsidR="007D110D" w:rsidRPr="00CF31E0">
        <w:rPr>
          <w:lang w:eastAsia="zh-CN"/>
        </w:rPr>
        <w:t>that participants from both social groups (i.e</w:t>
      </w:r>
      <w:r w:rsidR="007D110D">
        <w:rPr>
          <w:lang w:eastAsia="zh-CN"/>
        </w:rPr>
        <w:t>. UBH and HH) considered the HH dialect to be more modern than the UBH</w:t>
      </w:r>
      <w:r w:rsidR="007D110D" w:rsidRPr="00CF31E0">
        <w:rPr>
          <w:lang w:eastAsia="zh-CN"/>
        </w:rPr>
        <w:t xml:space="preserve"> dialect</w:t>
      </w:r>
      <w:r w:rsidR="007D110D">
        <w:rPr>
          <w:lang w:eastAsia="zh-CN"/>
        </w:rPr>
        <w:t>. Though,</w:t>
      </w:r>
      <w:r w:rsidR="007D110D" w:rsidRPr="00CF31E0">
        <w:rPr>
          <w:lang w:eastAsia="zh-CN"/>
        </w:rPr>
        <w:t xml:space="preserve"> </w:t>
      </w:r>
      <w:r w:rsidRPr="00CF31E0">
        <w:rPr>
          <w:lang w:eastAsia="zh-CN"/>
        </w:rPr>
        <w:t xml:space="preserve">when comparing modernity perceptions among both groups of participants, </w:t>
      </w:r>
      <w:r w:rsidR="00B12032">
        <w:rPr>
          <w:lang w:eastAsia="zh-CN"/>
        </w:rPr>
        <w:t>it seems that the strongest perceptions towards th</w:t>
      </w:r>
      <w:r w:rsidR="007D110D">
        <w:rPr>
          <w:lang w:eastAsia="zh-CN"/>
        </w:rPr>
        <w:t>e modern factor</w:t>
      </w:r>
      <w:r w:rsidR="00B12032">
        <w:rPr>
          <w:lang w:eastAsia="zh-CN"/>
        </w:rPr>
        <w:t xml:space="preserve"> came from the groups themselves. In other </w:t>
      </w:r>
      <w:r w:rsidR="00B12032">
        <w:rPr>
          <w:lang w:eastAsia="zh-CN"/>
        </w:rPr>
        <w:lastRenderedPageBreak/>
        <w:t xml:space="preserve">words, </w:t>
      </w:r>
      <w:r w:rsidRPr="00CF31E0">
        <w:rPr>
          <w:lang w:eastAsia="zh-CN"/>
        </w:rPr>
        <w:t>the UBH participants attribute modernity to their dialect with a factor mean score of 2.67, compared to the HH participants</w:t>
      </w:r>
      <w:r w:rsidR="0049084A" w:rsidRPr="00CF31E0">
        <w:rPr>
          <w:lang w:eastAsia="zh-CN"/>
        </w:rPr>
        <w:t>’</w:t>
      </w:r>
      <w:r w:rsidRPr="00CF31E0">
        <w:rPr>
          <w:lang w:eastAsia="zh-CN"/>
        </w:rPr>
        <w:t xml:space="preserve"> assessment of the modernity of the UBH dialect, with a factor mean score of 2.40. On the other hand, the HH participants perceive their dialect as more modern than the UBH participants do. </w:t>
      </w:r>
    </w:p>
    <w:p w14:paraId="50660174" w14:textId="676F1AF1" w:rsidR="00A23C2A" w:rsidRPr="00CF31E0" w:rsidRDefault="00A23C2A" w:rsidP="00603CB7">
      <w:pPr>
        <w:pStyle w:val="Paragraph"/>
        <w:rPr>
          <w:lang w:eastAsia="zh-CN"/>
        </w:rPr>
      </w:pPr>
      <w:r w:rsidRPr="00CF31E0">
        <w:rPr>
          <w:lang w:eastAsia="zh-CN"/>
        </w:rPr>
        <w:t xml:space="preserve">The remaining question that needs to be addressed is why UBH and HH participants show such significant patterns of in-group </w:t>
      </w:r>
      <w:r w:rsidR="00071CD5" w:rsidRPr="00CF31E0">
        <w:rPr>
          <w:lang w:eastAsia="zh-CN"/>
        </w:rPr>
        <w:t>loyalty</w:t>
      </w:r>
      <w:r w:rsidRPr="00CF31E0">
        <w:rPr>
          <w:lang w:eastAsia="zh-CN"/>
        </w:rPr>
        <w:t>. As for UBH participants, one might assume that the rapid urbanization of S</w:t>
      </w:r>
      <w:r w:rsidR="00D01077" w:rsidRPr="00CF31E0">
        <w:rPr>
          <w:lang w:eastAsia="zh-CN"/>
        </w:rPr>
        <w:t>A</w:t>
      </w:r>
      <w:r w:rsidRPr="00CF31E0">
        <w:rPr>
          <w:lang w:eastAsia="zh-CN"/>
        </w:rPr>
        <w:t xml:space="preserve"> in general and the Hijaz region in particular has helped UBH people to be more urbanized and to thus perceive their dialect as such. Particularly, after the discovery of oil in S</w:t>
      </w:r>
      <w:r w:rsidR="00D01077" w:rsidRPr="00CF31E0">
        <w:rPr>
          <w:lang w:eastAsia="zh-CN"/>
        </w:rPr>
        <w:t>A</w:t>
      </w:r>
      <w:r w:rsidRPr="00CF31E0">
        <w:rPr>
          <w:lang w:eastAsia="zh-CN"/>
        </w:rPr>
        <w:t xml:space="preserve">, nomads started to migrate from rural to urban areas, which helped UBH people rapidly to become more modern and to also perceive their dialect as such </w:t>
      </w:r>
      <w:r w:rsidRPr="00CF31E0">
        <w:rPr>
          <w:lang w:eastAsia="zh-CN"/>
        </w:rPr>
        <w:fldChar w:fldCharType="begin"/>
      </w:r>
      <w:r w:rsidRPr="00CF31E0">
        <w:rPr>
          <w:lang w:eastAsia="zh-CN"/>
        </w:rPr>
        <w:instrText xml:space="preserve"> ADDIN ZOTERO_ITEM CSL_CITATION {"citationID":"lPPtEiJh","properties":{"formattedCitation":"(Al Bassam, 2012; Al-But\\uc0\\u8217{}hie &amp; Eben Saleh, 2002; Al-Hathloul &amp; Edadan, 1993)","plainCitation":"(Al Bassam, 2012; Al-But’hie &amp; Eben Saleh, 2002; Al-Hathloul &amp; Edadan, 1993)","noteIndex":0},"citationItems":[{"id":250,"uris":["http://zotero.org/users/1939618/items/2KBE6VS6"],"uri":["http://zotero.org/users/1939618/items/2KBE6VS6"],"itemData":{"id":250,"type":"thesis","title":"Urbanisation and Migration in Saudi Arabia: The Case of Buraydah City","publisher":"University of Leicester","source":"Google Scholar","URL":"https://lra.le.ac.uk/handle/2381/10152","shortTitle":"Urbanisation and Migration in Saudi Arabia","author":[{"family":"Al Bassam","given":"Ahmad Mohammad A."}],"issued":{"date-parts":[["2012"]]},"accessed":{"date-parts":[["2017",7,25]]}},"label":"page"},{"id":404,"uris":["http://zotero.org/users/1939618/items/54WYEM9K"],"uri":["http://zotero.org/users/1939618/items/54WYEM9K"],"itemData":{"id":404,"type":"article-journal","title":"Urban and industrial development planning as an approach for Saudi Arabia: the case study of Jubail and Yanbu","container-title":"Habitat International","page":"1-20","volume":"26","issue":"1","source":"CrossRef","DOI":"10.1016/S0197-3975(01)00026-1","ISSN":"01973975","shortTitle":"Urban and industrial development planning as an approach for Saudi Arabia","language":"en","author":[{"family":"Al-But’hie","given":"Ibrahim M"},{"family":"Eben Saleh","given":"Mohammad A"}],"issued":{"date-parts":[["2002",1]]}},"label":"page"},{"id":391,"uris":["http://zotero.org/users/1939618/items/DXRDLSL4"],"uri":["http://zotero.org/users/1939618/items/DXRDLSL4"],"itemData":{"id":391,"type":"article-journal","title":"Evolution of settlement pattern in Saudi Arabia: A historical analysis","container-title":"Habitat International","page":"31–46","volume":"17","issue":"4","source":"find.shef.ac.uk","abstract":"Historical growth of settlements in the Kingdom of Saudi Arabia has been significantly influenced by the ecological and institutional factors. The evolutionary process of settlement growth in the Kingdom could be classified into four distinct stages: the trade and pilgrim routes of the pre-national unification period, the sedentarisation process of the unification period, the oil discovery and extraction period of the early 1960s and the oil boom and development planning period of the 1970s. In spite of the distinct ecological and physical conditions of desert and arid environments and tribal structure of regions, certain notions and processes of historical evolution of settlements and growth dynamics could be generalised. This paper is an attempt to identify the institutional process of evolution and growth of settlements in the Kingdom of Saudi Arabia.","DOI":"10.1016/0197-3975(93)90027-A","ISSN":"0197-3975","shortTitle":"Evolution of settlement pattern in Saudi Arabia","language":"eng","author":[{"family":"Al-Hathloul","given":"Saleh"},{"family":"Edadan","given":"Narayanan"}],"issued":{"date-parts":[["1993"]]}},"label":"page"}],"schema":"https://github.com/citation-style-language/schema/raw/master/csl-citation.json"} </w:instrText>
      </w:r>
      <w:r w:rsidRPr="00CF31E0">
        <w:rPr>
          <w:lang w:eastAsia="zh-CN"/>
        </w:rPr>
        <w:fldChar w:fldCharType="separate"/>
      </w:r>
      <w:r w:rsidR="002262AC" w:rsidRPr="00CF31E0">
        <w:rPr>
          <w:rFonts w:eastAsia="Times New Roman" w:hAnsi="Cambria"/>
          <w:lang w:eastAsia="zh-CN"/>
        </w:rPr>
        <w:t>(Al-</w:t>
      </w:r>
      <w:r w:rsidRPr="00CF31E0">
        <w:rPr>
          <w:rFonts w:eastAsia="Times New Roman" w:hAnsi="Cambria"/>
          <w:lang w:eastAsia="zh-CN"/>
        </w:rPr>
        <w:t>Bassam, 2012; Al-But</w:t>
      </w:r>
      <w:r w:rsidRPr="00CF31E0">
        <w:rPr>
          <w:rFonts w:eastAsia="Times New Roman"/>
          <w:lang w:eastAsia="zh-CN"/>
        </w:rPr>
        <w:t>’</w:t>
      </w:r>
      <w:r w:rsidR="00354305" w:rsidRPr="00CF31E0">
        <w:rPr>
          <w:rFonts w:eastAsia="Times New Roman" w:hAnsi="Cambria"/>
          <w:lang w:eastAsia="zh-CN"/>
        </w:rPr>
        <w:t xml:space="preserve">hie &amp; </w:t>
      </w:r>
      <w:r w:rsidRPr="00CF31E0">
        <w:rPr>
          <w:rFonts w:eastAsia="Times New Roman" w:hAnsi="Cambria"/>
          <w:lang w:eastAsia="zh-CN"/>
        </w:rPr>
        <w:t>Saleh, 2002; Al-Hathloul &amp; Edadan, 1993)</w:t>
      </w:r>
      <w:r w:rsidRPr="00CF31E0">
        <w:rPr>
          <w:lang w:eastAsia="zh-CN"/>
        </w:rPr>
        <w:fldChar w:fldCharType="end"/>
      </w:r>
      <w:r w:rsidRPr="00CF31E0">
        <w:rPr>
          <w:lang w:eastAsia="zh-CN"/>
        </w:rPr>
        <w:t>. Thus, the evidence shows that the UBH dialect is competing</w:t>
      </w:r>
      <w:r w:rsidR="00071CD5" w:rsidRPr="00CF31E0">
        <w:rPr>
          <w:lang w:eastAsia="zh-CN"/>
        </w:rPr>
        <w:t xml:space="preserve"> in terms of</w:t>
      </w:r>
      <w:r w:rsidRPr="00CF31E0">
        <w:rPr>
          <w:lang w:eastAsia="zh-CN"/>
        </w:rPr>
        <w:t xml:space="preserve"> modernity with the HH dialect. </w:t>
      </w:r>
    </w:p>
    <w:p w14:paraId="7452A843" w14:textId="1474DC0E" w:rsidR="00A23C2A" w:rsidRPr="00CF31E0" w:rsidRDefault="00A23C2A" w:rsidP="00603CB7">
      <w:pPr>
        <w:pStyle w:val="Paragraph"/>
        <w:rPr>
          <w:lang w:eastAsia="zh-CN"/>
        </w:rPr>
      </w:pPr>
      <w:r w:rsidRPr="00CF31E0">
        <w:rPr>
          <w:lang w:eastAsia="zh-CN"/>
        </w:rPr>
        <w:t xml:space="preserve">As for </w:t>
      </w:r>
      <w:r w:rsidR="00071CD5" w:rsidRPr="00CF31E0">
        <w:rPr>
          <w:lang w:eastAsia="zh-CN"/>
        </w:rPr>
        <w:t xml:space="preserve">the </w:t>
      </w:r>
      <w:r w:rsidRPr="00CF31E0">
        <w:rPr>
          <w:lang w:eastAsia="zh-CN"/>
        </w:rPr>
        <w:t>HH participants, the modern nature of the dialect</w:t>
      </w:r>
      <w:r w:rsidR="00533110" w:rsidRPr="00CF31E0">
        <w:rPr>
          <w:lang w:eastAsia="zh-CN"/>
        </w:rPr>
        <w:t xml:space="preserve"> </w:t>
      </w:r>
      <w:r w:rsidRPr="00CF31E0">
        <w:rPr>
          <w:lang w:eastAsia="zh-CN"/>
        </w:rPr>
        <w:t xml:space="preserve">seems to be a unique feature </w:t>
      </w:r>
      <w:r w:rsidR="00071CD5" w:rsidRPr="00CF31E0">
        <w:rPr>
          <w:lang w:eastAsia="zh-CN"/>
        </w:rPr>
        <w:t xml:space="preserve">of </w:t>
      </w:r>
      <w:r w:rsidRPr="00CF31E0">
        <w:rPr>
          <w:lang w:eastAsia="zh-CN"/>
        </w:rPr>
        <w:t xml:space="preserve">the HH dialect </w:t>
      </w:r>
      <w:r w:rsidRPr="00CF31E0">
        <w:rPr>
          <w:lang w:eastAsia="zh-CN"/>
        </w:rPr>
        <w:fldChar w:fldCharType="begin"/>
      </w:r>
      <w:r w:rsidRPr="00CF31E0">
        <w:rPr>
          <w:lang w:eastAsia="zh-CN"/>
        </w:rPr>
        <w:instrText xml:space="preserve"> ADDIN ZOTERO_ITEM CSL_CITATION {"citationID":"v9ZvA76O","properties":{"formattedCitation":"(Nahedh, 1989)","plainCitation":"(Nahedh, 1989)","noteIndex":0},"citationItems":[{"id":515,"uris":["http://zotero.org/users/1939618/items/J2X24F6B"],"uri":["http://zotero.org/users/1939618/items/J2X24F6B"],"itemData":{"id":515,"type":"thesis","title":"THE SEDENTARIZATION OF A BEDOUIN COMMUNITY IN SAUDI ARABIA","publisher":"University of Leeds","source":"Zotero","abstract":"This thesis examines the sedentarization of bedouin nomads in Saudi Arabia: partly in general, but mostly focussing on a particular region (Sajir) which was studied in the field.","language":"en","author":[{"family":"Nahedh","given":"Monera"}],"issued":{"date-parts":[["1989"]]}},"label":"page"}],"schema":"https://github.com/citation-style-language/schema/raw/master/csl-citation.json"} </w:instrText>
      </w:r>
      <w:r w:rsidRPr="00CF31E0">
        <w:rPr>
          <w:lang w:eastAsia="zh-CN"/>
        </w:rPr>
        <w:fldChar w:fldCharType="separate"/>
      </w:r>
      <w:r w:rsidRPr="00CF31E0">
        <w:rPr>
          <w:noProof/>
          <w:lang w:eastAsia="zh-CN"/>
        </w:rPr>
        <w:t>(Nahedh, 1989)</w:t>
      </w:r>
      <w:r w:rsidRPr="00CF31E0">
        <w:rPr>
          <w:lang w:eastAsia="zh-CN"/>
        </w:rPr>
        <w:fldChar w:fldCharType="end"/>
      </w:r>
      <w:r w:rsidR="00071CD5" w:rsidRPr="00CF31E0">
        <w:rPr>
          <w:lang w:eastAsia="zh-CN"/>
        </w:rPr>
        <w:t>.</w:t>
      </w:r>
      <w:r w:rsidRPr="00CF31E0">
        <w:rPr>
          <w:lang w:eastAsia="zh-CN"/>
        </w:rPr>
        <w:t xml:space="preserve"> </w:t>
      </w:r>
      <w:r w:rsidR="00071CD5" w:rsidRPr="00CF31E0">
        <w:rPr>
          <w:lang w:eastAsia="zh-CN"/>
        </w:rPr>
        <w:t>T</w:t>
      </w:r>
      <w:r w:rsidRPr="00CF31E0">
        <w:rPr>
          <w:lang w:eastAsia="zh-CN"/>
        </w:rPr>
        <w:t xml:space="preserve">herefore, the HH participants </w:t>
      </w:r>
      <w:r w:rsidR="00071CD5" w:rsidRPr="00CF31E0">
        <w:rPr>
          <w:lang w:eastAsia="zh-CN"/>
        </w:rPr>
        <w:t xml:space="preserve">are </w:t>
      </w:r>
      <w:r w:rsidRPr="00CF31E0">
        <w:rPr>
          <w:lang w:eastAsia="zh-CN"/>
        </w:rPr>
        <w:t xml:space="preserve">demonstrating their strong perception </w:t>
      </w:r>
      <w:r w:rsidR="00071CD5" w:rsidRPr="00CF31E0">
        <w:rPr>
          <w:lang w:eastAsia="zh-CN"/>
        </w:rPr>
        <w:t xml:space="preserve">of </w:t>
      </w:r>
      <w:r w:rsidRPr="00CF31E0">
        <w:rPr>
          <w:lang w:eastAsia="zh-CN"/>
        </w:rPr>
        <w:t xml:space="preserve">the modernity of their dialect to distinguish their dialect from other regional varieties in Hijaz. </w:t>
      </w:r>
    </w:p>
    <w:p w14:paraId="220E0C7A" w14:textId="77777777" w:rsidR="00A23C2A" w:rsidRPr="00CF31E0" w:rsidRDefault="00A23C2A" w:rsidP="00603CB7">
      <w:pPr>
        <w:pStyle w:val="Paragraph"/>
        <w:rPr>
          <w:lang w:eastAsia="zh-CN"/>
        </w:rPr>
      </w:pPr>
      <w:r w:rsidRPr="00CF31E0">
        <w:rPr>
          <w:lang w:eastAsia="zh-CN"/>
        </w:rPr>
        <w:t xml:space="preserve">Remarkably, a very similar pattern to the above one emerged when looking deeply at the results for the traditional factor from both social groups. See the following table: </w:t>
      </w:r>
    </w:p>
    <w:tbl>
      <w:tblPr>
        <w:tblStyle w:val="TableGrid4"/>
        <w:tblW w:w="7371"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2659"/>
        <w:gridCol w:w="2835"/>
      </w:tblGrid>
      <w:tr w:rsidR="007F558A" w:rsidRPr="00CF31E0" w14:paraId="455AE109" w14:textId="77777777" w:rsidTr="00603CB7">
        <w:tc>
          <w:tcPr>
            <w:tcW w:w="1877" w:type="dxa"/>
            <w:tcBorders>
              <w:top w:val="single" w:sz="4" w:space="0" w:color="auto"/>
              <w:bottom w:val="single" w:sz="4" w:space="0" w:color="auto"/>
            </w:tcBorders>
          </w:tcPr>
          <w:p w14:paraId="405BCFE4" w14:textId="77777777" w:rsidR="00A23C2A" w:rsidRPr="00CF31E0" w:rsidRDefault="00A23C2A" w:rsidP="00603CB7">
            <w:pPr>
              <w:spacing w:before="120" w:after="120"/>
              <w:jc w:val="both"/>
              <w:rPr>
                <w:rFonts w:cs="Arial"/>
                <w:color w:val="000000" w:themeColor="text1"/>
                <w:lang w:eastAsia="zh-CN"/>
              </w:rPr>
            </w:pPr>
          </w:p>
          <w:p w14:paraId="1D433A4B" w14:textId="77777777" w:rsidR="00A23C2A" w:rsidRPr="00CF31E0" w:rsidRDefault="00A23C2A" w:rsidP="00603CB7">
            <w:pPr>
              <w:spacing w:before="120" w:after="120"/>
              <w:jc w:val="both"/>
              <w:rPr>
                <w:rFonts w:cs="Arial"/>
                <w:color w:val="000000" w:themeColor="text1"/>
                <w:lang w:eastAsia="zh-CN"/>
              </w:rPr>
            </w:pPr>
          </w:p>
        </w:tc>
        <w:tc>
          <w:tcPr>
            <w:tcW w:w="2659" w:type="dxa"/>
            <w:tcBorders>
              <w:top w:val="single" w:sz="4" w:space="0" w:color="auto"/>
              <w:bottom w:val="single" w:sz="4" w:space="0" w:color="auto"/>
            </w:tcBorders>
          </w:tcPr>
          <w:p w14:paraId="37200844" w14:textId="77777777" w:rsidR="00A23C2A" w:rsidRPr="00CF31E0" w:rsidRDefault="00A23C2A" w:rsidP="00603CB7">
            <w:pPr>
              <w:spacing w:before="120" w:after="120"/>
              <w:jc w:val="both"/>
              <w:rPr>
                <w:rFonts w:cs="Arial"/>
                <w:color w:val="000000" w:themeColor="text1"/>
                <w:lang w:eastAsia="zh-CN"/>
              </w:rPr>
            </w:pPr>
            <w:r w:rsidRPr="00CF31E0">
              <w:rPr>
                <w:rFonts w:cs="Arial"/>
                <w:color w:val="000000" w:themeColor="text1"/>
                <w:lang w:eastAsia="zh-CN"/>
              </w:rPr>
              <w:t xml:space="preserve">Traditional Factor mean score for UBH dialect </w:t>
            </w:r>
          </w:p>
        </w:tc>
        <w:tc>
          <w:tcPr>
            <w:tcW w:w="2835" w:type="dxa"/>
            <w:tcBorders>
              <w:top w:val="single" w:sz="4" w:space="0" w:color="auto"/>
              <w:bottom w:val="single" w:sz="4" w:space="0" w:color="auto"/>
            </w:tcBorders>
          </w:tcPr>
          <w:p w14:paraId="62E9FB4F" w14:textId="77777777" w:rsidR="00A23C2A" w:rsidRPr="00CF31E0" w:rsidRDefault="00A23C2A" w:rsidP="00603CB7">
            <w:pPr>
              <w:spacing w:before="120" w:after="120"/>
              <w:jc w:val="both"/>
              <w:rPr>
                <w:rFonts w:cs="Arial"/>
                <w:color w:val="000000" w:themeColor="text1"/>
                <w:lang w:eastAsia="zh-CN"/>
              </w:rPr>
            </w:pPr>
            <w:r w:rsidRPr="00CF31E0">
              <w:rPr>
                <w:rFonts w:cs="Arial"/>
                <w:color w:val="000000" w:themeColor="text1"/>
                <w:lang w:eastAsia="zh-CN"/>
              </w:rPr>
              <w:t>Traditional Factor mean score for HH dialect</w:t>
            </w:r>
          </w:p>
        </w:tc>
      </w:tr>
      <w:tr w:rsidR="007F558A" w:rsidRPr="00CF31E0" w14:paraId="7A4627BD" w14:textId="77777777" w:rsidTr="00603CB7">
        <w:tc>
          <w:tcPr>
            <w:tcW w:w="1877" w:type="dxa"/>
            <w:tcBorders>
              <w:top w:val="single" w:sz="4" w:space="0" w:color="auto"/>
              <w:bottom w:val="nil"/>
            </w:tcBorders>
          </w:tcPr>
          <w:p w14:paraId="4A780038" w14:textId="77777777" w:rsidR="00A23C2A" w:rsidRPr="00CF31E0" w:rsidRDefault="00A23C2A" w:rsidP="00603CB7">
            <w:pPr>
              <w:spacing w:before="120" w:after="120"/>
              <w:jc w:val="both"/>
              <w:rPr>
                <w:rFonts w:cs="Arial"/>
                <w:color w:val="000000" w:themeColor="text1"/>
                <w:lang w:eastAsia="zh-CN"/>
              </w:rPr>
            </w:pPr>
            <w:r w:rsidRPr="00CF31E0">
              <w:rPr>
                <w:rFonts w:cs="Arial"/>
                <w:color w:val="000000" w:themeColor="text1"/>
                <w:lang w:eastAsia="zh-CN"/>
              </w:rPr>
              <w:t>UBH participants</w:t>
            </w:r>
          </w:p>
        </w:tc>
        <w:tc>
          <w:tcPr>
            <w:tcW w:w="2659" w:type="dxa"/>
            <w:tcBorders>
              <w:top w:val="single" w:sz="4" w:space="0" w:color="auto"/>
              <w:bottom w:val="nil"/>
            </w:tcBorders>
          </w:tcPr>
          <w:p w14:paraId="78AD3809" w14:textId="77777777" w:rsidR="00A23C2A" w:rsidRPr="00CF31E0" w:rsidRDefault="00A23C2A" w:rsidP="00603CB7">
            <w:pPr>
              <w:spacing w:before="120" w:after="120"/>
              <w:jc w:val="both"/>
              <w:rPr>
                <w:rFonts w:cs="Arial"/>
                <w:color w:val="000000" w:themeColor="text1"/>
                <w:lang w:eastAsia="zh-CN"/>
              </w:rPr>
            </w:pPr>
            <w:r w:rsidRPr="00CF31E0">
              <w:rPr>
                <w:rFonts w:cs="Arial"/>
                <w:color w:val="000000" w:themeColor="text1"/>
                <w:lang w:eastAsia="zh-CN"/>
              </w:rPr>
              <w:t>3.72</w:t>
            </w:r>
          </w:p>
        </w:tc>
        <w:tc>
          <w:tcPr>
            <w:tcW w:w="2835" w:type="dxa"/>
            <w:tcBorders>
              <w:top w:val="single" w:sz="4" w:space="0" w:color="auto"/>
              <w:bottom w:val="nil"/>
            </w:tcBorders>
          </w:tcPr>
          <w:p w14:paraId="284BAD5A" w14:textId="77777777" w:rsidR="00A23C2A" w:rsidRPr="00CF31E0" w:rsidRDefault="00A23C2A" w:rsidP="00603CB7">
            <w:pPr>
              <w:spacing w:before="120" w:after="120"/>
              <w:jc w:val="both"/>
              <w:rPr>
                <w:rFonts w:cs="Arial"/>
                <w:color w:val="000000" w:themeColor="text1"/>
                <w:lang w:eastAsia="zh-CN"/>
              </w:rPr>
            </w:pPr>
            <w:r w:rsidRPr="00CF31E0">
              <w:rPr>
                <w:rFonts w:cs="Arial"/>
                <w:color w:val="000000" w:themeColor="text1"/>
                <w:lang w:eastAsia="zh-CN"/>
              </w:rPr>
              <w:t>2.44</w:t>
            </w:r>
          </w:p>
        </w:tc>
      </w:tr>
      <w:tr w:rsidR="007F558A" w:rsidRPr="00CF31E0" w14:paraId="0D0C9E1E" w14:textId="77777777" w:rsidTr="00603CB7">
        <w:tc>
          <w:tcPr>
            <w:tcW w:w="1877" w:type="dxa"/>
            <w:tcBorders>
              <w:top w:val="nil"/>
            </w:tcBorders>
          </w:tcPr>
          <w:p w14:paraId="706F79E3" w14:textId="77777777" w:rsidR="00A23C2A" w:rsidRPr="00CF31E0" w:rsidRDefault="00A23C2A" w:rsidP="00603CB7">
            <w:pPr>
              <w:spacing w:before="120" w:after="120"/>
              <w:jc w:val="both"/>
              <w:rPr>
                <w:rFonts w:cs="Arial"/>
                <w:color w:val="000000" w:themeColor="text1"/>
                <w:lang w:eastAsia="zh-CN"/>
              </w:rPr>
            </w:pPr>
            <w:r w:rsidRPr="00CF31E0">
              <w:rPr>
                <w:rFonts w:cs="Arial"/>
                <w:color w:val="000000" w:themeColor="text1"/>
                <w:lang w:eastAsia="zh-CN"/>
              </w:rPr>
              <w:t>HH participants</w:t>
            </w:r>
          </w:p>
        </w:tc>
        <w:tc>
          <w:tcPr>
            <w:tcW w:w="2659" w:type="dxa"/>
            <w:tcBorders>
              <w:top w:val="nil"/>
            </w:tcBorders>
          </w:tcPr>
          <w:p w14:paraId="7FA3FFCF" w14:textId="77777777" w:rsidR="00A23C2A" w:rsidRPr="00CF31E0" w:rsidRDefault="00A23C2A" w:rsidP="00603CB7">
            <w:pPr>
              <w:spacing w:before="120" w:after="120"/>
              <w:jc w:val="both"/>
              <w:rPr>
                <w:rFonts w:cs="Arial"/>
                <w:color w:val="000000" w:themeColor="text1"/>
                <w:lang w:eastAsia="zh-CN"/>
              </w:rPr>
            </w:pPr>
            <w:r w:rsidRPr="00CF31E0">
              <w:rPr>
                <w:rFonts w:cs="Arial"/>
                <w:color w:val="000000" w:themeColor="text1"/>
                <w:lang w:eastAsia="zh-CN"/>
              </w:rPr>
              <w:t>3.38</w:t>
            </w:r>
          </w:p>
        </w:tc>
        <w:tc>
          <w:tcPr>
            <w:tcW w:w="2835" w:type="dxa"/>
            <w:tcBorders>
              <w:top w:val="nil"/>
            </w:tcBorders>
          </w:tcPr>
          <w:p w14:paraId="51999C43" w14:textId="77777777" w:rsidR="00A23C2A" w:rsidRPr="00CF31E0" w:rsidRDefault="00A23C2A" w:rsidP="00603CB7">
            <w:pPr>
              <w:spacing w:before="120" w:after="120"/>
              <w:jc w:val="both"/>
              <w:rPr>
                <w:rFonts w:cs="Arial"/>
                <w:color w:val="000000" w:themeColor="text1"/>
                <w:lang w:eastAsia="zh-CN"/>
              </w:rPr>
            </w:pPr>
            <w:r w:rsidRPr="00CF31E0">
              <w:rPr>
                <w:rFonts w:cs="Arial"/>
                <w:color w:val="000000" w:themeColor="text1"/>
                <w:lang w:eastAsia="zh-CN"/>
              </w:rPr>
              <w:t>2.92</w:t>
            </w:r>
          </w:p>
        </w:tc>
      </w:tr>
    </w:tbl>
    <w:p w14:paraId="381AAE54" w14:textId="30C4B948" w:rsidR="00A23C2A" w:rsidRPr="00CF31E0" w:rsidRDefault="00A23C2A" w:rsidP="00D11D30">
      <w:pPr>
        <w:pStyle w:val="Tablecaption"/>
        <w:rPr>
          <w:lang w:eastAsia="zh-CN"/>
        </w:rPr>
      </w:pPr>
      <w:bookmarkStart w:id="744" w:name="_Toc522527463"/>
      <w:bookmarkStart w:id="745" w:name="_Toc522628876"/>
      <w:bookmarkStart w:id="746" w:name="_Toc522629040"/>
      <w:bookmarkStart w:id="747" w:name="_Toc6473137"/>
      <w:r w:rsidRPr="00CF31E0">
        <w:rPr>
          <w:lang w:eastAsia="zh-CN"/>
        </w:rPr>
        <w:t xml:space="preserve">Table </w:t>
      </w:r>
      <w:r w:rsidR="00D11D30" w:rsidRPr="00CF31E0">
        <w:rPr>
          <w:lang w:eastAsia="zh-CN"/>
        </w:rPr>
        <w:t>10</w:t>
      </w:r>
      <w:r w:rsidR="00071CD5" w:rsidRPr="00CF31E0">
        <w:rPr>
          <w:lang w:eastAsia="zh-CN"/>
        </w:rPr>
        <w:t>.5:</w:t>
      </w:r>
      <w:r w:rsidRPr="00CF31E0">
        <w:rPr>
          <w:lang w:eastAsia="zh-CN"/>
        </w:rPr>
        <w:t xml:space="preserve"> </w:t>
      </w:r>
      <w:r w:rsidR="00071CD5" w:rsidRPr="00CF31E0">
        <w:rPr>
          <w:lang w:eastAsia="zh-CN"/>
        </w:rPr>
        <w:t>M</w:t>
      </w:r>
      <w:r w:rsidRPr="00CF31E0">
        <w:rPr>
          <w:lang w:eastAsia="zh-CN"/>
        </w:rPr>
        <w:t>ean scores given to the traditional factor in the UBH and HH dialect data from both social groups.</w:t>
      </w:r>
      <w:bookmarkEnd w:id="744"/>
      <w:bookmarkEnd w:id="745"/>
      <w:bookmarkEnd w:id="746"/>
      <w:bookmarkEnd w:id="747"/>
    </w:p>
    <w:p w14:paraId="729EA6A7" w14:textId="0386DA7E" w:rsidR="00A23C2A" w:rsidRPr="00CF31E0" w:rsidRDefault="00A23C2A" w:rsidP="00603CB7">
      <w:pPr>
        <w:pStyle w:val="Paragraph"/>
        <w:rPr>
          <w:lang w:eastAsia="zh-CN"/>
        </w:rPr>
      </w:pPr>
      <w:r w:rsidRPr="00CF31E0">
        <w:rPr>
          <w:lang w:eastAsia="zh-CN"/>
        </w:rPr>
        <w:lastRenderedPageBreak/>
        <w:t>It can be seen that participants from both social groups (i.e. UBH and HH) considered the UBH dialect to be more traditional than the HH dialect. Yet a closer look at the results reveal that the UBH participants perceived their dialect as more traditional, with a mean score of 3.72, than the HH participants, with a mean score 3.38. Likewise, the HH participants perceived their dialect as more traditional, with a mean score 2.92, than the UBH participants did, with a mean score 2.44. The in-group loyalty revealed in the traditional factor can be explained with two interpretations. First, notwithstanding</w:t>
      </w:r>
      <w:r w:rsidR="00280A68" w:rsidRPr="00CF31E0">
        <w:rPr>
          <w:lang w:eastAsia="zh-CN"/>
        </w:rPr>
        <w:t xml:space="preserve"> the fact that</w:t>
      </w:r>
      <w:r w:rsidRPr="00CF31E0">
        <w:rPr>
          <w:lang w:eastAsia="zh-CN"/>
        </w:rPr>
        <w:t xml:space="preserve"> UBH participants are challenging </w:t>
      </w:r>
      <w:r w:rsidR="007F6732" w:rsidRPr="00CF31E0">
        <w:rPr>
          <w:lang w:eastAsia="zh-CN"/>
        </w:rPr>
        <w:t xml:space="preserve">HH people regarding the issue of </w:t>
      </w:r>
      <w:r w:rsidRPr="00CF31E0">
        <w:rPr>
          <w:lang w:eastAsia="zh-CN"/>
        </w:rPr>
        <w:t xml:space="preserve">modernity, as revealed above, this does not prevent them </w:t>
      </w:r>
      <w:r w:rsidR="00280A68" w:rsidRPr="00CF31E0">
        <w:rPr>
          <w:lang w:eastAsia="zh-CN"/>
        </w:rPr>
        <w:t xml:space="preserve">from </w:t>
      </w:r>
      <w:r w:rsidRPr="00CF31E0">
        <w:rPr>
          <w:lang w:eastAsia="zh-CN"/>
        </w:rPr>
        <w:t>show</w:t>
      </w:r>
      <w:r w:rsidR="00280A68" w:rsidRPr="00CF31E0">
        <w:rPr>
          <w:lang w:eastAsia="zh-CN"/>
        </w:rPr>
        <w:t>ing</w:t>
      </w:r>
      <w:r w:rsidRPr="00CF31E0">
        <w:rPr>
          <w:lang w:eastAsia="zh-CN"/>
        </w:rPr>
        <w:t xml:space="preserve"> </w:t>
      </w:r>
      <w:r w:rsidR="00280A68" w:rsidRPr="00CF31E0">
        <w:rPr>
          <w:lang w:eastAsia="zh-CN"/>
        </w:rPr>
        <w:t xml:space="preserve">a </w:t>
      </w:r>
      <w:r w:rsidRPr="00CF31E0">
        <w:rPr>
          <w:lang w:eastAsia="zh-CN"/>
        </w:rPr>
        <w:t>strong affiliation to</w:t>
      </w:r>
      <w:r w:rsidR="00280A68" w:rsidRPr="00CF31E0">
        <w:rPr>
          <w:lang w:eastAsia="zh-CN"/>
        </w:rPr>
        <w:t>wards</w:t>
      </w:r>
      <w:r w:rsidRPr="00CF31E0">
        <w:rPr>
          <w:lang w:eastAsia="zh-CN"/>
        </w:rPr>
        <w:t xml:space="preserve"> their traditional identity</w:t>
      </w:r>
      <w:r w:rsidR="00280A68" w:rsidRPr="00CF31E0">
        <w:rPr>
          <w:lang w:eastAsia="zh-CN"/>
        </w:rPr>
        <w:t>,</w:t>
      </w:r>
      <w:r w:rsidRPr="00CF31E0">
        <w:rPr>
          <w:lang w:eastAsia="zh-CN"/>
        </w:rPr>
        <w:t xml:space="preserve"> as they highly rated their dialect in the traditional factor more than </w:t>
      </w:r>
      <w:r w:rsidR="007F6732" w:rsidRPr="00CF31E0">
        <w:rPr>
          <w:lang w:eastAsia="zh-CN"/>
        </w:rPr>
        <w:t xml:space="preserve">the </w:t>
      </w:r>
      <w:r w:rsidRPr="00CF31E0">
        <w:rPr>
          <w:lang w:eastAsia="zh-CN"/>
        </w:rPr>
        <w:t>HH did towards it. Overall, it seems to me that both modernity and tradition are favourable to UBH participants as the former let</w:t>
      </w:r>
      <w:r w:rsidR="007F6732" w:rsidRPr="00CF31E0">
        <w:rPr>
          <w:lang w:eastAsia="zh-CN"/>
        </w:rPr>
        <w:t>s</w:t>
      </w:r>
      <w:r w:rsidRPr="00CF31E0">
        <w:rPr>
          <w:lang w:eastAsia="zh-CN"/>
        </w:rPr>
        <w:t xml:space="preserve"> them pursue the modernity of </w:t>
      </w:r>
      <w:r w:rsidR="007F6732" w:rsidRPr="00CF31E0">
        <w:rPr>
          <w:lang w:eastAsia="zh-CN"/>
        </w:rPr>
        <w:t xml:space="preserve">the </w:t>
      </w:r>
      <w:r w:rsidRPr="00CF31E0">
        <w:rPr>
          <w:lang w:eastAsia="zh-CN"/>
        </w:rPr>
        <w:t>HH dialect and the la</w:t>
      </w:r>
      <w:r w:rsidR="007F6732" w:rsidRPr="00CF31E0">
        <w:rPr>
          <w:lang w:eastAsia="zh-CN"/>
        </w:rPr>
        <w:t>t</w:t>
      </w:r>
      <w:r w:rsidRPr="00CF31E0">
        <w:rPr>
          <w:lang w:eastAsia="zh-CN"/>
        </w:rPr>
        <w:t xml:space="preserve">ter </w:t>
      </w:r>
      <w:r w:rsidR="007F6732" w:rsidRPr="00CF31E0">
        <w:rPr>
          <w:lang w:eastAsia="zh-CN"/>
        </w:rPr>
        <w:t>enables them to greater assert</w:t>
      </w:r>
      <w:r w:rsidRPr="00CF31E0">
        <w:rPr>
          <w:lang w:eastAsia="zh-CN"/>
        </w:rPr>
        <w:t xml:space="preserve"> their traditional identity. The traditional identity the UBH participants showed could have direct implications </w:t>
      </w:r>
      <w:r w:rsidR="007F6732" w:rsidRPr="00CF31E0">
        <w:rPr>
          <w:lang w:eastAsia="zh-CN"/>
        </w:rPr>
        <w:t xml:space="preserve">for </w:t>
      </w:r>
      <w:r w:rsidRPr="00CF31E0">
        <w:rPr>
          <w:lang w:eastAsia="zh-CN"/>
        </w:rPr>
        <w:t>how linguistically secure this particular group</w:t>
      </w:r>
      <w:r w:rsidR="007F6732" w:rsidRPr="00CF31E0">
        <w:rPr>
          <w:lang w:eastAsia="zh-CN"/>
        </w:rPr>
        <w:t xml:space="preserve"> is</w:t>
      </w:r>
      <w:r w:rsidRPr="00CF31E0">
        <w:rPr>
          <w:lang w:eastAsia="zh-CN"/>
        </w:rPr>
        <w:t xml:space="preserve">, which I </w:t>
      </w:r>
      <w:r w:rsidR="00533110" w:rsidRPr="00CF31E0">
        <w:rPr>
          <w:lang w:eastAsia="zh-CN"/>
        </w:rPr>
        <w:t>have</w:t>
      </w:r>
      <w:r w:rsidRPr="00CF31E0">
        <w:rPr>
          <w:lang w:eastAsia="zh-CN"/>
        </w:rPr>
        <w:t xml:space="preserve"> discuss</w:t>
      </w:r>
      <w:r w:rsidR="00533110" w:rsidRPr="00CF31E0">
        <w:rPr>
          <w:lang w:eastAsia="zh-CN"/>
        </w:rPr>
        <w:t>ed</w:t>
      </w:r>
      <w:r w:rsidRPr="00CF31E0">
        <w:rPr>
          <w:lang w:eastAsia="zh-CN"/>
        </w:rPr>
        <w:t xml:space="preserve"> in section </w:t>
      </w:r>
      <w:r w:rsidR="00D11D30" w:rsidRPr="00CF31E0">
        <w:rPr>
          <w:lang w:eastAsia="zh-CN"/>
        </w:rPr>
        <w:t>10</w:t>
      </w:r>
      <w:r w:rsidR="00533110" w:rsidRPr="00CF31E0">
        <w:rPr>
          <w:lang w:eastAsia="zh-CN"/>
        </w:rPr>
        <w:t>.5</w:t>
      </w:r>
      <w:r w:rsidRPr="00CF31E0">
        <w:rPr>
          <w:lang w:eastAsia="zh-CN"/>
        </w:rPr>
        <w:t xml:space="preserve"> </w:t>
      </w:r>
      <w:r w:rsidR="00533110" w:rsidRPr="00CF31E0">
        <w:rPr>
          <w:lang w:eastAsia="zh-CN"/>
        </w:rPr>
        <w:t>above</w:t>
      </w:r>
      <w:r w:rsidRPr="00CF31E0">
        <w:rPr>
          <w:lang w:eastAsia="zh-CN"/>
        </w:rPr>
        <w:t xml:space="preserve">. </w:t>
      </w:r>
    </w:p>
    <w:p w14:paraId="4B6C4236" w14:textId="6398B800" w:rsidR="00A23C2A" w:rsidRPr="00CF31E0" w:rsidRDefault="00A23C2A" w:rsidP="00603CB7">
      <w:pPr>
        <w:pStyle w:val="Paragraph"/>
        <w:rPr>
          <w:lang w:eastAsia="zh-CN"/>
        </w:rPr>
      </w:pPr>
      <w:r w:rsidRPr="00CF31E0">
        <w:rPr>
          <w:lang w:eastAsia="zh-CN"/>
        </w:rPr>
        <w:t xml:space="preserve">As for the HH participants, </w:t>
      </w:r>
      <w:r w:rsidR="007F6732" w:rsidRPr="00CF31E0">
        <w:rPr>
          <w:lang w:eastAsia="zh-CN"/>
        </w:rPr>
        <w:t xml:space="preserve">the </w:t>
      </w:r>
      <w:r w:rsidRPr="00CF31E0">
        <w:rPr>
          <w:lang w:eastAsia="zh-CN"/>
        </w:rPr>
        <w:t>results might be explained by the idea that HH participants may perceive the traditional characteristics as an assertion of their identity in the community</w:t>
      </w:r>
      <w:r w:rsidR="000D0D4C" w:rsidRPr="00CF31E0">
        <w:rPr>
          <w:lang w:eastAsia="zh-CN"/>
        </w:rPr>
        <w:t xml:space="preserve">. This </w:t>
      </w:r>
      <w:r w:rsidRPr="00CF31E0">
        <w:rPr>
          <w:lang w:eastAsia="zh-CN"/>
        </w:rPr>
        <w:t>could be something they are looking for</w:t>
      </w:r>
      <w:r w:rsidR="000D0D4C" w:rsidRPr="00CF31E0">
        <w:rPr>
          <w:lang w:eastAsia="zh-CN"/>
        </w:rPr>
        <w:t xml:space="preserve">; </w:t>
      </w:r>
      <w:r w:rsidRPr="00CF31E0">
        <w:rPr>
          <w:lang w:eastAsia="zh-CN"/>
        </w:rPr>
        <w:t xml:space="preserve">therefore, they have perceived their dialect as more traditional than the UBH participants did. </w:t>
      </w:r>
    </w:p>
    <w:p w14:paraId="133500E4" w14:textId="2B008BFA" w:rsidR="00A23C2A" w:rsidRPr="00CF31E0" w:rsidRDefault="00A23C2A" w:rsidP="00603CB7">
      <w:pPr>
        <w:pStyle w:val="Paragraph"/>
        <w:rPr>
          <w:lang w:eastAsia="zh-CN"/>
        </w:rPr>
      </w:pPr>
      <w:r w:rsidRPr="00CF31E0">
        <w:rPr>
          <w:lang w:eastAsia="zh-CN"/>
        </w:rPr>
        <w:t xml:space="preserve">In line with the present study, the </w:t>
      </w:r>
      <w:r w:rsidRPr="00CF31E0">
        <w:rPr>
          <w:lang w:eastAsia="zh-CN"/>
        </w:rPr>
        <w:fldChar w:fldCharType="begin"/>
      </w:r>
      <w:r w:rsidRPr="00CF31E0">
        <w:rPr>
          <w:lang w:eastAsia="zh-CN"/>
        </w:rPr>
        <w:instrText xml:space="preserve"> ADDIN ZOTERO_ITEM CSL_CITATION {"citationID":"TMIlxTo0","properties":{"formattedCitation":"(BBC, 2005)","plainCitation":"(BBC, 2005)","noteIndex":0},"citationItems":[{"id":283,"uris":["http://zotero.org/users/1939618/items/N9WVNE2C"],"uri":["http://zotero.org/users/1939618/items/N9WVNE2C"],"itemData":{"id":283,"type":"article-newspaper","title":"Regional accents 'bad for trade'","source":"news.bbc.co.uk","abstract":"Business leaders believe English regional accents are a disadvantage in business, says a survey.","URL":"http://news.bbc.co.uk/1/hi/england/4566028.stm","language":"en-GB","author":[{"literal":"BBC"}],"issued":{"date-parts":[["2005",12,29]]},"accessed":{"date-parts":[["2017",12,28]]}}}],"schema":"https://github.com/citation-style-language/schema/raw/master/csl-citation.json"} </w:instrText>
      </w:r>
      <w:r w:rsidRPr="00CF31E0">
        <w:rPr>
          <w:lang w:eastAsia="zh-CN"/>
        </w:rPr>
        <w:fldChar w:fldCharType="separate"/>
      </w:r>
      <w:r w:rsidRPr="00CF31E0">
        <w:rPr>
          <w:noProof/>
          <w:lang w:eastAsia="zh-CN"/>
        </w:rPr>
        <w:t>BBC (2005)</w:t>
      </w:r>
      <w:r w:rsidRPr="00CF31E0">
        <w:rPr>
          <w:lang w:eastAsia="zh-CN"/>
        </w:rPr>
        <w:fldChar w:fldCharType="end"/>
      </w:r>
      <w:r w:rsidRPr="00CF31E0">
        <w:rPr>
          <w:lang w:eastAsia="zh-CN"/>
        </w:rPr>
        <w:t xml:space="preserve"> study, where varieties were presented conceptually as </w:t>
      </w:r>
      <w:r w:rsidR="000D0D4C" w:rsidRPr="00CF31E0">
        <w:rPr>
          <w:lang w:eastAsia="zh-CN"/>
        </w:rPr>
        <w:t xml:space="preserve">in </w:t>
      </w:r>
      <w:r w:rsidRPr="00CF31E0">
        <w:rPr>
          <w:lang w:eastAsia="zh-CN"/>
        </w:rPr>
        <w:t xml:space="preserve">the present study, revealed a significant pattern of in-group </w:t>
      </w:r>
      <w:r w:rsidR="000D0D4C" w:rsidRPr="00CF31E0">
        <w:rPr>
          <w:lang w:eastAsia="zh-CN"/>
        </w:rPr>
        <w:t>loyalty on the part of</w:t>
      </w:r>
      <w:r w:rsidRPr="00CF31E0">
        <w:rPr>
          <w:lang w:eastAsia="zh-CN"/>
        </w:rPr>
        <w:t xml:space="preserve"> Scottish, Welsh and Northern Ireland </w:t>
      </w:r>
      <w:r w:rsidR="000D0D4C" w:rsidRPr="00CF31E0">
        <w:rPr>
          <w:lang w:eastAsia="zh-CN"/>
        </w:rPr>
        <w:t xml:space="preserve">participants </w:t>
      </w:r>
      <w:r w:rsidRPr="00CF31E0">
        <w:rPr>
          <w:lang w:eastAsia="zh-CN"/>
        </w:rPr>
        <w:t xml:space="preserve">towards their own varieties. They rated their regional varieties higher than other varieties </w:t>
      </w:r>
      <w:r w:rsidR="000D0D4C" w:rsidRPr="00CF31E0">
        <w:rPr>
          <w:lang w:eastAsia="zh-CN"/>
        </w:rPr>
        <w:t xml:space="preserve">on </w:t>
      </w:r>
      <w:r w:rsidRPr="00CF31E0">
        <w:rPr>
          <w:lang w:eastAsia="zh-CN"/>
        </w:rPr>
        <w:t>the social attractiveness and prestige dimension</w:t>
      </w:r>
      <w:r w:rsidR="000D0D4C" w:rsidRPr="00CF31E0">
        <w:rPr>
          <w:lang w:eastAsia="zh-CN"/>
        </w:rPr>
        <w:t>s</w:t>
      </w:r>
      <w:r w:rsidRPr="00CF31E0">
        <w:rPr>
          <w:lang w:eastAsia="zh-CN"/>
        </w:rPr>
        <w:t xml:space="preserve">, even higher than RP English. Similarly, the preference for </w:t>
      </w:r>
      <w:r w:rsidR="000D0D4C" w:rsidRPr="00CF31E0">
        <w:rPr>
          <w:lang w:eastAsia="zh-CN"/>
        </w:rPr>
        <w:t xml:space="preserve">the </w:t>
      </w:r>
      <w:r w:rsidRPr="00CF31E0">
        <w:rPr>
          <w:lang w:eastAsia="zh-CN"/>
        </w:rPr>
        <w:t xml:space="preserve">local variety is also revealed in </w:t>
      </w:r>
      <w:r w:rsidRPr="00CF31E0">
        <w:rPr>
          <w:lang w:eastAsia="zh-CN"/>
        </w:rPr>
        <w:fldChar w:fldCharType="begin"/>
      </w:r>
      <w:r w:rsidRPr="00CF31E0">
        <w:rPr>
          <w:lang w:eastAsia="zh-CN"/>
        </w:rPr>
        <w:instrText xml:space="preserve"> ADDIN ZOTERO_ITEM CSL_CITATION {"citationID":"PkXMakEV","properties":{"formattedCitation":"(Kristiansen, 2009)","plainCitation":"(Kristiansen, 2009)","noteIndex":0},"citationItems":[{"id":482,"uris":["http://zotero.org/users/1939618/items/8I7GNAP9"],"uri":["http://zotero.org/users/1939618/items/8I7GNAP9"],"itemData":{"id":482,"type":"article-journal","title":"The macro-level social meanings of late-modern Danish accents","container-title":"Acta Linguistica Hafniensia","page":"167-192","volume":"41","issue":"1","source":"Taylor and Francis+NEJM","abstract":"The paper reports on the main findings of the LANCHART language attitudes studies. These studies were designed to falsify (or modify) the picture of adolescent language ideology – and its role in language change – that had emerged from previous sociolinguistic studies in Denmark. This picture is formulated as three hypotheses: (1) There are two value systems at two levels of consciousness, (2) Language change is governed by subconscious values, (3) Copenhagen is Denmark's only linguistic norm centre. Following strict guidelines for data collection among 9th graders (aged 15–16) in Copenhagen, Næstved, Vissenbjerg, Odder, and Vinderup we obtained subconsciously offered attitudes that could be compared with consciously offered attitudes. The results neither falsify nor modify the established picture but strongly confirm it.","DOI":"10.1080/03740460903364219","ISSN":"0374-0463","author":[{"family":"Kristiansen","given":"Tore"}],"issued":{"date-parts":[["2009",11,1]]}}}],"schema":"https://github.com/citation-style-language/schema/raw/master/csl-citation.json"} </w:instrText>
      </w:r>
      <w:r w:rsidRPr="00CF31E0">
        <w:rPr>
          <w:lang w:eastAsia="zh-CN"/>
        </w:rPr>
        <w:fldChar w:fldCharType="separate"/>
      </w:r>
      <w:r w:rsidRPr="00CF31E0">
        <w:rPr>
          <w:noProof/>
          <w:lang w:eastAsia="zh-CN"/>
        </w:rPr>
        <w:t>Kristiansen's study (2009</w:t>
      </w:r>
      <w:r w:rsidRPr="00CF31E0">
        <w:rPr>
          <w:lang w:eastAsia="zh-CN"/>
        </w:rPr>
        <w:fldChar w:fldCharType="end"/>
      </w:r>
      <w:r w:rsidRPr="00CF31E0">
        <w:rPr>
          <w:lang w:eastAsia="zh-CN"/>
        </w:rPr>
        <w:t>,</w:t>
      </w:r>
      <w:r w:rsidR="000D0D4C" w:rsidRPr="00CF31E0">
        <w:rPr>
          <w:lang w:eastAsia="zh-CN"/>
        </w:rPr>
        <w:t xml:space="preserve"> </w:t>
      </w:r>
      <w:r w:rsidRPr="00CF31E0">
        <w:rPr>
          <w:lang w:eastAsia="zh-CN"/>
        </w:rPr>
        <w:t>p.177</w:t>
      </w:r>
      <w:r w:rsidR="000D0D4C" w:rsidRPr="00CF31E0">
        <w:rPr>
          <w:lang w:eastAsia="zh-CN"/>
        </w:rPr>
        <w:t>),</w:t>
      </w:r>
      <w:r w:rsidRPr="00CF31E0">
        <w:rPr>
          <w:lang w:eastAsia="zh-CN"/>
        </w:rPr>
        <w:t xml:space="preserve"> where Danish varieties were presented conceptually. The pattern revealed “local patriotism”</w:t>
      </w:r>
      <w:r w:rsidR="00A0529C" w:rsidRPr="00CF31E0">
        <w:rPr>
          <w:lang w:eastAsia="zh-CN"/>
        </w:rPr>
        <w:t>,</w:t>
      </w:r>
      <w:r w:rsidRPr="00CF31E0">
        <w:rPr>
          <w:lang w:eastAsia="zh-CN"/>
        </w:rPr>
        <w:t xml:space="preserve"> where local varieties were favoured over others. Overall, I </w:t>
      </w:r>
      <w:r w:rsidR="00A0529C" w:rsidRPr="00CF31E0">
        <w:rPr>
          <w:lang w:eastAsia="zh-CN"/>
        </w:rPr>
        <w:t xml:space="preserve">will </w:t>
      </w:r>
      <w:r w:rsidRPr="00CF31E0">
        <w:rPr>
          <w:lang w:eastAsia="zh-CN"/>
        </w:rPr>
        <w:t xml:space="preserve">conclude by making a wider point that the in-group loyalty is related to how </w:t>
      </w:r>
      <w:r w:rsidRPr="00CF31E0">
        <w:rPr>
          <w:lang w:eastAsia="zh-CN"/>
        </w:rPr>
        <w:lastRenderedPageBreak/>
        <w:t>people view their own dialect or language within the world. Simply put, people have</w:t>
      </w:r>
      <w:r w:rsidR="00A0529C" w:rsidRPr="00CF31E0">
        <w:rPr>
          <w:lang w:eastAsia="zh-CN"/>
        </w:rPr>
        <w:t xml:space="preserve"> a</w:t>
      </w:r>
      <w:r w:rsidRPr="00CF31E0">
        <w:rPr>
          <w:lang w:eastAsia="zh-CN"/>
        </w:rPr>
        <w:t xml:space="preserve"> tendency to favour their own language/varieties over others. </w:t>
      </w:r>
    </w:p>
    <w:p w14:paraId="6C42792C" w14:textId="2F3DEB7D" w:rsidR="00601127" w:rsidRPr="00CF31E0" w:rsidRDefault="00A23C2A" w:rsidP="00603CB7">
      <w:pPr>
        <w:pStyle w:val="Paragraph"/>
        <w:rPr>
          <w:lang w:eastAsia="zh-CN"/>
        </w:rPr>
      </w:pPr>
      <w:r w:rsidRPr="00CF31E0">
        <w:rPr>
          <w:lang w:eastAsia="zh-CN"/>
        </w:rPr>
        <w:t xml:space="preserve">This result is theoretically supported by the social identity theory </w:t>
      </w:r>
      <w:r w:rsidRPr="00CF31E0">
        <w:rPr>
          <w:lang w:eastAsia="zh-CN"/>
        </w:rPr>
        <w:fldChar w:fldCharType="begin"/>
      </w:r>
      <w:r w:rsidRPr="00CF31E0">
        <w:rPr>
          <w:lang w:eastAsia="zh-CN"/>
        </w:rPr>
        <w:instrText xml:space="preserve"> ADDIN ZOTERO_ITEM CSL_CITATION {"citationID":"a2apmomn1kb","properties":{"formattedCitation":"(Tajfel, 1974)","plainCitation":"(Tajfel, 1974)"},"citationItems":[{"id":312,"uris":["http://zotero.org/users/1939618/items/ARNHDUQY"],"uri":["http://zotero.org/users/1939618/items/ARNHDUQY"],"itemData":{"id":312,"type":"article-journal","title":"Social identity and intergroup behaviour","container-title":"Social Science Information","page":"65–93","volume":"13","issue":"2","source":"find.shef.ac.uk","DOI":"10.1177/053901847401300204","ISSN":"0539-0184","author":[{"family":"Tajfel","given":"Henri"}],"issued":{"date-parts":[["1974"]]}}}],"schema":"https://github.com/citation-style-language/schema/raw/master/csl-citation.json"} </w:instrText>
      </w:r>
      <w:r w:rsidRPr="00CF31E0">
        <w:rPr>
          <w:lang w:eastAsia="zh-CN"/>
        </w:rPr>
        <w:fldChar w:fldCharType="separate"/>
      </w:r>
      <w:r w:rsidRPr="00CF31E0">
        <w:rPr>
          <w:lang w:eastAsia="zh-CN"/>
        </w:rPr>
        <w:t>(Tajfel, 1974)</w:t>
      </w:r>
      <w:r w:rsidRPr="00CF31E0">
        <w:rPr>
          <w:lang w:eastAsia="zh-CN"/>
        </w:rPr>
        <w:fldChar w:fldCharType="end"/>
      </w:r>
      <w:r w:rsidRPr="00CF31E0">
        <w:rPr>
          <w:lang w:eastAsia="zh-CN"/>
        </w:rPr>
        <w:t xml:space="preserve">, discussed in </w:t>
      </w:r>
      <w:r w:rsidR="00A743FF" w:rsidRPr="00CF31E0">
        <w:rPr>
          <w:lang w:eastAsia="zh-CN"/>
        </w:rPr>
        <w:t>C</w:t>
      </w:r>
      <w:r w:rsidRPr="00CF31E0">
        <w:rPr>
          <w:lang w:eastAsia="zh-CN"/>
        </w:rPr>
        <w:t xml:space="preserve">hapter </w:t>
      </w:r>
      <w:r w:rsidR="00D11D30" w:rsidRPr="00CF31E0">
        <w:rPr>
          <w:lang w:eastAsia="zh-CN"/>
        </w:rPr>
        <w:t>4</w:t>
      </w:r>
      <w:r w:rsidRPr="00CF31E0">
        <w:rPr>
          <w:lang w:eastAsia="zh-CN"/>
        </w:rPr>
        <w:t>, section</w:t>
      </w:r>
      <w:r w:rsidR="00533110" w:rsidRPr="00CF31E0">
        <w:rPr>
          <w:lang w:eastAsia="zh-CN"/>
        </w:rPr>
        <w:t xml:space="preserve"> </w:t>
      </w:r>
      <w:r w:rsidR="00D11D30" w:rsidRPr="00CF31E0">
        <w:rPr>
          <w:lang w:eastAsia="zh-CN"/>
        </w:rPr>
        <w:t>4</w:t>
      </w:r>
      <w:r w:rsidR="00533110" w:rsidRPr="00CF31E0">
        <w:rPr>
          <w:lang w:eastAsia="zh-CN"/>
        </w:rPr>
        <w:t>.3</w:t>
      </w:r>
      <w:r w:rsidRPr="00CF31E0">
        <w:rPr>
          <w:lang w:eastAsia="zh-CN"/>
        </w:rPr>
        <w:t xml:space="preserve">. </w:t>
      </w:r>
      <w:r w:rsidRPr="00CF31E0">
        <w:rPr>
          <w:lang w:eastAsia="zh-CN"/>
        </w:rPr>
        <w:fldChar w:fldCharType="begin"/>
      </w:r>
      <w:r w:rsidRPr="00CF31E0">
        <w:rPr>
          <w:lang w:eastAsia="zh-CN"/>
        </w:rPr>
        <w:instrText xml:space="preserve"> ADDIN ZOTERO_ITEM CSL_CITATION {"citationID":"a8b328hpea","properties":{"formattedCitation":"(Tajfel, 1974)","plainCitation":"(Tajfel, 1974)"},"citationItems":[{"id":312,"uris":["http://zotero.org/users/1939618/items/ARNHDUQY"],"uri":["http://zotero.org/users/1939618/items/ARNHDUQY"],"itemData":{"id":312,"type":"article-journal","title":"Social identity and intergroup behaviour","container-title":"Social Science Information","page":"65–93","volume":"13","issue":"2","source":"find.shef.ac.uk","DOI":"10.1177/053901847401300204","ISSN":"0539-0184","author":[{"family":"Tajfel","given":"Henri"}],"issued":{"date-parts":[["1974"]]}}}],"schema":"https://github.com/citation-style-language/schema/raw/master/csl-citation.json"} </w:instrText>
      </w:r>
      <w:r w:rsidRPr="00CF31E0">
        <w:rPr>
          <w:lang w:eastAsia="zh-CN"/>
        </w:rPr>
        <w:fldChar w:fldCharType="separate"/>
      </w:r>
      <w:r w:rsidRPr="00CF31E0">
        <w:rPr>
          <w:lang w:eastAsia="zh-CN"/>
        </w:rPr>
        <w:t>Tajfel (1974)</w:t>
      </w:r>
      <w:r w:rsidRPr="00CF31E0">
        <w:rPr>
          <w:lang w:eastAsia="zh-CN"/>
        </w:rPr>
        <w:fldChar w:fldCharType="end"/>
      </w:r>
      <w:r w:rsidRPr="00CF31E0">
        <w:rPr>
          <w:lang w:eastAsia="zh-CN"/>
        </w:rPr>
        <w:t xml:space="preserve"> revealed that the group to which a person belongs gives him/her a sense of identity and individuality, and furthermore that a member of a group seeks to enhance the status of his/her group as a means of increasing their confidence and self-esteem. UBHs tend to apply social characterizations by putting themselves into the in-group and the HH in the out-group, and the same applies to the HH group. The UBHs are enhancing both the traditional and modern status of their dialect by rating it more highly than the HH do. The same applies to the HH participants in respect to their dialect. </w:t>
      </w:r>
    </w:p>
    <w:p w14:paraId="242C1978" w14:textId="5F8E1103" w:rsidR="00A23C2A" w:rsidRPr="00CF31E0" w:rsidRDefault="00D11D30" w:rsidP="00DE7711">
      <w:pPr>
        <w:pStyle w:val="Ahead"/>
        <w:rPr>
          <w:rFonts w:eastAsia="SimSun"/>
        </w:rPr>
      </w:pPr>
      <w:bookmarkStart w:id="748" w:name="_Toc503383077"/>
      <w:bookmarkStart w:id="749" w:name="_Toc6472766"/>
      <w:r w:rsidRPr="00CF31E0">
        <w:rPr>
          <w:rFonts w:eastAsia="SimSun"/>
        </w:rPr>
        <w:t>10</w:t>
      </w:r>
      <w:r w:rsidR="00A0529C" w:rsidRPr="00CF31E0">
        <w:rPr>
          <w:rFonts w:eastAsia="SimSun"/>
        </w:rPr>
        <w:t>.8.</w:t>
      </w:r>
      <w:r w:rsidR="00B36FA3" w:rsidRPr="00CF31E0">
        <w:rPr>
          <w:rFonts w:eastAsia="SimSun"/>
        </w:rPr>
        <w:tab/>
      </w:r>
      <w:r w:rsidR="00F44DB2" w:rsidRPr="00CF31E0">
        <w:rPr>
          <w:rFonts w:eastAsia="SimSun"/>
        </w:rPr>
        <w:t>E</w:t>
      </w:r>
      <w:r w:rsidR="00A23C2A" w:rsidRPr="00CF31E0">
        <w:rPr>
          <w:rFonts w:eastAsia="SimSun"/>
        </w:rPr>
        <w:t>ffects of demographic variables in the results</w:t>
      </w:r>
      <w:bookmarkEnd w:id="748"/>
      <w:bookmarkEnd w:id="749"/>
      <w:r w:rsidR="00A23C2A" w:rsidRPr="00CF31E0">
        <w:rPr>
          <w:rFonts w:eastAsia="SimSun"/>
        </w:rPr>
        <w:t xml:space="preserve"> </w:t>
      </w:r>
    </w:p>
    <w:p w14:paraId="0BFCA949" w14:textId="682F8970" w:rsidR="00CF6AB3" w:rsidRPr="00CF31E0" w:rsidRDefault="00A23C2A" w:rsidP="00603CB7">
      <w:pPr>
        <w:pStyle w:val="Paragraph"/>
        <w:rPr>
          <w:lang w:eastAsia="zh-CN"/>
        </w:rPr>
      </w:pPr>
      <w:r w:rsidRPr="00CF31E0">
        <w:rPr>
          <w:lang w:eastAsia="zh-CN"/>
        </w:rPr>
        <w:t>The findings from the ANOVA indicated that very few of the nine demographic variables that were tested against each factor within each dialect actually affected the factor results. Bearing in mind that in each dialect, two factors are found, thus a total of four factors were tested with each demographic variable, this meant that, overall, 36 demographic variables were tested across the four factors. Out of these 36 only two had a significant effect on the results (</w:t>
      </w:r>
      <w:r w:rsidR="00A0529C" w:rsidRPr="00CF31E0">
        <w:rPr>
          <w:lang w:eastAsia="zh-CN"/>
        </w:rPr>
        <w:t>T</w:t>
      </w:r>
      <w:r w:rsidRPr="00CF31E0">
        <w:rPr>
          <w:lang w:eastAsia="zh-CN"/>
        </w:rPr>
        <w:t xml:space="preserve">able </w:t>
      </w:r>
      <w:r w:rsidR="00D11D30" w:rsidRPr="00CF31E0">
        <w:rPr>
          <w:lang w:eastAsia="zh-CN"/>
        </w:rPr>
        <w:t>10</w:t>
      </w:r>
      <w:r w:rsidR="00A0529C" w:rsidRPr="00CF31E0">
        <w:rPr>
          <w:lang w:eastAsia="zh-CN"/>
        </w:rPr>
        <w:t>.6</w:t>
      </w:r>
      <w:r w:rsidRPr="00CF31E0">
        <w:rPr>
          <w:lang w:eastAsia="zh-CN"/>
        </w:rPr>
        <w:t>).</w:t>
      </w:r>
    </w:p>
    <w:tbl>
      <w:tblPr>
        <w:tblW w:w="0" w:type="auto"/>
        <w:tblBorders>
          <w:top w:val="single" w:sz="4" w:space="0" w:color="auto"/>
          <w:bottom w:val="single" w:sz="4" w:space="0" w:color="auto"/>
        </w:tblBorders>
        <w:tblLook w:val="0000" w:firstRow="0" w:lastRow="0" w:firstColumn="0" w:lastColumn="0" w:noHBand="0" w:noVBand="0"/>
      </w:tblPr>
      <w:tblGrid>
        <w:gridCol w:w="1695"/>
        <w:gridCol w:w="1833"/>
        <w:gridCol w:w="2097"/>
        <w:gridCol w:w="1854"/>
      </w:tblGrid>
      <w:tr w:rsidR="007F558A" w:rsidRPr="00CF31E0" w14:paraId="482CF4ED" w14:textId="77777777" w:rsidTr="00603CB7">
        <w:trPr>
          <w:trHeight w:val="248"/>
        </w:trPr>
        <w:tc>
          <w:tcPr>
            <w:tcW w:w="1695" w:type="dxa"/>
            <w:tcBorders>
              <w:top w:val="single" w:sz="4" w:space="0" w:color="auto"/>
              <w:bottom w:val="single" w:sz="4" w:space="0" w:color="auto"/>
            </w:tcBorders>
          </w:tcPr>
          <w:p w14:paraId="114F0575" w14:textId="77777777" w:rsidR="00A23C2A" w:rsidRPr="00CF31E0" w:rsidRDefault="00A23C2A" w:rsidP="00603CB7">
            <w:pPr>
              <w:spacing w:before="120" w:after="120"/>
              <w:jc w:val="both"/>
              <w:rPr>
                <w:rFonts w:eastAsia="SimSun"/>
                <w:color w:val="000000" w:themeColor="text1"/>
                <w:sz w:val="22"/>
                <w:szCs w:val="22"/>
              </w:rPr>
            </w:pPr>
            <w:r w:rsidRPr="00CF31E0">
              <w:rPr>
                <w:rFonts w:eastAsia="SimSun"/>
                <w:color w:val="000000" w:themeColor="text1"/>
                <w:sz w:val="22"/>
                <w:szCs w:val="22"/>
              </w:rPr>
              <w:t>Demographics</w:t>
            </w:r>
          </w:p>
        </w:tc>
        <w:tc>
          <w:tcPr>
            <w:tcW w:w="1833" w:type="dxa"/>
            <w:tcBorders>
              <w:top w:val="single" w:sz="4" w:space="0" w:color="auto"/>
              <w:bottom w:val="single" w:sz="4" w:space="0" w:color="auto"/>
            </w:tcBorders>
          </w:tcPr>
          <w:p w14:paraId="1F91130D" w14:textId="77777777" w:rsidR="00A23C2A" w:rsidRPr="00CF31E0" w:rsidRDefault="00A23C2A" w:rsidP="00603CB7">
            <w:pPr>
              <w:spacing w:before="120" w:after="120"/>
              <w:jc w:val="both"/>
              <w:rPr>
                <w:rFonts w:eastAsia="SimSun"/>
                <w:color w:val="000000" w:themeColor="text1"/>
                <w:sz w:val="22"/>
                <w:szCs w:val="22"/>
              </w:rPr>
            </w:pPr>
            <w:r w:rsidRPr="00CF31E0">
              <w:rPr>
                <w:rFonts w:eastAsia="SimSun"/>
                <w:color w:val="000000" w:themeColor="text1"/>
                <w:sz w:val="22"/>
                <w:szCs w:val="22"/>
              </w:rPr>
              <w:t>Participant group</w:t>
            </w:r>
          </w:p>
        </w:tc>
        <w:tc>
          <w:tcPr>
            <w:tcW w:w="2097" w:type="dxa"/>
            <w:tcBorders>
              <w:top w:val="single" w:sz="4" w:space="0" w:color="auto"/>
              <w:bottom w:val="single" w:sz="4" w:space="0" w:color="auto"/>
            </w:tcBorders>
          </w:tcPr>
          <w:p w14:paraId="1B94A062" w14:textId="77777777" w:rsidR="00A23C2A" w:rsidRPr="00CF31E0" w:rsidRDefault="00A23C2A" w:rsidP="00603CB7">
            <w:pPr>
              <w:spacing w:before="120" w:after="120"/>
              <w:jc w:val="both"/>
              <w:rPr>
                <w:rFonts w:eastAsia="SimSun"/>
                <w:color w:val="000000" w:themeColor="text1"/>
                <w:sz w:val="22"/>
                <w:szCs w:val="22"/>
              </w:rPr>
            </w:pPr>
            <w:r w:rsidRPr="00CF31E0">
              <w:rPr>
                <w:rFonts w:eastAsia="SimSun"/>
                <w:color w:val="000000" w:themeColor="text1"/>
                <w:sz w:val="22"/>
                <w:szCs w:val="22"/>
              </w:rPr>
              <w:t>Dialect group</w:t>
            </w:r>
          </w:p>
        </w:tc>
        <w:tc>
          <w:tcPr>
            <w:tcW w:w="1854" w:type="dxa"/>
            <w:tcBorders>
              <w:top w:val="single" w:sz="4" w:space="0" w:color="auto"/>
              <w:bottom w:val="single" w:sz="4" w:space="0" w:color="auto"/>
            </w:tcBorders>
          </w:tcPr>
          <w:p w14:paraId="2FD98E18" w14:textId="77777777" w:rsidR="00A23C2A" w:rsidRPr="00CF31E0" w:rsidRDefault="00A23C2A" w:rsidP="00603CB7">
            <w:pPr>
              <w:spacing w:before="120" w:after="120"/>
              <w:jc w:val="both"/>
              <w:rPr>
                <w:rFonts w:eastAsia="SimSun"/>
                <w:color w:val="000000" w:themeColor="text1"/>
                <w:sz w:val="22"/>
                <w:szCs w:val="22"/>
              </w:rPr>
            </w:pPr>
            <w:r w:rsidRPr="00CF31E0">
              <w:rPr>
                <w:rFonts w:eastAsia="SimSun"/>
                <w:color w:val="000000" w:themeColor="text1"/>
                <w:sz w:val="22"/>
                <w:szCs w:val="22"/>
              </w:rPr>
              <w:t>Factor</w:t>
            </w:r>
          </w:p>
        </w:tc>
      </w:tr>
      <w:tr w:rsidR="007F558A" w:rsidRPr="00CF31E0" w14:paraId="3725D5CC" w14:textId="77777777" w:rsidTr="00603CB7">
        <w:trPr>
          <w:trHeight w:val="351"/>
        </w:trPr>
        <w:tc>
          <w:tcPr>
            <w:tcW w:w="1695" w:type="dxa"/>
            <w:tcBorders>
              <w:top w:val="single" w:sz="4" w:space="0" w:color="auto"/>
              <w:bottom w:val="nil"/>
            </w:tcBorders>
          </w:tcPr>
          <w:p w14:paraId="7FBD0980" w14:textId="77777777" w:rsidR="00A23C2A" w:rsidRPr="00CF31E0" w:rsidRDefault="00A23C2A" w:rsidP="00603CB7">
            <w:pPr>
              <w:spacing w:before="120" w:after="120"/>
              <w:jc w:val="both"/>
              <w:rPr>
                <w:rFonts w:eastAsia="SimSun"/>
                <w:color w:val="000000" w:themeColor="text1"/>
                <w:sz w:val="22"/>
                <w:szCs w:val="22"/>
              </w:rPr>
            </w:pPr>
            <w:r w:rsidRPr="00CF31E0">
              <w:rPr>
                <w:rFonts w:eastAsia="SimSun"/>
                <w:color w:val="000000" w:themeColor="text1"/>
                <w:sz w:val="22"/>
                <w:szCs w:val="22"/>
              </w:rPr>
              <w:t>Gender</w:t>
            </w:r>
          </w:p>
        </w:tc>
        <w:tc>
          <w:tcPr>
            <w:tcW w:w="1833" w:type="dxa"/>
            <w:tcBorders>
              <w:top w:val="single" w:sz="4" w:space="0" w:color="auto"/>
              <w:bottom w:val="nil"/>
            </w:tcBorders>
          </w:tcPr>
          <w:p w14:paraId="122278CD" w14:textId="77777777" w:rsidR="00A23C2A" w:rsidRPr="00CF31E0" w:rsidRDefault="00A23C2A" w:rsidP="00603CB7">
            <w:pPr>
              <w:spacing w:before="120" w:after="120"/>
              <w:jc w:val="both"/>
              <w:rPr>
                <w:rFonts w:eastAsia="SimSun"/>
                <w:color w:val="000000" w:themeColor="text1"/>
                <w:sz w:val="22"/>
                <w:szCs w:val="22"/>
              </w:rPr>
            </w:pPr>
            <w:r w:rsidRPr="00CF31E0">
              <w:rPr>
                <w:rFonts w:eastAsia="SimSun"/>
                <w:color w:val="000000" w:themeColor="text1"/>
                <w:sz w:val="22"/>
                <w:szCs w:val="22"/>
              </w:rPr>
              <w:t>UBH</w:t>
            </w:r>
          </w:p>
        </w:tc>
        <w:tc>
          <w:tcPr>
            <w:tcW w:w="2097" w:type="dxa"/>
            <w:tcBorders>
              <w:top w:val="single" w:sz="4" w:space="0" w:color="auto"/>
              <w:bottom w:val="nil"/>
            </w:tcBorders>
          </w:tcPr>
          <w:p w14:paraId="4F810958" w14:textId="77777777" w:rsidR="00A23C2A" w:rsidRPr="00CF31E0" w:rsidRDefault="00A23C2A" w:rsidP="00603CB7">
            <w:pPr>
              <w:spacing w:before="120" w:after="120"/>
              <w:jc w:val="both"/>
              <w:rPr>
                <w:rFonts w:eastAsia="SimSun"/>
                <w:color w:val="000000" w:themeColor="text1"/>
                <w:sz w:val="22"/>
                <w:szCs w:val="22"/>
              </w:rPr>
            </w:pPr>
            <w:r w:rsidRPr="00CF31E0">
              <w:rPr>
                <w:rFonts w:eastAsia="SimSun"/>
                <w:color w:val="000000" w:themeColor="text1"/>
                <w:sz w:val="22"/>
                <w:szCs w:val="22"/>
              </w:rPr>
              <w:t>UBH</w:t>
            </w:r>
          </w:p>
        </w:tc>
        <w:tc>
          <w:tcPr>
            <w:tcW w:w="1854" w:type="dxa"/>
            <w:tcBorders>
              <w:top w:val="single" w:sz="4" w:space="0" w:color="auto"/>
              <w:bottom w:val="nil"/>
            </w:tcBorders>
          </w:tcPr>
          <w:p w14:paraId="245049A4" w14:textId="77777777" w:rsidR="00A23C2A" w:rsidRPr="00CF31E0" w:rsidRDefault="00A23C2A" w:rsidP="00603CB7">
            <w:pPr>
              <w:spacing w:before="120" w:after="120"/>
              <w:jc w:val="both"/>
              <w:rPr>
                <w:rFonts w:eastAsia="SimSun"/>
                <w:color w:val="000000" w:themeColor="text1"/>
                <w:sz w:val="22"/>
                <w:szCs w:val="22"/>
              </w:rPr>
            </w:pPr>
            <w:r w:rsidRPr="00CF31E0">
              <w:rPr>
                <w:rFonts w:eastAsia="SimSun"/>
                <w:color w:val="000000" w:themeColor="text1"/>
                <w:sz w:val="22"/>
                <w:szCs w:val="22"/>
              </w:rPr>
              <w:t>Modern factor</w:t>
            </w:r>
          </w:p>
        </w:tc>
      </w:tr>
      <w:tr w:rsidR="007F558A" w:rsidRPr="00CF31E0" w14:paraId="30A61FE1" w14:textId="77777777" w:rsidTr="00603CB7">
        <w:trPr>
          <w:trHeight w:val="709"/>
        </w:trPr>
        <w:tc>
          <w:tcPr>
            <w:tcW w:w="1695" w:type="dxa"/>
          </w:tcPr>
          <w:p w14:paraId="4187B5F2" w14:textId="77777777" w:rsidR="00A23C2A" w:rsidRPr="00CF31E0" w:rsidRDefault="00A23C2A" w:rsidP="00603CB7">
            <w:pPr>
              <w:spacing w:before="120" w:after="120"/>
              <w:jc w:val="both"/>
              <w:rPr>
                <w:rFonts w:eastAsia="SimSun"/>
                <w:color w:val="000000" w:themeColor="text1"/>
                <w:sz w:val="22"/>
                <w:szCs w:val="22"/>
              </w:rPr>
            </w:pPr>
            <w:r w:rsidRPr="00CF31E0">
              <w:rPr>
                <w:rFonts w:eastAsia="SimSun"/>
                <w:color w:val="000000" w:themeColor="text1"/>
                <w:sz w:val="22"/>
                <w:szCs w:val="22"/>
              </w:rPr>
              <w:t>Places lived</w:t>
            </w:r>
          </w:p>
        </w:tc>
        <w:tc>
          <w:tcPr>
            <w:tcW w:w="1833" w:type="dxa"/>
          </w:tcPr>
          <w:p w14:paraId="0E5BDFA8" w14:textId="77777777" w:rsidR="00A23C2A" w:rsidRPr="00CF31E0" w:rsidRDefault="00A23C2A" w:rsidP="00603CB7">
            <w:pPr>
              <w:spacing w:before="120" w:after="120"/>
              <w:jc w:val="both"/>
              <w:rPr>
                <w:rFonts w:eastAsia="SimSun"/>
                <w:color w:val="000000" w:themeColor="text1"/>
                <w:sz w:val="22"/>
                <w:szCs w:val="22"/>
              </w:rPr>
            </w:pPr>
            <w:r w:rsidRPr="00CF31E0">
              <w:rPr>
                <w:rFonts w:eastAsia="SimSun"/>
                <w:color w:val="000000" w:themeColor="text1"/>
                <w:sz w:val="22"/>
                <w:szCs w:val="22"/>
              </w:rPr>
              <w:t>UBH</w:t>
            </w:r>
          </w:p>
        </w:tc>
        <w:tc>
          <w:tcPr>
            <w:tcW w:w="2097" w:type="dxa"/>
          </w:tcPr>
          <w:p w14:paraId="759FE23B" w14:textId="77777777" w:rsidR="00A23C2A" w:rsidRPr="00CF31E0" w:rsidRDefault="00A23C2A" w:rsidP="00603CB7">
            <w:pPr>
              <w:spacing w:before="120" w:after="120"/>
              <w:jc w:val="both"/>
              <w:rPr>
                <w:rFonts w:eastAsia="SimSun"/>
                <w:color w:val="000000" w:themeColor="text1"/>
                <w:sz w:val="22"/>
                <w:szCs w:val="22"/>
              </w:rPr>
            </w:pPr>
            <w:r w:rsidRPr="00CF31E0">
              <w:rPr>
                <w:rFonts w:eastAsia="SimSun"/>
                <w:color w:val="000000" w:themeColor="text1"/>
                <w:sz w:val="22"/>
                <w:szCs w:val="22"/>
              </w:rPr>
              <w:t>HH</w:t>
            </w:r>
          </w:p>
        </w:tc>
        <w:tc>
          <w:tcPr>
            <w:tcW w:w="1854" w:type="dxa"/>
          </w:tcPr>
          <w:p w14:paraId="11B6E61A" w14:textId="77777777" w:rsidR="00A23C2A" w:rsidRPr="00CF31E0" w:rsidRDefault="00A23C2A" w:rsidP="00603CB7">
            <w:pPr>
              <w:spacing w:before="120" w:after="120"/>
              <w:jc w:val="both"/>
              <w:rPr>
                <w:rFonts w:eastAsia="SimSun"/>
                <w:color w:val="000000" w:themeColor="text1"/>
                <w:sz w:val="22"/>
                <w:szCs w:val="22"/>
              </w:rPr>
            </w:pPr>
            <w:r w:rsidRPr="00CF31E0">
              <w:rPr>
                <w:rFonts w:eastAsia="SimSun"/>
                <w:color w:val="000000" w:themeColor="text1"/>
                <w:sz w:val="22"/>
                <w:szCs w:val="22"/>
              </w:rPr>
              <w:t>Traditional factor</w:t>
            </w:r>
          </w:p>
        </w:tc>
      </w:tr>
    </w:tbl>
    <w:p w14:paraId="7021C98F" w14:textId="02B8765E" w:rsidR="00A23C2A" w:rsidRPr="00CF31E0" w:rsidRDefault="00A0529C" w:rsidP="00D11D30">
      <w:pPr>
        <w:pStyle w:val="Tablecaption"/>
        <w:rPr>
          <w:lang w:eastAsia="zh-CN"/>
        </w:rPr>
      </w:pPr>
      <w:bookmarkStart w:id="750" w:name="_Toc522527464"/>
      <w:bookmarkStart w:id="751" w:name="_Toc522628877"/>
      <w:bookmarkStart w:id="752" w:name="_Toc522629041"/>
      <w:bookmarkStart w:id="753" w:name="_Toc6473138"/>
      <w:r w:rsidRPr="00CF31E0">
        <w:rPr>
          <w:lang w:eastAsia="zh-CN"/>
        </w:rPr>
        <w:t xml:space="preserve">Table </w:t>
      </w:r>
      <w:r w:rsidR="00D11D30" w:rsidRPr="00CF31E0">
        <w:rPr>
          <w:lang w:eastAsia="zh-CN"/>
        </w:rPr>
        <w:t>10</w:t>
      </w:r>
      <w:r w:rsidRPr="00CF31E0">
        <w:rPr>
          <w:lang w:eastAsia="zh-CN"/>
        </w:rPr>
        <w:t>.6: Effects of demographics on modern and traditional factors.</w:t>
      </w:r>
      <w:bookmarkEnd w:id="750"/>
      <w:bookmarkEnd w:id="751"/>
      <w:bookmarkEnd w:id="752"/>
      <w:bookmarkEnd w:id="753"/>
    </w:p>
    <w:p w14:paraId="5B3E7672" w14:textId="483B6739" w:rsidR="00A23C2A" w:rsidRPr="00CF31E0" w:rsidRDefault="00A23C2A" w:rsidP="00603CB7">
      <w:pPr>
        <w:pStyle w:val="Paragraph"/>
        <w:rPr>
          <w:lang w:eastAsia="zh-CN"/>
        </w:rPr>
      </w:pPr>
      <w:r w:rsidRPr="00CF31E0">
        <w:rPr>
          <w:lang w:eastAsia="zh-CN"/>
        </w:rPr>
        <w:t xml:space="preserve">First, with regards to the UBH dialect, the gender demographic affected the data with </w:t>
      </w:r>
      <w:r w:rsidRPr="00CF31E0">
        <w:rPr>
          <w:rFonts w:eastAsia="MS Mincho"/>
          <w:lang w:val="en-US" w:eastAsia="en-US"/>
        </w:rPr>
        <w:t xml:space="preserve">a significant value (.02). </w:t>
      </w:r>
      <w:r w:rsidRPr="00CF31E0">
        <w:rPr>
          <w:lang w:val="en-US" w:eastAsia="zh-CN"/>
        </w:rPr>
        <w:t>T</w:t>
      </w:r>
      <w:r w:rsidRPr="00CF31E0">
        <w:rPr>
          <w:lang w:eastAsia="zh-CN"/>
        </w:rPr>
        <w:t>he female group statistically gave the UBH dialect a mean score of 2.05 on the modern factor, while the male group gave the UBH dialect a mean score of 1.81, which means that the female UBH group perceive</w:t>
      </w:r>
      <w:r w:rsidR="00FB08B5" w:rsidRPr="00CF31E0">
        <w:rPr>
          <w:lang w:eastAsia="zh-CN"/>
        </w:rPr>
        <w:t>s</w:t>
      </w:r>
      <w:r w:rsidRPr="00CF31E0">
        <w:rPr>
          <w:lang w:eastAsia="zh-CN"/>
        </w:rPr>
        <w:t xml:space="preserve"> the UBH dialect as more modern than </w:t>
      </w:r>
      <w:r w:rsidRPr="00CF31E0">
        <w:rPr>
          <w:lang w:eastAsia="zh-CN"/>
        </w:rPr>
        <w:lastRenderedPageBreak/>
        <w:t>traditional. This result might be explained by the idea discussed above, see section</w:t>
      </w:r>
      <w:r w:rsidR="00533110" w:rsidRPr="00CF31E0">
        <w:rPr>
          <w:lang w:eastAsia="zh-CN"/>
        </w:rPr>
        <w:t xml:space="preserve"> </w:t>
      </w:r>
      <w:r w:rsidR="00D11D30" w:rsidRPr="00CF31E0">
        <w:rPr>
          <w:lang w:eastAsia="zh-CN"/>
        </w:rPr>
        <w:t>10</w:t>
      </w:r>
      <w:r w:rsidR="00533110" w:rsidRPr="00CF31E0">
        <w:rPr>
          <w:lang w:eastAsia="zh-CN"/>
        </w:rPr>
        <w:t>.7</w:t>
      </w:r>
      <w:r w:rsidRPr="00CF31E0">
        <w:rPr>
          <w:lang w:eastAsia="zh-CN"/>
        </w:rPr>
        <w:t xml:space="preserve">, that the UBH social group has been urbanized rapidly in the last </w:t>
      </w:r>
      <w:r w:rsidR="00F72262" w:rsidRPr="00CF31E0">
        <w:rPr>
          <w:lang w:eastAsia="zh-CN"/>
        </w:rPr>
        <w:t>50</w:t>
      </w:r>
      <w:r w:rsidRPr="00CF31E0">
        <w:rPr>
          <w:lang w:eastAsia="zh-CN"/>
        </w:rPr>
        <w:t xml:space="preserve"> years and this accordingly affected the female UBH group to perceive their dialect as more modern than it is being traditional. The remaining question is why </w:t>
      </w:r>
      <w:r w:rsidR="00635DA8" w:rsidRPr="00CF31E0">
        <w:rPr>
          <w:lang w:eastAsia="zh-CN"/>
        </w:rPr>
        <w:t xml:space="preserve">the </w:t>
      </w:r>
      <w:r w:rsidRPr="00CF31E0">
        <w:rPr>
          <w:lang w:eastAsia="zh-CN"/>
        </w:rPr>
        <w:t xml:space="preserve">male group has not been affected by the language ideology of </w:t>
      </w:r>
      <w:r w:rsidR="00635DA8" w:rsidRPr="00CF31E0">
        <w:rPr>
          <w:lang w:eastAsia="zh-CN"/>
        </w:rPr>
        <w:t xml:space="preserve">the </w:t>
      </w:r>
      <w:r w:rsidRPr="00CF31E0">
        <w:rPr>
          <w:lang w:eastAsia="zh-CN"/>
        </w:rPr>
        <w:t>UBH dialect</w:t>
      </w:r>
      <w:r w:rsidR="00635DA8" w:rsidRPr="00CF31E0">
        <w:rPr>
          <w:lang w:eastAsia="zh-CN"/>
        </w:rPr>
        <w:t>,</w:t>
      </w:r>
      <w:r w:rsidRPr="00CF31E0">
        <w:rPr>
          <w:lang w:eastAsia="zh-CN"/>
        </w:rPr>
        <w:t xml:space="preserve"> which from the above result </w:t>
      </w:r>
      <w:r w:rsidR="00635DA8" w:rsidRPr="00CF31E0">
        <w:rPr>
          <w:lang w:eastAsia="zh-CN"/>
        </w:rPr>
        <w:t xml:space="preserve">seems </w:t>
      </w:r>
      <w:r w:rsidRPr="00CF31E0">
        <w:rPr>
          <w:lang w:eastAsia="zh-CN"/>
        </w:rPr>
        <w:t xml:space="preserve">to </w:t>
      </w:r>
      <w:r w:rsidR="00635DA8" w:rsidRPr="00CF31E0">
        <w:rPr>
          <w:lang w:eastAsia="zh-CN"/>
        </w:rPr>
        <w:t xml:space="preserve">encode </w:t>
      </w:r>
      <w:r w:rsidRPr="00CF31E0">
        <w:rPr>
          <w:lang w:eastAsia="zh-CN"/>
        </w:rPr>
        <w:t xml:space="preserve">a competing modernity to </w:t>
      </w:r>
      <w:r w:rsidR="00635DA8" w:rsidRPr="00CF31E0">
        <w:rPr>
          <w:lang w:eastAsia="zh-CN"/>
        </w:rPr>
        <w:t xml:space="preserve">the </w:t>
      </w:r>
      <w:r w:rsidRPr="00CF31E0">
        <w:rPr>
          <w:lang w:eastAsia="zh-CN"/>
        </w:rPr>
        <w:t xml:space="preserve">HH dialect. It might be the case that female participants are more generous in their ratings by boosting the modernity rating of </w:t>
      </w:r>
      <w:r w:rsidR="00635DA8" w:rsidRPr="00CF31E0">
        <w:rPr>
          <w:lang w:eastAsia="zh-CN"/>
        </w:rPr>
        <w:t xml:space="preserve">the </w:t>
      </w:r>
      <w:r w:rsidRPr="00CF31E0">
        <w:rPr>
          <w:lang w:eastAsia="zh-CN"/>
        </w:rPr>
        <w:t xml:space="preserve">UBH dialect. In line with the present study, in the </w:t>
      </w:r>
      <w:r w:rsidRPr="00CF31E0">
        <w:rPr>
          <w:lang w:eastAsia="zh-CN"/>
        </w:rPr>
        <w:fldChar w:fldCharType="begin"/>
      </w:r>
      <w:r w:rsidRPr="00CF31E0">
        <w:rPr>
          <w:lang w:eastAsia="zh-CN"/>
        </w:rPr>
        <w:instrText xml:space="preserve"> ADDIN ZOTERO_ITEM CSL_CITATION {"citationID":"ZshQ6qPu","properties":{"formattedCitation":"(BBC, 2005)","plainCitation":"(BBC, 2005)","noteIndex":0},"citationItems":[{"id":283,"uris":["http://zotero.org/users/1939618/items/N9WVNE2C"],"uri":["http://zotero.org/users/1939618/items/N9WVNE2C"],"itemData":{"id":283,"type":"article-newspaper","title":"Regional accents 'bad for trade'","source":"news.bbc.co.uk","abstract":"Business leaders believe English regional accents are a disadvantage in business, says a survey.","URL":"http://news.bbc.co.uk/1/hi/england/4566028.stm","language":"en-GB","author":[{"literal":"BBC"}],"issued":{"date-parts":[["2005",12,29]]},"accessed":{"date-parts":[["2017",12,28]]}}}],"schema":"https://github.com/citation-style-language/schema/raw/master/csl-citation.json"} </w:instrText>
      </w:r>
      <w:r w:rsidRPr="00CF31E0">
        <w:rPr>
          <w:lang w:eastAsia="zh-CN"/>
        </w:rPr>
        <w:fldChar w:fldCharType="separate"/>
      </w:r>
      <w:r w:rsidRPr="00CF31E0">
        <w:rPr>
          <w:noProof/>
          <w:lang w:eastAsia="zh-CN"/>
        </w:rPr>
        <w:t>BBC's (2005)</w:t>
      </w:r>
      <w:r w:rsidRPr="00CF31E0">
        <w:rPr>
          <w:lang w:eastAsia="zh-CN"/>
        </w:rPr>
        <w:fldChar w:fldCharType="end"/>
      </w:r>
      <w:r w:rsidRPr="00CF31E0">
        <w:rPr>
          <w:lang w:eastAsia="zh-CN"/>
        </w:rPr>
        <w:t xml:space="preserve"> conceptual study of attitudes towards regional accents in the UK, there was a tendency for female participants to give high ratings to regional accents in the following dimensions: prestige and social attractiveness. However, </w:t>
      </w:r>
      <w:r w:rsidR="00635DA8" w:rsidRPr="00CF31E0">
        <w:rPr>
          <w:lang w:eastAsia="zh-CN"/>
        </w:rPr>
        <w:t xml:space="preserve">males </w:t>
      </w:r>
      <w:r w:rsidRPr="00CF31E0">
        <w:rPr>
          <w:lang w:eastAsia="zh-CN"/>
        </w:rPr>
        <w:t xml:space="preserve">gave noticeably lower ratings in the aforementioned dimensions. Though the two studies have been conducted in different contexts, I might conclude that women have </w:t>
      </w:r>
      <w:r w:rsidR="00635DA8" w:rsidRPr="00CF31E0">
        <w:rPr>
          <w:lang w:eastAsia="zh-CN"/>
        </w:rPr>
        <w:t xml:space="preserve">a </w:t>
      </w:r>
      <w:r w:rsidRPr="00CF31E0">
        <w:rPr>
          <w:lang w:eastAsia="zh-CN"/>
        </w:rPr>
        <w:t xml:space="preserve">tendency to be more generous than men in their perceptions </w:t>
      </w:r>
      <w:r w:rsidR="00CF6AB3" w:rsidRPr="00CF31E0">
        <w:rPr>
          <w:lang w:eastAsia="zh-CN"/>
        </w:rPr>
        <w:t xml:space="preserve">of </w:t>
      </w:r>
      <w:r w:rsidRPr="00CF31E0">
        <w:rPr>
          <w:lang w:eastAsia="zh-CN"/>
        </w:rPr>
        <w:t xml:space="preserve">language. </w:t>
      </w:r>
    </w:p>
    <w:p w14:paraId="0652EB3A" w14:textId="47A6A143" w:rsidR="00A23C2A" w:rsidRPr="00CF31E0" w:rsidRDefault="00A23C2A" w:rsidP="00603CB7">
      <w:pPr>
        <w:pStyle w:val="Paragraph"/>
        <w:rPr>
          <w:lang w:eastAsia="zh-CN"/>
        </w:rPr>
      </w:pPr>
      <w:r w:rsidRPr="00CF31E0">
        <w:rPr>
          <w:lang w:eastAsia="zh-CN"/>
        </w:rPr>
        <w:t>Second, with regards to the HH dialect, the places that the UBH have lived in during the last ten years seemed to affect the data. Findings from this demographic variable revealed a significant value (.04). UBH participants who have lived outside Hijaz in the last ten years perceived the HH dialect as more traditional with a mean score (</w:t>
      </w:r>
      <w:r w:rsidRPr="00CF31E0">
        <w:rPr>
          <w:rFonts w:eastAsia="Calibri"/>
          <w:lang w:eastAsia="en-US"/>
        </w:rPr>
        <w:t>3.18)</w:t>
      </w:r>
      <w:r w:rsidRPr="00CF31E0">
        <w:rPr>
          <w:lang w:eastAsia="zh-CN"/>
        </w:rPr>
        <w:t xml:space="preserve"> than those who lived inside Hijaz with a mean score (</w:t>
      </w:r>
      <w:r w:rsidRPr="00CF31E0">
        <w:rPr>
          <w:rFonts w:eastAsia="Calibri"/>
          <w:lang w:eastAsia="en-US"/>
        </w:rPr>
        <w:t>2.38)</w:t>
      </w:r>
      <w:r w:rsidRPr="00CF31E0">
        <w:rPr>
          <w:lang w:eastAsia="zh-CN"/>
        </w:rPr>
        <w:t xml:space="preserve">. I would argue that the number of those who have lived outside Hijaz (i.e. just nine participants) in the last ten years cannot be comparable to those who have lived within Hijaz (i.e. 638 participants). See </w:t>
      </w:r>
      <w:r w:rsidR="00A743FF" w:rsidRPr="00CF31E0">
        <w:rPr>
          <w:lang w:eastAsia="zh-CN"/>
        </w:rPr>
        <w:t>C</w:t>
      </w:r>
      <w:r w:rsidRPr="00CF31E0">
        <w:rPr>
          <w:lang w:eastAsia="zh-CN"/>
        </w:rPr>
        <w:t xml:space="preserve">hapter </w:t>
      </w:r>
      <w:r w:rsidR="00D11D30" w:rsidRPr="00CF31E0">
        <w:rPr>
          <w:lang w:eastAsia="zh-CN"/>
        </w:rPr>
        <w:t>6</w:t>
      </w:r>
      <w:r w:rsidR="00533110" w:rsidRPr="00CF31E0">
        <w:rPr>
          <w:lang w:eastAsia="zh-CN"/>
        </w:rPr>
        <w:t>,</w:t>
      </w:r>
      <w:r w:rsidRPr="00CF31E0">
        <w:rPr>
          <w:lang w:eastAsia="zh-CN"/>
        </w:rPr>
        <w:t xml:space="preserve"> section </w:t>
      </w:r>
      <w:r w:rsidR="00D11D30" w:rsidRPr="00CF31E0">
        <w:rPr>
          <w:lang w:eastAsia="zh-CN"/>
        </w:rPr>
        <w:t>6</w:t>
      </w:r>
      <w:r w:rsidR="00533110" w:rsidRPr="00CF31E0">
        <w:rPr>
          <w:lang w:eastAsia="zh-CN"/>
        </w:rPr>
        <w:t>.5</w:t>
      </w:r>
      <w:r w:rsidRPr="00CF31E0">
        <w:rPr>
          <w:lang w:eastAsia="zh-CN"/>
        </w:rPr>
        <w:t xml:space="preserve"> for more detail on the social backgrounds of the participants. </w:t>
      </w:r>
    </w:p>
    <w:p w14:paraId="5E99212D" w14:textId="4C6A88B3" w:rsidR="00CF6AB3" w:rsidRDefault="00A23C2A" w:rsidP="00603CB7">
      <w:pPr>
        <w:pStyle w:val="Paragraph"/>
        <w:rPr>
          <w:lang w:eastAsia="zh-CN"/>
        </w:rPr>
      </w:pPr>
      <w:r w:rsidRPr="00CF31E0">
        <w:rPr>
          <w:lang w:eastAsia="zh-CN"/>
        </w:rPr>
        <w:t xml:space="preserve">Accordingly, it can be concluded that there is a tendency among participants to perceive the UBH dialect as traditional and the HH dialect as modern. </w:t>
      </w:r>
    </w:p>
    <w:p w14:paraId="018A483E" w14:textId="68B4DC61" w:rsidR="006D3401" w:rsidRPr="006D3401" w:rsidRDefault="00362197" w:rsidP="00955436">
      <w:pPr>
        <w:pStyle w:val="Ahead"/>
      </w:pPr>
      <w:bookmarkStart w:id="754" w:name="_Toc6472767"/>
      <w:r>
        <w:lastRenderedPageBreak/>
        <w:t xml:space="preserve">10.9 </w:t>
      </w:r>
      <w:r w:rsidR="006D3401" w:rsidRPr="006D3401">
        <w:t xml:space="preserve">Different interpretation </w:t>
      </w:r>
      <w:r w:rsidR="005F21AC">
        <w:t>of the concept</w:t>
      </w:r>
      <w:r w:rsidR="006D3401" w:rsidRPr="006D3401">
        <w:t xml:space="preserve"> </w:t>
      </w:r>
      <w:bookmarkEnd w:id="754"/>
      <w:r w:rsidR="005F21AC">
        <w:t>of prestige</w:t>
      </w:r>
      <w:r w:rsidR="006D3401" w:rsidRPr="006D3401">
        <w:t xml:space="preserve"> </w:t>
      </w:r>
    </w:p>
    <w:p w14:paraId="4BDBA81C" w14:textId="3B836CDD" w:rsidR="006D3401" w:rsidRPr="00CF31E0" w:rsidRDefault="006D3401" w:rsidP="006D3401">
      <w:pPr>
        <w:pStyle w:val="Paragraph"/>
        <w:rPr>
          <w:lang w:eastAsia="zh-CN"/>
        </w:rPr>
      </w:pPr>
      <w:r w:rsidRPr="006D3401">
        <w:rPr>
          <w:lang w:eastAsia="zh-CN"/>
        </w:rPr>
        <w:t xml:space="preserve">The association of the concept of prestige with certain dialects has been widely investigated in the Western literature (see </w:t>
      </w:r>
      <w:bookmarkStart w:id="755" w:name="ZOTERO_BREF_sgOQlTtCVNM1E3wJE5JZe"/>
      <w:r w:rsidRPr="006D3401">
        <w:rPr>
          <w:lang w:eastAsia="zh-CN"/>
        </w:rPr>
        <w:t>Bishop, Coupland, &amp; Garrett, 2005; Giles, 1970; Trudgill, 1972)</w:t>
      </w:r>
      <w:bookmarkEnd w:id="755"/>
      <w:r w:rsidRPr="006D3401">
        <w:rPr>
          <w:lang w:eastAsia="zh-CN"/>
        </w:rPr>
        <w:t>, and it is mostly associated with standard dialects such as RP. In the present research, one of the results reveals that prestige comes under the modern factor, where its power is derived from reflecting the modernity of the HH dialect. On another occasion, it was associated with the traditional factor to further enhance the traditional perception of the UBH dialect. However, it was more strongly associated with the modern factor than the traditional factor. It seems to be the case that prestige is a complicated concept and that it changes its meaning on the basis of the concept it is ideologically linked to.</w:t>
      </w:r>
    </w:p>
    <w:p w14:paraId="24E5262D" w14:textId="4084EEC6" w:rsidR="00A23C2A" w:rsidRPr="00CF31E0" w:rsidRDefault="00D11D30" w:rsidP="00040A3A">
      <w:pPr>
        <w:pStyle w:val="Ahead"/>
        <w:rPr>
          <w:rFonts w:eastAsia="SimSun"/>
        </w:rPr>
      </w:pPr>
      <w:bookmarkStart w:id="756" w:name="_Toc503383081"/>
      <w:bookmarkStart w:id="757" w:name="_Toc6472768"/>
      <w:r w:rsidRPr="00CF31E0">
        <w:rPr>
          <w:rFonts w:eastAsia="SimSun"/>
        </w:rPr>
        <w:t>10</w:t>
      </w:r>
      <w:r w:rsidR="00635DA8" w:rsidRPr="00CF31E0">
        <w:rPr>
          <w:rFonts w:eastAsia="SimSun"/>
        </w:rPr>
        <w:t>.</w:t>
      </w:r>
      <w:r w:rsidR="00040A3A">
        <w:rPr>
          <w:rFonts w:eastAsia="SimSun"/>
        </w:rPr>
        <w:t>10</w:t>
      </w:r>
      <w:r w:rsidR="00B36FA3" w:rsidRPr="00CF31E0">
        <w:rPr>
          <w:rFonts w:eastAsia="SimSun"/>
        </w:rPr>
        <w:t>.</w:t>
      </w:r>
      <w:r w:rsidR="00B36FA3" w:rsidRPr="00CF31E0">
        <w:rPr>
          <w:rFonts w:eastAsia="SimSun"/>
        </w:rPr>
        <w:tab/>
      </w:r>
      <w:r w:rsidR="00A23C2A" w:rsidRPr="00CF31E0">
        <w:rPr>
          <w:rFonts w:eastAsia="SimSun"/>
        </w:rPr>
        <w:t>Conclusion</w:t>
      </w:r>
      <w:bookmarkEnd w:id="756"/>
      <w:bookmarkEnd w:id="757"/>
    </w:p>
    <w:p w14:paraId="05F656FB" w14:textId="77777777" w:rsidR="00A23C2A" w:rsidRPr="00CF31E0" w:rsidRDefault="00A23C2A" w:rsidP="00603CB7">
      <w:pPr>
        <w:pStyle w:val="Paragraph"/>
        <w:rPr>
          <w:lang w:eastAsia="zh-CN"/>
        </w:rPr>
      </w:pPr>
      <w:r w:rsidRPr="00CF31E0">
        <w:rPr>
          <w:lang w:eastAsia="zh-CN"/>
        </w:rPr>
        <w:t xml:space="preserve">How does this study illustrate the characteristics associated with both dialects, and whether or not such associations are prompted by stereotypical views? On the one hand, both UBH and HH participants believed the HH dialect to be associated with modern characteristics to a much greater extent than the UBH dialect. On the other hand, both UBH and HH participants associated the UBH dialect much more with traditional characteristics than they did the HH dialect. </w:t>
      </w:r>
    </w:p>
    <w:p w14:paraId="56738B5D" w14:textId="77777777" w:rsidR="00A23C2A" w:rsidRPr="00CF31E0" w:rsidRDefault="00A23C2A" w:rsidP="00603CB7">
      <w:pPr>
        <w:pStyle w:val="Paragraph"/>
        <w:rPr>
          <w:lang w:eastAsia="zh-CN"/>
        </w:rPr>
      </w:pPr>
      <w:r w:rsidRPr="00CF31E0">
        <w:rPr>
          <w:lang w:eastAsia="zh-CN"/>
        </w:rPr>
        <w:t xml:space="preserve">The other question that has to be addressed is related to revealing the dimensions behind the observed characteristics. Significantly, two main dimensions have been revealed: modern and traditional. These dimensions are a significant result which has direct practical relevance for theory and research into the linguistic situation of Saudi dialects, in particular, and the Arabic linguistic situation in general. As a researcher, when I started to investigate the dialect situation in the Hijaz region, I struggled to find a well-authenticated model on dimensions upon which to base my attitudinal study. One of the aims of this piece of research, therefore, was to inform the </w:t>
      </w:r>
      <w:r w:rsidRPr="00CF31E0">
        <w:rPr>
          <w:lang w:eastAsia="zh-CN"/>
        </w:rPr>
        <w:lastRenderedPageBreak/>
        <w:t xml:space="preserve">theory and practice of Saudi language attitudes studies. Accordingly, an implication of these findings is that the model with its evaluative profiles revealed in the study can be used in further studies of attitudinal concerns about dialects in the region. </w:t>
      </w:r>
    </w:p>
    <w:p w14:paraId="5F918810" w14:textId="3CC8C093" w:rsidR="00A23C2A" w:rsidRPr="00CF31E0" w:rsidRDefault="00A23C2A" w:rsidP="00603CB7">
      <w:pPr>
        <w:pStyle w:val="Paragraph"/>
        <w:rPr>
          <w:lang w:eastAsia="zh-CN"/>
        </w:rPr>
      </w:pPr>
      <w:r w:rsidRPr="00CF31E0">
        <w:rPr>
          <w:lang w:eastAsia="zh-CN"/>
        </w:rPr>
        <w:t xml:space="preserve">With regards to language attitudes studies more broadly, the findings can make a considerable contribution to the development and evaluation of attitudinal dimensions. First, the findings confirm that dimensions differ according to the context of the research since “language attitudes research into different populations cannot assume that the same set of universal dimensions will always be salient” </w:t>
      </w:r>
      <w:r w:rsidRPr="00CF31E0">
        <w:rPr>
          <w:lang w:eastAsia="zh-CN"/>
        </w:rPr>
        <w:fldChar w:fldCharType="begin"/>
      </w:r>
      <w:r w:rsidRPr="00CF31E0">
        <w:rPr>
          <w:lang w:eastAsia="zh-CN"/>
        </w:rPr>
        <w:instrText xml:space="preserve"> ADDIN ZOTERO_ITEM CSL_CITATION {"citationID":"EOHPi5wr","properties":{"formattedCitation":"(Garrett, Coupland, &amp; Williams, 2003, p. 52,53)","plainCitation":"(Garrett, Coupland, &amp; Williams, 2003, p. 52,53)","noteIndex":0},"citationItems":[{"id":311,"uris":["http://zotero.org/users/1939618/items/UQ7HLIBB"],"uri":["http://zotero.org/users/1939618/items/UQ7HLIBB"],"itemData":{"id":311,"type":"book","title":"Investigating language attitudes [electronic resource]: social meanings of dialect, ethnicity and performance","publisher":"University of Wales Press","publisher-place":"Cardiff","number-of-pages":"x+251","source":"find.shef.ac.uk","event-place":"Cardiff","URL":"https://www.dawsonera.com/guard/protected/dawson.jsp?name=https://idp.shef.ac.uk/shibboleth&amp;dest=http://www.dawsonera.com/depp/reader/protected/external/AbstractView/S9781783162086","ISBN":"978-1-78316-208-6","shortTitle":"Investigating language attitudes [electronic resource]","language":"eng","author":[{"family":"Garrett","given":"Peter"},{"family":"Coupland","given":"Nikolas"},{"family":"Williams","given":"Angie"}],"issued":{"date-parts":[["2003"]]},"accessed":{"date-parts":[["2018",1,8]]}},"locator":"52,53","label":"page"}],"schema":"https://github.com/citation-style-language/schema/raw/master/csl-citation.json"} </w:instrText>
      </w:r>
      <w:r w:rsidRPr="00CF31E0">
        <w:rPr>
          <w:lang w:eastAsia="zh-CN"/>
        </w:rPr>
        <w:fldChar w:fldCharType="separate"/>
      </w:r>
      <w:r w:rsidRPr="00CF31E0">
        <w:rPr>
          <w:lang w:eastAsia="zh-CN"/>
        </w:rPr>
        <w:t>(Garrett</w:t>
      </w:r>
      <w:r w:rsidR="00746118" w:rsidRPr="00CF31E0">
        <w:rPr>
          <w:lang w:eastAsia="zh-CN"/>
        </w:rPr>
        <w:t xml:space="preserve"> et al.</w:t>
      </w:r>
      <w:r w:rsidRPr="00CF31E0">
        <w:rPr>
          <w:lang w:eastAsia="zh-CN"/>
        </w:rPr>
        <w:t>, 2003, p</w:t>
      </w:r>
      <w:r w:rsidR="00271029" w:rsidRPr="00CF31E0">
        <w:rPr>
          <w:lang w:eastAsia="zh-CN"/>
        </w:rPr>
        <w:t>p</w:t>
      </w:r>
      <w:r w:rsidRPr="00CF31E0">
        <w:rPr>
          <w:lang w:eastAsia="zh-CN"/>
        </w:rPr>
        <w:t>. 52</w:t>
      </w:r>
      <w:r w:rsidR="00271029" w:rsidRPr="00CF31E0">
        <w:rPr>
          <w:lang w:eastAsia="zh-CN"/>
        </w:rPr>
        <w:t>–</w:t>
      </w:r>
      <w:r w:rsidRPr="00CF31E0">
        <w:rPr>
          <w:lang w:eastAsia="zh-CN"/>
        </w:rPr>
        <w:t>53)</w:t>
      </w:r>
      <w:r w:rsidRPr="00CF31E0">
        <w:rPr>
          <w:lang w:eastAsia="zh-CN"/>
        </w:rPr>
        <w:fldChar w:fldCharType="end"/>
      </w:r>
      <w:r w:rsidRPr="00CF31E0">
        <w:rPr>
          <w:lang w:eastAsia="zh-CN"/>
        </w:rPr>
        <w:t>. Second, these results can inform the body of language attitude research as to the dichotomous situation in respect to social dialects in the Hijaz region in S</w:t>
      </w:r>
      <w:r w:rsidR="00D01077" w:rsidRPr="00CF31E0">
        <w:rPr>
          <w:lang w:eastAsia="zh-CN"/>
        </w:rPr>
        <w:t>A</w:t>
      </w:r>
      <w:r w:rsidRPr="00CF31E0">
        <w:rPr>
          <w:lang w:eastAsia="zh-CN"/>
        </w:rPr>
        <w:t>, which, to my knowledge, has not been studied before; as well how this dichotomous dimension ha</w:t>
      </w:r>
      <w:r w:rsidR="00FB08B5" w:rsidRPr="00CF31E0">
        <w:rPr>
          <w:lang w:eastAsia="zh-CN"/>
        </w:rPr>
        <w:t>s</w:t>
      </w:r>
      <w:r w:rsidRPr="00CF31E0">
        <w:rPr>
          <w:lang w:eastAsia="zh-CN"/>
        </w:rPr>
        <w:t xml:space="preserve"> been driven by firm ideological positions that are reflected in the stereotypical diale</w:t>
      </w:r>
      <w:r w:rsidR="000B4835" w:rsidRPr="00CF31E0">
        <w:rPr>
          <w:lang w:eastAsia="zh-CN"/>
        </w:rPr>
        <w:t xml:space="preserve">ct associations in the region. </w:t>
      </w:r>
    </w:p>
    <w:p w14:paraId="5707EED5" w14:textId="77777777" w:rsidR="000B4835" w:rsidRPr="00CF31E0" w:rsidRDefault="000B4835" w:rsidP="000B4835">
      <w:pPr>
        <w:spacing w:before="120" w:after="360" w:line="360" w:lineRule="auto"/>
        <w:jc w:val="both"/>
        <w:rPr>
          <w:rFonts w:eastAsia="SimSun" w:cs="Arial"/>
          <w:color w:val="000000" w:themeColor="text1"/>
          <w:szCs w:val="22"/>
          <w:lang w:eastAsia="zh-CN"/>
        </w:rPr>
        <w:sectPr w:rsidR="000B4835" w:rsidRPr="00CF31E0" w:rsidSect="00603CB7">
          <w:footerReference w:type="default" r:id="rId37"/>
          <w:pgSz w:w="11906" w:h="16838"/>
          <w:pgMar w:top="1440" w:right="2268" w:bottom="1440" w:left="2268" w:header="709" w:footer="709" w:gutter="0"/>
          <w:cols w:space="708"/>
          <w:docGrid w:linePitch="360"/>
        </w:sectPr>
      </w:pPr>
    </w:p>
    <w:p w14:paraId="4B2CAC9B" w14:textId="3C0309AB" w:rsidR="000B4835" w:rsidRPr="00CF31E0" w:rsidRDefault="00992986" w:rsidP="00603CB7">
      <w:pPr>
        <w:pStyle w:val="Title"/>
        <w:spacing w:after="500"/>
        <w:contextualSpacing w:val="0"/>
        <w:rPr>
          <w:rFonts w:eastAsia="Times New Roman"/>
          <w:color w:val="000000" w:themeColor="text1"/>
          <w:lang w:eastAsia="zh-CN"/>
        </w:rPr>
      </w:pPr>
      <w:bookmarkStart w:id="758" w:name="_Toc6472769"/>
      <w:r w:rsidRPr="00CF31E0">
        <w:rPr>
          <w:rFonts w:eastAsia="Times New Roman"/>
          <w:color w:val="000000" w:themeColor="text1"/>
          <w:lang w:eastAsia="zh-CN"/>
        </w:rPr>
        <w:lastRenderedPageBreak/>
        <w:t xml:space="preserve">Chapter </w:t>
      </w:r>
      <w:r w:rsidR="00D11D30" w:rsidRPr="00CF31E0">
        <w:rPr>
          <w:rFonts w:eastAsia="Times New Roman"/>
          <w:color w:val="000000" w:themeColor="text1"/>
          <w:lang w:eastAsia="zh-CN"/>
        </w:rPr>
        <w:t>11</w:t>
      </w:r>
      <w:r w:rsidRPr="00CF31E0">
        <w:rPr>
          <w:rFonts w:eastAsia="Times New Roman"/>
          <w:color w:val="000000" w:themeColor="text1"/>
          <w:lang w:eastAsia="zh-CN"/>
        </w:rPr>
        <w:t xml:space="preserve">: </w:t>
      </w:r>
      <w:r w:rsidR="000B4835" w:rsidRPr="00CF31E0">
        <w:rPr>
          <w:rFonts w:eastAsia="Times New Roman"/>
          <w:color w:val="000000" w:themeColor="text1"/>
          <w:lang w:eastAsia="zh-CN"/>
        </w:rPr>
        <w:t>Results chapter for RQ3</w:t>
      </w:r>
      <w:bookmarkEnd w:id="758"/>
    </w:p>
    <w:p w14:paraId="277130C3" w14:textId="5B96ACD3" w:rsidR="000B4835" w:rsidRPr="00CF31E0" w:rsidRDefault="00D11D30" w:rsidP="00D11D30">
      <w:pPr>
        <w:pStyle w:val="Ahead"/>
        <w:rPr>
          <w:rFonts w:eastAsia="Times New Roman"/>
        </w:rPr>
      </w:pPr>
      <w:bookmarkStart w:id="759" w:name="_Toc6472770"/>
      <w:r w:rsidRPr="00CF31E0">
        <w:rPr>
          <w:rFonts w:eastAsia="Times New Roman"/>
        </w:rPr>
        <w:t>11</w:t>
      </w:r>
      <w:r w:rsidR="000B4835" w:rsidRPr="00CF31E0">
        <w:rPr>
          <w:rFonts w:eastAsia="Times New Roman"/>
        </w:rPr>
        <w:t>.1.</w:t>
      </w:r>
      <w:r w:rsidR="00B36FA3" w:rsidRPr="00CF31E0">
        <w:rPr>
          <w:rFonts w:eastAsia="Times New Roman"/>
        </w:rPr>
        <w:tab/>
      </w:r>
      <w:r w:rsidR="000B4835" w:rsidRPr="00CF31E0">
        <w:rPr>
          <w:rFonts w:eastAsia="Times New Roman"/>
        </w:rPr>
        <w:t>Introduction</w:t>
      </w:r>
      <w:bookmarkEnd w:id="759"/>
      <w:r w:rsidR="000B4835" w:rsidRPr="00CF31E0">
        <w:rPr>
          <w:rFonts w:eastAsia="Times New Roman"/>
        </w:rPr>
        <w:t xml:space="preserve"> </w:t>
      </w:r>
    </w:p>
    <w:p w14:paraId="3C68786A" w14:textId="7CE3E8E3" w:rsidR="000B4835" w:rsidRPr="00CF31E0" w:rsidRDefault="000B4835" w:rsidP="00603CB7">
      <w:pPr>
        <w:pStyle w:val="Paragraph"/>
        <w:rPr>
          <w:lang w:eastAsia="en-US"/>
        </w:rPr>
      </w:pPr>
      <w:r w:rsidRPr="00CF31E0">
        <w:rPr>
          <w:lang w:eastAsia="en-US"/>
        </w:rPr>
        <w:t>This chapter presents findings from RQ3. In this part of the study, five voice samples were played to participants. Participants were asked to identify the original social group of the speaker and then they were asked to rate the voice sample. For more details on the method</w:t>
      </w:r>
      <w:r w:rsidR="008A0892" w:rsidRPr="00CF31E0">
        <w:rPr>
          <w:lang w:eastAsia="en-US"/>
        </w:rPr>
        <w:t>,</w:t>
      </w:r>
      <w:r w:rsidRPr="00CF31E0">
        <w:rPr>
          <w:lang w:eastAsia="en-US"/>
        </w:rPr>
        <w:t xml:space="preserve"> see </w:t>
      </w:r>
      <w:r w:rsidR="00A743FF" w:rsidRPr="00CF31E0">
        <w:rPr>
          <w:lang w:eastAsia="en-US"/>
        </w:rPr>
        <w:t>C</w:t>
      </w:r>
      <w:r w:rsidRPr="00CF31E0">
        <w:rPr>
          <w:lang w:eastAsia="en-US"/>
        </w:rPr>
        <w:t xml:space="preserve">hapter </w:t>
      </w:r>
      <w:r w:rsidR="00D11D30" w:rsidRPr="00CF31E0">
        <w:rPr>
          <w:lang w:eastAsia="en-US"/>
        </w:rPr>
        <w:t>5</w:t>
      </w:r>
      <w:r w:rsidR="00713D62" w:rsidRPr="00CF31E0">
        <w:rPr>
          <w:lang w:eastAsia="en-US"/>
        </w:rPr>
        <w:t>,</w:t>
      </w:r>
      <w:r w:rsidRPr="00CF31E0">
        <w:rPr>
          <w:lang w:eastAsia="en-US"/>
        </w:rPr>
        <w:t xml:space="preserve"> </w:t>
      </w:r>
      <w:r w:rsidR="00713D62" w:rsidRPr="00CF31E0">
        <w:rPr>
          <w:lang w:eastAsia="en-US"/>
        </w:rPr>
        <w:t>s</w:t>
      </w:r>
      <w:r w:rsidRPr="00CF31E0">
        <w:rPr>
          <w:lang w:eastAsia="en-US"/>
        </w:rPr>
        <w:t>ection</w:t>
      </w:r>
      <w:r w:rsidR="00985AA1" w:rsidRPr="00CF31E0">
        <w:rPr>
          <w:lang w:eastAsia="en-US"/>
        </w:rPr>
        <w:t xml:space="preserve">s </w:t>
      </w:r>
      <w:r w:rsidR="00D11D30" w:rsidRPr="00CF31E0">
        <w:rPr>
          <w:lang w:eastAsia="en-US"/>
        </w:rPr>
        <w:t>5</w:t>
      </w:r>
      <w:r w:rsidR="00985AA1" w:rsidRPr="00CF31E0">
        <w:rPr>
          <w:lang w:eastAsia="en-US"/>
        </w:rPr>
        <w:t xml:space="preserve">.5.2.4.1 and </w:t>
      </w:r>
      <w:r w:rsidR="00D11D30" w:rsidRPr="00CF31E0">
        <w:rPr>
          <w:lang w:eastAsia="en-US"/>
        </w:rPr>
        <w:t>5</w:t>
      </w:r>
      <w:r w:rsidR="00985AA1" w:rsidRPr="00CF31E0">
        <w:rPr>
          <w:lang w:eastAsia="en-US"/>
        </w:rPr>
        <w:t>.5.2.4.2</w:t>
      </w:r>
      <w:r w:rsidRPr="00CF31E0">
        <w:rPr>
          <w:lang w:eastAsia="en-US"/>
        </w:rPr>
        <w:t>.</w:t>
      </w:r>
      <w:r w:rsidR="0067402D" w:rsidRPr="00CF31E0">
        <w:rPr>
          <w:lang w:eastAsia="en-US"/>
        </w:rPr>
        <w:t xml:space="preserve"> </w:t>
      </w:r>
      <w:r w:rsidRPr="00CF31E0">
        <w:rPr>
          <w:lang w:eastAsia="en-US"/>
        </w:rPr>
        <w:t xml:space="preserve">The results will be presented in two sections focusing on the voice allocation task results </w:t>
      </w:r>
      <w:r w:rsidR="001C2F07" w:rsidRPr="00CF31E0">
        <w:rPr>
          <w:lang w:eastAsia="en-US"/>
        </w:rPr>
        <w:t xml:space="preserve">(i.e. perceptual task) </w:t>
      </w:r>
      <w:r w:rsidRPr="00CF31E0">
        <w:rPr>
          <w:lang w:eastAsia="en-US"/>
        </w:rPr>
        <w:t>and the rating task results</w:t>
      </w:r>
      <w:r w:rsidR="001C2F07" w:rsidRPr="00CF31E0">
        <w:rPr>
          <w:lang w:eastAsia="en-US"/>
        </w:rPr>
        <w:t xml:space="preserve"> (attitudinal task)</w:t>
      </w:r>
      <w:r w:rsidRPr="00CF31E0">
        <w:rPr>
          <w:lang w:eastAsia="en-US"/>
        </w:rPr>
        <w:t>. Data were processed differently according to the nature of each task. In the allocation task, data were processed using bar graphs and chi-square tests. In the rating task, data were processed with</w:t>
      </w:r>
      <w:r w:rsidR="0061736C" w:rsidRPr="00CF31E0">
        <w:rPr>
          <w:lang w:eastAsia="en-US"/>
        </w:rPr>
        <w:t xml:space="preserve"> </w:t>
      </w:r>
      <w:r w:rsidR="008A0892" w:rsidRPr="00CF31E0">
        <w:rPr>
          <w:lang w:eastAsia="en-US"/>
        </w:rPr>
        <w:t>one-</w:t>
      </w:r>
      <w:r w:rsidR="0061736C" w:rsidRPr="00CF31E0">
        <w:rPr>
          <w:lang w:eastAsia="en-US"/>
        </w:rPr>
        <w:t xml:space="preserve">way analysis of variance (ANOVA) and </w:t>
      </w:r>
      <w:r w:rsidRPr="00CF31E0">
        <w:rPr>
          <w:lang w:eastAsia="en-US"/>
        </w:rPr>
        <w:t>one-way repeated measure ANOVA.</w:t>
      </w:r>
    </w:p>
    <w:p w14:paraId="0EE0509B" w14:textId="5E6420E6" w:rsidR="000B4835" w:rsidRPr="00CF31E0" w:rsidRDefault="000B4835" w:rsidP="00603CB7">
      <w:pPr>
        <w:pStyle w:val="Paragraph"/>
        <w:rPr>
          <w:lang w:eastAsia="en-US"/>
        </w:rPr>
      </w:pPr>
      <w:r w:rsidRPr="00CF31E0">
        <w:rPr>
          <w:lang w:eastAsia="en-US"/>
        </w:rPr>
        <w:t>The main purpose of this research study is to test whether participants rely on linguistic factors (i.e. dialect of the speaker) or metalinguistic factors (i.e. surname of the speaker) to perceive the speaker’s original social group</w:t>
      </w:r>
      <w:r w:rsidR="000A5B24" w:rsidRPr="00CF31E0">
        <w:rPr>
          <w:lang w:eastAsia="en-US"/>
        </w:rPr>
        <w:t xml:space="preserve"> </w:t>
      </w:r>
      <w:r w:rsidRPr="00CF31E0">
        <w:rPr>
          <w:lang w:eastAsia="en-US"/>
        </w:rPr>
        <w:fldChar w:fldCharType="begin"/>
      </w:r>
      <w:r w:rsidRPr="00CF31E0">
        <w:rPr>
          <w:lang w:eastAsia="en-US"/>
        </w:rPr>
        <w:instrText xml:space="preserve"> ADDIN ZOTERO_ITEM CSL_CITATION {"citationID":"e2tqJ9sb","properties":{"formattedCitation":"(Hay, Jennifer &amp; Drager, Katie, 2010; Niedzielski, 1999)","plainCitation":"(Hay, Jennifer &amp; Drager, Katie, 2010; Niedzielski, 1999)","noteIndex":0},"citationItems":[{"id":291,"uris":["http://zotero.org/users/1939618/items/J2RHJYXU"],"uri":["http://zotero.org/users/1939618/items/J2RHJYXU"],"itemData":{"id":291,"type":"article-journal","title":"Stuffed toys and speech perception : Linguistics","volume":"48","issue":"4","URL":"https://www.degruyter.com/view/j/ling.2010.48.issue-4/ling.2010.027/ling.2010.027.xml","author":[{"literal":"Hay, Jennifer"},{"literal":"Drager, Katie"}],"issued":{"date-parts":[["2010"]]},"accessed":{"date-parts":[["2017",12,28]]}},"label":"page"},{"id":293,"uris":["http://zotero.org/users/1939618/items/IR99WY6K"],"uri":["http://zotero.org/users/1939618/items/IR99WY6K"],"itemData":{"id":293,"type":"article-journal","title":"The effect of social information on the perception of sociolinguistic variables","container-title":"Journal of language and social psychology","page":"62–85","volume":"18","issue":"1","source":"Google Scholar","author":[{"family":"Niedzielski","given":"Nancy"}],"issued":{"date-parts":[["1999"]]}},"label":"page"}],"schema":"https://github.com/citation-style-language/schema/raw/master/csl-citation.json"} </w:instrText>
      </w:r>
      <w:r w:rsidRPr="00CF31E0">
        <w:rPr>
          <w:lang w:eastAsia="en-US"/>
        </w:rPr>
        <w:fldChar w:fldCharType="separate"/>
      </w:r>
      <w:r w:rsidRPr="00CF31E0">
        <w:rPr>
          <w:noProof/>
          <w:lang w:eastAsia="en-US"/>
        </w:rPr>
        <w:t>(</w:t>
      </w:r>
      <w:r w:rsidR="00D3324D" w:rsidRPr="00CF31E0">
        <w:rPr>
          <w:noProof/>
          <w:lang w:eastAsia="en-US"/>
        </w:rPr>
        <w:t xml:space="preserve">cf. </w:t>
      </w:r>
      <w:r w:rsidRPr="00CF31E0">
        <w:rPr>
          <w:noProof/>
          <w:lang w:eastAsia="en-US"/>
        </w:rPr>
        <w:t>Hay &amp; Drager, 2010; Niedzielski, 1999)</w:t>
      </w:r>
      <w:r w:rsidRPr="00CF31E0">
        <w:rPr>
          <w:lang w:eastAsia="en-US"/>
        </w:rPr>
        <w:fldChar w:fldCharType="end"/>
      </w:r>
      <w:r w:rsidRPr="00CF31E0">
        <w:rPr>
          <w:lang w:eastAsia="en-US"/>
        </w:rPr>
        <w:t xml:space="preserve">. Furthermore, this part of the study aims to compare participants’ ratings when they are exposed to real linguistic triggers with their ratings </w:t>
      </w:r>
      <w:r w:rsidR="00B44348" w:rsidRPr="00CF31E0">
        <w:rPr>
          <w:lang w:eastAsia="en-US"/>
        </w:rPr>
        <w:t xml:space="preserve">and </w:t>
      </w:r>
      <w:r w:rsidRPr="00CF31E0">
        <w:rPr>
          <w:lang w:eastAsia="en-US"/>
        </w:rPr>
        <w:t>when they are given a conceptual scale to complete</w:t>
      </w:r>
      <w:r w:rsidR="00710B8B" w:rsidRPr="00CF31E0">
        <w:rPr>
          <w:lang w:eastAsia="en-US"/>
        </w:rPr>
        <w:t>.</w:t>
      </w:r>
    </w:p>
    <w:p w14:paraId="43E2CD38" w14:textId="4E6A4A32" w:rsidR="000B4835" w:rsidRPr="00CF31E0" w:rsidRDefault="00D11D30" w:rsidP="00D11D30">
      <w:pPr>
        <w:pStyle w:val="Ahead"/>
        <w:rPr>
          <w:rFonts w:eastAsia="Times New Roman"/>
        </w:rPr>
      </w:pPr>
      <w:bookmarkStart w:id="760" w:name="_Toc6472771"/>
      <w:r w:rsidRPr="00CF31E0">
        <w:rPr>
          <w:rFonts w:eastAsia="Times New Roman"/>
        </w:rPr>
        <w:t>11</w:t>
      </w:r>
      <w:r w:rsidR="000B4835" w:rsidRPr="00CF31E0">
        <w:rPr>
          <w:rFonts w:eastAsia="Times New Roman"/>
        </w:rPr>
        <w:t>.2.</w:t>
      </w:r>
      <w:r w:rsidR="00B36FA3" w:rsidRPr="00CF31E0">
        <w:rPr>
          <w:rFonts w:eastAsia="Times New Roman"/>
        </w:rPr>
        <w:tab/>
      </w:r>
      <w:r w:rsidR="000B4835" w:rsidRPr="00CF31E0">
        <w:rPr>
          <w:rFonts w:eastAsia="Times New Roman"/>
        </w:rPr>
        <w:t xml:space="preserve">Voice allocation task results </w:t>
      </w:r>
      <w:r w:rsidR="001C2F07" w:rsidRPr="00CF31E0">
        <w:rPr>
          <w:rFonts w:eastAsia="Times New Roman"/>
        </w:rPr>
        <w:t>(perceptual task)</w:t>
      </w:r>
      <w:bookmarkEnd w:id="760"/>
    </w:p>
    <w:p w14:paraId="6EE7BF33" w14:textId="3F5FAC70" w:rsidR="000B4835" w:rsidRPr="00CF31E0" w:rsidRDefault="000B4835" w:rsidP="00603CB7">
      <w:pPr>
        <w:pStyle w:val="Paragraph"/>
        <w:rPr>
          <w:lang w:eastAsia="en-US"/>
        </w:rPr>
      </w:pPr>
      <w:r w:rsidRPr="00CF31E0">
        <w:rPr>
          <w:lang w:eastAsia="en-US"/>
        </w:rPr>
        <w:t xml:space="preserve">In this task, the participants listened to five different speakers, each of whom </w:t>
      </w:r>
      <w:r w:rsidR="00060BDD" w:rsidRPr="00CF31E0">
        <w:rPr>
          <w:lang w:eastAsia="en-US"/>
        </w:rPr>
        <w:t xml:space="preserve">was </w:t>
      </w:r>
      <w:r w:rsidRPr="00CF31E0">
        <w:rPr>
          <w:lang w:eastAsia="en-US"/>
        </w:rPr>
        <w:t xml:space="preserve">describing Saudi weather in general terms. Each participant was provided with an answer sheet containing a box with two choices for each voice sample. The participants were asked to assign the voice sample to one of two original </w:t>
      </w:r>
      <w:r w:rsidR="001C2F07" w:rsidRPr="00CF31E0">
        <w:rPr>
          <w:lang w:eastAsia="en-US"/>
        </w:rPr>
        <w:t>social groups (UBH and HH</w:t>
      </w:r>
      <w:r w:rsidRPr="00CF31E0">
        <w:rPr>
          <w:lang w:eastAsia="en-US"/>
        </w:rPr>
        <w:t>). The speaker’s surname was written on the answer sheet. On some occasions, the speaker’s surname was changed, while on others it was not, as is shown in the following list:</w:t>
      </w:r>
      <w:r w:rsidR="000571F5">
        <w:rPr>
          <w:lang w:eastAsia="en-US"/>
        </w:rPr>
        <w:t xml:space="preserve"> (see </w:t>
      </w:r>
      <w:r w:rsidR="000571F5">
        <w:rPr>
          <w:lang w:eastAsia="en-US"/>
        </w:rPr>
        <w:lastRenderedPageBreak/>
        <w:t>Appendix 6 for full phonetic transcription for voice samples; the salient UBH and HH features will be highlighted in the appendix).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559"/>
        <w:gridCol w:w="1322"/>
        <w:gridCol w:w="1589"/>
        <w:gridCol w:w="1726"/>
      </w:tblGrid>
      <w:tr w:rsidR="00BB5318" w:rsidRPr="00CF31E0" w14:paraId="23308384" w14:textId="719DD030" w:rsidTr="00603CB7">
        <w:tc>
          <w:tcPr>
            <w:tcW w:w="1384" w:type="dxa"/>
            <w:tcBorders>
              <w:top w:val="single" w:sz="8" w:space="0" w:color="auto"/>
              <w:bottom w:val="single" w:sz="8" w:space="0" w:color="auto"/>
            </w:tcBorders>
          </w:tcPr>
          <w:p w14:paraId="25D9A333" w14:textId="01296CA8" w:rsidR="00BB5318" w:rsidRPr="00CF31E0" w:rsidRDefault="00BB5318" w:rsidP="00603CB7">
            <w:pPr>
              <w:spacing w:before="120" w:after="120"/>
              <w:jc w:val="both"/>
              <w:rPr>
                <w:rFonts w:eastAsia="Calibri" w:cs="Arial"/>
                <w:color w:val="000000" w:themeColor="text1"/>
                <w:sz w:val="22"/>
                <w:szCs w:val="22"/>
                <w:lang w:eastAsia="en-US"/>
              </w:rPr>
            </w:pPr>
            <w:bookmarkStart w:id="761" w:name="OLE_LINK2"/>
            <w:r w:rsidRPr="00CF31E0">
              <w:rPr>
                <w:rFonts w:eastAsia="Calibri" w:cs="Arial"/>
                <w:color w:val="000000" w:themeColor="text1"/>
                <w:sz w:val="22"/>
                <w:szCs w:val="22"/>
                <w:lang w:eastAsia="en-US"/>
              </w:rPr>
              <w:t>Sample</w:t>
            </w:r>
          </w:p>
        </w:tc>
        <w:tc>
          <w:tcPr>
            <w:tcW w:w="1559" w:type="dxa"/>
            <w:tcBorders>
              <w:top w:val="single" w:sz="8" w:space="0" w:color="auto"/>
              <w:bottom w:val="single" w:sz="8" w:space="0" w:color="auto"/>
            </w:tcBorders>
          </w:tcPr>
          <w:p w14:paraId="2956A329" w14:textId="177F5200" w:rsidR="00BB5318" w:rsidRPr="00CF31E0" w:rsidRDefault="00BB5318" w:rsidP="00603CB7">
            <w:pPr>
              <w:spacing w:before="120" w:after="120"/>
              <w:jc w:val="both"/>
              <w:rPr>
                <w:rFonts w:eastAsia="Calibri" w:cs="Arial"/>
                <w:color w:val="000000" w:themeColor="text1"/>
                <w:sz w:val="22"/>
                <w:szCs w:val="22"/>
                <w:lang w:eastAsia="en-US"/>
              </w:rPr>
            </w:pPr>
            <w:r w:rsidRPr="00CF31E0">
              <w:rPr>
                <w:rFonts w:eastAsia="Calibri" w:cs="Arial"/>
                <w:color w:val="000000" w:themeColor="text1"/>
                <w:sz w:val="22"/>
                <w:szCs w:val="22"/>
                <w:lang w:eastAsia="en-US"/>
              </w:rPr>
              <w:t>Male/Female</w:t>
            </w:r>
          </w:p>
        </w:tc>
        <w:tc>
          <w:tcPr>
            <w:tcW w:w="1322" w:type="dxa"/>
            <w:tcBorders>
              <w:top w:val="single" w:sz="8" w:space="0" w:color="auto"/>
              <w:bottom w:val="single" w:sz="8" w:space="0" w:color="auto"/>
            </w:tcBorders>
          </w:tcPr>
          <w:p w14:paraId="7BBE283E" w14:textId="5DFB2396" w:rsidR="00BB5318" w:rsidRPr="00CF31E0" w:rsidRDefault="00BB5318" w:rsidP="00603CB7">
            <w:pPr>
              <w:spacing w:before="120" w:after="120"/>
              <w:jc w:val="both"/>
              <w:rPr>
                <w:rFonts w:eastAsia="Calibri" w:cs="Arial"/>
                <w:color w:val="000000" w:themeColor="text1"/>
                <w:sz w:val="22"/>
                <w:szCs w:val="22"/>
                <w:lang w:eastAsia="en-US"/>
              </w:rPr>
            </w:pPr>
            <w:r w:rsidRPr="00CF31E0">
              <w:rPr>
                <w:rFonts w:eastAsia="Calibri" w:cs="Arial"/>
                <w:color w:val="000000" w:themeColor="text1"/>
                <w:sz w:val="22"/>
                <w:szCs w:val="22"/>
                <w:lang w:eastAsia="en-US"/>
              </w:rPr>
              <w:t>HH/UBH</w:t>
            </w:r>
          </w:p>
        </w:tc>
        <w:tc>
          <w:tcPr>
            <w:tcW w:w="1589" w:type="dxa"/>
            <w:tcBorders>
              <w:top w:val="single" w:sz="8" w:space="0" w:color="auto"/>
              <w:bottom w:val="single" w:sz="8" w:space="0" w:color="auto"/>
            </w:tcBorders>
          </w:tcPr>
          <w:p w14:paraId="491AD63F" w14:textId="2C3D68AE" w:rsidR="00BB5318" w:rsidRPr="00CF31E0" w:rsidRDefault="00BB5318" w:rsidP="00603CB7">
            <w:pPr>
              <w:spacing w:before="120" w:after="120"/>
              <w:jc w:val="both"/>
              <w:rPr>
                <w:rFonts w:eastAsia="Calibri" w:cs="Arial"/>
                <w:color w:val="000000" w:themeColor="text1"/>
                <w:sz w:val="22"/>
                <w:szCs w:val="22"/>
                <w:lang w:eastAsia="en-US"/>
              </w:rPr>
            </w:pPr>
            <w:r w:rsidRPr="00CF31E0">
              <w:rPr>
                <w:rFonts w:eastAsia="Calibri" w:cs="Arial"/>
                <w:color w:val="000000" w:themeColor="text1"/>
                <w:sz w:val="22"/>
                <w:szCs w:val="22"/>
                <w:lang w:eastAsia="en-US"/>
              </w:rPr>
              <w:t>Surname</w:t>
            </w:r>
          </w:p>
        </w:tc>
        <w:tc>
          <w:tcPr>
            <w:tcW w:w="1726" w:type="dxa"/>
            <w:tcBorders>
              <w:top w:val="single" w:sz="8" w:space="0" w:color="auto"/>
              <w:bottom w:val="single" w:sz="8" w:space="0" w:color="auto"/>
            </w:tcBorders>
          </w:tcPr>
          <w:p w14:paraId="4E48AE3C" w14:textId="15D5BCBE" w:rsidR="00BB5318" w:rsidRPr="00CF31E0" w:rsidRDefault="00BB5318" w:rsidP="00603CB7">
            <w:pPr>
              <w:spacing w:before="120" w:after="120"/>
              <w:jc w:val="both"/>
              <w:rPr>
                <w:rFonts w:eastAsia="Calibri" w:cs="Arial"/>
                <w:color w:val="000000" w:themeColor="text1"/>
                <w:sz w:val="22"/>
                <w:szCs w:val="22"/>
                <w:lang w:eastAsia="en-US"/>
              </w:rPr>
            </w:pPr>
            <w:r w:rsidRPr="00CF31E0">
              <w:rPr>
                <w:rFonts w:eastAsia="Calibri" w:cs="Arial"/>
                <w:color w:val="000000" w:themeColor="text1"/>
                <w:sz w:val="22"/>
                <w:szCs w:val="22"/>
                <w:lang w:eastAsia="en-US"/>
              </w:rPr>
              <w:t>Dialect</w:t>
            </w:r>
          </w:p>
        </w:tc>
      </w:tr>
      <w:tr w:rsidR="00BB5318" w:rsidRPr="00CF31E0" w14:paraId="4FD42FC9" w14:textId="46EDF911" w:rsidTr="00603CB7">
        <w:tc>
          <w:tcPr>
            <w:tcW w:w="1384" w:type="dxa"/>
            <w:tcBorders>
              <w:top w:val="single" w:sz="8" w:space="0" w:color="auto"/>
            </w:tcBorders>
          </w:tcPr>
          <w:p w14:paraId="1732368C" w14:textId="5EAD3236" w:rsidR="00BB5318" w:rsidRPr="00CF31E0" w:rsidRDefault="00BB5318" w:rsidP="00603CB7">
            <w:pPr>
              <w:spacing w:before="120" w:after="120"/>
              <w:jc w:val="both"/>
              <w:rPr>
                <w:rFonts w:eastAsia="Calibri" w:cs="Arial"/>
                <w:color w:val="000000" w:themeColor="text1"/>
                <w:sz w:val="22"/>
                <w:szCs w:val="22"/>
                <w:lang w:eastAsia="en-US"/>
              </w:rPr>
            </w:pPr>
            <w:r w:rsidRPr="00CF31E0">
              <w:rPr>
                <w:rFonts w:eastAsia="Calibri" w:cs="Arial"/>
                <w:color w:val="000000" w:themeColor="text1"/>
                <w:sz w:val="22"/>
                <w:szCs w:val="22"/>
                <w:lang w:eastAsia="en-US"/>
              </w:rPr>
              <w:t>VS1</w:t>
            </w:r>
          </w:p>
        </w:tc>
        <w:tc>
          <w:tcPr>
            <w:tcW w:w="1559" w:type="dxa"/>
            <w:tcBorders>
              <w:top w:val="single" w:sz="8" w:space="0" w:color="auto"/>
            </w:tcBorders>
          </w:tcPr>
          <w:p w14:paraId="7C63594B" w14:textId="02D23272" w:rsidR="00BB5318" w:rsidRPr="00CF31E0" w:rsidRDefault="00BB5318" w:rsidP="00603CB7">
            <w:pPr>
              <w:spacing w:before="120" w:after="120"/>
              <w:jc w:val="both"/>
              <w:rPr>
                <w:rFonts w:eastAsia="Calibri" w:cs="Arial"/>
                <w:color w:val="000000" w:themeColor="text1"/>
                <w:sz w:val="22"/>
                <w:szCs w:val="22"/>
                <w:lang w:eastAsia="en-US"/>
              </w:rPr>
            </w:pPr>
            <w:r w:rsidRPr="00CF31E0">
              <w:rPr>
                <w:rFonts w:eastAsia="Calibri" w:cs="Arial"/>
                <w:color w:val="000000" w:themeColor="text1"/>
                <w:sz w:val="22"/>
                <w:szCs w:val="22"/>
                <w:lang w:eastAsia="en-US"/>
              </w:rPr>
              <w:t>Female</w:t>
            </w:r>
          </w:p>
        </w:tc>
        <w:tc>
          <w:tcPr>
            <w:tcW w:w="1322" w:type="dxa"/>
            <w:tcBorders>
              <w:top w:val="single" w:sz="8" w:space="0" w:color="auto"/>
            </w:tcBorders>
          </w:tcPr>
          <w:p w14:paraId="0A659A8B" w14:textId="5CDCA9A9" w:rsidR="00BB5318" w:rsidRPr="00CF31E0" w:rsidRDefault="00BB5318" w:rsidP="00603CB7">
            <w:pPr>
              <w:spacing w:before="120" w:after="120"/>
              <w:jc w:val="both"/>
              <w:rPr>
                <w:rFonts w:eastAsia="Calibri" w:cs="Arial"/>
                <w:color w:val="000000" w:themeColor="text1"/>
                <w:sz w:val="22"/>
                <w:szCs w:val="22"/>
                <w:lang w:eastAsia="en-US"/>
              </w:rPr>
            </w:pPr>
            <w:r w:rsidRPr="00CF31E0">
              <w:rPr>
                <w:rFonts w:eastAsia="Calibri" w:cs="Arial"/>
                <w:color w:val="000000" w:themeColor="text1"/>
                <w:sz w:val="22"/>
                <w:szCs w:val="22"/>
                <w:lang w:eastAsia="en-US"/>
              </w:rPr>
              <w:t>HH</w:t>
            </w:r>
          </w:p>
        </w:tc>
        <w:tc>
          <w:tcPr>
            <w:tcW w:w="1589" w:type="dxa"/>
            <w:tcBorders>
              <w:top w:val="single" w:sz="8" w:space="0" w:color="auto"/>
            </w:tcBorders>
          </w:tcPr>
          <w:p w14:paraId="76E6898E" w14:textId="34C8BB04" w:rsidR="00BB5318" w:rsidRPr="00CF31E0" w:rsidRDefault="00BB5318" w:rsidP="00603CB7">
            <w:pPr>
              <w:spacing w:before="120" w:after="120"/>
              <w:jc w:val="both"/>
              <w:rPr>
                <w:rFonts w:eastAsia="Calibri" w:cs="Arial"/>
                <w:color w:val="000000" w:themeColor="text1"/>
                <w:sz w:val="22"/>
                <w:szCs w:val="22"/>
                <w:lang w:eastAsia="en-US"/>
              </w:rPr>
            </w:pPr>
            <w:r w:rsidRPr="00CF31E0">
              <w:rPr>
                <w:rFonts w:eastAsia="Calibri" w:cs="Arial"/>
                <w:color w:val="000000" w:themeColor="text1"/>
                <w:sz w:val="22"/>
                <w:szCs w:val="22"/>
                <w:lang w:eastAsia="en-US"/>
              </w:rPr>
              <w:t>Real</w:t>
            </w:r>
          </w:p>
        </w:tc>
        <w:tc>
          <w:tcPr>
            <w:tcW w:w="1726" w:type="dxa"/>
            <w:tcBorders>
              <w:top w:val="single" w:sz="8" w:space="0" w:color="auto"/>
            </w:tcBorders>
          </w:tcPr>
          <w:p w14:paraId="3278C942" w14:textId="43B68889" w:rsidR="00BB5318" w:rsidRPr="00CF31E0" w:rsidRDefault="00BB5318" w:rsidP="00603CB7">
            <w:pPr>
              <w:spacing w:before="120" w:after="120"/>
              <w:jc w:val="both"/>
              <w:rPr>
                <w:rFonts w:eastAsia="Calibri" w:cs="Arial"/>
                <w:color w:val="000000" w:themeColor="text1"/>
                <w:sz w:val="22"/>
                <w:szCs w:val="22"/>
                <w:lang w:eastAsia="en-US"/>
              </w:rPr>
            </w:pPr>
            <w:r w:rsidRPr="00CF31E0">
              <w:rPr>
                <w:rFonts w:eastAsia="Calibri" w:cs="Arial"/>
                <w:color w:val="000000" w:themeColor="text1"/>
                <w:sz w:val="22"/>
                <w:szCs w:val="22"/>
                <w:lang w:eastAsia="en-US"/>
              </w:rPr>
              <w:t>Real</w:t>
            </w:r>
          </w:p>
        </w:tc>
      </w:tr>
      <w:tr w:rsidR="00BB5318" w:rsidRPr="00CF31E0" w14:paraId="7C1CC847" w14:textId="28426E57" w:rsidTr="00603CB7">
        <w:tc>
          <w:tcPr>
            <w:tcW w:w="1384" w:type="dxa"/>
          </w:tcPr>
          <w:p w14:paraId="1A3A0F62" w14:textId="26B9B43C" w:rsidR="00BB5318" w:rsidRPr="00CF31E0" w:rsidRDefault="00BB5318" w:rsidP="00603CB7">
            <w:pPr>
              <w:spacing w:before="120" w:after="120"/>
              <w:jc w:val="both"/>
              <w:rPr>
                <w:rFonts w:eastAsia="Calibri" w:cs="Arial"/>
                <w:color w:val="000000" w:themeColor="text1"/>
                <w:sz w:val="22"/>
                <w:szCs w:val="22"/>
                <w:lang w:eastAsia="en-US"/>
              </w:rPr>
            </w:pPr>
            <w:r w:rsidRPr="00CF31E0">
              <w:rPr>
                <w:rFonts w:eastAsia="Calibri" w:cs="Arial"/>
                <w:color w:val="000000" w:themeColor="text1"/>
                <w:sz w:val="22"/>
                <w:szCs w:val="22"/>
                <w:lang w:eastAsia="en-US"/>
              </w:rPr>
              <w:t>VS2</w:t>
            </w:r>
          </w:p>
        </w:tc>
        <w:tc>
          <w:tcPr>
            <w:tcW w:w="1559" w:type="dxa"/>
          </w:tcPr>
          <w:p w14:paraId="406CE284" w14:textId="22C5760A" w:rsidR="00BB5318" w:rsidRPr="00CF31E0" w:rsidRDefault="00BB5318" w:rsidP="00603CB7">
            <w:pPr>
              <w:spacing w:before="120" w:after="120"/>
              <w:jc w:val="both"/>
              <w:rPr>
                <w:rFonts w:eastAsia="Calibri" w:cs="Arial"/>
                <w:color w:val="000000" w:themeColor="text1"/>
                <w:sz w:val="22"/>
                <w:szCs w:val="22"/>
                <w:lang w:eastAsia="en-US"/>
              </w:rPr>
            </w:pPr>
            <w:r w:rsidRPr="00CF31E0">
              <w:rPr>
                <w:rFonts w:eastAsia="Calibri" w:cs="Arial"/>
                <w:color w:val="000000" w:themeColor="text1"/>
                <w:sz w:val="22"/>
                <w:szCs w:val="22"/>
                <w:lang w:eastAsia="en-US"/>
              </w:rPr>
              <w:t>Female</w:t>
            </w:r>
          </w:p>
        </w:tc>
        <w:tc>
          <w:tcPr>
            <w:tcW w:w="1322" w:type="dxa"/>
          </w:tcPr>
          <w:p w14:paraId="2C3AB979" w14:textId="00CE15C3" w:rsidR="00BB5318" w:rsidRPr="00CF31E0" w:rsidRDefault="00646A4A" w:rsidP="00603CB7">
            <w:pPr>
              <w:spacing w:before="120" w:after="120"/>
              <w:jc w:val="both"/>
              <w:rPr>
                <w:rFonts w:eastAsia="Calibri" w:cs="Arial"/>
                <w:color w:val="000000" w:themeColor="text1"/>
                <w:sz w:val="22"/>
                <w:szCs w:val="22"/>
                <w:lang w:eastAsia="en-US"/>
              </w:rPr>
            </w:pPr>
            <w:r w:rsidRPr="00CF31E0">
              <w:rPr>
                <w:rFonts w:eastAsia="Calibri" w:cs="Arial"/>
                <w:color w:val="000000" w:themeColor="text1"/>
                <w:sz w:val="22"/>
                <w:szCs w:val="22"/>
                <w:lang w:eastAsia="en-US"/>
              </w:rPr>
              <w:t>UBH</w:t>
            </w:r>
          </w:p>
        </w:tc>
        <w:tc>
          <w:tcPr>
            <w:tcW w:w="1589" w:type="dxa"/>
          </w:tcPr>
          <w:p w14:paraId="63EA106D" w14:textId="26101022" w:rsidR="00BB5318" w:rsidRPr="00CF31E0" w:rsidRDefault="00646A4A" w:rsidP="00603CB7">
            <w:pPr>
              <w:spacing w:before="120" w:after="120"/>
              <w:jc w:val="both"/>
              <w:rPr>
                <w:rFonts w:eastAsia="Calibri" w:cs="Arial"/>
                <w:color w:val="000000" w:themeColor="text1"/>
                <w:sz w:val="22"/>
                <w:szCs w:val="22"/>
                <w:lang w:eastAsia="en-US"/>
              </w:rPr>
            </w:pPr>
            <w:r w:rsidRPr="00CF31E0">
              <w:rPr>
                <w:rFonts w:eastAsia="Calibri" w:cs="Arial"/>
                <w:color w:val="000000" w:themeColor="text1"/>
                <w:sz w:val="22"/>
                <w:szCs w:val="22"/>
                <w:lang w:eastAsia="en-US"/>
              </w:rPr>
              <w:t>Real</w:t>
            </w:r>
          </w:p>
        </w:tc>
        <w:tc>
          <w:tcPr>
            <w:tcW w:w="1726" w:type="dxa"/>
          </w:tcPr>
          <w:p w14:paraId="178FC3B8" w14:textId="4DF1EC70" w:rsidR="00BB5318" w:rsidRPr="00CF31E0" w:rsidRDefault="00646A4A" w:rsidP="00603CB7">
            <w:pPr>
              <w:spacing w:before="120" w:after="120"/>
              <w:jc w:val="both"/>
              <w:rPr>
                <w:rFonts w:eastAsia="Calibri" w:cs="Arial"/>
                <w:color w:val="000000" w:themeColor="text1"/>
                <w:sz w:val="22"/>
                <w:szCs w:val="22"/>
                <w:lang w:eastAsia="en-US"/>
              </w:rPr>
            </w:pPr>
            <w:r w:rsidRPr="00CF31E0">
              <w:rPr>
                <w:rFonts w:eastAsia="Calibri" w:cs="Arial"/>
                <w:color w:val="000000" w:themeColor="text1"/>
                <w:sz w:val="22"/>
                <w:szCs w:val="22"/>
                <w:lang w:eastAsia="en-US"/>
              </w:rPr>
              <w:t>Real</w:t>
            </w:r>
          </w:p>
        </w:tc>
      </w:tr>
      <w:tr w:rsidR="00BB5318" w:rsidRPr="00CF31E0" w14:paraId="02A52A05" w14:textId="0C956CD5" w:rsidTr="00603CB7">
        <w:tc>
          <w:tcPr>
            <w:tcW w:w="1384" w:type="dxa"/>
          </w:tcPr>
          <w:p w14:paraId="0A45F55C" w14:textId="25A5100D" w:rsidR="00BB5318" w:rsidRPr="00CF31E0" w:rsidRDefault="00BB5318" w:rsidP="00603CB7">
            <w:pPr>
              <w:spacing w:before="120" w:after="120"/>
              <w:jc w:val="both"/>
              <w:rPr>
                <w:rFonts w:eastAsia="Calibri" w:cs="Arial"/>
                <w:color w:val="000000" w:themeColor="text1"/>
                <w:sz w:val="22"/>
                <w:szCs w:val="22"/>
                <w:lang w:eastAsia="en-US"/>
              </w:rPr>
            </w:pPr>
            <w:r w:rsidRPr="00CF31E0">
              <w:rPr>
                <w:rFonts w:eastAsia="Calibri" w:cs="Arial"/>
                <w:color w:val="000000" w:themeColor="text1"/>
                <w:sz w:val="22"/>
                <w:szCs w:val="22"/>
                <w:lang w:eastAsia="en-US"/>
              </w:rPr>
              <w:t>VS3</w:t>
            </w:r>
          </w:p>
        </w:tc>
        <w:tc>
          <w:tcPr>
            <w:tcW w:w="1559" w:type="dxa"/>
          </w:tcPr>
          <w:p w14:paraId="38E28132" w14:textId="48658B54" w:rsidR="00BB5318" w:rsidRPr="00CF31E0" w:rsidRDefault="00BB5318" w:rsidP="00603CB7">
            <w:pPr>
              <w:spacing w:before="120" w:after="120"/>
              <w:jc w:val="both"/>
              <w:rPr>
                <w:rFonts w:eastAsia="Calibri" w:cs="Arial"/>
                <w:color w:val="000000" w:themeColor="text1"/>
                <w:sz w:val="22"/>
                <w:szCs w:val="22"/>
                <w:lang w:eastAsia="en-US"/>
              </w:rPr>
            </w:pPr>
            <w:r w:rsidRPr="00CF31E0">
              <w:rPr>
                <w:rFonts w:eastAsia="Calibri" w:cs="Arial"/>
                <w:color w:val="000000" w:themeColor="text1"/>
                <w:sz w:val="22"/>
                <w:szCs w:val="22"/>
                <w:lang w:eastAsia="en-US"/>
              </w:rPr>
              <w:t>Female</w:t>
            </w:r>
          </w:p>
        </w:tc>
        <w:tc>
          <w:tcPr>
            <w:tcW w:w="1322" w:type="dxa"/>
          </w:tcPr>
          <w:p w14:paraId="64832C89" w14:textId="16835750" w:rsidR="00BB5318" w:rsidRPr="00CF31E0" w:rsidRDefault="00A23192" w:rsidP="00603CB7">
            <w:pPr>
              <w:spacing w:before="120" w:after="120"/>
              <w:jc w:val="both"/>
              <w:rPr>
                <w:rFonts w:eastAsia="Calibri" w:cs="Arial"/>
                <w:color w:val="000000" w:themeColor="text1"/>
                <w:sz w:val="22"/>
                <w:szCs w:val="22"/>
                <w:lang w:eastAsia="en-US"/>
              </w:rPr>
            </w:pPr>
            <w:r>
              <w:rPr>
                <w:rFonts w:eastAsia="Calibri" w:cs="Arial"/>
                <w:color w:val="000000" w:themeColor="text1"/>
                <w:sz w:val="22"/>
                <w:szCs w:val="22"/>
                <w:lang w:eastAsia="en-US"/>
              </w:rPr>
              <w:t>HH</w:t>
            </w:r>
          </w:p>
        </w:tc>
        <w:tc>
          <w:tcPr>
            <w:tcW w:w="1589" w:type="dxa"/>
          </w:tcPr>
          <w:p w14:paraId="175067A7" w14:textId="4826CC29" w:rsidR="00BB5318" w:rsidRPr="00CF31E0" w:rsidRDefault="00646A4A" w:rsidP="00603CB7">
            <w:pPr>
              <w:spacing w:before="120" w:after="120"/>
              <w:jc w:val="both"/>
              <w:rPr>
                <w:rFonts w:eastAsia="Calibri" w:cs="Arial"/>
                <w:color w:val="000000" w:themeColor="text1"/>
                <w:sz w:val="22"/>
                <w:szCs w:val="22"/>
                <w:lang w:eastAsia="en-US"/>
              </w:rPr>
            </w:pPr>
            <w:r w:rsidRPr="00CF31E0">
              <w:rPr>
                <w:rFonts w:eastAsia="Calibri" w:cs="Arial"/>
                <w:color w:val="000000" w:themeColor="text1"/>
                <w:sz w:val="22"/>
                <w:szCs w:val="22"/>
                <w:lang w:eastAsia="en-US"/>
              </w:rPr>
              <w:t>Manipulated</w:t>
            </w:r>
          </w:p>
        </w:tc>
        <w:tc>
          <w:tcPr>
            <w:tcW w:w="1726" w:type="dxa"/>
          </w:tcPr>
          <w:p w14:paraId="5B7CCCC4" w14:textId="5508633F" w:rsidR="00BB5318" w:rsidRPr="00CF31E0" w:rsidRDefault="00646A4A" w:rsidP="00603CB7">
            <w:pPr>
              <w:spacing w:before="120" w:after="120"/>
              <w:jc w:val="both"/>
              <w:rPr>
                <w:rFonts w:eastAsia="Calibri" w:cs="Arial"/>
                <w:color w:val="000000" w:themeColor="text1"/>
                <w:sz w:val="22"/>
                <w:szCs w:val="22"/>
                <w:lang w:eastAsia="en-US"/>
              </w:rPr>
            </w:pPr>
            <w:r w:rsidRPr="00CF31E0">
              <w:rPr>
                <w:rFonts w:eastAsia="Calibri" w:cs="Arial"/>
                <w:color w:val="000000" w:themeColor="text1"/>
                <w:sz w:val="22"/>
                <w:szCs w:val="22"/>
                <w:lang w:eastAsia="en-US"/>
              </w:rPr>
              <w:t>Real</w:t>
            </w:r>
          </w:p>
        </w:tc>
      </w:tr>
      <w:tr w:rsidR="00BB5318" w:rsidRPr="00CF31E0" w14:paraId="5D6AB9CA" w14:textId="716C4356" w:rsidTr="00603CB7">
        <w:tc>
          <w:tcPr>
            <w:tcW w:w="1384" w:type="dxa"/>
          </w:tcPr>
          <w:p w14:paraId="56FDB3CA" w14:textId="5EADF3E0" w:rsidR="00BB5318" w:rsidRPr="00CF31E0" w:rsidRDefault="00BB5318" w:rsidP="00603CB7">
            <w:pPr>
              <w:spacing w:before="120" w:after="120"/>
              <w:jc w:val="both"/>
              <w:rPr>
                <w:rFonts w:eastAsia="Calibri" w:cs="Arial"/>
                <w:color w:val="000000" w:themeColor="text1"/>
                <w:sz w:val="22"/>
                <w:szCs w:val="22"/>
                <w:lang w:eastAsia="en-US"/>
              </w:rPr>
            </w:pPr>
            <w:r w:rsidRPr="00CF31E0">
              <w:rPr>
                <w:rFonts w:eastAsia="Calibri" w:cs="Arial"/>
                <w:color w:val="000000" w:themeColor="text1"/>
                <w:sz w:val="22"/>
                <w:szCs w:val="22"/>
                <w:lang w:eastAsia="en-US"/>
              </w:rPr>
              <w:t>VS4</w:t>
            </w:r>
          </w:p>
        </w:tc>
        <w:tc>
          <w:tcPr>
            <w:tcW w:w="1559" w:type="dxa"/>
          </w:tcPr>
          <w:p w14:paraId="5DE722EC" w14:textId="63C18B57" w:rsidR="00BB5318" w:rsidRPr="00CF31E0" w:rsidRDefault="00BB5318" w:rsidP="00603CB7">
            <w:pPr>
              <w:spacing w:before="120" w:after="120"/>
              <w:jc w:val="both"/>
              <w:rPr>
                <w:rFonts w:eastAsia="Calibri" w:cs="Arial"/>
                <w:color w:val="000000" w:themeColor="text1"/>
                <w:sz w:val="22"/>
                <w:szCs w:val="22"/>
                <w:lang w:eastAsia="en-US"/>
              </w:rPr>
            </w:pPr>
            <w:r w:rsidRPr="00CF31E0">
              <w:rPr>
                <w:rFonts w:eastAsia="Calibri" w:cs="Arial"/>
                <w:color w:val="000000" w:themeColor="text1"/>
                <w:sz w:val="22"/>
                <w:szCs w:val="22"/>
                <w:lang w:eastAsia="en-US"/>
              </w:rPr>
              <w:t>Female</w:t>
            </w:r>
          </w:p>
        </w:tc>
        <w:tc>
          <w:tcPr>
            <w:tcW w:w="1322" w:type="dxa"/>
          </w:tcPr>
          <w:p w14:paraId="0733B013" w14:textId="47B965EA" w:rsidR="00BB5318" w:rsidRPr="00CF31E0" w:rsidRDefault="00A23192" w:rsidP="00603CB7">
            <w:pPr>
              <w:spacing w:before="120" w:after="120"/>
              <w:jc w:val="both"/>
              <w:rPr>
                <w:rFonts w:eastAsia="Calibri" w:cs="Arial"/>
                <w:color w:val="000000" w:themeColor="text1"/>
                <w:sz w:val="22"/>
                <w:szCs w:val="22"/>
                <w:lang w:eastAsia="en-US"/>
              </w:rPr>
            </w:pPr>
            <w:r>
              <w:rPr>
                <w:rFonts w:eastAsia="Calibri" w:cs="Arial"/>
                <w:color w:val="000000" w:themeColor="text1"/>
                <w:sz w:val="22"/>
                <w:szCs w:val="22"/>
                <w:lang w:eastAsia="en-US"/>
              </w:rPr>
              <w:t>UBH</w:t>
            </w:r>
          </w:p>
        </w:tc>
        <w:tc>
          <w:tcPr>
            <w:tcW w:w="1589" w:type="dxa"/>
          </w:tcPr>
          <w:p w14:paraId="64F67170" w14:textId="436161BF" w:rsidR="00BB5318" w:rsidRPr="00CF31E0" w:rsidRDefault="00646A4A" w:rsidP="00603CB7">
            <w:pPr>
              <w:spacing w:before="120" w:after="120"/>
              <w:jc w:val="both"/>
              <w:rPr>
                <w:rFonts w:eastAsia="Calibri" w:cs="Arial"/>
                <w:color w:val="000000" w:themeColor="text1"/>
                <w:sz w:val="22"/>
                <w:szCs w:val="22"/>
                <w:lang w:eastAsia="en-US"/>
              </w:rPr>
            </w:pPr>
            <w:r w:rsidRPr="00CF31E0">
              <w:rPr>
                <w:rFonts w:eastAsia="Calibri" w:cs="Arial"/>
                <w:color w:val="000000" w:themeColor="text1"/>
                <w:sz w:val="22"/>
                <w:szCs w:val="22"/>
                <w:lang w:eastAsia="en-US"/>
              </w:rPr>
              <w:t>Manipulated</w:t>
            </w:r>
          </w:p>
        </w:tc>
        <w:tc>
          <w:tcPr>
            <w:tcW w:w="1726" w:type="dxa"/>
          </w:tcPr>
          <w:p w14:paraId="61603A98" w14:textId="3DD44A91" w:rsidR="00BB5318" w:rsidRPr="00CF31E0" w:rsidRDefault="00646A4A" w:rsidP="00603CB7">
            <w:pPr>
              <w:spacing w:before="120" w:after="120"/>
              <w:jc w:val="both"/>
              <w:rPr>
                <w:rFonts w:eastAsia="Calibri" w:cs="Arial"/>
                <w:color w:val="000000" w:themeColor="text1"/>
                <w:sz w:val="22"/>
                <w:szCs w:val="22"/>
                <w:lang w:eastAsia="en-US"/>
              </w:rPr>
            </w:pPr>
            <w:r w:rsidRPr="00CF31E0">
              <w:rPr>
                <w:rFonts w:eastAsia="Calibri" w:cs="Arial"/>
                <w:color w:val="000000" w:themeColor="text1"/>
                <w:sz w:val="22"/>
                <w:szCs w:val="22"/>
                <w:lang w:eastAsia="en-US"/>
              </w:rPr>
              <w:t>Real</w:t>
            </w:r>
          </w:p>
        </w:tc>
      </w:tr>
      <w:tr w:rsidR="00BB5318" w:rsidRPr="00CF31E0" w14:paraId="0583672C" w14:textId="27A042E2" w:rsidTr="00603CB7">
        <w:tc>
          <w:tcPr>
            <w:tcW w:w="1384" w:type="dxa"/>
            <w:tcBorders>
              <w:bottom w:val="single" w:sz="8" w:space="0" w:color="auto"/>
            </w:tcBorders>
          </w:tcPr>
          <w:p w14:paraId="62666DFF" w14:textId="7FAE7B6A" w:rsidR="00BB5318" w:rsidRPr="00CF31E0" w:rsidRDefault="00BB5318" w:rsidP="00603CB7">
            <w:pPr>
              <w:spacing w:before="120" w:after="120"/>
              <w:jc w:val="both"/>
              <w:rPr>
                <w:rFonts w:eastAsia="Calibri" w:cs="Arial"/>
                <w:color w:val="000000" w:themeColor="text1"/>
                <w:sz w:val="22"/>
                <w:szCs w:val="22"/>
                <w:lang w:eastAsia="en-US"/>
              </w:rPr>
            </w:pPr>
            <w:r w:rsidRPr="00CF31E0">
              <w:rPr>
                <w:rFonts w:eastAsia="Calibri" w:cs="Arial"/>
                <w:color w:val="000000" w:themeColor="text1"/>
                <w:sz w:val="22"/>
                <w:szCs w:val="22"/>
                <w:lang w:eastAsia="en-US"/>
              </w:rPr>
              <w:t>VS5</w:t>
            </w:r>
          </w:p>
        </w:tc>
        <w:tc>
          <w:tcPr>
            <w:tcW w:w="1559" w:type="dxa"/>
            <w:tcBorders>
              <w:bottom w:val="single" w:sz="8" w:space="0" w:color="auto"/>
            </w:tcBorders>
          </w:tcPr>
          <w:p w14:paraId="0E96B3E5" w14:textId="6612DBE9" w:rsidR="00BB5318" w:rsidRPr="00CF31E0" w:rsidRDefault="00BB5318" w:rsidP="00603CB7">
            <w:pPr>
              <w:spacing w:before="120" w:after="120"/>
              <w:jc w:val="both"/>
              <w:rPr>
                <w:rFonts w:eastAsia="Calibri" w:cs="Arial"/>
                <w:color w:val="000000" w:themeColor="text1"/>
                <w:sz w:val="22"/>
                <w:szCs w:val="22"/>
                <w:lang w:eastAsia="en-US"/>
              </w:rPr>
            </w:pPr>
            <w:r w:rsidRPr="00CF31E0">
              <w:rPr>
                <w:rFonts w:eastAsia="Calibri" w:cs="Arial"/>
                <w:color w:val="000000" w:themeColor="text1"/>
                <w:sz w:val="22"/>
                <w:szCs w:val="22"/>
                <w:lang w:eastAsia="en-US"/>
              </w:rPr>
              <w:t>Male</w:t>
            </w:r>
          </w:p>
        </w:tc>
        <w:tc>
          <w:tcPr>
            <w:tcW w:w="1322" w:type="dxa"/>
            <w:tcBorders>
              <w:bottom w:val="single" w:sz="8" w:space="0" w:color="auto"/>
            </w:tcBorders>
          </w:tcPr>
          <w:p w14:paraId="46800D04" w14:textId="0390B22D" w:rsidR="00BB5318" w:rsidRPr="00CF31E0" w:rsidRDefault="00646A4A" w:rsidP="00603CB7">
            <w:pPr>
              <w:spacing w:before="120" w:after="120"/>
              <w:jc w:val="both"/>
              <w:rPr>
                <w:rFonts w:eastAsia="Calibri" w:cs="Arial"/>
                <w:color w:val="000000" w:themeColor="text1"/>
                <w:sz w:val="22"/>
                <w:szCs w:val="22"/>
                <w:lang w:eastAsia="en-US"/>
              </w:rPr>
            </w:pPr>
            <w:r w:rsidRPr="00CF31E0">
              <w:rPr>
                <w:rFonts w:eastAsia="Calibri" w:cs="Arial"/>
                <w:color w:val="000000" w:themeColor="text1"/>
                <w:sz w:val="22"/>
                <w:szCs w:val="22"/>
                <w:lang w:eastAsia="en-US"/>
              </w:rPr>
              <w:t>HH</w:t>
            </w:r>
          </w:p>
        </w:tc>
        <w:tc>
          <w:tcPr>
            <w:tcW w:w="1589" w:type="dxa"/>
            <w:tcBorders>
              <w:bottom w:val="single" w:sz="8" w:space="0" w:color="auto"/>
            </w:tcBorders>
          </w:tcPr>
          <w:p w14:paraId="39802E77" w14:textId="09EFC1FE" w:rsidR="00BB5318" w:rsidRPr="00CF31E0" w:rsidRDefault="00646A4A" w:rsidP="00603CB7">
            <w:pPr>
              <w:spacing w:before="120" w:after="120"/>
              <w:jc w:val="both"/>
              <w:rPr>
                <w:rFonts w:eastAsia="Calibri" w:cs="Arial"/>
                <w:color w:val="000000" w:themeColor="text1"/>
                <w:sz w:val="22"/>
                <w:szCs w:val="22"/>
                <w:lang w:eastAsia="en-US"/>
              </w:rPr>
            </w:pPr>
            <w:r w:rsidRPr="00CF31E0">
              <w:rPr>
                <w:rFonts w:eastAsia="Calibri" w:cs="Arial"/>
                <w:color w:val="000000" w:themeColor="text1"/>
                <w:sz w:val="22"/>
                <w:szCs w:val="22"/>
                <w:lang w:eastAsia="en-US"/>
              </w:rPr>
              <w:t>Real</w:t>
            </w:r>
          </w:p>
        </w:tc>
        <w:tc>
          <w:tcPr>
            <w:tcW w:w="1726" w:type="dxa"/>
            <w:tcBorders>
              <w:bottom w:val="single" w:sz="8" w:space="0" w:color="auto"/>
            </w:tcBorders>
          </w:tcPr>
          <w:p w14:paraId="4A32B1A4" w14:textId="40B03D29" w:rsidR="00BB5318" w:rsidRPr="00CF31E0" w:rsidRDefault="00646A4A" w:rsidP="00603CB7">
            <w:pPr>
              <w:spacing w:before="120" w:after="120"/>
              <w:jc w:val="both"/>
              <w:rPr>
                <w:rFonts w:eastAsia="Calibri" w:cs="Arial"/>
                <w:color w:val="000000" w:themeColor="text1"/>
                <w:sz w:val="22"/>
                <w:szCs w:val="22"/>
                <w:lang w:eastAsia="en-US"/>
              </w:rPr>
            </w:pPr>
            <w:r w:rsidRPr="00CF31E0">
              <w:rPr>
                <w:rFonts w:eastAsia="Calibri" w:cs="Arial"/>
                <w:color w:val="000000" w:themeColor="text1"/>
                <w:sz w:val="22"/>
                <w:szCs w:val="22"/>
                <w:lang w:eastAsia="en-US"/>
              </w:rPr>
              <w:t>Manipulated</w:t>
            </w:r>
          </w:p>
        </w:tc>
      </w:tr>
    </w:tbl>
    <w:p w14:paraId="4B9EE9E8" w14:textId="57548C65" w:rsidR="000B4835" w:rsidRPr="00CF31E0" w:rsidRDefault="00542E3D" w:rsidP="00603CB7">
      <w:pPr>
        <w:pStyle w:val="Tablecaption"/>
        <w:rPr>
          <w:lang w:eastAsia="en-US"/>
        </w:rPr>
      </w:pPr>
      <w:bookmarkStart w:id="762" w:name="_Toc6473139"/>
      <w:bookmarkEnd w:id="761"/>
      <w:r w:rsidRPr="00CF31E0">
        <w:rPr>
          <w:lang w:eastAsia="en-US"/>
        </w:rPr>
        <w:t xml:space="preserve">Table 11.1: </w:t>
      </w:r>
      <w:r w:rsidR="005556AC" w:rsidRPr="00CF31E0">
        <w:rPr>
          <w:lang w:eastAsia="en-US"/>
        </w:rPr>
        <w:t>Presentation of voice samples</w:t>
      </w:r>
      <w:r w:rsidRPr="00CF31E0">
        <w:rPr>
          <w:lang w:eastAsia="en-US"/>
        </w:rPr>
        <w:t>.</w:t>
      </w:r>
      <w:bookmarkEnd w:id="762"/>
    </w:p>
    <w:p w14:paraId="2A805627" w14:textId="66C92229" w:rsidR="000B4835" w:rsidRPr="00CF31E0" w:rsidRDefault="00F27F59" w:rsidP="00603CB7">
      <w:pPr>
        <w:pStyle w:val="Paragraph"/>
        <w:rPr>
          <w:lang w:eastAsia="en-US"/>
        </w:rPr>
      </w:pPr>
      <w:r w:rsidRPr="00CF31E0">
        <w:rPr>
          <w:lang w:eastAsia="en-US"/>
        </w:rPr>
        <w:t>Voice sample 1: female HH</w:t>
      </w:r>
      <w:r w:rsidR="000B4835" w:rsidRPr="00CF31E0">
        <w:rPr>
          <w:lang w:eastAsia="en-US"/>
        </w:rPr>
        <w:t xml:space="preserve"> voice sample, with their real surname written on the questionnaire answer sheet.</w:t>
      </w:r>
    </w:p>
    <w:p w14:paraId="1875ED16" w14:textId="451C3E71" w:rsidR="000B4835" w:rsidRPr="00CF31E0" w:rsidRDefault="00976A22" w:rsidP="00603CB7">
      <w:pPr>
        <w:pStyle w:val="Paragraph"/>
        <w:rPr>
          <w:lang w:eastAsia="en-US"/>
        </w:rPr>
      </w:pPr>
      <w:r>
        <w:rPr>
          <w:lang w:eastAsia="en-US"/>
        </w:rPr>
        <w:t>Salient phonological features</w:t>
      </w:r>
      <w:r w:rsidR="000B4835" w:rsidRPr="00CF31E0">
        <w:rPr>
          <w:lang w:eastAsia="en-US"/>
        </w:rPr>
        <w:t xml:space="preserve"> for VS1: </w:t>
      </w:r>
    </w:p>
    <w:p w14:paraId="7F153370" w14:textId="3F5261D5" w:rsidR="000B4835" w:rsidRPr="00CF31E0" w:rsidRDefault="000B4835" w:rsidP="00467EF6">
      <w:pPr>
        <w:numPr>
          <w:ilvl w:val="0"/>
          <w:numId w:val="28"/>
        </w:numPr>
        <w:spacing w:before="120" w:after="120" w:line="360" w:lineRule="auto"/>
        <w:contextualSpacing/>
        <w:jc w:val="both"/>
        <w:rPr>
          <w:rFonts w:eastAsia="Calibri" w:cs="Arial"/>
          <w:color w:val="000000" w:themeColor="text1"/>
          <w:lang w:eastAsia="en-US"/>
        </w:rPr>
      </w:pPr>
      <w:r w:rsidRPr="00CF31E0">
        <w:rPr>
          <w:rFonts w:eastAsia="Calibri" w:cs="Arial"/>
          <w:color w:val="000000" w:themeColor="text1"/>
          <w:lang w:eastAsia="en-US"/>
        </w:rPr>
        <w:t xml:space="preserve">Realization of </w:t>
      </w:r>
      <w:r w:rsidR="00C47DE5">
        <w:rPr>
          <w:rFonts w:eastAsia="Calibri" w:cs="Arial"/>
          <w:color w:val="000000" w:themeColor="text1"/>
          <w:lang w:eastAsia="en-US"/>
        </w:rPr>
        <w:t>voiced plosive</w:t>
      </w:r>
      <w:r w:rsidRPr="00CF31E0">
        <w:rPr>
          <w:rFonts w:eastAsia="Calibri" w:cs="Arial"/>
          <w:color w:val="000000" w:themeColor="text1"/>
          <w:lang w:eastAsia="en-US"/>
        </w:rPr>
        <w:t xml:space="preserve"> /d/, </w:t>
      </w:r>
      <w:r w:rsidR="00C47DE5">
        <w:rPr>
          <w:rFonts w:eastAsia="Calibri" w:cs="Arial"/>
          <w:color w:val="000000" w:themeColor="text1"/>
          <w:lang w:eastAsia="en-US"/>
        </w:rPr>
        <w:t>as a reflex of</w:t>
      </w:r>
      <w:r w:rsidR="00FC7BFB" w:rsidRPr="00CF31E0">
        <w:rPr>
          <w:rFonts w:eastAsia="Calibri" w:cs="Arial"/>
          <w:color w:val="000000" w:themeColor="text1"/>
          <w:lang w:eastAsia="en-US"/>
        </w:rPr>
        <w:t xml:space="preserve"> </w:t>
      </w:r>
      <w:r w:rsidR="00C47DE5">
        <w:rPr>
          <w:rFonts w:eastAsia="Calibri" w:cs="Arial"/>
          <w:color w:val="000000" w:themeColor="text1"/>
          <w:lang w:eastAsia="en-US"/>
        </w:rPr>
        <w:t>*</w:t>
      </w:r>
      <w:r w:rsidR="001D1C63" w:rsidRPr="00CF31E0">
        <w:rPr>
          <w:rFonts w:eastAsia="Calibri" w:cs="Arial" w:hint="eastAsia"/>
          <w:color w:val="000000" w:themeColor="text1"/>
          <w:lang w:eastAsia="en-US"/>
        </w:rPr>
        <w:t>ð</w:t>
      </w:r>
      <w:r w:rsidR="001D1C63" w:rsidRPr="00C47DE5" w:rsidDel="00C47DE5">
        <w:rPr>
          <w:rFonts w:eastAsia="Calibri" w:cs="Arial"/>
          <w:color w:val="000000" w:themeColor="text1"/>
          <w:lang w:eastAsia="en-US"/>
        </w:rPr>
        <w:t xml:space="preserve"> </w:t>
      </w:r>
      <w:r w:rsidRPr="00CF31E0">
        <w:rPr>
          <w:rFonts w:eastAsia="Calibri" w:cs="Arial"/>
          <w:color w:val="000000" w:themeColor="text1"/>
          <w:lang w:eastAsia="en-US"/>
        </w:rPr>
        <w:t xml:space="preserve"> sound, in two instances</w:t>
      </w:r>
      <w:r w:rsidR="00EC7EBF">
        <w:rPr>
          <w:rFonts w:eastAsia="Calibri" w:cs="Arial"/>
          <w:color w:val="000000" w:themeColor="text1"/>
          <w:lang w:eastAsia="en-US"/>
        </w:rPr>
        <w:t>.</w:t>
      </w:r>
    </w:p>
    <w:p w14:paraId="6B6356B5" w14:textId="7B5FF2C4" w:rsidR="000B4835" w:rsidRPr="00280C9A" w:rsidRDefault="00043291" w:rsidP="00280C9A">
      <w:pPr>
        <w:numPr>
          <w:ilvl w:val="0"/>
          <w:numId w:val="30"/>
        </w:numPr>
        <w:spacing w:before="120" w:after="120" w:line="360" w:lineRule="auto"/>
        <w:contextualSpacing/>
        <w:jc w:val="both"/>
        <w:rPr>
          <w:rFonts w:eastAsia="Calibri" w:cs="Arial"/>
          <w:color w:val="000000" w:themeColor="text1"/>
          <w:lang w:eastAsia="en-US"/>
        </w:rPr>
      </w:pPr>
      <w:r>
        <w:rPr>
          <w:rFonts w:eastAsia="Calibri" w:cs="Arial"/>
          <w:color w:val="000000" w:themeColor="text1"/>
          <w:lang w:eastAsia="en-US"/>
        </w:rPr>
        <w:t xml:space="preserve">Realization </w:t>
      </w:r>
      <w:r w:rsidRPr="00280C9A">
        <w:rPr>
          <w:rFonts w:eastAsia="Calibri" w:cs="Arial"/>
          <w:color w:val="000000" w:themeColor="text1"/>
          <w:lang w:eastAsia="en-US"/>
        </w:rPr>
        <w:t xml:space="preserve">of flap </w:t>
      </w:r>
      <w:r w:rsidR="00280C9A">
        <w:rPr>
          <w:rFonts w:eastAsia="Calibri" w:cs="Arial"/>
          <w:color w:val="000000" w:themeColor="text1"/>
          <w:lang w:eastAsia="en-US"/>
        </w:rPr>
        <w:t>sound</w:t>
      </w:r>
      <w:r w:rsidRPr="00280C9A">
        <w:rPr>
          <w:rFonts w:eastAsia="Calibri" w:cs="Arial"/>
          <w:color w:val="000000" w:themeColor="text1"/>
          <w:lang w:eastAsia="en-US"/>
        </w:rPr>
        <w:t xml:space="preserve"> </w:t>
      </w:r>
      <w:r w:rsidR="00280C9A" w:rsidRPr="00280C9A">
        <w:rPr>
          <w:rFonts w:eastAsia="Calibri" w:cs="Arial"/>
          <w:color w:val="000000" w:themeColor="text1"/>
          <w:lang w:eastAsia="en-US"/>
        </w:rPr>
        <w:t>/ɾ/</w:t>
      </w:r>
      <w:r w:rsidR="000B4835" w:rsidRPr="00280C9A">
        <w:rPr>
          <w:rFonts w:eastAsia="Calibri" w:cs="Arial"/>
          <w:color w:val="000000" w:themeColor="text1"/>
          <w:lang w:eastAsia="en-US"/>
        </w:rPr>
        <w:t xml:space="preserve"> in four in</w:t>
      </w:r>
      <w:r w:rsidR="00EC7EBF">
        <w:rPr>
          <w:rFonts w:eastAsia="Calibri" w:cs="Arial"/>
          <w:color w:val="000000" w:themeColor="text1"/>
          <w:lang w:eastAsia="en-US"/>
        </w:rPr>
        <w:t>stances.</w:t>
      </w:r>
    </w:p>
    <w:p w14:paraId="5D0243BB" w14:textId="611B6DD4" w:rsidR="000B4835" w:rsidRPr="00CF31E0" w:rsidRDefault="000B4835" w:rsidP="00467EF6">
      <w:pPr>
        <w:numPr>
          <w:ilvl w:val="0"/>
          <w:numId w:val="28"/>
        </w:numPr>
        <w:spacing w:before="120" w:after="120" w:line="360" w:lineRule="auto"/>
        <w:contextualSpacing/>
        <w:jc w:val="both"/>
        <w:rPr>
          <w:rFonts w:eastAsia="Calibri" w:cs="Arial"/>
          <w:color w:val="000000" w:themeColor="text1"/>
          <w:lang w:eastAsia="en-US"/>
        </w:rPr>
      </w:pPr>
      <w:r w:rsidRPr="00CF31E0">
        <w:rPr>
          <w:rFonts w:eastAsia="Calibri" w:cs="Arial"/>
          <w:color w:val="000000" w:themeColor="text1"/>
          <w:lang w:eastAsia="en-US"/>
        </w:rPr>
        <w:t xml:space="preserve">Realization of </w:t>
      </w:r>
      <w:r w:rsidR="00C47DE5">
        <w:rPr>
          <w:rFonts w:eastAsia="Calibri" w:cs="Arial"/>
          <w:color w:val="000000" w:themeColor="text1"/>
          <w:lang w:eastAsia="en-US"/>
        </w:rPr>
        <w:t>voiced</w:t>
      </w:r>
      <w:r w:rsidRPr="00CF31E0">
        <w:rPr>
          <w:rFonts w:eastAsia="Calibri" w:cs="Arial"/>
          <w:color w:val="000000" w:themeColor="text1"/>
          <w:lang w:eastAsia="en-US"/>
        </w:rPr>
        <w:t xml:space="preserve"> /z/, </w:t>
      </w:r>
      <w:r w:rsidR="00C47DE5">
        <w:rPr>
          <w:rFonts w:eastAsia="Calibri" w:cs="Arial"/>
          <w:color w:val="000000" w:themeColor="text1"/>
          <w:lang w:eastAsia="en-US"/>
        </w:rPr>
        <w:t>as a reflex of</w:t>
      </w:r>
      <w:r w:rsidRPr="00CF31E0">
        <w:rPr>
          <w:rFonts w:eastAsia="Calibri" w:cs="Arial"/>
          <w:color w:val="000000" w:themeColor="text1"/>
          <w:lang w:eastAsia="en-US"/>
        </w:rPr>
        <w:t xml:space="preserve"> </w:t>
      </w:r>
      <w:r w:rsidR="001D1C63">
        <w:rPr>
          <w:rFonts w:eastAsia="Calibri" w:cs="Arial"/>
          <w:color w:val="000000" w:themeColor="text1"/>
          <w:lang w:eastAsia="en-US"/>
        </w:rPr>
        <w:t>*</w:t>
      </w:r>
      <w:r w:rsidR="001D1C63" w:rsidRPr="00CF31E0">
        <w:rPr>
          <w:rFonts w:eastAsia="Calibri" w:cs="Arial" w:hint="eastAsia"/>
          <w:color w:val="000000" w:themeColor="text1"/>
          <w:lang w:eastAsia="en-US"/>
        </w:rPr>
        <w:t>ð</w:t>
      </w:r>
      <w:r w:rsidR="001D1C63" w:rsidRPr="00CF31E0" w:rsidDel="00C47DE5">
        <w:rPr>
          <w:rFonts w:eastAsia="Calibri" w:cs="Arial"/>
          <w:color w:val="000000" w:themeColor="text1"/>
          <w:lang w:eastAsia="en-US"/>
        </w:rPr>
        <w:t xml:space="preserve"> </w:t>
      </w:r>
      <w:r w:rsidRPr="00CF31E0">
        <w:rPr>
          <w:rFonts w:eastAsia="Calibri" w:cs="Arial"/>
          <w:color w:val="000000" w:themeColor="text1"/>
          <w:lang w:eastAsia="en-US"/>
        </w:rPr>
        <w:t>, in one instance</w:t>
      </w:r>
      <w:r w:rsidR="00EC7EBF">
        <w:rPr>
          <w:rFonts w:eastAsia="Calibri" w:cs="Arial"/>
          <w:color w:val="000000" w:themeColor="text1"/>
          <w:lang w:eastAsia="en-US"/>
        </w:rPr>
        <w:t>.</w:t>
      </w:r>
    </w:p>
    <w:p w14:paraId="279673C6" w14:textId="63AEE477" w:rsidR="000B4835" w:rsidRPr="00CF31E0" w:rsidRDefault="00F27F59" w:rsidP="00603CB7">
      <w:pPr>
        <w:pStyle w:val="Paragraph"/>
        <w:rPr>
          <w:lang w:eastAsia="en-US"/>
        </w:rPr>
      </w:pPr>
      <w:r w:rsidRPr="00CF31E0">
        <w:rPr>
          <w:lang w:eastAsia="en-US"/>
        </w:rPr>
        <w:t>Voice sample 2: female UBH</w:t>
      </w:r>
      <w:r w:rsidR="000B4835" w:rsidRPr="00CF31E0">
        <w:rPr>
          <w:lang w:eastAsia="en-US"/>
        </w:rPr>
        <w:t xml:space="preserve"> voice sample, with their real surname written on the questionnaire answer sheet.</w:t>
      </w:r>
    </w:p>
    <w:p w14:paraId="51E43AEF" w14:textId="11127686" w:rsidR="000B4835" w:rsidRPr="00CF31E0" w:rsidRDefault="009341A8" w:rsidP="00603CB7">
      <w:pPr>
        <w:pStyle w:val="Paragraph"/>
        <w:rPr>
          <w:lang w:eastAsia="en-US"/>
        </w:rPr>
      </w:pPr>
      <w:r>
        <w:rPr>
          <w:lang w:eastAsia="en-US"/>
        </w:rPr>
        <w:t>Salient phonological features</w:t>
      </w:r>
      <w:r w:rsidR="000B4835" w:rsidRPr="00CF31E0">
        <w:rPr>
          <w:lang w:eastAsia="en-US"/>
        </w:rPr>
        <w:t xml:space="preserve"> for VS2: </w:t>
      </w:r>
    </w:p>
    <w:p w14:paraId="3BB5D205" w14:textId="745142A4" w:rsidR="000B4835" w:rsidRPr="00CF31E0" w:rsidRDefault="000B4835" w:rsidP="00467EF6">
      <w:pPr>
        <w:numPr>
          <w:ilvl w:val="0"/>
          <w:numId w:val="29"/>
        </w:numPr>
        <w:spacing w:before="120" w:after="120" w:line="360" w:lineRule="auto"/>
        <w:contextualSpacing/>
        <w:jc w:val="both"/>
        <w:rPr>
          <w:rFonts w:eastAsia="Calibri" w:cs="Arial"/>
          <w:color w:val="000000" w:themeColor="text1"/>
          <w:lang w:eastAsia="en-US"/>
        </w:rPr>
      </w:pPr>
      <w:r w:rsidRPr="00CF31E0">
        <w:rPr>
          <w:rFonts w:eastAsia="Calibri" w:cs="Arial"/>
          <w:color w:val="000000" w:themeColor="text1"/>
          <w:lang w:eastAsia="en-US"/>
        </w:rPr>
        <w:t xml:space="preserve">Realization of the </w:t>
      </w:r>
      <w:r w:rsidR="001D1C63">
        <w:rPr>
          <w:rFonts w:eastAsia="Calibri" w:cs="Arial"/>
          <w:color w:val="000000" w:themeColor="text1"/>
          <w:lang w:eastAsia="en-US"/>
        </w:rPr>
        <w:t>emphatic</w:t>
      </w:r>
      <w:r w:rsidRPr="00CF31E0">
        <w:rPr>
          <w:rFonts w:eastAsia="Calibri" w:cs="Arial"/>
          <w:color w:val="000000" w:themeColor="text1"/>
          <w:lang w:eastAsia="en-US"/>
        </w:rPr>
        <w:t xml:space="preserve"> /ðˤ/ in two instances</w:t>
      </w:r>
      <w:r w:rsidR="00EC7EBF">
        <w:rPr>
          <w:rFonts w:eastAsia="Calibri" w:cs="Arial"/>
          <w:color w:val="000000" w:themeColor="text1"/>
          <w:lang w:eastAsia="en-US"/>
        </w:rPr>
        <w:t>.</w:t>
      </w:r>
    </w:p>
    <w:p w14:paraId="4946D292" w14:textId="2F249C17" w:rsidR="000B4835" w:rsidRPr="00CF31E0" w:rsidRDefault="00043291" w:rsidP="00043291">
      <w:pPr>
        <w:numPr>
          <w:ilvl w:val="0"/>
          <w:numId w:val="29"/>
        </w:numPr>
        <w:spacing w:before="120" w:after="120" w:line="360" w:lineRule="auto"/>
        <w:contextualSpacing/>
        <w:jc w:val="both"/>
        <w:rPr>
          <w:rFonts w:eastAsia="Calibri" w:cs="Arial"/>
          <w:color w:val="000000" w:themeColor="text1"/>
          <w:lang w:eastAsia="en-US"/>
        </w:rPr>
      </w:pPr>
      <w:r>
        <w:rPr>
          <w:rFonts w:eastAsia="Calibri" w:cs="Arial"/>
          <w:color w:val="000000" w:themeColor="text1"/>
          <w:lang w:eastAsia="en-US"/>
        </w:rPr>
        <w:t>Realization of the trill</w:t>
      </w:r>
      <w:r w:rsidR="000B4835" w:rsidRPr="00CF31E0">
        <w:rPr>
          <w:rFonts w:eastAsia="Calibri" w:cs="Arial"/>
          <w:color w:val="000000" w:themeColor="text1"/>
          <w:lang w:eastAsia="en-US"/>
        </w:rPr>
        <w:t xml:space="preserve"> sound </w:t>
      </w:r>
      <w:r w:rsidRPr="00CF31E0">
        <w:rPr>
          <w:rFonts w:eastAsia="Calibri" w:cs="Arial"/>
          <w:color w:val="000000" w:themeColor="text1"/>
          <w:lang w:eastAsia="en-US"/>
        </w:rPr>
        <w:t xml:space="preserve">/r/ </w:t>
      </w:r>
      <w:r w:rsidR="000B4835" w:rsidRPr="00CF31E0">
        <w:rPr>
          <w:rFonts w:eastAsia="Calibri" w:cs="Arial"/>
          <w:color w:val="000000" w:themeColor="text1"/>
          <w:lang w:eastAsia="en-US"/>
        </w:rPr>
        <w:t>in two instances</w:t>
      </w:r>
      <w:r w:rsidR="00EC7EBF">
        <w:rPr>
          <w:rFonts w:eastAsia="Calibri" w:cs="Arial"/>
          <w:color w:val="000000" w:themeColor="text1"/>
          <w:lang w:eastAsia="en-US"/>
        </w:rPr>
        <w:t>.</w:t>
      </w:r>
    </w:p>
    <w:p w14:paraId="203204B6" w14:textId="6C768B9B" w:rsidR="000B4835" w:rsidRPr="00CF31E0" w:rsidRDefault="000B4835" w:rsidP="00467EF6">
      <w:pPr>
        <w:numPr>
          <w:ilvl w:val="0"/>
          <w:numId w:val="29"/>
        </w:numPr>
        <w:spacing w:before="120" w:after="120" w:line="360" w:lineRule="auto"/>
        <w:contextualSpacing/>
        <w:jc w:val="both"/>
        <w:rPr>
          <w:rFonts w:eastAsia="Calibri" w:cs="Arial"/>
          <w:color w:val="000000" w:themeColor="text1"/>
          <w:lang w:eastAsia="en-US"/>
        </w:rPr>
      </w:pPr>
      <w:r w:rsidRPr="00CF31E0">
        <w:rPr>
          <w:rFonts w:eastAsia="Calibri"/>
          <w:color w:val="000000" w:themeColor="text1"/>
          <w:lang w:val="en-US" w:eastAsia="en-US"/>
        </w:rPr>
        <w:t xml:space="preserve">Realization of the </w:t>
      </w:r>
      <w:r w:rsidR="001D1C63">
        <w:rPr>
          <w:rFonts w:eastAsia="Calibri"/>
          <w:color w:val="000000" w:themeColor="text1"/>
          <w:lang w:val="en-US" w:eastAsia="en-US"/>
        </w:rPr>
        <w:t>voiceless</w:t>
      </w:r>
      <w:r w:rsidRPr="00CF31E0">
        <w:rPr>
          <w:rFonts w:eastAsia="Calibri"/>
          <w:color w:val="000000" w:themeColor="text1"/>
          <w:lang w:val="en-US" w:eastAsia="en-US"/>
        </w:rPr>
        <w:t xml:space="preserve"> /</w:t>
      </w:r>
      <w:r w:rsidRPr="00CF31E0">
        <w:rPr>
          <w:rFonts w:eastAsia="Calibri" w:cs="Arial" w:hint="eastAsia"/>
          <w:color w:val="000000" w:themeColor="text1"/>
          <w:lang w:eastAsia="en-US"/>
        </w:rPr>
        <w:t>θ</w:t>
      </w:r>
      <w:r w:rsidRPr="00CF31E0">
        <w:rPr>
          <w:rFonts w:eastAsia="Calibri" w:cs="Arial"/>
          <w:color w:val="000000" w:themeColor="text1"/>
          <w:lang w:eastAsia="en-US"/>
        </w:rPr>
        <w:t>/</w:t>
      </w:r>
      <w:r w:rsidR="009341A8">
        <w:rPr>
          <w:rFonts w:eastAsia="Calibri" w:cs="Arial"/>
          <w:color w:val="000000" w:themeColor="text1"/>
          <w:lang w:eastAsia="en-US"/>
        </w:rPr>
        <w:t xml:space="preserve"> in one instance</w:t>
      </w:r>
      <w:r w:rsidR="00EC7EBF">
        <w:rPr>
          <w:rFonts w:eastAsia="Calibri" w:cs="Arial"/>
          <w:color w:val="000000" w:themeColor="text1"/>
          <w:lang w:eastAsia="en-US"/>
        </w:rPr>
        <w:t>.</w:t>
      </w:r>
    </w:p>
    <w:p w14:paraId="39EB7FA7" w14:textId="47FE7CA7" w:rsidR="000B4835" w:rsidRPr="00CF31E0" w:rsidRDefault="00F27F59" w:rsidP="00603CB7">
      <w:pPr>
        <w:pStyle w:val="Paragraph"/>
        <w:rPr>
          <w:lang w:eastAsia="en-US"/>
        </w:rPr>
      </w:pPr>
      <w:r w:rsidRPr="00CF31E0">
        <w:rPr>
          <w:lang w:eastAsia="en-US"/>
        </w:rPr>
        <w:t>Voice sample 3: female HH voice sample, with a UBH</w:t>
      </w:r>
      <w:r w:rsidR="000B4835" w:rsidRPr="00CF31E0">
        <w:rPr>
          <w:lang w:eastAsia="en-US"/>
        </w:rPr>
        <w:t xml:space="preserve"> surname (the speaker’s surname was changed).</w:t>
      </w:r>
    </w:p>
    <w:p w14:paraId="1A8CF2BA" w14:textId="7611A584" w:rsidR="000B4835" w:rsidRPr="00CF31E0" w:rsidRDefault="000B4835" w:rsidP="00603CB7">
      <w:pPr>
        <w:pStyle w:val="Paragraph"/>
        <w:rPr>
          <w:lang w:eastAsia="en-US"/>
        </w:rPr>
      </w:pPr>
      <w:r w:rsidRPr="00CF31E0">
        <w:rPr>
          <w:lang w:eastAsia="en-US"/>
        </w:rPr>
        <w:t xml:space="preserve"> </w:t>
      </w:r>
      <w:r w:rsidR="009341A8">
        <w:rPr>
          <w:lang w:eastAsia="en-US"/>
        </w:rPr>
        <w:t>Salient phonological features</w:t>
      </w:r>
      <w:r w:rsidR="009341A8" w:rsidRPr="00CF31E0">
        <w:rPr>
          <w:lang w:eastAsia="en-US"/>
        </w:rPr>
        <w:t xml:space="preserve"> </w:t>
      </w:r>
      <w:r w:rsidRPr="00CF31E0">
        <w:rPr>
          <w:lang w:eastAsia="en-US"/>
        </w:rPr>
        <w:t>for VS3:</w:t>
      </w:r>
    </w:p>
    <w:p w14:paraId="2C4880DE" w14:textId="473E69D9" w:rsidR="000B4835" w:rsidRPr="00CF31E0" w:rsidRDefault="000B4835" w:rsidP="00467EF6">
      <w:pPr>
        <w:numPr>
          <w:ilvl w:val="0"/>
          <w:numId w:val="30"/>
        </w:numPr>
        <w:spacing w:before="120" w:after="120" w:line="360" w:lineRule="auto"/>
        <w:contextualSpacing/>
        <w:jc w:val="both"/>
        <w:rPr>
          <w:rFonts w:eastAsia="Calibri" w:cs="Arial"/>
          <w:color w:val="000000" w:themeColor="text1"/>
          <w:lang w:eastAsia="en-US"/>
        </w:rPr>
      </w:pPr>
      <w:r w:rsidRPr="00CF31E0">
        <w:rPr>
          <w:rFonts w:eastAsia="Calibri" w:cs="Arial"/>
          <w:color w:val="000000" w:themeColor="text1"/>
          <w:lang w:eastAsia="en-US"/>
        </w:rPr>
        <w:t>Realization of the sibilant sound /s/, which is a variant of /</w:t>
      </w:r>
      <w:r w:rsidRPr="00CF31E0">
        <w:rPr>
          <w:rFonts w:eastAsia="Calibri" w:cs="Arial" w:hint="eastAsia"/>
          <w:color w:val="000000" w:themeColor="text1"/>
          <w:lang w:eastAsia="en-US"/>
        </w:rPr>
        <w:t>θ</w:t>
      </w:r>
      <w:r w:rsidRPr="00CF31E0">
        <w:rPr>
          <w:rFonts w:eastAsia="Calibri" w:cs="Arial"/>
          <w:color w:val="000000" w:themeColor="text1"/>
          <w:lang w:eastAsia="en-US"/>
        </w:rPr>
        <w:t>/</w:t>
      </w:r>
      <w:r w:rsidR="009341A8">
        <w:rPr>
          <w:rFonts w:eastAsia="Calibri" w:cs="Arial"/>
          <w:color w:val="000000" w:themeColor="text1"/>
          <w:lang w:eastAsia="en-US"/>
        </w:rPr>
        <w:t xml:space="preserve"> in one instance</w:t>
      </w:r>
      <w:r w:rsidR="00EC7EBF">
        <w:rPr>
          <w:rFonts w:eastAsia="Calibri" w:cs="Arial"/>
          <w:color w:val="000000" w:themeColor="text1"/>
          <w:lang w:eastAsia="en-US"/>
        </w:rPr>
        <w:t>.</w:t>
      </w:r>
    </w:p>
    <w:p w14:paraId="7484A06F" w14:textId="32862B3B" w:rsidR="000B4835" w:rsidRPr="00280C9A" w:rsidRDefault="000B4835" w:rsidP="00EC7EBF">
      <w:pPr>
        <w:numPr>
          <w:ilvl w:val="0"/>
          <w:numId w:val="30"/>
        </w:numPr>
        <w:spacing w:before="120" w:after="120" w:line="360" w:lineRule="auto"/>
        <w:contextualSpacing/>
        <w:jc w:val="both"/>
        <w:rPr>
          <w:rFonts w:eastAsia="Calibri" w:cs="Arial"/>
          <w:color w:val="000000" w:themeColor="text1"/>
          <w:lang w:eastAsia="en-US"/>
        </w:rPr>
      </w:pPr>
      <w:r w:rsidRPr="00280C9A">
        <w:rPr>
          <w:rFonts w:eastAsia="Calibri" w:cs="Arial"/>
          <w:color w:val="000000" w:themeColor="text1"/>
          <w:lang w:eastAsia="en-US"/>
        </w:rPr>
        <w:lastRenderedPageBreak/>
        <w:t xml:space="preserve">Realization of </w:t>
      </w:r>
      <w:r w:rsidR="00FC7BFB" w:rsidRPr="00280C9A">
        <w:rPr>
          <w:rFonts w:eastAsia="Calibri" w:cs="Arial"/>
          <w:color w:val="000000" w:themeColor="text1"/>
          <w:lang w:eastAsia="en-US"/>
        </w:rPr>
        <w:t xml:space="preserve">the </w:t>
      </w:r>
      <w:r w:rsidR="00043291" w:rsidRPr="00280C9A">
        <w:rPr>
          <w:rFonts w:eastAsia="Calibri" w:cs="Arial"/>
          <w:color w:val="000000" w:themeColor="text1"/>
          <w:lang w:eastAsia="en-US"/>
        </w:rPr>
        <w:t xml:space="preserve">flap sound </w:t>
      </w:r>
      <w:r w:rsidR="00280C9A" w:rsidRPr="00280C9A">
        <w:rPr>
          <w:rFonts w:eastAsia="Calibri" w:cs="Arial"/>
          <w:color w:val="000000" w:themeColor="text1"/>
          <w:lang w:eastAsia="en-US"/>
        </w:rPr>
        <w:t>/ɾ/</w:t>
      </w:r>
      <w:r w:rsidRPr="00280C9A">
        <w:rPr>
          <w:rFonts w:eastAsia="Calibri" w:cs="Arial"/>
          <w:color w:val="000000" w:themeColor="text1"/>
          <w:lang w:eastAsia="en-US"/>
        </w:rPr>
        <w:t xml:space="preserve"> in seven in</w:t>
      </w:r>
      <w:r w:rsidR="00EC7EBF">
        <w:rPr>
          <w:rFonts w:eastAsia="Calibri" w:cs="Arial"/>
          <w:color w:val="000000" w:themeColor="text1"/>
          <w:lang w:eastAsia="en-US"/>
        </w:rPr>
        <w:t>stances</w:t>
      </w:r>
      <w:r w:rsidR="00043291" w:rsidRPr="00280C9A">
        <w:rPr>
          <w:rFonts w:eastAsia="Calibri" w:cs="Arial"/>
          <w:color w:val="000000" w:themeColor="text1"/>
          <w:lang w:eastAsia="en-US"/>
        </w:rPr>
        <w:t>.</w:t>
      </w:r>
    </w:p>
    <w:p w14:paraId="1F0BAFB9" w14:textId="5A2481D0" w:rsidR="000B4835" w:rsidRPr="00CF31E0" w:rsidRDefault="000B4835" w:rsidP="00467EF6">
      <w:pPr>
        <w:numPr>
          <w:ilvl w:val="0"/>
          <w:numId w:val="30"/>
        </w:numPr>
        <w:spacing w:before="120" w:after="120" w:line="360" w:lineRule="auto"/>
        <w:contextualSpacing/>
        <w:jc w:val="both"/>
        <w:rPr>
          <w:rFonts w:eastAsia="Calibri" w:cs="Arial"/>
          <w:color w:val="000000" w:themeColor="text1"/>
          <w:lang w:eastAsia="en-US"/>
        </w:rPr>
      </w:pPr>
      <w:r w:rsidRPr="00CF31E0">
        <w:rPr>
          <w:rFonts w:eastAsia="Calibri" w:cs="Arial"/>
          <w:color w:val="000000" w:themeColor="text1"/>
          <w:lang w:eastAsia="en-US"/>
        </w:rPr>
        <w:t xml:space="preserve">Realization of </w:t>
      </w:r>
      <w:r w:rsidR="00FC7BFB" w:rsidRPr="00CF31E0">
        <w:rPr>
          <w:rFonts w:eastAsia="Calibri" w:cs="Arial"/>
          <w:color w:val="000000" w:themeColor="text1"/>
          <w:lang w:eastAsia="en-US"/>
        </w:rPr>
        <w:t xml:space="preserve">the </w:t>
      </w:r>
      <w:r w:rsidR="001D1C63">
        <w:rPr>
          <w:rFonts w:eastAsia="Calibri" w:cs="Arial"/>
          <w:color w:val="000000" w:themeColor="text1"/>
          <w:lang w:eastAsia="en-US"/>
        </w:rPr>
        <w:t>emphatic voiced plosive</w:t>
      </w:r>
      <w:r w:rsidRPr="00CF31E0">
        <w:rPr>
          <w:rFonts w:eastAsia="Calibri" w:cs="Arial"/>
          <w:color w:val="000000" w:themeColor="text1"/>
          <w:lang w:eastAsia="en-US"/>
        </w:rPr>
        <w:t xml:space="preserve"> /dˤ/,</w:t>
      </w:r>
      <w:r w:rsidR="001D1C63">
        <w:rPr>
          <w:rFonts w:eastAsia="Calibri" w:cs="Arial"/>
          <w:color w:val="000000" w:themeColor="text1"/>
          <w:lang w:eastAsia="en-US"/>
        </w:rPr>
        <w:t xml:space="preserve"> as a refl</w:t>
      </w:r>
      <w:r w:rsidR="00D06EC1">
        <w:rPr>
          <w:rFonts w:eastAsia="Calibri" w:cs="Arial"/>
          <w:color w:val="000000" w:themeColor="text1"/>
          <w:lang w:eastAsia="en-US"/>
        </w:rPr>
        <w:t>e</w:t>
      </w:r>
      <w:r w:rsidR="001D1C63">
        <w:rPr>
          <w:rFonts w:eastAsia="Calibri" w:cs="Arial"/>
          <w:color w:val="000000" w:themeColor="text1"/>
          <w:lang w:eastAsia="en-US"/>
        </w:rPr>
        <w:t>x</w:t>
      </w:r>
      <w:r w:rsidRPr="00CF31E0">
        <w:rPr>
          <w:rFonts w:eastAsia="Calibri" w:cs="Arial"/>
          <w:color w:val="000000" w:themeColor="text1"/>
          <w:lang w:eastAsia="en-US"/>
        </w:rPr>
        <w:t xml:space="preserve"> of </w:t>
      </w:r>
      <w:r w:rsidR="001D1C63">
        <w:rPr>
          <w:rFonts w:eastAsia="Calibri" w:cs="Arial"/>
          <w:color w:val="000000" w:themeColor="text1"/>
          <w:lang w:eastAsia="en-US"/>
        </w:rPr>
        <w:t>*</w:t>
      </w:r>
      <w:r w:rsidRPr="00CF31E0">
        <w:rPr>
          <w:rFonts w:eastAsia="Calibri" w:cs="Arial"/>
          <w:color w:val="000000" w:themeColor="text1"/>
          <w:lang w:eastAsia="en-US"/>
        </w:rPr>
        <w:t>ðˤ, in one instance</w:t>
      </w:r>
      <w:r w:rsidR="00EC7EBF">
        <w:rPr>
          <w:rFonts w:eastAsia="Calibri" w:cs="Arial"/>
          <w:color w:val="000000" w:themeColor="text1"/>
          <w:lang w:eastAsia="en-US"/>
        </w:rPr>
        <w:t>.</w:t>
      </w:r>
    </w:p>
    <w:p w14:paraId="0B5D2151" w14:textId="5D5550BB" w:rsidR="000B4835" w:rsidRPr="00CF31E0" w:rsidRDefault="000B4835" w:rsidP="00603CB7">
      <w:pPr>
        <w:numPr>
          <w:ilvl w:val="0"/>
          <w:numId w:val="30"/>
        </w:numPr>
        <w:spacing w:before="120" w:after="240" w:line="360" w:lineRule="auto"/>
        <w:ind w:left="714" w:hanging="357"/>
        <w:jc w:val="both"/>
        <w:rPr>
          <w:rFonts w:eastAsia="Calibri" w:cs="Arial"/>
          <w:color w:val="000000" w:themeColor="text1"/>
          <w:lang w:eastAsia="en-US"/>
        </w:rPr>
      </w:pPr>
      <w:r w:rsidRPr="00CF31E0">
        <w:rPr>
          <w:rFonts w:eastAsia="Calibri"/>
          <w:color w:val="000000" w:themeColor="text1"/>
          <w:lang w:val="en-US" w:eastAsia="en-US"/>
        </w:rPr>
        <w:t>Realization of the fricative alveolar sound /t/ in one instance</w:t>
      </w:r>
      <w:r w:rsidR="00FC7BFB" w:rsidRPr="00CF31E0">
        <w:rPr>
          <w:rFonts w:eastAsia="Calibri"/>
          <w:color w:val="000000" w:themeColor="text1"/>
          <w:lang w:val="en-US" w:eastAsia="en-US"/>
        </w:rPr>
        <w:t>,</w:t>
      </w:r>
      <w:r w:rsidRPr="00CF31E0">
        <w:rPr>
          <w:rFonts w:eastAsia="Calibri"/>
          <w:color w:val="000000" w:themeColor="text1"/>
          <w:lang w:val="en-US" w:eastAsia="en-US"/>
        </w:rPr>
        <w:t xml:space="preserve"> which is a variant of /</w:t>
      </w:r>
      <w:r w:rsidRPr="00CF31E0">
        <w:rPr>
          <w:rFonts w:eastAsia="Calibri" w:cs="Arial" w:hint="eastAsia"/>
          <w:color w:val="000000" w:themeColor="text1"/>
          <w:lang w:eastAsia="en-US"/>
        </w:rPr>
        <w:t>θ</w:t>
      </w:r>
      <w:r w:rsidRPr="00CF31E0">
        <w:rPr>
          <w:rFonts w:eastAsia="Calibri" w:cs="Arial"/>
          <w:color w:val="000000" w:themeColor="text1"/>
          <w:lang w:eastAsia="en-US"/>
        </w:rPr>
        <w:t>/</w:t>
      </w:r>
      <w:r w:rsidR="00EC7EBF">
        <w:rPr>
          <w:rFonts w:eastAsia="Calibri" w:cs="Arial"/>
          <w:color w:val="000000" w:themeColor="text1"/>
          <w:lang w:eastAsia="en-US"/>
        </w:rPr>
        <w:t>.</w:t>
      </w:r>
    </w:p>
    <w:p w14:paraId="0ED3DD59" w14:textId="4B9ECC45" w:rsidR="000B4835" w:rsidRPr="00CF31E0" w:rsidRDefault="00F27F59" w:rsidP="00603CB7">
      <w:pPr>
        <w:pStyle w:val="Paragraph"/>
        <w:rPr>
          <w:lang w:eastAsia="en-US"/>
        </w:rPr>
      </w:pPr>
      <w:r w:rsidRPr="00CF31E0">
        <w:rPr>
          <w:lang w:eastAsia="en-US"/>
        </w:rPr>
        <w:t>Voice sample 4: female UBH</w:t>
      </w:r>
      <w:r w:rsidR="000B4835" w:rsidRPr="00CF31E0">
        <w:rPr>
          <w:lang w:eastAsia="en-US"/>
        </w:rPr>
        <w:t xml:space="preserve"> voice sample, </w:t>
      </w:r>
      <w:r w:rsidRPr="00CF31E0">
        <w:rPr>
          <w:lang w:eastAsia="en-US"/>
        </w:rPr>
        <w:t>with a HH</w:t>
      </w:r>
      <w:r w:rsidR="000B4835" w:rsidRPr="00CF31E0">
        <w:rPr>
          <w:lang w:eastAsia="en-US"/>
        </w:rPr>
        <w:t xml:space="preserve"> surname (the speaker’s surname was changed).</w:t>
      </w:r>
    </w:p>
    <w:p w14:paraId="70DF464B" w14:textId="1DB1B57D" w:rsidR="000B4835" w:rsidRPr="00CF31E0" w:rsidRDefault="009341A8" w:rsidP="00603CB7">
      <w:pPr>
        <w:pStyle w:val="Paragraph"/>
        <w:rPr>
          <w:lang w:eastAsia="en-US"/>
        </w:rPr>
      </w:pPr>
      <w:r>
        <w:rPr>
          <w:lang w:eastAsia="en-US"/>
        </w:rPr>
        <w:t>Salient phonological features</w:t>
      </w:r>
      <w:r w:rsidR="000B4835" w:rsidRPr="00CF31E0">
        <w:rPr>
          <w:lang w:eastAsia="en-US"/>
        </w:rPr>
        <w:t xml:space="preserve"> for VS4</w:t>
      </w:r>
      <w:r w:rsidR="00AC7DA5" w:rsidRPr="00CF31E0">
        <w:rPr>
          <w:lang w:eastAsia="en-US"/>
        </w:rPr>
        <w:t>:</w:t>
      </w:r>
    </w:p>
    <w:p w14:paraId="40989678" w14:textId="2D06F70B" w:rsidR="000B4835" w:rsidRPr="00CF31E0" w:rsidRDefault="000B4835" w:rsidP="00467EF6">
      <w:pPr>
        <w:numPr>
          <w:ilvl w:val="0"/>
          <w:numId w:val="29"/>
        </w:numPr>
        <w:spacing w:before="120" w:after="120" w:line="360" w:lineRule="auto"/>
        <w:contextualSpacing/>
        <w:jc w:val="both"/>
        <w:rPr>
          <w:rFonts w:eastAsia="Calibri" w:cs="Arial"/>
          <w:color w:val="000000" w:themeColor="text1"/>
          <w:lang w:eastAsia="en-US"/>
        </w:rPr>
      </w:pPr>
      <w:r w:rsidRPr="00CF31E0">
        <w:rPr>
          <w:rFonts w:eastAsia="Calibri" w:cs="Arial"/>
          <w:color w:val="000000" w:themeColor="text1"/>
          <w:lang w:eastAsia="en-US"/>
        </w:rPr>
        <w:t>Realization of the fricative dental sound /ðˤ/ in one instance</w:t>
      </w:r>
      <w:r w:rsidR="00EC7EBF">
        <w:rPr>
          <w:rFonts w:eastAsia="Calibri" w:cs="Arial"/>
          <w:color w:val="000000" w:themeColor="text1"/>
          <w:lang w:eastAsia="en-US"/>
        </w:rPr>
        <w:t>.</w:t>
      </w:r>
    </w:p>
    <w:p w14:paraId="38D150BC" w14:textId="7F40240E" w:rsidR="000B4835" w:rsidRPr="009341A8" w:rsidRDefault="00043291" w:rsidP="00467EF6">
      <w:pPr>
        <w:numPr>
          <w:ilvl w:val="0"/>
          <w:numId w:val="29"/>
        </w:numPr>
        <w:spacing w:before="120" w:after="120" w:line="360" w:lineRule="auto"/>
        <w:contextualSpacing/>
        <w:jc w:val="both"/>
        <w:rPr>
          <w:rFonts w:eastAsia="Calibri" w:cs="Arial"/>
          <w:color w:val="000000" w:themeColor="text1"/>
          <w:lang w:eastAsia="en-US"/>
        </w:rPr>
      </w:pPr>
      <w:r w:rsidRPr="009341A8">
        <w:rPr>
          <w:rFonts w:eastAsia="Calibri" w:cs="Arial"/>
          <w:color w:val="000000" w:themeColor="text1"/>
          <w:lang w:eastAsia="en-US"/>
        </w:rPr>
        <w:t xml:space="preserve">Realization of the trill sound </w:t>
      </w:r>
      <w:r w:rsidR="009341A8">
        <w:rPr>
          <w:rFonts w:eastAsia="Calibri" w:cs="Arial"/>
          <w:color w:val="000000" w:themeColor="text1"/>
          <w:lang w:eastAsia="en-US"/>
        </w:rPr>
        <w:t>/r/</w:t>
      </w:r>
      <w:r w:rsidR="000B4835" w:rsidRPr="009341A8">
        <w:rPr>
          <w:rFonts w:eastAsia="Calibri" w:cs="Arial"/>
          <w:color w:val="000000" w:themeColor="text1"/>
          <w:lang w:eastAsia="en-US"/>
        </w:rPr>
        <w:t xml:space="preserve"> in three instances</w:t>
      </w:r>
      <w:r w:rsidR="00EC7EBF">
        <w:rPr>
          <w:rFonts w:eastAsia="Calibri" w:cs="Arial"/>
          <w:color w:val="000000" w:themeColor="text1"/>
          <w:lang w:eastAsia="en-US"/>
        </w:rPr>
        <w:t>.</w:t>
      </w:r>
    </w:p>
    <w:p w14:paraId="51131FA7" w14:textId="5AB41CBA" w:rsidR="000B4835" w:rsidRPr="00CF31E0" w:rsidRDefault="000B4835" w:rsidP="00603CB7">
      <w:pPr>
        <w:numPr>
          <w:ilvl w:val="0"/>
          <w:numId w:val="29"/>
        </w:numPr>
        <w:spacing w:before="120" w:after="240" w:line="360" w:lineRule="auto"/>
        <w:ind w:left="714" w:hanging="357"/>
        <w:jc w:val="both"/>
        <w:rPr>
          <w:rFonts w:eastAsia="Calibri" w:cs="Arial"/>
          <w:color w:val="000000" w:themeColor="text1"/>
          <w:lang w:eastAsia="en-US"/>
        </w:rPr>
      </w:pPr>
      <w:r w:rsidRPr="00CF31E0">
        <w:rPr>
          <w:rFonts w:eastAsia="Calibri"/>
          <w:color w:val="000000" w:themeColor="text1"/>
          <w:lang w:val="en-US" w:eastAsia="en-US"/>
        </w:rPr>
        <w:t>Realization of the fricative dental sound /</w:t>
      </w:r>
      <w:r w:rsidRPr="00CF31E0">
        <w:rPr>
          <w:rFonts w:eastAsia="Calibri" w:cs="Arial" w:hint="eastAsia"/>
          <w:color w:val="000000" w:themeColor="text1"/>
          <w:lang w:eastAsia="en-US"/>
        </w:rPr>
        <w:t>ð</w:t>
      </w:r>
      <w:r w:rsidRPr="00CF31E0">
        <w:rPr>
          <w:rFonts w:eastAsia="Calibri" w:cs="Arial"/>
          <w:color w:val="000000" w:themeColor="text1"/>
          <w:lang w:eastAsia="en-US"/>
        </w:rPr>
        <w:t>/ in two instances</w:t>
      </w:r>
      <w:r w:rsidR="00EC7EBF">
        <w:rPr>
          <w:rFonts w:eastAsia="Calibri" w:cs="Arial"/>
          <w:color w:val="000000" w:themeColor="text1"/>
          <w:lang w:eastAsia="en-US"/>
        </w:rPr>
        <w:t>.</w:t>
      </w:r>
    </w:p>
    <w:p w14:paraId="7D344D77" w14:textId="5B093AF4" w:rsidR="000B4835" w:rsidRPr="00CF31E0" w:rsidRDefault="00F27F59" w:rsidP="00603CB7">
      <w:pPr>
        <w:pStyle w:val="Paragraph"/>
        <w:rPr>
          <w:lang w:eastAsia="en-US"/>
        </w:rPr>
      </w:pPr>
      <w:r w:rsidRPr="00CF31E0">
        <w:rPr>
          <w:lang w:eastAsia="en-US"/>
        </w:rPr>
        <w:t>Voice sample 5: male HH</w:t>
      </w:r>
      <w:r w:rsidR="000B4835" w:rsidRPr="00CF31E0">
        <w:rPr>
          <w:lang w:eastAsia="en-US"/>
        </w:rPr>
        <w:t xml:space="preserve"> voi</w:t>
      </w:r>
      <w:r w:rsidRPr="00CF31E0">
        <w:rPr>
          <w:lang w:eastAsia="en-US"/>
        </w:rPr>
        <w:t>ce sample (imitating the UBH dialect), with a HH</w:t>
      </w:r>
      <w:r w:rsidR="000B4835" w:rsidRPr="00CF31E0">
        <w:rPr>
          <w:lang w:eastAsia="en-US"/>
        </w:rPr>
        <w:t xml:space="preserve"> surname.</w:t>
      </w:r>
    </w:p>
    <w:p w14:paraId="5A8CCC09" w14:textId="7315D55A" w:rsidR="000B4835" w:rsidRPr="00CF31E0" w:rsidRDefault="000B4835" w:rsidP="00603CB7">
      <w:pPr>
        <w:pStyle w:val="Paragraph"/>
        <w:rPr>
          <w:lang w:eastAsia="en-US"/>
        </w:rPr>
      </w:pPr>
      <w:r w:rsidRPr="00CF31E0">
        <w:rPr>
          <w:lang w:eastAsia="en-US"/>
        </w:rPr>
        <w:t xml:space="preserve"> </w:t>
      </w:r>
      <w:r w:rsidR="009341A8">
        <w:rPr>
          <w:lang w:eastAsia="en-US"/>
        </w:rPr>
        <w:t>Salient phonological features</w:t>
      </w:r>
      <w:r w:rsidR="009341A8" w:rsidRPr="00CF31E0">
        <w:rPr>
          <w:lang w:eastAsia="en-US"/>
        </w:rPr>
        <w:t xml:space="preserve"> </w:t>
      </w:r>
      <w:r w:rsidRPr="00CF31E0">
        <w:rPr>
          <w:lang w:eastAsia="en-US"/>
        </w:rPr>
        <w:t>for VS5:</w:t>
      </w:r>
    </w:p>
    <w:p w14:paraId="667C4E35" w14:textId="4ABEFE49" w:rsidR="000B4835" w:rsidRPr="00CF31E0" w:rsidRDefault="000B4835" w:rsidP="00467EF6">
      <w:pPr>
        <w:numPr>
          <w:ilvl w:val="0"/>
          <w:numId w:val="29"/>
        </w:numPr>
        <w:spacing w:before="120" w:after="120" w:line="360" w:lineRule="auto"/>
        <w:contextualSpacing/>
        <w:jc w:val="both"/>
        <w:rPr>
          <w:rFonts w:eastAsia="Calibri" w:cs="Arial"/>
          <w:color w:val="000000" w:themeColor="text1"/>
          <w:lang w:eastAsia="en-US"/>
        </w:rPr>
      </w:pPr>
      <w:r w:rsidRPr="00CF31E0">
        <w:rPr>
          <w:rFonts w:eastAsia="Calibri"/>
          <w:color w:val="000000" w:themeColor="text1"/>
          <w:lang w:val="en-US" w:eastAsia="en-US"/>
        </w:rPr>
        <w:t>Realization of the fricative dental sound /</w:t>
      </w:r>
      <w:r w:rsidRPr="00CF31E0">
        <w:rPr>
          <w:rFonts w:eastAsia="Calibri" w:cs="Arial" w:hint="eastAsia"/>
          <w:color w:val="000000" w:themeColor="text1"/>
          <w:lang w:eastAsia="en-US"/>
        </w:rPr>
        <w:t>θ</w:t>
      </w:r>
      <w:r w:rsidRPr="00CF31E0">
        <w:rPr>
          <w:rFonts w:eastAsia="Calibri" w:cs="Arial"/>
          <w:color w:val="000000" w:themeColor="text1"/>
          <w:lang w:eastAsia="en-US"/>
        </w:rPr>
        <w:t>/ in one instance</w:t>
      </w:r>
      <w:r w:rsidR="00EC7EBF">
        <w:rPr>
          <w:rFonts w:eastAsia="Calibri" w:cs="Arial"/>
          <w:color w:val="000000" w:themeColor="text1"/>
          <w:lang w:eastAsia="en-US"/>
        </w:rPr>
        <w:t>.</w:t>
      </w:r>
    </w:p>
    <w:p w14:paraId="49D13865" w14:textId="1C2E13E2" w:rsidR="000B4835" w:rsidRPr="00CF31E0" w:rsidRDefault="000B4835" w:rsidP="00603CB7">
      <w:pPr>
        <w:numPr>
          <w:ilvl w:val="0"/>
          <w:numId w:val="29"/>
        </w:numPr>
        <w:spacing w:before="120" w:after="240" w:line="360" w:lineRule="auto"/>
        <w:ind w:left="714" w:hanging="357"/>
        <w:jc w:val="both"/>
        <w:rPr>
          <w:rFonts w:eastAsia="Calibri" w:cs="Arial"/>
          <w:color w:val="000000" w:themeColor="text1"/>
          <w:lang w:eastAsia="en-US"/>
        </w:rPr>
      </w:pPr>
      <w:r w:rsidRPr="00CF31E0">
        <w:rPr>
          <w:rFonts w:eastAsia="Calibri"/>
          <w:color w:val="000000" w:themeColor="text1"/>
          <w:lang w:val="en-US" w:eastAsia="en-US"/>
        </w:rPr>
        <w:t>Realization of the fricative dental sound /</w:t>
      </w:r>
      <w:r w:rsidRPr="00CF31E0">
        <w:rPr>
          <w:rFonts w:eastAsia="Calibri" w:cs="Arial" w:hint="eastAsia"/>
          <w:color w:val="000000" w:themeColor="text1"/>
          <w:lang w:eastAsia="en-US"/>
        </w:rPr>
        <w:t>ð</w:t>
      </w:r>
      <w:r w:rsidRPr="00CF31E0">
        <w:rPr>
          <w:rFonts w:eastAsia="Calibri" w:cs="Arial"/>
          <w:color w:val="000000" w:themeColor="text1"/>
          <w:lang w:eastAsia="en-US"/>
        </w:rPr>
        <w:t>/ in one instance</w:t>
      </w:r>
      <w:r w:rsidR="00EC7EBF">
        <w:rPr>
          <w:rFonts w:eastAsia="Calibri" w:cs="Arial"/>
          <w:color w:val="000000" w:themeColor="text1"/>
          <w:lang w:eastAsia="en-US"/>
        </w:rPr>
        <w:t>.</w:t>
      </w:r>
    </w:p>
    <w:p w14:paraId="7A6D5F2B" w14:textId="7FDE0C07" w:rsidR="000B4835" w:rsidRPr="00CF31E0" w:rsidRDefault="000B4835" w:rsidP="00603CB7">
      <w:pPr>
        <w:pStyle w:val="Paragraph"/>
        <w:rPr>
          <w:lang w:eastAsia="en-US"/>
        </w:rPr>
      </w:pPr>
      <w:r w:rsidRPr="00CF31E0">
        <w:rPr>
          <w:lang w:eastAsia="en-US"/>
        </w:rPr>
        <w:t xml:space="preserve">In the following I will present the results of </w:t>
      </w:r>
      <w:r w:rsidR="00BB23EF" w:rsidRPr="00CF31E0">
        <w:rPr>
          <w:lang w:eastAsia="en-US"/>
        </w:rPr>
        <w:t>VS1</w:t>
      </w:r>
      <w:r w:rsidR="00033BBC" w:rsidRPr="00CF31E0">
        <w:rPr>
          <w:lang w:eastAsia="en-US"/>
        </w:rPr>
        <w:t xml:space="preserve"> and VS3</w:t>
      </w:r>
      <w:r w:rsidRPr="00CF31E0">
        <w:rPr>
          <w:lang w:eastAsia="en-US"/>
        </w:rPr>
        <w:t xml:space="preserve">; both speakers in the </w:t>
      </w:r>
      <w:r w:rsidR="00033BBC" w:rsidRPr="00CF31E0">
        <w:rPr>
          <w:lang w:eastAsia="en-US"/>
        </w:rPr>
        <w:t>experiments were from the HH</w:t>
      </w:r>
      <w:r w:rsidRPr="00CF31E0">
        <w:rPr>
          <w:lang w:eastAsia="en-US"/>
        </w:rPr>
        <w:t xml:space="preserve"> social group. It should be noted that in the first sample participants were exposed to a real surname, while in the </w:t>
      </w:r>
      <w:r w:rsidR="00033BBC" w:rsidRPr="00CF31E0">
        <w:rPr>
          <w:lang w:eastAsia="en-US"/>
        </w:rPr>
        <w:t>third sample</w:t>
      </w:r>
      <w:r w:rsidRPr="00CF31E0">
        <w:rPr>
          <w:lang w:eastAsia="en-US"/>
        </w:rPr>
        <w:t xml:space="preserve"> the same participants were exposed to a manipulated surname. </w:t>
      </w:r>
    </w:p>
    <w:p w14:paraId="50E8E4B7" w14:textId="7DCCBB8E" w:rsidR="000B4835" w:rsidRPr="00CF31E0" w:rsidRDefault="000B4835" w:rsidP="00603CB7">
      <w:pPr>
        <w:pStyle w:val="Paragraph"/>
        <w:rPr>
          <w:lang w:eastAsia="en-US"/>
        </w:rPr>
      </w:pPr>
      <w:r w:rsidRPr="00CF31E0">
        <w:rPr>
          <w:lang w:eastAsia="en-US"/>
        </w:rPr>
        <w:t>Following this, I will present</w:t>
      </w:r>
      <w:r w:rsidR="00033BBC" w:rsidRPr="00CF31E0">
        <w:rPr>
          <w:lang w:eastAsia="en-US"/>
        </w:rPr>
        <w:t xml:space="preserve"> the results of VS2 and VS4</w:t>
      </w:r>
      <w:r w:rsidRPr="00CF31E0">
        <w:rPr>
          <w:lang w:eastAsia="en-US"/>
        </w:rPr>
        <w:t>; both speakers in the e</w:t>
      </w:r>
      <w:r w:rsidR="00C501C2" w:rsidRPr="00CF31E0">
        <w:rPr>
          <w:lang w:eastAsia="en-US"/>
        </w:rPr>
        <w:t>xperiments were from the UBH</w:t>
      </w:r>
      <w:r w:rsidRPr="00CF31E0">
        <w:rPr>
          <w:lang w:eastAsia="en-US"/>
        </w:rPr>
        <w:t xml:space="preserve"> social group. These participants were also exposed to real and manipulated surnames, as above. </w:t>
      </w:r>
    </w:p>
    <w:p w14:paraId="119B1022" w14:textId="39D743A5" w:rsidR="000B4835" w:rsidRPr="00CF31E0" w:rsidRDefault="000B4835" w:rsidP="00603CB7">
      <w:pPr>
        <w:pStyle w:val="Paragraph"/>
        <w:rPr>
          <w:lang w:eastAsia="en-US"/>
        </w:rPr>
      </w:pPr>
      <w:r w:rsidRPr="00CF31E0">
        <w:rPr>
          <w:lang w:eastAsia="en-US"/>
        </w:rPr>
        <w:t xml:space="preserve">Finally, I will present </w:t>
      </w:r>
      <w:r w:rsidR="00033BBC" w:rsidRPr="00CF31E0">
        <w:rPr>
          <w:lang w:eastAsia="en-US"/>
        </w:rPr>
        <w:t>the results for VS5</w:t>
      </w:r>
      <w:r w:rsidRPr="00CF31E0">
        <w:rPr>
          <w:lang w:eastAsia="en-US"/>
        </w:rPr>
        <w:t xml:space="preserve"> separately as different test conditions applied to this sample. Here, the focus of manipulation was a linguistic factor (the speaker’s dialect) rather than a metalinguistic factor (the speaker’s surname).</w:t>
      </w:r>
    </w:p>
    <w:p w14:paraId="52D08020" w14:textId="08B29089" w:rsidR="000B4835" w:rsidRPr="00CF31E0" w:rsidRDefault="00542E3D" w:rsidP="00542E3D">
      <w:pPr>
        <w:pStyle w:val="Bhead"/>
      </w:pPr>
      <w:bookmarkStart w:id="763" w:name="_Toc6472772"/>
      <w:r w:rsidRPr="00CF31E0">
        <w:lastRenderedPageBreak/>
        <w:t>11</w:t>
      </w:r>
      <w:r w:rsidR="000B4835" w:rsidRPr="00CF31E0">
        <w:t>.2.1.</w:t>
      </w:r>
      <w:r w:rsidR="00B36FA3" w:rsidRPr="00CF31E0">
        <w:tab/>
      </w:r>
      <w:r w:rsidR="000B4835" w:rsidRPr="00CF31E0">
        <w:t>Voice sample 1 allocation task results</w:t>
      </w:r>
      <w:bookmarkEnd w:id="763"/>
      <w:r w:rsidR="000B4835" w:rsidRPr="00CF31E0">
        <w:t xml:space="preserve"> </w:t>
      </w:r>
    </w:p>
    <w:p w14:paraId="23D033A1" w14:textId="7E7635A8" w:rsidR="000B4835" w:rsidRPr="00CF31E0" w:rsidRDefault="000B4835" w:rsidP="00603CB7">
      <w:pPr>
        <w:pStyle w:val="Paragraph"/>
        <w:rPr>
          <w:lang w:eastAsia="en-US"/>
        </w:rPr>
      </w:pPr>
      <w:r w:rsidRPr="00CF31E0">
        <w:rPr>
          <w:lang w:eastAsia="en-US"/>
        </w:rPr>
        <w:t xml:space="preserve">In VS1, participants listened to a </w:t>
      </w:r>
      <w:r w:rsidR="00033BBC" w:rsidRPr="00CF31E0">
        <w:rPr>
          <w:lang w:eastAsia="en-US"/>
        </w:rPr>
        <w:t>voice recording of a real HH</w:t>
      </w:r>
      <w:r w:rsidRPr="00CF31E0">
        <w:rPr>
          <w:lang w:eastAsia="en-US"/>
        </w:rPr>
        <w:t xml:space="preserve"> speaker. The results revealed that a large number of participants were able to correctly identify the original social group of the speaker; see Table </w:t>
      </w:r>
      <w:r w:rsidR="00542E3D" w:rsidRPr="00CF31E0">
        <w:rPr>
          <w:lang w:eastAsia="en-US"/>
        </w:rPr>
        <w:t>11</w:t>
      </w:r>
      <w:r w:rsidR="00FC7BFB" w:rsidRPr="00CF31E0">
        <w:rPr>
          <w:lang w:eastAsia="en-US"/>
        </w:rPr>
        <w:t>.</w:t>
      </w:r>
      <w:r w:rsidR="00542E3D" w:rsidRPr="00CF31E0">
        <w:rPr>
          <w:lang w:eastAsia="en-US"/>
        </w:rPr>
        <w:t>2</w:t>
      </w:r>
      <w:r w:rsidRPr="00CF31E0">
        <w:rPr>
          <w:lang w:eastAsia="en-US"/>
        </w:rPr>
        <w:t>.</w:t>
      </w:r>
    </w:p>
    <w:tbl>
      <w:tblPr>
        <w:tblW w:w="0" w:type="auto"/>
        <w:tblBorders>
          <w:top w:val="single" w:sz="4" w:space="0" w:color="000000"/>
          <w:bottom w:val="single" w:sz="4" w:space="0" w:color="000000"/>
        </w:tblBorders>
        <w:tblLook w:val="0000" w:firstRow="0" w:lastRow="0" w:firstColumn="0" w:lastColumn="0" w:noHBand="0" w:noVBand="0"/>
      </w:tblPr>
      <w:tblGrid>
        <w:gridCol w:w="3652"/>
        <w:gridCol w:w="1276"/>
      </w:tblGrid>
      <w:tr w:rsidR="007F558A" w:rsidRPr="00CF31E0" w14:paraId="0AEF2540" w14:textId="77777777" w:rsidTr="00603CB7">
        <w:trPr>
          <w:cantSplit/>
        </w:trPr>
        <w:tc>
          <w:tcPr>
            <w:tcW w:w="3652" w:type="dxa"/>
            <w:tcBorders>
              <w:top w:val="single" w:sz="4" w:space="0" w:color="000000"/>
              <w:bottom w:val="single" w:sz="4" w:space="0" w:color="000000"/>
            </w:tcBorders>
          </w:tcPr>
          <w:p w14:paraId="05595F77" w14:textId="77777777" w:rsidR="000B4835" w:rsidRPr="00CF31E0" w:rsidRDefault="000B4835"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The allocation result</w:t>
            </w:r>
          </w:p>
        </w:tc>
        <w:tc>
          <w:tcPr>
            <w:tcW w:w="1276" w:type="dxa"/>
            <w:tcBorders>
              <w:top w:val="single" w:sz="4" w:space="0" w:color="000000"/>
              <w:bottom w:val="single" w:sz="4" w:space="0" w:color="000000"/>
            </w:tcBorders>
          </w:tcPr>
          <w:p w14:paraId="50AFFFA4" w14:textId="77777777" w:rsidR="000B4835" w:rsidRPr="00CF31E0" w:rsidRDefault="000B4835" w:rsidP="00C54384">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Number</w:t>
            </w:r>
          </w:p>
        </w:tc>
      </w:tr>
      <w:tr w:rsidR="007F558A" w:rsidRPr="00CF31E0" w14:paraId="72BC3E0E" w14:textId="77777777" w:rsidTr="00603CB7">
        <w:trPr>
          <w:cantSplit/>
          <w:trHeight w:val="645"/>
        </w:trPr>
        <w:tc>
          <w:tcPr>
            <w:tcW w:w="3652" w:type="dxa"/>
            <w:tcBorders>
              <w:top w:val="single" w:sz="4" w:space="0" w:color="000000"/>
              <w:bottom w:val="nil"/>
            </w:tcBorders>
          </w:tcPr>
          <w:p w14:paraId="1374C698" w14:textId="681FD7E6" w:rsidR="000B4835" w:rsidRPr="00CF31E0" w:rsidRDefault="00C501C2" w:rsidP="00C54384">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UBH</w:t>
            </w:r>
            <w:r w:rsidR="000B4835" w:rsidRPr="00CF31E0">
              <w:rPr>
                <w:rFonts w:eastAsia="Calibri"/>
                <w:color w:val="000000" w:themeColor="text1"/>
                <w:sz w:val="22"/>
                <w:szCs w:val="22"/>
                <w:lang w:eastAsia="en-US"/>
              </w:rPr>
              <w:t xml:space="preserve"> social group</w:t>
            </w:r>
          </w:p>
        </w:tc>
        <w:tc>
          <w:tcPr>
            <w:tcW w:w="1276" w:type="dxa"/>
            <w:tcBorders>
              <w:top w:val="single" w:sz="4" w:space="0" w:color="000000"/>
              <w:bottom w:val="nil"/>
            </w:tcBorders>
          </w:tcPr>
          <w:p w14:paraId="01F36D7E" w14:textId="2425DB33" w:rsidR="000B4835" w:rsidRPr="00CF31E0" w:rsidRDefault="008A0892" w:rsidP="00C54384">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   </w:t>
            </w:r>
            <w:r w:rsidR="000B4835" w:rsidRPr="00CF31E0">
              <w:rPr>
                <w:rFonts w:eastAsia="Calibri"/>
                <w:color w:val="000000" w:themeColor="text1"/>
                <w:sz w:val="22"/>
                <w:szCs w:val="22"/>
                <w:lang w:eastAsia="en-US"/>
              </w:rPr>
              <w:t>9</w:t>
            </w:r>
          </w:p>
        </w:tc>
      </w:tr>
      <w:tr w:rsidR="007F558A" w:rsidRPr="00CF31E0" w14:paraId="7214B5EE" w14:textId="77777777" w:rsidTr="00603CB7">
        <w:trPr>
          <w:cantSplit/>
          <w:trHeight w:val="645"/>
        </w:trPr>
        <w:tc>
          <w:tcPr>
            <w:tcW w:w="3652" w:type="dxa"/>
            <w:tcBorders>
              <w:top w:val="nil"/>
            </w:tcBorders>
          </w:tcPr>
          <w:p w14:paraId="3AA5A3A3" w14:textId="38CFAFD6" w:rsidR="000B4835" w:rsidRPr="00CF31E0" w:rsidRDefault="00C501C2" w:rsidP="00C54384">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HH</w:t>
            </w:r>
            <w:r w:rsidR="000B4835" w:rsidRPr="00CF31E0">
              <w:rPr>
                <w:rFonts w:eastAsia="Calibri"/>
                <w:color w:val="000000" w:themeColor="text1"/>
                <w:sz w:val="22"/>
                <w:szCs w:val="22"/>
                <w:lang w:eastAsia="en-US"/>
              </w:rPr>
              <w:t xml:space="preserve"> social group</w:t>
            </w:r>
          </w:p>
        </w:tc>
        <w:tc>
          <w:tcPr>
            <w:tcW w:w="1276" w:type="dxa"/>
            <w:tcBorders>
              <w:top w:val="nil"/>
            </w:tcBorders>
          </w:tcPr>
          <w:p w14:paraId="7F837B0E" w14:textId="620612FB" w:rsidR="000B4835" w:rsidRPr="00CF31E0" w:rsidRDefault="000B4835" w:rsidP="00C54384">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6</w:t>
            </w:r>
            <w:r w:rsidR="008A2731" w:rsidRPr="00CF31E0">
              <w:rPr>
                <w:rFonts w:eastAsia="Calibri"/>
                <w:color w:val="000000" w:themeColor="text1"/>
                <w:sz w:val="22"/>
                <w:szCs w:val="22"/>
                <w:lang w:eastAsia="en-US"/>
              </w:rPr>
              <w:t>40</w:t>
            </w:r>
          </w:p>
        </w:tc>
      </w:tr>
    </w:tbl>
    <w:p w14:paraId="5479E599" w14:textId="058B9BF4" w:rsidR="000B4835" w:rsidRPr="00CF31E0" w:rsidRDefault="000B4835" w:rsidP="00E96074">
      <w:pPr>
        <w:pStyle w:val="Tablecaption"/>
        <w:rPr>
          <w:lang w:eastAsia="en-US"/>
        </w:rPr>
      </w:pPr>
      <w:bookmarkStart w:id="764" w:name="_Toc522527465"/>
      <w:bookmarkStart w:id="765" w:name="_Toc522628878"/>
      <w:bookmarkStart w:id="766" w:name="_Toc522629042"/>
      <w:bookmarkStart w:id="767" w:name="_Toc6473140"/>
      <w:r w:rsidRPr="00CF31E0">
        <w:rPr>
          <w:lang w:eastAsia="en-US"/>
        </w:rPr>
        <w:t xml:space="preserve">Table </w:t>
      </w:r>
      <w:r w:rsidR="00542E3D" w:rsidRPr="00CF31E0">
        <w:rPr>
          <w:lang w:eastAsia="en-US"/>
        </w:rPr>
        <w:t>11</w:t>
      </w:r>
      <w:r w:rsidR="00FC7BFB" w:rsidRPr="00CF31E0">
        <w:rPr>
          <w:lang w:eastAsia="en-US"/>
        </w:rPr>
        <w:t>.</w:t>
      </w:r>
      <w:r w:rsidR="00542E3D" w:rsidRPr="00CF31E0">
        <w:rPr>
          <w:lang w:eastAsia="en-US"/>
        </w:rPr>
        <w:t>2</w:t>
      </w:r>
      <w:r w:rsidRPr="00CF31E0">
        <w:rPr>
          <w:lang w:eastAsia="en-US"/>
        </w:rPr>
        <w:t xml:space="preserve">: Voice allocation results for </w:t>
      </w:r>
      <w:r w:rsidR="00BE24A5" w:rsidRPr="00CF31E0">
        <w:rPr>
          <w:lang w:eastAsia="en-US"/>
        </w:rPr>
        <w:t>voice sample 1</w:t>
      </w:r>
      <w:r w:rsidRPr="00CF31E0">
        <w:rPr>
          <w:lang w:eastAsia="en-US"/>
        </w:rPr>
        <w:t>.</w:t>
      </w:r>
      <w:bookmarkEnd w:id="764"/>
      <w:bookmarkEnd w:id="765"/>
      <w:bookmarkEnd w:id="766"/>
      <w:bookmarkEnd w:id="767"/>
    </w:p>
    <w:p w14:paraId="636A01A3" w14:textId="300C9539" w:rsidR="000B4835" w:rsidRPr="00CF31E0" w:rsidRDefault="000B4835" w:rsidP="00603CB7">
      <w:pPr>
        <w:pStyle w:val="Paragraph"/>
        <w:rPr>
          <w:lang w:eastAsia="en-US"/>
        </w:rPr>
      </w:pPr>
      <w:r w:rsidRPr="00CF31E0">
        <w:rPr>
          <w:lang w:eastAsia="en-US"/>
        </w:rPr>
        <w:t>As can b</w:t>
      </w:r>
      <w:r w:rsidR="008A2731" w:rsidRPr="00CF31E0">
        <w:rPr>
          <w:lang w:eastAsia="en-US"/>
        </w:rPr>
        <w:t>e seen from the above table, 640</w:t>
      </w:r>
      <w:r w:rsidRPr="00CF31E0">
        <w:rPr>
          <w:lang w:eastAsia="en-US"/>
        </w:rPr>
        <w:t xml:space="preserve"> participants succeeded in correctly identifying the speaker’s social group. Only nine participants failed the allocation task. </w:t>
      </w:r>
    </w:p>
    <w:p w14:paraId="10D9363A" w14:textId="57EA979C" w:rsidR="000B4835" w:rsidRPr="00CF31E0" w:rsidRDefault="00542E3D" w:rsidP="00542E3D">
      <w:pPr>
        <w:pStyle w:val="Bhead"/>
      </w:pPr>
      <w:bookmarkStart w:id="768" w:name="_Toc6472773"/>
      <w:r w:rsidRPr="00CF31E0">
        <w:t>11</w:t>
      </w:r>
      <w:r w:rsidR="000B4835" w:rsidRPr="00CF31E0">
        <w:t>.2.2.</w:t>
      </w:r>
      <w:r w:rsidR="00B36FA3" w:rsidRPr="00CF31E0">
        <w:tab/>
      </w:r>
      <w:r w:rsidR="000B4835" w:rsidRPr="00CF31E0">
        <w:t>Voice sample 3 allocation task results</w:t>
      </w:r>
      <w:bookmarkEnd w:id="768"/>
    </w:p>
    <w:p w14:paraId="7108B707" w14:textId="6DC57163" w:rsidR="008A0892" w:rsidRPr="00CF31E0" w:rsidRDefault="000B4835" w:rsidP="008A2731">
      <w:pPr>
        <w:pStyle w:val="Paragraph"/>
        <w:rPr>
          <w:lang w:eastAsia="en-US"/>
        </w:rPr>
      </w:pPr>
      <w:r w:rsidRPr="00CF31E0">
        <w:rPr>
          <w:lang w:eastAsia="en-US"/>
        </w:rPr>
        <w:t>On this occasion, the partic</w:t>
      </w:r>
      <w:r w:rsidR="00C501C2" w:rsidRPr="00CF31E0">
        <w:rPr>
          <w:lang w:eastAsia="en-US"/>
        </w:rPr>
        <w:t>ipants listened to a real HH</w:t>
      </w:r>
      <w:r w:rsidRPr="00CF31E0">
        <w:rPr>
          <w:lang w:eastAsia="en-US"/>
        </w:rPr>
        <w:t xml:space="preserve"> speaker but with a manipulated surname. The results revealed a clear tendency among participants to correctly allocate the voice sample of the speaker regardless of the manipulated surname; see Table </w:t>
      </w:r>
      <w:r w:rsidR="00542E3D" w:rsidRPr="00CF31E0">
        <w:rPr>
          <w:lang w:eastAsia="en-US"/>
        </w:rPr>
        <w:t>11</w:t>
      </w:r>
      <w:r w:rsidR="00474248" w:rsidRPr="00CF31E0">
        <w:rPr>
          <w:lang w:eastAsia="en-US"/>
        </w:rPr>
        <w:t>.</w:t>
      </w:r>
      <w:r w:rsidR="00542E3D" w:rsidRPr="00CF31E0">
        <w:rPr>
          <w:lang w:eastAsia="en-US"/>
        </w:rPr>
        <w:t>3</w:t>
      </w:r>
      <w:r w:rsidRPr="00CF31E0">
        <w:rPr>
          <w:lang w:eastAsia="en-US"/>
        </w:rPr>
        <w:t xml:space="preserve">. </w:t>
      </w:r>
    </w:p>
    <w:tbl>
      <w:tblPr>
        <w:tblW w:w="0" w:type="auto"/>
        <w:tblBorders>
          <w:top w:val="single" w:sz="4" w:space="0" w:color="000000"/>
          <w:bottom w:val="single" w:sz="4" w:space="0" w:color="000000"/>
        </w:tblBorders>
        <w:tblLook w:val="0000" w:firstRow="0" w:lastRow="0" w:firstColumn="0" w:lastColumn="0" w:noHBand="0" w:noVBand="0"/>
      </w:tblPr>
      <w:tblGrid>
        <w:gridCol w:w="3652"/>
        <w:gridCol w:w="1276"/>
      </w:tblGrid>
      <w:tr w:rsidR="00521091" w:rsidRPr="00CF31E0" w14:paraId="66A401FF" w14:textId="77777777" w:rsidTr="00603CB7">
        <w:trPr>
          <w:cantSplit/>
        </w:trPr>
        <w:tc>
          <w:tcPr>
            <w:tcW w:w="3652" w:type="dxa"/>
            <w:tcBorders>
              <w:top w:val="single" w:sz="4" w:space="0" w:color="000000"/>
              <w:bottom w:val="single" w:sz="4" w:space="0" w:color="000000"/>
            </w:tcBorders>
          </w:tcPr>
          <w:p w14:paraId="5DBA13C4" w14:textId="77777777" w:rsidR="00521091" w:rsidRPr="00CF31E0" w:rsidRDefault="00521091" w:rsidP="007812FE">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The allocation result</w:t>
            </w:r>
          </w:p>
        </w:tc>
        <w:tc>
          <w:tcPr>
            <w:tcW w:w="1276" w:type="dxa"/>
            <w:tcBorders>
              <w:top w:val="single" w:sz="4" w:space="0" w:color="000000"/>
              <w:bottom w:val="single" w:sz="4" w:space="0" w:color="000000"/>
            </w:tcBorders>
          </w:tcPr>
          <w:p w14:paraId="46953F23" w14:textId="77777777" w:rsidR="00521091" w:rsidRPr="00CF31E0" w:rsidRDefault="00521091" w:rsidP="007812FE">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Number</w:t>
            </w:r>
          </w:p>
        </w:tc>
      </w:tr>
      <w:tr w:rsidR="00521091" w:rsidRPr="00CF31E0" w14:paraId="0D9506D1" w14:textId="77777777" w:rsidTr="00603CB7">
        <w:trPr>
          <w:cantSplit/>
        </w:trPr>
        <w:tc>
          <w:tcPr>
            <w:tcW w:w="3652" w:type="dxa"/>
            <w:tcBorders>
              <w:top w:val="single" w:sz="4" w:space="0" w:color="000000"/>
              <w:bottom w:val="nil"/>
            </w:tcBorders>
          </w:tcPr>
          <w:p w14:paraId="3CED7D23" w14:textId="77777777" w:rsidR="00521091" w:rsidRPr="00CF31E0" w:rsidRDefault="00521091" w:rsidP="007812FE">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UBH social group</w:t>
            </w:r>
          </w:p>
        </w:tc>
        <w:tc>
          <w:tcPr>
            <w:tcW w:w="1276" w:type="dxa"/>
            <w:tcBorders>
              <w:top w:val="single" w:sz="4" w:space="0" w:color="000000"/>
              <w:bottom w:val="nil"/>
            </w:tcBorders>
          </w:tcPr>
          <w:p w14:paraId="7DE677F6" w14:textId="5DFFFDBA" w:rsidR="00521091" w:rsidRPr="00CF31E0" w:rsidRDefault="00521091" w:rsidP="007812FE">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  51</w:t>
            </w:r>
          </w:p>
        </w:tc>
      </w:tr>
      <w:tr w:rsidR="00521091" w:rsidRPr="00CF31E0" w14:paraId="1FF88666" w14:textId="77777777" w:rsidTr="00603CB7">
        <w:trPr>
          <w:cantSplit/>
        </w:trPr>
        <w:tc>
          <w:tcPr>
            <w:tcW w:w="3652" w:type="dxa"/>
            <w:tcBorders>
              <w:top w:val="nil"/>
            </w:tcBorders>
          </w:tcPr>
          <w:p w14:paraId="2933295D" w14:textId="77777777" w:rsidR="00521091" w:rsidRPr="00CF31E0" w:rsidRDefault="00521091" w:rsidP="007812FE">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HH social group</w:t>
            </w:r>
          </w:p>
        </w:tc>
        <w:tc>
          <w:tcPr>
            <w:tcW w:w="1276" w:type="dxa"/>
            <w:tcBorders>
              <w:top w:val="nil"/>
            </w:tcBorders>
          </w:tcPr>
          <w:p w14:paraId="2AC6996C" w14:textId="327DCE85" w:rsidR="00521091" w:rsidRPr="00CF31E0" w:rsidRDefault="00521091" w:rsidP="007812FE">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598</w:t>
            </w:r>
          </w:p>
        </w:tc>
      </w:tr>
    </w:tbl>
    <w:p w14:paraId="625E4F4E" w14:textId="19EBDE2B" w:rsidR="000B4835" w:rsidRPr="00CF31E0" w:rsidRDefault="000B4835" w:rsidP="00E96074">
      <w:pPr>
        <w:pStyle w:val="Tablecaption"/>
        <w:rPr>
          <w:lang w:eastAsia="en-US"/>
        </w:rPr>
      </w:pPr>
      <w:bookmarkStart w:id="769" w:name="_Toc522527466"/>
      <w:bookmarkStart w:id="770" w:name="_Toc522628879"/>
      <w:bookmarkStart w:id="771" w:name="_Toc522629043"/>
      <w:bookmarkStart w:id="772" w:name="_Toc6473141"/>
      <w:r w:rsidRPr="00CF31E0">
        <w:rPr>
          <w:lang w:eastAsia="en-US"/>
        </w:rPr>
        <w:t xml:space="preserve">Table </w:t>
      </w:r>
      <w:r w:rsidR="00542E3D" w:rsidRPr="00CF31E0">
        <w:rPr>
          <w:lang w:eastAsia="en-US"/>
        </w:rPr>
        <w:t>11</w:t>
      </w:r>
      <w:r w:rsidR="00474248" w:rsidRPr="00CF31E0">
        <w:rPr>
          <w:lang w:eastAsia="en-US"/>
        </w:rPr>
        <w:t>.</w:t>
      </w:r>
      <w:r w:rsidR="00542E3D" w:rsidRPr="00CF31E0">
        <w:rPr>
          <w:lang w:eastAsia="en-US"/>
        </w:rPr>
        <w:t>3</w:t>
      </w:r>
      <w:r w:rsidRPr="00CF31E0">
        <w:rPr>
          <w:lang w:eastAsia="en-US"/>
        </w:rPr>
        <w:t xml:space="preserve">: Voice allocation results for voice sample </w:t>
      </w:r>
      <w:r w:rsidR="00BE24A5" w:rsidRPr="00CF31E0">
        <w:rPr>
          <w:lang w:eastAsia="en-US"/>
        </w:rPr>
        <w:t>3</w:t>
      </w:r>
      <w:r w:rsidRPr="00CF31E0">
        <w:rPr>
          <w:lang w:eastAsia="en-US"/>
        </w:rPr>
        <w:t>.</w:t>
      </w:r>
      <w:bookmarkEnd w:id="769"/>
      <w:bookmarkEnd w:id="770"/>
      <w:bookmarkEnd w:id="771"/>
      <w:bookmarkEnd w:id="772"/>
    </w:p>
    <w:p w14:paraId="571547F7" w14:textId="705ADB7F" w:rsidR="000B4835" w:rsidRPr="00CF31E0" w:rsidRDefault="000B4835" w:rsidP="00603CB7">
      <w:pPr>
        <w:pStyle w:val="Paragraph"/>
        <w:rPr>
          <w:lang w:eastAsia="en-US"/>
        </w:rPr>
      </w:pPr>
      <w:r w:rsidRPr="00CF31E0">
        <w:rPr>
          <w:lang w:eastAsia="en-US"/>
        </w:rPr>
        <w:t>The VS1 results are comparable with those from VS3 as a large number of participants correctly identified the voice sample of the speaker by relying on the speaker’s dialect (a linguistic factor) rather than the speaker’s surname (a metalinguistic factor). It should be noted that the number of participants who did not give a correct answer incr</w:t>
      </w:r>
      <w:r w:rsidR="00C501C2" w:rsidRPr="00CF31E0">
        <w:rPr>
          <w:lang w:eastAsia="en-US"/>
        </w:rPr>
        <w:t>eased marginally from VS1 to VS3</w:t>
      </w:r>
      <w:r w:rsidRPr="00CF31E0">
        <w:rPr>
          <w:lang w:eastAsia="en-US"/>
        </w:rPr>
        <w:t>.</w:t>
      </w:r>
    </w:p>
    <w:p w14:paraId="500E4631" w14:textId="4447360C" w:rsidR="000B4835" w:rsidRPr="00CF31E0" w:rsidRDefault="000B4835" w:rsidP="00603CB7">
      <w:pPr>
        <w:pStyle w:val="Paragraph"/>
        <w:rPr>
          <w:lang w:eastAsia="en-US"/>
        </w:rPr>
      </w:pPr>
      <w:r w:rsidRPr="00CF31E0">
        <w:rPr>
          <w:lang w:eastAsia="en-US"/>
        </w:rPr>
        <w:lastRenderedPageBreak/>
        <w:t xml:space="preserve">I ran a series of chi-square tests on the VS1 and VS3 results; the results revealed that none of the mentioned voice sample results were affected by the social background of participants. </w:t>
      </w:r>
    </w:p>
    <w:p w14:paraId="10E05A07" w14:textId="08B6CF72" w:rsidR="000B4835" w:rsidRPr="00CF31E0" w:rsidRDefault="00542E3D" w:rsidP="00542E3D">
      <w:pPr>
        <w:pStyle w:val="Bhead"/>
      </w:pPr>
      <w:bookmarkStart w:id="773" w:name="_Toc6472774"/>
      <w:r w:rsidRPr="00CF31E0">
        <w:t>11</w:t>
      </w:r>
      <w:r w:rsidR="000B4835" w:rsidRPr="00CF31E0">
        <w:t>.2.</w:t>
      </w:r>
      <w:r w:rsidR="00474248" w:rsidRPr="00CF31E0">
        <w:t>3</w:t>
      </w:r>
      <w:r w:rsidR="000B4835" w:rsidRPr="00CF31E0">
        <w:t>.</w:t>
      </w:r>
      <w:r w:rsidR="00B36FA3" w:rsidRPr="00CF31E0">
        <w:tab/>
      </w:r>
      <w:r w:rsidR="000B4835" w:rsidRPr="00CF31E0">
        <w:t>Voice sample 2 allocation task results</w:t>
      </w:r>
      <w:bookmarkEnd w:id="773"/>
    </w:p>
    <w:p w14:paraId="09EA789E" w14:textId="21E6762A" w:rsidR="000B4835" w:rsidRPr="00CF31E0" w:rsidRDefault="000B4835" w:rsidP="00603CB7">
      <w:pPr>
        <w:pStyle w:val="Paragraph"/>
        <w:rPr>
          <w:lang w:eastAsia="en-US"/>
        </w:rPr>
      </w:pPr>
      <w:r w:rsidRPr="00CF31E0">
        <w:rPr>
          <w:lang w:eastAsia="en-US"/>
        </w:rPr>
        <w:t>The partici</w:t>
      </w:r>
      <w:r w:rsidR="00C501C2" w:rsidRPr="00CF31E0">
        <w:rPr>
          <w:lang w:eastAsia="en-US"/>
        </w:rPr>
        <w:t>pants listened to a real UBH</w:t>
      </w:r>
      <w:r w:rsidRPr="00CF31E0">
        <w:rPr>
          <w:lang w:eastAsia="en-US"/>
        </w:rPr>
        <w:t xml:space="preserve"> speaker with a real surname. The results revealed that the majority of participants could easily allocate </w:t>
      </w:r>
      <w:r w:rsidR="00C501C2" w:rsidRPr="00CF31E0">
        <w:rPr>
          <w:lang w:eastAsia="en-US"/>
        </w:rPr>
        <w:t>the social origin of the UBH</w:t>
      </w:r>
      <w:r w:rsidRPr="00CF31E0">
        <w:rPr>
          <w:lang w:eastAsia="en-US"/>
        </w:rPr>
        <w:t xml:space="preserve"> speaker in VS2; see Table </w:t>
      </w:r>
      <w:r w:rsidR="00542E3D" w:rsidRPr="00CF31E0">
        <w:rPr>
          <w:lang w:eastAsia="en-US"/>
        </w:rPr>
        <w:t>11</w:t>
      </w:r>
      <w:r w:rsidR="00474248" w:rsidRPr="00CF31E0">
        <w:rPr>
          <w:lang w:eastAsia="en-US"/>
        </w:rPr>
        <w:t>.</w:t>
      </w:r>
      <w:r w:rsidR="002E4A31" w:rsidRPr="00CF31E0">
        <w:rPr>
          <w:lang w:eastAsia="en-US"/>
        </w:rPr>
        <w:t>4</w:t>
      </w:r>
      <w:r w:rsidRPr="00CF31E0">
        <w:rPr>
          <w:lang w:eastAsia="en-US"/>
        </w:rPr>
        <w:t xml:space="preserve">. </w:t>
      </w:r>
    </w:p>
    <w:tbl>
      <w:tblPr>
        <w:tblW w:w="0" w:type="auto"/>
        <w:tblBorders>
          <w:top w:val="single" w:sz="4" w:space="0" w:color="000000"/>
          <w:bottom w:val="single" w:sz="4" w:space="0" w:color="000000"/>
        </w:tblBorders>
        <w:tblLook w:val="0000" w:firstRow="0" w:lastRow="0" w:firstColumn="0" w:lastColumn="0" w:noHBand="0" w:noVBand="0"/>
      </w:tblPr>
      <w:tblGrid>
        <w:gridCol w:w="3369"/>
        <w:gridCol w:w="1304"/>
      </w:tblGrid>
      <w:tr w:rsidR="00521091" w:rsidRPr="00CF31E0" w14:paraId="3002F29C" w14:textId="77777777" w:rsidTr="007812FE">
        <w:trPr>
          <w:trHeight w:val="358"/>
        </w:trPr>
        <w:tc>
          <w:tcPr>
            <w:tcW w:w="3369" w:type="dxa"/>
            <w:tcBorders>
              <w:top w:val="single" w:sz="4" w:space="0" w:color="000000"/>
              <w:bottom w:val="single" w:sz="4" w:space="0" w:color="000000"/>
            </w:tcBorders>
          </w:tcPr>
          <w:p w14:paraId="397A5985" w14:textId="77777777" w:rsidR="00521091" w:rsidRPr="00CF31E0" w:rsidRDefault="00521091"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The allocation result</w:t>
            </w:r>
          </w:p>
        </w:tc>
        <w:tc>
          <w:tcPr>
            <w:tcW w:w="1304" w:type="dxa"/>
            <w:tcBorders>
              <w:top w:val="single" w:sz="4" w:space="0" w:color="000000"/>
              <w:bottom w:val="single" w:sz="4" w:space="0" w:color="000000"/>
            </w:tcBorders>
          </w:tcPr>
          <w:p w14:paraId="25C920FB" w14:textId="77777777" w:rsidR="00521091" w:rsidRPr="00CF31E0" w:rsidRDefault="00521091"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Number</w:t>
            </w:r>
          </w:p>
        </w:tc>
      </w:tr>
      <w:tr w:rsidR="00521091" w:rsidRPr="00CF31E0" w14:paraId="2F4B1C40" w14:textId="77777777" w:rsidTr="007812FE">
        <w:trPr>
          <w:trHeight w:val="386"/>
        </w:trPr>
        <w:tc>
          <w:tcPr>
            <w:tcW w:w="3369" w:type="dxa"/>
            <w:tcBorders>
              <w:top w:val="single" w:sz="4" w:space="0" w:color="000000"/>
              <w:bottom w:val="nil"/>
            </w:tcBorders>
          </w:tcPr>
          <w:p w14:paraId="7C2211B3" w14:textId="77777777" w:rsidR="00521091" w:rsidRPr="00CF31E0" w:rsidRDefault="00521091"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UBH social group</w:t>
            </w:r>
          </w:p>
        </w:tc>
        <w:tc>
          <w:tcPr>
            <w:tcW w:w="1304" w:type="dxa"/>
            <w:tcBorders>
              <w:top w:val="single" w:sz="4" w:space="0" w:color="000000"/>
              <w:bottom w:val="nil"/>
            </w:tcBorders>
          </w:tcPr>
          <w:p w14:paraId="420E07B9" w14:textId="214FE6DA" w:rsidR="00521091" w:rsidRPr="00CF31E0" w:rsidRDefault="00521091"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628</w:t>
            </w:r>
          </w:p>
        </w:tc>
      </w:tr>
      <w:tr w:rsidR="00521091" w:rsidRPr="00CF31E0" w14:paraId="76DAAD0A" w14:textId="77777777" w:rsidTr="007812FE">
        <w:trPr>
          <w:trHeight w:val="385"/>
        </w:trPr>
        <w:tc>
          <w:tcPr>
            <w:tcW w:w="3369" w:type="dxa"/>
            <w:tcBorders>
              <w:top w:val="nil"/>
            </w:tcBorders>
          </w:tcPr>
          <w:p w14:paraId="6F878722" w14:textId="77777777" w:rsidR="00521091" w:rsidRPr="00CF31E0" w:rsidRDefault="00521091"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HH social group</w:t>
            </w:r>
          </w:p>
        </w:tc>
        <w:tc>
          <w:tcPr>
            <w:tcW w:w="1304" w:type="dxa"/>
            <w:tcBorders>
              <w:top w:val="nil"/>
            </w:tcBorders>
          </w:tcPr>
          <w:p w14:paraId="3D5812EC" w14:textId="1157F883" w:rsidR="00521091" w:rsidRPr="00CF31E0" w:rsidRDefault="00521091"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  21</w:t>
            </w:r>
          </w:p>
        </w:tc>
      </w:tr>
    </w:tbl>
    <w:p w14:paraId="5187D5D8" w14:textId="5D61B6A5" w:rsidR="000B4835" w:rsidRPr="00CF31E0" w:rsidRDefault="000B4835" w:rsidP="002E4A31">
      <w:pPr>
        <w:pStyle w:val="Tablecaption"/>
        <w:rPr>
          <w:lang w:eastAsia="en-US"/>
        </w:rPr>
      </w:pPr>
      <w:bookmarkStart w:id="774" w:name="_Toc522527467"/>
      <w:bookmarkStart w:id="775" w:name="_Toc522628880"/>
      <w:bookmarkStart w:id="776" w:name="_Toc522629044"/>
      <w:bookmarkStart w:id="777" w:name="_Toc6473142"/>
      <w:r w:rsidRPr="00CF31E0">
        <w:rPr>
          <w:lang w:eastAsia="en-US"/>
        </w:rPr>
        <w:t xml:space="preserve">Table </w:t>
      </w:r>
      <w:r w:rsidR="00542E3D" w:rsidRPr="00CF31E0">
        <w:rPr>
          <w:lang w:eastAsia="en-US"/>
        </w:rPr>
        <w:t>11</w:t>
      </w:r>
      <w:r w:rsidR="00474248" w:rsidRPr="00CF31E0">
        <w:rPr>
          <w:lang w:eastAsia="en-US"/>
        </w:rPr>
        <w:t>.</w:t>
      </w:r>
      <w:r w:rsidR="002E4A31" w:rsidRPr="00CF31E0">
        <w:rPr>
          <w:lang w:eastAsia="en-US"/>
        </w:rPr>
        <w:t>4</w:t>
      </w:r>
      <w:r w:rsidRPr="00CF31E0">
        <w:rPr>
          <w:lang w:eastAsia="en-US"/>
        </w:rPr>
        <w:t>: Voice allocation results for voice sample 2</w:t>
      </w:r>
      <w:r w:rsidR="00474248" w:rsidRPr="00CF31E0">
        <w:rPr>
          <w:lang w:eastAsia="en-US"/>
        </w:rPr>
        <w:t>.</w:t>
      </w:r>
      <w:bookmarkEnd w:id="774"/>
      <w:bookmarkEnd w:id="775"/>
      <w:bookmarkEnd w:id="776"/>
      <w:bookmarkEnd w:id="777"/>
    </w:p>
    <w:p w14:paraId="6323B062" w14:textId="79AE776B" w:rsidR="000B4835" w:rsidRPr="00CF31E0" w:rsidRDefault="000B4835" w:rsidP="00603CB7">
      <w:pPr>
        <w:pStyle w:val="Paragraph"/>
        <w:rPr>
          <w:lang w:eastAsia="en-US"/>
        </w:rPr>
      </w:pPr>
      <w:r w:rsidRPr="00CF31E0">
        <w:rPr>
          <w:lang w:eastAsia="en-US"/>
        </w:rPr>
        <w:t>The majority of participants correctly allocated the original social group of the speaker. Only 21 out of 649 participants did not correctly perceive the social group of the speaker, which is a relatively very small number. Overall, the strongest trend was to provide a correct allocation.</w:t>
      </w:r>
    </w:p>
    <w:p w14:paraId="0E9FA53B" w14:textId="08A8BB13" w:rsidR="000B4835" w:rsidRPr="00CF31E0" w:rsidRDefault="00542E3D" w:rsidP="00542E3D">
      <w:pPr>
        <w:pStyle w:val="Bhead"/>
      </w:pPr>
      <w:bookmarkStart w:id="778" w:name="_Toc6472775"/>
      <w:r w:rsidRPr="00CF31E0">
        <w:t>11</w:t>
      </w:r>
      <w:r w:rsidR="000B4835" w:rsidRPr="00CF31E0">
        <w:t>.2.</w:t>
      </w:r>
      <w:r w:rsidR="00474248" w:rsidRPr="00CF31E0">
        <w:t>4</w:t>
      </w:r>
      <w:r w:rsidR="000B4835" w:rsidRPr="00CF31E0">
        <w:t>.</w:t>
      </w:r>
      <w:r w:rsidR="00B36FA3" w:rsidRPr="00CF31E0">
        <w:tab/>
      </w:r>
      <w:r w:rsidR="000B4835" w:rsidRPr="00CF31E0">
        <w:t>Voice sample 4 allocation task results</w:t>
      </w:r>
      <w:bookmarkEnd w:id="778"/>
      <w:r w:rsidR="000B4835" w:rsidRPr="00CF31E0">
        <w:t xml:space="preserve"> </w:t>
      </w:r>
    </w:p>
    <w:p w14:paraId="7EB45202" w14:textId="02EB4D13" w:rsidR="00DB766A" w:rsidRPr="00CF31E0" w:rsidRDefault="000B4835" w:rsidP="009677F5">
      <w:pPr>
        <w:pStyle w:val="Paragraph"/>
        <w:rPr>
          <w:lang w:eastAsia="en-US"/>
        </w:rPr>
      </w:pPr>
      <w:r w:rsidRPr="00CF31E0">
        <w:rPr>
          <w:lang w:eastAsia="en-US"/>
        </w:rPr>
        <w:t xml:space="preserve">In this task, </w:t>
      </w:r>
      <w:r w:rsidR="00C501C2" w:rsidRPr="00CF31E0">
        <w:rPr>
          <w:lang w:eastAsia="en-US"/>
        </w:rPr>
        <w:t>participants listed to a UBH</w:t>
      </w:r>
      <w:r w:rsidRPr="00CF31E0">
        <w:rPr>
          <w:lang w:eastAsia="en-US"/>
        </w:rPr>
        <w:t xml:space="preserve"> speaker with a manipulated surname. Interestingly, participants showed a very similar pattern to the above, that is, a large number of participants correctly identified the original social gr</w:t>
      </w:r>
      <w:r w:rsidR="00C501C2" w:rsidRPr="00CF31E0">
        <w:rPr>
          <w:lang w:eastAsia="en-US"/>
        </w:rPr>
        <w:t>oup of the speaker (i.e. UBH</w:t>
      </w:r>
      <w:r w:rsidRPr="00CF31E0">
        <w:rPr>
          <w:lang w:eastAsia="en-US"/>
        </w:rPr>
        <w:t xml:space="preserve">); see Table </w:t>
      </w:r>
      <w:r w:rsidR="00542E3D" w:rsidRPr="00CF31E0">
        <w:rPr>
          <w:lang w:eastAsia="en-US"/>
        </w:rPr>
        <w:t>11</w:t>
      </w:r>
      <w:r w:rsidR="00474248" w:rsidRPr="00CF31E0">
        <w:rPr>
          <w:lang w:eastAsia="en-US"/>
        </w:rPr>
        <w:t>.</w:t>
      </w:r>
      <w:r w:rsidR="002E4A31" w:rsidRPr="00CF31E0">
        <w:rPr>
          <w:lang w:eastAsia="en-US"/>
        </w:rPr>
        <w:t>5</w:t>
      </w:r>
      <w:r w:rsidRPr="00CF31E0">
        <w:rPr>
          <w:lang w:eastAsia="en-US"/>
        </w:rPr>
        <w:t xml:space="preserve">. </w:t>
      </w:r>
    </w:p>
    <w:tbl>
      <w:tblPr>
        <w:tblW w:w="0" w:type="auto"/>
        <w:tblBorders>
          <w:top w:val="single" w:sz="8" w:space="0" w:color="auto"/>
          <w:bottom w:val="single" w:sz="8" w:space="0" w:color="auto"/>
        </w:tblBorders>
        <w:tblLook w:val="0000" w:firstRow="0" w:lastRow="0" w:firstColumn="0" w:lastColumn="0" w:noHBand="0" w:noVBand="0"/>
      </w:tblPr>
      <w:tblGrid>
        <w:gridCol w:w="2968"/>
        <w:gridCol w:w="2126"/>
      </w:tblGrid>
      <w:tr w:rsidR="00521091" w:rsidRPr="00CF31E0" w14:paraId="02436B68" w14:textId="77777777" w:rsidTr="007812FE">
        <w:trPr>
          <w:trHeight w:val="358"/>
        </w:trPr>
        <w:tc>
          <w:tcPr>
            <w:tcW w:w="2968" w:type="dxa"/>
            <w:tcBorders>
              <w:top w:val="single" w:sz="8" w:space="0" w:color="auto"/>
              <w:bottom w:val="single" w:sz="8" w:space="0" w:color="auto"/>
            </w:tcBorders>
          </w:tcPr>
          <w:p w14:paraId="47CF4ECA" w14:textId="77777777" w:rsidR="00521091" w:rsidRPr="00CF31E0" w:rsidRDefault="00521091"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The allocation result</w:t>
            </w:r>
          </w:p>
        </w:tc>
        <w:tc>
          <w:tcPr>
            <w:tcW w:w="2126" w:type="dxa"/>
            <w:tcBorders>
              <w:top w:val="single" w:sz="8" w:space="0" w:color="auto"/>
              <w:bottom w:val="single" w:sz="8" w:space="0" w:color="auto"/>
            </w:tcBorders>
          </w:tcPr>
          <w:p w14:paraId="770E7FA2" w14:textId="77777777" w:rsidR="00521091" w:rsidRPr="00CF31E0" w:rsidRDefault="00521091"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Number</w:t>
            </w:r>
          </w:p>
        </w:tc>
      </w:tr>
      <w:tr w:rsidR="00521091" w:rsidRPr="00CF31E0" w14:paraId="47876258" w14:textId="77777777" w:rsidTr="007812FE">
        <w:trPr>
          <w:trHeight w:val="386"/>
        </w:trPr>
        <w:tc>
          <w:tcPr>
            <w:tcW w:w="2968" w:type="dxa"/>
            <w:tcBorders>
              <w:top w:val="single" w:sz="8" w:space="0" w:color="auto"/>
              <w:bottom w:val="nil"/>
            </w:tcBorders>
          </w:tcPr>
          <w:p w14:paraId="6F7C2A81" w14:textId="77777777" w:rsidR="00521091" w:rsidRPr="00CF31E0" w:rsidRDefault="00521091"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UBH social group</w:t>
            </w:r>
          </w:p>
        </w:tc>
        <w:tc>
          <w:tcPr>
            <w:tcW w:w="2126" w:type="dxa"/>
            <w:tcBorders>
              <w:top w:val="single" w:sz="8" w:space="0" w:color="auto"/>
              <w:bottom w:val="nil"/>
            </w:tcBorders>
          </w:tcPr>
          <w:p w14:paraId="097779C6" w14:textId="4D2BCDA6" w:rsidR="00521091" w:rsidRPr="00CF31E0" w:rsidRDefault="00521091"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599</w:t>
            </w:r>
          </w:p>
        </w:tc>
      </w:tr>
      <w:tr w:rsidR="00521091" w:rsidRPr="00CF31E0" w14:paraId="4CED6758" w14:textId="77777777" w:rsidTr="007812FE">
        <w:trPr>
          <w:trHeight w:val="385"/>
        </w:trPr>
        <w:tc>
          <w:tcPr>
            <w:tcW w:w="2968" w:type="dxa"/>
            <w:tcBorders>
              <w:top w:val="nil"/>
            </w:tcBorders>
          </w:tcPr>
          <w:p w14:paraId="2FD49366" w14:textId="77777777" w:rsidR="00521091" w:rsidRPr="00CF31E0" w:rsidRDefault="00521091"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HH social group</w:t>
            </w:r>
          </w:p>
        </w:tc>
        <w:tc>
          <w:tcPr>
            <w:tcW w:w="2126" w:type="dxa"/>
            <w:tcBorders>
              <w:top w:val="nil"/>
            </w:tcBorders>
          </w:tcPr>
          <w:p w14:paraId="09278A32" w14:textId="247D3CBD" w:rsidR="00521091" w:rsidRPr="00CF31E0" w:rsidRDefault="00521091" w:rsidP="00603CB7">
            <w:pPr>
              <w:spacing w:before="120" w:after="120"/>
              <w:ind w:left="-74"/>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 50</w:t>
            </w:r>
          </w:p>
        </w:tc>
      </w:tr>
    </w:tbl>
    <w:p w14:paraId="38DA79FF" w14:textId="6FB3F7ED" w:rsidR="00705AB7" w:rsidRPr="00CF31E0" w:rsidRDefault="000B4835" w:rsidP="002E4A31">
      <w:pPr>
        <w:pStyle w:val="Tablecaption"/>
        <w:rPr>
          <w:lang w:eastAsia="en-US"/>
        </w:rPr>
      </w:pPr>
      <w:bookmarkStart w:id="779" w:name="_Toc522527468"/>
      <w:bookmarkStart w:id="780" w:name="_Toc522628881"/>
      <w:bookmarkStart w:id="781" w:name="_Toc522629045"/>
      <w:bookmarkStart w:id="782" w:name="_Toc6473143"/>
      <w:r w:rsidRPr="00CF31E0">
        <w:rPr>
          <w:lang w:eastAsia="en-US"/>
        </w:rPr>
        <w:t xml:space="preserve">Table </w:t>
      </w:r>
      <w:r w:rsidR="00542E3D" w:rsidRPr="00CF31E0">
        <w:rPr>
          <w:lang w:eastAsia="en-US"/>
        </w:rPr>
        <w:t>11</w:t>
      </w:r>
      <w:r w:rsidR="00474248" w:rsidRPr="00CF31E0">
        <w:rPr>
          <w:lang w:eastAsia="en-US"/>
        </w:rPr>
        <w:t>.</w:t>
      </w:r>
      <w:r w:rsidR="002E4A31" w:rsidRPr="00CF31E0">
        <w:rPr>
          <w:lang w:eastAsia="en-US"/>
        </w:rPr>
        <w:t>5</w:t>
      </w:r>
      <w:r w:rsidRPr="00CF31E0">
        <w:rPr>
          <w:lang w:eastAsia="en-US"/>
        </w:rPr>
        <w:t>: Voice allocation results for voice sample 4.</w:t>
      </w:r>
      <w:bookmarkEnd w:id="779"/>
      <w:bookmarkEnd w:id="780"/>
      <w:bookmarkEnd w:id="781"/>
      <w:bookmarkEnd w:id="782"/>
    </w:p>
    <w:p w14:paraId="10C8DD1A" w14:textId="15868816" w:rsidR="000B4835" w:rsidRPr="00CF31E0" w:rsidRDefault="000B4835" w:rsidP="00603CB7">
      <w:pPr>
        <w:pStyle w:val="Paragraph"/>
        <w:rPr>
          <w:lang w:eastAsia="en-US"/>
        </w:rPr>
      </w:pPr>
      <w:r w:rsidRPr="00CF31E0">
        <w:rPr>
          <w:lang w:eastAsia="en-US"/>
        </w:rPr>
        <w:t xml:space="preserve">The above table shows that although the speaker’s surname was manipulated, </w:t>
      </w:r>
      <w:r w:rsidR="00B33E71" w:rsidRPr="00CF31E0">
        <w:rPr>
          <w:lang w:eastAsia="en-US"/>
        </w:rPr>
        <w:t>many</w:t>
      </w:r>
      <w:r w:rsidRPr="00CF31E0">
        <w:rPr>
          <w:lang w:eastAsia="en-US"/>
        </w:rPr>
        <w:t xml:space="preserve"> participants seemed not to be affected by the distraction, </w:t>
      </w:r>
      <w:r w:rsidRPr="00CF31E0">
        <w:rPr>
          <w:lang w:eastAsia="en-US"/>
        </w:rPr>
        <w:lastRenderedPageBreak/>
        <w:t xml:space="preserve">instead relying on the linguistic input in the experiment (the speaker’s dialect). </w:t>
      </w:r>
    </w:p>
    <w:p w14:paraId="43EABDCB" w14:textId="663B3D5A" w:rsidR="000B4835" w:rsidRPr="00CF31E0" w:rsidRDefault="00542E3D" w:rsidP="00542E3D">
      <w:pPr>
        <w:pStyle w:val="Bhead"/>
        <w:jc w:val="both"/>
      </w:pPr>
      <w:bookmarkStart w:id="783" w:name="_Toc6472776"/>
      <w:r w:rsidRPr="00CF31E0">
        <w:t>11</w:t>
      </w:r>
      <w:r w:rsidR="000B4835" w:rsidRPr="00CF31E0">
        <w:t>.2.</w:t>
      </w:r>
      <w:r w:rsidR="00474248" w:rsidRPr="00CF31E0">
        <w:t>5</w:t>
      </w:r>
      <w:r w:rsidR="000B4835" w:rsidRPr="00CF31E0">
        <w:t>.</w:t>
      </w:r>
      <w:r w:rsidR="00B36FA3" w:rsidRPr="00CF31E0">
        <w:tab/>
      </w:r>
      <w:r w:rsidR="000B4835" w:rsidRPr="00CF31E0">
        <w:t>Effects of demographic variables on the allocation task</w:t>
      </w:r>
      <w:bookmarkEnd w:id="783"/>
      <w:r w:rsidR="000B4835" w:rsidRPr="00CF31E0">
        <w:t xml:space="preserve"> </w:t>
      </w:r>
    </w:p>
    <w:p w14:paraId="1F7FE8D1" w14:textId="77777777" w:rsidR="000B4835" w:rsidRPr="00CF31E0" w:rsidRDefault="000B4835" w:rsidP="00603CB7">
      <w:pPr>
        <w:pStyle w:val="Paragraph"/>
        <w:rPr>
          <w:lang w:eastAsia="en-US"/>
        </w:rPr>
      </w:pPr>
      <w:r w:rsidRPr="00CF31E0">
        <w:rPr>
          <w:lang w:eastAsia="en-US"/>
        </w:rPr>
        <w:t xml:space="preserve">I used a chi-square test of independence to explore the relationship between the demographic variables and allocation of the dialects to a social group. </w:t>
      </w:r>
    </w:p>
    <w:p w14:paraId="09136C20" w14:textId="63630CA2" w:rsidR="000B4835" w:rsidRPr="00CF31E0" w:rsidRDefault="000B4835" w:rsidP="00603CB7">
      <w:pPr>
        <w:pStyle w:val="Paragraph"/>
        <w:rPr>
          <w:lang w:eastAsia="en-US"/>
        </w:rPr>
      </w:pPr>
      <w:r w:rsidRPr="00CF31E0">
        <w:rPr>
          <w:lang w:eastAsia="en-US"/>
        </w:rPr>
        <w:t>Regarding the voice samples tested, significant results are only found in VS2. I will illustrate the results from VS2 below.</w:t>
      </w:r>
    </w:p>
    <w:p w14:paraId="15BFF4EB" w14:textId="09AD8216" w:rsidR="000B4835" w:rsidRPr="00CF31E0" w:rsidRDefault="00542E3D" w:rsidP="00542E3D">
      <w:pPr>
        <w:pStyle w:val="Chead"/>
        <w:jc w:val="both"/>
      </w:pPr>
      <w:bookmarkStart w:id="784" w:name="_Toc6472777"/>
      <w:r w:rsidRPr="00CF31E0">
        <w:t>11</w:t>
      </w:r>
      <w:r w:rsidR="000B4835" w:rsidRPr="00CF31E0">
        <w:t>.2.</w:t>
      </w:r>
      <w:r w:rsidR="00474248" w:rsidRPr="00CF31E0">
        <w:t>5</w:t>
      </w:r>
      <w:r w:rsidR="000B4835" w:rsidRPr="00CF31E0">
        <w:t>.1.</w:t>
      </w:r>
      <w:r w:rsidR="00B36FA3" w:rsidRPr="00CF31E0">
        <w:tab/>
      </w:r>
      <w:r w:rsidR="000B4835" w:rsidRPr="00CF31E0">
        <w:t>Chi-square test results for VS2</w:t>
      </w:r>
      <w:bookmarkEnd w:id="784"/>
      <w:r w:rsidR="000B4835" w:rsidRPr="00CF31E0">
        <w:t xml:space="preserve"> </w:t>
      </w:r>
    </w:p>
    <w:p w14:paraId="7E1A6939" w14:textId="250F60E3" w:rsidR="00C82F12" w:rsidRPr="00CF31E0" w:rsidRDefault="000B4835" w:rsidP="0046502F">
      <w:pPr>
        <w:pStyle w:val="Paragraph"/>
        <w:rPr>
          <w:lang w:eastAsia="en-US"/>
        </w:rPr>
      </w:pPr>
      <w:r w:rsidRPr="00CF31E0">
        <w:rPr>
          <w:lang w:eastAsia="en-US"/>
        </w:rPr>
        <w:t xml:space="preserve">The chi-square test revealed that the two participant groups differed in their allocation of VS2 to the speaker’s original social group; see Table </w:t>
      </w:r>
      <w:r w:rsidR="00542E3D" w:rsidRPr="00CF31E0">
        <w:rPr>
          <w:lang w:eastAsia="en-US"/>
        </w:rPr>
        <w:t>11</w:t>
      </w:r>
      <w:r w:rsidR="00474248" w:rsidRPr="00CF31E0">
        <w:rPr>
          <w:lang w:eastAsia="en-US"/>
        </w:rPr>
        <w:t>.</w:t>
      </w:r>
      <w:r w:rsidR="002E4A31" w:rsidRPr="00CF31E0">
        <w:rPr>
          <w:lang w:eastAsia="en-US"/>
        </w:rPr>
        <w:t>6</w:t>
      </w:r>
      <w:r w:rsidRPr="00CF31E0">
        <w:rPr>
          <w:lang w:eastAsia="en-US"/>
        </w:rPr>
        <w:t xml:space="preserve">. </w:t>
      </w:r>
    </w:p>
    <w:tbl>
      <w:tblPr>
        <w:tblW w:w="7139" w:type="dxa"/>
        <w:tblLayout w:type="fixed"/>
        <w:tblLook w:val="04A0" w:firstRow="1" w:lastRow="0" w:firstColumn="1" w:lastColumn="0" w:noHBand="0" w:noVBand="1"/>
      </w:tblPr>
      <w:tblGrid>
        <w:gridCol w:w="2376"/>
        <w:gridCol w:w="993"/>
        <w:gridCol w:w="425"/>
        <w:gridCol w:w="3345"/>
      </w:tblGrid>
      <w:tr w:rsidR="00D0316A" w:rsidRPr="00CF31E0" w14:paraId="06A60D7F" w14:textId="77777777" w:rsidTr="00603CB7">
        <w:trPr>
          <w:trHeight w:val="567"/>
        </w:trPr>
        <w:tc>
          <w:tcPr>
            <w:tcW w:w="2376" w:type="dxa"/>
            <w:tcBorders>
              <w:top w:val="single" w:sz="8" w:space="0" w:color="auto"/>
              <w:bottom w:val="single" w:sz="8" w:space="0" w:color="auto"/>
            </w:tcBorders>
            <w:shd w:val="clear" w:color="auto" w:fill="auto"/>
            <w:hideMark/>
          </w:tcPr>
          <w:p w14:paraId="117CA378" w14:textId="77777777" w:rsidR="00D0316A" w:rsidRPr="00CF31E0" w:rsidRDefault="00D0316A" w:rsidP="00D0316A">
            <w:pPr>
              <w:spacing w:before="120" w:after="120" w:line="360" w:lineRule="auto"/>
              <w:rPr>
                <w:rFonts w:eastAsia="Calibri"/>
                <w:color w:val="000000" w:themeColor="text1"/>
                <w:sz w:val="22"/>
                <w:szCs w:val="22"/>
                <w:lang w:val="en-US" w:eastAsia="en-US"/>
              </w:rPr>
            </w:pPr>
          </w:p>
        </w:tc>
        <w:tc>
          <w:tcPr>
            <w:tcW w:w="993" w:type="dxa"/>
            <w:tcBorders>
              <w:top w:val="single" w:sz="8" w:space="0" w:color="auto"/>
              <w:bottom w:val="single" w:sz="8" w:space="0" w:color="auto"/>
            </w:tcBorders>
            <w:shd w:val="clear" w:color="auto" w:fill="auto"/>
            <w:hideMark/>
          </w:tcPr>
          <w:p w14:paraId="7597ED56" w14:textId="77777777" w:rsidR="00D0316A" w:rsidRPr="00CF31E0" w:rsidRDefault="00D0316A" w:rsidP="00D0316A">
            <w:pPr>
              <w:spacing w:before="120" w:after="120" w:line="360"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425" w:type="dxa"/>
            <w:tcBorders>
              <w:top w:val="single" w:sz="8" w:space="0" w:color="auto"/>
              <w:bottom w:val="single" w:sz="8" w:space="0" w:color="auto"/>
            </w:tcBorders>
            <w:shd w:val="clear" w:color="auto" w:fill="auto"/>
          </w:tcPr>
          <w:p w14:paraId="6078E5AA" w14:textId="77777777" w:rsidR="00D0316A" w:rsidRPr="00CF31E0" w:rsidRDefault="00D0316A" w:rsidP="00D0316A">
            <w:pPr>
              <w:spacing w:before="120" w:after="120" w:line="360"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df</w:t>
            </w:r>
          </w:p>
        </w:tc>
        <w:tc>
          <w:tcPr>
            <w:tcW w:w="3345" w:type="dxa"/>
            <w:tcBorders>
              <w:top w:val="single" w:sz="8" w:space="0" w:color="auto"/>
              <w:bottom w:val="single" w:sz="8" w:space="0" w:color="auto"/>
            </w:tcBorders>
            <w:shd w:val="clear" w:color="auto" w:fill="auto"/>
          </w:tcPr>
          <w:p w14:paraId="190F9A7B" w14:textId="77777777" w:rsidR="00D0316A" w:rsidRPr="00CF31E0" w:rsidRDefault="00D0316A" w:rsidP="00D0316A">
            <w:pPr>
              <w:spacing w:before="120" w:after="120" w:line="360"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D0316A" w:rsidRPr="00CF31E0" w14:paraId="6D3B7849" w14:textId="77777777" w:rsidTr="00603CB7">
        <w:trPr>
          <w:trHeight w:val="567"/>
        </w:trPr>
        <w:tc>
          <w:tcPr>
            <w:tcW w:w="2376" w:type="dxa"/>
            <w:tcBorders>
              <w:top w:val="single" w:sz="8" w:space="0" w:color="auto"/>
            </w:tcBorders>
            <w:shd w:val="clear" w:color="auto" w:fill="auto"/>
            <w:vAlign w:val="bottom"/>
          </w:tcPr>
          <w:p w14:paraId="2B606614" w14:textId="77777777" w:rsidR="00D0316A" w:rsidRPr="00CF31E0" w:rsidRDefault="00D0316A" w:rsidP="008A0892">
            <w:pPr>
              <w:spacing w:before="80" w:after="120" w:line="360"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993" w:type="dxa"/>
            <w:tcBorders>
              <w:top w:val="single" w:sz="8" w:space="0" w:color="auto"/>
            </w:tcBorders>
            <w:shd w:val="clear" w:color="auto" w:fill="auto"/>
            <w:vAlign w:val="bottom"/>
          </w:tcPr>
          <w:p w14:paraId="2C38D5CC" w14:textId="77777777" w:rsidR="00D0316A" w:rsidRPr="00CF31E0" w:rsidRDefault="00D0316A" w:rsidP="008A0892">
            <w:pPr>
              <w:spacing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5.920</w:t>
            </w:r>
            <w:r w:rsidRPr="00CF31E0">
              <w:rPr>
                <w:rFonts w:eastAsia="Calibri"/>
                <w:color w:val="000000" w:themeColor="text1"/>
                <w:sz w:val="22"/>
                <w:szCs w:val="22"/>
                <w:vertAlign w:val="superscript"/>
                <w:lang w:eastAsia="en-US"/>
              </w:rPr>
              <w:t>a</w:t>
            </w:r>
          </w:p>
        </w:tc>
        <w:tc>
          <w:tcPr>
            <w:tcW w:w="425" w:type="dxa"/>
            <w:tcBorders>
              <w:top w:val="single" w:sz="8" w:space="0" w:color="auto"/>
            </w:tcBorders>
            <w:shd w:val="clear" w:color="auto" w:fill="auto"/>
            <w:vAlign w:val="bottom"/>
          </w:tcPr>
          <w:p w14:paraId="1B6EC65B" w14:textId="77777777" w:rsidR="00D0316A" w:rsidRPr="00CF31E0" w:rsidRDefault="00D0316A" w:rsidP="008A0892">
            <w:pPr>
              <w:spacing w:after="120" w:line="360"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1</w:t>
            </w:r>
          </w:p>
        </w:tc>
        <w:tc>
          <w:tcPr>
            <w:tcW w:w="3345" w:type="dxa"/>
            <w:tcBorders>
              <w:top w:val="single" w:sz="8" w:space="0" w:color="auto"/>
            </w:tcBorders>
            <w:shd w:val="clear" w:color="auto" w:fill="auto"/>
            <w:vAlign w:val="bottom"/>
          </w:tcPr>
          <w:p w14:paraId="03BC6355" w14:textId="77777777" w:rsidR="00D0316A" w:rsidRPr="00CF31E0" w:rsidRDefault="00D0316A" w:rsidP="008A0892">
            <w:pPr>
              <w:spacing w:after="120" w:line="360"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.015</w:t>
            </w:r>
          </w:p>
        </w:tc>
      </w:tr>
      <w:tr w:rsidR="00D0316A" w:rsidRPr="00CF31E0" w14:paraId="6262891B" w14:textId="77777777" w:rsidTr="00603CB7">
        <w:trPr>
          <w:trHeight w:val="567"/>
        </w:trPr>
        <w:tc>
          <w:tcPr>
            <w:tcW w:w="2376" w:type="dxa"/>
            <w:shd w:val="clear" w:color="auto" w:fill="auto"/>
            <w:vAlign w:val="bottom"/>
          </w:tcPr>
          <w:p w14:paraId="1D828281" w14:textId="77777777" w:rsidR="00D0316A" w:rsidRPr="00CF31E0" w:rsidRDefault="00D0316A" w:rsidP="008A0892">
            <w:pPr>
              <w:spacing w:after="120" w:line="360" w:lineRule="auto"/>
              <w:rPr>
                <w:rFonts w:eastAsia="Calibri"/>
                <w:color w:val="000000" w:themeColor="text1"/>
                <w:sz w:val="22"/>
                <w:szCs w:val="22"/>
                <w:lang w:val="en-US" w:eastAsia="en-US"/>
              </w:rPr>
            </w:pPr>
            <w:r w:rsidRPr="00CF31E0">
              <w:rPr>
                <w:rFonts w:eastAsia="Calibri"/>
                <w:color w:val="000000" w:themeColor="text1"/>
                <w:sz w:val="22"/>
                <w:szCs w:val="22"/>
                <w:lang w:eastAsia="en-US"/>
              </w:rPr>
              <w:t>Continuity Corrrection</w:t>
            </w:r>
            <w:r w:rsidRPr="00CF31E0">
              <w:rPr>
                <w:rFonts w:eastAsia="Calibri"/>
                <w:color w:val="000000" w:themeColor="text1"/>
                <w:sz w:val="22"/>
                <w:szCs w:val="22"/>
                <w:vertAlign w:val="superscript"/>
                <w:lang w:eastAsia="en-US"/>
              </w:rPr>
              <w:t>b</w:t>
            </w:r>
          </w:p>
        </w:tc>
        <w:tc>
          <w:tcPr>
            <w:tcW w:w="993" w:type="dxa"/>
            <w:shd w:val="clear" w:color="auto" w:fill="auto"/>
            <w:vAlign w:val="bottom"/>
          </w:tcPr>
          <w:p w14:paraId="32D55D9D" w14:textId="77777777" w:rsidR="00D0316A" w:rsidRPr="00CF31E0" w:rsidRDefault="00D0316A" w:rsidP="008A0892">
            <w:pPr>
              <w:spacing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4.889</w:t>
            </w:r>
          </w:p>
        </w:tc>
        <w:tc>
          <w:tcPr>
            <w:tcW w:w="425" w:type="dxa"/>
            <w:shd w:val="clear" w:color="auto" w:fill="auto"/>
            <w:vAlign w:val="bottom"/>
          </w:tcPr>
          <w:p w14:paraId="3E752634" w14:textId="77777777" w:rsidR="00D0316A" w:rsidRPr="00CF31E0" w:rsidRDefault="00D0316A" w:rsidP="008A0892">
            <w:pPr>
              <w:spacing w:after="120" w:line="360"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1</w:t>
            </w:r>
          </w:p>
        </w:tc>
        <w:tc>
          <w:tcPr>
            <w:tcW w:w="3345" w:type="dxa"/>
            <w:shd w:val="clear" w:color="auto" w:fill="auto"/>
            <w:vAlign w:val="bottom"/>
          </w:tcPr>
          <w:p w14:paraId="2F476E63" w14:textId="77777777" w:rsidR="00D0316A" w:rsidRPr="00CF31E0" w:rsidRDefault="00D0316A" w:rsidP="008A0892">
            <w:pPr>
              <w:spacing w:after="120" w:line="360"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.027</w:t>
            </w:r>
          </w:p>
        </w:tc>
      </w:tr>
      <w:tr w:rsidR="00D0316A" w:rsidRPr="00CF31E0" w14:paraId="35416AF7" w14:textId="77777777" w:rsidTr="007812FE">
        <w:trPr>
          <w:trHeight w:val="567"/>
        </w:trPr>
        <w:tc>
          <w:tcPr>
            <w:tcW w:w="7139" w:type="dxa"/>
            <w:gridSpan w:val="4"/>
            <w:tcBorders>
              <w:top w:val="single" w:sz="8" w:space="0" w:color="auto"/>
              <w:bottom w:val="single" w:sz="8" w:space="0" w:color="auto"/>
            </w:tcBorders>
            <w:shd w:val="clear" w:color="auto" w:fill="auto"/>
          </w:tcPr>
          <w:p w14:paraId="7932B309" w14:textId="67C22CC5" w:rsidR="00D0316A" w:rsidRPr="00CF31E0" w:rsidRDefault="00D0316A" w:rsidP="00D0316A">
            <w:pPr>
              <w:spacing w:before="80" w:after="120"/>
              <w:rPr>
                <w:rFonts w:eastAsia="Calibri"/>
                <w:color w:val="000000" w:themeColor="text1"/>
                <w:sz w:val="22"/>
                <w:szCs w:val="22"/>
                <w:lang w:eastAsia="en-US"/>
              </w:rPr>
            </w:pPr>
            <w:r w:rsidRPr="00CF31E0">
              <w:rPr>
                <w:rFonts w:eastAsia="Calibri"/>
                <w:color w:val="000000" w:themeColor="text1"/>
                <w:sz w:val="22"/>
                <w:szCs w:val="22"/>
                <w:lang w:eastAsia="en-US"/>
              </w:rPr>
              <w:t xml:space="preserve">a. 0 cells (0.0%) have expected </w:t>
            </w:r>
            <w:r w:rsidR="00F03C9C" w:rsidRPr="00CF31E0">
              <w:rPr>
                <w:rFonts w:eastAsia="Calibri"/>
                <w:color w:val="000000" w:themeColor="text1"/>
                <w:sz w:val="22"/>
                <w:szCs w:val="22"/>
                <w:lang w:eastAsia="en-US"/>
              </w:rPr>
              <w:t>Count</w:t>
            </w:r>
            <w:r w:rsidRPr="00CF31E0">
              <w:rPr>
                <w:rFonts w:eastAsia="Calibri"/>
                <w:color w:val="000000" w:themeColor="text1"/>
                <w:sz w:val="22"/>
                <w:szCs w:val="22"/>
                <w:lang w:eastAsia="en-US"/>
              </w:rPr>
              <w:t xml:space="preserve"> less than 5. The minimum expected </w:t>
            </w:r>
            <w:r w:rsidR="00F03C9C" w:rsidRPr="00CF31E0">
              <w:rPr>
                <w:rFonts w:eastAsia="Calibri"/>
                <w:color w:val="000000" w:themeColor="text1"/>
                <w:sz w:val="22"/>
                <w:szCs w:val="22"/>
                <w:lang w:eastAsia="en-US"/>
              </w:rPr>
              <w:t>Count</w:t>
            </w:r>
            <w:r w:rsidRPr="00CF31E0">
              <w:rPr>
                <w:rFonts w:eastAsia="Calibri"/>
                <w:color w:val="000000" w:themeColor="text1"/>
                <w:sz w:val="22"/>
                <w:szCs w:val="22"/>
                <w:lang w:eastAsia="en-US"/>
              </w:rPr>
              <w:t xml:space="preserve"> is 10.48.</w:t>
            </w:r>
          </w:p>
          <w:p w14:paraId="290B657E" w14:textId="77777777" w:rsidR="00D0316A" w:rsidRPr="00CF31E0" w:rsidRDefault="00D0316A" w:rsidP="00D0316A">
            <w:pPr>
              <w:spacing w:before="80" w:after="120"/>
              <w:rPr>
                <w:rFonts w:eastAsia="Calibri"/>
                <w:color w:val="000000" w:themeColor="text1"/>
                <w:sz w:val="22"/>
                <w:szCs w:val="22"/>
                <w:lang w:eastAsia="en-US"/>
              </w:rPr>
            </w:pPr>
            <w:r w:rsidRPr="00CF31E0">
              <w:rPr>
                <w:rFonts w:eastAsia="Calibri"/>
                <w:color w:val="000000" w:themeColor="text1"/>
                <w:sz w:val="22"/>
                <w:szCs w:val="22"/>
                <w:lang w:eastAsia="en-US"/>
              </w:rPr>
              <w:t>b. Computed only for a 2 × 2 table.</w:t>
            </w:r>
          </w:p>
        </w:tc>
      </w:tr>
    </w:tbl>
    <w:p w14:paraId="5DFCFF95" w14:textId="4446273E" w:rsidR="000B4835" w:rsidRPr="00CF31E0" w:rsidRDefault="000B4835" w:rsidP="002E4A31">
      <w:pPr>
        <w:pStyle w:val="Tablecaption"/>
        <w:rPr>
          <w:lang w:eastAsia="en-US"/>
        </w:rPr>
      </w:pPr>
      <w:bookmarkStart w:id="785" w:name="_Toc522527469"/>
      <w:bookmarkStart w:id="786" w:name="_Toc522628882"/>
      <w:bookmarkStart w:id="787" w:name="_Toc522629046"/>
      <w:bookmarkStart w:id="788" w:name="_Toc6473144"/>
      <w:r w:rsidRPr="00CF31E0">
        <w:rPr>
          <w:lang w:eastAsia="en-US"/>
        </w:rPr>
        <w:t xml:space="preserve">Table </w:t>
      </w:r>
      <w:r w:rsidR="00542E3D" w:rsidRPr="00CF31E0">
        <w:rPr>
          <w:lang w:eastAsia="en-US"/>
        </w:rPr>
        <w:t>11</w:t>
      </w:r>
      <w:r w:rsidR="00474248" w:rsidRPr="00CF31E0">
        <w:rPr>
          <w:lang w:eastAsia="en-US"/>
        </w:rPr>
        <w:t>.</w:t>
      </w:r>
      <w:r w:rsidR="002E4A31" w:rsidRPr="00CF31E0">
        <w:rPr>
          <w:lang w:eastAsia="en-US"/>
        </w:rPr>
        <w:t>6</w:t>
      </w:r>
      <w:r w:rsidRPr="00CF31E0">
        <w:rPr>
          <w:lang w:eastAsia="en-US"/>
        </w:rPr>
        <w:t>: Chi-square test results for social group demographic variable (VS2).</w:t>
      </w:r>
      <w:bookmarkEnd w:id="785"/>
      <w:bookmarkEnd w:id="786"/>
      <w:bookmarkEnd w:id="787"/>
      <w:bookmarkEnd w:id="788"/>
    </w:p>
    <w:p w14:paraId="4DE5E499" w14:textId="0E32998E" w:rsidR="000B4835" w:rsidRPr="00CF31E0" w:rsidRDefault="000B4835" w:rsidP="00603CB7">
      <w:pPr>
        <w:pStyle w:val="Paragraph"/>
        <w:rPr>
          <w:lang w:eastAsia="en-US"/>
        </w:rPr>
      </w:pPr>
      <w:r w:rsidRPr="00CF31E0">
        <w:rPr>
          <w:lang w:eastAsia="en-US"/>
        </w:rPr>
        <w:t>As can be seen from the table footnotes, the chi-square test did not find any cell that violated the assumption; all the cell</w:t>
      </w:r>
      <w:r w:rsidR="00C501C2" w:rsidRPr="00CF31E0">
        <w:rPr>
          <w:lang w:eastAsia="en-US"/>
        </w:rPr>
        <w:t>s in the current dataset have an account</w:t>
      </w:r>
      <w:r w:rsidRPr="00CF31E0">
        <w:rPr>
          <w:lang w:eastAsia="en-US"/>
        </w:rPr>
        <w:t xml:space="preserve"> greater than 10.48.</w:t>
      </w:r>
    </w:p>
    <w:p w14:paraId="2CA838E1" w14:textId="17F88E13" w:rsidR="00D74542" w:rsidRPr="00CF31E0" w:rsidRDefault="000B4835" w:rsidP="009677F5">
      <w:pPr>
        <w:pStyle w:val="Paragraph"/>
        <w:spacing w:after="0"/>
        <w:rPr>
          <w:lang w:eastAsia="en-US"/>
        </w:rPr>
      </w:pPr>
      <w:r w:rsidRPr="00CF31E0">
        <w:rPr>
          <w:lang w:eastAsia="en-US"/>
        </w:rPr>
        <w:t xml:space="preserve">If a variable has two categories, the most important output that the researcher needs to look at is the p value in </w:t>
      </w:r>
      <w:r w:rsidRPr="00CF31E0">
        <w:rPr>
          <w:i/>
          <w:iCs/>
          <w:lang w:eastAsia="en-US"/>
        </w:rPr>
        <w:t xml:space="preserve">continuity correction </w:t>
      </w:r>
      <w:r w:rsidRPr="00CF31E0">
        <w:rPr>
          <w:lang w:eastAsia="en-US"/>
        </w:rPr>
        <w:t xml:space="preserve">in the column labelled </w:t>
      </w:r>
      <w:r w:rsidRPr="00CF31E0">
        <w:rPr>
          <w:i/>
          <w:iCs/>
          <w:lang w:eastAsia="en-US"/>
        </w:rPr>
        <w:t>asymptotic significance.</w:t>
      </w:r>
      <w:r w:rsidRPr="00CF31E0">
        <w:rPr>
          <w:lang w:eastAsia="en-US"/>
        </w:rPr>
        <w:t xml:space="preserve"> The significance value needs to be .05 or less. The </w:t>
      </w:r>
      <w:r w:rsidRPr="00CF31E0">
        <w:rPr>
          <w:i/>
          <w:iCs/>
          <w:lang w:eastAsia="en-US"/>
        </w:rPr>
        <w:t xml:space="preserve">Pearson chi-square </w:t>
      </w:r>
      <w:r w:rsidRPr="00CF31E0">
        <w:rPr>
          <w:lang w:eastAsia="en-US"/>
        </w:rPr>
        <w:t xml:space="preserve">value should be examined if there are more than two categories within the variable. Table </w:t>
      </w:r>
      <w:r w:rsidR="002E4A31" w:rsidRPr="00CF31E0">
        <w:rPr>
          <w:lang w:eastAsia="en-US"/>
        </w:rPr>
        <w:t>11</w:t>
      </w:r>
      <w:r w:rsidR="00A83FFE" w:rsidRPr="00CF31E0">
        <w:rPr>
          <w:lang w:eastAsia="en-US"/>
        </w:rPr>
        <w:t>.</w:t>
      </w:r>
      <w:r w:rsidR="002E4A31" w:rsidRPr="00CF31E0">
        <w:rPr>
          <w:lang w:eastAsia="en-US"/>
        </w:rPr>
        <w:t xml:space="preserve">6 </w:t>
      </w:r>
      <w:r w:rsidRPr="00CF31E0">
        <w:rPr>
          <w:lang w:eastAsia="en-US"/>
        </w:rPr>
        <w:t xml:space="preserve">shows that the </w:t>
      </w:r>
      <w:r w:rsidRPr="00CF31E0">
        <w:rPr>
          <w:lang w:eastAsia="en-US"/>
        </w:rPr>
        <w:lastRenderedPageBreak/>
        <w:t xml:space="preserve">corrected value is 4.889 with a p value of .027, which shows statistical significance. For a breakdown of the results, see Table </w:t>
      </w:r>
      <w:r w:rsidR="00A83FFE" w:rsidRPr="00CF31E0">
        <w:rPr>
          <w:lang w:eastAsia="en-US"/>
        </w:rPr>
        <w:t>10.</w:t>
      </w:r>
      <w:r w:rsidRPr="00CF31E0">
        <w:rPr>
          <w:lang w:eastAsia="en-US"/>
        </w:rPr>
        <w:t>6.</w:t>
      </w:r>
    </w:p>
    <w:tbl>
      <w:tblPr>
        <w:tblW w:w="7401" w:type="dxa"/>
        <w:tblInd w:w="-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739"/>
        <w:gridCol w:w="709"/>
        <w:gridCol w:w="1701"/>
        <w:gridCol w:w="1701"/>
        <w:gridCol w:w="1559"/>
        <w:gridCol w:w="992"/>
      </w:tblGrid>
      <w:tr w:rsidR="007F558A" w:rsidRPr="00CF31E0" w14:paraId="292298EF" w14:textId="77777777" w:rsidTr="00603CB7">
        <w:trPr>
          <w:cantSplit/>
        </w:trPr>
        <w:tc>
          <w:tcPr>
            <w:tcW w:w="3149" w:type="dxa"/>
            <w:gridSpan w:val="3"/>
            <w:vMerge w:val="restart"/>
            <w:shd w:val="clear" w:color="auto" w:fill="FFFFFF"/>
            <w:vAlign w:val="bottom"/>
          </w:tcPr>
          <w:p w14:paraId="236E2592" w14:textId="77777777" w:rsidR="000B4835" w:rsidRPr="00CF31E0" w:rsidRDefault="000B4835" w:rsidP="00603CB7">
            <w:pPr>
              <w:spacing w:line="360" w:lineRule="auto"/>
              <w:jc w:val="both"/>
              <w:rPr>
                <w:rFonts w:eastAsia="Calibri"/>
                <w:color w:val="000000" w:themeColor="text1"/>
                <w:sz w:val="22"/>
                <w:szCs w:val="22"/>
                <w:lang w:eastAsia="en-US"/>
              </w:rPr>
            </w:pPr>
          </w:p>
        </w:tc>
        <w:tc>
          <w:tcPr>
            <w:tcW w:w="3260" w:type="dxa"/>
            <w:gridSpan w:val="2"/>
            <w:shd w:val="clear" w:color="auto" w:fill="FFFFFF"/>
            <w:vAlign w:val="bottom"/>
          </w:tcPr>
          <w:p w14:paraId="53A41BD8" w14:textId="77777777" w:rsidR="000B4835" w:rsidRPr="00CF31E0" w:rsidRDefault="000B4835" w:rsidP="00603CB7">
            <w:pPr>
              <w:widowControl w:val="0"/>
              <w:autoSpaceDE w:val="0"/>
              <w:autoSpaceDN w:val="0"/>
              <w:adjustRightInd w:val="0"/>
              <w:spacing w:line="360" w:lineRule="auto"/>
              <w:ind w:left="60" w:right="60"/>
              <w:jc w:val="center"/>
              <w:rPr>
                <w:rFonts w:eastAsia="Calibri"/>
                <w:color w:val="000000" w:themeColor="text1"/>
                <w:sz w:val="22"/>
                <w:szCs w:val="22"/>
                <w:lang w:eastAsia="en-US"/>
              </w:rPr>
            </w:pPr>
            <w:r w:rsidRPr="00CF31E0">
              <w:rPr>
                <w:rFonts w:eastAsia="Calibri"/>
                <w:color w:val="000000" w:themeColor="text1"/>
                <w:sz w:val="22"/>
                <w:szCs w:val="22"/>
                <w:lang w:eastAsia="en-US"/>
              </w:rPr>
              <w:t>VS2</w:t>
            </w:r>
          </w:p>
        </w:tc>
        <w:tc>
          <w:tcPr>
            <w:tcW w:w="992" w:type="dxa"/>
            <w:vMerge w:val="restart"/>
            <w:shd w:val="clear" w:color="auto" w:fill="FFFFFF"/>
            <w:vAlign w:val="bottom"/>
          </w:tcPr>
          <w:p w14:paraId="59CD0416" w14:textId="77777777" w:rsidR="000B4835" w:rsidRPr="00CF31E0" w:rsidRDefault="000B4835" w:rsidP="00603CB7">
            <w:pPr>
              <w:widowControl w:val="0"/>
              <w:autoSpaceDE w:val="0"/>
              <w:autoSpaceDN w:val="0"/>
              <w:adjustRightInd w:val="0"/>
              <w:spacing w:line="360"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Total</w:t>
            </w:r>
          </w:p>
        </w:tc>
      </w:tr>
      <w:tr w:rsidR="007F558A" w:rsidRPr="00CF31E0" w14:paraId="1A57A852" w14:textId="77777777" w:rsidTr="00603CB7">
        <w:trPr>
          <w:cantSplit/>
        </w:trPr>
        <w:tc>
          <w:tcPr>
            <w:tcW w:w="3149" w:type="dxa"/>
            <w:gridSpan w:val="3"/>
            <w:vMerge/>
            <w:shd w:val="clear" w:color="auto" w:fill="FFFFFF"/>
            <w:vAlign w:val="bottom"/>
          </w:tcPr>
          <w:p w14:paraId="2F51D39B" w14:textId="77777777" w:rsidR="000B4835" w:rsidRPr="00CF31E0" w:rsidRDefault="000B4835" w:rsidP="00603CB7">
            <w:pPr>
              <w:widowControl w:val="0"/>
              <w:autoSpaceDE w:val="0"/>
              <w:autoSpaceDN w:val="0"/>
              <w:adjustRightInd w:val="0"/>
              <w:spacing w:line="360" w:lineRule="auto"/>
              <w:jc w:val="both"/>
              <w:rPr>
                <w:rFonts w:eastAsia="Calibri"/>
                <w:color w:val="000000" w:themeColor="text1"/>
                <w:sz w:val="22"/>
                <w:szCs w:val="22"/>
                <w:lang w:eastAsia="en-US"/>
              </w:rPr>
            </w:pPr>
          </w:p>
        </w:tc>
        <w:tc>
          <w:tcPr>
            <w:tcW w:w="1701" w:type="dxa"/>
            <w:shd w:val="clear" w:color="auto" w:fill="FFFFFF"/>
            <w:vAlign w:val="bottom"/>
          </w:tcPr>
          <w:p w14:paraId="712F9F6C" w14:textId="0F9A253E" w:rsidR="000B4835" w:rsidRPr="00CF31E0" w:rsidRDefault="00C501C2" w:rsidP="00603CB7">
            <w:pPr>
              <w:widowControl w:val="0"/>
              <w:autoSpaceDE w:val="0"/>
              <w:autoSpaceDN w:val="0"/>
              <w:adjustRightInd w:val="0"/>
              <w:spacing w:line="360" w:lineRule="auto"/>
              <w:ind w:right="60"/>
              <w:jc w:val="right"/>
              <w:rPr>
                <w:rFonts w:eastAsia="Calibri"/>
                <w:color w:val="000000" w:themeColor="text1"/>
                <w:sz w:val="22"/>
                <w:szCs w:val="22"/>
                <w:lang w:eastAsia="en-US"/>
              </w:rPr>
            </w:pPr>
            <w:r w:rsidRPr="00CF31E0">
              <w:rPr>
                <w:rFonts w:eastAsia="Calibri"/>
                <w:color w:val="000000" w:themeColor="text1"/>
                <w:sz w:val="22"/>
                <w:szCs w:val="22"/>
                <w:lang w:eastAsia="en-US"/>
              </w:rPr>
              <w:t>UBH</w:t>
            </w:r>
            <w:r w:rsidR="000B4835" w:rsidRPr="00CF31E0">
              <w:rPr>
                <w:rFonts w:eastAsia="Calibri"/>
                <w:color w:val="000000" w:themeColor="text1"/>
                <w:sz w:val="22"/>
                <w:szCs w:val="22"/>
                <w:lang w:eastAsia="en-US"/>
              </w:rPr>
              <w:t xml:space="preserve"> social group</w:t>
            </w:r>
          </w:p>
        </w:tc>
        <w:tc>
          <w:tcPr>
            <w:tcW w:w="1559" w:type="dxa"/>
            <w:shd w:val="clear" w:color="auto" w:fill="FFFFFF"/>
            <w:vAlign w:val="bottom"/>
          </w:tcPr>
          <w:p w14:paraId="4B03E254" w14:textId="1EFCC573" w:rsidR="000B4835" w:rsidRPr="00CF31E0" w:rsidRDefault="00C501C2" w:rsidP="00603CB7">
            <w:pPr>
              <w:widowControl w:val="0"/>
              <w:autoSpaceDE w:val="0"/>
              <w:autoSpaceDN w:val="0"/>
              <w:adjustRightInd w:val="0"/>
              <w:spacing w:line="360" w:lineRule="auto"/>
              <w:ind w:right="60"/>
              <w:jc w:val="right"/>
              <w:rPr>
                <w:rFonts w:eastAsia="Calibri"/>
                <w:color w:val="000000" w:themeColor="text1"/>
                <w:sz w:val="22"/>
                <w:szCs w:val="22"/>
                <w:lang w:eastAsia="en-US"/>
              </w:rPr>
            </w:pPr>
            <w:r w:rsidRPr="00CF31E0">
              <w:rPr>
                <w:rFonts w:eastAsia="Calibri"/>
                <w:color w:val="000000" w:themeColor="text1"/>
                <w:sz w:val="22"/>
                <w:szCs w:val="22"/>
                <w:lang w:eastAsia="en-US"/>
              </w:rPr>
              <w:t xml:space="preserve">HH </w:t>
            </w:r>
            <w:r w:rsidR="000B4835" w:rsidRPr="00CF31E0">
              <w:rPr>
                <w:rFonts w:eastAsia="Calibri"/>
                <w:color w:val="000000" w:themeColor="text1"/>
                <w:sz w:val="22"/>
                <w:szCs w:val="22"/>
                <w:lang w:eastAsia="en-US"/>
              </w:rPr>
              <w:t>social group</w:t>
            </w:r>
          </w:p>
        </w:tc>
        <w:tc>
          <w:tcPr>
            <w:tcW w:w="992" w:type="dxa"/>
            <w:vMerge/>
            <w:shd w:val="clear" w:color="auto" w:fill="FFFFFF"/>
            <w:vAlign w:val="bottom"/>
          </w:tcPr>
          <w:p w14:paraId="6F0E8029" w14:textId="77777777" w:rsidR="000B4835" w:rsidRPr="00CF31E0" w:rsidRDefault="000B4835" w:rsidP="00603CB7">
            <w:pPr>
              <w:widowControl w:val="0"/>
              <w:autoSpaceDE w:val="0"/>
              <w:autoSpaceDN w:val="0"/>
              <w:adjustRightInd w:val="0"/>
              <w:spacing w:line="360" w:lineRule="auto"/>
              <w:jc w:val="right"/>
              <w:rPr>
                <w:rFonts w:eastAsia="Calibri"/>
                <w:color w:val="000000" w:themeColor="text1"/>
                <w:sz w:val="22"/>
                <w:szCs w:val="22"/>
                <w:lang w:eastAsia="en-US"/>
              </w:rPr>
            </w:pPr>
          </w:p>
        </w:tc>
      </w:tr>
      <w:tr w:rsidR="007F558A" w:rsidRPr="00CF31E0" w14:paraId="76C24A73" w14:textId="77777777" w:rsidTr="00603CB7">
        <w:trPr>
          <w:cantSplit/>
        </w:trPr>
        <w:tc>
          <w:tcPr>
            <w:tcW w:w="739" w:type="dxa"/>
            <w:vMerge w:val="restart"/>
            <w:shd w:val="clear" w:color="auto" w:fill="FFFFFF"/>
          </w:tcPr>
          <w:p w14:paraId="2FE11C32" w14:textId="77777777" w:rsidR="000B4835" w:rsidRPr="00CF31E0" w:rsidRDefault="000B4835" w:rsidP="00603CB7">
            <w:pPr>
              <w:widowControl w:val="0"/>
              <w:autoSpaceDE w:val="0"/>
              <w:autoSpaceDN w:val="0"/>
              <w:adjustRightInd w:val="0"/>
              <w:spacing w:line="360"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Social</w:t>
            </w:r>
          </w:p>
          <w:p w14:paraId="6A036BCD" w14:textId="77777777" w:rsidR="000B4835" w:rsidRPr="00CF31E0" w:rsidRDefault="000B4835" w:rsidP="00603CB7">
            <w:pPr>
              <w:widowControl w:val="0"/>
              <w:autoSpaceDE w:val="0"/>
              <w:autoSpaceDN w:val="0"/>
              <w:adjustRightInd w:val="0"/>
              <w:spacing w:line="360"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group</w:t>
            </w:r>
          </w:p>
        </w:tc>
        <w:tc>
          <w:tcPr>
            <w:tcW w:w="709" w:type="dxa"/>
            <w:vMerge w:val="restart"/>
            <w:shd w:val="clear" w:color="auto" w:fill="FFFFFF"/>
          </w:tcPr>
          <w:p w14:paraId="204B75CF" w14:textId="7E52A4E0" w:rsidR="000B4835" w:rsidRPr="00CF31E0" w:rsidRDefault="00C501C2" w:rsidP="00603CB7">
            <w:pPr>
              <w:widowControl w:val="0"/>
              <w:autoSpaceDE w:val="0"/>
              <w:autoSpaceDN w:val="0"/>
              <w:adjustRightInd w:val="0"/>
              <w:spacing w:line="360"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UBH</w:t>
            </w:r>
          </w:p>
        </w:tc>
        <w:tc>
          <w:tcPr>
            <w:tcW w:w="1701" w:type="dxa"/>
            <w:shd w:val="clear" w:color="auto" w:fill="FFFFFF"/>
          </w:tcPr>
          <w:p w14:paraId="09F353FA" w14:textId="72D2D3AA" w:rsidR="000B4835" w:rsidRPr="00CF31E0" w:rsidRDefault="008C6682" w:rsidP="00603CB7">
            <w:pPr>
              <w:widowControl w:val="0"/>
              <w:autoSpaceDE w:val="0"/>
              <w:autoSpaceDN w:val="0"/>
              <w:adjustRightInd w:val="0"/>
              <w:spacing w:line="360"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Raw frequency</w:t>
            </w:r>
          </w:p>
        </w:tc>
        <w:tc>
          <w:tcPr>
            <w:tcW w:w="1701" w:type="dxa"/>
            <w:shd w:val="clear" w:color="auto" w:fill="FFFFFF"/>
            <w:vAlign w:val="center"/>
          </w:tcPr>
          <w:p w14:paraId="56E96620" w14:textId="77777777" w:rsidR="000B4835" w:rsidRPr="00CF31E0" w:rsidRDefault="000B4835" w:rsidP="00603CB7">
            <w:pPr>
              <w:widowControl w:val="0"/>
              <w:autoSpaceDE w:val="0"/>
              <w:autoSpaceDN w:val="0"/>
              <w:adjustRightInd w:val="0"/>
              <w:spacing w:line="360"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319</w:t>
            </w:r>
          </w:p>
        </w:tc>
        <w:tc>
          <w:tcPr>
            <w:tcW w:w="1559" w:type="dxa"/>
            <w:shd w:val="clear" w:color="auto" w:fill="FFFFFF"/>
            <w:vAlign w:val="center"/>
          </w:tcPr>
          <w:p w14:paraId="52FFBE54" w14:textId="7F26F12C" w:rsidR="000B4835" w:rsidRPr="00CF31E0" w:rsidRDefault="00C64F0C" w:rsidP="00603CB7">
            <w:pPr>
              <w:widowControl w:val="0"/>
              <w:autoSpaceDE w:val="0"/>
              <w:autoSpaceDN w:val="0"/>
              <w:adjustRightInd w:val="0"/>
              <w:spacing w:line="360"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w:t>
            </w:r>
          </w:p>
        </w:tc>
        <w:tc>
          <w:tcPr>
            <w:tcW w:w="992" w:type="dxa"/>
            <w:shd w:val="clear" w:color="auto" w:fill="FFFFFF"/>
            <w:vAlign w:val="center"/>
          </w:tcPr>
          <w:p w14:paraId="38357B27" w14:textId="561E1412" w:rsidR="000B4835" w:rsidRPr="00CF31E0" w:rsidRDefault="000B4835" w:rsidP="00603CB7">
            <w:pPr>
              <w:widowControl w:val="0"/>
              <w:autoSpaceDE w:val="0"/>
              <w:autoSpaceDN w:val="0"/>
              <w:adjustRightInd w:val="0"/>
              <w:spacing w:line="360"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32</w:t>
            </w:r>
            <w:r w:rsidR="00C64F0C" w:rsidRPr="00CF31E0">
              <w:rPr>
                <w:rFonts w:eastAsia="Calibri"/>
                <w:color w:val="000000" w:themeColor="text1"/>
                <w:sz w:val="22"/>
                <w:szCs w:val="22"/>
                <w:lang w:eastAsia="en-US"/>
              </w:rPr>
              <w:t>3</w:t>
            </w:r>
          </w:p>
        </w:tc>
      </w:tr>
      <w:tr w:rsidR="007F558A" w:rsidRPr="00CF31E0" w14:paraId="6DC9B19F" w14:textId="77777777" w:rsidTr="00603CB7">
        <w:trPr>
          <w:cantSplit/>
          <w:trHeight w:val="658"/>
        </w:trPr>
        <w:tc>
          <w:tcPr>
            <w:tcW w:w="739" w:type="dxa"/>
            <w:vMerge/>
            <w:shd w:val="clear" w:color="auto" w:fill="FFFFFF"/>
          </w:tcPr>
          <w:p w14:paraId="16AF2254" w14:textId="77777777" w:rsidR="000B4835" w:rsidRPr="00CF31E0" w:rsidRDefault="000B4835" w:rsidP="00603CB7">
            <w:pPr>
              <w:widowControl w:val="0"/>
              <w:autoSpaceDE w:val="0"/>
              <w:autoSpaceDN w:val="0"/>
              <w:adjustRightInd w:val="0"/>
              <w:spacing w:line="360" w:lineRule="auto"/>
              <w:jc w:val="both"/>
              <w:rPr>
                <w:rFonts w:eastAsia="Calibri"/>
                <w:color w:val="000000" w:themeColor="text1"/>
                <w:sz w:val="22"/>
                <w:szCs w:val="22"/>
                <w:lang w:eastAsia="en-US"/>
              </w:rPr>
            </w:pPr>
          </w:p>
        </w:tc>
        <w:tc>
          <w:tcPr>
            <w:tcW w:w="709" w:type="dxa"/>
            <w:vMerge/>
            <w:shd w:val="clear" w:color="auto" w:fill="FFFFFF"/>
          </w:tcPr>
          <w:p w14:paraId="57C4B06E" w14:textId="77777777" w:rsidR="000B4835" w:rsidRPr="00CF31E0" w:rsidRDefault="000B4835" w:rsidP="00603CB7">
            <w:pPr>
              <w:widowControl w:val="0"/>
              <w:autoSpaceDE w:val="0"/>
              <w:autoSpaceDN w:val="0"/>
              <w:adjustRightInd w:val="0"/>
              <w:spacing w:line="360" w:lineRule="auto"/>
              <w:jc w:val="both"/>
              <w:rPr>
                <w:rFonts w:eastAsia="Calibri"/>
                <w:color w:val="000000" w:themeColor="text1"/>
                <w:sz w:val="22"/>
                <w:szCs w:val="22"/>
                <w:lang w:eastAsia="en-US"/>
              </w:rPr>
            </w:pPr>
          </w:p>
        </w:tc>
        <w:tc>
          <w:tcPr>
            <w:tcW w:w="1701" w:type="dxa"/>
            <w:shd w:val="clear" w:color="auto" w:fill="FFFFFF"/>
          </w:tcPr>
          <w:p w14:paraId="2FB1437A" w14:textId="77777777" w:rsidR="000B4835" w:rsidRPr="00CF31E0" w:rsidRDefault="000B4835" w:rsidP="00603CB7">
            <w:pPr>
              <w:widowControl w:val="0"/>
              <w:autoSpaceDE w:val="0"/>
              <w:autoSpaceDN w:val="0"/>
              <w:adjustRightInd w:val="0"/>
              <w:spacing w:line="360"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 within Social group</w:t>
            </w:r>
          </w:p>
        </w:tc>
        <w:tc>
          <w:tcPr>
            <w:tcW w:w="1701" w:type="dxa"/>
            <w:shd w:val="clear" w:color="auto" w:fill="FFFFFF"/>
            <w:vAlign w:val="center"/>
          </w:tcPr>
          <w:p w14:paraId="3E767F27" w14:textId="77777777" w:rsidR="000B4835" w:rsidRPr="00CF31E0" w:rsidRDefault="000B4835" w:rsidP="00603CB7">
            <w:pPr>
              <w:widowControl w:val="0"/>
              <w:autoSpaceDE w:val="0"/>
              <w:autoSpaceDN w:val="0"/>
              <w:adjustRightInd w:val="0"/>
              <w:spacing w:line="360"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98.5%</w:t>
            </w:r>
          </w:p>
        </w:tc>
        <w:tc>
          <w:tcPr>
            <w:tcW w:w="1559" w:type="dxa"/>
            <w:shd w:val="clear" w:color="auto" w:fill="FFFFFF"/>
            <w:vAlign w:val="center"/>
          </w:tcPr>
          <w:p w14:paraId="62F8E138" w14:textId="77777777" w:rsidR="000B4835" w:rsidRPr="00CF31E0" w:rsidRDefault="000B4835" w:rsidP="00603CB7">
            <w:pPr>
              <w:widowControl w:val="0"/>
              <w:autoSpaceDE w:val="0"/>
              <w:autoSpaceDN w:val="0"/>
              <w:adjustRightInd w:val="0"/>
              <w:spacing w:line="360"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1.5%</w:t>
            </w:r>
          </w:p>
        </w:tc>
        <w:tc>
          <w:tcPr>
            <w:tcW w:w="992" w:type="dxa"/>
            <w:shd w:val="clear" w:color="auto" w:fill="FFFFFF"/>
            <w:vAlign w:val="center"/>
          </w:tcPr>
          <w:p w14:paraId="00E50A53" w14:textId="77777777" w:rsidR="000B4835" w:rsidRPr="00CF31E0" w:rsidRDefault="000B4835" w:rsidP="00603CB7">
            <w:pPr>
              <w:widowControl w:val="0"/>
              <w:autoSpaceDE w:val="0"/>
              <w:autoSpaceDN w:val="0"/>
              <w:adjustRightInd w:val="0"/>
              <w:spacing w:line="360"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100.0%</w:t>
            </w:r>
          </w:p>
        </w:tc>
      </w:tr>
      <w:tr w:rsidR="007F558A" w:rsidRPr="00CF31E0" w14:paraId="34C870C5" w14:textId="77777777" w:rsidTr="00603CB7">
        <w:trPr>
          <w:cantSplit/>
        </w:trPr>
        <w:tc>
          <w:tcPr>
            <w:tcW w:w="739" w:type="dxa"/>
            <w:vMerge/>
            <w:shd w:val="clear" w:color="auto" w:fill="FFFFFF"/>
          </w:tcPr>
          <w:p w14:paraId="5B925532" w14:textId="77777777" w:rsidR="000B4835" w:rsidRPr="00CF31E0" w:rsidRDefault="000B4835" w:rsidP="00603CB7">
            <w:pPr>
              <w:widowControl w:val="0"/>
              <w:autoSpaceDE w:val="0"/>
              <w:autoSpaceDN w:val="0"/>
              <w:adjustRightInd w:val="0"/>
              <w:spacing w:line="360" w:lineRule="auto"/>
              <w:jc w:val="both"/>
              <w:rPr>
                <w:rFonts w:eastAsia="Calibri"/>
                <w:color w:val="000000" w:themeColor="text1"/>
                <w:sz w:val="22"/>
                <w:szCs w:val="22"/>
                <w:lang w:eastAsia="en-US"/>
              </w:rPr>
            </w:pPr>
          </w:p>
        </w:tc>
        <w:tc>
          <w:tcPr>
            <w:tcW w:w="709" w:type="dxa"/>
            <w:vMerge/>
            <w:shd w:val="clear" w:color="auto" w:fill="FFFFFF"/>
          </w:tcPr>
          <w:p w14:paraId="17DB42BF" w14:textId="77777777" w:rsidR="000B4835" w:rsidRPr="00CF31E0" w:rsidRDefault="000B4835" w:rsidP="00603CB7">
            <w:pPr>
              <w:widowControl w:val="0"/>
              <w:autoSpaceDE w:val="0"/>
              <w:autoSpaceDN w:val="0"/>
              <w:adjustRightInd w:val="0"/>
              <w:spacing w:line="360" w:lineRule="auto"/>
              <w:jc w:val="both"/>
              <w:rPr>
                <w:rFonts w:eastAsia="Calibri"/>
                <w:color w:val="000000" w:themeColor="text1"/>
                <w:sz w:val="22"/>
                <w:szCs w:val="22"/>
                <w:lang w:eastAsia="en-US"/>
              </w:rPr>
            </w:pPr>
          </w:p>
        </w:tc>
        <w:tc>
          <w:tcPr>
            <w:tcW w:w="1701" w:type="dxa"/>
            <w:shd w:val="clear" w:color="auto" w:fill="FFFFFF"/>
          </w:tcPr>
          <w:p w14:paraId="519C5C39" w14:textId="77777777" w:rsidR="000B4835" w:rsidRPr="00CF31E0" w:rsidRDefault="000B4835" w:rsidP="00603CB7">
            <w:pPr>
              <w:widowControl w:val="0"/>
              <w:autoSpaceDE w:val="0"/>
              <w:autoSpaceDN w:val="0"/>
              <w:adjustRightInd w:val="0"/>
              <w:spacing w:line="360"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 of Total</w:t>
            </w:r>
          </w:p>
        </w:tc>
        <w:tc>
          <w:tcPr>
            <w:tcW w:w="1701" w:type="dxa"/>
            <w:shd w:val="clear" w:color="auto" w:fill="FFFFFF"/>
            <w:vAlign w:val="center"/>
          </w:tcPr>
          <w:p w14:paraId="768AD171" w14:textId="77777777" w:rsidR="000B4835" w:rsidRPr="00CF31E0" w:rsidRDefault="000B4835" w:rsidP="00603CB7">
            <w:pPr>
              <w:widowControl w:val="0"/>
              <w:autoSpaceDE w:val="0"/>
              <w:autoSpaceDN w:val="0"/>
              <w:adjustRightInd w:val="0"/>
              <w:spacing w:line="360"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49.2%</w:t>
            </w:r>
          </w:p>
        </w:tc>
        <w:tc>
          <w:tcPr>
            <w:tcW w:w="1559" w:type="dxa"/>
            <w:shd w:val="clear" w:color="auto" w:fill="FFFFFF"/>
            <w:vAlign w:val="center"/>
          </w:tcPr>
          <w:p w14:paraId="4691DAFB" w14:textId="77777777" w:rsidR="000B4835" w:rsidRPr="00CF31E0" w:rsidRDefault="000B4835" w:rsidP="00603CB7">
            <w:pPr>
              <w:widowControl w:val="0"/>
              <w:autoSpaceDE w:val="0"/>
              <w:autoSpaceDN w:val="0"/>
              <w:adjustRightInd w:val="0"/>
              <w:spacing w:line="360"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0.8%</w:t>
            </w:r>
          </w:p>
        </w:tc>
        <w:tc>
          <w:tcPr>
            <w:tcW w:w="992" w:type="dxa"/>
            <w:shd w:val="clear" w:color="auto" w:fill="FFFFFF"/>
            <w:vAlign w:val="center"/>
          </w:tcPr>
          <w:p w14:paraId="648A9D7B" w14:textId="77777777" w:rsidR="000B4835" w:rsidRPr="00CF31E0" w:rsidRDefault="000B4835" w:rsidP="00603CB7">
            <w:pPr>
              <w:widowControl w:val="0"/>
              <w:autoSpaceDE w:val="0"/>
              <w:autoSpaceDN w:val="0"/>
              <w:adjustRightInd w:val="0"/>
              <w:spacing w:line="360"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49.9%</w:t>
            </w:r>
          </w:p>
        </w:tc>
      </w:tr>
      <w:tr w:rsidR="007F558A" w:rsidRPr="00CF31E0" w14:paraId="7D0FE454" w14:textId="77777777" w:rsidTr="00603CB7">
        <w:trPr>
          <w:cantSplit/>
          <w:trHeight w:val="343"/>
        </w:trPr>
        <w:tc>
          <w:tcPr>
            <w:tcW w:w="739" w:type="dxa"/>
            <w:vMerge/>
            <w:shd w:val="clear" w:color="auto" w:fill="FFFFFF"/>
          </w:tcPr>
          <w:p w14:paraId="089AFD6D" w14:textId="77777777" w:rsidR="000B4835" w:rsidRPr="00CF31E0" w:rsidRDefault="000B4835" w:rsidP="00603CB7">
            <w:pPr>
              <w:widowControl w:val="0"/>
              <w:autoSpaceDE w:val="0"/>
              <w:autoSpaceDN w:val="0"/>
              <w:adjustRightInd w:val="0"/>
              <w:spacing w:line="360" w:lineRule="auto"/>
              <w:jc w:val="both"/>
              <w:rPr>
                <w:rFonts w:eastAsia="Calibri"/>
                <w:color w:val="000000" w:themeColor="text1"/>
                <w:sz w:val="22"/>
                <w:szCs w:val="22"/>
                <w:lang w:eastAsia="en-US"/>
              </w:rPr>
            </w:pPr>
          </w:p>
        </w:tc>
        <w:tc>
          <w:tcPr>
            <w:tcW w:w="709" w:type="dxa"/>
            <w:vMerge w:val="restart"/>
            <w:shd w:val="clear" w:color="auto" w:fill="FFFFFF"/>
          </w:tcPr>
          <w:p w14:paraId="3CF8F97E" w14:textId="338431CE" w:rsidR="000B4835" w:rsidRPr="00CF31E0" w:rsidRDefault="000B4835" w:rsidP="00603CB7">
            <w:pPr>
              <w:widowControl w:val="0"/>
              <w:autoSpaceDE w:val="0"/>
              <w:autoSpaceDN w:val="0"/>
              <w:adjustRightInd w:val="0"/>
              <w:spacing w:line="360"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H</w:t>
            </w:r>
            <w:r w:rsidR="00C501C2" w:rsidRPr="00CF31E0">
              <w:rPr>
                <w:rFonts w:eastAsia="Calibri"/>
                <w:color w:val="000000" w:themeColor="text1"/>
                <w:sz w:val="22"/>
                <w:szCs w:val="22"/>
                <w:lang w:eastAsia="en-US"/>
              </w:rPr>
              <w:t>H</w:t>
            </w:r>
          </w:p>
        </w:tc>
        <w:tc>
          <w:tcPr>
            <w:tcW w:w="1701" w:type="dxa"/>
            <w:shd w:val="clear" w:color="auto" w:fill="FFFFFF"/>
          </w:tcPr>
          <w:p w14:paraId="368827C6" w14:textId="67B297A6" w:rsidR="000B4835" w:rsidRPr="00CF31E0" w:rsidRDefault="008C6682" w:rsidP="00603CB7">
            <w:pPr>
              <w:widowControl w:val="0"/>
              <w:autoSpaceDE w:val="0"/>
              <w:autoSpaceDN w:val="0"/>
              <w:adjustRightInd w:val="0"/>
              <w:spacing w:line="360"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Raw frequency</w:t>
            </w:r>
          </w:p>
        </w:tc>
        <w:tc>
          <w:tcPr>
            <w:tcW w:w="1701" w:type="dxa"/>
            <w:shd w:val="clear" w:color="auto" w:fill="FFFFFF"/>
            <w:vAlign w:val="center"/>
          </w:tcPr>
          <w:p w14:paraId="206A97F8" w14:textId="77777777" w:rsidR="000B4835" w:rsidRPr="00CF31E0" w:rsidRDefault="000B4835" w:rsidP="00603CB7">
            <w:pPr>
              <w:widowControl w:val="0"/>
              <w:autoSpaceDE w:val="0"/>
              <w:autoSpaceDN w:val="0"/>
              <w:adjustRightInd w:val="0"/>
              <w:spacing w:line="360"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309</w:t>
            </w:r>
          </w:p>
        </w:tc>
        <w:tc>
          <w:tcPr>
            <w:tcW w:w="1559" w:type="dxa"/>
            <w:shd w:val="clear" w:color="auto" w:fill="FFFFFF"/>
            <w:vAlign w:val="center"/>
          </w:tcPr>
          <w:p w14:paraId="3454D20C" w14:textId="6F02A00F" w:rsidR="000B4835" w:rsidRPr="00CF31E0" w:rsidRDefault="000B4835" w:rsidP="00603CB7">
            <w:pPr>
              <w:widowControl w:val="0"/>
              <w:autoSpaceDE w:val="0"/>
              <w:autoSpaceDN w:val="0"/>
              <w:adjustRightInd w:val="0"/>
              <w:spacing w:line="360"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w:t>
            </w:r>
            <w:r w:rsidR="00C64F0C" w:rsidRPr="00CF31E0">
              <w:rPr>
                <w:rFonts w:eastAsia="Calibri"/>
                <w:color w:val="000000" w:themeColor="text1"/>
                <w:sz w:val="22"/>
                <w:szCs w:val="22"/>
                <w:lang w:eastAsia="en-US"/>
              </w:rPr>
              <w:t>7</w:t>
            </w:r>
          </w:p>
        </w:tc>
        <w:tc>
          <w:tcPr>
            <w:tcW w:w="992" w:type="dxa"/>
            <w:shd w:val="clear" w:color="auto" w:fill="FFFFFF"/>
            <w:vAlign w:val="center"/>
          </w:tcPr>
          <w:p w14:paraId="350ADEBE" w14:textId="65741D2F" w:rsidR="000B4835" w:rsidRPr="00CF31E0" w:rsidRDefault="000B4835" w:rsidP="00603CB7">
            <w:pPr>
              <w:widowControl w:val="0"/>
              <w:autoSpaceDE w:val="0"/>
              <w:autoSpaceDN w:val="0"/>
              <w:adjustRightInd w:val="0"/>
              <w:spacing w:line="360"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32</w:t>
            </w:r>
            <w:r w:rsidR="00C64F0C" w:rsidRPr="00CF31E0">
              <w:rPr>
                <w:rFonts w:eastAsia="Calibri"/>
                <w:color w:val="000000" w:themeColor="text1"/>
                <w:sz w:val="22"/>
                <w:szCs w:val="22"/>
                <w:lang w:eastAsia="en-US"/>
              </w:rPr>
              <w:t>6</w:t>
            </w:r>
          </w:p>
        </w:tc>
      </w:tr>
      <w:tr w:rsidR="007F558A" w:rsidRPr="00CF31E0" w14:paraId="06C4B59C" w14:textId="77777777" w:rsidTr="00603CB7">
        <w:trPr>
          <w:cantSplit/>
        </w:trPr>
        <w:tc>
          <w:tcPr>
            <w:tcW w:w="739" w:type="dxa"/>
            <w:vMerge/>
            <w:shd w:val="clear" w:color="auto" w:fill="FFFFFF"/>
          </w:tcPr>
          <w:p w14:paraId="65B76B64" w14:textId="77777777" w:rsidR="000B4835" w:rsidRPr="00CF31E0" w:rsidRDefault="000B4835" w:rsidP="00603CB7">
            <w:pPr>
              <w:widowControl w:val="0"/>
              <w:autoSpaceDE w:val="0"/>
              <w:autoSpaceDN w:val="0"/>
              <w:adjustRightInd w:val="0"/>
              <w:spacing w:line="360" w:lineRule="auto"/>
              <w:jc w:val="both"/>
              <w:rPr>
                <w:rFonts w:eastAsia="Calibri"/>
                <w:color w:val="000000" w:themeColor="text1"/>
                <w:sz w:val="22"/>
                <w:szCs w:val="22"/>
                <w:lang w:eastAsia="en-US"/>
              </w:rPr>
            </w:pPr>
          </w:p>
        </w:tc>
        <w:tc>
          <w:tcPr>
            <w:tcW w:w="709" w:type="dxa"/>
            <w:vMerge/>
            <w:shd w:val="clear" w:color="auto" w:fill="FFFFFF"/>
          </w:tcPr>
          <w:p w14:paraId="489FC55A" w14:textId="77777777" w:rsidR="000B4835" w:rsidRPr="00CF31E0" w:rsidRDefault="000B4835" w:rsidP="00603CB7">
            <w:pPr>
              <w:widowControl w:val="0"/>
              <w:autoSpaceDE w:val="0"/>
              <w:autoSpaceDN w:val="0"/>
              <w:adjustRightInd w:val="0"/>
              <w:spacing w:line="360" w:lineRule="auto"/>
              <w:jc w:val="both"/>
              <w:rPr>
                <w:rFonts w:eastAsia="Calibri"/>
                <w:color w:val="000000" w:themeColor="text1"/>
                <w:sz w:val="22"/>
                <w:szCs w:val="22"/>
                <w:lang w:eastAsia="en-US"/>
              </w:rPr>
            </w:pPr>
          </w:p>
        </w:tc>
        <w:tc>
          <w:tcPr>
            <w:tcW w:w="1701" w:type="dxa"/>
            <w:shd w:val="clear" w:color="auto" w:fill="FFFFFF"/>
          </w:tcPr>
          <w:p w14:paraId="3462E85C" w14:textId="77777777" w:rsidR="000B4835" w:rsidRPr="00CF31E0" w:rsidRDefault="000B4835" w:rsidP="00603CB7">
            <w:pPr>
              <w:widowControl w:val="0"/>
              <w:autoSpaceDE w:val="0"/>
              <w:autoSpaceDN w:val="0"/>
              <w:adjustRightInd w:val="0"/>
              <w:spacing w:line="360"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 within Social group</w:t>
            </w:r>
          </w:p>
        </w:tc>
        <w:tc>
          <w:tcPr>
            <w:tcW w:w="1701" w:type="dxa"/>
            <w:shd w:val="clear" w:color="auto" w:fill="FFFFFF"/>
            <w:vAlign w:val="center"/>
          </w:tcPr>
          <w:p w14:paraId="5178E305" w14:textId="77777777" w:rsidR="000B4835" w:rsidRPr="00CF31E0" w:rsidRDefault="000B4835" w:rsidP="00603CB7">
            <w:pPr>
              <w:widowControl w:val="0"/>
              <w:autoSpaceDE w:val="0"/>
              <w:autoSpaceDN w:val="0"/>
              <w:adjustRightInd w:val="0"/>
              <w:spacing w:line="360"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95.1%</w:t>
            </w:r>
          </w:p>
        </w:tc>
        <w:tc>
          <w:tcPr>
            <w:tcW w:w="1559" w:type="dxa"/>
            <w:shd w:val="clear" w:color="auto" w:fill="FFFFFF"/>
            <w:vAlign w:val="center"/>
          </w:tcPr>
          <w:p w14:paraId="25AA093D" w14:textId="77777777" w:rsidR="000B4835" w:rsidRPr="00CF31E0" w:rsidRDefault="000B4835" w:rsidP="00603CB7">
            <w:pPr>
              <w:widowControl w:val="0"/>
              <w:autoSpaceDE w:val="0"/>
              <w:autoSpaceDN w:val="0"/>
              <w:adjustRightInd w:val="0"/>
              <w:spacing w:line="360"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4.9%</w:t>
            </w:r>
          </w:p>
        </w:tc>
        <w:tc>
          <w:tcPr>
            <w:tcW w:w="992" w:type="dxa"/>
            <w:shd w:val="clear" w:color="auto" w:fill="FFFFFF"/>
            <w:vAlign w:val="center"/>
          </w:tcPr>
          <w:p w14:paraId="07313B83" w14:textId="77777777" w:rsidR="000B4835" w:rsidRPr="00CF31E0" w:rsidRDefault="000B4835" w:rsidP="00603CB7">
            <w:pPr>
              <w:widowControl w:val="0"/>
              <w:autoSpaceDE w:val="0"/>
              <w:autoSpaceDN w:val="0"/>
              <w:adjustRightInd w:val="0"/>
              <w:spacing w:line="360"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100.0%</w:t>
            </w:r>
          </w:p>
        </w:tc>
      </w:tr>
      <w:tr w:rsidR="007F558A" w:rsidRPr="00CF31E0" w14:paraId="2912BC67" w14:textId="77777777" w:rsidTr="00603CB7">
        <w:trPr>
          <w:cantSplit/>
        </w:trPr>
        <w:tc>
          <w:tcPr>
            <w:tcW w:w="739" w:type="dxa"/>
            <w:vMerge/>
            <w:shd w:val="clear" w:color="auto" w:fill="FFFFFF"/>
          </w:tcPr>
          <w:p w14:paraId="7E5E9606" w14:textId="77777777" w:rsidR="000B4835" w:rsidRPr="00CF31E0" w:rsidRDefault="000B4835" w:rsidP="00603CB7">
            <w:pPr>
              <w:widowControl w:val="0"/>
              <w:autoSpaceDE w:val="0"/>
              <w:autoSpaceDN w:val="0"/>
              <w:adjustRightInd w:val="0"/>
              <w:spacing w:line="360" w:lineRule="auto"/>
              <w:jc w:val="both"/>
              <w:rPr>
                <w:rFonts w:eastAsia="Calibri"/>
                <w:color w:val="000000" w:themeColor="text1"/>
                <w:sz w:val="22"/>
                <w:szCs w:val="22"/>
                <w:lang w:eastAsia="en-US"/>
              </w:rPr>
            </w:pPr>
          </w:p>
        </w:tc>
        <w:tc>
          <w:tcPr>
            <w:tcW w:w="709" w:type="dxa"/>
            <w:vMerge/>
            <w:shd w:val="clear" w:color="auto" w:fill="FFFFFF"/>
          </w:tcPr>
          <w:p w14:paraId="0DAE516E" w14:textId="77777777" w:rsidR="000B4835" w:rsidRPr="00CF31E0" w:rsidRDefault="000B4835" w:rsidP="00603CB7">
            <w:pPr>
              <w:widowControl w:val="0"/>
              <w:autoSpaceDE w:val="0"/>
              <w:autoSpaceDN w:val="0"/>
              <w:adjustRightInd w:val="0"/>
              <w:spacing w:line="360" w:lineRule="auto"/>
              <w:jc w:val="both"/>
              <w:rPr>
                <w:rFonts w:eastAsia="Calibri"/>
                <w:color w:val="000000" w:themeColor="text1"/>
                <w:sz w:val="22"/>
                <w:szCs w:val="22"/>
                <w:lang w:eastAsia="en-US"/>
              </w:rPr>
            </w:pPr>
          </w:p>
        </w:tc>
        <w:tc>
          <w:tcPr>
            <w:tcW w:w="1701" w:type="dxa"/>
            <w:shd w:val="clear" w:color="auto" w:fill="FFFFFF"/>
          </w:tcPr>
          <w:p w14:paraId="737695FD" w14:textId="77777777" w:rsidR="000B4835" w:rsidRPr="00CF31E0" w:rsidRDefault="000B4835" w:rsidP="00603CB7">
            <w:pPr>
              <w:widowControl w:val="0"/>
              <w:autoSpaceDE w:val="0"/>
              <w:autoSpaceDN w:val="0"/>
              <w:adjustRightInd w:val="0"/>
              <w:spacing w:line="360"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 of Total</w:t>
            </w:r>
          </w:p>
        </w:tc>
        <w:tc>
          <w:tcPr>
            <w:tcW w:w="1701" w:type="dxa"/>
            <w:shd w:val="clear" w:color="auto" w:fill="FFFFFF"/>
            <w:vAlign w:val="center"/>
          </w:tcPr>
          <w:p w14:paraId="2765117C" w14:textId="77777777" w:rsidR="000B4835" w:rsidRPr="00CF31E0" w:rsidRDefault="000B4835" w:rsidP="00603CB7">
            <w:pPr>
              <w:widowControl w:val="0"/>
              <w:autoSpaceDE w:val="0"/>
              <w:autoSpaceDN w:val="0"/>
              <w:adjustRightInd w:val="0"/>
              <w:spacing w:line="360"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47.6%</w:t>
            </w:r>
          </w:p>
        </w:tc>
        <w:tc>
          <w:tcPr>
            <w:tcW w:w="1559" w:type="dxa"/>
            <w:shd w:val="clear" w:color="auto" w:fill="FFFFFF"/>
            <w:vAlign w:val="center"/>
          </w:tcPr>
          <w:p w14:paraId="6B5C7E36" w14:textId="77777777" w:rsidR="000B4835" w:rsidRPr="00CF31E0" w:rsidRDefault="000B4835" w:rsidP="00603CB7">
            <w:pPr>
              <w:widowControl w:val="0"/>
              <w:autoSpaceDE w:val="0"/>
              <w:autoSpaceDN w:val="0"/>
              <w:adjustRightInd w:val="0"/>
              <w:spacing w:line="360"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2.5%</w:t>
            </w:r>
          </w:p>
        </w:tc>
        <w:tc>
          <w:tcPr>
            <w:tcW w:w="992" w:type="dxa"/>
            <w:shd w:val="clear" w:color="auto" w:fill="FFFFFF"/>
            <w:vAlign w:val="center"/>
          </w:tcPr>
          <w:p w14:paraId="5662D859" w14:textId="77777777" w:rsidR="000B4835" w:rsidRPr="00CF31E0" w:rsidRDefault="000B4835" w:rsidP="00603CB7">
            <w:pPr>
              <w:widowControl w:val="0"/>
              <w:autoSpaceDE w:val="0"/>
              <w:autoSpaceDN w:val="0"/>
              <w:adjustRightInd w:val="0"/>
              <w:spacing w:line="360"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50.1%</w:t>
            </w:r>
          </w:p>
        </w:tc>
      </w:tr>
      <w:tr w:rsidR="007F558A" w:rsidRPr="00CF31E0" w14:paraId="1607DE40" w14:textId="77777777" w:rsidTr="00603CB7">
        <w:trPr>
          <w:cantSplit/>
        </w:trPr>
        <w:tc>
          <w:tcPr>
            <w:tcW w:w="1448" w:type="dxa"/>
            <w:gridSpan w:val="2"/>
            <w:vMerge w:val="restart"/>
            <w:shd w:val="clear" w:color="auto" w:fill="FFFFFF"/>
          </w:tcPr>
          <w:p w14:paraId="4ED28EBD" w14:textId="77777777" w:rsidR="000B4835" w:rsidRPr="00CF31E0" w:rsidRDefault="000B4835" w:rsidP="00603CB7">
            <w:pPr>
              <w:widowControl w:val="0"/>
              <w:autoSpaceDE w:val="0"/>
              <w:autoSpaceDN w:val="0"/>
              <w:adjustRightInd w:val="0"/>
              <w:spacing w:line="360"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Total</w:t>
            </w:r>
          </w:p>
        </w:tc>
        <w:tc>
          <w:tcPr>
            <w:tcW w:w="1701" w:type="dxa"/>
            <w:shd w:val="clear" w:color="auto" w:fill="FFFFFF"/>
          </w:tcPr>
          <w:p w14:paraId="7EBAC1E5" w14:textId="0094CCEB" w:rsidR="000B4835" w:rsidRPr="00CF31E0" w:rsidRDefault="008C6682" w:rsidP="00603CB7">
            <w:pPr>
              <w:widowControl w:val="0"/>
              <w:autoSpaceDE w:val="0"/>
              <w:autoSpaceDN w:val="0"/>
              <w:adjustRightInd w:val="0"/>
              <w:spacing w:line="360"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Raw frequency</w:t>
            </w:r>
          </w:p>
        </w:tc>
        <w:tc>
          <w:tcPr>
            <w:tcW w:w="1701" w:type="dxa"/>
            <w:shd w:val="clear" w:color="auto" w:fill="FFFFFF"/>
            <w:vAlign w:val="center"/>
          </w:tcPr>
          <w:p w14:paraId="5DAD7B34" w14:textId="77777777" w:rsidR="000B4835" w:rsidRPr="00CF31E0" w:rsidRDefault="000B4835" w:rsidP="00603CB7">
            <w:pPr>
              <w:widowControl w:val="0"/>
              <w:autoSpaceDE w:val="0"/>
              <w:autoSpaceDN w:val="0"/>
              <w:adjustRightInd w:val="0"/>
              <w:spacing w:line="360"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628</w:t>
            </w:r>
          </w:p>
        </w:tc>
        <w:tc>
          <w:tcPr>
            <w:tcW w:w="1559" w:type="dxa"/>
            <w:shd w:val="clear" w:color="auto" w:fill="FFFFFF"/>
            <w:vAlign w:val="center"/>
          </w:tcPr>
          <w:p w14:paraId="635C743F" w14:textId="77777777" w:rsidR="000B4835" w:rsidRPr="00CF31E0" w:rsidRDefault="000B4835" w:rsidP="00603CB7">
            <w:pPr>
              <w:widowControl w:val="0"/>
              <w:autoSpaceDE w:val="0"/>
              <w:autoSpaceDN w:val="0"/>
              <w:adjustRightInd w:val="0"/>
              <w:spacing w:line="360"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21</w:t>
            </w:r>
          </w:p>
        </w:tc>
        <w:tc>
          <w:tcPr>
            <w:tcW w:w="992" w:type="dxa"/>
            <w:shd w:val="clear" w:color="auto" w:fill="FFFFFF"/>
            <w:vAlign w:val="center"/>
          </w:tcPr>
          <w:p w14:paraId="6CE4867A" w14:textId="77777777" w:rsidR="000B4835" w:rsidRPr="00CF31E0" w:rsidRDefault="000B4835" w:rsidP="00603CB7">
            <w:pPr>
              <w:widowControl w:val="0"/>
              <w:autoSpaceDE w:val="0"/>
              <w:autoSpaceDN w:val="0"/>
              <w:adjustRightInd w:val="0"/>
              <w:spacing w:line="360"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649</w:t>
            </w:r>
          </w:p>
        </w:tc>
      </w:tr>
      <w:tr w:rsidR="007F558A" w:rsidRPr="00CF31E0" w14:paraId="16EE7616" w14:textId="77777777" w:rsidTr="00603CB7">
        <w:trPr>
          <w:cantSplit/>
        </w:trPr>
        <w:tc>
          <w:tcPr>
            <w:tcW w:w="1448" w:type="dxa"/>
            <w:gridSpan w:val="2"/>
            <w:vMerge/>
            <w:shd w:val="clear" w:color="auto" w:fill="FFFFFF"/>
          </w:tcPr>
          <w:p w14:paraId="46E5EE54" w14:textId="77777777" w:rsidR="000B4835" w:rsidRPr="00CF31E0" w:rsidRDefault="000B4835" w:rsidP="00603CB7">
            <w:pPr>
              <w:widowControl w:val="0"/>
              <w:autoSpaceDE w:val="0"/>
              <w:autoSpaceDN w:val="0"/>
              <w:adjustRightInd w:val="0"/>
              <w:spacing w:line="360" w:lineRule="auto"/>
              <w:jc w:val="both"/>
              <w:rPr>
                <w:rFonts w:eastAsia="Calibri"/>
                <w:color w:val="000000" w:themeColor="text1"/>
                <w:sz w:val="22"/>
                <w:szCs w:val="22"/>
                <w:lang w:eastAsia="en-US"/>
              </w:rPr>
            </w:pPr>
          </w:p>
        </w:tc>
        <w:tc>
          <w:tcPr>
            <w:tcW w:w="1701" w:type="dxa"/>
            <w:shd w:val="clear" w:color="auto" w:fill="FFFFFF"/>
          </w:tcPr>
          <w:p w14:paraId="7DF4E561" w14:textId="77777777" w:rsidR="000B4835" w:rsidRPr="00CF31E0" w:rsidRDefault="000B4835" w:rsidP="00603CB7">
            <w:pPr>
              <w:widowControl w:val="0"/>
              <w:autoSpaceDE w:val="0"/>
              <w:autoSpaceDN w:val="0"/>
              <w:adjustRightInd w:val="0"/>
              <w:spacing w:line="360"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 within Social group</w:t>
            </w:r>
          </w:p>
        </w:tc>
        <w:tc>
          <w:tcPr>
            <w:tcW w:w="1701" w:type="dxa"/>
            <w:shd w:val="clear" w:color="auto" w:fill="FFFFFF"/>
            <w:vAlign w:val="center"/>
          </w:tcPr>
          <w:p w14:paraId="3710A46A" w14:textId="77777777" w:rsidR="000B4835" w:rsidRPr="00CF31E0" w:rsidRDefault="000B4835" w:rsidP="00603CB7">
            <w:pPr>
              <w:widowControl w:val="0"/>
              <w:autoSpaceDE w:val="0"/>
              <w:autoSpaceDN w:val="0"/>
              <w:adjustRightInd w:val="0"/>
              <w:spacing w:line="360"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96.8%</w:t>
            </w:r>
          </w:p>
        </w:tc>
        <w:tc>
          <w:tcPr>
            <w:tcW w:w="1559" w:type="dxa"/>
            <w:shd w:val="clear" w:color="auto" w:fill="FFFFFF"/>
            <w:vAlign w:val="center"/>
          </w:tcPr>
          <w:p w14:paraId="148038D3" w14:textId="77777777" w:rsidR="000B4835" w:rsidRPr="00CF31E0" w:rsidRDefault="000B4835" w:rsidP="00603CB7">
            <w:pPr>
              <w:widowControl w:val="0"/>
              <w:autoSpaceDE w:val="0"/>
              <w:autoSpaceDN w:val="0"/>
              <w:adjustRightInd w:val="0"/>
              <w:spacing w:line="360"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3.2%</w:t>
            </w:r>
          </w:p>
        </w:tc>
        <w:tc>
          <w:tcPr>
            <w:tcW w:w="992" w:type="dxa"/>
            <w:shd w:val="clear" w:color="auto" w:fill="FFFFFF"/>
            <w:vAlign w:val="center"/>
          </w:tcPr>
          <w:p w14:paraId="1610A09D" w14:textId="77777777" w:rsidR="000B4835" w:rsidRPr="00CF31E0" w:rsidRDefault="000B4835" w:rsidP="00603CB7">
            <w:pPr>
              <w:widowControl w:val="0"/>
              <w:autoSpaceDE w:val="0"/>
              <w:autoSpaceDN w:val="0"/>
              <w:adjustRightInd w:val="0"/>
              <w:spacing w:line="360"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100.0%</w:t>
            </w:r>
          </w:p>
        </w:tc>
      </w:tr>
      <w:tr w:rsidR="007F558A" w:rsidRPr="00CF31E0" w14:paraId="32C54419" w14:textId="77777777" w:rsidTr="00603CB7">
        <w:trPr>
          <w:cantSplit/>
        </w:trPr>
        <w:tc>
          <w:tcPr>
            <w:tcW w:w="1448" w:type="dxa"/>
            <w:gridSpan w:val="2"/>
            <w:vMerge/>
            <w:shd w:val="clear" w:color="auto" w:fill="FFFFFF"/>
          </w:tcPr>
          <w:p w14:paraId="5ABB04BE" w14:textId="77777777" w:rsidR="000B4835" w:rsidRPr="00CF31E0" w:rsidRDefault="000B4835" w:rsidP="00603CB7">
            <w:pPr>
              <w:widowControl w:val="0"/>
              <w:autoSpaceDE w:val="0"/>
              <w:autoSpaceDN w:val="0"/>
              <w:adjustRightInd w:val="0"/>
              <w:spacing w:line="360" w:lineRule="auto"/>
              <w:jc w:val="both"/>
              <w:rPr>
                <w:rFonts w:eastAsia="Calibri"/>
                <w:color w:val="000000" w:themeColor="text1"/>
                <w:sz w:val="22"/>
                <w:szCs w:val="22"/>
                <w:lang w:eastAsia="en-US"/>
              </w:rPr>
            </w:pPr>
          </w:p>
        </w:tc>
        <w:tc>
          <w:tcPr>
            <w:tcW w:w="1701" w:type="dxa"/>
            <w:shd w:val="clear" w:color="auto" w:fill="FFFFFF"/>
          </w:tcPr>
          <w:p w14:paraId="53B1DE9D" w14:textId="77777777" w:rsidR="000B4835" w:rsidRPr="00CF31E0" w:rsidRDefault="000B4835" w:rsidP="00603CB7">
            <w:pPr>
              <w:widowControl w:val="0"/>
              <w:autoSpaceDE w:val="0"/>
              <w:autoSpaceDN w:val="0"/>
              <w:adjustRightInd w:val="0"/>
              <w:spacing w:line="360"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 of Total</w:t>
            </w:r>
          </w:p>
        </w:tc>
        <w:tc>
          <w:tcPr>
            <w:tcW w:w="1701" w:type="dxa"/>
            <w:shd w:val="clear" w:color="auto" w:fill="FFFFFF"/>
            <w:vAlign w:val="center"/>
          </w:tcPr>
          <w:p w14:paraId="69B614F5" w14:textId="77777777" w:rsidR="000B4835" w:rsidRPr="00CF31E0" w:rsidRDefault="000B4835" w:rsidP="00603CB7">
            <w:pPr>
              <w:widowControl w:val="0"/>
              <w:autoSpaceDE w:val="0"/>
              <w:autoSpaceDN w:val="0"/>
              <w:adjustRightInd w:val="0"/>
              <w:spacing w:line="360"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96.8%</w:t>
            </w:r>
          </w:p>
        </w:tc>
        <w:tc>
          <w:tcPr>
            <w:tcW w:w="1559" w:type="dxa"/>
            <w:shd w:val="clear" w:color="auto" w:fill="FFFFFF"/>
            <w:vAlign w:val="center"/>
          </w:tcPr>
          <w:p w14:paraId="094EF8BD" w14:textId="77777777" w:rsidR="000B4835" w:rsidRPr="00CF31E0" w:rsidRDefault="000B4835" w:rsidP="00603CB7">
            <w:pPr>
              <w:widowControl w:val="0"/>
              <w:autoSpaceDE w:val="0"/>
              <w:autoSpaceDN w:val="0"/>
              <w:adjustRightInd w:val="0"/>
              <w:spacing w:line="360"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3.2%</w:t>
            </w:r>
          </w:p>
        </w:tc>
        <w:tc>
          <w:tcPr>
            <w:tcW w:w="992" w:type="dxa"/>
            <w:shd w:val="clear" w:color="auto" w:fill="FFFFFF"/>
            <w:vAlign w:val="center"/>
          </w:tcPr>
          <w:p w14:paraId="35A91632" w14:textId="77777777" w:rsidR="000B4835" w:rsidRPr="00CF31E0" w:rsidRDefault="000B4835" w:rsidP="00603CB7">
            <w:pPr>
              <w:widowControl w:val="0"/>
              <w:autoSpaceDE w:val="0"/>
              <w:autoSpaceDN w:val="0"/>
              <w:adjustRightInd w:val="0"/>
              <w:spacing w:line="360"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100.0%</w:t>
            </w:r>
          </w:p>
        </w:tc>
      </w:tr>
    </w:tbl>
    <w:p w14:paraId="54D234F1" w14:textId="5A60C7D6" w:rsidR="000B4835" w:rsidRPr="00CF31E0" w:rsidRDefault="000B4835" w:rsidP="002E4A31">
      <w:pPr>
        <w:pStyle w:val="Tablecaption"/>
        <w:rPr>
          <w:lang w:eastAsia="en-US"/>
        </w:rPr>
      </w:pPr>
      <w:bookmarkStart w:id="789" w:name="_Toc522527470"/>
      <w:bookmarkStart w:id="790" w:name="_Toc522628883"/>
      <w:bookmarkStart w:id="791" w:name="_Toc522629047"/>
      <w:bookmarkStart w:id="792" w:name="_Toc6473145"/>
      <w:r w:rsidRPr="00CF31E0">
        <w:rPr>
          <w:lang w:eastAsia="en-US"/>
        </w:rPr>
        <w:t xml:space="preserve">Table </w:t>
      </w:r>
      <w:r w:rsidR="002E4A31" w:rsidRPr="00CF31E0">
        <w:rPr>
          <w:lang w:eastAsia="en-US"/>
        </w:rPr>
        <w:t>11</w:t>
      </w:r>
      <w:r w:rsidR="00A83FFE" w:rsidRPr="00CF31E0">
        <w:rPr>
          <w:lang w:eastAsia="en-US"/>
        </w:rPr>
        <w:t>.</w:t>
      </w:r>
      <w:r w:rsidR="002E4A31" w:rsidRPr="00CF31E0">
        <w:rPr>
          <w:lang w:eastAsia="en-US"/>
        </w:rPr>
        <w:t>7</w:t>
      </w:r>
      <w:r w:rsidRPr="00CF31E0">
        <w:rPr>
          <w:lang w:eastAsia="en-US"/>
        </w:rPr>
        <w:t>: Social group–VS2 crosstabulation.</w:t>
      </w:r>
      <w:bookmarkEnd w:id="789"/>
      <w:bookmarkEnd w:id="790"/>
      <w:bookmarkEnd w:id="791"/>
      <w:bookmarkEnd w:id="792"/>
    </w:p>
    <w:p w14:paraId="59CCD128" w14:textId="2C5B8C43" w:rsidR="000B4835" w:rsidRPr="00CF31E0" w:rsidRDefault="000B4835" w:rsidP="00603CB7">
      <w:pPr>
        <w:pStyle w:val="Paragraph"/>
        <w:rPr>
          <w:lang w:eastAsia="en-US"/>
        </w:rPr>
      </w:pPr>
      <w:r w:rsidRPr="00CF31E0">
        <w:rPr>
          <w:lang w:eastAsia="en-US"/>
        </w:rPr>
        <w:t xml:space="preserve">Table </w:t>
      </w:r>
      <w:r w:rsidR="002E4A31" w:rsidRPr="00CF31E0">
        <w:rPr>
          <w:lang w:eastAsia="en-US"/>
        </w:rPr>
        <w:t>11</w:t>
      </w:r>
      <w:r w:rsidR="00A83FFE" w:rsidRPr="00CF31E0">
        <w:rPr>
          <w:lang w:eastAsia="en-US"/>
        </w:rPr>
        <w:t>.</w:t>
      </w:r>
      <w:r w:rsidR="002E4A31" w:rsidRPr="00CF31E0">
        <w:rPr>
          <w:lang w:eastAsia="en-US"/>
        </w:rPr>
        <w:t xml:space="preserve">7 </w:t>
      </w:r>
      <w:r w:rsidRPr="00CF31E0">
        <w:rPr>
          <w:lang w:eastAsia="en-US"/>
        </w:rPr>
        <w:t>displays the percentage of social groups who provided the correct answer in the VS2 task (i.e. identifying the spe</w:t>
      </w:r>
      <w:r w:rsidR="00C64F0C" w:rsidRPr="00CF31E0">
        <w:rPr>
          <w:lang w:eastAsia="en-US"/>
        </w:rPr>
        <w:t>aker as belonging to the UBH</w:t>
      </w:r>
      <w:r w:rsidRPr="00CF31E0">
        <w:rPr>
          <w:lang w:eastAsia="en-US"/>
        </w:rPr>
        <w:t xml:space="preserve"> social g</w:t>
      </w:r>
      <w:r w:rsidR="00C64F0C" w:rsidRPr="00CF31E0">
        <w:rPr>
          <w:lang w:eastAsia="en-US"/>
        </w:rPr>
        <w:t>roup). The percentage of UBH</w:t>
      </w:r>
      <w:r w:rsidRPr="00CF31E0">
        <w:rPr>
          <w:lang w:eastAsia="en-US"/>
        </w:rPr>
        <w:t xml:space="preserve"> participants who chose the correct answer is displayed in the </w:t>
      </w:r>
      <w:r w:rsidRPr="00CF31E0">
        <w:rPr>
          <w:i/>
          <w:iCs/>
          <w:lang w:eastAsia="en-US"/>
        </w:rPr>
        <w:t>% within Social group</w:t>
      </w:r>
      <w:r w:rsidR="00C64F0C" w:rsidRPr="00CF31E0">
        <w:rPr>
          <w:lang w:eastAsia="en-US"/>
        </w:rPr>
        <w:t xml:space="preserve"> column. 98.5% of UBH</w:t>
      </w:r>
      <w:r w:rsidRPr="00CF31E0">
        <w:rPr>
          <w:lang w:eastAsia="en-US"/>
        </w:rPr>
        <w:t xml:space="preserve"> participants allocated the speaker’s voice to the correct social group. Only 1.5% failed to do so, and instead allocate</w:t>
      </w:r>
      <w:r w:rsidR="00C64F0C" w:rsidRPr="00CF31E0">
        <w:rPr>
          <w:lang w:eastAsia="en-US"/>
        </w:rPr>
        <w:t>d the voice sample to the HH</w:t>
      </w:r>
      <w:r w:rsidRPr="00CF31E0">
        <w:rPr>
          <w:lang w:eastAsia="en-US"/>
        </w:rPr>
        <w:t xml:space="preserve"> social group. </w:t>
      </w:r>
    </w:p>
    <w:p w14:paraId="2180DB54" w14:textId="637FC85B" w:rsidR="000B4835" w:rsidRPr="00CF31E0" w:rsidRDefault="00C64F0C" w:rsidP="00603CB7">
      <w:pPr>
        <w:pStyle w:val="Paragraph"/>
        <w:rPr>
          <w:lang w:eastAsia="en-US"/>
        </w:rPr>
      </w:pPr>
      <w:r w:rsidRPr="00CF31E0">
        <w:rPr>
          <w:lang w:eastAsia="en-US"/>
        </w:rPr>
        <w:t>Regarding the HH</w:t>
      </w:r>
      <w:r w:rsidR="000B4835" w:rsidRPr="00CF31E0">
        <w:rPr>
          <w:lang w:eastAsia="en-US"/>
        </w:rPr>
        <w:t xml:space="preserve"> participants, 95.1% of participants allocated the speaker’</w:t>
      </w:r>
      <w:r w:rsidRPr="00CF31E0">
        <w:rPr>
          <w:lang w:eastAsia="en-US"/>
        </w:rPr>
        <w:t>s voice correctly to the UBH</w:t>
      </w:r>
      <w:r w:rsidR="000B4835" w:rsidRPr="00CF31E0">
        <w:rPr>
          <w:lang w:eastAsia="en-US"/>
        </w:rPr>
        <w:t xml:space="preserve"> social group, while only 4.9% associated the voice sa</w:t>
      </w:r>
      <w:r w:rsidRPr="00CF31E0">
        <w:rPr>
          <w:lang w:eastAsia="en-US"/>
        </w:rPr>
        <w:t>mple incorrectly with the HH</w:t>
      </w:r>
      <w:r w:rsidR="000B4835" w:rsidRPr="00CF31E0">
        <w:rPr>
          <w:lang w:eastAsia="en-US"/>
        </w:rPr>
        <w:t xml:space="preserve"> social group. Therefore, </w:t>
      </w:r>
      <w:r w:rsidR="003F7A32" w:rsidRPr="00CF31E0">
        <w:rPr>
          <w:lang w:eastAsia="en-US"/>
        </w:rPr>
        <w:t xml:space="preserve">although </w:t>
      </w:r>
      <w:r w:rsidR="000B4835" w:rsidRPr="00CF31E0">
        <w:rPr>
          <w:lang w:eastAsia="en-US"/>
        </w:rPr>
        <w:t xml:space="preserve">the two social groups both overwhelmingly correctly perceived the original social group of the speaker in the voice sample, </w:t>
      </w:r>
      <w:r w:rsidRPr="00CF31E0">
        <w:rPr>
          <w:lang w:eastAsia="en-US"/>
        </w:rPr>
        <w:t>UBH</w:t>
      </w:r>
      <w:r w:rsidR="000B4835" w:rsidRPr="00CF31E0">
        <w:rPr>
          <w:lang w:eastAsia="en-US"/>
        </w:rPr>
        <w:t xml:space="preserve"> participants o</w:t>
      </w:r>
      <w:r w:rsidR="00033BBC" w:rsidRPr="00CF31E0">
        <w:rPr>
          <w:lang w:eastAsia="en-US"/>
        </w:rPr>
        <w:t>utperformed</w:t>
      </w:r>
      <w:r w:rsidRPr="00CF31E0">
        <w:rPr>
          <w:lang w:eastAsia="en-US"/>
        </w:rPr>
        <w:t xml:space="preserve"> HH</w:t>
      </w:r>
      <w:r w:rsidR="000B4835" w:rsidRPr="00CF31E0">
        <w:rPr>
          <w:lang w:eastAsia="en-US"/>
        </w:rPr>
        <w:t xml:space="preserve"> participants in their correct</w:t>
      </w:r>
      <w:r w:rsidRPr="00CF31E0">
        <w:rPr>
          <w:lang w:eastAsia="en-US"/>
        </w:rPr>
        <w:t xml:space="preserve"> allocations. This means UBH</w:t>
      </w:r>
      <w:r w:rsidR="000B4835" w:rsidRPr="00CF31E0">
        <w:rPr>
          <w:lang w:eastAsia="en-US"/>
        </w:rPr>
        <w:t xml:space="preserve"> participants </w:t>
      </w:r>
      <w:r w:rsidRPr="00CF31E0">
        <w:rPr>
          <w:lang w:eastAsia="en-US"/>
        </w:rPr>
        <w:t>are better at allocating UBH</w:t>
      </w:r>
      <w:r w:rsidR="000B4835" w:rsidRPr="00CF31E0">
        <w:rPr>
          <w:lang w:eastAsia="en-US"/>
        </w:rPr>
        <w:t xml:space="preserve"> speakers.</w:t>
      </w:r>
    </w:p>
    <w:p w14:paraId="091ED96F" w14:textId="4F20C2CD" w:rsidR="000B4835" w:rsidRPr="00CF31E0" w:rsidRDefault="002E4A31" w:rsidP="002E4A31">
      <w:pPr>
        <w:pStyle w:val="Bhead"/>
      </w:pPr>
      <w:bookmarkStart w:id="793" w:name="_Toc6472778"/>
      <w:r w:rsidRPr="00CF31E0">
        <w:lastRenderedPageBreak/>
        <w:t>11</w:t>
      </w:r>
      <w:r w:rsidR="000B4835" w:rsidRPr="00CF31E0">
        <w:t>.2.</w:t>
      </w:r>
      <w:r w:rsidR="00C00792" w:rsidRPr="00CF31E0">
        <w:t>6</w:t>
      </w:r>
      <w:r w:rsidR="000B4835" w:rsidRPr="00CF31E0">
        <w:t>.</w:t>
      </w:r>
      <w:r w:rsidR="00B36FA3" w:rsidRPr="00CF31E0">
        <w:tab/>
      </w:r>
      <w:r w:rsidR="000B4835" w:rsidRPr="00CF31E0">
        <w:t>Voice sample 5 allocation task results</w:t>
      </w:r>
      <w:bookmarkEnd w:id="793"/>
      <w:r w:rsidR="000B4835" w:rsidRPr="00CF31E0">
        <w:t xml:space="preserve"> </w:t>
      </w:r>
    </w:p>
    <w:p w14:paraId="4D3CE501" w14:textId="3C21282B" w:rsidR="00BD1D22" w:rsidRPr="00CF31E0" w:rsidRDefault="000B4835" w:rsidP="00603CB7">
      <w:pPr>
        <w:pStyle w:val="Paragraph"/>
        <w:rPr>
          <w:rFonts w:eastAsia="Calibri" w:cs="Arial"/>
          <w:lang w:eastAsia="en-US"/>
        </w:rPr>
      </w:pPr>
      <w:r w:rsidRPr="00CF31E0">
        <w:rPr>
          <w:lang w:eastAsia="en-US"/>
        </w:rPr>
        <w:t>On this occasion, participan</w:t>
      </w:r>
      <w:r w:rsidR="00C64F0C" w:rsidRPr="00CF31E0">
        <w:rPr>
          <w:lang w:eastAsia="en-US"/>
        </w:rPr>
        <w:t>ts were exposed to a real HH speaker who spoke the UBH</w:t>
      </w:r>
      <w:r w:rsidRPr="00CF31E0">
        <w:rPr>
          <w:lang w:eastAsia="en-US"/>
        </w:rPr>
        <w:t xml:space="preserve"> dialect and were provided with the real surname of the speaker. The results revealed that the majority of participants allocate</w:t>
      </w:r>
      <w:r w:rsidR="00C00792" w:rsidRPr="00CF31E0">
        <w:rPr>
          <w:lang w:eastAsia="en-US"/>
        </w:rPr>
        <w:t>d</w:t>
      </w:r>
      <w:r w:rsidR="00033BBC" w:rsidRPr="00CF31E0">
        <w:rPr>
          <w:lang w:eastAsia="en-US"/>
        </w:rPr>
        <w:t xml:space="preserve"> the voice sample to UBH social group</w:t>
      </w:r>
      <w:r w:rsidRPr="00CF31E0">
        <w:rPr>
          <w:lang w:eastAsia="en-US"/>
        </w:rPr>
        <w:t xml:space="preserve"> but there were many list</w:t>
      </w:r>
      <w:r w:rsidR="00033BBC" w:rsidRPr="00CF31E0">
        <w:rPr>
          <w:lang w:eastAsia="en-US"/>
        </w:rPr>
        <w:t>eners who allocated it to HH social group</w:t>
      </w:r>
      <w:r w:rsidRPr="00CF31E0">
        <w:rPr>
          <w:lang w:eastAsia="en-US"/>
        </w:rPr>
        <w:t xml:space="preserve">; see Table </w:t>
      </w:r>
      <w:r w:rsidR="002E4A31" w:rsidRPr="00CF31E0">
        <w:rPr>
          <w:lang w:eastAsia="en-US"/>
        </w:rPr>
        <w:t>11</w:t>
      </w:r>
      <w:r w:rsidR="00C00792" w:rsidRPr="00CF31E0">
        <w:rPr>
          <w:lang w:eastAsia="en-US"/>
        </w:rPr>
        <w:t>.</w:t>
      </w:r>
      <w:r w:rsidR="002E4A31" w:rsidRPr="00CF31E0">
        <w:rPr>
          <w:lang w:eastAsia="en-US"/>
        </w:rPr>
        <w:t xml:space="preserve">8. </w:t>
      </w:r>
    </w:p>
    <w:tbl>
      <w:tblPr>
        <w:tblpPr w:leftFromText="180" w:rightFromText="180" w:vertAnchor="text" w:horzAnchor="page" w:tblpX="2410" w:tblpY="24"/>
        <w:tblW w:w="0" w:type="auto"/>
        <w:tblBorders>
          <w:top w:val="single" w:sz="4" w:space="0" w:color="auto"/>
          <w:bottom w:val="single" w:sz="4" w:space="0" w:color="auto"/>
        </w:tblBorders>
        <w:tblLook w:val="0000" w:firstRow="0" w:lastRow="0" w:firstColumn="0" w:lastColumn="0" w:noHBand="0" w:noVBand="0"/>
      </w:tblPr>
      <w:tblGrid>
        <w:gridCol w:w="3510"/>
        <w:gridCol w:w="1276"/>
      </w:tblGrid>
      <w:tr w:rsidR="007F558A" w:rsidRPr="00CF31E0" w14:paraId="2EDE6BC8" w14:textId="77777777" w:rsidTr="00603CB7">
        <w:trPr>
          <w:trHeight w:val="286"/>
        </w:trPr>
        <w:tc>
          <w:tcPr>
            <w:tcW w:w="3510" w:type="dxa"/>
            <w:tcBorders>
              <w:top w:val="single" w:sz="4" w:space="0" w:color="auto"/>
              <w:bottom w:val="single" w:sz="4" w:space="0" w:color="auto"/>
            </w:tcBorders>
          </w:tcPr>
          <w:p w14:paraId="23552960" w14:textId="77777777" w:rsidR="000B4835" w:rsidRPr="00CF31E0" w:rsidRDefault="000B4835" w:rsidP="00603CB7">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The allocation result</w:t>
            </w:r>
          </w:p>
        </w:tc>
        <w:tc>
          <w:tcPr>
            <w:tcW w:w="1276" w:type="dxa"/>
            <w:tcBorders>
              <w:top w:val="single" w:sz="4" w:space="0" w:color="auto"/>
              <w:bottom w:val="single" w:sz="4" w:space="0" w:color="auto"/>
            </w:tcBorders>
          </w:tcPr>
          <w:p w14:paraId="1521058B" w14:textId="77777777" w:rsidR="000B4835" w:rsidRPr="00CF31E0" w:rsidRDefault="000B4835" w:rsidP="00603CB7">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Number </w:t>
            </w:r>
          </w:p>
        </w:tc>
      </w:tr>
      <w:tr w:rsidR="007F558A" w:rsidRPr="00CF31E0" w14:paraId="3315235C" w14:textId="77777777" w:rsidTr="00603CB7">
        <w:trPr>
          <w:trHeight w:val="309"/>
        </w:trPr>
        <w:tc>
          <w:tcPr>
            <w:tcW w:w="3510" w:type="dxa"/>
            <w:tcBorders>
              <w:top w:val="single" w:sz="4" w:space="0" w:color="auto"/>
              <w:bottom w:val="nil"/>
            </w:tcBorders>
          </w:tcPr>
          <w:p w14:paraId="25D999AC" w14:textId="3FF0496B" w:rsidR="000B4835" w:rsidRPr="00CF31E0" w:rsidRDefault="00C64F0C" w:rsidP="00603CB7">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UBH</w:t>
            </w:r>
            <w:r w:rsidR="000B4835" w:rsidRPr="00CF31E0">
              <w:rPr>
                <w:rFonts w:eastAsia="Calibri"/>
                <w:color w:val="000000" w:themeColor="text1"/>
                <w:sz w:val="22"/>
                <w:szCs w:val="22"/>
                <w:lang w:eastAsia="en-US"/>
              </w:rPr>
              <w:t xml:space="preserve"> social group</w:t>
            </w:r>
          </w:p>
        </w:tc>
        <w:tc>
          <w:tcPr>
            <w:tcW w:w="1276" w:type="dxa"/>
            <w:tcBorders>
              <w:top w:val="single" w:sz="4" w:space="0" w:color="auto"/>
              <w:bottom w:val="nil"/>
            </w:tcBorders>
          </w:tcPr>
          <w:p w14:paraId="27E90FF0" w14:textId="77777777" w:rsidR="000B4835" w:rsidRPr="00CF31E0" w:rsidRDefault="000B4835" w:rsidP="00603CB7">
            <w:pPr>
              <w:spacing w:before="120" w:after="120"/>
              <w:jc w:val="both"/>
              <w:rPr>
                <w:rFonts w:eastAsia="Calibri"/>
                <w:color w:val="000000" w:themeColor="text1"/>
                <w:sz w:val="22"/>
                <w:szCs w:val="22"/>
                <w:lang w:eastAsia="en-US"/>
              </w:rPr>
            </w:pPr>
            <w:r w:rsidRPr="00CF31E0">
              <w:rPr>
                <w:rFonts w:eastAsia="Calibri"/>
                <w:color w:val="000000" w:themeColor="text1"/>
                <w:sz w:val="22"/>
                <w:szCs w:val="22"/>
                <w:lang w:eastAsia="en-US"/>
              </w:rPr>
              <w:t>459</w:t>
            </w:r>
          </w:p>
        </w:tc>
      </w:tr>
      <w:tr w:rsidR="007F558A" w:rsidRPr="00CF31E0" w14:paraId="3A896F55" w14:textId="77777777" w:rsidTr="00603CB7">
        <w:trPr>
          <w:trHeight w:val="309"/>
        </w:trPr>
        <w:tc>
          <w:tcPr>
            <w:tcW w:w="3510" w:type="dxa"/>
            <w:tcBorders>
              <w:top w:val="nil"/>
            </w:tcBorders>
          </w:tcPr>
          <w:p w14:paraId="4CFA4A9A" w14:textId="26398779" w:rsidR="000B4835" w:rsidRPr="00CF31E0" w:rsidRDefault="00C64F0C" w:rsidP="00603CB7">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HH</w:t>
            </w:r>
            <w:r w:rsidR="000B4835" w:rsidRPr="00CF31E0">
              <w:rPr>
                <w:rFonts w:eastAsia="Calibri"/>
                <w:color w:val="000000" w:themeColor="text1"/>
                <w:sz w:val="22"/>
                <w:szCs w:val="22"/>
                <w:lang w:eastAsia="en-US"/>
              </w:rPr>
              <w:t xml:space="preserve"> social group</w:t>
            </w:r>
          </w:p>
        </w:tc>
        <w:tc>
          <w:tcPr>
            <w:tcW w:w="1276" w:type="dxa"/>
            <w:tcBorders>
              <w:top w:val="nil"/>
            </w:tcBorders>
          </w:tcPr>
          <w:p w14:paraId="390CC90B" w14:textId="77777777" w:rsidR="000B4835" w:rsidRPr="00CF31E0" w:rsidRDefault="000B4835" w:rsidP="00603CB7">
            <w:pPr>
              <w:spacing w:before="120" w:after="120"/>
              <w:ind w:left="-73"/>
              <w:jc w:val="both"/>
              <w:rPr>
                <w:rFonts w:eastAsia="Calibri"/>
                <w:color w:val="000000" w:themeColor="text1"/>
                <w:sz w:val="22"/>
                <w:szCs w:val="22"/>
                <w:lang w:eastAsia="en-US"/>
              </w:rPr>
            </w:pPr>
            <w:r w:rsidRPr="00CF31E0">
              <w:rPr>
                <w:rFonts w:eastAsia="Calibri"/>
                <w:color w:val="000000" w:themeColor="text1"/>
                <w:sz w:val="22"/>
                <w:szCs w:val="22"/>
                <w:lang w:eastAsia="en-US"/>
              </w:rPr>
              <w:t>190</w:t>
            </w:r>
          </w:p>
        </w:tc>
      </w:tr>
    </w:tbl>
    <w:p w14:paraId="4580DC88" w14:textId="77777777" w:rsidR="000B4835" w:rsidRPr="00CF31E0" w:rsidRDefault="000B4835" w:rsidP="000B4835">
      <w:pPr>
        <w:spacing w:before="120" w:after="120" w:line="360" w:lineRule="auto"/>
        <w:jc w:val="both"/>
        <w:rPr>
          <w:rFonts w:eastAsia="Calibri" w:cs="Arial"/>
          <w:color w:val="000000" w:themeColor="text1"/>
          <w:lang w:eastAsia="en-US"/>
        </w:rPr>
      </w:pPr>
    </w:p>
    <w:p w14:paraId="7B992046" w14:textId="77777777" w:rsidR="000B4835" w:rsidRPr="00CF31E0" w:rsidRDefault="000B4835" w:rsidP="000B4835">
      <w:pPr>
        <w:spacing w:before="120" w:after="120" w:line="360" w:lineRule="auto"/>
        <w:jc w:val="both"/>
        <w:rPr>
          <w:rFonts w:eastAsia="Calibri" w:cs="Arial"/>
          <w:color w:val="000000" w:themeColor="text1"/>
          <w:lang w:eastAsia="en-US"/>
        </w:rPr>
      </w:pPr>
    </w:p>
    <w:p w14:paraId="3C781996" w14:textId="77777777" w:rsidR="000B4835" w:rsidRPr="00CF31E0" w:rsidRDefault="000B4835" w:rsidP="000B4835">
      <w:pPr>
        <w:spacing w:before="120" w:after="120" w:line="360" w:lineRule="auto"/>
        <w:jc w:val="both"/>
        <w:rPr>
          <w:rFonts w:eastAsia="Calibri" w:cs="Arial"/>
          <w:color w:val="000000" w:themeColor="text1"/>
          <w:lang w:eastAsia="en-US"/>
        </w:rPr>
      </w:pPr>
    </w:p>
    <w:p w14:paraId="010AF4D9" w14:textId="580F5950" w:rsidR="000B4835" w:rsidRPr="00CF31E0" w:rsidRDefault="000B4835" w:rsidP="002E4A31">
      <w:pPr>
        <w:pStyle w:val="Tablecaption"/>
        <w:rPr>
          <w:lang w:eastAsia="en-US"/>
        </w:rPr>
      </w:pPr>
      <w:bookmarkStart w:id="794" w:name="_Toc522527471"/>
      <w:bookmarkStart w:id="795" w:name="_Toc522628884"/>
      <w:bookmarkStart w:id="796" w:name="_Toc522629048"/>
      <w:bookmarkStart w:id="797" w:name="_Toc6473146"/>
      <w:r w:rsidRPr="00CF31E0">
        <w:rPr>
          <w:lang w:eastAsia="en-US"/>
        </w:rPr>
        <w:t xml:space="preserve">Table </w:t>
      </w:r>
      <w:r w:rsidR="002E4A31" w:rsidRPr="00CF31E0">
        <w:rPr>
          <w:lang w:eastAsia="en-US"/>
        </w:rPr>
        <w:t>11</w:t>
      </w:r>
      <w:r w:rsidR="00C00792" w:rsidRPr="00CF31E0">
        <w:rPr>
          <w:lang w:eastAsia="en-US"/>
        </w:rPr>
        <w:t>.</w:t>
      </w:r>
      <w:r w:rsidR="002E4A31" w:rsidRPr="00CF31E0">
        <w:rPr>
          <w:lang w:eastAsia="en-US"/>
        </w:rPr>
        <w:t>8</w:t>
      </w:r>
      <w:r w:rsidRPr="00CF31E0">
        <w:rPr>
          <w:lang w:eastAsia="en-US"/>
        </w:rPr>
        <w:t xml:space="preserve">: Voice allocation results for voice sample </w:t>
      </w:r>
      <w:r w:rsidR="00BD1D22" w:rsidRPr="00CF31E0">
        <w:rPr>
          <w:lang w:eastAsia="en-US"/>
        </w:rPr>
        <w:t>5</w:t>
      </w:r>
      <w:r w:rsidRPr="00CF31E0">
        <w:rPr>
          <w:lang w:eastAsia="en-US"/>
        </w:rPr>
        <w:t>.</w:t>
      </w:r>
      <w:bookmarkEnd w:id="794"/>
      <w:bookmarkEnd w:id="795"/>
      <w:bookmarkEnd w:id="796"/>
      <w:bookmarkEnd w:id="797"/>
    </w:p>
    <w:p w14:paraId="68EE5E37" w14:textId="54B7762C" w:rsidR="000B4835" w:rsidRPr="00CF31E0" w:rsidRDefault="000B4835" w:rsidP="00603CB7">
      <w:pPr>
        <w:pStyle w:val="Paragraph"/>
        <w:rPr>
          <w:lang w:eastAsia="en-US"/>
        </w:rPr>
      </w:pPr>
      <w:r w:rsidRPr="00CF31E0">
        <w:rPr>
          <w:lang w:eastAsia="en-US"/>
        </w:rPr>
        <w:t xml:space="preserve">Overall, the results from the five voice samples reveal that the participants had a tendency to rely on linguistic factors when perceiving the speaker’s original social group. Although a distraction to the recording in the form of a manipulated surname was applied in VS3 and VS4, this only affected the perceptions marginally. The VS5 results again confirm the significance of the linguistic factors that participants are exposed to. </w:t>
      </w:r>
    </w:p>
    <w:p w14:paraId="1BA1623D" w14:textId="5FE2327E" w:rsidR="000B4835" w:rsidRPr="00CF31E0" w:rsidRDefault="002E4A31" w:rsidP="002E4A31">
      <w:pPr>
        <w:pStyle w:val="Chead"/>
      </w:pPr>
      <w:bookmarkStart w:id="798" w:name="_Toc6472779"/>
      <w:r w:rsidRPr="00CF31E0">
        <w:t>11</w:t>
      </w:r>
      <w:r w:rsidR="000B4835" w:rsidRPr="00CF31E0">
        <w:t>.2.</w:t>
      </w:r>
      <w:r w:rsidR="00C00792" w:rsidRPr="00CF31E0">
        <w:t>6</w:t>
      </w:r>
      <w:r w:rsidR="000B4835" w:rsidRPr="00CF31E0">
        <w:t>.1.</w:t>
      </w:r>
      <w:r w:rsidR="00D2523E" w:rsidRPr="00CF31E0">
        <w:tab/>
      </w:r>
      <w:r w:rsidR="000B4835" w:rsidRPr="00CF31E0">
        <w:t>Effects of demographic variables on the VS5 allocation task</w:t>
      </w:r>
      <w:bookmarkEnd w:id="798"/>
      <w:r w:rsidR="000B4835" w:rsidRPr="00CF31E0">
        <w:t xml:space="preserve"> </w:t>
      </w:r>
    </w:p>
    <w:p w14:paraId="1942741C" w14:textId="73007754" w:rsidR="000B4835" w:rsidRPr="00CF31E0" w:rsidRDefault="000B4835" w:rsidP="00603CB7">
      <w:pPr>
        <w:pStyle w:val="Paragraph"/>
        <w:rPr>
          <w:lang w:eastAsia="en-US"/>
        </w:rPr>
      </w:pPr>
      <w:r w:rsidRPr="00CF31E0">
        <w:rPr>
          <w:lang w:eastAsia="en-US"/>
        </w:rPr>
        <w:t xml:space="preserve">The chi-square test results revealed that two demographic variables had affected the allocation task: gender and participants’ social group. I will begin by presenting the results from the gender demographic variable. </w:t>
      </w:r>
    </w:p>
    <w:p w14:paraId="791625E4" w14:textId="66BB094A" w:rsidR="00A510A6" w:rsidRDefault="000B4835" w:rsidP="00DB766A">
      <w:pPr>
        <w:pStyle w:val="Paragraph"/>
        <w:rPr>
          <w:lang w:eastAsia="en-US"/>
        </w:rPr>
      </w:pPr>
      <w:r w:rsidRPr="00CF31E0">
        <w:rPr>
          <w:lang w:eastAsia="en-US"/>
        </w:rPr>
        <w:t>The two gender groups showed differences in the allocation task results. The female group allocated th</w:t>
      </w:r>
      <w:r w:rsidR="00C64F0C" w:rsidRPr="00CF31E0">
        <w:rPr>
          <w:lang w:eastAsia="en-US"/>
        </w:rPr>
        <w:t>e speaker’s voice to the UBH</w:t>
      </w:r>
      <w:r w:rsidRPr="00CF31E0">
        <w:rPr>
          <w:lang w:eastAsia="en-US"/>
        </w:rPr>
        <w:t xml:space="preserve"> social group more frequently than was the case for the male participants; see Tables </w:t>
      </w:r>
      <w:r w:rsidR="002E4A31" w:rsidRPr="00CF31E0">
        <w:rPr>
          <w:lang w:eastAsia="en-US"/>
        </w:rPr>
        <w:t>11</w:t>
      </w:r>
      <w:r w:rsidR="00C00792" w:rsidRPr="00CF31E0">
        <w:rPr>
          <w:lang w:eastAsia="en-US"/>
        </w:rPr>
        <w:t>.</w:t>
      </w:r>
      <w:r w:rsidR="002E4A31" w:rsidRPr="00CF31E0">
        <w:rPr>
          <w:lang w:eastAsia="en-US"/>
        </w:rPr>
        <w:t xml:space="preserve">9 </w:t>
      </w:r>
      <w:r w:rsidRPr="00CF31E0">
        <w:rPr>
          <w:lang w:eastAsia="en-US"/>
        </w:rPr>
        <w:t xml:space="preserve">and </w:t>
      </w:r>
      <w:r w:rsidR="002E4A31" w:rsidRPr="00CF31E0">
        <w:rPr>
          <w:lang w:eastAsia="en-US"/>
        </w:rPr>
        <w:t>11</w:t>
      </w:r>
      <w:r w:rsidR="00C00792" w:rsidRPr="00CF31E0">
        <w:rPr>
          <w:lang w:eastAsia="en-US"/>
        </w:rPr>
        <w:t>.</w:t>
      </w:r>
      <w:r w:rsidR="002E4A31" w:rsidRPr="00CF31E0">
        <w:rPr>
          <w:lang w:eastAsia="en-US"/>
        </w:rPr>
        <w:t>10</w:t>
      </w:r>
      <w:r w:rsidRPr="00CF31E0">
        <w:rPr>
          <w:lang w:eastAsia="en-US"/>
        </w:rPr>
        <w:t xml:space="preserve">. </w:t>
      </w:r>
    </w:p>
    <w:p w14:paraId="2C5627ED" w14:textId="77777777" w:rsidR="00F50E67" w:rsidRPr="00CF31E0" w:rsidRDefault="00F50E67" w:rsidP="00DB766A">
      <w:pPr>
        <w:pStyle w:val="Paragraph"/>
        <w:rPr>
          <w:lang w:eastAsia="en-US"/>
        </w:rPr>
      </w:pPr>
    </w:p>
    <w:tbl>
      <w:tblPr>
        <w:tblW w:w="7139" w:type="dxa"/>
        <w:tblLayout w:type="fixed"/>
        <w:tblLook w:val="04A0" w:firstRow="1" w:lastRow="0" w:firstColumn="1" w:lastColumn="0" w:noHBand="0" w:noVBand="1"/>
      </w:tblPr>
      <w:tblGrid>
        <w:gridCol w:w="2376"/>
        <w:gridCol w:w="993"/>
        <w:gridCol w:w="425"/>
        <w:gridCol w:w="3345"/>
      </w:tblGrid>
      <w:tr w:rsidR="00D141C8" w:rsidRPr="00CF31E0" w14:paraId="2F4DAC3C" w14:textId="77777777" w:rsidTr="007812FE">
        <w:trPr>
          <w:trHeight w:val="567"/>
        </w:trPr>
        <w:tc>
          <w:tcPr>
            <w:tcW w:w="2376" w:type="dxa"/>
            <w:tcBorders>
              <w:top w:val="single" w:sz="8" w:space="0" w:color="auto"/>
              <w:bottom w:val="single" w:sz="8" w:space="0" w:color="auto"/>
            </w:tcBorders>
            <w:shd w:val="clear" w:color="auto" w:fill="auto"/>
            <w:hideMark/>
          </w:tcPr>
          <w:p w14:paraId="09F1F0E7" w14:textId="77777777" w:rsidR="00D141C8" w:rsidRPr="00CF31E0" w:rsidRDefault="00D141C8" w:rsidP="007812FE">
            <w:pPr>
              <w:spacing w:before="120" w:after="120" w:line="360" w:lineRule="auto"/>
              <w:rPr>
                <w:rFonts w:eastAsia="Calibri"/>
                <w:color w:val="000000" w:themeColor="text1"/>
                <w:sz w:val="22"/>
                <w:szCs w:val="22"/>
                <w:lang w:val="en-US" w:eastAsia="en-US"/>
              </w:rPr>
            </w:pPr>
          </w:p>
        </w:tc>
        <w:tc>
          <w:tcPr>
            <w:tcW w:w="993" w:type="dxa"/>
            <w:tcBorders>
              <w:top w:val="single" w:sz="8" w:space="0" w:color="auto"/>
              <w:bottom w:val="single" w:sz="8" w:space="0" w:color="auto"/>
            </w:tcBorders>
            <w:shd w:val="clear" w:color="auto" w:fill="auto"/>
            <w:hideMark/>
          </w:tcPr>
          <w:p w14:paraId="21B37628" w14:textId="77777777" w:rsidR="00D141C8" w:rsidRPr="00CF31E0" w:rsidRDefault="00D141C8" w:rsidP="007812FE">
            <w:pPr>
              <w:spacing w:before="120" w:after="120" w:line="360"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425" w:type="dxa"/>
            <w:tcBorders>
              <w:top w:val="single" w:sz="8" w:space="0" w:color="auto"/>
              <w:bottom w:val="single" w:sz="8" w:space="0" w:color="auto"/>
            </w:tcBorders>
            <w:shd w:val="clear" w:color="auto" w:fill="auto"/>
          </w:tcPr>
          <w:p w14:paraId="7CC8A4C2" w14:textId="77777777" w:rsidR="00D141C8" w:rsidRPr="00CF31E0" w:rsidRDefault="00D141C8" w:rsidP="007812FE">
            <w:pPr>
              <w:spacing w:before="120" w:after="120" w:line="360"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df</w:t>
            </w:r>
          </w:p>
        </w:tc>
        <w:tc>
          <w:tcPr>
            <w:tcW w:w="3345" w:type="dxa"/>
            <w:tcBorders>
              <w:top w:val="single" w:sz="8" w:space="0" w:color="auto"/>
              <w:bottom w:val="single" w:sz="8" w:space="0" w:color="auto"/>
            </w:tcBorders>
            <w:shd w:val="clear" w:color="auto" w:fill="auto"/>
          </w:tcPr>
          <w:p w14:paraId="3865AA93" w14:textId="77777777" w:rsidR="00D141C8" w:rsidRPr="00CF31E0" w:rsidRDefault="00D141C8" w:rsidP="007812FE">
            <w:pPr>
              <w:spacing w:before="120" w:after="120" w:line="360"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D141C8" w:rsidRPr="00CF31E0" w14:paraId="4E30FA2D" w14:textId="77777777" w:rsidTr="008A0892">
        <w:trPr>
          <w:trHeight w:val="567"/>
        </w:trPr>
        <w:tc>
          <w:tcPr>
            <w:tcW w:w="2376" w:type="dxa"/>
            <w:tcBorders>
              <w:top w:val="single" w:sz="8" w:space="0" w:color="auto"/>
            </w:tcBorders>
            <w:shd w:val="clear" w:color="auto" w:fill="auto"/>
            <w:vAlign w:val="bottom"/>
          </w:tcPr>
          <w:p w14:paraId="51D543AD" w14:textId="77777777" w:rsidR="00D141C8" w:rsidRPr="00CF31E0" w:rsidRDefault="00D141C8" w:rsidP="008A0892">
            <w:pPr>
              <w:spacing w:before="80" w:after="120" w:line="360"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993" w:type="dxa"/>
            <w:tcBorders>
              <w:top w:val="single" w:sz="8" w:space="0" w:color="auto"/>
            </w:tcBorders>
            <w:shd w:val="clear" w:color="auto" w:fill="auto"/>
            <w:vAlign w:val="bottom"/>
          </w:tcPr>
          <w:p w14:paraId="7D92216E" w14:textId="517EC7AF" w:rsidR="00D141C8" w:rsidRPr="00CF31E0" w:rsidRDefault="00D141C8" w:rsidP="008A0892">
            <w:pPr>
              <w:spacing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4.531</w:t>
            </w:r>
            <w:r w:rsidRPr="00CF31E0">
              <w:rPr>
                <w:rFonts w:eastAsia="Calibri"/>
                <w:color w:val="000000" w:themeColor="text1"/>
                <w:sz w:val="22"/>
                <w:szCs w:val="22"/>
                <w:vertAlign w:val="superscript"/>
                <w:lang w:eastAsia="en-US"/>
              </w:rPr>
              <w:t>a</w:t>
            </w:r>
          </w:p>
        </w:tc>
        <w:tc>
          <w:tcPr>
            <w:tcW w:w="425" w:type="dxa"/>
            <w:tcBorders>
              <w:top w:val="single" w:sz="8" w:space="0" w:color="auto"/>
            </w:tcBorders>
            <w:shd w:val="clear" w:color="auto" w:fill="auto"/>
            <w:vAlign w:val="bottom"/>
          </w:tcPr>
          <w:p w14:paraId="6A197424" w14:textId="77777777" w:rsidR="00D141C8" w:rsidRPr="00CF31E0" w:rsidRDefault="00D141C8" w:rsidP="008A0892">
            <w:pPr>
              <w:spacing w:after="120" w:line="360"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1</w:t>
            </w:r>
          </w:p>
        </w:tc>
        <w:tc>
          <w:tcPr>
            <w:tcW w:w="3345" w:type="dxa"/>
            <w:tcBorders>
              <w:top w:val="single" w:sz="8" w:space="0" w:color="auto"/>
            </w:tcBorders>
            <w:shd w:val="clear" w:color="auto" w:fill="auto"/>
            <w:vAlign w:val="bottom"/>
          </w:tcPr>
          <w:p w14:paraId="6D897A98" w14:textId="7DE426FE" w:rsidR="00D141C8" w:rsidRPr="00CF31E0" w:rsidRDefault="00D141C8" w:rsidP="008A0892">
            <w:pPr>
              <w:spacing w:after="120" w:line="360"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.033</w:t>
            </w:r>
          </w:p>
        </w:tc>
      </w:tr>
      <w:tr w:rsidR="00D141C8" w:rsidRPr="00CF31E0" w14:paraId="1453B1E0" w14:textId="77777777" w:rsidTr="008A0892">
        <w:trPr>
          <w:trHeight w:val="567"/>
        </w:trPr>
        <w:tc>
          <w:tcPr>
            <w:tcW w:w="2376" w:type="dxa"/>
            <w:shd w:val="clear" w:color="auto" w:fill="auto"/>
            <w:vAlign w:val="bottom"/>
          </w:tcPr>
          <w:p w14:paraId="47FA6BD6" w14:textId="77777777" w:rsidR="00D141C8" w:rsidRPr="00CF31E0" w:rsidRDefault="00D141C8" w:rsidP="008A0892">
            <w:pPr>
              <w:spacing w:after="120" w:line="360" w:lineRule="auto"/>
              <w:rPr>
                <w:rFonts w:eastAsia="Calibri"/>
                <w:color w:val="000000" w:themeColor="text1"/>
                <w:sz w:val="22"/>
                <w:szCs w:val="22"/>
                <w:lang w:val="en-US" w:eastAsia="en-US"/>
              </w:rPr>
            </w:pPr>
            <w:r w:rsidRPr="00CF31E0">
              <w:rPr>
                <w:rFonts w:eastAsia="Calibri"/>
                <w:color w:val="000000" w:themeColor="text1"/>
                <w:sz w:val="22"/>
                <w:szCs w:val="22"/>
                <w:lang w:eastAsia="en-US"/>
              </w:rPr>
              <w:t>Continuity Corrrection</w:t>
            </w:r>
            <w:r w:rsidRPr="00CF31E0">
              <w:rPr>
                <w:rFonts w:eastAsia="Calibri"/>
                <w:color w:val="000000" w:themeColor="text1"/>
                <w:sz w:val="22"/>
                <w:szCs w:val="22"/>
                <w:vertAlign w:val="superscript"/>
                <w:lang w:eastAsia="en-US"/>
              </w:rPr>
              <w:t>b</w:t>
            </w:r>
          </w:p>
        </w:tc>
        <w:tc>
          <w:tcPr>
            <w:tcW w:w="993" w:type="dxa"/>
            <w:shd w:val="clear" w:color="auto" w:fill="auto"/>
            <w:vAlign w:val="bottom"/>
          </w:tcPr>
          <w:p w14:paraId="6D07C243" w14:textId="285AB987" w:rsidR="00D141C8" w:rsidRPr="00CF31E0" w:rsidRDefault="00D141C8" w:rsidP="008A0892">
            <w:pPr>
              <w:spacing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4.167</w:t>
            </w:r>
          </w:p>
        </w:tc>
        <w:tc>
          <w:tcPr>
            <w:tcW w:w="425" w:type="dxa"/>
            <w:shd w:val="clear" w:color="auto" w:fill="auto"/>
            <w:vAlign w:val="bottom"/>
          </w:tcPr>
          <w:p w14:paraId="5DB47628" w14:textId="77777777" w:rsidR="00D141C8" w:rsidRPr="00CF31E0" w:rsidRDefault="00D141C8" w:rsidP="008A0892">
            <w:pPr>
              <w:spacing w:after="120" w:line="360"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1</w:t>
            </w:r>
          </w:p>
        </w:tc>
        <w:tc>
          <w:tcPr>
            <w:tcW w:w="3345" w:type="dxa"/>
            <w:shd w:val="clear" w:color="auto" w:fill="auto"/>
            <w:vAlign w:val="bottom"/>
          </w:tcPr>
          <w:p w14:paraId="6F25B312" w14:textId="2D917A71" w:rsidR="00D141C8" w:rsidRPr="00CF31E0" w:rsidRDefault="00D141C8" w:rsidP="008A0892">
            <w:pPr>
              <w:spacing w:after="120" w:line="360"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.041</w:t>
            </w:r>
          </w:p>
        </w:tc>
      </w:tr>
      <w:tr w:rsidR="00D141C8" w:rsidRPr="00CF31E0" w14:paraId="4A396705" w14:textId="77777777" w:rsidTr="007812FE">
        <w:trPr>
          <w:trHeight w:val="567"/>
        </w:trPr>
        <w:tc>
          <w:tcPr>
            <w:tcW w:w="7139" w:type="dxa"/>
            <w:gridSpan w:val="4"/>
            <w:tcBorders>
              <w:top w:val="single" w:sz="8" w:space="0" w:color="auto"/>
              <w:bottom w:val="single" w:sz="8" w:space="0" w:color="auto"/>
            </w:tcBorders>
            <w:shd w:val="clear" w:color="auto" w:fill="auto"/>
          </w:tcPr>
          <w:p w14:paraId="69DBAD46" w14:textId="0CB9A9BA" w:rsidR="00D141C8" w:rsidRPr="00CF31E0" w:rsidRDefault="00D141C8" w:rsidP="00D141C8">
            <w:pPr>
              <w:spacing w:before="80" w:after="120"/>
              <w:rPr>
                <w:rFonts w:eastAsia="Calibri"/>
                <w:color w:val="000000" w:themeColor="text1"/>
                <w:sz w:val="22"/>
                <w:szCs w:val="22"/>
                <w:lang w:eastAsia="en-US"/>
              </w:rPr>
            </w:pPr>
            <w:r w:rsidRPr="00CF31E0">
              <w:rPr>
                <w:rFonts w:eastAsia="Calibri"/>
                <w:color w:val="000000" w:themeColor="text1"/>
                <w:sz w:val="22"/>
                <w:szCs w:val="22"/>
                <w:lang w:eastAsia="en-US"/>
              </w:rPr>
              <w:t>a. 0 cells (0.0%) have expected count less than 5. The minimum expected count is 80.80.</w:t>
            </w:r>
          </w:p>
          <w:p w14:paraId="2B933A89" w14:textId="77777777" w:rsidR="00D141C8" w:rsidRPr="00CF31E0" w:rsidRDefault="00D141C8" w:rsidP="007812FE">
            <w:pPr>
              <w:spacing w:before="80" w:after="120"/>
              <w:rPr>
                <w:rFonts w:eastAsia="Calibri"/>
                <w:color w:val="000000" w:themeColor="text1"/>
                <w:sz w:val="22"/>
                <w:szCs w:val="22"/>
                <w:lang w:eastAsia="en-US"/>
              </w:rPr>
            </w:pPr>
            <w:r w:rsidRPr="00CF31E0">
              <w:rPr>
                <w:rFonts w:eastAsia="Calibri"/>
                <w:color w:val="000000" w:themeColor="text1"/>
                <w:sz w:val="22"/>
                <w:szCs w:val="22"/>
                <w:lang w:eastAsia="en-US"/>
              </w:rPr>
              <w:t>b. Computed only for a 2 × 2 table.</w:t>
            </w:r>
          </w:p>
        </w:tc>
      </w:tr>
    </w:tbl>
    <w:p w14:paraId="0C8E647F" w14:textId="7EBA0F65" w:rsidR="000B4835" w:rsidRPr="00CF31E0" w:rsidRDefault="000B4835" w:rsidP="002E4A31">
      <w:pPr>
        <w:pStyle w:val="Tablecaption"/>
        <w:rPr>
          <w:lang w:eastAsia="en-US"/>
        </w:rPr>
      </w:pPr>
      <w:bookmarkStart w:id="799" w:name="_Toc522527472"/>
      <w:bookmarkStart w:id="800" w:name="_Toc522628885"/>
      <w:bookmarkStart w:id="801" w:name="_Toc522629049"/>
      <w:bookmarkStart w:id="802" w:name="_Toc6473147"/>
      <w:r w:rsidRPr="00CF31E0">
        <w:rPr>
          <w:lang w:eastAsia="en-US"/>
        </w:rPr>
        <w:t xml:space="preserve">Table </w:t>
      </w:r>
      <w:r w:rsidR="002E4A31" w:rsidRPr="00CF31E0">
        <w:rPr>
          <w:lang w:eastAsia="en-US"/>
        </w:rPr>
        <w:t>11</w:t>
      </w:r>
      <w:r w:rsidR="00C00792" w:rsidRPr="00CF31E0">
        <w:rPr>
          <w:lang w:eastAsia="en-US"/>
        </w:rPr>
        <w:t>.</w:t>
      </w:r>
      <w:r w:rsidR="002E4A31" w:rsidRPr="00CF31E0">
        <w:rPr>
          <w:lang w:eastAsia="en-US"/>
        </w:rPr>
        <w:t>9</w:t>
      </w:r>
      <w:r w:rsidRPr="00CF31E0">
        <w:rPr>
          <w:lang w:eastAsia="en-US"/>
        </w:rPr>
        <w:t>: Chi-square test results for the gender demographic variable (VS5).</w:t>
      </w:r>
      <w:bookmarkEnd w:id="799"/>
      <w:bookmarkEnd w:id="800"/>
      <w:bookmarkEnd w:id="801"/>
      <w:bookmarkEnd w:id="802"/>
    </w:p>
    <w:p w14:paraId="429DB0C0" w14:textId="7E76D4A7" w:rsidR="000B4835" w:rsidRPr="00CF31E0" w:rsidRDefault="000B4835" w:rsidP="00603CB7">
      <w:pPr>
        <w:pStyle w:val="Paragraph"/>
        <w:rPr>
          <w:lang w:eastAsia="en-US"/>
        </w:rPr>
      </w:pPr>
      <w:r w:rsidRPr="00CF31E0">
        <w:rPr>
          <w:lang w:eastAsia="en-US"/>
        </w:rPr>
        <w:t xml:space="preserve">As can be seen from the Table </w:t>
      </w:r>
      <w:r w:rsidR="002E4A31" w:rsidRPr="00CF31E0">
        <w:rPr>
          <w:lang w:eastAsia="en-US"/>
        </w:rPr>
        <w:t>11</w:t>
      </w:r>
      <w:r w:rsidR="00C00792" w:rsidRPr="00CF31E0">
        <w:rPr>
          <w:lang w:eastAsia="en-US"/>
        </w:rPr>
        <w:t>.</w:t>
      </w:r>
      <w:r w:rsidR="002E4A31" w:rsidRPr="00CF31E0">
        <w:rPr>
          <w:lang w:eastAsia="en-US"/>
        </w:rPr>
        <w:t xml:space="preserve">9 </w:t>
      </w:r>
      <w:r w:rsidRPr="00CF31E0">
        <w:rPr>
          <w:lang w:eastAsia="en-US"/>
        </w:rPr>
        <w:t>footnote, the chi-square test assumption has not been violated as all the expected cell</w:t>
      </w:r>
      <w:r w:rsidR="00C64F0C" w:rsidRPr="00CF31E0">
        <w:rPr>
          <w:lang w:eastAsia="en-US"/>
        </w:rPr>
        <w:t>s in the current results have an account</w:t>
      </w:r>
      <w:r w:rsidRPr="00CF31E0">
        <w:rPr>
          <w:lang w:eastAsia="en-US"/>
        </w:rPr>
        <w:t xml:space="preserve"> greater than 80.80. Regarding the p value, since there are two categories in each variable, I need to examine the </w:t>
      </w:r>
      <w:r w:rsidRPr="00CF31E0">
        <w:rPr>
          <w:i/>
          <w:iCs/>
          <w:lang w:eastAsia="en-US"/>
        </w:rPr>
        <w:t xml:space="preserve">continuity correction </w:t>
      </w:r>
      <w:r w:rsidRPr="00CF31E0">
        <w:rPr>
          <w:lang w:eastAsia="en-US"/>
        </w:rPr>
        <w:t xml:space="preserve">value, which gives a p value of .041. Table </w:t>
      </w:r>
      <w:r w:rsidR="00FA51CC" w:rsidRPr="00CF31E0">
        <w:rPr>
          <w:lang w:eastAsia="en-US"/>
        </w:rPr>
        <w:t>11</w:t>
      </w:r>
      <w:r w:rsidR="00C00792" w:rsidRPr="00CF31E0">
        <w:rPr>
          <w:lang w:eastAsia="en-US"/>
        </w:rPr>
        <w:t>.</w:t>
      </w:r>
      <w:r w:rsidR="00FA51CC" w:rsidRPr="00CF31E0">
        <w:rPr>
          <w:lang w:eastAsia="en-US"/>
        </w:rPr>
        <w:t xml:space="preserve">10 </w:t>
      </w:r>
      <w:r w:rsidRPr="00CF31E0">
        <w:rPr>
          <w:lang w:eastAsia="en-US"/>
        </w:rPr>
        <w:t xml:space="preserve">provides more details on the results from both gender groups. </w:t>
      </w:r>
    </w:p>
    <w:tbl>
      <w:tblPr>
        <w:tblW w:w="7401" w:type="dxa"/>
        <w:tblInd w:w="-2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81"/>
        <w:gridCol w:w="850"/>
        <w:gridCol w:w="1560"/>
        <w:gridCol w:w="1417"/>
        <w:gridCol w:w="1418"/>
        <w:gridCol w:w="1275"/>
      </w:tblGrid>
      <w:tr w:rsidR="007F558A" w:rsidRPr="00CF31E0" w14:paraId="674DD88D" w14:textId="77777777" w:rsidTr="00603CB7">
        <w:trPr>
          <w:cantSplit/>
        </w:trPr>
        <w:tc>
          <w:tcPr>
            <w:tcW w:w="3291" w:type="dxa"/>
            <w:gridSpan w:val="3"/>
            <w:vMerge w:val="restart"/>
            <w:shd w:val="clear" w:color="auto" w:fill="FFFFFF"/>
            <w:vAlign w:val="bottom"/>
          </w:tcPr>
          <w:p w14:paraId="30A0F9C3" w14:textId="77777777" w:rsidR="000B4835" w:rsidRPr="00CF31E0" w:rsidRDefault="000B4835" w:rsidP="000B4835">
            <w:pPr>
              <w:rPr>
                <w:rFonts w:eastAsia="Calibri"/>
                <w:color w:val="000000" w:themeColor="text1"/>
                <w:sz w:val="22"/>
                <w:szCs w:val="22"/>
                <w:lang w:eastAsia="en-US"/>
              </w:rPr>
            </w:pPr>
          </w:p>
        </w:tc>
        <w:tc>
          <w:tcPr>
            <w:tcW w:w="2835" w:type="dxa"/>
            <w:gridSpan w:val="2"/>
            <w:shd w:val="clear" w:color="auto" w:fill="FFFFFF"/>
            <w:vAlign w:val="bottom"/>
          </w:tcPr>
          <w:p w14:paraId="2A9A697C" w14:textId="23F7CCEC" w:rsidR="000B4835" w:rsidRPr="00CF31E0" w:rsidRDefault="00481818" w:rsidP="00D141C8">
            <w:pPr>
              <w:widowControl w:val="0"/>
              <w:autoSpaceDE w:val="0"/>
              <w:autoSpaceDN w:val="0"/>
              <w:adjustRightInd w:val="0"/>
              <w:spacing w:line="320" w:lineRule="atLeast"/>
              <w:ind w:left="60" w:right="60"/>
              <w:jc w:val="center"/>
              <w:rPr>
                <w:rFonts w:eastAsia="Calibri"/>
                <w:color w:val="000000" w:themeColor="text1"/>
                <w:sz w:val="22"/>
                <w:szCs w:val="22"/>
                <w:lang w:eastAsia="en-US"/>
              </w:rPr>
            </w:pPr>
            <w:r w:rsidRPr="00CF31E0">
              <w:rPr>
                <w:rFonts w:eastAsia="Calibri"/>
                <w:color w:val="000000" w:themeColor="text1"/>
                <w:sz w:val="22"/>
                <w:szCs w:val="22"/>
                <w:lang w:eastAsia="en-US"/>
              </w:rPr>
              <w:t>VS</w:t>
            </w:r>
            <w:r w:rsidR="000B4835" w:rsidRPr="00CF31E0">
              <w:rPr>
                <w:rFonts w:eastAsia="Calibri"/>
                <w:color w:val="000000" w:themeColor="text1"/>
                <w:sz w:val="22"/>
                <w:szCs w:val="22"/>
                <w:lang w:eastAsia="en-US"/>
              </w:rPr>
              <w:t>5</w:t>
            </w:r>
          </w:p>
        </w:tc>
        <w:tc>
          <w:tcPr>
            <w:tcW w:w="1275" w:type="dxa"/>
            <w:vMerge w:val="restart"/>
            <w:shd w:val="clear" w:color="auto" w:fill="FFFFFF"/>
            <w:vAlign w:val="bottom"/>
          </w:tcPr>
          <w:p w14:paraId="00CD8401"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Total</w:t>
            </w:r>
          </w:p>
        </w:tc>
      </w:tr>
      <w:tr w:rsidR="007F558A" w:rsidRPr="00CF31E0" w14:paraId="0C6AB7B2" w14:textId="77777777" w:rsidTr="00603CB7">
        <w:trPr>
          <w:cantSplit/>
        </w:trPr>
        <w:tc>
          <w:tcPr>
            <w:tcW w:w="3291" w:type="dxa"/>
            <w:gridSpan w:val="3"/>
            <w:vMerge/>
            <w:shd w:val="clear" w:color="auto" w:fill="FFFFFF"/>
            <w:vAlign w:val="bottom"/>
          </w:tcPr>
          <w:p w14:paraId="30799049" w14:textId="77777777" w:rsidR="000B4835" w:rsidRPr="00CF31E0" w:rsidRDefault="000B4835" w:rsidP="000B4835">
            <w:pPr>
              <w:widowControl w:val="0"/>
              <w:autoSpaceDE w:val="0"/>
              <w:autoSpaceDN w:val="0"/>
              <w:adjustRightInd w:val="0"/>
              <w:rPr>
                <w:rFonts w:eastAsia="Calibri"/>
                <w:color w:val="000000" w:themeColor="text1"/>
                <w:sz w:val="22"/>
                <w:szCs w:val="22"/>
                <w:lang w:eastAsia="en-US"/>
              </w:rPr>
            </w:pPr>
          </w:p>
        </w:tc>
        <w:tc>
          <w:tcPr>
            <w:tcW w:w="1417" w:type="dxa"/>
            <w:shd w:val="clear" w:color="auto" w:fill="FFFFFF"/>
            <w:vAlign w:val="bottom"/>
          </w:tcPr>
          <w:p w14:paraId="42A11783" w14:textId="4201C4FB" w:rsidR="000B4835" w:rsidRPr="00CF31E0" w:rsidRDefault="00C64F0C" w:rsidP="00603CB7">
            <w:pPr>
              <w:widowControl w:val="0"/>
              <w:autoSpaceDE w:val="0"/>
              <w:autoSpaceDN w:val="0"/>
              <w:adjustRightInd w:val="0"/>
              <w:spacing w:line="320" w:lineRule="atLeast"/>
              <w:ind w:right="60"/>
              <w:jc w:val="right"/>
              <w:rPr>
                <w:rFonts w:eastAsia="Calibri"/>
                <w:color w:val="000000" w:themeColor="text1"/>
                <w:sz w:val="22"/>
                <w:szCs w:val="22"/>
                <w:lang w:eastAsia="en-US"/>
              </w:rPr>
            </w:pPr>
            <w:r w:rsidRPr="00CF31E0">
              <w:rPr>
                <w:rFonts w:eastAsia="Calibri"/>
                <w:color w:val="000000" w:themeColor="text1"/>
                <w:sz w:val="22"/>
                <w:szCs w:val="22"/>
                <w:lang w:eastAsia="en-US"/>
              </w:rPr>
              <w:t>UBH</w:t>
            </w:r>
            <w:r w:rsidR="000B4835" w:rsidRPr="00CF31E0">
              <w:rPr>
                <w:rFonts w:eastAsia="Calibri"/>
                <w:color w:val="000000" w:themeColor="text1"/>
                <w:sz w:val="22"/>
                <w:szCs w:val="22"/>
                <w:lang w:eastAsia="en-US"/>
              </w:rPr>
              <w:t xml:space="preserve"> social group</w:t>
            </w:r>
          </w:p>
        </w:tc>
        <w:tc>
          <w:tcPr>
            <w:tcW w:w="1418" w:type="dxa"/>
            <w:shd w:val="clear" w:color="auto" w:fill="FFFFFF"/>
            <w:vAlign w:val="bottom"/>
          </w:tcPr>
          <w:p w14:paraId="6D3C1F81" w14:textId="77777777" w:rsidR="00C64F0C" w:rsidRPr="00CF31E0" w:rsidRDefault="00C64F0C"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HH</w:t>
            </w:r>
          </w:p>
          <w:p w14:paraId="390FD202" w14:textId="088265F8"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social group</w:t>
            </w:r>
          </w:p>
        </w:tc>
        <w:tc>
          <w:tcPr>
            <w:tcW w:w="1275" w:type="dxa"/>
            <w:vMerge/>
            <w:shd w:val="clear" w:color="auto" w:fill="FFFFFF"/>
            <w:vAlign w:val="bottom"/>
          </w:tcPr>
          <w:p w14:paraId="2EF87344" w14:textId="77777777" w:rsidR="000B4835" w:rsidRPr="00CF31E0" w:rsidRDefault="000B4835" w:rsidP="00603CB7">
            <w:pPr>
              <w:widowControl w:val="0"/>
              <w:autoSpaceDE w:val="0"/>
              <w:autoSpaceDN w:val="0"/>
              <w:adjustRightInd w:val="0"/>
              <w:jc w:val="right"/>
              <w:rPr>
                <w:rFonts w:eastAsia="Calibri"/>
                <w:color w:val="000000" w:themeColor="text1"/>
                <w:sz w:val="22"/>
                <w:szCs w:val="22"/>
                <w:lang w:eastAsia="en-US"/>
              </w:rPr>
            </w:pPr>
          </w:p>
        </w:tc>
      </w:tr>
      <w:tr w:rsidR="00D141C8" w:rsidRPr="00CF31E0" w14:paraId="35BD3857" w14:textId="77777777" w:rsidTr="00603CB7">
        <w:trPr>
          <w:cantSplit/>
        </w:trPr>
        <w:tc>
          <w:tcPr>
            <w:tcW w:w="881" w:type="dxa"/>
            <w:vMerge w:val="restart"/>
            <w:shd w:val="clear" w:color="auto" w:fill="FFFFFF"/>
          </w:tcPr>
          <w:p w14:paraId="7515DFC8" w14:textId="36918AB0" w:rsidR="000B4835" w:rsidRPr="00CF31E0" w:rsidRDefault="000B4835" w:rsidP="000B4835">
            <w:pPr>
              <w:widowControl w:val="0"/>
              <w:autoSpaceDE w:val="0"/>
              <w:autoSpaceDN w:val="0"/>
              <w:adjustRightInd w:val="0"/>
              <w:spacing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Gender</w:t>
            </w:r>
          </w:p>
        </w:tc>
        <w:tc>
          <w:tcPr>
            <w:tcW w:w="850" w:type="dxa"/>
            <w:vMerge w:val="restart"/>
            <w:shd w:val="clear" w:color="auto" w:fill="FFFFFF"/>
          </w:tcPr>
          <w:p w14:paraId="6336FDBB" w14:textId="77777777" w:rsidR="000B4835" w:rsidRPr="00CF31E0" w:rsidRDefault="000B4835" w:rsidP="000B4835">
            <w:pPr>
              <w:widowControl w:val="0"/>
              <w:autoSpaceDE w:val="0"/>
              <w:autoSpaceDN w:val="0"/>
              <w:adjustRightInd w:val="0"/>
              <w:spacing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Male</w:t>
            </w:r>
          </w:p>
        </w:tc>
        <w:tc>
          <w:tcPr>
            <w:tcW w:w="1560" w:type="dxa"/>
            <w:shd w:val="clear" w:color="auto" w:fill="FFFFFF"/>
          </w:tcPr>
          <w:p w14:paraId="4FB0D55C" w14:textId="08BC5418" w:rsidR="000B4835" w:rsidRPr="00CF31E0" w:rsidRDefault="008C6682" w:rsidP="000B4835">
            <w:pPr>
              <w:widowControl w:val="0"/>
              <w:autoSpaceDE w:val="0"/>
              <w:autoSpaceDN w:val="0"/>
              <w:adjustRightInd w:val="0"/>
              <w:spacing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Raw frequency</w:t>
            </w:r>
          </w:p>
        </w:tc>
        <w:tc>
          <w:tcPr>
            <w:tcW w:w="1417" w:type="dxa"/>
            <w:shd w:val="clear" w:color="auto" w:fill="FFFFFF"/>
            <w:vAlign w:val="center"/>
          </w:tcPr>
          <w:p w14:paraId="4DF60FE0"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183</w:t>
            </w:r>
          </w:p>
        </w:tc>
        <w:tc>
          <w:tcPr>
            <w:tcW w:w="1418" w:type="dxa"/>
            <w:shd w:val="clear" w:color="auto" w:fill="FFFFFF"/>
            <w:vAlign w:val="center"/>
          </w:tcPr>
          <w:p w14:paraId="73CBDBF7"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93</w:t>
            </w:r>
          </w:p>
        </w:tc>
        <w:tc>
          <w:tcPr>
            <w:tcW w:w="1275" w:type="dxa"/>
            <w:shd w:val="clear" w:color="auto" w:fill="FFFFFF"/>
            <w:vAlign w:val="center"/>
          </w:tcPr>
          <w:p w14:paraId="6EC27988"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276</w:t>
            </w:r>
          </w:p>
        </w:tc>
      </w:tr>
      <w:tr w:rsidR="00D141C8" w:rsidRPr="00CF31E0" w14:paraId="03D697A1" w14:textId="77777777" w:rsidTr="00603CB7">
        <w:trPr>
          <w:cantSplit/>
        </w:trPr>
        <w:tc>
          <w:tcPr>
            <w:tcW w:w="881" w:type="dxa"/>
            <w:vMerge/>
            <w:shd w:val="clear" w:color="auto" w:fill="FFFFFF"/>
          </w:tcPr>
          <w:p w14:paraId="372724AB" w14:textId="77777777" w:rsidR="000B4835" w:rsidRPr="00CF31E0" w:rsidRDefault="000B4835" w:rsidP="000B4835">
            <w:pPr>
              <w:widowControl w:val="0"/>
              <w:autoSpaceDE w:val="0"/>
              <w:autoSpaceDN w:val="0"/>
              <w:adjustRightInd w:val="0"/>
              <w:rPr>
                <w:rFonts w:eastAsia="Calibri"/>
                <w:color w:val="000000" w:themeColor="text1"/>
                <w:sz w:val="22"/>
                <w:szCs w:val="22"/>
                <w:lang w:eastAsia="en-US"/>
              </w:rPr>
            </w:pPr>
          </w:p>
        </w:tc>
        <w:tc>
          <w:tcPr>
            <w:tcW w:w="850" w:type="dxa"/>
            <w:vMerge/>
            <w:shd w:val="clear" w:color="auto" w:fill="FFFFFF"/>
          </w:tcPr>
          <w:p w14:paraId="73B67D66" w14:textId="77777777" w:rsidR="000B4835" w:rsidRPr="00CF31E0" w:rsidRDefault="000B4835" w:rsidP="000B4835">
            <w:pPr>
              <w:widowControl w:val="0"/>
              <w:autoSpaceDE w:val="0"/>
              <w:autoSpaceDN w:val="0"/>
              <w:adjustRightInd w:val="0"/>
              <w:rPr>
                <w:rFonts w:eastAsia="Calibri"/>
                <w:color w:val="000000" w:themeColor="text1"/>
                <w:sz w:val="22"/>
                <w:szCs w:val="22"/>
                <w:lang w:eastAsia="en-US"/>
              </w:rPr>
            </w:pPr>
          </w:p>
        </w:tc>
        <w:tc>
          <w:tcPr>
            <w:tcW w:w="1560" w:type="dxa"/>
            <w:shd w:val="clear" w:color="auto" w:fill="FFFFFF"/>
          </w:tcPr>
          <w:p w14:paraId="3AF5A49F" w14:textId="77777777" w:rsidR="000B4835" w:rsidRPr="00CF31E0" w:rsidRDefault="000B4835" w:rsidP="000B4835">
            <w:pPr>
              <w:widowControl w:val="0"/>
              <w:autoSpaceDE w:val="0"/>
              <w:autoSpaceDN w:val="0"/>
              <w:adjustRightInd w:val="0"/>
              <w:spacing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 within Gender</w:t>
            </w:r>
          </w:p>
        </w:tc>
        <w:tc>
          <w:tcPr>
            <w:tcW w:w="1417" w:type="dxa"/>
            <w:shd w:val="clear" w:color="auto" w:fill="FFFFFF"/>
            <w:vAlign w:val="center"/>
          </w:tcPr>
          <w:p w14:paraId="7CB93742"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66.3%</w:t>
            </w:r>
          </w:p>
        </w:tc>
        <w:tc>
          <w:tcPr>
            <w:tcW w:w="1418" w:type="dxa"/>
            <w:shd w:val="clear" w:color="auto" w:fill="FFFFFF"/>
            <w:vAlign w:val="center"/>
          </w:tcPr>
          <w:p w14:paraId="6889D476"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33.7%</w:t>
            </w:r>
          </w:p>
        </w:tc>
        <w:tc>
          <w:tcPr>
            <w:tcW w:w="1275" w:type="dxa"/>
            <w:shd w:val="clear" w:color="auto" w:fill="FFFFFF"/>
            <w:vAlign w:val="center"/>
          </w:tcPr>
          <w:p w14:paraId="0AA8ABE1"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100.0%</w:t>
            </w:r>
          </w:p>
        </w:tc>
      </w:tr>
      <w:tr w:rsidR="00D141C8" w:rsidRPr="00CF31E0" w14:paraId="67BA14B5" w14:textId="77777777" w:rsidTr="00603CB7">
        <w:trPr>
          <w:cantSplit/>
        </w:trPr>
        <w:tc>
          <w:tcPr>
            <w:tcW w:w="881" w:type="dxa"/>
            <w:vMerge/>
            <w:shd w:val="clear" w:color="auto" w:fill="FFFFFF"/>
          </w:tcPr>
          <w:p w14:paraId="1BA9D532" w14:textId="77777777" w:rsidR="000B4835" w:rsidRPr="00CF31E0" w:rsidRDefault="000B4835" w:rsidP="000B4835">
            <w:pPr>
              <w:widowControl w:val="0"/>
              <w:autoSpaceDE w:val="0"/>
              <w:autoSpaceDN w:val="0"/>
              <w:adjustRightInd w:val="0"/>
              <w:rPr>
                <w:rFonts w:eastAsia="Calibri"/>
                <w:color w:val="000000" w:themeColor="text1"/>
                <w:sz w:val="22"/>
                <w:szCs w:val="22"/>
                <w:lang w:eastAsia="en-US"/>
              </w:rPr>
            </w:pPr>
          </w:p>
        </w:tc>
        <w:tc>
          <w:tcPr>
            <w:tcW w:w="850" w:type="dxa"/>
            <w:vMerge/>
            <w:shd w:val="clear" w:color="auto" w:fill="FFFFFF"/>
          </w:tcPr>
          <w:p w14:paraId="5D64A1D9" w14:textId="77777777" w:rsidR="000B4835" w:rsidRPr="00CF31E0" w:rsidRDefault="000B4835" w:rsidP="000B4835">
            <w:pPr>
              <w:widowControl w:val="0"/>
              <w:autoSpaceDE w:val="0"/>
              <w:autoSpaceDN w:val="0"/>
              <w:adjustRightInd w:val="0"/>
              <w:rPr>
                <w:rFonts w:eastAsia="Calibri"/>
                <w:color w:val="000000" w:themeColor="text1"/>
                <w:sz w:val="22"/>
                <w:szCs w:val="22"/>
                <w:lang w:eastAsia="en-US"/>
              </w:rPr>
            </w:pPr>
          </w:p>
        </w:tc>
        <w:tc>
          <w:tcPr>
            <w:tcW w:w="1560" w:type="dxa"/>
            <w:shd w:val="clear" w:color="auto" w:fill="FFFFFF"/>
          </w:tcPr>
          <w:p w14:paraId="78A1F4FE" w14:textId="77777777" w:rsidR="000B4835" w:rsidRPr="00CF31E0" w:rsidRDefault="000B4835" w:rsidP="000B4835">
            <w:pPr>
              <w:widowControl w:val="0"/>
              <w:autoSpaceDE w:val="0"/>
              <w:autoSpaceDN w:val="0"/>
              <w:adjustRightInd w:val="0"/>
              <w:spacing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 of Total</w:t>
            </w:r>
          </w:p>
        </w:tc>
        <w:tc>
          <w:tcPr>
            <w:tcW w:w="1417" w:type="dxa"/>
            <w:shd w:val="clear" w:color="auto" w:fill="FFFFFF"/>
            <w:vAlign w:val="center"/>
          </w:tcPr>
          <w:p w14:paraId="7840BB71"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28.2%</w:t>
            </w:r>
          </w:p>
        </w:tc>
        <w:tc>
          <w:tcPr>
            <w:tcW w:w="1418" w:type="dxa"/>
            <w:shd w:val="clear" w:color="auto" w:fill="FFFFFF"/>
            <w:vAlign w:val="center"/>
          </w:tcPr>
          <w:p w14:paraId="6663D1F6"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14.3%</w:t>
            </w:r>
          </w:p>
        </w:tc>
        <w:tc>
          <w:tcPr>
            <w:tcW w:w="1275" w:type="dxa"/>
            <w:shd w:val="clear" w:color="auto" w:fill="FFFFFF"/>
            <w:vAlign w:val="center"/>
          </w:tcPr>
          <w:p w14:paraId="1E7ACA92"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42.5%</w:t>
            </w:r>
          </w:p>
        </w:tc>
      </w:tr>
      <w:tr w:rsidR="00D141C8" w:rsidRPr="00CF31E0" w14:paraId="4EF1713E" w14:textId="77777777" w:rsidTr="00603CB7">
        <w:trPr>
          <w:cantSplit/>
        </w:trPr>
        <w:tc>
          <w:tcPr>
            <w:tcW w:w="881" w:type="dxa"/>
            <w:vMerge/>
            <w:shd w:val="clear" w:color="auto" w:fill="FFFFFF"/>
          </w:tcPr>
          <w:p w14:paraId="68B96381" w14:textId="77777777" w:rsidR="000B4835" w:rsidRPr="00CF31E0" w:rsidRDefault="000B4835" w:rsidP="000B4835">
            <w:pPr>
              <w:widowControl w:val="0"/>
              <w:autoSpaceDE w:val="0"/>
              <w:autoSpaceDN w:val="0"/>
              <w:adjustRightInd w:val="0"/>
              <w:rPr>
                <w:rFonts w:eastAsia="Calibri"/>
                <w:color w:val="000000" w:themeColor="text1"/>
                <w:sz w:val="22"/>
                <w:szCs w:val="22"/>
                <w:lang w:eastAsia="en-US"/>
              </w:rPr>
            </w:pPr>
          </w:p>
        </w:tc>
        <w:tc>
          <w:tcPr>
            <w:tcW w:w="850" w:type="dxa"/>
            <w:vMerge w:val="restart"/>
            <w:shd w:val="clear" w:color="auto" w:fill="FFFFFF"/>
          </w:tcPr>
          <w:p w14:paraId="2B2B4074" w14:textId="77777777" w:rsidR="000B4835" w:rsidRPr="00CF31E0" w:rsidRDefault="000B4835" w:rsidP="000B4835">
            <w:pPr>
              <w:widowControl w:val="0"/>
              <w:autoSpaceDE w:val="0"/>
              <w:autoSpaceDN w:val="0"/>
              <w:adjustRightInd w:val="0"/>
              <w:spacing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Female</w:t>
            </w:r>
          </w:p>
        </w:tc>
        <w:tc>
          <w:tcPr>
            <w:tcW w:w="1560" w:type="dxa"/>
            <w:shd w:val="clear" w:color="auto" w:fill="FFFFFF"/>
          </w:tcPr>
          <w:p w14:paraId="35546DE5" w14:textId="6E96EF69" w:rsidR="000B4835" w:rsidRPr="00CF31E0" w:rsidRDefault="008C6682" w:rsidP="000B4835">
            <w:pPr>
              <w:widowControl w:val="0"/>
              <w:autoSpaceDE w:val="0"/>
              <w:autoSpaceDN w:val="0"/>
              <w:adjustRightInd w:val="0"/>
              <w:spacing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Raw frequency</w:t>
            </w:r>
          </w:p>
        </w:tc>
        <w:tc>
          <w:tcPr>
            <w:tcW w:w="1417" w:type="dxa"/>
            <w:shd w:val="clear" w:color="auto" w:fill="FFFFFF"/>
            <w:vAlign w:val="center"/>
          </w:tcPr>
          <w:p w14:paraId="0308B62C"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276</w:t>
            </w:r>
          </w:p>
        </w:tc>
        <w:tc>
          <w:tcPr>
            <w:tcW w:w="1418" w:type="dxa"/>
            <w:shd w:val="clear" w:color="auto" w:fill="FFFFFF"/>
            <w:vAlign w:val="center"/>
          </w:tcPr>
          <w:p w14:paraId="00417082"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97</w:t>
            </w:r>
          </w:p>
        </w:tc>
        <w:tc>
          <w:tcPr>
            <w:tcW w:w="1275" w:type="dxa"/>
            <w:shd w:val="clear" w:color="auto" w:fill="FFFFFF"/>
            <w:vAlign w:val="center"/>
          </w:tcPr>
          <w:p w14:paraId="6985D962"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373</w:t>
            </w:r>
          </w:p>
        </w:tc>
      </w:tr>
      <w:tr w:rsidR="00D141C8" w:rsidRPr="00CF31E0" w14:paraId="3BA926C7" w14:textId="77777777" w:rsidTr="00603CB7">
        <w:trPr>
          <w:cantSplit/>
        </w:trPr>
        <w:tc>
          <w:tcPr>
            <w:tcW w:w="881" w:type="dxa"/>
            <w:vMerge/>
            <w:shd w:val="clear" w:color="auto" w:fill="FFFFFF"/>
          </w:tcPr>
          <w:p w14:paraId="1F922FA4" w14:textId="77777777" w:rsidR="000B4835" w:rsidRPr="00CF31E0" w:rsidRDefault="000B4835" w:rsidP="000B4835">
            <w:pPr>
              <w:widowControl w:val="0"/>
              <w:autoSpaceDE w:val="0"/>
              <w:autoSpaceDN w:val="0"/>
              <w:adjustRightInd w:val="0"/>
              <w:rPr>
                <w:rFonts w:eastAsia="Calibri"/>
                <w:color w:val="000000" w:themeColor="text1"/>
                <w:sz w:val="22"/>
                <w:szCs w:val="22"/>
                <w:lang w:eastAsia="en-US"/>
              </w:rPr>
            </w:pPr>
          </w:p>
        </w:tc>
        <w:tc>
          <w:tcPr>
            <w:tcW w:w="850" w:type="dxa"/>
            <w:vMerge/>
            <w:shd w:val="clear" w:color="auto" w:fill="FFFFFF"/>
          </w:tcPr>
          <w:p w14:paraId="463A716E" w14:textId="77777777" w:rsidR="000B4835" w:rsidRPr="00CF31E0" w:rsidRDefault="000B4835" w:rsidP="000B4835">
            <w:pPr>
              <w:widowControl w:val="0"/>
              <w:autoSpaceDE w:val="0"/>
              <w:autoSpaceDN w:val="0"/>
              <w:adjustRightInd w:val="0"/>
              <w:rPr>
                <w:rFonts w:eastAsia="Calibri"/>
                <w:color w:val="000000" w:themeColor="text1"/>
                <w:sz w:val="22"/>
                <w:szCs w:val="22"/>
                <w:lang w:eastAsia="en-US"/>
              </w:rPr>
            </w:pPr>
          </w:p>
        </w:tc>
        <w:tc>
          <w:tcPr>
            <w:tcW w:w="1560" w:type="dxa"/>
            <w:shd w:val="clear" w:color="auto" w:fill="FFFFFF"/>
          </w:tcPr>
          <w:p w14:paraId="4B1E7468" w14:textId="77777777" w:rsidR="000B4835" w:rsidRPr="00CF31E0" w:rsidRDefault="000B4835" w:rsidP="000B4835">
            <w:pPr>
              <w:widowControl w:val="0"/>
              <w:autoSpaceDE w:val="0"/>
              <w:autoSpaceDN w:val="0"/>
              <w:adjustRightInd w:val="0"/>
              <w:spacing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 within Gender</w:t>
            </w:r>
          </w:p>
        </w:tc>
        <w:tc>
          <w:tcPr>
            <w:tcW w:w="1417" w:type="dxa"/>
            <w:shd w:val="clear" w:color="auto" w:fill="FFFFFF"/>
            <w:vAlign w:val="center"/>
          </w:tcPr>
          <w:p w14:paraId="6A64A5C0"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74.0%</w:t>
            </w:r>
          </w:p>
        </w:tc>
        <w:tc>
          <w:tcPr>
            <w:tcW w:w="1418" w:type="dxa"/>
            <w:shd w:val="clear" w:color="auto" w:fill="FFFFFF"/>
            <w:vAlign w:val="center"/>
          </w:tcPr>
          <w:p w14:paraId="3237AD23"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26.0%</w:t>
            </w:r>
          </w:p>
        </w:tc>
        <w:tc>
          <w:tcPr>
            <w:tcW w:w="1275" w:type="dxa"/>
            <w:shd w:val="clear" w:color="auto" w:fill="FFFFFF"/>
            <w:vAlign w:val="center"/>
          </w:tcPr>
          <w:p w14:paraId="1CF9F142"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100.0%</w:t>
            </w:r>
          </w:p>
        </w:tc>
      </w:tr>
      <w:tr w:rsidR="00D141C8" w:rsidRPr="00CF31E0" w14:paraId="1E66B611" w14:textId="77777777" w:rsidTr="00603CB7">
        <w:trPr>
          <w:cantSplit/>
        </w:trPr>
        <w:tc>
          <w:tcPr>
            <w:tcW w:w="881" w:type="dxa"/>
            <w:vMerge/>
            <w:shd w:val="clear" w:color="auto" w:fill="FFFFFF"/>
          </w:tcPr>
          <w:p w14:paraId="55C0651C" w14:textId="77777777" w:rsidR="000B4835" w:rsidRPr="00CF31E0" w:rsidRDefault="000B4835" w:rsidP="000B4835">
            <w:pPr>
              <w:widowControl w:val="0"/>
              <w:autoSpaceDE w:val="0"/>
              <w:autoSpaceDN w:val="0"/>
              <w:adjustRightInd w:val="0"/>
              <w:rPr>
                <w:rFonts w:eastAsia="Calibri"/>
                <w:color w:val="000000" w:themeColor="text1"/>
                <w:sz w:val="22"/>
                <w:szCs w:val="22"/>
                <w:lang w:eastAsia="en-US"/>
              </w:rPr>
            </w:pPr>
          </w:p>
        </w:tc>
        <w:tc>
          <w:tcPr>
            <w:tcW w:w="850" w:type="dxa"/>
            <w:vMerge/>
            <w:shd w:val="clear" w:color="auto" w:fill="FFFFFF"/>
          </w:tcPr>
          <w:p w14:paraId="50F3C40E" w14:textId="77777777" w:rsidR="000B4835" w:rsidRPr="00CF31E0" w:rsidRDefault="000B4835" w:rsidP="000B4835">
            <w:pPr>
              <w:widowControl w:val="0"/>
              <w:autoSpaceDE w:val="0"/>
              <w:autoSpaceDN w:val="0"/>
              <w:adjustRightInd w:val="0"/>
              <w:rPr>
                <w:rFonts w:eastAsia="Calibri"/>
                <w:color w:val="000000" w:themeColor="text1"/>
                <w:sz w:val="22"/>
                <w:szCs w:val="22"/>
                <w:lang w:eastAsia="en-US"/>
              </w:rPr>
            </w:pPr>
          </w:p>
        </w:tc>
        <w:tc>
          <w:tcPr>
            <w:tcW w:w="1560" w:type="dxa"/>
            <w:shd w:val="clear" w:color="auto" w:fill="FFFFFF"/>
          </w:tcPr>
          <w:p w14:paraId="32B5219B" w14:textId="77777777" w:rsidR="000B4835" w:rsidRPr="00CF31E0" w:rsidRDefault="000B4835" w:rsidP="000B4835">
            <w:pPr>
              <w:widowControl w:val="0"/>
              <w:autoSpaceDE w:val="0"/>
              <w:autoSpaceDN w:val="0"/>
              <w:adjustRightInd w:val="0"/>
              <w:spacing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 of Total</w:t>
            </w:r>
          </w:p>
        </w:tc>
        <w:tc>
          <w:tcPr>
            <w:tcW w:w="1417" w:type="dxa"/>
            <w:shd w:val="clear" w:color="auto" w:fill="FFFFFF"/>
            <w:vAlign w:val="center"/>
          </w:tcPr>
          <w:p w14:paraId="69D70CF3"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42.5%</w:t>
            </w:r>
          </w:p>
        </w:tc>
        <w:tc>
          <w:tcPr>
            <w:tcW w:w="1418" w:type="dxa"/>
            <w:shd w:val="clear" w:color="auto" w:fill="FFFFFF"/>
            <w:vAlign w:val="center"/>
          </w:tcPr>
          <w:p w14:paraId="7A18B7B7"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14.9%</w:t>
            </w:r>
          </w:p>
        </w:tc>
        <w:tc>
          <w:tcPr>
            <w:tcW w:w="1275" w:type="dxa"/>
            <w:shd w:val="clear" w:color="auto" w:fill="FFFFFF"/>
            <w:vAlign w:val="center"/>
          </w:tcPr>
          <w:p w14:paraId="214CE7D6"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57.5%</w:t>
            </w:r>
          </w:p>
        </w:tc>
      </w:tr>
      <w:tr w:rsidR="00D141C8" w:rsidRPr="00CF31E0" w14:paraId="407249C3" w14:textId="77777777" w:rsidTr="00D141C8">
        <w:trPr>
          <w:cantSplit/>
        </w:trPr>
        <w:tc>
          <w:tcPr>
            <w:tcW w:w="1731" w:type="dxa"/>
            <w:gridSpan w:val="2"/>
            <w:vMerge w:val="restart"/>
            <w:shd w:val="clear" w:color="auto" w:fill="FFFFFF"/>
          </w:tcPr>
          <w:p w14:paraId="65635BED" w14:textId="77777777" w:rsidR="000B4835" w:rsidRPr="00CF31E0" w:rsidRDefault="000B4835" w:rsidP="000B4835">
            <w:pPr>
              <w:widowControl w:val="0"/>
              <w:autoSpaceDE w:val="0"/>
              <w:autoSpaceDN w:val="0"/>
              <w:adjustRightInd w:val="0"/>
              <w:spacing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Total</w:t>
            </w:r>
          </w:p>
        </w:tc>
        <w:tc>
          <w:tcPr>
            <w:tcW w:w="1560" w:type="dxa"/>
            <w:shd w:val="clear" w:color="auto" w:fill="FFFFFF"/>
          </w:tcPr>
          <w:p w14:paraId="2FCA8451" w14:textId="48A42654" w:rsidR="000B4835" w:rsidRPr="00CF31E0" w:rsidRDefault="008C6682" w:rsidP="000B4835">
            <w:pPr>
              <w:widowControl w:val="0"/>
              <w:autoSpaceDE w:val="0"/>
              <w:autoSpaceDN w:val="0"/>
              <w:adjustRightInd w:val="0"/>
              <w:spacing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Raw frequency</w:t>
            </w:r>
          </w:p>
        </w:tc>
        <w:tc>
          <w:tcPr>
            <w:tcW w:w="1417" w:type="dxa"/>
            <w:shd w:val="clear" w:color="auto" w:fill="FFFFFF"/>
            <w:vAlign w:val="center"/>
          </w:tcPr>
          <w:p w14:paraId="0742DC83"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459</w:t>
            </w:r>
          </w:p>
        </w:tc>
        <w:tc>
          <w:tcPr>
            <w:tcW w:w="1418" w:type="dxa"/>
            <w:shd w:val="clear" w:color="auto" w:fill="FFFFFF"/>
            <w:vAlign w:val="center"/>
          </w:tcPr>
          <w:p w14:paraId="2B125333"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190</w:t>
            </w:r>
          </w:p>
        </w:tc>
        <w:tc>
          <w:tcPr>
            <w:tcW w:w="1275" w:type="dxa"/>
            <w:shd w:val="clear" w:color="auto" w:fill="FFFFFF"/>
            <w:vAlign w:val="center"/>
          </w:tcPr>
          <w:p w14:paraId="790E9B8C"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649</w:t>
            </w:r>
          </w:p>
        </w:tc>
      </w:tr>
      <w:tr w:rsidR="00D141C8" w:rsidRPr="00CF31E0" w14:paraId="698C862B" w14:textId="77777777" w:rsidTr="00D141C8">
        <w:trPr>
          <w:cantSplit/>
        </w:trPr>
        <w:tc>
          <w:tcPr>
            <w:tcW w:w="1731" w:type="dxa"/>
            <w:gridSpan w:val="2"/>
            <w:vMerge/>
            <w:shd w:val="clear" w:color="auto" w:fill="FFFFFF"/>
          </w:tcPr>
          <w:p w14:paraId="7B849A13" w14:textId="77777777" w:rsidR="000B4835" w:rsidRPr="00CF31E0" w:rsidRDefault="000B4835" w:rsidP="000B4835">
            <w:pPr>
              <w:widowControl w:val="0"/>
              <w:autoSpaceDE w:val="0"/>
              <w:autoSpaceDN w:val="0"/>
              <w:adjustRightInd w:val="0"/>
              <w:rPr>
                <w:rFonts w:eastAsia="Calibri"/>
                <w:color w:val="000000" w:themeColor="text1"/>
                <w:sz w:val="22"/>
                <w:szCs w:val="22"/>
                <w:lang w:eastAsia="en-US"/>
              </w:rPr>
            </w:pPr>
          </w:p>
        </w:tc>
        <w:tc>
          <w:tcPr>
            <w:tcW w:w="1560" w:type="dxa"/>
            <w:shd w:val="clear" w:color="auto" w:fill="FFFFFF"/>
          </w:tcPr>
          <w:p w14:paraId="2917BBBF" w14:textId="77777777" w:rsidR="000B4835" w:rsidRPr="00CF31E0" w:rsidRDefault="000B4835" w:rsidP="000B4835">
            <w:pPr>
              <w:widowControl w:val="0"/>
              <w:autoSpaceDE w:val="0"/>
              <w:autoSpaceDN w:val="0"/>
              <w:adjustRightInd w:val="0"/>
              <w:spacing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 within Gender</w:t>
            </w:r>
          </w:p>
        </w:tc>
        <w:tc>
          <w:tcPr>
            <w:tcW w:w="1417" w:type="dxa"/>
            <w:shd w:val="clear" w:color="auto" w:fill="FFFFFF"/>
            <w:vAlign w:val="center"/>
          </w:tcPr>
          <w:p w14:paraId="0E8A56FF"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70.7%</w:t>
            </w:r>
          </w:p>
        </w:tc>
        <w:tc>
          <w:tcPr>
            <w:tcW w:w="1418" w:type="dxa"/>
            <w:shd w:val="clear" w:color="auto" w:fill="FFFFFF"/>
            <w:vAlign w:val="center"/>
          </w:tcPr>
          <w:p w14:paraId="6C38287C"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29.3%</w:t>
            </w:r>
          </w:p>
        </w:tc>
        <w:tc>
          <w:tcPr>
            <w:tcW w:w="1275" w:type="dxa"/>
            <w:shd w:val="clear" w:color="auto" w:fill="FFFFFF"/>
            <w:vAlign w:val="center"/>
          </w:tcPr>
          <w:p w14:paraId="41761190"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100.0%</w:t>
            </w:r>
          </w:p>
        </w:tc>
      </w:tr>
      <w:tr w:rsidR="00D141C8" w:rsidRPr="00CF31E0" w14:paraId="1F4B9548" w14:textId="77777777" w:rsidTr="00D141C8">
        <w:trPr>
          <w:cantSplit/>
        </w:trPr>
        <w:tc>
          <w:tcPr>
            <w:tcW w:w="1731" w:type="dxa"/>
            <w:gridSpan w:val="2"/>
            <w:vMerge/>
            <w:shd w:val="clear" w:color="auto" w:fill="FFFFFF"/>
          </w:tcPr>
          <w:p w14:paraId="1FB4CE24" w14:textId="77777777" w:rsidR="000B4835" w:rsidRPr="00CF31E0" w:rsidRDefault="000B4835" w:rsidP="000B4835">
            <w:pPr>
              <w:widowControl w:val="0"/>
              <w:autoSpaceDE w:val="0"/>
              <w:autoSpaceDN w:val="0"/>
              <w:adjustRightInd w:val="0"/>
              <w:rPr>
                <w:rFonts w:eastAsia="Calibri"/>
                <w:color w:val="000000" w:themeColor="text1"/>
                <w:sz w:val="22"/>
                <w:szCs w:val="22"/>
                <w:lang w:eastAsia="en-US"/>
              </w:rPr>
            </w:pPr>
          </w:p>
        </w:tc>
        <w:tc>
          <w:tcPr>
            <w:tcW w:w="1560" w:type="dxa"/>
            <w:shd w:val="clear" w:color="auto" w:fill="FFFFFF"/>
          </w:tcPr>
          <w:p w14:paraId="7654FF8F" w14:textId="77777777" w:rsidR="000B4835" w:rsidRPr="00CF31E0" w:rsidRDefault="000B4835" w:rsidP="000B4835">
            <w:pPr>
              <w:widowControl w:val="0"/>
              <w:autoSpaceDE w:val="0"/>
              <w:autoSpaceDN w:val="0"/>
              <w:adjustRightInd w:val="0"/>
              <w:spacing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 of Total</w:t>
            </w:r>
          </w:p>
        </w:tc>
        <w:tc>
          <w:tcPr>
            <w:tcW w:w="1417" w:type="dxa"/>
            <w:shd w:val="clear" w:color="auto" w:fill="FFFFFF"/>
            <w:vAlign w:val="center"/>
          </w:tcPr>
          <w:p w14:paraId="35DD11E7"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70.7%</w:t>
            </w:r>
          </w:p>
        </w:tc>
        <w:tc>
          <w:tcPr>
            <w:tcW w:w="1418" w:type="dxa"/>
            <w:shd w:val="clear" w:color="auto" w:fill="FFFFFF"/>
            <w:vAlign w:val="center"/>
          </w:tcPr>
          <w:p w14:paraId="7D04959E"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29.3%</w:t>
            </w:r>
          </w:p>
        </w:tc>
        <w:tc>
          <w:tcPr>
            <w:tcW w:w="1275" w:type="dxa"/>
            <w:shd w:val="clear" w:color="auto" w:fill="FFFFFF"/>
            <w:vAlign w:val="center"/>
          </w:tcPr>
          <w:p w14:paraId="33ECD246"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100.0%</w:t>
            </w:r>
          </w:p>
        </w:tc>
      </w:tr>
    </w:tbl>
    <w:p w14:paraId="31AABA6E" w14:textId="527B7115" w:rsidR="000B4835" w:rsidRPr="00CF31E0" w:rsidRDefault="000B4835" w:rsidP="002E4A31">
      <w:pPr>
        <w:pStyle w:val="Tablecaption"/>
        <w:rPr>
          <w:lang w:eastAsia="en-US"/>
        </w:rPr>
      </w:pPr>
      <w:bookmarkStart w:id="803" w:name="_Toc522527473"/>
      <w:bookmarkStart w:id="804" w:name="_Toc522628886"/>
      <w:bookmarkStart w:id="805" w:name="_Toc522629050"/>
      <w:bookmarkStart w:id="806" w:name="_Toc6473148"/>
      <w:r w:rsidRPr="00CF31E0">
        <w:rPr>
          <w:lang w:eastAsia="en-US"/>
        </w:rPr>
        <w:t xml:space="preserve">Table </w:t>
      </w:r>
      <w:r w:rsidR="002E4A31" w:rsidRPr="00CF31E0">
        <w:rPr>
          <w:lang w:eastAsia="en-US"/>
        </w:rPr>
        <w:t>11</w:t>
      </w:r>
      <w:r w:rsidR="00C00792" w:rsidRPr="00CF31E0">
        <w:rPr>
          <w:lang w:eastAsia="en-US"/>
        </w:rPr>
        <w:t>.</w:t>
      </w:r>
      <w:r w:rsidR="002E4A31" w:rsidRPr="00CF31E0">
        <w:rPr>
          <w:lang w:eastAsia="en-US"/>
        </w:rPr>
        <w:t>10</w:t>
      </w:r>
      <w:r w:rsidRPr="00CF31E0">
        <w:rPr>
          <w:lang w:eastAsia="en-US"/>
        </w:rPr>
        <w:t>: Gender–VS5 crosstabulation.</w:t>
      </w:r>
      <w:bookmarkEnd w:id="803"/>
      <w:bookmarkEnd w:id="804"/>
      <w:bookmarkEnd w:id="805"/>
      <w:bookmarkEnd w:id="806"/>
    </w:p>
    <w:p w14:paraId="20D22982" w14:textId="777B681F" w:rsidR="000B4835" w:rsidRPr="00CF31E0" w:rsidRDefault="000B4835" w:rsidP="00603CB7">
      <w:pPr>
        <w:pStyle w:val="Paragraph"/>
        <w:rPr>
          <w:lang w:eastAsia="en-US"/>
        </w:rPr>
      </w:pPr>
      <w:r w:rsidRPr="00CF31E0">
        <w:rPr>
          <w:lang w:eastAsia="en-US"/>
        </w:rPr>
        <w:t xml:space="preserve">Table </w:t>
      </w:r>
      <w:r w:rsidR="00FA51CC" w:rsidRPr="00CF31E0">
        <w:rPr>
          <w:lang w:eastAsia="en-US"/>
        </w:rPr>
        <w:t>11</w:t>
      </w:r>
      <w:r w:rsidR="009B56D0" w:rsidRPr="00CF31E0">
        <w:rPr>
          <w:lang w:eastAsia="en-US"/>
        </w:rPr>
        <w:t>.</w:t>
      </w:r>
      <w:r w:rsidR="00FA51CC" w:rsidRPr="00CF31E0">
        <w:rPr>
          <w:lang w:eastAsia="en-US"/>
        </w:rPr>
        <w:t xml:space="preserve">10 </w:t>
      </w:r>
      <w:r w:rsidRPr="00CF31E0">
        <w:rPr>
          <w:lang w:eastAsia="en-US"/>
        </w:rPr>
        <w:t xml:space="preserve">shows that 66.3% of male </w:t>
      </w:r>
      <w:r w:rsidR="00C64F0C" w:rsidRPr="00CF31E0">
        <w:rPr>
          <w:lang w:eastAsia="en-US"/>
        </w:rPr>
        <w:t>participants</w:t>
      </w:r>
      <w:r w:rsidRPr="00CF31E0">
        <w:rPr>
          <w:lang w:eastAsia="en-US"/>
        </w:rPr>
        <w:t xml:space="preserve"> allocat</w:t>
      </w:r>
      <w:r w:rsidR="00C64F0C" w:rsidRPr="00CF31E0">
        <w:rPr>
          <w:lang w:eastAsia="en-US"/>
        </w:rPr>
        <w:t>ed the voice sample to a UBH</w:t>
      </w:r>
      <w:r w:rsidRPr="00CF31E0">
        <w:rPr>
          <w:lang w:eastAsia="en-US"/>
        </w:rPr>
        <w:t xml:space="preserve"> soc</w:t>
      </w:r>
      <w:r w:rsidR="00C64F0C" w:rsidRPr="00CF31E0">
        <w:rPr>
          <w:lang w:eastAsia="en-US"/>
        </w:rPr>
        <w:t>ial group, while 33.7% allocated it to the HH</w:t>
      </w:r>
      <w:r w:rsidRPr="00CF31E0">
        <w:rPr>
          <w:lang w:eastAsia="en-US"/>
        </w:rPr>
        <w:t xml:space="preserve"> social group. On the other hand, 74% of</w:t>
      </w:r>
      <w:r w:rsidR="00B372CE" w:rsidRPr="00CF31E0">
        <w:rPr>
          <w:lang w:eastAsia="en-US"/>
        </w:rPr>
        <w:t xml:space="preserve"> female participants</w:t>
      </w:r>
      <w:r w:rsidRPr="00CF31E0">
        <w:rPr>
          <w:lang w:eastAsia="en-US"/>
        </w:rPr>
        <w:t xml:space="preserve"> allocated</w:t>
      </w:r>
      <w:r w:rsidR="00B372CE" w:rsidRPr="00CF31E0">
        <w:rPr>
          <w:lang w:eastAsia="en-US"/>
        </w:rPr>
        <w:t xml:space="preserve"> the voice </w:t>
      </w:r>
      <w:r w:rsidR="00B372CE" w:rsidRPr="00CF31E0">
        <w:rPr>
          <w:lang w:eastAsia="en-US"/>
        </w:rPr>
        <w:lastRenderedPageBreak/>
        <w:t>sample to the UBH</w:t>
      </w:r>
      <w:r w:rsidRPr="00CF31E0">
        <w:rPr>
          <w:lang w:eastAsia="en-US"/>
        </w:rPr>
        <w:t xml:space="preserve"> social group a</w:t>
      </w:r>
      <w:r w:rsidR="00B372CE" w:rsidRPr="00CF31E0">
        <w:rPr>
          <w:lang w:eastAsia="en-US"/>
        </w:rPr>
        <w:t>nd 26% allocated it to the HH</w:t>
      </w:r>
      <w:r w:rsidRPr="00CF31E0">
        <w:rPr>
          <w:lang w:eastAsia="en-US"/>
        </w:rPr>
        <w:t xml:space="preserve"> social group. </w:t>
      </w:r>
    </w:p>
    <w:p w14:paraId="42CB1CDA" w14:textId="437D2F2A" w:rsidR="000B4835" w:rsidRPr="00CF31E0" w:rsidRDefault="000B4835" w:rsidP="00603CB7">
      <w:pPr>
        <w:pStyle w:val="Paragraph"/>
        <w:rPr>
          <w:lang w:eastAsia="en-US"/>
        </w:rPr>
      </w:pPr>
      <w:r w:rsidRPr="00CF31E0">
        <w:rPr>
          <w:lang w:eastAsia="en-US"/>
        </w:rPr>
        <w:t xml:space="preserve">Regarding the social group variable, the chi-square test results revealed that the difference between groups was statistically </w:t>
      </w:r>
      <w:r w:rsidR="004F24A4" w:rsidRPr="00CF31E0">
        <w:rPr>
          <w:lang w:eastAsia="en-US"/>
        </w:rPr>
        <w:t>significant</w:t>
      </w:r>
      <w:r w:rsidRPr="00CF31E0">
        <w:rPr>
          <w:lang w:eastAsia="en-US"/>
        </w:rPr>
        <w:t>; this means that one group demons</w:t>
      </w:r>
      <w:r w:rsidR="00F57424" w:rsidRPr="00CF31E0">
        <w:rPr>
          <w:lang w:eastAsia="en-US"/>
        </w:rPr>
        <w:t>trated a higher level of</w:t>
      </w:r>
      <w:r w:rsidRPr="00CF31E0">
        <w:rPr>
          <w:lang w:eastAsia="en-US"/>
        </w:rPr>
        <w:t xml:space="preserve"> allocations than the other group. See Tables </w:t>
      </w:r>
      <w:r w:rsidR="00FA51CC" w:rsidRPr="00CF31E0">
        <w:rPr>
          <w:lang w:eastAsia="en-US"/>
        </w:rPr>
        <w:t>11</w:t>
      </w:r>
      <w:r w:rsidR="009B56D0" w:rsidRPr="00CF31E0">
        <w:rPr>
          <w:lang w:eastAsia="en-US"/>
        </w:rPr>
        <w:t>.</w:t>
      </w:r>
      <w:r w:rsidR="00FA51CC" w:rsidRPr="00CF31E0">
        <w:rPr>
          <w:lang w:eastAsia="en-US"/>
        </w:rPr>
        <w:t xml:space="preserve">11 </w:t>
      </w:r>
      <w:r w:rsidRPr="00CF31E0">
        <w:rPr>
          <w:lang w:eastAsia="en-US"/>
        </w:rPr>
        <w:t xml:space="preserve">and </w:t>
      </w:r>
      <w:r w:rsidR="00FA51CC" w:rsidRPr="00CF31E0">
        <w:rPr>
          <w:lang w:eastAsia="en-US"/>
        </w:rPr>
        <w:t>11</w:t>
      </w:r>
      <w:r w:rsidR="009B56D0" w:rsidRPr="00CF31E0">
        <w:rPr>
          <w:lang w:eastAsia="en-US"/>
        </w:rPr>
        <w:t>.</w:t>
      </w:r>
      <w:r w:rsidR="00FA51CC" w:rsidRPr="00CF31E0">
        <w:rPr>
          <w:lang w:eastAsia="en-US"/>
        </w:rPr>
        <w:t>12</w:t>
      </w:r>
      <w:r w:rsidRPr="00CF31E0">
        <w:rPr>
          <w:lang w:eastAsia="en-US"/>
        </w:rPr>
        <w:t xml:space="preserve">.  </w:t>
      </w:r>
    </w:p>
    <w:tbl>
      <w:tblPr>
        <w:tblW w:w="7139" w:type="dxa"/>
        <w:tblLayout w:type="fixed"/>
        <w:tblLook w:val="04A0" w:firstRow="1" w:lastRow="0" w:firstColumn="1" w:lastColumn="0" w:noHBand="0" w:noVBand="1"/>
      </w:tblPr>
      <w:tblGrid>
        <w:gridCol w:w="2376"/>
        <w:gridCol w:w="993"/>
        <w:gridCol w:w="425"/>
        <w:gridCol w:w="3345"/>
      </w:tblGrid>
      <w:tr w:rsidR="00D141C8" w:rsidRPr="00CF31E0" w14:paraId="044A269E" w14:textId="77777777" w:rsidTr="007812FE">
        <w:trPr>
          <w:trHeight w:val="567"/>
        </w:trPr>
        <w:tc>
          <w:tcPr>
            <w:tcW w:w="2376" w:type="dxa"/>
            <w:tcBorders>
              <w:top w:val="single" w:sz="8" w:space="0" w:color="auto"/>
              <w:bottom w:val="single" w:sz="8" w:space="0" w:color="auto"/>
            </w:tcBorders>
            <w:shd w:val="clear" w:color="auto" w:fill="auto"/>
            <w:hideMark/>
          </w:tcPr>
          <w:p w14:paraId="18D2AF90" w14:textId="77777777" w:rsidR="00D141C8" w:rsidRPr="00CF31E0" w:rsidRDefault="00D141C8" w:rsidP="00D141C8">
            <w:pPr>
              <w:spacing w:before="120" w:after="120" w:line="360" w:lineRule="auto"/>
              <w:rPr>
                <w:rFonts w:eastAsia="Calibri"/>
                <w:color w:val="000000" w:themeColor="text1"/>
                <w:sz w:val="22"/>
                <w:szCs w:val="22"/>
                <w:lang w:val="en-US" w:eastAsia="en-US"/>
              </w:rPr>
            </w:pPr>
          </w:p>
        </w:tc>
        <w:tc>
          <w:tcPr>
            <w:tcW w:w="993" w:type="dxa"/>
            <w:tcBorders>
              <w:top w:val="single" w:sz="8" w:space="0" w:color="auto"/>
              <w:bottom w:val="single" w:sz="8" w:space="0" w:color="auto"/>
            </w:tcBorders>
            <w:shd w:val="clear" w:color="auto" w:fill="auto"/>
            <w:hideMark/>
          </w:tcPr>
          <w:p w14:paraId="65A5DCA9" w14:textId="77777777" w:rsidR="00D141C8" w:rsidRPr="00CF31E0" w:rsidRDefault="00D141C8" w:rsidP="00D141C8">
            <w:pPr>
              <w:spacing w:before="120" w:after="120" w:line="360"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425" w:type="dxa"/>
            <w:tcBorders>
              <w:top w:val="single" w:sz="8" w:space="0" w:color="auto"/>
              <w:bottom w:val="single" w:sz="8" w:space="0" w:color="auto"/>
            </w:tcBorders>
            <w:shd w:val="clear" w:color="auto" w:fill="auto"/>
          </w:tcPr>
          <w:p w14:paraId="270F25D3" w14:textId="77777777" w:rsidR="00D141C8" w:rsidRPr="00CF31E0" w:rsidRDefault="00D141C8" w:rsidP="00D141C8">
            <w:pPr>
              <w:spacing w:before="120" w:after="120" w:line="360"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df</w:t>
            </w:r>
          </w:p>
        </w:tc>
        <w:tc>
          <w:tcPr>
            <w:tcW w:w="3345" w:type="dxa"/>
            <w:tcBorders>
              <w:top w:val="single" w:sz="8" w:space="0" w:color="auto"/>
              <w:bottom w:val="single" w:sz="8" w:space="0" w:color="auto"/>
            </w:tcBorders>
            <w:shd w:val="clear" w:color="auto" w:fill="auto"/>
          </w:tcPr>
          <w:p w14:paraId="0B2ACEBF" w14:textId="77777777" w:rsidR="00D141C8" w:rsidRPr="00CF31E0" w:rsidRDefault="00D141C8" w:rsidP="00D141C8">
            <w:pPr>
              <w:spacing w:before="120" w:after="120" w:line="360"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D141C8" w:rsidRPr="00CF31E0" w14:paraId="33403E6A" w14:textId="77777777" w:rsidTr="008A0892">
        <w:trPr>
          <w:trHeight w:val="567"/>
        </w:trPr>
        <w:tc>
          <w:tcPr>
            <w:tcW w:w="2376" w:type="dxa"/>
            <w:tcBorders>
              <w:top w:val="single" w:sz="8" w:space="0" w:color="auto"/>
            </w:tcBorders>
            <w:shd w:val="clear" w:color="auto" w:fill="auto"/>
            <w:vAlign w:val="bottom"/>
          </w:tcPr>
          <w:p w14:paraId="2BB83BD7" w14:textId="77777777" w:rsidR="00D141C8" w:rsidRPr="00CF31E0" w:rsidRDefault="00D141C8" w:rsidP="008A0892">
            <w:pPr>
              <w:spacing w:before="80" w:after="120" w:line="360"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993" w:type="dxa"/>
            <w:tcBorders>
              <w:top w:val="single" w:sz="8" w:space="0" w:color="auto"/>
            </w:tcBorders>
            <w:shd w:val="clear" w:color="auto" w:fill="auto"/>
            <w:vAlign w:val="bottom"/>
          </w:tcPr>
          <w:p w14:paraId="55DC62AC" w14:textId="0BF867FA" w:rsidR="00D141C8" w:rsidRPr="00CF31E0" w:rsidRDefault="00D141C8" w:rsidP="008A0892">
            <w:pPr>
              <w:spacing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28.337</w:t>
            </w:r>
            <w:r w:rsidRPr="00CF31E0">
              <w:rPr>
                <w:rFonts w:eastAsia="Calibri"/>
                <w:color w:val="000000" w:themeColor="text1"/>
                <w:sz w:val="22"/>
                <w:szCs w:val="22"/>
                <w:vertAlign w:val="superscript"/>
                <w:lang w:eastAsia="en-US"/>
              </w:rPr>
              <w:t>a</w:t>
            </w:r>
          </w:p>
        </w:tc>
        <w:tc>
          <w:tcPr>
            <w:tcW w:w="425" w:type="dxa"/>
            <w:tcBorders>
              <w:top w:val="single" w:sz="8" w:space="0" w:color="auto"/>
            </w:tcBorders>
            <w:shd w:val="clear" w:color="auto" w:fill="auto"/>
            <w:vAlign w:val="bottom"/>
          </w:tcPr>
          <w:p w14:paraId="02C249D6" w14:textId="77777777" w:rsidR="00D141C8" w:rsidRPr="00CF31E0" w:rsidRDefault="00D141C8" w:rsidP="008A0892">
            <w:pPr>
              <w:spacing w:after="120" w:line="360"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1</w:t>
            </w:r>
          </w:p>
        </w:tc>
        <w:tc>
          <w:tcPr>
            <w:tcW w:w="3345" w:type="dxa"/>
            <w:tcBorders>
              <w:top w:val="single" w:sz="8" w:space="0" w:color="auto"/>
            </w:tcBorders>
            <w:shd w:val="clear" w:color="auto" w:fill="auto"/>
            <w:vAlign w:val="bottom"/>
          </w:tcPr>
          <w:p w14:paraId="7297590D" w14:textId="6E80A56C" w:rsidR="00D141C8" w:rsidRPr="00CF31E0" w:rsidRDefault="00D141C8" w:rsidP="008A0892">
            <w:pPr>
              <w:spacing w:after="120" w:line="360"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.000</w:t>
            </w:r>
          </w:p>
        </w:tc>
      </w:tr>
      <w:tr w:rsidR="00D141C8" w:rsidRPr="00CF31E0" w14:paraId="164CD536" w14:textId="77777777" w:rsidTr="008A0892">
        <w:trPr>
          <w:trHeight w:val="567"/>
        </w:trPr>
        <w:tc>
          <w:tcPr>
            <w:tcW w:w="2376" w:type="dxa"/>
            <w:shd w:val="clear" w:color="auto" w:fill="auto"/>
            <w:vAlign w:val="bottom"/>
          </w:tcPr>
          <w:p w14:paraId="42A7281F" w14:textId="77777777" w:rsidR="00D141C8" w:rsidRPr="00CF31E0" w:rsidRDefault="00D141C8" w:rsidP="008A0892">
            <w:pPr>
              <w:spacing w:after="120" w:line="360" w:lineRule="auto"/>
              <w:rPr>
                <w:rFonts w:eastAsia="Calibri"/>
                <w:color w:val="000000" w:themeColor="text1"/>
                <w:sz w:val="22"/>
                <w:szCs w:val="22"/>
                <w:lang w:val="en-US" w:eastAsia="en-US"/>
              </w:rPr>
            </w:pPr>
            <w:r w:rsidRPr="00CF31E0">
              <w:rPr>
                <w:rFonts w:eastAsia="Calibri"/>
                <w:color w:val="000000" w:themeColor="text1"/>
                <w:sz w:val="22"/>
                <w:szCs w:val="22"/>
                <w:lang w:eastAsia="en-US"/>
              </w:rPr>
              <w:t>Continuity Corrrection</w:t>
            </w:r>
            <w:r w:rsidRPr="00CF31E0">
              <w:rPr>
                <w:rFonts w:eastAsia="Calibri"/>
                <w:color w:val="000000" w:themeColor="text1"/>
                <w:sz w:val="22"/>
                <w:szCs w:val="22"/>
                <w:vertAlign w:val="superscript"/>
                <w:lang w:eastAsia="en-US"/>
              </w:rPr>
              <w:t>b</w:t>
            </w:r>
          </w:p>
        </w:tc>
        <w:tc>
          <w:tcPr>
            <w:tcW w:w="993" w:type="dxa"/>
            <w:shd w:val="clear" w:color="auto" w:fill="auto"/>
            <w:vAlign w:val="bottom"/>
          </w:tcPr>
          <w:p w14:paraId="21BB0F45" w14:textId="3744B6B8" w:rsidR="00D141C8" w:rsidRPr="00CF31E0" w:rsidRDefault="00D141C8" w:rsidP="008A0892">
            <w:pPr>
              <w:spacing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27.426</w:t>
            </w:r>
          </w:p>
        </w:tc>
        <w:tc>
          <w:tcPr>
            <w:tcW w:w="425" w:type="dxa"/>
            <w:shd w:val="clear" w:color="auto" w:fill="auto"/>
            <w:vAlign w:val="bottom"/>
          </w:tcPr>
          <w:p w14:paraId="20459406" w14:textId="77777777" w:rsidR="00D141C8" w:rsidRPr="00CF31E0" w:rsidRDefault="00D141C8" w:rsidP="008A0892">
            <w:pPr>
              <w:spacing w:after="120" w:line="360"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1</w:t>
            </w:r>
          </w:p>
        </w:tc>
        <w:tc>
          <w:tcPr>
            <w:tcW w:w="3345" w:type="dxa"/>
            <w:shd w:val="clear" w:color="auto" w:fill="auto"/>
            <w:vAlign w:val="bottom"/>
          </w:tcPr>
          <w:p w14:paraId="284C685F" w14:textId="73ED0D07" w:rsidR="00D141C8" w:rsidRPr="00CF31E0" w:rsidRDefault="00D141C8" w:rsidP="008A0892">
            <w:pPr>
              <w:spacing w:after="120" w:line="360"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.000</w:t>
            </w:r>
          </w:p>
        </w:tc>
      </w:tr>
      <w:tr w:rsidR="00D141C8" w:rsidRPr="00CF31E0" w14:paraId="3D33AA9F" w14:textId="77777777" w:rsidTr="007812FE">
        <w:trPr>
          <w:trHeight w:val="567"/>
        </w:trPr>
        <w:tc>
          <w:tcPr>
            <w:tcW w:w="7139" w:type="dxa"/>
            <w:gridSpan w:val="4"/>
            <w:tcBorders>
              <w:top w:val="single" w:sz="8" w:space="0" w:color="auto"/>
              <w:bottom w:val="single" w:sz="8" w:space="0" w:color="auto"/>
            </w:tcBorders>
            <w:shd w:val="clear" w:color="auto" w:fill="auto"/>
          </w:tcPr>
          <w:p w14:paraId="1C9C4426" w14:textId="77E4CE79" w:rsidR="00D141C8" w:rsidRPr="00CF31E0" w:rsidRDefault="00D141C8" w:rsidP="00D141C8">
            <w:pPr>
              <w:spacing w:before="80" w:after="120"/>
              <w:rPr>
                <w:rFonts w:eastAsia="Calibri"/>
                <w:color w:val="000000" w:themeColor="text1"/>
                <w:sz w:val="22"/>
                <w:szCs w:val="22"/>
                <w:lang w:eastAsia="en-US"/>
              </w:rPr>
            </w:pPr>
            <w:r w:rsidRPr="00CF31E0">
              <w:rPr>
                <w:rFonts w:eastAsia="Calibri"/>
                <w:color w:val="000000" w:themeColor="text1"/>
                <w:sz w:val="22"/>
                <w:szCs w:val="22"/>
                <w:lang w:eastAsia="en-US"/>
              </w:rPr>
              <w:t xml:space="preserve">a. 0 cells (0.0%) have expected </w:t>
            </w:r>
            <w:r w:rsidR="00F03C9C" w:rsidRPr="00CF31E0">
              <w:rPr>
                <w:rFonts w:eastAsia="Calibri"/>
                <w:color w:val="000000" w:themeColor="text1"/>
                <w:sz w:val="22"/>
                <w:szCs w:val="22"/>
                <w:lang w:eastAsia="en-US"/>
              </w:rPr>
              <w:t>Count</w:t>
            </w:r>
            <w:r w:rsidRPr="00CF31E0">
              <w:rPr>
                <w:rFonts w:eastAsia="Calibri"/>
                <w:color w:val="000000" w:themeColor="text1"/>
                <w:sz w:val="22"/>
                <w:szCs w:val="22"/>
                <w:lang w:eastAsia="en-US"/>
              </w:rPr>
              <w:t xml:space="preserve"> less than 5. The minimum expected </w:t>
            </w:r>
            <w:r w:rsidR="00F03C9C" w:rsidRPr="00CF31E0">
              <w:rPr>
                <w:rFonts w:eastAsia="Calibri"/>
                <w:color w:val="000000" w:themeColor="text1"/>
                <w:sz w:val="22"/>
                <w:szCs w:val="22"/>
                <w:lang w:eastAsia="en-US"/>
              </w:rPr>
              <w:t>Count</w:t>
            </w:r>
            <w:r w:rsidRPr="00CF31E0">
              <w:rPr>
                <w:rFonts w:eastAsia="Calibri"/>
                <w:color w:val="000000" w:themeColor="text1"/>
                <w:sz w:val="22"/>
                <w:szCs w:val="22"/>
                <w:lang w:eastAsia="en-US"/>
              </w:rPr>
              <w:t xml:space="preserve"> is 94.85.</w:t>
            </w:r>
          </w:p>
          <w:p w14:paraId="31EF1CE1" w14:textId="77777777" w:rsidR="00D141C8" w:rsidRPr="00CF31E0" w:rsidRDefault="00D141C8" w:rsidP="00D141C8">
            <w:pPr>
              <w:spacing w:before="80" w:after="120"/>
              <w:rPr>
                <w:rFonts w:eastAsia="Calibri"/>
                <w:color w:val="000000" w:themeColor="text1"/>
                <w:sz w:val="22"/>
                <w:szCs w:val="22"/>
                <w:lang w:eastAsia="en-US"/>
              </w:rPr>
            </w:pPr>
            <w:r w:rsidRPr="00CF31E0">
              <w:rPr>
                <w:rFonts w:eastAsia="Calibri"/>
                <w:color w:val="000000" w:themeColor="text1"/>
                <w:sz w:val="22"/>
                <w:szCs w:val="22"/>
                <w:lang w:eastAsia="en-US"/>
              </w:rPr>
              <w:t>b. Computed only for a 2 × 2 table.</w:t>
            </w:r>
          </w:p>
        </w:tc>
      </w:tr>
    </w:tbl>
    <w:p w14:paraId="187F75A6" w14:textId="41CAD0E7" w:rsidR="000B4835" w:rsidRPr="00CF31E0" w:rsidRDefault="000B4835" w:rsidP="00FA51CC">
      <w:pPr>
        <w:pStyle w:val="Tablecaption"/>
        <w:rPr>
          <w:lang w:eastAsia="en-US"/>
        </w:rPr>
      </w:pPr>
      <w:bookmarkStart w:id="807" w:name="_Toc522527474"/>
      <w:bookmarkStart w:id="808" w:name="_Toc522628887"/>
      <w:bookmarkStart w:id="809" w:name="_Toc522629051"/>
      <w:bookmarkStart w:id="810" w:name="_Toc6473149"/>
      <w:r w:rsidRPr="00CF31E0">
        <w:rPr>
          <w:lang w:eastAsia="en-US"/>
        </w:rPr>
        <w:t xml:space="preserve">Table </w:t>
      </w:r>
      <w:r w:rsidR="00FA51CC" w:rsidRPr="00CF31E0">
        <w:rPr>
          <w:lang w:eastAsia="en-US"/>
        </w:rPr>
        <w:t>11</w:t>
      </w:r>
      <w:r w:rsidR="009B56D0" w:rsidRPr="00CF31E0">
        <w:rPr>
          <w:lang w:eastAsia="en-US"/>
        </w:rPr>
        <w:t>.</w:t>
      </w:r>
      <w:r w:rsidR="00FA51CC" w:rsidRPr="00CF31E0">
        <w:rPr>
          <w:lang w:eastAsia="en-US"/>
        </w:rPr>
        <w:t>11</w:t>
      </w:r>
      <w:r w:rsidRPr="00CF31E0">
        <w:rPr>
          <w:lang w:eastAsia="en-US"/>
        </w:rPr>
        <w:t>: Chi-square test results for social group demographic variable (VS5).</w:t>
      </w:r>
      <w:bookmarkEnd w:id="807"/>
      <w:bookmarkEnd w:id="808"/>
      <w:bookmarkEnd w:id="809"/>
      <w:bookmarkEnd w:id="810"/>
    </w:p>
    <w:p w14:paraId="1995A9CE" w14:textId="0046851F" w:rsidR="0055355E" w:rsidRPr="00CF31E0" w:rsidRDefault="000B4835" w:rsidP="00F50E67">
      <w:pPr>
        <w:pStyle w:val="Paragraph"/>
        <w:rPr>
          <w:lang w:eastAsia="en-US"/>
        </w:rPr>
      </w:pPr>
      <w:r w:rsidRPr="00CF31E0">
        <w:rPr>
          <w:lang w:eastAsia="en-US"/>
        </w:rPr>
        <w:t xml:space="preserve">The Table </w:t>
      </w:r>
      <w:r w:rsidR="00FA51CC" w:rsidRPr="00CF31E0">
        <w:rPr>
          <w:lang w:eastAsia="en-US"/>
        </w:rPr>
        <w:t>11</w:t>
      </w:r>
      <w:r w:rsidR="009B56D0" w:rsidRPr="00CF31E0">
        <w:rPr>
          <w:lang w:eastAsia="en-US"/>
        </w:rPr>
        <w:t>.</w:t>
      </w:r>
      <w:r w:rsidR="00FA51CC" w:rsidRPr="00CF31E0">
        <w:rPr>
          <w:lang w:eastAsia="en-US"/>
        </w:rPr>
        <w:t xml:space="preserve">11 </w:t>
      </w:r>
      <w:r w:rsidRPr="00CF31E0">
        <w:rPr>
          <w:lang w:eastAsia="en-US"/>
        </w:rPr>
        <w:t xml:space="preserve">footnote shows that the chi-square assumption has not been violated, as 0 cells have an expected </w:t>
      </w:r>
      <w:r w:rsidR="00F57424" w:rsidRPr="00CF31E0">
        <w:rPr>
          <w:lang w:eastAsia="en-US"/>
        </w:rPr>
        <w:t>count</w:t>
      </w:r>
      <w:r w:rsidRPr="00CF31E0">
        <w:rPr>
          <w:lang w:eastAsia="en-US"/>
        </w:rPr>
        <w:t xml:space="preserve"> less than 5. The p value is p&lt;.001, which is highly significant. Table </w:t>
      </w:r>
      <w:r w:rsidR="00FA51CC" w:rsidRPr="00CF31E0">
        <w:rPr>
          <w:lang w:eastAsia="en-US"/>
        </w:rPr>
        <w:t>11</w:t>
      </w:r>
      <w:r w:rsidR="009B56D0" w:rsidRPr="00CF31E0">
        <w:rPr>
          <w:lang w:eastAsia="en-US"/>
        </w:rPr>
        <w:t>.</w:t>
      </w:r>
      <w:r w:rsidR="00FA51CC" w:rsidRPr="00CF31E0">
        <w:rPr>
          <w:lang w:eastAsia="en-US"/>
        </w:rPr>
        <w:t xml:space="preserve">12 </w:t>
      </w:r>
      <w:r w:rsidRPr="00CF31E0">
        <w:rPr>
          <w:lang w:eastAsia="en-US"/>
        </w:rPr>
        <w:t xml:space="preserve">presents a breakdown of the results. </w:t>
      </w:r>
    </w:p>
    <w:tbl>
      <w:tblPr>
        <w:tblW w:w="738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0"/>
        <w:gridCol w:w="708"/>
        <w:gridCol w:w="1559"/>
        <w:gridCol w:w="1559"/>
        <w:gridCol w:w="1418"/>
        <w:gridCol w:w="1417"/>
      </w:tblGrid>
      <w:tr w:rsidR="007F558A" w:rsidRPr="00CF31E0" w14:paraId="33D2389A" w14:textId="77777777" w:rsidTr="00603CB7">
        <w:trPr>
          <w:cantSplit/>
        </w:trPr>
        <w:tc>
          <w:tcPr>
            <w:tcW w:w="2987" w:type="dxa"/>
            <w:gridSpan w:val="3"/>
            <w:vMerge w:val="restart"/>
            <w:shd w:val="clear" w:color="auto" w:fill="FFFFFF"/>
            <w:vAlign w:val="bottom"/>
          </w:tcPr>
          <w:p w14:paraId="44092A4A" w14:textId="77777777" w:rsidR="000B4835" w:rsidRPr="00CF31E0" w:rsidRDefault="000B4835" w:rsidP="000B4835">
            <w:pPr>
              <w:rPr>
                <w:rFonts w:eastAsia="Calibri"/>
                <w:color w:val="000000" w:themeColor="text1"/>
                <w:sz w:val="22"/>
                <w:szCs w:val="22"/>
                <w:lang w:eastAsia="en-US"/>
              </w:rPr>
            </w:pPr>
          </w:p>
        </w:tc>
        <w:tc>
          <w:tcPr>
            <w:tcW w:w="2977" w:type="dxa"/>
            <w:gridSpan w:val="2"/>
            <w:shd w:val="clear" w:color="auto" w:fill="FFFFFF"/>
            <w:vAlign w:val="bottom"/>
          </w:tcPr>
          <w:p w14:paraId="2EA83891" w14:textId="6D6F0E7C" w:rsidR="000B4835" w:rsidRPr="00CF31E0" w:rsidRDefault="00F57424" w:rsidP="000B4835">
            <w:pPr>
              <w:widowControl w:val="0"/>
              <w:autoSpaceDE w:val="0"/>
              <w:autoSpaceDN w:val="0"/>
              <w:adjustRightInd w:val="0"/>
              <w:spacing w:line="320" w:lineRule="atLeast"/>
              <w:ind w:left="60" w:right="60"/>
              <w:jc w:val="center"/>
              <w:rPr>
                <w:rFonts w:eastAsia="Calibri"/>
                <w:color w:val="000000" w:themeColor="text1"/>
                <w:sz w:val="22"/>
                <w:szCs w:val="22"/>
                <w:lang w:eastAsia="en-US"/>
              </w:rPr>
            </w:pPr>
            <w:r w:rsidRPr="00CF31E0">
              <w:rPr>
                <w:rFonts w:eastAsia="Calibri"/>
                <w:color w:val="000000" w:themeColor="text1"/>
                <w:sz w:val="22"/>
                <w:szCs w:val="22"/>
                <w:lang w:eastAsia="en-US"/>
              </w:rPr>
              <w:t>VS</w:t>
            </w:r>
            <w:r w:rsidR="000B4835" w:rsidRPr="00CF31E0">
              <w:rPr>
                <w:rFonts w:eastAsia="Calibri"/>
                <w:color w:val="000000" w:themeColor="text1"/>
                <w:sz w:val="22"/>
                <w:szCs w:val="22"/>
                <w:lang w:eastAsia="en-US"/>
              </w:rPr>
              <w:t>5</w:t>
            </w:r>
          </w:p>
        </w:tc>
        <w:tc>
          <w:tcPr>
            <w:tcW w:w="1417" w:type="dxa"/>
            <w:vMerge w:val="restart"/>
            <w:shd w:val="clear" w:color="auto" w:fill="FFFFFF"/>
            <w:vAlign w:val="bottom"/>
          </w:tcPr>
          <w:p w14:paraId="068EEACC" w14:textId="77777777" w:rsidR="000B4835" w:rsidRPr="00CF31E0" w:rsidRDefault="000B4835" w:rsidP="000B4835">
            <w:pPr>
              <w:widowControl w:val="0"/>
              <w:autoSpaceDE w:val="0"/>
              <w:autoSpaceDN w:val="0"/>
              <w:adjustRightInd w:val="0"/>
              <w:spacing w:line="320" w:lineRule="atLeast"/>
              <w:ind w:left="60" w:right="60"/>
              <w:jc w:val="center"/>
              <w:rPr>
                <w:rFonts w:eastAsia="Calibri"/>
                <w:color w:val="000000" w:themeColor="text1"/>
                <w:sz w:val="22"/>
                <w:szCs w:val="22"/>
                <w:lang w:eastAsia="en-US"/>
              </w:rPr>
            </w:pPr>
            <w:r w:rsidRPr="00CF31E0">
              <w:rPr>
                <w:rFonts w:eastAsia="Calibri"/>
                <w:color w:val="000000" w:themeColor="text1"/>
                <w:sz w:val="22"/>
                <w:szCs w:val="22"/>
                <w:lang w:eastAsia="en-US"/>
              </w:rPr>
              <w:t>Total</w:t>
            </w:r>
          </w:p>
        </w:tc>
      </w:tr>
      <w:tr w:rsidR="007F558A" w:rsidRPr="00CF31E0" w14:paraId="71AA1D95" w14:textId="77777777" w:rsidTr="00603CB7">
        <w:trPr>
          <w:cantSplit/>
        </w:trPr>
        <w:tc>
          <w:tcPr>
            <w:tcW w:w="2987" w:type="dxa"/>
            <w:gridSpan w:val="3"/>
            <w:vMerge/>
            <w:shd w:val="clear" w:color="auto" w:fill="FFFFFF"/>
            <w:vAlign w:val="bottom"/>
          </w:tcPr>
          <w:p w14:paraId="22D23108" w14:textId="77777777" w:rsidR="000B4835" w:rsidRPr="00CF31E0" w:rsidRDefault="000B4835" w:rsidP="000B4835">
            <w:pPr>
              <w:widowControl w:val="0"/>
              <w:autoSpaceDE w:val="0"/>
              <w:autoSpaceDN w:val="0"/>
              <w:adjustRightInd w:val="0"/>
              <w:rPr>
                <w:rFonts w:eastAsia="Calibri"/>
                <w:color w:val="000000" w:themeColor="text1"/>
                <w:sz w:val="22"/>
                <w:szCs w:val="22"/>
                <w:lang w:eastAsia="en-US"/>
              </w:rPr>
            </w:pPr>
          </w:p>
        </w:tc>
        <w:tc>
          <w:tcPr>
            <w:tcW w:w="1559" w:type="dxa"/>
            <w:shd w:val="clear" w:color="auto" w:fill="FFFFFF"/>
            <w:vAlign w:val="bottom"/>
          </w:tcPr>
          <w:p w14:paraId="74AFC583" w14:textId="7D44E139" w:rsidR="000B4835" w:rsidRPr="00CF31E0" w:rsidRDefault="00F57424"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UBH</w:t>
            </w:r>
            <w:r w:rsidR="000B4835" w:rsidRPr="00CF31E0">
              <w:rPr>
                <w:rFonts w:eastAsia="Calibri"/>
                <w:color w:val="000000" w:themeColor="text1"/>
                <w:sz w:val="22"/>
                <w:szCs w:val="22"/>
                <w:lang w:eastAsia="en-US"/>
              </w:rPr>
              <w:t xml:space="preserve"> social group</w:t>
            </w:r>
          </w:p>
        </w:tc>
        <w:tc>
          <w:tcPr>
            <w:tcW w:w="1418" w:type="dxa"/>
            <w:shd w:val="clear" w:color="auto" w:fill="FFFFFF"/>
            <w:vAlign w:val="bottom"/>
          </w:tcPr>
          <w:p w14:paraId="163928FB" w14:textId="52499859" w:rsidR="000B4835" w:rsidRPr="00CF31E0" w:rsidRDefault="00F57424"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HH</w:t>
            </w:r>
            <w:r w:rsidR="000B4835" w:rsidRPr="00CF31E0">
              <w:rPr>
                <w:rFonts w:eastAsia="Calibri"/>
                <w:color w:val="000000" w:themeColor="text1"/>
                <w:sz w:val="22"/>
                <w:szCs w:val="22"/>
                <w:lang w:eastAsia="en-US"/>
              </w:rPr>
              <w:t xml:space="preserve"> social group</w:t>
            </w:r>
          </w:p>
        </w:tc>
        <w:tc>
          <w:tcPr>
            <w:tcW w:w="1417" w:type="dxa"/>
            <w:vMerge/>
            <w:shd w:val="clear" w:color="auto" w:fill="FFFFFF"/>
            <w:vAlign w:val="bottom"/>
          </w:tcPr>
          <w:p w14:paraId="29E5D85C" w14:textId="77777777" w:rsidR="000B4835" w:rsidRPr="00CF31E0" w:rsidRDefault="000B4835" w:rsidP="00603CB7">
            <w:pPr>
              <w:widowControl w:val="0"/>
              <w:autoSpaceDE w:val="0"/>
              <w:autoSpaceDN w:val="0"/>
              <w:adjustRightInd w:val="0"/>
              <w:jc w:val="right"/>
              <w:rPr>
                <w:rFonts w:eastAsia="Calibri"/>
                <w:color w:val="000000" w:themeColor="text1"/>
                <w:sz w:val="22"/>
                <w:szCs w:val="22"/>
                <w:lang w:eastAsia="en-US"/>
              </w:rPr>
            </w:pPr>
          </w:p>
        </w:tc>
      </w:tr>
      <w:tr w:rsidR="007F558A" w:rsidRPr="00CF31E0" w14:paraId="5563942F" w14:textId="77777777" w:rsidTr="00603CB7">
        <w:trPr>
          <w:cantSplit/>
        </w:trPr>
        <w:tc>
          <w:tcPr>
            <w:tcW w:w="720" w:type="dxa"/>
            <w:vMerge w:val="restart"/>
            <w:shd w:val="clear" w:color="auto" w:fill="FFFFFF"/>
          </w:tcPr>
          <w:p w14:paraId="263DC701" w14:textId="77777777" w:rsidR="000B4835" w:rsidRPr="00CF31E0" w:rsidRDefault="000B4835" w:rsidP="000B4835">
            <w:pPr>
              <w:widowControl w:val="0"/>
              <w:autoSpaceDE w:val="0"/>
              <w:autoSpaceDN w:val="0"/>
              <w:adjustRightInd w:val="0"/>
              <w:spacing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Social group</w:t>
            </w:r>
          </w:p>
        </w:tc>
        <w:tc>
          <w:tcPr>
            <w:tcW w:w="708" w:type="dxa"/>
            <w:vMerge w:val="restart"/>
            <w:shd w:val="clear" w:color="auto" w:fill="FFFFFF"/>
          </w:tcPr>
          <w:p w14:paraId="2B083E2B" w14:textId="434BFDB5" w:rsidR="000B4835" w:rsidRPr="00CF31E0" w:rsidRDefault="00F57424" w:rsidP="000B4835">
            <w:pPr>
              <w:widowControl w:val="0"/>
              <w:autoSpaceDE w:val="0"/>
              <w:autoSpaceDN w:val="0"/>
              <w:adjustRightInd w:val="0"/>
              <w:spacing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UBH</w:t>
            </w:r>
          </w:p>
        </w:tc>
        <w:tc>
          <w:tcPr>
            <w:tcW w:w="1559" w:type="dxa"/>
            <w:shd w:val="clear" w:color="auto" w:fill="FFFFFF"/>
          </w:tcPr>
          <w:p w14:paraId="7645B210" w14:textId="42B297DF" w:rsidR="000B4835" w:rsidRPr="00CF31E0" w:rsidRDefault="008C6682" w:rsidP="000B4835">
            <w:pPr>
              <w:widowControl w:val="0"/>
              <w:autoSpaceDE w:val="0"/>
              <w:autoSpaceDN w:val="0"/>
              <w:adjustRightInd w:val="0"/>
              <w:spacing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Raw frequency</w:t>
            </w:r>
          </w:p>
        </w:tc>
        <w:tc>
          <w:tcPr>
            <w:tcW w:w="1559" w:type="dxa"/>
            <w:shd w:val="clear" w:color="auto" w:fill="FFFFFF"/>
            <w:vAlign w:val="center"/>
          </w:tcPr>
          <w:p w14:paraId="6ACD03B9"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260</w:t>
            </w:r>
          </w:p>
        </w:tc>
        <w:tc>
          <w:tcPr>
            <w:tcW w:w="1418" w:type="dxa"/>
            <w:shd w:val="clear" w:color="auto" w:fill="FFFFFF"/>
            <w:vAlign w:val="center"/>
          </w:tcPr>
          <w:p w14:paraId="5614D069" w14:textId="347185EE"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6</w:t>
            </w:r>
            <w:r w:rsidR="00F57424" w:rsidRPr="00CF31E0">
              <w:rPr>
                <w:rFonts w:eastAsia="Calibri"/>
                <w:color w:val="000000" w:themeColor="text1"/>
                <w:sz w:val="22"/>
                <w:szCs w:val="22"/>
                <w:lang w:eastAsia="en-US"/>
              </w:rPr>
              <w:t>3</w:t>
            </w:r>
          </w:p>
        </w:tc>
        <w:tc>
          <w:tcPr>
            <w:tcW w:w="1417" w:type="dxa"/>
            <w:shd w:val="clear" w:color="auto" w:fill="FFFFFF"/>
            <w:vAlign w:val="center"/>
          </w:tcPr>
          <w:p w14:paraId="778C1DE3" w14:textId="7E1C2BB0"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32</w:t>
            </w:r>
            <w:r w:rsidR="00F57424" w:rsidRPr="00CF31E0">
              <w:rPr>
                <w:rFonts w:eastAsia="Calibri"/>
                <w:color w:val="000000" w:themeColor="text1"/>
                <w:sz w:val="22"/>
                <w:szCs w:val="22"/>
                <w:lang w:eastAsia="en-US"/>
              </w:rPr>
              <w:t>3</w:t>
            </w:r>
          </w:p>
        </w:tc>
      </w:tr>
      <w:tr w:rsidR="007F558A" w:rsidRPr="00CF31E0" w14:paraId="4EA655BE" w14:textId="77777777" w:rsidTr="00603CB7">
        <w:trPr>
          <w:cantSplit/>
        </w:trPr>
        <w:tc>
          <w:tcPr>
            <w:tcW w:w="720" w:type="dxa"/>
            <w:vMerge/>
            <w:shd w:val="clear" w:color="auto" w:fill="FFFFFF"/>
          </w:tcPr>
          <w:p w14:paraId="6838BF8A" w14:textId="77777777" w:rsidR="000B4835" w:rsidRPr="00CF31E0" w:rsidRDefault="000B4835" w:rsidP="000B4835">
            <w:pPr>
              <w:widowControl w:val="0"/>
              <w:autoSpaceDE w:val="0"/>
              <w:autoSpaceDN w:val="0"/>
              <w:adjustRightInd w:val="0"/>
              <w:rPr>
                <w:rFonts w:eastAsia="Calibri"/>
                <w:color w:val="000000" w:themeColor="text1"/>
                <w:sz w:val="22"/>
                <w:szCs w:val="22"/>
                <w:lang w:eastAsia="en-US"/>
              </w:rPr>
            </w:pPr>
          </w:p>
        </w:tc>
        <w:tc>
          <w:tcPr>
            <w:tcW w:w="708" w:type="dxa"/>
            <w:vMerge/>
            <w:shd w:val="clear" w:color="auto" w:fill="FFFFFF"/>
          </w:tcPr>
          <w:p w14:paraId="6419039F" w14:textId="77777777" w:rsidR="000B4835" w:rsidRPr="00CF31E0" w:rsidRDefault="000B4835" w:rsidP="000B4835">
            <w:pPr>
              <w:widowControl w:val="0"/>
              <w:autoSpaceDE w:val="0"/>
              <w:autoSpaceDN w:val="0"/>
              <w:adjustRightInd w:val="0"/>
              <w:rPr>
                <w:rFonts w:eastAsia="Calibri"/>
                <w:color w:val="000000" w:themeColor="text1"/>
                <w:sz w:val="22"/>
                <w:szCs w:val="22"/>
                <w:lang w:eastAsia="en-US"/>
              </w:rPr>
            </w:pPr>
          </w:p>
        </w:tc>
        <w:tc>
          <w:tcPr>
            <w:tcW w:w="1559" w:type="dxa"/>
            <w:shd w:val="clear" w:color="auto" w:fill="FFFFFF"/>
          </w:tcPr>
          <w:p w14:paraId="2EACD995" w14:textId="77777777" w:rsidR="000B4835" w:rsidRPr="00CF31E0" w:rsidRDefault="000B4835" w:rsidP="000B4835">
            <w:pPr>
              <w:widowControl w:val="0"/>
              <w:autoSpaceDE w:val="0"/>
              <w:autoSpaceDN w:val="0"/>
              <w:adjustRightInd w:val="0"/>
              <w:spacing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 within Social group</w:t>
            </w:r>
          </w:p>
        </w:tc>
        <w:tc>
          <w:tcPr>
            <w:tcW w:w="1559" w:type="dxa"/>
            <w:shd w:val="clear" w:color="auto" w:fill="FFFFFF"/>
            <w:vAlign w:val="center"/>
          </w:tcPr>
          <w:p w14:paraId="3823F568"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80.2%</w:t>
            </w:r>
          </w:p>
        </w:tc>
        <w:tc>
          <w:tcPr>
            <w:tcW w:w="1418" w:type="dxa"/>
            <w:shd w:val="clear" w:color="auto" w:fill="FFFFFF"/>
            <w:vAlign w:val="center"/>
          </w:tcPr>
          <w:p w14:paraId="568A6D2C"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19.8%</w:t>
            </w:r>
          </w:p>
        </w:tc>
        <w:tc>
          <w:tcPr>
            <w:tcW w:w="1417" w:type="dxa"/>
            <w:shd w:val="clear" w:color="auto" w:fill="FFFFFF"/>
            <w:vAlign w:val="center"/>
          </w:tcPr>
          <w:p w14:paraId="178B1B63"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100.0%</w:t>
            </w:r>
          </w:p>
        </w:tc>
      </w:tr>
      <w:tr w:rsidR="007F558A" w:rsidRPr="00CF31E0" w14:paraId="36836C89" w14:textId="77777777" w:rsidTr="00603CB7">
        <w:trPr>
          <w:cantSplit/>
        </w:trPr>
        <w:tc>
          <w:tcPr>
            <w:tcW w:w="720" w:type="dxa"/>
            <w:vMerge/>
            <w:shd w:val="clear" w:color="auto" w:fill="FFFFFF"/>
          </w:tcPr>
          <w:p w14:paraId="40834AA4" w14:textId="77777777" w:rsidR="000B4835" w:rsidRPr="00CF31E0" w:rsidRDefault="000B4835" w:rsidP="000B4835">
            <w:pPr>
              <w:widowControl w:val="0"/>
              <w:autoSpaceDE w:val="0"/>
              <w:autoSpaceDN w:val="0"/>
              <w:adjustRightInd w:val="0"/>
              <w:rPr>
                <w:rFonts w:eastAsia="Calibri"/>
                <w:color w:val="000000" w:themeColor="text1"/>
                <w:sz w:val="22"/>
                <w:szCs w:val="22"/>
                <w:lang w:eastAsia="en-US"/>
              </w:rPr>
            </w:pPr>
          </w:p>
        </w:tc>
        <w:tc>
          <w:tcPr>
            <w:tcW w:w="708" w:type="dxa"/>
            <w:vMerge/>
            <w:shd w:val="clear" w:color="auto" w:fill="FFFFFF"/>
          </w:tcPr>
          <w:p w14:paraId="07D344A2" w14:textId="77777777" w:rsidR="000B4835" w:rsidRPr="00CF31E0" w:rsidRDefault="000B4835" w:rsidP="000B4835">
            <w:pPr>
              <w:widowControl w:val="0"/>
              <w:autoSpaceDE w:val="0"/>
              <w:autoSpaceDN w:val="0"/>
              <w:adjustRightInd w:val="0"/>
              <w:rPr>
                <w:rFonts w:eastAsia="Calibri"/>
                <w:color w:val="000000" w:themeColor="text1"/>
                <w:sz w:val="22"/>
                <w:szCs w:val="22"/>
                <w:lang w:eastAsia="en-US"/>
              </w:rPr>
            </w:pPr>
          </w:p>
        </w:tc>
        <w:tc>
          <w:tcPr>
            <w:tcW w:w="1559" w:type="dxa"/>
            <w:shd w:val="clear" w:color="auto" w:fill="FFFFFF"/>
          </w:tcPr>
          <w:p w14:paraId="4EFCA02A" w14:textId="77777777" w:rsidR="000B4835" w:rsidRPr="00CF31E0" w:rsidRDefault="000B4835" w:rsidP="000B4835">
            <w:pPr>
              <w:widowControl w:val="0"/>
              <w:autoSpaceDE w:val="0"/>
              <w:autoSpaceDN w:val="0"/>
              <w:adjustRightInd w:val="0"/>
              <w:spacing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 of Total</w:t>
            </w:r>
          </w:p>
        </w:tc>
        <w:tc>
          <w:tcPr>
            <w:tcW w:w="1559" w:type="dxa"/>
            <w:shd w:val="clear" w:color="auto" w:fill="FFFFFF"/>
            <w:vAlign w:val="center"/>
          </w:tcPr>
          <w:p w14:paraId="4C9956A1"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40.1%</w:t>
            </w:r>
          </w:p>
        </w:tc>
        <w:tc>
          <w:tcPr>
            <w:tcW w:w="1418" w:type="dxa"/>
            <w:shd w:val="clear" w:color="auto" w:fill="FFFFFF"/>
            <w:vAlign w:val="center"/>
          </w:tcPr>
          <w:p w14:paraId="319D437E"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9.9%</w:t>
            </w:r>
          </w:p>
        </w:tc>
        <w:tc>
          <w:tcPr>
            <w:tcW w:w="1417" w:type="dxa"/>
            <w:shd w:val="clear" w:color="auto" w:fill="FFFFFF"/>
            <w:vAlign w:val="center"/>
          </w:tcPr>
          <w:p w14:paraId="79330CEA"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49.9%</w:t>
            </w:r>
          </w:p>
        </w:tc>
      </w:tr>
      <w:tr w:rsidR="007F558A" w:rsidRPr="00CF31E0" w14:paraId="025130D4" w14:textId="77777777" w:rsidTr="00603CB7">
        <w:trPr>
          <w:cantSplit/>
        </w:trPr>
        <w:tc>
          <w:tcPr>
            <w:tcW w:w="720" w:type="dxa"/>
            <w:vMerge/>
            <w:shd w:val="clear" w:color="auto" w:fill="FFFFFF"/>
          </w:tcPr>
          <w:p w14:paraId="6AE7A373" w14:textId="77777777" w:rsidR="000B4835" w:rsidRPr="00CF31E0" w:rsidRDefault="000B4835" w:rsidP="000B4835">
            <w:pPr>
              <w:widowControl w:val="0"/>
              <w:autoSpaceDE w:val="0"/>
              <w:autoSpaceDN w:val="0"/>
              <w:adjustRightInd w:val="0"/>
              <w:rPr>
                <w:rFonts w:eastAsia="Calibri"/>
                <w:color w:val="000000" w:themeColor="text1"/>
                <w:sz w:val="22"/>
                <w:szCs w:val="22"/>
                <w:lang w:eastAsia="en-US"/>
              </w:rPr>
            </w:pPr>
          </w:p>
        </w:tc>
        <w:tc>
          <w:tcPr>
            <w:tcW w:w="708" w:type="dxa"/>
            <w:vMerge w:val="restart"/>
            <w:shd w:val="clear" w:color="auto" w:fill="FFFFFF"/>
          </w:tcPr>
          <w:p w14:paraId="53767141" w14:textId="4568CA85" w:rsidR="000B4835" w:rsidRPr="00CF31E0" w:rsidRDefault="000B4835" w:rsidP="000B4835">
            <w:pPr>
              <w:widowControl w:val="0"/>
              <w:autoSpaceDE w:val="0"/>
              <w:autoSpaceDN w:val="0"/>
              <w:adjustRightInd w:val="0"/>
              <w:spacing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H</w:t>
            </w:r>
            <w:r w:rsidR="00F57424" w:rsidRPr="00CF31E0">
              <w:rPr>
                <w:rFonts w:eastAsia="Calibri"/>
                <w:color w:val="000000" w:themeColor="text1"/>
                <w:sz w:val="22"/>
                <w:szCs w:val="22"/>
                <w:lang w:eastAsia="en-US"/>
              </w:rPr>
              <w:t>H</w:t>
            </w:r>
          </w:p>
        </w:tc>
        <w:tc>
          <w:tcPr>
            <w:tcW w:w="1559" w:type="dxa"/>
            <w:shd w:val="clear" w:color="auto" w:fill="FFFFFF"/>
          </w:tcPr>
          <w:p w14:paraId="01E3BBD6" w14:textId="38A56CEE" w:rsidR="000B4835" w:rsidRPr="00CF31E0" w:rsidRDefault="008C6682" w:rsidP="000B4835">
            <w:pPr>
              <w:widowControl w:val="0"/>
              <w:autoSpaceDE w:val="0"/>
              <w:autoSpaceDN w:val="0"/>
              <w:adjustRightInd w:val="0"/>
              <w:spacing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Raw frequency</w:t>
            </w:r>
          </w:p>
        </w:tc>
        <w:tc>
          <w:tcPr>
            <w:tcW w:w="1559" w:type="dxa"/>
            <w:shd w:val="clear" w:color="auto" w:fill="FFFFFF"/>
            <w:vAlign w:val="center"/>
          </w:tcPr>
          <w:p w14:paraId="18A99F77"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199</w:t>
            </w:r>
          </w:p>
        </w:tc>
        <w:tc>
          <w:tcPr>
            <w:tcW w:w="1418" w:type="dxa"/>
            <w:shd w:val="clear" w:color="auto" w:fill="FFFFFF"/>
            <w:vAlign w:val="center"/>
          </w:tcPr>
          <w:p w14:paraId="3E575DD7" w14:textId="32AE10C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12</w:t>
            </w:r>
            <w:r w:rsidR="00F57424" w:rsidRPr="00CF31E0">
              <w:rPr>
                <w:rFonts w:eastAsia="Calibri"/>
                <w:color w:val="000000" w:themeColor="text1"/>
                <w:sz w:val="22"/>
                <w:szCs w:val="22"/>
                <w:lang w:eastAsia="en-US"/>
              </w:rPr>
              <w:t>7</w:t>
            </w:r>
          </w:p>
        </w:tc>
        <w:tc>
          <w:tcPr>
            <w:tcW w:w="1417" w:type="dxa"/>
            <w:shd w:val="clear" w:color="auto" w:fill="FFFFFF"/>
            <w:vAlign w:val="center"/>
          </w:tcPr>
          <w:p w14:paraId="38B7E822" w14:textId="62DA083A"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32</w:t>
            </w:r>
            <w:r w:rsidR="00F57424" w:rsidRPr="00CF31E0">
              <w:rPr>
                <w:rFonts w:eastAsia="Calibri"/>
                <w:color w:val="000000" w:themeColor="text1"/>
                <w:sz w:val="22"/>
                <w:szCs w:val="22"/>
                <w:lang w:eastAsia="en-US"/>
              </w:rPr>
              <w:t>6</w:t>
            </w:r>
          </w:p>
        </w:tc>
      </w:tr>
      <w:tr w:rsidR="007F558A" w:rsidRPr="00CF31E0" w14:paraId="52ABF1D2" w14:textId="77777777" w:rsidTr="00603CB7">
        <w:trPr>
          <w:cantSplit/>
        </w:trPr>
        <w:tc>
          <w:tcPr>
            <w:tcW w:w="720" w:type="dxa"/>
            <w:vMerge/>
            <w:shd w:val="clear" w:color="auto" w:fill="FFFFFF"/>
          </w:tcPr>
          <w:p w14:paraId="7FCAEBA3" w14:textId="77777777" w:rsidR="000B4835" w:rsidRPr="00CF31E0" w:rsidRDefault="000B4835" w:rsidP="000B4835">
            <w:pPr>
              <w:widowControl w:val="0"/>
              <w:autoSpaceDE w:val="0"/>
              <w:autoSpaceDN w:val="0"/>
              <w:adjustRightInd w:val="0"/>
              <w:rPr>
                <w:rFonts w:eastAsia="Calibri"/>
                <w:color w:val="000000" w:themeColor="text1"/>
                <w:sz w:val="22"/>
                <w:szCs w:val="22"/>
                <w:lang w:eastAsia="en-US"/>
              </w:rPr>
            </w:pPr>
          </w:p>
        </w:tc>
        <w:tc>
          <w:tcPr>
            <w:tcW w:w="708" w:type="dxa"/>
            <w:vMerge/>
            <w:shd w:val="clear" w:color="auto" w:fill="FFFFFF"/>
          </w:tcPr>
          <w:p w14:paraId="26BEB605" w14:textId="77777777" w:rsidR="000B4835" w:rsidRPr="00CF31E0" w:rsidRDefault="000B4835" w:rsidP="000B4835">
            <w:pPr>
              <w:widowControl w:val="0"/>
              <w:autoSpaceDE w:val="0"/>
              <w:autoSpaceDN w:val="0"/>
              <w:adjustRightInd w:val="0"/>
              <w:rPr>
                <w:rFonts w:eastAsia="Calibri"/>
                <w:color w:val="000000" w:themeColor="text1"/>
                <w:sz w:val="22"/>
                <w:szCs w:val="22"/>
                <w:lang w:eastAsia="en-US"/>
              </w:rPr>
            </w:pPr>
          </w:p>
        </w:tc>
        <w:tc>
          <w:tcPr>
            <w:tcW w:w="1559" w:type="dxa"/>
            <w:shd w:val="clear" w:color="auto" w:fill="FFFFFF"/>
          </w:tcPr>
          <w:p w14:paraId="7D599423" w14:textId="77777777" w:rsidR="000B4835" w:rsidRPr="00CF31E0" w:rsidRDefault="000B4835" w:rsidP="000B4835">
            <w:pPr>
              <w:widowControl w:val="0"/>
              <w:autoSpaceDE w:val="0"/>
              <w:autoSpaceDN w:val="0"/>
              <w:adjustRightInd w:val="0"/>
              <w:spacing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 within Social group</w:t>
            </w:r>
          </w:p>
        </w:tc>
        <w:tc>
          <w:tcPr>
            <w:tcW w:w="1559" w:type="dxa"/>
            <w:shd w:val="clear" w:color="auto" w:fill="FFFFFF"/>
            <w:vAlign w:val="center"/>
          </w:tcPr>
          <w:p w14:paraId="7094F700"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61.2%</w:t>
            </w:r>
          </w:p>
        </w:tc>
        <w:tc>
          <w:tcPr>
            <w:tcW w:w="1418" w:type="dxa"/>
            <w:shd w:val="clear" w:color="auto" w:fill="FFFFFF"/>
            <w:vAlign w:val="center"/>
          </w:tcPr>
          <w:p w14:paraId="1DD4B79C"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38.8%</w:t>
            </w:r>
          </w:p>
        </w:tc>
        <w:tc>
          <w:tcPr>
            <w:tcW w:w="1417" w:type="dxa"/>
            <w:shd w:val="clear" w:color="auto" w:fill="FFFFFF"/>
            <w:vAlign w:val="center"/>
          </w:tcPr>
          <w:p w14:paraId="049491D9"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100.0%</w:t>
            </w:r>
          </w:p>
        </w:tc>
      </w:tr>
      <w:tr w:rsidR="007F558A" w:rsidRPr="00CF31E0" w14:paraId="40BB6031" w14:textId="77777777" w:rsidTr="00603CB7">
        <w:trPr>
          <w:cantSplit/>
        </w:trPr>
        <w:tc>
          <w:tcPr>
            <w:tcW w:w="720" w:type="dxa"/>
            <w:vMerge/>
            <w:shd w:val="clear" w:color="auto" w:fill="FFFFFF"/>
          </w:tcPr>
          <w:p w14:paraId="23B18B59" w14:textId="77777777" w:rsidR="000B4835" w:rsidRPr="00CF31E0" w:rsidRDefault="000B4835" w:rsidP="000B4835">
            <w:pPr>
              <w:widowControl w:val="0"/>
              <w:autoSpaceDE w:val="0"/>
              <w:autoSpaceDN w:val="0"/>
              <w:adjustRightInd w:val="0"/>
              <w:rPr>
                <w:rFonts w:eastAsia="Calibri"/>
                <w:color w:val="000000" w:themeColor="text1"/>
                <w:sz w:val="22"/>
                <w:szCs w:val="22"/>
                <w:lang w:eastAsia="en-US"/>
              </w:rPr>
            </w:pPr>
          </w:p>
        </w:tc>
        <w:tc>
          <w:tcPr>
            <w:tcW w:w="708" w:type="dxa"/>
            <w:vMerge/>
            <w:shd w:val="clear" w:color="auto" w:fill="FFFFFF"/>
          </w:tcPr>
          <w:p w14:paraId="6D3B97A4" w14:textId="77777777" w:rsidR="000B4835" w:rsidRPr="00CF31E0" w:rsidRDefault="000B4835" w:rsidP="000B4835">
            <w:pPr>
              <w:widowControl w:val="0"/>
              <w:autoSpaceDE w:val="0"/>
              <w:autoSpaceDN w:val="0"/>
              <w:adjustRightInd w:val="0"/>
              <w:rPr>
                <w:rFonts w:eastAsia="Calibri"/>
                <w:color w:val="000000" w:themeColor="text1"/>
                <w:sz w:val="22"/>
                <w:szCs w:val="22"/>
                <w:lang w:eastAsia="en-US"/>
              </w:rPr>
            </w:pPr>
          </w:p>
        </w:tc>
        <w:tc>
          <w:tcPr>
            <w:tcW w:w="1559" w:type="dxa"/>
            <w:shd w:val="clear" w:color="auto" w:fill="FFFFFF"/>
          </w:tcPr>
          <w:p w14:paraId="22356544" w14:textId="77777777" w:rsidR="000B4835" w:rsidRPr="00CF31E0" w:rsidRDefault="000B4835" w:rsidP="000B4835">
            <w:pPr>
              <w:widowControl w:val="0"/>
              <w:autoSpaceDE w:val="0"/>
              <w:autoSpaceDN w:val="0"/>
              <w:adjustRightInd w:val="0"/>
              <w:spacing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 of Total</w:t>
            </w:r>
          </w:p>
        </w:tc>
        <w:tc>
          <w:tcPr>
            <w:tcW w:w="1559" w:type="dxa"/>
            <w:shd w:val="clear" w:color="auto" w:fill="FFFFFF"/>
            <w:vAlign w:val="center"/>
          </w:tcPr>
          <w:p w14:paraId="757AB0C0"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30.7%</w:t>
            </w:r>
          </w:p>
        </w:tc>
        <w:tc>
          <w:tcPr>
            <w:tcW w:w="1418" w:type="dxa"/>
            <w:shd w:val="clear" w:color="auto" w:fill="FFFFFF"/>
            <w:vAlign w:val="center"/>
          </w:tcPr>
          <w:p w14:paraId="7EDBA7CA"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19.4%</w:t>
            </w:r>
          </w:p>
        </w:tc>
        <w:tc>
          <w:tcPr>
            <w:tcW w:w="1417" w:type="dxa"/>
            <w:shd w:val="clear" w:color="auto" w:fill="FFFFFF"/>
            <w:vAlign w:val="center"/>
          </w:tcPr>
          <w:p w14:paraId="4BC0DBC1"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50.1%</w:t>
            </w:r>
          </w:p>
        </w:tc>
      </w:tr>
      <w:tr w:rsidR="007F558A" w:rsidRPr="00CF31E0" w14:paraId="675D7B71" w14:textId="77777777" w:rsidTr="00603CB7">
        <w:trPr>
          <w:cantSplit/>
        </w:trPr>
        <w:tc>
          <w:tcPr>
            <w:tcW w:w="1428" w:type="dxa"/>
            <w:gridSpan w:val="2"/>
            <w:vMerge w:val="restart"/>
            <w:shd w:val="clear" w:color="auto" w:fill="FFFFFF"/>
          </w:tcPr>
          <w:p w14:paraId="6F6612E9" w14:textId="77777777" w:rsidR="000B4835" w:rsidRPr="00CF31E0" w:rsidRDefault="000B4835" w:rsidP="000B4835">
            <w:pPr>
              <w:widowControl w:val="0"/>
              <w:autoSpaceDE w:val="0"/>
              <w:autoSpaceDN w:val="0"/>
              <w:adjustRightInd w:val="0"/>
              <w:spacing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Total</w:t>
            </w:r>
          </w:p>
        </w:tc>
        <w:tc>
          <w:tcPr>
            <w:tcW w:w="1559" w:type="dxa"/>
            <w:shd w:val="clear" w:color="auto" w:fill="FFFFFF"/>
          </w:tcPr>
          <w:p w14:paraId="39F0700D" w14:textId="5CFF8661" w:rsidR="000B4835" w:rsidRPr="00CF31E0" w:rsidRDefault="008C6682" w:rsidP="000B4835">
            <w:pPr>
              <w:widowControl w:val="0"/>
              <w:autoSpaceDE w:val="0"/>
              <w:autoSpaceDN w:val="0"/>
              <w:adjustRightInd w:val="0"/>
              <w:spacing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Raw frequency</w:t>
            </w:r>
          </w:p>
        </w:tc>
        <w:tc>
          <w:tcPr>
            <w:tcW w:w="1559" w:type="dxa"/>
            <w:shd w:val="clear" w:color="auto" w:fill="FFFFFF"/>
            <w:vAlign w:val="center"/>
          </w:tcPr>
          <w:p w14:paraId="580782DB"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459</w:t>
            </w:r>
          </w:p>
        </w:tc>
        <w:tc>
          <w:tcPr>
            <w:tcW w:w="1418" w:type="dxa"/>
            <w:shd w:val="clear" w:color="auto" w:fill="FFFFFF"/>
            <w:vAlign w:val="center"/>
          </w:tcPr>
          <w:p w14:paraId="3333E71F"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190</w:t>
            </w:r>
          </w:p>
        </w:tc>
        <w:tc>
          <w:tcPr>
            <w:tcW w:w="1417" w:type="dxa"/>
            <w:shd w:val="clear" w:color="auto" w:fill="FFFFFF"/>
            <w:vAlign w:val="center"/>
          </w:tcPr>
          <w:p w14:paraId="693668C0"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649</w:t>
            </w:r>
          </w:p>
        </w:tc>
      </w:tr>
      <w:tr w:rsidR="007F558A" w:rsidRPr="00CF31E0" w14:paraId="360ABEEC" w14:textId="77777777" w:rsidTr="00603CB7">
        <w:trPr>
          <w:cantSplit/>
        </w:trPr>
        <w:tc>
          <w:tcPr>
            <w:tcW w:w="1428" w:type="dxa"/>
            <w:gridSpan w:val="2"/>
            <w:vMerge/>
            <w:shd w:val="clear" w:color="auto" w:fill="FFFFFF"/>
          </w:tcPr>
          <w:p w14:paraId="08559B42" w14:textId="77777777" w:rsidR="000B4835" w:rsidRPr="00CF31E0" w:rsidRDefault="000B4835" w:rsidP="000B4835">
            <w:pPr>
              <w:widowControl w:val="0"/>
              <w:autoSpaceDE w:val="0"/>
              <w:autoSpaceDN w:val="0"/>
              <w:adjustRightInd w:val="0"/>
              <w:rPr>
                <w:rFonts w:eastAsia="Calibri"/>
                <w:color w:val="000000" w:themeColor="text1"/>
                <w:sz w:val="22"/>
                <w:szCs w:val="22"/>
                <w:lang w:eastAsia="en-US"/>
              </w:rPr>
            </w:pPr>
          </w:p>
        </w:tc>
        <w:tc>
          <w:tcPr>
            <w:tcW w:w="1559" w:type="dxa"/>
            <w:shd w:val="clear" w:color="auto" w:fill="FFFFFF"/>
          </w:tcPr>
          <w:p w14:paraId="5731FA75" w14:textId="77777777" w:rsidR="000B4835" w:rsidRPr="00CF31E0" w:rsidRDefault="000B4835" w:rsidP="000B4835">
            <w:pPr>
              <w:widowControl w:val="0"/>
              <w:autoSpaceDE w:val="0"/>
              <w:autoSpaceDN w:val="0"/>
              <w:adjustRightInd w:val="0"/>
              <w:spacing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 within Social group</w:t>
            </w:r>
          </w:p>
        </w:tc>
        <w:tc>
          <w:tcPr>
            <w:tcW w:w="1559" w:type="dxa"/>
            <w:shd w:val="clear" w:color="auto" w:fill="FFFFFF"/>
            <w:vAlign w:val="center"/>
          </w:tcPr>
          <w:p w14:paraId="33623F49"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70.7%</w:t>
            </w:r>
          </w:p>
        </w:tc>
        <w:tc>
          <w:tcPr>
            <w:tcW w:w="1418" w:type="dxa"/>
            <w:shd w:val="clear" w:color="auto" w:fill="FFFFFF"/>
            <w:vAlign w:val="center"/>
          </w:tcPr>
          <w:p w14:paraId="5B2292C2"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29.3%</w:t>
            </w:r>
          </w:p>
        </w:tc>
        <w:tc>
          <w:tcPr>
            <w:tcW w:w="1417" w:type="dxa"/>
            <w:shd w:val="clear" w:color="auto" w:fill="FFFFFF"/>
            <w:vAlign w:val="center"/>
          </w:tcPr>
          <w:p w14:paraId="58650201"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100.0%</w:t>
            </w:r>
          </w:p>
        </w:tc>
      </w:tr>
      <w:tr w:rsidR="007F558A" w:rsidRPr="00CF31E0" w14:paraId="5211F3C8" w14:textId="77777777" w:rsidTr="00603CB7">
        <w:trPr>
          <w:cantSplit/>
        </w:trPr>
        <w:tc>
          <w:tcPr>
            <w:tcW w:w="1428" w:type="dxa"/>
            <w:gridSpan w:val="2"/>
            <w:vMerge/>
            <w:shd w:val="clear" w:color="auto" w:fill="FFFFFF"/>
          </w:tcPr>
          <w:p w14:paraId="7F25EDB2" w14:textId="77777777" w:rsidR="000B4835" w:rsidRPr="00CF31E0" w:rsidRDefault="000B4835" w:rsidP="000B4835">
            <w:pPr>
              <w:widowControl w:val="0"/>
              <w:autoSpaceDE w:val="0"/>
              <w:autoSpaceDN w:val="0"/>
              <w:adjustRightInd w:val="0"/>
              <w:rPr>
                <w:rFonts w:eastAsia="Calibri"/>
                <w:color w:val="000000" w:themeColor="text1"/>
                <w:sz w:val="22"/>
                <w:szCs w:val="22"/>
                <w:lang w:eastAsia="en-US"/>
              </w:rPr>
            </w:pPr>
            <w:commentRangeStart w:id="811"/>
          </w:p>
        </w:tc>
        <w:tc>
          <w:tcPr>
            <w:tcW w:w="1559" w:type="dxa"/>
            <w:shd w:val="clear" w:color="auto" w:fill="FFFFFF"/>
          </w:tcPr>
          <w:p w14:paraId="6D1CB647" w14:textId="77777777" w:rsidR="000B4835" w:rsidRPr="00CF31E0" w:rsidRDefault="000B4835" w:rsidP="000B4835">
            <w:pPr>
              <w:widowControl w:val="0"/>
              <w:autoSpaceDE w:val="0"/>
              <w:autoSpaceDN w:val="0"/>
              <w:adjustRightInd w:val="0"/>
              <w:spacing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 of Total</w:t>
            </w:r>
          </w:p>
        </w:tc>
        <w:tc>
          <w:tcPr>
            <w:tcW w:w="1559" w:type="dxa"/>
            <w:shd w:val="clear" w:color="auto" w:fill="FFFFFF"/>
            <w:vAlign w:val="center"/>
          </w:tcPr>
          <w:p w14:paraId="0189C24D"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70.7%</w:t>
            </w:r>
          </w:p>
        </w:tc>
        <w:tc>
          <w:tcPr>
            <w:tcW w:w="1418" w:type="dxa"/>
            <w:shd w:val="clear" w:color="auto" w:fill="FFFFFF"/>
            <w:vAlign w:val="center"/>
          </w:tcPr>
          <w:p w14:paraId="1CEFA4DE"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29.3%</w:t>
            </w:r>
          </w:p>
        </w:tc>
        <w:tc>
          <w:tcPr>
            <w:tcW w:w="1417" w:type="dxa"/>
            <w:shd w:val="clear" w:color="auto" w:fill="FFFFFF"/>
            <w:vAlign w:val="center"/>
          </w:tcPr>
          <w:p w14:paraId="3094A886"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100.0%</w:t>
            </w:r>
            <w:commentRangeEnd w:id="811"/>
            <w:r w:rsidRPr="00CF31E0">
              <w:rPr>
                <w:rFonts w:eastAsia="Calibri"/>
                <w:color w:val="000000" w:themeColor="text1"/>
                <w:sz w:val="16"/>
                <w:szCs w:val="16"/>
                <w:lang w:eastAsia="en-US"/>
              </w:rPr>
              <w:commentReference w:id="811"/>
            </w:r>
          </w:p>
        </w:tc>
      </w:tr>
    </w:tbl>
    <w:p w14:paraId="15C232B6" w14:textId="77FBF073" w:rsidR="000B4835" w:rsidRPr="00CF31E0" w:rsidRDefault="000B4835" w:rsidP="00FA51CC">
      <w:pPr>
        <w:pStyle w:val="Tablecaption"/>
        <w:rPr>
          <w:lang w:eastAsia="en-US"/>
        </w:rPr>
      </w:pPr>
      <w:bookmarkStart w:id="812" w:name="_Toc522527475"/>
      <w:bookmarkStart w:id="813" w:name="_Toc522628888"/>
      <w:bookmarkStart w:id="814" w:name="_Toc522629052"/>
      <w:bookmarkStart w:id="815" w:name="_Toc6473150"/>
      <w:r w:rsidRPr="00CF31E0">
        <w:rPr>
          <w:lang w:eastAsia="en-US"/>
        </w:rPr>
        <w:t xml:space="preserve">Table </w:t>
      </w:r>
      <w:r w:rsidR="00FA51CC" w:rsidRPr="00CF31E0">
        <w:rPr>
          <w:lang w:eastAsia="en-US"/>
        </w:rPr>
        <w:t>11</w:t>
      </w:r>
      <w:r w:rsidR="009B56D0" w:rsidRPr="00CF31E0">
        <w:rPr>
          <w:lang w:eastAsia="en-US"/>
        </w:rPr>
        <w:t>.</w:t>
      </w:r>
      <w:r w:rsidR="00FA51CC" w:rsidRPr="00CF31E0">
        <w:rPr>
          <w:lang w:eastAsia="en-US"/>
        </w:rPr>
        <w:t>12</w:t>
      </w:r>
      <w:r w:rsidRPr="00CF31E0">
        <w:rPr>
          <w:lang w:eastAsia="en-US"/>
        </w:rPr>
        <w:t>: Social group–VS5 crosstabulation.</w:t>
      </w:r>
      <w:bookmarkEnd w:id="812"/>
      <w:bookmarkEnd w:id="813"/>
      <w:bookmarkEnd w:id="814"/>
      <w:bookmarkEnd w:id="815"/>
    </w:p>
    <w:p w14:paraId="2C5DF4BC" w14:textId="33BEF2A9" w:rsidR="000B4835" w:rsidRPr="00CF31E0" w:rsidRDefault="000B4835" w:rsidP="00603CB7">
      <w:pPr>
        <w:pStyle w:val="Paragraph"/>
        <w:rPr>
          <w:lang w:eastAsia="en-US"/>
        </w:rPr>
      </w:pPr>
      <w:r w:rsidRPr="00CF31E0">
        <w:rPr>
          <w:lang w:eastAsia="en-US"/>
        </w:rPr>
        <w:lastRenderedPageBreak/>
        <w:t xml:space="preserve">Table </w:t>
      </w:r>
      <w:r w:rsidR="00FA51CC" w:rsidRPr="00CF31E0">
        <w:rPr>
          <w:lang w:eastAsia="en-US"/>
        </w:rPr>
        <w:t>11</w:t>
      </w:r>
      <w:r w:rsidR="009B56D0" w:rsidRPr="00CF31E0">
        <w:rPr>
          <w:lang w:eastAsia="en-US"/>
        </w:rPr>
        <w:t>.</w:t>
      </w:r>
      <w:r w:rsidR="00FA51CC" w:rsidRPr="00CF31E0">
        <w:rPr>
          <w:lang w:eastAsia="en-US"/>
        </w:rPr>
        <w:t xml:space="preserve">12 </w:t>
      </w:r>
      <w:r w:rsidR="00F57424" w:rsidRPr="00CF31E0">
        <w:rPr>
          <w:lang w:eastAsia="en-US"/>
        </w:rPr>
        <w:t>indicates that 80.2% of UBH participants</w:t>
      </w:r>
      <w:r w:rsidRPr="00CF31E0">
        <w:rPr>
          <w:lang w:eastAsia="en-US"/>
        </w:rPr>
        <w:t xml:space="preserve"> allocated th</w:t>
      </w:r>
      <w:r w:rsidR="00F57424" w:rsidRPr="00CF31E0">
        <w:rPr>
          <w:lang w:eastAsia="en-US"/>
        </w:rPr>
        <w:t>e speaker’s voice to the UBH</w:t>
      </w:r>
      <w:r w:rsidRPr="00CF31E0">
        <w:rPr>
          <w:lang w:eastAsia="en-US"/>
        </w:rPr>
        <w:t xml:space="preserve"> s</w:t>
      </w:r>
      <w:r w:rsidR="00F57424" w:rsidRPr="00CF31E0">
        <w:rPr>
          <w:lang w:eastAsia="en-US"/>
        </w:rPr>
        <w:t>ocial group, and 19.8% allocated it to the HH</w:t>
      </w:r>
      <w:r w:rsidRPr="00CF31E0">
        <w:rPr>
          <w:lang w:eastAsia="en-US"/>
        </w:rPr>
        <w:t xml:space="preserve"> so</w:t>
      </w:r>
      <w:r w:rsidR="00F57424" w:rsidRPr="00CF31E0">
        <w:rPr>
          <w:lang w:eastAsia="en-US"/>
        </w:rPr>
        <w:t>cial group. Regarding the HH participants, 61.2%</w:t>
      </w:r>
      <w:r w:rsidRPr="00CF31E0">
        <w:rPr>
          <w:lang w:eastAsia="en-US"/>
        </w:rPr>
        <w:t xml:space="preserve"> allocated th</w:t>
      </w:r>
      <w:r w:rsidR="00F57424" w:rsidRPr="00CF31E0">
        <w:rPr>
          <w:lang w:eastAsia="en-US"/>
        </w:rPr>
        <w:t>e speaker’s voice to the UBH</w:t>
      </w:r>
      <w:r w:rsidRPr="00CF31E0">
        <w:rPr>
          <w:lang w:eastAsia="en-US"/>
        </w:rPr>
        <w:t xml:space="preserve"> social g</w:t>
      </w:r>
      <w:r w:rsidR="00F57424" w:rsidRPr="00CF31E0">
        <w:rPr>
          <w:lang w:eastAsia="en-US"/>
        </w:rPr>
        <w:t>roup, while 38.8% allocated it to the HH social group. Generally, HH</w:t>
      </w:r>
      <w:r w:rsidRPr="00CF31E0">
        <w:rPr>
          <w:lang w:eastAsia="en-US"/>
        </w:rPr>
        <w:t xml:space="preserve"> part</w:t>
      </w:r>
      <w:r w:rsidR="00F57424" w:rsidRPr="00CF31E0">
        <w:rPr>
          <w:lang w:eastAsia="en-US"/>
        </w:rPr>
        <w:t xml:space="preserve">icipants’ proportion of </w:t>
      </w:r>
      <w:r w:rsidRPr="00CF31E0">
        <w:rPr>
          <w:lang w:eastAsia="en-US"/>
        </w:rPr>
        <w:t xml:space="preserve">allocations </w:t>
      </w:r>
      <w:r w:rsidR="00F57424" w:rsidRPr="00CF31E0">
        <w:rPr>
          <w:lang w:eastAsia="en-US"/>
        </w:rPr>
        <w:t xml:space="preserve">to the real social group of the speaker </w:t>
      </w:r>
      <w:r w:rsidRPr="00CF31E0">
        <w:rPr>
          <w:lang w:eastAsia="en-US"/>
        </w:rPr>
        <w:t>(38.8%) was</w:t>
      </w:r>
      <w:r w:rsidR="00F57424" w:rsidRPr="00CF31E0">
        <w:rPr>
          <w:lang w:eastAsia="en-US"/>
        </w:rPr>
        <w:t xml:space="preserve"> higher than that of the UBH</w:t>
      </w:r>
      <w:r w:rsidRPr="00CF31E0">
        <w:rPr>
          <w:lang w:eastAsia="en-US"/>
        </w:rPr>
        <w:t xml:space="preserve"> participants (19.8%). </w:t>
      </w:r>
    </w:p>
    <w:p w14:paraId="4B7E7826" w14:textId="3F700ADF" w:rsidR="000B4835" w:rsidRPr="00CF31E0" w:rsidRDefault="00FA51CC" w:rsidP="00FA51CC">
      <w:pPr>
        <w:pStyle w:val="Ahead"/>
        <w:rPr>
          <w:rFonts w:eastAsia="Times New Roman"/>
        </w:rPr>
      </w:pPr>
      <w:bookmarkStart w:id="816" w:name="_Toc6472780"/>
      <w:r w:rsidRPr="00CF31E0">
        <w:rPr>
          <w:rFonts w:eastAsia="Times New Roman"/>
        </w:rPr>
        <w:t>11</w:t>
      </w:r>
      <w:r w:rsidR="000B4835" w:rsidRPr="00CF31E0">
        <w:rPr>
          <w:rFonts w:eastAsia="Times New Roman"/>
        </w:rPr>
        <w:t>.3.</w:t>
      </w:r>
      <w:r w:rsidR="00D2523E" w:rsidRPr="00CF31E0">
        <w:rPr>
          <w:rFonts w:eastAsia="Times New Roman"/>
        </w:rPr>
        <w:tab/>
      </w:r>
      <w:r w:rsidR="000B4835" w:rsidRPr="00CF31E0">
        <w:rPr>
          <w:rFonts w:eastAsia="Times New Roman"/>
        </w:rPr>
        <w:t xml:space="preserve">Rating task results </w:t>
      </w:r>
      <w:r w:rsidR="00F57424" w:rsidRPr="00CF31E0">
        <w:rPr>
          <w:rFonts w:eastAsia="Times New Roman"/>
        </w:rPr>
        <w:t>(attitudinal task)</w:t>
      </w:r>
      <w:bookmarkEnd w:id="816"/>
    </w:p>
    <w:p w14:paraId="4DD43148" w14:textId="5A04A979" w:rsidR="000B4835" w:rsidRPr="00CF31E0" w:rsidRDefault="000B4835" w:rsidP="00603CB7">
      <w:pPr>
        <w:pStyle w:val="Paragraph"/>
        <w:rPr>
          <w:lang w:eastAsia="en-US"/>
        </w:rPr>
      </w:pPr>
      <w:r w:rsidRPr="00CF31E0">
        <w:rPr>
          <w:lang w:eastAsia="en-US"/>
        </w:rPr>
        <w:t>After participants listened to the voice sample,</w:t>
      </w:r>
      <w:r w:rsidR="008B503D" w:rsidRPr="00CF31E0">
        <w:rPr>
          <w:lang w:eastAsia="en-US"/>
        </w:rPr>
        <w:t xml:space="preserve"> and after they finished the allocation task,</w:t>
      </w:r>
      <w:r w:rsidRPr="00CF31E0">
        <w:rPr>
          <w:lang w:eastAsia="en-US"/>
        </w:rPr>
        <w:t xml:space="preserve"> they were asked to rate the </w:t>
      </w:r>
      <w:r w:rsidR="00001E61" w:rsidRPr="00CF31E0">
        <w:rPr>
          <w:lang w:eastAsia="en-US"/>
        </w:rPr>
        <w:t>speaker on four evaluative scales</w:t>
      </w:r>
      <w:r w:rsidRPr="00CF31E0">
        <w:rPr>
          <w:lang w:eastAsia="en-US"/>
        </w:rPr>
        <w:t xml:space="preserve"> (i.e.</w:t>
      </w:r>
      <w:r w:rsidRPr="00CF31E0">
        <w:rPr>
          <w:i/>
          <w:iCs/>
          <w:lang w:eastAsia="en-US"/>
        </w:rPr>
        <w:t xml:space="preserve"> serious</w:t>
      </w:r>
      <w:r w:rsidRPr="00CF31E0">
        <w:rPr>
          <w:lang w:eastAsia="en-US"/>
        </w:rPr>
        <w:t xml:space="preserve">, </w:t>
      </w:r>
      <w:r w:rsidRPr="00CF31E0">
        <w:rPr>
          <w:i/>
          <w:iCs/>
          <w:lang w:eastAsia="en-US"/>
        </w:rPr>
        <w:t>similar to other Arabic dialects</w:t>
      </w:r>
      <w:r w:rsidRPr="00CF31E0">
        <w:rPr>
          <w:lang w:eastAsia="en-US"/>
        </w:rPr>
        <w:t xml:space="preserve">, </w:t>
      </w:r>
      <w:r w:rsidRPr="00CF31E0">
        <w:rPr>
          <w:i/>
          <w:iCs/>
          <w:lang w:eastAsia="en-US"/>
        </w:rPr>
        <w:t>traditional</w:t>
      </w:r>
      <w:r w:rsidRPr="00CF31E0">
        <w:rPr>
          <w:lang w:eastAsia="en-US"/>
        </w:rPr>
        <w:t>,</w:t>
      </w:r>
      <w:r w:rsidRPr="00CF31E0">
        <w:rPr>
          <w:i/>
          <w:iCs/>
          <w:lang w:eastAsia="en-US"/>
        </w:rPr>
        <w:t xml:space="preserve"> modern</w:t>
      </w:r>
      <w:r w:rsidRPr="00CF31E0">
        <w:rPr>
          <w:lang w:eastAsia="en-US"/>
        </w:rPr>
        <w:t xml:space="preserve">) in a semantic differential scale, from 1 to 5. The selection of evaluative words was based on the </w:t>
      </w:r>
      <w:r w:rsidR="00355B64" w:rsidRPr="00CF31E0">
        <w:rPr>
          <w:lang w:eastAsia="en-US"/>
        </w:rPr>
        <w:t>free</w:t>
      </w:r>
      <w:r w:rsidR="00C86BDA" w:rsidRPr="00CF31E0">
        <w:rPr>
          <w:lang w:eastAsia="en-US"/>
        </w:rPr>
        <w:t>-adjective</w:t>
      </w:r>
      <w:r w:rsidR="00355B64" w:rsidRPr="00CF31E0">
        <w:rPr>
          <w:lang w:eastAsia="en-US"/>
        </w:rPr>
        <w:t xml:space="preserve"> questionnaire</w:t>
      </w:r>
      <w:r w:rsidRPr="00CF31E0">
        <w:rPr>
          <w:lang w:eastAsia="en-US"/>
        </w:rPr>
        <w:t xml:space="preserve"> in </w:t>
      </w:r>
      <w:r w:rsidR="00847047" w:rsidRPr="00CF31E0">
        <w:rPr>
          <w:lang w:eastAsia="en-US"/>
        </w:rPr>
        <w:t>C</w:t>
      </w:r>
      <w:r w:rsidRPr="00CF31E0">
        <w:rPr>
          <w:lang w:eastAsia="en-US"/>
        </w:rPr>
        <w:t>hapter</w:t>
      </w:r>
      <w:r w:rsidR="00710B8B" w:rsidRPr="00CF31E0">
        <w:rPr>
          <w:lang w:eastAsia="en-US"/>
        </w:rPr>
        <w:t xml:space="preserve"> </w:t>
      </w:r>
      <w:r w:rsidR="00FA51CC" w:rsidRPr="00CF31E0">
        <w:rPr>
          <w:lang w:eastAsia="en-US"/>
        </w:rPr>
        <w:t xml:space="preserve">5, </w:t>
      </w:r>
      <w:r w:rsidRPr="00CF31E0">
        <w:rPr>
          <w:lang w:eastAsia="en-US"/>
        </w:rPr>
        <w:t>section</w:t>
      </w:r>
      <w:r w:rsidR="00C068F2" w:rsidRPr="00CF31E0">
        <w:rPr>
          <w:lang w:eastAsia="en-US"/>
        </w:rPr>
        <w:t xml:space="preserve"> </w:t>
      </w:r>
      <w:r w:rsidR="00FA51CC" w:rsidRPr="00CF31E0">
        <w:rPr>
          <w:lang w:eastAsia="en-US"/>
        </w:rPr>
        <w:t>5</w:t>
      </w:r>
      <w:r w:rsidR="00C068F2" w:rsidRPr="00CF31E0">
        <w:rPr>
          <w:lang w:eastAsia="en-US"/>
        </w:rPr>
        <w:t>.5</w:t>
      </w:r>
      <w:r w:rsidR="00847047" w:rsidRPr="00CF31E0">
        <w:rPr>
          <w:lang w:eastAsia="en-US"/>
        </w:rPr>
        <w:t>.</w:t>
      </w:r>
      <w:r w:rsidR="0046502F" w:rsidRPr="00CF31E0">
        <w:rPr>
          <w:lang w:eastAsia="en-US"/>
        </w:rPr>
        <w:t>1.</w:t>
      </w:r>
      <w:r w:rsidRPr="00CF31E0">
        <w:rPr>
          <w:lang w:eastAsia="en-US"/>
        </w:rPr>
        <w:t xml:space="preserve"> I deliberately chose the evaluative words from the </w:t>
      </w:r>
      <w:r w:rsidR="00355B64" w:rsidRPr="00CF31E0">
        <w:rPr>
          <w:lang w:eastAsia="en-US"/>
        </w:rPr>
        <w:t>free</w:t>
      </w:r>
      <w:r w:rsidR="00C86BDA" w:rsidRPr="00CF31E0">
        <w:rPr>
          <w:lang w:eastAsia="en-US"/>
        </w:rPr>
        <w:t>-adjective</w:t>
      </w:r>
      <w:r w:rsidR="00355B64" w:rsidRPr="00CF31E0">
        <w:rPr>
          <w:lang w:eastAsia="en-US"/>
        </w:rPr>
        <w:t xml:space="preserve"> questionnaire results </w:t>
      </w:r>
      <w:r w:rsidRPr="00CF31E0">
        <w:rPr>
          <w:lang w:eastAsia="en-US"/>
        </w:rPr>
        <w:t>because I wanted to compare participants’</w:t>
      </w:r>
      <w:r w:rsidR="00001E61" w:rsidRPr="00CF31E0">
        <w:rPr>
          <w:lang w:eastAsia="en-US"/>
        </w:rPr>
        <w:t xml:space="preserve"> perceptions in the conceptual</w:t>
      </w:r>
      <w:r w:rsidRPr="00CF31E0">
        <w:rPr>
          <w:lang w:eastAsia="en-US"/>
        </w:rPr>
        <w:t xml:space="preserve"> study with this study. Further discussion on this part of the study will be provided in </w:t>
      </w:r>
      <w:r w:rsidR="00847047" w:rsidRPr="00CF31E0">
        <w:rPr>
          <w:lang w:eastAsia="en-US"/>
        </w:rPr>
        <w:t>C</w:t>
      </w:r>
      <w:r w:rsidRPr="00CF31E0">
        <w:rPr>
          <w:lang w:eastAsia="en-US"/>
        </w:rPr>
        <w:t xml:space="preserve">hapter </w:t>
      </w:r>
      <w:r w:rsidR="00FA51CC" w:rsidRPr="00CF31E0">
        <w:rPr>
          <w:lang w:eastAsia="en-US"/>
        </w:rPr>
        <w:t>12</w:t>
      </w:r>
      <w:r w:rsidRPr="00CF31E0">
        <w:rPr>
          <w:lang w:eastAsia="en-US"/>
        </w:rPr>
        <w:t xml:space="preserve">. </w:t>
      </w:r>
    </w:p>
    <w:p w14:paraId="60736B13" w14:textId="32455823" w:rsidR="000B4835" w:rsidRPr="00CF31E0" w:rsidRDefault="00FA51CC" w:rsidP="00FA51CC">
      <w:pPr>
        <w:pStyle w:val="Bhead"/>
        <w:rPr>
          <w:rFonts w:eastAsia="Calibri"/>
        </w:rPr>
      </w:pPr>
      <w:bookmarkStart w:id="817" w:name="_Toc6472781"/>
      <w:r w:rsidRPr="00CF31E0">
        <w:rPr>
          <w:rFonts w:eastAsia="Calibri"/>
        </w:rPr>
        <w:t>11</w:t>
      </w:r>
      <w:r w:rsidR="00446ECF" w:rsidRPr="00CF31E0">
        <w:rPr>
          <w:rFonts w:eastAsia="Calibri"/>
        </w:rPr>
        <w:t>.3.1.</w:t>
      </w:r>
      <w:r w:rsidR="00D2523E" w:rsidRPr="00CF31E0">
        <w:rPr>
          <w:rFonts w:eastAsia="Calibri"/>
        </w:rPr>
        <w:tab/>
      </w:r>
      <w:r w:rsidR="000B4835" w:rsidRPr="00CF31E0">
        <w:rPr>
          <w:rFonts w:eastAsia="Calibri"/>
        </w:rPr>
        <w:t>Procedures for analysing rating</w:t>
      </w:r>
      <w:r w:rsidR="005D0894" w:rsidRPr="00CF31E0">
        <w:rPr>
          <w:rFonts w:eastAsia="Calibri"/>
        </w:rPr>
        <w:t>-scale</w:t>
      </w:r>
      <w:r w:rsidR="000B4835" w:rsidRPr="00CF31E0">
        <w:rPr>
          <w:rFonts w:eastAsia="Calibri"/>
        </w:rPr>
        <w:t xml:space="preserve"> results</w:t>
      </w:r>
      <w:bookmarkEnd w:id="817"/>
      <w:r w:rsidR="000B4835" w:rsidRPr="00CF31E0">
        <w:rPr>
          <w:rFonts w:eastAsia="Calibri"/>
        </w:rPr>
        <w:t xml:space="preserve"> </w:t>
      </w:r>
    </w:p>
    <w:p w14:paraId="46DFA286" w14:textId="71BD741E" w:rsidR="000B4835" w:rsidRPr="00CF31E0" w:rsidRDefault="000B4835" w:rsidP="00603CB7">
      <w:pPr>
        <w:pStyle w:val="Paragraph"/>
        <w:rPr>
          <w:lang w:eastAsia="en-US"/>
        </w:rPr>
      </w:pPr>
      <w:r w:rsidRPr="00CF31E0">
        <w:rPr>
          <w:lang w:eastAsia="en-US"/>
        </w:rPr>
        <w:t>The rating</w:t>
      </w:r>
      <w:r w:rsidR="005D0894" w:rsidRPr="00CF31E0">
        <w:rPr>
          <w:lang w:eastAsia="en-US"/>
        </w:rPr>
        <w:t>-scale</w:t>
      </w:r>
      <w:r w:rsidRPr="00CF31E0">
        <w:rPr>
          <w:lang w:eastAsia="en-US"/>
        </w:rPr>
        <w:t xml:space="preserve"> results were analysed by following three steps. In the first step, I compared the rating</w:t>
      </w:r>
      <w:r w:rsidR="005D0894" w:rsidRPr="00CF31E0">
        <w:rPr>
          <w:lang w:eastAsia="en-US"/>
        </w:rPr>
        <w:t>-scale</w:t>
      </w:r>
      <w:r w:rsidRPr="00CF31E0">
        <w:rPr>
          <w:lang w:eastAsia="en-US"/>
        </w:rPr>
        <w:t xml:space="preserve"> results across all voice samples to uncover whether there is any difference among the rating scales. In order to do this, I applied a one-way repeated measure ANOVA to reveal whether there is a significant difference among the scales. If any difference was found, then a post-hoc test was conducted in IBM SPSS</w:t>
      </w:r>
      <w:r w:rsidR="00001E61" w:rsidRPr="00CF31E0">
        <w:rPr>
          <w:lang w:eastAsia="en-US"/>
        </w:rPr>
        <w:t xml:space="preserve"> (version 23)</w:t>
      </w:r>
      <w:r w:rsidRPr="00CF31E0">
        <w:rPr>
          <w:lang w:eastAsia="en-US"/>
        </w:rPr>
        <w:t xml:space="preserve"> to identify where the difference was located among the ratings. In the second step, I compared the results from all rating scales within each voice sample to reveal the highest and lowest ratings within each voice sample. In doing so, I compared the mean scores for all four rating scales (i.e. serious, similar to other Arabic dialects, traditional, modern) within each voice sample. In the third step, I examined the results concerning the perceptions of each social group within </w:t>
      </w:r>
      <w:r w:rsidRPr="00CF31E0">
        <w:rPr>
          <w:lang w:eastAsia="en-US"/>
        </w:rPr>
        <w:lastRenderedPageBreak/>
        <w:t>each rating scale. This means that I analysed each rating scale from two perspect</w:t>
      </w:r>
      <w:r w:rsidR="003D46B1" w:rsidRPr="00CF31E0">
        <w:rPr>
          <w:lang w:eastAsia="en-US"/>
        </w:rPr>
        <w:t>ives: the ratings of the UBH social group and the HH</w:t>
      </w:r>
      <w:r w:rsidRPr="00CF31E0">
        <w:rPr>
          <w:lang w:eastAsia="en-US"/>
        </w:rPr>
        <w:t xml:space="preserve"> social group, to ascertain whether there is any difference in their perceptions. </w:t>
      </w:r>
      <w:r w:rsidR="008B503D" w:rsidRPr="00CF31E0">
        <w:rPr>
          <w:lang w:eastAsia="en-US"/>
        </w:rPr>
        <w:t>I visualized</w:t>
      </w:r>
      <w:r w:rsidRPr="00CF31E0">
        <w:rPr>
          <w:lang w:eastAsia="en-US"/>
        </w:rPr>
        <w:t xml:space="preserve"> the latter step using box plots. </w:t>
      </w:r>
    </w:p>
    <w:p w14:paraId="7A55E88F" w14:textId="77777777" w:rsidR="000B4835" w:rsidRPr="00CF31E0" w:rsidRDefault="000B4835" w:rsidP="00603CB7">
      <w:pPr>
        <w:pStyle w:val="Paragraph"/>
        <w:rPr>
          <w:lang w:eastAsia="en-US"/>
        </w:rPr>
      </w:pPr>
      <w:r w:rsidRPr="00CF31E0">
        <w:rPr>
          <w:lang w:eastAsia="en-US"/>
        </w:rPr>
        <w:t xml:space="preserve">The analysis began on a global scale and then was narrowed down to a more local scale. In other words, I started by comparing all ratings across all samples. Then, I compared all ratings within each voice sample. Finally, I compared the ratings of the two social groups within each voice sample. </w:t>
      </w:r>
    </w:p>
    <w:p w14:paraId="23FA2F79" w14:textId="0C1CA38E" w:rsidR="000B4835" w:rsidRPr="00CF31E0" w:rsidRDefault="00FA51CC" w:rsidP="00FA51CC">
      <w:pPr>
        <w:pStyle w:val="Chead"/>
        <w:rPr>
          <w:rFonts w:eastAsia="Calibri"/>
        </w:rPr>
      </w:pPr>
      <w:bookmarkStart w:id="818" w:name="_Toc6472782"/>
      <w:r w:rsidRPr="00CF31E0">
        <w:rPr>
          <w:rFonts w:eastAsia="Calibri"/>
        </w:rPr>
        <w:t>11</w:t>
      </w:r>
      <w:r w:rsidR="00992222" w:rsidRPr="00CF31E0">
        <w:rPr>
          <w:rFonts w:eastAsia="Calibri"/>
        </w:rPr>
        <w:t>.3.1.1.</w:t>
      </w:r>
      <w:r w:rsidR="00D2523E" w:rsidRPr="00CF31E0">
        <w:rPr>
          <w:rFonts w:eastAsia="Calibri"/>
        </w:rPr>
        <w:tab/>
      </w:r>
      <w:r w:rsidR="000B4835" w:rsidRPr="00CF31E0">
        <w:rPr>
          <w:rFonts w:eastAsia="Calibri"/>
        </w:rPr>
        <w:t xml:space="preserve">Step 1: Comparison across all </w:t>
      </w:r>
      <w:r w:rsidR="003D46B1" w:rsidRPr="00CF31E0">
        <w:rPr>
          <w:rFonts w:eastAsia="Calibri"/>
        </w:rPr>
        <w:t xml:space="preserve">voice </w:t>
      </w:r>
      <w:r w:rsidR="000B4835" w:rsidRPr="00CF31E0">
        <w:rPr>
          <w:rFonts w:eastAsia="Calibri"/>
        </w:rPr>
        <w:t>samples</w:t>
      </w:r>
      <w:bookmarkEnd w:id="818"/>
    </w:p>
    <w:p w14:paraId="4FFBF4F2" w14:textId="77777777" w:rsidR="000B4835" w:rsidRPr="00CF31E0" w:rsidRDefault="000B4835" w:rsidP="00603CB7">
      <w:pPr>
        <w:pStyle w:val="Paragraph"/>
        <w:rPr>
          <w:lang w:eastAsia="en-US"/>
        </w:rPr>
      </w:pPr>
      <w:r w:rsidRPr="00CF31E0">
        <w:rPr>
          <w:lang w:eastAsia="en-US"/>
        </w:rPr>
        <w:t xml:space="preserve">In this step, I compared all of the rating scales across the samples. The presentation of the results will begin with the first rating scale: the serious characteristic scale. </w:t>
      </w:r>
    </w:p>
    <w:p w14:paraId="22F812C5" w14:textId="41BB2D6B" w:rsidR="000B4835" w:rsidRPr="00CF31E0" w:rsidRDefault="00FA51CC" w:rsidP="00FA51CC">
      <w:pPr>
        <w:pStyle w:val="Dhead"/>
        <w:rPr>
          <w:rFonts w:eastAsia="Calibri"/>
        </w:rPr>
      </w:pPr>
      <w:bookmarkStart w:id="819" w:name="_Toc6472783"/>
      <w:r w:rsidRPr="00CF31E0">
        <w:rPr>
          <w:rFonts w:eastAsia="Calibri"/>
        </w:rPr>
        <w:t>11</w:t>
      </w:r>
      <w:r w:rsidR="00992222" w:rsidRPr="00CF31E0">
        <w:rPr>
          <w:rFonts w:eastAsia="Calibri"/>
        </w:rPr>
        <w:t>.3.1.1.1.</w:t>
      </w:r>
      <w:r w:rsidR="00D2523E" w:rsidRPr="00CF31E0">
        <w:rPr>
          <w:rFonts w:eastAsia="Calibri"/>
        </w:rPr>
        <w:tab/>
      </w:r>
      <w:r w:rsidR="00DF5E2D" w:rsidRPr="00CF31E0">
        <w:rPr>
          <w:rFonts w:eastAsia="Calibri"/>
        </w:rPr>
        <w:t>‘</w:t>
      </w:r>
      <w:r w:rsidR="000B4835" w:rsidRPr="00CF31E0">
        <w:rPr>
          <w:rFonts w:eastAsia="Calibri"/>
        </w:rPr>
        <w:t>Serious</w:t>
      </w:r>
      <w:r w:rsidR="00DF5E2D" w:rsidRPr="00CF31E0">
        <w:rPr>
          <w:rFonts w:eastAsia="Calibri"/>
        </w:rPr>
        <w:t>’</w:t>
      </w:r>
      <w:r w:rsidR="000B4835" w:rsidRPr="00CF31E0">
        <w:rPr>
          <w:rFonts w:eastAsia="Calibri"/>
        </w:rPr>
        <w:t xml:space="preserve"> scale</w:t>
      </w:r>
      <w:bookmarkEnd w:id="819"/>
    </w:p>
    <w:p w14:paraId="21F4CFA2" w14:textId="14A64958" w:rsidR="000B4835" w:rsidRPr="00CF31E0" w:rsidRDefault="000B4835" w:rsidP="00603CB7">
      <w:pPr>
        <w:pStyle w:val="Paragraph"/>
        <w:rPr>
          <w:lang w:eastAsia="en-US"/>
        </w:rPr>
      </w:pPr>
      <w:r w:rsidRPr="00CF31E0">
        <w:rPr>
          <w:lang w:eastAsia="en-US"/>
        </w:rPr>
        <w:t xml:space="preserve">In order to process the data for the serious scale across samples, I used a one-way repeated measure ANOVA to reveal whether any significance is found among the </w:t>
      </w:r>
      <w:r w:rsidR="00DF5E2D" w:rsidRPr="00CF31E0">
        <w:rPr>
          <w:lang w:eastAsia="en-US"/>
        </w:rPr>
        <w:t>‘</w:t>
      </w:r>
      <w:r w:rsidRPr="00CF31E0">
        <w:rPr>
          <w:lang w:eastAsia="en-US"/>
        </w:rPr>
        <w:t>serious</w:t>
      </w:r>
      <w:r w:rsidR="00DF5E2D" w:rsidRPr="00CF31E0">
        <w:rPr>
          <w:lang w:eastAsia="en-US"/>
        </w:rPr>
        <w:t>’</w:t>
      </w:r>
      <w:r w:rsidRPr="00CF31E0">
        <w:rPr>
          <w:lang w:eastAsia="en-US"/>
        </w:rPr>
        <w:t xml:space="preserve"> scales across samples. A one-way repeated measure ANOVA is used when each participant is exposed to the same question two or more times. This is the case in the current experiment, where participants were asked the same rating question five times; each time the question was associated with a different voice sample. The one-way repeated measure ANOVA tests for statistically significant difference at the </w:t>
      </w:r>
      <w:r w:rsidRPr="00CF31E0">
        <w:rPr>
          <w:i/>
          <w:lang w:eastAsia="en-US"/>
        </w:rPr>
        <w:t>p</w:t>
      </w:r>
      <w:r w:rsidRPr="00CF31E0">
        <w:rPr>
          <w:lang w:eastAsia="en-US"/>
        </w:rPr>
        <w:t xml:space="preserve"> value of 0.05. If a difference is found, the post-hoc test will identify where the difference lies. Before presenting the current results, it is important to confirm whether or not the one-way repeated measure ANOVA assumption is violated. The assumption is called the sphericity assumption, and “requires that the variance of the population difference scores for any two conditions are the same as the variance of the population difference scores for any other two conditions (an assumption that is commonly violated)” (Pallant, 2013, p. 271). Thus, the assumption requires the variance to be </w:t>
      </w:r>
      <w:r w:rsidRPr="00CF31E0">
        <w:rPr>
          <w:lang w:eastAsia="en-US"/>
        </w:rPr>
        <w:lastRenderedPageBreak/>
        <w:t xml:space="preserve">almost identical among rating scales. See Table </w:t>
      </w:r>
      <w:r w:rsidR="00FA51CC" w:rsidRPr="00CF31E0">
        <w:rPr>
          <w:lang w:eastAsia="en-US"/>
        </w:rPr>
        <w:t>11</w:t>
      </w:r>
      <w:r w:rsidR="00992222" w:rsidRPr="00CF31E0">
        <w:rPr>
          <w:lang w:eastAsia="en-US"/>
        </w:rPr>
        <w:t>.</w:t>
      </w:r>
      <w:r w:rsidR="00FA51CC" w:rsidRPr="00CF31E0">
        <w:rPr>
          <w:lang w:eastAsia="en-US"/>
        </w:rPr>
        <w:t xml:space="preserve">13 </w:t>
      </w:r>
      <w:r w:rsidRPr="00CF31E0">
        <w:rPr>
          <w:lang w:eastAsia="en-US"/>
        </w:rPr>
        <w:t>for the test of sphericity results for the serious scale across the samples.</w:t>
      </w:r>
    </w:p>
    <w:tbl>
      <w:tblPr>
        <w:tblW w:w="7479" w:type="dxa"/>
        <w:tblLayout w:type="fixed"/>
        <w:tblLook w:val="04A0" w:firstRow="1" w:lastRow="0" w:firstColumn="1" w:lastColumn="0" w:noHBand="0" w:noVBand="1"/>
      </w:tblPr>
      <w:tblGrid>
        <w:gridCol w:w="1495"/>
        <w:gridCol w:w="1496"/>
        <w:gridCol w:w="1496"/>
        <w:gridCol w:w="1496"/>
        <w:gridCol w:w="1496"/>
      </w:tblGrid>
      <w:tr w:rsidR="00D141C8" w:rsidRPr="00CF31E0" w14:paraId="0FCAF2D9" w14:textId="4E110C72" w:rsidTr="00603CB7">
        <w:tc>
          <w:tcPr>
            <w:tcW w:w="1495" w:type="dxa"/>
            <w:tcBorders>
              <w:top w:val="single" w:sz="8" w:space="0" w:color="auto"/>
              <w:bottom w:val="single" w:sz="8" w:space="0" w:color="auto"/>
            </w:tcBorders>
            <w:shd w:val="clear" w:color="auto" w:fill="auto"/>
            <w:hideMark/>
          </w:tcPr>
          <w:p w14:paraId="1F3FD257" w14:textId="48DFBF50" w:rsidR="00D141C8" w:rsidRPr="00CF31E0" w:rsidRDefault="00D141C8" w:rsidP="00603CB7">
            <w:pPr>
              <w:spacing w:before="120" w:after="120"/>
              <w:rPr>
                <w:rFonts w:eastAsia="Calibri"/>
                <w:color w:val="000000" w:themeColor="text1"/>
                <w:sz w:val="22"/>
                <w:szCs w:val="22"/>
                <w:lang w:val="en-US" w:eastAsia="en-US"/>
              </w:rPr>
            </w:pPr>
            <w:r w:rsidRPr="00CF31E0">
              <w:rPr>
                <w:rFonts w:eastAsia="Calibri"/>
                <w:color w:val="000000" w:themeColor="text1"/>
                <w:sz w:val="22"/>
                <w:szCs w:val="22"/>
                <w:lang w:val="en-US" w:eastAsia="en-US"/>
              </w:rPr>
              <w:t>Within</w:t>
            </w:r>
            <w:r w:rsidR="005D0894" w:rsidRPr="00CF31E0">
              <w:rPr>
                <w:rFonts w:eastAsia="Calibri"/>
                <w:color w:val="000000" w:themeColor="text1"/>
                <w:sz w:val="22"/>
                <w:szCs w:val="22"/>
                <w:lang w:val="en-US" w:eastAsia="en-US"/>
              </w:rPr>
              <w:t>-Subjects</w:t>
            </w:r>
            <w:r w:rsidRPr="00CF31E0">
              <w:rPr>
                <w:rFonts w:eastAsia="Calibri"/>
                <w:color w:val="000000" w:themeColor="text1"/>
                <w:sz w:val="22"/>
                <w:szCs w:val="22"/>
                <w:lang w:val="en-US" w:eastAsia="en-US"/>
              </w:rPr>
              <w:t xml:space="preserve"> Effect</w:t>
            </w:r>
          </w:p>
        </w:tc>
        <w:tc>
          <w:tcPr>
            <w:tcW w:w="1496" w:type="dxa"/>
            <w:tcBorders>
              <w:top w:val="single" w:sz="8" w:space="0" w:color="auto"/>
              <w:bottom w:val="single" w:sz="8" w:space="0" w:color="auto"/>
            </w:tcBorders>
            <w:shd w:val="clear" w:color="auto" w:fill="auto"/>
            <w:hideMark/>
          </w:tcPr>
          <w:p w14:paraId="6E75231A" w14:textId="53C88E6B" w:rsidR="00D141C8" w:rsidRPr="00CF31E0" w:rsidRDefault="00D141C8" w:rsidP="00603CB7">
            <w:pPr>
              <w:spacing w:before="120" w:after="120"/>
              <w:rPr>
                <w:rFonts w:eastAsia="Calibri"/>
                <w:color w:val="000000" w:themeColor="text1"/>
                <w:sz w:val="22"/>
                <w:szCs w:val="22"/>
                <w:lang w:val="en-US" w:eastAsia="en-US"/>
              </w:rPr>
            </w:pPr>
            <w:r w:rsidRPr="00CF31E0">
              <w:rPr>
                <w:rFonts w:eastAsia="Calibri"/>
                <w:color w:val="000000" w:themeColor="text1"/>
                <w:sz w:val="22"/>
                <w:szCs w:val="22"/>
                <w:lang w:val="en-US" w:eastAsia="en-US"/>
              </w:rPr>
              <w:t>Mauchley’s W</w:t>
            </w:r>
          </w:p>
        </w:tc>
        <w:tc>
          <w:tcPr>
            <w:tcW w:w="1496" w:type="dxa"/>
            <w:tcBorders>
              <w:top w:val="single" w:sz="8" w:space="0" w:color="auto"/>
              <w:bottom w:val="single" w:sz="8" w:space="0" w:color="auto"/>
            </w:tcBorders>
            <w:shd w:val="clear" w:color="auto" w:fill="auto"/>
          </w:tcPr>
          <w:p w14:paraId="1ED091EF" w14:textId="1AB60089" w:rsidR="00D141C8" w:rsidRPr="00CF31E0" w:rsidRDefault="00D141C8" w:rsidP="00603CB7">
            <w:pPr>
              <w:spacing w:before="120" w:after="120"/>
              <w:rPr>
                <w:rFonts w:eastAsia="Calibri"/>
                <w:color w:val="000000" w:themeColor="text1"/>
                <w:sz w:val="22"/>
                <w:szCs w:val="22"/>
                <w:lang w:val="en-US" w:eastAsia="en-US"/>
              </w:rPr>
            </w:pPr>
            <w:r w:rsidRPr="00CF31E0">
              <w:rPr>
                <w:rFonts w:eastAsia="Calibri"/>
                <w:color w:val="000000" w:themeColor="text1"/>
                <w:sz w:val="22"/>
                <w:szCs w:val="22"/>
                <w:lang w:val="en-US" w:eastAsia="en-US"/>
              </w:rPr>
              <w:t>Approx Chi-Square</w:t>
            </w:r>
          </w:p>
        </w:tc>
        <w:tc>
          <w:tcPr>
            <w:tcW w:w="1496" w:type="dxa"/>
            <w:tcBorders>
              <w:top w:val="single" w:sz="8" w:space="0" w:color="auto"/>
              <w:bottom w:val="single" w:sz="8" w:space="0" w:color="auto"/>
            </w:tcBorders>
            <w:shd w:val="clear" w:color="auto" w:fill="auto"/>
          </w:tcPr>
          <w:p w14:paraId="427B5078" w14:textId="16130AF2" w:rsidR="00D141C8" w:rsidRPr="00CF31E0" w:rsidRDefault="00D141C8" w:rsidP="00603CB7">
            <w:pPr>
              <w:spacing w:before="120" w:after="120"/>
              <w:rPr>
                <w:rFonts w:eastAsia="Calibri"/>
                <w:color w:val="000000" w:themeColor="text1"/>
                <w:sz w:val="22"/>
                <w:szCs w:val="22"/>
                <w:lang w:val="en-US" w:eastAsia="en-US"/>
              </w:rPr>
            </w:pPr>
            <w:r w:rsidRPr="00CF31E0">
              <w:rPr>
                <w:rFonts w:eastAsia="Calibri"/>
                <w:color w:val="000000" w:themeColor="text1"/>
                <w:sz w:val="22"/>
                <w:szCs w:val="22"/>
                <w:lang w:eastAsia="en-US"/>
              </w:rPr>
              <w:t>df</w:t>
            </w:r>
          </w:p>
        </w:tc>
        <w:tc>
          <w:tcPr>
            <w:tcW w:w="1496" w:type="dxa"/>
            <w:tcBorders>
              <w:top w:val="single" w:sz="8" w:space="0" w:color="auto"/>
              <w:bottom w:val="single" w:sz="8" w:space="0" w:color="auto"/>
            </w:tcBorders>
          </w:tcPr>
          <w:p w14:paraId="7F17616E" w14:textId="45BB0FB8" w:rsidR="00D141C8" w:rsidRPr="00CF31E0" w:rsidRDefault="00D141C8" w:rsidP="00603CB7">
            <w:pPr>
              <w:spacing w:before="120" w:after="120"/>
              <w:rPr>
                <w:rFonts w:eastAsia="Calibri"/>
                <w:color w:val="000000" w:themeColor="text1"/>
                <w:sz w:val="22"/>
                <w:szCs w:val="22"/>
                <w:lang w:eastAsia="en-US"/>
              </w:rPr>
            </w:pPr>
            <w:r w:rsidRPr="00CF31E0">
              <w:rPr>
                <w:rFonts w:eastAsia="Calibri"/>
                <w:color w:val="000000" w:themeColor="text1"/>
                <w:sz w:val="22"/>
                <w:szCs w:val="22"/>
                <w:lang w:eastAsia="en-US"/>
              </w:rPr>
              <w:t>Sig.</w:t>
            </w:r>
          </w:p>
        </w:tc>
      </w:tr>
      <w:tr w:rsidR="00D141C8" w:rsidRPr="00CF31E0" w14:paraId="3CA588E4" w14:textId="3F01A801" w:rsidTr="00603CB7">
        <w:tc>
          <w:tcPr>
            <w:tcW w:w="1495" w:type="dxa"/>
            <w:tcBorders>
              <w:top w:val="single" w:sz="8" w:space="0" w:color="auto"/>
              <w:bottom w:val="single" w:sz="4" w:space="0" w:color="auto"/>
            </w:tcBorders>
            <w:shd w:val="clear" w:color="auto" w:fill="auto"/>
          </w:tcPr>
          <w:p w14:paraId="77D32DD8" w14:textId="6F1E715A" w:rsidR="00D141C8" w:rsidRPr="00CF31E0" w:rsidRDefault="00D141C8" w:rsidP="00603CB7">
            <w:pPr>
              <w:spacing w:before="120" w:after="120"/>
              <w:rPr>
                <w:rFonts w:eastAsia="Calibri"/>
                <w:color w:val="000000" w:themeColor="text1"/>
                <w:sz w:val="22"/>
                <w:szCs w:val="22"/>
                <w:lang w:val="en-US" w:eastAsia="en-US"/>
              </w:rPr>
            </w:pPr>
            <w:r w:rsidRPr="00CF31E0">
              <w:rPr>
                <w:rFonts w:eastAsia="Calibri"/>
                <w:color w:val="000000" w:themeColor="text1"/>
                <w:sz w:val="22"/>
                <w:szCs w:val="22"/>
                <w:lang w:val="en-US" w:eastAsia="en-US"/>
              </w:rPr>
              <w:t>Serious</w:t>
            </w:r>
          </w:p>
        </w:tc>
        <w:tc>
          <w:tcPr>
            <w:tcW w:w="1496" w:type="dxa"/>
            <w:tcBorders>
              <w:top w:val="single" w:sz="8" w:space="0" w:color="auto"/>
              <w:bottom w:val="single" w:sz="4" w:space="0" w:color="auto"/>
            </w:tcBorders>
            <w:shd w:val="clear" w:color="auto" w:fill="auto"/>
          </w:tcPr>
          <w:p w14:paraId="7B92AE74" w14:textId="153A354D" w:rsidR="00D141C8" w:rsidRPr="00CF31E0" w:rsidRDefault="00D141C8" w:rsidP="00603CB7">
            <w:pPr>
              <w:spacing w:before="120" w:after="120"/>
              <w:rPr>
                <w:rFonts w:eastAsia="Calibri"/>
                <w:color w:val="000000" w:themeColor="text1"/>
                <w:sz w:val="22"/>
                <w:szCs w:val="22"/>
                <w:lang w:eastAsia="en-US"/>
              </w:rPr>
            </w:pPr>
            <w:r w:rsidRPr="00CF31E0">
              <w:rPr>
                <w:rFonts w:eastAsia="Calibri"/>
                <w:color w:val="000000" w:themeColor="text1"/>
                <w:sz w:val="22"/>
                <w:szCs w:val="22"/>
                <w:lang w:eastAsia="en-US"/>
              </w:rPr>
              <w:t>.736</w:t>
            </w:r>
          </w:p>
        </w:tc>
        <w:tc>
          <w:tcPr>
            <w:tcW w:w="1496" w:type="dxa"/>
            <w:tcBorders>
              <w:top w:val="single" w:sz="8" w:space="0" w:color="auto"/>
              <w:bottom w:val="single" w:sz="4" w:space="0" w:color="auto"/>
            </w:tcBorders>
            <w:shd w:val="clear" w:color="auto" w:fill="auto"/>
          </w:tcPr>
          <w:p w14:paraId="453B8310" w14:textId="63729D37" w:rsidR="00D141C8" w:rsidRPr="00CF31E0" w:rsidRDefault="00D141C8" w:rsidP="00603CB7">
            <w:pPr>
              <w:spacing w:before="120" w:after="120"/>
              <w:rPr>
                <w:rFonts w:eastAsia="Calibri"/>
                <w:color w:val="000000" w:themeColor="text1"/>
                <w:sz w:val="22"/>
                <w:szCs w:val="22"/>
                <w:lang w:val="en-US" w:eastAsia="en-US"/>
              </w:rPr>
            </w:pPr>
            <w:r w:rsidRPr="00CF31E0">
              <w:rPr>
                <w:rFonts w:eastAsia="Calibri"/>
                <w:color w:val="000000" w:themeColor="text1"/>
                <w:sz w:val="22"/>
                <w:szCs w:val="22"/>
                <w:lang w:val="en-US" w:eastAsia="en-US"/>
              </w:rPr>
              <w:t>198.493</w:t>
            </w:r>
          </w:p>
        </w:tc>
        <w:tc>
          <w:tcPr>
            <w:tcW w:w="1496" w:type="dxa"/>
            <w:tcBorders>
              <w:top w:val="single" w:sz="8" w:space="0" w:color="auto"/>
              <w:bottom w:val="single" w:sz="4" w:space="0" w:color="auto"/>
            </w:tcBorders>
            <w:shd w:val="clear" w:color="auto" w:fill="auto"/>
          </w:tcPr>
          <w:p w14:paraId="171FDE72" w14:textId="2C3BB23A" w:rsidR="00D141C8" w:rsidRPr="00CF31E0" w:rsidRDefault="00D141C8" w:rsidP="00603CB7">
            <w:pPr>
              <w:spacing w:before="120" w:after="120"/>
              <w:rPr>
                <w:rFonts w:eastAsia="Calibri"/>
                <w:color w:val="000000" w:themeColor="text1"/>
                <w:sz w:val="22"/>
                <w:szCs w:val="22"/>
                <w:lang w:eastAsia="en-US"/>
              </w:rPr>
            </w:pPr>
            <w:r w:rsidRPr="00CF31E0">
              <w:rPr>
                <w:rFonts w:eastAsia="Calibri"/>
                <w:color w:val="000000" w:themeColor="text1"/>
                <w:sz w:val="22"/>
                <w:szCs w:val="22"/>
                <w:lang w:eastAsia="en-US"/>
              </w:rPr>
              <w:t>9</w:t>
            </w:r>
          </w:p>
        </w:tc>
        <w:tc>
          <w:tcPr>
            <w:tcW w:w="1496" w:type="dxa"/>
            <w:tcBorders>
              <w:top w:val="single" w:sz="8" w:space="0" w:color="auto"/>
              <w:bottom w:val="single" w:sz="4" w:space="0" w:color="auto"/>
            </w:tcBorders>
          </w:tcPr>
          <w:p w14:paraId="3D970F8C" w14:textId="6D29981F" w:rsidR="00D141C8" w:rsidRPr="00CF31E0" w:rsidRDefault="00D141C8" w:rsidP="00603CB7">
            <w:pPr>
              <w:spacing w:before="120" w:after="120"/>
              <w:rPr>
                <w:rFonts w:eastAsia="Calibri"/>
                <w:color w:val="000000" w:themeColor="text1"/>
                <w:sz w:val="22"/>
                <w:szCs w:val="22"/>
                <w:lang w:eastAsia="en-US"/>
              </w:rPr>
            </w:pPr>
            <w:r w:rsidRPr="00CF31E0">
              <w:rPr>
                <w:rFonts w:eastAsia="Calibri"/>
                <w:color w:val="000000" w:themeColor="text1"/>
                <w:sz w:val="22"/>
                <w:szCs w:val="22"/>
                <w:lang w:eastAsia="en-US"/>
              </w:rPr>
              <w:t>.000</w:t>
            </w:r>
          </w:p>
        </w:tc>
      </w:tr>
    </w:tbl>
    <w:p w14:paraId="4A485980" w14:textId="1CB57DC3" w:rsidR="000B4835" w:rsidRPr="00CF31E0" w:rsidRDefault="000B4835" w:rsidP="00FA51CC">
      <w:pPr>
        <w:pStyle w:val="Tablecaption"/>
        <w:rPr>
          <w:lang w:eastAsia="en-US"/>
        </w:rPr>
      </w:pPr>
      <w:bookmarkStart w:id="820" w:name="_Toc522527476"/>
      <w:bookmarkStart w:id="821" w:name="_Toc522628889"/>
      <w:bookmarkStart w:id="822" w:name="_Toc522629053"/>
      <w:bookmarkStart w:id="823" w:name="_Toc6473151"/>
      <w:r w:rsidRPr="00CF31E0">
        <w:rPr>
          <w:lang w:eastAsia="en-US"/>
        </w:rPr>
        <w:t>Table</w:t>
      </w:r>
      <w:r w:rsidR="00992222" w:rsidRPr="00CF31E0">
        <w:rPr>
          <w:lang w:eastAsia="en-US"/>
        </w:rPr>
        <w:t xml:space="preserve"> </w:t>
      </w:r>
      <w:r w:rsidR="00FA51CC" w:rsidRPr="00CF31E0">
        <w:rPr>
          <w:lang w:eastAsia="en-US"/>
        </w:rPr>
        <w:t>11</w:t>
      </w:r>
      <w:r w:rsidR="00992222" w:rsidRPr="00CF31E0">
        <w:rPr>
          <w:lang w:eastAsia="en-US"/>
        </w:rPr>
        <w:t>.</w:t>
      </w:r>
      <w:r w:rsidR="00FA51CC" w:rsidRPr="00CF31E0">
        <w:rPr>
          <w:lang w:eastAsia="en-US"/>
        </w:rPr>
        <w:t>13</w:t>
      </w:r>
      <w:r w:rsidR="00992222" w:rsidRPr="00CF31E0">
        <w:rPr>
          <w:lang w:eastAsia="en-US"/>
        </w:rPr>
        <w:t xml:space="preserve">: </w:t>
      </w:r>
      <w:r w:rsidRPr="00CF31E0">
        <w:rPr>
          <w:lang w:eastAsia="en-US"/>
        </w:rPr>
        <w:t xml:space="preserve">Test of sphericity for the </w:t>
      </w:r>
      <w:r w:rsidRPr="00CF31E0">
        <w:rPr>
          <w:i/>
          <w:iCs/>
          <w:lang w:eastAsia="en-US"/>
        </w:rPr>
        <w:t>serious</w:t>
      </w:r>
      <w:r w:rsidRPr="00CF31E0">
        <w:rPr>
          <w:lang w:eastAsia="en-US"/>
        </w:rPr>
        <w:t xml:space="preserve"> characteristic across</w:t>
      </w:r>
      <w:r w:rsidR="007F2617">
        <w:rPr>
          <w:lang w:eastAsia="en-US"/>
        </w:rPr>
        <w:t xml:space="preserve"> the</w:t>
      </w:r>
      <w:r w:rsidRPr="00CF31E0">
        <w:rPr>
          <w:lang w:eastAsia="en-US"/>
        </w:rPr>
        <w:t xml:space="preserve"> samples</w:t>
      </w:r>
      <w:r w:rsidR="00992222" w:rsidRPr="00CF31E0">
        <w:rPr>
          <w:lang w:eastAsia="en-US"/>
        </w:rPr>
        <w:t>.</w:t>
      </w:r>
      <w:bookmarkEnd w:id="820"/>
      <w:bookmarkEnd w:id="821"/>
      <w:bookmarkEnd w:id="822"/>
      <w:bookmarkEnd w:id="823"/>
      <w:r w:rsidRPr="00CF31E0">
        <w:rPr>
          <w:lang w:eastAsia="en-US"/>
        </w:rPr>
        <w:t xml:space="preserve"> </w:t>
      </w:r>
    </w:p>
    <w:p w14:paraId="534C631F" w14:textId="7A2CDB82" w:rsidR="00545871" w:rsidRPr="00CF31E0" w:rsidRDefault="000B4835" w:rsidP="00DB766A">
      <w:pPr>
        <w:pStyle w:val="Paragraph"/>
        <w:rPr>
          <w:lang w:eastAsia="en-US"/>
        </w:rPr>
      </w:pPr>
      <w:r w:rsidRPr="00CF31E0">
        <w:rPr>
          <w:lang w:eastAsia="en-US"/>
        </w:rPr>
        <w:t xml:space="preserve">The above table shows that the assumption is violated as the p value is &lt;.001, which means that the variance found among all serious rating scales across the samples is significantly different. Although the assumption is violated, it is possible to examine the multivariate test output from the Greenhouse-Geisser text. See Table </w:t>
      </w:r>
      <w:r w:rsidR="00F61455" w:rsidRPr="00CF31E0">
        <w:rPr>
          <w:lang w:eastAsia="en-US"/>
        </w:rPr>
        <w:t>11</w:t>
      </w:r>
      <w:r w:rsidR="00992222" w:rsidRPr="00CF31E0">
        <w:rPr>
          <w:lang w:eastAsia="en-US"/>
        </w:rPr>
        <w:t>.</w:t>
      </w:r>
      <w:r w:rsidR="00F61455" w:rsidRPr="00CF31E0">
        <w:rPr>
          <w:lang w:eastAsia="en-US"/>
        </w:rPr>
        <w:t>14</w:t>
      </w:r>
      <w:r w:rsidRPr="00CF31E0">
        <w:rPr>
          <w:lang w:eastAsia="en-US"/>
        </w:rPr>
        <w:t xml:space="preserve">. </w:t>
      </w:r>
    </w:p>
    <w:tbl>
      <w:tblPr>
        <w:tblW w:w="7458"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148"/>
        <w:gridCol w:w="1466"/>
        <w:gridCol w:w="1618"/>
        <w:gridCol w:w="806"/>
        <w:gridCol w:w="1616"/>
        <w:gridCol w:w="804"/>
      </w:tblGrid>
      <w:tr w:rsidR="00ED36FE" w:rsidRPr="00CF31E0" w14:paraId="0E06EA3D" w14:textId="77777777" w:rsidTr="00ED36FE">
        <w:trPr>
          <w:cantSplit/>
          <w:trHeight w:val="888"/>
        </w:trPr>
        <w:tc>
          <w:tcPr>
            <w:tcW w:w="2614" w:type="dxa"/>
            <w:gridSpan w:val="2"/>
            <w:tcBorders>
              <w:top w:val="single" w:sz="4" w:space="0" w:color="auto"/>
              <w:bottom w:val="single" w:sz="4" w:space="0" w:color="auto"/>
            </w:tcBorders>
            <w:shd w:val="clear" w:color="auto" w:fill="FFFFFF"/>
            <w:vAlign w:val="bottom"/>
          </w:tcPr>
          <w:p w14:paraId="33EBC2E6" w14:textId="77777777" w:rsidR="00ED36FE" w:rsidRPr="00CF31E0" w:rsidRDefault="00ED36FE"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p>
          <w:p w14:paraId="76A0C15A" w14:textId="77777777" w:rsidR="00ED36FE" w:rsidRPr="00CF31E0" w:rsidRDefault="00ED36FE"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Source</w:t>
            </w:r>
          </w:p>
        </w:tc>
        <w:tc>
          <w:tcPr>
            <w:tcW w:w="1618" w:type="dxa"/>
            <w:tcBorders>
              <w:top w:val="single" w:sz="4" w:space="0" w:color="auto"/>
              <w:bottom w:val="single" w:sz="4" w:space="0" w:color="auto"/>
            </w:tcBorders>
            <w:shd w:val="clear" w:color="auto" w:fill="FFFFFF"/>
            <w:vAlign w:val="bottom"/>
          </w:tcPr>
          <w:p w14:paraId="10269033" w14:textId="77777777" w:rsidR="00ED36FE" w:rsidRPr="00CF31E0" w:rsidRDefault="00ED36FE"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Type III Sum of Squares</w:t>
            </w:r>
          </w:p>
        </w:tc>
        <w:tc>
          <w:tcPr>
            <w:tcW w:w="806" w:type="dxa"/>
            <w:tcBorders>
              <w:top w:val="single" w:sz="4" w:space="0" w:color="auto"/>
              <w:bottom w:val="single" w:sz="4" w:space="0" w:color="auto"/>
            </w:tcBorders>
            <w:shd w:val="clear" w:color="auto" w:fill="FFFFFF"/>
            <w:vAlign w:val="bottom"/>
          </w:tcPr>
          <w:p w14:paraId="32769F03" w14:textId="77777777" w:rsidR="00ED36FE" w:rsidRPr="00CF31E0" w:rsidRDefault="00ED36FE"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df</w:t>
            </w:r>
          </w:p>
        </w:tc>
        <w:tc>
          <w:tcPr>
            <w:tcW w:w="1616" w:type="dxa"/>
            <w:tcBorders>
              <w:top w:val="single" w:sz="4" w:space="0" w:color="auto"/>
              <w:bottom w:val="single" w:sz="4" w:space="0" w:color="auto"/>
            </w:tcBorders>
            <w:shd w:val="clear" w:color="auto" w:fill="FFFFFF"/>
            <w:vAlign w:val="bottom"/>
          </w:tcPr>
          <w:p w14:paraId="0BBF0F8F" w14:textId="77777777" w:rsidR="00ED36FE" w:rsidRPr="00CF31E0" w:rsidRDefault="00ED36FE"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Mean Square</w:t>
            </w:r>
          </w:p>
        </w:tc>
        <w:tc>
          <w:tcPr>
            <w:tcW w:w="804" w:type="dxa"/>
            <w:tcBorders>
              <w:top w:val="single" w:sz="4" w:space="0" w:color="auto"/>
              <w:bottom w:val="single" w:sz="4" w:space="0" w:color="auto"/>
            </w:tcBorders>
            <w:shd w:val="clear" w:color="auto" w:fill="FFFFFF"/>
            <w:vAlign w:val="bottom"/>
          </w:tcPr>
          <w:p w14:paraId="7ECCB349" w14:textId="77777777" w:rsidR="00ED36FE" w:rsidRPr="00CF31E0" w:rsidRDefault="00ED36FE"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Sig.</w:t>
            </w:r>
          </w:p>
        </w:tc>
      </w:tr>
      <w:tr w:rsidR="00ED36FE" w:rsidRPr="00CF31E0" w14:paraId="517FC116" w14:textId="77777777" w:rsidTr="00ED36FE">
        <w:trPr>
          <w:cantSplit/>
          <w:trHeight w:val="765"/>
        </w:trPr>
        <w:tc>
          <w:tcPr>
            <w:tcW w:w="1148" w:type="dxa"/>
            <w:vMerge w:val="restart"/>
            <w:tcBorders>
              <w:top w:val="single" w:sz="4" w:space="0" w:color="auto"/>
              <w:bottom w:val="nil"/>
            </w:tcBorders>
            <w:shd w:val="clear" w:color="auto" w:fill="FFFFFF"/>
          </w:tcPr>
          <w:p w14:paraId="3A54DD3C" w14:textId="77777777" w:rsidR="00ED36FE" w:rsidRPr="00CF31E0" w:rsidRDefault="00ED36FE"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Serious</w:t>
            </w:r>
          </w:p>
        </w:tc>
        <w:tc>
          <w:tcPr>
            <w:tcW w:w="1465" w:type="dxa"/>
            <w:tcBorders>
              <w:top w:val="single" w:sz="4" w:space="0" w:color="auto"/>
              <w:bottom w:val="nil"/>
            </w:tcBorders>
            <w:shd w:val="clear" w:color="auto" w:fill="FFFFFF"/>
          </w:tcPr>
          <w:p w14:paraId="64B80DAD" w14:textId="77777777" w:rsidR="00ED36FE" w:rsidRPr="00CF31E0" w:rsidRDefault="00ED36FE"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Sphericity Assumed</w:t>
            </w:r>
          </w:p>
        </w:tc>
        <w:tc>
          <w:tcPr>
            <w:tcW w:w="1618" w:type="dxa"/>
            <w:tcBorders>
              <w:top w:val="single" w:sz="4" w:space="0" w:color="auto"/>
              <w:bottom w:val="nil"/>
            </w:tcBorders>
            <w:shd w:val="clear" w:color="auto" w:fill="FFFFFF"/>
            <w:vAlign w:val="center"/>
          </w:tcPr>
          <w:p w14:paraId="03F19F9C" w14:textId="77777777" w:rsidR="00ED36FE" w:rsidRPr="00CF31E0" w:rsidRDefault="00ED36FE"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1352.385</w:t>
            </w:r>
          </w:p>
        </w:tc>
        <w:tc>
          <w:tcPr>
            <w:tcW w:w="806" w:type="dxa"/>
            <w:tcBorders>
              <w:top w:val="single" w:sz="4" w:space="0" w:color="auto"/>
              <w:bottom w:val="nil"/>
            </w:tcBorders>
            <w:shd w:val="clear" w:color="auto" w:fill="FFFFFF"/>
            <w:vAlign w:val="center"/>
          </w:tcPr>
          <w:p w14:paraId="6784DD84" w14:textId="77777777" w:rsidR="00ED36FE" w:rsidRPr="00CF31E0" w:rsidRDefault="00ED36FE"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4</w:t>
            </w:r>
          </w:p>
        </w:tc>
        <w:tc>
          <w:tcPr>
            <w:tcW w:w="1616" w:type="dxa"/>
            <w:tcBorders>
              <w:top w:val="single" w:sz="4" w:space="0" w:color="auto"/>
              <w:bottom w:val="nil"/>
            </w:tcBorders>
            <w:shd w:val="clear" w:color="auto" w:fill="FFFFFF"/>
            <w:vAlign w:val="center"/>
          </w:tcPr>
          <w:p w14:paraId="6F32F37B" w14:textId="77777777" w:rsidR="00ED36FE" w:rsidRPr="00CF31E0" w:rsidRDefault="00ED36FE"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338.096</w:t>
            </w:r>
          </w:p>
        </w:tc>
        <w:tc>
          <w:tcPr>
            <w:tcW w:w="804" w:type="dxa"/>
            <w:tcBorders>
              <w:top w:val="single" w:sz="4" w:space="0" w:color="auto"/>
              <w:bottom w:val="nil"/>
            </w:tcBorders>
            <w:shd w:val="clear" w:color="auto" w:fill="FFFFFF"/>
            <w:vAlign w:val="center"/>
          </w:tcPr>
          <w:p w14:paraId="5883C094" w14:textId="77777777" w:rsidR="00ED36FE" w:rsidRPr="00CF31E0" w:rsidRDefault="00ED36FE"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.000</w:t>
            </w:r>
          </w:p>
        </w:tc>
      </w:tr>
      <w:tr w:rsidR="00ED36FE" w:rsidRPr="00CF31E0" w14:paraId="6222FC7E" w14:textId="77777777" w:rsidTr="00ED36FE">
        <w:trPr>
          <w:cantSplit/>
          <w:trHeight w:val="148"/>
        </w:trPr>
        <w:tc>
          <w:tcPr>
            <w:tcW w:w="1148" w:type="dxa"/>
            <w:vMerge/>
            <w:tcBorders>
              <w:top w:val="nil"/>
            </w:tcBorders>
            <w:shd w:val="clear" w:color="auto" w:fill="FFFFFF"/>
          </w:tcPr>
          <w:p w14:paraId="2D1F423C" w14:textId="77777777" w:rsidR="00ED36FE" w:rsidRPr="00CF31E0" w:rsidRDefault="00ED36FE" w:rsidP="00603CB7">
            <w:pPr>
              <w:widowControl w:val="0"/>
              <w:autoSpaceDE w:val="0"/>
              <w:autoSpaceDN w:val="0"/>
              <w:adjustRightInd w:val="0"/>
              <w:spacing w:before="120" w:after="120"/>
              <w:jc w:val="both"/>
              <w:rPr>
                <w:rFonts w:eastAsia="Calibri"/>
                <w:color w:val="000000" w:themeColor="text1"/>
                <w:sz w:val="22"/>
                <w:szCs w:val="22"/>
                <w:lang w:eastAsia="en-US"/>
              </w:rPr>
            </w:pPr>
          </w:p>
        </w:tc>
        <w:tc>
          <w:tcPr>
            <w:tcW w:w="1465" w:type="dxa"/>
            <w:tcBorders>
              <w:top w:val="nil"/>
            </w:tcBorders>
            <w:shd w:val="clear" w:color="auto" w:fill="FFFFFF"/>
          </w:tcPr>
          <w:p w14:paraId="233CB816" w14:textId="77777777"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Greenhouse-Geisser</w:t>
            </w:r>
          </w:p>
        </w:tc>
        <w:tc>
          <w:tcPr>
            <w:tcW w:w="1618" w:type="dxa"/>
            <w:tcBorders>
              <w:top w:val="nil"/>
            </w:tcBorders>
            <w:shd w:val="clear" w:color="auto" w:fill="FFFFFF"/>
            <w:vAlign w:val="center"/>
          </w:tcPr>
          <w:p w14:paraId="6B6EF7FC" w14:textId="77777777"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1352.385</w:t>
            </w:r>
          </w:p>
        </w:tc>
        <w:tc>
          <w:tcPr>
            <w:tcW w:w="806" w:type="dxa"/>
            <w:tcBorders>
              <w:top w:val="nil"/>
            </w:tcBorders>
            <w:shd w:val="clear" w:color="auto" w:fill="FFFFFF"/>
            <w:vAlign w:val="center"/>
          </w:tcPr>
          <w:p w14:paraId="1B2C7024" w14:textId="77777777"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3.446</w:t>
            </w:r>
          </w:p>
        </w:tc>
        <w:tc>
          <w:tcPr>
            <w:tcW w:w="1616" w:type="dxa"/>
            <w:tcBorders>
              <w:top w:val="nil"/>
            </w:tcBorders>
            <w:shd w:val="clear" w:color="auto" w:fill="FFFFFF"/>
            <w:vAlign w:val="center"/>
          </w:tcPr>
          <w:p w14:paraId="12D6D6A5" w14:textId="77777777"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392.400</w:t>
            </w:r>
          </w:p>
        </w:tc>
        <w:tc>
          <w:tcPr>
            <w:tcW w:w="804" w:type="dxa"/>
            <w:tcBorders>
              <w:top w:val="nil"/>
            </w:tcBorders>
            <w:shd w:val="clear" w:color="auto" w:fill="FFFFFF"/>
            <w:vAlign w:val="center"/>
          </w:tcPr>
          <w:p w14:paraId="16309DD0" w14:textId="77777777"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.000</w:t>
            </w:r>
          </w:p>
        </w:tc>
      </w:tr>
    </w:tbl>
    <w:p w14:paraId="733D55FF" w14:textId="3D8FD500" w:rsidR="000B4835" w:rsidRPr="00CF31E0" w:rsidRDefault="000B4835" w:rsidP="00F61455">
      <w:pPr>
        <w:pStyle w:val="Tablecaption"/>
        <w:rPr>
          <w:lang w:eastAsia="en-US"/>
        </w:rPr>
      </w:pPr>
      <w:bookmarkStart w:id="824" w:name="_Toc522527477"/>
      <w:bookmarkStart w:id="825" w:name="_Toc522628890"/>
      <w:bookmarkStart w:id="826" w:name="_Toc522629054"/>
      <w:bookmarkStart w:id="827" w:name="_Toc6473152"/>
      <w:r w:rsidRPr="00CF31E0">
        <w:rPr>
          <w:lang w:eastAsia="en-US"/>
        </w:rPr>
        <w:t>Table</w:t>
      </w:r>
      <w:r w:rsidR="00992222" w:rsidRPr="00CF31E0">
        <w:rPr>
          <w:lang w:eastAsia="en-US"/>
        </w:rPr>
        <w:t xml:space="preserve"> </w:t>
      </w:r>
      <w:r w:rsidR="00F61455" w:rsidRPr="00CF31E0">
        <w:rPr>
          <w:lang w:eastAsia="en-US"/>
        </w:rPr>
        <w:t>11</w:t>
      </w:r>
      <w:r w:rsidR="00992222" w:rsidRPr="00CF31E0">
        <w:rPr>
          <w:lang w:eastAsia="en-US"/>
        </w:rPr>
        <w:t>.</w:t>
      </w:r>
      <w:r w:rsidR="00F61455" w:rsidRPr="00CF31E0">
        <w:rPr>
          <w:lang w:eastAsia="en-US"/>
        </w:rPr>
        <w:t>14</w:t>
      </w:r>
      <w:r w:rsidR="00992222" w:rsidRPr="00CF31E0">
        <w:rPr>
          <w:lang w:eastAsia="en-US"/>
        </w:rPr>
        <w:t xml:space="preserve">: </w:t>
      </w:r>
      <w:r w:rsidRPr="00CF31E0">
        <w:rPr>
          <w:lang w:eastAsia="en-US"/>
        </w:rPr>
        <w:t xml:space="preserve">Within-subject tests for the </w:t>
      </w:r>
      <w:r w:rsidRPr="00CF31E0">
        <w:rPr>
          <w:i/>
          <w:iCs/>
          <w:lang w:eastAsia="en-US"/>
        </w:rPr>
        <w:t xml:space="preserve">serious </w:t>
      </w:r>
      <w:r w:rsidRPr="00CF31E0">
        <w:rPr>
          <w:lang w:eastAsia="en-US"/>
        </w:rPr>
        <w:t xml:space="preserve">characteristic across </w:t>
      </w:r>
      <w:r w:rsidR="007F2617">
        <w:rPr>
          <w:lang w:eastAsia="en-US"/>
        </w:rPr>
        <w:t xml:space="preserve">the </w:t>
      </w:r>
      <w:r w:rsidRPr="00CF31E0">
        <w:rPr>
          <w:lang w:eastAsia="en-US"/>
        </w:rPr>
        <w:t>samples</w:t>
      </w:r>
      <w:r w:rsidR="00992222" w:rsidRPr="00CF31E0">
        <w:rPr>
          <w:lang w:eastAsia="en-US"/>
        </w:rPr>
        <w:t>.</w:t>
      </w:r>
      <w:bookmarkEnd w:id="824"/>
      <w:bookmarkEnd w:id="825"/>
      <w:bookmarkEnd w:id="826"/>
      <w:bookmarkEnd w:id="827"/>
    </w:p>
    <w:p w14:paraId="42C31B27" w14:textId="50DC77E2" w:rsidR="000B4835" w:rsidRPr="00CF31E0" w:rsidRDefault="000B4835" w:rsidP="00603CB7">
      <w:pPr>
        <w:pStyle w:val="Paragraph"/>
        <w:rPr>
          <w:lang w:eastAsia="en-US"/>
        </w:rPr>
      </w:pPr>
      <w:r w:rsidRPr="00CF31E0">
        <w:rPr>
          <w:lang w:eastAsia="en-US"/>
        </w:rPr>
        <w:t xml:space="preserve">In this table, the p value in the Greenhouse-Geisser test is &lt;.001, which is statistically significant. This means that a difference lies somewhere among the rating scales. It will be revealed with the post-hoc test results presented in Table </w:t>
      </w:r>
      <w:r w:rsidR="00F61455" w:rsidRPr="00CF31E0">
        <w:rPr>
          <w:lang w:eastAsia="en-US"/>
        </w:rPr>
        <w:t>11</w:t>
      </w:r>
      <w:r w:rsidR="00992222" w:rsidRPr="00CF31E0">
        <w:rPr>
          <w:lang w:eastAsia="en-US"/>
        </w:rPr>
        <w:t>.</w:t>
      </w:r>
      <w:r w:rsidR="00F61455" w:rsidRPr="00CF31E0">
        <w:rPr>
          <w:lang w:eastAsia="en-US"/>
        </w:rPr>
        <w:t>15</w:t>
      </w:r>
      <w:r w:rsidRPr="00CF31E0">
        <w:rPr>
          <w:lang w:eastAsia="en-US"/>
        </w:rPr>
        <w:t xml:space="preserve">. </w:t>
      </w:r>
    </w:p>
    <w:tbl>
      <w:tblPr>
        <w:tblW w:w="7396" w:type="dxa"/>
        <w:tblInd w:w="-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863"/>
        <w:gridCol w:w="850"/>
        <w:gridCol w:w="1823"/>
        <w:gridCol w:w="1149"/>
        <w:gridCol w:w="856"/>
        <w:gridCol w:w="977"/>
        <w:gridCol w:w="878"/>
      </w:tblGrid>
      <w:tr w:rsidR="007F558A" w:rsidRPr="00CF31E0" w14:paraId="727D5247" w14:textId="77777777" w:rsidTr="00603CB7">
        <w:trPr>
          <w:cantSplit/>
        </w:trPr>
        <w:tc>
          <w:tcPr>
            <w:tcW w:w="863" w:type="dxa"/>
            <w:vMerge w:val="restart"/>
            <w:shd w:val="clear" w:color="auto" w:fill="FFFFFF"/>
            <w:vAlign w:val="bottom"/>
          </w:tcPr>
          <w:p w14:paraId="4FED77B8" w14:textId="4579AFD7" w:rsidR="000B4835" w:rsidRPr="00CF31E0" w:rsidRDefault="0055355E" w:rsidP="00603CB7">
            <w:pPr>
              <w:widowControl w:val="0"/>
              <w:autoSpaceDE w:val="0"/>
              <w:autoSpaceDN w:val="0"/>
              <w:adjustRightInd w:val="0"/>
              <w:spacing w:line="276" w:lineRule="auto"/>
              <w:ind w:left="60" w:right="60"/>
              <w:jc w:val="both"/>
              <w:rPr>
                <w:rFonts w:eastAsia="Calibri"/>
                <w:color w:val="000000" w:themeColor="text1"/>
                <w:sz w:val="22"/>
                <w:szCs w:val="22"/>
                <w:lang w:eastAsia="en-US"/>
              </w:rPr>
            </w:pPr>
            <w:r w:rsidRPr="00CF31E0" w:rsidDel="0055355E">
              <w:rPr>
                <w:color w:val="000000" w:themeColor="text1"/>
                <w:lang w:eastAsia="en-US"/>
              </w:rPr>
              <w:t xml:space="preserve"> </w:t>
            </w:r>
            <w:r w:rsidR="000B4835" w:rsidRPr="00CF31E0">
              <w:rPr>
                <w:rFonts w:eastAsia="Calibri"/>
                <w:color w:val="000000" w:themeColor="text1"/>
                <w:sz w:val="22"/>
                <w:szCs w:val="22"/>
                <w:lang w:eastAsia="en-US"/>
              </w:rPr>
              <w:t>(I) Serious</w:t>
            </w:r>
          </w:p>
        </w:tc>
        <w:tc>
          <w:tcPr>
            <w:tcW w:w="850" w:type="dxa"/>
            <w:vMerge w:val="restart"/>
            <w:shd w:val="clear" w:color="auto" w:fill="FFFFFF"/>
            <w:vAlign w:val="bottom"/>
          </w:tcPr>
          <w:p w14:paraId="6416BB63" w14:textId="77777777" w:rsidR="000B4835" w:rsidRPr="00CF31E0" w:rsidRDefault="000B4835" w:rsidP="00603CB7">
            <w:pPr>
              <w:widowControl w:val="0"/>
              <w:autoSpaceDE w:val="0"/>
              <w:autoSpaceDN w:val="0"/>
              <w:adjustRightInd w:val="0"/>
              <w:spacing w:line="276"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(J) Serious</w:t>
            </w:r>
          </w:p>
        </w:tc>
        <w:tc>
          <w:tcPr>
            <w:tcW w:w="1823" w:type="dxa"/>
            <w:vMerge w:val="restart"/>
            <w:shd w:val="clear" w:color="auto" w:fill="FFFFFF"/>
            <w:vAlign w:val="bottom"/>
          </w:tcPr>
          <w:p w14:paraId="571FB43B"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Mean Difference (I-J)</w:t>
            </w:r>
          </w:p>
        </w:tc>
        <w:tc>
          <w:tcPr>
            <w:tcW w:w="1149" w:type="dxa"/>
            <w:vMerge w:val="restart"/>
            <w:shd w:val="clear" w:color="auto" w:fill="FFFFFF"/>
            <w:vAlign w:val="bottom"/>
          </w:tcPr>
          <w:p w14:paraId="76523185"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Std. Error</w:t>
            </w:r>
          </w:p>
        </w:tc>
        <w:tc>
          <w:tcPr>
            <w:tcW w:w="856" w:type="dxa"/>
            <w:vMerge w:val="restart"/>
            <w:shd w:val="clear" w:color="auto" w:fill="FFFFFF"/>
            <w:vAlign w:val="bottom"/>
          </w:tcPr>
          <w:p w14:paraId="4A429F58"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Sig.</w:t>
            </w:r>
            <w:r w:rsidRPr="00CF31E0">
              <w:rPr>
                <w:rFonts w:eastAsia="Calibri"/>
                <w:color w:val="000000" w:themeColor="text1"/>
                <w:sz w:val="22"/>
                <w:szCs w:val="22"/>
                <w:vertAlign w:val="superscript"/>
                <w:lang w:eastAsia="en-US"/>
              </w:rPr>
              <w:t>b</w:t>
            </w:r>
          </w:p>
        </w:tc>
        <w:tc>
          <w:tcPr>
            <w:tcW w:w="1855" w:type="dxa"/>
            <w:gridSpan w:val="2"/>
            <w:shd w:val="clear" w:color="auto" w:fill="FFFFFF"/>
            <w:vAlign w:val="bottom"/>
          </w:tcPr>
          <w:p w14:paraId="78E7DFB0" w14:textId="77777777" w:rsidR="000B4835" w:rsidRPr="00CF31E0" w:rsidRDefault="000B4835" w:rsidP="00603CB7">
            <w:pPr>
              <w:widowControl w:val="0"/>
              <w:autoSpaceDE w:val="0"/>
              <w:autoSpaceDN w:val="0"/>
              <w:adjustRightInd w:val="0"/>
              <w:spacing w:line="276"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95% Confidence Interval for Difference</w:t>
            </w:r>
            <w:r w:rsidRPr="00CF31E0">
              <w:rPr>
                <w:rFonts w:eastAsia="Calibri"/>
                <w:color w:val="000000" w:themeColor="text1"/>
                <w:sz w:val="22"/>
                <w:szCs w:val="22"/>
                <w:vertAlign w:val="superscript"/>
                <w:lang w:eastAsia="en-US"/>
              </w:rPr>
              <w:t>b</w:t>
            </w:r>
          </w:p>
        </w:tc>
      </w:tr>
      <w:tr w:rsidR="007F558A" w:rsidRPr="00CF31E0" w14:paraId="1F7F45B6" w14:textId="77777777" w:rsidTr="00603CB7">
        <w:trPr>
          <w:cantSplit/>
        </w:trPr>
        <w:tc>
          <w:tcPr>
            <w:tcW w:w="863" w:type="dxa"/>
            <w:vMerge/>
            <w:shd w:val="clear" w:color="auto" w:fill="FFFFFF"/>
            <w:vAlign w:val="bottom"/>
          </w:tcPr>
          <w:p w14:paraId="4CCA6AD9" w14:textId="77777777" w:rsidR="000B4835" w:rsidRPr="00CF31E0" w:rsidRDefault="000B4835" w:rsidP="00603CB7">
            <w:pPr>
              <w:widowControl w:val="0"/>
              <w:autoSpaceDE w:val="0"/>
              <w:autoSpaceDN w:val="0"/>
              <w:adjustRightInd w:val="0"/>
              <w:spacing w:line="276" w:lineRule="auto"/>
              <w:jc w:val="both"/>
              <w:rPr>
                <w:rFonts w:eastAsia="Calibri"/>
                <w:color w:val="000000" w:themeColor="text1"/>
                <w:sz w:val="22"/>
                <w:szCs w:val="22"/>
                <w:lang w:eastAsia="en-US"/>
              </w:rPr>
            </w:pPr>
          </w:p>
        </w:tc>
        <w:tc>
          <w:tcPr>
            <w:tcW w:w="850" w:type="dxa"/>
            <w:vMerge/>
            <w:shd w:val="clear" w:color="auto" w:fill="FFFFFF"/>
            <w:vAlign w:val="bottom"/>
          </w:tcPr>
          <w:p w14:paraId="0C71E6D2" w14:textId="77777777" w:rsidR="000B4835" w:rsidRPr="00CF31E0" w:rsidRDefault="000B4835" w:rsidP="00603CB7">
            <w:pPr>
              <w:widowControl w:val="0"/>
              <w:autoSpaceDE w:val="0"/>
              <w:autoSpaceDN w:val="0"/>
              <w:adjustRightInd w:val="0"/>
              <w:spacing w:line="276" w:lineRule="auto"/>
              <w:jc w:val="both"/>
              <w:rPr>
                <w:rFonts w:eastAsia="Calibri"/>
                <w:color w:val="000000" w:themeColor="text1"/>
                <w:sz w:val="22"/>
                <w:szCs w:val="22"/>
                <w:lang w:eastAsia="en-US"/>
              </w:rPr>
            </w:pPr>
          </w:p>
        </w:tc>
        <w:tc>
          <w:tcPr>
            <w:tcW w:w="1823" w:type="dxa"/>
            <w:vMerge/>
            <w:shd w:val="clear" w:color="auto" w:fill="FFFFFF"/>
            <w:vAlign w:val="bottom"/>
          </w:tcPr>
          <w:p w14:paraId="08B0AD8E" w14:textId="77777777" w:rsidR="000B4835" w:rsidRPr="00CF31E0" w:rsidRDefault="000B4835" w:rsidP="00603CB7">
            <w:pPr>
              <w:widowControl w:val="0"/>
              <w:autoSpaceDE w:val="0"/>
              <w:autoSpaceDN w:val="0"/>
              <w:adjustRightInd w:val="0"/>
              <w:spacing w:line="276" w:lineRule="auto"/>
              <w:jc w:val="both"/>
              <w:rPr>
                <w:rFonts w:eastAsia="Calibri"/>
                <w:color w:val="000000" w:themeColor="text1"/>
                <w:sz w:val="22"/>
                <w:szCs w:val="22"/>
                <w:lang w:eastAsia="en-US"/>
              </w:rPr>
            </w:pPr>
          </w:p>
        </w:tc>
        <w:tc>
          <w:tcPr>
            <w:tcW w:w="1149" w:type="dxa"/>
            <w:vMerge/>
            <w:shd w:val="clear" w:color="auto" w:fill="FFFFFF"/>
            <w:vAlign w:val="bottom"/>
          </w:tcPr>
          <w:p w14:paraId="7CFEDAF4" w14:textId="77777777" w:rsidR="000B4835" w:rsidRPr="00CF31E0" w:rsidRDefault="000B4835" w:rsidP="00603CB7">
            <w:pPr>
              <w:widowControl w:val="0"/>
              <w:autoSpaceDE w:val="0"/>
              <w:autoSpaceDN w:val="0"/>
              <w:adjustRightInd w:val="0"/>
              <w:spacing w:line="276" w:lineRule="auto"/>
              <w:jc w:val="both"/>
              <w:rPr>
                <w:rFonts w:eastAsia="Calibri"/>
                <w:color w:val="000000" w:themeColor="text1"/>
                <w:sz w:val="22"/>
                <w:szCs w:val="22"/>
                <w:lang w:eastAsia="en-US"/>
              </w:rPr>
            </w:pPr>
          </w:p>
        </w:tc>
        <w:tc>
          <w:tcPr>
            <w:tcW w:w="856" w:type="dxa"/>
            <w:vMerge/>
            <w:shd w:val="clear" w:color="auto" w:fill="FFFFFF"/>
            <w:vAlign w:val="bottom"/>
          </w:tcPr>
          <w:p w14:paraId="5822AF96" w14:textId="77777777" w:rsidR="000B4835" w:rsidRPr="00CF31E0" w:rsidRDefault="000B4835" w:rsidP="00603CB7">
            <w:pPr>
              <w:widowControl w:val="0"/>
              <w:autoSpaceDE w:val="0"/>
              <w:autoSpaceDN w:val="0"/>
              <w:adjustRightInd w:val="0"/>
              <w:spacing w:line="276" w:lineRule="auto"/>
              <w:jc w:val="both"/>
              <w:rPr>
                <w:rFonts w:eastAsia="Calibri"/>
                <w:color w:val="000000" w:themeColor="text1"/>
                <w:sz w:val="22"/>
                <w:szCs w:val="22"/>
                <w:lang w:eastAsia="en-US"/>
              </w:rPr>
            </w:pPr>
          </w:p>
        </w:tc>
        <w:tc>
          <w:tcPr>
            <w:tcW w:w="977" w:type="dxa"/>
            <w:shd w:val="clear" w:color="auto" w:fill="FFFFFF"/>
            <w:vAlign w:val="bottom"/>
          </w:tcPr>
          <w:p w14:paraId="45B6EB61"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Lower Bound</w:t>
            </w:r>
          </w:p>
        </w:tc>
        <w:tc>
          <w:tcPr>
            <w:tcW w:w="878" w:type="dxa"/>
            <w:shd w:val="clear" w:color="auto" w:fill="FFFFFF"/>
            <w:vAlign w:val="bottom"/>
          </w:tcPr>
          <w:p w14:paraId="1570B292"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Upper Bound</w:t>
            </w:r>
          </w:p>
        </w:tc>
      </w:tr>
      <w:tr w:rsidR="007F558A" w:rsidRPr="00CF31E0" w14:paraId="2B374ED5" w14:textId="77777777" w:rsidTr="00603CB7">
        <w:trPr>
          <w:cantSplit/>
        </w:trPr>
        <w:tc>
          <w:tcPr>
            <w:tcW w:w="863" w:type="dxa"/>
            <w:vMerge w:val="restart"/>
            <w:shd w:val="clear" w:color="auto" w:fill="FFFFFF"/>
          </w:tcPr>
          <w:p w14:paraId="70A21335" w14:textId="77777777" w:rsidR="000B4835" w:rsidRPr="00CF31E0" w:rsidRDefault="000B4835" w:rsidP="00603CB7">
            <w:pPr>
              <w:widowControl w:val="0"/>
              <w:autoSpaceDE w:val="0"/>
              <w:autoSpaceDN w:val="0"/>
              <w:adjustRightInd w:val="0"/>
              <w:spacing w:line="276"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w:t>
            </w:r>
          </w:p>
        </w:tc>
        <w:tc>
          <w:tcPr>
            <w:tcW w:w="850" w:type="dxa"/>
            <w:shd w:val="clear" w:color="auto" w:fill="FFFFFF"/>
          </w:tcPr>
          <w:p w14:paraId="14C7CC05" w14:textId="77777777" w:rsidR="000B4835" w:rsidRPr="00CF31E0" w:rsidRDefault="000B4835" w:rsidP="00603CB7">
            <w:pPr>
              <w:widowControl w:val="0"/>
              <w:autoSpaceDE w:val="0"/>
              <w:autoSpaceDN w:val="0"/>
              <w:adjustRightInd w:val="0"/>
              <w:spacing w:line="276"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2</w:t>
            </w:r>
          </w:p>
        </w:tc>
        <w:tc>
          <w:tcPr>
            <w:tcW w:w="1823" w:type="dxa"/>
            <w:shd w:val="clear" w:color="auto" w:fill="FFFFFF"/>
            <w:vAlign w:val="center"/>
          </w:tcPr>
          <w:p w14:paraId="4FEAA7B8" w14:textId="1E151B2E"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-.693</w:t>
            </w:r>
            <w:r w:rsidRPr="00CF31E0">
              <w:rPr>
                <w:rFonts w:eastAsia="Calibri"/>
                <w:color w:val="000000" w:themeColor="text1"/>
                <w:sz w:val="22"/>
                <w:szCs w:val="22"/>
                <w:vertAlign w:val="superscript"/>
                <w:lang w:eastAsia="en-US"/>
              </w:rPr>
              <w:t>*</w:t>
            </w:r>
          </w:p>
        </w:tc>
        <w:tc>
          <w:tcPr>
            <w:tcW w:w="1149" w:type="dxa"/>
            <w:shd w:val="clear" w:color="auto" w:fill="FFFFFF"/>
            <w:vAlign w:val="center"/>
          </w:tcPr>
          <w:p w14:paraId="783117C1" w14:textId="122E879C"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.064</w:t>
            </w:r>
          </w:p>
        </w:tc>
        <w:tc>
          <w:tcPr>
            <w:tcW w:w="856" w:type="dxa"/>
            <w:shd w:val="clear" w:color="auto" w:fill="FFFFFF"/>
            <w:vAlign w:val="center"/>
          </w:tcPr>
          <w:p w14:paraId="0E69461F" w14:textId="0CAE34DC"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77" w:type="dxa"/>
            <w:shd w:val="clear" w:color="auto" w:fill="FFFFFF"/>
            <w:vAlign w:val="center"/>
          </w:tcPr>
          <w:p w14:paraId="77B3C23D" w14:textId="05544380"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-.872</w:t>
            </w:r>
          </w:p>
        </w:tc>
        <w:tc>
          <w:tcPr>
            <w:tcW w:w="878" w:type="dxa"/>
            <w:shd w:val="clear" w:color="auto" w:fill="FFFFFF"/>
            <w:vAlign w:val="center"/>
          </w:tcPr>
          <w:p w14:paraId="462F9A17" w14:textId="1C0EF831"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-.514</w:t>
            </w:r>
          </w:p>
        </w:tc>
      </w:tr>
      <w:tr w:rsidR="007F558A" w:rsidRPr="00CF31E0" w14:paraId="063458FE" w14:textId="77777777" w:rsidTr="00603CB7">
        <w:trPr>
          <w:cantSplit/>
        </w:trPr>
        <w:tc>
          <w:tcPr>
            <w:tcW w:w="863" w:type="dxa"/>
            <w:vMerge/>
            <w:shd w:val="clear" w:color="auto" w:fill="FFFFFF"/>
          </w:tcPr>
          <w:p w14:paraId="03D7F921" w14:textId="77777777" w:rsidR="000B4835" w:rsidRPr="00CF31E0" w:rsidRDefault="000B4835" w:rsidP="00603CB7">
            <w:pPr>
              <w:widowControl w:val="0"/>
              <w:autoSpaceDE w:val="0"/>
              <w:autoSpaceDN w:val="0"/>
              <w:adjustRightInd w:val="0"/>
              <w:spacing w:line="276" w:lineRule="auto"/>
              <w:jc w:val="both"/>
              <w:rPr>
                <w:rFonts w:eastAsia="Calibri"/>
                <w:color w:val="000000" w:themeColor="text1"/>
                <w:sz w:val="22"/>
                <w:szCs w:val="22"/>
                <w:lang w:eastAsia="en-US"/>
              </w:rPr>
            </w:pPr>
          </w:p>
        </w:tc>
        <w:tc>
          <w:tcPr>
            <w:tcW w:w="850" w:type="dxa"/>
            <w:shd w:val="clear" w:color="auto" w:fill="FFFFFF"/>
          </w:tcPr>
          <w:p w14:paraId="0F7D1FDD" w14:textId="77777777" w:rsidR="000B4835" w:rsidRPr="00CF31E0" w:rsidRDefault="000B4835" w:rsidP="00603CB7">
            <w:pPr>
              <w:widowControl w:val="0"/>
              <w:autoSpaceDE w:val="0"/>
              <w:autoSpaceDN w:val="0"/>
              <w:adjustRightInd w:val="0"/>
              <w:spacing w:line="276"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3</w:t>
            </w:r>
          </w:p>
        </w:tc>
        <w:tc>
          <w:tcPr>
            <w:tcW w:w="1823" w:type="dxa"/>
            <w:shd w:val="clear" w:color="auto" w:fill="FFFFFF"/>
            <w:vAlign w:val="center"/>
          </w:tcPr>
          <w:p w14:paraId="4E3C0F97"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.351</w:t>
            </w:r>
            <w:r w:rsidRPr="00CF31E0">
              <w:rPr>
                <w:rFonts w:eastAsia="Calibri"/>
                <w:color w:val="000000" w:themeColor="text1"/>
                <w:sz w:val="22"/>
                <w:szCs w:val="22"/>
                <w:vertAlign w:val="superscript"/>
                <w:lang w:eastAsia="en-US"/>
              </w:rPr>
              <w:t>*</w:t>
            </w:r>
          </w:p>
        </w:tc>
        <w:tc>
          <w:tcPr>
            <w:tcW w:w="1149" w:type="dxa"/>
            <w:shd w:val="clear" w:color="auto" w:fill="FFFFFF"/>
            <w:vAlign w:val="center"/>
          </w:tcPr>
          <w:p w14:paraId="712EF76F"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.052</w:t>
            </w:r>
          </w:p>
        </w:tc>
        <w:tc>
          <w:tcPr>
            <w:tcW w:w="856" w:type="dxa"/>
            <w:shd w:val="clear" w:color="auto" w:fill="FFFFFF"/>
            <w:vAlign w:val="center"/>
          </w:tcPr>
          <w:p w14:paraId="31D74686"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77" w:type="dxa"/>
            <w:shd w:val="clear" w:color="auto" w:fill="FFFFFF"/>
            <w:vAlign w:val="center"/>
          </w:tcPr>
          <w:p w14:paraId="2AB95D6B"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.205</w:t>
            </w:r>
          </w:p>
        </w:tc>
        <w:tc>
          <w:tcPr>
            <w:tcW w:w="878" w:type="dxa"/>
            <w:shd w:val="clear" w:color="auto" w:fill="FFFFFF"/>
            <w:vAlign w:val="center"/>
          </w:tcPr>
          <w:p w14:paraId="2441AA70" w14:textId="332F2381"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.497</w:t>
            </w:r>
          </w:p>
        </w:tc>
      </w:tr>
      <w:tr w:rsidR="007F558A" w:rsidRPr="00CF31E0" w14:paraId="2DDCA876" w14:textId="77777777" w:rsidTr="00603CB7">
        <w:trPr>
          <w:cantSplit/>
        </w:trPr>
        <w:tc>
          <w:tcPr>
            <w:tcW w:w="863" w:type="dxa"/>
            <w:vMerge/>
            <w:shd w:val="clear" w:color="auto" w:fill="FFFFFF"/>
          </w:tcPr>
          <w:p w14:paraId="2146B4A2" w14:textId="77777777" w:rsidR="000B4835" w:rsidRPr="00CF31E0" w:rsidRDefault="000B4835" w:rsidP="00603CB7">
            <w:pPr>
              <w:widowControl w:val="0"/>
              <w:autoSpaceDE w:val="0"/>
              <w:autoSpaceDN w:val="0"/>
              <w:adjustRightInd w:val="0"/>
              <w:spacing w:line="276" w:lineRule="auto"/>
              <w:jc w:val="both"/>
              <w:rPr>
                <w:rFonts w:eastAsia="Calibri"/>
                <w:color w:val="000000" w:themeColor="text1"/>
                <w:sz w:val="22"/>
                <w:szCs w:val="22"/>
                <w:lang w:eastAsia="en-US"/>
              </w:rPr>
            </w:pPr>
          </w:p>
        </w:tc>
        <w:tc>
          <w:tcPr>
            <w:tcW w:w="850" w:type="dxa"/>
            <w:shd w:val="clear" w:color="auto" w:fill="FFFFFF"/>
          </w:tcPr>
          <w:p w14:paraId="308C72B6" w14:textId="77777777" w:rsidR="000B4835" w:rsidRPr="00CF31E0" w:rsidRDefault="000B4835" w:rsidP="00603CB7">
            <w:pPr>
              <w:widowControl w:val="0"/>
              <w:autoSpaceDE w:val="0"/>
              <w:autoSpaceDN w:val="0"/>
              <w:adjustRightInd w:val="0"/>
              <w:spacing w:line="276"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4</w:t>
            </w:r>
          </w:p>
        </w:tc>
        <w:tc>
          <w:tcPr>
            <w:tcW w:w="1823" w:type="dxa"/>
            <w:shd w:val="clear" w:color="auto" w:fill="FFFFFF"/>
            <w:vAlign w:val="center"/>
          </w:tcPr>
          <w:p w14:paraId="17196B03"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-1.253</w:t>
            </w:r>
            <w:r w:rsidRPr="00CF31E0">
              <w:rPr>
                <w:rFonts w:eastAsia="Calibri"/>
                <w:color w:val="000000" w:themeColor="text1"/>
                <w:sz w:val="22"/>
                <w:szCs w:val="22"/>
                <w:vertAlign w:val="superscript"/>
                <w:lang w:eastAsia="en-US"/>
              </w:rPr>
              <w:t>*</w:t>
            </w:r>
          </w:p>
        </w:tc>
        <w:tc>
          <w:tcPr>
            <w:tcW w:w="1149" w:type="dxa"/>
            <w:shd w:val="clear" w:color="auto" w:fill="FFFFFF"/>
            <w:vAlign w:val="center"/>
          </w:tcPr>
          <w:p w14:paraId="452B2316"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.066</w:t>
            </w:r>
          </w:p>
        </w:tc>
        <w:tc>
          <w:tcPr>
            <w:tcW w:w="856" w:type="dxa"/>
            <w:shd w:val="clear" w:color="auto" w:fill="FFFFFF"/>
            <w:vAlign w:val="center"/>
          </w:tcPr>
          <w:p w14:paraId="22EDEA65"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77" w:type="dxa"/>
            <w:shd w:val="clear" w:color="auto" w:fill="FFFFFF"/>
            <w:vAlign w:val="center"/>
          </w:tcPr>
          <w:p w14:paraId="1C45F1A5"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-1.438</w:t>
            </w:r>
          </w:p>
        </w:tc>
        <w:tc>
          <w:tcPr>
            <w:tcW w:w="878" w:type="dxa"/>
            <w:shd w:val="clear" w:color="auto" w:fill="FFFFFF"/>
            <w:vAlign w:val="center"/>
          </w:tcPr>
          <w:p w14:paraId="42540F53" w14:textId="0E95D80B"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-1.067</w:t>
            </w:r>
          </w:p>
        </w:tc>
      </w:tr>
      <w:tr w:rsidR="007F558A" w:rsidRPr="00CF31E0" w14:paraId="6833FB8F" w14:textId="77777777" w:rsidTr="00603CB7">
        <w:trPr>
          <w:cantSplit/>
        </w:trPr>
        <w:tc>
          <w:tcPr>
            <w:tcW w:w="863" w:type="dxa"/>
            <w:vMerge/>
            <w:shd w:val="clear" w:color="auto" w:fill="FFFFFF"/>
          </w:tcPr>
          <w:p w14:paraId="05379162" w14:textId="77777777" w:rsidR="000B4835" w:rsidRPr="00CF31E0" w:rsidRDefault="000B4835" w:rsidP="00603CB7">
            <w:pPr>
              <w:widowControl w:val="0"/>
              <w:autoSpaceDE w:val="0"/>
              <w:autoSpaceDN w:val="0"/>
              <w:adjustRightInd w:val="0"/>
              <w:spacing w:line="276" w:lineRule="auto"/>
              <w:jc w:val="both"/>
              <w:rPr>
                <w:rFonts w:eastAsia="Calibri"/>
                <w:color w:val="000000" w:themeColor="text1"/>
                <w:sz w:val="22"/>
                <w:szCs w:val="22"/>
                <w:lang w:eastAsia="en-US"/>
              </w:rPr>
            </w:pPr>
          </w:p>
        </w:tc>
        <w:tc>
          <w:tcPr>
            <w:tcW w:w="850" w:type="dxa"/>
            <w:shd w:val="clear" w:color="auto" w:fill="FFFFFF"/>
          </w:tcPr>
          <w:p w14:paraId="3FD12043" w14:textId="77777777" w:rsidR="000B4835" w:rsidRPr="00CF31E0" w:rsidRDefault="000B4835" w:rsidP="00603CB7">
            <w:pPr>
              <w:widowControl w:val="0"/>
              <w:autoSpaceDE w:val="0"/>
              <w:autoSpaceDN w:val="0"/>
              <w:adjustRightInd w:val="0"/>
              <w:spacing w:line="276"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5</w:t>
            </w:r>
          </w:p>
        </w:tc>
        <w:tc>
          <w:tcPr>
            <w:tcW w:w="1823" w:type="dxa"/>
            <w:shd w:val="clear" w:color="auto" w:fill="FFFFFF"/>
            <w:vAlign w:val="center"/>
          </w:tcPr>
          <w:p w14:paraId="54CF8501"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-1.225</w:t>
            </w:r>
            <w:r w:rsidRPr="00CF31E0">
              <w:rPr>
                <w:rFonts w:eastAsia="Calibri"/>
                <w:color w:val="000000" w:themeColor="text1"/>
                <w:sz w:val="22"/>
                <w:szCs w:val="22"/>
                <w:vertAlign w:val="superscript"/>
                <w:lang w:eastAsia="en-US"/>
              </w:rPr>
              <w:t>*</w:t>
            </w:r>
          </w:p>
        </w:tc>
        <w:tc>
          <w:tcPr>
            <w:tcW w:w="1149" w:type="dxa"/>
            <w:shd w:val="clear" w:color="auto" w:fill="FFFFFF"/>
            <w:vAlign w:val="center"/>
          </w:tcPr>
          <w:p w14:paraId="382E48F6"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.067</w:t>
            </w:r>
          </w:p>
        </w:tc>
        <w:tc>
          <w:tcPr>
            <w:tcW w:w="856" w:type="dxa"/>
            <w:shd w:val="clear" w:color="auto" w:fill="FFFFFF"/>
            <w:vAlign w:val="center"/>
          </w:tcPr>
          <w:p w14:paraId="62B1D7C9"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77" w:type="dxa"/>
            <w:shd w:val="clear" w:color="auto" w:fill="FFFFFF"/>
            <w:vAlign w:val="center"/>
          </w:tcPr>
          <w:p w14:paraId="5BB032BA"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-1.412</w:t>
            </w:r>
          </w:p>
        </w:tc>
        <w:tc>
          <w:tcPr>
            <w:tcW w:w="878" w:type="dxa"/>
            <w:shd w:val="clear" w:color="auto" w:fill="FFFFFF"/>
            <w:vAlign w:val="center"/>
          </w:tcPr>
          <w:p w14:paraId="1196FB51" w14:textId="6E6A5B8D"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-1.038</w:t>
            </w:r>
          </w:p>
        </w:tc>
      </w:tr>
      <w:tr w:rsidR="007F558A" w:rsidRPr="00CF31E0" w14:paraId="4344D2CE" w14:textId="77777777" w:rsidTr="00603CB7">
        <w:trPr>
          <w:cantSplit/>
        </w:trPr>
        <w:tc>
          <w:tcPr>
            <w:tcW w:w="863" w:type="dxa"/>
            <w:vMerge w:val="restart"/>
            <w:shd w:val="clear" w:color="auto" w:fill="FFFFFF"/>
          </w:tcPr>
          <w:p w14:paraId="2D469270" w14:textId="77777777" w:rsidR="000B4835" w:rsidRPr="00CF31E0" w:rsidRDefault="000B4835" w:rsidP="00603CB7">
            <w:pPr>
              <w:widowControl w:val="0"/>
              <w:autoSpaceDE w:val="0"/>
              <w:autoSpaceDN w:val="0"/>
              <w:adjustRightInd w:val="0"/>
              <w:spacing w:line="276"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2</w:t>
            </w:r>
          </w:p>
        </w:tc>
        <w:tc>
          <w:tcPr>
            <w:tcW w:w="850" w:type="dxa"/>
            <w:shd w:val="clear" w:color="auto" w:fill="FFFFFF"/>
          </w:tcPr>
          <w:p w14:paraId="076CA556" w14:textId="77777777" w:rsidR="000B4835" w:rsidRPr="00CF31E0" w:rsidRDefault="000B4835" w:rsidP="00603CB7">
            <w:pPr>
              <w:widowControl w:val="0"/>
              <w:autoSpaceDE w:val="0"/>
              <w:autoSpaceDN w:val="0"/>
              <w:adjustRightInd w:val="0"/>
              <w:spacing w:line="276"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w:t>
            </w:r>
          </w:p>
        </w:tc>
        <w:tc>
          <w:tcPr>
            <w:tcW w:w="1823" w:type="dxa"/>
            <w:shd w:val="clear" w:color="auto" w:fill="FFFFFF"/>
            <w:vAlign w:val="center"/>
          </w:tcPr>
          <w:p w14:paraId="6E0F9521"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.693</w:t>
            </w:r>
            <w:r w:rsidRPr="00CF31E0">
              <w:rPr>
                <w:rFonts w:eastAsia="Calibri"/>
                <w:color w:val="000000" w:themeColor="text1"/>
                <w:sz w:val="22"/>
                <w:szCs w:val="22"/>
                <w:vertAlign w:val="superscript"/>
                <w:lang w:eastAsia="en-US"/>
              </w:rPr>
              <w:t>*</w:t>
            </w:r>
          </w:p>
        </w:tc>
        <w:tc>
          <w:tcPr>
            <w:tcW w:w="1149" w:type="dxa"/>
            <w:shd w:val="clear" w:color="auto" w:fill="FFFFFF"/>
            <w:vAlign w:val="center"/>
          </w:tcPr>
          <w:p w14:paraId="66D8F85D"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.064</w:t>
            </w:r>
          </w:p>
        </w:tc>
        <w:tc>
          <w:tcPr>
            <w:tcW w:w="856" w:type="dxa"/>
            <w:shd w:val="clear" w:color="auto" w:fill="FFFFFF"/>
            <w:vAlign w:val="center"/>
          </w:tcPr>
          <w:p w14:paraId="2CBCFED9"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77" w:type="dxa"/>
            <w:shd w:val="clear" w:color="auto" w:fill="FFFFFF"/>
            <w:vAlign w:val="center"/>
          </w:tcPr>
          <w:p w14:paraId="6989965C"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.514</w:t>
            </w:r>
          </w:p>
        </w:tc>
        <w:tc>
          <w:tcPr>
            <w:tcW w:w="878" w:type="dxa"/>
            <w:shd w:val="clear" w:color="auto" w:fill="FFFFFF"/>
            <w:vAlign w:val="center"/>
          </w:tcPr>
          <w:p w14:paraId="5E5A24DB" w14:textId="60BF0FB1"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.872</w:t>
            </w:r>
          </w:p>
        </w:tc>
      </w:tr>
      <w:tr w:rsidR="007F558A" w:rsidRPr="00CF31E0" w14:paraId="4837B136" w14:textId="77777777" w:rsidTr="00603CB7">
        <w:trPr>
          <w:cantSplit/>
        </w:trPr>
        <w:tc>
          <w:tcPr>
            <w:tcW w:w="863" w:type="dxa"/>
            <w:vMerge/>
            <w:shd w:val="clear" w:color="auto" w:fill="FFFFFF"/>
          </w:tcPr>
          <w:p w14:paraId="4257FC3B" w14:textId="77777777" w:rsidR="000B4835" w:rsidRPr="00CF31E0" w:rsidRDefault="000B4835" w:rsidP="00603CB7">
            <w:pPr>
              <w:widowControl w:val="0"/>
              <w:autoSpaceDE w:val="0"/>
              <w:autoSpaceDN w:val="0"/>
              <w:adjustRightInd w:val="0"/>
              <w:spacing w:line="276" w:lineRule="auto"/>
              <w:jc w:val="both"/>
              <w:rPr>
                <w:rFonts w:eastAsia="Calibri"/>
                <w:color w:val="000000" w:themeColor="text1"/>
                <w:sz w:val="22"/>
                <w:szCs w:val="22"/>
                <w:lang w:eastAsia="en-US"/>
              </w:rPr>
            </w:pPr>
          </w:p>
        </w:tc>
        <w:tc>
          <w:tcPr>
            <w:tcW w:w="850" w:type="dxa"/>
            <w:shd w:val="clear" w:color="auto" w:fill="FFFFFF"/>
          </w:tcPr>
          <w:p w14:paraId="447443A4" w14:textId="77777777" w:rsidR="000B4835" w:rsidRPr="00CF31E0" w:rsidRDefault="000B4835" w:rsidP="00603CB7">
            <w:pPr>
              <w:widowControl w:val="0"/>
              <w:autoSpaceDE w:val="0"/>
              <w:autoSpaceDN w:val="0"/>
              <w:adjustRightInd w:val="0"/>
              <w:spacing w:line="276"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3</w:t>
            </w:r>
          </w:p>
        </w:tc>
        <w:tc>
          <w:tcPr>
            <w:tcW w:w="1823" w:type="dxa"/>
            <w:shd w:val="clear" w:color="auto" w:fill="FFFFFF"/>
            <w:vAlign w:val="center"/>
          </w:tcPr>
          <w:p w14:paraId="3B53CD1C"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1.045</w:t>
            </w:r>
            <w:r w:rsidRPr="00CF31E0">
              <w:rPr>
                <w:rFonts w:eastAsia="Calibri"/>
                <w:color w:val="000000" w:themeColor="text1"/>
                <w:sz w:val="22"/>
                <w:szCs w:val="22"/>
                <w:vertAlign w:val="superscript"/>
                <w:lang w:eastAsia="en-US"/>
              </w:rPr>
              <w:t>*</w:t>
            </w:r>
          </w:p>
        </w:tc>
        <w:tc>
          <w:tcPr>
            <w:tcW w:w="1149" w:type="dxa"/>
            <w:shd w:val="clear" w:color="auto" w:fill="FFFFFF"/>
            <w:vAlign w:val="center"/>
          </w:tcPr>
          <w:p w14:paraId="18F07F8B"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.060</w:t>
            </w:r>
          </w:p>
        </w:tc>
        <w:tc>
          <w:tcPr>
            <w:tcW w:w="856" w:type="dxa"/>
            <w:shd w:val="clear" w:color="auto" w:fill="FFFFFF"/>
            <w:vAlign w:val="center"/>
          </w:tcPr>
          <w:p w14:paraId="5D59BF33"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77" w:type="dxa"/>
            <w:shd w:val="clear" w:color="auto" w:fill="FFFFFF"/>
            <w:vAlign w:val="center"/>
          </w:tcPr>
          <w:p w14:paraId="57090136"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.876</w:t>
            </w:r>
          </w:p>
        </w:tc>
        <w:tc>
          <w:tcPr>
            <w:tcW w:w="878" w:type="dxa"/>
            <w:shd w:val="clear" w:color="auto" w:fill="FFFFFF"/>
            <w:vAlign w:val="center"/>
          </w:tcPr>
          <w:p w14:paraId="0F804DDC" w14:textId="492DC83B"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1.214</w:t>
            </w:r>
          </w:p>
        </w:tc>
      </w:tr>
      <w:tr w:rsidR="007F558A" w:rsidRPr="00CF31E0" w14:paraId="19E38F60" w14:textId="77777777" w:rsidTr="00603CB7">
        <w:trPr>
          <w:cantSplit/>
        </w:trPr>
        <w:tc>
          <w:tcPr>
            <w:tcW w:w="863" w:type="dxa"/>
            <w:vMerge/>
            <w:shd w:val="clear" w:color="auto" w:fill="FFFFFF"/>
          </w:tcPr>
          <w:p w14:paraId="1B96389D" w14:textId="77777777" w:rsidR="000B4835" w:rsidRPr="00CF31E0" w:rsidRDefault="000B4835" w:rsidP="00603CB7">
            <w:pPr>
              <w:widowControl w:val="0"/>
              <w:autoSpaceDE w:val="0"/>
              <w:autoSpaceDN w:val="0"/>
              <w:adjustRightInd w:val="0"/>
              <w:spacing w:line="276" w:lineRule="auto"/>
              <w:jc w:val="both"/>
              <w:rPr>
                <w:rFonts w:eastAsia="Calibri"/>
                <w:color w:val="000000" w:themeColor="text1"/>
                <w:sz w:val="22"/>
                <w:szCs w:val="22"/>
                <w:lang w:eastAsia="en-US"/>
              </w:rPr>
            </w:pPr>
          </w:p>
        </w:tc>
        <w:tc>
          <w:tcPr>
            <w:tcW w:w="850" w:type="dxa"/>
            <w:shd w:val="clear" w:color="auto" w:fill="FFFFFF"/>
          </w:tcPr>
          <w:p w14:paraId="6D06AA43" w14:textId="77777777" w:rsidR="000B4835" w:rsidRPr="00CF31E0" w:rsidRDefault="000B4835" w:rsidP="00603CB7">
            <w:pPr>
              <w:widowControl w:val="0"/>
              <w:autoSpaceDE w:val="0"/>
              <w:autoSpaceDN w:val="0"/>
              <w:adjustRightInd w:val="0"/>
              <w:spacing w:line="276"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4</w:t>
            </w:r>
          </w:p>
        </w:tc>
        <w:tc>
          <w:tcPr>
            <w:tcW w:w="1823" w:type="dxa"/>
            <w:shd w:val="clear" w:color="auto" w:fill="FFFFFF"/>
            <w:vAlign w:val="center"/>
          </w:tcPr>
          <w:p w14:paraId="33BEB444"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-.559</w:t>
            </w:r>
            <w:r w:rsidRPr="00CF31E0">
              <w:rPr>
                <w:rFonts w:eastAsia="Calibri"/>
                <w:color w:val="000000" w:themeColor="text1"/>
                <w:sz w:val="22"/>
                <w:szCs w:val="22"/>
                <w:vertAlign w:val="superscript"/>
                <w:lang w:eastAsia="en-US"/>
              </w:rPr>
              <w:t>*</w:t>
            </w:r>
          </w:p>
        </w:tc>
        <w:tc>
          <w:tcPr>
            <w:tcW w:w="1149" w:type="dxa"/>
            <w:shd w:val="clear" w:color="auto" w:fill="FFFFFF"/>
            <w:vAlign w:val="center"/>
          </w:tcPr>
          <w:p w14:paraId="36166C25"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.058</w:t>
            </w:r>
          </w:p>
        </w:tc>
        <w:tc>
          <w:tcPr>
            <w:tcW w:w="856" w:type="dxa"/>
            <w:shd w:val="clear" w:color="auto" w:fill="FFFFFF"/>
            <w:vAlign w:val="center"/>
          </w:tcPr>
          <w:p w14:paraId="153FA04F"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77" w:type="dxa"/>
            <w:shd w:val="clear" w:color="auto" w:fill="FFFFFF"/>
            <w:vAlign w:val="center"/>
          </w:tcPr>
          <w:p w14:paraId="44F5BA82"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-.721</w:t>
            </w:r>
          </w:p>
        </w:tc>
        <w:tc>
          <w:tcPr>
            <w:tcW w:w="878" w:type="dxa"/>
            <w:shd w:val="clear" w:color="auto" w:fill="FFFFFF"/>
            <w:vAlign w:val="center"/>
          </w:tcPr>
          <w:p w14:paraId="2200F5D4" w14:textId="65ED7346"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-.397</w:t>
            </w:r>
          </w:p>
        </w:tc>
      </w:tr>
      <w:tr w:rsidR="007F558A" w:rsidRPr="00CF31E0" w14:paraId="6D6099A1" w14:textId="77777777" w:rsidTr="00603CB7">
        <w:trPr>
          <w:cantSplit/>
        </w:trPr>
        <w:tc>
          <w:tcPr>
            <w:tcW w:w="863" w:type="dxa"/>
            <w:vMerge/>
            <w:shd w:val="clear" w:color="auto" w:fill="FFFFFF"/>
          </w:tcPr>
          <w:p w14:paraId="4A0002AF" w14:textId="77777777" w:rsidR="000B4835" w:rsidRPr="00CF31E0" w:rsidRDefault="000B4835" w:rsidP="00603CB7">
            <w:pPr>
              <w:widowControl w:val="0"/>
              <w:autoSpaceDE w:val="0"/>
              <w:autoSpaceDN w:val="0"/>
              <w:adjustRightInd w:val="0"/>
              <w:spacing w:line="276" w:lineRule="auto"/>
              <w:jc w:val="both"/>
              <w:rPr>
                <w:rFonts w:eastAsia="Calibri"/>
                <w:color w:val="000000" w:themeColor="text1"/>
                <w:sz w:val="22"/>
                <w:szCs w:val="22"/>
                <w:lang w:eastAsia="en-US"/>
              </w:rPr>
            </w:pPr>
          </w:p>
        </w:tc>
        <w:tc>
          <w:tcPr>
            <w:tcW w:w="850" w:type="dxa"/>
            <w:shd w:val="clear" w:color="auto" w:fill="FFFFFF"/>
          </w:tcPr>
          <w:p w14:paraId="7D73BEE0" w14:textId="77777777" w:rsidR="000B4835" w:rsidRPr="00CF31E0" w:rsidRDefault="000B4835" w:rsidP="00603CB7">
            <w:pPr>
              <w:widowControl w:val="0"/>
              <w:autoSpaceDE w:val="0"/>
              <w:autoSpaceDN w:val="0"/>
              <w:adjustRightInd w:val="0"/>
              <w:spacing w:line="276"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5</w:t>
            </w:r>
          </w:p>
        </w:tc>
        <w:tc>
          <w:tcPr>
            <w:tcW w:w="1823" w:type="dxa"/>
            <w:shd w:val="clear" w:color="auto" w:fill="FFFFFF"/>
            <w:vAlign w:val="center"/>
          </w:tcPr>
          <w:p w14:paraId="5C6E8644"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-.532</w:t>
            </w:r>
            <w:r w:rsidRPr="00CF31E0">
              <w:rPr>
                <w:rFonts w:eastAsia="Calibri"/>
                <w:color w:val="000000" w:themeColor="text1"/>
                <w:sz w:val="22"/>
                <w:szCs w:val="22"/>
                <w:vertAlign w:val="superscript"/>
                <w:lang w:eastAsia="en-US"/>
              </w:rPr>
              <w:t>*</w:t>
            </w:r>
          </w:p>
        </w:tc>
        <w:tc>
          <w:tcPr>
            <w:tcW w:w="1149" w:type="dxa"/>
            <w:shd w:val="clear" w:color="auto" w:fill="FFFFFF"/>
            <w:vAlign w:val="center"/>
          </w:tcPr>
          <w:p w14:paraId="1721D851"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.067</w:t>
            </w:r>
          </w:p>
        </w:tc>
        <w:tc>
          <w:tcPr>
            <w:tcW w:w="856" w:type="dxa"/>
            <w:shd w:val="clear" w:color="auto" w:fill="FFFFFF"/>
            <w:vAlign w:val="center"/>
          </w:tcPr>
          <w:p w14:paraId="08744756"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77" w:type="dxa"/>
            <w:shd w:val="clear" w:color="auto" w:fill="FFFFFF"/>
            <w:vAlign w:val="center"/>
          </w:tcPr>
          <w:p w14:paraId="6FE172A6"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-.720</w:t>
            </w:r>
          </w:p>
        </w:tc>
        <w:tc>
          <w:tcPr>
            <w:tcW w:w="878" w:type="dxa"/>
            <w:shd w:val="clear" w:color="auto" w:fill="FFFFFF"/>
            <w:vAlign w:val="center"/>
          </w:tcPr>
          <w:p w14:paraId="36F8444A" w14:textId="614F2688"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-.343</w:t>
            </w:r>
          </w:p>
        </w:tc>
      </w:tr>
      <w:tr w:rsidR="007F558A" w:rsidRPr="00CF31E0" w14:paraId="16DB9721" w14:textId="77777777" w:rsidTr="00603CB7">
        <w:trPr>
          <w:cantSplit/>
        </w:trPr>
        <w:tc>
          <w:tcPr>
            <w:tcW w:w="863" w:type="dxa"/>
            <w:vMerge w:val="restart"/>
            <w:shd w:val="clear" w:color="auto" w:fill="FFFFFF"/>
          </w:tcPr>
          <w:p w14:paraId="2DF2B205" w14:textId="77777777" w:rsidR="000B4835" w:rsidRPr="00CF31E0" w:rsidRDefault="000B4835" w:rsidP="00603CB7">
            <w:pPr>
              <w:widowControl w:val="0"/>
              <w:autoSpaceDE w:val="0"/>
              <w:autoSpaceDN w:val="0"/>
              <w:adjustRightInd w:val="0"/>
              <w:spacing w:line="276"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3</w:t>
            </w:r>
          </w:p>
        </w:tc>
        <w:tc>
          <w:tcPr>
            <w:tcW w:w="850" w:type="dxa"/>
            <w:shd w:val="clear" w:color="auto" w:fill="FFFFFF"/>
          </w:tcPr>
          <w:p w14:paraId="52A43F4F" w14:textId="77777777" w:rsidR="000B4835" w:rsidRPr="00CF31E0" w:rsidRDefault="000B4835" w:rsidP="00603CB7">
            <w:pPr>
              <w:widowControl w:val="0"/>
              <w:autoSpaceDE w:val="0"/>
              <w:autoSpaceDN w:val="0"/>
              <w:adjustRightInd w:val="0"/>
              <w:spacing w:line="276"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w:t>
            </w:r>
          </w:p>
        </w:tc>
        <w:tc>
          <w:tcPr>
            <w:tcW w:w="1823" w:type="dxa"/>
            <w:shd w:val="clear" w:color="auto" w:fill="FFFFFF"/>
            <w:vAlign w:val="center"/>
          </w:tcPr>
          <w:p w14:paraId="021D9D35"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-.351</w:t>
            </w:r>
            <w:r w:rsidRPr="00CF31E0">
              <w:rPr>
                <w:rFonts w:eastAsia="Calibri"/>
                <w:color w:val="000000" w:themeColor="text1"/>
                <w:sz w:val="22"/>
                <w:szCs w:val="22"/>
                <w:vertAlign w:val="superscript"/>
                <w:lang w:eastAsia="en-US"/>
              </w:rPr>
              <w:t>*</w:t>
            </w:r>
          </w:p>
        </w:tc>
        <w:tc>
          <w:tcPr>
            <w:tcW w:w="1149" w:type="dxa"/>
            <w:shd w:val="clear" w:color="auto" w:fill="FFFFFF"/>
            <w:vAlign w:val="center"/>
          </w:tcPr>
          <w:p w14:paraId="4524B61F"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.052</w:t>
            </w:r>
          </w:p>
        </w:tc>
        <w:tc>
          <w:tcPr>
            <w:tcW w:w="856" w:type="dxa"/>
            <w:shd w:val="clear" w:color="auto" w:fill="FFFFFF"/>
            <w:vAlign w:val="center"/>
          </w:tcPr>
          <w:p w14:paraId="2C6BA220"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77" w:type="dxa"/>
            <w:shd w:val="clear" w:color="auto" w:fill="FFFFFF"/>
            <w:vAlign w:val="center"/>
          </w:tcPr>
          <w:p w14:paraId="38376E75"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-.497</w:t>
            </w:r>
          </w:p>
        </w:tc>
        <w:tc>
          <w:tcPr>
            <w:tcW w:w="878" w:type="dxa"/>
            <w:shd w:val="clear" w:color="auto" w:fill="FFFFFF"/>
            <w:vAlign w:val="center"/>
          </w:tcPr>
          <w:p w14:paraId="41954742" w14:textId="44AEF034"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-.205</w:t>
            </w:r>
          </w:p>
        </w:tc>
      </w:tr>
      <w:tr w:rsidR="007F558A" w:rsidRPr="00CF31E0" w14:paraId="0CA552B6" w14:textId="77777777" w:rsidTr="00603CB7">
        <w:trPr>
          <w:cantSplit/>
        </w:trPr>
        <w:tc>
          <w:tcPr>
            <w:tcW w:w="863" w:type="dxa"/>
            <w:vMerge/>
            <w:shd w:val="clear" w:color="auto" w:fill="FFFFFF"/>
          </w:tcPr>
          <w:p w14:paraId="014192E7" w14:textId="77777777" w:rsidR="000B4835" w:rsidRPr="00CF31E0" w:rsidRDefault="000B4835" w:rsidP="00603CB7">
            <w:pPr>
              <w:widowControl w:val="0"/>
              <w:autoSpaceDE w:val="0"/>
              <w:autoSpaceDN w:val="0"/>
              <w:adjustRightInd w:val="0"/>
              <w:spacing w:line="276" w:lineRule="auto"/>
              <w:jc w:val="both"/>
              <w:rPr>
                <w:rFonts w:eastAsia="Calibri"/>
                <w:color w:val="000000" w:themeColor="text1"/>
                <w:sz w:val="22"/>
                <w:szCs w:val="22"/>
                <w:lang w:eastAsia="en-US"/>
              </w:rPr>
            </w:pPr>
          </w:p>
        </w:tc>
        <w:tc>
          <w:tcPr>
            <w:tcW w:w="850" w:type="dxa"/>
            <w:shd w:val="clear" w:color="auto" w:fill="FFFFFF"/>
          </w:tcPr>
          <w:p w14:paraId="4BAD4716" w14:textId="77777777" w:rsidR="000B4835" w:rsidRPr="00CF31E0" w:rsidRDefault="000B4835" w:rsidP="00603CB7">
            <w:pPr>
              <w:widowControl w:val="0"/>
              <w:autoSpaceDE w:val="0"/>
              <w:autoSpaceDN w:val="0"/>
              <w:adjustRightInd w:val="0"/>
              <w:spacing w:line="276"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2</w:t>
            </w:r>
          </w:p>
        </w:tc>
        <w:tc>
          <w:tcPr>
            <w:tcW w:w="1823" w:type="dxa"/>
            <w:shd w:val="clear" w:color="auto" w:fill="FFFFFF"/>
            <w:vAlign w:val="center"/>
          </w:tcPr>
          <w:p w14:paraId="518D0669"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-1.045</w:t>
            </w:r>
            <w:r w:rsidRPr="00CF31E0">
              <w:rPr>
                <w:rFonts w:eastAsia="Calibri"/>
                <w:color w:val="000000" w:themeColor="text1"/>
                <w:sz w:val="22"/>
                <w:szCs w:val="22"/>
                <w:vertAlign w:val="superscript"/>
                <w:lang w:eastAsia="en-US"/>
              </w:rPr>
              <w:t>*</w:t>
            </w:r>
          </w:p>
        </w:tc>
        <w:tc>
          <w:tcPr>
            <w:tcW w:w="1149" w:type="dxa"/>
            <w:shd w:val="clear" w:color="auto" w:fill="FFFFFF"/>
            <w:vAlign w:val="center"/>
          </w:tcPr>
          <w:p w14:paraId="2A3BD345"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.060</w:t>
            </w:r>
          </w:p>
        </w:tc>
        <w:tc>
          <w:tcPr>
            <w:tcW w:w="856" w:type="dxa"/>
            <w:shd w:val="clear" w:color="auto" w:fill="FFFFFF"/>
            <w:vAlign w:val="center"/>
          </w:tcPr>
          <w:p w14:paraId="5424D1D6"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77" w:type="dxa"/>
            <w:shd w:val="clear" w:color="auto" w:fill="FFFFFF"/>
            <w:vAlign w:val="center"/>
          </w:tcPr>
          <w:p w14:paraId="2392DB6E"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-1.214</w:t>
            </w:r>
          </w:p>
        </w:tc>
        <w:tc>
          <w:tcPr>
            <w:tcW w:w="878" w:type="dxa"/>
            <w:shd w:val="clear" w:color="auto" w:fill="FFFFFF"/>
            <w:vAlign w:val="center"/>
          </w:tcPr>
          <w:p w14:paraId="53F8D8E3" w14:textId="7F74AE9D"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-.876</w:t>
            </w:r>
          </w:p>
        </w:tc>
      </w:tr>
      <w:tr w:rsidR="007F558A" w:rsidRPr="00CF31E0" w14:paraId="361D7F47" w14:textId="77777777" w:rsidTr="00603CB7">
        <w:trPr>
          <w:cantSplit/>
        </w:trPr>
        <w:tc>
          <w:tcPr>
            <w:tcW w:w="863" w:type="dxa"/>
            <w:vMerge/>
            <w:shd w:val="clear" w:color="auto" w:fill="FFFFFF"/>
          </w:tcPr>
          <w:p w14:paraId="3D62C637" w14:textId="77777777" w:rsidR="000B4835" w:rsidRPr="00CF31E0" w:rsidRDefault="000B4835" w:rsidP="00603CB7">
            <w:pPr>
              <w:widowControl w:val="0"/>
              <w:autoSpaceDE w:val="0"/>
              <w:autoSpaceDN w:val="0"/>
              <w:adjustRightInd w:val="0"/>
              <w:spacing w:line="276" w:lineRule="auto"/>
              <w:jc w:val="both"/>
              <w:rPr>
                <w:rFonts w:eastAsia="Calibri"/>
                <w:color w:val="000000" w:themeColor="text1"/>
                <w:sz w:val="22"/>
                <w:szCs w:val="22"/>
                <w:lang w:eastAsia="en-US"/>
              </w:rPr>
            </w:pPr>
          </w:p>
        </w:tc>
        <w:tc>
          <w:tcPr>
            <w:tcW w:w="850" w:type="dxa"/>
            <w:shd w:val="clear" w:color="auto" w:fill="FFFFFF"/>
          </w:tcPr>
          <w:p w14:paraId="115B0B5E" w14:textId="77777777" w:rsidR="000B4835" w:rsidRPr="00CF31E0" w:rsidRDefault="000B4835" w:rsidP="00603CB7">
            <w:pPr>
              <w:widowControl w:val="0"/>
              <w:autoSpaceDE w:val="0"/>
              <w:autoSpaceDN w:val="0"/>
              <w:adjustRightInd w:val="0"/>
              <w:spacing w:line="276"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4</w:t>
            </w:r>
          </w:p>
        </w:tc>
        <w:tc>
          <w:tcPr>
            <w:tcW w:w="1823" w:type="dxa"/>
            <w:shd w:val="clear" w:color="auto" w:fill="FFFFFF"/>
            <w:vAlign w:val="center"/>
          </w:tcPr>
          <w:p w14:paraId="6CCFD163"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-1.604</w:t>
            </w:r>
            <w:r w:rsidRPr="00CF31E0">
              <w:rPr>
                <w:rFonts w:eastAsia="Calibri"/>
                <w:color w:val="000000" w:themeColor="text1"/>
                <w:sz w:val="22"/>
                <w:szCs w:val="22"/>
                <w:vertAlign w:val="superscript"/>
                <w:lang w:eastAsia="en-US"/>
              </w:rPr>
              <w:t>*</w:t>
            </w:r>
          </w:p>
        </w:tc>
        <w:tc>
          <w:tcPr>
            <w:tcW w:w="1149" w:type="dxa"/>
            <w:shd w:val="clear" w:color="auto" w:fill="FFFFFF"/>
            <w:vAlign w:val="center"/>
          </w:tcPr>
          <w:p w14:paraId="7BA0C4AA"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.070</w:t>
            </w:r>
          </w:p>
        </w:tc>
        <w:tc>
          <w:tcPr>
            <w:tcW w:w="856" w:type="dxa"/>
            <w:shd w:val="clear" w:color="auto" w:fill="FFFFFF"/>
            <w:vAlign w:val="center"/>
          </w:tcPr>
          <w:p w14:paraId="61A597C8"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77" w:type="dxa"/>
            <w:shd w:val="clear" w:color="auto" w:fill="FFFFFF"/>
            <w:vAlign w:val="center"/>
          </w:tcPr>
          <w:p w14:paraId="28BCAE65"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-1.800</w:t>
            </w:r>
          </w:p>
        </w:tc>
        <w:tc>
          <w:tcPr>
            <w:tcW w:w="878" w:type="dxa"/>
            <w:shd w:val="clear" w:color="auto" w:fill="FFFFFF"/>
            <w:vAlign w:val="center"/>
          </w:tcPr>
          <w:p w14:paraId="697B3141" w14:textId="359B3B64"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-1.408</w:t>
            </w:r>
          </w:p>
        </w:tc>
      </w:tr>
      <w:tr w:rsidR="007F558A" w:rsidRPr="00CF31E0" w14:paraId="4D862D00" w14:textId="77777777" w:rsidTr="00603CB7">
        <w:trPr>
          <w:cantSplit/>
        </w:trPr>
        <w:tc>
          <w:tcPr>
            <w:tcW w:w="863" w:type="dxa"/>
            <w:vMerge/>
            <w:shd w:val="clear" w:color="auto" w:fill="FFFFFF"/>
          </w:tcPr>
          <w:p w14:paraId="24A89984" w14:textId="77777777" w:rsidR="000B4835" w:rsidRPr="00CF31E0" w:rsidRDefault="000B4835" w:rsidP="00603CB7">
            <w:pPr>
              <w:widowControl w:val="0"/>
              <w:autoSpaceDE w:val="0"/>
              <w:autoSpaceDN w:val="0"/>
              <w:adjustRightInd w:val="0"/>
              <w:spacing w:line="276" w:lineRule="auto"/>
              <w:jc w:val="both"/>
              <w:rPr>
                <w:rFonts w:eastAsia="Calibri"/>
                <w:color w:val="000000" w:themeColor="text1"/>
                <w:sz w:val="22"/>
                <w:szCs w:val="22"/>
                <w:lang w:eastAsia="en-US"/>
              </w:rPr>
            </w:pPr>
          </w:p>
        </w:tc>
        <w:tc>
          <w:tcPr>
            <w:tcW w:w="850" w:type="dxa"/>
            <w:shd w:val="clear" w:color="auto" w:fill="FFFFFF"/>
          </w:tcPr>
          <w:p w14:paraId="731624CE" w14:textId="77777777" w:rsidR="000B4835" w:rsidRPr="00CF31E0" w:rsidRDefault="000B4835" w:rsidP="00603CB7">
            <w:pPr>
              <w:widowControl w:val="0"/>
              <w:autoSpaceDE w:val="0"/>
              <w:autoSpaceDN w:val="0"/>
              <w:adjustRightInd w:val="0"/>
              <w:spacing w:line="276"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5</w:t>
            </w:r>
          </w:p>
        </w:tc>
        <w:tc>
          <w:tcPr>
            <w:tcW w:w="1823" w:type="dxa"/>
            <w:shd w:val="clear" w:color="auto" w:fill="FFFFFF"/>
            <w:vAlign w:val="center"/>
          </w:tcPr>
          <w:p w14:paraId="338EFA75"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-1.576</w:t>
            </w:r>
            <w:r w:rsidRPr="00CF31E0">
              <w:rPr>
                <w:rFonts w:eastAsia="Calibri"/>
                <w:color w:val="000000" w:themeColor="text1"/>
                <w:sz w:val="22"/>
                <w:szCs w:val="22"/>
                <w:vertAlign w:val="superscript"/>
                <w:lang w:eastAsia="en-US"/>
              </w:rPr>
              <w:t>*</w:t>
            </w:r>
          </w:p>
        </w:tc>
        <w:tc>
          <w:tcPr>
            <w:tcW w:w="1149" w:type="dxa"/>
            <w:shd w:val="clear" w:color="auto" w:fill="FFFFFF"/>
            <w:vAlign w:val="center"/>
          </w:tcPr>
          <w:p w14:paraId="0F2B2B81"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.072</w:t>
            </w:r>
          </w:p>
        </w:tc>
        <w:tc>
          <w:tcPr>
            <w:tcW w:w="856" w:type="dxa"/>
            <w:shd w:val="clear" w:color="auto" w:fill="FFFFFF"/>
            <w:vAlign w:val="center"/>
          </w:tcPr>
          <w:p w14:paraId="0630B4E8"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77" w:type="dxa"/>
            <w:shd w:val="clear" w:color="auto" w:fill="FFFFFF"/>
            <w:vAlign w:val="center"/>
          </w:tcPr>
          <w:p w14:paraId="1598CEDF"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-1.780</w:t>
            </w:r>
          </w:p>
        </w:tc>
        <w:tc>
          <w:tcPr>
            <w:tcW w:w="878" w:type="dxa"/>
            <w:shd w:val="clear" w:color="auto" w:fill="FFFFFF"/>
            <w:vAlign w:val="center"/>
          </w:tcPr>
          <w:p w14:paraId="22450965" w14:textId="17A95E15"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-1.373</w:t>
            </w:r>
          </w:p>
        </w:tc>
      </w:tr>
      <w:tr w:rsidR="007F558A" w:rsidRPr="00CF31E0" w14:paraId="239EC65B" w14:textId="77777777" w:rsidTr="00603CB7">
        <w:trPr>
          <w:cantSplit/>
        </w:trPr>
        <w:tc>
          <w:tcPr>
            <w:tcW w:w="863" w:type="dxa"/>
            <w:vMerge w:val="restart"/>
            <w:shd w:val="clear" w:color="auto" w:fill="FFFFFF"/>
          </w:tcPr>
          <w:p w14:paraId="2F793384" w14:textId="77777777" w:rsidR="000B4835" w:rsidRPr="00CF31E0" w:rsidRDefault="000B4835" w:rsidP="00603CB7">
            <w:pPr>
              <w:widowControl w:val="0"/>
              <w:autoSpaceDE w:val="0"/>
              <w:autoSpaceDN w:val="0"/>
              <w:adjustRightInd w:val="0"/>
              <w:spacing w:line="276"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4</w:t>
            </w:r>
          </w:p>
        </w:tc>
        <w:tc>
          <w:tcPr>
            <w:tcW w:w="850" w:type="dxa"/>
            <w:shd w:val="clear" w:color="auto" w:fill="FFFFFF"/>
          </w:tcPr>
          <w:p w14:paraId="57BA129D" w14:textId="77777777" w:rsidR="000B4835" w:rsidRPr="00CF31E0" w:rsidRDefault="000B4835" w:rsidP="00603CB7">
            <w:pPr>
              <w:widowControl w:val="0"/>
              <w:autoSpaceDE w:val="0"/>
              <w:autoSpaceDN w:val="0"/>
              <w:adjustRightInd w:val="0"/>
              <w:spacing w:line="276"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w:t>
            </w:r>
          </w:p>
        </w:tc>
        <w:tc>
          <w:tcPr>
            <w:tcW w:w="1823" w:type="dxa"/>
            <w:shd w:val="clear" w:color="auto" w:fill="FFFFFF"/>
            <w:vAlign w:val="center"/>
          </w:tcPr>
          <w:p w14:paraId="1868EBB3"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1.253</w:t>
            </w:r>
            <w:r w:rsidRPr="00CF31E0">
              <w:rPr>
                <w:rFonts w:eastAsia="Calibri"/>
                <w:color w:val="000000" w:themeColor="text1"/>
                <w:sz w:val="22"/>
                <w:szCs w:val="22"/>
                <w:vertAlign w:val="superscript"/>
                <w:lang w:eastAsia="en-US"/>
              </w:rPr>
              <w:t>*</w:t>
            </w:r>
          </w:p>
        </w:tc>
        <w:tc>
          <w:tcPr>
            <w:tcW w:w="1149" w:type="dxa"/>
            <w:shd w:val="clear" w:color="auto" w:fill="FFFFFF"/>
            <w:vAlign w:val="center"/>
          </w:tcPr>
          <w:p w14:paraId="0C2703A1"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.066</w:t>
            </w:r>
          </w:p>
        </w:tc>
        <w:tc>
          <w:tcPr>
            <w:tcW w:w="856" w:type="dxa"/>
            <w:shd w:val="clear" w:color="auto" w:fill="FFFFFF"/>
            <w:vAlign w:val="center"/>
          </w:tcPr>
          <w:p w14:paraId="4FC2E38C"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77" w:type="dxa"/>
            <w:shd w:val="clear" w:color="auto" w:fill="FFFFFF"/>
            <w:vAlign w:val="center"/>
          </w:tcPr>
          <w:p w14:paraId="02A04436"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1.067</w:t>
            </w:r>
          </w:p>
        </w:tc>
        <w:tc>
          <w:tcPr>
            <w:tcW w:w="878" w:type="dxa"/>
            <w:shd w:val="clear" w:color="auto" w:fill="FFFFFF"/>
            <w:vAlign w:val="center"/>
          </w:tcPr>
          <w:p w14:paraId="596570A1" w14:textId="2EC73A0F"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1.438</w:t>
            </w:r>
          </w:p>
        </w:tc>
      </w:tr>
      <w:tr w:rsidR="007F558A" w:rsidRPr="00CF31E0" w14:paraId="3342DB09" w14:textId="77777777" w:rsidTr="00603CB7">
        <w:trPr>
          <w:cantSplit/>
        </w:trPr>
        <w:tc>
          <w:tcPr>
            <w:tcW w:w="863" w:type="dxa"/>
            <w:vMerge/>
            <w:shd w:val="clear" w:color="auto" w:fill="FFFFFF"/>
          </w:tcPr>
          <w:p w14:paraId="1D2C50D3" w14:textId="77777777" w:rsidR="000B4835" w:rsidRPr="00CF31E0" w:rsidRDefault="000B4835" w:rsidP="00603CB7">
            <w:pPr>
              <w:widowControl w:val="0"/>
              <w:autoSpaceDE w:val="0"/>
              <w:autoSpaceDN w:val="0"/>
              <w:adjustRightInd w:val="0"/>
              <w:spacing w:line="276" w:lineRule="auto"/>
              <w:jc w:val="both"/>
              <w:rPr>
                <w:rFonts w:eastAsia="Calibri"/>
                <w:color w:val="000000" w:themeColor="text1"/>
                <w:sz w:val="22"/>
                <w:szCs w:val="22"/>
                <w:lang w:eastAsia="en-US"/>
              </w:rPr>
            </w:pPr>
          </w:p>
        </w:tc>
        <w:tc>
          <w:tcPr>
            <w:tcW w:w="850" w:type="dxa"/>
            <w:shd w:val="clear" w:color="auto" w:fill="FFFFFF"/>
          </w:tcPr>
          <w:p w14:paraId="4825783B" w14:textId="77777777" w:rsidR="000B4835" w:rsidRPr="00CF31E0" w:rsidRDefault="000B4835" w:rsidP="00603CB7">
            <w:pPr>
              <w:widowControl w:val="0"/>
              <w:autoSpaceDE w:val="0"/>
              <w:autoSpaceDN w:val="0"/>
              <w:adjustRightInd w:val="0"/>
              <w:spacing w:line="276"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2</w:t>
            </w:r>
          </w:p>
        </w:tc>
        <w:tc>
          <w:tcPr>
            <w:tcW w:w="1823" w:type="dxa"/>
            <w:shd w:val="clear" w:color="auto" w:fill="FFFFFF"/>
            <w:vAlign w:val="center"/>
          </w:tcPr>
          <w:p w14:paraId="60825782"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.559</w:t>
            </w:r>
            <w:r w:rsidRPr="00CF31E0">
              <w:rPr>
                <w:rFonts w:eastAsia="Calibri"/>
                <w:color w:val="000000" w:themeColor="text1"/>
                <w:sz w:val="22"/>
                <w:szCs w:val="22"/>
                <w:vertAlign w:val="superscript"/>
                <w:lang w:eastAsia="en-US"/>
              </w:rPr>
              <w:t>*</w:t>
            </w:r>
          </w:p>
        </w:tc>
        <w:tc>
          <w:tcPr>
            <w:tcW w:w="1149" w:type="dxa"/>
            <w:shd w:val="clear" w:color="auto" w:fill="FFFFFF"/>
            <w:vAlign w:val="center"/>
          </w:tcPr>
          <w:p w14:paraId="0363FB89"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.058</w:t>
            </w:r>
          </w:p>
        </w:tc>
        <w:tc>
          <w:tcPr>
            <w:tcW w:w="856" w:type="dxa"/>
            <w:shd w:val="clear" w:color="auto" w:fill="FFFFFF"/>
            <w:vAlign w:val="center"/>
          </w:tcPr>
          <w:p w14:paraId="2DB55A10"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77" w:type="dxa"/>
            <w:shd w:val="clear" w:color="auto" w:fill="FFFFFF"/>
            <w:vAlign w:val="center"/>
          </w:tcPr>
          <w:p w14:paraId="214CE07F"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.397</w:t>
            </w:r>
          </w:p>
        </w:tc>
        <w:tc>
          <w:tcPr>
            <w:tcW w:w="878" w:type="dxa"/>
            <w:shd w:val="clear" w:color="auto" w:fill="FFFFFF"/>
            <w:vAlign w:val="center"/>
          </w:tcPr>
          <w:p w14:paraId="1D4D22F5" w14:textId="63987EA0"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.721</w:t>
            </w:r>
          </w:p>
        </w:tc>
      </w:tr>
      <w:tr w:rsidR="007F558A" w:rsidRPr="00CF31E0" w14:paraId="4813B8D1" w14:textId="77777777" w:rsidTr="00603CB7">
        <w:trPr>
          <w:cantSplit/>
        </w:trPr>
        <w:tc>
          <w:tcPr>
            <w:tcW w:w="863" w:type="dxa"/>
            <w:vMerge/>
            <w:shd w:val="clear" w:color="auto" w:fill="FFFFFF"/>
          </w:tcPr>
          <w:p w14:paraId="26D9AD6E" w14:textId="77777777" w:rsidR="000B4835" w:rsidRPr="00CF31E0" w:rsidRDefault="000B4835" w:rsidP="00603CB7">
            <w:pPr>
              <w:widowControl w:val="0"/>
              <w:autoSpaceDE w:val="0"/>
              <w:autoSpaceDN w:val="0"/>
              <w:adjustRightInd w:val="0"/>
              <w:spacing w:line="276" w:lineRule="auto"/>
              <w:jc w:val="both"/>
              <w:rPr>
                <w:rFonts w:eastAsia="Calibri"/>
                <w:color w:val="000000" w:themeColor="text1"/>
                <w:sz w:val="22"/>
                <w:szCs w:val="22"/>
                <w:lang w:eastAsia="en-US"/>
              </w:rPr>
            </w:pPr>
          </w:p>
        </w:tc>
        <w:tc>
          <w:tcPr>
            <w:tcW w:w="850" w:type="dxa"/>
            <w:shd w:val="clear" w:color="auto" w:fill="FFFFFF"/>
          </w:tcPr>
          <w:p w14:paraId="07DF218B" w14:textId="77777777" w:rsidR="000B4835" w:rsidRPr="00CF31E0" w:rsidRDefault="000B4835" w:rsidP="00603CB7">
            <w:pPr>
              <w:widowControl w:val="0"/>
              <w:autoSpaceDE w:val="0"/>
              <w:autoSpaceDN w:val="0"/>
              <w:adjustRightInd w:val="0"/>
              <w:spacing w:line="276"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3</w:t>
            </w:r>
          </w:p>
        </w:tc>
        <w:tc>
          <w:tcPr>
            <w:tcW w:w="1823" w:type="dxa"/>
            <w:shd w:val="clear" w:color="auto" w:fill="FFFFFF"/>
            <w:vAlign w:val="center"/>
          </w:tcPr>
          <w:p w14:paraId="1616770A"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1.604</w:t>
            </w:r>
            <w:r w:rsidRPr="00CF31E0">
              <w:rPr>
                <w:rFonts w:eastAsia="Calibri"/>
                <w:color w:val="000000" w:themeColor="text1"/>
                <w:sz w:val="22"/>
                <w:szCs w:val="22"/>
                <w:vertAlign w:val="superscript"/>
                <w:lang w:eastAsia="en-US"/>
              </w:rPr>
              <w:t>*</w:t>
            </w:r>
          </w:p>
        </w:tc>
        <w:tc>
          <w:tcPr>
            <w:tcW w:w="1149" w:type="dxa"/>
            <w:shd w:val="clear" w:color="auto" w:fill="FFFFFF"/>
            <w:vAlign w:val="center"/>
          </w:tcPr>
          <w:p w14:paraId="76E16E2E"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.070</w:t>
            </w:r>
          </w:p>
        </w:tc>
        <w:tc>
          <w:tcPr>
            <w:tcW w:w="856" w:type="dxa"/>
            <w:shd w:val="clear" w:color="auto" w:fill="FFFFFF"/>
            <w:vAlign w:val="center"/>
          </w:tcPr>
          <w:p w14:paraId="414CD9B7"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77" w:type="dxa"/>
            <w:shd w:val="clear" w:color="auto" w:fill="FFFFFF"/>
            <w:vAlign w:val="center"/>
          </w:tcPr>
          <w:p w14:paraId="3C4916D3"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1.408</w:t>
            </w:r>
          </w:p>
        </w:tc>
        <w:tc>
          <w:tcPr>
            <w:tcW w:w="878" w:type="dxa"/>
            <w:shd w:val="clear" w:color="auto" w:fill="FFFFFF"/>
            <w:vAlign w:val="center"/>
          </w:tcPr>
          <w:p w14:paraId="5AFD7238" w14:textId="0DF8D695"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1.800</w:t>
            </w:r>
          </w:p>
        </w:tc>
      </w:tr>
      <w:tr w:rsidR="007F558A" w:rsidRPr="00CF31E0" w14:paraId="2235791A" w14:textId="77777777" w:rsidTr="00603CB7">
        <w:trPr>
          <w:cantSplit/>
        </w:trPr>
        <w:tc>
          <w:tcPr>
            <w:tcW w:w="863" w:type="dxa"/>
            <w:vMerge/>
            <w:shd w:val="clear" w:color="auto" w:fill="FFFFFF"/>
          </w:tcPr>
          <w:p w14:paraId="37A60809" w14:textId="77777777" w:rsidR="000B4835" w:rsidRPr="00CF31E0" w:rsidRDefault="000B4835" w:rsidP="00603CB7">
            <w:pPr>
              <w:widowControl w:val="0"/>
              <w:autoSpaceDE w:val="0"/>
              <w:autoSpaceDN w:val="0"/>
              <w:adjustRightInd w:val="0"/>
              <w:spacing w:line="276" w:lineRule="auto"/>
              <w:jc w:val="both"/>
              <w:rPr>
                <w:rFonts w:eastAsia="Calibri"/>
                <w:color w:val="000000" w:themeColor="text1"/>
                <w:sz w:val="22"/>
                <w:szCs w:val="22"/>
                <w:lang w:eastAsia="en-US"/>
              </w:rPr>
            </w:pPr>
          </w:p>
        </w:tc>
        <w:tc>
          <w:tcPr>
            <w:tcW w:w="850" w:type="dxa"/>
            <w:shd w:val="clear" w:color="auto" w:fill="FFFFFF"/>
          </w:tcPr>
          <w:p w14:paraId="778F2080" w14:textId="77777777" w:rsidR="000B4835" w:rsidRPr="00CF31E0" w:rsidRDefault="000B4835" w:rsidP="00603CB7">
            <w:pPr>
              <w:widowControl w:val="0"/>
              <w:autoSpaceDE w:val="0"/>
              <w:autoSpaceDN w:val="0"/>
              <w:adjustRightInd w:val="0"/>
              <w:spacing w:line="276"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5</w:t>
            </w:r>
          </w:p>
        </w:tc>
        <w:tc>
          <w:tcPr>
            <w:tcW w:w="1823" w:type="dxa"/>
            <w:shd w:val="clear" w:color="auto" w:fill="FFFFFF"/>
            <w:vAlign w:val="center"/>
          </w:tcPr>
          <w:p w14:paraId="48DEC988"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.028</w:t>
            </w:r>
          </w:p>
        </w:tc>
        <w:tc>
          <w:tcPr>
            <w:tcW w:w="1149" w:type="dxa"/>
            <w:shd w:val="clear" w:color="auto" w:fill="FFFFFF"/>
            <w:vAlign w:val="center"/>
          </w:tcPr>
          <w:p w14:paraId="25E649FD"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.057</w:t>
            </w:r>
          </w:p>
        </w:tc>
        <w:tc>
          <w:tcPr>
            <w:tcW w:w="856" w:type="dxa"/>
            <w:shd w:val="clear" w:color="auto" w:fill="FFFFFF"/>
            <w:vAlign w:val="center"/>
          </w:tcPr>
          <w:p w14:paraId="0EB131C0"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1.000</w:t>
            </w:r>
          </w:p>
        </w:tc>
        <w:tc>
          <w:tcPr>
            <w:tcW w:w="977" w:type="dxa"/>
            <w:shd w:val="clear" w:color="auto" w:fill="FFFFFF"/>
            <w:vAlign w:val="center"/>
          </w:tcPr>
          <w:p w14:paraId="3ECE4720"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-.132</w:t>
            </w:r>
          </w:p>
        </w:tc>
        <w:tc>
          <w:tcPr>
            <w:tcW w:w="878" w:type="dxa"/>
            <w:shd w:val="clear" w:color="auto" w:fill="FFFFFF"/>
            <w:vAlign w:val="center"/>
          </w:tcPr>
          <w:p w14:paraId="0A8B6F32" w14:textId="3CF09B9F"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.188</w:t>
            </w:r>
          </w:p>
        </w:tc>
      </w:tr>
      <w:tr w:rsidR="007F558A" w:rsidRPr="00CF31E0" w14:paraId="3325AC9C" w14:textId="77777777" w:rsidTr="00603CB7">
        <w:trPr>
          <w:cantSplit/>
        </w:trPr>
        <w:tc>
          <w:tcPr>
            <w:tcW w:w="863" w:type="dxa"/>
            <w:vMerge w:val="restart"/>
            <w:shd w:val="clear" w:color="auto" w:fill="FFFFFF"/>
          </w:tcPr>
          <w:p w14:paraId="7873AD2A" w14:textId="77777777" w:rsidR="000B4835" w:rsidRPr="00CF31E0" w:rsidRDefault="000B4835" w:rsidP="00603CB7">
            <w:pPr>
              <w:widowControl w:val="0"/>
              <w:autoSpaceDE w:val="0"/>
              <w:autoSpaceDN w:val="0"/>
              <w:adjustRightInd w:val="0"/>
              <w:spacing w:line="276"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5</w:t>
            </w:r>
          </w:p>
        </w:tc>
        <w:tc>
          <w:tcPr>
            <w:tcW w:w="850" w:type="dxa"/>
            <w:shd w:val="clear" w:color="auto" w:fill="FFFFFF"/>
          </w:tcPr>
          <w:p w14:paraId="08C7127B" w14:textId="77777777" w:rsidR="000B4835" w:rsidRPr="00CF31E0" w:rsidRDefault="000B4835" w:rsidP="00603CB7">
            <w:pPr>
              <w:widowControl w:val="0"/>
              <w:autoSpaceDE w:val="0"/>
              <w:autoSpaceDN w:val="0"/>
              <w:adjustRightInd w:val="0"/>
              <w:spacing w:line="276"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w:t>
            </w:r>
          </w:p>
        </w:tc>
        <w:tc>
          <w:tcPr>
            <w:tcW w:w="1823" w:type="dxa"/>
            <w:shd w:val="clear" w:color="auto" w:fill="FFFFFF"/>
            <w:vAlign w:val="center"/>
          </w:tcPr>
          <w:p w14:paraId="581CB3A7"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1.225</w:t>
            </w:r>
            <w:r w:rsidRPr="00CF31E0">
              <w:rPr>
                <w:rFonts w:eastAsia="Calibri"/>
                <w:color w:val="000000" w:themeColor="text1"/>
                <w:sz w:val="22"/>
                <w:szCs w:val="22"/>
                <w:vertAlign w:val="superscript"/>
                <w:lang w:eastAsia="en-US"/>
              </w:rPr>
              <w:t>*</w:t>
            </w:r>
          </w:p>
        </w:tc>
        <w:tc>
          <w:tcPr>
            <w:tcW w:w="1149" w:type="dxa"/>
            <w:shd w:val="clear" w:color="auto" w:fill="FFFFFF"/>
            <w:vAlign w:val="center"/>
          </w:tcPr>
          <w:p w14:paraId="6024E5A2"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.067</w:t>
            </w:r>
          </w:p>
        </w:tc>
        <w:tc>
          <w:tcPr>
            <w:tcW w:w="856" w:type="dxa"/>
            <w:shd w:val="clear" w:color="auto" w:fill="FFFFFF"/>
            <w:vAlign w:val="center"/>
          </w:tcPr>
          <w:p w14:paraId="028A5B23"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77" w:type="dxa"/>
            <w:shd w:val="clear" w:color="auto" w:fill="FFFFFF"/>
            <w:vAlign w:val="center"/>
          </w:tcPr>
          <w:p w14:paraId="10D6F4AE"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1.038</w:t>
            </w:r>
          </w:p>
        </w:tc>
        <w:tc>
          <w:tcPr>
            <w:tcW w:w="878" w:type="dxa"/>
            <w:shd w:val="clear" w:color="auto" w:fill="FFFFFF"/>
            <w:vAlign w:val="center"/>
          </w:tcPr>
          <w:p w14:paraId="21757C13" w14:textId="53626D2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1.412</w:t>
            </w:r>
          </w:p>
        </w:tc>
      </w:tr>
      <w:tr w:rsidR="007F558A" w:rsidRPr="00CF31E0" w14:paraId="3BF4CED8" w14:textId="77777777" w:rsidTr="00603CB7">
        <w:trPr>
          <w:cantSplit/>
        </w:trPr>
        <w:tc>
          <w:tcPr>
            <w:tcW w:w="863" w:type="dxa"/>
            <w:vMerge/>
            <w:shd w:val="clear" w:color="auto" w:fill="FFFFFF"/>
          </w:tcPr>
          <w:p w14:paraId="475BAFFE" w14:textId="77777777" w:rsidR="000B4835" w:rsidRPr="00CF31E0" w:rsidRDefault="000B4835" w:rsidP="00603CB7">
            <w:pPr>
              <w:widowControl w:val="0"/>
              <w:autoSpaceDE w:val="0"/>
              <w:autoSpaceDN w:val="0"/>
              <w:adjustRightInd w:val="0"/>
              <w:spacing w:line="276" w:lineRule="auto"/>
              <w:jc w:val="both"/>
              <w:rPr>
                <w:rFonts w:eastAsia="Calibri"/>
                <w:color w:val="000000" w:themeColor="text1"/>
                <w:sz w:val="22"/>
                <w:szCs w:val="22"/>
                <w:lang w:eastAsia="en-US"/>
              </w:rPr>
            </w:pPr>
          </w:p>
        </w:tc>
        <w:tc>
          <w:tcPr>
            <w:tcW w:w="850" w:type="dxa"/>
            <w:shd w:val="clear" w:color="auto" w:fill="FFFFFF"/>
          </w:tcPr>
          <w:p w14:paraId="237B7C84" w14:textId="77777777" w:rsidR="000B4835" w:rsidRPr="00CF31E0" w:rsidRDefault="000B4835" w:rsidP="00603CB7">
            <w:pPr>
              <w:widowControl w:val="0"/>
              <w:autoSpaceDE w:val="0"/>
              <w:autoSpaceDN w:val="0"/>
              <w:adjustRightInd w:val="0"/>
              <w:spacing w:line="276"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2</w:t>
            </w:r>
          </w:p>
        </w:tc>
        <w:tc>
          <w:tcPr>
            <w:tcW w:w="1823" w:type="dxa"/>
            <w:shd w:val="clear" w:color="auto" w:fill="FFFFFF"/>
            <w:vAlign w:val="center"/>
          </w:tcPr>
          <w:p w14:paraId="5364943E"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.532</w:t>
            </w:r>
            <w:r w:rsidRPr="00CF31E0">
              <w:rPr>
                <w:rFonts w:eastAsia="Calibri"/>
                <w:color w:val="000000" w:themeColor="text1"/>
                <w:sz w:val="22"/>
                <w:szCs w:val="22"/>
                <w:vertAlign w:val="superscript"/>
                <w:lang w:eastAsia="en-US"/>
              </w:rPr>
              <w:t>*</w:t>
            </w:r>
          </w:p>
        </w:tc>
        <w:tc>
          <w:tcPr>
            <w:tcW w:w="1149" w:type="dxa"/>
            <w:shd w:val="clear" w:color="auto" w:fill="FFFFFF"/>
            <w:vAlign w:val="center"/>
          </w:tcPr>
          <w:p w14:paraId="5497E284"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.067</w:t>
            </w:r>
          </w:p>
        </w:tc>
        <w:tc>
          <w:tcPr>
            <w:tcW w:w="856" w:type="dxa"/>
            <w:shd w:val="clear" w:color="auto" w:fill="FFFFFF"/>
            <w:vAlign w:val="center"/>
          </w:tcPr>
          <w:p w14:paraId="61D9D38B"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77" w:type="dxa"/>
            <w:shd w:val="clear" w:color="auto" w:fill="FFFFFF"/>
            <w:vAlign w:val="center"/>
          </w:tcPr>
          <w:p w14:paraId="7C95636B"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.343</w:t>
            </w:r>
          </w:p>
        </w:tc>
        <w:tc>
          <w:tcPr>
            <w:tcW w:w="878" w:type="dxa"/>
            <w:shd w:val="clear" w:color="auto" w:fill="FFFFFF"/>
            <w:vAlign w:val="center"/>
          </w:tcPr>
          <w:p w14:paraId="0A13FD9B" w14:textId="5162E222"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.720</w:t>
            </w:r>
          </w:p>
        </w:tc>
      </w:tr>
      <w:tr w:rsidR="007F558A" w:rsidRPr="00CF31E0" w14:paraId="24A94A44" w14:textId="77777777" w:rsidTr="00603CB7">
        <w:trPr>
          <w:cantSplit/>
        </w:trPr>
        <w:tc>
          <w:tcPr>
            <w:tcW w:w="863" w:type="dxa"/>
            <w:vMerge/>
            <w:shd w:val="clear" w:color="auto" w:fill="FFFFFF"/>
          </w:tcPr>
          <w:p w14:paraId="39AFFC67" w14:textId="77777777" w:rsidR="000B4835" w:rsidRPr="00CF31E0" w:rsidRDefault="000B4835" w:rsidP="00603CB7">
            <w:pPr>
              <w:widowControl w:val="0"/>
              <w:autoSpaceDE w:val="0"/>
              <w:autoSpaceDN w:val="0"/>
              <w:adjustRightInd w:val="0"/>
              <w:spacing w:line="276" w:lineRule="auto"/>
              <w:jc w:val="both"/>
              <w:rPr>
                <w:rFonts w:eastAsia="Calibri"/>
                <w:color w:val="000000" w:themeColor="text1"/>
                <w:sz w:val="22"/>
                <w:szCs w:val="22"/>
                <w:lang w:eastAsia="en-US"/>
              </w:rPr>
            </w:pPr>
          </w:p>
        </w:tc>
        <w:tc>
          <w:tcPr>
            <w:tcW w:w="850" w:type="dxa"/>
            <w:shd w:val="clear" w:color="auto" w:fill="FFFFFF"/>
          </w:tcPr>
          <w:p w14:paraId="2F72BD48" w14:textId="77777777" w:rsidR="000B4835" w:rsidRPr="00CF31E0" w:rsidRDefault="000B4835" w:rsidP="00603CB7">
            <w:pPr>
              <w:widowControl w:val="0"/>
              <w:autoSpaceDE w:val="0"/>
              <w:autoSpaceDN w:val="0"/>
              <w:adjustRightInd w:val="0"/>
              <w:spacing w:line="276"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3</w:t>
            </w:r>
          </w:p>
        </w:tc>
        <w:tc>
          <w:tcPr>
            <w:tcW w:w="1823" w:type="dxa"/>
            <w:shd w:val="clear" w:color="auto" w:fill="FFFFFF"/>
            <w:vAlign w:val="center"/>
          </w:tcPr>
          <w:p w14:paraId="5FD44008"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1.576</w:t>
            </w:r>
            <w:r w:rsidRPr="00CF31E0">
              <w:rPr>
                <w:rFonts w:eastAsia="Calibri"/>
                <w:color w:val="000000" w:themeColor="text1"/>
                <w:sz w:val="22"/>
                <w:szCs w:val="22"/>
                <w:vertAlign w:val="superscript"/>
                <w:lang w:eastAsia="en-US"/>
              </w:rPr>
              <w:t>*</w:t>
            </w:r>
          </w:p>
        </w:tc>
        <w:tc>
          <w:tcPr>
            <w:tcW w:w="1149" w:type="dxa"/>
            <w:shd w:val="clear" w:color="auto" w:fill="FFFFFF"/>
            <w:vAlign w:val="center"/>
          </w:tcPr>
          <w:p w14:paraId="6CA95AAE"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.072</w:t>
            </w:r>
          </w:p>
        </w:tc>
        <w:tc>
          <w:tcPr>
            <w:tcW w:w="856" w:type="dxa"/>
            <w:shd w:val="clear" w:color="auto" w:fill="FFFFFF"/>
            <w:vAlign w:val="center"/>
          </w:tcPr>
          <w:p w14:paraId="3808B501"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77" w:type="dxa"/>
            <w:shd w:val="clear" w:color="auto" w:fill="FFFFFF"/>
            <w:vAlign w:val="center"/>
          </w:tcPr>
          <w:p w14:paraId="4114C181"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1.373</w:t>
            </w:r>
          </w:p>
        </w:tc>
        <w:tc>
          <w:tcPr>
            <w:tcW w:w="878" w:type="dxa"/>
            <w:shd w:val="clear" w:color="auto" w:fill="FFFFFF"/>
            <w:vAlign w:val="center"/>
          </w:tcPr>
          <w:p w14:paraId="5450390B" w14:textId="47B24B39"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1.780</w:t>
            </w:r>
          </w:p>
        </w:tc>
      </w:tr>
      <w:tr w:rsidR="007F558A" w:rsidRPr="00CF31E0" w14:paraId="7FA9459F" w14:textId="77777777" w:rsidTr="00603CB7">
        <w:trPr>
          <w:cantSplit/>
        </w:trPr>
        <w:tc>
          <w:tcPr>
            <w:tcW w:w="863" w:type="dxa"/>
            <w:vMerge/>
            <w:shd w:val="clear" w:color="auto" w:fill="FFFFFF"/>
          </w:tcPr>
          <w:p w14:paraId="0D92E26E" w14:textId="77777777" w:rsidR="000B4835" w:rsidRPr="00CF31E0" w:rsidRDefault="000B4835" w:rsidP="00603CB7">
            <w:pPr>
              <w:widowControl w:val="0"/>
              <w:autoSpaceDE w:val="0"/>
              <w:autoSpaceDN w:val="0"/>
              <w:adjustRightInd w:val="0"/>
              <w:spacing w:line="276" w:lineRule="auto"/>
              <w:jc w:val="both"/>
              <w:rPr>
                <w:rFonts w:eastAsia="Calibri"/>
                <w:color w:val="000000" w:themeColor="text1"/>
                <w:sz w:val="22"/>
                <w:szCs w:val="22"/>
                <w:lang w:eastAsia="en-US"/>
              </w:rPr>
            </w:pPr>
          </w:p>
        </w:tc>
        <w:tc>
          <w:tcPr>
            <w:tcW w:w="850" w:type="dxa"/>
            <w:shd w:val="clear" w:color="auto" w:fill="FFFFFF"/>
          </w:tcPr>
          <w:p w14:paraId="570553A0" w14:textId="77777777" w:rsidR="000B4835" w:rsidRPr="00CF31E0" w:rsidRDefault="000B4835" w:rsidP="00603CB7">
            <w:pPr>
              <w:widowControl w:val="0"/>
              <w:autoSpaceDE w:val="0"/>
              <w:autoSpaceDN w:val="0"/>
              <w:adjustRightInd w:val="0"/>
              <w:spacing w:line="276"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4</w:t>
            </w:r>
          </w:p>
        </w:tc>
        <w:tc>
          <w:tcPr>
            <w:tcW w:w="1823" w:type="dxa"/>
            <w:shd w:val="clear" w:color="auto" w:fill="FFFFFF"/>
            <w:vAlign w:val="center"/>
          </w:tcPr>
          <w:p w14:paraId="02660DC6"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-.028</w:t>
            </w:r>
          </w:p>
        </w:tc>
        <w:tc>
          <w:tcPr>
            <w:tcW w:w="1149" w:type="dxa"/>
            <w:shd w:val="clear" w:color="auto" w:fill="FFFFFF"/>
            <w:vAlign w:val="center"/>
          </w:tcPr>
          <w:p w14:paraId="202B26F2"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.057</w:t>
            </w:r>
          </w:p>
        </w:tc>
        <w:tc>
          <w:tcPr>
            <w:tcW w:w="856" w:type="dxa"/>
            <w:shd w:val="clear" w:color="auto" w:fill="FFFFFF"/>
            <w:vAlign w:val="center"/>
          </w:tcPr>
          <w:p w14:paraId="3281C65E"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1.000</w:t>
            </w:r>
          </w:p>
        </w:tc>
        <w:tc>
          <w:tcPr>
            <w:tcW w:w="977" w:type="dxa"/>
            <w:shd w:val="clear" w:color="auto" w:fill="FFFFFF"/>
            <w:vAlign w:val="center"/>
          </w:tcPr>
          <w:p w14:paraId="37A3D453" w14:textId="77777777"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-.188</w:t>
            </w:r>
          </w:p>
        </w:tc>
        <w:tc>
          <w:tcPr>
            <w:tcW w:w="878" w:type="dxa"/>
            <w:shd w:val="clear" w:color="auto" w:fill="FFFFFF"/>
            <w:vAlign w:val="center"/>
          </w:tcPr>
          <w:p w14:paraId="23153544" w14:textId="0BF73F5A" w:rsidR="000B4835" w:rsidRPr="00CF31E0" w:rsidRDefault="000B4835" w:rsidP="00603CB7">
            <w:pPr>
              <w:widowControl w:val="0"/>
              <w:autoSpaceDE w:val="0"/>
              <w:autoSpaceDN w:val="0"/>
              <w:adjustRightInd w:val="0"/>
              <w:spacing w:line="276"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.132</w:t>
            </w:r>
          </w:p>
        </w:tc>
      </w:tr>
    </w:tbl>
    <w:p w14:paraId="1BE0CF63" w14:textId="17117DD6" w:rsidR="000B4835" w:rsidRPr="00CF31E0" w:rsidRDefault="000B4835" w:rsidP="00F61455">
      <w:pPr>
        <w:pStyle w:val="Tablecaption"/>
        <w:rPr>
          <w:lang w:eastAsia="en-US"/>
        </w:rPr>
      </w:pPr>
      <w:bookmarkStart w:id="828" w:name="_Toc522527478"/>
      <w:bookmarkStart w:id="829" w:name="_Toc522628891"/>
      <w:bookmarkStart w:id="830" w:name="_Toc522629055"/>
      <w:bookmarkStart w:id="831" w:name="_Toc6473153"/>
      <w:r w:rsidRPr="00CF31E0">
        <w:rPr>
          <w:lang w:eastAsia="en-US"/>
        </w:rPr>
        <w:t>Table</w:t>
      </w:r>
      <w:r w:rsidR="00992222" w:rsidRPr="00CF31E0">
        <w:rPr>
          <w:lang w:eastAsia="en-US"/>
        </w:rPr>
        <w:t xml:space="preserve"> </w:t>
      </w:r>
      <w:r w:rsidR="00F61455" w:rsidRPr="00CF31E0">
        <w:rPr>
          <w:lang w:eastAsia="en-US"/>
        </w:rPr>
        <w:t>11</w:t>
      </w:r>
      <w:r w:rsidR="00992222" w:rsidRPr="00CF31E0">
        <w:rPr>
          <w:lang w:eastAsia="en-US"/>
        </w:rPr>
        <w:t>.</w:t>
      </w:r>
      <w:r w:rsidR="00F61455" w:rsidRPr="00CF31E0">
        <w:rPr>
          <w:lang w:eastAsia="en-US"/>
        </w:rPr>
        <w:t>15</w:t>
      </w:r>
      <w:r w:rsidR="00992222" w:rsidRPr="00CF31E0">
        <w:rPr>
          <w:lang w:eastAsia="en-US"/>
        </w:rPr>
        <w:t xml:space="preserve">: </w:t>
      </w:r>
      <w:r w:rsidRPr="00CF31E0">
        <w:rPr>
          <w:lang w:eastAsia="en-US"/>
        </w:rPr>
        <w:t xml:space="preserve">Post-hoc test results for </w:t>
      </w:r>
      <w:r w:rsidRPr="00CF31E0">
        <w:rPr>
          <w:i/>
          <w:iCs/>
          <w:lang w:eastAsia="en-US"/>
        </w:rPr>
        <w:t>serious</w:t>
      </w:r>
      <w:r w:rsidRPr="00CF31E0">
        <w:rPr>
          <w:lang w:eastAsia="en-US"/>
        </w:rPr>
        <w:t xml:space="preserve"> characteristic across </w:t>
      </w:r>
      <w:r w:rsidR="007F2617">
        <w:rPr>
          <w:lang w:eastAsia="en-US"/>
        </w:rPr>
        <w:t xml:space="preserve">the </w:t>
      </w:r>
      <w:r w:rsidRPr="00CF31E0">
        <w:rPr>
          <w:lang w:eastAsia="en-US"/>
        </w:rPr>
        <w:t>samples</w:t>
      </w:r>
      <w:r w:rsidR="00992222" w:rsidRPr="00CF31E0">
        <w:rPr>
          <w:lang w:eastAsia="en-US"/>
        </w:rPr>
        <w:t>.</w:t>
      </w:r>
      <w:bookmarkEnd w:id="828"/>
      <w:bookmarkEnd w:id="829"/>
      <w:bookmarkEnd w:id="830"/>
      <w:bookmarkEnd w:id="831"/>
    </w:p>
    <w:p w14:paraId="3A717AB9" w14:textId="2C6D9775" w:rsidR="0055355E" w:rsidRPr="00F50E67" w:rsidRDefault="000B4835" w:rsidP="00F50E67">
      <w:pPr>
        <w:pStyle w:val="Paragraph"/>
        <w:rPr>
          <w:lang w:eastAsia="en-US"/>
        </w:rPr>
      </w:pPr>
      <w:r w:rsidRPr="00CF31E0">
        <w:rPr>
          <w:lang w:eastAsia="en-US"/>
        </w:rPr>
        <w:t>Table</w:t>
      </w:r>
      <w:r w:rsidR="00992222" w:rsidRPr="00CF31E0">
        <w:rPr>
          <w:lang w:eastAsia="en-US"/>
        </w:rPr>
        <w:t xml:space="preserve"> </w:t>
      </w:r>
      <w:r w:rsidR="00F61455" w:rsidRPr="00CF31E0">
        <w:rPr>
          <w:lang w:eastAsia="en-US"/>
        </w:rPr>
        <w:t>11</w:t>
      </w:r>
      <w:r w:rsidR="00992222" w:rsidRPr="00CF31E0">
        <w:rPr>
          <w:lang w:eastAsia="en-US"/>
        </w:rPr>
        <w:t>.</w:t>
      </w:r>
      <w:r w:rsidR="00F61455" w:rsidRPr="00CF31E0">
        <w:rPr>
          <w:lang w:eastAsia="en-US"/>
        </w:rPr>
        <w:t xml:space="preserve">15 </w:t>
      </w:r>
      <w:r w:rsidRPr="00CF31E0">
        <w:rPr>
          <w:lang w:eastAsia="en-US"/>
        </w:rPr>
        <w:t xml:space="preserve">reveals that almost all of the voice sample ratings are different to each other, as shown in the column Sig in the above table. The only two similar rating scales are found between VS4 and 5. Table </w:t>
      </w:r>
      <w:r w:rsidR="00F61455" w:rsidRPr="00CF31E0">
        <w:rPr>
          <w:lang w:eastAsia="en-US"/>
        </w:rPr>
        <w:t>11</w:t>
      </w:r>
      <w:r w:rsidR="00992222" w:rsidRPr="00CF31E0">
        <w:rPr>
          <w:lang w:eastAsia="en-US"/>
        </w:rPr>
        <w:t>.</w:t>
      </w:r>
      <w:r w:rsidR="00F61455" w:rsidRPr="00CF31E0">
        <w:rPr>
          <w:lang w:eastAsia="en-US"/>
        </w:rPr>
        <w:t xml:space="preserve">16 </w:t>
      </w:r>
      <w:r w:rsidRPr="00CF31E0">
        <w:rPr>
          <w:lang w:eastAsia="en-US"/>
        </w:rPr>
        <w:t xml:space="preserve">provides more details about the mean scores of the serious scale across the samples. </w:t>
      </w:r>
    </w:p>
    <w:tbl>
      <w:tblPr>
        <w:tblpPr w:leftFromText="180" w:rightFromText="180" w:vertAnchor="text" w:horzAnchor="page" w:tblpX="2302" w:tblpY="83"/>
        <w:tblW w:w="723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889"/>
        <w:gridCol w:w="1889"/>
        <w:gridCol w:w="2176"/>
        <w:gridCol w:w="1276"/>
      </w:tblGrid>
      <w:tr w:rsidR="007F558A" w:rsidRPr="00CF31E0" w14:paraId="1D1752EA" w14:textId="77777777" w:rsidTr="00603CB7">
        <w:trPr>
          <w:cantSplit/>
          <w:trHeight w:val="698"/>
        </w:trPr>
        <w:tc>
          <w:tcPr>
            <w:tcW w:w="1889" w:type="dxa"/>
            <w:tcBorders>
              <w:top w:val="single" w:sz="4" w:space="0" w:color="auto"/>
              <w:bottom w:val="single" w:sz="4" w:space="0" w:color="auto"/>
            </w:tcBorders>
            <w:shd w:val="clear" w:color="auto" w:fill="FFFFFF"/>
          </w:tcPr>
          <w:p w14:paraId="2FC8A349" w14:textId="77777777" w:rsidR="000B4835" w:rsidRPr="00CF31E0" w:rsidRDefault="000B4835" w:rsidP="00603CB7">
            <w:pPr>
              <w:spacing w:before="120" w:after="120"/>
              <w:jc w:val="both"/>
              <w:rPr>
                <w:rFonts w:eastAsia="Calibri"/>
                <w:color w:val="000000" w:themeColor="text1"/>
                <w:sz w:val="22"/>
                <w:szCs w:val="22"/>
                <w:lang w:eastAsia="en-US"/>
              </w:rPr>
            </w:pPr>
          </w:p>
        </w:tc>
        <w:tc>
          <w:tcPr>
            <w:tcW w:w="1889" w:type="dxa"/>
            <w:tcBorders>
              <w:top w:val="single" w:sz="4" w:space="0" w:color="auto"/>
              <w:bottom w:val="single" w:sz="4" w:space="0" w:color="auto"/>
            </w:tcBorders>
            <w:shd w:val="clear" w:color="auto" w:fill="FFFFFF"/>
          </w:tcPr>
          <w:p w14:paraId="3F2CE3FD"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Mean</w:t>
            </w:r>
          </w:p>
        </w:tc>
        <w:tc>
          <w:tcPr>
            <w:tcW w:w="2176" w:type="dxa"/>
            <w:tcBorders>
              <w:top w:val="single" w:sz="4" w:space="0" w:color="auto"/>
              <w:bottom w:val="single" w:sz="4" w:space="0" w:color="auto"/>
            </w:tcBorders>
            <w:shd w:val="clear" w:color="auto" w:fill="FFFFFF"/>
          </w:tcPr>
          <w:p w14:paraId="38332ACA"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Std. Deviation</w:t>
            </w:r>
          </w:p>
        </w:tc>
        <w:tc>
          <w:tcPr>
            <w:tcW w:w="1276" w:type="dxa"/>
            <w:tcBorders>
              <w:top w:val="single" w:sz="4" w:space="0" w:color="auto"/>
              <w:bottom w:val="single" w:sz="4" w:space="0" w:color="auto"/>
            </w:tcBorders>
            <w:shd w:val="clear" w:color="auto" w:fill="FFFFFF"/>
          </w:tcPr>
          <w:p w14:paraId="1DFD64F8"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N</w:t>
            </w:r>
          </w:p>
        </w:tc>
      </w:tr>
      <w:tr w:rsidR="007F558A" w:rsidRPr="00CF31E0" w14:paraId="713A5E88" w14:textId="77777777" w:rsidTr="00603CB7">
        <w:trPr>
          <w:cantSplit/>
          <w:trHeight w:val="337"/>
        </w:trPr>
        <w:tc>
          <w:tcPr>
            <w:tcW w:w="1889" w:type="dxa"/>
            <w:tcBorders>
              <w:top w:val="single" w:sz="4" w:space="0" w:color="auto"/>
              <w:bottom w:val="nil"/>
            </w:tcBorders>
            <w:shd w:val="clear" w:color="auto" w:fill="FFFFFF"/>
          </w:tcPr>
          <w:p w14:paraId="22D4A62A" w14:textId="708B0682"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Serious</w:t>
            </w:r>
            <w:r w:rsidR="00FC19EB" w:rsidRPr="00CF31E0">
              <w:rPr>
                <w:rFonts w:eastAsia="Calibri"/>
                <w:color w:val="000000" w:themeColor="text1"/>
                <w:sz w:val="22"/>
                <w:szCs w:val="22"/>
                <w:lang w:eastAsia="en-US"/>
              </w:rPr>
              <w:t xml:space="preserve"> VS</w:t>
            </w:r>
            <w:r w:rsidRPr="00CF31E0">
              <w:rPr>
                <w:rFonts w:eastAsia="Calibri"/>
                <w:color w:val="000000" w:themeColor="text1"/>
                <w:sz w:val="22"/>
                <w:szCs w:val="22"/>
                <w:lang w:eastAsia="en-US"/>
              </w:rPr>
              <w:t>1</w:t>
            </w:r>
          </w:p>
        </w:tc>
        <w:tc>
          <w:tcPr>
            <w:tcW w:w="1889" w:type="dxa"/>
            <w:tcBorders>
              <w:top w:val="single" w:sz="4" w:space="0" w:color="auto"/>
              <w:bottom w:val="nil"/>
            </w:tcBorders>
            <w:shd w:val="clear" w:color="auto" w:fill="FFFFFF"/>
          </w:tcPr>
          <w:p w14:paraId="52F753DA"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2.0786</w:t>
            </w:r>
          </w:p>
        </w:tc>
        <w:tc>
          <w:tcPr>
            <w:tcW w:w="2176" w:type="dxa"/>
            <w:tcBorders>
              <w:top w:val="single" w:sz="4" w:space="0" w:color="auto"/>
              <w:bottom w:val="nil"/>
            </w:tcBorders>
            <w:shd w:val="clear" w:color="auto" w:fill="FFFFFF"/>
          </w:tcPr>
          <w:p w14:paraId="7558ADAE"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1.16732</w:t>
            </w:r>
          </w:p>
        </w:tc>
        <w:tc>
          <w:tcPr>
            <w:tcW w:w="1276" w:type="dxa"/>
            <w:tcBorders>
              <w:top w:val="single" w:sz="4" w:space="0" w:color="auto"/>
              <w:bottom w:val="nil"/>
            </w:tcBorders>
            <w:shd w:val="clear" w:color="auto" w:fill="FFFFFF"/>
          </w:tcPr>
          <w:p w14:paraId="660BE418"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649</w:t>
            </w:r>
          </w:p>
        </w:tc>
      </w:tr>
      <w:tr w:rsidR="007F558A" w:rsidRPr="00CF31E0" w14:paraId="4025ED74" w14:textId="77777777" w:rsidTr="00603CB7">
        <w:trPr>
          <w:cantSplit/>
          <w:trHeight w:val="348"/>
        </w:trPr>
        <w:tc>
          <w:tcPr>
            <w:tcW w:w="1889" w:type="dxa"/>
            <w:tcBorders>
              <w:top w:val="nil"/>
            </w:tcBorders>
            <w:shd w:val="clear" w:color="auto" w:fill="FFFFFF"/>
          </w:tcPr>
          <w:p w14:paraId="6749843C" w14:textId="40774D1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Serious</w:t>
            </w:r>
            <w:r w:rsidR="00FC19EB" w:rsidRPr="00CF31E0">
              <w:rPr>
                <w:rFonts w:eastAsia="Calibri"/>
                <w:color w:val="000000" w:themeColor="text1"/>
                <w:sz w:val="22"/>
                <w:szCs w:val="22"/>
                <w:lang w:eastAsia="en-US"/>
              </w:rPr>
              <w:t xml:space="preserve"> VS</w:t>
            </w:r>
            <w:r w:rsidRPr="00CF31E0">
              <w:rPr>
                <w:rFonts w:eastAsia="Calibri"/>
                <w:color w:val="000000" w:themeColor="text1"/>
                <w:sz w:val="22"/>
                <w:szCs w:val="22"/>
                <w:lang w:eastAsia="en-US"/>
              </w:rPr>
              <w:t>2</w:t>
            </w:r>
          </w:p>
        </w:tc>
        <w:tc>
          <w:tcPr>
            <w:tcW w:w="1889" w:type="dxa"/>
            <w:tcBorders>
              <w:top w:val="nil"/>
            </w:tcBorders>
            <w:shd w:val="clear" w:color="auto" w:fill="FFFFFF"/>
          </w:tcPr>
          <w:p w14:paraId="0A62E32B"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2.7720</w:t>
            </w:r>
          </w:p>
        </w:tc>
        <w:tc>
          <w:tcPr>
            <w:tcW w:w="2176" w:type="dxa"/>
            <w:tcBorders>
              <w:top w:val="nil"/>
            </w:tcBorders>
            <w:shd w:val="clear" w:color="auto" w:fill="FFFFFF"/>
          </w:tcPr>
          <w:p w14:paraId="0EB19548"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1.22616</w:t>
            </w:r>
          </w:p>
        </w:tc>
        <w:tc>
          <w:tcPr>
            <w:tcW w:w="1276" w:type="dxa"/>
            <w:tcBorders>
              <w:top w:val="nil"/>
            </w:tcBorders>
            <w:shd w:val="clear" w:color="auto" w:fill="FFFFFF"/>
          </w:tcPr>
          <w:p w14:paraId="4DB8A886"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649</w:t>
            </w:r>
          </w:p>
        </w:tc>
      </w:tr>
      <w:tr w:rsidR="007F558A" w:rsidRPr="00CF31E0" w14:paraId="3C9B3A74" w14:textId="77777777" w:rsidTr="00603CB7">
        <w:trPr>
          <w:cantSplit/>
          <w:trHeight w:val="348"/>
        </w:trPr>
        <w:tc>
          <w:tcPr>
            <w:tcW w:w="1889" w:type="dxa"/>
            <w:shd w:val="clear" w:color="auto" w:fill="FFFFFF"/>
          </w:tcPr>
          <w:p w14:paraId="0A134DA4" w14:textId="0047FB4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Serious</w:t>
            </w:r>
            <w:r w:rsidR="00FC19EB" w:rsidRPr="00CF31E0">
              <w:rPr>
                <w:rFonts w:eastAsia="Calibri"/>
                <w:color w:val="000000" w:themeColor="text1"/>
                <w:sz w:val="22"/>
                <w:szCs w:val="22"/>
                <w:lang w:eastAsia="en-US"/>
              </w:rPr>
              <w:t xml:space="preserve"> VS</w:t>
            </w:r>
            <w:r w:rsidRPr="00CF31E0">
              <w:rPr>
                <w:rFonts w:eastAsia="Calibri"/>
                <w:color w:val="000000" w:themeColor="text1"/>
                <w:sz w:val="22"/>
                <w:szCs w:val="22"/>
                <w:lang w:eastAsia="en-US"/>
              </w:rPr>
              <w:t>3</w:t>
            </w:r>
          </w:p>
        </w:tc>
        <w:tc>
          <w:tcPr>
            <w:tcW w:w="1889" w:type="dxa"/>
            <w:shd w:val="clear" w:color="auto" w:fill="FFFFFF"/>
          </w:tcPr>
          <w:p w14:paraId="21963F88"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1.7273</w:t>
            </w:r>
          </w:p>
        </w:tc>
        <w:tc>
          <w:tcPr>
            <w:tcW w:w="2176" w:type="dxa"/>
            <w:shd w:val="clear" w:color="auto" w:fill="FFFFFF"/>
          </w:tcPr>
          <w:p w14:paraId="1C100BAA"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1.14040</w:t>
            </w:r>
          </w:p>
        </w:tc>
        <w:tc>
          <w:tcPr>
            <w:tcW w:w="1276" w:type="dxa"/>
            <w:shd w:val="clear" w:color="auto" w:fill="FFFFFF"/>
          </w:tcPr>
          <w:p w14:paraId="2E9C48A2"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649</w:t>
            </w:r>
          </w:p>
        </w:tc>
      </w:tr>
      <w:tr w:rsidR="007F558A" w:rsidRPr="00CF31E0" w14:paraId="1FE894A5" w14:textId="77777777" w:rsidTr="00603CB7">
        <w:trPr>
          <w:cantSplit/>
          <w:trHeight w:val="348"/>
        </w:trPr>
        <w:tc>
          <w:tcPr>
            <w:tcW w:w="1889" w:type="dxa"/>
            <w:shd w:val="clear" w:color="auto" w:fill="FFFFFF"/>
          </w:tcPr>
          <w:p w14:paraId="2A1E588C" w14:textId="0D6E1E4D"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Serious</w:t>
            </w:r>
            <w:r w:rsidR="00FC19EB" w:rsidRPr="00CF31E0">
              <w:rPr>
                <w:rFonts w:eastAsia="Calibri"/>
                <w:color w:val="000000" w:themeColor="text1"/>
                <w:sz w:val="22"/>
                <w:szCs w:val="22"/>
                <w:lang w:eastAsia="en-US"/>
              </w:rPr>
              <w:t xml:space="preserve"> VS</w:t>
            </w:r>
            <w:r w:rsidRPr="00CF31E0">
              <w:rPr>
                <w:rFonts w:eastAsia="Calibri"/>
                <w:color w:val="000000" w:themeColor="text1"/>
                <w:sz w:val="22"/>
                <w:szCs w:val="22"/>
                <w:lang w:eastAsia="en-US"/>
              </w:rPr>
              <w:t>4</w:t>
            </w:r>
          </w:p>
        </w:tc>
        <w:tc>
          <w:tcPr>
            <w:tcW w:w="1889" w:type="dxa"/>
            <w:shd w:val="clear" w:color="auto" w:fill="FFFFFF"/>
          </w:tcPr>
          <w:p w14:paraId="6937B59E"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3.3313</w:t>
            </w:r>
          </w:p>
        </w:tc>
        <w:tc>
          <w:tcPr>
            <w:tcW w:w="2176" w:type="dxa"/>
            <w:shd w:val="clear" w:color="auto" w:fill="FFFFFF"/>
          </w:tcPr>
          <w:p w14:paraId="193F6889"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1.31573</w:t>
            </w:r>
          </w:p>
        </w:tc>
        <w:tc>
          <w:tcPr>
            <w:tcW w:w="1276" w:type="dxa"/>
            <w:shd w:val="clear" w:color="auto" w:fill="FFFFFF"/>
          </w:tcPr>
          <w:p w14:paraId="309A0618"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649</w:t>
            </w:r>
          </w:p>
        </w:tc>
      </w:tr>
      <w:tr w:rsidR="007F558A" w:rsidRPr="00CF31E0" w14:paraId="36500F45" w14:textId="77777777" w:rsidTr="00603CB7">
        <w:trPr>
          <w:cantSplit/>
          <w:trHeight w:val="337"/>
        </w:trPr>
        <w:tc>
          <w:tcPr>
            <w:tcW w:w="1889" w:type="dxa"/>
            <w:shd w:val="clear" w:color="auto" w:fill="FFFFFF"/>
          </w:tcPr>
          <w:p w14:paraId="389B542F" w14:textId="45EEE071"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Serious</w:t>
            </w:r>
            <w:r w:rsidR="00FC19EB" w:rsidRPr="00CF31E0">
              <w:rPr>
                <w:rFonts w:eastAsia="Calibri"/>
                <w:color w:val="000000" w:themeColor="text1"/>
                <w:sz w:val="22"/>
                <w:szCs w:val="22"/>
                <w:lang w:eastAsia="en-US"/>
              </w:rPr>
              <w:t xml:space="preserve"> VS</w:t>
            </w:r>
            <w:r w:rsidRPr="00CF31E0">
              <w:rPr>
                <w:rFonts w:eastAsia="Calibri"/>
                <w:color w:val="000000" w:themeColor="text1"/>
                <w:sz w:val="22"/>
                <w:szCs w:val="22"/>
                <w:lang w:eastAsia="en-US"/>
              </w:rPr>
              <w:t>5</w:t>
            </w:r>
          </w:p>
        </w:tc>
        <w:tc>
          <w:tcPr>
            <w:tcW w:w="1889" w:type="dxa"/>
            <w:shd w:val="clear" w:color="auto" w:fill="FFFFFF"/>
          </w:tcPr>
          <w:p w14:paraId="39F96B89" w14:textId="77777777" w:rsidR="000B4835" w:rsidRPr="00CF31E0" w:rsidRDefault="000B4835"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3.3035</w:t>
            </w:r>
          </w:p>
        </w:tc>
        <w:tc>
          <w:tcPr>
            <w:tcW w:w="2176" w:type="dxa"/>
            <w:shd w:val="clear" w:color="auto" w:fill="FFFFFF"/>
          </w:tcPr>
          <w:p w14:paraId="309F4628"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1.35355</w:t>
            </w:r>
          </w:p>
        </w:tc>
        <w:tc>
          <w:tcPr>
            <w:tcW w:w="1276" w:type="dxa"/>
            <w:shd w:val="clear" w:color="auto" w:fill="FFFFFF"/>
          </w:tcPr>
          <w:p w14:paraId="695328C5"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649</w:t>
            </w:r>
          </w:p>
        </w:tc>
      </w:tr>
    </w:tbl>
    <w:p w14:paraId="5155135D" w14:textId="2A82A673" w:rsidR="000B4835" w:rsidRPr="00CF31E0" w:rsidRDefault="000B4835" w:rsidP="00F61455">
      <w:pPr>
        <w:pStyle w:val="Tablecaption"/>
        <w:rPr>
          <w:lang w:eastAsia="en-US"/>
        </w:rPr>
      </w:pPr>
      <w:bookmarkStart w:id="832" w:name="_Toc522527479"/>
      <w:bookmarkStart w:id="833" w:name="_Toc522628892"/>
      <w:bookmarkStart w:id="834" w:name="_Toc522629056"/>
      <w:bookmarkStart w:id="835" w:name="_Toc6473154"/>
      <w:r w:rsidRPr="00CF31E0">
        <w:rPr>
          <w:lang w:eastAsia="en-US"/>
        </w:rPr>
        <w:t>Table</w:t>
      </w:r>
      <w:r w:rsidR="00495AFC" w:rsidRPr="00CF31E0">
        <w:rPr>
          <w:lang w:eastAsia="en-US"/>
        </w:rPr>
        <w:t xml:space="preserve"> </w:t>
      </w:r>
      <w:r w:rsidR="00F61455" w:rsidRPr="00CF31E0">
        <w:rPr>
          <w:lang w:eastAsia="en-US"/>
        </w:rPr>
        <w:t>11</w:t>
      </w:r>
      <w:r w:rsidR="00495AFC" w:rsidRPr="00CF31E0">
        <w:rPr>
          <w:lang w:eastAsia="en-US"/>
        </w:rPr>
        <w:t>.</w:t>
      </w:r>
      <w:r w:rsidR="00F61455" w:rsidRPr="00CF31E0">
        <w:rPr>
          <w:lang w:eastAsia="en-US"/>
        </w:rPr>
        <w:t>16</w:t>
      </w:r>
      <w:r w:rsidR="00495AFC" w:rsidRPr="00CF31E0">
        <w:rPr>
          <w:lang w:eastAsia="en-US"/>
        </w:rPr>
        <w:t xml:space="preserve">: </w:t>
      </w:r>
      <w:r w:rsidRPr="00CF31E0">
        <w:rPr>
          <w:lang w:eastAsia="en-US"/>
        </w:rPr>
        <w:t xml:space="preserve">Descriptive statistics for the </w:t>
      </w:r>
      <w:r w:rsidRPr="00CF31E0">
        <w:rPr>
          <w:i/>
          <w:iCs/>
          <w:lang w:eastAsia="en-US"/>
        </w:rPr>
        <w:t>serious</w:t>
      </w:r>
      <w:r w:rsidRPr="00CF31E0">
        <w:rPr>
          <w:lang w:eastAsia="en-US"/>
        </w:rPr>
        <w:t xml:space="preserve"> characteristic across the samples</w:t>
      </w:r>
      <w:r w:rsidR="00495AFC" w:rsidRPr="00CF31E0">
        <w:rPr>
          <w:lang w:eastAsia="en-US"/>
        </w:rPr>
        <w:t>.</w:t>
      </w:r>
      <w:bookmarkEnd w:id="832"/>
      <w:bookmarkEnd w:id="833"/>
      <w:bookmarkEnd w:id="834"/>
      <w:bookmarkEnd w:id="835"/>
    </w:p>
    <w:p w14:paraId="2220518A" w14:textId="116996B7" w:rsidR="000B4835" w:rsidRPr="00CF31E0" w:rsidRDefault="000B4835" w:rsidP="00603CB7">
      <w:pPr>
        <w:pStyle w:val="Paragraph"/>
        <w:rPr>
          <w:lang w:eastAsia="en-US"/>
        </w:rPr>
      </w:pPr>
      <w:r w:rsidRPr="00CF31E0">
        <w:rPr>
          <w:lang w:eastAsia="en-US"/>
        </w:rPr>
        <w:t>As can be seen from the table above, the mean score for VS4 is the highest (3.33). VS5 has the second highest mean score, with a very slight decrease from VS4 (3.30). In third place comes VS2 with a mean score of 2.77. Finally, the mean scores for VS1 and 3 are noticeably reduced: 2.07 and 1.72</w:t>
      </w:r>
      <w:r w:rsidR="00DB68F5" w:rsidRPr="00CF31E0">
        <w:rPr>
          <w:lang w:eastAsia="en-US"/>
        </w:rPr>
        <w:t>, respectively. Overall, UBH</w:t>
      </w:r>
      <w:r w:rsidRPr="00CF31E0">
        <w:rPr>
          <w:lang w:eastAsia="en-US"/>
        </w:rPr>
        <w:t xml:space="preserve"> speakers’ voices (i.e. including VS5 as the </w:t>
      </w:r>
      <w:r w:rsidR="00DB68F5" w:rsidRPr="00CF31E0">
        <w:rPr>
          <w:lang w:eastAsia="en-US"/>
        </w:rPr>
        <w:lastRenderedPageBreak/>
        <w:t>speaker who imitated the UBH</w:t>
      </w:r>
      <w:r w:rsidRPr="00CF31E0">
        <w:rPr>
          <w:lang w:eastAsia="en-US"/>
        </w:rPr>
        <w:t xml:space="preserve"> dialect) were perceived</w:t>
      </w:r>
      <w:r w:rsidR="00DB68F5" w:rsidRPr="00CF31E0">
        <w:rPr>
          <w:lang w:eastAsia="en-US"/>
        </w:rPr>
        <w:t xml:space="preserve"> as more serious than the HH</w:t>
      </w:r>
      <w:r w:rsidRPr="00CF31E0">
        <w:rPr>
          <w:lang w:eastAsia="en-US"/>
        </w:rPr>
        <w:t xml:space="preserve"> speakers’ voices. </w:t>
      </w:r>
    </w:p>
    <w:p w14:paraId="4CE4E78F" w14:textId="71385FB8" w:rsidR="000B4835" w:rsidRPr="00CF31E0" w:rsidRDefault="00F61455" w:rsidP="00F61455">
      <w:pPr>
        <w:pStyle w:val="Dhead"/>
        <w:rPr>
          <w:rFonts w:eastAsia="Calibri"/>
        </w:rPr>
      </w:pPr>
      <w:bookmarkStart w:id="836" w:name="_Toc6472784"/>
      <w:r w:rsidRPr="00CF31E0">
        <w:rPr>
          <w:rFonts w:eastAsia="Calibri"/>
        </w:rPr>
        <w:t>11</w:t>
      </w:r>
      <w:r w:rsidR="00495AFC" w:rsidRPr="00CF31E0">
        <w:rPr>
          <w:rFonts w:eastAsia="Calibri"/>
        </w:rPr>
        <w:t>.3.1.1.2.</w:t>
      </w:r>
      <w:r w:rsidR="00D2523E" w:rsidRPr="00CF31E0">
        <w:rPr>
          <w:rFonts w:eastAsia="Calibri"/>
        </w:rPr>
        <w:tab/>
      </w:r>
      <w:r w:rsidR="000B4835" w:rsidRPr="00CF31E0">
        <w:rPr>
          <w:rFonts w:eastAsia="Calibri"/>
        </w:rPr>
        <w:t>Similar to other Arabic dialects scale</w:t>
      </w:r>
      <w:bookmarkEnd w:id="836"/>
      <w:r w:rsidR="000B4835" w:rsidRPr="00CF31E0">
        <w:rPr>
          <w:rFonts w:eastAsia="Calibri"/>
        </w:rPr>
        <w:t xml:space="preserve"> </w:t>
      </w:r>
    </w:p>
    <w:p w14:paraId="499BEC06" w14:textId="035828E5" w:rsidR="0055355E" w:rsidRPr="00CF31E0" w:rsidRDefault="000B4835" w:rsidP="00F50E67">
      <w:pPr>
        <w:pStyle w:val="Paragraph"/>
        <w:rPr>
          <w:lang w:eastAsia="en-US"/>
        </w:rPr>
      </w:pPr>
      <w:r w:rsidRPr="00CF31E0">
        <w:rPr>
          <w:lang w:eastAsia="en-US"/>
        </w:rPr>
        <w:t>For the similar to other Arabic dialects scale, I followed the same procedures applied in the previous scale. Thus, I started to analyse the data by testing the sphericity assumption, which revealed that the assumption is violated; see Table</w:t>
      </w:r>
      <w:r w:rsidR="00495AFC" w:rsidRPr="00CF31E0">
        <w:rPr>
          <w:lang w:eastAsia="en-US"/>
        </w:rPr>
        <w:t xml:space="preserve"> </w:t>
      </w:r>
      <w:r w:rsidR="00F61455" w:rsidRPr="00CF31E0">
        <w:rPr>
          <w:lang w:eastAsia="en-US"/>
        </w:rPr>
        <w:t>11</w:t>
      </w:r>
      <w:r w:rsidR="00495AFC" w:rsidRPr="00CF31E0">
        <w:rPr>
          <w:lang w:eastAsia="en-US"/>
        </w:rPr>
        <w:t>.</w:t>
      </w:r>
      <w:r w:rsidR="00F61455" w:rsidRPr="00CF31E0">
        <w:rPr>
          <w:lang w:eastAsia="en-US"/>
        </w:rPr>
        <w:t>17</w:t>
      </w:r>
      <w:r w:rsidR="00495AFC" w:rsidRPr="00CF31E0">
        <w:rPr>
          <w:lang w:eastAsia="en-US"/>
        </w:rPr>
        <w:t>.</w:t>
      </w:r>
      <w:r w:rsidRPr="00CF31E0">
        <w:rPr>
          <w:lang w:eastAsia="en-US"/>
        </w:rPr>
        <w:t xml:space="preserve"> Then I ran the Greenhouse-Geisser multivariate test to reveal whether there is any significance difference among the scales; see Table</w:t>
      </w:r>
      <w:r w:rsidR="00495AFC" w:rsidRPr="00CF31E0">
        <w:rPr>
          <w:lang w:eastAsia="en-US"/>
        </w:rPr>
        <w:t xml:space="preserve"> </w:t>
      </w:r>
      <w:r w:rsidR="00F61455" w:rsidRPr="00CF31E0">
        <w:rPr>
          <w:lang w:eastAsia="en-US"/>
        </w:rPr>
        <w:t>11</w:t>
      </w:r>
      <w:r w:rsidR="00495AFC" w:rsidRPr="00CF31E0">
        <w:rPr>
          <w:lang w:eastAsia="en-US"/>
        </w:rPr>
        <w:t>.</w:t>
      </w:r>
      <w:r w:rsidR="00F61455" w:rsidRPr="00CF31E0">
        <w:rPr>
          <w:lang w:eastAsia="en-US"/>
        </w:rPr>
        <w:t>18</w:t>
      </w:r>
      <w:r w:rsidR="00495AFC" w:rsidRPr="00CF31E0">
        <w:rPr>
          <w:lang w:eastAsia="en-US"/>
        </w:rPr>
        <w:t xml:space="preserve">. </w:t>
      </w:r>
      <w:r w:rsidRPr="00CF31E0">
        <w:rPr>
          <w:lang w:eastAsia="en-US"/>
        </w:rPr>
        <w:t xml:space="preserve">Subsequently, I conducted a post-hoc test to uncover where the difference lies. Finally, I will compare the mean scores across the samples. </w:t>
      </w:r>
    </w:p>
    <w:tbl>
      <w:tblPr>
        <w:tblW w:w="7479" w:type="dxa"/>
        <w:tblLayout w:type="fixed"/>
        <w:tblLook w:val="04A0" w:firstRow="1" w:lastRow="0" w:firstColumn="1" w:lastColumn="0" w:noHBand="0" w:noVBand="1"/>
      </w:tblPr>
      <w:tblGrid>
        <w:gridCol w:w="1495"/>
        <w:gridCol w:w="1496"/>
        <w:gridCol w:w="1496"/>
        <w:gridCol w:w="1496"/>
        <w:gridCol w:w="1496"/>
      </w:tblGrid>
      <w:tr w:rsidR="002251B3" w:rsidRPr="00CF31E0" w14:paraId="556EF282" w14:textId="77777777" w:rsidTr="00603CB7">
        <w:tc>
          <w:tcPr>
            <w:tcW w:w="1495" w:type="dxa"/>
            <w:tcBorders>
              <w:top w:val="single" w:sz="8" w:space="0" w:color="auto"/>
              <w:bottom w:val="single" w:sz="8" w:space="0" w:color="auto"/>
            </w:tcBorders>
            <w:shd w:val="clear" w:color="auto" w:fill="auto"/>
            <w:hideMark/>
          </w:tcPr>
          <w:p w14:paraId="3BB7615D" w14:textId="0DF949F4" w:rsidR="002251B3" w:rsidRPr="00CF31E0" w:rsidRDefault="002251B3" w:rsidP="00545871">
            <w:pPr>
              <w:spacing w:before="120" w:after="120"/>
              <w:rPr>
                <w:rFonts w:eastAsia="Calibri"/>
                <w:color w:val="000000" w:themeColor="text1"/>
                <w:sz w:val="22"/>
                <w:szCs w:val="22"/>
                <w:lang w:val="en-US" w:eastAsia="en-US"/>
              </w:rPr>
            </w:pPr>
            <w:r w:rsidRPr="00CF31E0">
              <w:rPr>
                <w:rFonts w:eastAsia="Calibri"/>
                <w:color w:val="000000" w:themeColor="text1"/>
                <w:sz w:val="22"/>
                <w:szCs w:val="22"/>
                <w:lang w:val="en-US" w:eastAsia="en-US"/>
              </w:rPr>
              <w:t>Within</w:t>
            </w:r>
            <w:r w:rsidR="005D0894" w:rsidRPr="00CF31E0">
              <w:rPr>
                <w:rFonts w:eastAsia="Calibri"/>
                <w:color w:val="000000" w:themeColor="text1"/>
                <w:sz w:val="22"/>
                <w:szCs w:val="22"/>
                <w:lang w:val="en-US" w:eastAsia="en-US"/>
              </w:rPr>
              <w:t>-Subjects</w:t>
            </w:r>
            <w:r w:rsidRPr="00CF31E0">
              <w:rPr>
                <w:rFonts w:eastAsia="Calibri"/>
                <w:color w:val="000000" w:themeColor="text1"/>
                <w:sz w:val="22"/>
                <w:szCs w:val="22"/>
                <w:lang w:val="en-US" w:eastAsia="en-US"/>
              </w:rPr>
              <w:t xml:space="preserve"> Effect</w:t>
            </w:r>
          </w:p>
        </w:tc>
        <w:tc>
          <w:tcPr>
            <w:tcW w:w="1496" w:type="dxa"/>
            <w:tcBorders>
              <w:top w:val="single" w:sz="8" w:space="0" w:color="auto"/>
              <w:bottom w:val="single" w:sz="8" w:space="0" w:color="auto"/>
            </w:tcBorders>
            <w:shd w:val="clear" w:color="auto" w:fill="auto"/>
            <w:hideMark/>
          </w:tcPr>
          <w:p w14:paraId="051F008F" w14:textId="77777777" w:rsidR="002251B3" w:rsidRPr="00CF31E0" w:rsidRDefault="002251B3" w:rsidP="00545871">
            <w:pPr>
              <w:spacing w:before="120" w:after="120"/>
              <w:rPr>
                <w:rFonts w:eastAsia="Calibri"/>
                <w:color w:val="000000" w:themeColor="text1"/>
                <w:sz w:val="22"/>
                <w:szCs w:val="22"/>
                <w:lang w:val="en-US" w:eastAsia="en-US"/>
              </w:rPr>
            </w:pPr>
            <w:r w:rsidRPr="00CF31E0">
              <w:rPr>
                <w:rFonts w:eastAsia="Calibri"/>
                <w:color w:val="000000" w:themeColor="text1"/>
                <w:sz w:val="22"/>
                <w:szCs w:val="22"/>
                <w:lang w:val="en-US" w:eastAsia="en-US"/>
              </w:rPr>
              <w:t>Mauchley’s W</w:t>
            </w:r>
          </w:p>
        </w:tc>
        <w:tc>
          <w:tcPr>
            <w:tcW w:w="1496" w:type="dxa"/>
            <w:tcBorders>
              <w:top w:val="single" w:sz="8" w:space="0" w:color="auto"/>
              <w:bottom w:val="single" w:sz="8" w:space="0" w:color="auto"/>
            </w:tcBorders>
            <w:shd w:val="clear" w:color="auto" w:fill="auto"/>
          </w:tcPr>
          <w:p w14:paraId="11652447" w14:textId="77777777" w:rsidR="002251B3" w:rsidRPr="00CF31E0" w:rsidRDefault="002251B3" w:rsidP="00545871">
            <w:pPr>
              <w:spacing w:before="120" w:after="120"/>
              <w:rPr>
                <w:rFonts w:eastAsia="Calibri"/>
                <w:color w:val="000000" w:themeColor="text1"/>
                <w:sz w:val="22"/>
                <w:szCs w:val="22"/>
                <w:lang w:val="en-US" w:eastAsia="en-US"/>
              </w:rPr>
            </w:pPr>
            <w:r w:rsidRPr="00CF31E0">
              <w:rPr>
                <w:rFonts w:eastAsia="Calibri"/>
                <w:color w:val="000000" w:themeColor="text1"/>
                <w:sz w:val="22"/>
                <w:szCs w:val="22"/>
                <w:lang w:val="en-US" w:eastAsia="en-US"/>
              </w:rPr>
              <w:t>Approx Chi-Square</w:t>
            </w:r>
          </w:p>
        </w:tc>
        <w:tc>
          <w:tcPr>
            <w:tcW w:w="1496" w:type="dxa"/>
            <w:tcBorders>
              <w:top w:val="single" w:sz="8" w:space="0" w:color="auto"/>
              <w:bottom w:val="single" w:sz="8" w:space="0" w:color="auto"/>
            </w:tcBorders>
            <w:shd w:val="clear" w:color="auto" w:fill="auto"/>
          </w:tcPr>
          <w:p w14:paraId="702D5F5A" w14:textId="77777777" w:rsidR="002251B3" w:rsidRPr="00CF31E0" w:rsidRDefault="002251B3" w:rsidP="00545871">
            <w:pPr>
              <w:spacing w:before="120" w:after="120"/>
              <w:rPr>
                <w:rFonts w:eastAsia="Calibri"/>
                <w:color w:val="000000" w:themeColor="text1"/>
                <w:sz w:val="22"/>
                <w:szCs w:val="22"/>
                <w:lang w:val="en-US" w:eastAsia="en-US"/>
              </w:rPr>
            </w:pPr>
            <w:r w:rsidRPr="00CF31E0">
              <w:rPr>
                <w:rFonts w:eastAsia="Calibri"/>
                <w:color w:val="000000" w:themeColor="text1"/>
                <w:sz w:val="22"/>
                <w:szCs w:val="22"/>
                <w:lang w:eastAsia="en-US"/>
              </w:rPr>
              <w:t>df</w:t>
            </w:r>
          </w:p>
        </w:tc>
        <w:tc>
          <w:tcPr>
            <w:tcW w:w="1496" w:type="dxa"/>
            <w:tcBorders>
              <w:top w:val="single" w:sz="8" w:space="0" w:color="auto"/>
              <w:bottom w:val="single" w:sz="8" w:space="0" w:color="auto"/>
            </w:tcBorders>
          </w:tcPr>
          <w:p w14:paraId="17AFFC4E" w14:textId="77777777" w:rsidR="002251B3" w:rsidRPr="00CF31E0" w:rsidRDefault="002251B3" w:rsidP="00545871">
            <w:pPr>
              <w:spacing w:before="120" w:after="120"/>
              <w:rPr>
                <w:rFonts w:eastAsia="Calibri"/>
                <w:color w:val="000000" w:themeColor="text1"/>
                <w:sz w:val="22"/>
                <w:szCs w:val="22"/>
                <w:lang w:eastAsia="en-US"/>
              </w:rPr>
            </w:pPr>
            <w:r w:rsidRPr="00CF31E0">
              <w:rPr>
                <w:rFonts w:eastAsia="Calibri"/>
                <w:color w:val="000000" w:themeColor="text1"/>
                <w:sz w:val="22"/>
                <w:szCs w:val="22"/>
                <w:lang w:eastAsia="en-US"/>
              </w:rPr>
              <w:t>Sig.</w:t>
            </w:r>
          </w:p>
        </w:tc>
      </w:tr>
      <w:tr w:rsidR="002251B3" w:rsidRPr="00CF31E0" w14:paraId="4C7C791E" w14:textId="77777777" w:rsidTr="00603CB7">
        <w:tc>
          <w:tcPr>
            <w:tcW w:w="1495" w:type="dxa"/>
            <w:tcBorders>
              <w:top w:val="single" w:sz="8" w:space="0" w:color="auto"/>
              <w:bottom w:val="single" w:sz="4" w:space="0" w:color="auto"/>
            </w:tcBorders>
            <w:shd w:val="clear" w:color="auto" w:fill="auto"/>
          </w:tcPr>
          <w:p w14:paraId="1C5A4B95" w14:textId="0324E6A5" w:rsidR="002251B3" w:rsidRPr="00CF31E0" w:rsidRDefault="002251B3" w:rsidP="00545871">
            <w:pPr>
              <w:spacing w:before="120" w:after="120"/>
              <w:rPr>
                <w:rFonts w:eastAsia="Calibri"/>
                <w:color w:val="000000" w:themeColor="text1"/>
                <w:sz w:val="22"/>
                <w:szCs w:val="22"/>
                <w:lang w:val="en-US" w:eastAsia="en-US"/>
              </w:rPr>
            </w:pPr>
            <w:r w:rsidRPr="00CF31E0">
              <w:rPr>
                <w:rFonts w:eastAsia="Calibri"/>
                <w:color w:val="000000" w:themeColor="text1"/>
                <w:sz w:val="22"/>
                <w:szCs w:val="22"/>
                <w:lang w:val="en-US" w:eastAsia="en-US"/>
              </w:rPr>
              <w:t>Similar to other Arabic dialects</w:t>
            </w:r>
          </w:p>
        </w:tc>
        <w:tc>
          <w:tcPr>
            <w:tcW w:w="1496" w:type="dxa"/>
            <w:tcBorders>
              <w:top w:val="single" w:sz="8" w:space="0" w:color="auto"/>
              <w:bottom w:val="single" w:sz="4" w:space="0" w:color="auto"/>
            </w:tcBorders>
            <w:shd w:val="clear" w:color="auto" w:fill="auto"/>
          </w:tcPr>
          <w:p w14:paraId="4F124B40" w14:textId="07A80A9F" w:rsidR="002251B3" w:rsidRPr="00CF31E0" w:rsidRDefault="002251B3" w:rsidP="00545871">
            <w:pPr>
              <w:spacing w:before="120" w:after="120"/>
              <w:rPr>
                <w:rFonts w:eastAsia="Calibri"/>
                <w:color w:val="000000" w:themeColor="text1"/>
                <w:sz w:val="22"/>
                <w:szCs w:val="22"/>
                <w:lang w:eastAsia="en-US"/>
              </w:rPr>
            </w:pPr>
            <w:r w:rsidRPr="00CF31E0">
              <w:rPr>
                <w:rFonts w:eastAsia="Calibri"/>
                <w:color w:val="000000" w:themeColor="text1"/>
                <w:sz w:val="22"/>
                <w:szCs w:val="22"/>
                <w:lang w:eastAsia="en-US"/>
              </w:rPr>
              <w:t>.714</w:t>
            </w:r>
          </w:p>
        </w:tc>
        <w:tc>
          <w:tcPr>
            <w:tcW w:w="1496" w:type="dxa"/>
            <w:tcBorders>
              <w:top w:val="single" w:sz="8" w:space="0" w:color="auto"/>
              <w:bottom w:val="single" w:sz="4" w:space="0" w:color="auto"/>
            </w:tcBorders>
            <w:shd w:val="clear" w:color="auto" w:fill="auto"/>
          </w:tcPr>
          <w:p w14:paraId="0BDDB1F7" w14:textId="4199D59A" w:rsidR="002251B3" w:rsidRPr="00CF31E0" w:rsidRDefault="002251B3" w:rsidP="00545871">
            <w:pPr>
              <w:spacing w:before="120" w:after="120"/>
              <w:rPr>
                <w:rFonts w:eastAsia="Calibri"/>
                <w:color w:val="000000" w:themeColor="text1"/>
                <w:sz w:val="22"/>
                <w:szCs w:val="22"/>
                <w:lang w:val="en-US" w:eastAsia="en-US"/>
              </w:rPr>
            </w:pPr>
            <w:r w:rsidRPr="00CF31E0">
              <w:rPr>
                <w:rFonts w:eastAsia="Calibri"/>
                <w:color w:val="000000" w:themeColor="text1"/>
                <w:sz w:val="22"/>
                <w:szCs w:val="22"/>
                <w:lang w:val="en-US" w:eastAsia="en-US"/>
              </w:rPr>
              <w:t>217.746</w:t>
            </w:r>
          </w:p>
        </w:tc>
        <w:tc>
          <w:tcPr>
            <w:tcW w:w="1496" w:type="dxa"/>
            <w:tcBorders>
              <w:top w:val="single" w:sz="8" w:space="0" w:color="auto"/>
              <w:bottom w:val="single" w:sz="4" w:space="0" w:color="auto"/>
            </w:tcBorders>
            <w:shd w:val="clear" w:color="auto" w:fill="auto"/>
          </w:tcPr>
          <w:p w14:paraId="530110CB" w14:textId="6EEDB68A" w:rsidR="002251B3" w:rsidRPr="00CF31E0" w:rsidRDefault="00ED36FE" w:rsidP="00545871">
            <w:pPr>
              <w:spacing w:before="120" w:after="120"/>
              <w:rPr>
                <w:rFonts w:eastAsia="Calibri"/>
                <w:color w:val="000000" w:themeColor="text1"/>
                <w:sz w:val="22"/>
                <w:szCs w:val="22"/>
                <w:lang w:eastAsia="en-US"/>
              </w:rPr>
            </w:pPr>
            <w:r w:rsidRPr="00CF31E0">
              <w:rPr>
                <w:rFonts w:eastAsia="Calibri"/>
                <w:color w:val="000000" w:themeColor="text1"/>
                <w:sz w:val="22"/>
                <w:szCs w:val="22"/>
                <w:lang w:eastAsia="en-US"/>
              </w:rPr>
              <w:t>9</w:t>
            </w:r>
          </w:p>
        </w:tc>
        <w:tc>
          <w:tcPr>
            <w:tcW w:w="1496" w:type="dxa"/>
            <w:tcBorders>
              <w:top w:val="single" w:sz="8" w:space="0" w:color="auto"/>
              <w:bottom w:val="single" w:sz="4" w:space="0" w:color="auto"/>
            </w:tcBorders>
          </w:tcPr>
          <w:p w14:paraId="6AEE2132" w14:textId="77777777" w:rsidR="002251B3" w:rsidRPr="00CF31E0" w:rsidRDefault="002251B3" w:rsidP="00545871">
            <w:pPr>
              <w:spacing w:before="120" w:after="120"/>
              <w:rPr>
                <w:rFonts w:eastAsia="Calibri"/>
                <w:color w:val="000000" w:themeColor="text1"/>
                <w:sz w:val="22"/>
                <w:szCs w:val="22"/>
                <w:lang w:eastAsia="en-US"/>
              </w:rPr>
            </w:pPr>
            <w:r w:rsidRPr="00CF31E0">
              <w:rPr>
                <w:rFonts w:eastAsia="Calibri"/>
                <w:color w:val="000000" w:themeColor="text1"/>
                <w:sz w:val="22"/>
                <w:szCs w:val="22"/>
                <w:lang w:eastAsia="en-US"/>
              </w:rPr>
              <w:t>.000</w:t>
            </w:r>
          </w:p>
        </w:tc>
      </w:tr>
    </w:tbl>
    <w:p w14:paraId="0CDB2C23" w14:textId="4168A941" w:rsidR="000B4835" w:rsidRPr="00CF31E0" w:rsidRDefault="000B4835" w:rsidP="00603CB7">
      <w:pPr>
        <w:pStyle w:val="Tablecaption"/>
        <w:spacing w:after="400"/>
        <w:rPr>
          <w:lang w:eastAsia="en-US"/>
        </w:rPr>
      </w:pPr>
      <w:bookmarkStart w:id="837" w:name="_Toc522527480"/>
      <w:bookmarkStart w:id="838" w:name="_Toc522628893"/>
      <w:bookmarkStart w:id="839" w:name="_Toc522629057"/>
      <w:bookmarkStart w:id="840" w:name="_Toc6473155"/>
      <w:r w:rsidRPr="00CF31E0">
        <w:rPr>
          <w:lang w:eastAsia="en-US"/>
        </w:rPr>
        <w:t>Table</w:t>
      </w:r>
      <w:r w:rsidR="00495AFC" w:rsidRPr="00CF31E0">
        <w:rPr>
          <w:lang w:eastAsia="en-US"/>
        </w:rPr>
        <w:t xml:space="preserve"> </w:t>
      </w:r>
      <w:r w:rsidR="00F61455" w:rsidRPr="00CF31E0">
        <w:rPr>
          <w:lang w:eastAsia="en-US"/>
        </w:rPr>
        <w:t>11</w:t>
      </w:r>
      <w:r w:rsidR="00495AFC" w:rsidRPr="00CF31E0">
        <w:rPr>
          <w:lang w:eastAsia="en-US"/>
        </w:rPr>
        <w:t>.</w:t>
      </w:r>
      <w:r w:rsidR="00F61455" w:rsidRPr="00CF31E0">
        <w:rPr>
          <w:lang w:eastAsia="en-US"/>
        </w:rPr>
        <w:t>17</w:t>
      </w:r>
      <w:r w:rsidR="00495AFC" w:rsidRPr="00CF31E0">
        <w:rPr>
          <w:lang w:eastAsia="en-US"/>
        </w:rPr>
        <w:t>:</w:t>
      </w:r>
      <w:r w:rsidRPr="00CF31E0">
        <w:rPr>
          <w:lang w:eastAsia="en-US"/>
        </w:rPr>
        <w:t xml:space="preserve"> Test of sphericity results for the </w:t>
      </w:r>
      <w:r w:rsidRPr="00CF31E0">
        <w:rPr>
          <w:i/>
          <w:iCs/>
          <w:lang w:eastAsia="en-US"/>
        </w:rPr>
        <w:t>similar to other Arabic dialects</w:t>
      </w:r>
      <w:r w:rsidRPr="00CF31E0">
        <w:rPr>
          <w:lang w:eastAsia="en-US"/>
        </w:rPr>
        <w:t xml:space="preserve"> characteristic across the samples</w:t>
      </w:r>
      <w:r w:rsidR="00495AFC" w:rsidRPr="00CF31E0">
        <w:rPr>
          <w:lang w:eastAsia="en-US"/>
        </w:rPr>
        <w:t>.</w:t>
      </w:r>
      <w:bookmarkEnd w:id="837"/>
      <w:bookmarkEnd w:id="838"/>
      <w:bookmarkEnd w:id="839"/>
      <w:bookmarkEnd w:id="840"/>
    </w:p>
    <w:tbl>
      <w:tblPr>
        <w:tblW w:w="7341"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127"/>
        <w:gridCol w:w="1440"/>
        <w:gridCol w:w="6"/>
        <w:gridCol w:w="1586"/>
        <w:gridCol w:w="6"/>
        <w:gridCol w:w="787"/>
        <w:gridCol w:w="6"/>
        <w:gridCol w:w="1585"/>
        <w:gridCol w:w="6"/>
        <w:gridCol w:w="786"/>
        <w:gridCol w:w="6"/>
      </w:tblGrid>
      <w:tr w:rsidR="00ED36FE" w:rsidRPr="00CF31E0" w14:paraId="041E5EA6" w14:textId="77777777" w:rsidTr="00ED36FE">
        <w:trPr>
          <w:cantSplit/>
          <w:trHeight w:val="847"/>
        </w:trPr>
        <w:tc>
          <w:tcPr>
            <w:tcW w:w="2573" w:type="dxa"/>
            <w:gridSpan w:val="3"/>
            <w:tcBorders>
              <w:top w:val="single" w:sz="4" w:space="0" w:color="auto"/>
              <w:bottom w:val="single" w:sz="4" w:space="0" w:color="auto"/>
            </w:tcBorders>
            <w:shd w:val="clear" w:color="auto" w:fill="FFFFFF"/>
            <w:vAlign w:val="bottom"/>
          </w:tcPr>
          <w:p w14:paraId="5881B851" w14:textId="77777777"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p>
          <w:p w14:paraId="0388E155" w14:textId="77777777"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Source</w:t>
            </w:r>
          </w:p>
        </w:tc>
        <w:tc>
          <w:tcPr>
            <w:tcW w:w="1592" w:type="dxa"/>
            <w:gridSpan w:val="2"/>
            <w:tcBorders>
              <w:top w:val="single" w:sz="4" w:space="0" w:color="auto"/>
              <w:bottom w:val="single" w:sz="4" w:space="0" w:color="auto"/>
            </w:tcBorders>
            <w:shd w:val="clear" w:color="auto" w:fill="FFFFFF"/>
            <w:vAlign w:val="bottom"/>
          </w:tcPr>
          <w:p w14:paraId="35392E8E" w14:textId="77777777"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Type III Sum of Squares</w:t>
            </w:r>
          </w:p>
        </w:tc>
        <w:tc>
          <w:tcPr>
            <w:tcW w:w="793" w:type="dxa"/>
            <w:gridSpan w:val="2"/>
            <w:tcBorders>
              <w:top w:val="single" w:sz="4" w:space="0" w:color="auto"/>
              <w:bottom w:val="single" w:sz="4" w:space="0" w:color="auto"/>
            </w:tcBorders>
            <w:shd w:val="clear" w:color="auto" w:fill="FFFFFF"/>
            <w:vAlign w:val="bottom"/>
          </w:tcPr>
          <w:p w14:paraId="6DBBCBA9" w14:textId="77777777"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df</w:t>
            </w:r>
          </w:p>
        </w:tc>
        <w:tc>
          <w:tcPr>
            <w:tcW w:w="1591" w:type="dxa"/>
            <w:gridSpan w:val="2"/>
            <w:tcBorders>
              <w:top w:val="single" w:sz="4" w:space="0" w:color="auto"/>
              <w:bottom w:val="single" w:sz="4" w:space="0" w:color="auto"/>
            </w:tcBorders>
            <w:shd w:val="clear" w:color="auto" w:fill="FFFFFF"/>
            <w:vAlign w:val="bottom"/>
          </w:tcPr>
          <w:p w14:paraId="5880F693" w14:textId="77777777"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Mean Square</w:t>
            </w:r>
          </w:p>
        </w:tc>
        <w:tc>
          <w:tcPr>
            <w:tcW w:w="792" w:type="dxa"/>
            <w:gridSpan w:val="2"/>
            <w:tcBorders>
              <w:top w:val="single" w:sz="4" w:space="0" w:color="auto"/>
              <w:bottom w:val="single" w:sz="4" w:space="0" w:color="auto"/>
            </w:tcBorders>
            <w:shd w:val="clear" w:color="auto" w:fill="FFFFFF"/>
            <w:vAlign w:val="bottom"/>
          </w:tcPr>
          <w:p w14:paraId="603248C4" w14:textId="77777777"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Sig.</w:t>
            </w:r>
          </w:p>
        </w:tc>
      </w:tr>
      <w:tr w:rsidR="00ED36FE" w:rsidRPr="00CF31E0" w14:paraId="2D3D5AD0" w14:textId="77777777" w:rsidTr="00ED36FE">
        <w:trPr>
          <w:gridAfter w:val="1"/>
          <w:wAfter w:w="6" w:type="dxa"/>
          <w:cantSplit/>
          <w:trHeight w:val="741"/>
        </w:trPr>
        <w:tc>
          <w:tcPr>
            <w:tcW w:w="1127" w:type="dxa"/>
            <w:vMerge w:val="restart"/>
            <w:tcBorders>
              <w:top w:val="single" w:sz="4" w:space="0" w:color="auto"/>
              <w:bottom w:val="nil"/>
            </w:tcBorders>
            <w:shd w:val="clear" w:color="auto" w:fill="FFFFFF"/>
          </w:tcPr>
          <w:p w14:paraId="1C21B8CF" w14:textId="594FF3FB" w:rsidR="00ED36FE" w:rsidRPr="00CF31E0" w:rsidRDefault="00ED36FE"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Similar to other Arabic dialects</w:t>
            </w:r>
          </w:p>
        </w:tc>
        <w:tc>
          <w:tcPr>
            <w:tcW w:w="1440" w:type="dxa"/>
            <w:tcBorders>
              <w:top w:val="single" w:sz="4" w:space="0" w:color="auto"/>
              <w:bottom w:val="nil"/>
            </w:tcBorders>
            <w:shd w:val="clear" w:color="auto" w:fill="FFFFFF"/>
          </w:tcPr>
          <w:p w14:paraId="54BBA102" w14:textId="77777777" w:rsidR="00ED36FE" w:rsidRPr="00CF31E0" w:rsidRDefault="00ED36FE"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Sphericity Assumed</w:t>
            </w:r>
          </w:p>
        </w:tc>
        <w:tc>
          <w:tcPr>
            <w:tcW w:w="1592" w:type="dxa"/>
            <w:gridSpan w:val="2"/>
            <w:tcBorders>
              <w:top w:val="single" w:sz="4" w:space="0" w:color="auto"/>
              <w:bottom w:val="nil"/>
            </w:tcBorders>
            <w:shd w:val="clear" w:color="auto" w:fill="FFFFFF"/>
            <w:vAlign w:val="center"/>
          </w:tcPr>
          <w:p w14:paraId="3D1CB254" w14:textId="20668E12"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222.285</w:t>
            </w:r>
          </w:p>
        </w:tc>
        <w:tc>
          <w:tcPr>
            <w:tcW w:w="793" w:type="dxa"/>
            <w:gridSpan w:val="2"/>
            <w:tcBorders>
              <w:top w:val="single" w:sz="4" w:space="0" w:color="auto"/>
              <w:bottom w:val="nil"/>
            </w:tcBorders>
            <w:shd w:val="clear" w:color="auto" w:fill="FFFFFF"/>
            <w:vAlign w:val="center"/>
          </w:tcPr>
          <w:p w14:paraId="10F209E0" w14:textId="77777777"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4</w:t>
            </w:r>
          </w:p>
        </w:tc>
        <w:tc>
          <w:tcPr>
            <w:tcW w:w="1591" w:type="dxa"/>
            <w:gridSpan w:val="2"/>
            <w:tcBorders>
              <w:top w:val="single" w:sz="4" w:space="0" w:color="auto"/>
              <w:bottom w:val="nil"/>
            </w:tcBorders>
            <w:shd w:val="clear" w:color="auto" w:fill="FFFFFF"/>
            <w:vAlign w:val="center"/>
          </w:tcPr>
          <w:p w14:paraId="3071832F" w14:textId="1F08B506"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55.571</w:t>
            </w:r>
          </w:p>
        </w:tc>
        <w:tc>
          <w:tcPr>
            <w:tcW w:w="792" w:type="dxa"/>
            <w:gridSpan w:val="2"/>
            <w:tcBorders>
              <w:top w:val="single" w:sz="4" w:space="0" w:color="auto"/>
              <w:bottom w:val="nil"/>
            </w:tcBorders>
            <w:shd w:val="clear" w:color="auto" w:fill="FFFFFF"/>
            <w:vAlign w:val="center"/>
          </w:tcPr>
          <w:p w14:paraId="76EAEAC4" w14:textId="77777777"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.000</w:t>
            </w:r>
          </w:p>
        </w:tc>
      </w:tr>
      <w:tr w:rsidR="00ED36FE" w:rsidRPr="00CF31E0" w14:paraId="12BE4CEB" w14:textId="77777777" w:rsidTr="00ED36FE">
        <w:trPr>
          <w:gridAfter w:val="1"/>
          <w:wAfter w:w="6" w:type="dxa"/>
          <w:cantSplit/>
          <w:trHeight w:val="141"/>
        </w:trPr>
        <w:tc>
          <w:tcPr>
            <w:tcW w:w="1127" w:type="dxa"/>
            <w:vMerge/>
            <w:tcBorders>
              <w:top w:val="nil"/>
            </w:tcBorders>
            <w:shd w:val="clear" w:color="auto" w:fill="FFFFFF"/>
          </w:tcPr>
          <w:p w14:paraId="25D1AFE9" w14:textId="77777777" w:rsidR="00ED36FE" w:rsidRPr="00CF31E0" w:rsidRDefault="00ED36FE" w:rsidP="00603CB7">
            <w:pPr>
              <w:widowControl w:val="0"/>
              <w:autoSpaceDE w:val="0"/>
              <w:autoSpaceDN w:val="0"/>
              <w:adjustRightInd w:val="0"/>
              <w:spacing w:before="120" w:after="120"/>
              <w:jc w:val="both"/>
              <w:rPr>
                <w:rFonts w:eastAsia="Calibri"/>
                <w:color w:val="000000" w:themeColor="text1"/>
                <w:sz w:val="22"/>
                <w:szCs w:val="22"/>
                <w:lang w:eastAsia="en-US"/>
              </w:rPr>
            </w:pPr>
          </w:p>
        </w:tc>
        <w:tc>
          <w:tcPr>
            <w:tcW w:w="1440" w:type="dxa"/>
            <w:tcBorders>
              <w:top w:val="nil"/>
            </w:tcBorders>
            <w:shd w:val="clear" w:color="auto" w:fill="FFFFFF"/>
          </w:tcPr>
          <w:p w14:paraId="78564905" w14:textId="77777777"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Greenhouse-Geisser</w:t>
            </w:r>
          </w:p>
        </w:tc>
        <w:tc>
          <w:tcPr>
            <w:tcW w:w="1592" w:type="dxa"/>
            <w:gridSpan w:val="2"/>
            <w:tcBorders>
              <w:top w:val="nil"/>
            </w:tcBorders>
            <w:shd w:val="clear" w:color="auto" w:fill="FFFFFF"/>
            <w:vAlign w:val="center"/>
          </w:tcPr>
          <w:p w14:paraId="213C3AAE" w14:textId="5E51D542"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222.285</w:t>
            </w:r>
          </w:p>
        </w:tc>
        <w:tc>
          <w:tcPr>
            <w:tcW w:w="793" w:type="dxa"/>
            <w:gridSpan w:val="2"/>
            <w:tcBorders>
              <w:top w:val="nil"/>
            </w:tcBorders>
            <w:shd w:val="clear" w:color="auto" w:fill="FFFFFF"/>
            <w:vAlign w:val="center"/>
          </w:tcPr>
          <w:p w14:paraId="1EA3F46A" w14:textId="5707EC60"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3.325</w:t>
            </w:r>
          </w:p>
        </w:tc>
        <w:tc>
          <w:tcPr>
            <w:tcW w:w="1591" w:type="dxa"/>
            <w:gridSpan w:val="2"/>
            <w:tcBorders>
              <w:top w:val="nil"/>
            </w:tcBorders>
            <w:shd w:val="clear" w:color="auto" w:fill="FFFFFF"/>
            <w:vAlign w:val="center"/>
          </w:tcPr>
          <w:p w14:paraId="12E439C3" w14:textId="79F07C84"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66.854</w:t>
            </w:r>
          </w:p>
        </w:tc>
        <w:tc>
          <w:tcPr>
            <w:tcW w:w="792" w:type="dxa"/>
            <w:gridSpan w:val="2"/>
            <w:tcBorders>
              <w:top w:val="nil"/>
            </w:tcBorders>
            <w:shd w:val="clear" w:color="auto" w:fill="FFFFFF"/>
            <w:vAlign w:val="center"/>
          </w:tcPr>
          <w:p w14:paraId="0E05E211" w14:textId="77777777"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.000</w:t>
            </w:r>
          </w:p>
        </w:tc>
      </w:tr>
    </w:tbl>
    <w:p w14:paraId="66A48BF8" w14:textId="0113DDD2" w:rsidR="000B4835" w:rsidRPr="00CF31E0" w:rsidRDefault="000B4835" w:rsidP="00F61455">
      <w:pPr>
        <w:pStyle w:val="Tablecaption"/>
        <w:rPr>
          <w:lang w:eastAsia="en-US"/>
        </w:rPr>
      </w:pPr>
      <w:bookmarkStart w:id="841" w:name="_Toc522527481"/>
      <w:bookmarkStart w:id="842" w:name="_Toc522628894"/>
      <w:bookmarkStart w:id="843" w:name="_Toc522629058"/>
      <w:bookmarkStart w:id="844" w:name="_Toc6473156"/>
      <w:r w:rsidRPr="00CF31E0">
        <w:rPr>
          <w:lang w:eastAsia="en-US"/>
        </w:rPr>
        <w:t>Table</w:t>
      </w:r>
      <w:r w:rsidR="00495AFC" w:rsidRPr="00CF31E0">
        <w:rPr>
          <w:lang w:eastAsia="en-US"/>
        </w:rPr>
        <w:t xml:space="preserve"> </w:t>
      </w:r>
      <w:r w:rsidR="00F61455" w:rsidRPr="00CF31E0">
        <w:rPr>
          <w:lang w:eastAsia="en-US"/>
        </w:rPr>
        <w:t>11</w:t>
      </w:r>
      <w:r w:rsidR="00495AFC" w:rsidRPr="00CF31E0">
        <w:rPr>
          <w:lang w:eastAsia="en-US"/>
        </w:rPr>
        <w:t>.</w:t>
      </w:r>
      <w:r w:rsidR="00F61455" w:rsidRPr="00CF31E0">
        <w:rPr>
          <w:lang w:eastAsia="en-US"/>
        </w:rPr>
        <w:t>18</w:t>
      </w:r>
      <w:r w:rsidR="00495AFC" w:rsidRPr="00CF31E0">
        <w:rPr>
          <w:lang w:eastAsia="en-US"/>
        </w:rPr>
        <w:t xml:space="preserve">: </w:t>
      </w:r>
      <w:r w:rsidRPr="00CF31E0">
        <w:rPr>
          <w:lang w:eastAsia="en-US"/>
        </w:rPr>
        <w:t xml:space="preserve">Within-subjects test for the </w:t>
      </w:r>
      <w:r w:rsidRPr="00CF31E0">
        <w:rPr>
          <w:i/>
          <w:iCs/>
          <w:lang w:eastAsia="en-US"/>
        </w:rPr>
        <w:t>similar to other Arabic dialects</w:t>
      </w:r>
      <w:r w:rsidRPr="00CF31E0">
        <w:rPr>
          <w:lang w:eastAsia="en-US"/>
        </w:rPr>
        <w:t xml:space="preserve"> characteristic across the samples</w:t>
      </w:r>
      <w:r w:rsidR="00495AFC" w:rsidRPr="00CF31E0">
        <w:rPr>
          <w:lang w:eastAsia="en-US"/>
        </w:rPr>
        <w:t>.</w:t>
      </w:r>
      <w:bookmarkEnd w:id="841"/>
      <w:bookmarkEnd w:id="842"/>
      <w:bookmarkEnd w:id="843"/>
      <w:bookmarkEnd w:id="844"/>
    </w:p>
    <w:p w14:paraId="6ED577CC" w14:textId="14AC63BF" w:rsidR="00545871" w:rsidRPr="00CF31E0" w:rsidRDefault="008B503D" w:rsidP="00A84734">
      <w:pPr>
        <w:pStyle w:val="Paragraph"/>
        <w:rPr>
          <w:lang w:eastAsia="en-US"/>
        </w:rPr>
      </w:pPr>
      <w:r w:rsidRPr="00CF31E0">
        <w:rPr>
          <w:lang w:eastAsia="en-US"/>
        </w:rPr>
        <w:t xml:space="preserve">As can be seen above, Table </w:t>
      </w:r>
      <w:r w:rsidR="00F61455" w:rsidRPr="00CF31E0">
        <w:rPr>
          <w:lang w:eastAsia="en-US"/>
        </w:rPr>
        <w:t>11</w:t>
      </w:r>
      <w:r w:rsidRPr="00CF31E0">
        <w:rPr>
          <w:lang w:eastAsia="en-US"/>
        </w:rPr>
        <w:t>.</w:t>
      </w:r>
      <w:r w:rsidR="00F61455" w:rsidRPr="00CF31E0">
        <w:rPr>
          <w:lang w:eastAsia="en-US"/>
        </w:rPr>
        <w:t xml:space="preserve">17 </w:t>
      </w:r>
      <w:r w:rsidR="000B4835" w:rsidRPr="00CF31E0">
        <w:rPr>
          <w:lang w:eastAsia="en-US"/>
        </w:rPr>
        <w:t xml:space="preserve">indicates that the sphericity assumption is violated as the p value is &lt;.001. </w:t>
      </w:r>
      <w:r w:rsidRPr="00CF31E0">
        <w:rPr>
          <w:lang w:eastAsia="en-US"/>
        </w:rPr>
        <w:t xml:space="preserve">Hence, </w:t>
      </w:r>
      <w:r w:rsidR="000B4835" w:rsidRPr="00CF31E0">
        <w:rPr>
          <w:lang w:eastAsia="en-US"/>
        </w:rPr>
        <w:t>Table</w:t>
      </w:r>
      <w:r w:rsidRPr="00CF31E0">
        <w:rPr>
          <w:lang w:eastAsia="en-US"/>
        </w:rPr>
        <w:t xml:space="preserve"> </w:t>
      </w:r>
      <w:r w:rsidR="00F61455" w:rsidRPr="00CF31E0">
        <w:rPr>
          <w:lang w:eastAsia="en-US"/>
        </w:rPr>
        <w:t>11</w:t>
      </w:r>
      <w:r w:rsidRPr="00CF31E0">
        <w:rPr>
          <w:lang w:eastAsia="en-US"/>
        </w:rPr>
        <w:t>.</w:t>
      </w:r>
      <w:r w:rsidR="00F61455" w:rsidRPr="00CF31E0">
        <w:rPr>
          <w:lang w:eastAsia="en-US"/>
        </w:rPr>
        <w:t xml:space="preserve">18 </w:t>
      </w:r>
      <w:r w:rsidR="000B4835" w:rsidRPr="00CF31E0">
        <w:rPr>
          <w:lang w:eastAsia="en-US"/>
        </w:rPr>
        <w:t xml:space="preserve">illustrates that the Greenhouse-Geisser is &lt;.001, which means that a significant difference is </w:t>
      </w:r>
      <w:r w:rsidR="000B4835" w:rsidRPr="00CF31E0">
        <w:rPr>
          <w:lang w:eastAsia="en-US"/>
        </w:rPr>
        <w:lastRenderedPageBreak/>
        <w:t xml:space="preserve">found among the ratings. Table </w:t>
      </w:r>
      <w:r w:rsidR="00F61455" w:rsidRPr="00CF31E0">
        <w:rPr>
          <w:lang w:eastAsia="en-US"/>
        </w:rPr>
        <w:t>11</w:t>
      </w:r>
      <w:r w:rsidR="003B51C7" w:rsidRPr="00CF31E0">
        <w:rPr>
          <w:lang w:eastAsia="en-US"/>
        </w:rPr>
        <w:t>.</w:t>
      </w:r>
      <w:r w:rsidR="00F61455" w:rsidRPr="00CF31E0">
        <w:rPr>
          <w:lang w:eastAsia="en-US"/>
        </w:rPr>
        <w:t xml:space="preserve">19 </w:t>
      </w:r>
      <w:r w:rsidR="000B4835" w:rsidRPr="00CF31E0">
        <w:rPr>
          <w:lang w:eastAsia="en-US"/>
        </w:rPr>
        <w:t xml:space="preserve">below illustrates the exact location of the difference found among the scales. </w:t>
      </w:r>
    </w:p>
    <w:tbl>
      <w:tblPr>
        <w:tblW w:w="7396" w:type="dxa"/>
        <w:tblInd w:w="-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159"/>
        <w:gridCol w:w="1276"/>
        <w:gridCol w:w="1134"/>
        <w:gridCol w:w="1134"/>
        <w:gridCol w:w="709"/>
        <w:gridCol w:w="992"/>
        <w:gridCol w:w="992"/>
      </w:tblGrid>
      <w:tr w:rsidR="00C82AAD" w:rsidRPr="00CF31E0" w14:paraId="304DDB73" w14:textId="77777777" w:rsidTr="00C82AAD">
        <w:trPr>
          <w:cantSplit/>
        </w:trPr>
        <w:tc>
          <w:tcPr>
            <w:tcW w:w="1159" w:type="dxa"/>
            <w:vMerge w:val="restart"/>
            <w:shd w:val="clear" w:color="auto" w:fill="FFFFFF"/>
            <w:vAlign w:val="bottom"/>
          </w:tcPr>
          <w:p w14:paraId="7B3CA397" w14:textId="4004E36D" w:rsidR="000B4835" w:rsidRPr="00CF31E0" w:rsidRDefault="000B4835" w:rsidP="000B4835">
            <w:pPr>
              <w:widowControl w:val="0"/>
              <w:autoSpaceDE w:val="0"/>
              <w:autoSpaceDN w:val="0"/>
              <w:adjustRightInd w:val="0"/>
              <w:spacing w:line="320" w:lineRule="atLeast"/>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(I) Similar to other Arabic dialects</w:t>
            </w:r>
          </w:p>
        </w:tc>
        <w:tc>
          <w:tcPr>
            <w:tcW w:w="1276" w:type="dxa"/>
            <w:vMerge w:val="restart"/>
            <w:shd w:val="clear" w:color="auto" w:fill="FFFFFF"/>
            <w:vAlign w:val="bottom"/>
          </w:tcPr>
          <w:p w14:paraId="605CE385" w14:textId="77777777" w:rsidR="000B4835" w:rsidRPr="00CF31E0" w:rsidRDefault="000B4835" w:rsidP="000B4835">
            <w:pPr>
              <w:widowControl w:val="0"/>
              <w:autoSpaceDE w:val="0"/>
              <w:autoSpaceDN w:val="0"/>
              <w:adjustRightInd w:val="0"/>
              <w:spacing w:line="320" w:lineRule="atLeast"/>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(J) Similar to other Arabic dialects</w:t>
            </w:r>
          </w:p>
        </w:tc>
        <w:tc>
          <w:tcPr>
            <w:tcW w:w="1134" w:type="dxa"/>
            <w:vMerge w:val="restart"/>
            <w:shd w:val="clear" w:color="auto" w:fill="FFFFFF"/>
            <w:vAlign w:val="bottom"/>
          </w:tcPr>
          <w:p w14:paraId="66915555"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Mean Difference (I-J)</w:t>
            </w:r>
          </w:p>
        </w:tc>
        <w:tc>
          <w:tcPr>
            <w:tcW w:w="1134" w:type="dxa"/>
            <w:vMerge w:val="restart"/>
            <w:shd w:val="clear" w:color="auto" w:fill="FFFFFF"/>
            <w:vAlign w:val="bottom"/>
          </w:tcPr>
          <w:p w14:paraId="70838CEC"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Std. Error</w:t>
            </w:r>
          </w:p>
        </w:tc>
        <w:tc>
          <w:tcPr>
            <w:tcW w:w="709" w:type="dxa"/>
            <w:vMerge w:val="restart"/>
            <w:shd w:val="clear" w:color="auto" w:fill="FFFFFF"/>
            <w:vAlign w:val="bottom"/>
          </w:tcPr>
          <w:p w14:paraId="01C21AEC"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Sig.</w:t>
            </w:r>
            <w:r w:rsidRPr="00CF31E0">
              <w:rPr>
                <w:rFonts w:eastAsia="Calibri"/>
                <w:color w:val="000000" w:themeColor="text1"/>
                <w:sz w:val="22"/>
                <w:szCs w:val="22"/>
                <w:vertAlign w:val="superscript"/>
                <w:lang w:eastAsia="en-US"/>
              </w:rPr>
              <w:t>b</w:t>
            </w:r>
          </w:p>
        </w:tc>
        <w:tc>
          <w:tcPr>
            <w:tcW w:w="1984" w:type="dxa"/>
            <w:gridSpan w:val="2"/>
            <w:shd w:val="clear" w:color="auto" w:fill="FFFFFF"/>
            <w:vAlign w:val="bottom"/>
          </w:tcPr>
          <w:p w14:paraId="0E8F737B" w14:textId="77777777" w:rsidR="000B4835" w:rsidRPr="00CF31E0" w:rsidRDefault="000B4835" w:rsidP="000B4835">
            <w:pPr>
              <w:widowControl w:val="0"/>
              <w:autoSpaceDE w:val="0"/>
              <w:autoSpaceDN w:val="0"/>
              <w:adjustRightInd w:val="0"/>
              <w:spacing w:line="320" w:lineRule="atLeast"/>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95% Confidence Interval for Difference</w:t>
            </w:r>
            <w:r w:rsidRPr="00CF31E0">
              <w:rPr>
                <w:rFonts w:eastAsia="Calibri"/>
                <w:color w:val="000000" w:themeColor="text1"/>
                <w:sz w:val="22"/>
                <w:szCs w:val="22"/>
                <w:vertAlign w:val="superscript"/>
                <w:lang w:eastAsia="en-US"/>
              </w:rPr>
              <w:t>b</w:t>
            </w:r>
          </w:p>
        </w:tc>
      </w:tr>
      <w:tr w:rsidR="00C82AAD" w:rsidRPr="00CF31E0" w14:paraId="2B6A199A" w14:textId="77777777" w:rsidTr="00603CB7">
        <w:trPr>
          <w:cantSplit/>
        </w:trPr>
        <w:tc>
          <w:tcPr>
            <w:tcW w:w="1159" w:type="dxa"/>
            <w:vMerge/>
            <w:shd w:val="clear" w:color="auto" w:fill="FFFFFF"/>
            <w:vAlign w:val="bottom"/>
          </w:tcPr>
          <w:p w14:paraId="35E8AA3D" w14:textId="77777777" w:rsidR="000B4835" w:rsidRPr="00CF31E0" w:rsidRDefault="000B4835" w:rsidP="000B4835">
            <w:pPr>
              <w:widowControl w:val="0"/>
              <w:autoSpaceDE w:val="0"/>
              <w:autoSpaceDN w:val="0"/>
              <w:adjustRightInd w:val="0"/>
              <w:jc w:val="both"/>
              <w:rPr>
                <w:rFonts w:eastAsia="Calibri"/>
                <w:color w:val="000000" w:themeColor="text1"/>
                <w:sz w:val="22"/>
                <w:szCs w:val="22"/>
                <w:lang w:eastAsia="en-US"/>
              </w:rPr>
            </w:pPr>
          </w:p>
        </w:tc>
        <w:tc>
          <w:tcPr>
            <w:tcW w:w="1276" w:type="dxa"/>
            <w:vMerge/>
            <w:shd w:val="clear" w:color="auto" w:fill="FFFFFF"/>
            <w:vAlign w:val="bottom"/>
          </w:tcPr>
          <w:p w14:paraId="39D7A95F" w14:textId="77777777" w:rsidR="000B4835" w:rsidRPr="00CF31E0" w:rsidRDefault="000B4835" w:rsidP="000B4835">
            <w:pPr>
              <w:widowControl w:val="0"/>
              <w:autoSpaceDE w:val="0"/>
              <w:autoSpaceDN w:val="0"/>
              <w:adjustRightInd w:val="0"/>
              <w:jc w:val="both"/>
              <w:rPr>
                <w:rFonts w:eastAsia="Calibri"/>
                <w:color w:val="000000" w:themeColor="text1"/>
                <w:sz w:val="22"/>
                <w:szCs w:val="22"/>
                <w:lang w:eastAsia="en-US"/>
              </w:rPr>
            </w:pPr>
          </w:p>
        </w:tc>
        <w:tc>
          <w:tcPr>
            <w:tcW w:w="1134" w:type="dxa"/>
            <w:vMerge/>
            <w:shd w:val="clear" w:color="auto" w:fill="FFFFFF"/>
            <w:vAlign w:val="bottom"/>
          </w:tcPr>
          <w:p w14:paraId="218978BB" w14:textId="77777777" w:rsidR="000B4835" w:rsidRPr="00CF31E0" w:rsidRDefault="000B4835" w:rsidP="000B4835">
            <w:pPr>
              <w:widowControl w:val="0"/>
              <w:autoSpaceDE w:val="0"/>
              <w:autoSpaceDN w:val="0"/>
              <w:adjustRightInd w:val="0"/>
              <w:jc w:val="both"/>
              <w:rPr>
                <w:rFonts w:eastAsia="Calibri"/>
                <w:color w:val="000000" w:themeColor="text1"/>
                <w:sz w:val="22"/>
                <w:szCs w:val="22"/>
                <w:lang w:eastAsia="en-US"/>
              </w:rPr>
            </w:pPr>
          </w:p>
        </w:tc>
        <w:tc>
          <w:tcPr>
            <w:tcW w:w="1134" w:type="dxa"/>
            <w:vMerge/>
            <w:shd w:val="clear" w:color="auto" w:fill="FFFFFF"/>
            <w:vAlign w:val="bottom"/>
          </w:tcPr>
          <w:p w14:paraId="31E961E5" w14:textId="77777777" w:rsidR="000B4835" w:rsidRPr="00CF31E0" w:rsidRDefault="000B4835" w:rsidP="000B4835">
            <w:pPr>
              <w:widowControl w:val="0"/>
              <w:autoSpaceDE w:val="0"/>
              <w:autoSpaceDN w:val="0"/>
              <w:adjustRightInd w:val="0"/>
              <w:jc w:val="both"/>
              <w:rPr>
                <w:rFonts w:eastAsia="Calibri"/>
                <w:color w:val="000000" w:themeColor="text1"/>
                <w:sz w:val="22"/>
                <w:szCs w:val="22"/>
                <w:lang w:eastAsia="en-US"/>
              </w:rPr>
            </w:pPr>
          </w:p>
        </w:tc>
        <w:tc>
          <w:tcPr>
            <w:tcW w:w="709" w:type="dxa"/>
            <w:vMerge/>
            <w:shd w:val="clear" w:color="auto" w:fill="FFFFFF"/>
            <w:vAlign w:val="bottom"/>
          </w:tcPr>
          <w:p w14:paraId="615D5E5D" w14:textId="77777777" w:rsidR="000B4835" w:rsidRPr="00CF31E0" w:rsidRDefault="000B4835" w:rsidP="000B4835">
            <w:pPr>
              <w:widowControl w:val="0"/>
              <w:autoSpaceDE w:val="0"/>
              <w:autoSpaceDN w:val="0"/>
              <w:adjustRightInd w:val="0"/>
              <w:jc w:val="both"/>
              <w:rPr>
                <w:rFonts w:eastAsia="Calibri"/>
                <w:color w:val="000000" w:themeColor="text1"/>
                <w:sz w:val="22"/>
                <w:szCs w:val="22"/>
                <w:lang w:eastAsia="en-US"/>
              </w:rPr>
            </w:pPr>
          </w:p>
        </w:tc>
        <w:tc>
          <w:tcPr>
            <w:tcW w:w="992" w:type="dxa"/>
            <w:shd w:val="clear" w:color="auto" w:fill="FFFFFF"/>
            <w:vAlign w:val="bottom"/>
          </w:tcPr>
          <w:p w14:paraId="55F9FD43"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Lower Bound</w:t>
            </w:r>
          </w:p>
        </w:tc>
        <w:tc>
          <w:tcPr>
            <w:tcW w:w="992" w:type="dxa"/>
            <w:shd w:val="clear" w:color="auto" w:fill="FFFFFF"/>
            <w:vAlign w:val="bottom"/>
          </w:tcPr>
          <w:p w14:paraId="7275C742"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Upper Bound</w:t>
            </w:r>
          </w:p>
        </w:tc>
      </w:tr>
      <w:tr w:rsidR="00C82AAD" w:rsidRPr="00CF31E0" w14:paraId="2F2C6781" w14:textId="77777777" w:rsidTr="00603CB7">
        <w:trPr>
          <w:cantSplit/>
        </w:trPr>
        <w:tc>
          <w:tcPr>
            <w:tcW w:w="1159" w:type="dxa"/>
            <w:vMerge w:val="restart"/>
            <w:shd w:val="clear" w:color="auto" w:fill="FFFFFF"/>
          </w:tcPr>
          <w:p w14:paraId="2064EEB5" w14:textId="77777777" w:rsidR="000B4835" w:rsidRPr="00CF31E0" w:rsidRDefault="000B4835" w:rsidP="000B4835">
            <w:pPr>
              <w:widowControl w:val="0"/>
              <w:autoSpaceDE w:val="0"/>
              <w:autoSpaceDN w:val="0"/>
              <w:adjustRightInd w:val="0"/>
              <w:spacing w:line="320" w:lineRule="atLeast"/>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w:t>
            </w:r>
          </w:p>
        </w:tc>
        <w:tc>
          <w:tcPr>
            <w:tcW w:w="1276" w:type="dxa"/>
            <w:shd w:val="clear" w:color="auto" w:fill="FFFFFF"/>
          </w:tcPr>
          <w:p w14:paraId="5B264D59" w14:textId="77777777" w:rsidR="000B4835" w:rsidRPr="00CF31E0" w:rsidRDefault="000B4835" w:rsidP="000B4835">
            <w:pPr>
              <w:widowControl w:val="0"/>
              <w:autoSpaceDE w:val="0"/>
              <w:autoSpaceDN w:val="0"/>
              <w:adjustRightInd w:val="0"/>
              <w:spacing w:line="320" w:lineRule="atLeast"/>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2</w:t>
            </w:r>
          </w:p>
        </w:tc>
        <w:tc>
          <w:tcPr>
            <w:tcW w:w="1134" w:type="dxa"/>
            <w:shd w:val="clear" w:color="auto" w:fill="FFFFFF"/>
            <w:vAlign w:val="center"/>
          </w:tcPr>
          <w:p w14:paraId="677246FE"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.686</w:t>
            </w:r>
            <w:r w:rsidRPr="00CF31E0">
              <w:rPr>
                <w:rFonts w:eastAsia="Calibri"/>
                <w:color w:val="000000" w:themeColor="text1"/>
                <w:sz w:val="22"/>
                <w:szCs w:val="22"/>
                <w:vertAlign w:val="superscript"/>
                <w:lang w:eastAsia="en-US"/>
              </w:rPr>
              <w:t>*</w:t>
            </w:r>
          </w:p>
        </w:tc>
        <w:tc>
          <w:tcPr>
            <w:tcW w:w="1134" w:type="dxa"/>
            <w:shd w:val="clear" w:color="auto" w:fill="FFFFFF"/>
            <w:vAlign w:val="center"/>
          </w:tcPr>
          <w:p w14:paraId="261A5B30"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.064</w:t>
            </w:r>
          </w:p>
        </w:tc>
        <w:tc>
          <w:tcPr>
            <w:tcW w:w="709" w:type="dxa"/>
            <w:shd w:val="clear" w:color="auto" w:fill="FFFFFF"/>
            <w:vAlign w:val="center"/>
          </w:tcPr>
          <w:p w14:paraId="5C28FCE7"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92" w:type="dxa"/>
            <w:shd w:val="clear" w:color="auto" w:fill="FFFFFF"/>
            <w:vAlign w:val="center"/>
          </w:tcPr>
          <w:p w14:paraId="2B7B1A2A"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.506</w:t>
            </w:r>
          </w:p>
        </w:tc>
        <w:tc>
          <w:tcPr>
            <w:tcW w:w="992" w:type="dxa"/>
            <w:shd w:val="clear" w:color="auto" w:fill="FFFFFF"/>
            <w:vAlign w:val="center"/>
          </w:tcPr>
          <w:p w14:paraId="2CA7747B"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.865</w:t>
            </w:r>
          </w:p>
        </w:tc>
      </w:tr>
      <w:tr w:rsidR="00C82AAD" w:rsidRPr="00CF31E0" w14:paraId="28D1F03F" w14:textId="77777777" w:rsidTr="00603CB7">
        <w:trPr>
          <w:cantSplit/>
        </w:trPr>
        <w:tc>
          <w:tcPr>
            <w:tcW w:w="1159" w:type="dxa"/>
            <w:vMerge/>
            <w:shd w:val="clear" w:color="auto" w:fill="FFFFFF"/>
          </w:tcPr>
          <w:p w14:paraId="558B8B04" w14:textId="77777777" w:rsidR="000B4835" w:rsidRPr="00CF31E0" w:rsidRDefault="000B4835" w:rsidP="000B4835">
            <w:pPr>
              <w:widowControl w:val="0"/>
              <w:autoSpaceDE w:val="0"/>
              <w:autoSpaceDN w:val="0"/>
              <w:adjustRightInd w:val="0"/>
              <w:jc w:val="both"/>
              <w:rPr>
                <w:rFonts w:eastAsia="Calibri"/>
                <w:color w:val="000000" w:themeColor="text1"/>
                <w:sz w:val="22"/>
                <w:szCs w:val="22"/>
                <w:lang w:eastAsia="en-US"/>
              </w:rPr>
            </w:pPr>
          </w:p>
        </w:tc>
        <w:tc>
          <w:tcPr>
            <w:tcW w:w="1276" w:type="dxa"/>
            <w:shd w:val="clear" w:color="auto" w:fill="FFFFFF"/>
          </w:tcPr>
          <w:p w14:paraId="6560F969" w14:textId="77777777" w:rsidR="000B4835" w:rsidRPr="00CF31E0" w:rsidRDefault="000B4835" w:rsidP="000B4835">
            <w:pPr>
              <w:widowControl w:val="0"/>
              <w:autoSpaceDE w:val="0"/>
              <w:autoSpaceDN w:val="0"/>
              <w:adjustRightInd w:val="0"/>
              <w:spacing w:line="320" w:lineRule="atLeast"/>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3</w:t>
            </w:r>
          </w:p>
        </w:tc>
        <w:tc>
          <w:tcPr>
            <w:tcW w:w="1134" w:type="dxa"/>
            <w:shd w:val="clear" w:color="auto" w:fill="FFFFFF"/>
            <w:vAlign w:val="center"/>
          </w:tcPr>
          <w:p w14:paraId="544D0CA2"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.319</w:t>
            </w:r>
            <w:r w:rsidRPr="00CF31E0">
              <w:rPr>
                <w:rFonts w:eastAsia="Calibri"/>
                <w:color w:val="000000" w:themeColor="text1"/>
                <w:sz w:val="22"/>
                <w:szCs w:val="22"/>
                <w:vertAlign w:val="superscript"/>
                <w:lang w:eastAsia="en-US"/>
              </w:rPr>
              <w:t>*</w:t>
            </w:r>
          </w:p>
        </w:tc>
        <w:tc>
          <w:tcPr>
            <w:tcW w:w="1134" w:type="dxa"/>
            <w:shd w:val="clear" w:color="auto" w:fill="FFFFFF"/>
            <w:vAlign w:val="center"/>
          </w:tcPr>
          <w:p w14:paraId="2AEA7460"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.048</w:t>
            </w:r>
          </w:p>
        </w:tc>
        <w:tc>
          <w:tcPr>
            <w:tcW w:w="709" w:type="dxa"/>
            <w:shd w:val="clear" w:color="auto" w:fill="FFFFFF"/>
            <w:vAlign w:val="center"/>
          </w:tcPr>
          <w:p w14:paraId="7F7F5253"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92" w:type="dxa"/>
            <w:shd w:val="clear" w:color="auto" w:fill="FFFFFF"/>
            <w:vAlign w:val="center"/>
          </w:tcPr>
          <w:p w14:paraId="528636FB"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.184</w:t>
            </w:r>
          </w:p>
        </w:tc>
        <w:tc>
          <w:tcPr>
            <w:tcW w:w="992" w:type="dxa"/>
            <w:shd w:val="clear" w:color="auto" w:fill="FFFFFF"/>
            <w:vAlign w:val="center"/>
          </w:tcPr>
          <w:p w14:paraId="01F82C8E"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.454</w:t>
            </w:r>
          </w:p>
        </w:tc>
      </w:tr>
      <w:tr w:rsidR="00C82AAD" w:rsidRPr="00CF31E0" w14:paraId="07F9654E" w14:textId="77777777" w:rsidTr="00603CB7">
        <w:trPr>
          <w:cantSplit/>
        </w:trPr>
        <w:tc>
          <w:tcPr>
            <w:tcW w:w="1159" w:type="dxa"/>
            <w:vMerge/>
            <w:shd w:val="clear" w:color="auto" w:fill="FFFFFF"/>
          </w:tcPr>
          <w:p w14:paraId="18FA5E42" w14:textId="77777777" w:rsidR="000B4835" w:rsidRPr="00CF31E0" w:rsidRDefault="000B4835" w:rsidP="000B4835">
            <w:pPr>
              <w:widowControl w:val="0"/>
              <w:autoSpaceDE w:val="0"/>
              <w:autoSpaceDN w:val="0"/>
              <w:adjustRightInd w:val="0"/>
              <w:jc w:val="both"/>
              <w:rPr>
                <w:rFonts w:eastAsia="Calibri"/>
                <w:color w:val="000000" w:themeColor="text1"/>
                <w:sz w:val="22"/>
                <w:szCs w:val="22"/>
                <w:lang w:eastAsia="en-US"/>
              </w:rPr>
            </w:pPr>
          </w:p>
        </w:tc>
        <w:tc>
          <w:tcPr>
            <w:tcW w:w="1276" w:type="dxa"/>
            <w:shd w:val="clear" w:color="auto" w:fill="FFFFFF"/>
          </w:tcPr>
          <w:p w14:paraId="57FECB63" w14:textId="77777777" w:rsidR="000B4835" w:rsidRPr="00CF31E0" w:rsidRDefault="000B4835" w:rsidP="000B4835">
            <w:pPr>
              <w:widowControl w:val="0"/>
              <w:autoSpaceDE w:val="0"/>
              <w:autoSpaceDN w:val="0"/>
              <w:adjustRightInd w:val="0"/>
              <w:spacing w:line="320" w:lineRule="atLeast"/>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4</w:t>
            </w:r>
          </w:p>
        </w:tc>
        <w:tc>
          <w:tcPr>
            <w:tcW w:w="1134" w:type="dxa"/>
            <w:shd w:val="clear" w:color="auto" w:fill="FFFFFF"/>
            <w:vAlign w:val="center"/>
          </w:tcPr>
          <w:p w14:paraId="64CD84C2"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.675</w:t>
            </w:r>
            <w:r w:rsidRPr="00CF31E0">
              <w:rPr>
                <w:rFonts w:eastAsia="Calibri"/>
                <w:color w:val="000000" w:themeColor="text1"/>
                <w:sz w:val="22"/>
                <w:szCs w:val="22"/>
                <w:vertAlign w:val="superscript"/>
                <w:lang w:eastAsia="en-US"/>
              </w:rPr>
              <w:t>*</w:t>
            </w:r>
          </w:p>
        </w:tc>
        <w:tc>
          <w:tcPr>
            <w:tcW w:w="1134" w:type="dxa"/>
            <w:shd w:val="clear" w:color="auto" w:fill="FFFFFF"/>
            <w:vAlign w:val="center"/>
          </w:tcPr>
          <w:p w14:paraId="3B6AE09E"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.062</w:t>
            </w:r>
          </w:p>
        </w:tc>
        <w:tc>
          <w:tcPr>
            <w:tcW w:w="709" w:type="dxa"/>
            <w:shd w:val="clear" w:color="auto" w:fill="FFFFFF"/>
            <w:vAlign w:val="center"/>
          </w:tcPr>
          <w:p w14:paraId="0E37D495"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92" w:type="dxa"/>
            <w:shd w:val="clear" w:color="auto" w:fill="FFFFFF"/>
            <w:vAlign w:val="center"/>
          </w:tcPr>
          <w:p w14:paraId="0EE3210A"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.499</w:t>
            </w:r>
          </w:p>
        </w:tc>
        <w:tc>
          <w:tcPr>
            <w:tcW w:w="992" w:type="dxa"/>
            <w:shd w:val="clear" w:color="auto" w:fill="FFFFFF"/>
            <w:vAlign w:val="center"/>
          </w:tcPr>
          <w:p w14:paraId="3A7725FE"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.851</w:t>
            </w:r>
          </w:p>
        </w:tc>
      </w:tr>
      <w:tr w:rsidR="00C82AAD" w:rsidRPr="00CF31E0" w14:paraId="369D9A9A" w14:textId="77777777" w:rsidTr="00603CB7">
        <w:trPr>
          <w:cantSplit/>
        </w:trPr>
        <w:tc>
          <w:tcPr>
            <w:tcW w:w="1159" w:type="dxa"/>
            <w:vMerge/>
            <w:shd w:val="clear" w:color="auto" w:fill="FFFFFF"/>
          </w:tcPr>
          <w:p w14:paraId="05B0279F" w14:textId="77777777" w:rsidR="000B4835" w:rsidRPr="00CF31E0" w:rsidRDefault="000B4835" w:rsidP="000B4835">
            <w:pPr>
              <w:widowControl w:val="0"/>
              <w:autoSpaceDE w:val="0"/>
              <w:autoSpaceDN w:val="0"/>
              <w:adjustRightInd w:val="0"/>
              <w:jc w:val="both"/>
              <w:rPr>
                <w:rFonts w:eastAsia="Calibri"/>
                <w:color w:val="000000" w:themeColor="text1"/>
                <w:sz w:val="22"/>
                <w:szCs w:val="22"/>
                <w:lang w:eastAsia="en-US"/>
              </w:rPr>
            </w:pPr>
          </w:p>
        </w:tc>
        <w:tc>
          <w:tcPr>
            <w:tcW w:w="1276" w:type="dxa"/>
            <w:shd w:val="clear" w:color="auto" w:fill="FFFFFF"/>
          </w:tcPr>
          <w:p w14:paraId="51ECC0C6" w14:textId="77777777" w:rsidR="000B4835" w:rsidRPr="00CF31E0" w:rsidRDefault="000B4835" w:rsidP="000B4835">
            <w:pPr>
              <w:widowControl w:val="0"/>
              <w:autoSpaceDE w:val="0"/>
              <w:autoSpaceDN w:val="0"/>
              <w:adjustRightInd w:val="0"/>
              <w:spacing w:line="320" w:lineRule="atLeast"/>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5</w:t>
            </w:r>
          </w:p>
        </w:tc>
        <w:tc>
          <w:tcPr>
            <w:tcW w:w="1134" w:type="dxa"/>
            <w:shd w:val="clear" w:color="auto" w:fill="FFFFFF"/>
            <w:vAlign w:val="center"/>
          </w:tcPr>
          <w:p w14:paraId="02AC46BF"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.260</w:t>
            </w:r>
            <w:r w:rsidRPr="00CF31E0">
              <w:rPr>
                <w:rFonts w:eastAsia="Calibri"/>
                <w:color w:val="000000" w:themeColor="text1"/>
                <w:sz w:val="22"/>
                <w:szCs w:val="22"/>
                <w:vertAlign w:val="superscript"/>
                <w:lang w:eastAsia="en-US"/>
              </w:rPr>
              <w:t>*</w:t>
            </w:r>
          </w:p>
        </w:tc>
        <w:tc>
          <w:tcPr>
            <w:tcW w:w="1134" w:type="dxa"/>
            <w:shd w:val="clear" w:color="auto" w:fill="FFFFFF"/>
            <w:vAlign w:val="center"/>
          </w:tcPr>
          <w:p w14:paraId="2622C68F"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.058</w:t>
            </w:r>
          </w:p>
        </w:tc>
        <w:tc>
          <w:tcPr>
            <w:tcW w:w="709" w:type="dxa"/>
            <w:shd w:val="clear" w:color="auto" w:fill="FFFFFF"/>
            <w:vAlign w:val="center"/>
          </w:tcPr>
          <w:p w14:paraId="1F282622"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92" w:type="dxa"/>
            <w:shd w:val="clear" w:color="auto" w:fill="FFFFFF"/>
            <w:vAlign w:val="center"/>
          </w:tcPr>
          <w:p w14:paraId="624BAA16"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.098</w:t>
            </w:r>
          </w:p>
        </w:tc>
        <w:tc>
          <w:tcPr>
            <w:tcW w:w="992" w:type="dxa"/>
            <w:shd w:val="clear" w:color="auto" w:fill="FFFFFF"/>
            <w:vAlign w:val="center"/>
          </w:tcPr>
          <w:p w14:paraId="0BC8EFA1"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.423</w:t>
            </w:r>
          </w:p>
        </w:tc>
      </w:tr>
      <w:tr w:rsidR="00C82AAD" w:rsidRPr="00CF31E0" w14:paraId="13B0E87F" w14:textId="77777777" w:rsidTr="00603CB7">
        <w:trPr>
          <w:cantSplit/>
        </w:trPr>
        <w:tc>
          <w:tcPr>
            <w:tcW w:w="1159" w:type="dxa"/>
            <w:vMerge w:val="restart"/>
            <w:shd w:val="clear" w:color="auto" w:fill="FFFFFF"/>
          </w:tcPr>
          <w:p w14:paraId="5740D8BD" w14:textId="77777777" w:rsidR="000B4835" w:rsidRPr="00CF31E0" w:rsidRDefault="000B4835" w:rsidP="000B4835">
            <w:pPr>
              <w:widowControl w:val="0"/>
              <w:autoSpaceDE w:val="0"/>
              <w:autoSpaceDN w:val="0"/>
              <w:adjustRightInd w:val="0"/>
              <w:spacing w:line="320" w:lineRule="atLeast"/>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2</w:t>
            </w:r>
          </w:p>
        </w:tc>
        <w:tc>
          <w:tcPr>
            <w:tcW w:w="1276" w:type="dxa"/>
            <w:shd w:val="clear" w:color="auto" w:fill="FFFFFF"/>
          </w:tcPr>
          <w:p w14:paraId="6DC7BFD8" w14:textId="77777777" w:rsidR="000B4835" w:rsidRPr="00CF31E0" w:rsidRDefault="000B4835" w:rsidP="000B4835">
            <w:pPr>
              <w:widowControl w:val="0"/>
              <w:autoSpaceDE w:val="0"/>
              <w:autoSpaceDN w:val="0"/>
              <w:adjustRightInd w:val="0"/>
              <w:spacing w:line="320" w:lineRule="atLeast"/>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w:t>
            </w:r>
          </w:p>
        </w:tc>
        <w:tc>
          <w:tcPr>
            <w:tcW w:w="1134" w:type="dxa"/>
            <w:shd w:val="clear" w:color="auto" w:fill="FFFFFF"/>
            <w:vAlign w:val="center"/>
          </w:tcPr>
          <w:p w14:paraId="2317C4F8"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-.686</w:t>
            </w:r>
            <w:r w:rsidRPr="00CF31E0">
              <w:rPr>
                <w:rFonts w:eastAsia="Calibri"/>
                <w:color w:val="000000" w:themeColor="text1"/>
                <w:sz w:val="22"/>
                <w:szCs w:val="22"/>
                <w:vertAlign w:val="superscript"/>
                <w:lang w:eastAsia="en-US"/>
              </w:rPr>
              <w:t>*</w:t>
            </w:r>
          </w:p>
        </w:tc>
        <w:tc>
          <w:tcPr>
            <w:tcW w:w="1134" w:type="dxa"/>
            <w:shd w:val="clear" w:color="auto" w:fill="FFFFFF"/>
            <w:vAlign w:val="center"/>
          </w:tcPr>
          <w:p w14:paraId="61EC2F8A"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.064</w:t>
            </w:r>
          </w:p>
        </w:tc>
        <w:tc>
          <w:tcPr>
            <w:tcW w:w="709" w:type="dxa"/>
            <w:shd w:val="clear" w:color="auto" w:fill="FFFFFF"/>
            <w:vAlign w:val="center"/>
          </w:tcPr>
          <w:p w14:paraId="3CE8ABFB"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92" w:type="dxa"/>
            <w:shd w:val="clear" w:color="auto" w:fill="FFFFFF"/>
            <w:vAlign w:val="center"/>
          </w:tcPr>
          <w:p w14:paraId="451A96C6"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-.865</w:t>
            </w:r>
          </w:p>
        </w:tc>
        <w:tc>
          <w:tcPr>
            <w:tcW w:w="992" w:type="dxa"/>
            <w:shd w:val="clear" w:color="auto" w:fill="FFFFFF"/>
            <w:vAlign w:val="center"/>
          </w:tcPr>
          <w:p w14:paraId="2816F48F"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-.506</w:t>
            </w:r>
          </w:p>
        </w:tc>
      </w:tr>
      <w:tr w:rsidR="00C82AAD" w:rsidRPr="00CF31E0" w14:paraId="5683FF5C" w14:textId="77777777" w:rsidTr="00603CB7">
        <w:trPr>
          <w:cantSplit/>
        </w:trPr>
        <w:tc>
          <w:tcPr>
            <w:tcW w:w="1159" w:type="dxa"/>
            <w:vMerge/>
            <w:shd w:val="clear" w:color="auto" w:fill="FFFFFF"/>
          </w:tcPr>
          <w:p w14:paraId="04D3FBC0" w14:textId="77777777" w:rsidR="000B4835" w:rsidRPr="00CF31E0" w:rsidRDefault="000B4835" w:rsidP="000B4835">
            <w:pPr>
              <w:widowControl w:val="0"/>
              <w:autoSpaceDE w:val="0"/>
              <w:autoSpaceDN w:val="0"/>
              <w:adjustRightInd w:val="0"/>
              <w:jc w:val="both"/>
              <w:rPr>
                <w:rFonts w:eastAsia="Calibri"/>
                <w:color w:val="000000" w:themeColor="text1"/>
                <w:sz w:val="22"/>
                <w:szCs w:val="22"/>
                <w:lang w:eastAsia="en-US"/>
              </w:rPr>
            </w:pPr>
          </w:p>
        </w:tc>
        <w:tc>
          <w:tcPr>
            <w:tcW w:w="1276" w:type="dxa"/>
            <w:shd w:val="clear" w:color="auto" w:fill="FFFFFF"/>
          </w:tcPr>
          <w:p w14:paraId="536D9D49" w14:textId="77777777" w:rsidR="000B4835" w:rsidRPr="00CF31E0" w:rsidRDefault="000B4835" w:rsidP="000B4835">
            <w:pPr>
              <w:widowControl w:val="0"/>
              <w:autoSpaceDE w:val="0"/>
              <w:autoSpaceDN w:val="0"/>
              <w:adjustRightInd w:val="0"/>
              <w:spacing w:line="320" w:lineRule="atLeast"/>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3</w:t>
            </w:r>
          </w:p>
        </w:tc>
        <w:tc>
          <w:tcPr>
            <w:tcW w:w="1134" w:type="dxa"/>
            <w:shd w:val="clear" w:color="auto" w:fill="FFFFFF"/>
            <w:vAlign w:val="center"/>
          </w:tcPr>
          <w:p w14:paraId="2F37DDA0"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-.367</w:t>
            </w:r>
            <w:r w:rsidRPr="00CF31E0">
              <w:rPr>
                <w:rFonts w:eastAsia="Calibri"/>
                <w:color w:val="000000" w:themeColor="text1"/>
                <w:sz w:val="22"/>
                <w:szCs w:val="22"/>
                <w:vertAlign w:val="superscript"/>
                <w:lang w:eastAsia="en-US"/>
              </w:rPr>
              <w:t>*</w:t>
            </w:r>
          </w:p>
        </w:tc>
        <w:tc>
          <w:tcPr>
            <w:tcW w:w="1134" w:type="dxa"/>
            <w:shd w:val="clear" w:color="auto" w:fill="FFFFFF"/>
            <w:vAlign w:val="center"/>
          </w:tcPr>
          <w:p w14:paraId="0D3E1061"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.059</w:t>
            </w:r>
          </w:p>
        </w:tc>
        <w:tc>
          <w:tcPr>
            <w:tcW w:w="709" w:type="dxa"/>
            <w:shd w:val="clear" w:color="auto" w:fill="FFFFFF"/>
            <w:vAlign w:val="center"/>
          </w:tcPr>
          <w:p w14:paraId="21071722"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92" w:type="dxa"/>
            <w:shd w:val="clear" w:color="auto" w:fill="FFFFFF"/>
            <w:vAlign w:val="center"/>
          </w:tcPr>
          <w:p w14:paraId="280F282E"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-.532</w:t>
            </w:r>
          </w:p>
        </w:tc>
        <w:tc>
          <w:tcPr>
            <w:tcW w:w="992" w:type="dxa"/>
            <w:shd w:val="clear" w:color="auto" w:fill="FFFFFF"/>
            <w:vAlign w:val="center"/>
          </w:tcPr>
          <w:p w14:paraId="6885225C"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-.201</w:t>
            </w:r>
          </w:p>
        </w:tc>
      </w:tr>
      <w:tr w:rsidR="00C82AAD" w:rsidRPr="00CF31E0" w14:paraId="083495C6" w14:textId="77777777" w:rsidTr="00603CB7">
        <w:trPr>
          <w:cantSplit/>
        </w:trPr>
        <w:tc>
          <w:tcPr>
            <w:tcW w:w="1159" w:type="dxa"/>
            <w:vMerge/>
            <w:shd w:val="clear" w:color="auto" w:fill="FFFFFF"/>
          </w:tcPr>
          <w:p w14:paraId="20E84165" w14:textId="77777777" w:rsidR="000B4835" w:rsidRPr="00CF31E0" w:rsidRDefault="000B4835" w:rsidP="000B4835">
            <w:pPr>
              <w:widowControl w:val="0"/>
              <w:autoSpaceDE w:val="0"/>
              <w:autoSpaceDN w:val="0"/>
              <w:adjustRightInd w:val="0"/>
              <w:jc w:val="both"/>
              <w:rPr>
                <w:rFonts w:eastAsia="Calibri"/>
                <w:color w:val="000000" w:themeColor="text1"/>
                <w:sz w:val="22"/>
                <w:szCs w:val="22"/>
                <w:lang w:eastAsia="en-US"/>
              </w:rPr>
            </w:pPr>
          </w:p>
        </w:tc>
        <w:tc>
          <w:tcPr>
            <w:tcW w:w="1276" w:type="dxa"/>
            <w:shd w:val="clear" w:color="auto" w:fill="FFFFFF"/>
          </w:tcPr>
          <w:p w14:paraId="0921726C" w14:textId="77777777" w:rsidR="000B4835" w:rsidRPr="00CF31E0" w:rsidRDefault="000B4835" w:rsidP="000B4835">
            <w:pPr>
              <w:widowControl w:val="0"/>
              <w:autoSpaceDE w:val="0"/>
              <w:autoSpaceDN w:val="0"/>
              <w:adjustRightInd w:val="0"/>
              <w:spacing w:line="320" w:lineRule="atLeast"/>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4</w:t>
            </w:r>
          </w:p>
        </w:tc>
        <w:tc>
          <w:tcPr>
            <w:tcW w:w="1134" w:type="dxa"/>
            <w:shd w:val="clear" w:color="auto" w:fill="FFFFFF"/>
            <w:vAlign w:val="center"/>
          </w:tcPr>
          <w:p w14:paraId="632F4B96"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-.011</w:t>
            </w:r>
          </w:p>
        </w:tc>
        <w:tc>
          <w:tcPr>
            <w:tcW w:w="1134" w:type="dxa"/>
            <w:shd w:val="clear" w:color="auto" w:fill="FFFFFF"/>
            <w:vAlign w:val="center"/>
          </w:tcPr>
          <w:p w14:paraId="287395BB"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.046</w:t>
            </w:r>
          </w:p>
        </w:tc>
        <w:tc>
          <w:tcPr>
            <w:tcW w:w="709" w:type="dxa"/>
            <w:shd w:val="clear" w:color="auto" w:fill="FFFFFF"/>
            <w:vAlign w:val="center"/>
          </w:tcPr>
          <w:p w14:paraId="7543F169"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1.000</w:t>
            </w:r>
          </w:p>
        </w:tc>
        <w:tc>
          <w:tcPr>
            <w:tcW w:w="992" w:type="dxa"/>
            <w:shd w:val="clear" w:color="auto" w:fill="FFFFFF"/>
            <w:vAlign w:val="center"/>
          </w:tcPr>
          <w:p w14:paraId="4A91381D"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-.141</w:t>
            </w:r>
          </w:p>
        </w:tc>
        <w:tc>
          <w:tcPr>
            <w:tcW w:w="992" w:type="dxa"/>
            <w:shd w:val="clear" w:color="auto" w:fill="FFFFFF"/>
            <w:vAlign w:val="center"/>
          </w:tcPr>
          <w:p w14:paraId="40228AD3"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.119</w:t>
            </w:r>
          </w:p>
        </w:tc>
      </w:tr>
      <w:tr w:rsidR="00C82AAD" w:rsidRPr="00CF31E0" w14:paraId="726BB067" w14:textId="77777777" w:rsidTr="00603CB7">
        <w:trPr>
          <w:cantSplit/>
        </w:trPr>
        <w:tc>
          <w:tcPr>
            <w:tcW w:w="1159" w:type="dxa"/>
            <w:vMerge/>
            <w:shd w:val="clear" w:color="auto" w:fill="FFFFFF"/>
          </w:tcPr>
          <w:p w14:paraId="64628D97" w14:textId="77777777" w:rsidR="000B4835" w:rsidRPr="00CF31E0" w:rsidRDefault="000B4835" w:rsidP="000B4835">
            <w:pPr>
              <w:widowControl w:val="0"/>
              <w:autoSpaceDE w:val="0"/>
              <w:autoSpaceDN w:val="0"/>
              <w:adjustRightInd w:val="0"/>
              <w:jc w:val="both"/>
              <w:rPr>
                <w:rFonts w:eastAsia="Calibri"/>
                <w:color w:val="000000" w:themeColor="text1"/>
                <w:sz w:val="22"/>
                <w:szCs w:val="22"/>
                <w:lang w:eastAsia="en-US"/>
              </w:rPr>
            </w:pPr>
          </w:p>
        </w:tc>
        <w:tc>
          <w:tcPr>
            <w:tcW w:w="1276" w:type="dxa"/>
            <w:shd w:val="clear" w:color="auto" w:fill="FFFFFF"/>
          </w:tcPr>
          <w:p w14:paraId="33DED0B1" w14:textId="77777777" w:rsidR="000B4835" w:rsidRPr="00CF31E0" w:rsidRDefault="000B4835" w:rsidP="000B4835">
            <w:pPr>
              <w:widowControl w:val="0"/>
              <w:autoSpaceDE w:val="0"/>
              <w:autoSpaceDN w:val="0"/>
              <w:adjustRightInd w:val="0"/>
              <w:spacing w:line="320" w:lineRule="atLeast"/>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5</w:t>
            </w:r>
          </w:p>
        </w:tc>
        <w:tc>
          <w:tcPr>
            <w:tcW w:w="1134" w:type="dxa"/>
            <w:shd w:val="clear" w:color="auto" w:fill="FFFFFF"/>
            <w:vAlign w:val="center"/>
          </w:tcPr>
          <w:p w14:paraId="05F8F34A"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-.425</w:t>
            </w:r>
            <w:r w:rsidRPr="00CF31E0">
              <w:rPr>
                <w:rFonts w:eastAsia="Calibri"/>
                <w:color w:val="000000" w:themeColor="text1"/>
                <w:sz w:val="22"/>
                <w:szCs w:val="22"/>
                <w:vertAlign w:val="superscript"/>
                <w:lang w:eastAsia="en-US"/>
              </w:rPr>
              <w:t>*</w:t>
            </w:r>
          </w:p>
        </w:tc>
        <w:tc>
          <w:tcPr>
            <w:tcW w:w="1134" w:type="dxa"/>
            <w:shd w:val="clear" w:color="auto" w:fill="FFFFFF"/>
            <w:vAlign w:val="center"/>
          </w:tcPr>
          <w:p w14:paraId="3A9A2152"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.051</w:t>
            </w:r>
          </w:p>
        </w:tc>
        <w:tc>
          <w:tcPr>
            <w:tcW w:w="709" w:type="dxa"/>
            <w:shd w:val="clear" w:color="auto" w:fill="FFFFFF"/>
            <w:vAlign w:val="center"/>
          </w:tcPr>
          <w:p w14:paraId="45FD0C8C"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92" w:type="dxa"/>
            <w:shd w:val="clear" w:color="auto" w:fill="FFFFFF"/>
            <w:vAlign w:val="center"/>
          </w:tcPr>
          <w:p w14:paraId="17D734D2"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-.568</w:t>
            </w:r>
          </w:p>
        </w:tc>
        <w:tc>
          <w:tcPr>
            <w:tcW w:w="992" w:type="dxa"/>
            <w:shd w:val="clear" w:color="auto" w:fill="FFFFFF"/>
            <w:vAlign w:val="center"/>
          </w:tcPr>
          <w:p w14:paraId="36122D96"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-.282</w:t>
            </w:r>
          </w:p>
        </w:tc>
      </w:tr>
      <w:tr w:rsidR="00C82AAD" w:rsidRPr="00CF31E0" w14:paraId="2D850CC0" w14:textId="77777777" w:rsidTr="00603CB7">
        <w:trPr>
          <w:cantSplit/>
        </w:trPr>
        <w:tc>
          <w:tcPr>
            <w:tcW w:w="1159" w:type="dxa"/>
            <w:vMerge w:val="restart"/>
            <w:shd w:val="clear" w:color="auto" w:fill="FFFFFF"/>
          </w:tcPr>
          <w:p w14:paraId="285B4240" w14:textId="77777777" w:rsidR="000B4835" w:rsidRPr="00CF31E0" w:rsidRDefault="000B4835" w:rsidP="000B4835">
            <w:pPr>
              <w:widowControl w:val="0"/>
              <w:autoSpaceDE w:val="0"/>
              <w:autoSpaceDN w:val="0"/>
              <w:adjustRightInd w:val="0"/>
              <w:spacing w:line="320" w:lineRule="atLeast"/>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3</w:t>
            </w:r>
          </w:p>
        </w:tc>
        <w:tc>
          <w:tcPr>
            <w:tcW w:w="1276" w:type="dxa"/>
            <w:shd w:val="clear" w:color="auto" w:fill="FFFFFF"/>
          </w:tcPr>
          <w:p w14:paraId="50095B34" w14:textId="77777777" w:rsidR="000B4835" w:rsidRPr="00CF31E0" w:rsidRDefault="000B4835" w:rsidP="000B4835">
            <w:pPr>
              <w:widowControl w:val="0"/>
              <w:autoSpaceDE w:val="0"/>
              <w:autoSpaceDN w:val="0"/>
              <w:adjustRightInd w:val="0"/>
              <w:spacing w:line="320" w:lineRule="atLeast"/>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w:t>
            </w:r>
          </w:p>
        </w:tc>
        <w:tc>
          <w:tcPr>
            <w:tcW w:w="1134" w:type="dxa"/>
            <w:shd w:val="clear" w:color="auto" w:fill="FFFFFF"/>
            <w:vAlign w:val="center"/>
          </w:tcPr>
          <w:p w14:paraId="11FCBE73"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-.319</w:t>
            </w:r>
            <w:r w:rsidRPr="00CF31E0">
              <w:rPr>
                <w:rFonts w:eastAsia="Calibri"/>
                <w:color w:val="000000" w:themeColor="text1"/>
                <w:sz w:val="22"/>
                <w:szCs w:val="22"/>
                <w:vertAlign w:val="superscript"/>
                <w:lang w:eastAsia="en-US"/>
              </w:rPr>
              <w:t>*</w:t>
            </w:r>
          </w:p>
        </w:tc>
        <w:tc>
          <w:tcPr>
            <w:tcW w:w="1134" w:type="dxa"/>
            <w:shd w:val="clear" w:color="auto" w:fill="FFFFFF"/>
            <w:vAlign w:val="center"/>
          </w:tcPr>
          <w:p w14:paraId="2822EC1D"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.048</w:t>
            </w:r>
          </w:p>
        </w:tc>
        <w:tc>
          <w:tcPr>
            <w:tcW w:w="709" w:type="dxa"/>
            <w:shd w:val="clear" w:color="auto" w:fill="FFFFFF"/>
            <w:vAlign w:val="center"/>
          </w:tcPr>
          <w:p w14:paraId="5EC8E010"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92" w:type="dxa"/>
            <w:shd w:val="clear" w:color="auto" w:fill="FFFFFF"/>
            <w:vAlign w:val="center"/>
          </w:tcPr>
          <w:p w14:paraId="5B48A33F"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-.454</w:t>
            </w:r>
          </w:p>
        </w:tc>
        <w:tc>
          <w:tcPr>
            <w:tcW w:w="992" w:type="dxa"/>
            <w:shd w:val="clear" w:color="auto" w:fill="FFFFFF"/>
            <w:vAlign w:val="center"/>
          </w:tcPr>
          <w:p w14:paraId="0CAB9523"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-.184</w:t>
            </w:r>
          </w:p>
        </w:tc>
      </w:tr>
      <w:tr w:rsidR="00C82AAD" w:rsidRPr="00CF31E0" w14:paraId="42C0FBA1" w14:textId="77777777" w:rsidTr="00603CB7">
        <w:trPr>
          <w:cantSplit/>
        </w:trPr>
        <w:tc>
          <w:tcPr>
            <w:tcW w:w="1159" w:type="dxa"/>
            <w:vMerge/>
            <w:shd w:val="clear" w:color="auto" w:fill="FFFFFF"/>
          </w:tcPr>
          <w:p w14:paraId="6446DB98" w14:textId="77777777" w:rsidR="000B4835" w:rsidRPr="00CF31E0" w:rsidRDefault="000B4835" w:rsidP="000B4835">
            <w:pPr>
              <w:widowControl w:val="0"/>
              <w:autoSpaceDE w:val="0"/>
              <w:autoSpaceDN w:val="0"/>
              <w:adjustRightInd w:val="0"/>
              <w:jc w:val="both"/>
              <w:rPr>
                <w:rFonts w:eastAsia="Calibri"/>
                <w:color w:val="000000" w:themeColor="text1"/>
                <w:sz w:val="22"/>
                <w:szCs w:val="22"/>
                <w:lang w:eastAsia="en-US"/>
              </w:rPr>
            </w:pPr>
          </w:p>
        </w:tc>
        <w:tc>
          <w:tcPr>
            <w:tcW w:w="1276" w:type="dxa"/>
            <w:shd w:val="clear" w:color="auto" w:fill="FFFFFF"/>
          </w:tcPr>
          <w:p w14:paraId="0D6338C1" w14:textId="77777777" w:rsidR="000B4835" w:rsidRPr="00CF31E0" w:rsidRDefault="000B4835" w:rsidP="000B4835">
            <w:pPr>
              <w:widowControl w:val="0"/>
              <w:autoSpaceDE w:val="0"/>
              <w:autoSpaceDN w:val="0"/>
              <w:adjustRightInd w:val="0"/>
              <w:spacing w:line="320" w:lineRule="atLeast"/>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2</w:t>
            </w:r>
          </w:p>
        </w:tc>
        <w:tc>
          <w:tcPr>
            <w:tcW w:w="1134" w:type="dxa"/>
            <w:shd w:val="clear" w:color="auto" w:fill="FFFFFF"/>
            <w:vAlign w:val="center"/>
          </w:tcPr>
          <w:p w14:paraId="3284F21F"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.367</w:t>
            </w:r>
            <w:r w:rsidRPr="00CF31E0">
              <w:rPr>
                <w:rFonts w:eastAsia="Calibri"/>
                <w:color w:val="000000" w:themeColor="text1"/>
                <w:sz w:val="22"/>
                <w:szCs w:val="22"/>
                <w:vertAlign w:val="superscript"/>
                <w:lang w:eastAsia="en-US"/>
              </w:rPr>
              <w:t>*</w:t>
            </w:r>
          </w:p>
        </w:tc>
        <w:tc>
          <w:tcPr>
            <w:tcW w:w="1134" w:type="dxa"/>
            <w:shd w:val="clear" w:color="auto" w:fill="FFFFFF"/>
            <w:vAlign w:val="center"/>
          </w:tcPr>
          <w:p w14:paraId="314956F8"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.059</w:t>
            </w:r>
          </w:p>
        </w:tc>
        <w:tc>
          <w:tcPr>
            <w:tcW w:w="709" w:type="dxa"/>
            <w:shd w:val="clear" w:color="auto" w:fill="FFFFFF"/>
            <w:vAlign w:val="center"/>
          </w:tcPr>
          <w:p w14:paraId="659A3B69"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92" w:type="dxa"/>
            <w:shd w:val="clear" w:color="auto" w:fill="FFFFFF"/>
            <w:vAlign w:val="center"/>
          </w:tcPr>
          <w:p w14:paraId="68E62ABF"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.201</w:t>
            </w:r>
          </w:p>
        </w:tc>
        <w:tc>
          <w:tcPr>
            <w:tcW w:w="992" w:type="dxa"/>
            <w:shd w:val="clear" w:color="auto" w:fill="FFFFFF"/>
            <w:vAlign w:val="center"/>
          </w:tcPr>
          <w:p w14:paraId="6102C809"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.532</w:t>
            </w:r>
          </w:p>
        </w:tc>
      </w:tr>
      <w:tr w:rsidR="00C82AAD" w:rsidRPr="00CF31E0" w14:paraId="3B851089" w14:textId="77777777" w:rsidTr="00603CB7">
        <w:trPr>
          <w:cantSplit/>
        </w:trPr>
        <w:tc>
          <w:tcPr>
            <w:tcW w:w="1159" w:type="dxa"/>
            <w:vMerge/>
            <w:shd w:val="clear" w:color="auto" w:fill="FFFFFF"/>
          </w:tcPr>
          <w:p w14:paraId="00821AB8" w14:textId="77777777" w:rsidR="000B4835" w:rsidRPr="00CF31E0" w:rsidRDefault="000B4835" w:rsidP="000B4835">
            <w:pPr>
              <w:widowControl w:val="0"/>
              <w:autoSpaceDE w:val="0"/>
              <w:autoSpaceDN w:val="0"/>
              <w:adjustRightInd w:val="0"/>
              <w:jc w:val="both"/>
              <w:rPr>
                <w:rFonts w:eastAsia="Calibri"/>
                <w:color w:val="000000" w:themeColor="text1"/>
                <w:sz w:val="22"/>
                <w:szCs w:val="22"/>
                <w:lang w:eastAsia="en-US"/>
              </w:rPr>
            </w:pPr>
          </w:p>
        </w:tc>
        <w:tc>
          <w:tcPr>
            <w:tcW w:w="1276" w:type="dxa"/>
            <w:shd w:val="clear" w:color="auto" w:fill="FFFFFF"/>
          </w:tcPr>
          <w:p w14:paraId="1A47C669" w14:textId="77777777" w:rsidR="000B4835" w:rsidRPr="00CF31E0" w:rsidRDefault="000B4835" w:rsidP="000B4835">
            <w:pPr>
              <w:widowControl w:val="0"/>
              <w:autoSpaceDE w:val="0"/>
              <w:autoSpaceDN w:val="0"/>
              <w:adjustRightInd w:val="0"/>
              <w:spacing w:line="320" w:lineRule="atLeast"/>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4</w:t>
            </w:r>
          </w:p>
        </w:tc>
        <w:tc>
          <w:tcPr>
            <w:tcW w:w="1134" w:type="dxa"/>
            <w:shd w:val="clear" w:color="auto" w:fill="FFFFFF"/>
            <w:vAlign w:val="center"/>
          </w:tcPr>
          <w:p w14:paraId="4E935B26"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.356</w:t>
            </w:r>
            <w:r w:rsidRPr="00CF31E0">
              <w:rPr>
                <w:rFonts w:eastAsia="Calibri"/>
                <w:color w:val="000000" w:themeColor="text1"/>
                <w:sz w:val="22"/>
                <w:szCs w:val="22"/>
                <w:vertAlign w:val="superscript"/>
                <w:lang w:eastAsia="en-US"/>
              </w:rPr>
              <w:t>*</w:t>
            </w:r>
          </w:p>
        </w:tc>
        <w:tc>
          <w:tcPr>
            <w:tcW w:w="1134" w:type="dxa"/>
            <w:shd w:val="clear" w:color="auto" w:fill="FFFFFF"/>
            <w:vAlign w:val="center"/>
          </w:tcPr>
          <w:p w14:paraId="061C9E35"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.057</w:t>
            </w:r>
          </w:p>
        </w:tc>
        <w:tc>
          <w:tcPr>
            <w:tcW w:w="709" w:type="dxa"/>
            <w:shd w:val="clear" w:color="auto" w:fill="FFFFFF"/>
            <w:vAlign w:val="center"/>
          </w:tcPr>
          <w:p w14:paraId="12EE0783"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92" w:type="dxa"/>
            <w:shd w:val="clear" w:color="auto" w:fill="FFFFFF"/>
            <w:vAlign w:val="center"/>
          </w:tcPr>
          <w:p w14:paraId="50A2DF2A"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.196</w:t>
            </w:r>
          </w:p>
        </w:tc>
        <w:tc>
          <w:tcPr>
            <w:tcW w:w="992" w:type="dxa"/>
            <w:shd w:val="clear" w:color="auto" w:fill="FFFFFF"/>
            <w:vAlign w:val="center"/>
          </w:tcPr>
          <w:p w14:paraId="13583F67"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.516</w:t>
            </w:r>
          </w:p>
        </w:tc>
      </w:tr>
      <w:tr w:rsidR="00C82AAD" w:rsidRPr="00CF31E0" w14:paraId="2D376BA5" w14:textId="77777777" w:rsidTr="00603CB7">
        <w:trPr>
          <w:cantSplit/>
        </w:trPr>
        <w:tc>
          <w:tcPr>
            <w:tcW w:w="1159" w:type="dxa"/>
            <w:vMerge/>
            <w:shd w:val="clear" w:color="auto" w:fill="FFFFFF"/>
          </w:tcPr>
          <w:p w14:paraId="7AD8217F" w14:textId="77777777" w:rsidR="000B4835" w:rsidRPr="00CF31E0" w:rsidRDefault="000B4835" w:rsidP="000B4835">
            <w:pPr>
              <w:widowControl w:val="0"/>
              <w:autoSpaceDE w:val="0"/>
              <w:autoSpaceDN w:val="0"/>
              <w:adjustRightInd w:val="0"/>
              <w:jc w:val="both"/>
              <w:rPr>
                <w:rFonts w:eastAsia="Calibri"/>
                <w:color w:val="000000" w:themeColor="text1"/>
                <w:sz w:val="22"/>
                <w:szCs w:val="22"/>
                <w:lang w:eastAsia="en-US"/>
              </w:rPr>
            </w:pPr>
          </w:p>
        </w:tc>
        <w:tc>
          <w:tcPr>
            <w:tcW w:w="1276" w:type="dxa"/>
            <w:shd w:val="clear" w:color="auto" w:fill="FFFFFF"/>
          </w:tcPr>
          <w:p w14:paraId="5089FB26" w14:textId="77777777" w:rsidR="000B4835" w:rsidRPr="00CF31E0" w:rsidRDefault="000B4835" w:rsidP="000B4835">
            <w:pPr>
              <w:widowControl w:val="0"/>
              <w:autoSpaceDE w:val="0"/>
              <w:autoSpaceDN w:val="0"/>
              <w:adjustRightInd w:val="0"/>
              <w:spacing w:line="320" w:lineRule="atLeast"/>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5</w:t>
            </w:r>
          </w:p>
        </w:tc>
        <w:tc>
          <w:tcPr>
            <w:tcW w:w="1134" w:type="dxa"/>
            <w:shd w:val="clear" w:color="auto" w:fill="FFFFFF"/>
            <w:vAlign w:val="center"/>
          </w:tcPr>
          <w:p w14:paraId="5874BDF0"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-.059</w:t>
            </w:r>
          </w:p>
        </w:tc>
        <w:tc>
          <w:tcPr>
            <w:tcW w:w="1134" w:type="dxa"/>
            <w:shd w:val="clear" w:color="auto" w:fill="FFFFFF"/>
            <w:vAlign w:val="center"/>
          </w:tcPr>
          <w:p w14:paraId="11A797ED"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.055</w:t>
            </w:r>
          </w:p>
        </w:tc>
        <w:tc>
          <w:tcPr>
            <w:tcW w:w="709" w:type="dxa"/>
            <w:shd w:val="clear" w:color="auto" w:fill="FFFFFF"/>
            <w:vAlign w:val="center"/>
          </w:tcPr>
          <w:p w14:paraId="657C1C9D"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1.000</w:t>
            </w:r>
          </w:p>
        </w:tc>
        <w:tc>
          <w:tcPr>
            <w:tcW w:w="992" w:type="dxa"/>
            <w:shd w:val="clear" w:color="auto" w:fill="FFFFFF"/>
            <w:vAlign w:val="center"/>
          </w:tcPr>
          <w:p w14:paraId="656291BE"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-.212</w:t>
            </w:r>
          </w:p>
        </w:tc>
        <w:tc>
          <w:tcPr>
            <w:tcW w:w="992" w:type="dxa"/>
            <w:shd w:val="clear" w:color="auto" w:fill="FFFFFF"/>
            <w:vAlign w:val="center"/>
          </w:tcPr>
          <w:p w14:paraId="117E16A5"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.095</w:t>
            </w:r>
          </w:p>
        </w:tc>
      </w:tr>
      <w:tr w:rsidR="00C82AAD" w:rsidRPr="00CF31E0" w14:paraId="36D14C1D" w14:textId="77777777" w:rsidTr="00603CB7">
        <w:trPr>
          <w:cantSplit/>
        </w:trPr>
        <w:tc>
          <w:tcPr>
            <w:tcW w:w="1159" w:type="dxa"/>
            <w:vMerge w:val="restart"/>
            <w:shd w:val="clear" w:color="auto" w:fill="FFFFFF"/>
          </w:tcPr>
          <w:p w14:paraId="42295928" w14:textId="77777777" w:rsidR="000B4835" w:rsidRPr="00CF31E0" w:rsidRDefault="000B4835" w:rsidP="000B4835">
            <w:pPr>
              <w:widowControl w:val="0"/>
              <w:autoSpaceDE w:val="0"/>
              <w:autoSpaceDN w:val="0"/>
              <w:adjustRightInd w:val="0"/>
              <w:spacing w:line="320" w:lineRule="atLeast"/>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4</w:t>
            </w:r>
          </w:p>
        </w:tc>
        <w:tc>
          <w:tcPr>
            <w:tcW w:w="1276" w:type="dxa"/>
            <w:shd w:val="clear" w:color="auto" w:fill="FFFFFF"/>
          </w:tcPr>
          <w:p w14:paraId="474E208F" w14:textId="77777777" w:rsidR="000B4835" w:rsidRPr="00CF31E0" w:rsidRDefault="000B4835" w:rsidP="000B4835">
            <w:pPr>
              <w:widowControl w:val="0"/>
              <w:autoSpaceDE w:val="0"/>
              <w:autoSpaceDN w:val="0"/>
              <w:adjustRightInd w:val="0"/>
              <w:spacing w:line="320" w:lineRule="atLeast"/>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w:t>
            </w:r>
          </w:p>
        </w:tc>
        <w:tc>
          <w:tcPr>
            <w:tcW w:w="1134" w:type="dxa"/>
            <w:shd w:val="clear" w:color="auto" w:fill="FFFFFF"/>
            <w:vAlign w:val="center"/>
          </w:tcPr>
          <w:p w14:paraId="1B43DD4D"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-.675</w:t>
            </w:r>
            <w:r w:rsidRPr="00CF31E0">
              <w:rPr>
                <w:rFonts w:eastAsia="Calibri"/>
                <w:color w:val="000000" w:themeColor="text1"/>
                <w:sz w:val="22"/>
                <w:szCs w:val="22"/>
                <w:vertAlign w:val="superscript"/>
                <w:lang w:eastAsia="en-US"/>
              </w:rPr>
              <w:t>*</w:t>
            </w:r>
          </w:p>
        </w:tc>
        <w:tc>
          <w:tcPr>
            <w:tcW w:w="1134" w:type="dxa"/>
            <w:shd w:val="clear" w:color="auto" w:fill="FFFFFF"/>
            <w:vAlign w:val="center"/>
          </w:tcPr>
          <w:p w14:paraId="158D942A"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.062</w:t>
            </w:r>
          </w:p>
        </w:tc>
        <w:tc>
          <w:tcPr>
            <w:tcW w:w="709" w:type="dxa"/>
            <w:shd w:val="clear" w:color="auto" w:fill="FFFFFF"/>
            <w:vAlign w:val="center"/>
          </w:tcPr>
          <w:p w14:paraId="7379C3C8"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92" w:type="dxa"/>
            <w:shd w:val="clear" w:color="auto" w:fill="FFFFFF"/>
            <w:vAlign w:val="center"/>
          </w:tcPr>
          <w:p w14:paraId="2158B629"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-.851</w:t>
            </w:r>
          </w:p>
        </w:tc>
        <w:tc>
          <w:tcPr>
            <w:tcW w:w="992" w:type="dxa"/>
            <w:shd w:val="clear" w:color="auto" w:fill="FFFFFF"/>
            <w:vAlign w:val="center"/>
          </w:tcPr>
          <w:p w14:paraId="635108F3"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-.499</w:t>
            </w:r>
          </w:p>
        </w:tc>
      </w:tr>
      <w:tr w:rsidR="00C82AAD" w:rsidRPr="00CF31E0" w14:paraId="6E7888DA" w14:textId="77777777" w:rsidTr="00603CB7">
        <w:trPr>
          <w:cantSplit/>
        </w:trPr>
        <w:tc>
          <w:tcPr>
            <w:tcW w:w="1159" w:type="dxa"/>
            <w:vMerge/>
            <w:shd w:val="clear" w:color="auto" w:fill="FFFFFF"/>
          </w:tcPr>
          <w:p w14:paraId="1661B55A" w14:textId="77777777" w:rsidR="000B4835" w:rsidRPr="00CF31E0" w:rsidRDefault="000B4835" w:rsidP="000B4835">
            <w:pPr>
              <w:widowControl w:val="0"/>
              <w:autoSpaceDE w:val="0"/>
              <w:autoSpaceDN w:val="0"/>
              <w:adjustRightInd w:val="0"/>
              <w:jc w:val="both"/>
              <w:rPr>
                <w:rFonts w:eastAsia="Calibri"/>
                <w:color w:val="000000" w:themeColor="text1"/>
                <w:sz w:val="22"/>
                <w:szCs w:val="22"/>
                <w:lang w:eastAsia="en-US"/>
              </w:rPr>
            </w:pPr>
          </w:p>
        </w:tc>
        <w:tc>
          <w:tcPr>
            <w:tcW w:w="1276" w:type="dxa"/>
            <w:shd w:val="clear" w:color="auto" w:fill="FFFFFF"/>
          </w:tcPr>
          <w:p w14:paraId="3D76F5BE" w14:textId="77777777" w:rsidR="000B4835" w:rsidRPr="00CF31E0" w:rsidRDefault="000B4835" w:rsidP="000B4835">
            <w:pPr>
              <w:widowControl w:val="0"/>
              <w:autoSpaceDE w:val="0"/>
              <w:autoSpaceDN w:val="0"/>
              <w:adjustRightInd w:val="0"/>
              <w:spacing w:line="320" w:lineRule="atLeast"/>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2</w:t>
            </w:r>
          </w:p>
        </w:tc>
        <w:tc>
          <w:tcPr>
            <w:tcW w:w="1134" w:type="dxa"/>
            <w:shd w:val="clear" w:color="auto" w:fill="FFFFFF"/>
            <w:vAlign w:val="center"/>
          </w:tcPr>
          <w:p w14:paraId="17BE4EC5"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.011</w:t>
            </w:r>
          </w:p>
        </w:tc>
        <w:tc>
          <w:tcPr>
            <w:tcW w:w="1134" w:type="dxa"/>
            <w:shd w:val="clear" w:color="auto" w:fill="FFFFFF"/>
            <w:vAlign w:val="center"/>
          </w:tcPr>
          <w:p w14:paraId="7AE09FBF"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.046</w:t>
            </w:r>
          </w:p>
        </w:tc>
        <w:tc>
          <w:tcPr>
            <w:tcW w:w="709" w:type="dxa"/>
            <w:shd w:val="clear" w:color="auto" w:fill="FFFFFF"/>
            <w:vAlign w:val="center"/>
          </w:tcPr>
          <w:p w14:paraId="165D6DD5"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1.000</w:t>
            </w:r>
          </w:p>
        </w:tc>
        <w:tc>
          <w:tcPr>
            <w:tcW w:w="992" w:type="dxa"/>
            <w:shd w:val="clear" w:color="auto" w:fill="FFFFFF"/>
            <w:vAlign w:val="center"/>
          </w:tcPr>
          <w:p w14:paraId="194B3935"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-.119</w:t>
            </w:r>
          </w:p>
        </w:tc>
        <w:tc>
          <w:tcPr>
            <w:tcW w:w="992" w:type="dxa"/>
            <w:shd w:val="clear" w:color="auto" w:fill="FFFFFF"/>
            <w:vAlign w:val="center"/>
          </w:tcPr>
          <w:p w14:paraId="75DE5BE6"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.141</w:t>
            </w:r>
          </w:p>
        </w:tc>
      </w:tr>
      <w:tr w:rsidR="00C82AAD" w:rsidRPr="00CF31E0" w14:paraId="614DA3B8" w14:textId="77777777" w:rsidTr="00603CB7">
        <w:trPr>
          <w:cantSplit/>
        </w:trPr>
        <w:tc>
          <w:tcPr>
            <w:tcW w:w="1159" w:type="dxa"/>
            <w:vMerge/>
            <w:shd w:val="clear" w:color="auto" w:fill="FFFFFF"/>
          </w:tcPr>
          <w:p w14:paraId="21270E9B" w14:textId="77777777" w:rsidR="000B4835" w:rsidRPr="00CF31E0" w:rsidRDefault="000B4835" w:rsidP="000B4835">
            <w:pPr>
              <w:widowControl w:val="0"/>
              <w:autoSpaceDE w:val="0"/>
              <w:autoSpaceDN w:val="0"/>
              <w:adjustRightInd w:val="0"/>
              <w:jc w:val="both"/>
              <w:rPr>
                <w:rFonts w:eastAsia="Calibri"/>
                <w:color w:val="000000" w:themeColor="text1"/>
                <w:sz w:val="22"/>
                <w:szCs w:val="22"/>
                <w:lang w:eastAsia="en-US"/>
              </w:rPr>
            </w:pPr>
          </w:p>
        </w:tc>
        <w:tc>
          <w:tcPr>
            <w:tcW w:w="1276" w:type="dxa"/>
            <w:shd w:val="clear" w:color="auto" w:fill="FFFFFF"/>
          </w:tcPr>
          <w:p w14:paraId="72680A13" w14:textId="77777777" w:rsidR="000B4835" w:rsidRPr="00CF31E0" w:rsidRDefault="000B4835" w:rsidP="000B4835">
            <w:pPr>
              <w:widowControl w:val="0"/>
              <w:autoSpaceDE w:val="0"/>
              <w:autoSpaceDN w:val="0"/>
              <w:adjustRightInd w:val="0"/>
              <w:spacing w:line="320" w:lineRule="atLeast"/>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3</w:t>
            </w:r>
          </w:p>
        </w:tc>
        <w:tc>
          <w:tcPr>
            <w:tcW w:w="1134" w:type="dxa"/>
            <w:shd w:val="clear" w:color="auto" w:fill="FFFFFF"/>
            <w:vAlign w:val="center"/>
          </w:tcPr>
          <w:p w14:paraId="1C577CD5"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-.356</w:t>
            </w:r>
            <w:r w:rsidRPr="00CF31E0">
              <w:rPr>
                <w:rFonts w:eastAsia="Calibri"/>
                <w:color w:val="000000" w:themeColor="text1"/>
                <w:sz w:val="22"/>
                <w:szCs w:val="22"/>
                <w:vertAlign w:val="superscript"/>
                <w:lang w:eastAsia="en-US"/>
              </w:rPr>
              <w:t>*</w:t>
            </w:r>
          </w:p>
        </w:tc>
        <w:tc>
          <w:tcPr>
            <w:tcW w:w="1134" w:type="dxa"/>
            <w:shd w:val="clear" w:color="auto" w:fill="FFFFFF"/>
            <w:vAlign w:val="center"/>
          </w:tcPr>
          <w:p w14:paraId="635CA981"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.057</w:t>
            </w:r>
          </w:p>
        </w:tc>
        <w:tc>
          <w:tcPr>
            <w:tcW w:w="709" w:type="dxa"/>
            <w:shd w:val="clear" w:color="auto" w:fill="FFFFFF"/>
            <w:vAlign w:val="center"/>
          </w:tcPr>
          <w:p w14:paraId="74DFA78E"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92" w:type="dxa"/>
            <w:shd w:val="clear" w:color="auto" w:fill="FFFFFF"/>
            <w:vAlign w:val="center"/>
          </w:tcPr>
          <w:p w14:paraId="432BEFCB"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-.516</w:t>
            </w:r>
          </w:p>
        </w:tc>
        <w:tc>
          <w:tcPr>
            <w:tcW w:w="992" w:type="dxa"/>
            <w:shd w:val="clear" w:color="auto" w:fill="FFFFFF"/>
            <w:vAlign w:val="center"/>
          </w:tcPr>
          <w:p w14:paraId="079B064E"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-.196</w:t>
            </w:r>
          </w:p>
        </w:tc>
      </w:tr>
      <w:tr w:rsidR="00C82AAD" w:rsidRPr="00CF31E0" w14:paraId="32E581EB" w14:textId="77777777" w:rsidTr="00603CB7">
        <w:trPr>
          <w:cantSplit/>
        </w:trPr>
        <w:tc>
          <w:tcPr>
            <w:tcW w:w="1159" w:type="dxa"/>
            <w:vMerge/>
            <w:shd w:val="clear" w:color="auto" w:fill="FFFFFF"/>
          </w:tcPr>
          <w:p w14:paraId="7A8EAB52" w14:textId="77777777" w:rsidR="000B4835" w:rsidRPr="00CF31E0" w:rsidRDefault="000B4835" w:rsidP="000B4835">
            <w:pPr>
              <w:widowControl w:val="0"/>
              <w:autoSpaceDE w:val="0"/>
              <w:autoSpaceDN w:val="0"/>
              <w:adjustRightInd w:val="0"/>
              <w:jc w:val="both"/>
              <w:rPr>
                <w:rFonts w:eastAsia="Calibri"/>
                <w:color w:val="000000" w:themeColor="text1"/>
                <w:sz w:val="22"/>
                <w:szCs w:val="22"/>
                <w:lang w:eastAsia="en-US"/>
              </w:rPr>
            </w:pPr>
          </w:p>
        </w:tc>
        <w:tc>
          <w:tcPr>
            <w:tcW w:w="1276" w:type="dxa"/>
            <w:shd w:val="clear" w:color="auto" w:fill="FFFFFF"/>
          </w:tcPr>
          <w:p w14:paraId="4E4F750E" w14:textId="77777777" w:rsidR="000B4835" w:rsidRPr="00CF31E0" w:rsidRDefault="000B4835" w:rsidP="000B4835">
            <w:pPr>
              <w:widowControl w:val="0"/>
              <w:autoSpaceDE w:val="0"/>
              <w:autoSpaceDN w:val="0"/>
              <w:adjustRightInd w:val="0"/>
              <w:spacing w:line="320" w:lineRule="atLeast"/>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5</w:t>
            </w:r>
          </w:p>
        </w:tc>
        <w:tc>
          <w:tcPr>
            <w:tcW w:w="1134" w:type="dxa"/>
            <w:shd w:val="clear" w:color="auto" w:fill="FFFFFF"/>
            <w:vAlign w:val="center"/>
          </w:tcPr>
          <w:p w14:paraId="594A751F"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-.414</w:t>
            </w:r>
            <w:r w:rsidRPr="00CF31E0">
              <w:rPr>
                <w:rFonts w:eastAsia="Calibri"/>
                <w:color w:val="000000" w:themeColor="text1"/>
                <w:sz w:val="22"/>
                <w:szCs w:val="22"/>
                <w:vertAlign w:val="superscript"/>
                <w:lang w:eastAsia="en-US"/>
              </w:rPr>
              <w:t>*</w:t>
            </w:r>
          </w:p>
        </w:tc>
        <w:tc>
          <w:tcPr>
            <w:tcW w:w="1134" w:type="dxa"/>
            <w:shd w:val="clear" w:color="auto" w:fill="FFFFFF"/>
            <w:vAlign w:val="center"/>
          </w:tcPr>
          <w:p w14:paraId="187C1AB4"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.046</w:t>
            </w:r>
          </w:p>
        </w:tc>
        <w:tc>
          <w:tcPr>
            <w:tcW w:w="709" w:type="dxa"/>
            <w:shd w:val="clear" w:color="auto" w:fill="FFFFFF"/>
            <w:vAlign w:val="center"/>
          </w:tcPr>
          <w:p w14:paraId="6C192934"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92" w:type="dxa"/>
            <w:shd w:val="clear" w:color="auto" w:fill="FFFFFF"/>
            <w:vAlign w:val="center"/>
          </w:tcPr>
          <w:p w14:paraId="1C4EAA7A"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-.544</w:t>
            </w:r>
          </w:p>
        </w:tc>
        <w:tc>
          <w:tcPr>
            <w:tcW w:w="992" w:type="dxa"/>
            <w:shd w:val="clear" w:color="auto" w:fill="FFFFFF"/>
            <w:vAlign w:val="center"/>
          </w:tcPr>
          <w:p w14:paraId="10EEC418"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-.285</w:t>
            </w:r>
          </w:p>
        </w:tc>
      </w:tr>
      <w:tr w:rsidR="00C82AAD" w:rsidRPr="00CF31E0" w14:paraId="528BA31C" w14:textId="77777777" w:rsidTr="00603CB7">
        <w:trPr>
          <w:cantSplit/>
        </w:trPr>
        <w:tc>
          <w:tcPr>
            <w:tcW w:w="1159" w:type="dxa"/>
            <w:vMerge w:val="restart"/>
            <w:shd w:val="clear" w:color="auto" w:fill="FFFFFF"/>
          </w:tcPr>
          <w:p w14:paraId="29B5ECDD" w14:textId="77777777" w:rsidR="000B4835" w:rsidRPr="00CF31E0" w:rsidRDefault="000B4835" w:rsidP="000B4835">
            <w:pPr>
              <w:widowControl w:val="0"/>
              <w:autoSpaceDE w:val="0"/>
              <w:autoSpaceDN w:val="0"/>
              <w:adjustRightInd w:val="0"/>
              <w:spacing w:line="320" w:lineRule="atLeast"/>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5</w:t>
            </w:r>
          </w:p>
        </w:tc>
        <w:tc>
          <w:tcPr>
            <w:tcW w:w="1276" w:type="dxa"/>
            <w:shd w:val="clear" w:color="auto" w:fill="FFFFFF"/>
          </w:tcPr>
          <w:p w14:paraId="434CA19E" w14:textId="77777777" w:rsidR="000B4835" w:rsidRPr="00CF31E0" w:rsidRDefault="000B4835" w:rsidP="000B4835">
            <w:pPr>
              <w:widowControl w:val="0"/>
              <w:autoSpaceDE w:val="0"/>
              <w:autoSpaceDN w:val="0"/>
              <w:adjustRightInd w:val="0"/>
              <w:spacing w:line="320" w:lineRule="atLeast"/>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w:t>
            </w:r>
          </w:p>
        </w:tc>
        <w:tc>
          <w:tcPr>
            <w:tcW w:w="1134" w:type="dxa"/>
            <w:shd w:val="clear" w:color="auto" w:fill="FFFFFF"/>
            <w:vAlign w:val="center"/>
          </w:tcPr>
          <w:p w14:paraId="6DE1013D"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-.260</w:t>
            </w:r>
            <w:r w:rsidRPr="00CF31E0">
              <w:rPr>
                <w:rFonts w:eastAsia="Calibri"/>
                <w:color w:val="000000" w:themeColor="text1"/>
                <w:sz w:val="22"/>
                <w:szCs w:val="22"/>
                <w:vertAlign w:val="superscript"/>
                <w:lang w:eastAsia="en-US"/>
              </w:rPr>
              <w:t>*</w:t>
            </w:r>
          </w:p>
        </w:tc>
        <w:tc>
          <w:tcPr>
            <w:tcW w:w="1134" w:type="dxa"/>
            <w:shd w:val="clear" w:color="auto" w:fill="FFFFFF"/>
            <w:vAlign w:val="center"/>
          </w:tcPr>
          <w:p w14:paraId="6BF96F01"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.058</w:t>
            </w:r>
          </w:p>
        </w:tc>
        <w:tc>
          <w:tcPr>
            <w:tcW w:w="709" w:type="dxa"/>
            <w:shd w:val="clear" w:color="auto" w:fill="FFFFFF"/>
            <w:vAlign w:val="center"/>
          </w:tcPr>
          <w:p w14:paraId="5B245E24"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92" w:type="dxa"/>
            <w:shd w:val="clear" w:color="auto" w:fill="FFFFFF"/>
            <w:vAlign w:val="center"/>
          </w:tcPr>
          <w:p w14:paraId="1D3C70C2"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-.423</w:t>
            </w:r>
          </w:p>
        </w:tc>
        <w:tc>
          <w:tcPr>
            <w:tcW w:w="992" w:type="dxa"/>
            <w:shd w:val="clear" w:color="auto" w:fill="FFFFFF"/>
            <w:vAlign w:val="center"/>
          </w:tcPr>
          <w:p w14:paraId="32BE889C"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-.098</w:t>
            </w:r>
          </w:p>
        </w:tc>
      </w:tr>
      <w:tr w:rsidR="00C82AAD" w:rsidRPr="00CF31E0" w14:paraId="486CAF32" w14:textId="77777777" w:rsidTr="00603CB7">
        <w:trPr>
          <w:cantSplit/>
        </w:trPr>
        <w:tc>
          <w:tcPr>
            <w:tcW w:w="1159" w:type="dxa"/>
            <w:vMerge/>
            <w:shd w:val="clear" w:color="auto" w:fill="FFFFFF"/>
          </w:tcPr>
          <w:p w14:paraId="51FD4C3A" w14:textId="77777777" w:rsidR="000B4835" w:rsidRPr="00CF31E0" w:rsidRDefault="000B4835" w:rsidP="000B4835">
            <w:pPr>
              <w:widowControl w:val="0"/>
              <w:autoSpaceDE w:val="0"/>
              <w:autoSpaceDN w:val="0"/>
              <w:adjustRightInd w:val="0"/>
              <w:jc w:val="both"/>
              <w:rPr>
                <w:rFonts w:eastAsia="Calibri"/>
                <w:color w:val="000000" w:themeColor="text1"/>
                <w:sz w:val="22"/>
                <w:szCs w:val="22"/>
                <w:lang w:eastAsia="en-US"/>
              </w:rPr>
            </w:pPr>
          </w:p>
        </w:tc>
        <w:tc>
          <w:tcPr>
            <w:tcW w:w="1276" w:type="dxa"/>
            <w:shd w:val="clear" w:color="auto" w:fill="FFFFFF"/>
          </w:tcPr>
          <w:p w14:paraId="7D622BDA" w14:textId="77777777" w:rsidR="000B4835" w:rsidRPr="00CF31E0" w:rsidRDefault="000B4835" w:rsidP="000B4835">
            <w:pPr>
              <w:widowControl w:val="0"/>
              <w:autoSpaceDE w:val="0"/>
              <w:autoSpaceDN w:val="0"/>
              <w:adjustRightInd w:val="0"/>
              <w:spacing w:line="320" w:lineRule="atLeast"/>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2</w:t>
            </w:r>
          </w:p>
        </w:tc>
        <w:tc>
          <w:tcPr>
            <w:tcW w:w="1134" w:type="dxa"/>
            <w:shd w:val="clear" w:color="auto" w:fill="FFFFFF"/>
            <w:vAlign w:val="center"/>
          </w:tcPr>
          <w:p w14:paraId="3A3941C8"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.425</w:t>
            </w:r>
            <w:r w:rsidRPr="00CF31E0">
              <w:rPr>
                <w:rFonts w:eastAsia="Calibri"/>
                <w:color w:val="000000" w:themeColor="text1"/>
                <w:sz w:val="22"/>
                <w:szCs w:val="22"/>
                <w:vertAlign w:val="superscript"/>
                <w:lang w:eastAsia="en-US"/>
              </w:rPr>
              <w:t>*</w:t>
            </w:r>
          </w:p>
        </w:tc>
        <w:tc>
          <w:tcPr>
            <w:tcW w:w="1134" w:type="dxa"/>
            <w:shd w:val="clear" w:color="auto" w:fill="FFFFFF"/>
            <w:vAlign w:val="center"/>
          </w:tcPr>
          <w:p w14:paraId="419D6B99"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.051</w:t>
            </w:r>
          </w:p>
        </w:tc>
        <w:tc>
          <w:tcPr>
            <w:tcW w:w="709" w:type="dxa"/>
            <w:shd w:val="clear" w:color="auto" w:fill="FFFFFF"/>
            <w:vAlign w:val="center"/>
          </w:tcPr>
          <w:p w14:paraId="4F35B388"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92" w:type="dxa"/>
            <w:shd w:val="clear" w:color="auto" w:fill="FFFFFF"/>
            <w:vAlign w:val="center"/>
          </w:tcPr>
          <w:p w14:paraId="5A355846"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.282</w:t>
            </w:r>
          </w:p>
        </w:tc>
        <w:tc>
          <w:tcPr>
            <w:tcW w:w="992" w:type="dxa"/>
            <w:shd w:val="clear" w:color="auto" w:fill="FFFFFF"/>
            <w:vAlign w:val="center"/>
          </w:tcPr>
          <w:p w14:paraId="4B885689"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.568</w:t>
            </w:r>
          </w:p>
        </w:tc>
      </w:tr>
      <w:tr w:rsidR="00C82AAD" w:rsidRPr="00CF31E0" w14:paraId="4DBD7B7B" w14:textId="77777777" w:rsidTr="00603CB7">
        <w:trPr>
          <w:cantSplit/>
        </w:trPr>
        <w:tc>
          <w:tcPr>
            <w:tcW w:w="1159" w:type="dxa"/>
            <w:vMerge/>
            <w:shd w:val="clear" w:color="auto" w:fill="FFFFFF"/>
          </w:tcPr>
          <w:p w14:paraId="0C89DA73" w14:textId="77777777" w:rsidR="000B4835" w:rsidRPr="00CF31E0" w:rsidRDefault="000B4835" w:rsidP="000B4835">
            <w:pPr>
              <w:widowControl w:val="0"/>
              <w:autoSpaceDE w:val="0"/>
              <w:autoSpaceDN w:val="0"/>
              <w:adjustRightInd w:val="0"/>
              <w:jc w:val="both"/>
              <w:rPr>
                <w:rFonts w:eastAsia="Calibri"/>
                <w:color w:val="000000" w:themeColor="text1"/>
                <w:sz w:val="22"/>
                <w:szCs w:val="22"/>
                <w:lang w:eastAsia="en-US"/>
              </w:rPr>
            </w:pPr>
          </w:p>
        </w:tc>
        <w:tc>
          <w:tcPr>
            <w:tcW w:w="1276" w:type="dxa"/>
            <w:shd w:val="clear" w:color="auto" w:fill="FFFFFF"/>
          </w:tcPr>
          <w:p w14:paraId="1F8E139E" w14:textId="77777777" w:rsidR="000B4835" w:rsidRPr="00CF31E0" w:rsidRDefault="000B4835" w:rsidP="000B4835">
            <w:pPr>
              <w:widowControl w:val="0"/>
              <w:autoSpaceDE w:val="0"/>
              <w:autoSpaceDN w:val="0"/>
              <w:adjustRightInd w:val="0"/>
              <w:spacing w:line="320" w:lineRule="atLeast"/>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3</w:t>
            </w:r>
          </w:p>
        </w:tc>
        <w:tc>
          <w:tcPr>
            <w:tcW w:w="1134" w:type="dxa"/>
            <w:shd w:val="clear" w:color="auto" w:fill="FFFFFF"/>
            <w:vAlign w:val="center"/>
          </w:tcPr>
          <w:p w14:paraId="289363D3"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.059</w:t>
            </w:r>
          </w:p>
        </w:tc>
        <w:tc>
          <w:tcPr>
            <w:tcW w:w="1134" w:type="dxa"/>
            <w:shd w:val="clear" w:color="auto" w:fill="FFFFFF"/>
            <w:vAlign w:val="center"/>
          </w:tcPr>
          <w:p w14:paraId="39695DCF"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.055</w:t>
            </w:r>
          </w:p>
        </w:tc>
        <w:tc>
          <w:tcPr>
            <w:tcW w:w="709" w:type="dxa"/>
            <w:shd w:val="clear" w:color="auto" w:fill="FFFFFF"/>
            <w:vAlign w:val="center"/>
          </w:tcPr>
          <w:p w14:paraId="1A40A4F8"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1.000</w:t>
            </w:r>
          </w:p>
        </w:tc>
        <w:tc>
          <w:tcPr>
            <w:tcW w:w="992" w:type="dxa"/>
            <w:shd w:val="clear" w:color="auto" w:fill="FFFFFF"/>
            <w:vAlign w:val="center"/>
          </w:tcPr>
          <w:p w14:paraId="3D057E9C"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-.095</w:t>
            </w:r>
          </w:p>
        </w:tc>
        <w:tc>
          <w:tcPr>
            <w:tcW w:w="992" w:type="dxa"/>
            <w:shd w:val="clear" w:color="auto" w:fill="FFFFFF"/>
            <w:vAlign w:val="center"/>
          </w:tcPr>
          <w:p w14:paraId="16D6E936"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.212</w:t>
            </w:r>
          </w:p>
        </w:tc>
      </w:tr>
      <w:tr w:rsidR="00C82AAD" w:rsidRPr="00CF31E0" w14:paraId="48A937B2" w14:textId="77777777" w:rsidTr="00603CB7">
        <w:trPr>
          <w:cantSplit/>
        </w:trPr>
        <w:tc>
          <w:tcPr>
            <w:tcW w:w="1159" w:type="dxa"/>
            <w:vMerge/>
            <w:shd w:val="clear" w:color="auto" w:fill="FFFFFF"/>
          </w:tcPr>
          <w:p w14:paraId="793706BB" w14:textId="77777777" w:rsidR="000B4835" w:rsidRPr="00CF31E0" w:rsidRDefault="000B4835" w:rsidP="000B4835">
            <w:pPr>
              <w:widowControl w:val="0"/>
              <w:autoSpaceDE w:val="0"/>
              <w:autoSpaceDN w:val="0"/>
              <w:adjustRightInd w:val="0"/>
              <w:jc w:val="both"/>
              <w:rPr>
                <w:rFonts w:eastAsia="Calibri"/>
                <w:color w:val="000000" w:themeColor="text1"/>
                <w:sz w:val="22"/>
                <w:szCs w:val="22"/>
                <w:lang w:eastAsia="en-US"/>
              </w:rPr>
            </w:pPr>
          </w:p>
        </w:tc>
        <w:tc>
          <w:tcPr>
            <w:tcW w:w="1276" w:type="dxa"/>
            <w:shd w:val="clear" w:color="auto" w:fill="FFFFFF"/>
          </w:tcPr>
          <w:p w14:paraId="4F0A2719" w14:textId="77777777" w:rsidR="000B4835" w:rsidRPr="00CF31E0" w:rsidRDefault="000B4835" w:rsidP="000B4835">
            <w:pPr>
              <w:widowControl w:val="0"/>
              <w:autoSpaceDE w:val="0"/>
              <w:autoSpaceDN w:val="0"/>
              <w:adjustRightInd w:val="0"/>
              <w:spacing w:line="320" w:lineRule="atLeast"/>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4</w:t>
            </w:r>
          </w:p>
        </w:tc>
        <w:tc>
          <w:tcPr>
            <w:tcW w:w="1134" w:type="dxa"/>
            <w:shd w:val="clear" w:color="auto" w:fill="FFFFFF"/>
            <w:vAlign w:val="center"/>
          </w:tcPr>
          <w:p w14:paraId="538ACAF7"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.414</w:t>
            </w:r>
            <w:r w:rsidRPr="00CF31E0">
              <w:rPr>
                <w:rFonts w:eastAsia="Calibri"/>
                <w:color w:val="000000" w:themeColor="text1"/>
                <w:sz w:val="22"/>
                <w:szCs w:val="22"/>
                <w:vertAlign w:val="superscript"/>
                <w:lang w:eastAsia="en-US"/>
              </w:rPr>
              <w:t>*</w:t>
            </w:r>
          </w:p>
        </w:tc>
        <w:tc>
          <w:tcPr>
            <w:tcW w:w="1134" w:type="dxa"/>
            <w:shd w:val="clear" w:color="auto" w:fill="FFFFFF"/>
            <w:vAlign w:val="center"/>
          </w:tcPr>
          <w:p w14:paraId="0E993A41"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.046</w:t>
            </w:r>
          </w:p>
        </w:tc>
        <w:tc>
          <w:tcPr>
            <w:tcW w:w="709" w:type="dxa"/>
            <w:shd w:val="clear" w:color="auto" w:fill="FFFFFF"/>
            <w:vAlign w:val="center"/>
          </w:tcPr>
          <w:p w14:paraId="275C7EE5"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92" w:type="dxa"/>
            <w:shd w:val="clear" w:color="auto" w:fill="FFFFFF"/>
            <w:vAlign w:val="center"/>
          </w:tcPr>
          <w:p w14:paraId="227CE246"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.285</w:t>
            </w:r>
          </w:p>
        </w:tc>
        <w:tc>
          <w:tcPr>
            <w:tcW w:w="992" w:type="dxa"/>
            <w:shd w:val="clear" w:color="auto" w:fill="FFFFFF"/>
            <w:vAlign w:val="center"/>
          </w:tcPr>
          <w:p w14:paraId="2C014B0F" w14:textId="77777777" w:rsidR="000B4835" w:rsidRPr="00CF31E0" w:rsidRDefault="000B4835" w:rsidP="00603CB7">
            <w:pPr>
              <w:widowControl w:val="0"/>
              <w:autoSpaceDE w:val="0"/>
              <w:autoSpaceDN w:val="0"/>
              <w:adjustRightInd w:val="0"/>
              <w:spacing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.544</w:t>
            </w:r>
          </w:p>
        </w:tc>
      </w:tr>
    </w:tbl>
    <w:p w14:paraId="1ECA78D0" w14:textId="0372C725" w:rsidR="000B4835" w:rsidRPr="00CF31E0" w:rsidRDefault="000B4835" w:rsidP="00F61455">
      <w:pPr>
        <w:pStyle w:val="Tablecaption"/>
        <w:rPr>
          <w:lang w:eastAsia="en-US"/>
        </w:rPr>
      </w:pPr>
      <w:bookmarkStart w:id="845" w:name="_Toc522527482"/>
      <w:bookmarkStart w:id="846" w:name="_Toc522628895"/>
      <w:bookmarkStart w:id="847" w:name="_Toc522629059"/>
      <w:bookmarkStart w:id="848" w:name="_Toc6473157"/>
      <w:r w:rsidRPr="00CF31E0">
        <w:rPr>
          <w:lang w:eastAsia="en-US"/>
        </w:rPr>
        <w:t>Table</w:t>
      </w:r>
      <w:r w:rsidR="003B51C7" w:rsidRPr="00CF31E0">
        <w:rPr>
          <w:lang w:eastAsia="en-US"/>
        </w:rPr>
        <w:t xml:space="preserve"> </w:t>
      </w:r>
      <w:r w:rsidR="00F61455" w:rsidRPr="00CF31E0">
        <w:rPr>
          <w:lang w:eastAsia="en-US"/>
        </w:rPr>
        <w:t>11</w:t>
      </w:r>
      <w:r w:rsidR="003B51C7" w:rsidRPr="00CF31E0">
        <w:rPr>
          <w:lang w:eastAsia="en-US"/>
        </w:rPr>
        <w:t>.</w:t>
      </w:r>
      <w:r w:rsidR="00F61455" w:rsidRPr="00CF31E0">
        <w:rPr>
          <w:lang w:eastAsia="en-US"/>
        </w:rPr>
        <w:t>19</w:t>
      </w:r>
      <w:r w:rsidR="003B51C7" w:rsidRPr="00CF31E0">
        <w:rPr>
          <w:lang w:eastAsia="en-US"/>
        </w:rPr>
        <w:t xml:space="preserve">: </w:t>
      </w:r>
      <w:r w:rsidRPr="00CF31E0">
        <w:rPr>
          <w:lang w:eastAsia="en-US"/>
        </w:rPr>
        <w:t xml:space="preserve">Post-hoc test results for the </w:t>
      </w:r>
      <w:r w:rsidRPr="00CF31E0">
        <w:rPr>
          <w:i/>
          <w:iCs/>
          <w:lang w:eastAsia="en-US"/>
        </w:rPr>
        <w:t>similar to other Arabic dialects</w:t>
      </w:r>
      <w:r w:rsidRPr="00CF31E0">
        <w:rPr>
          <w:lang w:eastAsia="en-US"/>
        </w:rPr>
        <w:t xml:space="preserve"> characteristic across the samples</w:t>
      </w:r>
      <w:r w:rsidR="003B51C7" w:rsidRPr="00CF31E0">
        <w:rPr>
          <w:lang w:eastAsia="en-US"/>
        </w:rPr>
        <w:t>.</w:t>
      </w:r>
      <w:bookmarkEnd w:id="845"/>
      <w:bookmarkEnd w:id="846"/>
      <w:bookmarkEnd w:id="847"/>
      <w:bookmarkEnd w:id="848"/>
    </w:p>
    <w:p w14:paraId="59C5D118" w14:textId="743D617F" w:rsidR="00C82AAD" w:rsidRDefault="000B4835" w:rsidP="00A84734">
      <w:pPr>
        <w:pStyle w:val="Paragraph"/>
        <w:rPr>
          <w:lang w:eastAsia="en-US"/>
        </w:rPr>
      </w:pPr>
      <w:r w:rsidRPr="00CF31E0">
        <w:rPr>
          <w:lang w:eastAsia="en-US"/>
        </w:rPr>
        <w:t xml:space="preserve">As can be seen from the above table, the ratings for VS2 and 4 are not different from each other as the p value is 1.000. Likewise, the ratings for VS3 and 5 are also not different from each other since the p value is 1.000. On the other hand, all of the remaining scales are different from each other. For more details on the mean scores of the rating scales, see Table </w:t>
      </w:r>
      <w:r w:rsidR="003B51C7" w:rsidRPr="00CF31E0">
        <w:rPr>
          <w:lang w:eastAsia="en-US"/>
        </w:rPr>
        <w:t>1</w:t>
      </w:r>
      <w:r w:rsidR="00AB693B">
        <w:rPr>
          <w:lang w:eastAsia="en-US"/>
        </w:rPr>
        <w:t>1.20</w:t>
      </w:r>
      <w:r w:rsidR="003B51C7" w:rsidRPr="00CF31E0">
        <w:rPr>
          <w:lang w:eastAsia="en-US"/>
        </w:rPr>
        <w:t xml:space="preserve"> </w:t>
      </w:r>
      <w:r w:rsidRPr="00CF31E0">
        <w:rPr>
          <w:lang w:eastAsia="en-US"/>
        </w:rPr>
        <w:t xml:space="preserve">below. </w:t>
      </w:r>
    </w:p>
    <w:p w14:paraId="68257C55" w14:textId="77777777" w:rsidR="00F50E67" w:rsidRPr="00CF31E0" w:rsidRDefault="00F50E67" w:rsidP="00A84734">
      <w:pPr>
        <w:pStyle w:val="Paragraph"/>
        <w:rPr>
          <w:lang w:eastAsia="en-US"/>
        </w:rPr>
      </w:pPr>
    </w:p>
    <w:tbl>
      <w:tblPr>
        <w:tblW w:w="7606"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4467"/>
        <w:gridCol w:w="915"/>
        <w:gridCol w:w="1440"/>
        <w:gridCol w:w="784"/>
      </w:tblGrid>
      <w:tr w:rsidR="007F558A" w:rsidRPr="00CF31E0" w14:paraId="46B83E35" w14:textId="77777777" w:rsidTr="000B4835">
        <w:trPr>
          <w:cantSplit/>
          <w:trHeight w:val="319"/>
        </w:trPr>
        <w:tc>
          <w:tcPr>
            <w:tcW w:w="4467" w:type="dxa"/>
            <w:tcBorders>
              <w:top w:val="single" w:sz="4" w:space="0" w:color="auto"/>
              <w:bottom w:val="single" w:sz="4" w:space="0" w:color="auto"/>
            </w:tcBorders>
            <w:shd w:val="clear" w:color="auto" w:fill="FFFFFF"/>
            <w:vAlign w:val="bottom"/>
          </w:tcPr>
          <w:p w14:paraId="45815936" w14:textId="77777777" w:rsidR="000B4835" w:rsidRPr="00CF31E0" w:rsidRDefault="000B4835" w:rsidP="00603CB7">
            <w:pPr>
              <w:spacing w:before="120" w:after="120"/>
              <w:jc w:val="both"/>
              <w:rPr>
                <w:rFonts w:eastAsia="Calibri"/>
                <w:color w:val="000000" w:themeColor="text1"/>
                <w:sz w:val="22"/>
                <w:szCs w:val="22"/>
                <w:lang w:eastAsia="en-US"/>
              </w:rPr>
            </w:pPr>
          </w:p>
        </w:tc>
        <w:tc>
          <w:tcPr>
            <w:tcW w:w="915" w:type="dxa"/>
            <w:tcBorders>
              <w:top w:val="single" w:sz="4" w:space="0" w:color="auto"/>
              <w:bottom w:val="single" w:sz="4" w:space="0" w:color="auto"/>
            </w:tcBorders>
            <w:shd w:val="clear" w:color="auto" w:fill="FFFFFF"/>
            <w:vAlign w:val="bottom"/>
          </w:tcPr>
          <w:p w14:paraId="0E48445D"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Mean</w:t>
            </w:r>
          </w:p>
        </w:tc>
        <w:tc>
          <w:tcPr>
            <w:tcW w:w="1440" w:type="dxa"/>
            <w:tcBorders>
              <w:top w:val="single" w:sz="4" w:space="0" w:color="auto"/>
              <w:bottom w:val="single" w:sz="4" w:space="0" w:color="auto"/>
            </w:tcBorders>
            <w:shd w:val="clear" w:color="auto" w:fill="FFFFFF"/>
            <w:vAlign w:val="bottom"/>
          </w:tcPr>
          <w:p w14:paraId="05734BCD"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Std. Deviation</w:t>
            </w:r>
          </w:p>
        </w:tc>
        <w:tc>
          <w:tcPr>
            <w:tcW w:w="784" w:type="dxa"/>
            <w:tcBorders>
              <w:top w:val="single" w:sz="4" w:space="0" w:color="auto"/>
              <w:bottom w:val="single" w:sz="4" w:space="0" w:color="auto"/>
            </w:tcBorders>
            <w:shd w:val="clear" w:color="auto" w:fill="FFFFFF"/>
            <w:vAlign w:val="bottom"/>
          </w:tcPr>
          <w:p w14:paraId="332FAACD"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N</w:t>
            </w:r>
          </w:p>
        </w:tc>
      </w:tr>
      <w:tr w:rsidR="007F558A" w:rsidRPr="00CF31E0" w14:paraId="6475A9AA" w14:textId="77777777" w:rsidTr="000B4835">
        <w:trPr>
          <w:cantSplit/>
          <w:trHeight w:val="319"/>
        </w:trPr>
        <w:tc>
          <w:tcPr>
            <w:tcW w:w="4467" w:type="dxa"/>
            <w:tcBorders>
              <w:top w:val="single" w:sz="4" w:space="0" w:color="auto"/>
              <w:bottom w:val="nil"/>
            </w:tcBorders>
            <w:shd w:val="clear" w:color="auto" w:fill="FFFFFF"/>
          </w:tcPr>
          <w:p w14:paraId="253758E3" w14:textId="7ED5DB26"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Similar to other Arabic dialects </w:t>
            </w:r>
            <w:r w:rsidR="00FC19EB" w:rsidRPr="00CF31E0">
              <w:rPr>
                <w:rFonts w:eastAsia="Calibri"/>
                <w:color w:val="000000" w:themeColor="text1"/>
                <w:sz w:val="22"/>
                <w:szCs w:val="22"/>
                <w:lang w:eastAsia="en-US"/>
              </w:rPr>
              <w:t>VS</w:t>
            </w:r>
            <w:r w:rsidRPr="00CF31E0">
              <w:rPr>
                <w:rFonts w:eastAsia="Calibri"/>
                <w:color w:val="000000" w:themeColor="text1"/>
                <w:sz w:val="22"/>
                <w:szCs w:val="22"/>
                <w:lang w:eastAsia="en-US"/>
              </w:rPr>
              <w:t>1</w:t>
            </w:r>
          </w:p>
        </w:tc>
        <w:tc>
          <w:tcPr>
            <w:tcW w:w="915" w:type="dxa"/>
            <w:tcBorders>
              <w:top w:val="single" w:sz="4" w:space="0" w:color="auto"/>
              <w:bottom w:val="nil"/>
            </w:tcBorders>
            <w:shd w:val="clear" w:color="auto" w:fill="FFFFFF"/>
            <w:vAlign w:val="center"/>
          </w:tcPr>
          <w:p w14:paraId="5759C9F1"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3.4931</w:t>
            </w:r>
          </w:p>
        </w:tc>
        <w:tc>
          <w:tcPr>
            <w:tcW w:w="1440" w:type="dxa"/>
            <w:tcBorders>
              <w:top w:val="single" w:sz="4" w:space="0" w:color="auto"/>
              <w:bottom w:val="nil"/>
            </w:tcBorders>
            <w:shd w:val="clear" w:color="auto" w:fill="FFFFFF"/>
            <w:vAlign w:val="center"/>
          </w:tcPr>
          <w:p w14:paraId="2AA4F559"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1.15351</w:t>
            </w:r>
          </w:p>
        </w:tc>
        <w:tc>
          <w:tcPr>
            <w:tcW w:w="784" w:type="dxa"/>
            <w:tcBorders>
              <w:top w:val="single" w:sz="4" w:space="0" w:color="auto"/>
              <w:bottom w:val="nil"/>
            </w:tcBorders>
            <w:shd w:val="clear" w:color="auto" w:fill="FFFFFF"/>
            <w:vAlign w:val="center"/>
          </w:tcPr>
          <w:p w14:paraId="15652629"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649</w:t>
            </w:r>
          </w:p>
        </w:tc>
      </w:tr>
      <w:tr w:rsidR="007F558A" w:rsidRPr="00CF31E0" w14:paraId="699A55D7" w14:textId="77777777" w:rsidTr="000B4835">
        <w:trPr>
          <w:cantSplit/>
          <w:trHeight w:val="309"/>
        </w:trPr>
        <w:tc>
          <w:tcPr>
            <w:tcW w:w="4467" w:type="dxa"/>
            <w:tcBorders>
              <w:top w:val="nil"/>
            </w:tcBorders>
            <w:shd w:val="clear" w:color="auto" w:fill="FFFFFF"/>
          </w:tcPr>
          <w:p w14:paraId="10FAD67F" w14:textId="6D453ED5"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Similar to other Arabic dialects </w:t>
            </w:r>
            <w:r w:rsidR="00FC19EB" w:rsidRPr="00CF31E0">
              <w:rPr>
                <w:rFonts w:eastAsia="Calibri"/>
                <w:color w:val="000000" w:themeColor="text1"/>
                <w:sz w:val="22"/>
                <w:szCs w:val="22"/>
                <w:lang w:eastAsia="en-US"/>
              </w:rPr>
              <w:t>VS</w:t>
            </w:r>
            <w:r w:rsidRPr="00CF31E0">
              <w:rPr>
                <w:rFonts w:eastAsia="Calibri"/>
                <w:color w:val="000000" w:themeColor="text1"/>
                <w:sz w:val="22"/>
                <w:szCs w:val="22"/>
                <w:lang w:eastAsia="en-US"/>
              </w:rPr>
              <w:t>2</w:t>
            </w:r>
          </w:p>
        </w:tc>
        <w:tc>
          <w:tcPr>
            <w:tcW w:w="915" w:type="dxa"/>
            <w:tcBorders>
              <w:top w:val="nil"/>
            </w:tcBorders>
            <w:shd w:val="clear" w:color="auto" w:fill="FFFFFF"/>
            <w:vAlign w:val="center"/>
          </w:tcPr>
          <w:p w14:paraId="020383A8"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2.8074</w:t>
            </w:r>
          </w:p>
        </w:tc>
        <w:tc>
          <w:tcPr>
            <w:tcW w:w="1440" w:type="dxa"/>
            <w:tcBorders>
              <w:top w:val="nil"/>
            </w:tcBorders>
            <w:shd w:val="clear" w:color="auto" w:fill="FFFFFF"/>
            <w:vAlign w:val="center"/>
          </w:tcPr>
          <w:p w14:paraId="5BDE7C60"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1.22784</w:t>
            </w:r>
          </w:p>
        </w:tc>
        <w:tc>
          <w:tcPr>
            <w:tcW w:w="784" w:type="dxa"/>
            <w:tcBorders>
              <w:top w:val="nil"/>
            </w:tcBorders>
            <w:shd w:val="clear" w:color="auto" w:fill="FFFFFF"/>
            <w:vAlign w:val="center"/>
          </w:tcPr>
          <w:p w14:paraId="01565F80"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649</w:t>
            </w:r>
          </w:p>
        </w:tc>
      </w:tr>
      <w:tr w:rsidR="007F558A" w:rsidRPr="00CF31E0" w14:paraId="774D0C3D" w14:textId="77777777" w:rsidTr="000B4835">
        <w:trPr>
          <w:cantSplit/>
          <w:trHeight w:val="319"/>
        </w:trPr>
        <w:tc>
          <w:tcPr>
            <w:tcW w:w="4467" w:type="dxa"/>
            <w:shd w:val="clear" w:color="auto" w:fill="FFFFFF"/>
          </w:tcPr>
          <w:p w14:paraId="60DBF69E" w14:textId="14885F4D"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Similar to other Arabic dialects </w:t>
            </w:r>
            <w:r w:rsidR="00FC19EB" w:rsidRPr="00CF31E0">
              <w:rPr>
                <w:rFonts w:eastAsia="Calibri"/>
                <w:color w:val="000000" w:themeColor="text1"/>
                <w:sz w:val="22"/>
                <w:szCs w:val="22"/>
                <w:lang w:eastAsia="en-US"/>
              </w:rPr>
              <w:t>VS</w:t>
            </w:r>
            <w:r w:rsidRPr="00CF31E0">
              <w:rPr>
                <w:rFonts w:eastAsia="Calibri"/>
                <w:color w:val="000000" w:themeColor="text1"/>
                <w:sz w:val="22"/>
                <w:szCs w:val="22"/>
                <w:lang w:eastAsia="en-US"/>
              </w:rPr>
              <w:t>3</w:t>
            </w:r>
          </w:p>
        </w:tc>
        <w:tc>
          <w:tcPr>
            <w:tcW w:w="915" w:type="dxa"/>
            <w:shd w:val="clear" w:color="auto" w:fill="FFFFFF"/>
            <w:vAlign w:val="center"/>
          </w:tcPr>
          <w:p w14:paraId="7190E4B6"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3.1741</w:t>
            </w:r>
          </w:p>
        </w:tc>
        <w:tc>
          <w:tcPr>
            <w:tcW w:w="1440" w:type="dxa"/>
            <w:shd w:val="clear" w:color="auto" w:fill="FFFFFF"/>
            <w:vAlign w:val="center"/>
          </w:tcPr>
          <w:p w14:paraId="5EA307BC"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1.14620</w:t>
            </w:r>
          </w:p>
        </w:tc>
        <w:tc>
          <w:tcPr>
            <w:tcW w:w="784" w:type="dxa"/>
            <w:shd w:val="clear" w:color="auto" w:fill="FFFFFF"/>
            <w:vAlign w:val="center"/>
          </w:tcPr>
          <w:p w14:paraId="2F6CAD9C"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649</w:t>
            </w:r>
          </w:p>
        </w:tc>
      </w:tr>
      <w:tr w:rsidR="007F558A" w:rsidRPr="00CF31E0" w14:paraId="04A22F90" w14:textId="77777777" w:rsidTr="000B4835">
        <w:trPr>
          <w:cantSplit/>
          <w:trHeight w:val="345"/>
        </w:trPr>
        <w:tc>
          <w:tcPr>
            <w:tcW w:w="4467" w:type="dxa"/>
            <w:shd w:val="clear" w:color="auto" w:fill="FFFFFF"/>
          </w:tcPr>
          <w:p w14:paraId="61DB86CE" w14:textId="4EBCD26E"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Similar to other Arabic dialects </w:t>
            </w:r>
            <w:r w:rsidR="00FC19EB" w:rsidRPr="00CF31E0">
              <w:rPr>
                <w:rFonts w:eastAsia="Calibri"/>
                <w:color w:val="000000" w:themeColor="text1"/>
                <w:sz w:val="22"/>
                <w:szCs w:val="22"/>
                <w:lang w:eastAsia="en-US"/>
              </w:rPr>
              <w:t>VS</w:t>
            </w:r>
            <w:r w:rsidRPr="00CF31E0">
              <w:rPr>
                <w:rFonts w:eastAsia="Calibri"/>
                <w:color w:val="000000" w:themeColor="text1"/>
                <w:sz w:val="22"/>
                <w:szCs w:val="22"/>
                <w:lang w:eastAsia="en-US"/>
              </w:rPr>
              <w:t>4</w:t>
            </w:r>
          </w:p>
        </w:tc>
        <w:tc>
          <w:tcPr>
            <w:tcW w:w="915" w:type="dxa"/>
            <w:shd w:val="clear" w:color="auto" w:fill="FFFFFF"/>
            <w:vAlign w:val="center"/>
          </w:tcPr>
          <w:p w14:paraId="3DCF7669"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2.8182</w:t>
            </w:r>
          </w:p>
        </w:tc>
        <w:tc>
          <w:tcPr>
            <w:tcW w:w="1440" w:type="dxa"/>
            <w:shd w:val="clear" w:color="auto" w:fill="FFFFFF"/>
            <w:vAlign w:val="center"/>
          </w:tcPr>
          <w:p w14:paraId="5AFE715C"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1.20605</w:t>
            </w:r>
          </w:p>
        </w:tc>
        <w:tc>
          <w:tcPr>
            <w:tcW w:w="784" w:type="dxa"/>
            <w:shd w:val="clear" w:color="auto" w:fill="FFFFFF"/>
            <w:vAlign w:val="center"/>
          </w:tcPr>
          <w:p w14:paraId="6E4FC0BE"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649</w:t>
            </w:r>
          </w:p>
        </w:tc>
      </w:tr>
      <w:tr w:rsidR="007F558A" w:rsidRPr="00CF31E0" w14:paraId="6D75DF27" w14:textId="77777777" w:rsidTr="000B4835">
        <w:trPr>
          <w:cantSplit/>
          <w:trHeight w:val="309"/>
        </w:trPr>
        <w:tc>
          <w:tcPr>
            <w:tcW w:w="4467" w:type="dxa"/>
            <w:shd w:val="clear" w:color="auto" w:fill="FFFFFF"/>
          </w:tcPr>
          <w:p w14:paraId="5D07686C" w14:textId="3CE1AE69" w:rsidR="000B4835" w:rsidRPr="00CF31E0" w:rsidRDefault="000B4835"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Similar to other Arabic dialects </w:t>
            </w:r>
            <w:r w:rsidR="00FC19EB" w:rsidRPr="00CF31E0">
              <w:rPr>
                <w:rFonts w:eastAsia="Calibri"/>
                <w:color w:val="000000" w:themeColor="text1"/>
                <w:sz w:val="22"/>
                <w:szCs w:val="22"/>
                <w:lang w:eastAsia="en-US"/>
              </w:rPr>
              <w:t>VS</w:t>
            </w:r>
            <w:r w:rsidRPr="00CF31E0">
              <w:rPr>
                <w:rFonts w:eastAsia="Calibri"/>
                <w:color w:val="000000" w:themeColor="text1"/>
                <w:sz w:val="22"/>
                <w:szCs w:val="22"/>
                <w:lang w:eastAsia="en-US"/>
              </w:rPr>
              <w:t>5</w:t>
            </w:r>
          </w:p>
        </w:tc>
        <w:tc>
          <w:tcPr>
            <w:tcW w:w="915" w:type="dxa"/>
            <w:shd w:val="clear" w:color="auto" w:fill="FFFFFF"/>
            <w:vAlign w:val="center"/>
          </w:tcPr>
          <w:p w14:paraId="003DF186"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3.2327</w:t>
            </w:r>
          </w:p>
        </w:tc>
        <w:tc>
          <w:tcPr>
            <w:tcW w:w="1440" w:type="dxa"/>
            <w:shd w:val="clear" w:color="auto" w:fill="FFFFFF"/>
            <w:vAlign w:val="center"/>
          </w:tcPr>
          <w:p w14:paraId="63673F93"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1.21961</w:t>
            </w:r>
          </w:p>
        </w:tc>
        <w:tc>
          <w:tcPr>
            <w:tcW w:w="784" w:type="dxa"/>
            <w:shd w:val="clear" w:color="auto" w:fill="FFFFFF"/>
            <w:vAlign w:val="center"/>
          </w:tcPr>
          <w:p w14:paraId="0AFED674" w14:textId="77777777" w:rsidR="000B4835" w:rsidRPr="00CF31E0" w:rsidRDefault="000B4835"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649</w:t>
            </w:r>
          </w:p>
        </w:tc>
      </w:tr>
    </w:tbl>
    <w:p w14:paraId="5DFED227" w14:textId="0E7E6B88" w:rsidR="000B4835" w:rsidRPr="00CF31E0" w:rsidRDefault="000B4835" w:rsidP="00F61455">
      <w:pPr>
        <w:pStyle w:val="Tablecaption"/>
        <w:rPr>
          <w:lang w:eastAsia="en-US"/>
        </w:rPr>
      </w:pPr>
      <w:bookmarkStart w:id="849" w:name="_Toc522527483"/>
      <w:bookmarkStart w:id="850" w:name="_Toc522628896"/>
      <w:bookmarkStart w:id="851" w:name="_Toc522629060"/>
      <w:bookmarkStart w:id="852" w:name="_Toc6473158"/>
      <w:r w:rsidRPr="00CF31E0">
        <w:rPr>
          <w:lang w:eastAsia="en-US"/>
        </w:rPr>
        <w:t>Table</w:t>
      </w:r>
      <w:r w:rsidR="003B51C7" w:rsidRPr="00CF31E0">
        <w:rPr>
          <w:lang w:eastAsia="en-US"/>
        </w:rPr>
        <w:t xml:space="preserve"> </w:t>
      </w:r>
      <w:r w:rsidR="00F61455" w:rsidRPr="00CF31E0">
        <w:rPr>
          <w:lang w:eastAsia="en-US"/>
        </w:rPr>
        <w:t>11</w:t>
      </w:r>
      <w:r w:rsidR="003B51C7" w:rsidRPr="00CF31E0">
        <w:rPr>
          <w:lang w:eastAsia="en-US"/>
        </w:rPr>
        <w:t>.</w:t>
      </w:r>
      <w:r w:rsidR="00F61455" w:rsidRPr="00CF31E0">
        <w:rPr>
          <w:lang w:eastAsia="en-US"/>
        </w:rPr>
        <w:t>20</w:t>
      </w:r>
      <w:r w:rsidR="003B51C7" w:rsidRPr="00CF31E0">
        <w:rPr>
          <w:lang w:eastAsia="en-US"/>
        </w:rPr>
        <w:t xml:space="preserve">: </w:t>
      </w:r>
      <w:r w:rsidRPr="00CF31E0">
        <w:rPr>
          <w:lang w:eastAsia="en-US"/>
        </w:rPr>
        <w:t xml:space="preserve">Descriptive statistics for the </w:t>
      </w:r>
      <w:r w:rsidRPr="00CF31E0">
        <w:rPr>
          <w:i/>
          <w:iCs/>
          <w:lang w:eastAsia="en-US"/>
        </w:rPr>
        <w:t>similar to other Arabic dialects</w:t>
      </w:r>
      <w:r w:rsidRPr="00CF31E0">
        <w:rPr>
          <w:lang w:eastAsia="en-US"/>
        </w:rPr>
        <w:t xml:space="preserve"> characteristic across the samples</w:t>
      </w:r>
      <w:r w:rsidR="003B51C7" w:rsidRPr="00CF31E0">
        <w:rPr>
          <w:lang w:eastAsia="en-US"/>
        </w:rPr>
        <w:t>.</w:t>
      </w:r>
      <w:bookmarkEnd w:id="849"/>
      <w:bookmarkEnd w:id="850"/>
      <w:bookmarkEnd w:id="851"/>
      <w:bookmarkEnd w:id="852"/>
    </w:p>
    <w:p w14:paraId="55F00CE9" w14:textId="137B5594" w:rsidR="000B4835" w:rsidRPr="00CF31E0" w:rsidRDefault="000B4835" w:rsidP="00603CB7">
      <w:pPr>
        <w:pStyle w:val="Paragraph"/>
        <w:rPr>
          <w:lang w:eastAsia="en-US"/>
        </w:rPr>
      </w:pPr>
      <w:r w:rsidRPr="00CF31E0">
        <w:rPr>
          <w:lang w:eastAsia="en-US"/>
        </w:rPr>
        <w:t xml:space="preserve">As can be seen from the above table, VS1 has the highest mean score while VS2 received the lowest rating. A closer look at the results above show that VS1, 3 and 5 received higher ratings than VS2 and 4. </w:t>
      </w:r>
    </w:p>
    <w:p w14:paraId="166917F1" w14:textId="22F00651" w:rsidR="000B4835" w:rsidRPr="00CF31E0" w:rsidRDefault="00F61455" w:rsidP="00F61455">
      <w:pPr>
        <w:pStyle w:val="Dhead"/>
        <w:rPr>
          <w:rFonts w:eastAsia="Calibri"/>
        </w:rPr>
      </w:pPr>
      <w:bookmarkStart w:id="853" w:name="_Toc6472785"/>
      <w:r w:rsidRPr="00CF31E0">
        <w:rPr>
          <w:rFonts w:eastAsia="Calibri"/>
        </w:rPr>
        <w:t>11</w:t>
      </w:r>
      <w:r w:rsidR="003B51C7" w:rsidRPr="00CF31E0">
        <w:rPr>
          <w:rFonts w:eastAsia="Calibri"/>
        </w:rPr>
        <w:t>.3.1.1.3.</w:t>
      </w:r>
      <w:r w:rsidR="00D2523E" w:rsidRPr="00CF31E0">
        <w:rPr>
          <w:rFonts w:eastAsia="Calibri"/>
        </w:rPr>
        <w:tab/>
      </w:r>
      <w:r w:rsidR="000B4835" w:rsidRPr="00CF31E0">
        <w:rPr>
          <w:rFonts w:eastAsia="Calibri"/>
        </w:rPr>
        <w:t>Traditional rating scale</w:t>
      </w:r>
      <w:bookmarkEnd w:id="853"/>
    </w:p>
    <w:p w14:paraId="58C82342" w14:textId="2D2C2CDA" w:rsidR="000B4835" w:rsidRPr="00CF31E0" w:rsidRDefault="000B4835" w:rsidP="00603CB7">
      <w:pPr>
        <w:pStyle w:val="Paragraph"/>
        <w:rPr>
          <w:lang w:eastAsia="en-US"/>
        </w:rPr>
      </w:pPr>
      <w:r w:rsidRPr="00CF31E0">
        <w:rPr>
          <w:lang w:eastAsia="en-US"/>
        </w:rPr>
        <w:t xml:space="preserve">For the traditional scale, I started to analyse the data by first applying a one-way repeated measure ANOVA and then ascertaining the p value by conducting a multivariate test. See Tables </w:t>
      </w:r>
      <w:r w:rsidR="00F61455" w:rsidRPr="00CF31E0">
        <w:rPr>
          <w:lang w:eastAsia="en-US"/>
        </w:rPr>
        <w:t>11</w:t>
      </w:r>
      <w:r w:rsidR="003B51C7" w:rsidRPr="00CF31E0">
        <w:rPr>
          <w:lang w:eastAsia="en-US"/>
        </w:rPr>
        <w:t>.</w:t>
      </w:r>
      <w:r w:rsidR="00F61455" w:rsidRPr="00CF31E0">
        <w:rPr>
          <w:lang w:eastAsia="en-US"/>
        </w:rPr>
        <w:t xml:space="preserve">21 </w:t>
      </w:r>
      <w:r w:rsidRPr="00CF31E0">
        <w:rPr>
          <w:lang w:eastAsia="en-US"/>
        </w:rPr>
        <w:t xml:space="preserve">and </w:t>
      </w:r>
      <w:r w:rsidR="00F61455" w:rsidRPr="00CF31E0">
        <w:rPr>
          <w:lang w:eastAsia="en-US"/>
        </w:rPr>
        <w:t>11</w:t>
      </w:r>
      <w:r w:rsidR="003B51C7" w:rsidRPr="00CF31E0">
        <w:rPr>
          <w:lang w:eastAsia="en-US"/>
        </w:rPr>
        <w:t>.</w:t>
      </w:r>
      <w:r w:rsidR="00F61455" w:rsidRPr="00CF31E0">
        <w:rPr>
          <w:lang w:eastAsia="en-US"/>
        </w:rPr>
        <w:t xml:space="preserve">22 </w:t>
      </w:r>
      <w:r w:rsidRPr="00CF31E0">
        <w:rPr>
          <w:lang w:eastAsia="en-US"/>
        </w:rPr>
        <w:t>below</w:t>
      </w:r>
      <w:r w:rsidR="003B51C7" w:rsidRPr="00CF31E0">
        <w:rPr>
          <w:lang w:eastAsia="en-US"/>
        </w:rPr>
        <w:t>.</w:t>
      </w:r>
    </w:p>
    <w:tbl>
      <w:tblPr>
        <w:tblW w:w="7479" w:type="dxa"/>
        <w:tblLayout w:type="fixed"/>
        <w:tblLook w:val="04A0" w:firstRow="1" w:lastRow="0" w:firstColumn="1" w:lastColumn="0" w:noHBand="0" w:noVBand="1"/>
      </w:tblPr>
      <w:tblGrid>
        <w:gridCol w:w="2093"/>
        <w:gridCol w:w="1276"/>
        <w:gridCol w:w="1701"/>
        <w:gridCol w:w="992"/>
        <w:gridCol w:w="1417"/>
      </w:tblGrid>
      <w:tr w:rsidR="00BB722F" w:rsidRPr="00CF31E0" w14:paraId="2E5AE707" w14:textId="77777777" w:rsidTr="00603CB7">
        <w:tc>
          <w:tcPr>
            <w:tcW w:w="2093" w:type="dxa"/>
            <w:tcBorders>
              <w:top w:val="single" w:sz="8" w:space="0" w:color="auto"/>
              <w:bottom w:val="single" w:sz="8" w:space="0" w:color="auto"/>
            </w:tcBorders>
            <w:shd w:val="clear" w:color="auto" w:fill="auto"/>
            <w:hideMark/>
          </w:tcPr>
          <w:p w14:paraId="16C6B890" w14:textId="45DF5EE2" w:rsidR="00352672" w:rsidRPr="00CF31E0" w:rsidRDefault="00352672" w:rsidP="00603CB7">
            <w:pPr>
              <w:spacing w:before="120" w:after="120"/>
              <w:rPr>
                <w:rFonts w:eastAsia="Calibri"/>
                <w:color w:val="000000" w:themeColor="text1"/>
                <w:sz w:val="22"/>
                <w:szCs w:val="22"/>
                <w:lang w:val="en-US" w:eastAsia="en-US"/>
              </w:rPr>
            </w:pPr>
            <w:r w:rsidRPr="00CF31E0">
              <w:rPr>
                <w:rFonts w:eastAsia="Calibri"/>
                <w:color w:val="000000" w:themeColor="text1"/>
                <w:sz w:val="22"/>
                <w:szCs w:val="22"/>
                <w:lang w:val="en-US" w:eastAsia="en-US"/>
              </w:rPr>
              <w:t>Within</w:t>
            </w:r>
            <w:r w:rsidR="005D0894" w:rsidRPr="00CF31E0">
              <w:rPr>
                <w:rFonts w:eastAsia="Calibri"/>
                <w:color w:val="000000" w:themeColor="text1"/>
                <w:sz w:val="22"/>
                <w:szCs w:val="22"/>
                <w:lang w:val="en-US" w:eastAsia="en-US"/>
              </w:rPr>
              <w:t>-Subjects</w:t>
            </w:r>
            <w:r w:rsidRPr="00CF31E0">
              <w:rPr>
                <w:rFonts w:eastAsia="Calibri"/>
                <w:color w:val="000000" w:themeColor="text1"/>
                <w:sz w:val="22"/>
                <w:szCs w:val="22"/>
                <w:lang w:val="en-US" w:eastAsia="en-US"/>
              </w:rPr>
              <w:t xml:space="preserve"> Effect</w:t>
            </w:r>
          </w:p>
        </w:tc>
        <w:tc>
          <w:tcPr>
            <w:tcW w:w="1276" w:type="dxa"/>
            <w:tcBorders>
              <w:top w:val="single" w:sz="8" w:space="0" w:color="auto"/>
              <w:bottom w:val="single" w:sz="8" w:space="0" w:color="auto"/>
            </w:tcBorders>
            <w:shd w:val="clear" w:color="auto" w:fill="auto"/>
            <w:hideMark/>
          </w:tcPr>
          <w:p w14:paraId="60A31EA8" w14:textId="77777777" w:rsidR="00352672" w:rsidRPr="00CF31E0" w:rsidRDefault="00352672" w:rsidP="00603CB7">
            <w:pPr>
              <w:spacing w:before="120" w:after="120"/>
              <w:rPr>
                <w:rFonts w:eastAsia="Calibri"/>
                <w:color w:val="000000" w:themeColor="text1"/>
                <w:sz w:val="22"/>
                <w:szCs w:val="22"/>
                <w:lang w:val="en-US" w:eastAsia="en-US"/>
              </w:rPr>
            </w:pPr>
            <w:r w:rsidRPr="00CF31E0">
              <w:rPr>
                <w:rFonts w:eastAsia="Calibri"/>
                <w:color w:val="000000" w:themeColor="text1"/>
                <w:sz w:val="22"/>
                <w:szCs w:val="22"/>
                <w:lang w:val="en-US" w:eastAsia="en-US"/>
              </w:rPr>
              <w:t>Mauchley’s W</w:t>
            </w:r>
          </w:p>
        </w:tc>
        <w:tc>
          <w:tcPr>
            <w:tcW w:w="1701" w:type="dxa"/>
            <w:tcBorders>
              <w:top w:val="single" w:sz="8" w:space="0" w:color="auto"/>
              <w:bottom w:val="single" w:sz="8" w:space="0" w:color="auto"/>
            </w:tcBorders>
            <w:shd w:val="clear" w:color="auto" w:fill="auto"/>
          </w:tcPr>
          <w:p w14:paraId="6CDC0E01" w14:textId="77777777" w:rsidR="00352672" w:rsidRPr="00CF31E0" w:rsidRDefault="00352672" w:rsidP="00603CB7">
            <w:pPr>
              <w:spacing w:before="120" w:after="120"/>
              <w:rPr>
                <w:rFonts w:eastAsia="Calibri"/>
                <w:color w:val="000000" w:themeColor="text1"/>
                <w:sz w:val="22"/>
                <w:szCs w:val="22"/>
                <w:lang w:val="en-US" w:eastAsia="en-US"/>
              </w:rPr>
            </w:pPr>
            <w:r w:rsidRPr="00CF31E0">
              <w:rPr>
                <w:rFonts w:eastAsia="Calibri"/>
                <w:color w:val="000000" w:themeColor="text1"/>
                <w:sz w:val="22"/>
                <w:szCs w:val="22"/>
                <w:lang w:val="en-US" w:eastAsia="en-US"/>
              </w:rPr>
              <w:t>Approx Chi-Square</w:t>
            </w:r>
          </w:p>
        </w:tc>
        <w:tc>
          <w:tcPr>
            <w:tcW w:w="992" w:type="dxa"/>
            <w:tcBorders>
              <w:top w:val="single" w:sz="8" w:space="0" w:color="auto"/>
              <w:bottom w:val="single" w:sz="8" w:space="0" w:color="auto"/>
            </w:tcBorders>
            <w:shd w:val="clear" w:color="auto" w:fill="auto"/>
          </w:tcPr>
          <w:p w14:paraId="51123778" w14:textId="77777777" w:rsidR="00352672" w:rsidRPr="00CF31E0" w:rsidRDefault="00352672" w:rsidP="00603CB7">
            <w:pPr>
              <w:spacing w:before="120" w:after="120"/>
              <w:rPr>
                <w:rFonts w:eastAsia="Calibri"/>
                <w:color w:val="000000" w:themeColor="text1"/>
                <w:sz w:val="22"/>
                <w:szCs w:val="22"/>
                <w:lang w:val="en-US" w:eastAsia="en-US"/>
              </w:rPr>
            </w:pPr>
            <w:r w:rsidRPr="00CF31E0">
              <w:rPr>
                <w:rFonts w:eastAsia="Calibri"/>
                <w:color w:val="000000" w:themeColor="text1"/>
                <w:sz w:val="22"/>
                <w:szCs w:val="22"/>
                <w:lang w:eastAsia="en-US"/>
              </w:rPr>
              <w:t>df</w:t>
            </w:r>
          </w:p>
        </w:tc>
        <w:tc>
          <w:tcPr>
            <w:tcW w:w="1417" w:type="dxa"/>
            <w:tcBorders>
              <w:top w:val="single" w:sz="8" w:space="0" w:color="auto"/>
              <w:bottom w:val="single" w:sz="8" w:space="0" w:color="auto"/>
            </w:tcBorders>
          </w:tcPr>
          <w:p w14:paraId="42E6E138" w14:textId="77777777" w:rsidR="00352672" w:rsidRPr="00CF31E0" w:rsidRDefault="00352672" w:rsidP="00603CB7">
            <w:pPr>
              <w:spacing w:before="120" w:after="120"/>
              <w:rPr>
                <w:rFonts w:eastAsia="Calibri"/>
                <w:color w:val="000000" w:themeColor="text1"/>
                <w:sz w:val="22"/>
                <w:szCs w:val="22"/>
                <w:lang w:eastAsia="en-US"/>
              </w:rPr>
            </w:pPr>
            <w:r w:rsidRPr="00CF31E0">
              <w:rPr>
                <w:rFonts w:eastAsia="Calibri"/>
                <w:color w:val="000000" w:themeColor="text1"/>
                <w:sz w:val="22"/>
                <w:szCs w:val="22"/>
                <w:lang w:eastAsia="en-US"/>
              </w:rPr>
              <w:t>Sig.</w:t>
            </w:r>
          </w:p>
        </w:tc>
      </w:tr>
      <w:tr w:rsidR="00352672" w:rsidRPr="00CF31E0" w14:paraId="3D68D64A" w14:textId="77777777" w:rsidTr="00603CB7">
        <w:tc>
          <w:tcPr>
            <w:tcW w:w="2093" w:type="dxa"/>
            <w:tcBorders>
              <w:top w:val="single" w:sz="8" w:space="0" w:color="auto"/>
              <w:bottom w:val="single" w:sz="4" w:space="0" w:color="auto"/>
            </w:tcBorders>
            <w:shd w:val="clear" w:color="auto" w:fill="auto"/>
          </w:tcPr>
          <w:p w14:paraId="705DCE88" w14:textId="2148A04E" w:rsidR="00352672" w:rsidRPr="00CF31E0" w:rsidRDefault="00352672" w:rsidP="00603CB7">
            <w:pPr>
              <w:spacing w:before="120" w:after="120"/>
              <w:rPr>
                <w:rFonts w:eastAsia="Calibri"/>
                <w:color w:val="000000" w:themeColor="text1"/>
                <w:sz w:val="22"/>
                <w:szCs w:val="22"/>
                <w:lang w:val="en-US" w:eastAsia="en-US"/>
              </w:rPr>
            </w:pPr>
            <w:r w:rsidRPr="00CF31E0">
              <w:rPr>
                <w:rFonts w:eastAsia="Calibri"/>
                <w:color w:val="000000" w:themeColor="text1"/>
                <w:sz w:val="22"/>
                <w:szCs w:val="22"/>
                <w:lang w:val="en-US" w:eastAsia="en-US"/>
              </w:rPr>
              <w:t>Traditional</w:t>
            </w:r>
          </w:p>
        </w:tc>
        <w:tc>
          <w:tcPr>
            <w:tcW w:w="1276" w:type="dxa"/>
            <w:tcBorders>
              <w:top w:val="single" w:sz="8" w:space="0" w:color="auto"/>
              <w:bottom w:val="single" w:sz="4" w:space="0" w:color="auto"/>
            </w:tcBorders>
            <w:shd w:val="clear" w:color="auto" w:fill="auto"/>
          </w:tcPr>
          <w:p w14:paraId="59C93330" w14:textId="219F8FF5" w:rsidR="00352672" w:rsidRPr="00CF31E0" w:rsidRDefault="00352672" w:rsidP="00603CB7">
            <w:pPr>
              <w:spacing w:before="120" w:after="120"/>
              <w:rPr>
                <w:rFonts w:eastAsia="Calibri"/>
                <w:color w:val="000000" w:themeColor="text1"/>
                <w:sz w:val="22"/>
                <w:szCs w:val="22"/>
                <w:lang w:eastAsia="en-US"/>
              </w:rPr>
            </w:pPr>
            <w:r w:rsidRPr="00CF31E0">
              <w:rPr>
                <w:rFonts w:eastAsia="Calibri"/>
                <w:color w:val="000000" w:themeColor="text1"/>
                <w:sz w:val="22"/>
                <w:szCs w:val="22"/>
                <w:lang w:eastAsia="en-US"/>
              </w:rPr>
              <w:t>.768</w:t>
            </w:r>
          </w:p>
        </w:tc>
        <w:tc>
          <w:tcPr>
            <w:tcW w:w="1701" w:type="dxa"/>
            <w:tcBorders>
              <w:top w:val="single" w:sz="8" w:space="0" w:color="auto"/>
              <w:bottom w:val="single" w:sz="4" w:space="0" w:color="auto"/>
            </w:tcBorders>
            <w:shd w:val="clear" w:color="auto" w:fill="auto"/>
          </w:tcPr>
          <w:p w14:paraId="16BD94FA" w14:textId="19E189D9" w:rsidR="00352672" w:rsidRPr="00CF31E0" w:rsidRDefault="00352672" w:rsidP="00603CB7">
            <w:pPr>
              <w:spacing w:before="120" w:after="120"/>
              <w:rPr>
                <w:rFonts w:eastAsia="Calibri"/>
                <w:color w:val="000000" w:themeColor="text1"/>
                <w:sz w:val="22"/>
                <w:szCs w:val="22"/>
                <w:lang w:val="en-US" w:eastAsia="en-US"/>
              </w:rPr>
            </w:pPr>
            <w:r w:rsidRPr="00CF31E0">
              <w:rPr>
                <w:rFonts w:eastAsia="Calibri"/>
                <w:color w:val="000000" w:themeColor="text1"/>
                <w:sz w:val="22"/>
                <w:szCs w:val="22"/>
                <w:lang w:val="en-US" w:eastAsia="en-US"/>
              </w:rPr>
              <w:t>170.470</w:t>
            </w:r>
          </w:p>
        </w:tc>
        <w:tc>
          <w:tcPr>
            <w:tcW w:w="992" w:type="dxa"/>
            <w:tcBorders>
              <w:top w:val="single" w:sz="8" w:space="0" w:color="auto"/>
              <w:bottom w:val="single" w:sz="4" w:space="0" w:color="auto"/>
            </w:tcBorders>
            <w:shd w:val="clear" w:color="auto" w:fill="auto"/>
          </w:tcPr>
          <w:p w14:paraId="0208FAD0" w14:textId="77777777" w:rsidR="00352672" w:rsidRPr="00CF31E0" w:rsidRDefault="00352672" w:rsidP="00603CB7">
            <w:pPr>
              <w:spacing w:before="120" w:after="120"/>
              <w:rPr>
                <w:rFonts w:eastAsia="Calibri"/>
                <w:color w:val="000000" w:themeColor="text1"/>
                <w:sz w:val="22"/>
                <w:szCs w:val="22"/>
                <w:lang w:eastAsia="en-US"/>
              </w:rPr>
            </w:pPr>
            <w:r w:rsidRPr="00CF31E0">
              <w:rPr>
                <w:rFonts w:eastAsia="Calibri"/>
                <w:color w:val="000000" w:themeColor="text1"/>
                <w:sz w:val="22"/>
                <w:szCs w:val="22"/>
                <w:lang w:eastAsia="en-US"/>
              </w:rPr>
              <w:t>9</w:t>
            </w:r>
          </w:p>
        </w:tc>
        <w:tc>
          <w:tcPr>
            <w:tcW w:w="1417" w:type="dxa"/>
            <w:tcBorders>
              <w:top w:val="single" w:sz="8" w:space="0" w:color="auto"/>
              <w:bottom w:val="single" w:sz="4" w:space="0" w:color="auto"/>
            </w:tcBorders>
          </w:tcPr>
          <w:p w14:paraId="2D8AB5AF" w14:textId="77777777" w:rsidR="00352672" w:rsidRPr="00CF31E0" w:rsidRDefault="00352672" w:rsidP="00603CB7">
            <w:pPr>
              <w:spacing w:before="120" w:after="120"/>
              <w:rPr>
                <w:rFonts w:eastAsia="Calibri"/>
                <w:color w:val="000000" w:themeColor="text1"/>
                <w:sz w:val="22"/>
                <w:szCs w:val="22"/>
                <w:lang w:eastAsia="en-US"/>
              </w:rPr>
            </w:pPr>
            <w:r w:rsidRPr="00CF31E0">
              <w:rPr>
                <w:rFonts w:eastAsia="Calibri"/>
                <w:color w:val="000000" w:themeColor="text1"/>
                <w:sz w:val="22"/>
                <w:szCs w:val="22"/>
                <w:lang w:eastAsia="en-US"/>
              </w:rPr>
              <w:t>.000</w:t>
            </w:r>
          </w:p>
        </w:tc>
      </w:tr>
    </w:tbl>
    <w:p w14:paraId="5F15D83B" w14:textId="21106F84" w:rsidR="000B4835" w:rsidRPr="00CF31E0" w:rsidRDefault="000B4835" w:rsidP="00F61455">
      <w:pPr>
        <w:pStyle w:val="Tablecaption"/>
        <w:rPr>
          <w:lang w:eastAsia="en-US"/>
        </w:rPr>
      </w:pPr>
      <w:bookmarkStart w:id="854" w:name="_Toc522527484"/>
      <w:bookmarkStart w:id="855" w:name="_Toc522628897"/>
      <w:bookmarkStart w:id="856" w:name="_Toc522629061"/>
      <w:bookmarkStart w:id="857" w:name="_Toc6473159"/>
      <w:r w:rsidRPr="00CF31E0">
        <w:rPr>
          <w:lang w:eastAsia="en-US"/>
        </w:rPr>
        <w:t>Table</w:t>
      </w:r>
      <w:r w:rsidR="003B51C7" w:rsidRPr="00CF31E0">
        <w:rPr>
          <w:lang w:eastAsia="en-US"/>
        </w:rPr>
        <w:t xml:space="preserve"> </w:t>
      </w:r>
      <w:r w:rsidR="00F61455" w:rsidRPr="00CF31E0">
        <w:rPr>
          <w:lang w:eastAsia="en-US"/>
        </w:rPr>
        <w:t>11</w:t>
      </w:r>
      <w:r w:rsidR="003B51C7" w:rsidRPr="00CF31E0">
        <w:rPr>
          <w:lang w:eastAsia="en-US"/>
        </w:rPr>
        <w:t>.</w:t>
      </w:r>
      <w:r w:rsidR="00F61455" w:rsidRPr="00CF31E0">
        <w:rPr>
          <w:lang w:eastAsia="en-US"/>
        </w:rPr>
        <w:t>21</w:t>
      </w:r>
      <w:r w:rsidR="003B51C7" w:rsidRPr="00CF31E0">
        <w:rPr>
          <w:lang w:eastAsia="en-US"/>
        </w:rPr>
        <w:t xml:space="preserve">: </w:t>
      </w:r>
      <w:r w:rsidRPr="00CF31E0">
        <w:rPr>
          <w:lang w:eastAsia="en-US"/>
        </w:rPr>
        <w:t xml:space="preserve">Test of sphericity results for the </w:t>
      </w:r>
      <w:r w:rsidRPr="00CF31E0">
        <w:rPr>
          <w:i/>
          <w:iCs/>
          <w:lang w:eastAsia="en-US"/>
        </w:rPr>
        <w:t>traditional</w:t>
      </w:r>
      <w:r w:rsidRPr="00CF31E0">
        <w:rPr>
          <w:lang w:eastAsia="en-US"/>
        </w:rPr>
        <w:t xml:space="preserve"> characteristic across the samples</w:t>
      </w:r>
      <w:r w:rsidR="003B51C7" w:rsidRPr="00CF31E0">
        <w:rPr>
          <w:lang w:eastAsia="en-US"/>
        </w:rPr>
        <w:t>.</w:t>
      </w:r>
      <w:bookmarkEnd w:id="854"/>
      <w:bookmarkEnd w:id="855"/>
      <w:bookmarkEnd w:id="856"/>
      <w:bookmarkEnd w:id="857"/>
    </w:p>
    <w:tbl>
      <w:tblPr>
        <w:tblW w:w="7350"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299"/>
        <w:gridCol w:w="1436"/>
        <w:gridCol w:w="1593"/>
        <w:gridCol w:w="793"/>
        <w:gridCol w:w="1593"/>
        <w:gridCol w:w="636"/>
      </w:tblGrid>
      <w:tr w:rsidR="00ED36FE" w:rsidRPr="00CF31E0" w14:paraId="78930A8C" w14:textId="77777777" w:rsidTr="00ED36FE">
        <w:trPr>
          <w:cantSplit/>
          <w:trHeight w:val="842"/>
        </w:trPr>
        <w:tc>
          <w:tcPr>
            <w:tcW w:w="2735" w:type="dxa"/>
            <w:gridSpan w:val="2"/>
            <w:tcBorders>
              <w:top w:val="single" w:sz="4" w:space="0" w:color="auto"/>
              <w:bottom w:val="single" w:sz="4" w:space="0" w:color="auto"/>
            </w:tcBorders>
            <w:shd w:val="clear" w:color="auto" w:fill="FFFFFF"/>
            <w:vAlign w:val="bottom"/>
          </w:tcPr>
          <w:p w14:paraId="1A6EB4CF" w14:textId="77777777" w:rsidR="00ED36FE" w:rsidRPr="00CF31E0" w:rsidRDefault="00ED36FE"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p>
          <w:p w14:paraId="241B1A81" w14:textId="77777777" w:rsidR="00ED36FE" w:rsidRPr="00CF31E0" w:rsidRDefault="00ED36FE"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Source</w:t>
            </w:r>
          </w:p>
        </w:tc>
        <w:tc>
          <w:tcPr>
            <w:tcW w:w="1593" w:type="dxa"/>
            <w:tcBorders>
              <w:top w:val="single" w:sz="4" w:space="0" w:color="auto"/>
              <w:bottom w:val="single" w:sz="4" w:space="0" w:color="auto"/>
            </w:tcBorders>
            <w:shd w:val="clear" w:color="auto" w:fill="FFFFFF"/>
            <w:vAlign w:val="bottom"/>
          </w:tcPr>
          <w:p w14:paraId="3ED48E45" w14:textId="77777777" w:rsidR="00ED36FE" w:rsidRPr="00CF31E0" w:rsidRDefault="00ED36FE"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Type III Sum of Squares</w:t>
            </w:r>
          </w:p>
        </w:tc>
        <w:tc>
          <w:tcPr>
            <w:tcW w:w="793" w:type="dxa"/>
            <w:tcBorders>
              <w:top w:val="single" w:sz="4" w:space="0" w:color="auto"/>
              <w:bottom w:val="single" w:sz="4" w:space="0" w:color="auto"/>
            </w:tcBorders>
            <w:shd w:val="clear" w:color="auto" w:fill="FFFFFF"/>
            <w:vAlign w:val="bottom"/>
          </w:tcPr>
          <w:p w14:paraId="7B62CAE0" w14:textId="77777777" w:rsidR="00ED36FE" w:rsidRPr="00CF31E0" w:rsidRDefault="00ED36FE"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df</w:t>
            </w:r>
          </w:p>
        </w:tc>
        <w:tc>
          <w:tcPr>
            <w:tcW w:w="1593" w:type="dxa"/>
            <w:tcBorders>
              <w:top w:val="single" w:sz="4" w:space="0" w:color="auto"/>
              <w:bottom w:val="single" w:sz="4" w:space="0" w:color="auto"/>
            </w:tcBorders>
            <w:shd w:val="clear" w:color="auto" w:fill="FFFFFF"/>
            <w:vAlign w:val="bottom"/>
          </w:tcPr>
          <w:p w14:paraId="180DDD1A" w14:textId="77777777" w:rsidR="00ED36FE" w:rsidRPr="00CF31E0" w:rsidRDefault="00ED36FE"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Mean Square</w:t>
            </w:r>
          </w:p>
        </w:tc>
        <w:tc>
          <w:tcPr>
            <w:tcW w:w="636" w:type="dxa"/>
            <w:tcBorders>
              <w:top w:val="single" w:sz="4" w:space="0" w:color="auto"/>
              <w:bottom w:val="single" w:sz="4" w:space="0" w:color="auto"/>
            </w:tcBorders>
            <w:shd w:val="clear" w:color="auto" w:fill="FFFFFF"/>
            <w:vAlign w:val="bottom"/>
          </w:tcPr>
          <w:p w14:paraId="6A87D8BF" w14:textId="77777777" w:rsidR="00ED36FE" w:rsidRPr="00CF31E0" w:rsidRDefault="00ED36FE"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Sig.</w:t>
            </w:r>
          </w:p>
        </w:tc>
      </w:tr>
      <w:tr w:rsidR="00ED36FE" w:rsidRPr="00CF31E0" w14:paraId="4BCED191" w14:textId="77777777" w:rsidTr="00ED36FE">
        <w:trPr>
          <w:cantSplit/>
          <w:trHeight w:val="717"/>
        </w:trPr>
        <w:tc>
          <w:tcPr>
            <w:tcW w:w="1299" w:type="dxa"/>
            <w:vMerge w:val="restart"/>
            <w:tcBorders>
              <w:top w:val="single" w:sz="4" w:space="0" w:color="auto"/>
              <w:bottom w:val="nil"/>
            </w:tcBorders>
            <w:shd w:val="clear" w:color="auto" w:fill="FFFFFF"/>
          </w:tcPr>
          <w:p w14:paraId="3C08A408" w14:textId="280E7C0C" w:rsidR="00ED36FE" w:rsidRPr="00CF31E0" w:rsidRDefault="00ED36FE" w:rsidP="00545871">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Traditional</w:t>
            </w:r>
          </w:p>
        </w:tc>
        <w:tc>
          <w:tcPr>
            <w:tcW w:w="1435" w:type="dxa"/>
            <w:tcBorders>
              <w:top w:val="single" w:sz="4" w:space="0" w:color="auto"/>
              <w:bottom w:val="nil"/>
            </w:tcBorders>
            <w:shd w:val="clear" w:color="auto" w:fill="FFFFFF"/>
          </w:tcPr>
          <w:p w14:paraId="32899475" w14:textId="77777777" w:rsidR="00ED36FE" w:rsidRPr="00CF31E0" w:rsidRDefault="00ED36FE" w:rsidP="00545871">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Sphericity Assumed</w:t>
            </w:r>
          </w:p>
        </w:tc>
        <w:tc>
          <w:tcPr>
            <w:tcW w:w="1593" w:type="dxa"/>
            <w:tcBorders>
              <w:top w:val="single" w:sz="4" w:space="0" w:color="auto"/>
              <w:bottom w:val="nil"/>
            </w:tcBorders>
            <w:shd w:val="clear" w:color="auto" w:fill="FFFFFF"/>
            <w:vAlign w:val="center"/>
          </w:tcPr>
          <w:p w14:paraId="63112644" w14:textId="23FF0457" w:rsidR="00ED36FE" w:rsidRPr="00CF31E0" w:rsidRDefault="00ED36FE" w:rsidP="00545871">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136.193</w:t>
            </w:r>
          </w:p>
        </w:tc>
        <w:tc>
          <w:tcPr>
            <w:tcW w:w="793" w:type="dxa"/>
            <w:tcBorders>
              <w:top w:val="single" w:sz="4" w:space="0" w:color="auto"/>
              <w:bottom w:val="nil"/>
            </w:tcBorders>
            <w:shd w:val="clear" w:color="auto" w:fill="FFFFFF"/>
            <w:vAlign w:val="center"/>
          </w:tcPr>
          <w:p w14:paraId="23F5EFC6" w14:textId="77777777" w:rsidR="00ED36FE" w:rsidRPr="00CF31E0" w:rsidRDefault="00ED36FE" w:rsidP="00545871">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4</w:t>
            </w:r>
          </w:p>
        </w:tc>
        <w:tc>
          <w:tcPr>
            <w:tcW w:w="1593" w:type="dxa"/>
            <w:tcBorders>
              <w:top w:val="single" w:sz="4" w:space="0" w:color="auto"/>
              <w:bottom w:val="nil"/>
            </w:tcBorders>
            <w:shd w:val="clear" w:color="auto" w:fill="FFFFFF"/>
            <w:vAlign w:val="center"/>
          </w:tcPr>
          <w:p w14:paraId="2CFC3614" w14:textId="6B3C2631" w:rsidR="00ED36FE" w:rsidRPr="00CF31E0" w:rsidRDefault="00ED36FE" w:rsidP="00545871">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34.048</w:t>
            </w:r>
          </w:p>
        </w:tc>
        <w:tc>
          <w:tcPr>
            <w:tcW w:w="636" w:type="dxa"/>
            <w:tcBorders>
              <w:top w:val="single" w:sz="4" w:space="0" w:color="auto"/>
              <w:bottom w:val="nil"/>
            </w:tcBorders>
            <w:shd w:val="clear" w:color="auto" w:fill="FFFFFF"/>
            <w:vAlign w:val="center"/>
          </w:tcPr>
          <w:p w14:paraId="18212D2D" w14:textId="77777777" w:rsidR="00ED36FE" w:rsidRPr="00CF31E0" w:rsidRDefault="00ED36FE" w:rsidP="00545871">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.000</w:t>
            </w:r>
          </w:p>
        </w:tc>
      </w:tr>
      <w:tr w:rsidR="00ED36FE" w:rsidRPr="00CF31E0" w14:paraId="373E24EE" w14:textId="77777777" w:rsidTr="00ED36FE">
        <w:trPr>
          <w:cantSplit/>
          <w:trHeight w:val="139"/>
        </w:trPr>
        <w:tc>
          <w:tcPr>
            <w:tcW w:w="1299" w:type="dxa"/>
            <w:vMerge/>
            <w:tcBorders>
              <w:top w:val="nil"/>
            </w:tcBorders>
            <w:shd w:val="clear" w:color="auto" w:fill="FFFFFF"/>
          </w:tcPr>
          <w:p w14:paraId="584A86AF" w14:textId="77777777" w:rsidR="00ED36FE" w:rsidRPr="00CF31E0" w:rsidRDefault="00ED36FE" w:rsidP="00545871">
            <w:pPr>
              <w:widowControl w:val="0"/>
              <w:autoSpaceDE w:val="0"/>
              <w:autoSpaceDN w:val="0"/>
              <w:adjustRightInd w:val="0"/>
              <w:spacing w:before="120" w:after="120"/>
              <w:jc w:val="both"/>
              <w:rPr>
                <w:rFonts w:eastAsia="Calibri"/>
                <w:color w:val="000000" w:themeColor="text1"/>
                <w:sz w:val="22"/>
                <w:szCs w:val="22"/>
                <w:lang w:eastAsia="en-US"/>
              </w:rPr>
            </w:pPr>
          </w:p>
        </w:tc>
        <w:tc>
          <w:tcPr>
            <w:tcW w:w="1435" w:type="dxa"/>
            <w:tcBorders>
              <w:top w:val="nil"/>
            </w:tcBorders>
            <w:shd w:val="clear" w:color="auto" w:fill="FFFFFF"/>
          </w:tcPr>
          <w:p w14:paraId="3E1DCDB4" w14:textId="77777777" w:rsidR="00ED36FE" w:rsidRPr="00CF31E0" w:rsidRDefault="00ED36FE" w:rsidP="00545871">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Greenhouse-Geisser</w:t>
            </w:r>
          </w:p>
        </w:tc>
        <w:tc>
          <w:tcPr>
            <w:tcW w:w="1593" w:type="dxa"/>
            <w:tcBorders>
              <w:top w:val="nil"/>
            </w:tcBorders>
            <w:shd w:val="clear" w:color="auto" w:fill="FFFFFF"/>
            <w:vAlign w:val="center"/>
          </w:tcPr>
          <w:p w14:paraId="18693BF9" w14:textId="7A27930A" w:rsidR="00ED36FE" w:rsidRPr="00CF31E0" w:rsidRDefault="00ED36FE" w:rsidP="00545871">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136.193</w:t>
            </w:r>
          </w:p>
        </w:tc>
        <w:tc>
          <w:tcPr>
            <w:tcW w:w="793" w:type="dxa"/>
            <w:tcBorders>
              <w:top w:val="nil"/>
            </w:tcBorders>
            <w:shd w:val="clear" w:color="auto" w:fill="FFFFFF"/>
            <w:vAlign w:val="center"/>
          </w:tcPr>
          <w:p w14:paraId="182E812C" w14:textId="786D3FE9" w:rsidR="00ED36FE" w:rsidRPr="00CF31E0" w:rsidRDefault="00ED36FE" w:rsidP="00545871">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3.475</w:t>
            </w:r>
          </w:p>
        </w:tc>
        <w:tc>
          <w:tcPr>
            <w:tcW w:w="1593" w:type="dxa"/>
            <w:tcBorders>
              <w:top w:val="nil"/>
            </w:tcBorders>
            <w:shd w:val="clear" w:color="auto" w:fill="FFFFFF"/>
            <w:vAlign w:val="center"/>
          </w:tcPr>
          <w:p w14:paraId="4B1E33EC" w14:textId="33C5675D" w:rsidR="00ED36FE" w:rsidRPr="00CF31E0" w:rsidRDefault="00ED36FE" w:rsidP="00545871">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39.196</w:t>
            </w:r>
          </w:p>
        </w:tc>
        <w:tc>
          <w:tcPr>
            <w:tcW w:w="636" w:type="dxa"/>
            <w:tcBorders>
              <w:top w:val="nil"/>
            </w:tcBorders>
            <w:shd w:val="clear" w:color="auto" w:fill="FFFFFF"/>
            <w:vAlign w:val="center"/>
          </w:tcPr>
          <w:p w14:paraId="7A80B8CA" w14:textId="77777777" w:rsidR="00ED36FE" w:rsidRPr="00CF31E0" w:rsidRDefault="00ED36FE" w:rsidP="00545871">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.000</w:t>
            </w:r>
          </w:p>
        </w:tc>
      </w:tr>
    </w:tbl>
    <w:p w14:paraId="7DFC89C7" w14:textId="5C97D722" w:rsidR="000B4835" w:rsidRPr="00CF31E0" w:rsidRDefault="000B4835" w:rsidP="00F61455">
      <w:pPr>
        <w:pStyle w:val="Tablecaption"/>
        <w:rPr>
          <w:lang w:eastAsia="en-US"/>
        </w:rPr>
      </w:pPr>
      <w:bookmarkStart w:id="858" w:name="_Toc522527485"/>
      <w:bookmarkStart w:id="859" w:name="_Toc522628898"/>
      <w:bookmarkStart w:id="860" w:name="_Toc522629062"/>
      <w:bookmarkStart w:id="861" w:name="_Toc6473160"/>
      <w:r w:rsidRPr="00CF31E0">
        <w:rPr>
          <w:lang w:eastAsia="en-US"/>
        </w:rPr>
        <w:t>Table</w:t>
      </w:r>
      <w:r w:rsidR="003B51C7" w:rsidRPr="00CF31E0">
        <w:rPr>
          <w:lang w:eastAsia="en-US"/>
        </w:rPr>
        <w:t xml:space="preserve"> </w:t>
      </w:r>
      <w:r w:rsidR="00F61455" w:rsidRPr="00CF31E0">
        <w:rPr>
          <w:lang w:eastAsia="en-US"/>
        </w:rPr>
        <w:t>11</w:t>
      </w:r>
      <w:r w:rsidR="003B51C7" w:rsidRPr="00CF31E0">
        <w:rPr>
          <w:lang w:eastAsia="en-US"/>
        </w:rPr>
        <w:t>.</w:t>
      </w:r>
      <w:r w:rsidR="00F61455" w:rsidRPr="00CF31E0">
        <w:rPr>
          <w:lang w:eastAsia="en-US"/>
        </w:rPr>
        <w:t>22</w:t>
      </w:r>
      <w:r w:rsidR="003B51C7" w:rsidRPr="00CF31E0">
        <w:rPr>
          <w:lang w:eastAsia="en-US"/>
        </w:rPr>
        <w:t xml:space="preserve">: </w:t>
      </w:r>
      <w:r w:rsidRPr="00CF31E0">
        <w:rPr>
          <w:lang w:eastAsia="en-US"/>
        </w:rPr>
        <w:t xml:space="preserve">Within-subjects test for the </w:t>
      </w:r>
      <w:r w:rsidRPr="00CF31E0">
        <w:rPr>
          <w:i/>
          <w:iCs/>
          <w:lang w:eastAsia="en-US"/>
        </w:rPr>
        <w:t>traditional</w:t>
      </w:r>
      <w:r w:rsidRPr="00CF31E0">
        <w:rPr>
          <w:lang w:eastAsia="en-US"/>
        </w:rPr>
        <w:t xml:space="preserve"> characteristic across the samples</w:t>
      </w:r>
      <w:r w:rsidR="003B51C7" w:rsidRPr="00CF31E0">
        <w:rPr>
          <w:lang w:eastAsia="en-US"/>
        </w:rPr>
        <w:t>.</w:t>
      </w:r>
      <w:bookmarkEnd w:id="858"/>
      <w:bookmarkEnd w:id="859"/>
      <w:bookmarkEnd w:id="860"/>
      <w:bookmarkEnd w:id="861"/>
    </w:p>
    <w:p w14:paraId="6735A118" w14:textId="52B2D4F3" w:rsidR="000B4835" w:rsidRPr="00CF31E0" w:rsidRDefault="000B4835" w:rsidP="00603CB7">
      <w:pPr>
        <w:pStyle w:val="Paragraph"/>
        <w:spacing w:after="0"/>
        <w:rPr>
          <w:lang w:eastAsia="en-US"/>
        </w:rPr>
      </w:pPr>
      <w:r w:rsidRPr="00CF31E0">
        <w:rPr>
          <w:lang w:eastAsia="en-US"/>
        </w:rPr>
        <w:lastRenderedPageBreak/>
        <w:t>Table</w:t>
      </w:r>
      <w:r w:rsidR="003B51C7" w:rsidRPr="00CF31E0">
        <w:rPr>
          <w:lang w:eastAsia="en-US"/>
        </w:rPr>
        <w:t xml:space="preserve"> </w:t>
      </w:r>
      <w:r w:rsidR="00F61455" w:rsidRPr="00CF31E0">
        <w:rPr>
          <w:lang w:eastAsia="en-US"/>
        </w:rPr>
        <w:t>11</w:t>
      </w:r>
      <w:r w:rsidR="003B51C7" w:rsidRPr="00CF31E0">
        <w:rPr>
          <w:lang w:eastAsia="en-US"/>
        </w:rPr>
        <w:t>.</w:t>
      </w:r>
      <w:r w:rsidR="00F61455" w:rsidRPr="00CF31E0">
        <w:rPr>
          <w:lang w:eastAsia="en-US"/>
        </w:rPr>
        <w:t xml:space="preserve">21 </w:t>
      </w:r>
      <w:r w:rsidRPr="00CF31E0">
        <w:rPr>
          <w:lang w:eastAsia="en-US"/>
        </w:rPr>
        <w:t>illustrates that the one-way repeated measure ANOVA assumption is violated. Table</w:t>
      </w:r>
      <w:r w:rsidR="003B51C7" w:rsidRPr="00CF31E0">
        <w:rPr>
          <w:lang w:eastAsia="en-US"/>
        </w:rPr>
        <w:t xml:space="preserve"> </w:t>
      </w:r>
      <w:r w:rsidR="00F61455" w:rsidRPr="00CF31E0">
        <w:rPr>
          <w:lang w:eastAsia="en-US"/>
        </w:rPr>
        <w:t>11</w:t>
      </w:r>
      <w:r w:rsidR="003B51C7" w:rsidRPr="00CF31E0">
        <w:rPr>
          <w:lang w:eastAsia="en-US"/>
        </w:rPr>
        <w:t>.</w:t>
      </w:r>
      <w:r w:rsidR="00F61455" w:rsidRPr="00CF31E0">
        <w:rPr>
          <w:lang w:eastAsia="en-US"/>
        </w:rPr>
        <w:t xml:space="preserve">22 </w:t>
      </w:r>
      <w:r w:rsidRPr="00CF31E0">
        <w:rPr>
          <w:lang w:eastAsia="en-US"/>
        </w:rPr>
        <w:t xml:space="preserve">demonstrates that a significant difference is found among the rating scales as the p value is &lt;.001. The next table will identify where the difference is located. </w:t>
      </w:r>
    </w:p>
    <w:tbl>
      <w:tblPr>
        <w:tblW w:w="720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45"/>
        <w:gridCol w:w="1127"/>
        <w:gridCol w:w="1105"/>
        <w:gridCol w:w="829"/>
        <w:gridCol w:w="828"/>
        <w:gridCol w:w="966"/>
        <w:gridCol w:w="1105"/>
      </w:tblGrid>
      <w:tr w:rsidR="007F558A" w:rsidRPr="00CF31E0" w14:paraId="4C76F358" w14:textId="77777777" w:rsidTr="00603CB7">
        <w:trPr>
          <w:cantSplit/>
          <w:trHeight w:val="939"/>
        </w:trPr>
        <w:tc>
          <w:tcPr>
            <w:tcW w:w="1245" w:type="dxa"/>
            <w:vMerge w:val="restart"/>
            <w:shd w:val="clear" w:color="auto" w:fill="FFFFFF"/>
            <w:vAlign w:val="bottom"/>
          </w:tcPr>
          <w:p w14:paraId="40122A54"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(I) Traditional</w:t>
            </w:r>
          </w:p>
        </w:tc>
        <w:tc>
          <w:tcPr>
            <w:tcW w:w="1127" w:type="dxa"/>
            <w:vMerge w:val="restart"/>
            <w:shd w:val="clear" w:color="auto" w:fill="FFFFFF"/>
            <w:vAlign w:val="bottom"/>
          </w:tcPr>
          <w:p w14:paraId="13EEA578"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(J) Traditional</w:t>
            </w:r>
          </w:p>
        </w:tc>
        <w:tc>
          <w:tcPr>
            <w:tcW w:w="1105" w:type="dxa"/>
            <w:vMerge w:val="restart"/>
            <w:shd w:val="clear" w:color="auto" w:fill="FFFFFF"/>
            <w:vAlign w:val="bottom"/>
          </w:tcPr>
          <w:p w14:paraId="454EB4F9"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Mean Difference (I-J)</w:t>
            </w:r>
          </w:p>
        </w:tc>
        <w:tc>
          <w:tcPr>
            <w:tcW w:w="829" w:type="dxa"/>
            <w:vMerge w:val="restart"/>
            <w:shd w:val="clear" w:color="auto" w:fill="FFFFFF"/>
            <w:vAlign w:val="bottom"/>
          </w:tcPr>
          <w:p w14:paraId="7781A020"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Std. Error</w:t>
            </w:r>
          </w:p>
        </w:tc>
        <w:tc>
          <w:tcPr>
            <w:tcW w:w="828" w:type="dxa"/>
            <w:vMerge w:val="restart"/>
            <w:shd w:val="clear" w:color="auto" w:fill="FFFFFF"/>
            <w:vAlign w:val="bottom"/>
          </w:tcPr>
          <w:p w14:paraId="42E8EC80"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Sig.</w:t>
            </w:r>
            <w:r w:rsidRPr="00CF31E0">
              <w:rPr>
                <w:rFonts w:eastAsia="Calibri"/>
                <w:color w:val="000000" w:themeColor="text1"/>
                <w:sz w:val="22"/>
                <w:szCs w:val="22"/>
                <w:vertAlign w:val="superscript"/>
                <w:lang w:eastAsia="en-US"/>
              </w:rPr>
              <w:t>b</w:t>
            </w:r>
          </w:p>
        </w:tc>
        <w:tc>
          <w:tcPr>
            <w:tcW w:w="2071" w:type="dxa"/>
            <w:gridSpan w:val="2"/>
            <w:shd w:val="clear" w:color="auto" w:fill="FFFFFF"/>
            <w:vAlign w:val="bottom"/>
          </w:tcPr>
          <w:p w14:paraId="7CC5D485"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95% Confidence Interval for Difference</w:t>
            </w:r>
            <w:r w:rsidRPr="00CF31E0">
              <w:rPr>
                <w:rFonts w:eastAsia="Calibri"/>
                <w:color w:val="000000" w:themeColor="text1"/>
                <w:sz w:val="22"/>
                <w:szCs w:val="22"/>
                <w:vertAlign w:val="superscript"/>
                <w:lang w:eastAsia="en-US"/>
              </w:rPr>
              <w:t>b</w:t>
            </w:r>
          </w:p>
        </w:tc>
      </w:tr>
      <w:tr w:rsidR="007812FE" w:rsidRPr="00CF31E0" w14:paraId="5F553936" w14:textId="77777777" w:rsidTr="00603CB7">
        <w:trPr>
          <w:cantSplit/>
          <w:trHeight w:val="140"/>
        </w:trPr>
        <w:tc>
          <w:tcPr>
            <w:tcW w:w="1245" w:type="dxa"/>
            <w:vMerge/>
            <w:shd w:val="clear" w:color="auto" w:fill="FFFFFF"/>
            <w:vAlign w:val="bottom"/>
          </w:tcPr>
          <w:p w14:paraId="0A624892"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1127" w:type="dxa"/>
            <w:vMerge/>
            <w:shd w:val="clear" w:color="auto" w:fill="FFFFFF"/>
            <w:vAlign w:val="bottom"/>
          </w:tcPr>
          <w:p w14:paraId="7786B518"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1105" w:type="dxa"/>
            <w:vMerge/>
            <w:shd w:val="clear" w:color="auto" w:fill="FFFFFF"/>
            <w:vAlign w:val="bottom"/>
          </w:tcPr>
          <w:p w14:paraId="05DE526F"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829" w:type="dxa"/>
            <w:vMerge/>
            <w:shd w:val="clear" w:color="auto" w:fill="FFFFFF"/>
            <w:vAlign w:val="bottom"/>
          </w:tcPr>
          <w:p w14:paraId="3D0D116A"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828" w:type="dxa"/>
            <w:vMerge/>
            <w:shd w:val="clear" w:color="auto" w:fill="FFFFFF"/>
            <w:vAlign w:val="bottom"/>
          </w:tcPr>
          <w:p w14:paraId="3961E5FA"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966" w:type="dxa"/>
            <w:shd w:val="clear" w:color="auto" w:fill="FFFFFF"/>
            <w:vAlign w:val="bottom"/>
          </w:tcPr>
          <w:p w14:paraId="7BC072D2"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Lower Bound</w:t>
            </w:r>
          </w:p>
        </w:tc>
        <w:tc>
          <w:tcPr>
            <w:tcW w:w="1105" w:type="dxa"/>
            <w:shd w:val="clear" w:color="auto" w:fill="FFFFFF"/>
            <w:vAlign w:val="bottom"/>
          </w:tcPr>
          <w:p w14:paraId="2101DBAD"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Upper Bound</w:t>
            </w:r>
          </w:p>
        </w:tc>
      </w:tr>
      <w:tr w:rsidR="007812FE" w:rsidRPr="00CF31E0" w14:paraId="56BF853C" w14:textId="77777777" w:rsidTr="00603CB7">
        <w:trPr>
          <w:cantSplit/>
          <w:trHeight w:val="313"/>
        </w:trPr>
        <w:tc>
          <w:tcPr>
            <w:tcW w:w="1245" w:type="dxa"/>
            <w:vMerge w:val="restart"/>
            <w:shd w:val="clear" w:color="auto" w:fill="FFFFFF"/>
          </w:tcPr>
          <w:p w14:paraId="6380C3C0"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w:t>
            </w:r>
          </w:p>
        </w:tc>
        <w:tc>
          <w:tcPr>
            <w:tcW w:w="1127" w:type="dxa"/>
            <w:shd w:val="clear" w:color="auto" w:fill="FFFFFF"/>
          </w:tcPr>
          <w:p w14:paraId="5DE2959C"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2</w:t>
            </w:r>
          </w:p>
        </w:tc>
        <w:tc>
          <w:tcPr>
            <w:tcW w:w="1105" w:type="dxa"/>
            <w:shd w:val="clear" w:color="auto" w:fill="FFFFFF"/>
            <w:vAlign w:val="center"/>
          </w:tcPr>
          <w:p w14:paraId="58925AFC"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-.277</w:t>
            </w:r>
            <w:r w:rsidRPr="00CF31E0">
              <w:rPr>
                <w:rFonts w:eastAsia="Calibri"/>
                <w:color w:val="000000" w:themeColor="text1"/>
                <w:sz w:val="22"/>
                <w:szCs w:val="22"/>
                <w:vertAlign w:val="superscript"/>
                <w:lang w:eastAsia="en-US"/>
              </w:rPr>
              <w:t>*</w:t>
            </w:r>
          </w:p>
        </w:tc>
        <w:tc>
          <w:tcPr>
            <w:tcW w:w="829" w:type="dxa"/>
            <w:shd w:val="clear" w:color="auto" w:fill="FFFFFF"/>
            <w:vAlign w:val="center"/>
          </w:tcPr>
          <w:p w14:paraId="01B9632C"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.057</w:t>
            </w:r>
          </w:p>
        </w:tc>
        <w:tc>
          <w:tcPr>
            <w:tcW w:w="828" w:type="dxa"/>
            <w:shd w:val="clear" w:color="auto" w:fill="FFFFFF"/>
            <w:vAlign w:val="center"/>
          </w:tcPr>
          <w:p w14:paraId="401E387F"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66" w:type="dxa"/>
            <w:shd w:val="clear" w:color="auto" w:fill="FFFFFF"/>
            <w:vAlign w:val="center"/>
          </w:tcPr>
          <w:p w14:paraId="626A2BBD"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-.439</w:t>
            </w:r>
          </w:p>
        </w:tc>
        <w:tc>
          <w:tcPr>
            <w:tcW w:w="1105" w:type="dxa"/>
            <w:shd w:val="clear" w:color="auto" w:fill="FFFFFF"/>
            <w:vAlign w:val="center"/>
          </w:tcPr>
          <w:p w14:paraId="1E1CED12"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-.116</w:t>
            </w:r>
          </w:p>
        </w:tc>
      </w:tr>
      <w:tr w:rsidR="007812FE" w:rsidRPr="00CF31E0" w14:paraId="20C85E88" w14:textId="77777777" w:rsidTr="00603CB7">
        <w:trPr>
          <w:cantSplit/>
          <w:trHeight w:val="140"/>
        </w:trPr>
        <w:tc>
          <w:tcPr>
            <w:tcW w:w="1245" w:type="dxa"/>
            <w:vMerge/>
            <w:shd w:val="clear" w:color="auto" w:fill="FFFFFF"/>
          </w:tcPr>
          <w:p w14:paraId="0C672365"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1127" w:type="dxa"/>
            <w:shd w:val="clear" w:color="auto" w:fill="FFFFFF"/>
          </w:tcPr>
          <w:p w14:paraId="6BC58FF0"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3</w:t>
            </w:r>
          </w:p>
        </w:tc>
        <w:tc>
          <w:tcPr>
            <w:tcW w:w="1105" w:type="dxa"/>
            <w:shd w:val="clear" w:color="auto" w:fill="FFFFFF"/>
            <w:vAlign w:val="center"/>
          </w:tcPr>
          <w:p w14:paraId="152FD783"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.300</w:t>
            </w:r>
            <w:r w:rsidRPr="00CF31E0">
              <w:rPr>
                <w:rFonts w:eastAsia="Calibri"/>
                <w:color w:val="000000" w:themeColor="text1"/>
                <w:sz w:val="22"/>
                <w:szCs w:val="22"/>
                <w:vertAlign w:val="superscript"/>
                <w:lang w:eastAsia="en-US"/>
              </w:rPr>
              <w:t>*</w:t>
            </w:r>
          </w:p>
        </w:tc>
        <w:tc>
          <w:tcPr>
            <w:tcW w:w="829" w:type="dxa"/>
            <w:shd w:val="clear" w:color="auto" w:fill="FFFFFF"/>
            <w:vAlign w:val="center"/>
          </w:tcPr>
          <w:p w14:paraId="676B70AA"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.050</w:t>
            </w:r>
          </w:p>
        </w:tc>
        <w:tc>
          <w:tcPr>
            <w:tcW w:w="828" w:type="dxa"/>
            <w:shd w:val="clear" w:color="auto" w:fill="FFFFFF"/>
            <w:vAlign w:val="center"/>
          </w:tcPr>
          <w:p w14:paraId="1FCE0CD1"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66" w:type="dxa"/>
            <w:shd w:val="clear" w:color="auto" w:fill="FFFFFF"/>
            <w:vAlign w:val="center"/>
          </w:tcPr>
          <w:p w14:paraId="3ECE6659"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.159</w:t>
            </w:r>
          </w:p>
        </w:tc>
        <w:tc>
          <w:tcPr>
            <w:tcW w:w="1105" w:type="dxa"/>
            <w:shd w:val="clear" w:color="auto" w:fill="FFFFFF"/>
            <w:vAlign w:val="center"/>
          </w:tcPr>
          <w:p w14:paraId="0F39358F"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.442</w:t>
            </w:r>
          </w:p>
        </w:tc>
      </w:tr>
      <w:tr w:rsidR="007812FE" w:rsidRPr="00CF31E0" w14:paraId="1722F57E" w14:textId="77777777" w:rsidTr="00603CB7">
        <w:trPr>
          <w:cantSplit/>
          <w:trHeight w:val="140"/>
        </w:trPr>
        <w:tc>
          <w:tcPr>
            <w:tcW w:w="1245" w:type="dxa"/>
            <w:vMerge/>
            <w:shd w:val="clear" w:color="auto" w:fill="FFFFFF"/>
          </w:tcPr>
          <w:p w14:paraId="41DF47FF"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1127" w:type="dxa"/>
            <w:shd w:val="clear" w:color="auto" w:fill="FFFFFF"/>
          </w:tcPr>
          <w:p w14:paraId="2DD9CB25"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4</w:t>
            </w:r>
          </w:p>
        </w:tc>
        <w:tc>
          <w:tcPr>
            <w:tcW w:w="1105" w:type="dxa"/>
            <w:shd w:val="clear" w:color="auto" w:fill="FFFFFF"/>
            <w:vAlign w:val="center"/>
          </w:tcPr>
          <w:p w14:paraId="17530530"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-.103</w:t>
            </w:r>
          </w:p>
        </w:tc>
        <w:tc>
          <w:tcPr>
            <w:tcW w:w="829" w:type="dxa"/>
            <w:shd w:val="clear" w:color="auto" w:fill="FFFFFF"/>
            <w:vAlign w:val="center"/>
          </w:tcPr>
          <w:p w14:paraId="66FAC57F"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.059</w:t>
            </w:r>
          </w:p>
        </w:tc>
        <w:tc>
          <w:tcPr>
            <w:tcW w:w="828" w:type="dxa"/>
            <w:shd w:val="clear" w:color="auto" w:fill="FFFFFF"/>
            <w:vAlign w:val="center"/>
          </w:tcPr>
          <w:p w14:paraId="3D7788C8"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.819</w:t>
            </w:r>
          </w:p>
        </w:tc>
        <w:tc>
          <w:tcPr>
            <w:tcW w:w="966" w:type="dxa"/>
            <w:shd w:val="clear" w:color="auto" w:fill="FFFFFF"/>
            <w:vAlign w:val="center"/>
          </w:tcPr>
          <w:p w14:paraId="2DC72CDC"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-.270</w:t>
            </w:r>
          </w:p>
        </w:tc>
        <w:tc>
          <w:tcPr>
            <w:tcW w:w="1105" w:type="dxa"/>
            <w:shd w:val="clear" w:color="auto" w:fill="FFFFFF"/>
            <w:vAlign w:val="center"/>
          </w:tcPr>
          <w:p w14:paraId="4D10C358"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.064</w:t>
            </w:r>
          </w:p>
        </w:tc>
      </w:tr>
      <w:tr w:rsidR="007812FE" w:rsidRPr="00CF31E0" w14:paraId="65C78ECE" w14:textId="77777777" w:rsidTr="00603CB7">
        <w:trPr>
          <w:cantSplit/>
          <w:trHeight w:val="140"/>
        </w:trPr>
        <w:tc>
          <w:tcPr>
            <w:tcW w:w="1245" w:type="dxa"/>
            <w:vMerge/>
            <w:shd w:val="clear" w:color="auto" w:fill="FFFFFF"/>
          </w:tcPr>
          <w:p w14:paraId="3330932E"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1127" w:type="dxa"/>
            <w:shd w:val="clear" w:color="auto" w:fill="FFFFFF"/>
          </w:tcPr>
          <w:p w14:paraId="698B0C39"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5</w:t>
            </w:r>
          </w:p>
        </w:tc>
        <w:tc>
          <w:tcPr>
            <w:tcW w:w="1105" w:type="dxa"/>
            <w:shd w:val="clear" w:color="auto" w:fill="FFFFFF"/>
            <w:vAlign w:val="center"/>
          </w:tcPr>
          <w:p w14:paraId="1660CF9C"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-.225</w:t>
            </w:r>
            <w:r w:rsidRPr="00CF31E0">
              <w:rPr>
                <w:rFonts w:eastAsia="Calibri"/>
                <w:color w:val="000000" w:themeColor="text1"/>
                <w:sz w:val="22"/>
                <w:szCs w:val="22"/>
                <w:vertAlign w:val="superscript"/>
                <w:lang w:eastAsia="en-US"/>
              </w:rPr>
              <w:t>*</w:t>
            </w:r>
          </w:p>
        </w:tc>
        <w:tc>
          <w:tcPr>
            <w:tcW w:w="829" w:type="dxa"/>
            <w:shd w:val="clear" w:color="auto" w:fill="FFFFFF"/>
            <w:vAlign w:val="center"/>
          </w:tcPr>
          <w:p w14:paraId="1B09528A"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.057</w:t>
            </w:r>
          </w:p>
        </w:tc>
        <w:tc>
          <w:tcPr>
            <w:tcW w:w="828" w:type="dxa"/>
            <w:shd w:val="clear" w:color="auto" w:fill="FFFFFF"/>
            <w:vAlign w:val="center"/>
          </w:tcPr>
          <w:p w14:paraId="4FB03AD2"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.001</w:t>
            </w:r>
          </w:p>
        </w:tc>
        <w:tc>
          <w:tcPr>
            <w:tcW w:w="966" w:type="dxa"/>
            <w:shd w:val="clear" w:color="auto" w:fill="FFFFFF"/>
            <w:vAlign w:val="center"/>
          </w:tcPr>
          <w:p w14:paraId="36CD5717"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-.387</w:t>
            </w:r>
          </w:p>
        </w:tc>
        <w:tc>
          <w:tcPr>
            <w:tcW w:w="1105" w:type="dxa"/>
            <w:shd w:val="clear" w:color="auto" w:fill="FFFFFF"/>
            <w:vAlign w:val="center"/>
          </w:tcPr>
          <w:p w14:paraId="7E92EE29"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-.063</w:t>
            </w:r>
          </w:p>
        </w:tc>
      </w:tr>
      <w:tr w:rsidR="007812FE" w:rsidRPr="00CF31E0" w14:paraId="7DADDD39" w14:textId="77777777" w:rsidTr="00603CB7">
        <w:trPr>
          <w:cantSplit/>
          <w:trHeight w:val="313"/>
        </w:trPr>
        <w:tc>
          <w:tcPr>
            <w:tcW w:w="1245" w:type="dxa"/>
            <w:vMerge w:val="restart"/>
            <w:shd w:val="clear" w:color="auto" w:fill="FFFFFF"/>
          </w:tcPr>
          <w:p w14:paraId="33BE750A"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2</w:t>
            </w:r>
          </w:p>
        </w:tc>
        <w:tc>
          <w:tcPr>
            <w:tcW w:w="1127" w:type="dxa"/>
            <w:shd w:val="clear" w:color="auto" w:fill="FFFFFF"/>
          </w:tcPr>
          <w:p w14:paraId="2C9CD24E"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w:t>
            </w:r>
          </w:p>
        </w:tc>
        <w:tc>
          <w:tcPr>
            <w:tcW w:w="1105" w:type="dxa"/>
            <w:shd w:val="clear" w:color="auto" w:fill="FFFFFF"/>
            <w:vAlign w:val="center"/>
          </w:tcPr>
          <w:p w14:paraId="173CD3BA"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.277</w:t>
            </w:r>
            <w:r w:rsidRPr="00CF31E0">
              <w:rPr>
                <w:rFonts w:eastAsia="Calibri"/>
                <w:color w:val="000000" w:themeColor="text1"/>
                <w:sz w:val="22"/>
                <w:szCs w:val="22"/>
                <w:vertAlign w:val="superscript"/>
                <w:lang w:eastAsia="en-US"/>
              </w:rPr>
              <w:t>*</w:t>
            </w:r>
          </w:p>
        </w:tc>
        <w:tc>
          <w:tcPr>
            <w:tcW w:w="829" w:type="dxa"/>
            <w:shd w:val="clear" w:color="auto" w:fill="FFFFFF"/>
            <w:vAlign w:val="center"/>
          </w:tcPr>
          <w:p w14:paraId="139354CC"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.057</w:t>
            </w:r>
          </w:p>
        </w:tc>
        <w:tc>
          <w:tcPr>
            <w:tcW w:w="828" w:type="dxa"/>
            <w:shd w:val="clear" w:color="auto" w:fill="FFFFFF"/>
            <w:vAlign w:val="center"/>
          </w:tcPr>
          <w:p w14:paraId="1628E1DD"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66" w:type="dxa"/>
            <w:shd w:val="clear" w:color="auto" w:fill="FFFFFF"/>
            <w:vAlign w:val="center"/>
          </w:tcPr>
          <w:p w14:paraId="396DA743"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.116</w:t>
            </w:r>
          </w:p>
        </w:tc>
        <w:tc>
          <w:tcPr>
            <w:tcW w:w="1105" w:type="dxa"/>
            <w:shd w:val="clear" w:color="auto" w:fill="FFFFFF"/>
            <w:vAlign w:val="center"/>
          </w:tcPr>
          <w:p w14:paraId="3EB69639"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.439</w:t>
            </w:r>
          </w:p>
        </w:tc>
      </w:tr>
      <w:tr w:rsidR="007812FE" w:rsidRPr="00CF31E0" w14:paraId="555DA29B" w14:textId="77777777" w:rsidTr="00603CB7">
        <w:trPr>
          <w:cantSplit/>
          <w:trHeight w:val="140"/>
        </w:trPr>
        <w:tc>
          <w:tcPr>
            <w:tcW w:w="1245" w:type="dxa"/>
            <w:vMerge/>
            <w:shd w:val="clear" w:color="auto" w:fill="FFFFFF"/>
          </w:tcPr>
          <w:p w14:paraId="120CCFB7"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1127" w:type="dxa"/>
            <w:shd w:val="clear" w:color="auto" w:fill="FFFFFF"/>
          </w:tcPr>
          <w:p w14:paraId="10896AA3"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3</w:t>
            </w:r>
          </w:p>
        </w:tc>
        <w:tc>
          <w:tcPr>
            <w:tcW w:w="1105" w:type="dxa"/>
            <w:shd w:val="clear" w:color="auto" w:fill="FFFFFF"/>
            <w:vAlign w:val="center"/>
          </w:tcPr>
          <w:p w14:paraId="02CCA9D0"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.578</w:t>
            </w:r>
            <w:r w:rsidRPr="00CF31E0">
              <w:rPr>
                <w:rFonts w:eastAsia="Calibri"/>
                <w:color w:val="000000" w:themeColor="text1"/>
                <w:sz w:val="22"/>
                <w:szCs w:val="22"/>
                <w:vertAlign w:val="superscript"/>
                <w:lang w:eastAsia="en-US"/>
              </w:rPr>
              <w:t>*</w:t>
            </w:r>
          </w:p>
        </w:tc>
        <w:tc>
          <w:tcPr>
            <w:tcW w:w="829" w:type="dxa"/>
            <w:shd w:val="clear" w:color="auto" w:fill="FFFFFF"/>
            <w:vAlign w:val="center"/>
          </w:tcPr>
          <w:p w14:paraId="009B45B1"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.062</w:t>
            </w:r>
          </w:p>
        </w:tc>
        <w:tc>
          <w:tcPr>
            <w:tcW w:w="828" w:type="dxa"/>
            <w:shd w:val="clear" w:color="auto" w:fill="FFFFFF"/>
            <w:vAlign w:val="center"/>
          </w:tcPr>
          <w:p w14:paraId="5FCD4276"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66" w:type="dxa"/>
            <w:shd w:val="clear" w:color="auto" w:fill="FFFFFF"/>
            <w:vAlign w:val="center"/>
          </w:tcPr>
          <w:p w14:paraId="607B8B51"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.403</w:t>
            </w:r>
          </w:p>
        </w:tc>
        <w:tc>
          <w:tcPr>
            <w:tcW w:w="1105" w:type="dxa"/>
            <w:shd w:val="clear" w:color="auto" w:fill="FFFFFF"/>
            <w:vAlign w:val="center"/>
          </w:tcPr>
          <w:p w14:paraId="7E9C8314"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.752</w:t>
            </w:r>
          </w:p>
        </w:tc>
      </w:tr>
      <w:tr w:rsidR="007812FE" w:rsidRPr="00CF31E0" w14:paraId="10B327F5" w14:textId="77777777" w:rsidTr="00603CB7">
        <w:trPr>
          <w:cantSplit/>
          <w:trHeight w:val="140"/>
        </w:trPr>
        <w:tc>
          <w:tcPr>
            <w:tcW w:w="1245" w:type="dxa"/>
            <w:vMerge/>
            <w:shd w:val="clear" w:color="auto" w:fill="FFFFFF"/>
          </w:tcPr>
          <w:p w14:paraId="0433F665"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1127" w:type="dxa"/>
            <w:shd w:val="clear" w:color="auto" w:fill="FFFFFF"/>
          </w:tcPr>
          <w:p w14:paraId="58802B40"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4</w:t>
            </w:r>
          </w:p>
        </w:tc>
        <w:tc>
          <w:tcPr>
            <w:tcW w:w="1105" w:type="dxa"/>
            <w:shd w:val="clear" w:color="auto" w:fill="FFFFFF"/>
            <w:vAlign w:val="center"/>
          </w:tcPr>
          <w:p w14:paraId="480816AF"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.174</w:t>
            </w:r>
            <w:r w:rsidRPr="00CF31E0">
              <w:rPr>
                <w:rFonts w:eastAsia="Calibri"/>
                <w:color w:val="000000" w:themeColor="text1"/>
                <w:sz w:val="22"/>
                <w:szCs w:val="22"/>
                <w:vertAlign w:val="superscript"/>
                <w:lang w:eastAsia="en-US"/>
              </w:rPr>
              <w:t>*</w:t>
            </w:r>
          </w:p>
        </w:tc>
        <w:tc>
          <w:tcPr>
            <w:tcW w:w="829" w:type="dxa"/>
            <w:shd w:val="clear" w:color="auto" w:fill="FFFFFF"/>
            <w:vAlign w:val="center"/>
          </w:tcPr>
          <w:p w14:paraId="795B08A5"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.046</w:t>
            </w:r>
          </w:p>
        </w:tc>
        <w:tc>
          <w:tcPr>
            <w:tcW w:w="828" w:type="dxa"/>
            <w:shd w:val="clear" w:color="auto" w:fill="FFFFFF"/>
            <w:vAlign w:val="center"/>
          </w:tcPr>
          <w:p w14:paraId="34679050"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.002</w:t>
            </w:r>
          </w:p>
        </w:tc>
        <w:tc>
          <w:tcPr>
            <w:tcW w:w="966" w:type="dxa"/>
            <w:shd w:val="clear" w:color="auto" w:fill="FFFFFF"/>
            <w:vAlign w:val="center"/>
          </w:tcPr>
          <w:p w14:paraId="041815F9"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.044</w:t>
            </w:r>
          </w:p>
        </w:tc>
        <w:tc>
          <w:tcPr>
            <w:tcW w:w="1105" w:type="dxa"/>
            <w:shd w:val="clear" w:color="auto" w:fill="FFFFFF"/>
            <w:vAlign w:val="center"/>
          </w:tcPr>
          <w:p w14:paraId="2B0F9AD2"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.305</w:t>
            </w:r>
          </w:p>
        </w:tc>
      </w:tr>
      <w:tr w:rsidR="007812FE" w:rsidRPr="00CF31E0" w14:paraId="164BF133" w14:textId="77777777" w:rsidTr="00603CB7">
        <w:trPr>
          <w:cantSplit/>
          <w:trHeight w:val="140"/>
        </w:trPr>
        <w:tc>
          <w:tcPr>
            <w:tcW w:w="1245" w:type="dxa"/>
            <w:vMerge/>
            <w:shd w:val="clear" w:color="auto" w:fill="FFFFFF"/>
          </w:tcPr>
          <w:p w14:paraId="4410A849"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1127" w:type="dxa"/>
            <w:shd w:val="clear" w:color="auto" w:fill="FFFFFF"/>
          </w:tcPr>
          <w:p w14:paraId="4E14E0E5"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5</w:t>
            </w:r>
          </w:p>
        </w:tc>
        <w:tc>
          <w:tcPr>
            <w:tcW w:w="1105" w:type="dxa"/>
            <w:shd w:val="clear" w:color="auto" w:fill="FFFFFF"/>
            <w:vAlign w:val="center"/>
          </w:tcPr>
          <w:p w14:paraId="12048C02"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.052</w:t>
            </w:r>
          </w:p>
        </w:tc>
        <w:tc>
          <w:tcPr>
            <w:tcW w:w="829" w:type="dxa"/>
            <w:shd w:val="clear" w:color="auto" w:fill="FFFFFF"/>
            <w:vAlign w:val="center"/>
          </w:tcPr>
          <w:p w14:paraId="537BE1E5"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.051</w:t>
            </w:r>
          </w:p>
        </w:tc>
        <w:tc>
          <w:tcPr>
            <w:tcW w:w="828" w:type="dxa"/>
            <w:shd w:val="clear" w:color="auto" w:fill="FFFFFF"/>
            <w:vAlign w:val="center"/>
          </w:tcPr>
          <w:p w14:paraId="5295FEBC"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1.000</w:t>
            </w:r>
          </w:p>
        </w:tc>
        <w:tc>
          <w:tcPr>
            <w:tcW w:w="966" w:type="dxa"/>
            <w:shd w:val="clear" w:color="auto" w:fill="FFFFFF"/>
            <w:vAlign w:val="center"/>
          </w:tcPr>
          <w:p w14:paraId="5F5A4564"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-.092</w:t>
            </w:r>
          </w:p>
        </w:tc>
        <w:tc>
          <w:tcPr>
            <w:tcW w:w="1105" w:type="dxa"/>
            <w:shd w:val="clear" w:color="auto" w:fill="FFFFFF"/>
            <w:vAlign w:val="center"/>
          </w:tcPr>
          <w:p w14:paraId="2524F807"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.197</w:t>
            </w:r>
          </w:p>
        </w:tc>
      </w:tr>
      <w:tr w:rsidR="007812FE" w:rsidRPr="00CF31E0" w14:paraId="6912B68B" w14:textId="77777777" w:rsidTr="00603CB7">
        <w:trPr>
          <w:cantSplit/>
          <w:trHeight w:val="313"/>
        </w:trPr>
        <w:tc>
          <w:tcPr>
            <w:tcW w:w="1245" w:type="dxa"/>
            <w:vMerge w:val="restart"/>
            <w:shd w:val="clear" w:color="auto" w:fill="FFFFFF"/>
          </w:tcPr>
          <w:p w14:paraId="7A70DE08"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3</w:t>
            </w:r>
          </w:p>
        </w:tc>
        <w:tc>
          <w:tcPr>
            <w:tcW w:w="1127" w:type="dxa"/>
            <w:shd w:val="clear" w:color="auto" w:fill="FFFFFF"/>
          </w:tcPr>
          <w:p w14:paraId="5702D510"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w:t>
            </w:r>
          </w:p>
        </w:tc>
        <w:tc>
          <w:tcPr>
            <w:tcW w:w="1105" w:type="dxa"/>
            <w:shd w:val="clear" w:color="auto" w:fill="FFFFFF"/>
            <w:vAlign w:val="center"/>
          </w:tcPr>
          <w:p w14:paraId="22B49FE8"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-.300</w:t>
            </w:r>
            <w:r w:rsidRPr="00CF31E0">
              <w:rPr>
                <w:rFonts w:eastAsia="Calibri"/>
                <w:color w:val="000000" w:themeColor="text1"/>
                <w:sz w:val="22"/>
                <w:szCs w:val="22"/>
                <w:vertAlign w:val="superscript"/>
                <w:lang w:eastAsia="en-US"/>
              </w:rPr>
              <w:t>*</w:t>
            </w:r>
          </w:p>
        </w:tc>
        <w:tc>
          <w:tcPr>
            <w:tcW w:w="829" w:type="dxa"/>
            <w:shd w:val="clear" w:color="auto" w:fill="FFFFFF"/>
            <w:vAlign w:val="center"/>
          </w:tcPr>
          <w:p w14:paraId="066739A3"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.050</w:t>
            </w:r>
          </w:p>
        </w:tc>
        <w:tc>
          <w:tcPr>
            <w:tcW w:w="828" w:type="dxa"/>
            <w:shd w:val="clear" w:color="auto" w:fill="FFFFFF"/>
            <w:vAlign w:val="center"/>
          </w:tcPr>
          <w:p w14:paraId="411AD817"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66" w:type="dxa"/>
            <w:shd w:val="clear" w:color="auto" w:fill="FFFFFF"/>
            <w:vAlign w:val="center"/>
          </w:tcPr>
          <w:p w14:paraId="3DE0B4D6"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-.442</w:t>
            </w:r>
          </w:p>
        </w:tc>
        <w:tc>
          <w:tcPr>
            <w:tcW w:w="1105" w:type="dxa"/>
            <w:shd w:val="clear" w:color="auto" w:fill="FFFFFF"/>
            <w:vAlign w:val="center"/>
          </w:tcPr>
          <w:p w14:paraId="70863E58"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-.159</w:t>
            </w:r>
          </w:p>
        </w:tc>
      </w:tr>
      <w:tr w:rsidR="007812FE" w:rsidRPr="00CF31E0" w14:paraId="6FA0F315" w14:textId="77777777" w:rsidTr="00603CB7">
        <w:trPr>
          <w:cantSplit/>
          <w:trHeight w:val="140"/>
        </w:trPr>
        <w:tc>
          <w:tcPr>
            <w:tcW w:w="1245" w:type="dxa"/>
            <w:vMerge/>
            <w:shd w:val="clear" w:color="auto" w:fill="FFFFFF"/>
          </w:tcPr>
          <w:p w14:paraId="0DF1E703"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1127" w:type="dxa"/>
            <w:shd w:val="clear" w:color="auto" w:fill="FFFFFF"/>
          </w:tcPr>
          <w:p w14:paraId="143822E1"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2</w:t>
            </w:r>
          </w:p>
        </w:tc>
        <w:tc>
          <w:tcPr>
            <w:tcW w:w="1105" w:type="dxa"/>
            <w:shd w:val="clear" w:color="auto" w:fill="FFFFFF"/>
            <w:vAlign w:val="center"/>
          </w:tcPr>
          <w:p w14:paraId="489EBB79"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-.578</w:t>
            </w:r>
            <w:r w:rsidRPr="00CF31E0">
              <w:rPr>
                <w:rFonts w:eastAsia="Calibri"/>
                <w:color w:val="000000" w:themeColor="text1"/>
                <w:sz w:val="22"/>
                <w:szCs w:val="22"/>
                <w:vertAlign w:val="superscript"/>
                <w:lang w:eastAsia="en-US"/>
              </w:rPr>
              <w:t>*</w:t>
            </w:r>
          </w:p>
        </w:tc>
        <w:tc>
          <w:tcPr>
            <w:tcW w:w="829" w:type="dxa"/>
            <w:shd w:val="clear" w:color="auto" w:fill="FFFFFF"/>
            <w:vAlign w:val="center"/>
          </w:tcPr>
          <w:p w14:paraId="0C8AF178"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.062</w:t>
            </w:r>
          </w:p>
        </w:tc>
        <w:tc>
          <w:tcPr>
            <w:tcW w:w="828" w:type="dxa"/>
            <w:shd w:val="clear" w:color="auto" w:fill="FFFFFF"/>
            <w:vAlign w:val="center"/>
          </w:tcPr>
          <w:p w14:paraId="495E3A45"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66" w:type="dxa"/>
            <w:shd w:val="clear" w:color="auto" w:fill="FFFFFF"/>
            <w:vAlign w:val="center"/>
          </w:tcPr>
          <w:p w14:paraId="3EEE5351"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-.752</w:t>
            </w:r>
          </w:p>
        </w:tc>
        <w:tc>
          <w:tcPr>
            <w:tcW w:w="1105" w:type="dxa"/>
            <w:shd w:val="clear" w:color="auto" w:fill="FFFFFF"/>
            <w:vAlign w:val="center"/>
          </w:tcPr>
          <w:p w14:paraId="57FF13A1"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-.403</w:t>
            </w:r>
          </w:p>
        </w:tc>
      </w:tr>
      <w:tr w:rsidR="007812FE" w:rsidRPr="00CF31E0" w14:paraId="6BA0D87D" w14:textId="77777777" w:rsidTr="00603CB7">
        <w:trPr>
          <w:cantSplit/>
          <w:trHeight w:val="140"/>
        </w:trPr>
        <w:tc>
          <w:tcPr>
            <w:tcW w:w="1245" w:type="dxa"/>
            <w:vMerge/>
            <w:shd w:val="clear" w:color="auto" w:fill="FFFFFF"/>
          </w:tcPr>
          <w:p w14:paraId="0C9A668A"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1127" w:type="dxa"/>
            <w:shd w:val="clear" w:color="auto" w:fill="FFFFFF"/>
          </w:tcPr>
          <w:p w14:paraId="1A5C83FE"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4</w:t>
            </w:r>
          </w:p>
        </w:tc>
        <w:tc>
          <w:tcPr>
            <w:tcW w:w="1105" w:type="dxa"/>
            <w:shd w:val="clear" w:color="auto" w:fill="FFFFFF"/>
            <w:vAlign w:val="center"/>
          </w:tcPr>
          <w:p w14:paraId="6A40622A"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-.404</w:t>
            </w:r>
            <w:r w:rsidRPr="00CF31E0">
              <w:rPr>
                <w:rFonts w:eastAsia="Calibri"/>
                <w:color w:val="000000" w:themeColor="text1"/>
                <w:sz w:val="22"/>
                <w:szCs w:val="22"/>
                <w:vertAlign w:val="superscript"/>
                <w:lang w:eastAsia="en-US"/>
              </w:rPr>
              <w:t>*</w:t>
            </w:r>
          </w:p>
        </w:tc>
        <w:tc>
          <w:tcPr>
            <w:tcW w:w="829" w:type="dxa"/>
            <w:shd w:val="clear" w:color="auto" w:fill="FFFFFF"/>
            <w:vAlign w:val="center"/>
          </w:tcPr>
          <w:p w14:paraId="4302DC9E"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.060</w:t>
            </w:r>
          </w:p>
        </w:tc>
        <w:tc>
          <w:tcPr>
            <w:tcW w:w="828" w:type="dxa"/>
            <w:shd w:val="clear" w:color="auto" w:fill="FFFFFF"/>
            <w:vAlign w:val="center"/>
          </w:tcPr>
          <w:p w14:paraId="5FD680CC"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66" w:type="dxa"/>
            <w:shd w:val="clear" w:color="auto" w:fill="FFFFFF"/>
            <w:vAlign w:val="center"/>
          </w:tcPr>
          <w:p w14:paraId="4318056D"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-.573</w:t>
            </w:r>
          </w:p>
        </w:tc>
        <w:tc>
          <w:tcPr>
            <w:tcW w:w="1105" w:type="dxa"/>
            <w:shd w:val="clear" w:color="auto" w:fill="FFFFFF"/>
            <w:vAlign w:val="center"/>
          </w:tcPr>
          <w:p w14:paraId="0B94EEFB"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-.234</w:t>
            </w:r>
          </w:p>
        </w:tc>
      </w:tr>
      <w:tr w:rsidR="007812FE" w:rsidRPr="00CF31E0" w14:paraId="73E4F097" w14:textId="77777777" w:rsidTr="00603CB7">
        <w:trPr>
          <w:cantSplit/>
          <w:trHeight w:val="140"/>
        </w:trPr>
        <w:tc>
          <w:tcPr>
            <w:tcW w:w="1245" w:type="dxa"/>
            <w:vMerge/>
            <w:shd w:val="clear" w:color="auto" w:fill="FFFFFF"/>
          </w:tcPr>
          <w:p w14:paraId="149E344A"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1127" w:type="dxa"/>
            <w:shd w:val="clear" w:color="auto" w:fill="FFFFFF"/>
          </w:tcPr>
          <w:p w14:paraId="1448BE8C"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5</w:t>
            </w:r>
          </w:p>
        </w:tc>
        <w:tc>
          <w:tcPr>
            <w:tcW w:w="1105" w:type="dxa"/>
            <w:shd w:val="clear" w:color="auto" w:fill="FFFFFF"/>
            <w:vAlign w:val="center"/>
          </w:tcPr>
          <w:p w14:paraId="45C2B529"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-.525</w:t>
            </w:r>
            <w:r w:rsidRPr="00CF31E0">
              <w:rPr>
                <w:rFonts w:eastAsia="Calibri"/>
                <w:color w:val="000000" w:themeColor="text1"/>
                <w:sz w:val="22"/>
                <w:szCs w:val="22"/>
                <w:vertAlign w:val="superscript"/>
                <w:lang w:eastAsia="en-US"/>
              </w:rPr>
              <w:t>*</w:t>
            </w:r>
          </w:p>
        </w:tc>
        <w:tc>
          <w:tcPr>
            <w:tcW w:w="829" w:type="dxa"/>
            <w:shd w:val="clear" w:color="auto" w:fill="FFFFFF"/>
            <w:vAlign w:val="center"/>
          </w:tcPr>
          <w:p w14:paraId="59ACB77D"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.058</w:t>
            </w:r>
          </w:p>
        </w:tc>
        <w:tc>
          <w:tcPr>
            <w:tcW w:w="828" w:type="dxa"/>
            <w:shd w:val="clear" w:color="auto" w:fill="FFFFFF"/>
            <w:vAlign w:val="center"/>
          </w:tcPr>
          <w:p w14:paraId="52082F32"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66" w:type="dxa"/>
            <w:shd w:val="clear" w:color="auto" w:fill="FFFFFF"/>
            <w:vAlign w:val="center"/>
          </w:tcPr>
          <w:p w14:paraId="1F076383"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-.688</w:t>
            </w:r>
          </w:p>
        </w:tc>
        <w:tc>
          <w:tcPr>
            <w:tcW w:w="1105" w:type="dxa"/>
            <w:shd w:val="clear" w:color="auto" w:fill="FFFFFF"/>
            <w:vAlign w:val="center"/>
          </w:tcPr>
          <w:p w14:paraId="798163F7"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-.363</w:t>
            </w:r>
          </w:p>
        </w:tc>
      </w:tr>
      <w:tr w:rsidR="007812FE" w:rsidRPr="00CF31E0" w14:paraId="56EDC9B6" w14:textId="77777777" w:rsidTr="00603CB7">
        <w:trPr>
          <w:cantSplit/>
          <w:trHeight w:val="313"/>
        </w:trPr>
        <w:tc>
          <w:tcPr>
            <w:tcW w:w="1245" w:type="dxa"/>
            <w:vMerge w:val="restart"/>
            <w:shd w:val="clear" w:color="auto" w:fill="FFFFFF"/>
          </w:tcPr>
          <w:p w14:paraId="30EEC66B"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4</w:t>
            </w:r>
          </w:p>
        </w:tc>
        <w:tc>
          <w:tcPr>
            <w:tcW w:w="1127" w:type="dxa"/>
            <w:shd w:val="clear" w:color="auto" w:fill="FFFFFF"/>
          </w:tcPr>
          <w:p w14:paraId="533ED08F"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w:t>
            </w:r>
          </w:p>
        </w:tc>
        <w:tc>
          <w:tcPr>
            <w:tcW w:w="1105" w:type="dxa"/>
            <w:shd w:val="clear" w:color="auto" w:fill="FFFFFF"/>
            <w:vAlign w:val="center"/>
          </w:tcPr>
          <w:p w14:paraId="2BD3E80D"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.103</w:t>
            </w:r>
          </w:p>
        </w:tc>
        <w:tc>
          <w:tcPr>
            <w:tcW w:w="829" w:type="dxa"/>
            <w:shd w:val="clear" w:color="auto" w:fill="FFFFFF"/>
            <w:vAlign w:val="center"/>
          </w:tcPr>
          <w:p w14:paraId="7B79F5FD"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.059</w:t>
            </w:r>
          </w:p>
        </w:tc>
        <w:tc>
          <w:tcPr>
            <w:tcW w:w="828" w:type="dxa"/>
            <w:shd w:val="clear" w:color="auto" w:fill="FFFFFF"/>
            <w:vAlign w:val="center"/>
          </w:tcPr>
          <w:p w14:paraId="10DEDEC1"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.819</w:t>
            </w:r>
          </w:p>
        </w:tc>
        <w:tc>
          <w:tcPr>
            <w:tcW w:w="966" w:type="dxa"/>
            <w:shd w:val="clear" w:color="auto" w:fill="FFFFFF"/>
            <w:vAlign w:val="center"/>
          </w:tcPr>
          <w:p w14:paraId="51143E8C"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-.064</w:t>
            </w:r>
          </w:p>
        </w:tc>
        <w:tc>
          <w:tcPr>
            <w:tcW w:w="1105" w:type="dxa"/>
            <w:shd w:val="clear" w:color="auto" w:fill="FFFFFF"/>
            <w:vAlign w:val="center"/>
          </w:tcPr>
          <w:p w14:paraId="10B04FB0"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.270</w:t>
            </w:r>
          </w:p>
        </w:tc>
      </w:tr>
      <w:tr w:rsidR="007812FE" w:rsidRPr="00CF31E0" w14:paraId="0235BF1A" w14:textId="77777777" w:rsidTr="00603CB7">
        <w:trPr>
          <w:cantSplit/>
          <w:trHeight w:val="140"/>
        </w:trPr>
        <w:tc>
          <w:tcPr>
            <w:tcW w:w="1245" w:type="dxa"/>
            <w:vMerge/>
            <w:shd w:val="clear" w:color="auto" w:fill="FFFFFF"/>
          </w:tcPr>
          <w:p w14:paraId="7B601C7C"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1127" w:type="dxa"/>
            <w:shd w:val="clear" w:color="auto" w:fill="FFFFFF"/>
          </w:tcPr>
          <w:p w14:paraId="3131CB4A"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2</w:t>
            </w:r>
          </w:p>
        </w:tc>
        <w:tc>
          <w:tcPr>
            <w:tcW w:w="1105" w:type="dxa"/>
            <w:shd w:val="clear" w:color="auto" w:fill="FFFFFF"/>
            <w:vAlign w:val="center"/>
          </w:tcPr>
          <w:p w14:paraId="5E50B4AA"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-.174</w:t>
            </w:r>
            <w:r w:rsidRPr="00CF31E0">
              <w:rPr>
                <w:rFonts w:eastAsia="Calibri"/>
                <w:color w:val="000000" w:themeColor="text1"/>
                <w:sz w:val="22"/>
                <w:szCs w:val="22"/>
                <w:vertAlign w:val="superscript"/>
                <w:lang w:eastAsia="en-US"/>
              </w:rPr>
              <w:t>*</w:t>
            </w:r>
          </w:p>
        </w:tc>
        <w:tc>
          <w:tcPr>
            <w:tcW w:w="829" w:type="dxa"/>
            <w:shd w:val="clear" w:color="auto" w:fill="FFFFFF"/>
            <w:vAlign w:val="center"/>
          </w:tcPr>
          <w:p w14:paraId="592FD558"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.046</w:t>
            </w:r>
          </w:p>
        </w:tc>
        <w:tc>
          <w:tcPr>
            <w:tcW w:w="828" w:type="dxa"/>
            <w:shd w:val="clear" w:color="auto" w:fill="FFFFFF"/>
            <w:vAlign w:val="center"/>
          </w:tcPr>
          <w:p w14:paraId="1B1866EA"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.002</w:t>
            </w:r>
          </w:p>
        </w:tc>
        <w:tc>
          <w:tcPr>
            <w:tcW w:w="966" w:type="dxa"/>
            <w:shd w:val="clear" w:color="auto" w:fill="FFFFFF"/>
            <w:vAlign w:val="center"/>
          </w:tcPr>
          <w:p w14:paraId="1230DF99"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-.305</w:t>
            </w:r>
          </w:p>
        </w:tc>
        <w:tc>
          <w:tcPr>
            <w:tcW w:w="1105" w:type="dxa"/>
            <w:shd w:val="clear" w:color="auto" w:fill="FFFFFF"/>
            <w:vAlign w:val="center"/>
          </w:tcPr>
          <w:p w14:paraId="77FEBA15"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-.044</w:t>
            </w:r>
          </w:p>
        </w:tc>
      </w:tr>
      <w:tr w:rsidR="007812FE" w:rsidRPr="00CF31E0" w14:paraId="66D1680C" w14:textId="77777777" w:rsidTr="00603CB7">
        <w:trPr>
          <w:cantSplit/>
          <w:trHeight w:val="140"/>
        </w:trPr>
        <w:tc>
          <w:tcPr>
            <w:tcW w:w="1245" w:type="dxa"/>
            <w:vMerge/>
            <w:shd w:val="clear" w:color="auto" w:fill="FFFFFF"/>
          </w:tcPr>
          <w:p w14:paraId="62F10B81"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1127" w:type="dxa"/>
            <w:shd w:val="clear" w:color="auto" w:fill="FFFFFF"/>
          </w:tcPr>
          <w:p w14:paraId="54534382"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3</w:t>
            </w:r>
          </w:p>
        </w:tc>
        <w:tc>
          <w:tcPr>
            <w:tcW w:w="1105" w:type="dxa"/>
            <w:shd w:val="clear" w:color="auto" w:fill="FFFFFF"/>
            <w:vAlign w:val="center"/>
          </w:tcPr>
          <w:p w14:paraId="1951B56F"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.404</w:t>
            </w:r>
            <w:r w:rsidRPr="00CF31E0">
              <w:rPr>
                <w:rFonts w:eastAsia="Calibri"/>
                <w:color w:val="000000" w:themeColor="text1"/>
                <w:sz w:val="22"/>
                <w:szCs w:val="22"/>
                <w:vertAlign w:val="superscript"/>
                <w:lang w:eastAsia="en-US"/>
              </w:rPr>
              <w:t>*</w:t>
            </w:r>
          </w:p>
        </w:tc>
        <w:tc>
          <w:tcPr>
            <w:tcW w:w="829" w:type="dxa"/>
            <w:shd w:val="clear" w:color="auto" w:fill="FFFFFF"/>
            <w:vAlign w:val="center"/>
          </w:tcPr>
          <w:p w14:paraId="6EAA29AE"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.060</w:t>
            </w:r>
          </w:p>
        </w:tc>
        <w:tc>
          <w:tcPr>
            <w:tcW w:w="828" w:type="dxa"/>
            <w:shd w:val="clear" w:color="auto" w:fill="FFFFFF"/>
            <w:vAlign w:val="center"/>
          </w:tcPr>
          <w:p w14:paraId="110DE78F"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66" w:type="dxa"/>
            <w:shd w:val="clear" w:color="auto" w:fill="FFFFFF"/>
            <w:vAlign w:val="center"/>
          </w:tcPr>
          <w:p w14:paraId="5D790947"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.234</w:t>
            </w:r>
          </w:p>
        </w:tc>
        <w:tc>
          <w:tcPr>
            <w:tcW w:w="1105" w:type="dxa"/>
            <w:shd w:val="clear" w:color="auto" w:fill="FFFFFF"/>
            <w:vAlign w:val="center"/>
          </w:tcPr>
          <w:p w14:paraId="0765C8B4"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.573</w:t>
            </w:r>
          </w:p>
        </w:tc>
      </w:tr>
      <w:tr w:rsidR="007812FE" w:rsidRPr="00CF31E0" w14:paraId="77604048" w14:textId="77777777" w:rsidTr="00603CB7">
        <w:trPr>
          <w:cantSplit/>
          <w:trHeight w:val="140"/>
        </w:trPr>
        <w:tc>
          <w:tcPr>
            <w:tcW w:w="1245" w:type="dxa"/>
            <w:vMerge/>
            <w:shd w:val="clear" w:color="auto" w:fill="FFFFFF"/>
          </w:tcPr>
          <w:p w14:paraId="0A917937"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1127" w:type="dxa"/>
            <w:shd w:val="clear" w:color="auto" w:fill="FFFFFF"/>
          </w:tcPr>
          <w:p w14:paraId="09E3F931"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5</w:t>
            </w:r>
          </w:p>
        </w:tc>
        <w:tc>
          <w:tcPr>
            <w:tcW w:w="1105" w:type="dxa"/>
            <w:shd w:val="clear" w:color="auto" w:fill="FFFFFF"/>
            <w:vAlign w:val="center"/>
          </w:tcPr>
          <w:p w14:paraId="09DB87D9"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-.122</w:t>
            </w:r>
          </w:p>
        </w:tc>
        <w:tc>
          <w:tcPr>
            <w:tcW w:w="829" w:type="dxa"/>
            <w:shd w:val="clear" w:color="auto" w:fill="FFFFFF"/>
            <w:vAlign w:val="center"/>
          </w:tcPr>
          <w:p w14:paraId="45F74867"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.047</w:t>
            </w:r>
          </w:p>
        </w:tc>
        <w:tc>
          <w:tcPr>
            <w:tcW w:w="828" w:type="dxa"/>
            <w:shd w:val="clear" w:color="auto" w:fill="FFFFFF"/>
            <w:vAlign w:val="center"/>
          </w:tcPr>
          <w:p w14:paraId="3AA17694"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.105</w:t>
            </w:r>
          </w:p>
        </w:tc>
        <w:tc>
          <w:tcPr>
            <w:tcW w:w="966" w:type="dxa"/>
            <w:shd w:val="clear" w:color="auto" w:fill="FFFFFF"/>
            <w:vAlign w:val="center"/>
          </w:tcPr>
          <w:p w14:paraId="5F4ED977"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-.255</w:t>
            </w:r>
          </w:p>
        </w:tc>
        <w:tc>
          <w:tcPr>
            <w:tcW w:w="1105" w:type="dxa"/>
            <w:shd w:val="clear" w:color="auto" w:fill="FFFFFF"/>
            <w:vAlign w:val="center"/>
          </w:tcPr>
          <w:p w14:paraId="6EF991EE"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.012</w:t>
            </w:r>
          </w:p>
        </w:tc>
      </w:tr>
      <w:tr w:rsidR="007812FE" w:rsidRPr="00CF31E0" w14:paraId="709FB27E" w14:textId="77777777" w:rsidTr="00603CB7">
        <w:trPr>
          <w:cantSplit/>
          <w:trHeight w:val="313"/>
        </w:trPr>
        <w:tc>
          <w:tcPr>
            <w:tcW w:w="1245" w:type="dxa"/>
            <w:vMerge w:val="restart"/>
            <w:shd w:val="clear" w:color="auto" w:fill="FFFFFF"/>
          </w:tcPr>
          <w:p w14:paraId="428F0EDB"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5</w:t>
            </w:r>
          </w:p>
        </w:tc>
        <w:tc>
          <w:tcPr>
            <w:tcW w:w="1127" w:type="dxa"/>
            <w:shd w:val="clear" w:color="auto" w:fill="FFFFFF"/>
          </w:tcPr>
          <w:p w14:paraId="0539B56A"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w:t>
            </w:r>
          </w:p>
        </w:tc>
        <w:tc>
          <w:tcPr>
            <w:tcW w:w="1105" w:type="dxa"/>
            <w:shd w:val="clear" w:color="auto" w:fill="FFFFFF"/>
            <w:vAlign w:val="center"/>
          </w:tcPr>
          <w:p w14:paraId="11F14C6C"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.225</w:t>
            </w:r>
            <w:r w:rsidRPr="00CF31E0">
              <w:rPr>
                <w:rFonts w:eastAsia="Calibri"/>
                <w:color w:val="000000" w:themeColor="text1"/>
                <w:sz w:val="22"/>
                <w:szCs w:val="22"/>
                <w:vertAlign w:val="superscript"/>
                <w:lang w:eastAsia="en-US"/>
              </w:rPr>
              <w:t>*</w:t>
            </w:r>
          </w:p>
        </w:tc>
        <w:tc>
          <w:tcPr>
            <w:tcW w:w="829" w:type="dxa"/>
            <w:shd w:val="clear" w:color="auto" w:fill="FFFFFF"/>
            <w:vAlign w:val="center"/>
          </w:tcPr>
          <w:p w14:paraId="710D8573"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.057</w:t>
            </w:r>
          </w:p>
        </w:tc>
        <w:tc>
          <w:tcPr>
            <w:tcW w:w="828" w:type="dxa"/>
            <w:shd w:val="clear" w:color="auto" w:fill="FFFFFF"/>
            <w:vAlign w:val="center"/>
          </w:tcPr>
          <w:p w14:paraId="2EC59227"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.001</w:t>
            </w:r>
          </w:p>
        </w:tc>
        <w:tc>
          <w:tcPr>
            <w:tcW w:w="966" w:type="dxa"/>
            <w:shd w:val="clear" w:color="auto" w:fill="FFFFFF"/>
            <w:vAlign w:val="center"/>
          </w:tcPr>
          <w:p w14:paraId="6C84A1EE"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.063</w:t>
            </w:r>
          </w:p>
        </w:tc>
        <w:tc>
          <w:tcPr>
            <w:tcW w:w="1105" w:type="dxa"/>
            <w:shd w:val="clear" w:color="auto" w:fill="FFFFFF"/>
            <w:vAlign w:val="center"/>
          </w:tcPr>
          <w:p w14:paraId="37451768"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.387</w:t>
            </w:r>
          </w:p>
        </w:tc>
      </w:tr>
      <w:tr w:rsidR="007812FE" w:rsidRPr="00CF31E0" w14:paraId="22ED5B06" w14:textId="77777777" w:rsidTr="00603CB7">
        <w:trPr>
          <w:cantSplit/>
          <w:trHeight w:val="140"/>
        </w:trPr>
        <w:tc>
          <w:tcPr>
            <w:tcW w:w="1245" w:type="dxa"/>
            <w:vMerge/>
            <w:shd w:val="clear" w:color="auto" w:fill="FFFFFF"/>
          </w:tcPr>
          <w:p w14:paraId="398F7114"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1127" w:type="dxa"/>
            <w:shd w:val="clear" w:color="auto" w:fill="FFFFFF"/>
          </w:tcPr>
          <w:p w14:paraId="4EF1D5EB"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2</w:t>
            </w:r>
          </w:p>
        </w:tc>
        <w:tc>
          <w:tcPr>
            <w:tcW w:w="1105" w:type="dxa"/>
            <w:shd w:val="clear" w:color="auto" w:fill="FFFFFF"/>
            <w:vAlign w:val="center"/>
          </w:tcPr>
          <w:p w14:paraId="2EA8876B"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-.052</w:t>
            </w:r>
          </w:p>
        </w:tc>
        <w:tc>
          <w:tcPr>
            <w:tcW w:w="829" w:type="dxa"/>
            <w:shd w:val="clear" w:color="auto" w:fill="FFFFFF"/>
            <w:vAlign w:val="center"/>
          </w:tcPr>
          <w:p w14:paraId="125FCEB1"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.051</w:t>
            </w:r>
          </w:p>
        </w:tc>
        <w:tc>
          <w:tcPr>
            <w:tcW w:w="828" w:type="dxa"/>
            <w:shd w:val="clear" w:color="auto" w:fill="FFFFFF"/>
            <w:vAlign w:val="center"/>
          </w:tcPr>
          <w:p w14:paraId="00892656"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1.000</w:t>
            </w:r>
          </w:p>
        </w:tc>
        <w:tc>
          <w:tcPr>
            <w:tcW w:w="966" w:type="dxa"/>
            <w:shd w:val="clear" w:color="auto" w:fill="FFFFFF"/>
            <w:vAlign w:val="center"/>
          </w:tcPr>
          <w:p w14:paraId="2890500A"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-.197</w:t>
            </w:r>
          </w:p>
        </w:tc>
        <w:tc>
          <w:tcPr>
            <w:tcW w:w="1105" w:type="dxa"/>
            <w:shd w:val="clear" w:color="auto" w:fill="FFFFFF"/>
            <w:vAlign w:val="center"/>
          </w:tcPr>
          <w:p w14:paraId="435B5C36"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.092</w:t>
            </w:r>
          </w:p>
        </w:tc>
      </w:tr>
      <w:tr w:rsidR="007812FE" w:rsidRPr="00CF31E0" w14:paraId="2296ED0A" w14:textId="77777777" w:rsidTr="00603CB7">
        <w:trPr>
          <w:cantSplit/>
          <w:trHeight w:val="140"/>
        </w:trPr>
        <w:tc>
          <w:tcPr>
            <w:tcW w:w="1245" w:type="dxa"/>
            <w:vMerge/>
            <w:shd w:val="clear" w:color="auto" w:fill="FFFFFF"/>
          </w:tcPr>
          <w:p w14:paraId="06C9B76C"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1127" w:type="dxa"/>
            <w:shd w:val="clear" w:color="auto" w:fill="FFFFFF"/>
          </w:tcPr>
          <w:p w14:paraId="038E4D3B"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3</w:t>
            </w:r>
          </w:p>
        </w:tc>
        <w:tc>
          <w:tcPr>
            <w:tcW w:w="1105" w:type="dxa"/>
            <w:shd w:val="clear" w:color="auto" w:fill="FFFFFF"/>
            <w:vAlign w:val="center"/>
          </w:tcPr>
          <w:p w14:paraId="05357D3F"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.525</w:t>
            </w:r>
            <w:r w:rsidRPr="00CF31E0">
              <w:rPr>
                <w:rFonts w:eastAsia="Calibri"/>
                <w:color w:val="000000" w:themeColor="text1"/>
                <w:sz w:val="22"/>
                <w:szCs w:val="22"/>
                <w:vertAlign w:val="superscript"/>
                <w:lang w:eastAsia="en-US"/>
              </w:rPr>
              <w:t>*</w:t>
            </w:r>
          </w:p>
        </w:tc>
        <w:tc>
          <w:tcPr>
            <w:tcW w:w="829" w:type="dxa"/>
            <w:shd w:val="clear" w:color="auto" w:fill="FFFFFF"/>
            <w:vAlign w:val="center"/>
          </w:tcPr>
          <w:p w14:paraId="70127ED3"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.058</w:t>
            </w:r>
          </w:p>
        </w:tc>
        <w:tc>
          <w:tcPr>
            <w:tcW w:w="828" w:type="dxa"/>
            <w:shd w:val="clear" w:color="auto" w:fill="FFFFFF"/>
            <w:vAlign w:val="center"/>
          </w:tcPr>
          <w:p w14:paraId="1098538D"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966" w:type="dxa"/>
            <w:shd w:val="clear" w:color="auto" w:fill="FFFFFF"/>
            <w:vAlign w:val="center"/>
          </w:tcPr>
          <w:p w14:paraId="3EC9F51B"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.363</w:t>
            </w:r>
          </w:p>
        </w:tc>
        <w:tc>
          <w:tcPr>
            <w:tcW w:w="1105" w:type="dxa"/>
            <w:shd w:val="clear" w:color="auto" w:fill="FFFFFF"/>
            <w:vAlign w:val="center"/>
          </w:tcPr>
          <w:p w14:paraId="64CCDF14"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.688</w:t>
            </w:r>
          </w:p>
        </w:tc>
      </w:tr>
      <w:tr w:rsidR="007812FE" w:rsidRPr="00CF31E0" w14:paraId="4BC6443D" w14:textId="77777777" w:rsidTr="00603CB7">
        <w:trPr>
          <w:cantSplit/>
          <w:trHeight w:val="140"/>
        </w:trPr>
        <w:tc>
          <w:tcPr>
            <w:tcW w:w="1245" w:type="dxa"/>
            <w:vMerge/>
            <w:shd w:val="clear" w:color="auto" w:fill="FFFFFF"/>
          </w:tcPr>
          <w:p w14:paraId="13106C41"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1127" w:type="dxa"/>
            <w:shd w:val="clear" w:color="auto" w:fill="FFFFFF"/>
          </w:tcPr>
          <w:p w14:paraId="7815C85C"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4</w:t>
            </w:r>
          </w:p>
        </w:tc>
        <w:tc>
          <w:tcPr>
            <w:tcW w:w="1105" w:type="dxa"/>
            <w:shd w:val="clear" w:color="auto" w:fill="FFFFFF"/>
            <w:vAlign w:val="center"/>
          </w:tcPr>
          <w:p w14:paraId="76B46DF3"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.122</w:t>
            </w:r>
          </w:p>
        </w:tc>
        <w:tc>
          <w:tcPr>
            <w:tcW w:w="829" w:type="dxa"/>
            <w:shd w:val="clear" w:color="auto" w:fill="FFFFFF"/>
            <w:vAlign w:val="center"/>
          </w:tcPr>
          <w:p w14:paraId="02EAFF23"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.047</w:t>
            </w:r>
          </w:p>
        </w:tc>
        <w:tc>
          <w:tcPr>
            <w:tcW w:w="828" w:type="dxa"/>
            <w:shd w:val="clear" w:color="auto" w:fill="FFFFFF"/>
            <w:vAlign w:val="center"/>
          </w:tcPr>
          <w:p w14:paraId="0C4A9EEF"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.105</w:t>
            </w:r>
          </w:p>
        </w:tc>
        <w:tc>
          <w:tcPr>
            <w:tcW w:w="966" w:type="dxa"/>
            <w:shd w:val="clear" w:color="auto" w:fill="FFFFFF"/>
            <w:vAlign w:val="center"/>
          </w:tcPr>
          <w:p w14:paraId="25BFF9AA"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-.012</w:t>
            </w:r>
          </w:p>
        </w:tc>
        <w:tc>
          <w:tcPr>
            <w:tcW w:w="1105" w:type="dxa"/>
            <w:shd w:val="clear" w:color="auto" w:fill="FFFFFF"/>
            <w:vAlign w:val="center"/>
          </w:tcPr>
          <w:p w14:paraId="50D9BA20"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.255</w:t>
            </w:r>
          </w:p>
        </w:tc>
      </w:tr>
    </w:tbl>
    <w:p w14:paraId="1034BBE5" w14:textId="6C745EA5" w:rsidR="000B4835" w:rsidRPr="00CF31E0" w:rsidRDefault="000B4835" w:rsidP="00F61455">
      <w:pPr>
        <w:pStyle w:val="Tablecaption"/>
        <w:rPr>
          <w:lang w:eastAsia="en-US"/>
        </w:rPr>
      </w:pPr>
      <w:bookmarkStart w:id="862" w:name="_Toc522527486"/>
      <w:bookmarkStart w:id="863" w:name="_Toc522628899"/>
      <w:bookmarkStart w:id="864" w:name="_Toc522629063"/>
      <w:bookmarkStart w:id="865" w:name="_Toc6473161"/>
      <w:r w:rsidRPr="00CF31E0">
        <w:rPr>
          <w:lang w:eastAsia="en-US"/>
        </w:rPr>
        <w:t>Table</w:t>
      </w:r>
      <w:r w:rsidR="003B51C7" w:rsidRPr="00CF31E0">
        <w:rPr>
          <w:lang w:eastAsia="en-US"/>
        </w:rPr>
        <w:t xml:space="preserve"> </w:t>
      </w:r>
      <w:r w:rsidR="00F61455" w:rsidRPr="00CF31E0">
        <w:rPr>
          <w:lang w:eastAsia="en-US"/>
        </w:rPr>
        <w:t>11</w:t>
      </w:r>
      <w:r w:rsidR="003B51C7" w:rsidRPr="00CF31E0">
        <w:rPr>
          <w:lang w:eastAsia="en-US"/>
        </w:rPr>
        <w:t>.</w:t>
      </w:r>
      <w:r w:rsidR="00F61455" w:rsidRPr="00CF31E0">
        <w:rPr>
          <w:lang w:eastAsia="en-US"/>
        </w:rPr>
        <w:t>23</w:t>
      </w:r>
      <w:r w:rsidR="003B51C7" w:rsidRPr="00CF31E0">
        <w:rPr>
          <w:lang w:eastAsia="en-US"/>
        </w:rPr>
        <w:t>:</w:t>
      </w:r>
      <w:r w:rsidRPr="00CF31E0">
        <w:rPr>
          <w:lang w:eastAsia="en-US"/>
        </w:rPr>
        <w:t xml:space="preserve"> Post-hoc test results for the </w:t>
      </w:r>
      <w:r w:rsidRPr="00CF31E0">
        <w:rPr>
          <w:i/>
          <w:iCs/>
          <w:lang w:eastAsia="en-US"/>
        </w:rPr>
        <w:t>traditional</w:t>
      </w:r>
      <w:r w:rsidRPr="00CF31E0">
        <w:rPr>
          <w:lang w:eastAsia="en-US"/>
        </w:rPr>
        <w:t xml:space="preserve"> characteristic across the samples</w:t>
      </w:r>
      <w:r w:rsidR="003B51C7" w:rsidRPr="00CF31E0">
        <w:rPr>
          <w:lang w:eastAsia="en-US"/>
        </w:rPr>
        <w:t>.</w:t>
      </w:r>
      <w:bookmarkEnd w:id="862"/>
      <w:bookmarkEnd w:id="863"/>
      <w:bookmarkEnd w:id="864"/>
      <w:bookmarkEnd w:id="865"/>
      <w:r w:rsidRPr="00CF31E0">
        <w:rPr>
          <w:lang w:eastAsia="en-US"/>
        </w:rPr>
        <w:t xml:space="preserve"> </w:t>
      </w:r>
    </w:p>
    <w:p w14:paraId="55A606AE" w14:textId="77BC613D" w:rsidR="00D74542" w:rsidRDefault="000B4835" w:rsidP="00A84734">
      <w:pPr>
        <w:pStyle w:val="Paragraph"/>
        <w:rPr>
          <w:lang w:eastAsia="en-US"/>
        </w:rPr>
      </w:pPr>
      <w:r w:rsidRPr="00CF31E0">
        <w:rPr>
          <w:lang w:eastAsia="en-US"/>
        </w:rPr>
        <w:t>As can be seen from the table above, the following sets of voice samples received similar ratings: VS1 and 4, VS2 and 5, VS4 and 5. The other remaining voice samples differed significantly from each other. Having revealed the similarity and difference between the voice samples, I will now compare their mean scores to reveal which voice samples received the highest and lowest mean scores, respectively. See Table</w:t>
      </w:r>
      <w:r w:rsidR="003B51C7" w:rsidRPr="00CF31E0">
        <w:rPr>
          <w:lang w:eastAsia="en-US"/>
        </w:rPr>
        <w:t xml:space="preserve"> </w:t>
      </w:r>
      <w:r w:rsidR="00F61455" w:rsidRPr="00CF31E0">
        <w:rPr>
          <w:lang w:eastAsia="en-US"/>
        </w:rPr>
        <w:t>11</w:t>
      </w:r>
      <w:r w:rsidR="003B51C7" w:rsidRPr="00CF31E0">
        <w:rPr>
          <w:lang w:eastAsia="en-US"/>
        </w:rPr>
        <w:t>.</w:t>
      </w:r>
      <w:r w:rsidR="00F61455" w:rsidRPr="00CF31E0">
        <w:rPr>
          <w:lang w:eastAsia="en-US"/>
        </w:rPr>
        <w:t>24</w:t>
      </w:r>
      <w:r w:rsidRPr="00CF31E0">
        <w:rPr>
          <w:lang w:eastAsia="en-US"/>
        </w:rPr>
        <w:t>.</w:t>
      </w:r>
    </w:p>
    <w:p w14:paraId="011FA9FD" w14:textId="77777777" w:rsidR="00F50E67" w:rsidRPr="00CF31E0" w:rsidRDefault="00F50E67" w:rsidP="00A84734">
      <w:pPr>
        <w:pStyle w:val="Paragraph"/>
        <w:rPr>
          <w:lang w:eastAsia="en-US"/>
        </w:rPr>
      </w:pPr>
    </w:p>
    <w:tbl>
      <w:tblPr>
        <w:tblW w:w="6541" w:type="dxa"/>
        <w:tblInd w:w="-20" w:type="dxa"/>
        <w:tblLayout w:type="fixed"/>
        <w:tblCellMar>
          <w:left w:w="0" w:type="dxa"/>
          <w:right w:w="0" w:type="dxa"/>
        </w:tblCellMar>
        <w:tblLook w:val="0000" w:firstRow="0" w:lastRow="0" w:firstColumn="0" w:lastColumn="0" w:noHBand="0" w:noVBand="0"/>
      </w:tblPr>
      <w:tblGrid>
        <w:gridCol w:w="2147"/>
        <w:gridCol w:w="1701"/>
        <w:gridCol w:w="1984"/>
        <w:gridCol w:w="709"/>
      </w:tblGrid>
      <w:tr w:rsidR="00FC19EB" w:rsidRPr="00CF31E0" w14:paraId="074533BE" w14:textId="77777777" w:rsidTr="00603CB7">
        <w:trPr>
          <w:cantSplit/>
        </w:trPr>
        <w:tc>
          <w:tcPr>
            <w:tcW w:w="2147" w:type="dxa"/>
            <w:tcBorders>
              <w:top w:val="single" w:sz="8" w:space="0" w:color="auto"/>
              <w:bottom w:val="single" w:sz="8" w:space="0" w:color="auto"/>
            </w:tcBorders>
            <w:shd w:val="clear" w:color="auto" w:fill="FFFFFF"/>
            <w:vAlign w:val="bottom"/>
          </w:tcPr>
          <w:p w14:paraId="39E6AD68" w14:textId="04B84939" w:rsidR="000B4835" w:rsidRPr="00CF31E0" w:rsidRDefault="000B4835" w:rsidP="00603CB7">
            <w:pPr>
              <w:pStyle w:val="Paragraph"/>
              <w:rPr>
                <w:rFonts w:eastAsia="Calibri"/>
                <w:sz w:val="22"/>
                <w:szCs w:val="22"/>
                <w:lang w:eastAsia="en-US"/>
              </w:rPr>
            </w:pPr>
            <w:r w:rsidRPr="00CF31E0">
              <w:rPr>
                <w:lang w:eastAsia="en-US"/>
              </w:rPr>
              <w:lastRenderedPageBreak/>
              <w:t xml:space="preserve"> </w:t>
            </w:r>
          </w:p>
        </w:tc>
        <w:tc>
          <w:tcPr>
            <w:tcW w:w="1701" w:type="dxa"/>
            <w:tcBorders>
              <w:top w:val="single" w:sz="8" w:space="0" w:color="auto"/>
              <w:bottom w:val="single" w:sz="8" w:space="0" w:color="auto"/>
            </w:tcBorders>
            <w:shd w:val="clear" w:color="auto" w:fill="FFFFFF"/>
            <w:vAlign w:val="bottom"/>
          </w:tcPr>
          <w:p w14:paraId="61973EA7" w14:textId="77777777" w:rsidR="000B4835" w:rsidRPr="00CF31E0" w:rsidRDefault="000B4835"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Mean</w:t>
            </w:r>
          </w:p>
        </w:tc>
        <w:tc>
          <w:tcPr>
            <w:tcW w:w="1984" w:type="dxa"/>
            <w:tcBorders>
              <w:top w:val="single" w:sz="8" w:space="0" w:color="auto"/>
              <w:bottom w:val="single" w:sz="8" w:space="0" w:color="auto"/>
            </w:tcBorders>
            <w:shd w:val="clear" w:color="auto" w:fill="FFFFFF"/>
            <w:vAlign w:val="bottom"/>
          </w:tcPr>
          <w:p w14:paraId="024B7EA3" w14:textId="77777777" w:rsidR="000B4835" w:rsidRPr="00CF31E0" w:rsidRDefault="000B4835"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Std. Deviation</w:t>
            </w:r>
          </w:p>
        </w:tc>
        <w:tc>
          <w:tcPr>
            <w:tcW w:w="709" w:type="dxa"/>
            <w:tcBorders>
              <w:top w:val="single" w:sz="8" w:space="0" w:color="auto"/>
              <w:bottom w:val="single" w:sz="8" w:space="0" w:color="auto"/>
            </w:tcBorders>
            <w:shd w:val="clear" w:color="auto" w:fill="FFFFFF"/>
            <w:vAlign w:val="bottom"/>
          </w:tcPr>
          <w:p w14:paraId="2545F142" w14:textId="77777777" w:rsidR="000B4835" w:rsidRPr="00CF31E0" w:rsidRDefault="000B4835"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N</w:t>
            </w:r>
          </w:p>
        </w:tc>
      </w:tr>
      <w:tr w:rsidR="00FC19EB" w:rsidRPr="00CF31E0" w14:paraId="3E5E5B76" w14:textId="77777777" w:rsidTr="00603CB7">
        <w:trPr>
          <w:cantSplit/>
        </w:trPr>
        <w:tc>
          <w:tcPr>
            <w:tcW w:w="2147" w:type="dxa"/>
            <w:tcBorders>
              <w:top w:val="single" w:sz="8" w:space="0" w:color="auto"/>
            </w:tcBorders>
            <w:shd w:val="clear" w:color="auto" w:fill="FFFFFF"/>
          </w:tcPr>
          <w:p w14:paraId="04DEC470" w14:textId="78251BC6" w:rsidR="000B4835" w:rsidRPr="00CF31E0" w:rsidRDefault="000B4835"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Traditional </w:t>
            </w:r>
            <w:r w:rsidR="00FC19EB" w:rsidRPr="00CF31E0">
              <w:rPr>
                <w:rFonts w:eastAsia="Calibri"/>
                <w:color w:val="000000" w:themeColor="text1"/>
                <w:sz w:val="22"/>
                <w:szCs w:val="22"/>
                <w:lang w:eastAsia="en-US"/>
              </w:rPr>
              <w:t>VS</w:t>
            </w:r>
            <w:r w:rsidRPr="00CF31E0">
              <w:rPr>
                <w:rFonts w:eastAsia="Calibri"/>
                <w:color w:val="000000" w:themeColor="text1"/>
                <w:sz w:val="22"/>
                <w:szCs w:val="22"/>
                <w:lang w:eastAsia="en-US"/>
              </w:rPr>
              <w:t>1</w:t>
            </w:r>
          </w:p>
        </w:tc>
        <w:tc>
          <w:tcPr>
            <w:tcW w:w="1701" w:type="dxa"/>
            <w:tcBorders>
              <w:top w:val="single" w:sz="8" w:space="0" w:color="auto"/>
            </w:tcBorders>
            <w:shd w:val="clear" w:color="auto" w:fill="FFFFFF"/>
          </w:tcPr>
          <w:p w14:paraId="7122A9F1" w14:textId="77777777" w:rsidR="000B4835" w:rsidRPr="00CF31E0" w:rsidRDefault="000B4835"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3.1834</w:t>
            </w:r>
          </w:p>
        </w:tc>
        <w:tc>
          <w:tcPr>
            <w:tcW w:w="1984" w:type="dxa"/>
            <w:tcBorders>
              <w:top w:val="single" w:sz="8" w:space="0" w:color="auto"/>
            </w:tcBorders>
            <w:shd w:val="clear" w:color="auto" w:fill="FFFFFF"/>
          </w:tcPr>
          <w:p w14:paraId="59DE77AA" w14:textId="77777777" w:rsidR="000B4835" w:rsidRPr="00CF31E0" w:rsidRDefault="000B4835"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1.19875</w:t>
            </w:r>
          </w:p>
        </w:tc>
        <w:tc>
          <w:tcPr>
            <w:tcW w:w="709" w:type="dxa"/>
            <w:tcBorders>
              <w:top w:val="single" w:sz="8" w:space="0" w:color="auto"/>
            </w:tcBorders>
            <w:shd w:val="clear" w:color="auto" w:fill="FFFFFF"/>
          </w:tcPr>
          <w:p w14:paraId="46A18B00" w14:textId="77777777" w:rsidR="000B4835" w:rsidRPr="00CF31E0" w:rsidRDefault="000B4835"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649</w:t>
            </w:r>
          </w:p>
        </w:tc>
      </w:tr>
      <w:tr w:rsidR="00FC19EB" w:rsidRPr="00CF31E0" w14:paraId="430F3DC6" w14:textId="77777777" w:rsidTr="00603CB7">
        <w:trPr>
          <w:cantSplit/>
        </w:trPr>
        <w:tc>
          <w:tcPr>
            <w:tcW w:w="2147" w:type="dxa"/>
            <w:shd w:val="clear" w:color="auto" w:fill="FFFFFF"/>
          </w:tcPr>
          <w:p w14:paraId="44E79D40" w14:textId="599D3470" w:rsidR="000B4835" w:rsidRPr="00CF31E0" w:rsidRDefault="000B4835"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Traditional </w:t>
            </w:r>
            <w:r w:rsidR="00FC19EB" w:rsidRPr="00CF31E0">
              <w:rPr>
                <w:rFonts w:eastAsia="Calibri"/>
                <w:color w:val="000000" w:themeColor="text1"/>
                <w:sz w:val="22"/>
                <w:szCs w:val="22"/>
                <w:lang w:eastAsia="en-US"/>
              </w:rPr>
              <w:t>VS</w:t>
            </w:r>
            <w:r w:rsidRPr="00CF31E0">
              <w:rPr>
                <w:rFonts w:eastAsia="Calibri"/>
                <w:color w:val="000000" w:themeColor="text1"/>
                <w:sz w:val="22"/>
                <w:szCs w:val="22"/>
                <w:lang w:eastAsia="en-US"/>
              </w:rPr>
              <w:t>2</w:t>
            </w:r>
          </w:p>
        </w:tc>
        <w:tc>
          <w:tcPr>
            <w:tcW w:w="1701" w:type="dxa"/>
            <w:shd w:val="clear" w:color="auto" w:fill="FFFFFF"/>
          </w:tcPr>
          <w:p w14:paraId="048882DC" w14:textId="77777777" w:rsidR="000B4835" w:rsidRPr="00CF31E0" w:rsidRDefault="000B4835"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3.4607</w:t>
            </w:r>
          </w:p>
        </w:tc>
        <w:tc>
          <w:tcPr>
            <w:tcW w:w="1984" w:type="dxa"/>
            <w:shd w:val="clear" w:color="auto" w:fill="FFFFFF"/>
          </w:tcPr>
          <w:p w14:paraId="0410E6E6" w14:textId="77777777" w:rsidR="000B4835" w:rsidRPr="00CF31E0" w:rsidRDefault="000B4835"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1.12987</w:t>
            </w:r>
          </w:p>
        </w:tc>
        <w:tc>
          <w:tcPr>
            <w:tcW w:w="709" w:type="dxa"/>
            <w:shd w:val="clear" w:color="auto" w:fill="FFFFFF"/>
          </w:tcPr>
          <w:p w14:paraId="1776C925" w14:textId="77777777" w:rsidR="000B4835" w:rsidRPr="00CF31E0" w:rsidRDefault="000B4835"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649</w:t>
            </w:r>
          </w:p>
        </w:tc>
      </w:tr>
      <w:tr w:rsidR="00FC19EB" w:rsidRPr="00CF31E0" w14:paraId="4C56FB3D" w14:textId="77777777" w:rsidTr="00603CB7">
        <w:trPr>
          <w:cantSplit/>
        </w:trPr>
        <w:tc>
          <w:tcPr>
            <w:tcW w:w="2147" w:type="dxa"/>
            <w:shd w:val="clear" w:color="auto" w:fill="FFFFFF"/>
          </w:tcPr>
          <w:p w14:paraId="3AC1AAA6" w14:textId="7EF19D27" w:rsidR="000B4835" w:rsidRPr="00CF31E0" w:rsidRDefault="000B4835"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Traditional </w:t>
            </w:r>
            <w:r w:rsidR="00FC19EB" w:rsidRPr="00CF31E0">
              <w:rPr>
                <w:rFonts w:eastAsia="Calibri"/>
                <w:color w:val="000000" w:themeColor="text1"/>
                <w:sz w:val="22"/>
                <w:szCs w:val="22"/>
                <w:lang w:eastAsia="en-US"/>
              </w:rPr>
              <w:t>VS</w:t>
            </w:r>
            <w:r w:rsidRPr="00CF31E0">
              <w:rPr>
                <w:rFonts w:eastAsia="Calibri"/>
                <w:color w:val="000000" w:themeColor="text1"/>
                <w:sz w:val="22"/>
                <w:szCs w:val="22"/>
                <w:lang w:eastAsia="en-US"/>
              </w:rPr>
              <w:t>3</w:t>
            </w:r>
          </w:p>
        </w:tc>
        <w:tc>
          <w:tcPr>
            <w:tcW w:w="1701" w:type="dxa"/>
            <w:shd w:val="clear" w:color="auto" w:fill="FFFFFF"/>
          </w:tcPr>
          <w:p w14:paraId="32BC745A" w14:textId="77777777" w:rsidR="000B4835" w:rsidRPr="00CF31E0" w:rsidRDefault="000B4835"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2.8829</w:t>
            </w:r>
          </w:p>
        </w:tc>
        <w:tc>
          <w:tcPr>
            <w:tcW w:w="1984" w:type="dxa"/>
            <w:shd w:val="clear" w:color="auto" w:fill="FFFFFF"/>
          </w:tcPr>
          <w:p w14:paraId="02C87691" w14:textId="77777777" w:rsidR="000B4835" w:rsidRPr="00CF31E0" w:rsidRDefault="000B4835"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1.17661</w:t>
            </w:r>
          </w:p>
        </w:tc>
        <w:tc>
          <w:tcPr>
            <w:tcW w:w="709" w:type="dxa"/>
            <w:shd w:val="clear" w:color="auto" w:fill="FFFFFF"/>
          </w:tcPr>
          <w:p w14:paraId="5F79524B" w14:textId="77777777" w:rsidR="000B4835" w:rsidRPr="00CF31E0" w:rsidRDefault="000B4835"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649</w:t>
            </w:r>
          </w:p>
        </w:tc>
      </w:tr>
      <w:tr w:rsidR="00FC19EB" w:rsidRPr="00CF31E0" w14:paraId="1055FB14" w14:textId="77777777" w:rsidTr="00603CB7">
        <w:trPr>
          <w:cantSplit/>
        </w:trPr>
        <w:tc>
          <w:tcPr>
            <w:tcW w:w="2147" w:type="dxa"/>
            <w:shd w:val="clear" w:color="auto" w:fill="FFFFFF"/>
          </w:tcPr>
          <w:p w14:paraId="3FF12488" w14:textId="1626D3A9" w:rsidR="000B4835" w:rsidRPr="00CF31E0" w:rsidRDefault="000B4835"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Traditional </w:t>
            </w:r>
            <w:r w:rsidR="00FC19EB" w:rsidRPr="00CF31E0">
              <w:rPr>
                <w:rFonts w:eastAsia="Calibri"/>
                <w:color w:val="000000" w:themeColor="text1"/>
                <w:sz w:val="22"/>
                <w:szCs w:val="22"/>
                <w:lang w:eastAsia="en-US"/>
              </w:rPr>
              <w:t>VS</w:t>
            </w:r>
            <w:r w:rsidRPr="00CF31E0">
              <w:rPr>
                <w:rFonts w:eastAsia="Calibri"/>
                <w:color w:val="000000" w:themeColor="text1"/>
                <w:sz w:val="22"/>
                <w:szCs w:val="22"/>
                <w:lang w:eastAsia="en-US"/>
              </w:rPr>
              <w:t>4</w:t>
            </w:r>
          </w:p>
        </w:tc>
        <w:tc>
          <w:tcPr>
            <w:tcW w:w="1701" w:type="dxa"/>
            <w:shd w:val="clear" w:color="auto" w:fill="FFFFFF"/>
          </w:tcPr>
          <w:p w14:paraId="2113594A" w14:textId="77777777" w:rsidR="000B4835" w:rsidRPr="00CF31E0" w:rsidRDefault="000B4835"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3.2866</w:t>
            </w:r>
          </w:p>
        </w:tc>
        <w:tc>
          <w:tcPr>
            <w:tcW w:w="1984" w:type="dxa"/>
            <w:shd w:val="clear" w:color="auto" w:fill="FFFFFF"/>
          </w:tcPr>
          <w:p w14:paraId="7E55243A" w14:textId="77777777" w:rsidR="000B4835" w:rsidRPr="00CF31E0" w:rsidRDefault="000B4835"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1.08489</w:t>
            </w:r>
          </w:p>
        </w:tc>
        <w:tc>
          <w:tcPr>
            <w:tcW w:w="709" w:type="dxa"/>
            <w:shd w:val="clear" w:color="auto" w:fill="FFFFFF"/>
          </w:tcPr>
          <w:p w14:paraId="235BB5B1" w14:textId="77777777" w:rsidR="000B4835" w:rsidRPr="00CF31E0" w:rsidRDefault="000B4835"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649</w:t>
            </w:r>
          </w:p>
        </w:tc>
      </w:tr>
      <w:tr w:rsidR="00FC19EB" w:rsidRPr="00CF31E0" w14:paraId="3CFA4EDD" w14:textId="77777777" w:rsidTr="00603CB7">
        <w:trPr>
          <w:cantSplit/>
        </w:trPr>
        <w:tc>
          <w:tcPr>
            <w:tcW w:w="2147" w:type="dxa"/>
            <w:tcBorders>
              <w:bottom w:val="single" w:sz="8" w:space="0" w:color="auto"/>
            </w:tcBorders>
            <w:shd w:val="clear" w:color="auto" w:fill="FFFFFF"/>
          </w:tcPr>
          <w:p w14:paraId="4D8DF572" w14:textId="6A92C2D9" w:rsidR="000B4835" w:rsidRPr="00CF31E0" w:rsidRDefault="000B4835"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 xml:space="preserve">Traditional </w:t>
            </w:r>
            <w:r w:rsidR="00FC19EB" w:rsidRPr="00CF31E0">
              <w:rPr>
                <w:rFonts w:eastAsia="Calibri"/>
                <w:color w:val="000000" w:themeColor="text1"/>
                <w:sz w:val="22"/>
                <w:szCs w:val="22"/>
                <w:lang w:eastAsia="en-US"/>
              </w:rPr>
              <w:t>VS</w:t>
            </w:r>
            <w:r w:rsidRPr="00CF31E0">
              <w:rPr>
                <w:rFonts w:eastAsia="Calibri"/>
                <w:color w:val="000000" w:themeColor="text1"/>
                <w:sz w:val="22"/>
                <w:szCs w:val="22"/>
                <w:lang w:eastAsia="en-US"/>
              </w:rPr>
              <w:t>5</w:t>
            </w:r>
          </w:p>
        </w:tc>
        <w:tc>
          <w:tcPr>
            <w:tcW w:w="1701" w:type="dxa"/>
            <w:tcBorders>
              <w:bottom w:val="single" w:sz="8" w:space="0" w:color="auto"/>
            </w:tcBorders>
            <w:shd w:val="clear" w:color="auto" w:fill="FFFFFF"/>
          </w:tcPr>
          <w:p w14:paraId="5A0E05AE" w14:textId="77777777" w:rsidR="000B4835" w:rsidRPr="00CF31E0" w:rsidRDefault="000B4835"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3.4083</w:t>
            </w:r>
          </w:p>
        </w:tc>
        <w:tc>
          <w:tcPr>
            <w:tcW w:w="1984" w:type="dxa"/>
            <w:tcBorders>
              <w:bottom w:val="single" w:sz="8" w:space="0" w:color="auto"/>
            </w:tcBorders>
            <w:shd w:val="clear" w:color="auto" w:fill="FFFFFF"/>
          </w:tcPr>
          <w:p w14:paraId="66FCDA4C" w14:textId="77777777" w:rsidR="000B4835" w:rsidRPr="00CF31E0" w:rsidRDefault="000B4835"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1.13773</w:t>
            </w:r>
          </w:p>
        </w:tc>
        <w:tc>
          <w:tcPr>
            <w:tcW w:w="709" w:type="dxa"/>
            <w:tcBorders>
              <w:bottom w:val="single" w:sz="8" w:space="0" w:color="auto"/>
            </w:tcBorders>
            <w:shd w:val="clear" w:color="auto" w:fill="FFFFFF"/>
          </w:tcPr>
          <w:p w14:paraId="0D4F79A4" w14:textId="77777777" w:rsidR="000B4835" w:rsidRPr="00CF31E0" w:rsidRDefault="000B4835"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649</w:t>
            </w:r>
          </w:p>
        </w:tc>
      </w:tr>
    </w:tbl>
    <w:p w14:paraId="69B0364B" w14:textId="52CC514A" w:rsidR="000B4835" w:rsidRPr="00CF31E0" w:rsidRDefault="000B4835" w:rsidP="00F61455">
      <w:pPr>
        <w:pStyle w:val="Tablecaption"/>
        <w:rPr>
          <w:lang w:eastAsia="en-US"/>
        </w:rPr>
      </w:pPr>
      <w:bookmarkStart w:id="866" w:name="_Toc522527487"/>
      <w:bookmarkStart w:id="867" w:name="_Toc522628900"/>
      <w:bookmarkStart w:id="868" w:name="_Toc522629064"/>
      <w:bookmarkStart w:id="869" w:name="_Toc6473162"/>
      <w:r w:rsidRPr="00CF31E0">
        <w:rPr>
          <w:lang w:eastAsia="en-US"/>
        </w:rPr>
        <w:t>Table</w:t>
      </w:r>
      <w:r w:rsidR="003B51C7" w:rsidRPr="00CF31E0">
        <w:rPr>
          <w:lang w:eastAsia="en-US"/>
        </w:rPr>
        <w:t xml:space="preserve"> </w:t>
      </w:r>
      <w:r w:rsidR="00F61455" w:rsidRPr="00CF31E0">
        <w:rPr>
          <w:lang w:eastAsia="en-US"/>
        </w:rPr>
        <w:t>11</w:t>
      </w:r>
      <w:r w:rsidR="003B51C7" w:rsidRPr="00CF31E0">
        <w:rPr>
          <w:lang w:eastAsia="en-US"/>
        </w:rPr>
        <w:t>.</w:t>
      </w:r>
      <w:r w:rsidR="00F61455" w:rsidRPr="00CF31E0">
        <w:rPr>
          <w:lang w:eastAsia="en-US"/>
        </w:rPr>
        <w:t>24</w:t>
      </w:r>
      <w:r w:rsidR="003B51C7" w:rsidRPr="00CF31E0">
        <w:rPr>
          <w:lang w:eastAsia="en-US"/>
        </w:rPr>
        <w:t xml:space="preserve">: </w:t>
      </w:r>
      <w:r w:rsidRPr="00CF31E0">
        <w:rPr>
          <w:lang w:eastAsia="en-US"/>
        </w:rPr>
        <w:t xml:space="preserve">Descriptive statistics for the </w:t>
      </w:r>
      <w:r w:rsidRPr="00CF31E0">
        <w:rPr>
          <w:i/>
          <w:iCs/>
          <w:lang w:eastAsia="en-US"/>
        </w:rPr>
        <w:t>traditional</w:t>
      </w:r>
      <w:r w:rsidRPr="00CF31E0">
        <w:rPr>
          <w:lang w:eastAsia="en-US"/>
        </w:rPr>
        <w:t xml:space="preserve"> characteristic across the samples</w:t>
      </w:r>
      <w:r w:rsidR="003B51C7" w:rsidRPr="00CF31E0">
        <w:rPr>
          <w:lang w:eastAsia="en-US"/>
        </w:rPr>
        <w:t>.</w:t>
      </w:r>
      <w:bookmarkEnd w:id="866"/>
      <w:bookmarkEnd w:id="867"/>
      <w:bookmarkEnd w:id="868"/>
      <w:bookmarkEnd w:id="869"/>
      <w:r w:rsidRPr="00CF31E0">
        <w:rPr>
          <w:lang w:eastAsia="en-US"/>
        </w:rPr>
        <w:t xml:space="preserve"> </w:t>
      </w:r>
    </w:p>
    <w:p w14:paraId="5F270CE1" w14:textId="4965B75F" w:rsidR="000B4835" w:rsidRPr="00CF31E0" w:rsidRDefault="000B4835" w:rsidP="00603CB7">
      <w:pPr>
        <w:pStyle w:val="Paragraph"/>
        <w:rPr>
          <w:lang w:eastAsia="en-US"/>
        </w:rPr>
      </w:pPr>
      <w:r w:rsidRPr="00CF31E0">
        <w:rPr>
          <w:lang w:eastAsia="en-US"/>
        </w:rPr>
        <w:t>As can be seen from Table</w:t>
      </w:r>
      <w:r w:rsidR="003B51C7" w:rsidRPr="00CF31E0">
        <w:rPr>
          <w:lang w:eastAsia="en-US"/>
        </w:rPr>
        <w:t xml:space="preserve"> </w:t>
      </w:r>
      <w:r w:rsidR="00F61455" w:rsidRPr="00CF31E0">
        <w:rPr>
          <w:lang w:eastAsia="en-US"/>
        </w:rPr>
        <w:t>11</w:t>
      </w:r>
      <w:r w:rsidR="003B51C7" w:rsidRPr="00CF31E0">
        <w:rPr>
          <w:lang w:eastAsia="en-US"/>
        </w:rPr>
        <w:t>.</w:t>
      </w:r>
      <w:r w:rsidR="00F61455" w:rsidRPr="00CF31E0">
        <w:rPr>
          <w:lang w:eastAsia="en-US"/>
        </w:rPr>
        <w:t>24</w:t>
      </w:r>
      <w:r w:rsidR="003B51C7" w:rsidRPr="00CF31E0">
        <w:rPr>
          <w:lang w:eastAsia="en-US"/>
        </w:rPr>
        <w:t xml:space="preserve">, </w:t>
      </w:r>
      <w:r w:rsidRPr="00CF31E0">
        <w:rPr>
          <w:lang w:eastAsia="en-US"/>
        </w:rPr>
        <w:t xml:space="preserve">VS2 received the highest mean score (3.46) and VS3 received the lowest mean score (2.88). Overall, the above results can be divided into two groups. The first group consists of scales with high ratings (VS1, 2, 4 and 5), while the second group consists of the remaining scale which received the lowest mean score (VS3). </w:t>
      </w:r>
    </w:p>
    <w:p w14:paraId="61ECFA60" w14:textId="5E388D14" w:rsidR="000B4835" w:rsidRPr="00CF31E0" w:rsidRDefault="00F61455" w:rsidP="00F61455">
      <w:pPr>
        <w:pStyle w:val="Dhead"/>
        <w:rPr>
          <w:rFonts w:eastAsia="Calibri"/>
        </w:rPr>
      </w:pPr>
      <w:bookmarkStart w:id="870" w:name="_Toc6472786"/>
      <w:r w:rsidRPr="00CF31E0">
        <w:rPr>
          <w:rFonts w:eastAsia="Calibri"/>
        </w:rPr>
        <w:t>11</w:t>
      </w:r>
      <w:r w:rsidR="00C76142" w:rsidRPr="00CF31E0">
        <w:rPr>
          <w:rFonts w:eastAsia="Calibri"/>
        </w:rPr>
        <w:t>.3.1.1.4.</w:t>
      </w:r>
      <w:r w:rsidR="00D2523E" w:rsidRPr="00CF31E0">
        <w:rPr>
          <w:rFonts w:eastAsia="Calibri"/>
        </w:rPr>
        <w:tab/>
      </w:r>
      <w:r w:rsidR="000B4835" w:rsidRPr="00CF31E0">
        <w:rPr>
          <w:rFonts w:eastAsia="Calibri"/>
        </w:rPr>
        <w:t>Modern scale</w:t>
      </w:r>
      <w:bookmarkEnd w:id="870"/>
    </w:p>
    <w:p w14:paraId="5B4E25CA" w14:textId="1D6E3B25" w:rsidR="000B4835" w:rsidRPr="00CF31E0" w:rsidRDefault="000B4835" w:rsidP="00603CB7">
      <w:pPr>
        <w:pStyle w:val="Paragraph"/>
        <w:rPr>
          <w:lang w:eastAsia="en-US"/>
        </w:rPr>
      </w:pPr>
      <w:r w:rsidRPr="00CF31E0">
        <w:rPr>
          <w:lang w:eastAsia="en-US"/>
        </w:rPr>
        <w:t xml:space="preserve">For the modern rating scale, I followed the same steps I applied to the previous rating scales. See Tables </w:t>
      </w:r>
      <w:r w:rsidR="00F61455" w:rsidRPr="00CF31E0">
        <w:rPr>
          <w:lang w:eastAsia="en-US"/>
        </w:rPr>
        <w:t>11</w:t>
      </w:r>
      <w:r w:rsidR="00C76142" w:rsidRPr="00CF31E0">
        <w:rPr>
          <w:lang w:eastAsia="en-US"/>
        </w:rPr>
        <w:t>.</w:t>
      </w:r>
      <w:r w:rsidR="00F61455" w:rsidRPr="00CF31E0">
        <w:rPr>
          <w:lang w:eastAsia="en-US"/>
        </w:rPr>
        <w:t xml:space="preserve">25 </w:t>
      </w:r>
      <w:r w:rsidRPr="00CF31E0">
        <w:rPr>
          <w:lang w:eastAsia="en-US"/>
        </w:rPr>
        <w:t xml:space="preserve">and </w:t>
      </w:r>
      <w:r w:rsidR="00F61455" w:rsidRPr="00CF31E0">
        <w:rPr>
          <w:lang w:eastAsia="en-US"/>
        </w:rPr>
        <w:t>11</w:t>
      </w:r>
      <w:r w:rsidR="00C76142" w:rsidRPr="00CF31E0">
        <w:rPr>
          <w:lang w:eastAsia="en-US"/>
        </w:rPr>
        <w:t>.</w:t>
      </w:r>
      <w:r w:rsidR="00F61455" w:rsidRPr="00CF31E0">
        <w:rPr>
          <w:lang w:eastAsia="en-US"/>
        </w:rPr>
        <w:t xml:space="preserve">26 </w:t>
      </w:r>
      <w:r w:rsidRPr="00CF31E0">
        <w:rPr>
          <w:lang w:eastAsia="en-US"/>
        </w:rPr>
        <w:t xml:space="preserve">for the sphericity test assumption and p value results, respectively. </w:t>
      </w:r>
    </w:p>
    <w:tbl>
      <w:tblPr>
        <w:tblW w:w="7479" w:type="dxa"/>
        <w:tblLayout w:type="fixed"/>
        <w:tblLook w:val="04A0" w:firstRow="1" w:lastRow="0" w:firstColumn="1" w:lastColumn="0" w:noHBand="0" w:noVBand="1"/>
      </w:tblPr>
      <w:tblGrid>
        <w:gridCol w:w="2093"/>
        <w:gridCol w:w="1276"/>
        <w:gridCol w:w="1701"/>
        <w:gridCol w:w="992"/>
        <w:gridCol w:w="1417"/>
      </w:tblGrid>
      <w:tr w:rsidR="00CE47FB" w:rsidRPr="00CF31E0" w14:paraId="767178CD" w14:textId="77777777" w:rsidTr="00603CB7">
        <w:tc>
          <w:tcPr>
            <w:tcW w:w="2093" w:type="dxa"/>
            <w:tcBorders>
              <w:top w:val="single" w:sz="8" w:space="0" w:color="auto"/>
              <w:bottom w:val="single" w:sz="8" w:space="0" w:color="auto"/>
            </w:tcBorders>
            <w:shd w:val="clear" w:color="auto" w:fill="auto"/>
            <w:hideMark/>
          </w:tcPr>
          <w:p w14:paraId="64BAA92B" w14:textId="4F820A96" w:rsidR="00CE47FB" w:rsidRPr="00CF31E0" w:rsidRDefault="00CE47FB" w:rsidP="00603CB7">
            <w:pPr>
              <w:spacing w:before="120" w:after="120"/>
              <w:rPr>
                <w:rFonts w:eastAsia="Calibri"/>
                <w:color w:val="000000" w:themeColor="text1"/>
                <w:sz w:val="22"/>
                <w:szCs w:val="22"/>
                <w:lang w:val="en-US" w:eastAsia="en-US"/>
              </w:rPr>
            </w:pPr>
            <w:r w:rsidRPr="00CF31E0">
              <w:rPr>
                <w:rFonts w:eastAsia="Calibri"/>
                <w:color w:val="000000" w:themeColor="text1"/>
                <w:sz w:val="22"/>
                <w:szCs w:val="22"/>
                <w:lang w:val="en-US" w:eastAsia="en-US"/>
              </w:rPr>
              <w:t>Within</w:t>
            </w:r>
            <w:r w:rsidR="005D0894" w:rsidRPr="00CF31E0">
              <w:rPr>
                <w:rFonts w:eastAsia="Calibri"/>
                <w:color w:val="000000" w:themeColor="text1"/>
                <w:sz w:val="22"/>
                <w:szCs w:val="22"/>
                <w:lang w:val="en-US" w:eastAsia="en-US"/>
              </w:rPr>
              <w:t>-Subjects</w:t>
            </w:r>
            <w:r w:rsidRPr="00CF31E0">
              <w:rPr>
                <w:rFonts w:eastAsia="Calibri"/>
                <w:color w:val="000000" w:themeColor="text1"/>
                <w:sz w:val="22"/>
                <w:szCs w:val="22"/>
                <w:lang w:val="en-US" w:eastAsia="en-US"/>
              </w:rPr>
              <w:t xml:space="preserve"> Effect</w:t>
            </w:r>
          </w:p>
        </w:tc>
        <w:tc>
          <w:tcPr>
            <w:tcW w:w="1276" w:type="dxa"/>
            <w:tcBorders>
              <w:top w:val="single" w:sz="8" w:space="0" w:color="auto"/>
              <w:bottom w:val="single" w:sz="8" w:space="0" w:color="auto"/>
            </w:tcBorders>
            <w:shd w:val="clear" w:color="auto" w:fill="auto"/>
            <w:hideMark/>
          </w:tcPr>
          <w:p w14:paraId="67F8C92F" w14:textId="77777777" w:rsidR="00CE47FB" w:rsidRPr="00CF31E0" w:rsidRDefault="00CE47FB" w:rsidP="00603CB7">
            <w:pPr>
              <w:spacing w:before="120" w:after="120"/>
              <w:rPr>
                <w:rFonts w:eastAsia="Calibri"/>
                <w:color w:val="000000" w:themeColor="text1"/>
                <w:sz w:val="22"/>
                <w:szCs w:val="22"/>
                <w:lang w:val="en-US" w:eastAsia="en-US"/>
              </w:rPr>
            </w:pPr>
            <w:r w:rsidRPr="00CF31E0">
              <w:rPr>
                <w:rFonts w:eastAsia="Calibri"/>
                <w:color w:val="000000" w:themeColor="text1"/>
                <w:sz w:val="22"/>
                <w:szCs w:val="22"/>
                <w:lang w:val="en-US" w:eastAsia="en-US"/>
              </w:rPr>
              <w:t>Mauchley’s W</w:t>
            </w:r>
          </w:p>
        </w:tc>
        <w:tc>
          <w:tcPr>
            <w:tcW w:w="1701" w:type="dxa"/>
            <w:tcBorders>
              <w:top w:val="single" w:sz="8" w:space="0" w:color="auto"/>
              <w:bottom w:val="single" w:sz="8" w:space="0" w:color="auto"/>
            </w:tcBorders>
            <w:shd w:val="clear" w:color="auto" w:fill="auto"/>
          </w:tcPr>
          <w:p w14:paraId="4E4B05DC" w14:textId="77777777" w:rsidR="00CE47FB" w:rsidRPr="00CF31E0" w:rsidRDefault="00CE47FB" w:rsidP="00603CB7">
            <w:pPr>
              <w:spacing w:before="120" w:after="120"/>
              <w:rPr>
                <w:rFonts w:eastAsia="Calibri"/>
                <w:color w:val="000000" w:themeColor="text1"/>
                <w:sz w:val="22"/>
                <w:szCs w:val="22"/>
                <w:lang w:val="en-US" w:eastAsia="en-US"/>
              </w:rPr>
            </w:pPr>
            <w:r w:rsidRPr="00CF31E0">
              <w:rPr>
                <w:rFonts w:eastAsia="Calibri"/>
                <w:color w:val="000000" w:themeColor="text1"/>
                <w:sz w:val="22"/>
                <w:szCs w:val="22"/>
                <w:lang w:val="en-US" w:eastAsia="en-US"/>
              </w:rPr>
              <w:t>Approx Chi-Square</w:t>
            </w:r>
          </w:p>
        </w:tc>
        <w:tc>
          <w:tcPr>
            <w:tcW w:w="992" w:type="dxa"/>
            <w:tcBorders>
              <w:top w:val="single" w:sz="8" w:space="0" w:color="auto"/>
              <w:bottom w:val="single" w:sz="8" w:space="0" w:color="auto"/>
            </w:tcBorders>
            <w:shd w:val="clear" w:color="auto" w:fill="auto"/>
          </w:tcPr>
          <w:p w14:paraId="2F2CB771" w14:textId="77777777" w:rsidR="00CE47FB" w:rsidRPr="00CF31E0" w:rsidRDefault="00CE47FB" w:rsidP="00603CB7">
            <w:pPr>
              <w:spacing w:before="120" w:after="120"/>
              <w:rPr>
                <w:rFonts w:eastAsia="Calibri"/>
                <w:color w:val="000000" w:themeColor="text1"/>
                <w:sz w:val="22"/>
                <w:szCs w:val="22"/>
                <w:lang w:val="en-US" w:eastAsia="en-US"/>
              </w:rPr>
            </w:pPr>
            <w:r w:rsidRPr="00CF31E0">
              <w:rPr>
                <w:rFonts w:eastAsia="Calibri"/>
                <w:color w:val="000000" w:themeColor="text1"/>
                <w:sz w:val="22"/>
                <w:szCs w:val="22"/>
                <w:lang w:eastAsia="en-US"/>
              </w:rPr>
              <w:t>df</w:t>
            </w:r>
          </w:p>
        </w:tc>
        <w:tc>
          <w:tcPr>
            <w:tcW w:w="1417" w:type="dxa"/>
            <w:tcBorders>
              <w:top w:val="single" w:sz="8" w:space="0" w:color="auto"/>
              <w:bottom w:val="single" w:sz="8" w:space="0" w:color="auto"/>
            </w:tcBorders>
          </w:tcPr>
          <w:p w14:paraId="618640D1" w14:textId="77777777" w:rsidR="00CE47FB" w:rsidRPr="00CF31E0" w:rsidRDefault="00CE47FB" w:rsidP="00603CB7">
            <w:pPr>
              <w:spacing w:before="120" w:after="120"/>
              <w:rPr>
                <w:rFonts w:eastAsia="Calibri"/>
                <w:color w:val="000000" w:themeColor="text1"/>
                <w:sz w:val="22"/>
                <w:szCs w:val="22"/>
                <w:lang w:eastAsia="en-US"/>
              </w:rPr>
            </w:pPr>
            <w:r w:rsidRPr="00CF31E0">
              <w:rPr>
                <w:rFonts w:eastAsia="Calibri"/>
                <w:color w:val="000000" w:themeColor="text1"/>
                <w:sz w:val="22"/>
                <w:szCs w:val="22"/>
                <w:lang w:eastAsia="en-US"/>
              </w:rPr>
              <w:t>Sig.</w:t>
            </w:r>
          </w:p>
        </w:tc>
      </w:tr>
      <w:tr w:rsidR="00CE47FB" w:rsidRPr="00CF31E0" w14:paraId="3CB0D078" w14:textId="77777777" w:rsidTr="00603CB7">
        <w:tc>
          <w:tcPr>
            <w:tcW w:w="2093" w:type="dxa"/>
            <w:tcBorders>
              <w:top w:val="single" w:sz="8" w:space="0" w:color="auto"/>
              <w:bottom w:val="single" w:sz="4" w:space="0" w:color="auto"/>
            </w:tcBorders>
            <w:shd w:val="clear" w:color="auto" w:fill="auto"/>
          </w:tcPr>
          <w:p w14:paraId="7A34395E" w14:textId="251645E6" w:rsidR="00CE47FB" w:rsidRPr="00CF31E0" w:rsidRDefault="00CE47FB" w:rsidP="00603CB7">
            <w:pPr>
              <w:spacing w:before="120" w:after="120"/>
              <w:rPr>
                <w:rFonts w:eastAsia="Calibri"/>
                <w:color w:val="000000" w:themeColor="text1"/>
                <w:sz w:val="22"/>
                <w:szCs w:val="22"/>
                <w:lang w:val="en-US" w:eastAsia="en-US"/>
              </w:rPr>
            </w:pPr>
            <w:r w:rsidRPr="00CF31E0">
              <w:rPr>
                <w:rFonts w:eastAsia="Calibri"/>
                <w:color w:val="000000" w:themeColor="text1"/>
                <w:sz w:val="22"/>
                <w:szCs w:val="22"/>
                <w:lang w:val="en-US" w:eastAsia="en-US"/>
              </w:rPr>
              <w:t>Modern</w:t>
            </w:r>
          </w:p>
        </w:tc>
        <w:tc>
          <w:tcPr>
            <w:tcW w:w="1276" w:type="dxa"/>
            <w:tcBorders>
              <w:top w:val="single" w:sz="8" w:space="0" w:color="auto"/>
              <w:bottom w:val="single" w:sz="4" w:space="0" w:color="auto"/>
            </w:tcBorders>
            <w:shd w:val="clear" w:color="auto" w:fill="auto"/>
          </w:tcPr>
          <w:p w14:paraId="4089D6BD" w14:textId="3776F432" w:rsidR="00CE47FB" w:rsidRPr="00CF31E0" w:rsidRDefault="00CE47FB" w:rsidP="00603CB7">
            <w:pPr>
              <w:spacing w:before="120" w:after="120"/>
              <w:rPr>
                <w:rFonts w:eastAsia="Calibri"/>
                <w:color w:val="000000" w:themeColor="text1"/>
                <w:sz w:val="22"/>
                <w:szCs w:val="22"/>
                <w:lang w:eastAsia="en-US"/>
              </w:rPr>
            </w:pPr>
            <w:r w:rsidRPr="00CF31E0">
              <w:rPr>
                <w:rFonts w:eastAsia="Calibri"/>
                <w:color w:val="000000" w:themeColor="text1"/>
                <w:sz w:val="22"/>
                <w:szCs w:val="22"/>
                <w:lang w:eastAsia="en-US"/>
              </w:rPr>
              <w:t>.713</w:t>
            </w:r>
          </w:p>
        </w:tc>
        <w:tc>
          <w:tcPr>
            <w:tcW w:w="1701" w:type="dxa"/>
            <w:tcBorders>
              <w:top w:val="single" w:sz="8" w:space="0" w:color="auto"/>
              <w:bottom w:val="single" w:sz="4" w:space="0" w:color="auto"/>
            </w:tcBorders>
            <w:shd w:val="clear" w:color="auto" w:fill="auto"/>
          </w:tcPr>
          <w:p w14:paraId="02FFF9CA" w14:textId="63D7AE9E" w:rsidR="00CE47FB" w:rsidRPr="00CF31E0" w:rsidRDefault="00CE47FB" w:rsidP="00603CB7">
            <w:pPr>
              <w:spacing w:before="120" w:after="120"/>
              <w:rPr>
                <w:rFonts w:eastAsia="Calibri"/>
                <w:color w:val="000000" w:themeColor="text1"/>
                <w:sz w:val="22"/>
                <w:szCs w:val="22"/>
                <w:lang w:val="en-US" w:eastAsia="en-US"/>
              </w:rPr>
            </w:pPr>
            <w:r w:rsidRPr="00CF31E0">
              <w:rPr>
                <w:rFonts w:eastAsia="Calibri"/>
                <w:color w:val="000000" w:themeColor="text1"/>
                <w:sz w:val="22"/>
                <w:szCs w:val="22"/>
                <w:lang w:val="en-US" w:eastAsia="en-US"/>
              </w:rPr>
              <w:t>218.355</w:t>
            </w:r>
          </w:p>
        </w:tc>
        <w:tc>
          <w:tcPr>
            <w:tcW w:w="992" w:type="dxa"/>
            <w:tcBorders>
              <w:top w:val="single" w:sz="8" w:space="0" w:color="auto"/>
              <w:bottom w:val="single" w:sz="4" w:space="0" w:color="auto"/>
            </w:tcBorders>
            <w:shd w:val="clear" w:color="auto" w:fill="auto"/>
          </w:tcPr>
          <w:p w14:paraId="311E67CA" w14:textId="77777777" w:rsidR="00CE47FB" w:rsidRPr="00CF31E0" w:rsidRDefault="00CE47FB" w:rsidP="00603CB7">
            <w:pPr>
              <w:spacing w:before="120" w:after="120"/>
              <w:rPr>
                <w:rFonts w:eastAsia="Calibri"/>
                <w:color w:val="000000" w:themeColor="text1"/>
                <w:sz w:val="22"/>
                <w:szCs w:val="22"/>
                <w:lang w:eastAsia="en-US"/>
              </w:rPr>
            </w:pPr>
            <w:r w:rsidRPr="00CF31E0">
              <w:rPr>
                <w:rFonts w:eastAsia="Calibri"/>
                <w:color w:val="000000" w:themeColor="text1"/>
                <w:sz w:val="22"/>
                <w:szCs w:val="22"/>
                <w:lang w:eastAsia="en-US"/>
              </w:rPr>
              <w:t>9</w:t>
            </w:r>
          </w:p>
        </w:tc>
        <w:tc>
          <w:tcPr>
            <w:tcW w:w="1417" w:type="dxa"/>
            <w:tcBorders>
              <w:top w:val="single" w:sz="8" w:space="0" w:color="auto"/>
              <w:bottom w:val="single" w:sz="4" w:space="0" w:color="auto"/>
            </w:tcBorders>
          </w:tcPr>
          <w:p w14:paraId="76808D12" w14:textId="77777777" w:rsidR="00CE47FB" w:rsidRPr="00CF31E0" w:rsidRDefault="00CE47FB" w:rsidP="00603CB7">
            <w:pPr>
              <w:spacing w:before="120" w:after="120"/>
              <w:rPr>
                <w:rFonts w:eastAsia="Calibri"/>
                <w:color w:val="000000" w:themeColor="text1"/>
                <w:sz w:val="22"/>
                <w:szCs w:val="22"/>
                <w:lang w:eastAsia="en-US"/>
              </w:rPr>
            </w:pPr>
            <w:r w:rsidRPr="00CF31E0">
              <w:rPr>
                <w:rFonts w:eastAsia="Calibri"/>
                <w:color w:val="000000" w:themeColor="text1"/>
                <w:sz w:val="22"/>
                <w:szCs w:val="22"/>
                <w:lang w:eastAsia="en-US"/>
              </w:rPr>
              <w:t>.000</w:t>
            </w:r>
          </w:p>
        </w:tc>
      </w:tr>
    </w:tbl>
    <w:p w14:paraId="1B3AC5BB" w14:textId="547DE76E" w:rsidR="00AA60BE" w:rsidRPr="00CF31E0" w:rsidRDefault="000B4835" w:rsidP="00DC699C">
      <w:pPr>
        <w:pStyle w:val="Tablecaption"/>
        <w:rPr>
          <w:lang w:eastAsia="en-US"/>
        </w:rPr>
      </w:pPr>
      <w:bookmarkStart w:id="871" w:name="_Toc522527488"/>
      <w:bookmarkStart w:id="872" w:name="_Toc522628901"/>
      <w:bookmarkStart w:id="873" w:name="_Toc522629065"/>
      <w:bookmarkStart w:id="874" w:name="_Toc6473163"/>
      <w:r w:rsidRPr="00CF31E0">
        <w:rPr>
          <w:lang w:eastAsia="en-US"/>
        </w:rPr>
        <w:t>Table</w:t>
      </w:r>
      <w:r w:rsidR="00C76142" w:rsidRPr="00CF31E0">
        <w:rPr>
          <w:lang w:eastAsia="en-US"/>
        </w:rPr>
        <w:t xml:space="preserve"> </w:t>
      </w:r>
      <w:r w:rsidR="00F61455" w:rsidRPr="00CF31E0">
        <w:rPr>
          <w:lang w:eastAsia="en-US"/>
        </w:rPr>
        <w:t>11</w:t>
      </w:r>
      <w:r w:rsidR="00C76142" w:rsidRPr="00CF31E0">
        <w:rPr>
          <w:lang w:eastAsia="en-US"/>
        </w:rPr>
        <w:t>.</w:t>
      </w:r>
      <w:r w:rsidR="00F61455" w:rsidRPr="00CF31E0">
        <w:rPr>
          <w:lang w:eastAsia="en-US"/>
        </w:rPr>
        <w:t>25</w:t>
      </w:r>
      <w:r w:rsidR="00C76142" w:rsidRPr="00CF31E0">
        <w:rPr>
          <w:lang w:eastAsia="en-US"/>
        </w:rPr>
        <w:t xml:space="preserve">: </w:t>
      </w:r>
      <w:r w:rsidRPr="00CF31E0">
        <w:rPr>
          <w:lang w:eastAsia="en-US"/>
        </w:rPr>
        <w:t xml:space="preserve">Test of sphericity results for the </w:t>
      </w:r>
      <w:r w:rsidRPr="00CF31E0">
        <w:rPr>
          <w:i/>
          <w:iCs/>
          <w:lang w:eastAsia="en-US"/>
        </w:rPr>
        <w:t>traditional</w:t>
      </w:r>
      <w:r w:rsidRPr="00CF31E0">
        <w:rPr>
          <w:lang w:eastAsia="en-US"/>
        </w:rPr>
        <w:t xml:space="preserve"> characteristic across the samples</w:t>
      </w:r>
      <w:bookmarkEnd w:id="871"/>
      <w:bookmarkEnd w:id="872"/>
      <w:bookmarkEnd w:id="873"/>
      <w:r w:rsidR="00DC699C" w:rsidRPr="00CF31E0">
        <w:rPr>
          <w:lang w:eastAsia="en-US"/>
        </w:rPr>
        <w:t>.</w:t>
      </w:r>
      <w:bookmarkEnd w:id="874"/>
    </w:p>
    <w:tbl>
      <w:tblPr>
        <w:tblW w:w="7354"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299"/>
        <w:gridCol w:w="1437"/>
        <w:gridCol w:w="1594"/>
        <w:gridCol w:w="793"/>
        <w:gridCol w:w="1594"/>
        <w:gridCol w:w="637"/>
      </w:tblGrid>
      <w:tr w:rsidR="00ED36FE" w:rsidRPr="00CF31E0" w14:paraId="1BC614A4" w14:textId="77777777" w:rsidTr="00ED36FE">
        <w:trPr>
          <w:cantSplit/>
          <w:trHeight w:val="908"/>
        </w:trPr>
        <w:tc>
          <w:tcPr>
            <w:tcW w:w="2736" w:type="dxa"/>
            <w:gridSpan w:val="2"/>
            <w:tcBorders>
              <w:top w:val="single" w:sz="4" w:space="0" w:color="auto"/>
              <w:bottom w:val="single" w:sz="4" w:space="0" w:color="auto"/>
            </w:tcBorders>
            <w:shd w:val="clear" w:color="auto" w:fill="FFFFFF"/>
            <w:vAlign w:val="bottom"/>
          </w:tcPr>
          <w:p w14:paraId="5E53187A" w14:textId="77777777"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p>
          <w:p w14:paraId="34DEE134" w14:textId="77777777"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Source</w:t>
            </w:r>
          </w:p>
        </w:tc>
        <w:tc>
          <w:tcPr>
            <w:tcW w:w="1594" w:type="dxa"/>
            <w:tcBorders>
              <w:top w:val="single" w:sz="4" w:space="0" w:color="auto"/>
              <w:bottom w:val="single" w:sz="4" w:space="0" w:color="auto"/>
            </w:tcBorders>
            <w:shd w:val="clear" w:color="auto" w:fill="FFFFFF"/>
            <w:vAlign w:val="bottom"/>
          </w:tcPr>
          <w:p w14:paraId="65725C68" w14:textId="77777777"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Type III Sum of Squares</w:t>
            </w:r>
          </w:p>
        </w:tc>
        <w:tc>
          <w:tcPr>
            <w:tcW w:w="793" w:type="dxa"/>
            <w:tcBorders>
              <w:top w:val="single" w:sz="4" w:space="0" w:color="auto"/>
              <w:bottom w:val="single" w:sz="4" w:space="0" w:color="auto"/>
            </w:tcBorders>
            <w:shd w:val="clear" w:color="auto" w:fill="FFFFFF"/>
            <w:vAlign w:val="bottom"/>
          </w:tcPr>
          <w:p w14:paraId="6F4FFDC9" w14:textId="77777777"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df</w:t>
            </w:r>
          </w:p>
        </w:tc>
        <w:tc>
          <w:tcPr>
            <w:tcW w:w="1594" w:type="dxa"/>
            <w:tcBorders>
              <w:top w:val="single" w:sz="4" w:space="0" w:color="auto"/>
              <w:bottom w:val="single" w:sz="4" w:space="0" w:color="auto"/>
            </w:tcBorders>
            <w:shd w:val="clear" w:color="auto" w:fill="FFFFFF"/>
            <w:vAlign w:val="bottom"/>
          </w:tcPr>
          <w:p w14:paraId="6AC7F975" w14:textId="77777777"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Mean Square</w:t>
            </w:r>
          </w:p>
        </w:tc>
        <w:tc>
          <w:tcPr>
            <w:tcW w:w="637" w:type="dxa"/>
            <w:tcBorders>
              <w:top w:val="single" w:sz="4" w:space="0" w:color="auto"/>
              <w:bottom w:val="single" w:sz="4" w:space="0" w:color="auto"/>
            </w:tcBorders>
            <w:shd w:val="clear" w:color="auto" w:fill="FFFFFF"/>
            <w:vAlign w:val="bottom"/>
          </w:tcPr>
          <w:p w14:paraId="3E4C9A3E" w14:textId="77777777"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Sig.</w:t>
            </w:r>
          </w:p>
        </w:tc>
      </w:tr>
      <w:tr w:rsidR="00ED36FE" w:rsidRPr="00CF31E0" w14:paraId="681A7EEE" w14:textId="77777777" w:rsidTr="00ED36FE">
        <w:trPr>
          <w:cantSplit/>
          <w:trHeight w:val="773"/>
        </w:trPr>
        <w:tc>
          <w:tcPr>
            <w:tcW w:w="1299" w:type="dxa"/>
            <w:vMerge w:val="restart"/>
            <w:tcBorders>
              <w:top w:val="single" w:sz="4" w:space="0" w:color="auto"/>
              <w:bottom w:val="nil"/>
            </w:tcBorders>
            <w:shd w:val="clear" w:color="auto" w:fill="FFFFFF"/>
          </w:tcPr>
          <w:p w14:paraId="1912A26F" w14:textId="77777777"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Traditional</w:t>
            </w:r>
          </w:p>
        </w:tc>
        <w:tc>
          <w:tcPr>
            <w:tcW w:w="1436" w:type="dxa"/>
            <w:tcBorders>
              <w:top w:val="single" w:sz="4" w:space="0" w:color="auto"/>
              <w:bottom w:val="nil"/>
            </w:tcBorders>
            <w:shd w:val="clear" w:color="auto" w:fill="FFFFFF"/>
          </w:tcPr>
          <w:p w14:paraId="7AEE4168" w14:textId="77777777"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Sphericity Assumed</w:t>
            </w:r>
          </w:p>
        </w:tc>
        <w:tc>
          <w:tcPr>
            <w:tcW w:w="1594" w:type="dxa"/>
            <w:tcBorders>
              <w:top w:val="single" w:sz="4" w:space="0" w:color="auto"/>
              <w:bottom w:val="nil"/>
            </w:tcBorders>
            <w:shd w:val="clear" w:color="auto" w:fill="FFFFFF"/>
            <w:vAlign w:val="center"/>
          </w:tcPr>
          <w:p w14:paraId="21501EC1" w14:textId="0747F88B"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782.498</w:t>
            </w:r>
          </w:p>
        </w:tc>
        <w:tc>
          <w:tcPr>
            <w:tcW w:w="793" w:type="dxa"/>
            <w:tcBorders>
              <w:top w:val="single" w:sz="4" w:space="0" w:color="auto"/>
              <w:bottom w:val="nil"/>
            </w:tcBorders>
            <w:shd w:val="clear" w:color="auto" w:fill="FFFFFF"/>
            <w:vAlign w:val="center"/>
          </w:tcPr>
          <w:p w14:paraId="19B8A237" w14:textId="77777777"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4</w:t>
            </w:r>
          </w:p>
        </w:tc>
        <w:tc>
          <w:tcPr>
            <w:tcW w:w="1594" w:type="dxa"/>
            <w:tcBorders>
              <w:top w:val="single" w:sz="4" w:space="0" w:color="auto"/>
              <w:bottom w:val="nil"/>
            </w:tcBorders>
            <w:shd w:val="clear" w:color="auto" w:fill="FFFFFF"/>
            <w:vAlign w:val="center"/>
          </w:tcPr>
          <w:p w14:paraId="5B33D220" w14:textId="497B3DEC"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195.624</w:t>
            </w:r>
          </w:p>
        </w:tc>
        <w:tc>
          <w:tcPr>
            <w:tcW w:w="637" w:type="dxa"/>
            <w:tcBorders>
              <w:top w:val="single" w:sz="4" w:space="0" w:color="auto"/>
              <w:bottom w:val="nil"/>
            </w:tcBorders>
            <w:shd w:val="clear" w:color="auto" w:fill="FFFFFF"/>
            <w:vAlign w:val="center"/>
          </w:tcPr>
          <w:p w14:paraId="1A7A7D02" w14:textId="77777777"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.000</w:t>
            </w:r>
          </w:p>
        </w:tc>
      </w:tr>
      <w:tr w:rsidR="00ED36FE" w:rsidRPr="00CF31E0" w14:paraId="27BB1F80" w14:textId="77777777" w:rsidTr="00ED36FE">
        <w:trPr>
          <w:cantSplit/>
          <w:trHeight w:val="150"/>
        </w:trPr>
        <w:tc>
          <w:tcPr>
            <w:tcW w:w="1299" w:type="dxa"/>
            <w:vMerge/>
            <w:tcBorders>
              <w:top w:val="nil"/>
            </w:tcBorders>
            <w:shd w:val="clear" w:color="auto" w:fill="FFFFFF"/>
          </w:tcPr>
          <w:p w14:paraId="5B845C0E" w14:textId="77777777" w:rsidR="00ED36FE" w:rsidRPr="00CF31E0" w:rsidRDefault="00ED36FE" w:rsidP="00603CB7">
            <w:pPr>
              <w:widowControl w:val="0"/>
              <w:autoSpaceDE w:val="0"/>
              <w:autoSpaceDN w:val="0"/>
              <w:adjustRightInd w:val="0"/>
              <w:spacing w:before="120" w:after="120"/>
              <w:jc w:val="both"/>
              <w:rPr>
                <w:rFonts w:eastAsia="Calibri"/>
                <w:color w:val="000000" w:themeColor="text1"/>
                <w:sz w:val="22"/>
                <w:szCs w:val="22"/>
                <w:lang w:eastAsia="en-US"/>
              </w:rPr>
            </w:pPr>
          </w:p>
        </w:tc>
        <w:tc>
          <w:tcPr>
            <w:tcW w:w="1436" w:type="dxa"/>
            <w:tcBorders>
              <w:top w:val="nil"/>
            </w:tcBorders>
            <w:shd w:val="clear" w:color="auto" w:fill="FFFFFF"/>
          </w:tcPr>
          <w:p w14:paraId="7FCC7EFE" w14:textId="77777777"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Greenhouse-Geisser</w:t>
            </w:r>
          </w:p>
        </w:tc>
        <w:tc>
          <w:tcPr>
            <w:tcW w:w="1594" w:type="dxa"/>
            <w:tcBorders>
              <w:top w:val="nil"/>
            </w:tcBorders>
            <w:shd w:val="clear" w:color="auto" w:fill="FFFFFF"/>
            <w:vAlign w:val="center"/>
          </w:tcPr>
          <w:p w14:paraId="6330C46B" w14:textId="1A38E332"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782.498</w:t>
            </w:r>
          </w:p>
        </w:tc>
        <w:tc>
          <w:tcPr>
            <w:tcW w:w="793" w:type="dxa"/>
            <w:tcBorders>
              <w:top w:val="nil"/>
            </w:tcBorders>
            <w:shd w:val="clear" w:color="auto" w:fill="FFFFFF"/>
            <w:vAlign w:val="center"/>
          </w:tcPr>
          <w:p w14:paraId="60EC1728" w14:textId="175CFC1E"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3.323</w:t>
            </w:r>
          </w:p>
        </w:tc>
        <w:tc>
          <w:tcPr>
            <w:tcW w:w="1594" w:type="dxa"/>
            <w:tcBorders>
              <w:top w:val="nil"/>
            </w:tcBorders>
            <w:shd w:val="clear" w:color="auto" w:fill="FFFFFF"/>
            <w:vAlign w:val="center"/>
          </w:tcPr>
          <w:p w14:paraId="5C415503" w14:textId="6EFD3C16"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235.497</w:t>
            </w:r>
          </w:p>
        </w:tc>
        <w:tc>
          <w:tcPr>
            <w:tcW w:w="637" w:type="dxa"/>
            <w:tcBorders>
              <w:top w:val="nil"/>
            </w:tcBorders>
            <w:shd w:val="clear" w:color="auto" w:fill="FFFFFF"/>
            <w:vAlign w:val="center"/>
          </w:tcPr>
          <w:p w14:paraId="0053BE60" w14:textId="77777777" w:rsidR="00ED36FE" w:rsidRPr="00CF31E0" w:rsidRDefault="00ED36FE" w:rsidP="00603CB7">
            <w:pPr>
              <w:widowControl w:val="0"/>
              <w:autoSpaceDE w:val="0"/>
              <w:autoSpaceDN w:val="0"/>
              <w:adjustRightInd w:val="0"/>
              <w:spacing w:before="120" w:after="120"/>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.000</w:t>
            </w:r>
          </w:p>
        </w:tc>
      </w:tr>
    </w:tbl>
    <w:p w14:paraId="52C50685" w14:textId="6BDCF38C" w:rsidR="000B4835" w:rsidRPr="00CF31E0" w:rsidRDefault="000B4835" w:rsidP="00F61455">
      <w:pPr>
        <w:pStyle w:val="Tablecaption"/>
        <w:rPr>
          <w:lang w:eastAsia="en-US"/>
        </w:rPr>
      </w:pPr>
      <w:bookmarkStart w:id="875" w:name="_Toc522527489"/>
      <w:bookmarkStart w:id="876" w:name="_Toc522628902"/>
      <w:bookmarkStart w:id="877" w:name="_Toc522629066"/>
      <w:bookmarkStart w:id="878" w:name="_Toc6473164"/>
      <w:r w:rsidRPr="00CF31E0">
        <w:rPr>
          <w:lang w:eastAsia="en-US"/>
        </w:rPr>
        <w:lastRenderedPageBreak/>
        <w:t>Table</w:t>
      </w:r>
      <w:r w:rsidR="00C76142" w:rsidRPr="00CF31E0">
        <w:rPr>
          <w:lang w:eastAsia="en-US"/>
        </w:rPr>
        <w:t xml:space="preserve"> </w:t>
      </w:r>
      <w:r w:rsidR="00F61455" w:rsidRPr="00CF31E0">
        <w:rPr>
          <w:lang w:eastAsia="en-US"/>
        </w:rPr>
        <w:t>11</w:t>
      </w:r>
      <w:r w:rsidR="00C76142" w:rsidRPr="00CF31E0">
        <w:rPr>
          <w:lang w:eastAsia="en-US"/>
        </w:rPr>
        <w:t>.</w:t>
      </w:r>
      <w:r w:rsidR="00F61455" w:rsidRPr="00CF31E0">
        <w:rPr>
          <w:lang w:eastAsia="en-US"/>
        </w:rPr>
        <w:t>26</w:t>
      </w:r>
      <w:r w:rsidR="00C76142" w:rsidRPr="00CF31E0">
        <w:rPr>
          <w:lang w:eastAsia="en-US"/>
        </w:rPr>
        <w:t xml:space="preserve">: </w:t>
      </w:r>
      <w:r w:rsidRPr="00CF31E0">
        <w:rPr>
          <w:lang w:eastAsia="en-US"/>
        </w:rPr>
        <w:t xml:space="preserve">Within-subject test results for the </w:t>
      </w:r>
      <w:r w:rsidRPr="00CF31E0">
        <w:rPr>
          <w:i/>
          <w:iCs/>
          <w:lang w:eastAsia="en-US"/>
        </w:rPr>
        <w:t xml:space="preserve">modern </w:t>
      </w:r>
      <w:r w:rsidRPr="00CF31E0">
        <w:rPr>
          <w:lang w:eastAsia="en-US"/>
        </w:rPr>
        <w:t>characteristic across the samples</w:t>
      </w:r>
      <w:r w:rsidR="00C76142" w:rsidRPr="00CF31E0">
        <w:rPr>
          <w:lang w:eastAsia="en-US"/>
        </w:rPr>
        <w:t>.</w:t>
      </w:r>
      <w:bookmarkEnd w:id="875"/>
      <w:bookmarkEnd w:id="876"/>
      <w:bookmarkEnd w:id="877"/>
      <w:bookmarkEnd w:id="878"/>
    </w:p>
    <w:p w14:paraId="278DC689" w14:textId="5FB13093" w:rsidR="000B4835" w:rsidRPr="00CF31E0" w:rsidRDefault="000B4835" w:rsidP="00603CB7">
      <w:pPr>
        <w:pStyle w:val="Paragraph"/>
        <w:spacing w:after="0"/>
        <w:rPr>
          <w:lang w:eastAsia="en-US"/>
        </w:rPr>
      </w:pPr>
      <w:r w:rsidRPr="00CF31E0">
        <w:rPr>
          <w:lang w:eastAsia="en-US"/>
        </w:rPr>
        <w:t>Table</w:t>
      </w:r>
      <w:r w:rsidR="00C76142" w:rsidRPr="00CF31E0">
        <w:rPr>
          <w:lang w:eastAsia="en-US"/>
        </w:rPr>
        <w:t xml:space="preserve"> </w:t>
      </w:r>
      <w:r w:rsidR="00F61455" w:rsidRPr="00CF31E0">
        <w:rPr>
          <w:lang w:eastAsia="en-US"/>
        </w:rPr>
        <w:t>11</w:t>
      </w:r>
      <w:r w:rsidR="00C76142" w:rsidRPr="00CF31E0">
        <w:rPr>
          <w:lang w:eastAsia="en-US"/>
        </w:rPr>
        <w:t>.</w:t>
      </w:r>
      <w:r w:rsidR="00F61455" w:rsidRPr="00CF31E0">
        <w:rPr>
          <w:lang w:eastAsia="en-US"/>
        </w:rPr>
        <w:t xml:space="preserve">25 </w:t>
      </w:r>
      <w:r w:rsidRPr="00CF31E0">
        <w:rPr>
          <w:lang w:eastAsia="en-US"/>
        </w:rPr>
        <w:t>illustrates that the sphericity assumption is violated and Table</w:t>
      </w:r>
      <w:r w:rsidR="00C76142" w:rsidRPr="00CF31E0">
        <w:rPr>
          <w:lang w:eastAsia="en-US"/>
        </w:rPr>
        <w:t xml:space="preserve"> </w:t>
      </w:r>
      <w:r w:rsidR="00F61455" w:rsidRPr="00CF31E0">
        <w:rPr>
          <w:lang w:eastAsia="en-US"/>
        </w:rPr>
        <w:t>11</w:t>
      </w:r>
      <w:r w:rsidR="00C76142" w:rsidRPr="00CF31E0">
        <w:rPr>
          <w:lang w:eastAsia="en-US"/>
        </w:rPr>
        <w:t>.</w:t>
      </w:r>
      <w:r w:rsidR="00F61455" w:rsidRPr="00CF31E0">
        <w:rPr>
          <w:lang w:eastAsia="en-US"/>
        </w:rPr>
        <w:t xml:space="preserve">26 </w:t>
      </w:r>
      <w:r w:rsidRPr="00CF31E0">
        <w:rPr>
          <w:lang w:eastAsia="en-US"/>
        </w:rPr>
        <w:t xml:space="preserve">illustrates that a significant difference is found among the modern rating scales across all samples, as the p value is &lt;.001. See Table </w:t>
      </w:r>
      <w:r w:rsidR="00C76142" w:rsidRPr="00CF31E0">
        <w:rPr>
          <w:lang w:eastAsia="en-US"/>
        </w:rPr>
        <w:t xml:space="preserve">10.26 </w:t>
      </w:r>
      <w:r w:rsidRPr="00CF31E0">
        <w:rPr>
          <w:lang w:eastAsia="en-US"/>
        </w:rPr>
        <w:t xml:space="preserve">for an illustration of where the difference is found among the scales. </w:t>
      </w:r>
    </w:p>
    <w:tbl>
      <w:tblPr>
        <w:tblW w:w="7396"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1"/>
        <w:gridCol w:w="997"/>
        <w:gridCol w:w="1276"/>
        <w:gridCol w:w="850"/>
        <w:gridCol w:w="709"/>
        <w:gridCol w:w="1288"/>
        <w:gridCol w:w="1275"/>
      </w:tblGrid>
      <w:tr w:rsidR="007F558A" w:rsidRPr="00CF31E0" w14:paraId="31133253" w14:textId="77777777" w:rsidTr="00603CB7">
        <w:trPr>
          <w:cantSplit/>
        </w:trPr>
        <w:tc>
          <w:tcPr>
            <w:tcW w:w="1001" w:type="dxa"/>
            <w:vMerge w:val="restart"/>
            <w:shd w:val="clear" w:color="auto" w:fill="FFFFFF"/>
            <w:vAlign w:val="bottom"/>
          </w:tcPr>
          <w:p w14:paraId="256921FE" w14:textId="2BA16F24"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(I) Modern</w:t>
            </w:r>
          </w:p>
        </w:tc>
        <w:tc>
          <w:tcPr>
            <w:tcW w:w="997" w:type="dxa"/>
            <w:vMerge w:val="restart"/>
            <w:shd w:val="clear" w:color="auto" w:fill="FFFFFF"/>
            <w:vAlign w:val="bottom"/>
          </w:tcPr>
          <w:p w14:paraId="4D49C2B2"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(J) Modern</w:t>
            </w:r>
          </w:p>
        </w:tc>
        <w:tc>
          <w:tcPr>
            <w:tcW w:w="1276" w:type="dxa"/>
            <w:vMerge w:val="restart"/>
            <w:shd w:val="clear" w:color="auto" w:fill="FFFFFF"/>
            <w:vAlign w:val="bottom"/>
          </w:tcPr>
          <w:p w14:paraId="21BF1410"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Mean Difference (I-J)</w:t>
            </w:r>
          </w:p>
        </w:tc>
        <w:tc>
          <w:tcPr>
            <w:tcW w:w="850" w:type="dxa"/>
            <w:vMerge w:val="restart"/>
            <w:shd w:val="clear" w:color="auto" w:fill="FFFFFF"/>
            <w:vAlign w:val="bottom"/>
          </w:tcPr>
          <w:p w14:paraId="3A7164C8"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Std. Error</w:t>
            </w:r>
          </w:p>
        </w:tc>
        <w:tc>
          <w:tcPr>
            <w:tcW w:w="709" w:type="dxa"/>
            <w:vMerge w:val="restart"/>
            <w:shd w:val="clear" w:color="auto" w:fill="FFFFFF"/>
            <w:vAlign w:val="bottom"/>
          </w:tcPr>
          <w:p w14:paraId="2B3424A0"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Sig.</w:t>
            </w:r>
            <w:r w:rsidRPr="00CF31E0">
              <w:rPr>
                <w:rFonts w:eastAsia="Calibri"/>
                <w:color w:val="000000" w:themeColor="text1"/>
                <w:sz w:val="22"/>
                <w:szCs w:val="22"/>
                <w:vertAlign w:val="superscript"/>
                <w:lang w:eastAsia="en-US"/>
              </w:rPr>
              <w:t>b</w:t>
            </w:r>
          </w:p>
        </w:tc>
        <w:tc>
          <w:tcPr>
            <w:tcW w:w="2563" w:type="dxa"/>
            <w:gridSpan w:val="2"/>
            <w:shd w:val="clear" w:color="auto" w:fill="FFFFFF"/>
            <w:vAlign w:val="bottom"/>
          </w:tcPr>
          <w:p w14:paraId="0A6DCB0C"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95% Confidence Interval for Difference</w:t>
            </w:r>
            <w:r w:rsidRPr="00CF31E0">
              <w:rPr>
                <w:rFonts w:eastAsia="Calibri"/>
                <w:color w:val="000000" w:themeColor="text1"/>
                <w:sz w:val="22"/>
                <w:szCs w:val="22"/>
                <w:vertAlign w:val="superscript"/>
                <w:lang w:eastAsia="en-US"/>
              </w:rPr>
              <w:t>b</w:t>
            </w:r>
          </w:p>
        </w:tc>
      </w:tr>
      <w:tr w:rsidR="007F558A" w:rsidRPr="00CF31E0" w14:paraId="2C7EF1E4" w14:textId="77777777" w:rsidTr="00603CB7">
        <w:trPr>
          <w:cantSplit/>
        </w:trPr>
        <w:tc>
          <w:tcPr>
            <w:tcW w:w="1001" w:type="dxa"/>
            <w:vMerge/>
            <w:shd w:val="clear" w:color="auto" w:fill="FFFFFF"/>
            <w:vAlign w:val="bottom"/>
          </w:tcPr>
          <w:p w14:paraId="487E5F03"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997" w:type="dxa"/>
            <w:vMerge/>
            <w:shd w:val="clear" w:color="auto" w:fill="FFFFFF"/>
            <w:vAlign w:val="bottom"/>
          </w:tcPr>
          <w:p w14:paraId="330FCD28"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1276" w:type="dxa"/>
            <w:vMerge/>
            <w:shd w:val="clear" w:color="auto" w:fill="FFFFFF"/>
            <w:vAlign w:val="bottom"/>
          </w:tcPr>
          <w:p w14:paraId="003E53EC"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850" w:type="dxa"/>
            <w:vMerge/>
            <w:shd w:val="clear" w:color="auto" w:fill="FFFFFF"/>
            <w:vAlign w:val="bottom"/>
          </w:tcPr>
          <w:p w14:paraId="722636C9"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709" w:type="dxa"/>
            <w:vMerge/>
            <w:shd w:val="clear" w:color="auto" w:fill="FFFFFF"/>
            <w:vAlign w:val="bottom"/>
          </w:tcPr>
          <w:p w14:paraId="3F10A3C0"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1288" w:type="dxa"/>
            <w:shd w:val="clear" w:color="auto" w:fill="FFFFFF"/>
            <w:vAlign w:val="bottom"/>
          </w:tcPr>
          <w:p w14:paraId="7C66BFA8"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Lower Bound</w:t>
            </w:r>
          </w:p>
        </w:tc>
        <w:tc>
          <w:tcPr>
            <w:tcW w:w="1275" w:type="dxa"/>
            <w:shd w:val="clear" w:color="auto" w:fill="FFFFFF"/>
            <w:vAlign w:val="bottom"/>
          </w:tcPr>
          <w:p w14:paraId="0CD3981B"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Upper Bound</w:t>
            </w:r>
          </w:p>
        </w:tc>
      </w:tr>
      <w:tr w:rsidR="007F558A" w:rsidRPr="00CF31E0" w14:paraId="7FCA3FE3" w14:textId="77777777" w:rsidTr="00603CB7">
        <w:trPr>
          <w:cantSplit/>
        </w:trPr>
        <w:tc>
          <w:tcPr>
            <w:tcW w:w="1001" w:type="dxa"/>
            <w:vMerge w:val="restart"/>
            <w:shd w:val="clear" w:color="auto" w:fill="FFFFFF"/>
          </w:tcPr>
          <w:p w14:paraId="1D128681"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w:t>
            </w:r>
          </w:p>
        </w:tc>
        <w:tc>
          <w:tcPr>
            <w:tcW w:w="997" w:type="dxa"/>
            <w:shd w:val="clear" w:color="auto" w:fill="FFFFFF"/>
          </w:tcPr>
          <w:p w14:paraId="6ABED20F"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2</w:t>
            </w:r>
          </w:p>
        </w:tc>
        <w:tc>
          <w:tcPr>
            <w:tcW w:w="1276" w:type="dxa"/>
            <w:shd w:val="clear" w:color="auto" w:fill="FFFFFF"/>
            <w:vAlign w:val="center"/>
          </w:tcPr>
          <w:p w14:paraId="358D896D"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.886</w:t>
            </w:r>
            <w:r w:rsidRPr="00CF31E0">
              <w:rPr>
                <w:rFonts w:eastAsia="Calibri"/>
                <w:color w:val="000000" w:themeColor="text1"/>
                <w:sz w:val="22"/>
                <w:szCs w:val="22"/>
                <w:vertAlign w:val="superscript"/>
                <w:lang w:eastAsia="en-US"/>
              </w:rPr>
              <w:t>*</w:t>
            </w:r>
          </w:p>
        </w:tc>
        <w:tc>
          <w:tcPr>
            <w:tcW w:w="850" w:type="dxa"/>
            <w:shd w:val="clear" w:color="auto" w:fill="FFFFFF"/>
            <w:vAlign w:val="center"/>
          </w:tcPr>
          <w:p w14:paraId="11DDFDBB"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.062</w:t>
            </w:r>
          </w:p>
        </w:tc>
        <w:tc>
          <w:tcPr>
            <w:tcW w:w="709" w:type="dxa"/>
            <w:shd w:val="clear" w:color="auto" w:fill="FFFFFF"/>
            <w:vAlign w:val="center"/>
          </w:tcPr>
          <w:p w14:paraId="0C5BAE54"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1288" w:type="dxa"/>
            <w:shd w:val="clear" w:color="auto" w:fill="FFFFFF"/>
            <w:vAlign w:val="center"/>
          </w:tcPr>
          <w:p w14:paraId="343B7341"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.711</w:t>
            </w:r>
          </w:p>
        </w:tc>
        <w:tc>
          <w:tcPr>
            <w:tcW w:w="1275" w:type="dxa"/>
            <w:shd w:val="clear" w:color="auto" w:fill="FFFFFF"/>
            <w:vAlign w:val="center"/>
          </w:tcPr>
          <w:p w14:paraId="67C15AEE"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1.061</w:t>
            </w:r>
          </w:p>
        </w:tc>
      </w:tr>
      <w:tr w:rsidR="007F558A" w:rsidRPr="00CF31E0" w14:paraId="4C3FC8F9" w14:textId="77777777" w:rsidTr="00603CB7">
        <w:trPr>
          <w:cantSplit/>
        </w:trPr>
        <w:tc>
          <w:tcPr>
            <w:tcW w:w="1001" w:type="dxa"/>
            <w:vMerge/>
            <w:shd w:val="clear" w:color="auto" w:fill="FFFFFF"/>
          </w:tcPr>
          <w:p w14:paraId="0D01E918"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997" w:type="dxa"/>
            <w:shd w:val="clear" w:color="auto" w:fill="FFFFFF"/>
          </w:tcPr>
          <w:p w14:paraId="1D57FA57"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3</w:t>
            </w:r>
          </w:p>
        </w:tc>
        <w:tc>
          <w:tcPr>
            <w:tcW w:w="1276" w:type="dxa"/>
            <w:shd w:val="clear" w:color="auto" w:fill="FFFFFF"/>
            <w:vAlign w:val="center"/>
          </w:tcPr>
          <w:p w14:paraId="532B8D0F"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-.228</w:t>
            </w:r>
            <w:r w:rsidRPr="00CF31E0">
              <w:rPr>
                <w:rFonts w:eastAsia="Calibri"/>
                <w:color w:val="000000" w:themeColor="text1"/>
                <w:sz w:val="22"/>
                <w:szCs w:val="22"/>
                <w:vertAlign w:val="superscript"/>
                <w:lang w:eastAsia="en-US"/>
              </w:rPr>
              <w:t>*</w:t>
            </w:r>
          </w:p>
        </w:tc>
        <w:tc>
          <w:tcPr>
            <w:tcW w:w="850" w:type="dxa"/>
            <w:shd w:val="clear" w:color="auto" w:fill="FFFFFF"/>
            <w:vAlign w:val="center"/>
          </w:tcPr>
          <w:p w14:paraId="48CF4DCB"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.049</w:t>
            </w:r>
          </w:p>
        </w:tc>
        <w:tc>
          <w:tcPr>
            <w:tcW w:w="709" w:type="dxa"/>
            <w:shd w:val="clear" w:color="auto" w:fill="FFFFFF"/>
            <w:vAlign w:val="center"/>
          </w:tcPr>
          <w:p w14:paraId="53E83A50"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1288" w:type="dxa"/>
            <w:shd w:val="clear" w:color="auto" w:fill="FFFFFF"/>
            <w:vAlign w:val="center"/>
          </w:tcPr>
          <w:p w14:paraId="0F11F98A"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-.367</w:t>
            </w:r>
          </w:p>
        </w:tc>
        <w:tc>
          <w:tcPr>
            <w:tcW w:w="1275" w:type="dxa"/>
            <w:shd w:val="clear" w:color="auto" w:fill="FFFFFF"/>
            <w:vAlign w:val="center"/>
          </w:tcPr>
          <w:p w14:paraId="3F9EDAE1"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-.089</w:t>
            </w:r>
          </w:p>
        </w:tc>
      </w:tr>
      <w:tr w:rsidR="007F558A" w:rsidRPr="00CF31E0" w14:paraId="7730BE3D" w14:textId="77777777" w:rsidTr="00603CB7">
        <w:trPr>
          <w:cantSplit/>
        </w:trPr>
        <w:tc>
          <w:tcPr>
            <w:tcW w:w="1001" w:type="dxa"/>
            <w:vMerge/>
            <w:shd w:val="clear" w:color="auto" w:fill="FFFFFF"/>
          </w:tcPr>
          <w:p w14:paraId="460DCD20"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997" w:type="dxa"/>
            <w:shd w:val="clear" w:color="auto" w:fill="FFFFFF"/>
          </w:tcPr>
          <w:p w14:paraId="1A832835"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4</w:t>
            </w:r>
          </w:p>
        </w:tc>
        <w:tc>
          <w:tcPr>
            <w:tcW w:w="1276" w:type="dxa"/>
            <w:shd w:val="clear" w:color="auto" w:fill="FFFFFF"/>
            <w:vAlign w:val="center"/>
          </w:tcPr>
          <w:p w14:paraId="34AA3C17"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1.045</w:t>
            </w:r>
            <w:r w:rsidRPr="00CF31E0">
              <w:rPr>
                <w:rFonts w:eastAsia="Calibri"/>
                <w:color w:val="000000" w:themeColor="text1"/>
                <w:sz w:val="22"/>
                <w:szCs w:val="22"/>
                <w:vertAlign w:val="superscript"/>
                <w:lang w:eastAsia="en-US"/>
              </w:rPr>
              <w:t>*</w:t>
            </w:r>
          </w:p>
        </w:tc>
        <w:tc>
          <w:tcPr>
            <w:tcW w:w="850" w:type="dxa"/>
            <w:shd w:val="clear" w:color="auto" w:fill="FFFFFF"/>
            <w:vAlign w:val="center"/>
          </w:tcPr>
          <w:p w14:paraId="01D01919"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.064</w:t>
            </w:r>
          </w:p>
        </w:tc>
        <w:tc>
          <w:tcPr>
            <w:tcW w:w="709" w:type="dxa"/>
            <w:shd w:val="clear" w:color="auto" w:fill="FFFFFF"/>
            <w:vAlign w:val="center"/>
          </w:tcPr>
          <w:p w14:paraId="275F8649"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1288" w:type="dxa"/>
            <w:shd w:val="clear" w:color="auto" w:fill="FFFFFF"/>
            <w:vAlign w:val="center"/>
          </w:tcPr>
          <w:p w14:paraId="16AF6CD3"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.865</w:t>
            </w:r>
          </w:p>
        </w:tc>
        <w:tc>
          <w:tcPr>
            <w:tcW w:w="1275" w:type="dxa"/>
            <w:shd w:val="clear" w:color="auto" w:fill="FFFFFF"/>
            <w:vAlign w:val="center"/>
          </w:tcPr>
          <w:p w14:paraId="62EE9E03"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1.224</w:t>
            </w:r>
          </w:p>
        </w:tc>
      </w:tr>
      <w:tr w:rsidR="007F558A" w:rsidRPr="00CF31E0" w14:paraId="5EB4E007" w14:textId="77777777" w:rsidTr="00603CB7">
        <w:trPr>
          <w:cantSplit/>
        </w:trPr>
        <w:tc>
          <w:tcPr>
            <w:tcW w:w="1001" w:type="dxa"/>
            <w:vMerge/>
            <w:shd w:val="clear" w:color="auto" w:fill="FFFFFF"/>
          </w:tcPr>
          <w:p w14:paraId="23FF329B"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997" w:type="dxa"/>
            <w:shd w:val="clear" w:color="auto" w:fill="FFFFFF"/>
          </w:tcPr>
          <w:p w14:paraId="1045354F"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5</w:t>
            </w:r>
          </w:p>
        </w:tc>
        <w:tc>
          <w:tcPr>
            <w:tcW w:w="1276" w:type="dxa"/>
            <w:shd w:val="clear" w:color="auto" w:fill="FFFFFF"/>
            <w:vAlign w:val="center"/>
          </w:tcPr>
          <w:p w14:paraId="4A1AD8BD"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.374</w:t>
            </w:r>
            <w:r w:rsidRPr="00CF31E0">
              <w:rPr>
                <w:rFonts w:eastAsia="Calibri"/>
                <w:color w:val="000000" w:themeColor="text1"/>
                <w:sz w:val="22"/>
                <w:szCs w:val="22"/>
                <w:vertAlign w:val="superscript"/>
                <w:lang w:eastAsia="en-US"/>
              </w:rPr>
              <w:t>*</w:t>
            </w:r>
          </w:p>
        </w:tc>
        <w:tc>
          <w:tcPr>
            <w:tcW w:w="850" w:type="dxa"/>
            <w:shd w:val="clear" w:color="auto" w:fill="FFFFFF"/>
            <w:vAlign w:val="center"/>
          </w:tcPr>
          <w:p w14:paraId="02F9979E"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.059</w:t>
            </w:r>
          </w:p>
        </w:tc>
        <w:tc>
          <w:tcPr>
            <w:tcW w:w="709" w:type="dxa"/>
            <w:shd w:val="clear" w:color="auto" w:fill="FFFFFF"/>
            <w:vAlign w:val="center"/>
          </w:tcPr>
          <w:p w14:paraId="3C3A2A6B"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1288" w:type="dxa"/>
            <w:shd w:val="clear" w:color="auto" w:fill="FFFFFF"/>
            <w:vAlign w:val="center"/>
          </w:tcPr>
          <w:p w14:paraId="1E7A102F"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.209</w:t>
            </w:r>
          </w:p>
        </w:tc>
        <w:tc>
          <w:tcPr>
            <w:tcW w:w="1275" w:type="dxa"/>
            <w:shd w:val="clear" w:color="auto" w:fill="FFFFFF"/>
            <w:vAlign w:val="center"/>
          </w:tcPr>
          <w:p w14:paraId="4BCBA63A"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.540</w:t>
            </w:r>
          </w:p>
        </w:tc>
      </w:tr>
      <w:tr w:rsidR="007F558A" w:rsidRPr="00CF31E0" w14:paraId="3F460DC1" w14:textId="77777777" w:rsidTr="00603CB7">
        <w:trPr>
          <w:cantSplit/>
        </w:trPr>
        <w:tc>
          <w:tcPr>
            <w:tcW w:w="1001" w:type="dxa"/>
            <w:vMerge w:val="restart"/>
            <w:shd w:val="clear" w:color="auto" w:fill="FFFFFF"/>
          </w:tcPr>
          <w:p w14:paraId="5C034807"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2</w:t>
            </w:r>
          </w:p>
        </w:tc>
        <w:tc>
          <w:tcPr>
            <w:tcW w:w="997" w:type="dxa"/>
            <w:shd w:val="clear" w:color="auto" w:fill="FFFFFF"/>
          </w:tcPr>
          <w:p w14:paraId="04EF2C6F"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w:t>
            </w:r>
          </w:p>
        </w:tc>
        <w:tc>
          <w:tcPr>
            <w:tcW w:w="1276" w:type="dxa"/>
            <w:shd w:val="clear" w:color="auto" w:fill="FFFFFF"/>
            <w:vAlign w:val="center"/>
          </w:tcPr>
          <w:p w14:paraId="66884369"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-.886</w:t>
            </w:r>
            <w:r w:rsidRPr="00CF31E0">
              <w:rPr>
                <w:rFonts w:eastAsia="Calibri"/>
                <w:color w:val="000000" w:themeColor="text1"/>
                <w:sz w:val="22"/>
                <w:szCs w:val="22"/>
                <w:vertAlign w:val="superscript"/>
                <w:lang w:eastAsia="en-US"/>
              </w:rPr>
              <w:t>*</w:t>
            </w:r>
          </w:p>
        </w:tc>
        <w:tc>
          <w:tcPr>
            <w:tcW w:w="850" w:type="dxa"/>
            <w:shd w:val="clear" w:color="auto" w:fill="FFFFFF"/>
            <w:vAlign w:val="center"/>
          </w:tcPr>
          <w:p w14:paraId="148F0FFA"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.062</w:t>
            </w:r>
          </w:p>
        </w:tc>
        <w:tc>
          <w:tcPr>
            <w:tcW w:w="709" w:type="dxa"/>
            <w:shd w:val="clear" w:color="auto" w:fill="FFFFFF"/>
            <w:vAlign w:val="center"/>
          </w:tcPr>
          <w:p w14:paraId="4F64B4D3"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1288" w:type="dxa"/>
            <w:shd w:val="clear" w:color="auto" w:fill="FFFFFF"/>
            <w:vAlign w:val="center"/>
          </w:tcPr>
          <w:p w14:paraId="6579D5AC"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-1.061</w:t>
            </w:r>
          </w:p>
        </w:tc>
        <w:tc>
          <w:tcPr>
            <w:tcW w:w="1275" w:type="dxa"/>
            <w:shd w:val="clear" w:color="auto" w:fill="FFFFFF"/>
            <w:vAlign w:val="center"/>
          </w:tcPr>
          <w:p w14:paraId="0E070B38"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-.711</w:t>
            </w:r>
          </w:p>
        </w:tc>
      </w:tr>
      <w:tr w:rsidR="007F558A" w:rsidRPr="00CF31E0" w14:paraId="3579B0F5" w14:textId="77777777" w:rsidTr="00603CB7">
        <w:trPr>
          <w:cantSplit/>
        </w:trPr>
        <w:tc>
          <w:tcPr>
            <w:tcW w:w="1001" w:type="dxa"/>
            <w:vMerge/>
            <w:shd w:val="clear" w:color="auto" w:fill="FFFFFF"/>
          </w:tcPr>
          <w:p w14:paraId="7D8A779B"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997" w:type="dxa"/>
            <w:shd w:val="clear" w:color="auto" w:fill="FFFFFF"/>
          </w:tcPr>
          <w:p w14:paraId="441B74FD"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3</w:t>
            </w:r>
          </w:p>
        </w:tc>
        <w:tc>
          <w:tcPr>
            <w:tcW w:w="1276" w:type="dxa"/>
            <w:shd w:val="clear" w:color="auto" w:fill="FFFFFF"/>
            <w:vAlign w:val="center"/>
          </w:tcPr>
          <w:p w14:paraId="6C63D52A"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-1.114</w:t>
            </w:r>
            <w:r w:rsidRPr="00CF31E0">
              <w:rPr>
                <w:rFonts w:eastAsia="Calibri"/>
                <w:color w:val="000000" w:themeColor="text1"/>
                <w:sz w:val="22"/>
                <w:szCs w:val="22"/>
                <w:vertAlign w:val="superscript"/>
                <w:lang w:eastAsia="en-US"/>
              </w:rPr>
              <w:t>*</w:t>
            </w:r>
          </w:p>
        </w:tc>
        <w:tc>
          <w:tcPr>
            <w:tcW w:w="850" w:type="dxa"/>
            <w:shd w:val="clear" w:color="auto" w:fill="FFFFFF"/>
            <w:vAlign w:val="center"/>
          </w:tcPr>
          <w:p w14:paraId="4CF5A27F"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.064</w:t>
            </w:r>
          </w:p>
        </w:tc>
        <w:tc>
          <w:tcPr>
            <w:tcW w:w="709" w:type="dxa"/>
            <w:shd w:val="clear" w:color="auto" w:fill="FFFFFF"/>
            <w:vAlign w:val="center"/>
          </w:tcPr>
          <w:p w14:paraId="0667ADBE"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1288" w:type="dxa"/>
            <w:shd w:val="clear" w:color="auto" w:fill="FFFFFF"/>
            <w:vAlign w:val="center"/>
          </w:tcPr>
          <w:p w14:paraId="52811010"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-1.295</w:t>
            </w:r>
          </w:p>
        </w:tc>
        <w:tc>
          <w:tcPr>
            <w:tcW w:w="1275" w:type="dxa"/>
            <w:shd w:val="clear" w:color="auto" w:fill="FFFFFF"/>
            <w:vAlign w:val="center"/>
          </w:tcPr>
          <w:p w14:paraId="3C521EF0"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-.933</w:t>
            </w:r>
          </w:p>
        </w:tc>
      </w:tr>
      <w:tr w:rsidR="007F558A" w:rsidRPr="00CF31E0" w14:paraId="0DAFE993" w14:textId="77777777" w:rsidTr="00603CB7">
        <w:trPr>
          <w:cantSplit/>
        </w:trPr>
        <w:tc>
          <w:tcPr>
            <w:tcW w:w="1001" w:type="dxa"/>
            <w:vMerge/>
            <w:shd w:val="clear" w:color="auto" w:fill="FFFFFF"/>
          </w:tcPr>
          <w:p w14:paraId="188683B1"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997" w:type="dxa"/>
            <w:shd w:val="clear" w:color="auto" w:fill="FFFFFF"/>
          </w:tcPr>
          <w:p w14:paraId="7B76EB39"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4</w:t>
            </w:r>
          </w:p>
        </w:tc>
        <w:tc>
          <w:tcPr>
            <w:tcW w:w="1276" w:type="dxa"/>
            <w:shd w:val="clear" w:color="auto" w:fill="FFFFFF"/>
            <w:vAlign w:val="center"/>
          </w:tcPr>
          <w:p w14:paraId="1C2AE651"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.159</w:t>
            </w:r>
            <w:r w:rsidRPr="00CF31E0">
              <w:rPr>
                <w:rFonts w:eastAsia="Calibri"/>
                <w:color w:val="000000" w:themeColor="text1"/>
                <w:sz w:val="22"/>
                <w:szCs w:val="22"/>
                <w:vertAlign w:val="superscript"/>
                <w:lang w:eastAsia="en-US"/>
              </w:rPr>
              <w:t>*</w:t>
            </w:r>
          </w:p>
        </w:tc>
        <w:tc>
          <w:tcPr>
            <w:tcW w:w="850" w:type="dxa"/>
            <w:shd w:val="clear" w:color="auto" w:fill="FFFFFF"/>
            <w:vAlign w:val="center"/>
          </w:tcPr>
          <w:p w14:paraId="34D2679A"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.047</w:t>
            </w:r>
          </w:p>
        </w:tc>
        <w:tc>
          <w:tcPr>
            <w:tcW w:w="709" w:type="dxa"/>
            <w:shd w:val="clear" w:color="auto" w:fill="FFFFFF"/>
            <w:vAlign w:val="center"/>
          </w:tcPr>
          <w:p w14:paraId="06DD3EF0"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.008</w:t>
            </w:r>
          </w:p>
        </w:tc>
        <w:tc>
          <w:tcPr>
            <w:tcW w:w="1288" w:type="dxa"/>
            <w:shd w:val="clear" w:color="auto" w:fill="FFFFFF"/>
            <w:vAlign w:val="center"/>
          </w:tcPr>
          <w:p w14:paraId="70C4354E"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.025</w:t>
            </w:r>
          </w:p>
        </w:tc>
        <w:tc>
          <w:tcPr>
            <w:tcW w:w="1275" w:type="dxa"/>
            <w:shd w:val="clear" w:color="auto" w:fill="FFFFFF"/>
            <w:vAlign w:val="center"/>
          </w:tcPr>
          <w:p w14:paraId="323DF36A"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.292</w:t>
            </w:r>
          </w:p>
        </w:tc>
      </w:tr>
      <w:tr w:rsidR="007F558A" w:rsidRPr="00CF31E0" w14:paraId="40AC2CF2" w14:textId="77777777" w:rsidTr="00603CB7">
        <w:trPr>
          <w:cantSplit/>
        </w:trPr>
        <w:tc>
          <w:tcPr>
            <w:tcW w:w="1001" w:type="dxa"/>
            <w:vMerge/>
            <w:shd w:val="clear" w:color="auto" w:fill="FFFFFF"/>
          </w:tcPr>
          <w:p w14:paraId="30A06B7E"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997" w:type="dxa"/>
            <w:shd w:val="clear" w:color="auto" w:fill="FFFFFF"/>
          </w:tcPr>
          <w:p w14:paraId="1548985E"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5</w:t>
            </w:r>
          </w:p>
        </w:tc>
        <w:tc>
          <w:tcPr>
            <w:tcW w:w="1276" w:type="dxa"/>
            <w:shd w:val="clear" w:color="auto" w:fill="FFFFFF"/>
            <w:vAlign w:val="center"/>
          </w:tcPr>
          <w:p w14:paraId="1D0A0E97"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-.512</w:t>
            </w:r>
            <w:r w:rsidRPr="00CF31E0">
              <w:rPr>
                <w:rFonts w:eastAsia="Calibri"/>
                <w:color w:val="000000" w:themeColor="text1"/>
                <w:sz w:val="22"/>
                <w:szCs w:val="22"/>
                <w:vertAlign w:val="superscript"/>
                <w:lang w:eastAsia="en-US"/>
              </w:rPr>
              <w:t>*</w:t>
            </w:r>
          </w:p>
        </w:tc>
        <w:tc>
          <w:tcPr>
            <w:tcW w:w="850" w:type="dxa"/>
            <w:shd w:val="clear" w:color="auto" w:fill="FFFFFF"/>
            <w:vAlign w:val="center"/>
          </w:tcPr>
          <w:p w14:paraId="25DE726D"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.053</w:t>
            </w:r>
          </w:p>
        </w:tc>
        <w:tc>
          <w:tcPr>
            <w:tcW w:w="709" w:type="dxa"/>
            <w:shd w:val="clear" w:color="auto" w:fill="FFFFFF"/>
            <w:vAlign w:val="center"/>
          </w:tcPr>
          <w:p w14:paraId="61D88295"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1288" w:type="dxa"/>
            <w:shd w:val="clear" w:color="auto" w:fill="FFFFFF"/>
            <w:vAlign w:val="center"/>
          </w:tcPr>
          <w:p w14:paraId="4A1676CE"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-.661</w:t>
            </w:r>
          </w:p>
        </w:tc>
        <w:tc>
          <w:tcPr>
            <w:tcW w:w="1275" w:type="dxa"/>
            <w:shd w:val="clear" w:color="auto" w:fill="FFFFFF"/>
            <w:vAlign w:val="center"/>
          </w:tcPr>
          <w:p w14:paraId="5AD88D28"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-.362</w:t>
            </w:r>
          </w:p>
        </w:tc>
      </w:tr>
      <w:tr w:rsidR="007F558A" w:rsidRPr="00CF31E0" w14:paraId="597B2EC5" w14:textId="77777777" w:rsidTr="00603CB7">
        <w:trPr>
          <w:cantSplit/>
        </w:trPr>
        <w:tc>
          <w:tcPr>
            <w:tcW w:w="1001" w:type="dxa"/>
            <w:vMerge w:val="restart"/>
            <w:shd w:val="clear" w:color="auto" w:fill="FFFFFF"/>
          </w:tcPr>
          <w:p w14:paraId="28450B98"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3</w:t>
            </w:r>
          </w:p>
        </w:tc>
        <w:tc>
          <w:tcPr>
            <w:tcW w:w="997" w:type="dxa"/>
            <w:shd w:val="clear" w:color="auto" w:fill="FFFFFF"/>
          </w:tcPr>
          <w:p w14:paraId="7BDA8B39"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w:t>
            </w:r>
          </w:p>
        </w:tc>
        <w:tc>
          <w:tcPr>
            <w:tcW w:w="1276" w:type="dxa"/>
            <w:shd w:val="clear" w:color="auto" w:fill="FFFFFF"/>
            <w:vAlign w:val="center"/>
          </w:tcPr>
          <w:p w14:paraId="0A1C1514"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.228</w:t>
            </w:r>
            <w:r w:rsidRPr="00CF31E0">
              <w:rPr>
                <w:rFonts w:eastAsia="Calibri"/>
                <w:color w:val="000000" w:themeColor="text1"/>
                <w:sz w:val="22"/>
                <w:szCs w:val="22"/>
                <w:vertAlign w:val="superscript"/>
                <w:lang w:eastAsia="en-US"/>
              </w:rPr>
              <w:t>*</w:t>
            </w:r>
          </w:p>
        </w:tc>
        <w:tc>
          <w:tcPr>
            <w:tcW w:w="850" w:type="dxa"/>
            <w:shd w:val="clear" w:color="auto" w:fill="FFFFFF"/>
            <w:vAlign w:val="center"/>
          </w:tcPr>
          <w:p w14:paraId="72614E0B"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.049</w:t>
            </w:r>
          </w:p>
        </w:tc>
        <w:tc>
          <w:tcPr>
            <w:tcW w:w="709" w:type="dxa"/>
            <w:shd w:val="clear" w:color="auto" w:fill="FFFFFF"/>
            <w:vAlign w:val="center"/>
          </w:tcPr>
          <w:p w14:paraId="19FBFB87"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1288" w:type="dxa"/>
            <w:shd w:val="clear" w:color="auto" w:fill="FFFFFF"/>
            <w:vAlign w:val="center"/>
          </w:tcPr>
          <w:p w14:paraId="72ED235C"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.089</w:t>
            </w:r>
          </w:p>
        </w:tc>
        <w:tc>
          <w:tcPr>
            <w:tcW w:w="1275" w:type="dxa"/>
            <w:shd w:val="clear" w:color="auto" w:fill="FFFFFF"/>
            <w:vAlign w:val="center"/>
          </w:tcPr>
          <w:p w14:paraId="0E727EE7"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.367</w:t>
            </w:r>
          </w:p>
        </w:tc>
      </w:tr>
      <w:tr w:rsidR="007F558A" w:rsidRPr="00CF31E0" w14:paraId="1E86C3DE" w14:textId="77777777" w:rsidTr="00603CB7">
        <w:trPr>
          <w:cantSplit/>
        </w:trPr>
        <w:tc>
          <w:tcPr>
            <w:tcW w:w="1001" w:type="dxa"/>
            <w:vMerge/>
            <w:shd w:val="clear" w:color="auto" w:fill="FFFFFF"/>
          </w:tcPr>
          <w:p w14:paraId="65BE2703"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997" w:type="dxa"/>
            <w:shd w:val="clear" w:color="auto" w:fill="FFFFFF"/>
          </w:tcPr>
          <w:p w14:paraId="4AEB8A10"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2</w:t>
            </w:r>
          </w:p>
        </w:tc>
        <w:tc>
          <w:tcPr>
            <w:tcW w:w="1276" w:type="dxa"/>
            <w:shd w:val="clear" w:color="auto" w:fill="FFFFFF"/>
            <w:vAlign w:val="center"/>
          </w:tcPr>
          <w:p w14:paraId="491C57D6"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1.114</w:t>
            </w:r>
            <w:r w:rsidRPr="00CF31E0">
              <w:rPr>
                <w:rFonts w:eastAsia="Calibri"/>
                <w:color w:val="000000" w:themeColor="text1"/>
                <w:sz w:val="22"/>
                <w:szCs w:val="22"/>
                <w:vertAlign w:val="superscript"/>
                <w:lang w:eastAsia="en-US"/>
              </w:rPr>
              <w:t>*</w:t>
            </w:r>
          </w:p>
        </w:tc>
        <w:tc>
          <w:tcPr>
            <w:tcW w:w="850" w:type="dxa"/>
            <w:shd w:val="clear" w:color="auto" w:fill="FFFFFF"/>
            <w:vAlign w:val="center"/>
          </w:tcPr>
          <w:p w14:paraId="5F628648"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.064</w:t>
            </w:r>
          </w:p>
        </w:tc>
        <w:tc>
          <w:tcPr>
            <w:tcW w:w="709" w:type="dxa"/>
            <w:shd w:val="clear" w:color="auto" w:fill="FFFFFF"/>
            <w:vAlign w:val="center"/>
          </w:tcPr>
          <w:p w14:paraId="61C65451"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1288" w:type="dxa"/>
            <w:shd w:val="clear" w:color="auto" w:fill="FFFFFF"/>
            <w:vAlign w:val="center"/>
          </w:tcPr>
          <w:p w14:paraId="109D914D"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.933</w:t>
            </w:r>
          </w:p>
        </w:tc>
        <w:tc>
          <w:tcPr>
            <w:tcW w:w="1275" w:type="dxa"/>
            <w:shd w:val="clear" w:color="auto" w:fill="FFFFFF"/>
            <w:vAlign w:val="center"/>
          </w:tcPr>
          <w:p w14:paraId="07DC03B4"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1.295</w:t>
            </w:r>
          </w:p>
        </w:tc>
      </w:tr>
      <w:tr w:rsidR="007F558A" w:rsidRPr="00CF31E0" w14:paraId="503D430A" w14:textId="77777777" w:rsidTr="00603CB7">
        <w:trPr>
          <w:cantSplit/>
        </w:trPr>
        <w:tc>
          <w:tcPr>
            <w:tcW w:w="1001" w:type="dxa"/>
            <w:vMerge/>
            <w:shd w:val="clear" w:color="auto" w:fill="FFFFFF"/>
          </w:tcPr>
          <w:p w14:paraId="3314ED52"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997" w:type="dxa"/>
            <w:shd w:val="clear" w:color="auto" w:fill="FFFFFF"/>
          </w:tcPr>
          <w:p w14:paraId="44E13C2E"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4</w:t>
            </w:r>
          </w:p>
        </w:tc>
        <w:tc>
          <w:tcPr>
            <w:tcW w:w="1276" w:type="dxa"/>
            <w:shd w:val="clear" w:color="auto" w:fill="FFFFFF"/>
            <w:vAlign w:val="center"/>
          </w:tcPr>
          <w:p w14:paraId="0FCE7EF0"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1.273</w:t>
            </w:r>
            <w:r w:rsidRPr="00CF31E0">
              <w:rPr>
                <w:rFonts w:eastAsia="Calibri"/>
                <w:color w:val="000000" w:themeColor="text1"/>
                <w:sz w:val="22"/>
                <w:szCs w:val="22"/>
                <w:vertAlign w:val="superscript"/>
                <w:lang w:eastAsia="en-US"/>
              </w:rPr>
              <w:t>*</w:t>
            </w:r>
          </w:p>
        </w:tc>
        <w:tc>
          <w:tcPr>
            <w:tcW w:w="850" w:type="dxa"/>
            <w:shd w:val="clear" w:color="auto" w:fill="FFFFFF"/>
            <w:vAlign w:val="center"/>
          </w:tcPr>
          <w:p w14:paraId="7FE888F0"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.066</w:t>
            </w:r>
          </w:p>
        </w:tc>
        <w:tc>
          <w:tcPr>
            <w:tcW w:w="709" w:type="dxa"/>
            <w:shd w:val="clear" w:color="auto" w:fill="FFFFFF"/>
            <w:vAlign w:val="center"/>
          </w:tcPr>
          <w:p w14:paraId="16DA5188"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1288" w:type="dxa"/>
            <w:shd w:val="clear" w:color="auto" w:fill="FFFFFF"/>
            <w:vAlign w:val="center"/>
          </w:tcPr>
          <w:p w14:paraId="507688ED"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1.087</w:t>
            </w:r>
          </w:p>
        </w:tc>
        <w:tc>
          <w:tcPr>
            <w:tcW w:w="1275" w:type="dxa"/>
            <w:shd w:val="clear" w:color="auto" w:fill="FFFFFF"/>
            <w:vAlign w:val="center"/>
          </w:tcPr>
          <w:p w14:paraId="6E6FC09D"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1.458</w:t>
            </w:r>
          </w:p>
        </w:tc>
      </w:tr>
      <w:tr w:rsidR="007F558A" w:rsidRPr="00CF31E0" w14:paraId="36A27208" w14:textId="77777777" w:rsidTr="00603CB7">
        <w:trPr>
          <w:cantSplit/>
        </w:trPr>
        <w:tc>
          <w:tcPr>
            <w:tcW w:w="1001" w:type="dxa"/>
            <w:vMerge/>
            <w:shd w:val="clear" w:color="auto" w:fill="FFFFFF"/>
          </w:tcPr>
          <w:p w14:paraId="5941C826"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997" w:type="dxa"/>
            <w:shd w:val="clear" w:color="auto" w:fill="FFFFFF"/>
          </w:tcPr>
          <w:p w14:paraId="4BA83AC3"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5</w:t>
            </w:r>
          </w:p>
        </w:tc>
        <w:tc>
          <w:tcPr>
            <w:tcW w:w="1276" w:type="dxa"/>
            <w:shd w:val="clear" w:color="auto" w:fill="FFFFFF"/>
            <w:vAlign w:val="center"/>
          </w:tcPr>
          <w:p w14:paraId="0FE32655"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.602</w:t>
            </w:r>
            <w:r w:rsidRPr="00CF31E0">
              <w:rPr>
                <w:rFonts w:eastAsia="Calibri"/>
                <w:color w:val="000000" w:themeColor="text1"/>
                <w:sz w:val="22"/>
                <w:szCs w:val="22"/>
                <w:vertAlign w:val="superscript"/>
                <w:lang w:eastAsia="en-US"/>
              </w:rPr>
              <w:t>*</w:t>
            </w:r>
          </w:p>
        </w:tc>
        <w:tc>
          <w:tcPr>
            <w:tcW w:w="850" w:type="dxa"/>
            <w:shd w:val="clear" w:color="auto" w:fill="FFFFFF"/>
            <w:vAlign w:val="center"/>
          </w:tcPr>
          <w:p w14:paraId="1842360A"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.060</w:t>
            </w:r>
          </w:p>
        </w:tc>
        <w:tc>
          <w:tcPr>
            <w:tcW w:w="709" w:type="dxa"/>
            <w:shd w:val="clear" w:color="auto" w:fill="FFFFFF"/>
            <w:vAlign w:val="center"/>
          </w:tcPr>
          <w:p w14:paraId="3F1FE916"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1288" w:type="dxa"/>
            <w:shd w:val="clear" w:color="auto" w:fill="FFFFFF"/>
            <w:vAlign w:val="center"/>
          </w:tcPr>
          <w:p w14:paraId="463DC776"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.434</w:t>
            </w:r>
          </w:p>
        </w:tc>
        <w:tc>
          <w:tcPr>
            <w:tcW w:w="1275" w:type="dxa"/>
            <w:shd w:val="clear" w:color="auto" w:fill="FFFFFF"/>
            <w:vAlign w:val="center"/>
          </w:tcPr>
          <w:p w14:paraId="4B19C4DF"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.771</w:t>
            </w:r>
          </w:p>
        </w:tc>
      </w:tr>
      <w:tr w:rsidR="007F558A" w:rsidRPr="00CF31E0" w14:paraId="20F505ED" w14:textId="77777777" w:rsidTr="00603CB7">
        <w:trPr>
          <w:cantSplit/>
        </w:trPr>
        <w:tc>
          <w:tcPr>
            <w:tcW w:w="1001" w:type="dxa"/>
            <w:vMerge w:val="restart"/>
            <w:shd w:val="clear" w:color="auto" w:fill="FFFFFF"/>
          </w:tcPr>
          <w:p w14:paraId="10FD80A4"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4</w:t>
            </w:r>
          </w:p>
        </w:tc>
        <w:tc>
          <w:tcPr>
            <w:tcW w:w="997" w:type="dxa"/>
            <w:shd w:val="clear" w:color="auto" w:fill="FFFFFF"/>
          </w:tcPr>
          <w:p w14:paraId="683CBDFC"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w:t>
            </w:r>
          </w:p>
        </w:tc>
        <w:tc>
          <w:tcPr>
            <w:tcW w:w="1276" w:type="dxa"/>
            <w:shd w:val="clear" w:color="auto" w:fill="FFFFFF"/>
            <w:vAlign w:val="center"/>
          </w:tcPr>
          <w:p w14:paraId="7D516567"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-1.045</w:t>
            </w:r>
            <w:r w:rsidRPr="00CF31E0">
              <w:rPr>
                <w:rFonts w:eastAsia="Calibri"/>
                <w:color w:val="000000" w:themeColor="text1"/>
                <w:sz w:val="22"/>
                <w:szCs w:val="22"/>
                <w:vertAlign w:val="superscript"/>
                <w:lang w:eastAsia="en-US"/>
              </w:rPr>
              <w:t>*</w:t>
            </w:r>
          </w:p>
        </w:tc>
        <w:tc>
          <w:tcPr>
            <w:tcW w:w="850" w:type="dxa"/>
            <w:shd w:val="clear" w:color="auto" w:fill="FFFFFF"/>
            <w:vAlign w:val="center"/>
          </w:tcPr>
          <w:p w14:paraId="36AC2019"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.064</w:t>
            </w:r>
          </w:p>
        </w:tc>
        <w:tc>
          <w:tcPr>
            <w:tcW w:w="709" w:type="dxa"/>
            <w:shd w:val="clear" w:color="auto" w:fill="FFFFFF"/>
            <w:vAlign w:val="center"/>
          </w:tcPr>
          <w:p w14:paraId="04582658"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1288" w:type="dxa"/>
            <w:shd w:val="clear" w:color="auto" w:fill="FFFFFF"/>
            <w:vAlign w:val="center"/>
          </w:tcPr>
          <w:p w14:paraId="44C3A77B"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-1.224</w:t>
            </w:r>
          </w:p>
        </w:tc>
        <w:tc>
          <w:tcPr>
            <w:tcW w:w="1275" w:type="dxa"/>
            <w:shd w:val="clear" w:color="auto" w:fill="FFFFFF"/>
            <w:vAlign w:val="center"/>
          </w:tcPr>
          <w:p w14:paraId="20FCE54A"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-.865</w:t>
            </w:r>
          </w:p>
        </w:tc>
      </w:tr>
      <w:tr w:rsidR="007F558A" w:rsidRPr="00CF31E0" w14:paraId="3C9F74AB" w14:textId="77777777" w:rsidTr="00603CB7">
        <w:trPr>
          <w:cantSplit/>
        </w:trPr>
        <w:tc>
          <w:tcPr>
            <w:tcW w:w="1001" w:type="dxa"/>
            <w:vMerge/>
            <w:shd w:val="clear" w:color="auto" w:fill="FFFFFF"/>
          </w:tcPr>
          <w:p w14:paraId="72F117DB"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997" w:type="dxa"/>
            <w:shd w:val="clear" w:color="auto" w:fill="FFFFFF"/>
          </w:tcPr>
          <w:p w14:paraId="262D26B2"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2</w:t>
            </w:r>
          </w:p>
        </w:tc>
        <w:tc>
          <w:tcPr>
            <w:tcW w:w="1276" w:type="dxa"/>
            <w:shd w:val="clear" w:color="auto" w:fill="FFFFFF"/>
            <w:vAlign w:val="center"/>
          </w:tcPr>
          <w:p w14:paraId="2D3230FD"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-.159</w:t>
            </w:r>
            <w:r w:rsidRPr="00CF31E0">
              <w:rPr>
                <w:rFonts w:eastAsia="Calibri"/>
                <w:color w:val="000000" w:themeColor="text1"/>
                <w:sz w:val="22"/>
                <w:szCs w:val="22"/>
                <w:vertAlign w:val="superscript"/>
                <w:lang w:eastAsia="en-US"/>
              </w:rPr>
              <w:t>*</w:t>
            </w:r>
          </w:p>
        </w:tc>
        <w:tc>
          <w:tcPr>
            <w:tcW w:w="850" w:type="dxa"/>
            <w:shd w:val="clear" w:color="auto" w:fill="FFFFFF"/>
            <w:vAlign w:val="center"/>
          </w:tcPr>
          <w:p w14:paraId="798E27D5"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.047</w:t>
            </w:r>
          </w:p>
        </w:tc>
        <w:tc>
          <w:tcPr>
            <w:tcW w:w="709" w:type="dxa"/>
            <w:shd w:val="clear" w:color="auto" w:fill="FFFFFF"/>
            <w:vAlign w:val="center"/>
          </w:tcPr>
          <w:p w14:paraId="5D9B12FC"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.008</w:t>
            </w:r>
          </w:p>
        </w:tc>
        <w:tc>
          <w:tcPr>
            <w:tcW w:w="1288" w:type="dxa"/>
            <w:shd w:val="clear" w:color="auto" w:fill="FFFFFF"/>
            <w:vAlign w:val="center"/>
          </w:tcPr>
          <w:p w14:paraId="21342A16"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-.292</w:t>
            </w:r>
          </w:p>
        </w:tc>
        <w:tc>
          <w:tcPr>
            <w:tcW w:w="1275" w:type="dxa"/>
            <w:shd w:val="clear" w:color="auto" w:fill="FFFFFF"/>
            <w:vAlign w:val="center"/>
          </w:tcPr>
          <w:p w14:paraId="693F4DFB"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-.025</w:t>
            </w:r>
          </w:p>
        </w:tc>
      </w:tr>
      <w:tr w:rsidR="007F558A" w:rsidRPr="00CF31E0" w14:paraId="18FDA9C2" w14:textId="77777777" w:rsidTr="00603CB7">
        <w:trPr>
          <w:cantSplit/>
        </w:trPr>
        <w:tc>
          <w:tcPr>
            <w:tcW w:w="1001" w:type="dxa"/>
            <w:vMerge/>
            <w:shd w:val="clear" w:color="auto" w:fill="FFFFFF"/>
          </w:tcPr>
          <w:p w14:paraId="4C4B9FD5"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997" w:type="dxa"/>
            <w:shd w:val="clear" w:color="auto" w:fill="FFFFFF"/>
          </w:tcPr>
          <w:p w14:paraId="0C3F94CF"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3</w:t>
            </w:r>
          </w:p>
        </w:tc>
        <w:tc>
          <w:tcPr>
            <w:tcW w:w="1276" w:type="dxa"/>
            <w:shd w:val="clear" w:color="auto" w:fill="FFFFFF"/>
            <w:vAlign w:val="center"/>
          </w:tcPr>
          <w:p w14:paraId="7E3C8849"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-1.273</w:t>
            </w:r>
            <w:r w:rsidRPr="00CF31E0">
              <w:rPr>
                <w:rFonts w:eastAsia="Calibri"/>
                <w:color w:val="000000" w:themeColor="text1"/>
                <w:sz w:val="22"/>
                <w:szCs w:val="22"/>
                <w:vertAlign w:val="superscript"/>
                <w:lang w:eastAsia="en-US"/>
              </w:rPr>
              <w:t>*</w:t>
            </w:r>
          </w:p>
        </w:tc>
        <w:tc>
          <w:tcPr>
            <w:tcW w:w="850" w:type="dxa"/>
            <w:shd w:val="clear" w:color="auto" w:fill="FFFFFF"/>
            <w:vAlign w:val="center"/>
          </w:tcPr>
          <w:p w14:paraId="73455679"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.066</w:t>
            </w:r>
          </w:p>
        </w:tc>
        <w:tc>
          <w:tcPr>
            <w:tcW w:w="709" w:type="dxa"/>
            <w:shd w:val="clear" w:color="auto" w:fill="FFFFFF"/>
            <w:vAlign w:val="center"/>
          </w:tcPr>
          <w:p w14:paraId="461346D5"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1288" w:type="dxa"/>
            <w:shd w:val="clear" w:color="auto" w:fill="FFFFFF"/>
            <w:vAlign w:val="center"/>
          </w:tcPr>
          <w:p w14:paraId="6C91425A"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-1.458</w:t>
            </w:r>
          </w:p>
        </w:tc>
        <w:tc>
          <w:tcPr>
            <w:tcW w:w="1275" w:type="dxa"/>
            <w:shd w:val="clear" w:color="auto" w:fill="FFFFFF"/>
            <w:vAlign w:val="center"/>
          </w:tcPr>
          <w:p w14:paraId="1BAB62E5"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-1.087</w:t>
            </w:r>
          </w:p>
        </w:tc>
      </w:tr>
      <w:tr w:rsidR="007F558A" w:rsidRPr="00CF31E0" w14:paraId="1793B00C" w14:textId="77777777" w:rsidTr="00603CB7">
        <w:trPr>
          <w:cantSplit/>
        </w:trPr>
        <w:tc>
          <w:tcPr>
            <w:tcW w:w="1001" w:type="dxa"/>
            <w:vMerge/>
            <w:shd w:val="clear" w:color="auto" w:fill="FFFFFF"/>
          </w:tcPr>
          <w:p w14:paraId="566644A7"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997" w:type="dxa"/>
            <w:shd w:val="clear" w:color="auto" w:fill="FFFFFF"/>
          </w:tcPr>
          <w:p w14:paraId="2C6497F5"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5</w:t>
            </w:r>
          </w:p>
        </w:tc>
        <w:tc>
          <w:tcPr>
            <w:tcW w:w="1276" w:type="dxa"/>
            <w:shd w:val="clear" w:color="auto" w:fill="FFFFFF"/>
            <w:vAlign w:val="center"/>
          </w:tcPr>
          <w:p w14:paraId="2A264AF3"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-.670</w:t>
            </w:r>
            <w:r w:rsidRPr="00CF31E0">
              <w:rPr>
                <w:rFonts w:eastAsia="Calibri"/>
                <w:color w:val="000000" w:themeColor="text1"/>
                <w:sz w:val="22"/>
                <w:szCs w:val="22"/>
                <w:vertAlign w:val="superscript"/>
                <w:lang w:eastAsia="en-US"/>
              </w:rPr>
              <w:t>*</w:t>
            </w:r>
          </w:p>
        </w:tc>
        <w:tc>
          <w:tcPr>
            <w:tcW w:w="850" w:type="dxa"/>
            <w:shd w:val="clear" w:color="auto" w:fill="FFFFFF"/>
            <w:vAlign w:val="center"/>
          </w:tcPr>
          <w:p w14:paraId="1A1627EB"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.053</w:t>
            </w:r>
          </w:p>
        </w:tc>
        <w:tc>
          <w:tcPr>
            <w:tcW w:w="709" w:type="dxa"/>
            <w:shd w:val="clear" w:color="auto" w:fill="FFFFFF"/>
            <w:vAlign w:val="center"/>
          </w:tcPr>
          <w:p w14:paraId="5F061B77"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1288" w:type="dxa"/>
            <w:shd w:val="clear" w:color="auto" w:fill="FFFFFF"/>
            <w:vAlign w:val="center"/>
          </w:tcPr>
          <w:p w14:paraId="08588DCF"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-.821</w:t>
            </w:r>
          </w:p>
        </w:tc>
        <w:tc>
          <w:tcPr>
            <w:tcW w:w="1275" w:type="dxa"/>
            <w:shd w:val="clear" w:color="auto" w:fill="FFFFFF"/>
            <w:vAlign w:val="center"/>
          </w:tcPr>
          <w:p w14:paraId="4844EF0D"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-.520</w:t>
            </w:r>
          </w:p>
        </w:tc>
      </w:tr>
      <w:tr w:rsidR="007F558A" w:rsidRPr="00CF31E0" w14:paraId="29691983" w14:textId="77777777" w:rsidTr="00603CB7">
        <w:trPr>
          <w:cantSplit/>
        </w:trPr>
        <w:tc>
          <w:tcPr>
            <w:tcW w:w="1001" w:type="dxa"/>
            <w:vMerge w:val="restart"/>
            <w:shd w:val="clear" w:color="auto" w:fill="FFFFFF"/>
          </w:tcPr>
          <w:p w14:paraId="17D58C89"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5</w:t>
            </w:r>
          </w:p>
        </w:tc>
        <w:tc>
          <w:tcPr>
            <w:tcW w:w="997" w:type="dxa"/>
            <w:shd w:val="clear" w:color="auto" w:fill="FFFFFF"/>
          </w:tcPr>
          <w:p w14:paraId="767D24E1"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1</w:t>
            </w:r>
          </w:p>
        </w:tc>
        <w:tc>
          <w:tcPr>
            <w:tcW w:w="1276" w:type="dxa"/>
            <w:shd w:val="clear" w:color="auto" w:fill="FFFFFF"/>
            <w:vAlign w:val="center"/>
          </w:tcPr>
          <w:p w14:paraId="39FCC606"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-.374</w:t>
            </w:r>
            <w:r w:rsidRPr="00CF31E0">
              <w:rPr>
                <w:rFonts w:eastAsia="Calibri"/>
                <w:color w:val="000000" w:themeColor="text1"/>
                <w:sz w:val="22"/>
                <w:szCs w:val="22"/>
                <w:vertAlign w:val="superscript"/>
                <w:lang w:eastAsia="en-US"/>
              </w:rPr>
              <w:t>*</w:t>
            </w:r>
          </w:p>
        </w:tc>
        <w:tc>
          <w:tcPr>
            <w:tcW w:w="850" w:type="dxa"/>
            <w:shd w:val="clear" w:color="auto" w:fill="FFFFFF"/>
            <w:vAlign w:val="center"/>
          </w:tcPr>
          <w:p w14:paraId="31459871"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.059</w:t>
            </w:r>
          </w:p>
        </w:tc>
        <w:tc>
          <w:tcPr>
            <w:tcW w:w="709" w:type="dxa"/>
            <w:shd w:val="clear" w:color="auto" w:fill="FFFFFF"/>
            <w:vAlign w:val="center"/>
          </w:tcPr>
          <w:p w14:paraId="55F5ECBC"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1288" w:type="dxa"/>
            <w:shd w:val="clear" w:color="auto" w:fill="FFFFFF"/>
            <w:vAlign w:val="center"/>
          </w:tcPr>
          <w:p w14:paraId="5687BF4A"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-.540</w:t>
            </w:r>
          </w:p>
        </w:tc>
        <w:tc>
          <w:tcPr>
            <w:tcW w:w="1275" w:type="dxa"/>
            <w:shd w:val="clear" w:color="auto" w:fill="FFFFFF"/>
            <w:vAlign w:val="center"/>
          </w:tcPr>
          <w:p w14:paraId="30C24F4D"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-.209</w:t>
            </w:r>
          </w:p>
        </w:tc>
      </w:tr>
      <w:tr w:rsidR="007F558A" w:rsidRPr="00CF31E0" w14:paraId="2FC1EDF6" w14:textId="77777777" w:rsidTr="00603CB7">
        <w:trPr>
          <w:cantSplit/>
        </w:trPr>
        <w:tc>
          <w:tcPr>
            <w:tcW w:w="1001" w:type="dxa"/>
            <w:vMerge/>
            <w:shd w:val="clear" w:color="auto" w:fill="FFFFFF"/>
          </w:tcPr>
          <w:p w14:paraId="40047694"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997" w:type="dxa"/>
            <w:shd w:val="clear" w:color="auto" w:fill="FFFFFF"/>
          </w:tcPr>
          <w:p w14:paraId="0645EA41"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2</w:t>
            </w:r>
          </w:p>
        </w:tc>
        <w:tc>
          <w:tcPr>
            <w:tcW w:w="1276" w:type="dxa"/>
            <w:shd w:val="clear" w:color="auto" w:fill="FFFFFF"/>
            <w:vAlign w:val="center"/>
          </w:tcPr>
          <w:p w14:paraId="433874F6"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.512</w:t>
            </w:r>
            <w:r w:rsidRPr="00CF31E0">
              <w:rPr>
                <w:rFonts w:eastAsia="Calibri"/>
                <w:color w:val="000000" w:themeColor="text1"/>
                <w:sz w:val="22"/>
                <w:szCs w:val="22"/>
                <w:vertAlign w:val="superscript"/>
                <w:lang w:eastAsia="en-US"/>
              </w:rPr>
              <w:t>*</w:t>
            </w:r>
          </w:p>
        </w:tc>
        <w:tc>
          <w:tcPr>
            <w:tcW w:w="850" w:type="dxa"/>
            <w:shd w:val="clear" w:color="auto" w:fill="FFFFFF"/>
            <w:vAlign w:val="center"/>
          </w:tcPr>
          <w:p w14:paraId="67EBE7CB"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.053</w:t>
            </w:r>
          </w:p>
        </w:tc>
        <w:tc>
          <w:tcPr>
            <w:tcW w:w="709" w:type="dxa"/>
            <w:shd w:val="clear" w:color="auto" w:fill="FFFFFF"/>
            <w:vAlign w:val="center"/>
          </w:tcPr>
          <w:p w14:paraId="60283C33"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1288" w:type="dxa"/>
            <w:shd w:val="clear" w:color="auto" w:fill="FFFFFF"/>
            <w:vAlign w:val="center"/>
          </w:tcPr>
          <w:p w14:paraId="029A481F"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.362</w:t>
            </w:r>
          </w:p>
        </w:tc>
        <w:tc>
          <w:tcPr>
            <w:tcW w:w="1275" w:type="dxa"/>
            <w:shd w:val="clear" w:color="auto" w:fill="FFFFFF"/>
            <w:vAlign w:val="center"/>
          </w:tcPr>
          <w:p w14:paraId="73CD8DB2"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.661</w:t>
            </w:r>
          </w:p>
        </w:tc>
      </w:tr>
      <w:tr w:rsidR="007F558A" w:rsidRPr="00CF31E0" w14:paraId="281AF6AD" w14:textId="77777777" w:rsidTr="00603CB7">
        <w:trPr>
          <w:cantSplit/>
        </w:trPr>
        <w:tc>
          <w:tcPr>
            <w:tcW w:w="1001" w:type="dxa"/>
            <w:vMerge/>
            <w:shd w:val="clear" w:color="auto" w:fill="FFFFFF"/>
          </w:tcPr>
          <w:p w14:paraId="3DD2D05B"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997" w:type="dxa"/>
            <w:shd w:val="clear" w:color="auto" w:fill="FFFFFF"/>
          </w:tcPr>
          <w:p w14:paraId="5B9012AA"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3</w:t>
            </w:r>
          </w:p>
        </w:tc>
        <w:tc>
          <w:tcPr>
            <w:tcW w:w="1276" w:type="dxa"/>
            <w:shd w:val="clear" w:color="auto" w:fill="FFFFFF"/>
            <w:vAlign w:val="center"/>
          </w:tcPr>
          <w:p w14:paraId="4128FB45"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-.602</w:t>
            </w:r>
            <w:r w:rsidRPr="00CF31E0">
              <w:rPr>
                <w:rFonts w:eastAsia="Calibri"/>
                <w:color w:val="000000" w:themeColor="text1"/>
                <w:sz w:val="22"/>
                <w:szCs w:val="22"/>
                <w:vertAlign w:val="superscript"/>
                <w:lang w:eastAsia="en-US"/>
              </w:rPr>
              <w:t>*</w:t>
            </w:r>
          </w:p>
        </w:tc>
        <w:tc>
          <w:tcPr>
            <w:tcW w:w="850" w:type="dxa"/>
            <w:shd w:val="clear" w:color="auto" w:fill="FFFFFF"/>
            <w:vAlign w:val="center"/>
          </w:tcPr>
          <w:p w14:paraId="5C3C550A"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.060</w:t>
            </w:r>
          </w:p>
        </w:tc>
        <w:tc>
          <w:tcPr>
            <w:tcW w:w="709" w:type="dxa"/>
            <w:shd w:val="clear" w:color="auto" w:fill="FFFFFF"/>
            <w:vAlign w:val="center"/>
          </w:tcPr>
          <w:p w14:paraId="11974BB5"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1288" w:type="dxa"/>
            <w:shd w:val="clear" w:color="auto" w:fill="FFFFFF"/>
            <w:vAlign w:val="center"/>
          </w:tcPr>
          <w:p w14:paraId="744027E2"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-.771</w:t>
            </w:r>
          </w:p>
        </w:tc>
        <w:tc>
          <w:tcPr>
            <w:tcW w:w="1275" w:type="dxa"/>
            <w:shd w:val="clear" w:color="auto" w:fill="FFFFFF"/>
            <w:vAlign w:val="center"/>
          </w:tcPr>
          <w:p w14:paraId="5C46EDBB"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-.434</w:t>
            </w:r>
          </w:p>
        </w:tc>
      </w:tr>
      <w:tr w:rsidR="007F558A" w:rsidRPr="00CF31E0" w14:paraId="3595269C" w14:textId="77777777" w:rsidTr="00603CB7">
        <w:trPr>
          <w:cantSplit/>
        </w:trPr>
        <w:tc>
          <w:tcPr>
            <w:tcW w:w="1001" w:type="dxa"/>
            <w:vMerge/>
            <w:shd w:val="clear" w:color="auto" w:fill="FFFFFF"/>
          </w:tcPr>
          <w:p w14:paraId="2D761939" w14:textId="77777777" w:rsidR="000B4835" w:rsidRPr="00CF31E0" w:rsidRDefault="000B4835" w:rsidP="00603CB7">
            <w:pPr>
              <w:widowControl w:val="0"/>
              <w:autoSpaceDE w:val="0"/>
              <w:autoSpaceDN w:val="0"/>
              <w:adjustRightInd w:val="0"/>
              <w:spacing w:line="252" w:lineRule="auto"/>
              <w:jc w:val="both"/>
              <w:rPr>
                <w:rFonts w:eastAsia="Calibri"/>
                <w:color w:val="000000" w:themeColor="text1"/>
                <w:sz w:val="22"/>
                <w:szCs w:val="22"/>
                <w:lang w:eastAsia="en-US"/>
              </w:rPr>
            </w:pPr>
          </w:p>
        </w:tc>
        <w:tc>
          <w:tcPr>
            <w:tcW w:w="997" w:type="dxa"/>
            <w:shd w:val="clear" w:color="auto" w:fill="FFFFFF"/>
          </w:tcPr>
          <w:p w14:paraId="26B27966" w14:textId="77777777" w:rsidR="000B4835" w:rsidRPr="00CF31E0" w:rsidRDefault="000B4835" w:rsidP="00603CB7">
            <w:pPr>
              <w:widowControl w:val="0"/>
              <w:autoSpaceDE w:val="0"/>
              <w:autoSpaceDN w:val="0"/>
              <w:adjustRightInd w:val="0"/>
              <w:spacing w:line="252" w:lineRule="auto"/>
              <w:ind w:left="60" w:right="60"/>
              <w:jc w:val="both"/>
              <w:rPr>
                <w:rFonts w:eastAsia="Calibri"/>
                <w:color w:val="000000" w:themeColor="text1"/>
                <w:sz w:val="22"/>
                <w:szCs w:val="22"/>
                <w:lang w:eastAsia="en-US"/>
              </w:rPr>
            </w:pPr>
            <w:r w:rsidRPr="00CF31E0">
              <w:rPr>
                <w:rFonts w:eastAsia="Calibri"/>
                <w:color w:val="000000" w:themeColor="text1"/>
                <w:sz w:val="22"/>
                <w:szCs w:val="22"/>
                <w:lang w:eastAsia="en-US"/>
              </w:rPr>
              <w:t>4</w:t>
            </w:r>
          </w:p>
        </w:tc>
        <w:tc>
          <w:tcPr>
            <w:tcW w:w="1276" w:type="dxa"/>
            <w:shd w:val="clear" w:color="auto" w:fill="FFFFFF"/>
            <w:vAlign w:val="center"/>
          </w:tcPr>
          <w:p w14:paraId="27E801CB"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.670</w:t>
            </w:r>
            <w:r w:rsidRPr="00CF31E0">
              <w:rPr>
                <w:rFonts w:eastAsia="Calibri"/>
                <w:color w:val="000000" w:themeColor="text1"/>
                <w:sz w:val="22"/>
                <w:szCs w:val="22"/>
                <w:vertAlign w:val="superscript"/>
                <w:lang w:eastAsia="en-US"/>
              </w:rPr>
              <w:t>*</w:t>
            </w:r>
          </w:p>
        </w:tc>
        <w:tc>
          <w:tcPr>
            <w:tcW w:w="850" w:type="dxa"/>
            <w:shd w:val="clear" w:color="auto" w:fill="FFFFFF"/>
            <w:vAlign w:val="center"/>
          </w:tcPr>
          <w:p w14:paraId="0A998405"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.053</w:t>
            </w:r>
          </w:p>
        </w:tc>
        <w:tc>
          <w:tcPr>
            <w:tcW w:w="709" w:type="dxa"/>
            <w:shd w:val="clear" w:color="auto" w:fill="FFFFFF"/>
            <w:vAlign w:val="center"/>
          </w:tcPr>
          <w:p w14:paraId="3E6A5AEE"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1288" w:type="dxa"/>
            <w:shd w:val="clear" w:color="auto" w:fill="FFFFFF"/>
            <w:vAlign w:val="center"/>
          </w:tcPr>
          <w:p w14:paraId="112F2F43"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.520</w:t>
            </w:r>
          </w:p>
        </w:tc>
        <w:tc>
          <w:tcPr>
            <w:tcW w:w="1275" w:type="dxa"/>
            <w:shd w:val="clear" w:color="auto" w:fill="FFFFFF"/>
            <w:vAlign w:val="center"/>
          </w:tcPr>
          <w:p w14:paraId="5A34C5CD" w14:textId="77777777" w:rsidR="000B4835" w:rsidRPr="00CF31E0" w:rsidRDefault="000B4835" w:rsidP="00603CB7">
            <w:pPr>
              <w:widowControl w:val="0"/>
              <w:autoSpaceDE w:val="0"/>
              <w:autoSpaceDN w:val="0"/>
              <w:adjustRightInd w:val="0"/>
              <w:spacing w:line="252" w:lineRule="auto"/>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.821</w:t>
            </w:r>
          </w:p>
        </w:tc>
      </w:tr>
    </w:tbl>
    <w:p w14:paraId="35F7000C" w14:textId="637926ED" w:rsidR="000B4835" w:rsidRPr="00CF31E0" w:rsidRDefault="000B4835" w:rsidP="00F61455">
      <w:pPr>
        <w:pStyle w:val="Tablecaption"/>
        <w:rPr>
          <w:lang w:eastAsia="en-US"/>
        </w:rPr>
      </w:pPr>
      <w:bookmarkStart w:id="879" w:name="_Toc522527490"/>
      <w:bookmarkStart w:id="880" w:name="_Toc522628903"/>
      <w:bookmarkStart w:id="881" w:name="_Toc522629067"/>
      <w:bookmarkStart w:id="882" w:name="_Toc6473165"/>
      <w:r w:rsidRPr="00CF31E0">
        <w:rPr>
          <w:lang w:eastAsia="en-US"/>
        </w:rPr>
        <w:t>Table</w:t>
      </w:r>
      <w:r w:rsidR="00C76142" w:rsidRPr="00CF31E0">
        <w:rPr>
          <w:lang w:eastAsia="en-US"/>
        </w:rPr>
        <w:t xml:space="preserve"> </w:t>
      </w:r>
      <w:r w:rsidR="00F61455" w:rsidRPr="00CF31E0">
        <w:rPr>
          <w:lang w:eastAsia="en-US"/>
        </w:rPr>
        <w:t>11</w:t>
      </w:r>
      <w:r w:rsidR="00C76142" w:rsidRPr="00CF31E0">
        <w:rPr>
          <w:lang w:eastAsia="en-US"/>
        </w:rPr>
        <w:t>.</w:t>
      </w:r>
      <w:r w:rsidR="00F61455" w:rsidRPr="00CF31E0">
        <w:rPr>
          <w:lang w:eastAsia="en-US"/>
        </w:rPr>
        <w:t>27</w:t>
      </w:r>
      <w:r w:rsidR="00C76142" w:rsidRPr="00CF31E0">
        <w:rPr>
          <w:lang w:eastAsia="en-US"/>
        </w:rPr>
        <w:t xml:space="preserve">: </w:t>
      </w:r>
      <w:r w:rsidRPr="00CF31E0">
        <w:rPr>
          <w:lang w:eastAsia="en-US"/>
        </w:rPr>
        <w:t xml:space="preserve">Post-hoc test results for the </w:t>
      </w:r>
      <w:r w:rsidRPr="00CF31E0">
        <w:rPr>
          <w:i/>
          <w:iCs/>
          <w:lang w:eastAsia="en-US"/>
        </w:rPr>
        <w:t>modern</w:t>
      </w:r>
      <w:r w:rsidRPr="00CF31E0">
        <w:rPr>
          <w:lang w:eastAsia="en-US"/>
        </w:rPr>
        <w:t xml:space="preserve"> characteristic across the samples</w:t>
      </w:r>
      <w:r w:rsidR="00C76142" w:rsidRPr="00CF31E0">
        <w:rPr>
          <w:lang w:eastAsia="en-US"/>
        </w:rPr>
        <w:t>.</w:t>
      </w:r>
      <w:bookmarkEnd w:id="879"/>
      <w:bookmarkEnd w:id="880"/>
      <w:bookmarkEnd w:id="881"/>
      <w:bookmarkEnd w:id="882"/>
    </w:p>
    <w:p w14:paraId="51BB3515" w14:textId="1227408C" w:rsidR="000B4835" w:rsidRPr="00CF31E0" w:rsidRDefault="000B4835" w:rsidP="00603CB7">
      <w:pPr>
        <w:pStyle w:val="Paragraph"/>
        <w:rPr>
          <w:lang w:eastAsia="en-US"/>
        </w:rPr>
      </w:pPr>
      <w:r w:rsidRPr="00CF31E0">
        <w:rPr>
          <w:lang w:eastAsia="en-US"/>
        </w:rPr>
        <w:t xml:space="preserve">As can be seen from the table above, the post-hoc test results revealed that the modern scale ratings are significantly different across all of the voice samples. In the following table </w:t>
      </w:r>
      <w:r w:rsidR="00C76142" w:rsidRPr="00CF31E0">
        <w:rPr>
          <w:lang w:eastAsia="en-US"/>
        </w:rPr>
        <w:t xml:space="preserve">(Table </w:t>
      </w:r>
      <w:r w:rsidR="00F61455" w:rsidRPr="00CF31E0">
        <w:rPr>
          <w:lang w:eastAsia="en-US"/>
        </w:rPr>
        <w:t>11</w:t>
      </w:r>
      <w:r w:rsidR="00C76142" w:rsidRPr="00CF31E0">
        <w:rPr>
          <w:lang w:eastAsia="en-US"/>
        </w:rPr>
        <w:t>.</w:t>
      </w:r>
      <w:r w:rsidR="00F61455" w:rsidRPr="00CF31E0">
        <w:rPr>
          <w:lang w:eastAsia="en-US"/>
        </w:rPr>
        <w:t>28</w:t>
      </w:r>
      <w:r w:rsidR="00C76142" w:rsidRPr="00CF31E0">
        <w:rPr>
          <w:lang w:eastAsia="en-US"/>
        </w:rPr>
        <w:t xml:space="preserve">), </w:t>
      </w:r>
      <w:r w:rsidRPr="00CF31E0">
        <w:rPr>
          <w:lang w:eastAsia="en-US"/>
        </w:rPr>
        <w:t>I will present the mean scores for the modern scale within each voice sample.</w:t>
      </w:r>
    </w:p>
    <w:tbl>
      <w:tblPr>
        <w:tblW w:w="6541" w:type="dxa"/>
        <w:tblInd w:w="-20" w:type="dxa"/>
        <w:tblLayout w:type="fixed"/>
        <w:tblCellMar>
          <w:left w:w="0" w:type="dxa"/>
          <w:right w:w="0" w:type="dxa"/>
        </w:tblCellMar>
        <w:tblLook w:val="0000" w:firstRow="0" w:lastRow="0" w:firstColumn="0" w:lastColumn="0" w:noHBand="0" w:noVBand="0"/>
      </w:tblPr>
      <w:tblGrid>
        <w:gridCol w:w="2147"/>
        <w:gridCol w:w="1701"/>
        <w:gridCol w:w="1984"/>
        <w:gridCol w:w="709"/>
      </w:tblGrid>
      <w:tr w:rsidR="00CE47FB" w:rsidRPr="00CF31E0" w14:paraId="41A48653" w14:textId="77777777" w:rsidTr="00603CB7">
        <w:trPr>
          <w:cantSplit/>
        </w:trPr>
        <w:tc>
          <w:tcPr>
            <w:tcW w:w="2147" w:type="dxa"/>
            <w:tcBorders>
              <w:top w:val="single" w:sz="8" w:space="0" w:color="auto"/>
              <w:bottom w:val="single" w:sz="8" w:space="0" w:color="auto"/>
            </w:tcBorders>
            <w:shd w:val="clear" w:color="auto" w:fill="FFFFFF"/>
            <w:vAlign w:val="bottom"/>
          </w:tcPr>
          <w:p w14:paraId="1322216E" w14:textId="77777777" w:rsidR="00CE47FB" w:rsidRPr="00CF31E0" w:rsidRDefault="00CE47FB" w:rsidP="00603CB7">
            <w:pPr>
              <w:spacing w:before="120" w:after="120"/>
              <w:jc w:val="both"/>
              <w:rPr>
                <w:rFonts w:eastAsia="Calibri"/>
                <w:color w:val="000000" w:themeColor="text1"/>
                <w:sz w:val="22"/>
                <w:szCs w:val="22"/>
                <w:lang w:eastAsia="en-US"/>
              </w:rPr>
            </w:pPr>
          </w:p>
        </w:tc>
        <w:tc>
          <w:tcPr>
            <w:tcW w:w="1701" w:type="dxa"/>
            <w:tcBorders>
              <w:top w:val="single" w:sz="8" w:space="0" w:color="auto"/>
              <w:bottom w:val="single" w:sz="8" w:space="0" w:color="auto"/>
            </w:tcBorders>
            <w:shd w:val="clear" w:color="auto" w:fill="FFFFFF"/>
            <w:vAlign w:val="bottom"/>
          </w:tcPr>
          <w:p w14:paraId="1F69253F" w14:textId="77777777" w:rsidR="00CE47FB" w:rsidRPr="00CF31E0" w:rsidRDefault="00CE47FB"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Mean</w:t>
            </w:r>
          </w:p>
        </w:tc>
        <w:tc>
          <w:tcPr>
            <w:tcW w:w="1984" w:type="dxa"/>
            <w:tcBorders>
              <w:top w:val="single" w:sz="8" w:space="0" w:color="auto"/>
              <w:bottom w:val="single" w:sz="8" w:space="0" w:color="auto"/>
            </w:tcBorders>
            <w:shd w:val="clear" w:color="auto" w:fill="FFFFFF"/>
            <w:vAlign w:val="bottom"/>
          </w:tcPr>
          <w:p w14:paraId="1FC6A2C7" w14:textId="77777777" w:rsidR="00CE47FB" w:rsidRPr="00CF31E0" w:rsidRDefault="00CE47FB"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Std. Deviation</w:t>
            </w:r>
          </w:p>
        </w:tc>
        <w:tc>
          <w:tcPr>
            <w:tcW w:w="709" w:type="dxa"/>
            <w:tcBorders>
              <w:top w:val="single" w:sz="8" w:space="0" w:color="auto"/>
              <w:bottom w:val="single" w:sz="8" w:space="0" w:color="auto"/>
            </w:tcBorders>
            <w:shd w:val="clear" w:color="auto" w:fill="FFFFFF"/>
            <w:vAlign w:val="bottom"/>
          </w:tcPr>
          <w:p w14:paraId="225F6B4F" w14:textId="77777777" w:rsidR="00CE47FB" w:rsidRPr="00CF31E0" w:rsidRDefault="00CE47FB"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N</w:t>
            </w:r>
          </w:p>
        </w:tc>
      </w:tr>
      <w:tr w:rsidR="00CE47FB" w:rsidRPr="00CF31E0" w14:paraId="4CC80A45" w14:textId="77777777" w:rsidTr="00603CB7">
        <w:trPr>
          <w:cantSplit/>
        </w:trPr>
        <w:tc>
          <w:tcPr>
            <w:tcW w:w="2147" w:type="dxa"/>
            <w:tcBorders>
              <w:top w:val="single" w:sz="8" w:space="0" w:color="auto"/>
            </w:tcBorders>
            <w:shd w:val="clear" w:color="auto" w:fill="FFFFFF"/>
          </w:tcPr>
          <w:p w14:paraId="5FC1E2B6" w14:textId="4BA40558" w:rsidR="00CE47FB" w:rsidRPr="00CF31E0" w:rsidRDefault="00CE47FB"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Modern VS1</w:t>
            </w:r>
          </w:p>
        </w:tc>
        <w:tc>
          <w:tcPr>
            <w:tcW w:w="1701" w:type="dxa"/>
            <w:tcBorders>
              <w:top w:val="single" w:sz="8" w:space="0" w:color="auto"/>
            </w:tcBorders>
            <w:shd w:val="clear" w:color="auto" w:fill="FFFFFF"/>
          </w:tcPr>
          <w:p w14:paraId="2C2341AD" w14:textId="71D24616" w:rsidR="00CE47FB" w:rsidRPr="00CF31E0" w:rsidRDefault="00CC31F7"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color w:val="000000" w:themeColor="text1"/>
                <w:sz w:val="22"/>
                <w:szCs w:val="22"/>
              </w:rPr>
              <w:t>3.3945</w:t>
            </w:r>
          </w:p>
        </w:tc>
        <w:tc>
          <w:tcPr>
            <w:tcW w:w="1984" w:type="dxa"/>
            <w:tcBorders>
              <w:top w:val="single" w:sz="8" w:space="0" w:color="auto"/>
            </w:tcBorders>
            <w:shd w:val="clear" w:color="auto" w:fill="FFFFFF"/>
          </w:tcPr>
          <w:p w14:paraId="5F9B505B" w14:textId="7FC4769C" w:rsidR="00CE47FB" w:rsidRPr="00CF31E0" w:rsidRDefault="00CE47FB"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color w:val="000000" w:themeColor="text1"/>
                <w:sz w:val="22"/>
                <w:szCs w:val="22"/>
              </w:rPr>
              <w:t>1.18830</w:t>
            </w:r>
          </w:p>
        </w:tc>
        <w:tc>
          <w:tcPr>
            <w:tcW w:w="709" w:type="dxa"/>
            <w:tcBorders>
              <w:top w:val="single" w:sz="8" w:space="0" w:color="auto"/>
            </w:tcBorders>
            <w:shd w:val="clear" w:color="auto" w:fill="FFFFFF"/>
          </w:tcPr>
          <w:p w14:paraId="646689F9" w14:textId="77777777" w:rsidR="00CE47FB" w:rsidRPr="00CF31E0" w:rsidRDefault="00CE47FB"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649</w:t>
            </w:r>
          </w:p>
        </w:tc>
      </w:tr>
      <w:tr w:rsidR="00CE47FB" w:rsidRPr="00CF31E0" w14:paraId="07A664C3" w14:textId="77777777" w:rsidTr="00603CB7">
        <w:trPr>
          <w:cantSplit/>
        </w:trPr>
        <w:tc>
          <w:tcPr>
            <w:tcW w:w="2147" w:type="dxa"/>
            <w:shd w:val="clear" w:color="auto" w:fill="FFFFFF"/>
          </w:tcPr>
          <w:p w14:paraId="313ED9BA" w14:textId="6229171D" w:rsidR="00CE47FB" w:rsidRPr="00CF31E0" w:rsidRDefault="00CE47FB"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Modern VS2</w:t>
            </w:r>
          </w:p>
        </w:tc>
        <w:tc>
          <w:tcPr>
            <w:tcW w:w="1701" w:type="dxa"/>
            <w:shd w:val="clear" w:color="auto" w:fill="FFFFFF"/>
          </w:tcPr>
          <w:p w14:paraId="5333742F" w14:textId="2AD7AB10" w:rsidR="00CE47FB" w:rsidRPr="00CF31E0" w:rsidRDefault="00CC31F7"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color w:val="000000" w:themeColor="text1"/>
                <w:sz w:val="22"/>
                <w:szCs w:val="22"/>
              </w:rPr>
              <w:t>2.5085</w:t>
            </w:r>
          </w:p>
        </w:tc>
        <w:tc>
          <w:tcPr>
            <w:tcW w:w="1984" w:type="dxa"/>
            <w:shd w:val="clear" w:color="auto" w:fill="FFFFFF"/>
          </w:tcPr>
          <w:p w14:paraId="77FD1114" w14:textId="44DB7F59" w:rsidR="00CE47FB" w:rsidRPr="00CF31E0" w:rsidRDefault="00CE47FB"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color w:val="000000" w:themeColor="text1"/>
                <w:sz w:val="22"/>
                <w:szCs w:val="22"/>
              </w:rPr>
              <w:t>1.11125</w:t>
            </w:r>
          </w:p>
        </w:tc>
        <w:tc>
          <w:tcPr>
            <w:tcW w:w="709" w:type="dxa"/>
            <w:shd w:val="clear" w:color="auto" w:fill="FFFFFF"/>
          </w:tcPr>
          <w:p w14:paraId="42851C95" w14:textId="77777777" w:rsidR="00CE47FB" w:rsidRPr="00CF31E0" w:rsidRDefault="00CE47FB"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649</w:t>
            </w:r>
          </w:p>
        </w:tc>
      </w:tr>
      <w:tr w:rsidR="00CE47FB" w:rsidRPr="00CF31E0" w14:paraId="7485021F" w14:textId="77777777" w:rsidTr="00603CB7">
        <w:trPr>
          <w:cantSplit/>
        </w:trPr>
        <w:tc>
          <w:tcPr>
            <w:tcW w:w="2147" w:type="dxa"/>
            <w:shd w:val="clear" w:color="auto" w:fill="FFFFFF"/>
          </w:tcPr>
          <w:p w14:paraId="15743E25" w14:textId="0588DB57" w:rsidR="00CE47FB" w:rsidRPr="00CF31E0" w:rsidRDefault="00CE47FB"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Modern VS3</w:t>
            </w:r>
          </w:p>
        </w:tc>
        <w:tc>
          <w:tcPr>
            <w:tcW w:w="1701" w:type="dxa"/>
            <w:shd w:val="clear" w:color="auto" w:fill="FFFFFF"/>
          </w:tcPr>
          <w:p w14:paraId="2780D8DA" w14:textId="2ECA3C09" w:rsidR="00CE47FB" w:rsidRPr="00CF31E0" w:rsidRDefault="00CC31F7"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color w:val="000000" w:themeColor="text1"/>
                <w:sz w:val="22"/>
                <w:szCs w:val="22"/>
              </w:rPr>
              <w:t>3.6225</w:t>
            </w:r>
          </w:p>
        </w:tc>
        <w:tc>
          <w:tcPr>
            <w:tcW w:w="1984" w:type="dxa"/>
            <w:shd w:val="clear" w:color="auto" w:fill="FFFFFF"/>
          </w:tcPr>
          <w:p w14:paraId="150BDAA5" w14:textId="346BF52F" w:rsidR="00CE47FB" w:rsidRPr="00CF31E0" w:rsidRDefault="00CE47FB"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color w:val="000000" w:themeColor="text1"/>
                <w:sz w:val="22"/>
                <w:szCs w:val="22"/>
              </w:rPr>
              <w:t>1.20602</w:t>
            </w:r>
          </w:p>
        </w:tc>
        <w:tc>
          <w:tcPr>
            <w:tcW w:w="709" w:type="dxa"/>
            <w:shd w:val="clear" w:color="auto" w:fill="FFFFFF"/>
          </w:tcPr>
          <w:p w14:paraId="02CFAF4E" w14:textId="77777777" w:rsidR="00CE47FB" w:rsidRPr="00CF31E0" w:rsidRDefault="00CE47FB"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649</w:t>
            </w:r>
          </w:p>
        </w:tc>
      </w:tr>
      <w:tr w:rsidR="00CE47FB" w:rsidRPr="00CF31E0" w14:paraId="1BEAD8B1" w14:textId="77777777" w:rsidTr="00603CB7">
        <w:trPr>
          <w:cantSplit/>
        </w:trPr>
        <w:tc>
          <w:tcPr>
            <w:tcW w:w="2147" w:type="dxa"/>
            <w:shd w:val="clear" w:color="auto" w:fill="FFFFFF"/>
          </w:tcPr>
          <w:p w14:paraId="2DAF67B6" w14:textId="16D6B639" w:rsidR="00CE47FB" w:rsidRPr="00CF31E0" w:rsidRDefault="00CE47FB"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lastRenderedPageBreak/>
              <w:t>Modern VS4</w:t>
            </w:r>
          </w:p>
        </w:tc>
        <w:tc>
          <w:tcPr>
            <w:tcW w:w="1701" w:type="dxa"/>
            <w:shd w:val="clear" w:color="auto" w:fill="FFFFFF"/>
          </w:tcPr>
          <w:p w14:paraId="3D2A72AE" w14:textId="1F6DFA17" w:rsidR="00CE47FB" w:rsidRPr="00CF31E0" w:rsidRDefault="00CC31F7"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color w:val="000000" w:themeColor="text1"/>
                <w:sz w:val="22"/>
                <w:szCs w:val="22"/>
              </w:rPr>
              <w:t>2.3498</w:t>
            </w:r>
          </w:p>
        </w:tc>
        <w:tc>
          <w:tcPr>
            <w:tcW w:w="1984" w:type="dxa"/>
            <w:shd w:val="clear" w:color="auto" w:fill="FFFFFF"/>
          </w:tcPr>
          <w:p w14:paraId="207E5494" w14:textId="601277B4" w:rsidR="00CE47FB" w:rsidRPr="00CF31E0" w:rsidRDefault="00CE47FB"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color w:val="000000" w:themeColor="text1"/>
                <w:sz w:val="22"/>
                <w:szCs w:val="22"/>
              </w:rPr>
              <w:t>1.13964</w:t>
            </w:r>
          </w:p>
        </w:tc>
        <w:tc>
          <w:tcPr>
            <w:tcW w:w="709" w:type="dxa"/>
            <w:shd w:val="clear" w:color="auto" w:fill="FFFFFF"/>
          </w:tcPr>
          <w:p w14:paraId="297F83AA" w14:textId="77777777" w:rsidR="00CE47FB" w:rsidRPr="00CF31E0" w:rsidRDefault="00CE47FB"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649</w:t>
            </w:r>
          </w:p>
        </w:tc>
      </w:tr>
      <w:tr w:rsidR="00CE47FB" w:rsidRPr="00CF31E0" w14:paraId="6FA50A02" w14:textId="77777777" w:rsidTr="00603CB7">
        <w:trPr>
          <w:cantSplit/>
        </w:trPr>
        <w:tc>
          <w:tcPr>
            <w:tcW w:w="2147" w:type="dxa"/>
            <w:tcBorders>
              <w:bottom w:val="single" w:sz="8" w:space="0" w:color="auto"/>
            </w:tcBorders>
            <w:shd w:val="clear" w:color="auto" w:fill="FFFFFF"/>
          </w:tcPr>
          <w:p w14:paraId="1B87C02A" w14:textId="1F4C9B9B" w:rsidR="00CE47FB" w:rsidRPr="00CF31E0" w:rsidRDefault="00CE47FB"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Modern VS5</w:t>
            </w:r>
          </w:p>
        </w:tc>
        <w:tc>
          <w:tcPr>
            <w:tcW w:w="1701" w:type="dxa"/>
            <w:tcBorders>
              <w:bottom w:val="single" w:sz="8" w:space="0" w:color="auto"/>
            </w:tcBorders>
            <w:shd w:val="clear" w:color="auto" w:fill="FFFFFF"/>
          </w:tcPr>
          <w:p w14:paraId="41E3D822" w14:textId="59200F82" w:rsidR="00CE47FB" w:rsidRPr="00CF31E0" w:rsidRDefault="00CC31F7"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Pr>
                <w:color w:val="000000" w:themeColor="text1"/>
                <w:sz w:val="22"/>
                <w:szCs w:val="22"/>
              </w:rPr>
              <w:t>3.02200</w:t>
            </w:r>
          </w:p>
        </w:tc>
        <w:tc>
          <w:tcPr>
            <w:tcW w:w="1984" w:type="dxa"/>
            <w:tcBorders>
              <w:bottom w:val="single" w:sz="8" w:space="0" w:color="auto"/>
            </w:tcBorders>
            <w:shd w:val="clear" w:color="auto" w:fill="FFFFFF"/>
          </w:tcPr>
          <w:p w14:paraId="5CE77820" w14:textId="3DBDA223" w:rsidR="00CE47FB" w:rsidRPr="00CF31E0" w:rsidRDefault="00CE47FB"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color w:val="000000" w:themeColor="text1"/>
                <w:sz w:val="22"/>
                <w:szCs w:val="22"/>
              </w:rPr>
              <w:t>1.21509</w:t>
            </w:r>
          </w:p>
        </w:tc>
        <w:tc>
          <w:tcPr>
            <w:tcW w:w="709" w:type="dxa"/>
            <w:tcBorders>
              <w:bottom w:val="single" w:sz="8" w:space="0" w:color="auto"/>
            </w:tcBorders>
            <w:shd w:val="clear" w:color="auto" w:fill="FFFFFF"/>
          </w:tcPr>
          <w:p w14:paraId="36F8536B" w14:textId="77777777" w:rsidR="00CE47FB" w:rsidRPr="00CF31E0" w:rsidRDefault="00CE47FB" w:rsidP="00603CB7">
            <w:pPr>
              <w:widowControl w:val="0"/>
              <w:autoSpaceDE w:val="0"/>
              <w:autoSpaceDN w:val="0"/>
              <w:adjustRightInd w:val="0"/>
              <w:spacing w:before="120" w:after="120"/>
              <w:ind w:left="62" w:right="62"/>
              <w:jc w:val="both"/>
              <w:rPr>
                <w:rFonts w:eastAsia="Calibri"/>
                <w:color w:val="000000" w:themeColor="text1"/>
                <w:sz w:val="22"/>
                <w:szCs w:val="22"/>
                <w:lang w:eastAsia="en-US"/>
              </w:rPr>
            </w:pPr>
            <w:r w:rsidRPr="00CF31E0">
              <w:rPr>
                <w:rFonts w:eastAsia="Calibri"/>
                <w:color w:val="000000" w:themeColor="text1"/>
                <w:sz w:val="22"/>
                <w:szCs w:val="22"/>
                <w:lang w:eastAsia="en-US"/>
              </w:rPr>
              <w:t>649</w:t>
            </w:r>
          </w:p>
        </w:tc>
      </w:tr>
    </w:tbl>
    <w:p w14:paraId="4C3D6A6B" w14:textId="7323D4ED" w:rsidR="000B4835" w:rsidRPr="00CF31E0" w:rsidRDefault="000B4835" w:rsidP="00F61455">
      <w:pPr>
        <w:pStyle w:val="Tablecaption"/>
        <w:rPr>
          <w:lang w:eastAsia="en-US"/>
        </w:rPr>
      </w:pPr>
      <w:bookmarkStart w:id="883" w:name="_Toc522527491"/>
      <w:bookmarkStart w:id="884" w:name="_Toc522628904"/>
      <w:bookmarkStart w:id="885" w:name="_Toc522629068"/>
      <w:bookmarkStart w:id="886" w:name="_Toc6473166"/>
      <w:r w:rsidRPr="00CF31E0">
        <w:rPr>
          <w:lang w:eastAsia="en-US"/>
        </w:rPr>
        <w:t>Table</w:t>
      </w:r>
      <w:r w:rsidR="00C76142" w:rsidRPr="00CF31E0">
        <w:rPr>
          <w:lang w:eastAsia="en-US"/>
        </w:rPr>
        <w:t xml:space="preserve"> </w:t>
      </w:r>
      <w:r w:rsidR="00F61455" w:rsidRPr="00CF31E0">
        <w:rPr>
          <w:lang w:eastAsia="en-US"/>
        </w:rPr>
        <w:t>11</w:t>
      </w:r>
      <w:r w:rsidR="00C76142" w:rsidRPr="00CF31E0">
        <w:rPr>
          <w:lang w:eastAsia="en-US"/>
        </w:rPr>
        <w:t>.</w:t>
      </w:r>
      <w:r w:rsidR="00F61455" w:rsidRPr="00CF31E0">
        <w:rPr>
          <w:lang w:eastAsia="en-US"/>
        </w:rPr>
        <w:t>28</w:t>
      </w:r>
      <w:r w:rsidR="00C76142" w:rsidRPr="00CF31E0">
        <w:rPr>
          <w:lang w:eastAsia="en-US"/>
        </w:rPr>
        <w:t xml:space="preserve">: </w:t>
      </w:r>
      <w:r w:rsidRPr="00CF31E0">
        <w:rPr>
          <w:lang w:eastAsia="en-US"/>
        </w:rPr>
        <w:t xml:space="preserve">Descriptive statistics for the </w:t>
      </w:r>
      <w:r w:rsidRPr="00CF31E0">
        <w:rPr>
          <w:i/>
          <w:iCs/>
          <w:lang w:eastAsia="en-US"/>
        </w:rPr>
        <w:t>modern</w:t>
      </w:r>
      <w:r w:rsidRPr="00CF31E0">
        <w:rPr>
          <w:lang w:eastAsia="en-US"/>
        </w:rPr>
        <w:t xml:space="preserve"> characteristic across the samples</w:t>
      </w:r>
      <w:r w:rsidR="00C76142" w:rsidRPr="00CF31E0">
        <w:rPr>
          <w:lang w:eastAsia="en-US"/>
        </w:rPr>
        <w:t>.</w:t>
      </w:r>
      <w:bookmarkEnd w:id="883"/>
      <w:bookmarkEnd w:id="884"/>
      <w:bookmarkEnd w:id="885"/>
      <w:bookmarkEnd w:id="886"/>
    </w:p>
    <w:p w14:paraId="4DB45C23" w14:textId="3530F196" w:rsidR="000B4835" w:rsidRPr="00CF31E0" w:rsidRDefault="000B4835" w:rsidP="00603CB7">
      <w:pPr>
        <w:pStyle w:val="Paragraph"/>
        <w:rPr>
          <w:lang w:eastAsia="en-US"/>
        </w:rPr>
      </w:pPr>
      <w:r w:rsidRPr="00CF31E0">
        <w:rPr>
          <w:lang w:eastAsia="en-US"/>
        </w:rPr>
        <w:t xml:space="preserve">Although the post-hoc test results in the previous table revealed that a statistically significant difference is found across all samples, the mean scores in the above table indicate that the difference is marginally found between two groups. This means that VS1, 3 and 5 gained higher mean scores than VS2 and 4. </w:t>
      </w:r>
    </w:p>
    <w:p w14:paraId="4B173BA1" w14:textId="40AC7DCF" w:rsidR="000B4835" w:rsidRPr="00CF31E0" w:rsidRDefault="00F61455" w:rsidP="00F61455">
      <w:pPr>
        <w:pStyle w:val="Chead"/>
        <w:rPr>
          <w:rFonts w:eastAsia="Calibri"/>
        </w:rPr>
      </w:pPr>
      <w:bookmarkStart w:id="887" w:name="_Toc6472787"/>
      <w:r w:rsidRPr="00CF31E0">
        <w:rPr>
          <w:rFonts w:eastAsia="Calibri"/>
        </w:rPr>
        <w:t>11</w:t>
      </w:r>
      <w:r w:rsidR="009809EE" w:rsidRPr="00CF31E0">
        <w:rPr>
          <w:rFonts w:eastAsia="Calibri"/>
        </w:rPr>
        <w:t>.3.1.2.</w:t>
      </w:r>
      <w:r w:rsidR="00D2523E" w:rsidRPr="00CF31E0">
        <w:rPr>
          <w:rFonts w:eastAsia="Calibri"/>
        </w:rPr>
        <w:tab/>
      </w:r>
      <w:r w:rsidR="000B4835" w:rsidRPr="00CF31E0">
        <w:rPr>
          <w:rFonts w:eastAsia="Calibri"/>
        </w:rPr>
        <w:t>Step 2: Comparison of ratings within each voice sample</w:t>
      </w:r>
      <w:bookmarkEnd w:id="887"/>
    </w:p>
    <w:p w14:paraId="5557735E" w14:textId="346355D3" w:rsidR="000B4835" w:rsidRPr="00CF31E0" w:rsidRDefault="00F61455" w:rsidP="00F61455">
      <w:pPr>
        <w:pStyle w:val="Dhead"/>
        <w:rPr>
          <w:rFonts w:eastAsia="Calibri"/>
        </w:rPr>
      </w:pPr>
      <w:bookmarkStart w:id="888" w:name="_Toc6472788"/>
      <w:r w:rsidRPr="00CF31E0">
        <w:rPr>
          <w:rFonts w:eastAsia="Calibri"/>
        </w:rPr>
        <w:t>11</w:t>
      </w:r>
      <w:r w:rsidR="009809EE" w:rsidRPr="00CF31E0">
        <w:rPr>
          <w:rFonts w:eastAsia="Calibri"/>
        </w:rPr>
        <w:t>.3.1.2.1.</w:t>
      </w:r>
      <w:r w:rsidR="00D2523E" w:rsidRPr="00CF31E0">
        <w:rPr>
          <w:rFonts w:eastAsia="Calibri"/>
        </w:rPr>
        <w:tab/>
      </w:r>
      <w:r w:rsidR="000B4835" w:rsidRPr="00CF31E0">
        <w:rPr>
          <w:rFonts w:eastAsia="Calibri"/>
        </w:rPr>
        <w:t>Voice sample 1</w:t>
      </w:r>
      <w:bookmarkEnd w:id="888"/>
    </w:p>
    <w:p w14:paraId="4784686C" w14:textId="237D191B" w:rsidR="0016727D" w:rsidRPr="00CF31E0" w:rsidRDefault="0016727D" w:rsidP="00603CB7">
      <w:pPr>
        <w:pStyle w:val="Paragraph"/>
        <w:rPr>
          <w:lang w:eastAsia="en-US"/>
        </w:rPr>
      </w:pPr>
      <w:r w:rsidRPr="00CF31E0">
        <w:rPr>
          <w:lang w:eastAsia="en-US"/>
        </w:rPr>
        <w:t xml:space="preserve">When presenting the comparison of ratings within each voice sample, I will follow the same structure as </w:t>
      </w:r>
      <w:r w:rsidR="00EB4BAD" w:rsidRPr="00CF31E0">
        <w:rPr>
          <w:lang w:eastAsia="en-US"/>
        </w:rPr>
        <w:t>that</w:t>
      </w:r>
      <w:r w:rsidRPr="00CF31E0">
        <w:rPr>
          <w:lang w:eastAsia="en-US"/>
        </w:rPr>
        <w:t xml:space="preserve"> used in the perceptual task</w:t>
      </w:r>
      <w:r w:rsidR="009B27CA" w:rsidRPr="00CF31E0">
        <w:rPr>
          <w:lang w:eastAsia="en-US"/>
        </w:rPr>
        <w:t xml:space="preserve"> results</w:t>
      </w:r>
      <w:r w:rsidRPr="00CF31E0">
        <w:rPr>
          <w:lang w:eastAsia="en-US"/>
        </w:rPr>
        <w:t xml:space="preserve">, that is, the </w:t>
      </w:r>
      <w:r w:rsidR="009B27CA" w:rsidRPr="00CF31E0">
        <w:rPr>
          <w:lang w:eastAsia="en-US"/>
        </w:rPr>
        <w:t xml:space="preserve">results for the </w:t>
      </w:r>
      <w:r w:rsidRPr="00CF31E0">
        <w:rPr>
          <w:lang w:eastAsia="en-US"/>
        </w:rPr>
        <w:t>following HH voice samples will be presented together</w:t>
      </w:r>
      <w:r w:rsidR="00EB4BAD" w:rsidRPr="00CF31E0">
        <w:rPr>
          <w:lang w:eastAsia="en-US"/>
        </w:rPr>
        <w:t>:</w:t>
      </w:r>
      <w:r w:rsidRPr="00CF31E0">
        <w:rPr>
          <w:lang w:eastAsia="en-US"/>
        </w:rPr>
        <w:t xml:space="preserve"> VS1 and VS3, then the following UBH voice samples will be presented together</w:t>
      </w:r>
      <w:r w:rsidR="00EB4BAD" w:rsidRPr="00CF31E0">
        <w:rPr>
          <w:lang w:eastAsia="en-US"/>
        </w:rPr>
        <w:t>:</w:t>
      </w:r>
      <w:r w:rsidRPr="00CF31E0">
        <w:rPr>
          <w:lang w:eastAsia="en-US"/>
        </w:rPr>
        <w:t xml:space="preserve"> V2 and VS4. </w:t>
      </w:r>
      <w:r w:rsidR="00EB4BAD" w:rsidRPr="00CF31E0">
        <w:rPr>
          <w:lang w:eastAsia="en-US"/>
        </w:rPr>
        <w:t>F</w:t>
      </w:r>
      <w:r w:rsidRPr="00CF31E0">
        <w:rPr>
          <w:lang w:eastAsia="en-US"/>
        </w:rPr>
        <w:t xml:space="preserve">inally, </w:t>
      </w:r>
      <w:r w:rsidR="009B27CA" w:rsidRPr="00CF31E0">
        <w:rPr>
          <w:lang w:eastAsia="en-US"/>
        </w:rPr>
        <w:t xml:space="preserve">the results </w:t>
      </w:r>
      <w:r w:rsidRPr="00CF31E0">
        <w:rPr>
          <w:lang w:eastAsia="en-US"/>
        </w:rPr>
        <w:t>VS5 will be present</w:t>
      </w:r>
      <w:r w:rsidR="00EB4BAD" w:rsidRPr="00CF31E0">
        <w:rPr>
          <w:lang w:eastAsia="en-US"/>
        </w:rPr>
        <w:t>ed</w:t>
      </w:r>
      <w:r w:rsidRPr="00CF31E0">
        <w:rPr>
          <w:lang w:eastAsia="en-US"/>
        </w:rPr>
        <w:t xml:space="preserve"> separately.  </w:t>
      </w:r>
    </w:p>
    <w:p w14:paraId="16F1BBDC" w14:textId="5079150C" w:rsidR="000B4835" w:rsidRPr="00CF31E0" w:rsidRDefault="00EB4BAD" w:rsidP="00603CB7">
      <w:pPr>
        <w:pStyle w:val="Paragraph"/>
        <w:rPr>
          <w:lang w:eastAsia="en-US"/>
        </w:rPr>
      </w:pPr>
      <w:r w:rsidRPr="00CF31E0">
        <w:rPr>
          <w:lang w:eastAsia="en-US"/>
        </w:rPr>
        <w:t>Regarding</w:t>
      </w:r>
      <w:r w:rsidR="0016727D" w:rsidRPr="00CF31E0">
        <w:rPr>
          <w:lang w:eastAsia="en-US"/>
        </w:rPr>
        <w:t xml:space="preserve"> VS1, </w:t>
      </w:r>
      <w:r w:rsidR="000B4835" w:rsidRPr="00CF31E0">
        <w:rPr>
          <w:lang w:eastAsia="en-US"/>
        </w:rPr>
        <w:t xml:space="preserve">I compared the means for all rating scales for VS1. The results show that the </w:t>
      </w:r>
      <w:r w:rsidR="000B4835" w:rsidRPr="00CF31E0">
        <w:rPr>
          <w:i/>
          <w:iCs/>
          <w:lang w:eastAsia="en-US"/>
        </w:rPr>
        <w:t>similar to other Arabic dialects</w:t>
      </w:r>
      <w:r w:rsidR="000B4835" w:rsidRPr="00CF31E0">
        <w:rPr>
          <w:lang w:eastAsia="en-US"/>
        </w:rPr>
        <w:t xml:space="preserve"> scale received the highest mean score, while the </w:t>
      </w:r>
      <w:r w:rsidR="000B4835" w:rsidRPr="00CF31E0">
        <w:rPr>
          <w:i/>
          <w:iCs/>
          <w:lang w:eastAsia="en-US"/>
        </w:rPr>
        <w:t>serious</w:t>
      </w:r>
      <w:r w:rsidR="000B4835" w:rsidRPr="00CF31E0">
        <w:rPr>
          <w:lang w:eastAsia="en-US"/>
        </w:rPr>
        <w:t xml:space="preserve"> scale received the lowest score. See Table </w:t>
      </w:r>
      <w:r w:rsidR="00F61455" w:rsidRPr="00CF31E0">
        <w:rPr>
          <w:lang w:eastAsia="en-US"/>
        </w:rPr>
        <w:t>11</w:t>
      </w:r>
      <w:r w:rsidR="009809EE" w:rsidRPr="00CF31E0">
        <w:rPr>
          <w:lang w:eastAsia="en-US"/>
        </w:rPr>
        <w:t>.</w:t>
      </w:r>
      <w:r w:rsidR="00F61455" w:rsidRPr="00CF31E0">
        <w:rPr>
          <w:lang w:eastAsia="en-US"/>
        </w:rPr>
        <w:t>29</w:t>
      </w:r>
      <w:r w:rsidR="000B4835" w:rsidRPr="00CF31E0">
        <w:rPr>
          <w:lang w:eastAsia="en-US"/>
        </w:rPr>
        <w:t xml:space="preserve">. </w:t>
      </w:r>
    </w:p>
    <w:tbl>
      <w:tblPr>
        <w:tblW w:w="6708"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666"/>
        <w:gridCol w:w="1348"/>
        <w:gridCol w:w="1694"/>
      </w:tblGrid>
      <w:tr w:rsidR="007F558A" w:rsidRPr="00CF31E0" w14:paraId="61412D3B" w14:textId="77777777" w:rsidTr="000B4835">
        <w:trPr>
          <w:cantSplit/>
          <w:trHeight w:val="370"/>
        </w:trPr>
        <w:tc>
          <w:tcPr>
            <w:tcW w:w="3666" w:type="dxa"/>
            <w:tcBorders>
              <w:top w:val="single" w:sz="4" w:space="0" w:color="auto"/>
              <w:bottom w:val="single" w:sz="4" w:space="0" w:color="auto"/>
            </w:tcBorders>
            <w:shd w:val="clear" w:color="auto" w:fill="FFFFFF"/>
            <w:vAlign w:val="bottom"/>
          </w:tcPr>
          <w:p w14:paraId="52C0B12D" w14:textId="77777777" w:rsidR="000B4835" w:rsidRPr="00CF31E0" w:rsidRDefault="000B4835" w:rsidP="00603CB7">
            <w:pPr>
              <w:spacing w:before="120" w:after="120"/>
              <w:rPr>
                <w:rFonts w:eastAsia="Calibri"/>
                <w:color w:val="000000" w:themeColor="text1"/>
                <w:sz w:val="22"/>
                <w:szCs w:val="22"/>
                <w:lang w:eastAsia="en-US"/>
              </w:rPr>
            </w:pPr>
          </w:p>
        </w:tc>
        <w:tc>
          <w:tcPr>
            <w:tcW w:w="1348" w:type="dxa"/>
            <w:tcBorders>
              <w:top w:val="single" w:sz="4" w:space="0" w:color="auto"/>
              <w:bottom w:val="single" w:sz="4" w:space="0" w:color="auto"/>
            </w:tcBorders>
            <w:shd w:val="clear" w:color="auto" w:fill="FFFFFF"/>
            <w:vAlign w:val="bottom"/>
          </w:tcPr>
          <w:p w14:paraId="4559E569" w14:textId="77777777" w:rsidR="000B4835" w:rsidRPr="00CF31E0" w:rsidRDefault="000B4835"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rFonts w:eastAsia="Calibri"/>
                <w:color w:val="000000" w:themeColor="text1"/>
                <w:sz w:val="22"/>
                <w:szCs w:val="22"/>
                <w:lang w:eastAsia="en-US"/>
              </w:rPr>
              <w:t>Mean</w:t>
            </w:r>
          </w:p>
        </w:tc>
        <w:tc>
          <w:tcPr>
            <w:tcW w:w="1694" w:type="dxa"/>
            <w:tcBorders>
              <w:top w:val="single" w:sz="4" w:space="0" w:color="auto"/>
              <w:bottom w:val="single" w:sz="4" w:space="0" w:color="auto"/>
            </w:tcBorders>
            <w:shd w:val="clear" w:color="auto" w:fill="FFFFFF"/>
            <w:vAlign w:val="bottom"/>
          </w:tcPr>
          <w:p w14:paraId="24C2D3B9" w14:textId="77777777" w:rsidR="000B4835" w:rsidRPr="00CF31E0" w:rsidRDefault="000B4835"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rFonts w:eastAsia="Calibri"/>
                <w:color w:val="000000" w:themeColor="text1"/>
                <w:sz w:val="22"/>
                <w:szCs w:val="22"/>
                <w:lang w:eastAsia="en-US"/>
              </w:rPr>
              <w:t>Std. Deviation</w:t>
            </w:r>
          </w:p>
        </w:tc>
      </w:tr>
      <w:tr w:rsidR="007F558A" w:rsidRPr="00CF31E0" w14:paraId="3EFFAA66" w14:textId="77777777" w:rsidTr="000B4835">
        <w:trPr>
          <w:cantSplit/>
          <w:trHeight w:val="370"/>
        </w:trPr>
        <w:tc>
          <w:tcPr>
            <w:tcW w:w="3666" w:type="dxa"/>
            <w:tcBorders>
              <w:top w:val="single" w:sz="4" w:space="0" w:color="auto"/>
              <w:bottom w:val="nil"/>
            </w:tcBorders>
            <w:shd w:val="clear" w:color="auto" w:fill="FFFFFF"/>
          </w:tcPr>
          <w:p w14:paraId="1C712626" w14:textId="77777777" w:rsidR="000B4835" w:rsidRPr="00CF31E0" w:rsidRDefault="000B4835"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rFonts w:eastAsia="Calibri"/>
                <w:color w:val="000000" w:themeColor="text1"/>
                <w:sz w:val="22"/>
                <w:szCs w:val="22"/>
                <w:lang w:eastAsia="en-US"/>
              </w:rPr>
              <w:t>Serious</w:t>
            </w:r>
          </w:p>
        </w:tc>
        <w:tc>
          <w:tcPr>
            <w:tcW w:w="1348" w:type="dxa"/>
            <w:tcBorders>
              <w:top w:val="single" w:sz="4" w:space="0" w:color="auto"/>
              <w:bottom w:val="nil"/>
            </w:tcBorders>
            <w:shd w:val="clear" w:color="auto" w:fill="FFFFFF"/>
            <w:vAlign w:val="center"/>
          </w:tcPr>
          <w:p w14:paraId="3BD140FE" w14:textId="77777777" w:rsidR="000B4835" w:rsidRPr="00CF31E0" w:rsidRDefault="000B4835"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rFonts w:eastAsia="Calibri"/>
                <w:color w:val="000000" w:themeColor="text1"/>
                <w:sz w:val="22"/>
                <w:szCs w:val="22"/>
                <w:lang w:eastAsia="en-US"/>
              </w:rPr>
              <w:t>2.0786</w:t>
            </w:r>
          </w:p>
        </w:tc>
        <w:tc>
          <w:tcPr>
            <w:tcW w:w="1694" w:type="dxa"/>
            <w:tcBorders>
              <w:top w:val="single" w:sz="4" w:space="0" w:color="auto"/>
              <w:bottom w:val="nil"/>
            </w:tcBorders>
            <w:shd w:val="clear" w:color="auto" w:fill="FFFFFF"/>
            <w:vAlign w:val="center"/>
          </w:tcPr>
          <w:p w14:paraId="65B72B29" w14:textId="77777777" w:rsidR="000B4835" w:rsidRPr="00CF31E0" w:rsidRDefault="000B4835"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rFonts w:eastAsia="Calibri"/>
                <w:color w:val="000000" w:themeColor="text1"/>
                <w:sz w:val="22"/>
                <w:szCs w:val="22"/>
                <w:lang w:eastAsia="en-US"/>
              </w:rPr>
              <w:t>1.16732</w:t>
            </w:r>
          </w:p>
        </w:tc>
      </w:tr>
      <w:tr w:rsidR="007F558A" w:rsidRPr="00CF31E0" w14:paraId="7D28E68A" w14:textId="77777777" w:rsidTr="000B4835">
        <w:trPr>
          <w:cantSplit/>
          <w:trHeight w:val="359"/>
        </w:trPr>
        <w:tc>
          <w:tcPr>
            <w:tcW w:w="3666" w:type="dxa"/>
            <w:tcBorders>
              <w:top w:val="nil"/>
            </w:tcBorders>
            <w:shd w:val="clear" w:color="auto" w:fill="FFFFFF"/>
          </w:tcPr>
          <w:p w14:paraId="7138D11C" w14:textId="77777777" w:rsidR="000B4835" w:rsidRPr="00CF31E0" w:rsidRDefault="000B4835"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rFonts w:eastAsia="Calibri"/>
                <w:color w:val="000000" w:themeColor="text1"/>
                <w:sz w:val="22"/>
                <w:szCs w:val="22"/>
                <w:lang w:eastAsia="en-US"/>
              </w:rPr>
              <w:t>Similar to other Arabic dialects</w:t>
            </w:r>
          </w:p>
        </w:tc>
        <w:tc>
          <w:tcPr>
            <w:tcW w:w="1348" w:type="dxa"/>
            <w:tcBorders>
              <w:top w:val="nil"/>
            </w:tcBorders>
            <w:shd w:val="clear" w:color="auto" w:fill="FFFFFF"/>
            <w:vAlign w:val="center"/>
          </w:tcPr>
          <w:p w14:paraId="2BBB1902" w14:textId="77777777" w:rsidR="000B4835" w:rsidRPr="00CF31E0" w:rsidRDefault="000B4835"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rFonts w:eastAsia="Calibri"/>
                <w:color w:val="000000" w:themeColor="text1"/>
                <w:sz w:val="22"/>
                <w:szCs w:val="22"/>
                <w:lang w:eastAsia="en-US"/>
              </w:rPr>
              <w:t>3.4931</w:t>
            </w:r>
          </w:p>
        </w:tc>
        <w:tc>
          <w:tcPr>
            <w:tcW w:w="1694" w:type="dxa"/>
            <w:tcBorders>
              <w:top w:val="nil"/>
            </w:tcBorders>
            <w:shd w:val="clear" w:color="auto" w:fill="FFFFFF"/>
            <w:vAlign w:val="center"/>
          </w:tcPr>
          <w:p w14:paraId="43BB228A" w14:textId="77777777" w:rsidR="000B4835" w:rsidRPr="00CF31E0" w:rsidRDefault="000B4835"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rFonts w:eastAsia="Calibri"/>
                <w:color w:val="000000" w:themeColor="text1"/>
                <w:sz w:val="22"/>
                <w:szCs w:val="22"/>
                <w:lang w:eastAsia="en-US"/>
              </w:rPr>
              <w:t>1.15351</w:t>
            </w:r>
          </w:p>
        </w:tc>
      </w:tr>
      <w:tr w:rsidR="007F558A" w:rsidRPr="00CF31E0" w14:paraId="57D9B562" w14:textId="77777777" w:rsidTr="000B4835">
        <w:trPr>
          <w:cantSplit/>
          <w:trHeight w:val="370"/>
        </w:trPr>
        <w:tc>
          <w:tcPr>
            <w:tcW w:w="3666" w:type="dxa"/>
            <w:shd w:val="clear" w:color="auto" w:fill="FFFFFF"/>
          </w:tcPr>
          <w:p w14:paraId="2521373E" w14:textId="77777777" w:rsidR="000B4835" w:rsidRPr="00CF31E0" w:rsidRDefault="000B4835"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rFonts w:eastAsia="Calibri"/>
                <w:color w:val="000000" w:themeColor="text1"/>
                <w:sz w:val="22"/>
                <w:szCs w:val="22"/>
                <w:lang w:eastAsia="en-US"/>
              </w:rPr>
              <w:t>Traditional</w:t>
            </w:r>
          </w:p>
        </w:tc>
        <w:tc>
          <w:tcPr>
            <w:tcW w:w="1348" w:type="dxa"/>
            <w:shd w:val="clear" w:color="auto" w:fill="FFFFFF"/>
            <w:vAlign w:val="center"/>
          </w:tcPr>
          <w:p w14:paraId="065109C9" w14:textId="77777777" w:rsidR="000B4835" w:rsidRPr="00CF31E0" w:rsidRDefault="000B4835"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rFonts w:eastAsia="Calibri"/>
                <w:color w:val="000000" w:themeColor="text1"/>
                <w:sz w:val="22"/>
                <w:szCs w:val="22"/>
                <w:lang w:eastAsia="en-US"/>
              </w:rPr>
              <w:t>3.1834</w:t>
            </w:r>
          </w:p>
        </w:tc>
        <w:tc>
          <w:tcPr>
            <w:tcW w:w="1694" w:type="dxa"/>
            <w:shd w:val="clear" w:color="auto" w:fill="FFFFFF"/>
            <w:vAlign w:val="center"/>
          </w:tcPr>
          <w:p w14:paraId="6DF129B3" w14:textId="77777777" w:rsidR="000B4835" w:rsidRPr="00CF31E0" w:rsidRDefault="000B4835"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rFonts w:eastAsia="Calibri"/>
                <w:color w:val="000000" w:themeColor="text1"/>
                <w:sz w:val="22"/>
                <w:szCs w:val="22"/>
                <w:lang w:eastAsia="en-US"/>
              </w:rPr>
              <w:t>1.19875</w:t>
            </w:r>
          </w:p>
        </w:tc>
      </w:tr>
      <w:tr w:rsidR="007F558A" w:rsidRPr="00CF31E0" w14:paraId="267FCC0C" w14:textId="77777777" w:rsidTr="000B4835">
        <w:trPr>
          <w:cantSplit/>
          <w:trHeight w:val="370"/>
        </w:trPr>
        <w:tc>
          <w:tcPr>
            <w:tcW w:w="3666" w:type="dxa"/>
            <w:shd w:val="clear" w:color="auto" w:fill="FFFFFF"/>
          </w:tcPr>
          <w:p w14:paraId="56104618" w14:textId="77777777" w:rsidR="000B4835" w:rsidRPr="00CF31E0" w:rsidRDefault="000B4835" w:rsidP="00603CB7">
            <w:pPr>
              <w:widowControl w:val="0"/>
              <w:autoSpaceDE w:val="0"/>
              <w:autoSpaceDN w:val="0"/>
              <w:adjustRightInd w:val="0"/>
              <w:spacing w:before="120" w:after="120"/>
              <w:ind w:left="62" w:right="62"/>
              <w:rPr>
                <w:rFonts w:eastAsia="Calibri"/>
                <w:color w:val="000000" w:themeColor="text1"/>
                <w:sz w:val="22"/>
                <w:szCs w:val="22"/>
                <w:lang w:eastAsia="en-US"/>
              </w:rPr>
            </w:pPr>
            <w:r w:rsidRPr="00CF31E0">
              <w:rPr>
                <w:rFonts w:eastAsia="Calibri"/>
                <w:color w:val="000000" w:themeColor="text1"/>
                <w:sz w:val="22"/>
                <w:szCs w:val="22"/>
                <w:lang w:eastAsia="en-US"/>
              </w:rPr>
              <w:t>Modern</w:t>
            </w:r>
          </w:p>
        </w:tc>
        <w:tc>
          <w:tcPr>
            <w:tcW w:w="1348" w:type="dxa"/>
            <w:shd w:val="clear" w:color="auto" w:fill="FFFFFF"/>
            <w:vAlign w:val="center"/>
          </w:tcPr>
          <w:p w14:paraId="495DEA39" w14:textId="77777777" w:rsidR="000B4835" w:rsidRPr="00CF31E0" w:rsidRDefault="000B4835" w:rsidP="00603CB7">
            <w:pPr>
              <w:widowControl w:val="0"/>
              <w:autoSpaceDE w:val="0"/>
              <w:autoSpaceDN w:val="0"/>
              <w:adjustRightInd w:val="0"/>
              <w:spacing w:before="120" w:after="120"/>
              <w:ind w:left="62" w:right="62"/>
              <w:rPr>
                <w:rFonts w:eastAsia="Calibri"/>
                <w:color w:val="000000" w:themeColor="text1"/>
                <w:sz w:val="22"/>
                <w:szCs w:val="22"/>
                <w:lang w:eastAsia="en-US"/>
              </w:rPr>
            </w:pPr>
            <w:r w:rsidRPr="00CF31E0">
              <w:rPr>
                <w:rFonts w:eastAsia="Calibri"/>
                <w:color w:val="000000" w:themeColor="text1"/>
                <w:sz w:val="22"/>
                <w:szCs w:val="22"/>
                <w:lang w:eastAsia="en-US"/>
              </w:rPr>
              <w:t>3.3945</w:t>
            </w:r>
          </w:p>
        </w:tc>
        <w:tc>
          <w:tcPr>
            <w:tcW w:w="1694" w:type="dxa"/>
            <w:shd w:val="clear" w:color="auto" w:fill="FFFFFF"/>
            <w:vAlign w:val="center"/>
          </w:tcPr>
          <w:p w14:paraId="32EF6EF0" w14:textId="77777777" w:rsidR="000B4835" w:rsidRPr="00CF31E0" w:rsidRDefault="000B4835" w:rsidP="00603CB7">
            <w:pPr>
              <w:widowControl w:val="0"/>
              <w:autoSpaceDE w:val="0"/>
              <w:autoSpaceDN w:val="0"/>
              <w:adjustRightInd w:val="0"/>
              <w:spacing w:before="120" w:after="120"/>
              <w:ind w:left="62" w:right="62"/>
              <w:rPr>
                <w:rFonts w:eastAsia="Calibri"/>
                <w:color w:val="000000" w:themeColor="text1"/>
                <w:sz w:val="22"/>
                <w:szCs w:val="22"/>
                <w:lang w:eastAsia="en-US"/>
              </w:rPr>
            </w:pPr>
            <w:r w:rsidRPr="00CF31E0">
              <w:rPr>
                <w:rFonts w:eastAsia="Calibri"/>
                <w:color w:val="000000" w:themeColor="text1"/>
                <w:sz w:val="22"/>
                <w:szCs w:val="22"/>
                <w:lang w:eastAsia="en-US"/>
              </w:rPr>
              <w:t>1.18830</w:t>
            </w:r>
          </w:p>
        </w:tc>
      </w:tr>
    </w:tbl>
    <w:p w14:paraId="0FC3C08E" w14:textId="5B947613" w:rsidR="000B4835" w:rsidRPr="00CF31E0" w:rsidRDefault="000B4835" w:rsidP="00F61455">
      <w:pPr>
        <w:pStyle w:val="Tablecaption"/>
        <w:rPr>
          <w:lang w:eastAsia="en-US"/>
        </w:rPr>
      </w:pPr>
      <w:bookmarkStart w:id="889" w:name="_Toc522527492"/>
      <w:bookmarkStart w:id="890" w:name="_Toc522628905"/>
      <w:bookmarkStart w:id="891" w:name="_Toc522629069"/>
      <w:bookmarkStart w:id="892" w:name="_Toc6473167"/>
      <w:r w:rsidRPr="00CF31E0">
        <w:rPr>
          <w:lang w:eastAsia="en-US"/>
        </w:rPr>
        <w:t>Table</w:t>
      </w:r>
      <w:r w:rsidR="009809EE" w:rsidRPr="00CF31E0">
        <w:rPr>
          <w:lang w:eastAsia="en-US"/>
        </w:rPr>
        <w:t xml:space="preserve"> </w:t>
      </w:r>
      <w:r w:rsidR="00F61455" w:rsidRPr="00CF31E0">
        <w:rPr>
          <w:lang w:eastAsia="en-US"/>
        </w:rPr>
        <w:t>11</w:t>
      </w:r>
      <w:r w:rsidR="009809EE" w:rsidRPr="00CF31E0">
        <w:rPr>
          <w:lang w:eastAsia="en-US"/>
        </w:rPr>
        <w:t>.</w:t>
      </w:r>
      <w:r w:rsidR="00F61455" w:rsidRPr="00CF31E0">
        <w:rPr>
          <w:lang w:eastAsia="en-US"/>
        </w:rPr>
        <w:t>29</w:t>
      </w:r>
      <w:r w:rsidR="009809EE" w:rsidRPr="00CF31E0">
        <w:rPr>
          <w:lang w:eastAsia="en-US"/>
        </w:rPr>
        <w:t xml:space="preserve">: </w:t>
      </w:r>
      <w:r w:rsidRPr="00CF31E0">
        <w:rPr>
          <w:lang w:eastAsia="en-US"/>
        </w:rPr>
        <w:t>Mean scores for rating scales of VS1</w:t>
      </w:r>
      <w:r w:rsidR="009809EE" w:rsidRPr="00CF31E0">
        <w:rPr>
          <w:lang w:eastAsia="en-US"/>
        </w:rPr>
        <w:t>.</w:t>
      </w:r>
      <w:bookmarkEnd w:id="889"/>
      <w:bookmarkEnd w:id="890"/>
      <w:bookmarkEnd w:id="891"/>
      <w:bookmarkEnd w:id="892"/>
    </w:p>
    <w:p w14:paraId="63BEB30B" w14:textId="77777777" w:rsidR="000B4835" w:rsidRPr="00CF31E0" w:rsidRDefault="000B4835" w:rsidP="00603CB7">
      <w:pPr>
        <w:pStyle w:val="Paragraph"/>
        <w:rPr>
          <w:lang w:eastAsia="en-US"/>
        </w:rPr>
      </w:pPr>
      <w:r w:rsidRPr="00CF31E0">
        <w:rPr>
          <w:lang w:eastAsia="en-US"/>
        </w:rPr>
        <w:lastRenderedPageBreak/>
        <w:t xml:space="preserve">As can be seen, VS1 received the highest ratings for being the most similar to other Arabic dialects. The second highest ratings were for the modern characteristic. This was followed by the traditional characteristic, while the serious characteristic received the lowest ratings. </w:t>
      </w:r>
    </w:p>
    <w:p w14:paraId="0759C354" w14:textId="55476908" w:rsidR="000B4835" w:rsidRPr="00CF31E0" w:rsidRDefault="00F61455" w:rsidP="00F55269">
      <w:pPr>
        <w:pStyle w:val="Dhead"/>
        <w:rPr>
          <w:rFonts w:eastAsia="Calibri"/>
        </w:rPr>
      </w:pPr>
      <w:bookmarkStart w:id="893" w:name="_Toc6472789"/>
      <w:r w:rsidRPr="00CF31E0">
        <w:rPr>
          <w:rFonts w:eastAsia="Calibri"/>
        </w:rPr>
        <w:t>11</w:t>
      </w:r>
      <w:r w:rsidR="009809EE" w:rsidRPr="00CF31E0">
        <w:rPr>
          <w:rFonts w:eastAsia="Calibri"/>
        </w:rPr>
        <w:t>.3.1.2.</w:t>
      </w:r>
      <w:r w:rsidR="00F55269" w:rsidRPr="00CF31E0">
        <w:rPr>
          <w:rFonts w:eastAsia="Calibri"/>
        </w:rPr>
        <w:t>2</w:t>
      </w:r>
      <w:r w:rsidR="009809EE" w:rsidRPr="00CF31E0">
        <w:rPr>
          <w:rFonts w:eastAsia="Calibri"/>
        </w:rPr>
        <w:t>.</w:t>
      </w:r>
      <w:r w:rsidR="00D2523E" w:rsidRPr="00CF31E0">
        <w:rPr>
          <w:rFonts w:eastAsia="Calibri"/>
        </w:rPr>
        <w:tab/>
      </w:r>
      <w:r w:rsidR="000B4835" w:rsidRPr="00CF31E0">
        <w:rPr>
          <w:rFonts w:eastAsia="Calibri"/>
        </w:rPr>
        <w:t>Voice sample 3</w:t>
      </w:r>
      <w:bookmarkEnd w:id="893"/>
      <w:r w:rsidR="000B4835" w:rsidRPr="00CF31E0">
        <w:rPr>
          <w:rFonts w:eastAsia="Calibri"/>
        </w:rPr>
        <w:t xml:space="preserve"> </w:t>
      </w:r>
    </w:p>
    <w:p w14:paraId="256B6AF7" w14:textId="36C911F9" w:rsidR="0055355E" w:rsidRPr="00CF31E0" w:rsidRDefault="000B4835" w:rsidP="00F50E67">
      <w:pPr>
        <w:pStyle w:val="Paragraph"/>
        <w:rPr>
          <w:lang w:eastAsia="en-US"/>
        </w:rPr>
      </w:pPr>
      <w:r w:rsidRPr="00CF31E0">
        <w:rPr>
          <w:lang w:eastAsia="en-US"/>
        </w:rPr>
        <w:t xml:space="preserve">The mean scores comparison for VS3 shows that the modern scale received the highest mean score in this voice sample. See Table </w:t>
      </w:r>
      <w:r w:rsidR="00F61455" w:rsidRPr="00CF31E0">
        <w:rPr>
          <w:lang w:eastAsia="en-US"/>
        </w:rPr>
        <w:t>11</w:t>
      </w:r>
      <w:r w:rsidR="009809EE" w:rsidRPr="00CF31E0">
        <w:rPr>
          <w:lang w:eastAsia="en-US"/>
        </w:rPr>
        <w:t>.30</w:t>
      </w:r>
      <w:r w:rsidRPr="00CF31E0">
        <w:rPr>
          <w:lang w:eastAsia="en-US"/>
        </w:rPr>
        <w:t>.</w:t>
      </w:r>
    </w:p>
    <w:tbl>
      <w:tblPr>
        <w:tblW w:w="6708"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666"/>
        <w:gridCol w:w="1348"/>
        <w:gridCol w:w="1694"/>
      </w:tblGrid>
      <w:tr w:rsidR="00CE47FB" w:rsidRPr="00CF31E0" w14:paraId="1A82555F" w14:textId="77777777" w:rsidTr="00645D13">
        <w:trPr>
          <w:cantSplit/>
          <w:trHeight w:val="370"/>
        </w:trPr>
        <w:tc>
          <w:tcPr>
            <w:tcW w:w="3666" w:type="dxa"/>
            <w:tcBorders>
              <w:top w:val="single" w:sz="4" w:space="0" w:color="auto"/>
              <w:bottom w:val="single" w:sz="4" w:space="0" w:color="auto"/>
            </w:tcBorders>
            <w:shd w:val="clear" w:color="auto" w:fill="FFFFFF"/>
            <w:vAlign w:val="bottom"/>
          </w:tcPr>
          <w:p w14:paraId="6C4E4E84" w14:textId="77777777" w:rsidR="00CE47FB" w:rsidRPr="00CF31E0" w:rsidRDefault="00CE47FB" w:rsidP="00603CB7">
            <w:pPr>
              <w:spacing w:before="120" w:after="120"/>
              <w:rPr>
                <w:rFonts w:eastAsia="Calibri"/>
                <w:color w:val="000000" w:themeColor="text1"/>
                <w:sz w:val="22"/>
                <w:szCs w:val="22"/>
                <w:lang w:eastAsia="en-US"/>
              </w:rPr>
            </w:pPr>
          </w:p>
        </w:tc>
        <w:tc>
          <w:tcPr>
            <w:tcW w:w="1348" w:type="dxa"/>
            <w:tcBorders>
              <w:top w:val="single" w:sz="4" w:space="0" w:color="auto"/>
              <w:bottom w:val="single" w:sz="4" w:space="0" w:color="auto"/>
            </w:tcBorders>
            <w:shd w:val="clear" w:color="auto" w:fill="FFFFFF"/>
            <w:vAlign w:val="bottom"/>
          </w:tcPr>
          <w:p w14:paraId="13271937" w14:textId="77777777" w:rsidR="00CE47FB" w:rsidRPr="00CF31E0" w:rsidRDefault="00CE47FB"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rFonts w:eastAsia="Calibri"/>
                <w:color w:val="000000" w:themeColor="text1"/>
                <w:sz w:val="22"/>
                <w:szCs w:val="22"/>
                <w:lang w:eastAsia="en-US"/>
              </w:rPr>
              <w:t>Mean</w:t>
            </w:r>
          </w:p>
        </w:tc>
        <w:tc>
          <w:tcPr>
            <w:tcW w:w="1694" w:type="dxa"/>
            <w:tcBorders>
              <w:top w:val="single" w:sz="4" w:space="0" w:color="auto"/>
              <w:bottom w:val="single" w:sz="4" w:space="0" w:color="auto"/>
            </w:tcBorders>
            <w:shd w:val="clear" w:color="auto" w:fill="FFFFFF"/>
            <w:vAlign w:val="bottom"/>
          </w:tcPr>
          <w:p w14:paraId="5DFEFED0" w14:textId="77777777" w:rsidR="00CE47FB" w:rsidRPr="00CF31E0" w:rsidRDefault="00CE47FB"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rFonts w:eastAsia="Calibri"/>
                <w:color w:val="000000" w:themeColor="text1"/>
                <w:sz w:val="22"/>
                <w:szCs w:val="22"/>
                <w:lang w:eastAsia="en-US"/>
              </w:rPr>
              <w:t>Std. Deviation</w:t>
            </w:r>
          </w:p>
        </w:tc>
      </w:tr>
      <w:tr w:rsidR="00CE47FB" w:rsidRPr="00CF31E0" w14:paraId="6AFA32DD" w14:textId="77777777" w:rsidTr="00603CB7">
        <w:trPr>
          <w:cantSplit/>
          <w:trHeight w:val="370"/>
        </w:trPr>
        <w:tc>
          <w:tcPr>
            <w:tcW w:w="3666" w:type="dxa"/>
            <w:tcBorders>
              <w:top w:val="single" w:sz="4" w:space="0" w:color="auto"/>
              <w:bottom w:val="nil"/>
            </w:tcBorders>
            <w:shd w:val="clear" w:color="auto" w:fill="FFFFFF"/>
          </w:tcPr>
          <w:p w14:paraId="1511CEE4" w14:textId="77777777" w:rsidR="00CE47FB" w:rsidRPr="00CF31E0" w:rsidRDefault="00CE47FB"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rFonts w:eastAsia="Calibri"/>
                <w:color w:val="000000" w:themeColor="text1"/>
                <w:sz w:val="22"/>
                <w:szCs w:val="22"/>
                <w:lang w:eastAsia="en-US"/>
              </w:rPr>
              <w:t>Serious</w:t>
            </w:r>
          </w:p>
        </w:tc>
        <w:tc>
          <w:tcPr>
            <w:tcW w:w="1348" w:type="dxa"/>
            <w:tcBorders>
              <w:top w:val="single" w:sz="4" w:space="0" w:color="auto"/>
              <w:bottom w:val="nil"/>
            </w:tcBorders>
            <w:shd w:val="clear" w:color="auto" w:fill="FFFFFF"/>
          </w:tcPr>
          <w:p w14:paraId="673ACF33" w14:textId="2370F28E" w:rsidR="00CE47FB" w:rsidRPr="00CF31E0" w:rsidRDefault="00CE47FB"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color w:val="000000" w:themeColor="text1"/>
                <w:sz w:val="22"/>
                <w:szCs w:val="22"/>
              </w:rPr>
              <w:t>1.7273</w:t>
            </w:r>
          </w:p>
        </w:tc>
        <w:tc>
          <w:tcPr>
            <w:tcW w:w="1694" w:type="dxa"/>
            <w:tcBorders>
              <w:top w:val="single" w:sz="4" w:space="0" w:color="auto"/>
              <w:bottom w:val="nil"/>
            </w:tcBorders>
            <w:shd w:val="clear" w:color="auto" w:fill="FFFFFF"/>
          </w:tcPr>
          <w:p w14:paraId="562BD794" w14:textId="085EFA5C" w:rsidR="00CE47FB" w:rsidRPr="00CF31E0" w:rsidRDefault="00CE47FB"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color w:val="000000" w:themeColor="text1"/>
                <w:sz w:val="22"/>
                <w:szCs w:val="22"/>
              </w:rPr>
              <w:t>1.14040</w:t>
            </w:r>
          </w:p>
        </w:tc>
      </w:tr>
      <w:tr w:rsidR="00CE47FB" w:rsidRPr="00CF31E0" w14:paraId="4FF3E534" w14:textId="77777777" w:rsidTr="00603CB7">
        <w:trPr>
          <w:cantSplit/>
          <w:trHeight w:val="359"/>
        </w:trPr>
        <w:tc>
          <w:tcPr>
            <w:tcW w:w="3666" w:type="dxa"/>
            <w:tcBorders>
              <w:top w:val="nil"/>
            </w:tcBorders>
            <w:shd w:val="clear" w:color="auto" w:fill="FFFFFF"/>
          </w:tcPr>
          <w:p w14:paraId="1B7E29EB" w14:textId="77777777" w:rsidR="00CE47FB" w:rsidRPr="00CF31E0" w:rsidRDefault="00CE47FB"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rFonts w:eastAsia="Calibri"/>
                <w:color w:val="000000" w:themeColor="text1"/>
                <w:sz w:val="22"/>
                <w:szCs w:val="22"/>
                <w:lang w:eastAsia="en-US"/>
              </w:rPr>
              <w:t>Similar to other Arabic dialects</w:t>
            </w:r>
          </w:p>
        </w:tc>
        <w:tc>
          <w:tcPr>
            <w:tcW w:w="1348" w:type="dxa"/>
            <w:tcBorders>
              <w:top w:val="nil"/>
            </w:tcBorders>
            <w:shd w:val="clear" w:color="auto" w:fill="FFFFFF"/>
          </w:tcPr>
          <w:p w14:paraId="521AE9EC" w14:textId="4A769524" w:rsidR="00CE47FB" w:rsidRPr="00CF31E0" w:rsidRDefault="00CE47FB"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color w:val="000000" w:themeColor="text1"/>
                <w:sz w:val="22"/>
                <w:szCs w:val="22"/>
              </w:rPr>
              <w:t>3.1741</w:t>
            </w:r>
          </w:p>
        </w:tc>
        <w:tc>
          <w:tcPr>
            <w:tcW w:w="1694" w:type="dxa"/>
            <w:tcBorders>
              <w:top w:val="nil"/>
            </w:tcBorders>
            <w:shd w:val="clear" w:color="auto" w:fill="FFFFFF"/>
          </w:tcPr>
          <w:p w14:paraId="6D8CDC7F" w14:textId="194F1FBF" w:rsidR="00CE47FB" w:rsidRPr="00CF31E0" w:rsidRDefault="00CE47FB"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color w:val="000000" w:themeColor="text1"/>
                <w:sz w:val="22"/>
                <w:szCs w:val="22"/>
              </w:rPr>
              <w:t>1.14620</w:t>
            </w:r>
          </w:p>
        </w:tc>
      </w:tr>
      <w:tr w:rsidR="00CE47FB" w:rsidRPr="00CF31E0" w14:paraId="34902A64" w14:textId="77777777" w:rsidTr="00603CB7">
        <w:trPr>
          <w:cantSplit/>
          <w:trHeight w:val="370"/>
        </w:trPr>
        <w:tc>
          <w:tcPr>
            <w:tcW w:w="3666" w:type="dxa"/>
            <w:shd w:val="clear" w:color="auto" w:fill="FFFFFF"/>
          </w:tcPr>
          <w:p w14:paraId="5AACD97A" w14:textId="77777777" w:rsidR="00CE47FB" w:rsidRPr="00CF31E0" w:rsidRDefault="00CE47FB"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rFonts w:eastAsia="Calibri"/>
                <w:color w:val="000000" w:themeColor="text1"/>
                <w:sz w:val="22"/>
                <w:szCs w:val="22"/>
                <w:lang w:eastAsia="en-US"/>
              </w:rPr>
              <w:t>Traditional</w:t>
            </w:r>
          </w:p>
        </w:tc>
        <w:tc>
          <w:tcPr>
            <w:tcW w:w="1348" w:type="dxa"/>
            <w:shd w:val="clear" w:color="auto" w:fill="FFFFFF"/>
          </w:tcPr>
          <w:p w14:paraId="341FF224" w14:textId="56179569" w:rsidR="00CE47FB" w:rsidRPr="00CF31E0" w:rsidRDefault="00CE47FB"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color w:val="000000" w:themeColor="text1"/>
                <w:sz w:val="22"/>
                <w:szCs w:val="22"/>
              </w:rPr>
              <w:t>2.8829</w:t>
            </w:r>
          </w:p>
        </w:tc>
        <w:tc>
          <w:tcPr>
            <w:tcW w:w="1694" w:type="dxa"/>
            <w:shd w:val="clear" w:color="auto" w:fill="FFFFFF"/>
          </w:tcPr>
          <w:p w14:paraId="48991A3B" w14:textId="07C63549" w:rsidR="00CE47FB" w:rsidRPr="00CF31E0" w:rsidRDefault="00CE47FB"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color w:val="000000" w:themeColor="text1"/>
                <w:sz w:val="22"/>
                <w:szCs w:val="22"/>
              </w:rPr>
              <w:t>1.17661</w:t>
            </w:r>
          </w:p>
        </w:tc>
      </w:tr>
      <w:tr w:rsidR="00CE47FB" w:rsidRPr="00CF31E0" w14:paraId="19A230E7" w14:textId="77777777" w:rsidTr="00603CB7">
        <w:trPr>
          <w:cantSplit/>
          <w:trHeight w:val="370"/>
        </w:trPr>
        <w:tc>
          <w:tcPr>
            <w:tcW w:w="3666" w:type="dxa"/>
            <w:shd w:val="clear" w:color="auto" w:fill="FFFFFF"/>
          </w:tcPr>
          <w:p w14:paraId="19B719D1" w14:textId="77777777" w:rsidR="00CE47FB" w:rsidRPr="00CF31E0" w:rsidRDefault="00CE47FB" w:rsidP="00603CB7">
            <w:pPr>
              <w:widowControl w:val="0"/>
              <w:autoSpaceDE w:val="0"/>
              <w:autoSpaceDN w:val="0"/>
              <w:adjustRightInd w:val="0"/>
              <w:spacing w:before="120" w:after="120"/>
              <w:ind w:left="62" w:right="62"/>
              <w:rPr>
                <w:rFonts w:eastAsia="Calibri"/>
                <w:color w:val="000000" w:themeColor="text1"/>
                <w:sz w:val="22"/>
                <w:szCs w:val="22"/>
                <w:lang w:eastAsia="en-US"/>
              </w:rPr>
            </w:pPr>
            <w:r w:rsidRPr="00CF31E0">
              <w:rPr>
                <w:rFonts w:eastAsia="Calibri"/>
                <w:color w:val="000000" w:themeColor="text1"/>
                <w:sz w:val="22"/>
                <w:szCs w:val="22"/>
                <w:lang w:eastAsia="en-US"/>
              </w:rPr>
              <w:t>Modern</w:t>
            </w:r>
          </w:p>
        </w:tc>
        <w:tc>
          <w:tcPr>
            <w:tcW w:w="1348" w:type="dxa"/>
            <w:shd w:val="clear" w:color="auto" w:fill="FFFFFF"/>
          </w:tcPr>
          <w:p w14:paraId="20663873" w14:textId="604E86AC" w:rsidR="00CE47FB" w:rsidRPr="00CF31E0" w:rsidRDefault="00CE47FB" w:rsidP="00603CB7">
            <w:pPr>
              <w:widowControl w:val="0"/>
              <w:autoSpaceDE w:val="0"/>
              <w:autoSpaceDN w:val="0"/>
              <w:adjustRightInd w:val="0"/>
              <w:spacing w:before="120" w:after="120"/>
              <w:ind w:left="62" w:right="62"/>
              <w:rPr>
                <w:rFonts w:eastAsia="Calibri"/>
                <w:color w:val="000000" w:themeColor="text1"/>
                <w:sz w:val="22"/>
                <w:szCs w:val="22"/>
                <w:lang w:eastAsia="en-US"/>
              </w:rPr>
            </w:pPr>
            <w:r w:rsidRPr="00CF31E0">
              <w:rPr>
                <w:color w:val="000000" w:themeColor="text1"/>
                <w:sz w:val="22"/>
                <w:szCs w:val="22"/>
              </w:rPr>
              <w:t>3.6225</w:t>
            </w:r>
          </w:p>
        </w:tc>
        <w:tc>
          <w:tcPr>
            <w:tcW w:w="1694" w:type="dxa"/>
            <w:shd w:val="clear" w:color="auto" w:fill="FFFFFF"/>
          </w:tcPr>
          <w:p w14:paraId="0C905F3C" w14:textId="6FBBDC4E" w:rsidR="00CE47FB" w:rsidRPr="00CF31E0" w:rsidRDefault="00CE47FB" w:rsidP="00603CB7">
            <w:pPr>
              <w:widowControl w:val="0"/>
              <w:autoSpaceDE w:val="0"/>
              <w:autoSpaceDN w:val="0"/>
              <w:adjustRightInd w:val="0"/>
              <w:spacing w:before="120" w:after="120"/>
              <w:ind w:left="62" w:right="62"/>
              <w:rPr>
                <w:rFonts w:eastAsia="Calibri"/>
                <w:color w:val="000000" w:themeColor="text1"/>
                <w:sz w:val="22"/>
                <w:szCs w:val="22"/>
                <w:lang w:eastAsia="en-US"/>
              </w:rPr>
            </w:pPr>
            <w:r w:rsidRPr="00CF31E0">
              <w:rPr>
                <w:color w:val="000000" w:themeColor="text1"/>
                <w:sz w:val="22"/>
                <w:szCs w:val="22"/>
              </w:rPr>
              <w:t>1.20602</w:t>
            </w:r>
          </w:p>
        </w:tc>
      </w:tr>
    </w:tbl>
    <w:p w14:paraId="2729FF96" w14:textId="0DE0CD2D" w:rsidR="000B4835" w:rsidRPr="00CF31E0" w:rsidRDefault="000B4835" w:rsidP="00546CAF">
      <w:pPr>
        <w:pStyle w:val="Tablecaption"/>
        <w:rPr>
          <w:lang w:eastAsia="en-US"/>
        </w:rPr>
      </w:pPr>
      <w:bookmarkStart w:id="894" w:name="_Toc522527494"/>
      <w:bookmarkStart w:id="895" w:name="_Toc522628907"/>
      <w:bookmarkStart w:id="896" w:name="_Toc522629071"/>
      <w:bookmarkStart w:id="897" w:name="_Toc6473168"/>
      <w:r w:rsidRPr="00CF31E0">
        <w:rPr>
          <w:lang w:eastAsia="en-US"/>
        </w:rPr>
        <w:t>Table</w:t>
      </w:r>
      <w:r w:rsidR="009809EE" w:rsidRPr="00CF31E0">
        <w:rPr>
          <w:lang w:eastAsia="en-US"/>
        </w:rPr>
        <w:t xml:space="preserve"> </w:t>
      </w:r>
      <w:r w:rsidR="00546CAF" w:rsidRPr="00CF31E0">
        <w:rPr>
          <w:lang w:eastAsia="en-US"/>
        </w:rPr>
        <w:t>11</w:t>
      </w:r>
      <w:r w:rsidR="009809EE" w:rsidRPr="00CF31E0">
        <w:rPr>
          <w:lang w:eastAsia="en-US"/>
        </w:rPr>
        <w:t xml:space="preserve">.30: </w:t>
      </w:r>
      <w:r w:rsidRPr="00CF31E0">
        <w:rPr>
          <w:lang w:eastAsia="en-US"/>
        </w:rPr>
        <w:t>Mean scores for rating scales of VS3</w:t>
      </w:r>
      <w:r w:rsidR="009809EE" w:rsidRPr="00CF31E0">
        <w:rPr>
          <w:lang w:eastAsia="en-US"/>
        </w:rPr>
        <w:t>.</w:t>
      </w:r>
      <w:bookmarkEnd w:id="894"/>
      <w:bookmarkEnd w:id="895"/>
      <w:bookmarkEnd w:id="896"/>
      <w:bookmarkEnd w:id="897"/>
    </w:p>
    <w:p w14:paraId="113EEA72" w14:textId="77777777" w:rsidR="000B4835" w:rsidRPr="00CF31E0" w:rsidRDefault="000B4835" w:rsidP="00603CB7">
      <w:pPr>
        <w:pStyle w:val="Paragraph"/>
        <w:rPr>
          <w:lang w:eastAsia="en-US"/>
        </w:rPr>
      </w:pPr>
      <w:r w:rsidRPr="00CF31E0">
        <w:rPr>
          <w:lang w:eastAsia="en-US"/>
        </w:rPr>
        <w:t xml:space="preserve">It is very apparent from the table above that this voice sample received the highest ratings in the modern scale and the lowest in the serious scale. The ratings for the similar to other Arabic dialects scale and the traditional scale are situated between the highest and the lowest mean scores. </w:t>
      </w:r>
    </w:p>
    <w:p w14:paraId="053CCF46" w14:textId="260FD8FA" w:rsidR="0016727D" w:rsidRPr="00CF31E0" w:rsidRDefault="00546CAF" w:rsidP="0041475C">
      <w:pPr>
        <w:pStyle w:val="Dhead"/>
        <w:rPr>
          <w:rFonts w:eastAsia="Calibri"/>
        </w:rPr>
      </w:pPr>
      <w:bookmarkStart w:id="898" w:name="_Toc6472790"/>
      <w:r w:rsidRPr="00CF31E0">
        <w:rPr>
          <w:rFonts w:eastAsia="Calibri"/>
        </w:rPr>
        <w:t>11</w:t>
      </w:r>
      <w:r w:rsidR="0016727D" w:rsidRPr="00CF31E0">
        <w:rPr>
          <w:rFonts w:eastAsia="Calibri"/>
        </w:rPr>
        <w:t>.3.1.2.</w:t>
      </w:r>
      <w:r w:rsidR="0041475C" w:rsidRPr="00CF31E0">
        <w:rPr>
          <w:rFonts w:eastAsia="Calibri"/>
        </w:rPr>
        <w:t>3</w:t>
      </w:r>
      <w:r w:rsidR="0016727D" w:rsidRPr="00CF31E0">
        <w:rPr>
          <w:rFonts w:eastAsia="Calibri"/>
        </w:rPr>
        <w:t>.</w:t>
      </w:r>
      <w:r w:rsidR="0016727D" w:rsidRPr="00CF31E0">
        <w:rPr>
          <w:rFonts w:eastAsia="Calibri"/>
        </w:rPr>
        <w:tab/>
        <w:t>Voice sample 2</w:t>
      </w:r>
      <w:bookmarkEnd w:id="898"/>
    </w:p>
    <w:p w14:paraId="08E85D81" w14:textId="30D41177" w:rsidR="0016727D" w:rsidRPr="00CF31E0" w:rsidRDefault="0016727D" w:rsidP="00603CB7">
      <w:pPr>
        <w:pStyle w:val="Paragraph"/>
        <w:rPr>
          <w:lang w:eastAsia="en-US"/>
        </w:rPr>
      </w:pPr>
      <w:r w:rsidRPr="00CF31E0">
        <w:rPr>
          <w:lang w:eastAsia="en-US"/>
        </w:rPr>
        <w:t xml:space="preserve">The mean score comparison for the scales of VS2 shows that the traditional scale received the highest mean score. See Table </w:t>
      </w:r>
      <w:r w:rsidR="00546CAF" w:rsidRPr="00CF31E0">
        <w:rPr>
          <w:lang w:eastAsia="en-US"/>
        </w:rPr>
        <w:t>11</w:t>
      </w:r>
      <w:r w:rsidRPr="00CF31E0">
        <w:rPr>
          <w:lang w:eastAsia="en-US"/>
        </w:rPr>
        <w:t>.</w:t>
      </w:r>
      <w:r w:rsidR="00546CAF" w:rsidRPr="00CF31E0">
        <w:rPr>
          <w:lang w:eastAsia="en-US"/>
        </w:rPr>
        <w:t xml:space="preserve">31 </w:t>
      </w:r>
      <w:r w:rsidRPr="00CF31E0">
        <w:rPr>
          <w:lang w:eastAsia="en-US"/>
        </w:rPr>
        <w:t xml:space="preserve">below. </w:t>
      </w:r>
    </w:p>
    <w:tbl>
      <w:tblPr>
        <w:tblW w:w="6713"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650"/>
        <w:gridCol w:w="1462"/>
        <w:gridCol w:w="1601"/>
      </w:tblGrid>
      <w:tr w:rsidR="00CE47FB" w:rsidRPr="00CF31E0" w14:paraId="732EB59E" w14:textId="77777777" w:rsidTr="00645D13">
        <w:trPr>
          <w:cantSplit/>
          <w:trHeight w:val="419"/>
        </w:trPr>
        <w:tc>
          <w:tcPr>
            <w:tcW w:w="3650" w:type="dxa"/>
            <w:tcBorders>
              <w:top w:val="single" w:sz="4" w:space="0" w:color="auto"/>
              <w:bottom w:val="single" w:sz="4" w:space="0" w:color="auto"/>
            </w:tcBorders>
            <w:shd w:val="clear" w:color="auto" w:fill="FFFFFF"/>
            <w:vAlign w:val="bottom"/>
          </w:tcPr>
          <w:p w14:paraId="43069700" w14:textId="77777777" w:rsidR="00CE47FB" w:rsidRPr="00CF31E0" w:rsidRDefault="00CE47FB" w:rsidP="00603CB7">
            <w:pPr>
              <w:spacing w:before="120" w:after="120"/>
              <w:rPr>
                <w:rFonts w:eastAsia="Calibri"/>
                <w:color w:val="000000" w:themeColor="text1"/>
                <w:sz w:val="22"/>
                <w:szCs w:val="22"/>
                <w:lang w:eastAsia="en-US"/>
              </w:rPr>
            </w:pPr>
          </w:p>
        </w:tc>
        <w:tc>
          <w:tcPr>
            <w:tcW w:w="1462" w:type="dxa"/>
            <w:tcBorders>
              <w:top w:val="single" w:sz="4" w:space="0" w:color="auto"/>
              <w:bottom w:val="single" w:sz="4" w:space="0" w:color="auto"/>
            </w:tcBorders>
            <w:shd w:val="clear" w:color="auto" w:fill="FFFFFF"/>
            <w:vAlign w:val="bottom"/>
          </w:tcPr>
          <w:p w14:paraId="6EDBB85C" w14:textId="77777777" w:rsidR="00CE47FB" w:rsidRPr="00CF31E0" w:rsidRDefault="00CE47FB"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rFonts w:eastAsia="Calibri"/>
                <w:color w:val="000000" w:themeColor="text1"/>
                <w:sz w:val="22"/>
                <w:szCs w:val="22"/>
                <w:lang w:eastAsia="en-US"/>
              </w:rPr>
              <w:t>Mean</w:t>
            </w:r>
          </w:p>
        </w:tc>
        <w:tc>
          <w:tcPr>
            <w:tcW w:w="1601" w:type="dxa"/>
            <w:tcBorders>
              <w:top w:val="single" w:sz="4" w:space="0" w:color="auto"/>
              <w:bottom w:val="single" w:sz="4" w:space="0" w:color="auto"/>
            </w:tcBorders>
            <w:shd w:val="clear" w:color="auto" w:fill="FFFFFF"/>
            <w:vAlign w:val="bottom"/>
          </w:tcPr>
          <w:p w14:paraId="7E3C87B2" w14:textId="77777777" w:rsidR="00CE47FB" w:rsidRPr="00CF31E0" w:rsidRDefault="00CE47FB"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rFonts w:eastAsia="Calibri"/>
                <w:color w:val="000000" w:themeColor="text1"/>
                <w:sz w:val="22"/>
                <w:szCs w:val="22"/>
                <w:lang w:eastAsia="en-US"/>
              </w:rPr>
              <w:t>Std. Deviation</w:t>
            </w:r>
          </w:p>
        </w:tc>
      </w:tr>
      <w:tr w:rsidR="00CE47FB" w:rsidRPr="00CF31E0" w14:paraId="5AEC39F6" w14:textId="77777777" w:rsidTr="00603CB7">
        <w:trPr>
          <w:cantSplit/>
          <w:trHeight w:val="383"/>
        </w:trPr>
        <w:tc>
          <w:tcPr>
            <w:tcW w:w="3650" w:type="dxa"/>
            <w:tcBorders>
              <w:top w:val="single" w:sz="4" w:space="0" w:color="auto"/>
              <w:bottom w:val="nil"/>
            </w:tcBorders>
            <w:shd w:val="clear" w:color="auto" w:fill="FFFFFF"/>
          </w:tcPr>
          <w:p w14:paraId="61FA5546" w14:textId="77777777" w:rsidR="00CE47FB" w:rsidRPr="00CF31E0" w:rsidRDefault="00CE47FB" w:rsidP="00603CB7">
            <w:pPr>
              <w:widowControl w:val="0"/>
              <w:autoSpaceDE w:val="0"/>
              <w:autoSpaceDN w:val="0"/>
              <w:adjustRightInd w:val="0"/>
              <w:spacing w:before="120" w:after="120"/>
              <w:ind w:left="62" w:right="62"/>
              <w:rPr>
                <w:rFonts w:eastAsia="Calibri"/>
                <w:color w:val="000000" w:themeColor="text1"/>
                <w:sz w:val="22"/>
                <w:szCs w:val="22"/>
                <w:lang w:eastAsia="en-US"/>
              </w:rPr>
            </w:pPr>
            <w:r w:rsidRPr="00CF31E0">
              <w:rPr>
                <w:rFonts w:eastAsia="Calibri"/>
                <w:color w:val="000000" w:themeColor="text1"/>
                <w:sz w:val="22"/>
                <w:szCs w:val="22"/>
                <w:lang w:eastAsia="en-US"/>
              </w:rPr>
              <w:t>Serious</w:t>
            </w:r>
          </w:p>
        </w:tc>
        <w:tc>
          <w:tcPr>
            <w:tcW w:w="1462" w:type="dxa"/>
            <w:tcBorders>
              <w:top w:val="single" w:sz="4" w:space="0" w:color="auto"/>
              <w:bottom w:val="nil"/>
            </w:tcBorders>
            <w:shd w:val="clear" w:color="auto" w:fill="FFFFFF"/>
          </w:tcPr>
          <w:p w14:paraId="5BA64767" w14:textId="64E07FEF" w:rsidR="00CE47FB" w:rsidRPr="00CF31E0" w:rsidRDefault="00CE47FB" w:rsidP="00603CB7">
            <w:pPr>
              <w:widowControl w:val="0"/>
              <w:autoSpaceDE w:val="0"/>
              <w:autoSpaceDN w:val="0"/>
              <w:adjustRightInd w:val="0"/>
              <w:spacing w:before="120" w:after="120"/>
              <w:ind w:left="62" w:right="62"/>
              <w:rPr>
                <w:rFonts w:eastAsia="Calibri"/>
                <w:color w:val="000000" w:themeColor="text1"/>
                <w:sz w:val="22"/>
                <w:szCs w:val="22"/>
                <w:lang w:eastAsia="en-US"/>
              </w:rPr>
            </w:pPr>
            <w:r w:rsidRPr="00CF31E0">
              <w:rPr>
                <w:color w:val="000000" w:themeColor="text1"/>
                <w:sz w:val="22"/>
                <w:szCs w:val="22"/>
              </w:rPr>
              <w:t>2.7720</w:t>
            </w:r>
          </w:p>
        </w:tc>
        <w:tc>
          <w:tcPr>
            <w:tcW w:w="1601" w:type="dxa"/>
            <w:tcBorders>
              <w:top w:val="single" w:sz="4" w:space="0" w:color="auto"/>
              <w:bottom w:val="nil"/>
            </w:tcBorders>
            <w:shd w:val="clear" w:color="auto" w:fill="FFFFFF"/>
          </w:tcPr>
          <w:p w14:paraId="150E269E" w14:textId="0EDB7768" w:rsidR="00CE47FB" w:rsidRPr="00CF31E0" w:rsidRDefault="00CE47FB" w:rsidP="00603CB7">
            <w:pPr>
              <w:widowControl w:val="0"/>
              <w:autoSpaceDE w:val="0"/>
              <w:autoSpaceDN w:val="0"/>
              <w:adjustRightInd w:val="0"/>
              <w:spacing w:before="120" w:after="120"/>
              <w:ind w:left="62" w:right="62"/>
              <w:rPr>
                <w:rFonts w:eastAsia="Calibri"/>
                <w:color w:val="000000" w:themeColor="text1"/>
                <w:sz w:val="22"/>
                <w:szCs w:val="22"/>
                <w:lang w:eastAsia="en-US"/>
              </w:rPr>
            </w:pPr>
            <w:r w:rsidRPr="00CF31E0">
              <w:rPr>
                <w:color w:val="000000" w:themeColor="text1"/>
                <w:sz w:val="22"/>
                <w:szCs w:val="22"/>
              </w:rPr>
              <w:t>1.22616</w:t>
            </w:r>
          </w:p>
        </w:tc>
      </w:tr>
      <w:tr w:rsidR="00CE47FB" w:rsidRPr="00CF31E0" w14:paraId="02FF3630" w14:textId="77777777" w:rsidTr="00603CB7">
        <w:trPr>
          <w:cantSplit/>
          <w:trHeight w:val="371"/>
        </w:trPr>
        <w:tc>
          <w:tcPr>
            <w:tcW w:w="3650" w:type="dxa"/>
            <w:tcBorders>
              <w:top w:val="nil"/>
            </w:tcBorders>
            <w:shd w:val="clear" w:color="auto" w:fill="FFFFFF"/>
          </w:tcPr>
          <w:p w14:paraId="337885E8" w14:textId="77777777" w:rsidR="00CE47FB" w:rsidRPr="00CF31E0" w:rsidRDefault="00CE47FB"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rFonts w:eastAsia="Calibri"/>
                <w:color w:val="000000" w:themeColor="text1"/>
                <w:sz w:val="22"/>
                <w:szCs w:val="22"/>
                <w:lang w:eastAsia="en-US"/>
              </w:rPr>
              <w:t>Similar to other Arabic dialects</w:t>
            </w:r>
          </w:p>
        </w:tc>
        <w:tc>
          <w:tcPr>
            <w:tcW w:w="1462" w:type="dxa"/>
            <w:tcBorders>
              <w:top w:val="nil"/>
            </w:tcBorders>
            <w:shd w:val="clear" w:color="auto" w:fill="FFFFFF"/>
          </w:tcPr>
          <w:p w14:paraId="31B5F291" w14:textId="6B7DBD3E" w:rsidR="00CE47FB" w:rsidRPr="00CF31E0" w:rsidRDefault="00CE47FB"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color w:val="000000" w:themeColor="text1"/>
                <w:sz w:val="22"/>
                <w:szCs w:val="22"/>
              </w:rPr>
              <w:t>2.8074</w:t>
            </w:r>
          </w:p>
        </w:tc>
        <w:tc>
          <w:tcPr>
            <w:tcW w:w="1601" w:type="dxa"/>
            <w:tcBorders>
              <w:top w:val="nil"/>
            </w:tcBorders>
            <w:shd w:val="clear" w:color="auto" w:fill="FFFFFF"/>
          </w:tcPr>
          <w:p w14:paraId="2C2783FC" w14:textId="22785CFA" w:rsidR="00CE47FB" w:rsidRPr="00CF31E0" w:rsidRDefault="00CE47FB"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color w:val="000000" w:themeColor="text1"/>
                <w:sz w:val="22"/>
                <w:szCs w:val="22"/>
              </w:rPr>
              <w:t>1.22784</w:t>
            </w:r>
          </w:p>
        </w:tc>
      </w:tr>
      <w:tr w:rsidR="00CE47FB" w:rsidRPr="00CF31E0" w14:paraId="692891BF" w14:textId="77777777" w:rsidTr="00603CB7">
        <w:trPr>
          <w:cantSplit/>
          <w:trHeight w:val="383"/>
        </w:trPr>
        <w:tc>
          <w:tcPr>
            <w:tcW w:w="3650" w:type="dxa"/>
            <w:shd w:val="clear" w:color="auto" w:fill="FFFFFF"/>
          </w:tcPr>
          <w:p w14:paraId="13CE8889" w14:textId="77777777" w:rsidR="00CE47FB" w:rsidRPr="00CF31E0" w:rsidRDefault="00CE47FB"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rFonts w:eastAsia="Calibri"/>
                <w:color w:val="000000" w:themeColor="text1"/>
                <w:sz w:val="22"/>
                <w:szCs w:val="22"/>
                <w:lang w:eastAsia="en-US"/>
              </w:rPr>
              <w:t>Traditional</w:t>
            </w:r>
          </w:p>
        </w:tc>
        <w:tc>
          <w:tcPr>
            <w:tcW w:w="1462" w:type="dxa"/>
            <w:shd w:val="clear" w:color="auto" w:fill="FFFFFF"/>
          </w:tcPr>
          <w:p w14:paraId="7558B2FB" w14:textId="7B46FD5B" w:rsidR="00CE47FB" w:rsidRPr="00CF31E0" w:rsidRDefault="00CE47FB"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color w:val="000000" w:themeColor="text1"/>
                <w:sz w:val="22"/>
                <w:szCs w:val="22"/>
              </w:rPr>
              <w:t>3.4607</w:t>
            </w:r>
          </w:p>
        </w:tc>
        <w:tc>
          <w:tcPr>
            <w:tcW w:w="1601" w:type="dxa"/>
            <w:shd w:val="clear" w:color="auto" w:fill="FFFFFF"/>
          </w:tcPr>
          <w:p w14:paraId="66D73567" w14:textId="01A014C4" w:rsidR="00CE47FB" w:rsidRPr="00CF31E0" w:rsidRDefault="00CE47FB"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color w:val="000000" w:themeColor="text1"/>
                <w:sz w:val="22"/>
                <w:szCs w:val="22"/>
              </w:rPr>
              <w:t>1.12987</w:t>
            </w:r>
          </w:p>
        </w:tc>
      </w:tr>
      <w:tr w:rsidR="00CE47FB" w:rsidRPr="00CF31E0" w14:paraId="7A21DD7A" w14:textId="77777777" w:rsidTr="00603CB7">
        <w:trPr>
          <w:cantSplit/>
          <w:trHeight w:val="383"/>
        </w:trPr>
        <w:tc>
          <w:tcPr>
            <w:tcW w:w="3650" w:type="dxa"/>
            <w:shd w:val="clear" w:color="auto" w:fill="FFFFFF"/>
          </w:tcPr>
          <w:p w14:paraId="546C4AB7" w14:textId="77777777" w:rsidR="00CE47FB" w:rsidRPr="00CF31E0" w:rsidRDefault="00CE47FB" w:rsidP="00603CB7">
            <w:pPr>
              <w:widowControl w:val="0"/>
              <w:autoSpaceDE w:val="0"/>
              <w:autoSpaceDN w:val="0"/>
              <w:adjustRightInd w:val="0"/>
              <w:spacing w:before="120" w:after="120"/>
              <w:ind w:left="62" w:right="62"/>
              <w:rPr>
                <w:rFonts w:eastAsia="Calibri"/>
                <w:color w:val="000000" w:themeColor="text1"/>
                <w:sz w:val="22"/>
                <w:szCs w:val="22"/>
                <w:lang w:eastAsia="en-US"/>
              </w:rPr>
            </w:pPr>
            <w:r w:rsidRPr="00CF31E0">
              <w:rPr>
                <w:rFonts w:eastAsia="Calibri"/>
                <w:color w:val="000000" w:themeColor="text1"/>
                <w:sz w:val="22"/>
                <w:szCs w:val="22"/>
                <w:lang w:eastAsia="en-US"/>
              </w:rPr>
              <w:t>Modern</w:t>
            </w:r>
          </w:p>
        </w:tc>
        <w:tc>
          <w:tcPr>
            <w:tcW w:w="1462" w:type="dxa"/>
            <w:shd w:val="clear" w:color="auto" w:fill="FFFFFF"/>
          </w:tcPr>
          <w:p w14:paraId="597B31C2" w14:textId="5D70640A" w:rsidR="00CE47FB" w:rsidRPr="00CF31E0" w:rsidRDefault="00CE47FB" w:rsidP="00603CB7">
            <w:pPr>
              <w:widowControl w:val="0"/>
              <w:autoSpaceDE w:val="0"/>
              <w:autoSpaceDN w:val="0"/>
              <w:adjustRightInd w:val="0"/>
              <w:spacing w:before="120" w:after="120"/>
              <w:ind w:left="62" w:right="62"/>
              <w:rPr>
                <w:rFonts w:eastAsia="Calibri"/>
                <w:color w:val="000000" w:themeColor="text1"/>
                <w:sz w:val="22"/>
                <w:szCs w:val="22"/>
                <w:lang w:eastAsia="en-US"/>
              </w:rPr>
            </w:pPr>
            <w:r w:rsidRPr="00CF31E0">
              <w:rPr>
                <w:color w:val="000000" w:themeColor="text1"/>
                <w:sz w:val="22"/>
                <w:szCs w:val="22"/>
              </w:rPr>
              <w:t>2.5085</w:t>
            </w:r>
          </w:p>
        </w:tc>
        <w:tc>
          <w:tcPr>
            <w:tcW w:w="1601" w:type="dxa"/>
            <w:shd w:val="clear" w:color="auto" w:fill="FFFFFF"/>
          </w:tcPr>
          <w:p w14:paraId="6630D32A" w14:textId="17787AF1" w:rsidR="00CE47FB" w:rsidRPr="00CF31E0" w:rsidRDefault="00CE47FB" w:rsidP="00603CB7">
            <w:pPr>
              <w:widowControl w:val="0"/>
              <w:autoSpaceDE w:val="0"/>
              <w:autoSpaceDN w:val="0"/>
              <w:adjustRightInd w:val="0"/>
              <w:spacing w:before="120" w:after="120"/>
              <w:ind w:left="62" w:right="62"/>
              <w:rPr>
                <w:rFonts w:eastAsia="Calibri"/>
                <w:color w:val="000000" w:themeColor="text1"/>
                <w:sz w:val="22"/>
                <w:szCs w:val="22"/>
                <w:lang w:eastAsia="en-US"/>
              </w:rPr>
            </w:pPr>
            <w:r w:rsidRPr="00CF31E0">
              <w:rPr>
                <w:color w:val="000000" w:themeColor="text1"/>
                <w:sz w:val="22"/>
                <w:szCs w:val="22"/>
              </w:rPr>
              <w:t>1.11125</w:t>
            </w:r>
          </w:p>
        </w:tc>
      </w:tr>
    </w:tbl>
    <w:p w14:paraId="27B3F23B" w14:textId="172C8802" w:rsidR="0016727D" w:rsidRPr="00CF31E0" w:rsidRDefault="0016727D" w:rsidP="00546CAF">
      <w:pPr>
        <w:pStyle w:val="Tablecaption"/>
        <w:rPr>
          <w:lang w:eastAsia="en-US"/>
        </w:rPr>
      </w:pPr>
      <w:bookmarkStart w:id="899" w:name="_Toc522527493"/>
      <w:bookmarkStart w:id="900" w:name="_Toc522628906"/>
      <w:bookmarkStart w:id="901" w:name="_Toc522629070"/>
      <w:bookmarkStart w:id="902" w:name="_Toc6473169"/>
      <w:r w:rsidRPr="00CF31E0">
        <w:rPr>
          <w:lang w:eastAsia="en-US"/>
        </w:rPr>
        <w:t xml:space="preserve">Table </w:t>
      </w:r>
      <w:r w:rsidR="00546CAF" w:rsidRPr="00CF31E0">
        <w:rPr>
          <w:lang w:eastAsia="en-US"/>
        </w:rPr>
        <w:t>11</w:t>
      </w:r>
      <w:r w:rsidRPr="00CF31E0">
        <w:rPr>
          <w:lang w:eastAsia="en-US"/>
        </w:rPr>
        <w:t>.</w:t>
      </w:r>
      <w:r w:rsidR="00546CAF" w:rsidRPr="00CF31E0">
        <w:rPr>
          <w:lang w:eastAsia="en-US"/>
        </w:rPr>
        <w:t>31</w:t>
      </w:r>
      <w:r w:rsidRPr="00CF31E0">
        <w:rPr>
          <w:lang w:eastAsia="en-US"/>
        </w:rPr>
        <w:t>: Mean scores for rating scales of VS2.</w:t>
      </w:r>
      <w:bookmarkEnd w:id="899"/>
      <w:bookmarkEnd w:id="900"/>
      <w:bookmarkEnd w:id="901"/>
      <w:bookmarkEnd w:id="902"/>
    </w:p>
    <w:p w14:paraId="3D208A63" w14:textId="77777777" w:rsidR="0016727D" w:rsidRPr="00CF31E0" w:rsidRDefault="0016727D" w:rsidP="00603CB7">
      <w:pPr>
        <w:pStyle w:val="Paragraph"/>
        <w:rPr>
          <w:lang w:eastAsia="en-US"/>
        </w:rPr>
      </w:pPr>
      <w:r w:rsidRPr="00CF31E0">
        <w:rPr>
          <w:lang w:eastAsia="en-US"/>
        </w:rPr>
        <w:lastRenderedPageBreak/>
        <w:t xml:space="preserve">The above table indicates that the traditional scale received the highest mean score, followed by the serious scale. This is followed by the similar to other Arabic dialects scale, while the modern scale had the lowest mean score. </w:t>
      </w:r>
    </w:p>
    <w:p w14:paraId="76FA5A6A" w14:textId="226A8520" w:rsidR="000B4835" w:rsidRPr="00CF31E0" w:rsidRDefault="00546CAF" w:rsidP="00546CAF">
      <w:pPr>
        <w:pStyle w:val="Dhead"/>
        <w:rPr>
          <w:rFonts w:eastAsia="Calibri"/>
        </w:rPr>
      </w:pPr>
      <w:bookmarkStart w:id="903" w:name="_Toc6472791"/>
      <w:r w:rsidRPr="00CF31E0">
        <w:rPr>
          <w:rFonts w:eastAsia="Calibri"/>
        </w:rPr>
        <w:t>11</w:t>
      </w:r>
      <w:r w:rsidR="009809EE" w:rsidRPr="00CF31E0">
        <w:rPr>
          <w:rFonts w:eastAsia="Calibri"/>
        </w:rPr>
        <w:t>.3.1.2.4.</w:t>
      </w:r>
      <w:r w:rsidR="00D2523E" w:rsidRPr="00CF31E0">
        <w:rPr>
          <w:rFonts w:eastAsia="Calibri"/>
        </w:rPr>
        <w:tab/>
      </w:r>
      <w:r w:rsidR="000B4835" w:rsidRPr="00CF31E0">
        <w:rPr>
          <w:rFonts w:eastAsia="Calibri"/>
        </w:rPr>
        <w:t>Voice sample 4</w:t>
      </w:r>
      <w:bookmarkEnd w:id="903"/>
    </w:p>
    <w:p w14:paraId="7D6B9562" w14:textId="73466B7F" w:rsidR="000B4835" w:rsidRPr="00CF31E0" w:rsidRDefault="000B4835" w:rsidP="00603CB7">
      <w:pPr>
        <w:pStyle w:val="Paragraph"/>
        <w:rPr>
          <w:lang w:eastAsia="en-US"/>
        </w:rPr>
      </w:pPr>
      <w:r w:rsidRPr="00CF31E0">
        <w:rPr>
          <w:lang w:eastAsia="en-US"/>
        </w:rPr>
        <w:t xml:space="preserve">The mean score comparison of VS4 shows that the serious scale received the highest mean score compared to the other scales. See Table </w:t>
      </w:r>
      <w:r w:rsidR="00546CAF" w:rsidRPr="00CF31E0">
        <w:rPr>
          <w:lang w:eastAsia="en-US"/>
        </w:rPr>
        <w:t>11</w:t>
      </w:r>
      <w:r w:rsidR="009809EE" w:rsidRPr="00CF31E0">
        <w:rPr>
          <w:lang w:eastAsia="en-US"/>
        </w:rPr>
        <w:t>.</w:t>
      </w:r>
      <w:r w:rsidR="00546CAF" w:rsidRPr="00CF31E0">
        <w:rPr>
          <w:lang w:eastAsia="en-US"/>
        </w:rPr>
        <w:t>32</w:t>
      </w:r>
      <w:r w:rsidRPr="00CF31E0">
        <w:rPr>
          <w:lang w:eastAsia="en-US"/>
        </w:rPr>
        <w:t>.</w:t>
      </w:r>
    </w:p>
    <w:tbl>
      <w:tblPr>
        <w:tblW w:w="6713"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650"/>
        <w:gridCol w:w="1462"/>
        <w:gridCol w:w="1601"/>
      </w:tblGrid>
      <w:tr w:rsidR="00F83240" w:rsidRPr="00CF31E0" w14:paraId="2CBF03A2" w14:textId="77777777" w:rsidTr="00645D13">
        <w:trPr>
          <w:cantSplit/>
          <w:trHeight w:val="419"/>
        </w:trPr>
        <w:tc>
          <w:tcPr>
            <w:tcW w:w="3650" w:type="dxa"/>
            <w:tcBorders>
              <w:top w:val="single" w:sz="4" w:space="0" w:color="auto"/>
              <w:bottom w:val="single" w:sz="4" w:space="0" w:color="auto"/>
            </w:tcBorders>
            <w:shd w:val="clear" w:color="auto" w:fill="FFFFFF"/>
            <w:vAlign w:val="bottom"/>
          </w:tcPr>
          <w:p w14:paraId="08B44326" w14:textId="77777777" w:rsidR="00F83240" w:rsidRPr="00CF31E0" w:rsidRDefault="00F83240" w:rsidP="00603CB7">
            <w:pPr>
              <w:spacing w:before="120" w:after="120"/>
              <w:rPr>
                <w:rFonts w:eastAsia="Calibri"/>
                <w:color w:val="000000" w:themeColor="text1"/>
                <w:sz w:val="22"/>
                <w:szCs w:val="22"/>
                <w:lang w:eastAsia="en-US"/>
              </w:rPr>
            </w:pPr>
          </w:p>
        </w:tc>
        <w:tc>
          <w:tcPr>
            <w:tcW w:w="1462" w:type="dxa"/>
            <w:tcBorders>
              <w:top w:val="single" w:sz="4" w:space="0" w:color="auto"/>
              <w:bottom w:val="single" w:sz="4" w:space="0" w:color="auto"/>
            </w:tcBorders>
            <w:shd w:val="clear" w:color="auto" w:fill="FFFFFF"/>
            <w:vAlign w:val="bottom"/>
          </w:tcPr>
          <w:p w14:paraId="0680AE6C" w14:textId="77777777" w:rsidR="00F83240" w:rsidRPr="00CF31E0" w:rsidRDefault="00F83240"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rFonts w:eastAsia="Calibri"/>
                <w:color w:val="000000" w:themeColor="text1"/>
                <w:sz w:val="22"/>
                <w:szCs w:val="22"/>
                <w:lang w:eastAsia="en-US"/>
              </w:rPr>
              <w:t>Mean</w:t>
            </w:r>
          </w:p>
        </w:tc>
        <w:tc>
          <w:tcPr>
            <w:tcW w:w="1601" w:type="dxa"/>
            <w:tcBorders>
              <w:top w:val="single" w:sz="4" w:space="0" w:color="auto"/>
              <w:bottom w:val="single" w:sz="4" w:space="0" w:color="auto"/>
            </w:tcBorders>
            <w:shd w:val="clear" w:color="auto" w:fill="FFFFFF"/>
            <w:vAlign w:val="bottom"/>
          </w:tcPr>
          <w:p w14:paraId="11B01FC2" w14:textId="77777777" w:rsidR="00F83240" w:rsidRPr="00CF31E0" w:rsidRDefault="00F83240"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rFonts w:eastAsia="Calibri"/>
                <w:color w:val="000000" w:themeColor="text1"/>
                <w:sz w:val="22"/>
                <w:szCs w:val="22"/>
                <w:lang w:eastAsia="en-US"/>
              </w:rPr>
              <w:t>Std. Deviation</w:t>
            </w:r>
          </w:p>
        </w:tc>
      </w:tr>
      <w:tr w:rsidR="00F83240" w:rsidRPr="00CF31E0" w14:paraId="26C90EB4" w14:textId="77777777" w:rsidTr="00645D13">
        <w:trPr>
          <w:cantSplit/>
          <w:trHeight w:val="383"/>
        </w:trPr>
        <w:tc>
          <w:tcPr>
            <w:tcW w:w="3650" w:type="dxa"/>
            <w:tcBorders>
              <w:top w:val="single" w:sz="4" w:space="0" w:color="auto"/>
              <w:bottom w:val="nil"/>
            </w:tcBorders>
            <w:shd w:val="clear" w:color="auto" w:fill="FFFFFF"/>
          </w:tcPr>
          <w:p w14:paraId="36FB337F" w14:textId="77777777" w:rsidR="00F83240" w:rsidRPr="00CF31E0" w:rsidRDefault="00F83240" w:rsidP="00603CB7">
            <w:pPr>
              <w:widowControl w:val="0"/>
              <w:autoSpaceDE w:val="0"/>
              <w:autoSpaceDN w:val="0"/>
              <w:adjustRightInd w:val="0"/>
              <w:spacing w:before="120" w:after="120"/>
              <w:ind w:left="62" w:right="62"/>
              <w:rPr>
                <w:rFonts w:eastAsia="Calibri"/>
                <w:color w:val="000000" w:themeColor="text1"/>
                <w:sz w:val="22"/>
                <w:szCs w:val="22"/>
                <w:lang w:eastAsia="en-US"/>
              </w:rPr>
            </w:pPr>
            <w:r w:rsidRPr="00CF31E0">
              <w:rPr>
                <w:rFonts w:eastAsia="Calibri"/>
                <w:color w:val="000000" w:themeColor="text1"/>
                <w:sz w:val="22"/>
                <w:szCs w:val="22"/>
                <w:lang w:eastAsia="en-US"/>
              </w:rPr>
              <w:t>Serious</w:t>
            </w:r>
          </w:p>
        </w:tc>
        <w:tc>
          <w:tcPr>
            <w:tcW w:w="1462" w:type="dxa"/>
            <w:tcBorders>
              <w:top w:val="single" w:sz="4" w:space="0" w:color="auto"/>
              <w:bottom w:val="nil"/>
            </w:tcBorders>
            <w:shd w:val="clear" w:color="auto" w:fill="FFFFFF"/>
          </w:tcPr>
          <w:p w14:paraId="5DF35A37" w14:textId="706684EE" w:rsidR="00F83240" w:rsidRPr="00CF31E0" w:rsidRDefault="00F83240" w:rsidP="00603CB7">
            <w:pPr>
              <w:widowControl w:val="0"/>
              <w:autoSpaceDE w:val="0"/>
              <w:autoSpaceDN w:val="0"/>
              <w:adjustRightInd w:val="0"/>
              <w:spacing w:before="120" w:after="120"/>
              <w:ind w:left="62" w:right="62"/>
              <w:rPr>
                <w:rFonts w:eastAsia="Calibri"/>
                <w:color w:val="000000" w:themeColor="text1"/>
                <w:sz w:val="22"/>
                <w:szCs w:val="22"/>
                <w:lang w:eastAsia="en-US"/>
              </w:rPr>
            </w:pPr>
            <w:r w:rsidRPr="00CF31E0">
              <w:rPr>
                <w:color w:val="000000" w:themeColor="text1"/>
                <w:sz w:val="22"/>
                <w:szCs w:val="22"/>
              </w:rPr>
              <w:t>3.3313</w:t>
            </w:r>
          </w:p>
        </w:tc>
        <w:tc>
          <w:tcPr>
            <w:tcW w:w="1601" w:type="dxa"/>
            <w:tcBorders>
              <w:top w:val="single" w:sz="4" w:space="0" w:color="auto"/>
              <w:bottom w:val="nil"/>
            </w:tcBorders>
            <w:shd w:val="clear" w:color="auto" w:fill="FFFFFF"/>
          </w:tcPr>
          <w:p w14:paraId="5BD8C9F8" w14:textId="46BF65E9" w:rsidR="00F83240" w:rsidRPr="00CF31E0" w:rsidRDefault="00F83240" w:rsidP="00603CB7">
            <w:pPr>
              <w:widowControl w:val="0"/>
              <w:autoSpaceDE w:val="0"/>
              <w:autoSpaceDN w:val="0"/>
              <w:adjustRightInd w:val="0"/>
              <w:spacing w:before="120" w:after="120"/>
              <w:ind w:left="62" w:right="62"/>
              <w:rPr>
                <w:rFonts w:eastAsia="Calibri"/>
                <w:color w:val="000000" w:themeColor="text1"/>
                <w:sz w:val="22"/>
                <w:szCs w:val="22"/>
                <w:lang w:eastAsia="en-US"/>
              </w:rPr>
            </w:pPr>
            <w:r w:rsidRPr="00CF31E0">
              <w:rPr>
                <w:color w:val="000000" w:themeColor="text1"/>
                <w:sz w:val="22"/>
                <w:szCs w:val="22"/>
              </w:rPr>
              <w:t>1.31573</w:t>
            </w:r>
          </w:p>
        </w:tc>
      </w:tr>
      <w:tr w:rsidR="00F83240" w:rsidRPr="00CF31E0" w14:paraId="28CD8A3C" w14:textId="77777777" w:rsidTr="00645D13">
        <w:trPr>
          <w:cantSplit/>
          <w:trHeight w:val="371"/>
        </w:trPr>
        <w:tc>
          <w:tcPr>
            <w:tcW w:w="3650" w:type="dxa"/>
            <w:tcBorders>
              <w:top w:val="nil"/>
            </w:tcBorders>
            <w:shd w:val="clear" w:color="auto" w:fill="FFFFFF"/>
          </w:tcPr>
          <w:p w14:paraId="0A45E08B" w14:textId="77777777" w:rsidR="00F83240" w:rsidRPr="00CF31E0" w:rsidRDefault="00F83240"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rFonts w:eastAsia="Calibri"/>
                <w:color w:val="000000" w:themeColor="text1"/>
                <w:sz w:val="22"/>
                <w:szCs w:val="22"/>
                <w:lang w:eastAsia="en-US"/>
              </w:rPr>
              <w:t>Similar to other Arabic dialects</w:t>
            </w:r>
          </w:p>
        </w:tc>
        <w:tc>
          <w:tcPr>
            <w:tcW w:w="1462" w:type="dxa"/>
            <w:tcBorders>
              <w:top w:val="nil"/>
            </w:tcBorders>
            <w:shd w:val="clear" w:color="auto" w:fill="FFFFFF"/>
          </w:tcPr>
          <w:p w14:paraId="35C3DD1C" w14:textId="1E1EF2AB" w:rsidR="00F83240" w:rsidRPr="00CF31E0" w:rsidRDefault="00F83240"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color w:val="000000" w:themeColor="text1"/>
                <w:sz w:val="22"/>
                <w:szCs w:val="22"/>
              </w:rPr>
              <w:t>2.8182</w:t>
            </w:r>
          </w:p>
        </w:tc>
        <w:tc>
          <w:tcPr>
            <w:tcW w:w="1601" w:type="dxa"/>
            <w:tcBorders>
              <w:top w:val="nil"/>
            </w:tcBorders>
            <w:shd w:val="clear" w:color="auto" w:fill="FFFFFF"/>
          </w:tcPr>
          <w:p w14:paraId="36063FE2" w14:textId="48C797F1" w:rsidR="00F83240" w:rsidRPr="00CF31E0" w:rsidRDefault="00F83240"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color w:val="000000" w:themeColor="text1"/>
                <w:sz w:val="22"/>
                <w:szCs w:val="22"/>
              </w:rPr>
              <w:t>1.20605</w:t>
            </w:r>
          </w:p>
        </w:tc>
      </w:tr>
      <w:tr w:rsidR="00F83240" w:rsidRPr="00CF31E0" w14:paraId="520B292A" w14:textId="77777777" w:rsidTr="00645D13">
        <w:trPr>
          <w:cantSplit/>
          <w:trHeight w:val="383"/>
        </w:trPr>
        <w:tc>
          <w:tcPr>
            <w:tcW w:w="3650" w:type="dxa"/>
            <w:shd w:val="clear" w:color="auto" w:fill="FFFFFF"/>
          </w:tcPr>
          <w:p w14:paraId="703CDE0F" w14:textId="77777777" w:rsidR="00F83240" w:rsidRPr="00CF31E0" w:rsidRDefault="00F83240"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rFonts w:eastAsia="Calibri"/>
                <w:color w:val="000000" w:themeColor="text1"/>
                <w:sz w:val="22"/>
                <w:szCs w:val="22"/>
                <w:lang w:eastAsia="en-US"/>
              </w:rPr>
              <w:t>Traditional</w:t>
            </w:r>
          </w:p>
        </w:tc>
        <w:tc>
          <w:tcPr>
            <w:tcW w:w="1462" w:type="dxa"/>
            <w:shd w:val="clear" w:color="auto" w:fill="FFFFFF"/>
          </w:tcPr>
          <w:p w14:paraId="6A1FE37A" w14:textId="38C4A0CF" w:rsidR="00F83240" w:rsidRPr="00CF31E0" w:rsidRDefault="00F83240"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color w:val="000000" w:themeColor="text1"/>
                <w:sz w:val="22"/>
                <w:szCs w:val="22"/>
              </w:rPr>
              <w:t>3.2866</w:t>
            </w:r>
          </w:p>
        </w:tc>
        <w:tc>
          <w:tcPr>
            <w:tcW w:w="1601" w:type="dxa"/>
            <w:shd w:val="clear" w:color="auto" w:fill="FFFFFF"/>
          </w:tcPr>
          <w:p w14:paraId="6466AD17" w14:textId="68139FC2" w:rsidR="00F83240" w:rsidRPr="00CF31E0" w:rsidRDefault="00F83240"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color w:val="000000" w:themeColor="text1"/>
                <w:sz w:val="22"/>
                <w:szCs w:val="22"/>
              </w:rPr>
              <w:t>1.08489</w:t>
            </w:r>
          </w:p>
        </w:tc>
      </w:tr>
      <w:tr w:rsidR="00F83240" w:rsidRPr="00CF31E0" w14:paraId="65F16113" w14:textId="77777777" w:rsidTr="00645D13">
        <w:trPr>
          <w:cantSplit/>
          <w:trHeight w:val="383"/>
        </w:trPr>
        <w:tc>
          <w:tcPr>
            <w:tcW w:w="3650" w:type="dxa"/>
            <w:shd w:val="clear" w:color="auto" w:fill="FFFFFF"/>
          </w:tcPr>
          <w:p w14:paraId="113719FC" w14:textId="77777777" w:rsidR="00F83240" w:rsidRPr="00CF31E0" w:rsidRDefault="00F83240" w:rsidP="00603CB7">
            <w:pPr>
              <w:widowControl w:val="0"/>
              <w:autoSpaceDE w:val="0"/>
              <w:autoSpaceDN w:val="0"/>
              <w:adjustRightInd w:val="0"/>
              <w:spacing w:before="120" w:after="120"/>
              <w:ind w:left="62" w:right="62"/>
              <w:rPr>
                <w:rFonts w:eastAsia="Calibri"/>
                <w:color w:val="000000" w:themeColor="text1"/>
                <w:sz w:val="22"/>
                <w:szCs w:val="22"/>
                <w:lang w:eastAsia="en-US"/>
              </w:rPr>
            </w:pPr>
            <w:r w:rsidRPr="00CF31E0">
              <w:rPr>
                <w:rFonts w:eastAsia="Calibri"/>
                <w:color w:val="000000" w:themeColor="text1"/>
                <w:sz w:val="22"/>
                <w:szCs w:val="22"/>
                <w:lang w:eastAsia="en-US"/>
              </w:rPr>
              <w:t>Modern</w:t>
            </w:r>
          </w:p>
        </w:tc>
        <w:tc>
          <w:tcPr>
            <w:tcW w:w="1462" w:type="dxa"/>
            <w:shd w:val="clear" w:color="auto" w:fill="FFFFFF"/>
          </w:tcPr>
          <w:p w14:paraId="09EC9757" w14:textId="1AE4856F" w:rsidR="00F83240" w:rsidRPr="00CF31E0" w:rsidRDefault="00F83240" w:rsidP="00603CB7">
            <w:pPr>
              <w:widowControl w:val="0"/>
              <w:autoSpaceDE w:val="0"/>
              <w:autoSpaceDN w:val="0"/>
              <w:adjustRightInd w:val="0"/>
              <w:spacing w:before="120" w:after="120"/>
              <w:ind w:left="62" w:right="62"/>
              <w:rPr>
                <w:rFonts w:eastAsia="Calibri"/>
                <w:color w:val="000000" w:themeColor="text1"/>
                <w:sz w:val="22"/>
                <w:szCs w:val="22"/>
                <w:lang w:eastAsia="en-US"/>
              </w:rPr>
            </w:pPr>
            <w:r w:rsidRPr="00CF31E0">
              <w:rPr>
                <w:color w:val="000000" w:themeColor="text1"/>
                <w:sz w:val="22"/>
                <w:szCs w:val="22"/>
              </w:rPr>
              <w:t>2.3498</w:t>
            </w:r>
          </w:p>
        </w:tc>
        <w:tc>
          <w:tcPr>
            <w:tcW w:w="1601" w:type="dxa"/>
            <w:shd w:val="clear" w:color="auto" w:fill="FFFFFF"/>
          </w:tcPr>
          <w:p w14:paraId="5476A053" w14:textId="09A4AB64" w:rsidR="00F83240" w:rsidRPr="00CF31E0" w:rsidRDefault="00F83240" w:rsidP="00603CB7">
            <w:pPr>
              <w:widowControl w:val="0"/>
              <w:autoSpaceDE w:val="0"/>
              <w:autoSpaceDN w:val="0"/>
              <w:adjustRightInd w:val="0"/>
              <w:spacing w:before="120" w:after="120"/>
              <w:ind w:left="62" w:right="62"/>
              <w:rPr>
                <w:rFonts w:eastAsia="Calibri"/>
                <w:color w:val="000000" w:themeColor="text1"/>
                <w:sz w:val="22"/>
                <w:szCs w:val="22"/>
                <w:lang w:eastAsia="en-US"/>
              </w:rPr>
            </w:pPr>
            <w:r w:rsidRPr="00CF31E0">
              <w:rPr>
                <w:color w:val="000000" w:themeColor="text1"/>
                <w:sz w:val="22"/>
                <w:szCs w:val="22"/>
              </w:rPr>
              <w:t>1.13964</w:t>
            </w:r>
          </w:p>
        </w:tc>
      </w:tr>
    </w:tbl>
    <w:p w14:paraId="45973988" w14:textId="0827E988" w:rsidR="000B4835" w:rsidRPr="00CF31E0" w:rsidRDefault="000B4835" w:rsidP="00546CAF">
      <w:pPr>
        <w:pStyle w:val="Tablecaption"/>
        <w:rPr>
          <w:lang w:eastAsia="en-US"/>
        </w:rPr>
      </w:pPr>
      <w:bookmarkStart w:id="904" w:name="_Toc522527495"/>
      <w:bookmarkStart w:id="905" w:name="_Toc522628908"/>
      <w:bookmarkStart w:id="906" w:name="_Toc522629072"/>
      <w:bookmarkStart w:id="907" w:name="_Toc6473170"/>
      <w:r w:rsidRPr="00CF31E0">
        <w:rPr>
          <w:lang w:eastAsia="en-US"/>
        </w:rPr>
        <w:t>Table</w:t>
      </w:r>
      <w:r w:rsidR="009809EE" w:rsidRPr="00CF31E0">
        <w:rPr>
          <w:lang w:eastAsia="en-US"/>
        </w:rPr>
        <w:t xml:space="preserve"> </w:t>
      </w:r>
      <w:r w:rsidR="00546CAF" w:rsidRPr="00CF31E0">
        <w:rPr>
          <w:lang w:eastAsia="en-US"/>
        </w:rPr>
        <w:t>11</w:t>
      </w:r>
      <w:r w:rsidR="009809EE" w:rsidRPr="00CF31E0">
        <w:rPr>
          <w:lang w:eastAsia="en-US"/>
        </w:rPr>
        <w:t>.</w:t>
      </w:r>
      <w:r w:rsidR="00546CAF" w:rsidRPr="00CF31E0">
        <w:rPr>
          <w:lang w:eastAsia="en-US"/>
        </w:rPr>
        <w:t>32</w:t>
      </w:r>
      <w:r w:rsidR="009809EE" w:rsidRPr="00CF31E0">
        <w:rPr>
          <w:lang w:eastAsia="en-US"/>
        </w:rPr>
        <w:t xml:space="preserve">: </w:t>
      </w:r>
      <w:r w:rsidRPr="00CF31E0">
        <w:rPr>
          <w:lang w:eastAsia="en-US"/>
        </w:rPr>
        <w:t>Mean scores for rating scales of VS4</w:t>
      </w:r>
      <w:r w:rsidR="009809EE" w:rsidRPr="00CF31E0">
        <w:rPr>
          <w:lang w:eastAsia="en-US"/>
        </w:rPr>
        <w:t>.</w:t>
      </w:r>
      <w:bookmarkEnd w:id="904"/>
      <w:bookmarkEnd w:id="905"/>
      <w:bookmarkEnd w:id="906"/>
      <w:bookmarkEnd w:id="907"/>
    </w:p>
    <w:p w14:paraId="5586FAE2" w14:textId="16C4CAE9" w:rsidR="000B4835" w:rsidRPr="00CF31E0" w:rsidRDefault="000B4835" w:rsidP="00603CB7">
      <w:pPr>
        <w:pStyle w:val="Paragraph"/>
        <w:rPr>
          <w:lang w:eastAsia="en-US"/>
        </w:rPr>
      </w:pPr>
      <w:r w:rsidRPr="00CF31E0">
        <w:rPr>
          <w:lang w:eastAsia="en-US"/>
        </w:rPr>
        <w:t>Table</w:t>
      </w:r>
      <w:r w:rsidR="009809EE" w:rsidRPr="00CF31E0">
        <w:rPr>
          <w:lang w:eastAsia="en-US"/>
        </w:rPr>
        <w:t xml:space="preserve"> </w:t>
      </w:r>
      <w:r w:rsidR="00546CAF" w:rsidRPr="00CF31E0">
        <w:rPr>
          <w:lang w:eastAsia="en-US"/>
        </w:rPr>
        <w:t>11</w:t>
      </w:r>
      <w:r w:rsidR="009809EE" w:rsidRPr="00CF31E0">
        <w:rPr>
          <w:lang w:eastAsia="en-US"/>
        </w:rPr>
        <w:t>.</w:t>
      </w:r>
      <w:r w:rsidR="00546CAF" w:rsidRPr="00CF31E0">
        <w:rPr>
          <w:lang w:eastAsia="en-US"/>
        </w:rPr>
        <w:t xml:space="preserve">32 </w:t>
      </w:r>
      <w:r w:rsidRPr="00CF31E0">
        <w:rPr>
          <w:lang w:eastAsia="en-US"/>
        </w:rPr>
        <w:t xml:space="preserve">illustrates that this voice sample was rated as the most serious and traditional, respectively. This is followed by the similar to other Arabic dialects scale. Finally, the modern scale had the lowest mean score. </w:t>
      </w:r>
    </w:p>
    <w:p w14:paraId="41356DD0" w14:textId="16A9139B" w:rsidR="000B4835" w:rsidRPr="00CF31E0" w:rsidRDefault="00546CAF" w:rsidP="00546CAF">
      <w:pPr>
        <w:pStyle w:val="Dhead"/>
        <w:rPr>
          <w:rFonts w:eastAsia="Calibri"/>
        </w:rPr>
      </w:pPr>
      <w:bookmarkStart w:id="908" w:name="_Toc6472792"/>
      <w:r w:rsidRPr="00CF31E0">
        <w:rPr>
          <w:rFonts w:eastAsia="Calibri"/>
        </w:rPr>
        <w:t>11</w:t>
      </w:r>
      <w:r w:rsidR="009809EE" w:rsidRPr="00CF31E0">
        <w:rPr>
          <w:rFonts w:eastAsia="Calibri"/>
        </w:rPr>
        <w:t>.3.1.2.5.</w:t>
      </w:r>
      <w:r w:rsidR="00D2523E" w:rsidRPr="00CF31E0">
        <w:rPr>
          <w:rFonts w:eastAsia="Calibri"/>
        </w:rPr>
        <w:tab/>
      </w:r>
      <w:r w:rsidR="000B4835" w:rsidRPr="00CF31E0">
        <w:rPr>
          <w:rFonts w:eastAsia="Calibri"/>
        </w:rPr>
        <w:t>Voice sample 5</w:t>
      </w:r>
      <w:bookmarkEnd w:id="908"/>
    </w:p>
    <w:p w14:paraId="48B80948" w14:textId="00295AD1" w:rsidR="004054FD" w:rsidRPr="00CF31E0" w:rsidRDefault="000B4835" w:rsidP="00A84734">
      <w:pPr>
        <w:pStyle w:val="Paragraph"/>
        <w:rPr>
          <w:lang w:eastAsia="en-US"/>
        </w:rPr>
      </w:pPr>
      <w:r w:rsidRPr="00CF31E0">
        <w:rPr>
          <w:lang w:eastAsia="en-US"/>
        </w:rPr>
        <w:t xml:space="preserve">The mean score comparison of VS5 shows that the traditional scale had the highest mean score. See Table </w:t>
      </w:r>
      <w:r w:rsidR="00546CAF" w:rsidRPr="00CF31E0">
        <w:rPr>
          <w:lang w:eastAsia="en-US"/>
        </w:rPr>
        <w:t>11</w:t>
      </w:r>
      <w:r w:rsidR="009809EE" w:rsidRPr="00CF31E0">
        <w:rPr>
          <w:lang w:eastAsia="en-US"/>
        </w:rPr>
        <w:t>.</w:t>
      </w:r>
      <w:r w:rsidR="00546CAF" w:rsidRPr="00CF31E0">
        <w:rPr>
          <w:lang w:eastAsia="en-US"/>
        </w:rPr>
        <w:t>33</w:t>
      </w:r>
      <w:r w:rsidRPr="00CF31E0">
        <w:rPr>
          <w:lang w:eastAsia="en-US"/>
        </w:rPr>
        <w:t xml:space="preserve">. </w:t>
      </w:r>
    </w:p>
    <w:tbl>
      <w:tblPr>
        <w:tblW w:w="6713"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706"/>
        <w:gridCol w:w="1406"/>
        <w:gridCol w:w="1601"/>
      </w:tblGrid>
      <w:tr w:rsidR="00F83240" w:rsidRPr="00CF31E0" w14:paraId="5675E801" w14:textId="77777777" w:rsidTr="00603CB7">
        <w:trPr>
          <w:cantSplit/>
          <w:trHeight w:val="419"/>
        </w:trPr>
        <w:tc>
          <w:tcPr>
            <w:tcW w:w="3706" w:type="dxa"/>
            <w:tcBorders>
              <w:top w:val="single" w:sz="4" w:space="0" w:color="auto"/>
              <w:bottom w:val="single" w:sz="4" w:space="0" w:color="auto"/>
            </w:tcBorders>
            <w:shd w:val="clear" w:color="auto" w:fill="FFFFFF"/>
            <w:vAlign w:val="bottom"/>
          </w:tcPr>
          <w:p w14:paraId="341B12D6" w14:textId="77777777" w:rsidR="00F83240" w:rsidRPr="00CF31E0" w:rsidRDefault="00F83240" w:rsidP="00603CB7">
            <w:pPr>
              <w:spacing w:before="120" w:after="120"/>
              <w:rPr>
                <w:rFonts w:eastAsia="Calibri"/>
                <w:color w:val="000000" w:themeColor="text1"/>
                <w:sz w:val="22"/>
                <w:szCs w:val="22"/>
                <w:lang w:eastAsia="en-US"/>
              </w:rPr>
            </w:pPr>
          </w:p>
        </w:tc>
        <w:tc>
          <w:tcPr>
            <w:tcW w:w="1406" w:type="dxa"/>
            <w:tcBorders>
              <w:top w:val="single" w:sz="4" w:space="0" w:color="auto"/>
              <w:bottom w:val="single" w:sz="4" w:space="0" w:color="auto"/>
            </w:tcBorders>
            <w:shd w:val="clear" w:color="auto" w:fill="FFFFFF"/>
            <w:vAlign w:val="bottom"/>
          </w:tcPr>
          <w:p w14:paraId="0DAE76DC" w14:textId="77777777" w:rsidR="00F83240" w:rsidRPr="00CF31E0" w:rsidRDefault="00F83240"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rFonts w:eastAsia="Calibri"/>
                <w:color w:val="000000" w:themeColor="text1"/>
                <w:sz w:val="22"/>
                <w:szCs w:val="22"/>
                <w:lang w:eastAsia="en-US"/>
              </w:rPr>
              <w:t>Mean</w:t>
            </w:r>
          </w:p>
        </w:tc>
        <w:tc>
          <w:tcPr>
            <w:tcW w:w="1601" w:type="dxa"/>
            <w:tcBorders>
              <w:top w:val="single" w:sz="4" w:space="0" w:color="auto"/>
              <w:bottom w:val="single" w:sz="4" w:space="0" w:color="auto"/>
            </w:tcBorders>
            <w:shd w:val="clear" w:color="auto" w:fill="FFFFFF"/>
            <w:vAlign w:val="bottom"/>
          </w:tcPr>
          <w:p w14:paraId="79128499" w14:textId="77777777" w:rsidR="00F83240" w:rsidRPr="00CF31E0" w:rsidRDefault="00F83240"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rFonts w:eastAsia="Calibri"/>
                <w:color w:val="000000" w:themeColor="text1"/>
                <w:sz w:val="22"/>
                <w:szCs w:val="22"/>
                <w:lang w:eastAsia="en-US"/>
              </w:rPr>
              <w:t>Std. Deviation</w:t>
            </w:r>
          </w:p>
        </w:tc>
      </w:tr>
      <w:tr w:rsidR="00F83240" w:rsidRPr="00CF31E0" w14:paraId="402F566C" w14:textId="77777777" w:rsidTr="00603CB7">
        <w:trPr>
          <w:cantSplit/>
          <w:trHeight w:val="383"/>
        </w:trPr>
        <w:tc>
          <w:tcPr>
            <w:tcW w:w="3706" w:type="dxa"/>
            <w:tcBorders>
              <w:top w:val="single" w:sz="4" w:space="0" w:color="auto"/>
              <w:bottom w:val="nil"/>
            </w:tcBorders>
            <w:shd w:val="clear" w:color="auto" w:fill="FFFFFF"/>
          </w:tcPr>
          <w:p w14:paraId="045242F6" w14:textId="77777777" w:rsidR="00F83240" w:rsidRPr="00CF31E0" w:rsidRDefault="00F83240" w:rsidP="00603CB7">
            <w:pPr>
              <w:widowControl w:val="0"/>
              <w:autoSpaceDE w:val="0"/>
              <w:autoSpaceDN w:val="0"/>
              <w:adjustRightInd w:val="0"/>
              <w:spacing w:before="120" w:after="120"/>
              <w:ind w:left="62" w:right="62"/>
              <w:rPr>
                <w:rFonts w:eastAsia="Calibri"/>
                <w:color w:val="000000" w:themeColor="text1"/>
                <w:sz w:val="22"/>
                <w:szCs w:val="22"/>
                <w:lang w:eastAsia="en-US"/>
              </w:rPr>
            </w:pPr>
            <w:r w:rsidRPr="00CF31E0">
              <w:rPr>
                <w:rFonts w:eastAsia="Calibri"/>
                <w:color w:val="000000" w:themeColor="text1"/>
                <w:sz w:val="22"/>
                <w:szCs w:val="22"/>
                <w:lang w:eastAsia="en-US"/>
              </w:rPr>
              <w:t>Serious</w:t>
            </w:r>
          </w:p>
        </w:tc>
        <w:tc>
          <w:tcPr>
            <w:tcW w:w="1406" w:type="dxa"/>
            <w:tcBorders>
              <w:top w:val="single" w:sz="4" w:space="0" w:color="auto"/>
              <w:bottom w:val="nil"/>
            </w:tcBorders>
            <w:shd w:val="clear" w:color="auto" w:fill="FFFFFF"/>
          </w:tcPr>
          <w:p w14:paraId="62DF8D9D" w14:textId="49F8651E" w:rsidR="00F83240" w:rsidRPr="00CF31E0" w:rsidRDefault="00F83240" w:rsidP="00603CB7">
            <w:pPr>
              <w:widowControl w:val="0"/>
              <w:autoSpaceDE w:val="0"/>
              <w:autoSpaceDN w:val="0"/>
              <w:adjustRightInd w:val="0"/>
              <w:spacing w:before="120" w:after="120"/>
              <w:ind w:left="62" w:right="62"/>
              <w:rPr>
                <w:rFonts w:eastAsia="Calibri"/>
                <w:color w:val="000000" w:themeColor="text1"/>
                <w:sz w:val="22"/>
                <w:szCs w:val="22"/>
                <w:lang w:eastAsia="en-US"/>
              </w:rPr>
            </w:pPr>
            <w:r w:rsidRPr="00CF31E0">
              <w:rPr>
                <w:color w:val="000000" w:themeColor="text1"/>
                <w:sz w:val="22"/>
                <w:szCs w:val="22"/>
              </w:rPr>
              <w:t>3.3035</w:t>
            </w:r>
          </w:p>
        </w:tc>
        <w:tc>
          <w:tcPr>
            <w:tcW w:w="1601" w:type="dxa"/>
            <w:tcBorders>
              <w:top w:val="single" w:sz="4" w:space="0" w:color="auto"/>
              <w:bottom w:val="nil"/>
            </w:tcBorders>
            <w:shd w:val="clear" w:color="auto" w:fill="FFFFFF"/>
          </w:tcPr>
          <w:p w14:paraId="3548AD5B" w14:textId="3BC278A0" w:rsidR="00F83240" w:rsidRPr="00CF31E0" w:rsidRDefault="00F83240" w:rsidP="00603CB7">
            <w:pPr>
              <w:widowControl w:val="0"/>
              <w:autoSpaceDE w:val="0"/>
              <w:autoSpaceDN w:val="0"/>
              <w:adjustRightInd w:val="0"/>
              <w:spacing w:before="120" w:after="120"/>
              <w:ind w:left="62" w:right="62"/>
              <w:rPr>
                <w:rFonts w:eastAsia="Calibri"/>
                <w:color w:val="000000" w:themeColor="text1"/>
                <w:sz w:val="22"/>
                <w:szCs w:val="22"/>
                <w:lang w:eastAsia="en-US"/>
              </w:rPr>
            </w:pPr>
            <w:r w:rsidRPr="00CF31E0">
              <w:rPr>
                <w:color w:val="000000" w:themeColor="text1"/>
                <w:sz w:val="22"/>
                <w:szCs w:val="22"/>
              </w:rPr>
              <w:t>1.35355</w:t>
            </w:r>
          </w:p>
        </w:tc>
      </w:tr>
      <w:tr w:rsidR="00F83240" w:rsidRPr="00CF31E0" w14:paraId="00AEDD0F" w14:textId="77777777" w:rsidTr="00603CB7">
        <w:trPr>
          <w:cantSplit/>
          <w:trHeight w:val="371"/>
        </w:trPr>
        <w:tc>
          <w:tcPr>
            <w:tcW w:w="3706" w:type="dxa"/>
            <w:tcBorders>
              <w:top w:val="nil"/>
            </w:tcBorders>
            <w:shd w:val="clear" w:color="auto" w:fill="FFFFFF"/>
          </w:tcPr>
          <w:p w14:paraId="73134952" w14:textId="77777777" w:rsidR="00F83240" w:rsidRPr="00CF31E0" w:rsidRDefault="00F83240"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rFonts w:eastAsia="Calibri"/>
                <w:color w:val="000000" w:themeColor="text1"/>
                <w:sz w:val="22"/>
                <w:szCs w:val="22"/>
                <w:lang w:eastAsia="en-US"/>
              </w:rPr>
              <w:t>Similar to other Arabic dialects</w:t>
            </w:r>
          </w:p>
        </w:tc>
        <w:tc>
          <w:tcPr>
            <w:tcW w:w="1406" w:type="dxa"/>
            <w:tcBorders>
              <w:top w:val="nil"/>
            </w:tcBorders>
            <w:shd w:val="clear" w:color="auto" w:fill="FFFFFF"/>
          </w:tcPr>
          <w:p w14:paraId="45F0B1B2" w14:textId="52F0D0CE" w:rsidR="00F83240" w:rsidRPr="00CF31E0" w:rsidRDefault="00F83240"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color w:val="000000" w:themeColor="text1"/>
                <w:sz w:val="22"/>
                <w:szCs w:val="22"/>
              </w:rPr>
              <w:t>3.2327</w:t>
            </w:r>
          </w:p>
        </w:tc>
        <w:tc>
          <w:tcPr>
            <w:tcW w:w="1601" w:type="dxa"/>
            <w:tcBorders>
              <w:top w:val="nil"/>
            </w:tcBorders>
            <w:shd w:val="clear" w:color="auto" w:fill="FFFFFF"/>
          </w:tcPr>
          <w:p w14:paraId="3DDDCA83" w14:textId="74499E9E" w:rsidR="00F83240" w:rsidRPr="00CF31E0" w:rsidRDefault="00F83240"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color w:val="000000" w:themeColor="text1"/>
                <w:sz w:val="22"/>
                <w:szCs w:val="22"/>
              </w:rPr>
              <w:t>1.21961</w:t>
            </w:r>
          </w:p>
        </w:tc>
      </w:tr>
      <w:tr w:rsidR="00F83240" w:rsidRPr="00CF31E0" w14:paraId="1F81EEDF" w14:textId="77777777" w:rsidTr="00603CB7">
        <w:trPr>
          <w:cantSplit/>
          <w:trHeight w:val="383"/>
        </w:trPr>
        <w:tc>
          <w:tcPr>
            <w:tcW w:w="3706" w:type="dxa"/>
            <w:shd w:val="clear" w:color="auto" w:fill="FFFFFF"/>
          </w:tcPr>
          <w:p w14:paraId="4F633747" w14:textId="77777777" w:rsidR="00F83240" w:rsidRPr="00CF31E0" w:rsidRDefault="00F83240"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rFonts w:eastAsia="Calibri"/>
                <w:color w:val="000000" w:themeColor="text1"/>
                <w:sz w:val="22"/>
                <w:szCs w:val="22"/>
                <w:lang w:eastAsia="en-US"/>
              </w:rPr>
              <w:t>Traditional</w:t>
            </w:r>
          </w:p>
        </w:tc>
        <w:tc>
          <w:tcPr>
            <w:tcW w:w="1406" w:type="dxa"/>
            <w:shd w:val="clear" w:color="auto" w:fill="FFFFFF"/>
          </w:tcPr>
          <w:p w14:paraId="2C4C8CCA" w14:textId="1406B7F7" w:rsidR="00F83240" w:rsidRPr="00CF31E0" w:rsidRDefault="00F83240"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color w:val="000000" w:themeColor="text1"/>
                <w:sz w:val="22"/>
                <w:szCs w:val="22"/>
              </w:rPr>
              <w:t>3.4083</w:t>
            </w:r>
          </w:p>
        </w:tc>
        <w:tc>
          <w:tcPr>
            <w:tcW w:w="1601" w:type="dxa"/>
            <w:shd w:val="clear" w:color="auto" w:fill="FFFFFF"/>
          </w:tcPr>
          <w:p w14:paraId="0FC1F934" w14:textId="6F928F67" w:rsidR="00F83240" w:rsidRPr="00CF31E0" w:rsidRDefault="00F83240" w:rsidP="00603CB7">
            <w:pPr>
              <w:widowControl w:val="0"/>
              <w:autoSpaceDE w:val="0"/>
              <w:autoSpaceDN w:val="0"/>
              <w:adjustRightInd w:val="0"/>
              <w:spacing w:before="120" w:after="120"/>
              <w:ind w:left="60" w:right="60"/>
              <w:rPr>
                <w:rFonts w:eastAsia="Calibri"/>
                <w:color w:val="000000" w:themeColor="text1"/>
                <w:sz w:val="22"/>
                <w:szCs w:val="22"/>
                <w:lang w:eastAsia="en-US"/>
              </w:rPr>
            </w:pPr>
            <w:r w:rsidRPr="00CF31E0">
              <w:rPr>
                <w:color w:val="000000" w:themeColor="text1"/>
                <w:sz w:val="22"/>
                <w:szCs w:val="22"/>
              </w:rPr>
              <w:t>1.13773</w:t>
            </w:r>
          </w:p>
        </w:tc>
      </w:tr>
      <w:tr w:rsidR="00F83240" w:rsidRPr="00CF31E0" w14:paraId="7F64564C" w14:textId="77777777" w:rsidTr="00603CB7">
        <w:trPr>
          <w:cantSplit/>
          <w:trHeight w:val="383"/>
        </w:trPr>
        <w:tc>
          <w:tcPr>
            <w:tcW w:w="3706" w:type="dxa"/>
            <w:shd w:val="clear" w:color="auto" w:fill="FFFFFF"/>
          </w:tcPr>
          <w:p w14:paraId="56B5B694" w14:textId="77777777" w:rsidR="00F83240" w:rsidRPr="00CF31E0" w:rsidRDefault="00F83240" w:rsidP="00603CB7">
            <w:pPr>
              <w:widowControl w:val="0"/>
              <w:autoSpaceDE w:val="0"/>
              <w:autoSpaceDN w:val="0"/>
              <w:adjustRightInd w:val="0"/>
              <w:spacing w:before="120" w:after="120"/>
              <w:ind w:left="62" w:right="62"/>
              <w:rPr>
                <w:rFonts w:eastAsia="Calibri"/>
                <w:color w:val="000000" w:themeColor="text1"/>
                <w:sz w:val="22"/>
                <w:szCs w:val="22"/>
                <w:lang w:eastAsia="en-US"/>
              </w:rPr>
            </w:pPr>
            <w:r w:rsidRPr="00CF31E0">
              <w:rPr>
                <w:rFonts w:eastAsia="Calibri"/>
                <w:color w:val="000000" w:themeColor="text1"/>
                <w:sz w:val="22"/>
                <w:szCs w:val="22"/>
                <w:lang w:eastAsia="en-US"/>
              </w:rPr>
              <w:t>Modern</w:t>
            </w:r>
          </w:p>
        </w:tc>
        <w:tc>
          <w:tcPr>
            <w:tcW w:w="1406" w:type="dxa"/>
            <w:shd w:val="clear" w:color="auto" w:fill="FFFFFF"/>
          </w:tcPr>
          <w:p w14:paraId="142A363E" w14:textId="168097FA" w:rsidR="00F83240" w:rsidRPr="00CF31E0" w:rsidRDefault="00F83240" w:rsidP="00603CB7">
            <w:pPr>
              <w:widowControl w:val="0"/>
              <w:autoSpaceDE w:val="0"/>
              <w:autoSpaceDN w:val="0"/>
              <w:adjustRightInd w:val="0"/>
              <w:spacing w:before="120" w:after="120"/>
              <w:ind w:left="62" w:right="62"/>
              <w:rPr>
                <w:rFonts w:eastAsia="Calibri"/>
                <w:color w:val="000000" w:themeColor="text1"/>
                <w:sz w:val="22"/>
                <w:szCs w:val="22"/>
                <w:lang w:eastAsia="en-US"/>
              </w:rPr>
            </w:pPr>
            <w:r w:rsidRPr="00CF31E0">
              <w:rPr>
                <w:color w:val="000000" w:themeColor="text1"/>
                <w:sz w:val="22"/>
                <w:szCs w:val="22"/>
              </w:rPr>
              <w:t>3.0200</w:t>
            </w:r>
          </w:p>
        </w:tc>
        <w:tc>
          <w:tcPr>
            <w:tcW w:w="1601" w:type="dxa"/>
            <w:shd w:val="clear" w:color="auto" w:fill="FFFFFF"/>
          </w:tcPr>
          <w:p w14:paraId="326FA045" w14:textId="2AEEA711" w:rsidR="00F83240" w:rsidRPr="00CF31E0" w:rsidRDefault="00F83240" w:rsidP="00603CB7">
            <w:pPr>
              <w:widowControl w:val="0"/>
              <w:autoSpaceDE w:val="0"/>
              <w:autoSpaceDN w:val="0"/>
              <w:adjustRightInd w:val="0"/>
              <w:spacing w:before="120" w:after="120"/>
              <w:ind w:left="62" w:right="62"/>
              <w:rPr>
                <w:rFonts w:eastAsia="Calibri"/>
                <w:color w:val="000000" w:themeColor="text1"/>
                <w:sz w:val="22"/>
                <w:szCs w:val="22"/>
                <w:lang w:eastAsia="en-US"/>
              </w:rPr>
            </w:pPr>
            <w:r w:rsidRPr="00CF31E0">
              <w:rPr>
                <w:color w:val="000000" w:themeColor="text1"/>
                <w:sz w:val="22"/>
                <w:szCs w:val="22"/>
              </w:rPr>
              <w:t>1.21509</w:t>
            </w:r>
          </w:p>
        </w:tc>
      </w:tr>
    </w:tbl>
    <w:p w14:paraId="0857CBAC" w14:textId="56177CD1" w:rsidR="000B4835" w:rsidRPr="00CF31E0" w:rsidRDefault="000B4835" w:rsidP="00546CAF">
      <w:pPr>
        <w:pStyle w:val="Tablecaption"/>
        <w:rPr>
          <w:lang w:eastAsia="en-US"/>
        </w:rPr>
      </w:pPr>
      <w:bookmarkStart w:id="909" w:name="_Toc522527496"/>
      <w:bookmarkStart w:id="910" w:name="_Toc522628909"/>
      <w:bookmarkStart w:id="911" w:name="_Toc522629073"/>
      <w:bookmarkStart w:id="912" w:name="_Toc6473171"/>
      <w:r w:rsidRPr="00CF31E0">
        <w:rPr>
          <w:lang w:eastAsia="en-US"/>
        </w:rPr>
        <w:t>Table</w:t>
      </w:r>
      <w:r w:rsidR="009809EE" w:rsidRPr="00CF31E0">
        <w:rPr>
          <w:lang w:eastAsia="en-US"/>
        </w:rPr>
        <w:t xml:space="preserve"> </w:t>
      </w:r>
      <w:r w:rsidR="00546CAF" w:rsidRPr="00CF31E0">
        <w:rPr>
          <w:lang w:eastAsia="en-US"/>
        </w:rPr>
        <w:t>11</w:t>
      </w:r>
      <w:r w:rsidR="009809EE" w:rsidRPr="00CF31E0">
        <w:rPr>
          <w:lang w:eastAsia="en-US"/>
        </w:rPr>
        <w:t>.</w:t>
      </w:r>
      <w:r w:rsidR="00546CAF" w:rsidRPr="00CF31E0">
        <w:rPr>
          <w:lang w:eastAsia="en-US"/>
        </w:rPr>
        <w:t>33</w:t>
      </w:r>
      <w:r w:rsidR="009809EE" w:rsidRPr="00CF31E0">
        <w:rPr>
          <w:lang w:eastAsia="en-US"/>
        </w:rPr>
        <w:t xml:space="preserve">: </w:t>
      </w:r>
      <w:r w:rsidRPr="00CF31E0">
        <w:rPr>
          <w:lang w:eastAsia="en-US"/>
        </w:rPr>
        <w:t>Mean scores for rating scales of VS5</w:t>
      </w:r>
      <w:r w:rsidR="009809EE" w:rsidRPr="00CF31E0">
        <w:rPr>
          <w:lang w:eastAsia="en-US"/>
        </w:rPr>
        <w:t>.</w:t>
      </w:r>
      <w:bookmarkEnd w:id="909"/>
      <w:bookmarkEnd w:id="910"/>
      <w:bookmarkEnd w:id="911"/>
      <w:bookmarkEnd w:id="912"/>
    </w:p>
    <w:p w14:paraId="2B2D416E" w14:textId="5148F5C5" w:rsidR="000B4835" w:rsidRPr="00CF31E0" w:rsidRDefault="000B4835" w:rsidP="00603CB7">
      <w:pPr>
        <w:pStyle w:val="Paragraph"/>
        <w:rPr>
          <w:lang w:eastAsia="en-US"/>
        </w:rPr>
      </w:pPr>
      <w:r w:rsidRPr="00CF31E0">
        <w:rPr>
          <w:lang w:eastAsia="en-US"/>
        </w:rPr>
        <w:lastRenderedPageBreak/>
        <w:t>The above table illustrates that this is the only voice sample where the mean scores do not fluctuate from one scale to another, which is the case in the previous four voice samples. All of the scales maintained a mean score above 3, with the traditional scale having the highest mean score and the modern scale having the lowest mean score. The serious scale and the similar to other Arabic dialects scales were located in between the highest and lowest mean scores.</w:t>
      </w:r>
    </w:p>
    <w:p w14:paraId="1A02A1AB" w14:textId="7AE7B3A2" w:rsidR="000B4835" w:rsidRPr="00CF31E0" w:rsidRDefault="00546CAF" w:rsidP="00250706">
      <w:pPr>
        <w:pStyle w:val="Chead"/>
        <w:rPr>
          <w:rFonts w:eastAsia="Calibri"/>
        </w:rPr>
      </w:pPr>
      <w:bookmarkStart w:id="913" w:name="_Toc6472793"/>
      <w:r w:rsidRPr="00CF31E0">
        <w:rPr>
          <w:rFonts w:eastAsia="Calibri"/>
        </w:rPr>
        <w:t>11</w:t>
      </w:r>
      <w:r w:rsidR="009809EE" w:rsidRPr="00CF31E0">
        <w:rPr>
          <w:rFonts w:eastAsia="Calibri"/>
        </w:rPr>
        <w:t>.3.1.3.</w:t>
      </w:r>
      <w:r w:rsidR="00D2523E" w:rsidRPr="00CF31E0">
        <w:rPr>
          <w:rFonts w:eastAsia="Calibri"/>
        </w:rPr>
        <w:tab/>
      </w:r>
      <w:r w:rsidR="000B4835" w:rsidRPr="00CF31E0">
        <w:rPr>
          <w:rFonts w:eastAsia="Calibri"/>
        </w:rPr>
        <w:t>Step 3</w:t>
      </w:r>
      <w:r w:rsidR="00250706" w:rsidRPr="00CF31E0">
        <w:rPr>
          <w:rFonts w:eastAsia="Calibri"/>
        </w:rPr>
        <w:t>:</w:t>
      </w:r>
      <w:r w:rsidR="0093176E" w:rsidRPr="00CF31E0">
        <w:rPr>
          <w:rFonts w:eastAsia="Calibri"/>
        </w:rPr>
        <w:t xml:space="preserve"> </w:t>
      </w:r>
      <w:r w:rsidR="009B27CA" w:rsidRPr="00CF31E0">
        <w:rPr>
          <w:rFonts w:eastAsia="Calibri"/>
        </w:rPr>
        <w:t>E</w:t>
      </w:r>
      <w:r w:rsidR="0093176E" w:rsidRPr="00CF31E0">
        <w:rPr>
          <w:rFonts w:eastAsia="Calibri"/>
        </w:rPr>
        <w:t>ffects of demographic variables on the rating scales</w:t>
      </w:r>
      <w:bookmarkEnd w:id="913"/>
    </w:p>
    <w:p w14:paraId="7200EF51" w14:textId="22ED675C" w:rsidR="000B4835" w:rsidRPr="00CF31E0" w:rsidRDefault="000B4835" w:rsidP="00603CB7">
      <w:pPr>
        <w:pStyle w:val="Paragraph"/>
        <w:rPr>
          <w:lang w:eastAsia="en-US"/>
        </w:rPr>
      </w:pPr>
      <w:r w:rsidRPr="00CF31E0">
        <w:rPr>
          <w:lang w:eastAsia="en-US"/>
        </w:rPr>
        <w:t xml:space="preserve">I processed the rating task data using two procedures: box plots and ANOVA test. The reason for applying box plots was to visualize the data and make cross-sample comparisons. The ANOVA test was used to reveal whether or not the ratings for each scale were affected by demographic variables. </w:t>
      </w:r>
    </w:p>
    <w:p w14:paraId="28E9F13C" w14:textId="0445F1B8" w:rsidR="000B4835" w:rsidRPr="00CF31E0" w:rsidRDefault="000B4835" w:rsidP="00603CB7">
      <w:pPr>
        <w:pStyle w:val="Paragraph"/>
        <w:rPr>
          <w:lang w:eastAsia="en-US"/>
        </w:rPr>
      </w:pPr>
      <w:r w:rsidRPr="00CF31E0">
        <w:rPr>
          <w:lang w:eastAsia="en-US"/>
        </w:rPr>
        <w:t>Box plots constitute a visualization method that provides a full ac</w:t>
      </w:r>
      <w:r w:rsidR="005543BA" w:rsidRPr="00CF31E0">
        <w:rPr>
          <w:lang w:eastAsia="en-US"/>
        </w:rPr>
        <w:t>count</w:t>
      </w:r>
      <w:r w:rsidRPr="00CF31E0">
        <w:rPr>
          <w:lang w:eastAsia="en-US"/>
        </w:rPr>
        <w:t xml:space="preserve"> of the distribution of scores within variables </w:t>
      </w:r>
      <w:r w:rsidRPr="00CF31E0">
        <w:rPr>
          <w:lang w:eastAsia="en-US"/>
        </w:rPr>
        <w:fldChar w:fldCharType="begin"/>
      </w:r>
      <w:r w:rsidRPr="00CF31E0">
        <w:rPr>
          <w:lang w:eastAsia="en-US"/>
        </w:rPr>
        <w:instrText xml:space="preserve"> ADDIN ZOTERO_ITEM CSL_CITATION {"citationID":"acktkjt738","properties":{"formattedCitation":"(Pallant, 2013)","plainCitation":"(Pallant, 2013)"},"citationItems":[{"id":208,"uris":["http://zotero.org/users/1939618/items/ME4Z3BDW"],"uri":["http://zotero.org/users/1939618/items/ME4Z3BDW"],"itemData":{"id":208,"type":"book","title":"SPSS survival manual","publisher":"McGraw-Hill Education (UK)","edition":"5th","source":"Google Scholar","URL":"https://books.google.co.uk/books?hl=en&amp;lr=&amp;id=fZZTBgAAQBAJ&amp;oi=fnd&amp;pg=PR7&amp;dq=spss+manual+survival+5th+edition&amp;ots=KUNtjTXXyQ&amp;sig=bmJQspifgoygavKVhpMYsXasP1I","author":[{"family":"Pallant","given":"Julie"}],"issued":{"date-parts":[["2013"]]},"accessed":{"date-parts":[["2016",11,25]]}},"label":"page"}],"schema":"https://github.com/citation-style-language/schema/raw/master/csl-citation.json"} </w:instrText>
      </w:r>
      <w:r w:rsidRPr="00CF31E0">
        <w:rPr>
          <w:lang w:eastAsia="en-US"/>
        </w:rPr>
        <w:fldChar w:fldCharType="separate"/>
      </w:r>
      <w:r w:rsidRPr="00CF31E0">
        <w:rPr>
          <w:noProof/>
          <w:lang w:eastAsia="en-US"/>
        </w:rPr>
        <w:t>(Pallant, 2013)</w:t>
      </w:r>
      <w:r w:rsidRPr="00CF31E0">
        <w:rPr>
          <w:lang w:eastAsia="en-US"/>
        </w:rPr>
        <w:fldChar w:fldCharType="end"/>
      </w:r>
      <w:r w:rsidR="00412599" w:rsidRPr="00CF31E0">
        <w:rPr>
          <w:lang w:eastAsia="en-US"/>
        </w:rPr>
        <w:t>. I visualized</w:t>
      </w:r>
      <w:r w:rsidRPr="00CF31E0">
        <w:rPr>
          <w:lang w:eastAsia="en-US"/>
        </w:rPr>
        <w:t xml:space="preserve"> the data using box plots as they are powerful in two aspects: visualizing the score distribution and comparing the distribution across demographic variables. As this study concerns each social group’s perceptions of a group of evaluative words, I separated the scores acc</w:t>
      </w:r>
      <w:r w:rsidR="00412599" w:rsidRPr="00CF31E0">
        <w:rPr>
          <w:lang w:eastAsia="en-US"/>
        </w:rPr>
        <w:t>ording to the UBH and HH</w:t>
      </w:r>
      <w:r w:rsidRPr="00CF31E0">
        <w:rPr>
          <w:lang w:eastAsia="en-US"/>
        </w:rPr>
        <w:t xml:space="preserve"> social groups. Thus, the box plots show the distribution of scores for each characteri</w:t>
      </w:r>
      <w:r w:rsidR="00412599" w:rsidRPr="00CF31E0">
        <w:rPr>
          <w:lang w:eastAsia="en-US"/>
        </w:rPr>
        <w:t>stic for both UBH and HH</w:t>
      </w:r>
      <w:r w:rsidRPr="00CF31E0">
        <w:rPr>
          <w:lang w:eastAsia="en-US"/>
        </w:rPr>
        <w:t xml:space="preserve"> participants. The box plots will provide a lot of information about the distribution of each of the four evaluative words in the scale and the influence of the categorical variable (i.e. social group) on the results. </w:t>
      </w:r>
    </w:p>
    <w:p w14:paraId="31D8598C" w14:textId="0A56D51F" w:rsidR="000B4835" w:rsidRPr="00CF31E0" w:rsidRDefault="000B4835" w:rsidP="00603CB7">
      <w:pPr>
        <w:pStyle w:val="Paragraph"/>
        <w:rPr>
          <w:lang w:eastAsia="en-US"/>
        </w:rPr>
      </w:pPr>
      <w:r w:rsidRPr="00CF31E0">
        <w:rPr>
          <w:lang w:eastAsia="en-US"/>
        </w:rPr>
        <w:t xml:space="preserve">In their simplest representation, box plots indicate five points: minimum, lower quartile, median, upper quartile and maximum. The length of the box is called the interquartile range as it represents the lower quartile, median and upper quartile. The length of the box represents 50% of the cases. Whiskers below and above the box indicate the location of the minimum </w:t>
      </w:r>
      <w:r w:rsidRPr="00CF31E0">
        <w:rPr>
          <w:lang w:eastAsia="en-US"/>
        </w:rPr>
        <w:lastRenderedPageBreak/>
        <w:t>and maximum score values. Each whisker represents 25% of the data</w:t>
      </w:r>
      <w:r w:rsidR="003851FB" w:rsidRPr="00CF31E0">
        <w:rPr>
          <w:lang w:eastAsia="en-US"/>
        </w:rPr>
        <w:t>(</w:t>
      </w:r>
      <w:r w:rsidRPr="00CF31E0">
        <w:rPr>
          <w:lang w:eastAsia="en-US"/>
        </w:rPr>
        <w:t xml:space="preserve">see </w:t>
      </w:r>
      <w:r w:rsidRPr="00CF31E0">
        <w:rPr>
          <w:lang w:eastAsia="en-US"/>
        </w:rPr>
        <w:fldChar w:fldCharType="begin"/>
      </w:r>
      <w:r w:rsidRPr="00CF31E0">
        <w:rPr>
          <w:lang w:eastAsia="en-US"/>
        </w:rPr>
        <w:instrText xml:space="preserve"> ADDIN ZOTERO_ITEM CSL_CITATION {"citationID":"aoer6ud80j","properties":{"formattedCitation":"(Krzywinski &amp; Altman, 2014; Pallant, 2013)","plainCitation":"(Krzywinski &amp; Altman, 2014; Pallant, 2013)"},"citationItems":[{"id":320,"uris":["http://zotero.org/users/1939618/items/QCNSLXNY"],"uri":["http://zotero.org/users/1939618/items/QCNSLXNY"],"itemData":{"id":320,"type":"article-journal","title":"Visualizing samples with box plots","container-title":"Nature methods","page":"119-20","volume":"11","issue":"2","source":"find.shef.ac.uk","ISSN":"1548-7105","language":"eng","author":[{"family":"Krzywinski","given":"Martin"},{"family":"Altman","given":"Naomi"}],"issued":{"date-parts":[["2014"]]}},"label":"page"},{"id":208,"uris":["http://zotero.org/users/1939618/items/ME4Z3BDW"],"uri":["http://zotero.org/users/1939618/items/ME4Z3BDW"],"itemData":{"id":208,"type":"book","title":"SPSS survival manual","publisher":"McGraw-Hill Education (UK)","edition":"5th","source":"Google Scholar","URL":"https://books.google.co.uk/books?hl=en&amp;lr=&amp;id=fZZTBgAAQBAJ&amp;oi=fnd&amp;pg=PR7&amp;dq=spss+manual+survival+5th+edition&amp;ots=KUNtjTXXyQ&amp;sig=bmJQspifgoygavKVhpMYsXasP1I","author":[{"family":"Pallant","given":"Julie"}],"issued":{"date-parts":[["2013"]]},"accessed":{"date-parts":[["2016",11,25]]}},"label":"page"}],"schema":"https://github.com/citation-style-language/schema/raw/master/csl-citation.json"} </w:instrText>
      </w:r>
      <w:r w:rsidRPr="00CF31E0">
        <w:rPr>
          <w:lang w:eastAsia="en-US"/>
        </w:rPr>
        <w:fldChar w:fldCharType="separate"/>
      </w:r>
      <w:r w:rsidRPr="00CF31E0">
        <w:rPr>
          <w:noProof/>
          <w:lang w:eastAsia="en-US"/>
        </w:rPr>
        <w:t>Krzywinski and Altman(2014) and Pallant (2013)</w:t>
      </w:r>
      <w:r w:rsidRPr="00CF31E0">
        <w:rPr>
          <w:lang w:eastAsia="en-US"/>
        </w:rPr>
        <w:fldChar w:fldCharType="end"/>
      </w:r>
      <w:r w:rsidRPr="00CF31E0">
        <w:rPr>
          <w:lang w:eastAsia="en-US"/>
        </w:rPr>
        <w:t xml:space="preserve">. </w:t>
      </w:r>
    </w:p>
    <w:p w14:paraId="53F02607" w14:textId="09956A63" w:rsidR="000B4835" w:rsidRPr="00CF31E0" w:rsidRDefault="000B4835" w:rsidP="00603CB7">
      <w:pPr>
        <w:pStyle w:val="Paragraph"/>
        <w:rPr>
          <w:lang w:eastAsia="en-US"/>
        </w:rPr>
      </w:pPr>
      <w:r w:rsidRPr="00CF31E0">
        <w:rPr>
          <w:lang w:eastAsia="en-US"/>
        </w:rPr>
        <w:t>When presenting the box plot and ANOVA results, I will follow the same structure as adopted</w:t>
      </w:r>
      <w:r w:rsidR="0016727D" w:rsidRPr="00CF31E0">
        <w:rPr>
          <w:lang w:eastAsia="en-US"/>
        </w:rPr>
        <w:t xml:space="preserve"> in the perceptual</w:t>
      </w:r>
      <w:r w:rsidRPr="00CF31E0">
        <w:rPr>
          <w:lang w:eastAsia="en-US"/>
        </w:rPr>
        <w:t>. Thus, I will present the r</w:t>
      </w:r>
      <w:r w:rsidR="0016727D" w:rsidRPr="00CF31E0">
        <w:rPr>
          <w:lang w:eastAsia="en-US"/>
        </w:rPr>
        <w:t>esults of the exposure to HH</w:t>
      </w:r>
      <w:r w:rsidRPr="00CF31E0">
        <w:rPr>
          <w:lang w:eastAsia="en-US"/>
        </w:rPr>
        <w:t xml:space="preserve"> speakers together (i</w:t>
      </w:r>
      <w:r w:rsidR="0016727D" w:rsidRPr="00CF31E0">
        <w:rPr>
          <w:lang w:eastAsia="en-US"/>
        </w:rPr>
        <w:t>.e. VS1 and VS3) and the UBH</w:t>
      </w:r>
      <w:r w:rsidRPr="00CF31E0">
        <w:rPr>
          <w:lang w:eastAsia="en-US"/>
        </w:rPr>
        <w:t xml:space="preserve"> speakers together (VS2 and VS4). Finally, results from VS5 will be presented separately. </w:t>
      </w:r>
    </w:p>
    <w:p w14:paraId="0C412CC7" w14:textId="25E33854" w:rsidR="000B4835" w:rsidRPr="00CF31E0" w:rsidRDefault="00546CAF" w:rsidP="00546CAF">
      <w:pPr>
        <w:pStyle w:val="Bhead"/>
      </w:pPr>
      <w:bookmarkStart w:id="914" w:name="_Toc6472794"/>
      <w:r w:rsidRPr="00CF31E0">
        <w:t>11</w:t>
      </w:r>
      <w:r w:rsidR="00D2523E" w:rsidRPr="00CF31E0">
        <w:t>.3.2.</w:t>
      </w:r>
      <w:r w:rsidR="00D2523E" w:rsidRPr="00CF31E0">
        <w:tab/>
      </w:r>
      <w:r w:rsidR="00F1187F" w:rsidRPr="00CF31E0">
        <w:t>R</w:t>
      </w:r>
      <w:r w:rsidR="000B4835" w:rsidRPr="00CF31E0">
        <w:t>ating task results</w:t>
      </w:r>
      <w:r w:rsidR="00F1187F" w:rsidRPr="00CF31E0">
        <w:t xml:space="preserve"> for voice sample 1</w:t>
      </w:r>
      <w:bookmarkEnd w:id="914"/>
    </w:p>
    <w:p w14:paraId="3B5F8A29" w14:textId="18F4A657" w:rsidR="000B4835" w:rsidRPr="00CF31E0" w:rsidRDefault="000B4835" w:rsidP="00603CB7">
      <w:pPr>
        <w:pStyle w:val="Paragraph"/>
        <w:rPr>
          <w:lang w:eastAsia="en-US"/>
        </w:rPr>
      </w:pPr>
      <w:r w:rsidRPr="00CF31E0">
        <w:rPr>
          <w:lang w:eastAsia="en-US"/>
        </w:rPr>
        <w:t xml:space="preserve">The rating results revealed that the participants perceived the speaker’s voice as more modern than traditional and less serious; see Figure </w:t>
      </w:r>
      <w:r w:rsidR="00546CAF" w:rsidRPr="00CF31E0">
        <w:rPr>
          <w:lang w:eastAsia="en-US"/>
        </w:rPr>
        <w:t>11</w:t>
      </w:r>
      <w:r w:rsidR="00A41906" w:rsidRPr="00CF31E0">
        <w:rPr>
          <w:lang w:eastAsia="en-US"/>
        </w:rPr>
        <w:t>.8</w:t>
      </w:r>
      <w:r w:rsidRPr="00CF31E0">
        <w:rPr>
          <w:lang w:eastAsia="en-US"/>
        </w:rPr>
        <w:t>. 1</w:t>
      </w:r>
      <w:r w:rsidR="00A41906" w:rsidRPr="00CF31E0">
        <w:rPr>
          <w:lang w:eastAsia="en-US"/>
        </w:rPr>
        <w:t xml:space="preserve"> </w:t>
      </w:r>
      <w:r w:rsidRPr="00CF31E0">
        <w:rPr>
          <w:lang w:eastAsia="en-US"/>
        </w:rPr>
        <w:t>indicates the lowest</w:t>
      </w:r>
      <w:r w:rsidR="00A41906" w:rsidRPr="00CF31E0">
        <w:rPr>
          <w:lang w:eastAsia="en-US"/>
        </w:rPr>
        <w:t xml:space="preserve"> point</w:t>
      </w:r>
      <w:r w:rsidRPr="00CF31E0">
        <w:rPr>
          <w:lang w:eastAsia="en-US"/>
        </w:rPr>
        <w:t xml:space="preserve"> in the scale and 5 indicates the highest </w:t>
      </w:r>
      <w:r w:rsidR="00A41906" w:rsidRPr="00CF31E0">
        <w:rPr>
          <w:lang w:eastAsia="en-US"/>
        </w:rPr>
        <w:t xml:space="preserve">point </w:t>
      </w:r>
      <w:r w:rsidRPr="00CF31E0">
        <w:rPr>
          <w:lang w:eastAsia="en-US"/>
        </w:rPr>
        <w:t xml:space="preserve">in the scale. </w:t>
      </w:r>
    </w:p>
    <w:p w14:paraId="6069354D" w14:textId="77777777" w:rsidR="000B4835" w:rsidRPr="00CF31E0" w:rsidRDefault="000B4835" w:rsidP="000B4835">
      <w:pPr>
        <w:spacing w:before="120" w:after="120" w:line="360" w:lineRule="auto"/>
        <w:jc w:val="both"/>
        <w:rPr>
          <w:rFonts w:eastAsia="Calibri" w:cs="Arial"/>
          <w:color w:val="000000" w:themeColor="text1"/>
          <w:lang w:eastAsia="en-US"/>
        </w:rPr>
      </w:pPr>
      <w:r w:rsidRPr="00CF31E0">
        <w:rPr>
          <w:rFonts w:eastAsia="Calibri" w:cs="Arial"/>
          <w:noProof/>
          <w:color w:val="000000" w:themeColor="text1"/>
        </w:rPr>
        <w:drawing>
          <wp:inline distT="0" distB="0" distL="0" distR="0" wp14:anchorId="059B1E90" wp14:editId="2AF02998">
            <wp:extent cx="5396230" cy="3192389"/>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5507" cy="3197877"/>
                    </a:xfrm>
                    <a:prstGeom prst="rect">
                      <a:avLst/>
                    </a:prstGeom>
                  </pic:spPr>
                </pic:pic>
              </a:graphicData>
            </a:graphic>
          </wp:inline>
        </w:drawing>
      </w:r>
    </w:p>
    <w:p w14:paraId="0001BCDD" w14:textId="7C9E1771" w:rsidR="000B4835" w:rsidRPr="00CF31E0" w:rsidRDefault="000B4835" w:rsidP="00603CB7">
      <w:pPr>
        <w:pStyle w:val="Figcaption"/>
        <w:spacing w:after="200"/>
        <w:rPr>
          <w:rFonts w:eastAsia="Calibri"/>
          <w:color w:val="000000" w:themeColor="text1"/>
        </w:rPr>
      </w:pPr>
      <w:bookmarkStart w:id="915" w:name="_Toc522527341"/>
      <w:bookmarkStart w:id="916" w:name="_Toc522628172"/>
      <w:bookmarkStart w:id="917" w:name="_Toc522628290"/>
      <w:bookmarkStart w:id="918" w:name="_Toc522628390"/>
      <w:bookmarkStart w:id="919" w:name="_Toc6472986"/>
      <w:r w:rsidRPr="00CF31E0">
        <w:rPr>
          <w:rFonts w:eastAsia="Calibri"/>
          <w:color w:val="000000" w:themeColor="text1"/>
        </w:rPr>
        <w:t xml:space="preserve">Figure </w:t>
      </w:r>
      <w:r w:rsidR="00546CAF" w:rsidRPr="00CF31E0">
        <w:rPr>
          <w:rFonts w:eastAsia="Calibri"/>
          <w:color w:val="000000" w:themeColor="text1"/>
        </w:rPr>
        <w:t>11</w:t>
      </w:r>
      <w:r w:rsidR="00A41906" w:rsidRPr="00CF31E0">
        <w:rPr>
          <w:rFonts w:eastAsia="Calibri"/>
          <w:color w:val="000000" w:themeColor="text1"/>
        </w:rPr>
        <w:t>.8</w:t>
      </w:r>
      <w:r w:rsidRPr="00CF31E0">
        <w:rPr>
          <w:rFonts w:eastAsia="Calibri"/>
          <w:color w:val="000000" w:themeColor="text1"/>
        </w:rPr>
        <w:t>: Distribution of scores of the observed characteristics for VS1</w:t>
      </w:r>
      <w:r w:rsidR="00A41906" w:rsidRPr="00CF31E0">
        <w:rPr>
          <w:rFonts w:eastAsia="Calibri"/>
          <w:color w:val="000000" w:themeColor="text1"/>
        </w:rPr>
        <w:t>.</w:t>
      </w:r>
      <w:bookmarkEnd w:id="915"/>
      <w:bookmarkEnd w:id="916"/>
      <w:bookmarkEnd w:id="917"/>
      <w:bookmarkEnd w:id="918"/>
      <w:bookmarkEnd w:id="919"/>
    </w:p>
    <w:p w14:paraId="5DB709E7" w14:textId="07395D89" w:rsidR="000B4835" w:rsidRPr="00CF31E0" w:rsidRDefault="000B4835" w:rsidP="00603CB7">
      <w:pPr>
        <w:pStyle w:val="Paragraph"/>
        <w:rPr>
          <w:lang w:eastAsia="en-US"/>
        </w:rPr>
      </w:pPr>
      <w:r w:rsidRPr="00CF31E0">
        <w:rPr>
          <w:lang w:eastAsia="en-US"/>
        </w:rPr>
        <w:t xml:space="preserve">As can be seen, the boxes are irregularly shaped on the </w:t>
      </w:r>
      <w:r w:rsidRPr="00CF31E0">
        <w:rPr>
          <w:i/>
          <w:iCs/>
          <w:lang w:eastAsia="en-US"/>
        </w:rPr>
        <w:t>serious</w:t>
      </w:r>
      <w:r w:rsidRPr="00CF31E0">
        <w:rPr>
          <w:lang w:eastAsia="en-US"/>
        </w:rPr>
        <w:t xml:space="preserve"> scale boxes. The lower whisker is not apparent; this is because when the interquartile range falls within the whisker range, then both are represented within the interquartile range. This means that the interquartile range represented 75% of the data and the upper whisker displayed the remaining 25% of the data. </w:t>
      </w:r>
      <w:r w:rsidRPr="00CF31E0">
        <w:rPr>
          <w:lang w:eastAsia="en-US"/>
        </w:rPr>
        <w:lastRenderedPageBreak/>
        <w:t>Thus 75% of the scores fell between 1 and 3, with 2 representing the median score, which is represented by a line inside the box. The upper whisker indicated that only 25% of the scores were distributed between 3 and 5. It should be noted that there was a consensus from all participa</w:t>
      </w:r>
      <w:r w:rsidR="00A44D27" w:rsidRPr="00CF31E0">
        <w:rPr>
          <w:lang w:eastAsia="en-US"/>
        </w:rPr>
        <w:t>nts that the sound of the HH</w:t>
      </w:r>
      <w:r w:rsidRPr="00CF31E0">
        <w:rPr>
          <w:lang w:eastAsia="en-US"/>
        </w:rPr>
        <w:t xml:space="preserve"> speaker in the recording provided is less </w:t>
      </w:r>
      <w:r w:rsidRPr="00CF31E0">
        <w:rPr>
          <w:i/>
          <w:iCs/>
          <w:lang w:eastAsia="en-US"/>
        </w:rPr>
        <w:t>serious</w:t>
      </w:r>
      <w:r w:rsidRPr="00CF31E0">
        <w:rPr>
          <w:lang w:eastAsia="en-US"/>
        </w:rPr>
        <w:t xml:space="preserve">, as the distribution of scores on </w:t>
      </w:r>
      <w:r w:rsidRPr="00CF31E0">
        <w:rPr>
          <w:i/>
          <w:iCs/>
          <w:lang w:eastAsia="en-US"/>
        </w:rPr>
        <w:t>serious</w:t>
      </w:r>
      <w:r w:rsidR="00A44D27" w:rsidRPr="00CF31E0">
        <w:rPr>
          <w:lang w:eastAsia="en-US"/>
        </w:rPr>
        <w:t xml:space="preserve"> for the UBH and HH</w:t>
      </w:r>
      <w:r w:rsidRPr="00CF31E0">
        <w:rPr>
          <w:lang w:eastAsia="en-US"/>
        </w:rPr>
        <w:t xml:space="preserve"> participants is identical. </w:t>
      </w:r>
    </w:p>
    <w:p w14:paraId="5203D5C9" w14:textId="31CDCD67" w:rsidR="000B4835" w:rsidRPr="00CF31E0" w:rsidRDefault="000B4835" w:rsidP="00603CB7">
      <w:pPr>
        <w:pStyle w:val="Paragraph"/>
        <w:rPr>
          <w:lang w:eastAsia="en-US"/>
        </w:rPr>
      </w:pPr>
      <w:r w:rsidRPr="00CF31E0">
        <w:rPr>
          <w:lang w:eastAsia="en-US"/>
        </w:rPr>
        <w:t xml:space="preserve">On the </w:t>
      </w:r>
      <w:r w:rsidRPr="00CF31E0">
        <w:rPr>
          <w:i/>
          <w:iCs/>
          <w:lang w:eastAsia="en-US"/>
        </w:rPr>
        <w:t xml:space="preserve">similar to other Arabic dialects </w:t>
      </w:r>
      <w:r w:rsidRPr="00CF31E0">
        <w:rPr>
          <w:lang w:eastAsia="en-US"/>
        </w:rPr>
        <w:t>scale, a similar pattern emerged</w:t>
      </w:r>
      <w:r w:rsidR="00A44D27" w:rsidRPr="00CF31E0">
        <w:rPr>
          <w:lang w:eastAsia="en-US"/>
        </w:rPr>
        <w:t xml:space="preserve"> for both the UBH and HH</w:t>
      </w:r>
      <w:r w:rsidRPr="00CF31E0">
        <w:rPr>
          <w:lang w:eastAsia="en-US"/>
        </w:rPr>
        <w:t xml:space="preserve"> participants, with a difference found in the median score. 25% of the scores fell between 2 and 3 in the lower quartile, with 2 as the minimum value. Scores for the upper quartile were spread between 4 and 5, with 5 as the maximum value. The bulk of the scores (50%) were distributed between 3 and 4. </w:t>
      </w:r>
      <w:r w:rsidR="00A44D27" w:rsidRPr="00CF31E0">
        <w:rPr>
          <w:lang w:eastAsia="en-US"/>
        </w:rPr>
        <w:t>Regarding the median, the HH</w:t>
      </w:r>
      <w:r w:rsidRPr="00CF31E0">
        <w:rPr>
          <w:lang w:eastAsia="en-US"/>
        </w:rPr>
        <w:t xml:space="preserve"> participants gave the voice sam</w:t>
      </w:r>
      <w:r w:rsidR="00A44D27" w:rsidRPr="00CF31E0">
        <w:rPr>
          <w:lang w:eastAsia="en-US"/>
        </w:rPr>
        <w:t>ple a median of 4, while UBH</w:t>
      </w:r>
      <w:r w:rsidRPr="00CF31E0">
        <w:rPr>
          <w:lang w:eastAsia="en-US"/>
        </w:rPr>
        <w:t xml:space="preserve"> participants gave it a median of 3. </w:t>
      </w:r>
    </w:p>
    <w:p w14:paraId="782D52D0" w14:textId="293E8121" w:rsidR="000B4835" w:rsidRPr="00CF31E0" w:rsidRDefault="000B4835" w:rsidP="00603CB7">
      <w:pPr>
        <w:pStyle w:val="Paragraph"/>
        <w:rPr>
          <w:lang w:eastAsia="en-US"/>
        </w:rPr>
      </w:pPr>
      <w:r w:rsidRPr="00CF31E0">
        <w:rPr>
          <w:lang w:eastAsia="en-US"/>
        </w:rPr>
        <w:t xml:space="preserve">The scores given to the </w:t>
      </w:r>
      <w:r w:rsidRPr="00CF31E0">
        <w:rPr>
          <w:i/>
          <w:iCs/>
          <w:lang w:eastAsia="en-US"/>
        </w:rPr>
        <w:t xml:space="preserve">traditional </w:t>
      </w:r>
      <w:r w:rsidRPr="00CF31E0">
        <w:rPr>
          <w:lang w:eastAsia="en-US"/>
        </w:rPr>
        <w:t xml:space="preserve">characteristic were </w:t>
      </w:r>
      <w:r w:rsidR="00A44D27" w:rsidRPr="00CF31E0">
        <w:rPr>
          <w:lang w:eastAsia="en-US"/>
        </w:rPr>
        <w:t>perceived differently by UBH and HH</w:t>
      </w:r>
      <w:r w:rsidRPr="00CF31E0">
        <w:rPr>
          <w:lang w:eastAsia="en-US"/>
        </w:rPr>
        <w:t xml:space="preserve"> participants. Although both groups gave the same median value (a score of 3), the distribution of scor</w:t>
      </w:r>
      <w:r w:rsidR="00A44D27" w:rsidRPr="00CF31E0">
        <w:rPr>
          <w:lang w:eastAsia="en-US"/>
        </w:rPr>
        <w:t>es clearly shows that the HH</w:t>
      </w:r>
      <w:r w:rsidRPr="00CF31E0">
        <w:rPr>
          <w:lang w:eastAsia="en-US"/>
        </w:rPr>
        <w:t xml:space="preserve"> group gave slightly higher scores t</w:t>
      </w:r>
      <w:r w:rsidR="00A44D27" w:rsidRPr="00CF31E0">
        <w:rPr>
          <w:lang w:eastAsia="en-US"/>
        </w:rPr>
        <w:t>han was the case for the UBH</w:t>
      </w:r>
      <w:r w:rsidRPr="00CF31E0">
        <w:rPr>
          <w:lang w:eastAsia="en-US"/>
        </w:rPr>
        <w:t xml:space="preserve"> group. The distrib</w:t>
      </w:r>
      <w:r w:rsidR="00A44D27" w:rsidRPr="00CF31E0">
        <w:rPr>
          <w:lang w:eastAsia="en-US"/>
        </w:rPr>
        <w:t>ution of scores from the UBH</w:t>
      </w:r>
      <w:r w:rsidRPr="00CF31E0">
        <w:rPr>
          <w:lang w:eastAsia="en-US"/>
        </w:rPr>
        <w:t xml:space="preserve"> group extended from 1 to 5. 50% of the scores fell between 2 and 4, with 3 as the median value. Therefore, the box is symmetrically shaped. On the other hand, 5</w:t>
      </w:r>
      <w:r w:rsidR="00A44D27" w:rsidRPr="00CF31E0">
        <w:rPr>
          <w:lang w:eastAsia="en-US"/>
        </w:rPr>
        <w:t>0% of the scores from the HH</w:t>
      </w:r>
      <w:r w:rsidRPr="00CF31E0">
        <w:rPr>
          <w:lang w:eastAsia="en-US"/>
        </w:rPr>
        <w:t xml:space="preserve"> group’s ratings fell between 3 and 4. The latter group gave the voice a minimum score of 2 and a maximum</w:t>
      </w:r>
      <w:r w:rsidR="00A44D27" w:rsidRPr="00CF31E0">
        <w:rPr>
          <w:lang w:eastAsia="en-US"/>
        </w:rPr>
        <w:t xml:space="preserve"> score of 5. Overall, the HH</w:t>
      </w:r>
      <w:r w:rsidRPr="00CF31E0">
        <w:rPr>
          <w:lang w:eastAsia="en-US"/>
        </w:rPr>
        <w:t xml:space="preserve"> participants gave the voice highe</w:t>
      </w:r>
      <w:r w:rsidR="00A44D27" w:rsidRPr="00CF31E0">
        <w:rPr>
          <w:lang w:eastAsia="en-US"/>
        </w:rPr>
        <w:t>r rating scores than the UBH</w:t>
      </w:r>
      <w:r w:rsidRPr="00CF31E0">
        <w:rPr>
          <w:lang w:eastAsia="en-US"/>
        </w:rPr>
        <w:t xml:space="preserve"> participants.</w:t>
      </w:r>
    </w:p>
    <w:p w14:paraId="7DCEEABF" w14:textId="790DDC97" w:rsidR="000B4835" w:rsidRPr="00CF31E0" w:rsidRDefault="000B4835" w:rsidP="00603CB7">
      <w:pPr>
        <w:pStyle w:val="Paragraph"/>
        <w:rPr>
          <w:lang w:eastAsia="en-US"/>
        </w:rPr>
      </w:pPr>
      <w:r w:rsidRPr="00CF31E0">
        <w:rPr>
          <w:lang w:eastAsia="en-US"/>
        </w:rPr>
        <w:t xml:space="preserve">On the </w:t>
      </w:r>
      <w:r w:rsidRPr="00CF31E0">
        <w:rPr>
          <w:i/>
          <w:iCs/>
          <w:lang w:eastAsia="en-US"/>
        </w:rPr>
        <w:t xml:space="preserve">modern </w:t>
      </w:r>
      <w:r w:rsidR="00A44D27" w:rsidRPr="00CF31E0">
        <w:rPr>
          <w:lang w:eastAsia="en-US"/>
        </w:rPr>
        <w:t>scale, UBH and HH</w:t>
      </w:r>
      <w:r w:rsidRPr="00CF31E0">
        <w:rPr>
          <w:lang w:eastAsia="en-US"/>
        </w:rPr>
        <w:t xml:space="preserve"> participants showed</w:t>
      </w:r>
      <w:r w:rsidR="00A44D27" w:rsidRPr="00CF31E0">
        <w:rPr>
          <w:lang w:eastAsia="en-US"/>
        </w:rPr>
        <w:t xml:space="preserve"> a different pattern. The HH</w:t>
      </w:r>
      <w:r w:rsidRPr="00CF31E0">
        <w:rPr>
          <w:lang w:eastAsia="en-US"/>
        </w:rPr>
        <w:t xml:space="preserve"> social group perceived the voice as </w:t>
      </w:r>
      <w:r w:rsidR="00A44D27" w:rsidRPr="00CF31E0">
        <w:rPr>
          <w:lang w:eastAsia="en-US"/>
        </w:rPr>
        <w:t>more modern than did the UBH</w:t>
      </w:r>
      <w:r w:rsidRPr="00CF31E0">
        <w:rPr>
          <w:lang w:eastAsia="en-US"/>
        </w:rPr>
        <w:t xml:space="preserve"> social group. The pattern revealed a highly skewed distribution of scores: 75% of the scores fell between 3 and 5, with a median of 4, and only 25% of the scores fell in the lower whisker, with a minimum value of 1. On the other hand</w:t>
      </w:r>
      <w:r w:rsidR="00A44D27" w:rsidRPr="00CF31E0">
        <w:rPr>
          <w:lang w:eastAsia="en-US"/>
        </w:rPr>
        <w:t>, 50% of scores from the UBH</w:t>
      </w:r>
      <w:r w:rsidRPr="00CF31E0">
        <w:rPr>
          <w:lang w:eastAsia="en-US"/>
        </w:rPr>
        <w:t xml:space="preserve"> participants ranged between 2, 5 and 4 with a median of 3, which is a relatively lower</w:t>
      </w:r>
      <w:r w:rsidR="00A44D27" w:rsidRPr="00CF31E0">
        <w:rPr>
          <w:lang w:eastAsia="en-US"/>
        </w:rPr>
        <w:t xml:space="preserve"> value. Also, 25% of </w:t>
      </w:r>
      <w:r w:rsidR="00A44D27" w:rsidRPr="00CF31E0">
        <w:rPr>
          <w:lang w:eastAsia="en-US"/>
        </w:rPr>
        <w:lastRenderedPageBreak/>
        <w:t>the UBH</w:t>
      </w:r>
      <w:r w:rsidRPr="00CF31E0">
        <w:rPr>
          <w:lang w:eastAsia="en-US"/>
        </w:rPr>
        <w:t xml:space="preserve"> data was spread in the lower whisker between 1 and 2.5. The other 25% fell in the upper whisker from 4 to 5. </w:t>
      </w:r>
    </w:p>
    <w:p w14:paraId="479269E9" w14:textId="57F640F6" w:rsidR="000B4835" w:rsidRPr="00CF31E0" w:rsidRDefault="00546CAF" w:rsidP="00546CAF">
      <w:pPr>
        <w:pStyle w:val="Bhead"/>
      </w:pPr>
      <w:bookmarkStart w:id="920" w:name="_Toc6472795"/>
      <w:r w:rsidRPr="00CF31E0">
        <w:t>11</w:t>
      </w:r>
      <w:r w:rsidR="00D2523E" w:rsidRPr="00CF31E0">
        <w:t>.3.3.</w:t>
      </w:r>
      <w:r w:rsidR="00D2523E" w:rsidRPr="00CF31E0">
        <w:tab/>
      </w:r>
      <w:r w:rsidR="000B4835" w:rsidRPr="00CF31E0">
        <w:t>Effects of demographic variables on ratings for VS1</w:t>
      </w:r>
      <w:bookmarkEnd w:id="920"/>
      <w:r w:rsidR="000B4835" w:rsidRPr="00CF31E0">
        <w:t xml:space="preserve"> </w:t>
      </w:r>
    </w:p>
    <w:p w14:paraId="56F5FA7E" w14:textId="23D495FA" w:rsidR="000B4835" w:rsidRPr="00CF31E0" w:rsidRDefault="000B4835" w:rsidP="00603CB7">
      <w:pPr>
        <w:pStyle w:val="Paragraph"/>
        <w:rPr>
          <w:lang w:eastAsia="en-US"/>
        </w:rPr>
      </w:pPr>
      <w:r w:rsidRPr="00CF31E0">
        <w:rPr>
          <w:lang w:eastAsia="en-US"/>
        </w:rPr>
        <w:t xml:space="preserve">I will present the results for each scale separately. If the scale was not affected by demographic variables, then I will not mention it. In the current analysis, the following scales were affected: </w:t>
      </w:r>
      <w:r w:rsidRPr="00CF31E0">
        <w:rPr>
          <w:i/>
          <w:iCs/>
          <w:lang w:eastAsia="en-US"/>
        </w:rPr>
        <w:t>similar to other Arabic dialects</w:t>
      </w:r>
      <w:r w:rsidRPr="00CF31E0">
        <w:rPr>
          <w:lang w:eastAsia="en-US"/>
        </w:rPr>
        <w:t xml:space="preserve">, </w:t>
      </w:r>
      <w:r w:rsidRPr="00CF31E0">
        <w:rPr>
          <w:i/>
          <w:iCs/>
          <w:lang w:eastAsia="en-US"/>
        </w:rPr>
        <w:t>traditional</w:t>
      </w:r>
      <w:r w:rsidRPr="00CF31E0">
        <w:rPr>
          <w:lang w:eastAsia="en-US"/>
        </w:rPr>
        <w:t xml:space="preserve">, and </w:t>
      </w:r>
      <w:r w:rsidRPr="00CF31E0">
        <w:rPr>
          <w:i/>
          <w:iCs/>
          <w:lang w:eastAsia="en-US"/>
        </w:rPr>
        <w:t>modern</w:t>
      </w:r>
      <w:r w:rsidRPr="00CF31E0">
        <w:rPr>
          <w:lang w:eastAsia="en-US"/>
        </w:rPr>
        <w:t xml:space="preserve">. </w:t>
      </w:r>
    </w:p>
    <w:p w14:paraId="35978E5D" w14:textId="1D270166" w:rsidR="000B4835" w:rsidRPr="00CF31E0" w:rsidRDefault="00546CAF" w:rsidP="00546CAF">
      <w:pPr>
        <w:pStyle w:val="Chead"/>
      </w:pPr>
      <w:bookmarkStart w:id="921" w:name="_Toc6472796"/>
      <w:r w:rsidRPr="00CF31E0">
        <w:t>11</w:t>
      </w:r>
      <w:r w:rsidR="0016358E" w:rsidRPr="00CF31E0">
        <w:t>.3.3</w:t>
      </w:r>
      <w:r w:rsidR="000B4835" w:rsidRPr="00CF31E0">
        <w:t>.1.</w:t>
      </w:r>
      <w:r w:rsidR="00D2523E" w:rsidRPr="00CF31E0">
        <w:tab/>
      </w:r>
      <w:r w:rsidR="000B4835" w:rsidRPr="00CF31E0">
        <w:t>Similar to other Arabic dialects scale</w:t>
      </w:r>
      <w:bookmarkEnd w:id="921"/>
      <w:r w:rsidR="000B4835" w:rsidRPr="00CF31E0">
        <w:t xml:space="preserve"> </w:t>
      </w:r>
    </w:p>
    <w:p w14:paraId="123D506B" w14:textId="192FBE06" w:rsidR="000B4835" w:rsidRPr="00CF31E0" w:rsidRDefault="000B4835" w:rsidP="00603CB7">
      <w:pPr>
        <w:pStyle w:val="Paragraph"/>
        <w:rPr>
          <w:lang w:eastAsia="en-US"/>
        </w:rPr>
      </w:pPr>
      <w:r w:rsidRPr="00CF31E0">
        <w:rPr>
          <w:lang w:eastAsia="en-US"/>
        </w:rPr>
        <w:t xml:space="preserve">Results from this scale revealed that only one demographic variable affected the data: the participants’ social group. In Tables </w:t>
      </w:r>
      <w:r w:rsidR="00546CAF" w:rsidRPr="00CF31E0">
        <w:rPr>
          <w:lang w:eastAsia="en-US"/>
        </w:rPr>
        <w:t xml:space="preserve">11.34 </w:t>
      </w:r>
      <w:r w:rsidRPr="00CF31E0">
        <w:rPr>
          <w:lang w:eastAsia="en-US"/>
        </w:rPr>
        <w:t xml:space="preserve">and </w:t>
      </w:r>
      <w:r w:rsidR="00546CAF" w:rsidRPr="00CF31E0">
        <w:rPr>
          <w:lang w:eastAsia="en-US"/>
        </w:rPr>
        <w:t>11.35</w:t>
      </w:r>
      <w:r w:rsidRPr="00CF31E0">
        <w:rPr>
          <w:lang w:eastAsia="en-US"/>
        </w:rPr>
        <w:t>, I will present the p value revealed in the ANOVA test and will compare the mean scores of the two groups. It should be noted that if a demographic variable contains more than two categories, then a post-hoc test can reveal where the difference lies between groups. If a demographic variable contains only two categories, as is the case with the social group demo</w:t>
      </w:r>
      <w:r w:rsidR="00A44D27" w:rsidRPr="00CF31E0">
        <w:rPr>
          <w:lang w:eastAsia="en-US"/>
        </w:rPr>
        <w:t>graphic (i.e. UBH and HH</w:t>
      </w:r>
      <w:r w:rsidRPr="00CF31E0">
        <w:rPr>
          <w:lang w:eastAsia="en-US"/>
        </w:rPr>
        <w:t xml:space="preserve">), then comparing means would best describe the difference between categories; a post-hoc test cannot be used in this case. </w:t>
      </w:r>
    </w:p>
    <w:tbl>
      <w:tblPr>
        <w:tblW w:w="7361" w:type="dxa"/>
        <w:tblInd w:w="-20" w:type="dxa"/>
        <w:tblBorders>
          <w:top w:val="single" w:sz="4" w:space="0" w:color="000000"/>
          <w:bottom w:val="single" w:sz="4" w:space="0" w:color="000000"/>
        </w:tblBorders>
        <w:tblLayout w:type="fixed"/>
        <w:tblCellMar>
          <w:left w:w="0" w:type="dxa"/>
          <w:right w:w="0" w:type="dxa"/>
        </w:tblCellMar>
        <w:tblLook w:val="0000" w:firstRow="0" w:lastRow="0" w:firstColumn="0" w:lastColumn="0" w:noHBand="0" w:noVBand="0"/>
      </w:tblPr>
      <w:tblGrid>
        <w:gridCol w:w="2010"/>
        <w:gridCol w:w="1951"/>
        <w:gridCol w:w="948"/>
        <w:gridCol w:w="1673"/>
        <w:gridCol w:w="779"/>
      </w:tblGrid>
      <w:tr w:rsidR="00ED36FE" w:rsidRPr="00CF31E0" w14:paraId="02E98677" w14:textId="77777777" w:rsidTr="00ED36FE">
        <w:trPr>
          <w:cantSplit/>
          <w:trHeight w:val="656"/>
        </w:trPr>
        <w:tc>
          <w:tcPr>
            <w:tcW w:w="2010" w:type="dxa"/>
            <w:tcBorders>
              <w:top w:val="single" w:sz="4" w:space="0" w:color="000000"/>
              <w:bottom w:val="single" w:sz="4" w:space="0" w:color="000000"/>
            </w:tcBorders>
            <w:shd w:val="clear" w:color="auto" w:fill="FFFFFF"/>
            <w:vAlign w:val="bottom"/>
          </w:tcPr>
          <w:p w14:paraId="7E27C9B1"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Social group</w:t>
            </w:r>
          </w:p>
        </w:tc>
        <w:tc>
          <w:tcPr>
            <w:tcW w:w="1951" w:type="dxa"/>
            <w:tcBorders>
              <w:top w:val="single" w:sz="4" w:space="0" w:color="000000"/>
              <w:bottom w:val="single" w:sz="4" w:space="0" w:color="000000"/>
            </w:tcBorders>
            <w:shd w:val="clear" w:color="auto" w:fill="FFFFFF"/>
            <w:vAlign w:val="bottom"/>
          </w:tcPr>
          <w:p w14:paraId="57718090" w14:textId="77777777" w:rsidR="00ED36FE" w:rsidRPr="00CF31E0" w:rsidRDefault="00ED36FE" w:rsidP="004F602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948" w:type="dxa"/>
            <w:tcBorders>
              <w:top w:val="single" w:sz="4" w:space="0" w:color="000000"/>
              <w:bottom w:val="single" w:sz="4" w:space="0" w:color="000000"/>
            </w:tcBorders>
            <w:shd w:val="clear" w:color="auto" w:fill="FFFFFF"/>
            <w:vAlign w:val="bottom"/>
          </w:tcPr>
          <w:p w14:paraId="385DF87E"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673" w:type="dxa"/>
            <w:tcBorders>
              <w:top w:val="single" w:sz="4" w:space="0" w:color="000000"/>
              <w:bottom w:val="single" w:sz="4" w:space="0" w:color="000000"/>
            </w:tcBorders>
            <w:shd w:val="clear" w:color="auto" w:fill="FFFFFF"/>
            <w:vAlign w:val="bottom"/>
          </w:tcPr>
          <w:p w14:paraId="0812CDFF"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779" w:type="dxa"/>
            <w:tcBorders>
              <w:top w:val="single" w:sz="4" w:space="0" w:color="000000"/>
              <w:bottom w:val="single" w:sz="4" w:space="0" w:color="000000"/>
            </w:tcBorders>
            <w:shd w:val="clear" w:color="auto" w:fill="FFFFFF"/>
            <w:vAlign w:val="bottom"/>
          </w:tcPr>
          <w:p w14:paraId="37599658"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ED36FE" w:rsidRPr="00CF31E0" w14:paraId="6249500D" w14:textId="77777777" w:rsidTr="00ED36FE">
        <w:trPr>
          <w:cantSplit/>
          <w:trHeight w:val="656"/>
        </w:trPr>
        <w:tc>
          <w:tcPr>
            <w:tcW w:w="2010" w:type="dxa"/>
            <w:tcBorders>
              <w:top w:val="single" w:sz="4" w:space="0" w:color="000000"/>
              <w:bottom w:val="nil"/>
            </w:tcBorders>
            <w:shd w:val="clear" w:color="auto" w:fill="FFFFFF"/>
          </w:tcPr>
          <w:p w14:paraId="53D82433"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951" w:type="dxa"/>
            <w:tcBorders>
              <w:top w:val="single" w:sz="4" w:space="0" w:color="000000"/>
              <w:bottom w:val="nil"/>
            </w:tcBorders>
            <w:shd w:val="clear" w:color="auto" w:fill="FFFFFF"/>
            <w:vAlign w:val="center"/>
          </w:tcPr>
          <w:p w14:paraId="25F18F60"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5.456</w:t>
            </w:r>
          </w:p>
        </w:tc>
        <w:tc>
          <w:tcPr>
            <w:tcW w:w="948" w:type="dxa"/>
            <w:tcBorders>
              <w:top w:val="single" w:sz="4" w:space="0" w:color="000000"/>
              <w:bottom w:val="nil"/>
            </w:tcBorders>
            <w:shd w:val="clear" w:color="auto" w:fill="FFFFFF"/>
            <w:vAlign w:val="center"/>
          </w:tcPr>
          <w:p w14:paraId="3F160DFF"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w:t>
            </w:r>
          </w:p>
        </w:tc>
        <w:tc>
          <w:tcPr>
            <w:tcW w:w="1673" w:type="dxa"/>
            <w:tcBorders>
              <w:top w:val="single" w:sz="4" w:space="0" w:color="000000"/>
              <w:bottom w:val="nil"/>
            </w:tcBorders>
            <w:shd w:val="clear" w:color="auto" w:fill="FFFFFF"/>
            <w:vAlign w:val="center"/>
          </w:tcPr>
          <w:p w14:paraId="4C23CB59"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5.456</w:t>
            </w:r>
          </w:p>
        </w:tc>
        <w:tc>
          <w:tcPr>
            <w:tcW w:w="779" w:type="dxa"/>
            <w:tcBorders>
              <w:top w:val="single" w:sz="4" w:space="0" w:color="000000"/>
              <w:bottom w:val="nil"/>
            </w:tcBorders>
            <w:shd w:val="clear" w:color="auto" w:fill="FFFFFF"/>
            <w:vAlign w:val="center"/>
          </w:tcPr>
          <w:p w14:paraId="029326EF"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.043</w:t>
            </w:r>
          </w:p>
        </w:tc>
      </w:tr>
      <w:tr w:rsidR="00ED36FE" w:rsidRPr="00CF31E0" w14:paraId="0CA8892E" w14:textId="77777777" w:rsidTr="00ED36FE">
        <w:trPr>
          <w:cantSplit/>
          <w:trHeight w:val="645"/>
        </w:trPr>
        <w:tc>
          <w:tcPr>
            <w:tcW w:w="2010" w:type="dxa"/>
            <w:tcBorders>
              <w:top w:val="nil"/>
            </w:tcBorders>
            <w:shd w:val="clear" w:color="auto" w:fill="FFFFFF"/>
          </w:tcPr>
          <w:p w14:paraId="3190E987"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951" w:type="dxa"/>
            <w:tcBorders>
              <w:top w:val="nil"/>
            </w:tcBorders>
            <w:shd w:val="clear" w:color="auto" w:fill="FFFFFF"/>
            <w:vAlign w:val="center"/>
          </w:tcPr>
          <w:p w14:paraId="1F5BB29E"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856.763</w:t>
            </w:r>
          </w:p>
        </w:tc>
        <w:tc>
          <w:tcPr>
            <w:tcW w:w="948" w:type="dxa"/>
            <w:tcBorders>
              <w:top w:val="nil"/>
            </w:tcBorders>
            <w:shd w:val="clear" w:color="auto" w:fill="FFFFFF"/>
            <w:vAlign w:val="center"/>
          </w:tcPr>
          <w:p w14:paraId="1BE01152"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648</w:t>
            </w:r>
          </w:p>
        </w:tc>
        <w:tc>
          <w:tcPr>
            <w:tcW w:w="1673" w:type="dxa"/>
            <w:tcBorders>
              <w:top w:val="nil"/>
            </w:tcBorders>
            <w:shd w:val="clear" w:color="auto" w:fill="FFFFFF"/>
            <w:vAlign w:val="center"/>
          </w:tcPr>
          <w:p w14:paraId="7E0539EC"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1.324</w:t>
            </w:r>
          </w:p>
        </w:tc>
        <w:tc>
          <w:tcPr>
            <w:tcW w:w="779" w:type="dxa"/>
            <w:tcBorders>
              <w:top w:val="nil"/>
            </w:tcBorders>
            <w:shd w:val="clear" w:color="auto" w:fill="FFFFFF"/>
            <w:vAlign w:val="center"/>
          </w:tcPr>
          <w:p w14:paraId="7C4F637C" w14:textId="77777777" w:rsidR="00ED36FE" w:rsidRPr="00CF31E0" w:rsidRDefault="00ED36FE" w:rsidP="000B4835">
            <w:pPr>
              <w:spacing w:before="120" w:after="120" w:line="360" w:lineRule="auto"/>
              <w:rPr>
                <w:rFonts w:eastAsia="Calibri" w:cs="Arial"/>
                <w:color w:val="000000" w:themeColor="text1"/>
                <w:sz w:val="22"/>
                <w:szCs w:val="22"/>
                <w:lang w:eastAsia="en-US"/>
              </w:rPr>
            </w:pPr>
          </w:p>
        </w:tc>
      </w:tr>
      <w:tr w:rsidR="00ED36FE" w:rsidRPr="00CF31E0" w14:paraId="44D50D03" w14:textId="77777777" w:rsidTr="00ED36FE">
        <w:trPr>
          <w:cantSplit/>
          <w:trHeight w:val="667"/>
        </w:trPr>
        <w:tc>
          <w:tcPr>
            <w:tcW w:w="2010" w:type="dxa"/>
            <w:shd w:val="clear" w:color="auto" w:fill="FFFFFF"/>
          </w:tcPr>
          <w:p w14:paraId="38A36A3A"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951" w:type="dxa"/>
            <w:shd w:val="clear" w:color="auto" w:fill="FFFFFF"/>
            <w:vAlign w:val="center"/>
          </w:tcPr>
          <w:p w14:paraId="702EF59B"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862.219</w:t>
            </w:r>
          </w:p>
        </w:tc>
        <w:tc>
          <w:tcPr>
            <w:tcW w:w="948" w:type="dxa"/>
            <w:shd w:val="clear" w:color="auto" w:fill="FFFFFF"/>
            <w:vAlign w:val="center"/>
          </w:tcPr>
          <w:p w14:paraId="54912089"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649</w:t>
            </w:r>
          </w:p>
        </w:tc>
        <w:tc>
          <w:tcPr>
            <w:tcW w:w="1673" w:type="dxa"/>
            <w:shd w:val="clear" w:color="auto" w:fill="FFFFFF"/>
            <w:vAlign w:val="center"/>
          </w:tcPr>
          <w:p w14:paraId="5E9A10E4" w14:textId="77777777" w:rsidR="00ED36FE" w:rsidRPr="00CF31E0" w:rsidRDefault="00ED36FE" w:rsidP="000B4835">
            <w:pPr>
              <w:spacing w:before="120" w:after="120" w:line="360" w:lineRule="auto"/>
              <w:rPr>
                <w:rFonts w:eastAsia="Calibri" w:cs="Arial"/>
                <w:color w:val="000000" w:themeColor="text1"/>
                <w:sz w:val="22"/>
                <w:szCs w:val="22"/>
                <w:lang w:eastAsia="en-US"/>
              </w:rPr>
            </w:pPr>
          </w:p>
        </w:tc>
        <w:tc>
          <w:tcPr>
            <w:tcW w:w="779" w:type="dxa"/>
            <w:shd w:val="clear" w:color="auto" w:fill="FFFFFF"/>
            <w:vAlign w:val="center"/>
          </w:tcPr>
          <w:p w14:paraId="6F705E0D" w14:textId="77777777" w:rsidR="00ED36FE" w:rsidRPr="00CF31E0" w:rsidRDefault="00ED36FE" w:rsidP="000B4835">
            <w:pPr>
              <w:spacing w:before="120" w:after="120" w:line="360" w:lineRule="auto"/>
              <w:rPr>
                <w:rFonts w:eastAsia="Calibri" w:cs="Arial"/>
                <w:color w:val="000000" w:themeColor="text1"/>
                <w:sz w:val="22"/>
                <w:szCs w:val="22"/>
                <w:lang w:eastAsia="en-US"/>
              </w:rPr>
            </w:pPr>
          </w:p>
        </w:tc>
      </w:tr>
    </w:tbl>
    <w:p w14:paraId="3C610255" w14:textId="3E57A1A1" w:rsidR="000B4835" w:rsidRDefault="000B4835" w:rsidP="00603CB7">
      <w:pPr>
        <w:pStyle w:val="Tablecaption"/>
        <w:spacing w:after="400"/>
      </w:pPr>
      <w:bookmarkStart w:id="922" w:name="_Toc522527497"/>
      <w:bookmarkStart w:id="923" w:name="_Toc522628910"/>
      <w:bookmarkStart w:id="924" w:name="_Toc522629074"/>
      <w:bookmarkStart w:id="925" w:name="_Toc6473172"/>
      <w:r w:rsidRPr="00CF31E0">
        <w:t xml:space="preserve">Table </w:t>
      </w:r>
      <w:r w:rsidR="00546CAF" w:rsidRPr="00CF31E0">
        <w:t>11</w:t>
      </w:r>
      <w:r w:rsidR="0016358E" w:rsidRPr="00CF31E0">
        <w:t>.</w:t>
      </w:r>
      <w:r w:rsidR="00546CAF" w:rsidRPr="00CF31E0">
        <w:t>34</w:t>
      </w:r>
      <w:r w:rsidRPr="00CF31E0">
        <w:t>: ANOVA statistics for social group demographic variable.</w:t>
      </w:r>
      <w:bookmarkEnd w:id="922"/>
      <w:bookmarkEnd w:id="923"/>
      <w:bookmarkEnd w:id="924"/>
      <w:bookmarkEnd w:id="925"/>
    </w:p>
    <w:p w14:paraId="5AC346BD" w14:textId="77777777" w:rsidR="00F50E67" w:rsidRDefault="00F50E67" w:rsidP="00603CB7">
      <w:pPr>
        <w:pStyle w:val="Tablecaption"/>
        <w:spacing w:after="400"/>
      </w:pPr>
    </w:p>
    <w:p w14:paraId="107D9854" w14:textId="77777777" w:rsidR="00F50E67" w:rsidRPr="00CF31E0" w:rsidRDefault="00F50E67" w:rsidP="00603CB7">
      <w:pPr>
        <w:pStyle w:val="Tablecaption"/>
        <w:spacing w:after="400"/>
      </w:pPr>
    </w:p>
    <w:tbl>
      <w:tblPr>
        <w:tblW w:w="7360" w:type="dxa"/>
        <w:tblInd w:w="-10" w:type="dxa"/>
        <w:tblBorders>
          <w:top w:val="single" w:sz="4" w:space="0" w:color="000000"/>
          <w:bottom w:val="single" w:sz="4" w:space="0" w:color="000000"/>
        </w:tblBorders>
        <w:tblLayout w:type="fixed"/>
        <w:tblCellMar>
          <w:left w:w="0" w:type="dxa"/>
          <w:right w:w="0" w:type="dxa"/>
        </w:tblCellMar>
        <w:tblLook w:val="0000" w:firstRow="0" w:lastRow="0" w:firstColumn="0" w:lastColumn="0" w:noHBand="0" w:noVBand="0"/>
      </w:tblPr>
      <w:tblGrid>
        <w:gridCol w:w="1845"/>
        <w:gridCol w:w="1700"/>
        <w:gridCol w:w="1276"/>
        <w:gridCol w:w="1559"/>
        <w:gridCol w:w="980"/>
      </w:tblGrid>
      <w:tr w:rsidR="007F558A" w:rsidRPr="00CF31E0" w14:paraId="122C4548" w14:textId="77777777" w:rsidTr="000B4835">
        <w:trPr>
          <w:cantSplit/>
        </w:trPr>
        <w:tc>
          <w:tcPr>
            <w:tcW w:w="1845" w:type="dxa"/>
            <w:tcBorders>
              <w:top w:val="single" w:sz="4" w:space="0" w:color="000000"/>
              <w:bottom w:val="single" w:sz="4" w:space="0" w:color="000000"/>
            </w:tcBorders>
          </w:tcPr>
          <w:p w14:paraId="44C10FFD" w14:textId="77777777" w:rsidR="000B4835" w:rsidRPr="00CF31E0" w:rsidRDefault="000B4835" w:rsidP="000B4835">
            <w:pPr>
              <w:rPr>
                <w:rFonts w:eastAsia="Calibri" w:cs="Arial"/>
                <w:color w:val="000000" w:themeColor="text1"/>
                <w:sz w:val="22"/>
                <w:szCs w:val="22"/>
                <w:lang w:eastAsia="en-US"/>
              </w:rPr>
            </w:pPr>
          </w:p>
        </w:tc>
        <w:tc>
          <w:tcPr>
            <w:tcW w:w="2976" w:type="dxa"/>
            <w:gridSpan w:val="2"/>
            <w:tcBorders>
              <w:top w:val="single" w:sz="4" w:space="0" w:color="000000"/>
              <w:bottom w:val="single" w:sz="4" w:space="0" w:color="000000"/>
            </w:tcBorders>
            <w:shd w:val="clear" w:color="auto" w:fill="FFFFFF"/>
            <w:vAlign w:val="bottom"/>
          </w:tcPr>
          <w:p w14:paraId="3D8F3F97"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Social group</w:t>
            </w:r>
          </w:p>
        </w:tc>
        <w:tc>
          <w:tcPr>
            <w:tcW w:w="1559" w:type="dxa"/>
            <w:tcBorders>
              <w:top w:val="single" w:sz="4" w:space="0" w:color="000000"/>
              <w:bottom w:val="single" w:sz="4" w:space="0" w:color="000000"/>
            </w:tcBorders>
            <w:shd w:val="clear" w:color="auto" w:fill="FFFFFF"/>
            <w:vAlign w:val="bottom"/>
          </w:tcPr>
          <w:p w14:paraId="3B876629"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Statistic</w:t>
            </w:r>
          </w:p>
        </w:tc>
        <w:tc>
          <w:tcPr>
            <w:tcW w:w="980" w:type="dxa"/>
            <w:tcBorders>
              <w:top w:val="single" w:sz="4" w:space="0" w:color="000000"/>
              <w:bottom w:val="single" w:sz="4" w:space="0" w:color="000000"/>
            </w:tcBorders>
            <w:shd w:val="clear" w:color="auto" w:fill="FFFFFF"/>
            <w:vAlign w:val="bottom"/>
          </w:tcPr>
          <w:p w14:paraId="546718B9"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Std. Error</w:t>
            </w:r>
          </w:p>
        </w:tc>
      </w:tr>
      <w:tr w:rsidR="007F558A" w:rsidRPr="00CF31E0" w14:paraId="771E5085" w14:textId="77777777" w:rsidTr="000B4835">
        <w:trPr>
          <w:cantSplit/>
        </w:trPr>
        <w:tc>
          <w:tcPr>
            <w:tcW w:w="1845" w:type="dxa"/>
            <w:vMerge w:val="restart"/>
            <w:tcBorders>
              <w:top w:val="single" w:sz="4" w:space="0" w:color="000000"/>
              <w:bottom w:val="nil"/>
            </w:tcBorders>
            <w:shd w:val="clear" w:color="auto" w:fill="FFFFFF"/>
          </w:tcPr>
          <w:p w14:paraId="476A86FD"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Similar to other Arabic dialects</w:t>
            </w:r>
          </w:p>
        </w:tc>
        <w:tc>
          <w:tcPr>
            <w:tcW w:w="1700" w:type="dxa"/>
            <w:tcBorders>
              <w:top w:val="single" w:sz="4" w:space="0" w:color="000000"/>
              <w:bottom w:val="nil"/>
            </w:tcBorders>
            <w:shd w:val="clear" w:color="auto" w:fill="FFFFFF"/>
          </w:tcPr>
          <w:p w14:paraId="5CC97BB7" w14:textId="5E786833" w:rsidR="000B4835" w:rsidRPr="00CF31E0" w:rsidRDefault="00A44D27"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UBH</w:t>
            </w:r>
          </w:p>
        </w:tc>
        <w:tc>
          <w:tcPr>
            <w:tcW w:w="1276" w:type="dxa"/>
            <w:tcBorders>
              <w:top w:val="single" w:sz="4" w:space="0" w:color="000000"/>
              <w:bottom w:val="nil"/>
            </w:tcBorders>
            <w:shd w:val="clear" w:color="auto" w:fill="FFFFFF"/>
          </w:tcPr>
          <w:p w14:paraId="389BF339"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559" w:type="dxa"/>
            <w:tcBorders>
              <w:top w:val="single" w:sz="4" w:space="0" w:color="000000"/>
              <w:bottom w:val="nil"/>
            </w:tcBorders>
            <w:shd w:val="clear" w:color="auto" w:fill="FFFFFF"/>
            <w:vAlign w:val="center"/>
          </w:tcPr>
          <w:p w14:paraId="51CEA015"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3.4012</w:t>
            </w:r>
          </w:p>
        </w:tc>
        <w:tc>
          <w:tcPr>
            <w:tcW w:w="980" w:type="dxa"/>
            <w:tcBorders>
              <w:top w:val="single" w:sz="4" w:space="0" w:color="000000"/>
              <w:bottom w:val="nil"/>
            </w:tcBorders>
            <w:shd w:val="clear" w:color="auto" w:fill="FFFFFF"/>
            <w:vAlign w:val="center"/>
          </w:tcPr>
          <w:p w14:paraId="7EE01F51"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.06468</w:t>
            </w:r>
          </w:p>
        </w:tc>
      </w:tr>
      <w:tr w:rsidR="007F558A" w:rsidRPr="00CF31E0" w14:paraId="508A47C6" w14:textId="77777777" w:rsidTr="000B4835">
        <w:trPr>
          <w:cantSplit/>
        </w:trPr>
        <w:tc>
          <w:tcPr>
            <w:tcW w:w="1845" w:type="dxa"/>
            <w:vMerge/>
            <w:tcBorders>
              <w:top w:val="nil"/>
            </w:tcBorders>
            <w:shd w:val="clear" w:color="auto" w:fill="FFFFFF"/>
          </w:tcPr>
          <w:p w14:paraId="6104064F"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1700" w:type="dxa"/>
            <w:tcBorders>
              <w:top w:val="nil"/>
            </w:tcBorders>
            <w:shd w:val="clear" w:color="auto" w:fill="FFFFFF"/>
          </w:tcPr>
          <w:p w14:paraId="7272F89C" w14:textId="323AF624"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H</w:t>
            </w:r>
            <w:r w:rsidR="00A44D27" w:rsidRPr="00CF31E0">
              <w:rPr>
                <w:rFonts w:eastAsia="Calibri" w:cs="Arial"/>
                <w:color w:val="000000" w:themeColor="text1"/>
                <w:sz w:val="22"/>
                <w:szCs w:val="22"/>
                <w:lang w:eastAsia="en-US"/>
              </w:rPr>
              <w:t>H</w:t>
            </w:r>
          </w:p>
        </w:tc>
        <w:tc>
          <w:tcPr>
            <w:tcW w:w="1276" w:type="dxa"/>
            <w:tcBorders>
              <w:top w:val="nil"/>
            </w:tcBorders>
            <w:shd w:val="clear" w:color="auto" w:fill="FFFFFF"/>
          </w:tcPr>
          <w:p w14:paraId="3FB878CD"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559" w:type="dxa"/>
            <w:tcBorders>
              <w:top w:val="nil"/>
            </w:tcBorders>
            <w:shd w:val="clear" w:color="auto" w:fill="FFFFFF"/>
            <w:vAlign w:val="center"/>
          </w:tcPr>
          <w:p w14:paraId="22FF1B2E"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3.5846</w:t>
            </w:r>
          </w:p>
        </w:tc>
        <w:tc>
          <w:tcPr>
            <w:tcW w:w="980" w:type="dxa"/>
            <w:tcBorders>
              <w:top w:val="nil"/>
            </w:tcBorders>
            <w:shd w:val="clear" w:color="auto" w:fill="FFFFFF"/>
            <w:vAlign w:val="center"/>
          </w:tcPr>
          <w:p w14:paraId="2FC26ADC"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.06307</w:t>
            </w:r>
          </w:p>
        </w:tc>
      </w:tr>
    </w:tbl>
    <w:p w14:paraId="63F04634" w14:textId="7D20912B" w:rsidR="000B4835" w:rsidRPr="00CF31E0" w:rsidRDefault="000B4835" w:rsidP="00546CAF">
      <w:pPr>
        <w:pStyle w:val="Tablecaption"/>
        <w:rPr>
          <w:lang w:eastAsia="en-US"/>
        </w:rPr>
      </w:pPr>
      <w:bookmarkStart w:id="926" w:name="_Toc522527498"/>
      <w:bookmarkStart w:id="927" w:name="_Toc522628911"/>
      <w:bookmarkStart w:id="928" w:name="_Toc522629075"/>
      <w:bookmarkStart w:id="929" w:name="_Toc6473173"/>
      <w:r w:rsidRPr="00CF31E0">
        <w:rPr>
          <w:lang w:eastAsia="en-US"/>
        </w:rPr>
        <w:t xml:space="preserve">Table </w:t>
      </w:r>
      <w:r w:rsidR="00546CAF" w:rsidRPr="00CF31E0">
        <w:rPr>
          <w:lang w:eastAsia="en-US"/>
        </w:rPr>
        <w:t>11</w:t>
      </w:r>
      <w:r w:rsidR="0016358E" w:rsidRPr="00CF31E0">
        <w:rPr>
          <w:lang w:eastAsia="en-US"/>
        </w:rPr>
        <w:t>.</w:t>
      </w:r>
      <w:r w:rsidR="00546CAF" w:rsidRPr="00CF31E0">
        <w:rPr>
          <w:lang w:eastAsia="en-US"/>
        </w:rPr>
        <w:t>35</w:t>
      </w:r>
      <w:r w:rsidRPr="00CF31E0">
        <w:rPr>
          <w:lang w:eastAsia="en-US"/>
        </w:rPr>
        <w:t>: Descriptive statistics</w:t>
      </w:r>
      <w:r w:rsidR="007E19E4">
        <w:rPr>
          <w:lang w:eastAsia="en-US"/>
        </w:rPr>
        <w:t xml:space="preserve"> for social group demographic variable</w:t>
      </w:r>
      <w:r w:rsidRPr="00CF31E0">
        <w:rPr>
          <w:lang w:eastAsia="en-US"/>
        </w:rPr>
        <w:t>.</w:t>
      </w:r>
      <w:bookmarkEnd w:id="926"/>
      <w:bookmarkEnd w:id="927"/>
      <w:bookmarkEnd w:id="928"/>
      <w:bookmarkEnd w:id="929"/>
      <w:r w:rsidRPr="00CF31E0">
        <w:rPr>
          <w:lang w:eastAsia="en-US"/>
        </w:rPr>
        <w:t xml:space="preserve"> </w:t>
      </w:r>
    </w:p>
    <w:p w14:paraId="185815F8" w14:textId="1714F456" w:rsidR="000B4835" w:rsidRPr="00CF31E0" w:rsidRDefault="000B4835" w:rsidP="00603CB7">
      <w:pPr>
        <w:pStyle w:val="Paragraph"/>
        <w:rPr>
          <w:lang w:val="en-US" w:eastAsia="en-US"/>
        </w:rPr>
      </w:pPr>
      <w:r w:rsidRPr="00CF31E0">
        <w:rPr>
          <w:lang w:val="en-US" w:eastAsia="en-US"/>
        </w:rPr>
        <w:t xml:space="preserve">As can be seen from Table </w:t>
      </w:r>
      <w:r w:rsidR="00546CAF" w:rsidRPr="00CF31E0">
        <w:rPr>
          <w:lang w:val="en-US" w:eastAsia="en-US"/>
        </w:rPr>
        <w:t>11</w:t>
      </w:r>
      <w:r w:rsidR="0016358E" w:rsidRPr="00CF31E0">
        <w:rPr>
          <w:lang w:val="en-US" w:eastAsia="en-US"/>
        </w:rPr>
        <w:t>.</w:t>
      </w:r>
      <w:r w:rsidR="00012E4D" w:rsidRPr="00CF31E0">
        <w:rPr>
          <w:lang w:val="en-US" w:eastAsia="en-US"/>
        </w:rPr>
        <w:t>34</w:t>
      </w:r>
      <w:r w:rsidRPr="00CF31E0">
        <w:rPr>
          <w:lang w:val="en-US" w:eastAsia="en-US"/>
        </w:rPr>
        <w:t xml:space="preserve">, the ANOVA test revealed a significant difference in the mean scores for participants’ perceptions of the </w:t>
      </w:r>
      <w:r w:rsidRPr="00CF31E0">
        <w:rPr>
          <w:i/>
          <w:iCs/>
          <w:lang w:val="en-US" w:eastAsia="en-US"/>
        </w:rPr>
        <w:t xml:space="preserve">similar to other Arabic dialects </w:t>
      </w:r>
      <w:r w:rsidRPr="00CF31E0">
        <w:rPr>
          <w:lang w:val="en-US" w:eastAsia="en-US"/>
        </w:rPr>
        <w:t>characteristic across the social</w:t>
      </w:r>
      <w:r w:rsidR="00A44D27" w:rsidRPr="00CF31E0">
        <w:rPr>
          <w:lang w:val="en-US" w:eastAsia="en-US"/>
        </w:rPr>
        <w:t xml:space="preserve"> groups (i.e. UBH and HH</w:t>
      </w:r>
      <w:r w:rsidRPr="00CF31E0">
        <w:rPr>
          <w:lang w:val="en-US" w:eastAsia="en-US"/>
        </w:rPr>
        <w:t xml:space="preserve">). </w:t>
      </w:r>
    </w:p>
    <w:p w14:paraId="064F8ADD" w14:textId="64FEA31D" w:rsidR="000B4835" w:rsidRPr="00CF31E0" w:rsidRDefault="000B4835" w:rsidP="00603CB7">
      <w:pPr>
        <w:pStyle w:val="Paragraph"/>
        <w:rPr>
          <w:lang w:eastAsia="en-US"/>
        </w:rPr>
      </w:pPr>
      <w:r w:rsidRPr="00CF31E0">
        <w:rPr>
          <w:lang w:val="en-US" w:eastAsia="en-US"/>
        </w:rPr>
        <w:t xml:space="preserve">Table </w:t>
      </w:r>
      <w:r w:rsidR="004A1909" w:rsidRPr="00CF31E0">
        <w:rPr>
          <w:lang w:val="en-US" w:eastAsia="en-US"/>
        </w:rPr>
        <w:t>11</w:t>
      </w:r>
      <w:r w:rsidR="0016358E" w:rsidRPr="00CF31E0">
        <w:rPr>
          <w:lang w:val="en-US" w:eastAsia="en-US"/>
        </w:rPr>
        <w:t>.</w:t>
      </w:r>
      <w:r w:rsidR="004A1909" w:rsidRPr="00CF31E0">
        <w:rPr>
          <w:lang w:val="en-US" w:eastAsia="en-US"/>
        </w:rPr>
        <w:t xml:space="preserve">35 </w:t>
      </w:r>
      <w:r w:rsidRPr="00CF31E0">
        <w:rPr>
          <w:lang w:val="en-US" w:eastAsia="en-US"/>
        </w:rPr>
        <w:t>presents the descriptive statistics f</w:t>
      </w:r>
      <w:r w:rsidR="00A44D27" w:rsidRPr="00CF31E0">
        <w:rPr>
          <w:lang w:val="en-US" w:eastAsia="en-US"/>
        </w:rPr>
        <w:t>or the two categories (i.e. UBH and HH</w:t>
      </w:r>
      <w:r w:rsidRPr="00CF31E0">
        <w:rPr>
          <w:lang w:val="en-US" w:eastAsia="en-US"/>
        </w:rPr>
        <w:t xml:space="preserve"> social groups) of the independent variable (social group). The most significant output for identifying the difference between the two social groups is the mean value. As can be seen</w:t>
      </w:r>
      <w:r w:rsidR="00A44D27" w:rsidRPr="00CF31E0">
        <w:rPr>
          <w:lang w:val="en-US" w:eastAsia="en-US"/>
        </w:rPr>
        <w:t>, the mean value for the UBH</w:t>
      </w:r>
      <w:r w:rsidRPr="00CF31E0">
        <w:rPr>
          <w:lang w:val="en-US" w:eastAsia="en-US"/>
        </w:rPr>
        <w:t xml:space="preserve"> social group is 3.40, while</w:t>
      </w:r>
      <w:r w:rsidR="00A44D27" w:rsidRPr="00CF31E0">
        <w:rPr>
          <w:lang w:val="en-US" w:eastAsia="en-US"/>
        </w:rPr>
        <w:t xml:space="preserve"> it is 3.58 for the HH</w:t>
      </w:r>
      <w:r w:rsidRPr="00CF31E0">
        <w:rPr>
          <w:lang w:val="en-US" w:eastAsia="en-US"/>
        </w:rPr>
        <w:t xml:space="preserve"> social group. Thus, the two social groups have different attitudes regarding their perceptions of the similarity of the voice sample to o</w:t>
      </w:r>
      <w:r w:rsidR="00A44D27" w:rsidRPr="00CF31E0">
        <w:rPr>
          <w:lang w:val="en-US" w:eastAsia="en-US"/>
        </w:rPr>
        <w:t>ther Arabic dialects. The HH</w:t>
      </w:r>
      <w:r w:rsidRPr="00CF31E0">
        <w:rPr>
          <w:lang w:val="en-US" w:eastAsia="en-US"/>
        </w:rPr>
        <w:t xml:space="preserve"> social group perceived it as more </w:t>
      </w:r>
      <w:r w:rsidRPr="00CF31E0">
        <w:rPr>
          <w:i/>
          <w:iCs/>
          <w:lang w:val="en-US" w:eastAsia="en-US"/>
        </w:rPr>
        <w:t>similar to other Arabic dialects</w:t>
      </w:r>
      <w:r w:rsidR="00A44D27" w:rsidRPr="00CF31E0">
        <w:rPr>
          <w:lang w:val="en-US" w:eastAsia="en-US"/>
        </w:rPr>
        <w:t xml:space="preserve"> than did the UBH</w:t>
      </w:r>
      <w:r w:rsidRPr="00CF31E0">
        <w:rPr>
          <w:lang w:val="en-US" w:eastAsia="en-US"/>
        </w:rPr>
        <w:t xml:space="preserve"> social group.</w:t>
      </w:r>
    </w:p>
    <w:p w14:paraId="68BA8D93" w14:textId="17C48AF2" w:rsidR="000B4835" w:rsidRPr="00CF31E0" w:rsidRDefault="004A1909" w:rsidP="006F0C71">
      <w:pPr>
        <w:pStyle w:val="Chead"/>
      </w:pPr>
      <w:bookmarkStart w:id="930" w:name="_Toc6472797"/>
      <w:r w:rsidRPr="00CF31E0">
        <w:t>1</w:t>
      </w:r>
      <w:r w:rsidR="006F0C71" w:rsidRPr="00CF31E0">
        <w:t>1</w:t>
      </w:r>
      <w:r w:rsidR="0016358E" w:rsidRPr="00CF31E0">
        <w:t>.3.3.2</w:t>
      </w:r>
      <w:r w:rsidR="00AA0DF3" w:rsidRPr="00CF31E0">
        <w:t>.</w:t>
      </w:r>
      <w:r w:rsidR="00AA0DF3" w:rsidRPr="00CF31E0">
        <w:tab/>
      </w:r>
      <w:r w:rsidR="000B4835" w:rsidRPr="00CF31E0">
        <w:t>Traditional scale</w:t>
      </w:r>
      <w:bookmarkEnd w:id="930"/>
    </w:p>
    <w:p w14:paraId="57D625B4" w14:textId="4DC918F7" w:rsidR="000B4835" w:rsidRPr="00CF31E0" w:rsidRDefault="000B4835" w:rsidP="00603CB7">
      <w:pPr>
        <w:pStyle w:val="Paragraph"/>
        <w:rPr>
          <w:lang w:eastAsia="en-US"/>
        </w:rPr>
      </w:pPr>
      <w:r w:rsidRPr="00CF31E0">
        <w:rPr>
          <w:lang w:eastAsia="en-US"/>
        </w:rPr>
        <w:t xml:space="preserve">Results from the </w:t>
      </w:r>
      <w:r w:rsidRPr="00CF31E0">
        <w:rPr>
          <w:i/>
          <w:iCs/>
          <w:lang w:eastAsia="en-US"/>
        </w:rPr>
        <w:t>traditional</w:t>
      </w:r>
      <w:r w:rsidRPr="00CF31E0">
        <w:rPr>
          <w:lang w:eastAsia="en-US"/>
        </w:rPr>
        <w:t xml:space="preserve"> scale revealed that the social group, mother’s social group and spouse’s social group all affected the participants’ perceptions. See Tables </w:t>
      </w:r>
      <w:r w:rsidR="004A1909" w:rsidRPr="00CF31E0">
        <w:rPr>
          <w:lang w:eastAsia="en-US"/>
        </w:rPr>
        <w:t>11</w:t>
      </w:r>
      <w:r w:rsidR="0016358E" w:rsidRPr="00CF31E0">
        <w:rPr>
          <w:lang w:eastAsia="en-US"/>
        </w:rPr>
        <w:t>.</w:t>
      </w:r>
      <w:r w:rsidR="004A1909" w:rsidRPr="00CF31E0">
        <w:rPr>
          <w:lang w:eastAsia="en-US"/>
        </w:rPr>
        <w:t xml:space="preserve">36 </w:t>
      </w:r>
      <w:r w:rsidRPr="00CF31E0">
        <w:rPr>
          <w:lang w:eastAsia="en-US"/>
        </w:rPr>
        <w:t xml:space="preserve">and </w:t>
      </w:r>
      <w:r w:rsidR="004A1909" w:rsidRPr="00CF31E0">
        <w:rPr>
          <w:lang w:eastAsia="en-US"/>
        </w:rPr>
        <w:t>11</w:t>
      </w:r>
      <w:r w:rsidR="0016358E" w:rsidRPr="00CF31E0">
        <w:rPr>
          <w:lang w:eastAsia="en-US"/>
        </w:rPr>
        <w:t>.</w:t>
      </w:r>
      <w:r w:rsidR="004A1909" w:rsidRPr="00CF31E0">
        <w:rPr>
          <w:lang w:eastAsia="en-US"/>
        </w:rPr>
        <w:t xml:space="preserve">37 </w:t>
      </w:r>
      <w:r w:rsidRPr="00CF31E0">
        <w:rPr>
          <w:lang w:eastAsia="en-US"/>
        </w:rPr>
        <w:t xml:space="preserve">for the ANOVA test results on the social group of participants. </w:t>
      </w:r>
    </w:p>
    <w:tbl>
      <w:tblPr>
        <w:tblW w:w="7245" w:type="dxa"/>
        <w:tblInd w:w="-20" w:type="dxa"/>
        <w:tblBorders>
          <w:top w:val="single" w:sz="4" w:space="0" w:color="000000"/>
          <w:bottom w:val="single" w:sz="4" w:space="0" w:color="000000"/>
        </w:tblBorders>
        <w:tblLayout w:type="fixed"/>
        <w:tblCellMar>
          <w:left w:w="0" w:type="dxa"/>
          <w:right w:w="0" w:type="dxa"/>
        </w:tblCellMar>
        <w:tblLook w:val="0000" w:firstRow="0" w:lastRow="0" w:firstColumn="0" w:lastColumn="0" w:noHBand="0" w:noVBand="0"/>
      </w:tblPr>
      <w:tblGrid>
        <w:gridCol w:w="1934"/>
        <w:gridCol w:w="1879"/>
        <w:gridCol w:w="913"/>
        <w:gridCol w:w="1610"/>
        <w:gridCol w:w="909"/>
      </w:tblGrid>
      <w:tr w:rsidR="00ED36FE" w:rsidRPr="00CF31E0" w14:paraId="3CC529B0" w14:textId="77777777" w:rsidTr="00ED36FE">
        <w:trPr>
          <w:cantSplit/>
          <w:trHeight w:val="654"/>
        </w:trPr>
        <w:tc>
          <w:tcPr>
            <w:tcW w:w="1934" w:type="dxa"/>
            <w:tcBorders>
              <w:top w:val="single" w:sz="4" w:space="0" w:color="000000"/>
              <w:bottom w:val="single" w:sz="4" w:space="0" w:color="000000"/>
            </w:tcBorders>
            <w:shd w:val="clear" w:color="auto" w:fill="FFFFFF"/>
            <w:vAlign w:val="bottom"/>
          </w:tcPr>
          <w:p w14:paraId="53921DD5"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Social group</w:t>
            </w:r>
          </w:p>
        </w:tc>
        <w:tc>
          <w:tcPr>
            <w:tcW w:w="1879" w:type="dxa"/>
            <w:tcBorders>
              <w:top w:val="single" w:sz="4" w:space="0" w:color="000000"/>
              <w:bottom w:val="single" w:sz="4" w:space="0" w:color="000000"/>
            </w:tcBorders>
            <w:shd w:val="clear" w:color="auto" w:fill="FFFFFF"/>
            <w:vAlign w:val="bottom"/>
          </w:tcPr>
          <w:p w14:paraId="278F64C6"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913" w:type="dxa"/>
            <w:tcBorders>
              <w:top w:val="single" w:sz="4" w:space="0" w:color="000000"/>
              <w:bottom w:val="single" w:sz="4" w:space="0" w:color="000000"/>
            </w:tcBorders>
            <w:shd w:val="clear" w:color="auto" w:fill="FFFFFF"/>
            <w:vAlign w:val="bottom"/>
          </w:tcPr>
          <w:p w14:paraId="4319C517"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610" w:type="dxa"/>
            <w:tcBorders>
              <w:top w:val="single" w:sz="4" w:space="0" w:color="000000"/>
              <w:bottom w:val="single" w:sz="4" w:space="0" w:color="000000"/>
            </w:tcBorders>
            <w:shd w:val="clear" w:color="auto" w:fill="FFFFFF"/>
            <w:vAlign w:val="bottom"/>
          </w:tcPr>
          <w:p w14:paraId="4EAACFEE"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909" w:type="dxa"/>
            <w:tcBorders>
              <w:top w:val="single" w:sz="4" w:space="0" w:color="000000"/>
              <w:bottom w:val="single" w:sz="4" w:space="0" w:color="000000"/>
            </w:tcBorders>
            <w:shd w:val="clear" w:color="auto" w:fill="FFFFFF"/>
            <w:vAlign w:val="bottom"/>
          </w:tcPr>
          <w:p w14:paraId="02E8EC7D"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ED36FE" w:rsidRPr="00CF31E0" w14:paraId="1C830C68" w14:textId="77777777" w:rsidTr="00ED36FE">
        <w:trPr>
          <w:cantSplit/>
          <w:trHeight w:val="644"/>
        </w:trPr>
        <w:tc>
          <w:tcPr>
            <w:tcW w:w="1934" w:type="dxa"/>
            <w:tcBorders>
              <w:top w:val="single" w:sz="4" w:space="0" w:color="000000"/>
              <w:bottom w:val="nil"/>
            </w:tcBorders>
            <w:shd w:val="clear" w:color="auto" w:fill="FFFFFF"/>
          </w:tcPr>
          <w:p w14:paraId="72DD1A35"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879" w:type="dxa"/>
            <w:tcBorders>
              <w:top w:val="single" w:sz="4" w:space="0" w:color="000000"/>
              <w:bottom w:val="nil"/>
            </w:tcBorders>
            <w:shd w:val="clear" w:color="auto" w:fill="FFFFFF"/>
            <w:vAlign w:val="center"/>
          </w:tcPr>
          <w:p w14:paraId="274348DC"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21.753</w:t>
            </w:r>
          </w:p>
        </w:tc>
        <w:tc>
          <w:tcPr>
            <w:tcW w:w="913" w:type="dxa"/>
            <w:tcBorders>
              <w:top w:val="single" w:sz="4" w:space="0" w:color="000000"/>
              <w:bottom w:val="nil"/>
            </w:tcBorders>
            <w:shd w:val="clear" w:color="auto" w:fill="FFFFFF"/>
            <w:vAlign w:val="center"/>
          </w:tcPr>
          <w:p w14:paraId="5B4EDF16"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w:t>
            </w:r>
          </w:p>
        </w:tc>
        <w:tc>
          <w:tcPr>
            <w:tcW w:w="1610" w:type="dxa"/>
            <w:tcBorders>
              <w:top w:val="single" w:sz="4" w:space="0" w:color="000000"/>
              <w:bottom w:val="nil"/>
            </w:tcBorders>
            <w:shd w:val="clear" w:color="auto" w:fill="FFFFFF"/>
            <w:vAlign w:val="center"/>
          </w:tcPr>
          <w:p w14:paraId="7BD12D8C"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21.753</w:t>
            </w:r>
          </w:p>
        </w:tc>
        <w:tc>
          <w:tcPr>
            <w:tcW w:w="909" w:type="dxa"/>
            <w:tcBorders>
              <w:top w:val="single" w:sz="4" w:space="0" w:color="000000"/>
              <w:bottom w:val="nil"/>
            </w:tcBorders>
            <w:shd w:val="clear" w:color="auto" w:fill="FFFFFF"/>
            <w:vAlign w:val="center"/>
          </w:tcPr>
          <w:p w14:paraId="3B71EC4D"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.000</w:t>
            </w:r>
          </w:p>
        </w:tc>
      </w:tr>
      <w:tr w:rsidR="00ED36FE" w:rsidRPr="00CF31E0" w14:paraId="6EA70662" w14:textId="77777777" w:rsidTr="00ED36FE">
        <w:trPr>
          <w:cantSplit/>
          <w:trHeight w:val="654"/>
        </w:trPr>
        <w:tc>
          <w:tcPr>
            <w:tcW w:w="1934" w:type="dxa"/>
            <w:tcBorders>
              <w:top w:val="nil"/>
            </w:tcBorders>
            <w:shd w:val="clear" w:color="auto" w:fill="FFFFFF"/>
          </w:tcPr>
          <w:p w14:paraId="6A7FC1BA"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879" w:type="dxa"/>
            <w:tcBorders>
              <w:top w:val="nil"/>
            </w:tcBorders>
            <w:shd w:val="clear" w:color="auto" w:fill="FFFFFF"/>
            <w:vAlign w:val="center"/>
          </w:tcPr>
          <w:p w14:paraId="4237F581"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909.428</w:t>
            </w:r>
          </w:p>
        </w:tc>
        <w:tc>
          <w:tcPr>
            <w:tcW w:w="913" w:type="dxa"/>
            <w:tcBorders>
              <w:top w:val="nil"/>
            </w:tcBorders>
            <w:shd w:val="clear" w:color="auto" w:fill="FFFFFF"/>
            <w:vAlign w:val="center"/>
          </w:tcPr>
          <w:p w14:paraId="77D23625"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648</w:t>
            </w:r>
          </w:p>
        </w:tc>
        <w:tc>
          <w:tcPr>
            <w:tcW w:w="1610" w:type="dxa"/>
            <w:tcBorders>
              <w:top w:val="nil"/>
            </w:tcBorders>
            <w:shd w:val="clear" w:color="auto" w:fill="FFFFFF"/>
            <w:vAlign w:val="center"/>
          </w:tcPr>
          <w:p w14:paraId="567412F0"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1.406</w:t>
            </w:r>
          </w:p>
        </w:tc>
        <w:tc>
          <w:tcPr>
            <w:tcW w:w="909" w:type="dxa"/>
            <w:tcBorders>
              <w:top w:val="nil"/>
            </w:tcBorders>
            <w:shd w:val="clear" w:color="auto" w:fill="FFFFFF"/>
            <w:vAlign w:val="center"/>
          </w:tcPr>
          <w:p w14:paraId="3F8BBB8E" w14:textId="77777777" w:rsidR="00ED36FE" w:rsidRPr="00CF31E0" w:rsidRDefault="00ED36FE" w:rsidP="000B4835">
            <w:pPr>
              <w:spacing w:before="120" w:after="120" w:line="360" w:lineRule="auto"/>
              <w:rPr>
                <w:rFonts w:eastAsia="Calibri" w:cs="Arial"/>
                <w:color w:val="000000" w:themeColor="text1"/>
                <w:sz w:val="22"/>
                <w:szCs w:val="22"/>
                <w:lang w:eastAsia="en-US"/>
              </w:rPr>
            </w:pPr>
          </w:p>
        </w:tc>
      </w:tr>
      <w:tr w:rsidR="00ED36FE" w:rsidRPr="00CF31E0" w14:paraId="4B480F8B" w14:textId="77777777" w:rsidTr="00ED36FE">
        <w:trPr>
          <w:cantSplit/>
          <w:trHeight w:val="665"/>
        </w:trPr>
        <w:tc>
          <w:tcPr>
            <w:tcW w:w="1934" w:type="dxa"/>
            <w:shd w:val="clear" w:color="auto" w:fill="FFFFFF"/>
          </w:tcPr>
          <w:p w14:paraId="18ACC89A"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879" w:type="dxa"/>
            <w:shd w:val="clear" w:color="auto" w:fill="FFFFFF"/>
            <w:vAlign w:val="center"/>
          </w:tcPr>
          <w:p w14:paraId="37987E1C"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931.180</w:t>
            </w:r>
          </w:p>
        </w:tc>
        <w:tc>
          <w:tcPr>
            <w:tcW w:w="913" w:type="dxa"/>
            <w:shd w:val="clear" w:color="auto" w:fill="FFFFFF"/>
            <w:vAlign w:val="center"/>
          </w:tcPr>
          <w:p w14:paraId="702ABA8E"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649</w:t>
            </w:r>
          </w:p>
        </w:tc>
        <w:tc>
          <w:tcPr>
            <w:tcW w:w="1610" w:type="dxa"/>
            <w:shd w:val="clear" w:color="auto" w:fill="FFFFFF"/>
            <w:vAlign w:val="center"/>
          </w:tcPr>
          <w:p w14:paraId="3243D73E" w14:textId="77777777" w:rsidR="00ED36FE" w:rsidRPr="00CF31E0" w:rsidRDefault="00ED36FE" w:rsidP="000B4835">
            <w:pPr>
              <w:spacing w:before="120" w:after="120" w:line="360" w:lineRule="auto"/>
              <w:rPr>
                <w:rFonts w:eastAsia="Calibri" w:cs="Arial"/>
                <w:color w:val="000000" w:themeColor="text1"/>
                <w:sz w:val="22"/>
                <w:szCs w:val="22"/>
                <w:lang w:eastAsia="en-US"/>
              </w:rPr>
            </w:pPr>
          </w:p>
        </w:tc>
        <w:tc>
          <w:tcPr>
            <w:tcW w:w="909" w:type="dxa"/>
            <w:shd w:val="clear" w:color="auto" w:fill="FFFFFF"/>
            <w:vAlign w:val="center"/>
          </w:tcPr>
          <w:p w14:paraId="2F437E11" w14:textId="77777777" w:rsidR="00ED36FE" w:rsidRPr="00CF31E0" w:rsidRDefault="00ED36FE" w:rsidP="000B4835">
            <w:pPr>
              <w:spacing w:before="120" w:after="120" w:line="360" w:lineRule="auto"/>
              <w:rPr>
                <w:rFonts w:eastAsia="Calibri" w:cs="Arial"/>
                <w:color w:val="000000" w:themeColor="text1"/>
                <w:sz w:val="22"/>
                <w:szCs w:val="22"/>
                <w:lang w:eastAsia="en-US"/>
              </w:rPr>
            </w:pPr>
          </w:p>
        </w:tc>
      </w:tr>
    </w:tbl>
    <w:p w14:paraId="26891845" w14:textId="55000FD5" w:rsidR="000B4835" w:rsidRPr="00CF31E0" w:rsidRDefault="000B4835" w:rsidP="00603CB7">
      <w:pPr>
        <w:pStyle w:val="Tablecaption"/>
        <w:spacing w:after="400"/>
      </w:pPr>
      <w:bookmarkStart w:id="931" w:name="_Toc522527499"/>
      <w:bookmarkStart w:id="932" w:name="_Toc522628912"/>
      <w:bookmarkStart w:id="933" w:name="_Toc522629076"/>
      <w:bookmarkStart w:id="934" w:name="_Toc6473174"/>
      <w:r w:rsidRPr="00CF31E0">
        <w:lastRenderedPageBreak/>
        <w:t xml:space="preserve">Table </w:t>
      </w:r>
      <w:r w:rsidR="004A1909" w:rsidRPr="00CF31E0">
        <w:t>11</w:t>
      </w:r>
      <w:r w:rsidR="0016358E" w:rsidRPr="00CF31E0">
        <w:t>.</w:t>
      </w:r>
      <w:r w:rsidR="004A1909" w:rsidRPr="00CF31E0">
        <w:t>36</w:t>
      </w:r>
      <w:r w:rsidRPr="00CF31E0">
        <w:t>: ANOVA statistics for social group demographic variable.</w:t>
      </w:r>
      <w:bookmarkEnd w:id="931"/>
      <w:bookmarkEnd w:id="932"/>
      <w:bookmarkEnd w:id="933"/>
      <w:bookmarkEnd w:id="934"/>
    </w:p>
    <w:tbl>
      <w:tblPr>
        <w:tblW w:w="7360" w:type="dxa"/>
        <w:tblInd w:w="-10" w:type="dxa"/>
        <w:tblBorders>
          <w:top w:val="single" w:sz="4" w:space="0" w:color="000000"/>
          <w:bottom w:val="single" w:sz="4" w:space="0" w:color="000000"/>
        </w:tblBorders>
        <w:tblLayout w:type="fixed"/>
        <w:tblCellMar>
          <w:left w:w="0" w:type="dxa"/>
          <w:right w:w="0" w:type="dxa"/>
        </w:tblCellMar>
        <w:tblLook w:val="0000" w:firstRow="0" w:lastRow="0" w:firstColumn="0" w:lastColumn="0" w:noHBand="0" w:noVBand="0"/>
      </w:tblPr>
      <w:tblGrid>
        <w:gridCol w:w="1845"/>
        <w:gridCol w:w="1700"/>
        <w:gridCol w:w="1276"/>
        <w:gridCol w:w="1559"/>
        <w:gridCol w:w="980"/>
      </w:tblGrid>
      <w:tr w:rsidR="00AD6653" w:rsidRPr="00CF31E0" w14:paraId="6D839D6F" w14:textId="77777777" w:rsidTr="00ED36FE">
        <w:trPr>
          <w:cantSplit/>
          <w:trHeight w:val="641"/>
        </w:trPr>
        <w:tc>
          <w:tcPr>
            <w:tcW w:w="1845" w:type="dxa"/>
            <w:tcBorders>
              <w:top w:val="single" w:sz="4" w:space="0" w:color="000000"/>
              <w:bottom w:val="single" w:sz="4" w:space="0" w:color="000000"/>
            </w:tcBorders>
          </w:tcPr>
          <w:p w14:paraId="19E613F6" w14:textId="77777777" w:rsidR="00AD6653" w:rsidRPr="00CF31E0" w:rsidRDefault="00AD6653" w:rsidP="00645D13">
            <w:pPr>
              <w:rPr>
                <w:rFonts w:eastAsia="Calibri" w:cs="Arial"/>
                <w:color w:val="000000" w:themeColor="text1"/>
                <w:sz w:val="22"/>
                <w:szCs w:val="22"/>
                <w:lang w:eastAsia="en-US"/>
              </w:rPr>
            </w:pPr>
          </w:p>
        </w:tc>
        <w:tc>
          <w:tcPr>
            <w:tcW w:w="2976" w:type="dxa"/>
            <w:gridSpan w:val="2"/>
            <w:tcBorders>
              <w:top w:val="single" w:sz="4" w:space="0" w:color="000000"/>
              <w:bottom w:val="single" w:sz="4" w:space="0" w:color="000000"/>
            </w:tcBorders>
            <w:shd w:val="clear" w:color="auto" w:fill="FFFFFF"/>
            <w:vAlign w:val="bottom"/>
          </w:tcPr>
          <w:p w14:paraId="2A98936B" w14:textId="77777777" w:rsidR="00AD6653" w:rsidRPr="00CF31E0" w:rsidRDefault="00AD6653" w:rsidP="00645D1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Social group</w:t>
            </w:r>
          </w:p>
        </w:tc>
        <w:tc>
          <w:tcPr>
            <w:tcW w:w="1559" w:type="dxa"/>
            <w:tcBorders>
              <w:top w:val="single" w:sz="4" w:space="0" w:color="000000"/>
              <w:bottom w:val="single" w:sz="4" w:space="0" w:color="000000"/>
            </w:tcBorders>
            <w:shd w:val="clear" w:color="auto" w:fill="FFFFFF"/>
            <w:vAlign w:val="bottom"/>
          </w:tcPr>
          <w:p w14:paraId="3A5C3B8D" w14:textId="77777777" w:rsidR="00AD6653" w:rsidRPr="00CF31E0" w:rsidRDefault="00AD6653" w:rsidP="00645D1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Statistic</w:t>
            </w:r>
          </w:p>
        </w:tc>
        <w:tc>
          <w:tcPr>
            <w:tcW w:w="980" w:type="dxa"/>
            <w:tcBorders>
              <w:top w:val="single" w:sz="4" w:space="0" w:color="000000"/>
              <w:bottom w:val="single" w:sz="4" w:space="0" w:color="000000"/>
            </w:tcBorders>
            <w:shd w:val="clear" w:color="auto" w:fill="FFFFFF"/>
            <w:vAlign w:val="bottom"/>
          </w:tcPr>
          <w:p w14:paraId="7F65553A" w14:textId="77777777" w:rsidR="00AD6653" w:rsidRPr="00CF31E0" w:rsidRDefault="00AD6653" w:rsidP="00645D1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Std. Error</w:t>
            </w:r>
          </w:p>
        </w:tc>
      </w:tr>
      <w:tr w:rsidR="00AD6653" w:rsidRPr="00CF31E0" w14:paraId="37E42FAB" w14:textId="77777777" w:rsidTr="00645D13">
        <w:trPr>
          <w:cantSplit/>
        </w:trPr>
        <w:tc>
          <w:tcPr>
            <w:tcW w:w="1845" w:type="dxa"/>
            <w:vMerge w:val="restart"/>
            <w:tcBorders>
              <w:top w:val="single" w:sz="4" w:space="0" w:color="000000"/>
              <w:bottom w:val="nil"/>
            </w:tcBorders>
            <w:shd w:val="clear" w:color="auto" w:fill="FFFFFF"/>
          </w:tcPr>
          <w:p w14:paraId="6D3BA5D4" w14:textId="7049C946" w:rsidR="00AD6653" w:rsidRPr="00CF31E0" w:rsidRDefault="00AD6653" w:rsidP="00645D1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Traditional</w:t>
            </w:r>
          </w:p>
        </w:tc>
        <w:tc>
          <w:tcPr>
            <w:tcW w:w="1700" w:type="dxa"/>
            <w:tcBorders>
              <w:top w:val="single" w:sz="4" w:space="0" w:color="000000"/>
              <w:bottom w:val="nil"/>
            </w:tcBorders>
            <w:shd w:val="clear" w:color="auto" w:fill="FFFFFF"/>
          </w:tcPr>
          <w:p w14:paraId="2455B59F" w14:textId="77777777" w:rsidR="00AD6653" w:rsidRPr="00CF31E0" w:rsidRDefault="00AD6653" w:rsidP="00645D1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UBH</w:t>
            </w:r>
          </w:p>
        </w:tc>
        <w:tc>
          <w:tcPr>
            <w:tcW w:w="1276" w:type="dxa"/>
            <w:tcBorders>
              <w:top w:val="single" w:sz="4" w:space="0" w:color="000000"/>
              <w:bottom w:val="nil"/>
            </w:tcBorders>
            <w:shd w:val="clear" w:color="auto" w:fill="FFFFFF"/>
          </w:tcPr>
          <w:p w14:paraId="07255521" w14:textId="77777777" w:rsidR="00AD6653" w:rsidRPr="00CF31E0" w:rsidRDefault="00AD6653" w:rsidP="00645D1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559" w:type="dxa"/>
            <w:tcBorders>
              <w:top w:val="single" w:sz="4" w:space="0" w:color="000000"/>
              <w:bottom w:val="nil"/>
            </w:tcBorders>
            <w:shd w:val="clear" w:color="auto" w:fill="FFFFFF"/>
            <w:vAlign w:val="center"/>
          </w:tcPr>
          <w:p w14:paraId="3E3F8797" w14:textId="3A6AF6BB" w:rsidR="00AD6653" w:rsidRPr="00CF31E0" w:rsidRDefault="00AD6653" w:rsidP="00AD665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3.0000</w:t>
            </w:r>
          </w:p>
        </w:tc>
        <w:tc>
          <w:tcPr>
            <w:tcW w:w="980" w:type="dxa"/>
            <w:tcBorders>
              <w:top w:val="single" w:sz="4" w:space="0" w:color="000000"/>
              <w:bottom w:val="nil"/>
            </w:tcBorders>
            <w:shd w:val="clear" w:color="auto" w:fill="FFFFFF"/>
            <w:vAlign w:val="center"/>
          </w:tcPr>
          <w:p w14:paraId="264172F7" w14:textId="31101D0A" w:rsidR="00AD6653" w:rsidRPr="00CF31E0" w:rsidRDefault="00AD6653" w:rsidP="00AD665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.06455</w:t>
            </w:r>
          </w:p>
        </w:tc>
      </w:tr>
      <w:tr w:rsidR="00AD6653" w:rsidRPr="00CF31E0" w14:paraId="4343343B" w14:textId="77777777" w:rsidTr="00645D13">
        <w:trPr>
          <w:cantSplit/>
        </w:trPr>
        <w:tc>
          <w:tcPr>
            <w:tcW w:w="1845" w:type="dxa"/>
            <w:vMerge/>
            <w:tcBorders>
              <w:top w:val="nil"/>
            </w:tcBorders>
            <w:shd w:val="clear" w:color="auto" w:fill="FFFFFF"/>
          </w:tcPr>
          <w:p w14:paraId="480586F7" w14:textId="77777777" w:rsidR="00AD6653" w:rsidRPr="00CF31E0" w:rsidRDefault="00AD6653" w:rsidP="00645D13">
            <w:pPr>
              <w:spacing w:before="120" w:after="120" w:line="360" w:lineRule="auto"/>
              <w:rPr>
                <w:rFonts w:eastAsia="Calibri" w:cs="Arial"/>
                <w:color w:val="000000" w:themeColor="text1"/>
                <w:sz w:val="22"/>
                <w:szCs w:val="22"/>
                <w:lang w:eastAsia="en-US"/>
              </w:rPr>
            </w:pPr>
          </w:p>
        </w:tc>
        <w:tc>
          <w:tcPr>
            <w:tcW w:w="1700" w:type="dxa"/>
            <w:tcBorders>
              <w:top w:val="nil"/>
            </w:tcBorders>
            <w:shd w:val="clear" w:color="auto" w:fill="FFFFFF"/>
          </w:tcPr>
          <w:p w14:paraId="17179563" w14:textId="77777777" w:rsidR="00AD6653" w:rsidRPr="00CF31E0" w:rsidRDefault="00AD6653" w:rsidP="00645D1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HH</w:t>
            </w:r>
          </w:p>
        </w:tc>
        <w:tc>
          <w:tcPr>
            <w:tcW w:w="1276" w:type="dxa"/>
            <w:tcBorders>
              <w:top w:val="nil"/>
            </w:tcBorders>
            <w:shd w:val="clear" w:color="auto" w:fill="FFFFFF"/>
          </w:tcPr>
          <w:p w14:paraId="7ECAC0C4" w14:textId="77777777" w:rsidR="00AD6653" w:rsidRPr="00CF31E0" w:rsidRDefault="00AD6653" w:rsidP="00645D1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559" w:type="dxa"/>
            <w:tcBorders>
              <w:top w:val="nil"/>
            </w:tcBorders>
            <w:shd w:val="clear" w:color="auto" w:fill="FFFFFF"/>
            <w:vAlign w:val="center"/>
          </w:tcPr>
          <w:p w14:paraId="43521C2F" w14:textId="7C100D4F" w:rsidR="00AD6653" w:rsidRPr="00CF31E0" w:rsidRDefault="00AD6653" w:rsidP="00AD665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3.3662</w:t>
            </w:r>
          </w:p>
        </w:tc>
        <w:tc>
          <w:tcPr>
            <w:tcW w:w="980" w:type="dxa"/>
            <w:tcBorders>
              <w:top w:val="nil"/>
            </w:tcBorders>
            <w:shd w:val="clear" w:color="auto" w:fill="FFFFFF"/>
            <w:vAlign w:val="center"/>
          </w:tcPr>
          <w:p w14:paraId="40101004" w14:textId="78AB56F3" w:rsidR="00AD6653" w:rsidRPr="00CF31E0" w:rsidRDefault="00AD6653" w:rsidP="00AD665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.06705</w:t>
            </w:r>
          </w:p>
        </w:tc>
      </w:tr>
    </w:tbl>
    <w:p w14:paraId="18F9FF3F" w14:textId="656E154E" w:rsidR="000B4835" w:rsidRPr="00CF31E0" w:rsidRDefault="000B4835" w:rsidP="004A1909">
      <w:pPr>
        <w:pStyle w:val="Tablecaption"/>
        <w:rPr>
          <w:lang w:eastAsia="en-US"/>
        </w:rPr>
      </w:pPr>
      <w:bookmarkStart w:id="935" w:name="_Toc522527500"/>
      <w:bookmarkStart w:id="936" w:name="_Toc522628913"/>
      <w:bookmarkStart w:id="937" w:name="_Toc522629077"/>
      <w:bookmarkStart w:id="938" w:name="_Toc6473175"/>
      <w:r w:rsidRPr="00CF31E0">
        <w:rPr>
          <w:lang w:eastAsia="en-US"/>
        </w:rPr>
        <w:t xml:space="preserve">Table </w:t>
      </w:r>
      <w:r w:rsidR="004A1909" w:rsidRPr="00CF31E0">
        <w:rPr>
          <w:lang w:eastAsia="en-US"/>
        </w:rPr>
        <w:t>11</w:t>
      </w:r>
      <w:r w:rsidR="0016358E" w:rsidRPr="00CF31E0">
        <w:rPr>
          <w:lang w:eastAsia="en-US"/>
        </w:rPr>
        <w:t>.</w:t>
      </w:r>
      <w:r w:rsidR="004A1909" w:rsidRPr="00CF31E0">
        <w:rPr>
          <w:lang w:eastAsia="en-US"/>
        </w:rPr>
        <w:t>37</w:t>
      </w:r>
      <w:r w:rsidRPr="00CF31E0">
        <w:rPr>
          <w:lang w:eastAsia="en-US"/>
        </w:rPr>
        <w:t>: Descriptive statistics</w:t>
      </w:r>
      <w:r w:rsidR="007E19E4">
        <w:rPr>
          <w:lang w:eastAsia="en-US"/>
        </w:rPr>
        <w:t xml:space="preserve"> for social group demographic variable</w:t>
      </w:r>
      <w:r w:rsidRPr="00CF31E0">
        <w:rPr>
          <w:lang w:eastAsia="en-US"/>
        </w:rPr>
        <w:t>.</w:t>
      </w:r>
      <w:bookmarkEnd w:id="935"/>
      <w:bookmarkEnd w:id="936"/>
      <w:bookmarkEnd w:id="937"/>
      <w:bookmarkEnd w:id="938"/>
      <w:r w:rsidRPr="00CF31E0">
        <w:rPr>
          <w:lang w:eastAsia="en-US"/>
        </w:rPr>
        <w:t xml:space="preserve"> </w:t>
      </w:r>
    </w:p>
    <w:p w14:paraId="49C1C364" w14:textId="714CD06E" w:rsidR="000B4835" w:rsidRPr="00CF31E0" w:rsidRDefault="00B633C7" w:rsidP="00603CB7">
      <w:pPr>
        <w:pStyle w:val="Paragraph"/>
        <w:rPr>
          <w:lang w:eastAsia="en-US"/>
        </w:rPr>
      </w:pPr>
      <w:r>
        <w:rPr>
          <w:lang w:eastAsia="en-US"/>
        </w:rPr>
        <w:t>Table 11.36 shows that a</w:t>
      </w:r>
      <w:r w:rsidR="000B4835" w:rsidRPr="00CF31E0">
        <w:rPr>
          <w:lang w:eastAsia="en-US"/>
        </w:rPr>
        <w:t xml:space="preserve"> similar pattern to the above emerged on the </w:t>
      </w:r>
      <w:r w:rsidR="000B4835" w:rsidRPr="00CF31E0">
        <w:rPr>
          <w:i/>
          <w:iCs/>
          <w:lang w:eastAsia="en-US"/>
        </w:rPr>
        <w:t xml:space="preserve">traditional </w:t>
      </w:r>
      <w:r w:rsidR="000B4835" w:rsidRPr="00CF31E0">
        <w:rPr>
          <w:lang w:eastAsia="en-US"/>
        </w:rPr>
        <w:t>scale. The ANOVA test revealed a significant difference between the two social groups, with a p value p&lt;.001.</w:t>
      </w:r>
    </w:p>
    <w:p w14:paraId="2971B350" w14:textId="76F7CC9B" w:rsidR="000B4835" w:rsidRPr="00CF31E0" w:rsidRDefault="00B633C7" w:rsidP="00603CB7">
      <w:pPr>
        <w:pStyle w:val="Paragraph"/>
        <w:rPr>
          <w:lang w:val="en-US" w:eastAsia="en-US"/>
        </w:rPr>
      </w:pPr>
      <w:r>
        <w:rPr>
          <w:lang w:eastAsia="en-US"/>
        </w:rPr>
        <w:t xml:space="preserve">Table 11.37 shows that </w:t>
      </w:r>
      <w:r w:rsidR="000B4835" w:rsidRPr="00CF31E0">
        <w:rPr>
          <w:lang w:eastAsia="en-US"/>
        </w:rPr>
        <w:t xml:space="preserve">In comparing the mean scores given to the voice by both social groups, it is obvious that the </w:t>
      </w:r>
      <w:r w:rsidR="0059652A" w:rsidRPr="00CF31E0">
        <w:rPr>
          <w:lang w:val="en-US" w:eastAsia="en-US"/>
        </w:rPr>
        <w:t>HH</w:t>
      </w:r>
      <w:r w:rsidR="000B4835" w:rsidRPr="00CF31E0">
        <w:rPr>
          <w:lang w:val="en-US" w:eastAsia="en-US"/>
        </w:rPr>
        <w:t xml:space="preserve"> social group perceived the voice sample as more </w:t>
      </w:r>
      <w:r w:rsidR="000B4835" w:rsidRPr="00CF31E0">
        <w:rPr>
          <w:i/>
          <w:iCs/>
          <w:lang w:val="en-US" w:eastAsia="en-US"/>
        </w:rPr>
        <w:t xml:space="preserve">traditional </w:t>
      </w:r>
      <w:r w:rsidR="0059652A" w:rsidRPr="00CF31E0">
        <w:rPr>
          <w:lang w:val="en-US" w:eastAsia="en-US"/>
        </w:rPr>
        <w:t>than did the UBH</w:t>
      </w:r>
      <w:r w:rsidR="000B4835" w:rsidRPr="00CF31E0">
        <w:rPr>
          <w:lang w:val="en-US" w:eastAsia="en-US"/>
        </w:rPr>
        <w:t xml:space="preserve"> social group.</w:t>
      </w:r>
      <w:r w:rsidR="00716AD5" w:rsidRPr="00CF31E0">
        <w:rPr>
          <w:lang w:val="en-US" w:eastAsia="en-US"/>
        </w:rPr>
        <w:t xml:space="preserve"> See </w:t>
      </w:r>
      <w:r w:rsidR="00250706" w:rsidRPr="00CF31E0">
        <w:rPr>
          <w:lang w:val="en-US" w:eastAsia="en-US"/>
        </w:rPr>
        <w:t xml:space="preserve">Tables </w:t>
      </w:r>
      <w:r w:rsidR="004A1909" w:rsidRPr="00CF31E0">
        <w:rPr>
          <w:lang w:val="en-US" w:eastAsia="en-US"/>
        </w:rPr>
        <w:t>11</w:t>
      </w:r>
      <w:r w:rsidR="00716AD5" w:rsidRPr="00CF31E0">
        <w:rPr>
          <w:lang w:val="en-US" w:eastAsia="en-US"/>
        </w:rPr>
        <w:t>.</w:t>
      </w:r>
      <w:r w:rsidR="004A1909" w:rsidRPr="00CF31E0">
        <w:rPr>
          <w:lang w:val="en-US" w:eastAsia="en-US"/>
        </w:rPr>
        <w:t xml:space="preserve">38 </w:t>
      </w:r>
      <w:r w:rsidR="00716AD5" w:rsidRPr="00CF31E0">
        <w:rPr>
          <w:lang w:val="en-US" w:eastAsia="en-US"/>
        </w:rPr>
        <w:t xml:space="preserve">and </w:t>
      </w:r>
      <w:r w:rsidR="004A1909" w:rsidRPr="00CF31E0">
        <w:rPr>
          <w:lang w:val="en-US" w:eastAsia="en-US"/>
        </w:rPr>
        <w:t>11</w:t>
      </w:r>
      <w:r w:rsidR="00716AD5" w:rsidRPr="00CF31E0">
        <w:rPr>
          <w:lang w:val="en-US" w:eastAsia="en-US"/>
        </w:rPr>
        <w:t>.</w:t>
      </w:r>
      <w:r w:rsidR="004A1909" w:rsidRPr="00CF31E0">
        <w:rPr>
          <w:lang w:val="en-US" w:eastAsia="en-US"/>
        </w:rPr>
        <w:t>39</w:t>
      </w:r>
      <w:r w:rsidR="00716AD5" w:rsidRPr="00CF31E0">
        <w:rPr>
          <w:lang w:val="en-US" w:eastAsia="en-US"/>
        </w:rPr>
        <w:t xml:space="preserve"> for </w:t>
      </w:r>
      <w:r w:rsidR="00250706" w:rsidRPr="00CF31E0">
        <w:rPr>
          <w:lang w:val="en-US" w:eastAsia="en-US"/>
        </w:rPr>
        <w:t>the m</w:t>
      </w:r>
      <w:r w:rsidR="00716AD5" w:rsidRPr="00CF31E0">
        <w:rPr>
          <w:lang w:val="en-US" w:eastAsia="en-US"/>
        </w:rPr>
        <w:t xml:space="preserve">other’s social group results </w:t>
      </w:r>
      <w:r w:rsidR="00250706" w:rsidRPr="00CF31E0">
        <w:rPr>
          <w:lang w:val="en-US" w:eastAsia="en-US"/>
        </w:rPr>
        <w:t>from</w:t>
      </w:r>
      <w:r w:rsidR="00716AD5" w:rsidRPr="00CF31E0">
        <w:rPr>
          <w:lang w:val="en-US" w:eastAsia="en-US"/>
        </w:rPr>
        <w:t xml:space="preserve"> the data</w:t>
      </w:r>
      <w:r w:rsidR="00AD6653" w:rsidRPr="00CF31E0">
        <w:rPr>
          <w:lang w:val="en-US" w:eastAsia="en-US"/>
        </w:rPr>
        <w:t>.</w:t>
      </w:r>
    </w:p>
    <w:tbl>
      <w:tblPr>
        <w:tblW w:w="7481" w:type="dxa"/>
        <w:tblInd w:w="-20" w:type="dxa"/>
        <w:tblBorders>
          <w:top w:val="single" w:sz="4" w:space="0" w:color="000000"/>
          <w:bottom w:val="single" w:sz="4" w:space="0" w:color="000000"/>
        </w:tblBorders>
        <w:tblLayout w:type="fixed"/>
        <w:tblCellMar>
          <w:left w:w="0" w:type="dxa"/>
          <w:right w:w="0" w:type="dxa"/>
        </w:tblCellMar>
        <w:tblLook w:val="0000" w:firstRow="0" w:lastRow="0" w:firstColumn="0" w:lastColumn="0" w:noHBand="0" w:noVBand="0"/>
      </w:tblPr>
      <w:tblGrid>
        <w:gridCol w:w="2147"/>
        <w:gridCol w:w="1790"/>
        <w:gridCol w:w="943"/>
        <w:gridCol w:w="1662"/>
        <w:gridCol w:w="939"/>
      </w:tblGrid>
      <w:tr w:rsidR="00ED36FE" w:rsidRPr="00CF31E0" w14:paraId="49F1E9A8" w14:textId="77777777" w:rsidTr="004F45D7">
        <w:trPr>
          <w:cantSplit/>
          <w:trHeight w:val="989"/>
        </w:trPr>
        <w:tc>
          <w:tcPr>
            <w:tcW w:w="2147" w:type="dxa"/>
            <w:tcBorders>
              <w:top w:val="single" w:sz="4" w:space="0" w:color="000000"/>
              <w:bottom w:val="single" w:sz="4" w:space="0" w:color="000000"/>
            </w:tcBorders>
            <w:shd w:val="clear" w:color="auto" w:fill="FFFFFF"/>
            <w:vAlign w:val="bottom"/>
          </w:tcPr>
          <w:p w14:paraId="4191E611" w14:textId="59C2E6E1"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Mother’s social group</w:t>
            </w:r>
          </w:p>
        </w:tc>
        <w:tc>
          <w:tcPr>
            <w:tcW w:w="1790" w:type="dxa"/>
            <w:tcBorders>
              <w:top w:val="single" w:sz="4" w:space="0" w:color="000000"/>
              <w:bottom w:val="single" w:sz="4" w:space="0" w:color="000000"/>
            </w:tcBorders>
            <w:shd w:val="clear" w:color="auto" w:fill="FFFFFF"/>
            <w:vAlign w:val="bottom"/>
          </w:tcPr>
          <w:p w14:paraId="1533F810"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943" w:type="dxa"/>
            <w:tcBorders>
              <w:top w:val="single" w:sz="4" w:space="0" w:color="000000"/>
              <w:bottom w:val="single" w:sz="4" w:space="0" w:color="000000"/>
            </w:tcBorders>
            <w:shd w:val="clear" w:color="auto" w:fill="FFFFFF"/>
            <w:vAlign w:val="bottom"/>
          </w:tcPr>
          <w:p w14:paraId="05C04825"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662" w:type="dxa"/>
            <w:tcBorders>
              <w:top w:val="single" w:sz="4" w:space="0" w:color="000000"/>
              <w:bottom w:val="single" w:sz="4" w:space="0" w:color="000000"/>
            </w:tcBorders>
            <w:shd w:val="clear" w:color="auto" w:fill="FFFFFF"/>
            <w:vAlign w:val="bottom"/>
          </w:tcPr>
          <w:p w14:paraId="3C9C6E1C"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939" w:type="dxa"/>
            <w:tcBorders>
              <w:top w:val="single" w:sz="4" w:space="0" w:color="000000"/>
              <w:bottom w:val="single" w:sz="4" w:space="0" w:color="000000"/>
            </w:tcBorders>
            <w:shd w:val="clear" w:color="auto" w:fill="FFFFFF"/>
            <w:vAlign w:val="bottom"/>
          </w:tcPr>
          <w:p w14:paraId="1F598FE4"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ED36FE" w:rsidRPr="00CF31E0" w14:paraId="7A43F2CF" w14:textId="77777777" w:rsidTr="004F45D7">
        <w:trPr>
          <w:cantSplit/>
          <w:trHeight w:val="616"/>
        </w:trPr>
        <w:tc>
          <w:tcPr>
            <w:tcW w:w="2147" w:type="dxa"/>
            <w:tcBorders>
              <w:top w:val="single" w:sz="4" w:space="0" w:color="000000"/>
              <w:bottom w:val="nil"/>
            </w:tcBorders>
            <w:shd w:val="clear" w:color="auto" w:fill="FFFFFF"/>
          </w:tcPr>
          <w:p w14:paraId="609DA4FA"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790" w:type="dxa"/>
            <w:tcBorders>
              <w:top w:val="single" w:sz="4" w:space="0" w:color="000000"/>
              <w:bottom w:val="nil"/>
            </w:tcBorders>
            <w:shd w:val="clear" w:color="auto" w:fill="FFFFFF"/>
            <w:vAlign w:val="center"/>
          </w:tcPr>
          <w:p w14:paraId="1ACEE796"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14.418</w:t>
            </w:r>
          </w:p>
        </w:tc>
        <w:tc>
          <w:tcPr>
            <w:tcW w:w="943" w:type="dxa"/>
            <w:tcBorders>
              <w:top w:val="single" w:sz="4" w:space="0" w:color="000000"/>
              <w:bottom w:val="nil"/>
            </w:tcBorders>
            <w:shd w:val="clear" w:color="auto" w:fill="FFFFFF"/>
            <w:vAlign w:val="center"/>
          </w:tcPr>
          <w:p w14:paraId="0E971407"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2</w:t>
            </w:r>
          </w:p>
        </w:tc>
        <w:tc>
          <w:tcPr>
            <w:tcW w:w="1662" w:type="dxa"/>
            <w:tcBorders>
              <w:top w:val="single" w:sz="4" w:space="0" w:color="000000"/>
              <w:bottom w:val="nil"/>
            </w:tcBorders>
            <w:shd w:val="clear" w:color="auto" w:fill="FFFFFF"/>
            <w:vAlign w:val="center"/>
          </w:tcPr>
          <w:p w14:paraId="54E7FC4D"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7.209</w:t>
            </w:r>
          </w:p>
        </w:tc>
        <w:tc>
          <w:tcPr>
            <w:tcW w:w="939" w:type="dxa"/>
            <w:tcBorders>
              <w:top w:val="single" w:sz="4" w:space="0" w:color="000000"/>
              <w:bottom w:val="nil"/>
            </w:tcBorders>
            <w:shd w:val="clear" w:color="auto" w:fill="FFFFFF"/>
            <w:vAlign w:val="center"/>
          </w:tcPr>
          <w:p w14:paraId="055DCB11"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.006</w:t>
            </w:r>
          </w:p>
        </w:tc>
      </w:tr>
      <w:tr w:rsidR="00ED36FE" w:rsidRPr="00CF31E0" w14:paraId="1BECE042" w14:textId="77777777" w:rsidTr="004F45D7">
        <w:trPr>
          <w:cantSplit/>
          <w:trHeight w:val="607"/>
        </w:trPr>
        <w:tc>
          <w:tcPr>
            <w:tcW w:w="2147" w:type="dxa"/>
            <w:tcBorders>
              <w:top w:val="nil"/>
            </w:tcBorders>
            <w:shd w:val="clear" w:color="auto" w:fill="FFFFFF"/>
          </w:tcPr>
          <w:p w14:paraId="1BC6F2C7"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790" w:type="dxa"/>
            <w:tcBorders>
              <w:top w:val="nil"/>
            </w:tcBorders>
            <w:shd w:val="clear" w:color="auto" w:fill="FFFFFF"/>
            <w:vAlign w:val="center"/>
          </w:tcPr>
          <w:p w14:paraId="3A5C6E45"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915.360</w:t>
            </w:r>
          </w:p>
        </w:tc>
        <w:tc>
          <w:tcPr>
            <w:tcW w:w="943" w:type="dxa"/>
            <w:tcBorders>
              <w:top w:val="nil"/>
            </w:tcBorders>
            <w:shd w:val="clear" w:color="auto" w:fill="FFFFFF"/>
            <w:vAlign w:val="center"/>
          </w:tcPr>
          <w:p w14:paraId="06FF2CD4"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647</w:t>
            </w:r>
          </w:p>
        </w:tc>
        <w:tc>
          <w:tcPr>
            <w:tcW w:w="1662" w:type="dxa"/>
            <w:tcBorders>
              <w:top w:val="nil"/>
            </w:tcBorders>
            <w:shd w:val="clear" w:color="auto" w:fill="FFFFFF"/>
            <w:vAlign w:val="center"/>
          </w:tcPr>
          <w:p w14:paraId="066779BD"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1.419</w:t>
            </w:r>
          </w:p>
        </w:tc>
        <w:tc>
          <w:tcPr>
            <w:tcW w:w="939" w:type="dxa"/>
            <w:tcBorders>
              <w:top w:val="nil"/>
            </w:tcBorders>
            <w:shd w:val="clear" w:color="auto" w:fill="FFFFFF"/>
            <w:vAlign w:val="center"/>
          </w:tcPr>
          <w:p w14:paraId="4552FE26" w14:textId="77777777" w:rsidR="00ED36FE" w:rsidRPr="00CF31E0" w:rsidRDefault="00ED36FE" w:rsidP="000B4835">
            <w:pPr>
              <w:spacing w:before="120" w:after="120" w:line="360" w:lineRule="auto"/>
              <w:rPr>
                <w:rFonts w:eastAsia="Calibri" w:cs="Arial"/>
                <w:color w:val="000000" w:themeColor="text1"/>
                <w:sz w:val="22"/>
                <w:szCs w:val="22"/>
                <w:lang w:eastAsia="en-US"/>
              </w:rPr>
            </w:pPr>
          </w:p>
        </w:tc>
      </w:tr>
      <w:tr w:rsidR="00ED36FE" w:rsidRPr="00CF31E0" w14:paraId="258002F3" w14:textId="77777777" w:rsidTr="004F45D7">
        <w:trPr>
          <w:cantSplit/>
          <w:trHeight w:val="627"/>
        </w:trPr>
        <w:tc>
          <w:tcPr>
            <w:tcW w:w="2147" w:type="dxa"/>
            <w:shd w:val="clear" w:color="auto" w:fill="FFFFFF"/>
          </w:tcPr>
          <w:p w14:paraId="6963FF64"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790" w:type="dxa"/>
            <w:shd w:val="clear" w:color="auto" w:fill="FFFFFF"/>
            <w:vAlign w:val="center"/>
          </w:tcPr>
          <w:p w14:paraId="3C49A11B"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929.778</w:t>
            </w:r>
          </w:p>
        </w:tc>
        <w:tc>
          <w:tcPr>
            <w:tcW w:w="943" w:type="dxa"/>
            <w:shd w:val="clear" w:color="auto" w:fill="FFFFFF"/>
            <w:vAlign w:val="center"/>
          </w:tcPr>
          <w:p w14:paraId="6FB6535C"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649</w:t>
            </w:r>
          </w:p>
        </w:tc>
        <w:tc>
          <w:tcPr>
            <w:tcW w:w="1662" w:type="dxa"/>
            <w:shd w:val="clear" w:color="auto" w:fill="FFFFFF"/>
            <w:vAlign w:val="center"/>
          </w:tcPr>
          <w:p w14:paraId="40A8E65C" w14:textId="77777777" w:rsidR="00ED36FE" w:rsidRPr="00CF31E0" w:rsidRDefault="00ED36FE" w:rsidP="000B4835">
            <w:pPr>
              <w:spacing w:before="120" w:after="120" w:line="360" w:lineRule="auto"/>
              <w:rPr>
                <w:rFonts w:eastAsia="Calibri" w:cs="Arial"/>
                <w:color w:val="000000" w:themeColor="text1"/>
                <w:sz w:val="22"/>
                <w:szCs w:val="22"/>
                <w:lang w:eastAsia="en-US"/>
              </w:rPr>
            </w:pPr>
          </w:p>
        </w:tc>
        <w:tc>
          <w:tcPr>
            <w:tcW w:w="939" w:type="dxa"/>
            <w:shd w:val="clear" w:color="auto" w:fill="FFFFFF"/>
            <w:vAlign w:val="center"/>
          </w:tcPr>
          <w:p w14:paraId="77D0EF7A" w14:textId="77777777" w:rsidR="00ED36FE" w:rsidRPr="00CF31E0" w:rsidRDefault="00ED36FE" w:rsidP="000B4835">
            <w:pPr>
              <w:spacing w:before="120" w:after="120" w:line="360" w:lineRule="auto"/>
              <w:rPr>
                <w:rFonts w:eastAsia="Calibri" w:cs="Arial"/>
                <w:color w:val="000000" w:themeColor="text1"/>
                <w:sz w:val="22"/>
                <w:szCs w:val="22"/>
                <w:lang w:eastAsia="en-US"/>
              </w:rPr>
            </w:pPr>
          </w:p>
        </w:tc>
      </w:tr>
    </w:tbl>
    <w:p w14:paraId="3AFDDFD9" w14:textId="7DD688D0" w:rsidR="000B4835" w:rsidRPr="00CF31E0" w:rsidRDefault="000B4835" w:rsidP="00603CB7">
      <w:pPr>
        <w:pStyle w:val="Tablecaption"/>
        <w:spacing w:after="400"/>
      </w:pPr>
      <w:bookmarkStart w:id="939" w:name="_Toc522527501"/>
      <w:bookmarkStart w:id="940" w:name="_Toc522628914"/>
      <w:bookmarkStart w:id="941" w:name="_Toc522629078"/>
      <w:bookmarkStart w:id="942" w:name="_Toc6473176"/>
      <w:r w:rsidRPr="00CF31E0">
        <w:t xml:space="preserve">Table </w:t>
      </w:r>
      <w:r w:rsidR="004A1909" w:rsidRPr="00CF31E0">
        <w:t>11</w:t>
      </w:r>
      <w:r w:rsidR="0016358E" w:rsidRPr="00CF31E0">
        <w:t>.</w:t>
      </w:r>
      <w:r w:rsidR="004A1909" w:rsidRPr="00CF31E0">
        <w:t>38</w:t>
      </w:r>
      <w:r w:rsidRPr="00CF31E0">
        <w:t>: ANOVA statistics for mother’s social group demographic variable.</w:t>
      </w:r>
      <w:bookmarkEnd w:id="939"/>
      <w:bookmarkEnd w:id="940"/>
      <w:bookmarkEnd w:id="941"/>
      <w:bookmarkEnd w:id="942"/>
    </w:p>
    <w:tbl>
      <w:tblPr>
        <w:tblW w:w="7492" w:type="dxa"/>
        <w:tblInd w:w="-20" w:type="dxa"/>
        <w:tblLayout w:type="fixed"/>
        <w:tblCellMar>
          <w:left w:w="0" w:type="dxa"/>
          <w:right w:w="0" w:type="dxa"/>
        </w:tblCellMar>
        <w:tblLook w:val="0000" w:firstRow="0" w:lastRow="0" w:firstColumn="0" w:lastColumn="0" w:noHBand="0" w:noVBand="0"/>
      </w:tblPr>
      <w:tblGrid>
        <w:gridCol w:w="1581"/>
        <w:gridCol w:w="1422"/>
        <w:gridCol w:w="1695"/>
        <w:gridCol w:w="1662"/>
        <w:gridCol w:w="1132"/>
      </w:tblGrid>
      <w:tr w:rsidR="00ED36FE" w:rsidRPr="00CF31E0" w14:paraId="1DD16888" w14:textId="77777777" w:rsidTr="004F45D7">
        <w:trPr>
          <w:cantSplit/>
          <w:trHeight w:val="499"/>
        </w:trPr>
        <w:tc>
          <w:tcPr>
            <w:tcW w:w="1581" w:type="dxa"/>
            <w:vMerge w:val="restart"/>
            <w:tcBorders>
              <w:top w:val="single" w:sz="8" w:space="0" w:color="000000"/>
              <w:bottom w:val="single" w:sz="8" w:space="0" w:color="000000"/>
            </w:tcBorders>
            <w:shd w:val="clear" w:color="auto" w:fill="FFFFFF"/>
            <w:vAlign w:val="bottom"/>
          </w:tcPr>
          <w:p w14:paraId="53201C9A" w14:textId="2C11D5D1"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Mother’s social</w:t>
            </w:r>
          </w:p>
          <w:p w14:paraId="11F61046"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group</w:t>
            </w:r>
          </w:p>
        </w:tc>
        <w:tc>
          <w:tcPr>
            <w:tcW w:w="1422" w:type="dxa"/>
            <w:vMerge w:val="restart"/>
            <w:tcBorders>
              <w:top w:val="single" w:sz="8" w:space="0" w:color="000000"/>
              <w:bottom w:val="single" w:sz="8" w:space="0" w:color="000000"/>
            </w:tcBorders>
            <w:shd w:val="clear" w:color="auto" w:fill="FFFFFF"/>
            <w:vAlign w:val="bottom"/>
          </w:tcPr>
          <w:p w14:paraId="27DAF61E" w14:textId="303CCBE9"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 xml:space="preserve">Mother’s social </w:t>
            </w:r>
          </w:p>
          <w:p w14:paraId="1620A894"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group</w:t>
            </w:r>
          </w:p>
        </w:tc>
        <w:tc>
          <w:tcPr>
            <w:tcW w:w="1695" w:type="dxa"/>
            <w:vMerge w:val="restart"/>
            <w:tcBorders>
              <w:top w:val="single" w:sz="8" w:space="0" w:color="000000"/>
              <w:bottom w:val="single" w:sz="8" w:space="0" w:color="000000"/>
            </w:tcBorders>
            <w:shd w:val="clear" w:color="auto" w:fill="FFFFFF"/>
            <w:vAlign w:val="bottom"/>
          </w:tcPr>
          <w:p w14:paraId="7DEFFAC5" w14:textId="6B32ABE2"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 Difference</w:t>
            </w:r>
          </w:p>
        </w:tc>
        <w:tc>
          <w:tcPr>
            <w:tcW w:w="1662" w:type="dxa"/>
            <w:vMerge w:val="restart"/>
            <w:tcBorders>
              <w:top w:val="single" w:sz="8" w:space="0" w:color="000000"/>
              <w:bottom w:val="single" w:sz="8" w:space="0" w:color="000000"/>
            </w:tcBorders>
            <w:shd w:val="clear" w:color="auto" w:fill="FFFFFF"/>
            <w:vAlign w:val="bottom"/>
          </w:tcPr>
          <w:p w14:paraId="7A7462EE"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Std. Error</w:t>
            </w:r>
          </w:p>
        </w:tc>
        <w:tc>
          <w:tcPr>
            <w:tcW w:w="1132" w:type="dxa"/>
            <w:vMerge w:val="restart"/>
            <w:tcBorders>
              <w:top w:val="single" w:sz="8" w:space="0" w:color="000000"/>
              <w:bottom w:val="single" w:sz="8" w:space="0" w:color="000000"/>
            </w:tcBorders>
            <w:shd w:val="clear" w:color="auto" w:fill="FFFFFF"/>
            <w:vAlign w:val="bottom"/>
          </w:tcPr>
          <w:p w14:paraId="5E043EF8"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ED36FE" w:rsidRPr="00CF31E0" w14:paraId="4BBF09F1" w14:textId="77777777" w:rsidTr="004F45D7">
        <w:trPr>
          <w:cantSplit/>
          <w:trHeight w:val="619"/>
        </w:trPr>
        <w:tc>
          <w:tcPr>
            <w:tcW w:w="1581" w:type="dxa"/>
            <w:vMerge/>
            <w:tcBorders>
              <w:bottom w:val="single" w:sz="8" w:space="0" w:color="000000"/>
            </w:tcBorders>
            <w:shd w:val="clear" w:color="auto" w:fill="FFFFFF"/>
            <w:vAlign w:val="bottom"/>
          </w:tcPr>
          <w:p w14:paraId="05A3FD68" w14:textId="77777777" w:rsidR="00ED36FE" w:rsidRPr="00CF31E0" w:rsidRDefault="00ED36FE" w:rsidP="000B4835">
            <w:pPr>
              <w:spacing w:before="120" w:after="120" w:line="360" w:lineRule="auto"/>
              <w:rPr>
                <w:rFonts w:eastAsia="Calibri" w:cs="Arial"/>
                <w:color w:val="000000" w:themeColor="text1"/>
                <w:sz w:val="22"/>
                <w:szCs w:val="22"/>
                <w:lang w:eastAsia="en-US"/>
              </w:rPr>
            </w:pPr>
          </w:p>
        </w:tc>
        <w:tc>
          <w:tcPr>
            <w:tcW w:w="1422" w:type="dxa"/>
            <w:vMerge/>
            <w:tcBorders>
              <w:bottom w:val="single" w:sz="8" w:space="0" w:color="000000"/>
            </w:tcBorders>
            <w:shd w:val="clear" w:color="auto" w:fill="FFFFFF"/>
            <w:vAlign w:val="bottom"/>
          </w:tcPr>
          <w:p w14:paraId="7F3D23A4" w14:textId="77777777" w:rsidR="00ED36FE" w:rsidRPr="00CF31E0" w:rsidRDefault="00ED36FE" w:rsidP="000B4835">
            <w:pPr>
              <w:spacing w:before="120" w:after="120" w:line="360" w:lineRule="auto"/>
              <w:rPr>
                <w:rFonts w:eastAsia="Calibri" w:cs="Arial"/>
                <w:color w:val="000000" w:themeColor="text1"/>
                <w:sz w:val="22"/>
                <w:szCs w:val="22"/>
                <w:lang w:eastAsia="en-US"/>
              </w:rPr>
            </w:pPr>
          </w:p>
        </w:tc>
        <w:tc>
          <w:tcPr>
            <w:tcW w:w="1695" w:type="dxa"/>
            <w:vMerge/>
            <w:tcBorders>
              <w:bottom w:val="single" w:sz="8" w:space="0" w:color="000000"/>
            </w:tcBorders>
            <w:shd w:val="clear" w:color="auto" w:fill="FFFFFF"/>
            <w:vAlign w:val="bottom"/>
          </w:tcPr>
          <w:p w14:paraId="678D58DD" w14:textId="77777777" w:rsidR="00ED36FE" w:rsidRPr="00CF31E0" w:rsidRDefault="00ED36FE" w:rsidP="000B4835">
            <w:pPr>
              <w:spacing w:before="120" w:after="120" w:line="360" w:lineRule="auto"/>
              <w:rPr>
                <w:rFonts w:eastAsia="Calibri" w:cs="Arial"/>
                <w:color w:val="000000" w:themeColor="text1"/>
                <w:sz w:val="22"/>
                <w:szCs w:val="22"/>
                <w:lang w:eastAsia="en-US"/>
              </w:rPr>
            </w:pPr>
          </w:p>
        </w:tc>
        <w:tc>
          <w:tcPr>
            <w:tcW w:w="1662" w:type="dxa"/>
            <w:vMerge/>
            <w:tcBorders>
              <w:bottom w:val="single" w:sz="8" w:space="0" w:color="000000"/>
            </w:tcBorders>
            <w:shd w:val="clear" w:color="auto" w:fill="FFFFFF"/>
            <w:vAlign w:val="bottom"/>
          </w:tcPr>
          <w:p w14:paraId="34971417" w14:textId="77777777" w:rsidR="00ED36FE" w:rsidRPr="00CF31E0" w:rsidRDefault="00ED36FE" w:rsidP="000B4835">
            <w:pPr>
              <w:spacing w:before="120" w:after="120" w:line="360" w:lineRule="auto"/>
              <w:rPr>
                <w:rFonts w:eastAsia="Calibri" w:cs="Arial"/>
                <w:color w:val="000000" w:themeColor="text1"/>
                <w:sz w:val="22"/>
                <w:szCs w:val="22"/>
                <w:lang w:eastAsia="en-US"/>
              </w:rPr>
            </w:pPr>
          </w:p>
        </w:tc>
        <w:tc>
          <w:tcPr>
            <w:tcW w:w="1132" w:type="dxa"/>
            <w:vMerge/>
            <w:tcBorders>
              <w:bottom w:val="single" w:sz="8" w:space="0" w:color="000000"/>
            </w:tcBorders>
            <w:shd w:val="clear" w:color="auto" w:fill="FFFFFF"/>
            <w:vAlign w:val="bottom"/>
          </w:tcPr>
          <w:p w14:paraId="22EA8F39" w14:textId="77777777" w:rsidR="00ED36FE" w:rsidRPr="00CF31E0" w:rsidRDefault="00ED36FE" w:rsidP="000B4835">
            <w:pPr>
              <w:spacing w:before="120" w:after="120" w:line="360" w:lineRule="auto"/>
              <w:rPr>
                <w:rFonts w:eastAsia="Calibri" w:cs="Arial"/>
                <w:color w:val="000000" w:themeColor="text1"/>
                <w:sz w:val="22"/>
                <w:szCs w:val="22"/>
                <w:lang w:eastAsia="en-US"/>
              </w:rPr>
            </w:pPr>
          </w:p>
        </w:tc>
      </w:tr>
      <w:tr w:rsidR="00ED36FE" w:rsidRPr="00CF31E0" w14:paraId="119CF9BB" w14:textId="77777777" w:rsidTr="004F45D7">
        <w:trPr>
          <w:cantSplit/>
          <w:trHeight w:val="537"/>
        </w:trPr>
        <w:tc>
          <w:tcPr>
            <w:tcW w:w="1581" w:type="dxa"/>
            <w:tcBorders>
              <w:top w:val="single" w:sz="8" w:space="0" w:color="000000"/>
            </w:tcBorders>
            <w:shd w:val="clear" w:color="auto" w:fill="FFFFFF"/>
          </w:tcPr>
          <w:p w14:paraId="7AED35B8" w14:textId="1910F2CF"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UBH</w:t>
            </w:r>
          </w:p>
        </w:tc>
        <w:tc>
          <w:tcPr>
            <w:tcW w:w="1422" w:type="dxa"/>
            <w:tcBorders>
              <w:top w:val="single" w:sz="8" w:space="0" w:color="000000"/>
            </w:tcBorders>
            <w:shd w:val="clear" w:color="auto" w:fill="FFFFFF"/>
          </w:tcPr>
          <w:p w14:paraId="7932C582" w14:textId="3884BE09"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HH</w:t>
            </w:r>
          </w:p>
        </w:tc>
        <w:tc>
          <w:tcPr>
            <w:tcW w:w="1695" w:type="dxa"/>
            <w:tcBorders>
              <w:top w:val="single" w:sz="8" w:space="0" w:color="000000"/>
            </w:tcBorders>
            <w:shd w:val="clear" w:color="auto" w:fill="FFFFFF"/>
            <w:vAlign w:val="center"/>
          </w:tcPr>
          <w:p w14:paraId="2BCFFB32"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-.30329</w:t>
            </w:r>
            <w:r w:rsidRPr="00CF31E0">
              <w:rPr>
                <w:rFonts w:eastAsia="Calibri" w:cs="Arial"/>
                <w:color w:val="000000" w:themeColor="text1"/>
                <w:sz w:val="22"/>
                <w:szCs w:val="22"/>
                <w:vertAlign w:val="superscript"/>
                <w:lang w:eastAsia="en-US"/>
              </w:rPr>
              <w:t>*</w:t>
            </w:r>
          </w:p>
        </w:tc>
        <w:tc>
          <w:tcPr>
            <w:tcW w:w="1662" w:type="dxa"/>
            <w:tcBorders>
              <w:top w:val="single" w:sz="8" w:space="0" w:color="000000"/>
            </w:tcBorders>
            <w:shd w:val="clear" w:color="auto" w:fill="FFFFFF"/>
            <w:vAlign w:val="center"/>
          </w:tcPr>
          <w:p w14:paraId="64E48773"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.09515</w:t>
            </w:r>
          </w:p>
        </w:tc>
        <w:tc>
          <w:tcPr>
            <w:tcW w:w="1132" w:type="dxa"/>
            <w:tcBorders>
              <w:top w:val="single" w:sz="8" w:space="0" w:color="000000"/>
            </w:tcBorders>
            <w:shd w:val="clear" w:color="auto" w:fill="FFFFFF"/>
            <w:vAlign w:val="center"/>
          </w:tcPr>
          <w:p w14:paraId="2E2D4243"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.004</w:t>
            </w:r>
          </w:p>
        </w:tc>
      </w:tr>
      <w:tr w:rsidR="00ED36FE" w:rsidRPr="00CF31E0" w14:paraId="35DA43A4" w14:textId="77777777" w:rsidTr="004F45D7">
        <w:trPr>
          <w:cantSplit/>
          <w:trHeight w:val="522"/>
        </w:trPr>
        <w:tc>
          <w:tcPr>
            <w:tcW w:w="1581" w:type="dxa"/>
            <w:tcBorders>
              <w:bottom w:val="single" w:sz="8" w:space="0" w:color="000000"/>
            </w:tcBorders>
            <w:shd w:val="clear" w:color="auto" w:fill="FFFFFF"/>
          </w:tcPr>
          <w:p w14:paraId="4E253E5E" w14:textId="4928EC86"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HH</w:t>
            </w:r>
          </w:p>
        </w:tc>
        <w:tc>
          <w:tcPr>
            <w:tcW w:w="1422" w:type="dxa"/>
            <w:tcBorders>
              <w:bottom w:val="single" w:sz="8" w:space="0" w:color="000000"/>
            </w:tcBorders>
            <w:shd w:val="clear" w:color="auto" w:fill="FFFFFF"/>
          </w:tcPr>
          <w:p w14:paraId="05D68846" w14:textId="73161C34"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UBH</w:t>
            </w:r>
          </w:p>
        </w:tc>
        <w:tc>
          <w:tcPr>
            <w:tcW w:w="1695" w:type="dxa"/>
            <w:tcBorders>
              <w:bottom w:val="single" w:sz="8" w:space="0" w:color="000000"/>
            </w:tcBorders>
            <w:shd w:val="clear" w:color="auto" w:fill="FFFFFF"/>
            <w:vAlign w:val="center"/>
          </w:tcPr>
          <w:p w14:paraId="12369D08"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.30329</w:t>
            </w:r>
            <w:r w:rsidRPr="00CF31E0">
              <w:rPr>
                <w:rFonts w:eastAsia="Calibri" w:cs="Arial"/>
                <w:color w:val="000000" w:themeColor="text1"/>
                <w:sz w:val="22"/>
                <w:szCs w:val="22"/>
                <w:vertAlign w:val="superscript"/>
                <w:lang w:eastAsia="en-US"/>
              </w:rPr>
              <w:t>*</w:t>
            </w:r>
          </w:p>
        </w:tc>
        <w:tc>
          <w:tcPr>
            <w:tcW w:w="1662" w:type="dxa"/>
            <w:tcBorders>
              <w:bottom w:val="single" w:sz="8" w:space="0" w:color="000000"/>
            </w:tcBorders>
            <w:shd w:val="clear" w:color="auto" w:fill="FFFFFF"/>
            <w:vAlign w:val="center"/>
          </w:tcPr>
          <w:p w14:paraId="5432E6D7"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.09515</w:t>
            </w:r>
          </w:p>
        </w:tc>
        <w:tc>
          <w:tcPr>
            <w:tcW w:w="1132" w:type="dxa"/>
            <w:tcBorders>
              <w:bottom w:val="single" w:sz="8" w:space="0" w:color="000000"/>
            </w:tcBorders>
            <w:shd w:val="clear" w:color="auto" w:fill="FFFFFF"/>
            <w:vAlign w:val="center"/>
          </w:tcPr>
          <w:p w14:paraId="3FCEA304"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.004</w:t>
            </w:r>
          </w:p>
        </w:tc>
      </w:tr>
    </w:tbl>
    <w:p w14:paraId="1161BF66" w14:textId="30931666" w:rsidR="000B4835" w:rsidRPr="00CF31E0" w:rsidRDefault="000B4835" w:rsidP="002E4549">
      <w:pPr>
        <w:pStyle w:val="Tablecaption"/>
        <w:rPr>
          <w:lang w:eastAsia="en-US"/>
        </w:rPr>
      </w:pPr>
      <w:bookmarkStart w:id="943" w:name="_Toc522527502"/>
      <w:bookmarkStart w:id="944" w:name="_Toc522628915"/>
      <w:bookmarkStart w:id="945" w:name="_Toc522629079"/>
      <w:bookmarkStart w:id="946" w:name="_Toc6473177"/>
      <w:r w:rsidRPr="00CF31E0">
        <w:rPr>
          <w:lang w:eastAsia="en-US"/>
        </w:rPr>
        <w:t xml:space="preserve">Table </w:t>
      </w:r>
      <w:r w:rsidR="002E4549" w:rsidRPr="00CF31E0">
        <w:rPr>
          <w:lang w:eastAsia="en-US"/>
        </w:rPr>
        <w:t>11</w:t>
      </w:r>
      <w:r w:rsidR="0016358E" w:rsidRPr="00CF31E0">
        <w:rPr>
          <w:lang w:eastAsia="en-US"/>
        </w:rPr>
        <w:t>.</w:t>
      </w:r>
      <w:r w:rsidR="002E4549" w:rsidRPr="00CF31E0">
        <w:rPr>
          <w:lang w:eastAsia="en-US"/>
        </w:rPr>
        <w:t>39</w:t>
      </w:r>
      <w:r w:rsidRPr="00CF31E0">
        <w:rPr>
          <w:lang w:eastAsia="en-US"/>
        </w:rPr>
        <w:t>: Post-hoc test for mother’s social group demographic variable.</w:t>
      </w:r>
      <w:bookmarkEnd w:id="943"/>
      <w:bookmarkEnd w:id="944"/>
      <w:bookmarkEnd w:id="945"/>
      <w:bookmarkEnd w:id="946"/>
    </w:p>
    <w:p w14:paraId="70020D35" w14:textId="2DF41152" w:rsidR="000B4835" w:rsidRPr="00CF31E0" w:rsidRDefault="000B4835" w:rsidP="00603CB7">
      <w:pPr>
        <w:pStyle w:val="Paragraph"/>
        <w:rPr>
          <w:lang w:val="en-US" w:eastAsia="en-US"/>
        </w:rPr>
      </w:pPr>
      <w:r w:rsidRPr="00CF31E0">
        <w:rPr>
          <w:lang w:val="en-US" w:eastAsia="en-US"/>
        </w:rPr>
        <w:lastRenderedPageBreak/>
        <w:t xml:space="preserve">Table </w:t>
      </w:r>
      <w:r w:rsidR="002E4549" w:rsidRPr="00CF31E0">
        <w:rPr>
          <w:lang w:val="en-US" w:eastAsia="en-US"/>
        </w:rPr>
        <w:t>11</w:t>
      </w:r>
      <w:r w:rsidR="0016358E" w:rsidRPr="00CF31E0">
        <w:rPr>
          <w:lang w:val="en-US" w:eastAsia="en-US"/>
        </w:rPr>
        <w:t>.</w:t>
      </w:r>
      <w:r w:rsidR="002E4549" w:rsidRPr="00CF31E0">
        <w:rPr>
          <w:lang w:val="en-US" w:eastAsia="en-US"/>
        </w:rPr>
        <w:t xml:space="preserve">38 </w:t>
      </w:r>
      <w:r w:rsidRPr="00CF31E0">
        <w:rPr>
          <w:lang w:val="en-US" w:eastAsia="en-US"/>
        </w:rPr>
        <w:t xml:space="preserve">illustrates that the mother’s social group variable had a significant effect on perceptions of the </w:t>
      </w:r>
      <w:r w:rsidRPr="00CF31E0">
        <w:rPr>
          <w:i/>
          <w:iCs/>
          <w:lang w:val="en-US" w:eastAsia="en-US"/>
        </w:rPr>
        <w:t xml:space="preserve">traditional </w:t>
      </w:r>
      <w:r w:rsidRPr="00CF31E0">
        <w:rPr>
          <w:lang w:val="en-US" w:eastAsia="en-US"/>
        </w:rPr>
        <w:t>characteristic of the voice sample, with a p value of .006.</w:t>
      </w:r>
      <w:r w:rsidRPr="00CF31E0" w:rsidDel="0029612A">
        <w:rPr>
          <w:lang w:val="en-US" w:eastAsia="en-US"/>
        </w:rPr>
        <w:t xml:space="preserve"> </w:t>
      </w:r>
      <w:r w:rsidR="00B633C7">
        <w:rPr>
          <w:lang w:val="en-US" w:eastAsia="en-US"/>
        </w:rPr>
        <w:t>Table 11.39 shows that p</w:t>
      </w:r>
      <w:r w:rsidRPr="00CF31E0">
        <w:rPr>
          <w:lang w:val="en-US" w:eastAsia="en-US"/>
        </w:rPr>
        <w:t>ost-hoc tests were conducted on this demographic variable, since there is more than one category in the mother’s social group demo</w:t>
      </w:r>
      <w:r w:rsidR="0059652A" w:rsidRPr="00CF31E0">
        <w:rPr>
          <w:lang w:val="en-US" w:eastAsia="en-US"/>
        </w:rPr>
        <w:t>graphic variable (i.e. UBH, HH</w:t>
      </w:r>
      <w:r w:rsidRPr="00CF31E0">
        <w:rPr>
          <w:lang w:val="en-US" w:eastAsia="en-US"/>
        </w:rPr>
        <w:t>, single). The above post-hoc test results only show the significant results which were foun</w:t>
      </w:r>
      <w:r w:rsidR="0059652A" w:rsidRPr="00CF31E0">
        <w:rPr>
          <w:lang w:val="en-US" w:eastAsia="en-US"/>
        </w:rPr>
        <w:t>d between the UBH and HH</w:t>
      </w:r>
      <w:r w:rsidRPr="00CF31E0">
        <w:rPr>
          <w:lang w:val="en-US" w:eastAsia="en-US"/>
        </w:rPr>
        <w:t xml:space="preserve"> group; no significant differences were associated with the other </w:t>
      </w:r>
      <w:r w:rsidR="00CC31F7">
        <w:rPr>
          <w:lang w:val="en-US" w:eastAsia="en-US"/>
        </w:rPr>
        <w:t>groups</w:t>
      </w:r>
      <w:r w:rsidRPr="00CF31E0">
        <w:rPr>
          <w:lang w:val="en-US" w:eastAsia="en-US"/>
        </w:rPr>
        <w:t xml:space="preserve">. </w:t>
      </w:r>
    </w:p>
    <w:p w14:paraId="19C1AC1B" w14:textId="77777777" w:rsidR="000B4835" w:rsidRPr="00CF31E0" w:rsidRDefault="000B4835" w:rsidP="00603CB7">
      <w:pPr>
        <w:pStyle w:val="Paragraph"/>
        <w:rPr>
          <w:rFonts w:eastAsia="Calibri" w:cs="Arial"/>
          <w:lang w:eastAsia="en-US"/>
        </w:rPr>
      </w:pPr>
      <w:r w:rsidRPr="00CF31E0">
        <w:rPr>
          <w:lang w:val="en-US" w:eastAsia="en-US"/>
        </w:rPr>
        <w:t xml:space="preserve">The post-hoc test results illustrate where the difference among participants’ mothers’ social groups is located. In the column labelled </w:t>
      </w:r>
      <w:r w:rsidRPr="00CF31E0">
        <w:rPr>
          <w:i/>
          <w:iCs/>
          <w:lang w:val="en-US" w:eastAsia="en-US"/>
        </w:rPr>
        <w:t>mean difference</w:t>
      </w:r>
      <w:r w:rsidRPr="00CF31E0">
        <w:rPr>
          <w:lang w:val="en-US" w:eastAsia="en-US"/>
        </w:rPr>
        <w:t xml:space="preserve">, the values listed are marked with asterisks. The asterisks indicate that there is a significant difference (at the p&lt;.05 level) between the two groups compared. The degree of difference is revealed in the column labeled </w:t>
      </w:r>
      <w:r w:rsidRPr="00CF31E0">
        <w:rPr>
          <w:i/>
          <w:iCs/>
          <w:lang w:val="en-US" w:eastAsia="en-US"/>
        </w:rPr>
        <w:t>Sig</w:t>
      </w:r>
      <w:r w:rsidRPr="00CF31E0">
        <w:rPr>
          <w:lang w:val="en-US" w:eastAsia="en-US"/>
        </w:rPr>
        <w:t xml:space="preserve"> in the table.</w:t>
      </w:r>
    </w:p>
    <w:p w14:paraId="295D2EC9" w14:textId="7CA649D1" w:rsidR="00716AD5" w:rsidRPr="00CF31E0" w:rsidRDefault="000B4835" w:rsidP="00603CB7">
      <w:pPr>
        <w:pStyle w:val="Paragraph"/>
        <w:rPr>
          <w:lang w:val="en-US" w:eastAsia="en-US"/>
        </w:rPr>
      </w:pPr>
      <w:r w:rsidRPr="00CF31E0">
        <w:rPr>
          <w:lang w:val="en-US" w:eastAsia="en-US"/>
        </w:rPr>
        <w:t xml:space="preserve">The post-hoc test results presented in Table </w:t>
      </w:r>
      <w:r w:rsidR="002E4549" w:rsidRPr="00CF31E0">
        <w:rPr>
          <w:lang w:val="en-US" w:eastAsia="en-US"/>
        </w:rPr>
        <w:t>11</w:t>
      </w:r>
      <w:r w:rsidR="0016358E" w:rsidRPr="00CF31E0">
        <w:rPr>
          <w:lang w:val="en-US" w:eastAsia="en-US"/>
        </w:rPr>
        <w:t>.</w:t>
      </w:r>
      <w:r w:rsidR="00CC31F7">
        <w:rPr>
          <w:lang w:val="en-US" w:eastAsia="en-US"/>
        </w:rPr>
        <w:t>39</w:t>
      </w:r>
      <w:r w:rsidR="002E4549" w:rsidRPr="00CF31E0">
        <w:rPr>
          <w:lang w:val="en-US" w:eastAsia="en-US"/>
        </w:rPr>
        <w:t xml:space="preserve"> </w:t>
      </w:r>
      <w:r w:rsidRPr="00CF31E0">
        <w:rPr>
          <w:lang w:val="en-US" w:eastAsia="en-US"/>
        </w:rPr>
        <w:t>show that particip</w:t>
      </w:r>
      <w:r w:rsidR="0059652A" w:rsidRPr="00CF31E0">
        <w:rPr>
          <w:lang w:val="en-US" w:eastAsia="en-US"/>
        </w:rPr>
        <w:t>ants whose mothers are of HH</w:t>
      </w:r>
      <w:r w:rsidRPr="00CF31E0">
        <w:rPr>
          <w:lang w:val="en-US" w:eastAsia="en-US"/>
        </w:rPr>
        <w:t xml:space="preserve"> origin perceived the voice as more </w:t>
      </w:r>
      <w:r w:rsidRPr="00CF31E0">
        <w:rPr>
          <w:i/>
          <w:iCs/>
          <w:lang w:val="en-US" w:eastAsia="en-US"/>
        </w:rPr>
        <w:t xml:space="preserve">traditional </w:t>
      </w:r>
      <w:r w:rsidRPr="00CF31E0">
        <w:rPr>
          <w:lang w:val="en-US" w:eastAsia="en-US"/>
        </w:rPr>
        <w:t>(with a mean difference of .30) than the other gr</w:t>
      </w:r>
      <w:r w:rsidR="0059652A" w:rsidRPr="00CF31E0">
        <w:rPr>
          <w:lang w:val="en-US" w:eastAsia="en-US"/>
        </w:rPr>
        <w:t>oup whose mothers are of UBH</w:t>
      </w:r>
      <w:r w:rsidRPr="00CF31E0">
        <w:rPr>
          <w:lang w:val="en-US" w:eastAsia="en-US"/>
        </w:rPr>
        <w:t xml:space="preserve"> origin.</w:t>
      </w:r>
      <w:r w:rsidR="00716AD5" w:rsidRPr="00CF31E0">
        <w:rPr>
          <w:lang w:val="en-US" w:eastAsia="en-US"/>
        </w:rPr>
        <w:t xml:space="preserve"> See </w:t>
      </w:r>
      <w:r w:rsidR="009B27CA" w:rsidRPr="00CF31E0">
        <w:rPr>
          <w:lang w:val="en-US" w:eastAsia="en-US"/>
        </w:rPr>
        <w:t xml:space="preserve">Table </w:t>
      </w:r>
      <w:r w:rsidR="002E4549" w:rsidRPr="00CF31E0">
        <w:rPr>
          <w:lang w:val="en-US" w:eastAsia="en-US"/>
        </w:rPr>
        <w:t>11</w:t>
      </w:r>
      <w:r w:rsidR="00716AD5" w:rsidRPr="00CF31E0">
        <w:rPr>
          <w:lang w:val="en-US" w:eastAsia="en-US"/>
        </w:rPr>
        <w:t>.</w:t>
      </w:r>
      <w:r w:rsidR="00CC31F7">
        <w:rPr>
          <w:lang w:val="en-US" w:eastAsia="en-US"/>
        </w:rPr>
        <w:t>40</w:t>
      </w:r>
      <w:r w:rsidR="002E4549" w:rsidRPr="00CF31E0">
        <w:rPr>
          <w:lang w:val="en-US" w:eastAsia="en-US"/>
        </w:rPr>
        <w:t xml:space="preserve"> </w:t>
      </w:r>
      <w:r w:rsidR="00716AD5" w:rsidRPr="00CF31E0">
        <w:rPr>
          <w:lang w:val="en-US" w:eastAsia="en-US"/>
        </w:rPr>
        <w:t xml:space="preserve">and </w:t>
      </w:r>
      <w:r w:rsidR="002E4549" w:rsidRPr="00CF31E0">
        <w:rPr>
          <w:lang w:val="en-US" w:eastAsia="en-US"/>
        </w:rPr>
        <w:t>11</w:t>
      </w:r>
      <w:r w:rsidR="00716AD5" w:rsidRPr="00CF31E0">
        <w:rPr>
          <w:lang w:val="en-US" w:eastAsia="en-US"/>
        </w:rPr>
        <w:t>.</w:t>
      </w:r>
      <w:r w:rsidR="00CC31F7">
        <w:rPr>
          <w:lang w:val="en-US" w:eastAsia="en-US"/>
        </w:rPr>
        <w:t>41</w:t>
      </w:r>
      <w:r w:rsidR="0059652A" w:rsidRPr="00CF31E0">
        <w:rPr>
          <w:lang w:val="en-US" w:eastAsia="en-US"/>
        </w:rPr>
        <w:t xml:space="preserve"> for spouse</w:t>
      </w:r>
      <w:r w:rsidR="00716AD5" w:rsidRPr="00CF31E0">
        <w:rPr>
          <w:lang w:val="en-US" w:eastAsia="en-US"/>
        </w:rPr>
        <w:t xml:space="preserve">’s social group results </w:t>
      </w:r>
      <w:r w:rsidR="009B27CA" w:rsidRPr="00CF31E0">
        <w:rPr>
          <w:lang w:val="en-US" w:eastAsia="en-US"/>
        </w:rPr>
        <w:t xml:space="preserve">from </w:t>
      </w:r>
      <w:r w:rsidR="00716AD5" w:rsidRPr="00CF31E0">
        <w:rPr>
          <w:lang w:val="en-US" w:eastAsia="en-US"/>
        </w:rPr>
        <w:t>the data</w:t>
      </w:r>
      <w:r w:rsidR="002E4549" w:rsidRPr="00CF31E0">
        <w:rPr>
          <w:lang w:val="en-US" w:eastAsia="en-US"/>
        </w:rPr>
        <w:t>.</w:t>
      </w:r>
    </w:p>
    <w:tbl>
      <w:tblPr>
        <w:tblW w:w="7538" w:type="dxa"/>
        <w:tblInd w:w="-7" w:type="dxa"/>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2574"/>
        <w:gridCol w:w="2080"/>
        <w:gridCol w:w="796"/>
        <w:gridCol w:w="1226"/>
        <w:gridCol w:w="862"/>
      </w:tblGrid>
      <w:tr w:rsidR="00ED36FE" w:rsidRPr="00CF31E0" w14:paraId="17B17698" w14:textId="77777777" w:rsidTr="00ED36FE">
        <w:trPr>
          <w:trHeight w:val="1023"/>
        </w:trPr>
        <w:tc>
          <w:tcPr>
            <w:tcW w:w="2574" w:type="dxa"/>
            <w:tcBorders>
              <w:top w:val="single" w:sz="4" w:space="0" w:color="000000"/>
              <w:bottom w:val="single" w:sz="4" w:space="0" w:color="000000"/>
            </w:tcBorders>
            <w:shd w:val="clear" w:color="auto" w:fill="FFFFFF"/>
            <w:tcMar>
              <w:top w:w="0" w:type="dxa"/>
              <w:left w:w="75" w:type="dxa"/>
              <w:bottom w:w="0" w:type="dxa"/>
              <w:right w:w="75" w:type="dxa"/>
            </w:tcMar>
            <w:vAlign w:val="bottom"/>
            <w:hideMark/>
          </w:tcPr>
          <w:p w14:paraId="29445D9D" w14:textId="2707DBD4" w:rsidR="00ED36FE" w:rsidRPr="00CF31E0" w:rsidRDefault="00ED36FE" w:rsidP="000B4835">
            <w:pPr>
              <w:spacing w:before="120" w:after="120" w:line="360" w:lineRule="auto"/>
              <w:rPr>
                <w:rFonts w:eastAsia="Calibri" w:cs="Arial"/>
                <w:color w:val="000000" w:themeColor="text1"/>
                <w:sz w:val="22"/>
                <w:szCs w:val="22"/>
              </w:rPr>
            </w:pPr>
            <w:r w:rsidRPr="00CF31E0">
              <w:rPr>
                <w:rFonts w:eastAsia="Calibri" w:cs="Arial"/>
                <w:color w:val="000000" w:themeColor="text1"/>
                <w:sz w:val="22"/>
                <w:szCs w:val="22"/>
              </w:rPr>
              <w:t>Spouse’s social group</w:t>
            </w:r>
          </w:p>
        </w:tc>
        <w:tc>
          <w:tcPr>
            <w:tcW w:w="2080" w:type="dxa"/>
            <w:tcBorders>
              <w:top w:val="single" w:sz="4" w:space="0" w:color="000000"/>
              <w:bottom w:val="single" w:sz="4" w:space="0" w:color="000000"/>
            </w:tcBorders>
            <w:shd w:val="clear" w:color="auto" w:fill="FFFFFF"/>
            <w:tcMar>
              <w:top w:w="0" w:type="dxa"/>
              <w:left w:w="75" w:type="dxa"/>
              <w:bottom w:w="0" w:type="dxa"/>
              <w:right w:w="75" w:type="dxa"/>
            </w:tcMar>
            <w:vAlign w:val="bottom"/>
            <w:hideMark/>
          </w:tcPr>
          <w:p w14:paraId="3EC82681" w14:textId="77777777" w:rsidR="00ED36FE" w:rsidRPr="00CF31E0" w:rsidRDefault="00ED36FE" w:rsidP="000B4835">
            <w:pPr>
              <w:spacing w:before="120" w:after="120" w:line="360" w:lineRule="auto"/>
              <w:rPr>
                <w:rFonts w:eastAsia="Calibri" w:cs="Arial"/>
                <w:color w:val="000000" w:themeColor="text1"/>
                <w:sz w:val="22"/>
                <w:szCs w:val="22"/>
              </w:rPr>
            </w:pPr>
            <w:r w:rsidRPr="00CF31E0">
              <w:rPr>
                <w:rFonts w:eastAsia="Calibri" w:cs="Arial"/>
                <w:color w:val="000000" w:themeColor="text1"/>
                <w:sz w:val="22"/>
                <w:szCs w:val="22"/>
              </w:rPr>
              <w:t>Sum of Squares</w:t>
            </w:r>
          </w:p>
        </w:tc>
        <w:tc>
          <w:tcPr>
            <w:tcW w:w="796" w:type="dxa"/>
            <w:tcBorders>
              <w:top w:val="single" w:sz="4" w:space="0" w:color="000000"/>
              <w:bottom w:val="single" w:sz="4" w:space="0" w:color="000000"/>
            </w:tcBorders>
            <w:shd w:val="clear" w:color="auto" w:fill="FFFFFF"/>
            <w:tcMar>
              <w:top w:w="0" w:type="dxa"/>
              <w:left w:w="75" w:type="dxa"/>
              <w:bottom w:w="0" w:type="dxa"/>
              <w:right w:w="75" w:type="dxa"/>
            </w:tcMar>
            <w:vAlign w:val="bottom"/>
            <w:hideMark/>
          </w:tcPr>
          <w:p w14:paraId="1F79EDDE" w14:textId="77777777" w:rsidR="00ED36FE" w:rsidRPr="00CF31E0" w:rsidRDefault="00ED36FE" w:rsidP="000B4835">
            <w:pPr>
              <w:spacing w:before="120" w:after="120" w:line="360" w:lineRule="auto"/>
              <w:rPr>
                <w:rFonts w:eastAsia="Calibri" w:cs="Arial"/>
                <w:color w:val="000000" w:themeColor="text1"/>
                <w:sz w:val="22"/>
                <w:szCs w:val="22"/>
              </w:rPr>
            </w:pPr>
            <w:r w:rsidRPr="00CF31E0">
              <w:rPr>
                <w:rFonts w:eastAsia="Calibri" w:cs="Arial"/>
                <w:color w:val="000000" w:themeColor="text1"/>
                <w:sz w:val="22"/>
                <w:szCs w:val="22"/>
              </w:rPr>
              <w:t>df</w:t>
            </w:r>
          </w:p>
        </w:tc>
        <w:tc>
          <w:tcPr>
            <w:tcW w:w="1226" w:type="dxa"/>
            <w:tcBorders>
              <w:top w:val="single" w:sz="4" w:space="0" w:color="000000"/>
              <w:bottom w:val="single" w:sz="4" w:space="0" w:color="000000"/>
            </w:tcBorders>
            <w:shd w:val="clear" w:color="auto" w:fill="FFFFFF"/>
            <w:tcMar>
              <w:top w:w="0" w:type="dxa"/>
              <w:left w:w="75" w:type="dxa"/>
              <w:bottom w:w="0" w:type="dxa"/>
              <w:right w:w="75" w:type="dxa"/>
            </w:tcMar>
            <w:vAlign w:val="bottom"/>
            <w:hideMark/>
          </w:tcPr>
          <w:p w14:paraId="23A730AC" w14:textId="77777777" w:rsidR="00ED36FE" w:rsidRPr="00CF31E0" w:rsidRDefault="00ED36FE" w:rsidP="000B4835">
            <w:pPr>
              <w:spacing w:before="120" w:after="120" w:line="360" w:lineRule="auto"/>
              <w:rPr>
                <w:rFonts w:eastAsia="Calibri" w:cs="Arial"/>
                <w:color w:val="000000" w:themeColor="text1"/>
                <w:sz w:val="22"/>
                <w:szCs w:val="22"/>
              </w:rPr>
            </w:pPr>
            <w:r w:rsidRPr="00CF31E0">
              <w:rPr>
                <w:rFonts w:eastAsia="Calibri" w:cs="Arial"/>
                <w:color w:val="000000" w:themeColor="text1"/>
                <w:sz w:val="22"/>
                <w:szCs w:val="22"/>
              </w:rPr>
              <w:t>Mean Square</w:t>
            </w:r>
          </w:p>
        </w:tc>
        <w:tc>
          <w:tcPr>
            <w:tcW w:w="862" w:type="dxa"/>
            <w:tcBorders>
              <w:top w:val="single" w:sz="4" w:space="0" w:color="000000"/>
              <w:bottom w:val="single" w:sz="4" w:space="0" w:color="000000"/>
            </w:tcBorders>
            <w:shd w:val="clear" w:color="auto" w:fill="FFFFFF"/>
            <w:tcMar>
              <w:top w:w="0" w:type="dxa"/>
              <w:left w:w="75" w:type="dxa"/>
              <w:bottom w:w="0" w:type="dxa"/>
              <w:right w:w="75" w:type="dxa"/>
            </w:tcMar>
            <w:vAlign w:val="bottom"/>
            <w:hideMark/>
          </w:tcPr>
          <w:p w14:paraId="6C51C2F7" w14:textId="77777777" w:rsidR="00ED36FE" w:rsidRPr="00CF31E0" w:rsidRDefault="00ED36FE" w:rsidP="000B4835">
            <w:pPr>
              <w:spacing w:before="120" w:after="120" w:line="360" w:lineRule="auto"/>
              <w:rPr>
                <w:rFonts w:eastAsia="Calibri" w:cs="Arial"/>
                <w:color w:val="000000" w:themeColor="text1"/>
                <w:sz w:val="22"/>
                <w:szCs w:val="22"/>
              </w:rPr>
            </w:pPr>
            <w:r w:rsidRPr="00CF31E0">
              <w:rPr>
                <w:rFonts w:eastAsia="Calibri" w:cs="Arial"/>
                <w:color w:val="000000" w:themeColor="text1"/>
                <w:sz w:val="22"/>
                <w:szCs w:val="22"/>
              </w:rPr>
              <w:t>Sig.</w:t>
            </w:r>
          </w:p>
        </w:tc>
      </w:tr>
      <w:tr w:rsidR="00ED36FE" w:rsidRPr="00CF31E0" w14:paraId="0EF3B093" w14:textId="77777777" w:rsidTr="00ED36FE">
        <w:trPr>
          <w:trHeight w:val="612"/>
        </w:trPr>
        <w:tc>
          <w:tcPr>
            <w:tcW w:w="2574" w:type="dxa"/>
            <w:tcBorders>
              <w:top w:val="single" w:sz="4" w:space="0" w:color="000000"/>
              <w:bottom w:val="nil"/>
            </w:tcBorders>
            <w:shd w:val="clear" w:color="auto" w:fill="FFFFFF"/>
            <w:tcMar>
              <w:top w:w="0" w:type="dxa"/>
              <w:left w:w="75" w:type="dxa"/>
              <w:bottom w:w="0" w:type="dxa"/>
              <w:right w:w="75" w:type="dxa"/>
            </w:tcMar>
            <w:hideMark/>
          </w:tcPr>
          <w:p w14:paraId="0E1F5840" w14:textId="77777777" w:rsidR="00ED36FE" w:rsidRPr="00CF31E0" w:rsidRDefault="00ED36FE" w:rsidP="000B4835">
            <w:pPr>
              <w:spacing w:before="120" w:after="120" w:line="360" w:lineRule="auto"/>
              <w:rPr>
                <w:rFonts w:eastAsia="Calibri" w:cs="Arial"/>
                <w:color w:val="000000" w:themeColor="text1"/>
                <w:sz w:val="22"/>
                <w:szCs w:val="22"/>
              </w:rPr>
            </w:pPr>
            <w:r w:rsidRPr="00CF31E0">
              <w:rPr>
                <w:rFonts w:eastAsia="Calibri" w:cs="Arial"/>
                <w:color w:val="000000" w:themeColor="text1"/>
                <w:sz w:val="22"/>
                <w:szCs w:val="22"/>
              </w:rPr>
              <w:t>Between Groups</w:t>
            </w:r>
          </w:p>
        </w:tc>
        <w:tc>
          <w:tcPr>
            <w:tcW w:w="2080" w:type="dxa"/>
            <w:tcBorders>
              <w:top w:val="single" w:sz="4" w:space="0" w:color="000000"/>
              <w:bottom w:val="nil"/>
            </w:tcBorders>
            <w:shd w:val="clear" w:color="auto" w:fill="FFFFFF"/>
            <w:tcMar>
              <w:top w:w="0" w:type="dxa"/>
              <w:left w:w="75" w:type="dxa"/>
              <w:bottom w:w="0" w:type="dxa"/>
              <w:right w:w="75" w:type="dxa"/>
            </w:tcMar>
            <w:vAlign w:val="center"/>
            <w:hideMark/>
          </w:tcPr>
          <w:p w14:paraId="6389371C" w14:textId="77777777" w:rsidR="00ED36FE" w:rsidRPr="00CF31E0" w:rsidRDefault="00ED36FE" w:rsidP="000B4835">
            <w:pPr>
              <w:spacing w:before="120" w:after="120" w:line="360" w:lineRule="auto"/>
              <w:rPr>
                <w:rFonts w:eastAsia="Calibri" w:cs="Arial"/>
                <w:color w:val="000000" w:themeColor="text1"/>
                <w:sz w:val="22"/>
                <w:szCs w:val="22"/>
              </w:rPr>
            </w:pPr>
            <w:r w:rsidRPr="00CF31E0">
              <w:rPr>
                <w:rFonts w:eastAsia="Calibri" w:cs="Arial"/>
                <w:color w:val="000000" w:themeColor="text1"/>
                <w:sz w:val="22"/>
                <w:szCs w:val="22"/>
              </w:rPr>
              <w:t>32.350</w:t>
            </w:r>
          </w:p>
        </w:tc>
        <w:tc>
          <w:tcPr>
            <w:tcW w:w="796" w:type="dxa"/>
            <w:tcBorders>
              <w:top w:val="single" w:sz="4" w:space="0" w:color="000000"/>
              <w:bottom w:val="nil"/>
            </w:tcBorders>
            <w:shd w:val="clear" w:color="auto" w:fill="FFFFFF"/>
            <w:tcMar>
              <w:top w:w="0" w:type="dxa"/>
              <w:left w:w="75" w:type="dxa"/>
              <w:bottom w:w="0" w:type="dxa"/>
              <w:right w:w="75" w:type="dxa"/>
            </w:tcMar>
            <w:vAlign w:val="center"/>
            <w:hideMark/>
          </w:tcPr>
          <w:p w14:paraId="22141F4A" w14:textId="77777777" w:rsidR="00ED36FE" w:rsidRPr="00CF31E0" w:rsidRDefault="00ED36FE" w:rsidP="000B4835">
            <w:pPr>
              <w:spacing w:before="120" w:after="120" w:line="360" w:lineRule="auto"/>
              <w:rPr>
                <w:rFonts w:eastAsia="Calibri" w:cs="Arial"/>
                <w:color w:val="000000" w:themeColor="text1"/>
                <w:sz w:val="22"/>
                <w:szCs w:val="22"/>
              </w:rPr>
            </w:pPr>
            <w:r w:rsidRPr="00CF31E0">
              <w:rPr>
                <w:rFonts w:eastAsia="Calibri" w:cs="Arial"/>
                <w:color w:val="000000" w:themeColor="text1"/>
                <w:sz w:val="22"/>
                <w:szCs w:val="22"/>
              </w:rPr>
              <w:t>4</w:t>
            </w:r>
          </w:p>
        </w:tc>
        <w:tc>
          <w:tcPr>
            <w:tcW w:w="1226" w:type="dxa"/>
            <w:tcBorders>
              <w:top w:val="single" w:sz="4" w:space="0" w:color="000000"/>
              <w:bottom w:val="nil"/>
            </w:tcBorders>
            <w:shd w:val="clear" w:color="auto" w:fill="FFFFFF"/>
            <w:tcMar>
              <w:top w:w="0" w:type="dxa"/>
              <w:left w:w="75" w:type="dxa"/>
              <w:bottom w:w="0" w:type="dxa"/>
              <w:right w:w="75" w:type="dxa"/>
            </w:tcMar>
            <w:vAlign w:val="center"/>
            <w:hideMark/>
          </w:tcPr>
          <w:p w14:paraId="790125DB" w14:textId="77777777" w:rsidR="00ED36FE" w:rsidRPr="00CF31E0" w:rsidRDefault="00ED36FE" w:rsidP="000B4835">
            <w:pPr>
              <w:spacing w:before="120" w:after="120" w:line="360" w:lineRule="auto"/>
              <w:rPr>
                <w:rFonts w:eastAsia="Calibri" w:cs="Arial"/>
                <w:color w:val="000000" w:themeColor="text1"/>
                <w:sz w:val="22"/>
                <w:szCs w:val="22"/>
              </w:rPr>
            </w:pPr>
            <w:r w:rsidRPr="00CF31E0">
              <w:rPr>
                <w:rFonts w:eastAsia="Calibri" w:cs="Arial"/>
                <w:color w:val="000000" w:themeColor="text1"/>
                <w:sz w:val="22"/>
                <w:szCs w:val="22"/>
              </w:rPr>
              <w:t>8.087</w:t>
            </w:r>
          </w:p>
        </w:tc>
        <w:tc>
          <w:tcPr>
            <w:tcW w:w="862" w:type="dxa"/>
            <w:tcBorders>
              <w:top w:val="single" w:sz="4" w:space="0" w:color="000000"/>
              <w:bottom w:val="nil"/>
            </w:tcBorders>
            <w:shd w:val="clear" w:color="auto" w:fill="FFFFFF"/>
            <w:tcMar>
              <w:top w:w="0" w:type="dxa"/>
              <w:left w:w="75" w:type="dxa"/>
              <w:bottom w:w="0" w:type="dxa"/>
              <w:right w:w="75" w:type="dxa"/>
            </w:tcMar>
            <w:vAlign w:val="center"/>
            <w:hideMark/>
          </w:tcPr>
          <w:p w14:paraId="3E1A386E" w14:textId="77777777" w:rsidR="00ED36FE" w:rsidRPr="00CF31E0" w:rsidRDefault="00ED36FE" w:rsidP="000B4835">
            <w:pPr>
              <w:spacing w:before="120" w:after="120" w:line="360" w:lineRule="auto"/>
              <w:rPr>
                <w:rFonts w:eastAsia="Calibri" w:cs="Arial"/>
                <w:color w:val="000000" w:themeColor="text1"/>
                <w:sz w:val="22"/>
                <w:szCs w:val="22"/>
              </w:rPr>
            </w:pPr>
            <w:r w:rsidRPr="00CF31E0">
              <w:rPr>
                <w:rFonts w:eastAsia="Calibri" w:cs="Arial"/>
                <w:color w:val="000000" w:themeColor="text1"/>
                <w:sz w:val="22"/>
                <w:szCs w:val="22"/>
              </w:rPr>
              <w:t>.000</w:t>
            </w:r>
          </w:p>
        </w:tc>
      </w:tr>
      <w:tr w:rsidR="00ED36FE" w:rsidRPr="00CF31E0" w14:paraId="5B53B060" w14:textId="77777777" w:rsidTr="00ED36FE">
        <w:trPr>
          <w:trHeight w:val="628"/>
        </w:trPr>
        <w:tc>
          <w:tcPr>
            <w:tcW w:w="2574" w:type="dxa"/>
            <w:tcBorders>
              <w:top w:val="nil"/>
            </w:tcBorders>
            <w:shd w:val="clear" w:color="auto" w:fill="FFFFFF"/>
            <w:tcMar>
              <w:top w:w="0" w:type="dxa"/>
              <w:left w:w="75" w:type="dxa"/>
              <w:bottom w:w="0" w:type="dxa"/>
              <w:right w:w="75" w:type="dxa"/>
            </w:tcMar>
            <w:hideMark/>
          </w:tcPr>
          <w:p w14:paraId="35C9BE5C" w14:textId="77777777" w:rsidR="00ED36FE" w:rsidRPr="00CF31E0" w:rsidRDefault="00ED36FE" w:rsidP="000B4835">
            <w:pPr>
              <w:spacing w:before="120" w:after="120" w:line="360" w:lineRule="auto"/>
              <w:rPr>
                <w:rFonts w:eastAsia="Calibri" w:cs="Arial"/>
                <w:color w:val="000000" w:themeColor="text1"/>
                <w:sz w:val="22"/>
                <w:szCs w:val="22"/>
              </w:rPr>
            </w:pPr>
            <w:r w:rsidRPr="00CF31E0">
              <w:rPr>
                <w:rFonts w:eastAsia="Calibri" w:cs="Arial"/>
                <w:color w:val="000000" w:themeColor="text1"/>
                <w:sz w:val="22"/>
                <w:szCs w:val="22"/>
              </w:rPr>
              <w:t>Within Groups</w:t>
            </w:r>
          </w:p>
        </w:tc>
        <w:tc>
          <w:tcPr>
            <w:tcW w:w="2080" w:type="dxa"/>
            <w:tcBorders>
              <w:top w:val="nil"/>
            </w:tcBorders>
            <w:shd w:val="clear" w:color="auto" w:fill="FFFFFF"/>
            <w:tcMar>
              <w:top w:w="0" w:type="dxa"/>
              <w:left w:w="75" w:type="dxa"/>
              <w:bottom w:w="0" w:type="dxa"/>
              <w:right w:w="75" w:type="dxa"/>
            </w:tcMar>
            <w:vAlign w:val="center"/>
            <w:hideMark/>
          </w:tcPr>
          <w:p w14:paraId="1798A9CA" w14:textId="77777777" w:rsidR="00ED36FE" w:rsidRPr="00CF31E0" w:rsidRDefault="00ED36FE" w:rsidP="000B4835">
            <w:pPr>
              <w:spacing w:before="120" w:after="120" w:line="360" w:lineRule="auto"/>
              <w:rPr>
                <w:rFonts w:eastAsia="Calibri" w:cs="Arial"/>
                <w:color w:val="000000" w:themeColor="text1"/>
                <w:sz w:val="22"/>
                <w:szCs w:val="22"/>
              </w:rPr>
            </w:pPr>
            <w:r w:rsidRPr="00CF31E0">
              <w:rPr>
                <w:rFonts w:eastAsia="Calibri" w:cs="Arial"/>
                <w:color w:val="000000" w:themeColor="text1"/>
                <w:sz w:val="22"/>
                <w:szCs w:val="22"/>
              </w:rPr>
              <w:t>894.146</w:t>
            </w:r>
          </w:p>
        </w:tc>
        <w:tc>
          <w:tcPr>
            <w:tcW w:w="796" w:type="dxa"/>
            <w:tcBorders>
              <w:top w:val="nil"/>
            </w:tcBorders>
            <w:shd w:val="clear" w:color="auto" w:fill="FFFFFF"/>
            <w:tcMar>
              <w:top w:w="0" w:type="dxa"/>
              <w:left w:w="75" w:type="dxa"/>
              <w:bottom w:w="0" w:type="dxa"/>
              <w:right w:w="75" w:type="dxa"/>
            </w:tcMar>
            <w:vAlign w:val="center"/>
            <w:hideMark/>
          </w:tcPr>
          <w:p w14:paraId="56B6601B" w14:textId="77777777" w:rsidR="00ED36FE" w:rsidRPr="00CF31E0" w:rsidRDefault="00ED36FE" w:rsidP="000B4835">
            <w:pPr>
              <w:spacing w:before="120" w:after="120" w:line="360" w:lineRule="auto"/>
              <w:rPr>
                <w:rFonts w:eastAsia="Calibri" w:cs="Arial"/>
                <w:color w:val="000000" w:themeColor="text1"/>
                <w:sz w:val="22"/>
                <w:szCs w:val="22"/>
              </w:rPr>
            </w:pPr>
            <w:r w:rsidRPr="00CF31E0">
              <w:rPr>
                <w:rFonts w:eastAsia="Calibri" w:cs="Arial"/>
                <w:color w:val="000000" w:themeColor="text1"/>
                <w:sz w:val="22"/>
                <w:szCs w:val="22"/>
              </w:rPr>
              <w:t>645</w:t>
            </w:r>
          </w:p>
        </w:tc>
        <w:tc>
          <w:tcPr>
            <w:tcW w:w="1226" w:type="dxa"/>
            <w:tcBorders>
              <w:top w:val="nil"/>
            </w:tcBorders>
            <w:shd w:val="clear" w:color="auto" w:fill="FFFFFF"/>
            <w:tcMar>
              <w:top w:w="0" w:type="dxa"/>
              <w:left w:w="75" w:type="dxa"/>
              <w:bottom w:w="0" w:type="dxa"/>
              <w:right w:w="75" w:type="dxa"/>
            </w:tcMar>
            <w:vAlign w:val="center"/>
            <w:hideMark/>
          </w:tcPr>
          <w:p w14:paraId="2D91CEB7" w14:textId="77777777" w:rsidR="00ED36FE" w:rsidRPr="00CF31E0" w:rsidRDefault="00ED36FE" w:rsidP="000B4835">
            <w:pPr>
              <w:spacing w:before="120" w:after="120" w:line="360" w:lineRule="auto"/>
              <w:rPr>
                <w:rFonts w:eastAsia="Calibri" w:cs="Arial"/>
                <w:color w:val="000000" w:themeColor="text1"/>
                <w:sz w:val="22"/>
                <w:szCs w:val="22"/>
              </w:rPr>
            </w:pPr>
            <w:r w:rsidRPr="00CF31E0">
              <w:rPr>
                <w:rFonts w:eastAsia="Calibri" w:cs="Arial"/>
                <w:color w:val="000000" w:themeColor="text1"/>
                <w:sz w:val="22"/>
                <w:szCs w:val="22"/>
              </w:rPr>
              <w:t>1.397</w:t>
            </w:r>
          </w:p>
        </w:tc>
        <w:tc>
          <w:tcPr>
            <w:tcW w:w="862" w:type="dxa"/>
            <w:tcBorders>
              <w:top w:val="nil"/>
            </w:tcBorders>
            <w:shd w:val="clear" w:color="auto" w:fill="FFFFFF"/>
            <w:tcMar>
              <w:top w:w="0" w:type="dxa"/>
              <w:left w:w="75" w:type="dxa"/>
              <w:bottom w:w="0" w:type="dxa"/>
              <w:right w:w="75" w:type="dxa"/>
            </w:tcMar>
            <w:vAlign w:val="center"/>
            <w:hideMark/>
          </w:tcPr>
          <w:p w14:paraId="105656FC" w14:textId="77777777" w:rsidR="00ED36FE" w:rsidRPr="00CF31E0" w:rsidRDefault="00ED36FE" w:rsidP="000B4835">
            <w:pPr>
              <w:spacing w:before="120" w:after="120" w:line="360" w:lineRule="auto"/>
              <w:rPr>
                <w:rFonts w:eastAsia="Calibri" w:cs="Arial"/>
                <w:color w:val="000000" w:themeColor="text1"/>
                <w:sz w:val="22"/>
                <w:szCs w:val="22"/>
              </w:rPr>
            </w:pPr>
          </w:p>
        </w:tc>
      </w:tr>
      <w:tr w:rsidR="00ED36FE" w:rsidRPr="00CF31E0" w14:paraId="77DEFFAA" w14:textId="77777777" w:rsidTr="00ED36FE">
        <w:trPr>
          <w:trHeight w:val="617"/>
        </w:trPr>
        <w:tc>
          <w:tcPr>
            <w:tcW w:w="2574" w:type="dxa"/>
            <w:shd w:val="clear" w:color="auto" w:fill="FFFFFF"/>
            <w:tcMar>
              <w:top w:w="0" w:type="dxa"/>
              <w:left w:w="75" w:type="dxa"/>
              <w:bottom w:w="0" w:type="dxa"/>
              <w:right w:w="75" w:type="dxa"/>
            </w:tcMar>
            <w:hideMark/>
          </w:tcPr>
          <w:p w14:paraId="34A240DF" w14:textId="77777777" w:rsidR="00ED36FE" w:rsidRPr="00CF31E0" w:rsidRDefault="00ED36FE" w:rsidP="000B4835">
            <w:pPr>
              <w:spacing w:before="120" w:after="120" w:line="360" w:lineRule="auto"/>
              <w:rPr>
                <w:rFonts w:eastAsia="Calibri" w:cs="Arial"/>
                <w:color w:val="000000" w:themeColor="text1"/>
                <w:sz w:val="22"/>
                <w:szCs w:val="22"/>
              </w:rPr>
            </w:pPr>
            <w:r w:rsidRPr="00CF31E0">
              <w:rPr>
                <w:rFonts w:eastAsia="Calibri" w:cs="Arial"/>
                <w:color w:val="000000" w:themeColor="text1"/>
                <w:sz w:val="22"/>
                <w:szCs w:val="22"/>
              </w:rPr>
              <w:t>Total</w:t>
            </w:r>
          </w:p>
        </w:tc>
        <w:tc>
          <w:tcPr>
            <w:tcW w:w="2080" w:type="dxa"/>
            <w:shd w:val="clear" w:color="auto" w:fill="FFFFFF"/>
            <w:tcMar>
              <w:top w:w="0" w:type="dxa"/>
              <w:left w:w="75" w:type="dxa"/>
              <w:bottom w:w="0" w:type="dxa"/>
              <w:right w:w="75" w:type="dxa"/>
            </w:tcMar>
            <w:vAlign w:val="center"/>
            <w:hideMark/>
          </w:tcPr>
          <w:p w14:paraId="4F9F775D" w14:textId="77777777" w:rsidR="00ED36FE" w:rsidRPr="00CF31E0" w:rsidRDefault="00ED36FE" w:rsidP="000B4835">
            <w:pPr>
              <w:spacing w:before="120" w:after="120" w:line="360" w:lineRule="auto"/>
              <w:rPr>
                <w:rFonts w:eastAsia="Calibri" w:cs="Arial"/>
                <w:color w:val="000000" w:themeColor="text1"/>
                <w:sz w:val="22"/>
                <w:szCs w:val="22"/>
              </w:rPr>
            </w:pPr>
            <w:r w:rsidRPr="00CF31E0">
              <w:rPr>
                <w:rFonts w:eastAsia="Calibri" w:cs="Arial"/>
                <w:color w:val="000000" w:themeColor="text1"/>
                <w:sz w:val="22"/>
                <w:szCs w:val="22"/>
              </w:rPr>
              <w:t>926.496</w:t>
            </w:r>
          </w:p>
        </w:tc>
        <w:tc>
          <w:tcPr>
            <w:tcW w:w="796" w:type="dxa"/>
            <w:shd w:val="clear" w:color="auto" w:fill="FFFFFF"/>
            <w:tcMar>
              <w:top w:w="0" w:type="dxa"/>
              <w:left w:w="75" w:type="dxa"/>
              <w:bottom w:w="0" w:type="dxa"/>
              <w:right w:w="75" w:type="dxa"/>
            </w:tcMar>
            <w:vAlign w:val="center"/>
            <w:hideMark/>
          </w:tcPr>
          <w:p w14:paraId="33B30826" w14:textId="77777777" w:rsidR="00ED36FE" w:rsidRPr="00CF31E0" w:rsidRDefault="00ED36FE" w:rsidP="000B4835">
            <w:pPr>
              <w:spacing w:before="120" w:after="120" w:line="360" w:lineRule="auto"/>
              <w:rPr>
                <w:rFonts w:eastAsia="Calibri" w:cs="Arial"/>
                <w:color w:val="000000" w:themeColor="text1"/>
                <w:sz w:val="22"/>
                <w:szCs w:val="22"/>
              </w:rPr>
            </w:pPr>
            <w:r w:rsidRPr="00CF31E0">
              <w:rPr>
                <w:rFonts w:eastAsia="Calibri" w:cs="Arial"/>
                <w:color w:val="000000" w:themeColor="text1"/>
                <w:sz w:val="22"/>
                <w:szCs w:val="22"/>
              </w:rPr>
              <w:t>649</w:t>
            </w:r>
          </w:p>
        </w:tc>
        <w:tc>
          <w:tcPr>
            <w:tcW w:w="1226" w:type="dxa"/>
            <w:shd w:val="clear" w:color="auto" w:fill="FFFFFF"/>
            <w:tcMar>
              <w:top w:w="0" w:type="dxa"/>
              <w:left w:w="75" w:type="dxa"/>
              <w:bottom w:w="0" w:type="dxa"/>
              <w:right w:w="75" w:type="dxa"/>
            </w:tcMar>
            <w:vAlign w:val="center"/>
            <w:hideMark/>
          </w:tcPr>
          <w:p w14:paraId="764C59B7" w14:textId="77777777" w:rsidR="00ED36FE" w:rsidRPr="00CF31E0" w:rsidRDefault="00ED36FE" w:rsidP="000B4835">
            <w:pPr>
              <w:spacing w:before="120" w:after="120" w:line="360" w:lineRule="auto"/>
              <w:rPr>
                <w:rFonts w:eastAsia="Calibri" w:cs="Arial"/>
                <w:color w:val="000000" w:themeColor="text1"/>
                <w:sz w:val="22"/>
                <w:szCs w:val="22"/>
              </w:rPr>
            </w:pPr>
          </w:p>
        </w:tc>
        <w:tc>
          <w:tcPr>
            <w:tcW w:w="862" w:type="dxa"/>
            <w:shd w:val="clear" w:color="auto" w:fill="FFFFFF"/>
            <w:tcMar>
              <w:top w:w="0" w:type="dxa"/>
              <w:left w:w="75" w:type="dxa"/>
              <w:bottom w:w="0" w:type="dxa"/>
              <w:right w:w="75" w:type="dxa"/>
            </w:tcMar>
            <w:vAlign w:val="center"/>
            <w:hideMark/>
          </w:tcPr>
          <w:p w14:paraId="1F2C0C42" w14:textId="77777777" w:rsidR="00ED36FE" w:rsidRPr="00CF31E0" w:rsidRDefault="00ED36FE" w:rsidP="000B4835">
            <w:pPr>
              <w:spacing w:before="120" w:after="120" w:line="360" w:lineRule="auto"/>
              <w:rPr>
                <w:rFonts w:eastAsia="Calibri" w:cs="Arial"/>
                <w:color w:val="000000" w:themeColor="text1"/>
                <w:sz w:val="22"/>
                <w:szCs w:val="22"/>
              </w:rPr>
            </w:pPr>
          </w:p>
        </w:tc>
      </w:tr>
    </w:tbl>
    <w:p w14:paraId="74E49BEC" w14:textId="4D8DA245" w:rsidR="00DC699C" w:rsidRDefault="000B4835" w:rsidP="00A84734">
      <w:pPr>
        <w:pStyle w:val="Tablecaption"/>
        <w:spacing w:after="400"/>
      </w:pPr>
      <w:bookmarkStart w:id="947" w:name="_Toc522527503"/>
      <w:bookmarkStart w:id="948" w:name="_Toc522628916"/>
      <w:bookmarkStart w:id="949" w:name="_Toc522629080"/>
      <w:bookmarkStart w:id="950" w:name="_Toc6473178"/>
      <w:r w:rsidRPr="00CF31E0">
        <w:t xml:space="preserve">Table </w:t>
      </w:r>
      <w:r w:rsidR="002E4549" w:rsidRPr="00CF31E0">
        <w:t>11</w:t>
      </w:r>
      <w:r w:rsidR="0016358E" w:rsidRPr="00CF31E0">
        <w:t>.</w:t>
      </w:r>
      <w:r w:rsidR="002E4549" w:rsidRPr="00CF31E0">
        <w:t>40</w:t>
      </w:r>
      <w:r w:rsidRPr="00CF31E0">
        <w:t>: ANOVA statistics for spouse’s social group demographic variable.</w:t>
      </w:r>
      <w:bookmarkEnd w:id="947"/>
      <w:bookmarkEnd w:id="948"/>
      <w:bookmarkEnd w:id="949"/>
      <w:bookmarkEnd w:id="950"/>
    </w:p>
    <w:p w14:paraId="3D4995EC" w14:textId="77777777" w:rsidR="00F50E67" w:rsidRDefault="00F50E67" w:rsidP="00A84734">
      <w:pPr>
        <w:pStyle w:val="Tablecaption"/>
        <w:spacing w:after="400"/>
      </w:pPr>
    </w:p>
    <w:p w14:paraId="4B095C8B" w14:textId="77777777" w:rsidR="00F50E67" w:rsidRPr="00CF31E0" w:rsidRDefault="00F50E67" w:rsidP="00A84734">
      <w:pPr>
        <w:pStyle w:val="Tablecaption"/>
        <w:spacing w:after="400"/>
      </w:pPr>
    </w:p>
    <w:tbl>
      <w:tblPr>
        <w:tblW w:w="7517" w:type="dxa"/>
        <w:tblInd w:w="-10" w:type="dxa"/>
        <w:tblBorders>
          <w:top w:val="single" w:sz="4" w:space="0" w:color="000000"/>
          <w:bottom w:val="single" w:sz="4" w:space="0" w:color="000000"/>
        </w:tblBorders>
        <w:tblLayout w:type="fixed"/>
        <w:tblCellMar>
          <w:left w:w="0" w:type="dxa"/>
          <w:right w:w="0" w:type="dxa"/>
        </w:tblCellMar>
        <w:tblLook w:val="0000" w:firstRow="0" w:lastRow="0" w:firstColumn="0" w:lastColumn="0" w:noHBand="0" w:noVBand="0"/>
      </w:tblPr>
      <w:tblGrid>
        <w:gridCol w:w="1571"/>
        <w:gridCol w:w="2829"/>
        <w:gridCol w:w="889"/>
        <w:gridCol w:w="1091"/>
        <w:gridCol w:w="1137"/>
      </w:tblGrid>
      <w:tr w:rsidR="007F558A" w:rsidRPr="00CF31E0" w14:paraId="5DBC4F4B" w14:textId="77777777" w:rsidTr="000B4835">
        <w:trPr>
          <w:cantSplit/>
        </w:trPr>
        <w:tc>
          <w:tcPr>
            <w:tcW w:w="1571" w:type="dxa"/>
            <w:tcBorders>
              <w:top w:val="single" w:sz="4" w:space="0" w:color="000000"/>
              <w:bottom w:val="single" w:sz="4" w:space="0" w:color="000000"/>
            </w:tcBorders>
          </w:tcPr>
          <w:p w14:paraId="0DF08DCA"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3718" w:type="dxa"/>
            <w:gridSpan w:val="2"/>
            <w:tcBorders>
              <w:top w:val="single" w:sz="4" w:space="0" w:color="000000"/>
              <w:bottom w:val="single" w:sz="4" w:space="0" w:color="000000"/>
            </w:tcBorders>
            <w:shd w:val="clear" w:color="auto" w:fill="FFFFFF"/>
            <w:vAlign w:val="bottom"/>
          </w:tcPr>
          <w:p w14:paraId="607C4770" w14:textId="5EDEBB71"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Spouse</w:t>
            </w:r>
            <w:r w:rsidR="00A1775C" w:rsidRPr="00CF31E0">
              <w:rPr>
                <w:rFonts w:eastAsia="Calibri" w:cs="Arial"/>
                <w:color w:val="000000" w:themeColor="text1"/>
                <w:sz w:val="22"/>
                <w:szCs w:val="22"/>
                <w:lang w:eastAsia="en-US"/>
              </w:rPr>
              <w:t>’s</w:t>
            </w:r>
            <w:r w:rsidRPr="00CF31E0">
              <w:rPr>
                <w:rFonts w:eastAsia="Calibri" w:cs="Arial"/>
                <w:color w:val="000000" w:themeColor="text1"/>
                <w:sz w:val="22"/>
                <w:szCs w:val="22"/>
                <w:lang w:eastAsia="en-US"/>
              </w:rPr>
              <w:t xml:space="preserve"> </w:t>
            </w:r>
            <w:r w:rsidR="0059652A" w:rsidRPr="00CF31E0">
              <w:rPr>
                <w:rFonts w:eastAsia="Calibri" w:cs="Arial"/>
                <w:color w:val="000000" w:themeColor="text1"/>
                <w:sz w:val="22"/>
                <w:szCs w:val="22"/>
                <w:lang w:eastAsia="en-US"/>
              </w:rPr>
              <w:t xml:space="preserve">social </w:t>
            </w:r>
            <w:r w:rsidRPr="00CF31E0">
              <w:rPr>
                <w:rFonts w:eastAsia="Calibri" w:cs="Arial"/>
                <w:color w:val="000000" w:themeColor="text1"/>
                <w:sz w:val="22"/>
                <w:szCs w:val="22"/>
                <w:lang w:eastAsia="en-US"/>
              </w:rPr>
              <w:t>group</w:t>
            </w:r>
          </w:p>
        </w:tc>
        <w:tc>
          <w:tcPr>
            <w:tcW w:w="1091" w:type="dxa"/>
            <w:tcBorders>
              <w:top w:val="single" w:sz="4" w:space="0" w:color="000000"/>
              <w:bottom w:val="single" w:sz="4" w:space="0" w:color="000000"/>
            </w:tcBorders>
            <w:shd w:val="clear" w:color="auto" w:fill="FFFFFF"/>
            <w:vAlign w:val="bottom"/>
          </w:tcPr>
          <w:p w14:paraId="1ACD715A"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Statistic</w:t>
            </w:r>
          </w:p>
        </w:tc>
        <w:tc>
          <w:tcPr>
            <w:tcW w:w="1137" w:type="dxa"/>
            <w:tcBorders>
              <w:top w:val="single" w:sz="4" w:space="0" w:color="000000"/>
              <w:bottom w:val="single" w:sz="4" w:space="0" w:color="000000"/>
            </w:tcBorders>
            <w:shd w:val="clear" w:color="auto" w:fill="FFFFFF"/>
            <w:vAlign w:val="bottom"/>
          </w:tcPr>
          <w:p w14:paraId="56823F1E"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Std. Error</w:t>
            </w:r>
          </w:p>
        </w:tc>
      </w:tr>
      <w:tr w:rsidR="007F558A" w:rsidRPr="00CF31E0" w14:paraId="65175604" w14:textId="77777777" w:rsidTr="000B4835">
        <w:trPr>
          <w:cantSplit/>
        </w:trPr>
        <w:tc>
          <w:tcPr>
            <w:tcW w:w="1571" w:type="dxa"/>
            <w:vMerge w:val="restart"/>
            <w:tcBorders>
              <w:top w:val="single" w:sz="4" w:space="0" w:color="000000"/>
              <w:bottom w:val="nil"/>
            </w:tcBorders>
            <w:shd w:val="clear" w:color="auto" w:fill="FFFFFF"/>
          </w:tcPr>
          <w:p w14:paraId="1C3AD195"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Traditional</w:t>
            </w:r>
          </w:p>
        </w:tc>
        <w:tc>
          <w:tcPr>
            <w:tcW w:w="2829" w:type="dxa"/>
            <w:tcBorders>
              <w:top w:val="single" w:sz="4" w:space="0" w:color="000000"/>
              <w:bottom w:val="nil"/>
            </w:tcBorders>
            <w:shd w:val="clear" w:color="auto" w:fill="FFFFFF"/>
          </w:tcPr>
          <w:p w14:paraId="1786F2BC" w14:textId="21E43739" w:rsidR="000B4835" w:rsidRPr="00CF31E0" w:rsidRDefault="0059652A"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UBH</w:t>
            </w:r>
            <w:r w:rsidR="000B4835" w:rsidRPr="00CF31E0">
              <w:rPr>
                <w:rFonts w:eastAsia="Calibri" w:cs="Arial"/>
                <w:color w:val="000000" w:themeColor="text1"/>
                <w:sz w:val="22"/>
                <w:szCs w:val="22"/>
                <w:lang w:eastAsia="en-US"/>
              </w:rPr>
              <w:t xml:space="preserve"> spouse group</w:t>
            </w:r>
          </w:p>
        </w:tc>
        <w:tc>
          <w:tcPr>
            <w:tcW w:w="889" w:type="dxa"/>
            <w:tcBorders>
              <w:top w:val="single" w:sz="4" w:space="0" w:color="000000"/>
              <w:bottom w:val="nil"/>
            </w:tcBorders>
            <w:shd w:val="clear" w:color="auto" w:fill="FFFFFF"/>
          </w:tcPr>
          <w:p w14:paraId="2F1AD337"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091" w:type="dxa"/>
            <w:tcBorders>
              <w:top w:val="single" w:sz="4" w:space="0" w:color="000000"/>
              <w:bottom w:val="nil"/>
            </w:tcBorders>
            <w:shd w:val="clear" w:color="auto" w:fill="FFFFFF"/>
            <w:vAlign w:val="center"/>
          </w:tcPr>
          <w:p w14:paraId="3325B24F"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2.9440</w:t>
            </w:r>
          </w:p>
        </w:tc>
        <w:tc>
          <w:tcPr>
            <w:tcW w:w="1137" w:type="dxa"/>
            <w:tcBorders>
              <w:top w:val="single" w:sz="4" w:space="0" w:color="000000"/>
              <w:bottom w:val="nil"/>
            </w:tcBorders>
            <w:shd w:val="clear" w:color="auto" w:fill="FFFFFF"/>
            <w:vAlign w:val="center"/>
          </w:tcPr>
          <w:p w14:paraId="4836458F"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.07609</w:t>
            </w:r>
          </w:p>
        </w:tc>
      </w:tr>
      <w:tr w:rsidR="007F558A" w:rsidRPr="00CF31E0" w14:paraId="52310E42" w14:textId="77777777" w:rsidTr="000B4835">
        <w:trPr>
          <w:cantSplit/>
        </w:trPr>
        <w:tc>
          <w:tcPr>
            <w:tcW w:w="1571" w:type="dxa"/>
            <w:vMerge/>
            <w:tcBorders>
              <w:top w:val="nil"/>
            </w:tcBorders>
            <w:shd w:val="clear" w:color="auto" w:fill="FFFFFF"/>
          </w:tcPr>
          <w:p w14:paraId="4B4BB3D7"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2829" w:type="dxa"/>
            <w:tcBorders>
              <w:top w:val="nil"/>
            </w:tcBorders>
            <w:shd w:val="clear" w:color="auto" w:fill="FFFFFF"/>
          </w:tcPr>
          <w:p w14:paraId="323F1786" w14:textId="75170CE7" w:rsidR="000B4835" w:rsidRPr="00CF31E0" w:rsidRDefault="0059652A"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HH</w:t>
            </w:r>
            <w:r w:rsidR="000B4835" w:rsidRPr="00CF31E0">
              <w:rPr>
                <w:rFonts w:eastAsia="Calibri" w:cs="Arial"/>
                <w:color w:val="000000" w:themeColor="text1"/>
                <w:sz w:val="22"/>
                <w:szCs w:val="22"/>
                <w:lang w:eastAsia="en-US"/>
              </w:rPr>
              <w:t xml:space="preserve"> spouse group</w:t>
            </w:r>
          </w:p>
        </w:tc>
        <w:tc>
          <w:tcPr>
            <w:tcW w:w="889" w:type="dxa"/>
            <w:tcBorders>
              <w:top w:val="nil"/>
            </w:tcBorders>
            <w:shd w:val="clear" w:color="auto" w:fill="FFFFFF"/>
          </w:tcPr>
          <w:p w14:paraId="3976300B"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091" w:type="dxa"/>
            <w:tcBorders>
              <w:top w:val="nil"/>
            </w:tcBorders>
            <w:shd w:val="clear" w:color="auto" w:fill="FFFFFF"/>
            <w:vAlign w:val="center"/>
          </w:tcPr>
          <w:p w14:paraId="061DF0F7"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3.4422</w:t>
            </w:r>
          </w:p>
        </w:tc>
        <w:tc>
          <w:tcPr>
            <w:tcW w:w="1137" w:type="dxa"/>
            <w:tcBorders>
              <w:top w:val="nil"/>
            </w:tcBorders>
            <w:shd w:val="clear" w:color="auto" w:fill="FFFFFF"/>
            <w:vAlign w:val="center"/>
          </w:tcPr>
          <w:p w14:paraId="45B1D479"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.07295</w:t>
            </w:r>
          </w:p>
        </w:tc>
      </w:tr>
    </w:tbl>
    <w:p w14:paraId="3EFCCDD2" w14:textId="7FB78618" w:rsidR="000B4835" w:rsidRPr="00CF31E0" w:rsidRDefault="000B4835" w:rsidP="002E4549">
      <w:pPr>
        <w:pStyle w:val="Tablecaption"/>
        <w:rPr>
          <w:lang w:eastAsia="en-US"/>
        </w:rPr>
      </w:pPr>
      <w:bookmarkStart w:id="951" w:name="_Toc522527504"/>
      <w:bookmarkStart w:id="952" w:name="_Toc522628917"/>
      <w:bookmarkStart w:id="953" w:name="_Toc522629081"/>
      <w:bookmarkStart w:id="954" w:name="_Toc6473179"/>
      <w:r w:rsidRPr="00CF31E0">
        <w:rPr>
          <w:lang w:eastAsia="en-US"/>
        </w:rPr>
        <w:t xml:space="preserve">Table </w:t>
      </w:r>
      <w:r w:rsidR="002E4549" w:rsidRPr="00CF31E0">
        <w:rPr>
          <w:lang w:eastAsia="en-US"/>
        </w:rPr>
        <w:t>11</w:t>
      </w:r>
      <w:r w:rsidR="0016358E" w:rsidRPr="00CF31E0">
        <w:rPr>
          <w:lang w:eastAsia="en-US"/>
        </w:rPr>
        <w:t>.</w:t>
      </w:r>
      <w:r w:rsidR="002E4549" w:rsidRPr="00CF31E0">
        <w:rPr>
          <w:lang w:eastAsia="en-US"/>
        </w:rPr>
        <w:t>41</w:t>
      </w:r>
      <w:r w:rsidRPr="00CF31E0">
        <w:rPr>
          <w:lang w:eastAsia="en-US"/>
        </w:rPr>
        <w:t>: Descriptive statistics</w:t>
      </w:r>
      <w:r w:rsidR="007E19E4">
        <w:rPr>
          <w:lang w:eastAsia="en-US"/>
        </w:rPr>
        <w:t xml:space="preserve"> for spouse’s social group demographic variable</w:t>
      </w:r>
      <w:r w:rsidR="0016358E" w:rsidRPr="00CF31E0">
        <w:rPr>
          <w:lang w:eastAsia="en-US"/>
        </w:rPr>
        <w:t>.</w:t>
      </w:r>
      <w:bookmarkEnd w:id="951"/>
      <w:bookmarkEnd w:id="952"/>
      <w:bookmarkEnd w:id="953"/>
      <w:bookmarkEnd w:id="954"/>
    </w:p>
    <w:p w14:paraId="1AA611B9" w14:textId="0823EC0A" w:rsidR="000B4835" w:rsidRPr="00CF31E0" w:rsidRDefault="00B633C7" w:rsidP="00603CB7">
      <w:pPr>
        <w:pStyle w:val="Paragraph"/>
        <w:rPr>
          <w:lang w:val="en-US" w:eastAsia="en-US"/>
        </w:rPr>
      </w:pPr>
      <w:r>
        <w:rPr>
          <w:lang w:val="en-US" w:eastAsia="en-US"/>
        </w:rPr>
        <w:t>Table 11.40 shows t</w:t>
      </w:r>
      <w:r w:rsidR="000B4835" w:rsidRPr="00CF31E0">
        <w:rPr>
          <w:lang w:val="en-US" w:eastAsia="en-US"/>
        </w:rPr>
        <w:t>he spouse’s social group indicated yet another significant difference in the results, with a significant p value p&lt;.001. The difference found was between the mean score</w:t>
      </w:r>
      <w:r w:rsidR="0059652A" w:rsidRPr="00CF31E0">
        <w:rPr>
          <w:lang w:val="en-US" w:eastAsia="en-US"/>
        </w:rPr>
        <w:t>s of the two groups, the UBH and HH</w:t>
      </w:r>
      <w:r w:rsidR="000B4835" w:rsidRPr="00CF31E0">
        <w:rPr>
          <w:lang w:val="en-US" w:eastAsia="en-US"/>
        </w:rPr>
        <w:t xml:space="preserve"> groups. In Table </w:t>
      </w:r>
      <w:r w:rsidR="002E4549" w:rsidRPr="00CF31E0">
        <w:rPr>
          <w:lang w:val="en-US" w:eastAsia="en-US"/>
        </w:rPr>
        <w:t>11</w:t>
      </w:r>
      <w:r w:rsidR="0016358E" w:rsidRPr="00CF31E0">
        <w:rPr>
          <w:lang w:val="en-US" w:eastAsia="en-US"/>
        </w:rPr>
        <w:t>.</w:t>
      </w:r>
      <w:r w:rsidR="002E4549" w:rsidRPr="00CF31E0">
        <w:rPr>
          <w:lang w:val="en-US" w:eastAsia="en-US"/>
        </w:rPr>
        <w:t>41</w:t>
      </w:r>
      <w:r w:rsidR="000B4835" w:rsidRPr="00CF31E0">
        <w:rPr>
          <w:lang w:val="en-US" w:eastAsia="en-US"/>
        </w:rPr>
        <w:t>, a comparison between the above two mean scores indicates that those partic</w:t>
      </w:r>
      <w:r w:rsidR="0059652A" w:rsidRPr="00CF31E0">
        <w:rPr>
          <w:lang w:val="en-US" w:eastAsia="en-US"/>
        </w:rPr>
        <w:t>ipants whose spouse is of HH</w:t>
      </w:r>
      <w:r w:rsidR="000B4835" w:rsidRPr="00CF31E0">
        <w:rPr>
          <w:lang w:val="en-US" w:eastAsia="en-US"/>
        </w:rPr>
        <w:t xml:space="preserve"> social origin perceived the voice as a more </w:t>
      </w:r>
      <w:r w:rsidR="000B4835" w:rsidRPr="00CF31E0">
        <w:rPr>
          <w:i/>
          <w:iCs/>
          <w:lang w:val="en-US" w:eastAsia="en-US"/>
        </w:rPr>
        <w:t xml:space="preserve">traditional </w:t>
      </w:r>
      <w:r w:rsidR="000B4835" w:rsidRPr="00CF31E0">
        <w:rPr>
          <w:lang w:val="en-US" w:eastAsia="en-US"/>
        </w:rPr>
        <w:t>one. In contrast, tho</w:t>
      </w:r>
      <w:r w:rsidR="0059652A" w:rsidRPr="00CF31E0">
        <w:rPr>
          <w:lang w:val="en-US" w:eastAsia="en-US"/>
        </w:rPr>
        <w:t>se whose spouse was of a UBH</w:t>
      </w:r>
      <w:r w:rsidR="000B4835" w:rsidRPr="00CF31E0">
        <w:rPr>
          <w:lang w:val="en-US" w:eastAsia="en-US"/>
        </w:rPr>
        <w:t xml:space="preserve"> origin perceived it as less </w:t>
      </w:r>
      <w:r w:rsidR="000B4835" w:rsidRPr="00CF31E0">
        <w:rPr>
          <w:i/>
          <w:iCs/>
          <w:lang w:val="en-US" w:eastAsia="en-US"/>
        </w:rPr>
        <w:t>traditional</w:t>
      </w:r>
      <w:r w:rsidR="000B4835" w:rsidRPr="00CF31E0">
        <w:rPr>
          <w:lang w:val="en-US" w:eastAsia="en-US"/>
        </w:rPr>
        <w:t>.</w:t>
      </w:r>
    </w:p>
    <w:p w14:paraId="2E5305CF" w14:textId="6FCCC5A5" w:rsidR="000B4835" w:rsidRPr="00CF31E0" w:rsidRDefault="002E4549" w:rsidP="002E4549">
      <w:pPr>
        <w:pStyle w:val="Chead"/>
      </w:pPr>
      <w:bookmarkStart w:id="955" w:name="_Toc6472798"/>
      <w:r w:rsidRPr="00CF31E0">
        <w:t>11</w:t>
      </w:r>
      <w:r w:rsidR="0016358E" w:rsidRPr="00CF31E0">
        <w:t>.3.3.3</w:t>
      </w:r>
      <w:r w:rsidR="00AA0DF3" w:rsidRPr="00CF31E0">
        <w:t>.</w:t>
      </w:r>
      <w:r w:rsidR="00AA0DF3" w:rsidRPr="00CF31E0">
        <w:tab/>
      </w:r>
      <w:r w:rsidR="000B4835" w:rsidRPr="00CF31E0">
        <w:t>Modern</w:t>
      </w:r>
      <w:r w:rsidR="000B4835" w:rsidRPr="00CF31E0">
        <w:rPr>
          <w:i/>
          <w:iCs/>
        </w:rPr>
        <w:t xml:space="preserve"> </w:t>
      </w:r>
      <w:r w:rsidR="000B4835" w:rsidRPr="00CF31E0">
        <w:t>scale</w:t>
      </w:r>
      <w:bookmarkEnd w:id="955"/>
      <w:r w:rsidR="000B4835" w:rsidRPr="00CF31E0">
        <w:t xml:space="preserve"> </w:t>
      </w:r>
    </w:p>
    <w:p w14:paraId="2CFD9A42" w14:textId="52807844" w:rsidR="00716AD5" w:rsidRPr="00CF31E0" w:rsidRDefault="000B4835" w:rsidP="00603CB7">
      <w:pPr>
        <w:pStyle w:val="Paragraph"/>
        <w:rPr>
          <w:rFonts w:cs="Arial"/>
          <w:lang w:val="en-US" w:eastAsia="en-US"/>
        </w:rPr>
      </w:pPr>
      <w:r w:rsidRPr="00CF31E0">
        <w:rPr>
          <w:lang w:eastAsia="en-US"/>
        </w:rPr>
        <w:t xml:space="preserve">Results for the </w:t>
      </w:r>
      <w:r w:rsidRPr="00CF31E0">
        <w:rPr>
          <w:i/>
          <w:iCs/>
          <w:lang w:eastAsia="en-US"/>
        </w:rPr>
        <w:t>modern</w:t>
      </w:r>
      <w:r w:rsidRPr="00CF31E0">
        <w:rPr>
          <w:lang w:eastAsia="en-US"/>
        </w:rPr>
        <w:t xml:space="preserve"> scale revealed that place of birth, social group, mother’s social group and spouse’s social group affected the scale scores. </w:t>
      </w:r>
      <w:r w:rsidR="00716AD5" w:rsidRPr="00CF31E0">
        <w:rPr>
          <w:rFonts w:cs="Arial"/>
          <w:lang w:val="en-US" w:eastAsia="en-US"/>
        </w:rPr>
        <w:t xml:space="preserve">See </w:t>
      </w:r>
      <w:r w:rsidR="00A1775C" w:rsidRPr="00CF31E0">
        <w:rPr>
          <w:rFonts w:cs="Arial"/>
          <w:lang w:val="en-US" w:eastAsia="en-US"/>
        </w:rPr>
        <w:t xml:space="preserve">Table </w:t>
      </w:r>
      <w:r w:rsidR="002E4549" w:rsidRPr="00CF31E0">
        <w:rPr>
          <w:rFonts w:cs="Arial"/>
          <w:lang w:val="en-US" w:eastAsia="en-US"/>
        </w:rPr>
        <w:t>11</w:t>
      </w:r>
      <w:r w:rsidR="00716AD5" w:rsidRPr="00CF31E0">
        <w:rPr>
          <w:rFonts w:cs="Arial"/>
          <w:lang w:val="en-US" w:eastAsia="en-US"/>
        </w:rPr>
        <w:t>.</w:t>
      </w:r>
      <w:r w:rsidR="002E4549" w:rsidRPr="00CF31E0">
        <w:rPr>
          <w:rFonts w:cs="Arial"/>
          <w:lang w:val="en-US" w:eastAsia="en-US"/>
        </w:rPr>
        <w:t xml:space="preserve">42 </w:t>
      </w:r>
      <w:r w:rsidR="00716AD5" w:rsidRPr="00CF31E0">
        <w:rPr>
          <w:rFonts w:cs="Arial"/>
          <w:lang w:val="en-US" w:eastAsia="en-US"/>
        </w:rPr>
        <w:t xml:space="preserve">and </w:t>
      </w:r>
      <w:r w:rsidR="002E4549" w:rsidRPr="00CF31E0">
        <w:rPr>
          <w:rFonts w:cs="Arial"/>
          <w:lang w:val="en-US" w:eastAsia="en-US"/>
        </w:rPr>
        <w:t>11</w:t>
      </w:r>
      <w:r w:rsidR="00716AD5" w:rsidRPr="00CF31E0">
        <w:rPr>
          <w:rFonts w:cs="Arial"/>
          <w:lang w:val="en-US" w:eastAsia="en-US"/>
        </w:rPr>
        <w:t>.</w:t>
      </w:r>
      <w:r w:rsidR="002E4549" w:rsidRPr="00CF31E0">
        <w:rPr>
          <w:rFonts w:cs="Arial"/>
          <w:lang w:val="en-US" w:eastAsia="en-US"/>
        </w:rPr>
        <w:t>43</w:t>
      </w:r>
      <w:r w:rsidR="00716AD5" w:rsidRPr="00CF31E0">
        <w:rPr>
          <w:rFonts w:cs="Arial"/>
          <w:lang w:val="en-US" w:eastAsia="en-US"/>
        </w:rPr>
        <w:t xml:space="preserve"> for place of birth results </w:t>
      </w:r>
      <w:r w:rsidR="00A1775C" w:rsidRPr="00CF31E0">
        <w:rPr>
          <w:rFonts w:cs="Arial"/>
          <w:lang w:val="en-US" w:eastAsia="en-US"/>
        </w:rPr>
        <w:t>from</w:t>
      </w:r>
      <w:r w:rsidR="00716AD5" w:rsidRPr="00CF31E0">
        <w:rPr>
          <w:rFonts w:cs="Arial"/>
          <w:lang w:val="en-US" w:eastAsia="en-US"/>
        </w:rPr>
        <w:t xml:space="preserve"> the data.</w:t>
      </w:r>
    </w:p>
    <w:tbl>
      <w:tblPr>
        <w:tblW w:w="7241" w:type="dxa"/>
        <w:tblInd w:w="-20" w:type="dxa"/>
        <w:tblBorders>
          <w:top w:val="single" w:sz="4" w:space="0" w:color="000000"/>
          <w:bottom w:val="single" w:sz="4" w:space="0" w:color="000000"/>
        </w:tblBorders>
        <w:tblLayout w:type="fixed"/>
        <w:tblCellMar>
          <w:left w:w="0" w:type="dxa"/>
          <w:right w:w="0" w:type="dxa"/>
        </w:tblCellMar>
        <w:tblLook w:val="0000" w:firstRow="0" w:lastRow="0" w:firstColumn="0" w:lastColumn="0" w:noHBand="0" w:noVBand="0"/>
      </w:tblPr>
      <w:tblGrid>
        <w:gridCol w:w="1977"/>
        <w:gridCol w:w="1919"/>
        <w:gridCol w:w="933"/>
        <w:gridCol w:w="1646"/>
        <w:gridCol w:w="766"/>
      </w:tblGrid>
      <w:tr w:rsidR="00ED36FE" w:rsidRPr="00CF31E0" w14:paraId="3F3973B6" w14:textId="77777777" w:rsidTr="00ED36FE">
        <w:trPr>
          <w:cantSplit/>
          <w:trHeight w:val="664"/>
        </w:trPr>
        <w:tc>
          <w:tcPr>
            <w:tcW w:w="1977" w:type="dxa"/>
            <w:tcBorders>
              <w:top w:val="single" w:sz="4" w:space="0" w:color="000000"/>
              <w:bottom w:val="single" w:sz="4" w:space="0" w:color="000000"/>
            </w:tcBorders>
            <w:shd w:val="clear" w:color="auto" w:fill="FFFFFF"/>
            <w:vAlign w:val="bottom"/>
          </w:tcPr>
          <w:p w14:paraId="5F01CB10" w14:textId="77777777" w:rsidR="00ED36FE" w:rsidRPr="00CF31E0" w:rsidRDefault="00ED36FE"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 xml:space="preserve">Place of birth </w:t>
            </w:r>
          </w:p>
        </w:tc>
        <w:tc>
          <w:tcPr>
            <w:tcW w:w="1919" w:type="dxa"/>
            <w:tcBorders>
              <w:top w:val="single" w:sz="4" w:space="0" w:color="000000"/>
              <w:bottom w:val="single" w:sz="4" w:space="0" w:color="000000"/>
            </w:tcBorders>
            <w:shd w:val="clear" w:color="auto" w:fill="FFFFFF"/>
            <w:vAlign w:val="bottom"/>
          </w:tcPr>
          <w:p w14:paraId="62D800F9"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933" w:type="dxa"/>
            <w:tcBorders>
              <w:top w:val="single" w:sz="4" w:space="0" w:color="000000"/>
              <w:bottom w:val="single" w:sz="4" w:space="0" w:color="000000"/>
            </w:tcBorders>
            <w:shd w:val="clear" w:color="auto" w:fill="FFFFFF"/>
            <w:vAlign w:val="bottom"/>
          </w:tcPr>
          <w:p w14:paraId="13AA3A55"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646" w:type="dxa"/>
            <w:tcBorders>
              <w:top w:val="single" w:sz="4" w:space="0" w:color="000000"/>
              <w:bottom w:val="single" w:sz="4" w:space="0" w:color="000000"/>
            </w:tcBorders>
            <w:shd w:val="clear" w:color="auto" w:fill="FFFFFF"/>
            <w:vAlign w:val="bottom"/>
          </w:tcPr>
          <w:p w14:paraId="048C9B9C"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766" w:type="dxa"/>
            <w:tcBorders>
              <w:top w:val="single" w:sz="4" w:space="0" w:color="000000"/>
              <w:bottom w:val="single" w:sz="4" w:space="0" w:color="000000"/>
            </w:tcBorders>
            <w:shd w:val="clear" w:color="auto" w:fill="FFFFFF"/>
            <w:vAlign w:val="bottom"/>
          </w:tcPr>
          <w:p w14:paraId="57FA7A7A"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ED36FE" w:rsidRPr="00CF31E0" w14:paraId="27A14E3B" w14:textId="77777777" w:rsidTr="00ED36FE">
        <w:trPr>
          <w:cantSplit/>
          <w:trHeight w:val="654"/>
        </w:trPr>
        <w:tc>
          <w:tcPr>
            <w:tcW w:w="1977" w:type="dxa"/>
            <w:tcBorders>
              <w:top w:val="single" w:sz="4" w:space="0" w:color="000000"/>
              <w:bottom w:val="nil"/>
            </w:tcBorders>
            <w:shd w:val="clear" w:color="auto" w:fill="FFFFFF"/>
          </w:tcPr>
          <w:p w14:paraId="1A18DB58"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919" w:type="dxa"/>
            <w:tcBorders>
              <w:top w:val="single" w:sz="4" w:space="0" w:color="000000"/>
              <w:bottom w:val="nil"/>
            </w:tcBorders>
            <w:shd w:val="clear" w:color="auto" w:fill="FFFFFF"/>
            <w:vAlign w:val="center"/>
          </w:tcPr>
          <w:p w14:paraId="46A38AB9"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11.556</w:t>
            </w:r>
          </w:p>
        </w:tc>
        <w:tc>
          <w:tcPr>
            <w:tcW w:w="933" w:type="dxa"/>
            <w:tcBorders>
              <w:top w:val="single" w:sz="4" w:space="0" w:color="000000"/>
              <w:bottom w:val="nil"/>
            </w:tcBorders>
            <w:shd w:val="clear" w:color="auto" w:fill="FFFFFF"/>
            <w:vAlign w:val="center"/>
          </w:tcPr>
          <w:p w14:paraId="0B0DA730"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w:t>
            </w:r>
          </w:p>
        </w:tc>
        <w:tc>
          <w:tcPr>
            <w:tcW w:w="1646" w:type="dxa"/>
            <w:tcBorders>
              <w:top w:val="single" w:sz="4" w:space="0" w:color="000000"/>
              <w:bottom w:val="nil"/>
            </w:tcBorders>
            <w:shd w:val="clear" w:color="auto" w:fill="FFFFFF"/>
            <w:vAlign w:val="center"/>
          </w:tcPr>
          <w:p w14:paraId="25D396F5"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11.556</w:t>
            </w:r>
          </w:p>
        </w:tc>
        <w:tc>
          <w:tcPr>
            <w:tcW w:w="766" w:type="dxa"/>
            <w:tcBorders>
              <w:top w:val="single" w:sz="4" w:space="0" w:color="000000"/>
              <w:bottom w:val="nil"/>
            </w:tcBorders>
            <w:shd w:val="clear" w:color="auto" w:fill="FFFFFF"/>
            <w:vAlign w:val="center"/>
          </w:tcPr>
          <w:p w14:paraId="29A12F53"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.004</w:t>
            </w:r>
          </w:p>
        </w:tc>
      </w:tr>
      <w:tr w:rsidR="00ED36FE" w:rsidRPr="00CF31E0" w14:paraId="4FCF1E64" w14:textId="77777777" w:rsidTr="00ED36FE">
        <w:trPr>
          <w:cantSplit/>
          <w:trHeight w:val="664"/>
        </w:trPr>
        <w:tc>
          <w:tcPr>
            <w:tcW w:w="1977" w:type="dxa"/>
            <w:tcBorders>
              <w:top w:val="nil"/>
            </w:tcBorders>
            <w:shd w:val="clear" w:color="auto" w:fill="FFFFFF"/>
          </w:tcPr>
          <w:p w14:paraId="7243076B"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919" w:type="dxa"/>
            <w:tcBorders>
              <w:top w:val="nil"/>
            </w:tcBorders>
            <w:shd w:val="clear" w:color="auto" w:fill="FFFFFF"/>
            <w:vAlign w:val="center"/>
          </w:tcPr>
          <w:p w14:paraId="108099D9"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903.464</w:t>
            </w:r>
          </w:p>
        </w:tc>
        <w:tc>
          <w:tcPr>
            <w:tcW w:w="933" w:type="dxa"/>
            <w:tcBorders>
              <w:top w:val="nil"/>
            </w:tcBorders>
            <w:shd w:val="clear" w:color="auto" w:fill="FFFFFF"/>
            <w:vAlign w:val="center"/>
          </w:tcPr>
          <w:p w14:paraId="309AC49E"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648</w:t>
            </w:r>
          </w:p>
        </w:tc>
        <w:tc>
          <w:tcPr>
            <w:tcW w:w="1646" w:type="dxa"/>
            <w:tcBorders>
              <w:top w:val="nil"/>
            </w:tcBorders>
            <w:shd w:val="clear" w:color="auto" w:fill="FFFFFF"/>
            <w:vAlign w:val="center"/>
          </w:tcPr>
          <w:p w14:paraId="3C75B060"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1.396</w:t>
            </w:r>
          </w:p>
        </w:tc>
        <w:tc>
          <w:tcPr>
            <w:tcW w:w="766" w:type="dxa"/>
            <w:tcBorders>
              <w:top w:val="nil"/>
            </w:tcBorders>
            <w:shd w:val="clear" w:color="auto" w:fill="FFFFFF"/>
            <w:vAlign w:val="center"/>
          </w:tcPr>
          <w:p w14:paraId="27219EA0" w14:textId="77777777" w:rsidR="00ED36FE" w:rsidRPr="00CF31E0" w:rsidRDefault="00ED36FE" w:rsidP="000B4835">
            <w:pPr>
              <w:spacing w:before="120" w:after="120" w:line="360" w:lineRule="auto"/>
              <w:rPr>
                <w:rFonts w:eastAsia="Calibri"/>
                <w:color w:val="000000" w:themeColor="text1"/>
                <w:sz w:val="22"/>
                <w:szCs w:val="22"/>
                <w:lang w:eastAsia="en-US"/>
              </w:rPr>
            </w:pPr>
          </w:p>
        </w:tc>
      </w:tr>
      <w:tr w:rsidR="00ED36FE" w:rsidRPr="00CF31E0" w14:paraId="7CCA9409" w14:textId="77777777" w:rsidTr="00ED36FE">
        <w:trPr>
          <w:cantSplit/>
          <w:trHeight w:val="675"/>
        </w:trPr>
        <w:tc>
          <w:tcPr>
            <w:tcW w:w="1977" w:type="dxa"/>
            <w:shd w:val="clear" w:color="auto" w:fill="FFFFFF"/>
          </w:tcPr>
          <w:p w14:paraId="57CDB9FE"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919" w:type="dxa"/>
            <w:shd w:val="clear" w:color="auto" w:fill="FFFFFF"/>
            <w:vAlign w:val="center"/>
          </w:tcPr>
          <w:p w14:paraId="0A65330C"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915.020</w:t>
            </w:r>
          </w:p>
        </w:tc>
        <w:tc>
          <w:tcPr>
            <w:tcW w:w="933" w:type="dxa"/>
            <w:shd w:val="clear" w:color="auto" w:fill="FFFFFF"/>
            <w:vAlign w:val="center"/>
          </w:tcPr>
          <w:p w14:paraId="67640ACE"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649</w:t>
            </w:r>
          </w:p>
        </w:tc>
        <w:tc>
          <w:tcPr>
            <w:tcW w:w="1646" w:type="dxa"/>
            <w:shd w:val="clear" w:color="auto" w:fill="FFFFFF"/>
            <w:vAlign w:val="center"/>
          </w:tcPr>
          <w:p w14:paraId="03FF6A90" w14:textId="77777777" w:rsidR="00ED36FE" w:rsidRPr="00CF31E0" w:rsidRDefault="00ED36FE" w:rsidP="000B4835">
            <w:pPr>
              <w:spacing w:before="120" w:after="120" w:line="360" w:lineRule="auto"/>
              <w:rPr>
                <w:rFonts w:eastAsia="Calibri"/>
                <w:color w:val="000000" w:themeColor="text1"/>
                <w:sz w:val="22"/>
                <w:szCs w:val="22"/>
                <w:lang w:eastAsia="en-US"/>
              </w:rPr>
            </w:pPr>
          </w:p>
        </w:tc>
        <w:tc>
          <w:tcPr>
            <w:tcW w:w="766" w:type="dxa"/>
            <w:shd w:val="clear" w:color="auto" w:fill="FFFFFF"/>
            <w:vAlign w:val="center"/>
          </w:tcPr>
          <w:p w14:paraId="59A72886" w14:textId="77777777" w:rsidR="00ED36FE" w:rsidRPr="00CF31E0" w:rsidRDefault="00ED36FE" w:rsidP="000B4835">
            <w:pPr>
              <w:spacing w:before="120" w:after="120" w:line="360" w:lineRule="auto"/>
              <w:rPr>
                <w:rFonts w:eastAsia="Calibri"/>
                <w:color w:val="000000" w:themeColor="text1"/>
                <w:sz w:val="22"/>
                <w:szCs w:val="22"/>
                <w:lang w:eastAsia="en-US"/>
              </w:rPr>
            </w:pPr>
          </w:p>
        </w:tc>
      </w:tr>
    </w:tbl>
    <w:p w14:paraId="029E2B0A" w14:textId="0569E08F" w:rsidR="000B4835" w:rsidRPr="00CF31E0" w:rsidRDefault="000B4835" w:rsidP="00603CB7">
      <w:pPr>
        <w:pStyle w:val="Tablecaption"/>
        <w:spacing w:after="400"/>
      </w:pPr>
      <w:bookmarkStart w:id="956" w:name="_Toc522527505"/>
      <w:bookmarkStart w:id="957" w:name="_Toc522628918"/>
      <w:bookmarkStart w:id="958" w:name="_Toc522629082"/>
      <w:bookmarkStart w:id="959" w:name="_Toc6473180"/>
      <w:r w:rsidRPr="00CF31E0">
        <w:t xml:space="preserve">Table </w:t>
      </w:r>
      <w:r w:rsidR="002E4549" w:rsidRPr="00CF31E0">
        <w:t>11</w:t>
      </w:r>
      <w:r w:rsidR="0022109D" w:rsidRPr="00CF31E0">
        <w:t>.</w:t>
      </w:r>
      <w:r w:rsidR="002E4549" w:rsidRPr="00CF31E0">
        <w:t>42</w:t>
      </w:r>
      <w:r w:rsidRPr="00CF31E0">
        <w:t>: ANOVA statistics for place of birth demographic variable.</w:t>
      </w:r>
      <w:bookmarkEnd w:id="956"/>
      <w:bookmarkEnd w:id="957"/>
      <w:bookmarkEnd w:id="958"/>
      <w:bookmarkEnd w:id="959"/>
    </w:p>
    <w:tbl>
      <w:tblPr>
        <w:tblW w:w="7240" w:type="dxa"/>
        <w:tblInd w:w="-10" w:type="dxa"/>
        <w:tblBorders>
          <w:top w:val="single" w:sz="4" w:space="0" w:color="000000"/>
          <w:bottom w:val="single" w:sz="4" w:space="0" w:color="000000"/>
        </w:tblBorders>
        <w:tblLayout w:type="fixed"/>
        <w:tblCellMar>
          <w:left w:w="0" w:type="dxa"/>
          <w:right w:w="0" w:type="dxa"/>
        </w:tblCellMar>
        <w:tblLook w:val="0000" w:firstRow="0" w:lastRow="0" w:firstColumn="0" w:lastColumn="0" w:noHBand="0" w:noVBand="0"/>
      </w:tblPr>
      <w:tblGrid>
        <w:gridCol w:w="969"/>
        <w:gridCol w:w="2444"/>
        <w:gridCol w:w="1599"/>
        <w:gridCol w:w="1091"/>
        <w:gridCol w:w="1137"/>
      </w:tblGrid>
      <w:tr w:rsidR="007F558A" w:rsidRPr="00CF31E0" w14:paraId="217F5189" w14:textId="77777777" w:rsidTr="000B4835">
        <w:trPr>
          <w:cantSplit/>
        </w:trPr>
        <w:tc>
          <w:tcPr>
            <w:tcW w:w="969" w:type="dxa"/>
            <w:tcBorders>
              <w:top w:val="single" w:sz="4" w:space="0" w:color="000000"/>
              <w:bottom w:val="single" w:sz="4" w:space="0" w:color="000000"/>
            </w:tcBorders>
          </w:tcPr>
          <w:p w14:paraId="71CBE416"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4043" w:type="dxa"/>
            <w:gridSpan w:val="2"/>
            <w:tcBorders>
              <w:top w:val="single" w:sz="4" w:space="0" w:color="000000"/>
              <w:bottom w:val="single" w:sz="4" w:space="0" w:color="000000"/>
            </w:tcBorders>
            <w:shd w:val="clear" w:color="auto" w:fill="FFFFFF"/>
            <w:vAlign w:val="bottom"/>
          </w:tcPr>
          <w:p w14:paraId="35FA22A9"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 of birth</w:t>
            </w:r>
          </w:p>
        </w:tc>
        <w:tc>
          <w:tcPr>
            <w:tcW w:w="1091" w:type="dxa"/>
            <w:tcBorders>
              <w:top w:val="single" w:sz="4" w:space="0" w:color="000000"/>
              <w:bottom w:val="single" w:sz="4" w:space="0" w:color="000000"/>
            </w:tcBorders>
            <w:shd w:val="clear" w:color="auto" w:fill="FFFFFF"/>
            <w:vAlign w:val="bottom"/>
          </w:tcPr>
          <w:p w14:paraId="58106F8E"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Statistic</w:t>
            </w:r>
          </w:p>
        </w:tc>
        <w:tc>
          <w:tcPr>
            <w:tcW w:w="1137" w:type="dxa"/>
            <w:tcBorders>
              <w:top w:val="single" w:sz="4" w:space="0" w:color="000000"/>
              <w:bottom w:val="single" w:sz="4" w:space="0" w:color="000000"/>
            </w:tcBorders>
            <w:shd w:val="clear" w:color="auto" w:fill="FFFFFF"/>
            <w:vAlign w:val="bottom"/>
          </w:tcPr>
          <w:p w14:paraId="09948357"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Std. Error</w:t>
            </w:r>
          </w:p>
        </w:tc>
      </w:tr>
      <w:tr w:rsidR="007F558A" w:rsidRPr="00CF31E0" w14:paraId="77BAC90B" w14:textId="77777777" w:rsidTr="000B4835">
        <w:trPr>
          <w:cantSplit/>
        </w:trPr>
        <w:tc>
          <w:tcPr>
            <w:tcW w:w="969" w:type="dxa"/>
            <w:vMerge w:val="restart"/>
            <w:tcBorders>
              <w:top w:val="single" w:sz="4" w:space="0" w:color="000000"/>
              <w:bottom w:val="nil"/>
            </w:tcBorders>
            <w:shd w:val="clear" w:color="auto" w:fill="FFFFFF"/>
          </w:tcPr>
          <w:p w14:paraId="2C67BFB3"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Modern</w:t>
            </w:r>
          </w:p>
        </w:tc>
        <w:tc>
          <w:tcPr>
            <w:tcW w:w="2444" w:type="dxa"/>
            <w:tcBorders>
              <w:top w:val="single" w:sz="4" w:space="0" w:color="000000"/>
              <w:bottom w:val="nil"/>
            </w:tcBorders>
            <w:shd w:val="clear" w:color="auto" w:fill="FFFFFF"/>
          </w:tcPr>
          <w:p w14:paraId="23320215"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 xml:space="preserve">Inside Hijaz </w:t>
            </w:r>
          </w:p>
        </w:tc>
        <w:tc>
          <w:tcPr>
            <w:tcW w:w="1599" w:type="dxa"/>
            <w:tcBorders>
              <w:top w:val="single" w:sz="4" w:space="0" w:color="000000"/>
              <w:bottom w:val="nil"/>
            </w:tcBorders>
            <w:shd w:val="clear" w:color="auto" w:fill="FFFFFF"/>
          </w:tcPr>
          <w:p w14:paraId="5086A11E"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091" w:type="dxa"/>
            <w:tcBorders>
              <w:top w:val="single" w:sz="4" w:space="0" w:color="000000"/>
              <w:bottom w:val="nil"/>
            </w:tcBorders>
            <w:shd w:val="clear" w:color="auto" w:fill="FFFFFF"/>
            <w:vAlign w:val="center"/>
          </w:tcPr>
          <w:p w14:paraId="57DFCC4C"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3.4378</w:t>
            </w:r>
          </w:p>
        </w:tc>
        <w:tc>
          <w:tcPr>
            <w:tcW w:w="1137" w:type="dxa"/>
            <w:tcBorders>
              <w:top w:val="single" w:sz="4" w:space="0" w:color="000000"/>
              <w:bottom w:val="nil"/>
            </w:tcBorders>
            <w:shd w:val="clear" w:color="auto" w:fill="FFFFFF"/>
            <w:vAlign w:val="center"/>
          </w:tcPr>
          <w:p w14:paraId="3FAD55A1"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.04830</w:t>
            </w:r>
          </w:p>
        </w:tc>
      </w:tr>
      <w:tr w:rsidR="007F558A" w:rsidRPr="00CF31E0" w14:paraId="42238DC3" w14:textId="77777777" w:rsidTr="000B4835">
        <w:trPr>
          <w:cantSplit/>
        </w:trPr>
        <w:tc>
          <w:tcPr>
            <w:tcW w:w="969" w:type="dxa"/>
            <w:vMerge/>
            <w:tcBorders>
              <w:top w:val="nil"/>
            </w:tcBorders>
            <w:shd w:val="clear" w:color="auto" w:fill="FFFFFF"/>
          </w:tcPr>
          <w:p w14:paraId="53BF96BE"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2444" w:type="dxa"/>
            <w:tcBorders>
              <w:top w:val="nil"/>
            </w:tcBorders>
            <w:shd w:val="clear" w:color="auto" w:fill="FFFFFF"/>
          </w:tcPr>
          <w:p w14:paraId="7806D881"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Outside Hijaz</w:t>
            </w:r>
          </w:p>
        </w:tc>
        <w:tc>
          <w:tcPr>
            <w:tcW w:w="1599" w:type="dxa"/>
            <w:tcBorders>
              <w:top w:val="nil"/>
            </w:tcBorders>
            <w:shd w:val="clear" w:color="auto" w:fill="FFFFFF"/>
          </w:tcPr>
          <w:p w14:paraId="39ACB2C4"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091" w:type="dxa"/>
            <w:tcBorders>
              <w:top w:val="nil"/>
            </w:tcBorders>
            <w:shd w:val="clear" w:color="auto" w:fill="FFFFFF"/>
            <w:vAlign w:val="center"/>
          </w:tcPr>
          <w:p w14:paraId="3152E43E"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2.9839</w:t>
            </w:r>
          </w:p>
        </w:tc>
        <w:tc>
          <w:tcPr>
            <w:tcW w:w="1137" w:type="dxa"/>
            <w:tcBorders>
              <w:top w:val="nil"/>
            </w:tcBorders>
            <w:shd w:val="clear" w:color="auto" w:fill="FFFFFF"/>
            <w:vAlign w:val="center"/>
          </w:tcPr>
          <w:p w14:paraId="540AEC99"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.16340</w:t>
            </w:r>
          </w:p>
        </w:tc>
      </w:tr>
    </w:tbl>
    <w:p w14:paraId="6902460F" w14:textId="13B30FB6" w:rsidR="000B4835" w:rsidRPr="00CF31E0" w:rsidRDefault="000B4835" w:rsidP="002E4549">
      <w:pPr>
        <w:pStyle w:val="Tablecaption"/>
        <w:rPr>
          <w:lang w:eastAsia="en-US"/>
        </w:rPr>
      </w:pPr>
      <w:bookmarkStart w:id="960" w:name="_Toc522527506"/>
      <w:bookmarkStart w:id="961" w:name="_Toc522628919"/>
      <w:bookmarkStart w:id="962" w:name="_Toc522629083"/>
      <w:bookmarkStart w:id="963" w:name="_Toc6473181"/>
      <w:r w:rsidRPr="00CF31E0">
        <w:rPr>
          <w:lang w:eastAsia="en-US"/>
        </w:rPr>
        <w:lastRenderedPageBreak/>
        <w:t xml:space="preserve">Table </w:t>
      </w:r>
      <w:r w:rsidR="002E4549" w:rsidRPr="00CF31E0">
        <w:rPr>
          <w:lang w:eastAsia="en-US"/>
        </w:rPr>
        <w:t>11</w:t>
      </w:r>
      <w:r w:rsidR="0022109D" w:rsidRPr="00CF31E0">
        <w:rPr>
          <w:lang w:eastAsia="en-US"/>
        </w:rPr>
        <w:t>.</w:t>
      </w:r>
      <w:r w:rsidR="002E4549" w:rsidRPr="00CF31E0">
        <w:rPr>
          <w:lang w:eastAsia="en-US"/>
        </w:rPr>
        <w:t>43</w:t>
      </w:r>
      <w:r w:rsidRPr="00CF31E0">
        <w:rPr>
          <w:lang w:eastAsia="en-US"/>
        </w:rPr>
        <w:t>: Descriptive statistics.</w:t>
      </w:r>
      <w:bookmarkEnd w:id="960"/>
      <w:bookmarkEnd w:id="961"/>
      <w:bookmarkEnd w:id="962"/>
      <w:bookmarkEnd w:id="963"/>
      <w:r w:rsidRPr="00CF31E0">
        <w:rPr>
          <w:lang w:eastAsia="en-US"/>
        </w:rPr>
        <w:t xml:space="preserve"> </w:t>
      </w:r>
    </w:p>
    <w:p w14:paraId="6E37E718" w14:textId="41302A38" w:rsidR="00A84AF6" w:rsidRPr="00CF31E0" w:rsidRDefault="000B4835" w:rsidP="00F50E67">
      <w:pPr>
        <w:pStyle w:val="Paragraph"/>
        <w:rPr>
          <w:lang w:val="en-US" w:eastAsia="en-US"/>
        </w:rPr>
      </w:pPr>
      <w:r w:rsidRPr="00CF31E0">
        <w:rPr>
          <w:lang w:eastAsia="zh-CN"/>
        </w:rPr>
        <w:t xml:space="preserve">The above two tables illustrate that the place of birth of participants affected the </w:t>
      </w:r>
      <w:r w:rsidRPr="00CF31E0">
        <w:rPr>
          <w:i/>
          <w:iCs/>
          <w:lang w:eastAsia="zh-CN"/>
        </w:rPr>
        <w:t xml:space="preserve">modern </w:t>
      </w:r>
      <w:r w:rsidRPr="00CF31E0">
        <w:rPr>
          <w:lang w:eastAsia="zh-CN"/>
        </w:rPr>
        <w:t xml:space="preserve">scale scores. Table </w:t>
      </w:r>
      <w:r w:rsidR="002E4549" w:rsidRPr="00CF31E0">
        <w:rPr>
          <w:lang w:eastAsia="zh-CN"/>
        </w:rPr>
        <w:t>11</w:t>
      </w:r>
      <w:r w:rsidR="0022109D" w:rsidRPr="00CF31E0">
        <w:rPr>
          <w:lang w:eastAsia="zh-CN"/>
        </w:rPr>
        <w:t>.</w:t>
      </w:r>
      <w:r w:rsidR="002E4549" w:rsidRPr="00CF31E0">
        <w:rPr>
          <w:lang w:eastAsia="zh-CN"/>
        </w:rPr>
        <w:t xml:space="preserve">42 </w:t>
      </w:r>
      <w:r w:rsidRPr="00CF31E0">
        <w:rPr>
          <w:lang w:eastAsia="zh-CN"/>
        </w:rPr>
        <w:t xml:space="preserve">indicates that the p value is .004. </w:t>
      </w:r>
      <w:r w:rsidRPr="00CF31E0">
        <w:rPr>
          <w:lang w:val="en-US" w:eastAsia="zh-CN"/>
        </w:rPr>
        <w:t xml:space="preserve">Table </w:t>
      </w:r>
      <w:r w:rsidR="002E4549" w:rsidRPr="00CF31E0">
        <w:rPr>
          <w:lang w:val="en-US" w:eastAsia="zh-CN"/>
        </w:rPr>
        <w:t>11</w:t>
      </w:r>
      <w:r w:rsidR="0022109D" w:rsidRPr="00CF31E0">
        <w:rPr>
          <w:lang w:val="en-US" w:eastAsia="zh-CN"/>
        </w:rPr>
        <w:t>.</w:t>
      </w:r>
      <w:r w:rsidR="002E4549" w:rsidRPr="00CF31E0">
        <w:rPr>
          <w:lang w:val="en-US" w:eastAsia="zh-CN"/>
        </w:rPr>
        <w:t xml:space="preserve">43 </w:t>
      </w:r>
      <w:r w:rsidRPr="00CF31E0">
        <w:rPr>
          <w:lang w:val="en-US" w:eastAsia="zh-CN"/>
        </w:rPr>
        <w:t xml:space="preserve">shows that those participants who were born inside Hijaz perceived the voice as a modern one, while those born outside Hijaz perceived it as relatively less modern. </w:t>
      </w:r>
      <w:r w:rsidR="00716AD5" w:rsidRPr="00CF31E0">
        <w:rPr>
          <w:lang w:val="en-US" w:eastAsia="en-US"/>
        </w:rPr>
        <w:t xml:space="preserve">See </w:t>
      </w:r>
      <w:r w:rsidR="00A1775C" w:rsidRPr="00CF31E0">
        <w:rPr>
          <w:lang w:val="en-US" w:eastAsia="en-US"/>
        </w:rPr>
        <w:t>Table</w:t>
      </w:r>
      <w:r w:rsidR="009B27CA" w:rsidRPr="00CF31E0">
        <w:rPr>
          <w:lang w:val="en-US" w:eastAsia="en-US"/>
        </w:rPr>
        <w:t>s</w:t>
      </w:r>
      <w:r w:rsidR="00A1775C" w:rsidRPr="00CF31E0">
        <w:rPr>
          <w:lang w:val="en-US" w:eastAsia="en-US"/>
        </w:rPr>
        <w:t xml:space="preserve"> </w:t>
      </w:r>
      <w:r w:rsidR="002E4549" w:rsidRPr="00CF31E0">
        <w:rPr>
          <w:lang w:val="en-US" w:eastAsia="en-US"/>
        </w:rPr>
        <w:t>11</w:t>
      </w:r>
      <w:r w:rsidR="00716AD5" w:rsidRPr="00CF31E0">
        <w:rPr>
          <w:lang w:val="en-US" w:eastAsia="en-US"/>
        </w:rPr>
        <w:t>.</w:t>
      </w:r>
      <w:r w:rsidR="002E4549" w:rsidRPr="00CF31E0">
        <w:rPr>
          <w:lang w:val="en-US" w:eastAsia="en-US"/>
        </w:rPr>
        <w:t xml:space="preserve">44 </w:t>
      </w:r>
      <w:r w:rsidR="00716AD5" w:rsidRPr="00CF31E0">
        <w:rPr>
          <w:lang w:val="en-US" w:eastAsia="en-US"/>
        </w:rPr>
        <w:t xml:space="preserve">and </w:t>
      </w:r>
      <w:r w:rsidR="002E4549" w:rsidRPr="00CF31E0">
        <w:rPr>
          <w:lang w:val="en-US" w:eastAsia="en-US"/>
        </w:rPr>
        <w:t>11</w:t>
      </w:r>
      <w:r w:rsidR="00716AD5" w:rsidRPr="00CF31E0">
        <w:rPr>
          <w:lang w:val="en-US" w:eastAsia="en-US"/>
        </w:rPr>
        <w:t>.</w:t>
      </w:r>
      <w:r w:rsidR="002E4549" w:rsidRPr="00CF31E0">
        <w:rPr>
          <w:lang w:val="en-US" w:eastAsia="en-US"/>
        </w:rPr>
        <w:t>45</w:t>
      </w:r>
      <w:r w:rsidR="00716AD5" w:rsidRPr="00CF31E0">
        <w:rPr>
          <w:lang w:val="en-US" w:eastAsia="en-US"/>
        </w:rPr>
        <w:t xml:space="preserve"> for social group results </w:t>
      </w:r>
      <w:r w:rsidR="00A1775C" w:rsidRPr="00CF31E0">
        <w:rPr>
          <w:lang w:val="en-US" w:eastAsia="en-US"/>
        </w:rPr>
        <w:t>from</w:t>
      </w:r>
      <w:r w:rsidR="00716AD5" w:rsidRPr="00CF31E0">
        <w:rPr>
          <w:lang w:val="en-US" w:eastAsia="en-US"/>
        </w:rPr>
        <w:t xml:space="preserve"> the data.</w:t>
      </w:r>
    </w:p>
    <w:tbl>
      <w:tblPr>
        <w:tblW w:w="7241" w:type="dxa"/>
        <w:tblInd w:w="-20" w:type="dxa"/>
        <w:tblBorders>
          <w:top w:val="single" w:sz="4" w:space="0" w:color="000000"/>
          <w:bottom w:val="single" w:sz="4" w:space="0" w:color="000000"/>
        </w:tblBorders>
        <w:tblLayout w:type="fixed"/>
        <w:tblCellMar>
          <w:left w:w="0" w:type="dxa"/>
          <w:right w:w="0" w:type="dxa"/>
        </w:tblCellMar>
        <w:tblLook w:val="0000" w:firstRow="0" w:lastRow="0" w:firstColumn="0" w:lastColumn="0" w:noHBand="0" w:noVBand="0"/>
      </w:tblPr>
      <w:tblGrid>
        <w:gridCol w:w="1977"/>
        <w:gridCol w:w="1919"/>
        <w:gridCol w:w="933"/>
        <w:gridCol w:w="1646"/>
        <w:gridCol w:w="766"/>
      </w:tblGrid>
      <w:tr w:rsidR="00ED36FE" w:rsidRPr="00CF31E0" w14:paraId="3A2B7D9C" w14:textId="77777777" w:rsidTr="00ED36FE">
        <w:trPr>
          <w:cantSplit/>
          <w:trHeight w:val="670"/>
        </w:trPr>
        <w:tc>
          <w:tcPr>
            <w:tcW w:w="1977" w:type="dxa"/>
            <w:tcBorders>
              <w:top w:val="single" w:sz="4" w:space="0" w:color="000000"/>
              <w:bottom w:val="single" w:sz="8" w:space="0" w:color="auto"/>
            </w:tcBorders>
            <w:shd w:val="clear" w:color="auto" w:fill="FFFFFF"/>
            <w:vAlign w:val="bottom"/>
          </w:tcPr>
          <w:p w14:paraId="2C5E331C"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Social group</w:t>
            </w:r>
          </w:p>
        </w:tc>
        <w:tc>
          <w:tcPr>
            <w:tcW w:w="1919" w:type="dxa"/>
            <w:tcBorders>
              <w:top w:val="single" w:sz="4" w:space="0" w:color="000000"/>
              <w:bottom w:val="single" w:sz="8" w:space="0" w:color="auto"/>
            </w:tcBorders>
            <w:shd w:val="clear" w:color="auto" w:fill="FFFFFF"/>
            <w:vAlign w:val="bottom"/>
          </w:tcPr>
          <w:p w14:paraId="34DB80BB"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933" w:type="dxa"/>
            <w:tcBorders>
              <w:top w:val="single" w:sz="4" w:space="0" w:color="000000"/>
              <w:bottom w:val="single" w:sz="8" w:space="0" w:color="auto"/>
            </w:tcBorders>
            <w:shd w:val="clear" w:color="auto" w:fill="FFFFFF"/>
            <w:vAlign w:val="bottom"/>
          </w:tcPr>
          <w:p w14:paraId="63E64B51"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646" w:type="dxa"/>
            <w:tcBorders>
              <w:top w:val="single" w:sz="4" w:space="0" w:color="000000"/>
              <w:bottom w:val="single" w:sz="8" w:space="0" w:color="auto"/>
            </w:tcBorders>
            <w:shd w:val="clear" w:color="auto" w:fill="FFFFFF"/>
            <w:vAlign w:val="bottom"/>
          </w:tcPr>
          <w:p w14:paraId="14E443E9"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766" w:type="dxa"/>
            <w:tcBorders>
              <w:top w:val="single" w:sz="4" w:space="0" w:color="000000"/>
              <w:bottom w:val="single" w:sz="8" w:space="0" w:color="auto"/>
            </w:tcBorders>
            <w:shd w:val="clear" w:color="auto" w:fill="FFFFFF"/>
            <w:vAlign w:val="bottom"/>
          </w:tcPr>
          <w:p w14:paraId="7850431C"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ED36FE" w:rsidRPr="00CF31E0" w14:paraId="164CE53A" w14:textId="77777777" w:rsidTr="00ED36FE">
        <w:trPr>
          <w:cantSplit/>
          <w:trHeight w:val="641"/>
        </w:trPr>
        <w:tc>
          <w:tcPr>
            <w:tcW w:w="1977" w:type="dxa"/>
            <w:tcBorders>
              <w:top w:val="single" w:sz="8" w:space="0" w:color="auto"/>
            </w:tcBorders>
            <w:shd w:val="clear" w:color="auto" w:fill="FFFFFF"/>
          </w:tcPr>
          <w:p w14:paraId="317EADDA"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919" w:type="dxa"/>
            <w:tcBorders>
              <w:top w:val="single" w:sz="8" w:space="0" w:color="auto"/>
            </w:tcBorders>
            <w:shd w:val="clear" w:color="auto" w:fill="FFFFFF"/>
            <w:vAlign w:val="center"/>
          </w:tcPr>
          <w:p w14:paraId="63E0586A"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25.882</w:t>
            </w:r>
          </w:p>
        </w:tc>
        <w:tc>
          <w:tcPr>
            <w:tcW w:w="933" w:type="dxa"/>
            <w:tcBorders>
              <w:top w:val="single" w:sz="8" w:space="0" w:color="auto"/>
            </w:tcBorders>
            <w:shd w:val="clear" w:color="auto" w:fill="FFFFFF"/>
            <w:vAlign w:val="center"/>
          </w:tcPr>
          <w:p w14:paraId="30ACBAA4"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w:t>
            </w:r>
          </w:p>
        </w:tc>
        <w:tc>
          <w:tcPr>
            <w:tcW w:w="1646" w:type="dxa"/>
            <w:tcBorders>
              <w:top w:val="single" w:sz="8" w:space="0" w:color="auto"/>
            </w:tcBorders>
            <w:shd w:val="clear" w:color="auto" w:fill="FFFFFF"/>
            <w:vAlign w:val="center"/>
          </w:tcPr>
          <w:p w14:paraId="6D810123"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25.882</w:t>
            </w:r>
          </w:p>
        </w:tc>
        <w:tc>
          <w:tcPr>
            <w:tcW w:w="766" w:type="dxa"/>
            <w:tcBorders>
              <w:top w:val="single" w:sz="8" w:space="0" w:color="auto"/>
            </w:tcBorders>
            <w:shd w:val="clear" w:color="auto" w:fill="FFFFFF"/>
            <w:vAlign w:val="center"/>
          </w:tcPr>
          <w:p w14:paraId="1CD79A73"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.000</w:t>
            </w:r>
          </w:p>
        </w:tc>
      </w:tr>
      <w:tr w:rsidR="00ED36FE" w:rsidRPr="00CF31E0" w14:paraId="7B8083A9" w14:textId="77777777" w:rsidTr="00ED36FE">
        <w:trPr>
          <w:cantSplit/>
          <w:trHeight w:val="652"/>
        </w:trPr>
        <w:tc>
          <w:tcPr>
            <w:tcW w:w="1977" w:type="dxa"/>
            <w:shd w:val="clear" w:color="auto" w:fill="FFFFFF"/>
          </w:tcPr>
          <w:p w14:paraId="1F02A56F"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919" w:type="dxa"/>
            <w:shd w:val="clear" w:color="auto" w:fill="FFFFFF"/>
            <w:vAlign w:val="center"/>
          </w:tcPr>
          <w:p w14:paraId="4391521D"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889.138</w:t>
            </w:r>
          </w:p>
        </w:tc>
        <w:tc>
          <w:tcPr>
            <w:tcW w:w="933" w:type="dxa"/>
            <w:shd w:val="clear" w:color="auto" w:fill="FFFFFF"/>
            <w:vAlign w:val="center"/>
          </w:tcPr>
          <w:p w14:paraId="3908049E"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648</w:t>
            </w:r>
          </w:p>
        </w:tc>
        <w:tc>
          <w:tcPr>
            <w:tcW w:w="1646" w:type="dxa"/>
            <w:shd w:val="clear" w:color="auto" w:fill="FFFFFF"/>
            <w:vAlign w:val="center"/>
          </w:tcPr>
          <w:p w14:paraId="03A5F253"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1.374</w:t>
            </w:r>
          </w:p>
        </w:tc>
        <w:tc>
          <w:tcPr>
            <w:tcW w:w="766" w:type="dxa"/>
            <w:shd w:val="clear" w:color="auto" w:fill="FFFFFF"/>
            <w:vAlign w:val="center"/>
          </w:tcPr>
          <w:p w14:paraId="1E6A9FC8" w14:textId="77777777" w:rsidR="00ED36FE" w:rsidRPr="00CF31E0" w:rsidRDefault="00ED36FE" w:rsidP="000B4835">
            <w:pPr>
              <w:spacing w:before="120" w:after="120" w:line="360" w:lineRule="auto"/>
              <w:rPr>
                <w:rFonts w:eastAsia="Calibri" w:cs="Arial"/>
                <w:color w:val="000000" w:themeColor="text1"/>
                <w:sz w:val="22"/>
                <w:szCs w:val="22"/>
                <w:lang w:eastAsia="en-US"/>
              </w:rPr>
            </w:pPr>
          </w:p>
        </w:tc>
      </w:tr>
      <w:tr w:rsidR="00ED36FE" w:rsidRPr="00CF31E0" w14:paraId="778BDE1F" w14:textId="77777777" w:rsidTr="00ED36FE">
        <w:trPr>
          <w:cantSplit/>
          <w:trHeight w:val="663"/>
        </w:trPr>
        <w:tc>
          <w:tcPr>
            <w:tcW w:w="1977" w:type="dxa"/>
            <w:shd w:val="clear" w:color="auto" w:fill="FFFFFF"/>
          </w:tcPr>
          <w:p w14:paraId="0C47D997"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919" w:type="dxa"/>
            <w:shd w:val="clear" w:color="auto" w:fill="FFFFFF"/>
            <w:vAlign w:val="center"/>
          </w:tcPr>
          <w:p w14:paraId="3B733E9D"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915.020</w:t>
            </w:r>
          </w:p>
        </w:tc>
        <w:tc>
          <w:tcPr>
            <w:tcW w:w="933" w:type="dxa"/>
            <w:shd w:val="clear" w:color="auto" w:fill="FFFFFF"/>
            <w:vAlign w:val="center"/>
          </w:tcPr>
          <w:p w14:paraId="4F35CED2" w14:textId="77777777" w:rsidR="00ED36FE" w:rsidRPr="00CF31E0" w:rsidRDefault="00ED36FE"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649</w:t>
            </w:r>
          </w:p>
        </w:tc>
        <w:tc>
          <w:tcPr>
            <w:tcW w:w="1646" w:type="dxa"/>
            <w:shd w:val="clear" w:color="auto" w:fill="FFFFFF"/>
            <w:vAlign w:val="center"/>
          </w:tcPr>
          <w:p w14:paraId="5E4C3A8F" w14:textId="77777777" w:rsidR="00ED36FE" w:rsidRPr="00CF31E0" w:rsidRDefault="00ED36FE" w:rsidP="000B4835">
            <w:pPr>
              <w:spacing w:before="120" w:after="120" w:line="360" w:lineRule="auto"/>
              <w:rPr>
                <w:rFonts w:eastAsia="Calibri" w:cs="Arial"/>
                <w:color w:val="000000" w:themeColor="text1"/>
                <w:sz w:val="22"/>
                <w:szCs w:val="22"/>
                <w:lang w:eastAsia="en-US"/>
              </w:rPr>
            </w:pPr>
          </w:p>
        </w:tc>
        <w:tc>
          <w:tcPr>
            <w:tcW w:w="766" w:type="dxa"/>
            <w:shd w:val="clear" w:color="auto" w:fill="FFFFFF"/>
            <w:vAlign w:val="center"/>
          </w:tcPr>
          <w:p w14:paraId="26892CE4" w14:textId="77777777" w:rsidR="00ED36FE" w:rsidRPr="00CF31E0" w:rsidRDefault="00ED36FE" w:rsidP="000B4835">
            <w:pPr>
              <w:spacing w:before="120" w:after="120" w:line="360" w:lineRule="auto"/>
              <w:rPr>
                <w:rFonts w:eastAsia="Calibri" w:cs="Arial"/>
                <w:color w:val="000000" w:themeColor="text1"/>
                <w:sz w:val="22"/>
                <w:szCs w:val="22"/>
                <w:lang w:eastAsia="en-US"/>
              </w:rPr>
            </w:pPr>
          </w:p>
        </w:tc>
      </w:tr>
    </w:tbl>
    <w:p w14:paraId="4CA84C4C" w14:textId="258CA86D" w:rsidR="009B27CA" w:rsidRPr="00CF31E0" w:rsidRDefault="000B4835" w:rsidP="00DC699C">
      <w:pPr>
        <w:pStyle w:val="Tablecaption"/>
      </w:pPr>
      <w:bookmarkStart w:id="964" w:name="_Toc522527507"/>
      <w:bookmarkStart w:id="965" w:name="_Toc522628920"/>
      <w:bookmarkStart w:id="966" w:name="_Toc522629084"/>
      <w:bookmarkStart w:id="967" w:name="_Toc6473182"/>
      <w:r w:rsidRPr="00CF31E0">
        <w:t xml:space="preserve">Table </w:t>
      </w:r>
      <w:r w:rsidR="002E4549" w:rsidRPr="00CF31E0">
        <w:t>11</w:t>
      </w:r>
      <w:r w:rsidR="0022109D" w:rsidRPr="00CF31E0">
        <w:t>.</w:t>
      </w:r>
      <w:r w:rsidR="002E4549" w:rsidRPr="00CF31E0">
        <w:t>44</w:t>
      </w:r>
      <w:r w:rsidRPr="00CF31E0">
        <w:t>: ANOVA statistics for place of birth demographic variable.</w:t>
      </w:r>
      <w:bookmarkEnd w:id="964"/>
      <w:bookmarkEnd w:id="965"/>
      <w:bookmarkEnd w:id="966"/>
      <w:bookmarkEnd w:id="967"/>
    </w:p>
    <w:tbl>
      <w:tblPr>
        <w:tblW w:w="7360" w:type="dxa"/>
        <w:tblInd w:w="-10" w:type="dxa"/>
        <w:tblBorders>
          <w:top w:val="single" w:sz="4" w:space="0" w:color="000000"/>
          <w:bottom w:val="single" w:sz="4" w:space="0" w:color="000000"/>
        </w:tblBorders>
        <w:tblLayout w:type="fixed"/>
        <w:tblCellMar>
          <w:left w:w="0" w:type="dxa"/>
          <w:right w:w="0" w:type="dxa"/>
        </w:tblCellMar>
        <w:tblLook w:val="0000" w:firstRow="0" w:lastRow="0" w:firstColumn="0" w:lastColumn="0" w:noHBand="0" w:noVBand="0"/>
      </w:tblPr>
      <w:tblGrid>
        <w:gridCol w:w="1845"/>
        <w:gridCol w:w="1700"/>
        <w:gridCol w:w="1276"/>
        <w:gridCol w:w="1559"/>
        <w:gridCol w:w="980"/>
      </w:tblGrid>
      <w:tr w:rsidR="002D0C73" w:rsidRPr="00CF31E0" w14:paraId="47C0D1A3" w14:textId="77777777" w:rsidTr="00645D13">
        <w:trPr>
          <w:cantSplit/>
        </w:trPr>
        <w:tc>
          <w:tcPr>
            <w:tcW w:w="1845" w:type="dxa"/>
            <w:tcBorders>
              <w:top w:val="single" w:sz="4" w:space="0" w:color="000000"/>
              <w:bottom w:val="single" w:sz="4" w:space="0" w:color="000000"/>
            </w:tcBorders>
          </w:tcPr>
          <w:p w14:paraId="57155F44" w14:textId="77777777" w:rsidR="002D0C73" w:rsidRPr="00CF31E0" w:rsidRDefault="002D0C73" w:rsidP="00645D13">
            <w:pPr>
              <w:rPr>
                <w:rFonts w:eastAsia="Calibri" w:cs="Arial"/>
                <w:color w:val="000000" w:themeColor="text1"/>
                <w:sz w:val="22"/>
                <w:szCs w:val="22"/>
                <w:lang w:eastAsia="en-US"/>
              </w:rPr>
            </w:pPr>
          </w:p>
        </w:tc>
        <w:tc>
          <w:tcPr>
            <w:tcW w:w="2976" w:type="dxa"/>
            <w:gridSpan w:val="2"/>
            <w:tcBorders>
              <w:top w:val="single" w:sz="4" w:space="0" w:color="000000"/>
              <w:bottom w:val="single" w:sz="4" w:space="0" w:color="000000"/>
            </w:tcBorders>
            <w:shd w:val="clear" w:color="auto" w:fill="FFFFFF"/>
            <w:vAlign w:val="bottom"/>
          </w:tcPr>
          <w:p w14:paraId="69F48B71" w14:textId="77777777" w:rsidR="002D0C73" w:rsidRPr="00CF31E0" w:rsidRDefault="002D0C73" w:rsidP="00645D1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Social group</w:t>
            </w:r>
          </w:p>
        </w:tc>
        <w:tc>
          <w:tcPr>
            <w:tcW w:w="1559" w:type="dxa"/>
            <w:tcBorders>
              <w:top w:val="single" w:sz="4" w:space="0" w:color="000000"/>
              <w:bottom w:val="single" w:sz="4" w:space="0" w:color="000000"/>
            </w:tcBorders>
            <w:shd w:val="clear" w:color="auto" w:fill="FFFFFF"/>
            <w:vAlign w:val="bottom"/>
          </w:tcPr>
          <w:p w14:paraId="659662C9" w14:textId="77777777" w:rsidR="002D0C73" w:rsidRPr="00CF31E0" w:rsidRDefault="002D0C73" w:rsidP="00645D1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Statistic</w:t>
            </w:r>
          </w:p>
        </w:tc>
        <w:tc>
          <w:tcPr>
            <w:tcW w:w="980" w:type="dxa"/>
            <w:tcBorders>
              <w:top w:val="single" w:sz="4" w:space="0" w:color="000000"/>
              <w:bottom w:val="single" w:sz="4" w:space="0" w:color="000000"/>
            </w:tcBorders>
            <w:shd w:val="clear" w:color="auto" w:fill="FFFFFF"/>
            <w:vAlign w:val="bottom"/>
          </w:tcPr>
          <w:p w14:paraId="5558B912" w14:textId="77777777" w:rsidR="002D0C73" w:rsidRPr="00CF31E0" w:rsidRDefault="002D0C73" w:rsidP="00645D1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Std. Error</w:t>
            </w:r>
          </w:p>
        </w:tc>
      </w:tr>
      <w:tr w:rsidR="002D0C73" w:rsidRPr="00CF31E0" w14:paraId="62C09C3C" w14:textId="77777777" w:rsidTr="00645D13">
        <w:trPr>
          <w:cantSplit/>
        </w:trPr>
        <w:tc>
          <w:tcPr>
            <w:tcW w:w="1845" w:type="dxa"/>
            <w:vMerge w:val="restart"/>
            <w:tcBorders>
              <w:top w:val="single" w:sz="4" w:space="0" w:color="000000"/>
              <w:bottom w:val="nil"/>
            </w:tcBorders>
            <w:shd w:val="clear" w:color="auto" w:fill="FFFFFF"/>
          </w:tcPr>
          <w:p w14:paraId="4B373BD9" w14:textId="4C93B312" w:rsidR="002D0C73" w:rsidRPr="00CF31E0" w:rsidRDefault="002D0C73" w:rsidP="00645D1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Modern</w:t>
            </w:r>
          </w:p>
        </w:tc>
        <w:tc>
          <w:tcPr>
            <w:tcW w:w="1700" w:type="dxa"/>
            <w:tcBorders>
              <w:top w:val="single" w:sz="4" w:space="0" w:color="000000"/>
              <w:bottom w:val="nil"/>
            </w:tcBorders>
            <w:shd w:val="clear" w:color="auto" w:fill="FFFFFF"/>
          </w:tcPr>
          <w:p w14:paraId="20FFC14F" w14:textId="77777777" w:rsidR="002D0C73" w:rsidRPr="00CF31E0" w:rsidRDefault="002D0C73" w:rsidP="00645D1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UBH</w:t>
            </w:r>
          </w:p>
        </w:tc>
        <w:tc>
          <w:tcPr>
            <w:tcW w:w="1276" w:type="dxa"/>
            <w:tcBorders>
              <w:top w:val="single" w:sz="4" w:space="0" w:color="000000"/>
              <w:bottom w:val="nil"/>
            </w:tcBorders>
            <w:shd w:val="clear" w:color="auto" w:fill="FFFFFF"/>
          </w:tcPr>
          <w:p w14:paraId="0EA7C680" w14:textId="77777777" w:rsidR="002D0C73" w:rsidRPr="00CF31E0" w:rsidRDefault="002D0C73" w:rsidP="00645D1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559" w:type="dxa"/>
            <w:tcBorders>
              <w:top w:val="single" w:sz="4" w:space="0" w:color="000000"/>
              <w:bottom w:val="nil"/>
            </w:tcBorders>
            <w:shd w:val="clear" w:color="auto" w:fill="FFFFFF"/>
            <w:vAlign w:val="center"/>
          </w:tcPr>
          <w:p w14:paraId="5576C4F6" w14:textId="7B2CE813" w:rsidR="002D0C73" w:rsidRPr="00CF31E0" w:rsidRDefault="002D0C73" w:rsidP="002D0C7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3.1944</w:t>
            </w:r>
          </w:p>
        </w:tc>
        <w:tc>
          <w:tcPr>
            <w:tcW w:w="980" w:type="dxa"/>
            <w:tcBorders>
              <w:top w:val="single" w:sz="4" w:space="0" w:color="000000"/>
              <w:bottom w:val="nil"/>
            </w:tcBorders>
            <w:shd w:val="clear" w:color="auto" w:fill="FFFFFF"/>
            <w:vAlign w:val="center"/>
          </w:tcPr>
          <w:p w14:paraId="486EEE81" w14:textId="2A797A61" w:rsidR="002D0C73" w:rsidRPr="00CF31E0" w:rsidRDefault="002D0C73" w:rsidP="002D0C7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.06707</w:t>
            </w:r>
          </w:p>
        </w:tc>
      </w:tr>
      <w:tr w:rsidR="002D0C73" w:rsidRPr="00CF31E0" w14:paraId="03D09AC3" w14:textId="77777777" w:rsidTr="00645D13">
        <w:trPr>
          <w:cantSplit/>
        </w:trPr>
        <w:tc>
          <w:tcPr>
            <w:tcW w:w="1845" w:type="dxa"/>
            <w:vMerge/>
            <w:tcBorders>
              <w:top w:val="nil"/>
            </w:tcBorders>
            <w:shd w:val="clear" w:color="auto" w:fill="FFFFFF"/>
          </w:tcPr>
          <w:p w14:paraId="12368DAE" w14:textId="77777777" w:rsidR="002D0C73" w:rsidRPr="00CF31E0" w:rsidRDefault="002D0C73" w:rsidP="00645D13">
            <w:pPr>
              <w:spacing w:before="120" w:after="120" w:line="360" w:lineRule="auto"/>
              <w:rPr>
                <w:rFonts w:eastAsia="Calibri" w:cs="Arial"/>
                <w:color w:val="000000" w:themeColor="text1"/>
                <w:sz w:val="22"/>
                <w:szCs w:val="22"/>
                <w:lang w:eastAsia="en-US"/>
              </w:rPr>
            </w:pPr>
          </w:p>
        </w:tc>
        <w:tc>
          <w:tcPr>
            <w:tcW w:w="1700" w:type="dxa"/>
            <w:tcBorders>
              <w:top w:val="nil"/>
            </w:tcBorders>
            <w:shd w:val="clear" w:color="auto" w:fill="FFFFFF"/>
          </w:tcPr>
          <w:p w14:paraId="51E6048E" w14:textId="77777777" w:rsidR="002D0C73" w:rsidRPr="00CF31E0" w:rsidRDefault="002D0C73" w:rsidP="00645D1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HH</w:t>
            </w:r>
          </w:p>
        </w:tc>
        <w:tc>
          <w:tcPr>
            <w:tcW w:w="1276" w:type="dxa"/>
            <w:tcBorders>
              <w:top w:val="nil"/>
            </w:tcBorders>
            <w:shd w:val="clear" w:color="auto" w:fill="FFFFFF"/>
          </w:tcPr>
          <w:p w14:paraId="0049AC35" w14:textId="77777777" w:rsidR="002D0C73" w:rsidRPr="00CF31E0" w:rsidRDefault="002D0C73" w:rsidP="00645D1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559" w:type="dxa"/>
            <w:tcBorders>
              <w:top w:val="nil"/>
            </w:tcBorders>
            <w:shd w:val="clear" w:color="auto" w:fill="FFFFFF"/>
            <w:vAlign w:val="center"/>
          </w:tcPr>
          <w:p w14:paraId="256020F5" w14:textId="35776657" w:rsidR="002D0C73" w:rsidRPr="00CF31E0" w:rsidRDefault="002D0C73" w:rsidP="002D0C7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3.5938</w:t>
            </w:r>
          </w:p>
        </w:tc>
        <w:tc>
          <w:tcPr>
            <w:tcW w:w="980" w:type="dxa"/>
            <w:tcBorders>
              <w:top w:val="nil"/>
            </w:tcBorders>
            <w:shd w:val="clear" w:color="auto" w:fill="FFFFFF"/>
            <w:vAlign w:val="center"/>
          </w:tcPr>
          <w:p w14:paraId="73DD1737" w14:textId="3F8EBA60" w:rsidR="002D0C73" w:rsidRPr="00CF31E0" w:rsidRDefault="002D0C73" w:rsidP="002D0C7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 06303</w:t>
            </w:r>
          </w:p>
        </w:tc>
      </w:tr>
    </w:tbl>
    <w:p w14:paraId="581C873C" w14:textId="3EA0413B" w:rsidR="000B4835" w:rsidRPr="00CF31E0" w:rsidRDefault="000B4835" w:rsidP="002E4549">
      <w:pPr>
        <w:pStyle w:val="Tablecaption"/>
        <w:rPr>
          <w:lang w:eastAsia="en-US"/>
        </w:rPr>
      </w:pPr>
      <w:bookmarkStart w:id="968" w:name="_Toc522527508"/>
      <w:bookmarkStart w:id="969" w:name="_Toc522628921"/>
      <w:bookmarkStart w:id="970" w:name="_Toc522629085"/>
      <w:bookmarkStart w:id="971" w:name="_Toc6473183"/>
      <w:r w:rsidRPr="00CF31E0">
        <w:rPr>
          <w:lang w:eastAsia="en-US"/>
        </w:rPr>
        <w:t xml:space="preserve">Table </w:t>
      </w:r>
      <w:r w:rsidR="002E4549" w:rsidRPr="00CF31E0">
        <w:rPr>
          <w:lang w:eastAsia="en-US"/>
        </w:rPr>
        <w:t>11</w:t>
      </w:r>
      <w:r w:rsidR="0022109D" w:rsidRPr="00CF31E0">
        <w:rPr>
          <w:lang w:eastAsia="en-US"/>
        </w:rPr>
        <w:t>.</w:t>
      </w:r>
      <w:r w:rsidR="002E4549" w:rsidRPr="00CF31E0">
        <w:rPr>
          <w:lang w:eastAsia="en-US"/>
        </w:rPr>
        <w:t>45</w:t>
      </w:r>
      <w:r w:rsidRPr="00CF31E0">
        <w:rPr>
          <w:lang w:eastAsia="en-US"/>
        </w:rPr>
        <w:t>: Descriptive statistics</w:t>
      </w:r>
      <w:r w:rsidR="007E19E4">
        <w:rPr>
          <w:lang w:eastAsia="en-US"/>
        </w:rPr>
        <w:t xml:space="preserve"> for social group demographic variable</w:t>
      </w:r>
      <w:r w:rsidRPr="00CF31E0">
        <w:rPr>
          <w:lang w:eastAsia="en-US"/>
        </w:rPr>
        <w:t>.</w:t>
      </w:r>
      <w:bookmarkEnd w:id="968"/>
      <w:bookmarkEnd w:id="969"/>
      <w:bookmarkEnd w:id="970"/>
      <w:bookmarkEnd w:id="971"/>
    </w:p>
    <w:p w14:paraId="264901D0" w14:textId="2CD52F98" w:rsidR="000B4835" w:rsidRDefault="000B4835" w:rsidP="00603CB7">
      <w:pPr>
        <w:pStyle w:val="Paragraph"/>
        <w:rPr>
          <w:lang w:val="en-US" w:eastAsia="en-US"/>
        </w:rPr>
      </w:pPr>
      <w:r w:rsidRPr="00CF31E0">
        <w:rPr>
          <w:lang w:val="en-US" w:eastAsia="zh-CN"/>
        </w:rPr>
        <w:t xml:space="preserve">Table </w:t>
      </w:r>
      <w:r w:rsidR="002E4549" w:rsidRPr="00CF31E0">
        <w:rPr>
          <w:lang w:val="en-US" w:eastAsia="zh-CN"/>
        </w:rPr>
        <w:t>11</w:t>
      </w:r>
      <w:r w:rsidR="0022109D" w:rsidRPr="00CF31E0">
        <w:rPr>
          <w:lang w:val="en-US" w:eastAsia="zh-CN"/>
        </w:rPr>
        <w:t>.</w:t>
      </w:r>
      <w:r w:rsidR="002E4549" w:rsidRPr="00CF31E0">
        <w:rPr>
          <w:lang w:val="en-US" w:eastAsia="zh-CN"/>
        </w:rPr>
        <w:t xml:space="preserve">44 </w:t>
      </w:r>
      <w:r w:rsidRPr="00CF31E0">
        <w:rPr>
          <w:lang w:val="en-US" w:eastAsia="zh-CN"/>
        </w:rPr>
        <w:t xml:space="preserve">shows that the social group of participants affected the participants’ perceptions, with p&lt;.001. This means that one group perceived the voice as more modern than the other group. </w:t>
      </w:r>
      <w:r w:rsidRPr="00CF31E0">
        <w:rPr>
          <w:lang w:val="en-US" w:eastAsia="en-US"/>
        </w:rPr>
        <w:t xml:space="preserve">The descriptive statistics in Table </w:t>
      </w:r>
      <w:r w:rsidR="002E4549" w:rsidRPr="00CF31E0">
        <w:rPr>
          <w:lang w:val="en-US" w:eastAsia="en-US"/>
        </w:rPr>
        <w:t>11</w:t>
      </w:r>
      <w:r w:rsidR="0022109D" w:rsidRPr="00CF31E0">
        <w:rPr>
          <w:lang w:val="en-US" w:eastAsia="en-US"/>
        </w:rPr>
        <w:t>.</w:t>
      </w:r>
      <w:r w:rsidR="002E4549" w:rsidRPr="00CF31E0">
        <w:rPr>
          <w:lang w:val="en-US" w:eastAsia="en-US"/>
        </w:rPr>
        <w:t xml:space="preserve">45 </w:t>
      </w:r>
      <w:r w:rsidR="0059652A" w:rsidRPr="00CF31E0">
        <w:rPr>
          <w:lang w:val="en-US" w:eastAsia="en-US"/>
        </w:rPr>
        <w:t>indicate that the HH</w:t>
      </w:r>
      <w:r w:rsidRPr="00CF31E0">
        <w:rPr>
          <w:lang w:val="en-US" w:eastAsia="en-US"/>
        </w:rPr>
        <w:t xml:space="preserve"> social group perceived the voice as more mod</w:t>
      </w:r>
      <w:r w:rsidR="0059652A" w:rsidRPr="00CF31E0">
        <w:rPr>
          <w:lang w:val="en-US" w:eastAsia="en-US"/>
        </w:rPr>
        <w:t>ern when compared to the UBH</w:t>
      </w:r>
      <w:r w:rsidRPr="00CF31E0">
        <w:rPr>
          <w:lang w:val="en-US" w:eastAsia="en-US"/>
        </w:rPr>
        <w:t xml:space="preserve"> social group mean scores. </w:t>
      </w:r>
      <w:r w:rsidR="00716AD5" w:rsidRPr="00CF31E0">
        <w:rPr>
          <w:lang w:val="en-US" w:eastAsia="en-US"/>
        </w:rPr>
        <w:t xml:space="preserve">See </w:t>
      </w:r>
      <w:r w:rsidR="00A1775C" w:rsidRPr="00CF31E0">
        <w:rPr>
          <w:lang w:val="en-US" w:eastAsia="en-US"/>
        </w:rPr>
        <w:t xml:space="preserve">Tables </w:t>
      </w:r>
      <w:r w:rsidR="002E4549" w:rsidRPr="00CF31E0">
        <w:rPr>
          <w:lang w:val="en-US" w:eastAsia="en-US"/>
        </w:rPr>
        <w:t>11</w:t>
      </w:r>
      <w:r w:rsidR="00716AD5" w:rsidRPr="00CF31E0">
        <w:rPr>
          <w:lang w:val="en-US" w:eastAsia="en-US"/>
        </w:rPr>
        <w:t>.</w:t>
      </w:r>
      <w:r w:rsidR="002E4549" w:rsidRPr="00CF31E0">
        <w:rPr>
          <w:lang w:val="en-US" w:eastAsia="en-US"/>
        </w:rPr>
        <w:t xml:space="preserve">46 </w:t>
      </w:r>
      <w:r w:rsidR="00716AD5" w:rsidRPr="00CF31E0">
        <w:rPr>
          <w:lang w:val="en-US" w:eastAsia="en-US"/>
        </w:rPr>
        <w:t xml:space="preserve">and </w:t>
      </w:r>
      <w:r w:rsidR="002E4549" w:rsidRPr="00CF31E0">
        <w:rPr>
          <w:lang w:val="en-US" w:eastAsia="en-US"/>
        </w:rPr>
        <w:t>11</w:t>
      </w:r>
      <w:r w:rsidR="00716AD5" w:rsidRPr="00CF31E0">
        <w:rPr>
          <w:lang w:val="en-US" w:eastAsia="en-US"/>
        </w:rPr>
        <w:t>.</w:t>
      </w:r>
      <w:r w:rsidR="002E4549" w:rsidRPr="00CF31E0">
        <w:rPr>
          <w:lang w:val="en-US" w:eastAsia="en-US"/>
        </w:rPr>
        <w:t>47</w:t>
      </w:r>
      <w:r w:rsidR="00716AD5" w:rsidRPr="00CF31E0">
        <w:rPr>
          <w:lang w:val="en-US" w:eastAsia="en-US"/>
        </w:rPr>
        <w:t xml:space="preserve"> for mother’s social group results </w:t>
      </w:r>
      <w:r w:rsidR="00A1775C" w:rsidRPr="00CF31E0">
        <w:rPr>
          <w:lang w:val="en-US" w:eastAsia="en-US"/>
        </w:rPr>
        <w:t>from</w:t>
      </w:r>
      <w:r w:rsidR="00716AD5" w:rsidRPr="00CF31E0">
        <w:rPr>
          <w:lang w:val="en-US" w:eastAsia="en-US"/>
        </w:rPr>
        <w:t xml:space="preserve"> the data.</w:t>
      </w:r>
    </w:p>
    <w:p w14:paraId="6FD08B7F" w14:textId="77777777" w:rsidR="00F50E67" w:rsidRDefault="00F50E67" w:rsidP="00603CB7">
      <w:pPr>
        <w:pStyle w:val="Paragraph"/>
        <w:rPr>
          <w:lang w:val="en-US" w:eastAsia="en-US"/>
        </w:rPr>
      </w:pPr>
    </w:p>
    <w:p w14:paraId="2E846938" w14:textId="77777777" w:rsidR="00F50E67" w:rsidRPr="00CF31E0" w:rsidRDefault="00F50E67" w:rsidP="00603CB7">
      <w:pPr>
        <w:pStyle w:val="Paragraph"/>
        <w:rPr>
          <w:lang w:val="en-US" w:eastAsia="en-US"/>
        </w:rPr>
      </w:pPr>
    </w:p>
    <w:tbl>
      <w:tblPr>
        <w:tblW w:w="7372" w:type="dxa"/>
        <w:tblInd w:w="-20" w:type="dxa"/>
        <w:tblBorders>
          <w:top w:val="single" w:sz="4" w:space="0" w:color="000000"/>
          <w:bottom w:val="single" w:sz="4" w:space="0" w:color="000000"/>
        </w:tblBorders>
        <w:tblLayout w:type="fixed"/>
        <w:tblCellMar>
          <w:left w:w="0" w:type="dxa"/>
          <w:right w:w="0" w:type="dxa"/>
        </w:tblCellMar>
        <w:tblLook w:val="0000" w:firstRow="0" w:lastRow="0" w:firstColumn="0" w:lastColumn="0" w:noHBand="0" w:noVBand="0"/>
      </w:tblPr>
      <w:tblGrid>
        <w:gridCol w:w="2013"/>
        <w:gridCol w:w="1955"/>
        <w:gridCol w:w="949"/>
        <w:gridCol w:w="1675"/>
        <w:gridCol w:w="780"/>
      </w:tblGrid>
      <w:tr w:rsidR="00AB3C90" w:rsidRPr="00CF31E0" w14:paraId="64CD5304" w14:textId="77777777" w:rsidTr="00AB3C90">
        <w:trPr>
          <w:cantSplit/>
          <w:trHeight w:val="1000"/>
        </w:trPr>
        <w:tc>
          <w:tcPr>
            <w:tcW w:w="2013" w:type="dxa"/>
            <w:tcBorders>
              <w:top w:val="single" w:sz="4" w:space="0" w:color="000000"/>
              <w:bottom w:val="single" w:sz="4" w:space="0" w:color="000000"/>
            </w:tcBorders>
            <w:shd w:val="clear" w:color="auto" w:fill="FFFFFF"/>
            <w:vAlign w:val="bottom"/>
          </w:tcPr>
          <w:p w14:paraId="56A3715D" w14:textId="7F7DB8B6"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lastRenderedPageBreak/>
              <w:t>Mother’s social group</w:t>
            </w:r>
          </w:p>
        </w:tc>
        <w:tc>
          <w:tcPr>
            <w:tcW w:w="1955" w:type="dxa"/>
            <w:tcBorders>
              <w:top w:val="single" w:sz="4" w:space="0" w:color="000000"/>
              <w:bottom w:val="single" w:sz="4" w:space="0" w:color="000000"/>
            </w:tcBorders>
            <w:shd w:val="clear" w:color="auto" w:fill="FFFFFF"/>
            <w:vAlign w:val="bottom"/>
          </w:tcPr>
          <w:p w14:paraId="5740CF81" w14:textId="77777777"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Sum of Squares</w:t>
            </w:r>
          </w:p>
        </w:tc>
        <w:tc>
          <w:tcPr>
            <w:tcW w:w="949" w:type="dxa"/>
            <w:tcBorders>
              <w:top w:val="single" w:sz="4" w:space="0" w:color="000000"/>
              <w:bottom w:val="single" w:sz="4" w:space="0" w:color="000000"/>
            </w:tcBorders>
            <w:shd w:val="clear" w:color="auto" w:fill="FFFFFF"/>
            <w:vAlign w:val="bottom"/>
          </w:tcPr>
          <w:p w14:paraId="6C657615" w14:textId="77777777"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df</w:t>
            </w:r>
          </w:p>
        </w:tc>
        <w:tc>
          <w:tcPr>
            <w:tcW w:w="1675" w:type="dxa"/>
            <w:tcBorders>
              <w:top w:val="single" w:sz="4" w:space="0" w:color="000000"/>
              <w:bottom w:val="single" w:sz="4" w:space="0" w:color="000000"/>
            </w:tcBorders>
            <w:shd w:val="clear" w:color="auto" w:fill="FFFFFF"/>
            <w:vAlign w:val="bottom"/>
          </w:tcPr>
          <w:p w14:paraId="0B6FE4E4" w14:textId="77777777"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Mean Square</w:t>
            </w:r>
          </w:p>
        </w:tc>
        <w:tc>
          <w:tcPr>
            <w:tcW w:w="780" w:type="dxa"/>
            <w:tcBorders>
              <w:top w:val="single" w:sz="4" w:space="0" w:color="000000"/>
              <w:bottom w:val="single" w:sz="4" w:space="0" w:color="000000"/>
            </w:tcBorders>
            <w:shd w:val="clear" w:color="auto" w:fill="FFFFFF"/>
            <w:vAlign w:val="bottom"/>
          </w:tcPr>
          <w:p w14:paraId="20EDFB45" w14:textId="77777777"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Sig.</w:t>
            </w:r>
          </w:p>
        </w:tc>
      </w:tr>
      <w:tr w:rsidR="00AB3C90" w:rsidRPr="00CF31E0" w14:paraId="1B1FDE8E" w14:textId="77777777" w:rsidTr="00AB3C90">
        <w:trPr>
          <w:cantSplit/>
          <w:trHeight w:val="624"/>
        </w:trPr>
        <w:tc>
          <w:tcPr>
            <w:tcW w:w="2013" w:type="dxa"/>
            <w:tcBorders>
              <w:top w:val="single" w:sz="4" w:space="0" w:color="000000"/>
              <w:bottom w:val="nil"/>
            </w:tcBorders>
            <w:shd w:val="clear" w:color="auto" w:fill="FFFFFF"/>
          </w:tcPr>
          <w:p w14:paraId="33F6AF33" w14:textId="77777777"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Between Groups</w:t>
            </w:r>
          </w:p>
        </w:tc>
        <w:tc>
          <w:tcPr>
            <w:tcW w:w="1955" w:type="dxa"/>
            <w:tcBorders>
              <w:top w:val="single" w:sz="4" w:space="0" w:color="000000"/>
              <w:bottom w:val="nil"/>
            </w:tcBorders>
            <w:shd w:val="clear" w:color="auto" w:fill="FFFFFF"/>
            <w:vAlign w:val="center"/>
          </w:tcPr>
          <w:p w14:paraId="19ABFCD7" w14:textId="77777777"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22.623</w:t>
            </w:r>
          </w:p>
        </w:tc>
        <w:tc>
          <w:tcPr>
            <w:tcW w:w="949" w:type="dxa"/>
            <w:tcBorders>
              <w:top w:val="single" w:sz="4" w:space="0" w:color="000000"/>
              <w:bottom w:val="nil"/>
            </w:tcBorders>
            <w:shd w:val="clear" w:color="auto" w:fill="FFFFFF"/>
            <w:vAlign w:val="center"/>
          </w:tcPr>
          <w:p w14:paraId="760F7841" w14:textId="67B9374D"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2</w:t>
            </w:r>
          </w:p>
        </w:tc>
        <w:tc>
          <w:tcPr>
            <w:tcW w:w="1675" w:type="dxa"/>
            <w:tcBorders>
              <w:top w:val="single" w:sz="4" w:space="0" w:color="000000"/>
              <w:bottom w:val="nil"/>
            </w:tcBorders>
            <w:shd w:val="clear" w:color="auto" w:fill="FFFFFF"/>
            <w:vAlign w:val="center"/>
          </w:tcPr>
          <w:p w14:paraId="4A853FA3" w14:textId="77777777"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11.311</w:t>
            </w:r>
          </w:p>
        </w:tc>
        <w:tc>
          <w:tcPr>
            <w:tcW w:w="780" w:type="dxa"/>
            <w:tcBorders>
              <w:top w:val="single" w:sz="4" w:space="0" w:color="000000"/>
              <w:bottom w:val="nil"/>
            </w:tcBorders>
            <w:shd w:val="clear" w:color="auto" w:fill="FFFFFF"/>
            <w:vAlign w:val="center"/>
          </w:tcPr>
          <w:p w14:paraId="6367AB34" w14:textId="77777777"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.000</w:t>
            </w:r>
          </w:p>
        </w:tc>
      </w:tr>
      <w:tr w:rsidR="00AB3C90" w:rsidRPr="00CF31E0" w14:paraId="295DC338" w14:textId="77777777" w:rsidTr="00AB3C90">
        <w:trPr>
          <w:cantSplit/>
          <w:trHeight w:val="614"/>
        </w:trPr>
        <w:tc>
          <w:tcPr>
            <w:tcW w:w="2013" w:type="dxa"/>
            <w:tcBorders>
              <w:top w:val="nil"/>
            </w:tcBorders>
            <w:shd w:val="clear" w:color="auto" w:fill="FFFFFF"/>
          </w:tcPr>
          <w:p w14:paraId="30A9C04F" w14:textId="77777777"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Within Groups</w:t>
            </w:r>
          </w:p>
        </w:tc>
        <w:tc>
          <w:tcPr>
            <w:tcW w:w="1955" w:type="dxa"/>
            <w:tcBorders>
              <w:top w:val="nil"/>
            </w:tcBorders>
            <w:shd w:val="clear" w:color="auto" w:fill="FFFFFF"/>
            <w:vAlign w:val="center"/>
          </w:tcPr>
          <w:p w14:paraId="7B435E8D" w14:textId="77777777"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892.242</w:t>
            </w:r>
          </w:p>
        </w:tc>
        <w:tc>
          <w:tcPr>
            <w:tcW w:w="949" w:type="dxa"/>
            <w:tcBorders>
              <w:top w:val="nil"/>
            </w:tcBorders>
            <w:shd w:val="clear" w:color="auto" w:fill="FFFFFF"/>
            <w:vAlign w:val="center"/>
          </w:tcPr>
          <w:p w14:paraId="628F4ED7" w14:textId="4A50B142"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647</w:t>
            </w:r>
          </w:p>
        </w:tc>
        <w:tc>
          <w:tcPr>
            <w:tcW w:w="1675" w:type="dxa"/>
            <w:tcBorders>
              <w:top w:val="nil"/>
            </w:tcBorders>
            <w:shd w:val="clear" w:color="auto" w:fill="FFFFFF"/>
            <w:vAlign w:val="center"/>
          </w:tcPr>
          <w:p w14:paraId="2ED08578" w14:textId="77777777"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1.383</w:t>
            </w:r>
          </w:p>
        </w:tc>
        <w:tc>
          <w:tcPr>
            <w:tcW w:w="780" w:type="dxa"/>
            <w:tcBorders>
              <w:top w:val="nil"/>
            </w:tcBorders>
            <w:shd w:val="clear" w:color="auto" w:fill="FFFFFF"/>
            <w:vAlign w:val="center"/>
          </w:tcPr>
          <w:p w14:paraId="7420CCCD" w14:textId="77777777" w:rsidR="00AB3C90" w:rsidRPr="00CF31E0" w:rsidRDefault="00AB3C90" w:rsidP="000B4835">
            <w:pPr>
              <w:spacing w:before="120" w:after="120" w:line="360" w:lineRule="auto"/>
              <w:rPr>
                <w:rFonts w:eastAsia="Calibri"/>
                <w:color w:val="000000" w:themeColor="text1"/>
                <w:sz w:val="22"/>
                <w:szCs w:val="22"/>
                <w:lang w:eastAsia="en-US"/>
              </w:rPr>
            </w:pPr>
          </w:p>
        </w:tc>
      </w:tr>
      <w:tr w:rsidR="00AB3C90" w:rsidRPr="00CF31E0" w14:paraId="6D7F9F83" w14:textId="77777777" w:rsidTr="00AB3C90">
        <w:trPr>
          <w:cantSplit/>
          <w:trHeight w:val="635"/>
        </w:trPr>
        <w:tc>
          <w:tcPr>
            <w:tcW w:w="2013" w:type="dxa"/>
            <w:shd w:val="clear" w:color="auto" w:fill="FFFFFF"/>
          </w:tcPr>
          <w:p w14:paraId="0D1700A8" w14:textId="77777777"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Total</w:t>
            </w:r>
          </w:p>
        </w:tc>
        <w:tc>
          <w:tcPr>
            <w:tcW w:w="1955" w:type="dxa"/>
            <w:shd w:val="clear" w:color="auto" w:fill="FFFFFF"/>
            <w:vAlign w:val="center"/>
          </w:tcPr>
          <w:p w14:paraId="4680E12E" w14:textId="77777777"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914.864</w:t>
            </w:r>
          </w:p>
        </w:tc>
        <w:tc>
          <w:tcPr>
            <w:tcW w:w="949" w:type="dxa"/>
            <w:shd w:val="clear" w:color="auto" w:fill="FFFFFF"/>
            <w:vAlign w:val="center"/>
          </w:tcPr>
          <w:p w14:paraId="594B8BBC" w14:textId="77777777"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1675" w:type="dxa"/>
            <w:shd w:val="clear" w:color="auto" w:fill="FFFFFF"/>
            <w:vAlign w:val="center"/>
          </w:tcPr>
          <w:p w14:paraId="423C85F6" w14:textId="77777777" w:rsidR="00AB3C90" w:rsidRPr="00CF31E0" w:rsidRDefault="00AB3C90" w:rsidP="000B4835">
            <w:pPr>
              <w:spacing w:before="120" w:after="120" w:line="360" w:lineRule="auto"/>
              <w:rPr>
                <w:rFonts w:eastAsia="Calibri"/>
                <w:color w:val="000000" w:themeColor="text1"/>
                <w:sz w:val="22"/>
                <w:szCs w:val="22"/>
                <w:lang w:eastAsia="en-US"/>
              </w:rPr>
            </w:pPr>
          </w:p>
        </w:tc>
        <w:tc>
          <w:tcPr>
            <w:tcW w:w="780" w:type="dxa"/>
            <w:shd w:val="clear" w:color="auto" w:fill="FFFFFF"/>
            <w:vAlign w:val="center"/>
          </w:tcPr>
          <w:p w14:paraId="46C77927" w14:textId="77777777" w:rsidR="00AB3C90" w:rsidRPr="00CF31E0" w:rsidRDefault="00AB3C90" w:rsidP="000B4835">
            <w:pPr>
              <w:spacing w:before="120" w:after="120" w:line="360" w:lineRule="auto"/>
              <w:rPr>
                <w:rFonts w:eastAsia="Calibri"/>
                <w:color w:val="000000" w:themeColor="text1"/>
                <w:sz w:val="22"/>
                <w:szCs w:val="22"/>
                <w:lang w:eastAsia="en-US"/>
              </w:rPr>
            </w:pPr>
          </w:p>
        </w:tc>
      </w:tr>
    </w:tbl>
    <w:p w14:paraId="6E48BEF6" w14:textId="28C55A58" w:rsidR="00A84AF6" w:rsidRPr="00CF31E0" w:rsidRDefault="000B4835" w:rsidP="00F50E67">
      <w:pPr>
        <w:pStyle w:val="Tablecaption"/>
        <w:spacing w:after="400"/>
      </w:pPr>
      <w:bookmarkStart w:id="972" w:name="_Toc522527509"/>
      <w:bookmarkStart w:id="973" w:name="_Toc522628922"/>
      <w:bookmarkStart w:id="974" w:name="_Toc522629086"/>
      <w:bookmarkStart w:id="975" w:name="_Toc6473184"/>
      <w:r w:rsidRPr="00CF31E0">
        <w:t xml:space="preserve">Table </w:t>
      </w:r>
      <w:r w:rsidR="002E4549" w:rsidRPr="00CF31E0">
        <w:t>11</w:t>
      </w:r>
      <w:r w:rsidR="0022109D" w:rsidRPr="00CF31E0">
        <w:t>.</w:t>
      </w:r>
      <w:r w:rsidR="002E4549" w:rsidRPr="00CF31E0">
        <w:t>46</w:t>
      </w:r>
      <w:r w:rsidRPr="00CF31E0">
        <w:t>: ANOVA statistics for mother’s social group demographic variable.</w:t>
      </w:r>
      <w:bookmarkEnd w:id="972"/>
      <w:bookmarkEnd w:id="973"/>
      <w:bookmarkEnd w:id="974"/>
      <w:bookmarkEnd w:id="975"/>
    </w:p>
    <w:tbl>
      <w:tblPr>
        <w:tblW w:w="7359" w:type="dxa"/>
        <w:tblInd w:w="-9" w:type="dxa"/>
        <w:tblLayout w:type="fixed"/>
        <w:tblCellMar>
          <w:left w:w="0" w:type="dxa"/>
          <w:right w:w="0" w:type="dxa"/>
        </w:tblCellMar>
        <w:tblLook w:val="0000" w:firstRow="0" w:lastRow="0" w:firstColumn="0" w:lastColumn="0" w:noHBand="0" w:noVBand="0"/>
      </w:tblPr>
      <w:tblGrid>
        <w:gridCol w:w="1417"/>
        <w:gridCol w:w="1573"/>
        <w:gridCol w:w="2100"/>
        <w:gridCol w:w="1396"/>
        <w:gridCol w:w="873"/>
      </w:tblGrid>
      <w:tr w:rsidR="00AB3C90" w:rsidRPr="00CF31E0" w14:paraId="38A6EC0B" w14:textId="77777777" w:rsidTr="004F45D7">
        <w:trPr>
          <w:cantSplit/>
          <w:trHeight w:val="499"/>
        </w:trPr>
        <w:tc>
          <w:tcPr>
            <w:tcW w:w="1417" w:type="dxa"/>
            <w:vMerge w:val="restart"/>
            <w:tcBorders>
              <w:top w:val="single" w:sz="8" w:space="0" w:color="000000"/>
              <w:bottom w:val="single" w:sz="8" w:space="0" w:color="000000"/>
            </w:tcBorders>
            <w:shd w:val="clear" w:color="auto" w:fill="FFFFFF"/>
            <w:vAlign w:val="bottom"/>
          </w:tcPr>
          <w:p w14:paraId="5C29546E" w14:textId="68ADBF7C"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Mother’s social group</w:t>
            </w:r>
          </w:p>
        </w:tc>
        <w:tc>
          <w:tcPr>
            <w:tcW w:w="1573" w:type="dxa"/>
            <w:vMerge w:val="restart"/>
            <w:tcBorders>
              <w:top w:val="single" w:sz="8" w:space="0" w:color="000000"/>
              <w:bottom w:val="single" w:sz="8" w:space="0" w:color="000000"/>
            </w:tcBorders>
            <w:shd w:val="clear" w:color="auto" w:fill="FFFFFF"/>
            <w:vAlign w:val="bottom"/>
          </w:tcPr>
          <w:p w14:paraId="3898E737" w14:textId="525111D0"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Mother’s social group</w:t>
            </w:r>
          </w:p>
        </w:tc>
        <w:tc>
          <w:tcPr>
            <w:tcW w:w="2100" w:type="dxa"/>
            <w:vMerge w:val="restart"/>
            <w:tcBorders>
              <w:top w:val="single" w:sz="8" w:space="0" w:color="000000"/>
              <w:bottom w:val="single" w:sz="8" w:space="0" w:color="000000"/>
            </w:tcBorders>
            <w:shd w:val="clear" w:color="auto" w:fill="FFFFFF"/>
            <w:vAlign w:val="bottom"/>
          </w:tcPr>
          <w:p w14:paraId="5CEAE7FE" w14:textId="0B25497C" w:rsidR="00AB3C90" w:rsidRPr="00CF31E0" w:rsidRDefault="00AB3C90" w:rsidP="00AB3C90">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 xml:space="preserve">Mean Difference </w:t>
            </w:r>
          </w:p>
        </w:tc>
        <w:tc>
          <w:tcPr>
            <w:tcW w:w="1396" w:type="dxa"/>
            <w:vMerge w:val="restart"/>
            <w:tcBorders>
              <w:top w:val="single" w:sz="8" w:space="0" w:color="000000"/>
              <w:bottom w:val="single" w:sz="8" w:space="0" w:color="000000"/>
            </w:tcBorders>
            <w:shd w:val="clear" w:color="auto" w:fill="FFFFFF"/>
            <w:vAlign w:val="bottom"/>
          </w:tcPr>
          <w:p w14:paraId="3AD2F243"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Std. Error</w:t>
            </w:r>
          </w:p>
        </w:tc>
        <w:tc>
          <w:tcPr>
            <w:tcW w:w="873" w:type="dxa"/>
            <w:vMerge w:val="restart"/>
            <w:tcBorders>
              <w:top w:val="single" w:sz="8" w:space="0" w:color="000000"/>
              <w:bottom w:val="single" w:sz="8" w:space="0" w:color="000000"/>
            </w:tcBorders>
            <w:shd w:val="clear" w:color="auto" w:fill="FFFFFF"/>
            <w:vAlign w:val="bottom"/>
          </w:tcPr>
          <w:p w14:paraId="49A4B8E6"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AB3C90" w:rsidRPr="00CF31E0" w14:paraId="07F774C3" w14:textId="77777777" w:rsidTr="004F45D7">
        <w:trPr>
          <w:cantSplit/>
          <w:trHeight w:val="619"/>
        </w:trPr>
        <w:tc>
          <w:tcPr>
            <w:tcW w:w="1417" w:type="dxa"/>
            <w:vMerge/>
            <w:tcBorders>
              <w:bottom w:val="single" w:sz="8" w:space="0" w:color="000000"/>
            </w:tcBorders>
            <w:shd w:val="clear" w:color="auto" w:fill="FFFFFF"/>
            <w:vAlign w:val="bottom"/>
          </w:tcPr>
          <w:p w14:paraId="76BA38E9" w14:textId="77777777" w:rsidR="00AB3C90" w:rsidRPr="00CF31E0" w:rsidRDefault="00AB3C90" w:rsidP="000B4835">
            <w:pPr>
              <w:spacing w:before="120" w:after="120" w:line="360" w:lineRule="auto"/>
              <w:rPr>
                <w:rFonts w:eastAsia="Calibri" w:cs="Arial"/>
                <w:color w:val="000000" w:themeColor="text1"/>
                <w:sz w:val="22"/>
                <w:szCs w:val="22"/>
                <w:lang w:eastAsia="en-US"/>
              </w:rPr>
            </w:pPr>
          </w:p>
        </w:tc>
        <w:tc>
          <w:tcPr>
            <w:tcW w:w="1573" w:type="dxa"/>
            <w:vMerge/>
            <w:tcBorders>
              <w:bottom w:val="single" w:sz="8" w:space="0" w:color="000000"/>
            </w:tcBorders>
            <w:shd w:val="clear" w:color="auto" w:fill="FFFFFF"/>
            <w:vAlign w:val="bottom"/>
          </w:tcPr>
          <w:p w14:paraId="61263775" w14:textId="77777777" w:rsidR="00AB3C90" w:rsidRPr="00CF31E0" w:rsidRDefault="00AB3C90" w:rsidP="000B4835">
            <w:pPr>
              <w:spacing w:before="120" w:after="120" w:line="360" w:lineRule="auto"/>
              <w:rPr>
                <w:rFonts w:eastAsia="Calibri" w:cs="Arial"/>
                <w:color w:val="000000" w:themeColor="text1"/>
                <w:sz w:val="22"/>
                <w:szCs w:val="22"/>
                <w:lang w:eastAsia="en-US"/>
              </w:rPr>
            </w:pPr>
          </w:p>
        </w:tc>
        <w:tc>
          <w:tcPr>
            <w:tcW w:w="2100" w:type="dxa"/>
            <w:vMerge/>
            <w:tcBorders>
              <w:bottom w:val="single" w:sz="8" w:space="0" w:color="000000"/>
            </w:tcBorders>
            <w:shd w:val="clear" w:color="auto" w:fill="FFFFFF"/>
            <w:vAlign w:val="bottom"/>
          </w:tcPr>
          <w:p w14:paraId="122A643D" w14:textId="77777777" w:rsidR="00AB3C90" w:rsidRPr="00CF31E0" w:rsidRDefault="00AB3C90" w:rsidP="000B4835">
            <w:pPr>
              <w:spacing w:before="120" w:after="120" w:line="360" w:lineRule="auto"/>
              <w:rPr>
                <w:rFonts w:eastAsia="Calibri" w:cs="Arial"/>
                <w:color w:val="000000" w:themeColor="text1"/>
                <w:sz w:val="22"/>
                <w:szCs w:val="22"/>
                <w:lang w:eastAsia="en-US"/>
              </w:rPr>
            </w:pPr>
          </w:p>
        </w:tc>
        <w:tc>
          <w:tcPr>
            <w:tcW w:w="1396" w:type="dxa"/>
            <w:vMerge/>
            <w:tcBorders>
              <w:bottom w:val="single" w:sz="8" w:space="0" w:color="000000"/>
            </w:tcBorders>
            <w:shd w:val="clear" w:color="auto" w:fill="FFFFFF"/>
            <w:vAlign w:val="bottom"/>
          </w:tcPr>
          <w:p w14:paraId="7F543EBD" w14:textId="77777777" w:rsidR="00AB3C90" w:rsidRPr="00CF31E0" w:rsidRDefault="00AB3C90" w:rsidP="000B4835">
            <w:pPr>
              <w:spacing w:before="120" w:after="120" w:line="360" w:lineRule="auto"/>
              <w:rPr>
                <w:rFonts w:eastAsia="Calibri" w:cs="Arial"/>
                <w:color w:val="000000" w:themeColor="text1"/>
                <w:sz w:val="22"/>
                <w:szCs w:val="22"/>
                <w:lang w:eastAsia="en-US"/>
              </w:rPr>
            </w:pPr>
          </w:p>
        </w:tc>
        <w:tc>
          <w:tcPr>
            <w:tcW w:w="873" w:type="dxa"/>
            <w:vMerge/>
            <w:tcBorders>
              <w:bottom w:val="single" w:sz="8" w:space="0" w:color="000000"/>
            </w:tcBorders>
            <w:shd w:val="clear" w:color="auto" w:fill="FFFFFF"/>
            <w:vAlign w:val="bottom"/>
          </w:tcPr>
          <w:p w14:paraId="5DF7DCE8" w14:textId="77777777" w:rsidR="00AB3C90" w:rsidRPr="00CF31E0" w:rsidRDefault="00AB3C90" w:rsidP="000B4835">
            <w:pPr>
              <w:spacing w:before="120" w:after="120" w:line="360" w:lineRule="auto"/>
              <w:rPr>
                <w:rFonts w:eastAsia="Calibri" w:cs="Arial"/>
                <w:color w:val="000000" w:themeColor="text1"/>
                <w:sz w:val="22"/>
                <w:szCs w:val="22"/>
                <w:lang w:eastAsia="en-US"/>
              </w:rPr>
            </w:pPr>
          </w:p>
        </w:tc>
      </w:tr>
      <w:tr w:rsidR="00AB3C90" w:rsidRPr="00CF31E0" w14:paraId="5C816F5A" w14:textId="77777777" w:rsidTr="004F45D7">
        <w:trPr>
          <w:cantSplit/>
          <w:trHeight w:val="572"/>
        </w:trPr>
        <w:tc>
          <w:tcPr>
            <w:tcW w:w="1417" w:type="dxa"/>
            <w:tcBorders>
              <w:top w:val="single" w:sz="8" w:space="0" w:color="000000"/>
            </w:tcBorders>
            <w:shd w:val="clear" w:color="auto" w:fill="FFFFFF"/>
          </w:tcPr>
          <w:p w14:paraId="3B470454" w14:textId="7A154C96"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UBH</w:t>
            </w:r>
          </w:p>
        </w:tc>
        <w:tc>
          <w:tcPr>
            <w:tcW w:w="1573" w:type="dxa"/>
            <w:tcBorders>
              <w:top w:val="single" w:sz="8" w:space="0" w:color="000000"/>
            </w:tcBorders>
            <w:shd w:val="clear" w:color="auto" w:fill="FFFFFF"/>
          </w:tcPr>
          <w:p w14:paraId="2E7DD9CB" w14:textId="251DA821"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HH</w:t>
            </w:r>
          </w:p>
        </w:tc>
        <w:tc>
          <w:tcPr>
            <w:tcW w:w="2100" w:type="dxa"/>
            <w:tcBorders>
              <w:top w:val="single" w:sz="8" w:space="0" w:color="000000"/>
            </w:tcBorders>
            <w:shd w:val="clear" w:color="auto" w:fill="FFFFFF"/>
            <w:vAlign w:val="center"/>
          </w:tcPr>
          <w:p w14:paraId="2D18FAF8"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-.37971</w:t>
            </w:r>
            <w:r w:rsidRPr="00CF31E0">
              <w:rPr>
                <w:rFonts w:eastAsia="Calibri" w:cs="Arial"/>
                <w:color w:val="000000" w:themeColor="text1"/>
                <w:sz w:val="22"/>
                <w:szCs w:val="22"/>
                <w:vertAlign w:val="superscript"/>
                <w:lang w:eastAsia="en-US"/>
              </w:rPr>
              <w:t>*</w:t>
            </w:r>
          </w:p>
        </w:tc>
        <w:tc>
          <w:tcPr>
            <w:tcW w:w="1396" w:type="dxa"/>
            <w:tcBorders>
              <w:top w:val="single" w:sz="8" w:space="0" w:color="000000"/>
            </w:tcBorders>
            <w:shd w:val="clear" w:color="auto" w:fill="FFFFFF"/>
            <w:vAlign w:val="center"/>
          </w:tcPr>
          <w:p w14:paraId="3260B4BE"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.09394</w:t>
            </w:r>
          </w:p>
        </w:tc>
        <w:tc>
          <w:tcPr>
            <w:tcW w:w="873" w:type="dxa"/>
            <w:tcBorders>
              <w:top w:val="single" w:sz="8" w:space="0" w:color="000000"/>
            </w:tcBorders>
            <w:shd w:val="clear" w:color="auto" w:fill="FFFFFF"/>
            <w:vAlign w:val="center"/>
          </w:tcPr>
          <w:p w14:paraId="43029CCA"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.000</w:t>
            </w:r>
          </w:p>
        </w:tc>
      </w:tr>
      <w:tr w:rsidR="00AB3C90" w:rsidRPr="00CF31E0" w14:paraId="1BC2B7C7" w14:textId="77777777" w:rsidTr="004F45D7">
        <w:trPr>
          <w:cantSplit/>
          <w:trHeight w:val="592"/>
        </w:trPr>
        <w:tc>
          <w:tcPr>
            <w:tcW w:w="1417" w:type="dxa"/>
            <w:tcBorders>
              <w:bottom w:val="single" w:sz="8" w:space="0" w:color="000000"/>
            </w:tcBorders>
            <w:shd w:val="clear" w:color="auto" w:fill="FFFFFF"/>
          </w:tcPr>
          <w:p w14:paraId="6C99BFB6" w14:textId="439439AF"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HH</w:t>
            </w:r>
          </w:p>
        </w:tc>
        <w:tc>
          <w:tcPr>
            <w:tcW w:w="1573" w:type="dxa"/>
            <w:tcBorders>
              <w:bottom w:val="single" w:sz="8" w:space="0" w:color="000000"/>
            </w:tcBorders>
            <w:shd w:val="clear" w:color="auto" w:fill="FFFFFF"/>
          </w:tcPr>
          <w:p w14:paraId="615C9829" w14:textId="5A9CE978"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UBH</w:t>
            </w:r>
          </w:p>
        </w:tc>
        <w:tc>
          <w:tcPr>
            <w:tcW w:w="2100" w:type="dxa"/>
            <w:tcBorders>
              <w:bottom w:val="single" w:sz="8" w:space="0" w:color="000000"/>
            </w:tcBorders>
            <w:shd w:val="clear" w:color="auto" w:fill="FFFFFF"/>
            <w:vAlign w:val="center"/>
          </w:tcPr>
          <w:p w14:paraId="38463E14"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.37971</w:t>
            </w:r>
            <w:r w:rsidRPr="00CF31E0">
              <w:rPr>
                <w:rFonts w:eastAsia="Calibri" w:cs="Arial"/>
                <w:color w:val="000000" w:themeColor="text1"/>
                <w:sz w:val="22"/>
                <w:szCs w:val="22"/>
                <w:vertAlign w:val="superscript"/>
                <w:lang w:eastAsia="en-US"/>
              </w:rPr>
              <w:t>*</w:t>
            </w:r>
          </w:p>
        </w:tc>
        <w:tc>
          <w:tcPr>
            <w:tcW w:w="1396" w:type="dxa"/>
            <w:tcBorders>
              <w:bottom w:val="single" w:sz="8" w:space="0" w:color="000000"/>
            </w:tcBorders>
            <w:shd w:val="clear" w:color="auto" w:fill="FFFFFF"/>
            <w:vAlign w:val="center"/>
          </w:tcPr>
          <w:p w14:paraId="79C84F4B"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.09394</w:t>
            </w:r>
          </w:p>
        </w:tc>
        <w:tc>
          <w:tcPr>
            <w:tcW w:w="873" w:type="dxa"/>
            <w:tcBorders>
              <w:bottom w:val="single" w:sz="8" w:space="0" w:color="000000"/>
            </w:tcBorders>
            <w:shd w:val="clear" w:color="auto" w:fill="FFFFFF"/>
            <w:vAlign w:val="center"/>
          </w:tcPr>
          <w:p w14:paraId="1496DBC5"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.000</w:t>
            </w:r>
          </w:p>
        </w:tc>
      </w:tr>
    </w:tbl>
    <w:p w14:paraId="1810FFF2" w14:textId="2FE9CDAF" w:rsidR="000B4835" w:rsidRPr="00CF31E0" w:rsidRDefault="000B4835" w:rsidP="002E4549">
      <w:pPr>
        <w:pStyle w:val="Tablecaption"/>
        <w:rPr>
          <w:lang w:eastAsia="en-US"/>
        </w:rPr>
      </w:pPr>
      <w:bookmarkStart w:id="976" w:name="_Toc522527510"/>
      <w:bookmarkStart w:id="977" w:name="_Toc522628923"/>
      <w:bookmarkStart w:id="978" w:name="_Toc522629087"/>
      <w:bookmarkStart w:id="979" w:name="_Toc6473185"/>
      <w:r w:rsidRPr="00CF31E0">
        <w:rPr>
          <w:lang w:eastAsia="en-US"/>
        </w:rPr>
        <w:t xml:space="preserve">Table </w:t>
      </w:r>
      <w:r w:rsidR="002E4549" w:rsidRPr="00CF31E0">
        <w:rPr>
          <w:lang w:eastAsia="en-US"/>
        </w:rPr>
        <w:t>11</w:t>
      </w:r>
      <w:r w:rsidR="0022109D" w:rsidRPr="00CF31E0">
        <w:rPr>
          <w:lang w:eastAsia="en-US"/>
        </w:rPr>
        <w:t>.</w:t>
      </w:r>
      <w:r w:rsidR="002E4549" w:rsidRPr="00CF31E0">
        <w:rPr>
          <w:lang w:eastAsia="en-US"/>
        </w:rPr>
        <w:t>47</w:t>
      </w:r>
      <w:r w:rsidRPr="00CF31E0">
        <w:rPr>
          <w:lang w:eastAsia="en-US"/>
        </w:rPr>
        <w:t>: Post-hoc test results for mother’s social group demographic variable.</w:t>
      </w:r>
      <w:bookmarkEnd w:id="976"/>
      <w:bookmarkEnd w:id="977"/>
      <w:bookmarkEnd w:id="978"/>
      <w:bookmarkEnd w:id="979"/>
    </w:p>
    <w:p w14:paraId="1951408A" w14:textId="3A0FE16D" w:rsidR="00716AD5" w:rsidRPr="00CF31E0" w:rsidRDefault="000B4835" w:rsidP="00603CB7">
      <w:pPr>
        <w:pStyle w:val="Paragraph"/>
        <w:rPr>
          <w:rFonts w:cs="Arial"/>
          <w:lang w:val="en-US" w:eastAsia="en-US"/>
        </w:rPr>
      </w:pPr>
      <w:r w:rsidRPr="00CF31E0">
        <w:rPr>
          <w:lang w:eastAsia="en-US"/>
        </w:rPr>
        <w:t xml:space="preserve">Table </w:t>
      </w:r>
      <w:r w:rsidR="002E4549" w:rsidRPr="00CF31E0">
        <w:rPr>
          <w:lang w:eastAsia="en-US"/>
        </w:rPr>
        <w:t>11</w:t>
      </w:r>
      <w:r w:rsidR="0022109D" w:rsidRPr="00CF31E0">
        <w:rPr>
          <w:lang w:eastAsia="en-US"/>
        </w:rPr>
        <w:t>.</w:t>
      </w:r>
      <w:r w:rsidR="002E4549" w:rsidRPr="00CF31E0">
        <w:rPr>
          <w:lang w:eastAsia="en-US"/>
        </w:rPr>
        <w:t xml:space="preserve">46 </w:t>
      </w:r>
      <w:r w:rsidRPr="00CF31E0">
        <w:rPr>
          <w:lang w:eastAsia="en-US"/>
        </w:rPr>
        <w:t>shows that the participants’ mother’s social group affected the data, with p&lt;.000.</w:t>
      </w:r>
      <w:r w:rsidRPr="00CF31E0">
        <w:rPr>
          <w:lang w:val="en-US" w:eastAsia="en-US"/>
        </w:rPr>
        <w:t xml:space="preserve"> Table </w:t>
      </w:r>
      <w:r w:rsidR="002E4549" w:rsidRPr="00CF31E0">
        <w:rPr>
          <w:lang w:val="en-US" w:eastAsia="en-US"/>
        </w:rPr>
        <w:t>11</w:t>
      </w:r>
      <w:r w:rsidR="0022109D" w:rsidRPr="00CF31E0">
        <w:rPr>
          <w:lang w:val="en-US" w:eastAsia="en-US"/>
        </w:rPr>
        <w:t>.</w:t>
      </w:r>
      <w:r w:rsidR="002E4549" w:rsidRPr="00CF31E0">
        <w:rPr>
          <w:lang w:val="en-US" w:eastAsia="en-US"/>
        </w:rPr>
        <w:t xml:space="preserve">47 </w:t>
      </w:r>
      <w:r w:rsidRPr="00CF31E0">
        <w:rPr>
          <w:lang w:val="en-US" w:eastAsia="en-US"/>
        </w:rPr>
        <w:t>shows that particip</w:t>
      </w:r>
      <w:r w:rsidR="0059652A" w:rsidRPr="00CF31E0">
        <w:rPr>
          <w:lang w:val="en-US" w:eastAsia="en-US"/>
        </w:rPr>
        <w:t>ants whose mothers are of HH</w:t>
      </w:r>
      <w:r w:rsidRPr="00CF31E0">
        <w:rPr>
          <w:lang w:val="en-US" w:eastAsia="en-US"/>
        </w:rPr>
        <w:t xml:space="preserve"> origin perceived the voice sample as more modern, while thos</w:t>
      </w:r>
      <w:r w:rsidR="0059652A" w:rsidRPr="00CF31E0">
        <w:rPr>
          <w:lang w:val="en-US" w:eastAsia="en-US"/>
        </w:rPr>
        <w:t>e whose mothers are of a UBH</w:t>
      </w:r>
      <w:r w:rsidRPr="00CF31E0">
        <w:rPr>
          <w:lang w:val="en-US" w:eastAsia="en-US"/>
        </w:rPr>
        <w:t xml:space="preserve"> origin perceived it as less modern. </w:t>
      </w:r>
      <w:r w:rsidR="00716AD5" w:rsidRPr="00CF31E0">
        <w:rPr>
          <w:rFonts w:cs="Arial"/>
          <w:lang w:val="en-US" w:eastAsia="en-US"/>
        </w:rPr>
        <w:t xml:space="preserve">See </w:t>
      </w:r>
      <w:r w:rsidR="00A1775C" w:rsidRPr="00CF31E0">
        <w:rPr>
          <w:rFonts w:cs="Arial"/>
          <w:lang w:val="en-US" w:eastAsia="en-US"/>
        </w:rPr>
        <w:t xml:space="preserve">Tables </w:t>
      </w:r>
      <w:r w:rsidR="002E4549" w:rsidRPr="00CF31E0">
        <w:rPr>
          <w:rFonts w:cs="Arial"/>
          <w:lang w:val="en-US" w:eastAsia="en-US"/>
        </w:rPr>
        <w:t>11</w:t>
      </w:r>
      <w:r w:rsidR="00716AD5" w:rsidRPr="00CF31E0">
        <w:rPr>
          <w:rFonts w:cs="Arial"/>
          <w:lang w:val="en-US" w:eastAsia="en-US"/>
        </w:rPr>
        <w:t>.</w:t>
      </w:r>
      <w:r w:rsidR="002E4549" w:rsidRPr="00CF31E0">
        <w:rPr>
          <w:rFonts w:cs="Arial"/>
          <w:lang w:val="en-US" w:eastAsia="en-US"/>
        </w:rPr>
        <w:t xml:space="preserve">48 </w:t>
      </w:r>
      <w:r w:rsidR="00716AD5" w:rsidRPr="00CF31E0">
        <w:rPr>
          <w:rFonts w:cs="Arial"/>
          <w:lang w:val="en-US" w:eastAsia="en-US"/>
        </w:rPr>
        <w:t xml:space="preserve">and </w:t>
      </w:r>
      <w:r w:rsidR="002E4549" w:rsidRPr="00CF31E0">
        <w:rPr>
          <w:rFonts w:cs="Arial"/>
          <w:lang w:val="en-US" w:eastAsia="en-US"/>
        </w:rPr>
        <w:t>11</w:t>
      </w:r>
      <w:r w:rsidR="00716AD5" w:rsidRPr="00CF31E0">
        <w:rPr>
          <w:rFonts w:cs="Arial"/>
          <w:lang w:val="en-US" w:eastAsia="en-US"/>
        </w:rPr>
        <w:t>.</w:t>
      </w:r>
      <w:r w:rsidR="002E4549" w:rsidRPr="00CF31E0">
        <w:rPr>
          <w:rFonts w:cs="Arial"/>
          <w:lang w:val="en-US" w:eastAsia="en-US"/>
        </w:rPr>
        <w:t>49</w:t>
      </w:r>
      <w:r w:rsidR="00716AD5" w:rsidRPr="00CF31E0">
        <w:rPr>
          <w:rFonts w:cs="Arial"/>
          <w:lang w:val="en-US" w:eastAsia="en-US"/>
        </w:rPr>
        <w:t xml:space="preserve"> for spouse’s social group results </w:t>
      </w:r>
      <w:r w:rsidR="00A1775C" w:rsidRPr="00CF31E0">
        <w:rPr>
          <w:rFonts w:cs="Arial"/>
          <w:lang w:val="en-US" w:eastAsia="en-US"/>
        </w:rPr>
        <w:t>from</w:t>
      </w:r>
      <w:r w:rsidR="00716AD5" w:rsidRPr="00CF31E0">
        <w:rPr>
          <w:rFonts w:cs="Arial"/>
          <w:lang w:val="en-US" w:eastAsia="en-US"/>
        </w:rPr>
        <w:t xml:space="preserve"> the data.</w:t>
      </w:r>
    </w:p>
    <w:tbl>
      <w:tblPr>
        <w:tblW w:w="7450"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30"/>
        <w:gridCol w:w="1989"/>
        <w:gridCol w:w="788"/>
        <w:gridCol w:w="1601"/>
        <w:gridCol w:w="1142"/>
      </w:tblGrid>
      <w:tr w:rsidR="00AB3C90" w:rsidRPr="00CF31E0" w14:paraId="276F781A" w14:textId="77777777" w:rsidTr="00AB3C90">
        <w:trPr>
          <w:cantSplit/>
          <w:trHeight w:val="616"/>
        </w:trPr>
        <w:tc>
          <w:tcPr>
            <w:tcW w:w="1930" w:type="dxa"/>
            <w:tcBorders>
              <w:top w:val="single" w:sz="4" w:space="0" w:color="000000"/>
              <w:left w:val="nil"/>
              <w:bottom w:val="single" w:sz="4" w:space="0" w:color="000000"/>
              <w:right w:val="nil"/>
            </w:tcBorders>
            <w:shd w:val="clear" w:color="auto" w:fill="FFFFFF"/>
            <w:vAlign w:val="bottom"/>
          </w:tcPr>
          <w:p w14:paraId="4BB1EA9D" w14:textId="579452A7"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Spouse’s social group</w:t>
            </w:r>
          </w:p>
        </w:tc>
        <w:tc>
          <w:tcPr>
            <w:tcW w:w="1989" w:type="dxa"/>
            <w:tcBorders>
              <w:top w:val="single" w:sz="4" w:space="0" w:color="000000"/>
              <w:left w:val="nil"/>
              <w:bottom w:val="single" w:sz="4" w:space="0" w:color="000000"/>
              <w:right w:val="nil"/>
            </w:tcBorders>
            <w:shd w:val="clear" w:color="auto" w:fill="FFFFFF"/>
            <w:vAlign w:val="bottom"/>
          </w:tcPr>
          <w:p w14:paraId="03826FEA" w14:textId="77777777"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Sum of Squares</w:t>
            </w:r>
          </w:p>
        </w:tc>
        <w:tc>
          <w:tcPr>
            <w:tcW w:w="788" w:type="dxa"/>
            <w:tcBorders>
              <w:top w:val="single" w:sz="4" w:space="0" w:color="000000"/>
              <w:left w:val="nil"/>
              <w:bottom w:val="single" w:sz="4" w:space="0" w:color="000000"/>
              <w:right w:val="nil"/>
            </w:tcBorders>
            <w:shd w:val="clear" w:color="auto" w:fill="FFFFFF"/>
            <w:vAlign w:val="bottom"/>
          </w:tcPr>
          <w:p w14:paraId="3E0C268B" w14:textId="77777777"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df</w:t>
            </w:r>
          </w:p>
        </w:tc>
        <w:tc>
          <w:tcPr>
            <w:tcW w:w="1601" w:type="dxa"/>
            <w:tcBorders>
              <w:top w:val="single" w:sz="4" w:space="0" w:color="000000"/>
              <w:left w:val="nil"/>
              <w:bottom w:val="single" w:sz="4" w:space="0" w:color="000000"/>
              <w:right w:val="nil"/>
            </w:tcBorders>
            <w:shd w:val="clear" w:color="auto" w:fill="FFFFFF"/>
            <w:vAlign w:val="bottom"/>
          </w:tcPr>
          <w:p w14:paraId="732F87B9" w14:textId="77777777"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Mean Square</w:t>
            </w:r>
          </w:p>
        </w:tc>
        <w:tc>
          <w:tcPr>
            <w:tcW w:w="1142" w:type="dxa"/>
            <w:tcBorders>
              <w:top w:val="single" w:sz="4" w:space="0" w:color="000000"/>
              <w:left w:val="nil"/>
              <w:bottom w:val="single" w:sz="4" w:space="0" w:color="000000"/>
              <w:right w:val="nil"/>
            </w:tcBorders>
            <w:shd w:val="clear" w:color="auto" w:fill="FFFFFF"/>
            <w:vAlign w:val="bottom"/>
          </w:tcPr>
          <w:p w14:paraId="40E189C7" w14:textId="77777777"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Sig.</w:t>
            </w:r>
          </w:p>
        </w:tc>
      </w:tr>
      <w:tr w:rsidR="00AB3C90" w:rsidRPr="00CF31E0" w14:paraId="57BA53FD" w14:textId="77777777" w:rsidTr="00AB3C90">
        <w:trPr>
          <w:cantSplit/>
          <w:trHeight w:val="606"/>
        </w:trPr>
        <w:tc>
          <w:tcPr>
            <w:tcW w:w="1930" w:type="dxa"/>
            <w:tcBorders>
              <w:top w:val="single" w:sz="4" w:space="0" w:color="000000"/>
              <w:left w:val="nil"/>
              <w:bottom w:val="nil"/>
              <w:right w:val="nil"/>
            </w:tcBorders>
            <w:shd w:val="clear" w:color="auto" w:fill="FFFFFF"/>
          </w:tcPr>
          <w:p w14:paraId="7A5F5675" w14:textId="77777777"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Between Groups</w:t>
            </w:r>
          </w:p>
        </w:tc>
        <w:tc>
          <w:tcPr>
            <w:tcW w:w="1989" w:type="dxa"/>
            <w:tcBorders>
              <w:top w:val="single" w:sz="4" w:space="0" w:color="000000"/>
              <w:left w:val="nil"/>
              <w:bottom w:val="nil"/>
              <w:right w:val="nil"/>
            </w:tcBorders>
            <w:shd w:val="clear" w:color="auto" w:fill="FFFFFF"/>
            <w:vAlign w:val="center"/>
          </w:tcPr>
          <w:p w14:paraId="3684BE9D" w14:textId="77777777"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48.709</w:t>
            </w:r>
          </w:p>
        </w:tc>
        <w:tc>
          <w:tcPr>
            <w:tcW w:w="788" w:type="dxa"/>
            <w:tcBorders>
              <w:top w:val="single" w:sz="4" w:space="0" w:color="000000"/>
              <w:left w:val="nil"/>
              <w:bottom w:val="nil"/>
              <w:right w:val="nil"/>
            </w:tcBorders>
            <w:shd w:val="clear" w:color="auto" w:fill="FFFFFF"/>
            <w:vAlign w:val="center"/>
          </w:tcPr>
          <w:p w14:paraId="1D916D78" w14:textId="77777777"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4</w:t>
            </w:r>
          </w:p>
        </w:tc>
        <w:tc>
          <w:tcPr>
            <w:tcW w:w="1601" w:type="dxa"/>
            <w:tcBorders>
              <w:top w:val="single" w:sz="4" w:space="0" w:color="000000"/>
              <w:left w:val="nil"/>
              <w:bottom w:val="nil"/>
              <w:right w:val="nil"/>
            </w:tcBorders>
            <w:shd w:val="clear" w:color="auto" w:fill="FFFFFF"/>
            <w:vAlign w:val="center"/>
          </w:tcPr>
          <w:p w14:paraId="6F2165AA" w14:textId="77777777"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12.177</w:t>
            </w:r>
          </w:p>
        </w:tc>
        <w:tc>
          <w:tcPr>
            <w:tcW w:w="1142" w:type="dxa"/>
            <w:tcBorders>
              <w:top w:val="single" w:sz="4" w:space="0" w:color="000000"/>
              <w:left w:val="nil"/>
              <w:bottom w:val="nil"/>
              <w:right w:val="nil"/>
            </w:tcBorders>
            <w:shd w:val="clear" w:color="auto" w:fill="FFFFFF"/>
            <w:vAlign w:val="center"/>
          </w:tcPr>
          <w:p w14:paraId="6F3ECFE4" w14:textId="77777777"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.000</w:t>
            </w:r>
          </w:p>
        </w:tc>
      </w:tr>
      <w:tr w:rsidR="00AB3C90" w:rsidRPr="00CF31E0" w14:paraId="0C1E9886" w14:textId="77777777" w:rsidTr="00AB3C90">
        <w:trPr>
          <w:cantSplit/>
          <w:trHeight w:val="616"/>
        </w:trPr>
        <w:tc>
          <w:tcPr>
            <w:tcW w:w="1930" w:type="dxa"/>
            <w:tcBorders>
              <w:top w:val="nil"/>
              <w:left w:val="nil"/>
              <w:bottom w:val="nil"/>
              <w:right w:val="nil"/>
            </w:tcBorders>
            <w:shd w:val="clear" w:color="auto" w:fill="FFFFFF"/>
          </w:tcPr>
          <w:p w14:paraId="2234FBFC" w14:textId="77777777"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Within Groups</w:t>
            </w:r>
          </w:p>
        </w:tc>
        <w:tc>
          <w:tcPr>
            <w:tcW w:w="1989" w:type="dxa"/>
            <w:tcBorders>
              <w:top w:val="nil"/>
              <w:left w:val="nil"/>
              <w:bottom w:val="nil"/>
              <w:right w:val="nil"/>
            </w:tcBorders>
            <w:shd w:val="clear" w:color="auto" w:fill="FFFFFF"/>
            <w:vAlign w:val="center"/>
          </w:tcPr>
          <w:p w14:paraId="65B3BBAD" w14:textId="77777777"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860.615</w:t>
            </w:r>
          </w:p>
        </w:tc>
        <w:tc>
          <w:tcPr>
            <w:tcW w:w="788" w:type="dxa"/>
            <w:tcBorders>
              <w:top w:val="nil"/>
              <w:left w:val="nil"/>
              <w:bottom w:val="nil"/>
              <w:right w:val="nil"/>
            </w:tcBorders>
            <w:shd w:val="clear" w:color="auto" w:fill="FFFFFF"/>
            <w:vAlign w:val="center"/>
          </w:tcPr>
          <w:p w14:paraId="3B33C07A" w14:textId="77777777"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645</w:t>
            </w:r>
          </w:p>
        </w:tc>
        <w:tc>
          <w:tcPr>
            <w:tcW w:w="1601" w:type="dxa"/>
            <w:tcBorders>
              <w:top w:val="nil"/>
              <w:left w:val="nil"/>
              <w:bottom w:val="nil"/>
              <w:right w:val="nil"/>
            </w:tcBorders>
            <w:shd w:val="clear" w:color="auto" w:fill="FFFFFF"/>
            <w:vAlign w:val="center"/>
          </w:tcPr>
          <w:p w14:paraId="4B6BDFFC" w14:textId="77777777"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1.345</w:t>
            </w:r>
          </w:p>
        </w:tc>
        <w:tc>
          <w:tcPr>
            <w:tcW w:w="1142" w:type="dxa"/>
            <w:tcBorders>
              <w:top w:val="nil"/>
              <w:left w:val="nil"/>
              <w:bottom w:val="nil"/>
              <w:right w:val="nil"/>
            </w:tcBorders>
            <w:shd w:val="clear" w:color="auto" w:fill="FFFFFF"/>
            <w:vAlign w:val="center"/>
          </w:tcPr>
          <w:p w14:paraId="3F1E653D" w14:textId="77777777" w:rsidR="00AB3C90" w:rsidRPr="00CF31E0" w:rsidRDefault="00AB3C90" w:rsidP="000B4835">
            <w:pPr>
              <w:spacing w:before="120" w:after="120" w:line="360" w:lineRule="auto"/>
              <w:rPr>
                <w:rFonts w:eastAsia="Calibri"/>
                <w:color w:val="000000" w:themeColor="text1"/>
                <w:sz w:val="22"/>
                <w:szCs w:val="22"/>
                <w:lang w:eastAsia="en-US"/>
              </w:rPr>
            </w:pPr>
          </w:p>
        </w:tc>
      </w:tr>
      <w:tr w:rsidR="00AB3C90" w:rsidRPr="00CF31E0" w14:paraId="48602D3C" w14:textId="77777777" w:rsidTr="00AB3C90">
        <w:trPr>
          <w:cantSplit/>
          <w:trHeight w:val="606"/>
        </w:trPr>
        <w:tc>
          <w:tcPr>
            <w:tcW w:w="1930" w:type="dxa"/>
            <w:tcBorders>
              <w:top w:val="nil"/>
              <w:left w:val="nil"/>
              <w:bottom w:val="single" w:sz="4" w:space="0" w:color="000000"/>
              <w:right w:val="nil"/>
            </w:tcBorders>
            <w:shd w:val="clear" w:color="auto" w:fill="FFFFFF"/>
          </w:tcPr>
          <w:p w14:paraId="0CCE0B79" w14:textId="77777777"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Total</w:t>
            </w:r>
          </w:p>
        </w:tc>
        <w:tc>
          <w:tcPr>
            <w:tcW w:w="1989" w:type="dxa"/>
            <w:tcBorders>
              <w:top w:val="nil"/>
              <w:left w:val="nil"/>
              <w:bottom w:val="single" w:sz="4" w:space="0" w:color="000000"/>
              <w:right w:val="nil"/>
            </w:tcBorders>
            <w:shd w:val="clear" w:color="auto" w:fill="FFFFFF"/>
            <w:vAlign w:val="center"/>
          </w:tcPr>
          <w:p w14:paraId="579ADCAC" w14:textId="77777777"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909.324</w:t>
            </w:r>
          </w:p>
        </w:tc>
        <w:tc>
          <w:tcPr>
            <w:tcW w:w="788" w:type="dxa"/>
            <w:tcBorders>
              <w:top w:val="nil"/>
              <w:left w:val="nil"/>
              <w:bottom w:val="single" w:sz="4" w:space="0" w:color="000000"/>
              <w:right w:val="nil"/>
            </w:tcBorders>
            <w:shd w:val="clear" w:color="auto" w:fill="FFFFFF"/>
            <w:vAlign w:val="center"/>
          </w:tcPr>
          <w:p w14:paraId="6B10A9C5" w14:textId="77777777" w:rsidR="00AB3C90" w:rsidRPr="00CF31E0" w:rsidRDefault="00AB3C90"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1601" w:type="dxa"/>
            <w:tcBorders>
              <w:top w:val="nil"/>
              <w:left w:val="nil"/>
              <w:bottom w:val="single" w:sz="4" w:space="0" w:color="000000"/>
              <w:right w:val="nil"/>
            </w:tcBorders>
            <w:shd w:val="clear" w:color="auto" w:fill="FFFFFF"/>
            <w:vAlign w:val="center"/>
          </w:tcPr>
          <w:p w14:paraId="794DCAFF" w14:textId="77777777" w:rsidR="00AB3C90" w:rsidRPr="00CF31E0" w:rsidRDefault="00AB3C90" w:rsidP="000B4835">
            <w:pPr>
              <w:spacing w:before="120" w:after="120" w:line="360" w:lineRule="auto"/>
              <w:rPr>
                <w:rFonts w:eastAsia="Calibri"/>
                <w:color w:val="000000" w:themeColor="text1"/>
                <w:sz w:val="22"/>
                <w:szCs w:val="22"/>
                <w:lang w:eastAsia="en-US"/>
              </w:rPr>
            </w:pPr>
          </w:p>
        </w:tc>
        <w:tc>
          <w:tcPr>
            <w:tcW w:w="1142" w:type="dxa"/>
            <w:tcBorders>
              <w:top w:val="nil"/>
              <w:left w:val="nil"/>
              <w:bottom w:val="single" w:sz="4" w:space="0" w:color="000000"/>
              <w:right w:val="nil"/>
            </w:tcBorders>
            <w:shd w:val="clear" w:color="auto" w:fill="FFFFFF"/>
            <w:vAlign w:val="center"/>
          </w:tcPr>
          <w:p w14:paraId="77B3D0DA" w14:textId="77777777" w:rsidR="00AB3C90" w:rsidRPr="00CF31E0" w:rsidRDefault="00AB3C90" w:rsidP="000B4835">
            <w:pPr>
              <w:spacing w:before="120" w:after="120" w:line="360" w:lineRule="auto"/>
              <w:rPr>
                <w:rFonts w:eastAsia="Calibri"/>
                <w:color w:val="000000" w:themeColor="text1"/>
                <w:sz w:val="22"/>
                <w:szCs w:val="22"/>
                <w:lang w:eastAsia="en-US"/>
              </w:rPr>
            </w:pPr>
          </w:p>
        </w:tc>
      </w:tr>
    </w:tbl>
    <w:p w14:paraId="006E6105" w14:textId="20262C80" w:rsidR="00DC699C" w:rsidRDefault="000B4835" w:rsidP="00DC699C">
      <w:pPr>
        <w:pStyle w:val="Tablecaption"/>
        <w:spacing w:after="400"/>
      </w:pPr>
      <w:bookmarkStart w:id="980" w:name="_Toc522527511"/>
      <w:bookmarkStart w:id="981" w:name="_Toc522628924"/>
      <w:bookmarkStart w:id="982" w:name="_Toc522629088"/>
      <w:bookmarkStart w:id="983" w:name="_Toc6473186"/>
      <w:r w:rsidRPr="00CF31E0">
        <w:t xml:space="preserve">Table </w:t>
      </w:r>
      <w:r w:rsidR="002E4549" w:rsidRPr="00CF31E0">
        <w:t>11</w:t>
      </w:r>
      <w:r w:rsidR="0022109D" w:rsidRPr="00CF31E0">
        <w:t>.</w:t>
      </w:r>
      <w:r w:rsidR="002E4549" w:rsidRPr="00CF31E0">
        <w:t>48</w:t>
      </w:r>
      <w:r w:rsidRPr="00CF31E0">
        <w:t>: ANOVA statistics for spouse’s social group demographic variable.</w:t>
      </w:r>
      <w:bookmarkEnd w:id="980"/>
      <w:bookmarkEnd w:id="981"/>
      <w:bookmarkEnd w:id="982"/>
      <w:bookmarkEnd w:id="983"/>
    </w:p>
    <w:p w14:paraId="3627A302" w14:textId="77777777" w:rsidR="00F50E67" w:rsidRPr="00CF31E0" w:rsidRDefault="00F50E67" w:rsidP="00DC699C">
      <w:pPr>
        <w:pStyle w:val="Tablecaption"/>
        <w:spacing w:after="400"/>
      </w:pPr>
    </w:p>
    <w:tbl>
      <w:tblPr>
        <w:tblW w:w="7523" w:type="dxa"/>
        <w:tblInd w:w="-10" w:type="dxa"/>
        <w:tblBorders>
          <w:top w:val="single" w:sz="4" w:space="0" w:color="000000"/>
          <w:bottom w:val="single" w:sz="4" w:space="0" w:color="000000"/>
        </w:tblBorders>
        <w:tblLayout w:type="fixed"/>
        <w:tblCellMar>
          <w:left w:w="0" w:type="dxa"/>
          <w:right w:w="0" w:type="dxa"/>
        </w:tblCellMar>
        <w:tblLook w:val="0000" w:firstRow="0" w:lastRow="0" w:firstColumn="0" w:lastColumn="0" w:noHBand="0" w:noVBand="0"/>
      </w:tblPr>
      <w:tblGrid>
        <w:gridCol w:w="1026"/>
        <w:gridCol w:w="2246"/>
        <w:gridCol w:w="2037"/>
        <w:gridCol w:w="1155"/>
        <w:gridCol w:w="1059"/>
      </w:tblGrid>
      <w:tr w:rsidR="007F558A" w:rsidRPr="00CF31E0" w14:paraId="1A96DC4F" w14:textId="77777777" w:rsidTr="00603CB7">
        <w:trPr>
          <w:cantSplit/>
          <w:trHeight w:val="614"/>
        </w:trPr>
        <w:tc>
          <w:tcPr>
            <w:tcW w:w="1026" w:type="dxa"/>
            <w:tcBorders>
              <w:top w:val="single" w:sz="4" w:space="0" w:color="000000"/>
              <w:bottom w:val="single" w:sz="4" w:space="0" w:color="000000"/>
            </w:tcBorders>
          </w:tcPr>
          <w:p w14:paraId="3C30DE45"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4283" w:type="dxa"/>
            <w:gridSpan w:val="2"/>
            <w:tcBorders>
              <w:top w:val="single" w:sz="4" w:space="0" w:color="000000"/>
              <w:bottom w:val="single" w:sz="4" w:space="0" w:color="000000"/>
            </w:tcBorders>
            <w:shd w:val="clear" w:color="auto" w:fill="FFFFFF"/>
            <w:vAlign w:val="bottom"/>
          </w:tcPr>
          <w:p w14:paraId="39CBD63B"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Spouse group</w:t>
            </w:r>
          </w:p>
        </w:tc>
        <w:tc>
          <w:tcPr>
            <w:tcW w:w="1155" w:type="dxa"/>
            <w:tcBorders>
              <w:top w:val="single" w:sz="4" w:space="0" w:color="000000"/>
              <w:bottom w:val="single" w:sz="4" w:space="0" w:color="000000"/>
            </w:tcBorders>
            <w:shd w:val="clear" w:color="auto" w:fill="FFFFFF"/>
            <w:vAlign w:val="bottom"/>
          </w:tcPr>
          <w:p w14:paraId="5BE6751E"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Statistic</w:t>
            </w:r>
          </w:p>
        </w:tc>
        <w:tc>
          <w:tcPr>
            <w:tcW w:w="1059" w:type="dxa"/>
            <w:tcBorders>
              <w:top w:val="single" w:sz="4" w:space="0" w:color="000000"/>
              <w:bottom w:val="single" w:sz="4" w:space="0" w:color="000000"/>
            </w:tcBorders>
            <w:shd w:val="clear" w:color="auto" w:fill="FFFFFF"/>
            <w:vAlign w:val="bottom"/>
          </w:tcPr>
          <w:p w14:paraId="3327D804"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Std. Error</w:t>
            </w:r>
          </w:p>
        </w:tc>
      </w:tr>
      <w:tr w:rsidR="007F558A" w:rsidRPr="00CF31E0" w14:paraId="3D7DD3AE" w14:textId="77777777" w:rsidTr="00603CB7">
        <w:trPr>
          <w:cantSplit/>
          <w:trHeight w:val="623"/>
        </w:trPr>
        <w:tc>
          <w:tcPr>
            <w:tcW w:w="1026" w:type="dxa"/>
            <w:vMerge w:val="restart"/>
            <w:tcBorders>
              <w:top w:val="single" w:sz="4" w:space="0" w:color="000000"/>
              <w:bottom w:val="nil"/>
            </w:tcBorders>
            <w:shd w:val="clear" w:color="auto" w:fill="FFFFFF"/>
          </w:tcPr>
          <w:p w14:paraId="288E87C9"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Modern</w:t>
            </w:r>
          </w:p>
        </w:tc>
        <w:tc>
          <w:tcPr>
            <w:tcW w:w="2246" w:type="dxa"/>
            <w:tcBorders>
              <w:top w:val="single" w:sz="4" w:space="0" w:color="000000"/>
              <w:bottom w:val="nil"/>
            </w:tcBorders>
            <w:shd w:val="clear" w:color="auto" w:fill="FFFFFF"/>
          </w:tcPr>
          <w:p w14:paraId="7EFBEFA0" w14:textId="6E62C496" w:rsidR="000B4835" w:rsidRPr="00CF31E0" w:rsidRDefault="0059652A"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UBH</w:t>
            </w:r>
          </w:p>
        </w:tc>
        <w:tc>
          <w:tcPr>
            <w:tcW w:w="2037" w:type="dxa"/>
            <w:tcBorders>
              <w:top w:val="single" w:sz="4" w:space="0" w:color="000000"/>
              <w:bottom w:val="nil"/>
            </w:tcBorders>
            <w:shd w:val="clear" w:color="auto" w:fill="FFFFFF"/>
          </w:tcPr>
          <w:p w14:paraId="2224C384"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155" w:type="dxa"/>
            <w:tcBorders>
              <w:top w:val="single" w:sz="4" w:space="0" w:color="000000"/>
              <w:bottom w:val="nil"/>
            </w:tcBorders>
            <w:shd w:val="clear" w:color="auto" w:fill="FFFFFF"/>
            <w:vAlign w:val="center"/>
          </w:tcPr>
          <w:p w14:paraId="776D5220"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3.0948</w:t>
            </w:r>
          </w:p>
        </w:tc>
        <w:tc>
          <w:tcPr>
            <w:tcW w:w="1059" w:type="dxa"/>
            <w:tcBorders>
              <w:top w:val="single" w:sz="4" w:space="0" w:color="000000"/>
              <w:bottom w:val="nil"/>
            </w:tcBorders>
            <w:shd w:val="clear" w:color="auto" w:fill="FFFFFF"/>
            <w:vAlign w:val="center"/>
          </w:tcPr>
          <w:p w14:paraId="37F49827"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.08034</w:t>
            </w:r>
          </w:p>
        </w:tc>
      </w:tr>
      <w:tr w:rsidR="007F558A" w:rsidRPr="00CF31E0" w14:paraId="6022D469" w14:textId="77777777" w:rsidTr="00603CB7">
        <w:trPr>
          <w:cantSplit/>
          <w:trHeight w:val="143"/>
        </w:trPr>
        <w:tc>
          <w:tcPr>
            <w:tcW w:w="1026" w:type="dxa"/>
            <w:vMerge/>
            <w:tcBorders>
              <w:top w:val="nil"/>
            </w:tcBorders>
            <w:shd w:val="clear" w:color="auto" w:fill="FFFFFF"/>
          </w:tcPr>
          <w:p w14:paraId="1F2E86F1"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2246" w:type="dxa"/>
            <w:tcBorders>
              <w:top w:val="nil"/>
            </w:tcBorders>
            <w:shd w:val="clear" w:color="auto" w:fill="FFFFFF"/>
          </w:tcPr>
          <w:p w14:paraId="56FB7F07" w14:textId="78E75C9B"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H</w:t>
            </w:r>
            <w:r w:rsidR="0059652A" w:rsidRPr="00CF31E0">
              <w:rPr>
                <w:rFonts w:eastAsia="Calibri" w:cs="Arial"/>
                <w:color w:val="000000" w:themeColor="text1"/>
                <w:sz w:val="22"/>
                <w:szCs w:val="22"/>
                <w:lang w:eastAsia="en-US"/>
              </w:rPr>
              <w:t>H</w:t>
            </w:r>
          </w:p>
        </w:tc>
        <w:tc>
          <w:tcPr>
            <w:tcW w:w="2037" w:type="dxa"/>
            <w:tcBorders>
              <w:top w:val="nil"/>
            </w:tcBorders>
            <w:shd w:val="clear" w:color="auto" w:fill="FFFFFF"/>
          </w:tcPr>
          <w:p w14:paraId="09450138"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155" w:type="dxa"/>
            <w:tcBorders>
              <w:top w:val="nil"/>
            </w:tcBorders>
            <w:shd w:val="clear" w:color="auto" w:fill="FFFFFF"/>
            <w:vAlign w:val="center"/>
          </w:tcPr>
          <w:p w14:paraId="374C745F"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3.6853</w:t>
            </w:r>
          </w:p>
        </w:tc>
        <w:tc>
          <w:tcPr>
            <w:tcW w:w="1059" w:type="dxa"/>
            <w:tcBorders>
              <w:top w:val="nil"/>
            </w:tcBorders>
            <w:shd w:val="clear" w:color="auto" w:fill="FFFFFF"/>
            <w:vAlign w:val="center"/>
          </w:tcPr>
          <w:p w14:paraId="0B192EBE"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.06658</w:t>
            </w:r>
          </w:p>
        </w:tc>
      </w:tr>
    </w:tbl>
    <w:p w14:paraId="333BB27C" w14:textId="2DFB6794" w:rsidR="000B4835" w:rsidRPr="00CF31E0" w:rsidRDefault="000B4835" w:rsidP="002E4549">
      <w:pPr>
        <w:pStyle w:val="Tablecaption"/>
        <w:rPr>
          <w:lang w:eastAsia="zh-CN"/>
        </w:rPr>
      </w:pPr>
      <w:bookmarkStart w:id="984" w:name="_Toc522527512"/>
      <w:bookmarkStart w:id="985" w:name="_Toc522628925"/>
      <w:bookmarkStart w:id="986" w:name="_Toc522629089"/>
      <w:bookmarkStart w:id="987" w:name="_Toc6473187"/>
      <w:r w:rsidRPr="00CF31E0">
        <w:rPr>
          <w:lang w:eastAsia="zh-CN"/>
        </w:rPr>
        <w:t xml:space="preserve">Table </w:t>
      </w:r>
      <w:r w:rsidR="002E4549" w:rsidRPr="00CF31E0">
        <w:rPr>
          <w:lang w:eastAsia="zh-CN"/>
        </w:rPr>
        <w:t>11</w:t>
      </w:r>
      <w:r w:rsidR="0022109D" w:rsidRPr="00CF31E0">
        <w:rPr>
          <w:lang w:eastAsia="zh-CN"/>
        </w:rPr>
        <w:t>.</w:t>
      </w:r>
      <w:r w:rsidR="002E4549" w:rsidRPr="00CF31E0">
        <w:rPr>
          <w:lang w:eastAsia="zh-CN"/>
        </w:rPr>
        <w:t>49</w:t>
      </w:r>
      <w:r w:rsidRPr="00CF31E0">
        <w:rPr>
          <w:lang w:eastAsia="zh-CN"/>
        </w:rPr>
        <w:t>: Descriptive statistics</w:t>
      </w:r>
      <w:r w:rsidR="007E19E4">
        <w:rPr>
          <w:lang w:eastAsia="zh-CN"/>
        </w:rPr>
        <w:t xml:space="preserve"> for spouse’s social group demographic variable</w:t>
      </w:r>
      <w:r w:rsidRPr="00CF31E0">
        <w:rPr>
          <w:lang w:eastAsia="zh-CN"/>
        </w:rPr>
        <w:t>.</w:t>
      </w:r>
      <w:bookmarkEnd w:id="984"/>
      <w:bookmarkEnd w:id="985"/>
      <w:bookmarkEnd w:id="986"/>
      <w:bookmarkEnd w:id="987"/>
      <w:r w:rsidRPr="00CF31E0">
        <w:rPr>
          <w:lang w:eastAsia="zh-CN"/>
        </w:rPr>
        <w:t xml:space="preserve"> </w:t>
      </w:r>
    </w:p>
    <w:p w14:paraId="143B1FEF" w14:textId="037D5950" w:rsidR="000B4835" w:rsidRPr="00CF31E0" w:rsidRDefault="000B4835" w:rsidP="00603CB7">
      <w:pPr>
        <w:pStyle w:val="Paragraph"/>
        <w:rPr>
          <w:lang w:eastAsia="zh-CN"/>
        </w:rPr>
      </w:pPr>
      <w:r w:rsidRPr="00CF31E0">
        <w:rPr>
          <w:lang w:eastAsia="zh-CN"/>
        </w:rPr>
        <w:t xml:space="preserve">The spouse’s social group results in Table </w:t>
      </w:r>
      <w:r w:rsidR="002E4549" w:rsidRPr="00CF31E0">
        <w:rPr>
          <w:lang w:eastAsia="zh-CN"/>
        </w:rPr>
        <w:t>11</w:t>
      </w:r>
      <w:r w:rsidR="0022109D" w:rsidRPr="00CF31E0">
        <w:rPr>
          <w:lang w:eastAsia="zh-CN"/>
        </w:rPr>
        <w:t>.</w:t>
      </w:r>
      <w:r w:rsidR="002E4549" w:rsidRPr="00CF31E0">
        <w:rPr>
          <w:lang w:eastAsia="zh-CN"/>
        </w:rPr>
        <w:t xml:space="preserve">48 </w:t>
      </w:r>
      <w:r w:rsidRPr="00CF31E0">
        <w:rPr>
          <w:lang w:eastAsia="zh-CN"/>
        </w:rPr>
        <w:t xml:space="preserve">reveal a significant difference on the modern scale scores, with p&lt;.000. Table </w:t>
      </w:r>
      <w:r w:rsidR="002E4549" w:rsidRPr="00CF31E0">
        <w:rPr>
          <w:lang w:eastAsia="zh-CN"/>
        </w:rPr>
        <w:t>11</w:t>
      </w:r>
      <w:r w:rsidR="0022109D" w:rsidRPr="00CF31E0">
        <w:rPr>
          <w:lang w:eastAsia="zh-CN"/>
        </w:rPr>
        <w:t>.</w:t>
      </w:r>
      <w:r w:rsidR="002E4549" w:rsidRPr="00CF31E0">
        <w:rPr>
          <w:lang w:eastAsia="zh-CN"/>
        </w:rPr>
        <w:t xml:space="preserve">49 </w:t>
      </w:r>
      <w:r w:rsidRPr="00CF31E0">
        <w:rPr>
          <w:lang w:eastAsia="zh-CN"/>
        </w:rPr>
        <w:t xml:space="preserve">shows that participants whose spouse is of an </w:t>
      </w:r>
      <w:r w:rsidR="00FF4DC7" w:rsidRPr="00CF31E0">
        <w:rPr>
          <w:lang w:eastAsia="zh-CN"/>
        </w:rPr>
        <w:t>HH</w:t>
      </w:r>
      <w:r w:rsidRPr="00CF31E0">
        <w:rPr>
          <w:lang w:eastAsia="zh-CN"/>
        </w:rPr>
        <w:t xml:space="preserve"> origin perceived the voice as more modern than did the other group, as revealed by the mean difference in the scores for the two groups. </w:t>
      </w:r>
    </w:p>
    <w:p w14:paraId="57D28FD3" w14:textId="7AD8010A" w:rsidR="000B4835" w:rsidRPr="00CF31E0" w:rsidRDefault="002E4549" w:rsidP="002E4549">
      <w:pPr>
        <w:pStyle w:val="Bhead"/>
      </w:pPr>
      <w:bookmarkStart w:id="988" w:name="_Toc6472799"/>
      <w:r w:rsidRPr="00CF31E0">
        <w:t>11</w:t>
      </w:r>
      <w:r w:rsidR="000B4835" w:rsidRPr="00CF31E0">
        <w:t>.3.</w:t>
      </w:r>
      <w:r w:rsidR="00F1187F" w:rsidRPr="00CF31E0">
        <w:t>4</w:t>
      </w:r>
      <w:r w:rsidR="000B4835" w:rsidRPr="00CF31E0">
        <w:t>.</w:t>
      </w:r>
      <w:r w:rsidR="00AA0DF3" w:rsidRPr="00CF31E0">
        <w:tab/>
      </w:r>
      <w:r w:rsidR="000B4835" w:rsidRPr="00CF31E0">
        <w:t>Rating task results for voice sample 3</w:t>
      </w:r>
      <w:bookmarkEnd w:id="988"/>
      <w:r w:rsidR="000B4835" w:rsidRPr="00CF31E0">
        <w:t xml:space="preserve"> </w:t>
      </w:r>
    </w:p>
    <w:p w14:paraId="43E48318" w14:textId="5B5FE9D5" w:rsidR="000B4835" w:rsidRPr="00CF31E0" w:rsidRDefault="000B4835" w:rsidP="00603CB7">
      <w:pPr>
        <w:pStyle w:val="Paragraph"/>
        <w:rPr>
          <w:lang w:eastAsia="en-US"/>
        </w:rPr>
      </w:pPr>
      <w:r w:rsidRPr="00CF31E0">
        <w:rPr>
          <w:lang w:eastAsia="en-US"/>
        </w:rPr>
        <w:t>In the following are the rating results from VS3, w</w:t>
      </w:r>
      <w:r w:rsidR="0059652A" w:rsidRPr="00CF31E0">
        <w:rPr>
          <w:lang w:eastAsia="en-US"/>
        </w:rPr>
        <w:t>hich was spoken by a real HH</w:t>
      </w:r>
      <w:r w:rsidRPr="00CF31E0">
        <w:rPr>
          <w:lang w:eastAsia="en-US"/>
        </w:rPr>
        <w:t xml:space="preserve"> speaker but with a manipulated surname. I will compare the current results with the previous results to ascertain whether there are similar or different patterns. </w:t>
      </w:r>
    </w:p>
    <w:p w14:paraId="2D5E74EF" w14:textId="77777777" w:rsidR="000B4835" w:rsidRPr="00CF31E0" w:rsidRDefault="000B4835" w:rsidP="000B4835">
      <w:pPr>
        <w:spacing w:before="120" w:after="120" w:line="360" w:lineRule="auto"/>
        <w:jc w:val="both"/>
        <w:rPr>
          <w:rFonts w:eastAsia="Calibri" w:cs="Arial"/>
          <w:color w:val="000000" w:themeColor="text1"/>
          <w:lang w:eastAsia="en-US"/>
        </w:rPr>
      </w:pPr>
      <w:r w:rsidRPr="00CF31E0">
        <w:rPr>
          <w:rFonts w:eastAsia="Calibri" w:cs="Arial"/>
          <w:noProof/>
          <w:color w:val="000000" w:themeColor="text1"/>
        </w:rPr>
        <w:drawing>
          <wp:inline distT="0" distB="0" distL="0" distR="0" wp14:anchorId="5A78774C" wp14:editId="5A857899">
            <wp:extent cx="5395629" cy="3297897"/>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13930" cy="3309083"/>
                    </a:xfrm>
                    <a:prstGeom prst="rect">
                      <a:avLst/>
                    </a:prstGeom>
                  </pic:spPr>
                </pic:pic>
              </a:graphicData>
            </a:graphic>
          </wp:inline>
        </w:drawing>
      </w:r>
    </w:p>
    <w:p w14:paraId="3222A785" w14:textId="4BACD890" w:rsidR="000B4835" w:rsidRPr="00CF31E0" w:rsidRDefault="000B4835" w:rsidP="00603CB7">
      <w:pPr>
        <w:pStyle w:val="Figcaption"/>
        <w:spacing w:after="200"/>
        <w:rPr>
          <w:rFonts w:eastAsia="Calibri"/>
          <w:color w:val="000000" w:themeColor="text1"/>
        </w:rPr>
      </w:pPr>
      <w:bookmarkStart w:id="989" w:name="_Toc522527342"/>
      <w:bookmarkStart w:id="990" w:name="_Toc522628173"/>
      <w:bookmarkStart w:id="991" w:name="_Toc522628291"/>
      <w:bookmarkStart w:id="992" w:name="_Toc522628391"/>
      <w:bookmarkStart w:id="993" w:name="_Toc6472987"/>
      <w:r w:rsidRPr="00CF31E0">
        <w:rPr>
          <w:rFonts w:eastAsia="Calibri"/>
          <w:color w:val="000000" w:themeColor="text1"/>
        </w:rPr>
        <w:t xml:space="preserve">Figure </w:t>
      </w:r>
      <w:r w:rsidR="002E4549" w:rsidRPr="00CF31E0">
        <w:rPr>
          <w:rFonts w:eastAsia="Calibri"/>
          <w:color w:val="000000" w:themeColor="text1"/>
        </w:rPr>
        <w:t>11</w:t>
      </w:r>
      <w:r w:rsidR="00F1187F" w:rsidRPr="00CF31E0">
        <w:rPr>
          <w:rFonts w:eastAsia="Calibri"/>
          <w:color w:val="000000" w:themeColor="text1"/>
        </w:rPr>
        <w:t>.9</w:t>
      </w:r>
      <w:r w:rsidRPr="00CF31E0">
        <w:rPr>
          <w:rFonts w:eastAsia="Calibri"/>
          <w:color w:val="000000" w:themeColor="text1"/>
        </w:rPr>
        <w:t>: Distribution of scores of the observed characteristics for VS3.</w:t>
      </w:r>
      <w:bookmarkEnd w:id="989"/>
      <w:bookmarkEnd w:id="990"/>
      <w:bookmarkEnd w:id="991"/>
      <w:bookmarkEnd w:id="992"/>
      <w:bookmarkEnd w:id="993"/>
    </w:p>
    <w:p w14:paraId="768170FB" w14:textId="40FCF6F0" w:rsidR="000B4835" w:rsidRPr="00CF31E0" w:rsidRDefault="000B4835" w:rsidP="00603CB7">
      <w:pPr>
        <w:pStyle w:val="Paragraph"/>
        <w:rPr>
          <w:lang w:eastAsia="en-US"/>
        </w:rPr>
      </w:pPr>
      <w:r w:rsidRPr="00CF31E0">
        <w:rPr>
          <w:lang w:eastAsia="en-US"/>
        </w:rPr>
        <w:lastRenderedPageBreak/>
        <w:t xml:space="preserve">Figure </w:t>
      </w:r>
      <w:r w:rsidR="002E4549" w:rsidRPr="00CF31E0">
        <w:rPr>
          <w:lang w:eastAsia="en-US"/>
        </w:rPr>
        <w:t>11</w:t>
      </w:r>
      <w:r w:rsidR="00F1187F" w:rsidRPr="00CF31E0">
        <w:rPr>
          <w:lang w:eastAsia="en-US"/>
        </w:rPr>
        <w:t xml:space="preserve">.9 </w:t>
      </w:r>
      <w:r w:rsidRPr="00CF31E0">
        <w:rPr>
          <w:lang w:eastAsia="en-US"/>
        </w:rPr>
        <w:t xml:space="preserve">shows that both social groups perceive the voice as less </w:t>
      </w:r>
      <w:r w:rsidRPr="00CF31E0">
        <w:rPr>
          <w:i/>
          <w:iCs/>
          <w:lang w:eastAsia="en-US"/>
        </w:rPr>
        <w:t>serious</w:t>
      </w:r>
      <w:r w:rsidRPr="00CF31E0">
        <w:rPr>
          <w:lang w:eastAsia="en-US"/>
        </w:rPr>
        <w:t xml:space="preserve">, as 75% of the data is distributed between 1 and 2 with 1 as the median value. On the </w:t>
      </w:r>
      <w:r w:rsidRPr="00CF31E0">
        <w:rPr>
          <w:i/>
          <w:iCs/>
          <w:lang w:eastAsia="en-US"/>
        </w:rPr>
        <w:t xml:space="preserve">similar to other Arabic dialects </w:t>
      </w:r>
      <w:r w:rsidR="0059652A" w:rsidRPr="00CF31E0">
        <w:rPr>
          <w:lang w:eastAsia="en-US"/>
        </w:rPr>
        <w:t>scale, HH</w:t>
      </w:r>
      <w:r w:rsidRPr="00CF31E0">
        <w:rPr>
          <w:lang w:eastAsia="en-US"/>
        </w:rPr>
        <w:t xml:space="preserve"> participants perceived the voice as averagely similar to other Arabic dialects since 50% of the scores fell between 3 and 4, with a median of 3. </w:t>
      </w:r>
      <w:r w:rsidR="0059652A" w:rsidRPr="00CF31E0">
        <w:rPr>
          <w:lang w:eastAsia="en-US"/>
        </w:rPr>
        <w:t>UBH</w:t>
      </w:r>
      <w:r w:rsidRPr="00CF31E0">
        <w:rPr>
          <w:lang w:eastAsia="en-US"/>
        </w:rPr>
        <w:t xml:space="preserve"> participants perceived it as more similar to other Arabic dialects, with 50% of </w:t>
      </w:r>
      <w:r w:rsidR="0059652A" w:rsidRPr="00CF31E0">
        <w:rPr>
          <w:lang w:eastAsia="en-US"/>
        </w:rPr>
        <w:t>UBH</w:t>
      </w:r>
      <w:r w:rsidRPr="00CF31E0">
        <w:rPr>
          <w:lang w:eastAsia="en-US"/>
        </w:rPr>
        <w:t xml:space="preserve"> participant scores being distributed between 2 and 4, with a median of 3. </w:t>
      </w:r>
    </w:p>
    <w:p w14:paraId="5ED83AF4" w14:textId="4C83F642" w:rsidR="000B4835" w:rsidRPr="00CF31E0" w:rsidRDefault="000B4835" w:rsidP="00603CB7">
      <w:pPr>
        <w:pStyle w:val="Paragraph"/>
        <w:rPr>
          <w:lang w:eastAsia="en-US"/>
        </w:rPr>
      </w:pPr>
      <w:r w:rsidRPr="00CF31E0">
        <w:rPr>
          <w:lang w:eastAsia="en-US"/>
        </w:rPr>
        <w:t xml:space="preserve">Regarding the distribution of scores for the </w:t>
      </w:r>
      <w:r w:rsidRPr="00CF31E0">
        <w:rPr>
          <w:i/>
          <w:iCs/>
          <w:lang w:eastAsia="en-US"/>
        </w:rPr>
        <w:t xml:space="preserve">modern </w:t>
      </w:r>
      <w:r w:rsidRPr="00CF31E0">
        <w:rPr>
          <w:lang w:eastAsia="en-US"/>
        </w:rPr>
        <w:t xml:space="preserve">and </w:t>
      </w:r>
      <w:r w:rsidRPr="00CF31E0">
        <w:rPr>
          <w:i/>
          <w:iCs/>
          <w:lang w:eastAsia="en-US"/>
        </w:rPr>
        <w:t xml:space="preserve">traditional </w:t>
      </w:r>
      <w:r w:rsidRPr="00CF31E0">
        <w:rPr>
          <w:lang w:eastAsia="en-US"/>
        </w:rPr>
        <w:t xml:space="preserve">characteristics, the </w:t>
      </w:r>
      <w:r w:rsidR="00FF4DC7" w:rsidRPr="00CF31E0">
        <w:rPr>
          <w:lang w:eastAsia="en-US"/>
        </w:rPr>
        <w:t>HH</w:t>
      </w:r>
      <w:r w:rsidRPr="00CF31E0">
        <w:rPr>
          <w:lang w:eastAsia="en-US"/>
        </w:rPr>
        <w:t xml:space="preserve"> participants perceived the voice as more modern and traditional than did the </w:t>
      </w:r>
      <w:r w:rsidR="0059652A" w:rsidRPr="00CF31E0">
        <w:rPr>
          <w:lang w:eastAsia="en-US"/>
        </w:rPr>
        <w:t>UBH</w:t>
      </w:r>
      <w:r w:rsidRPr="00CF31E0">
        <w:rPr>
          <w:lang w:eastAsia="en-US"/>
        </w:rPr>
        <w:t xml:space="preserve"> participants. In </w:t>
      </w:r>
      <w:r w:rsidRPr="00CF31E0">
        <w:rPr>
          <w:i/>
          <w:iCs/>
          <w:lang w:eastAsia="en-US"/>
        </w:rPr>
        <w:t xml:space="preserve">traditional </w:t>
      </w:r>
      <w:r w:rsidRPr="00CF31E0">
        <w:rPr>
          <w:lang w:eastAsia="en-US"/>
        </w:rPr>
        <w:t xml:space="preserve">scores, 50% of </w:t>
      </w:r>
      <w:r w:rsidR="0059652A" w:rsidRPr="00CF31E0">
        <w:rPr>
          <w:lang w:eastAsia="en-US"/>
        </w:rPr>
        <w:t>UBH</w:t>
      </w:r>
      <w:r w:rsidRPr="00CF31E0">
        <w:rPr>
          <w:lang w:eastAsia="en-US"/>
        </w:rPr>
        <w:t xml:space="preserve"> ratings fell between 2 and 3, with a median of 3. In comparison, 50% of </w:t>
      </w:r>
      <w:r w:rsidR="00FF4DC7" w:rsidRPr="00CF31E0">
        <w:rPr>
          <w:lang w:eastAsia="en-US"/>
        </w:rPr>
        <w:t>HH</w:t>
      </w:r>
      <w:r w:rsidRPr="00CF31E0">
        <w:rPr>
          <w:lang w:eastAsia="en-US"/>
        </w:rPr>
        <w:t xml:space="preserve"> ratings fell between 2 and 4, with a median of 3. The lower and the upper whisker is yet further evidence of this distribution pattern: the </w:t>
      </w:r>
      <w:r w:rsidR="0059652A" w:rsidRPr="00CF31E0">
        <w:rPr>
          <w:lang w:eastAsia="en-US"/>
        </w:rPr>
        <w:t>UBH</w:t>
      </w:r>
      <w:r w:rsidRPr="00CF31E0">
        <w:rPr>
          <w:lang w:eastAsia="en-US"/>
        </w:rPr>
        <w:t xml:space="preserve"> participants’ minimum value is 1 and the maximum value is 4, while the </w:t>
      </w:r>
      <w:r w:rsidR="00FF4DC7" w:rsidRPr="00CF31E0">
        <w:rPr>
          <w:lang w:eastAsia="en-US"/>
        </w:rPr>
        <w:t>HH</w:t>
      </w:r>
      <w:r w:rsidRPr="00CF31E0">
        <w:rPr>
          <w:lang w:eastAsia="en-US"/>
        </w:rPr>
        <w:t xml:space="preserve"> participants’ minimum value is 1 and the maximum value is 5. In the </w:t>
      </w:r>
      <w:r w:rsidRPr="00CF31E0">
        <w:rPr>
          <w:i/>
          <w:iCs/>
          <w:lang w:eastAsia="en-US"/>
        </w:rPr>
        <w:t xml:space="preserve">modern </w:t>
      </w:r>
      <w:r w:rsidRPr="00CF31E0">
        <w:rPr>
          <w:lang w:eastAsia="en-US"/>
        </w:rPr>
        <w:t xml:space="preserve">scores, the lower whisker, upper whisker and interquartile range are further evidence that </w:t>
      </w:r>
      <w:r w:rsidR="00FF4DC7" w:rsidRPr="00CF31E0">
        <w:rPr>
          <w:lang w:eastAsia="en-US"/>
        </w:rPr>
        <w:t>HH</w:t>
      </w:r>
      <w:r w:rsidRPr="00CF31E0">
        <w:rPr>
          <w:lang w:eastAsia="en-US"/>
        </w:rPr>
        <w:t xml:space="preserve"> participants perceived the voice of the speaker as more modern than did the </w:t>
      </w:r>
      <w:r w:rsidR="0059652A" w:rsidRPr="00CF31E0">
        <w:rPr>
          <w:lang w:eastAsia="en-US"/>
        </w:rPr>
        <w:t>UBH</w:t>
      </w:r>
      <w:r w:rsidRPr="00CF31E0">
        <w:rPr>
          <w:lang w:eastAsia="en-US"/>
        </w:rPr>
        <w:t xml:space="preserve"> participants. The lowest score for the </w:t>
      </w:r>
      <w:r w:rsidR="0059652A" w:rsidRPr="00CF31E0">
        <w:rPr>
          <w:lang w:eastAsia="en-US"/>
        </w:rPr>
        <w:t>UBH</w:t>
      </w:r>
      <w:r w:rsidRPr="00CF31E0">
        <w:rPr>
          <w:lang w:eastAsia="en-US"/>
        </w:rPr>
        <w:t xml:space="preserve"> participants is 2 and the highest score is 5. 50% of their answers were between 3 and 4, with a median of 4. The </w:t>
      </w:r>
      <w:r w:rsidR="00FF4DC7" w:rsidRPr="00CF31E0">
        <w:rPr>
          <w:lang w:eastAsia="en-US"/>
        </w:rPr>
        <w:t>HH</w:t>
      </w:r>
      <w:r w:rsidRPr="00CF31E0">
        <w:rPr>
          <w:lang w:eastAsia="en-US"/>
        </w:rPr>
        <w:t>s</w:t>
      </w:r>
      <w:r w:rsidR="00AB6574" w:rsidRPr="00CF31E0">
        <w:rPr>
          <w:lang w:eastAsia="en-US"/>
        </w:rPr>
        <w:t>’</w:t>
      </w:r>
      <w:r w:rsidRPr="00CF31E0">
        <w:rPr>
          <w:lang w:eastAsia="en-US"/>
        </w:rPr>
        <w:t xml:space="preserve"> lowest rating was 1 and the highest was 5, while 50% of their answers fell between 3 and 5 with a median of 4. </w:t>
      </w:r>
    </w:p>
    <w:p w14:paraId="285A8087" w14:textId="5F3515E3" w:rsidR="000B4835" w:rsidRPr="00CF31E0" w:rsidRDefault="000B4835" w:rsidP="00603CB7">
      <w:pPr>
        <w:pStyle w:val="Paragraph"/>
        <w:rPr>
          <w:lang w:eastAsia="en-US"/>
        </w:rPr>
      </w:pPr>
      <w:r w:rsidRPr="00CF31E0">
        <w:rPr>
          <w:lang w:eastAsia="en-US"/>
        </w:rPr>
        <w:t xml:space="preserve">Results from VS1 and VS3 showed a similar pattern. In both cases, the </w:t>
      </w:r>
      <w:r w:rsidR="00FF4DC7" w:rsidRPr="00CF31E0">
        <w:rPr>
          <w:lang w:eastAsia="en-US"/>
        </w:rPr>
        <w:t>HH</w:t>
      </w:r>
      <w:r w:rsidRPr="00CF31E0">
        <w:rPr>
          <w:lang w:eastAsia="en-US"/>
        </w:rPr>
        <w:t xml:space="preserve"> social group gave higher rating scores for the following characteristics: </w:t>
      </w:r>
      <w:r w:rsidRPr="00CF31E0">
        <w:rPr>
          <w:i/>
          <w:iCs/>
          <w:lang w:eastAsia="en-US"/>
        </w:rPr>
        <w:t>similar to other Arabic dialects</w:t>
      </w:r>
      <w:r w:rsidRPr="00CF31E0">
        <w:rPr>
          <w:lang w:eastAsia="en-US"/>
        </w:rPr>
        <w:t xml:space="preserve">, </w:t>
      </w:r>
      <w:r w:rsidRPr="00CF31E0">
        <w:rPr>
          <w:i/>
          <w:iCs/>
          <w:lang w:eastAsia="en-US"/>
        </w:rPr>
        <w:t>modern</w:t>
      </w:r>
      <w:r w:rsidRPr="00CF31E0">
        <w:rPr>
          <w:lang w:eastAsia="en-US"/>
        </w:rPr>
        <w:t xml:space="preserve">, and </w:t>
      </w:r>
      <w:r w:rsidRPr="00CF31E0">
        <w:rPr>
          <w:i/>
          <w:iCs/>
          <w:lang w:eastAsia="en-US"/>
        </w:rPr>
        <w:t>traditional</w:t>
      </w:r>
      <w:r w:rsidRPr="00CF31E0">
        <w:rPr>
          <w:lang w:eastAsia="en-US"/>
        </w:rPr>
        <w:t xml:space="preserve">. Both groups showed a consensus in perceiving the voice sample as less </w:t>
      </w:r>
      <w:r w:rsidRPr="00CF31E0">
        <w:rPr>
          <w:i/>
          <w:iCs/>
          <w:lang w:eastAsia="en-US"/>
        </w:rPr>
        <w:t>serious</w:t>
      </w:r>
      <w:r w:rsidRPr="00CF31E0">
        <w:rPr>
          <w:lang w:eastAsia="en-US"/>
        </w:rPr>
        <w:t xml:space="preserve">. </w:t>
      </w:r>
    </w:p>
    <w:p w14:paraId="5C666E8B" w14:textId="439A1ADF" w:rsidR="000B4835" w:rsidRPr="00CF31E0" w:rsidRDefault="004A09F8" w:rsidP="004A09F8">
      <w:pPr>
        <w:keepNext/>
        <w:keepLines/>
        <w:spacing w:before="120" w:after="120" w:line="360" w:lineRule="auto"/>
        <w:outlineLvl w:val="1"/>
        <w:rPr>
          <w:rFonts w:eastAsia="Times New Roman"/>
          <w:b/>
          <w:color w:val="000000" w:themeColor="text1"/>
          <w:sz w:val="28"/>
          <w:szCs w:val="26"/>
          <w:lang w:val="en-US" w:eastAsia="zh-CN"/>
        </w:rPr>
      </w:pPr>
      <w:r w:rsidRPr="00CF31E0">
        <w:rPr>
          <w:rFonts w:eastAsia="Times New Roman"/>
          <w:b/>
          <w:color w:val="000000" w:themeColor="text1"/>
          <w:sz w:val="28"/>
          <w:szCs w:val="26"/>
          <w:lang w:val="en-US" w:eastAsia="zh-CN"/>
        </w:rPr>
        <w:t>11</w:t>
      </w:r>
      <w:r w:rsidR="000B4835" w:rsidRPr="00CF31E0">
        <w:rPr>
          <w:rFonts w:eastAsia="Times New Roman"/>
          <w:b/>
          <w:color w:val="000000" w:themeColor="text1"/>
          <w:sz w:val="28"/>
          <w:szCs w:val="26"/>
          <w:lang w:val="en-US" w:eastAsia="zh-CN"/>
        </w:rPr>
        <w:t>.3.</w:t>
      </w:r>
      <w:r w:rsidR="00F1187F" w:rsidRPr="00CF31E0">
        <w:rPr>
          <w:rFonts w:eastAsia="Times New Roman"/>
          <w:b/>
          <w:color w:val="000000" w:themeColor="text1"/>
          <w:sz w:val="28"/>
          <w:szCs w:val="26"/>
          <w:lang w:val="en-US" w:eastAsia="zh-CN"/>
        </w:rPr>
        <w:t>5</w:t>
      </w:r>
      <w:r w:rsidR="000B4835" w:rsidRPr="00CF31E0">
        <w:rPr>
          <w:rFonts w:eastAsia="Times New Roman"/>
          <w:b/>
          <w:color w:val="000000" w:themeColor="text1"/>
          <w:sz w:val="28"/>
          <w:szCs w:val="26"/>
          <w:lang w:val="en-US" w:eastAsia="zh-CN"/>
        </w:rPr>
        <w:t>.</w:t>
      </w:r>
      <w:r w:rsidR="003F4912" w:rsidRPr="00CF31E0">
        <w:rPr>
          <w:rFonts w:eastAsia="Times New Roman"/>
          <w:b/>
          <w:color w:val="000000" w:themeColor="text1"/>
          <w:sz w:val="28"/>
          <w:szCs w:val="26"/>
          <w:lang w:val="en-US" w:eastAsia="zh-CN"/>
        </w:rPr>
        <w:tab/>
      </w:r>
      <w:r w:rsidR="000B4835" w:rsidRPr="00CF31E0">
        <w:rPr>
          <w:rFonts w:eastAsia="Times New Roman"/>
          <w:b/>
          <w:color w:val="000000" w:themeColor="text1"/>
          <w:sz w:val="28"/>
          <w:szCs w:val="26"/>
          <w:lang w:val="en-US" w:eastAsia="zh-CN"/>
        </w:rPr>
        <w:t>Effects of demographic variables on ratings for VS3</w:t>
      </w:r>
    </w:p>
    <w:p w14:paraId="60ABACF3" w14:textId="77777777" w:rsidR="000B4835" w:rsidRPr="00CF31E0" w:rsidRDefault="000B4835" w:rsidP="00603CB7">
      <w:pPr>
        <w:pStyle w:val="Paragraph"/>
        <w:rPr>
          <w:lang w:val="en-US" w:eastAsia="zh-CN"/>
        </w:rPr>
      </w:pPr>
      <w:r w:rsidRPr="00CF31E0">
        <w:rPr>
          <w:lang w:val="en-US" w:eastAsia="zh-CN"/>
        </w:rPr>
        <w:t xml:space="preserve">The ANOVA results from VS3 revealed that the </w:t>
      </w:r>
      <w:r w:rsidRPr="00CF31E0">
        <w:rPr>
          <w:i/>
          <w:iCs/>
          <w:lang w:val="en-US" w:eastAsia="zh-CN"/>
        </w:rPr>
        <w:t>serious</w:t>
      </w:r>
      <w:r w:rsidRPr="00CF31E0">
        <w:rPr>
          <w:lang w:val="en-US" w:eastAsia="zh-CN"/>
        </w:rPr>
        <w:t xml:space="preserve"> scale was not affected by the difference between demographic variables. On the other </w:t>
      </w:r>
      <w:r w:rsidRPr="00CF31E0">
        <w:rPr>
          <w:lang w:val="en-US" w:eastAsia="zh-CN"/>
        </w:rPr>
        <w:lastRenderedPageBreak/>
        <w:t xml:space="preserve">hand, the other three remaining scales were affected, as I will illustrate in the following sections. </w:t>
      </w:r>
    </w:p>
    <w:p w14:paraId="48B7A3D3" w14:textId="0A05B402" w:rsidR="000B4835" w:rsidRPr="00CF31E0" w:rsidRDefault="004A09F8" w:rsidP="004A09F8">
      <w:pPr>
        <w:pStyle w:val="Chead"/>
      </w:pPr>
      <w:bookmarkStart w:id="994" w:name="_Toc6472800"/>
      <w:r w:rsidRPr="00CF31E0">
        <w:rPr>
          <w:sz w:val="26"/>
        </w:rPr>
        <w:t>11</w:t>
      </w:r>
      <w:r w:rsidR="00F1187F" w:rsidRPr="00CF31E0">
        <w:rPr>
          <w:sz w:val="26"/>
        </w:rPr>
        <w:t>.3.5.1.</w:t>
      </w:r>
      <w:r w:rsidR="003F4912" w:rsidRPr="00CF31E0">
        <w:rPr>
          <w:sz w:val="26"/>
        </w:rPr>
        <w:tab/>
      </w:r>
      <w:r w:rsidR="000B4835" w:rsidRPr="00CF31E0">
        <w:t>Similar to other Arabic dialects scale</w:t>
      </w:r>
      <w:bookmarkEnd w:id="994"/>
      <w:r w:rsidR="000B4835" w:rsidRPr="00CF31E0">
        <w:t xml:space="preserve"> </w:t>
      </w:r>
    </w:p>
    <w:p w14:paraId="32B01B24" w14:textId="29A550AE" w:rsidR="00A84AF6" w:rsidRPr="00CF31E0" w:rsidRDefault="000B4835" w:rsidP="00F50E67">
      <w:pPr>
        <w:pStyle w:val="Paragraph"/>
        <w:rPr>
          <w:lang w:val="en-US" w:eastAsia="en-US"/>
        </w:rPr>
      </w:pPr>
      <w:r w:rsidRPr="00CF31E0">
        <w:rPr>
          <w:lang w:val="en-US" w:eastAsia="zh-CN"/>
        </w:rPr>
        <w:t>In this particular scale, two demographic variable</w:t>
      </w:r>
      <w:r w:rsidR="00AB6574" w:rsidRPr="00CF31E0">
        <w:rPr>
          <w:lang w:val="en-US" w:eastAsia="zh-CN"/>
        </w:rPr>
        <w:t>s</w:t>
      </w:r>
      <w:r w:rsidRPr="00CF31E0">
        <w:rPr>
          <w:lang w:val="en-US" w:eastAsia="zh-CN"/>
        </w:rPr>
        <w:t xml:space="preserve"> were found to have significant differences between their categories: social group and mother’s social group. </w:t>
      </w:r>
      <w:r w:rsidR="00716AD5" w:rsidRPr="00CF31E0">
        <w:rPr>
          <w:lang w:val="en-US" w:eastAsia="en-US"/>
        </w:rPr>
        <w:t xml:space="preserve">See </w:t>
      </w:r>
      <w:r w:rsidR="00A1775C" w:rsidRPr="00CF31E0">
        <w:rPr>
          <w:lang w:val="en-US" w:eastAsia="en-US"/>
        </w:rPr>
        <w:t xml:space="preserve">Tables </w:t>
      </w:r>
      <w:r w:rsidR="004A09F8" w:rsidRPr="00CF31E0">
        <w:rPr>
          <w:lang w:val="en-US" w:eastAsia="en-US"/>
        </w:rPr>
        <w:t>11</w:t>
      </w:r>
      <w:r w:rsidR="00716AD5" w:rsidRPr="00CF31E0">
        <w:rPr>
          <w:lang w:val="en-US" w:eastAsia="en-US"/>
        </w:rPr>
        <w:t>.</w:t>
      </w:r>
      <w:r w:rsidR="004A09F8" w:rsidRPr="00CF31E0">
        <w:rPr>
          <w:lang w:val="en-US" w:eastAsia="en-US"/>
        </w:rPr>
        <w:t xml:space="preserve">50 </w:t>
      </w:r>
      <w:r w:rsidR="00716AD5" w:rsidRPr="00CF31E0">
        <w:rPr>
          <w:lang w:val="en-US" w:eastAsia="en-US"/>
        </w:rPr>
        <w:t xml:space="preserve">and </w:t>
      </w:r>
      <w:r w:rsidR="004A09F8" w:rsidRPr="00CF31E0">
        <w:rPr>
          <w:lang w:val="en-US" w:eastAsia="en-US"/>
        </w:rPr>
        <w:t>11</w:t>
      </w:r>
      <w:r w:rsidR="00716AD5" w:rsidRPr="00CF31E0">
        <w:rPr>
          <w:lang w:val="en-US" w:eastAsia="en-US"/>
        </w:rPr>
        <w:t>.</w:t>
      </w:r>
      <w:r w:rsidR="004A09F8" w:rsidRPr="00CF31E0">
        <w:rPr>
          <w:lang w:val="en-US" w:eastAsia="en-US"/>
        </w:rPr>
        <w:t>51</w:t>
      </w:r>
      <w:r w:rsidR="00716AD5" w:rsidRPr="00CF31E0">
        <w:rPr>
          <w:lang w:val="en-US" w:eastAsia="en-US"/>
        </w:rPr>
        <w:t xml:space="preserve"> for social group results </w:t>
      </w:r>
      <w:r w:rsidR="00A1775C" w:rsidRPr="00CF31E0">
        <w:rPr>
          <w:lang w:val="en-US" w:eastAsia="en-US"/>
        </w:rPr>
        <w:t>from</w:t>
      </w:r>
      <w:r w:rsidR="00716AD5" w:rsidRPr="00CF31E0">
        <w:rPr>
          <w:lang w:val="en-US" w:eastAsia="en-US"/>
        </w:rPr>
        <w:t xml:space="preserve"> the data.</w:t>
      </w:r>
    </w:p>
    <w:tbl>
      <w:tblPr>
        <w:tblW w:w="7483" w:type="dxa"/>
        <w:tblInd w:w="-20" w:type="dxa"/>
        <w:tblBorders>
          <w:top w:val="single" w:sz="4" w:space="0" w:color="000000"/>
          <w:bottom w:val="single" w:sz="4" w:space="0" w:color="000000"/>
        </w:tblBorders>
        <w:tblLayout w:type="fixed"/>
        <w:tblCellMar>
          <w:left w:w="0" w:type="dxa"/>
          <w:right w:w="0" w:type="dxa"/>
        </w:tblCellMar>
        <w:tblLook w:val="0000" w:firstRow="0" w:lastRow="0" w:firstColumn="0" w:lastColumn="0" w:noHBand="0" w:noVBand="0"/>
      </w:tblPr>
      <w:tblGrid>
        <w:gridCol w:w="1995"/>
        <w:gridCol w:w="1942"/>
        <w:gridCol w:w="944"/>
        <w:gridCol w:w="1662"/>
        <w:gridCol w:w="940"/>
      </w:tblGrid>
      <w:tr w:rsidR="00AB3C90" w:rsidRPr="00CF31E0" w14:paraId="7C575975" w14:textId="77777777" w:rsidTr="00AB3C90">
        <w:trPr>
          <w:cantSplit/>
          <w:trHeight w:val="656"/>
        </w:trPr>
        <w:tc>
          <w:tcPr>
            <w:tcW w:w="1995" w:type="dxa"/>
            <w:tcBorders>
              <w:top w:val="single" w:sz="4" w:space="0" w:color="000000"/>
              <w:bottom w:val="single" w:sz="4" w:space="0" w:color="000000"/>
            </w:tcBorders>
            <w:shd w:val="clear" w:color="auto" w:fill="FFFFFF"/>
            <w:vAlign w:val="bottom"/>
          </w:tcPr>
          <w:p w14:paraId="451C4668"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Social group</w:t>
            </w:r>
          </w:p>
        </w:tc>
        <w:tc>
          <w:tcPr>
            <w:tcW w:w="1942" w:type="dxa"/>
            <w:tcBorders>
              <w:top w:val="single" w:sz="4" w:space="0" w:color="000000"/>
              <w:bottom w:val="single" w:sz="4" w:space="0" w:color="000000"/>
            </w:tcBorders>
            <w:shd w:val="clear" w:color="auto" w:fill="FFFFFF"/>
            <w:vAlign w:val="bottom"/>
          </w:tcPr>
          <w:p w14:paraId="68C5E09E"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944" w:type="dxa"/>
            <w:tcBorders>
              <w:top w:val="single" w:sz="4" w:space="0" w:color="000000"/>
              <w:bottom w:val="single" w:sz="4" w:space="0" w:color="000000"/>
            </w:tcBorders>
            <w:shd w:val="clear" w:color="auto" w:fill="FFFFFF"/>
            <w:vAlign w:val="bottom"/>
          </w:tcPr>
          <w:p w14:paraId="0A46E944"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662" w:type="dxa"/>
            <w:tcBorders>
              <w:top w:val="single" w:sz="4" w:space="0" w:color="000000"/>
              <w:bottom w:val="single" w:sz="4" w:space="0" w:color="000000"/>
            </w:tcBorders>
            <w:shd w:val="clear" w:color="auto" w:fill="FFFFFF"/>
            <w:vAlign w:val="bottom"/>
          </w:tcPr>
          <w:p w14:paraId="5D6F7D57"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940" w:type="dxa"/>
            <w:tcBorders>
              <w:top w:val="single" w:sz="4" w:space="0" w:color="000000"/>
              <w:bottom w:val="single" w:sz="4" w:space="0" w:color="000000"/>
            </w:tcBorders>
            <w:shd w:val="clear" w:color="auto" w:fill="FFFFFF"/>
            <w:vAlign w:val="bottom"/>
          </w:tcPr>
          <w:p w14:paraId="3A8ADD44"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AB3C90" w:rsidRPr="00CF31E0" w14:paraId="391268F2" w14:textId="77777777" w:rsidTr="00AB3C90">
        <w:trPr>
          <w:cantSplit/>
          <w:trHeight w:val="646"/>
        </w:trPr>
        <w:tc>
          <w:tcPr>
            <w:tcW w:w="1995" w:type="dxa"/>
            <w:tcBorders>
              <w:top w:val="single" w:sz="4" w:space="0" w:color="000000"/>
              <w:bottom w:val="nil"/>
            </w:tcBorders>
            <w:shd w:val="clear" w:color="auto" w:fill="FFFFFF"/>
          </w:tcPr>
          <w:p w14:paraId="3E0FE2F4"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942" w:type="dxa"/>
            <w:tcBorders>
              <w:top w:val="single" w:sz="4" w:space="0" w:color="000000"/>
              <w:bottom w:val="nil"/>
            </w:tcBorders>
            <w:shd w:val="clear" w:color="auto" w:fill="FFFFFF"/>
            <w:vAlign w:val="center"/>
          </w:tcPr>
          <w:p w14:paraId="02827174"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6.082</w:t>
            </w:r>
          </w:p>
        </w:tc>
        <w:tc>
          <w:tcPr>
            <w:tcW w:w="944" w:type="dxa"/>
            <w:tcBorders>
              <w:top w:val="single" w:sz="4" w:space="0" w:color="000000"/>
              <w:bottom w:val="nil"/>
            </w:tcBorders>
            <w:shd w:val="clear" w:color="auto" w:fill="FFFFFF"/>
            <w:vAlign w:val="center"/>
          </w:tcPr>
          <w:p w14:paraId="61471534"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w:t>
            </w:r>
          </w:p>
        </w:tc>
        <w:tc>
          <w:tcPr>
            <w:tcW w:w="1662" w:type="dxa"/>
            <w:tcBorders>
              <w:top w:val="single" w:sz="4" w:space="0" w:color="000000"/>
              <w:bottom w:val="nil"/>
            </w:tcBorders>
            <w:shd w:val="clear" w:color="auto" w:fill="FFFFFF"/>
            <w:vAlign w:val="center"/>
          </w:tcPr>
          <w:p w14:paraId="7F055038"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6.082</w:t>
            </w:r>
          </w:p>
        </w:tc>
        <w:tc>
          <w:tcPr>
            <w:tcW w:w="940" w:type="dxa"/>
            <w:tcBorders>
              <w:top w:val="single" w:sz="4" w:space="0" w:color="000000"/>
              <w:bottom w:val="nil"/>
            </w:tcBorders>
            <w:shd w:val="clear" w:color="auto" w:fill="FFFFFF"/>
            <w:vAlign w:val="center"/>
          </w:tcPr>
          <w:p w14:paraId="74ECBCC3"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.031</w:t>
            </w:r>
          </w:p>
        </w:tc>
      </w:tr>
      <w:tr w:rsidR="00AB3C90" w:rsidRPr="00CF31E0" w14:paraId="140D2E26" w14:textId="77777777" w:rsidTr="00AB3C90">
        <w:trPr>
          <w:cantSplit/>
          <w:trHeight w:val="656"/>
        </w:trPr>
        <w:tc>
          <w:tcPr>
            <w:tcW w:w="1995" w:type="dxa"/>
            <w:tcBorders>
              <w:top w:val="nil"/>
            </w:tcBorders>
            <w:shd w:val="clear" w:color="auto" w:fill="FFFFFF"/>
          </w:tcPr>
          <w:p w14:paraId="1250D92B"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942" w:type="dxa"/>
            <w:tcBorders>
              <w:top w:val="nil"/>
            </w:tcBorders>
            <w:shd w:val="clear" w:color="auto" w:fill="FFFFFF"/>
            <w:vAlign w:val="center"/>
          </w:tcPr>
          <w:p w14:paraId="42A80483"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845.243</w:t>
            </w:r>
          </w:p>
        </w:tc>
        <w:tc>
          <w:tcPr>
            <w:tcW w:w="944" w:type="dxa"/>
            <w:tcBorders>
              <w:top w:val="nil"/>
            </w:tcBorders>
            <w:shd w:val="clear" w:color="auto" w:fill="FFFFFF"/>
            <w:vAlign w:val="center"/>
          </w:tcPr>
          <w:p w14:paraId="42C1F0C7"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648</w:t>
            </w:r>
          </w:p>
        </w:tc>
        <w:tc>
          <w:tcPr>
            <w:tcW w:w="1662" w:type="dxa"/>
            <w:tcBorders>
              <w:top w:val="nil"/>
            </w:tcBorders>
            <w:shd w:val="clear" w:color="auto" w:fill="FFFFFF"/>
            <w:vAlign w:val="center"/>
          </w:tcPr>
          <w:p w14:paraId="253EDE4F"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1.306</w:t>
            </w:r>
          </w:p>
        </w:tc>
        <w:tc>
          <w:tcPr>
            <w:tcW w:w="940" w:type="dxa"/>
            <w:tcBorders>
              <w:top w:val="nil"/>
            </w:tcBorders>
            <w:shd w:val="clear" w:color="auto" w:fill="FFFFFF"/>
            <w:vAlign w:val="center"/>
          </w:tcPr>
          <w:p w14:paraId="620C7C66" w14:textId="77777777" w:rsidR="00AB3C90" w:rsidRPr="00CF31E0" w:rsidRDefault="00AB3C90" w:rsidP="000B4835">
            <w:pPr>
              <w:spacing w:before="120" w:after="120" w:line="360" w:lineRule="auto"/>
              <w:rPr>
                <w:rFonts w:eastAsia="Calibri" w:cs="Arial"/>
                <w:color w:val="000000" w:themeColor="text1"/>
                <w:sz w:val="22"/>
                <w:szCs w:val="22"/>
                <w:lang w:eastAsia="en-US"/>
              </w:rPr>
            </w:pPr>
          </w:p>
        </w:tc>
      </w:tr>
      <w:tr w:rsidR="00AB3C90" w:rsidRPr="00CF31E0" w14:paraId="4160EFF6" w14:textId="77777777" w:rsidTr="00AB3C90">
        <w:trPr>
          <w:cantSplit/>
          <w:trHeight w:val="667"/>
        </w:trPr>
        <w:tc>
          <w:tcPr>
            <w:tcW w:w="1995" w:type="dxa"/>
            <w:shd w:val="clear" w:color="auto" w:fill="FFFFFF"/>
          </w:tcPr>
          <w:p w14:paraId="58B01A28"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942" w:type="dxa"/>
            <w:shd w:val="clear" w:color="auto" w:fill="FFFFFF"/>
            <w:vAlign w:val="center"/>
          </w:tcPr>
          <w:p w14:paraId="76E84CC4"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851.325</w:t>
            </w:r>
          </w:p>
        </w:tc>
        <w:tc>
          <w:tcPr>
            <w:tcW w:w="944" w:type="dxa"/>
            <w:shd w:val="clear" w:color="auto" w:fill="FFFFFF"/>
            <w:vAlign w:val="center"/>
          </w:tcPr>
          <w:p w14:paraId="48D5EC0B"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649</w:t>
            </w:r>
          </w:p>
        </w:tc>
        <w:tc>
          <w:tcPr>
            <w:tcW w:w="1662" w:type="dxa"/>
            <w:shd w:val="clear" w:color="auto" w:fill="FFFFFF"/>
            <w:vAlign w:val="center"/>
          </w:tcPr>
          <w:p w14:paraId="51CD50F7" w14:textId="77777777" w:rsidR="00AB3C90" w:rsidRPr="00CF31E0" w:rsidRDefault="00AB3C90" w:rsidP="000B4835">
            <w:pPr>
              <w:spacing w:before="120" w:after="120" w:line="360" w:lineRule="auto"/>
              <w:rPr>
                <w:rFonts w:eastAsia="Calibri" w:cs="Arial"/>
                <w:color w:val="000000" w:themeColor="text1"/>
                <w:sz w:val="22"/>
                <w:szCs w:val="22"/>
                <w:lang w:eastAsia="en-US"/>
              </w:rPr>
            </w:pPr>
          </w:p>
        </w:tc>
        <w:tc>
          <w:tcPr>
            <w:tcW w:w="940" w:type="dxa"/>
            <w:shd w:val="clear" w:color="auto" w:fill="FFFFFF"/>
            <w:vAlign w:val="center"/>
          </w:tcPr>
          <w:p w14:paraId="61602B10" w14:textId="77777777" w:rsidR="00AB3C90" w:rsidRPr="00CF31E0" w:rsidRDefault="00AB3C90" w:rsidP="000B4835">
            <w:pPr>
              <w:spacing w:before="120" w:after="120" w:line="360" w:lineRule="auto"/>
              <w:rPr>
                <w:rFonts w:eastAsia="Calibri" w:cs="Arial"/>
                <w:color w:val="000000" w:themeColor="text1"/>
                <w:sz w:val="22"/>
                <w:szCs w:val="22"/>
                <w:lang w:eastAsia="en-US"/>
              </w:rPr>
            </w:pPr>
          </w:p>
        </w:tc>
      </w:tr>
    </w:tbl>
    <w:p w14:paraId="180B171E" w14:textId="4243C364" w:rsidR="009B27CA" w:rsidRPr="00CF31E0" w:rsidRDefault="000B4835" w:rsidP="004F45D7">
      <w:pPr>
        <w:pStyle w:val="Tablecaption"/>
        <w:spacing w:after="400"/>
        <w:rPr>
          <w:lang w:eastAsia="en-US"/>
        </w:rPr>
      </w:pPr>
      <w:bookmarkStart w:id="995" w:name="_Toc522527513"/>
      <w:bookmarkStart w:id="996" w:name="_Toc522628926"/>
      <w:bookmarkStart w:id="997" w:name="_Toc522629090"/>
      <w:bookmarkStart w:id="998" w:name="_Toc6473188"/>
      <w:r w:rsidRPr="00CF31E0">
        <w:rPr>
          <w:lang w:eastAsia="en-US"/>
        </w:rPr>
        <w:t xml:space="preserve">Table </w:t>
      </w:r>
      <w:r w:rsidR="004A09F8" w:rsidRPr="00CF31E0">
        <w:rPr>
          <w:lang w:eastAsia="en-US"/>
        </w:rPr>
        <w:t>11</w:t>
      </w:r>
      <w:r w:rsidR="00F1187F" w:rsidRPr="00CF31E0">
        <w:rPr>
          <w:lang w:eastAsia="en-US"/>
        </w:rPr>
        <w:t>.</w:t>
      </w:r>
      <w:r w:rsidR="004A09F8" w:rsidRPr="00CF31E0">
        <w:rPr>
          <w:lang w:eastAsia="en-US"/>
        </w:rPr>
        <w:t>50</w:t>
      </w:r>
      <w:r w:rsidRPr="00CF31E0">
        <w:rPr>
          <w:lang w:eastAsia="en-US"/>
        </w:rPr>
        <w:t>: ANOVA statistics for social group demographic variable.</w:t>
      </w:r>
      <w:bookmarkEnd w:id="995"/>
      <w:bookmarkEnd w:id="996"/>
      <w:bookmarkEnd w:id="997"/>
      <w:bookmarkEnd w:id="998"/>
      <w:r w:rsidRPr="00CF31E0">
        <w:rPr>
          <w:lang w:eastAsia="en-US"/>
        </w:rPr>
        <w:t xml:space="preserve"> </w:t>
      </w:r>
    </w:p>
    <w:tbl>
      <w:tblPr>
        <w:tblW w:w="7361" w:type="dxa"/>
        <w:tblInd w:w="-1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16"/>
        <w:gridCol w:w="2516"/>
        <w:gridCol w:w="1249"/>
        <w:gridCol w:w="1012"/>
        <w:gridCol w:w="868"/>
      </w:tblGrid>
      <w:tr w:rsidR="007F558A" w:rsidRPr="00CF31E0" w14:paraId="693D0357" w14:textId="77777777" w:rsidTr="00AB3C90">
        <w:trPr>
          <w:cantSplit/>
          <w:trHeight w:val="656"/>
        </w:trPr>
        <w:tc>
          <w:tcPr>
            <w:tcW w:w="1716" w:type="dxa"/>
            <w:tcBorders>
              <w:top w:val="single" w:sz="8" w:space="0" w:color="auto"/>
              <w:bottom w:val="single" w:sz="8" w:space="0" w:color="auto"/>
            </w:tcBorders>
          </w:tcPr>
          <w:p w14:paraId="1C856BB4"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3765" w:type="dxa"/>
            <w:gridSpan w:val="2"/>
            <w:tcBorders>
              <w:top w:val="single" w:sz="8" w:space="0" w:color="auto"/>
              <w:bottom w:val="single" w:sz="8" w:space="0" w:color="auto"/>
            </w:tcBorders>
            <w:shd w:val="clear" w:color="auto" w:fill="FFFFFF"/>
            <w:vAlign w:val="bottom"/>
          </w:tcPr>
          <w:p w14:paraId="45819C47"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Social group</w:t>
            </w:r>
          </w:p>
        </w:tc>
        <w:tc>
          <w:tcPr>
            <w:tcW w:w="1012" w:type="dxa"/>
            <w:tcBorders>
              <w:top w:val="single" w:sz="8" w:space="0" w:color="auto"/>
              <w:bottom w:val="single" w:sz="8" w:space="0" w:color="auto"/>
            </w:tcBorders>
            <w:shd w:val="clear" w:color="auto" w:fill="FFFFFF"/>
            <w:vAlign w:val="bottom"/>
          </w:tcPr>
          <w:p w14:paraId="18551900"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Statistic</w:t>
            </w:r>
          </w:p>
        </w:tc>
        <w:tc>
          <w:tcPr>
            <w:tcW w:w="868" w:type="dxa"/>
            <w:tcBorders>
              <w:top w:val="single" w:sz="8" w:space="0" w:color="auto"/>
              <w:bottom w:val="single" w:sz="8" w:space="0" w:color="auto"/>
            </w:tcBorders>
            <w:shd w:val="clear" w:color="auto" w:fill="FFFFFF"/>
            <w:vAlign w:val="bottom"/>
          </w:tcPr>
          <w:p w14:paraId="13ACDA3D"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Std. Error</w:t>
            </w:r>
          </w:p>
        </w:tc>
      </w:tr>
      <w:tr w:rsidR="007F558A" w:rsidRPr="00CF31E0" w14:paraId="0D7D5C31" w14:textId="77777777" w:rsidTr="00AB3C90">
        <w:trPr>
          <w:cantSplit/>
          <w:trHeight w:val="646"/>
        </w:trPr>
        <w:tc>
          <w:tcPr>
            <w:tcW w:w="1716" w:type="dxa"/>
            <w:vMerge w:val="restart"/>
            <w:tcBorders>
              <w:top w:val="single" w:sz="8" w:space="0" w:color="auto"/>
              <w:bottom w:val="nil"/>
            </w:tcBorders>
            <w:shd w:val="clear" w:color="auto" w:fill="FFFFFF"/>
          </w:tcPr>
          <w:p w14:paraId="64B60EC0"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Similar to other Arabic dialects</w:t>
            </w:r>
          </w:p>
        </w:tc>
        <w:tc>
          <w:tcPr>
            <w:tcW w:w="2516" w:type="dxa"/>
            <w:tcBorders>
              <w:top w:val="single" w:sz="8" w:space="0" w:color="auto"/>
              <w:bottom w:val="nil"/>
            </w:tcBorders>
            <w:shd w:val="clear" w:color="auto" w:fill="FFFFFF"/>
          </w:tcPr>
          <w:p w14:paraId="3760B60A" w14:textId="4588F66F" w:rsidR="000B4835" w:rsidRPr="00CF31E0" w:rsidRDefault="0059652A"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UBH</w:t>
            </w:r>
          </w:p>
        </w:tc>
        <w:tc>
          <w:tcPr>
            <w:tcW w:w="1249" w:type="dxa"/>
            <w:tcBorders>
              <w:top w:val="single" w:sz="8" w:space="0" w:color="auto"/>
              <w:bottom w:val="nil"/>
            </w:tcBorders>
            <w:shd w:val="clear" w:color="auto" w:fill="FFFFFF"/>
          </w:tcPr>
          <w:p w14:paraId="143472C1"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012" w:type="dxa"/>
            <w:tcBorders>
              <w:top w:val="single" w:sz="8" w:space="0" w:color="auto"/>
              <w:bottom w:val="nil"/>
            </w:tcBorders>
            <w:shd w:val="clear" w:color="auto" w:fill="FFFFFF"/>
            <w:vAlign w:val="center"/>
          </w:tcPr>
          <w:p w14:paraId="3B2316C7"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3.0772</w:t>
            </w:r>
          </w:p>
        </w:tc>
        <w:tc>
          <w:tcPr>
            <w:tcW w:w="868" w:type="dxa"/>
            <w:tcBorders>
              <w:top w:val="single" w:sz="8" w:space="0" w:color="auto"/>
              <w:bottom w:val="nil"/>
            </w:tcBorders>
            <w:shd w:val="clear" w:color="auto" w:fill="FFFFFF"/>
            <w:vAlign w:val="center"/>
          </w:tcPr>
          <w:p w14:paraId="4C2DA0C4"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.06267</w:t>
            </w:r>
          </w:p>
        </w:tc>
      </w:tr>
      <w:tr w:rsidR="007F558A" w:rsidRPr="00CF31E0" w14:paraId="0D8B10AE" w14:textId="77777777" w:rsidTr="00AB3C90">
        <w:trPr>
          <w:cantSplit/>
          <w:trHeight w:val="143"/>
        </w:trPr>
        <w:tc>
          <w:tcPr>
            <w:tcW w:w="1716" w:type="dxa"/>
            <w:vMerge/>
            <w:tcBorders>
              <w:top w:val="nil"/>
            </w:tcBorders>
            <w:shd w:val="clear" w:color="auto" w:fill="FFFFFF"/>
          </w:tcPr>
          <w:p w14:paraId="1D46873D"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2516" w:type="dxa"/>
            <w:tcBorders>
              <w:top w:val="nil"/>
            </w:tcBorders>
            <w:shd w:val="clear" w:color="auto" w:fill="FFFFFF"/>
          </w:tcPr>
          <w:p w14:paraId="35BEF4EB" w14:textId="0D109BB3" w:rsidR="000B4835" w:rsidRPr="00CF31E0" w:rsidRDefault="00FF4DC7"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HH</w:t>
            </w:r>
          </w:p>
        </w:tc>
        <w:tc>
          <w:tcPr>
            <w:tcW w:w="1249" w:type="dxa"/>
            <w:tcBorders>
              <w:top w:val="nil"/>
            </w:tcBorders>
            <w:shd w:val="clear" w:color="auto" w:fill="FFFFFF"/>
          </w:tcPr>
          <w:p w14:paraId="79C6B954"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012" w:type="dxa"/>
            <w:tcBorders>
              <w:top w:val="nil"/>
            </w:tcBorders>
            <w:shd w:val="clear" w:color="auto" w:fill="FFFFFF"/>
            <w:vAlign w:val="center"/>
          </w:tcPr>
          <w:p w14:paraId="57C0C32D"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3.2708</w:t>
            </w:r>
          </w:p>
        </w:tc>
        <w:tc>
          <w:tcPr>
            <w:tcW w:w="868" w:type="dxa"/>
            <w:tcBorders>
              <w:top w:val="nil"/>
            </w:tcBorders>
            <w:shd w:val="clear" w:color="auto" w:fill="FFFFFF"/>
            <w:vAlign w:val="center"/>
          </w:tcPr>
          <w:p w14:paraId="190C7256"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.06421</w:t>
            </w:r>
          </w:p>
        </w:tc>
      </w:tr>
    </w:tbl>
    <w:p w14:paraId="2B0BA8F9" w14:textId="20C156E2" w:rsidR="000B4835" w:rsidRPr="00CF31E0" w:rsidRDefault="000B4835" w:rsidP="004A09F8">
      <w:pPr>
        <w:pStyle w:val="Tablecaption"/>
        <w:rPr>
          <w:lang w:eastAsia="en-US"/>
        </w:rPr>
      </w:pPr>
      <w:bookmarkStart w:id="999" w:name="_Toc522527514"/>
      <w:bookmarkStart w:id="1000" w:name="_Toc522628927"/>
      <w:bookmarkStart w:id="1001" w:name="_Toc522629091"/>
      <w:bookmarkStart w:id="1002" w:name="_Toc6473189"/>
      <w:r w:rsidRPr="00CF31E0">
        <w:rPr>
          <w:lang w:eastAsia="en-US"/>
        </w:rPr>
        <w:t xml:space="preserve">Table </w:t>
      </w:r>
      <w:r w:rsidR="004A09F8" w:rsidRPr="00CF31E0">
        <w:rPr>
          <w:lang w:eastAsia="en-US"/>
        </w:rPr>
        <w:t>11</w:t>
      </w:r>
      <w:r w:rsidR="00F1187F" w:rsidRPr="00CF31E0">
        <w:rPr>
          <w:lang w:eastAsia="en-US"/>
        </w:rPr>
        <w:t>.</w:t>
      </w:r>
      <w:r w:rsidR="004A09F8" w:rsidRPr="00CF31E0">
        <w:rPr>
          <w:lang w:eastAsia="en-US"/>
        </w:rPr>
        <w:t>51</w:t>
      </w:r>
      <w:r w:rsidRPr="00CF31E0">
        <w:rPr>
          <w:lang w:eastAsia="en-US"/>
        </w:rPr>
        <w:t>: Descriptive statistics</w:t>
      </w:r>
      <w:r w:rsidR="007E19E4">
        <w:rPr>
          <w:lang w:eastAsia="en-US"/>
        </w:rPr>
        <w:t xml:space="preserve"> for social group demographic variable</w:t>
      </w:r>
      <w:r w:rsidRPr="00CF31E0">
        <w:rPr>
          <w:lang w:eastAsia="en-US"/>
        </w:rPr>
        <w:t>.</w:t>
      </w:r>
      <w:bookmarkEnd w:id="999"/>
      <w:bookmarkEnd w:id="1000"/>
      <w:bookmarkEnd w:id="1001"/>
      <w:bookmarkEnd w:id="1002"/>
      <w:r w:rsidRPr="00CF31E0">
        <w:rPr>
          <w:lang w:eastAsia="en-US"/>
        </w:rPr>
        <w:t xml:space="preserve"> </w:t>
      </w:r>
    </w:p>
    <w:p w14:paraId="7AC41E83" w14:textId="55A78DBC" w:rsidR="00716AD5" w:rsidRDefault="000B4835" w:rsidP="00603CB7">
      <w:pPr>
        <w:pStyle w:val="Paragraph"/>
        <w:rPr>
          <w:rFonts w:cs="Arial"/>
          <w:lang w:val="en-US" w:eastAsia="en-US"/>
        </w:rPr>
      </w:pPr>
      <w:r w:rsidRPr="00CF31E0">
        <w:rPr>
          <w:lang w:eastAsia="en-US"/>
        </w:rPr>
        <w:t xml:space="preserve">Tables </w:t>
      </w:r>
      <w:r w:rsidR="004A09F8" w:rsidRPr="00CF31E0">
        <w:rPr>
          <w:lang w:eastAsia="en-US"/>
        </w:rPr>
        <w:t>11</w:t>
      </w:r>
      <w:r w:rsidR="00F1187F" w:rsidRPr="00CF31E0">
        <w:rPr>
          <w:lang w:eastAsia="en-US"/>
        </w:rPr>
        <w:t>.</w:t>
      </w:r>
      <w:r w:rsidR="004A09F8" w:rsidRPr="00CF31E0">
        <w:rPr>
          <w:lang w:eastAsia="en-US"/>
        </w:rPr>
        <w:t xml:space="preserve">51 </w:t>
      </w:r>
      <w:r w:rsidRPr="00CF31E0">
        <w:rPr>
          <w:lang w:eastAsia="en-US"/>
        </w:rPr>
        <w:t xml:space="preserve">and </w:t>
      </w:r>
      <w:r w:rsidR="004A09F8" w:rsidRPr="00CF31E0">
        <w:rPr>
          <w:lang w:eastAsia="en-US"/>
        </w:rPr>
        <w:t>11</w:t>
      </w:r>
      <w:r w:rsidR="00F1187F" w:rsidRPr="00CF31E0">
        <w:rPr>
          <w:lang w:eastAsia="en-US"/>
        </w:rPr>
        <w:t>.</w:t>
      </w:r>
      <w:r w:rsidR="004A09F8" w:rsidRPr="00CF31E0">
        <w:rPr>
          <w:lang w:eastAsia="en-US"/>
        </w:rPr>
        <w:t xml:space="preserve">52 </w:t>
      </w:r>
      <w:r w:rsidRPr="00CF31E0">
        <w:rPr>
          <w:lang w:eastAsia="en-US"/>
        </w:rPr>
        <w:t xml:space="preserve">show that the categories within the social group variables differed significantly (p = .031) from each other. Participants from the </w:t>
      </w:r>
      <w:r w:rsidR="00FF4DC7" w:rsidRPr="00CF31E0">
        <w:rPr>
          <w:lang w:eastAsia="en-US"/>
        </w:rPr>
        <w:t>HH</w:t>
      </w:r>
      <w:r w:rsidRPr="00CF31E0">
        <w:rPr>
          <w:lang w:eastAsia="en-US"/>
        </w:rPr>
        <w:t xml:space="preserve"> social group perceived the speaker’s voice to be more similar to other Arabic dialects than did the participants from the </w:t>
      </w:r>
      <w:r w:rsidR="0059652A" w:rsidRPr="00CF31E0">
        <w:rPr>
          <w:lang w:eastAsia="en-US"/>
        </w:rPr>
        <w:t>UBH</w:t>
      </w:r>
      <w:r w:rsidRPr="00CF31E0">
        <w:rPr>
          <w:lang w:eastAsia="en-US"/>
        </w:rPr>
        <w:t xml:space="preserve"> social group. </w:t>
      </w:r>
      <w:r w:rsidR="00716AD5" w:rsidRPr="00CF31E0">
        <w:rPr>
          <w:rFonts w:cs="Arial"/>
          <w:lang w:val="en-US" w:eastAsia="en-US"/>
        </w:rPr>
        <w:t xml:space="preserve">See </w:t>
      </w:r>
      <w:r w:rsidR="00A1775C" w:rsidRPr="00CF31E0">
        <w:rPr>
          <w:rFonts w:cs="Arial"/>
          <w:lang w:val="en-US" w:eastAsia="en-US"/>
        </w:rPr>
        <w:t xml:space="preserve">Tables </w:t>
      </w:r>
      <w:r w:rsidR="004A09F8" w:rsidRPr="00CF31E0">
        <w:rPr>
          <w:rFonts w:cs="Arial"/>
          <w:lang w:val="en-US" w:eastAsia="en-US"/>
        </w:rPr>
        <w:t>11</w:t>
      </w:r>
      <w:r w:rsidR="00716AD5" w:rsidRPr="00CF31E0">
        <w:rPr>
          <w:rFonts w:cs="Arial"/>
          <w:lang w:val="en-US" w:eastAsia="en-US"/>
        </w:rPr>
        <w:t>.</w:t>
      </w:r>
      <w:r w:rsidR="004A09F8" w:rsidRPr="00CF31E0">
        <w:rPr>
          <w:rFonts w:cs="Arial"/>
          <w:lang w:val="en-US" w:eastAsia="en-US"/>
        </w:rPr>
        <w:t xml:space="preserve">52 </w:t>
      </w:r>
      <w:r w:rsidR="00716AD5" w:rsidRPr="00CF31E0">
        <w:rPr>
          <w:rFonts w:cs="Arial"/>
          <w:lang w:val="en-US" w:eastAsia="en-US"/>
        </w:rPr>
        <w:t xml:space="preserve">and </w:t>
      </w:r>
      <w:r w:rsidR="004A09F8" w:rsidRPr="00CF31E0">
        <w:rPr>
          <w:rFonts w:cs="Arial"/>
          <w:lang w:val="en-US" w:eastAsia="en-US"/>
        </w:rPr>
        <w:t>11</w:t>
      </w:r>
      <w:r w:rsidR="00716AD5" w:rsidRPr="00CF31E0">
        <w:rPr>
          <w:rFonts w:cs="Arial"/>
          <w:lang w:val="en-US" w:eastAsia="en-US"/>
        </w:rPr>
        <w:t>.</w:t>
      </w:r>
      <w:r w:rsidR="004A09F8" w:rsidRPr="00CF31E0">
        <w:rPr>
          <w:rFonts w:cs="Arial"/>
          <w:lang w:val="en-US" w:eastAsia="en-US"/>
        </w:rPr>
        <w:t>53</w:t>
      </w:r>
      <w:r w:rsidR="00716AD5" w:rsidRPr="00CF31E0">
        <w:rPr>
          <w:rFonts w:cs="Arial"/>
          <w:lang w:val="en-US" w:eastAsia="en-US"/>
        </w:rPr>
        <w:t xml:space="preserve"> for mother’s social group results </w:t>
      </w:r>
      <w:r w:rsidR="00A1775C" w:rsidRPr="00CF31E0">
        <w:rPr>
          <w:rFonts w:cs="Arial"/>
          <w:lang w:val="en-US" w:eastAsia="en-US"/>
        </w:rPr>
        <w:t>from</w:t>
      </w:r>
      <w:r w:rsidR="00716AD5" w:rsidRPr="00CF31E0">
        <w:rPr>
          <w:rFonts w:cs="Arial"/>
          <w:lang w:val="en-US" w:eastAsia="en-US"/>
        </w:rPr>
        <w:t xml:space="preserve"> the data.</w:t>
      </w:r>
    </w:p>
    <w:p w14:paraId="4614EB97" w14:textId="77777777" w:rsidR="00F50E67" w:rsidRDefault="00F50E67" w:rsidP="00603CB7">
      <w:pPr>
        <w:pStyle w:val="Paragraph"/>
        <w:rPr>
          <w:rFonts w:cs="Arial"/>
          <w:lang w:val="en-US" w:eastAsia="en-US"/>
        </w:rPr>
      </w:pPr>
    </w:p>
    <w:p w14:paraId="2B9EEB87" w14:textId="77777777" w:rsidR="00F50E67" w:rsidRPr="00CF31E0" w:rsidRDefault="00F50E67" w:rsidP="00603CB7">
      <w:pPr>
        <w:pStyle w:val="Paragraph"/>
        <w:rPr>
          <w:rFonts w:cs="Arial"/>
          <w:lang w:val="en-US" w:eastAsia="en-US"/>
        </w:rPr>
      </w:pPr>
    </w:p>
    <w:tbl>
      <w:tblPr>
        <w:tblW w:w="7483" w:type="dxa"/>
        <w:tblInd w:w="-20" w:type="dxa"/>
        <w:tblBorders>
          <w:top w:val="single" w:sz="4" w:space="0" w:color="000000"/>
          <w:bottom w:val="single" w:sz="4" w:space="0" w:color="000000"/>
        </w:tblBorders>
        <w:tblLayout w:type="fixed"/>
        <w:tblCellMar>
          <w:left w:w="0" w:type="dxa"/>
          <w:right w:w="0" w:type="dxa"/>
        </w:tblCellMar>
        <w:tblLook w:val="0000" w:firstRow="0" w:lastRow="0" w:firstColumn="0" w:lastColumn="0" w:noHBand="0" w:noVBand="0"/>
      </w:tblPr>
      <w:tblGrid>
        <w:gridCol w:w="1992"/>
        <w:gridCol w:w="1945"/>
        <w:gridCol w:w="944"/>
        <w:gridCol w:w="1662"/>
        <w:gridCol w:w="940"/>
      </w:tblGrid>
      <w:tr w:rsidR="00AB3C90" w:rsidRPr="00CF31E0" w14:paraId="3CF1FEEB" w14:textId="77777777" w:rsidTr="00AB3C90">
        <w:trPr>
          <w:cantSplit/>
          <w:trHeight w:val="577"/>
        </w:trPr>
        <w:tc>
          <w:tcPr>
            <w:tcW w:w="1992" w:type="dxa"/>
            <w:tcBorders>
              <w:top w:val="single" w:sz="4" w:space="0" w:color="000000"/>
              <w:bottom w:val="single" w:sz="4" w:space="0" w:color="000000"/>
            </w:tcBorders>
            <w:shd w:val="clear" w:color="auto" w:fill="FFFFFF"/>
            <w:vAlign w:val="bottom"/>
          </w:tcPr>
          <w:p w14:paraId="26E73566"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Mother’s group</w:t>
            </w:r>
          </w:p>
        </w:tc>
        <w:tc>
          <w:tcPr>
            <w:tcW w:w="1945" w:type="dxa"/>
            <w:tcBorders>
              <w:top w:val="single" w:sz="4" w:space="0" w:color="000000"/>
              <w:bottom w:val="single" w:sz="4" w:space="0" w:color="000000"/>
            </w:tcBorders>
            <w:shd w:val="clear" w:color="auto" w:fill="FFFFFF"/>
            <w:vAlign w:val="bottom"/>
          </w:tcPr>
          <w:p w14:paraId="0EF86253"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944" w:type="dxa"/>
            <w:tcBorders>
              <w:top w:val="single" w:sz="4" w:space="0" w:color="000000"/>
              <w:bottom w:val="single" w:sz="4" w:space="0" w:color="000000"/>
            </w:tcBorders>
            <w:shd w:val="clear" w:color="auto" w:fill="FFFFFF"/>
            <w:vAlign w:val="bottom"/>
          </w:tcPr>
          <w:p w14:paraId="69E0BC94"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662" w:type="dxa"/>
            <w:tcBorders>
              <w:top w:val="single" w:sz="4" w:space="0" w:color="000000"/>
              <w:bottom w:val="single" w:sz="4" w:space="0" w:color="000000"/>
            </w:tcBorders>
            <w:shd w:val="clear" w:color="auto" w:fill="FFFFFF"/>
            <w:vAlign w:val="bottom"/>
          </w:tcPr>
          <w:p w14:paraId="6DAF5CF8"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940" w:type="dxa"/>
            <w:tcBorders>
              <w:top w:val="single" w:sz="4" w:space="0" w:color="000000"/>
              <w:bottom w:val="single" w:sz="4" w:space="0" w:color="000000"/>
            </w:tcBorders>
            <w:shd w:val="clear" w:color="auto" w:fill="FFFFFF"/>
            <w:vAlign w:val="bottom"/>
          </w:tcPr>
          <w:p w14:paraId="253D54FC"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AB3C90" w:rsidRPr="00CF31E0" w14:paraId="2CB628CB" w14:textId="77777777" w:rsidTr="00AB3C90">
        <w:trPr>
          <w:cantSplit/>
          <w:trHeight w:val="568"/>
        </w:trPr>
        <w:tc>
          <w:tcPr>
            <w:tcW w:w="1992" w:type="dxa"/>
            <w:tcBorders>
              <w:top w:val="single" w:sz="4" w:space="0" w:color="000000"/>
              <w:bottom w:val="nil"/>
            </w:tcBorders>
            <w:shd w:val="clear" w:color="auto" w:fill="FFFFFF"/>
          </w:tcPr>
          <w:p w14:paraId="2ACD6021"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945" w:type="dxa"/>
            <w:tcBorders>
              <w:top w:val="single" w:sz="4" w:space="0" w:color="000000"/>
              <w:bottom w:val="nil"/>
            </w:tcBorders>
            <w:shd w:val="clear" w:color="auto" w:fill="FFFFFF"/>
            <w:vAlign w:val="center"/>
          </w:tcPr>
          <w:p w14:paraId="23ED94E7"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10.701</w:t>
            </w:r>
          </w:p>
        </w:tc>
        <w:tc>
          <w:tcPr>
            <w:tcW w:w="944" w:type="dxa"/>
            <w:tcBorders>
              <w:top w:val="single" w:sz="4" w:space="0" w:color="000000"/>
              <w:bottom w:val="nil"/>
            </w:tcBorders>
            <w:shd w:val="clear" w:color="auto" w:fill="FFFFFF"/>
            <w:vAlign w:val="center"/>
          </w:tcPr>
          <w:p w14:paraId="6C761D42"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2</w:t>
            </w:r>
          </w:p>
        </w:tc>
        <w:tc>
          <w:tcPr>
            <w:tcW w:w="1662" w:type="dxa"/>
            <w:tcBorders>
              <w:top w:val="single" w:sz="4" w:space="0" w:color="000000"/>
              <w:bottom w:val="nil"/>
            </w:tcBorders>
            <w:shd w:val="clear" w:color="auto" w:fill="FFFFFF"/>
            <w:vAlign w:val="center"/>
          </w:tcPr>
          <w:p w14:paraId="0A4D67CA"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5.351</w:t>
            </w:r>
          </w:p>
        </w:tc>
        <w:tc>
          <w:tcPr>
            <w:tcW w:w="940" w:type="dxa"/>
            <w:tcBorders>
              <w:top w:val="single" w:sz="4" w:space="0" w:color="000000"/>
              <w:bottom w:val="nil"/>
            </w:tcBorders>
            <w:shd w:val="clear" w:color="auto" w:fill="FFFFFF"/>
            <w:vAlign w:val="center"/>
          </w:tcPr>
          <w:p w14:paraId="6DC153BB"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.017</w:t>
            </w:r>
          </w:p>
        </w:tc>
      </w:tr>
      <w:tr w:rsidR="00AB3C90" w:rsidRPr="00CF31E0" w14:paraId="62DA20C3" w14:textId="77777777" w:rsidTr="00AB3C90">
        <w:trPr>
          <w:cantSplit/>
          <w:trHeight w:val="577"/>
        </w:trPr>
        <w:tc>
          <w:tcPr>
            <w:tcW w:w="1992" w:type="dxa"/>
            <w:tcBorders>
              <w:top w:val="nil"/>
            </w:tcBorders>
            <w:shd w:val="clear" w:color="auto" w:fill="FFFFFF"/>
          </w:tcPr>
          <w:p w14:paraId="6347B0F6"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945" w:type="dxa"/>
            <w:tcBorders>
              <w:top w:val="nil"/>
            </w:tcBorders>
            <w:shd w:val="clear" w:color="auto" w:fill="FFFFFF"/>
            <w:vAlign w:val="center"/>
          </w:tcPr>
          <w:p w14:paraId="505CB691"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840.593</w:t>
            </w:r>
          </w:p>
        </w:tc>
        <w:tc>
          <w:tcPr>
            <w:tcW w:w="944" w:type="dxa"/>
            <w:tcBorders>
              <w:top w:val="nil"/>
            </w:tcBorders>
            <w:shd w:val="clear" w:color="auto" w:fill="FFFFFF"/>
            <w:vAlign w:val="center"/>
          </w:tcPr>
          <w:p w14:paraId="0FD4B36B"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647</w:t>
            </w:r>
          </w:p>
        </w:tc>
        <w:tc>
          <w:tcPr>
            <w:tcW w:w="1662" w:type="dxa"/>
            <w:tcBorders>
              <w:top w:val="nil"/>
            </w:tcBorders>
            <w:shd w:val="clear" w:color="auto" w:fill="FFFFFF"/>
            <w:vAlign w:val="center"/>
          </w:tcPr>
          <w:p w14:paraId="6DF3C212"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1.303</w:t>
            </w:r>
          </w:p>
        </w:tc>
        <w:tc>
          <w:tcPr>
            <w:tcW w:w="940" w:type="dxa"/>
            <w:tcBorders>
              <w:top w:val="nil"/>
            </w:tcBorders>
            <w:shd w:val="clear" w:color="auto" w:fill="FFFFFF"/>
            <w:vAlign w:val="center"/>
          </w:tcPr>
          <w:p w14:paraId="4B2B9AB0" w14:textId="77777777" w:rsidR="00AB3C90" w:rsidRPr="00CF31E0" w:rsidRDefault="00AB3C90" w:rsidP="000B4835">
            <w:pPr>
              <w:spacing w:before="120" w:after="120" w:line="360" w:lineRule="auto"/>
              <w:rPr>
                <w:rFonts w:eastAsia="Calibri" w:cs="Arial"/>
                <w:color w:val="000000" w:themeColor="text1"/>
                <w:sz w:val="22"/>
                <w:szCs w:val="22"/>
                <w:lang w:eastAsia="en-US"/>
              </w:rPr>
            </w:pPr>
          </w:p>
        </w:tc>
      </w:tr>
      <w:tr w:rsidR="00AB3C90" w:rsidRPr="00CF31E0" w14:paraId="71D7E208" w14:textId="77777777" w:rsidTr="00AB3C90">
        <w:trPr>
          <w:cantSplit/>
          <w:trHeight w:val="587"/>
        </w:trPr>
        <w:tc>
          <w:tcPr>
            <w:tcW w:w="1992" w:type="dxa"/>
            <w:shd w:val="clear" w:color="auto" w:fill="FFFFFF"/>
          </w:tcPr>
          <w:p w14:paraId="6527B5F9"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945" w:type="dxa"/>
            <w:shd w:val="clear" w:color="auto" w:fill="FFFFFF"/>
            <w:vAlign w:val="center"/>
          </w:tcPr>
          <w:p w14:paraId="3F7D0931"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851.295</w:t>
            </w:r>
          </w:p>
        </w:tc>
        <w:tc>
          <w:tcPr>
            <w:tcW w:w="944" w:type="dxa"/>
            <w:shd w:val="clear" w:color="auto" w:fill="FFFFFF"/>
            <w:vAlign w:val="center"/>
          </w:tcPr>
          <w:p w14:paraId="3AD680AE"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649</w:t>
            </w:r>
          </w:p>
        </w:tc>
        <w:tc>
          <w:tcPr>
            <w:tcW w:w="1662" w:type="dxa"/>
            <w:shd w:val="clear" w:color="auto" w:fill="FFFFFF"/>
            <w:vAlign w:val="center"/>
          </w:tcPr>
          <w:p w14:paraId="521371EB" w14:textId="77777777" w:rsidR="00AB3C90" w:rsidRPr="00CF31E0" w:rsidRDefault="00AB3C90" w:rsidP="000B4835">
            <w:pPr>
              <w:spacing w:before="120" w:after="120" w:line="360" w:lineRule="auto"/>
              <w:rPr>
                <w:rFonts w:eastAsia="Calibri" w:cs="Arial"/>
                <w:color w:val="000000" w:themeColor="text1"/>
                <w:sz w:val="22"/>
                <w:szCs w:val="22"/>
                <w:lang w:eastAsia="en-US"/>
              </w:rPr>
            </w:pPr>
          </w:p>
        </w:tc>
        <w:tc>
          <w:tcPr>
            <w:tcW w:w="940" w:type="dxa"/>
            <w:shd w:val="clear" w:color="auto" w:fill="FFFFFF"/>
            <w:vAlign w:val="center"/>
          </w:tcPr>
          <w:p w14:paraId="3C2BA7F9" w14:textId="77777777" w:rsidR="00AB3C90" w:rsidRPr="00CF31E0" w:rsidRDefault="00AB3C90" w:rsidP="000B4835">
            <w:pPr>
              <w:spacing w:before="120" w:after="120" w:line="360" w:lineRule="auto"/>
              <w:rPr>
                <w:rFonts w:eastAsia="Calibri" w:cs="Arial"/>
                <w:color w:val="000000" w:themeColor="text1"/>
                <w:sz w:val="22"/>
                <w:szCs w:val="22"/>
                <w:lang w:eastAsia="en-US"/>
              </w:rPr>
            </w:pPr>
          </w:p>
        </w:tc>
      </w:tr>
    </w:tbl>
    <w:p w14:paraId="0207404D" w14:textId="1CD9D893" w:rsidR="000B4835" w:rsidRPr="00CF31E0" w:rsidRDefault="000B4835" w:rsidP="00603CB7">
      <w:pPr>
        <w:pStyle w:val="Tablecaption"/>
        <w:spacing w:after="0"/>
        <w:rPr>
          <w:lang w:eastAsia="en-US"/>
        </w:rPr>
      </w:pPr>
      <w:bookmarkStart w:id="1003" w:name="_Toc522527515"/>
      <w:bookmarkStart w:id="1004" w:name="_Toc522628928"/>
      <w:bookmarkStart w:id="1005" w:name="_Toc522629092"/>
      <w:bookmarkStart w:id="1006" w:name="_Toc6473190"/>
      <w:r w:rsidRPr="00CF31E0">
        <w:rPr>
          <w:lang w:eastAsia="en-US"/>
        </w:rPr>
        <w:t xml:space="preserve">Table </w:t>
      </w:r>
      <w:r w:rsidR="004A09F8" w:rsidRPr="00CF31E0">
        <w:rPr>
          <w:lang w:eastAsia="en-US"/>
        </w:rPr>
        <w:t>11</w:t>
      </w:r>
      <w:r w:rsidR="00F1187F" w:rsidRPr="00CF31E0">
        <w:rPr>
          <w:lang w:eastAsia="en-US"/>
        </w:rPr>
        <w:t>.</w:t>
      </w:r>
      <w:r w:rsidR="004A09F8" w:rsidRPr="00CF31E0">
        <w:rPr>
          <w:lang w:eastAsia="en-US"/>
        </w:rPr>
        <w:t>52</w:t>
      </w:r>
      <w:r w:rsidRPr="00CF31E0">
        <w:rPr>
          <w:lang w:eastAsia="en-US"/>
        </w:rPr>
        <w:t>: ANOVA statistics for mother’s social group demographic variable.</w:t>
      </w:r>
      <w:bookmarkEnd w:id="1003"/>
      <w:bookmarkEnd w:id="1004"/>
      <w:bookmarkEnd w:id="1005"/>
      <w:bookmarkEnd w:id="1006"/>
    </w:p>
    <w:p w14:paraId="2E877CC0" w14:textId="77777777" w:rsidR="00CC53FA" w:rsidRPr="00CF31E0" w:rsidRDefault="00CC53FA" w:rsidP="00603CB7">
      <w:pPr>
        <w:pStyle w:val="Tablecaption"/>
        <w:spacing w:after="0"/>
        <w:rPr>
          <w:lang w:eastAsia="en-US"/>
        </w:rPr>
      </w:pPr>
    </w:p>
    <w:tbl>
      <w:tblPr>
        <w:tblW w:w="7235" w:type="dxa"/>
        <w:tblInd w:w="-20" w:type="dxa"/>
        <w:tblLayout w:type="fixed"/>
        <w:tblCellMar>
          <w:left w:w="0" w:type="dxa"/>
          <w:right w:w="0" w:type="dxa"/>
        </w:tblCellMar>
        <w:tblLook w:val="0000" w:firstRow="0" w:lastRow="0" w:firstColumn="0" w:lastColumn="0" w:noHBand="0" w:noVBand="0"/>
      </w:tblPr>
      <w:tblGrid>
        <w:gridCol w:w="1838"/>
        <w:gridCol w:w="1597"/>
        <w:gridCol w:w="1800"/>
        <w:gridCol w:w="1283"/>
        <w:gridCol w:w="717"/>
      </w:tblGrid>
      <w:tr w:rsidR="00AB3C90" w:rsidRPr="00CF31E0" w14:paraId="0DA7B552" w14:textId="77777777" w:rsidTr="004F45D7">
        <w:trPr>
          <w:cantSplit/>
          <w:trHeight w:val="499"/>
        </w:trPr>
        <w:tc>
          <w:tcPr>
            <w:tcW w:w="1838" w:type="dxa"/>
            <w:vMerge w:val="restart"/>
            <w:tcBorders>
              <w:top w:val="single" w:sz="8" w:space="0" w:color="000000"/>
              <w:bottom w:val="single" w:sz="8" w:space="0" w:color="000000"/>
            </w:tcBorders>
            <w:shd w:val="clear" w:color="auto" w:fill="FFFFFF"/>
            <w:vAlign w:val="bottom"/>
          </w:tcPr>
          <w:p w14:paraId="3EAA2167" w14:textId="082BC6F0"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Mother’s social group</w:t>
            </w:r>
          </w:p>
        </w:tc>
        <w:tc>
          <w:tcPr>
            <w:tcW w:w="1597" w:type="dxa"/>
            <w:vMerge w:val="restart"/>
            <w:tcBorders>
              <w:top w:val="single" w:sz="8" w:space="0" w:color="000000"/>
              <w:bottom w:val="single" w:sz="8" w:space="0" w:color="000000"/>
            </w:tcBorders>
            <w:shd w:val="clear" w:color="auto" w:fill="FFFFFF"/>
            <w:vAlign w:val="bottom"/>
          </w:tcPr>
          <w:p w14:paraId="1FD042E3" w14:textId="4D18FA04"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Mother’s social group</w:t>
            </w:r>
          </w:p>
        </w:tc>
        <w:tc>
          <w:tcPr>
            <w:tcW w:w="1800" w:type="dxa"/>
            <w:vMerge w:val="restart"/>
            <w:tcBorders>
              <w:top w:val="single" w:sz="8" w:space="0" w:color="000000"/>
              <w:bottom w:val="single" w:sz="8" w:space="0" w:color="000000"/>
            </w:tcBorders>
            <w:shd w:val="clear" w:color="auto" w:fill="FFFFFF"/>
            <w:vAlign w:val="bottom"/>
          </w:tcPr>
          <w:p w14:paraId="13A2C979" w14:textId="400F19A2" w:rsidR="00AB3C90" w:rsidRPr="00CF31E0" w:rsidRDefault="00AB3C90" w:rsidP="00AB3C90">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 xml:space="preserve">Mean Difference </w:t>
            </w:r>
          </w:p>
        </w:tc>
        <w:tc>
          <w:tcPr>
            <w:tcW w:w="1283" w:type="dxa"/>
            <w:vMerge w:val="restart"/>
            <w:tcBorders>
              <w:top w:val="single" w:sz="8" w:space="0" w:color="000000"/>
              <w:bottom w:val="single" w:sz="8" w:space="0" w:color="000000"/>
            </w:tcBorders>
            <w:shd w:val="clear" w:color="auto" w:fill="FFFFFF"/>
            <w:vAlign w:val="bottom"/>
          </w:tcPr>
          <w:p w14:paraId="6717D39D" w14:textId="77777777" w:rsidR="00AB3C90" w:rsidRPr="00CF31E0" w:rsidRDefault="00AB3C90" w:rsidP="00AB3C90">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Std. Error</w:t>
            </w:r>
          </w:p>
        </w:tc>
        <w:tc>
          <w:tcPr>
            <w:tcW w:w="717" w:type="dxa"/>
            <w:vMerge w:val="restart"/>
            <w:tcBorders>
              <w:top w:val="single" w:sz="8" w:space="0" w:color="000000"/>
              <w:bottom w:val="single" w:sz="8" w:space="0" w:color="000000"/>
            </w:tcBorders>
            <w:shd w:val="clear" w:color="auto" w:fill="FFFFFF"/>
            <w:vAlign w:val="bottom"/>
          </w:tcPr>
          <w:p w14:paraId="181E11C4" w14:textId="77777777" w:rsidR="00AB3C90" w:rsidRPr="00CF31E0" w:rsidRDefault="00AB3C90" w:rsidP="00AB3C90">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AB3C90" w:rsidRPr="00CF31E0" w14:paraId="7C94B751" w14:textId="77777777" w:rsidTr="004F45D7">
        <w:trPr>
          <w:cantSplit/>
          <w:trHeight w:val="637"/>
        </w:trPr>
        <w:tc>
          <w:tcPr>
            <w:tcW w:w="1838" w:type="dxa"/>
            <w:vMerge/>
            <w:tcBorders>
              <w:bottom w:val="single" w:sz="8" w:space="0" w:color="000000"/>
            </w:tcBorders>
            <w:shd w:val="clear" w:color="auto" w:fill="FFFFFF"/>
            <w:vAlign w:val="bottom"/>
          </w:tcPr>
          <w:p w14:paraId="75E3BDBD" w14:textId="77777777" w:rsidR="00AB3C90" w:rsidRPr="00CF31E0" w:rsidRDefault="00AB3C90" w:rsidP="000B4835">
            <w:pPr>
              <w:spacing w:before="120" w:after="120" w:line="360" w:lineRule="auto"/>
              <w:rPr>
                <w:rFonts w:eastAsia="Calibri" w:cs="Arial"/>
                <w:color w:val="000000" w:themeColor="text1"/>
                <w:sz w:val="22"/>
                <w:szCs w:val="22"/>
                <w:lang w:eastAsia="en-US"/>
              </w:rPr>
            </w:pPr>
          </w:p>
        </w:tc>
        <w:tc>
          <w:tcPr>
            <w:tcW w:w="1597" w:type="dxa"/>
            <w:vMerge/>
            <w:tcBorders>
              <w:bottom w:val="single" w:sz="8" w:space="0" w:color="000000"/>
            </w:tcBorders>
            <w:shd w:val="clear" w:color="auto" w:fill="FFFFFF"/>
            <w:vAlign w:val="bottom"/>
          </w:tcPr>
          <w:p w14:paraId="3CF2E948" w14:textId="77777777" w:rsidR="00AB3C90" w:rsidRPr="00CF31E0" w:rsidRDefault="00AB3C90" w:rsidP="000B4835">
            <w:pPr>
              <w:spacing w:before="120" w:after="120" w:line="360" w:lineRule="auto"/>
              <w:rPr>
                <w:rFonts w:eastAsia="Calibri" w:cs="Arial"/>
                <w:color w:val="000000" w:themeColor="text1"/>
                <w:sz w:val="22"/>
                <w:szCs w:val="22"/>
                <w:lang w:eastAsia="en-US"/>
              </w:rPr>
            </w:pPr>
          </w:p>
        </w:tc>
        <w:tc>
          <w:tcPr>
            <w:tcW w:w="1800" w:type="dxa"/>
            <w:vMerge/>
            <w:tcBorders>
              <w:bottom w:val="single" w:sz="8" w:space="0" w:color="000000"/>
            </w:tcBorders>
            <w:shd w:val="clear" w:color="auto" w:fill="FFFFFF"/>
            <w:vAlign w:val="bottom"/>
          </w:tcPr>
          <w:p w14:paraId="4DEC3F1B" w14:textId="77777777" w:rsidR="00AB3C90" w:rsidRPr="00CF31E0" w:rsidRDefault="00AB3C90" w:rsidP="00AB3C90">
            <w:pPr>
              <w:spacing w:before="120" w:after="120" w:line="360" w:lineRule="auto"/>
              <w:rPr>
                <w:rFonts w:eastAsia="Calibri" w:cs="Arial"/>
                <w:color w:val="000000" w:themeColor="text1"/>
                <w:sz w:val="22"/>
                <w:szCs w:val="22"/>
                <w:lang w:eastAsia="en-US"/>
              </w:rPr>
            </w:pPr>
          </w:p>
        </w:tc>
        <w:tc>
          <w:tcPr>
            <w:tcW w:w="1283" w:type="dxa"/>
            <w:vMerge/>
            <w:tcBorders>
              <w:bottom w:val="single" w:sz="8" w:space="0" w:color="000000"/>
            </w:tcBorders>
            <w:shd w:val="clear" w:color="auto" w:fill="FFFFFF"/>
            <w:vAlign w:val="bottom"/>
          </w:tcPr>
          <w:p w14:paraId="7B3DC160" w14:textId="77777777" w:rsidR="00AB3C90" w:rsidRPr="00CF31E0" w:rsidRDefault="00AB3C90" w:rsidP="00AB3C90">
            <w:pPr>
              <w:spacing w:before="120" w:after="120" w:line="360" w:lineRule="auto"/>
              <w:rPr>
                <w:rFonts w:eastAsia="Calibri" w:cs="Arial"/>
                <w:color w:val="000000" w:themeColor="text1"/>
                <w:sz w:val="22"/>
                <w:szCs w:val="22"/>
                <w:lang w:eastAsia="en-US"/>
              </w:rPr>
            </w:pPr>
          </w:p>
        </w:tc>
        <w:tc>
          <w:tcPr>
            <w:tcW w:w="717" w:type="dxa"/>
            <w:vMerge/>
            <w:tcBorders>
              <w:bottom w:val="single" w:sz="8" w:space="0" w:color="000000"/>
            </w:tcBorders>
            <w:shd w:val="clear" w:color="auto" w:fill="FFFFFF"/>
            <w:vAlign w:val="bottom"/>
          </w:tcPr>
          <w:p w14:paraId="0B308686" w14:textId="77777777" w:rsidR="00AB3C90" w:rsidRPr="00CF31E0" w:rsidRDefault="00AB3C90" w:rsidP="00AB3C90">
            <w:pPr>
              <w:spacing w:before="120" w:after="120" w:line="360" w:lineRule="auto"/>
              <w:rPr>
                <w:rFonts w:eastAsia="Calibri" w:cs="Arial"/>
                <w:color w:val="000000" w:themeColor="text1"/>
                <w:sz w:val="22"/>
                <w:szCs w:val="22"/>
                <w:lang w:eastAsia="en-US"/>
              </w:rPr>
            </w:pPr>
          </w:p>
        </w:tc>
      </w:tr>
      <w:tr w:rsidR="00AB3C90" w:rsidRPr="00CF31E0" w14:paraId="1D126C98" w14:textId="77777777" w:rsidTr="004F45D7">
        <w:trPr>
          <w:cantSplit/>
          <w:trHeight w:val="613"/>
        </w:trPr>
        <w:tc>
          <w:tcPr>
            <w:tcW w:w="1838" w:type="dxa"/>
            <w:tcBorders>
              <w:top w:val="single" w:sz="8" w:space="0" w:color="000000"/>
              <w:bottom w:val="single" w:sz="8" w:space="0" w:color="000000"/>
            </w:tcBorders>
            <w:shd w:val="clear" w:color="auto" w:fill="FFFFFF"/>
          </w:tcPr>
          <w:p w14:paraId="70499509" w14:textId="4A79ED3E"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UBH</w:t>
            </w:r>
          </w:p>
        </w:tc>
        <w:tc>
          <w:tcPr>
            <w:tcW w:w="1597" w:type="dxa"/>
            <w:tcBorders>
              <w:top w:val="single" w:sz="8" w:space="0" w:color="000000"/>
              <w:bottom w:val="single" w:sz="8" w:space="0" w:color="000000"/>
            </w:tcBorders>
            <w:shd w:val="clear" w:color="auto" w:fill="FFFFFF"/>
          </w:tcPr>
          <w:p w14:paraId="51E768CA" w14:textId="0D06E97C"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HH</w:t>
            </w:r>
          </w:p>
        </w:tc>
        <w:tc>
          <w:tcPr>
            <w:tcW w:w="1800" w:type="dxa"/>
            <w:tcBorders>
              <w:top w:val="single" w:sz="8" w:space="0" w:color="000000"/>
              <w:bottom w:val="single" w:sz="8" w:space="0" w:color="000000"/>
            </w:tcBorders>
            <w:shd w:val="clear" w:color="auto" w:fill="FFFFFF"/>
            <w:vAlign w:val="center"/>
          </w:tcPr>
          <w:p w14:paraId="35ABE43A" w14:textId="77777777" w:rsidR="00AB3C90" w:rsidRPr="00CF31E0" w:rsidRDefault="00AB3C90" w:rsidP="00AB3C90">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-.23311</w:t>
            </w:r>
            <w:r w:rsidRPr="00CF31E0">
              <w:rPr>
                <w:rFonts w:eastAsia="Calibri" w:cs="Arial"/>
                <w:color w:val="000000" w:themeColor="text1"/>
                <w:sz w:val="22"/>
                <w:szCs w:val="22"/>
                <w:vertAlign w:val="superscript"/>
                <w:lang w:eastAsia="en-US"/>
              </w:rPr>
              <w:t>*</w:t>
            </w:r>
          </w:p>
        </w:tc>
        <w:tc>
          <w:tcPr>
            <w:tcW w:w="1283" w:type="dxa"/>
            <w:tcBorders>
              <w:top w:val="single" w:sz="8" w:space="0" w:color="000000"/>
              <w:bottom w:val="single" w:sz="8" w:space="0" w:color="000000"/>
            </w:tcBorders>
            <w:shd w:val="clear" w:color="auto" w:fill="FFFFFF"/>
            <w:vAlign w:val="center"/>
          </w:tcPr>
          <w:p w14:paraId="1E5F4C8E" w14:textId="77777777" w:rsidR="00AB3C90" w:rsidRPr="00CF31E0" w:rsidRDefault="00AB3C90" w:rsidP="00AB3C90">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.09118</w:t>
            </w:r>
          </w:p>
        </w:tc>
        <w:tc>
          <w:tcPr>
            <w:tcW w:w="717" w:type="dxa"/>
            <w:tcBorders>
              <w:top w:val="single" w:sz="8" w:space="0" w:color="000000"/>
              <w:bottom w:val="single" w:sz="8" w:space="0" w:color="000000"/>
            </w:tcBorders>
            <w:shd w:val="clear" w:color="auto" w:fill="FFFFFF"/>
            <w:vAlign w:val="center"/>
          </w:tcPr>
          <w:p w14:paraId="4908A200" w14:textId="77777777" w:rsidR="00AB3C90" w:rsidRPr="00CF31E0" w:rsidRDefault="00AB3C90" w:rsidP="00AB3C90">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.029</w:t>
            </w:r>
          </w:p>
        </w:tc>
      </w:tr>
    </w:tbl>
    <w:p w14:paraId="66DCC694" w14:textId="04C9200D" w:rsidR="000B4835" w:rsidRPr="00CF31E0" w:rsidRDefault="000B4835" w:rsidP="004A09F8">
      <w:pPr>
        <w:pStyle w:val="Tablecaption"/>
        <w:rPr>
          <w:lang w:eastAsia="zh-CN"/>
        </w:rPr>
      </w:pPr>
      <w:bookmarkStart w:id="1007" w:name="_Toc522527516"/>
      <w:bookmarkStart w:id="1008" w:name="_Toc522628929"/>
      <w:bookmarkStart w:id="1009" w:name="_Toc522629093"/>
      <w:bookmarkStart w:id="1010" w:name="_Toc6473191"/>
      <w:r w:rsidRPr="00CF31E0">
        <w:rPr>
          <w:lang w:eastAsia="zh-CN"/>
        </w:rPr>
        <w:t xml:space="preserve">Table </w:t>
      </w:r>
      <w:r w:rsidR="004A09F8" w:rsidRPr="00CF31E0">
        <w:rPr>
          <w:lang w:eastAsia="zh-CN"/>
        </w:rPr>
        <w:t>11</w:t>
      </w:r>
      <w:r w:rsidR="00F1187F" w:rsidRPr="00CF31E0">
        <w:rPr>
          <w:lang w:eastAsia="zh-CN"/>
        </w:rPr>
        <w:t>.</w:t>
      </w:r>
      <w:r w:rsidR="004A09F8" w:rsidRPr="00CF31E0">
        <w:rPr>
          <w:lang w:eastAsia="zh-CN"/>
        </w:rPr>
        <w:t>53</w:t>
      </w:r>
      <w:r w:rsidRPr="00CF31E0">
        <w:rPr>
          <w:lang w:eastAsia="zh-CN"/>
        </w:rPr>
        <w:t>: Post-hoc test results for mother’s social group demographic variable.</w:t>
      </w:r>
      <w:bookmarkEnd w:id="1007"/>
      <w:bookmarkEnd w:id="1008"/>
      <w:bookmarkEnd w:id="1009"/>
      <w:bookmarkEnd w:id="1010"/>
      <w:r w:rsidRPr="00CF31E0">
        <w:rPr>
          <w:lang w:eastAsia="zh-CN"/>
        </w:rPr>
        <w:t xml:space="preserve"> </w:t>
      </w:r>
    </w:p>
    <w:p w14:paraId="271F1974" w14:textId="365A0834" w:rsidR="000B4835" w:rsidRPr="00CF31E0" w:rsidRDefault="00B633C7" w:rsidP="00603CB7">
      <w:pPr>
        <w:pStyle w:val="Paragraph"/>
        <w:rPr>
          <w:lang w:eastAsia="zh-CN"/>
        </w:rPr>
      </w:pPr>
      <w:r>
        <w:rPr>
          <w:lang w:eastAsia="zh-CN"/>
        </w:rPr>
        <w:t>Table 11.52 shows a</w:t>
      </w:r>
      <w:r w:rsidR="000B4835" w:rsidRPr="00CF31E0">
        <w:rPr>
          <w:lang w:eastAsia="zh-CN"/>
        </w:rPr>
        <w:t xml:space="preserve"> very similar pattern emerged in the mother’s social group results. </w:t>
      </w:r>
      <w:r>
        <w:rPr>
          <w:lang w:eastAsia="zh-CN"/>
        </w:rPr>
        <w:t>Table 11.53 shows that p</w:t>
      </w:r>
      <w:r w:rsidR="000B4835" w:rsidRPr="00CF31E0">
        <w:rPr>
          <w:lang w:eastAsia="zh-CN"/>
        </w:rPr>
        <w:t xml:space="preserve">articipants whose mothers are of </w:t>
      </w:r>
      <w:r w:rsidR="00FF4DC7" w:rsidRPr="00CF31E0">
        <w:rPr>
          <w:lang w:eastAsia="zh-CN"/>
        </w:rPr>
        <w:t>HH</w:t>
      </w:r>
      <w:r w:rsidR="000B4835" w:rsidRPr="00CF31E0">
        <w:rPr>
          <w:lang w:eastAsia="zh-CN"/>
        </w:rPr>
        <w:t xml:space="preserve"> origin perceived the speaker’s voice as more similar to other Arabic dialects. </w:t>
      </w:r>
    </w:p>
    <w:p w14:paraId="44796E3F" w14:textId="6F1A3A20" w:rsidR="000B4835" w:rsidRPr="00CF31E0" w:rsidRDefault="004A09F8" w:rsidP="004A09F8">
      <w:pPr>
        <w:pStyle w:val="Chead"/>
      </w:pPr>
      <w:bookmarkStart w:id="1011" w:name="_Toc6472801"/>
      <w:r w:rsidRPr="00CF31E0">
        <w:t>11</w:t>
      </w:r>
      <w:r w:rsidR="00F1187F" w:rsidRPr="00CF31E0">
        <w:t>.3.5.2.</w:t>
      </w:r>
      <w:r w:rsidR="003F4912" w:rsidRPr="00CF31E0">
        <w:tab/>
      </w:r>
      <w:r w:rsidR="000B4835" w:rsidRPr="00CF31E0">
        <w:t>Traditional scale</w:t>
      </w:r>
      <w:bookmarkEnd w:id="1011"/>
      <w:r w:rsidR="000B4835" w:rsidRPr="00CF31E0">
        <w:t xml:space="preserve"> </w:t>
      </w:r>
    </w:p>
    <w:p w14:paraId="0187380A" w14:textId="6F3B4588" w:rsidR="000B4835" w:rsidRPr="00CF31E0" w:rsidRDefault="000B4835" w:rsidP="00603CB7">
      <w:pPr>
        <w:pStyle w:val="Paragraph"/>
        <w:rPr>
          <w:lang w:val="en-US" w:eastAsia="en-US"/>
        </w:rPr>
      </w:pPr>
      <w:r w:rsidRPr="00CF31E0">
        <w:rPr>
          <w:lang w:eastAsia="zh-CN"/>
        </w:rPr>
        <w:t xml:space="preserve">The results revealed that the following demographic variables affected the scale: age, social group, mother’s social group, and spouse’s social group. </w:t>
      </w:r>
      <w:r w:rsidR="00716AD5" w:rsidRPr="00CF31E0">
        <w:rPr>
          <w:lang w:val="en-US" w:eastAsia="en-US"/>
        </w:rPr>
        <w:t xml:space="preserve">See </w:t>
      </w:r>
      <w:r w:rsidR="003423CA" w:rsidRPr="00CF31E0">
        <w:rPr>
          <w:lang w:val="en-US" w:eastAsia="en-US"/>
        </w:rPr>
        <w:t xml:space="preserve">Tables </w:t>
      </w:r>
      <w:r w:rsidR="004A09F8" w:rsidRPr="00CF31E0">
        <w:rPr>
          <w:lang w:val="en-US" w:eastAsia="en-US"/>
        </w:rPr>
        <w:t>11</w:t>
      </w:r>
      <w:r w:rsidR="00716AD5" w:rsidRPr="00CF31E0">
        <w:rPr>
          <w:lang w:val="en-US" w:eastAsia="en-US"/>
        </w:rPr>
        <w:t>.</w:t>
      </w:r>
      <w:r w:rsidR="004A09F8" w:rsidRPr="00CF31E0">
        <w:rPr>
          <w:lang w:val="en-US" w:eastAsia="en-US"/>
        </w:rPr>
        <w:t xml:space="preserve">54 </w:t>
      </w:r>
      <w:r w:rsidR="00716AD5" w:rsidRPr="00CF31E0">
        <w:rPr>
          <w:lang w:val="en-US" w:eastAsia="en-US"/>
        </w:rPr>
        <w:t xml:space="preserve">and </w:t>
      </w:r>
      <w:r w:rsidR="004A09F8" w:rsidRPr="00CF31E0">
        <w:rPr>
          <w:lang w:val="en-US" w:eastAsia="en-US"/>
        </w:rPr>
        <w:t>11</w:t>
      </w:r>
      <w:r w:rsidR="00716AD5" w:rsidRPr="00CF31E0">
        <w:rPr>
          <w:lang w:val="en-US" w:eastAsia="en-US"/>
        </w:rPr>
        <w:t>.</w:t>
      </w:r>
      <w:r w:rsidR="004A09F8" w:rsidRPr="00CF31E0">
        <w:rPr>
          <w:lang w:val="en-US" w:eastAsia="en-US"/>
        </w:rPr>
        <w:t>55</w:t>
      </w:r>
      <w:r w:rsidR="00716AD5" w:rsidRPr="00CF31E0">
        <w:rPr>
          <w:lang w:val="en-US" w:eastAsia="en-US"/>
        </w:rPr>
        <w:t xml:space="preserve"> for age results </w:t>
      </w:r>
      <w:r w:rsidR="003423CA" w:rsidRPr="00CF31E0">
        <w:rPr>
          <w:lang w:val="en-US" w:eastAsia="en-US"/>
        </w:rPr>
        <w:t>from</w:t>
      </w:r>
      <w:r w:rsidR="00716AD5" w:rsidRPr="00CF31E0">
        <w:rPr>
          <w:lang w:val="en-US" w:eastAsia="en-US"/>
        </w:rPr>
        <w:t xml:space="preserve"> the data.</w:t>
      </w:r>
    </w:p>
    <w:tbl>
      <w:tblPr>
        <w:tblW w:w="7459" w:type="dxa"/>
        <w:tblBorders>
          <w:top w:val="single" w:sz="4" w:space="0" w:color="000000"/>
          <w:bottom w:val="single" w:sz="4" w:space="0" w:color="000000"/>
        </w:tblBorders>
        <w:tblLayout w:type="fixed"/>
        <w:tblCellMar>
          <w:left w:w="0" w:type="dxa"/>
          <w:right w:w="0" w:type="dxa"/>
        </w:tblCellMar>
        <w:tblLook w:val="0000" w:firstRow="0" w:lastRow="0" w:firstColumn="0" w:lastColumn="0" w:noHBand="0" w:noVBand="0"/>
      </w:tblPr>
      <w:tblGrid>
        <w:gridCol w:w="2131"/>
        <w:gridCol w:w="2072"/>
        <w:gridCol w:w="998"/>
        <w:gridCol w:w="1778"/>
        <w:gridCol w:w="480"/>
      </w:tblGrid>
      <w:tr w:rsidR="00AB3C90" w:rsidRPr="00CF31E0" w14:paraId="48E38FFB" w14:textId="77777777" w:rsidTr="00AB3C90">
        <w:trPr>
          <w:cantSplit/>
          <w:trHeight w:val="620"/>
        </w:trPr>
        <w:tc>
          <w:tcPr>
            <w:tcW w:w="2131" w:type="dxa"/>
            <w:tcBorders>
              <w:top w:val="single" w:sz="4" w:space="0" w:color="000000"/>
              <w:bottom w:val="single" w:sz="4" w:space="0" w:color="000000"/>
            </w:tcBorders>
            <w:shd w:val="clear" w:color="auto" w:fill="FFFFFF"/>
            <w:vAlign w:val="bottom"/>
          </w:tcPr>
          <w:p w14:paraId="1B1C832E"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 xml:space="preserve">Age </w:t>
            </w:r>
          </w:p>
        </w:tc>
        <w:tc>
          <w:tcPr>
            <w:tcW w:w="2072" w:type="dxa"/>
            <w:tcBorders>
              <w:top w:val="single" w:sz="4" w:space="0" w:color="000000"/>
              <w:bottom w:val="single" w:sz="4" w:space="0" w:color="000000"/>
            </w:tcBorders>
            <w:shd w:val="clear" w:color="auto" w:fill="FFFFFF"/>
            <w:vAlign w:val="bottom"/>
          </w:tcPr>
          <w:p w14:paraId="2FE131F6"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998" w:type="dxa"/>
            <w:tcBorders>
              <w:top w:val="single" w:sz="4" w:space="0" w:color="000000"/>
              <w:bottom w:val="single" w:sz="4" w:space="0" w:color="000000"/>
            </w:tcBorders>
            <w:shd w:val="clear" w:color="auto" w:fill="FFFFFF"/>
            <w:vAlign w:val="bottom"/>
          </w:tcPr>
          <w:p w14:paraId="6D467152"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778" w:type="dxa"/>
            <w:tcBorders>
              <w:top w:val="single" w:sz="4" w:space="0" w:color="000000"/>
              <w:bottom w:val="single" w:sz="4" w:space="0" w:color="000000"/>
            </w:tcBorders>
            <w:shd w:val="clear" w:color="auto" w:fill="FFFFFF"/>
            <w:vAlign w:val="bottom"/>
          </w:tcPr>
          <w:p w14:paraId="42765784"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480" w:type="dxa"/>
            <w:tcBorders>
              <w:top w:val="single" w:sz="4" w:space="0" w:color="000000"/>
              <w:bottom w:val="single" w:sz="4" w:space="0" w:color="000000"/>
            </w:tcBorders>
            <w:shd w:val="clear" w:color="auto" w:fill="FFFFFF"/>
            <w:vAlign w:val="bottom"/>
          </w:tcPr>
          <w:p w14:paraId="4467458A"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AB3C90" w:rsidRPr="00CF31E0" w14:paraId="3EF7820F" w14:textId="77777777" w:rsidTr="00AB3C90">
        <w:trPr>
          <w:cantSplit/>
          <w:trHeight w:val="630"/>
        </w:trPr>
        <w:tc>
          <w:tcPr>
            <w:tcW w:w="2131" w:type="dxa"/>
            <w:tcBorders>
              <w:top w:val="single" w:sz="4" w:space="0" w:color="000000"/>
              <w:bottom w:val="nil"/>
            </w:tcBorders>
            <w:shd w:val="clear" w:color="auto" w:fill="FFFFFF"/>
          </w:tcPr>
          <w:p w14:paraId="5D1769A6"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2072" w:type="dxa"/>
            <w:tcBorders>
              <w:top w:val="single" w:sz="4" w:space="0" w:color="000000"/>
              <w:bottom w:val="nil"/>
            </w:tcBorders>
            <w:shd w:val="clear" w:color="auto" w:fill="FFFFFF"/>
            <w:vAlign w:val="center"/>
          </w:tcPr>
          <w:p w14:paraId="663CDA7F"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25.418</w:t>
            </w:r>
          </w:p>
        </w:tc>
        <w:tc>
          <w:tcPr>
            <w:tcW w:w="998" w:type="dxa"/>
            <w:tcBorders>
              <w:top w:val="single" w:sz="4" w:space="0" w:color="000000"/>
              <w:bottom w:val="nil"/>
            </w:tcBorders>
            <w:shd w:val="clear" w:color="auto" w:fill="FFFFFF"/>
            <w:vAlign w:val="center"/>
          </w:tcPr>
          <w:p w14:paraId="47972822"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5</w:t>
            </w:r>
          </w:p>
        </w:tc>
        <w:tc>
          <w:tcPr>
            <w:tcW w:w="1778" w:type="dxa"/>
            <w:tcBorders>
              <w:top w:val="single" w:sz="4" w:space="0" w:color="000000"/>
              <w:bottom w:val="nil"/>
            </w:tcBorders>
            <w:shd w:val="clear" w:color="auto" w:fill="FFFFFF"/>
            <w:vAlign w:val="center"/>
          </w:tcPr>
          <w:p w14:paraId="0CEB6CB5"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5.084</w:t>
            </w:r>
          </w:p>
        </w:tc>
        <w:tc>
          <w:tcPr>
            <w:tcW w:w="480" w:type="dxa"/>
            <w:tcBorders>
              <w:top w:val="single" w:sz="4" w:space="0" w:color="000000"/>
              <w:bottom w:val="nil"/>
            </w:tcBorders>
            <w:shd w:val="clear" w:color="auto" w:fill="FFFFFF"/>
            <w:vAlign w:val="center"/>
          </w:tcPr>
          <w:p w14:paraId="69FA3606"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.002</w:t>
            </w:r>
          </w:p>
        </w:tc>
      </w:tr>
      <w:tr w:rsidR="00AB3C90" w:rsidRPr="00CF31E0" w14:paraId="323256D4" w14:textId="77777777" w:rsidTr="00AB3C90">
        <w:trPr>
          <w:cantSplit/>
          <w:trHeight w:val="620"/>
        </w:trPr>
        <w:tc>
          <w:tcPr>
            <w:tcW w:w="2131" w:type="dxa"/>
            <w:tcBorders>
              <w:top w:val="nil"/>
            </w:tcBorders>
            <w:shd w:val="clear" w:color="auto" w:fill="FFFFFF"/>
          </w:tcPr>
          <w:p w14:paraId="38455949"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2072" w:type="dxa"/>
            <w:tcBorders>
              <w:top w:val="nil"/>
            </w:tcBorders>
            <w:shd w:val="clear" w:color="auto" w:fill="FFFFFF"/>
            <w:vAlign w:val="center"/>
          </w:tcPr>
          <w:p w14:paraId="577F0535"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866.418</w:t>
            </w:r>
          </w:p>
        </w:tc>
        <w:tc>
          <w:tcPr>
            <w:tcW w:w="998" w:type="dxa"/>
            <w:tcBorders>
              <w:top w:val="nil"/>
            </w:tcBorders>
            <w:shd w:val="clear" w:color="auto" w:fill="FFFFFF"/>
            <w:vAlign w:val="center"/>
          </w:tcPr>
          <w:p w14:paraId="3EF7AB3B"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644</w:t>
            </w:r>
          </w:p>
        </w:tc>
        <w:tc>
          <w:tcPr>
            <w:tcW w:w="1778" w:type="dxa"/>
            <w:tcBorders>
              <w:top w:val="nil"/>
            </w:tcBorders>
            <w:shd w:val="clear" w:color="auto" w:fill="FFFFFF"/>
            <w:vAlign w:val="center"/>
          </w:tcPr>
          <w:p w14:paraId="3E70BC44"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1.352</w:t>
            </w:r>
          </w:p>
        </w:tc>
        <w:tc>
          <w:tcPr>
            <w:tcW w:w="480" w:type="dxa"/>
            <w:tcBorders>
              <w:top w:val="nil"/>
            </w:tcBorders>
            <w:shd w:val="clear" w:color="auto" w:fill="FFFFFF"/>
            <w:vAlign w:val="center"/>
          </w:tcPr>
          <w:p w14:paraId="64F55107" w14:textId="77777777" w:rsidR="00AB3C90" w:rsidRPr="00CF31E0" w:rsidRDefault="00AB3C90" w:rsidP="000B4835">
            <w:pPr>
              <w:spacing w:before="120" w:after="120" w:line="360" w:lineRule="auto"/>
              <w:rPr>
                <w:rFonts w:eastAsia="Calibri" w:cs="Arial"/>
                <w:color w:val="000000" w:themeColor="text1"/>
                <w:sz w:val="22"/>
                <w:szCs w:val="22"/>
                <w:lang w:eastAsia="en-US"/>
              </w:rPr>
            </w:pPr>
          </w:p>
        </w:tc>
      </w:tr>
      <w:tr w:rsidR="00AB3C90" w:rsidRPr="00CF31E0" w14:paraId="5F9D54E8" w14:textId="77777777" w:rsidTr="00AB3C90">
        <w:trPr>
          <w:cantSplit/>
          <w:trHeight w:val="641"/>
        </w:trPr>
        <w:tc>
          <w:tcPr>
            <w:tcW w:w="2131" w:type="dxa"/>
            <w:shd w:val="clear" w:color="auto" w:fill="FFFFFF"/>
          </w:tcPr>
          <w:p w14:paraId="5039E253"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2072" w:type="dxa"/>
            <w:shd w:val="clear" w:color="auto" w:fill="FFFFFF"/>
            <w:vAlign w:val="center"/>
          </w:tcPr>
          <w:p w14:paraId="57AC65CA"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891.836</w:t>
            </w:r>
          </w:p>
        </w:tc>
        <w:tc>
          <w:tcPr>
            <w:tcW w:w="998" w:type="dxa"/>
            <w:shd w:val="clear" w:color="auto" w:fill="FFFFFF"/>
            <w:vAlign w:val="center"/>
          </w:tcPr>
          <w:p w14:paraId="0BC9D5D8"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649</w:t>
            </w:r>
          </w:p>
        </w:tc>
        <w:tc>
          <w:tcPr>
            <w:tcW w:w="1778" w:type="dxa"/>
            <w:shd w:val="clear" w:color="auto" w:fill="FFFFFF"/>
            <w:vAlign w:val="center"/>
          </w:tcPr>
          <w:p w14:paraId="591D82AE" w14:textId="77777777" w:rsidR="00AB3C90" w:rsidRPr="00CF31E0" w:rsidRDefault="00AB3C90" w:rsidP="000B4835">
            <w:pPr>
              <w:spacing w:before="120" w:after="120" w:line="360" w:lineRule="auto"/>
              <w:rPr>
                <w:rFonts w:eastAsia="Calibri" w:cs="Arial"/>
                <w:color w:val="000000" w:themeColor="text1"/>
                <w:sz w:val="22"/>
                <w:szCs w:val="22"/>
                <w:lang w:eastAsia="en-US"/>
              </w:rPr>
            </w:pPr>
          </w:p>
        </w:tc>
        <w:tc>
          <w:tcPr>
            <w:tcW w:w="480" w:type="dxa"/>
            <w:shd w:val="clear" w:color="auto" w:fill="FFFFFF"/>
            <w:vAlign w:val="center"/>
          </w:tcPr>
          <w:p w14:paraId="7E2153EB" w14:textId="77777777" w:rsidR="00AB3C90" w:rsidRPr="00CF31E0" w:rsidRDefault="00AB3C90" w:rsidP="000B4835">
            <w:pPr>
              <w:spacing w:before="120" w:after="120" w:line="360" w:lineRule="auto"/>
              <w:rPr>
                <w:rFonts w:eastAsia="Calibri" w:cs="Arial"/>
                <w:color w:val="000000" w:themeColor="text1"/>
                <w:sz w:val="22"/>
                <w:szCs w:val="22"/>
                <w:lang w:eastAsia="en-US"/>
              </w:rPr>
            </w:pPr>
          </w:p>
        </w:tc>
      </w:tr>
    </w:tbl>
    <w:p w14:paraId="7467F965" w14:textId="2E637BF1" w:rsidR="000B4835" w:rsidRPr="00CF31E0" w:rsidRDefault="000B4835" w:rsidP="005B3EEC">
      <w:pPr>
        <w:pStyle w:val="Tablecaption"/>
        <w:spacing w:after="400"/>
        <w:rPr>
          <w:lang w:eastAsia="en-US"/>
        </w:rPr>
      </w:pPr>
      <w:bookmarkStart w:id="1012" w:name="_Toc522527517"/>
      <w:bookmarkStart w:id="1013" w:name="_Toc522628930"/>
      <w:bookmarkStart w:id="1014" w:name="_Toc522629094"/>
      <w:bookmarkStart w:id="1015" w:name="_Toc6473192"/>
      <w:r w:rsidRPr="00CF31E0">
        <w:rPr>
          <w:lang w:eastAsia="en-US"/>
        </w:rPr>
        <w:t xml:space="preserve">Table </w:t>
      </w:r>
      <w:r w:rsidR="004A09F8" w:rsidRPr="00CF31E0">
        <w:rPr>
          <w:lang w:eastAsia="en-US"/>
        </w:rPr>
        <w:t>11</w:t>
      </w:r>
      <w:r w:rsidR="00F1187F" w:rsidRPr="00CF31E0">
        <w:rPr>
          <w:lang w:eastAsia="en-US"/>
        </w:rPr>
        <w:t>.</w:t>
      </w:r>
      <w:r w:rsidR="004A09F8" w:rsidRPr="00CF31E0">
        <w:rPr>
          <w:lang w:eastAsia="en-US"/>
        </w:rPr>
        <w:t>54</w:t>
      </w:r>
      <w:r w:rsidRPr="00CF31E0">
        <w:rPr>
          <w:lang w:eastAsia="en-US"/>
        </w:rPr>
        <w:t xml:space="preserve">: ANOVA </w:t>
      </w:r>
      <w:r w:rsidR="005B3EEC">
        <w:rPr>
          <w:lang w:eastAsia="en-US"/>
        </w:rPr>
        <w:t>statistics</w:t>
      </w:r>
      <w:r w:rsidR="005B3EEC" w:rsidRPr="00CF31E0">
        <w:rPr>
          <w:lang w:eastAsia="en-US"/>
        </w:rPr>
        <w:t xml:space="preserve"> </w:t>
      </w:r>
      <w:r w:rsidRPr="00CF31E0">
        <w:rPr>
          <w:lang w:eastAsia="en-US"/>
        </w:rPr>
        <w:t>for age demographic variable.</w:t>
      </w:r>
      <w:bookmarkEnd w:id="1012"/>
      <w:bookmarkEnd w:id="1013"/>
      <w:bookmarkEnd w:id="1014"/>
      <w:bookmarkEnd w:id="1015"/>
    </w:p>
    <w:tbl>
      <w:tblPr>
        <w:tblW w:w="7449" w:type="dxa"/>
        <w:tblInd w:w="-20" w:type="dxa"/>
        <w:tblLayout w:type="fixed"/>
        <w:tblCellMar>
          <w:left w:w="0" w:type="dxa"/>
          <w:right w:w="0" w:type="dxa"/>
        </w:tblCellMar>
        <w:tblLook w:val="0000" w:firstRow="0" w:lastRow="0" w:firstColumn="0" w:lastColumn="0" w:noHBand="0" w:noVBand="0"/>
      </w:tblPr>
      <w:tblGrid>
        <w:gridCol w:w="1285"/>
        <w:gridCol w:w="1313"/>
        <w:gridCol w:w="2209"/>
        <w:gridCol w:w="1702"/>
        <w:gridCol w:w="940"/>
      </w:tblGrid>
      <w:tr w:rsidR="00CC53FA" w:rsidRPr="00CF31E0" w14:paraId="46719049" w14:textId="77777777" w:rsidTr="00CC53FA">
        <w:trPr>
          <w:cantSplit/>
          <w:trHeight w:val="524"/>
        </w:trPr>
        <w:tc>
          <w:tcPr>
            <w:tcW w:w="1285" w:type="dxa"/>
            <w:tcBorders>
              <w:top w:val="single" w:sz="8" w:space="0" w:color="auto"/>
              <w:bottom w:val="single" w:sz="8" w:space="0" w:color="auto"/>
            </w:tcBorders>
            <w:shd w:val="clear" w:color="auto" w:fill="FFFFFF"/>
          </w:tcPr>
          <w:p w14:paraId="095BCAC3" w14:textId="1172616B" w:rsidR="00CC53FA" w:rsidRPr="00CF31E0" w:rsidRDefault="00CC53FA"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Age</w:t>
            </w:r>
          </w:p>
        </w:tc>
        <w:tc>
          <w:tcPr>
            <w:tcW w:w="1313" w:type="dxa"/>
            <w:tcBorders>
              <w:top w:val="single" w:sz="8" w:space="0" w:color="auto"/>
              <w:bottom w:val="single" w:sz="8" w:space="0" w:color="auto"/>
            </w:tcBorders>
            <w:shd w:val="clear" w:color="auto" w:fill="FFFFFF"/>
          </w:tcPr>
          <w:p w14:paraId="217E457A" w14:textId="5A9D3613" w:rsidR="00CC53FA" w:rsidRPr="00CF31E0" w:rsidRDefault="00CC53FA"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Age</w:t>
            </w:r>
          </w:p>
        </w:tc>
        <w:tc>
          <w:tcPr>
            <w:tcW w:w="2209" w:type="dxa"/>
            <w:tcBorders>
              <w:top w:val="single" w:sz="8" w:space="0" w:color="auto"/>
              <w:bottom w:val="single" w:sz="8" w:space="0" w:color="auto"/>
            </w:tcBorders>
            <w:shd w:val="clear" w:color="auto" w:fill="FFFFFF"/>
            <w:vAlign w:val="center"/>
          </w:tcPr>
          <w:p w14:paraId="043C1A5D" w14:textId="23B86D58" w:rsidR="00CC53FA" w:rsidRPr="00CF31E0" w:rsidRDefault="00CC53FA"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 Difference</w:t>
            </w:r>
          </w:p>
        </w:tc>
        <w:tc>
          <w:tcPr>
            <w:tcW w:w="1702" w:type="dxa"/>
            <w:tcBorders>
              <w:top w:val="single" w:sz="8" w:space="0" w:color="auto"/>
              <w:bottom w:val="single" w:sz="8" w:space="0" w:color="auto"/>
            </w:tcBorders>
            <w:shd w:val="clear" w:color="auto" w:fill="FFFFFF"/>
            <w:vAlign w:val="center"/>
          </w:tcPr>
          <w:p w14:paraId="10CC0860" w14:textId="419A8FC8" w:rsidR="00CC53FA" w:rsidRPr="00CF31E0" w:rsidRDefault="00CC53FA"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Std. Error</w:t>
            </w:r>
          </w:p>
        </w:tc>
        <w:tc>
          <w:tcPr>
            <w:tcW w:w="940" w:type="dxa"/>
            <w:tcBorders>
              <w:top w:val="single" w:sz="8" w:space="0" w:color="auto"/>
              <w:bottom w:val="single" w:sz="8" w:space="0" w:color="auto"/>
            </w:tcBorders>
            <w:shd w:val="clear" w:color="auto" w:fill="FFFFFF"/>
            <w:vAlign w:val="center"/>
          </w:tcPr>
          <w:p w14:paraId="7E6A1341" w14:textId="536B8DD9" w:rsidR="00CC53FA" w:rsidRPr="00CF31E0" w:rsidRDefault="00CC53FA"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AB3C90" w:rsidRPr="00CF31E0" w14:paraId="7A735A59" w14:textId="77777777" w:rsidTr="004F45D7">
        <w:trPr>
          <w:cantSplit/>
          <w:trHeight w:val="524"/>
        </w:trPr>
        <w:tc>
          <w:tcPr>
            <w:tcW w:w="1285" w:type="dxa"/>
            <w:tcBorders>
              <w:top w:val="single" w:sz="8" w:space="0" w:color="auto"/>
              <w:bottom w:val="single" w:sz="8" w:space="0" w:color="auto"/>
            </w:tcBorders>
            <w:shd w:val="clear" w:color="auto" w:fill="FFFFFF"/>
          </w:tcPr>
          <w:p w14:paraId="237349DD"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18-24</w:t>
            </w:r>
          </w:p>
        </w:tc>
        <w:tc>
          <w:tcPr>
            <w:tcW w:w="1313" w:type="dxa"/>
            <w:tcBorders>
              <w:top w:val="single" w:sz="8" w:space="0" w:color="auto"/>
              <w:bottom w:val="single" w:sz="8" w:space="0" w:color="auto"/>
            </w:tcBorders>
            <w:shd w:val="clear" w:color="auto" w:fill="FFFFFF"/>
          </w:tcPr>
          <w:p w14:paraId="18E57569"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55-64</w:t>
            </w:r>
          </w:p>
        </w:tc>
        <w:tc>
          <w:tcPr>
            <w:tcW w:w="2209" w:type="dxa"/>
            <w:tcBorders>
              <w:top w:val="single" w:sz="8" w:space="0" w:color="auto"/>
              <w:bottom w:val="single" w:sz="8" w:space="0" w:color="auto"/>
            </w:tcBorders>
            <w:shd w:val="clear" w:color="auto" w:fill="FFFFFF"/>
            <w:vAlign w:val="center"/>
          </w:tcPr>
          <w:p w14:paraId="35D5F39E"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-.68076</w:t>
            </w:r>
            <w:r w:rsidRPr="00CF31E0">
              <w:rPr>
                <w:rFonts w:eastAsia="Calibri" w:cs="Arial"/>
                <w:color w:val="000000" w:themeColor="text1"/>
                <w:sz w:val="22"/>
                <w:szCs w:val="22"/>
                <w:vertAlign w:val="superscript"/>
                <w:lang w:eastAsia="en-US"/>
              </w:rPr>
              <w:t>*</w:t>
            </w:r>
          </w:p>
        </w:tc>
        <w:tc>
          <w:tcPr>
            <w:tcW w:w="1702" w:type="dxa"/>
            <w:tcBorders>
              <w:top w:val="single" w:sz="8" w:space="0" w:color="auto"/>
              <w:bottom w:val="single" w:sz="8" w:space="0" w:color="auto"/>
            </w:tcBorders>
            <w:shd w:val="clear" w:color="auto" w:fill="FFFFFF"/>
            <w:vAlign w:val="center"/>
          </w:tcPr>
          <w:p w14:paraId="6BEFD042"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.22809</w:t>
            </w:r>
          </w:p>
        </w:tc>
        <w:tc>
          <w:tcPr>
            <w:tcW w:w="940" w:type="dxa"/>
            <w:tcBorders>
              <w:top w:val="single" w:sz="8" w:space="0" w:color="auto"/>
              <w:bottom w:val="single" w:sz="8" w:space="0" w:color="auto"/>
            </w:tcBorders>
            <w:shd w:val="clear" w:color="auto" w:fill="FFFFFF"/>
            <w:vAlign w:val="center"/>
          </w:tcPr>
          <w:p w14:paraId="6A156857"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.035</w:t>
            </w:r>
          </w:p>
        </w:tc>
      </w:tr>
    </w:tbl>
    <w:p w14:paraId="365E0E3B" w14:textId="4898B5CD" w:rsidR="000B4835" w:rsidRPr="00CF31E0" w:rsidRDefault="000B4835" w:rsidP="004A09F8">
      <w:pPr>
        <w:pStyle w:val="Tablecaption"/>
        <w:rPr>
          <w:lang w:eastAsia="en-US"/>
        </w:rPr>
      </w:pPr>
      <w:bookmarkStart w:id="1016" w:name="_Toc522527518"/>
      <w:bookmarkStart w:id="1017" w:name="_Toc522628931"/>
      <w:bookmarkStart w:id="1018" w:name="_Toc522629095"/>
      <w:bookmarkStart w:id="1019" w:name="_Toc6473193"/>
      <w:r w:rsidRPr="00CF31E0">
        <w:rPr>
          <w:lang w:eastAsia="en-US"/>
        </w:rPr>
        <w:t xml:space="preserve">Table </w:t>
      </w:r>
      <w:r w:rsidR="004A09F8" w:rsidRPr="00CF31E0">
        <w:rPr>
          <w:lang w:eastAsia="en-US"/>
        </w:rPr>
        <w:t>11</w:t>
      </w:r>
      <w:r w:rsidR="00F1187F" w:rsidRPr="00CF31E0">
        <w:rPr>
          <w:lang w:eastAsia="en-US"/>
        </w:rPr>
        <w:t>.</w:t>
      </w:r>
      <w:r w:rsidR="004A09F8" w:rsidRPr="00CF31E0">
        <w:rPr>
          <w:lang w:eastAsia="en-US"/>
        </w:rPr>
        <w:t>55</w:t>
      </w:r>
      <w:r w:rsidRPr="00CF31E0">
        <w:rPr>
          <w:lang w:eastAsia="en-US"/>
        </w:rPr>
        <w:t>: Post-hoc test results for age demographic variable.</w:t>
      </w:r>
      <w:bookmarkEnd w:id="1016"/>
      <w:bookmarkEnd w:id="1017"/>
      <w:bookmarkEnd w:id="1018"/>
      <w:bookmarkEnd w:id="1019"/>
      <w:r w:rsidRPr="00CF31E0">
        <w:rPr>
          <w:lang w:eastAsia="en-US"/>
        </w:rPr>
        <w:t xml:space="preserve"> </w:t>
      </w:r>
    </w:p>
    <w:p w14:paraId="3A17B501" w14:textId="6B358A9D" w:rsidR="000B4835" w:rsidRPr="00CF31E0" w:rsidRDefault="000B4835" w:rsidP="00603CB7">
      <w:pPr>
        <w:pStyle w:val="Paragraph"/>
        <w:rPr>
          <w:lang w:eastAsia="en-US"/>
        </w:rPr>
      </w:pPr>
      <w:r w:rsidRPr="00CF31E0">
        <w:rPr>
          <w:lang w:eastAsia="en-US"/>
        </w:rPr>
        <w:t xml:space="preserve">Table </w:t>
      </w:r>
      <w:r w:rsidR="004A09F8" w:rsidRPr="00CF31E0">
        <w:rPr>
          <w:lang w:eastAsia="en-US"/>
        </w:rPr>
        <w:t>11</w:t>
      </w:r>
      <w:r w:rsidR="00F1187F" w:rsidRPr="00CF31E0">
        <w:rPr>
          <w:lang w:eastAsia="en-US"/>
        </w:rPr>
        <w:t>.</w:t>
      </w:r>
      <w:r w:rsidR="004A09F8" w:rsidRPr="00CF31E0">
        <w:rPr>
          <w:lang w:eastAsia="en-US"/>
        </w:rPr>
        <w:t xml:space="preserve">54 </w:t>
      </w:r>
      <w:r w:rsidRPr="00CF31E0">
        <w:rPr>
          <w:lang w:eastAsia="en-US"/>
        </w:rPr>
        <w:t xml:space="preserve">shows that there is a significant difference (p = .002) in the perceptions of different age groups towards the </w:t>
      </w:r>
      <w:r w:rsidRPr="00CF31E0">
        <w:rPr>
          <w:i/>
          <w:iCs/>
          <w:lang w:eastAsia="en-US"/>
        </w:rPr>
        <w:t>traditional</w:t>
      </w:r>
      <w:r w:rsidRPr="00CF31E0">
        <w:rPr>
          <w:lang w:eastAsia="en-US"/>
        </w:rPr>
        <w:t xml:space="preserve"> characteristic. The older age group (55-64) perceived the speaker’s voice as more traditional than did the younger age group (18-24).</w:t>
      </w:r>
      <w:r w:rsidR="00716AD5" w:rsidRPr="00CF31E0">
        <w:rPr>
          <w:lang w:eastAsia="en-US"/>
        </w:rPr>
        <w:t xml:space="preserve"> </w:t>
      </w:r>
    </w:p>
    <w:p w14:paraId="30A278B4" w14:textId="4A3B3A30" w:rsidR="00716AD5" w:rsidRPr="00CF31E0" w:rsidRDefault="00716AD5" w:rsidP="00603CB7">
      <w:pPr>
        <w:pStyle w:val="Paragraph"/>
        <w:rPr>
          <w:lang w:val="en-US" w:eastAsia="en-US"/>
        </w:rPr>
      </w:pPr>
      <w:r w:rsidRPr="00CF31E0">
        <w:rPr>
          <w:lang w:val="en-US" w:eastAsia="en-US"/>
        </w:rPr>
        <w:t xml:space="preserve">See </w:t>
      </w:r>
      <w:r w:rsidR="003423CA" w:rsidRPr="00CF31E0">
        <w:rPr>
          <w:lang w:val="en-US" w:eastAsia="en-US"/>
        </w:rPr>
        <w:t xml:space="preserve">Tables </w:t>
      </w:r>
      <w:r w:rsidR="004A09F8" w:rsidRPr="00CF31E0">
        <w:rPr>
          <w:lang w:val="en-US" w:eastAsia="en-US"/>
        </w:rPr>
        <w:t>11</w:t>
      </w:r>
      <w:r w:rsidRPr="00CF31E0">
        <w:rPr>
          <w:lang w:val="en-US" w:eastAsia="en-US"/>
        </w:rPr>
        <w:t>.</w:t>
      </w:r>
      <w:r w:rsidR="004A09F8" w:rsidRPr="00CF31E0">
        <w:rPr>
          <w:lang w:val="en-US" w:eastAsia="en-US"/>
        </w:rPr>
        <w:t xml:space="preserve">56 </w:t>
      </w:r>
      <w:r w:rsidRPr="00CF31E0">
        <w:rPr>
          <w:lang w:val="en-US" w:eastAsia="en-US"/>
        </w:rPr>
        <w:t xml:space="preserve">and </w:t>
      </w:r>
      <w:r w:rsidR="004A09F8" w:rsidRPr="00CF31E0">
        <w:rPr>
          <w:lang w:val="en-US" w:eastAsia="en-US"/>
        </w:rPr>
        <w:t>11</w:t>
      </w:r>
      <w:r w:rsidRPr="00CF31E0">
        <w:rPr>
          <w:lang w:val="en-US" w:eastAsia="en-US"/>
        </w:rPr>
        <w:t>.</w:t>
      </w:r>
      <w:r w:rsidR="004A09F8" w:rsidRPr="00CF31E0">
        <w:rPr>
          <w:lang w:val="en-US" w:eastAsia="en-US"/>
        </w:rPr>
        <w:t>57</w:t>
      </w:r>
      <w:r w:rsidRPr="00CF31E0">
        <w:rPr>
          <w:lang w:val="en-US" w:eastAsia="en-US"/>
        </w:rPr>
        <w:t xml:space="preserve"> for social group results </w:t>
      </w:r>
      <w:r w:rsidR="003423CA" w:rsidRPr="00CF31E0">
        <w:rPr>
          <w:lang w:val="en-US" w:eastAsia="en-US"/>
        </w:rPr>
        <w:t>from</w:t>
      </w:r>
      <w:r w:rsidRPr="00CF31E0">
        <w:rPr>
          <w:lang w:val="en-US" w:eastAsia="en-US"/>
        </w:rPr>
        <w:t xml:space="preserve"> the data.</w:t>
      </w:r>
    </w:p>
    <w:tbl>
      <w:tblPr>
        <w:tblW w:w="7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12"/>
        <w:gridCol w:w="1927"/>
        <w:gridCol w:w="972"/>
        <w:gridCol w:w="1673"/>
        <w:gridCol w:w="756"/>
      </w:tblGrid>
      <w:tr w:rsidR="00AB3C90" w:rsidRPr="00CF31E0" w14:paraId="3CAA3E96" w14:textId="77777777" w:rsidTr="00AB3C90">
        <w:trPr>
          <w:cantSplit/>
          <w:trHeight w:val="635"/>
        </w:trPr>
        <w:tc>
          <w:tcPr>
            <w:tcW w:w="2012" w:type="dxa"/>
            <w:tcBorders>
              <w:top w:val="single" w:sz="8" w:space="0" w:color="auto"/>
              <w:left w:val="nil"/>
              <w:bottom w:val="single" w:sz="8" w:space="0" w:color="auto"/>
              <w:right w:val="nil"/>
            </w:tcBorders>
            <w:shd w:val="clear" w:color="auto" w:fill="FFFFFF"/>
          </w:tcPr>
          <w:p w14:paraId="4D85496B"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Social group</w:t>
            </w:r>
          </w:p>
        </w:tc>
        <w:tc>
          <w:tcPr>
            <w:tcW w:w="1927" w:type="dxa"/>
            <w:tcBorders>
              <w:top w:val="single" w:sz="8" w:space="0" w:color="auto"/>
              <w:left w:val="nil"/>
              <w:bottom w:val="single" w:sz="8" w:space="0" w:color="auto"/>
              <w:right w:val="nil"/>
            </w:tcBorders>
            <w:shd w:val="clear" w:color="auto" w:fill="FFFFFF"/>
          </w:tcPr>
          <w:p w14:paraId="0D5E6C5C"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972" w:type="dxa"/>
            <w:tcBorders>
              <w:top w:val="single" w:sz="8" w:space="0" w:color="auto"/>
              <w:left w:val="nil"/>
              <w:bottom w:val="single" w:sz="8" w:space="0" w:color="auto"/>
              <w:right w:val="nil"/>
            </w:tcBorders>
            <w:shd w:val="clear" w:color="auto" w:fill="FFFFFF"/>
          </w:tcPr>
          <w:p w14:paraId="7A6FBAC5"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673" w:type="dxa"/>
            <w:tcBorders>
              <w:top w:val="single" w:sz="8" w:space="0" w:color="auto"/>
              <w:left w:val="nil"/>
              <w:bottom w:val="single" w:sz="8" w:space="0" w:color="auto"/>
              <w:right w:val="nil"/>
            </w:tcBorders>
            <w:shd w:val="clear" w:color="auto" w:fill="FFFFFF"/>
          </w:tcPr>
          <w:p w14:paraId="2B5CFDFF"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756" w:type="dxa"/>
            <w:tcBorders>
              <w:top w:val="single" w:sz="8" w:space="0" w:color="auto"/>
              <w:left w:val="nil"/>
              <w:bottom w:val="single" w:sz="8" w:space="0" w:color="auto"/>
              <w:right w:val="nil"/>
            </w:tcBorders>
            <w:shd w:val="clear" w:color="auto" w:fill="FFFFFF"/>
          </w:tcPr>
          <w:p w14:paraId="02D83D09"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AB3C90" w:rsidRPr="00CF31E0" w14:paraId="3CDB5826" w14:textId="77777777" w:rsidTr="00AB3C90">
        <w:trPr>
          <w:cantSplit/>
          <w:trHeight w:val="646"/>
        </w:trPr>
        <w:tc>
          <w:tcPr>
            <w:tcW w:w="2012" w:type="dxa"/>
            <w:tcBorders>
              <w:top w:val="single" w:sz="8" w:space="0" w:color="auto"/>
              <w:left w:val="nil"/>
              <w:bottom w:val="nil"/>
              <w:right w:val="nil"/>
            </w:tcBorders>
            <w:shd w:val="clear" w:color="auto" w:fill="FFFFFF"/>
          </w:tcPr>
          <w:p w14:paraId="6A2FE2CC"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927" w:type="dxa"/>
            <w:tcBorders>
              <w:top w:val="single" w:sz="8" w:space="0" w:color="auto"/>
              <w:left w:val="nil"/>
              <w:bottom w:val="nil"/>
              <w:right w:val="nil"/>
            </w:tcBorders>
            <w:shd w:val="clear" w:color="auto" w:fill="FFFFFF"/>
          </w:tcPr>
          <w:p w14:paraId="4A1CA8F1"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18.684</w:t>
            </w:r>
          </w:p>
        </w:tc>
        <w:tc>
          <w:tcPr>
            <w:tcW w:w="972" w:type="dxa"/>
            <w:tcBorders>
              <w:top w:val="single" w:sz="8" w:space="0" w:color="auto"/>
              <w:left w:val="nil"/>
              <w:bottom w:val="nil"/>
              <w:right w:val="nil"/>
            </w:tcBorders>
            <w:shd w:val="clear" w:color="auto" w:fill="FFFFFF"/>
          </w:tcPr>
          <w:p w14:paraId="4889F08E"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w:t>
            </w:r>
          </w:p>
        </w:tc>
        <w:tc>
          <w:tcPr>
            <w:tcW w:w="1673" w:type="dxa"/>
            <w:tcBorders>
              <w:top w:val="single" w:sz="8" w:space="0" w:color="auto"/>
              <w:left w:val="nil"/>
              <w:bottom w:val="nil"/>
              <w:right w:val="nil"/>
            </w:tcBorders>
            <w:shd w:val="clear" w:color="auto" w:fill="FFFFFF"/>
          </w:tcPr>
          <w:p w14:paraId="6EDE4A9B"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18.684</w:t>
            </w:r>
          </w:p>
        </w:tc>
        <w:tc>
          <w:tcPr>
            <w:tcW w:w="756" w:type="dxa"/>
            <w:tcBorders>
              <w:top w:val="single" w:sz="8" w:space="0" w:color="auto"/>
              <w:left w:val="nil"/>
              <w:bottom w:val="nil"/>
              <w:right w:val="nil"/>
            </w:tcBorders>
            <w:shd w:val="clear" w:color="auto" w:fill="FFFFFF"/>
          </w:tcPr>
          <w:p w14:paraId="32CB507B"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.000</w:t>
            </w:r>
          </w:p>
        </w:tc>
      </w:tr>
      <w:tr w:rsidR="00AB3C90" w:rsidRPr="00CF31E0" w14:paraId="49F169C8" w14:textId="77777777" w:rsidTr="00AB3C90">
        <w:trPr>
          <w:cantSplit/>
          <w:trHeight w:val="646"/>
        </w:trPr>
        <w:tc>
          <w:tcPr>
            <w:tcW w:w="2012" w:type="dxa"/>
            <w:tcBorders>
              <w:top w:val="nil"/>
              <w:left w:val="nil"/>
              <w:bottom w:val="nil"/>
              <w:right w:val="nil"/>
            </w:tcBorders>
            <w:shd w:val="clear" w:color="auto" w:fill="FFFFFF"/>
          </w:tcPr>
          <w:p w14:paraId="45D17F00"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927" w:type="dxa"/>
            <w:tcBorders>
              <w:top w:val="nil"/>
              <w:left w:val="nil"/>
              <w:bottom w:val="nil"/>
              <w:right w:val="nil"/>
            </w:tcBorders>
            <w:shd w:val="clear" w:color="auto" w:fill="FFFFFF"/>
          </w:tcPr>
          <w:p w14:paraId="1101EAA2"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878.416</w:t>
            </w:r>
          </w:p>
        </w:tc>
        <w:tc>
          <w:tcPr>
            <w:tcW w:w="972" w:type="dxa"/>
            <w:tcBorders>
              <w:top w:val="nil"/>
              <w:left w:val="nil"/>
              <w:bottom w:val="nil"/>
              <w:right w:val="nil"/>
            </w:tcBorders>
            <w:shd w:val="clear" w:color="auto" w:fill="FFFFFF"/>
          </w:tcPr>
          <w:p w14:paraId="11931535"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648</w:t>
            </w:r>
          </w:p>
        </w:tc>
        <w:tc>
          <w:tcPr>
            <w:tcW w:w="1673" w:type="dxa"/>
            <w:tcBorders>
              <w:top w:val="nil"/>
              <w:left w:val="nil"/>
              <w:bottom w:val="nil"/>
              <w:right w:val="nil"/>
            </w:tcBorders>
            <w:shd w:val="clear" w:color="auto" w:fill="FFFFFF"/>
          </w:tcPr>
          <w:p w14:paraId="52A14940"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1.358</w:t>
            </w:r>
          </w:p>
        </w:tc>
        <w:tc>
          <w:tcPr>
            <w:tcW w:w="756" w:type="dxa"/>
            <w:tcBorders>
              <w:top w:val="nil"/>
              <w:left w:val="nil"/>
              <w:bottom w:val="nil"/>
              <w:right w:val="nil"/>
            </w:tcBorders>
            <w:shd w:val="clear" w:color="auto" w:fill="FFFFFF"/>
          </w:tcPr>
          <w:p w14:paraId="3361CC8F" w14:textId="77777777" w:rsidR="00AB3C90" w:rsidRPr="00CF31E0" w:rsidRDefault="00AB3C90" w:rsidP="000B4835">
            <w:pPr>
              <w:spacing w:before="120" w:after="120" w:line="360" w:lineRule="auto"/>
              <w:rPr>
                <w:rFonts w:eastAsia="Calibri" w:cs="Arial"/>
                <w:color w:val="000000" w:themeColor="text1"/>
                <w:sz w:val="22"/>
                <w:szCs w:val="22"/>
                <w:lang w:eastAsia="en-US"/>
              </w:rPr>
            </w:pPr>
          </w:p>
        </w:tc>
      </w:tr>
      <w:tr w:rsidR="00AB3C90" w:rsidRPr="00CF31E0" w14:paraId="1C6EBCD4" w14:textId="77777777" w:rsidTr="00AB3C90">
        <w:trPr>
          <w:cantSplit/>
          <w:trHeight w:val="646"/>
        </w:trPr>
        <w:tc>
          <w:tcPr>
            <w:tcW w:w="2012" w:type="dxa"/>
            <w:tcBorders>
              <w:top w:val="nil"/>
              <w:left w:val="nil"/>
              <w:bottom w:val="single" w:sz="8" w:space="0" w:color="auto"/>
              <w:right w:val="nil"/>
            </w:tcBorders>
            <w:shd w:val="clear" w:color="auto" w:fill="FFFFFF"/>
          </w:tcPr>
          <w:p w14:paraId="4D7403B5"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927" w:type="dxa"/>
            <w:tcBorders>
              <w:top w:val="nil"/>
              <w:left w:val="nil"/>
              <w:bottom w:val="single" w:sz="8" w:space="0" w:color="auto"/>
              <w:right w:val="nil"/>
            </w:tcBorders>
            <w:shd w:val="clear" w:color="auto" w:fill="FFFFFF"/>
          </w:tcPr>
          <w:p w14:paraId="76BF1FBA"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897.100</w:t>
            </w:r>
          </w:p>
        </w:tc>
        <w:tc>
          <w:tcPr>
            <w:tcW w:w="972" w:type="dxa"/>
            <w:tcBorders>
              <w:top w:val="nil"/>
              <w:left w:val="nil"/>
              <w:bottom w:val="single" w:sz="8" w:space="0" w:color="auto"/>
              <w:right w:val="nil"/>
            </w:tcBorders>
            <w:shd w:val="clear" w:color="auto" w:fill="FFFFFF"/>
          </w:tcPr>
          <w:p w14:paraId="1D310EC5"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649</w:t>
            </w:r>
          </w:p>
        </w:tc>
        <w:tc>
          <w:tcPr>
            <w:tcW w:w="1673" w:type="dxa"/>
            <w:tcBorders>
              <w:top w:val="nil"/>
              <w:left w:val="nil"/>
              <w:bottom w:val="single" w:sz="8" w:space="0" w:color="auto"/>
              <w:right w:val="nil"/>
            </w:tcBorders>
            <w:shd w:val="clear" w:color="auto" w:fill="FFFFFF"/>
          </w:tcPr>
          <w:p w14:paraId="7E105A21" w14:textId="77777777" w:rsidR="00AB3C90" w:rsidRPr="00CF31E0" w:rsidRDefault="00AB3C90" w:rsidP="000B4835">
            <w:pPr>
              <w:spacing w:before="120" w:after="120" w:line="360" w:lineRule="auto"/>
              <w:rPr>
                <w:rFonts w:eastAsia="Calibri" w:cs="Arial"/>
                <w:color w:val="000000" w:themeColor="text1"/>
                <w:sz w:val="22"/>
                <w:szCs w:val="22"/>
                <w:lang w:eastAsia="en-US"/>
              </w:rPr>
            </w:pPr>
          </w:p>
        </w:tc>
        <w:tc>
          <w:tcPr>
            <w:tcW w:w="756" w:type="dxa"/>
            <w:tcBorders>
              <w:top w:val="nil"/>
              <w:left w:val="nil"/>
              <w:bottom w:val="single" w:sz="8" w:space="0" w:color="auto"/>
              <w:right w:val="nil"/>
            </w:tcBorders>
            <w:shd w:val="clear" w:color="auto" w:fill="FFFFFF"/>
          </w:tcPr>
          <w:p w14:paraId="4BE7F354" w14:textId="77777777" w:rsidR="00AB3C90" w:rsidRPr="00CF31E0" w:rsidRDefault="00AB3C90" w:rsidP="000B4835">
            <w:pPr>
              <w:spacing w:before="120" w:after="120" w:line="360" w:lineRule="auto"/>
              <w:rPr>
                <w:rFonts w:eastAsia="Calibri" w:cs="Arial"/>
                <w:color w:val="000000" w:themeColor="text1"/>
                <w:sz w:val="22"/>
                <w:szCs w:val="22"/>
                <w:lang w:eastAsia="en-US"/>
              </w:rPr>
            </w:pPr>
          </w:p>
        </w:tc>
      </w:tr>
    </w:tbl>
    <w:p w14:paraId="5F4EC64A" w14:textId="3996A86A" w:rsidR="000B4835" w:rsidRPr="00CF31E0" w:rsidRDefault="000B4835" w:rsidP="005B3EEC">
      <w:pPr>
        <w:pStyle w:val="Tablecaption"/>
        <w:spacing w:after="400"/>
        <w:rPr>
          <w:lang w:eastAsia="en-US"/>
        </w:rPr>
      </w:pPr>
      <w:bookmarkStart w:id="1020" w:name="_Toc522527519"/>
      <w:bookmarkStart w:id="1021" w:name="_Toc522628932"/>
      <w:bookmarkStart w:id="1022" w:name="_Toc522629096"/>
      <w:bookmarkStart w:id="1023" w:name="_Toc6473194"/>
      <w:r w:rsidRPr="00CF31E0">
        <w:rPr>
          <w:lang w:eastAsia="en-US"/>
        </w:rPr>
        <w:t xml:space="preserve">Table </w:t>
      </w:r>
      <w:r w:rsidR="004A09F8" w:rsidRPr="00CF31E0">
        <w:rPr>
          <w:lang w:eastAsia="en-US"/>
        </w:rPr>
        <w:t>11</w:t>
      </w:r>
      <w:r w:rsidR="00F1187F" w:rsidRPr="00CF31E0">
        <w:rPr>
          <w:lang w:eastAsia="en-US"/>
        </w:rPr>
        <w:t>.</w:t>
      </w:r>
      <w:r w:rsidR="004A09F8" w:rsidRPr="00CF31E0">
        <w:rPr>
          <w:lang w:eastAsia="en-US"/>
        </w:rPr>
        <w:t>56</w:t>
      </w:r>
      <w:r w:rsidRPr="00CF31E0">
        <w:rPr>
          <w:lang w:eastAsia="en-US"/>
        </w:rPr>
        <w:t xml:space="preserve">: ANOVA </w:t>
      </w:r>
      <w:r w:rsidR="005B3EEC">
        <w:rPr>
          <w:lang w:eastAsia="en-US"/>
        </w:rPr>
        <w:t>statistics</w:t>
      </w:r>
      <w:r w:rsidR="005B3EEC" w:rsidRPr="00CF31E0">
        <w:rPr>
          <w:lang w:eastAsia="en-US"/>
        </w:rPr>
        <w:t xml:space="preserve"> </w:t>
      </w:r>
      <w:r w:rsidRPr="00CF31E0">
        <w:rPr>
          <w:lang w:eastAsia="en-US"/>
        </w:rPr>
        <w:t>for social group demographic variable.</w:t>
      </w:r>
      <w:bookmarkEnd w:id="1020"/>
      <w:bookmarkEnd w:id="1021"/>
      <w:bookmarkEnd w:id="1022"/>
      <w:bookmarkEnd w:id="1023"/>
      <w:r w:rsidRPr="00CF31E0">
        <w:rPr>
          <w:lang w:eastAsia="en-US"/>
        </w:rPr>
        <w:t xml:space="preserve"> </w:t>
      </w:r>
    </w:p>
    <w:tbl>
      <w:tblPr>
        <w:tblW w:w="7381" w:type="dxa"/>
        <w:tblInd w:w="-1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369"/>
        <w:gridCol w:w="1902"/>
        <w:gridCol w:w="2141"/>
        <w:gridCol w:w="1091"/>
        <w:gridCol w:w="878"/>
      </w:tblGrid>
      <w:tr w:rsidR="007F558A" w:rsidRPr="00CF31E0" w14:paraId="04DEEC77" w14:textId="77777777" w:rsidTr="00603CB7">
        <w:trPr>
          <w:cantSplit/>
        </w:trPr>
        <w:tc>
          <w:tcPr>
            <w:tcW w:w="1369" w:type="dxa"/>
            <w:tcBorders>
              <w:top w:val="single" w:sz="8" w:space="0" w:color="auto"/>
              <w:bottom w:val="single" w:sz="8" w:space="0" w:color="auto"/>
            </w:tcBorders>
          </w:tcPr>
          <w:p w14:paraId="3859C72E"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4043" w:type="dxa"/>
            <w:gridSpan w:val="2"/>
            <w:tcBorders>
              <w:top w:val="single" w:sz="8" w:space="0" w:color="auto"/>
              <w:bottom w:val="single" w:sz="8" w:space="0" w:color="auto"/>
            </w:tcBorders>
            <w:shd w:val="clear" w:color="auto" w:fill="FFFFFF"/>
            <w:vAlign w:val="bottom"/>
          </w:tcPr>
          <w:p w14:paraId="673B0700"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Social group</w:t>
            </w:r>
          </w:p>
        </w:tc>
        <w:tc>
          <w:tcPr>
            <w:tcW w:w="1091" w:type="dxa"/>
            <w:tcBorders>
              <w:top w:val="single" w:sz="8" w:space="0" w:color="auto"/>
              <w:bottom w:val="single" w:sz="8" w:space="0" w:color="auto"/>
            </w:tcBorders>
            <w:shd w:val="clear" w:color="auto" w:fill="FFFFFF"/>
            <w:vAlign w:val="bottom"/>
          </w:tcPr>
          <w:p w14:paraId="5E887C4A"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Statistic</w:t>
            </w:r>
          </w:p>
        </w:tc>
        <w:tc>
          <w:tcPr>
            <w:tcW w:w="878" w:type="dxa"/>
            <w:tcBorders>
              <w:top w:val="single" w:sz="8" w:space="0" w:color="auto"/>
              <w:bottom w:val="single" w:sz="8" w:space="0" w:color="auto"/>
            </w:tcBorders>
            <w:shd w:val="clear" w:color="auto" w:fill="FFFFFF"/>
            <w:vAlign w:val="bottom"/>
          </w:tcPr>
          <w:p w14:paraId="3515154D"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Std. Error</w:t>
            </w:r>
          </w:p>
        </w:tc>
      </w:tr>
      <w:tr w:rsidR="007F558A" w:rsidRPr="00CF31E0" w14:paraId="4681F840" w14:textId="77777777" w:rsidTr="00603CB7">
        <w:trPr>
          <w:cantSplit/>
        </w:trPr>
        <w:tc>
          <w:tcPr>
            <w:tcW w:w="1369" w:type="dxa"/>
            <w:vMerge w:val="restart"/>
            <w:tcBorders>
              <w:top w:val="single" w:sz="8" w:space="0" w:color="auto"/>
              <w:bottom w:val="nil"/>
            </w:tcBorders>
            <w:shd w:val="clear" w:color="auto" w:fill="FFFFFF"/>
          </w:tcPr>
          <w:p w14:paraId="77223B43"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Traditional</w:t>
            </w:r>
          </w:p>
        </w:tc>
        <w:tc>
          <w:tcPr>
            <w:tcW w:w="1902" w:type="dxa"/>
            <w:tcBorders>
              <w:top w:val="single" w:sz="8" w:space="0" w:color="auto"/>
              <w:bottom w:val="nil"/>
            </w:tcBorders>
            <w:shd w:val="clear" w:color="auto" w:fill="FFFFFF"/>
          </w:tcPr>
          <w:p w14:paraId="774875B8" w14:textId="0A5A7FAC" w:rsidR="000B4835" w:rsidRPr="00CF31E0" w:rsidRDefault="0059652A"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UBH</w:t>
            </w:r>
          </w:p>
        </w:tc>
        <w:tc>
          <w:tcPr>
            <w:tcW w:w="2141" w:type="dxa"/>
            <w:tcBorders>
              <w:top w:val="single" w:sz="8" w:space="0" w:color="auto"/>
              <w:bottom w:val="nil"/>
            </w:tcBorders>
            <w:shd w:val="clear" w:color="auto" w:fill="FFFFFF"/>
          </w:tcPr>
          <w:p w14:paraId="31D901C4"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091" w:type="dxa"/>
            <w:tcBorders>
              <w:top w:val="single" w:sz="8" w:space="0" w:color="auto"/>
              <w:bottom w:val="nil"/>
            </w:tcBorders>
            <w:shd w:val="clear" w:color="auto" w:fill="FFFFFF"/>
            <w:vAlign w:val="center"/>
          </w:tcPr>
          <w:p w14:paraId="6D2581A9"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2.7130</w:t>
            </w:r>
          </w:p>
        </w:tc>
        <w:tc>
          <w:tcPr>
            <w:tcW w:w="878" w:type="dxa"/>
            <w:tcBorders>
              <w:top w:val="single" w:sz="8" w:space="0" w:color="auto"/>
              <w:bottom w:val="nil"/>
            </w:tcBorders>
            <w:shd w:val="clear" w:color="auto" w:fill="FFFFFF"/>
            <w:vAlign w:val="center"/>
          </w:tcPr>
          <w:p w14:paraId="52EC18D8"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.06216</w:t>
            </w:r>
          </w:p>
        </w:tc>
      </w:tr>
      <w:tr w:rsidR="007F558A" w:rsidRPr="00CF31E0" w14:paraId="23D73CC5" w14:textId="77777777" w:rsidTr="00603CB7">
        <w:trPr>
          <w:cantSplit/>
        </w:trPr>
        <w:tc>
          <w:tcPr>
            <w:tcW w:w="1369" w:type="dxa"/>
            <w:vMerge/>
            <w:tcBorders>
              <w:top w:val="nil"/>
            </w:tcBorders>
            <w:shd w:val="clear" w:color="auto" w:fill="FFFFFF"/>
          </w:tcPr>
          <w:p w14:paraId="031D8AAB"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1902" w:type="dxa"/>
            <w:tcBorders>
              <w:top w:val="nil"/>
            </w:tcBorders>
            <w:shd w:val="clear" w:color="auto" w:fill="FFFFFF"/>
          </w:tcPr>
          <w:p w14:paraId="1F5D6650" w14:textId="259FF72F" w:rsidR="000B4835" w:rsidRPr="00CF31E0" w:rsidRDefault="00FF4DC7"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HH</w:t>
            </w:r>
          </w:p>
        </w:tc>
        <w:tc>
          <w:tcPr>
            <w:tcW w:w="2141" w:type="dxa"/>
            <w:tcBorders>
              <w:top w:val="nil"/>
            </w:tcBorders>
            <w:shd w:val="clear" w:color="auto" w:fill="FFFFFF"/>
          </w:tcPr>
          <w:p w14:paraId="5D2ADAA3"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091" w:type="dxa"/>
            <w:tcBorders>
              <w:top w:val="nil"/>
            </w:tcBorders>
            <w:shd w:val="clear" w:color="auto" w:fill="FFFFFF"/>
            <w:vAlign w:val="center"/>
          </w:tcPr>
          <w:p w14:paraId="50128C4F"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3.0523</w:t>
            </w:r>
          </w:p>
        </w:tc>
        <w:tc>
          <w:tcPr>
            <w:tcW w:w="878" w:type="dxa"/>
            <w:tcBorders>
              <w:top w:val="nil"/>
            </w:tcBorders>
            <w:shd w:val="clear" w:color="auto" w:fill="FFFFFF"/>
            <w:vAlign w:val="center"/>
          </w:tcPr>
          <w:p w14:paraId="729D9E85"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.06710</w:t>
            </w:r>
          </w:p>
        </w:tc>
      </w:tr>
    </w:tbl>
    <w:p w14:paraId="13430CFD" w14:textId="342EE5D5" w:rsidR="000B4835" w:rsidRPr="00CF31E0" w:rsidRDefault="000B4835" w:rsidP="004A09F8">
      <w:pPr>
        <w:pStyle w:val="Tablecaption"/>
        <w:rPr>
          <w:lang w:eastAsia="en-US"/>
        </w:rPr>
      </w:pPr>
      <w:bookmarkStart w:id="1024" w:name="_Toc522527520"/>
      <w:bookmarkStart w:id="1025" w:name="_Toc522628933"/>
      <w:bookmarkStart w:id="1026" w:name="_Toc522629097"/>
      <w:bookmarkStart w:id="1027" w:name="_Toc6473195"/>
      <w:r w:rsidRPr="00CF31E0">
        <w:rPr>
          <w:lang w:eastAsia="en-US"/>
        </w:rPr>
        <w:t xml:space="preserve">Table </w:t>
      </w:r>
      <w:r w:rsidR="004A09F8" w:rsidRPr="00CF31E0">
        <w:rPr>
          <w:lang w:eastAsia="en-US"/>
        </w:rPr>
        <w:t>11</w:t>
      </w:r>
      <w:r w:rsidR="00F1187F" w:rsidRPr="00CF31E0">
        <w:rPr>
          <w:lang w:eastAsia="en-US"/>
        </w:rPr>
        <w:t>.</w:t>
      </w:r>
      <w:r w:rsidR="004A09F8" w:rsidRPr="00CF31E0">
        <w:rPr>
          <w:lang w:eastAsia="en-US"/>
        </w:rPr>
        <w:t>57</w:t>
      </w:r>
      <w:r w:rsidRPr="00CF31E0">
        <w:rPr>
          <w:lang w:eastAsia="en-US"/>
        </w:rPr>
        <w:t>: Descriptive statistics</w:t>
      </w:r>
      <w:r w:rsidR="007E19E4">
        <w:rPr>
          <w:lang w:eastAsia="en-US"/>
        </w:rPr>
        <w:t xml:space="preserve"> for social group demographic variable</w:t>
      </w:r>
      <w:r w:rsidRPr="00CF31E0">
        <w:rPr>
          <w:lang w:eastAsia="en-US"/>
        </w:rPr>
        <w:t>.</w:t>
      </w:r>
      <w:bookmarkEnd w:id="1024"/>
      <w:bookmarkEnd w:id="1025"/>
      <w:bookmarkEnd w:id="1026"/>
      <w:bookmarkEnd w:id="1027"/>
      <w:r w:rsidRPr="00CF31E0">
        <w:rPr>
          <w:lang w:eastAsia="en-US"/>
        </w:rPr>
        <w:t xml:space="preserve"> </w:t>
      </w:r>
    </w:p>
    <w:p w14:paraId="21149A98" w14:textId="2F065CBF" w:rsidR="00716AD5" w:rsidRDefault="000B4835" w:rsidP="00603CB7">
      <w:pPr>
        <w:pStyle w:val="Paragraph"/>
        <w:rPr>
          <w:rFonts w:cs="Arial"/>
          <w:lang w:val="en-US" w:eastAsia="en-US"/>
        </w:rPr>
      </w:pPr>
      <w:r w:rsidRPr="00CF31E0">
        <w:rPr>
          <w:lang w:eastAsia="en-US"/>
        </w:rPr>
        <w:t xml:space="preserve">Table </w:t>
      </w:r>
      <w:r w:rsidR="004A09F8" w:rsidRPr="00CF31E0">
        <w:rPr>
          <w:lang w:eastAsia="en-US"/>
        </w:rPr>
        <w:t>11</w:t>
      </w:r>
      <w:r w:rsidR="00F1187F" w:rsidRPr="00CF31E0">
        <w:rPr>
          <w:lang w:eastAsia="en-US"/>
        </w:rPr>
        <w:t>.</w:t>
      </w:r>
      <w:r w:rsidR="004A09F8" w:rsidRPr="00CF31E0">
        <w:rPr>
          <w:lang w:eastAsia="en-US"/>
        </w:rPr>
        <w:t xml:space="preserve">56 </w:t>
      </w:r>
      <w:r w:rsidRPr="00CF31E0">
        <w:rPr>
          <w:lang w:eastAsia="en-US"/>
        </w:rPr>
        <w:t xml:space="preserve">illustrates that the p value p&lt;.000. while Table </w:t>
      </w:r>
      <w:r w:rsidR="004A09F8" w:rsidRPr="00CF31E0">
        <w:rPr>
          <w:lang w:eastAsia="en-US"/>
        </w:rPr>
        <w:t>11</w:t>
      </w:r>
      <w:r w:rsidR="00556E8A" w:rsidRPr="00CF31E0">
        <w:rPr>
          <w:lang w:eastAsia="en-US"/>
        </w:rPr>
        <w:t>.</w:t>
      </w:r>
      <w:r w:rsidR="004A09F8" w:rsidRPr="00CF31E0">
        <w:rPr>
          <w:lang w:eastAsia="en-US"/>
        </w:rPr>
        <w:t xml:space="preserve">57 </w:t>
      </w:r>
      <w:r w:rsidRPr="00CF31E0">
        <w:rPr>
          <w:lang w:eastAsia="en-US"/>
        </w:rPr>
        <w:t xml:space="preserve">compares the mean scores on the </w:t>
      </w:r>
      <w:r w:rsidRPr="00CF31E0">
        <w:rPr>
          <w:i/>
          <w:iCs/>
          <w:lang w:eastAsia="en-US"/>
        </w:rPr>
        <w:t>traditional</w:t>
      </w:r>
      <w:r w:rsidRPr="00CF31E0">
        <w:rPr>
          <w:lang w:eastAsia="en-US"/>
        </w:rPr>
        <w:t xml:space="preserve"> scale for each social group. The </w:t>
      </w:r>
      <w:r w:rsidR="00FF4DC7" w:rsidRPr="00CF31E0">
        <w:rPr>
          <w:lang w:eastAsia="en-US"/>
        </w:rPr>
        <w:t>HH</w:t>
      </w:r>
      <w:r w:rsidRPr="00CF31E0">
        <w:rPr>
          <w:lang w:eastAsia="en-US"/>
        </w:rPr>
        <w:t xml:space="preserve"> social group perceived the voice as more traditional with a mean score of 3.05, while the mean score of the </w:t>
      </w:r>
      <w:r w:rsidR="0059652A" w:rsidRPr="00CF31E0">
        <w:rPr>
          <w:lang w:eastAsia="en-US"/>
        </w:rPr>
        <w:t>UBH</w:t>
      </w:r>
      <w:r w:rsidR="003423CA" w:rsidRPr="00CF31E0">
        <w:rPr>
          <w:lang w:eastAsia="en-US"/>
        </w:rPr>
        <w:t xml:space="preserve"> participants was 2.71. </w:t>
      </w:r>
      <w:r w:rsidR="00716AD5" w:rsidRPr="00CF31E0">
        <w:rPr>
          <w:rFonts w:cs="Arial"/>
          <w:lang w:val="en-US" w:eastAsia="en-US"/>
        </w:rPr>
        <w:t xml:space="preserve">See </w:t>
      </w:r>
      <w:r w:rsidR="003423CA" w:rsidRPr="00CF31E0">
        <w:rPr>
          <w:rFonts w:cs="Arial"/>
          <w:lang w:val="en-US" w:eastAsia="en-US"/>
        </w:rPr>
        <w:t xml:space="preserve">Tables </w:t>
      </w:r>
      <w:r w:rsidR="004A09F8" w:rsidRPr="00CF31E0">
        <w:rPr>
          <w:rFonts w:cs="Arial"/>
          <w:lang w:val="en-US" w:eastAsia="en-US"/>
        </w:rPr>
        <w:t>11</w:t>
      </w:r>
      <w:r w:rsidR="00716AD5" w:rsidRPr="00CF31E0">
        <w:rPr>
          <w:rFonts w:cs="Arial"/>
          <w:lang w:val="en-US" w:eastAsia="en-US"/>
        </w:rPr>
        <w:t>.</w:t>
      </w:r>
      <w:r w:rsidR="004A09F8" w:rsidRPr="00CF31E0">
        <w:rPr>
          <w:rFonts w:cs="Arial"/>
          <w:lang w:val="en-US" w:eastAsia="en-US"/>
        </w:rPr>
        <w:t xml:space="preserve">58 </w:t>
      </w:r>
      <w:r w:rsidR="00716AD5" w:rsidRPr="00CF31E0">
        <w:rPr>
          <w:rFonts w:cs="Arial"/>
          <w:lang w:val="en-US" w:eastAsia="en-US"/>
        </w:rPr>
        <w:t xml:space="preserve">and </w:t>
      </w:r>
      <w:r w:rsidR="004A09F8" w:rsidRPr="00CF31E0">
        <w:rPr>
          <w:rFonts w:cs="Arial"/>
          <w:lang w:val="en-US" w:eastAsia="en-US"/>
        </w:rPr>
        <w:t>11</w:t>
      </w:r>
      <w:r w:rsidR="00716AD5" w:rsidRPr="00CF31E0">
        <w:rPr>
          <w:rFonts w:cs="Arial"/>
          <w:lang w:val="en-US" w:eastAsia="en-US"/>
        </w:rPr>
        <w:t>.</w:t>
      </w:r>
      <w:r w:rsidR="004A09F8" w:rsidRPr="00CF31E0">
        <w:rPr>
          <w:rFonts w:cs="Arial"/>
          <w:lang w:val="en-US" w:eastAsia="en-US"/>
        </w:rPr>
        <w:t>59</w:t>
      </w:r>
      <w:r w:rsidR="00716AD5" w:rsidRPr="00CF31E0">
        <w:rPr>
          <w:rFonts w:cs="Arial"/>
          <w:lang w:val="en-US" w:eastAsia="en-US"/>
        </w:rPr>
        <w:t xml:space="preserve"> for mother’s social group results </w:t>
      </w:r>
      <w:r w:rsidR="003423CA" w:rsidRPr="00CF31E0">
        <w:rPr>
          <w:rFonts w:cs="Arial"/>
          <w:lang w:val="en-US" w:eastAsia="en-US"/>
        </w:rPr>
        <w:t>from</w:t>
      </w:r>
      <w:r w:rsidR="00716AD5" w:rsidRPr="00CF31E0">
        <w:rPr>
          <w:rFonts w:cs="Arial"/>
          <w:lang w:val="en-US" w:eastAsia="en-US"/>
        </w:rPr>
        <w:t xml:space="preserve"> the data.</w:t>
      </w:r>
    </w:p>
    <w:p w14:paraId="0ABE748F" w14:textId="77777777" w:rsidR="00F50E67" w:rsidRPr="00CF31E0" w:rsidRDefault="00F50E67" w:rsidP="00603CB7">
      <w:pPr>
        <w:pStyle w:val="Paragraph"/>
        <w:rPr>
          <w:rFonts w:cs="Arial"/>
          <w:lang w:val="en-US" w:eastAsia="en-US"/>
        </w:rPr>
      </w:pPr>
    </w:p>
    <w:tbl>
      <w:tblPr>
        <w:tblW w:w="7475"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2041"/>
        <w:gridCol w:w="1981"/>
        <w:gridCol w:w="963"/>
        <w:gridCol w:w="1700"/>
        <w:gridCol w:w="790"/>
      </w:tblGrid>
      <w:tr w:rsidR="00AB3C90" w:rsidRPr="00CF31E0" w14:paraId="0E23439A" w14:textId="77777777" w:rsidTr="00AB3C90">
        <w:trPr>
          <w:cantSplit/>
          <w:trHeight w:val="630"/>
        </w:trPr>
        <w:tc>
          <w:tcPr>
            <w:tcW w:w="2041" w:type="dxa"/>
            <w:tcBorders>
              <w:top w:val="single" w:sz="8" w:space="0" w:color="auto"/>
              <w:bottom w:val="single" w:sz="8" w:space="0" w:color="auto"/>
            </w:tcBorders>
            <w:shd w:val="clear" w:color="auto" w:fill="FFFFFF"/>
            <w:vAlign w:val="bottom"/>
          </w:tcPr>
          <w:p w14:paraId="5AC606B1"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Mother’s group</w:t>
            </w:r>
          </w:p>
        </w:tc>
        <w:tc>
          <w:tcPr>
            <w:tcW w:w="1981" w:type="dxa"/>
            <w:tcBorders>
              <w:top w:val="single" w:sz="8" w:space="0" w:color="auto"/>
              <w:bottom w:val="single" w:sz="8" w:space="0" w:color="auto"/>
            </w:tcBorders>
            <w:shd w:val="clear" w:color="auto" w:fill="FFFFFF"/>
            <w:vAlign w:val="bottom"/>
          </w:tcPr>
          <w:p w14:paraId="79FB9627"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963" w:type="dxa"/>
            <w:tcBorders>
              <w:top w:val="single" w:sz="8" w:space="0" w:color="auto"/>
              <w:bottom w:val="single" w:sz="8" w:space="0" w:color="auto"/>
            </w:tcBorders>
            <w:shd w:val="clear" w:color="auto" w:fill="FFFFFF"/>
            <w:vAlign w:val="bottom"/>
          </w:tcPr>
          <w:p w14:paraId="43BC5EEA"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700" w:type="dxa"/>
            <w:tcBorders>
              <w:top w:val="single" w:sz="8" w:space="0" w:color="auto"/>
              <w:bottom w:val="single" w:sz="8" w:space="0" w:color="auto"/>
            </w:tcBorders>
            <w:shd w:val="clear" w:color="auto" w:fill="FFFFFF"/>
            <w:vAlign w:val="bottom"/>
          </w:tcPr>
          <w:p w14:paraId="2C91FD84"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790" w:type="dxa"/>
            <w:tcBorders>
              <w:top w:val="single" w:sz="8" w:space="0" w:color="auto"/>
              <w:bottom w:val="single" w:sz="8" w:space="0" w:color="auto"/>
            </w:tcBorders>
            <w:shd w:val="clear" w:color="auto" w:fill="FFFFFF"/>
            <w:vAlign w:val="bottom"/>
          </w:tcPr>
          <w:p w14:paraId="56E44476"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AB3C90" w:rsidRPr="00CF31E0" w14:paraId="3A52FF8C" w14:textId="77777777" w:rsidTr="00AB3C90">
        <w:trPr>
          <w:cantSplit/>
          <w:trHeight w:val="620"/>
        </w:trPr>
        <w:tc>
          <w:tcPr>
            <w:tcW w:w="2041" w:type="dxa"/>
            <w:tcBorders>
              <w:top w:val="single" w:sz="8" w:space="0" w:color="auto"/>
              <w:bottom w:val="nil"/>
            </w:tcBorders>
            <w:shd w:val="clear" w:color="auto" w:fill="FFFFFF"/>
          </w:tcPr>
          <w:p w14:paraId="79E53186"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981" w:type="dxa"/>
            <w:tcBorders>
              <w:top w:val="single" w:sz="8" w:space="0" w:color="auto"/>
              <w:bottom w:val="nil"/>
            </w:tcBorders>
            <w:shd w:val="clear" w:color="auto" w:fill="FFFFFF"/>
            <w:vAlign w:val="center"/>
          </w:tcPr>
          <w:p w14:paraId="68A9E5ED"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9.406</w:t>
            </w:r>
          </w:p>
        </w:tc>
        <w:tc>
          <w:tcPr>
            <w:tcW w:w="963" w:type="dxa"/>
            <w:tcBorders>
              <w:top w:val="single" w:sz="8" w:space="0" w:color="auto"/>
              <w:bottom w:val="nil"/>
            </w:tcBorders>
            <w:shd w:val="clear" w:color="auto" w:fill="FFFFFF"/>
            <w:vAlign w:val="center"/>
          </w:tcPr>
          <w:p w14:paraId="58E6A5DD"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2</w:t>
            </w:r>
          </w:p>
        </w:tc>
        <w:tc>
          <w:tcPr>
            <w:tcW w:w="1700" w:type="dxa"/>
            <w:tcBorders>
              <w:top w:val="single" w:sz="8" w:space="0" w:color="auto"/>
              <w:bottom w:val="nil"/>
            </w:tcBorders>
            <w:shd w:val="clear" w:color="auto" w:fill="FFFFFF"/>
            <w:vAlign w:val="center"/>
          </w:tcPr>
          <w:p w14:paraId="2375F74A"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4.703</w:t>
            </w:r>
          </w:p>
        </w:tc>
        <w:tc>
          <w:tcPr>
            <w:tcW w:w="790" w:type="dxa"/>
            <w:tcBorders>
              <w:top w:val="single" w:sz="8" w:space="0" w:color="auto"/>
              <w:bottom w:val="nil"/>
            </w:tcBorders>
            <w:shd w:val="clear" w:color="auto" w:fill="FFFFFF"/>
            <w:vAlign w:val="center"/>
          </w:tcPr>
          <w:p w14:paraId="33616456"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.033</w:t>
            </w:r>
          </w:p>
        </w:tc>
      </w:tr>
      <w:tr w:rsidR="00AB3C90" w:rsidRPr="00CF31E0" w14:paraId="7E786902" w14:textId="77777777" w:rsidTr="00AB3C90">
        <w:trPr>
          <w:cantSplit/>
          <w:trHeight w:val="630"/>
        </w:trPr>
        <w:tc>
          <w:tcPr>
            <w:tcW w:w="2041" w:type="dxa"/>
            <w:tcBorders>
              <w:top w:val="nil"/>
            </w:tcBorders>
            <w:shd w:val="clear" w:color="auto" w:fill="FFFFFF"/>
          </w:tcPr>
          <w:p w14:paraId="1D228291"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981" w:type="dxa"/>
            <w:tcBorders>
              <w:top w:val="nil"/>
            </w:tcBorders>
            <w:shd w:val="clear" w:color="auto" w:fill="FFFFFF"/>
            <w:vAlign w:val="center"/>
          </w:tcPr>
          <w:p w14:paraId="4FF7ACF2"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886.913</w:t>
            </w:r>
          </w:p>
        </w:tc>
        <w:tc>
          <w:tcPr>
            <w:tcW w:w="963" w:type="dxa"/>
            <w:tcBorders>
              <w:top w:val="nil"/>
            </w:tcBorders>
            <w:shd w:val="clear" w:color="auto" w:fill="FFFFFF"/>
            <w:vAlign w:val="center"/>
          </w:tcPr>
          <w:p w14:paraId="6BB2A990"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647</w:t>
            </w:r>
          </w:p>
        </w:tc>
        <w:tc>
          <w:tcPr>
            <w:tcW w:w="1700" w:type="dxa"/>
            <w:tcBorders>
              <w:top w:val="nil"/>
            </w:tcBorders>
            <w:shd w:val="clear" w:color="auto" w:fill="FFFFFF"/>
            <w:vAlign w:val="center"/>
          </w:tcPr>
          <w:p w14:paraId="401FD77F"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1.375</w:t>
            </w:r>
          </w:p>
        </w:tc>
        <w:tc>
          <w:tcPr>
            <w:tcW w:w="790" w:type="dxa"/>
            <w:tcBorders>
              <w:top w:val="nil"/>
            </w:tcBorders>
            <w:shd w:val="clear" w:color="auto" w:fill="FFFFFF"/>
            <w:vAlign w:val="center"/>
          </w:tcPr>
          <w:p w14:paraId="76C4FF05" w14:textId="77777777" w:rsidR="00AB3C90" w:rsidRPr="00CF31E0" w:rsidRDefault="00AB3C90" w:rsidP="000B4835">
            <w:pPr>
              <w:spacing w:before="120" w:after="120" w:line="360" w:lineRule="auto"/>
              <w:rPr>
                <w:rFonts w:eastAsia="Calibri" w:cs="Arial"/>
                <w:color w:val="000000" w:themeColor="text1"/>
                <w:sz w:val="22"/>
                <w:szCs w:val="22"/>
                <w:lang w:eastAsia="en-US"/>
              </w:rPr>
            </w:pPr>
          </w:p>
        </w:tc>
      </w:tr>
      <w:tr w:rsidR="00AB3C90" w:rsidRPr="00CF31E0" w14:paraId="722D0C4B" w14:textId="77777777" w:rsidTr="00AB3C90">
        <w:trPr>
          <w:cantSplit/>
          <w:trHeight w:val="641"/>
        </w:trPr>
        <w:tc>
          <w:tcPr>
            <w:tcW w:w="2041" w:type="dxa"/>
            <w:shd w:val="clear" w:color="auto" w:fill="FFFFFF"/>
          </w:tcPr>
          <w:p w14:paraId="6C617E37"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981" w:type="dxa"/>
            <w:shd w:val="clear" w:color="auto" w:fill="FFFFFF"/>
            <w:vAlign w:val="center"/>
          </w:tcPr>
          <w:p w14:paraId="7333F3FF"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896.319</w:t>
            </w:r>
          </w:p>
        </w:tc>
        <w:tc>
          <w:tcPr>
            <w:tcW w:w="963" w:type="dxa"/>
            <w:shd w:val="clear" w:color="auto" w:fill="FFFFFF"/>
            <w:vAlign w:val="center"/>
          </w:tcPr>
          <w:p w14:paraId="2B246CC2"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649</w:t>
            </w:r>
          </w:p>
        </w:tc>
        <w:tc>
          <w:tcPr>
            <w:tcW w:w="1700" w:type="dxa"/>
            <w:shd w:val="clear" w:color="auto" w:fill="FFFFFF"/>
            <w:vAlign w:val="center"/>
          </w:tcPr>
          <w:p w14:paraId="2F6D1057" w14:textId="77777777" w:rsidR="00AB3C90" w:rsidRPr="00CF31E0" w:rsidRDefault="00AB3C90" w:rsidP="000B4835">
            <w:pPr>
              <w:spacing w:before="120" w:after="120" w:line="360" w:lineRule="auto"/>
              <w:rPr>
                <w:rFonts w:eastAsia="Calibri" w:cs="Arial"/>
                <w:color w:val="000000" w:themeColor="text1"/>
                <w:sz w:val="22"/>
                <w:szCs w:val="22"/>
                <w:lang w:eastAsia="en-US"/>
              </w:rPr>
            </w:pPr>
          </w:p>
        </w:tc>
        <w:tc>
          <w:tcPr>
            <w:tcW w:w="790" w:type="dxa"/>
            <w:shd w:val="clear" w:color="auto" w:fill="FFFFFF"/>
            <w:vAlign w:val="center"/>
          </w:tcPr>
          <w:p w14:paraId="7AB7A475" w14:textId="77777777" w:rsidR="00AB3C90" w:rsidRPr="00CF31E0" w:rsidRDefault="00AB3C90" w:rsidP="000B4835">
            <w:pPr>
              <w:spacing w:before="120" w:after="120" w:line="360" w:lineRule="auto"/>
              <w:rPr>
                <w:rFonts w:eastAsia="Calibri" w:cs="Arial"/>
                <w:color w:val="000000" w:themeColor="text1"/>
                <w:sz w:val="22"/>
                <w:szCs w:val="22"/>
                <w:lang w:eastAsia="en-US"/>
              </w:rPr>
            </w:pPr>
          </w:p>
        </w:tc>
      </w:tr>
    </w:tbl>
    <w:p w14:paraId="33740936" w14:textId="3E253613" w:rsidR="00077D8C" w:rsidRPr="00CF31E0" w:rsidRDefault="000B4835" w:rsidP="005B3EEC">
      <w:pPr>
        <w:pStyle w:val="Tablecaption"/>
        <w:spacing w:after="400"/>
        <w:rPr>
          <w:lang w:eastAsia="en-US"/>
        </w:rPr>
      </w:pPr>
      <w:bookmarkStart w:id="1028" w:name="_Toc522527521"/>
      <w:bookmarkStart w:id="1029" w:name="_Toc522628934"/>
      <w:bookmarkStart w:id="1030" w:name="_Toc522629098"/>
      <w:bookmarkStart w:id="1031" w:name="_Toc6473196"/>
      <w:r w:rsidRPr="00CF31E0">
        <w:rPr>
          <w:lang w:eastAsia="en-US"/>
        </w:rPr>
        <w:t xml:space="preserve">Table </w:t>
      </w:r>
      <w:r w:rsidR="004A09F8" w:rsidRPr="00CF31E0">
        <w:rPr>
          <w:lang w:eastAsia="en-US"/>
        </w:rPr>
        <w:t>11</w:t>
      </w:r>
      <w:r w:rsidR="00556E8A" w:rsidRPr="00CF31E0">
        <w:rPr>
          <w:lang w:eastAsia="en-US"/>
        </w:rPr>
        <w:t>.</w:t>
      </w:r>
      <w:r w:rsidR="004A09F8" w:rsidRPr="00CF31E0">
        <w:rPr>
          <w:lang w:eastAsia="en-US"/>
        </w:rPr>
        <w:t>58</w:t>
      </w:r>
      <w:r w:rsidRPr="00CF31E0">
        <w:rPr>
          <w:lang w:eastAsia="en-US"/>
        </w:rPr>
        <w:t xml:space="preserve">: ANOVA </w:t>
      </w:r>
      <w:r w:rsidR="005B3EEC">
        <w:rPr>
          <w:lang w:eastAsia="en-US"/>
        </w:rPr>
        <w:t>statistics</w:t>
      </w:r>
      <w:r w:rsidR="005B3EEC" w:rsidRPr="00CF31E0">
        <w:rPr>
          <w:lang w:eastAsia="en-US"/>
        </w:rPr>
        <w:t xml:space="preserve"> </w:t>
      </w:r>
      <w:r w:rsidRPr="00CF31E0">
        <w:rPr>
          <w:lang w:eastAsia="en-US"/>
        </w:rPr>
        <w:t>for mother’s social group demographic variable.</w:t>
      </w:r>
      <w:bookmarkEnd w:id="1028"/>
      <w:bookmarkEnd w:id="1029"/>
      <w:bookmarkEnd w:id="1030"/>
      <w:bookmarkEnd w:id="1031"/>
      <w:r w:rsidRPr="00CF31E0">
        <w:rPr>
          <w:lang w:eastAsia="en-US"/>
        </w:rPr>
        <w:t xml:space="preserve"> </w:t>
      </w:r>
    </w:p>
    <w:tbl>
      <w:tblPr>
        <w:tblW w:w="7251" w:type="dxa"/>
        <w:tblInd w:w="-20" w:type="dxa"/>
        <w:tblLayout w:type="fixed"/>
        <w:tblCellMar>
          <w:left w:w="0" w:type="dxa"/>
          <w:right w:w="0" w:type="dxa"/>
        </w:tblCellMar>
        <w:tblLook w:val="0000" w:firstRow="0" w:lastRow="0" w:firstColumn="0" w:lastColumn="0" w:noHBand="0" w:noVBand="0"/>
      </w:tblPr>
      <w:tblGrid>
        <w:gridCol w:w="1644"/>
        <w:gridCol w:w="1628"/>
        <w:gridCol w:w="1446"/>
        <w:gridCol w:w="1532"/>
        <w:gridCol w:w="1001"/>
      </w:tblGrid>
      <w:tr w:rsidR="00077D8C" w:rsidRPr="00CF31E0" w14:paraId="2D1B6E76" w14:textId="77777777" w:rsidTr="004F45D7">
        <w:trPr>
          <w:cantSplit/>
          <w:trHeight w:val="587"/>
        </w:trPr>
        <w:tc>
          <w:tcPr>
            <w:tcW w:w="1644" w:type="dxa"/>
            <w:tcBorders>
              <w:top w:val="single" w:sz="8" w:space="0" w:color="auto"/>
              <w:bottom w:val="single" w:sz="8" w:space="0" w:color="auto"/>
            </w:tcBorders>
            <w:shd w:val="clear" w:color="auto" w:fill="FFFFFF"/>
          </w:tcPr>
          <w:p w14:paraId="546ED37E" w14:textId="3AB47126" w:rsidR="00077D8C" w:rsidRPr="00CF31E0" w:rsidRDefault="00077D8C"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Mother’s social</w:t>
            </w:r>
          </w:p>
          <w:p w14:paraId="67B48811" w14:textId="05A9B1E1" w:rsidR="00077D8C" w:rsidRPr="00CF31E0" w:rsidRDefault="00077D8C"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group</w:t>
            </w:r>
          </w:p>
        </w:tc>
        <w:tc>
          <w:tcPr>
            <w:tcW w:w="1628" w:type="dxa"/>
            <w:tcBorders>
              <w:top w:val="single" w:sz="8" w:space="0" w:color="auto"/>
              <w:bottom w:val="single" w:sz="8" w:space="0" w:color="auto"/>
            </w:tcBorders>
            <w:shd w:val="clear" w:color="auto" w:fill="FFFFFF"/>
          </w:tcPr>
          <w:p w14:paraId="1E103F7D" w14:textId="77777777" w:rsidR="00077D8C" w:rsidRPr="00CF31E0" w:rsidRDefault="00077D8C"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Mother’s social</w:t>
            </w:r>
          </w:p>
          <w:p w14:paraId="13D4E578" w14:textId="3AD17AAB" w:rsidR="00077D8C" w:rsidRPr="00CF31E0" w:rsidRDefault="00077D8C"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group</w:t>
            </w:r>
          </w:p>
        </w:tc>
        <w:tc>
          <w:tcPr>
            <w:tcW w:w="1446" w:type="dxa"/>
            <w:tcBorders>
              <w:top w:val="single" w:sz="8" w:space="0" w:color="auto"/>
              <w:bottom w:val="single" w:sz="8" w:space="0" w:color="auto"/>
            </w:tcBorders>
            <w:shd w:val="clear" w:color="auto" w:fill="FFFFFF"/>
            <w:vAlign w:val="center"/>
          </w:tcPr>
          <w:p w14:paraId="6973F8A5" w14:textId="6BBE2563" w:rsidR="00077D8C" w:rsidRPr="00CF31E0" w:rsidRDefault="00077D8C"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 Difference</w:t>
            </w:r>
          </w:p>
        </w:tc>
        <w:tc>
          <w:tcPr>
            <w:tcW w:w="1532" w:type="dxa"/>
            <w:tcBorders>
              <w:top w:val="single" w:sz="8" w:space="0" w:color="auto"/>
              <w:bottom w:val="single" w:sz="8" w:space="0" w:color="auto"/>
            </w:tcBorders>
            <w:shd w:val="clear" w:color="auto" w:fill="FFFFFF"/>
            <w:vAlign w:val="center"/>
          </w:tcPr>
          <w:p w14:paraId="2116B9CB" w14:textId="3EBC642A" w:rsidR="00077D8C" w:rsidRPr="00CF31E0" w:rsidRDefault="00077D8C"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Std. Error</w:t>
            </w:r>
          </w:p>
        </w:tc>
        <w:tc>
          <w:tcPr>
            <w:tcW w:w="1001" w:type="dxa"/>
            <w:tcBorders>
              <w:top w:val="single" w:sz="8" w:space="0" w:color="auto"/>
              <w:bottom w:val="single" w:sz="8" w:space="0" w:color="auto"/>
            </w:tcBorders>
            <w:shd w:val="clear" w:color="auto" w:fill="FFFFFF"/>
            <w:vAlign w:val="center"/>
          </w:tcPr>
          <w:p w14:paraId="7FE27124" w14:textId="56CB4CB3" w:rsidR="00077D8C" w:rsidRPr="00CF31E0" w:rsidRDefault="00077D8C"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AB3C90" w:rsidRPr="00CF31E0" w14:paraId="294FC253" w14:textId="77777777" w:rsidTr="004F45D7">
        <w:trPr>
          <w:cantSplit/>
          <w:trHeight w:val="587"/>
        </w:trPr>
        <w:tc>
          <w:tcPr>
            <w:tcW w:w="1644" w:type="dxa"/>
            <w:tcBorders>
              <w:top w:val="single" w:sz="8" w:space="0" w:color="auto"/>
              <w:bottom w:val="single" w:sz="8" w:space="0" w:color="auto"/>
            </w:tcBorders>
            <w:shd w:val="clear" w:color="auto" w:fill="FFFFFF"/>
          </w:tcPr>
          <w:p w14:paraId="20AC55FC" w14:textId="7060580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UBH</w:t>
            </w:r>
          </w:p>
        </w:tc>
        <w:tc>
          <w:tcPr>
            <w:tcW w:w="1628" w:type="dxa"/>
            <w:tcBorders>
              <w:top w:val="single" w:sz="8" w:space="0" w:color="auto"/>
              <w:bottom w:val="single" w:sz="8" w:space="0" w:color="auto"/>
            </w:tcBorders>
            <w:shd w:val="clear" w:color="auto" w:fill="FFFFFF"/>
          </w:tcPr>
          <w:p w14:paraId="0E6B77CC" w14:textId="4A259D09"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HH</w:t>
            </w:r>
          </w:p>
        </w:tc>
        <w:tc>
          <w:tcPr>
            <w:tcW w:w="1446" w:type="dxa"/>
            <w:tcBorders>
              <w:top w:val="single" w:sz="8" w:space="0" w:color="auto"/>
              <w:bottom w:val="single" w:sz="8" w:space="0" w:color="auto"/>
            </w:tcBorders>
            <w:shd w:val="clear" w:color="auto" w:fill="FFFFFF"/>
            <w:vAlign w:val="center"/>
          </w:tcPr>
          <w:p w14:paraId="4BDF7904"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-.22528</w:t>
            </w:r>
            <w:r w:rsidRPr="00CF31E0">
              <w:rPr>
                <w:rFonts w:eastAsia="Calibri" w:cs="Arial"/>
                <w:color w:val="000000" w:themeColor="text1"/>
                <w:sz w:val="22"/>
                <w:szCs w:val="22"/>
                <w:vertAlign w:val="superscript"/>
                <w:lang w:eastAsia="en-US"/>
              </w:rPr>
              <w:t>*</w:t>
            </w:r>
          </w:p>
        </w:tc>
        <w:tc>
          <w:tcPr>
            <w:tcW w:w="1532" w:type="dxa"/>
            <w:tcBorders>
              <w:top w:val="single" w:sz="8" w:space="0" w:color="auto"/>
              <w:bottom w:val="single" w:sz="8" w:space="0" w:color="auto"/>
            </w:tcBorders>
            <w:shd w:val="clear" w:color="auto" w:fill="FFFFFF"/>
            <w:vAlign w:val="center"/>
          </w:tcPr>
          <w:p w14:paraId="5732793A"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.09366</w:t>
            </w:r>
          </w:p>
        </w:tc>
        <w:tc>
          <w:tcPr>
            <w:tcW w:w="1001" w:type="dxa"/>
            <w:tcBorders>
              <w:top w:val="single" w:sz="8" w:space="0" w:color="auto"/>
              <w:bottom w:val="single" w:sz="8" w:space="0" w:color="auto"/>
            </w:tcBorders>
            <w:shd w:val="clear" w:color="auto" w:fill="FFFFFF"/>
            <w:vAlign w:val="center"/>
          </w:tcPr>
          <w:p w14:paraId="466179B1"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.043</w:t>
            </w:r>
          </w:p>
        </w:tc>
      </w:tr>
    </w:tbl>
    <w:p w14:paraId="73DEA74A" w14:textId="3377B4A1" w:rsidR="000B4835" w:rsidRPr="00CF31E0" w:rsidRDefault="000B4835" w:rsidP="004A09F8">
      <w:pPr>
        <w:pStyle w:val="Tablecaption"/>
        <w:rPr>
          <w:lang w:eastAsia="en-US"/>
        </w:rPr>
      </w:pPr>
      <w:bookmarkStart w:id="1032" w:name="_Toc522527522"/>
      <w:bookmarkStart w:id="1033" w:name="_Toc522628935"/>
      <w:bookmarkStart w:id="1034" w:name="_Toc522629099"/>
      <w:bookmarkStart w:id="1035" w:name="_Toc6473197"/>
      <w:r w:rsidRPr="00CF31E0">
        <w:rPr>
          <w:lang w:eastAsia="en-US"/>
        </w:rPr>
        <w:t xml:space="preserve">Table </w:t>
      </w:r>
      <w:r w:rsidR="004A09F8" w:rsidRPr="00CF31E0">
        <w:rPr>
          <w:lang w:eastAsia="en-US"/>
        </w:rPr>
        <w:t>11</w:t>
      </w:r>
      <w:r w:rsidR="00556E8A" w:rsidRPr="00CF31E0">
        <w:rPr>
          <w:lang w:eastAsia="en-US"/>
        </w:rPr>
        <w:t>.</w:t>
      </w:r>
      <w:r w:rsidR="004A09F8" w:rsidRPr="00CF31E0">
        <w:rPr>
          <w:lang w:eastAsia="en-US"/>
        </w:rPr>
        <w:t>59</w:t>
      </w:r>
      <w:r w:rsidRPr="00CF31E0">
        <w:rPr>
          <w:lang w:eastAsia="en-US"/>
        </w:rPr>
        <w:t>: Post-hoc test results for mother’s social group demographic variable.</w:t>
      </w:r>
      <w:bookmarkEnd w:id="1032"/>
      <w:bookmarkEnd w:id="1033"/>
      <w:bookmarkEnd w:id="1034"/>
      <w:bookmarkEnd w:id="1035"/>
      <w:r w:rsidRPr="00CF31E0">
        <w:rPr>
          <w:lang w:eastAsia="en-US"/>
        </w:rPr>
        <w:t xml:space="preserve"> </w:t>
      </w:r>
    </w:p>
    <w:p w14:paraId="25D661C6" w14:textId="6E8DD4A3" w:rsidR="000B4835" w:rsidRPr="00CF31E0" w:rsidRDefault="000B4835" w:rsidP="00603CB7">
      <w:pPr>
        <w:pStyle w:val="Paragraph"/>
        <w:rPr>
          <w:rFonts w:cs="Arial"/>
          <w:lang w:val="en-US" w:eastAsia="en-US"/>
        </w:rPr>
      </w:pPr>
      <w:r w:rsidRPr="00CF31E0">
        <w:rPr>
          <w:lang w:eastAsia="en-US"/>
        </w:rPr>
        <w:t xml:space="preserve">The above two tables </w:t>
      </w:r>
      <w:r w:rsidR="00B633C7">
        <w:rPr>
          <w:lang w:eastAsia="en-US"/>
        </w:rPr>
        <w:t xml:space="preserve">11.58 and 11.59 </w:t>
      </w:r>
      <w:r w:rsidRPr="00CF31E0">
        <w:rPr>
          <w:lang w:eastAsia="en-US"/>
        </w:rPr>
        <w:t xml:space="preserve">show a significant difference between the scores of participants whose mothers are of </w:t>
      </w:r>
      <w:r w:rsidR="00FF4DC7" w:rsidRPr="00CF31E0">
        <w:rPr>
          <w:lang w:eastAsia="en-US"/>
        </w:rPr>
        <w:t>HH</w:t>
      </w:r>
      <w:r w:rsidRPr="00CF31E0">
        <w:rPr>
          <w:lang w:eastAsia="en-US"/>
        </w:rPr>
        <w:t xml:space="preserve"> origin and those whose mothers are of </w:t>
      </w:r>
      <w:r w:rsidR="0059652A" w:rsidRPr="00CF31E0">
        <w:rPr>
          <w:lang w:eastAsia="en-US"/>
        </w:rPr>
        <w:t>UBH</w:t>
      </w:r>
      <w:r w:rsidRPr="00CF31E0">
        <w:rPr>
          <w:lang w:eastAsia="en-US"/>
        </w:rPr>
        <w:t xml:space="preserve"> origin, with the latter perceiving the voice as less traditional than the other group. The results for the spouse’s social group revealed a very similar pattern to the mother’s social group data; see Tables </w:t>
      </w:r>
      <w:r w:rsidR="004A09F8" w:rsidRPr="00CF31E0">
        <w:rPr>
          <w:lang w:eastAsia="en-US"/>
        </w:rPr>
        <w:t>11</w:t>
      </w:r>
      <w:r w:rsidR="00556E8A" w:rsidRPr="00CF31E0">
        <w:rPr>
          <w:lang w:eastAsia="en-US"/>
        </w:rPr>
        <w:t>.</w:t>
      </w:r>
      <w:r w:rsidR="004A09F8" w:rsidRPr="00CF31E0">
        <w:rPr>
          <w:lang w:eastAsia="en-US"/>
        </w:rPr>
        <w:t xml:space="preserve">60 </w:t>
      </w:r>
      <w:r w:rsidRPr="00CF31E0">
        <w:rPr>
          <w:lang w:eastAsia="en-US"/>
        </w:rPr>
        <w:t xml:space="preserve">and </w:t>
      </w:r>
      <w:r w:rsidR="004A09F8" w:rsidRPr="00CF31E0">
        <w:rPr>
          <w:lang w:eastAsia="en-US"/>
        </w:rPr>
        <w:t>11</w:t>
      </w:r>
      <w:r w:rsidR="00556E8A" w:rsidRPr="00CF31E0">
        <w:rPr>
          <w:lang w:eastAsia="en-US"/>
        </w:rPr>
        <w:t>.</w:t>
      </w:r>
      <w:r w:rsidR="004A09F8" w:rsidRPr="00CF31E0">
        <w:rPr>
          <w:lang w:eastAsia="en-US"/>
        </w:rPr>
        <w:t>61</w:t>
      </w:r>
      <w:r w:rsidRPr="00CF31E0">
        <w:rPr>
          <w:lang w:eastAsia="en-US"/>
        </w:rPr>
        <w:t xml:space="preserve">. </w:t>
      </w:r>
      <w:r w:rsidR="00716AD5" w:rsidRPr="00CF31E0">
        <w:rPr>
          <w:rFonts w:cs="Arial"/>
          <w:lang w:val="en-US" w:eastAsia="en-US"/>
        </w:rPr>
        <w:t xml:space="preserve">See </w:t>
      </w:r>
      <w:r w:rsidR="003423CA" w:rsidRPr="00CF31E0">
        <w:rPr>
          <w:rFonts w:cs="Arial"/>
          <w:lang w:val="en-US" w:eastAsia="en-US"/>
        </w:rPr>
        <w:t xml:space="preserve">Tables </w:t>
      </w:r>
      <w:r w:rsidR="004A09F8" w:rsidRPr="00CF31E0">
        <w:rPr>
          <w:rFonts w:cs="Arial"/>
          <w:lang w:val="en-US" w:eastAsia="en-US"/>
        </w:rPr>
        <w:t>11</w:t>
      </w:r>
      <w:r w:rsidR="00716AD5" w:rsidRPr="00CF31E0">
        <w:rPr>
          <w:rFonts w:cs="Arial"/>
          <w:lang w:val="en-US" w:eastAsia="en-US"/>
        </w:rPr>
        <w:t>.</w:t>
      </w:r>
      <w:r w:rsidR="004A09F8" w:rsidRPr="00CF31E0">
        <w:rPr>
          <w:rFonts w:cs="Arial"/>
          <w:lang w:val="en-US" w:eastAsia="en-US"/>
        </w:rPr>
        <w:t xml:space="preserve">60 </w:t>
      </w:r>
      <w:r w:rsidR="00716AD5" w:rsidRPr="00CF31E0">
        <w:rPr>
          <w:rFonts w:cs="Arial"/>
          <w:lang w:val="en-US" w:eastAsia="en-US"/>
        </w:rPr>
        <w:t xml:space="preserve">and </w:t>
      </w:r>
      <w:r w:rsidR="004A09F8" w:rsidRPr="00CF31E0">
        <w:rPr>
          <w:rFonts w:cs="Arial"/>
          <w:lang w:val="en-US" w:eastAsia="en-US"/>
        </w:rPr>
        <w:t>11</w:t>
      </w:r>
      <w:r w:rsidR="00716AD5" w:rsidRPr="00CF31E0">
        <w:rPr>
          <w:rFonts w:cs="Arial"/>
          <w:lang w:val="en-US" w:eastAsia="en-US"/>
        </w:rPr>
        <w:t>.</w:t>
      </w:r>
      <w:r w:rsidR="004A09F8" w:rsidRPr="00CF31E0">
        <w:rPr>
          <w:rFonts w:cs="Arial"/>
          <w:lang w:val="en-US" w:eastAsia="en-US"/>
        </w:rPr>
        <w:t>61</w:t>
      </w:r>
      <w:r w:rsidR="00716AD5" w:rsidRPr="00CF31E0">
        <w:rPr>
          <w:rFonts w:cs="Arial"/>
          <w:lang w:val="en-US" w:eastAsia="en-US"/>
        </w:rPr>
        <w:t xml:space="preserve"> for spouse’s social group results </w:t>
      </w:r>
      <w:r w:rsidR="003423CA" w:rsidRPr="00CF31E0">
        <w:rPr>
          <w:rFonts w:cs="Arial"/>
          <w:lang w:val="en-US" w:eastAsia="en-US"/>
        </w:rPr>
        <w:t>from</w:t>
      </w:r>
      <w:r w:rsidR="00716AD5" w:rsidRPr="00CF31E0">
        <w:rPr>
          <w:rFonts w:cs="Arial"/>
          <w:lang w:val="en-US" w:eastAsia="en-US"/>
        </w:rPr>
        <w:t xml:space="preserve"> the data.</w:t>
      </w:r>
    </w:p>
    <w:tbl>
      <w:tblPr>
        <w:tblW w:w="7363"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965"/>
        <w:gridCol w:w="1910"/>
        <w:gridCol w:w="928"/>
        <w:gridCol w:w="1636"/>
        <w:gridCol w:w="924"/>
      </w:tblGrid>
      <w:tr w:rsidR="00AB3C90" w:rsidRPr="00CF31E0" w14:paraId="04A00F13" w14:textId="77777777" w:rsidTr="00AB3C90">
        <w:trPr>
          <w:cantSplit/>
          <w:trHeight w:val="980"/>
        </w:trPr>
        <w:tc>
          <w:tcPr>
            <w:tcW w:w="1965" w:type="dxa"/>
            <w:tcBorders>
              <w:top w:val="single" w:sz="8" w:space="0" w:color="auto"/>
              <w:bottom w:val="single" w:sz="8" w:space="0" w:color="auto"/>
            </w:tcBorders>
            <w:shd w:val="clear" w:color="auto" w:fill="FFFFFF"/>
            <w:vAlign w:val="bottom"/>
          </w:tcPr>
          <w:p w14:paraId="195DE844" w14:textId="45E807D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Spouse’s social group</w:t>
            </w:r>
          </w:p>
        </w:tc>
        <w:tc>
          <w:tcPr>
            <w:tcW w:w="1910" w:type="dxa"/>
            <w:tcBorders>
              <w:top w:val="single" w:sz="8" w:space="0" w:color="auto"/>
              <w:bottom w:val="single" w:sz="8" w:space="0" w:color="auto"/>
            </w:tcBorders>
            <w:shd w:val="clear" w:color="auto" w:fill="FFFFFF"/>
            <w:vAlign w:val="bottom"/>
          </w:tcPr>
          <w:p w14:paraId="42A4309A"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928" w:type="dxa"/>
            <w:tcBorders>
              <w:top w:val="single" w:sz="8" w:space="0" w:color="auto"/>
              <w:bottom w:val="single" w:sz="8" w:space="0" w:color="auto"/>
            </w:tcBorders>
            <w:shd w:val="clear" w:color="auto" w:fill="FFFFFF"/>
            <w:vAlign w:val="bottom"/>
          </w:tcPr>
          <w:p w14:paraId="2FE94AC1"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636" w:type="dxa"/>
            <w:tcBorders>
              <w:top w:val="single" w:sz="8" w:space="0" w:color="auto"/>
              <w:bottom w:val="single" w:sz="8" w:space="0" w:color="auto"/>
            </w:tcBorders>
            <w:shd w:val="clear" w:color="auto" w:fill="FFFFFF"/>
            <w:vAlign w:val="bottom"/>
          </w:tcPr>
          <w:p w14:paraId="23E59A8B"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924" w:type="dxa"/>
            <w:tcBorders>
              <w:top w:val="single" w:sz="8" w:space="0" w:color="auto"/>
              <w:bottom w:val="single" w:sz="8" w:space="0" w:color="auto"/>
            </w:tcBorders>
            <w:shd w:val="clear" w:color="auto" w:fill="FFFFFF"/>
            <w:vAlign w:val="bottom"/>
          </w:tcPr>
          <w:p w14:paraId="09F48507"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AB3C90" w:rsidRPr="00CF31E0" w14:paraId="503A8DD1" w14:textId="77777777" w:rsidTr="00AB3C90">
        <w:trPr>
          <w:cantSplit/>
          <w:trHeight w:val="652"/>
        </w:trPr>
        <w:tc>
          <w:tcPr>
            <w:tcW w:w="1965" w:type="dxa"/>
            <w:tcBorders>
              <w:top w:val="single" w:sz="8" w:space="0" w:color="auto"/>
              <w:bottom w:val="nil"/>
            </w:tcBorders>
            <w:shd w:val="clear" w:color="auto" w:fill="FFFFFF"/>
          </w:tcPr>
          <w:p w14:paraId="0B6F01DB"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910" w:type="dxa"/>
            <w:tcBorders>
              <w:top w:val="single" w:sz="8" w:space="0" w:color="auto"/>
              <w:bottom w:val="nil"/>
            </w:tcBorders>
            <w:shd w:val="clear" w:color="auto" w:fill="FFFFFF"/>
            <w:vAlign w:val="center"/>
          </w:tcPr>
          <w:p w14:paraId="3CA6D9A5"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16.650</w:t>
            </w:r>
          </w:p>
        </w:tc>
        <w:tc>
          <w:tcPr>
            <w:tcW w:w="928" w:type="dxa"/>
            <w:tcBorders>
              <w:top w:val="single" w:sz="8" w:space="0" w:color="auto"/>
              <w:bottom w:val="nil"/>
            </w:tcBorders>
            <w:shd w:val="clear" w:color="auto" w:fill="FFFFFF"/>
            <w:vAlign w:val="center"/>
          </w:tcPr>
          <w:p w14:paraId="67F8536C"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4</w:t>
            </w:r>
          </w:p>
        </w:tc>
        <w:tc>
          <w:tcPr>
            <w:tcW w:w="1636" w:type="dxa"/>
            <w:tcBorders>
              <w:top w:val="single" w:sz="8" w:space="0" w:color="auto"/>
              <w:bottom w:val="nil"/>
            </w:tcBorders>
            <w:shd w:val="clear" w:color="auto" w:fill="FFFFFF"/>
            <w:vAlign w:val="center"/>
          </w:tcPr>
          <w:p w14:paraId="3CA55730"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4.163</w:t>
            </w:r>
          </w:p>
        </w:tc>
        <w:tc>
          <w:tcPr>
            <w:tcW w:w="924" w:type="dxa"/>
            <w:tcBorders>
              <w:top w:val="single" w:sz="8" w:space="0" w:color="auto"/>
              <w:bottom w:val="nil"/>
            </w:tcBorders>
            <w:shd w:val="clear" w:color="auto" w:fill="FFFFFF"/>
            <w:vAlign w:val="center"/>
          </w:tcPr>
          <w:p w14:paraId="00C63DB9"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.017</w:t>
            </w:r>
          </w:p>
        </w:tc>
      </w:tr>
      <w:tr w:rsidR="00AB3C90" w:rsidRPr="00CF31E0" w14:paraId="670CAD17" w14:textId="77777777" w:rsidTr="00AB3C90">
        <w:trPr>
          <w:cantSplit/>
          <w:trHeight w:val="611"/>
        </w:trPr>
        <w:tc>
          <w:tcPr>
            <w:tcW w:w="1965" w:type="dxa"/>
            <w:tcBorders>
              <w:top w:val="nil"/>
            </w:tcBorders>
            <w:shd w:val="clear" w:color="auto" w:fill="FFFFFF"/>
          </w:tcPr>
          <w:p w14:paraId="715F59D3"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910" w:type="dxa"/>
            <w:tcBorders>
              <w:top w:val="nil"/>
            </w:tcBorders>
            <w:shd w:val="clear" w:color="auto" w:fill="FFFFFF"/>
            <w:vAlign w:val="center"/>
          </w:tcPr>
          <w:p w14:paraId="7205E338"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878.395</w:t>
            </w:r>
          </w:p>
        </w:tc>
        <w:tc>
          <w:tcPr>
            <w:tcW w:w="928" w:type="dxa"/>
            <w:tcBorders>
              <w:top w:val="nil"/>
            </w:tcBorders>
            <w:shd w:val="clear" w:color="auto" w:fill="FFFFFF"/>
            <w:vAlign w:val="center"/>
          </w:tcPr>
          <w:p w14:paraId="66EAC703" w14:textId="6A3DB12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645</w:t>
            </w:r>
          </w:p>
        </w:tc>
        <w:tc>
          <w:tcPr>
            <w:tcW w:w="1636" w:type="dxa"/>
            <w:tcBorders>
              <w:top w:val="nil"/>
            </w:tcBorders>
            <w:shd w:val="clear" w:color="auto" w:fill="FFFFFF"/>
            <w:vAlign w:val="center"/>
          </w:tcPr>
          <w:p w14:paraId="57E1BF0A"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1.372</w:t>
            </w:r>
          </w:p>
        </w:tc>
        <w:tc>
          <w:tcPr>
            <w:tcW w:w="924" w:type="dxa"/>
            <w:tcBorders>
              <w:top w:val="nil"/>
            </w:tcBorders>
            <w:shd w:val="clear" w:color="auto" w:fill="FFFFFF"/>
            <w:vAlign w:val="center"/>
          </w:tcPr>
          <w:p w14:paraId="3F4577AB" w14:textId="77777777" w:rsidR="00AB3C90" w:rsidRPr="00CF31E0" w:rsidRDefault="00AB3C90" w:rsidP="000B4835">
            <w:pPr>
              <w:spacing w:before="120" w:after="120" w:line="360" w:lineRule="auto"/>
              <w:rPr>
                <w:rFonts w:eastAsia="Calibri" w:cs="Arial"/>
                <w:color w:val="000000" w:themeColor="text1"/>
                <w:sz w:val="22"/>
                <w:szCs w:val="22"/>
                <w:lang w:eastAsia="en-US"/>
              </w:rPr>
            </w:pPr>
          </w:p>
        </w:tc>
      </w:tr>
      <w:tr w:rsidR="00AB3C90" w:rsidRPr="00CF31E0" w14:paraId="516502A9" w14:textId="77777777" w:rsidTr="00AB3C90">
        <w:trPr>
          <w:cantSplit/>
          <w:trHeight w:val="622"/>
        </w:trPr>
        <w:tc>
          <w:tcPr>
            <w:tcW w:w="1965" w:type="dxa"/>
            <w:shd w:val="clear" w:color="auto" w:fill="FFFFFF"/>
          </w:tcPr>
          <w:p w14:paraId="6C59409E"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910" w:type="dxa"/>
            <w:shd w:val="clear" w:color="auto" w:fill="FFFFFF"/>
            <w:vAlign w:val="center"/>
          </w:tcPr>
          <w:p w14:paraId="3710D181"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895.045</w:t>
            </w:r>
          </w:p>
        </w:tc>
        <w:tc>
          <w:tcPr>
            <w:tcW w:w="928" w:type="dxa"/>
            <w:shd w:val="clear" w:color="auto" w:fill="FFFFFF"/>
            <w:vAlign w:val="center"/>
          </w:tcPr>
          <w:p w14:paraId="1B420F1E" w14:textId="411DCAD3"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649</w:t>
            </w:r>
          </w:p>
        </w:tc>
        <w:tc>
          <w:tcPr>
            <w:tcW w:w="1636" w:type="dxa"/>
            <w:shd w:val="clear" w:color="auto" w:fill="FFFFFF"/>
            <w:vAlign w:val="center"/>
          </w:tcPr>
          <w:p w14:paraId="504AAFCA" w14:textId="77777777" w:rsidR="00AB3C90" w:rsidRPr="00CF31E0" w:rsidRDefault="00AB3C90" w:rsidP="000B4835">
            <w:pPr>
              <w:spacing w:before="120" w:after="120" w:line="360" w:lineRule="auto"/>
              <w:rPr>
                <w:rFonts w:eastAsia="Calibri" w:cs="Arial"/>
                <w:color w:val="000000" w:themeColor="text1"/>
                <w:sz w:val="22"/>
                <w:szCs w:val="22"/>
                <w:lang w:eastAsia="en-US"/>
              </w:rPr>
            </w:pPr>
          </w:p>
        </w:tc>
        <w:tc>
          <w:tcPr>
            <w:tcW w:w="924" w:type="dxa"/>
            <w:shd w:val="clear" w:color="auto" w:fill="FFFFFF"/>
            <w:vAlign w:val="center"/>
          </w:tcPr>
          <w:p w14:paraId="1F63C40E" w14:textId="77777777" w:rsidR="00AB3C90" w:rsidRPr="00CF31E0" w:rsidRDefault="00AB3C90" w:rsidP="000B4835">
            <w:pPr>
              <w:spacing w:before="120" w:after="120" w:line="360" w:lineRule="auto"/>
              <w:rPr>
                <w:rFonts w:eastAsia="Calibri" w:cs="Arial"/>
                <w:color w:val="000000" w:themeColor="text1"/>
                <w:sz w:val="22"/>
                <w:szCs w:val="22"/>
                <w:lang w:eastAsia="en-US"/>
              </w:rPr>
            </w:pPr>
          </w:p>
        </w:tc>
      </w:tr>
    </w:tbl>
    <w:p w14:paraId="2B23E25D" w14:textId="3C3B28BA" w:rsidR="000B4835" w:rsidRDefault="000B4835" w:rsidP="00603CB7">
      <w:pPr>
        <w:pStyle w:val="Tablecaption"/>
        <w:spacing w:after="400"/>
        <w:rPr>
          <w:lang w:eastAsia="en-US"/>
        </w:rPr>
      </w:pPr>
      <w:bookmarkStart w:id="1036" w:name="_Toc522527523"/>
      <w:bookmarkStart w:id="1037" w:name="_Toc522628936"/>
      <w:bookmarkStart w:id="1038" w:name="_Toc522629100"/>
      <w:bookmarkStart w:id="1039" w:name="_Toc6473198"/>
      <w:r w:rsidRPr="00CF31E0">
        <w:rPr>
          <w:lang w:eastAsia="en-US"/>
        </w:rPr>
        <w:t xml:space="preserve">Table </w:t>
      </w:r>
      <w:r w:rsidR="004A09F8" w:rsidRPr="00CF31E0">
        <w:rPr>
          <w:lang w:eastAsia="en-US"/>
        </w:rPr>
        <w:t>11</w:t>
      </w:r>
      <w:r w:rsidR="00556E8A" w:rsidRPr="00CF31E0">
        <w:rPr>
          <w:lang w:eastAsia="en-US"/>
        </w:rPr>
        <w:t>.</w:t>
      </w:r>
      <w:r w:rsidR="004A09F8" w:rsidRPr="00CF31E0">
        <w:rPr>
          <w:lang w:eastAsia="en-US"/>
        </w:rPr>
        <w:t>60</w:t>
      </w:r>
      <w:r w:rsidRPr="00CF31E0">
        <w:rPr>
          <w:lang w:eastAsia="en-US"/>
        </w:rPr>
        <w:t>: ANOVA statistics for spouse’s social group</w:t>
      </w:r>
      <w:r w:rsidR="00BA47B6">
        <w:rPr>
          <w:lang w:eastAsia="en-US"/>
        </w:rPr>
        <w:t xml:space="preserve"> demographic variable</w:t>
      </w:r>
      <w:r w:rsidRPr="00CF31E0">
        <w:rPr>
          <w:lang w:eastAsia="en-US"/>
        </w:rPr>
        <w:t>.</w:t>
      </w:r>
      <w:bookmarkEnd w:id="1036"/>
      <w:bookmarkEnd w:id="1037"/>
      <w:bookmarkEnd w:id="1038"/>
      <w:bookmarkEnd w:id="1039"/>
    </w:p>
    <w:p w14:paraId="21031C56" w14:textId="77777777" w:rsidR="00F50E67" w:rsidRPr="00CF31E0" w:rsidRDefault="00F50E67" w:rsidP="00603CB7">
      <w:pPr>
        <w:pStyle w:val="Tablecaption"/>
        <w:spacing w:after="400"/>
        <w:rPr>
          <w:lang w:eastAsia="en-US"/>
        </w:rPr>
      </w:pPr>
    </w:p>
    <w:tbl>
      <w:tblPr>
        <w:tblW w:w="7523" w:type="dxa"/>
        <w:tblInd w:w="-1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369"/>
        <w:gridCol w:w="2043"/>
        <w:gridCol w:w="2000"/>
        <w:gridCol w:w="1091"/>
        <w:gridCol w:w="1020"/>
      </w:tblGrid>
      <w:tr w:rsidR="007F558A" w:rsidRPr="00CF31E0" w14:paraId="2342C154" w14:textId="77777777" w:rsidTr="00603CB7">
        <w:trPr>
          <w:cantSplit/>
        </w:trPr>
        <w:tc>
          <w:tcPr>
            <w:tcW w:w="1369" w:type="dxa"/>
            <w:tcBorders>
              <w:top w:val="single" w:sz="8" w:space="0" w:color="auto"/>
              <w:bottom w:val="single" w:sz="8" w:space="0" w:color="auto"/>
            </w:tcBorders>
          </w:tcPr>
          <w:p w14:paraId="4A9B4298"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4043" w:type="dxa"/>
            <w:gridSpan w:val="2"/>
            <w:tcBorders>
              <w:top w:val="single" w:sz="8" w:space="0" w:color="auto"/>
              <w:bottom w:val="single" w:sz="8" w:space="0" w:color="auto"/>
            </w:tcBorders>
            <w:shd w:val="clear" w:color="auto" w:fill="FFFFFF"/>
            <w:vAlign w:val="bottom"/>
          </w:tcPr>
          <w:p w14:paraId="41568BB3" w14:textId="0B5261EA"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Spouse</w:t>
            </w:r>
            <w:r w:rsidR="008D1D09" w:rsidRPr="00CF31E0">
              <w:rPr>
                <w:rFonts w:eastAsia="Calibri" w:cs="Arial"/>
                <w:color w:val="000000" w:themeColor="text1"/>
                <w:sz w:val="22"/>
                <w:szCs w:val="22"/>
                <w:lang w:eastAsia="en-US"/>
              </w:rPr>
              <w:t>’s social</w:t>
            </w:r>
            <w:r w:rsidRPr="00CF31E0">
              <w:rPr>
                <w:rFonts w:eastAsia="Calibri" w:cs="Arial"/>
                <w:color w:val="000000" w:themeColor="text1"/>
                <w:sz w:val="22"/>
                <w:szCs w:val="22"/>
                <w:lang w:eastAsia="en-US"/>
              </w:rPr>
              <w:t xml:space="preserve"> group</w:t>
            </w:r>
          </w:p>
        </w:tc>
        <w:tc>
          <w:tcPr>
            <w:tcW w:w="1091" w:type="dxa"/>
            <w:tcBorders>
              <w:top w:val="single" w:sz="8" w:space="0" w:color="auto"/>
              <w:bottom w:val="single" w:sz="8" w:space="0" w:color="auto"/>
            </w:tcBorders>
            <w:shd w:val="clear" w:color="auto" w:fill="FFFFFF"/>
            <w:vAlign w:val="bottom"/>
          </w:tcPr>
          <w:p w14:paraId="303A1AA2"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Statistic</w:t>
            </w:r>
          </w:p>
        </w:tc>
        <w:tc>
          <w:tcPr>
            <w:tcW w:w="1020" w:type="dxa"/>
            <w:tcBorders>
              <w:top w:val="single" w:sz="8" w:space="0" w:color="auto"/>
              <w:bottom w:val="single" w:sz="8" w:space="0" w:color="auto"/>
            </w:tcBorders>
            <w:shd w:val="clear" w:color="auto" w:fill="FFFFFF"/>
            <w:vAlign w:val="bottom"/>
          </w:tcPr>
          <w:p w14:paraId="401C9311"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Std. Error</w:t>
            </w:r>
          </w:p>
        </w:tc>
      </w:tr>
      <w:tr w:rsidR="007F558A" w:rsidRPr="00CF31E0" w14:paraId="165B358B" w14:textId="77777777" w:rsidTr="00603CB7">
        <w:trPr>
          <w:cantSplit/>
        </w:trPr>
        <w:tc>
          <w:tcPr>
            <w:tcW w:w="1369" w:type="dxa"/>
            <w:vMerge w:val="restart"/>
            <w:tcBorders>
              <w:top w:val="single" w:sz="8" w:space="0" w:color="auto"/>
              <w:bottom w:val="nil"/>
            </w:tcBorders>
            <w:shd w:val="clear" w:color="auto" w:fill="FFFFFF"/>
          </w:tcPr>
          <w:p w14:paraId="52FF784D"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Traditional</w:t>
            </w:r>
          </w:p>
        </w:tc>
        <w:tc>
          <w:tcPr>
            <w:tcW w:w="2043" w:type="dxa"/>
            <w:tcBorders>
              <w:top w:val="single" w:sz="8" w:space="0" w:color="auto"/>
              <w:bottom w:val="nil"/>
            </w:tcBorders>
            <w:shd w:val="clear" w:color="auto" w:fill="FFFFFF"/>
          </w:tcPr>
          <w:p w14:paraId="2DB6F213" w14:textId="011AE164" w:rsidR="000B4835" w:rsidRPr="00CF31E0" w:rsidRDefault="0059652A"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UBH</w:t>
            </w:r>
          </w:p>
        </w:tc>
        <w:tc>
          <w:tcPr>
            <w:tcW w:w="2000" w:type="dxa"/>
            <w:tcBorders>
              <w:top w:val="single" w:sz="8" w:space="0" w:color="auto"/>
              <w:bottom w:val="nil"/>
            </w:tcBorders>
            <w:shd w:val="clear" w:color="auto" w:fill="FFFFFF"/>
          </w:tcPr>
          <w:p w14:paraId="5E717D0C"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091" w:type="dxa"/>
            <w:tcBorders>
              <w:top w:val="single" w:sz="8" w:space="0" w:color="auto"/>
              <w:bottom w:val="nil"/>
            </w:tcBorders>
            <w:shd w:val="clear" w:color="auto" w:fill="FFFFFF"/>
            <w:vAlign w:val="center"/>
          </w:tcPr>
          <w:p w14:paraId="42D70D66"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2.7845</w:t>
            </w:r>
          </w:p>
        </w:tc>
        <w:tc>
          <w:tcPr>
            <w:tcW w:w="1020" w:type="dxa"/>
            <w:tcBorders>
              <w:top w:val="single" w:sz="8" w:space="0" w:color="auto"/>
              <w:bottom w:val="nil"/>
            </w:tcBorders>
            <w:shd w:val="clear" w:color="auto" w:fill="FFFFFF"/>
            <w:vAlign w:val="center"/>
          </w:tcPr>
          <w:p w14:paraId="4F29EC4D"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.07472</w:t>
            </w:r>
          </w:p>
        </w:tc>
      </w:tr>
      <w:tr w:rsidR="007F558A" w:rsidRPr="00CF31E0" w14:paraId="1923D05A" w14:textId="77777777" w:rsidTr="00603CB7">
        <w:trPr>
          <w:cantSplit/>
        </w:trPr>
        <w:tc>
          <w:tcPr>
            <w:tcW w:w="1369" w:type="dxa"/>
            <w:vMerge/>
            <w:tcBorders>
              <w:top w:val="nil"/>
            </w:tcBorders>
            <w:shd w:val="clear" w:color="auto" w:fill="FFFFFF"/>
          </w:tcPr>
          <w:p w14:paraId="4421DABB"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2043" w:type="dxa"/>
            <w:tcBorders>
              <w:top w:val="nil"/>
            </w:tcBorders>
            <w:shd w:val="clear" w:color="auto" w:fill="FFFFFF"/>
          </w:tcPr>
          <w:p w14:paraId="61D10B7A" w14:textId="27A76564" w:rsidR="000B4835" w:rsidRPr="00CF31E0" w:rsidRDefault="00FF4DC7"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HH</w:t>
            </w:r>
          </w:p>
        </w:tc>
        <w:tc>
          <w:tcPr>
            <w:tcW w:w="2000" w:type="dxa"/>
            <w:tcBorders>
              <w:top w:val="nil"/>
            </w:tcBorders>
            <w:shd w:val="clear" w:color="auto" w:fill="FFFFFF"/>
          </w:tcPr>
          <w:p w14:paraId="2BB23577"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091" w:type="dxa"/>
            <w:tcBorders>
              <w:top w:val="nil"/>
            </w:tcBorders>
            <w:shd w:val="clear" w:color="auto" w:fill="FFFFFF"/>
            <w:vAlign w:val="center"/>
          </w:tcPr>
          <w:p w14:paraId="6EB9F084"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3.0797</w:t>
            </w:r>
          </w:p>
        </w:tc>
        <w:tc>
          <w:tcPr>
            <w:tcW w:w="1020" w:type="dxa"/>
            <w:tcBorders>
              <w:top w:val="nil"/>
            </w:tcBorders>
            <w:shd w:val="clear" w:color="auto" w:fill="FFFFFF"/>
            <w:vAlign w:val="center"/>
          </w:tcPr>
          <w:p w14:paraId="6E4CF36F"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.07579</w:t>
            </w:r>
          </w:p>
        </w:tc>
      </w:tr>
    </w:tbl>
    <w:p w14:paraId="0DFCDD3F" w14:textId="14C748A9" w:rsidR="000B4835" w:rsidRPr="00CF31E0" w:rsidRDefault="000B4835" w:rsidP="004A09F8">
      <w:pPr>
        <w:pStyle w:val="Tablecaption"/>
        <w:rPr>
          <w:lang w:eastAsia="en-US"/>
        </w:rPr>
      </w:pPr>
      <w:bookmarkStart w:id="1040" w:name="_Toc522527524"/>
      <w:bookmarkStart w:id="1041" w:name="_Toc522628937"/>
      <w:bookmarkStart w:id="1042" w:name="_Toc522629101"/>
      <w:bookmarkStart w:id="1043" w:name="_Toc6473199"/>
      <w:r w:rsidRPr="00CF31E0">
        <w:rPr>
          <w:lang w:eastAsia="en-US"/>
        </w:rPr>
        <w:t xml:space="preserve">Table </w:t>
      </w:r>
      <w:r w:rsidR="004A09F8" w:rsidRPr="00CF31E0">
        <w:rPr>
          <w:lang w:eastAsia="en-US"/>
        </w:rPr>
        <w:t>11</w:t>
      </w:r>
      <w:r w:rsidR="00556E8A" w:rsidRPr="00CF31E0">
        <w:rPr>
          <w:lang w:eastAsia="en-US"/>
        </w:rPr>
        <w:t>.</w:t>
      </w:r>
      <w:r w:rsidR="004A09F8" w:rsidRPr="00CF31E0">
        <w:rPr>
          <w:lang w:eastAsia="en-US"/>
        </w:rPr>
        <w:t>61</w:t>
      </w:r>
      <w:r w:rsidRPr="00CF31E0">
        <w:rPr>
          <w:lang w:eastAsia="en-US"/>
        </w:rPr>
        <w:t>: Descriptive statistics</w:t>
      </w:r>
      <w:r w:rsidR="00BA47B6">
        <w:rPr>
          <w:lang w:eastAsia="en-US"/>
        </w:rPr>
        <w:t xml:space="preserve"> for spouse’s social group demographic variable</w:t>
      </w:r>
      <w:r w:rsidRPr="00CF31E0">
        <w:rPr>
          <w:lang w:eastAsia="en-US"/>
        </w:rPr>
        <w:t>.</w:t>
      </w:r>
      <w:bookmarkEnd w:id="1040"/>
      <w:bookmarkEnd w:id="1041"/>
      <w:bookmarkEnd w:id="1042"/>
      <w:bookmarkEnd w:id="1043"/>
      <w:r w:rsidRPr="00CF31E0">
        <w:rPr>
          <w:lang w:eastAsia="en-US"/>
        </w:rPr>
        <w:t xml:space="preserve"> </w:t>
      </w:r>
    </w:p>
    <w:p w14:paraId="4AB468FF" w14:textId="71413B53" w:rsidR="000B4835" w:rsidRPr="00CF31E0" w:rsidRDefault="000B4835" w:rsidP="00603CB7">
      <w:pPr>
        <w:pStyle w:val="Paragraph"/>
        <w:rPr>
          <w:lang w:eastAsia="en-US"/>
        </w:rPr>
      </w:pPr>
      <w:r w:rsidRPr="00CF31E0">
        <w:rPr>
          <w:lang w:eastAsia="en-US"/>
        </w:rPr>
        <w:t xml:space="preserve">The above two tables </w:t>
      </w:r>
      <w:r w:rsidR="00B633C7">
        <w:rPr>
          <w:lang w:eastAsia="en-US"/>
        </w:rPr>
        <w:t xml:space="preserve">11.60 and 11.61 </w:t>
      </w:r>
      <w:r w:rsidRPr="00CF31E0">
        <w:rPr>
          <w:lang w:eastAsia="en-US"/>
        </w:rPr>
        <w:t xml:space="preserve">show that participants whose spouses are of an </w:t>
      </w:r>
      <w:r w:rsidR="00FF4DC7" w:rsidRPr="00CF31E0">
        <w:rPr>
          <w:lang w:eastAsia="en-US"/>
        </w:rPr>
        <w:t>HH</w:t>
      </w:r>
      <w:r w:rsidRPr="00CF31E0">
        <w:rPr>
          <w:lang w:eastAsia="en-US"/>
        </w:rPr>
        <w:t xml:space="preserve"> origin gave a higher mean score on the scale than those whose spouses are of </w:t>
      </w:r>
      <w:r w:rsidR="0059652A" w:rsidRPr="00CF31E0">
        <w:rPr>
          <w:lang w:eastAsia="en-US"/>
        </w:rPr>
        <w:t>UBH</w:t>
      </w:r>
      <w:r w:rsidRPr="00CF31E0">
        <w:rPr>
          <w:lang w:eastAsia="en-US"/>
        </w:rPr>
        <w:t xml:space="preserve"> origin. </w:t>
      </w:r>
    </w:p>
    <w:p w14:paraId="725F956F" w14:textId="7E352EF2" w:rsidR="000B4835" w:rsidRPr="00CF31E0" w:rsidRDefault="004A09F8" w:rsidP="004A09F8">
      <w:pPr>
        <w:pStyle w:val="Chead"/>
      </w:pPr>
      <w:bookmarkStart w:id="1044" w:name="_Toc6472802"/>
      <w:r w:rsidRPr="00CF31E0">
        <w:t>11</w:t>
      </w:r>
      <w:r w:rsidR="00556E8A" w:rsidRPr="00CF31E0">
        <w:t>.3.5.3</w:t>
      </w:r>
      <w:r w:rsidR="000B4835" w:rsidRPr="00CF31E0">
        <w:t>.</w:t>
      </w:r>
      <w:r w:rsidR="003F4912" w:rsidRPr="00CF31E0">
        <w:tab/>
      </w:r>
      <w:r w:rsidR="000B4835" w:rsidRPr="00CF31E0">
        <w:t>Modern scale</w:t>
      </w:r>
      <w:bookmarkEnd w:id="1044"/>
      <w:r w:rsidR="000B4835" w:rsidRPr="00CF31E0">
        <w:t xml:space="preserve"> </w:t>
      </w:r>
    </w:p>
    <w:p w14:paraId="5BF45572" w14:textId="22EEC74A" w:rsidR="00CC5995" w:rsidRPr="00CF31E0" w:rsidRDefault="000B4835" w:rsidP="00DC699C">
      <w:pPr>
        <w:pStyle w:val="Paragraph"/>
        <w:rPr>
          <w:rFonts w:cs="Arial"/>
          <w:lang w:val="en-US" w:eastAsia="en-US"/>
        </w:rPr>
      </w:pPr>
      <w:r w:rsidRPr="00CF31E0">
        <w:rPr>
          <w:lang w:eastAsia="en-US"/>
        </w:rPr>
        <w:t xml:space="preserve">The social group of participants was the only demographic variable to affect the scale scores; see Table </w:t>
      </w:r>
      <w:r w:rsidR="004A09F8" w:rsidRPr="00CF31E0">
        <w:rPr>
          <w:lang w:eastAsia="en-US"/>
        </w:rPr>
        <w:t>11</w:t>
      </w:r>
      <w:r w:rsidR="00556E8A" w:rsidRPr="00CF31E0">
        <w:rPr>
          <w:lang w:eastAsia="en-US"/>
        </w:rPr>
        <w:t>.</w:t>
      </w:r>
      <w:r w:rsidR="004A09F8" w:rsidRPr="00CF31E0">
        <w:rPr>
          <w:lang w:eastAsia="en-US"/>
        </w:rPr>
        <w:t>62</w:t>
      </w:r>
      <w:r w:rsidRPr="00CF31E0">
        <w:rPr>
          <w:lang w:eastAsia="en-US"/>
        </w:rPr>
        <w:t xml:space="preserve">. </w:t>
      </w:r>
      <w:r w:rsidR="003E652D" w:rsidRPr="00CF31E0">
        <w:rPr>
          <w:rFonts w:cs="Arial"/>
          <w:lang w:val="en-US" w:eastAsia="en-US"/>
        </w:rPr>
        <w:t xml:space="preserve">See </w:t>
      </w:r>
      <w:r w:rsidR="003423CA" w:rsidRPr="00CF31E0">
        <w:rPr>
          <w:rFonts w:cs="Arial"/>
          <w:lang w:val="en-US" w:eastAsia="en-US"/>
        </w:rPr>
        <w:t xml:space="preserve">Tables </w:t>
      </w:r>
      <w:r w:rsidR="004A09F8" w:rsidRPr="00CF31E0">
        <w:rPr>
          <w:rFonts w:cs="Arial"/>
          <w:lang w:val="en-US" w:eastAsia="en-US"/>
        </w:rPr>
        <w:t>11</w:t>
      </w:r>
      <w:r w:rsidR="003E652D" w:rsidRPr="00CF31E0">
        <w:rPr>
          <w:rFonts w:cs="Arial"/>
          <w:lang w:val="en-US" w:eastAsia="en-US"/>
        </w:rPr>
        <w:t>.</w:t>
      </w:r>
      <w:r w:rsidR="004A09F8" w:rsidRPr="00CF31E0">
        <w:rPr>
          <w:rFonts w:cs="Arial"/>
          <w:lang w:val="en-US" w:eastAsia="en-US"/>
        </w:rPr>
        <w:t xml:space="preserve">62 </w:t>
      </w:r>
      <w:r w:rsidR="003E652D" w:rsidRPr="00CF31E0">
        <w:rPr>
          <w:rFonts w:cs="Arial"/>
          <w:lang w:val="en-US" w:eastAsia="en-US"/>
        </w:rPr>
        <w:t xml:space="preserve">and </w:t>
      </w:r>
      <w:r w:rsidR="004A09F8" w:rsidRPr="00CF31E0">
        <w:rPr>
          <w:rFonts w:cs="Arial"/>
          <w:lang w:val="en-US" w:eastAsia="en-US"/>
        </w:rPr>
        <w:t>11</w:t>
      </w:r>
      <w:r w:rsidR="003E652D" w:rsidRPr="00CF31E0">
        <w:rPr>
          <w:rFonts w:cs="Arial"/>
          <w:lang w:val="en-US" w:eastAsia="en-US"/>
        </w:rPr>
        <w:t>.</w:t>
      </w:r>
      <w:r w:rsidR="004A09F8" w:rsidRPr="00CF31E0">
        <w:rPr>
          <w:rFonts w:cs="Arial"/>
          <w:lang w:val="en-US" w:eastAsia="en-US"/>
        </w:rPr>
        <w:t>63</w:t>
      </w:r>
      <w:r w:rsidR="003E652D" w:rsidRPr="00CF31E0">
        <w:rPr>
          <w:rFonts w:cs="Arial"/>
          <w:lang w:val="en-US" w:eastAsia="en-US"/>
        </w:rPr>
        <w:t xml:space="preserve"> for social group results </w:t>
      </w:r>
      <w:r w:rsidR="003423CA" w:rsidRPr="00CF31E0">
        <w:rPr>
          <w:rFonts w:cs="Arial"/>
          <w:lang w:val="en-US" w:eastAsia="en-US"/>
        </w:rPr>
        <w:t>from</w:t>
      </w:r>
      <w:r w:rsidR="003E652D" w:rsidRPr="00CF31E0">
        <w:rPr>
          <w:rFonts w:cs="Arial"/>
          <w:lang w:val="en-US" w:eastAsia="en-US"/>
        </w:rPr>
        <w:t xml:space="preserve"> the data.</w:t>
      </w:r>
    </w:p>
    <w:tbl>
      <w:tblPr>
        <w:tblW w:w="7397"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736"/>
        <w:gridCol w:w="1828"/>
        <w:gridCol w:w="1232"/>
        <w:gridCol w:w="1306"/>
        <w:gridCol w:w="1295"/>
      </w:tblGrid>
      <w:tr w:rsidR="00B11B94" w:rsidRPr="00CF31E0" w14:paraId="24823876" w14:textId="77777777" w:rsidTr="00B11B94">
        <w:trPr>
          <w:cantSplit/>
        </w:trPr>
        <w:tc>
          <w:tcPr>
            <w:tcW w:w="1736" w:type="dxa"/>
            <w:tcBorders>
              <w:top w:val="single" w:sz="4" w:space="0" w:color="auto"/>
              <w:bottom w:val="single" w:sz="4" w:space="0" w:color="auto"/>
            </w:tcBorders>
            <w:shd w:val="clear" w:color="auto" w:fill="FFFFFF"/>
            <w:vAlign w:val="bottom"/>
          </w:tcPr>
          <w:p w14:paraId="7EF71777"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Social group</w:t>
            </w:r>
          </w:p>
        </w:tc>
        <w:tc>
          <w:tcPr>
            <w:tcW w:w="1828" w:type="dxa"/>
            <w:tcBorders>
              <w:top w:val="single" w:sz="4" w:space="0" w:color="auto"/>
              <w:bottom w:val="single" w:sz="4" w:space="0" w:color="auto"/>
            </w:tcBorders>
            <w:shd w:val="clear" w:color="auto" w:fill="FFFFFF"/>
            <w:vAlign w:val="bottom"/>
          </w:tcPr>
          <w:p w14:paraId="684C342D"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1232" w:type="dxa"/>
            <w:tcBorders>
              <w:top w:val="single" w:sz="4" w:space="0" w:color="auto"/>
              <w:bottom w:val="single" w:sz="4" w:space="0" w:color="auto"/>
            </w:tcBorders>
            <w:shd w:val="clear" w:color="auto" w:fill="FFFFFF"/>
            <w:vAlign w:val="bottom"/>
          </w:tcPr>
          <w:p w14:paraId="4E7A9D9B"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306" w:type="dxa"/>
            <w:tcBorders>
              <w:top w:val="single" w:sz="4" w:space="0" w:color="auto"/>
              <w:bottom w:val="single" w:sz="4" w:space="0" w:color="auto"/>
            </w:tcBorders>
            <w:shd w:val="clear" w:color="auto" w:fill="FFFFFF"/>
            <w:vAlign w:val="bottom"/>
          </w:tcPr>
          <w:p w14:paraId="50FD156E"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295" w:type="dxa"/>
            <w:tcBorders>
              <w:top w:val="single" w:sz="4" w:space="0" w:color="auto"/>
              <w:bottom w:val="single" w:sz="4" w:space="0" w:color="auto"/>
            </w:tcBorders>
            <w:shd w:val="clear" w:color="auto" w:fill="FFFFFF"/>
            <w:vAlign w:val="bottom"/>
          </w:tcPr>
          <w:p w14:paraId="6A1AE2F8"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B11B94" w:rsidRPr="00CF31E0" w14:paraId="0A0681CB" w14:textId="77777777" w:rsidTr="00B11B94">
        <w:trPr>
          <w:cantSplit/>
        </w:trPr>
        <w:tc>
          <w:tcPr>
            <w:tcW w:w="1736" w:type="dxa"/>
            <w:tcBorders>
              <w:top w:val="single" w:sz="4" w:space="0" w:color="auto"/>
              <w:bottom w:val="nil"/>
            </w:tcBorders>
            <w:shd w:val="clear" w:color="auto" w:fill="FFFFFF"/>
          </w:tcPr>
          <w:p w14:paraId="32BCBDB7"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828" w:type="dxa"/>
            <w:tcBorders>
              <w:top w:val="single" w:sz="4" w:space="0" w:color="auto"/>
              <w:bottom w:val="nil"/>
            </w:tcBorders>
            <w:shd w:val="clear" w:color="auto" w:fill="FFFFFF"/>
            <w:vAlign w:val="center"/>
          </w:tcPr>
          <w:p w14:paraId="0DC6EDD3"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8.755</w:t>
            </w:r>
          </w:p>
        </w:tc>
        <w:tc>
          <w:tcPr>
            <w:tcW w:w="1232" w:type="dxa"/>
            <w:tcBorders>
              <w:top w:val="single" w:sz="4" w:space="0" w:color="auto"/>
              <w:bottom w:val="nil"/>
            </w:tcBorders>
            <w:shd w:val="clear" w:color="auto" w:fill="FFFFFF"/>
            <w:vAlign w:val="center"/>
          </w:tcPr>
          <w:p w14:paraId="239E710D"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w:t>
            </w:r>
          </w:p>
        </w:tc>
        <w:tc>
          <w:tcPr>
            <w:tcW w:w="1306" w:type="dxa"/>
            <w:tcBorders>
              <w:top w:val="single" w:sz="4" w:space="0" w:color="auto"/>
              <w:bottom w:val="nil"/>
            </w:tcBorders>
            <w:shd w:val="clear" w:color="auto" w:fill="FFFFFF"/>
            <w:vAlign w:val="center"/>
          </w:tcPr>
          <w:p w14:paraId="1063B872"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8.755</w:t>
            </w:r>
          </w:p>
        </w:tc>
        <w:tc>
          <w:tcPr>
            <w:tcW w:w="1295" w:type="dxa"/>
            <w:tcBorders>
              <w:top w:val="single" w:sz="4" w:space="0" w:color="auto"/>
              <w:bottom w:val="nil"/>
            </w:tcBorders>
            <w:shd w:val="clear" w:color="auto" w:fill="FFFFFF"/>
            <w:vAlign w:val="center"/>
          </w:tcPr>
          <w:p w14:paraId="28B6DB44"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.014</w:t>
            </w:r>
          </w:p>
        </w:tc>
      </w:tr>
      <w:tr w:rsidR="00B11B94" w:rsidRPr="00CF31E0" w14:paraId="4BF38A2F" w14:textId="77777777" w:rsidTr="00B11B94">
        <w:trPr>
          <w:cantSplit/>
          <w:trHeight w:val="608"/>
        </w:trPr>
        <w:tc>
          <w:tcPr>
            <w:tcW w:w="1736" w:type="dxa"/>
            <w:tcBorders>
              <w:top w:val="nil"/>
            </w:tcBorders>
            <w:shd w:val="clear" w:color="auto" w:fill="FFFFFF"/>
          </w:tcPr>
          <w:p w14:paraId="36AE042A"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828" w:type="dxa"/>
            <w:tcBorders>
              <w:top w:val="nil"/>
            </w:tcBorders>
            <w:shd w:val="clear" w:color="auto" w:fill="FFFFFF"/>
            <w:vAlign w:val="center"/>
          </w:tcPr>
          <w:p w14:paraId="4CE29AAB"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933.757</w:t>
            </w:r>
          </w:p>
        </w:tc>
        <w:tc>
          <w:tcPr>
            <w:tcW w:w="1232" w:type="dxa"/>
            <w:tcBorders>
              <w:top w:val="nil"/>
            </w:tcBorders>
            <w:shd w:val="clear" w:color="auto" w:fill="FFFFFF"/>
            <w:vAlign w:val="center"/>
          </w:tcPr>
          <w:p w14:paraId="2C54830A"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648</w:t>
            </w:r>
          </w:p>
        </w:tc>
        <w:tc>
          <w:tcPr>
            <w:tcW w:w="1306" w:type="dxa"/>
            <w:tcBorders>
              <w:top w:val="nil"/>
            </w:tcBorders>
            <w:shd w:val="clear" w:color="auto" w:fill="FFFFFF"/>
            <w:vAlign w:val="center"/>
          </w:tcPr>
          <w:p w14:paraId="4133E635"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1.443</w:t>
            </w:r>
          </w:p>
        </w:tc>
        <w:tc>
          <w:tcPr>
            <w:tcW w:w="1295" w:type="dxa"/>
            <w:tcBorders>
              <w:top w:val="nil"/>
            </w:tcBorders>
            <w:shd w:val="clear" w:color="auto" w:fill="FFFFFF"/>
            <w:vAlign w:val="center"/>
          </w:tcPr>
          <w:p w14:paraId="23BE05DC" w14:textId="77777777" w:rsidR="00AB3C90" w:rsidRPr="00CF31E0" w:rsidRDefault="00AB3C90" w:rsidP="000B4835">
            <w:pPr>
              <w:spacing w:before="120" w:after="120" w:line="360" w:lineRule="auto"/>
              <w:rPr>
                <w:rFonts w:eastAsia="Calibri" w:cs="Arial"/>
                <w:color w:val="000000" w:themeColor="text1"/>
                <w:sz w:val="22"/>
                <w:szCs w:val="22"/>
                <w:lang w:eastAsia="en-US"/>
              </w:rPr>
            </w:pPr>
          </w:p>
        </w:tc>
      </w:tr>
      <w:tr w:rsidR="00B11B94" w:rsidRPr="00CF31E0" w14:paraId="349125B3" w14:textId="77777777" w:rsidTr="00B11B94">
        <w:trPr>
          <w:cantSplit/>
        </w:trPr>
        <w:tc>
          <w:tcPr>
            <w:tcW w:w="1736" w:type="dxa"/>
            <w:shd w:val="clear" w:color="auto" w:fill="FFFFFF"/>
          </w:tcPr>
          <w:p w14:paraId="59090EEE"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828" w:type="dxa"/>
            <w:shd w:val="clear" w:color="auto" w:fill="FFFFFF"/>
            <w:vAlign w:val="center"/>
          </w:tcPr>
          <w:p w14:paraId="4B8EA2D7"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942.512</w:t>
            </w:r>
          </w:p>
        </w:tc>
        <w:tc>
          <w:tcPr>
            <w:tcW w:w="1232" w:type="dxa"/>
            <w:shd w:val="clear" w:color="auto" w:fill="FFFFFF"/>
            <w:vAlign w:val="center"/>
          </w:tcPr>
          <w:p w14:paraId="3A09FEE7" w14:textId="77777777" w:rsidR="00AB3C90" w:rsidRPr="00CF31E0" w:rsidRDefault="00AB3C90"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649</w:t>
            </w:r>
          </w:p>
        </w:tc>
        <w:tc>
          <w:tcPr>
            <w:tcW w:w="1306" w:type="dxa"/>
            <w:shd w:val="clear" w:color="auto" w:fill="FFFFFF"/>
            <w:vAlign w:val="center"/>
          </w:tcPr>
          <w:p w14:paraId="2C84B3DE" w14:textId="77777777" w:rsidR="00AB3C90" w:rsidRPr="00CF31E0" w:rsidRDefault="00AB3C90" w:rsidP="000B4835">
            <w:pPr>
              <w:spacing w:before="120" w:after="120" w:line="360" w:lineRule="auto"/>
              <w:rPr>
                <w:rFonts w:eastAsia="Calibri" w:cs="Arial"/>
                <w:color w:val="000000" w:themeColor="text1"/>
                <w:sz w:val="22"/>
                <w:szCs w:val="22"/>
                <w:lang w:eastAsia="en-US"/>
              </w:rPr>
            </w:pPr>
          </w:p>
        </w:tc>
        <w:tc>
          <w:tcPr>
            <w:tcW w:w="1295" w:type="dxa"/>
            <w:shd w:val="clear" w:color="auto" w:fill="FFFFFF"/>
            <w:vAlign w:val="center"/>
          </w:tcPr>
          <w:p w14:paraId="4B952AA0" w14:textId="77777777" w:rsidR="00AB3C90" w:rsidRPr="00CF31E0" w:rsidRDefault="00AB3C90" w:rsidP="000B4835">
            <w:pPr>
              <w:spacing w:before="120" w:after="120" w:line="360" w:lineRule="auto"/>
              <w:rPr>
                <w:rFonts w:eastAsia="Calibri" w:cs="Arial"/>
                <w:color w:val="000000" w:themeColor="text1"/>
                <w:sz w:val="22"/>
                <w:szCs w:val="22"/>
                <w:lang w:eastAsia="en-US"/>
              </w:rPr>
            </w:pPr>
          </w:p>
        </w:tc>
      </w:tr>
    </w:tbl>
    <w:p w14:paraId="650203D8" w14:textId="34983CD0" w:rsidR="000B4835" w:rsidRPr="00CF31E0" w:rsidRDefault="000B4835" w:rsidP="005B3EEC">
      <w:pPr>
        <w:pStyle w:val="Tablecaption"/>
        <w:spacing w:after="400"/>
        <w:rPr>
          <w:lang w:eastAsia="en-US"/>
        </w:rPr>
      </w:pPr>
      <w:bookmarkStart w:id="1045" w:name="_Toc522527525"/>
      <w:bookmarkStart w:id="1046" w:name="_Toc522628938"/>
      <w:bookmarkStart w:id="1047" w:name="_Toc522629102"/>
      <w:bookmarkStart w:id="1048" w:name="_Toc6473200"/>
      <w:r w:rsidRPr="00CF31E0">
        <w:rPr>
          <w:lang w:eastAsia="en-US"/>
        </w:rPr>
        <w:t xml:space="preserve">Table </w:t>
      </w:r>
      <w:r w:rsidR="004A09F8" w:rsidRPr="00CF31E0">
        <w:rPr>
          <w:lang w:eastAsia="en-US"/>
        </w:rPr>
        <w:t>11</w:t>
      </w:r>
      <w:r w:rsidR="00556E8A" w:rsidRPr="00CF31E0">
        <w:rPr>
          <w:lang w:eastAsia="en-US"/>
        </w:rPr>
        <w:t>.</w:t>
      </w:r>
      <w:r w:rsidR="004A09F8" w:rsidRPr="00CF31E0">
        <w:rPr>
          <w:lang w:eastAsia="en-US"/>
        </w:rPr>
        <w:t>62</w:t>
      </w:r>
      <w:r w:rsidRPr="00CF31E0">
        <w:rPr>
          <w:lang w:eastAsia="en-US"/>
        </w:rPr>
        <w:t xml:space="preserve">: ANOVA </w:t>
      </w:r>
      <w:r w:rsidR="005B3EEC">
        <w:rPr>
          <w:lang w:eastAsia="en-US"/>
        </w:rPr>
        <w:t>statistics</w:t>
      </w:r>
      <w:r w:rsidR="005B3EEC" w:rsidRPr="00CF31E0">
        <w:rPr>
          <w:lang w:eastAsia="en-US"/>
        </w:rPr>
        <w:t xml:space="preserve"> </w:t>
      </w:r>
      <w:r w:rsidRPr="00CF31E0">
        <w:rPr>
          <w:lang w:eastAsia="en-US"/>
        </w:rPr>
        <w:t>for social group demographic variable.</w:t>
      </w:r>
      <w:bookmarkEnd w:id="1045"/>
      <w:bookmarkEnd w:id="1046"/>
      <w:bookmarkEnd w:id="1047"/>
      <w:bookmarkEnd w:id="1048"/>
    </w:p>
    <w:tbl>
      <w:tblPr>
        <w:tblW w:w="7363" w:type="dxa"/>
        <w:tblInd w:w="-1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092"/>
        <w:gridCol w:w="2179"/>
        <w:gridCol w:w="1864"/>
        <w:gridCol w:w="1091"/>
        <w:gridCol w:w="1137"/>
      </w:tblGrid>
      <w:tr w:rsidR="007F558A" w:rsidRPr="00CF31E0" w14:paraId="522B721E" w14:textId="77777777" w:rsidTr="000B4835">
        <w:trPr>
          <w:cantSplit/>
          <w:trHeight w:val="664"/>
        </w:trPr>
        <w:tc>
          <w:tcPr>
            <w:tcW w:w="1092" w:type="dxa"/>
            <w:tcBorders>
              <w:top w:val="single" w:sz="8" w:space="0" w:color="auto"/>
              <w:bottom w:val="single" w:sz="8" w:space="0" w:color="auto"/>
            </w:tcBorders>
          </w:tcPr>
          <w:p w14:paraId="1C939107"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4043" w:type="dxa"/>
            <w:gridSpan w:val="2"/>
            <w:tcBorders>
              <w:top w:val="single" w:sz="8" w:space="0" w:color="auto"/>
              <w:bottom w:val="single" w:sz="8" w:space="0" w:color="auto"/>
            </w:tcBorders>
            <w:shd w:val="clear" w:color="auto" w:fill="FFFFFF"/>
            <w:vAlign w:val="bottom"/>
          </w:tcPr>
          <w:p w14:paraId="642F7DCD"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Social group</w:t>
            </w:r>
          </w:p>
        </w:tc>
        <w:tc>
          <w:tcPr>
            <w:tcW w:w="1091" w:type="dxa"/>
            <w:tcBorders>
              <w:top w:val="single" w:sz="8" w:space="0" w:color="auto"/>
              <w:bottom w:val="single" w:sz="8" w:space="0" w:color="auto"/>
            </w:tcBorders>
            <w:shd w:val="clear" w:color="auto" w:fill="FFFFFF"/>
            <w:vAlign w:val="bottom"/>
          </w:tcPr>
          <w:p w14:paraId="0CFA0D86"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Statistic</w:t>
            </w:r>
          </w:p>
        </w:tc>
        <w:tc>
          <w:tcPr>
            <w:tcW w:w="1137" w:type="dxa"/>
            <w:tcBorders>
              <w:top w:val="single" w:sz="8" w:space="0" w:color="auto"/>
              <w:bottom w:val="single" w:sz="8" w:space="0" w:color="auto"/>
            </w:tcBorders>
            <w:shd w:val="clear" w:color="auto" w:fill="FFFFFF"/>
            <w:vAlign w:val="bottom"/>
          </w:tcPr>
          <w:p w14:paraId="6FE57E4E"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Std. Error</w:t>
            </w:r>
          </w:p>
        </w:tc>
      </w:tr>
      <w:tr w:rsidR="007F558A" w:rsidRPr="00CF31E0" w14:paraId="324B729C" w14:textId="77777777" w:rsidTr="000B4835">
        <w:trPr>
          <w:cantSplit/>
        </w:trPr>
        <w:tc>
          <w:tcPr>
            <w:tcW w:w="1092" w:type="dxa"/>
            <w:vMerge w:val="restart"/>
            <w:tcBorders>
              <w:top w:val="single" w:sz="8" w:space="0" w:color="auto"/>
              <w:bottom w:val="nil"/>
            </w:tcBorders>
            <w:shd w:val="clear" w:color="auto" w:fill="FFFFFF"/>
          </w:tcPr>
          <w:p w14:paraId="67C5C56F"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Modern</w:t>
            </w:r>
          </w:p>
        </w:tc>
        <w:tc>
          <w:tcPr>
            <w:tcW w:w="2179" w:type="dxa"/>
            <w:tcBorders>
              <w:top w:val="single" w:sz="8" w:space="0" w:color="auto"/>
              <w:bottom w:val="nil"/>
            </w:tcBorders>
            <w:shd w:val="clear" w:color="auto" w:fill="FFFFFF"/>
          </w:tcPr>
          <w:p w14:paraId="293419AE" w14:textId="1926E2A9" w:rsidR="000B4835" w:rsidRPr="00CF31E0" w:rsidRDefault="0059652A"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UBH</w:t>
            </w:r>
          </w:p>
        </w:tc>
        <w:tc>
          <w:tcPr>
            <w:tcW w:w="1864" w:type="dxa"/>
            <w:tcBorders>
              <w:top w:val="single" w:sz="8" w:space="0" w:color="auto"/>
              <w:bottom w:val="nil"/>
            </w:tcBorders>
            <w:shd w:val="clear" w:color="auto" w:fill="FFFFFF"/>
          </w:tcPr>
          <w:p w14:paraId="4EC9E055"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091" w:type="dxa"/>
            <w:tcBorders>
              <w:top w:val="single" w:sz="8" w:space="0" w:color="auto"/>
              <w:bottom w:val="nil"/>
            </w:tcBorders>
            <w:shd w:val="clear" w:color="auto" w:fill="FFFFFF"/>
            <w:vAlign w:val="center"/>
          </w:tcPr>
          <w:p w14:paraId="31AFF898"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3.5062</w:t>
            </w:r>
          </w:p>
        </w:tc>
        <w:tc>
          <w:tcPr>
            <w:tcW w:w="1137" w:type="dxa"/>
            <w:tcBorders>
              <w:top w:val="single" w:sz="8" w:space="0" w:color="auto"/>
              <w:bottom w:val="nil"/>
            </w:tcBorders>
            <w:shd w:val="clear" w:color="auto" w:fill="FFFFFF"/>
            <w:vAlign w:val="center"/>
          </w:tcPr>
          <w:p w14:paraId="46E09F48"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.06737</w:t>
            </w:r>
          </w:p>
        </w:tc>
      </w:tr>
      <w:tr w:rsidR="007F558A" w:rsidRPr="00CF31E0" w14:paraId="14EA9F17" w14:textId="77777777" w:rsidTr="000B4835">
        <w:trPr>
          <w:cantSplit/>
        </w:trPr>
        <w:tc>
          <w:tcPr>
            <w:tcW w:w="1092" w:type="dxa"/>
            <w:vMerge/>
            <w:tcBorders>
              <w:top w:val="nil"/>
            </w:tcBorders>
            <w:shd w:val="clear" w:color="auto" w:fill="FFFFFF"/>
          </w:tcPr>
          <w:p w14:paraId="1378A244"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2179" w:type="dxa"/>
            <w:tcBorders>
              <w:top w:val="nil"/>
            </w:tcBorders>
            <w:shd w:val="clear" w:color="auto" w:fill="FFFFFF"/>
          </w:tcPr>
          <w:p w14:paraId="15F5CB25" w14:textId="626F16F1" w:rsidR="000B4835" w:rsidRPr="00CF31E0" w:rsidRDefault="00FF4DC7"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HH</w:t>
            </w:r>
          </w:p>
        </w:tc>
        <w:tc>
          <w:tcPr>
            <w:tcW w:w="1864" w:type="dxa"/>
            <w:tcBorders>
              <w:top w:val="nil"/>
            </w:tcBorders>
            <w:shd w:val="clear" w:color="auto" w:fill="FFFFFF"/>
          </w:tcPr>
          <w:p w14:paraId="117F0603"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091" w:type="dxa"/>
            <w:tcBorders>
              <w:top w:val="nil"/>
            </w:tcBorders>
            <w:shd w:val="clear" w:color="auto" w:fill="FFFFFF"/>
            <w:vAlign w:val="center"/>
          </w:tcPr>
          <w:p w14:paraId="51166413"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3.7385</w:t>
            </w:r>
          </w:p>
        </w:tc>
        <w:tc>
          <w:tcPr>
            <w:tcW w:w="1137" w:type="dxa"/>
            <w:tcBorders>
              <w:top w:val="nil"/>
            </w:tcBorders>
            <w:shd w:val="clear" w:color="auto" w:fill="FFFFFF"/>
            <w:vAlign w:val="center"/>
          </w:tcPr>
          <w:p w14:paraId="630A1593"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.06601</w:t>
            </w:r>
          </w:p>
        </w:tc>
      </w:tr>
    </w:tbl>
    <w:p w14:paraId="07E60469" w14:textId="44963D4A" w:rsidR="000B4835" w:rsidRPr="00CF31E0" w:rsidRDefault="000B4835" w:rsidP="004A09F8">
      <w:pPr>
        <w:pStyle w:val="Tablecaption"/>
        <w:rPr>
          <w:lang w:eastAsia="en-US"/>
        </w:rPr>
      </w:pPr>
      <w:bookmarkStart w:id="1049" w:name="_Toc522527526"/>
      <w:bookmarkStart w:id="1050" w:name="_Toc522628939"/>
      <w:bookmarkStart w:id="1051" w:name="_Toc522629103"/>
      <w:bookmarkStart w:id="1052" w:name="_Toc6473201"/>
      <w:r w:rsidRPr="00CF31E0">
        <w:rPr>
          <w:lang w:eastAsia="en-US"/>
        </w:rPr>
        <w:t xml:space="preserve">Table </w:t>
      </w:r>
      <w:r w:rsidR="004A09F8" w:rsidRPr="00CF31E0">
        <w:rPr>
          <w:lang w:eastAsia="en-US"/>
        </w:rPr>
        <w:t>11</w:t>
      </w:r>
      <w:r w:rsidR="00556E8A" w:rsidRPr="00CF31E0">
        <w:rPr>
          <w:lang w:eastAsia="en-US"/>
        </w:rPr>
        <w:t>.</w:t>
      </w:r>
      <w:r w:rsidR="004A09F8" w:rsidRPr="00CF31E0">
        <w:rPr>
          <w:lang w:eastAsia="en-US"/>
        </w:rPr>
        <w:t>63</w:t>
      </w:r>
      <w:r w:rsidRPr="00CF31E0">
        <w:rPr>
          <w:lang w:eastAsia="en-US"/>
        </w:rPr>
        <w:t>: Descriptive statistics</w:t>
      </w:r>
      <w:r w:rsidR="00BA47B6">
        <w:rPr>
          <w:lang w:eastAsia="en-US"/>
        </w:rPr>
        <w:t xml:space="preserve"> for social group demographic variable</w:t>
      </w:r>
      <w:r w:rsidRPr="00CF31E0">
        <w:rPr>
          <w:lang w:eastAsia="en-US"/>
        </w:rPr>
        <w:t>.</w:t>
      </w:r>
      <w:bookmarkEnd w:id="1049"/>
      <w:bookmarkEnd w:id="1050"/>
      <w:bookmarkEnd w:id="1051"/>
      <w:bookmarkEnd w:id="1052"/>
      <w:r w:rsidRPr="00CF31E0">
        <w:rPr>
          <w:lang w:eastAsia="en-US"/>
        </w:rPr>
        <w:t xml:space="preserve"> </w:t>
      </w:r>
    </w:p>
    <w:p w14:paraId="1E43D576" w14:textId="205DE368" w:rsidR="000B4835" w:rsidRPr="00CF31E0" w:rsidRDefault="00B633C7" w:rsidP="00603CB7">
      <w:pPr>
        <w:pStyle w:val="Paragraph"/>
        <w:rPr>
          <w:lang w:eastAsia="en-US"/>
        </w:rPr>
      </w:pPr>
      <w:r>
        <w:rPr>
          <w:lang w:eastAsia="en-US"/>
        </w:rPr>
        <w:t>Table 11.62 shows that p</w:t>
      </w:r>
      <w:r w:rsidR="000B4835" w:rsidRPr="00CF31E0">
        <w:rPr>
          <w:lang w:eastAsia="en-US"/>
        </w:rPr>
        <w:t xml:space="preserve">erceptions toward the modernity of the voice sample differed between the </w:t>
      </w:r>
      <w:r w:rsidR="0059652A" w:rsidRPr="00CF31E0">
        <w:rPr>
          <w:lang w:eastAsia="en-US"/>
        </w:rPr>
        <w:t>UBH</w:t>
      </w:r>
      <w:r w:rsidR="000B4835" w:rsidRPr="00CF31E0">
        <w:rPr>
          <w:lang w:eastAsia="en-US"/>
        </w:rPr>
        <w:t xml:space="preserve"> and </w:t>
      </w:r>
      <w:r w:rsidR="00FF4DC7" w:rsidRPr="00CF31E0">
        <w:rPr>
          <w:lang w:eastAsia="en-US"/>
        </w:rPr>
        <w:t>HH</w:t>
      </w:r>
      <w:r w:rsidR="000B4835" w:rsidRPr="00CF31E0">
        <w:rPr>
          <w:lang w:eastAsia="en-US"/>
        </w:rPr>
        <w:t xml:space="preserve"> social groups, with a p value </w:t>
      </w:r>
      <w:r w:rsidR="00AB6574" w:rsidRPr="00CF31E0">
        <w:rPr>
          <w:lang w:eastAsia="en-US"/>
        </w:rPr>
        <w:t>o</w:t>
      </w:r>
      <w:r w:rsidR="000B4835" w:rsidRPr="00CF31E0">
        <w:rPr>
          <w:lang w:eastAsia="en-US"/>
        </w:rPr>
        <w:t xml:space="preserve">f </w:t>
      </w:r>
      <w:r w:rsidR="003E652D" w:rsidRPr="00CF31E0">
        <w:rPr>
          <w:lang w:eastAsia="en-US"/>
        </w:rPr>
        <w:lastRenderedPageBreak/>
        <w:t>.</w:t>
      </w:r>
      <w:r w:rsidR="000B4835" w:rsidRPr="00CF31E0">
        <w:rPr>
          <w:lang w:eastAsia="en-US"/>
        </w:rPr>
        <w:t>0</w:t>
      </w:r>
      <w:r w:rsidR="003E652D" w:rsidRPr="00CF31E0">
        <w:rPr>
          <w:lang w:eastAsia="en-US"/>
        </w:rPr>
        <w:t>1</w:t>
      </w:r>
      <w:r w:rsidR="000B4835" w:rsidRPr="00CF31E0">
        <w:rPr>
          <w:lang w:eastAsia="en-US"/>
        </w:rPr>
        <w:t>4</w:t>
      </w:r>
      <w:r>
        <w:rPr>
          <w:lang w:eastAsia="en-US"/>
        </w:rPr>
        <w:t>.</w:t>
      </w:r>
      <w:r w:rsidR="000B4835" w:rsidRPr="00CF31E0">
        <w:rPr>
          <w:lang w:eastAsia="en-US"/>
        </w:rPr>
        <w:t xml:space="preserve"> Table </w:t>
      </w:r>
      <w:r w:rsidR="00F51089" w:rsidRPr="00CF31E0">
        <w:rPr>
          <w:lang w:eastAsia="en-US"/>
        </w:rPr>
        <w:t>11.6</w:t>
      </w:r>
      <w:r w:rsidR="002E4EC9" w:rsidRPr="00CF31E0">
        <w:rPr>
          <w:lang w:eastAsia="en-US"/>
        </w:rPr>
        <w:t>3</w:t>
      </w:r>
      <w:r w:rsidR="00F51089" w:rsidRPr="00CF31E0">
        <w:rPr>
          <w:lang w:eastAsia="en-US"/>
        </w:rPr>
        <w:t xml:space="preserve"> </w:t>
      </w:r>
      <w:r w:rsidR="000B4835" w:rsidRPr="00CF31E0">
        <w:rPr>
          <w:lang w:eastAsia="en-US"/>
        </w:rPr>
        <w:t xml:space="preserve">shows that </w:t>
      </w:r>
      <w:r w:rsidR="00FF4DC7" w:rsidRPr="00CF31E0">
        <w:rPr>
          <w:lang w:eastAsia="en-US"/>
        </w:rPr>
        <w:t>HH</w:t>
      </w:r>
      <w:r w:rsidR="000B4835" w:rsidRPr="00CF31E0">
        <w:rPr>
          <w:lang w:eastAsia="en-US"/>
        </w:rPr>
        <w:t xml:space="preserve"> participants perceived the voice as more modern than did the </w:t>
      </w:r>
      <w:r w:rsidR="0059652A" w:rsidRPr="00CF31E0">
        <w:rPr>
          <w:lang w:eastAsia="en-US"/>
        </w:rPr>
        <w:t>UBH</w:t>
      </w:r>
      <w:r w:rsidR="000B4835" w:rsidRPr="00CF31E0">
        <w:rPr>
          <w:lang w:eastAsia="en-US"/>
        </w:rPr>
        <w:t xml:space="preserve"> participants. </w:t>
      </w:r>
    </w:p>
    <w:p w14:paraId="3CD37A61" w14:textId="4B13139C" w:rsidR="000B4835" w:rsidRPr="00CF31E0" w:rsidRDefault="00F51089" w:rsidP="0041475C">
      <w:pPr>
        <w:pStyle w:val="Bhead"/>
      </w:pPr>
      <w:bookmarkStart w:id="1053" w:name="_Toc6472803"/>
      <w:r w:rsidRPr="00CF31E0">
        <w:t>11</w:t>
      </w:r>
      <w:r w:rsidR="000B4835" w:rsidRPr="00CF31E0">
        <w:t>.3.</w:t>
      </w:r>
      <w:r w:rsidR="0041475C" w:rsidRPr="00CF31E0">
        <w:t>6</w:t>
      </w:r>
      <w:r w:rsidR="000B4835" w:rsidRPr="00CF31E0">
        <w:t>.</w:t>
      </w:r>
      <w:r w:rsidR="003F4912" w:rsidRPr="00CF31E0">
        <w:tab/>
      </w:r>
      <w:r w:rsidR="000B4835" w:rsidRPr="00CF31E0">
        <w:t>Rating task results for voice sample 2</w:t>
      </w:r>
      <w:bookmarkEnd w:id="1053"/>
      <w:r w:rsidR="000B4835" w:rsidRPr="00CF31E0">
        <w:t xml:space="preserve"> </w:t>
      </w:r>
    </w:p>
    <w:p w14:paraId="180AAF63" w14:textId="35E41320" w:rsidR="000B4835" w:rsidRPr="00CF31E0" w:rsidRDefault="000B4835" w:rsidP="00603CB7">
      <w:pPr>
        <w:pStyle w:val="Paragraph"/>
        <w:rPr>
          <w:lang w:eastAsia="en-US"/>
        </w:rPr>
      </w:pPr>
      <w:r w:rsidRPr="00CF31E0">
        <w:rPr>
          <w:lang w:eastAsia="en-US"/>
        </w:rPr>
        <w:t xml:space="preserve">Results from exposure to VS2 indicated that the speaker’s voice was perceived as more traditional than modern. Furthermore, the voice was given an average rating for the following characteristics: </w:t>
      </w:r>
      <w:r w:rsidRPr="00CF31E0">
        <w:rPr>
          <w:i/>
          <w:iCs/>
          <w:lang w:eastAsia="en-US"/>
        </w:rPr>
        <w:t>serious</w:t>
      </w:r>
      <w:r w:rsidRPr="00CF31E0">
        <w:rPr>
          <w:lang w:eastAsia="en-US"/>
        </w:rPr>
        <w:t xml:space="preserve">, </w:t>
      </w:r>
      <w:r w:rsidRPr="00CF31E0">
        <w:rPr>
          <w:i/>
          <w:iCs/>
          <w:lang w:eastAsia="en-US"/>
        </w:rPr>
        <w:t>similar to other Arabic dialects</w:t>
      </w:r>
      <w:r w:rsidRPr="00CF31E0">
        <w:rPr>
          <w:lang w:eastAsia="en-US"/>
        </w:rPr>
        <w:t xml:space="preserve">; see Figure </w:t>
      </w:r>
      <w:r w:rsidR="00F51089" w:rsidRPr="00CF31E0">
        <w:rPr>
          <w:lang w:eastAsia="en-US"/>
        </w:rPr>
        <w:t>11</w:t>
      </w:r>
      <w:r w:rsidR="00556E8A" w:rsidRPr="00CF31E0">
        <w:rPr>
          <w:lang w:eastAsia="en-US"/>
        </w:rPr>
        <w:t>.10</w:t>
      </w:r>
      <w:r w:rsidRPr="00CF31E0">
        <w:rPr>
          <w:lang w:eastAsia="en-US"/>
        </w:rPr>
        <w:t xml:space="preserve">. </w:t>
      </w:r>
    </w:p>
    <w:p w14:paraId="5A9ACC7F" w14:textId="77777777" w:rsidR="000B4835" w:rsidRPr="00CF31E0" w:rsidRDefault="000B4835" w:rsidP="000B4835">
      <w:pPr>
        <w:spacing w:before="120" w:after="120" w:line="360" w:lineRule="auto"/>
        <w:jc w:val="both"/>
        <w:rPr>
          <w:rFonts w:eastAsia="Calibri" w:cs="Arial"/>
          <w:color w:val="000000" w:themeColor="text1"/>
          <w:lang w:eastAsia="en-US"/>
        </w:rPr>
      </w:pPr>
      <w:r w:rsidRPr="00CF31E0">
        <w:rPr>
          <w:rFonts w:eastAsia="Calibri" w:cs="Arial"/>
          <w:noProof/>
          <w:color w:val="000000" w:themeColor="text1"/>
        </w:rPr>
        <w:drawing>
          <wp:inline distT="0" distB="0" distL="0" distR="0" wp14:anchorId="4D706531" wp14:editId="6BE6D9F2">
            <wp:extent cx="5396230" cy="3195906"/>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2598" cy="3199678"/>
                    </a:xfrm>
                    <a:prstGeom prst="rect">
                      <a:avLst/>
                    </a:prstGeom>
                  </pic:spPr>
                </pic:pic>
              </a:graphicData>
            </a:graphic>
          </wp:inline>
        </w:drawing>
      </w:r>
    </w:p>
    <w:p w14:paraId="549D6B99" w14:textId="09BE8919" w:rsidR="000B4835" w:rsidRPr="00CF31E0" w:rsidRDefault="000B4835" w:rsidP="00603CB7">
      <w:pPr>
        <w:pStyle w:val="Figcaption"/>
        <w:spacing w:after="200"/>
        <w:rPr>
          <w:rFonts w:eastAsia="Calibri"/>
          <w:color w:val="000000" w:themeColor="text1"/>
        </w:rPr>
      </w:pPr>
      <w:bookmarkStart w:id="1054" w:name="_Toc522527343"/>
      <w:bookmarkStart w:id="1055" w:name="_Toc522628174"/>
      <w:bookmarkStart w:id="1056" w:name="_Toc522628292"/>
      <w:bookmarkStart w:id="1057" w:name="_Toc522628392"/>
      <w:bookmarkStart w:id="1058" w:name="_Toc6472988"/>
      <w:r w:rsidRPr="00CF31E0">
        <w:rPr>
          <w:rFonts w:eastAsia="Calibri"/>
          <w:color w:val="000000" w:themeColor="text1"/>
        </w:rPr>
        <w:t xml:space="preserve">Figure </w:t>
      </w:r>
      <w:r w:rsidR="00F51089" w:rsidRPr="00CF31E0">
        <w:rPr>
          <w:rFonts w:eastAsia="Calibri"/>
          <w:color w:val="000000" w:themeColor="text1"/>
        </w:rPr>
        <w:t>11</w:t>
      </w:r>
      <w:r w:rsidR="00556E8A" w:rsidRPr="00CF31E0">
        <w:rPr>
          <w:rFonts w:eastAsia="Calibri"/>
          <w:color w:val="000000" w:themeColor="text1"/>
        </w:rPr>
        <w:t>.10</w:t>
      </w:r>
      <w:r w:rsidRPr="00CF31E0">
        <w:rPr>
          <w:rFonts w:eastAsia="Calibri"/>
          <w:color w:val="000000" w:themeColor="text1"/>
        </w:rPr>
        <w:t>: Distribution of scores of the observed characteristics for VS2.</w:t>
      </w:r>
      <w:bookmarkEnd w:id="1054"/>
      <w:bookmarkEnd w:id="1055"/>
      <w:bookmarkEnd w:id="1056"/>
      <w:bookmarkEnd w:id="1057"/>
      <w:bookmarkEnd w:id="1058"/>
    </w:p>
    <w:p w14:paraId="3635BA34" w14:textId="6D9E28B8" w:rsidR="000B4835" w:rsidRPr="00CF31E0" w:rsidRDefault="000B4835" w:rsidP="00603CB7">
      <w:pPr>
        <w:pStyle w:val="Paragraph"/>
        <w:rPr>
          <w:lang w:eastAsia="en-US"/>
        </w:rPr>
      </w:pPr>
      <w:r w:rsidRPr="00CF31E0">
        <w:rPr>
          <w:lang w:eastAsia="en-US"/>
        </w:rPr>
        <w:t xml:space="preserve">The results presented in Figure </w:t>
      </w:r>
      <w:r w:rsidR="00F51089" w:rsidRPr="00CF31E0">
        <w:rPr>
          <w:lang w:eastAsia="en-US"/>
        </w:rPr>
        <w:t>11</w:t>
      </w:r>
      <w:r w:rsidR="00556E8A" w:rsidRPr="00CF31E0">
        <w:rPr>
          <w:lang w:eastAsia="en-US"/>
        </w:rPr>
        <w:t xml:space="preserve">.10 </w:t>
      </w:r>
      <w:r w:rsidRPr="00CF31E0">
        <w:rPr>
          <w:lang w:eastAsia="en-US"/>
        </w:rPr>
        <w:t xml:space="preserve">show the same pattern for both social groups regarding the </w:t>
      </w:r>
      <w:r w:rsidRPr="00CF31E0">
        <w:rPr>
          <w:i/>
          <w:iCs/>
          <w:lang w:eastAsia="en-US"/>
        </w:rPr>
        <w:t xml:space="preserve">serious </w:t>
      </w:r>
      <w:r w:rsidRPr="00CF31E0">
        <w:rPr>
          <w:lang w:eastAsia="en-US"/>
        </w:rPr>
        <w:t>and</w:t>
      </w:r>
      <w:r w:rsidRPr="00CF31E0">
        <w:rPr>
          <w:i/>
          <w:iCs/>
          <w:lang w:eastAsia="en-US"/>
        </w:rPr>
        <w:t xml:space="preserve"> similar to other Arabic dialects </w:t>
      </w:r>
      <w:r w:rsidRPr="00CF31E0">
        <w:rPr>
          <w:lang w:eastAsia="en-US"/>
        </w:rPr>
        <w:t>characteristics</w:t>
      </w:r>
      <w:r w:rsidRPr="00CF31E0">
        <w:rPr>
          <w:i/>
          <w:iCs/>
          <w:lang w:eastAsia="en-US"/>
        </w:rPr>
        <w:t xml:space="preserve">. </w:t>
      </w:r>
      <w:r w:rsidRPr="00CF31E0">
        <w:rPr>
          <w:lang w:eastAsia="en-US"/>
        </w:rPr>
        <w:t xml:space="preserve">50% of the ratings were spread between 2 and 4, with a median value of 3. The minimum score was 1 while the maximum was 5. </w:t>
      </w:r>
    </w:p>
    <w:p w14:paraId="46352CC4" w14:textId="5DA3CF6E" w:rsidR="000B4835" w:rsidRPr="00CF31E0" w:rsidRDefault="000B4835" w:rsidP="00603CB7">
      <w:pPr>
        <w:pStyle w:val="Paragraph"/>
        <w:rPr>
          <w:lang w:eastAsia="en-US"/>
        </w:rPr>
      </w:pPr>
      <w:r w:rsidRPr="00CF31E0">
        <w:rPr>
          <w:lang w:eastAsia="en-US"/>
        </w:rPr>
        <w:t xml:space="preserve">The </w:t>
      </w:r>
      <w:r w:rsidR="0059652A" w:rsidRPr="00CF31E0">
        <w:rPr>
          <w:lang w:eastAsia="en-US"/>
        </w:rPr>
        <w:t>UBH</w:t>
      </w:r>
      <w:r w:rsidRPr="00CF31E0">
        <w:rPr>
          <w:lang w:eastAsia="en-US"/>
        </w:rPr>
        <w:t xml:space="preserve"> participants highly rated the voice as traditional; 75% of their rating scores ranged from 3 to 5 and only 25% of the rating scores were placed between 1 and 3. The median value provides further evidence of this distribution pattern; at 4, it is considerably high. The </w:t>
      </w:r>
      <w:r w:rsidR="00FF4DC7" w:rsidRPr="00CF31E0">
        <w:rPr>
          <w:lang w:eastAsia="en-US"/>
        </w:rPr>
        <w:t>HH</w:t>
      </w:r>
      <w:r w:rsidRPr="00CF31E0">
        <w:rPr>
          <w:lang w:eastAsia="en-US"/>
        </w:rPr>
        <w:t xml:space="preserve"> participants perceived the voice as traditional as well, but their rating scores were lower than those of the </w:t>
      </w:r>
      <w:r w:rsidR="0059652A" w:rsidRPr="00CF31E0">
        <w:rPr>
          <w:lang w:eastAsia="en-US"/>
        </w:rPr>
        <w:t>UBH</w:t>
      </w:r>
      <w:r w:rsidRPr="00CF31E0">
        <w:rPr>
          <w:lang w:eastAsia="en-US"/>
        </w:rPr>
        <w:t xml:space="preserve"> participants. 50% of their ratings fell between 3 and </w:t>
      </w:r>
      <w:r w:rsidRPr="00CF31E0">
        <w:rPr>
          <w:lang w:eastAsia="en-US"/>
        </w:rPr>
        <w:lastRenderedPageBreak/>
        <w:t xml:space="preserve">4, with a median value of 3. Furthermore, the lower whisker revealed that 25% of the scores were placed between 2 and 3; in contrast, the upper whisker revealed that the remaining 25% of scores were distributed between 4 and 5. Overall, the voice of the speaker is perceived as </w:t>
      </w:r>
      <w:r w:rsidRPr="00CF31E0">
        <w:rPr>
          <w:i/>
          <w:iCs/>
          <w:lang w:eastAsia="en-US"/>
        </w:rPr>
        <w:t>traditional</w:t>
      </w:r>
      <w:r w:rsidRPr="00CF31E0">
        <w:rPr>
          <w:lang w:eastAsia="en-US"/>
        </w:rPr>
        <w:t xml:space="preserve"> with a marked increase in the </w:t>
      </w:r>
      <w:r w:rsidR="0059652A" w:rsidRPr="00CF31E0">
        <w:rPr>
          <w:lang w:eastAsia="en-US"/>
        </w:rPr>
        <w:t>UBH</w:t>
      </w:r>
      <w:r w:rsidRPr="00CF31E0">
        <w:rPr>
          <w:lang w:eastAsia="en-US"/>
        </w:rPr>
        <w:t xml:space="preserve"> participants’ scores. </w:t>
      </w:r>
    </w:p>
    <w:p w14:paraId="010326CF" w14:textId="296FFE7C" w:rsidR="000B4835" w:rsidRPr="00CF31E0" w:rsidRDefault="000B4835" w:rsidP="00603CB7">
      <w:pPr>
        <w:pStyle w:val="Paragraph"/>
        <w:rPr>
          <w:lang w:eastAsia="en-US"/>
        </w:rPr>
      </w:pPr>
      <w:r w:rsidRPr="00CF31E0">
        <w:rPr>
          <w:lang w:eastAsia="en-US"/>
        </w:rPr>
        <w:t xml:space="preserve">Regarding the distribution of scores for the </w:t>
      </w:r>
      <w:r w:rsidRPr="00CF31E0">
        <w:rPr>
          <w:i/>
          <w:iCs/>
          <w:lang w:eastAsia="en-US"/>
        </w:rPr>
        <w:t xml:space="preserve">modern </w:t>
      </w:r>
      <w:r w:rsidRPr="00CF31E0">
        <w:rPr>
          <w:lang w:eastAsia="en-US"/>
        </w:rPr>
        <w:t xml:space="preserve">characteristic, a similar pattern emerged for participants of both social groups. The </w:t>
      </w:r>
      <w:r w:rsidR="00FF4DC7" w:rsidRPr="00CF31E0">
        <w:rPr>
          <w:lang w:eastAsia="en-US"/>
        </w:rPr>
        <w:t>HH</w:t>
      </w:r>
      <w:r w:rsidRPr="00CF31E0">
        <w:rPr>
          <w:lang w:eastAsia="en-US"/>
        </w:rPr>
        <w:t xml:space="preserve"> participants perceived it as slightly more modern than did the </w:t>
      </w:r>
      <w:r w:rsidR="0059652A" w:rsidRPr="00CF31E0">
        <w:rPr>
          <w:lang w:eastAsia="en-US"/>
        </w:rPr>
        <w:t>UBH</w:t>
      </w:r>
      <w:r w:rsidRPr="00CF31E0">
        <w:rPr>
          <w:lang w:eastAsia="en-US"/>
        </w:rPr>
        <w:t xml:space="preserve"> participants. 50% of ratings from participants of both social groups were between 2 and 3. The only difference was in the median score; results from </w:t>
      </w:r>
      <w:r w:rsidR="0059652A" w:rsidRPr="00CF31E0">
        <w:rPr>
          <w:lang w:eastAsia="en-US"/>
        </w:rPr>
        <w:t>UBH</w:t>
      </w:r>
      <w:r w:rsidRPr="00CF31E0">
        <w:rPr>
          <w:lang w:eastAsia="en-US"/>
        </w:rPr>
        <w:t xml:space="preserve"> participants indicated a mean score of 2.5, while the mean score for </w:t>
      </w:r>
      <w:r w:rsidR="00FF4DC7" w:rsidRPr="00CF31E0">
        <w:rPr>
          <w:lang w:eastAsia="en-US"/>
        </w:rPr>
        <w:t>HH</w:t>
      </w:r>
      <w:r w:rsidRPr="00CF31E0">
        <w:rPr>
          <w:lang w:eastAsia="en-US"/>
        </w:rPr>
        <w:t xml:space="preserve"> participants was 3. In a similar pattern, the distribution of scores for all participants ranged from 1 to 4. The lower whisker contains 25% of scores and ranges from 1 to 2; the upper whisker contains the remaining 25% of data and scores are distributed from 3 to 4. </w:t>
      </w:r>
    </w:p>
    <w:p w14:paraId="7174BA48" w14:textId="2A4DD8CD" w:rsidR="000B4835" w:rsidRPr="00CF31E0" w:rsidRDefault="00F51089" w:rsidP="0041475C">
      <w:pPr>
        <w:pStyle w:val="Bhead"/>
      </w:pPr>
      <w:bookmarkStart w:id="1059" w:name="_Toc6472804"/>
      <w:r w:rsidRPr="00CF31E0">
        <w:t>11</w:t>
      </w:r>
      <w:r w:rsidR="000B4835" w:rsidRPr="00CF31E0">
        <w:t>.3.</w:t>
      </w:r>
      <w:r w:rsidR="0041475C" w:rsidRPr="00CF31E0">
        <w:t>7</w:t>
      </w:r>
      <w:r w:rsidR="000B4835" w:rsidRPr="00CF31E0">
        <w:t>.</w:t>
      </w:r>
      <w:r w:rsidR="003F4912" w:rsidRPr="00CF31E0">
        <w:tab/>
      </w:r>
      <w:r w:rsidR="000B4835" w:rsidRPr="00CF31E0">
        <w:t>Effects of demographic variables on ratings for VS2</w:t>
      </w:r>
      <w:bookmarkEnd w:id="1059"/>
    </w:p>
    <w:p w14:paraId="261B61C1" w14:textId="77777777" w:rsidR="000B4835" w:rsidRPr="00CF31E0" w:rsidRDefault="000B4835" w:rsidP="00603CB7">
      <w:pPr>
        <w:pStyle w:val="Paragraph"/>
        <w:rPr>
          <w:lang w:eastAsia="zh-CN"/>
        </w:rPr>
      </w:pPr>
      <w:r w:rsidRPr="00CF31E0">
        <w:rPr>
          <w:lang w:eastAsia="zh-CN"/>
        </w:rPr>
        <w:t xml:space="preserve">The ANOVA results for VS2 revealed significant results on the </w:t>
      </w:r>
      <w:r w:rsidRPr="00CF31E0">
        <w:rPr>
          <w:i/>
          <w:iCs/>
          <w:lang w:eastAsia="zh-CN"/>
        </w:rPr>
        <w:t>traditional</w:t>
      </w:r>
      <w:r w:rsidRPr="00CF31E0">
        <w:rPr>
          <w:lang w:eastAsia="zh-CN"/>
        </w:rPr>
        <w:t xml:space="preserve"> and </w:t>
      </w:r>
      <w:r w:rsidRPr="00CF31E0">
        <w:rPr>
          <w:i/>
          <w:iCs/>
          <w:lang w:eastAsia="zh-CN"/>
        </w:rPr>
        <w:t>modern</w:t>
      </w:r>
      <w:r w:rsidRPr="00CF31E0">
        <w:rPr>
          <w:lang w:eastAsia="zh-CN"/>
        </w:rPr>
        <w:t xml:space="preserve"> scales across demographic variables. I will begin by presenting the </w:t>
      </w:r>
      <w:r w:rsidRPr="00CF31E0">
        <w:rPr>
          <w:i/>
          <w:iCs/>
          <w:lang w:eastAsia="zh-CN"/>
        </w:rPr>
        <w:t>traditional</w:t>
      </w:r>
      <w:r w:rsidRPr="00CF31E0">
        <w:rPr>
          <w:lang w:eastAsia="zh-CN"/>
        </w:rPr>
        <w:t xml:space="preserve"> scale results followed by the results for the modern scale. </w:t>
      </w:r>
    </w:p>
    <w:p w14:paraId="2CF4A51C" w14:textId="47D3A062" w:rsidR="000B4835" w:rsidRPr="00CF31E0" w:rsidRDefault="00F51089" w:rsidP="0041475C">
      <w:pPr>
        <w:pStyle w:val="Chead"/>
      </w:pPr>
      <w:bookmarkStart w:id="1060" w:name="_Toc6472805"/>
      <w:r w:rsidRPr="00CF31E0">
        <w:t>11</w:t>
      </w:r>
      <w:r w:rsidR="000B4835" w:rsidRPr="00CF31E0">
        <w:t>.3.</w:t>
      </w:r>
      <w:r w:rsidR="0041475C" w:rsidRPr="00CF31E0">
        <w:t>7</w:t>
      </w:r>
      <w:r w:rsidR="000B4835" w:rsidRPr="00CF31E0">
        <w:t>.1.</w:t>
      </w:r>
      <w:r w:rsidR="003F4912" w:rsidRPr="00CF31E0">
        <w:tab/>
      </w:r>
      <w:r w:rsidR="000B4835" w:rsidRPr="00CF31E0">
        <w:t>Traditional scale</w:t>
      </w:r>
      <w:bookmarkEnd w:id="1060"/>
      <w:r w:rsidR="000B4835" w:rsidRPr="00CF31E0">
        <w:t xml:space="preserve"> </w:t>
      </w:r>
    </w:p>
    <w:p w14:paraId="634DEDE9" w14:textId="6575FA45" w:rsidR="003E652D" w:rsidRPr="00CF31E0" w:rsidRDefault="000B4835" w:rsidP="00603CB7">
      <w:pPr>
        <w:pStyle w:val="Paragraph"/>
        <w:rPr>
          <w:lang w:val="en-US" w:eastAsia="en-US"/>
        </w:rPr>
      </w:pPr>
      <w:r w:rsidRPr="00CF31E0">
        <w:rPr>
          <w:lang w:eastAsia="en-US"/>
        </w:rPr>
        <w:t xml:space="preserve">The ANOVA results for the </w:t>
      </w:r>
      <w:r w:rsidRPr="00CF31E0">
        <w:rPr>
          <w:i/>
          <w:iCs/>
          <w:lang w:eastAsia="en-US"/>
        </w:rPr>
        <w:t>traditional</w:t>
      </w:r>
      <w:r w:rsidRPr="00CF31E0">
        <w:rPr>
          <w:lang w:eastAsia="en-US"/>
        </w:rPr>
        <w:t xml:space="preserve"> scale revealed that the following demographic variables affected the scale scores: gender, social group, and mother’s social group. </w:t>
      </w:r>
      <w:r w:rsidR="003E652D" w:rsidRPr="00CF31E0">
        <w:rPr>
          <w:lang w:val="en-US" w:eastAsia="en-US"/>
        </w:rPr>
        <w:t xml:space="preserve">See </w:t>
      </w:r>
      <w:r w:rsidR="003423CA" w:rsidRPr="00CF31E0">
        <w:rPr>
          <w:lang w:val="en-US" w:eastAsia="en-US"/>
        </w:rPr>
        <w:t xml:space="preserve">Tables </w:t>
      </w:r>
      <w:r w:rsidR="00F51089" w:rsidRPr="00CF31E0">
        <w:rPr>
          <w:lang w:val="en-US" w:eastAsia="en-US"/>
        </w:rPr>
        <w:t>11</w:t>
      </w:r>
      <w:r w:rsidR="003E652D" w:rsidRPr="00CF31E0">
        <w:rPr>
          <w:lang w:val="en-US" w:eastAsia="en-US"/>
        </w:rPr>
        <w:t>.</w:t>
      </w:r>
      <w:r w:rsidR="00F51089" w:rsidRPr="00CF31E0">
        <w:rPr>
          <w:lang w:val="en-US" w:eastAsia="en-US"/>
        </w:rPr>
        <w:t xml:space="preserve">64 </w:t>
      </w:r>
      <w:r w:rsidR="003E652D" w:rsidRPr="00CF31E0">
        <w:rPr>
          <w:lang w:val="en-US" w:eastAsia="en-US"/>
        </w:rPr>
        <w:t xml:space="preserve">and </w:t>
      </w:r>
      <w:r w:rsidR="00F51089" w:rsidRPr="00CF31E0">
        <w:rPr>
          <w:lang w:val="en-US" w:eastAsia="en-US"/>
        </w:rPr>
        <w:t>11</w:t>
      </w:r>
      <w:r w:rsidR="003E652D" w:rsidRPr="00CF31E0">
        <w:rPr>
          <w:lang w:val="en-US" w:eastAsia="en-US"/>
        </w:rPr>
        <w:t>.</w:t>
      </w:r>
      <w:r w:rsidR="00F51089" w:rsidRPr="00CF31E0">
        <w:rPr>
          <w:lang w:val="en-US" w:eastAsia="en-US"/>
        </w:rPr>
        <w:t>65</w:t>
      </w:r>
      <w:r w:rsidR="003E652D" w:rsidRPr="00CF31E0">
        <w:rPr>
          <w:lang w:val="en-US" w:eastAsia="en-US"/>
        </w:rPr>
        <w:t xml:space="preserve"> for gender results </w:t>
      </w:r>
      <w:r w:rsidR="003423CA" w:rsidRPr="00CF31E0">
        <w:rPr>
          <w:lang w:val="en-US" w:eastAsia="en-US"/>
        </w:rPr>
        <w:t>from</w:t>
      </w:r>
      <w:r w:rsidR="003E652D" w:rsidRPr="00CF31E0">
        <w:rPr>
          <w:lang w:val="en-US" w:eastAsia="en-US"/>
        </w:rPr>
        <w:t xml:space="preserve"> the data.</w:t>
      </w:r>
    </w:p>
    <w:tbl>
      <w:tblPr>
        <w:tblW w:w="7227" w:type="dxa"/>
        <w:tblInd w:w="-20" w:type="dxa"/>
        <w:tblBorders>
          <w:top w:val="single" w:sz="4" w:space="0" w:color="000000"/>
          <w:bottom w:val="single" w:sz="4" w:space="0" w:color="000000"/>
        </w:tblBorders>
        <w:tblLayout w:type="fixed"/>
        <w:tblCellMar>
          <w:left w:w="0" w:type="dxa"/>
          <w:right w:w="0" w:type="dxa"/>
        </w:tblCellMar>
        <w:tblLook w:val="0000" w:firstRow="0" w:lastRow="0" w:firstColumn="0" w:lastColumn="0" w:noHBand="0" w:noVBand="0"/>
      </w:tblPr>
      <w:tblGrid>
        <w:gridCol w:w="1975"/>
        <w:gridCol w:w="1918"/>
        <w:gridCol w:w="929"/>
        <w:gridCol w:w="1641"/>
        <w:gridCol w:w="764"/>
      </w:tblGrid>
      <w:tr w:rsidR="00B11B94" w:rsidRPr="00CF31E0" w14:paraId="207C9367" w14:textId="77777777" w:rsidTr="00B11B94">
        <w:trPr>
          <w:cantSplit/>
          <w:trHeight w:val="617"/>
        </w:trPr>
        <w:tc>
          <w:tcPr>
            <w:tcW w:w="1975" w:type="dxa"/>
            <w:tcBorders>
              <w:top w:val="single" w:sz="4" w:space="0" w:color="000000"/>
              <w:bottom w:val="single" w:sz="4" w:space="0" w:color="000000"/>
            </w:tcBorders>
            <w:shd w:val="clear" w:color="auto" w:fill="FFFFFF"/>
            <w:vAlign w:val="bottom"/>
          </w:tcPr>
          <w:p w14:paraId="51921B55"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Gender</w:t>
            </w:r>
          </w:p>
        </w:tc>
        <w:tc>
          <w:tcPr>
            <w:tcW w:w="1918" w:type="dxa"/>
            <w:tcBorders>
              <w:top w:val="single" w:sz="4" w:space="0" w:color="000000"/>
              <w:bottom w:val="single" w:sz="4" w:space="0" w:color="000000"/>
            </w:tcBorders>
            <w:shd w:val="clear" w:color="auto" w:fill="FFFFFF"/>
            <w:vAlign w:val="bottom"/>
          </w:tcPr>
          <w:p w14:paraId="6D2F6770"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929" w:type="dxa"/>
            <w:tcBorders>
              <w:top w:val="single" w:sz="4" w:space="0" w:color="000000"/>
              <w:bottom w:val="single" w:sz="4" w:space="0" w:color="000000"/>
            </w:tcBorders>
            <w:shd w:val="clear" w:color="auto" w:fill="FFFFFF"/>
            <w:vAlign w:val="bottom"/>
          </w:tcPr>
          <w:p w14:paraId="4EA0328A"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641" w:type="dxa"/>
            <w:tcBorders>
              <w:top w:val="single" w:sz="4" w:space="0" w:color="000000"/>
              <w:bottom w:val="single" w:sz="4" w:space="0" w:color="000000"/>
            </w:tcBorders>
            <w:shd w:val="clear" w:color="auto" w:fill="FFFFFF"/>
            <w:vAlign w:val="bottom"/>
          </w:tcPr>
          <w:p w14:paraId="72BFC5E6"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764" w:type="dxa"/>
            <w:tcBorders>
              <w:top w:val="single" w:sz="4" w:space="0" w:color="000000"/>
              <w:bottom w:val="single" w:sz="4" w:space="0" w:color="000000"/>
            </w:tcBorders>
            <w:shd w:val="clear" w:color="auto" w:fill="FFFFFF"/>
            <w:vAlign w:val="bottom"/>
          </w:tcPr>
          <w:p w14:paraId="2FAD254C"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B11B94" w:rsidRPr="00CF31E0" w14:paraId="49652099" w14:textId="77777777" w:rsidTr="00B11B94">
        <w:trPr>
          <w:cantSplit/>
          <w:trHeight w:val="607"/>
        </w:trPr>
        <w:tc>
          <w:tcPr>
            <w:tcW w:w="1975" w:type="dxa"/>
            <w:tcBorders>
              <w:top w:val="single" w:sz="4" w:space="0" w:color="000000"/>
              <w:bottom w:val="nil"/>
            </w:tcBorders>
            <w:shd w:val="clear" w:color="auto" w:fill="FFFFFF"/>
          </w:tcPr>
          <w:p w14:paraId="662F9222"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918" w:type="dxa"/>
            <w:tcBorders>
              <w:top w:val="single" w:sz="4" w:space="0" w:color="000000"/>
              <w:bottom w:val="nil"/>
            </w:tcBorders>
            <w:shd w:val="clear" w:color="auto" w:fill="FFFFFF"/>
            <w:vAlign w:val="center"/>
          </w:tcPr>
          <w:p w14:paraId="4A0619A3"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7.354</w:t>
            </w:r>
          </w:p>
        </w:tc>
        <w:tc>
          <w:tcPr>
            <w:tcW w:w="929" w:type="dxa"/>
            <w:tcBorders>
              <w:top w:val="single" w:sz="4" w:space="0" w:color="000000"/>
              <w:bottom w:val="nil"/>
            </w:tcBorders>
            <w:shd w:val="clear" w:color="auto" w:fill="FFFFFF"/>
            <w:vAlign w:val="center"/>
          </w:tcPr>
          <w:p w14:paraId="671262A5"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w:t>
            </w:r>
          </w:p>
        </w:tc>
        <w:tc>
          <w:tcPr>
            <w:tcW w:w="1641" w:type="dxa"/>
            <w:tcBorders>
              <w:top w:val="single" w:sz="4" w:space="0" w:color="000000"/>
              <w:bottom w:val="nil"/>
            </w:tcBorders>
            <w:shd w:val="clear" w:color="auto" w:fill="FFFFFF"/>
            <w:vAlign w:val="center"/>
          </w:tcPr>
          <w:p w14:paraId="475F4B61"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7.354</w:t>
            </w:r>
          </w:p>
        </w:tc>
        <w:tc>
          <w:tcPr>
            <w:tcW w:w="764" w:type="dxa"/>
            <w:tcBorders>
              <w:top w:val="single" w:sz="4" w:space="0" w:color="000000"/>
              <w:bottom w:val="nil"/>
            </w:tcBorders>
            <w:shd w:val="clear" w:color="auto" w:fill="FFFFFF"/>
            <w:vAlign w:val="center"/>
          </w:tcPr>
          <w:p w14:paraId="5B3989B7"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.016</w:t>
            </w:r>
          </w:p>
        </w:tc>
      </w:tr>
      <w:tr w:rsidR="00B11B94" w:rsidRPr="00CF31E0" w14:paraId="1E1C3F4C" w14:textId="77777777" w:rsidTr="00B11B94">
        <w:trPr>
          <w:cantSplit/>
          <w:trHeight w:val="617"/>
        </w:trPr>
        <w:tc>
          <w:tcPr>
            <w:tcW w:w="1975" w:type="dxa"/>
            <w:tcBorders>
              <w:top w:val="nil"/>
            </w:tcBorders>
            <w:shd w:val="clear" w:color="auto" w:fill="FFFFFF"/>
          </w:tcPr>
          <w:p w14:paraId="47A075BB"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918" w:type="dxa"/>
            <w:tcBorders>
              <w:top w:val="nil"/>
            </w:tcBorders>
            <w:shd w:val="clear" w:color="auto" w:fill="FFFFFF"/>
            <w:vAlign w:val="center"/>
          </w:tcPr>
          <w:p w14:paraId="71D17334"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819.894</w:t>
            </w:r>
          </w:p>
        </w:tc>
        <w:tc>
          <w:tcPr>
            <w:tcW w:w="929" w:type="dxa"/>
            <w:tcBorders>
              <w:top w:val="nil"/>
            </w:tcBorders>
            <w:shd w:val="clear" w:color="auto" w:fill="FFFFFF"/>
            <w:vAlign w:val="center"/>
          </w:tcPr>
          <w:p w14:paraId="0B3D7DCA"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648</w:t>
            </w:r>
          </w:p>
        </w:tc>
        <w:tc>
          <w:tcPr>
            <w:tcW w:w="1641" w:type="dxa"/>
            <w:tcBorders>
              <w:top w:val="nil"/>
            </w:tcBorders>
            <w:shd w:val="clear" w:color="auto" w:fill="FFFFFF"/>
            <w:vAlign w:val="center"/>
          </w:tcPr>
          <w:p w14:paraId="510F7770"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1.267</w:t>
            </w:r>
          </w:p>
        </w:tc>
        <w:tc>
          <w:tcPr>
            <w:tcW w:w="764" w:type="dxa"/>
            <w:tcBorders>
              <w:top w:val="nil"/>
            </w:tcBorders>
            <w:shd w:val="clear" w:color="auto" w:fill="FFFFFF"/>
            <w:vAlign w:val="center"/>
          </w:tcPr>
          <w:p w14:paraId="3482EF1F" w14:textId="77777777" w:rsidR="00B11B94" w:rsidRPr="00CF31E0" w:rsidRDefault="00B11B94" w:rsidP="000B4835">
            <w:pPr>
              <w:spacing w:before="120" w:after="120" w:line="360" w:lineRule="auto"/>
              <w:rPr>
                <w:rFonts w:eastAsia="Calibri" w:cs="Arial"/>
                <w:color w:val="000000" w:themeColor="text1"/>
                <w:sz w:val="22"/>
                <w:szCs w:val="22"/>
                <w:lang w:eastAsia="en-US"/>
              </w:rPr>
            </w:pPr>
          </w:p>
        </w:tc>
      </w:tr>
      <w:tr w:rsidR="00B11B94" w:rsidRPr="00CF31E0" w14:paraId="2E3A63D7" w14:textId="77777777" w:rsidTr="00B11B94">
        <w:trPr>
          <w:cantSplit/>
          <w:trHeight w:val="617"/>
        </w:trPr>
        <w:tc>
          <w:tcPr>
            <w:tcW w:w="1975" w:type="dxa"/>
            <w:shd w:val="clear" w:color="auto" w:fill="FFFFFF"/>
          </w:tcPr>
          <w:p w14:paraId="3CB50194"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Total</w:t>
            </w:r>
          </w:p>
        </w:tc>
        <w:tc>
          <w:tcPr>
            <w:tcW w:w="1918" w:type="dxa"/>
            <w:shd w:val="clear" w:color="auto" w:fill="FFFFFF"/>
            <w:vAlign w:val="center"/>
          </w:tcPr>
          <w:p w14:paraId="070A62BC"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827.248</w:t>
            </w:r>
          </w:p>
        </w:tc>
        <w:tc>
          <w:tcPr>
            <w:tcW w:w="929" w:type="dxa"/>
            <w:shd w:val="clear" w:color="auto" w:fill="FFFFFF"/>
            <w:vAlign w:val="center"/>
          </w:tcPr>
          <w:p w14:paraId="347A8337"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649</w:t>
            </w:r>
          </w:p>
        </w:tc>
        <w:tc>
          <w:tcPr>
            <w:tcW w:w="1641" w:type="dxa"/>
            <w:shd w:val="clear" w:color="auto" w:fill="FFFFFF"/>
            <w:vAlign w:val="center"/>
          </w:tcPr>
          <w:p w14:paraId="5B08A24E" w14:textId="77777777" w:rsidR="00B11B94" w:rsidRPr="00CF31E0" w:rsidRDefault="00B11B94" w:rsidP="000B4835">
            <w:pPr>
              <w:spacing w:before="120" w:after="120" w:line="360" w:lineRule="auto"/>
              <w:rPr>
                <w:rFonts w:eastAsia="Calibri" w:cs="Arial"/>
                <w:color w:val="000000" w:themeColor="text1"/>
                <w:sz w:val="22"/>
                <w:szCs w:val="22"/>
                <w:lang w:eastAsia="en-US"/>
              </w:rPr>
            </w:pPr>
          </w:p>
        </w:tc>
        <w:tc>
          <w:tcPr>
            <w:tcW w:w="764" w:type="dxa"/>
            <w:shd w:val="clear" w:color="auto" w:fill="FFFFFF"/>
            <w:vAlign w:val="center"/>
          </w:tcPr>
          <w:p w14:paraId="5175C604" w14:textId="77777777" w:rsidR="00B11B94" w:rsidRPr="00CF31E0" w:rsidRDefault="00B11B94" w:rsidP="000B4835">
            <w:pPr>
              <w:spacing w:before="120" w:after="120" w:line="360" w:lineRule="auto"/>
              <w:rPr>
                <w:rFonts w:eastAsia="Calibri" w:cs="Arial"/>
                <w:color w:val="000000" w:themeColor="text1"/>
                <w:sz w:val="22"/>
                <w:szCs w:val="22"/>
                <w:lang w:eastAsia="en-US"/>
              </w:rPr>
            </w:pPr>
          </w:p>
        </w:tc>
      </w:tr>
    </w:tbl>
    <w:p w14:paraId="3D17F25F" w14:textId="0E488D91" w:rsidR="00077D8C" w:rsidRPr="00CF31E0" w:rsidRDefault="000B4835" w:rsidP="001253B8">
      <w:pPr>
        <w:pStyle w:val="Tablecaption"/>
        <w:spacing w:after="400"/>
        <w:rPr>
          <w:lang w:eastAsia="en-US"/>
        </w:rPr>
      </w:pPr>
      <w:bookmarkStart w:id="1061" w:name="_Toc522527527"/>
      <w:bookmarkStart w:id="1062" w:name="_Toc522628940"/>
      <w:bookmarkStart w:id="1063" w:name="_Toc522629104"/>
      <w:bookmarkStart w:id="1064" w:name="_Toc6473202"/>
      <w:r w:rsidRPr="00CF31E0">
        <w:rPr>
          <w:lang w:eastAsia="en-US"/>
        </w:rPr>
        <w:t xml:space="preserve">Table </w:t>
      </w:r>
      <w:r w:rsidR="00F51089" w:rsidRPr="00CF31E0">
        <w:rPr>
          <w:lang w:eastAsia="en-US"/>
        </w:rPr>
        <w:t>11</w:t>
      </w:r>
      <w:r w:rsidR="005A16AC" w:rsidRPr="00CF31E0">
        <w:rPr>
          <w:lang w:eastAsia="en-US"/>
        </w:rPr>
        <w:t>.</w:t>
      </w:r>
      <w:r w:rsidR="00F51089" w:rsidRPr="00CF31E0">
        <w:rPr>
          <w:lang w:eastAsia="en-US"/>
        </w:rPr>
        <w:t>64</w:t>
      </w:r>
      <w:r w:rsidRPr="00CF31E0">
        <w:rPr>
          <w:lang w:eastAsia="en-US"/>
        </w:rPr>
        <w:t>: ANOVA statistics for gender demographic variable.</w:t>
      </w:r>
      <w:bookmarkEnd w:id="1061"/>
      <w:bookmarkEnd w:id="1062"/>
      <w:bookmarkEnd w:id="1063"/>
      <w:bookmarkEnd w:id="1064"/>
    </w:p>
    <w:tbl>
      <w:tblPr>
        <w:tblW w:w="7381" w:type="dxa"/>
        <w:tblInd w:w="-10" w:type="dxa"/>
        <w:tblBorders>
          <w:top w:val="single" w:sz="4" w:space="0" w:color="000000"/>
          <w:bottom w:val="single" w:sz="4" w:space="0" w:color="000000"/>
        </w:tblBorders>
        <w:tblLayout w:type="fixed"/>
        <w:tblCellMar>
          <w:left w:w="0" w:type="dxa"/>
          <w:right w:w="0" w:type="dxa"/>
        </w:tblCellMar>
        <w:tblLook w:val="0000" w:firstRow="0" w:lastRow="0" w:firstColumn="0" w:lastColumn="0" w:noHBand="0" w:noVBand="0"/>
      </w:tblPr>
      <w:tblGrid>
        <w:gridCol w:w="1369"/>
        <w:gridCol w:w="2044"/>
        <w:gridCol w:w="1999"/>
        <w:gridCol w:w="1091"/>
        <w:gridCol w:w="878"/>
      </w:tblGrid>
      <w:tr w:rsidR="007F558A" w:rsidRPr="00CF31E0" w14:paraId="6A8F11EB" w14:textId="77777777" w:rsidTr="00603CB7">
        <w:trPr>
          <w:cantSplit/>
        </w:trPr>
        <w:tc>
          <w:tcPr>
            <w:tcW w:w="1369" w:type="dxa"/>
            <w:tcBorders>
              <w:top w:val="single" w:sz="4" w:space="0" w:color="000000"/>
              <w:bottom w:val="single" w:sz="4" w:space="0" w:color="000000"/>
            </w:tcBorders>
          </w:tcPr>
          <w:p w14:paraId="135F847A" w14:textId="77777777" w:rsidR="000B4835" w:rsidRPr="00CF31E0" w:rsidRDefault="000B4835" w:rsidP="000B4835">
            <w:pPr>
              <w:spacing w:before="120" w:after="120" w:line="360" w:lineRule="auto"/>
              <w:rPr>
                <w:rFonts w:eastAsia="Calibri"/>
                <w:color w:val="000000" w:themeColor="text1"/>
                <w:sz w:val="22"/>
                <w:szCs w:val="22"/>
                <w:lang w:eastAsia="en-US"/>
              </w:rPr>
            </w:pPr>
          </w:p>
        </w:tc>
        <w:tc>
          <w:tcPr>
            <w:tcW w:w="4043" w:type="dxa"/>
            <w:gridSpan w:val="2"/>
            <w:tcBorders>
              <w:top w:val="single" w:sz="4" w:space="0" w:color="000000"/>
              <w:bottom w:val="single" w:sz="4" w:space="0" w:color="000000"/>
            </w:tcBorders>
            <w:shd w:val="clear" w:color="auto" w:fill="FFFFFF"/>
            <w:vAlign w:val="bottom"/>
          </w:tcPr>
          <w:p w14:paraId="5269FE55"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Gender</w:t>
            </w:r>
          </w:p>
        </w:tc>
        <w:tc>
          <w:tcPr>
            <w:tcW w:w="1091" w:type="dxa"/>
            <w:tcBorders>
              <w:top w:val="single" w:sz="4" w:space="0" w:color="000000"/>
              <w:bottom w:val="single" w:sz="4" w:space="0" w:color="000000"/>
            </w:tcBorders>
            <w:shd w:val="clear" w:color="auto" w:fill="FFFFFF"/>
            <w:vAlign w:val="bottom"/>
          </w:tcPr>
          <w:p w14:paraId="474EDDB1"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Statistic</w:t>
            </w:r>
          </w:p>
        </w:tc>
        <w:tc>
          <w:tcPr>
            <w:tcW w:w="878" w:type="dxa"/>
            <w:tcBorders>
              <w:top w:val="single" w:sz="4" w:space="0" w:color="000000"/>
              <w:bottom w:val="single" w:sz="4" w:space="0" w:color="000000"/>
            </w:tcBorders>
            <w:shd w:val="clear" w:color="auto" w:fill="FFFFFF"/>
            <w:vAlign w:val="bottom"/>
          </w:tcPr>
          <w:p w14:paraId="379BAED6"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Std. Error</w:t>
            </w:r>
          </w:p>
        </w:tc>
      </w:tr>
      <w:tr w:rsidR="007F558A" w:rsidRPr="00CF31E0" w14:paraId="118E7F85" w14:textId="77777777" w:rsidTr="00603CB7">
        <w:trPr>
          <w:cantSplit/>
        </w:trPr>
        <w:tc>
          <w:tcPr>
            <w:tcW w:w="1369" w:type="dxa"/>
            <w:vMerge w:val="restart"/>
            <w:tcBorders>
              <w:top w:val="single" w:sz="4" w:space="0" w:color="000000"/>
              <w:bottom w:val="nil"/>
            </w:tcBorders>
            <w:shd w:val="clear" w:color="auto" w:fill="FFFFFF"/>
          </w:tcPr>
          <w:p w14:paraId="0DAF5DD5"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Traditional</w:t>
            </w:r>
          </w:p>
        </w:tc>
        <w:tc>
          <w:tcPr>
            <w:tcW w:w="2044" w:type="dxa"/>
            <w:tcBorders>
              <w:top w:val="single" w:sz="4" w:space="0" w:color="000000"/>
              <w:bottom w:val="nil"/>
            </w:tcBorders>
            <w:shd w:val="clear" w:color="auto" w:fill="FFFFFF"/>
          </w:tcPr>
          <w:p w14:paraId="1BAF78B7"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 xml:space="preserve">Male </w:t>
            </w:r>
          </w:p>
        </w:tc>
        <w:tc>
          <w:tcPr>
            <w:tcW w:w="1999" w:type="dxa"/>
            <w:tcBorders>
              <w:top w:val="single" w:sz="4" w:space="0" w:color="000000"/>
              <w:bottom w:val="nil"/>
            </w:tcBorders>
            <w:shd w:val="clear" w:color="auto" w:fill="FFFFFF"/>
          </w:tcPr>
          <w:p w14:paraId="35B6D122"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Mean</w:t>
            </w:r>
          </w:p>
        </w:tc>
        <w:tc>
          <w:tcPr>
            <w:tcW w:w="1091" w:type="dxa"/>
            <w:tcBorders>
              <w:top w:val="single" w:sz="4" w:space="0" w:color="000000"/>
              <w:bottom w:val="nil"/>
            </w:tcBorders>
            <w:shd w:val="clear" w:color="auto" w:fill="FFFFFF"/>
            <w:vAlign w:val="center"/>
          </w:tcPr>
          <w:p w14:paraId="4181D839"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3.3370</w:t>
            </w:r>
          </w:p>
        </w:tc>
        <w:tc>
          <w:tcPr>
            <w:tcW w:w="878" w:type="dxa"/>
            <w:tcBorders>
              <w:top w:val="single" w:sz="4" w:space="0" w:color="000000"/>
              <w:bottom w:val="nil"/>
            </w:tcBorders>
            <w:shd w:val="clear" w:color="auto" w:fill="FFFFFF"/>
            <w:vAlign w:val="center"/>
          </w:tcPr>
          <w:p w14:paraId="2D50D880"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.06304</w:t>
            </w:r>
          </w:p>
        </w:tc>
      </w:tr>
      <w:tr w:rsidR="007F558A" w:rsidRPr="00CF31E0" w14:paraId="6252FF0A" w14:textId="77777777" w:rsidTr="00603CB7">
        <w:trPr>
          <w:cantSplit/>
        </w:trPr>
        <w:tc>
          <w:tcPr>
            <w:tcW w:w="1369" w:type="dxa"/>
            <w:vMerge/>
            <w:shd w:val="clear" w:color="auto" w:fill="FFFFFF"/>
          </w:tcPr>
          <w:p w14:paraId="22BEBCB4" w14:textId="77777777" w:rsidR="000B4835" w:rsidRPr="00CF31E0" w:rsidRDefault="000B4835" w:rsidP="000B4835">
            <w:pPr>
              <w:spacing w:before="120" w:after="120" w:line="360" w:lineRule="auto"/>
              <w:rPr>
                <w:rFonts w:eastAsia="Calibri"/>
                <w:color w:val="000000" w:themeColor="text1"/>
                <w:sz w:val="22"/>
                <w:szCs w:val="22"/>
                <w:lang w:eastAsia="en-US"/>
              </w:rPr>
            </w:pPr>
          </w:p>
        </w:tc>
        <w:tc>
          <w:tcPr>
            <w:tcW w:w="2044" w:type="dxa"/>
            <w:shd w:val="clear" w:color="auto" w:fill="FFFFFF"/>
          </w:tcPr>
          <w:p w14:paraId="0A59FF64"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 xml:space="preserve">Female </w:t>
            </w:r>
          </w:p>
        </w:tc>
        <w:tc>
          <w:tcPr>
            <w:tcW w:w="1999" w:type="dxa"/>
            <w:shd w:val="clear" w:color="auto" w:fill="FFFFFF"/>
          </w:tcPr>
          <w:p w14:paraId="39A74312"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Mean</w:t>
            </w:r>
          </w:p>
        </w:tc>
        <w:tc>
          <w:tcPr>
            <w:tcW w:w="1091" w:type="dxa"/>
            <w:shd w:val="clear" w:color="auto" w:fill="FFFFFF"/>
            <w:vAlign w:val="center"/>
          </w:tcPr>
          <w:p w14:paraId="60C4D5AA"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3.5523</w:t>
            </w:r>
          </w:p>
        </w:tc>
        <w:tc>
          <w:tcPr>
            <w:tcW w:w="878" w:type="dxa"/>
            <w:shd w:val="clear" w:color="auto" w:fill="FFFFFF"/>
            <w:vAlign w:val="center"/>
          </w:tcPr>
          <w:p w14:paraId="7A45C993"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.06111</w:t>
            </w:r>
          </w:p>
        </w:tc>
      </w:tr>
    </w:tbl>
    <w:p w14:paraId="250F1F64" w14:textId="52BA11EE" w:rsidR="000B4835" w:rsidRPr="00CF31E0" w:rsidRDefault="000B4835" w:rsidP="00F51089">
      <w:pPr>
        <w:pStyle w:val="Tablecaption"/>
        <w:rPr>
          <w:lang w:eastAsia="en-US"/>
        </w:rPr>
      </w:pPr>
      <w:bookmarkStart w:id="1065" w:name="_Toc522527528"/>
      <w:bookmarkStart w:id="1066" w:name="_Toc522628941"/>
      <w:bookmarkStart w:id="1067" w:name="_Toc522629105"/>
      <w:bookmarkStart w:id="1068" w:name="_Toc6473203"/>
      <w:r w:rsidRPr="00CF31E0">
        <w:rPr>
          <w:lang w:eastAsia="en-US"/>
        </w:rPr>
        <w:t xml:space="preserve">Table </w:t>
      </w:r>
      <w:r w:rsidR="00F51089" w:rsidRPr="00CF31E0">
        <w:rPr>
          <w:lang w:eastAsia="en-US"/>
        </w:rPr>
        <w:t>11</w:t>
      </w:r>
      <w:r w:rsidR="005A16AC" w:rsidRPr="00CF31E0">
        <w:rPr>
          <w:lang w:eastAsia="en-US"/>
        </w:rPr>
        <w:t>.</w:t>
      </w:r>
      <w:r w:rsidR="00F51089" w:rsidRPr="00CF31E0">
        <w:rPr>
          <w:lang w:eastAsia="en-US"/>
        </w:rPr>
        <w:t>65</w:t>
      </w:r>
      <w:r w:rsidRPr="00CF31E0">
        <w:rPr>
          <w:lang w:eastAsia="en-US"/>
        </w:rPr>
        <w:t>: Descriptive statistics</w:t>
      </w:r>
      <w:r w:rsidR="00BA47B6">
        <w:rPr>
          <w:lang w:eastAsia="en-US"/>
        </w:rPr>
        <w:t xml:space="preserve"> for gender demographic variable</w:t>
      </w:r>
      <w:r w:rsidRPr="00CF31E0">
        <w:rPr>
          <w:lang w:eastAsia="en-US"/>
        </w:rPr>
        <w:t>.</w:t>
      </w:r>
      <w:bookmarkEnd w:id="1065"/>
      <w:bookmarkEnd w:id="1066"/>
      <w:bookmarkEnd w:id="1067"/>
      <w:bookmarkEnd w:id="1068"/>
      <w:r w:rsidRPr="00CF31E0">
        <w:rPr>
          <w:lang w:eastAsia="en-US"/>
        </w:rPr>
        <w:t xml:space="preserve"> </w:t>
      </w:r>
    </w:p>
    <w:p w14:paraId="18DBC5A6" w14:textId="02211C6D" w:rsidR="004E0035" w:rsidRPr="00CF31E0" w:rsidRDefault="000B4835" w:rsidP="00603CB7">
      <w:pPr>
        <w:pStyle w:val="Paragraph"/>
        <w:rPr>
          <w:rFonts w:cs="Arial"/>
          <w:lang w:val="en-US" w:eastAsia="en-US"/>
        </w:rPr>
      </w:pPr>
      <w:r w:rsidRPr="00CF31E0">
        <w:rPr>
          <w:lang w:eastAsia="en-US"/>
        </w:rPr>
        <w:t xml:space="preserve">Table </w:t>
      </w:r>
      <w:r w:rsidR="00F51089" w:rsidRPr="00CF31E0">
        <w:rPr>
          <w:lang w:eastAsia="en-US"/>
        </w:rPr>
        <w:t>11</w:t>
      </w:r>
      <w:r w:rsidR="005A16AC" w:rsidRPr="00CF31E0">
        <w:rPr>
          <w:lang w:eastAsia="en-US"/>
        </w:rPr>
        <w:t>.</w:t>
      </w:r>
      <w:r w:rsidR="00F51089" w:rsidRPr="00CF31E0">
        <w:rPr>
          <w:lang w:eastAsia="en-US"/>
        </w:rPr>
        <w:t xml:space="preserve">64 </w:t>
      </w:r>
      <w:r w:rsidRPr="00CF31E0">
        <w:rPr>
          <w:lang w:eastAsia="en-US"/>
        </w:rPr>
        <w:t xml:space="preserve">shows that the perceptions of gender groups towards the </w:t>
      </w:r>
      <w:r w:rsidRPr="00CF31E0">
        <w:rPr>
          <w:i/>
          <w:iCs/>
          <w:lang w:eastAsia="en-US"/>
        </w:rPr>
        <w:t>traditional</w:t>
      </w:r>
      <w:r w:rsidRPr="00CF31E0">
        <w:rPr>
          <w:lang w:eastAsia="en-US"/>
        </w:rPr>
        <w:t xml:space="preserve"> characteristic of the voice sample differed from each other significantly, with a p value of .01. Table </w:t>
      </w:r>
      <w:r w:rsidR="00F51089" w:rsidRPr="00CF31E0">
        <w:rPr>
          <w:lang w:eastAsia="en-US"/>
        </w:rPr>
        <w:t>11</w:t>
      </w:r>
      <w:r w:rsidR="005A16AC" w:rsidRPr="00CF31E0">
        <w:rPr>
          <w:lang w:eastAsia="en-US"/>
        </w:rPr>
        <w:t>.</w:t>
      </w:r>
      <w:r w:rsidR="00F51089" w:rsidRPr="00CF31E0">
        <w:rPr>
          <w:lang w:eastAsia="en-US"/>
        </w:rPr>
        <w:t xml:space="preserve">65 </w:t>
      </w:r>
      <w:r w:rsidRPr="00CF31E0">
        <w:rPr>
          <w:lang w:eastAsia="en-US"/>
        </w:rPr>
        <w:t xml:space="preserve">illustrates that the female group perceived it as more modern than did the male group. </w:t>
      </w:r>
      <w:r w:rsidR="004E0035" w:rsidRPr="00CF31E0">
        <w:rPr>
          <w:rFonts w:cs="Arial"/>
          <w:lang w:val="en-US" w:eastAsia="en-US"/>
        </w:rPr>
        <w:t xml:space="preserve">See </w:t>
      </w:r>
      <w:r w:rsidR="003423CA" w:rsidRPr="00CF31E0">
        <w:rPr>
          <w:rFonts w:cs="Arial"/>
          <w:lang w:val="en-US" w:eastAsia="en-US"/>
        </w:rPr>
        <w:t xml:space="preserve">Tables </w:t>
      </w:r>
      <w:r w:rsidR="00F51089" w:rsidRPr="00CF31E0">
        <w:rPr>
          <w:rFonts w:cs="Arial"/>
          <w:lang w:val="en-US" w:eastAsia="en-US"/>
        </w:rPr>
        <w:t>11</w:t>
      </w:r>
      <w:r w:rsidR="004E0035" w:rsidRPr="00CF31E0">
        <w:rPr>
          <w:rFonts w:cs="Arial"/>
          <w:lang w:val="en-US" w:eastAsia="en-US"/>
        </w:rPr>
        <w:t>.</w:t>
      </w:r>
      <w:r w:rsidR="00F51089" w:rsidRPr="00CF31E0">
        <w:rPr>
          <w:rFonts w:cs="Arial"/>
          <w:lang w:val="en-US" w:eastAsia="en-US"/>
        </w:rPr>
        <w:t xml:space="preserve">66 </w:t>
      </w:r>
      <w:r w:rsidR="004E0035" w:rsidRPr="00CF31E0">
        <w:rPr>
          <w:rFonts w:cs="Arial"/>
          <w:lang w:val="en-US" w:eastAsia="en-US"/>
        </w:rPr>
        <w:t xml:space="preserve">and </w:t>
      </w:r>
      <w:r w:rsidR="00F51089" w:rsidRPr="00CF31E0">
        <w:rPr>
          <w:rFonts w:cs="Arial"/>
          <w:lang w:val="en-US" w:eastAsia="en-US"/>
        </w:rPr>
        <w:t>11</w:t>
      </w:r>
      <w:r w:rsidR="004E0035" w:rsidRPr="00CF31E0">
        <w:rPr>
          <w:rFonts w:cs="Arial"/>
          <w:lang w:val="en-US" w:eastAsia="en-US"/>
        </w:rPr>
        <w:t>.</w:t>
      </w:r>
      <w:r w:rsidR="00F51089" w:rsidRPr="00CF31E0">
        <w:rPr>
          <w:rFonts w:cs="Arial"/>
          <w:lang w:val="en-US" w:eastAsia="en-US"/>
        </w:rPr>
        <w:t>67</w:t>
      </w:r>
      <w:r w:rsidR="004E0035" w:rsidRPr="00CF31E0">
        <w:rPr>
          <w:rFonts w:cs="Arial"/>
          <w:lang w:val="en-US" w:eastAsia="en-US"/>
        </w:rPr>
        <w:t xml:space="preserve"> for social group results </w:t>
      </w:r>
      <w:r w:rsidR="003423CA" w:rsidRPr="00CF31E0">
        <w:rPr>
          <w:rFonts w:cs="Arial"/>
          <w:lang w:val="en-US" w:eastAsia="en-US"/>
        </w:rPr>
        <w:t>from</w:t>
      </w:r>
      <w:r w:rsidR="004E0035" w:rsidRPr="00CF31E0">
        <w:rPr>
          <w:rFonts w:cs="Arial"/>
          <w:lang w:val="en-US" w:eastAsia="en-US"/>
        </w:rPr>
        <w:t xml:space="preserve"> the data.</w:t>
      </w:r>
    </w:p>
    <w:tbl>
      <w:tblPr>
        <w:tblW w:w="7358" w:type="dxa"/>
        <w:tblInd w:w="-20" w:type="dxa"/>
        <w:tblBorders>
          <w:top w:val="single" w:sz="4" w:space="0" w:color="000000"/>
          <w:bottom w:val="single" w:sz="4" w:space="0" w:color="000000"/>
        </w:tblBorders>
        <w:tblLayout w:type="fixed"/>
        <w:tblCellMar>
          <w:left w:w="0" w:type="dxa"/>
          <w:right w:w="0" w:type="dxa"/>
        </w:tblCellMar>
        <w:tblLook w:val="0000" w:firstRow="0" w:lastRow="0" w:firstColumn="0" w:lastColumn="0" w:noHBand="0" w:noVBand="0"/>
      </w:tblPr>
      <w:tblGrid>
        <w:gridCol w:w="2009"/>
        <w:gridCol w:w="1950"/>
        <w:gridCol w:w="948"/>
        <w:gridCol w:w="1673"/>
        <w:gridCol w:w="778"/>
      </w:tblGrid>
      <w:tr w:rsidR="00B11B94" w:rsidRPr="00CF31E0" w14:paraId="550F41AF" w14:textId="77777777" w:rsidTr="00B11B94">
        <w:trPr>
          <w:cantSplit/>
          <w:trHeight w:val="617"/>
        </w:trPr>
        <w:tc>
          <w:tcPr>
            <w:tcW w:w="2009" w:type="dxa"/>
            <w:tcBorders>
              <w:top w:val="single" w:sz="4" w:space="0" w:color="000000"/>
              <w:bottom w:val="single" w:sz="4" w:space="0" w:color="000000"/>
            </w:tcBorders>
            <w:shd w:val="clear" w:color="auto" w:fill="FFFFFF"/>
            <w:vAlign w:val="bottom"/>
          </w:tcPr>
          <w:p w14:paraId="4B08576D"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Social group</w:t>
            </w:r>
          </w:p>
        </w:tc>
        <w:tc>
          <w:tcPr>
            <w:tcW w:w="1950" w:type="dxa"/>
            <w:tcBorders>
              <w:top w:val="single" w:sz="4" w:space="0" w:color="000000"/>
              <w:bottom w:val="single" w:sz="4" w:space="0" w:color="000000"/>
            </w:tcBorders>
            <w:shd w:val="clear" w:color="auto" w:fill="FFFFFF"/>
            <w:vAlign w:val="bottom"/>
          </w:tcPr>
          <w:p w14:paraId="1A0EC80B"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948" w:type="dxa"/>
            <w:tcBorders>
              <w:top w:val="single" w:sz="4" w:space="0" w:color="000000"/>
              <w:bottom w:val="single" w:sz="4" w:space="0" w:color="000000"/>
            </w:tcBorders>
            <w:shd w:val="clear" w:color="auto" w:fill="FFFFFF"/>
            <w:vAlign w:val="bottom"/>
          </w:tcPr>
          <w:p w14:paraId="441D007F"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673" w:type="dxa"/>
            <w:tcBorders>
              <w:top w:val="single" w:sz="4" w:space="0" w:color="000000"/>
              <w:bottom w:val="single" w:sz="4" w:space="0" w:color="000000"/>
            </w:tcBorders>
            <w:shd w:val="clear" w:color="auto" w:fill="FFFFFF"/>
            <w:vAlign w:val="bottom"/>
          </w:tcPr>
          <w:p w14:paraId="27A8F250"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778" w:type="dxa"/>
            <w:tcBorders>
              <w:top w:val="single" w:sz="4" w:space="0" w:color="000000"/>
              <w:bottom w:val="single" w:sz="4" w:space="0" w:color="000000"/>
            </w:tcBorders>
            <w:shd w:val="clear" w:color="auto" w:fill="FFFFFF"/>
            <w:vAlign w:val="bottom"/>
          </w:tcPr>
          <w:p w14:paraId="0BBFB855"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B11B94" w:rsidRPr="00CF31E0" w14:paraId="339213B7" w14:textId="77777777" w:rsidTr="00B11B94">
        <w:trPr>
          <w:cantSplit/>
          <w:trHeight w:val="627"/>
        </w:trPr>
        <w:tc>
          <w:tcPr>
            <w:tcW w:w="2009" w:type="dxa"/>
            <w:tcBorders>
              <w:top w:val="single" w:sz="4" w:space="0" w:color="000000"/>
              <w:bottom w:val="nil"/>
            </w:tcBorders>
            <w:shd w:val="clear" w:color="auto" w:fill="FFFFFF"/>
          </w:tcPr>
          <w:p w14:paraId="4557C83E"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950" w:type="dxa"/>
            <w:tcBorders>
              <w:top w:val="single" w:sz="4" w:space="0" w:color="000000"/>
              <w:bottom w:val="nil"/>
            </w:tcBorders>
            <w:shd w:val="clear" w:color="auto" w:fill="FFFFFF"/>
            <w:vAlign w:val="center"/>
          </w:tcPr>
          <w:p w14:paraId="53A9BB0E"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17.137</w:t>
            </w:r>
          </w:p>
        </w:tc>
        <w:tc>
          <w:tcPr>
            <w:tcW w:w="948" w:type="dxa"/>
            <w:tcBorders>
              <w:top w:val="single" w:sz="4" w:space="0" w:color="000000"/>
              <w:bottom w:val="nil"/>
            </w:tcBorders>
            <w:shd w:val="clear" w:color="auto" w:fill="FFFFFF"/>
            <w:vAlign w:val="center"/>
          </w:tcPr>
          <w:p w14:paraId="3179DB55"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w:t>
            </w:r>
          </w:p>
        </w:tc>
        <w:tc>
          <w:tcPr>
            <w:tcW w:w="1673" w:type="dxa"/>
            <w:tcBorders>
              <w:top w:val="single" w:sz="4" w:space="0" w:color="000000"/>
              <w:bottom w:val="nil"/>
            </w:tcBorders>
            <w:shd w:val="clear" w:color="auto" w:fill="FFFFFF"/>
            <w:vAlign w:val="center"/>
          </w:tcPr>
          <w:p w14:paraId="2AE01E27"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17.137</w:t>
            </w:r>
          </w:p>
        </w:tc>
        <w:tc>
          <w:tcPr>
            <w:tcW w:w="778" w:type="dxa"/>
            <w:tcBorders>
              <w:top w:val="single" w:sz="4" w:space="0" w:color="000000"/>
              <w:bottom w:val="nil"/>
            </w:tcBorders>
            <w:shd w:val="clear" w:color="auto" w:fill="FFFFFF"/>
            <w:vAlign w:val="center"/>
          </w:tcPr>
          <w:p w14:paraId="362B3B63"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.000</w:t>
            </w:r>
          </w:p>
        </w:tc>
      </w:tr>
      <w:tr w:rsidR="00B11B94" w:rsidRPr="00CF31E0" w14:paraId="2C5E4DB0" w14:textId="77777777" w:rsidTr="00B11B94">
        <w:trPr>
          <w:cantSplit/>
          <w:trHeight w:val="627"/>
        </w:trPr>
        <w:tc>
          <w:tcPr>
            <w:tcW w:w="2009" w:type="dxa"/>
            <w:tcBorders>
              <w:top w:val="nil"/>
            </w:tcBorders>
            <w:shd w:val="clear" w:color="auto" w:fill="FFFFFF"/>
          </w:tcPr>
          <w:p w14:paraId="060B29A7"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950" w:type="dxa"/>
            <w:tcBorders>
              <w:top w:val="nil"/>
            </w:tcBorders>
            <w:shd w:val="clear" w:color="auto" w:fill="FFFFFF"/>
            <w:vAlign w:val="center"/>
          </w:tcPr>
          <w:p w14:paraId="75499ACC"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810.111</w:t>
            </w:r>
          </w:p>
        </w:tc>
        <w:tc>
          <w:tcPr>
            <w:tcW w:w="948" w:type="dxa"/>
            <w:tcBorders>
              <w:top w:val="nil"/>
            </w:tcBorders>
            <w:shd w:val="clear" w:color="auto" w:fill="FFFFFF"/>
            <w:vAlign w:val="center"/>
          </w:tcPr>
          <w:p w14:paraId="23C4679E"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648</w:t>
            </w:r>
          </w:p>
        </w:tc>
        <w:tc>
          <w:tcPr>
            <w:tcW w:w="1673" w:type="dxa"/>
            <w:tcBorders>
              <w:top w:val="nil"/>
            </w:tcBorders>
            <w:shd w:val="clear" w:color="auto" w:fill="FFFFFF"/>
            <w:vAlign w:val="center"/>
          </w:tcPr>
          <w:p w14:paraId="40C7D444"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1.252</w:t>
            </w:r>
          </w:p>
        </w:tc>
        <w:tc>
          <w:tcPr>
            <w:tcW w:w="778" w:type="dxa"/>
            <w:tcBorders>
              <w:top w:val="nil"/>
            </w:tcBorders>
            <w:shd w:val="clear" w:color="auto" w:fill="FFFFFF"/>
            <w:vAlign w:val="center"/>
          </w:tcPr>
          <w:p w14:paraId="6F265380" w14:textId="77777777" w:rsidR="00B11B94" w:rsidRPr="00CF31E0" w:rsidRDefault="00B11B94" w:rsidP="000B4835">
            <w:pPr>
              <w:spacing w:before="120" w:after="120" w:line="360" w:lineRule="auto"/>
              <w:rPr>
                <w:rFonts w:eastAsia="Calibri" w:cs="Arial"/>
                <w:color w:val="000000" w:themeColor="text1"/>
                <w:sz w:val="22"/>
                <w:szCs w:val="22"/>
                <w:lang w:eastAsia="en-US"/>
              </w:rPr>
            </w:pPr>
          </w:p>
        </w:tc>
      </w:tr>
      <w:tr w:rsidR="00B11B94" w:rsidRPr="00CF31E0" w14:paraId="68955A45" w14:textId="77777777" w:rsidTr="00B11B94">
        <w:trPr>
          <w:cantSplit/>
          <w:trHeight w:val="627"/>
        </w:trPr>
        <w:tc>
          <w:tcPr>
            <w:tcW w:w="2009" w:type="dxa"/>
            <w:shd w:val="clear" w:color="auto" w:fill="FFFFFF"/>
          </w:tcPr>
          <w:p w14:paraId="38D719E7"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950" w:type="dxa"/>
            <w:shd w:val="clear" w:color="auto" w:fill="FFFFFF"/>
            <w:vAlign w:val="center"/>
          </w:tcPr>
          <w:p w14:paraId="2F0978E7"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827.248</w:t>
            </w:r>
          </w:p>
        </w:tc>
        <w:tc>
          <w:tcPr>
            <w:tcW w:w="948" w:type="dxa"/>
            <w:shd w:val="clear" w:color="auto" w:fill="FFFFFF"/>
            <w:vAlign w:val="center"/>
          </w:tcPr>
          <w:p w14:paraId="1970026C" w14:textId="77777777" w:rsidR="00B11B94" w:rsidRPr="00CF31E0" w:rsidRDefault="00B11B94"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649</w:t>
            </w:r>
          </w:p>
        </w:tc>
        <w:tc>
          <w:tcPr>
            <w:tcW w:w="1673" w:type="dxa"/>
            <w:shd w:val="clear" w:color="auto" w:fill="FFFFFF"/>
            <w:vAlign w:val="center"/>
          </w:tcPr>
          <w:p w14:paraId="7919AE2A" w14:textId="77777777" w:rsidR="00B11B94" w:rsidRPr="00CF31E0" w:rsidRDefault="00B11B94" w:rsidP="000B4835">
            <w:pPr>
              <w:spacing w:before="120" w:after="120" w:line="360" w:lineRule="auto"/>
              <w:rPr>
                <w:rFonts w:eastAsia="Calibri" w:cs="Arial"/>
                <w:color w:val="000000" w:themeColor="text1"/>
                <w:sz w:val="22"/>
                <w:szCs w:val="22"/>
                <w:lang w:eastAsia="en-US"/>
              </w:rPr>
            </w:pPr>
          </w:p>
        </w:tc>
        <w:tc>
          <w:tcPr>
            <w:tcW w:w="778" w:type="dxa"/>
            <w:shd w:val="clear" w:color="auto" w:fill="FFFFFF"/>
            <w:vAlign w:val="center"/>
          </w:tcPr>
          <w:p w14:paraId="2B835660" w14:textId="77777777" w:rsidR="00B11B94" w:rsidRPr="00CF31E0" w:rsidRDefault="00B11B94" w:rsidP="000B4835">
            <w:pPr>
              <w:spacing w:before="120" w:after="120" w:line="360" w:lineRule="auto"/>
              <w:rPr>
                <w:rFonts w:eastAsia="Calibri" w:cs="Arial"/>
                <w:color w:val="000000" w:themeColor="text1"/>
                <w:sz w:val="22"/>
                <w:szCs w:val="22"/>
                <w:lang w:eastAsia="en-US"/>
              </w:rPr>
            </w:pPr>
          </w:p>
        </w:tc>
      </w:tr>
    </w:tbl>
    <w:p w14:paraId="44B4E827" w14:textId="4F61BD18" w:rsidR="000B4835" w:rsidRPr="00CF31E0" w:rsidRDefault="000B4835" w:rsidP="005B3EEC">
      <w:pPr>
        <w:pStyle w:val="Tablecaption"/>
        <w:spacing w:after="400"/>
        <w:rPr>
          <w:lang w:eastAsia="en-US"/>
        </w:rPr>
      </w:pPr>
      <w:bookmarkStart w:id="1069" w:name="_Toc522527529"/>
      <w:bookmarkStart w:id="1070" w:name="_Toc522628942"/>
      <w:bookmarkStart w:id="1071" w:name="_Toc522629106"/>
      <w:bookmarkStart w:id="1072" w:name="_Toc6473204"/>
      <w:r w:rsidRPr="00CF31E0">
        <w:rPr>
          <w:lang w:eastAsia="en-US"/>
        </w:rPr>
        <w:t xml:space="preserve">Table </w:t>
      </w:r>
      <w:r w:rsidR="00F51089" w:rsidRPr="00CF31E0">
        <w:rPr>
          <w:lang w:eastAsia="en-US"/>
        </w:rPr>
        <w:t>11</w:t>
      </w:r>
      <w:r w:rsidR="005A16AC" w:rsidRPr="00CF31E0">
        <w:rPr>
          <w:lang w:eastAsia="en-US"/>
        </w:rPr>
        <w:t>.</w:t>
      </w:r>
      <w:r w:rsidR="00F51089" w:rsidRPr="00CF31E0">
        <w:rPr>
          <w:lang w:eastAsia="en-US"/>
        </w:rPr>
        <w:t>66</w:t>
      </w:r>
      <w:r w:rsidRPr="00CF31E0">
        <w:rPr>
          <w:lang w:eastAsia="en-US"/>
        </w:rPr>
        <w:t xml:space="preserve">: ANOVA </w:t>
      </w:r>
      <w:r w:rsidR="005B3EEC">
        <w:rPr>
          <w:lang w:eastAsia="en-US"/>
        </w:rPr>
        <w:t>statistics</w:t>
      </w:r>
      <w:r w:rsidR="005B3EEC" w:rsidRPr="00CF31E0">
        <w:rPr>
          <w:lang w:eastAsia="en-US"/>
        </w:rPr>
        <w:t xml:space="preserve"> </w:t>
      </w:r>
      <w:r w:rsidRPr="00CF31E0">
        <w:rPr>
          <w:lang w:eastAsia="en-US"/>
        </w:rPr>
        <w:t>for social group demographic variable.</w:t>
      </w:r>
      <w:bookmarkEnd w:id="1069"/>
      <w:bookmarkEnd w:id="1070"/>
      <w:bookmarkEnd w:id="1071"/>
      <w:bookmarkEnd w:id="1072"/>
      <w:r w:rsidRPr="00CF31E0">
        <w:rPr>
          <w:lang w:eastAsia="en-US"/>
        </w:rPr>
        <w:t xml:space="preserve"> </w:t>
      </w:r>
    </w:p>
    <w:tbl>
      <w:tblPr>
        <w:tblW w:w="7240" w:type="dxa"/>
        <w:tblInd w:w="-10" w:type="dxa"/>
        <w:tblBorders>
          <w:top w:val="single" w:sz="4" w:space="0" w:color="000000"/>
          <w:bottom w:val="single" w:sz="4" w:space="0" w:color="000000"/>
        </w:tblBorders>
        <w:tblLayout w:type="fixed"/>
        <w:tblCellMar>
          <w:left w:w="0" w:type="dxa"/>
          <w:right w:w="0" w:type="dxa"/>
        </w:tblCellMar>
        <w:tblLook w:val="0000" w:firstRow="0" w:lastRow="0" w:firstColumn="0" w:lastColumn="0" w:noHBand="0" w:noVBand="0"/>
      </w:tblPr>
      <w:tblGrid>
        <w:gridCol w:w="1369"/>
        <w:gridCol w:w="2186"/>
        <w:gridCol w:w="1558"/>
        <w:gridCol w:w="1390"/>
        <w:gridCol w:w="737"/>
      </w:tblGrid>
      <w:tr w:rsidR="007F558A" w:rsidRPr="00CF31E0" w14:paraId="77B6826C" w14:textId="77777777" w:rsidTr="004F45D7">
        <w:trPr>
          <w:cantSplit/>
        </w:trPr>
        <w:tc>
          <w:tcPr>
            <w:tcW w:w="1369" w:type="dxa"/>
            <w:tcBorders>
              <w:top w:val="single" w:sz="4" w:space="0" w:color="000000"/>
              <w:bottom w:val="single" w:sz="4" w:space="0" w:color="000000"/>
            </w:tcBorders>
          </w:tcPr>
          <w:p w14:paraId="4B10D866"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3744" w:type="dxa"/>
            <w:gridSpan w:val="2"/>
            <w:tcBorders>
              <w:top w:val="single" w:sz="4" w:space="0" w:color="000000"/>
              <w:bottom w:val="single" w:sz="4" w:space="0" w:color="000000"/>
            </w:tcBorders>
            <w:shd w:val="clear" w:color="auto" w:fill="FFFFFF"/>
            <w:vAlign w:val="bottom"/>
          </w:tcPr>
          <w:p w14:paraId="604AA9CE"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Social group</w:t>
            </w:r>
          </w:p>
        </w:tc>
        <w:tc>
          <w:tcPr>
            <w:tcW w:w="1390" w:type="dxa"/>
            <w:tcBorders>
              <w:top w:val="single" w:sz="4" w:space="0" w:color="000000"/>
              <w:bottom w:val="single" w:sz="4" w:space="0" w:color="000000"/>
            </w:tcBorders>
            <w:shd w:val="clear" w:color="auto" w:fill="FFFFFF"/>
            <w:vAlign w:val="bottom"/>
          </w:tcPr>
          <w:p w14:paraId="2B611B21"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Statistic</w:t>
            </w:r>
          </w:p>
        </w:tc>
        <w:tc>
          <w:tcPr>
            <w:tcW w:w="737" w:type="dxa"/>
            <w:tcBorders>
              <w:top w:val="single" w:sz="4" w:space="0" w:color="000000"/>
              <w:bottom w:val="single" w:sz="4" w:space="0" w:color="000000"/>
            </w:tcBorders>
            <w:shd w:val="clear" w:color="auto" w:fill="FFFFFF"/>
            <w:vAlign w:val="bottom"/>
          </w:tcPr>
          <w:p w14:paraId="475A8BEB"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Std. Error</w:t>
            </w:r>
          </w:p>
        </w:tc>
      </w:tr>
      <w:tr w:rsidR="007F558A" w:rsidRPr="00CF31E0" w14:paraId="311EC845" w14:textId="77777777" w:rsidTr="004F45D7">
        <w:trPr>
          <w:cantSplit/>
        </w:trPr>
        <w:tc>
          <w:tcPr>
            <w:tcW w:w="1369" w:type="dxa"/>
            <w:vMerge w:val="restart"/>
            <w:tcBorders>
              <w:top w:val="single" w:sz="4" w:space="0" w:color="000000"/>
              <w:bottom w:val="nil"/>
            </w:tcBorders>
            <w:shd w:val="clear" w:color="auto" w:fill="FFFFFF"/>
          </w:tcPr>
          <w:p w14:paraId="2FB65116"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Traditional</w:t>
            </w:r>
          </w:p>
        </w:tc>
        <w:tc>
          <w:tcPr>
            <w:tcW w:w="2186" w:type="dxa"/>
            <w:tcBorders>
              <w:top w:val="single" w:sz="4" w:space="0" w:color="000000"/>
              <w:bottom w:val="nil"/>
            </w:tcBorders>
            <w:shd w:val="clear" w:color="auto" w:fill="FFFFFF"/>
          </w:tcPr>
          <w:p w14:paraId="00518965" w14:textId="5DFA8323" w:rsidR="000B4835" w:rsidRPr="00CF31E0" w:rsidRDefault="0059652A"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UBH</w:t>
            </w:r>
          </w:p>
        </w:tc>
        <w:tc>
          <w:tcPr>
            <w:tcW w:w="1558" w:type="dxa"/>
            <w:tcBorders>
              <w:top w:val="single" w:sz="4" w:space="0" w:color="000000"/>
              <w:bottom w:val="nil"/>
            </w:tcBorders>
            <w:shd w:val="clear" w:color="auto" w:fill="FFFFFF"/>
          </w:tcPr>
          <w:p w14:paraId="53109758"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390" w:type="dxa"/>
            <w:tcBorders>
              <w:top w:val="single" w:sz="4" w:space="0" w:color="000000"/>
              <w:bottom w:val="nil"/>
            </w:tcBorders>
            <w:shd w:val="clear" w:color="auto" w:fill="FFFFFF"/>
            <w:vAlign w:val="center"/>
          </w:tcPr>
          <w:p w14:paraId="3E8AF8E4"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3.6235</w:t>
            </w:r>
          </w:p>
        </w:tc>
        <w:tc>
          <w:tcPr>
            <w:tcW w:w="737" w:type="dxa"/>
            <w:tcBorders>
              <w:top w:val="single" w:sz="4" w:space="0" w:color="000000"/>
              <w:bottom w:val="nil"/>
            </w:tcBorders>
            <w:shd w:val="clear" w:color="auto" w:fill="FFFFFF"/>
            <w:vAlign w:val="center"/>
          </w:tcPr>
          <w:p w14:paraId="747B1698"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.06290</w:t>
            </w:r>
          </w:p>
        </w:tc>
      </w:tr>
      <w:tr w:rsidR="007F558A" w:rsidRPr="00CF31E0" w14:paraId="26D2D892" w14:textId="77777777" w:rsidTr="004F45D7">
        <w:trPr>
          <w:cantSplit/>
        </w:trPr>
        <w:tc>
          <w:tcPr>
            <w:tcW w:w="1369" w:type="dxa"/>
            <w:vMerge/>
            <w:tcBorders>
              <w:top w:val="nil"/>
            </w:tcBorders>
            <w:shd w:val="clear" w:color="auto" w:fill="FFFFFF"/>
          </w:tcPr>
          <w:p w14:paraId="04F5CD12"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2186" w:type="dxa"/>
            <w:tcBorders>
              <w:top w:val="nil"/>
            </w:tcBorders>
            <w:shd w:val="clear" w:color="auto" w:fill="FFFFFF"/>
          </w:tcPr>
          <w:p w14:paraId="64C8E262" w14:textId="57A78E0D" w:rsidR="000B4835" w:rsidRPr="00CF31E0" w:rsidRDefault="00FF4DC7"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HH</w:t>
            </w:r>
          </w:p>
        </w:tc>
        <w:tc>
          <w:tcPr>
            <w:tcW w:w="1558" w:type="dxa"/>
            <w:tcBorders>
              <w:top w:val="nil"/>
            </w:tcBorders>
            <w:shd w:val="clear" w:color="auto" w:fill="FFFFFF"/>
          </w:tcPr>
          <w:p w14:paraId="09A1C84F"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390" w:type="dxa"/>
            <w:tcBorders>
              <w:top w:val="nil"/>
            </w:tcBorders>
            <w:shd w:val="clear" w:color="auto" w:fill="FFFFFF"/>
            <w:vAlign w:val="center"/>
          </w:tcPr>
          <w:p w14:paraId="1E8E3819"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3.2985</w:t>
            </w:r>
          </w:p>
        </w:tc>
        <w:tc>
          <w:tcPr>
            <w:tcW w:w="737" w:type="dxa"/>
            <w:tcBorders>
              <w:top w:val="nil"/>
            </w:tcBorders>
            <w:shd w:val="clear" w:color="auto" w:fill="FFFFFF"/>
            <w:vAlign w:val="center"/>
          </w:tcPr>
          <w:p w14:paraId="510ACFCD"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.06133</w:t>
            </w:r>
          </w:p>
        </w:tc>
      </w:tr>
    </w:tbl>
    <w:p w14:paraId="01CB1E80" w14:textId="474EAD54" w:rsidR="000B4835" w:rsidRPr="00CF31E0" w:rsidRDefault="000B4835" w:rsidP="00F51089">
      <w:pPr>
        <w:pStyle w:val="Tablecaption"/>
        <w:rPr>
          <w:lang w:eastAsia="en-US"/>
        </w:rPr>
      </w:pPr>
      <w:bookmarkStart w:id="1073" w:name="_Toc522527530"/>
      <w:bookmarkStart w:id="1074" w:name="_Toc522628943"/>
      <w:bookmarkStart w:id="1075" w:name="_Toc522629107"/>
      <w:bookmarkStart w:id="1076" w:name="_Toc6473205"/>
      <w:r w:rsidRPr="00CF31E0">
        <w:rPr>
          <w:lang w:eastAsia="en-US"/>
        </w:rPr>
        <w:t xml:space="preserve">Table </w:t>
      </w:r>
      <w:r w:rsidR="00F51089" w:rsidRPr="00CF31E0">
        <w:rPr>
          <w:lang w:eastAsia="en-US"/>
        </w:rPr>
        <w:t>11</w:t>
      </w:r>
      <w:r w:rsidR="005A16AC" w:rsidRPr="00CF31E0">
        <w:rPr>
          <w:lang w:eastAsia="en-US"/>
        </w:rPr>
        <w:t>.</w:t>
      </w:r>
      <w:r w:rsidR="00F51089" w:rsidRPr="00CF31E0">
        <w:rPr>
          <w:lang w:eastAsia="en-US"/>
        </w:rPr>
        <w:t>67</w:t>
      </w:r>
      <w:r w:rsidRPr="00CF31E0">
        <w:rPr>
          <w:lang w:eastAsia="en-US"/>
        </w:rPr>
        <w:t>: Descriptive statistics</w:t>
      </w:r>
      <w:r w:rsidR="00BA47B6">
        <w:rPr>
          <w:lang w:eastAsia="en-US"/>
        </w:rPr>
        <w:t xml:space="preserve"> for social group demographic variable</w:t>
      </w:r>
      <w:r w:rsidRPr="00CF31E0">
        <w:rPr>
          <w:lang w:eastAsia="en-US"/>
        </w:rPr>
        <w:t>.</w:t>
      </w:r>
      <w:bookmarkEnd w:id="1073"/>
      <w:bookmarkEnd w:id="1074"/>
      <w:bookmarkEnd w:id="1075"/>
      <w:bookmarkEnd w:id="1076"/>
      <w:r w:rsidRPr="00CF31E0">
        <w:rPr>
          <w:lang w:eastAsia="en-US"/>
        </w:rPr>
        <w:t xml:space="preserve"> </w:t>
      </w:r>
    </w:p>
    <w:p w14:paraId="5F1D714D" w14:textId="2BF765B0" w:rsidR="004E0035" w:rsidRPr="00CF31E0" w:rsidRDefault="000B4835" w:rsidP="00603CB7">
      <w:pPr>
        <w:pStyle w:val="Paragraph"/>
        <w:rPr>
          <w:rFonts w:cs="Arial"/>
          <w:lang w:val="en-US" w:eastAsia="en-US"/>
        </w:rPr>
      </w:pPr>
      <w:r w:rsidRPr="00CF31E0">
        <w:rPr>
          <w:lang w:eastAsia="en-US"/>
        </w:rPr>
        <w:t xml:space="preserve">The social group demographic variable had a significant effect on the </w:t>
      </w:r>
      <w:r w:rsidRPr="00CF31E0">
        <w:rPr>
          <w:i/>
          <w:iCs/>
          <w:lang w:eastAsia="en-US"/>
        </w:rPr>
        <w:t>traditional</w:t>
      </w:r>
      <w:r w:rsidRPr="00CF31E0">
        <w:rPr>
          <w:lang w:eastAsia="en-US"/>
        </w:rPr>
        <w:t xml:space="preserve"> scale score, with a p value p&lt;.000, as shown in Table </w:t>
      </w:r>
      <w:r w:rsidR="005A16AC" w:rsidRPr="00CF31E0">
        <w:rPr>
          <w:lang w:eastAsia="en-US"/>
        </w:rPr>
        <w:t>1</w:t>
      </w:r>
      <w:r w:rsidR="00B633C7">
        <w:rPr>
          <w:lang w:eastAsia="en-US"/>
        </w:rPr>
        <w:t>1.66</w:t>
      </w:r>
      <w:r w:rsidRPr="00CF31E0">
        <w:rPr>
          <w:lang w:eastAsia="en-US"/>
        </w:rPr>
        <w:t xml:space="preserve">. The </w:t>
      </w:r>
      <w:r w:rsidR="0059652A" w:rsidRPr="00CF31E0">
        <w:rPr>
          <w:lang w:eastAsia="en-US"/>
        </w:rPr>
        <w:lastRenderedPageBreak/>
        <w:t>UBH</w:t>
      </w:r>
      <w:r w:rsidRPr="00CF31E0">
        <w:rPr>
          <w:lang w:eastAsia="en-US"/>
        </w:rPr>
        <w:t xml:space="preserve"> social group perceived it as more </w:t>
      </w:r>
      <w:r w:rsidRPr="00CF31E0">
        <w:rPr>
          <w:i/>
          <w:iCs/>
          <w:lang w:eastAsia="en-US"/>
        </w:rPr>
        <w:t>traditional</w:t>
      </w:r>
      <w:r w:rsidRPr="00CF31E0">
        <w:rPr>
          <w:lang w:eastAsia="en-US"/>
        </w:rPr>
        <w:t xml:space="preserve"> than did the </w:t>
      </w:r>
      <w:r w:rsidR="00FF4DC7" w:rsidRPr="00CF31E0">
        <w:rPr>
          <w:lang w:eastAsia="en-US"/>
        </w:rPr>
        <w:t>HH</w:t>
      </w:r>
      <w:r w:rsidRPr="00CF31E0">
        <w:rPr>
          <w:lang w:eastAsia="en-US"/>
        </w:rPr>
        <w:t xml:space="preserve"> social group, as illustrated in Table </w:t>
      </w:r>
      <w:r w:rsidR="005A16AC" w:rsidRPr="00CF31E0">
        <w:rPr>
          <w:lang w:eastAsia="en-US"/>
        </w:rPr>
        <w:t>1</w:t>
      </w:r>
      <w:r w:rsidR="00B633C7">
        <w:rPr>
          <w:lang w:eastAsia="en-US"/>
        </w:rPr>
        <w:t>1.76</w:t>
      </w:r>
      <w:r w:rsidRPr="00CF31E0">
        <w:rPr>
          <w:lang w:eastAsia="en-US"/>
        </w:rPr>
        <w:t xml:space="preserve">. </w:t>
      </w:r>
      <w:r w:rsidR="004E0035" w:rsidRPr="00CF31E0">
        <w:rPr>
          <w:rFonts w:cs="Arial"/>
          <w:lang w:val="en-US" w:eastAsia="en-US"/>
        </w:rPr>
        <w:t xml:space="preserve">See </w:t>
      </w:r>
      <w:r w:rsidR="003423CA" w:rsidRPr="00CF31E0">
        <w:rPr>
          <w:rFonts w:cs="Arial"/>
          <w:lang w:val="en-US" w:eastAsia="en-US"/>
        </w:rPr>
        <w:t xml:space="preserve">Tables </w:t>
      </w:r>
      <w:r w:rsidR="0077196E" w:rsidRPr="00CF31E0">
        <w:rPr>
          <w:rFonts w:cs="Arial"/>
          <w:lang w:val="en-US" w:eastAsia="en-US"/>
        </w:rPr>
        <w:t>11</w:t>
      </w:r>
      <w:r w:rsidR="004E0035" w:rsidRPr="00CF31E0">
        <w:rPr>
          <w:rFonts w:cs="Arial"/>
          <w:lang w:val="en-US" w:eastAsia="en-US"/>
        </w:rPr>
        <w:t>.</w:t>
      </w:r>
      <w:r w:rsidR="0077196E" w:rsidRPr="00CF31E0">
        <w:rPr>
          <w:rFonts w:cs="Arial"/>
          <w:lang w:val="en-US" w:eastAsia="en-US"/>
        </w:rPr>
        <w:t xml:space="preserve">68 </w:t>
      </w:r>
      <w:r w:rsidR="004E0035" w:rsidRPr="00CF31E0">
        <w:rPr>
          <w:rFonts w:cs="Arial"/>
          <w:lang w:val="en-US" w:eastAsia="en-US"/>
        </w:rPr>
        <w:t xml:space="preserve">and </w:t>
      </w:r>
      <w:r w:rsidR="0077196E" w:rsidRPr="00CF31E0">
        <w:rPr>
          <w:rFonts w:cs="Arial"/>
          <w:lang w:val="en-US" w:eastAsia="en-US"/>
        </w:rPr>
        <w:t>11</w:t>
      </w:r>
      <w:r w:rsidR="004E0035" w:rsidRPr="00CF31E0">
        <w:rPr>
          <w:rFonts w:cs="Arial"/>
          <w:lang w:val="en-US" w:eastAsia="en-US"/>
        </w:rPr>
        <w:t>.</w:t>
      </w:r>
      <w:r w:rsidR="0077196E" w:rsidRPr="00CF31E0">
        <w:rPr>
          <w:rFonts w:cs="Arial"/>
          <w:lang w:val="en-US" w:eastAsia="en-US"/>
        </w:rPr>
        <w:t>69</w:t>
      </w:r>
      <w:r w:rsidR="004E0035" w:rsidRPr="00CF31E0">
        <w:rPr>
          <w:rFonts w:cs="Arial"/>
          <w:lang w:val="en-US" w:eastAsia="en-US"/>
        </w:rPr>
        <w:t xml:space="preserve"> for mother’s social group results </w:t>
      </w:r>
      <w:r w:rsidR="003423CA" w:rsidRPr="00CF31E0">
        <w:rPr>
          <w:rFonts w:cs="Arial"/>
          <w:lang w:val="en-US" w:eastAsia="en-US"/>
        </w:rPr>
        <w:t>from</w:t>
      </w:r>
      <w:r w:rsidR="004E0035" w:rsidRPr="00CF31E0">
        <w:rPr>
          <w:rFonts w:cs="Arial"/>
          <w:lang w:val="en-US" w:eastAsia="en-US"/>
        </w:rPr>
        <w:t xml:space="preserve"> the data.</w:t>
      </w:r>
    </w:p>
    <w:tbl>
      <w:tblPr>
        <w:tblW w:w="7533" w:type="dxa"/>
        <w:tblInd w:w="-20" w:type="dxa"/>
        <w:tblBorders>
          <w:top w:val="single" w:sz="4" w:space="0" w:color="000000"/>
          <w:bottom w:val="single" w:sz="4" w:space="0" w:color="000000"/>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816"/>
      </w:tblGrid>
      <w:tr w:rsidR="008A1A4E" w:rsidRPr="00CF31E0" w14:paraId="2BF054F9" w14:textId="77777777" w:rsidTr="00603CB7">
        <w:trPr>
          <w:cantSplit/>
        </w:trPr>
        <w:tc>
          <w:tcPr>
            <w:tcW w:w="1736" w:type="dxa"/>
            <w:tcBorders>
              <w:top w:val="single" w:sz="4" w:space="0" w:color="000000"/>
              <w:bottom w:val="single" w:sz="4" w:space="0" w:color="000000"/>
            </w:tcBorders>
            <w:shd w:val="clear" w:color="auto" w:fill="FFFFFF"/>
            <w:vAlign w:val="bottom"/>
          </w:tcPr>
          <w:p w14:paraId="49A53E58"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Mother’s group</w:t>
            </w:r>
          </w:p>
        </w:tc>
        <w:tc>
          <w:tcPr>
            <w:tcW w:w="1686" w:type="dxa"/>
            <w:tcBorders>
              <w:top w:val="single" w:sz="4" w:space="0" w:color="000000"/>
              <w:bottom w:val="single" w:sz="4" w:space="0" w:color="000000"/>
            </w:tcBorders>
            <w:shd w:val="clear" w:color="auto" w:fill="FFFFFF"/>
            <w:vAlign w:val="bottom"/>
          </w:tcPr>
          <w:p w14:paraId="6355A443"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Sum of Squares</w:t>
            </w:r>
          </w:p>
        </w:tc>
        <w:tc>
          <w:tcPr>
            <w:tcW w:w="820" w:type="dxa"/>
            <w:tcBorders>
              <w:top w:val="single" w:sz="4" w:space="0" w:color="000000"/>
              <w:bottom w:val="single" w:sz="4" w:space="0" w:color="000000"/>
            </w:tcBorders>
            <w:shd w:val="clear" w:color="auto" w:fill="FFFFFF"/>
            <w:vAlign w:val="bottom"/>
          </w:tcPr>
          <w:p w14:paraId="678B8690"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df</w:t>
            </w:r>
          </w:p>
        </w:tc>
        <w:tc>
          <w:tcPr>
            <w:tcW w:w="1445" w:type="dxa"/>
            <w:tcBorders>
              <w:top w:val="single" w:sz="4" w:space="0" w:color="000000"/>
              <w:bottom w:val="single" w:sz="4" w:space="0" w:color="000000"/>
            </w:tcBorders>
            <w:shd w:val="clear" w:color="auto" w:fill="FFFFFF"/>
            <w:vAlign w:val="bottom"/>
          </w:tcPr>
          <w:p w14:paraId="6EB6358D"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Mean Square</w:t>
            </w:r>
          </w:p>
        </w:tc>
        <w:tc>
          <w:tcPr>
            <w:tcW w:w="1030" w:type="dxa"/>
            <w:tcBorders>
              <w:top w:val="single" w:sz="4" w:space="0" w:color="000000"/>
              <w:bottom w:val="single" w:sz="4" w:space="0" w:color="000000"/>
            </w:tcBorders>
            <w:shd w:val="clear" w:color="auto" w:fill="FFFFFF"/>
            <w:vAlign w:val="bottom"/>
          </w:tcPr>
          <w:p w14:paraId="5F3149FF"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F</w:t>
            </w:r>
          </w:p>
        </w:tc>
        <w:tc>
          <w:tcPr>
            <w:tcW w:w="816" w:type="dxa"/>
            <w:tcBorders>
              <w:top w:val="single" w:sz="4" w:space="0" w:color="000000"/>
              <w:bottom w:val="single" w:sz="4" w:space="0" w:color="000000"/>
            </w:tcBorders>
            <w:shd w:val="clear" w:color="auto" w:fill="FFFFFF"/>
            <w:vAlign w:val="bottom"/>
          </w:tcPr>
          <w:p w14:paraId="00F0AB82"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Sig.</w:t>
            </w:r>
          </w:p>
        </w:tc>
      </w:tr>
      <w:tr w:rsidR="008A1A4E" w:rsidRPr="00CF31E0" w14:paraId="2833288A" w14:textId="77777777" w:rsidTr="00603CB7">
        <w:trPr>
          <w:cantSplit/>
        </w:trPr>
        <w:tc>
          <w:tcPr>
            <w:tcW w:w="1736" w:type="dxa"/>
            <w:tcBorders>
              <w:top w:val="single" w:sz="4" w:space="0" w:color="000000"/>
              <w:bottom w:val="nil"/>
            </w:tcBorders>
            <w:shd w:val="clear" w:color="auto" w:fill="FFFFFF"/>
          </w:tcPr>
          <w:p w14:paraId="3DF89785"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Between Groups</w:t>
            </w:r>
          </w:p>
        </w:tc>
        <w:tc>
          <w:tcPr>
            <w:tcW w:w="1686" w:type="dxa"/>
            <w:tcBorders>
              <w:top w:val="single" w:sz="4" w:space="0" w:color="000000"/>
              <w:bottom w:val="nil"/>
            </w:tcBorders>
            <w:shd w:val="clear" w:color="auto" w:fill="FFFFFF"/>
            <w:vAlign w:val="center"/>
          </w:tcPr>
          <w:p w14:paraId="04D99E1A"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17.677</w:t>
            </w:r>
          </w:p>
        </w:tc>
        <w:tc>
          <w:tcPr>
            <w:tcW w:w="820" w:type="dxa"/>
            <w:tcBorders>
              <w:top w:val="single" w:sz="4" w:space="0" w:color="000000"/>
              <w:bottom w:val="nil"/>
            </w:tcBorders>
            <w:shd w:val="clear" w:color="auto" w:fill="FFFFFF"/>
            <w:vAlign w:val="center"/>
          </w:tcPr>
          <w:p w14:paraId="2B92FFF9"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2</w:t>
            </w:r>
          </w:p>
        </w:tc>
        <w:tc>
          <w:tcPr>
            <w:tcW w:w="1445" w:type="dxa"/>
            <w:tcBorders>
              <w:top w:val="single" w:sz="4" w:space="0" w:color="000000"/>
              <w:bottom w:val="nil"/>
            </w:tcBorders>
            <w:shd w:val="clear" w:color="auto" w:fill="FFFFFF"/>
            <w:vAlign w:val="center"/>
          </w:tcPr>
          <w:p w14:paraId="4172B399"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8.838</w:t>
            </w:r>
          </w:p>
        </w:tc>
        <w:tc>
          <w:tcPr>
            <w:tcW w:w="1030" w:type="dxa"/>
            <w:tcBorders>
              <w:top w:val="single" w:sz="4" w:space="0" w:color="000000"/>
              <w:bottom w:val="nil"/>
            </w:tcBorders>
            <w:shd w:val="clear" w:color="auto" w:fill="FFFFFF"/>
            <w:vAlign w:val="center"/>
          </w:tcPr>
          <w:p w14:paraId="6860BAA3"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7.060</w:t>
            </w:r>
          </w:p>
        </w:tc>
        <w:tc>
          <w:tcPr>
            <w:tcW w:w="816" w:type="dxa"/>
            <w:tcBorders>
              <w:top w:val="single" w:sz="4" w:space="0" w:color="000000"/>
              <w:bottom w:val="nil"/>
            </w:tcBorders>
            <w:shd w:val="clear" w:color="auto" w:fill="FFFFFF"/>
            <w:vAlign w:val="center"/>
          </w:tcPr>
          <w:p w14:paraId="61E4F90C"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.001</w:t>
            </w:r>
          </w:p>
        </w:tc>
      </w:tr>
      <w:tr w:rsidR="007F558A" w:rsidRPr="00CF31E0" w14:paraId="60EC61E6" w14:textId="77777777" w:rsidTr="00603CB7">
        <w:trPr>
          <w:cantSplit/>
        </w:trPr>
        <w:tc>
          <w:tcPr>
            <w:tcW w:w="1736" w:type="dxa"/>
            <w:tcBorders>
              <w:top w:val="nil"/>
            </w:tcBorders>
            <w:shd w:val="clear" w:color="auto" w:fill="FFFFFF"/>
          </w:tcPr>
          <w:p w14:paraId="4DA6EE2E"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Within Groups</w:t>
            </w:r>
          </w:p>
        </w:tc>
        <w:tc>
          <w:tcPr>
            <w:tcW w:w="1686" w:type="dxa"/>
            <w:tcBorders>
              <w:top w:val="nil"/>
            </w:tcBorders>
            <w:shd w:val="clear" w:color="auto" w:fill="FFFFFF"/>
            <w:vAlign w:val="center"/>
          </w:tcPr>
          <w:p w14:paraId="180C2F75"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807.434</w:t>
            </w:r>
          </w:p>
        </w:tc>
        <w:tc>
          <w:tcPr>
            <w:tcW w:w="820" w:type="dxa"/>
            <w:tcBorders>
              <w:top w:val="nil"/>
            </w:tcBorders>
            <w:shd w:val="clear" w:color="auto" w:fill="FFFFFF"/>
            <w:vAlign w:val="center"/>
          </w:tcPr>
          <w:p w14:paraId="26855FB1"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647</w:t>
            </w:r>
          </w:p>
        </w:tc>
        <w:tc>
          <w:tcPr>
            <w:tcW w:w="1445" w:type="dxa"/>
            <w:tcBorders>
              <w:top w:val="nil"/>
            </w:tcBorders>
            <w:shd w:val="clear" w:color="auto" w:fill="FFFFFF"/>
            <w:vAlign w:val="center"/>
          </w:tcPr>
          <w:p w14:paraId="65B4C804"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1.252</w:t>
            </w:r>
          </w:p>
        </w:tc>
        <w:tc>
          <w:tcPr>
            <w:tcW w:w="1030" w:type="dxa"/>
            <w:tcBorders>
              <w:top w:val="nil"/>
            </w:tcBorders>
            <w:shd w:val="clear" w:color="auto" w:fill="FFFFFF"/>
            <w:vAlign w:val="center"/>
          </w:tcPr>
          <w:p w14:paraId="636A1C90" w14:textId="77777777" w:rsidR="000B4835" w:rsidRPr="00CF31E0" w:rsidRDefault="000B4835" w:rsidP="000B4835">
            <w:pPr>
              <w:spacing w:before="120" w:after="120" w:line="360" w:lineRule="auto"/>
              <w:rPr>
                <w:rFonts w:eastAsia="Calibri"/>
                <w:color w:val="000000" w:themeColor="text1"/>
                <w:sz w:val="22"/>
                <w:szCs w:val="22"/>
                <w:lang w:eastAsia="en-US"/>
              </w:rPr>
            </w:pPr>
          </w:p>
        </w:tc>
        <w:tc>
          <w:tcPr>
            <w:tcW w:w="816" w:type="dxa"/>
            <w:tcBorders>
              <w:top w:val="nil"/>
            </w:tcBorders>
            <w:shd w:val="clear" w:color="auto" w:fill="FFFFFF"/>
            <w:vAlign w:val="center"/>
          </w:tcPr>
          <w:p w14:paraId="78D6BBB7" w14:textId="77777777" w:rsidR="000B4835" w:rsidRPr="00CF31E0" w:rsidRDefault="000B4835" w:rsidP="000B4835">
            <w:pPr>
              <w:spacing w:before="120" w:after="120" w:line="360" w:lineRule="auto"/>
              <w:rPr>
                <w:rFonts w:eastAsia="Calibri"/>
                <w:color w:val="000000" w:themeColor="text1"/>
                <w:sz w:val="22"/>
                <w:szCs w:val="22"/>
                <w:lang w:eastAsia="en-US"/>
              </w:rPr>
            </w:pPr>
          </w:p>
        </w:tc>
      </w:tr>
      <w:tr w:rsidR="007F558A" w:rsidRPr="00CF31E0" w14:paraId="30A4C0D0" w14:textId="77777777" w:rsidTr="00603CB7">
        <w:trPr>
          <w:cantSplit/>
        </w:trPr>
        <w:tc>
          <w:tcPr>
            <w:tcW w:w="1736" w:type="dxa"/>
            <w:shd w:val="clear" w:color="auto" w:fill="FFFFFF"/>
          </w:tcPr>
          <w:p w14:paraId="6774AF83"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Total</w:t>
            </w:r>
          </w:p>
        </w:tc>
        <w:tc>
          <w:tcPr>
            <w:tcW w:w="1686" w:type="dxa"/>
            <w:shd w:val="clear" w:color="auto" w:fill="FFFFFF"/>
            <w:vAlign w:val="center"/>
          </w:tcPr>
          <w:p w14:paraId="027E1135"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825.111</w:t>
            </w:r>
          </w:p>
        </w:tc>
        <w:tc>
          <w:tcPr>
            <w:tcW w:w="820" w:type="dxa"/>
            <w:shd w:val="clear" w:color="auto" w:fill="FFFFFF"/>
            <w:vAlign w:val="center"/>
          </w:tcPr>
          <w:p w14:paraId="3966BED9"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1445" w:type="dxa"/>
            <w:shd w:val="clear" w:color="auto" w:fill="FFFFFF"/>
            <w:vAlign w:val="center"/>
          </w:tcPr>
          <w:p w14:paraId="35B46533" w14:textId="77777777" w:rsidR="000B4835" w:rsidRPr="00CF31E0" w:rsidRDefault="000B4835" w:rsidP="000B4835">
            <w:pPr>
              <w:spacing w:before="120" w:after="120" w:line="360" w:lineRule="auto"/>
              <w:rPr>
                <w:rFonts w:eastAsia="Calibri"/>
                <w:color w:val="000000" w:themeColor="text1"/>
                <w:sz w:val="22"/>
                <w:szCs w:val="22"/>
                <w:lang w:eastAsia="en-US"/>
              </w:rPr>
            </w:pPr>
          </w:p>
        </w:tc>
        <w:tc>
          <w:tcPr>
            <w:tcW w:w="1030" w:type="dxa"/>
            <w:shd w:val="clear" w:color="auto" w:fill="FFFFFF"/>
            <w:vAlign w:val="center"/>
          </w:tcPr>
          <w:p w14:paraId="649B2241" w14:textId="77777777" w:rsidR="000B4835" w:rsidRPr="00CF31E0" w:rsidRDefault="000B4835" w:rsidP="000B4835">
            <w:pPr>
              <w:spacing w:before="120" w:after="120" w:line="360" w:lineRule="auto"/>
              <w:rPr>
                <w:rFonts w:eastAsia="Calibri"/>
                <w:color w:val="000000" w:themeColor="text1"/>
                <w:sz w:val="22"/>
                <w:szCs w:val="22"/>
                <w:lang w:eastAsia="en-US"/>
              </w:rPr>
            </w:pPr>
          </w:p>
        </w:tc>
        <w:tc>
          <w:tcPr>
            <w:tcW w:w="816" w:type="dxa"/>
            <w:shd w:val="clear" w:color="auto" w:fill="FFFFFF"/>
            <w:vAlign w:val="center"/>
          </w:tcPr>
          <w:p w14:paraId="2E7DF174" w14:textId="77777777" w:rsidR="000B4835" w:rsidRPr="00CF31E0" w:rsidRDefault="000B4835" w:rsidP="000B4835">
            <w:pPr>
              <w:spacing w:before="120" w:after="120" w:line="360" w:lineRule="auto"/>
              <w:rPr>
                <w:rFonts w:eastAsia="Calibri"/>
                <w:color w:val="000000" w:themeColor="text1"/>
                <w:sz w:val="22"/>
                <w:szCs w:val="22"/>
                <w:lang w:eastAsia="en-US"/>
              </w:rPr>
            </w:pPr>
          </w:p>
        </w:tc>
      </w:tr>
    </w:tbl>
    <w:p w14:paraId="3B85C4F4" w14:textId="3031B1E8" w:rsidR="000B4835" w:rsidRPr="00CF31E0" w:rsidRDefault="000B4835" w:rsidP="004F45D7">
      <w:pPr>
        <w:pStyle w:val="Tablecaption"/>
        <w:spacing w:after="400"/>
        <w:rPr>
          <w:lang w:eastAsia="en-US"/>
        </w:rPr>
      </w:pPr>
      <w:bookmarkStart w:id="1077" w:name="_Toc522527531"/>
      <w:bookmarkStart w:id="1078" w:name="_Toc522628944"/>
      <w:bookmarkStart w:id="1079" w:name="_Toc522629108"/>
      <w:bookmarkStart w:id="1080" w:name="_Toc6473206"/>
      <w:r w:rsidRPr="00CF31E0">
        <w:rPr>
          <w:lang w:eastAsia="en-US"/>
        </w:rPr>
        <w:t xml:space="preserve">Table </w:t>
      </w:r>
      <w:r w:rsidR="0077196E" w:rsidRPr="00CF31E0">
        <w:rPr>
          <w:lang w:eastAsia="en-US"/>
        </w:rPr>
        <w:t>11</w:t>
      </w:r>
      <w:r w:rsidR="005A16AC" w:rsidRPr="00CF31E0">
        <w:rPr>
          <w:lang w:eastAsia="en-US"/>
        </w:rPr>
        <w:t>.</w:t>
      </w:r>
      <w:r w:rsidR="0077196E" w:rsidRPr="00CF31E0">
        <w:rPr>
          <w:lang w:eastAsia="en-US"/>
        </w:rPr>
        <w:t>68</w:t>
      </w:r>
      <w:r w:rsidRPr="00CF31E0">
        <w:rPr>
          <w:lang w:eastAsia="en-US"/>
        </w:rPr>
        <w:t>: ANOVA statistics for mother’s social group demographic variable.</w:t>
      </w:r>
      <w:bookmarkEnd w:id="1077"/>
      <w:bookmarkEnd w:id="1078"/>
      <w:bookmarkEnd w:id="1079"/>
      <w:bookmarkEnd w:id="1080"/>
      <w:r w:rsidRPr="00CF31E0">
        <w:rPr>
          <w:lang w:eastAsia="en-US"/>
        </w:rPr>
        <w:t xml:space="preserve"> </w:t>
      </w:r>
    </w:p>
    <w:tbl>
      <w:tblPr>
        <w:tblW w:w="7397" w:type="dxa"/>
        <w:tblInd w:w="-20" w:type="dxa"/>
        <w:tblLayout w:type="fixed"/>
        <w:tblCellMar>
          <w:left w:w="0" w:type="dxa"/>
          <w:right w:w="0" w:type="dxa"/>
        </w:tblCellMar>
        <w:tblLook w:val="0000" w:firstRow="0" w:lastRow="0" w:firstColumn="0" w:lastColumn="0" w:noHBand="0" w:noVBand="0"/>
      </w:tblPr>
      <w:tblGrid>
        <w:gridCol w:w="1692"/>
        <w:gridCol w:w="1736"/>
        <w:gridCol w:w="1838"/>
        <w:gridCol w:w="1281"/>
        <w:gridCol w:w="850"/>
      </w:tblGrid>
      <w:tr w:rsidR="00232F36" w:rsidRPr="00CF31E0" w14:paraId="0D082B66" w14:textId="77777777" w:rsidTr="004F45D7">
        <w:trPr>
          <w:cantSplit/>
          <w:trHeight w:val="499"/>
        </w:trPr>
        <w:tc>
          <w:tcPr>
            <w:tcW w:w="1692" w:type="dxa"/>
            <w:vMerge w:val="restart"/>
            <w:tcBorders>
              <w:top w:val="single" w:sz="8" w:space="0" w:color="000000"/>
              <w:bottom w:val="single" w:sz="8" w:space="0" w:color="000000"/>
            </w:tcBorders>
            <w:shd w:val="clear" w:color="auto" w:fill="FFFFFF"/>
            <w:vAlign w:val="bottom"/>
          </w:tcPr>
          <w:p w14:paraId="761DAD64" w14:textId="5EB87793" w:rsidR="00232F36" w:rsidRPr="00CF31E0" w:rsidRDefault="00232F36"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 xml:space="preserve">Mother’s social </w:t>
            </w:r>
          </w:p>
          <w:p w14:paraId="6B91DC92" w14:textId="77777777" w:rsidR="00232F36" w:rsidRPr="00CF31E0" w:rsidRDefault="00232F36"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group</w:t>
            </w:r>
          </w:p>
        </w:tc>
        <w:tc>
          <w:tcPr>
            <w:tcW w:w="1736" w:type="dxa"/>
            <w:vMerge w:val="restart"/>
            <w:tcBorders>
              <w:top w:val="single" w:sz="8" w:space="0" w:color="000000"/>
              <w:bottom w:val="single" w:sz="8" w:space="0" w:color="000000"/>
            </w:tcBorders>
            <w:shd w:val="clear" w:color="auto" w:fill="FFFFFF"/>
            <w:vAlign w:val="bottom"/>
          </w:tcPr>
          <w:p w14:paraId="55C7C7FF" w14:textId="518EC38F" w:rsidR="00232F36" w:rsidRPr="00CF31E0" w:rsidRDefault="00232F36"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Mother’s social</w:t>
            </w:r>
          </w:p>
          <w:p w14:paraId="6C505E52" w14:textId="77777777" w:rsidR="00232F36" w:rsidRPr="00CF31E0" w:rsidRDefault="00232F36"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group</w:t>
            </w:r>
          </w:p>
        </w:tc>
        <w:tc>
          <w:tcPr>
            <w:tcW w:w="1838" w:type="dxa"/>
            <w:vMerge w:val="restart"/>
            <w:tcBorders>
              <w:top w:val="single" w:sz="8" w:space="0" w:color="000000"/>
              <w:bottom w:val="single" w:sz="8" w:space="0" w:color="000000"/>
            </w:tcBorders>
            <w:shd w:val="clear" w:color="auto" w:fill="FFFFFF"/>
            <w:vAlign w:val="bottom"/>
          </w:tcPr>
          <w:p w14:paraId="623F6413" w14:textId="5D36FFE1" w:rsidR="00232F36" w:rsidRPr="00CF31E0" w:rsidRDefault="00232F36"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 xml:space="preserve">Mean Difference </w:t>
            </w:r>
          </w:p>
        </w:tc>
        <w:tc>
          <w:tcPr>
            <w:tcW w:w="1281" w:type="dxa"/>
            <w:vMerge w:val="restart"/>
            <w:tcBorders>
              <w:top w:val="single" w:sz="8" w:space="0" w:color="000000"/>
              <w:bottom w:val="single" w:sz="8" w:space="0" w:color="000000"/>
            </w:tcBorders>
            <w:shd w:val="clear" w:color="auto" w:fill="FFFFFF"/>
            <w:vAlign w:val="bottom"/>
          </w:tcPr>
          <w:p w14:paraId="34EF2982" w14:textId="77777777" w:rsidR="00232F36" w:rsidRPr="00CF31E0" w:rsidRDefault="00232F36"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Std. Error</w:t>
            </w:r>
          </w:p>
        </w:tc>
        <w:tc>
          <w:tcPr>
            <w:tcW w:w="850" w:type="dxa"/>
            <w:vMerge w:val="restart"/>
            <w:tcBorders>
              <w:top w:val="single" w:sz="8" w:space="0" w:color="000000"/>
              <w:bottom w:val="single" w:sz="8" w:space="0" w:color="000000"/>
            </w:tcBorders>
            <w:shd w:val="clear" w:color="auto" w:fill="FFFFFF"/>
            <w:vAlign w:val="bottom"/>
          </w:tcPr>
          <w:p w14:paraId="56183CB0" w14:textId="77777777" w:rsidR="00232F36" w:rsidRPr="00CF31E0" w:rsidRDefault="00232F36"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Sig.</w:t>
            </w:r>
          </w:p>
        </w:tc>
      </w:tr>
      <w:tr w:rsidR="00232F36" w:rsidRPr="00CF31E0" w14:paraId="2F6F4165" w14:textId="77777777" w:rsidTr="004F45D7">
        <w:trPr>
          <w:cantSplit/>
          <w:trHeight w:val="619"/>
        </w:trPr>
        <w:tc>
          <w:tcPr>
            <w:tcW w:w="1692" w:type="dxa"/>
            <w:vMerge/>
            <w:tcBorders>
              <w:bottom w:val="single" w:sz="8" w:space="0" w:color="000000"/>
            </w:tcBorders>
            <w:shd w:val="clear" w:color="auto" w:fill="FFFFFF"/>
            <w:vAlign w:val="bottom"/>
          </w:tcPr>
          <w:p w14:paraId="0D759D08" w14:textId="77777777" w:rsidR="00232F36" w:rsidRPr="00CF31E0" w:rsidRDefault="00232F36" w:rsidP="000B4835">
            <w:pPr>
              <w:spacing w:before="120" w:after="120" w:line="360" w:lineRule="auto"/>
              <w:rPr>
                <w:rFonts w:eastAsia="Calibri"/>
                <w:color w:val="000000" w:themeColor="text1"/>
                <w:sz w:val="22"/>
                <w:szCs w:val="22"/>
                <w:lang w:eastAsia="en-US"/>
              </w:rPr>
            </w:pPr>
          </w:p>
        </w:tc>
        <w:tc>
          <w:tcPr>
            <w:tcW w:w="1736" w:type="dxa"/>
            <w:vMerge/>
            <w:tcBorders>
              <w:bottom w:val="single" w:sz="8" w:space="0" w:color="000000"/>
            </w:tcBorders>
            <w:shd w:val="clear" w:color="auto" w:fill="FFFFFF"/>
            <w:vAlign w:val="bottom"/>
          </w:tcPr>
          <w:p w14:paraId="7415FF7D" w14:textId="77777777" w:rsidR="00232F36" w:rsidRPr="00CF31E0" w:rsidRDefault="00232F36" w:rsidP="000B4835">
            <w:pPr>
              <w:spacing w:before="120" w:after="120" w:line="360" w:lineRule="auto"/>
              <w:rPr>
                <w:rFonts w:eastAsia="Calibri"/>
                <w:color w:val="000000" w:themeColor="text1"/>
                <w:sz w:val="22"/>
                <w:szCs w:val="22"/>
                <w:lang w:eastAsia="en-US"/>
              </w:rPr>
            </w:pPr>
          </w:p>
        </w:tc>
        <w:tc>
          <w:tcPr>
            <w:tcW w:w="1838" w:type="dxa"/>
            <w:vMerge/>
            <w:tcBorders>
              <w:bottom w:val="single" w:sz="8" w:space="0" w:color="000000"/>
            </w:tcBorders>
            <w:shd w:val="clear" w:color="auto" w:fill="FFFFFF"/>
            <w:vAlign w:val="bottom"/>
          </w:tcPr>
          <w:p w14:paraId="0AF75879" w14:textId="77777777" w:rsidR="00232F36" w:rsidRPr="00CF31E0" w:rsidRDefault="00232F36" w:rsidP="000B4835">
            <w:pPr>
              <w:spacing w:before="120" w:after="120" w:line="360" w:lineRule="auto"/>
              <w:rPr>
                <w:rFonts w:eastAsia="Calibri"/>
                <w:color w:val="000000" w:themeColor="text1"/>
                <w:sz w:val="22"/>
                <w:szCs w:val="22"/>
                <w:lang w:eastAsia="en-US"/>
              </w:rPr>
            </w:pPr>
          </w:p>
        </w:tc>
        <w:tc>
          <w:tcPr>
            <w:tcW w:w="1281" w:type="dxa"/>
            <w:vMerge/>
            <w:tcBorders>
              <w:bottom w:val="single" w:sz="8" w:space="0" w:color="000000"/>
            </w:tcBorders>
            <w:shd w:val="clear" w:color="auto" w:fill="FFFFFF"/>
            <w:vAlign w:val="bottom"/>
          </w:tcPr>
          <w:p w14:paraId="4E09C963" w14:textId="77777777" w:rsidR="00232F36" w:rsidRPr="00CF31E0" w:rsidRDefault="00232F36" w:rsidP="000B4835">
            <w:pPr>
              <w:spacing w:before="120" w:after="120" w:line="360" w:lineRule="auto"/>
              <w:rPr>
                <w:rFonts w:eastAsia="Calibri"/>
                <w:color w:val="000000" w:themeColor="text1"/>
                <w:sz w:val="22"/>
                <w:szCs w:val="22"/>
                <w:lang w:eastAsia="en-US"/>
              </w:rPr>
            </w:pPr>
          </w:p>
        </w:tc>
        <w:tc>
          <w:tcPr>
            <w:tcW w:w="850" w:type="dxa"/>
            <w:vMerge/>
            <w:tcBorders>
              <w:bottom w:val="single" w:sz="8" w:space="0" w:color="000000"/>
            </w:tcBorders>
            <w:shd w:val="clear" w:color="auto" w:fill="FFFFFF"/>
            <w:vAlign w:val="bottom"/>
          </w:tcPr>
          <w:p w14:paraId="687FB3FA" w14:textId="77777777" w:rsidR="00232F36" w:rsidRPr="00CF31E0" w:rsidRDefault="00232F36" w:rsidP="000B4835">
            <w:pPr>
              <w:spacing w:before="120" w:after="120" w:line="360" w:lineRule="auto"/>
              <w:rPr>
                <w:rFonts w:eastAsia="Calibri"/>
                <w:color w:val="000000" w:themeColor="text1"/>
                <w:sz w:val="22"/>
                <w:szCs w:val="22"/>
                <w:lang w:eastAsia="en-US"/>
              </w:rPr>
            </w:pPr>
          </w:p>
        </w:tc>
      </w:tr>
      <w:tr w:rsidR="00232F36" w:rsidRPr="00CF31E0" w14:paraId="6BCAAD05" w14:textId="77777777" w:rsidTr="004F45D7">
        <w:trPr>
          <w:cantSplit/>
        </w:trPr>
        <w:tc>
          <w:tcPr>
            <w:tcW w:w="1692" w:type="dxa"/>
            <w:tcBorders>
              <w:top w:val="single" w:sz="8" w:space="0" w:color="000000"/>
            </w:tcBorders>
            <w:shd w:val="clear" w:color="auto" w:fill="FFFFFF"/>
          </w:tcPr>
          <w:p w14:paraId="5A2C8BD1" w14:textId="111DD55C" w:rsidR="00232F36" w:rsidRPr="00CF31E0" w:rsidRDefault="00232F36"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UBH</w:t>
            </w:r>
          </w:p>
        </w:tc>
        <w:tc>
          <w:tcPr>
            <w:tcW w:w="1736" w:type="dxa"/>
            <w:tcBorders>
              <w:top w:val="single" w:sz="8" w:space="0" w:color="000000"/>
            </w:tcBorders>
            <w:shd w:val="clear" w:color="auto" w:fill="FFFFFF"/>
          </w:tcPr>
          <w:p w14:paraId="79FCBFBE" w14:textId="02F9DF92" w:rsidR="00232F36" w:rsidRPr="00CF31E0" w:rsidRDefault="00232F36"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HH</w:t>
            </w:r>
          </w:p>
        </w:tc>
        <w:tc>
          <w:tcPr>
            <w:tcW w:w="1838" w:type="dxa"/>
            <w:tcBorders>
              <w:top w:val="single" w:sz="8" w:space="0" w:color="000000"/>
            </w:tcBorders>
            <w:shd w:val="clear" w:color="auto" w:fill="FFFFFF"/>
            <w:vAlign w:val="center"/>
          </w:tcPr>
          <w:p w14:paraId="7054CEA9" w14:textId="77777777" w:rsidR="00232F36" w:rsidRPr="00CF31E0" w:rsidRDefault="00232F36"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.32015</w:t>
            </w:r>
            <w:r w:rsidRPr="00CF31E0">
              <w:rPr>
                <w:rFonts w:eastAsia="Calibri"/>
                <w:color w:val="000000" w:themeColor="text1"/>
                <w:sz w:val="22"/>
                <w:szCs w:val="22"/>
                <w:vertAlign w:val="superscript"/>
                <w:lang w:eastAsia="en-US"/>
              </w:rPr>
              <w:t>*</w:t>
            </w:r>
          </w:p>
        </w:tc>
        <w:tc>
          <w:tcPr>
            <w:tcW w:w="1281" w:type="dxa"/>
            <w:tcBorders>
              <w:top w:val="single" w:sz="8" w:space="0" w:color="000000"/>
            </w:tcBorders>
            <w:shd w:val="clear" w:color="auto" w:fill="FFFFFF"/>
            <w:vAlign w:val="center"/>
          </w:tcPr>
          <w:p w14:paraId="00892628" w14:textId="77777777" w:rsidR="00232F36" w:rsidRPr="00CF31E0" w:rsidRDefault="00232F36"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.08937</w:t>
            </w:r>
          </w:p>
        </w:tc>
        <w:tc>
          <w:tcPr>
            <w:tcW w:w="850" w:type="dxa"/>
            <w:tcBorders>
              <w:top w:val="single" w:sz="8" w:space="0" w:color="000000"/>
            </w:tcBorders>
            <w:shd w:val="clear" w:color="auto" w:fill="FFFFFF"/>
            <w:vAlign w:val="center"/>
          </w:tcPr>
          <w:p w14:paraId="28896A48" w14:textId="77777777" w:rsidR="00232F36" w:rsidRPr="00CF31E0" w:rsidRDefault="00232F36"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.001</w:t>
            </w:r>
          </w:p>
        </w:tc>
      </w:tr>
      <w:tr w:rsidR="00232F36" w:rsidRPr="00CF31E0" w14:paraId="59CE09A9" w14:textId="77777777" w:rsidTr="004F45D7">
        <w:trPr>
          <w:cantSplit/>
        </w:trPr>
        <w:tc>
          <w:tcPr>
            <w:tcW w:w="1692" w:type="dxa"/>
            <w:tcBorders>
              <w:bottom w:val="single" w:sz="8" w:space="0" w:color="000000"/>
            </w:tcBorders>
            <w:shd w:val="clear" w:color="auto" w:fill="FFFFFF"/>
          </w:tcPr>
          <w:p w14:paraId="595C9379" w14:textId="478D0ADF" w:rsidR="00232F36" w:rsidRPr="00CF31E0" w:rsidRDefault="00232F36"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HH</w:t>
            </w:r>
          </w:p>
        </w:tc>
        <w:tc>
          <w:tcPr>
            <w:tcW w:w="1736" w:type="dxa"/>
            <w:tcBorders>
              <w:bottom w:val="single" w:sz="8" w:space="0" w:color="000000"/>
            </w:tcBorders>
            <w:shd w:val="clear" w:color="auto" w:fill="FFFFFF"/>
          </w:tcPr>
          <w:p w14:paraId="4F927022" w14:textId="43AFEB8F" w:rsidR="00232F36" w:rsidRPr="00CF31E0" w:rsidRDefault="00232F36"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UBH</w:t>
            </w:r>
          </w:p>
        </w:tc>
        <w:tc>
          <w:tcPr>
            <w:tcW w:w="1838" w:type="dxa"/>
            <w:tcBorders>
              <w:bottom w:val="single" w:sz="8" w:space="0" w:color="000000"/>
            </w:tcBorders>
            <w:shd w:val="clear" w:color="auto" w:fill="FFFFFF"/>
            <w:vAlign w:val="center"/>
          </w:tcPr>
          <w:p w14:paraId="3FE4A6C3" w14:textId="77777777" w:rsidR="00232F36" w:rsidRPr="00CF31E0" w:rsidRDefault="00232F36"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-.32015</w:t>
            </w:r>
            <w:r w:rsidRPr="00CF31E0">
              <w:rPr>
                <w:rFonts w:eastAsia="Calibri"/>
                <w:color w:val="000000" w:themeColor="text1"/>
                <w:sz w:val="22"/>
                <w:szCs w:val="22"/>
                <w:vertAlign w:val="superscript"/>
                <w:lang w:eastAsia="en-US"/>
              </w:rPr>
              <w:t>*</w:t>
            </w:r>
          </w:p>
        </w:tc>
        <w:tc>
          <w:tcPr>
            <w:tcW w:w="1281" w:type="dxa"/>
            <w:tcBorders>
              <w:bottom w:val="single" w:sz="8" w:space="0" w:color="000000"/>
            </w:tcBorders>
            <w:shd w:val="clear" w:color="auto" w:fill="FFFFFF"/>
            <w:vAlign w:val="center"/>
          </w:tcPr>
          <w:p w14:paraId="41DE5B95" w14:textId="77777777" w:rsidR="00232F36" w:rsidRPr="00CF31E0" w:rsidRDefault="00232F36"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.08937</w:t>
            </w:r>
          </w:p>
        </w:tc>
        <w:tc>
          <w:tcPr>
            <w:tcW w:w="850" w:type="dxa"/>
            <w:tcBorders>
              <w:bottom w:val="single" w:sz="8" w:space="0" w:color="000000"/>
            </w:tcBorders>
            <w:shd w:val="clear" w:color="auto" w:fill="FFFFFF"/>
            <w:vAlign w:val="center"/>
          </w:tcPr>
          <w:p w14:paraId="0A6C4DAE" w14:textId="77777777" w:rsidR="00232F36" w:rsidRPr="00CF31E0" w:rsidRDefault="00232F36"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.001</w:t>
            </w:r>
          </w:p>
        </w:tc>
      </w:tr>
    </w:tbl>
    <w:p w14:paraId="50557874" w14:textId="2AA41A83" w:rsidR="000B4835" w:rsidRPr="00CF31E0" w:rsidRDefault="000B4835" w:rsidP="0077196E">
      <w:pPr>
        <w:pStyle w:val="Tablecaption"/>
        <w:rPr>
          <w:lang w:eastAsia="en-US"/>
        </w:rPr>
      </w:pPr>
      <w:bookmarkStart w:id="1081" w:name="_Toc522527532"/>
      <w:bookmarkStart w:id="1082" w:name="_Toc522628945"/>
      <w:bookmarkStart w:id="1083" w:name="_Toc522629109"/>
      <w:bookmarkStart w:id="1084" w:name="_Toc6473207"/>
      <w:r w:rsidRPr="00CF31E0">
        <w:rPr>
          <w:lang w:eastAsia="en-US"/>
        </w:rPr>
        <w:t xml:space="preserve">Table </w:t>
      </w:r>
      <w:r w:rsidR="0077196E" w:rsidRPr="00CF31E0">
        <w:rPr>
          <w:lang w:eastAsia="en-US"/>
        </w:rPr>
        <w:t>11</w:t>
      </w:r>
      <w:r w:rsidR="005A16AC" w:rsidRPr="00CF31E0">
        <w:rPr>
          <w:lang w:eastAsia="en-US"/>
        </w:rPr>
        <w:t>.</w:t>
      </w:r>
      <w:r w:rsidR="0077196E" w:rsidRPr="00CF31E0">
        <w:rPr>
          <w:lang w:eastAsia="en-US"/>
        </w:rPr>
        <w:t>69</w:t>
      </w:r>
      <w:r w:rsidRPr="00CF31E0">
        <w:rPr>
          <w:lang w:eastAsia="en-US"/>
        </w:rPr>
        <w:t>: Post-hoc test results for mother’s social group demographic variable.</w:t>
      </w:r>
      <w:bookmarkEnd w:id="1081"/>
      <w:bookmarkEnd w:id="1082"/>
      <w:bookmarkEnd w:id="1083"/>
      <w:bookmarkEnd w:id="1084"/>
      <w:r w:rsidRPr="00CF31E0">
        <w:rPr>
          <w:lang w:eastAsia="en-US"/>
        </w:rPr>
        <w:t xml:space="preserve"> </w:t>
      </w:r>
    </w:p>
    <w:p w14:paraId="3249579A" w14:textId="4D04E528" w:rsidR="000B4835" w:rsidRPr="00CF31E0" w:rsidRDefault="000B4835" w:rsidP="00603CB7">
      <w:pPr>
        <w:pStyle w:val="Paragraph"/>
        <w:rPr>
          <w:lang w:val="en-US" w:eastAsia="en-US"/>
        </w:rPr>
      </w:pPr>
      <w:r w:rsidRPr="00CF31E0">
        <w:rPr>
          <w:lang w:val="en-US" w:eastAsia="en-US"/>
        </w:rPr>
        <w:t xml:space="preserve">Table </w:t>
      </w:r>
      <w:r w:rsidR="0077196E" w:rsidRPr="00CF31E0">
        <w:rPr>
          <w:lang w:val="en-US" w:eastAsia="en-US"/>
        </w:rPr>
        <w:t>11</w:t>
      </w:r>
      <w:r w:rsidR="005A16AC" w:rsidRPr="00CF31E0">
        <w:rPr>
          <w:lang w:val="en-US" w:eastAsia="en-US"/>
        </w:rPr>
        <w:t>.</w:t>
      </w:r>
      <w:r w:rsidR="0077196E" w:rsidRPr="00CF31E0">
        <w:rPr>
          <w:lang w:val="en-US" w:eastAsia="en-US"/>
        </w:rPr>
        <w:t xml:space="preserve">68 </w:t>
      </w:r>
      <w:r w:rsidRPr="00CF31E0">
        <w:rPr>
          <w:lang w:val="en-US" w:eastAsia="en-US"/>
        </w:rPr>
        <w:t xml:space="preserve">shows a significant difference in the scores between those participants whose mothers are of </w:t>
      </w:r>
      <w:r w:rsidR="0059652A" w:rsidRPr="00CF31E0">
        <w:rPr>
          <w:lang w:val="en-US" w:eastAsia="en-US"/>
        </w:rPr>
        <w:t>UBH</w:t>
      </w:r>
      <w:r w:rsidRPr="00CF31E0">
        <w:rPr>
          <w:lang w:val="en-US" w:eastAsia="en-US"/>
        </w:rPr>
        <w:t xml:space="preserve"> origin and those whose mothers are of </w:t>
      </w:r>
      <w:r w:rsidR="00FF4DC7" w:rsidRPr="00CF31E0">
        <w:rPr>
          <w:lang w:val="en-US" w:eastAsia="en-US"/>
        </w:rPr>
        <w:t>HH</w:t>
      </w:r>
      <w:r w:rsidRPr="00CF31E0">
        <w:rPr>
          <w:lang w:val="en-US" w:eastAsia="en-US"/>
        </w:rPr>
        <w:t xml:space="preserve"> origin, with a p value of .001. </w:t>
      </w:r>
      <w:r w:rsidR="00326AE7">
        <w:rPr>
          <w:lang w:val="en-US" w:eastAsia="en-US"/>
        </w:rPr>
        <w:t>Table 11:69 shows that t</w:t>
      </w:r>
      <w:r w:rsidRPr="00CF31E0">
        <w:rPr>
          <w:lang w:val="en-US" w:eastAsia="en-US"/>
        </w:rPr>
        <w:t xml:space="preserve">hose whose mothers are of </w:t>
      </w:r>
      <w:r w:rsidR="0059652A" w:rsidRPr="00CF31E0">
        <w:rPr>
          <w:lang w:val="en-US" w:eastAsia="en-US"/>
        </w:rPr>
        <w:t>UBH</w:t>
      </w:r>
      <w:r w:rsidRPr="00CF31E0">
        <w:rPr>
          <w:lang w:val="en-US" w:eastAsia="en-US"/>
        </w:rPr>
        <w:t xml:space="preserve"> perceived the voice as more </w:t>
      </w:r>
      <w:r w:rsidRPr="00CF31E0">
        <w:rPr>
          <w:i/>
          <w:iCs/>
          <w:lang w:val="en-US" w:eastAsia="en-US"/>
        </w:rPr>
        <w:t>traditional</w:t>
      </w:r>
      <w:r w:rsidRPr="00CF31E0">
        <w:rPr>
          <w:lang w:val="en-US" w:eastAsia="en-US"/>
        </w:rPr>
        <w:t xml:space="preserve"> than did the other group. </w:t>
      </w:r>
    </w:p>
    <w:p w14:paraId="564A77C9" w14:textId="6CD4EB48" w:rsidR="000B4835" w:rsidRPr="00CF31E0" w:rsidRDefault="0077196E" w:rsidP="0041475C">
      <w:pPr>
        <w:pStyle w:val="Chead"/>
      </w:pPr>
      <w:bookmarkStart w:id="1085" w:name="_Toc6472806"/>
      <w:r w:rsidRPr="00CF31E0">
        <w:t>11</w:t>
      </w:r>
      <w:r w:rsidR="000B4835" w:rsidRPr="00CF31E0">
        <w:t>.3.</w:t>
      </w:r>
      <w:r w:rsidR="0041475C" w:rsidRPr="00CF31E0">
        <w:t>7</w:t>
      </w:r>
      <w:r w:rsidR="000B4835" w:rsidRPr="00CF31E0">
        <w:t>.2.</w:t>
      </w:r>
      <w:r w:rsidR="003F4912" w:rsidRPr="00CF31E0">
        <w:tab/>
      </w:r>
      <w:r w:rsidR="000B4835" w:rsidRPr="00CF31E0">
        <w:t>Modern scale</w:t>
      </w:r>
      <w:bookmarkEnd w:id="1085"/>
      <w:r w:rsidR="000B4835" w:rsidRPr="00CF31E0">
        <w:t xml:space="preserve"> </w:t>
      </w:r>
    </w:p>
    <w:p w14:paraId="0FF3E48E" w14:textId="4CAF075F" w:rsidR="00CC5995" w:rsidRDefault="000B4835" w:rsidP="00DC699C">
      <w:pPr>
        <w:pStyle w:val="Paragraph"/>
        <w:rPr>
          <w:lang w:val="en-US" w:eastAsia="en-US"/>
        </w:rPr>
      </w:pPr>
      <w:r w:rsidRPr="00CF31E0">
        <w:rPr>
          <w:lang w:eastAsia="zh-CN"/>
        </w:rPr>
        <w:t xml:space="preserve">The ANOVA results on the modern scale revealed that </w:t>
      </w:r>
      <w:r w:rsidR="000F50E0" w:rsidRPr="00CF31E0">
        <w:rPr>
          <w:lang w:eastAsia="zh-CN"/>
        </w:rPr>
        <w:t>only age demographic variable</w:t>
      </w:r>
      <w:r w:rsidRPr="00CF31E0">
        <w:rPr>
          <w:lang w:eastAsia="zh-CN"/>
        </w:rPr>
        <w:t xml:space="preserve"> affected the scale. </w:t>
      </w:r>
      <w:r w:rsidR="004E0035" w:rsidRPr="00CF31E0">
        <w:rPr>
          <w:lang w:val="en-US" w:eastAsia="en-US"/>
        </w:rPr>
        <w:t xml:space="preserve">See </w:t>
      </w:r>
      <w:r w:rsidR="003423CA" w:rsidRPr="00CF31E0">
        <w:rPr>
          <w:lang w:val="en-US" w:eastAsia="en-US"/>
        </w:rPr>
        <w:t xml:space="preserve">Tables </w:t>
      </w:r>
      <w:r w:rsidR="0077196E" w:rsidRPr="00CF31E0">
        <w:rPr>
          <w:lang w:val="en-US" w:eastAsia="en-US"/>
        </w:rPr>
        <w:t>11</w:t>
      </w:r>
      <w:r w:rsidR="000F50E0" w:rsidRPr="00CF31E0">
        <w:rPr>
          <w:lang w:val="en-US" w:eastAsia="en-US"/>
        </w:rPr>
        <w:t>.</w:t>
      </w:r>
      <w:r w:rsidR="0077196E" w:rsidRPr="00CF31E0">
        <w:rPr>
          <w:lang w:val="en-US" w:eastAsia="en-US"/>
        </w:rPr>
        <w:t>70 and 11.71</w:t>
      </w:r>
      <w:r w:rsidR="003423CA" w:rsidRPr="00CF31E0">
        <w:rPr>
          <w:lang w:val="en-US" w:eastAsia="en-US"/>
        </w:rPr>
        <w:t xml:space="preserve"> for age</w:t>
      </w:r>
      <w:r w:rsidR="00CC5995" w:rsidRPr="00CF31E0">
        <w:rPr>
          <w:lang w:val="en-US" w:eastAsia="en-US"/>
        </w:rPr>
        <w:t xml:space="preserve"> </w:t>
      </w:r>
      <w:r w:rsidR="003423CA" w:rsidRPr="00CF31E0">
        <w:rPr>
          <w:lang w:val="en-US" w:eastAsia="en-US"/>
        </w:rPr>
        <w:t>results from the data.</w:t>
      </w:r>
    </w:p>
    <w:p w14:paraId="106BB970" w14:textId="77777777" w:rsidR="001253B8" w:rsidRDefault="001253B8" w:rsidP="00DC699C">
      <w:pPr>
        <w:pStyle w:val="Paragraph"/>
        <w:rPr>
          <w:lang w:val="en-US" w:eastAsia="en-US"/>
        </w:rPr>
      </w:pPr>
    </w:p>
    <w:p w14:paraId="0FB5B54A" w14:textId="77777777" w:rsidR="001253B8" w:rsidRPr="00CF31E0" w:rsidRDefault="001253B8" w:rsidP="00DC699C">
      <w:pPr>
        <w:pStyle w:val="Paragraph"/>
        <w:rPr>
          <w:lang w:val="en-US" w:eastAsia="en-US"/>
        </w:rPr>
      </w:pPr>
    </w:p>
    <w:tbl>
      <w:tblPr>
        <w:tblW w:w="7533" w:type="dxa"/>
        <w:tblInd w:w="-20" w:type="dxa"/>
        <w:tblBorders>
          <w:top w:val="single" w:sz="4" w:space="0" w:color="000000"/>
          <w:bottom w:val="single" w:sz="4" w:space="0" w:color="000000"/>
        </w:tblBorders>
        <w:tblLayout w:type="fixed"/>
        <w:tblCellMar>
          <w:left w:w="0" w:type="dxa"/>
          <w:right w:w="0" w:type="dxa"/>
        </w:tblCellMar>
        <w:tblLook w:val="0000" w:firstRow="0" w:lastRow="0" w:firstColumn="0" w:lastColumn="0" w:noHBand="0" w:noVBand="0"/>
      </w:tblPr>
      <w:tblGrid>
        <w:gridCol w:w="1733"/>
        <w:gridCol w:w="1689"/>
        <w:gridCol w:w="820"/>
        <w:gridCol w:w="1445"/>
        <w:gridCol w:w="1030"/>
        <w:gridCol w:w="816"/>
      </w:tblGrid>
      <w:tr w:rsidR="0067284B" w:rsidRPr="00CF31E0" w14:paraId="2E2875D1" w14:textId="77777777" w:rsidTr="00603CB7">
        <w:trPr>
          <w:cantSplit/>
        </w:trPr>
        <w:tc>
          <w:tcPr>
            <w:tcW w:w="1733" w:type="dxa"/>
            <w:tcBorders>
              <w:top w:val="single" w:sz="4" w:space="0" w:color="000000"/>
              <w:bottom w:val="single" w:sz="8" w:space="0" w:color="auto"/>
            </w:tcBorders>
            <w:shd w:val="clear" w:color="auto" w:fill="FFFFFF"/>
          </w:tcPr>
          <w:p w14:paraId="0194A3D4" w14:textId="03489F77" w:rsidR="0067284B" w:rsidRPr="00CF31E0" w:rsidRDefault="0067284B"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lastRenderedPageBreak/>
              <w:t>Age</w:t>
            </w:r>
          </w:p>
        </w:tc>
        <w:tc>
          <w:tcPr>
            <w:tcW w:w="1689" w:type="dxa"/>
            <w:tcBorders>
              <w:top w:val="single" w:sz="4" w:space="0" w:color="000000"/>
              <w:bottom w:val="single" w:sz="8" w:space="0" w:color="auto"/>
            </w:tcBorders>
            <w:shd w:val="clear" w:color="auto" w:fill="FFFFFF"/>
            <w:vAlign w:val="center"/>
          </w:tcPr>
          <w:p w14:paraId="3E5D9C29" w14:textId="243B325D" w:rsidR="0067284B" w:rsidRPr="00CF31E0" w:rsidRDefault="0067284B"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Sum of Squares</w:t>
            </w:r>
          </w:p>
        </w:tc>
        <w:tc>
          <w:tcPr>
            <w:tcW w:w="820" w:type="dxa"/>
            <w:tcBorders>
              <w:top w:val="single" w:sz="4" w:space="0" w:color="000000"/>
              <w:bottom w:val="single" w:sz="8" w:space="0" w:color="auto"/>
            </w:tcBorders>
            <w:shd w:val="clear" w:color="auto" w:fill="FFFFFF"/>
            <w:vAlign w:val="center"/>
          </w:tcPr>
          <w:p w14:paraId="283CA7D0" w14:textId="003B784E" w:rsidR="0067284B" w:rsidRPr="00CF31E0" w:rsidRDefault="0067284B"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df</w:t>
            </w:r>
          </w:p>
        </w:tc>
        <w:tc>
          <w:tcPr>
            <w:tcW w:w="1445" w:type="dxa"/>
            <w:tcBorders>
              <w:top w:val="single" w:sz="4" w:space="0" w:color="000000"/>
              <w:bottom w:val="single" w:sz="8" w:space="0" w:color="auto"/>
            </w:tcBorders>
            <w:shd w:val="clear" w:color="auto" w:fill="FFFFFF"/>
            <w:vAlign w:val="center"/>
          </w:tcPr>
          <w:p w14:paraId="39FEB07A" w14:textId="35091EF6" w:rsidR="0067284B" w:rsidRPr="00CF31E0" w:rsidRDefault="0067284B"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Mean Square</w:t>
            </w:r>
          </w:p>
        </w:tc>
        <w:tc>
          <w:tcPr>
            <w:tcW w:w="1030" w:type="dxa"/>
            <w:tcBorders>
              <w:top w:val="single" w:sz="4" w:space="0" w:color="000000"/>
              <w:bottom w:val="single" w:sz="8" w:space="0" w:color="auto"/>
            </w:tcBorders>
            <w:shd w:val="clear" w:color="auto" w:fill="FFFFFF"/>
            <w:vAlign w:val="center"/>
          </w:tcPr>
          <w:p w14:paraId="7AC510F5" w14:textId="071E0118" w:rsidR="0067284B" w:rsidRPr="00CF31E0" w:rsidRDefault="0067284B"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F</w:t>
            </w:r>
          </w:p>
        </w:tc>
        <w:tc>
          <w:tcPr>
            <w:tcW w:w="816" w:type="dxa"/>
            <w:tcBorders>
              <w:top w:val="single" w:sz="4" w:space="0" w:color="000000"/>
              <w:bottom w:val="single" w:sz="8" w:space="0" w:color="auto"/>
            </w:tcBorders>
            <w:shd w:val="clear" w:color="auto" w:fill="FFFFFF"/>
            <w:vAlign w:val="center"/>
          </w:tcPr>
          <w:p w14:paraId="752882A2" w14:textId="7227C4DF" w:rsidR="0067284B" w:rsidRPr="00CF31E0" w:rsidRDefault="0067284B"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Sig.</w:t>
            </w:r>
          </w:p>
        </w:tc>
      </w:tr>
      <w:tr w:rsidR="007F558A" w:rsidRPr="00CF31E0" w14:paraId="7F5EE0F8" w14:textId="77777777" w:rsidTr="00603CB7">
        <w:trPr>
          <w:cantSplit/>
        </w:trPr>
        <w:tc>
          <w:tcPr>
            <w:tcW w:w="1733" w:type="dxa"/>
            <w:tcBorders>
              <w:top w:val="single" w:sz="8" w:space="0" w:color="auto"/>
              <w:bottom w:val="nil"/>
            </w:tcBorders>
            <w:shd w:val="clear" w:color="auto" w:fill="FFFFFF"/>
          </w:tcPr>
          <w:p w14:paraId="7B15DB98"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Between Groups</w:t>
            </w:r>
          </w:p>
        </w:tc>
        <w:tc>
          <w:tcPr>
            <w:tcW w:w="1689" w:type="dxa"/>
            <w:tcBorders>
              <w:top w:val="single" w:sz="8" w:space="0" w:color="auto"/>
              <w:bottom w:val="nil"/>
            </w:tcBorders>
            <w:shd w:val="clear" w:color="auto" w:fill="FFFFFF"/>
            <w:vAlign w:val="center"/>
          </w:tcPr>
          <w:p w14:paraId="10965C0B"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43.594</w:t>
            </w:r>
          </w:p>
        </w:tc>
        <w:tc>
          <w:tcPr>
            <w:tcW w:w="820" w:type="dxa"/>
            <w:tcBorders>
              <w:top w:val="single" w:sz="8" w:space="0" w:color="auto"/>
              <w:bottom w:val="nil"/>
            </w:tcBorders>
            <w:shd w:val="clear" w:color="auto" w:fill="FFFFFF"/>
            <w:vAlign w:val="center"/>
          </w:tcPr>
          <w:p w14:paraId="7355D534"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5</w:t>
            </w:r>
          </w:p>
        </w:tc>
        <w:tc>
          <w:tcPr>
            <w:tcW w:w="1445" w:type="dxa"/>
            <w:tcBorders>
              <w:top w:val="single" w:sz="8" w:space="0" w:color="auto"/>
              <w:bottom w:val="nil"/>
            </w:tcBorders>
            <w:shd w:val="clear" w:color="auto" w:fill="FFFFFF"/>
            <w:vAlign w:val="center"/>
          </w:tcPr>
          <w:p w14:paraId="3EE12979"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8.719</w:t>
            </w:r>
          </w:p>
        </w:tc>
        <w:tc>
          <w:tcPr>
            <w:tcW w:w="1030" w:type="dxa"/>
            <w:tcBorders>
              <w:top w:val="single" w:sz="8" w:space="0" w:color="auto"/>
              <w:bottom w:val="nil"/>
            </w:tcBorders>
            <w:shd w:val="clear" w:color="auto" w:fill="FFFFFF"/>
            <w:vAlign w:val="center"/>
          </w:tcPr>
          <w:p w14:paraId="5F00CAEA"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7.450</w:t>
            </w:r>
          </w:p>
        </w:tc>
        <w:tc>
          <w:tcPr>
            <w:tcW w:w="816" w:type="dxa"/>
            <w:tcBorders>
              <w:top w:val="single" w:sz="8" w:space="0" w:color="auto"/>
              <w:bottom w:val="nil"/>
            </w:tcBorders>
            <w:shd w:val="clear" w:color="auto" w:fill="FFFFFF"/>
            <w:vAlign w:val="center"/>
          </w:tcPr>
          <w:p w14:paraId="3C75698B"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.000</w:t>
            </w:r>
          </w:p>
        </w:tc>
      </w:tr>
      <w:tr w:rsidR="007F558A" w:rsidRPr="00CF31E0" w14:paraId="64B4D4D5" w14:textId="77777777" w:rsidTr="00603CB7">
        <w:trPr>
          <w:cantSplit/>
        </w:trPr>
        <w:tc>
          <w:tcPr>
            <w:tcW w:w="1733" w:type="dxa"/>
            <w:tcBorders>
              <w:top w:val="nil"/>
            </w:tcBorders>
            <w:shd w:val="clear" w:color="auto" w:fill="FFFFFF"/>
          </w:tcPr>
          <w:p w14:paraId="75E98460"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Within Groups</w:t>
            </w:r>
          </w:p>
        </w:tc>
        <w:tc>
          <w:tcPr>
            <w:tcW w:w="1689" w:type="dxa"/>
            <w:tcBorders>
              <w:top w:val="nil"/>
            </w:tcBorders>
            <w:shd w:val="clear" w:color="auto" w:fill="FFFFFF"/>
            <w:vAlign w:val="center"/>
          </w:tcPr>
          <w:p w14:paraId="1A884180"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750.147</w:t>
            </w:r>
          </w:p>
        </w:tc>
        <w:tc>
          <w:tcPr>
            <w:tcW w:w="820" w:type="dxa"/>
            <w:tcBorders>
              <w:top w:val="nil"/>
            </w:tcBorders>
            <w:shd w:val="clear" w:color="auto" w:fill="FFFFFF"/>
            <w:vAlign w:val="center"/>
          </w:tcPr>
          <w:p w14:paraId="78459141"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644</w:t>
            </w:r>
          </w:p>
        </w:tc>
        <w:tc>
          <w:tcPr>
            <w:tcW w:w="1445" w:type="dxa"/>
            <w:tcBorders>
              <w:top w:val="nil"/>
            </w:tcBorders>
            <w:shd w:val="clear" w:color="auto" w:fill="FFFFFF"/>
            <w:vAlign w:val="center"/>
          </w:tcPr>
          <w:p w14:paraId="1FE26EF0"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1.170</w:t>
            </w:r>
          </w:p>
        </w:tc>
        <w:tc>
          <w:tcPr>
            <w:tcW w:w="1030" w:type="dxa"/>
            <w:tcBorders>
              <w:top w:val="nil"/>
            </w:tcBorders>
            <w:shd w:val="clear" w:color="auto" w:fill="FFFFFF"/>
            <w:vAlign w:val="center"/>
          </w:tcPr>
          <w:p w14:paraId="4CC6BE7C" w14:textId="77777777" w:rsidR="000B4835" w:rsidRPr="00CF31E0" w:rsidRDefault="000B4835" w:rsidP="000B4835">
            <w:pPr>
              <w:spacing w:before="120" w:after="120" w:line="360" w:lineRule="auto"/>
              <w:rPr>
                <w:rFonts w:eastAsia="Calibri"/>
                <w:color w:val="000000" w:themeColor="text1"/>
                <w:sz w:val="22"/>
                <w:szCs w:val="22"/>
                <w:lang w:eastAsia="en-US"/>
              </w:rPr>
            </w:pPr>
          </w:p>
        </w:tc>
        <w:tc>
          <w:tcPr>
            <w:tcW w:w="816" w:type="dxa"/>
            <w:tcBorders>
              <w:top w:val="nil"/>
            </w:tcBorders>
            <w:shd w:val="clear" w:color="auto" w:fill="FFFFFF"/>
            <w:vAlign w:val="center"/>
          </w:tcPr>
          <w:p w14:paraId="7F8677F4" w14:textId="77777777" w:rsidR="000B4835" w:rsidRPr="00CF31E0" w:rsidRDefault="000B4835" w:rsidP="000B4835">
            <w:pPr>
              <w:spacing w:before="120" w:after="120" w:line="360" w:lineRule="auto"/>
              <w:rPr>
                <w:rFonts w:eastAsia="Calibri"/>
                <w:color w:val="000000" w:themeColor="text1"/>
                <w:sz w:val="22"/>
                <w:szCs w:val="22"/>
                <w:lang w:eastAsia="en-US"/>
              </w:rPr>
            </w:pPr>
          </w:p>
        </w:tc>
      </w:tr>
      <w:tr w:rsidR="007F558A" w:rsidRPr="00CF31E0" w14:paraId="161A5D0E" w14:textId="77777777" w:rsidTr="00603CB7">
        <w:trPr>
          <w:cantSplit/>
        </w:trPr>
        <w:tc>
          <w:tcPr>
            <w:tcW w:w="1733" w:type="dxa"/>
            <w:shd w:val="clear" w:color="auto" w:fill="FFFFFF"/>
          </w:tcPr>
          <w:p w14:paraId="0855DFB3"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Total</w:t>
            </w:r>
          </w:p>
        </w:tc>
        <w:tc>
          <w:tcPr>
            <w:tcW w:w="1689" w:type="dxa"/>
            <w:shd w:val="clear" w:color="auto" w:fill="FFFFFF"/>
            <w:vAlign w:val="center"/>
          </w:tcPr>
          <w:p w14:paraId="61739437"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793.740</w:t>
            </w:r>
          </w:p>
        </w:tc>
        <w:tc>
          <w:tcPr>
            <w:tcW w:w="820" w:type="dxa"/>
            <w:shd w:val="clear" w:color="auto" w:fill="FFFFFF"/>
            <w:vAlign w:val="center"/>
          </w:tcPr>
          <w:p w14:paraId="2A09F90B" w14:textId="77777777" w:rsidR="000B4835" w:rsidRPr="00CF31E0" w:rsidRDefault="000B4835" w:rsidP="000B4835">
            <w:pPr>
              <w:spacing w:before="120" w:after="120" w:line="360"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1445" w:type="dxa"/>
            <w:shd w:val="clear" w:color="auto" w:fill="FFFFFF"/>
            <w:vAlign w:val="center"/>
          </w:tcPr>
          <w:p w14:paraId="5BA3E686" w14:textId="77777777" w:rsidR="000B4835" w:rsidRPr="00CF31E0" w:rsidRDefault="000B4835" w:rsidP="000B4835">
            <w:pPr>
              <w:spacing w:before="120" w:after="120" w:line="360" w:lineRule="auto"/>
              <w:rPr>
                <w:rFonts w:eastAsia="Calibri"/>
                <w:color w:val="000000" w:themeColor="text1"/>
                <w:sz w:val="22"/>
                <w:szCs w:val="22"/>
                <w:lang w:eastAsia="en-US"/>
              </w:rPr>
            </w:pPr>
          </w:p>
        </w:tc>
        <w:tc>
          <w:tcPr>
            <w:tcW w:w="1030" w:type="dxa"/>
            <w:shd w:val="clear" w:color="auto" w:fill="FFFFFF"/>
            <w:vAlign w:val="center"/>
          </w:tcPr>
          <w:p w14:paraId="39CF801E" w14:textId="77777777" w:rsidR="000B4835" w:rsidRPr="00CF31E0" w:rsidRDefault="000B4835" w:rsidP="000B4835">
            <w:pPr>
              <w:spacing w:before="120" w:after="120" w:line="360" w:lineRule="auto"/>
              <w:rPr>
                <w:rFonts w:eastAsia="Calibri"/>
                <w:color w:val="000000" w:themeColor="text1"/>
                <w:sz w:val="22"/>
                <w:szCs w:val="22"/>
                <w:lang w:eastAsia="en-US"/>
              </w:rPr>
            </w:pPr>
          </w:p>
        </w:tc>
        <w:tc>
          <w:tcPr>
            <w:tcW w:w="816" w:type="dxa"/>
            <w:shd w:val="clear" w:color="auto" w:fill="FFFFFF"/>
            <w:vAlign w:val="center"/>
          </w:tcPr>
          <w:p w14:paraId="6872C5C7" w14:textId="77777777" w:rsidR="000B4835" w:rsidRPr="00CF31E0" w:rsidRDefault="000B4835" w:rsidP="000B4835">
            <w:pPr>
              <w:spacing w:before="120" w:after="120" w:line="360" w:lineRule="auto"/>
              <w:rPr>
                <w:rFonts w:eastAsia="Calibri"/>
                <w:color w:val="000000" w:themeColor="text1"/>
                <w:sz w:val="22"/>
                <w:szCs w:val="22"/>
                <w:lang w:eastAsia="en-US"/>
              </w:rPr>
            </w:pPr>
          </w:p>
        </w:tc>
      </w:tr>
    </w:tbl>
    <w:p w14:paraId="0C709BEF" w14:textId="58CE19E0" w:rsidR="000B4835" w:rsidRPr="00CF31E0" w:rsidRDefault="000B4835" w:rsidP="0077196E">
      <w:pPr>
        <w:pStyle w:val="Tablecaption"/>
        <w:rPr>
          <w:lang w:eastAsia="en-US"/>
        </w:rPr>
      </w:pPr>
      <w:bookmarkStart w:id="1086" w:name="_Toc522527533"/>
      <w:bookmarkStart w:id="1087" w:name="_Toc522628946"/>
      <w:bookmarkStart w:id="1088" w:name="_Toc522629110"/>
      <w:bookmarkStart w:id="1089" w:name="_Toc6473208"/>
      <w:r w:rsidRPr="00CF31E0">
        <w:rPr>
          <w:lang w:eastAsia="en-US"/>
        </w:rPr>
        <w:t xml:space="preserve">Table </w:t>
      </w:r>
      <w:r w:rsidR="0077196E" w:rsidRPr="00CF31E0">
        <w:rPr>
          <w:lang w:eastAsia="en-US"/>
        </w:rPr>
        <w:t>11</w:t>
      </w:r>
      <w:r w:rsidR="005A16AC" w:rsidRPr="00CF31E0">
        <w:rPr>
          <w:lang w:eastAsia="en-US"/>
        </w:rPr>
        <w:t>.</w:t>
      </w:r>
      <w:r w:rsidR="0077196E" w:rsidRPr="00CF31E0">
        <w:rPr>
          <w:lang w:eastAsia="en-US"/>
        </w:rPr>
        <w:t>70</w:t>
      </w:r>
      <w:r w:rsidRPr="00CF31E0">
        <w:rPr>
          <w:lang w:eastAsia="en-US"/>
        </w:rPr>
        <w:t>: ANOVA statistics for age demographic variable.</w:t>
      </w:r>
      <w:bookmarkEnd w:id="1086"/>
      <w:bookmarkEnd w:id="1087"/>
      <w:bookmarkEnd w:id="1088"/>
      <w:bookmarkEnd w:id="1089"/>
    </w:p>
    <w:tbl>
      <w:tblPr>
        <w:tblpPr w:leftFromText="180" w:rightFromText="180" w:vertAnchor="text" w:tblpY="1"/>
        <w:tblOverlap w:val="never"/>
        <w:tblW w:w="7539" w:type="dxa"/>
        <w:tblBorders>
          <w:bottom w:val="single" w:sz="4" w:space="0" w:color="000000"/>
        </w:tblBorders>
        <w:tblLayout w:type="fixed"/>
        <w:tblCellMar>
          <w:left w:w="0" w:type="dxa"/>
          <w:right w:w="0" w:type="dxa"/>
        </w:tblCellMar>
        <w:tblLook w:val="0000" w:firstRow="0" w:lastRow="0" w:firstColumn="0" w:lastColumn="0" w:noHBand="0" w:noVBand="0"/>
      </w:tblPr>
      <w:tblGrid>
        <w:gridCol w:w="1130"/>
        <w:gridCol w:w="1306"/>
        <w:gridCol w:w="2086"/>
        <w:gridCol w:w="1458"/>
        <w:gridCol w:w="1559"/>
      </w:tblGrid>
      <w:tr w:rsidR="00AF5385" w:rsidRPr="00CF31E0" w14:paraId="3539E9E2" w14:textId="77777777" w:rsidTr="004F45D7">
        <w:trPr>
          <w:cantSplit/>
        </w:trPr>
        <w:tc>
          <w:tcPr>
            <w:tcW w:w="1130" w:type="dxa"/>
            <w:tcBorders>
              <w:top w:val="single" w:sz="8" w:space="0" w:color="000000"/>
              <w:bottom w:val="single" w:sz="8" w:space="0" w:color="000000"/>
            </w:tcBorders>
            <w:shd w:val="clear" w:color="auto" w:fill="FFFFFF"/>
          </w:tcPr>
          <w:p w14:paraId="4217541E" w14:textId="2E4264DA" w:rsidR="00AF5385" w:rsidRPr="00CF31E0" w:rsidRDefault="00AF5385" w:rsidP="00232F36">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Age</w:t>
            </w:r>
          </w:p>
        </w:tc>
        <w:tc>
          <w:tcPr>
            <w:tcW w:w="1306" w:type="dxa"/>
            <w:tcBorders>
              <w:top w:val="single" w:sz="8" w:space="0" w:color="000000"/>
              <w:bottom w:val="single" w:sz="8" w:space="0" w:color="000000"/>
            </w:tcBorders>
            <w:shd w:val="clear" w:color="auto" w:fill="FFFFFF"/>
          </w:tcPr>
          <w:p w14:paraId="1402C85D" w14:textId="729BC35B" w:rsidR="00AF5385" w:rsidRPr="00CF31E0" w:rsidRDefault="00AF5385" w:rsidP="00232F36">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Age</w:t>
            </w:r>
          </w:p>
        </w:tc>
        <w:tc>
          <w:tcPr>
            <w:tcW w:w="2086" w:type="dxa"/>
            <w:tcBorders>
              <w:top w:val="single" w:sz="8" w:space="0" w:color="000000"/>
              <w:bottom w:val="single" w:sz="8" w:space="0" w:color="000000"/>
            </w:tcBorders>
            <w:shd w:val="clear" w:color="auto" w:fill="FFFFFF"/>
            <w:vAlign w:val="center"/>
          </w:tcPr>
          <w:p w14:paraId="49CD4A83" w14:textId="769729AC" w:rsidR="00AF5385" w:rsidRPr="00CF31E0" w:rsidRDefault="00AF5385" w:rsidP="00232F36">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 Difference</w:t>
            </w:r>
          </w:p>
        </w:tc>
        <w:tc>
          <w:tcPr>
            <w:tcW w:w="1458" w:type="dxa"/>
            <w:tcBorders>
              <w:top w:val="single" w:sz="8" w:space="0" w:color="000000"/>
              <w:bottom w:val="single" w:sz="8" w:space="0" w:color="000000"/>
            </w:tcBorders>
            <w:shd w:val="clear" w:color="auto" w:fill="FFFFFF"/>
            <w:vAlign w:val="center"/>
          </w:tcPr>
          <w:p w14:paraId="63B05C4E" w14:textId="20536F5F" w:rsidR="00AF5385" w:rsidRPr="00CF31E0" w:rsidRDefault="00AF5385" w:rsidP="00232F36">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Std. Error</w:t>
            </w:r>
          </w:p>
        </w:tc>
        <w:tc>
          <w:tcPr>
            <w:tcW w:w="1559" w:type="dxa"/>
            <w:tcBorders>
              <w:top w:val="single" w:sz="8" w:space="0" w:color="000000"/>
              <w:bottom w:val="single" w:sz="8" w:space="0" w:color="000000"/>
            </w:tcBorders>
            <w:shd w:val="clear" w:color="auto" w:fill="FFFFFF"/>
            <w:vAlign w:val="center"/>
          </w:tcPr>
          <w:p w14:paraId="7FD1F892" w14:textId="7A993D52" w:rsidR="00AF5385" w:rsidRPr="00CF31E0" w:rsidRDefault="00AF5385" w:rsidP="00232F36">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232F36" w:rsidRPr="00CF31E0" w14:paraId="2CA5A746" w14:textId="77777777" w:rsidTr="004F45D7">
        <w:trPr>
          <w:cantSplit/>
        </w:trPr>
        <w:tc>
          <w:tcPr>
            <w:tcW w:w="1130" w:type="dxa"/>
            <w:vMerge w:val="restart"/>
            <w:tcBorders>
              <w:top w:val="single" w:sz="8" w:space="0" w:color="000000"/>
            </w:tcBorders>
            <w:shd w:val="clear" w:color="auto" w:fill="FFFFFF"/>
          </w:tcPr>
          <w:p w14:paraId="7FC87901" w14:textId="77777777" w:rsidR="00232F36" w:rsidRPr="00CF31E0" w:rsidRDefault="00232F36" w:rsidP="00232F36">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18-24</w:t>
            </w:r>
          </w:p>
        </w:tc>
        <w:tc>
          <w:tcPr>
            <w:tcW w:w="1306" w:type="dxa"/>
            <w:tcBorders>
              <w:top w:val="single" w:sz="8" w:space="0" w:color="000000"/>
            </w:tcBorders>
            <w:shd w:val="clear" w:color="auto" w:fill="FFFFFF"/>
          </w:tcPr>
          <w:p w14:paraId="48D70B02" w14:textId="77777777" w:rsidR="00232F36" w:rsidRPr="00CF31E0" w:rsidRDefault="00232F36" w:rsidP="00232F36">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25-34</w:t>
            </w:r>
          </w:p>
        </w:tc>
        <w:tc>
          <w:tcPr>
            <w:tcW w:w="2086" w:type="dxa"/>
            <w:tcBorders>
              <w:top w:val="single" w:sz="8" w:space="0" w:color="000000"/>
            </w:tcBorders>
            <w:shd w:val="clear" w:color="auto" w:fill="FFFFFF"/>
            <w:vAlign w:val="center"/>
          </w:tcPr>
          <w:p w14:paraId="7CCE17ED" w14:textId="77777777" w:rsidR="00232F36" w:rsidRPr="00CF31E0" w:rsidRDefault="00232F36" w:rsidP="00232F36">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-.30268</w:t>
            </w:r>
          </w:p>
        </w:tc>
        <w:tc>
          <w:tcPr>
            <w:tcW w:w="1458" w:type="dxa"/>
            <w:tcBorders>
              <w:top w:val="single" w:sz="8" w:space="0" w:color="000000"/>
            </w:tcBorders>
            <w:shd w:val="clear" w:color="auto" w:fill="FFFFFF"/>
            <w:vAlign w:val="center"/>
          </w:tcPr>
          <w:p w14:paraId="0978D4E3" w14:textId="77777777" w:rsidR="00232F36" w:rsidRPr="00CF31E0" w:rsidRDefault="00232F36" w:rsidP="00232F36">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.12021</w:t>
            </w:r>
          </w:p>
        </w:tc>
        <w:tc>
          <w:tcPr>
            <w:tcW w:w="1559" w:type="dxa"/>
            <w:tcBorders>
              <w:top w:val="single" w:sz="8" w:space="0" w:color="000000"/>
            </w:tcBorders>
            <w:shd w:val="clear" w:color="auto" w:fill="FFFFFF"/>
            <w:vAlign w:val="center"/>
          </w:tcPr>
          <w:p w14:paraId="7B8BD09E" w14:textId="77777777" w:rsidR="00232F36" w:rsidRPr="00CF31E0" w:rsidRDefault="00232F36" w:rsidP="00232F36">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.120</w:t>
            </w:r>
          </w:p>
        </w:tc>
      </w:tr>
      <w:tr w:rsidR="00232F36" w:rsidRPr="00CF31E0" w14:paraId="50537BC0" w14:textId="77777777" w:rsidTr="004F45D7">
        <w:trPr>
          <w:cantSplit/>
        </w:trPr>
        <w:tc>
          <w:tcPr>
            <w:tcW w:w="1130" w:type="dxa"/>
            <w:vMerge/>
            <w:shd w:val="clear" w:color="auto" w:fill="FFFFFF"/>
          </w:tcPr>
          <w:p w14:paraId="6A0EE74B" w14:textId="77777777" w:rsidR="00232F36" w:rsidRPr="00CF31E0" w:rsidRDefault="00232F36" w:rsidP="00232F36">
            <w:pPr>
              <w:spacing w:before="120" w:after="120" w:line="360" w:lineRule="auto"/>
              <w:rPr>
                <w:rFonts w:eastAsia="Calibri" w:cs="Arial"/>
                <w:color w:val="000000" w:themeColor="text1"/>
                <w:sz w:val="22"/>
                <w:szCs w:val="22"/>
                <w:lang w:eastAsia="en-US"/>
              </w:rPr>
            </w:pPr>
          </w:p>
        </w:tc>
        <w:tc>
          <w:tcPr>
            <w:tcW w:w="1306" w:type="dxa"/>
            <w:shd w:val="clear" w:color="auto" w:fill="FFFFFF"/>
          </w:tcPr>
          <w:p w14:paraId="58CC114B" w14:textId="77777777" w:rsidR="00232F36" w:rsidRPr="00CF31E0" w:rsidRDefault="00232F36" w:rsidP="00232F36">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35-44</w:t>
            </w:r>
          </w:p>
        </w:tc>
        <w:tc>
          <w:tcPr>
            <w:tcW w:w="2086" w:type="dxa"/>
            <w:shd w:val="clear" w:color="auto" w:fill="FFFFFF"/>
            <w:vAlign w:val="center"/>
          </w:tcPr>
          <w:p w14:paraId="27C05D6A" w14:textId="77777777" w:rsidR="00232F36" w:rsidRPr="00CF31E0" w:rsidRDefault="00232F36" w:rsidP="00232F36">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-.45933</w:t>
            </w:r>
            <w:r w:rsidRPr="00CF31E0">
              <w:rPr>
                <w:rFonts w:eastAsia="Calibri" w:cs="Arial"/>
                <w:color w:val="000000" w:themeColor="text1"/>
                <w:sz w:val="22"/>
                <w:szCs w:val="22"/>
                <w:vertAlign w:val="superscript"/>
                <w:lang w:eastAsia="en-US"/>
              </w:rPr>
              <w:t>*</w:t>
            </w:r>
          </w:p>
        </w:tc>
        <w:tc>
          <w:tcPr>
            <w:tcW w:w="1458" w:type="dxa"/>
            <w:shd w:val="clear" w:color="auto" w:fill="FFFFFF"/>
            <w:vAlign w:val="center"/>
          </w:tcPr>
          <w:p w14:paraId="19CC65F4" w14:textId="77777777" w:rsidR="00232F36" w:rsidRPr="00CF31E0" w:rsidRDefault="00232F36" w:rsidP="00232F36">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.11312</w:t>
            </w:r>
          </w:p>
        </w:tc>
        <w:tc>
          <w:tcPr>
            <w:tcW w:w="1559" w:type="dxa"/>
            <w:shd w:val="clear" w:color="auto" w:fill="FFFFFF"/>
            <w:vAlign w:val="center"/>
          </w:tcPr>
          <w:p w14:paraId="51700F31" w14:textId="77777777" w:rsidR="00232F36" w:rsidRPr="00CF31E0" w:rsidRDefault="00232F36" w:rsidP="00232F36">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.001</w:t>
            </w:r>
          </w:p>
        </w:tc>
      </w:tr>
      <w:tr w:rsidR="00232F36" w:rsidRPr="00CF31E0" w14:paraId="22DC8EFD" w14:textId="77777777" w:rsidTr="004F45D7">
        <w:trPr>
          <w:cantSplit/>
        </w:trPr>
        <w:tc>
          <w:tcPr>
            <w:tcW w:w="1130" w:type="dxa"/>
            <w:vMerge/>
            <w:shd w:val="clear" w:color="auto" w:fill="FFFFFF"/>
          </w:tcPr>
          <w:p w14:paraId="2DBF429A" w14:textId="77777777" w:rsidR="00232F36" w:rsidRPr="00CF31E0" w:rsidRDefault="00232F36" w:rsidP="00232F36">
            <w:pPr>
              <w:spacing w:before="120" w:after="120" w:line="360" w:lineRule="auto"/>
              <w:rPr>
                <w:rFonts w:eastAsia="Calibri" w:cs="Arial"/>
                <w:color w:val="000000" w:themeColor="text1"/>
                <w:sz w:val="22"/>
                <w:szCs w:val="22"/>
                <w:lang w:eastAsia="en-US"/>
              </w:rPr>
            </w:pPr>
          </w:p>
        </w:tc>
        <w:tc>
          <w:tcPr>
            <w:tcW w:w="1306" w:type="dxa"/>
            <w:shd w:val="clear" w:color="auto" w:fill="FFFFFF"/>
          </w:tcPr>
          <w:p w14:paraId="1D6ADD39" w14:textId="77777777" w:rsidR="00232F36" w:rsidRPr="00CF31E0" w:rsidRDefault="00232F36" w:rsidP="00232F36">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45-54</w:t>
            </w:r>
          </w:p>
        </w:tc>
        <w:tc>
          <w:tcPr>
            <w:tcW w:w="2086" w:type="dxa"/>
            <w:shd w:val="clear" w:color="auto" w:fill="FFFFFF"/>
            <w:vAlign w:val="center"/>
          </w:tcPr>
          <w:p w14:paraId="27B58DEE" w14:textId="77777777" w:rsidR="00232F36" w:rsidRPr="00CF31E0" w:rsidRDefault="00232F36" w:rsidP="00232F36">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-.65748</w:t>
            </w:r>
            <w:r w:rsidRPr="00CF31E0">
              <w:rPr>
                <w:rFonts w:eastAsia="Calibri" w:cs="Arial"/>
                <w:color w:val="000000" w:themeColor="text1"/>
                <w:sz w:val="22"/>
                <w:szCs w:val="22"/>
                <w:vertAlign w:val="superscript"/>
                <w:lang w:eastAsia="en-US"/>
              </w:rPr>
              <w:t>*</w:t>
            </w:r>
          </w:p>
        </w:tc>
        <w:tc>
          <w:tcPr>
            <w:tcW w:w="1458" w:type="dxa"/>
            <w:shd w:val="clear" w:color="auto" w:fill="FFFFFF"/>
            <w:vAlign w:val="center"/>
          </w:tcPr>
          <w:p w14:paraId="7B129C1A" w14:textId="77777777" w:rsidR="00232F36" w:rsidRPr="00CF31E0" w:rsidRDefault="00232F36" w:rsidP="00232F36">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.13027</w:t>
            </w:r>
          </w:p>
        </w:tc>
        <w:tc>
          <w:tcPr>
            <w:tcW w:w="1559" w:type="dxa"/>
            <w:shd w:val="clear" w:color="auto" w:fill="FFFFFF"/>
            <w:vAlign w:val="center"/>
          </w:tcPr>
          <w:p w14:paraId="13FB9DF0" w14:textId="77777777" w:rsidR="00232F36" w:rsidRPr="00CF31E0" w:rsidRDefault="00232F36" w:rsidP="00232F36">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.000</w:t>
            </w:r>
          </w:p>
        </w:tc>
      </w:tr>
      <w:tr w:rsidR="00232F36" w:rsidRPr="00CF31E0" w14:paraId="56FE89A9" w14:textId="77777777" w:rsidTr="004F45D7">
        <w:trPr>
          <w:cantSplit/>
        </w:trPr>
        <w:tc>
          <w:tcPr>
            <w:tcW w:w="1130" w:type="dxa"/>
            <w:vMerge/>
            <w:shd w:val="clear" w:color="auto" w:fill="FFFFFF"/>
          </w:tcPr>
          <w:p w14:paraId="026649F2" w14:textId="77777777" w:rsidR="00232F36" w:rsidRPr="00CF31E0" w:rsidRDefault="00232F36" w:rsidP="00232F36">
            <w:pPr>
              <w:spacing w:before="120" w:after="120" w:line="360" w:lineRule="auto"/>
              <w:rPr>
                <w:rFonts w:eastAsia="Calibri" w:cs="Arial"/>
                <w:color w:val="000000" w:themeColor="text1"/>
                <w:sz w:val="22"/>
                <w:szCs w:val="22"/>
                <w:lang w:eastAsia="en-US"/>
              </w:rPr>
            </w:pPr>
          </w:p>
        </w:tc>
        <w:tc>
          <w:tcPr>
            <w:tcW w:w="1306" w:type="dxa"/>
            <w:shd w:val="clear" w:color="auto" w:fill="FFFFFF"/>
          </w:tcPr>
          <w:p w14:paraId="292F67B6" w14:textId="77777777" w:rsidR="00232F36" w:rsidRPr="00CF31E0" w:rsidRDefault="00232F36" w:rsidP="00232F36">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55-64</w:t>
            </w:r>
          </w:p>
        </w:tc>
        <w:tc>
          <w:tcPr>
            <w:tcW w:w="2086" w:type="dxa"/>
            <w:shd w:val="clear" w:color="auto" w:fill="FFFFFF"/>
            <w:vAlign w:val="center"/>
          </w:tcPr>
          <w:p w14:paraId="1AAA7DB3" w14:textId="77777777" w:rsidR="00232F36" w:rsidRPr="00CF31E0" w:rsidRDefault="00232F36" w:rsidP="00232F36">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-.76838</w:t>
            </w:r>
            <w:r w:rsidRPr="00CF31E0">
              <w:rPr>
                <w:rFonts w:eastAsia="Calibri" w:cs="Arial"/>
                <w:color w:val="000000" w:themeColor="text1"/>
                <w:sz w:val="22"/>
                <w:szCs w:val="22"/>
                <w:vertAlign w:val="superscript"/>
                <w:lang w:eastAsia="en-US"/>
              </w:rPr>
              <w:t>*</w:t>
            </w:r>
          </w:p>
        </w:tc>
        <w:tc>
          <w:tcPr>
            <w:tcW w:w="1458" w:type="dxa"/>
            <w:shd w:val="clear" w:color="auto" w:fill="FFFFFF"/>
            <w:vAlign w:val="center"/>
          </w:tcPr>
          <w:p w14:paraId="19A4F892" w14:textId="77777777" w:rsidR="00232F36" w:rsidRPr="00CF31E0" w:rsidRDefault="00232F36" w:rsidP="00232F36">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.21223</w:t>
            </w:r>
          </w:p>
        </w:tc>
        <w:tc>
          <w:tcPr>
            <w:tcW w:w="1559" w:type="dxa"/>
            <w:shd w:val="clear" w:color="auto" w:fill="FFFFFF"/>
            <w:vAlign w:val="center"/>
          </w:tcPr>
          <w:p w14:paraId="68E0C9E2" w14:textId="77777777" w:rsidR="00232F36" w:rsidRPr="00CF31E0" w:rsidRDefault="00232F36" w:rsidP="00232F36">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.004</w:t>
            </w:r>
          </w:p>
        </w:tc>
      </w:tr>
    </w:tbl>
    <w:p w14:paraId="7DF40B1B" w14:textId="7ADBE798" w:rsidR="000B4835" w:rsidRPr="00CF31E0" w:rsidRDefault="000B4835" w:rsidP="0077196E">
      <w:pPr>
        <w:pStyle w:val="Tablecaption"/>
        <w:rPr>
          <w:lang w:eastAsia="en-US"/>
        </w:rPr>
      </w:pPr>
      <w:bookmarkStart w:id="1090" w:name="_Toc522527534"/>
      <w:bookmarkStart w:id="1091" w:name="_Toc522628947"/>
      <w:bookmarkStart w:id="1092" w:name="_Toc522629111"/>
      <w:bookmarkStart w:id="1093" w:name="_Toc6473209"/>
      <w:r w:rsidRPr="00CF31E0">
        <w:rPr>
          <w:lang w:eastAsia="en-US"/>
        </w:rPr>
        <w:t xml:space="preserve">Table </w:t>
      </w:r>
      <w:r w:rsidR="0077196E" w:rsidRPr="00CF31E0">
        <w:rPr>
          <w:lang w:eastAsia="en-US"/>
        </w:rPr>
        <w:t>11</w:t>
      </w:r>
      <w:r w:rsidR="005A16AC" w:rsidRPr="00CF31E0">
        <w:rPr>
          <w:lang w:eastAsia="en-US"/>
        </w:rPr>
        <w:t>.</w:t>
      </w:r>
      <w:r w:rsidR="0077196E" w:rsidRPr="00CF31E0">
        <w:rPr>
          <w:lang w:eastAsia="en-US"/>
        </w:rPr>
        <w:t>71</w:t>
      </w:r>
      <w:r w:rsidRPr="00CF31E0">
        <w:rPr>
          <w:lang w:eastAsia="en-US"/>
        </w:rPr>
        <w:t>: Descriptive statistics for age demographic variable.</w:t>
      </w:r>
      <w:bookmarkEnd w:id="1090"/>
      <w:bookmarkEnd w:id="1091"/>
      <w:bookmarkEnd w:id="1092"/>
      <w:bookmarkEnd w:id="1093"/>
    </w:p>
    <w:p w14:paraId="6AECAB3C" w14:textId="3DD7555E" w:rsidR="004E0035" w:rsidRPr="00CF31E0" w:rsidRDefault="000B4835" w:rsidP="009276B7">
      <w:pPr>
        <w:pStyle w:val="Paragraph"/>
        <w:rPr>
          <w:rFonts w:eastAsia="Calibri" w:cs="Arial"/>
          <w:lang w:val="en-US" w:eastAsia="en-US"/>
        </w:rPr>
      </w:pPr>
      <w:r w:rsidRPr="00CF31E0">
        <w:rPr>
          <w:lang w:val="en-US" w:eastAsia="en-US"/>
        </w:rPr>
        <w:t xml:space="preserve">According to the data presented in Table </w:t>
      </w:r>
      <w:r w:rsidR="00F231E2" w:rsidRPr="00CF31E0">
        <w:rPr>
          <w:lang w:val="en-US" w:eastAsia="en-US"/>
        </w:rPr>
        <w:t>11</w:t>
      </w:r>
      <w:r w:rsidR="005A16AC" w:rsidRPr="00CF31E0">
        <w:rPr>
          <w:lang w:val="en-US" w:eastAsia="en-US"/>
        </w:rPr>
        <w:t>.</w:t>
      </w:r>
      <w:r w:rsidR="00F231E2" w:rsidRPr="00CF31E0">
        <w:rPr>
          <w:lang w:val="en-US" w:eastAsia="en-US"/>
        </w:rPr>
        <w:t>71</w:t>
      </w:r>
      <w:r w:rsidRPr="00CF31E0">
        <w:rPr>
          <w:lang w:val="en-US" w:eastAsia="en-US"/>
        </w:rPr>
        <w:t xml:space="preserve">, the 18-24 age group is significantly different from the other groups in terms of their perceptions towards the modernity of the voice sample. Thus, the 18-24 age group perceived the voice sample as more modern than did the 35-44, 45-54, and 55-64 age groups. </w:t>
      </w:r>
      <w:commentRangeStart w:id="1094"/>
      <w:commentRangeEnd w:id="1094"/>
    </w:p>
    <w:p w14:paraId="5CCC936B" w14:textId="4DA5379E" w:rsidR="000B4835" w:rsidRPr="00CF31E0" w:rsidRDefault="00F231E2" w:rsidP="0041475C">
      <w:pPr>
        <w:pStyle w:val="Bhead"/>
      </w:pPr>
      <w:bookmarkStart w:id="1095" w:name="_Toc6472807"/>
      <w:r w:rsidRPr="00CF31E0">
        <w:t>11</w:t>
      </w:r>
      <w:r w:rsidR="000B4835" w:rsidRPr="00CF31E0">
        <w:t>.3.</w:t>
      </w:r>
      <w:r w:rsidR="0041475C" w:rsidRPr="00CF31E0">
        <w:t>8</w:t>
      </w:r>
      <w:r w:rsidR="000B4835" w:rsidRPr="00CF31E0">
        <w:t>.</w:t>
      </w:r>
      <w:r w:rsidR="003F4912" w:rsidRPr="00CF31E0">
        <w:tab/>
      </w:r>
      <w:r w:rsidR="000B4835" w:rsidRPr="00CF31E0">
        <w:t>Rating task results for voice sample 4</w:t>
      </w:r>
      <w:bookmarkEnd w:id="1095"/>
      <w:r w:rsidR="000B4835" w:rsidRPr="00CF31E0">
        <w:t xml:space="preserve"> </w:t>
      </w:r>
    </w:p>
    <w:p w14:paraId="01A4EFA0" w14:textId="56538515" w:rsidR="000B4835" w:rsidRPr="00CF31E0" w:rsidRDefault="000B4835" w:rsidP="00603CB7">
      <w:pPr>
        <w:pStyle w:val="Paragraph"/>
        <w:rPr>
          <w:lang w:eastAsia="en-US"/>
        </w:rPr>
      </w:pPr>
      <w:r w:rsidRPr="00CF31E0">
        <w:rPr>
          <w:lang w:eastAsia="en-US"/>
        </w:rPr>
        <w:t xml:space="preserve">The results show that the speaker’s voice was perceived as more </w:t>
      </w:r>
      <w:r w:rsidRPr="00CF31E0">
        <w:rPr>
          <w:i/>
          <w:iCs/>
          <w:lang w:eastAsia="en-US"/>
        </w:rPr>
        <w:t>serious</w:t>
      </w:r>
      <w:r w:rsidRPr="00CF31E0">
        <w:rPr>
          <w:lang w:eastAsia="en-US"/>
        </w:rPr>
        <w:t xml:space="preserve">, </w:t>
      </w:r>
      <w:r w:rsidRPr="00CF31E0">
        <w:rPr>
          <w:i/>
          <w:iCs/>
          <w:lang w:eastAsia="en-US"/>
        </w:rPr>
        <w:t xml:space="preserve">traditional </w:t>
      </w:r>
      <w:r w:rsidRPr="00CF31E0">
        <w:rPr>
          <w:lang w:eastAsia="en-US"/>
        </w:rPr>
        <w:t xml:space="preserve">and less </w:t>
      </w:r>
      <w:r w:rsidRPr="00CF31E0">
        <w:rPr>
          <w:i/>
          <w:iCs/>
          <w:lang w:eastAsia="en-US"/>
        </w:rPr>
        <w:t>modern</w:t>
      </w:r>
      <w:r w:rsidRPr="00CF31E0">
        <w:rPr>
          <w:lang w:eastAsia="en-US"/>
        </w:rPr>
        <w:t xml:space="preserve">. Furthermore, the voice was perceived as moderately </w:t>
      </w:r>
      <w:r w:rsidRPr="00CF31E0">
        <w:rPr>
          <w:i/>
          <w:iCs/>
          <w:lang w:eastAsia="en-US"/>
        </w:rPr>
        <w:t>similar to other Arabic dialects</w:t>
      </w:r>
      <w:r w:rsidRPr="00CF31E0">
        <w:rPr>
          <w:lang w:eastAsia="en-US"/>
        </w:rPr>
        <w:t xml:space="preserve">. For a breakdown of results, see Figure </w:t>
      </w:r>
      <w:r w:rsidR="00F231E2" w:rsidRPr="00CF31E0">
        <w:rPr>
          <w:lang w:eastAsia="en-US"/>
        </w:rPr>
        <w:t>11</w:t>
      </w:r>
      <w:r w:rsidR="007555C7" w:rsidRPr="00CF31E0">
        <w:rPr>
          <w:lang w:eastAsia="en-US"/>
        </w:rPr>
        <w:t>.11</w:t>
      </w:r>
      <w:r w:rsidRPr="00CF31E0">
        <w:rPr>
          <w:lang w:eastAsia="en-US"/>
        </w:rPr>
        <w:t>.</w:t>
      </w:r>
    </w:p>
    <w:p w14:paraId="480EF184" w14:textId="77777777" w:rsidR="000B4835" w:rsidRPr="00CF31E0" w:rsidRDefault="000B4835" w:rsidP="000B4835">
      <w:pPr>
        <w:spacing w:before="120" w:after="120" w:line="360" w:lineRule="auto"/>
        <w:jc w:val="both"/>
        <w:rPr>
          <w:rFonts w:eastAsia="Calibri" w:cs="Arial"/>
          <w:color w:val="000000" w:themeColor="text1"/>
          <w:lang w:eastAsia="en-US"/>
        </w:rPr>
      </w:pPr>
      <w:r w:rsidRPr="00CF31E0">
        <w:rPr>
          <w:rFonts w:eastAsia="Calibri" w:cs="Arial"/>
          <w:noProof/>
          <w:color w:val="000000" w:themeColor="text1"/>
        </w:rPr>
        <w:lastRenderedPageBreak/>
        <w:drawing>
          <wp:inline distT="0" distB="0" distL="0" distR="0" wp14:anchorId="12440E41" wp14:editId="57E39852">
            <wp:extent cx="5428722" cy="3758614"/>
            <wp:effectExtent l="0" t="0" r="698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45774" cy="3770420"/>
                    </a:xfrm>
                    <a:prstGeom prst="rect">
                      <a:avLst/>
                    </a:prstGeom>
                  </pic:spPr>
                </pic:pic>
              </a:graphicData>
            </a:graphic>
          </wp:inline>
        </w:drawing>
      </w:r>
    </w:p>
    <w:p w14:paraId="0054355A" w14:textId="5D256AEB" w:rsidR="000B4835" w:rsidRPr="00CF31E0" w:rsidRDefault="000B4835" w:rsidP="00603CB7">
      <w:pPr>
        <w:pStyle w:val="Figcaption"/>
        <w:spacing w:after="200"/>
        <w:rPr>
          <w:rFonts w:eastAsia="Calibri"/>
          <w:color w:val="000000" w:themeColor="text1"/>
        </w:rPr>
      </w:pPr>
      <w:bookmarkStart w:id="1096" w:name="_Toc522527344"/>
      <w:bookmarkStart w:id="1097" w:name="_Toc522628175"/>
      <w:bookmarkStart w:id="1098" w:name="_Toc522628293"/>
      <w:bookmarkStart w:id="1099" w:name="_Toc522628393"/>
      <w:bookmarkStart w:id="1100" w:name="_Toc6472989"/>
      <w:r w:rsidRPr="00CF31E0">
        <w:rPr>
          <w:rFonts w:eastAsia="Calibri"/>
          <w:color w:val="000000" w:themeColor="text1"/>
        </w:rPr>
        <w:t xml:space="preserve">Figure </w:t>
      </w:r>
      <w:r w:rsidR="00F231E2" w:rsidRPr="00CF31E0">
        <w:rPr>
          <w:rFonts w:eastAsia="Calibri"/>
          <w:color w:val="000000" w:themeColor="text1"/>
        </w:rPr>
        <w:t>11</w:t>
      </w:r>
      <w:r w:rsidR="007555C7" w:rsidRPr="00CF31E0">
        <w:rPr>
          <w:rFonts w:eastAsia="Calibri"/>
          <w:color w:val="000000" w:themeColor="text1"/>
        </w:rPr>
        <w:t>.11</w:t>
      </w:r>
      <w:r w:rsidRPr="00CF31E0">
        <w:rPr>
          <w:rFonts w:eastAsia="Calibri"/>
          <w:color w:val="000000" w:themeColor="text1"/>
        </w:rPr>
        <w:t>: Distribution of scores of the observed characteristics for VS4.</w:t>
      </w:r>
      <w:bookmarkEnd w:id="1096"/>
      <w:bookmarkEnd w:id="1097"/>
      <w:bookmarkEnd w:id="1098"/>
      <w:bookmarkEnd w:id="1099"/>
      <w:bookmarkEnd w:id="1100"/>
    </w:p>
    <w:p w14:paraId="5000CAA1" w14:textId="77777777" w:rsidR="000B4835" w:rsidRPr="00CF31E0" w:rsidRDefault="000B4835" w:rsidP="00603CB7">
      <w:pPr>
        <w:pStyle w:val="Paragraph"/>
        <w:rPr>
          <w:lang w:eastAsia="en-US"/>
        </w:rPr>
      </w:pPr>
      <w:r w:rsidRPr="00CF31E0">
        <w:rPr>
          <w:lang w:eastAsia="en-US"/>
        </w:rPr>
        <w:t xml:space="preserve">Interestingly, this voice sample was perceived similarly by all participants in the following characteristics: </w:t>
      </w:r>
      <w:r w:rsidRPr="00CF31E0">
        <w:rPr>
          <w:i/>
          <w:iCs/>
          <w:lang w:eastAsia="en-US"/>
        </w:rPr>
        <w:t>similar to other Arabic dialects</w:t>
      </w:r>
      <w:r w:rsidRPr="00CF31E0">
        <w:rPr>
          <w:lang w:eastAsia="en-US"/>
        </w:rPr>
        <w:t xml:space="preserve">, </w:t>
      </w:r>
      <w:r w:rsidRPr="00CF31E0">
        <w:rPr>
          <w:i/>
          <w:iCs/>
          <w:lang w:eastAsia="en-US"/>
        </w:rPr>
        <w:t>traditional</w:t>
      </w:r>
      <w:r w:rsidRPr="00CF31E0">
        <w:rPr>
          <w:lang w:eastAsia="en-US"/>
        </w:rPr>
        <w:t>, and</w:t>
      </w:r>
      <w:r w:rsidRPr="00CF31E0">
        <w:rPr>
          <w:i/>
          <w:iCs/>
          <w:lang w:eastAsia="en-US"/>
        </w:rPr>
        <w:t xml:space="preserve"> modern. </w:t>
      </w:r>
      <w:r w:rsidRPr="00CF31E0">
        <w:rPr>
          <w:lang w:eastAsia="en-US"/>
        </w:rPr>
        <w:t xml:space="preserve">In the </w:t>
      </w:r>
      <w:r w:rsidRPr="00CF31E0">
        <w:rPr>
          <w:i/>
          <w:iCs/>
          <w:lang w:eastAsia="en-US"/>
        </w:rPr>
        <w:t xml:space="preserve">similar to other Arabic dialects </w:t>
      </w:r>
      <w:r w:rsidRPr="00CF31E0">
        <w:rPr>
          <w:lang w:eastAsia="en-US"/>
        </w:rPr>
        <w:t xml:space="preserve">scale, the interquartile range is from 2 to 4, with 3 as the median value. The lower whisker is distributed from 1 to 2 and the upper whisker extends between 4 and 5. On the </w:t>
      </w:r>
      <w:r w:rsidRPr="00CF31E0">
        <w:rPr>
          <w:i/>
          <w:iCs/>
          <w:lang w:eastAsia="en-US"/>
        </w:rPr>
        <w:t xml:space="preserve">traditional </w:t>
      </w:r>
      <w:r w:rsidRPr="00CF31E0">
        <w:rPr>
          <w:lang w:eastAsia="en-US"/>
        </w:rPr>
        <w:t xml:space="preserve">scale, the ratings were adequately high as it was condensed between 3 and 4, with 3 representing the median value. 25% of scores were represented by the lower whisker between 2 and 3, and the other 25% were represented by the upper whisker between 4 and 5. On the </w:t>
      </w:r>
      <w:r w:rsidRPr="00CF31E0">
        <w:rPr>
          <w:i/>
          <w:iCs/>
          <w:lang w:eastAsia="en-US"/>
        </w:rPr>
        <w:t>modern</w:t>
      </w:r>
      <w:r w:rsidRPr="00CF31E0">
        <w:rPr>
          <w:lang w:eastAsia="en-US"/>
        </w:rPr>
        <w:t xml:space="preserve"> scale, the ratings were relatively low; 75% of scores were distributed between 1 and 3, with 2 representing the median value. The lower whisker was merged with the interquartile range as the distribution of the scores of the latter was situated in the lower whisker. The upper whisker was represented by scores from 3 to 5.</w:t>
      </w:r>
    </w:p>
    <w:p w14:paraId="496A6AA3" w14:textId="44027034" w:rsidR="000B4835" w:rsidRPr="00CF31E0" w:rsidRDefault="000B4835" w:rsidP="00603CB7">
      <w:pPr>
        <w:pStyle w:val="Paragraph"/>
        <w:rPr>
          <w:lang w:eastAsia="en-US"/>
        </w:rPr>
      </w:pPr>
      <w:r w:rsidRPr="00CF31E0">
        <w:rPr>
          <w:lang w:eastAsia="en-US"/>
        </w:rPr>
        <w:t xml:space="preserve">On the </w:t>
      </w:r>
      <w:r w:rsidRPr="00CF31E0">
        <w:rPr>
          <w:i/>
          <w:iCs/>
          <w:lang w:eastAsia="en-US"/>
        </w:rPr>
        <w:t xml:space="preserve">serious </w:t>
      </w:r>
      <w:r w:rsidRPr="00CF31E0">
        <w:rPr>
          <w:lang w:eastAsia="en-US"/>
        </w:rPr>
        <w:t xml:space="preserve">scale, </w:t>
      </w:r>
      <w:r w:rsidR="0059652A" w:rsidRPr="00CF31E0">
        <w:rPr>
          <w:lang w:eastAsia="en-US"/>
        </w:rPr>
        <w:t>UBH</w:t>
      </w:r>
      <w:r w:rsidRPr="00CF31E0">
        <w:rPr>
          <w:lang w:eastAsia="en-US"/>
        </w:rPr>
        <w:t xml:space="preserve"> participants perceived the voice as more </w:t>
      </w:r>
      <w:r w:rsidRPr="00CF31E0">
        <w:rPr>
          <w:i/>
          <w:iCs/>
          <w:lang w:eastAsia="en-US"/>
        </w:rPr>
        <w:t>serious</w:t>
      </w:r>
      <w:r w:rsidRPr="00CF31E0">
        <w:rPr>
          <w:lang w:eastAsia="en-US"/>
        </w:rPr>
        <w:t xml:space="preserve"> than </w:t>
      </w:r>
      <w:r w:rsidR="00FF4DC7" w:rsidRPr="00CF31E0">
        <w:rPr>
          <w:lang w:eastAsia="en-US"/>
        </w:rPr>
        <w:t>HH</w:t>
      </w:r>
      <w:r w:rsidRPr="00CF31E0">
        <w:rPr>
          <w:lang w:eastAsia="en-US"/>
        </w:rPr>
        <w:t xml:space="preserve"> participants. 50% of </w:t>
      </w:r>
      <w:r w:rsidR="0059652A" w:rsidRPr="00CF31E0">
        <w:rPr>
          <w:lang w:eastAsia="en-US"/>
        </w:rPr>
        <w:t>UBH</w:t>
      </w:r>
      <w:r w:rsidRPr="00CF31E0">
        <w:rPr>
          <w:lang w:eastAsia="en-US"/>
        </w:rPr>
        <w:t xml:space="preserve"> rating scores were between 3 and 4, </w:t>
      </w:r>
      <w:r w:rsidRPr="00CF31E0">
        <w:rPr>
          <w:lang w:eastAsia="en-US"/>
        </w:rPr>
        <w:lastRenderedPageBreak/>
        <w:t xml:space="preserve">while 3 was the median value. The minimum value given was 2 in the scale and the highest was 5. However, </w:t>
      </w:r>
      <w:r w:rsidR="00FF4DC7" w:rsidRPr="00CF31E0">
        <w:rPr>
          <w:lang w:eastAsia="en-US"/>
        </w:rPr>
        <w:t>HH</w:t>
      </w:r>
      <w:r w:rsidRPr="00CF31E0">
        <w:rPr>
          <w:lang w:eastAsia="en-US"/>
        </w:rPr>
        <w:t xml:space="preserve"> participants gave the voice a moderate rating as 50% of the rating scores were spread between 2 and 4, with 3 representing the median value. The lower whisker was from 1 and 2 and the upper whisker was from 4 to 5. Thus, each of the lower whisker, lower quartile, upper quartile and upper whisker gained similar rating shares (i.e. 25%) from all participants, with a median of 3. </w:t>
      </w:r>
    </w:p>
    <w:p w14:paraId="4DB60FF1" w14:textId="4DE825AB" w:rsidR="000B4835" w:rsidRPr="00CF31E0" w:rsidRDefault="00F231E2" w:rsidP="005D1502">
      <w:pPr>
        <w:pStyle w:val="Bhead"/>
      </w:pPr>
      <w:bookmarkStart w:id="1101" w:name="_Toc6472808"/>
      <w:r w:rsidRPr="00CF31E0">
        <w:t>11</w:t>
      </w:r>
      <w:r w:rsidR="000B4835" w:rsidRPr="00CF31E0">
        <w:t>.3.</w:t>
      </w:r>
      <w:r w:rsidR="0041475C" w:rsidRPr="00CF31E0">
        <w:t>9</w:t>
      </w:r>
      <w:r w:rsidR="000B4835" w:rsidRPr="00CF31E0">
        <w:t>.</w:t>
      </w:r>
      <w:r w:rsidR="003F4912" w:rsidRPr="00CF31E0">
        <w:tab/>
      </w:r>
      <w:r w:rsidR="000B4835" w:rsidRPr="00CF31E0">
        <w:t xml:space="preserve">Effects of demographic variables on </w:t>
      </w:r>
      <w:r w:rsidR="00933CDF" w:rsidRPr="00CF31E0">
        <w:t xml:space="preserve">ratings </w:t>
      </w:r>
      <w:r w:rsidR="000B4835" w:rsidRPr="00CF31E0">
        <w:t>for VS4</w:t>
      </w:r>
      <w:bookmarkEnd w:id="1101"/>
      <w:r w:rsidR="000B4835" w:rsidRPr="00CF31E0">
        <w:t xml:space="preserve"> </w:t>
      </w:r>
    </w:p>
    <w:p w14:paraId="5C8E7FF8" w14:textId="77777777" w:rsidR="000B4835" w:rsidRPr="00CF31E0" w:rsidRDefault="000B4835" w:rsidP="00603CB7">
      <w:pPr>
        <w:pStyle w:val="Paragraph"/>
        <w:rPr>
          <w:lang w:eastAsia="en-US"/>
        </w:rPr>
      </w:pPr>
      <w:r w:rsidRPr="00CF31E0">
        <w:rPr>
          <w:lang w:eastAsia="en-US"/>
        </w:rPr>
        <w:t xml:space="preserve">The results revealed that three scales were affected by demographic variables: </w:t>
      </w:r>
      <w:r w:rsidRPr="00CF31E0">
        <w:rPr>
          <w:i/>
          <w:iCs/>
          <w:lang w:eastAsia="en-US"/>
        </w:rPr>
        <w:t>serious</w:t>
      </w:r>
      <w:r w:rsidRPr="00CF31E0">
        <w:rPr>
          <w:lang w:eastAsia="en-US"/>
        </w:rPr>
        <w:t xml:space="preserve">, </w:t>
      </w:r>
      <w:r w:rsidRPr="00CF31E0">
        <w:rPr>
          <w:i/>
          <w:iCs/>
          <w:lang w:eastAsia="en-US"/>
        </w:rPr>
        <w:t>traditional</w:t>
      </w:r>
      <w:r w:rsidRPr="00CF31E0">
        <w:rPr>
          <w:lang w:eastAsia="en-US"/>
        </w:rPr>
        <w:t xml:space="preserve">, and </w:t>
      </w:r>
      <w:r w:rsidRPr="00CF31E0">
        <w:rPr>
          <w:i/>
          <w:iCs/>
          <w:lang w:eastAsia="en-US"/>
        </w:rPr>
        <w:t>modern</w:t>
      </w:r>
      <w:r w:rsidRPr="00CF31E0">
        <w:rPr>
          <w:lang w:eastAsia="en-US"/>
        </w:rPr>
        <w:t xml:space="preserve">. </w:t>
      </w:r>
    </w:p>
    <w:p w14:paraId="0A0509E7" w14:textId="5B2189B9" w:rsidR="000B4835" w:rsidRPr="00CF31E0" w:rsidRDefault="00F231E2" w:rsidP="0041475C">
      <w:pPr>
        <w:pStyle w:val="Chead"/>
      </w:pPr>
      <w:bookmarkStart w:id="1102" w:name="_Toc6472809"/>
      <w:r w:rsidRPr="00CF31E0">
        <w:t>11</w:t>
      </w:r>
      <w:r w:rsidR="000B4835" w:rsidRPr="00CF31E0">
        <w:t>.3.</w:t>
      </w:r>
      <w:r w:rsidR="0041475C" w:rsidRPr="00CF31E0">
        <w:t>9</w:t>
      </w:r>
      <w:r w:rsidR="000B4835" w:rsidRPr="00CF31E0">
        <w:t>.1.</w:t>
      </w:r>
      <w:r w:rsidR="003F4912" w:rsidRPr="00CF31E0">
        <w:tab/>
      </w:r>
      <w:r w:rsidR="000B4835" w:rsidRPr="00CF31E0">
        <w:t>Serious scale</w:t>
      </w:r>
      <w:bookmarkEnd w:id="1102"/>
      <w:r w:rsidR="000B4835" w:rsidRPr="00CF31E0">
        <w:t xml:space="preserve"> </w:t>
      </w:r>
    </w:p>
    <w:p w14:paraId="3DEB9DC4" w14:textId="328FB636" w:rsidR="004E0035" w:rsidRPr="00CF31E0" w:rsidRDefault="000B4835" w:rsidP="00603CB7">
      <w:pPr>
        <w:pStyle w:val="Paragraph"/>
        <w:rPr>
          <w:rFonts w:cs="Arial"/>
          <w:lang w:val="en-US" w:eastAsia="en-US"/>
        </w:rPr>
      </w:pPr>
      <w:r w:rsidRPr="00CF31E0">
        <w:rPr>
          <w:lang w:eastAsia="en-US"/>
        </w:rPr>
        <w:t xml:space="preserve">The gender demographic variable is the only variable with a significant difference between its categories in relation to the </w:t>
      </w:r>
      <w:r w:rsidRPr="00CF31E0">
        <w:rPr>
          <w:i/>
          <w:iCs/>
          <w:lang w:eastAsia="en-US"/>
        </w:rPr>
        <w:t>serious</w:t>
      </w:r>
      <w:r w:rsidRPr="00CF31E0">
        <w:rPr>
          <w:lang w:eastAsia="en-US"/>
        </w:rPr>
        <w:t xml:space="preserve"> scale.</w:t>
      </w:r>
      <w:r w:rsidR="004E0035" w:rsidRPr="00CF31E0">
        <w:rPr>
          <w:lang w:eastAsia="en-US"/>
        </w:rPr>
        <w:t xml:space="preserve"> </w:t>
      </w:r>
      <w:r w:rsidR="004E0035" w:rsidRPr="00CF31E0">
        <w:rPr>
          <w:rFonts w:cs="Arial"/>
          <w:lang w:val="en-US" w:eastAsia="en-US"/>
        </w:rPr>
        <w:t xml:space="preserve">See </w:t>
      </w:r>
      <w:r w:rsidR="003423CA" w:rsidRPr="00CF31E0">
        <w:rPr>
          <w:rFonts w:cs="Arial"/>
          <w:lang w:val="en-US" w:eastAsia="en-US"/>
        </w:rPr>
        <w:t xml:space="preserve">Tables </w:t>
      </w:r>
      <w:r w:rsidR="00F231E2" w:rsidRPr="00CF31E0">
        <w:rPr>
          <w:rFonts w:cs="Arial"/>
          <w:lang w:val="en-US" w:eastAsia="en-US"/>
        </w:rPr>
        <w:t>11</w:t>
      </w:r>
      <w:r w:rsidR="004E0035" w:rsidRPr="00CF31E0">
        <w:rPr>
          <w:rFonts w:cs="Arial"/>
          <w:lang w:val="en-US" w:eastAsia="en-US"/>
        </w:rPr>
        <w:t>.</w:t>
      </w:r>
      <w:r w:rsidR="00F231E2" w:rsidRPr="00CF31E0">
        <w:rPr>
          <w:rFonts w:cs="Arial"/>
          <w:lang w:val="en-US" w:eastAsia="en-US"/>
        </w:rPr>
        <w:t>7</w:t>
      </w:r>
      <w:r w:rsidR="00C85621" w:rsidRPr="00CF31E0">
        <w:rPr>
          <w:rFonts w:cs="Arial"/>
          <w:lang w:val="en-US" w:eastAsia="en-US"/>
        </w:rPr>
        <w:t>2</w:t>
      </w:r>
      <w:r w:rsidR="00F231E2" w:rsidRPr="00CF31E0">
        <w:rPr>
          <w:rFonts w:cs="Arial"/>
          <w:lang w:val="en-US" w:eastAsia="en-US"/>
        </w:rPr>
        <w:t xml:space="preserve"> </w:t>
      </w:r>
      <w:r w:rsidR="004E0035" w:rsidRPr="00CF31E0">
        <w:rPr>
          <w:rFonts w:cs="Arial"/>
          <w:lang w:val="en-US" w:eastAsia="en-US"/>
        </w:rPr>
        <w:t xml:space="preserve">and </w:t>
      </w:r>
      <w:r w:rsidR="00F231E2" w:rsidRPr="00CF31E0">
        <w:rPr>
          <w:rFonts w:cs="Arial"/>
          <w:lang w:val="en-US" w:eastAsia="en-US"/>
        </w:rPr>
        <w:t>11</w:t>
      </w:r>
      <w:r w:rsidR="004E0035" w:rsidRPr="00CF31E0">
        <w:rPr>
          <w:rFonts w:cs="Arial"/>
          <w:lang w:val="en-US" w:eastAsia="en-US"/>
        </w:rPr>
        <w:t>.</w:t>
      </w:r>
      <w:r w:rsidR="00F231E2" w:rsidRPr="00CF31E0">
        <w:rPr>
          <w:rFonts w:cs="Arial"/>
          <w:lang w:val="en-US" w:eastAsia="en-US"/>
        </w:rPr>
        <w:t>7</w:t>
      </w:r>
      <w:r w:rsidR="00C85621" w:rsidRPr="00CF31E0">
        <w:rPr>
          <w:rFonts w:cs="Arial"/>
          <w:lang w:val="en-US" w:eastAsia="en-US"/>
        </w:rPr>
        <w:t>3</w:t>
      </w:r>
      <w:r w:rsidR="004E0035" w:rsidRPr="00CF31E0">
        <w:rPr>
          <w:rFonts w:cs="Arial"/>
          <w:lang w:val="en-US" w:eastAsia="en-US"/>
        </w:rPr>
        <w:t xml:space="preserve"> for gender results </w:t>
      </w:r>
      <w:r w:rsidR="003423CA" w:rsidRPr="00CF31E0">
        <w:rPr>
          <w:rFonts w:cs="Arial"/>
          <w:lang w:val="en-US" w:eastAsia="en-US"/>
        </w:rPr>
        <w:t>from</w:t>
      </w:r>
      <w:r w:rsidR="004E0035" w:rsidRPr="00CF31E0">
        <w:rPr>
          <w:rFonts w:cs="Arial"/>
          <w:lang w:val="en-US" w:eastAsia="en-US"/>
        </w:rPr>
        <w:t xml:space="preserve"> the data.</w:t>
      </w: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7F558A" w:rsidRPr="00CF31E0" w14:paraId="0B943E88" w14:textId="77777777" w:rsidTr="00603CB7">
        <w:trPr>
          <w:cantSplit/>
          <w:trHeight w:val="658"/>
        </w:trPr>
        <w:tc>
          <w:tcPr>
            <w:tcW w:w="1736" w:type="dxa"/>
            <w:tcBorders>
              <w:top w:val="single" w:sz="8" w:space="0" w:color="auto"/>
              <w:bottom w:val="single" w:sz="8" w:space="0" w:color="auto"/>
            </w:tcBorders>
            <w:shd w:val="clear" w:color="auto" w:fill="FFFFFF"/>
            <w:vAlign w:val="bottom"/>
          </w:tcPr>
          <w:p w14:paraId="50D9B09C"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Gender</w:t>
            </w:r>
          </w:p>
        </w:tc>
        <w:tc>
          <w:tcPr>
            <w:tcW w:w="1686" w:type="dxa"/>
            <w:tcBorders>
              <w:top w:val="single" w:sz="8" w:space="0" w:color="auto"/>
              <w:bottom w:val="single" w:sz="8" w:space="0" w:color="auto"/>
            </w:tcBorders>
            <w:shd w:val="clear" w:color="auto" w:fill="FFFFFF"/>
            <w:vAlign w:val="bottom"/>
          </w:tcPr>
          <w:p w14:paraId="4A5928B6"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8" w:space="0" w:color="auto"/>
            </w:tcBorders>
            <w:shd w:val="clear" w:color="auto" w:fill="FFFFFF"/>
            <w:vAlign w:val="bottom"/>
          </w:tcPr>
          <w:p w14:paraId="597BB85D"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8" w:space="0" w:color="auto"/>
            </w:tcBorders>
            <w:shd w:val="clear" w:color="auto" w:fill="FFFFFF"/>
            <w:vAlign w:val="bottom"/>
          </w:tcPr>
          <w:p w14:paraId="7A5CB75A"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8" w:space="0" w:color="auto"/>
            </w:tcBorders>
            <w:shd w:val="clear" w:color="auto" w:fill="FFFFFF"/>
            <w:vAlign w:val="bottom"/>
          </w:tcPr>
          <w:p w14:paraId="51F2E34B"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8" w:space="0" w:color="auto"/>
            </w:tcBorders>
            <w:shd w:val="clear" w:color="auto" w:fill="FFFFFF"/>
            <w:vAlign w:val="bottom"/>
          </w:tcPr>
          <w:p w14:paraId="6E0687CA"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F558A" w:rsidRPr="00CF31E0" w14:paraId="393A291D" w14:textId="77777777" w:rsidTr="00603CB7">
        <w:trPr>
          <w:cantSplit/>
        </w:trPr>
        <w:tc>
          <w:tcPr>
            <w:tcW w:w="1736" w:type="dxa"/>
            <w:tcBorders>
              <w:top w:val="single" w:sz="8" w:space="0" w:color="auto"/>
              <w:bottom w:val="nil"/>
            </w:tcBorders>
            <w:shd w:val="clear" w:color="auto" w:fill="FFFFFF"/>
          </w:tcPr>
          <w:p w14:paraId="512F9B55"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8" w:space="0" w:color="auto"/>
              <w:bottom w:val="nil"/>
            </w:tcBorders>
            <w:shd w:val="clear" w:color="auto" w:fill="FFFFFF"/>
            <w:vAlign w:val="center"/>
          </w:tcPr>
          <w:p w14:paraId="2A66E100"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20.077</w:t>
            </w:r>
          </w:p>
        </w:tc>
        <w:tc>
          <w:tcPr>
            <w:tcW w:w="820" w:type="dxa"/>
            <w:tcBorders>
              <w:top w:val="single" w:sz="8" w:space="0" w:color="auto"/>
              <w:bottom w:val="nil"/>
            </w:tcBorders>
            <w:shd w:val="clear" w:color="auto" w:fill="FFFFFF"/>
            <w:vAlign w:val="center"/>
          </w:tcPr>
          <w:p w14:paraId="47D27DAA"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w:t>
            </w:r>
          </w:p>
        </w:tc>
        <w:tc>
          <w:tcPr>
            <w:tcW w:w="1445" w:type="dxa"/>
            <w:tcBorders>
              <w:top w:val="single" w:sz="8" w:space="0" w:color="auto"/>
              <w:bottom w:val="nil"/>
            </w:tcBorders>
            <w:shd w:val="clear" w:color="auto" w:fill="FFFFFF"/>
            <w:vAlign w:val="center"/>
          </w:tcPr>
          <w:p w14:paraId="712BB33A"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20.077</w:t>
            </w:r>
          </w:p>
        </w:tc>
        <w:tc>
          <w:tcPr>
            <w:tcW w:w="1030" w:type="dxa"/>
            <w:tcBorders>
              <w:top w:val="single" w:sz="8" w:space="0" w:color="auto"/>
              <w:bottom w:val="nil"/>
            </w:tcBorders>
            <w:shd w:val="clear" w:color="auto" w:fill="FFFFFF"/>
            <w:vAlign w:val="center"/>
          </w:tcPr>
          <w:p w14:paraId="3487BB6C"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11.791</w:t>
            </w:r>
          </w:p>
        </w:tc>
        <w:tc>
          <w:tcPr>
            <w:tcW w:w="674" w:type="dxa"/>
            <w:tcBorders>
              <w:top w:val="single" w:sz="8" w:space="0" w:color="auto"/>
              <w:bottom w:val="nil"/>
            </w:tcBorders>
            <w:shd w:val="clear" w:color="auto" w:fill="FFFFFF"/>
            <w:vAlign w:val="center"/>
          </w:tcPr>
          <w:p w14:paraId="562DE1BE"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.001</w:t>
            </w:r>
          </w:p>
        </w:tc>
      </w:tr>
      <w:tr w:rsidR="007F558A" w:rsidRPr="00CF31E0" w14:paraId="1D07A0D3" w14:textId="77777777" w:rsidTr="00603CB7">
        <w:trPr>
          <w:cantSplit/>
        </w:trPr>
        <w:tc>
          <w:tcPr>
            <w:tcW w:w="1736" w:type="dxa"/>
            <w:tcBorders>
              <w:top w:val="nil"/>
            </w:tcBorders>
            <w:shd w:val="clear" w:color="auto" w:fill="FFFFFF"/>
          </w:tcPr>
          <w:p w14:paraId="07481761"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73B58F8B"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1101.698</w:t>
            </w:r>
          </w:p>
        </w:tc>
        <w:tc>
          <w:tcPr>
            <w:tcW w:w="820" w:type="dxa"/>
            <w:tcBorders>
              <w:top w:val="nil"/>
            </w:tcBorders>
            <w:shd w:val="clear" w:color="auto" w:fill="FFFFFF"/>
            <w:vAlign w:val="center"/>
          </w:tcPr>
          <w:p w14:paraId="1750C740"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648</w:t>
            </w:r>
          </w:p>
        </w:tc>
        <w:tc>
          <w:tcPr>
            <w:tcW w:w="1445" w:type="dxa"/>
            <w:tcBorders>
              <w:top w:val="nil"/>
            </w:tcBorders>
            <w:shd w:val="clear" w:color="auto" w:fill="FFFFFF"/>
            <w:vAlign w:val="center"/>
          </w:tcPr>
          <w:p w14:paraId="10F8B08E"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1.703</w:t>
            </w:r>
          </w:p>
        </w:tc>
        <w:tc>
          <w:tcPr>
            <w:tcW w:w="1030" w:type="dxa"/>
            <w:tcBorders>
              <w:top w:val="nil"/>
            </w:tcBorders>
            <w:shd w:val="clear" w:color="auto" w:fill="FFFFFF"/>
            <w:vAlign w:val="center"/>
          </w:tcPr>
          <w:p w14:paraId="2F99E3F2"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674" w:type="dxa"/>
            <w:tcBorders>
              <w:top w:val="nil"/>
            </w:tcBorders>
            <w:shd w:val="clear" w:color="auto" w:fill="FFFFFF"/>
            <w:vAlign w:val="center"/>
          </w:tcPr>
          <w:p w14:paraId="3DCA82C5"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r>
      <w:tr w:rsidR="007F558A" w:rsidRPr="00CF31E0" w14:paraId="76F6BA52" w14:textId="77777777" w:rsidTr="00603CB7">
        <w:trPr>
          <w:cantSplit/>
        </w:trPr>
        <w:tc>
          <w:tcPr>
            <w:tcW w:w="1736" w:type="dxa"/>
            <w:shd w:val="clear" w:color="auto" w:fill="FFFFFF"/>
          </w:tcPr>
          <w:p w14:paraId="48B18FA6"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5EE0BAB4"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1121.775</w:t>
            </w:r>
          </w:p>
        </w:tc>
        <w:tc>
          <w:tcPr>
            <w:tcW w:w="820" w:type="dxa"/>
            <w:shd w:val="clear" w:color="auto" w:fill="FFFFFF"/>
            <w:vAlign w:val="center"/>
          </w:tcPr>
          <w:p w14:paraId="6E677EB4"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649</w:t>
            </w:r>
          </w:p>
        </w:tc>
        <w:tc>
          <w:tcPr>
            <w:tcW w:w="1445" w:type="dxa"/>
            <w:shd w:val="clear" w:color="auto" w:fill="FFFFFF"/>
            <w:vAlign w:val="center"/>
          </w:tcPr>
          <w:p w14:paraId="1374AE23"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1030" w:type="dxa"/>
            <w:shd w:val="clear" w:color="auto" w:fill="FFFFFF"/>
            <w:vAlign w:val="center"/>
          </w:tcPr>
          <w:p w14:paraId="7E493A05"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674" w:type="dxa"/>
            <w:shd w:val="clear" w:color="auto" w:fill="FFFFFF"/>
            <w:vAlign w:val="center"/>
          </w:tcPr>
          <w:p w14:paraId="5A43D2B1"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r>
    </w:tbl>
    <w:p w14:paraId="7256DCD0" w14:textId="20BCEF52" w:rsidR="000B4835" w:rsidRPr="00CF31E0" w:rsidRDefault="000B4835" w:rsidP="00603CB7">
      <w:pPr>
        <w:pStyle w:val="Tablecaption"/>
        <w:spacing w:after="400"/>
        <w:rPr>
          <w:lang w:eastAsia="en-US"/>
        </w:rPr>
      </w:pPr>
      <w:bookmarkStart w:id="1103" w:name="_Toc522527537"/>
      <w:bookmarkStart w:id="1104" w:name="_Toc522628950"/>
      <w:bookmarkStart w:id="1105" w:name="_Toc522629114"/>
      <w:bookmarkStart w:id="1106" w:name="_Toc6473210"/>
      <w:r w:rsidRPr="00CF31E0">
        <w:rPr>
          <w:lang w:eastAsia="en-US"/>
        </w:rPr>
        <w:t xml:space="preserve">Table </w:t>
      </w:r>
      <w:r w:rsidR="00F231E2" w:rsidRPr="00CF31E0">
        <w:rPr>
          <w:lang w:eastAsia="en-US"/>
        </w:rPr>
        <w:t>11</w:t>
      </w:r>
      <w:r w:rsidR="007555C7" w:rsidRPr="00CF31E0">
        <w:rPr>
          <w:lang w:eastAsia="en-US"/>
        </w:rPr>
        <w:t>.</w:t>
      </w:r>
      <w:r w:rsidR="00F231E2" w:rsidRPr="00CF31E0">
        <w:rPr>
          <w:lang w:eastAsia="en-US"/>
        </w:rPr>
        <w:t>7</w:t>
      </w:r>
      <w:r w:rsidR="00C85621" w:rsidRPr="00CF31E0">
        <w:rPr>
          <w:lang w:eastAsia="en-US"/>
        </w:rPr>
        <w:t>2</w:t>
      </w:r>
      <w:r w:rsidRPr="00CF31E0">
        <w:rPr>
          <w:lang w:eastAsia="en-US"/>
        </w:rPr>
        <w:t>: ANOVA statistics for gender demographic variable.</w:t>
      </w:r>
      <w:bookmarkEnd w:id="1103"/>
      <w:bookmarkEnd w:id="1104"/>
      <w:bookmarkEnd w:id="1105"/>
      <w:bookmarkEnd w:id="1106"/>
      <w:r w:rsidRPr="00CF31E0">
        <w:rPr>
          <w:lang w:eastAsia="en-US"/>
        </w:rPr>
        <w:t xml:space="preserve"> </w:t>
      </w:r>
    </w:p>
    <w:tbl>
      <w:tblPr>
        <w:tblW w:w="7317" w:type="dxa"/>
        <w:tblInd w:w="-1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046"/>
        <w:gridCol w:w="2509"/>
        <w:gridCol w:w="1534"/>
        <w:gridCol w:w="1091"/>
        <w:gridCol w:w="1137"/>
      </w:tblGrid>
      <w:tr w:rsidR="007F558A" w:rsidRPr="00CF31E0" w14:paraId="6C87FD1E" w14:textId="77777777" w:rsidTr="000B4835">
        <w:trPr>
          <w:cantSplit/>
        </w:trPr>
        <w:tc>
          <w:tcPr>
            <w:tcW w:w="1046" w:type="dxa"/>
            <w:tcBorders>
              <w:top w:val="single" w:sz="8" w:space="0" w:color="auto"/>
              <w:bottom w:val="single" w:sz="8" w:space="0" w:color="auto"/>
            </w:tcBorders>
          </w:tcPr>
          <w:p w14:paraId="11FA5A2E"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4043" w:type="dxa"/>
            <w:gridSpan w:val="2"/>
            <w:tcBorders>
              <w:top w:val="single" w:sz="8" w:space="0" w:color="auto"/>
              <w:bottom w:val="single" w:sz="8" w:space="0" w:color="auto"/>
            </w:tcBorders>
            <w:shd w:val="clear" w:color="auto" w:fill="FFFFFF"/>
            <w:vAlign w:val="bottom"/>
          </w:tcPr>
          <w:p w14:paraId="4C6249A9"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Gender</w:t>
            </w:r>
          </w:p>
        </w:tc>
        <w:tc>
          <w:tcPr>
            <w:tcW w:w="1091" w:type="dxa"/>
            <w:tcBorders>
              <w:top w:val="single" w:sz="8" w:space="0" w:color="auto"/>
              <w:bottom w:val="single" w:sz="8" w:space="0" w:color="auto"/>
            </w:tcBorders>
            <w:shd w:val="clear" w:color="auto" w:fill="FFFFFF"/>
            <w:vAlign w:val="bottom"/>
          </w:tcPr>
          <w:p w14:paraId="71B0C603"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Statistic</w:t>
            </w:r>
          </w:p>
        </w:tc>
        <w:tc>
          <w:tcPr>
            <w:tcW w:w="1137" w:type="dxa"/>
            <w:tcBorders>
              <w:top w:val="single" w:sz="8" w:space="0" w:color="auto"/>
              <w:bottom w:val="single" w:sz="8" w:space="0" w:color="auto"/>
            </w:tcBorders>
            <w:shd w:val="clear" w:color="auto" w:fill="FFFFFF"/>
            <w:vAlign w:val="bottom"/>
          </w:tcPr>
          <w:p w14:paraId="25A95754"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Std. Error</w:t>
            </w:r>
          </w:p>
        </w:tc>
      </w:tr>
      <w:tr w:rsidR="007F558A" w:rsidRPr="00CF31E0" w14:paraId="5F3956A8" w14:textId="77777777" w:rsidTr="000B4835">
        <w:trPr>
          <w:cantSplit/>
        </w:trPr>
        <w:tc>
          <w:tcPr>
            <w:tcW w:w="1046" w:type="dxa"/>
            <w:vMerge w:val="restart"/>
            <w:tcBorders>
              <w:top w:val="single" w:sz="8" w:space="0" w:color="auto"/>
              <w:bottom w:val="nil"/>
            </w:tcBorders>
            <w:shd w:val="clear" w:color="auto" w:fill="FFFFFF"/>
          </w:tcPr>
          <w:p w14:paraId="38064C4E"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Serious</w:t>
            </w:r>
          </w:p>
        </w:tc>
        <w:tc>
          <w:tcPr>
            <w:tcW w:w="2509" w:type="dxa"/>
            <w:tcBorders>
              <w:top w:val="single" w:sz="8" w:space="0" w:color="auto"/>
              <w:bottom w:val="nil"/>
            </w:tcBorders>
            <w:shd w:val="clear" w:color="auto" w:fill="FFFFFF"/>
          </w:tcPr>
          <w:p w14:paraId="64AA0F18"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 xml:space="preserve">Male </w:t>
            </w:r>
          </w:p>
        </w:tc>
        <w:tc>
          <w:tcPr>
            <w:tcW w:w="1534" w:type="dxa"/>
            <w:tcBorders>
              <w:top w:val="single" w:sz="8" w:space="0" w:color="auto"/>
              <w:bottom w:val="nil"/>
            </w:tcBorders>
            <w:shd w:val="clear" w:color="auto" w:fill="FFFFFF"/>
          </w:tcPr>
          <w:p w14:paraId="6B1205D9"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091" w:type="dxa"/>
            <w:tcBorders>
              <w:top w:val="single" w:sz="8" w:space="0" w:color="auto"/>
              <w:bottom w:val="nil"/>
            </w:tcBorders>
            <w:shd w:val="clear" w:color="auto" w:fill="FFFFFF"/>
            <w:vAlign w:val="center"/>
          </w:tcPr>
          <w:p w14:paraId="2D7758E2"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3.1268</w:t>
            </w:r>
          </w:p>
        </w:tc>
        <w:tc>
          <w:tcPr>
            <w:tcW w:w="1137" w:type="dxa"/>
            <w:tcBorders>
              <w:top w:val="single" w:sz="8" w:space="0" w:color="auto"/>
              <w:bottom w:val="nil"/>
            </w:tcBorders>
            <w:shd w:val="clear" w:color="auto" w:fill="FFFFFF"/>
            <w:vAlign w:val="center"/>
          </w:tcPr>
          <w:p w14:paraId="5699A41A"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.07228</w:t>
            </w:r>
          </w:p>
        </w:tc>
      </w:tr>
      <w:tr w:rsidR="007F558A" w:rsidRPr="00CF31E0" w14:paraId="1FAA4167" w14:textId="77777777" w:rsidTr="000B4835">
        <w:trPr>
          <w:cantSplit/>
        </w:trPr>
        <w:tc>
          <w:tcPr>
            <w:tcW w:w="1046" w:type="dxa"/>
            <w:vMerge/>
            <w:tcBorders>
              <w:top w:val="nil"/>
            </w:tcBorders>
            <w:shd w:val="clear" w:color="auto" w:fill="FFFFFF"/>
          </w:tcPr>
          <w:p w14:paraId="35BE435F"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2509" w:type="dxa"/>
            <w:tcBorders>
              <w:top w:val="nil"/>
            </w:tcBorders>
            <w:shd w:val="clear" w:color="auto" w:fill="FFFFFF"/>
          </w:tcPr>
          <w:p w14:paraId="5F2B7345"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Female</w:t>
            </w:r>
          </w:p>
        </w:tc>
        <w:tc>
          <w:tcPr>
            <w:tcW w:w="1534" w:type="dxa"/>
            <w:tcBorders>
              <w:top w:val="nil"/>
            </w:tcBorders>
            <w:shd w:val="clear" w:color="auto" w:fill="FFFFFF"/>
          </w:tcPr>
          <w:p w14:paraId="20F1FD27"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091" w:type="dxa"/>
            <w:tcBorders>
              <w:top w:val="nil"/>
            </w:tcBorders>
            <w:shd w:val="clear" w:color="auto" w:fill="FFFFFF"/>
            <w:vAlign w:val="center"/>
          </w:tcPr>
          <w:p w14:paraId="7E8987E6"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3.4826</w:t>
            </w:r>
          </w:p>
        </w:tc>
        <w:tc>
          <w:tcPr>
            <w:tcW w:w="1137" w:type="dxa"/>
            <w:tcBorders>
              <w:top w:val="nil"/>
            </w:tcBorders>
            <w:shd w:val="clear" w:color="auto" w:fill="FFFFFF"/>
            <w:vAlign w:val="center"/>
          </w:tcPr>
          <w:p w14:paraId="7D2F6E60"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.07129</w:t>
            </w:r>
          </w:p>
        </w:tc>
      </w:tr>
    </w:tbl>
    <w:p w14:paraId="619BCEE1" w14:textId="2C833B5B" w:rsidR="000B4835" w:rsidRPr="00CF31E0" w:rsidRDefault="000B4835" w:rsidP="00E96074">
      <w:pPr>
        <w:pStyle w:val="Tablecaption"/>
        <w:rPr>
          <w:lang w:eastAsia="en-US"/>
        </w:rPr>
      </w:pPr>
      <w:bookmarkStart w:id="1107" w:name="_Toc522527538"/>
      <w:bookmarkStart w:id="1108" w:name="_Toc522628951"/>
      <w:bookmarkStart w:id="1109" w:name="_Toc522629115"/>
      <w:bookmarkStart w:id="1110" w:name="_Toc6473211"/>
      <w:r w:rsidRPr="00CF31E0">
        <w:rPr>
          <w:lang w:eastAsia="en-US"/>
        </w:rPr>
        <w:t xml:space="preserve">Table </w:t>
      </w:r>
      <w:r w:rsidR="00F231E2" w:rsidRPr="00CF31E0">
        <w:rPr>
          <w:lang w:eastAsia="en-US"/>
        </w:rPr>
        <w:t>11</w:t>
      </w:r>
      <w:r w:rsidR="007555C7" w:rsidRPr="00CF31E0">
        <w:rPr>
          <w:lang w:eastAsia="en-US"/>
        </w:rPr>
        <w:t>.</w:t>
      </w:r>
      <w:r w:rsidR="00F231E2" w:rsidRPr="00CF31E0">
        <w:rPr>
          <w:lang w:eastAsia="en-US"/>
        </w:rPr>
        <w:t>7</w:t>
      </w:r>
      <w:r w:rsidR="00C85621" w:rsidRPr="00CF31E0">
        <w:rPr>
          <w:lang w:eastAsia="en-US"/>
        </w:rPr>
        <w:t>3</w:t>
      </w:r>
      <w:r w:rsidRPr="00CF31E0">
        <w:rPr>
          <w:lang w:eastAsia="en-US"/>
        </w:rPr>
        <w:t>: Post-hoc test results for gender demographic variable.</w:t>
      </w:r>
      <w:bookmarkEnd w:id="1107"/>
      <w:bookmarkEnd w:id="1108"/>
      <w:bookmarkEnd w:id="1109"/>
      <w:bookmarkEnd w:id="1110"/>
      <w:r w:rsidRPr="00CF31E0">
        <w:rPr>
          <w:lang w:eastAsia="en-US"/>
        </w:rPr>
        <w:t xml:space="preserve"> </w:t>
      </w:r>
    </w:p>
    <w:p w14:paraId="41A802CF" w14:textId="4FD80FAA" w:rsidR="000B4835" w:rsidRPr="00CF31E0" w:rsidRDefault="00326AE7" w:rsidP="00603CB7">
      <w:pPr>
        <w:pStyle w:val="Paragraph"/>
        <w:rPr>
          <w:lang w:eastAsia="en-US"/>
        </w:rPr>
      </w:pPr>
      <w:r>
        <w:rPr>
          <w:lang w:eastAsia="en-US"/>
        </w:rPr>
        <w:lastRenderedPageBreak/>
        <w:t xml:space="preserve">Tables 11.72 and table 11.73 </w:t>
      </w:r>
      <w:r w:rsidR="000B4835" w:rsidRPr="00CF31E0">
        <w:rPr>
          <w:lang w:eastAsia="en-US"/>
        </w:rPr>
        <w:t xml:space="preserve"> show that the female group rated the voice as more </w:t>
      </w:r>
      <w:r w:rsidR="000B4835" w:rsidRPr="00CF31E0">
        <w:rPr>
          <w:i/>
          <w:iCs/>
          <w:lang w:eastAsia="en-US"/>
        </w:rPr>
        <w:t xml:space="preserve">serious </w:t>
      </w:r>
      <w:r w:rsidR="000B4835" w:rsidRPr="00CF31E0">
        <w:rPr>
          <w:lang w:eastAsia="en-US"/>
        </w:rPr>
        <w:t>than did the male group.</w:t>
      </w:r>
    </w:p>
    <w:p w14:paraId="0F795D75" w14:textId="3C0B3105" w:rsidR="000B4835" w:rsidRPr="00CF31E0" w:rsidRDefault="00F231E2" w:rsidP="0041475C">
      <w:pPr>
        <w:pStyle w:val="Chead"/>
      </w:pPr>
      <w:bookmarkStart w:id="1111" w:name="_Toc6472810"/>
      <w:r w:rsidRPr="00CF31E0">
        <w:t>11</w:t>
      </w:r>
      <w:r w:rsidR="000B4835" w:rsidRPr="00CF31E0">
        <w:t>.3.</w:t>
      </w:r>
      <w:r w:rsidR="0041475C" w:rsidRPr="00CF31E0">
        <w:t>9</w:t>
      </w:r>
      <w:r w:rsidR="000B4835" w:rsidRPr="00CF31E0">
        <w:t>.2.</w:t>
      </w:r>
      <w:r w:rsidR="003F4912" w:rsidRPr="00CF31E0">
        <w:tab/>
      </w:r>
      <w:r w:rsidR="000B4835" w:rsidRPr="00CF31E0">
        <w:t>Traditional scale</w:t>
      </w:r>
      <w:bookmarkEnd w:id="1111"/>
      <w:r w:rsidR="000B4835" w:rsidRPr="00CF31E0">
        <w:t xml:space="preserve"> </w:t>
      </w:r>
    </w:p>
    <w:p w14:paraId="4AE456E2" w14:textId="4216DC43" w:rsidR="004E0035" w:rsidRPr="00CF31E0" w:rsidRDefault="004E0035" w:rsidP="00603CB7">
      <w:pPr>
        <w:pStyle w:val="Paragraph"/>
        <w:rPr>
          <w:rFonts w:cs="Arial"/>
          <w:lang w:val="en-US" w:eastAsia="en-US"/>
        </w:rPr>
      </w:pPr>
      <w:r w:rsidRPr="00CF31E0">
        <w:rPr>
          <w:lang w:eastAsia="en-US"/>
        </w:rPr>
        <w:t xml:space="preserve">The gender, the social group and the mother’s social group demographic variables were    the only variables with a significant difference between their categories in relation to the </w:t>
      </w:r>
      <w:r w:rsidRPr="00CF31E0">
        <w:rPr>
          <w:i/>
          <w:iCs/>
          <w:lang w:eastAsia="en-US"/>
        </w:rPr>
        <w:t>traditional</w:t>
      </w:r>
      <w:r w:rsidRPr="00CF31E0">
        <w:rPr>
          <w:lang w:eastAsia="en-US"/>
        </w:rPr>
        <w:t xml:space="preserve"> scale. </w:t>
      </w:r>
      <w:r w:rsidRPr="00CF31E0">
        <w:rPr>
          <w:rFonts w:cs="Arial"/>
          <w:lang w:val="en-US" w:eastAsia="en-US"/>
        </w:rPr>
        <w:t xml:space="preserve">See </w:t>
      </w:r>
      <w:r w:rsidR="003423CA" w:rsidRPr="00CF31E0">
        <w:rPr>
          <w:rFonts w:cs="Arial"/>
          <w:lang w:val="en-US" w:eastAsia="en-US"/>
        </w:rPr>
        <w:t xml:space="preserve">Tables </w:t>
      </w:r>
      <w:r w:rsidR="00F231E2" w:rsidRPr="00CF31E0">
        <w:rPr>
          <w:rFonts w:cs="Arial"/>
          <w:lang w:val="en-US" w:eastAsia="en-US"/>
        </w:rPr>
        <w:t>11</w:t>
      </w:r>
      <w:r w:rsidRPr="00CF31E0">
        <w:rPr>
          <w:rFonts w:cs="Arial"/>
          <w:lang w:val="en-US" w:eastAsia="en-US"/>
        </w:rPr>
        <w:t>.</w:t>
      </w:r>
      <w:r w:rsidR="00F231E2" w:rsidRPr="00CF31E0">
        <w:rPr>
          <w:rFonts w:cs="Arial"/>
          <w:lang w:val="en-US" w:eastAsia="en-US"/>
        </w:rPr>
        <w:t>7</w:t>
      </w:r>
      <w:r w:rsidR="00C85621" w:rsidRPr="00CF31E0">
        <w:rPr>
          <w:rFonts w:cs="Arial"/>
          <w:lang w:val="en-US" w:eastAsia="en-US"/>
        </w:rPr>
        <w:t>4</w:t>
      </w:r>
      <w:r w:rsidR="00F231E2" w:rsidRPr="00CF31E0">
        <w:rPr>
          <w:rFonts w:cs="Arial"/>
          <w:lang w:val="en-US" w:eastAsia="en-US"/>
        </w:rPr>
        <w:t xml:space="preserve"> </w:t>
      </w:r>
      <w:r w:rsidRPr="00CF31E0">
        <w:rPr>
          <w:rFonts w:cs="Arial"/>
          <w:lang w:val="en-US" w:eastAsia="en-US"/>
        </w:rPr>
        <w:t xml:space="preserve">and </w:t>
      </w:r>
      <w:r w:rsidR="00F231E2" w:rsidRPr="00CF31E0">
        <w:rPr>
          <w:rFonts w:cs="Arial"/>
          <w:lang w:val="en-US" w:eastAsia="en-US"/>
        </w:rPr>
        <w:t>11</w:t>
      </w:r>
      <w:r w:rsidRPr="00CF31E0">
        <w:rPr>
          <w:rFonts w:cs="Arial"/>
          <w:lang w:val="en-US" w:eastAsia="en-US"/>
        </w:rPr>
        <w:t>.</w:t>
      </w:r>
      <w:r w:rsidR="00F231E2" w:rsidRPr="00CF31E0">
        <w:rPr>
          <w:rFonts w:cs="Arial"/>
          <w:lang w:val="en-US" w:eastAsia="en-US"/>
        </w:rPr>
        <w:t>7</w:t>
      </w:r>
      <w:r w:rsidR="00C85621" w:rsidRPr="00CF31E0">
        <w:rPr>
          <w:rFonts w:cs="Arial"/>
          <w:lang w:val="en-US" w:eastAsia="en-US"/>
        </w:rPr>
        <w:t>5</w:t>
      </w:r>
      <w:r w:rsidRPr="00CF31E0">
        <w:rPr>
          <w:rFonts w:cs="Arial"/>
          <w:lang w:val="en-US" w:eastAsia="en-US"/>
        </w:rPr>
        <w:t xml:space="preserve"> for gender results </w:t>
      </w:r>
      <w:r w:rsidR="003423CA" w:rsidRPr="00CF31E0">
        <w:rPr>
          <w:rFonts w:cs="Arial"/>
          <w:lang w:val="en-US" w:eastAsia="en-US"/>
        </w:rPr>
        <w:t>from</w:t>
      </w:r>
      <w:r w:rsidRPr="00CF31E0">
        <w:rPr>
          <w:rFonts w:cs="Arial"/>
          <w:lang w:val="en-US" w:eastAsia="en-US"/>
        </w:rPr>
        <w:t xml:space="preserve"> the data.</w:t>
      </w: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8A1A4E" w:rsidRPr="00CF31E0" w14:paraId="1B07E569" w14:textId="77777777" w:rsidTr="00603CB7">
        <w:trPr>
          <w:cantSplit/>
        </w:trPr>
        <w:tc>
          <w:tcPr>
            <w:tcW w:w="1736" w:type="dxa"/>
            <w:tcBorders>
              <w:top w:val="single" w:sz="8" w:space="0" w:color="auto"/>
              <w:bottom w:val="single" w:sz="8" w:space="0" w:color="auto"/>
            </w:tcBorders>
            <w:shd w:val="clear" w:color="auto" w:fill="FFFFFF"/>
            <w:vAlign w:val="bottom"/>
          </w:tcPr>
          <w:p w14:paraId="1621F481"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Gender</w:t>
            </w:r>
          </w:p>
        </w:tc>
        <w:tc>
          <w:tcPr>
            <w:tcW w:w="1686" w:type="dxa"/>
            <w:tcBorders>
              <w:top w:val="single" w:sz="8" w:space="0" w:color="auto"/>
              <w:bottom w:val="single" w:sz="8" w:space="0" w:color="auto"/>
            </w:tcBorders>
            <w:shd w:val="clear" w:color="auto" w:fill="FFFFFF"/>
            <w:vAlign w:val="bottom"/>
          </w:tcPr>
          <w:p w14:paraId="2FADAED0"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8" w:space="0" w:color="auto"/>
            </w:tcBorders>
            <w:shd w:val="clear" w:color="auto" w:fill="FFFFFF"/>
            <w:vAlign w:val="bottom"/>
          </w:tcPr>
          <w:p w14:paraId="35183303"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8" w:space="0" w:color="auto"/>
            </w:tcBorders>
            <w:shd w:val="clear" w:color="auto" w:fill="FFFFFF"/>
            <w:vAlign w:val="bottom"/>
          </w:tcPr>
          <w:p w14:paraId="7C69BE92"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8" w:space="0" w:color="auto"/>
            </w:tcBorders>
            <w:shd w:val="clear" w:color="auto" w:fill="FFFFFF"/>
            <w:vAlign w:val="bottom"/>
          </w:tcPr>
          <w:p w14:paraId="7FC0E7FD"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8" w:space="0" w:color="auto"/>
            </w:tcBorders>
            <w:shd w:val="clear" w:color="auto" w:fill="FFFFFF"/>
            <w:vAlign w:val="bottom"/>
          </w:tcPr>
          <w:p w14:paraId="2690C5FB"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F558A" w:rsidRPr="00CF31E0" w14:paraId="0EC89D6D" w14:textId="77777777" w:rsidTr="00603CB7">
        <w:trPr>
          <w:cantSplit/>
        </w:trPr>
        <w:tc>
          <w:tcPr>
            <w:tcW w:w="1736" w:type="dxa"/>
            <w:tcBorders>
              <w:top w:val="single" w:sz="8" w:space="0" w:color="auto"/>
              <w:bottom w:val="nil"/>
            </w:tcBorders>
            <w:shd w:val="clear" w:color="auto" w:fill="FFFFFF"/>
          </w:tcPr>
          <w:p w14:paraId="18F89B9A"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8" w:space="0" w:color="auto"/>
              <w:bottom w:val="nil"/>
            </w:tcBorders>
            <w:shd w:val="clear" w:color="auto" w:fill="FFFFFF"/>
            <w:vAlign w:val="center"/>
          </w:tcPr>
          <w:p w14:paraId="14762E1A"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13.398</w:t>
            </w:r>
          </w:p>
        </w:tc>
        <w:tc>
          <w:tcPr>
            <w:tcW w:w="820" w:type="dxa"/>
            <w:tcBorders>
              <w:top w:val="single" w:sz="8" w:space="0" w:color="auto"/>
              <w:bottom w:val="nil"/>
            </w:tcBorders>
            <w:shd w:val="clear" w:color="auto" w:fill="FFFFFF"/>
            <w:vAlign w:val="center"/>
          </w:tcPr>
          <w:p w14:paraId="14D3560B"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w:t>
            </w:r>
          </w:p>
        </w:tc>
        <w:tc>
          <w:tcPr>
            <w:tcW w:w="1445" w:type="dxa"/>
            <w:tcBorders>
              <w:top w:val="single" w:sz="8" w:space="0" w:color="auto"/>
              <w:bottom w:val="nil"/>
            </w:tcBorders>
            <w:shd w:val="clear" w:color="auto" w:fill="FFFFFF"/>
            <w:vAlign w:val="center"/>
          </w:tcPr>
          <w:p w14:paraId="0A989920"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13.398</w:t>
            </w:r>
          </w:p>
        </w:tc>
        <w:tc>
          <w:tcPr>
            <w:tcW w:w="1030" w:type="dxa"/>
            <w:tcBorders>
              <w:top w:val="single" w:sz="8" w:space="0" w:color="auto"/>
              <w:bottom w:val="nil"/>
            </w:tcBorders>
            <w:shd w:val="clear" w:color="auto" w:fill="FFFFFF"/>
            <w:vAlign w:val="center"/>
          </w:tcPr>
          <w:p w14:paraId="1B370BC9"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11.569</w:t>
            </w:r>
          </w:p>
        </w:tc>
        <w:tc>
          <w:tcPr>
            <w:tcW w:w="674" w:type="dxa"/>
            <w:tcBorders>
              <w:top w:val="single" w:sz="8" w:space="0" w:color="auto"/>
              <w:bottom w:val="nil"/>
            </w:tcBorders>
            <w:shd w:val="clear" w:color="auto" w:fill="FFFFFF"/>
            <w:vAlign w:val="center"/>
          </w:tcPr>
          <w:p w14:paraId="29CBE979"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.001</w:t>
            </w:r>
          </w:p>
        </w:tc>
      </w:tr>
      <w:tr w:rsidR="007F558A" w:rsidRPr="00CF31E0" w14:paraId="5A42EC99" w14:textId="77777777" w:rsidTr="00603CB7">
        <w:trPr>
          <w:cantSplit/>
        </w:trPr>
        <w:tc>
          <w:tcPr>
            <w:tcW w:w="1736" w:type="dxa"/>
            <w:tcBorders>
              <w:top w:val="nil"/>
            </w:tcBorders>
            <w:shd w:val="clear" w:color="auto" w:fill="FFFFFF"/>
          </w:tcPr>
          <w:p w14:paraId="414C299A"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21E4CBF8"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749.296</w:t>
            </w:r>
          </w:p>
        </w:tc>
        <w:tc>
          <w:tcPr>
            <w:tcW w:w="820" w:type="dxa"/>
            <w:tcBorders>
              <w:top w:val="nil"/>
            </w:tcBorders>
            <w:shd w:val="clear" w:color="auto" w:fill="FFFFFF"/>
            <w:vAlign w:val="center"/>
          </w:tcPr>
          <w:p w14:paraId="6171A675"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648</w:t>
            </w:r>
          </w:p>
        </w:tc>
        <w:tc>
          <w:tcPr>
            <w:tcW w:w="1445" w:type="dxa"/>
            <w:tcBorders>
              <w:top w:val="nil"/>
            </w:tcBorders>
            <w:shd w:val="clear" w:color="auto" w:fill="FFFFFF"/>
            <w:vAlign w:val="center"/>
          </w:tcPr>
          <w:p w14:paraId="600BCDA3"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1.158</w:t>
            </w:r>
          </w:p>
        </w:tc>
        <w:tc>
          <w:tcPr>
            <w:tcW w:w="1030" w:type="dxa"/>
            <w:tcBorders>
              <w:top w:val="nil"/>
            </w:tcBorders>
            <w:shd w:val="clear" w:color="auto" w:fill="FFFFFF"/>
            <w:vAlign w:val="center"/>
          </w:tcPr>
          <w:p w14:paraId="3FDCDF13"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674" w:type="dxa"/>
            <w:tcBorders>
              <w:top w:val="nil"/>
            </w:tcBorders>
            <w:shd w:val="clear" w:color="auto" w:fill="FFFFFF"/>
            <w:vAlign w:val="center"/>
          </w:tcPr>
          <w:p w14:paraId="1766B538"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r>
      <w:tr w:rsidR="007F558A" w:rsidRPr="00CF31E0" w14:paraId="557F1855" w14:textId="77777777" w:rsidTr="00603CB7">
        <w:trPr>
          <w:cantSplit/>
        </w:trPr>
        <w:tc>
          <w:tcPr>
            <w:tcW w:w="1736" w:type="dxa"/>
            <w:shd w:val="clear" w:color="auto" w:fill="FFFFFF"/>
          </w:tcPr>
          <w:p w14:paraId="547B9FD1"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25AF06E5"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762.693</w:t>
            </w:r>
          </w:p>
        </w:tc>
        <w:tc>
          <w:tcPr>
            <w:tcW w:w="820" w:type="dxa"/>
            <w:shd w:val="clear" w:color="auto" w:fill="FFFFFF"/>
            <w:vAlign w:val="center"/>
          </w:tcPr>
          <w:p w14:paraId="46A83D3B"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649</w:t>
            </w:r>
          </w:p>
        </w:tc>
        <w:tc>
          <w:tcPr>
            <w:tcW w:w="1445" w:type="dxa"/>
            <w:shd w:val="clear" w:color="auto" w:fill="FFFFFF"/>
            <w:vAlign w:val="center"/>
          </w:tcPr>
          <w:p w14:paraId="3F41E98F"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1030" w:type="dxa"/>
            <w:shd w:val="clear" w:color="auto" w:fill="FFFFFF"/>
            <w:vAlign w:val="center"/>
          </w:tcPr>
          <w:p w14:paraId="5EA9E6B8"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674" w:type="dxa"/>
            <w:shd w:val="clear" w:color="auto" w:fill="FFFFFF"/>
            <w:vAlign w:val="center"/>
          </w:tcPr>
          <w:p w14:paraId="3704FD88"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r>
    </w:tbl>
    <w:p w14:paraId="07D54B20" w14:textId="42FCAAF7" w:rsidR="000B4835" w:rsidRPr="00CF31E0" w:rsidRDefault="000B4835" w:rsidP="00603CB7">
      <w:pPr>
        <w:pStyle w:val="Tablecaption"/>
        <w:spacing w:after="400"/>
        <w:rPr>
          <w:lang w:eastAsia="en-US"/>
        </w:rPr>
      </w:pPr>
      <w:bookmarkStart w:id="1112" w:name="_Toc522527539"/>
      <w:bookmarkStart w:id="1113" w:name="_Toc522628952"/>
      <w:bookmarkStart w:id="1114" w:name="_Toc522629116"/>
      <w:bookmarkStart w:id="1115" w:name="_Toc6473212"/>
      <w:r w:rsidRPr="00CF31E0">
        <w:rPr>
          <w:lang w:eastAsia="en-US"/>
        </w:rPr>
        <w:t xml:space="preserve">Table </w:t>
      </w:r>
      <w:r w:rsidR="00F231E2" w:rsidRPr="00CF31E0">
        <w:rPr>
          <w:lang w:eastAsia="en-US"/>
        </w:rPr>
        <w:t>11</w:t>
      </w:r>
      <w:r w:rsidR="007555C7" w:rsidRPr="00CF31E0">
        <w:rPr>
          <w:lang w:eastAsia="en-US"/>
        </w:rPr>
        <w:t>.</w:t>
      </w:r>
      <w:r w:rsidR="00F231E2" w:rsidRPr="00CF31E0">
        <w:rPr>
          <w:lang w:eastAsia="en-US"/>
        </w:rPr>
        <w:t>7</w:t>
      </w:r>
      <w:r w:rsidR="00C85621" w:rsidRPr="00CF31E0">
        <w:rPr>
          <w:lang w:eastAsia="en-US"/>
        </w:rPr>
        <w:t>4</w:t>
      </w:r>
      <w:r w:rsidRPr="00CF31E0">
        <w:rPr>
          <w:lang w:eastAsia="en-US"/>
        </w:rPr>
        <w:t>: ANOVA statistics for gender demographic variable.</w:t>
      </w:r>
      <w:bookmarkEnd w:id="1112"/>
      <w:bookmarkEnd w:id="1113"/>
      <w:bookmarkEnd w:id="1114"/>
      <w:bookmarkEnd w:id="1115"/>
      <w:r w:rsidRPr="00CF31E0">
        <w:rPr>
          <w:lang w:eastAsia="en-US"/>
        </w:rPr>
        <w:t xml:space="preserve"> </w:t>
      </w:r>
    </w:p>
    <w:tbl>
      <w:tblPr>
        <w:tblW w:w="7523" w:type="dxa"/>
        <w:tblInd w:w="-1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369"/>
        <w:gridCol w:w="1619"/>
        <w:gridCol w:w="2424"/>
        <w:gridCol w:w="1091"/>
        <w:gridCol w:w="1020"/>
      </w:tblGrid>
      <w:tr w:rsidR="007F558A" w:rsidRPr="00CF31E0" w14:paraId="12C9FE32" w14:textId="77777777" w:rsidTr="00603CB7">
        <w:trPr>
          <w:cantSplit/>
        </w:trPr>
        <w:tc>
          <w:tcPr>
            <w:tcW w:w="1369" w:type="dxa"/>
            <w:tcBorders>
              <w:top w:val="single" w:sz="8" w:space="0" w:color="auto"/>
              <w:bottom w:val="single" w:sz="8" w:space="0" w:color="auto"/>
            </w:tcBorders>
          </w:tcPr>
          <w:p w14:paraId="06307B77"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4043" w:type="dxa"/>
            <w:gridSpan w:val="2"/>
            <w:tcBorders>
              <w:top w:val="single" w:sz="8" w:space="0" w:color="auto"/>
              <w:bottom w:val="single" w:sz="8" w:space="0" w:color="auto"/>
            </w:tcBorders>
            <w:shd w:val="clear" w:color="auto" w:fill="FFFFFF"/>
            <w:vAlign w:val="bottom"/>
          </w:tcPr>
          <w:p w14:paraId="0CFD3935"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Gender</w:t>
            </w:r>
          </w:p>
        </w:tc>
        <w:tc>
          <w:tcPr>
            <w:tcW w:w="1091" w:type="dxa"/>
            <w:tcBorders>
              <w:top w:val="single" w:sz="8" w:space="0" w:color="auto"/>
              <w:bottom w:val="single" w:sz="8" w:space="0" w:color="auto"/>
            </w:tcBorders>
            <w:shd w:val="clear" w:color="auto" w:fill="FFFFFF"/>
            <w:vAlign w:val="bottom"/>
          </w:tcPr>
          <w:p w14:paraId="698869D6"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Statistic</w:t>
            </w:r>
          </w:p>
        </w:tc>
        <w:tc>
          <w:tcPr>
            <w:tcW w:w="1020" w:type="dxa"/>
            <w:tcBorders>
              <w:top w:val="single" w:sz="8" w:space="0" w:color="auto"/>
              <w:bottom w:val="single" w:sz="8" w:space="0" w:color="auto"/>
            </w:tcBorders>
            <w:shd w:val="clear" w:color="auto" w:fill="FFFFFF"/>
            <w:vAlign w:val="bottom"/>
          </w:tcPr>
          <w:p w14:paraId="315130CD"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Std. Error</w:t>
            </w:r>
          </w:p>
        </w:tc>
      </w:tr>
      <w:tr w:rsidR="007F558A" w:rsidRPr="00CF31E0" w14:paraId="2588F991" w14:textId="77777777" w:rsidTr="00603CB7">
        <w:trPr>
          <w:cantSplit/>
        </w:trPr>
        <w:tc>
          <w:tcPr>
            <w:tcW w:w="1369" w:type="dxa"/>
            <w:vMerge w:val="restart"/>
            <w:tcBorders>
              <w:top w:val="single" w:sz="8" w:space="0" w:color="auto"/>
              <w:bottom w:val="nil"/>
            </w:tcBorders>
            <w:shd w:val="clear" w:color="auto" w:fill="FFFFFF"/>
          </w:tcPr>
          <w:p w14:paraId="6A296FD8"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Traditional</w:t>
            </w:r>
          </w:p>
        </w:tc>
        <w:tc>
          <w:tcPr>
            <w:tcW w:w="1619" w:type="dxa"/>
            <w:tcBorders>
              <w:top w:val="single" w:sz="8" w:space="0" w:color="auto"/>
              <w:bottom w:val="nil"/>
            </w:tcBorders>
            <w:shd w:val="clear" w:color="auto" w:fill="FFFFFF"/>
          </w:tcPr>
          <w:p w14:paraId="52B4ADB3"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 xml:space="preserve">Male </w:t>
            </w:r>
          </w:p>
        </w:tc>
        <w:tc>
          <w:tcPr>
            <w:tcW w:w="2424" w:type="dxa"/>
            <w:tcBorders>
              <w:top w:val="single" w:sz="8" w:space="0" w:color="auto"/>
              <w:bottom w:val="nil"/>
            </w:tcBorders>
            <w:shd w:val="clear" w:color="auto" w:fill="FFFFFF"/>
          </w:tcPr>
          <w:p w14:paraId="78788C02"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091" w:type="dxa"/>
            <w:tcBorders>
              <w:top w:val="single" w:sz="8" w:space="0" w:color="auto"/>
              <w:bottom w:val="nil"/>
            </w:tcBorders>
            <w:shd w:val="clear" w:color="auto" w:fill="FFFFFF"/>
            <w:vAlign w:val="center"/>
          </w:tcPr>
          <w:p w14:paraId="43A01CB7"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3.1196</w:t>
            </w:r>
          </w:p>
        </w:tc>
        <w:tc>
          <w:tcPr>
            <w:tcW w:w="1020" w:type="dxa"/>
            <w:tcBorders>
              <w:top w:val="single" w:sz="8" w:space="0" w:color="auto"/>
              <w:bottom w:val="nil"/>
            </w:tcBorders>
            <w:shd w:val="clear" w:color="auto" w:fill="FFFFFF"/>
            <w:vAlign w:val="center"/>
          </w:tcPr>
          <w:p w14:paraId="707A7936"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.06020</w:t>
            </w:r>
          </w:p>
        </w:tc>
      </w:tr>
      <w:tr w:rsidR="007F558A" w:rsidRPr="00CF31E0" w14:paraId="102B6AF4" w14:textId="77777777" w:rsidTr="00603CB7">
        <w:trPr>
          <w:cantSplit/>
        </w:trPr>
        <w:tc>
          <w:tcPr>
            <w:tcW w:w="1369" w:type="dxa"/>
            <w:vMerge/>
            <w:tcBorders>
              <w:top w:val="nil"/>
            </w:tcBorders>
            <w:shd w:val="clear" w:color="auto" w:fill="FFFFFF"/>
          </w:tcPr>
          <w:p w14:paraId="12DAE733"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1619" w:type="dxa"/>
            <w:tcBorders>
              <w:top w:val="nil"/>
            </w:tcBorders>
            <w:shd w:val="clear" w:color="auto" w:fill="FFFFFF"/>
          </w:tcPr>
          <w:p w14:paraId="72E459DA"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 xml:space="preserve">Female </w:t>
            </w:r>
          </w:p>
        </w:tc>
        <w:tc>
          <w:tcPr>
            <w:tcW w:w="2424" w:type="dxa"/>
            <w:tcBorders>
              <w:top w:val="nil"/>
            </w:tcBorders>
            <w:shd w:val="clear" w:color="auto" w:fill="FFFFFF"/>
          </w:tcPr>
          <w:p w14:paraId="3D580797"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091" w:type="dxa"/>
            <w:tcBorders>
              <w:top w:val="nil"/>
            </w:tcBorders>
            <w:shd w:val="clear" w:color="auto" w:fill="FFFFFF"/>
            <w:vAlign w:val="center"/>
          </w:tcPr>
          <w:p w14:paraId="75280E62"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3.4102</w:t>
            </w:r>
          </w:p>
        </w:tc>
        <w:tc>
          <w:tcPr>
            <w:tcW w:w="1020" w:type="dxa"/>
            <w:tcBorders>
              <w:top w:val="nil"/>
            </w:tcBorders>
            <w:shd w:val="clear" w:color="auto" w:fill="FFFFFF"/>
            <w:vAlign w:val="center"/>
          </w:tcPr>
          <w:p w14:paraId="1CBCC056"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.05846</w:t>
            </w:r>
          </w:p>
        </w:tc>
      </w:tr>
    </w:tbl>
    <w:p w14:paraId="6CB2BF98" w14:textId="08F2CC32" w:rsidR="000B4835" w:rsidRPr="00CF31E0" w:rsidRDefault="000B4835" w:rsidP="00E96074">
      <w:pPr>
        <w:pStyle w:val="Tablecaption"/>
        <w:rPr>
          <w:lang w:eastAsia="en-US"/>
        </w:rPr>
      </w:pPr>
      <w:bookmarkStart w:id="1116" w:name="_Toc522527540"/>
      <w:bookmarkStart w:id="1117" w:name="_Toc522628953"/>
      <w:bookmarkStart w:id="1118" w:name="_Toc522629117"/>
      <w:bookmarkStart w:id="1119" w:name="_Toc6473213"/>
      <w:r w:rsidRPr="00CF31E0">
        <w:rPr>
          <w:lang w:eastAsia="en-US"/>
        </w:rPr>
        <w:t xml:space="preserve">Table </w:t>
      </w:r>
      <w:r w:rsidR="00F231E2" w:rsidRPr="00CF31E0">
        <w:rPr>
          <w:lang w:eastAsia="en-US"/>
        </w:rPr>
        <w:t>11</w:t>
      </w:r>
      <w:r w:rsidR="007555C7" w:rsidRPr="00CF31E0">
        <w:rPr>
          <w:lang w:eastAsia="en-US"/>
        </w:rPr>
        <w:t>.</w:t>
      </w:r>
      <w:r w:rsidR="00F231E2" w:rsidRPr="00CF31E0">
        <w:rPr>
          <w:lang w:eastAsia="en-US"/>
        </w:rPr>
        <w:t>7</w:t>
      </w:r>
      <w:r w:rsidR="00C85621" w:rsidRPr="00CF31E0">
        <w:rPr>
          <w:lang w:eastAsia="en-US"/>
        </w:rPr>
        <w:t>5</w:t>
      </w:r>
      <w:r w:rsidRPr="00CF31E0">
        <w:rPr>
          <w:lang w:eastAsia="en-US"/>
        </w:rPr>
        <w:t>: Descriptive statistics</w:t>
      </w:r>
      <w:r w:rsidR="00F44425">
        <w:rPr>
          <w:lang w:eastAsia="en-US"/>
        </w:rPr>
        <w:t xml:space="preserve"> for gender demographic variable</w:t>
      </w:r>
      <w:r w:rsidRPr="00CF31E0">
        <w:rPr>
          <w:lang w:eastAsia="en-US"/>
        </w:rPr>
        <w:t>.</w:t>
      </w:r>
      <w:bookmarkEnd w:id="1116"/>
      <w:bookmarkEnd w:id="1117"/>
      <w:bookmarkEnd w:id="1118"/>
      <w:bookmarkEnd w:id="1119"/>
      <w:r w:rsidRPr="00CF31E0">
        <w:rPr>
          <w:lang w:eastAsia="en-US"/>
        </w:rPr>
        <w:t xml:space="preserve"> </w:t>
      </w:r>
    </w:p>
    <w:p w14:paraId="4D3748F6" w14:textId="5C35F764" w:rsidR="00F14DB5" w:rsidRPr="00CF31E0" w:rsidRDefault="000B4835" w:rsidP="00232F36">
      <w:pPr>
        <w:pStyle w:val="Paragraph"/>
        <w:rPr>
          <w:rFonts w:cs="Arial"/>
          <w:lang w:val="en-US" w:eastAsia="en-US"/>
        </w:rPr>
      </w:pPr>
      <w:r w:rsidRPr="00CF31E0">
        <w:rPr>
          <w:lang w:eastAsia="en-US"/>
        </w:rPr>
        <w:t xml:space="preserve">Table </w:t>
      </w:r>
      <w:r w:rsidR="00F231E2" w:rsidRPr="00CF31E0">
        <w:rPr>
          <w:lang w:eastAsia="en-US"/>
        </w:rPr>
        <w:t>11</w:t>
      </w:r>
      <w:r w:rsidR="007555C7" w:rsidRPr="00CF31E0">
        <w:rPr>
          <w:lang w:eastAsia="en-US"/>
        </w:rPr>
        <w:t>.</w:t>
      </w:r>
      <w:r w:rsidR="00F231E2" w:rsidRPr="00CF31E0">
        <w:rPr>
          <w:lang w:eastAsia="en-US"/>
        </w:rPr>
        <w:t>7</w:t>
      </w:r>
      <w:r w:rsidR="00C85621" w:rsidRPr="00CF31E0">
        <w:rPr>
          <w:lang w:eastAsia="en-US"/>
        </w:rPr>
        <w:t>4</w:t>
      </w:r>
      <w:r w:rsidR="00F231E2" w:rsidRPr="00CF31E0">
        <w:rPr>
          <w:lang w:eastAsia="en-US"/>
        </w:rPr>
        <w:t xml:space="preserve"> </w:t>
      </w:r>
      <w:r w:rsidRPr="00CF31E0">
        <w:rPr>
          <w:lang w:eastAsia="en-US"/>
        </w:rPr>
        <w:t xml:space="preserve">and </w:t>
      </w:r>
      <w:r w:rsidR="00F231E2" w:rsidRPr="00CF31E0">
        <w:rPr>
          <w:lang w:eastAsia="en-US"/>
        </w:rPr>
        <w:t>11</w:t>
      </w:r>
      <w:r w:rsidR="007555C7" w:rsidRPr="00CF31E0">
        <w:rPr>
          <w:lang w:eastAsia="en-US"/>
        </w:rPr>
        <w:t>.</w:t>
      </w:r>
      <w:r w:rsidR="00F231E2" w:rsidRPr="00CF31E0">
        <w:rPr>
          <w:lang w:eastAsia="en-US"/>
        </w:rPr>
        <w:t>7</w:t>
      </w:r>
      <w:r w:rsidR="00C85621" w:rsidRPr="00CF31E0">
        <w:rPr>
          <w:lang w:eastAsia="en-US"/>
        </w:rPr>
        <w:t>5</w:t>
      </w:r>
      <w:r w:rsidR="00F231E2" w:rsidRPr="00CF31E0">
        <w:rPr>
          <w:lang w:eastAsia="en-US"/>
        </w:rPr>
        <w:t xml:space="preserve"> </w:t>
      </w:r>
      <w:r w:rsidRPr="00CF31E0">
        <w:rPr>
          <w:lang w:eastAsia="en-US"/>
        </w:rPr>
        <w:t>show a significant difference between the ratings of the male and female groups, with a p value of .001. The female group perceived the voice sample as more traditional than did the male group.</w:t>
      </w:r>
      <w:r w:rsidR="004E0035" w:rsidRPr="00CF31E0">
        <w:rPr>
          <w:lang w:eastAsia="en-US"/>
        </w:rPr>
        <w:t xml:space="preserve"> </w:t>
      </w:r>
      <w:r w:rsidR="004E0035" w:rsidRPr="00CF31E0">
        <w:rPr>
          <w:rFonts w:cs="Arial"/>
          <w:lang w:val="en-US" w:eastAsia="en-US"/>
        </w:rPr>
        <w:t xml:space="preserve">See </w:t>
      </w:r>
      <w:r w:rsidR="003423CA" w:rsidRPr="00CF31E0">
        <w:rPr>
          <w:rFonts w:cs="Arial"/>
          <w:lang w:val="en-US" w:eastAsia="en-US"/>
        </w:rPr>
        <w:t xml:space="preserve">Tables </w:t>
      </w:r>
      <w:r w:rsidR="00F231E2" w:rsidRPr="00CF31E0">
        <w:rPr>
          <w:rFonts w:cs="Arial"/>
          <w:lang w:val="en-US" w:eastAsia="en-US"/>
        </w:rPr>
        <w:t>11</w:t>
      </w:r>
      <w:r w:rsidR="004E0035" w:rsidRPr="00CF31E0">
        <w:rPr>
          <w:rFonts w:cs="Arial"/>
          <w:lang w:val="en-US" w:eastAsia="en-US"/>
        </w:rPr>
        <w:t>.</w:t>
      </w:r>
      <w:r w:rsidR="00F231E2" w:rsidRPr="00CF31E0">
        <w:rPr>
          <w:rFonts w:cs="Arial"/>
          <w:lang w:val="en-US" w:eastAsia="en-US"/>
        </w:rPr>
        <w:t>7</w:t>
      </w:r>
      <w:r w:rsidR="00BD0F2B" w:rsidRPr="00CF31E0">
        <w:rPr>
          <w:rFonts w:cs="Arial"/>
          <w:lang w:val="en-US" w:eastAsia="en-US"/>
        </w:rPr>
        <w:t>6</w:t>
      </w:r>
      <w:r w:rsidR="00F231E2" w:rsidRPr="00CF31E0">
        <w:rPr>
          <w:rFonts w:cs="Arial"/>
          <w:lang w:val="en-US" w:eastAsia="en-US"/>
        </w:rPr>
        <w:t xml:space="preserve"> </w:t>
      </w:r>
      <w:r w:rsidR="004E0035" w:rsidRPr="00CF31E0">
        <w:rPr>
          <w:rFonts w:cs="Arial"/>
          <w:lang w:val="en-US" w:eastAsia="en-US"/>
        </w:rPr>
        <w:t xml:space="preserve">and </w:t>
      </w:r>
      <w:r w:rsidR="00F231E2" w:rsidRPr="00CF31E0">
        <w:rPr>
          <w:rFonts w:cs="Arial"/>
          <w:lang w:val="en-US" w:eastAsia="en-US"/>
        </w:rPr>
        <w:t>11</w:t>
      </w:r>
      <w:r w:rsidR="004E0035" w:rsidRPr="00CF31E0">
        <w:rPr>
          <w:rFonts w:cs="Arial"/>
          <w:lang w:val="en-US" w:eastAsia="en-US"/>
        </w:rPr>
        <w:t>.</w:t>
      </w:r>
      <w:r w:rsidR="00F231E2" w:rsidRPr="00CF31E0">
        <w:rPr>
          <w:rFonts w:cs="Arial"/>
          <w:lang w:val="en-US" w:eastAsia="en-US"/>
        </w:rPr>
        <w:t>7</w:t>
      </w:r>
      <w:r w:rsidR="00BD0F2B" w:rsidRPr="00CF31E0">
        <w:rPr>
          <w:rFonts w:cs="Arial"/>
          <w:lang w:val="en-US" w:eastAsia="en-US"/>
        </w:rPr>
        <w:t>7</w:t>
      </w:r>
      <w:r w:rsidR="004E0035" w:rsidRPr="00CF31E0">
        <w:rPr>
          <w:rFonts w:cs="Arial"/>
          <w:lang w:val="en-US" w:eastAsia="en-US"/>
        </w:rPr>
        <w:t xml:space="preserve"> for social group results </w:t>
      </w:r>
      <w:r w:rsidR="003423CA" w:rsidRPr="00CF31E0">
        <w:rPr>
          <w:rFonts w:cs="Arial"/>
          <w:lang w:val="en-US" w:eastAsia="en-US"/>
        </w:rPr>
        <w:t>from</w:t>
      </w:r>
      <w:r w:rsidR="004E0035" w:rsidRPr="00CF31E0">
        <w:rPr>
          <w:rFonts w:cs="Arial"/>
          <w:lang w:val="en-US" w:eastAsia="en-US"/>
        </w:rPr>
        <w:t xml:space="preserve"> the data.</w:t>
      </w:r>
    </w:p>
    <w:p w14:paraId="74BAE061" w14:textId="77777777" w:rsidR="00AF5385" w:rsidRPr="00CF31E0" w:rsidRDefault="00AF5385" w:rsidP="00232F36">
      <w:pPr>
        <w:pStyle w:val="Paragraph"/>
        <w:rPr>
          <w:rFonts w:cs="Arial"/>
          <w:lang w:val="en-US" w:eastAsia="en-US"/>
        </w:rPr>
      </w:pPr>
    </w:p>
    <w:p w14:paraId="186474FE" w14:textId="77777777" w:rsidR="00AF5385" w:rsidRPr="00CF31E0" w:rsidRDefault="00AF5385" w:rsidP="00232F36">
      <w:pPr>
        <w:pStyle w:val="Paragraph"/>
        <w:rPr>
          <w:rFonts w:cs="Arial"/>
          <w:lang w:val="en-US" w:eastAsia="en-US"/>
        </w:rPr>
      </w:pPr>
    </w:p>
    <w:p w14:paraId="720EC160" w14:textId="77777777" w:rsidR="00AF5385" w:rsidRPr="00CF31E0" w:rsidRDefault="00AF5385" w:rsidP="00232F36">
      <w:pPr>
        <w:pStyle w:val="Paragraph"/>
        <w:rPr>
          <w:rFonts w:cs="Arial"/>
          <w:lang w:val="en-US"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476"/>
        <w:gridCol w:w="1030"/>
        <w:gridCol w:w="1445"/>
        <w:gridCol w:w="1030"/>
        <w:gridCol w:w="674"/>
      </w:tblGrid>
      <w:tr w:rsidR="007F558A" w:rsidRPr="00CF31E0" w14:paraId="06864A57" w14:textId="77777777" w:rsidTr="00603CB7">
        <w:trPr>
          <w:cantSplit/>
        </w:trPr>
        <w:tc>
          <w:tcPr>
            <w:tcW w:w="1736" w:type="dxa"/>
            <w:tcBorders>
              <w:top w:val="single" w:sz="8" w:space="0" w:color="auto"/>
              <w:bottom w:val="single" w:sz="8" w:space="0" w:color="auto"/>
            </w:tcBorders>
            <w:shd w:val="clear" w:color="auto" w:fill="FFFFFF"/>
            <w:vAlign w:val="bottom"/>
          </w:tcPr>
          <w:p w14:paraId="126A4B1C"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Social group</w:t>
            </w:r>
          </w:p>
        </w:tc>
        <w:tc>
          <w:tcPr>
            <w:tcW w:w="1476" w:type="dxa"/>
            <w:tcBorders>
              <w:top w:val="single" w:sz="8" w:space="0" w:color="auto"/>
              <w:bottom w:val="single" w:sz="8" w:space="0" w:color="auto"/>
            </w:tcBorders>
            <w:shd w:val="clear" w:color="auto" w:fill="FFFFFF"/>
            <w:vAlign w:val="bottom"/>
          </w:tcPr>
          <w:p w14:paraId="12D02E8B"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1030" w:type="dxa"/>
            <w:tcBorders>
              <w:top w:val="single" w:sz="8" w:space="0" w:color="auto"/>
              <w:bottom w:val="single" w:sz="8" w:space="0" w:color="auto"/>
            </w:tcBorders>
            <w:shd w:val="clear" w:color="auto" w:fill="FFFFFF"/>
            <w:vAlign w:val="bottom"/>
          </w:tcPr>
          <w:p w14:paraId="579634E8"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8" w:space="0" w:color="auto"/>
            </w:tcBorders>
            <w:shd w:val="clear" w:color="auto" w:fill="FFFFFF"/>
            <w:vAlign w:val="bottom"/>
          </w:tcPr>
          <w:p w14:paraId="38787AC7"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8" w:space="0" w:color="auto"/>
            </w:tcBorders>
            <w:shd w:val="clear" w:color="auto" w:fill="FFFFFF"/>
            <w:vAlign w:val="bottom"/>
          </w:tcPr>
          <w:p w14:paraId="010AFD9D"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8" w:space="0" w:color="auto"/>
            </w:tcBorders>
            <w:shd w:val="clear" w:color="auto" w:fill="FFFFFF"/>
            <w:vAlign w:val="bottom"/>
          </w:tcPr>
          <w:p w14:paraId="1DB010EE"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F558A" w:rsidRPr="00CF31E0" w14:paraId="2395A758" w14:textId="77777777" w:rsidTr="00603CB7">
        <w:trPr>
          <w:cantSplit/>
        </w:trPr>
        <w:tc>
          <w:tcPr>
            <w:tcW w:w="1736" w:type="dxa"/>
            <w:tcBorders>
              <w:top w:val="single" w:sz="8" w:space="0" w:color="auto"/>
              <w:bottom w:val="nil"/>
            </w:tcBorders>
            <w:shd w:val="clear" w:color="auto" w:fill="FFFFFF"/>
          </w:tcPr>
          <w:p w14:paraId="68DE9C58"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476" w:type="dxa"/>
            <w:tcBorders>
              <w:top w:val="single" w:sz="8" w:space="0" w:color="auto"/>
              <w:bottom w:val="nil"/>
            </w:tcBorders>
            <w:shd w:val="clear" w:color="auto" w:fill="FFFFFF"/>
            <w:vAlign w:val="center"/>
          </w:tcPr>
          <w:p w14:paraId="3F20CF06"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8.967</w:t>
            </w:r>
          </w:p>
        </w:tc>
        <w:tc>
          <w:tcPr>
            <w:tcW w:w="1030" w:type="dxa"/>
            <w:tcBorders>
              <w:top w:val="single" w:sz="8" w:space="0" w:color="auto"/>
              <w:bottom w:val="nil"/>
            </w:tcBorders>
            <w:shd w:val="clear" w:color="auto" w:fill="FFFFFF"/>
            <w:vAlign w:val="center"/>
          </w:tcPr>
          <w:p w14:paraId="68B2DC63"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w:t>
            </w:r>
          </w:p>
        </w:tc>
        <w:tc>
          <w:tcPr>
            <w:tcW w:w="1445" w:type="dxa"/>
            <w:tcBorders>
              <w:top w:val="single" w:sz="8" w:space="0" w:color="auto"/>
              <w:bottom w:val="nil"/>
            </w:tcBorders>
            <w:shd w:val="clear" w:color="auto" w:fill="FFFFFF"/>
            <w:vAlign w:val="center"/>
          </w:tcPr>
          <w:p w14:paraId="30BDBF8C"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8.967</w:t>
            </w:r>
          </w:p>
        </w:tc>
        <w:tc>
          <w:tcPr>
            <w:tcW w:w="1030" w:type="dxa"/>
            <w:tcBorders>
              <w:top w:val="single" w:sz="8" w:space="0" w:color="auto"/>
              <w:bottom w:val="nil"/>
            </w:tcBorders>
            <w:shd w:val="clear" w:color="auto" w:fill="FFFFFF"/>
            <w:vAlign w:val="center"/>
          </w:tcPr>
          <w:p w14:paraId="7A6A21D1"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7.697</w:t>
            </w:r>
          </w:p>
        </w:tc>
        <w:tc>
          <w:tcPr>
            <w:tcW w:w="674" w:type="dxa"/>
            <w:tcBorders>
              <w:top w:val="single" w:sz="8" w:space="0" w:color="auto"/>
              <w:bottom w:val="nil"/>
            </w:tcBorders>
            <w:shd w:val="clear" w:color="auto" w:fill="FFFFFF"/>
            <w:vAlign w:val="center"/>
          </w:tcPr>
          <w:p w14:paraId="54A04576"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.006</w:t>
            </w:r>
          </w:p>
        </w:tc>
      </w:tr>
      <w:tr w:rsidR="007F558A" w:rsidRPr="00CF31E0" w14:paraId="128FFE27" w14:textId="77777777" w:rsidTr="00603CB7">
        <w:trPr>
          <w:cantSplit/>
        </w:trPr>
        <w:tc>
          <w:tcPr>
            <w:tcW w:w="1736" w:type="dxa"/>
            <w:tcBorders>
              <w:top w:val="nil"/>
            </w:tcBorders>
            <w:shd w:val="clear" w:color="auto" w:fill="FFFFFF"/>
          </w:tcPr>
          <w:p w14:paraId="3F41AEE4"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476" w:type="dxa"/>
            <w:tcBorders>
              <w:top w:val="nil"/>
            </w:tcBorders>
            <w:shd w:val="clear" w:color="auto" w:fill="FFFFFF"/>
            <w:vAlign w:val="center"/>
          </w:tcPr>
          <w:p w14:paraId="55DF2516"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753.726</w:t>
            </w:r>
          </w:p>
        </w:tc>
        <w:tc>
          <w:tcPr>
            <w:tcW w:w="1030" w:type="dxa"/>
            <w:tcBorders>
              <w:top w:val="nil"/>
            </w:tcBorders>
            <w:shd w:val="clear" w:color="auto" w:fill="FFFFFF"/>
            <w:vAlign w:val="center"/>
          </w:tcPr>
          <w:p w14:paraId="6C9EA909"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648</w:t>
            </w:r>
          </w:p>
        </w:tc>
        <w:tc>
          <w:tcPr>
            <w:tcW w:w="1445" w:type="dxa"/>
            <w:tcBorders>
              <w:top w:val="nil"/>
            </w:tcBorders>
            <w:shd w:val="clear" w:color="auto" w:fill="FFFFFF"/>
            <w:vAlign w:val="center"/>
          </w:tcPr>
          <w:p w14:paraId="1DC7BBA1"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1.165</w:t>
            </w:r>
          </w:p>
        </w:tc>
        <w:tc>
          <w:tcPr>
            <w:tcW w:w="1030" w:type="dxa"/>
            <w:tcBorders>
              <w:top w:val="nil"/>
            </w:tcBorders>
            <w:shd w:val="clear" w:color="auto" w:fill="FFFFFF"/>
            <w:vAlign w:val="center"/>
          </w:tcPr>
          <w:p w14:paraId="1275BE9F"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674" w:type="dxa"/>
            <w:tcBorders>
              <w:top w:val="nil"/>
            </w:tcBorders>
            <w:shd w:val="clear" w:color="auto" w:fill="FFFFFF"/>
            <w:vAlign w:val="center"/>
          </w:tcPr>
          <w:p w14:paraId="4A1E96E7"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r>
      <w:tr w:rsidR="007F558A" w:rsidRPr="00CF31E0" w14:paraId="1671DBB6" w14:textId="77777777" w:rsidTr="00603CB7">
        <w:trPr>
          <w:cantSplit/>
        </w:trPr>
        <w:tc>
          <w:tcPr>
            <w:tcW w:w="1736" w:type="dxa"/>
            <w:shd w:val="clear" w:color="auto" w:fill="FFFFFF"/>
          </w:tcPr>
          <w:p w14:paraId="3915D6AA"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476" w:type="dxa"/>
            <w:shd w:val="clear" w:color="auto" w:fill="FFFFFF"/>
            <w:vAlign w:val="center"/>
          </w:tcPr>
          <w:p w14:paraId="15D90FF4"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762.693</w:t>
            </w:r>
          </w:p>
        </w:tc>
        <w:tc>
          <w:tcPr>
            <w:tcW w:w="1030" w:type="dxa"/>
            <w:shd w:val="clear" w:color="auto" w:fill="FFFFFF"/>
            <w:vAlign w:val="center"/>
          </w:tcPr>
          <w:p w14:paraId="4345AF19"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649</w:t>
            </w:r>
          </w:p>
        </w:tc>
        <w:tc>
          <w:tcPr>
            <w:tcW w:w="1445" w:type="dxa"/>
            <w:shd w:val="clear" w:color="auto" w:fill="FFFFFF"/>
            <w:vAlign w:val="center"/>
          </w:tcPr>
          <w:p w14:paraId="635B3968"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1030" w:type="dxa"/>
            <w:shd w:val="clear" w:color="auto" w:fill="FFFFFF"/>
            <w:vAlign w:val="center"/>
          </w:tcPr>
          <w:p w14:paraId="3DB63721"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674" w:type="dxa"/>
            <w:shd w:val="clear" w:color="auto" w:fill="FFFFFF"/>
            <w:vAlign w:val="center"/>
          </w:tcPr>
          <w:p w14:paraId="126DB97E"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r>
    </w:tbl>
    <w:p w14:paraId="29068CCA" w14:textId="73A03122" w:rsidR="000B4835" w:rsidRPr="00CF31E0" w:rsidRDefault="000B4835" w:rsidP="005B3EEC">
      <w:pPr>
        <w:pStyle w:val="Tablecaption"/>
        <w:spacing w:after="400"/>
        <w:rPr>
          <w:lang w:eastAsia="en-US"/>
        </w:rPr>
      </w:pPr>
      <w:bookmarkStart w:id="1120" w:name="_Toc522527541"/>
      <w:bookmarkStart w:id="1121" w:name="_Toc522628954"/>
      <w:bookmarkStart w:id="1122" w:name="_Toc522629118"/>
      <w:bookmarkStart w:id="1123" w:name="_Toc6473214"/>
      <w:r w:rsidRPr="00CF31E0">
        <w:rPr>
          <w:lang w:eastAsia="en-US"/>
        </w:rPr>
        <w:t xml:space="preserve">Table </w:t>
      </w:r>
      <w:r w:rsidR="00F231E2" w:rsidRPr="00CF31E0">
        <w:rPr>
          <w:lang w:eastAsia="en-US"/>
        </w:rPr>
        <w:t>11</w:t>
      </w:r>
      <w:r w:rsidR="007555C7" w:rsidRPr="00CF31E0">
        <w:rPr>
          <w:lang w:eastAsia="en-US"/>
        </w:rPr>
        <w:t>.</w:t>
      </w:r>
      <w:r w:rsidR="00F231E2" w:rsidRPr="00CF31E0">
        <w:rPr>
          <w:lang w:eastAsia="en-US"/>
        </w:rPr>
        <w:t>7</w:t>
      </w:r>
      <w:r w:rsidR="00BD0F2B" w:rsidRPr="00CF31E0">
        <w:rPr>
          <w:lang w:eastAsia="en-US"/>
        </w:rPr>
        <w:t>6</w:t>
      </w:r>
      <w:r w:rsidRPr="00CF31E0">
        <w:rPr>
          <w:lang w:eastAsia="en-US"/>
        </w:rPr>
        <w:t xml:space="preserve">: ANOVA </w:t>
      </w:r>
      <w:r w:rsidR="005B3EEC">
        <w:rPr>
          <w:lang w:eastAsia="en-US"/>
        </w:rPr>
        <w:t>statistics</w:t>
      </w:r>
      <w:r w:rsidR="005B3EEC" w:rsidRPr="00CF31E0">
        <w:rPr>
          <w:lang w:eastAsia="en-US"/>
        </w:rPr>
        <w:t xml:space="preserve"> </w:t>
      </w:r>
      <w:r w:rsidRPr="00CF31E0">
        <w:rPr>
          <w:lang w:eastAsia="en-US"/>
        </w:rPr>
        <w:t>for social group demographic variable.</w:t>
      </w:r>
      <w:bookmarkEnd w:id="1120"/>
      <w:bookmarkEnd w:id="1121"/>
      <w:bookmarkEnd w:id="1122"/>
      <w:bookmarkEnd w:id="1123"/>
      <w:r w:rsidRPr="00CF31E0">
        <w:rPr>
          <w:lang w:eastAsia="en-US"/>
        </w:rPr>
        <w:t xml:space="preserve"> </w:t>
      </w:r>
    </w:p>
    <w:tbl>
      <w:tblPr>
        <w:tblW w:w="7381" w:type="dxa"/>
        <w:tblInd w:w="-1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369"/>
        <w:gridCol w:w="1336"/>
        <w:gridCol w:w="2707"/>
        <w:gridCol w:w="1091"/>
        <w:gridCol w:w="878"/>
      </w:tblGrid>
      <w:tr w:rsidR="007F558A" w:rsidRPr="00CF31E0" w14:paraId="51AEF4F0" w14:textId="77777777" w:rsidTr="00603CB7">
        <w:trPr>
          <w:cantSplit/>
        </w:trPr>
        <w:tc>
          <w:tcPr>
            <w:tcW w:w="1369" w:type="dxa"/>
            <w:tcBorders>
              <w:top w:val="single" w:sz="8" w:space="0" w:color="auto"/>
              <w:bottom w:val="single" w:sz="8" w:space="0" w:color="auto"/>
            </w:tcBorders>
          </w:tcPr>
          <w:p w14:paraId="2BFE3200"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4043" w:type="dxa"/>
            <w:gridSpan w:val="2"/>
            <w:tcBorders>
              <w:top w:val="single" w:sz="8" w:space="0" w:color="auto"/>
              <w:bottom w:val="single" w:sz="8" w:space="0" w:color="auto"/>
            </w:tcBorders>
            <w:shd w:val="clear" w:color="auto" w:fill="FFFFFF"/>
            <w:vAlign w:val="bottom"/>
          </w:tcPr>
          <w:p w14:paraId="51D0F753"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Social group</w:t>
            </w:r>
          </w:p>
        </w:tc>
        <w:tc>
          <w:tcPr>
            <w:tcW w:w="1091" w:type="dxa"/>
            <w:tcBorders>
              <w:top w:val="single" w:sz="8" w:space="0" w:color="auto"/>
              <w:bottom w:val="single" w:sz="8" w:space="0" w:color="auto"/>
            </w:tcBorders>
            <w:shd w:val="clear" w:color="auto" w:fill="FFFFFF"/>
            <w:vAlign w:val="bottom"/>
          </w:tcPr>
          <w:p w14:paraId="58AD1660"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Statistic</w:t>
            </w:r>
          </w:p>
        </w:tc>
        <w:tc>
          <w:tcPr>
            <w:tcW w:w="878" w:type="dxa"/>
            <w:tcBorders>
              <w:top w:val="single" w:sz="8" w:space="0" w:color="auto"/>
              <w:bottom w:val="single" w:sz="8" w:space="0" w:color="auto"/>
            </w:tcBorders>
            <w:shd w:val="clear" w:color="auto" w:fill="FFFFFF"/>
            <w:vAlign w:val="bottom"/>
          </w:tcPr>
          <w:p w14:paraId="034037F2"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Std. Error</w:t>
            </w:r>
          </w:p>
        </w:tc>
      </w:tr>
      <w:tr w:rsidR="007F558A" w:rsidRPr="00CF31E0" w14:paraId="3471BF8C" w14:textId="77777777" w:rsidTr="00603CB7">
        <w:trPr>
          <w:cantSplit/>
        </w:trPr>
        <w:tc>
          <w:tcPr>
            <w:tcW w:w="1369" w:type="dxa"/>
            <w:vMerge w:val="restart"/>
            <w:tcBorders>
              <w:top w:val="single" w:sz="8" w:space="0" w:color="auto"/>
              <w:bottom w:val="nil"/>
            </w:tcBorders>
            <w:shd w:val="clear" w:color="auto" w:fill="FFFFFF"/>
          </w:tcPr>
          <w:p w14:paraId="3FF7739B"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Traditional4</w:t>
            </w:r>
          </w:p>
        </w:tc>
        <w:tc>
          <w:tcPr>
            <w:tcW w:w="1336" w:type="dxa"/>
            <w:tcBorders>
              <w:top w:val="single" w:sz="8" w:space="0" w:color="auto"/>
              <w:bottom w:val="nil"/>
            </w:tcBorders>
            <w:shd w:val="clear" w:color="auto" w:fill="FFFFFF"/>
          </w:tcPr>
          <w:p w14:paraId="131AD8AE" w14:textId="69A61CC4" w:rsidR="000B4835" w:rsidRPr="00CF31E0" w:rsidRDefault="0059652A"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UBH</w:t>
            </w:r>
          </w:p>
        </w:tc>
        <w:tc>
          <w:tcPr>
            <w:tcW w:w="2707" w:type="dxa"/>
            <w:tcBorders>
              <w:top w:val="single" w:sz="8" w:space="0" w:color="auto"/>
              <w:bottom w:val="nil"/>
            </w:tcBorders>
            <w:shd w:val="clear" w:color="auto" w:fill="FFFFFF"/>
          </w:tcPr>
          <w:p w14:paraId="07F736BF"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091" w:type="dxa"/>
            <w:tcBorders>
              <w:top w:val="single" w:sz="8" w:space="0" w:color="auto"/>
              <w:bottom w:val="nil"/>
            </w:tcBorders>
            <w:shd w:val="clear" w:color="auto" w:fill="FFFFFF"/>
            <w:vAlign w:val="center"/>
          </w:tcPr>
          <w:p w14:paraId="31FC0552"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3.4043</w:t>
            </w:r>
          </w:p>
        </w:tc>
        <w:tc>
          <w:tcPr>
            <w:tcW w:w="878" w:type="dxa"/>
            <w:tcBorders>
              <w:top w:val="single" w:sz="8" w:space="0" w:color="auto"/>
              <w:bottom w:val="nil"/>
            </w:tcBorders>
            <w:shd w:val="clear" w:color="auto" w:fill="FFFFFF"/>
            <w:vAlign w:val="center"/>
          </w:tcPr>
          <w:p w14:paraId="2C64DCA7"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.06244</w:t>
            </w:r>
          </w:p>
        </w:tc>
      </w:tr>
      <w:tr w:rsidR="007F558A" w:rsidRPr="00CF31E0" w14:paraId="6B9DC638" w14:textId="77777777" w:rsidTr="00603CB7">
        <w:trPr>
          <w:cantSplit/>
        </w:trPr>
        <w:tc>
          <w:tcPr>
            <w:tcW w:w="1369" w:type="dxa"/>
            <w:vMerge/>
            <w:tcBorders>
              <w:top w:val="nil"/>
            </w:tcBorders>
            <w:shd w:val="clear" w:color="auto" w:fill="FFFFFF"/>
          </w:tcPr>
          <w:p w14:paraId="0ACE1F46"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1336" w:type="dxa"/>
            <w:tcBorders>
              <w:top w:val="nil"/>
            </w:tcBorders>
            <w:shd w:val="clear" w:color="auto" w:fill="FFFFFF"/>
          </w:tcPr>
          <w:p w14:paraId="209289DD" w14:textId="4238F706" w:rsidR="000B4835" w:rsidRPr="00CF31E0" w:rsidRDefault="00FF4DC7"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HH</w:t>
            </w:r>
          </w:p>
        </w:tc>
        <w:tc>
          <w:tcPr>
            <w:tcW w:w="2707" w:type="dxa"/>
            <w:tcBorders>
              <w:top w:val="nil"/>
            </w:tcBorders>
            <w:shd w:val="clear" w:color="auto" w:fill="FFFFFF"/>
          </w:tcPr>
          <w:p w14:paraId="30BF9710"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091" w:type="dxa"/>
            <w:tcBorders>
              <w:top w:val="nil"/>
            </w:tcBorders>
            <w:shd w:val="clear" w:color="auto" w:fill="FFFFFF"/>
            <w:vAlign w:val="center"/>
          </w:tcPr>
          <w:p w14:paraId="411307FF"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3.1692</w:t>
            </w:r>
          </w:p>
        </w:tc>
        <w:tc>
          <w:tcPr>
            <w:tcW w:w="878" w:type="dxa"/>
            <w:tcBorders>
              <w:top w:val="nil"/>
            </w:tcBorders>
            <w:shd w:val="clear" w:color="auto" w:fill="FFFFFF"/>
            <w:vAlign w:val="center"/>
          </w:tcPr>
          <w:p w14:paraId="12268A8C"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.05730</w:t>
            </w:r>
          </w:p>
        </w:tc>
      </w:tr>
    </w:tbl>
    <w:p w14:paraId="1ECA3660" w14:textId="659053DB" w:rsidR="000B4835" w:rsidRPr="00CF31E0" w:rsidRDefault="000B4835" w:rsidP="00E96074">
      <w:pPr>
        <w:pStyle w:val="Tablecaption"/>
        <w:rPr>
          <w:lang w:eastAsia="en-US"/>
        </w:rPr>
      </w:pPr>
      <w:bookmarkStart w:id="1124" w:name="_Toc522527542"/>
      <w:bookmarkStart w:id="1125" w:name="_Toc522628955"/>
      <w:bookmarkStart w:id="1126" w:name="_Toc522629119"/>
      <w:bookmarkStart w:id="1127" w:name="_Toc6473215"/>
      <w:r w:rsidRPr="00CF31E0">
        <w:rPr>
          <w:lang w:eastAsia="en-US"/>
        </w:rPr>
        <w:t xml:space="preserve">Table </w:t>
      </w:r>
      <w:r w:rsidR="00F231E2" w:rsidRPr="00CF31E0">
        <w:rPr>
          <w:lang w:eastAsia="en-US"/>
        </w:rPr>
        <w:t>11</w:t>
      </w:r>
      <w:r w:rsidR="007555C7" w:rsidRPr="00CF31E0">
        <w:rPr>
          <w:lang w:eastAsia="en-US"/>
        </w:rPr>
        <w:t>.</w:t>
      </w:r>
      <w:r w:rsidR="00F231E2" w:rsidRPr="00CF31E0">
        <w:rPr>
          <w:lang w:eastAsia="en-US"/>
        </w:rPr>
        <w:t>7</w:t>
      </w:r>
      <w:r w:rsidR="00BD0F2B" w:rsidRPr="00CF31E0">
        <w:rPr>
          <w:lang w:eastAsia="en-US"/>
        </w:rPr>
        <w:t>7</w:t>
      </w:r>
      <w:r w:rsidRPr="00CF31E0">
        <w:rPr>
          <w:lang w:eastAsia="en-US"/>
        </w:rPr>
        <w:t>: Descriptive statistics</w:t>
      </w:r>
      <w:r w:rsidR="00F44425">
        <w:rPr>
          <w:lang w:eastAsia="en-US"/>
        </w:rPr>
        <w:t xml:space="preserve"> for social group demographic variable</w:t>
      </w:r>
      <w:r w:rsidRPr="00CF31E0">
        <w:rPr>
          <w:lang w:eastAsia="en-US"/>
        </w:rPr>
        <w:t>.</w:t>
      </w:r>
      <w:bookmarkEnd w:id="1124"/>
      <w:bookmarkEnd w:id="1125"/>
      <w:bookmarkEnd w:id="1126"/>
      <w:bookmarkEnd w:id="1127"/>
      <w:r w:rsidRPr="00CF31E0">
        <w:rPr>
          <w:lang w:eastAsia="en-US"/>
        </w:rPr>
        <w:t xml:space="preserve"> </w:t>
      </w:r>
    </w:p>
    <w:p w14:paraId="790CF157" w14:textId="7C60A090" w:rsidR="004E0035" w:rsidRPr="00CF31E0" w:rsidRDefault="004E0035" w:rsidP="00603CB7">
      <w:pPr>
        <w:pStyle w:val="Paragraph"/>
        <w:rPr>
          <w:lang w:val="en-US" w:eastAsia="en-US"/>
        </w:rPr>
      </w:pPr>
      <w:r w:rsidRPr="00CF31E0">
        <w:rPr>
          <w:lang w:val="en-US" w:eastAsia="en-US"/>
        </w:rPr>
        <w:t xml:space="preserve">See </w:t>
      </w:r>
      <w:r w:rsidR="003423CA" w:rsidRPr="00CF31E0">
        <w:rPr>
          <w:lang w:val="en-US" w:eastAsia="en-US"/>
        </w:rPr>
        <w:t xml:space="preserve">Tables </w:t>
      </w:r>
      <w:r w:rsidR="00F231E2" w:rsidRPr="00CF31E0">
        <w:rPr>
          <w:lang w:val="en-US" w:eastAsia="en-US"/>
        </w:rPr>
        <w:t>11</w:t>
      </w:r>
      <w:r w:rsidRPr="00CF31E0">
        <w:rPr>
          <w:lang w:val="en-US" w:eastAsia="en-US"/>
        </w:rPr>
        <w:t>.</w:t>
      </w:r>
      <w:r w:rsidR="00BD0F2B" w:rsidRPr="00CF31E0">
        <w:rPr>
          <w:lang w:val="en-US" w:eastAsia="en-US"/>
        </w:rPr>
        <w:t>78</w:t>
      </w:r>
      <w:r w:rsidR="00F231E2" w:rsidRPr="00CF31E0">
        <w:rPr>
          <w:lang w:val="en-US" w:eastAsia="en-US"/>
        </w:rPr>
        <w:t xml:space="preserve"> </w:t>
      </w:r>
      <w:r w:rsidRPr="00CF31E0">
        <w:rPr>
          <w:lang w:val="en-US" w:eastAsia="en-US"/>
        </w:rPr>
        <w:t xml:space="preserve">and </w:t>
      </w:r>
      <w:r w:rsidR="00F231E2" w:rsidRPr="00CF31E0">
        <w:rPr>
          <w:lang w:val="en-US" w:eastAsia="en-US"/>
        </w:rPr>
        <w:t>11</w:t>
      </w:r>
      <w:r w:rsidRPr="00CF31E0">
        <w:rPr>
          <w:lang w:val="en-US" w:eastAsia="en-US"/>
        </w:rPr>
        <w:t>.</w:t>
      </w:r>
      <w:r w:rsidR="00BD0F2B" w:rsidRPr="00CF31E0">
        <w:rPr>
          <w:lang w:val="en-US" w:eastAsia="en-US"/>
        </w:rPr>
        <w:t>79</w:t>
      </w:r>
      <w:r w:rsidRPr="00CF31E0">
        <w:rPr>
          <w:lang w:val="en-US" w:eastAsia="en-US"/>
        </w:rPr>
        <w:t xml:space="preserve"> for </w:t>
      </w:r>
      <w:r w:rsidR="00FD7E98" w:rsidRPr="00CF31E0">
        <w:rPr>
          <w:lang w:val="en-US" w:eastAsia="en-US"/>
        </w:rPr>
        <w:t xml:space="preserve">mother’s </w:t>
      </w:r>
      <w:r w:rsidRPr="00CF31E0">
        <w:rPr>
          <w:lang w:val="en-US" w:eastAsia="en-US"/>
        </w:rPr>
        <w:t xml:space="preserve">social group results </w:t>
      </w:r>
      <w:r w:rsidR="003423CA" w:rsidRPr="00CF31E0">
        <w:rPr>
          <w:lang w:val="en-US" w:eastAsia="en-US"/>
        </w:rPr>
        <w:t>from</w:t>
      </w:r>
      <w:r w:rsidRPr="00CF31E0">
        <w:rPr>
          <w:lang w:val="en-US" w:eastAsia="en-US"/>
        </w:rPr>
        <w:t xml:space="preserve"> the data.</w:t>
      </w:r>
    </w:p>
    <w:tbl>
      <w:tblPr>
        <w:tblW w:w="7533"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476"/>
        <w:gridCol w:w="1030"/>
        <w:gridCol w:w="1445"/>
        <w:gridCol w:w="1030"/>
        <w:gridCol w:w="816"/>
      </w:tblGrid>
      <w:tr w:rsidR="007F558A" w:rsidRPr="00CF31E0" w14:paraId="318B1C6D" w14:textId="77777777" w:rsidTr="00603CB7">
        <w:trPr>
          <w:cantSplit/>
        </w:trPr>
        <w:tc>
          <w:tcPr>
            <w:tcW w:w="1736" w:type="dxa"/>
            <w:tcBorders>
              <w:top w:val="single" w:sz="8" w:space="0" w:color="auto"/>
              <w:bottom w:val="single" w:sz="8" w:space="0" w:color="auto"/>
            </w:tcBorders>
            <w:shd w:val="clear" w:color="auto" w:fill="FFFFFF"/>
            <w:vAlign w:val="bottom"/>
          </w:tcPr>
          <w:p w14:paraId="29480475"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Mother’s social group</w:t>
            </w:r>
          </w:p>
        </w:tc>
        <w:tc>
          <w:tcPr>
            <w:tcW w:w="1476" w:type="dxa"/>
            <w:tcBorders>
              <w:top w:val="single" w:sz="8" w:space="0" w:color="auto"/>
              <w:bottom w:val="single" w:sz="8" w:space="0" w:color="auto"/>
            </w:tcBorders>
            <w:shd w:val="clear" w:color="auto" w:fill="FFFFFF"/>
            <w:vAlign w:val="bottom"/>
          </w:tcPr>
          <w:p w14:paraId="4ADFC329"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1030" w:type="dxa"/>
            <w:tcBorders>
              <w:top w:val="single" w:sz="8" w:space="0" w:color="auto"/>
              <w:bottom w:val="single" w:sz="8" w:space="0" w:color="auto"/>
            </w:tcBorders>
            <w:shd w:val="clear" w:color="auto" w:fill="FFFFFF"/>
            <w:vAlign w:val="bottom"/>
          </w:tcPr>
          <w:p w14:paraId="054EE0C0"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8" w:space="0" w:color="auto"/>
            </w:tcBorders>
            <w:shd w:val="clear" w:color="auto" w:fill="FFFFFF"/>
            <w:vAlign w:val="bottom"/>
          </w:tcPr>
          <w:p w14:paraId="3E10EBF5"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8" w:space="0" w:color="auto"/>
            </w:tcBorders>
            <w:shd w:val="clear" w:color="auto" w:fill="FFFFFF"/>
            <w:vAlign w:val="bottom"/>
          </w:tcPr>
          <w:p w14:paraId="2A38F76A"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816" w:type="dxa"/>
            <w:tcBorders>
              <w:top w:val="single" w:sz="8" w:space="0" w:color="auto"/>
              <w:bottom w:val="single" w:sz="8" w:space="0" w:color="auto"/>
            </w:tcBorders>
            <w:shd w:val="clear" w:color="auto" w:fill="FFFFFF"/>
            <w:vAlign w:val="bottom"/>
          </w:tcPr>
          <w:p w14:paraId="66785614"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F558A" w:rsidRPr="00CF31E0" w14:paraId="08535D2A" w14:textId="77777777" w:rsidTr="00603CB7">
        <w:trPr>
          <w:cantSplit/>
        </w:trPr>
        <w:tc>
          <w:tcPr>
            <w:tcW w:w="1736" w:type="dxa"/>
            <w:tcBorders>
              <w:top w:val="single" w:sz="8" w:space="0" w:color="auto"/>
              <w:bottom w:val="nil"/>
            </w:tcBorders>
            <w:shd w:val="clear" w:color="auto" w:fill="FFFFFF"/>
          </w:tcPr>
          <w:p w14:paraId="40CE4F4C"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476" w:type="dxa"/>
            <w:tcBorders>
              <w:top w:val="single" w:sz="8" w:space="0" w:color="auto"/>
              <w:bottom w:val="nil"/>
            </w:tcBorders>
            <w:shd w:val="clear" w:color="auto" w:fill="FFFFFF"/>
            <w:vAlign w:val="center"/>
          </w:tcPr>
          <w:p w14:paraId="45C4FE4F"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8.789</w:t>
            </w:r>
          </w:p>
        </w:tc>
        <w:tc>
          <w:tcPr>
            <w:tcW w:w="1030" w:type="dxa"/>
            <w:tcBorders>
              <w:top w:val="single" w:sz="8" w:space="0" w:color="auto"/>
              <w:bottom w:val="nil"/>
            </w:tcBorders>
            <w:shd w:val="clear" w:color="auto" w:fill="FFFFFF"/>
            <w:vAlign w:val="center"/>
          </w:tcPr>
          <w:p w14:paraId="315D0586"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2</w:t>
            </w:r>
          </w:p>
        </w:tc>
        <w:tc>
          <w:tcPr>
            <w:tcW w:w="1445" w:type="dxa"/>
            <w:tcBorders>
              <w:top w:val="single" w:sz="8" w:space="0" w:color="auto"/>
              <w:bottom w:val="nil"/>
            </w:tcBorders>
            <w:shd w:val="clear" w:color="auto" w:fill="FFFFFF"/>
            <w:vAlign w:val="center"/>
          </w:tcPr>
          <w:p w14:paraId="58A9C3F0"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4.395</w:t>
            </w:r>
          </w:p>
        </w:tc>
        <w:tc>
          <w:tcPr>
            <w:tcW w:w="1030" w:type="dxa"/>
            <w:tcBorders>
              <w:top w:val="single" w:sz="8" w:space="0" w:color="auto"/>
              <w:bottom w:val="nil"/>
            </w:tcBorders>
            <w:shd w:val="clear" w:color="auto" w:fill="FFFFFF"/>
            <w:vAlign w:val="center"/>
          </w:tcPr>
          <w:p w14:paraId="03CEBB5D"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3.760</w:t>
            </w:r>
          </w:p>
        </w:tc>
        <w:tc>
          <w:tcPr>
            <w:tcW w:w="816" w:type="dxa"/>
            <w:tcBorders>
              <w:top w:val="single" w:sz="8" w:space="0" w:color="auto"/>
              <w:bottom w:val="nil"/>
            </w:tcBorders>
            <w:shd w:val="clear" w:color="auto" w:fill="FFFFFF"/>
            <w:vAlign w:val="center"/>
          </w:tcPr>
          <w:p w14:paraId="2CF684DA"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.024</w:t>
            </w:r>
          </w:p>
        </w:tc>
      </w:tr>
      <w:tr w:rsidR="007F558A" w:rsidRPr="00CF31E0" w14:paraId="267789C6" w14:textId="77777777" w:rsidTr="00603CB7">
        <w:trPr>
          <w:cantSplit/>
        </w:trPr>
        <w:tc>
          <w:tcPr>
            <w:tcW w:w="1736" w:type="dxa"/>
            <w:tcBorders>
              <w:top w:val="nil"/>
            </w:tcBorders>
            <w:shd w:val="clear" w:color="auto" w:fill="FFFFFF"/>
          </w:tcPr>
          <w:p w14:paraId="0129D00E"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476" w:type="dxa"/>
            <w:tcBorders>
              <w:top w:val="nil"/>
            </w:tcBorders>
            <w:shd w:val="clear" w:color="auto" w:fill="FFFFFF"/>
            <w:vAlign w:val="center"/>
          </w:tcPr>
          <w:p w14:paraId="3C1F5A9D"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753.822</w:t>
            </w:r>
          </w:p>
        </w:tc>
        <w:tc>
          <w:tcPr>
            <w:tcW w:w="1030" w:type="dxa"/>
            <w:tcBorders>
              <w:top w:val="nil"/>
            </w:tcBorders>
            <w:shd w:val="clear" w:color="auto" w:fill="FFFFFF"/>
            <w:vAlign w:val="center"/>
          </w:tcPr>
          <w:p w14:paraId="19E4155A"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647</w:t>
            </w:r>
          </w:p>
        </w:tc>
        <w:tc>
          <w:tcPr>
            <w:tcW w:w="1445" w:type="dxa"/>
            <w:tcBorders>
              <w:top w:val="nil"/>
            </w:tcBorders>
            <w:shd w:val="clear" w:color="auto" w:fill="FFFFFF"/>
            <w:vAlign w:val="center"/>
          </w:tcPr>
          <w:p w14:paraId="5E13D43E"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1.169</w:t>
            </w:r>
          </w:p>
        </w:tc>
        <w:tc>
          <w:tcPr>
            <w:tcW w:w="1030" w:type="dxa"/>
            <w:tcBorders>
              <w:top w:val="nil"/>
            </w:tcBorders>
            <w:shd w:val="clear" w:color="auto" w:fill="FFFFFF"/>
            <w:vAlign w:val="center"/>
          </w:tcPr>
          <w:p w14:paraId="39C2315B"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816" w:type="dxa"/>
            <w:tcBorders>
              <w:top w:val="nil"/>
            </w:tcBorders>
            <w:shd w:val="clear" w:color="auto" w:fill="FFFFFF"/>
            <w:vAlign w:val="center"/>
          </w:tcPr>
          <w:p w14:paraId="69EC39F0"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r>
      <w:tr w:rsidR="007F558A" w:rsidRPr="00CF31E0" w14:paraId="2FAA1B23" w14:textId="77777777" w:rsidTr="00603CB7">
        <w:trPr>
          <w:cantSplit/>
        </w:trPr>
        <w:tc>
          <w:tcPr>
            <w:tcW w:w="1736" w:type="dxa"/>
            <w:shd w:val="clear" w:color="auto" w:fill="FFFFFF"/>
          </w:tcPr>
          <w:p w14:paraId="52ED45BF"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476" w:type="dxa"/>
            <w:shd w:val="clear" w:color="auto" w:fill="FFFFFF"/>
            <w:vAlign w:val="center"/>
          </w:tcPr>
          <w:p w14:paraId="7399A1E6"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762.611</w:t>
            </w:r>
          </w:p>
        </w:tc>
        <w:tc>
          <w:tcPr>
            <w:tcW w:w="1030" w:type="dxa"/>
            <w:shd w:val="clear" w:color="auto" w:fill="FFFFFF"/>
            <w:vAlign w:val="center"/>
          </w:tcPr>
          <w:p w14:paraId="67E4FBE0"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649</w:t>
            </w:r>
          </w:p>
        </w:tc>
        <w:tc>
          <w:tcPr>
            <w:tcW w:w="1445" w:type="dxa"/>
            <w:shd w:val="clear" w:color="auto" w:fill="FFFFFF"/>
            <w:vAlign w:val="center"/>
          </w:tcPr>
          <w:p w14:paraId="569F9BDD"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1030" w:type="dxa"/>
            <w:shd w:val="clear" w:color="auto" w:fill="FFFFFF"/>
            <w:vAlign w:val="center"/>
          </w:tcPr>
          <w:p w14:paraId="442B3ECF"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816" w:type="dxa"/>
            <w:shd w:val="clear" w:color="auto" w:fill="FFFFFF"/>
            <w:vAlign w:val="center"/>
          </w:tcPr>
          <w:p w14:paraId="4A1556A7"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r>
    </w:tbl>
    <w:p w14:paraId="2BDFD8B8" w14:textId="7594E9E8" w:rsidR="000B4835" w:rsidRPr="00CF31E0" w:rsidRDefault="000B4835" w:rsidP="004F45D7">
      <w:pPr>
        <w:pStyle w:val="Tablecaption"/>
        <w:spacing w:after="400"/>
        <w:rPr>
          <w:lang w:eastAsia="en-US"/>
        </w:rPr>
      </w:pPr>
      <w:bookmarkStart w:id="1128" w:name="_Toc522527543"/>
      <w:bookmarkStart w:id="1129" w:name="_Toc522628956"/>
      <w:bookmarkStart w:id="1130" w:name="_Toc522629120"/>
      <w:bookmarkStart w:id="1131" w:name="_Toc6473216"/>
      <w:r w:rsidRPr="00CF31E0">
        <w:rPr>
          <w:lang w:eastAsia="en-US"/>
        </w:rPr>
        <w:t xml:space="preserve">Table </w:t>
      </w:r>
      <w:r w:rsidR="00F231E2" w:rsidRPr="00CF31E0">
        <w:rPr>
          <w:lang w:eastAsia="en-US"/>
        </w:rPr>
        <w:t>11</w:t>
      </w:r>
      <w:r w:rsidR="007555C7" w:rsidRPr="00CF31E0">
        <w:rPr>
          <w:lang w:eastAsia="en-US"/>
        </w:rPr>
        <w:t>.</w:t>
      </w:r>
      <w:r w:rsidR="00BD0F2B" w:rsidRPr="00CF31E0">
        <w:rPr>
          <w:lang w:eastAsia="en-US"/>
        </w:rPr>
        <w:t>78</w:t>
      </w:r>
      <w:r w:rsidRPr="00CF31E0">
        <w:rPr>
          <w:lang w:eastAsia="en-US"/>
        </w:rPr>
        <w:t>: ANOVA statistics for mother’s social group demographic variable.</w:t>
      </w:r>
      <w:bookmarkEnd w:id="1128"/>
      <w:bookmarkEnd w:id="1129"/>
      <w:bookmarkEnd w:id="1130"/>
      <w:bookmarkEnd w:id="1131"/>
      <w:r w:rsidRPr="00CF31E0">
        <w:rPr>
          <w:lang w:eastAsia="en-US"/>
        </w:rPr>
        <w:t xml:space="preserve"> </w:t>
      </w:r>
    </w:p>
    <w:tbl>
      <w:tblPr>
        <w:tblW w:w="7261" w:type="dxa"/>
        <w:tblInd w:w="-20" w:type="dxa"/>
        <w:tblLayout w:type="fixed"/>
        <w:tblCellMar>
          <w:left w:w="0" w:type="dxa"/>
          <w:right w:w="0" w:type="dxa"/>
        </w:tblCellMar>
        <w:tblLook w:val="0000" w:firstRow="0" w:lastRow="0" w:firstColumn="0" w:lastColumn="0" w:noHBand="0" w:noVBand="0"/>
      </w:tblPr>
      <w:tblGrid>
        <w:gridCol w:w="2158"/>
        <w:gridCol w:w="2268"/>
        <w:gridCol w:w="1134"/>
        <w:gridCol w:w="850"/>
        <w:gridCol w:w="851"/>
      </w:tblGrid>
      <w:tr w:rsidR="00232F36" w:rsidRPr="00CF31E0" w14:paraId="0B888EE3" w14:textId="77777777" w:rsidTr="004F45D7">
        <w:trPr>
          <w:cantSplit/>
          <w:trHeight w:val="440"/>
        </w:trPr>
        <w:tc>
          <w:tcPr>
            <w:tcW w:w="2158" w:type="dxa"/>
            <w:vMerge w:val="restart"/>
            <w:tcBorders>
              <w:top w:val="single" w:sz="8" w:space="0" w:color="auto"/>
              <w:bottom w:val="single" w:sz="8" w:space="0" w:color="auto"/>
            </w:tcBorders>
            <w:shd w:val="clear" w:color="auto" w:fill="FFFFFF"/>
            <w:vAlign w:val="bottom"/>
          </w:tcPr>
          <w:p w14:paraId="1377A93B" w14:textId="74F43BE5" w:rsidR="00232F36" w:rsidRPr="00CF31E0" w:rsidRDefault="00232F36" w:rsidP="000B4835">
            <w:pPr>
              <w:spacing w:before="120" w:after="120"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Mother’s social group</w:t>
            </w:r>
          </w:p>
        </w:tc>
        <w:tc>
          <w:tcPr>
            <w:tcW w:w="2268" w:type="dxa"/>
            <w:vMerge w:val="restart"/>
            <w:tcBorders>
              <w:top w:val="single" w:sz="8" w:space="0" w:color="auto"/>
              <w:bottom w:val="single" w:sz="8" w:space="0" w:color="auto"/>
            </w:tcBorders>
            <w:shd w:val="clear" w:color="auto" w:fill="FFFFFF"/>
            <w:vAlign w:val="bottom"/>
          </w:tcPr>
          <w:p w14:paraId="70A3E890" w14:textId="74ACA618" w:rsidR="00232F36" w:rsidRPr="00CF31E0" w:rsidRDefault="00232F36" w:rsidP="000B4835">
            <w:pPr>
              <w:spacing w:before="120" w:after="120"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Mother’s social group</w:t>
            </w:r>
          </w:p>
        </w:tc>
        <w:tc>
          <w:tcPr>
            <w:tcW w:w="1134" w:type="dxa"/>
            <w:vMerge w:val="restart"/>
            <w:tcBorders>
              <w:top w:val="single" w:sz="8" w:space="0" w:color="auto"/>
              <w:bottom w:val="single" w:sz="8" w:space="0" w:color="auto"/>
            </w:tcBorders>
            <w:shd w:val="clear" w:color="auto" w:fill="FFFFFF"/>
            <w:vAlign w:val="bottom"/>
          </w:tcPr>
          <w:p w14:paraId="5B1DDBFD" w14:textId="7F2E7E79" w:rsidR="00232F36" w:rsidRPr="00CF31E0" w:rsidRDefault="00232F36" w:rsidP="000B4835">
            <w:pPr>
              <w:spacing w:before="120" w:after="120"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 xml:space="preserve">Mean Difference </w:t>
            </w:r>
          </w:p>
        </w:tc>
        <w:tc>
          <w:tcPr>
            <w:tcW w:w="850" w:type="dxa"/>
            <w:vMerge w:val="restart"/>
            <w:tcBorders>
              <w:top w:val="single" w:sz="8" w:space="0" w:color="auto"/>
              <w:bottom w:val="single" w:sz="8" w:space="0" w:color="auto"/>
            </w:tcBorders>
            <w:shd w:val="clear" w:color="auto" w:fill="FFFFFF"/>
            <w:vAlign w:val="bottom"/>
          </w:tcPr>
          <w:p w14:paraId="238D6688" w14:textId="77777777" w:rsidR="00232F36" w:rsidRPr="00CF31E0" w:rsidRDefault="00232F36" w:rsidP="000B4835">
            <w:pPr>
              <w:spacing w:before="120" w:after="120" w:line="320" w:lineRule="atLeast"/>
              <w:ind w:left="60" w:right="60"/>
              <w:jc w:val="center"/>
              <w:rPr>
                <w:rFonts w:eastAsia="Calibri"/>
                <w:color w:val="000000" w:themeColor="text1"/>
                <w:sz w:val="22"/>
                <w:szCs w:val="22"/>
                <w:lang w:eastAsia="en-US"/>
              </w:rPr>
            </w:pPr>
            <w:r w:rsidRPr="00CF31E0">
              <w:rPr>
                <w:rFonts w:eastAsia="Calibri"/>
                <w:color w:val="000000" w:themeColor="text1"/>
                <w:sz w:val="22"/>
                <w:szCs w:val="22"/>
                <w:lang w:eastAsia="en-US"/>
              </w:rPr>
              <w:t>Std. Error</w:t>
            </w:r>
          </w:p>
        </w:tc>
        <w:tc>
          <w:tcPr>
            <w:tcW w:w="851" w:type="dxa"/>
            <w:vMerge w:val="restart"/>
            <w:tcBorders>
              <w:top w:val="single" w:sz="8" w:space="0" w:color="auto"/>
              <w:bottom w:val="single" w:sz="8" w:space="0" w:color="auto"/>
            </w:tcBorders>
            <w:shd w:val="clear" w:color="auto" w:fill="FFFFFF"/>
            <w:vAlign w:val="bottom"/>
          </w:tcPr>
          <w:p w14:paraId="02A33F49" w14:textId="77777777" w:rsidR="00232F36" w:rsidRPr="00CF31E0" w:rsidRDefault="00232F36" w:rsidP="000B4835">
            <w:pPr>
              <w:spacing w:before="120" w:after="120" w:line="320" w:lineRule="atLeast"/>
              <w:ind w:left="60" w:right="60"/>
              <w:jc w:val="center"/>
              <w:rPr>
                <w:rFonts w:eastAsia="Calibri"/>
                <w:color w:val="000000" w:themeColor="text1"/>
                <w:sz w:val="22"/>
                <w:szCs w:val="22"/>
                <w:lang w:eastAsia="en-US"/>
              </w:rPr>
            </w:pPr>
            <w:r w:rsidRPr="00CF31E0">
              <w:rPr>
                <w:rFonts w:eastAsia="Calibri"/>
                <w:color w:val="000000" w:themeColor="text1"/>
                <w:sz w:val="22"/>
                <w:szCs w:val="22"/>
                <w:lang w:eastAsia="en-US"/>
              </w:rPr>
              <w:t>Sig.</w:t>
            </w:r>
          </w:p>
        </w:tc>
      </w:tr>
      <w:tr w:rsidR="00232F36" w:rsidRPr="00CF31E0" w14:paraId="1CAA4441" w14:textId="77777777" w:rsidTr="004F45D7">
        <w:trPr>
          <w:cantSplit/>
          <w:trHeight w:val="619"/>
        </w:trPr>
        <w:tc>
          <w:tcPr>
            <w:tcW w:w="2158" w:type="dxa"/>
            <w:vMerge/>
            <w:tcBorders>
              <w:bottom w:val="single" w:sz="8" w:space="0" w:color="auto"/>
            </w:tcBorders>
            <w:shd w:val="clear" w:color="auto" w:fill="FFFFFF"/>
            <w:vAlign w:val="bottom"/>
          </w:tcPr>
          <w:p w14:paraId="10DE4DDE" w14:textId="77777777" w:rsidR="00232F36" w:rsidRPr="00CF31E0" w:rsidRDefault="00232F36" w:rsidP="000B4835">
            <w:pPr>
              <w:spacing w:before="120" w:after="120" w:line="360" w:lineRule="auto"/>
              <w:rPr>
                <w:rFonts w:eastAsia="Calibri"/>
                <w:color w:val="000000" w:themeColor="text1"/>
                <w:sz w:val="22"/>
                <w:szCs w:val="22"/>
                <w:lang w:eastAsia="en-US"/>
              </w:rPr>
            </w:pPr>
          </w:p>
        </w:tc>
        <w:tc>
          <w:tcPr>
            <w:tcW w:w="2268" w:type="dxa"/>
            <w:vMerge/>
            <w:tcBorders>
              <w:bottom w:val="single" w:sz="8" w:space="0" w:color="auto"/>
            </w:tcBorders>
            <w:shd w:val="clear" w:color="auto" w:fill="FFFFFF"/>
            <w:vAlign w:val="bottom"/>
          </w:tcPr>
          <w:p w14:paraId="3B5E085A" w14:textId="77777777" w:rsidR="00232F36" w:rsidRPr="00CF31E0" w:rsidRDefault="00232F36" w:rsidP="000B4835">
            <w:pPr>
              <w:spacing w:before="120" w:after="120" w:line="360" w:lineRule="auto"/>
              <w:rPr>
                <w:rFonts w:eastAsia="Calibri"/>
                <w:color w:val="000000" w:themeColor="text1"/>
                <w:sz w:val="22"/>
                <w:szCs w:val="22"/>
                <w:lang w:eastAsia="en-US"/>
              </w:rPr>
            </w:pPr>
          </w:p>
        </w:tc>
        <w:tc>
          <w:tcPr>
            <w:tcW w:w="1134" w:type="dxa"/>
            <w:vMerge/>
            <w:tcBorders>
              <w:bottom w:val="single" w:sz="8" w:space="0" w:color="auto"/>
            </w:tcBorders>
            <w:shd w:val="clear" w:color="auto" w:fill="FFFFFF"/>
            <w:vAlign w:val="bottom"/>
          </w:tcPr>
          <w:p w14:paraId="21734235" w14:textId="77777777" w:rsidR="00232F36" w:rsidRPr="00CF31E0" w:rsidRDefault="00232F36" w:rsidP="000B4835">
            <w:pPr>
              <w:spacing w:before="120" w:after="120" w:line="360" w:lineRule="auto"/>
              <w:rPr>
                <w:rFonts w:eastAsia="Calibri"/>
                <w:color w:val="000000" w:themeColor="text1"/>
                <w:sz w:val="22"/>
                <w:szCs w:val="22"/>
                <w:lang w:eastAsia="en-US"/>
              </w:rPr>
            </w:pPr>
          </w:p>
        </w:tc>
        <w:tc>
          <w:tcPr>
            <w:tcW w:w="850" w:type="dxa"/>
            <w:vMerge/>
            <w:tcBorders>
              <w:bottom w:val="single" w:sz="8" w:space="0" w:color="auto"/>
            </w:tcBorders>
            <w:shd w:val="clear" w:color="auto" w:fill="FFFFFF"/>
            <w:vAlign w:val="bottom"/>
          </w:tcPr>
          <w:p w14:paraId="5DBFB91A" w14:textId="77777777" w:rsidR="00232F36" w:rsidRPr="00CF31E0" w:rsidRDefault="00232F36" w:rsidP="000B4835">
            <w:pPr>
              <w:spacing w:before="120" w:after="120" w:line="360" w:lineRule="auto"/>
              <w:rPr>
                <w:rFonts w:eastAsia="Calibri"/>
                <w:color w:val="000000" w:themeColor="text1"/>
                <w:sz w:val="22"/>
                <w:szCs w:val="22"/>
                <w:lang w:eastAsia="en-US"/>
              </w:rPr>
            </w:pPr>
          </w:p>
        </w:tc>
        <w:tc>
          <w:tcPr>
            <w:tcW w:w="851" w:type="dxa"/>
            <w:vMerge/>
            <w:tcBorders>
              <w:bottom w:val="single" w:sz="8" w:space="0" w:color="auto"/>
            </w:tcBorders>
            <w:shd w:val="clear" w:color="auto" w:fill="FFFFFF"/>
            <w:vAlign w:val="bottom"/>
          </w:tcPr>
          <w:p w14:paraId="1F2D1016" w14:textId="77777777" w:rsidR="00232F36" w:rsidRPr="00CF31E0" w:rsidRDefault="00232F36" w:rsidP="000B4835">
            <w:pPr>
              <w:spacing w:before="120" w:after="120" w:line="360" w:lineRule="auto"/>
              <w:rPr>
                <w:rFonts w:eastAsia="Calibri"/>
                <w:color w:val="000000" w:themeColor="text1"/>
                <w:sz w:val="22"/>
                <w:szCs w:val="22"/>
                <w:lang w:eastAsia="en-US"/>
              </w:rPr>
            </w:pPr>
          </w:p>
        </w:tc>
      </w:tr>
      <w:tr w:rsidR="00232F36" w:rsidRPr="00CF31E0" w14:paraId="58C24288" w14:textId="77777777" w:rsidTr="004F45D7">
        <w:trPr>
          <w:cantSplit/>
        </w:trPr>
        <w:tc>
          <w:tcPr>
            <w:tcW w:w="2158" w:type="dxa"/>
            <w:tcBorders>
              <w:top w:val="single" w:sz="8" w:space="0" w:color="auto"/>
              <w:bottom w:val="single" w:sz="8" w:space="0" w:color="auto"/>
            </w:tcBorders>
            <w:shd w:val="clear" w:color="auto" w:fill="FFFFFF"/>
          </w:tcPr>
          <w:p w14:paraId="4B093B44" w14:textId="4E429044" w:rsidR="00232F36" w:rsidRPr="00CF31E0" w:rsidRDefault="00232F36" w:rsidP="000B4835">
            <w:pPr>
              <w:spacing w:before="120" w:after="120"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HH</w:t>
            </w:r>
          </w:p>
        </w:tc>
        <w:tc>
          <w:tcPr>
            <w:tcW w:w="2268" w:type="dxa"/>
            <w:tcBorders>
              <w:top w:val="single" w:sz="8" w:space="0" w:color="auto"/>
              <w:bottom w:val="single" w:sz="8" w:space="0" w:color="auto"/>
            </w:tcBorders>
            <w:shd w:val="clear" w:color="auto" w:fill="FFFFFF"/>
          </w:tcPr>
          <w:p w14:paraId="3C338EBF" w14:textId="3ABEE877" w:rsidR="00232F36" w:rsidRPr="00CF31E0" w:rsidRDefault="00232F36" w:rsidP="000B4835">
            <w:pPr>
              <w:spacing w:before="120" w:after="120"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UBH</w:t>
            </w:r>
          </w:p>
        </w:tc>
        <w:tc>
          <w:tcPr>
            <w:tcW w:w="1134" w:type="dxa"/>
            <w:tcBorders>
              <w:top w:val="single" w:sz="8" w:space="0" w:color="auto"/>
              <w:bottom w:val="single" w:sz="8" w:space="0" w:color="auto"/>
            </w:tcBorders>
            <w:shd w:val="clear" w:color="auto" w:fill="FFFFFF"/>
            <w:vAlign w:val="center"/>
          </w:tcPr>
          <w:p w14:paraId="20F81692" w14:textId="77777777" w:rsidR="00232F36" w:rsidRPr="00CF31E0" w:rsidRDefault="00232F36" w:rsidP="000B4835">
            <w:pPr>
              <w:spacing w:before="120" w:after="120"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.23421</w:t>
            </w:r>
            <w:r w:rsidRPr="00CF31E0">
              <w:rPr>
                <w:rFonts w:eastAsia="Calibri"/>
                <w:color w:val="000000" w:themeColor="text1"/>
                <w:sz w:val="22"/>
                <w:szCs w:val="22"/>
                <w:vertAlign w:val="superscript"/>
                <w:lang w:eastAsia="en-US"/>
              </w:rPr>
              <w:t>*</w:t>
            </w:r>
          </w:p>
        </w:tc>
        <w:tc>
          <w:tcPr>
            <w:tcW w:w="850" w:type="dxa"/>
            <w:tcBorders>
              <w:top w:val="single" w:sz="8" w:space="0" w:color="auto"/>
              <w:bottom w:val="single" w:sz="8" w:space="0" w:color="auto"/>
            </w:tcBorders>
            <w:shd w:val="clear" w:color="auto" w:fill="FFFFFF"/>
            <w:vAlign w:val="center"/>
          </w:tcPr>
          <w:p w14:paraId="6886A911" w14:textId="77777777" w:rsidR="00232F36" w:rsidRPr="00CF31E0" w:rsidRDefault="00232F36" w:rsidP="000B4835">
            <w:pPr>
              <w:spacing w:before="120" w:after="120"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.08635</w:t>
            </w:r>
          </w:p>
        </w:tc>
        <w:tc>
          <w:tcPr>
            <w:tcW w:w="851" w:type="dxa"/>
            <w:tcBorders>
              <w:top w:val="single" w:sz="8" w:space="0" w:color="auto"/>
              <w:bottom w:val="single" w:sz="8" w:space="0" w:color="auto"/>
            </w:tcBorders>
            <w:shd w:val="clear" w:color="auto" w:fill="FFFFFF"/>
            <w:vAlign w:val="center"/>
          </w:tcPr>
          <w:p w14:paraId="1110DCB3" w14:textId="77777777" w:rsidR="00232F36" w:rsidRPr="00CF31E0" w:rsidRDefault="00232F36" w:rsidP="000B4835">
            <w:pPr>
              <w:spacing w:before="120" w:after="120" w:line="320" w:lineRule="atLeast"/>
              <w:ind w:left="60" w:right="60"/>
              <w:jc w:val="right"/>
              <w:rPr>
                <w:rFonts w:eastAsia="Calibri"/>
                <w:color w:val="000000" w:themeColor="text1"/>
                <w:sz w:val="22"/>
                <w:szCs w:val="22"/>
                <w:lang w:eastAsia="en-US"/>
              </w:rPr>
            </w:pPr>
            <w:r w:rsidRPr="00CF31E0">
              <w:rPr>
                <w:rFonts w:eastAsia="Calibri"/>
                <w:color w:val="000000" w:themeColor="text1"/>
                <w:sz w:val="22"/>
                <w:szCs w:val="22"/>
                <w:lang w:eastAsia="en-US"/>
              </w:rPr>
              <w:t>.019</w:t>
            </w:r>
          </w:p>
        </w:tc>
      </w:tr>
    </w:tbl>
    <w:p w14:paraId="2F7F340C" w14:textId="491A9E3A" w:rsidR="000B4835" w:rsidRPr="00CF31E0" w:rsidRDefault="000B4835" w:rsidP="00E96074">
      <w:pPr>
        <w:pStyle w:val="Tablecaption"/>
        <w:rPr>
          <w:lang w:eastAsia="en-US"/>
        </w:rPr>
      </w:pPr>
      <w:bookmarkStart w:id="1132" w:name="_Toc522527544"/>
      <w:bookmarkStart w:id="1133" w:name="_Toc522628957"/>
      <w:bookmarkStart w:id="1134" w:name="_Toc522629121"/>
      <w:bookmarkStart w:id="1135" w:name="_Toc6473217"/>
      <w:r w:rsidRPr="00CF31E0">
        <w:rPr>
          <w:lang w:eastAsia="en-US"/>
        </w:rPr>
        <w:t xml:space="preserve">Table </w:t>
      </w:r>
      <w:r w:rsidR="00F231E2" w:rsidRPr="00CF31E0">
        <w:rPr>
          <w:lang w:eastAsia="en-US"/>
        </w:rPr>
        <w:t>11</w:t>
      </w:r>
      <w:r w:rsidR="007555C7" w:rsidRPr="00CF31E0">
        <w:rPr>
          <w:lang w:eastAsia="en-US"/>
        </w:rPr>
        <w:t>.</w:t>
      </w:r>
      <w:r w:rsidR="00BD0F2B" w:rsidRPr="00CF31E0">
        <w:rPr>
          <w:lang w:eastAsia="en-US"/>
        </w:rPr>
        <w:t>79</w:t>
      </w:r>
      <w:r w:rsidRPr="00CF31E0">
        <w:rPr>
          <w:lang w:eastAsia="en-US"/>
        </w:rPr>
        <w:t>: Post-hoc test results for mother’s social group demographic variable.</w:t>
      </w:r>
      <w:bookmarkEnd w:id="1132"/>
      <w:bookmarkEnd w:id="1133"/>
      <w:bookmarkEnd w:id="1134"/>
      <w:bookmarkEnd w:id="1135"/>
      <w:r w:rsidRPr="00CF31E0">
        <w:rPr>
          <w:lang w:eastAsia="en-US"/>
        </w:rPr>
        <w:t xml:space="preserve"> </w:t>
      </w:r>
    </w:p>
    <w:p w14:paraId="1B9F4017" w14:textId="1853585B" w:rsidR="000B4835" w:rsidRPr="00CF31E0" w:rsidRDefault="007C1798" w:rsidP="00603CB7">
      <w:pPr>
        <w:pStyle w:val="Paragraph"/>
        <w:rPr>
          <w:lang w:eastAsia="en-US"/>
        </w:rPr>
      </w:pPr>
      <w:r>
        <w:rPr>
          <w:lang w:val="en-US" w:eastAsia="en-US"/>
        </w:rPr>
        <w:t>Tables 11.78 and 11.79 shows that</w:t>
      </w:r>
      <w:r w:rsidR="000B4835" w:rsidRPr="00CF31E0">
        <w:rPr>
          <w:lang w:eastAsia="en-US"/>
        </w:rPr>
        <w:t xml:space="preserve"> those participants whose mothers are from the </w:t>
      </w:r>
      <w:r w:rsidR="0059652A" w:rsidRPr="00CF31E0">
        <w:rPr>
          <w:lang w:eastAsia="en-US"/>
        </w:rPr>
        <w:t>UBH</w:t>
      </w:r>
      <w:r w:rsidR="000B4835" w:rsidRPr="00CF31E0">
        <w:rPr>
          <w:lang w:eastAsia="en-US"/>
        </w:rPr>
        <w:t xml:space="preserve"> social group perceived the voice as more traditional. </w:t>
      </w:r>
    </w:p>
    <w:p w14:paraId="5AEDAA3A" w14:textId="10EBA4C3" w:rsidR="000B4835" w:rsidRPr="00CF31E0" w:rsidRDefault="00F231E2" w:rsidP="0041475C">
      <w:pPr>
        <w:pStyle w:val="Chead"/>
      </w:pPr>
      <w:bookmarkStart w:id="1136" w:name="_Toc6472811"/>
      <w:r w:rsidRPr="00CF31E0">
        <w:lastRenderedPageBreak/>
        <w:t>11</w:t>
      </w:r>
      <w:r w:rsidR="000B4835" w:rsidRPr="00CF31E0">
        <w:t>.3.</w:t>
      </w:r>
      <w:r w:rsidR="0041475C" w:rsidRPr="00CF31E0">
        <w:t>9</w:t>
      </w:r>
      <w:r w:rsidR="000B4835" w:rsidRPr="00CF31E0">
        <w:t>.3.</w:t>
      </w:r>
      <w:r w:rsidR="003F4912" w:rsidRPr="00CF31E0">
        <w:tab/>
      </w:r>
      <w:r w:rsidR="000B4835" w:rsidRPr="00CF31E0">
        <w:t>Modern scale</w:t>
      </w:r>
      <w:bookmarkEnd w:id="1136"/>
      <w:r w:rsidR="000B4835" w:rsidRPr="00CF31E0">
        <w:t xml:space="preserve"> </w:t>
      </w:r>
    </w:p>
    <w:p w14:paraId="3DB5EFB9" w14:textId="7306372B" w:rsidR="00FD7E98" w:rsidRPr="00CF31E0" w:rsidRDefault="00FD7E98" w:rsidP="00603CB7">
      <w:pPr>
        <w:pStyle w:val="Paragraph"/>
        <w:rPr>
          <w:rFonts w:cs="Arial"/>
          <w:lang w:val="en-US" w:eastAsia="en-US"/>
        </w:rPr>
      </w:pPr>
      <w:r w:rsidRPr="00CF31E0">
        <w:rPr>
          <w:lang w:eastAsia="en-US"/>
        </w:rPr>
        <w:t xml:space="preserve">The gender and age demographic variables were the only variables with a significant difference between their categories in relation to the </w:t>
      </w:r>
      <w:r w:rsidRPr="00CF31E0">
        <w:rPr>
          <w:i/>
          <w:iCs/>
          <w:lang w:eastAsia="en-US"/>
        </w:rPr>
        <w:t xml:space="preserve">modern </w:t>
      </w:r>
      <w:r w:rsidRPr="00CF31E0">
        <w:rPr>
          <w:lang w:eastAsia="en-US"/>
        </w:rPr>
        <w:t xml:space="preserve">scale. </w:t>
      </w:r>
      <w:r w:rsidRPr="00CF31E0">
        <w:rPr>
          <w:rFonts w:cs="Arial"/>
          <w:lang w:val="en-US" w:eastAsia="en-US"/>
        </w:rPr>
        <w:t xml:space="preserve">See </w:t>
      </w:r>
      <w:r w:rsidR="003423CA" w:rsidRPr="00CF31E0">
        <w:rPr>
          <w:rFonts w:cs="Arial"/>
          <w:lang w:val="en-US" w:eastAsia="en-US"/>
        </w:rPr>
        <w:t xml:space="preserve">Tables </w:t>
      </w:r>
      <w:r w:rsidR="00F231E2" w:rsidRPr="00CF31E0">
        <w:rPr>
          <w:rFonts w:cs="Arial"/>
          <w:lang w:val="en-US" w:eastAsia="en-US"/>
        </w:rPr>
        <w:t>11</w:t>
      </w:r>
      <w:r w:rsidRPr="00CF31E0">
        <w:rPr>
          <w:rFonts w:cs="Arial"/>
          <w:lang w:val="en-US" w:eastAsia="en-US"/>
        </w:rPr>
        <w:t>.</w:t>
      </w:r>
      <w:r w:rsidR="00F231E2" w:rsidRPr="00CF31E0">
        <w:rPr>
          <w:rFonts w:cs="Arial"/>
          <w:lang w:val="en-US" w:eastAsia="en-US"/>
        </w:rPr>
        <w:t>8</w:t>
      </w:r>
      <w:r w:rsidR="00BD0F2B" w:rsidRPr="00CF31E0">
        <w:rPr>
          <w:rFonts w:cs="Arial"/>
          <w:lang w:val="en-US" w:eastAsia="en-US"/>
        </w:rPr>
        <w:t>0</w:t>
      </w:r>
      <w:r w:rsidR="00F231E2" w:rsidRPr="00CF31E0">
        <w:rPr>
          <w:rFonts w:cs="Arial"/>
          <w:lang w:val="en-US" w:eastAsia="en-US"/>
        </w:rPr>
        <w:t xml:space="preserve"> </w:t>
      </w:r>
      <w:r w:rsidRPr="00CF31E0">
        <w:rPr>
          <w:rFonts w:cs="Arial"/>
          <w:lang w:val="en-US" w:eastAsia="en-US"/>
        </w:rPr>
        <w:t xml:space="preserve">and </w:t>
      </w:r>
      <w:r w:rsidR="00F231E2" w:rsidRPr="00CF31E0">
        <w:rPr>
          <w:rFonts w:cs="Arial"/>
          <w:lang w:val="en-US" w:eastAsia="en-US"/>
        </w:rPr>
        <w:t>11</w:t>
      </w:r>
      <w:r w:rsidRPr="00CF31E0">
        <w:rPr>
          <w:rFonts w:cs="Arial"/>
          <w:lang w:val="en-US" w:eastAsia="en-US"/>
        </w:rPr>
        <w:t>.</w:t>
      </w:r>
      <w:r w:rsidR="00F231E2" w:rsidRPr="00CF31E0">
        <w:rPr>
          <w:rFonts w:cs="Arial"/>
          <w:lang w:val="en-US" w:eastAsia="en-US"/>
        </w:rPr>
        <w:t>8</w:t>
      </w:r>
      <w:r w:rsidR="00BD0F2B" w:rsidRPr="00CF31E0">
        <w:rPr>
          <w:rFonts w:cs="Arial"/>
          <w:lang w:val="en-US" w:eastAsia="en-US"/>
        </w:rPr>
        <w:t>1</w:t>
      </w:r>
      <w:r w:rsidRPr="00CF31E0">
        <w:rPr>
          <w:rFonts w:cs="Arial"/>
          <w:lang w:val="en-US" w:eastAsia="en-US"/>
        </w:rPr>
        <w:t xml:space="preserve"> for gender results </w:t>
      </w:r>
      <w:r w:rsidR="003423CA" w:rsidRPr="00CF31E0">
        <w:rPr>
          <w:rFonts w:cs="Arial"/>
          <w:lang w:val="en-US" w:eastAsia="en-US"/>
        </w:rPr>
        <w:t>from</w:t>
      </w:r>
      <w:r w:rsidRPr="00CF31E0">
        <w:rPr>
          <w:rFonts w:cs="Arial"/>
          <w:lang w:val="en-US" w:eastAsia="en-US"/>
        </w:rPr>
        <w:t xml:space="preserve"> the data.</w:t>
      </w: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8A1A4E" w:rsidRPr="00CF31E0" w14:paraId="3343C55F" w14:textId="77777777" w:rsidTr="00603CB7">
        <w:trPr>
          <w:cantSplit/>
        </w:trPr>
        <w:tc>
          <w:tcPr>
            <w:tcW w:w="1736" w:type="dxa"/>
            <w:tcBorders>
              <w:top w:val="single" w:sz="8" w:space="0" w:color="auto"/>
              <w:bottom w:val="single" w:sz="8" w:space="0" w:color="auto"/>
            </w:tcBorders>
            <w:shd w:val="clear" w:color="auto" w:fill="FFFFFF"/>
            <w:vAlign w:val="bottom"/>
          </w:tcPr>
          <w:p w14:paraId="56F168ED"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Gender</w:t>
            </w:r>
          </w:p>
        </w:tc>
        <w:tc>
          <w:tcPr>
            <w:tcW w:w="1686" w:type="dxa"/>
            <w:tcBorders>
              <w:top w:val="single" w:sz="8" w:space="0" w:color="auto"/>
              <w:bottom w:val="single" w:sz="8" w:space="0" w:color="auto"/>
            </w:tcBorders>
            <w:shd w:val="clear" w:color="auto" w:fill="FFFFFF"/>
            <w:vAlign w:val="bottom"/>
          </w:tcPr>
          <w:p w14:paraId="06532DCF"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8" w:space="0" w:color="auto"/>
            </w:tcBorders>
            <w:shd w:val="clear" w:color="auto" w:fill="FFFFFF"/>
            <w:vAlign w:val="bottom"/>
          </w:tcPr>
          <w:p w14:paraId="40110C48"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8" w:space="0" w:color="auto"/>
            </w:tcBorders>
            <w:shd w:val="clear" w:color="auto" w:fill="FFFFFF"/>
            <w:vAlign w:val="bottom"/>
          </w:tcPr>
          <w:p w14:paraId="6910F4D4"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8" w:space="0" w:color="auto"/>
            </w:tcBorders>
            <w:shd w:val="clear" w:color="auto" w:fill="FFFFFF"/>
            <w:vAlign w:val="bottom"/>
          </w:tcPr>
          <w:p w14:paraId="4A8D5E94"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8" w:space="0" w:color="auto"/>
            </w:tcBorders>
            <w:shd w:val="clear" w:color="auto" w:fill="FFFFFF"/>
            <w:vAlign w:val="bottom"/>
          </w:tcPr>
          <w:p w14:paraId="2C722D62"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F558A" w:rsidRPr="00CF31E0" w14:paraId="0F208984" w14:textId="77777777" w:rsidTr="00603CB7">
        <w:trPr>
          <w:cantSplit/>
        </w:trPr>
        <w:tc>
          <w:tcPr>
            <w:tcW w:w="1736" w:type="dxa"/>
            <w:tcBorders>
              <w:top w:val="single" w:sz="8" w:space="0" w:color="auto"/>
              <w:bottom w:val="nil"/>
            </w:tcBorders>
            <w:shd w:val="clear" w:color="auto" w:fill="FFFFFF"/>
          </w:tcPr>
          <w:p w14:paraId="49F78CE7"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8" w:space="0" w:color="auto"/>
              <w:bottom w:val="nil"/>
            </w:tcBorders>
            <w:shd w:val="clear" w:color="auto" w:fill="FFFFFF"/>
            <w:vAlign w:val="center"/>
          </w:tcPr>
          <w:p w14:paraId="38E54705"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8.848</w:t>
            </w:r>
          </w:p>
        </w:tc>
        <w:tc>
          <w:tcPr>
            <w:tcW w:w="820" w:type="dxa"/>
            <w:tcBorders>
              <w:top w:val="single" w:sz="8" w:space="0" w:color="auto"/>
              <w:bottom w:val="nil"/>
            </w:tcBorders>
            <w:shd w:val="clear" w:color="auto" w:fill="FFFFFF"/>
            <w:vAlign w:val="center"/>
          </w:tcPr>
          <w:p w14:paraId="4EE26122"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w:t>
            </w:r>
          </w:p>
        </w:tc>
        <w:tc>
          <w:tcPr>
            <w:tcW w:w="1445" w:type="dxa"/>
            <w:tcBorders>
              <w:top w:val="single" w:sz="8" w:space="0" w:color="auto"/>
              <w:bottom w:val="nil"/>
            </w:tcBorders>
            <w:shd w:val="clear" w:color="auto" w:fill="FFFFFF"/>
            <w:vAlign w:val="center"/>
          </w:tcPr>
          <w:p w14:paraId="5DB538C8"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8.848</w:t>
            </w:r>
          </w:p>
        </w:tc>
        <w:tc>
          <w:tcPr>
            <w:tcW w:w="1030" w:type="dxa"/>
            <w:tcBorders>
              <w:top w:val="single" w:sz="8" w:space="0" w:color="auto"/>
              <w:bottom w:val="nil"/>
            </w:tcBorders>
            <w:shd w:val="clear" w:color="auto" w:fill="FFFFFF"/>
            <w:vAlign w:val="center"/>
          </w:tcPr>
          <w:p w14:paraId="0C502BEC"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6.874</w:t>
            </w:r>
          </w:p>
        </w:tc>
        <w:tc>
          <w:tcPr>
            <w:tcW w:w="674" w:type="dxa"/>
            <w:tcBorders>
              <w:top w:val="single" w:sz="8" w:space="0" w:color="auto"/>
              <w:bottom w:val="nil"/>
            </w:tcBorders>
            <w:shd w:val="clear" w:color="auto" w:fill="FFFFFF"/>
            <w:vAlign w:val="center"/>
          </w:tcPr>
          <w:p w14:paraId="7AB1B959"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.009</w:t>
            </w:r>
          </w:p>
        </w:tc>
      </w:tr>
      <w:tr w:rsidR="007F558A" w:rsidRPr="00CF31E0" w14:paraId="6D868997" w14:textId="77777777" w:rsidTr="00603CB7">
        <w:trPr>
          <w:cantSplit/>
        </w:trPr>
        <w:tc>
          <w:tcPr>
            <w:tcW w:w="1736" w:type="dxa"/>
            <w:tcBorders>
              <w:top w:val="nil"/>
            </w:tcBorders>
            <w:shd w:val="clear" w:color="auto" w:fill="FFFFFF"/>
          </w:tcPr>
          <w:p w14:paraId="6E483BEE"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64301564"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832.754</w:t>
            </w:r>
          </w:p>
        </w:tc>
        <w:tc>
          <w:tcPr>
            <w:tcW w:w="820" w:type="dxa"/>
            <w:tcBorders>
              <w:top w:val="nil"/>
            </w:tcBorders>
            <w:shd w:val="clear" w:color="auto" w:fill="FFFFFF"/>
            <w:vAlign w:val="center"/>
          </w:tcPr>
          <w:p w14:paraId="23B187CE"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648</w:t>
            </w:r>
          </w:p>
        </w:tc>
        <w:tc>
          <w:tcPr>
            <w:tcW w:w="1445" w:type="dxa"/>
            <w:tcBorders>
              <w:top w:val="nil"/>
            </w:tcBorders>
            <w:shd w:val="clear" w:color="auto" w:fill="FFFFFF"/>
            <w:vAlign w:val="center"/>
          </w:tcPr>
          <w:p w14:paraId="6CB3A195"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1.287</w:t>
            </w:r>
          </w:p>
        </w:tc>
        <w:tc>
          <w:tcPr>
            <w:tcW w:w="1030" w:type="dxa"/>
            <w:tcBorders>
              <w:top w:val="nil"/>
            </w:tcBorders>
            <w:shd w:val="clear" w:color="auto" w:fill="FFFFFF"/>
            <w:vAlign w:val="center"/>
          </w:tcPr>
          <w:p w14:paraId="424AB05D"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674" w:type="dxa"/>
            <w:tcBorders>
              <w:top w:val="nil"/>
            </w:tcBorders>
            <w:shd w:val="clear" w:color="auto" w:fill="FFFFFF"/>
            <w:vAlign w:val="center"/>
          </w:tcPr>
          <w:p w14:paraId="465CB487"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r>
      <w:tr w:rsidR="007F558A" w:rsidRPr="00CF31E0" w14:paraId="2353BAB5" w14:textId="77777777" w:rsidTr="00603CB7">
        <w:trPr>
          <w:cantSplit/>
        </w:trPr>
        <w:tc>
          <w:tcPr>
            <w:tcW w:w="1736" w:type="dxa"/>
            <w:shd w:val="clear" w:color="auto" w:fill="FFFFFF"/>
          </w:tcPr>
          <w:p w14:paraId="5D594AEF"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59C8E03"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841.602</w:t>
            </w:r>
          </w:p>
        </w:tc>
        <w:tc>
          <w:tcPr>
            <w:tcW w:w="820" w:type="dxa"/>
            <w:shd w:val="clear" w:color="auto" w:fill="FFFFFF"/>
            <w:vAlign w:val="center"/>
          </w:tcPr>
          <w:p w14:paraId="2200E51B"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649</w:t>
            </w:r>
          </w:p>
        </w:tc>
        <w:tc>
          <w:tcPr>
            <w:tcW w:w="1445" w:type="dxa"/>
            <w:shd w:val="clear" w:color="auto" w:fill="FFFFFF"/>
            <w:vAlign w:val="center"/>
          </w:tcPr>
          <w:p w14:paraId="1761F263"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1030" w:type="dxa"/>
            <w:shd w:val="clear" w:color="auto" w:fill="FFFFFF"/>
            <w:vAlign w:val="center"/>
          </w:tcPr>
          <w:p w14:paraId="239C6E93"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674" w:type="dxa"/>
            <w:shd w:val="clear" w:color="auto" w:fill="FFFFFF"/>
            <w:vAlign w:val="center"/>
          </w:tcPr>
          <w:p w14:paraId="434AB021"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r>
    </w:tbl>
    <w:p w14:paraId="5E2E67A0" w14:textId="6389E960" w:rsidR="000B4835" w:rsidRPr="00CF31E0" w:rsidRDefault="000B4835" w:rsidP="005B3EEC">
      <w:pPr>
        <w:pStyle w:val="Tablecaption"/>
        <w:spacing w:after="400"/>
        <w:rPr>
          <w:lang w:eastAsia="en-US"/>
        </w:rPr>
      </w:pPr>
      <w:bookmarkStart w:id="1137" w:name="_Toc522527545"/>
      <w:bookmarkStart w:id="1138" w:name="_Toc522628958"/>
      <w:bookmarkStart w:id="1139" w:name="_Toc522629122"/>
      <w:bookmarkStart w:id="1140" w:name="_Toc6473218"/>
      <w:r w:rsidRPr="00CF31E0">
        <w:rPr>
          <w:lang w:eastAsia="en-US"/>
        </w:rPr>
        <w:t xml:space="preserve">Table </w:t>
      </w:r>
      <w:r w:rsidR="00F231E2" w:rsidRPr="00CF31E0">
        <w:rPr>
          <w:lang w:eastAsia="en-US"/>
        </w:rPr>
        <w:t>11</w:t>
      </w:r>
      <w:r w:rsidR="007555C7" w:rsidRPr="00CF31E0">
        <w:rPr>
          <w:lang w:eastAsia="en-US"/>
        </w:rPr>
        <w:t>.</w:t>
      </w:r>
      <w:r w:rsidR="00F231E2" w:rsidRPr="00CF31E0">
        <w:rPr>
          <w:lang w:eastAsia="en-US"/>
        </w:rPr>
        <w:t>8</w:t>
      </w:r>
      <w:r w:rsidR="00BD0F2B" w:rsidRPr="00CF31E0">
        <w:rPr>
          <w:lang w:eastAsia="en-US"/>
        </w:rPr>
        <w:t>0</w:t>
      </w:r>
      <w:r w:rsidRPr="00CF31E0">
        <w:rPr>
          <w:lang w:eastAsia="en-US"/>
        </w:rPr>
        <w:t xml:space="preserve">: ANOVA </w:t>
      </w:r>
      <w:r w:rsidR="005B3EEC">
        <w:rPr>
          <w:lang w:eastAsia="en-US"/>
        </w:rPr>
        <w:t>statistics</w:t>
      </w:r>
      <w:r w:rsidR="005B3EEC" w:rsidRPr="00CF31E0">
        <w:rPr>
          <w:lang w:eastAsia="en-US"/>
        </w:rPr>
        <w:t xml:space="preserve"> </w:t>
      </w:r>
      <w:r w:rsidRPr="00CF31E0">
        <w:rPr>
          <w:lang w:eastAsia="en-US"/>
        </w:rPr>
        <w:t>for gender demographic variable</w:t>
      </w:r>
      <w:r w:rsidR="007555C7" w:rsidRPr="00CF31E0">
        <w:rPr>
          <w:lang w:eastAsia="en-US"/>
        </w:rPr>
        <w:t>.</w:t>
      </w:r>
      <w:bookmarkEnd w:id="1137"/>
      <w:bookmarkEnd w:id="1138"/>
      <w:bookmarkEnd w:id="1139"/>
      <w:bookmarkEnd w:id="1140"/>
    </w:p>
    <w:tbl>
      <w:tblPr>
        <w:tblW w:w="7363" w:type="dxa"/>
        <w:tblInd w:w="-1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092"/>
        <w:gridCol w:w="1471"/>
        <w:gridCol w:w="2572"/>
        <w:gridCol w:w="1091"/>
        <w:gridCol w:w="1137"/>
      </w:tblGrid>
      <w:tr w:rsidR="007F558A" w:rsidRPr="00CF31E0" w14:paraId="30C4CFEF" w14:textId="77777777" w:rsidTr="000B4835">
        <w:trPr>
          <w:cantSplit/>
        </w:trPr>
        <w:tc>
          <w:tcPr>
            <w:tcW w:w="1092" w:type="dxa"/>
            <w:tcBorders>
              <w:top w:val="single" w:sz="8" w:space="0" w:color="auto"/>
              <w:bottom w:val="single" w:sz="8" w:space="0" w:color="auto"/>
            </w:tcBorders>
          </w:tcPr>
          <w:p w14:paraId="4FEA9CAC"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4043" w:type="dxa"/>
            <w:gridSpan w:val="2"/>
            <w:tcBorders>
              <w:top w:val="single" w:sz="8" w:space="0" w:color="auto"/>
              <w:bottom w:val="single" w:sz="8" w:space="0" w:color="auto"/>
            </w:tcBorders>
            <w:shd w:val="clear" w:color="auto" w:fill="FFFFFF"/>
            <w:vAlign w:val="bottom"/>
          </w:tcPr>
          <w:p w14:paraId="76895DA1"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Gender</w:t>
            </w:r>
          </w:p>
        </w:tc>
        <w:tc>
          <w:tcPr>
            <w:tcW w:w="1091" w:type="dxa"/>
            <w:tcBorders>
              <w:top w:val="single" w:sz="8" w:space="0" w:color="auto"/>
              <w:bottom w:val="single" w:sz="8" w:space="0" w:color="auto"/>
            </w:tcBorders>
            <w:shd w:val="clear" w:color="auto" w:fill="FFFFFF"/>
            <w:vAlign w:val="bottom"/>
          </w:tcPr>
          <w:p w14:paraId="0ED9DFF4"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Statistic</w:t>
            </w:r>
          </w:p>
        </w:tc>
        <w:tc>
          <w:tcPr>
            <w:tcW w:w="1137" w:type="dxa"/>
            <w:tcBorders>
              <w:top w:val="single" w:sz="8" w:space="0" w:color="auto"/>
              <w:bottom w:val="single" w:sz="8" w:space="0" w:color="auto"/>
            </w:tcBorders>
            <w:shd w:val="clear" w:color="auto" w:fill="FFFFFF"/>
            <w:vAlign w:val="bottom"/>
          </w:tcPr>
          <w:p w14:paraId="57714DDC"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Std. Error</w:t>
            </w:r>
          </w:p>
        </w:tc>
      </w:tr>
      <w:tr w:rsidR="007F558A" w:rsidRPr="00CF31E0" w14:paraId="3BB00FF2" w14:textId="77777777" w:rsidTr="000B4835">
        <w:trPr>
          <w:cantSplit/>
        </w:trPr>
        <w:tc>
          <w:tcPr>
            <w:tcW w:w="1092" w:type="dxa"/>
            <w:vMerge w:val="restart"/>
            <w:tcBorders>
              <w:top w:val="single" w:sz="8" w:space="0" w:color="auto"/>
              <w:bottom w:val="nil"/>
            </w:tcBorders>
            <w:shd w:val="clear" w:color="auto" w:fill="FFFFFF"/>
          </w:tcPr>
          <w:p w14:paraId="0969C398"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Modern4</w:t>
            </w:r>
          </w:p>
        </w:tc>
        <w:tc>
          <w:tcPr>
            <w:tcW w:w="1471" w:type="dxa"/>
            <w:tcBorders>
              <w:top w:val="single" w:sz="8" w:space="0" w:color="auto"/>
              <w:bottom w:val="nil"/>
            </w:tcBorders>
            <w:shd w:val="clear" w:color="auto" w:fill="FFFFFF"/>
          </w:tcPr>
          <w:p w14:paraId="39814170" w14:textId="50716157" w:rsidR="000B4835" w:rsidRPr="00CF31E0" w:rsidRDefault="0040042A" w:rsidP="000B4835">
            <w:pPr>
              <w:spacing w:before="120" w:after="120" w:line="360" w:lineRule="auto"/>
              <w:rPr>
                <w:rFonts w:eastAsia="Calibri" w:cs="Arial"/>
                <w:color w:val="000000" w:themeColor="text1"/>
                <w:sz w:val="22"/>
                <w:szCs w:val="22"/>
                <w:lang w:eastAsia="en-US"/>
              </w:rPr>
            </w:pPr>
            <w:r>
              <w:rPr>
                <w:rFonts w:eastAsia="Calibri" w:cs="Arial"/>
                <w:color w:val="000000" w:themeColor="text1"/>
                <w:sz w:val="22"/>
                <w:szCs w:val="22"/>
                <w:lang w:eastAsia="en-US"/>
              </w:rPr>
              <w:t>Female</w:t>
            </w:r>
            <w:r w:rsidR="000B4835" w:rsidRPr="00CF31E0">
              <w:rPr>
                <w:rFonts w:eastAsia="Calibri" w:cs="Arial"/>
                <w:color w:val="000000" w:themeColor="text1"/>
                <w:sz w:val="22"/>
                <w:szCs w:val="22"/>
                <w:lang w:eastAsia="en-US"/>
              </w:rPr>
              <w:t xml:space="preserve"> </w:t>
            </w:r>
          </w:p>
        </w:tc>
        <w:tc>
          <w:tcPr>
            <w:tcW w:w="2572" w:type="dxa"/>
            <w:tcBorders>
              <w:top w:val="single" w:sz="8" w:space="0" w:color="auto"/>
              <w:bottom w:val="nil"/>
            </w:tcBorders>
            <w:shd w:val="clear" w:color="auto" w:fill="FFFFFF"/>
          </w:tcPr>
          <w:p w14:paraId="2EB82767"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091" w:type="dxa"/>
            <w:tcBorders>
              <w:top w:val="single" w:sz="8" w:space="0" w:color="auto"/>
              <w:bottom w:val="nil"/>
            </w:tcBorders>
            <w:shd w:val="clear" w:color="auto" w:fill="FFFFFF"/>
            <w:vAlign w:val="center"/>
          </w:tcPr>
          <w:p w14:paraId="69CC595B"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2.4855</w:t>
            </w:r>
          </w:p>
        </w:tc>
        <w:tc>
          <w:tcPr>
            <w:tcW w:w="1137" w:type="dxa"/>
            <w:tcBorders>
              <w:top w:val="single" w:sz="8" w:space="0" w:color="auto"/>
              <w:bottom w:val="nil"/>
            </w:tcBorders>
            <w:shd w:val="clear" w:color="auto" w:fill="FFFFFF"/>
            <w:vAlign w:val="center"/>
          </w:tcPr>
          <w:p w14:paraId="5F8CE813"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.06213</w:t>
            </w:r>
          </w:p>
        </w:tc>
      </w:tr>
      <w:tr w:rsidR="007F558A" w:rsidRPr="00CF31E0" w14:paraId="38635083" w14:textId="77777777" w:rsidTr="000B4835">
        <w:trPr>
          <w:cantSplit/>
        </w:trPr>
        <w:tc>
          <w:tcPr>
            <w:tcW w:w="1092" w:type="dxa"/>
            <w:vMerge/>
            <w:tcBorders>
              <w:top w:val="nil"/>
            </w:tcBorders>
            <w:shd w:val="clear" w:color="auto" w:fill="FFFFFF"/>
          </w:tcPr>
          <w:p w14:paraId="6C609818"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1471" w:type="dxa"/>
            <w:tcBorders>
              <w:top w:val="nil"/>
            </w:tcBorders>
            <w:shd w:val="clear" w:color="auto" w:fill="FFFFFF"/>
          </w:tcPr>
          <w:p w14:paraId="50B7C11C" w14:textId="28B02EFB" w:rsidR="000B4835" w:rsidRPr="00CF31E0" w:rsidRDefault="0040042A" w:rsidP="000B4835">
            <w:pPr>
              <w:spacing w:before="120" w:after="120" w:line="360" w:lineRule="auto"/>
              <w:rPr>
                <w:rFonts w:eastAsia="Calibri" w:cs="Arial"/>
                <w:color w:val="000000" w:themeColor="text1"/>
                <w:sz w:val="22"/>
                <w:szCs w:val="22"/>
                <w:lang w:eastAsia="en-US"/>
              </w:rPr>
            </w:pPr>
            <w:r>
              <w:rPr>
                <w:rFonts w:eastAsia="Calibri" w:cs="Arial"/>
                <w:color w:val="000000" w:themeColor="text1"/>
                <w:sz w:val="22"/>
                <w:szCs w:val="22"/>
                <w:lang w:eastAsia="en-US"/>
              </w:rPr>
              <w:t>Male</w:t>
            </w:r>
            <w:r w:rsidR="000B4835" w:rsidRPr="00CF31E0">
              <w:rPr>
                <w:rFonts w:eastAsia="Calibri" w:cs="Arial"/>
                <w:color w:val="000000" w:themeColor="text1"/>
                <w:sz w:val="22"/>
                <w:szCs w:val="22"/>
                <w:lang w:eastAsia="en-US"/>
              </w:rPr>
              <w:t xml:space="preserve"> </w:t>
            </w:r>
          </w:p>
        </w:tc>
        <w:tc>
          <w:tcPr>
            <w:tcW w:w="2572" w:type="dxa"/>
            <w:tcBorders>
              <w:top w:val="nil"/>
            </w:tcBorders>
            <w:shd w:val="clear" w:color="auto" w:fill="FFFFFF"/>
          </w:tcPr>
          <w:p w14:paraId="34783AB2"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091" w:type="dxa"/>
            <w:tcBorders>
              <w:top w:val="nil"/>
            </w:tcBorders>
            <w:shd w:val="clear" w:color="auto" w:fill="FFFFFF"/>
            <w:vAlign w:val="center"/>
          </w:tcPr>
          <w:p w14:paraId="03708B3F"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2.2493</w:t>
            </w:r>
          </w:p>
        </w:tc>
        <w:tc>
          <w:tcPr>
            <w:tcW w:w="1137" w:type="dxa"/>
            <w:tcBorders>
              <w:top w:val="nil"/>
            </w:tcBorders>
            <w:shd w:val="clear" w:color="auto" w:fill="FFFFFF"/>
            <w:vAlign w:val="center"/>
          </w:tcPr>
          <w:p w14:paraId="0F9A956E"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.06237</w:t>
            </w:r>
          </w:p>
        </w:tc>
      </w:tr>
    </w:tbl>
    <w:p w14:paraId="55148A3B" w14:textId="6CEDF383" w:rsidR="000B4835" w:rsidRPr="00CF31E0" w:rsidRDefault="000B4835" w:rsidP="00E96074">
      <w:pPr>
        <w:pStyle w:val="Tablecaption"/>
        <w:rPr>
          <w:lang w:eastAsia="en-US"/>
        </w:rPr>
      </w:pPr>
      <w:bookmarkStart w:id="1141" w:name="_Toc522527546"/>
      <w:bookmarkStart w:id="1142" w:name="_Toc522628959"/>
      <w:bookmarkStart w:id="1143" w:name="_Toc522629123"/>
      <w:bookmarkStart w:id="1144" w:name="_Toc6473219"/>
      <w:r w:rsidRPr="00CF31E0">
        <w:rPr>
          <w:lang w:eastAsia="en-US"/>
        </w:rPr>
        <w:t xml:space="preserve">Table </w:t>
      </w:r>
      <w:r w:rsidR="00F231E2" w:rsidRPr="00CF31E0">
        <w:rPr>
          <w:lang w:eastAsia="en-US"/>
        </w:rPr>
        <w:t>11</w:t>
      </w:r>
      <w:r w:rsidR="007555C7" w:rsidRPr="00CF31E0">
        <w:rPr>
          <w:lang w:eastAsia="en-US"/>
        </w:rPr>
        <w:t>.</w:t>
      </w:r>
      <w:r w:rsidR="00F231E2" w:rsidRPr="00CF31E0">
        <w:rPr>
          <w:lang w:eastAsia="en-US"/>
        </w:rPr>
        <w:t>8</w:t>
      </w:r>
      <w:r w:rsidR="00BD0F2B" w:rsidRPr="00CF31E0">
        <w:rPr>
          <w:lang w:eastAsia="en-US"/>
        </w:rPr>
        <w:t>1</w:t>
      </w:r>
      <w:r w:rsidRPr="00CF31E0">
        <w:rPr>
          <w:lang w:eastAsia="en-US"/>
        </w:rPr>
        <w:t>: Descriptive statistics</w:t>
      </w:r>
      <w:r w:rsidR="00F44425">
        <w:rPr>
          <w:lang w:eastAsia="en-US"/>
        </w:rPr>
        <w:t xml:space="preserve"> for gender group demographic variable</w:t>
      </w:r>
      <w:r w:rsidRPr="00CF31E0">
        <w:rPr>
          <w:lang w:eastAsia="en-US"/>
        </w:rPr>
        <w:t>.</w:t>
      </w:r>
      <w:bookmarkEnd w:id="1141"/>
      <w:bookmarkEnd w:id="1142"/>
      <w:bookmarkEnd w:id="1143"/>
      <w:bookmarkEnd w:id="1144"/>
      <w:r w:rsidRPr="00CF31E0">
        <w:rPr>
          <w:lang w:eastAsia="en-US"/>
        </w:rPr>
        <w:t xml:space="preserve"> </w:t>
      </w:r>
    </w:p>
    <w:p w14:paraId="64E5EF99" w14:textId="614D2D0E" w:rsidR="000B4835" w:rsidRPr="00CF31E0" w:rsidRDefault="007C1798" w:rsidP="00603CB7">
      <w:pPr>
        <w:pStyle w:val="Paragraph"/>
        <w:rPr>
          <w:rFonts w:cs="Arial"/>
          <w:lang w:val="en-US" w:eastAsia="en-US"/>
        </w:rPr>
      </w:pPr>
      <w:r>
        <w:rPr>
          <w:lang w:eastAsia="en-US"/>
        </w:rPr>
        <w:t>Table 11.80 shows that the p value is .009 and t</w:t>
      </w:r>
      <w:r w:rsidR="000B4835" w:rsidRPr="00CF31E0">
        <w:rPr>
          <w:lang w:eastAsia="en-US"/>
        </w:rPr>
        <w:t xml:space="preserve">he post-hoc results presented in Table </w:t>
      </w:r>
      <w:r w:rsidR="00F231E2" w:rsidRPr="00CF31E0">
        <w:rPr>
          <w:lang w:eastAsia="en-US"/>
        </w:rPr>
        <w:t>11</w:t>
      </w:r>
      <w:r w:rsidR="00F442F9" w:rsidRPr="00CF31E0">
        <w:rPr>
          <w:lang w:eastAsia="en-US"/>
        </w:rPr>
        <w:t>.</w:t>
      </w:r>
      <w:r w:rsidR="00F231E2" w:rsidRPr="00CF31E0">
        <w:rPr>
          <w:lang w:eastAsia="en-US"/>
        </w:rPr>
        <w:t>8</w:t>
      </w:r>
      <w:r w:rsidR="00BD0F2B" w:rsidRPr="00CF31E0">
        <w:rPr>
          <w:lang w:eastAsia="en-US"/>
        </w:rPr>
        <w:t>1</w:t>
      </w:r>
      <w:r w:rsidR="00F231E2" w:rsidRPr="00CF31E0">
        <w:rPr>
          <w:lang w:eastAsia="en-US"/>
        </w:rPr>
        <w:t xml:space="preserve"> </w:t>
      </w:r>
      <w:r w:rsidR="000B4835" w:rsidRPr="00CF31E0">
        <w:rPr>
          <w:lang w:eastAsia="en-US"/>
        </w:rPr>
        <w:t xml:space="preserve">show that the female group rated the speaker’s voice as more modern than did the male group. </w:t>
      </w:r>
      <w:r w:rsidR="00FD7E98" w:rsidRPr="00CF31E0">
        <w:rPr>
          <w:rFonts w:cs="Arial"/>
          <w:lang w:val="en-US" w:eastAsia="en-US"/>
        </w:rPr>
        <w:t xml:space="preserve">See </w:t>
      </w:r>
      <w:r w:rsidR="003423CA" w:rsidRPr="00CF31E0">
        <w:rPr>
          <w:rFonts w:cs="Arial"/>
          <w:lang w:val="en-US" w:eastAsia="en-US"/>
        </w:rPr>
        <w:t xml:space="preserve">Tables </w:t>
      </w:r>
      <w:r w:rsidR="00F231E2" w:rsidRPr="00CF31E0">
        <w:rPr>
          <w:rFonts w:cs="Arial"/>
          <w:lang w:val="en-US" w:eastAsia="en-US"/>
        </w:rPr>
        <w:t>11</w:t>
      </w:r>
      <w:r w:rsidR="00FD7E98" w:rsidRPr="00CF31E0">
        <w:rPr>
          <w:rFonts w:cs="Arial"/>
          <w:lang w:val="en-US" w:eastAsia="en-US"/>
        </w:rPr>
        <w:t>.</w:t>
      </w:r>
      <w:r w:rsidR="00F231E2" w:rsidRPr="00CF31E0">
        <w:rPr>
          <w:rFonts w:cs="Arial"/>
          <w:lang w:val="en-US" w:eastAsia="en-US"/>
        </w:rPr>
        <w:t>8</w:t>
      </w:r>
      <w:r w:rsidR="00BD0F2B" w:rsidRPr="00CF31E0">
        <w:rPr>
          <w:rFonts w:cs="Arial"/>
          <w:lang w:val="en-US" w:eastAsia="en-US"/>
        </w:rPr>
        <w:t>2</w:t>
      </w:r>
      <w:r w:rsidR="00F231E2" w:rsidRPr="00CF31E0">
        <w:rPr>
          <w:rFonts w:cs="Arial"/>
          <w:lang w:val="en-US" w:eastAsia="en-US"/>
        </w:rPr>
        <w:t xml:space="preserve"> </w:t>
      </w:r>
      <w:r w:rsidR="00FD7E98" w:rsidRPr="00CF31E0">
        <w:rPr>
          <w:rFonts w:cs="Arial"/>
          <w:lang w:val="en-US" w:eastAsia="en-US"/>
        </w:rPr>
        <w:t xml:space="preserve">and </w:t>
      </w:r>
      <w:r w:rsidR="00F231E2" w:rsidRPr="00CF31E0">
        <w:rPr>
          <w:rFonts w:cs="Arial"/>
          <w:lang w:val="en-US" w:eastAsia="en-US"/>
        </w:rPr>
        <w:t>11</w:t>
      </w:r>
      <w:r w:rsidR="00FD7E98" w:rsidRPr="00CF31E0">
        <w:rPr>
          <w:rFonts w:cs="Arial"/>
          <w:lang w:val="en-US" w:eastAsia="en-US"/>
        </w:rPr>
        <w:t>.</w:t>
      </w:r>
      <w:r w:rsidR="00F231E2" w:rsidRPr="00CF31E0">
        <w:rPr>
          <w:rFonts w:cs="Arial"/>
          <w:lang w:val="en-US" w:eastAsia="en-US"/>
        </w:rPr>
        <w:t>8</w:t>
      </w:r>
      <w:r w:rsidR="00BD0F2B" w:rsidRPr="00CF31E0">
        <w:rPr>
          <w:rFonts w:cs="Arial"/>
          <w:lang w:val="en-US" w:eastAsia="en-US"/>
        </w:rPr>
        <w:t>3</w:t>
      </w:r>
      <w:r w:rsidR="00FD7E98" w:rsidRPr="00CF31E0">
        <w:rPr>
          <w:rFonts w:cs="Arial"/>
          <w:lang w:val="en-US" w:eastAsia="en-US"/>
        </w:rPr>
        <w:t xml:space="preserve"> for age results </w:t>
      </w:r>
      <w:r w:rsidR="003423CA" w:rsidRPr="00CF31E0">
        <w:rPr>
          <w:rFonts w:cs="Arial"/>
          <w:lang w:val="en-US" w:eastAsia="en-US"/>
        </w:rPr>
        <w:t>from</w:t>
      </w:r>
      <w:r w:rsidR="00FD7E98" w:rsidRPr="00CF31E0">
        <w:rPr>
          <w:rFonts w:cs="Arial"/>
          <w:lang w:val="en-US" w:eastAsia="en-US"/>
        </w:rPr>
        <w:t xml:space="preserve"> the data.</w:t>
      </w: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7F558A" w:rsidRPr="00CF31E0" w14:paraId="5D063B0A" w14:textId="77777777" w:rsidTr="00603CB7">
        <w:trPr>
          <w:cantSplit/>
        </w:trPr>
        <w:tc>
          <w:tcPr>
            <w:tcW w:w="1736" w:type="dxa"/>
            <w:tcBorders>
              <w:top w:val="single" w:sz="8" w:space="0" w:color="auto"/>
              <w:bottom w:val="single" w:sz="8" w:space="0" w:color="auto"/>
            </w:tcBorders>
            <w:shd w:val="clear" w:color="auto" w:fill="FFFFFF"/>
            <w:vAlign w:val="bottom"/>
          </w:tcPr>
          <w:p w14:paraId="12FAE364"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Age</w:t>
            </w:r>
          </w:p>
        </w:tc>
        <w:tc>
          <w:tcPr>
            <w:tcW w:w="1686" w:type="dxa"/>
            <w:tcBorders>
              <w:top w:val="single" w:sz="8" w:space="0" w:color="auto"/>
              <w:bottom w:val="single" w:sz="8" w:space="0" w:color="auto"/>
            </w:tcBorders>
            <w:shd w:val="clear" w:color="auto" w:fill="FFFFFF"/>
            <w:vAlign w:val="bottom"/>
          </w:tcPr>
          <w:p w14:paraId="3DF22A8D"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8" w:space="0" w:color="auto"/>
            </w:tcBorders>
            <w:shd w:val="clear" w:color="auto" w:fill="FFFFFF"/>
            <w:vAlign w:val="bottom"/>
          </w:tcPr>
          <w:p w14:paraId="0E57380B"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8" w:space="0" w:color="auto"/>
            </w:tcBorders>
            <w:shd w:val="clear" w:color="auto" w:fill="FFFFFF"/>
            <w:vAlign w:val="bottom"/>
          </w:tcPr>
          <w:p w14:paraId="430DC926"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8" w:space="0" w:color="auto"/>
            </w:tcBorders>
            <w:shd w:val="clear" w:color="auto" w:fill="FFFFFF"/>
            <w:vAlign w:val="bottom"/>
          </w:tcPr>
          <w:p w14:paraId="02EA97C4"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8" w:space="0" w:color="auto"/>
            </w:tcBorders>
            <w:shd w:val="clear" w:color="auto" w:fill="FFFFFF"/>
            <w:vAlign w:val="bottom"/>
          </w:tcPr>
          <w:p w14:paraId="7CCCEF53"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F558A" w:rsidRPr="00CF31E0" w14:paraId="3DBE7DAC" w14:textId="77777777" w:rsidTr="00603CB7">
        <w:trPr>
          <w:cantSplit/>
          <w:trHeight w:val="658"/>
        </w:trPr>
        <w:tc>
          <w:tcPr>
            <w:tcW w:w="1736" w:type="dxa"/>
            <w:tcBorders>
              <w:top w:val="single" w:sz="8" w:space="0" w:color="auto"/>
              <w:bottom w:val="nil"/>
            </w:tcBorders>
            <w:shd w:val="clear" w:color="auto" w:fill="FFFFFF"/>
          </w:tcPr>
          <w:p w14:paraId="5313D103"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8" w:space="0" w:color="auto"/>
              <w:bottom w:val="nil"/>
            </w:tcBorders>
            <w:shd w:val="clear" w:color="auto" w:fill="FFFFFF"/>
            <w:vAlign w:val="center"/>
          </w:tcPr>
          <w:p w14:paraId="3A464CE3"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20.623</w:t>
            </w:r>
          </w:p>
        </w:tc>
        <w:tc>
          <w:tcPr>
            <w:tcW w:w="820" w:type="dxa"/>
            <w:tcBorders>
              <w:top w:val="single" w:sz="8" w:space="0" w:color="auto"/>
              <w:bottom w:val="nil"/>
            </w:tcBorders>
            <w:shd w:val="clear" w:color="auto" w:fill="FFFFFF"/>
            <w:vAlign w:val="center"/>
          </w:tcPr>
          <w:p w14:paraId="3600706A"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5</w:t>
            </w:r>
          </w:p>
        </w:tc>
        <w:tc>
          <w:tcPr>
            <w:tcW w:w="1445" w:type="dxa"/>
            <w:tcBorders>
              <w:top w:val="single" w:sz="8" w:space="0" w:color="auto"/>
              <w:bottom w:val="nil"/>
            </w:tcBorders>
            <w:shd w:val="clear" w:color="auto" w:fill="FFFFFF"/>
            <w:vAlign w:val="center"/>
          </w:tcPr>
          <w:p w14:paraId="49E56514"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4.125</w:t>
            </w:r>
          </w:p>
        </w:tc>
        <w:tc>
          <w:tcPr>
            <w:tcW w:w="1030" w:type="dxa"/>
            <w:tcBorders>
              <w:top w:val="single" w:sz="8" w:space="0" w:color="auto"/>
              <w:bottom w:val="nil"/>
            </w:tcBorders>
            <w:shd w:val="clear" w:color="auto" w:fill="FFFFFF"/>
            <w:vAlign w:val="center"/>
          </w:tcPr>
          <w:p w14:paraId="0063908D"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3.228</w:t>
            </w:r>
          </w:p>
        </w:tc>
        <w:tc>
          <w:tcPr>
            <w:tcW w:w="674" w:type="dxa"/>
            <w:tcBorders>
              <w:top w:val="single" w:sz="8" w:space="0" w:color="auto"/>
              <w:bottom w:val="nil"/>
            </w:tcBorders>
            <w:shd w:val="clear" w:color="auto" w:fill="FFFFFF"/>
            <w:vAlign w:val="center"/>
          </w:tcPr>
          <w:p w14:paraId="06AD345D"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.007</w:t>
            </w:r>
          </w:p>
        </w:tc>
      </w:tr>
      <w:tr w:rsidR="007F558A" w:rsidRPr="00CF31E0" w14:paraId="0FFFA94B" w14:textId="77777777" w:rsidTr="00603CB7">
        <w:trPr>
          <w:cantSplit/>
        </w:trPr>
        <w:tc>
          <w:tcPr>
            <w:tcW w:w="1736" w:type="dxa"/>
            <w:tcBorders>
              <w:top w:val="nil"/>
            </w:tcBorders>
            <w:shd w:val="clear" w:color="auto" w:fill="FFFFFF"/>
          </w:tcPr>
          <w:p w14:paraId="4FE805F1"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1338D0A3"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819.030</w:t>
            </w:r>
          </w:p>
        </w:tc>
        <w:tc>
          <w:tcPr>
            <w:tcW w:w="820" w:type="dxa"/>
            <w:tcBorders>
              <w:top w:val="nil"/>
            </w:tcBorders>
            <w:shd w:val="clear" w:color="auto" w:fill="FFFFFF"/>
            <w:vAlign w:val="center"/>
          </w:tcPr>
          <w:p w14:paraId="05A8A7C7"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644</w:t>
            </w:r>
          </w:p>
        </w:tc>
        <w:tc>
          <w:tcPr>
            <w:tcW w:w="1445" w:type="dxa"/>
            <w:tcBorders>
              <w:top w:val="nil"/>
            </w:tcBorders>
            <w:shd w:val="clear" w:color="auto" w:fill="FFFFFF"/>
            <w:vAlign w:val="center"/>
          </w:tcPr>
          <w:p w14:paraId="3239375D"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1.278</w:t>
            </w:r>
          </w:p>
        </w:tc>
        <w:tc>
          <w:tcPr>
            <w:tcW w:w="1030" w:type="dxa"/>
            <w:tcBorders>
              <w:top w:val="nil"/>
            </w:tcBorders>
            <w:shd w:val="clear" w:color="auto" w:fill="FFFFFF"/>
            <w:vAlign w:val="center"/>
          </w:tcPr>
          <w:p w14:paraId="580DBBDB"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674" w:type="dxa"/>
            <w:tcBorders>
              <w:top w:val="nil"/>
            </w:tcBorders>
            <w:shd w:val="clear" w:color="auto" w:fill="FFFFFF"/>
            <w:vAlign w:val="center"/>
          </w:tcPr>
          <w:p w14:paraId="21ECAEEE"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r>
      <w:tr w:rsidR="007F558A" w:rsidRPr="00CF31E0" w14:paraId="0101E32F" w14:textId="77777777" w:rsidTr="00603CB7">
        <w:trPr>
          <w:cantSplit/>
        </w:trPr>
        <w:tc>
          <w:tcPr>
            <w:tcW w:w="1736" w:type="dxa"/>
            <w:shd w:val="clear" w:color="auto" w:fill="FFFFFF"/>
          </w:tcPr>
          <w:p w14:paraId="5E0E6B00"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6A2BC726"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839.654</w:t>
            </w:r>
          </w:p>
        </w:tc>
        <w:tc>
          <w:tcPr>
            <w:tcW w:w="820" w:type="dxa"/>
            <w:shd w:val="clear" w:color="auto" w:fill="FFFFFF"/>
            <w:vAlign w:val="center"/>
          </w:tcPr>
          <w:p w14:paraId="2C83E914"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649</w:t>
            </w:r>
          </w:p>
        </w:tc>
        <w:tc>
          <w:tcPr>
            <w:tcW w:w="1445" w:type="dxa"/>
            <w:shd w:val="clear" w:color="auto" w:fill="FFFFFF"/>
            <w:vAlign w:val="center"/>
          </w:tcPr>
          <w:p w14:paraId="5B9169CC"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1030" w:type="dxa"/>
            <w:shd w:val="clear" w:color="auto" w:fill="FFFFFF"/>
            <w:vAlign w:val="center"/>
          </w:tcPr>
          <w:p w14:paraId="7494A686"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674" w:type="dxa"/>
            <w:shd w:val="clear" w:color="auto" w:fill="FFFFFF"/>
            <w:vAlign w:val="center"/>
          </w:tcPr>
          <w:p w14:paraId="05C566B5"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r>
    </w:tbl>
    <w:p w14:paraId="407522BE" w14:textId="28165133" w:rsidR="000B4835" w:rsidRPr="00CF31E0" w:rsidRDefault="000B4835" w:rsidP="00603CB7">
      <w:pPr>
        <w:pStyle w:val="Tablecaption"/>
        <w:spacing w:after="400"/>
        <w:rPr>
          <w:lang w:eastAsia="en-US"/>
        </w:rPr>
      </w:pPr>
      <w:bookmarkStart w:id="1145" w:name="_Toc522527547"/>
      <w:bookmarkStart w:id="1146" w:name="_Toc522628960"/>
      <w:bookmarkStart w:id="1147" w:name="_Toc522629124"/>
      <w:bookmarkStart w:id="1148" w:name="_Toc6473220"/>
      <w:r w:rsidRPr="00CF31E0">
        <w:rPr>
          <w:lang w:eastAsia="en-US"/>
        </w:rPr>
        <w:t xml:space="preserve">Table </w:t>
      </w:r>
      <w:r w:rsidR="00F231E2" w:rsidRPr="00CF31E0">
        <w:rPr>
          <w:lang w:eastAsia="en-US"/>
        </w:rPr>
        <w:t>11</w:t>
      </w:r>
      <w:r w:rsidR="00F442F9" w:rsidRPr="00CF31E0">
        <w:rPr>
          <w:lang w:eastAsia="en-US"/>
        </w:rPr>
        <w:t>.</w:t>
      </w:r>
      <w:r w:rsidR="00F231E2" w:rsidRPr="00CF31E0">
        <w:rPr>
          <w:lang w:eastAsia="en-US"/>
        </w:rPr>
        <w:t>8</w:t>
      </w:r>
      <w:r w:rsidR="00BD0F2B" w:rsidRPr="00CF31E0">
        <w:rPr>
          <w:lang w:eastAsia="en-US"/>
        </w:rPr>
        <w:t>2</w:t>
      </w:r>
      <w:r w:rsidRPr="00CF31E0">
        <w:rPr>
          <w:lang w:eastAsia="en-US"/>
        </w:rPr>
        <w:t>: ANOVA statistics for age demographic variable.</w:t>
      </w:r>
      <w:bookmarkEnd w:id="1145"/>
      <w:bookmarkEnd w:id="1146"/>
      <w:bookmarkEnd w:id="1147"/>
      <w:bookmarkEnd w:id="1148"/>
      <w:r w:rsidRPr="00CF31E0">
        <w:rPr>
          <w:lang w:eastAsia="en-US"/>
        </w:rPr>
        <w:t xml:space="preserve"> </w:t>
      </w:r>
    </w:p>
    <w:p w14:paraId="238E95AF" w14:textId="77777777" w:rsidR="00AF5385" w:rsidRPr="00CF31E0" w:rsidRDefault="00AF5385" w:rsidP="00603CB7">
      <w:pPr>
        <w:pStyle w:val="Tablecaption"/>
        <w:spacing w:after="400"/>
        <w:rPr>
          <w:lang w:eastAsia="en-US"/>
        </w:rPr>
      </w:pPr>
    </w:p>
    <w:tbl>
      <w:tblPr>
        <w:tblW w:w="7362" w:type="dxa"/>
        <w:tblInd w:w="-20" w:type="dxa"/>
        <w:tblLayout w:type="fixed"/>
        <w:tblCellMar>
          <w:left w:w="0" w:type="dxa"/>
          <w:right w:w="0" w:type="dxa"/>
        </w:tblCellMar>
        <w:tblLook w:val="0000" w:firstRow="0" w:lastRow="0" w:firstColumn="0" w:lastColumn="0" w:noHBand="0" w:noVBand="0"/>
      </w:tblPr>
      <w:tblGrid>
        <w:gridCol w:w="1145"/>
        <w:gridCol w:w="1296"/>
        <w:gridCol w:w="1843"/>
        <w:gridCol w:w="1276"/>
        <w:gridCol w:w="1802"/>
      </w:tblGrid>
      <w:tr w:rsidR="00AF5385" w:rsidRPr="00CF31E0" w14:paraId="66F11A5A" w14:textId="77777777" w:rsidTr="004F45D7">
        <w:trPr>
          <w:cantSplit/>
        </w:trPr>
        <w:tc>
          <w:tcPr>
            <w:tcW w:w="1145" w:type="dxa"/>
            <w:tcBorders>
              <w:top w:val="single" w:sz="8" w:space="0" w:color="auto"/>
              <w:bottom w:val="single" w:sz="8" w:space="0" w:color="auto"/>
            </w:tcBorders>
            <w:shd w:val="clear" w:color="auto" w:fill="FFFFFF"/>
          </w:tcPr>
          <w:p w14:paraId="18BE9221" w14:textId="685196E9" w:rsidR="00AF5385" w:rsidRPr="00CF31E0" w:rsidRDefault="00AF5385" w:rsidP="00232F36">
            <w:pPr>
              <w:spacing w:before="120" w:after="120"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Age</w:t>
            </w:r>
          </w:p>
        </w:tc>
        <w:tc>
          <w:tcPr>
            <w:tcW w:w="1296" w:type="dxa"/>
            <w:tcBorders>
              <w:top w:val="single" w:sz="8" w:space="0" w:color="auto"/>
              <w:bottom w:val="single" w:sz="8" w:space="0" w:color="auto"/>
            </w:tcBorders>
            <w:shd w:val="clear" w:color="auto" w:fill="FFFFFF"/>
          </w:tcPr>
          <w:p w14:paraId="61F8AC51" w14:textId="0577C7D5" w:rsidR="00AF5385" w:rsidRPr="00CF31E0" w:rsidRDefault="00AF5385" w:rsidP="00232F36">
            <w:pPr>
              <w:spacing w:before="120" w:after="120"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Age</w:t>
            </w:r>
          </w:p>
        </w:tc>
        <w:tc>
          <w:tcPr>
            <w:tcW w:w="1843" w:type="dxa"/>
            <w:tcBorders>
              <w:top w:val="single" w:sz="8" w:space="0" w:color="auto"/>
              <w:bottom w:val="single" w:sz="8" w:space="0" w:color="auto"/>
            </w:tcBorders>
            <w:shd w:val="clear" w:color="auto" w:fill="FFFFFF"/>
            <w:vAlign w:val="center"/>
          </w:tcPr>
          <w:p w14:paraId="1BF77F56" w14:textId="2E4813C6" w:rsidR="00AF5385" w:rsidRPr="00CF31E0" w:rsidRDefault="00AF5385" w:rsidP="00232F36">
            <w:pPr>
              <w:spacing w:before="120" w:after="120"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Mean Difference</w:t>
            </w:r>
          </w:p>
        </w:tc>
        <w:tc>
          <w:tcPr>
            <w:tcW w:w="1276" w:type="dxa"/>
            <w:tcBorders>
              <w:top w:val="single" w:sz="8" w:space="0" w:color="auto"/>
              <w:bottom w:val="single" w:sz="8" w:space="0" w:color="auto"/>
            </w:tcBorders>
            <w:shd w:val="clear" w:color="auto" w:fill="FFFFFF"/>
            <w:vAlign w:val="center"/>
          </w:tcPr>
          <w:p w14:paraId="00DCCCE7" w14:textId="7A35AC5C" w:rsidR="00AF5385" w:rsidRPr="00CF31E0" w:rsidRDefault="00AF5385" w:rsidP="00232F36">
            <w:pPr>
              <w:spacing w:before="120" w:after="120"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Std. Error</w:t>
            </w:r>
          </w:p>
        </w:tc>
        <w:tc>
          <w:tcPr>
            <w:tcW w:w="1802" w:type="dxa"/>
            <w:tcBorders>
              <w:top w:val="single" w:sz="8" w:space="0" w:color="auto"/>
              <w:bottom w:val="single" w:sz="8" w:space="0" w:color="auto"/>
            </w:tcBorders>
            <w:shd w:val="clear" w:color="auto" w:fill="FFFFFF"/>
            <w:vAlign w:val="center"/>
          </w:tcPr>
          <w:p w14:paraId="31AD7869" w14:textId="2E45DDED" w:rsidR="00AF5385" w:rsidRPr="00CF31E0" w:rsidRDefault="00AF5385" w:rsidP="00232F36">
            <w:pPr>
              <w:spacing w:before="120" w:after="120"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Sig.</w:t>
            </w:r>
          </w:p>
        </w:tc>
      </w:tr>
      <w:tr w:rsidR="00232F36" w:rsidRPr="00CF31E0" w14:paraId="3ACDA14C" w14:textId="77777777" w:rsidTr="004F45D7">
        <w:trPr>
          <w:cantSplit/>
        </w:trPr>
        <w:tc>
          <w:tcPr>
            <w:tcW w:w="1145" w:type="dxa"/>
            <w:tcBorders>
              <w:top w:val="single" w:sz="8" w:space="0" w:color="auto"/>
              <w:bottom w:val="single" w:sz="8" w:space="0" w:color="auto"/>
            </w:tcBorders>
            <w:shd w:val="clear" w:color="auto" w:fill="FFFFFF"/>
          </w:tcPr>
          <w:p w14:paraId="0EBB75A3" w14:textId="77777777" w:rsidR="00232F36" w:rsidRPr="00CF31E0" w:rsidRDefault="00232F36" w:rsidP="00232F36">
            <w:pPr>
              <w:spacing w:before="120" w:after="120"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18-24</w:t>
            </w:r>
          </w:p>
        </w:tc>
        <w:tc>
          <w:tcPr>
            <w:tcW w:w="1296" w:type="dxa"/>
            <w:tcBorders>
              <w:top w:val="single" w:sz="8" w:space="0" w:color="auto"/>
              <w:bottom w:val="single" w:sz="8" w:space="0" w:color="auto"/>
            </w:tcBorders>
            <w:shd w:val="clear" w:color="auto" w:fill="FFFFFF"/>
          </w:tcPr>
          <w:p w14:paraId="489CA117" w14:textId="77777777" w:rsidR="00232F36" w:rsidRPr="00CF31E0" w:rsidRDefault="00232F36" w:rsidP="00232F36">
            <w:pPr>
              <w:spacing w:before="120" w:after="120"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35-44</w:t>
            </w:r>
          </w:p>
        </w:tc>
        <w:tc>
          <w:tcPr>
            <w:tcW w:w="1843" w:type="dxa"/>
            <w:tcBorders>
              <w:top w:val="single" w:sz="8" w:space="0" w:color="auto"/>
              <w:bottom w:val="single" w:sz="8" w:space="0" w:color="auto"/>
            </w:tcBorders>
            <w:shd w:val="clear" w:color="auto" w:fill="FFFFFF"/>
            <w:vAlign w:val="center"/>
          </w:tcPr>
          <w:p w14:paraId="3BDCD602" w14:textId="77777777" w:rsidR="00232F36" w:rsidRPr="00CF31E0" w:rsidRDefault="00232F36" w:rsidP="00232F36">
            <w:pPr>
              <w:spacing w:before="120" w:after="120"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-.34840</w:t>
            </w:r>
            <w:r w:rsidRPr="00CF31E0">
              <w:rPr>
                <w:rFonts w:eastAsia="Calibri"/>
                <w:color w:val="000000" w:themeColor="text1"/>
                <w:sz w:val="22"/>
                <w:szCs w:val="22"/>
                <w:vertAlign w:val="superscript"/>
                <w:lang w:eastAsia="en-US"/>
              </w:rPr>
              <w:t>*</w:t>
            </w:r>
          </w:p>
        </w:tc>
        <w:tc>
          <w:tcPr>
            <w:tcW w:w="1276" w:type="dxa"/>
            <w:tcBorders>
              <w:top w:val="single" w:sz="8" w:space="0" w:color="auto"/>
              <w:bottom w:val="single" w:sz="8" w:space="0" w:color="auto"/>
            </w:tcBorders>
            <w:shd w:val="clear" w:color="auto" w:fill="FFFFFF"/>
            <w:vAlign w:val="center"/>
          </w:tcPr>
          <w:p w14:paraId="220ADEB9" w14:textId="77777777" w:rsidR="00232F36" w:rsidRPr="00CF31E0" w:rsidRDefault="00232F36" w:rsidP="00232F36">
            <w:pPr>
              <w:spacing w:before="120" w:after="120"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.11820</w:t>
            </w:r>
          </w:p>
        </w:tc>
        <w:tc>
          <w:tcPr>
            <w:tcW w:w="1802" w:type="dxa"/>
            <w:tcBorders>
              <w:top w:val="single" w:sz="8" w:space="0" w:color="auto"/>
              <w:bottom w:val="single" w:sz="8" w:space="0" w:color="auto"/>
            </w:tcBorders>
            <w:shd w:val="clear" w:color="auto" w:fill="FFFFFF"/>
            <w:vAlign w:val="center"/>
          </w:tcPr>
          <w:p w14:paraId="160F2A70" w14:textId="77777777" w:rsidR="00232F36" w:rsidRPr="00CF31E0" w:rsidRDefault="00232F36" w:rsidP="00232F36">
            <w:pPr>
              <w:spacing w:before="120" w:after="120" w:line="320" w:lineRule="atLeast"/>
              <w:ind w:left="60" w:right="60"/>
              <w:rPr>
                <w:rFonts w:eastAsia="Calibri"/>
                <w:color w:val="000000" w:themeColor="text1"/>
                <w:sz w:val="22"/>
                <w:szCs w:val="22"/>
                <w:lang w:eastAsia="en-US"/>
              </w:rPr>
            </w:pPr>
            <w:r w:rsidRPr="00CF31E0">
              <w:rPr>
                <w:rFonts w:eastAsia="Calibri"/>
                <w:color w:val="000000" w:themeColor="text1"/>
                <w:sz w:val="22"/>
                <w:szCs w:val="22"/>
                <w:lang w:eastAsia="en-US"/>
              </w:rPr>
              <w:t>.039</w:t>
            </w:r>
          </w:p>
        </w:tc>
      </w:tr>
    </w:tbl>
    <w:p w14:paraId="7DB1A889" w14:textId="577A196A" w:rsidR="000B4835" w:rsidRPr="00CF31E0" w:rsidRDefault="000B4835" w:rsidP="00E96074">
      <w:pPr>
        <w:pStyle w:val="Tablecaption"/>
      </w:pPr>
      <w:bookmarkStart w:id="1149" w:name="_Toc522527548"/>
      <w:bookmarkStart w:id="1150" w:name="_Toc522628961"/>
      <w:bookmarkStart w:id="1151" w:name="_Toc522629125"/>
      <w:bookmarkStart w:id="1152" w:name="_Toc6473221"/>
      <w:r w:rsidRPr="00CF31E0">
        <w:t xml:space="preserve">Table </w:t>
      </w:r>
      <w:r w:rsidR="00F231E2" w:rsidRPr="00CF31E0">
        <w:t>11</w:t>
      </w:r>
      <w:r w:rsidR="00F442F9" w:rsidRPr="00CF31E0">
        <w:t>.</w:t>
      </w:r>
      <w:r w:rsidR="00F231E2" w:rsidRPr="00CF31E0">
        <w:t>8</w:t>
      </w:r>
      <w:r w:rsidR="00BD0F2B" w:rsidRPr="00CF31E0">
        <w:t>3</w:t>
      </w:r>
      <w:r w:rsidRPr="00CF31E0">
        <w:t>: Post-hoc statistics for age groups.</w:t>
      </w:r>
      <w:bookmarkEnd w:id="1149"/>
      <w:bookmarkEnd w:id="1150"/>
      <w:bookmarkEnd w:id="1151"/>
      <w:bookmarkEnd w:id="1152"/>
      <w:r w:rsidRPr="00CF31E0">
        <w:t xml:space="preserve"> </w:t>
      </w:r>
    </w:p>
    <w:p w14:paraId="2416FC60" w14:textId="16486BB9" w:rsidR="000B4835" w:rsidRPr="00CF31E0" w:rsidRDefault="000B4835" w:rsidP="00603CB7">
      <w:pPr>
        <w:pStyle w:val="Paragraph"/>
      </w:pPr>
      <w:r w:rsidRPr="00CF31E0">
        <w:t xml:space="preserve">Two age groups differed statistically from each other in their ratings on the modern scale for VS4. Table </w:t>
      </w:r>
      <w:r w:rsidR="00F231E2" w:rsidRPr="00CF31E0">
        <w:t>11</w:t>
      </w:r>
      <w:r w:rsidR="00F442F9" w:rsidRPr="00CF31E0">
        <w:t>.</w:t>
      </w:r>
      <w:r w:rsidR="00F231E2" w:rsidRPr="00CF31E0">
        <w:t>8</w:t>
      </w:r>
      <w:r w:rsidR="00BD0F2B" w:rsidRPr="00CF31E0">
        <w:t>2</w:t>
      </w:r>
      <w:r w:rsidR="00F231E2" w:rsidRPr="00CF31E0">
        <w:t xml:space="preserve"> </w:t>
      </w:r>
      <w:r w:rsidRPr="00CF31E0">
        <w:t xml:space="preserve">shows that the p value is .007, while the post-hoc test results in Table </w:t>
      </w:r>
      <w:r w:rsidR="00F231E2" w:rsidRPr="00CF31E0">
        <w:t>11</w:t>
      </w:r>
      <w:r w:rsidR="00F442F9" w:rsidRPr="00CF31E0">
        <w:t>.</w:t>
      </w:r>
      <w:r w:rsidR="00F231E2" w:rsidRPr="00CF31E0">
        <w:t>8</w:t>
      </w:r>
      <w:r w:rsidR="00BD0F2B" w:rsidRPr="00CF31E0">
        <w:t>3</w:t>
      </w:r>
      <w:r w:rsidR="00F231E2" w:rsidRPr="00CF31E0">
        <w:t xml:space="preserve"> </w:t>
      </w:r>
      <w:r w:rsidRPr="00CF31E0">
        <w:t xml:space="preserve">show that the 18-24 age group rated the voice higher on the modern scale than did the 35-44 age group. </w:t>
      </w:r>
    </w:p>
    <w:p w14:paraId="4E6F2449" w14:textId="44EFBC47" w:rsidR="000B4835" w:rsidRPr="00CF31E0" w:rsidRDefault="006F0C71" w:rsidP="0041475C">
      <w:pPr>
        <w:pStyle w:val="Bhead"/>
      </w:pPr>
      <w:bookmarkStart w:id="1153" w:name="_Toc6472812"/>
      <w:r w:rsidRPr="00CF31E0">
        <w:t>11</w:t>
      </w:r>
      <w:r w:rsidR="000B4835" w:rsidRPr="00CF31E0">
        <w:t>.3.</w:t>
      </w:r>
      <w:r w:rsidR="0041475C" w:rsidRPr="00CF31E0">
        <w:t>10</w:t>
      </w:r>
      <w:r w:rsidR="000B4835" w:rsidRPr="00CF31E0">
        <w:t>.</w:t>
      </w:r>
      <w:r w:rsidR="003F4912" w:rsidRPr="00CF31E0">
        <w:tab/>
      </w:r>
      <w:r w:rsidR="000B4835" w:rsidRPr="00CF31E0">
        <w:t>Rating task results for voice sample 5</w:t>
      </w:r>
      <w:bookmarkEnd w:id="1153"/>
    </w:p>
    <w:p w14:paraId="0564F3A1" w14:textId="3C16D89E" w:rsidR="000B4835" w:rsidRPr="00CF31E0" w:rsidRDefault="000B4835" w:rsidP="00603CB7">
      <w:pPr>
        <w:pStyle w:val="Paragraph"/>
        <w:rPr>
          <w:lang w:eastAsia="en-US"/>
        </w:rPr>
      </w:pPr>
      <w:r w:rsidRPr="00CF31E0">
        <w:rPr>
          <w:lang w:eastAsia="en-US"/>
        </w:rPr>
        <w:t xml:space="preserve">Results revealed that this voice sample was rated as highly </w:t>
      </w:r>
      <w:r w:rsidRPr="00CF31E0">
        <w:rPr>
          <w:i/>
          <w:iCs/>
          <w:lang w:eastAsia="en-US"/>
        </w:rPr>
        <w:t xml:space="preserve">serious </w:t>
      </w:r>
      <w:r w:rsidRPr="00CF31E0">
        <w:rPr>
          <w:lang w:eastAsia="en-US"/>
        </w:rPr>
        <w:t xml:space="preserve">by the </w:t>
      </w:r>
      <w:r w:rsidR="0059652A" w:rsidRPr="00CF31E0">
        <w:rPr>
          <w:lang w:eastAsia="en-US"/>
        </w:rPr>
        <w:t>UBH</w:t>
      </w:r>
      <w:r w:rsidRPr="00CF31E0">
        <w:rPr>
          <w:lang w:eastAsia="en-US"/>
        </w:rPr>
        <w:t xml:space="preserve"> social group and as moderately </w:t>
      </w:r>
      <w:r w:rsidRPr="00CF31E0">
        <w:rPr>
          <w:i/>
          <w:iCs/>
          <w:lang w:eastAsia="en-US"/>
        </w:rPr>
        <w:t>similar to other Arabic dialects</w:t>
      </w:r>
      <w:r w:rsidRPr="00CF31E0">
        <w:rPr>
          <w:lang w:eastAsia="en-US"/>
        </w:rPr>
        <w:t xml:space="preserve">, </w:t>
      </w:r>
      <w:r w:rsidRPr="00CF31E0">
        <w:rPr>
          <w:i/>
          <w:iCs/>
          <w:lang w:eastAsia="en-US"/>
        </w:rPr>
        <w:t>traditional</w:t>
      </w:r>
      <w:r w:rsidRPr="00CF31E0">
        <w:rPr>
          <w:lang w:eastAsia="en-US"/>
        </w:rPr>
        <w:t>, and</w:t>
      </w:r>
      <w:r w:rsidRPr="00CF31E0">
        <w:rPr>
          <w:i/>
          <w:iCs/>
          <w:lang w:eastAsia="en-US"/>
        </w:rPr>
        <w:t xml:space="preserve"> modern </w:t>
      </w:r>
      <w:r w:rsidRPr="00CF31E0">
        <w:rPr>
          <w:lang w:eastAsia="en-US"/>
        </w:rPr>
        <w:t xml:space="preserve">by all participants; see Figure </w:t>
      </w:r>
      <w:r w:rsidR="006F0C71" w:rsidRPr="00CF31E0">
        <w:rPr>
          <w:lang w:eastAsia="en-US"/>
        </w:rPr>
        <w:t>11</w:t>
      </w:r>
      <w:r w:rsidR="00F442F9" w:rsidRPr="00CF31E0">
        <w:rPr>
          <w:lang w:eastAsia="en-US"/>
        </w:rPr>
        <w:t>.12</w:t>
      </w:r>
      <w:r w:rsidRPr="00CF31E0">
        <w:rPr>
          <w:lang w:eastAsia="en-US"/>
        </w:rPr>
        <w:t xml:space="preserve">. </w:t>
      </w:r>
    </w:p>
    <w:p w14:paraId="0CE32682" w14:textId="77777777" w:rsidR="000B4835" w:rsidRPr="00CF31E0" w:rsidRDefault="000B4835" w:rsidP="000B4835">
      <w:pPr>
        <w:spacing w:before="120" w:after="120" w:line="360" w:lineRule="auto"/>
        <w:jc w:val="both"/>
        <w:rPr>
          <w:rFonts w:eastAsia="Calibri" w:cs="Arial"/>
          <w:color w:val="000000" w:themeColor="text1"/>
          <w:lang w:eastAsia="en-US"/>
        </w:rPr>
      </w:pPr>
      <w:r w:rsidRPr="00CF31E0">
        <w:rPr>
          <w:rFonts w:eastAsia="Calibri" w:cs="Arial"/>
          <w:noProof/>
          <w:color w:val="000000" w:themeColor="text1"/>
        </w:rPr>
        <w:drawing>
          <wp:inline distT="0" distB="0" distL="0" distR="0" wp14:anchorId="51577148" wp14:editId="22A1BBC9">
            <wp:extent cx="5276560" cy="3306689"/>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84394" cy="3311598"/>
                    </a:xfrm>
                    <a:prstGeom prst="rect">
                      <a:avLst/>
                    </a:prstGeom>
                  </pic:spPr>
                </pic:pic>
              </a:graphicData>
            </a:graphic>
          </wp:inline>
        </w:drawing>
      </w:r>
    </w:p>
    <w:p w14:paraId="0148F37E" w14:textId="538103A8" w:rsidR="000B4835" w:rsidRPr="00CF31E0" w:rsidRDefault="000B4835" w:rsidP="006F0C71">
      <w:pPr>
        <w:pStyle w:val="Figurecaption"/>
        <w:rPr>
          <w:rFonts w:eastAsia="Calibri"/>
          <w:color w:val="000000" w:themeColor="text1"/>
        </w:rPr>
      </w:pPr>
      <w:r w:rsidRPr="00CF31E0">
        <w:rPr>
          <w:rFonts w:eastAsia="Calibri"/>
          <w:color w:val="000000" w:themeColor="text1"/>
        </w:rPr>
        <w:t xml:space="preserve">Figure </w:t>
      </w:r>
      <w:r w:rsidR="006F0C71" w:rsidRPr="00CF31E0">
        <w:rPr>
          <w:rFonts w:eastAsia="Calibri"/>
          <w:color w:val="000000" w:themeColor="text1"/>
        </w:rPr>
        <w:t>11</w:t>
      </w:r>
      <w:r w:rsidR="00996823" w:rsidRPr="00CF31E0">
        <w:rPr>
          <w:rFonts w:eastAsia="Calibri"/>
          <w:color w:val="000000" w:themeColor="text1"/>
        </w:rPr>
        <w:t>.12</w:t>
      </w:r>
      <w:r w:rsidRPr="00CF31E0">
        <w:rPr>
          <w:rFonts w:eastAsia="Calibri"/>
          <w:color w:val="000000" w:themeColor="text1"/>
        </w:rPr>
        <w:t>: Distribution of scores of the observed characteristics for VS5.</w:t>
      </w:r>
    </w:p>
    <w:p w14:paraId="4D2AF9A7" w14:textId="17763134" w:rsidR="000B4835" w:rsidRPr="00CF31E0" w:rsidRDefault="000B4835" w:rsidP="00603CB7">
      <w:pPr>
        <w:pStyle w:val="Paragraph"/>
        <w:rPr>
          <w:lang w:eastAsia="en-US"/>
        </w:rPr>
      </w:pPr>
      <w:r w:rsidRPr="00CF31E0">
        <w:rPr>
          <w:lang w:eastAsia="en-US"/>
        </w:rPr>
        <w:t xml:space="preserve">Figure </w:t>
      </w:r>
      <w:r w:rsidR="006F0C71" w:rsidRPr="00CF31E0">
        <w:rPr>
          <w:lang w:eastAsia="en-US"/>
        </w:rPr>
        <w:t>11</w:t>
      </w:r>
      <w:r w:rsidR="00996823" w:rsidRPr="00CF31E0">
        <w:rPr>
          <w:lang w:eastAsia="en-US"/>
        </w:rPr>
        <w:t xml:space="preserve">.12 </w:t>
      </w:r>
      <w:r w:rsidRPr="00CF31E0">
        <w:rPr>
          <w:lang w:eastAsia="en-US"/>
        </w:rPr>
        <w:t xml:space="preserve">shows that 75% of </w:t>
      </w:r>
      <w:r w:rsidR="0059652A" w:rsidRPr="00CF31E0">
        <w:rPr>
          <w:lang w:eastAsia="en-US"/>
        </w:rPr>
        <w:t>UBH</w:t>
      </w:r>
      <w:r w:rsidRPr="00CF31E0">
        <w:rPr>
          <w:lang w:eastAsia="en-US"/>
        </w:rPr>
        <w:t xml:space="preserve"> participants’ ratings ranged between 2 and 5, with a median value of 4, which means that the voice sample was </w:t>
      </w:r>
      <w:r w:rsidRPr="00CF31E0">
        <w:rPr>
          <w:lang w:eastAsia="en-US"/>
        </w:rPr>
        <w:lastRenderedPageBreak/>
        <w:t xml:space="preserve">perceived as highly </w:t>
      </w:r>
      <w:r w:rsidRPr="00CF31E0">
        <w:rPr>
          <w:i/>
          <w:iCs/>
          <w:lang w:eastAsia="en-US"/>
        </w:rPr>
        <w:t>serious.</w:t>
      </w:r>
      <w:r w:rsidRPr="00CF31E0">
        <w:rPr>
          <w:lang w:eastAsia="en-US"/>
        </w:rPr>
        <w:t xml:space="preserve"> The </w:t>
      </w:r>
      <w:r w:rsidR="00FF4DC7" w:rsidRPr="00CF31E0">
        <w:rPr>
          <w:lang w:eastAsia="en-US"/>
        </w:rPr>
        <w:t>HH</w:t>
      </w:r>
      <w:r w:rsidRPr="00CF31E0">
        <w:rPr>
          <w:lang w:eastAsia="en-US"/>
        </w:rPr>
        <w:t xml:space="preserve"> participants gave an average rating of </w:t>
      </w:r>
      <w:r w:rsidRPr="00CF31E0">
        <w:rPr>
          <w:i/>
          <w:iCs/>
          <w:lang w:eastAsia="en-US"/>
        </w:rPr>
        <w:t>serious</w:t>
      </w:r>
      <w:r w:rsidRPr="00CF31E0">
        <w:rPr>
          <w:lang w:eastAsia="en-US"/>
        </w:rPr>
        <w:t xml:space="preserve"> since 50% of participants’ ratings were spread between 2 and 4, with a median of 3, and the remaining 50% of scores were evenly distributed in the lower whisker, from 1 to 2, and in the upper whisker, from 4 to 5. </w:t>
      </w:r>
    </w:p>
    <w:p w14:paraId="04B84DA5" w14:textId="3BE1EC31" w:rsidR="000B4835" w:rsidRPr="00CF31E0" w:rsidRDefault="000B4835" w:rsidP="00603CB7">
      <w:pPr>
        <w:pStyle w:val="Paragraph"/>
        <w:rPr>
          <w:lang w:eastAsia="en-US"/>
        </w:rPr>
      </w:pPr>
      <w:r w:rsidRPr="00CF31E0">
        <w:rPr>
          <w:lang w:eastAsia="en-US"/>
        </w:rPr>
        <w:t xml:space="preserve">On the </w:t>
      </w:r>
      <w:r w:rsidRPr="00CF31E0">
        <w:rPr>
          <w:i/>
          <w:iCs/>
          <w:lang w:eastAsia="en-US"/>
        </w:rPr>
        <w:t>similar to other Arabic dialects</w:t>
      </w:r>
      <w:r w:rsidRPr="00CF31E0">
        <w:rPr>
          <w:lang w:eastAsia="en-US"/>
        </w:rPr>
        <w:t xml:space="preserve"> scale, the median value was the same for all participants, with a value of 3; the difference between </w:t>
      </w:r>
      <w:r w:rsidR="0059652A" w:rsidRPr="00CF31E0">
        <w:rPr>
          <w:lang w:eastAsia="en-US"/>
        </w:rPr>
        <w:t>UBH</w:t>
      </w:r>
      <w:r w:rsidRPr="00CF31E0">
        <w:rPr>
          <w:lang w:eastAsia="en-US"/>
        </w:rPr>
        <w:t xml:space="preserve"> and </w:t>
      </w:r>
      <w:r w:rsidR="00FF4DC7" w:rsidRPr="00CF31E0">
        <w:rPr>
          <w:lang w:eastAsia="en-US"/>
        </w:rPr>
        <w:t>HH</w:t>
      </w:r>
      <w:r w:rsidRPr="00CF31E0">
        <w:rPr>
          <w:lang w:eastAsia="en-US"/>
        </w:rPr>
        <w:t xml:space="preserve"> participants was located in the interquartile distribution and the lower whisker. In other words, 50% of </w:t>
      </w:r>
      <w:r w:rsidR="0059652A" w:rsidRPr="00CF31E0">
        <w:rPr>
          <w:lang w:eastAsia="en-US"/>
        </w:rPr>
        <w:t>UBH</w:t>
      </w:r>
      <w:r w:rsidRPr="00CF31E0">
        <w:rPr>
          <w:lang w:eastAsia="en-US"/>
        </w:rPr>
        <w:t xml:space="preserve"> rating scores ranged between 3 and 4, while 50% of </w:t>
      </w:r>
      <w:r w:rsidR="00FF4DC7" w:rsidRPr="00CF31E0">
        <w:rPr>
          <w:lang w:eastAsia="en-US"/>
        </w:rPr>
        <w:t>HH</w:t>
      </w:r>
      <w:r w:rsidRPr="00CF31E0">
        <w:rPr>
          <w:lang w:eastAsia="en-US"/>
        </w:rPr>
        <w:t xml:space="preserve"> rating scores ranged between 2 and 4. Furthermore, the remaining 50% of </w:t>
      </w:r>
      <w:r w:rsidR="0059652A" w:rsidRPr="00CF31E0">
        <w:rPr>
          <w:lang w:eastAsia="en-US"/>
        </w:rPr>
        <w:t>UBH</w:t>
      </w:r>
      <w:r w:rsidRPr="00CF31E0">
        <w:rPr>
          <w:lang w:eastAsia="en-US"/>
        </w:rPr>
        <w:t xml:space="preserve"> ratings ranged between 2 and 3 (i.e. 25% of scores) and 4 and 5 (i.e. 25%), while the remaining 50% of </w:t>
      </w:r>
      <w:r w:rsidR="00FF4DC7" w:rsidRPr="00CF31E0">
        <w:rPr>
          <w:lang w:eastAsia="en-US"/>
        </w:rPr>
        <w:t>HH</w:t>
      </w:r>
      <w:r w:rsidRPr="00CF31E0">
        <w:rPr>
          <w:lang w:eastAsia="en-US"/>
        </w:rPr>
        <w:t xml:space="preserve"> participant scores ranged between 1 and 2 (i.e. 25%), and 4 and 5 (i.e. 25%). </w:t>
      </w:r>
    </w:p>
    <w:p w14:paraId="2D875B7B" w14:textId="77777777" w:rsidR="000B4835" w:rsidRPr="00CF31E0" w:rsidRDefault="000B4835" w:rsidP="00603CB7">
      <w:pPr>
        <w:pStyle w:val="Paragraph"/>
        <w:rPr>
          <w:lang w:eastAsia="en-US"/>
        </w:rPr>
      </w:pPr>
      <w:r w:rsidRPr="00CF31E0">
        <w:rPr>
          <w:lang w:eastAsia="en-US"/>
        </w:rPr>
        <w:t xml:space="preserve">On the </w:t>
      </w:r>
      <w:r w:rsidRPr="00CF31E0">
        <w:rPr>
          <w:i/>
          <w:iCs/>
          <w:lang w:eastAsia="en-US"/>
        </w:rPr>
        <w:t xml:space="preserve">traditional </w:t>
      </w:r>
      <w:r w:rsidRPr="00CF31E0">
        <w:rPr>
          <w:lang w:eastAsia="en-US"/>
        </w:rPr>
        <w:t xml:space="preserve">and </w:t>
      </w:r>
      <w:r w:rsidRPr="00CF31E0">
        <w:rPr>
          <w:i/>
          <w:iCs/>
          <w:lang w:eastAsia="en-US"/>
        </w:rPr>
        <w:t xml:space="preserve">modern </w:t>
      </w:r>
      <w:r w:rsidRPr="00CF31E0">
        <w:rPr>
          <w:lang w:eastAsia="en-US"/>
        </w:rPr>
        <w:t xml:space="preserve">scales, all participants gave similar ratings for the voice sample. For the traditional characteristic, 50% of scores were distributed between 3 and 4, with a median of 3. The lower whisker ranged between 2 and 3, while the upper whisker ranged between 4 and 5. For the modern characteristic, scores were evenly distributed from 1 to 5. The interquartile range was between 2 and 4, with a median of 3. The lower whisker ranged from 1 to 2 and the upper whisker ranged from 4 to 5. </w:t>
      </w:r>
    </w:p>
    <w:p w14:paraId="286D91DA" w14:textId="3CF75BC1" w:rsidR="000B4835" w:rsidRPr="00CF31E0" w:rsidRDefault="006F0C71" w:rsidP="0041475C">
      <w:pPr>
        <w:pStyle w:val="Bhead"/>
      </w:pPr>
      <w:bookmarkStart w:id="1154" w:name="_Toc6472813"/>
      <w:r w:rsidRPr="00CF31E0">
        <w:t>11</w:t>
      </w:r>
      <w:r w:rsidR="000B4835" w:rsidRPr="00CF31E0">
        <w:t>.3.</w:t>
      </w:r>
      <w:r w:rsidR="0041475C" w:rsidRPr="00CF31E0">
        <w:t>11</w:t>
      </w:r>
      <w:r w:rsidR="000B4835" w:rsidRPr="00CF31E0">
        <w:t>.</w:t>
      </w:r>
      <w:r w:rsidR="00830031" w:rsidRPr="00CF31E0">
        <w:tab/>
      </w:r>
      <w:r w:rsidR="000B4835" w:rsidRPr="00CF31E0">
        <w:t xml:space="preserve">Effects of demographic variables on ratings for </w:t>
      </w:r>
      <w:r w:rsidR="00DA222F" w:rsidRPr="00CF31E0">
        <w:tab/>
      </w:r>
      <w:r w:rsidR="000B4835" w:rsidRPr="00CF31E0">
        <w:t>VS5</w:t>
      </w:r>
      <w:bookmarkEnd w:id="1154"/>
      <w:r w:rsidR="000B4835" w:rsidRPr="00CF31E0">
        <w:t xml:space="preserve"> </w:t>
      </w:r>
    </w:p>
    <w:p w14:paraId="0E811617" w14:textId="77777777" w:rsidR="000B4835" w:rsidRPr="00CF31E0" w:rsidRDefault="000B4835" w:rsidP="00603CB7">
      <w:pPr>
        <w:pStyle w:val="Paragraph"/>
        <w:rPr>
          <w:lang w:eastAsia="en-US"/>
        </w:rPr>
      </w:pPr>
      <w:r w:rsidRPr="00CF31E0">
        <w:rPr>
          <w:lang w:eastAsia="en-US"/>
        </w:rPr>
        <w:t xml:space="preserve">The ANOVA test results revealed that only two scales were affected by the demographic variables of participants: </w:t>
      </w:r>
      <w:r w:rsidRPr="00CF31E0">
        <w:rPr>
          <w:i/>
          <w:iCs/>
          <w:lang w:eastAsia="en-US"/>
        </w:rPr>
        <w:t>serious</w:t>
      </w:r>
      <w:r w:rsidRPr="00CF31E0">
        <w:rPr>
          <w:lang w:eastAsia="en-US"/>
        </w:rPr>
        <w:t xml:space="preserve"> and </w:t>
      </w:r>
      <w:r w:rsidRPr="00CF31E0">
        <w:rPr>
          <w:i/>
          <w:iCs/>
          <w:lang w:eastAsia="en-US"/>
        </w:rPr>
        <w:t>modern</w:t>
      </w:r>
      <w:r w:rsidRPr="00CF31E0">
        <w:rPr>
          <w:lang w:eastAsia="en-US"/>
        </w:rPr>
        <w:t xml:space="preserve">. </w:t>
      </w:r>
    </w:p>
    <w:p w14:paraId="705431B8" w14:textId="0F4077F6" w:rsidR="000B4835" w:rsidRPr="00CF31E0" w:rsidRDefault="006F0C71" w:rsidP="0041475C">
      <w:pPr>
        <w:pStyle w:val="Chead"/>
      </w:pPr>
      <w:bookmarkStart w:id="1155" w:name="_Toc6472814"/>
      <w:r w:rsidRPr="00CF31E0">
        <w:t>11</w:t>
      </w:r>
      <w:r w:rsidR="000B4835" w:rsidRPr="00CF31E0">
        <w:t>.3.</w:t>
      </w:r>
      <w:r w:rsidR="0041475C" w:rsidRPr="00CF31E0">
        <w:t>11</w:t>
      </w:r>
      <w:r w:rsidR="000B4835" w:rsidRPr="00CF31E0">
        <w:t>.1.</w:t>
      </w:r>
      <w:r w:rsidR="00830031" w:rsidRPr="00CF31E0">
        <w:tab/>
      </w:r>
      <w:r w:rsidR="00830031" w:rsidRPr="00CF31E0">
        <w:tab/>
      </w:r>
      <w:r w:rsidR="000B4835" w:rsidRPr="00CF31E0">
        <w:t>Serious scale</w:t>
      </w:r>
      <w:bookmarkEnd w:id="1155"/>
    </w:p>
    <w:p w14:paraId="69046224" w14:textId="77777777" w:rsidR="000B4835" w:rsidRPr="00CF31E0" w:rsidRDefault="000B4835" w:rsidP="00603CB7">
      <w:pPr>
        <w:pStyle w:val="Paragraph"/>
        <w:rPr>
          <w:lang w:eastAsia="en-US"/>
        </w:rPr>
      </w:pPr>
      <w:r w:rsidRPr="00CF31E0">
        <w:rPr>
          <w:lang w:eastAsia="en-US"/>
        </w:rPr>
        <w:t>The social group demographic variable was the only variable containing different groups who rated the scale differently.</w:t>
      </w:r>
    </w:p>
    <w:p w14:paraId="51858631" w14:textId="77777777" w:rsidR="00AF5385" w:rsidRPr="00CF31E0" w:rsidRDefault="00AF5385" w:rsidP="00603CB7">
      <w:pPr>
        <w:pStyle w:val="Paragraph"/>
        <w:rPr>
          <w:lang w:eastAsia="en-US"/>
        </w:rPr>
      </w:pPr>
    </w:p>
    <w:p w14:paraId="1A4A3DFF" w14:textId="77777777" w:rsidR="00AF5385" w:rsidRPr="00CF31E0" w:rsidRDefault="00AF5385" w:rsidP="00603CB7">
      <w:pPr>
        <w:pStyle w:val="Paragraph"/>
        <w:rPr>
          <w:lang w:eastAsia="en-US"/>
        </w:rPr>
      </w:pPr>
    </w:p>
    <w:tbl>
      <w:tblPr>
        <w:tblW w:w="7249"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22"/>
        <w:gridCol w:w="1700"/>
        <w:gridCol w:w="547"/>
        <w:gridCol w:w="1352"/>
        <w:gridCol w:w="964"/>
        <w:gridCol w:w="964"/>
      </w:tblGrid>
      <w:tr w:rsidR="00D87D7E" w:rsidRPr="00CF31E0" w14:paraId="11F23C3F" w14:textId="77777777" w:rsidTr="00603CB7">
        <w:trPr>
          <w:cantSplit/>
          <w:trHeight w:val="661"/>
        </w:trPr>
        <w:tc>
          <w:tcPr>
            <w:tcW w:w="1722" w:type="dxa"/>
            <w:tcBorders>
              <w:top w:val="single" w:sz="8" w:space="0" w:color="auto"/>
              <w:bottom w:val="nil"/>
            </w:tcBorders>
            <w:shd w:val="clear" w:color="auto" w:fill="FFFFFF"/>
          </w:tcPr>
          <w:p w14:paraId="390E3D56" w14:textId="5BB06FA7" w:rsidR="00D87D7E" w:rsidRPr="00CF31E0" w:rsidRDefault="00D87D7E" w:rsidP="000B4835">
            <w:pPr>
              <w:spacing w:before="120" w:after="120" w:line="360" w:lineRule="auto"/>
              <w:rPr>
                <w:rFonts w:eastAsia="Calibri" w:cs="Arial"/>
                <w:color w:val="000000" w:themeColor="text1"/>
                <w:sz w:val="22"/>
                <w:szCs w:val="22"/>
                <w:lang w:eastAsia="en-US"/>
              </w:rPr>
            </w:pPr>
            <w:r w:rsidRPr="00CF31E0">
              <w:rPr>
                <w:color w:val="000000" w:themeColor="text1"/>
                <w:sz w:val="22"/>
                <w:szCs w:val="22"/>
              </w:rPr>
              <w:t>Social group</w:t>
            </w:r>
          </w:p>
        </w:tc>
        <w:tc>
          <w:tcPr>
            <w:tcW w:w="1700" w:type="dxa"/>
            <w:tcBorders>
              <w:top w:val="single" w:sz="8" w:space="0" w:color="auto"/>
              <w:bottom w:val="nil"/>
            </w:tcBorders>
            <w:shd w:val="clear" w:color="auto" w:fill="FFFFFF"/>
          </w:tcPr>
          <w:p w14:paraId="7253CD94" w14:textId="1AB82FB0" w:rsidR="00D87D7E" w:rsidRPr="00CF31E0" w:rsidRDefault="00D87D7E" w:rsidP="000B4835">
            <w:pPr>
              <w:spacing w:before="120" w:after="120" w:line="360" w:lineRule="auto"/>
              <w:rPr>
                <w:rFonts w:eastAsia="Calibri" w:cs="Arial"/>
                <w:color w:val="000000" w:themeColor="text1"/>
                <w:sz w:val="22"/>
                <w:szCs w:val="22"/>
                <w:lang w:eastAsia="en-US"/>
              </w:rPr>
            </w:pPr>
            <w:r w:rsidRPr="00CF31E0">
              <w:rPr>
                <w:color w:val="000000" w:themeColor="text1"/>
                <w:sz w:val="22"/>
                <w:szCs w:val="22"/>
              </w:rPr>
              <w:t>Sum of Squares</w:t>
            </w:r>
          </w:p>
        </w:tc>
        <w:tc>
          <w:tcPr>
            <w:tcW w:w="547" w:type="dxa"/>
            <w:tcBorders>
              <w:top w:val="single" w:sz="8" w:space="0" w:color="auto"/>
              <w:bottom w:val="nil"/>
            </w:tcBorders>
            <w:shd w:val="clear" w:color="auto" w:fill="FFFFFF"/>
          </w:tcPr>
          <w:p w14:paraId="14028F98" w14:textId="270A3A7F" w:rsidR="00D87D7E" w:rsidRPr="00CF31E0" w:rsidRDefault="00D87D7E" w:rsidP="000B4835">
            <w:pPr>
              <w:spacing w:before="120" w:after="120" w:line="360" w:lineRule="auto"/>
              <w:rPr>
                <w:rFonts w:eastAsia="Calibri" w:cs="Arial"/>
                <w:color w:val="000000" w:themeColor="text1"/>
                <w:sz w:val="22"/>
                <w:szCs w:val="22"/>
                <w:lang w:eastAsia="en-US"/>
              </w:rPr>
            </w:pPr>
            <w:r w:rsidRPr="00CF31E0">
              <w:rPr>
                <w:color w:val="000000" w:themeColor="text1"/>
                <w:sz w:val="22"/>
                <w:szCs w:val="22"/>
              </w:rPr>
              <w:t>df</w:t>
            </w:r>
          </w:p>
        </w:tc>
        <w:tc>
          <w:tcPr>
            <w:tcW w:w="1352" w:type="dxa"/>
            <w:tcBorders>
              <w:top w:val="single" w:sz="8" w:space="0" w:color="auto"/>
              <w:bottom w:val="nil"/>
            </w:tcBorders>
            <w:shd w:val="clear" w:color="auto" w:fill="FFFFFF"/>
          </w:tcPr>
          <w:p w14:paraId="414B7231" w14:textId="4E72DF85" w:rsidR="00D87D7E" w:rsidRPr="00CF31E0" w:rsidRDefault="00D87D7E" w:rsidP="000B4835">
            <w:pPr>
              <w:spacing w:before="120" w:after="120" w:line="360" w:lineRule="auto"/>
              <w:rPr>
                <w:rFonts w:eastAsia="Calibri" w:cs="Arial"/>
                <w:color w:val="000000" w:themeColor="text1"/>
                <w:sz w:val="22"/>
                <w:szCs w:val="22"/>
                <w:lang w:eastAsia="en-US"/>
              </w:rPr>
            </w:pPr>
            <w:r w:rsidRPr="00CF31E0">
              <w:rPr>
                <w:color w:val="000000" w:themeColor="text1"/>
                <w:sz w:val="22"/>
                <w:szCs w:val="22"/>
              </w:rPr>
              <w:t>Mean Square</w:t>
            </w:r>
          </w:p>
        </w:tc>
        <w:tc>
          <w:tcPr>
            <w:tcW w:w="964" w:type="dxa"/>
            <w:tcBorders>
              <w:top w:val="single" w:sz="8" w:space="0" w:color="auto"/>
              <w:bottom w:val="nil"/>
            </w:tcBorders>
            <w:shd w:val="clear" w:color="auto" w:fill="FFFFFF"/>
          </w:tcPr>
          <w:p w14:paraId="06688F95" w14:textId="27F5D2CD" w:rsidR="00D87D7E" w:rsidRPr="00CF31E0" w:rsidRDefault="00D87D7E" w:rsidP="000B4835">
            <w:pPr>
              <w:spacing w:before="120" w:after="120" w:line="360" w:lineRule="auto"/>
              <w:rPr>
                <w:rFonts w:eastAsia="Calibri" w:cs="Arial"/>
                <w:color w:val="000000" w:themeColor="text1"/>
                <w:sz w:val="22"/>
                <w:szCs w:val="22"/>
                <w:lang w:eastAsia="en-US"/>
              </w:rPr>
            </w:pPr>
            <w:r w:rsidRPr="00CF31E0">
              <w:rPr>
                <w:color w:val="000000" w:themeColor="text1"/>
                <w:sz w:val="22"/>
                <w:szCs w:val="22"/>
              </w:rPr>
              <w:t>F</w:t>
            </w:r>
          </w:p>
        </w:tc>
        <w:tc>
          <w:tcPr>
            <w:tcW w:w="964" w:type="dxa"/>
            <w:tcBorders>
              <w:top w:val="single" w:sz="8" w:space="0" w:color="auto"/>
              <w:bottom w:val="nil"/>
            </w:tcBorders>
            <w:shd w:val="clear" w:color="auto" w:fill="FFFFFF"/>
          </w:tcPr>
          <w:p w14:paraId="7458E912" w14:textId="1CA4C204" w:rsidR="00D87D7E" w:rsidRPr="00CF31E0" w:rsidRDefault="00D87D7E" w:rsidP="000B4835">
            <w:pPr>
              <w:spacing w:before="120" w:after="120" w:line="360" w:lineRule="auto"/>
              <w:rPr>
                <w:rFonts w:eastAsia="Calibri" w:cs="Arial"/>
                <w:color w:val="000000" w:themeColor="text1"/>
                <w:sz w:val="22"/>
                <w:szCs w:val="22"/>
                <w:lang w:eastAsia="en-US"/>
              </w:rPr>
            </w:pPr>
            <w:r w:rsidRPr="00CF31E0">
              <w:rPr>
                <w:color w:val="000000" w:themeColor="text1"/>
                <w:sz w:val="22"/>
                <w:szCs w:val="22"/>
              </w:rPr>
              <w:t>Sig.</w:t>
            </w:r>
          </w:p>
        </w:tc>
      </w:tr>
      <w:tr w:rsidR="007F558A" w:rsidRPr="00CF31E0" w14:paraId="35904015" w14:textId="77777777" w:rsidTr="00603CB7">
        <w:trPr>
          <w:cantSplit/>
          <w:trHeight w:val="661"/>
        </w:trPr>
        <w:tc>
          <w:tcPr>
            <w:tcW w:w="1722" w:type="dxa"/>
            <w:tcBorders>
              <w:top w:val="single" w:sz="8" w:space="0" w:color="auto"/>
              <w:bottom w:val="nil"/>
            </w:tcBorders>
            <w:shd w:val="clear" w:color="auto" w:fill="FFFFFF"/>
          </w:tcPr>
          <w:p w14:paraId="3099E0A1" w14:textId="5EC2C2AF"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700" w:type="dxa"/>
            <w:tcBorders>
              <w:top w:val="single" w:sz="8" w:space="0" w:color="auto"/>
              <w:bottom w:val="nil"/>
            </w:tcBorders>
            <w:shd w:val="clear" w:color="auto" w:fill="FFFFFF"/>
            <w:vAlign w:val="center"/>
          </w:tcPr>
          <w:p w14:paraId="1A4B3C82"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9.208</w:t>
            </w:r>
          </w:p>
        </w:tc>
        <w:tc>
          <w:tcPr>
            <w:tcW w:w="547" w:type="dxa"/>
            <w:tcBorders>
              <w:top w:val="single" w:sz="8" w:space="0" w:color="auto"/>
              <w:bottom w:val="nil"/>
            </w:tcBorders>
            <w:shd w:val="clear" w:color="auto" w:fill="FFFFFF"/>
            <w:vAlign w:val="center"/>
          </w:tcPr>
          <w:p w14:paraId="535D0DA9"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w:t>
            </w:r>
          </w:p>
        </w:tc>
        <w:tc>
          <w:tcPr>
            <w:tcW w:w="1352" w:type="dxa"/>
            <w:tcBorders>
              <w:top w:val="single" w:sz="8" w:space="0" w:color="auto"/>
              <w:bottom w:val="nil"/>
            </w:tcBorders>
            <w:shd w:val="clear" w:color="auto" w:fill="FFFFFF"/>
            <w:vAlign w:val="center"/>
          </w:tcPr>
          <w:p w14:paraId="33E1DC58"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9.208</w:t>
            </w:r>
          </w:p>
        </w:tc>
        <w:tc>
          <w:tcPr>
            <w:tcW w:w="964" w:type="dxa"/>
            <w:tcBorders>
              <w:top w:val="single" w:sz="8" w:space="0" w:color="auto"/>
              <w:bottom w:val="nil"/>
            </w:tcBorders>
            <w:shd w:val="clear" w:color="auto" w:fill="FFFFFF"/>
            <w:vAlign w:val="center"/>
          </w:tcPr>
          <w:p w14:paraId="7ACEEE89"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5.057</w:t>
            </w:r>
          </w:p>
        </w:tc>
        <w:tc>
          <w:tcPr>
            <w:tcW w:w="964" w:type="dxa"/>
            <w:tcBorders>
              <w:top w:val="single" w:sz="8" w:space="0" w:color="auto"/>
              <w:bottom w:val="nil"/>
            </w:tcBorders>
            <w:shd w:val="clear" w:color="auto" w:fill="FFFFFF"/>
            <w:vAlign w:val="center"/>
          </w:tcPr>
          <w:p w14:paraId="6FA2046A"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.025</w:t>
            </w:r>
          </w:p>
        </w:tc>
      </w:tr>
      <w:tr w:rsidR="007F558A" w:rsidRPr="00CF31E0" w14:paraId="392035B7" w14:textId="77777777" w:rsidTr="00603CB7">
        <w:trPr>
          <w:cantSplit/>
          <w:trHeight w:val="651"/>
        </w:trPr>
        <w:tc>
          <w:tcPr>
            <w:tcW w:w="1722" w:type="dxa"/>
            <w:tcBorders>
              <w:top w:val="nil"/>
            </w:tcBorders>
            <w:shd w:val="clear" w:color="auto" w:fill="FFFFFF"/>
          </w:tcPr>
          <w:p w14:paraId="79F73CEB"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700" w:type="dxa"/>
            <w:tcBorders>
              <w:top w:val="nil"/>
            </w:tcBorders>
            <w:shd w:val="clear" w:color="auto" w:fill="FFFFFF"/>
            <w:vAlign w:val="center"/>
          </w:tcPr>
          <w:p w14:paraId="1CE8F4AA"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1177.994</w:t>
            </w:r>
          </w:p>
        </w:tc>
        <w:tc>
          <w:tcPr>
            <w:tcW w:w="547" w:type="dxa"/>
            <w:tcBorders>
              <w:top w:val="nil"/>
            </w:tcBorders>
            <w:shd w:val="clear" w:color="auto" w:fill="FFFFFF"/>
            <w:vAlign w:val="center"/>
          </w:tcPr>
          <w:p w14:paraId="2FFEE9D0"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648</w:t>
            </w:r>
          </w:p>
        </w:tc>
        <w:tc>
          <w:tcPr>
            <w:tcW w:w="1352" w:type="dxa"/>
            <w:tcBorders>
              <w:top w:val="nil"/>
            </w:tcBorders>
            <w:shd w:val="clear" w:color="auto" w:fill="FFFFFF"/>
            <w:vAlign w:val="center"/>
          </w:tcPr>
          <w:p w14:paraId="615C920C"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1.821</w:t>
            </w:r>
          </w:p>
        </w:tc>
        <w:tc>
          <w:tcPr>
            <w:tcW w:w="964" w:type="dxa"/>
            <w:tcBorders>
              <w:top w:val="nil"/>
            </w:tcBorders>
            <w:shd w:val="clear" w:color="auto" w:fill="FFFFFF"/>
            <w:vAlign w:val="center"/>
          </w:tcPr>
          <w:p w14:paraId="375BCD1F"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964" w:type="dxa"/>
            <w:tcBorders>
              <w:top w:val="nil"/>
            </w:tcBorders>
            <w:shd w:val="clear" w:color="auto" w:fill="FFFFFF"/>
            <w:vAlign w:val="center"/>
          </w:tcPr>
          <w:p w14:paraId="57D8F447"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r>
      <w:tr w:rsidR="007F558A" w:rsidRPr="00CF31E0" w14:paraId="4B5CF516" w14:textId="77777777" w:rsidTr="00603CB7">
        <w:trPr>
          <w:cantSplit/>
          <w:trHeight w:val="661"/>
        </w:trPr>
        <w:tc>
          <w:tcPr>
            <w:tcW w:w="1722" w:type="dxa"/>
            <w:shd w:val="clear" w:color="auto" w:fill="FFFFFF"/>
          </w:tcPr>
          <w:p w14:paraId="23B972DE"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700" w:type="dxa"/>
            <w:shd w:val="clear" w:color="auto" w:fill="FFFFFF"/>
            <w:vAlign w:val="center"/>
          </w:tcPr>
          <w:p w14:paraId="1C7869C5"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1187.202</w:t>
            </w:r>
          </w:p>
        </w:tc>
        <w:tc>
          <w:tcPr>
            <w:tcW w:w="547" w:type="dxa"/>
            <w:shd w:val="clear" w:color="auto" w:fill="FFFFFF"/>
            <w:vAlign w:val="center"/>
          </w:tcPr>
          <w:p w14:paraId="527E6A1B"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649</w:t>
            </w:r>
          </w:p>
        </w:tc>
        <w:tc>
          <w:tcPr>
            <w:tcW w:w="1352" w:type="dxa"/>
            <w:shd w:val="clear" w:color="auto" w:fill="FFFFFF"/>
            <w:vAlign w:val="center"/>
          </w:tcPr>
          <w:p w14:paraId="56B968D8"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964" w:type="dxa"/>
            <w:shd w:val="clear" w:color="auto" w:fill="FFFFFF"/>
            <w:vAlign w:val="center"/>
          </w:tcPr>
          <w:p w14:paraId="21F81AE9"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964" w:type="dxa"/>
            <w:shd w:val="clear" w:color="auto" w:fill="FFFFFF"/>
            <w:vAlign w:val="center"/>
          </w:tcPr>
          <w:p w14:paraId="462D1A76"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r>
    </w:tbl>
    <w:p w14:paraId="48332D20" w14:textId="3268AABF" w:rsidR="000B4835" w:rsidRPr="00CF31E0" w:rsidRDefault="000B4835" w:rsidP="00603CB7">
      <w:pPr>
        <w:pStyle w:val="Tablecaption"/>
        <w:spacing w:after="400"/>
        <w:rPr>
          <w:lang w:eastAsia="en-US"/>
        </w:rPr>
      </w:pPr>
      <w:bookmarkStart w:id="1156" w:name="_Toc522527549"/>
      <w:bookmarkStart w:id="1157" w:name="_Toc522628962"/>
      <w:bookmarkStart w:id="1158" w:name="_Toc522629126"/>
      <w:bookmarkStart w:id="1159" w:name="_Toc6473222"/>
      <w:r w:rsidRPr="00CF31E0">
        <w:rPr>
          <w:lang w:eastAsia="en-US"/>
        </w:rPr>
        <w:t xml:space="preserve">Table </w:t>
      </w:r>
      <w:r w:rsidR="006F0C71" w:rsidRPr="00CF31E0">
        <w:rPr>
          <w:lang w:eastAsia="en-US"/>
        </w:rPr>
        <w:t>11</w:t>
      </w:r>
      <w:r w:rsidR="00996823" w:rsidRPr="00CF31E0">
        <w:rPr>
          <w:lang w:eastAsia="en-US"/>
        </w:rPr>
        <w:t>.</w:t>
      </w:r>
      <w:r w:rsidR="006F0C71" w:rsidRPr="00CF31E0">
        <w:rPr>
          <w:lang w:eastAsia="en-US"/>
        </w:rPr>
        <w:t>8</w:t>
      </w:r>
      <w:r w:rsidR="00BD0F2B" w:rsidRPr="00CF31E0">
        <w:rPr>
          <w:lang w:eastAsia="en-US"/>
        </w:rPr>
        <w:t>4</w:t>
      </w:r>
      <w:r w:rsidRPr="00CF31E0">
        <w:rPr>
          <w:lang w:eastAsia="en-US"/>
        </w:rPr>
        <w:t>: ANOVA statistics for social group demographic variable.</w:t>
      </w:r>
      <w:bookmarkEnd w:id="1156"/>
      <w:bookmarkEnd w:id="1157"/>
      <w:bookmarkEnd w:id="1158"/>
      <w:bookmarkEnd w:id="1159"/>
      <w:r w:rsidRPr="00CF31E0">
        <w:rPr>
          <w:lang w:eastAsia="en-US"/>
        </w:rPr>
        <w:t xml:space="preserve"> </w:t>
      </w:r>
    </w:p>
    <w:tbl>
      <w:tblPr>
        <w:tblW w:w="7317" w:type="dxa"/>
        <w:tblInd w:w="-1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046"/>
        <w:gridCol w:w="1942"/>
        <w:gridCol w:w="2101"/>
        <w:gridCol w:w="1091"/>
        <w:gridCol w:w="1137"/>
      </w:tblGrid>
      <w:tr w:rsidR="007F558A" w:rsidRPr="00CF31E0" w14:paraId="1723403A" w14:textId="77777777" w:rsidTr="000B4835">
        <w:trPr>
          <w:cantSplit/>
        </w:trPr>
        <w:tc>
          <w:tcPr>
            <w:tcW w:w="1046" w:type="dxa"/>
            <w:tcBorders>
              <w:top w:val="single" w:sz="8" w:space="0" w:color="auto"/>
              <w:bottom w:val="single" w:sz="8" w:space="0" w:color="auto"/>
            </w:tcBorders>
          </w:tcPr>
          <w:p w14:paraId="1AAF09EE"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4043" w:type="dxa"/>
            <w:gridSpan w:val="2"/>
            <w:tcBorders>
              <w:top w:val="single" w:sz="8" w:space="0" w:color="auto"/>
              <w:bottom w:val="single" w:sz="8" w:space="0" w:color="auto"/>
            </w:tcBorders>
            <w:shd w:val="clear" w:color="auto" w:fill="FFFFFF"/>
            <w:vAlign w:val="bottom"/>
          </w:tcPr>
          <w:p w14:paraId="481CB6DE"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Social group</w:t>
            </w:r>
          </w:p>
        </w:tc>
        <w:tc>
          <w:tcPr>
            <w:tcW w:w="1091" w:type="dxa"/>
            <w:tcBorders>
              <w:top w:val="single" w:sz="8" w:space="0" w:color="auto"/>
              <w:bottom w:val="single" w:sz="8" w:space="0" w:color="auto"/>
            </w:tcBorders>
            <w:shd w:val="clear" w:color="auto" w:fill="FFFFFF"/>
            <w:vAlign w:val="bottom"/>
          </w:tcPr>
          <w:p w14:paraId="10A04076"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Statistic</w:t>
            </w:r>
          </w:p>
        </w:tc>
        <w:tc>
          <w:tcPr>
            <w:tcW w:w="1137" w:type="dxa"/>
            <w:tcBorders>
              <w:top w:val="single" w:sz="8" w:space="0" w:color="auto"/>
              <w:bottom w:val="single" w:sz="8" w:space="0" w:color="auto"/>
            </w:tcBorders>
            <w:shd w:val="clear" w:color="auto" w:fill="FFFFFF"/>
            <w:vAlign w:val="bottom"/>
          </w:tcPr>
          <w:p w14:paraId="6ED5B23A"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Std. Error</w:t>
            </w:r>
          </w:p>
        </w:tc>
      </w:tr>
      <w:tr w:rsidR="007F558A" w:rsidRPr="00CF31E0" w14:paraId="4B8ADA53" w14:textId="77777777" w:rsidTr="000B4835">
        <w:trPr>
          <w:cantSplit/>
        </w:trPr>
        <w:tc>
          <w:tcPr>
            <w:tcW w:w="1046" w:type="dxa"/>
            <w:vMerge w:val="restart"/>
            <w:tcBorders>
              <w:top w:val="single" w:sz="8" w:space="0" w:color="auto"/>
              <w:bottom w:val="nil"/>
            </w:tcBorders>
            <w:shd w:val="clear" w:color="auto" w:fill="FFFFFF"/>
          </w:tcPr>
          <w:p w14:paraId="3E63ACCA"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Serious</w:t>
            </w:r>
          </w:p>
        </w:tc>
        <w:tc>
          <w:tcPr>
            <w:tcW w:w="1942" w:type="dxa"/>
            <w:tcBorders>
              <w:top w:val="single" w:sz="8" w:space="0" w:color="auto"/>
              <w:bottom w:val="nil"/>
            </w:tcBorders>
            <w:shd w:val="clear" w:color="auto" w:fill="FFFFFF"/>
          </w:tcPr>
          <w:p w14:paraId="10E8924F" w14:textId="26BC6A5F" w:rsidR="000B4835" w:rsidRPr="00CF31E0" w:rsidRDefault="0059652A"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UBH</w:t>
            </w:r>
          </w:p>
        </w:tc>
        <w:tc>
          <w:tcPr>
            <w:tcW w:w="2101" w:type="dxa"/>
            <w:tcBorders>
              <w:top w:val="single" w:sz="8" w:space="0" w:color="auto"/>
              <w:bottom w:val="nil"/>
            </w:tcBorders>
            <w:shd w:val="clear" w:color="auto" w:fill="FFFFFF"/>
          </w:tcPr>
          <w:p w14:paraId="45419AC5"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091" w:type="dxa"/>
            <w:tcBorders>
              <w:top w:val="single" w:sz="8" w:space="0" w:color="auto"/>
              <w:bottom w:val="nil"/>
            </w:tcBorders>
            <w:shd w:val="clear" w:color="auto" w:fill="FFFFFF"/>
            <w:vAlign w:val="center"/>
          </w:tcPr>
          <w:p w14:paraId="00DB48A5"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3.4228</w:t>
            </w:r>
          </w:p>
        </w:tc>
        <w:tc>
          <w:tcPr>
            <w:tcW w:w="1137" w:type="dxa"/>
            <w:tcBorders>
              <w:top w:val="single" w:sz="8" w:space="0" w:color="auto"/>
              <w:bottom w:val="nil"/>
            </w:tcBorders>
            <w:shd w:val="clear" w:color="auto" w:fill="FFFFFF"/>
            <w:vAlign w:val="center"/>
          </w:tcPr>
          <w:p w14:paraId="777E8395"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.07778</w:t>
            </w:r>
          </w:p>
        </w:tc>
      </w:tr>
      <w:tr w:rsidR="007F558A" w:rsidRPr="00CF31E0" w14:paraId="54DFF013" w14:textId="77777777" w:rsidTr="000B4835">
        <w:trPr>
          <w:cantSplit/>
        </w:trPr>
        <w:tc>
          <w:tcPr>
            <w:tcW w:w="1046" w:type="dxa"/>
            <w:vMerge/>
            <w:tcBorders>
              <w:top w:val="nil"/>
            </w:tcBorders>
            <w:shd w:val="clear" w:color="auto" w:fill="FFFFFF"/>
          </w:tcPr>
          <w:p w14:paraId="28E67673"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1942" w:type="dxa"/>
            <w:tcBorders>
              <w:top w:val="nil"/>
            </w:tcBorders>
            <w:shd w:val="clear" w:color="auto" w:fill="FFFFFF"/>
          </w:tcPr>
          <w:p w14:paraId="2C5ADA84" w14:textId="5553D342" w:rsidR="000B4835" w:rsidRPr="00CF31E0" w:rsidRDefault="00FF4DC7"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HH</w:t>
            </w:r>
          </w:p>
        </w:tc>
        <w:tc>
          <w:tcPr>
            <w:tcW w:w="2101" w:type="dxa"/>
            <w:tcBorders>
              <w:top w:val="nil"/>
            </w:tcBorders>
            <w:shd w:val="clear" w:color="auto" w:fill="FFFFFF"/>
          </w:tcPr>
          <w:p w14:paraId="347DD165"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091" w:type="dxa"/>
            <w:tcBorders>
              <w:top w:val="nil"/>
            </w:tcBorders>
            <w:shd w:val="clear" w:color="auto" w:fill="FFFFFF"/>
            <w:vAlign w:val="center"/>
          </w:tcPr>
          <w:p w14:paraId="59D6E88E"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3.1846</w:t>
            </w:r>
          </w:p>
        </w:tc>
        <w:tc>
          <w:tcPr>
            <w:tcW w:w="1137" w:type="dxa"/>
            <w:tcBorders>
              <w:top w:val="nil"/>
            </w:tcBorders>
            <w:shd w:val="clear" w:color="auto" w:fill="FFFFFF"/>
            <w:vAlign w:val="center"/>
          </w:tcPr>
          <w:p w14:paraId="24A479C3"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.07194</w:t>
            </w:r>
          </w:p>
        </w:tc>
      </w:tr>
    </w:tbl>
    <w:p w14:paraId="2E09F89F" w14:textId="7FA3EB90" w:rsidR="000B4835" w:rsidRPr="00CF31E0" w:rsidRDefault="000B4835" w:rsidP="00E96074">
      <w:pPr>
        <w:pStyle w:val="Tablecaption"/>
        <w:rPr>
          <w:lang w:eastAsia="en-US"/>
        </w:rPr>
      </w:pPr>
      <w:bookmarkStart w:id="1160" w:name="_Toc522527550"/>
      <w:bookmarkStart w:id="1161" w:name="_Toc522628963"/>
      <w:bookmarkStart w:id="1162" w:name="_Toc522629127"/>
      <w:bookmarkStart w:id="1163" w:name="_Toc6473223"/>
      <w:r w:rsidRPr="00CF31E0">
        <w:rPr>
          <w:lang w:eastAsia="en-US"/>
        </w:rPr>
        <w:t xml:space="preserve">Table </w:t>
      </w:r>
      <w:r w:rsidR="006F0C71" w:rsidRPr="00CF31E0">
        <w:rPr>
          <w:lang w:eastAsia="en-US"/>
        </w:rPr>
        <w:t>11</w:t>
      </w:r>
      <w:r w:rsidR="00996823" w:rsidRPr="00CF31E0">
        <w:rPr>
          <w:lang w:eastAsia="en-US"/>
        </w:rPr>
        <w:t>.</w:t>
      </w:r>
      <w:r w:rsidR="006F0C71" w:rsidRPr="00CF31E0">
        <w:rPr>
          <w:lang w:eastAsia="en-US"/>
        </w:rPr>
        <w:t>8</w:t>
      </w:r>
      <w:r w:rsidR="00BD0F2B" w:rsidRPr="00CF31E0">
        <w:rPr>
          <w:lang w:eastAsia="en-US"/>
        </w:rPr>
        <w:t>5</w:t>
      </w:r>
      <w:r w:rsidRPr="00CF31E0">
        <w:rPr>
          <w:lang w:eastAsia="en-US"/>
        </w:rPr>
        <w:t>: Descriptive statistics</w:t>
      </w:r>
      <w:r w:rsidR="00F44425">
        <w:rPr>
          <w:lang w:eastAsia="en-US"/>
        </w:rPr>
        <w:t xml:space="preserve"> for social group demographic variable</w:t>
      </w:r>
      <w:r w:rsidRPr="00CF31E0">
        <w:rPr>
          <w:lang w:eastAsia="en-US"/>
        </w:rPr>
        <w:t>.</w:t>
      </w:r>
      <w:bookmarkEnd w:id="1160"/>
      <w:bookmarkEnd w:id="1161"/>
      <w:bookmarkEnd w:id="1162"/>
      <w:bookmarkEnd w:id="1163"/>
      <w:r w:rsidRPr="00CF31E0">
        <w:rPr>
          <w:lang w:eastAsia="en-US"/>
        </w:rPr>
        <w:t xml:space="preserve"> </w:t>
      </w:r>
    </w:p>
    <w:p w14:paraId="7210A220" w14:textId="3E5425EB" w:rsidR="000B4835" w:rsidRPr="00CF31E0" w:rsidRDefault="000B4835" w:rsidP="00603CB7">
      <w:pPr>
        <w:pStyle w:val="Paragraph"/>
        <w:rPr>
          <w:lang w:eastAsia="en-US"/>
        </w:rPr>
      </w:pPr>
      <w:r w:rsidRPr="00CF31E0">
        <w:rPr>
          <w:lang w:eastAsia="en-US"/>
        </w:rPr>
        <w:t xml:space="preserve">Table </w:t>
      </w:r>
      <w:r w:rsidR="006F0C71" w:rsidRPr="00CF31E0">
        <w:rPr>
          <w:lang w:eastAsia="en-US"/>
        </w:rPr>
        <w:t>11</w:t>
      </w:r>
      <w:r w:rsidR="00996823" w:rsidRPr="00CF31E0">
        <w:rPr>
          <w:lang w:eastAsia="en-US"/>
        </w:rPr>
        <w:t>.</w:t>
      </w:r>
      <w:r w:rsidR="006F0C71" w:rsidRPr="00CF31E0">
        <w:rPr>
          <w:lang w:eastAsia="en-US"/>
        </w:rPr>
        <w:t>8</w:t>
      </w:r>
      <w:r w:rsidR="00BD0F2B" w:rsidRPr="00CF31E0">
        <w:rPr>
          <w:lang w:eastAsia="en-US"/>
        </w:rPr>
        <w:t>4</w:t>
      </w:r>
      <w:r w:rsidR="006F0C71" w:rsidRPr="00CF31E0">
        <w:rPr>
          <w:lang w:eastAsia="en-US"/>
        </w:rPr>
        <w:t xml:space="preserve"> </w:t>
      </w:r>
      <w:r w:rsidRPr="00CF31E0">
        <w:rPr>
          <w:lang w:eastAsia="en-US"/>
        </w:rPr>
        <w:t xml:space="preserve">shows that the rating scores of the two social groups are statistically different from each other, with a p value of .025. Table </w:t>
      </w:r>
      <w:r w:rsidR="006F0C71" w:rsidRPr="00CF31E0">
        <w:rPr>
          <w:lang w:eastAsia="en-US"/>
        </w:rPr>
        <w:t>11</w:t>
      </w:r>
      <w:r w:rsidR="00996823" w:rsidRPr="00CF31E0">
        <w:rPr>
          <w:lang w:eastAsia="en-US"/>
        </w:rPr>
        <w:t>.</w:t>
      </w:r>
      <w:r w:rsidR="006F0C71" w:rsidRPr="00CF31E0">
        <w:rPr>
          <w:lang w:eastAsia="en-US"/>
        </w:rPr>
        <w:t>8</w:t>
      </w:r>
      <w:r w:rsidR="00BD0F2B" w:rsidRPr="00CF31E0">
        <w:rPr>
          <w:lang w:eastAsia="en-US"/>
        </w:rPr>
        <w:t>5</w:t>
      </w:r>
      <w:r w:rsidR="006F0C71" w:rsidRPr="00CF31E0">
        <w:rPr>
          <w:lang w:eastAsia="en-US"/>
        </w:rPr>
        <w:t xml:space="preserve"> </w:t>
      </w:r>
      <w:r w:rsidRPr="00CF31E0">
        <w:rPr>
          <w:lang w:eastAsia="en-US"/>
        </w:rPr>
        <w:t xml:space="preserve">indicates that </w:t>
      </w:r>
      <w:r w:rsidR="0059652A" w:rsidRPr="00CF31E0">
        <w:rPr>
          <w:lang w:eastAsia="en-US"/>
        </w:rPr>
        <w:t>UBH</w:t>
      </w:r>
      <w:r w:rsidRPr="00CF31E0">
        <w:rPr>
          <w:lang w:eastAsia="en-US"/>
        </w:rPr>
        <w:t xml:space="preserve"> participants gave higher rating scores for the voice sample than did the </w:t>
      </w:r>
      <w:r w:rsidR="00FF4DC7" w:rsidRPr="00CF31E0">
        <w:rPr>
          <w:lang w:eastAsia="en-US"/>
        </w:rPr>
        <w:t>HH</w:t>
      </w:r>
      <w:r w:rsidRPr="00CF31E0">
        <w:rPr>
          <w:lang w:eastAsia="en-US"/>
        </w:rPr>
        <w:t xml:space="preserve"> participants. </w:t>
      </w:r>
    </w:p>
    <w:p w14:paraId="2ECEB796" w14:textId="44FDCB1F" w:rsidR="000B4835" w:rsidRPr="00CF31E0" w:rsidRDefault="006F0C71" w:rsidP="0041475C">
      <w:pPr>
        <w:pStyle w:val="Chead"/>
      </w:pPr>
      <w:bookmarkStart w:id="1164" w:name="_Toc6472815"/>
      <w:r w:rsidRPr="00CF31E0">
        <w:t>11</w:t>
      </w:r>
      <w:r w:rsidR="000B4835" w:rsidRPr="00CF31E0">
        <w:t>.3.</w:t>
      </w:r>
      <w:r w:rsidR="0041475C" w:rsidRPr="00CF31E0">
        <w:t>11</w:t>
      </w:r>
      <w:r w:rsidR="000B4835" w:rsidRPr="00CF31E0">
        <w:t>.2.</w:t>
      </w:r>
      <w:r w:rsidR="00830031" w:rsidRPr="00CF31E0">
        <w:tab/>
      </w:r>
      <w:r w:rsidR="00830031" w:rsidRPr="00CF31E0">
        <w:tab/>
      </w:r>
      <w:r w:rsidR="000B4835" w:rsidRPr="00CF31E0">
        <w:t>Modern scale</w:t>
      </w:r>
      <w:bookmarkEnd w:id="1164"/>
      <w:r w:rsidR="000B4835" w:rsidRPr="00CF31E0">
        <w:t xml:space="preserve"> </w:t>
      </w:r>
    </w:p>
    <w:p w14:paraId="4B65D0E8" w14:textId="59E96FF2" w:rsidR="000B4835" w:rsidRPr="00CF31E0" w:rsidRDefault="000B4835" w:rsidP="00603CB7">
      <w:pPr>
        <w:pStyle w:val="Paragraph"/>
        <w:rPr>
          <w:lang w:eastAsia="en-US"/>
        </w:rPr>
      </w:pPr>
      <w:r w:rsidRPr="00CF31E0">
        <w:rPr>
          <w:lang w:eastAsia="en-US"/>
        </w:rPr>
        <w:t xml:space="preserve">The gender groups rated the modern scale differently, and it is the only demographic variable that affected the scale; see Table </w:t>
      </w:r>
      <w:r w:rsidR="006F0C71" w:rsidRPr="00CF31E0">
        <w:rPr>
          <w:lang w:eastAsia="en-US"/>
        </w:rPr>
        <w:t>11</w:t>
      </w:r>
      <w:r w:rsidR="00996823" w:rsidRPr="00CF31E0">
        <w:rPr>
          <w:lang w:eastAsia="en-US"/>
        </w:rPr>
        <w:t>.</w:t>
      </w:r>
      <w:r w:rsidR="006F0C71" w:rsidRPr="00CF31E0">
        <w:rPr>
          <w:lang w:eastAsia="en-US"/>
        </w:rPr>
        <w:t>8</w:t>
      </w:r>
      <w:r w:rsidR="00BD0F2B" w:rsidRPr="00CF31E0">
        <w:rPr>
          <w:lang w:eastAsia="en-US"/>
        </w:rPr>
        <w:t>6</w:t>
      </w:r>
      <w:r w:rsidR="006F0C71" w:rsidRPr="00CF31E0">
        <w:rPr>
          <w:lang w:eastAsia="en-US"/>
        </w:rPr>
        <w:t xml:space="preserve"> </w:t>
      </w:r>
      <w:r w:rsidR="00FD7E98" w:rsidRPr="00CF31E0">
        <w:rPr>
          <w:lang w:eastAsia="en-US"/>
        </w:rPr>
        <w:t xml:space="preserve">and </w:t>
      </w:r>
      <w:r w:rsidR="006F0C71" w:rsidRPr="00CF31E0">
        <w:rPr>
          <w:lang w:eastAsia="en-US"/>
        </w:rPr>
        <w:t>11</w:t>
      </w:r>
      <w:r w:rsidR="00FD7E98" w:rsidRPr="00CF31E0">
        <w:rPr>
          <w:lang w:eastAsia="en-US"/>
        </w:rPr>
        <w:t>.</w:t>
      </w:r>
      <w:r w:rsidR="006F0C71" w:rsidRPr="00CF31E0">
        <w:rPr>
          <w:lang w:eastAsia="en-US"/>
        </w:rPr>
        <w:t>8</w:t>
      </w:r>
      <w:r w:rsidR="00BD0F2B" w:rsidRPr="00CF31E0">
        <w:rPr>
          <w:lang w:eastAsia="en-US"/>
        </w:rPr>
        <w:t>7</w:t>
      </w:r>
      <w:r w:rsidR="00FD7E98" w:rsidRPr="00CF31E0">
        <w:rPr>
          <w:lang w:eastAsia="en-US"/>
        </w:rPr>
        <w:t>.</w:t>
      </w: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7F558A" w:rsidRPr="00CF31E0" w14:paraId="640E99C3" w14:textId="77777777" w:rsidTr="00603CB7">
        <w:trPr>
          <w:cantSplit/>
        </w:trPr>
        <w:tc>
          <w:tcPr>
            <w:tcW w:w="1736" w:type="dxa"/>
            <w:tcBorders>
              <w:top w:val="single" w:sz="8" w:space="0" w:color="auto"/>
              <w:bottom w:val="single" w:sz="8" w:space="0" w:color="auto"/>
            </w:tcBorders>
            <w:shd w:val="clear" w:color="auto" w:fill="FFFFFF"/>
            <w:vAlign w:val="bottom"/>
          </w:tcPr>
          <w:p w14:paraId="1C0C1ED6"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Gender</w:t>
            </w:r>
          </w:p>
        </w:tc>
        <w:tc>
          <w:tcPr>
            <w:tcW w:w="1686" w:type="dxa"/>
            <w:tcBorders>
              <w:top w:val="single" w:sz="8" w:space="0" w:color="auto"/>
              <w:bottom w:val="single" w:sz="8" w:space="0" w:color="auto"/>
            </w:tcBorders>
            <w:shd w:val="clear" w:color="auto" w:fill="FFFFFF"/>
            <w:vAlign w:val="bottom"/>
          </w:tcPr>
          <w:p w14:paraId="1807C752"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8" w:space="0" w:color="auto"/>
            </w:tcBorders>
            <w:shd w:val="clear" w:color="auto" w:fill="FFFFFF"/>
            <w:vAlign w:val="bottom"/>
          </w:tcPr>
          <w:p w14:paraId="7D764484"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8" w:space="0" w:color="auto"/>
            </w:tcBorders>
            <w:shd w:val="clear" w:color="auto" w:fill="FFFFFF"/>
            <w:vAlign w:val="bottom"/>
          </w:tcPr>
          <w:p w14:paraId="3D2F70D7"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8" w:space="0" w:color="auto"/>
            </w:tcBorders>
            <w:shd w:val="clear" w:color="auto" w:fill="FFFFFF"/>
            <w:vAlign w:val="bottom"/>
          </w:tcPr>
          <w:p w14:paraId="6008CFBB"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8" w:space="0" w:color="auto"/>
            </w:tcBorders>
            <w:shd w:val="clear" w:color="auto" w:fill="FFFFFF"/>
            <w:vAlign w:val="bottom"/>
          </w:tcPr>
          <w:p w14:paraId="4D161ACA"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F558A" w:rsidRPr="00CF31E0" w14:paraId="3BE0279D" w14:textId="77777777" w:rsidTr="00603CB7">
        <w:trPr>
          <w:cantSplit/>
        </w:trPr>
        <w:tc>
          <w:tcPr>
            <w:tcW w:w="1736" w:type="dxa"/>
            <w:tcBorders>
              <w:top w:val="single" w:sz="8" w:space="0" w:color="auto"/>
              <w:bottom w:val="nil"/>
            </w:tcBorders>
            <w:shd w:val="clear" w:color="auto" w:fill="FFFFFF"/>
          </w:tcPr>
          <w:p w14:paraId="1F2DBAA3"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8" w:space="0" w:color="auto"/>
              <w:bottom w:val="nil"/>
            </w:tcBorders>
            <w:shd w:val="clear" w:color="auto" w:fill="FFFFFF"/>
            <w:vAlign w:val="center"/>
          </w:tcPr>
          <w:p w14:paraId="385DCF2A"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9.822</w:t>
            </w:r>
          </w:p>
        </w:tc>
        <w:tc>
          <w:tcPr>
            <w:tcW w:w="820" w:type="dxa"/>
            <w:tcBorders>
              <w:top w:val="single" w:sz="8" w:space="0" w:color="auto"/>
              <w:bottom w:val="nil"/>
            </w:tcBorders>
            <w:shd w:val="clear" w:color="auto" w:fill="FFFFFF"/>
            <w:vAlign w:val="center"/>
          </w:tcPr>
          <w:p w14:paraId="01E150D5"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w:t>
            </w:r>
          </w:p>
        </w:tc>
        <w:tc>
          <w:tcPr>
            <w:tcW w:w="1445" w:type="dxa"/>
            <w:tcBorders>
              <w:top w:val="single" w:sz="8" w:space="0" w:color="auto"/>
              <w:bottom w:val="nil"/>
            </w:tcBorders>
            <w:shd w:val="clear" w:color="auto" w:fill="FFFFFF"/>
            <w:vAlign w:val="center"/>
          </w:tcPr>
          <w:p w14:paraId="3BE6B54D"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9.822</w:t>
            </w:r>
          </w:p>
        </w:tc>
        <w:tc>
          <w:tcPr>
            <w:tcW w:w="1030" w:type="dxa"/>
            <w:tcBorders>
              <w:top w:val="single" w:sz="8" w:space="0" w:color="auto"/>
              <w:bottom w:val="nil"/>
            </w:tcBorders>
            <w:shd w:val="clear" w:color="auto" w:fill="FFFFFF"/>
            <w:vAlign w:val="center"/>
          </w:tcPr>
          <w:p w14:paraId="1CC60E1D"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6.711</w:t>
            </w:r>
          </w:p>
        </w:tc>
        <w:tc>
          <w:tcPr>
            <w:tcW w:w="674" w:type="dxa"/>
            <w:tcBorders>
              <w:top w:val="single" w:sz="8" w:space="0" w:color="auto"/>
              <w:bottom w:val="nil"/>
            </w:tcBorders>
            <w:shd w:val="clear" w:color="auto" w:fill="FFFFFF"/>
            <w:vAlign w:val="center"/>
          </w:tcPr>
          <w:p w14:paraId="75182F6C"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.010</w:t>
            </w:r>
          </w:p>
        </w:tc>
      </w:tr>
      <w:tr w:rsidR="007F558A" w:rsidRPr="00CF31E0" w14:paraId="264B79F2" w14:textId="77777777" w:rsidTr="00603CB7">
        <w:trPr>
          <w:cantSplit/>
        </w:trPr>
        <w:tc>
          <w:tcPr>
            <w:tcW w:w="1736" w:type="dxa"/>
            <w:tcBorders>
              <w:top w:val="nil"/>
            </w:tcBorders>
            <w:shd w:val="clear" w:color="auto" w:fill="FFFFFF"/>
          </w:tcPr>
          <w:p w14:paraId="215C82BC"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751031D2"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946.918</w:t>
            </w:r>
          </w:p>
        </w:tc>
        <w:tc>
          <w:tcPr>
            <w:tcW w:w="820" w:type="dxa"/>
            <w:tcBorders>
              <w:top w:val="nil"/>
            </w:tcBorders>
            <w:shd w:val="clear" w:color="auto" w:fill="FFFFFF"/>
            <w:vAlign w:val="center"/>
          </w:tcPr>
          <w:p w14:paraId="09544917"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648</w:t>
            </w:r>
          </w:p>
        </w:tc>
        <w:tc>
          <w:tcPr>
            <w:tcW w:w="1445" w:type="dxa"/>
            <w:tcBorders>
              <w:top w:val="nil"/>
            </w:tcBorders>
            <w:shd w:val="clear" w:color="auto" w:fill="FFFFFF"/>
            <w:vAlign w:val="center"/>
          </w:tcPr>
          <w:p w14:paraId="0184BE51"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1.464</w:t>
            </w:r>
          </w:p>
        </w:tc>
        <w:tc>
          <w:tcPr>
            <w:tcW w:w="1030" w:type="dxa"/>
            <w:tcBorders>
              <w:top w:val="nil"/>
            </w:tcBorders>
            <w:shd w:val="clear" w:color="auto" w:fill="FFFFFF"/>
            <w:vAlign w:val="center"/>
          </w:tcPr>
          <w:p w14:paraId="5C85DD6D"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674" w:type="dxa"/>
            <w:tcBorders>
              <w:top w:val="nil"/>
            </w:tcBorders>
            <w:shd w:val="clear" w:color="auto" w:fill="FFFFFF"/>
            <w:vAlign w:val="center"/>
          </w:tcPr>
          <w:p w14:paraId="168C7AB0"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r>
      <w:tr w:rsidR="007F558A" w:rsidRPr="00CF31E0" w14:paraId="48324A08" w14:textId="77777777" w:rsidTr="00603CB7">
        <w:trPr>
          <w:cantSplit/>
        </w:trPr>
        <w:tc>
          <w:tcPr>
            <w:tcW w:w="1736" w:type="dxa"/>
            <w:shd w:val="clear" w:color="auto" w:fill="FFFFFF"/>
          </w:tcPr>
          <w:p w14:paraId="389201BF"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5459C524"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956.740</w:t>
            </w:r>
          </w:p>
        </w:tc>
        <w:tc>
          <w:tcPr>
            <w:tcW w:w="820" w:type="dxa"/>
            <w:shd w:val="clear" w:color="auto" w:fill="FFFFFF"/>
            <w:vAlign w:val="center"/>
          </w:tcPr>
          <w:p w14:paraId="12ECDE3B"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649</w:t>
            </w:r>
          </w:p>
        </w:tc>
        <w:tc>
          <w:tcPr>
            <w:tcW w:w="1445" w:type="dxa"/>
            <w:shd w:val="clear" w:color="auto" w:fill="FFFFFF"/>
            <w:vAlign w:val="center"/>
          </w:tcPr>
          <w:p w14:paraId="24164358"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1030" w:type="dxa"/>
            <w:shd w:val="clear" w:color="auto" w:fill="FFFFFF"/>
            <w:vAlign w:val="center"/>
          </w:tcPr>
          <w:p w14:paraId="05224C82"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674" w:type="dxa"/>
            <w:shd w:val="clear" w:color="auto" w:fill="FFFFFF"/>
            <w:vAlign w:val="center"/>
          </w:tcPr>
          <w:p w14:paraId="0FDDB9EC"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r>
    </w:tbl>
    <w:p w14:paraId="4C4EF0B1" w14:textId="07DABEA8" w:rsidR="000B4835" w:rsidRPr="00CF31E0" w:rsidRDefault="000B4835" w:rsidP="00603CB7">
      <w:pPr>
        <w:pStyle w:val="Tablecaption"/>
        <w:spacing w:after="400"/>
        <w:rPr>
          <w:lang w:eastAsia="en-US"/>
        </w:rPr>
      </w:pPr>
      <w:bookmarkStart w:id="1165" w:name="_Toc522527551"/>
      <w:bookmarkStart w:id="1166" w:name="_Toc522628964"/>
      <w:bookmarkStart w:id="1167" w:name="_Toc522629128"/>
      <w:bookmarkStart w:id="1168" w:name="_Toc6473224"/>
      <w:r w:rsidRPr="00CF31E0">
        <w:rPr>
          <w:lang w:eastAsia="en-US"/>
        </w:rPr>
        <w:t xml:space="preserve">Table </w:t>
      </w:r>
      <w:r w:rsidR="006F0C71" w:rsidRPr="00CF31E0">
        <w:rPr>
          <w:lang w:eastAsia="en-US"/>
        </w:rPr>
        <w:t>11</w:t>
      </w:r>
      <w:r w:rsidR="00996823" w:rsidRPr="00CF31E0">
        <w:rPr>
          <w:lang w:eastAsia="en-US"/>
        </w:rPr>
        <w:t>.</w:t>
      </w:r>
      <w:r w:rsidR="006F0C71" w:rsidRPr="00CF31E0">
        <w:rPr>
          <w:lang w:eastAsia="en-US"/>
        </w:rPr>
        <w:t>8</w:t>
      </w:r>
      <w:r w:rsidR="00BD0F2B" w:rsidRPr="00CF31E0">
        <w:rPr>
          <w:lang w:eastAsia="en-US"/>
        </w:rPr>
        <w:t>6</w:t>
      </w:r>
      <w:r w:rsidRPr="00CF31E0">
        <w:rPr>
          <w:lang w:eastAsia="en-US"/>
        </w:rPr>
        <w:t>: ANOVA statistics for gender demographic variable.</w:t>
      </w:r>
      <w:bookmarkEnd w:id="1165"/>
      <w:bookmarkEnd w:id="1166"/>
      <w:bookmarkEnd w:id="1167"/>
      <w:bookmarkEnd w:id="1168"/>
    </w:p>
    <w:tbl>
      <w:tblPr>
        <w:tblW w:w="7363" w:type="dxa"/>
        <w:tblInd w:w="-1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092"/>
        <w:gridCol w:w="1329"/>
        <w:gridCol w:w="2714"/>
        <w:gridCol w:w="1091"/>
        <w:gridCol w:w="1137"/>
      </w:tblGrid>
      <w:tr w:rsidR="007F558A" w:rsidRPr="00CF31E0" w14:paraId="4B32144C" w14:textId="77777777" w:rsidTr="000B4835">
        <w:trPr>
          <w:cantSplit/>
        </w:trPr>
        <w:tc>
          <w:tcPr>
            <w:tcW w:w="1092" w:type="dxa"/>
            <w:tcBorders>
              <w:top w:val="single" w:sz="8" w:space="0" w:color="auto"/>
              <w:bottom w:val="single" w:sz="8" w:space="0" w:color="auto"/>
            </w:tcBorders>
          </w:tcPr>
          <w:p w14:paraId="18F80B66"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4043" w:type="dxa"/>
            <w:gridSpan w:val="2"/>
            <w:tcBorders>
              <w:top w:val="single" w:sz="8" w:space="0" w:color="auto"/>
              <w:bottom w:val="single" w:sz="8" w:space="0" w:color="auto"/>
            </w:tcBorders>
            <w:shd w:val="clear" w:color="auto" w:fill="FFFFFF"/>
            <w:vAlign w:val="bottom"/>
          </w:tcPr>
          <w:p w14:paraId="7EDA0CE9"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Gender</w:t>
            </w:r>
          </w:p>
        </w:tc>
        <w:tc>
          <w:tcPr>
            <w:tcW w:w="1091" w:type="dxa"/>
            <w:tcBorders>
              <w:top w:val="single" w:sz="8" w:space="0" w:color="auto"/>
              <w:bottom w:val="single" w:sz="8" w:space="0" w:color="auto"/>
            </w:tcBorders>
            <w:shd w:val="clear" w:color="auto" w:fill="FFFFFF"/>
            <w:vAlign w:val="bottom"/>
          </w:tcPr>
          <w:p w14:paraId="0E2E4414"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Statistic</w:t>
            </w:r>
          </w:p>
        </w:tc>
        <w:tc>
          <w:tcPr>
            <w:tcW w:w="1137" w:type="dxa"/>
            <w:tcBorders>
              <w:top w:val="single" w:sz="8" w:space="0" w:color="auto"/>
              <w:bottom w:val="single" w:sz="8" w:space="0" w:color="auto"/>
            </w:tcBorders>
            <w:shd w:val="clear" w:color="auto" w:fill="FFFFFF"/>
            <w:vAlign w:val="bottom"/>
          </w:tcPr>
          <w:p w14:paraId="1FF6694B"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Std. Error</w:t>
            </w:r>
          </w:p>
        </w:tc>
      </w:tr>
      <w:tr w:rsidR="007F558A" w:rsidRPr="00CF31E0" w14:paraId="36369E45" w14:textId="77777777" w:rsidTr="000B4835">
        <w:trPr>
          <w:cantSplit/>
          <w:trHeight w:val="682"/>
        </w:trPr>
        <w:tc>
          <w:tcPr>
            <w:tcW w:w="1092" w:type="dxa"/>
            <w:vMerge w:val="restart"/>
            <w:tcBorders>
              <w:top w:val="single" w:sz="8" w:space="0" w:color="auto"/>
              <w:bottom w:val="nil"/>
            </w:tcBorders>
            <w:shd w:val="clear" w:color="auto" w:fill="FFFFFF"/>
          </w:tcPr>
          <w:p w14:paraId="5B418E56"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Modern</w:t>
            </w:r>
          </w:p>
        </w:tc>
        <w:tc>
          <w:tcPr>
            <w:tcW w:w="1329" w:type="dxa"/>
            <w:tcBorders>
              <w:top w:val="single" w:sz="8" w:space="0" w:color="auto"/>
              <w:bottom w:val="nil"/>
            </w:tcBorders>
            <w:shd w:val="clear" w:color="auto" w:fill="FFFFFF"/>
          </w:tcPr>
          <w:p w14:paraId="7CFE5434"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Male</w:t>
            </w:r>
          </w:p>
        </w:tc>
        <w:tc>
          <w:tcPr>
            <w:tcW w:w="2714" w:type="dxa"/>
            <w:tcBorders>
              <w:top w:val="single" w:sz="8" w:space="0" w:color="auto"/>
              <w:bottom w:val="nil"/>
            </w:tcBorders>
            <w:shd w:val="clear" w:color="auto" w:fill="FFFFFF"/>
          </w:tcPr>
          <w:p w14:paraId="43F13C5C"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091" w:type="dxa"/>
            <w:tcBorders>
              <w:top w:val="single" w:sz="8" w:space="0" w:color="auto"/>
              <w:bottom w:val="nil"/>
            </w:tcBorders>
            <w:shd w:val="clear" w:color="auto" w:fill="FFFFFF"/>
            <w:vAlign w:val="center"/>
          </w:tcPr>
          <w:p w14:paraId="18A57DCD"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3.1630</w:t>
            </w:r>
          </w:p>
        </w:tc>
        <w:tc>
          <w:tcPr>
            <w:tcW w:w="1137" w:type="dxa"/>
            <w:tcBorders>
              <w:top w:val="single" w:sz="8" w:space="0" w:color="auto"/>
              <w:bottom w:val="nil"/>
            </w:tcBorders>
            <w:shd w:val="clear" w:color="auto" w:fill="FFFFFF"/>
            <w:vAlign w:val="center"/>
          </w:tcPr>
          <w:p w14:paraId="1FD7D5ED"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.06845</w:t>
            </w:r>
          </w:p>
        </w:tc>
      </w:tr>
      <w:tr w:rsidR="007F558A" w:rsidRPr="00CF31E0" w14:paraId="45A76A57" w14:textId="77777777" w:rsidTr="000B4835">
        <w:trPr>
          <w:cantSplit/>
        </w:trPr>
        <w:tc>
          <w:tcPr>
            <w:tcW w:w="1092" w:type="dxa"/>
            <w:vMerge/>
            <w:tcBorders>
              <w:top w:val="nil"/>
            </w:tcBorders>
            <w:shd w:val="clear" w:color="auto" w:fill="FFFFFF"/>
          </w:tcPr>
          <w:p w14:paraId="6862873E" w14:textId="77777777" w:rsidR="000B4835" w:rsidRPr="00CF31E0" w:rsidRDefault="000B4835" w:rsidP="000B4835">
            <w:pPr>
              <w:spacing w:before="120" w:after="120" w:line="360" w:lineRule="auto"/>
              <w:rPr>
                <w:rFonts w:eastAsia="Calibri" w:cs="Arial"/>
                <w:color w:val="000000" w:themeColor="text1"/>
                <w:sz w:val="22"/>
                <w:szCs w:val="22"/>
                <w:lang w:eastAsia="en-US"/>
              </w:rPr>
            </w:pPr>
          </w:p>
        </w:tc>
        <w:tc>
          <w:tcPr>
            <w:tcW w:w="1329" w:type="dxa"/>
            <w:tcBorders>
              <w:top w:val="nil"/>
            </w:tcBorders>
            <w:shd w:val="clear" w:color="auto" w:fill="FFFFFF"/>
          </w:tcPr>
          <w:p w14:paraId="26EB4EFC"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Female</w:t>
            </w:r>
          </w:p>
        </w:tc>
        <w:tc>
          <w:tcPr>
            <w:tcW w:w="2714" w:type="dxa"/>
            <w:tcBorders>
              <w:top w:val="nil"/>
            </w:tcBorders>
            <w:shd w:val="clear" w:color="auto" w:fill="FFFFFF"/>
          </w:tcPr>
          <w:p w14:paraId="2C41DDE2"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Mean</w:t>
            </w:r>
          </w:p>
        </w:tc>
        <w:tc>
          <w:tcPr>
            <w:tcW w:w="1091" w:type="dxa"/>
            <w:tcBorders>
              <w:top w:val="nil"/>
            </w:tcBorders>
            <w:shd w:val="clear" w:color="auto" w:fill="FFFFFF"/>
            <w:vAlign w:val="center"/>
          </w:tcPr>
          <w:p w14:paraId="75E9F3C0"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2.9142</w:t>
            </w:r>
          </w:p>
        </w:tc>
        <w:tc>
          <w:tcPr>
            <w:tcW w:w="1137" w:type="dxa"/>
            <w:tcBorders>
              <w:top w:val="nil"/>
            </w:tcBorders>
            <w:shd w:val="clear" w:color="auto" w:fill="FFFFFF"/>
            <w:vAlign w:val="center"/>
          </w:tcPr>
          <w:p w14:paraId="2B3905FC" w14:textId="77777777" w:rsidR="000B4835" w:rsidRPr="00CF31E0" w:rsidRDefault="000B4835" w:rsidP="000B4835">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.06528</w:t>
            </w:r>
          </w:p>
        </w:tc>
      </w:tr>
    </w:tbl>
    <w:p w14:paraId="42A7649F" w14:textId="4E90E0A2" w:rsidR="000B4835" w:rsidRPr="00CF31E0" w:rsidRDefault="000B4835" w:rsidP="00E96074">
      <w:pPr>
        <w:pStyle w:val="Tablecaption"/>
        <w:rPr>
          <w:lang w:eastAsia="en-US"/>
        </w:rPr>
      </w:pPr>
      <w:bookmarkStart w:id="1169" w:name="_Toc522527552"/>
      <w:bookmarkStart w:id="1170" w:name="_Toc522628965"/>
      <w:bookmarkStart w:id="1171" w:name="_Toc522629129"/>
      <w:bookmarkStart w:id="1172" w:name="_Toc6473225"/>
      <w:r w:rsidRPr="00CF31E0">
        <w:rPr>
          <w:lang w:eastAsia="en-US"/>
        </w:rPr>
        <w:t xml:space="preserve">Table </w:t>
      </w:r>
      <w:r w:rsidR="006F0C71" w:rsidRPr="00CF31E0">
        <w:rPr>
          <w:lang w:eastAsia="en-US"/>
        </w:rPr>
        <w:t>11</w:t>
      </w:r>
      <w:r w:rsidR="00996823" w:rsidRPr="00CF31E0">
        <w:rPr>
          <w:lang w:eastAsia="en-US"/>
        </w:rPr>
        <w:t>.</w:t>
      </w:r>
      <w:r w:rsidR="006F0C71" w:rsidRPr="00CF31E0">
        <w:rPr>
          <w:lang w:eastAsia="en-US"/>
        </w:rPr>
        <w:t>8</w:t>
      </w:r>
      <w:r w:rsidR="008A6AD1" w:rsidRPr="00CF31E0">
        <w:rPr>
          <w:lang w:eastAsia="en-US"/>
        </w:rPr>
        <w:t>7</w:t>
      </w:r>
      <w:r w:rsidRPr="00CF31E0">
        <w:rPr>
          <w:lang w:eastAsia="en-US"/>
        </w:rPr>
        <w:t>: Descriptive statistics</w:t>
      </w:r>
      <w:r w:rsidR="00F44425">
        <w:rPr>
          <w:lang w:eastAsia="en-US"/>
        </w:rPr>
        <w:t xml:space="preserve"> for gender demographic variable</w:t>
      </w:r>
      <w:r w:rsidRPr="00CF31E0">
        <w:rPr>
          <w:lang w:eastAsia="en-US"/>
        </w:rPr>
        <w:t>.</w:t>
      </w:r>
      <w:bookmarkEnd w:id="1169"/>
      <w:bookmarkEnd w:id="1170"/>
      <w:bookmarkEnd w:id="1171"/>
      <w:bookmarkEnd w:id="1172"/>
      <w:r w:rsidRPr="00CF31E0">
        <w:rPr>
          <w:lang w:eastAsia="en-US"/>
        </w:rPr>
        <w:t xml:space="preserve"> </w:t>
      </w:r>
    </w:p>
    <w:p w14:paraId="1F259007" w14:textId="3C45E78E" w:rsidR="000B4835" w:rsidRPr="00CF31E0" w:rsidRDefault="000B4835" w:rsidP="00603CB7">
      <w:pPr>
        <w:pStyle w:val="Paragraph"/>
        <w:rPr>
          <w:lang w:eastAsia="en-US"/>
        </w:rPr>
      </w:pPr>
      <w:r w:rsidRPr="00CF31E0">
        <w:rPr>
          <w:lang w:eastAsia="en-US"/>
        </w:rPr>
        <w:t xml:space="preserve">The p value (0.01) displayed in Table </w:t>
      </w:r>
      <w:r w:rsidR="006F0C71" w:rsidRPr="00CF31E0">
        <w:rPr>
          <w:lang w:eastAsia="en-US"/>
        </w:rPr>
        <w:t>11</w:t>
      </w:r>
      <w:r w:rsidR="00996823" w:rsidRPr="00CF31E0">
        <w:rPr>
          <w:lang w:eastAsia="en-US"/>
        </w:rPr>
        <w:t>.</w:t>
      </w:r>
      <w:r w:rsidR="006F0C71" w:rsidRPr="00CF31E0">
        <w:rPr>
          <w:lang w:eastAsia="en-US"/>
        </w:rPr>
        <w:t>8</w:t>
      </w:r>
      <w:r w:rsidR="008A6AD1" w:rsidRPr="00CF31E0">
        <w:rPr>
          <w:lang w:eastAsia="en-US"/>
        </w:rPr>
        <w:t>6</w:t>
      </w:r>
      <w:r w:rsidR="006F0C71" w:rsidRPr="00CF31E0">
        <w:rPr>
          <w:lang w:eastAsia="en-US"/>
        </w:rPr>
        <w:t xml:space="preserve"> </w:t>
      </w:r>
      <w:r w:rsidRPr="00CF31E0">
        <w:rPr>
          <w:lang w:eastAsia="en-US"/>
        </w:rPr>
        <w:t xml:space="preserve">indicates that the difference found between groups is significant. Table </w:t>
      </w:r>
      <w:r w:rsidR="006F0C71" w:rsidRPr="00CF31E0">
        <w:rPr>
          <w:lang w:eastAsia="en-US"/>
        </w:rPr>
        <w:t>11</w:t>
      </w:r>
      <w:r w:rsidR="00996823" w:rsidRPr="00CF31E0">
        <w:rPr>
          <w:lang w:eastAsia="en-US"/>
        </w:rPr>
        <w:t>.</w:t>
      </w:r>
      <w:r w:rsidR="006F0C71" w:rsidRPr="00CF31E0">
        <w:rPr>
          <w:lang w:eastAsia="en-US"/>
        </w:rPr>
        <w:t>8</w:t>
      </w:r>
      <w:r w:rsidR="008A6AD1" w:rsidRPr="00CF31E0">
        <w:rPr>
          <w:lang w:eastAsia="en-US"/>
        </w:rPr>
        <w:t>7</w:t>
      </w:r>
      <w:r w:rsidR="006F0C71" w:rsidRPr="00CF31E0">
        <w:rPr>
          <w:lang w:eastAsia="en-US"/>
        </w:rPr>
        <w:t xml:space="preserve"> </w:t>
      </w:r>
      <w:r w:rsidRPr="00CF31E0">
        <w:rPr>
          <w:lang w:eastAsia="en-US"/>
        </w:rPr>
        <w:t xml:space="preserve">illustrates that the male group perceived the voice as highly modern more frequently than did the female group. </w:t>
      </w:r>
    </w:p>
    <w:p w14:paraId="50341347" w14:textId="4C3BA146" w:rsidR="00FD7E98" w:rsidRPr="00CF31E0" w:rsidRDefault="006F0C71" w:rsidP="00603CB7">
      <w:pPr>
        <w:pStyle w:val="Ahead"/>
      </w:pPr>
      <w:bookmarkStart w:id="1173" w:name="_Toc6472816"/>
      <w:r w:rsidRPr="00CF31E0">
        <w:t>11</w:t>
      </w:r>
      <w:r w:rsidR="00FD7E98" w:rsidRPr="00CF31E0">
        <w:t>.4. Conclusion</w:t>
      </w:r>
      <w:bookmarkEnd w:id="1173"/>
      <w:r w:rsidR="00FD7E98" w:rsidRPr="00CF31E0">
        <w:t xml:space="preserve"> </w:t>
      </w:r>
    </w:p>
    <w:p w14:paraId="78D46441" w14:textId="6E8F3223" w:rsidR="00FD7E98" w:rsidRPr="00CF31E0" w:rsidRDefault="00FD7E98" w:rsidP="008A1A4E">
      <w:pPr>
        <w:pStyle w:val="Paragraph"/>
        <w:rPr>
          <w:lang w:eastAsia="en-US"/>
        </w:rPr>
      </w:pPr>
      <w:r w:rsidRPr="00CF31E0">
        <w:rPr>
          <w:lang w:eastAsia="en-US"/>
        </w:rPr>
        <w:t xml:space="preserve">In summary, </w:t>
      </w:r>
      <w:r w:rsidR="003423CA" w:rsidRPr="00CF31E0">
        <w:rPr>
          <w:lang w:eastAsia="en-US"/>
        </w:rPr>
        <w:t>this</w:t>
      </w:r>
      <w:r w:rsidRPr="00CF31E0">
        <w:rPr>
          <w:lang w:eastAsia="en-US"/>
        </w:rPr>
        <w:t xml:space="preserve"> chapter </w:t>
      </w:r>
      <w:r w:rsidR="009F2439" w:rsidRPr="00CF31E0">
        <w:rPr>
          <w:lang w:eastAsia="en-US"/>
        </w:rPr>
        <w:t xml:space="preserve">has </w:t>
      </w:r>
      <w:r w:rsidRPr="00CF31E0">
        <w:rPr>
          <w:lang w:eastAsia="en-US"/>
        </w:rPr>
        <w:t>present</w:t>
      </w:r>
      <w:r w:rsidR="003423CA" w:rsidRPr="00CF31E0">
        <w:rPr>
          <w:lang w:eastAsia="en-US"/>
        </w:rPr>
        <w:t>ed</w:t>
      </w:r>
      <w:r w:rsidRPr="00CF31E0">
        <w:rPr>
          <w:lang w:eastAsia="en-US"/>
        </w:rPr>
        <w:t xml:space="preserve"> </w:t>
      </w:r>
      <w:r w:rsidR="003423CA" w:rsidRPr="00CF31E0">
        <w:rPr>
          <w:lang w:eastAsia="en-US"/>
        </w:rPr>
        <w:t xml:space="preserve">the </w:t>
      </w:r>
      <w:r w:rsidRPr="00CF31E0">
        <w:rPr>
          <w:lang w:eastAsia="en-US"/>
        </w:rPr>
        <w:t xml:space="preserve">results </w:t>
      </w:r>
      <w:r w:rsidR="003423CA" w:rsidRPr="00CF31E0">
        <w:rPr>
          <w:lang w:eastAsia="en-US"/>
        </w:rPr>
        <w:t>from</w:t>
      </w:r>
      <w:r w:rsidRPr="00CF31E0">
        <w:rPr>
          <w:lang w:eastAsia="en-US"/>
        </w:rPr>
        <w:t xml:space="preserve"> the perceptual and attitudinal studies which were conducted to answer RQ3. The evidence from the perceptual study revealed that the effects of linguistic factors seem to be highly significant for Hijazi people more than the metalinguistic factors. The evidence from the attitudinal study revealed a very similar pattern to results from RQ2</w:t>
      </w:r>
      <w:r w:rsidR="009F2439" w:rsidRPr="00CF31E0">
        <w:rPr>
          <w:lang w:eastAsia="en-US"/>
        </w:rPr>
        <w:t>,</w:t>
      </w:r>
      <w:r w:rsidRPr="00CF31E0">
        <w:rPr>
          <w:lang w:eastAsia="en-US"/>
        </w:rPr>
        <w:t xml:space="preserve"> where UBH </w:t>
      </w:r>
      <w:r w:rsidR="00723333" w:rsidRPr="00CF31E0">
        <w:rPr>
          <w:lang w:eastAsia="en-US"/>
        </w:rPr>
        <w:t>was</w:t>
      </w:r>
      <w:r w:rsidRPr="00CF31E0">
        <w:rPr>
          <w:lang w:eastAsia="en-US"/>
        </w:rPr>
        <w:t xml:space="preserve"> more likely to be associated with traditional characteristics </w:t>
      </w:r>
      <w:r w:rsidR="009F2439" w:rsidRPr="00CF31E0">
        <w:rPr>
          <w:lang w:eastAsia="en-US"/>
        </w:rPr>
        <w:t xml:space="preserve">and </w:t>
      </w:r>
      <w:r w:rsidRPr="00CF31E0">
        <w:rPr>
          <w:lang w:eastAsia="en-US"/>
        </w:rPr>
        <w:t xml:space="preserve">HH </w:t>
      </w:r>
      <w:r w:rsidR="00723333" w:rsidRPr="00CF31E0">
        <w:rPr>
          <w:lang w:eastAsia="en-US"/>
        </w:rPr>
        <w:t>was</w:t>
      </w:r>
      <w:r w:rsidRPr="00CF31E0">
        <w:rPr>
          <w:lang w:eastAsia="en-US"/>
        </w:rPr>
        <w:t xml:space="preserve"> more likely to be associated with modern characteristi</w:t>
      </w:r>
      <w:r w:rsidR="00723333" w:rsidRPr="00CF31E0">
        <w:rPr>
          <w:lang w:eastAsia="en-US"/>
        </w:rPr>
        <w:t>c</w:t>
      </w:r>
      <w:r w:rsidR="009F2439" w:rsidRPr="00CF31E0">
        <w:rPr>
          <w:lang w:eastAsia="en-US"/>
        </w:rPr>
        <w:t>s</w:t>
      </w:r>
      <w:r w:rsidR="00723333" w:rsidRPr="00CF31E0">
        <w:rPr>
          <w:lang w:eastAsia="en-US"/>
        </w:rPr>
        <w:t>. It is important to note that</w:t>
      </w:r>
      <w:r w:rsidRPr="00CF31E0">
        <w:rPr>
          <w:lang w:eastAsia="en-US"/>
        </w:rPr>
        <w:t xml:space="preserve"> different methodological approaches were used in the two studies. </w:t>
      </w:r>
      <w:r w:rsidR="00723333" w:rsidRPr="00CF31E0">
        <w:rPr>
          <w:lang w:eastAsia="en-US"/>
        </w:rPr>
        <w:t>I</w:t>
      </w:r>
      <w:r w:rsidRPr="00CF31E0">
        <w:rPr>
          <w:lang w:eastAsia="en-US"/>
        </w:rPr>
        <w:t>n other words, I used a direct measure, mainly conceptual</w:t>
      </w:r>
      <w:r w:rsidR="009F2439" w:rsidRPr="00CF31E0">
        <w:rPr>
          <w:lang w:eastAsia="en-US"/>
        </w:rPr>
        <w:t>,</w:t>
      </w:r>
      <w:r w:rsidRPr="00CF31E0">
        <w:rPr>
          <w:lang w:eastAsia="en-US"/>
        </w:rPr>
        <w:t xml:space="preserve"> approach in </w:t>
      </w:r>
      <w:r w:rsidR="00723333" w:rsidRPr="00CF31E0">
        <w:rPr>
          <w:lang w:eastAsia="en-US"/>
        </w:rPr>
        <w:t xml:space="preserve">the </w:t>
      </w:r>
      <w:r w:rsidRPr="00CF31E0">
        <w:rPr>
          <w:lang w:eastAsia="en-US"/>
        </w:rPr>
        <w:t>methodology for RQ2, while I used an indirect measure in RQ3, which include</w:t>
      </w:r>
      <w:r w:rsidR="00723333" w:rsidRPr="00CF31E0">
        <w:rPr>
          <w:lang w:eastAsia="en-US"/>
        </w:rPr>
        <w:t>d</w:t>
      </w:r>
      <w:r w:rsidRPr="00CF31E0">
        <w:rPr>
          <w:lang w:eastAsia="en-US"/>
        </w:rPr>
        <w:t xml:space="preserve"> a vocal trigger of the dialects in question. </w:t>
      </w:r>
      <w:r w:rsidR="00723333" w:rsidRPr="00CF31E0">
        <w:rPr>
          <w:lang w:eastAsia="en-US"/>
        </w:rPr>
        <w:t>Further</w:t>
      </w:r>
      <w:r w:rsidRPr="00CF31E0">
        <w:rPr>
          <w:lang w:eastAsia="en-US"/>
        </w:rPr>
        <w:t xml:space="preserve"> discussion on the comparable pattern</w:t>
      </w:r>
      <w:r w:rsidR="00723333" w:rsidRPr="00CF31E0">
        <w:rPr>
          <w:lang w:eastAsia="en-US"/>
        </w:rPr>
        <w:t>s</w:t>
      </w:r>
      <w:r w:rsidRPr="00CF31E0">
        <w:rPr>
          <w:lang w:eastAsia="en-US"/>
        </w:rPr>
        <w:t xml:space="preserve"> revealed between the two studies will be given in the conclusion chapter</w:t>
      </w:r>
      <w:r w:rsidR="00723333" w:rsidRPr="00CF31E0">
        <w:rPr>
          <w:lang w:eastAsia="en-US"/>
        </w:rPr>
        <w:t>;</w:t>
      </w:r>
      <w:r w:rsidRPr="00CF31E0">
        <w:rPr>
          <w:lang w:eastAsia="en-US"/>
        </w:rPr>
        <w:t xml:space="preserve"> see </w:t>
      </w:r>
      <w:r w:rsidR="00847047" w:rsidRPr="00CF31E0">
        <w:rPr>
          <w:lang w:eastAsia="en-US"/>
        </w:rPr>
        <w:t>C</w:t>
      </w:r>
      <w:r w:rsidR="00232F36" w:rsidRPr="00CF31E0">
        <w:rPr>
          <w:lang w:eastAsia="en-US"/>
        </w:rPr>
        <w:t>hapter 13</w:t>
      </w:r>
      <w:r w:rsidR="00847047" w:rsidRPr="00CF31E0">
        <w:rPr>
          <w:lang w:eastAsia="en-US"/>
        </w:rPr>
        <w:t>,</w:t>
      </w:r>
      <w:r w:rsidRPr="00CF31E0">
        <w:rPr>
          <w:lang w:eastAsia="en-US"/>
        </w:rPr>
        <w:t xml:space="preserve"> </w:t>
      </w:r>
      <w:r w:rsidR="00847047" w:rsidRPr="00CF31E0">
        <w:rPr>
          <w:lang w:eastAsia="en-US"/>
        </w:rPr>
        <w:t>s</w:t>
      </w:r>
      <w:r w:rsidR="00232F36" w:rsidRPr="00CF31E0">
        <w:rPr>
          <w:lang w:eastAsia="en-US"/>
        </w:rPr>
        <w:t>ection 13.2</w:t>
      </w:r>
      <w:r w:rsidRPr="00CF31E0">
        <w:rPr>
          <w:lang w:eastAsia="en-US"/>
        </w:rPr>
        <w:t>.</w:t>
      </w:r>
    </w:p>
    <w:p w14:paraId="231E9EE0" w14:textId="77777777" w:rsidR="00FD7E98" w:rsidRPr="00CF31E0" w:rsidRDefault="00FD7E98" w:rsidP="000B4835">
      <w:pPr>
        <w:widowControl w:val="0"/>
        <w:autoSpaceDE w:val="0"/>
        <w:autoSpaceDN w:val="0"/>
        <w:adjustRightInd w:val="0"/>
        <w:spacing w:line="360" w:lineRule="auto"/>
        <w:rPr>
          <w:rFonts w:eastAsia="Calibri"/>
          <w:color w:val="000000" w:themeColor="text1"/>
          <w:lang w:eastAsia="en-US"/>
        </w:rPr>
      </w:pPr>
    </w:p>
    <w:p w14:paraId="3376AB1F" w14:textId="77777777" w:rsidR="00FD7E98" w:rsidRPr="00CF31E0" w:rsidRDefault="00FD7E98" w:rsidP="000B4835">
      <w:pPr>
        <w:widowControl w:val="0"/>
        <w:autoSpaceDE w:val="0"/>
        <w:autoSpaceDN w:val="0"/>
        <w:adjustRightInd w:val="0"/>
        <w:spacing w:line="360" w:lineRule="auto"/>
        <w:rPr>
          <w:rFonts w:eastAsia="Calibri"/>
          <w:color w:val="000000" w:themeColor="text1"/>
          <w:lang w:eastAsia="en-US"/>
        </w:rPr>
      </w:pPr>
    </w:p>
    <w:p w14:paraId="218163A9" w14:textId="77777777" w:rsidR="00FD7E98" w:rsidRPr="00CF31E0" w:rsidRDefault="00FD7E98" w:rsidP="000B4835">
      <w:pPr>
        <w:widowControl w:val="0"/>
        <w:autoSpaceDE w:val="0"/>
        <w:autoSpaceDN w:val="0"/>
        <w:adjustRightInd w:val="0"/>
        <w:spacing w:line="360" w:lineRule="auto"/>
        <w:rPr>
          <w:rFonts w:eastAsia="Calibri"/>
          <w:color w:val="000000" w:themeColor="text1"/>
          <w:lang w:eastAsia="en-US"/>
        </w:rPr>
        <w:sectPr w:rsidR="00FD7E98" w:rsidRPr="00CF31E0" w:rsidSect="00603CB7">
          <w:footerReference w:type="even" r:id="rId45"/>
          <w:footerReference w:type="default" r:id="rId46"/>
          <w:pgSz w:w="11900" w:h="16840"/>
          <w:pgMar w:top="1474" w:right="2268" w:bottom="1440" w:left="2268" w:header="709" w:footer="709" w:gutter="0"/>
          <w:cols w:space="708"/>
          <w:docGrid w:linePitch="360"/>
        </w:sectPr>
      </w:pPr>
    </w:p>
    <w:p w14:paraId="31D03D8D" w14:textId="2DB00315" w:rsidR="00C01D13" w:rsidRPr="00CF31E0" w:rsidRDefault="00C01D13" w:rsidP="008D117A">
      <w:pPr>
        <w:pStyle w:val="Title"/>
        <w:rPr>
          <w:rFonts w:eastAsia="Times New Roman"/>
          <w:color w:val="000000" w:themeColor="text1"/>
          <w:lang w:eastAsia="zh-CN"/>
        </w:rPr>
      </w:pPr>
      <w:bookmarkStart w:id="1174" w:name="_Toc6472817"/>
      <w:bookmarkStart w:id="1175" w:name="_Toc518640414"/>
      <w:r w:rsidRPr="00CF31E0">
        <w:rPr>
          <w:rFonts w:eastAsia="Times New Roman"/>
          <w:color w:val="000000" w:themeColor="text1"/>
          <w:lang w:eastAsia="zh-CN"/>
        </w:rPr>
        <w:lastRenderedPageBreak/>
        <w:t xml:space="preserve">Chapter </w:t>
      </w:r>
      <w:r w:rsidR="008D117A" w:rsidRPr="00CF31E0">
        <w:rPr>
          <w:rFonts w:eastAsia="Times New Roman"/>
          <w:color w:val="000000" w:themeColor="text1"/>
          <w:lang w:eastAsia="zh-CN"/>
        </w:rPr>
        <w:t>12</w:t>
      </w:r>
      <w:r w:rsidRPr="00CF31E0">
        <w:rPr>
          <w:rFonts w:eastAsia="Times New Roman"/>
          <w:color w:val="000000" w:themeColor="text1"/>
          <w:lang w:eastAsia="zh-CN"/>
        </w:rPr>
        <w:t>: Discussion chapter for RQ3</w:t>
      </w:r>
      <w:bookmarkEnd w:id="1174"/>
    </w:p>
    <w:p w14:paraId="7E77487D" w14:textId="5473036F" w:rsidR="000B4835" w:rsidRPr="00CF31E0" w:rsidRDefault="008D117A" w:rsidP="008D117A">
      <w:pPr>
        <w:pStyle w:val="Ahead"/>
        <w:rPr>
          <w:rFonts w:eastAsia="Times New Roman"/>
        </w:rPr>
      </w:pPr>
      <w:bookmarkStart w:id="1176" w:name="_Toc6472818"/>
      <w:r w:rsidRPr="00CF31E0">
        <w:rPr>
          <w:rFonts w:eastAsia="Times New Roman"/>
        </w:rPr>
        <w:t>12</w:t>
      </w:r>
      <w:r w:rsidR="00C01D13" w:rsidRPr="00CF31E0">
        <w:rPr>
          <w:rFonts w:eastAsia="Times New Roman"/>
        </w:rPr>
        <w:t>.1</w:t>
      </w:r>
      <w:r w:rsidR="00FF76E5" w:rsidRPr="00CF31E0">
        <w:rPr>
          <w:rFonts w:eastAsia="Times New Roman"/>
        </w:rPr>
        <w:t>.</w:t>
      </w:r>
      <w:r w:rsidR="008A2A0D" w:rsidRPr="00CF31E0">
        <w:rPr>
          <w:rFonts w:eastAsia="Times New Roman"/>
        </w:rPr>
        <w:tab/>
      </w:r>
      <w:r w:rsidR="000B4835" w:rsidRPr="00CF31E0">
        <w:rPr>
          <w:rFonts w:eastAsia="Times New Roman"/>
        </w:rPr>
        <w:t>Introduction</w:t>
      </w:r>
      <w:bookmarkEnd w:id="1175"/>
      <w:bookmarkEnd w:id="1176"/>
    </w:p>
    <w:p w14:paraId="4124D082" w14:textId="4D72B8DD" w:rsidR="000B4835" w:rsidRPr="00CF31E0" w:rsidRDefault="000B4835" w:rsidP="00603CB7">
      <w:pPr>
        <w:pStyle w:val="Paragraph"/>
        <w:rPr>
          <w:lang w:eastAsia="zh-CN"/>
        </w:rPr>
      </w:pPr>
      <w:r w:rsidRPr="00CF31E0">
        <w:rPr>
          <w:lang w:eastAsia="zh-CN"/>
        </w:rPr>
        <w:t xml:space="preserve">This chapter reflects on the main findings from RQ3, which aimed to elicit information in two key areas: the first relates to perceptions towards the UBH dialect and the HH dialect, and the second relates to attitudes towards these varieties. The rationale for combining the perceptual and the attitudinal studies in the present research has already been discussed in </w:t>
      </w:r>
      <w:r w:rsidR="00847047" w:rsidRPr="00CF31E0">
        <w:rPr>
          <w:lang w:eastAsia="zh-CN"/>
        </w:rPr>
        <w:t>C</w:t>
      </w:r>
      <w:r w:rsidRPr="00CF31E0">
        <w:rPr>
          <w:lang w:eastAsia="zh-CN"/>
        </w:rPr>
        <w:t>hapter</w:t>
      </w:r>
      <w:r w:rsidR="00FF193E" w:rsidRPr="00CF31E0">
        <w:rPr>
          <w:lang w:eastAsia="zh-CN"/>
        </w:rPr>
        <w:t xml:space="preserve"> </w:t>
      </w:r>
      <w:r w:rsidR="008D117A" w:rsidRPr="00CF31E0">
        <w:rPr>
          <w:lang w:eastAsia="zh-CN"/>
        </w:rPr>
        <w:t>4</w:t>
      </w:r>
      <w:r w:rsidR="00FF193E" w:rsidRPr="00CF31E0">
        <w:rPr>
          <w:lang w:eastAsia="zh-CN"/>
        </w:rPr>
        <w:t>.</w:t>
      </w:r>
      <w:r w:rsidRPr="00CF31E0">
        <w:rPr>
          <w:lang w:eastAsia="zh-CN"/>
        </w:rPr>
        <w:t xml:space="preserve"> Accordingly, the findings will be discussed in two parts: the perceptual study, and the language attitude study. </w:t>
      </w:r>
    </w:p>
    <w:p w14:paraId="42D5B206" w14:textId="09876CB3" w:rsidR="000B4835" w:rsidRPr="00CF31E0" w:rsidRDefault="000B4835" w:rsidP="00603CB7">
      <w:pPr>
        <w:pStyle w:val="Paragraph"/>
        <w:rPr>
          <w:lang w:eastAsia="zh-CN"/>
        </w:rPr>
      </w:pPr>
      <w:r w:rsidRPr="00CF31E0">
        <w:rPr>
          <w:lang w:eastAsia="zh-CN"/>
        </w:rPr>
        <w:t xml:space="preserve">The chapter begins with a brief summary of both the perceptual and language attitude study results. A section on the perceptual study results follows, and I discuss how the results revealed a fairly homogenous pattern regarding the allocation of voice samples. This homogenous pattern is supported by further results on the effects of demographic variables, where only a few demographic variables affected the allocation of voice samples. In the section on the language attitude study results, I will discuss how the distinctive evaluative profiles for the two dialects confirmed the situation of dialect dichotomy in the region. The chapter concludes with implications from the present study for Saudi language attitude research, and to the wider field of language attitude studies. </w:t>
      </w:r>
    </w:p>
    <w:p w14:paraId="1B1B71F7" w14:textId="452AD871" w:rsidR="000B4835" w:rsidRPr="00CF31E0" w:rsidRDefault="008D117A" w:rsidP="008D117A">
      <w:pPr>
        <w:pStyle w:val="Ahead"/>
        <w:rPr>
          <w:rFonts w:eastAsia="Times New Roman"/>
        </w:rPr>
      </w:pPr>
      <w:bookmarkStart w:id="1177" w:name="_Toc518640286"/>
      <w:bookmarkStart w:id="1178" w:name="_Toc518640310"/>
      <w:bookmarkStart w:id="1179" w:name="_Toc518640415"/>
      <w:bookmarkStart w:id="1180" w:name="_Toc6472819"/>
      <w:bookmarkEnd w:id="1177"/>
      <w:bookmarkEnd w:id="1178"/>
      <w:r w:rsidRPr="00CF31E0">
        <w:rPr>
          <w:rFonts w:eastAsia="Times New Roman"/>
        </w:rPr>
        <w:t>12</w:t>
      </w:r>
      <w:r w:rsidR="008A2A0D" w:rsidRPr="00CF31E0">
        <w:rPr>
          <w:rFonts w:eastAsia="Times New Roman"/>
        </w:rPr>
        <w:t>.2.</w:t>
      </w:r>
      <w:r w:rsidR="008A2A0D" w:rsidRPr="00CF31E0">
        <w:rPr>
          <w:rFonts w:eastAsia="Times New Roman"/>
        </w:rPr>
        <w:tab/>
      </w:r>
      <w:r w:rsidR="000B4835" w:rsidRPr="00CF31E0">
        <w:rPr>
          <w:rFonts w:eastAsia="Times New Roman"/>
        </w:rPr>
        <w:t>Summary of results</w:t>
      </w:r>
      <w:bookmarkEnd w:id="1179"/>
      <w:bookmarkEnd w:id="1180"/>
      <w:r w:rsidR="000B4835" w:rsidRPr="00CF31E0">
        <w:rPr>
          <w:rFonts w:eastAsia="Times New Roman"/>
        </w:rPr>
        <w:t xml:space="preserve"> </w:t>
      </w:r>
    </w:p>
    <w:p w14:paraId="06EFC5C9" w14:textId="17BE3EF2" w:rsidR="000B4835" w:rsidRPr="00CF31E0" w:rsidRDefault="008D117A" w:rsidP="008D117A">
      <w:pPr>
        <w:pStyle w:val="Bhead"/>
      </w:pPr>
      <w:bookmarkStart w:id="1181" w:name="_Toc518640416"/>
      <w:bookmarkStart w:id="1182" w:name="_Toc6472820"/>
      <w:r w:rsidRPr="00CF31E0">
        <w:t>12</w:t>
      </w:r>
      <w:r w:rsidR="008A2A0D" w:rsidRPr="00CF31E0">
        <w:t>.2.1.</w:t>
      </w:r>
      <w:r w:rsidR="008A2A0D" w:rsidRPr="00CF31E0">
        <w:tab/>
      </w:r>
      <w:r w:rsidR="000B4835" w:rsidRPr="00CF31E0">
        <w:t>The perceptual study results</w:t>
      </w:r>
      <w:bookmarkEnd w:id="1181"/>
      <w:bookmarkEnd w:id="1182"/>
    </w:p>
    <w:p w14:paraId="37835436" w14:textId="50F0051D" w:rsidR="000B4835" w:rsidRPr="00CF31E0" w:rsidRDefault="000B4835" w:rsidP="00603CB7">
      <w:pPr>
        <w:pStyle w:val="Paragraph"/>
        <w:rPr>
          <w:lang w:eastAsia="en-US"/>
        </w:rPr>
      </w:pPr>
      <w:r w:rsidRPr="00CF31E0">
        <w:rPr>
          <w:lang w:eastAsia="en-US"/>
        </w:rPr>
        <w:t xml:space="preserve">As noted in </w:t>
      </w:r>
      <w:r w:rsidR="00847047" w:rsidRPr="00CF31E0">
        <w:rPr>
          <w:lang w:eastAsia="en-US"/>
        </w:rPr>
        <w:t>C</w:t>
      </w:r>
      <w:r w:rsidRPr="00CF31E0">
        <w:rPr>
          <w:lang w:eastAsia="en-US"/>
        </w:rPr>
        <w:t>hapter</w:t>
      </w:r>
      <w:r w:rsidR="00FF193E" w:rsidRPr="00CF31E0">
        <w:rPr>
          <w:lang w:eastAsia="en-US"/>
        </w:rPr>
        <w:t xml:space="preserve"> </w:t>
      </w:r>
      <w:r w:rsidR="008D117A" w:rsidRPr="00CF31E0">
        <w:rPr>
          <w:lang w:eastAsia="en-US"/>
        </w:rPr>
        <w:t>5</w:t>
      </w:r>
      <w:r w:rsidR="00FF193E" w:rsidRPr="00CF31E0">
        <w:rPr>
          <w:lang w:eastAsia="en-US"/>
        </w:rPr>
        <w:t>,</w:t>
      </w:r>
      <w:r w:rsidRPr="00CF31E0">
        <w:rPr>
          <w:lang w:eastAsia="en-US"/>
        </w:rPr>
        <w:t xml:space="preserve"> </w:t>
      </w:r>
      <w:r w:rsidR="00FF193E" w:rsidRPr="00CF31E0">
        <w:rPr>
          <w:lang w:eastAsia="en-US"/>
        </w:rPr>
        <w:t>s</w:t>
      </w:r>
      <w:r w:rsidRPr="00CF31E0">
        <w:rPr>
          <w:lang w:eastAsia="en-US"/>
        </w:rPr>
        <w:t>ectio</w:t>
      </w:r>
      <w:r w:rsidR="00FF193E" w:rsidRPr="00CF31E0">
        <w:rPr>
          <w:lang w:eastAsia="en-US"/>
        </w:rPr>
        <w:t xml:space="preserve">n </w:t>
      </w:r>
      <w:r w:rsidR="008D117A" w:rsidRPr="00CF31E0">
        <w:rPr>
          <w:lang w:eastAsia="en-US"/>
        </w:rPr>
        <w:t>5</w:t>
      </w:r>
      <w:r w:rsidR="00FF193E" w:rsidRPr="00CF31E0">
        <w:rPr>
          <w:lang w:eastAsia="en-US"/>
        </w:rPr>
        <w:t>.5.2.4.1</w:t>
      </w:r>
      <w:r w:rsidRPr="00CF31E0">
        <w:rPr>
          <w:lang w:eastAsia="en-US"/>
        </w:rPr>
        <w:t>, five voice samples were introduced in the task. The main findings of this study revealed that in the first four samples, based on a verbal</w:t>
      </w:r>
      <w:r w:rsidR="005D0894" w:rsidRPr="00CF31E0">
        <w:rPr>
          <w:lang w:eastAsia="en-US"/>
        </w:rPr>
        <w:t>-guise</w:t>
      </w:r>
      <w:r w:rsidRPr="00CF31E0">
        <w:rPr>
          <w:lang w:eastAsia="en-US"/>
        </w:rPr>
        <w:t xml:space="preserve"> technique, the majority of participants allocated the voice samples to their correct social groups regardless of the manipulation applied in the task. Simply put, the metalinguistic factor (i.e. manipulation of the speaker</w:t>
      </w:r>
      <w:r w:rsidR="001E6A55" w:rsidRPr="00CF31E0">
        <w:rPr>
          <w:lang w:eastAsia="en-US"/>
        </w:rPr>
        <w:t>’</w:t>
      </w:r>
      <w:r w:rsidRPr="00CF31E0">
        <w:rPr>
          <w:lang w:eastAsia="en-US"/>
        </w:rPr>
        <w:t xml:space="preserve">s surname) seemed to have very little effect on </w:t>
      </w:r>
      <w:r w:rsidRPr="00CF31E0">
        <w:rPr>
          <w:lang w:eastAsia="en-US"/>
        </w:rPr>
        <w:lastRenderedPageBreak/>
        <w:t xml:space="preserve">participants’ perceptions. A fifth voice sample was provided, following a matched-guise technique, where the speaker’s original dialect was HH but during the task he imitated the UBH dialect. The results showed that 70.7% of participants allocated the speaker to the UBH social group rather than his real HH social group. Throughout the chapter, I will discuss the results for VS5 with the results of UBH speakers, as VS5 imitated the dialect of the UBH social group. </w:t>
      </w:r>
    </w:p>
    <w:p w14:paraId="43170CE5" w14:textId="5F9B237A" w:rsidR="000B4835" w:rsidRPr="00CF31E0" w:rsidRDefault="000B4835" w:rsidP="00603CB7">
      <w:pPr>
        <w:pStyle w:val="Paragraph"/>
        <w:rPr>
          <w:lang w:eastAsia="en-US"/>
        </w:rPr>
      </w:pPr>
      <w:r w:rsidRPr="00CF31E0">
        <w:rPr>
          <w:lang w:eastAsia="en-US"/>
        </w:rPr>
        <w:t xml:space="preserve">Regarding the effects of demographic variables on the allocation task, the results showed a homogeneous pattern regarding perceptions towards VS1, VS3 and VS4 (see full linguistic description for the voices in </w:t>
      </w:r>
      <w:r w:rsidR="00847047" w:rsidRPr="00CF31E0">
        <w:rPr>
          <w:lang w:eastAsia="en-US"/>
        </w:rPr>
        <w:t>C</w:t>
      </w:r>
      <w:r w:rsidRPr="00CF31E0">
        <w:rPr>
          <w:lang w:eastAsia="en-US"/>
        </w:rPr>
        <w:t>hapte</w:t>
      </w:r>
      <w:r w:rsidR="00C068F2" w:rsidRPr="00CF31E0">
        <w:rPr>
          <w:lang w:eastAsia="en-US"/>
        </w:rPr>
        <w:t xml:space="preserve">r </w:t>
      </w:r>
      <w:r w:rsidR="008D117A" w:rsidRPr="00CF31E0">
        <w:rPr>
          <w:lang w:eastAsia="en-US"/>
        </w:rPr>
        <w:t>11</w:t>
      </w:r>
      <w:r w:rsidR="00C068F2" w:rsidRPr="00CF31E0">
        <w:rPr>
          <w:lang w:eastAsia="en-US"/>
        </w:rPr>
        <w:t>,</w:t>
      </w:r>
      <w:r w:rsidRPr="00CF31E0">
        <w:rPr>
          <w:lang w:eastAsia="en-US"/>
        </w:rPr>
        <w:t xml:space="preserve"> section</w:t>
      </w:r>
      <w:r w:rsidR="00C068F2" w:rsidRPr="00CF31E0">
        <w:rPr>
          <w:lang w:eastAsia="en-US"/>
        </w:rPr>
        <w:t xml:space="preserve"> </w:t>
      </w:r>
      <w:r w:rsidR="008D117A" w:rsidRPr="00CF31E0">
        <w:rPr>
          <w:lang w:eastAsia="en-US"/>
        </w:rPr>
        <w:t>11</w:t>
      </w:r>
      <w:r w:rsidR="00C068F2" w:rsidRPr="00CF31E0">
        <w:rPr>
          <w:lang w:eastAsia="en-US"/>
        </w:rPr>
        <w:t>.2</w:t>
      </w:r>
      <w:r w:rsidRPr="00CF31E0">
        <w:rPr>
          <w:lang w:eastAsia="en-US"/>
        </w:rPr>
        <w:t xml:space="preserve">). For VS2, the social group was the only demographic variable that affected the results, with the results revealing that UBH participants were better at allocating the UBH speaker to their social group. For VS5, two demographic variables affected the results: gender and social group. Female participants and UBH participants were more successful at recognizing the imitated UBH guise, which is clear from their higher percentage scores in allocating the speaker to the UBH social group. </w:t>
      </w:r>
    </w:p>
    <w:p w14:paraId="1ED5031C" w14:textId="5DACE00D" w:rsidR="000B4835" w:rsidRPr="00CF31E0" w:rsidRDefault="008D117A" w:rsidP="008D117A">
      <w:pPr>
        <w:pStyle w:val="Bhead"/>
      </w:pPr>
      <w:bookmarkStart w:id="1183" w:name="_Toc518640417"/>
      <w:bookmarkStart w:id="1184" w:name="_Toc6472821"/>
      <w:r w:rsidRPr="00CF31E0">
        <w:t>12</w:t>
      </w:r>
      <w:r w:rsidR="008A2A0D" w:rsidRPr="00CF31E0">
        <w:t>.2.2.</w:t>
      </w:r>
      <w:r w:rsidR="008A2A0D" w:rsidRPr="00CF31E0">
        <w:tab/>
      </w:r>
      <w:r w:rsidR="000B4835" w:rsidRPr="00CF31E0">
        <w:t>The language attitude study results</w:t>
      </w:r>
      <w:bookmarkEnd w:id="1183"/>
      <w:bookmarkEnd w:id="1184"/>
      <w:r w:rsidR="000B4835" w:rsidRPr="00CF31E0">
        <w:t xml:space="preserve"> </w:t>
      </w:r>
    </w:p>
    <w:p w14:paraId="6CE504AA" w14:textId="77777777" w:rsidR="000B4835" w:rsidRPr="00CF31E0" w:rsidRDefault="000B4835" w:rsidP="00603CB7">
      <w:pPr>
        <w:pStyle w:val="Paragraph"/>
        <w:rPr>
          <w:lang w:eastAsia="en-US"/>
        </w:rPr>
      </w:pPr>
      <w:r w:rsidRPr="00CF31E0">
        <w:rPr>
          <w:lang w:eastAsia="en-US"/>
        </w:rPr>
        <w:t xml:space="preserve">The findings revealed three significant patterns. The first and second patterns were revealed when an analysis across scales and within scales, respectively, were conducted. On the one hand, </w:t>
      </w:r>
      <w:r w:rsidRPr="00CF31E0">
        <w:rPr>
          <w:i/>
          <w:iCs/>
          <w:lang w:eastAsia="en-US"/>
        </w:rPr>
        <w:t>serious</w:t>
      </w:r>
      <w:r w:rsidRPr="00CF31E0">
        <w:rPr>
          <w:lang w:eastAsia="en-US"/>
        </w:rPr>
        <w:t xml:space="preserve"> and </w:t>
      </w:r>
      <w:r w:rsidRPr="00CF31E0">
        <w:rPr>
          <w:i/>
          <w:iCs/>
          <w:lang w:eastAsia="en-US"/>
        </w:rPr>
        <w:t xml:space="preserve">traditional </w:t>
      </w:r>
      <w:r w:rsidRPr="00CF31E0">
        <w:rPr>
          <w:lang w:eastAsia="en-US"/>
        </w:rPr>
        <w:t xml:space="preserve">scales were perceived as strongly associated with UBH speakers and at the same time were perceived as the scales least associated with HH speakers. On the other hand, </w:t>
      </w:r>
      <w:r w:rsidRPr="00CF31E0">
        <w:rPr>
          <w:i/>
          <w:iCs/>
          <w:lang w:eastAsia="en-US"/>
        </w:rPr>
        <w:t xml:space="preserve">similar to other Arabic dialects </w:t>
      </w:r>
      <w:r w:rsidRPr="00CF31E0">
        <w:rPr>
          <w:lang w:eastAsia="en-US"/>
        </w:rPr>
        <w:t xml:space="preserve">and </w:t>
      </w:r>
      <w:r w:rsidRPr="00CF31E0">
        <w:rPr>
          <w:i/>
          <w:iCs/>
          <w:lang w:eastAsia="en-US"/>
        </w:rPr>
        <w:t xml:space="preserve">modern </w:t>
      </w:r>
      <w:r w:rsidRPr="00CF31E0">
        <w:rPr>
          <w:lang w:eastAsia="en-US"/>
        </w:rPr>
        <w:t xml:space="preserve">scales were perceived as strongly associated with HH speakers and at the same time were perceived as the scales least associated with UBH speakers. </w:t>
      </w:r>
    </w:p>
    <w:p w14:paraId="396DBB96" w14:textId="3B602747" w:rsidR="000B4835" w:rsidRPr="00CF31E0" w:rsidRDefault="000B4835" w:rsidP="00603CB7">
      <w:pPr>
        <w:pStyle w:val="Paragraph"/>
        <w:rPr>
          <w:lang w:eastAsia="en-US"/>
        </w:rPr>
      </w:pPr>
      <w:r w:rsidRPr="00CF31E0">
        <w:rPr>
          <w:lang w:eastAsia="en-US"/>
        </w:rPr>
        <w:t xml:space="preserve">The third pattern was revealed when an analysis of the effects of demographic variables on the rating task results was conducted. The pattern indicated in-group loyalty, where </w:t>
      </w:r>
      <w:r w:rsidR="00AB1132" w:rsidRPr="00CF31E0">
        <w:rPr>
          <w:lang w:eastAsia="en-US"/>
        </w:rPr>
        <w:t xml:space="preserve">both the </w:t>
      </w:r>
      <w:r w:rsidRPr="00CF31E0">
        <w:rPr>
          <w:lang w:eastAsia="en-US"/>
        </w:rPr>
        <w:t xml:space="preserve">HH </w:t>
      </w:r>
      <w:r w:rsidR="00AB1132" w:rsidRPr="00CF31E0">
        <w:rPr>
          <w:lang w:eastAsia="en-US"/>
        </w:rPr>
        <w:t xml:space="preserve">and UBH </w:t>
      </w:r>
      <w:r w:rsidRPr="00CF31E0">
        <w:rPr>
          <w:lang w:eastAsia="en-US"/>
        </w:rPr>
        <w:t>participants were positive about their dialects</w:t>
      </w:r>
      <w:r w:rsidR="000E590F" w:rsidRPr="00CF31E0">
        <w:rPr>
          <w:lang w:eastAsia="en-US"/>
        </w:rPr>
        <w:t>, rating them positively</w:t>
      </w:r>
      <w:r w:rsidRPr="00CF31E0">
        <w:rPr>
          <w:lang w:eastAsia="en-US"/>
        </w:rPr>
        <w:t xml:space="preserve"> </w:t>
      </w:r>
      <w:r w:rsidR="00AB1132" w:rsidRPr="00CF31E0">
        <w:rPr>
          <w:lang w:eastAsia="en-US"/>
        </w:rPr>
        <w:t>for</w:t>
      </w:r>
      <w:r w:rsidRPr="00CF31E0">
        <w:rPr>
          <w:lang w:eastAsia="en-US"/>
        </w:rPr>
        <w:t xml:space="preserve"> most scales. Finally, </w:t>
      </w:r>
      <w:r w:rsidRPr="00CF31E0">
        <w:rPr>
          <w:lang w:eastAsia="en-US"/>
        </w:rPr>
        <w:lastRenderedPageBreak/>
        <w:t>the effects of the place of birth, age and gender demographic variables emerged in a relatively less frequently occurring pattern.</w:t>
      </w:r>
    </w:p>
    <w:p w14:paraId="542DCA98" w14:textId="77777777" w:rsidR="000B4835" w:rsidRPr="00CF31E0" w:rsidRDefault="000B4835" w:rsidP="00603CB7">
      <w:pPr>
        <w:pStyle w:val="Paragraph"/>
        <w:rPr>
          <w:lang w:eastAsia="en-US"/>
        </w:rPr>
      </w:pPr>
      <w:r w:rsidRPr="00CF31E0">
        <w:rPr>
          <w:lang w:eastAsia="en-US"/>
        </w:rPr>
        <w:t xml:space="preserve">In the following section, I will discuss the results from the perceptual study followed by another discussion section on the language attitude study. </w:t>
      </w:r>
    </w:p>
    <w:p w14:paraId="5E01BC5A" w14:textId="4C1C3FAB" w:rsidR="000B4835" w:rsidRPr="00CF31E0" w:rsidRDefault="008D117A" w:rsidP="008D117A">
      <w:pPr>
        <w:pStyle w:val="Ahead"/>
        <w:rPr>
          <w:rFonts w:eastAsia="Times New Roman"/>
        </w:rPr>
      </w:pPr>
      <w:bookmarkStart w:id="1185" w:name="_Toc518640418"/>
      <w:bookmarkStart w:id="1186" w:name="_Toc6472822"/>
      <w:r w:rsidRPr="00CF31E0">
        <w:rPr>
          <w:rFonts w:eastAsia="Times New Roman"/>
        </w:rPr>
        <w:t>12</w:t>
      </w:r>
      <w:r w:rsidR="008A2A0D" w:rsidRPr="00CF31E0">
        <w:rPr>
          <w:rFonts w:eastAsia="Times New Roman"/>
        </w:rPr>
        <w:t>.3.</w:t>
      </w:r>
      <w:r w:rsidR="008A2A0D" w:rsidRPr="00CF31E0">
        <w:rPr>
          <w:rFonts w:eastAsia="Times New Roman"/>
        </w:rPr>
        <w:tab/>
      </w:r>
      <w:r w:rsidR="000B4835" w:rsidRPr="00CF31E0">
        <w:rPr>
          <w:rFonts w:eastAsia="Times New Roman"/>
        </w:rPr>
        <w:t>The perceptual task</w:t>
      </w:r>
      <w:bookmarkEnd w:id="1185"/>
      <w:bookmarkEnd w:id="1186"/>
    </w:p>
    <w:p w14:paraId="03A3AAC8" w14:textId="72C36101" w:rsidR="000B4835" w:rsidRPr="00CF31E0" w:rsidRDefault="008D117A" w:rsidP="008D117A">
      <w:pPr>
        <w:pStyle w:val="Bhead"/>
      </w:pPr>
      <w:bookmarkStart w:id="1187" w:name="_Toc518640419"/>
      <w:bookmarkStart w:id="1188" w:name="_Toc6472823"/>
      <w:r w:rsidRPr="00CF31E0">
        <w:t>12</w:t>
      </w:r>
      <w:r w:rsidR="008A2A0D" w:rsidRPr="00CF31E0">
        <w:t>.3.1.</w:t>
      </w:r>
      <w:r w:rsidR="008A2A0D" w:rsidRPr="00CF31E0">
        <w:tab/>
      </w:r>
      <w:r w:rsidR="000B4835" w:rsidRPr="00CF31E0">
        <w:t>Homogeneity of perceptions towards the social groups of the voice samples</w:t>
      </w:r>
      <w:bookmarkEnd w:id="1187"/>
      <w:bookmarkEnd w:id="1188"/>
      <w:r w:rsidR="000B4835" w:rsidRPr="00CF31E0">
        <w:t xml:space="preserve"> </w:t>
      </w:r>
    </w:p>
    <w:p w14:paraId="38DB6537" w14:textId="7CC2A285" w:rsidR="000B4835" w:rsidRPr="00CF31E0" w:rsidRDefault="000B4835" w:rsidP="00603CB7">
      <w:pPr>
        <w:pStyle w:val="Paragraph"/>
        <w:rPr>
          <w:lang w:eastAsia="en-US"/>
        </w:rPr>
      </w:pPr>
      <w:r w:rsidRPr="00CF31E0">
        <w:rPr>
          <w:lang w:eastAsia="en-US"/>
        </w:rPr>
        <w:t xml:space="preserve">One of the main patterns to emerge from the perceptual task is that the allocation task results were fairly homogeneous among participants across voice samples. In other words, the majority of participants were not affected by the manipulation of surnames as they relied on the linguistic information encoded by the speakers. This was true for all five voice samples, although the fifth voice sample had a slightly different pattern so I will discuss its results separately below. The question that now needs to be addressed is why participants were not affected by the metalinguistic factor applied in the task (i.e. the manipulation of the speaker’s surname) as a large body of research has shown that participants are more likely to be affected by other metalinguistic factors such as the social characteristics of the speaker </w:t>
      </w:r>
      <w:r w:rsidRPr="00CF31E0">
        <w:rPr>
          <w:lang w:eastAsia="en-US"/>
        </w:rPr>
        <w:fldChar w:fldCharType="begin"/>
      </w:r>
      <w:r w:rsidRPr="00CF31E0">
        <w:rPr>
          <w:lang w:eastAsia="en-US"/>
        </w:rPr>
        <w:instrText xml:space="preserve"> ADDIN ZOTERO_ITEM CSL_CITATION {"citationID":"32O8mqxt","properties":{"formattedCitation":"(Hay, Warren, &amp; Drager, 2006b; Hay, Jennifer &amp; Drager, Katie, 2010; Niedzielski, 1999)","plainCitation":"(Hay, Warren, &amp; Drager, 2006b; Hay, Jennifer &amp; Drager, Katie, 2010; Niedzielski, 1999)","dontUpdate":true,"noteIndex":0},"citationItems":[{"id":344,"uris":["http://zotero.org/users/1939618/items/XIJHUJHN"],"uri":["http://zotero.org/users/1939618/items/XIJHUJHN"],"itemData":{"id":344,"type":"article-journal","title":"Factors influencing speech perception in the context of a merger-in-progress","container-title":"Journal of Phonetics","page":"458-484","volume":"34","issue":"4","source":"CrossRef","abstract":"In New Zealand English there is a merger-in-progress of the NEAR and SQUARE diphthongs. This paper investigates the consequences of this merger for speech perception. We report on an experiment involving the speech of four New Zealanders—two male, and two female. All four speakers make a distinction between NEAR and SQUARE. Participants took part in a binary forced-choice identiﬁcation task which included 20 NEAR/SQUARE items produced by each of the four speakers. All participants were presented with identical auditory stimuli. However the visual presentation differed. Across four conditions, we paired each voice with a series of photos—an ‘‘older’’ looking photo, a ‘‘younger’’ looking photo, a ‘‘middle class’’ photo and a ‘‘working class’’ photo. The middle and working class photos were, in fact, photos of the same people, in different attire. In a ﬁfth condition, participants completed the task with no associated photos. At the end of the identiﬁcation task, each participant was recorded reading a NEAR/SQUARE wordlist, containing the same items as appeared in the perception task.","DOI":"10.1016/j.wocn.2005.10.001","ISSN":"00954470","language":"en","author":[{"family":"Hay","given":"Jennifer"},{"family":"Warren","given":"Paul"},{"family":"Drager","given":"Katie"}],"issued":{"literal":"2006b"}},"label":"page"},{"id":291,"uris":["http://zotero.org/users/1939618/items/J2RHJYXU"],"uri":["http://zotero.org/users/1939618/items/J2RHJYXU"],"itemData":{"id":291,"type":"article-journal","title":"Stuffed toys and speech perception : Linguistics","volume":"48","issue":"4","URL":"https://www.degruyter.com/view/j/ling.2010.48.issue-4/ling.2010.027/ling.2010.027.xml","author":[{"literal":"Hay, Jennifer"},{"literal":"Drager, Katie"}],"issued":{"date-parts":[["2010"]]},"accessed":{"date-parts":[["2017",12,28]]}},"label":"page"},{"id":293,"uris":["http://zotero.org/users/1939618/items/IR99WY6K"],"uri":["http://zotero.org/users/1939618/items/IR99WY6K"],"itemData":{"id":293,"type":"article-journal","title":"The effect of social information on the perception of sociolinguistic variables","container-title":"Journal of language and social psychology","page":"62–85","volume":"18","issue":"1","source":"Google Scholar","author":[{"family":"Niedzielski","given":"Nancy"}],"issued":{"date-parts":[["1999"]]}},"label":"page"}],"schema":"https://github.com/citation-style-language/schema/raw/master/csl-citation.json"} </w:instrText>
      </w:r>
      <w:r w:rsidRPr="00CF31E0">
        <w:rPr>
          <w:lang w:eastAsia="en-US"/>
        </w:rPr>
        <w:fldChar w:fldCharType="separate"/>
      </w:r>
      <w:r w:rsidRPr="00CF31E0">
        <w:rPr>
          <w:noProof/>
          <w:lang w:eastAsia="en-US"/>
        </w:rPr>
        <w:t xml:space="preserve">(e.g. </w:t>
      </w:r>
      <w:r w:rsidR="00F3269B" w:rsidRPr="00CF31E0">
        <w:rPr>
          <w:noProof/>
          <w:lang w:eastAsia="en-US"/>
        </w:rPr>
        <w:t xml:space="preserve">Hay &amp; Drager, 2010; </w:t>
      </w:r>
      <w:r w:rsidR="001255CD" w:rsidRPr="00CF31E0">
        <w:rPr>
          <w:noProof/>
          <w:lang w:eastAsia="en-US"/>
        </w:rPr>
        <w:t>Hay, Nolan</w:t>
      </w:r>
      <w:r w:rsidRPr="00CF31E0">
        <w:rPr>
          <w:noProof/>
          <w:lang w:eastAsia="en-US"/>
        </w:rPr>
        <w:t>, &amp; Drager, 2006; Niedzielski, 1999)</w:t>
      </w:r>
      <w:r w:rsidRPr="00CF31E0">
        <w:rPr>
          <w:lang w:eastAsia="en-US"/>
        </w:rPr>
        <w:fldChar w:fldCharType="end"/>
      </w:r>
      <w:r w:rsidRPr="00CF31E0">
        <w:rPr>
          <w:lang w:eastAsia="en-US"/>
        </w:rPr>
        <w:t xml:space="preserve">. The answer to this question can be provided through examining the Hijazi language ideology. As discussed in </w:t>
      </w:r>
      <w:r w:rsidR="00847047" w:rsidRPr="00CF31E0">
        <w:rPr>
          <w:lang w:eastAsia="en-US"/>
        </w:rPr>
        <w:t>C</w:t>
      </w:r>
      <w:r w:rsidRPr="00CF31E0">
        <w:rPr>
          <w:lang w:eastAsia="en-US"/>
        </w:rPr>
        <w:t xml:space="preserve">hapter </w:t>
      </w:r>
      <w:r w:rsidR="008D117A" w:rsidRPr="00CF31E0">
        <w:rPr>
          <w:lang w:eastAsia="en-US"/>
        </w:rPr>
        <w:t>2</w:t>
      </w:r>
      <w:r w:rsidRPr="00CF31E0">
        <w:rPr>
          <w:lang w:eastAsia="en-US"/>
        </w:rPr>
        <w:t xml:space="preserve">, the dialect situation in the region is driven by a powerful dichotomous language ideology where the two dialects (i.e. UBH and HH) are spoken by two different social groups simultaneously in the same context; therefore, the evidence from the present study shows that the two dialects were strongly perceived as distinctive dialects. In this respect, I would argue that the dichotomous dialect situation in the region is powerful to the extent that participants are not affected by metalinguistic factors such as deceptive or manipulated information in the task. </w:t>
      </w:r>
    </w:p>
    <w:p w14:paraId="0D0FE695" w14:textId="34330445" w:rsidR="000B4835" w:rsidRPr="00CF31E0" w:rsidRDefault="000B4835" w:rsidP="00603CB7">
      <w:pPr>
        <w:pStyle w:val="Paragraph"/>
        <w:rPr>
          <w:lang w:eastAsia="en-US"/>
        </w:rPr>
      </w:pPr>
      <w:r w:rsidRPr="00CF31E0">
        <w:rPr>
          <w:lang w:eastAsia="en-US"/>
        </w:rPr>
        <w:lastRenderedPageBreak/>
        <w:t>Regarding the fifth voice sample, 70.07% of the participants were affected by the manipulation task</w:t>
      </w:r>
      <w:r w:rsidR="002E2113" w:rsidRPr="00CF31E0">
        <w:rPr>
          <w:lang w:eastAsia="en-US"/>
        </w:rPr>
        <w:t xml:space="preserve">; </w:t>
      </w:r>
      <w:r w:rsidRPr="00CF31E0">
        <w:rPr>
          <w:lang w:eastAsia="en-US"/>
        </w:rPr>
        <w:t xml:space="preserve">it should be noted here that the manipulation was in the linguistic information (i.e. dialect of the speaker) rather than in the social information (surname of the speaker), for more details see </w:t>
      </w:r>
      <w:r w:rsidR="00847047" w:rsidRPr="00CF31E0">
        <w:rPr>
          <w:lang w:eastAsia="en-US"/>
        </w:rPr>
        <w:t>C</w:t>
      </w:r>
      <w:r w:rsidRPr="00CF31E0">
        <w:rPr>
          <w:lang w:eastAsia="en-US"/>
        </w:rPr>
        <w:t>hapter</w:t>
      </w:r>
      <w:r w:rsidR="0058464A" w:rsidRPr="00CF31E0">
        <w:rPr>
          <w:lang w:eastAsia="en-US"/>
        </w:rPr>
        <w:t xml:space="preserve"> </w:t>
      </w:r>
      <w:r w:rsidR="008D117A" w:rsidRPr="00CF31E0">
        <w:rPr>
          <w:lang w:eastAsia="en-US"/>
        </w:rPr>
        <w:t xml:space="preserve">5, </w:t>
      </w:r>
      <w:r w:rsidRPr="00CF31E0">
        <w:rPr>
          <w:lang w:eastAsia="en-US"/>
        </w:rPr>
        <w:t>section</w:t>
      </w:r>
      <w:r w:rsidR="0058464A" w:rsidRPr="00CF31E0">
        <w:rPr>
          <w:lang w:eastAsia="en-US"/>
        </w:rPr>
        <w:t xml:space="preserve"> </w:t>
      </w:r>
      <w:r w:rsidR="008D117A" w:rsidRPr="00CF31E0">
        <w:rPr>
          <w:lang w:eastAsia="en-US"/>
        </w:rPr>
        <w:t>5</w:t>
      </w:r>
      <w:r w:rsidR="0058464A" w:rsidRPr="00CF31E0">
        <w:rPr>
          <w:lang w:eastAsia="en-US"/>
        </w:rPr>
        <w:t>.5.2.4.1.</w:t>
      </w:r>
      <w:r w:rsidRPr="00CF31E0">
        <w:rPr>
          <w:lang w:eastAsia="en-US"/>
        </w:rPr>
        <w:t xml:space="preserve"> Therefore, I would argue that the linguistic information is quite significant as it affected the participants</w:t>
      </w:r>
      <w:r w:rsidR="002E2113" w:rsidRPr="00CF31E0">
        <w:rPr>
          <w:lang w:eastAsia="en-US"/>
        </w:rPr>
        <w:t>’</w:t>
      </w:r>
      <w:r w:rsidRPr="00CF31E0">
        <w:rPr>
          <w:lang w:eastAsia="en-US"/>
        </w:rPr>
        <w:t xml:space="preserve"> perception </w:t>
      </w:r>
      <w:r w:rsidR="009027FE" w:rsidRPr="00CF31E0">
        <w:rPr>
          <w:lang w:eastAsia="en-US"/>
        </w:rPr>
        <w:t xml:space="preserve">of </w:t>
      </w:r>
      <w:r w:rsidRPr="00CF31E0">
        <w:rPr>
          <w:lang w:eastAsia="en-US"/>
        </w:rPr>
        <w:t xml:space="preserve">the social group of the speaker. The remaining question that needs to be addressed is what </w:t>
      </w:r>
      <w:r w:rsidR="009027FE" w:rsidRPr="00CF31E0">
        <w:rPr>
          <w:lang w:eastAsia="en-US"/>
        </w:rPr>
        <w:t xml:space="preserve">caused, </w:t>
      </w:r>
      <w:r w:rsidRPr="00CF31E0">
        <w:rPr>
          <w:lang w:eastAsia="en-US"/>
        </w:rPr>
        <w:t xml:space="preserve">a large number of participants to be deceived by the linguistic information rather than the social information. I believe that </w:t>
      </w:r>
      <w:r w:rsidR="002E2113" w:rsidRPr="00CF31E0">
        <w:rPr>
          <w:lang w:eastAsia="en-US"/>
        </w:rPr>
        <w:t>this occurred</w:t>
      </w:r>
      <w:r w:rsidRPr="00CF31E0">
        <w:rPr>
          <w:lang w:eastAsia="en-US"/>
        </w:rPr>
        <w:t xml:space="preserve"> because the speaker adopted two of the most stereotypical linguistic features </w:t>
      </w:r>
      <w:r w:rsidR="002E2113" w:rsidRPr="00CF31E0">
        <w:rPr>
          <w:lang w:eastAsia="en-US"/>
        </w:rPr>
        <w:t xml:space="preserve">of the </w:t>
      </w:r>
      <w:r w:rsidRPr="00CF31E0">
        <w:rPr>
          <w:lang w:eastAsia="en-US"/>
        </w:rPr>
        <w:t xml:space="preserve">UBH dialect, which </w:t>
      </w:r>
      <w:r w:rsidR="002E2113" w:rsidRPr="00CF31E0">
        <w:rPr>
          <w:lang w:eastAsia="en-US"/>
        </w:rPr>
        <w:t xml:space="preserve">is </w:t>
      </w:r>
      <w:r w:rsidRPr="00CF31E0">
        <w:rPr>
          <w:lang w:eastAsia="en-US"/>
        </w:rPr>
        <w:t xml:space="preserve">the realization of </w:t>
      </w:r>
      <w:r w:rsidR="002E2113" w:rsidRPr="00CF31E0">
        <w:rPr>
          <w:lang w:eastAsia="en-US"/>
        </w:rPr>
        <w:t xml:space="preserve">the </w:t>
      </w:r>
      <w:r w:rsidRPr="00CF31E0">
        <w:rPr>
          <w:lang w:eastAsia="en-US"/>
        </w:rPr>
        <w:t xml:space="preserve">fricative sounds: </w:t>
      </w:r>
      <w:r w:rsidRPr="00CF31E0">
        <w:rPr>
          <w:rFonts w:hint="eastAsia"/>
          <w:lang w:eastAsia="en-US"/>
        </w:rPr>
        <w:t>θ</w:t>
      </w:r>
      <w:r w:rsidRPr="00CF31E0">
        <w:rPr>
          <w:lang w:eastAsia="en-US"/>
        </w:rPr>
        <w:t xml:space="preserve">, ð. It is important to note that when comparing the density of the linguistic features delivered by each participant, it is evident that VS5 delivered the </w:t>
      </w:r>
      <w:r w:rsidR="002E2113" w:rsidRPr="00CF31E0">
        <w:rPr>
          <w:lang w:eastAsia="en-US"/>
        </w:rPr>
        <w:t xml:space="preserve">lowest </w:t>
      </w:r>
      <w:r w:rsidRPr="00CF31E0">
        <w:rPr>
          <w:lang w:eastAsia="en-US"/>
        </w:rPr>
        <w:t xml:space="preserve">number of features but they are considered as the most significant stereotypes </w:t>
      </w:r>
      <w:r w:rsidR="002E2113" w:rsidRPr="00CF31E0">
        <w:rPr>
          <w:lang w:eastAsia="en-US"/>
        </w:rPr>
        <w:t xml:space="preserve">of the </w:t>
      </w:r>
      <w:r w:rsidRPr="00CF31E0">
        <w:rPr>
          <w:lang w:eastAsia="en-US"/>
        </w:rPr>
        <w:t xml:space="preserve">UBH dialect </w:t>
      </w:r>
      <w:r w:rsidRPr="00CF31E0">
        <w:rPr>
          <w:rFonts w:eastAsia="Times New Roman"/>
          <w:lang w:eastAsia="en-US"/>
        </w:rPr>
        <w:fldChar w:fldCharType="begin"/>
      </w:r>
      <w:r w:rsidRPr="00CF31E0">
        <w:rPr>
          <w:rFonts w:eastAsia="Times New Roman"/>
          <w:lang w:eastAsia="en-US"/>
        </w:rPr>
        <w:instrText xml:space="preserve"> ADDIN ZOTERO_ITEM CSL_CITATION {"citationID":"uJl8RrvD","properties":{"formattedCitation":"(Nassir Al-Jehani, 1985)","plainCitation":"(Nassir Al-Jehani, 1985)","noteIndex":0},"citationItems":[{"id":537,"uris":["http://zotero.org/users/1939618/items/CKTFSSZ4"],"uri":["http://zotero.org/users/1939618/items/CKTFSSZ4"],"itemData":{"id":537,"type":"thesis","title":"SOCIOSTYLISTIC STRATIFICATION OF ARABIC IN MAKKAH","publisher":"University of Michigan","URL":"https://www.researchgate.net/publication/36173456_SOCIOSTYLISTIC_STRATIFICATION_OF_ARABIC_IN_MAKKAH_SOCIOLINGUISTICS_VARIATION_SAUDI_ARABIA","language":"en","author":[{"family":"Al-Jehani","given":"Nassir"}],"issued":{"date-parts":[["1985"]]},"accessed":{"date-parts":[["2018",7,12]]}}}],"schema":"https://github.com/citation-style-language/schema/raw/master/csl-citation.json"} </w:instrText>
      </w:r>
      <w:r w:rsidRPr="00CF31E0">
        <w:rPr>
          <w:rFonts w:eastAsia="Times New Roman"/>
          <w:lang w:eastAsia="en-US"/>
        </w:rPr>
        <w:fldChar w:fldCharType="separate"/>
      </w:r>
      <w:r w:rsidRPr="00CF31E0">
        <w:rPr>
          <w:rFonts w:eastAsia="Times New Roman"/>
          <w:noProof/>
          <w:lang w:eastAsia="en-US"/>
        </w:rPr>
        <w:t>(Al-Jehani, 1985)</w:t>
      </w:r>
      <w:r w:rsidRPr="00CF31E0">
        <w:rPr>
          <w:rFonts w:eastAsia="Times New Roman"/>
          <w:lang w:eastAsia="en-US"/>
        </w:rPr>
        <w:fldChar w:fldCharType="end"/>
      </w:r>
      <w:r w:rsidRPr="00CF31E0">
        <w:rPr>
          <w:lang w:eastAsia="en-US"/>
        </w:rPr>
        <w:t xml:space="preserve">. Following Labov’s linguistic typology </w:t>
      </w:r>
      <w:r w:rsidR="00847047" w:rsidRPr="00CF31E0">
        <w:rPr>
          <w:lang w:eastAsia="en-US"/>
        </w:rPr>
        <w:t>(</w:t>
      </w:r>
      <w:r w:rsidRPr="00CF31E0">
        <w:rPr>
          <w:lang w:eastAsia="en-US"/>
        </w:rPr>
        <w:t xml:space="preserve">see </w:t>
      </w:r>
      <w:r w:rsidR="00847047" w:rsidRPr="00CF31E0">
        <w:rPr>
          <w:lang w:eastAsia="en-US"/>
        </w:rPr>
        <w:t>C</w:t>
      </w:r>
      <w:r w:rsidRPr="00CF31E0">
        <w:rPr>
          <w:lang w:eastAsia="en-US"/>
        </w:rPr>
        <w:t>hapter</w:t>
      </w:r>
      <w:r w:rsidR="00997588" w:rsidRPr="00CF31E0">
        <w:rPr>
          <w:lang w:eastAsia="en-US"/>
        </w:rPr>
        <w:t xml:space="preserve"> </w:t>
      </w:r>
      <w:r w:rsidR="008D117A" w:rsidRPr="00CF31E0">
        <w:rPr>
          <w:lang w:eastAsia="en-US"/>
        </w:rPr>
        <w:t>2</w:t>
      </w:r>
      <w:r w:rsidR="0058464A" w:rsidRPr="00CF31E0">
        <w:rPr>
          <w:lang w:eastAsia="en-US"/>
        </w:rPr>
        <w:t>, section</w:t>
      </w:r>
      <w:r w:rsidR="00997588" w:rsidRPr="00CF31E0">
        <w:rPr>
          <w:lang w:eastAsia="en-US"/>
        </w:rPr>
        <w:t xml:space="preserve"> </w:t>
      </w:r>
      <w:r w:rsidR="008D117A" w:rsidRPr="00CF31E0">
        <w:rPr>
          <w:lang w:eastAsia="en-US"/>
        </w:rPr>
        <w:t>2</w:t>
      </w:r>
      <w:r w:rsidR="00997588" w:rsidRPr="00CF31E0">
        <w:rPr>
          <w:lang w:eastAsia="en-US"/>
        </w:rPr>
        <w:t>.17</w:t>
      </w:r>
      <w:r w:rsidR="00847047" w:rsidRPr="00CF31E0">
        <w:rPr>
          <w:lang w:eastAsia="en-US"/>
        </w:rPr>
        <w:t>)</w:t>
      </w:r>
      <w:r w:rsidRPr="00CF31E0">
        <w:rPr>
          <w:lang w:eastAsia="en-US"/>
        </w:rPr>
        <w:t xml:space="preserve">, the realization of fricative sounds in UBH dialect falls </w:t>
      </w:r>
      <w:r w:rsidR="002E2113" w:rsidRPr="00CF31E0">
        <w:rPr>
          <w:lang w:eastAsia="en-US"/>
        </w:rPr>
        <w:t xml:space="preserve">into </w:t>
      </w:r>
      <w:r w:rsidRPr="00CF31E0">
        <w:rPr>
          <w:lang w:eastAsia="en-US"/>
        </w:rPr>
        <w:t>the first type</w:t>
      </w:r>
      <w:r w:rsidR="002E2113" w:rsidRPr="00CF31E0">
        <w:rPr>
          <w:lang w:eastAsia="en-US"/>
        </w:rPr>
        <w:t>,</w:t>
      </w:r>
      <w:r w:rsidRPr="00CF31E0">
        <w:rPr>
          <w:lang w:eastAsia="en-US"/>
        </w:rPr>
        <w:t xml:space="preserve"> which is called </w:t>
      </w:r>
      <w:r w:rsidRPr="00CF31E0">
        <w:rPr>
          <w:i/>
          <w:iCs/>
          <w:lang w:eastAsia="en-US"/>
        </w:rPr>
        <w:t xml:space="preserve">stereotype. </w:t>
      </w:r>
      <w:r w:rsidRPr="00CF31E0">
        <w:rPr>
          <w:lang w:eastAsia="en-US"/>
        </w:rPr>
        <w:t xml:space="preserve">This type includes highly salient linguistic variables that are highly recognized by people </w:t>
      </w:r>
      <w:r w:rsidRPr="00CF31E0">
        <w:rPr>
          <w:lang w:eastAsia="en-US"/>
        </w:rPr>
        <w:fldChar w:fldCharType="begin"/>
      </w:r>
      <w:r w:rsidRPr="00CF31E0">
        <w:rPr>
          <w:lang w:eastAsia="en-US"/>
        </w:rPr>
        <w:instrText xml:space="preserve"> ADDIN ZOTERO_ITEM CSL_CITATION {"citationID":"VgmHxYPO","properties":{"formattedCitation":"(Labov, 1972)","plainCitation":"(Labov, 1972)","noteIndex":0},"citationItems":[{"id":233,"uris":["http://zotero.org/users/1939618/items/2GMT5P85"],"uri":["http://zotero.org/users/1939618/items/2GMT5P85"],"itemData":{"id":233,"type":"book","title":"Sociolinguistic patterns","collection-number":"4","publisher":"University of Pennsylvania Press","source":"Google Scholar","URL":"https://books.google.co.uk/books?hl=en&amp;lr=&amp;id=hD0PNMu8CfQC&amp;oi=fnd&amp;pg=PR10&amp;dq=sociolinguistic+patterns,+william+labov&amp;ots=1e6cvbmkz0&amp;sig=KYWYRdrH3Vnc8s7ge-9XCfKT9jc","author":[{"family":"Labov","given":"William"}],"issued":{"date-parts":[["1972"]]},"accessed":{"date-parts":[["2017",5,17]]}}}],"schema":"https://github.com/citation-style-language/schema/raw/master/csl-citation.json"} </w:instrText>
      </w:r>
      <w:r w:rsidRPr="00CF31E0">
        <w:rPr>
          <w:lang w:eastAsia="en-US"/>
        </w:rPr>
        <w:fldChar w:fldCharType="separate"/>
      </w:r>
      <w:r w:rsidRPr="00CF31E0">
        <w:rPr>
          <w:noProof/>
          <w:lang w:eastAsia="en-US"/>
        </w:rPr>
        <w:t>(Labov, 1972)</w:t>
      </w:r>
      <w:r w:rsidRPr="00CF31E0">
        <w:rPr>
          <w:lang w:eastAsia="en-US"/>
        </w:rPr>
        <w:fldChar w:fldCharType="end"/>
      </w:r>
      <w:r w:rsidRPr="00CF31E0">
        <w:rPr>
          <w:lang w:eastAsia="en-US"/>
        </w:rPr>
        <w:t>. Therefore, the two imitated stereotypical features by VS5 could ac</w:t>
      </w:r>
      <w:r w:rsidR="00FF3261" w:rsidRPr="00CF31E0">
        <w:rPr>
          <w:lang w:eastAsia="en-US"/>
        </w:rPr>
        <w:t>count</w:t>
      </w:r>
      <w:r w:rsidRPr="00CF31E0">
        <w:rPr>
          <w:lang w:eastAsia="en-US"/>
        </w:rPr>
        <w:t xml:space="preserve"> for the result </w:t>
      </w:r>
      <w:r w:rsidR="002E2113" w:rsidRPr="00CF31E0">
        <w:rPr>
          <w:lang w:eastAsia="en-US"/>
        </w:rPr>
        <w:t>where</w:t>
      </w:r>
      <w:r w:rsidRPr="00CF31E0">
        <w:rPr>
          <w:lang w:eastAsia="en-US"/>
        </w:rPr>
        <w:t xml:space="preserve"> about </w:t>
      </w:r>
      <w:r w:rsidR="002E2113" w:rsidRPr="00CF31E0">
        <w:rPr>
          <w:lang w:eastAsia="en-US"/>
        </w:rPr>
        <w:t>two-</w:t>
      </w:r>
      <w:r w:rsidRPr="00CF31E0">
        <w:rPr>
          <w:lang w:eastAsia="en-US"/>
        </w:rPr>
        <w:t xml:space="preserve">thirds of the </w:t>
      </w:r>
      <w:r w:rsidR="002E2113" w:rsidRPr="00CF31E0">
        <w:rPr>
          <w:lang w:eastAsia="en-US"/>
        </w:rPr>
        <w:t xml:space="preserve">total </w:t>
      </w:r>
      <w:r w:rsidRPr="00CF31E0">
        <w:rPr>
          <w:lang w:eastAsia="en-US"/>
        </w:rPr>
        <w:t xml:space="preserve">participants were deceived. </w:t>
      </w:r>
    </w:p>
    <w:p w14:paraId="4544C98C" w14:textId="7EFFD647" w:rsidR="000B4835" w:rsidRPr="00CF31E0" w:rsidRDefault="000B4835" w:rsidP="00603CB7">
      <w:pPr>
        <w:pStyle w:val="Paragraph"/>
        <w:rPr>
          <w:noProof/>
          <w:lang w:eastAsia="en-US"/>
        </w:rPr>
      </w:pPr>
      <w:r w:rsidRPr="00CF31E0">
        <w:rPr>
          <w:lang w:eastAsia="en-US"/>
        </w:rPr>
        <w:fldChar w:fldCharType="begin"/>
      </w:r>
      <w:r w:rsidRPr="00CF31E0">
        <w:rPr>
          <w:lang w:val="pl-PL" w:eastAsia="en-US"/>
        </w:rPr>
        <w:instrText xml:space="preserve"> ADDIN ZOTERO_ITEM CSL_CITATION {"citationID":"ptE3V2Kk","properties":{"formattedCitation":"(Niedzielski, 1999)","plainCitation":"(Niedzielski, 1999)","dontUpdate":true,"noteIndex":0},"citationItems":[{"id":293,"uris":["http://zotero.org/users/1939618/items/IR99WY6K"],"uri":["http://zotero.org/users/1939618/items/IR99WY6K"],"itemData":{"id":293,"type":"article-journal","title":"The effect of social information on the perception of sociolinguistic variables","container-title":"Journal of language and social psychology","page":"62–85","volume":"18","issue":"1","source":"Google Scholar","author":[{"family":"Niedzielski","given":"Nancy"}],"issued":{"date-parts":[["1999"]]}}}],"schema":"https://github.com/citation-style-language/schema/raw/master/csl-citation.json"} </w:instrText>
      </w:r>
      <w:r w:rsidRPr="00CF31E0">
        <w:rPr>
          <w:lang w:eastAsia="en-US"/>
        </w:rPr>
        <w:fldChar w:fldCharType="separate"/>
      </w:r>
      <w:r w:rsidRPr="00CF31E0">
        <w:rPr>
          <w:noProof/>
          <w:lang w:val="pl-PL" w:eastAsia="en-US"/>
        </w:rPr>
        <w:t>Niedzielski (1999)</w:t>
      </w:r>
      <w:r w:rsidRPr="00CF31E0">
        <w:rPr>
          <w:lang w:eastAsia="en-US"/>
        </w:rPr>
        <w:fldChar w:fldCharType="end"/>
      </w:r>
      <w:r w:rsidRPr="00CF31E0">
        <w:rPr>
          <w:lang w:val="pl-PL" w:eastAsia="en-US"/>
        </w:rPr>
        <w:t xml:space="preserve"> and </w:t>
      </w:r>
      <w:r w:rsidRPr="00CF31E0">
        <w:rPr>
          <w:lang w:eastAsia="en-US"/>
        </w:rPr>
        <w:fldChar w:fldCharType="begin"/>
      </w:r>
      <w:r w:rsidRPr="00CF31E0">
        <w:rPr>
          <w:lang w:val="pl-PL" w:eastAsia="en-US"/>
        </w:rPr>
        <w:instrText xml:space="preserve"> ADDIN ZOTERO_ITEM CSL_CITATION {"citationID":"bypcyKOg","properties":{"formattedCitation":"(Hay, Nolan, &amp; Drager, 2006a)","plainCitation":"(Hay, Nolan, &amp; Drager, 2006a)","dontUpdate":true,"noteIndex":0},"citationItems":[{"id":345,"uris":["http://zotero.org/users/1939618/items/8WESUNPI"],"uri":["http://zotero.org/users/1939618/items/8WESUNPI"],"itemData":{"id":345,"type":"article-journal","title":"From fush to feesh: Exemplar priming in speech perception","container-title":"The Linguistic Review","page":"351–379","volume":"23","issue":"3","source":"find.shef.ac.uk","abstract":"Niedzielski (1999) reports on an experiment which demonstrates that individuals in Detroit ‘hear’ more Canadian Raising in the speech of a speaker when they think that speaker is Canadian. We describe an experiment designed to follow up on this result in a New Zealand context. Participants listened to a New Zealand English (NZE) speaker reading a list of sentences. Each sentence appeared on the answer-sheet, with a target word underlined. For each sentence, participants were asked to select from a synthesized vowel continuum the token that best matched the target vowel produced by the speaker. Half the participants had an answer-sheet with the word ‘Australian’ written on it, and half had an answer-sheet with ‘New Zealander’ written on it. Participants in the two conditions behaved significantly differently from one another. For example, they were more likely to hear a higher fronter / i / vowel when ‘Australian’ appeared on the answer sheet, and more likely to hear a centralized version when ‘New Zealander’ appeared – a trend which reflects production differences between the two dialects. This is despite the fact that nearly all participants reported that they knew they were listening to a New Zealander. We discuss the implication of these results, and argue that they support exemplar models of speech perception.","DOI":"10.1515/TLR.2006.014","ISSN":"0167-6318","shortTitle":"From fush to feesh","author":[{"family":"Hay","given":"Jennifer"},{"family":"Nolan","given":"Aaron"},{"family":"Drager","given":"Katie"}],"issued":{"literal":"2006a"}}}],"schema":"https://github.com/citation-style-language/schema/raw/master/csl-citation.json"} </w:instrText>
      </w:r>
      <w:r w:rsidRPr="00CF31E0">
        <w:rPr>
          <w:lang w:eastAsia="en-US"/>
        </w:rPr>
        <w:fldChar w:fldCharType="separate"/>
      </w:r>
      <w:r w:rsidRPr="00CF31E0">
        <w:rPr>
          <w:noProof/>
          <w:lang w:val="pl-PL" w:eastAsia="en-US"/>
        </w:rPr>
        <w:t>Hay</w:t>
      </w:r>
      <w:r w:rsidR="002505D7" w:rsidRPr="00CF31E0">
        <w:rPr>
          <w:noProof/>
          <w:lang w:val="pl-PL" w:eastAsia="en-US"/>
        </w:rPr>
        <w:t xml:space="preserve"> et al.</w:t>
      </w:r>
      <w:r w:rsidRPr="00CF31E0">
        <w:rPr>
          <w:noProof/>
          <w:lang w:val="pl-PL" w:eastAsia="en-US"/>
        </w:rPr>
        <w:t xml:space="preserve"> </w:t>
      </w:r>
      <w:r w:rsidR="00074CE4" w:rsidRPr="00CF31E0">
        <w:rPr>
          <w:noProof/>
          <w:lang w:eastAsia="en-US"/>
        </w:rPr>
        <w:t>(2006</w:t>
      </w:r>
      <w:r w:rsidRPr="00CF31E0">
        <w:rPr>
          <w:noProof/>
          <w:lang w:eastAsia="en-US"/>
        </w:rPr>
        <w:t>)</w:t>
      </w:r>
      <w:r w:rsidRPr="00CF31E0">
        <w:rPr>
          <w:lang w:eastAsia="en-US"/>
        </w:rPr>
        <w:fldChar w:fldCharType="end"/>
      </w:r>
      <w:r w:rsidRPr="00CF31E0">
        <w:rPr>
          <w:lang w:eastAsia="en-US"/>
        </w:rPr>
        <w:t xml:space="preserve"> conducted perceptual tasks which looked at effects of social information on perceptions of speech sounds.</w:t>
      </w:r>
      <w:r w:rsidR="004111B1" w:rsidRPr="00CF31E0">
        <w:rPr>
          <w:lang w:eastAsia="en-US"/>
        </w:rPr>
        <w:t xml:space="preserve"> See </w:t>
      </w:r>
      <w:r w:rsidR="00847047" w:rsidRPr="00CF31E0">
        <w:rPr>
          <w:lang w:eastAsia="en-US"/>
        </w:rPr>
        <w:t>C</w:t>
      </w:r>
      <w:r w:rsidR="00770C27" w:rsidRPr="00CF31E0">
        <w:rPr>
          <w:lang w:eastAsia="en-US"/>
        </w:rPr>
        <w:t>hapter 4, section 4.9</w:t>
      </w:r>
      <w:r w:rsidR="00847047" w:rsidRPr="00CF31E0">
        <w:rPr>
          <w:lang w:eastAsia="en-US"/>
        </w:rPr>
        <w:t>,</w:t>
      </w:r>
      <w:r w:rsidR="004111B1" w:rsidRPr="00CF31E0">
        <w:rPr>
          <w:lang w:eastAsia="en-US"/>
        </w:rPr>
        <w:t xml:space="preserve"> for more details on the two studies. </w:t>
      </w:r>
      <w:r w:rsidRPr="00CF31E0">
        <w:rPr>
          <w:noProof/>
          <w:lang w:eastAsia="en-US"/>
        </w:rPr>
        <w:t xml:space="preserve">The </w:t>
      </w:r>
      <w:r w:rsidR="00FF3261" w:rsidRPr="00CF31E0">
        <w:rPr>
          <w:noProof/>
          <w:lang w:eastAsia="en-US"/>
        </w:rPr>
        <w:t xml:space="preserve">evidence in their </w:t>
      </w:r>
      <w:r w:rsidRPr="00CF31E0">
        <w:rPr>
          <w:noProof/>
          <w:lang w:eastAsia="en-US"/>
        </w:rPr>
        <w:t xml:space="preserve">studies proved that “a regional label at the top of an answer sheet affected participants’ behavior in a speech perception task” </w:t>
      </w:r>
      <w:r w:rsidRPr="00CF31E0">
        <w:rPr>
          <w:noProof/>
          <w:lang w:eastAsia="en-US"/>
        </w:rPr>
        <w:fldChar w:fldCharType="begin"/>
      </w:r>
      <w:r w:rsidRPr="00CF31E0">
        <w:rPr>
          <w:noProof/>
          <w:lang w:eastAsia="en-US"/>
        </w:rPr>
        <w:instrText xml:space="preserve"> ADDIN ZOTERO_ITEM CSL_CITATION {"citationID":"L4tzbDfF","properties":{"formattedCitation":"(Jennifer Hay et al., 2006a, p. 369)","plainCitation":"(Jennifer Hay et al., 2006a, p. 369)","noteIndex":0},"citationItems":[{"id":345,"uris":["http://zotero.org/users/1939618/items/8WESUNPI"],"uri":["http://zotero.org/users/1939618/items/8WESUNPI"],"itemData":{"id":345,"type":"article-journal","title":"From fush to feesh: Exemplar priming in speech perception","container-title":"The Linguistic Review","page":"351–379","volume":"23","issue":"3","source":"find.shef.ac.uk","abstract":"Niedzielski (1999) reports on an experiment which demonstrates that individuals in Detroit ‘hear’ more Canadian Raising in the speech of a speaker when they think that speaker is Canadian. We describe an experiment designed to follow up on this result in a New Zealand context. Participants listened to a New Zealand English (NZE) speaker reading a list of sentences. Each sentence appeared on the answer-sheet, with a target word underlined. For each sentence, participants were asked to select from a synthesized vowel continuum the token that best matched the target vowel produced by the speaker. Half the participants had an answer-sheet with the word ‘Australian’ written on it, and half had an answer-sheet with ‘New Zealander’ written on it. Participants in the two conditions behaved significantly differently from one another. For example, they were more likely to hear a higher fronter / i / vowel when ‘Australian’ appeared on the answer sheet, and more likely to hear a centralized version when ‘New Zealander’ appeared – a trend which reflects production differences between the two dialects. This is despite the fact that nearly all participants reported that they knew they were listening to a New Zealander. We discuss the implication of these results, and argue that they support exemplar models of speech perception.","DOI":"10.1515/TLR.2006.014","ISSN":"0167-6318","shortTitle":"From fush to feesh","author":[{"family":"Hay","given":"Jennifer"},{"family":"Nolan","given":"Aaron"},{"family":"Drager","given":"Katie"}],"issued":{"literal":"2006a"}},"locator":"369","label":"page"}],"schema":"https://github.com/citation-style-language/schema/raw/master/csl-citation.json"} </w:instrText>
      </w:r>
      <w:r w:rsidRPr="00CF31E0">
        <w:rPr>
          <w:noProof/>
          <w:lang w:eastAsia="en-US"/>
        </w:rPr>
        <w:fldChar w:fldCharType="separate"/>
      </w:r>
      <w:r w:rsidR="00074CE4" w:rsidRPr="00CF31E0">
        <w:rPr>
          <w:noProof/>
          <w:lang w:eastAsia="en-US"/>
        </w:rPr>
        <w:t>(Hay et al., 2006</w:t>
      </w:r>
      <w:r w:rsidRPr="00CF31E0">
        <w:rPr>
          <w:noProof/>
          <w:lang w:eastAsia="en-US"/>
        </w:rPr>
        <w:t>, p. 369)</w:t>
      </w:r>
      <w:r w:rsidRPr="00CF31E0">
        <w:rPr>
          <w:noProof/>
          <w:lang w:eastAsia="en-US"/>
        </w:rPr>
        <w:fldChar w:fldCharType="end"/>
      </w:r>
      <w:r w:rsidRPr="00CF31E0">
        <w:rPr>
          <w:noProof/>
          <w:lang w:eastAsia="en-US"/>
        </w:rPr>
        <w:t xml:space="preserve">. Similar results have been revealed by </w:t>
      </w:r>
      <w:r w:rsidRPr="00CF31E0">
        <w:rPr>
          <w:noProof/>
          <w:lang w:eastAsia="en-US"/>
        </w:rPr>
        <w:fldChar w:fldCharType="begin"/>
      </w:r>
      <w:r w:rsidRPr="00CF31E0">
        <w:rPr>
          <w:noProof/>
          <w:lang w:eastAsia="en-US"/>
        </w:rPr>
        <w:instrText xml:space="preserve"> ADDIN ZOTERO_ITEM CSL_CITATION {"citationID":"lo9LG9ei","properties":{"formattedCitation":"(Hay, Jennifer &amp; Drager, Katie, 2010)","plainCitation":"(Hay, Jennifer &amp; Drager, Katie, 2010)","noteIndex":0},"citationItems":[{"id":291,"uris":["http://zotero.org/users/1939618/items/J2RHJYXU"],"uri":["http://zotero.org/users/1939618/items/J2RHJYXU"],"itemData":{"id":291,"type":"article-journal","title":"Stuffed toys and speech perception : Linguistics","volume":"48","issue":"4","URL":"https://www.degruyter.com/view/j/ling.2010.48.issue-4/ling.2010.027/ling.2010.027.xml","author":[{"literal":"Hay, Jennifer"},{"literal":"Drager, Katie"}],"issued":{"date-parts":[["2010"]]},"accessed":{"date-parts":[["2017",12,28]]}}}],"schema":"https://github.com/citation-style-language/schema/raw/master/csl-citation.json"} </w:instrText>
      </w:r>
      <w:r w:rsidRPr="00CF31E0">
        <w:rPr>
          <w:noProof/>
          <w:lang w:eastAsia="en-US"/>
        </w:rPr>
        <w:fldChar w:fldCharType="separate"/>
      </w:r>
      <w:r w:rsidRPr="00CF31E0">
        <w:rPr>
          <w:noProof/>
          <w:lang w:eastAsia="en-US"/>
        </w:rPr>
        <w:t>Hay and Drager (2010</w:t>
      </w:r>
      <w:r w:rsidR="00847047" w:rsidRPr="00CF31E0">
        <w:rPr>
          <w:noProof/>
          <w:lang w:eastAsia="en-US"/>
        </w:rPr>
        <w:t>;</w:t>
      </w:r>
      <w:r w:rsidRPr="00CF31E0">
        <w:rPr>
          <w:noProof/>
          <w:lang w:eastAsia="en-US"/>
        </w:rPr>
        <w:fldChar w:fldCharType="end"/>
      </w:r>
      <w:r w:rsidR="004111B1" w:rsidRPr="00CF31E0">
        <w:rPr>
          <w:noProof/>
          <w:lang w:eastAsia="en-US"/>
        </w:rPr>
        <w:t xml:space="preserve"> see </w:t>
      </w:r>
      <w:r w:rsidR="00847047" w:rsidRPr="00CF31E0">
        <w:rPr>
          <w:noProof/>
          <w:lang w:eastAsia="en-US"/>
        </w:rPr>
        <w:t>C</w:t>
      </w:r>
      <w:r w:rsidR="00770C27" w:rsidRPr="00CF31E0">
        <w:rPr>
          <w:noProof/>
          <w:lang w:eastAsia="en-US"/>
        </w:rPr>
        <w:t>hapter 4</w:t>
      </w:r>
      <w:r w:rsidR="00847047" w:rsidRPr="00CF31E0">
        <w:rPr>
          <w:noProof/>
          <w:lang w:eastAsia="en-US"/>
        </w:rPr>
        <w:t>,</w:t>
      </w:r>
      <w:r w:rsidR="00770C27" w:rsidRPr="00CF31E0">
        <w:rPr>
          <w:noProof/>
          <w:lang w:eastAsia="en-US"/>
        </w:rPr>
        <w:t xml:space="preserve"> section 4.9</w:t>
      </w:r>
      <w:r w:rsidR="004111B1" w:rsidRPr="00CF31E0">
        <w:rPr>
          <w:noProof/>
          <w:lang w:eastAsia="en-US"/>
        </w:rPr>
        <w:t xml:space="preserve"> for more details on the study</w:t>
      </w:r>
      <w:r w:rsidR="00847047" w:rsidRPr="00CF31E0">
        <w:rPr>
          <w:noProof/>
          <w:lang w:eastAsia="en-US"/>
        </w:rPr>
        <w:t>)</w:t>
      </w:r>
      <w:r w:rsidR="004111B1" w:rsidRPr="00CF31E0">
        <w:rPr>
          <w:noProof/>
          <w:lang w:eastAsia="en-US"/>
        </w:rPr>
        <w:t xml:space="preserve">, where they </w:t>
      </w:r>
      <w:r w:rsidRPr="00CF31E0">
        <w:rPr>
          <w:noProof/>
          <w:lang w:eastAsia="en-US"/>
        </w:rPr>
        <w:t xml:space="preserve">revealed that when participants’ cognitive processes have been activated with social information on the dialect area region (i.e. stuffed toys representing each region), their perceptions are going to be highly affected by the activation of the concept of social information. </w:t>
      </w:r>
    </w:p>
    <w:p w14:paraId="7AF4C89D" w14:textId="2D7E5B51" w:rsidR="000B4835" w:rsidRPr="00CF31E0" w:rsidRDefault="000B4835" w:rsidP="002505D7">
      <w:pPr>
        <w:spacing w:before="120" w:after="120" w:line="360" w:lineRule="auto"/>
        <w:jc w:val="both"/>
        <w:rPr>
          <w:rFonts w:eastAsia="Calibri" w:cs="Arial"/>
          <w:color w:val="000000" w:themeColor="text1"/>
          <w:lang w:eastAsia="en-US"/>
        </w:rPr>
      </w:pPr>
      <w:r w:rsidRPr="00CF31E0">
        <w:rPr>
          <w:rFonts w:eastAsia="Calibri" w:cs="Arial"/>
          <w:noProof/>
          <w:color w:val="000000" w:themeColor="text1"/>
          <w:lang w:eastAsia="en-US"/>
        </w:rPr>
        <w:lastRenderedPageBreak/>
        <w:t xml:space="preserve">The present study differs from the above-mentioned three studies in two aspects; first, </w:t>
      </w:r>
      <w:r w:rsidRPr="00CF31E0">
        <w:rPr>
          <w:rFonts w:eastAsia="Calibri" w:cs="Arial"/>
          <w:noProof/>
          <w:color w:val="000000" w:themeColor="text1"/>
          <w:lang w:eastAsia="en-US"/>
        </w:rPr>
        <w:fldChar w:fldCharType="begin"/>
      </w:r>
      <w:r w:rsidRPr="00CF31E0">
        <w:rPr>
          <w:rFonts w:eastAsia="Calibri" w:cs="Arial"/>
          <w:noProof/>
          <w:color w:val="000000" w:themeColor="text1"/>
          <w:lang w:eastAsia="en-US"/>
        </w:rPr>
        <w:instrText xml:space="preserve"> ADDIN ZOTERO_ITEM CSL_CITATION {"citationID":"6D4MGP6h","properties":{"formattedCitation":"(Hay et al., 2006a; Hay, Jennifer &amp; Drager, Katie, 2010; Niedzielski, 1999)","plainCitation":"(Hay et al., 2006a; Hay, Jennifer &amp; Drager, Katie, 2010; Niedzielski, 1999)","dontUpdate":true,"noteIndex":0},"citationItems":[{"id":345,"uris":["http://zotero.org/users/1939618/items/8WESUNPI"],"uri":["http://zotero.org/users/1939618/items/8WESUNPI"],"itemData":{"id":345,"type":"article-journal","title":"From fush to feesh: Exemplar priming in speech perception","container-title":"The Linguistic Review","page":"351–379","volume":"23","issue":"3","source":"find.shef.ac.uk","abstract":"Niedzielski (1999) reports on an experiment which demonstrates that individuals in Detroit ‘hear’ more Canadian Raising in the speech of a speaker when they think that speaker is Canadian. We describe an experiment designed to follow up on this result in a New Zealand context. Participants listened to a New Zealand English (NZE) speaker reading a list of sentences. Each sentence appeared on the answer-sheet, with a target word underlined. For each sentence, participants were asked to select from a synthesized vowel continuum the token that best matched the target vowel produced by the speaker. Half the participants had an answer-sheet with the word ‘Australian’ written on it, and half had an answer-sheet with ‘New Zealander’ written on it. Participants in the two conditions behaved significantly differently from one another. For example, they were more likely to hear a higher fronter / i / vowel when ‘Australian’ appeared on the answer sheet, and more likely to hear a centralized version when ‘New Zealander’ appeared – a trend which reflects production differences between the two dialects. This is despite the fact that nearly all participants reported that they knew they were listening to a New Zealander. We discuss the implication of these results, and argue that they support exemplar models of speech perception.","DOI":"10.1515/TLR.2006.014","ISSN":"0167-6318","shortTitle":"From fush to feesh","author":[{"family":"Hay","given":"Jennifer"},{"family":"Nolan","given":"Aaron"},{"family":"Drager","given":"Katie"}],"issued":{"literal":"2006a"}},"label":"page"},{"id":291,"uris":["http://zotero.org/users/1939618/items/J2RHJYXU"],"uri":["http://zotero.org/users/1939618/items/J2RHJYXU"],"itemData":{"id":291,"type":"article-journal","title":"Stuffed toys and speech perception : Linguistics","volume":"48","issue":"4","URL":"https://www.degruyter.com/view/j/ling.2010.48.issue-4/ling.2010.027/ling.2010.027.xml","author":[{"literal":"Hay, Jennifer"},{"literal":"Drager, Katie"}],"issued":{"date-parts":[["2010"]]},"accessed":{"date-parts":[["2017",12,28]]}},"label":"page"},{"id":293,"uris":["http://zotero.org/users/1939618/items/IR99WY6K"],"uri":["http://zotero.org/users/1939618/items/IR99WY6K"],"itemData":{"id":293,"type":"article-journal","title":"The effect of social information on the perception of sociolinguistic variables","container-title":"Journal of language and social psychology","page":"62–85","volume":"18","issue":"1","source":"Google Scholar","author":[{"family":"Niedzielski","given":"Nancy"}],"issued":{"date-parts":[["1999"]]}},"label":"page"}],"schema":"https://github.com/citation-style-language/schema/raw/master/csl-citation.json"} </w:instrText>
      </w:r>
      <w:r w:rsidRPr="00CF31E0">
        <w:rPr>
          <w:rFonts w:eastAsia="Calibri" w:cs="Arial"/>
          <w:noProof/>
          <w:color w:val="000000" w:themeColor="text1"/>
          <w:lang w:eastAsia="en-US"/>
        </w:rPr>
        <w:fldChar w:fldCharType="separate"/>
      </w:r>
      <w:r w:rsidR="00074CE4" w:rsidRPr="00CF31E0">
        <w:rPr>
          <w:rFonts w:eastAsia="Calibri" w:cs="Arial"/>
          <w:noProof/>
          <w:color w:val="000000" w:themeColor="text1"/>
          <w:lang w:eastAsia="en-US"/>
        </w:rPr>
        <w:t>Hay et al. (2006</w:t>
      </w:r>
      <w:r w:rsidRPr="00CF31E0">
        <w:rPr>
          <w:rFonts w:eastAsia="Calibri" w:cs="Arial"/>
          <w:noProof/>
          <w:color w:val="000000" w:themeColor="text1"/>
          <w:lang w:eastAsia="en-US"/>
        </w:rPr>
        <w:t>), Hay and Drager (2010), and Niedzielski (1999)</w:t>
      </w:r>
      <w:r w:rsidRPr="00CF31E0">
        <w:rPr>
          <w:rFonts w:eastAsia="Calibri" w:cs="Arial"/>
          <w:noProof/>
          <w:color w:val="000000" w:themeColor="text1"/>
          <w:lang w:eastAsia="en-US"/>
        </w:rPr>
        <w:fldChar w:fldCharType="end"/>
      </w:r>
      <w:r w:rsidRPr="00CF31E0">
        <w:rPr>
          <w:rFonts w:eastAsia="Calibri" w:cs="Arial"/>
          <w:noProof/>
          <w:color w:val="000000" w:themeColor="text1"/>
          <w:lang w:eastAsia="en-US"/>
        </w:rPr>
        <w:t xml:space="preserve"> conducted their studies to test the effects of social information on the perception of English varieties, where each variety is spoke</w:t>
      </w:r>
      <w:r w:rsidR="001E0818" w:rsidRPr="00CF31E0">
        <w:rPr>
          <w:rFonts w:eastAsia="Calibri" w:cs="Arial"/>
          <w:noProof/>
          <w:color w:val="000000" w:themeColor="text1"/>
          <w:lang w:eastAsia="en-US"/>
        </w:rPr>
        <w:t>n in a distinct region. I</w:t>
      </w:r>
      <w:r w:rsidRPr="00CF31E0">
        <w:rPr>
          <w:rFonts w:eastAsia="Calibri" w:cs="Arial"/>
          <w:noProof/>
          <w:color w:val="000000" w:themeColor="text1"/>
          <w:lang w:eastAsia="en-US"/>
        </w:rPr>
        <w:t xml:space="preserve">n </w:t>
      </w:r>
      <w:r w:rsidRPr="00CF31E0">
        <w:rPr>
          <w:rFonts w:eastAsia="Calibri" w:cs="Arial"/>
          <w:color w:val="000000" w:themeColor="text1"/>
          <w:lang w:eastAsia="en-US"/>
        </w:rPr>
        <w:fldChar w:fldCharType="begin"/>
      </w:r>
      <w:r w:rsidRPr="00CF31E0">
        <w:rPr>
          <w:rFonts w:eastAsia="Calibri" w:cs="Arial"/>
          <w:color w:val="000000" w:themeColor="text1"/>
          <w:lang w:eastAsia="en-US"/>
        </w:rPr>
        <w:instrText xml:space="preserve"> ADDIN ZOTERO_ITEM CSL_CITATION {"citationID":"tQI0DFfY","properties":{"formattedCitation":"(Niedzielski, 1999)","plainCitation":"(Niedzielski, 1999)","dontUpdate":true,"noteIndex":0},"citationItems":[{"id":293,"uris":["http://zotero.org/users/1939618/items/IR99WY6K"],"uri":["http://zotero.org/users/1939618/items/IR99WY6K"],"itemData":{"id":293,"type":"article-journal","title":"The effect of social information on the perception of sociolinguistic variables","container-title":"Journal of language and social psychology","page":"62–85","volume":"18","issue":"1","source":"Google Scholar","author":[{"family":"Niedzielski","given":"Nancy"}],"issued":{"date-parts":[["1999"]]}}}],"schema":"https://github.com/citation-style-language/schema/raw/master/csl-citation.json"} </w:instrText>
      </w:r>
      <w:r w:rsidRPr="00CF31E0">
        <w:rPr>
          <w:rFonts w:eastAsia="Calibri" w:cs="Arial"/>
          <w:color w:val="000000" w:themeColor="text1"/>
          <w:lang w:eastAsia="en-US"/>
        </w:rPr>
        <w:fldChar w:fldCharType="separate"/>
      </w:r>
      <w:r w:rsidRPr="00CF31E0">
        <w:rPr>
          <w:rFonts w:eastAsia="Calibri" w:cs="Arial"/>
          <w:noProof/>
          <w:color w:val="000000" w:themeColor="text1"/>
          <w:lang w:eastAsia="en-US"/>
        </w:rPr>
        <w:t>Niedzielski (1999)</w:t>
      </w:r>
      <w:r w:rsidRPr="00CF31E0">
        <w:rPr>
          <w:rFonts w:eastAsia="Calibri" w:cs="Arial"/>
          <w:color w:val="000000" w:themeColor="text1"/>
          <w:lang w:eastAsia="en-US"/>
        </w:rPr>
        <w:fldChar w:fldCharType="end"/>
      </w:r>
      <w:r w:rsidRPr="00CF31E0">
        <w:rPr>
          <w:rFonts w:eastAsia="Calibri" w:cs="Arial"/>
          <w:color w:val="000000" w:themeColor="text1"/>
          <w:lang w:eastAsia="en-US"/>
        </w:rPr>
        <w:t xml:space="preserve"> and </w:t>
      </w:r>
      <w:r w:rsidRPr="00CF31E0">
        <w:rPr>
          <w:rFonts w:eastAsia="Calibri" w:cs="Arial"/>
          <w:color w:val="000000" w:themeColor="text1"/>
          <w:lang w:eastAsia="en-US"/>
        </w:rPr>
        <w:fldChar w:fldCharType="begin"/>
      </w:r>
      <w:r w:rsidRPr="00CF31E0">
        <w:rPr>
          <w:rFonts w:eastAsia="Calibri" w:cs="Arial"/>
          <w:color w:val="000000" w:themeColor="text1"/>
          <w:lang w:eastAsia="en-US"/>
        </w:rPr>
        <w:instrText xml:space="preserve"> ADDIN ZOTERO_ITEM CSL_CITATION {"citationID":"uCAKDbCO","properties":{"formattedCitation":"(Hay et al., 2006a)","plainCitation":"(Hay et al., 2006a)","dontUpdate":true,"noteIndex":0},"citationItems":[{"id":345,"uris":["http://zotero.org/users/1939618/items/8WESUNPI"],"uri":["http://zotero.org/users/1939618/items/8WESUNPI"],"itemData":{"id":345,"type":"article-journal","title":"From fush to feesh: Exemplar priming in speech perception","container-title":"The Linguistic Review","page":"351–379","volume":"23","issue":"3","source":"find.shef.ac.uk","abstract":"Niedzielski (1999) reports on an experiment which demonstrates that individuals in Detroit ‘hear’ more Canadian Raising in the speech of a speaker when they think that speaker is Canadian. We describe an experiment designed to follow up on this result in a New Zealand context. Participants listened to a New Zealand English (NZE) speaker reading a list of sentences. Each sentence appeared on the answer-sheet, with a target word underlined. For each sentence, participants were asked to select from a synthesized vowel continuum the token that best matched the target vowel produced by the speaker. Half the participants had an answer-sheet with the word ‘Australian’ written on it, and half had an answer-sheet with ‘New Zealander’ written on it. Participants in the two conditions behaved significantly differently from one another. For example, they were more likely to hear a higher fronter / i / vowel when ‘Australian’ appeared on the answer sheet, and more likely to hear a centralized version when ‘New Zealander’ appeared – a trend which reflects production differences between the two dialects. This is despite the fact that nearly all participants reported that they knew they were listening to a New Zealander. We discuss the implication of these results, and argue that they support exemplar models of speech perception.","DOI":"10.1515/TLR.2006.014","ISSN":"0167-6318","shortTitle":"From fush to feesh","author":[{"family":"Hay","given":"Jennifer"},{"family":"Nolan","given":"Aaron"},{"family":"Drager","given":"Katie"}],"issued":{"literal":"2006a"}}}],"schema":"https://github.com/citation-style-language/schema/raw/master/csl-citation.json"} </w:instrText>
      </w:r>
      <w:r w:rsidRPr="00CF31E0">
        <w:rPr>
          <w:rFonts w:eastAsia="Calibri" w:cs="Arial"/>
          <w:color w:val="000000" w:themeColor="text1"/>
          <w:lang w:eastAsia="en-US"/>
        </w:rPr>
        <w:fldChar w:fldCharType="separate"/>
      </w:r>
      <w:r w:rsidR="00074CE4" w:rsidRPr="00CF31E0">
        <w:rPr>
          <w:rFonts w:eastAsia="Calibri" w:cs="Arial"/>
          <w:noProof/>
          <w:color w:val="000000" w:themeColor="text1"/>
          <w:lang w:eastAsia="en-US"/>
        </w:rPr>
        <w:t>Hay et al. (2006</w:t>
      </w:r>
      <w:r w:rsidRPr="00CF31E0">
        <w:rPr>
          <w:rFonts w:eastAsia="Calibri" w:cs="Arial"/>
          <w:noProof/>
          <w:color w:val="000000" w:themeColor="text1"/>
          <w:lang w:eastAsia="en-US"/>
        </w:rPr>
        <w:t>)</w:t>
      </w:r>
      <w:r w:rsidRPr="00CF31E0">
        <w:rPr>
          <w:rFonts w:eastAsia="Calibri" w:cs="Arial"/>
          <w:color w:val="000000" w:themeColor="text1"/>
          <w:lang w:eastAsia="en-US"/>
        </w:rPr>
        <w:fldChar w:fldCharType="end"/>
      </w:r>
      <w:r w:rsidRPr="00CF31E0">
        <w:rPr>
          <w:rFonts w:eastAsia="Calibri" w:cs="Arial"/>
          <w:color w:val="000000" w:themeColor="text1"/>
          <w:lang w:eastAsia="en-US"/>
        </w:rPr>
        <w:t xml:space="preserve">, one English variety is spoken </w:t>
      </w:r>
      <w:r w:rsidRPr="00CF31E0">
        <w:rPr>
          <w:rFonts w:eastAsia="Calibri" w:cs="Arial"/>
          <w:noProof/>
          <w:color w:val="000000" w:themeColor="text1"/>
          <w:lang w:eastAsia="en-US"/>
        </w:rPr>
        <w:t>in Michigan in northern USA and the other English variety is spoken in Canada, specifically in Ontario i</w:t>
      </w:r>
      <w:r w:rsidR="001E0818" w:rsidRPr="00CF31E0">
        <w:rPr>
          <w:rFonts w:eastAsia="Calibri" w:cs="Arial"/>
          <w:noProof/>
          <w:color w:val="000000" w:themeColor="text1"/>
          <w:lang w:eastAsia="en-US"/>
        </w:rPr>
        <w:t>n east central Canada. I</w:t>
      </w:r>
      <w:r w:rsidRPr="00CF31E0">
        <w:rPr>
          <w:rFonts w:eastAsia="Calibri" w:cs="Arial"/>
          <w:noProof/>
          <w:color w:val="000000" w:themeColor="text1"/>
          <w:lang w:eastAsia="en-US"/>
        </w:rPr>
        <w:t xml:space="preserve">n </w:t>
      </w:r>
      <w:r w:rsidRPr="00CF31E0">
        <w:rPr>
          <w:rFonts w:eastAsia="Calibri" w:cs="Arial"/>
          <w:noProof/>
          <w:color w:val="000000" w:themeColor="text1"/>
          <w:lang w:eastAsia="en-US"/>
        </w:rPr>
        <w:fldChar w:fldCharType="begin"/>
      </w:r>
      <w:r w:rsidRPr="00CF31E0">
        <w:rPr>
          <w:rFonts w:eastAsia="Calibri" w:cs="Arial"/>
          <w:noProof/>
          <w:color w:val="000000" w:themeColor="text1"/>
          <w:lang w:eastAsia="en-US"/>
        </w:rPr>
        <w:instrText xml:space="preserve"> ADDIN ZOTERO_ITEM CSL_CITATION {"citationID":"NuohBJVW","properties":{"formattedCitation":"(Hay, Jennifer &amp; Drager, Katie, 2010)","plainCitation":"(Hay, Jennifer &amp; Drager, Katie, 2010)","noteIndex":0},"citationItems":[{"id":291,"uris":["http://zotero.org/users/1939618/items/J2RHJYXU"],"uri":["http://zotero.org/users/1939618/items/J2RHJYXU"],"itemData":{"id":291,"type":"article-journal","title":"Stuffed toys and speech perception : Linguistics","volume":"48","issue":"4","URL":"https://www.degruyter.com/view/j/ling.2010.48.issue-4/ling.2010.027/ling.2010.027.xml","author":[{"literal":"Hay, Jennifer"},{"literal":"Drager, Katie"}],"issued":{"date-parts":[["2010"]]},"accessed":{"date-parts":[["2017",12,28]]}}}],"schema":"https://github.com/citation-style-language/schema/raw/master/csl-citation.json"} </w:instrText>
      </w:r>
      <w:r w:rsidRPr="00CF31E0">
        <w:rPr>
          <w:rFonts w:eastAsia="Calibri" w:cs="Arial"/>
          <w:noProof/>
          <w:color w:val="000000" w:themeColor="text1"/>
          <w:lang w:eastAsia="en-US"/>
        </w:rPr>
        <w:fldChar w:fldCharType="separate"/>
      </w:r>
      <w:r w:rsidRPr="00CF31E0">
        <w:rPr>
          <w:rFonts w:eastAsia="Calibri" w:cs="Arial"/>
          <w:noProof/>
          <w:color w:val="000000" w:themeColor="text1"/>
          <w:lang w:eastAsia="en-US"/>
        </w:rPr>
        <w:t>Hay and Drager (2010)</w:t>
      </w:r>
      <w:r w:rsidRPr="00CF31E0">
        <w:rPr>
          <w:rFonts w:eastAsia="Calibri" w:cs="Arial"/>
          <w:noProof/>
          <w:color w:val="000000" w:themeColor="text1"/>
          <w:lang w:eastAsia="en-US"/>
        </w:rPr>
        <w:fldChar w:fldCharType="end"/>
      </w:r>
      <w:r w:rsidRPr="00CF31E0">
        <w:rPr>
          <w:rFonts w:eastAsia="Calibri" w:cs="Arial"/>
          <w:noProof/>
          <w:color w:val="000000" w:themeColor="text1"/>
          <w:lang w:eastAsia="en-US"/>
        </w:rPr>
        <w:t>, one English variety is spoken in New Ze</w:t>
      </w:r>
      <w:r w:rsidR="002505D7" w:rsidRPr="00CF31E0">
        <w:rPr>
          <w:rFonts w:eastAsia="Calibri" w:cs="Arial"/>
          <w:noProof/>
          <w:color w:val="000000" w:themeColor="text1"/>
          <w:lang w:eastAsia="en-US"/>
        </w:rPr>
        <w:t>a</w:t>
      </w:r>
      <w:r w:rsidRPr="00CF31E0">
        <w:rPr>
          <w:rFonts w:eastAsia="Calibri" w:cs="Arial"/>
          <w:noProof/>
          <w:color w:val="000000" w:themeColor="text1"/>
          <w:lang w:eastAsia="en-US"/>
        </w:rPr>
        <w:t>land while the other v</w:t>
      </w:r>
      <w:r w:rsidR="001E0818" w:rsidRPr="00CF31E0">
        <w:rPr>
          <w:rFonts w:eastAsia="Calibri" w:cs="Arial"/>
          <w:noProof/>
          <w:color w:val="000000" w:themeColor="text1"/>
          <w:lang w:eastAsia="en-US"/>
        </w:rPr>
        <w:t>ariety is spoken in Australia. While t</w:t>
      </w:r>
      <w:r w:rsidRPr="00CF31E0">
        <w:rPr>
          <w:rFonts w:eastAsia="Calibri" w:cs="Arial"/>
          <w:noProof/>
          <w:color w:val="000000" w:themeColor="text1"/>
          <w:lang w:eastAsia="en-US"/>
        </w:rPr>
        <w:t xml:space="preserve">he present study examines the effect of social information on the perception of Hijazi Arabic varieties, where the two varieties coexist within the Hijazi region. In other words, the two Hijazi dialects are not regionally bounded like the previously mentioned English varieties. I would argue that the everyday and frequent dialect contact between UBH people and HH people results in a high level of consciousness and awareness of the Hijazi varieties, which makes it difficult to deceive the participants. </w:t>
      </w:r>
      <w:r w:rsidRPr="00CF31E0">
        <w:rPr>
          <w:rFonts w:eastAsia="Calibri" w:cs="Arial"/>
          <w:color w:val="000000" w:themeColor="text1"/>
          <w:lang w:eastAsia="en-US"/>
        </w:rPr>
        <w:t xml:space="preserve">Empirically, frequent exposure to linguistic features proved to increase </w:t>
      </w:r>
      <w:r w:rsidR="00B56D76" w:rsidRPr="00CF31E0">
        <w:rPr>
          <w:rFonts w:eastAsia="Calibri" w:cs="Arial"/>
          <w:color w:val="000000" w:themeColor="text1"/>
          <w:lang w:eastAsia="en-US"/>
        </w:rPr>
        <w:t>accurate</w:t>
      </w:r>
      <w:r w:rsidRPr="00CF31E0">
        <w:rPr>
          <w:rFonts w:eastAsia="Calibri" w:cs="Arial"/>
          <w:color w:val="000000" w:themeColor="text1"/>
          <w:lang w:eastAsia="en-US"/>
        </w:rPr>
        <w:t xml:space="preserve"> perceptions towards those linguistic features </w:t>
      </w:r>
      <w:r w:rsidRPr="00CF31E0">
        <w:rPr>
          <w:rFonts w:eastAsia="Calibri" w:cs="Arial"/>
          <w:color w:val="000000" w:themeColor="text1"/>
          <w:lang w:eastAsia="en-US"/>
        </w:rPr>
        <w:fldChar w:fldCharType="begin"/>
      </w:r>
      <w:r w:rsidRPr="00CF31E0">
        <w:rPr>
          <w:rFonts w:eastAsia="Calibri" w:cs="Arial"/>
          <w:color w:val="000000" w:themeColor="text1"/>
          <w:lang w:eastAsia="en-US"/>
        </w:rPr>
        <w:instrText xml:space="preserve"> ADDIN ZOTERO_ITEM CSL_CITATION {"citationID":"GWzfjWeA","properties":{"formattedCitation":"(Jen Hay, Drager, &amp; Gibson, 2017)","plainCitation":"(Jen Hay, Drager, &amp; Gibson, 2017)","dontUpdate":true,"noteIndex":0},"citationItems":[{"id":542,"uris":["http://zotero.org/users/1939618/items/ZB5K7ECS"],"uri":["http://zotero.org/users/1939618/items/ZB5K7ECS"],"itemData":{"id":542,"type":"article-journal","title":"(in press) Hearing R-sandhi: the role of past experience","container-title":"Research Gate","abstract":"ResearchGate is a network dedicated to science and research. Connect, collaborate and discover scientific publications, jobs and conferences. All for free.","URL":"https://www.researchgate.net/publication/319007814_Hearing_R-Sandhi_the_Role_of_Past_Experience","shortTitle":"Hearing R-Sandhi","language":"en","author":[{"family":"Hay","given":"Jen"},{"family":"Drager","given":"Katie"},{"family":"Gibson","given":"Andy"}],"issued":{"date-parts":[["2017"]]},"accessed":{"date-parts":[["2018",7,27]]}}}],"schema":"https://github.com/citation-style-language/schema/raw/master/csl-citation.json"} </w:instrText>
      </w:r>
      <w:r w:rsidRPr="00CF31E0">
        <w:rPr>
          <w:rFonts w:eastAsia="Calibri" w:cs="Arial"/>
          <w:color w:val="000000" w:themeColor="text1"/>
          <w:lang w:eastAsia="en-US"/>
        </w:rPr>
        <w:fldChar w:fldCharType="separate"/>
      </w:r>
      <w:r w:rsidRPr="00CF31E0">
        <w:rPr>
          <w:rFonts w:eastAsia="Calibri" w:cs="Arial"/>
          <w:noProof/>
          <w:color w:val="000000" w:themeColor="text1"/>
          <w:lang w:eastAsia="en-US"/>
        </w:rPr>
        <w:t>(Hay</w:t>
      </w:r>
      <w:r w:rsidR="002505D7" w:rsidRPr="00CF31E0">
        <w:rPr>
          <w:rFonts w:eastAsia="Calibri" w:cs="Arial"/>
          <w:noProof/>
          <w:color w:val="000000" w:themeColor="text1"/>
          <w:lang w:eastAsia="en-US"/>
        </w:rPr>
        <w:t xml:space="preserve"> et al.</w:t>
      </w:r>
      <w:r w:rsidR="00AB684B" w:rsidRPr="00CF31E0">
        <w:rPr>
          <w:rFonts w:eastAsia="Calibri" w:cs="Arial"/>
          <w:noProof/>
          <w:color w:val="000000" w:themeColor="text1"/>
          <w:lang w:eastAsia="en-US"/>
        </w:rPr>
        <w:t>, 2018</w:t>
      </w:r>
      <w:r w:rsidRPr="00CF31E0">
        <w:rPr>
          <w:rFonts w:eastAsia="Calibri" w:cs="Arial"/>
          <w:noProof/>
          <w:color w:val="000000" w:themeColor="text1"/>
          <w:lang w:eastAsia="en-US"/>
        </w:rPr>
        <w:t>)</w:t>
      </w:r>
      <w:r w:rsidRPr="00CF31E0">
        <w:rPr>
          <w:rFonts w:eastAsia="Calibri" w:cs="Arial"/>
          <w:color w:val="000000" w:themeColor="text1"/>
          <w:lang w:eastAsia="en-US"/>
        </w:rPr>
        <w:fldChar w:fldCharType="end"/>
      </w:r>
      <w:r w:rsidRPr="00CF31E0">
        <w:rPr>
          <w:rFonts w:eastAsia="Calibri" w:cs="Arial"/>
          <w:color w:val="000000" w:themeColor="text1"/>
          <w:lang w:eastAsia="en-US"/>
        </w:rPr>
        <w:t>. In their study, they tested the perception toward</w:t>
      </w:r>
      <w:r w:rsidR="00B56D76" w:rsidRPr="00CF31E0">
        <w:rPr>
          <w:rFonts w:eastAsia="Calibri" w:cs="Arial"/>
          <w:color w:val="000000" w:themeColor="text1"/>
          <w:lang w:eastAsia="en-US"/>
        </w:rPr>
        <w:t>s</w:t>
      </w:r>
      <w:r w:rsidRPr="00CF31E0">
        <w:rPr>
          <w:rFonts w:eastAsia="Calibri" w:cs="Arial"/>
          <w:color w:val="000000" w:themeColor="text1"/>
          <w:lang w:eastAsia="en-US"/>
        </w:rPr>
        <w:t xml:space="preserve"> New Zealand English </w:t>
      </w:r>
      <w:r w:rsidRPr="00CF31E0">
        <w:rPr>
          <w:rFonts w:eastAsia="Calibri" w:cs="Arial"/>
          <w:i/>
          <w:iCs/>
          <w:color w:val="000000" w:themeColor="text1"/>
          <w:lang w:eastAsia="en-US"/>
        </w:rPr>
        <w:t>r</w:t>
      </w:r>
      <w:r w:rsidRPr="00CF31E0">
        <w:rPr>
          <w:rFonts w:eastAsia="Calibri" w:cs="Arial"/>
          <w:color w:val="000000" w:themeColor="text1"/>
          <w:lang w:eastAsia="en-US"/>
        </w:rPr>
        <w:t>-sandhi in three different locations in New Zealand</w:t>
      </w:r>
      <w:r w:rsidR="00B56D76" w:rsidRPr="00CF31E0">
        <w:rPr>
          <w:rFonts w:eastAsia="Calibri" w:cs="Arial"/>
          <w:color w:val="000000" w:themeColor="text1"/>
          <w:lang w:eastAsia="en-US"/>
        </w:rPr>
        <w:t>,</w:t>
      </w:r>
      <w:r w:rsidRPr="00CF31E0">
        <w:rPr>
          <w:rFonts w:eastAsia="Calibri" w:cs="Arial"/>
          <w:color w:val="000000" w:themeColor="text1"/>
          <w:lang w:eastAsia="en-US"/>
        </w:rPr>
        <w:t xml:space="preserve"> where each location received </w:t>
      </w:r>
      <w:r w:rsidR="00B56D76" w:rsidRPr="00CF31E0">
        <w:rPr>
          <w:rFonts w:eastAsia="Calibri" w:cs="Arial"/>
          <w:color w:val="000000" w:themeColor="text1"/>
          <w:lang w:eastAsia="en-US"/>
        </w:rPr>
        <w:t xml:space="preserve">a </w:t>
      </w:r>
      <w:r w:rsidRPr="00CF31E0">
        <w:rPr>
          <w:rFonts w:eastAsia="Calibri" w:cs="Arial"/>
          <w:color w:val="000000" w:themeColor="text1"/>
          <w:lang w:eastAsia="en-US"/>
        </w:rPr>
        <w:t xml:space="preserve">different amount of exposure </w:t>
      </w:r>
      <w:r w:rsidR="00B56D76" w:rsidRPr="00CF31E0">
        <w:rPr>
          <w:rFonts w:eastAsia="Calibri" w:cs="Arial"/>
          <w:color w:val="000000" w:themeColor="text1"/>
          <w:lang w:eastAsia="en-US"/>
        </w:rPr>
        <w:t xml:space="preserve">to </w:t>
      </w:r>
      <w:r w:rsidRPr="00CF31E0">
        <w:rPr>
          <w:rFonts w:eastAsia="Calibri" w:cs="Arial"/>
          <w:color w:val="000000" w:themeColor="text1"/>
          <w:lang w:eastAsia="en-US"/>
        </w:rPr>
        <w:t xml:space="preserve">the variance. </w:t>
      </w:r>
      <w:r w:rsidR="00B56D76" w:rsidRPr="00CF31E0">
        <w:rPr>
          <w:rFonts w:eastAsia="Calibri" w:cs="Arial"/>
          <w:color w:val="000000" w:themeColor="text1"/>
          <w:lang w:eastAsia="en-US"/>
        </w:rPr>
        <w:t>The r</w:t>
      </w:r>
      <w:r w:rsidRPr="00CF31E0">
        <w:rPr>
          <w:rFonts w:eastAsia="Calibri" w:cs="Arial"/>
          <w:color w:val="000000" w:themeColor="text1"/>
          <w:lang w:eastAsia="en-US"/>
        </w:rPr>
        <w:t>esults confirm</w:t>
      </w:r>
      <w:r w:rsidR="00B56D76" w:rsidRPr="00CF31E0">
        <w:rPr>
          <w:rFonts w:eastAsia="Calibri" w:cs="Arial"/>
          <w:color w:val="000000" w:themeColor="text1"/>
          <w:lang w:eastAsia="en-US"/>
        </w:rPr>
        <w:t>ed</w:t>
      </w:r>
      <w:r w:rsidRPr="00CF31E0">
        <w:rPr>
          <w:rFonts w:eastAsia="Calibri" w:cs="Arial"/>
          <w:color w:val="000000" w:themeColor="text1"/>
          <w:lang w:eastAsia="en-US"/>
        </w:rPr>
        <w:t xml:space="preserve"> the current discussion</w:t>
      </w:r>
      <w:r w:rsidR="00B56D76" w:rsidRPr="00CF31E0">
        <w:rPr>
          <w:rFonts w:eastAsia="Calibri" w:cs="Arial"/>
          <w:color w:val="000000" w:themeColor="text1"/>
          <w:lang w:eastAsia="en-US"/>
        </w:rPr>
        <w:t>, i.e.</w:t>
      </w:r>
      <w:r w:rsidRPr="00CF31E0">
        <w:rPr>
          <w:rFonts w:eastAsia="Calibri" w:cs="Arial"/>
          <w:color w:val="000000" w:themeColor="text1"/>
          <w:lang w:eastAsia="en-US"/>
        </w:rPr>
        <w:t xml:space="preserve"> that dense and frequent previous exposure to the variant lead</w:t>
      </w:r>
      <w:r w:rsidR="00B56D76" w:rsidRPr="00CF31E0">
        <w:rPr>
          <w:rFonts w:eastAsia="Calibri" w:cs="Arial"/>
          <w:color w:val="000000" w:themeColor="text1"/>
          <w:lang w:eastAsia="en-US"/>
        </w:rPr>
        <w:t>s</w:t>
      </w:r>
      <w:r w:rsidRPr="00CF31E0">
        <w:rPr>
          <w:rFonts w:eastAsia="Calibri" w:cs="Arial"/>
          <w:color w:val="000000" w:themeColor="text1"/>
          <w:lang w:eastAsia="en-US"/>
        </w:rPr>
        <w:t xml:space="preserve"> to higher awareness</w:t>
      </w:r>
      <w:r w:rsidR="00B56D76" w:rsidRPr="00CF31E0">
        <w:rPr>
          <w:rFonts w:eastAsia="Calibri" w:cs="Arial"/>
          <w:color w:val="000000" w:themeColor="text1"/>
          <w:lang w:eastAsia="en-US"/>
        </w:rPr>
        <w:t>,</w:t>
      </w:r>
      <w:r w:rsidRPr="00CF31E0">
        <w:rPr>
          <w:rFonts w:eastAsia="Calibri" w:cs="Arial"/>
          <w:color w:val="000000" w:themeColor="text1"/>
          <w:lang w:eastAsia="en-US"/>
        </w:rPr>
        <w:t xml:space="preserve"> which lead</w:t>
      </w:r>
      <w:r w:rsidR="00B56D76" w:rsidRPr="00CF31E0">
        <w:rPr>
          <w:rFonts w:eastAsia="Calibri" w:cs="Arial"/>
          <w:color w:val="000000" w:themeColor="text1"/>
          <w:lang w:eastAsia="en-US"/>
        </w:rPr>
        <w:t>s</w:t>
      </w:r>
      <w:r w:rsidRPr="00CF31E0">
        <w:rPr>
          <w:rFonts w:eastAsia="Calibri" w:cs="Arial"/>
          <w:color w:val="000000" w:themeColor="text1"/>
          <w:lang w:eastAsia="en-US"/>
        </w:rPr>
        <w:t xml:space="preserve"> to </w:t>
      </w:r>
      <w:r w:rsidR="00B56D76" w:rsidRPr="00CF31E0">
        <w:rPr>
          <w:rFonts w:eastAsia="Calibri" w:cs="Arial"/>
          <w:color w:val="000000" w:themeColor="text1"/>
          <w:lang w:eastAsia="en-US"/>
        </w:rPr>
        <w:t xml:space="preserve">accurate </w:t>
      </w:r>
      <w:r w:rsidRPr="00CF31E0">
        <w:rPr>
          <w:rFonts w:eastAsia="Calibri" w:cs="Arial"/>
          <w:color w:val="000000" w:themeColor="text1"/>
          <w:lang w:eastAsia="en-US"/>
        </w:rPr>
        <w:t>perception</w:t>
      </w:r>
      <w:r w:rsidR="00B56D76" w:rsidRPr="00CF31E0">
        <w:rPr>
          <w:rFonts w:eastAsia="Calibri" w:cs="Arial"/>
          <w:color w:val="000000" w:themeColor="text1"/>
          <w:lang w:eastAsia="en-US"/>
        </w:rPr>
        <w:t>s</w:t>
      </w:r>
      <w:r w:rsidRPr="00CF31E0">
        <w:rPr>
          <w:rFonts w:eastAsia="Calibri" w:cs="Arial"/>
          <w:color w:val="000000" w:themeColor="text1"/>
          <w:lang w:eastAsia="en-US"/>
        </w:rPr>
        <w:t xml:space="preserve"> of </w:t>
      </w:r>
      <w:r w:rsidR="00B56D76" w:rsidRPr="00CF31E0">
        <w:rPr>
          <w:rFonts w:eastAsia="Calibri" w:cs="Arial"/>
          <w:color w:val="000000" w:themeColor="text1"/>
          <w:lang w:eastAsia="en-US"/>
        </w:rPr>
        <w:t xml:space="preserve">the </w:t>
      </w:r>
      <w:r w:rsidRPr="00CF31E0">
        <w:rPr>
          <w:rFonts w:eastAsia="Calibri" w:cs="Arial"/>
          <w:color w:val="000000" w:themeColor="text1"/>
          <w:lang w:eastAsia="en-US"/>
        </w:rPr>
        <w:t xml:space="preserve">linguistic features in question. </w:t>
      </w:r>
    </w:p>
    <w:p w14:paraId="59A35258" w14:textId="367A54B8" w:rsidR="000B4835" w:rsidRPr="00CF31E0" w:rsidRDefault="000B4835" w:rsidP="00603CB7">
      <w:pPr>
        <w:pStyle w:val="Paragraph"/>
        <w:rPr>
          <w:lang w:eastAsia="en-US"/>
        </w:rPr>
      </w:pPr>
      <w:r w:rsidRPr="00CF31E0">
        <w:rPr>
          <w:noProof/>
          <w:lang w:eastAsia="en-US"/>
        </w:rPr>
        <w:t xml:space="preserve">The second difference between the present study and the above-mentioned ones relates to the study design. </w:t>
      </w:r>
      <w:r w:rsidRPr="00CF31E0">
        <w:rPr>
          <w:noProof/>
          <w:lang w:eastAsia="en-US"/>
        </w:rPr>
        <w:fldChar w:fldCharType="begin"/>
      </w:r>
      <w:r w:rsidRPr="00CF31E0">
        <w:rPr>
          <w:noProof/>
          <w:lang w:eastAsia="en-US"/>
        </w:rPr>
        <w:instrText xml:space="preserve"> ADDIN ZOTERO_ITEM CSL_CITATION {"citationID":"o8xRWd6T","properties":{"formattedCitation":"(Hay et al., 2006a; Hay, Jennifer &amp; Drager, Katie, 2010; Niedzielski, 1999)","plainCitation":"(Hay et al., 2006a; Hay, Jennifer &amp; Drager, Katie, 2010; Niedzielski, 1999)","dontUpdate":true,"noteIndex":0},"citationItems":[{"id":345,"uris":["http://zotero.org/users/1939618/items/8WESUNPI"],"uri":["http://zotero.org/users/1939618/items/8WESUNPI"],"itemData":{"id":345,"type":"article-journal","title":"From fush to feesh: Exemplar priming in speech perception","container-title":"The Linguistic Review","page":"351–379","volume":"23","issue":"3","source":"find.shef.ac.uk","abstract":"Niedzielski (1999) reports on an experiment which demonstrates that individuals in Detroit ‘hear’ more Canadian Raising in the speech of a speaker when they think that speaker is Canadian. We describe an experiment designed to follow up on this result in a New Zealand context. Participants listened to a New Zealand English (NZE) speaker reading a list of sentences. Each sentence appeared on the answer-sheet, with a target word underlined. For each sentence, participants were asked to select from a synthesized vowel continuum the token that best matched the target vowel produced by the speaker. Half the participants had an answer-sheet with the word ‘Australian’ written on it, and half had an answer-sheet with ‘New Zealander’ written on it. Participants in the two conditions behaved significantly differently from one another. For example, they were more likely to hear a higher fronter / i / vowel when ‘Australian’ appeared on the answer sheet, and more likely to hear a centralized version when ‘New Zealander’ appeared – a trend which reflects production differences between the two dialects. This is despite the fact that nearly all participants reported that they knew they were listening to a New Zealander. We discuss the implication of these results, and argue that they support exemplar models of speech perception.","DOI":"10.1515/TLR.2006.014","ISSN":"0167-6318","shortTitle":"From fush to feesh","author":[{"family":"Hay","given":"Jennifer"},{"family":"Nolan","given":"Aaron"},{"family":"Drager","given":"Katie"}],"issued":{"literal":"2006a"}},"label":"page"},{"id":291,"uris":["http://zotero.org/users/1939618/items/J2RHJYXU"],"uri":["http://zotero.org/users/1939618/items/J2RHJYXU"],"itemData":{"id":291,"type":"article-journal","title":"Stuffed toys and speech perception : Linguistics","volume":"48","issue":"4","URL":"https://www.degruyter.com/view/j/ling.2010.48.issue-4/ling.2010.027/ling.2010.027.xml","author":[{"literal":"Hay, Jennifer"},{"literal":"Drager, Katie"}],"issued":{"date-parts":[["2010"]]},"accessed":{"date-parts":[["2017",12,28]]}},"label":"page"},{"id":293,"uris":["http://zotero.org/users/1939618/items/IR99WY6K"],"uri":["http://zotero.org/users/1939618/items/IR99WY6K"],"itemData":{"id":293,"type":"article-journal","title":"The effect of social information on the perception of sociolinguistic variables","container-title":"Journal of language and social psychology","page":"62–85","volume":"18","issue":"1","source":"Google Scholar","author":[{"family":"Niedzielski","given":"Nancy"}],"issued":{"date-parts":[["1999"]]}},"label":"page"}],"schema":"https://github.com/citation-style-language/schema/raw/master/csl-citation.json"} </w:instrText>
      </w:r>
      <w:r w:rsidRPr="00CF31E0">
        <w:rPr>
          <w:noProof/>
          <w:lang w:eastAsia="en-US"/>
        </w:rPr>
        <w:fldChar w:fldCharType="separate"/>
      </w:r>
      <w:r w:rsidR="00074CE4" w:rsidRPr="00CF31E0">
        <w:rPr>
          <w:noProof/>
          <w:lang w:eastAsia="en-US"/>
        </w:rPr>
        <w:t>Hay et al. (2006</w:t>
      </w:r>
      <w:r w:rsidRPr="00CF31E0">
        <w:rPr>
          <w:noProof/>
          <w:lang w:eastAsia="en-US"/>
        </w:rPr>
        <w:t>), Hay and Drager (2010), and Niedzielski (1999)</w:t>
      </w:r>
      <w:r w:rsidRPr="00CF31E0">
        <w:rPr>
          <w:noProof/>
          <w:lang w:eastAsia="en-US"/>
        </w:rPr>
        <w:fldChar w:fldCharType="end"/>
      </w:r>
      <w:r w:rsidRPr="00CF31E0">
        <w:rPr>
          <w:noProof/>
          <w:lang w:eastAsia="en-US"/>
        </w:rPr>
        <w:t xml:space="preserve"> asked participants to</w:t>
      </w:r>
      <w:r w:rsidRPr="00CF31E0">
        <w:rPr>
          <w:lang w:eastAsia="en-US"/>
        </w:rPr>
        <w:t xml:space="preserve"> pay attention to a particular word with a certain vowel in each sentence. Then, they were asked to match the vowels they listened to with those from a synthesized vowel continuum which represented the target dialects (American English or Canadian English; New Zealander English or Australian English). However, in the present study participants were not asked to match a certain token with its equivalent; instead, a more general question was introduced where they were asked to match the speaker’s dialect with all of its linguistic aspects </w:t>
      </w:r>
      <w:r w:rsidRPr="00CF31E0">
        <w:rPr>
          <w:lang w:eastAsia="en-US"/>
        </w:rPr>
        <w:lastRenderedPageBreak/>
        <w:t xml:space="preserve">(lexical and phonological) to the speaker’s social group. I would suggest that giving participants a more general task, where they can perceive phonological and lexical features in the dialect, increases participants’ awareness level of the dialect in question. </w:t>
      </w:r>
    </w:p>
    <w:p w14:paraId="76713EB3" w14:textId="77777777" w:rsidR="000B4835" w:rsidRPr="00CF31E0" w:rsidRDefault="000B4835" w:rsidP="00603CB7">
      <w:pPr>
        <w:pStyle w:val="Paragraph"/>
        <w:rPr>
          <w:rFonts w:cs="Arial"/>
          <w:noProof/>
          <w:lang w:eastAsia="en-US"/>
        </w:rPr>
      </w:pPr>
      <w:r w:rsidRPr="00CF31E0">
        <w:rPr>
          <w:lang w:eastAsia="en-US"/>
        </w:rPr>
        <w:t xml:space="preserve">Although it may be the case that participants are able to listen to a wide range of linguistic representations of the UBH and HH dialects, which might lead them to allocate these dialects correctly regardless of the manipulation, I would argue that the main factor responsible for the results of the present study being different from those of previous studies is that the two dialects belong to powerful language ideological systems. Most importantly, the two dialects coexist in the same context, so as a result each member of the Hijazi social group can be fully aware of the linguistic features of the dialect of other group members. </w:t>
      </w:r>
    </w:p>
    <w:p w14:paraId="3E219783" w14:textId="17ACC5A9" w:rsidR="000B4835" w:rsidRPr="00CF31E0" w:rsidRDefault="008D117A" w:rsidP="008D117A">
      <w:pPr>
        <w:pStyle w:val="Bhead"/>
      </w:pPr>
      <w:bookmarkStart w:id="1189" w:name="_Toc518640420"/>
      <w:bookmarkStart w:id="1190" w:name="_Toc6472824"/>
      <w:r w:rsidRPr="00CF31E0">
        <w:t>12</w:t>
      </w:r>
      <w:r w:rsidR="00B56D76" w:rsidRPr="00CF31E0">
        <w:t>.</w:t>
      </w:r>
      <w:r w:rsidR="000B4835" w:rsidRPr="00CF31E0">
        <w:t>3.2</w:t>
      </w:r>
      <w:r w:rsidR="008A2A0D" w:rsidRPr="00CF31E0">
        <w:t>.</w:t>
      </w:r>
      <w:r w:rsidR="008A2A0D" w:rsidRPr="00CF31E0">
        <w:tab/>
      </w:r>
      <w:r w:rsidR="000B4835" w:rsidRPr="00CF31E0">
        <w:t>Effects of demographic variables on the perceptual task results</w:t>
      </w:r>
      <w:bookmarkEnd w:id="1189"/>
      <w:bookmarkEnd w:id="1190"/>
    </w:p>
    <w:p w14:paraId="29BE43B3" w14:textId="7163B4FD" w:rsidR="000B4835" w:rsidRPr="00CF31E0" w:rsidRDefault="000B4835" w:rsidP="00603CB7">
      <w:pPr>
        <w:pStyle w:val="Paragraph"/>
        <w:rPr>
          <w:lang w:eastAsia="zh-CN"/>
        </w:rPr>
      </w:pPr>
      <w:r w:rsidRPr="00CF31E0">
        <w:rPr>
          <w:lang w:eastAsia="zh-CN"/>
        </w:rPr>
        <w:t xml:space="preserve">VS2 and VS5 were the only voice sample results affected by demographic variables. Regarding VS2, the UBH participants were more successful than HH participants in allocating the voice sample to the UBH social group. This result has to be treated with some caution. This is because although statistical analysis revealed a significant difference between the two social group variables, looking closely at the number of participants who correctly allocated the voice sample to its social group reveals only a marginal difference: 319 </w:t>
      </w:r>
      <w:r w:rsidR="00922E56" w:rsidRPr="00CF31E0">
        <w:rPr>
          <w:lang w:eastAsia="zh-CN"/>
        </w:rPr>
        <w:t xml:space="preserve">out of 323 </w:t>
      </w:r>
      <w:r w:rsidRPr="00CF31E0">
        <w:rPr>
          <w:lang w:eastAsia="zh-CN"/>
        </w:rPr>
        <w:t xml:space="preserve">UBH participants correctly allocated VS2 to the </w:t>
      </w:r>
      <w:r w:rsidR="0059652A" w:rsidRPr="00CF31E0">
        <w:rPr>
          <w:lang w:eastAsia="zh-CN"/>
        </w:rPr>
        <w:t>UBH</w:t>
      </w:r>
      <w:r w:rsidRPr="00CF31E0">
        <w:rPr>
          <w:lang w:eastAsia="zh-CN"/>
        </w:rPr>
        <w:t xml:space="preserve"> social group, and similarly 309 </w:t>
      </w:r>
      <w:r w:rsidR="00922E56" w:rsidRPr="00CF31E0">
        <w:rPr>
          <w:lang w:eastAsia="zh-CN"/>
        </w:rPr>
        <w:t xml:space="preserve">out of 326 </w:t>
      </w:r>
      <w:r w:rsidRPr="00CF31E0">
        <w:rPr>
          <w:lang w:eastAsia="zh-CN"/>
        </w:rPr>
        <w:t xml:space="preserve">HH participants allocated it to the </w:t>
      </w:r>
      <w:r w:rsidR="0059652A" w:rsidRPr="00CF31E0">
        <w:rPr>
          <w:lang w:eastAsia="zh-CN"/>
        </w:rPr>
        <w:t>UBH</w:t>
      </w:r>
      <w:r w:rsidRPr="00CF31E0">
        <w:rPr>
          <w:lang w:eastAsia="zh-CN"/>
        </w:rPr>
        <w:t xml:space="preserve"> social group. Therefore, I consider that the variance between the two groups is not large enough to make firm generalizations. </w:t>
      </w:r>
    </w:p>
    <w:p w14:paraId="0337EBF8" w14:textId="1FA37916" w:rsidR="000B4835" w:rsidRPr="00CF31E0" w:rsidRDefault="000B4835" w:rsidP="00603CB7">
      <w:pPr>
        <w:pStyle w:val="Paragraph"/>
        <w:rPr>
          <w:lang w:eastAsia="zh-CN"/>
        </w:rPr>
      </w:pPr>
      <w:r w:rsidRPr="00CF31E0">
        <w:rPr>
          <w:lang w:eastAsia="zh-CN"/>
        </w:rPr>
        <w:t xml:space="preserve">Regarding VS5, two demographic variables affected the allocation task of VS5: gender and social group. The female participants were more successful than the male participants in identifying UBH linguistic features and allocating the voice sample to the UBH dialect. This result can be interpreted in two ways: first, the low representation of linguistic aspects of </w:t>
      </w:r>
      <w:r w:rsidRPr="00CF31E0">
        <w:rPr>
          <w:lang w:eastAsia="zh-CN"/>
        </w:rPr>
        <w:lastRenderedPageBreak/>
        <w:t>the UBH dialect, which I discussed above, might ac</w:t>
      </w:r>
      <w:r w:rsidR="0067636F" w:rsidRPr="00CF31E0">
        <w:rPr>
          <w:lang w:eastAsia="zh-CN"/>
        </w:rPr>
        <w:t>count</w:t>
      </w:r>
      <w:r w:rsidRPr="00CF31E0">
        <w:rPr>
          <w:lang w:eastAsia="zh-CN"/>
        </w:rPr>
        <w:t xml:space="preserve"> for the result. Thus, as the diversity of linguistic aspects is the only changing variable between VS5 and other UBH voice samples, I would suggest that this variable had an impact on the allocation task. In a similar vein, </w:t>
      </w:r>
      <w:r w:rsidRPr="00CF31E0">
        <w:rPr>
          <w:lang w:eastAsia="zh-CN"/>
        </w:rPr>
        <w:fldChar w:fldCharType="begin"/>
      </w:r>
      <w:r w:rsidRPr="00CF31E0">
        <w:rPr>
          <w:lang w:eastAsia="zh-CN"/>
        </w:rPr>
        <w:instrText xml:space="preserve"> ADDIN ZOTERO_ITEM CSL_CITATION {"citationID":"BQcg9Bu4","properties":{"formattedCitation":"(Bradac &amp; Wisegarver, 1984)","plainCitation":"(Bradac &amp; Wisegarver, 1984)","noteIndex":0},"citationItems":[{"id":508,"uris":["http://zotero.org/users/1939618/items/Y8VQI8J7"],"uri":["http://zotero.org/users/1939618/items/Y8VQI8J7"],"itemData":{"id":508,"type":"article-journal","title":"Ascribed Status, Lexical Diversity, and Accent: Determinants of Perceived Status, Solidarity, and Control of Speech Style","container-title":"Journal of Language and Social Psychology","page":"239–255","volume":"3","issue":"4","source":"find.shef.ac.uk","abstract":"The effects of status ascriptions (high vs. low) and accent (standard American vs. Mexican-American) upon perceptions of speaker status and solidarity are examined. Consequences of the independent variables for a novel dependent variable, perceived control of speech style, are examined also. One hundred and twenty-two respondents rated one of eight message versions in a between-group design. Results indicated, among other things, that: (1) status ascriptions and accent combined additively to affect judgements of speaker status, as did status ascriptions and diversity; (2) lexical diversity and accent affected both solidarity judgements and status judgements interactively, although the nature of the interactive effect differed across measures; and (3) lexical diversity was an especially potent determinant of perceptions of control of speech style. It is suggested that a clear picture of linguistic and non-linguistic determinants of judgements of speaker status is emerging.","DOI":"10.1177/0261927X8400300401","ISSN":"0261-927X","shortTitle":"Ascribed Status, Lexical Diversity, and Accent","author":[{"family":"Bradac","given":"James J."},{"family":"Wisegarver","given":"Randall"}],"issued":{"date-parts":[["1984"]]}}}],"schema":"https://github.com/citation-style-language/schema/raw/master/csl-citation.json"} </w:instrText>
      </w:r>
      <w:r w:rsidRPr="00CF31E0">
        <w:rPr>
          <w:lang w:eastAsia="zh-CN"/>
        </w:rPr>
        <w:fldChar w:fldCharType="separate"/>
      </w:r>
      <w:r w:rsidRPr="00CF31E0">
        <w:rPr>
          <w:noProof/>
          <w:lang w:eastAsia="zh-CN"/>
        </w:rPr>
        <w:t>Bradac and Wisegarver (1984)</w:t>
      </w:r>
      <w:r w:rsidRPr="00CF31E0">
        <w:rPr>
          <w:lang w:eastAsia="zh-CN"/>
        </w:rPr>
        <w:fldChar w:fldCharType="end"/>
      </w:r>
      <w:r w:rsidRPr="00CF31E0">
        <w:rPr>
          <w:lang w:eastAsia="zh-CN"/>
        </w:rPr>
        <w:t xml:space="preserve"> explored effects of lexical diversity in attitudes towards standard American English and Mexican-accented English. The results revealed that when the variety was represented with more lexical diversity, it was more likely to be rated highly in intelligence and competence scales while the pattern was reversed when the variety was represented with a low range of vocabulary presented in the task. Although </w:t>
      </w:r>
      <w:r w:rsidRPr="00CF31E0">
        <w:rPr>
          <w:lang w:eastAsia="zh-CN"/>
        </w:rPr>
        <w:fldChar w:fldCharType="begin"/>
      </w:r>
      <w:r w:rsidRPr="00CF31E0">
        <w:rPr>
          <w:lang w:eastAsia="zh-CN"/>
        </w:rPr>
        <w:instrText xml:space="preserve"> ADDIN ZOTERO_ITEM CSL_CITATION {"citationID":"iMEnRTMd","properties":{"formattedCitation":"(Bradac &amp; Wisegarver, 1984)","plainCitation":"(Bradac &amp; Wisegarver, 1984)","dontUpdate":true,"noteIndex":0},"citationItems":[{"id":508,"uris":["http://zotero.org/users/1939618/items/Y8VQI8J7"],"uri":["http://zotero.org/users/1939618/items/Y8VQI8J7"],"itemData":{"id":508,"type":"article-journal","title":"Ascribed Status, Lexical Diversity, and Accent: Determinants of Perceived Status, Solidarity, and Control of Speech Style","container-title":"Journal of Language and Social Psychology","page":"239–255","volume":"3","issue":"4","source":"find.shef.ac.uk","abstract":"The effects of status ascriptions (high vs. low) and accent (standard American vs. Mexican-American) upon perceptions of speaker status and solidarity are examined. Consequences of the independent variables for a novel dependent variable, perceived control of speech style, are examined also. One hundred and twenty-two respondents rated one of eight message versions in a between-group design. Results indicated, among other things, that: (1) status ascriptions and accent combined additively to affect judgements of speaker status, as did status ascriptions and diversity; (2) lexical diversity and accent affected both solidarity judgements and status judgements interactively, although the nature of the interactive effect differed across measures; and (3) lexical diversity was an especially potent determinant of perceptions of control of speech style. It is suggested that a clear picture of linguistic and non-linguistic determinants of judgements of speaker status is emerging.","DOI":"10.1177/0261927X8400300401","ISSN":"0261-927X","shortTitle":"Ascribed Status, Lexical Diversity, and Accent","author":[{"family":"Bradac","given":"James J."},{"family":"Wisegarver","given":"Randall"}],"issued":{"date-parts":[["1984"]]}}}],"schema":"https://github.com/citation-style-language/schema/raw/master/csl-citation.json"} </w:instrText>
      </w:r>
      <w:r w:rsidRPr="00CF31E0">
        <w:rPr>
          <w:lang w:eastAsia="zh-CN"/>
        </w:rPr>
        <w:fldChar w:fldCharType="separate"/>
      </w:r>
      <w:r w:rsidRPr="00CF31E0">
        <w:rPr>
          <w:noProof/>
          <w:lang w:eastAsia="zh-CN"/>
        </w:rPr>
        <w:t>Bradac and Wisegarver's (1984)</w:t>
      </w:r>
      <w:r w:rsidRPr="00CF31E0">
        <w:rPr>
          <w:lang w:eastAsia="zh-CN"/>
        </w:rPr>
        <w:fldChar w:fldCharType="end"/>
      </w:r>
      <w:r w:rsidRPr="00CF31E0">
        <w:rPr>
          <w:lang w:eastAsia="zh-CN"/>
        </w:rPr>
        <w:t xml:space="preserve"> study design is attitudinal and the present study design is perceptual, I would argue that both methods make a similar contribution to the complex field of language attitudes, that is, a low diversity of linguistic aspects presented by speakers might negatively impact perceptions and attitudes towards the speaker’s variety. </w:t>
      </w:r>
    </w:p>
    <w:p w14:paraId="068E8910" w14:textId="05FFA074" w:rsidR="000B4835" w:rsidRPr="00CF31E0" w:rsidRDefault="000B4835" w:rsidP="00603CB7">
      <w:pPr>
        <w:pStyle w:val="Paragraph"/>
        <w:rPr>
          <w:lang w:eastAsia="zh-CN"/>
        </w:rPr>
      </w:pPr>
      <w:r w:rsidRPr="00CF31E0">
        <w:rPr>
          <w:lang w:eastAsia="zh-CN"/>
        </w:rPr>
        <w:t xml:space="preserve">Second, the evidence from the keyword technique and the rating scale from </w:t>
      </w:r>
      <w:r w:rsidR="00847047" w:rsidRPr="00CF31E0">
        <w:rPr>
          <w:lang w:eastAsia="zh-CN"/>
        </w:rPr>
        <w:t>C</w:t>
      </w:r>
      <w:r w:rsidRPr="00CF31E0">
        <w:rPr>
          <w:lang w:eastAsia="zh-CN"/>
        </w:rPr>
        <w:t xml:space="preserve">hapter </w:t>
      </w:r>
      <w:r w:rsidR="008D117A" w:rsidRPr="00CF31E0">
        <w:rPr>
          <w:lang w:eastAsia="zh-CN"/>
        </w:rPr>
        <w:t>9</w:t>
      </w:r>
      <w:r w:rsidR="00997588" w:rsidRPr="00CF31E0">
        <w:rPr>
          <w:lang w:eastAsia="zh-CN"/>
        </w:rPr>
        <w:t>, s</w:t>
      </w:r>
      <w:r w:rsidRPr="00CF31E0">
        <w:rPr>
          <w:lang w:eastAsia="zh-CN"/>
        </w:rPr>
        <w:t>ection</w:t>
      </w:r>
      <w:r w:rsidR="0029590C" w:rsidRPr="00CF31E0">
        <w:rPr>
          <w:lang w:eastAsia="zh-CN"/>
        </w:rPr>
        <w:t xml:space="preserve"> </w:t>
      </w:r>
      <w:r w:rsidR="008D117A" w:rsidRPr="00CF31E0">
        <w:rPr>
          <w:lang w:eastAsia="zh-CN"/>
        </w:rPr>
        <w:t>9</w:t>
      </w:r>
      <w:r w:rsidR="00997588" w:rsidRPr="00CF31E0">
        <w:rPr>
          <w:lang w:eastAsia="zh-CN"/>
        </w:rPr>
        <w:t>.4.4</w:t>
      </w:r>
      <w:r w:rsidRPr="00CF31E0">
        <w:rPr>
          <w:lang w:eastAsia="zh-CN"/>
        </w:rPr>
        <w:t xml:space="preserve"> proved that the UBH dialect is characterized as a masculine dialect. Thus, it might be the case that when female participants listened to UBH linguistic features presented in VS5, which is the only sample represented by a male speaker, they were more likely to allocate it to the UBH dialect. In other words, female participants treated men as out-group members, while men were less likely to ascribe to a stereotype about their in-group characteristics. In this respect, I believe that if the voice sample were represented by a female speaker then a different perception might be evoked, as an in-group and out-group relation would not be in question. Hence, I assume that the findings from VS5 are less generalizable than others as there is potential for the results to be different with a female speaker. </w:t>
      </w:r>
    </w:p>
    <w:p w14:paraId="00F62ED0" w14:textId="77777777" w:rsidR="000B4835" w:rsidRPr="00CF31E0" w:rsidRDefault="000B4835" w:rsidP="00603CB7">
      <w:pPr>
        <w:pStyle w:val="Paragraph"/>
        <w:rPr>
          <w:lang w:eastAsia="zh-CN"/>
        </w:rPr>
      </w:pPr>
      <w:r w:rsidRPr="00CF31E0">
        <w:rPr>
          <w:lang w:eastAsia="zh-CN"/>
        </w:rPr>
        <w:t xml:space="preserve">Regarding the effects of social group demographic variables on VS5, a similar pattern to the VS2 results emerged, where the UBH participants were more successful at allocating the voice samples to social groups than the HH participants. As the speaker adopted a UBH dialect, the UBH participants believed that he speaks their dialect. The reason for this is </w:t>
      </w:r>
      <w:r w:rsidRPr="00CF31E0">
        <w:rPr>
          <w:lang w:eastAsia="zh-CN"/>
        </w:rPr>
        <w:lastRenderedPageBreak/>
        <w:t xml:space="preserve">straightforward as the two UBH linguistic features that emerged in the sample led UBH participants to allocate the voice sample to their social group, without relying on the surname of the speaker. HH participants might have struggled to recognize the few UBH linguistic features in the sample, and therefore might have relied on the written surname of the speaker, ending up by allocating the voice sample to the HH social group. </w:t>
      </w:r>
    </w:p>
    <w:p w14:paraId="4E13CC6E" w14:textId="3ABB31DF" w:rsidR="000B4835" w:rsidRPr="00CF31E0" w:rsidRDefault="008D117A" w:rsidP="008D117A">
      <w:pPr>
        <w:pStyle w:val="Ahead"/>
        <w:rPr>
          <w:rFonts w:eastAsia="Times New Roman"/>
        </w:rPr>
      </w:pPr>
      <w:bookmarkStart w:id="1191" w:name="_Toc518640421"/>
      <w:bookmarkStart w:id="1192" w:name="_Toc6472825"/>
      <w:r w:rsidRPr="00CF31E0">
        <w:rPr>
          <w:rFonts w:eastAsia="Times New Roman"/>
        </w:rPr>
        <w:t>12</w:t>
      </w:r>
      <w:r w:rsidR="00B56D76" w:rsidRPr="00CF31E0">
        <w:rPr>
          <w:rFonts w:eastAsia="Times New Roman"/>
        </w:rPr>
        <w:t>.4.</w:t>
      </w:r>
      <w:r w:rsidR="008A2A0D" w:rsidRPr="00CF31E0">
        <w:rPr>
          <w:rFonts w:eastAsia="Times New Roman"/>
        </w:rPr>
        <w:tab/>
      </w:r>
      <w:r w:rsidR="000B4835" w:rsidRPr="00CF31E0">
        <w:rPr>
          <w:rFonts w:eastAsia="Times New Roman"/>
        </w:rPr>
        <w:t>The rating task</w:t>
      </w:r>
      <w:bookmarkEnd w:id="1191"/>
      <w:bookmarkEnd w:id="1192"/>
    </w:p>
    <w:p w14:paraId="68967159" w14:textId="3A75068A" w:rsidR="000B4835" w:rsidRPr="00CF31E0" w:rsidRDefault="008D117A" w:rsidP="008D117A">
      <w:pPr>
        <w:pStyle w:val="Bhead"/>
      </w:pPr>
      <w:bookmarkStart w:id="1193" w:name="_Toc518640422"/>
      <w:bookmarkStart w:id="1194" w:name="_Toc6472826"/>
      <w:r w:rsidRPr="00CF31E0">
        <w:t>12</w:t>
      </w:r>
      <w:r w:rsidR="00B56D76" w:rsidRPr="00CF31E0">
        <w:t>.4.1.</w:t>
      </w:r>
      <w:r w:rsidR="008A2A0D" w:rsidRPr="00CF31E0">
        <w:tab/>
      </w:r>
      <w:r w:rsidR="000B4835" w:rsidRPr="00CF31E0">
        <w:t>Dichotomous dialect situation</w:t>
      </w:r>
      <w:bookmarkEnd w:id="1193"/>
      <w:bookmarkEnd w:id="1194"/>
    </w:p>
    <w:p w14:paraId="6E8757EB" w14:textId="320B0D8D" w:rsidR="000B4835" w:rsidRPr="00CF31E0" w:rsidRDefault="000B4835" w:rsidP="00603CB7">
      <w:pPr>
        <w:pStyle w:val="Paragraph"/>
        <w:rPr>
          <w:lang w:eastAsia="zh-CN"/>
        </w:rPr>
      </w:pPr>
      <w:r w:rsidRPr="00CF31E0">
        <w:rPr>
          <w:lang w:eastAsia="zh-CN"/>
        </w:rPr>
        <w:t xml:space="preserve">The results across scales and within scales delivered a very similar pattern where, on the one hand, </w:t>
      </w:r>
      <w:r w:rsidRPr="00CF31E0">
        <w:rPr>
          <w:i/>
          <w:iCs/>
          <w:lang w:eastAsia="zh-CN"/>
        </w:rPr>
        <w:t xml:space="preserve">traditional </w:t>
      </w:r>
      <w:r w:rsidRPr="00CF31E0">
        <w:rPr>
          <w:lang w:eastAsia="zh-CN"/>
        </w:rPr>
        <w:t>and</w:t>
      </w:r>
      <w:r w:rsidRPr="00CF31E0">
        <w:rPr>
          <w:i/>
          <w:iCs/>
          <w:lang w:eastAsia="zh-CN"/>
        </w:rPr>
        <w:t xml:space="preserve"> serious </w:t>
      </w:r>
      <w:r w:rsidRPr="00CF31E0">
        <w:rPr>
          <w:lang w:eastAsia="zh-CN"/>
        </w:rPr>
        <w:t xml:space="preserve">characteristics were associated with UBH speakers, including VS5, and, on the other hand, </w:t>
      </w:r>
      <w:r w:rsidRPr="00CF31E0">
        <w:rPr>
          <w:i/>
          <w:iCs/>
          <w:lang w:eastAsia="zh-CN"/>
        </w:rPr>
        <w:t xml:space="preserve">modern </w:t>
      </w:r>
      <w:r w:rsidRPr="00CF31E0">
        <w:rPr>
          <w:lang w:eastAsia="zh-CN"/>
        </w:rPr>
        <w:t>and</w:t>
      </w:r>
      <w:r w:rsidRPr="00CF31E0">
        <w:rPr>
          <w:i/>
          <w:iCs/>
          <w:lang w:eastAsia="zh-CN"/>
        </w:rPr>
        <w:t xml:space="preserve"> similar to other Arabic dialects </w:t>
      </w:r>
      <w:r w:rsidRPr="00CF31E0">
        <w:rPr>
          <w:iCs/>
          <w:lang w:eastAsia="zh-CN"/>
        </w:rPr>
        <w:t>characteristics</w:t>
      </w:r>
      <w:r w:rsidRPr="00CF31E0">
        <w:rPr>
          <w:lang w:eastAsia="zh-CN"/>
        </w:rPr>
        <w:t xml:space="preserve"> were associated with HH speakers. As the indirect method I applied in this task has the potential to elicit covert stereotypes, I would suggest that the present results tap into covert stereotypical views along with the overt stereotypical assumptions held by participants towards the two dialects. Both stereotypes point toward dichotomous evaluative profiles that are driven by the language ideology in the region, which has been discussed in </w:t>
      </w:r>
      <w:r w:rsidR="00847047" w:rsidRPr="00CF31E0">
        <w:rPr>
          <w:lang w:eastAsia="zh-CN"/>
        </w:rPr>
        <w:t>C</w:t>
      </w:r>
      <w:r w:rsidRPr="00CF31E0">
        <w:rPr>
          <w:lang w:eastAsia="zh-CN"/>
        </w:rPr>
        <w:t>hapter</w:t>
      </w:r>
      <w:r w:rsidR="00BE0344" w:rsidRPr="00CF31E0">
        <w:rPr>
          <w:lang w:eastAsia="zh-CN"/>
        </w:rPr>
        <w:t xml:space="preserve"> </w:t>
      </w:r>
      <w:r w:rsidR="008D117A" w:rsidRPr="00CF31E0">
        <w:rPr>
          <w:lang w:eastAsia="zh-CN"/>
        </w:rPr>
        <w:t>2</w:t>
      </w:r>
      <w:r w:rsidRPr="00CF31E0">
        <w:rPr>
          <w:lang w:eastAsia="zh-CN"/>
        </w:rPr>
        <w:t>.</w:t>
      </w:r>
    </w:p>
    <w:p w14:paraId="3E32BB76" w14:textId="3203AAF0" w:rsidR="000B4835" w:rsidRPr="00CF31E0" w:rsidRDefault="000B4835" w:rsidP="00603CB7">
      <w:pPr>
        <w:pStyle w:val="Paragraph"/>
        <w:rPr>
          <w:lang w:eastAsia="zh-CN"/>
        </w:rPr>
      </w:pPr>
      <w:r w:rsidRPr="00CF31E0">
        <w:rPr>
          <w:lang w:eastAsia="zh-CN"/>
        </w:rPr>
        <w:t xml:space="preserve">Looking at the results more closely, it is evident that the results from the current technique (i.e. rating scale with vocally presented dialect) are very similar to results from the keyword technique (see </w:t>
      </w:r>
      <w:r w:rsidR="00847047" w:rsidRPr="00CF31E0">
        <w:rPr>
          <w:lang w:eastAsia="zh-CN"/>
        </w:rPr>
        <w:t>C</w:t>
      </w:r>
      <w:r w:rsidRPr="00CF31E0">
        <w:rPr>
          <w:lang w:eastAsia="zh-CN"/>
        </w:rPr>
        <w:t>hapter</w:t>
      </w:r>
      <w:r w:rsidR="009A4C9C" w:rsidRPr="00CF31E0">
        <w:rPr>
          <w:lang w:eastAsia="zh-CN"/>
        </w:rPr>
        <w:t xml:space="preserve"> </w:t>
      </w:r>
      <w:r w:rsidR="008D117A" w:rsidRPr="00CF31E0">
        <w:rPr>
          <w:lang w:eastAsia="zh-CN"/>
        </w:rPr>
        <w:t xml:space="preserve">5, </w:t>
      </w:r>
      <w:r w:rsidRPr="00CF31E0">
        <w:rPr>
          <w:lang w:eastAsia="zh-CN"/>
        </w:rPr>
        <w:t>sectio</w:t>
      </w:r>
      <w:r w:rsidR="009A4C9C" w:rsidRPr="00CF31E0">
        <w:rPr>
          <w:lang w:eastAsia="zh-CN"/>
        </w:rPr>
        <w:t xml:space="preserve">n </w:t>
      </w:r>
      <w:r w:rsidR="008D117A" w:rsidRPr="00CF31E0">
        <w:rPr>
          <w:lang w:eastAsia="zh-CN"/>
        </w:rPr>
        <w:t>5</w:t>
      </w:r>
      <w:r w:rsidR="009A4C9C" w:rsidRPr="00CF31E0">
        <w:rPr>
          <w:lang w:eastAsia="zh-CN"/>
        </w:rPr>
        <w:t>.5.1</w:t>
      </w:r>
      <w:r w:rsidRPr="00CF31E0">
        <w:rPr>
          <w:lang w:eastAsia="zh-CN"/>
        </w:rPr>
        <w:t>), which revealed that the UBH dialect was characterized as traditional and serious and the HH dialect was characterized as modern and similar to other Arabic dialects. Furthermore, the results from the current technique are similar to the results from the rating</w:t>
      </w:r>
      <w:r w:rsidR="005D0894" w:rsidRPr="00CF31E0">
        <w:rPr>
          <w:lang w:eastAsia="zh-CN"/>
        </w:rPr>
        <w:t>-scale</w:t>
      </w:r>
      <w:r w:rsidRPr="00CF31E0">
        <w:rPr>
          <w:lang w:eastAsia="zh-CN"/>
        </w:rPr>
        <w:t xml:space="preserve"> task when the dialects were presented conceptually (see </w:t>
      </w:r>
      <w:r w:rsidR="00847047" w:rsidRPr="00CF31E0">
        <w:rPr>
          <w:lang w:eastAsia="zh-CN"/>
        </w:rPr>
        <w:t>C</w:t>
      </w:r>
      <w:r w:rsidRPr="00CF31E0">
        <w:rPr>
          <w:lang w:eastAsia="zh-CN"/>
        </w:rPr>
        <w:t>hapter</w:t>
      </w:r>
      <w:r w:rsidR="00CB34BB" w:rsidRPr="00CF31E0">
        <w:rPr>
          <w:lang w:eastAsia="zh-CN"/>
        </w:rPr>
        <w:t xml:space="preserve"> 9</w:t>
      </w:r>
      <w:r w:rsidR="009A4C9C" w:rsidRPr="00CF31E0">
        <w:rPr>
          <w:lang w:eastAsia="zh-CN"/>
        </w:rPr>
        <w:t>,</w:t>
      </w:r>
      <w:r w:rsidRPr="00CF31E0">
        <w:rPr>
          <w:lang w:eastAsia="zh-CN"/>
        </w:rPr>
        <w:t xml:space="preserve"> </w:t>
      </w:r>
      <w:r w:rsidR="009A4C9C" w:rsidRPr="00CF31E0">
        <w:rPr>
          <w:lang w:eastAsia="zh-CN"/>
        </w:rPr>
        <w:t>s</w:t>
      </w:r>
      <w:r w:rsidRPr="00CF31E0">
        <w:rPr>
          <w:lang w:eastAsia="zh-CN"/>
        </w:rPr>
        <w:t>ection</w:t>
      </w:r>
      <w:r w:rsidR="00CB34BB" w:rsidRPr="00CF31E0">
        <w:rPr>
          <w:lang w:eastAsia="zh-CN"/>
        </w:rPr>
        <w:t xml:space="preserve"> 9</w:t>
      </w:r>
      <w:r w:rsidR="009A4C9C" w:rsidRPr="00CF31E0">
        <w:rPr>
          <w:lang w:eastAsia="zh-CN"/>
        </w:rPr>
        <w:t>.4.4</w:t>
      </w:r>
      <w:r w:rsidRPr="00CF31E0">
        <w:rPr>
          <w:lang w:eastAsia="zh-CN"/>
        </w:rPr>
        <w:t xml:space="preserve">), which revealed two factors where the traditional factor was associated with the UBH dialect and the modern factor was associated with the HH dialect. In this respect, I would argue that although the dialect rating task in RQ2 is a direct </w:t>
      </w:r>
      <w:r w:rsidRPr="00CF31E0">
        <w:rPr>
          <w:lang w:eastAsia="zh-CN"/>
        </w:rPr>
        <w:lastRenderedPageBreak/>
        <w:t xml:space="preserve">approach, it succeeded in tapping into the privately held views towards dialect characteristics. </w:t>
      </w:r>
    </w:p>
    <w:p w14:paraId="4E6CB43E" w14:textId="72C0B1F3" w:rsidR="000B4835" w:rsidRPr="00CF31E0" w:rsidRDefault="000B4835" w:rsidP="00603CB7">
      <w:pPr>
        <w:pStyle w:val="Paragraph"/>
        <w:rPr>
          <w:rFonts w:ascii="Times" w:hAnsi="Times" w:cs="Times"/>
          <w:sz w:val="26"/>
          <w:szCs w:val="26"/>
          <w:lang w:eastAsia="en-US"/>
        </w:rPr>
      </w:pPr>
      <w:r w:rsidRPr="00CF31E0">
        <w:rPr>
          <w:lang w:eastAsia="zh-CN"/>
        </w:rPr>
        <w:t xml:space="preserve">In line with the present study, Giles (1970) investigated language attitudes towards English accents, where he investigated attitudes using conceptually presented dialect labels in one task and vocally presented dialects (i.e. matched-guise technique) in another task. Both were incorporated in one study, as is the case in my current research. Both parts of Giles’s study point towards a very similar result where </w:t>
      </w:r>
      <w:r w:rsidRPr="00CF31E0">
        <w:rPr>
          <w:lang w:eastAsia="en-US"/>
        </w:rPr>
        <w:t>a high correlation was found when the scales’ result in the conceptual study was compared to its equivalent</w:t>
      </w:r>
      <w:r w:rsidRPr="00CF31E0">
        <w:rPr>
          <w:lang w:eastAsia="zh-CN"/>
        </w:rPr>
        <w:t xml:space="preserve"> in the matched-guise results. Garret</w:t>
      </w:r>
      <w:r w:rsidR="00761E2F" w:rsidRPr="00CF31E0">
        <w:rPr>
          <w:lang w:eastAsia="zh-CN"/>
        </w:rPr>
        <w:t>t</w:t>
      </w:r>
      <w:r w:rsidRPr="00CF31E0">
        <w:rPr>
          <w:lang w:eastAsia="zh-CN"/>
        </w:rPr>
        <w:t xml:space="preserve"> (2010) attributes the similar findings from the two tasks in Giles’s study to the research context in which the study took place. He argues that Giles’s study was carried out in the UK context where ethnic and linguistic differences are not vastly notable; therefore, a similar pattern from both the direct and indirect method emerged in the results. Compared to the context of the present study, it is evident that Hijaz is a highly cosmopolitan region with different ethnic and linguistic groups. Hence, I think that even when the context is highly charged with different linguistic and ethnic groups, a similar pattern can emerge from both the direct and indirect measures. My explanation for this is related to the powerful dichotomous language situation that operates in the two dialect groups. </w:t>
      </w:r>
    </w:p>
    <w:p w14:paraId="3B4B848B" w14:textId="6B4DDC6B" w:rsidR="000B4835" w:rsidRPr="00CF31E0" w:rsidRDefault="000B4835" w:rsidP="00603CB7">
      <w:pPr>
        <w:pStyle w:val="Paragraph"/>
        <w:rPr>
          <w:lang w:eastAsia="en-US"/>
        </w:rPr>
      </w:pPr>
      <w:r w:rsidRPr="00CF31E0">
        <w:rPr>
          <w:lang w:eastAsia="en-US"/>
        </w:rPr>
        <w:t xml:space="preserve">Discussing the importance of indirect measures, </w:t>
      </w:r>
      <w:r w:rsidRPr="00CF31E0">
        <w:rPr>
          <w:lang w:eastAsia="en-US"/>
        </w:rPr>
        <w:fldChar w:fldCharType="begin"/>
      </w:r>
      <w:r w:rsidRPr="00CF31E0">
        <w:rPr>
          <w:lang w:eastAsia="en-US"/>
        </w:rPr>
        <w:instrText xml:space="preserve"> ADDIN ZOTERO_ITEM CSL_CITATION {"citationID":"mYnLg9EH","properties":{"formattedCitation":"(Ladegaard, 1998b)","plainCitation":"(Ladegaard, 1998b)","dontUpdate":true,"noteIndex":0},"citationItems":[{"id":12,"uris":["http://zotero.org/users/1939618/items/G8KGN8JC"],"uri":["http://zotero.org/users/1939618/items/G8KGN8JC"],"itemData":{"id":12,"type":"article-journal","title":"National stereotypes and language attitudes: The perception of British, American and Australian language and culture in Denmark","container-title":"Language &amp; Communication","page":"251–274","volume":"18","issue":"4","source":"Google Scholar","shortTitle":"National stereotypes and language attitudes","author":[{"family":"Ladegaard","given":"Hans J."}],"issued":{"date-parts":[["1998"]]}}}],"schema":"https://github.com/citation-style-language/schema/raw/master/csl-citation.json"} </w:instrText>
      </w:r>
      <w:r w:rsidRPr="00CF31E0">
        <w:rPr>
          <w:lang w:eastAsia="en-US"/>
        </w:rPr>
        <w:fldChar w:fldCharType="separate"/>
      </w:r>
      <w:r w:rsidR="00956B28" w:rsidRPr="00CF31E0">
        <w:rPr>
          <w:noProof/>
          <w:lang w:eastAsia="en-US"/>
        </w:rPr>
        <w:t>Ladegaard's (1998</w:t>
      </w:r>
      <w:r w:rsidRPr="00CF31E0">
        <w:rPr>
          <w:noProof/>
          <w:lang w:eastAsia="en-US"/>
        </w:rPr>
        <w:t>)</w:t>
      </w:r>
      <w:r w:rsidRPr="00CF31E0">
        <w:rPr>
          <w:lang w:eastAsia="en-US"/>
        </w:rPr>
        <w:fldChar w:fldCharType="end"/>
      </w:r>
      <w:r w:rsidRPr="00CF31E0">
        <w:rPr>
          <w:lang w:eastAsia="en-US"/>
        </w:rPr>
        <w:t xml:space="preserve"> study revealed how Danish society is</w:t>
      </w:r>
      <w:r w:rsidR="00956B28" w:rsidRPr="00CF31E0">
        <w:rPr>
          <w:lang w:eastAsia="en-US"/>
        </w:rPr>
        <w:t xml:space="preserve"> aware of social classes in </w:t>
      </w:r>
      <w:r w:rsidR="00646434" w:rsidRPr="00CF31E0">
        <w:rPr>
          <w:lang w:eastAsia="en-US"/>
        </w:rPr>
        <w:t xml:space="preserve">the </w:t>
      </w:r>
      <w:r w:rsidR="00956B28" w:rsidRPr="00CF31E0">
        <w:rPr>
          <w:lang w:eastAsia="en-US"/>
        </w:rPr>
        <w:t>country</w:t>
      </w:r>
      <w:r w:rsidRPr="00CF31E0">
        <w:rPr>
          <w:lang w:eastAsia="en-US"/>
        </w:rPr>
        <w:t xml:space="preserve">, which contradicts the national stereotype in the </w:t>
      </w:r>
      <w:r w:rsidR="00956B28" w:rsidRPr="00CF31E0">
        <w:rPr>
          <w:lang w:eastAsia="en-US"/>
        </w:rPr>
        <w:t>country</w:t>
      </w:r>
      <w:r w:rsidRPr="00CF31E0">
        <w:rPr>
          <w:lang w:eastAsia="en-US"/>
        </w:rPr>
        <w:t xml:space="preserve"> that confirms that Danish are equal and less conscious of social classes. The present study is different from Ladegaard’s study as the present study has confirmed the stereotypical assumptions reviewed in the literature. In Ladegaard’s study, the results revealed overt stereotypes which are not addressed in the Danish literature with regard to the concept of class consciousness. In both studies, the indirect method </w:t>
      </w:r>
      <w:r w:rsidR="008A10A8" w:rsidRPr="00CF31E0">
        <w:rPr>
          <w:lang w:eastAsia="en-US"/>
        </w:rPr>
        <w:t xml:space="preserve">succeeded </w:t>
      </w:r>
      <w:r w:rsidRPr="00CF31E0">
        <w:rPr>
          <w:lang w:eastAsia="en-US"/>
        </w:rPr>
        <w:t xml:space="preserve">in eliciting more private language attitudes towards dialects. </w:t>
      </w:r>
    </w:p>
    <w:p w14:paraId="5B28900D" w14:textId="57B9F718" w:rsidR="000B4835" w:rsidRPr="00CF31E0" w:rsidRDefault="000B4835" w:rsidP="00603CB7">
      <w:pPr>
        <w:pStyle w:val="Paragraph"/>
        <w:rPr>
          <w:lang w:eastAsia="en-US"/>
        </w:rPr>
      </w:pPr>
      <w:r w:rsidRPr="00CF31E0">
        <w:rPr>
          <w:lang w:eastAsia="en-US"/>
        </w:rPr>
        <w:lastRenderedPageBreak/>
        <w:t>Overall, the issue of how people interpret other language users’ speech and how they place themselves in comparison with those other language users is at the heart of language attitude studies (Garret</w:t>
      </w:r>
      <w:r w:rsidR="00761E2F" w:rsidRPr="00CF31E0">
        <w:rPr>
          <w:lang w:eastAsia="en-US"/>
        </w:rPr>
        <w:t>t</w:t>
      </w:r>
      <w:r w:rsidRPr="00CF31E0">
        <w:rPr>
          <w:lang w:eastAsia="en-US"/>
        </w:rPr>
        <w:t xml:space="preserve">, 2010, p. 226). Widely researched language attitude studies have revealed that participants have a tendency to </w:t>
      </w:r>
      <w:r w:rsidR="004F24A4" w:rsidRPr="00CF31E0">
        <w:rPr>
          <w:lang w:eastAsia="en-US"/>
        </w:rPr>
        <w:t>sort</w:t>
      </w:r>
      <w:r w:rsidRPr="00CF31E0">
        <w:rPr>
          <w:lang w:eastAsia="en-US"/>
        </w:rPr>
        <w:t xml:space="preserve"> members of different social groups into groups that share a similar social class, such as the studies by</w:t>
      </w:r>
      <w:r w:rsidRPr="00CF31E0">
        <w:rPr>
          <w:lang w:eastAsia="en-US"/>
        </w:rPr>
        <w:fldChar w:fldCharType="begin"/>
      </w:r>
      <w:r w:rsidRPr="00CF31E0">
        <w:rPr>
          <w:lang w:eastAsia="en-US"/>
        </w:rPr>
        <w:instrText xml:space="preserve"> ADDIN ZOTERO_ITEM CSL_CITATION {"citationID":"JU0UJ2vN","properties":{"formattedCitation":"(Huygens &amp; Vaughan, 1983; Ladegaard, 1998b)","plainCitation":"(Huygens &amp; Vaughan, 1983; Ladegaard, 1998b)","dontUpdate":true,"noteIndex":0},"citationItems":[{"id":9,"uris":["http://zotero.org/users/1939618/items/ZER49FSB"],"uri":["http://zotero.org/users/1939618/items/ZER49FSB"],"itemData":{"id":9,"type":"article-journal","title":"Language attitudes, ethnicity and social class in New Zealand","container-title":"Journal of Multilingual and Multicultural Development","page":"207-223","volume":"4","issue":"2-3","source":"Taylor and Francis+NEJM","abstract":"The extent to which ethnic speech styles can be detected, and how they and English R.P. are evaluated, have been problematic issues in the small literature devoted to New Zealand speech varieties. In the present study, samples of spontaneous speech of English, Dutch, Maori and Pakeha speakers (from three status groups) were presented on audiotapes to 120 students. Ratings were made on four Social and four Personal Scales, while an attempt to describe type of accent was invited. The results showed that Maori speakers were the least successfully identified by ethnic group. Prestige ratings were: English, Dutch, and then Maori. English and Pakeha speakers were equally prestigeful, though this effect interacts with occupational class: speech styles approximating R.P. were rated highest. Ethnicity was also used as a cue to attribute a limited number of personal stereotypes.","DOI":"10.1080/01434632.1983.9994112","ISSN":"0143-4632","author":[{"family":"Huygens","given":"Ingrid"},{"family":"Vaughan","given":"Graham M."}],"issued":{"date-parts":[["1983",1,1]]}},"label":"page"},{"id":12,"uris":["http://zotero.org/users/1939618/items/G8KGN8JC"],"uri":["http://zotero.org/users/1939618/items/G8KGN8JC"],"itemData":{"id":12,"type":"article-journal","title":"National stereotypes and language attitudes: The perception of British, American and Australian language and culture in Denmark","container-title":"Language &amp; Communication","page":"251–274","volume":"18","issue":"4","source":"Google Scholar","shortTitle":"National stereotypes and language attitudes","author":[{"family":"Ladegaard","given":"Hans J."}],"issued":{"date-parts":[["1998"]]}},"label":"page"}],"schema":"https://github.com/citation-style-language/schema/raw/master/csl-citation.json"} </w:instrText>
      </w:r>
      <w:r w:rsidRPr="00CF31E0">
        <w:rPr>
          <w:lang w:eastAsia="en-US"/>
        </w:rPr>
        <w:fldChar w:fldCharType="separate"/>
      </w:r>
      <w:r w:rsidRPr="00CF31E0">
        <w:rPr>
          <w:noProof/>
          <w:lang w:eastAsia="en-US"/>
        </w:rPr>
        <w:t xml:space="preserve"> Huygens and Vau</w:t>
      </w:r>
      <w:r w:rsidR="00956B28" w:rsidRPr="00CF31E0">
        <w:rPr>
          <w:noProof/>
          <w:lang w:eastAsia="en-US"/>
        </w:rPr>
        <w:t>ghan (1983) and Ladegaard (1998</w:t>
      </w:r>
      <w:r w:rsidRPr="00CF31E0">
        <w:rPr>
          <w:noProof/>
          <w:lang w:eastAsia="en-US"/>
        </w:rPr>
        <w:t>)</w:t>
      </w:r>
      <w:r w:rsidRPr="00CF31E0">
        <w:rPr>
          <w:lang w:eastAsia="en-US"/>
        </w:rPr>
        <w:fldChar w:fldCharType="end"/>
      </w:r>
      <w:r w:rsidRPr="00CF31E0">
        <w:rPr>
          <w:lang w:eastAsia="en-US"/>
        </w:rPr>
        <w:t xml:space="preserve">, or social characteristics, such as studies by </w:t>
      </w:r>
      <w:r w:rsidRPr="00CF31E0">
        <w:rPr>
          <w:lang w:eastAsia="en-US"/>
        </w:rPr>
        <w:fldChar w:fldCharType="begin"/>
      </w:r>
      <w:r w:rsidRPr="00CF31E0">
        <w:rPr>
          <w:lang w:eastAsia="en-US"/>
        </w:rPr>
        <w:instrText xml:space="preserve"> ADDIN ZOTERO_ITEM CSL_CITATION {"citationID":"yMRZHTBI","properties":{"formattedCitation":"(El-Dash &amp; Tucker, 1975; Giles, 1970; Ladegaard, 1998a; Stewart, Ryan, &amp; Giles, 1985)","plainCitation":"(El-Dash &amp; Tucker, 1975; Giles, 1970; Ladegaard, 1998a; Stewart, Ryan, &amp; Giles, 1985)","dontUpdate":true,"noteIndex":0},"citationItems":[{"id":87,"uris":["http://zotero.org/users/1939618/items/778TWBTD"],"uri":["http://zotero.org/users/1939618/items/778TWBTD"],"itemData":{"id":87,"type":"article-journal","title":"Subjective reactions to various speech styles in Egypt","container-title":"International Journal of the Sociology of Language","page":"33–54","volume":"1975","issue":"6","source":"Google Scholar","author":[{"family":"El-Dash","given":"Linda"},{"family":"Tucker","given":"G. Richard"}],"issued":{"date-parts":[["1975"]]}},"label":"page"},{"id":62,"uris":["http://zotero.org/users/1939618/items/ZXQ48QBG"],"uri":["http://zotero.org/users/1939618/items/ZXQ48QBG"],"itemData":{"id":62,"type":"article-journal","title":"Evaluative reactions to accents","container-title":"Educational review","page":"211–227","volume":"22","issue":"3","source":"Google Scholar","author":[{"family":"Giles","given":"Howard"}],"issued":{"date-parts":[["1970"]]}},"label":"page"},{"id":235,"uris":["http://zotero.org/users/1939618/items/255XMBZ9"],"uri":["http://zotero.org/users/1939618/items/255XMBZ9"],"itemData":{"id":235,"type":"article-journal","title":"Assessing national stereotypes in language attitude studies: The case of class-consciousness in Denmark","container-title":"Journal of Multilingual and Multicultural Development","page":"182–198","volume":"19","issue":"3","source":"Google Scholar","shortTitle":"Assessing national stereotypes in language attitude studies","author":[{"family":"Ladegaard","given":"Hans J."}],"issued":{"date-parts":[["1998"]]}},"label":"page"},{"id":64,"uris":["http://zotero.org/users/1939618/items/TPBM3MJW"],"uri":["http://zotero.org/users/1939618/items/TPBM3MJW"],"itemData":{"id":64,"type":"article-journal","title":"Accent and social class effects on status and solidarity evaluations","container-title":"Personality and Social Psychology Bulletin","page":"98–105","volume":"11","issue":"1","source":"Google Scholar","author":[{"family":"Stewart","given":"Mark A."},{"family":"Ryan","given":"Ellen Bouchard"},{"family":"Giles","given":"Howard"}],"issued":{"date-parts":[["1985"]]}},"label":"page"}],"schema":"https://github.com/citation-style-language/schema/raw/master/csl-citation.json"} </w:instrText>
      </w:r>
      <w:r w:rsidRPr="00CF31E0">
        <w:rPr>
          <w:lang w:eastAsia="en-US"/>
        </w:rPr>
        <w:fldChar w:fldCharType="separate"/>
      </w:r>
      <w:r w:rsidRPr="00CF31E0">
        <w:rPr>
          <w:noProof/>
          <w:lang w:eastAsia="en-US"/>
        </w:rPr>
        <w:t>El-Dash and Tucker (1975), Giles (1970), and Stewart</w:t>
      </w:r>
      <w:r w:rsidR="00761E2F" w:rsidRPr="00CF31E0">
        <w:rPr>
          <w:noProof/>
          <w:lang w:eastAsia="en-US"/>
        </w:rPr>
        <w:t xml:space="preserve"> et al.</w:t>
      </w:r>
      <w:r w:rsidRPr="00CF31E0">
        <w:rPr>
          <w:noProof/>
          <w:lang w:eastAsia="en-US"/>
        </w:rPr>
        <w:t xml:space="preserve"> (1985)</w:t>
      </w:r>
      <w:r w:rsidRPr="00CF31E0">
        <w:rPr>
          <w:lang w:eastAsia="en-US"/>
        </w:rPr>
        <w:fldChar w:fldCharType="end"/>
      </w:r>
      <w:r w:rsidRPr="00CF31E0">
        <w:rPr>
          <w:lang w:eastAsia="en-US"/>
        </w:rPr>
        <w:t xml:space="preserve">. From the point of view of social psychology, </w:t>
      </w:r>
      <w:r w:rsidRPr="00CF31E0">
        <w:rPr>
          <w:lang w:eastAsia="en-US"/>
        </w:rPr>
        <w:fldChar w:fldCharType="begin"/>
      </w:r>
      <w:r w:rsidRPr="00CF31E0">
        <w:rPr>
          <w:lang w:eastAsia="en-US"/>
        </w:rPr>
        <w:instrText xml:space="preserve"> ADDIN ZOTERO_ITEM CSL_CITATION {"citationID":"H5eGtUya","properties":{"formattedCitation":"(Festinger, 1954)","plainCitation":"(Festinger, 1954)","noteIndex":0},"citationItems":[{"id":504,"uris":["http://zotero.org/users/1939618/items/FQ29C63Q"],"uri":["http://zotero.org/users/1939618/items/FQ29C63Q"],"itemData":{"id":504,"type":"article-journal","title":"A theory of social comparison processes","container-title":"Human relations","page":"117–140","volume":"7","issue":"2","source":"Google Scholar","author":[{"family":"Festinger","given":"Leon"}],"issued":{"date-parts":[["1954"]]}}}],"schema":"https://github.com/citation-style-language/schema/raw/master/csl-citation.json"} </w:instrText>
      </w:r>
      <w:r w:rsidRPr="00CF31E0">
        <w:rPr>
          <w:lang w:eastAsia="en-US"/>
        </w:rPr>
        <w:fldChar w:fldCharType="separate"/>
      </w:r>
      <w:r w:rsidRPr="00CF31E0">
        <w:rPr>
          <w:noProof/>
          <w:lang w:eastAsia="en-US"/>
        </w:rPr>
        <w:t>Festinger (1954)</w:t>
      </w:r>
      <w:r w:rsidRPr="00CF31E0">
        <w:rPr>
          <w:lang w:eastAsia="en-US"/>
        </w:rPr>
        <w:fldChar w:fldCharType="end"/>
      </w:r>
      <w:r w:rsidRPr="00CF31E0">
        <w:rPr>
          <w:lang w:eastAsia="en-US"/>
        </w:rPr>
        <w:t xml:space="preserve"> proposed social comparison theory, which suggests that all humans have an innate ability to differentiate themselves from members of other groups by comparing their own beliefs and opinions to those of others. Therefore, in language attitude studies, social characteristics, social class, social group, and ethnic group can be seen as salient comparison tools which individuals often consult when they compare their in-group characteristics to those of out-groups. </w:t>
      </w:r>
    </w:p>
    <w:p w14:paraId="19A29314" w14:textId="46C00B53" w:rsidR="000B4835" w:rsidRPr="00CF31E0" w:rsidRDefault="008D117A" w:rsidP="008D117A">
      <w:pPr>
        <w:pStyle w:val="Bhead"/>
      </w:pPr>
      <w:bookmarkStart w:id="1195" w:name="_Toc518640423"/>
      <w:bookmarkStart w:id="1196" w:name="_Toc6472827"/>
      <w:r w:rsidRPr="00CF31E0">
        <w:t>12</w:t>
      </w:r>
      <w:r w:rsidR="003C7929" w:rsidRPr="00CF31E0">
        <w:t>.4.2.</w:t>
      </w:r>
      <w:r w:rsidR="008A2A0D" w:rsidRPr="00CF31E0">
        <w:tab/>
      </w:r>
      <w:r w:rsidR="000B4835" w:rsidRPr="00CF31E0">
        <w:t>Effects of demographic variables on the rating scale</w:t>
      </w:r>
      <w:bookmarkEnd w:id="1195"/>
      <w:bookmarkEnd w:id="1196"/>
      <w:r w:rsidR="000B4835" w:rsidRPr="00CF31E0">
        <w:t xml:space="preserve"> </w:t>
      </w:r>
    </w:p>
    <w:p w14:paraId="0CF125CF" w14:textId="507F3EF3" w:rsidR="000B4835" w:rsidRPr="00CF31E0" w:rsidRDefault="008D117A" w:rsidP="008D117A">
      <w:pPr>
        <w:pStyle w:val="Chead"/>
      </w:pPr>
      <w:bookmarkStart w:id="1197" w:name="_Toc6472828"/>
      <w:r w:rsidRPr="00CF31E0">
        <w:t>12</w:t>
      </w:r>
      <w:r w:rsidR="008A2A0D" w:rsidRPr="00CF31E0">
        <w:t>.4.2.1.</w:t>
      </w:r>
      <w:r w:rsidR="008A2A0D" w:rsidRPr="00CF31E0">
        <w:tab/>
      </w:r>
      <w:bookmarkStart w:id="1198" w:name="_Toc518640424"/>
      <w:r w:rsidR="000B4835" w:rsidRPr="00CF31E0">
        <w:t>In-group loyalty</w:t>
      </w:r>
      <w:bookmarkEnd w:id="1197"/>
      <w:bookmarkEnd w:id="1198"/>
    </w:p>
    <w:p w14:paraId="1A442AE0" w14:textId="5AA8F45A" w:rsidR="000B4835" w:rsidRPr="00CF31E0" w:rsidRDefault="000B4835" w:rsidP="00603CB7">
      <w:pPr>
        <w:pStyle w:val="Paragraph"/>
        <w:rPr>
          <w:lang w:eastAsia="en-US"/>
        </w:rPr>
      </w:pPr>
      <w:r w:rsidRPr="00CF31E0">
        <w:rPr>
          <w:lang w:eastAsia="en-US"/>
        </w:rPr>
        <w:t>The demographic variable results revealed that the social group, mother’s social group and spouse’s social group consistently emerged in most of the rating scales of all voice samples</w:t>
      </w:r>
      <w:r w:rsidR="009A4C9C" w:rsidRPr="00CF31E0">
        <w:rPr>
          <w:lang w:eastAsia="en-US"/>
        </w:rPr>
        <w:t xml:space="preserve">. </w:t>
      </w:r>
      <w:r w:rsidRPr="00CF31E0">
        <w:rPr>
          <w:lang w:eastAsia="en-US"/>
        </w:rPr>
        <w:t xml:space="preserve">The pattern is that HH participants were much more inclined to rate the HH speakers more positively than was the case for the </w:t>
      </w:r>
      <w:r w:rsidR="0059652A" w:rsidRPr="00CF31E0">
        <w:rPr>
          <w:lang w:eastAsia="en-US"/>
        </w:rPr>
        <w:t>UBH</w:t>
      </w:r>
      <w:r w:rsidRPr="00CF31E0">
        <w:rPr>
          <w:lang w:eastAsia="en-US"/>
        </w:rPr>
        <w:t xml:space="preserve">s towards HH speakers, and the pattern is reversed with UBH participants towards UBH speakers. One interpretation of this result might be related to the idea of competing stereotypes, where both sets of participants display positivity towards their own dialect. In other words, </w:t>
      </w:r>
      <w:r w:rsidR="0059652A" w:rsidRPr="00CF31E0">
        <w:rPr>
          <w:lang w:eastAsia="en-US"/>
        </w:rPr>
        <w:t>UBH</w:t>
      </w:r>
      <w:r w:rsidRPr="00CF31E0">
        <w:rPr>
          <w:lang w:eastAsia="en-US"/>
        </w:rPr>
        <w:t xml:space="preserve"> participants attempted to attribute modern characteristics to their own dialect as a way of chasing the </w:t>
      </w:r>
      <w:r w:rsidR="00FF4DC7" w:rsidRPr="00CF31E0">
        <w:rPr>
          <w:lang w:eastAsia="en-US"/>
        </w:rPr>
        <w:t>HH</w:t>
      </w:r>
      <w:r w:rsidRPr="00CF31E0">
        <w:rPr>
          <w:lang w:eastAsia="en-US"/>
        </w:rPr>
        <w:t xml:space="preserve"> dialect’s modernity, and likewise </w:t>
      </w:r>
      <w:r w:rsidR="00FF4DC7" w:rsidRPr="00CF31E0">
        <w:rPr>
          <w:lang w:eastAsia="en-US"/>
        </w:rPr>
        <w:t>HH</w:t>
      </w:r>
      <w:r w:rsidRPr="00CF31E0">
        <w:rPr>
          <w:lang w:eastAsia="en-US"/>
        </w:rPr>
        <w:t xml:space="preserve"> participants attempted to attribute traditional characteristics to their own dialect as a way of asserting their identity within a traditional society that has a long history in the region. A similar pattern was revealed in the RQ1</w:t>
      </w:r>
      <w:r w:rsidR="00445CA3" w:rsidRPr="00CF31E0">
        <w:rPr>
          <w:lang w:eastAsia="en-US"/>
        </w:rPr>
        <w:t xml:space="preserve"> </w:t>
      </w:r>
      <w:r w:rsidRPr="00CF31E0">
        <w:rPr>
          <w:lang w:eastAsia="en-US"/>
        </w:rPr>
        <w:t xml:space="preserve">and RQ2 results; see </w:t>
      </w:r>
      <w:r w:rsidR="00847047" w:rsidRPr="00CF31E0">
        <w:rPr>
          <w:lang w:eastAsia="en-US"/>
        </w:rPr>
        <w:t>C</w:t>
      </w:r>
      <w:r w:rsidRPr="00CF31E0">
        <w:rPr>
          <w:lang w:eastAsia="en-US"/>
        </w:rPr>
        <w:t>hapter</w:t>
      </w:r>
      <w:r w:rsidR="00916200" w:rsidRPr="00CF31E0">
        <w:rPr>
          <w:lang w:eastAsia="en-US"/>
        </w:rPr>
        <w:t>s</w:t>
      </w:r>
      <w:r w:rsidR="005340A3" w:rsidRPr="00CF31E0">
        <w:rPr>
          <w:lang w:eastAsia="en-US"/>
        </w:rPr>
        <w:t xml:space="preserve"> </w:t>
      </w:r>
      <w:r w:rsidR="008D117A" w:rsidRPr="00CF31E0">
        <w:rPr>
          <w:lang w:eastAsia="en-US"/>
        </w:rPr>
        <w:t xml:space="preserve">8 </w:t>
      </w:r>
      <w:r w:rsidR="005340A3" w:rsidRPr="00CF31E0">
        <w:rPr>
          <w:lang w:eastAsia="en-US"/>
        </w:rPr>
        <w:t xml:space="preserve">and </w:t>
      </w:r>
      <w:r w:rsidR="008D117A" w:rsidRPr="00CF31E0">
        <w:rPr>
          <w:lang w:eastAsia="en-US"/>
        </w:rPr>
        <w:t>10</w:t>
      </w:r>
      <w:r w:rsidRPr="00CF31E0">
        <w:rPr>
          <w:lang w:eastAsia="en-US"/>
        </w:rPr>
        <w:t>, section</w:t>
      </w:r>
      <w:r w:rsidR="00D94D8E" w:rsidRPr="00CF31E0">
        <w:rPr>
          <w:lang w:eastAsia="en-US"/>
        </w:rPr>
        <w:t xml:space="preserve">s </w:t>
      </w:r>
      <w:r w:rsidR="008D117A" w:rsidRPr="00CF31E0">
        <w:rPr>
          <w:lang w:eastAsia="en-US"/>
        </w:rPr>
        <w:t>8</w:t>
      </w:r>
      <w:r w:rsidR="005340A3" w:rsidRPr="00CF31E0">
        <w:rPr>
          <w:lang w:eastAsia="en-US"/>
        </w:rPr>
        <w:t xml:space="preserve">.8 and </w:t>
      </w:r>
      <w:r w:rsidR="008D117A" w:rsidRPr="00CF31E0">
        <w:rPr>
          <w:lang w:eastAsia="en-US"/>
        </w:rPr>
        <w:t>10</w:t>
      </w:r>
      <w:r w:rsidR="005340A3" w:rsidRPr="00CF31E0">
        <w:rPr>
          <w:lang w:eastAsia="en-US"/>
        </w:rPr>
        <w:t>.7</w:t>
      </w:r>
      <w:r w:rsidR="008D117A" w:rsidRPr="00CF31E0">
        <w:rPr>
          <w:lang w:eastAsia="en-US"/>
        </w:rPr>
        <w:t>,</w:t>
      </w:r>
      <w:r w:rsidR="005340A3" w:rsidRPr="00CF31E0">
        <w:rPr>
          <w:lang w:eastAsia="en-US"/>
        </w:rPr>
        <w:t xml:space="preserve"> </w:t>
      </w:r>
      <w:r w:rsidR="008D117A" w:rsidRPr="00CF31E0">
        <w:rPr>
          <w:lang w:eastAsia="en-US"/>
        </w:rPr>
        <w:t>r</w:t>
      </w:r>
      <w:r w:rsidRPr="00CF31E0">
        <w:rPr>
          <w:lang w:eastAsia="en-US"/>
        </w:rPr>
        <w:t xml:space="preserve">espectively. </w:t>
      </w:r>
    </w:p>
    <w:p w14:paraId="25979CF5" w14:textId="1EB3088C" w:rsidR="000B4835" w:rsidRPr="00CF31E0" w:rsidRDefault="000B4835" w:rsidP="00603CB7">
      <w:pPr>
        <w:pStyle w:val="Paragraph"/>
        <w:rPr>
          <w:lang w:eastAsia="en-US"/>
        </w:rPr>
      </w:pPr>
      <w:r w:rsidRPr="00CF31E0">
        <w:rPr>
          <w:lang w:eastAsia="en-US"/>
        </w:rPr>
        <w:lastRenderedPageBreak/>
        <w:t xml:space="preserve">The present study echoes findings from </w:t>
      </w:r>
      <w:r w:rsidRPr="00CF31E0">
        <w:rPr>
          <w:lang w:eastAsia="en-US"/>
        </w:rPr>
        <w:fldChar w:fldCharType="begin"/>
      </w:r>
      <w:r w:rsidRPr="00CF31E0">
        <w:rPr>
          <w:lang w:eastAsia="en-US"/>
        </w:rPr>
        <w:instrText xml:space="preserve"> ADDIN ZOTERO_ITEM CSL_CITATION {"citationID":"NOXrn2LD","properties":{"formattedCitation":"(Bayard, Weatherall, Gallois, &amp; Pittam, 2001)","plainCitation":"(Bayard, Weatherall, Gallois, &amp; Pittam, 2001)","dontUpdate":true,"noteIndex":0},"citationItems":[{"id":510,"uris":["http://zotero.org/users/1939618/items/GCNRA58I"],"uri":["http://zotero.org/users/1939618/items/GCNRA58I"],"itemData":{"id":510,"type":"article-journal","title":"Pax Americana? Accent attitudinal evaluations in New Zealand, Australia and America","container-title":"Journal of Sociolinguistics","page":"22-49","volume":"5","issue":"1","source":"Wiley Online Library","abstract":"This study describes a series of evaluations of gender pairs of New Zealand English, Australian English, American English and RP-type English English voices by over 400 students in New Zealand, Australia and the U.S.A. Voices were chosen to represent the middle range of each accent, and balanced for paralinguistic features. Twenty-two personality and demographic traits were evaluated by Likert-scale questionnaires. Results indicated that the American female voice was rated most favourably on at least some traits by students of all three nationalities, followed by the American male. For most traits, Australian students generally ranked their own accents in third or fourth place, but New Zealanders put the female NZE voice in the mid-low range of all but solidarity-associated traits. All three groups disliked the NZE male. The RP voices did not receive the higher rankings in power/status variables we expected. The New Zealand evaluations downgrade their own accent vis-a`-vis the American and to some extent the RP voices. Overall, the American accent seems well on the way to equalling or even replacing RP as the prestige—or at least preferred—variety, not only in New Zealand but in Australia and some non-English-speaking nations as well. Preliminary analysis of data from Europe suggests this manifestation of linguistic hegemony as ‘Pax Americana’ seems to be prevalent over more than just the Anglophone nations.","DOI":"10.1111/1467-9481.00136","ISSN":"1467-9841","shortTitle":"Pax Americana?","language":"en","author":[{"family":"Bayard","given":"Donn"},{"family":"Weatherall","given":"Ann"},{"family":"Gallois","given":"Cynthia"},{"family":"Pittam","given":"Jeffery"}],"issued":{"date-parts":[["2001"]]}}}],"schema":"https://github.com/citation-style-language/schema/raw/master/csl-citation.json"} </w:instrText>
      </w:r>
      <w:r w:rsidRPr="00CF31E0">
        <w:rPr>
          <w:lang w:eastAsia="en-US"/>
        </w:rPr>
        <w:fldChar w:fldCharType="separate"/>
      </w:r>
      <w:r w:rsidRPr="00CF31E0">
        <w:rPr>
          <w:noProof/>
          <w:lang w:eastAsia="en-US"/>
        </w:rPr>
        <w:t>Bayard</w:t>
      </w:r>
      <w:r w:rsidR="00761E2F" w:rsidRPr="00CF31E0">
        <w:rPr>
          <w:noProof/>
          <w:lang w:eastAsia="en-US"/>
        </w:rPr>
        <w:t xml:space="preserve"> et al.</w:t>
      </w:r>
      <w:r w:rsidRPr="00CF31E0">
        <w:rPr>
          <w:noProof/>
          <w:lang w:eastAsia="en-US"/>
        </w:rPr>
        <w:t xml:space="preserve"> (2001)</w:t>
      </w:r>
      <w:r w:rsidRPr="00CF31E0">
        <w:rPr>
          <w:lang w:eastAsia="en-US"/>
        </w:rPr>
        <w:fldChar w:fldCharType="end"/>
      </w:r>
      <w:r w:rsidRPr="00CF31E0">
        <w:rPr>
          <w:lang w:eastAsia="en-US"/>
        </w:rPr>
        <w:t xml:space="preserve"> with regard to the in-group loyalty of American and Australian participants towards their English varieties. </w:t>
      </w:r>
      <w:r w:rsidRPr="00CF31E0">
        <w:rPr>
          <w:lang w:eastAsia="en-US"/>
        </w:rPr>
        <w:fldChar w:fldCharType="begin"/>
      </w:r>
      <w:r w:rsidRPr="00CF31E0">
        <w:rPr>
          <w:lang w:eastAsia="en-US"/>
        </w:rPr>
        <w:instrText xml:space="preserve"> ADDIN ZOTERO_ITEM CSL_CITATION {"citationID":"6Nm979Zg","properties":{"formattedCitation":"(Bayard et al., 2001)","plainCitation":"(Bayard et al., 2001)","dontUpdate":true,"noteIndex":0},"citationItems":[{"id":510,"uris":["http://zotero.org/users/1939618/items/GCNRA58I"],"uri":["http://zotero.org/users/1939618/items/GCNRA58I"],"itemData":{"id":510,"type":"article-journal","title":"Pax Americana? Accent attitudinal evaluations in New Zealand, Australia and America","container-title":"Journal of Sociolinguistics","page":"22-49","volume":"5","issue":"1","source":"Wiley Online Library","abstract":"This study describes a series of evaluations of gender pairs of New Zealand English, Australian English, American English and RP-type English English voices by over 400 students in New Zealand, Australia and the U.S.A. Voices were chosen to represent the middle range of each accent, and balanced for paralinguistic features. Twenty-two personality and demographic traits were evaluated by Likert-scale questionnaires. Results indicated that the American female voice was rated most favourably on at least some traits by students of all three nationalities, followed by the American male. For most traits, Australian students generally ranked their own accents in third or fourth place, but New Zealanders put the female NZE voice in the mid-low range of all but solidarity-associated traits. All three groups disliked the NZE male. The RP voices did not receive the higher rankings in power/status variables we expected. The New Zealand evaluations downgrade their own accent vis-a`-vis the American and to some extent the RP voices. Overall, the American accent seems well on the way to equalling or even replacing RP as the prestige—or at least preferred—variety, not only in New Zealand but in Australia and some non-English-speaking nations as well. Preliminary analysis of data from Europe suggests this manifestation of linguistic hegemony as ‘Pax Americana’ seems to be prevalent over more than just the Anglophone nations.","DOI":"10.1111/1467-9481.00136","ISSN":"1467-9841","shortTitle":"Pax Americana?","language":"en","author":[{"family":"Bayard","given":"Donn"},{"family":"Weatherall","given":"Ann"},{"family":"Gallois","given":"Cynthia"},{"family":"Pittam","given":"Jeffery"}],"issued":{"date-parts":[["2001"]]}}}],"schema":"https://github.com/citation-style-language/schema/raw/master/csl-citation.json"} </w:instrText>
      </w:r>
      <w:r w:rsidRPr="00CF31E0">
        <w:rPr>
          <w:lang w:eastAsia="en-US"/>
        </w:rPr>
        <w:fldChar w:fldCharType="separate"/>
      </w:r>
      <w:r w:rsidRPr="00CF31E0">
        <w:rPr>
          <w:noProof/>
          <w:lang w:eastAsia="en-US"/>
        </w:rPr>
        <w:t>Bayard et al. (2001)</w:t>
      </w:r>
      <w:r w:rsidRPr="00CF31E0">
        <w:rPr>
          <w:lang w:eastAsia="en-US"/>
        </w:rPr>
        <w:fldChar w:fldCharType="end"/>
      </w:r>
      <w:r w:rsidRPr="00CF31E0">
        <w:rPr>
          <w:lang w:eastAsia="en-US"/>
        </w:rPr>
        <w:t xml:space="preserve"> investigated attitudes towards American, Australian and New Zealand English and the participants selected in the study were from these three different geographical locations. Based upon a verbal</w:t>
      </w:r>
      <w:r w:rsidR="005D0894" w:rsidRPr="00CF31E0">
        <w:rPr>
          <w:lang w:eastAsia="en-US"/>
        </w:rPr>
        <w:t>-guise</w:t>
      </w:r>
      <w:r w:rsidRPr="00CF31E0">
        <w:rPr>
          <w:lang w:eastAsia="en-US"/>
        </w:rPr>
        <w:t xml:space="preserve"> technique, the general pattern they found indicated that participants from the USA and Australia rated their English high in the following dimensions: power, competence, solidarity and status. New Zealand participants were less positive about their regional variety. Although the context of the present study is different from that in </w:t>
      </w:r>
      <w:r w:rsidRPr="00CF31E0">
        <w:rPr>
          <w:lang w:eastAsia="en-US"/>
        </w:rPr>
        <w:fldChar w:fldCharType="begin"/>
      </w:r>
      <w:r w:rsidRPr="00CF31E0">
        <w:rPr>
          <w:lang w:eastAsia="en-US"/>
        </w:rPr>
        <w:instrText xml:space="preserve"> ADDIN ZOTERO_ITEM CSL_CITATION {"citationID":"JiZKouyE","properties":{"formattedCitation":"(Bayard, Weatherall, Gallois, &amp; Pittam, 2001)","plainCitation":"(Bayard, Weatherall, Gallois, &amp; Pittam, 2001)","dontUpdate":true,"noteIndex":0},"citationItems":[{"id":510,"uris":["http://zotero.org/users/1939618/items/GCNRA58I"],"uri":["http://zotero.org/users/1939618/items/GCNRA58I"],"itemData":{"id":510,"type":"article-journal","title":"Pax Americana? Accent attitudinal evaluations in New Zealand, Australia and America","container-title":"Journal of Sociolinguistics","page":"22-49","volume":"5","issue":"1","source":"Wiley Online Library","abstract":"This study describes a series of evaluations of gender pairs of New Zealand English, Australian English, American English and RP-type English English voices by over 400 students in New Zealand, Australia and the U.S.A. Voices were chosen to represent the middle range of each accent, and balanced for paralinguistic features. Twenty-two personality and demographic traits were evaluated by Likert-scale questionnaires. Results indicated that the American female voice was rated most favourably on at least some traits by students of all three nationalities, followed by the American male. For most traits, Australian students generally ranked their own accents in third or fourth place, but New Zealanders put the female NZE voice in the mid-low range of all but solidarity-associated traits. All three groups disliked the NZE male. The RP voices did not receive the higher rankings in power/status variables we expected. The New Zealand evaluations downgrade their own accent vis-a`-vis the American and to some extent the RP voices. Overall, the American accent seems well on the way to equalling or even replacing RP as the prestige—or at least preferred—variety, not only in New Zealand but in Australia and some non-English-speaking nations as well. Preliminary analysis of data from Europe suggests this manifestation of linguistic hegemony as ‘Pax Americana’ seems to be prevalent over more than just the Anglophone nations.","DOI":"10.1111/1467-9481.00136","ISSN":"1467-9841","shortTitle":"Pax Americana?","language":"en","author":[{"family":"Bayard","given":"Donn"},{"family":"Weatherall","given":"Ann"},{"family":"Gallois","given":"Cynthia"},{"family":"Pittam","given":"Jeffery"}],"issued":{"date-parts":[["2001"]]}}}],"schema":"https://github.com/citation-style-language/schema/raw/master/csl-citation.json"} </w:instrText>
      </w:r>
      <w:r w:rsidRPr="00CF31E0">
        <w:rPr>
          <w:lang w:eastAsia="en-US"/>
        </w:rPr>
        <w:fldChar w:fldCharType="separate"/>
      </w:r>
      <w:r w:rsidRPr="00CF31E0">
        <w:rPr>
          <w:noProof/>
          <w:lang w:eastAsia="en-US"/>
        </w:rPr>
        <w:t>Bayard</w:t>
      </w:r>
      <w:r w:rsidR="00761E2F" w:rsidRPr="00CF31E0">
        <w:rPr>
          <w:noProof/>
          <w:lang w:eastAsia="en-US"/>
        </w:rPr>
        <w:t xml:space="preserve"> et al.</w:t>
      </w:r>
      <w:r w:rsidRPr="00CF31E0">
        <w:rPr>
          <w:noProof/>
          <w:lang w:eastAsia="en-US"/>
        </w:rPr>
        <w:t>, (2001)</w:t>
      </w:r>
      <w:r w:rsidRPr="00CF31E0">
        <w:rPr>
          <w:lang w:eastAsia="en-US"/>
        </w:rPr>
        <w:fldChar w:fldCharType="end"/>
      </w:r>
      <w:r w:rsidRPr="00CF31E0">
        <w:rPr>
          <w:lang w:eastAsia="en-US"/>
        </w:rPr>
        <w:t xml:space="preserve">, a possible conclusion is that in-group loyalty is related to how people view their own dialect or language within the world. </w:t>
      </w:r>
    </w:p>
    <w:p w14:paraId="2CEC65D7" w14:textId="2521538B" w:rsidR="000B4835" w:rsidRPr="00CF31E0" w:rsidRDefault="000B4835" w:rsidP="00603CB7">
      <w:pPr>
        <w:pStyle w:val="Paragraph"/>
        <w:rPr>
          <w:lang w:eastAsia="en-US"/>
        </w:rPr>
      </w:pPr>
      <w:r w:rsidRPr="00CF31E0">
        <w:rPr>
          <w:lang w:eastAsia="en-US"/>
        </w:rPr>
        <w:t>Regarding the effects of the other demographic variables, it is important to note that they</w:t>
      </w:r>
      <w:r w:rsidR="008235A3">
        <w:rPr>
          <w:lang w:eastAsia="en-US"/>
        </w:rPr>
        <w:t xml:space="preserve"> did not emerge in as frequent</w:t>
      </w:r>
      <w:r w:rsidRPr="00CF31E0">
        <w:rPr>
          <w:lang w:eastAsia="en-US"/>
        </w:rPr>
        <w:t xml:space="preserve"> pattern as the above social group, mother’s social group and spouse’s social group. I will discuss these variables in the following sections. </w:t>
      </w:r>
    </w:p>
    <w:p w14:paraId="5284AC9C" w14:textId="555BB342" w:rsidR="000B4835" w:rsidRPr="00CF31E0" w:rsidRDefault="008D117A" w:rsidP="008D117A">
      <w:pPr>
        <w:pStyle w:val="Chead"/>
      </w:pPr>
      <w:bookmarkStart w:id="1199" w:name="_Toc6472829"/>
      <w:r w:rsidRPr="00CF31E0">
        <w:t>12</w:t>
      </w:r>
      <w:r w:rsidR="003C7929" w:rsidRPr="00CF31E0">
        <w:t>.4.2.2.</w:t>
      </w:r>
      <w:r w:rsidR="008A2A0D" w:rsidRPr="00CF31E0">
        <w:tab/>
      </w:r>
      <w:bookmarkStart w:id="1200" w:name="_Toc518640425"/>
      <w:r w:rsidR="000B4835" w:rsidRPr="00CF31E0">
        <w:t>Place of birth</w:t>
      </w:r>
      <w:bookmarkEnd w:id="1199"/>
      <w:bookmarkEnd w:id="1200"/>
    </w:p>
    <w:p w14:paraId="46DECA5E" w14:textId="3F2835E0" w:rsidR="000B4835" w:rsidRPr="00CF31E0" w:rsidRDefault="000B4835" w:rsidP="00603CB7">
      <w:pPr>
        <w:pStyle w:val="Paragraph"/>
        <w:rPr>
          <w:lang w:eastAsia="en-US"/>
        </w:rPr>
      </w:pPr>
      <w:r w:rsidRPr="00CF31E0">
        <w:rPr>
          <w:lang w:eastAsia="en-US"/>
        </w:rPr>
        <w:t xml:space="preserve">Place of birth affected only the VS1 results, that is, those who were born inside Hijaz rated the </w:t>
      </w:r>
      <w:r w:rsidR="00376401">
        <w:rPr>
          <w:lang w:eastAsia="en-US"/>
        </w:rPr>
        <w:t>HH</w:t>
      </w:r>
      <w:r w:rsidRPr="00CF31E0">
        <w:rPr>
          <w:lang w:eastAsia="en-US"/>
        </w:rPr>
        <w:t xml:space="preserve"> speaker as more modern than those who were born outside Hijaz. This result has to be treated with some caution as the number of participants who were born inside Hijaz is much larger (587 participants) than those who were born outside Hijaz (62 participants). My explanation for this result is that those who were born in Hijaz were more positive about the </w:t>
      </w:r>
      <w:r w:rsidR="00376401">
        <w:rPr>
          <w:lang w:eastAsia="en-US"/>
        </w:rPr>
        <w:t>HH</w:t>
      </w:r>
      <w:r w:rsidRPr="00CF31E0">
        <w:rPr>
          <w:lang w:eastAsia="en-US"/>
        </w:rPr>
        <w:t xml:space="preserve"> dialect by perceiving it as a modern dialect than the minority who were born outside Hijaz. </w:t>
      </w:r>
    </w:p>
    <w:p w14:paraId="49112DC1" w14:textId="39F8C0FF" w:rsidR="000B4835" w:rsidRPr="00CF31E0" w:rsidRDefault="008D117A" w:rsidP="008D117A">
      <w:pPr>
        <w:pStyle w:val="Chead"/>
      </w:pPr>
      <w:bookmarkStart w:id="1201" w:name="_Toc518640426"/>
      <w:bookmarkStart w:id="1202" w:name="_Toc6472830"/>
      <w:r w:rsidRPr="00CF31E0">
        <w:t>12</w:t>
      </w:r>
      <w:r w:rsidR="003C7929" w:rsidRPr="00CF31E0">
        <w:t>.4.2.3.</w:t>
      </w:r>
      <w:r w:rsidR="008A2A0D" w:rsidRPr="00CF31E0">
        <w:tab/>
      </w:r>
      <w:r w:rsidR="000B4835" w:rsidRPr="00CF31E0">
        <w:t>Younger vs older age group</w:t>
      </w:r>
      <w:bookmarkEnd w:id="1201"/>
      <w:bookmarkEnd w:id="1202"/>
    </w:p>
    <w:p w14:paraId="331529E5" w14:textId="77777777" w:rsidR="000B4835" w:rsidRPr="00CF31E0" w:rsidRDefault="000B4835" w:rsidP="00603CB7">
      <w:pPr>
        <w:pStyle w:val="Paragraph"/>
        <w:rPr>
          <w:lang w:eastAsia="en-US"/>
        </w:rPr>
      </w:pPr>
      <w:r w:rsidRPr="00CF31E0">
        <w:rPr>
          <w:lang w:eastAsia="en-US"/>
        </w:rPr>
        <w:t xml:space="preserve">Regarding the age demographic variables, on the one hand, the younger group (18–24) perceived the dialect of a UBH speaker in VS2 as more modern than the other age groups; similarly, the same younger group (18–24) perceived the dialect of another UBH speaker in VS4 as more modern </w:t>
      </w:r>
      <w:r w:rsidRPr="00CF31E0">
        <w:rPr>
          <w:lang w:eastAsia="en-US"/>
        </w:rPr>
        <w:lastRenderedPageBreak/>
        <w:t xml:space="preserve">than did the older age group (35–44). On the other hand, the older age group (55–64) perceived the dialect of the HH speaker in VS3 as more traditional than did the younger age group (18–24). There are three possible interpretations for the pattern revealed above. </w:t>
      </w:r>
    </w:p>
    <w:p w14:paraId="2A6733F9" w14:textId="23E53223" w:rsidR="000B4835" w:rsidRPr="00CF31E0" w:rsidRDefault="000B4835" w:rsidP="00603CB7">
      <w:pPr>
        <w:pStyle w:val="Paragraph"/>
        <w:rPr>
          <w:lang w:eastAsia="en-US"/>
        </w:rPr>
      </w:pPr>
      <w:r w:rsidRPr="00CF31E0">
        <w:rPr>
          <w:lang w:eastAsia="en-US"/>
        </w:rPr>
        <w:t xml:space="preserve">First, I would argue that age is a salient factor in the study context as the Saudi social structure has dramatically changed from a rural to urban one, which gradually started to occur from 1970 onwards </w:t>
      </w:r>
      <w:r w:rsidRPr="00CF31E0">
        <w:rPr>
          <w:lang w:eastAsia="en-US"/>
        </w:rPr>
        <w:fldChar w:fldCharType="begin"/>
      </w:r>
      <w:r w:rsidRPr="00CF31E0">
        <w:rPr>
          <w:lang w:eastAsia="en-US"/>
        </w:rPr>
        <w:instrText xml:space="preserve"> ADDIN ZOTERO_ITEM CSL_CITATION {"citationID":"WdrLUOI5","properties":{"formattedCitation":"(Vassiliev, 2013)","plainCitation":"(Vassiliev, 2013)","noteIndex":0},"citationItems":[{"id":173,"uris":["http://zotero.org/users/1939618/items/6I5BC846"],"uri":["http://zotero.org/users/1939618/items/6I5BC846"],"itemData":{"id":173,"type":"book","title":"The History of Saudi Arabia","publisher":"Saqi","source":"Google Scholar","URL":"https://books.google.co.uk/books?hl=en&amp;lr=&amp;id=lEIhBQAAQBAJ&amp;oi=fnd&amp;pg=PT4&amp;dq=Vassiliev,+A.+(2013).+The+History+of+Saudi+Arabia.+London,+Saqi+books.+&amp;ots=KPwVsHcASb&amp;sig=oVibAvTA79h5vqAaHDXY7YS9H7I","author":[{"family":"Vassiliev","given":"Alexei"}],"issued":{"date-parts":[["2013"]]},"accessed":{"date-parts":[["2015",9,28]]}}}],"schema":"https://github.com/citation-style-language/schema/raw/master/csl-citation.json"} </w:instrText>
      </w:r>
      <w:r w:rsidRPr="00CF31E0">
        <w:rPr>
          <w:lang w:eastAsia="en-US"/>
        </w:rPr>
        <w:fldChar w:fldCharType="separate"/>
      </w:r>
      <w:r w:rsidR="00E44A3C" w:rsidRPr="00CF31E0">
        <w:rPr>
          <w:noProof/>
          <w:lang w:eastAsia="en-US"/>
        </w:rPr>
        <w:t>(Vassiliev, 2000</w:t>
      </w:r>
      <w:r w:rsidRPr="00CF31E0">
        <w:rPr>
          <w:noProof/>
          <w:lang w:eastAsia="en-US"/>
        </w:rPr>
        <w:t>)</w:t>
      </w:r>
      <w:r w:rsidRPr="00CF31E0">
        <w:rPr>
          <w:lang w:eastAsia="en-US"/>
        </w:rPr>
        <w:fldChar w:fldCharType="end"/>
      </w:r>
      <w:r w:rsidRPr="00CF31E0">
        <w:rPr>
          <w:lang w:eastAsia="en-US"/>
        </w:rPr>
        <w:t xml:space="preserve">, as discussed in </w:t>
      </w:r>
      <w:r w:rsidR="00847047" w:rsidRPr="00CF31E0">
        <w:rPr>
          <w:lang w:eastAsia="en-US"/>
        </w:rPr>
        <w:t>C</w:t>
      </w:r>
      <w:r w:rsidRPr="00CF31E0">
        <w:rPr>
          <w:lang w:eastAsia="en-US"/>
        </w:rPr>
        <w:t>hapter</w:t>
      </w:r>
      <w:r w:rsidR="005340A3" w:rsidRPr="00CF31E0">
        <w:rPr>
          <w:lang w:eastAsia="en-US"/>
        </w:rPr>
        <w:t xml:space="preserve"> </w:t>
      </w:r>
      <w:r w:rsidR="008D117A" w:rsidRPr="00CF31E0">
        <w:rPr>
          <w:lang w:eastAsia="en-US"/>
        </w:rPr>
        <w:t xml:space="preserve">2, </w:t>
      </w:r>
      <w:r w:rsidRPr="00CF31E0">
        <w:rPr>
          <w:lang w:eastAsia="en-US"/>
        </w:rPr>
        <w:t>sectio</w:t>
      </w:r>
      <w:r w:rsidR="005340A3" w:rsidRPr="00CF31E0">
        <w:rPr>
          <w:lang w:eastAsia="en-US"/>
        </w:rPr>
        <w:t xml:space="preserve">n </w:t>
      </w:r>
      <w:r w:rsidR="008D117A" w:rsidRPr="00CF31E0">
        <w:rPr>
          <w:lang w:eastAsia="en-US"/>
        </w:rPr>
        <w:t>2</w:t>
      </w:r>
      <w:r w:rsidR="005340A3" w:rsidRPr="00CF31E0">
        <w:rPr>
          <w:lang w:eastAsia="en-US"/>
        </w:rPr>
        <w:t>.16</w:t>
      </w:r>
      <w:r w:rsidRPr="00CF31E0">
        <w:rPr>
          <w:lang w:eastAsia="en-US"/>
        </w:rPr>
        <w:t>. Thus, it might be the case that the UBH younger age group did not experience living in rural places in Hijaz, while the older age group initially might have lived in the rural area and then moved to urban places after the discovery of oil. Therefore, it is clear from the results that the older age group who might have experienced living in rural places have less positive attitudes towards the modernity of the UBH dialect than the younger group. Accordingly, I may conclude that the younger age group are less influenced by the UBH language ideology in Hijaz, which evokes a stereotypical assumption of the UBH dialect as being traditional. This result has serious implications for the future language change of the UBH dialect, as world</w:t>
      </w:r>
      <w:r w:rsidR="005D0894" w:rsidRPr="00CF31E0">
        <w:rPr>
          <w:lang w:eastAsia="en-US"/>
        </w:rPr>
        <w:t>wide</w:t>
      </w:r>
      <w:r w:rsidRPr="00CF31E0">
        <w:rPr>
          <w:lang w:eastAsia="en-US"/>
        </w:rPr>
        <w:t xml:space="preserve"> research has revealed that language variation and change is strongly affected by language attitudes towards certain varieties </w:t>
      </w:r>
      <w:r w:rsidRPr="00CF31E0">
        <w:rPr>
          <w:lang w:eastAsia="en-US"/>
        </w:rPr>
        <w:fldChar w:fldCharType="begin"/>
      </w:r>
      <w:r w:rsidRPr="00CF31E0">
        <w:rPr>
          <w:lang w:eastAsia="en-US"/>
        </w:rPr>
        <w:instrText xml:space="preserve"> ADDIN ZOTERO_ITEM CSL_CITATION {"citationID":"9c0TXDFj","properties":{"formattedCitation":"(Kristiansen, 2009)","plainCitation":"(Kristiansen, 2009)","noteIndex":0},"citationItems":[{"id":482,"uris":["http://zotero.org/users/1939618/items/8I7GNAP9"],"uri":["http://zotero.org/users/1939618/items/8I7GNAP9"],"itemData":{"id":482,"type":"article-journal","title":"The macro-level social meanings of late-modern Danish accents","container-title":"Acta Linguistica Hafniensia","page":"167-192","volume":"41","issue":"1","source":"Taylor and Francis+NEJM","abstract":"The paper reports on the main findings of the LANCHART language attitudes studies. These studies were designed to falsify (or modify) the picture of adolescent language ideology – and its role in language change – that had emerged from previous sociolinguistic studies in Denmark. This picture is formulated as three hypotheses: (1) There are two value systems at two levels of consciousness, (2) Language change is governed by subconscious values, (3) Copenhagen is Denmark's only linguistic norm centre. Following strict guidelines for data collection among 9th graders (aged 15–16) in Copenhagen, Næstved, Vissenbjerg, Odder, and Vinderup we obtained subconsciously offered attitudes that could be compared with consciously offered attitudes. The results neither falsify nor modify the established picture but strongly confirm it.","DOI":"10.1080/03740460903364219","ISSN":"0374-0463","author":[{"family":"Kristiansen","given":"Tore"}],"issued":{"date-parts":[["2009",11,1]]}}}],"schema":"https://github.com/citation-style-language/schema/raw/master/csl-citation.json"} </w:instrText>
      </w:r>
      <w:r w:rsidRPr="00CF31E0">
        <w:rPr>
          <w:lang w:eastAsia="en-US"/>
        </w:rPr>
        <w:fldChar w:fldCharType="separate"/>
      </w:r>
      <w:r w:rsidRPr="00CF31E0">
        <w:rPr>
          <w:noProof/>
          <w:lang w:eastAsia="en-US"/>
        </w:rPr>
        <w:t>(Kristiansen, 2009)</w:t>
      </w:r>
      <w:r w:rsidRPr="00CF31E0">
        <w:rPr>
          <w:lang w:eastAsia="en-US"/>
        </w:rPr>
        <w:fldChar w:fldCharType="end"/>
      </w:r>
      <w:r w:rsidRPr="00CF31E0">
        <w:rPr>
          <w:lang w:eastAsia="en-US"/>
        </w:rPr>
        <w:t xml:space="preserve">. It has to be borne in mind that the study design did not allow me to explore whether or not the change has really started to take place in the UBH dialect. Therefore, other research designs, which mainly focus on UBH dialect production, are needed in order to examine whether or not the dialect embraced linguistic change. Similar to the present result, the </w:t>
      </w:r>
      <w:r w:rsidRPr="00CF31E0">
        <w:rPr>
          <w:lang w:eastAsia="en-US"/>
        </w:rPr>
        <w:fldChar w:fldCharType="begin"/>
      </w:r>
      <w:r w:rsidRPr="00CF31E0">
        <w:rPr>
          <w:lang w:eastAsia="en-US"/>
        </w:rPr>
        <w:instrText xml:space="preserve"> ADDIN ZOTERO_ITEM CSL_CITATION {"citationID":"GXzUOPeL","properties":{"formattedCitation":"(BBC, 2005)","plainCitation":"(BBC, 2005)","noteIndex":0},"citationItems":[{"id":283,"uris":["http://zotero.org/users/1939618/items/N9WVNE2C"],"uri":["http://zotero.org/users/1939618/items/N9WVNE2C"],"itemData":{"id":283,"type":"article-newspaper","title":"Regional accents 'bad for trade'","source":"news.bbc.co.uk","abstract":"Business leaders believe English regional accents are a disadvantage in business, says a survey.","URL":"http://news.bbc.co.uk/1/hi/england/4566028.stm","language":"en-GB","author":[{"literal":"BBC"}],"issued":{"date-parts":[["2005",12,29]]},"accessed":{"date-parts":[["2017",12,28]]}}}],"schema":"https://github.com/citation-style-language/schema/raw/master/csl-citation.json"} </w:instrText>
      </w:r>
      <w:r w:rsidRPr="00CF31E0">
        <w:rPr>
          <w:lang w:eastAsia="en-US"/>
        </w:rPr>
        <w:fldChar w:fldCharType="separate"/>
      </w:r>
      <w:r w:rsidRPr="00CF31E0">
        <w:rPr>
          <w:noProof/>
          <w:lang w:eastAsia="en-US"/>
        </w:rPr>
        <w:t>BBC's (2005)</w:t>
      </w:r>
      <w:r w:rsidRPr="00CF31E0">
        <w:rPr>
          <w:lang w:eastAsia="en-US"/>
        </w:rPr>
        <w:fldChar w:fldCharType="end"/>
      </w:r>
      <w:r w:rsidRPr="00CF31E0">
        <w:rPr>
          <w:lang w:eastAsia="en-US"/>
        </w:rPr>
        <w:t xml:space="preserve"> conceptual study on regional accents in the UK revealed that the ratings of the younger age group regarding the prestige and social attractiveness of standard English in the UK were notably lower than those of the older age group. </w:t>
      </w:r>
      <w:r w:rsidRPr="00CF31E0">
        <w:rPr>
          <w:rFonts w:cs="Arial"/>
          <w:lang w:eastAsia="en-US"/>
        </w:rPr>
        <w:t xml:space="preserve">There are two main differences between the present study and the BBC study; the first difference is related to the study design, that is, the dialects in the present study were presented vocally while they were presented conceptually in the BBC study. The second difference is related to the study context, where the BBC study was conducted in the UK, while the present study was </w:t>
      </w:r>
      <w:r w:rsidRPr="00CF31E0">
        <w:rPr>
          <w:rFonts w:cs="Arial"/>
          <w:lang w:eastAsia="en-US"/>
        </w:rPr>
        <w:lastRenderedPageBreak/>
        <w:t>conducted in SA.</w:t>
      </w:r>
      <w:r w:rsidRPr="00CF31E0">
        <w:rPr>
          <w:lang w:eastAsia="en-US"/>
        </w:rPr>
        <w:t xml:space="preserve"> Notwithstanding the differences between the two studies, the evidence points toward a pattern where the two younger age groups in both studies respond less strictly to the language ideology in both contexts.</w:t>
      </w:r>
    </w:p>
    <w:p w14:paraId="544193C6" w14:textId="3156F38C" w:rsidR="000B4835" w:rsidRPr="00CF31E0" w:rsidRDefault="000B4835" w:rsidP="00603CB7">
      <w:pPr>
        <w:pStyle w:val="Paragraph"/>
        <w:rPr>
          <w:lang w:eastAsia="en-US"/>
        </w:rPr>
      </w:pPr>
      <w:r w:rsidRPr="00CF31E0">
        <w:rPr>
          <w:lang w:eastAsia="en-US"/>
        </w:rPr>
        <w:t xml:space="preserve">Second, the result can be understood from a social perspective, specifically the intermarriage angle. Results from RQ1 revealed that 86.7% of participants perceived that intermarriage between UBH members and HH members began to take place in recent years, which implies that this is a view held by the younger generation. As a result, this younger age group perceived the UBH dialect as modern because they started to find that the old restricted regulations in marriage, which stipulate that UBH members are only allowed to marry other tribal members to maintain their genealogy, are no longer rigorously upheld; see </w:t>
      </w:r>
      <w:r w:rsidR="00847047" w:rsidRPr="00CF31E0">
        <w:rPr>
          <w:lang w:eastAsia="en-US"/>
        </w:rPr>
        <w:t>C</w:t>
      </w:r>
      <w:r w:rsidRPr="00CF31E0">
        <w:rPr>
          <w:lang w:eastAsia="en-US"/>
        </w:rPr>
        <w:t xml:space="preserve">hapter </w:t>
      </w:r>
      <w:r w:rsidR="008D117A" w:rsidRPr="00CF31E0">
        <w:rPr>
          <w:lang w:eastAsia="en-US"/>
        </w:rPr>
        <w:t>2</w:t>
      </w:r>
      <w:r w:rsidR="001E1BCB" w:rsidRPr="00CF31E0">
        <w:rPr>
          <w:lang w:eastAsia="en-US"/>
        </w:rPr>
        <w:t>,</w:t>
      </w:r>
      <w:r w:rsidRPr="00CF31E0">
        <w:rPr>
          <w:lang w:eastAsia="en-US"/>
        </w:rPr>
        <w:t xml:space="preserve"> </w:t>
      </w:r>
      <w:r w:rsidR="001E1BCB" w:rsidRPr="00CF31E0">
        <w:rPr>
          <w:lang w:eastAsia="en-US"/>
        </w:rPr>
        <w:t>s</w:t>
      </w:r>
      <w:r w:rsidRPr="00CF31E0">
        <w:rPr>
          <w:lang w:eastAsia="en-US"/>
        </w:rPr>
        <w:t>ectio</w:t>
      </w:r>
      <w:r w:rsidR="001E1BCB" w:rsidRPr="00CF31E0">
        <w:rPr>
          <w:lang w:eastAsia="en-US"/>
        </w:rPr>
        <w:t xml:space="preserve">n </w:t>
      </w:r>
      <w:r w:rsidR="008D117A" w:rsidRPr="00CF31E0">
        <w:rPr>
          <w:lang w:eastAsia="en-US"/>
        </w:rPr>
        <w:t>2</w:t>
      </w:r>
      <w:r w:rsidR="001E1BCB" w:rsidRPr="00CF31E0">
        <w:rPr>
          <w:lang w:eastAsia="en-US"/>
        </w:rPr>
        <w:t>.5</w:t>
      </w:r>
      <w:r w:rsidRPr="00CF31E0">
        <w:rPr>
          <w:lang w:eastAsia="en-US"/>
        </w:rPr>
        <w:t xml:space="preserve"> for more details on the genealogy of the Arabian Peninsula. </w:t>
      </w:r>
    </w:p>
    <w:p w14:paraId="08A2E4A1" w14:textId="262734FD" w:rsidR="000B4835" w:rsidRPr="00CF31E0" w:rsidRDefault="000B4835" w:rsidP="00603CB7">
      <w:pPr>
        <w:pStyle w:val="Paragraph"/>
        <w:rPr>
          <w:lang w:eastAsia="en-US"/>
        </w:rPr>
      </w:pPr>
      <w:r w:rsidRPr="00CF31E0">
        <w:rPr>
          <w:lang w:eastAsia="en-US"/>
        </w:rPr>
        <w:t>A final interpretation of this result seems to be related to the previous discussion (see</w:t>
      </w:r>
      <w:r w:rsidR="00BA3FEB" w:rsidRPr="00CF31E0">
        <w:rPr>
          <w:lang w:eastAsia="en-US"/>
        </w:rPr>
        <w:t xml:space="preserve"> section 12.4.2.1. above</w:t>
      </w:r>
      <w:r w:rsidRPr="00CF31E0">
        <w:rPr>
          <w:lang w:eastAsia="en-US"/>
        </w:rPr>
        <w:t>). The UBH dialect n</w:t>
      </w:r>
      <w:r w:rsidR="004F24A4" w:rsidRPr="00CF31E0">
        <w:rPr>
          <w:lang w:eastAsia="en-US"/>
        </w:rPr>
        <w:t>eeds greater assertion</w:t>
      </w:r>
      <w:r w:rsidRPr="00CF31E0">
        <w:rPr>
          <w:lang w:eastAsia="en-US"/>
        </w:rPr>
        <w:t xml:space="preserve"> to be placed on its modernity and that is more likely to come from the younger group, while the</w:t>
      </w:r>
      <w:r w:rsidR="004F24A4" w:rsidRPr="00CF31E0">
        <w:rPr>
          <w:lang w:eastAsia="en-US"/>
        </w:rPr>
        <w:t xml:space="preserve"> HH dialect needs greater assertion</w:t>
      </w:r>
      <w:r w:rsidRPr="00CF31E0">
        <w:rPr>
          <w:lang w:eastAsia="en-US"/>
        </w:rPr>
        <w:t xml:space="preserve"> to be placed on its traditional identity within Saudi society, and this is more likely to be carried out through the older age group in society. </w:t>
      </w:r>
    </w:p>
    <w:p w14:paraId="14430A3C" w14:textId="6FCA0D62" w:rsidR="000B4835" w:rsidRPr="00CF31E0" w:rsidRDefault="008D117A" w:rsidP="008D117A">
      <w:pPr>
        <w:pStyle w:val="Chead"/>
      </w:pPr>
      <w:bookmarkStart w:id="1203" w:name="_Toc518640427"/>
      <w:bookmarkStart w:id="1204" w:name="_Toc6472831"/>
      <w:r w:rsidRPr="00CF31E0">
        <w:t>12</w:t>
      </w:r>
      <w:r w:rsidR="003C7929" w:rsidRPr="00CF31E0">
        <w:t>.4.2.4.</w:t>
      </w:r>
      <w:r w:rsidR="008A2A0D" w:rsidRPr="00CF31E0">
        <w:tab/>
      </w:r>
      <w:r w:rsidR="000B4835" w:rsidRPr="00CF31E0">
        <w:t>Female vs male participants</w:t>
      </w:r>
      <w:bookmarkEnd w:id="1203"/>
      <w:bookmarkEnd w:id="1204"/>
    </w:p>
    <w:p w14:paraId="6AEC591D" w14:textId="61759546" w:rsidR="000B4835" w:rsidRPr="00CF31E0" w:rsidRDefault="000B4835" w:rsidP="00603CB7">
      <w:pPr>
        <w:pStyle w:val="Paragraph"/>
        <w:rPr>
          <w:lang w:eastAsia="en-US"/>
        </w:rPr>
      </w:pPr>
      <w:r w:rsidRPr="00CF31E0">
        <w:rPr>
          <w:lang w:eastAsia="en-US"/>
        </w:rPr>
        <w:t xml:space="preserve">First, female participants perceived the UBH speakers in VS2 as more traditional, and the other UBH speaker in VS4 as more serious </w:t>
      </w:r>
      <w:r w:rsidR="00376401">
        <w:rPr>
          <w:lang w:eastAsia="en-US"/>
        </w:rPr>
        <w:t xml:space="preserve">and traditional </w:t>
      </w:r>
      <w:r w:rsidRPr="00CF31E0">
        <w:rPr>
          <w:lang w:eastAsia="en-US"/>
        </w:rPr>
        <w:t>than did the male participants towards the UBH voice samples. This result implies that women are more generous in their ratings towards varieties in the region; on the other hand, it seems that male participants showed more conservatism in their language attitudes toward the two dialects. A similar pattern emerged in the results from the conceptual part</w:t>
      </w:r>
      <w:r w:rsidR="00F3269B" w:rsidRPr="00CF31E0">
        <w:rPr>
          <w:lang w:eastAsia="en-US"/>
        </w:rPr>
        <w:t xml:space="preserve"> of the study</w:t>
      </w:r>
      <w:r w:rsidRPr="00CF31E0">
        <w:rPr>
          <w:lang w:eastAsia="en-US"/>
        </w:rPr>
        <w:t xml:space="preserve"> in RQ2 </w:t>
      </w:r>
      <w:r w:rsidR="003C7929" w:rsidRPr="00CF31E0">
        <w:rPr>
          <w:lang w:eastAsia="en-US"/>
        </w:rPr>
        <w:t>(</w:t>
      </w:r>
      <w:r w:rsidRPr="00CF31E0">
        <w:rPr>
          <w:lang w:eastAsia="en-US"/>
        </w:rPr>
        <w:t xml:space="preserve">see </w:t>
      </w:r>
      <w:r w:rsidR="00847047" w:rsidRPr="00CF31E0">
        <w:rPr>
          <w:lang w:eastAsia="en-US"/>
        </w:rPr>
        <w:t>C</w:t>
      </w:r>
      <w:r w:rsidRPr="00CF31E0">
        <w:rPr>
          <w:lang w:eastAsia="en-US"/>
        </w:rPr>
        <w:t>hapter</w:t>
      </w:r>
      <w:r w:rsidR="001E1BCB" w:rsidRPr="00CF31E0">
        <w:rPr>
          <w:lang w:eastAsia="en-US"/>
        </w:rPr>
        <w:t xml:space="preserve"> </w:t>
      </w:r>
      <w:r w:rsidR="00A13686" w:rsidRPr="00CF31E0">
        <w:rPr>
          <w:lang w:eastAsia="en-US"/>
        </w:rPr>
        <w:t xml:space="preserve">10, </w:t>
      </w:r>
      <w:r w:rsidRPr="00CF31E0">
        <w:rPr>
          <w:lang w:eastAsia="en-US"/>
        </w:rPr>
        <w:t>section</w:t>
      </w:r>
      <w:r w:rsidR="001E1BCB" w:rsidRPr="00CF31E0">
        <w:rPr>
          <w:lang w:eastAsia="en-US"/>
        </w:rPr>
        <w:t xml:space="preserve"> </w:t>
      </w:r>
      <w:r w:rsidR="00A13686" w:rsidRPr="00CF31E0">
        <w:rPr>
          <w:lang w:eastAsia="en-US"/>
        </w:rPr>
        <w:t>10</w:t>
      </w:r>
      <w:r w:rsidR="001E1BCB" w:rsidRPr="00CF31E0">
        <w:rPr>
          <w:lang w:eastAsia="en-US"/>
        </w:rPr>
        <w:t>.8</w:t>
      </w:r>
      <w:r w:rsidR="003C7929" w:rsidRPr="00CF31E0">
        <w:rPr>
          <w:lang w:eastAsia="en-US"/>
        </w:rPr>
        <w:t xml:space="preserve">), </w:t>
      </w:r>
      <w:r w:rsidRPr="00CF31E0">
        <w:rPr>
          <w:lang w:eastAsia="en-US"/>
        </w:rPr>
        <w:t>where women proved to be more generous than male</w:t>
      </w:r>
      <w:r w:rsidR="00B01076" w:rsidRPr="00CF31E0">
        <w:rPr>
          <w:lang w:eastAsia="en-US"/>
        </w:rPr>
        <w:t>s</w:t>
      </w:r>
      <w:r w:rsidRPr="00CF31E0">
        <w:rPr>
          <w:lang w:eastAsia="en-US"/>
        </w:rPr>
        <w:t xml:space="preserve"> </w:t>
      </w:r>
      <w:r w:rsidR="00F3269B" w:rsidRPr="00CF31E0">
        <w:rPr>
          <w:lang w:eastAsia="en-US"/>
        </w:rPr>
        <w:t>in giving the UBH dialect a higher rating</w:t>
      </w:r>
      <w:r w:rsidRPr="00CF31E0">
        <w:rPr>
          <w:lang w:eastAsia="en-US"/>
        </w:rPr>
        <w:t xml:space="preserve"> than male</w:t>
      </w:r>
      <w:r w:rsidR="00B01076" w:rsidRPr="00CF31E0">
        <w:rPr>
          <w:lang w:eastAsia="en-US"/>
        </w:rPr>
        <w:t>s did</w:t>
      </w:r>
      <w:r w:rsidRPr="00CF31E0">
        <w:rPr>
          <w:lang w:eastAsia="en-US"/>
        </w:rPr>
        <w:t xml:space="preserve"> </w:t>
      </w:r>
      <w:r w:rsidR="00F3269B" w:rsidRPr="00CF31E0">
        <w:rPr>
          <w:lang w:eastAsia="en-US"/>
        </w:rPr>
        <w:t xml:space="preserve">for </w:t>
      </w:r>
      <w:r w:rsidRPr="00CF31E0">
        <w:rPr>
          <w:lang w:eastAsia="en-US"/>
        </w:rPr>
        <w:t xml:space="preserve">the modern factor. To make a wider point, though female </w:t>
      </w:r>
      <w:r w:rsidR="00B01076" w:rsidRPr="00CF31E0">
        <w:rPr>
          <w:lang w:eastAsia="en-US"/>
        </w:rPr>
        <w:t xml:space="preserve">participants </w:t>
      </w:r>
      <w:r w:rsidRPr="00CF31E0">
        <w:rPr>
          <w:lang w:eastAsia="en-US"/>
        </w:rPr>
        <w:t xml:space="preserve">in both studies proved to be more </w:t>
      </w:r>
      <w:r w:rsidR="00B01076" w:rsidRPr="00CF31E0">
        <w:rPr>
          <w:lang w:eastAsia="en-US"/>
        </w:rPr>
        <w:t xml:space="preserve">generous, </w:t>
      </w:r>
      <w:r w:rsidRPr="00CF31E0">
        <w:rPr>
          <w:lang w:eastAsia="en-US"/>
        </w:rPr>
        <w:t xml:space="preserve">they differed in </w:t>
      </w:r>
      <w:r w:rsidR="00D44730" w:rsidRPr="00CF31E0">
        <w:rPr>
          <w:lang w:eastAsia="en-US"/>
        </w:rPr>
        <w:lastRenderedPageBreak/>
        <w:t xml:space="preserve">their </w:t>
      </w:r>
      <w:r w:rsidRPr="00CF31E0">
        <w:rPr>
          <w:lang w:eastAsia="en-US"/>
        </w:rPr>
        <w:t>rating</w:t>
      </w:r>
      <w:r w:rsidR="00D44730" w:rsidRPr="00CF31E0">
        <w:rPr>
          <w:lang w:eastAsia="en-US"/>
        </w:rPr>
        <w:t>s</w:t>
      </w:r>
      <w:r w:rsidRPr="00CF31E0">
        <w:rPr>
          <w:lang w:eastAsia="en-US"/>
        </w:rPr>
        <w:t xml:space="preserve"> </w:t>
      </w:r>
      <w:r w:rsidR="00D44730" w:rsidRPr="00CF31E0">
        <w:rPr>
          <w:lang w:eastAsia="en-US"/>
        </w:rPr>
        <w:t xml:space="preserve">of </w:t>
      </w:r>
      <w:r w:rsidRPr="00CF31E0">
        <w:rPr>
          <w:lang w:eastAsia="en-US"/>
        </w:rPr>
        <w:t>the evaluative profile of the UBH dialect. Simply put, in the conceptual part, women tend</w:t>
      </w:r>
      <w:r w:rsidR="00B01076" w:rsidRPr="00CF31E0">
        <w:rPr>
          <w:lang w:eastAsia="en-US"/>
        </w:rPr>
        <w:t>ed</w:t>
      </w:r>
      <w:r w:rsidRPr="00CF31E0">
        <w:rPr>
          <w:lang w:eastAsia="en-US"/>
        </w:rPr>
        <w:t xml:space="preserve"> to be generous by delivering overt stereotypes</w:t>
      </w:r>
      <w:r w:rsidR="00D44730" w:rsidRPr="00CF31E0">
        <w:rPr>
          <w:lang w:eastAsia="en-US"/>
        </w:rPr>
        <w:t>,</w:t>
      </w:r>
      <w:r w:rsidRPr="00CF31E0">
        <w:rPr>
          <w:lang w:eastAsia="en-US"/>
        </w:rPr>
        <w:t xml:space="preserve"> which </w:t>
      </w:r>
      <w:r w:rsidR="00D44730" w:rsidRPr="00CF31E0">
        <w:rPr>
          <w:lang w:eastAsia="en-US"/>
        </w:rPr>
        <w:t xml:space="preserve">can be interpreted as showing that </w:t>
      </w:r>
      <w:r w:rsidRPr="00CF31E0">
        <w:rPr>
          <w:lang w:eastAsia="en-US"/>
        </w:rPr>
        <w:t xml:space="preserve">the UBH language ideology attempted to </w:t>
      </w:r>
      <w:r w:rsidR="00D44730" w:rsidRPr="00CF31E0">
        <w:rPr>
          <w:lang w:eastAsia="en-US"/>
        </w:rPr>
        <w:t>compete with</w:t>
      </w:r>
      <w:r w:rsidRPr="00CF31E0">
        <w:rPr>
          <w:lang w:eastAsia="en-US"/>
        </w:rPr>
        <w:t xml:space="preserve"> the modern language ideology of </w:t>
      </w:r>
      <w:r w:rsidR="00D44730" w:rsidRPr="00CF31E0">
        <w:rPr>
          <w:lang w:eastAsia="en-US"/>
        </w:rPr>
        <w:t xml:space="preserve">the </w:t>
      </w:r>
      <w:r w:rsidRPr="00CF31E0">
        <w:rPr>
          <w:lang w:eastAsia="en-US"/>
        </w:rPr>
        <w:t xml:space="preserve">HH dialect. </w:t>
      </w:r>
      <w:r w:rsidR="00D44730" w:rsidRPr="00CF31E0">
        <w:rPr>
          <w:lang w:eastAsia="en-US"/>
        </w:rPr>
        <w:t>I</w:t>
      </w:r>
      <w:r w:rsidRPr="00CF31E0">
        <w:rPr>
          <w:lang w:eastAsia="en-US"/>
        </w:rPr>
        <w:t>n the vocally presented approach, women proved to be generous in their rating</w:t>
      </w:r>
      <w:r w:rsidR="00D44730" w:rsidRPr="00CF31E0">
        <w:rPr>
          <w:lang w:eastAsia="en-US"/>
        </w:rPr>
        <w:t>s</w:t>
      </w:r>
      <w:r w:rsidRPr="00CF31E0">
        <w:rPr>
          <w:lang w:eastAsia="en-US"/>
        </w:rPr>
        <w:t xml:space="preserve"> but this time with more covert stereotypes that emphasize the traditional identity of </w:t>
      </w:r>
      <w:r w:rsidR="00D44730" w:rsidRPr="00CF31E0">
        <w:rPr>
          <w:lang w:eastAsia="en-US"/>
        </w:rPr>
        <w:t xml:space="preserve">the </w:t>
      </w:r>
      <w:r w:rsidRPr="00CF31E0">
        <w:rPr>
          <w:lang w:eastAsia="en-US"/>
        </w:rPr>
        <w:t xml:space="preserve">UBH dialect. In this respect, I would argue that the nature of language attitude methods lends </w:t>
      </w:r>
      <w:r w:rsidR="00D44730" w:rsidRPr="00CF31E0">
        <w:rPr>
          <w:lang w:eastAsia="en-US"/>
        </w:rPr>
        <w:t xml:space="preserve">itself to </w:t>
      </w:r>
      <w:r w:rsidRPr="00CF31E0">
        <w:rPr>
          <w:lang w:eastAsia="en-US"/>
        </w:rPr>
        <w:t>explorations of innovations where attitudes can be measured with more than one method. Thus, when different attitudes emerge, they can be ac</w:t>
      </w:r>
      <w:r w:rsidR="00034F73" w:rsidRPr="00CF31E0">
        <w:rPr>
          <w:lang w:eastAsia="en-US"/>
        </w:rPr>
        <w:t>count</w:t>
      </w:r>
      <w:r w:rsidRPr="00CF31E0">
        <w:rPr>
          <w:lang w:eastAsia="en-US"/>
        </w:rPr>
        <w:t xml:space="preserve">ed for </w:t>
      </w:r>
      <w:r w:rsidR="00D44730" w:rsidRPr="00CF31E0">
        <w:rPr>
          <w:lang w:eastAsia="en-US"/>
        </w:rPr>
        <w:t xml:space="preserve">by </w:t>
      </w:r>
      <w:r w:rsidRPr="00CF31E0">
        <w:rPr>
          <w:lang w:eastAsia="en-US"/>
        </w:rPr>
        <w:t xml:space="preserve">overt and covert stereotypes that lead the researcher to interpret the whole picture of language attitudes in a certain context. </w:t>
      </w:r>
    </w:p>
    <w:p w14:paraId="0823AC05" w14:textId="5F8584C4" w:rsidR="000B4835" w:rsidRPr="00CF31E0" w:rsidRDefault="000B4835" w:rsidP="00603CB7">
      <w:pPr>
        <w:pStyle w:val="Paragraph"/>
        <w:rPr>
          <w:lang w:eastAsia="en-US"/>
        </w:rPr>
      </w:pPr>
      <w:r w:rsidRPr="00CF31E0">
        <w:rPr>
          <w:lang w:eastAsia="en-US"/>
        </w:rPr>
        <w:t>The finding is also supported by a similar pattern revealed in the perceptual approach above (see section</w:t>
      </w:r>
      <w:r w:rsidR="001E1BCB" w:rsidRPr="00CF31E0">
        <w:rPr>
          <w:lang w:eastAsia="en-US"/>
        </w:rPr>
        <w:t xml:space="preserve"> </w:t>
      </w:r>
      <w:r w:rsidR="00A13686" w:rsidRPr="00CF31E0">
        <w:rPr>
          <w:lang w:eastAsia="en-US"/>
        </w:rPr>
        <w:t>12</w:t>
      </w:r>
      <w:r w:rsidR="001E1BCB" w:rsidRPr="00CF31E0">
        <w:rPr>
          <w:lang w:eastAsia="en-US"/>
        </w:rPr>
        <w:t>.3.2</w:t>
      </w:r>
      <w:r w:rsidRPr="00CF31E0">
        <w:rPr>
          <w:lang w:eastAsia="en-US"/>
        </w:rPr>
        <w:t>), where women proved to be more successful than men in the allocation task. Simply put, the female group performed better in the allocation task and they had a tendency to even give varieties higher ratings in the rating task. As a result, a possible conclusion is that perceptually and attitudinally females are more successful in their allocations and generous in their ratings than men</w:t>
      </w:r>
      <w:r w:rsidR="004F24A4" w:rsidRPr="00CF31E0">
        <w:rPr>
          <w:lang w:eastAsia="en-US"/>
        </w:rPr>
        <w:t>.</w:t>
      </w:r>
    </w:p>
    <w:p w14:paraId="5B8AE04E" w14:textId="045CAF55" w:rsidR="000B4835" w:rsidRPr="00CF31E0" w:rsidRDefault="000B4835" w:rsidP="00603CB7">
      <w:pPr>
        <w:pStyle w:val="Paragraph"/>
        <w:rPr>
          <w:lang w:eastAsia="en-US"/>
        </w:rPr>
      </w:pPr>
      <w:r w:rsidRPr="00CF31E0">
        <w:rPr>
          <w:lang w:eastAsia="en-US"/>
        </w:rPr>
        <w:t>Second, male participants perceived VS5 to be more modern than did the females. This result can be fully understood by revisiting a relevant result from the perceptual study (see section</w:t>
      </w:r>
      <w:r w:rsidR="001E1BCB" w:rsidRPr="00CF31E0">
        <w:rPr>
          <w:lang w:eastAsia="en-US"/>
        </w:rPr>
        <w:t xml:space="preserve"> </w:t>
      </w:r>
      <w:r w:rsidR="00A13686" w:rsidRPr="00CF31E0">
        <w:rPr>
          <w:lang w:eastAsia="en-US"/>
        </w:rPr>
        <w:t>12</w:t>
      </w:r>
      <w:r w:rsidR="001E1BCB" w:rsidRPr="00CF31E0">
        <w:rPr>
          <w:lang w:eastAsia="en-US"/>
        </w:rPr>
        <w:t>.3.2</w:t>
      </w:r>
      <w:r w:rsidRPr="00CF31E0">
        <w:rPr>
          <w:lang w:eastAsia="en-US"/>
        </w:rPr>
        <w:t xml:space="preserve"> above), and from the keyword technique results along with the rating</w:t>
      </w:r>
      <w:r w:rsidR="005D0894" w:rsidRPr="00CF31E0">
        <w:rPr>
          <w:lang w:eastAsia="en-US"/>
        </w:rPr>
        <w:t>-scale</w:t>
      </w:r>
      <w:r w:rsidRPr="00CF31E0">
        <w:rPr>
          <w:lang w:eastAsia="en-US"/>
        </w:rPr>
        <w:t xml:space="preserve"> results presented in </w:t>
      </w:r>
      <w:r w:rsidR="00847047" w:rsidRPr="00CF31E0">
        <w:rPr>
          <w:lang w:eastAsia="en-US"/>
        </w:rPr>
        <w:t>C</w:t>
      </w:r>
      <w:r w:rsidRPr="00CF31E0">
        <w:rPr>
          <w:lang w:eastAsia="en-US"/>
        </w:rPr>
        <w:t>hapter</w:t>
      </w:r>
      <w:r w:rsidR="00916200" w:rsidRPr="00CF31E0">
        <w:rPr>
          <w:lang w:eastAsia="en-US"/>
        </w:rPr>
        <w:t>s</w:t>
      </w:r>
      <w:r w:rsidR="001E1BCB" w:rsidRPr="00CF31E0">
        <w:rPr>
          <w:lang w:eastAsia="en-US"/>
        </w:rPr>
        <w:t xml:space="preserve"> </w:t>
      </w:r>
      <w:r w:rsidR="00A13686" w:rsidRPr="00CF31E0">
        <w:rPr>
          <w:lang w:eastAsia="en-US"/>
        </w:rPr>
        <w:t xml:space="preserve">5 </w:t>
      </w:r>
      <w:r w:rsidR="001E1BCB" w:rsidRPr="00CF31E0">
        <w:rPr>
          <w:lang w:eastAsia="en-US"/>
        </w:rPr>
        <w:t xml:space="preserve">(see section </w:t>
      </w:r>
      <w:r w:rsidR="00A13686" w:rsidRPr="00CF31E0">
        <w:rPr>
          <w:lang w:eastAsia="en-US"/>
        </w:rPr>
        <w:t>5</w:t>
      </w:r>
      <w:r w:rsidR="001E1BCB" w:rsidRPr="00CF31E0">
        <w:rPr>
          <w:lang w:eastAsia="en-US"/>
        </w:rPr>
        <w:t xml:space="preserve">.5.1) and </w:t>
      </w:r>
      <w:r w:rsidR="00A13686" w:rsidRPr="00CF31E0">
        <w:rPr>
          <w:lang w:eastAsia="en-US"/>
        </w:rPr>
        <w:t xml:space="preserve">9 </w:t>
      </w:r>
      <w:r w:rsidR="001E1BCB" w:rsidRPr="00CF31E0">
        <w:rPr>
          <w:lang w:eastAsia="en-US"/>
        </w:rPr>
        <w:t xml:space="preserve">(see section </w:t>
      </w:r>
      <w:r w:rsidR="00A13686" w:rsidRPr="00CF31E0">
        <w:rPr>
          <w:lang w:eastAsia="en-US"/>
        </w:rPr>
        <w:t>9</w:t>
      </w:r>
      <w:r w:rsidR="001E1BCB" w:rsidRPr="00CF31E0">
        <w:rPr>
          <w:lang w:eastAsia="en-US"/>
        </w:rPr>
        <w:t>.4.4)</w:t>
      </w:r>
      <w:r w:rsidR="00916200" w:rsidRPr="00CF31E0">
        <w:rPr>
          <w:lang w:eastAsia="en-US"/>
        </w:rPr>
        <w:t>, respectively</w:t>
      </w:r>
      <w:r w:rsidR="001E1BCB" w:rsidRPr="00CF31E0">
        <w:rPr>
          <w:lang w:eastAsia="en-US"/>
        </w:rPr>
        <w:t>.</w:t>
      </w:r>
      <w:r w:rsidRPr="00CF31E0">
        <w:rPr>
          <w:lang w:eastAsia="en-US"/>
        </w:rPr>
        <w:t xml:space="preserve"> First, if we look at the results from the effects of the gender demographic variable on the VS5 allocation task in section above, it is clear that more females allocated the voice sample to the UBH social group than was the case for the males. Second, if we look at the results from the keyword technique and rating scales, the modern characteristic was strongly associated with the HH dialect. To sum up, more male participants believed the voice sample to be from the HH social group, as revealed by the allocation task; therefore, they perceived it as modern, which is a characteristic strongly associated with the HH dialect. </w:t>
      </w:r>
    </w:p>
    <w:p w14:paraId="218713A1" w14:textId="72BEF9D6" w:rsidR="000B4835" w:rsidRPr="00CF31E0" w:rsidRDefault="00A13686" w:rsidP="00A13686">
      <w:pPr>
        <w:pStyle w:val="Ahead"/>
        <w:rPr>
          <w:rFonts w:eastAsia="Times New Roman"/>
        </w:rPr>
      </w:pPr>
      <w:bookmarkStart w:id="1205" w:name="_Toc518640428"/>
      <w:bookmarkStart w:id="1206" w:name="_Toc6472832"/>
      <w:r w:rsidRPr="00CF31E0">
        <w:rPr>
          <w:rFonts w:eastAsia="Times New Roman"/>
        </w:rPr>
        <w:lastRenderedPageBreak/>
        <w:t>12</w:t>
      </w:r>
      <w:r w:rsidR="00B01076" w:rsidRPr="00CF31E0">
        <w:rPr>
          <w:rFonts w:eastAsia="Times New Roman"/>
        </w:rPr>
        <w:t>.5.</w:t>
      </w:r>
      <w:r w:rsidR="008A2A0D" w:rsidRPr="00CF31E0">
        <w:rPr>
          <w:rFonts w:eastAsia="Times New Roman"/>
        </w:rPr>
        <w:tab/>
      </w:r>
      <w:r w:rsidR="000B4835" w:rsidRPr="00CF31E0">
        <w:rPr>
          <w:rFonts w:eastAsia="Times New Roman"/>
        </w:rPr>
        <w:t>Methodological remarks</w:t>
      </w:r>
      <w:bookmarkEnd w:id="1205"/>
      <w:bookmarkEnd w:id="1206"/>
    </w:p>
    <w:p w14:paraId="5608D796" w14:textId="6DFB3B04" w:rsidR="000B4835" w:rsidRPr="00CF31E0" w:rsidRDefault="000B4835" w:rsidP="00603CB7">
      <w:pPr>
        <w:pStyle w:val="Paragraph"/>
        <w:rPr>
          <w:lang w:eastAsia="zh-CN"/>
        </w:rPr>
      </w:pPr>
      <w:r w:rsidRPr="00CF31E0">
        <w:rPr>
          <w:lang w:eastAsia="zh-CN"/>
        </w:rPr>
        <w:t>In this section, I will highlight two methodological issues I en</w:t>
      </w:r>
      <w:r w:rsidR="00034F73" w:rsidRPr="00CF31E0">
        <w:rPr>
          <w:lang w:eastAsia="zh-CN"/>
        </w:rPr>
        <w:t>counter</w:t>
      </w:r>
      <w:r w:rsidRPr="00CF31E0">
        <w:rPr>
          <w:lang w:eastAsia="zh-CN"/>
        </w:rPr>
        <w:t xml:space="preserve">ed in both the perceptual and language attitude studies. First, the results of the analysis of the voice samples have shown that VS5, which was not produced by a real UBH speaker, was the voice sample that showed the lowest number of UBH linguistic features. Although </w:t>
      </w:r>
      <w:r w:rsidRPr="00CF31E0">
        <w:rPr>
          <w:noProof/>
          <w:lang w:eastAsia="en-US"/>
        </w:rPr>
        <w:t xml:space="preserve">VS5 did not represent any linguistic features from the speaker’s real dialect (i.e. HH), the voice sample failed to include enough linguistic features from the UBH dialect. </w:t>
      </w:r>
      <w:r w:rsidRPr="00CF31E0">
        <w:rPr>
          <w:lang w:eastAsia="zh-CN"/>
        </w:rPr>
        <w:t>As a result, the lack of realistic representation of the UBH dialect by the speaker affected the allocation task for that voice sample. Therefore, it would seem that the matched-guise technique failed to successfully accomplish the task compared to the verbal</w:t>
      </w:r>
      <w:r w:rsidR="005D0894" w:rsidRPr="00CF31E0">
        <w:rPr>
          <w:lang w:eastAsia="zh-CN"/>
        </w:rPr>
        <w:t>-guise</w:t>
      </w:r>
      <w:r w:rsidRPr="00CF31E0">
        <w:rPr>
          <w:lang w:eastAsia="zh-CN"/>
        </w:rPr>
        <w:t xml:space="preserve"> technique where dialects are represented by real speakers. This takes us back to the early discussion in </w:t>
      </w:r>
      <w:r w:rsidR="00847047" w:rsidRPr="00CF31E0">
        <w:rPr>
          <w:lang w:eastAsia="zh-CN"/>
        </w:rPr>
        <w:t>C</w:t>
      </w:r>
      <w:r w:rsidRPr="00CF31E0">
        <w:rPr>
          <w:lang w:eastAsia="zh-CN"/>
        </w:rPr>
        <w:t>hapter</w:t>
      </w:r>
      <w:r w:rsidR="007F558A" w:rsidRPr="00CF31E0">
        <w:rPr>
          <w:lang w:eastAsia="zh-CN"/>
        </w:rPr>
        <w:t xml:space="preserve"> </w:t>
      </w:r>
      <w:r w:rsidR="00A13686" w:rsidRPr="00CF31E0">
        <w:rPr>
          <w:lang w:eastAsia="zh-CN"/>
        </w:rPr>
        <w:t>4</w:t>
      </w:r>
      <w:r w:rsidR="007F558A" w:rsidRPr="00CF31E0">
        <w:rPr>
          <w:lang w:eastAsia="zh-CN"/>
        </w:rPr>
        <w:t>,</w:t>
      </w:r>
      <w:r w:rsidRPr="00CF31E0">
        <w:rPr>
          <w:lang w:eastAsia="zh-CN"/>
        </w:rPr>
        <w:t xml:space="preserve"> section</w:t>
      </w:r>
      <w:r w:rsidR="007F558A" w:rsidRPr="00CF31E0">
        <w:rPr>
          <w:lang w:eastAsia="zh-CN"/>
        </w:rPr>
        <w:t xml:space="preserve"> </w:t>
      </w:r>
      <w:r w:rsidR="00A13686" w:rsidRPr="00CF31E0">
        <w:rPr>
          <w:lang w:eastAsia="zh-CN"/>
        </w:rPr>
        <w:t>4</w:t>
      </w:r>
      <w:r w:rsidR="007F558A" w:rsidRPr="00CF31E0">
        <w:rPr>
          <w:lang w:eastAsia="zh-CN"/>
        </w:rPr>
        <w:t>.4.2</w:t>
      </w:r>
      <w:r w:rsidRPr="00CF31E0">
        <w:rPr>
          <w:lang w:eastAsia="zh-CN"/>
        </w:rPr>
        <w:t>, where Preston</w:t>
      </w:r>
      <w:r w:rsidRPr="00CF31E0">
        <w:rPr>
          <w:lang w:eastAsia="en-US"/>
        </w:rPr>
        <w:t xml:space="preserve"> (1996</w:t>
      </w:r>
      <w:r w:rsidRPr="00CF31E0">
        <w:rPr>
          <w:noProof/>
          <w:lang w:eastAsia="en-US"/>
        </w:rPr>
        <w:t>)</w:t>
      </w:r>
      <w:r w:rsidRPr="00CF31E0">
        <w:rPr>
          <w:lang w:eastAsia="zh-CN"/>
        </w:rPr>
        <w:t xml:space="preserve"> argued that one of the main drawbacks of the matched-guise technique is its lower efficiency in providing natural and realistic voice samples similar to those that people en</w:t>
      </w:r>
      <w:r w:rsidR="003F36BF" w:rsidRPr="00CF31E0">
        <w:rPr>
          <w:lang w:eastAsia="zh-CN"/>
        </w:rPr>
        <w:t>count</w:t>
      </w:r>
      <w:r w:rsidRPr="00CF31E0">
        <w:rPr>
          <w:lang w:eastAsia="zh-CN"/>
        </w:rPr>
        <w:t xml:space="preserve">er in their everyday lives. </w:t>
      </w:r>
    </w:p>
    <w:p w14:paraId="3312B60B" w14:textId="5A140356" w:rsidR="000B4835" w:rsidRPr="00CF31E0" w:rsidRDefault="000B4835" w:rsidP="00603CB7">
      <w:pPr>
        <w:pStyle w:val="Paragraph"/>
        <w:rPr>
          <w:lang w:eastAsia="en-US"/>
        </w:rPr>
      </w:pPr>
      <w:r w:rsidRPr="00CF31E0">
        <w:rPr>
          <w:lang w:eastAsia="en-US"/>
        </w:rPr>
        <w:t>Second, the effects of social demographic variables emerged in a frequent pattern in the language attitude study while they only emerged in a few instances in the perceptual study. I contend that this result can be attributed to the methodological approach used in each task. In the language attitude task, I applied the verbal</w:t>
      </w:r>
      <w:r w:rsidR="005D0894" w:rsidRPr="00CF31E0">
        <w:rPr>
          <w:lang w:eastAsia="en-US"/>
        </w:rPr>
        <w:t>-guise</w:t>
      </w:r>
      <w:r w:rsidRPr="00CF31E0">
        <w:rPr>
          <w:lang w:eastAsia="en-US"/>
        </w:rPr>
        <w:t xml:space="preserve"> technique and matched-guise technique, which are both indirect methods. Therefore, their indirect nature gave them the power to elicit more privately held attitudes, such as a difference between males and females and younger and older groups towards varieties in Hijaz. The allocation task was direct in its nature, meaning it was restricted to eliciting overt stereotypes which are driven by Hijaz language ideology. </w:t>
      </w:r>
    </w:p>
    <w:p w14:paraId="470FB24E" w14:textId="4CD0CFE3" w:rsidR="000B4835" w:rsidRPr="00CF31E0" w:rsidRDefault="00A13686" w:rsidP="00A13686">
      <w:pPr>
        <w:pStyle w:val="Ahead"/>
        <w:rPr>
          <w:rFonts w:eastAsia="Times New Roman"/>
        </w:rPr>
      </w:pPr>
      <w:bookmarkStart w:id="1207" w:name="_Toc518640429"/>
      <w:bookmarkStart w:id="1208" w:name="_Toc6472833"/>
      <w:r w:rsidRPr="00CF31E0">
        <w:rPr>
          <w:rFonts w:eastAsia="Times New Roman"/>
        </w:rPr>
        <w:lastRenderedPageBreak/>
        <w:t>12</w:t>
      </w:r>
      <w:r w:rsidR="00B01076" w:rsidRPr="00CF31E0">
        <w:rPr>
          <w:rFonts w:eastAsia="Times New Roman"/>
        </w:rPr>
        <w:t>.6.</w:t>
      </w:r>
      <w:r w:rsidR="008A2A0D" w:rsidRPr="00CF31E0">
        <w:rPr>
          <w:rFonts w:eastAsia="Times New Roman"/>
        </w:rPr>
        <w:tab/>
      </w:r>
      <w:r w:rsidR="000B4835" w:rsidRPr="00CF31E0">
        <w:rPr>
          <w:rFonts w:eastAsia="Times New Roman"/>
        </w:rPr>
        <w:t>Conclusion</w:t>
      </w:r>
      <w:bookmarkEnd w:id="1207"/>
      <w:bookmarkEnd w:id="1208"/>
    </w:p>
    <w:p w14:paraId="40384602" w14:textId="77777777" w:rsidR="000B4835" w:rsidRPr="00CF31E0" w:rsidRDefault="000B4835" w:rsidP="00603CB7">
      <w:pPr>
        <w:pStyle w:val="Paragraph"/>
        <w:rPr>
          <w:lang w:eastAsia="en-US"/>
        </w:rPr>
      </w:pPr>
      <w:r w:rsidRPr="00CF31E0">
        <w:rPr>
          <w:lang w:eastAsia="en-US"/>
        </w:rPr>
        <w:t xml:space="preserve">The findings from the perceptual study revealed how the two dialects were perceived as distinctive regardless of the manipulation applied. A major implication from this study is the confirmation that </w:t>
      </w:r>
      <w:r w:rsidRPr="00CF31E0">
        <w:rPr>
          <w:lang w:eastAsia="zh-CN"/>
        </w:rPr>
        <w:t xml:space="preserve">a powerful dichotomous language ideology in Hijaz appears to be in operation between the two dialects, to the extent that participants were not affected by the external manipulation applied in the task. </w:t>
      </w:r>
    </w:p>
    <w:p w14:paraId="49E2953D" w14:textId="77777777" w:rsidR="000B4835" w:rsidRPr="00CF31E0" w:rsidRDefault="000B4835" w:rsidP="00603CB7">
      <w:pPr>
        <w:pStyle w:val="Paragraph"/>
        <w:rPr>
          <w:lang w:eastAsia="en-US"/>
        </w:rPr>
      </w:pPr>
      <w:r w:rsidRPr="00CF31E0">
        <w:rPr>
          <w:lang w:eastAsia="en-US"/>
        </w:rPr>
        <w:t>The findings from the language attitude study reveal how two distinctive evaluative profiles (</w:t>
      </w:r>
      <w:r w:rsidRPr="00CF31E0">
        <w:rPr>
          <w:i/>
          <w:iCs/>
          <w:lang w:eastAsia="en-US"/>
        </w:rPr>
        <w:t xml:space="preserve">traditional </w:t>
      </w:r>
      <w:r w:rsidRPr="00CF31E0">
        <w:rPr>
          <w:lang w:eastAsia="en-US"/>
        </w:rPr>
        <w:t>and</w:t>
      </w:r>
      <w:r w:rsidRPr="00CF31E0">
        <w:rPr>
          <w:i/>
          <w:iCs/>
          <w:lang w:eastAsia="en-US"/>
        </w:rPr>
        <w:t xml:space="preserve"> serious</w:t>
      </w:r>
      <w:r w:rsidRPr="00CF31E0">
        <w:rPr>
          <w:lang w:eastAsia="en-US"/>
        </w:rPr>
        <w:t xml:space="preserve">; </w:t>
      </w:r>
      <w:r w:rsidRPr="00CF31E0">
        <w:rPr>
          <w:i/>
          <w:iCs/>
          <w:lang w:eastAsia="en-US"/>
        </w:rPr>
        <w:t xml:space="preserve">modern </w:t>
      </w:r>
      <w:r w:rsidRPr="00CF31E0">
        <w:rPr>
          <w:lang w:eastAsia="en-US"/>
        </w:rPr>
        <w:t>and</w:t>
      </w:r>
      <w:r w:rsidRPr="00CF31E0">
        <w:rPr>
          <w:i/>
          <w:iCs/>
          <w:lang w:eastAsia="en-US"/>
        </w:rPr>
        <w:t xml:space="preserve"> similar to other Arabic dialects</w:t>
      </w:r>
      <w:r w:rsidRPr="00CF31E0">
        <w:rPr>
          <w:lang w:eastAsia="en-US"/>
        </w:rPr>
        <w:t xml:space="preserve">) associated with the two dialects confirm a dichotomous dialect situation in Hijaz. Overall, both studies appear to have greatly benefitted from each other as they have made similar contributions to linguistic research on SA in general and Hijaz in particular. </w:t>
      </w:r>
    </w:p>
    <w:p w14:paraId="7C82B991" w14:textId="3D5BC900" w:rsidR="00E87209" w:rsidRPr="00CF31E0" w:rsidRDefault="000B4835" w:rsidP="00603CB7">
      <w:pPr>
        <w:pStyle w:val="Paragraph"/>
        <w:rPr>
          <w:lang w:eastAsia="en-US"/>
        </w:rPr>
        <w:sectPr w:rsidR="00E87209" w:rsidRPr="00CF31E0" w:rsidSect="00603CB7">
          <w:footerReference w:type="even" r:id="rId47"/>
          <w:footerReference w:type="default" r:id="rId48"/>
          <w:pgSz w:w="11900" w:h="16840"/>
          <w:pgMar w:top="1440" w:right="2268" w:bottom="1440" w:left="2268" w:header="708" w:footer="708" w:gutter="0"/>
          <w:cols w:space="708"/>
          <w:docGrid w:linePitch="360"/>
        </w:sectPr>
      </w:pPr>
      <w:r w:rsidRPr="00CF31E0">
        <w:rPr>
          <w:lang w:eastAsia="en-US"/>
        </w:rPr>
        <w:t xml:space="preserve">The findings constitute a considerable contribution to the wider field of language attitude studies. First, the findings confirm that perceptions towards regional varieties are not always affected by social information as revealed in previous studies in the literature </w:t>
      </w:r>
      <w:r w:rsidRPr="00CF31E0">
        <w:rPr>
          <w:lang w:eastAsia="en-US"/>
        </w:rPr>
        <w:fldChar w:fldCharType="begin"/>
      </w:r>
      <w:r w:rsidRPr="00CF31E0">
        <w:rPr>
          <w:lang w:eastAsia="en-US"/>
        </w:rPr>
        <w:instrText xml:space="preserve"> ADDIN ZOTERO_ITEM CSL_CITATION {"citationID":"JO499oPC","properties":{"formattedCitation":"(Hay et al., 2006a; Hay, Jennifer &amp; Drager, Katie, 2010; Niedzielski, 1999)","plainCitation":"(Hay et al., 2006a; Hay, Jennifer &amp; Drager, Katie, 2010; Niedzielski, 1999)","dontUpdate":true,"noteIndex":0},"citationItems":[{"id":345,"uris":["http://zotero.org/users/1939618/items/8WESUNPI"],"uri":["http://zotero.org/users/1939618/items/8WESUNPI"],"itemData":{"id":345,"type":"article-journal","title":"From fush to feesh: Exemplar priming in speech perception","container-title":"The Linguistic Review","page":"351–379","volume":"23","issue":"3","source":"find.shef.ac.uk","abstract":"Niedzielski (1999) reports on an experiment which demonstrates that individuals in Detroit ‘hear’ more Canadian Raising in the speech of a speaker when they think that speaker is Canadian. We describe an experiment designed to follow up on this result in a New Zealand context. Participants listened to a New Zealand English (NZE) speaker reading a list of sentences. Each sentence appeared on the answer-sheet, with a target word underlined. For each sentence, participants were asked to select from a synthesized vowel continuum the token that best matched the target vowel produced by the speaker. Half the participants had an answer-sheet with the word ‘Australian’ written on it, and half had an answer-sheet with ‘New Zealander’ written on it. Participants in the two conditions behaved significantly differently from one another. For example, they were more likely to hear a higher fronter / i / vowel when ‘Australian’ appeared on the answer sheet, and more likely to hear a centralized version when ‘New Zealander’ appeared – a trend which reflects production differences between the two dialects. This is despite the fact that nearly all participants reported that they knew they were listening to a New Zealander. We discuss the implication of these results, and argue that they support exemplar models of speech perception.","DOI":"10.1515/TLR.2006.014","ISSN":"0167-6318","shortTitle":"From fush to feesh","author":[{"family":"Hay","given":"Jennifer"},{"family":"Nolan","given":"Aaron"},{"family":"Drager","given":"Katie"}],"issued":{"literal":"2006a"}},"label":"page"},{"id":291,"uris":["http://zotero.org/users/1939618/items/J2RHJYXU"],"uri":["http://zotero.org/users/1939618/items/J2RHJYXU"],"itemData":{"id":291,"type":"article-journal","title":"Stuffed toys and speech perception : Linguistics","volume":"48","issue":"4","URL":"https://www.degruyter.com/view/j/ling.2010.48.issue-4/ling.2010.027/ling.2010.027.xml","author":[{"literal":"Hay, Jennifer"},{"literal":"Drager, Katie"}],"issued":{"date-parts":[["2010"]]},"accessed":{"date-parts":[["2017",12,28]]}},"label":"page"},{"id":293,"uris":["http://zotero.org/users/1939618/items/IR99WY6K"],"uri":["http://zotero.org/users/1939618/items/IR99WY6K"],"itemData":{"id":293,"type":"article-journal","title":"The effect of social information on the perception of sociolinguistic variables","container-title":"Journal of language and social psychology","page":"62–85","volume":"18","issue":"1","source":"Google Scholar","author":[{"family":"Niedzielski","given":"Nancy"}],"issued":{"date-parts":[["1999"]]}},"label":"page"}],"schema":"https://github.com/citation-style-language/schema/raw/master/csl-citation.json"} </w:instrText>
      </w:r>
      <w:r w:rsidRPr="00CF31E0">
        <w:rPr>
          <w:lang w:eastAsia="en-US"/>
        </w:rPr>
        <w:fldChar w:fldCharType="separate"/>
      </w:r>
      <w:r w:rsidRPr="00CF31E0">
        <w:rPr>
          <w:noProof/>
          <w:lang w:eastAsia="en-US"/>
        </w:rPr>
        <w:t>(</w:t>
      </w:r>
      <w:r w:rsidR="006C48E3" w:rsidRPr="00CF31E0">
        <w:rPr>
          <w:noProof/>
          <w:lang w:eastAsia="en-US"/>
        </w:rPr>
        <w:t xml:space="preserve">Hay &amp; Drager, 2010; </w:t>
      </w:r>
      <w:r w:rsidR="00074CE4" w:rsidRPr="00CF31E0">
        <w:rPr>
          <w:noProof/>
          <w:lang w:eastAsia="en-US"/>
        </w:rPr>
        <w:t>Hay et al., 2006</w:t>
      </w:r>
      <w:r w:rsidRPr="00CF31E0">
        <w:rPr>
          <w:noProof/>
          <w:lang w:eastAsia="en-US"/>
        </w:rPr>
        <w:t>; Niedzielski, 1999)</w:t>
      </w:r>
      <w:r w:rsidRPr="00CF31E0">
        <w:rPr>
          <w:lang w:eastAsia="en-US"/>
        </w:rPr>
        <w:fldChar w:fldCharType="end"/>
      </w:r>
      <w:r w:rsidRPr="00CF31E0">
        <w:rPr>
          <w:lang w:eastAsia="en-US"/>
        </w:rPr>
        <w:t>. The present study revealed that a powerful language ideology that exists in Hijaz ac</w:t>
      </w:r>
      <w:r w:rsidR="00B914A2" w:rsidRPr="00CF31E0">
        <w:rPr>
          <w:lang w:eastAsia="en-US"/>
        </w:rPr>
        <w:t>count</w:t>
      </w:r>
      <w:r w:rsidRPr="00CF31E0">
        <w:rPr>
          <w:lang w:eastAsia="en-US"/>
        </w:rPr>
        <w:t>s for why the two dialects are perceived as distinctive. Second, the findings confirm the importance of indirect measures, as the effects of social factors such as gender and age emerged in the indirect part of the present study (i.e. verbal and matched-guise technique) more frequently than in the direct part (i.e. allocation task).</w:t>
      </w:r>
    </w:p>
    <w:p w14:paraId="1DBEB528" w14:textId="39D0AF7B" w:rsidR="000B4835" w:rsidRPr="00CF31E0" w:rsidRDefault="00B01076" w:rsidP="00003A56">
      <w:pPr>
        <w:pStyle w:val="Title"/>
        <w:rPr>
          <w:rFonts w:eastAsia="Calibri"/>
          <w:color w:val="000000" w:themeColor="text1"/>
          <w:lang w:eastAsia="en-US"/>
        </w:rPr>
      </w:pPr>
      <w:bookmarkStart w:id="1209" w:name="_Toc6472834"/>
      <w:r w:rsidRPr="00CF31E0">
        <w:rPr>
          <w:rFonts w:eastAsia="Calibri"/>
          <w:color w:val="000000" w:themeColor="text1"/>
          <w:lang w:eastAsia="en-US"/>
        </w:rPr>
        <w:lastRenderedPageBreak/>
        <w:t xml:space="preserve">Chapter </w:t>
      </w:r>
      <w:r w:rsidR="00003A56" w:rsidRPr="00CF31E0">
        <w:rPr>
          <w:rFonts w:eastAsia="Calibri"/>
          <w:color w:val="000000" w:themeColor="text1"/>
          <w:lang w:eastAsia="en-US"/>
        </w:rPr>
        <w:t>13</w:t>
      </w:r>
      <w:r w:rsidRPr="00CF31E0">
        <w:rPr>
          <w:rFonts w:eastAsia="Calibri"/>
          <w:color w:val="000000" w:themeColor="text1"/>
          <w:lang w:eastAsia="en-US"/>
        </w:rPr>
        <w:t>: Conclusion</w:t>
      </w:r>
      <w:bookmarkEnd w:id="1209"/>
    </w:p>
    <w:p w14:paraId="4BB9343A" w14:textId="15E8E4E4" w:rsidR="005F5FD3" w:rsidRPr="00CF31E0" w:rsidRDefault="00003A56" w:rsidP="00603CB7">
      <w:pPr>
        <w:pStyle w:val="Ahead"/>
      </w:pPr>
      <w:bookmarkStart w:id="1210" w:name="_Toc6472835"/>
      <w:r w:rsidRPr="00CF31E0">
        <w:t>13.1.</w:t>
      </w:r>
      <w:r w:rsidRPr="00CF31E0">
        <w:tab/>
        <w:t>Introduction</w:t>
      </w:r>
      <w:bookmarkEnd w:id="1210"/>
    </w:p>
    <w:p w14:paraId="20D0EC5F" w14:textId="2AA341CB" w:rsidR="005F5FD3" w:rsidRPr="00CF31E0" w:rsidRDefault="005F5FD3" w:rsidP="00603CB7">
      <w:pPr>
        <w:pStyle w:val="Paragraph"/>
        <w:rPr>
          <w:lang w:val="en-US"/>
        </w:rPr>
      </w:pPr>
      <w:r w:rsidRPr="00CF31E0">
        <w:t xml:space="preserve">This study examined perceptions of Hijazi people towards the dialects in Hijaz and how the powerful ideology of Hijaz has affected their attitudes towards Hijazi dialects. My review of the literature </w:t>
      </w:r>
      <w:r w:rsidR="00916200" w:rsidRPr="00CF31E0">
        <w:t>in</w:t>
      </w:r>
      <w:r w:rsidRPr="00CF31E0">
        <w:t xml:space="preserve"> </w:t>
      </w:r>
      <w:r w:rsidR="00847047" w:rsidRPr="00CF31E0">
        <w:t>C</w:t>
      </w:r>
      <w:r w:rsidRPr="00CF31E0">
        <w:t>hapter</w:t>
      </w:r>
      <w:r w:rsidR="00916200" w:rsidRPr="00CF31E0">
        <w:t>s</w:t>
      </w:r>
      <w:r w:rsidRPr="00CF31E0">
        <w:t xml:space="preserve"> </w:t>
      </w:r>
      <w:r w:rsidR="00003A56" w:rsidRPr="00CF31E0">
        <w:t xml:space="preserve">2 </w:t>
      </w:r>
      <w:r w:rsidRPr="00CF31E0">
        <w:t xml:space="preserve">and </w:t>
      </w:r>
      <w:r w:rsidR="00003A56" w:rsidRPr="00CF31E0">
        <w:t xml:space="preserve">3 </w:t>
      </w:r>
      <w:r w:rsidRPr="00CF31E0">
        <w:t xml:space="preserve">shows that two main factors seem to have affected the language ideology of Hijaz. These comprise a </w:t>
      </w:r>
      <w:r w:rsidRPr="00CF31E0">
        <w:rPr>
          <w:lang w:val="en-US"/>
        </w:rPr>
        <w:t xml:space="preserve">religious factor, related to the Hajj (i.e. pilgrimage) to </w:t>
      </w:r>
      <w:r w:rsidR="00D30B2F">
        <w:rPr>
          <w:lang w:val="en-US"/>
        </w:rPr>
        <w:t>Makkah</w:t>
      </w:r>
      <w:r w:rsidRPr="00CF31E0">
        <w:rPr>
          <w:lang w:val="en-US"/>
        </w:rPr>
        <w:t>, and an economic factor, related to the discovery of oil in Saudi Arabia</w:t>
      </w:r>
      <w:r w:rsidR="00D01077" w:rsidRPr="00CF31E0">
        <w:rPr>
          <w:lang w:val="en-US"/>
        </w:rPr>
        <w:t xml:space="preserve"> (SA)</w:t>
      </w:r>
      <w:r w:rsidRPr="00CF31E0">
        <w:rPr>
          <w:lang w:val="en-US"/>
        </w:rPr>
        <w:t xml:space="preserve">. The empirical evidence from the present research revealed that these two factors continue to be the main powerful dynamics shaping the dichotomous social and linguistic situation in Hijaz, which formulated Hijazi language ideology. The religious factor contributed extensively to encouraging new settlement in Hijaz, with pilgrims from around the Islamic world and throughout history </w:t>
      </w:r>
      <w:r w:rsidR="008235A3" w:rsidRPr="00CF31E0">
        <w:rPr>
          <w:lang w:val="en-US"/>
        </w:rPr>
        <w:t>favoring</w:t>
      </w:r>
      <w:r w:rsidRPr="00CF31E0">
        <w:rPr>
          <w:lang w:val="en-US"/>
        </w:rPr>
        <w:t xml:space="preserve"> overstaying in </w:t>
      </w:r>
      <w:r w:rsidR="00D30B2F">
        <w:rPr>
          <w:lang w:val="en-US"/>
        </w:rPr>
        <w:t>Makkah</w:t>
      </w:r>
      <w:r w:rsidRPr="00CF31E0">
        <w:rPr>
          <w:lang w:val="en-US"/>
        </w:rPr>
        <w:t xml:space="preserve"> for religious and economic reasons </w:t>
      </w:r>
      <w:r w:rsidRPr="00CF31E0">
        <w:rPr>
          <w:lang w:val="en-US"/>
        </w:rPr>
        <w:fldChar w:fldCharType="begin"/>
      </w:r>
      <w:r w:rsidRPr="00CF31E0">
        <w:rPr>
          <w:lang w:val="en-US"/>
        </w:rPr>
        <w:instrText xml:space="preserve"> ADDIN ZOTERO_ITEM CSL_CITATION {"citationID":"swANEz2w","properties":{"formattedCitation":"(Alahmadi, 2016; Nasir Al-Jehani, 1990; Nassir Al-Jehani, 1985; Nahedh, 1989)","plainCitation":"(Alahmadi, 2016; Nasir Al-Jehani, 1990; Nassir Al-Jehani, 1985; Nahedh, 1989)","noteIndex":0},"citationItems":[{"id":470,"uris":["http://zotero.org/users/1939618/items/65KMBJ76"],"uri":["http://zotero.org/users/1939618/items/65KMBJ76"],"itemData":{"id":470,"type":"article-journal","title":"Insight into the Attitudes of Speakers of Urban Meccan Hijazi Arabic towards their Dialect","container-title":"Advances in Language and Literary Studies","page":"249-256","volume":"7","source":"ResearchGate","DOI":"10.7575/aiac.alls.v.7n.2p.249","author":[{"family":"Alahmadi","given":"Sameeha"}],"issued":{"date-parts":[["2016",4,1]]}},"label":"page"},{"id":480,"uris":["http://zotero.org/users/1939618/items/R9E5Q4TA"],"uri":["http://zotero.org/users/1939618/items/R9E5Q4TA"],"itemData":{"id":480,"type":"article-journal","title":"Color Terms in Mecca: A Sociolinguistic Perspective","container-title":"Anthropological Linguistics","page":"163–74","volume":"32","issue":"1-2","source":"find.shef.ac.uk","abstract":"The present study focuses on the variability in color labeling by Meccan speakers of Arabic from different social backgrounds, a subject only marginally considered in the existing literature. Color labeling was found to strongly correlate with the sex, ethnic background, and age of speakers.","ISSN":"0003-5483","shortTitle":"Color Terms in Mecca","language":"English","author":[{"family":"Al-Jehani","given":"Nasir"}],"issued":{"date-parts":[["1990"]]}},"label":"page"},{"id":537,"uris":["http://zotero.org/users/1939618/items/CKTFSSZ4"],"uri":["http://zotero.org/users/1939618/items/CKTFSSZ4"],"itemData":{"id":537,"type":"thesis","title":"SOCIOSTYLISTIC STRATIFICATION OF ARABIC IN MAKKAH","publisher":"University of Michigan","URL":"https://www.researchgate.net/publication/36173456_SOCIOSTYLISTIC_STRATIFICATION_OF_ARABIC_IN_MAKKAH_SOCIOLINGUISTICS_VARIATION_SAUDI_ARABIA","language":"en","author":[{"family":"Al-Jehani","given":"Nassir"}],"issued":{"date-parts":[["1985"]]},"accessed":{"date-parts":[["2018",7,12]]}},"label":"page"},{"id":515,"uris":["http://zotero.org/users/1939618/items/J2X24F6B"],"uri":["http://zotero.org/users/1939618/items/J2X24F6B"],"itemData":{"id":515,"type":"thesis","title":"THE SEDENTARIZATION OF A BEDOUIN COMMUNITY IN SAUDI ARABIA","publisher":"University of Leeds","source":"Zotero","abstract":"This thesis examines the sedentarization of bedouin nomads in Saudi Arabia: partly in general, but mostly focussing on a particular region (Sajir) which was studied in the field.","language":"en","author":[{"family":"Nahedh","given":"Monera"}],"issued":{"date-parts":[["1989"]]}},"label":"page"}],"schema":"https://github.com/citation-style-language/schema/raw/master/csl-citation.json"} </w:instrText>
      </w:r>
      <w:r w:rsidRPr="00CF31E0">
        <w:rPr>
          <w:lang w:val="en-US"/>
        </w:rPr>
        <w:fldChar w:fldCharType="separate"/>
      </w:r>
      <w:r w:rsidRPr="00CF31E0">
        <w:rPr>
          <w:noProof/>
          <w:lang w:val="en-US"/>
        </w:rPr>
        <w:t>(Alahmadi, 2016; Nahedh, 1989; Al-Jehani, 1985, 1990)</w:t>
      </w:r>
      <w:r w:rsidRPr="00CF31E0">
        <w:rPr>
          <w:lang w:val="en-US"/>
        </w:rPr>
        <w:fldChar w:fldCharType="end"/>
      </w:r>
      <w:r w:rsidRPr="00CF31E0">
        <w:rPr>
          <w:lang w:val="en-US"/>
        </w:rPr>
        <w:t xml:space="preserve">. The economic factor is another influential dynamic where it further encouraged even more pilgrims to overstay in Hijaz as the discovery of oil enhanced the available job opportunities. It also encouraged Hijazi </w:t>
      </w:r>
      <w:r w:rsidR="0059652A" w:rsidRPr="00CF31E0">
        <w:rPr>
          <w:lang w:val="en-US"/>
        </w:rPr>
        <w:t>UBH</w:t>
      </w:r>
      <w:r w:rsidRPr="00CF31E0">
        <w:rPr>
          <w:lang w:val="en-US"/>
        </w:rPr>
        <w:t xml:space="preserve">s to settle in urban centres in Hijaz, which led to the coexistence of </w:t>
      </w:r>
      <w:r w:rsidR="0059652A" w:rsidRPr="00CF31E0">
        <w:rPr>
          <w:lang w:val="en-US"/>
        </w:rPr>
        <w:t>UBH</w:t>
      </w:r>
      <w:r w:rsidRPr="00CF31E0">
        <w:rPr>
          <w:lang w:val="en-US"/>
        </w:rPr>
        <w:t xml:space="preserve">s coming from interior Hijaz with the </w:t>
      </w:r>
      <w:r w:rsidR="00FF4DC7" w:rsidRPr="00CF31E0">
        <w:rPr>
          <w:lang w:val="en-US"/>
        </w:rPr>
        <w:t>HH</w:t>
      </w:r>
      <w:r w:rsidRPr="00CF31E0">
        <w:rPr>
          <w:lang w:val="en-US"/>
        </w:rPr>
        <w:t xml:space="preserve"> group (i.e. settlers) coming from around the Islamic world </w:t>
      </w:r>
      <w:r w:rsidRPr="00CF31E0">
        <w:rPr>
          <w:lang w:val="en-US"/>
        </w:rPr>
        <w:fldChar w:fldCharType="begin"/>
      </w:r>
      <w:r w:rsidRPr="00CF31E0">
        <w:rPr>
          <w:lang w:val="en-US"/>
        </w:rPr>
        <w:instrText xml:space="preserve"> ADDIN ZOTERO_ITEM CSL_CITATION {"citationID":"gX9Eprxe","properties":{"formattedCitation":"(Al-Hathloul &amp; Edadan, 1993; Hamdan, 1990; Vassiliev, 2013)","plainCitation":"(Al-Hathloul &amp; Edadan, 1993; Hamdan, 1990; Vassiliev, 2013)","noteIndex":0},"citationItems":[{"id":391,"uris":["http://zotero.org/users/1939618/items/DXRDLSL4"],"uri":["http://zotero.org/users/1939618/items/DXRDLSL4"],"itemData":{"id":391,"type":"article-journal","title":"Evolution of settlement pattern in Saudi Arabia: A historical analysis","container-title":"Habitat International","page":"31–46","volume":"17","issue":"4","source":"find.shef.ac.uk","abstract":"Historical growth of settlements in the Kingdom of Saudi Arabia has been significantly influenced by the ecological and institutional factors. The evolutionary process of settlement growth in the Kingdom could be classified into four distinct stages: the trade and pilgrim routes of the pre-national unification period, the sedentarisation process of the unification period, the oil discovery and extraction period of the early 1960s and the oil boom and development planning period of the 1970s. In spite of the distinct ecological and physical conditions of desert and arid environments and tribal structure of regions, certain notions and processes of historical evolution of settlements and growth dynamics could be generalised. This paper is an attempt to identify the institutional process of evolution and growth of settlements in the Kingdom of Saudi Arabia.","DOI":"10.1016/0197-3975(93)90027-A","ISSN":"0197-3975","shortTitle":"Evolution of settlement pattern in Saudi Arabia","language":"eng","author":[{"family":"Al-Hathloul","given":"Saleh"},{"family":"Edadan","given":"Narayanan"}],"issued":{"date-parts":[["1993"]]}},"label":"page"},{"id":200,"uris":["http://zotero.org/users/1939618/items/N5XRP2MU"],"uri":["http://zotero.org/users/1939618/items/N5XRP2MU"],"itemData":{"id":200,"type":"article-journal","title":"Social change in the Saudi family","source":"Google Scholar","URL":"http://lib.dr.iastate.edu/rtd/11187/","author":[{"family":"Hamdan","given":"Saeed"}],"issued":{"date-parts":[["1990"]]},"accessed":{"date-parts":[["2015",12,6]]}},"label":"page"},{"id":173,"uris":["http://zotero.org/users/1939618/items/6I5BC846"],"uri":["http://zotero.org/users/1939618/items/6I5BC846"],"itemData":{"id":173,"type":"book","title":"The History of Saudi Arabia","publisher":"Saqi","source":"Google Scholar","URL":"https://books.google.co.uk/books?hl=en&amp;lr=&amp;id=lEIhBQAAQBAJ&amp;oi=fnd&amp;pg=PT4&amp;dq=Vassiliev,+A.+(2013).+The+History+of+Saudi+Arabia.+London,+Saqi+books.+&amp;ots=KPwVsHcASb&amp;sig=oVibAvTA79h5vqAaHDXY7YS9H7I","author":[{"family":"Vassiliev","given":"Alexei"}],"issued":{"date-parts":[["2013"]]},"accessed":{"date-parts":[["2015",9,28]]}},"label":"page"}],"schema":"https://github.com/citation-style-language/schema/raw/master/csl-citation.json"} </w:instrText>
      </w:r>
      <w:r w:rsidRPr="00CF31E0">
        <w:rPr>
          <w:lang w:val="en-US"/>
        </w:rPr>
        <w:fldChar w:fldCharType="separate"/>
      </w:r>
      <w:r w:rsidRPr="00CF31E0">
        <w:rPr>
          <w:noProof/>
          <w:lang w:val="en-US"/>
        </w:rPr>
        <w:t>(Al-Hathloul &amp; Edadan, 1993; Hamdan, 1990; Vassiliev, 2000)</w:t>
      </w:r>
      <w:r w:rsidRPr="00CF31E0">
        <w:rPr>
          <w:lang w:val="en-US"/>
        </w:rPr>
        <w:fldChar w:fldCharType="end"/>
      </w:r>
      <w:r w:rsidRPr="00CF31E0">
        <w:rPr>
          <w:lang w:val="en-US"/>
        </w:rPr>
        <w:t xml:space="preserve">. </w:t>
      </w:r>
    </w:p>
    <w:p w14:paraId="36FA4CE5" w14:textId="0F7FCA96" w:rsidR="005F5FD3" w:rsidRPr="00CF31E0" w:rsidRDefault="00003A56" w:rsidP="00603CB7">
      <w:pPr>
        <w:pStyle w:val="Ahead"/>
      </w:pPr>
      <w:bookmarkStart w:id="1211" w:name="_Toc6472836"/>
      <w:r w:rsidRPr="00CF31E0">
        <w:t>13.2.</w:t>
      </w:r>
      <w:r w:rsidRPr="00CF31E0">
        <w:tab/>
      </w:r>
      <w:r w:rsidR="005F5FD3" w:rsidRPr="00CF31E0">
        <w:t>Key findings</w:t>
      </w:r>
      <w:bookmarkEnd w:id="1211"/>
    </w:p>
    <w:p w14:paraId="3B64C469" w14:textId="77777777" w:rsidR="005F5FD3" w:rsidRPr="00CF31E0" w:rsidRDefault="005F5FD3" w:rsidP="00603CB7">
      <w:pPr>
        <w:pStyle w:val="Paragraph"/>
      </w:pPr>
      <w:r w:rsidRPr="00CF31E0">
        <w:t xml:space="preserve">In this section, I will illustrate the major findings in the research. Each key finding will be presented according to its related research question. Then, I will provide a general discussion on the common findings from all research questions through which I will provide a holistic judgment on how frequent patterns that emerged in the findings constitute major findings of the present research. </w:t>
      </w:r>
    </w:p>
    <w:p w14:paraId="723D3FFB" w14:textId="77777777" w:rsidR="005F5FD3" w:rsidRPr="00CF31E0" w:rsidRDefault="005F5FD3" w:rsidP="00603CB7">
      <w:pPr>
        <w:pStyle w:val="Paragraph"/>
      </w:pPr>
      <w:r w:rsidRPr="00CF31E0">
        <w:lastRenderedPageBreak/>
        <w:t xml:space="preserve">The following research questions have been investigated throughout the research: </w:t>
      </w:r>
    </w:p>
    <w:p w14:paraId="32CC67A9" w14:textId="77777777" w:rsidR="005F5FD3" w:rsidRPr="00CF31E0" w:rsidRDefault="005F5FD3" w:rsidP="00603CB7">
      <w:pPr>
        <w:pStyle w:val="Paragraph"/>
        <w:rPr>
          <w:lang w:eastAsia="en-US"/>
        </w:rPr>
      </w:pPr>
      <w:r w:rsidRPr="00CF31E0">
        <w:rPr>
          <w:b/>
          <w:bCs/>
          <w:lang w:eastAsia="en-US"/>
        </w:rPr>
        <w:t>RQ1:</w:t>
      </w:r>
      <w:r w:rsidRPr="00CF31E0">
        <w:rPr>
          <w:lang w:eastAsia="en-US"/>
        </w:rPr>
        <w:t xml:space="preserve"> What do Hijazi people perceive to be occurring linguistically in Hijaz?</w:t>
      </w:r>
    </w:p>
    <w:p w14:paraId="66B19263" w14:textId="77777777" w:rsidR="005F5FD3" w:rsidRPr="00CF31E0" w:rsidRDefault="005F5FD3" w:rsidP="00603CB7">
      <w:pPr>
        <w:pStyle w:val="Paragraph"/>
        <w:rPr>
          <w:lang w:eastAsia="en-US"/>
        </w:rPr>
      </w:pPr>
      <w:r w:rsidRPr="00CF31E0">
        <w:rPr>
          <w:b/>
          <w:bCs/>
          <w:lang w:eastAsia="en-US"/>
        </w:rPr>
        <w:t>RQ2:</w:t>
      </w:r>
      <w:r w:rsidRPr="00CF31E0">
        <w:rPr>
          <w:lang w:eastAsia="en-US"/>
        </w:rPr>
        <w:t xml:space="preserve"> What are the most common characteristics that are associated with the UBH and HH dialects, and what are the conceptual dimensions behind the observed characteristics?</w:t>
      </w:r>
    </w:p>
    <w:p w14:paraId="4549D18E" w14:textId="77777777" w:rsidR="005F5FD3" w:rsidRPr="00CF31E0" w:rsidRDefault="005F5FD3" w:rsidP="00603CB7">
      <w:pPr>
        <w:pStyle w:val="Paragraph"/>
        <w:rPr>
          <w:lang w:eastAsia="en-US"/>
        </w:rPr>
      </w:pPr>
      <w:r w:rsidRPr="00CF31E0">
        <w:rPr>
          <w:b/>
          <w:bCs/>
          <w:lang w:eastAsia="en-US"/>
        </w:rPr>
        <w:t xml:space="preserve">RQ3: </w:t>
      </w:r>
      <w:r w:rsidRPr="00CF31E0">
        <w:rPr>
          <w:lang w:eastAsia="en-US"/>
        </w:rPr>
        <w:t>How do Hijazi people identify UBH and HH dialects? Do they rely on linguistic factors or metalinguistic factors in the identification of dialects?</w:t>
      </w:r>
    </w:p>
    <w:p w14:paraId="2C101CE7" w14:textId="570D7BDA" w:rsidR="005F5FD3" w:rsidRPr="00CF31E0" w:rsidRDefault="005F5FD3" w:rsidP="00603CB7">
      <w:pPr>
        <w:pStyle w:val="Paragraph"/>
      </w:pPr>
      <w:r w:rsidRPr="00CF31E0">
        <w:t xml:space="preserve">In order to answer the three research questions, I adopted an integrated approach where both direct and indirect measures were applied; each served a particular purpose. The main method I used was a questionnaire, which included many sections; each section was designed carefully to answer a research question. </w:t>
      </w:r>
    </w:p>
    <w:p w14:paraId="6FB57E53" w14:textId="77777777" w:rsidR="005F5FD3" w:rsidRPr="00CF31E0" w:rsidRDefault="005F5FD3" w:rsidP="00603CB7">
      <w:pPr>
        <w:pStyle w:val="Paragraph"/>
      </w:pPr>
      <w:r w:rsidRPr="00CF31E0">
        <w:t xml:space="preserve">Key findings from RQ1 indicate that the language ideology of the HH dialect, which represents a modern language ideology, plays a significant role in directing participants towards perceiving the HH dialect as the dominant and referent dialect in the whole Hijaz region. Another key finding suggests a perception of a sharp dichotomous linguistic situation between the UBH dialect and HH dialect, where the two dialects were perceived as different from each other. A similar linguistic situation was perceived between the HH dialect and other Arabic dialects. A further two comparable key findings were revealed at the linguistic and social level between the two dialects. First, at the linguistic level, the UBH speakers were perceived as more likely to embrace the HH dialect in their speech than was the case for HH speakers towards the UBH dialect. Second, at the social level, the HH group were perceived as more likely to accept intermarriage with the UBH group than the UBH group were perceived to accept intermarriage with the HH group. It is interesting how the HH group showed more linguistic conservatism while the UBH group showed more </w:t>
      </w:r>
      <w:r w:rsidRPr="00CF31E0">
        <w:lastRenderedPageBreak/>
        <w:t xml:space="preserve">genealogical conservatism. Previous research has shown that the UBH social group had linguistic conservatism in the past </w:t>
      </w:r>
      <w:r w:rsidRPr="00CF31E0">
        <w:fldChar w:fldCharType="begin"/>
      </w:r>
      <w:r w:rsidRPr="00CF31E0">
        <w:instrText xml:space="preserve"> ADDIN ZOTERO_ITEM CSL_CITATION {"citationID":"B4G1BaE1","properties":{"formattedCitation":"(Al-Hazmy, 1975; El Salman, 2016; Ingham, 1982, 1986)","plainCitation":"(Al-Hazmy, 1975; El Salman, 2016; Ingham, 1982, 1986)","noteIndex":0},"citationItems":[{"id":16,"uris":["http://zotero.org/users/1939618/items/HV4G7JNU"],"uri":["http://zotero.org/users/1939618/items/HV4G7JNU"],"itemData":{"id":16,"type":"thesis","title":"A critical and comparative study of the spoken dialect of the harb tribe in Saudi Arabia","publisher":"University of Leeds","source":"Google Scholar","URL":"http://etheses.whiterose.ac.uk/916/1/uk_bl_ethos_510015.pdf","author":[{"family":"Al-Hazmy","given":"Alayan Mohammed"}],"issued":{"date-parts":[["1975"]]},"accessed":{"date-parts":[["2014",6,4]]}},"label":"page"},{"id":473,"uris":["http://zotero.org/users/1939618/items/5M365W26"],"uri":["http://zotero.org/users/1939618/items/5M365W26"],"itemData":{"id":473,"type":"article-journal","title":"The Linguistic and Social Aspects of the Bedouin Dialect","container-title":"Advances in Language and Literary Studies","page":"20-24","volume":"7","issue":"4","source":"www.journals.aiac.org.au","abstract":"This is a sociolinguistic study that tries to investigate the peculiarity of the Bedouin dialect regardless of the place where it is used. Some variants that are used in their dialect are used wherever they are from. Two sounds in particular were chosen to carry out this study. These are the /ʤ/ variant of the (Q) variable, and the /ts/ variant of the (K) variable. The study shows that some sounds that are known to be exclusively used by Bedouins, are still used by the old Bedouins wherever they live. For example, Old informants from Jordan used the /ts/ variant within the tribe domains, and the old informants from other tribes living in Saudi Arabia used it as well. This is also seen with regard to the /ʤ/ sound.  The /ʤ/ is used also in relatively high percentage in the speech of the old in Jordan and Saudi Arabia. This shows that belonging to the Bedouin group per se, is what matters in determining the sound used regardless of the region to which one belongs. Unlike the rural people who might use the different alternates of the (Q) variable depending on the region to which they belong, for example, [k] is used in some parts of Palestine while [q] is used in other parts like Tirat Haifa village in the northern part of Palestine. Bedouins are consistent in using the [g] variant or the /ʤ/ of the (Q) variable regardless of the area where they live. In other words, the two sounds appear in the dialects of the Bedouins whether they live in Jordan or Saudi Arabia.  This raises the possibility that their sharing the same culture (being Bedouins) leads to their sharing these linguistic features. Part of their culture is belonging to their tribes as they are traditionally divided into tribes. The dialect of the tribe remains important where ever they are.Keywords. Linguistic variation, variant","ISSN":"2203-4714","language":"en-US","author":[{"family":"El Salman","given":"Mahmoud"}],"issued":{"date-parts":[["2016",8,1]]}},"label":"page"},{"id":133,"uris":["http://zotero.org/users/1939618/items/RNWI55AQ"],"uri":["http://zotero.org/users/1939618/items/RNWI55AQ"],"itemData":{"id":133,"type":"article-journal","title":"Notes on the dialect of the Ḍhafr of north-eastern Arabia","container-title":"Bulletin of the School of Oriental and African Studies","page":"245–259","volume":"45","issue":"02","source":"Google Scholar","author":[{"family":"Ingham","given":"Bruce"}],"issued":{"date-parts":[["1982"]]}},"label":"page"},{"id":135,"uris":["http://zotero.org/users/1939618/items/7KBX4XWK"],"uri":["http://zotero.org/users/1939618/items/7KBX4XWK"],"itemData":{"id":135,"type":"article-journal","title":"Notes on the dialect of the Āl Murra of eastern and southern Arabia","container-title":"Bulletin of the School of Oriental and African Studies","page":"271–291","volume":"49","issue":"02","source":"Google Scholar","author":[{"family":"Ingham","given":"Bruce"}],"issued":{"date-parts":[["1986"]]}},"label":"page"}],"schema":"https://github.com/citation-style-language/schema/raw/master/csl-citation.json"} </w:instrText>
      </w:r>
      <w:r w:rsidRPr="00CF31E0">
        <w:fldChar w:fldCharType="separate"/>
      </w:r>
      <w:r w:rsidRPr="00CF31E0">
        <w:rPr>
          <w:noProof/>
        </w:rPr>
        <w:t>(Al-Hazmy, 1975; El Salman, 2016; Ingham, 1982, 1986)</w:t>
      </w:r>
      <w:r w:rsidRPr="00CF31E0">
        <w:fldChar w:fldCharType="end"/>
      </w:r>
      <w:r w:rsidRPr="00CF31E0">
        <w:t>, but the evidence from the present research illustrates how the UBH social group are starting to free their dialect from linguistic conservatism but not from their genealogy. The final key finding explains how the group loyalties of both UBH and HH social groups emerged systematically in the results. Gender effects revealed that the female group were more generous in their ratings than the male group.</w:t>
      </w:r>
    </w:p>
    <w:p w14:paraId="5DA0E544" w14:textId="6FE5B952" w:rsidR="006D3401" w:rsidRPr="00CF31E0" w:rsidRDefault="005F5FD3" w:rsidP="006D3401">
      <w:pPr>
        <w:pStyle w:val="Paragraph"/>
      </w:pPr>
      <w:r w:rsidRPr="00CF31E0">
        <w:t>Major find</w:t>
      </w:r>
      <w:r w:rsidR="00E0624E" w:rsidRPr="00CF31E0">
        <w:t>ings from RQ2</w:t>
      </w:r>
      <w:r w:rsidRPr="00CF31E0">
        <w:t xml:space="preserve"> revealed a dichotomous dimensional model (i.e. traditional and modern dimensions), where each dialect appeared to be associated with one dimension. The UBH dialect was stereotypically associated with the “traditional” dimension, while the HH dialect was stereotypically associated with the “modern” dimension. Another key finding was that UBH participants seemed to be much more linguistically secure than HH participants. </w:t>
      </w:r>
      <w:r w:rsidR="006D3401" w:rsidRPr="00CF31E0">
        <w:t>Finally, for both UBH participants and HH participants there was a noticeable pattern of in-group loyalty</w:t>
      </w:r>
      <w:r w:rsidR="006D3401">
        <w:t xml:space="preserve"> where the strongest perceptions towards the modernity of the HH dialect came from HH participants while </w:t>
      </w:r>
      <w:r w:rsidR="003F06D9">
        <w:t xml:space="preserve">the strongest </w:t>
      </w:r>
      <w:r w:rsidR="006D3401">
        <w:t>perceptions concerning the tradition of the UBH dialect came from UBH participants.</w:t>
      </w:r>
    </w:p>
    <w:p w14:paraId="6D1266F4" w14:textId="04E29ADD" w:rsidR="005F5FD3" w:rsidRPr="00CF31E0" w:rsidRDefault="005F5FD3" w:rsidP="006D3401">
      <w:pPr>
        <w:pStyle w:val="Paragraph"/>
      </w:pPr>
    </w:p>
    <w:p w14:paraId="32D0E4A4" w14:textId="1A8763D4" w:rsidR="005F5FD3" w:rsidRPr="00CF31E0" w:rsidRDefault="005F5FD3" w:rsidP="00603CB7">
      <w:pPr>
        <w:pStyle w:val="Paragraph"/>
      </w:pPr>
      <w:r w:rsidRPr="00CF31E0">
        <w:t>Key find</w:t>
      </w:r>
      <w:r w:rsidR="00E0624E" w:rsidRPr="00CF31E0">
        <w:t>ings from RQ3</w:t>
      </w:r>
      <w:r w:rsidRPr="00CF31E0">
        <w:t xml:space="preserve"> indicate that in the perceptual study participants were more likely to be affected by the linguistic information than the metalinguistic information in the task. The evidence shows that when the surname of the speaker was manipulated, few participants were deceived regarding the original social group of the speaker, while when the dialect of the speaker was manipulated, the majority of participants were deceived.</w:t>
      </w:r>
    </w:p>
    <w:p w14:paraId="3D4F192B" w14:textId="77777777" w:rsidR="005F5FD3" w:rsidRPr="00CF31E0" w:rsidRDefault="005F5FD3" w:rsidP="00603CB7">
      <w:pPr>
        <w:pStyle w:val="Paragraph"/>
      </w:pPr>
      <w:r w:rsidRPr="00CF31E0">
        <w:t xml:space="preserve">Regarding the language attitude study, first, a dichotomous dialect situation was revealed where the UBH dialect was more likely to be associated with “traditional” and “serious” evaluative profiles and the HH dialect was more likely to be rated as “modern” and “similar to other Arabic dialects”. Second, both the UBH and HH social groups seemed to have a high level of in-group loyalty where participants of each social group rated themselves </w:t>
      </w:r>
      <w:r w:rsidRPr="00CF31E0">
        <w:lastRenderedPageBreak/>
        <w:t xml:space="preserve">higher than the other group rated them. Third, the younger age group seemed to be less influenced by the language ideology of the UBH dialect than was the case for the older age groups. Finally, covert stereotypical assumptions were revealed when female participants rated the dialect of the UBH speaker as more traditional and serious than the dialect of HH speakers. In the conceptual part of the study, which addressed RQ2 and used a direct measure, they rated the UBH dialect as more modern. </w:t>
      </w:r>
    </w:p>
    <w:p w14:paraId="7D59A5F8" w14:textId="77777777" w:rsidR="005F5FD3" w:rsidRPr="00CF31E0" w:rsidRDefault="005F5FD3" w:rsidP="00603CB7">
      <w:pPr>
        <w:pStyle w:val="Paragraph"/>
      </w:pPr>
      <w:r w:rsidRPr="00CF31E0">
        <w:t xml:space="preserve">Having summarized key findings from the three research questions, I will turn to providing a holistic judgment of the findings where I will focus on the most frequent patterns in the results. First, a dichotomous dialect situation frequently emerged in the results. The results from RQ1 revealed broad perceptions of the linguistic situation where each social group perceived the dialect of the other social group as different from their own. The results from RQ2 tapped into characteristics that differentiate the dialects from each other: the UBH dialect was described under one thematic dimension, “traditional”, while the HH dialect was described under another thematic dimension, “modern”. Thus, a dichotomous dialect situation was apparent from the dimensions revealed. Finally, the results from RQ3 revealed a very similar dichotomous situation where two distinctive evaluative profiles emerged, each associated with one dialect. </w:t>
      </w:r>
    </w:p>
    <w:p w14:paraId="20E12577" w14:textId="5FCCEC3B" w:rsidR="005F5FD3" w:rsidRPr="00CF31E0" w:rsidRDefault="005F5FD3" w:rsidP="002C5FC1">
      <w:pPr>
        <w:pStyle w:val="Paragraph"/>
      </w:pPr>
      <w:r w:rsidRPr="00CF31E0">
        <w:t xml:space="preserve">Second, both UBH and HH participants showed in-group loyalties where each social group had a tendency to favour the dialect of their own group over that of the other. </w:t>
      </w:r>
      <w:r w:rsidR="002C5FC1">
        <w:t xml:space="preserve">It is important to note that the strength of the perception comes from the group themselves. For example, when looking at the association of the modern and traditional dimensions with the HH and UBH dialects, the results revealed that the HH dialect is associated with the modern dimension and the UBH dialect is associated with the traditional dimension. However, analysis of the social group demographic variables revealed that the strongest perception regarding the modernity of the UBH dialect came from HH participants and the strongest perception regarding the tradition of the UBH dialect came from UBH participants. Furthermore, </w:t>
      </w:r>
      <w:r w:rsidR="002C5FC1" w:rsidRPr="00CF31E0">
        <w:t xml:space="preserve">the HH participants seemed to perceive their dialect as more traditional than </w:t>
      </w:r>
      <w:r w:rsidR="002C5FC1">
        <w:t>was the case for</w:t>
      </w:r>
      <w:r w:rsidR="002C5FC1" w:rsidRPr="00CF31E0">
        <w:t xml:space="preserve"> </w:t>
      </w:r>
      <w:r w:rsidR="002C5FC1">
        <w:t xml:space="preserve">the </w:t>
      </w:r>
      <w:r w:rsidR="002C5FC1" w:rsidRPr="00CF31E0">
        <w:t>UBH participants towards the HH dialect</w:t>
      </w:r>
      <w:r w:rsidR="002C5FC1">
        <w:t xml:space="preserve"> and the UBH </w:t>
      </w:r>
      <w:r w:rsidR="002C5FC1">
        <w:lastRenderedPageBreak/>
        <w:t xml:space="preserve">participants seemed to perceive their dialect as more modern than was the case for the HH participants towards the UBH dialect. </w:t>
      </w:r>
      <w:r w:rsidR="002C5FC1" w:rsidRPr="00CF31E0">
        <w:t xml:space="preserve">The same pattern emerged systematically in the results of </w:t>
      </w:r>
      <w:r w:rsidR="002C5FC1">
        <w:t xml:space="preserve">the </w:t>
      </w:r>
      <w:r w:rsidR="002C5FC1" w:rsidRPr="00CF31E0">
        <w:t xml:space="preserve">social group demographics throughout the thesis. </w:t>
      </w:r>
    </w:p>
    <w:p w14:paraId="256339F1" w14:textId="77777777" w:rsidR="005F5FD3" w:rsidRPr="00CF31E0" w:rsidRDefault="005F5FD3" w:rsidP="00603CB7">
      <w:pPr>
        <w:pStyle w:val="Paragraph"/>
      </w:pPr>
      <w:r w:rsidRPr="00CF31E0">
        <w:t xml:space="preserve">Third, the effects of gender demographics were frequent throughout the results. A pattern associated with female participants was that they were more generous in their ratings than male participants. Most significantly, although females were more generous in their ratings, in the direct approach they provided overt stereotypes while in the indirect approach they provided covert stereotypes. Simply put, when they were questioned directly about their attitudes towards the modernity of the UBH dialect, they rated the dialect as more modern than was the case for the male group, while when they were questioned indirectly about the UBH dialect they rated it as more traditional and serious than was the case for the male group. </w:t>
      </w:r>
    </w:p>
    <w:p w14:paraId="721A95CA" w14:textId="205EFE40" w:rsidR="005F5FD3" w:rsidRPr="00CF31E0" w:rsidRDefault="00003A56" w:rsidP="00603CB7">
      <w:pPr>
        <w:pStyle w:val="Ahead"/>
      </w:pPr>
      <w:bookmarkStart w:id="1212" w:name="_Toc6472837"/>
      <w:r w:rsidRPr="00CF31E0">
        <w:t>13.3.</w:t>
      </w:r>
      <w:r w:rsidRPr="00CF31E0">
        <w:tab/>
      </w:r>
      <w:r w:rsidR="005F5FD3" w:rsidRPr="00CF31E0">
        <w:t>Contributions to knowledge and methodology</w:t>
      </w:r>
      <w:bookmarkEnd w:id="1212"/>
    </w:p>
    <w:p w14:paraId="46CE67B0" w14:textId="77777777" w:rsidR="005F5FD3" w:rsidRPr="00CF31E0" w:rsidRDefault="005F5FD3" w:rsidP="00603CB7">
      <w:pPr>
        <w:pStyle w:val="Paragraph"/>
        <w:rPr>
          <w:lang w:val="en-US"/>
        </w:rPr>
      </w:pPr>
      <w:r w:rsidRPr="00CF31E0">
        <w:rPr>
          <w:lang w:val="en-US"/>
        </w:rPr>
        <w:t xml:space="preserve">The present research has made significant contributions to linguistic theory and practice in SA. First, a major contribution to knowledge is the empirical demonstration of the impacts of Hijazi language ideology on the way in which language is perceived in Hijaz. Information on the social and historical background of the Hijaz region has indicated the presence of dichotomous social and linguistic ideologies in Hijaz </w:t>
      </w:r>
      <w:r w:rsidRPr="00CF31E0">
        <w:rPr>
          <w:lang w:val="en-US"/>
        </w:rPr>
        <w:fldChar w:fldCharType="begin"/>
      </w:r>
      <w:r w:rsidRPr="00CF31E0">
        <w:rPr>
          <w:lang w:val="en-US"/>
        </w:rPr>
        <w:instrText xml:space="preserve"> ADDIN ZOTERO_ITEM CSL_CITATION {"citationID":"MDqsrZ5y","properties":{"formattedCitation":"(Nassir Al-Jehani, 1985; Nahedh, 1989)","plainCitation":"(Nassir Al-Jehani, 1985; Nahedh, 1989)","noteIndex":0},"citationItems":[{"id":537,"uris":["http://zotero.org/users/1939618/items/CKTFSSZ4"],"uri":["http://zotero.org/users/1939618/items/CKTFSSZ4"],"itemData":{"id":537,"type":"thesis","title":"SOCIOSTYLISTIC STRATIFICATION OF ARABIC IN MAKKAH","publisher":"University of Michigan","URL":"https://www.researchgate.net/publication/36173456_SOCIOSTYLISTIC_STRATIFICATION_OF_ARABIC_IN_MAKKAH_SOCIOLINGUISTICS_VARIATION_SAUDI_ARABIA","language":"en","author":[{"family":"Al-Jehani","given":"Nassir"}],"issued":{"date-parts":[["1985"]]},"accessed":{"date-parts":[["2018",7,12]]}},"label":"page"},{"id":515,"uris":["http://zotero.org/users/1939618/items/J2X24F6B"],"uri":["http://zotero.org/users/1939618/items/J2X24F6B"],"itemData":{"id":515,"type":"thesis","title":"THE SEDENTARIZATION OF A BEDOUIN COMMUNITY IN SAUDI ARABIA","publisher":"University of Leeds","source":"Zotero","abstract":"This thesis examines the sedentarization of bedouin nomads in Saudi Arabia: partly in general, but mostly focussing on a particular region (Sajir) which was studied in the field.","language":"en","author":[{"family":"Nahedh","given":"Monera"}],"issued":{"date-parts":[["1989"]]}},"label":"page"}],"schema":"https://github.com/citation-style-language/schema/raw/master/csl-citation.json"} </w:instrText>
      </w:r>
      <w:r w:rsidRPr="00CF31E0">
        <w:rPr>
          <w:lang w:val="en-US"/>
        </w:rPr>
        <w:fldChar w:fldCharType="separate"/>
      </w:r>
      <w:r w:rsidRPr="00CF31E0">
        <w:rPr>
          <w:noProof/>
          <w:lang w:val="en-US"/>
        </w:rPr>
        <w:t>(Nahedh, 1989; Nassir Al-Jehani, 1985)</w:t>
      </w:r>
      <w:r w:rsidRPr="00CF31E0">
        <w:rPr>
          <w:lang w:val="en-US"/>
        </w:rPr>
        <w:fldChar w:fldCharType="end"/>
      </w:r>
      <w:r w:rsidRPr="00CF31E0">
        <w:rPr>
          <w:lang w:val="en-US"/>
        </w:rPr>
        <w:t xml:space="preserve">, though no research to date has tested what these ideologies mean in terms of people’s attitudes to different varieties in Hijaz. Thus, the present research bridges this gap by providing empirical evidence of the way in which the language ideology in Hijaz affected the way in which different varieties are perceived. Throughout the results of the thesis, the language ideology emerged in a structured manner, emerging in a dichotomous pattern between the UBH dialect and HH dialect. </w:t>
      </w:r>
    </w:p>
    <w:p w14:paraId="1FF14CCD" w14:textId="77777777" w:rsidR="005F5FD3" w:rsidRPr="00CF31E0" w:rsidRDefault="005F5FD3" w:rsidP="00603CB7">
      <w:pPr>
        <w:pStyle w:val="Paragraph"/>
      </w:pPr>
      <w:r w:rsidRPr="00CF31E0">
        <w:rPr>
          <w:lang w:val="en-US"/>
        </w:rPr>
        <w:t>Second</w:t>
      </w:r>
      <w:r w:rsidRPr="00CF31E0">
        <w:t xml:space="preserve">, the present research constitutes another contribution to knowledge by providing, to my knowledge, the first detailed account of attitudes towards characteristics of the UBH and HH dialects. It has also presented a </w:t>
      </w:r>
      <w:r w:rsidRPr="00CF31E0">
        <w:lastRenderedPageBreak/>
        <w:t xml:space="preserve">model of the conceptual dimensions behind the observed attitudes, based on statistical analyses reported in Chapter 5. The model revealed a dichotomous system, where the UBH dialect was characterized by a group of characteristics that form the traditional dimension, and the HH dialect was characterized by another group of characteristics that form the modern dimension. Most importantly, the model confirmed that participants’ attitudes were empirically driven by the Hijazi language ideology that appears to operate in a dichotomous structure between the UBH social group and HH social group. Simply put, the modern ideology favours the HH dialect and the traditional ideology favours the UBH dialect. The contribution of these findings </w:t>
      </w:r>
      <w:r w:rsidRPr="00CF31E0">
        <w:rPr>
          <w:rFonts w:eastAsia="SimSun" w:cs="Arial"/>
          <w:szCs w:val="22"/>
          <w:lang w:eastAsia="zh-CN"/>
        </w:rPr>
        <w:t>is that the model with its evaluative profiles presented in the study can be used in further studies of attitudinal concerns about dialects in the region.</w:t>
      </w:r>
      <w:r w:rsidRPr="00CF31E0">
        <w:t xml:space="preserve"> Thus, the conceptual dimensions that have been uncovered will inform theory and practice in the research context. It is important to note that the attitudinal model presented here is the first attempt motivated by the shortage of attitudinal models in Arabic language attitude studies in general and in the context of SA in particular. </w:t>
      </w:r>
    </w:p>
    <w:p w14:paraId="5952C7FC" w14:textId="5B10D0D8" w:rsidR="005F5FD3" w:rsidRPr="00CF31E0" w:rsidRDefault="005F5FD3" w:rsidP="00603CB7">
      <w:pPr>
        <w:pStyle w:val="Paragraph"/>
        <w:rPr>
          <w:lang w:val="en-US"/>
        </w:rPr>
      </w:pPr>
      <w:r w:rsidRPr="00CF31E0">
        <w:rPr>
          <w:lang w:val="en-US"/>
        </w:rPr>
        <w:t>Third, the present study contributes to the area of methodology. To my knowledge, it is one of the first studies to incorporate a perceptual task (i.e. voice allocation) with a distraction technique (i.e. manipulation of linguistic and metalinguistic information) followed by an attitudinal task (i.e. rating task). Many studies have incorporated a perceptual study with a distraction technique (e.g.</w:t>
      </w:r>
      <w:r w:rsidRPr="00CF31E0">
        <w:rPr>
          <w:rFonts w:eastAsia="Calibri" w:cs="Arial"/>
          <w:lang w:eastAsia="en-US"/>
        </w:rPr>
        <w:t xml:space="preserve"> </w:t>
      </w:r>
      <w:r w:rsidRPr="00CF31E0">
        <w:rPr>
          <w:rFonts w:eastAsia="Calibri" w:cs="Arial"/>
          <w:lang w:eastAsia="en-US"/>
        </w:rPr>
        <w:fldChar w:fldCharType="begin"/>
      </w:r>
      <w:r w:rsidRPr="00CF31E0">
        <w:rPr>
          <w:rFonts w:eastAsia="Calibri" w:cs="Arial"/>
          <w:lang w:eastAsia="en-US"/>
        </w:rPr>
        <w:instrText xml:space="preserve"> ADDIN ZOTERO_ITEM CSL_CITATION {"citationID":"JO499oPC","properties":{"formattedCitation":"(Hay et al., 2006a; Hay, Jennifer &amp; Drager, Katie, 2010; Niedzielski, 1999)","plainCitation":"(Hay et al., 2006a; Hay, Jennifer &amp; Drager, Katie, 2010; Niedzielski, 1999)","dontUpdate":true,"noteIndex":0},"citationItems":[{"id":345,"uris":["http://zotero.org/users/1939618/items/8WESUNPI"],"uri":["http://zotero.org/users/1939618/items/8WESUNPI"],"itemData":{"id":345,"type":"article-journal","title":"From fush to feesh: Exemplar priming in speech perception","container-title":"The Linguistic Review","page":"351–379","volume":"23","issue":"3","source":"find.shef.ac.uk","abstract":"Niedzielski (1999) reports on an experiment which demonstrates that individuals in Detroit ‘hear’ more Canadian Raising in the speech of a speaker when they think that speaker is Canadian. We describe an experiment designed to follow up on this result in a New Zealand context. Participants listened to a New Zealand English (NZE) speaker reading a list of sentences. Each sentence appeared on the answer-sheet, with a target word underlined. For each sentence, participants were asked to select from a synthesized vowel continuum the token that best matched the target vowel produced by the speaker. Half the participants had an answer-sheet with the word ‘Australian’ written on it, and half had an answer-sheet with ‘New Zealander’ written on it. Participants in the two conditions behaved significantly differently from one another. For example, they were more likely to hear a higher fronter / i / vowel when ‘Australian’ appeared on the answer sheet, and more likely to hear a centralized version when ‘New Zealander’ appeared – a trend which reflects production differences between the two dialects. This is despite the fact that nearly all participants reported that they knew they were listening to a New Zealander. We discuss the implication of these results, and argue that they support exemplar models of speech perception.","DOI":"10.1515/TLR.2006.014","ISSN":"0167-6318","shortTitle":"From fush to feesh","author":[{"family":"Hay","given":"Jennifer"},{"family":"Nolan","given":"Aaron"},{"family":"Drager","given":"Katie"}],"issued":{"literal":"2006a"}},"label":"page"},{"id":291,"uris":["http://zotero.org/users/1939618/items/J2RHJYXU"],"uri":["http://zotero.org/users/1939618/items/J2RHJYXU"],"itemData":{"id":291,"type":"article-journal","title":"Stuffed toys and speech perception : Linguistics","volume":"48","issue":"4","URL":"https://www.degruyter.com/view/j/ling.2010.48.issue-4/ling.2010.027/ling.2010.027.xml","author":[{"literal":"Hay, Jennifer"},{"literal":"Drager, Katie"}],"issued":{"date-parts":[["2010"]]},"accessed":{"date-parts":[["2017",12,28]]}},"label":"page"},{"id":293,"uris":["http://zotero.org/users/1939618/items/IR99WY6K"],"uri":["http://zotero.org/users/1939618/items/IR99WY6K"],"itemData":{"id":293,"type":"article-journal","title":"The effect of social information on the perception of sociolinguistic variables","container-title":"Journal of language and social psychology","page":"62–85","volume":"18","issue":"1","source":"Google Scholar","author":[{"family":"Niedzielski","given":"Nancy"}],"issued":{"date-parts":[["1999"]]}},"label":"page"}],"schema":"https://github.com/citation-style-language/schema/raw/master/csl-citation.json"} </w:instrText>
      </w:r>
      <w:r w:rsidRPr="00CF31E0">
        <w:rPr>
          <w:rFonts w:eastAsia="Calibri" w:cs="Arial"/>
          <w:lang w:eastAsia="en-US"/>
        </w:rPr>
        <w:fldChar w:fldCharType="separate"/>
      </w:r>
      <w:r w:rsidRPr="00CF31E0">
        <w:rPr>
          <w:rFonts w:eastAsia="Calibri" w:cs="Arial"/>
          <w:noProof/>
          <w:lang w:eastAsia="en-US"/>
        </w:rPr>
        <w:t>Hay &amp; Drager, 2010; Hay et al., 2006; Niedzielski, 1999)</w:t>
      </w:r>
      <w:r w:rsidRPr="00CF31E0">
        <w:rPr>
          <w:rFonts w:eastAsia="Calibri" w:cs="Arial"/>
          <w:lang w:eastAsia="en-US"/>
        </w:rPr>
        <w:fldChar w:fldCharType="end"/>
      </w:r>
      <w:r w:rsidRPr="00CF31E0">
        <w:rPr>
          <w:lang w:val="en-US"/>
        </w:rPr>
        <w:t xml:space="preserve">. Other studies have incorporated a perceptual study with an attitudinal study </w:t>
      </w:r>
      <w:r w:rsidRPr="00CF31E0">
        <w:rPr>
          <w:lang w:val="en-US"/>
        </w:rPr>
        <w:fldChar w:fldCharType="begin"/>
      </w:r>
      <w:r w:rsidRPr="00CF31E0">
        <w:rPr>
          <w:lang w:val="en-US"/>
        </w:rPr>
        <w:instrText xml:space="preserve"> ADDIN ZOTERO_ITEM CSL_CITATION {"citationID":"iSieLwmL","properties":{"formattedCitation":"(Boughton, 2006; Montgomery, 2007; Preston, 1999)","plainCitation":"(Boughton, 2006; Montgomery, 2007; Preston, 1999)","noteIndex":0},"citationItems":[{"id":89,"uris":["http://zotero.org/users/1939618/items/ZM2M6V3W"],"uri":["http://zotero.org/users/1939618/items/ZM2M6V3W"],"itemData":{"id":89,"type":"article-journal","title":"When perception isn't reality: Accent identification and perceptual dialectology in French","container-title":"Journal of French Language Studies","page":"277–304","volume":"16","issue":"03","source":"Google Scholar","shortTitle":"When perception isn't reality","author":[{"family":"Boughton","given":"Zoë"}],"issued":{"date-parts":[["2006"]]}},"label":"page"},{"id":3,"uris":["http://zotero.org/users/1939618/items/IB93562T"],"uri":["http://zotero.org/users/1939618/items/IB93562T"],"itemData":{"id":3,"type":"thesis","title":"Northern English Dialects: A perceptual approach","publisher":"University of Sheffield","genre":"Thesis","source":"etheses.whiterose.ac.uk","abstract":"Perceptual dialectology has the capacity to deliver a great many benefits to the study of language varieties.  It also allows examination of the underlying factors in dialect use such as the ‘beliefs, attitudes and strategies’ (Preston, 1999: xxiii) which make up language users’ reactions to language varieties.  In this way it has the potential to ask questions of identity and explore the reasons for dialect loyalty as well as complementing other research in the field of language variation and change.\n\nUsing a perceptual framework, this research investigates the relationship between the north and south of England and gains access to some of the key concepts which affect informants’ view of this important social, cultural and historical relationship.  Perceptions of salient dialect areas are also assessed using informants from three locations in the north of England via the completion of a draw-a-map task (Preston, 1999: xxxiv).  Many of the factors which impact on the perception of dialect areas are discussed, with phenomena of proximity and cultural salience demonstrating an important role.  An analysis of informants’ reactions to voice samples from across England is also undertaken using methods adapted from the fields of linguistics (Embleton &amp; Wheeler, 1997, Giles &amp; Powesland, 1975, Niedzielski &amp; Preston, 2003) as well perceptual geography (Pocock, 1972).  The link between map-based perception and reaction to voice samples is examined, with interesting conclusions. \n\nFour key research questions are addressed:\n\n1.\tDo respondents have a linguistic ‘cognitive map’ of a north of England, and do respondents recognise there to be internal boundaries within ‘their’ north of England?\n2.\tDoes home-town location of informants affect the perception of dialect area? \n3.\tWhat are informants’ perceptions of the language varieties in the north of England?\n4.\tIs there a relationship between perception and ‘reality’ (production), and can respondents recognise the varieties they have identified?\n\nThese questions will be addressed using the methods described above and the results accounted for through comparison with a wide range of previous studies in the fields of dialectology (Trudgill, 1999, Upton, Sanderson &amp; Widdowson, 1987, Wells, 1982), social and cultural history (Wales, 2006), perceptual dialectology (Long &amp; Preston, 2002), sociolinguistics (Giles &amp; Powesland, 1975) and perceptual geography (Gould &amp; White, 1986).","URL":"http://etheses.whiterose.ac.uk/1203/","shortTitle":"Northern English Dialects","author":[{"family":"Montgomery","given":"Chris"}],"issued":{"date-parts":[["2007",1,16]]},"accessed":{"date-parts":[["2014",9,24]]}},"label":"page"},{"id":240,"uris":["http://zotero.org/users/1939618/items/TF8GPXHH"],"uri":["http://zotero.org/users/1939618/items/TF8GPXHH"],"itemData":{"id":240,"type":"chapter","title":"A language attitude approach to the perception of regional variety","container-title":"Handbook of perceptual dialectology","page":"359–374","volume":"1","source":"Google Scholar","author":[{"family":"Preston","given":"Dennis R."}],"issued":{"date-parts":[["1999"]]}},"label":"page"}],"schema":"https://github.com/citation-style-language/schema/raw/master/csl-citation.json"} </w:instrText>
      </w:r>
      <w:r w:rsidRPr="00CF31E0">
        <w:rPr>
          <w:lang w:val="en-US"/>
        </w:rPr>
        <w:fldChar w:fldCharType="separate"/>
      </w:r>
      <w:r w:rsidRPr="00CF31E0">
        <w:rPr>
          <w:noProof/>
          <w:lang w:val="en-US"/>
        </w:rPr>
        <w:t>(Montgomery, 2007; Preston, 1999</w:t>
      </w:r>
      <w:r w:rsidR="00626E89" w:rsidRPr="00CF31E0">
        <w:rPr>
          <w:noProof/>
          <w:lang w:val="en-US"/>
        </w:rPr>
        <w:t>a</w:t>
      </w:r>
      <w:r w:rsidRPr="00CF31E0">
        <w:rPr>
          <w:noProof/>
          <w:lang w:val="en-US"/>
        </w:rPr>
        <w:t>)</w:t>
      </w:r>
      <w:r w:rsidRPr="00CF31E0">
        <w:rPr>
          <w:lang w:val="en-US"/>
        </w:rPr>
        <w:fldChar w:fldCharType="end"/>
      </w:r>
      <w:r w:rsidRPr="00CF31E0">
        <w:rPr>
          <w:lang w:val="en-US"/>
        </w:rPr>
        <w:t xml:space="preserve">. However, none of the studies incorporated a distraction technique with both attitudinal and perceptual studies. The incorporation of the methods proved successful. It has enriched the body of research on how participants could be distracted regarding the linguistic factors under investigation, and they built their attitudinal perceptions according to their attitudes that were driven by the distraction applied to linguistic factors.  </w:t>
      </w:r>
    </w:p>
    <w:p w14:paraId="36D5B9BA" w14:textId="1919C1AC" w:rsidR="005F5FD3" w:rsidRPr="00CF31E0" w:rsidRDefault="005F5FD3" w:rsidP="00603CB7">
      <w:pPr>
        <w:pStyle w:val="Paragraph"/>
        <w:rPr>
          <w:lang w:val="en-US"/>
        </w:rPr>
      </w:pPr>
      <w:r w:rsidRPr="00CF31E0">
        <w:rPr>
          <w:lang w:val="en-US"/>
        </w:rPr>
        <w:t xml:space="preserve">Fourth, the powerful language ideology of Hijaz contributed significantly to affecting participants’ perceptions towards the voice samples. In other </w:t>
      </w:r>
      <w:r w:rsidRPr="00CF31E0">
        <w:rPr>
          <w:lang w:val="en-US"/>
        </w:rPr>
        <w:lastRenderedPageBreak/>
        <w:t xml:space="preserve">words, the linguistic factors in the study seem to have strongly affected participants’ perceptions more than the metalinguistic factors. This result seems to demonstrate that in this situation the social information is not as important as </w:t>
      </w:r>
      <w:r w:rsidR="00292F96" w:rsidRPr="00CF31E0">
        <w:rPr>
          <w:lang w:val="en-US"/>
        </w:rPr>
        <w:t xml:space="preserve">suggested by </w:t>
      </w:r>
      <w:r w:rsidRPr="00CF31E0">
        <w:rPr>
          <w:lang w:val="en-US"/>
        </w:rPr>
        <w:t xml:space="preserve">other </w:t>
      </w:r>
      <w:r w:rsidR="00292F96" w:rsidRPr="00CF31E0">
        <w:rPr>
          <w:lang w:val="en-US"/>
        </w:rPr>
        <w:t xml:space="preserve">studies </w:t>
      </w:r>
      <w:r w:rsidRPr="00CF31E0">
        <w:rPr>
          <w:lang w:val="en-US"/>
        </w:rPr>
        <w:t>in the literature</w:t>
      </w:r>
      <w:r w:rsidR="00292F96" w:rsidRPr="00CF31E0">
        <w:rPr>
          <w:lang w:val="en-US"/>
        </w:rPr>
        <w:t>,</w:t>
      </w:r>
      <w:r w:rsidRPr="00CF31E0">
        <w:rPr>
          <w:lang w:val="en-US"/>
        </w:rPr>
        <w:t xml:space="preserve"> where social information (i.e. metalinguistic information) was found to affect participants’ perceptions towards dialect allocation </w:t>
      </w:r>
      <w:r w:rsidRPr="00CF31E0">
        <w:rPr>
          <w:rFonts w:eastAsia="Calibri" w:cs="Arial"/>
          <w:lang w:eastAsia="en-US"/>
        </w:rPr>
        <w:fldChar w:fldCharType="begin"/>
      </w:r>
      <w:r w:rsidRPr="00CF31E0">
        <w:rPr>
          <w:rFonts w:eastAsia="Calibri" w:cs="Arial"/>
          <w:lang w:eastAsia="en-US"/>
        </w:rPr>
        <w:instrText xml:space="preserve"> ADDIN ZOTERO_ITEM CSL_CITATION {"citationID":"jaSXRR3j","properties":{"formattedCitation":"(Hay et al., 2006a; Hay, Jennifer &amp; Drager, Katie, 2010; Niedzielski, 1999)","plainCitation":"(Hay et al., 2006a; Hay, Jennifer &amp; Drager, Katie, 2010; Niedzielski, 1999)","dontUpdate":true,"noteIndex":0},"citationItems":[{"id":345,"uris":["http://zotero.org/users/1939618/items/8WESUNPI"],"uri":["http://zotero.org/users/1939618/items/8WESUNPI"],"itemData":{"id":345,"type":"article-journal","title":"From fush to feesh: Exemplar priming in speech perception","container-title":"The Linguistic Review","page":"351–379","volume":"23","issue":"3","source":"find.shef.ac.uk","abstract":"Niedzielski (1999) reports on an experiment which demonstrates that individuals in Detroit ‘hear’ more Canadian Raising in the speech of a speaker when they think that speaker is Canadian. We describe an experiment designed to follow up on this result in a New Zealand context. Participants listened to a New Zealand English (NZE) speaker reading a list of sentences. Each sentence appeared on the answer-sheet, with a target word underlined. For each sentence, participants were asked to select from a synthesized vowel continuum the token that best matched the target vowel produced by the speaker. Half the participants had an answer-sheet with the word ‘Australian’ written on it, and half had an answer-sheet with ‘New Zealander’ written on it. Participants in the two conditions behaved significantly differently from one another. For example, they were more likely to hear a higher fronter / i / vowel when ‘Australian’ appeared on the answer sheet, and more likely to hear a centralized version when ‘New Zealander’ appeared – a trend which reflects production differences between the two dialects. This is despite the fact that nearly all participants reported that they knew they were listening to a New Zealander. We discuss the implication of these results, and argue that they support exemplar models of speech perception.","DOI":"10.1515/TLR.2006.014","ISSN":"0167-6318","shortTitle":"From fush to feesh","author":[{"family":"Hay","given":"Jennifer"},{"family":"Nolan","given":"Aaron"},{"family":"Drager","given":"Katie"}],"issued":{"literal":"2006a"}},"label":"page"},{"id":291,"uris":["http://zotero.org/users/1939618/items/J2RHJYXU"],"uri":["http://zotero.org/users/1939618/items/J2RHJYXU"],"itemData":{"id":291,"type":"article-journal","title":"Stuffed toys and speech perception : Linguistics","volume":"48","issue":"4","URL":"https://www.degruyter.com/view/j/ling.2010.48.issue-4/ling.2010.027/ling.2010.027.xml","author":[{"literal":"Hay, Jennifer"},{"literal":"Drager, Katie"}],"issued":{"date-parts":[["2010"]]},"accessed":{"date-parts":[["2017",12,28]]}},"label":"page"},{"id":293,"uris":["http://zotero.org/users/1939618/items/IR99WY6K"],"uri":["http://zotero.org/users/1939618/items/IR99WY6K"],"itemData":{"id":293,"type":"article-journal","title":"The effect of social information on the perception of sociolinguistic variables","container-title":"Journal of language and social psychology","page":"62–85","volume":"18","issue":"1","source":"Google Scholar","author":[{"family":"Niedzielski","given":"Nancy"}],"issued":{"date-parts":[["1999"]]}},"label":"page"}],"schema":"https://github.com/citation-style-language/schema/raw/master/csl-citation.json"} </w:instrText>
      </w:r>
      <w:r w:rsidRPr="00CF31E0">
        <w:rPr>
          <w:rFonts w:eastAsia="Calibri" w:cs="Arial"/>
          <w:lang w:eastAsia="en-US"/>
        </w:rPr>
        <w:fldChar w:fldCharType="separate"/>
      </w:r>
      <w:r w:rsidRPr="00CF31E0">
        <w:rPr>
          <w:rFonts w:eastAsia="Calibri" w:cs="Arial"/>
          <w:noProof/>
          <w:lang w:eastAsia="en-US"/>
        </w:rPr>
        <w:t>(Hay &amp; Drager, 2010; Hay et al., 2006; Niedzielski, 1999)</w:t>
      </w:r>
      <w:r w:rsidRPr="00CF31E0">
        <w:rPr>
          <w:rFonts w:eastAsia="Calibri" w:cs="Arial"/>
          <w:lang w:eastAsia="en-US"/>
        </w:rPr>
        <w:fldChar w:fldCharType="end"/>
      </w:r>
      <w:r w:rsidRPr="00CF31E0">
        <w:rPr>
          <w:lang w:val="en-US"/>
        </w:rPr>
        <w:t xml:space="preserve">. Notwithstanding that </w:t>
      </w:r>
      <w:r w:rsidRPr="00CF31E0">
        <w:rPr>
          <w:rFonts w:eastAsia="Calibri" w:cs="Arial"/>
          <w:lang w:eastAsia="en-US"/>
        </w:rPr>
        <w:fldChar w:fldCharType="begin"/>
      </w:r>
      <w:r w:rsidRPr="00CF31E0">
        <w:rPr>
          <w:rFonts w:eastAsia="Calibri" w:cs="Arial"/>
          <w:lang w:eastAsia="en-US"/>
        </w:rPr>
        <w:instrText xml:space="preserve"> ADDIN ZOTERO_ITEM CSL_CITATION {"citationID":"jaSXRR3j","properties":{"formattedCitation":"(Hay et al., 2006a; Hay, Jennifer &amp; Drager, Katie, 2010; Niedzielski, 1999)","plainCitation":"(Hay et al., 2006a; Hay, Jennifer &amp; Drager, Katie, 2010; Niedzielski, 1999)","dontUpdate":true,"noteIndex":0},"citationItems":[{"id":345,"uris":["http://zotero.org/users/1939618/items/8WESUNPI"],"uri":["http://zotero.org/users/1939618/items/8WESUNPI"],"itemData":{"id":345,"type":"article-journal","title":"From fush to feesh: Exemplar priming in speech perception","container-title":"The Linguistic Review","page":"351–379","volume":"23","issue":"3","source":"find.shef.ac.uk","abstract":"Niedzielski (1999) reports on an experiment which demonstrates that individuals in Detroit ‘hear’ more Canadian Raising in the speech of a speaker when they think that speaker is Canadian. We describe an experiment designed to follow up on this result in a New Zealand context. Participants listened to a New Zealand English (NZE) speaker reading a list of sentences. Each sentence appeared on the answer-sheet, with a target word underlined. For each sentence, participants were asked to select from a synthesized vowel continuum the token that best matched the target vowel produced by the speaker. Half the participants had an answer-sheet with the word ‘Australian’ written on it, and half had an answer-sheet with ‘New Zealander’ written on it. Participants in the two conditions behaved significantly differently from one another. For example, they were more likely to hear a higher fronter / i / vowel when ‘Australian’ appeared on the answer sheet, and more likely to hear a centralized version when ‘New Zealander’ appeared – a trend which reflects production differences between the two dialects. This is despite the fact that nearly all participants reported that they knew they were listening to a New Zealander. We discuss the implication of these results, and argue that they support exemplar models of speech perception.","DOI":"10.1515/TLR.2006.014","ISSN":"0167-6318","shortTitle":"From fush to feesh","author":[{"family":"Hay","given":"Jennifer"},{"family":"Nolan","given":"Aaron"},{"family":"Drager","given":"Katie"}],"issued":{"literal":"2006a"}},"label":"page"},{"id":291,"uris":["http://zotero.org/users/1939618/items/J2RHJYXU"],"uri":["http://zotero.org/users/1939618/items/J2RHJYXU"],"itemData":{"id":291,"type":"article-journal","title":"Stuffed toys and speech perception : Linguistics","volume":"48","issue":"4","URL":"https://www.degruyter.com/view/j/ling.2010.48.issue-4/ling.2010.027/ling.2010.027.xml","author":[{"literal":"Hay, Jennifer"},{"literal":"Drager, Katie"}],"issued":{"date-parts":[["2010"]]},"accessed":{"date-parts":[["2017",12,28]]}},"label":"page"},{"id":293,"uris":["http://zotero.org/users/1939618/items/IR99WY6K"],"uri":["http://zotero.org/users/1939618/items/IR99WY6K"],"itemData":{"id":293,"type":"article-journal","title":"The effect of social information on the perception of sociolinguistic variables","container-title":"Journal of language and social psychology","page":"62–85","volume":"18","issue":"1","source":"Google Scholar","author":[{"family":"Niedzielski","given":"Nancy"}],"issued":{"date-parts":[["1999"]]}},"label":"page"}],"schema":"https://github.com/citation-style-language/schema/raw/master/csl-citation.json"} </w:instrText>
      </w:r>
      <w:r w:rsidRPr="00CF31E0">
        <w:rPr>
          <w:rFonts w:eastAsia="Calibri" w:cs="Arial"/>
          <w:lang w:eastAsia="en-US"/>
        </w:rPr>
        <w:fldChar w:fldCharType="separate"/>
      </w:r>
      <w:r w:rsidRPr="00CF31E0">
        <w:rPr>
          <w:rFonts w:eastAsia="Calibri" w:cs="Arial"/>
          <w:noProof/>
          <w:lang w:eastAsia="en-US"/>
        </w:rPr>
        <w:t xml:space="preserve">Hay </w:t>
      </w:r>
      <w:r w:rsidR="00292F96" w:rsidRPr="00CF31E0">
        <w:rPr>
          <w:rFonts w:eastAsia="Calibri" w:cs="Arial"/>
          <w:noProof/>
          <w:lang w:eastAsia="en-US"/>
        </w:rPr>
        <w:t xml:space="preserve">and </w:t>
      </w:r>
      <w:r w:rsidRPr="00CF31E0">
        <w:rPr>
          <w:rFonts w:eastAsia="Calibri" w:cs="Arial"/>
          <w:noProof/>
          <w:lang w:eastAsia="en-US"/>
        </w:rPr>
        <w:t>Drager (2010), Hay et al. (2006) and Niedzielski (1999)</w:t>
      </w:r>
      <w:r w:rsidRPr="00CF31E0">
        <w:rPr>
          <w:rFonts w:eastAsia="Calibri" w:cs="Arial"/>
          <w:lang w:eastAsia="en-US"/>
        </w:rPr>
        <w:fldChar w:fldCharType="end"/>
      </w:r>
      <w:r w:rsidRPr="00CF31E0">
        <w:rPr>
          <w:rFonts w:eastAsia="Calibri" w:cs="Arial"/>
          <w:lang w:eastAsia="en-US"/>
        </w:rPr>
        <w:t xml:space="preserve"> used </w:t>
      </w:r>
      <w:r w:rsidR="00916200" w:rsidRPr="00CF31E0">
        <w:rPr>
          <w:rFonts w:eastAsia="Calibri" w:cs="Arial"/>
          <w:lang w:eastAsia="en-US"/>
        </w:rPr>
        <w:t xml:space="preserve">a </w:t>
      </w:r>
      <w:r w:rsidRPr="00CF31E0">
        <w:rPr>
          <w:rFonts w:eastAsia="Calibri" w:cs="Arial"/>
          <w:lang w:eastAsia="en-US"/>
        </w:rPr>
        <w:t xml:space="preserve">different methodological approach </w:t>
      </w:r>
      <w:r w:rsidR="00916200" w:rsidRPr="00CF31E0">
        <w:rPr>
          <w:rFonts w:eastAsia="Calibri" w:cs="Arial"/>
          <w:lang w:eastAsia="en-US"/>
        </w:rPr>
        <w:t>in a</w:t>
      </w:r>
      <w:r w:rsidRPr="00CF31E0">
        <w:rPr>
          <w:rFonts w:eastAsia="Calibri" w:cs="Arial"/>
          <w:lang w:eastAsia="en-US"/>
        </w:rPr>
        <w:t xml:space="preserve"> different context, my research seems to confirm </w:t>
      </w:r>
      <w:r w:rsidRPr="00CF31E0">
        <w:rPr>
          <w:lang w:val="en-US"/>
        </w:rPr>
        <w:t>that participants’ perceptions are</w:t>
      </w:r>
      <w:r w:rsidR="00376401">
        <w:rPr>
          <w:lang w:val="en-US"/>
        </w:rPr>
        <w:t xml:space="preserve"> not</w:t>
      </w:r>
      <w:r w:rsidRPr="00CF31E0">
        <w:rPr>
          <w:lang w:val="en-US"/>
        </w:rPr>
        <w:t xml:space="preserve"> likely to be affected by metalinguistic factors and it confirms that in this particular context, linguistic factors are the driving force behind perceptions of the Hijazi dialect.</w:t>
      </w:r>
    </w:p>
    <w:p w14:paraId="5F1DADB7" w14:textId="4CA34394" w:rsidR="005F5FD3" w:rsidRPr="00CF31E0" w:rsidRDefault="005F5FD3" w:rsidP="00603CB7">
      <w:pPr>
        <w:pStyle w:val="Paragraph"/>
        <w:rPr>
          <w:rFonts w:eastAsia="Calibri" w:cs="Arial"/>
          <w:lang w:eastAsia="en-US"/>
        </w:rPr>
      </w:pPr>
      <w:r w:rsidRPr="00CF31E0">
        <w:rPr>
          <w:lang w:val="en-US"/>
        </w:rPr>
        <w:t xml:space="preserve">The fact that the research context is mainly driven and controlled by UBH and HH language ideology boosts participants’ level of awareness of the distinction between the UBH and HH dialects even if they are exposed to distractions at the metalinguistic level. In other words, </w:t>
      </w:r>
      <w:r w:rsidRPr="00CF31E0">
        <w:rPr>
          <w:rFonts w:eastAsia="Calibri" w:cs="Arial"/>
          <w:lang w:eastAsia="en-US"/>
        </w:rPr>
        <w:t xml:space="preserve">the present study revealed that a powerful language ideology that exists in Hijaz accounts for why the two dialects are perceived as distinctive even if the social information was manipulated in the study. Further evidence to support the contribution comes from the technique applied in VS5, where manipulation was applied to the dialect of the speaker rather than the surname of the speaker. The evidence supports the previous discussion about </w:t>
      </w:r>
      <w:r w:rsidR="00916200" w:rsidRPr="00CF31E0">
        <w:rPr>
          <w:rFonts w:eastAsia="Calibri" w:cs="Arial"/>
          <w:lang w:eastAsia="en-US"/>
        </w:rPr>
        <w:t xml:space="preserve">the </w:t>
      </w:r>
      <w:r w:rsidRPr="00CF31E0">
        <w:rPr>
          <w:rFonts w:eastAsia="Calibri" w:cs="Arial"/>
          <w:lang w:eastAsia="en-US"/>
        </w:rPr>
        <w:t xml:space="preserve">effects of </w:t>
      </w:r>
      <w:r w:rsidR="00916200" w:rsidRPr="00CF31E0">
        <w:rPr>
          <w:rFonts w:eastAsia="Calibri" w:cs="Arial"/>
          <w:lang w:eastAsia="en-US"/>
        </w:rPr>
        <w:t xml:space="preserve">the </w:t>
      </w:r>
      <w:r w:rsidRPr="00CF31E0">
        <w:rPr>
          <w:rFonts w:eastAsia="Calibri" w:cs="Arial"/>
          <w:lang w:eastAsia="en-US"/>
        </w:rPr>
        <w:t xml:space="preserve">Hijaz language ideology on participants’ level of awareness of the distinction between the two dialects as the majority of participants were deceived just because the speaker adopted linguistic features from the other dialect. This implies that perceptions are strongly affected by linguistic information, even if this information is manipulated, rather than social information. </w:t>
      </w:r>
    </w:p>
    <w:p w14:paraId="21B369F5" w14:textId="6F2CFB15" w:rsidR="005F5FD3" w:rsidRPr="00CF31E0" w:rsidRDefault="00003A56" w:rsidP="00603CB7">
      <w:pPr>
        <w:pStyle w:val="Ahead"/>
      </w:pPr>
      <w:bookmarkStart w:id="1213" w:name="_Toc6472838"/>
      <w:r w:rsidRPr="00CF31E0">
        <w:lastRenderedPageBreak/>
        <w:t>13.4.</w:t>
      </w:r>
      <w:r w:rsidRPr="00CF31E0">
        <w:tab/>
      </w:r>
      <w:r w:rsidR="005F5FD3" w:rsidRPr="00CF31E0">
        <w:t>Limitations</w:t>
      </w:r>
      <w:bookmarkEnd w:id="1213"/>
      <w:r w:rsidR="005F5FD3" w:rsidRPr="00CF31E0">
        <w:t xml:space="preserve"> </w:t>
      </w:r>
    </w:p>
    <w:p w14:paraId="7AF49DDD" w14:textId="77777777" w:rsidR="005F5FD3" w:rsidRPr="00CF31E0" w:rsidRDefault="005F5FD3" w:rsidP="00603CB7">
      <w:pPr>
        <w:pStyle w:val="Paragraph"/>
      </w:pPr>
      <w:r w:rsidRPr="00CF31E0">
        <w:t xml:space="preserve">The research has succeeded in achieving its purpose and has contributed to knowledge and methodology in the language attitudes area in general and language attitudes in SA in particular. However, the research encountered a number of potential limitations which should be overcome if the research is going to be replicated either by me or other researchers interested in the field. </w:t>
      </w:r>
    </w:p>
    <w:p w14:paraId="165B6E9C" w14:textId="77777777" w:rsidR="005F5FD3" w:rsidRPr="00CF31E0" w:rsidRDefault="005F5FD3" w:rsidP="00603CB7">
      <w:pPr>
        <w:pStyle w:val="Paragraph"/>
      </w:pPr>
      <w:r w:rsidRPr="00CF31E0">
        <w:t xml:space="preserve">The major limitation I encountered is related to administering the questionnaire in SA while I was doing my PhD in the UK. I had to travel back to SA to conduct the research there in the Easter holiday of 2016. I was only able to stay for 18 days in SA as my children are at school in the UK and had to return to their schools following the Easter holiday. The short length of the trip to SA led to other minor limitations which I did not expect at the time. The minor limitations are related to the selection of voice samples, administering the questionnaire, and the design of the questionnaire.  </w:t>
      </w:r>
    </w:p>
    <w:p w14:paraId="71C649BE" w14:textId="1FFCAAE2" w:rsidR="005F5FD3" w:rsidRPr="00CF31E0" w:rsidRDefault="005F5FD3" w:rsidP="00603CB7">
      <w:pPr>
        <w:pStyle w:val="Paragraph"/>
      </w:pPr>
      <w:r w:rsidRPr="00CF31E0">
        <w:t>Regarding the selection of voice samples, four female speakers and one male speaker were chosen as the most representative samples of the two dialects by the panel (see C</w:t>
      </w:r>
      <w:r w:rsidR="00A83451" w:rsidRPr="00CF31E0">
        <w:t>hapter 5</w:t>
      </w:r>
      <w:r w:rsidR="00EE2B86" w:rsidRPr="00CF31E0">
        <w:t>,</w:t>
      </w:r>
      <w:r w:rsidR="00A83451" w:rsidRPr="00CF31E0">
        <w:t xml:space="preserve"> section 5.5.2.4.1</w:t>
      </w:r>
      <w:r w:rsidRPr="00CF31E0">
        <w:t xml:space="preserve">). If I had more time to stay in SA, I could have balanced the proportion of male and female speakers, as presumably a gender imbalance could evoke different perceptions </w:t>
      </w:r>
      <w:r w:rsidRPr="00CF31E0">
        <w:fldChar w:fldCharType="begin"/>
      </w:r>
      <w:r w:rsidRPr="00CF31E0">
        <w:instrText xml:space="preserve"> ADDIN ZOTERO_ITEM CSL_CITATION {"citationID":"ohp6L8v6","properties":{"formattedCitation":"(Garrett, 2010; N. A. Niedzielski &amp; Preston, 2000)","plainCitation":"(Garrett, 2010; N. A. Niedzielski &amp; Preston, 2000)","noteIndex":0},"citationItems":[{"id":29,"uris":["http://zotero.org/users/1939618/items/NF3PAHT2"],"uri":["http://zotero.org/users/1939618/items/NF3PAHT2"],"itemData":{"id":29,"type":"book","title":"Attitudes to Language","publisher":"Cambridge University Press","number-of-pages":"269","source":"Google Books","abstract":"Just about everyone seems to have views about language. Language attitudes and language ideologies permeate our daily lives. Our competence, intelligence, friendliness, trustworthiness, social status, group memberships, and so on, are often judged from the way we communicate. Even the speed at which we speak can evoke reactions. And we often try to anticipate such judgements as we communicate. In this lively introduction, Peter Garrett draws upon research carried out over recent decades in order to discuss such attitudes and the implications they have for our use of language, for social advantage or discrimination, and for social identity. Using a range of examples that includes punctuation, words, grammar, pronunciation, accents, dialects and languages, this book explores the intricate and fascinating ways in which language influences our everyday thoughts, feelings and behaviour.","ISBN":"978-1-139-48682-8","language":"en","author":[{"family":"Garrett","given":"Peter"}],"issued":{"date-parts":[["2010",4,8]]}},"label":"page"},{"id":231,"uris":["http://zotero.org/users/1939618/items/NTTHZK3P"],"uri":["http://zotero.org/users/1939618/items/NTTHZK3P"],"itemData":{"id":231,"type":"book","title":"Folk linguistics","publisher":"Mouton de Gruyter","publisher-place":"Berlin, New York","source":"Google Scholar","event-place":"Berlin, New York","URL":"https://books.google.co.uk/books?hl=en&amp;lr=&amp;id=sVrddNPE_Y8C&amp;oi=fnd&amp;pg=PR7&amp;dq=folk+linguistics+Nancy+A+Niedzielski,+Dennis+R+Preston+Mouton+de+gruyter&amp;ots=DYVTul7UUM&amp;sig=EJDhHhSIIhdNi0wUGOq8thkEsHQ","author":[{"family":"Niedzielski","given":"Nancy A."},{"family":"Preston","given":"Dennis R."}],"issued":{"date-parts":[["2000"]]},"accessed":{"date-parts":[["2017",5,17]]}},"label":"page"}],"schema":"https://github.com/citation-style-language/schema/raw/master/csl-citation.json"} </w:instrText>
      </w:r>
      <w:r w:rsidRPr="00CF31E0">
        <w:fldChar w:fldCharType="separate"/>
      </w:r>
      <w:r w:rsidRPr="00CF31E0">
        <w:rPr>
          <w:noProof/>
        </w:rPr>
        <w:t>(Garrett, 2</w:t>
      </w:r>
      <w:r w:rsidR="00D946B3" w:rsidRPr="00CF31E0">
        <w:rPr>
          <w:noProof/>
        </w:rPr>
        <w:t>010; Niedzielski &amp; Preston, 2003</w:t>
      </w:r>
      <w:r w:rsidRPr="00CF31E0">
        <w:rPr>
          <w:noProof/>
        </w:rPr>
        <w:t>)</w:t>
      </w:r>
      <w:r w:rsidRPr="00CF31E0">
        <w:fldChar w:fldCharType="end"/>
      </w:r>
      <w:r w:rsidRPr="00CF31E0">
        <w:t>. In other words, a comparable and gender-balanced sample could have been constructed. Thus, I could have ended up with ten voice samples instead of five samples. However, the collection of voice samples had to be accomplished in the first five days from my arrival in SA as the rest of the days were dedicated to administering the questionnaire. Thus, five days were not sufficient to collect more representative voice samples. In C</w:t>
      </w:r>
      <w:r w:rsidR="00973445" w:rsidRPr="00CF31E0">
        <w:t>hapter 12</w:t>
      </w:r>
      <w:r w:rsidR="00EE2B86" w:rsidRPr="00CF31E0">
        <w:t>,</w:t>
      </w:r>
      <w:r w:rsidR="00973445" w:rsidRPr="00CF31E0">
        <w:t xml:space="preserve"> section 12.5</w:t>
      </w:r>
      <w:r w:rsidRPr="00CF31E0">
        <w:t>, I mentioned that the matched</w:t>
      </w:r>
      <w:r w:rsidR="00C86BDA" w:rsidRPr="00CF31E0">
        <w:t>-guise</w:t>
      </w:r>
      <w:r w:rsidRPr="00CF31E0">
        <w:t xml:space="preserve"> technique was less successful than the verbal</w:t>
      </w:r>
      <w:r w:rsidR="005D0894" w:rsidRPr="00CF31E0">
        <w:t>-guise</w:t>
      </w:r>
      <w:r w:rsidRPr="00CF31E0">
        <w:t xml:space="preserve"> technique. However, I cannot make a strong claim about the drawbacks of the technique as it was only carried out using a male speaker. If it was carried out using a female speaker, and a similar conclusion was </w:t>
      </w:r>
      <w:r w:rsidRPr="00CF31E0">
        <w:lastRenderedPageBreak/>
        <w:t>reached, I might be able to generalize and make a strong claim about the drawbacks of the matched</w:t>
      </w:r>
      <w:r w:rsidR="00C86BDA" w:rsidRPr="00CF31E0">
        <w:t>-guise</w:t>
      </w:r>
      <w:r w:rsidRPr="00CF31E0">
        <w:t xml:space="preserve"> technique. </w:t>
      </w:r>
    </w:p>
    <w:p w14:paraId="4E01C7A7" w14:textId="6AA08465" w:rsidR="005F5FD3" w:rsidRPr="00CF31E0" w:rsidRDefault="005F5FD3" w:rsidP="00603CB7">
      <w:pPr>
        <w:pStyle w:val="Paragraph"/>
      </w:pPr>
      <w:r w:rsidRPr="00CF31E0">
        <w:t>As for the administration of the questionnaire, as previously mentioned in C</w:t>
      </w:r>
      <w:r w:rsidR="002834DA" w:rsidRPr="00CF31E0">
        <w:t>hapter 6</w:t>
      </w:r>
      <w:r w:rsidR="00EE2B86" w:rsidRPr="00CF31E0">
        <w:t>,</w:t>
      </w:r>
      <w:r w:rsidR="002834DA" w:rsidRPr="00CF31E0">
        <w:t xml:space="preserve"> section 6.11</w:t>
      </w:r>
      <w:r w:rsidRPr="00CF31E0">
        <w:t xml:space="preserve">, two questionnaire designs were used in the present research: paper-based and online-based. The paper-based questionnaire was carried out in SA, and as SA follows a gender-segregated system in education, visiting the female section was convenient and easy for me to achieve during my short stay in SA. Visiting the male section in SA universities could have been more problematic as I would have needed a male representative to carry out the research on my behalf and I would have needed to do some paperwork that could have taken a couple of weeks to be approved. Thus, if I had more time to stay in SA, then I could have sent a male representative to conduct the research in the male section. The gender imbalance in the paper-based questionnaire was addressed by using an additional online-based questionnaire, but the overall number of female participants still outnumbered the number of males. Females were easy to access in the paper-based and online-based questionnaire but males were accessible only in the online-based questionnaire. </w:t>
      </w:r>
    </w:p>
    <w:p w14:paraId="1D81A246" w14:textId="77777777" w:rsidR="005F5FD3" w:rsidRPr="00CF31E0" w:rsidRDefault="005F5FD3" w:rsidP="00603CB7">
      <w:pPr>
        <w:pStyle w:val="Paragraph"/>
      </w:pPr>
      <w:r w:rsidRPr="00CF31E0">
        <w:t>Regarding the design of the questionnaire, the present research is mainly dependent on quantitative data, though it was originally my intention to collect qualitative data in a follow-up interview which was scheduled to be conducted immediately after participants finished filling in the questionnaire. Only three participants</w:t>
      </w:r>
      <w:r w:rsidRPr="00B9622D">
        <w:rPr>
          <w:rStyle w:val="FootnoteReference"/>
        </w:rPr>
        <w:footnoteReference w:id="16"/>
      </w:r>
      <w:r w:rsidRPr="00CF31E0">
        <w:t xml:space="preserve"> were willing to participate after filling in the questionnaire while many others asked if it would be possible to make a further appointment to conduct the interview. Unfortunately, this was not possible as I needed to go back to the UK earlier than when they were available. Therefore, I could not include the qualitative data in the present research. Thus, if I could replicate the research in the future, I would plan my schedule to make sure that there was sufficient time to conduct the interviews. </w:t>
      </w:r>
    </w:p>
    <w:p w14:paraId="1A020D39" w14:textId="35B1457F" w:rsidR="005F5FD3" w:rsidRPr="00CF31E0" w:rsidRDefault="00003A56" w:rsidP="00603CB7">
      <w:pPr>
        <w:pStyle w:val="Ahead"/>
      </w:pPr>
      <w:bookmarkStart w:id="1214" w:name="_Toc6472839"/>
      <w:r w:rsidRPr="00CF31E0">
        <w:lastRenderedPageBreak/>
        <w:t>13.5.</w:t>
      </w:r>
      <w:r w:rsidRPr="00CF31E0">
        <w:tab/>
      </w:r>
      <w:r w:rsidR="005F5FD3" w:rsidRPr="00CF31E0">
        <w:t>Further research</w:t>
      </w:r>
      <w:bookmarkEnd w:id="1214"/>
    </w:p>
    <w:p w14:paraId="3CBB8629" w14:textId="48005232" w:rsidR="005F5FD3" w:rsidRPr="00CF31E0" w:rsidRDefault="005F5FD3" w:rsidP="005173E9">
      <w:pPr>
        <w:pStyle w:val="Paragraph"/>
      </w:pPr>
      <w:r w:rsidRPr="00CF31E0">
        <w:t>The attitudinal model revealed in the present research would be of great benefit for other researchers interested in investigating language attitudes in the region. However, the model is best applied in a similar context to the research context of western SA. Therefore, I would recommend the same study to be replicated across Arabic-speaking countries as finding an attitudinal model for the Arabic language including all of its dialects would be a valuable asset. The mode</w:t>
      </w:r>
      <w:r w:rsidR="00BB38B5" w:rsidRPr="00CF31E0">
        <w:t xml:space="preserve">l would serve researchers in </w:t>
      </w:r>
      <w:r w:rsidRPr="00CF31E0">
        <w:t xml:space="preserve">Arab countries who are interested in Arabic language attitudes. A similar situation to the rapid urbanization of SA applies to other Arab countries such as Bahrain, Iraq, Kuwait, Libya and UAE where the society rapidly developed after the oil boom in the Middle East </w:t>
      </w:r>
      <w:r w:rsidRPr="00CF31E0">
        <w:fldChar w:fldCharType="begin"/>
      </w:r>
      <w:r w:rsidRPr="00CF31E0">
        <w:instrText xml:space="preserve"> ADDIN ZOTERO_ITEM CSL_CITATION {"citationID":"pSQHQH5A","properties":{"formattedCitation":"(C. Holes, 1995; C. D. Holes, 2011)","plainCitation":"(C. Holes, 1995; C. D. Holes, 2011)","noteIndex":0},"citationItems":[{"id":119,"uris":["http://zotero.org/users/1939618/items/EPSM2THD"],"uri":["http://zotero.org/users/1939618/items/EPSM2THD"],"itemData":{"id":119,"type":"article-journal","title":"Community, dialect and urbanization in the Arabic-speaking Middle East","container-title":"Bulletin of the school of oriental and African studies","page":"270–287","volume":"58","issue":"02","source":"Google Scholar","author":[{"family":"Holes","given":"Clive"}],"issued":{"date-parts":[["1995"]]}},"label":"page"},{"id":152,"uris":["http://zotero.org/users/1939618/items/3ZJ39G3A"],"uri":["http://zotero.org/users/1939618/items/3ZJ39G3A"],"itemData":{"id":152,"type":"article-journal","title":"Language and Identity in the Arabian Gulf","container-title":"Journal of Arabian Studies","page":"129-145","volume":"1","issue":"2","source":"Taylor and Francis+NEJM","abstract":"Since the 1930s when oil was first discovered, but at an ever-increasing pace since the 1970s, enormous changes have occurred in the lifestyle of the people of the Arabian Gulf. These changes have had their most visible impact on the built environment; less obvious, though no less momentous revolutions have also affected family structures, residence patterns and employment. This paper looks at the secondary impact that these changes have had on the linguistic landscape of the Gulf, and how language, as a component of Gulf identity, is changing. The paper focuses on four phenomena: the recession of communal dialects up and down the Gulf in the face of linguistic homogenisation; the fashion for code-switching between Arabic and English; the pidginisation of Gulf Arabic by the large and seemingly semi-permanent population of South Asian workers and South East Asian nannies; and the worry of some Gulf commentators that Arabic is ‘dying’ in this area of Arabia.","DOI":"10.1080/21534764.2011.628492","ISSN":"2153-4764","author":[{"family":"Holes","given":"Clive D."}],"issued":{"date-parts":[["2011",12,1]]}},"label":"page"}],"schema":"https://github.com/citation-style-language/schema/raw/master/csl-citation.json"} </w:instrText>
      </w:r>
      <w:r w:rsidRPr="00CF31E0">
        <w:fldChar w:fldCharType="separate"/>
      </w:r>
      <w:r w:rsidR="005173E9" w:rsidRPr="00CF31E0">
        <w:rPr>
          <w:noProof/>
        </w:rPr>
        <w:t>(Holes, 1995</w:t>
      </w:r>
      <w:r w:rsidRPr="00CF31E0">
        <w:rPr>
          <w:noProof/>
        </w:rPr>
        <w:t>)</w:t>
      </w:r>
      <w:r w:rsidRPr="00CF31E0">
        <w:fldChar w:fldCharType="end"/>
      </w:r>
      <w:r w:rsidRPr="00CF31E0">
        <w:t>. Therefore, I believe that similar dimensions to the ones revealed in the present research might be discovered in wider research which includes all Arab countries, and would have the possibility of revealing further dimensions along with the ones identified in the present study.</w:t>
      </w:r>
    </w:p>
    <w:p w14:paraId="5A5B6318" w14:textId="2DA0C183" w:rsidR="005F5FD3" w:rsidRPr="00CF31E0" w:rsidRDefault="005F5FD3" w:rsidP="00603CB7">
      <w:pPr>
        <w:pStyle w:val="Paragraph"/>
      </w:pPr>
      <w:r w:rsidRPr="00CF31E0">
        <w:t xml:space="preserve">Language attitude methods have the potential power to reveal the direction of language variation and change </w:t>
      </w:r>
      <w:r w:rsidRPr="00CF31E0">
        <w:fldChar w:fldCharType="begin"/>
      </w:r>
      <w:r w:rsidRPr="00CF31E0">
        <w:instrText xml:space="preserve"> ADDIN ZOTERO_ITEM CSL_CITATION {"citationID":"uWDLRAuK","properties":{"formattedCitation":"(Kristiansen, 2009)","plainCitation":"(Kristiansen, 2009)","noteIndex":0},"citationItems":[{"id":482,"uris":["http://zotero.org/users/1939618/items/8I7GNAP9"],"uri":["http://zotero.org/users/1939618/items/8I7GNAP9"],"itemData":{"id":482,"type":"article-journal","title":"The macro-level social meanings of late-modern Danish accents","container-title":"Acta Linguistica Hafniensia","page":"167-192","volume":"41","issue":"1","source":"Taylor and Francis+NEJM","abstract":"The paper reports on the main findings of the LANCHART language attitudes studies. These studies were designed to falsify (or modify) the picture of adolescent language ideology – and its role in language change – that had emerged from previous sociolinguistic studies in Denmark. This picture is formulated as three hypotheses: (1) There are two value systems at two levels of consciousness, (2) Language change is governed by subconscious values, (3) Copenhagen is Denmark's only linguistic norm centre. Following strict guidelines for data collection among 9th graders (aged 15–16) in Copenhagen, Næstved, Vissenbjerg, Odder, and Vinderup we obtained subconsciously offered attitudes that could be compared with consciously offered attitudes. The results neither falsify nor modify the established picture but strongly confirm it.","DOI":"10.1080/03740460903364219","ISSN":"0374-0463","author":[{"family":"Kristiansen","given":"Tore"}],"issued":{"date-parts":[["2009",11,1]]}}}],"schema":"https://github.com/citation-style-language/schema/raw/master/csl-citation.json"} </w:instrText>
      </w:r>
      <w:r w:rsidRPr="00CF31E0">
        <w:fldChar w:fldCharType="separate"/>
      </w:r>
      <w:r w:rsidRPr="00CF31E0">
        <w:rPr>
          <w:noProof/>
        </w:rPr>
        <w:t>(Kristiansen, 2009)</w:t>
      </w:r>
      <w:r w:rsidRPr="00CF31E0">
        <w:fldChar w:fldCharType="end"/>
      </w:r>
      <w:r w:rsidRPr="00CF31E0">
        <w:t>. One of the major findings revealed in the present study indicates that the UBH social group are less conservative towards their dialects than they were in the past, and are more likely to have capacity to change as they were perceived as adopting the HH dialect more frequently in their speech. It is a significant finding though it lacks description of the details of the observed change. As the present study is mainly perceptual, it only focuses on evoking participants’ perceptions and attitudes towards the change; therefore, a future production study on the language variation and change of the UBH dialect would be a valuable asset to sociolinguists interested in the field. I would recommend the study to test the nature of change regarding whether UBH speakers us</w:t>
      </w:r>
      <w:r w:rsidR="00CC31F7">
        <w:t>e</w:t>
      </w:r>
      <w:r w:rsidRPr="00CF31E0">
        <w:t xml:space="preserve"> a mixed dialect or code switching. </w:t>
      </w:r>
    </w:p>
    <w:p w14:paraId="7EF56F40" w14:textId="77777777" w:rsidR="005F5FD3" w:rsidRPr="00CF31E0" w:rsidRDefault="005F5FD3" w:rsidP="005F5FD3">
      <w:pPr>
        <w:spacing w:line="360" w:lineRule="auto"/>
        <w:jc w:val="both"/>
        <w:rPr>
          <w:color w:val="000000" w:themeColor="text1"/>
        </w:rPr>
      </w:pPr>
    </w:p>
    <w:p w14:paraId="28B9E642" w14:textId="77777777" w:rsidR="005F5FD3" w:rsidRPr="00CF31E0" w:rsidRDefault="005F5FD3" w:rsidP="005F5FD3">
      <w:pPr>
        <w:spacing w:line="360" w:lineRule="auto"/>
        <w:jc w:val="both"/>
        <w:rPr>
          <w:color w:val="000000" w:themeColor="text1"/>
        </w:rPr>
      </w:pPr>
    </w:p>
    <w:p w14:paraId="3E18C64C" w14:textId="77777777" w:rsidR="005F5FD3" w:rsidRPr="00CF31E0" w:rsidRDefault="005F5FD3" w:rsidP="00B01076">
      <w:pPr>
        <w:rPr>
          <w:color w:val="000000" w:themeColor="text1"/>
          <w:lang w:eastAsia="en-US"/>
        </w:rPr>
        <w:sectPr w:rsidR="005F5FD3" w:rsidRPr="00CF31E0" w:rsidSect="00603CB7">
          <w:pgSz w:w="11900" w:h="16840"/>
          <w:pgMar w:top="1440" w:right="2268" w:bottom="1440" w:left="2268" w:header="708" w:footer="708" w:gutter="0"/>
          <w:cols w:space="708"/>
          <w:docGrid w:linePitch="360"/>
        </w:sectPr>
      </w:pPr>
    </w:p>
    <w:p w14:paraId="278CA5D3" w14:textId="4C2C32C8" w:rsidR="00B01076" w:rsidRDefault="00B01076" w:rsidP="00E87209">
      <w:pPr>
        <w:pStyle w:val="Title"/>
        <w:rPr>
          <w:color w:val="000000" w:themeColor="text1"/>
          <w:lang w:eastAsia="en-US"/>
        </w:rPr>
      </w:pPr>
      <w:bookmarkStart w:id="1215" w:name="_Toc6472840"/>
      <w:r w:rsidRPr="00CF31E0">
        <w:rPr>
          <w:color w:val="000000" w:themeColor="text1"/>
          <w:lang w:eastAsia="en-US"/>
        </w:rPr>
        <w:lastRenderedPageBreak/>
        <w:t>References</w:t>
      </w:r>
      <w:bookmarkEnd w:id="1215"/>
    </w:p>
    <w:p w14:paraId="44EB45B3" w14:textId="677A4D50" w:rsidR="0040679D" w:rsidRDefault="0040679D" w:rsidP="000E3509">
      <w:pPr>
        <w:spacing w:before="120" w:line="480" w:lineRule="auto"/>
        <w:ind w:left="720" w:hanging="720"/>
        <w:jc w:val="both"/>
        <w:rPr>
          <w:rFonts w:eastAsia="Calibri" w:hAnsi="Calibri Light"/>
          <w:color w:val="000000" w:themeColor="text1"/>
          <w:lang w:eastAsia="en-US"/>
        </w:rPr>
      </w:pPr>
      <w:r w:rsidRPr="0040679D">
        <w:rPr>
          <w:rFonts w:eastAsia="Calibri" w:hAnsi="Calibri Light"/>
          <w:color w:val="000000" w:themeColor="text1"/>
          <w:lang w:eastAsia="en-US"/>
        </w:rPr>
        <w:t xml:space="preserve">Abu-Haidar, F. (1989). Are Iraqi women more prestige conscious than men? Sex differentiation in Baghdadi Arabic. </w:t>
      </w:r>
      <w:r w:rsidRPr="0040679D">
        <w:rPr>
          <w:rFonts w:eastAsia="Calibri" w:hAnsi="Calibri Light"/>
          <w:i/>
          <w:iCs/>
          <w:color w:val="000000" w:themeColor="text1"/>
          <w:lang w:eastAsia="en-US"/>
        </w:rPr>
        <w:t>Language in Society</w:t>
      </w:r>
      <w:r w:rsidRPr="0040679D">
        <w:rPr>
          <w:rFonts w:eastAsia="Calibri" w:hAnsi="Calibri Light"/>
          <w:color w:val="000000" w:themeColor="text1"/>
          <w:lang w:eastAsia="en-US"/>
        </w:rPr>
        <w:t xml:space="preserve">, </w:t>
      </w:r>
      <w:r w:rsidRPr="0040679D">
        <w:rPr>
          <w:rFonts w:eastAsia="Calibri" w:hAnsi="Calibri Light"/>
          <w:i/>
          <w:iCs/>
          <w:color w:val="000000" w:themeColor="text1"/>
          <w:lang w:eastAsia="en-US"/>
        </w:rPr>
        <w:t>18</w:t>
      </w:r>
      <w:r w:rsidRPr="0040679D">
        <w:rPr>
          <w:rFonts w:eastAsia="Calibri" w:hAnsi="Calibri Light"/>
          <w:color w:val="000000" w:themeColor="text1"/>
          <w:lang w:eastAsia="en-US"/>
        </w:rPr>
        <w:t>(4), 471</w:t>
      </w:r>
      <w:r w:rsidRPr="0040679D">
        <w:rPr>
          <w:rFonts w:eastAsia="Calibri" w:hAnsi="Calibri Light"/>
          <w:color w:val="000000" w:themeColor="text1"/>
          <w:lang w:eastAsia="en-US"/>
        </w:rPr>
        <w:t>–</w:t>
      </w:r>
      <w:r w:rsidRPr="0040679D">
        <w:rPr>
          <w:rFonts w:eastAsia="Calibri" w:hAnsi="Calibri Light"/>
          <w:color w:val="000000" w:themeColor="text1"/>
          <w:lang w:eastAsia="en-US"/>
        </w:rPr>
        <w:t xml:space="preserve">481. </w:t>
      </w:r>
    </w:p>
    <w:p w14:paraId="1A0B54B7" w14:textId="10805443" w:rsidR="00C92175" w:rsidRPr="000E3509" w:rsidRDefault="002A15EC" w:rsidP="000E3509">
      <w:pPr>
        <w:spacing w:before="120" w:line="480" w:lineRule="auto"/>
        <w:ind w:left="720" w:hanging="720"/>
        <w:jc w:val="both"/>
        <w:rPr>
          <w:rFonts w:eastAsia="Calibri" w:hAnsi="Calibri Light"/>
          <w:color w:val="000000" w:themeColor="text1"/>
          <w:lang w:eastAsia="en-US"/>
        </w:rPr>
      </w:pPr>
      <w:r w:rsidRPr="00C92175">
        <w:rPr>
          <w:rFonts w:eastAsia="Calibri" w:hAnsi="Calibri Light"/>
          <w:color w:val="000000" w:themeColor="text1"/>
          <w:lang w:eastAsia="en-US"/>
        </w:rPr>
        <w:t xml:space="preserve">Abu Mansour, M. (2011). Meccan Arabic. In </w:t>
      </w:r>
      <w:r w:rsidR="00D0270E" w:rsidRPr="00C92175">
        <w:rPr>
          <w:rFonts w:eastAsia="Calibri" w:hAnsi="Calibri Light"/>
          <w:i/>
          <w:iCs/>
          <w:color w:val="000000" w:themeColor="text1"/>
          <w:lang w:eastAsia="en-US"/>
        </w:rPr>
        <w:t>Encyclopaedia</w:t>
      </w:r>
      <w:r w:rsidRPr="00C92175">
        <w:rPr>
          <w:rFonts w:eastAsia="Calibri" w:hAnsi="Calibri Light"/>
          <w:i/>
          <w:iCs/>
          <w:color w:val="000000" w:themeColor="text1"/>
          <w:lang w:eastAsia="en-US"/>
        </w:rPr>
        <w:t xml:space="preserve"> of Arabic Language and Linguistics</w:t>
      </w:r>
      <w:r w:rsidRPr="00C92175">
        <w:rPr>
          <w:rFonts w:eastAsia="Calibri" w:hAnsi="Calibri Light"/>
          <w:color w:val="000000" w:themeColor="text1"/>
          <w:lang w:eastAsia="en-US"/>
        </w:rPr>
        <w:t xml:space="preserve"> (Vol. 3). Retrieved from https://referenceworks.brillonline.com/entries/encyclopedia-of-arabic-language-and-linguistics/meccan-arabic-EALL_COM_vol3_0208</w:t>
      </w:r>
    </w:p>
    <w:p w14:paraId="4F671016" w14:textId="4E352286" w:rsidR="0040679D" w:rsidRPr="00CF31E0" w:rsidRDefault="00361ECA" w:rsidP="0040679D">
      <w:pPr>
        <w:spacing w:before="120" w:line="480" w:lineRule="auto"/>
        <w:ind w:left="720" w:hanging="720"/>
        <w:jc w:val="both"/>
        <w:rPr>
          <w:rFonts w:eastAsia="Calibri" w:hAnsi="Calibri Light"/>
          <w:color w:val="000000" w:themeColor="text1"/>
          <w:lang w:eastAsia="en-US"/>
        </w:rPr>
      </w:pPr>
      <w:bookmarkStart w:id="1216" w:name="ZOTERO_BREF_RdnE5PhmWSTSGEkte6POI"/>
      <w:r w:rsidRPr="00CF31E0">
        <w:rPr>
          <w:rFonts w:eastAsia="Calibri" w:hAnsi="Calibri Light"/>
          <w:color w:val="000000" w:themeColor="text1"/>
          <w:lang w:eastAsia="en-US"/>
        </w:rPr>
        <w:t>Alahmadi, S. (2015). Loanwords in the Urban Meccan Hijazi dialect: An analysis of lexical variation according to speakers</w:t>
      </w:r>
      <w:r w:rsidRPr="00CF31E0">
        <w:rPr>
          <w:rFonts w:eastAsia="Calibri"/>
          <w:color w:val="000000" w:themeColor="text1"/>
          <w:lang w:eastAsia="en-US"/>
        </w:rPr>
        <w:t>’</w:t>
      </w:r>
      <w:r w:rsidRPr="00CF31E0">
        <w:rPr>
          <w:rFonts w:eastAsia="Calibri" w:hAnsi="Calibri Light"/>
          <w:color w:val="000000" w:themeColor="text1"/>
          <w:lang w:eastAsia="en-US"/>
        </w:rPr>
        <w:t xml:space="preserve"> sex, age and education. </w:t>
      </w:r>
      <w:r w:rsidRPr="00CF31E0">
        <w:rPr>
          <w:rFonts w:eastAsia="Calibri" w:hAnsi="Calibri Light"/>
          <w:i/>
          <w:iCs/>
          <w:color w:val="000000" w:themeColor="text1"/>
          <w:lang w:eastAsia="en-US"/>
        </w:rPr>
        <w:t>International Journal of English Linguistics</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5</w:t>
      </w:r>
      <w:r w:rsidRPr="00CF31E0">
        <w:rPr>
          <w:rFonts w:eastAsia="Calibri" w:hAnsi="Calibri Light"/>
          <w:color w:val="000000" w:themeColor="text1"/>
          <w:lang w:eastAsia="en-US"/>
        </w:rPr>
        <w:t>(6), 34</w:t>
      </w:r>
      <w:r w:rsidRPr="00CF31E0">
        <w:rPr>
          <w:rFonts w:eastAsia="Calibri" w:hAnsi="Calibri Light"/>
          <w:color w:val="000000" w:themeColor="text1"/>
          <w:lang w:eastAsia="en-US"/>
        </w:rPr>
        <w:t>–</w:t>
      </w:r>
      <w:r w:rsidRPr="00CF31E0">
        <w:rPr>
          <w:rFonts w:eastAsia="Calibri" w:hAnsi="Calibri Light"/>
          <w:color w:val="000000" w:themeColor="text1"/>
          <w:lang w:eastAsia="en-US"/>
        </w:rPr>
        <w:t xml:space="preserve">58. </w:t>
      </w:r>
      <w:hyperlink r:id="rId49" w:history="1">
        <w:r w:rsidR="0040679D" w:rsidRPr="005E2263">
          <w:rPr>
            <w:rStyle w:val="Hyperlink"/>
            <w:rFonts w:eastAsia="Calibri" w:hAnsi="Calibri Light"/>
            <w:lang w:eastAsia="en-US"/>
          </w:rPr>
          <w:t>https://doi.org/10.5539/ijel.v5n6p3</w:t>
        </w:r>
      </w:hyperlink>
    </w:p>
    <w:p w14:paraId="6778F620"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Alahmadi, S. (2016). Insight into the attitudes of speakers of Urban Meccan Hijazi Arabic towards their dialect. </w:t>
      </w:r>
      <w:r w:rsidRPr="00CF31E0">
        <w:rPr>
          <w:rFonts w:eastAsia="Calibri" w:hAnsi="Calibri Light"/>
          <w:i/>
          <w:iCs/>
          <w:color w:val="000000" w:themeColor="text1"/>
          <w:lang w:eastAsia="en-US"/>
        </w:rPr>
        <w:t>Advances in Language and Literary Studies</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7</w:t>
      </w:r>
      <w:r w:rsidRPr="00CF31E0">
        <w:rPr>
          <w:rFonts w:eastAsia="Calibri" w:hAnsi="Calibri Light"/>
          <w:color w:val="000000" w:themeColor="text1"/>
          <w:lang w:eastAsia="en-US"/>
        </w:rPr>
        <w:t>(2), 249</w:t>
      </w:r>
      <w:r w:rsidRPr="00CF31E0">
        <w:rPr>
          <w:rFonts w:eastAsia="Calibri" w:hAnsi="Calibri Light"/>
          <w:color w:val="000000" w:themeColor="text1"/>
          <w:lang w:eastAsia="en-US"/>
        </w:rPr>
        <w:t>–</w:t>
      </w:r>
      <w:r w:rsidRPr="00CF31E0">
        <w:rPr>
          <w:rFonts w:eastAsia="Calibri" w:hAnsi="Calibri Light"/>
          <w:color w:val="000000" w:themeColor="text1"/>
          <w:lang w:eastAsia="en-US"/>
        </w:rPr>
        <w:t>256. https://doi.org/10.7575/aiac.alls.v.7n.2p.249</w:t>
      </w:r>
    </w:p>
    <w:p w14:paraId="26872555" w14:textId="55087300" w:rsidR="00361ECA" w:rsidRPr="00CF31E0" w:rsidRDefault="00361ECA" w:rsidP="00302566">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Al-Ansari, A. (1970).</w:t>
      </w:r>
      <w:r w:rsidR="00116BC5">
        <w:rPr>
          <w:rFonts w:eastAsia="Calibri" w:hAnsi="Calibri Light"/>
          <w:color w:val="000000" w:themeColor="text1"/>
          <w:lang w:eastAsia="en-US"/>
        </w:rPr>
        <w:t xml:space="preserve"> Genealogy of city dwellers in Hijaz.</w:t>
      </w:r>
      <w:r w:rsidRPr="00CF31E0">
        <w:rPr>
          <w:rFonts w:eastAsia="Calibri" w:hAnsi="Calibri Light"/>
          <w:color w:val="000000" w:themeColor="text1"/>
          <w:lang w:eastAsia="en-US"/>
        </w:rPr>
        <w:t xml:space="preserve"> </w:t>
      </w:r>
      <w:r w:rsidRPr="00CF31E0">
        <w:rPr>
          <w:rFonts w:eastAsia="Calibri" w:hAnsi="Calibri Light"/>
          <w:i/>
          <w:iCs/>
          <w:color w:val="000000" w:themeColor="text1"/>
          <w:rtl/>
          <w:lang w:eastAsia="en-US"/>
        </w:rPr>
        <w:t>تحفة المحبين والأصحاب فى معرفة ما للمدنيين من الأنساب</w:t>
      </w:r>
      <w:r w:rsidRPr="00CF31E0">
        <w:rPr>
          <w:rFonts w:eastAsia="Calibri" w:hAnsi="Calibri Light"/>
          <w:color w:val="000000" w:themeColor="text1"/>
          <w:lang w:eastAsia="en-US"/>
        </w:rPr>
        <w:t xml:space="preserve">. Tunisia: Almaktaba Al-Atika. </w:t>
      </w:r>
    </w:p>
    <w:p w14:paraId="29B00373" w14:textId="13732A86" w:rsidR="00361ECA" w:rsidRPr="00CF31E0" w:rsidRDefault="00361ECA" w:rsidP="00116BC5">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Al-Azraqi, M. A. (1998). </w:t>
      </w:r>
      <w:r w:rsidRPr="00CF31E0">
        <w:rPr>
          <w:rFonts w:eastAsia="Calibri" w:hAnsi="Calibri Light"/>
          <w:i/>
          <w:iCs/>
          <w:color w:val="000000" w:themeColor="text1"/>
          <w:lang w:eastAsia="en-US"/>
        </w:rPr>
        <w:t xml:space="preserve">Aspects of the syntax of the dialect of Abha (south west Saudi Arabia) </w:t>
      </w:r>
      <w:r w:rsidRPr="00CF31E0">
        <w:rPr>
          <w:rFonts w:eastAsia="Calibri" w:hAnsi="Calibri Light"/>
          <w:color w:val="000000" w:themeColor="text1"/>
          <w:lang w:eastAsia="en-US"/>
        </w:rPr>
        <w:t>(Doctoral dissertation</w:t>
      </w:r>
      <w:r w:rsidR="00116BC5">
        <w:rPr>
          <w:rFonts w:eastAsia="Calibri" w:hAnsi="Calibri Light"/>
          <w:color w:val="000000" w:themeColor="text1"/>
          <w:lang w:eastAsia="en-US"/>
        </w:rPr>
        <w:t xml:space="preserve">). Durham University. Retrieved </w:t>
      </w:r>
      <w:r w:rsidRPr="00CF31E0">
        <w:rPr>
          <w:rFonts w:eastAsia="Calibri" w:hAnsi="Calibri Light"/>
          <w:color w:val="000000" w:themeColor="text1"/>
          <w:lang w:eastAsia="en-US"/>
        </w:rPr>
        <w:t>from http://ethos.bl.uk/OrderDetails.do?uin=uk.bl.ethos.244379</w:t>
      </w:r>
    </w:p>
    <w:p w14:paraId="608116E3"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0E3509">
        <w:rPr>
          <w:rFonts w:eastAsia="Calibri" w:hAnsi="Calibri Light"/>
          <w:color w:val="000000" w:themeColor="text1"/>
          <w:lang w:val="it-IT" w:eastAsia="en-US"/>
        </w:rPr>
        <w:lastRenderedPageBreak/>
        <w:t xml:space="preserve">Al-Bassam, A. M. A. (2012). </w:t>
      </w:r>
      <w:r w:rsidRPr="00CF31E0">
        <w:rPr>
          <w:rFonts w:eastAsia="Calibri" w:hAnsi="Calibri Light"/>
          <w:i/>
          <w:iCs/>
          <w:color w:val="000000" w:themeColor="text1"/>
          <w:lang w:eastAsia="en-US"/>
        </w:rPr>
        <w:t xml:space="preserve">Urbanisation and migration in Saudi Arabia: The case of Buraydah City </w:t>
      </w:r>
      <w:r w:rsidRPr="00CF31E0">
        <w:rPr>
          <w:rFonts w:eastAsia="Calibri" w:hAnsi="Calibri Light"/>
          <w:color w:val="000000" w:themeColor="text1"/>
          <w:lang w:eastAsia="en-US"/>
        </w:rPr>
        <w:t>(Doctoral dissertation). University of Leicester. Retrieved from https://lra.le.ac.uk/handle/2381/10152</w:t>
      </w:r>
    </w:p>
    <w:p w14:paraId="5357E093"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Albatel, A. H. (2005). Population growth and economic development in Saudi Arabia. </w:t>
      </w:r>
      <w:r w:rsidRPr="00CF31E0">
        <w:rPr>
          <w:rFonts w:eastAsia="Calibri" w:hAnsi="Calibri Light"/>
          <w:i/>
          <w:iCs/>
          <w:color w:val="000000" w:themeColor="text1"/>
          <w:lang w:eastAsia="en-US"/>
        </w:rPr>
        <w:t>Scientific Journal of King Faisal University (Humanities and Management Sciences)</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6</w:t>
      </w:r>
      <w:r w:rsidRPr="00CF31E0">
        <w:rPr>
          <w:rFonts w:eastAsia="Calibri" w:hAnsi="Calibri Light"/>
          <w:color w:val="000000" w:themeColor="text1"/>
          <w:lang w:eastAsia="en-US"/>
        </w:rPr>
        <w:t>(2), 1426.</w:t>
      </w:r>
    </w:p>
    <w:p w14:paraId="6D4F46A2"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Albirini, A. (2011). The sociolinguistic functions of codeswitching between Standard Arabic and Dialectal Arabic. </w:t>
      </w:r>
      <w:r w:rsidRPr="00CF31E0">
        <w:rPr>
          <w:rFonts w:eastAsia="Calibri" w:hAnsi="Calibri Light"/>
          <w:i/>
          <w:iCs/>
          <w:color w:val="000000" w:themeColor="text1"/>
          <w:lang w:eastAsia="en-US"/>
        </w:rPr>
        <w:t>Language in Society</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40</w:t>
      </w:r>
      <w:r w:rsidRPr="00CF31E0">
        <w:rPr>
          <w:rFonts w:eastAsia="Calibri" w:hAnsi="Calibri Light"/>
          <w:color w:val="000000" w:themeColor="text1"/>
          <w:lang w:eastAsia="en-US"/>
        </w:rPr>
        <w:t>(5), 537</w:t>
      </w:r>
      <w:r w:rsidRPr="00CF31E0">
        <w:rPr>
          <w:rFonts w:eastAsia="Calibri" w:hAnsi="Calibri Light"/>
          <w:color w:val="000000" w:themeColor="text1"/>
          <w:lang w:eastAsia="en-US"/>
        </w:rPr>
        <w:t>–</w:t>
      </w:r>
      <w:r w:rsidRPr="00CF31E0">
        <w:rPr>
          <w:rFonts w:eastAsia="Calibri" w:hAnsi="Calibri Light"/>
          <w:color w:val="000000" w:themeColor="text1"/>
          <w:lang w:eastAsia="en-US"/>
        </w:rPr>
        <w:t>562. https://doi.org/10.1017/S0047404511000674</w:t>
      </w:r>
    </w:p>
    <w:p w14:paraId="1555AFE3" w14:textId="77777777" w:rsidR="00361ECA" w:rsidRPr="000E3509" w:rsidRDefault="00361ECA" w:rsidP="004F45D7">
      <w:pPr>
        <w:spacing w:before="120" w:line="480" w:lineRule="auto"/>
        <w:ind w:left="720" w:hanging="720"/>
        <w:jc w:val="both"/>
        <w:rPr>
          <w:rFonts w:eastAsia="Calibri" w:hAnsi="Calibri Light"/>
          <w:color w:val="000000" w:themeColor="text1"/>
          <w:lang w:val="it-IT" w:eastAsia="en-US"/>
        </w:rPr>
      </w:pPr>
      <w:r w:rsidRPr="00CF31E0">
        <w:rPr>
          <w:rFonts w:eastAsia="Calibri" w:hAnsi="Calibri Light"/>
          <w:color w:val="000000" w:themeColor="text1"/>
          <w:lang w:eastAsia="en-US"/>
        </w:rPr>
        <w:t xml:space="preserve">Al-Bukhari, M. I. I. (1997). The superiority of Al-Hajj ulmabrur. In T.-D. Al-Hilali, N. Al-Ubaydi, M. H. Nasr, &amp; M. A. Al-Misri (Eds.), M. M. Khan (Trans.), </w:t>
      </w:r>
      <w:r w:rsidRPr="00CF31E0">
        <w:rPr>
          <w:rFonts w:eastAsia="Calibri" w:hAnsi="Calibri Light"/>
          <w:i/>
          <w:iCs/>
          <w:color w:val="000000" w:themeColor="text1"/>
          <w:lang w:eastAsia="en-US"/>
        </w:rPr>
        <w:t xml:space="preserve">The translation of the meanings of Sahih Al-Bukhari </w:t>
      </w:r>
      <w:r w:rsidRPr="00CF31E0">
        <w:rPr>
          <w:rFonts w:eastAsia="Calibri" w:hAnsi="Calibri Light"/>
          <w:i/>
          <w:iCs/>
          <w:color w:val="000000" w:themeColor="text1"/>
          <w:lang w:eastAsia="en-US"/>
        </w:rPr>
        <w:t>–</w:t>
      </w:r>
      <w:r w:rsidRPr="00CF31E0">
        <w:rPr>
          <w:rFonts w:eastAsia="Calibri" w:hAnsi="Calibri Light"/>
          <w:i/>
          <w:iCs/>
          <w:color w:val="000000" w:themeColor="text1"/>
          <w:lang w:eastAsia="en-US"/>
        </w:rPr>
        <w:t xml:space="preserve"> Arabic-English</w:t>
      </w:r>
      <w:r w:rsidRPr="00CF31E0">
        <w:rPr>
          <w:rFonts w:eastAsia="Calibri" w:hAnsi="Calibri Light"/>
          <w:color w:val="000000" w:themeColor="text1"/>
          <w:lang w:eastAsia="en-US"/>
        </w:rPr>
        <w:t xml:space="preserve"> (Vol. 2, pp. 345</w:t>
      </w:r>
      <w:r w:rsidRPr="00CF31E0">
        <w:rPr>
          <w:rFonts w:eastAsia="Calibri" w:hAnsi="Calibri Light"/>
          <w:color w:val="000000" w:themeColor="text1"/>
          <w:lang w:eastAsia="en-US"/>
        </w:rPr>
        <w:t>–</w:t>
      </w:r>
      <w:r w:rsidRPr="00CF31E0">
        <w:rPr>
          <w:rFonts w:eastAsia="Calibri" w:hAnsi="Calibri Light"/>
          <w:color w:val="000000" w:themeColor="text1"/>
          <w:lang w:eastAsia="en-US"/>
        </w:rPr>
        <w:t xml:space="preserve">346). </w:t>
      </w:r>
      <w:r w:rsidRPr="000E3509">
        <w:rPr>
          <w:rFonts w:eastAsia="Calibri" w:hAnsi="Calibri Light"/>
          <w:color w:val="000000" w:themeColor="text1"/>
          <w:lang w:val="it-IT" w:eastAsia="en-US"/>
        </w:rPr>
        <w:t>Riyadh, Saudi Arabia: Darussalam.</w:t>
      </w:r>
    </w:p>
    <w:p w14:paraId="134954AF"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0E3509">
        <w:rPr>
          <w:rFonts w:eastAsia="Calibri" w:hAnsi="Calibri Light"/>
          <w:color w:val="000000" w:themeColor="text1"/>
          <w:lang w:val="it-IT" w:eastAsia="en-US"/>
        </w:rPr>
        <w:t>Al-But</w:t>
      </w:r>
      <w:r w:rsidRPr="000E3509">
        <w:rPr>
          <w:rFonts w:asciiTheme="majorBidi" w:eastAsia="Calibri" w:hAnsiTheme="majorBidi" w:cstheme="majorBidi"/>
          <w:color w:val="000000" w:themeColor="text1"/>
          <w:lang w:val="it-IT" w:eastAsia="en-US"/>
        </w:rPr>
        <w:t>’</w:t>
      </w:r>
      <w:r w:rsidRPr="000E3509">
        <w:rPr>
          <w:rFonts w:eastAsia="Calibri" w:hAnsi="Calibri Light"/>
          <w:color w:val="000000" w:themeColor="text1"/>
          <w:lang w:val="it-IT" w:eastAsia="en-US"/>
        </w:rPr>
        <w:t xml:space="preserve">hie, I. M., &amp; Saleh, M. A. (2002). </w:t>
      </w:r>
      <w:r w:rsidRPr="00CF31E0">
        <w:rPr>
          <w:rFonts w:eastAsia="Calibri" w:hAnsi="Calibri Light"/>
          <w:color w:val="000000" w:themeColor="text1"/>
          <w:lang w:eastAsia="en-US"/>
        </w:rPr>
        <w:t xml:space="preserve">Urban and industrial development planning as an approach for Saudi Arabia: The case study of Jubail and Yanbu. </w:t>
      </w:r>
      <w:r w:rsidRPr="00CF31E0">
        <w:rPr>
          <w:rFonts w:eastAsia="Calibri" w:hAnsi="Calibri Light"/>
          <w:i/>
          <w:iCs/>
          <w:color w:val="000000" w:themeColor="text1"/>
          <w:lang w:eastAsia="en-US"/>
        </w:rPr>
        <w:t>Habitat International</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26</w:t>
      </w:r>
      <w:r w:rsidRPr="00CF31E0">
        <w:rPr>
          <w:rFonts w:eastAsia="Calibri" w:hAnsi="Calibri Light"/>
          <w:color w:val="000000" w:themeColor="text1"/>
          <w:lang w:eastAsia="en-US"/>
        </w:rPr>
        <w:t>(1), 1</w:t>
      </w:r>
      <w:r w:rsidRPr="00CF31E0">
        <w:rPr>
          <w:rFonts w:eastAsia="Calibri" w:hAnsi="Calibri Light"/>
          <w:color w:val="000000" w:themeColor="text1"/>
          <w:lang w:eastAsia="en-US"/>
        </w:rPr>
        <w:t>–</w:t>
      </w:r>
      <w:r w:rsidRPr="00CF31E0">
        <w:rPr>
          <w:rFonts w:eastAsia="Calibri" w:hAnsi="Calibri Light"/>
          <w:color w:val="000000" w:themeColor="text1"/>
          <w:lang w:eastAsia="en-US"/>
        </w:rPr>
        <w:t>20. https://doi.org/10.1016/S0197-3975(01)00026-1</w:t>
      </w:r>
    </w:p>
    <w:p w14:paraId="7F428068"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Al-Farsy, F. (1990). </w:t>
      </w:r>
      <w:r w:rsidRPr="00CF31E0">
        <w:rPr>
          <w:rFonts w:eastAsia="Calibri" w:hAnsi="Calibri Light"/>
          <w:i/>
          <w:iCs/>
          <w:color w:val="000000" w:themeColor="text1"/>
          <w:lang w:eastAsia="en-US"/>
        </w:rPr>
        <w:t>Modernity and tradition: The Saudi equation</w:t>
      </w:r>
      <w:r w:rsidRPr="00CF31E0">
        <w:rPr>
          <w:rFonts w:eastAsia="Calibri" w:hAnsi="Calibri Light"/>
          <w:color w:val="000000" w:themeColor="text1"/>
          <w:lang w:eastAsia="en-US"/>
        </w:rPr>
        <w:t>. London, England; New York, NY: Routledge.</w:t>
      </w:r>
    </w:p>
    <w:p w14:paraId="354516E2"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Al-Gabbani, M. (2009). </w:t>
      </w:r>
      <w:r w:rsidRPr="00CF31E0">
        <w:rPr>
          <w:rFonts w:eastAsia="Calibri" w:hAnsi="Calibri Light"/>
          <w:i/>
          <w:iCs/>
          <w:color w:val="000000" w:themeColor="text1"/>
          <w:lang w:eastAsia="en-US"/>
        </w:rPr>
        <w:t>Socio-economic impacts of foreign population on Saudi cities</w:t>
      </w:r>
      <w:r w:rsidRPr="00CF31E0">
        <w:rPr>
          <w:rFonts w:eastAsia="Calibri" w:hAnsi="Calibri Light"/>
          <w:color w:val="000000" w:themeColor="text1"/>
          <w:lang w:eastAsia="en-US"/>
        </w:rPr>
        <w:t>. Paper presented at the Fifth Biennial Population Geographies Conference, Dartmouth College, USA, August 2009.</w:t>
      </w:r>
    </w:p>
    <w:p w14:paraId="368BB4BE"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lastRenderedPageBreak/>
        <w:t xml:space="preserve">Alghamdi, M. M. (1998). A spectrographic analysis of Arabic vowels: A cross-dialect study. </w:t>
      </w:r>
      <w:r w:rsidRPr="00CF31E0">
        <w:rPr>
          <w:rFonts w:eastAsia="Calibri" w:hAnsi="Calibri Light"/>
          <w:i/>
          <w:iCs/>
          <w:color w:val="000000" w:themeColor="text1"/>
          <w:lang w:eastAsia="en-US"/>
        </w:rPr>
        <w:t>Journal of King Saud University</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10</w:t>
      </w:r>
      <w:r w:rsidRPr="00CF31E0">
        <w:rPr>
          <w:rFonts w:eastAsia="Calibri" w:hAnsi="Calibri Light"/>
          <w:color w:val="000000" w:themeColor="text1"/>
          <w:lang w:eastAsia="en-US"/>
        </w:rPr>
        <w:t>(1), 3</w:t>
      </w:r>
      <w:r w:rsidRPr="00CF31E0">
        <w:rPr>
          <w:rFonts w:eastAsia="Calibri" w:hAnsi="Calibri Light"/>
          <w:color w:val="000000" w:themeColor="text1"/>
          <w:lang w:eastAsia="en-US"/>
        </w:rPr>
        <w:t>–</w:t>
      </w:r>
      <w:r w:rsidRPr="00CF31E0">
        <w:rPr>
          <w:rFonts w:eastAsia="Calibri" w:hAnsi="Calibri Light"/>
          <w:color w:val="000000" w:themeColor="text1"/>
          <w:lang w:eastAsia="en-US"/>
        </w:rPr>
        <w:t>24.</w:t>
      </w:r>
    </w:p>
    <w:p w14:paraId="28A1B24B"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Al-Hathloul, S., &amp; Aslam Mughal, M. (1999). Creating identity in new communities: Case studies from Saudi Arabia. </w:t>
      </w:r>
      <w:r w:rsidRPr="00CF31E0">
        <w:rPr>
          <w:rFonts w:eastAsia="Calibri" w:hAnsi="Calibri Light"/>
          <w:i/>
          <w:iCs/>
          <w:color w:val="000000" w:themeColor="text1"/>
          <w:lang w:eastAsia="en-US"/>
        </w:rPr>
        <w:t>Landscape and Urban Planning</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44</w:t>
      </w:r>
      <w:r w:rsidRPr="00CF31E0">
        <w:rPr>
          <w:rFonts w:eastAsia="Calibri" w:hAnsi="Calibri Light"/>
          <w:color w:val="000000" w:themeColor="text1"/>
          <w:lang w:eastAsia="en-US"/>
        </w:rPr>
        <w:t>(4), 199</w:t>
      </w:r>
      <w:r w:rsidRPr="00CF31E0">
        <w:rPr>
          <w:rFonts w:eastAsia="Calibri" w:hAnsi="Calibri Light"/>
          <w:color w:val="000000" w:themeColor="text1"/>
          <w:lang w:eastAsia="en-US"/>
        </w:rPr>
        <w:t>–</w:t>
      </w:r>
      <w:r w:rsidRPr="00CF31E0">
        <w:rPr>
          <w:rFonts w:eastAsia="Calibri" w:hAnsi="Calibri Light"/>
          <w:color w:val="000000" w:themeColor="text1"/>
          <w:lang w:eastAsia="en-US"/>
        </w:rPr>
        <w:t>218. https://doi.org/10.1016/S0169-2046(99)00010-9</w:t>
      </w:r>
    </w:p>
    <w:p w14:paraId="5E41B5D8" w14:textId="77777777" w:rsidR="00361ECA" w:rsidRPr="000E3509" w:rsidRDefault="00361ECA" w:rsidP="004F45D7">
      <w:pPr>
        <w:spacing w:before="120" w:line="480" w:lineRule="auto"/>
        <w:ind w:left="720" w:hanging="720"/>
        <w:jc w:val="both"/>
        <w:rPr>
          <w:rFonts w:eastAsia="Calibri" w:hAnsi="Calibri Light"/>
          <w:color w:val="000000" w:themeColor="text1"/>
          <w:lang w:val="fr-FR" w:eastAsia="en-US"/>
        </w:rPr>
      </w:pPr>
      <w:r w:rsidRPr="00CF31E0">
        <w:rPr>
          <w:rFonts w:eastAsia="Calibri" w:hAnsi="Calibri Light"/>
          <w:color w:val="000000" w:themeColor="text1"/>
          <w:lang w:eastAsia="en-US"/>
        </w:rPr>
        <w:t xml:space="preserve">Al-Hathloul, S., &amp; Edadan, N. (1993). Evolution of settlement pattern in Saudi Arabia: A historical analysis. </w:t>
      </w:r>
      <w:r w:rsidRPr="000E3509">
        <w:rPr>
          <w:rFonts w:eastAsia="Calibri" w:hAnsi="Calibri Light"/>
          <w:i/>
          <w:iCs/>
          <w:color w:val="000000" w:themeColor="text1"/>
          <w:lang w:val="fr-FR" w:eastAsia="en-US"/>
        </w:rPr>
        <w:t>Habitat International</w:t>
      </w:r>
      <w:r w:rsidRPr="000E3509">
        <w:rPr>
          <w:rFonts w:eastAsia="Calibri" w:hAnsi="Calibri Light"/>
          <w:color w:val="000000" w:themeColor="text1"/>
          <w:lang w:val="fr-FR" w:eastAsia="en-US"/>
        </w:rPr>
        <w:t xml:space="preserve">, </w:t>
      </w:r>
      <w:r w:rsidRPr="000E3509">
        <w:rPr>
          <w:rFonts w:eastAsia="Calibri" w:hAnsi="Calibri Light"/>
          <w:i/>
          <w:iCs/>
          <w:color w:val="000000" w:themeColor="text1"/>
          <w:lang w:val="fr-FR" w:eastAsia="en-US"/>
        </w:rPr>
        <w:t>17</w:t>
      </w:r>
      <w:r w:rsidRPr="000E3509">
        <w:rPr>
          <w:rFonts w:eastAsia="Calibri" w:hAnsi="Calibri Light"/>
          <w:color w:val="000000" w:themeColor="text1"/>
          <w:lang w:val="fr-FR" w:eastAsia="en-US"/>
        </w:rPr>
        <w:t>(4), 31</w:t>
      </w:r>
      <w:r w:rsidRPr="000E3509">
        <w:rPr>
          <w:rFonts w:eastAsia="Calibri" w:hAnsi="Calibri Light"/>
          <w:color w:val="000000" w:themeColor="text1"/>
          <w:lang w:val="fr-FR" w:eastAsia="en-US"/>
        </w:rPr>
        <w:t>–</w:t>
      </w:r>
      <w:r w:rsidRPr="000E3509">
        <w:rPr>
          <w:rFonts w:eastAsia="Calibri" w:hAnsi="Calibri Light"/>
          <w:color w:val="000000" w:themeColor="text1"/>
          <w:lang w:val="fr-FR" w:eastAsia="en-US"/>
        </w:rPr>
        <w:t>46. https://doi.org/10.1016/0197-3975(93)90027-A</w:t>
      </w:r>
    </w:p>
    <w:p w14:paraId="19EA0E11"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0E3509">
        <w:rPr>
          <w:rFonts w:eastAsia="Calibri" w:hAnsi="Calibri Light"/>
          <w:color w:val="000000" w:themeColor="text1"/>
          <w:lang w:val="fr-FR" w:eastAsia="en-US"/>
        </w:rPr>
        <w:t xml:space="preserve">Al-Hathloul, S., &amp; Mughal, M. A. (2004). </w:t>
      </w:r>
      <w:r w:rsidRPr="00CF31E0">
        <w:rPr>
          <w:rFonts w:eastAsia="Calibri" w:hAnsi="Calibri Light"/>
          <w:color w:val="000000" w:themeColor="text1"/>
          <w:lang w:eastAsia="en-US"/>
        </w:rPr>
        <w:t xml:space="preserve">Urban growth management-the Saudi experience. </w:t>
      </w:r>
      <w:r w:rsidRPr="00CF31E0">
        <w:rPr>
          <w:rFonts w:eastAsia="Calibri" w:hAnsi="Calibri Light"/>
          <w:i/>
          <w:iCs/>
          <w:color w:val="000000" w:themeColor="text1"/>
          <w:lang w:eastAsia="en-US"/>
        </w:rPr>
        <w:t>Habitat International</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28</w:t>
      </w:r>
      <w:r w:rsidRPr="00CF31E0">
        <w:rPr>
          <w:rFonts w:eastAsia="Calibri" w:hAnsi="Calibri Light"/>
          <w:color w:val="000000" w:themeColor="text1"/>
          <w:lang w:eastAsia="en-US"/>
        </w:rPr>
        <w:t>(4), 609</w:t>
      </w:r>
      <w:r w:rsidRPr="00CF31E0">
        <w:rPr>
          <w:rFonts w:eastAsia="Calibri" w:hAnsi="Calibri Light"/>
          <w:color w:val="000000" w:themeColor="text1"/>
          <w:lang w:eastAsia="en-US"/>
        </w:rPr>
        <w:t>–</w:t>
      </w:r>
      <w:r w:rsidRPr="00CF31E0">
        <w:rPr>
          <w:rFonts w:eastAsia="Calibri" w:hAnsi="Calibri Light"/>
          <w:color w:val="000000" w:themeColor="text1"/>
          <w:lang w:eastAsia="en-US"/>
        </w:rPr>
        <w:t>623. https://doi.org/10.1016/j.habitatint.2003.10.009</w:t>
      </w:r>
    </w:p>
    <w:p w14:paraId="432A598C"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Alhazmi, L. (2017). A perceptual dialect map of Western Saudi Arabia. </w:t>
      </w:r>
      <w:r w:rsidRPr="00CF31E0">
        <w:rPr>
          <w:rFonts w:eastAsia="Calibri" w:hAnsi="Calibri Light"/>
          <w:i/>
          <w:iCs/>
          <w:color w:val="000000" w:themeColor="text1"/>
          <w:lang w:eastAsia="en-US"/>
        </w:rPr>
        <w:t>WRoCAH</w:t>
      </w:r>
      <w:r w:rsidRPr="00CF31E0">
        <w:rPr>
          <w:rFonts w:eastAsia="Calibri" w:hAnsi="Calibri Light"/>
          <w:color w:val="000000" w:themeColor="text1"/>
          <w:lang w:eastAsia="en-US"/>
        </w:rPr>
        <w:t>, (3), 2</w:t>
      </w:r>
      <w:r w:rsidRPr="00CF31E0">
        <w:rPr>
          <w:rFonts w:eastAsia="Calibri" w:hAnsi="Calibri Light"/>
          <w:color w:val="000000" w:themeColor="text1"/>
          <w:lang w:eastAsia="en-US"/>
        </w:rPr>
        <w:t>–</w:t>
      </w:r>
      <w:r w:rsidRPr="00CF31E0">
        <w:rPr>
          <w:rFonts w:eastAsia="Calibri" w:hAnsi="Calibri Light"/>
          <w:color w:val="000000" w:themeColor="text1"/>
          <w:lang w:eastAsia="en-US"/>
        </w:rPr>
        <w:t>16.</w:t>
      </w:r>
    </w:p>
    <w:p w14:paraId="4ABA329D"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Al-Hazmy, A. M. (1975). </w:t>
      </w:r>
      <w:r w:rsidRPr="00CF31E0">
        <w:rPr>
          <w:rFonts w:eastAsia="Calibri" w:hAnsi="Calibri Light"/>
          <w:i/>
          <w:iCs/>
          <w:color w:val="000000" w:themeColor="text1"/>
          <w:lang w:eastAsia="en-US"/>
        </w:rPr>
        <w:t xml:space="preserve">A critical and comparative study of the spoken dialect of the harb tribe in Saudi Arabia </w:t>
      </w:r>
      <w:r w:rsidRPr="00CF31E0">
        <w:rPr>
          <w:rFonts w:eastAsia="Calibri" w:hAnsi="Calibri Light"/>
          <w:color w:val="000000" w:themeColor="text1"/>
          <w:lang w:eastAsia="en-US"/>
        </w:rPr>
        <w:t>(Doctoral dissertation). University of Leeds. Retrieved from http://etheses.whiterose.ac.uk/916/1/uk_bl_ethos_510015.pdf</w:t>
      </w:r>
    </w:p>
    <w:p w14:paraId="64349A4F" w14:textId="77777777" w:rsidR="00361ECA" w:rsidRPr="00CF31E0" w:rsidRDefault="00361ECA" w:rsidP="004F45D7">
      <w:pPr>
        <w:spacing w:before="120" w:line="480" w:lineRule="auto"/>
        <w:ind w:left="720" w:hanging="720"/>
        <w:jc w:val="both"/>
        <w:rPr>
          <w:rFonts w:eastAsia="Calibri" w:cs="Arial"/>
          <w:color w:val="000000" w:themeColor="text1"/>
          <w:lang w:eastAsia="en-US"/>
        </w:rPr>
      </w:pPr>
      <w:r w:rsidRPr="00CF31E0">
        <w:rPr>
          <w:rFonts w:eastAsia="Calibri" w:hAnsi="Calibri Light"/>
          <w:color w:val="000000" w:themeColor="text1"/>
          <w:lang w:eastAsia="en-US"/>
        </w:rPr>
        <w:t xml:space="preserve">Al-Jehani, N. (1985). </w:t>
      </w:r>
      <w:r w:rsidRPr="00CF31E0">
        <w:rPr>
          <w:rFonts w:eastAsia="Calibri" w:hAnsi="Calibri Light"/>
          <w:i/>
          <w:iCs/>
          <w:color w:val="000000" w:themeColor="text1"/>
          <w:lang w:eastAsia="en-US"/>
        </w:rPr>
        <w:t xml:space="preserve">Sociostylistic stratification of Arabic in Makkah </w:t>
      </w:r>
      <w:r w:rsidRPr="00CF31E0">
        <w:rPr>
          <w:rFonts w:eastAsia="Calibri" w:hAnsi="Calibri Light"/>
          <w:color w:val="000000" w:themeColor="text1"/>
          <w:lang w:eastAsia="en-US"/>
        </w:rPr>
        <w:t xml:space="preserve">(Doctoral dissertation). University of Michigan. Retrieved from </w:t>
      </w:r>
      <w:hyperlink r:id="rId50" w:history="1">
        <w:r w:rsidRPr="00CF31E0">
          <w:rPr>
            <w:rFonts w:eastAsia="Calibri" w:cs="Arial"/>
            <w:color w:val="000000" w:themeColor="text1"/>
            <w:lang w:eastAsia="en-US"/>
          </w:rPr>
          <w:t>https://www.researchgate.net/publication/</w:t>
        </w:r>
      </w:hyperlink>
      <w:r w:rsidRPr="00CF31E0">
        <w:rPr>
          <w:rFonts w:eastAsia="Calibri" w:cs="Arial"/>
          <w:color w:val="000000" w:themeColor="text1"/>
          <w:lang w:eastAsia="en-US"/>
        </w:rPr>
        <w:t xml:space="preserve"> </w:t>
      </w:r>
    </w:p>
    <w:p w14:paraId="5110AA68" w14:textId="21B0940E"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Al-Jehani, N. (1990). </w:t>
      </w:r>
      <w:r w:rsidR="008235A3" w:rsidRPr="00CF31E0">
        <w:rPr>
          <w:rFonts w:eastAsia="Calibri" w:hAnsi="Calibri Light"/>
          <w:color w:val="000000" w:themeColor="text1"/>
          <w:lang w:eastAsia="en-US"/>
        </w:rPr>
        <w:t>Colour</w:t>
      </w:r>
      <w:r w:rsidRPr="00CF31E0">
        <w:rPr>
          <w:rFonts w:eastAsia="Calibri" w:hAnsi="Calibri Light"/>
          <w:color w:val="000000" w:themeColor="text1"/>
          <w:lang w:eastAsia="en-US"/>
        </w:rPr>
        <w:t xml:space="preserve"> terms in Mecca: A sociolinguistic perspective. </w:t>
      </w:r>
      <w:r w:rsidRPr="00CF31E0">
        <w:rPr>
          <w:rFonts w:eastAsia="Calibri" w:hAnsi="Calibri Light"/>
          <w:i/>
          <w:iCs/>
          <w:color w:val="000000" w:themeColor="text1"/>
          <w:lang w:eastAsia="en-US"/>
        </w:rPr>
        <w:t>Anthropological Linguistics</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32</w:t>
      </w:r>
      <w:r w:rsidRPr="00CF31E0">
        <w:rPr>
          <w:rFonts w:eastAsia="Calibri" w:hAnsi="Calibri Light"/>
          <w:color w:val="000000" w:themeColor="text1"/>
          <w:lang w:eastAsia="en-US"/>
        </w:rPr>
        <w:t>(1</w:t>
      </w:r>
      <w:r w:rsidRPr="00CF31E0">
        <w:rPr>
          <w:rFonts w:eastAsia="Calibri" w:hAnsi="Calibri Light"/>
          <w:color w:val="000000" w:themeColor="text1"/>
          <w:lang w:eastAsia="en-US"/>
        </w:rPr>
        <w:t>–</w:t>
      </w:r>
      <w:r w:rsidRPr="00CF31E0">
        <w:rPr>
          <w:rFonts w:eastAsia="Calibri" w:hAnsi="Calibri Light"/>
          <w:color w:val="000000" w:themeColor="text1"/>
          <w:lang w:eastAsia="en-US"/>
        </w:rPr>
        <w:t>2), 163</w:t>
      </w:r>
      <w:r w:rsidRPr="00CF31E0">
        <w:rPr>
          <w:rFonts w:eastAsia="Calibri" w:hAnsi="Calibri Light"/>
          <w:color w:val="000000" w:themeColor="text1"/>
          <w:lang w:eastAsia="en-US"/>
        </w:rPr>
        <w:t>–</w:t>
      </w:r>
      <w:r w:rsidRPr="00CF31E0">
        <w:rPr>
          <w:rFonts w:eastAsia="Calibri" w:hAnsi="Calibri Light"/>
          <w:color w:val="000000" w:themeColor="text1"/>
          <w:lang w:eastAsia="en-US"/>
        </w:rPr>
        <w:t>74.</w:t>
      </w:r>
    </w:p>
    <w:p w14:paraId="07662C3B" w14:textId="4C158E7C" w:rsidR="00361ECA"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lastRenderedPageBreak/>
        <w:t xml:space="preserve">Al-Ken, A. I. (1995). </w:t>
      </w:r>
      <w:r w:rsidRPr="00CF31E0">
        <w:rPr>
          <w:rFonts w:eastAsia="Calibri" w:hAnsi="Calibri Light"/>
          <w:i/>
          <w:iCs/>
          <w:color w:val="000000" w:themeColor="text1"/>
          <w:lang w:eastAsia="en-US"/>
        </w:rPr>
        <w:t xml:space="preserve">The Hajj: Past, present and future: the communication aspect </w:t>
      </w:r>
      <w:r w:rsidRPr="00CF31E0">
        <w:rPr>
          <w:rFonts w:eastAsia="Calibri" w:hAnsi="Calibri Light"/>
          <w:color w:val="000000" w:themeColor="text1"/>
          <w:lang w:eastAsia="en-US"/>
        </w:rPr>
        <w:t xml:space="preserve">(Doctoral dissertation). University of Leeds. Retrieved from </w:t>
      </w:r>
      <w:hyperlink r:id="rId51" w:history="1">
        <w:r w:rsidR="0040679D" w:rsidRPr="005E2263">
          <w:rPr>
            <w:rStyle w:val="Hyperlink"/>
            <w:rFonts w:eastAsia="Calibri" w:hAnsi="Calibri Light"/>
            <w:lang w:eastAsia="en-US"/>
          </w:rPr>
          <w:t>http://ethos.bl.uk/OrderDetails.do?uin=uk.bl.ethos.341805</w:t>
        </w:r>
      </w:hyperlink>
    </w:p>
    <w:p w14:paraId="2237274E" w14:textId="3CCAE3D0" w:rsidR="0040679D" w:rsidRPr="00CF31E0" w:rsidRDefault="00823A5A" w:rsidP="0040679D">
      <w:pPr>
        <w:spacing w:before="120" w:line="480" w:lineRule="auto"/>
        <w:ind w:left="720" w:hanging="720"/>
        <w:jc w:val="both"/>
        <w:rPr>
          <w:rFonts w:eastAsia="Calibri" w:hAnsi="Calibri Light"/>
          <w:color w:val="000000" w:themeColor="text1"/>
          <w:lang w:eastAsia="en-US"/>
        </w:rPr>
      </w:pPr>
      <w:r w:rsidRPr="0040679D">
        <w:rPr>
          <w:rFonts w:eastAsia="Calibri" w:hAnsi="Calibri Light"/>
          <w:color w:val="000000" w:themeColor="text1"/>
          <w:lang w:eastAsia="en-US"/>
        </w:rPr>
        <w:t xml:space="preserve">Al-Muhannadi, M. (1991). </w:t>
      </w:r>
      <w:r w:rsidRPr="0040679D">
        <w:rPr>
          <w:rFonts w:eastAsia="Calibri" w:hAnsi="Calibri Light"/>
          <w:i/>
          <w:iCs/>
          <w:color w:val="000000" w:themeColor="text1"/>
          <w:lang w:eastAsia="en-US"/>
        </w:rPr>
        <w:t>A sociolinguistic study of women</w:t>
      </w:r>
      <w:r w:rsidRPr="0040679D">
        <w:rPr>
          <w:rFonts w:eastAsia="Calibri" w:hAnsi="Calibri Light"/>
          <w:i/>
          <w:iCs/>
          <w:color w:val="000000" w:themeColor="text1"/>
          <w:lang w:eastAsia="en-US"/>
        </w:rPr>
        <w:t>’</w:t>
      </w:r>
      <w:r w:rsidRPr="0040679D">
        <w:rPr>
          <w:rFonts w:eastAsia="Calibri" w:hAnsi="Calibri Light"/>
          <w:i/>
          <w:iCs/>
          <w:color w:val="000000" w:themeColor="text1"/>
          <w:lang w:eastAsia="en-US"/>
        </w:rPr>
        <w:t>s speech in Qatar.</w:t>
      </w:r>
      <w:r w:rsidRPr="0040679D">
        <w:rPr>
          <w:rFonts w:eastAsia="Calibri" w:hAnsi="Calibri Light"/>
          <w:color w:val="000000" w:themeColor="text1"/>
          <w:lang w:eastAsia="en-US"/>
        </w:rPr>
        <w:t xml:space="preserve"> (PhD </w:t>
      </w:r>
      <w:r w:rsidR="00F60D26">
        <w:rPr>
          <w:rFonts w:eastAsia="Calibri" w:hAnsi="Calibri Light"/>
          <w:color w:val="000000" w:themeColor="text1"/>
          <w:lang w:eastAsia="en-US"/>
        </w:rPr>
        <w:t>t</w:t>
      </w:r>
      <w:r w:rsidRPr="0040679D">
        <w:rPr>
          <w:rFonts w:eastAsia="Calibri" w:hAnsi="Calibri Light"/>
          <w:color w:val="000000" w:themeColor="text1"/>
          <w:lang w:eastAsia="en-US"/>
        </w:rPr>
        <w:t>hesis). University of Essex.</w:t>
      </w:r>
    </w:p>
    <w:p w14:paraId="75BB7BBE" w14:textId="1B979E18" w:rsidR="00361ECA"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Alrumaih, A. (2002). </w:t>
      </w:r>
      <w:r w:rsidRPr="00CF31E0">
        <w:rPr>
          <w:rFonts w:eastAsia="Calibri" w:hAnsi="Calibri Light"/>
          <w:i/>
          <w:iCs/>
          <w:color w:val="000000" w:themeColor="text1"/>
          <w:lang w:eastAsia="en-US"/>
        </w:rPr>
        <w:t>Najdi perceptions of Saudi regional speech</w:t>
      </w:r>
      <w:r w:rsidR="00DF378C" w:rsidRPr="00CF31E0">
        <w:rPr>
          <w:rFonts w:eastAsia="Calibri" w:hAnsi="Calibri Light"/>
          <w:i/>
          <w:iCs/>
          <w:color w:val="000000" w:themeColor="text1"/>
          <w:lang w:eastAsia="en-US"/>
        </w:rPr>
        <w:t xml:space="preserve"> </w:t>
      </w:r>
      <w:r w:rsidR="00DF378C" w:rsidRPr="00CF31E0">
        <w:rPr>
          <w:rFonts w:eastAsia="Calibri" w:hAnsi="Calibri Light"/>
          <w:color w:val="000000" w:themeColor="text1"/>
          <w:lang w:eastAsia="en-US"/>
        </w:rPr>
        <w:t>(Master</w:t>
      </w:r>
      <w:r w:rsidR="00DF378C" w:rsidRPr="00CF31E0">
        <w:rPr>
          <w:rFonts w:eastAsia="Calibri" w:hAnsi="Calibri Light"/>
          <w:color w:val="000000" w:themeColor="text1"/>
          <w:lang w:eastAsia="en-US"/>
        </w:rPr>
        <w:t>’</w:t>
      </w:r>
      <w:r w:rsidR="00DF378C" w:rsidRPr="00CF31E0">
        <w:rPr>
          <w:rFonts w:eastAsia="Calibri" w:hAnsi="Calibri Light"/>
          <w:color w:val="000000" w:themeColor="text1"/>
          <w:lang w:eastAsia="en-US"/>
        </w:rPr>
        <w:t>s thesis)</w:t>
      </w:r>
      <w:r w:rsidRPr="00CF31E0">
        <w:rPr>
          <w:rFonts w:eastAsia="Calibri" w:hAnsi="Calibri Light"/>
          <w:color w:val="000000" w:themeColor="text1"/>
          <w:lang w:eastAsia="en-US"/>
        </w:rPr>
        <w:t>. Michigan State University.</w:t>
      </w:r>
    </w:p>
    <w:p w14:paraId="05677A71" w14:textId="5E9984A9" w:rsidR="007A2511" w:rsidRPr="00CF31E0" w:rsidRDefault="00823A5A" w:rsidP="007A2511">
      <w:pPr>
        <w:spacing w:before="120" w:line="480" w:lineRule="auto"/>
        <w:ind w:left="720" w:hanging="720"/>
        <w:jc w:val="both"/>
        <w:rPr>
          <w:rFonts w:eastAsia="Calibri" w:hAnsi="Calibri Light"/>
          <w:color w:val="000000" w:themeColor="text1"/>
          <w:lang w:eastAsia="en-US"/>
        </w:rPr>
      </w:pPr>
      <w:r w:rsidRPr="007F2617">
        <w:rPr>
          <w:rFonts w:eastAsia="Calibri" w:hAnsi="Calibri Light"/>
          <w:color w:val="000000" w:themeColor="text1"/>
          <w:lang w:eastAsia="en-US"/>
        </w:rPr>
        <w:t xml:space="preserve">Altorki, S., &amp; El-Solh, C. F. (1988). </w:t>
      </w:r>
      <w:r w:rsidRPr="007A2511">
        <w:rPr>
          <w:rFonts w:eastAsia="Calibri" w:hAnsi="Calibri Light"/>
          <w:i/>
          <w:iCs/>
          <w:color w:val="000000" w:themeColor="text1"/>
          <w:lang w:eastAsia="en-US"/>
        </w:rPr>
        <w:t>Arab Women in the Field: Studying Your Own Society</w:t>
      </w:r>
      <w:r w:rsidRPr="007A2511">
        <w:rPr>
          <w:rFonts w:eastAsia="Calibri" w:hAnsi="Calibri Light"/>
          <w:color w:val="000000" w:themeColor="text1"/>
          <w:lang w:eastAsia="en-US"/>
        </w:rPr>
        <w:t xml:space="preserve">. </w:t>
      </w:r>
      <w:r w:rsidR="0034506C">
        <w:rPr>
          <w:rFonts w:eastAsia="Calibri" w:hAnsi="Calibri Light"/>
          <w:color w:val="000000" w:themeColor="text1"/>
          <w:lang w:eastAsia="en-US"/>
        </w:rPr>
        <w:t xml:space="preserve">New York. </w:t>
      </w:r>
      <w:r w:rsidRPr="007A2511">
        <w:rPr>
          <w:rFonts w:eastAsia="Calibri" w:hAnsi="Calibri Light"/>
          <w:color w:val="000000" w:themeColor="text1"/>
          <w:lang w:eastAsia="en-US"/>
        </w:rPr>
        <w:t>Syracuse University Press.</w:t>
      </w:r>
    </w:p>
    <w:p w14:paraId="34871D96"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Al-Wahid, M. S. (1992). </w:t>
      </w:r>
      <w:r w:rsidRPr="00CF31E0">
        <w:rPr>
          <w:rFonts w:eastAsia="Calibri" w:hAnsi="Calibri Light"/>
          <w:i/>
          <w:iCs/>
          <w:color w:val="000000" w:themeColor="text1"/>
          <w:lang w:eastAsia="en-US"/>
        </w:rPr>
        <w:t xml:space="preserve">Residential preferences and migration propensities of rural youth in the central region of Saudi Arabia </w:t>
      </w:r>
      <w:r w:rsidRPr="00CF31E0">
        <w:rPr>
          <w:rFonts w:eastAsia="Calibri" w:hAnsi="Calibri Light"/>
          <w:color w:val="000000" w:themeColor="text1"/>
          <w:lang w:eastAsia="en-US"/>
        </w:rPr>
        <w:t>(Doctoral dissertation). Michigan State University. Retrieved from https://elibrary.ru/item.asp?id=5744247</w:t>
      </w:r>
    </w:p>
    <w:p w14:paraId="3E86DD2F"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Alzaidi, M. S. A. (2014). </w:t>
      </w:r>
      <w:r w:rsidRPr="00CF31E0">
        <w:rPr>
          <w:rFonts w:eastAsia="Calibri" w:hAnsi="Calibri Light"/>
          <w:i/>
          <w:iCs/>
          <w:color w:val="000000" w:themeColor="text1"/>
          <w:lang w:eastAsia="en-US"/>
        </w:rPr>
        <w:t xml:space="preserve">Information structure and intonation in Hijazi Arabic </w:t>
      </w:r>
      <w:r w:rsidRPr="00CF31E0">
        <w:rPr>
          <w:rFonts w:eastAsia="Calibri" w:hAnsi="Calibri Light"/>
          <w:color w:val="000000" w:themeColor="text1"/>
          <w:lang w:eastAsia="en-US"/>
        </w:rPr>
        <w:t>(Doctoral dissertation). University of Essex.</w:t>
      </w:r>
    </w:p>
    <w:p w14:paraId="56E017CF"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Al-Zayer, F. (2007). OPEC: Annual Statistical Bulletin 2006. Retrieved 7 October 2018, from https://www.opec.org/opec_web/en/874.htm</w:t>
      </w:r>
    </w:p>
    <w:p w14:paraId="6DFE41D4"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Bakalla, M. H. (2002). What is a secret language? A case from a Saudi Arabian dialect. In B. P. Dilworth &amp; B. Elabbas (Eds.), </w:t>
      </w:r>
      <w:r w:rsidRPr="00CF31E0">
        <w:rPr>
          <w:rFonts w:eastAsia="Calibri" w:hAnsi="Calibri Light"/>
          <w:i/>
          <w:iCs/>
          <w:color w:val="000000" w:themeColor="text1"/>
          <w:lang w:eastAsia="en-US"/>
        </w:rPr>
        <w:t>Perspectives on Arabic linguistics XIII-XIV</w:t>
      </w:r>
      <w:r w:rsidRPr="00CF31E0">
        <w:rPr>
          <w:rFonts w:eastAsia="Calibri" w:hAnsi="Calibri Light"/>
          <w:color w:val="000000" w:themeColor="text1"/>
          <w:lang w:eastAsia="en-US"/>
        </w:rPr>
        <w:t xml:space="preserve"> (pp. 171</w:t>
      </w:r>
      <w:r w:rsidRPr="00CF31E0">
        <w:rPr>
          <w:rFonts w:eastAsia="Calibri" w:hAnsi="Calibri Light"/>
          <w:color w:val="000000" w:themeColor="text1"/>
          <w:lang w:eastAsia="en-US"/>
        </w:rPr>
        <w:t>–</w:t>
      </w:r>
      <w:r w:rsidRPr="00CF31E0">
        <w:rPr>
          <w:rFonts w:eastAsia="Calibri" w:hAnsi="Calibri Light"/>
          <w:color w:val="000000" w:themeColor="text1"/>
          <w:lang w:eastAsia="en-US"/>
        </w:rPr>
        <w:t xml:space="preserve">184). Amsterdam, The Netherlands: John Benjamins Publishing. </w:t>
      </w:r>
    </w:p>
    <w:p w14:paraId="4E3055DB"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Bayard, D., Weatherall, A., Gallois, C., &amp; Pittam, J. (2001). Pax Americana? Accent attitudinal evaluations in New Zealand, </w:t>
      </w:r>
      <w:r w:rsidRPr="00CF31E0">
        <w:rPr>
          <w:rFonts w:eastAsia="Calibri" w:hAnsi="Calibri Light"/>
          <w:color w:val="000000" w:themeColor="text1"/>
          <w:lang w:eastAsia="en-US"/>
        </w:rPr>
        <w:lastRenderedPageBreak/>
        <w:t xml:space="preserve">Australia and America. </w:t>
      </w:r>
      <w:r w:rsidRPr="00CF31E0">
        <w:rPr>
          <w:rFonts w:eastAsia="Calibri" w:hAnsi="Calibri Light"/>
          <w:i/>
          <w:iCs/>
          <w:color w:val="000000" w:themeColor="text1"/>
          <w:lang w:eastAsia="en-US"/>
        </w:rPr>
        <w:t>Journal of Sociolinguistics</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5</w:t>
      </w:r>
      <w:r w:rsidRPr="00CF31E0">
        <w:rPr>
          <w:rFonts w:eastAsia="Calibri" w:hAnsi="Calibri Light"/>
          <w:color w:val="000000" w:themeColor="text1"/>
          <w:lang w:eastAsia="en-US"/>
        </w:rPr>
        <w:t>(1), 22</w:t>
      </w:r>
      <w:r w:rsidRPr="00CF31E0">
        <w:rPr>
          <w:rFonts w:eastAsia="Calibri" w:hAnsi="Calibri Light"/>
          <w:color w:val="000000" w:themeColor="text1"/>
          <w:lang w:eastAsia="en-US"/>
        </w:rPr>
        <w:t>–</w:t>
      </w:r>
      <w:r w:rsidRPr="00CF31E0">
        <w:rPr>
          <w:rFonts w:eastAsia="Calibri" w:hAnsi="Calibri Light"/>
          <w:color w:val="000000" w:themeColor="text1"/>
          <w:lang w:eastAsia="en-US"/>
        </w:rPr>
        <w:t>49. https://doi.org/10.1111/1467-9481.00136</w:t>
      </w:r>
    </w:p>
    <w:p w14:paraId="2F5A855B"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BBC. (2005, December 29). Regional accents </w:t>
      </w:r>
      <w:r w:rsidRPr="00CF31E0">
        <w:rPr>
          <w:rFonts w:eastAsia="Calibri"/>
          <w:color w:val="000000" w:themeColor="text1"/>
          <w:lang w:eastAsia="en-US"/>
        </w:rPr>
        <w:t>‘</w:t>
      </w:r>
      <w:r w:rsidRPr="00CF31E0">
        <w:rPr>
          <w:rFonts w:eastAsia="Calibri" w:hAnsi="Calibri Light"/>
          <w:color w:val="000000" w:themeColor="text1"/>
          <w:lang w:eastAsia="en-US"/>
        </w:rPr>
        <w:t>bad for trade</w:t>
      </w:r>
      <w:r w:rsidRPr="00CF31E0">
        <w:rPr>
          <w:rFonts w:eastAsia="Calibri"/>
          <w:color w:val="000000" w:themeColor="text1"/>
          <w:lang w:eastAsia="en-US"/>
        </w:rPr>
        <w:t>’</w:t>
      </w:r>
      <w:r w:rsidRPr="00CF31E0">
        <w:rPr>
          <w:rFonts w:eastAsia="Calibri" w:hAnsi="Calibri Light"/>
          <w:color w:val="000000" w:themeColor="text1"/>
          <w:lang w:eastAsia="en-US"/>
        </w:rPr>
        <w:t>. Retrieved from http://news.bbc.co.uk/1/hi/england/4566028.stm</w:t>
      </w:r>
    </w:p>
    <w:p w14:paraId="3EBAC2E2"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Bchir, M. H. (2008). The effect of mode 4 liberalization on illegal immigration. </w:t>
      </w:r>
      <w:r w:rsidRPr="00CF31E0">
        <w:rPr>
          <w:rFonts w:eastAsia="Calibri" w:hAnsi="Calibri Light"/>
          <w:i/>
          <w:iCs/>
          <w:color w:val="000000" w:themeColor="text1"/>
          <w:lang w:eastAsia="en-US"/>
        </w:rPr>
        <w:t>Economic Modelling</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25</w:t>
      </w:r>
      <w:r w:rsidRPr="00CF31E0">
        <w:rPr>
          <w:rFonts w:eastAsia="Calibri" w:hAnsi="Calibri Light"/>
          <w:color w:val="000000" w:themeColor="text1"/>
          <w:lang w:eastAsia="en-US"/>
        </w:rPr>
        <w:t>(5), 1051</w:t>
      </w:r>
      <w:r w:rsidRPr="00CF31E0">
        <w:rPr>
          <w:rFonts w:eastAsia="Calibri" w:hAnsi="Calibri Light"/>
          <w:color w:val="000000" w:themeColor="text1"/>
          <w:lang w:eastAsia="en-US"/>
        </w:rPr>
        <w:t>–</w:t>
      </w:r>
      <w:r w:rsidRPr="00CF31E0">
        <w:rPr>
          <w:rFonts w:eastAsia="Calibri" w:hAnsi="Calibri Light"/>
          <w:color w:val="000000" w:themeColor="text1"/>
          <w:lang w:eastAsia="en-US"/>
        </w:rPr>
        <w:t>1063. https://doi.org/10.1016/j.econmod.2008.01.011</w:t>
      </w:r>
    </w:p>
    <w:p w14:paraId="1DD3353D" w14:textId="68F9A286"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Biadsy, F., Hirschberg, J., &amp; Habash, N. (2009). Spoken Arabic dialect identification using phonotactic </w:t>
      </w:r>
      <w:r w:rsidR="008235A3" w:rsidRPr="00CF31E0">
        <w:rPr>
          <w:rFonts w:eastAsia="Calibri" w:hAnsi="Calibri Light"/>
          <w:color w:val="000000" w:themeColor="text1"/>
          <w:lang w:eastAsia="en-US"/>
        </w:rPr>
        <w:t>modelling</w:t>
      </w:r>
      <w:r w:rsidRPr="00CF31E0">
        <w:rPr>
          <w:rFonts w:eastAsia="Calibri" w:hAnsi="Calibri Light"/>
          <w:color w:val="000000" w:themeColor="text1"/>
          <w:lang w:eastAsia="en-US"/>
        </w:rPr>
        <w:t xml:space="preserve">. In </w:t>
      </w:r>
      <w:r w:rsidRPr="00CF31E0">
        <w:rPr>
          <w:rFonts w:eastAsia="Calibri" w:hAnsi="Calibri Light"/>
          <w:i/>
          <w:iCs/>
          <w:color w:val="000000" w:themeColor="text1"/>
          <w:lang w:eastAsia="en-US"/>
        </w:rPr>
        <w:t>Proceedings of the EACL 2009 Workshop on Computational Approaches to Semitic Languages</w:t>
      </w:r>
      <w:r w:rsidRPr="00CF31E0">
        <w:rPr>
          <w:rFonts w:eastAsia="Calibri" w:hAnsi="Calibri Light"/>
          <w:color w:val="000000" w:themeColor="text1"/>
          <w:lang w:eastAsia="en-US"/>
        </w:rPr>
        <w:t xml:space="preserve"> (pp. 53</w:t>
      </w:r>
      <w:r w:rsidRPr="00CF31E0">
        <w:rPr>
          <w:rFonts w:eastAsia="Calibri" w:hAnsi="Calibri Light"/>
          <w:color w:val="000000" w:themeColor="text1"/>
          <w:lang w:eastAsia="en-US"/>
        </w:rPr>
        <w:t>–</w:t>
      </w:r>
      <w:r w:rsidRPr="00CF31E0">
        <w:rPr>
          <w:rFonts w:eastAsia="Calibri" w:hAnsi="Calibri Light"/>
          <w:color w:val="000000" w:themeColor="text1"/>
          <w:lang w:eastAsia="en-US"/>
        </w:rPr>
        <w:t>61). Association for Computational Linguistics. Retrieved from http://dl.acm.org/citation.cfm?id=1621784</w:t>
      </w:r>
    </w:p>
    <w:p w14:paraId="4AAE3688"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Bianchi, R. (2004). </w:t>
      </w:r>
      <w:r w:rsidRPr="00CF31E0">
        <w:rPr>
          <w:rFonts w:eastAsia="Calibri" w:hAnsi="Calibri Light"/>
          <w:i/>
          <w:iCs/>
          <w:color w:val="000000" w:themeColor="text1"/>
          <w:lang w:eastAsia="en-US"/>
        </w:rPr>
        <w:t>Guests of God: Pilgrimage and politics in the Islamic world</w:t>
      </w:r>
      <w:r w:rsidRPr="00CF31E0">
        <w:rPr>
          <w:rFonts w:eastAsia="Calibri" w:hAnsi="Calibri Light"/>
          <w:color w:val="000000" w:themeColor="text1"/>
          <w:lang w:eastAsia="en-US"/>
        </w:rPr>
        <w:t>. New York, NY: Oxford University Press.</w:t>
      </w:r>
    </w:p>
    <w:p w14:paraId="186EE34A"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Bianchi, R. (2013). </w:t>
      </w:r>
      <w:r w:rsidRPr="00CF31E0">
        <w:rPr>
          <w:rFonts w:eastAsia="Calibri" w:hAnsi="Calibri Light"/>
          <w:i/>
          <w:iCs/>
          <w:color w:val="000000" w:themeColor="text1"/>
          <w:lang w:eastAsia="en-US"/>
        </w:rPr>
        <w:t>Islamic globalization: Pilgrimage, Capitalism, democracy, and diplomacy</w:t>
      </w:r>
      <w:r w:rsidRPr="00CF31E0">
        <w:rPr>
          <w:rFonts w:eastAsia="Calibri" w:hAnsi="Calibri Light"/>
          <w:color w:val="000000" w:themeColor="text1"/>
          <w:lang w:eastAsia="en-US"/>
        </w:rPr>
        <w:t xml:space="preserve">. Singapore: World Scientific Publishing. </w:t>
      </w:r>
    </w:p>
    <w:p w14:paraId="7112463A"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Bianchi, R. (2015). The Hajj by air. In E. Tagliacozzo &amp; S. Toorawa (Eds.), </w:t>
      </w:r>
      <w:r w:rsidRPr="00CF31E0">
        <w:rPr>
          <w:rFonts w:eastAsia="Calibri" w:hAnsi="Calibri Light"/>
          <w:i/>
          <w:iCs/>
          <w:color w:val="000000" w:themeColor="text1"/>
          <w:lang w:eastAsia="en-US"/>
        </w:rPr>
        <w:t>The Hajj: pilgrimage in Islam</w:t>
      </w:r>
      <w:r w:rsidRPr="00CF31E0">
        <w:rPr>
          <w:rFonts w:eastAsia="Calibri" w:hAnsi="Calibri Light"/>
          <w:color w:val="000000" w:themeColor="text1"/>
          <w:lang w:eastAsia="en-US"/>
        </w:rPr>
        <w:t xml:space="preserve"> (pp. 131</w:t>
      </w:r>
      <w:r w:rsidRPr="00CF31E0">
        <w:rPr>
          <w:rFonts w:eastAsia="Calibri" w:hAnsi="Calibri Light"/>
          <w:color w:val="000000" w:themeColor="text1"/>
          <w:lang w:eastAsia="en-US"/>
        </w:rPr>
        <w:t>–</w:t>
      </w:r>
      <w:r w:rsidRPr="00CF31E0">
        <w:rPr>
          <w:rFonts w:eastAsia="Calibri" w:hAnsi="Calibri Light"/>
          <w:color w:val="000000" w:themeColor="text1"/>
          <w:lang w:eastAsia="en-US"/>
        </w:rPr>
        <w:t>152). Cambridge, England: Cambridge University Press.</w:t>
      </w:r>
    </w:p>
    <w:p w14:paraId="651D0FB0"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Bishop, H., Coupland, N., &amp; Garrett, P. (2005). Conceptual accent evaluation: Thirty years of accent prejudice in the UK. </w:t>
      </w:r>
      <w:r w:rsidRPr="00CF31E0">
        <w:rPr>
          <w:rFonts w:eastAsia="Calibri" w:hAnsi="Calibri Light"/>
          <w:i/>
          <w:iCs/>
          <w:color w:val="000000" w:themeColor="text1"/>
          <w:lang w:eastAsia="en-US"/>
        </w:rPr>
        <w:t>Acta Linguistica Hafniensia</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37</w:t>
      </w:r>
      <w:r w:rsidRPr="00CF31E0">
        <w:rPr>
          <w:rFonts w:eastAsia="Calibri" w:hAnsi="Calibri Light"/>
          <w:color w:val="000000" w:themeColor="text1"/>
          <w:lang w:eastAsia="en-US"/>
        </w:rPr>
        <w:t>(1), 131</w:t>
      </w:r>
      <w:r w:rsidRPr="00CF31E0">
        <w:rPr>
          <w:rFonts w:eastAsia="Calibri" w:hAnsi="Calibri Light"/>
          <w:color w:val="000000" w:themeColor="text1"/>
          <w:lang w:eastAsia="en-US"/>
        </w:rPr>
        <w:t>–</w:t>
      </w:r>
      <w:r w:rsidRPr="00CF31E0">
        <w:rPr>
          <w:rFonts w:eastAsia="Calibri" w:hAnsi="Calibri Light"/>
          <w:color w:val="000000" w:themeColor="text1"/>
          <w:lang w:eastAsia="en-US"/>
        </w:rPr>
        <w:t>154. https://doi.org/10.1080/03740463.2005.10416087</w:t>
      </w:r>
    </w:p>
    <w:p w14:paraId="26EFAD14"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lastRenderedPageBreak/>
        <w:t>Boughton, Z. (2006). When perception isn</w:t>
      </w:r>
      <w:r w:rsidRPr="00CF31E0">
        <w:rPr>
          <w:rFonts w:eastAsia="Calibri"/>
          <w:color w:val="000000" w:themeColor="text1"/>
          <w:lang w:eastAsia="en-US"/>
        </w:rPr>
        <w:t>’</w:t>
      </w:r>
      <w:r w:rsidRPr="00CF31E0">
        <w:rPr>
          <w:rFonts w:eastAsia="Calibri" w:hAnsi="Calibri Light"/>
          <w:color w:val="000000" w:themeColor="text1"/>
          <w:lang w:eastAsia="en-US"/>
        </w:rPr>
        <w:t xml:space="preserve">t reality: Accent identification and perceptual dialectology in French. </w:t>
      </w:r>
      <w:r w:rsidRPr="00CF31E0">
        <w:rPr>
          <w:rFonts w:eastAsia="Calibri" w:hAnsi="Calibri Light"/>
          <w:i/>
          <w:iCs/>
          <w:color w:val="000000" w:themeColor="text1"/>
          <w:lang w:eastAsia="en-US"/>
        </w:rPr>
        <w:t>Journal of French Language Studies</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16</w:t>
      </w:r>
      <w:r w:rsidRPr="00CF31E0">
        <w:rPr>
          <w:rFonts w:eastAsia="Calibri" w:hAnsi="Calibri Light"/>
          <w:color w:val="000000" w:themeColor="text1"/>
          <w:lang w:eastAsia="en-US"/>
        </w:rPr>
        <w:t>(3), 277</w:t>
      </w:r>
      <w:r w:rsidRPr="00CF31E0">
        <w:rPr>
          <w:rFonts w:eastAsia="Calibri" w:hAnsi="Calibri Light"/>
          <w:color w:val="000000" w:themeColor="text1"/>
          <w:lang w:eastAsia="en-US"/>
        </w:rPr>
        <w:t>–</w:t>
      </w:r>
      <w:r w:rsidRPr="00CF31E0">
        <w:rPr>
          <w:rFonts w:eastAsia="Calibri" w:hAnsi="Calibri Light"/>
          <w:color w:val="000000" w:themeColor="text1"/>
          <w:lang w:eastAsia="en-US"/>
        </w:rPr>
        <w:t>304.</w:t>
      </w:r>
    </w:p>
    <w:p w14:paraId="53CF9F72" w14:textId="3A4D1BD9"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Bradac, J. J., &amp; Wisegarver, R. (1984). Ascribed status, lexical diversity, and accent: Determinants of perceived status, solidarity, and control of speech style. </w:t>
      </w:r>
      <w:r w:rsidRPr="00CF31E0">
        <w:rPr>
          <w:rFonts w:eastAsia="Calibri" w:hAnsi="Calibri Light"/>
          <w:i/>
          <w:iCs/>
          <w:color w:val="000000" w:themeColor="text1"/>
          <w:lang w:eastAsia="en-US"/>
        </w:rPr>
        <w:t>Journal of Language and Social Psychology</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3</w:t>
      </w:r>
      <w:r w:rsidRPr="00CF31E0">
        <w:rPr>
          <w:rFonts w:eastAsia="Calibri" w:hAnsi="Calibri Light"/>
          <w:color w:val="000000" w:themeColor="text1"/>
          <w:lang w:eastAsia="en-US"/>
        </w:rPr>
        <w:t>(4), 239</w:t>
      </w:r>
      <w:r w:rsidRPr="00CF31E0">
        <w:rPr>
          <w:rFonts w:eastAsia="Calibri" w:hAnsi="Calibri Light"/>
          <w:color w:val="000000" w:themeColor="text1"/>
          <w:lang w:eastAsia="en-US"/>
        </w:rPr>
        <w:t>–</w:t>
      </w:r>
      <w:r w:rsidRPr="00CF31E0">
        <w:rPr>
          <w:rFonts w:eastAsia="Calibri" w:hAnsi="Calibri Light"/>
          <w:color w:val="000000" w:themeColor="text1"/>
          <w:lang w:eastAsia="en-US"/>
        </w:rPr>
        <w:t xml:space="preserve">255. </w:t>
      </w:r>
      <w:hyperlink r:id="rId52" w:history="1">
        <w:r w:rsidR="00E070E7" w:rsidRPr="00CF31E0">
          <w:rPr>
            <w:rStyle w:val="Hyperlink"/>
            <w:rFonts w:eastAsia="Calibri" w:hAnsi="Calibri Light"/>
            <w:color w:val="000000" w:themeColor="text1"/>
            <w:lang w:eastAsia="en-US"/>
          </w:rPr>
          <w:t>https://doi.org/10.1177/0261927X8400300401</w:t>
        </w:r>
      </w:hyperlink>
    </w:p>
    <w:p w14:paraId="17E63AFB" w14:textId="0B2C778A" w:rsidR="00E070E7" w:rsidRPr="000E3509" w:rsidRDefault="00E070E7">
      <w:pPr>
        <w:spacing w:before="120" w:line="480" w:lineRule="auto"/>
        <w:ind w:left="720" w:hanging="720"/>
        <w:jc w:val="both"/>
        <w:rPr>
          <w:rFonts w:eastAsia="Calibri" w:hAnsi="Calibri Light"/>
          <w:color w:val="000000" w:themeColor="text1"/>
          <w:lang w:val="en-US" w:eastAsia="en-US"/>
        </w:rPr>
      </w:pPr>
      <w:r w:rsidRPr="00CF31E0">
        <w:rPr>
          <w:rFonts w:eastAsia="Calibri" w:hAnsi="Calibri Light"/>
          <w:color w:val="000000" w:themeColor="text1"/>
          <w:lang w:val="en-US" w:eastAsia="en-US"/>
        </w:rPr>
        <w:t xml:space="preserve">Bucholtz, M., Bermudez, N., Fung, V., Edwards, L., &amp; Vargas, R. (2007). Hella Nor Cal or totally So Cal? the perceptual dialectology of California. </w:t>
      </w:r>
      <w:r w:rsidRPr="00CF31E0">
        <w:rPr>
          <w:rFonts w:eastAsia="Calibri" w:hAnsi="Calibri Light"/>
          <w:i/>
          <w:iCs/>
          <w:color w:val="000000" w:themeColor="text1"/>
          <w:lang w:val="en-US" w:eastAsia="en-US"/>
        </w:rPr>
        <w:t>Journal of English Linguistics</w:t>
      </w:r>
      <w:r w:rsidRPr="00CF31E0">
        <w:rPr>
          <w:rFonts w:eastAsia="Calibri" w:hAnsi="Calibri Light"/>
          <w:color w:val="000000" w:themeColor="text1"/>
          <w:lang w:val="en-US" w:eastAsia="en-US"/>
        </w:rPr>
        <w:t xml:space="preserve">, </w:t>
      </w:r>
      <w:r w:rsidRPr="00CF31E0">
        <w:rPr>
          <w:rFonts w:eastAsia="Calibri" w:hAnsi="Calibri Light"/>
          <w:i/>
          <w:iCs/>
          <w:color w:val="000000" w:themeColor="text1"/>
          <w:lang w:val="en-US" w:eastAsia="en-US"/>
        </w:rPr>
        <w:t>35</w:t>
      </w:r>
      <w:r w:rsidRPr="00CF31E0">
        <w:rPr>
          <w:rFonts w:eastAsia="Calibri" w:hAnsi="Calibri Light"/>
          <w:color w:val="000000" w:themeColor="text1"/>
          <w:lang w:val="en-US" w:eastAsia="en-US"/>
        </w:rPr>
        <w:t>(4), 325</w:t>
      </w:r>
      <w:r w:rsidRPr="00CF31E0">
        <w:rPr>
          <w:rFonts w:eastAsia="Calibri" w:hAnsi="Calibri Light"/>
          <w:color w:val="000000" w:themeColor="text1"/>
          <w:lang w:val="en-US" w:eastAsia="en-US"/>
        </w:rPr>
        <w:t>–</w:t>
      </w:r>
      <w:r w:rsidRPr="00CF31E0">
        <w:rPr>
          <w:rFonts w:eastAsia="Calibri" w:hAnsi="Calibri Light"/>
          <w:color w:val="000000" w:themeColor="text1"/>
          <w:lang w:val="en-US" w:eastAsia="en-US"/>
        </w:rPr>
        <w:t>352.</w:t>
      </w:r>
    </w:p>
    <w:p w14:paraId="5F24C7AE"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Campo, J. (2015). Visualizing the Hajj: Representations of a changing sacred landscape past and present. In E. Tagliacozzo &amp; S. Toorawa (Eds.), </w:t>
      </w:r>
      <w:r w:rsidRPr="00CF31E0">
        <w:rPr>
          <w:rFonts w:eastAsia="Calibri" w:hAnsi="Calibri Light"/>
          <w:i/>
          <w:iCs/>
          <w:color w:val="000000" w:themeColor="text1"/>
          <w:lang w:eastAsia="en-US"/>
        </w:rPr>
        <w:t>The Hajj: Pilgrimage in Islam</w:t>
      </w:r>
      <w:r w:rsidRPr="00CF31E0">
        <w:rPr>
          <w:rFonts w:eastAsia="Calibri" w:hAnsi="Calibri Light"/>
          <w:color w:val="000000" w:themeColor="text1"/>
          <w:lang w:eastAsia="en-US"/>
        </w:rPr>
        <w:t xml:space="preserve"> (pp. 296</w:t>
      </w:r>
      <w:r w:rsidRPr="00CF31E0">
        <w:rPr>
          <w:rFonts w:eastAsia="Calibri" w:hAnsi="Calibri Light"/>
          <w:color w:val="000000" w:themeColor="text1"/>
          <w:lang w:eastAsia="en-US"/>
        </w:rPr>
        <w:t>–</w:t>
      </w:r>
      <w:r w:rsidRPr="00CF31E0">
        <w:rPr>
          <w:rFonts w:eastAsia="Calibri" w:hAnsi="Calibri Light"/>
          <w:color w:val="000000" w:themeColor="text1"/>
          <w:lang w:eastAsia="en-US"/>
        </w:rPr>
        <w:t>288). Cambridge, England: Cambridge University Press Cambridge.</w:t>
      </w:r>
    </w:p>
    <w:p w14:paraId="210D544D"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Cargile, A. C., Giles, H., Ryan, E. B., &amp; Bradac, J. J. (1994). Language attitudes as a social process: A conceptual model and new directions. </w:t>
      </w:r>
      <w:r w:rsidRPr="00CF31E0">
        <w:rPr>
          <w:rFonts w:eastAsia="Calibri" w:hAnsi="Calibri Light"/>
          <w:i/>
          <w:iCs/>
          <w:color w:val="000000" w:themeColor="text1"/>
          <w:lang w:eastAsia="en-US"/>
        </w:rPr>
        <w:t>Special Issue Language Attitudes</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14</w:t>
      </w:r>
      <w:r w:rsidRPr="00CF31E0">
        <w:rPr>
          <w:rFonts w:eastAsia="Calibri" w:hAnsi="Calibri Light"/>
          <w:color w:val="000000" w:themeColor="text1"/>
          <w:lang w:eastAsia="en-US"/>
        </w:rPr>
        <w:t>(3), 211</w:t>
      </w:r>
      <w:r w:rsidRPr="00CF31E0">
        <w:rPr>
          <w:rFonts w:eastAsia="Calibri" w:hAnsi="Calibri Light"/>
          <w:color w:val="000000" w:themeColor="text1"/>
          <w:lang w:eastAsia="en-US"/>
        </w:rPr>
        <w:t>–</w:t>
      </w:r>
      <w:r w:rsidRPr="00CF31E0">
        <w:rPr>
          <w:rFonts w:eastAsia="Calibri" w:hAnsi="Calibri Light"/>
          <w:color w:val="000000" w:themeColor="text1"/>
          <w:lang w:eastAsia="en-US"/>
        </w:rPr>
        <w:t>236. https://doi.org/10.1016/0271-5309(94)90001-9</w:t>
      </w:r>
    </w:p>
    <w:p w14:paraId="1767CBA4"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Cattell, R. B. (1966). The scree test for the number of factors. </w:t>
      </w:r>
      <w:r w:rsidRPr="00CF31E0">
        <w:rPr>
          <w:rFonts w:eastAsia="Calibri" w:hAnsi="Calibri Light"/>
          <w:i/>
          <w:iCs/>
          <w:color w:val="000000" w:themeColor="text1"/>
          <w:lang w:eastAsia="en-US"/>
        </w:rPr>
        <w:t>Multivariate Behavioural Research</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1</w:t>
      </w:r>
      <w:r w:rsidRPr="00CF31E0">
        <w:rPr>
          <w:rFonts w:eastAsia="Calibri" w:hAnsi="Calibri Light"/>
          <w:color w:val="000000" w:themeColor="text1"/>
          <w:lang w:eastAsia="en-US"/>
        </w:rPr>
        <w:t>(2), 245</w:t>
      </w:r>
      <w:r w:rsidRPr="00CF31E0">
        <w:rPr>
          <w:rFonts w:eastAsia="Calibri" w:hAnsi="Calibri Light"/>
          <w:color w:val="000000" w:themeColor="text1"/>
          <w:lang w:eastAsia="en-US"/>
        </w:rPr>
        <w:t>–</w:t>
      </w:r>
      <w:r w:rsidRPr="00CF31E0">
        <w:rPr>
          <w:rFonts w:eastAsia="Calibri" w:hAnsi="Calibri Light"/>
          <w:color w:val="000000" w:themeColor="text1"/>
          <w:lang w:eastAsia="en-US"/>
        </w:rPr>
        <w:t>276.</w:t>
      </w:r>
    </w:p>
    <w:p w14:paraId="03FC18DD"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Central Intelligence Agency. (2016). The world factbook. Retrieved 7 April 2018, from https://www.cia.gov/library/publications/the-world-factbook/rankorder/2241rank.html</w:t>
      </w:r>
    </w:p>
    <w:p w14:paraId="7952984B" w14:textId="3C37DEC6"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lastRenderedPageBreak/>
        <w:t xml:space="preserve">Chatty, D. (2006). </w:t>
      </w:r>
      <w:r w:rsidRPr="00CF31E0">
        <w:rPr>
          <w:rFonts w:eastAsia="Calibri" w:hAnsi="Calibri Light"/>
          <w:i/>
          <w:iCs/>
          <w:color w:val="000000" w:themeColor="text1"/>
          <w:lang w:eastAsia="en-US"/>
        </w:rPr>
        <w:t>Nomadic societies in the Middle East and North Africa: Entering the 21st century</w:t>
      </w:r>
      <w:r w:rsidRPr="00CF31E0">
        <w:rPr>
          <w:rFonts w:eastAsia="Calibri" w:hAnsi="Calibri Light"/>
          <w:color w:val="000000" w:themeColor="text1"/>
          <w:lang w:eastAsia="en-US"/>
        </w:rPr>
        <w:t xml:space="preserve"> (Vol. 81). </w:t>
      </w:r>
      <w:r w:rsidR="005B04C2" w:rsidRPr="00CF31E0">
        <w:rPr>
          <w:rFonts w:eastAsia="Calibri" w:hAnsi="Calibri Light"/>
          <w:color w:val="000000" w:themeColor="text1"/>
          <w:lang w:eastAsia="en-US"/>
        </w:rPr>
        <w:t xml:space="preserve">Leiden: Netherlands, </w:t>
      </w:r>
      <w:r w:rsidRPr="00CF31E0">
        <w:rPr>
          <w:rFonts w:eastAsia="Calibri" w:hAnsi="Calibri Light"/>
          <w:color w:val="000000" w:themeColor="text1"/>
          <w:lang w:eastAsia="en-US"/>
        </w:rPr>
        <w:t xml:space="preserve">Brill. </w:t>
      </w:r>
    </w:p>
    <w:p w14:paraId="70A9766B"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Chiffoleau, S. (2015). Economics: Agents, pilgrims, and profits. In E. Tagliacozzo &amp; S. Toorawa (Eds.), </w:t>
      </w:r>
      <w:r w:rsidRPr="00CF31E0">
        <w:rPr>
          <w:rFonts w:eastAsia="Calibri" w:hAnsi="Calibri Light"/>
          <w:i/>
          <w:iCs/>
          <w:color w:val="000000" w:themeColor="text1"/>
          <w:lang w:eastAsia="en-US"/>
        </w:rPr>
        <w:t>The Hajj: Pilgrimage in Islam</w:t>
      </w:r>
      <w:r w:rsidRPr="00CF31E0">
        <w:rPr>
          <w:rFonts w:eastAsia="Calibri" w:hAnsi="Calibri Light"/>
          <w:color w:val="000000" w:themeColor="text1"/>
          <w:lang w:eastAsia="en-US"/>
        </w:rPr>
        <w:t xml:space="preserve"> (pp. 155</w:t>
      </w:r>
      <w:r w:rsidRPr="00CF31E0">
        <w:rPr>
          <w:rFonts w:eastAsia="Calibri" w:hAnsi="Calibri Light"/>
          <w:color w:val="000000" w:themeColor="text1"/>
          <w:lang w:eastAsia="en-US"/>
        </w:rPr>
        <w:t>–</w:t>
      </w:r>
      <w:r w:rsidRPr="00CF31E0">
        <w:rPr>
          <w:rFonts w:eastAsia="Calibri" w:hAnsi="Calibri Light"/>
          <w:color w:val="000000" w:themeColor="text1"/>
          <w:lang w:eastAsia="en-US"/>
        </w:rPr>
        <w:t>174). Cambridge, England: Cambridge University Press.</w:t>
      </w:r>
    </w:p>
    <w:p w14:paraId="3030ECC5"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Conway, J. M., &amp; Huffcutt, A. I. (2003). A review and evaluation of exploratory factor analysis practices in organizational research. </w:t>
      </w:r>
      <w:r w:rsidRPr="00CF31E0">
        <w:rPr>
          <w:rFonts w:eastAsia="Calibri" w:hAnsi="Calibri Light"/>
          <w:i/>
          <w:iCs/>
          <w:color w:val="000000" w:themeColor="text1"/>
          <w:lang w:eastAsia="en-US"/>
        </w:rPr>
        <w:t>Organizational Research Methods</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6</w:t>
      </w:r>
      <w:r w:rsidRPr="00CF31E0">
        <w:rPr>
          <w:rFonts w:eastAsia="Calibri" w:hAnsi="Calibri Light"/>
          <w:color w:val="000000" w:themeColor="text1"/>
          <w:lang w:eastAsia="en-US"/>
        </w:rPr>
        <w:t>(2), 147</w:t>
      </w:r>
      <w:r w:rsidRPr="00CF31E0">
        <w:rPr>
          <w:rFonts w:eastAsia="Calibri" w:hAnsi="Calibri Light"/>
          <w:color w:val="000000" w:themeColor="text1"/>
          <w:lang w:eastAsia="en-US"/>
        </w:rPr>
        <w:t>–</w:t>
      </w:r>
      <w:r w:rsidRPr="00CF31E0">
        <w:rPr>
          <w:rFonts w:eastAsia="Calibri" w:hAnsi="Calibri Light"/>
          <w:color w:val="000000" w:themeColor="text1"/>
          <w:lang w:eastAsia="en-US"/>
        </w:rPr>
        <w:t>168.</w:t>
      </w:r>
    </w:p>
    <w:p w14:paraId="5FF80BD2"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Cordesman, A. H. (2003). </w:t>
      </w:r>
      <w:r w:rsidRPr="00CF31E0">
        <w:rPr>
          <w:rFonts w:eastAsia="Calibri" w:hAnsi="Calibri Light"/>
          <w:i/>
          <w:iCs/>
          <w:color w:val="000000" w:themeColor="text1"/>
          <w:lang w:eastAsia="en-US"/>
        </w:rPr>
        <w:t>Saudi Arabia enters the twenty-first century: The political, foreign policy, economic, and energy dimensions</w:t>
      </w:r>
      <w:r w:rsidRPr="00CF31E0">
        <w:rPr>
          <w:rFonts w:eastAsia="Calibri" w:hAnsi="Calibri Light"/>
          <w:color w:val="000000" w:themeColor="text1"/>
          <w:lang w:eastAsia="en-US"/>
        </w:rPr>
        <w:t>. Washington, D.C.: Greenwood Publishing Group.</w:t>
      </w:r>
    </w:p>
    <w:p w14:paraId="49EA515A"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Creswell, J. W. (2014). </w:t>
      </w:r>
      <w:r w:rsidRPr="00CF31E0">
        <w:rPr>
          <w:rFonts w:eastAsia="Calibri" w:hAnsi="Calibri Light"/>
          <w:i/>
          <w:iCs/>
          <w:color w:val="000000" w:themeColor="text1"/>
          <w:lang w:eastAsia="en-US"/>
        </w:rPr>
        <w:t>Research design: Qualitative, quantitative, and mixed methods approaches</w:t>
      </w:r>
      <w:r w:rsidRPr="00CF31E0">
        <w:rPr>
          <w:rFonts w:eastAsia="Calibri" w:hAnsi="Calibri Light"/>
          <w:color w:val="000000" w:themeColor="text1"/>
          <w:lang w:eastAsia="en-US"/>
        </w:rPr>
        <w:t>. Los Angeles, CA: SAGE Publications.</w:t>
      </w:r>
    </w:p>
    <w:p w14:paraId="3D3FD046"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Demirci, M., &amp; Kleiner, B. (1999). The perception of Turkish dialects. In D. R. Preston (Ed.), </w:t>
      </w:r>
      <w:r w:rsidRPr="00CF31E0">
        <w:rPr>
          <w:rFonts w:eastAsia="Calibri" w:hAnsi="Calibri Light"/>
          <w:i/>
          <w:iCs/>
          <w:color w:val="000000" w:themeColor="text1"/>
          <w:lang w:eastAsia="en-US"/>
        </w:rPr>
        <w:t>Handbook of perceptual dialectology</w:t>
      </w:r>
      <w:r w:rsidRPr="00CF31E0">
        <w:rPr>
          <w:rFonts w:eastAsia="Calibri" w:hAnsi="Calibri Light"/>
          <w:color w:val="000000" w:themeColor="text1"/>
          <w:lang w:eastAsia="en-US"/>
        </w:rPr>
        <w:t xml:space="preserve"> (Vol. 1, pp. 263</w:t>
      </w:r>
      <w:r w:rsidRPr="00CF31E0">
        <w:rPr>
          <w:rFonts w:eastAsia="Calibri" w:hAnsi="Calibri Light"/>
          <w:color w:val="000000" w:themeColor="text1"/>
          <w:lang w:eastAsia="en-US"/>
        </w:rPr>
        <w:t>–</w:t>
      </w:r>
      <w:r w:rsidRPr="00CF31E0">
        <w:rPr>
          <w:rFonts w:eastAsia="Calibri" w:hAnsi="Calibri Light"/>
          <w:color w:val="000000" w:themeColor="text1"/>
          <w:lang w:eastAsia="en-US"/>
        </w:rPr>
        <w:t>281). Amsterdam, The Netherlands: John Benjamins Publishing.</w:t>
      </w:r>
    </w:p>
    <w:p w14:paraId="5425DA74"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Devine, P. (1989). Stereotypes and prejudice: Their automatic and controlled components. </w:t>
      </w:r>
      <w:r w:rsidRPr="00CF31E0">
        <w:rPr>
          <w:rFonts w:eastAsia="Calibri" w:hAnsi="Calibri Light"/>
          <w:i/>
          <w:iCs/>
          <w:color w:val="000000" w:themeColor="text1"/>
          <w:lang w:eastAsia="en-US"/>
        </w:rPr>
        <w:t>Journal of Personality and Social Psychology</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56</w:t>
      </w:r>
      <w:r w:rsidRPr="00CF31E0">
        <w:rPr>
          <w:rFonts w:eastAsia="Calibri" w:hAnsi="Calibri Light"/>
          <w:color w:val="000000" w:themeColor="text1"/>
          <w:lang w:eastAsia="en-US"/>
        </w:rPr>
        <w:t>(1), 5</w:t>
      </w:r>
      <w:r w:rsidRPr="00CF31E0">
        <w:rPr>
          <w:rFonts w:eastAsia="Calibri" w:hAnsi="Calibri Light"/>
          <w:color w:val="000000" w:themeColor="text1"/>
          <w:lang w:eastAsia="en-US"/>
        </w:rPr>
        <w:t>–</w:t>
      </w:r>
      <w:r w:rsidRPr="00CF31E0">
        <w:rPr>
          <w:rFonts w:eastAsia="Calibri" w:hAnsi="Calibri Light"/>
          <w:color w:val="000000" w:themeColor="text1"/>
          <w:lang w:eastAsia="en-US"/>
        </w:rPr>
        <w:t>18.</w:t>
      </w:r>
    </w:p>
    <w:p w14:paraId="4B3A89DA"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D</w:t>
      </w:r>
      <w:r w:rsidRPr="00CF31E0">
        <w:rPr>
          <w:rFonts w:eastAsia="Calibri"/>
          <w:color w:val="000000" w:themeColor="text1"/>
          <w:lang w:eastAsia="en-US"/>
        </w:rPr>
        <w:t>ö</w:t>
      </w:r>
      <w:r w:rsidRPr="00CF31E0">
        <w:rPr>
          <w:rFonts w:eastAsia="Calibri" w:hAnsi="Calibri Light"/>
          <w:color w:val="000000" w:themeColor="text1"/>
          <w:lang w:eastAsia="en-US"/>
        </w:rPr>
        <w:t xml:space="preserve">rnyei, Z. (2007). </w:t>
      </w:r>
      <w:r w:rsidRPr="00CF31E0">
        <w:rPr>
          <w:rFonts w:eastAsia="Calibri" w:hAnsi="Calibri Light"/>
          <w:i/>
          <w:iCs/>
          <w:color w:val="000000" w:themeColor="text1"/>
          <w:lang w:eastAsia="en-US"/>
        </w:rPr>
        <w:t>Research methods in applied linguistics: Quantitative, qualitative, and mixed methodologies</w:t>
      </w:r>
      <w:r w:rsidRPr="00CF31E0">
        <w:rPr>
          <w:rFonts w:eastAsia="Calibri" w:hAnsi="Calibri Light"/>
          <w:color w:val="000000" w:themeColor="text1"/>
          <w:lang w:eastAsia="en-US"/>
        </w:rPr>
        <w:t xml:space="preserve">. Oxford, England: Oxford University Press. </w:t>
      </w:r>
    </w:p>
    <w:p w14:paraId="1FC757C0" w14:textId="44E92980" w:rsidR="00361ECA"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lastRenderedPageBreak/>
        <w:t xml:space="preserve">Economist Intelligence Unit. (2010). Arab world map. Retrieved from </w:t>
      </w:r>
      <w:hyperlink r:id="rId53" w:history="1">
        <w:r w:rsidR="007A2511" w:rsidRPr="005E2263">
          <w:rPr>
            <w:rStyle w:val="Hyperlink"/>
            <w:rFonts w:eastAsia="Calibri" w:hAnsi="Calibri Light"/>
            <w:lang w:eastAsia="en-US"/>
          </w:rPr>
          <w:t>http://www.visualinformation.info/interactive-map-mapping-the-arab-world/</w:t>
        </w:r>
      </w:hyperlink>
    </w:p>
    <w:p w14:paraId="1C2C4A35" w14:textId="62206E08" w:rsidR="007A2511" w:rsidRPr="00CF31E0" w:rsidRDefault="00823A5A" w:rsidP="007A2511">
      <w:pPr>
        <w:spacing w:before="120" w:line="480" w:lineRule="auto"/>
        <w:ind w:left="720" w:hanging="720"/>
        <w:jc w:val="both"/>
        <w:rPr>
          <w:rFonts w:eastAsia="Calibri" w:hAnsi="Calibri Light"/>
          <w:color w:val="000000" w:themeColor="text1"/>
          <w:lang w:eastAsia="en-US"/>
        </w:rPr>
      </w:pPr>
      <w:r w:rsidRPr="007A2511">
        <w:rPr>
          <w:rFonts w:eastAsia="Calibri" w:hAnsi="Calibri Light"/>
          <w:color w:val="000000" w:themeColor="text1"/>
          <w:lang w:eastAsia="en-US"/>
        </w:rPr>
        <w:t xml:space="preserve">Eid, M. (1988). </w:t>
      </w:r>
      <w:r w:rsidR="007A2511" w:rsidRPr="007A2511">
        <w:rPr>
          <w:rFonts w:eastAsia="Calibri" w:hAnsi="Calibri Light"/>
          <w:color w:val="000000" w:themeColor="text1"/>
          <w:lang w:eastAsia="en-US"/>
        </w:rPr>
        <w:t>Principles for code-switching between standard and Egyptian Arabic</w:t>
      </w:r>
      <w:r w:rsidRPr="007A2511">
        <w:rPr>
          <w:rFonts w:eastAsia="Calibri" w:hAnsi="Calibri Light"/>
          <w:color w:val="000000" w:themeColor="text1"/>
          <w:lang w:eastAsia="en-US"/>
        </w:rPr>
        <w:t xml:space="preserve">. </w:t>
      </w:r>
      <w:r w:rsidRPr="007A2511">
        <w:rPr>
          <w:rFonts w:eastAsia="Calibri" w:hAnsi="Calibri Light"/>
          <w:i/>
          <w:iCs/>
          <w:color w:val="000000" w:themeColor="text1"/>
          <w:lang w:eastAsia="en-US"/>
        </w:rPr>
        <w:t>Al-</w:t>
      </w:r>
      <w:r w:rsidRPr="007A2511">
        <w:rPr>
          <w:rFonts w:eastAsia="Calibri" w:hAnsi="Calibri Light"/>
          <w:i/>
          <w:iCs/>
          <w:color w:val="000000" w:themeColor="text1"/>
          <w:lang w:eastAsia="en-US"/>
        </w:rPr>
        <w:t>’</w:t>
      </w:r>
      <w:r w:rsidRPr="007A2511">
        <w:rPr>
          <w:rFonts w:eastAsia="Calibri" w:hAnsi="Calibri Light"/>
          <w:i/>
          <w:iCs/>
          <w:color w:val="000000" w:themeColor="text1"/>
          <w:lang w:eastAsia="en-US"/>
        </w:rPr>
        <w:t>Arabiyya</w:t>
      </w:r>
      <w:r w:rsidRPr="007A2511">
        <w:rPr>
          <w:rFonts w:eastAsia="Calibri" w:hAnsi="Calibri Light"/>
          <w:color w:val="000000" w:themeColor="text1"/>
          <w:lang w:eastAsia="en-US"/>
        </w:rPr>
        <w:t xml:space="preserve">, </w:t>
      </w:r>
      <w:r w:rsidRPr="007A2511">
        <w:rPr>
          <w:rFonts w:eastAsia="Calibri" w:hAnsi="Calibri Light"/>
          <w:i/>
          <w:iCs/>
          <w:color w:val="000000" w:themeColor="text1"/>
          <w:lang w:eastAsia="en-US"/>
        </w:rPr>
        <w:t>21</w:t>
      </w:r>
      <w:r w:rsidRPr="007A2511">
        <w:rPr>
          <w:rFonts w:eastAsia="Calibri" w:hAnsi="Calibri Light"/>
          <w:color w:val="000000" w:themeColor="text1"/>
          <w:lang w:eastAsia="en-US"/>
        </w:rPr>
        <w:t>(1/2), 51</w:t>
      </w:r>
      <w:r w:rsidRPr="007A2511">
        <w:rPr>
          <w:rFonts w:eastAsia="Calibri" w:hAnsi="Calibri Light"/>
          <w:color w:val="000000" w:themeColor="text1"/>
          <w:lang w:eastAsia="en-US"/>
        </w:rPr>
        <w:t>–</w:t>
      </w:r>
      <w:r w:rsidRPr="007A2511">
        <w:rPr>
          <w:rFonts w:eastAsia="Calibri" w:hAnsi="Calibri Light"/>
          <w:color w:val="000000" w:themeColor="text1"/>
          <w:lang w:eastAsia="en-US"/>
        </w:rPr>
        <w:t>79.</w:t>
      </w:r>
    </w:p>
    <w:p w14:paraId="3D7E1546"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El Salman, M. (2016). The linguistic and social aspects of the Bedouin dialect. </w:t>
      </w:r>
      <w:r w:rsidRPr="00CF31E0">
        <w:rPr>
          <w:rFonts w:eastAsia="Calibri" w:hAnsi="Calibri Light"/>
          <w:i/>
          <w:iCs/>
          <w:color w:val="000000" w:themeColor="text1"/>
          <w:lang w:eastAsia="en-US"/>
        </w:rPr>
        <w:t>Advances in Language and Literary Studies</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7</w:t>
      </w:r>
      <w:r w:rsidRPr="00CF31E0">
        <w:rPr>
          <w:rFonts w:eastAsia="Calibri" w:hAnsi="Calibri Light"/>
          <w:color w:val="000000" w:themeColor="text1"/>
          <w:lang w:eastAsia="en-US"/>
        </w:rPr>
        <w:t>(4), 20</w:t>
      </w:r>
      <w:r w:rsidRPr="00CF31E0">
        <w:rPr>
          <w:rFonts w:eastAsia="Calibri" w:hAnsi="Calibri Light"/>
          <w:color w:val="000000" w:themeColor="text1"/>
          <w:lang w:eastAsia="en-US"/>
        </w:rPr>
        <w:t>–</w:t>
      </w:r>
      <w:r w:rsidRPr="00CF31E0">
        <w:rPr>
          <w:rFonts w:eastAsia="Calibri" w:hAnsi="Calibri Light"/>
          <w:color w:val="000000" w:themeColor="text1"/>
          <w:lang w:eastAsia="en-US"/>
        </w:rPr>
        <w:t>24.</w:t>
      </w:r>
    </w:p>
    <w:p w14:paraId="290304EF"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El-Dash, L., &amp; Tucker, G. R. (1975). Subjective reactions to various speech styles in Egypt. </w:t>
      </w:r>
      <w:r w:rsidRPr="00CF31E0">
        <w:rPr>
          <w:rFonts w:eastAsia="Calibri" w:hAnsi="Calibri Light"/>
          <w:i/>
          <w:iCs/>
          <w:color w:val="000000" w:themeColor="text1"/>
          <w:lang w:eastAsia="en-US"/>
        </w:rPr>
        <w:t>International Journal of the Sociology of Language</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1975</w:t>
      </w:r>
      <w:r w:rsidRPr="00CF31E0">
        <w:rPr>
          <w:rFonts w:eastAsia="Calibri" w:hAnsi="Calibri Light"/>
          <w:color w:val="000000" w:themeColor="text1"/>
          <w:lang w:eastAsia="en-US"/>
        </w:rPr>
        <w:t>(6), 33</w:t>
      </w:r>
      <w:r w:rsidRPr="00CF31E0">
        <w:rPr>
          <w:rFonts w:eastAsia="Calibri" w:hAnsi="Calibri Light"/>
          <w:color w:val="000000" w:themeColor="text1"/>
          <w:lang w:eastAsia="en-US"/>
        </w:rPr>
        <w:t>–</w:t>
      </w:r>
      <w:r w:rsidRPr="00CF31E0">
        <w:rPr>
          <w:rFonts w:eastAsia="Calibri" w:hAnsi="Calibri Light"/>
          <w:color w:val="000000" w:themeColor="text1"/>
          <w:lang w:eastAsia="en-US"/>
        </w:rPr>
        <w:t>54.</w:t>
      </w:r>
    </w:p>
    <w:p w14:paraId="73E10AE1"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Evans, B. E. (2013). Seattle to Spokane: Mapping perceptions of English in Washington State. </w:t>
      </w:r>
      <w:r w:rsidRPr="00CF31E0">
        <w:rPr>
          <w:rFonts w:eastAsia="Calibri" w:hAnsi="Calibri Light"/>
          <w:i/>
          <w:iCs/>
          <w:color w:val="000000" w:themeColor="text1"/>
          <w:lang w:eastAsia="en-US"/>
        </w:rPr>
        <w:t>Journal of English Linguistics</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41</w:t>
      </w:r>
      <w:r w:rsidRPr="00CF31E0">
        <w:rPr>
          <w:rFonts w:eastAsia="Calibri" w:hAnsi="Calibri Light"/>
          <w:color w:val="000000" w:themeColor="text1"/>
          <w:lang w:eastAsia="en-US"/>
        </w:rPr>
        <w:t>(3), 268</w:t>
      </w:r>
      <w:r w:rsidRPr="00CF31E0">
        <w:rPr>
          <w:rFonts w:eastAsia="Calibri" w:hAnsi="Calibri Light"/>
          <w:color w:val="000000" w:themeColor="text1"/>
          <w:lang w:eastAsia="en-US"/>
        </w:rPr>
        <w:t>–</w:t>
      </w:r>
      <w:r w:rsidRPr="00CF31E0">
        <w:rPr>
          <w:rFonts w:eastAsia="Calibri" w:hAnsi="Calibri Light"/>
          <w:color w:val="000000" w:themeColor="text1"/>
          <w:lang w:eastAsia="en-US"/>
        </w:rPr>
        <w:t>291. https://doi.org/10.1177/0075424213494822</w:t>
      </w:r>
    </w:p>
    <w:p w14:paraId="1B6B5393"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Fabrigar, L. R., Wegener, D. T., MacCallum, R. C., &amp; Strahan, E. J. (1999). Evaluating the use of exploratory factor analysis in psychological research. </w:t>
      </w:r>
      <w:r w:rsidRPr="00CF31E0">
        <w:rPr>
          <w:rFonts w:eastAsia="Calibri" w:hAnsi="Calibri Light"/>
          <w:i/>
          <w:iCs/>
          <w:color w:val="000000" w:themeColor="text1"/>
          <w:lang w:eastAsia="en-US"/>
        </w:rPr>
        <w:t>Psychological Methods</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4</w:t>
      </w:r>
      <w:r w:rsidRPr="00CF31E0">
        <w:rPr>
          <w:rFonts w:eastAsia="Calibri" w:hAnsi="Calibri Light"/>
          <w:color w:val="000000" w:themeColor="text1"/>
          <w:lang w:eastAsia="en-US"/>
        </w:rPr>
        <w:t>(3), 272</w:t>
      </w:r>
      <w:r w:rsidRPr="00CF31E0">
        <w:rPr>
          <w:rFonts w:eastAsia="Calibri" w:hAnsi="Calibri Light"/>
          <w:color w:val="000000" w:themeColor="text1"/>
          <w:lang w:eastAsia="en-US"/>
        </w:rPr>
        <w:t>–</w:t>
      </w:r>
      <w:r w:rsidRPr="00CF31E0">
        <w:rPr>
          <w:rFonts w:eastAsia="Calibri" w:hAnsi="Calibri Light"/>
          <w:color w:val="000000" w:themeColor="text1"/>
          <w:lang w:eastAsia="en-US"/>
        </w:rPr>
        <w:t>299.</w:t>
      </w:r>
    </w:p>
    <w:p w14:paraId="7F71EF36"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Festinger, L. (1954). A theory of social comparison processes. </w:t>
      </w:r>
      <w:r w:rsidRPr="00CF31E0">
        <w:rPr>
          <w:rFonts w:eastAsia="Calibri" w:hAnsi="Calibri Light"/>
          <w:i/>
          <w:iCs/>
          <w:color w:val="000000" w:themeColor="text1"/>
          <w:lang w:eastAsia="en-US"/>
        </w:rPr>
        <w:t>Human Relations</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7</w:t>
      </w:r>
      <w:r w:rsidRPr="00CF31E0">
        <w:rPr>
          <w:rFonts w:eastAsia="Calibri" w:hAnsi="Calibri Light"/>
          <w:color w:val="000000" w:themeColor="text1"/>
          <w:lang w:eastAsia="en-US"/>
        </w:rPr>
        <w:t>(2), 117</w:t>
      </w:r>
      <w:r w:rsidRPr="00CF31E0">
        <w:rPr>
          <w:rFonts w:eastAsia="Calibri" w:hAnsi="Calibri Light"/>
          <w:color w:val="000000" w:themeColor="text1"/>
          <w:lang w:eastAsia="en-US"/>
        </w:rPr>
        <w:t>–</w:t>
      </w:r>
      <w:r w:rsidRPr="00CF31E0">
        <w:rPr>
          <w:rFonts w:eastAsia="Calibri" w:hAnsi="Calibri Light"/>
          <w:color w:val="000000" w:themeColor="text1"/>
          <w:lang w:eastAsia="en-US"/>
        </w:rPr>
        <w:t>140.</w:t>
      </w:r>
    </w:p>
    <w:p w14:paraId="50F2EF64"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Flower, F. J. (2009). </w:t>
      </w:r>
      <w:r w:rsidRPr="00CF31E0">
        <w:rPr>
          <w:rFonts w:eastAsia="Calibri" w:hAnsi="Calibri Light"/>
          <w:i/>
          <w:iCs/>
          <w:color w:val="000000" w:themeColor="text1"/>
          <w:lang w:eastAsia="en-US"/>
        </w:rPr>
        <w:t>Survey research methods</w:t>
      </w:r>
      <w:r w:rsidRPr="00CF31E0">
        <w:rPr>
          <w:rFonts w:eastAsia="Calibri" w:hAnsi="Calibri Light"/>
          <w:color w:val="000000" w:themeColor="text1"/>
          <w:lang w:eastAsia="en-US"/>
        </w:rPr>
        <w:t>. London, England; Thousand Oaks, CA: SAGE Publications.</w:t>
      </w:r>
    </w:p>
    <w:p w14:paraId="12D6A413"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Garrett, P. (2010). </w:t>
      </w:r>
      <w:r w:rsidRPr="00CF31E0">
        <w:rPr>
          <w:rFonts w:eastAsia="Calibri" w:hAnsi="Calibri Light"/>
          <w:i/>
          <w:iCs/>
          <w:color w:val="000000" w:themeColor="text1"/>
          <w:lang w:eastAsia="en-US"/>
        </w:rPr>
        <w:t>Attitudes to language</w:t>
      </w:r>
      <w:r w:rsidRPr="00CF31E0">
        <w:rPr>
          <w:rFonts w:eastAsia="Calibri" w:hAnsi="Calibri Light"/>
          <w:color w:val="000000" w:themeColor="text1"/>
          <w:lang w:eastAsia="en-US"/>
        </w:rPr>
        <w:t>. New York, NY: Cambridge University Press.</w:t>
      </w:r>
    </w:p>
    <w:p w14:paraId="4F613116"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0E3509">
        <w:rPr>
          <w:rFonts w:eastAsia="Calibri" w:hAnsi="Calibri Light"/>
          <w:color w:val="000000" w:themeColor="text1"/>
          <w:lang w:val="sv-SE" w:eastAsia="en-US"/>
        </w:rPr>
        <w:lastRenderedPageBreak/>
        <w:t xml:space="preserve">Garrett, P., Bishop, H., &amp; Coupland, N. (2009). </w:t>
      </w:r>
      <w:r w:rsidRPr="00CF31E0">
        <w:rPr>
          <w:rFonts w:eastAsia="Calibri" w:hAnsi="Calibri Light"/>
          <w:color w:val="000000" w:themeColor="text1"/>
          <w:lang w:eastAsia="en-US"/>
        </w:rPr>
        <w:t xml:space="preserve">Diasporic ethnolinguistic subjectivities: Patagonia, North America, and Wales. </w:t>
      </w:r>
      <w:r w:rsidRPr="00CF31E0">
        <w:rPr>
          <w:rFonts w:eastAsia="Calibri" w:hAnsi="Calibri Light"/>
          <w:i/>
          <w:iCs/>
          <w:color w:val="000000" w:themeColor="text1"/>
          <w:lang w:eastAsia="en-US"/>
        </w:rPr>
        <w:t>International Journal of the Sociology of Language</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2009</w:t>
      </w:r>
      <w:r w:rsidRPr="00CF31E0">
        <w:rPr>
          <w:rFonts w:eastAsia="Calibri" w:hAnsi="Calibri Light"/>
          <w:color w:val="000000" w:themeColor="text1"/>
          <w:lang w:eastAsia="en-US"/>
        </w:rPr>
        <w:t>(195), 173</w:t>
      </w:r>
      <w:r w:rsidRPr="00CF31E0">
        <w:rPr>
          <w:rFonts w:eastAsia="Calibri" w:hAnsi="Calibri Light"/>
          <w:color w:val="000000" w:themeColor="text1"/>
          <w:lang w:eastAsia="en-US"/>
        </w:rPr>
        <w:t>–</w:t>
      </w:r>
      <w:r w:rsidRPr="00CF31E0">
        <w:rPr>
          <w:rFonts w:eastAsia="Calibri" w:hAnsi="Calibri Light"/>
          <w:color w:val="000000" w:themeColor="text1"/>
          <w:lang w:eastAsia="en-US"/>
        </w:rPr>
        <w:t>199. https://doi.org/10.1515/IJSL.2009.010</w:t>
      </w:r>
    </w:p>
    <w:p w14:paraId="5EA4FE12"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Garrett, P., Coupland, N., &amp; Williams, A. (2003). </w:t>
      </w:r>
      <w:r w:rsidRPr="00CF31E0">
        <w:rPr>
          <w:rFonts w:eastAsia="Calibri" w:hAnsi="Calibri Light"/>
          <w:i/>
          <w:iCs/>
          <w:color w:val="000000" w:themeColor="text1"/>
          <w:lang w:eastAsia="en-US"/>
        </w:rPr>
        <w:t>Investigating language attitudes: Social meanings of dialect, ethnicity and performance</w:t>
      </w:r>
      <w:r w:rsidRPr="00CF31E0">
        <w:rPr>
          <w:rFonts w:eastAsia="Calibri" w:hAnsi="Calibri Light"/>
          <w:color w:val="000000" w:themeColor="text1"/>
          <w:lang w:eastAsia="en-US"/>
        </w:rPr>
        <w:t xml:space="preserve">. Cardiff, Wales: University of Wales Press. </w:t>
      </w:r>
    </w:p>
    <w:p w14:paraId="7AB3D3A6"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Garrett, P., Williams, A., &amp; Evans, B. (2005a). Accessing social meanings: Values of keywords, values in keywords. </w:t>
      </w:r>
      <w:r w:rsidRPr="00CF31E0">
        <w:rPr>
          <w:rFonts w:eastAsia="Calibri" w:hAnsi="Calibri Light"/>
          <w:i/>
          <w:iCs/>
          <w:color w:val="000000" w:themeColor="text1"/>
          <w:lang w:eastAsia="en-US"/>
        </w:rPr>
        <w:t>Acta Linguistica Hafniensia</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37</w:t>
      </w:r>
      <w:r w:rsidRPr="00CF31E0">
        <w:rPr>
          <w:rFonts w:eastAsia="Calibri" w:hAnsi="Calibri Light"/>
          <w:color w:val="000000" w:themeColor="text1"/>
          <w:lang w:eastAsia="en-US"/>
        </w:rPr>
        <w:t>(1), 37</w:t>
      </w:r>
      <w:r w:rsidRPr="00CF31E0">
        <w:rPr>
          <w:rFonts w:eastAsia="Calibri" w:hAnsi="Calibri Light"/>
          <w:color w:val="000000" w:themeColor="text1"/>
          <w:lang w:eastAsia="en-US"/>
        </w:rPr>
        <w:t>–</w:t>
      </w:r>
      <w:r w:rsidRPr="00CF31E0">
        <w:rPr>
          <w:rFonts w:eastAsia="Calibri" w:hAnsi="Calibri Light"/>
          <w:color w:val="000000" w:themeColor="text1"/>
          <w:lang w:eastAsia="en-US"/>
        </w:rPr>
        <w:t>54.</w:t>
      </w:r>
    </w:p>
    <w:p w14:paraId="5FCB82B6"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Garrett, P., Williams, A., &amp; Evans, B. (2005b). Attitudinal data from New Zealand, Australia, the USA and UK about each other</w:t>
      </w:r>
      <w:r w:rsidRPr="00CF31E0">
        <w:rPr>
          <w:rFonts w:eastAsia="Calibri"/>
          <w:color w:val="000000" w:themeColor="text1"/>
          <w:lang w:eastAsia="en-US"/>
        </w:rPr>
        <w:t>’</w:t>
      </w:r>
      <w:r w:rsidRPr="00CF31E0">
        <w:rPr>
          <w:rFonts w:eastAsia="Calibri" w:hAnsi="Calibri Light"/>
          <w:color w:val="000000" w:themeColor="text1"/>
          <w:lang w:eastAsia="en-US"/>
        </w:rPr>
        <w:t xml:space="preserve">s Englishes: Recent changes or consequences of methodologies? </w:t>
      </w:r>
      <w:r w:rsidRPr="00CF31E0">
        <w:rPr>
          <w:rFonts w:eastAsia="Calibri" w:hAnsi="Calibri Light"/>
          <w:i/>
          <w:iCs/>
          <w:color w:val="000000" w:themeColor="text1"/>
          <w:lang w:eastAsia="en-US"/>
        </w:rPr>
        <w:t>Multilingua</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24</w:t>
      </w:r>
      <w:r w:rsidRPr="00CF31E0">
        <w:rPr>
          <w:rFonts w:eastAsia="Calibri" w:hAnsi="Calibri Light"/>
          <w:color w:val="000000" w:themeColor="text1"/>
          <w:lang w:eastAsia="en-US"/>
        </w:rPr>
        <w:t>(3), 211</w:t>
      </w:r>
      <w:r w:rsidRPr="00CF31E0">
        <w:rPr>
          <w:rFonts w:eastAsia="Calibri" w:hAnsi="Calibri Light"/>
          <w:color w:val="000000" w:themeColor="text1"/>
          <w:lang w:eastAsia="en-US"/>
        </w:rPr>
        <w:t>–</w:t>
      </w:r>
      <w:r w:rsidRPr="00CF31E0">
        <w:rPr>
          <w:rFonts w:eastAsia="Calibri" w:hAnsi="Calibri Light"/>
          <w:color w:val="000000" w:themeColor="text1"/>
          <w:lang w:eastAsia="en-US"/>
        </w:rPr>
        <w:t>235. https://doi.org/10.1515/mult.2005.24.3.211</w:t>
      </w:r>
    </w:p>
    <w:p w14:paraId="1D626041"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General Authority for Statistics. (2010). Number of inhabitants in cities with a population greater than (5000) people. Retrieved 10 April 2018, from https://www.stats.gov.sa/en/14</w:t>
      </w:r>
    </w:p>
    <w:p w14:paraId="1A5CCE0E"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Giles, H. (1970). Evaluative reactions to accents. </w:t>
      </w:r>
      <w:r w:rsidRPr="00CF31E0">
        <w:rPr>
          <w:rFonts w:eastAsia="Calibri" w:hAnsi="Calibri Light"/>
          <w:i/>
          <w:iCs/>
          <w:color w:val="000000" w:themeColor="text1"/>
          <w:lang w:eastAsia="en-US"/>
        </w:rPr>
        <w:t>Educational Review</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22</w:t>
      </w:r>
      <w:r w:rsidRPr="00CF31E0">
        <w:rPr>
          <w:rFonts w:eastAsia="Calibri" w:hAnsi="Calibri Light"/>
          <w:color w:val="000000" w:themeColor="text1"/>
          <w:lang w:eastAsia="en-US"/>
        </w:rPr>
        <w:t>(3), 211</w:t>
      </w:r>
      <w:r w:rsidRPr="00CF31E0">
        <w:rPr>
          <w:rFonts w:eastAsia="Calibri" w:hAnsi="Calibri Light"/>
          <w:color w:val="000000" w:themeColor="text1"/>
          <w:lang w:eastAsia="en-US"/>
        </w:rPr>
        <w:t>–</w:t>
      </w:r>
      <w:r w:rsidRPr="00CF31E0">
        <w:rPr>
          <w:rFonts w:eastAsia="Calibri" w:hAnsi="Calibri Light"/>
          <w:color w:val="000000" w:themeColor="text1"/>
          <w:lang w:eastAsia="en-US"/>
        </w:rPr>
        <w:t>227.</w:t>
      </w:r>
    </w:p>
    <w:p w14:paraId="7559B66A"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Global Detention Project. (2016). Saudi Arabia immigration detention profile | Global detention project; mapping immigration detention around the world. Retrieved 6 April 2018, from https://www.globaldetentionproject.org/countries/middle-east/saudi-arabia</w:t>
      </w:r>
    </w:p>
    <w:p w14:paraId="0DB7FDB7"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lastRenderedPageBreak/>
        <w:t xml:space="preserve">Hamdan, A. (2005). Women and education in Saudi Arabia: Challenges and achievements. </w:t>
      </w:r>
      <w:r w:rsidRPr="00CF31E0">
        <w:rPr>
          <w:rFonts w:eastAsia="Calibri" w:hAnsi="Calibri Light"/>
          <w:i/>
          <w:iCs/>
          <w:color w:val="000000" w:themeColor="text1"/>
          <w:lang w:eastAsia="en-US"/>
        </w:rPr>
        <w:t>International Education Journal</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6</w:t>
      </w:r>
      <w:r w:rsidRPr="00CF31E0">
        <w:rPr>
          <w:rFonts w:eastAsia="Calibri" w:hAnsi="Calibri Light"/>
          <w:color w:val="000000" w:themeColor="text1"/>
          <w:lang w:eastAsia="en-US"/>
        </w:rPr>
        <w:t>(1), 42</w:t>
      </w:r>
      <w:r w:rsidRPr="00CF31E0">
        <w:rPr>
          <w:rFonts w:eastAsia="Calibri" w:hAnsi="Calibri Light"/>
          <w:color w:val="000000" w:themeColor="text1"/>
          <w:lang w:eastAsia="en-US"/>
        </w:rPr>
        <w:t>–</w:t>
      </w:r>
      <w:r w:rsidRPr="00CF31E0">
        <w:rPr>
          <w:rFonts w:eastAsia="Calibri" w:hAnsi="Calibri Light"/>
          <w:color w:val="000000" w:themeColor="text1"/>
          <w:lang w:eastAsia="en-US"/>
        </w:rPr>
        <w:t>64.</w:t>
      </w:r>
    </w:p>
    <w:p w14:paraId="668D1D09"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Hamdan, S. (1990). </w:t>
      </w:r>
      <w:r w:rsidRPr="00CF31E0">
        <w:rPr>
          <w:rFonts w:eastAsia="Calibri" w:hAnsi="Calibri Light"/>
          <w:i/>
          <w:iCs/>
          <w:color w:val="000000" w:themeColor="text1"/>
          <w:lang w:eastAsia="en-US"/>
        </w:rPr>
        <w:t xml:space="preserve">Social change in the Saudi family </w:t>
      </w:r>
      <w:r w:rsidRPr="00CF31E0">
        <w:rPr>
          <w:rFonts w:eastAsia="Calibri" w:hAnsi="Calibri Light"/>
          <w:color w:val="000000" w:themeColor="text1"/>
          <w:lang w:eastAsia="en-US"/>
        </w:rPr>
        <w:t>(Doctoral dissertation). Iowa State University. Retrieved from http://lib.dr.iastate.edu/rtd/11187/</w:t>
      </w:r>
    </w:p>
    <w:p w14:paraId="4E9FCE04"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Hartley, L. (1996). </w:t>
      </w:r>
      <w:r w:rsidRPr="00CF31E0">
        <w:rPr>
          <w:rFonts w:eastAsia="Calibri" w:hAnsi="Calibri Light"/>
          <w:i/>
          <w:iCs/>
          <w:color w:val="000000" w:themeColor="text1"/>
          <w:lang w:eastAsia="en-US"/>
        </w:rPr>
        <w:t xml:space="preserve">Oregonian perceptions of American regional speech </w:t>
      </w:r>
      <w:r w:rsidRPr="00CF31E0">
        <w:rPr>
          <w:rFonts w:eastAsia="Calibri" w:hAnsi="Calibri Light"/>
          <w:color w:val="000000" w:themeColor="text1"/>
          <w:lang w:eastAsia="en-US"/>
        </w:rPr>
        <w:t>(Master</w:t>
      </w:r>
      <w:r w:rsidRPr="00CF31E0">
        <w:rPr>
          <w:rFonts w:eastAsia="Calibri"/>
          <w:color w:val="000000" w:themeColor="text1"/>
          <w:lang w:eastAsia="en-US"/>
        </w:rPr>
        <w:t>’</w:t>
      </w:r>
      <w:r w:rsidRPr="00CF31E0">
        <w:rPr>
          <w:rFonts w:eastAsia="Calibri" w:hAnsi="Calibri Light"/>
          <w:color w:val="000000" w:themeColor="text1"/>
          <w:lang w:eastAsia="en-US"/>
        </w:rPr>
        <w:t>s thesis). Michigan State University. Retrieved from http://digitalcommons.georgefox.edu/lang_fac/13/</w:t>
      </w:r>
    </w:p>
    <w:p w14:paraId="63AF50EF"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Hay, J., &amp; Drager, K. (2010). Stuffed toys and speech perception. </w:t>
      </w:r>
      <w:r w:rsidRPr="00CF31E0">
        <w:rPr>
          <w:rFonts w:eastAsia="Calibri" w:hAnsi="Calibri Light"/>
          <w:i/>
          <w:iCs/>
          <w:color w:val="000000" w:themeColor="text1"/>
          <w:lang w:eastAsia="en-US"/>
        </w:rPr>
        <w:t>Linguistics</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48</w:t>
      </w:r>
      <w:r w:rsidRPr="00CF31E0">
        <w:rPr>
          <w:rFonts w:eastAsia="Calibri" w:hAnsi="Calibri Light"/>
          <w:color w:val="000000" w:themeColor="text1"/>
          <w:lang w:eastAsia="en-US"/>
        </w:rPr>
        <w:t>(4), 865</w:t>
      </w:r>
      <w:r w:rsidRPr="00CF31E0">
        <w:rPr>
          <w:rFonts w:eastAsia="Calibri" w:hAnsi="Calibri Light"/>
          <w:color w:val="000000" w:themeColor="text1"/>
          <w:lang w:eastAsia="en-US"/>
        </w:rPr>
        <w:t>–</w:t>
      </w:r>
      <w:r w:rsidRPr="00CF31E0">
        <w:rPr>
          <w:rFonts w:eastAsia="Calibri" w:hAnsi="Calibri Light"/>
          <w:color w:val="000000" w:themeColor="text1"/>
          <w:lang w:eastAsia="en-US"/>
        </w:rPr>
        <w:t>892. https://doi.org/10.1515/ling.2010.027</w:t>
      </w:r>
    </w:p>
    <w:p w14:paraId="57C0C6BA"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Hay, J., Drager, K., &amp; Gibson, A. (2018). Hearing r-sandhi: The role of past experience. </w:t>
      </w:r>
      <w:r w:rsidRPr="00CF31E0">
        <w:rPr>
          <w:rFonts w:eastAsia="Calibri" w:hAnsi="Calibri Light"/>
          <w:i/>
          <w:iCs/>
          <w:color w:val="000000" w:themeColor="text1"/>
          <w:lang w:eastAsia="en-US"/>
        </w:rPr>
        <w:t>Language</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94</w:t>
      </w:r>
      <w:r w:rsidRPr="00CF31E0">
        <w:rPr>
          <w:rFonts w:eastAsia="Calibri" w:hAnsi="Calibri Light"/>
          <w:color w:val="000000" w:themeColor="text1"/>
          <w:lang w:eastAsia="en-US"/>
        </w:rPr>
        <w:t>(2), 360</w:t>
      </w:r>
      <w:r w:rsidRPr="00CF31E0">
        <w:rPr>
          <w:rFonts w:eastAsia="Calibri" w:hAnsi="Calibri Light"/>
          <w:color w:val="000000" w:themeColor="text1"/>
          <w:lang w:eastAsia="en-US"/>
        </w:rPr>
        <w:t>–</w:t>
      </w:r>
      <w:r w:rsidRPr="00CF31E0">
        <w:rPr>
          <w:rFonts w:eastAsia="Calibri" w:hAnsi="Calibri Light"/>
          <w:color w:val="000000" w:themeColor="text1"/>
          <w:lang w:eastAsia="en-US"/>
        </w:rPr>
        <w:t>404. https://doi.org/10.1353/lan.2018.0020</w:t>
      </w:r>
    </w:p>
    <w:p w14:paraId="1994A89C"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Hay, J., Nolan, A., &amp; Drager, K. (2006). From fush to feesh: Exemplar priming in speech perception. </w:t>
      </w:r>
      <w:r w:rsidRPr="00CF31E0">
        <w:rPr>
          <w:rFonts w:eastAsia="Calibri" w:hAnsi="Calibri Light"/>
          <w:i/>
          <w:iCs/>
          <w:color w:val="000000" w:themeColor="text1"/>
          <w:lang w:eastAsia="en-US"/>
        </w:rPr>
        <w:t>The Linguistic Review</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23</w:t>
      </w:r>
      <w:r w:rsidRPr="00CF31E0">
        <w:rPr>
          <w:rFonts w:eastAsia="Calibri" w:hAnsi="Calibri Light"/>
          <w:color w:val="000000" w:themeColor="text1"/>
          <w:lang w:eastAsia="en-US"/>
        </w:rPr>
        <w:t>(3), 351</w:t>
      </w:r>
      <w:r w:rsidRPr="00CF31E0">
        <w:rPr>
          <w:rFonts w:eastAsia="Calibri" w:hAnsi="Calibri Light"/>
          <w:color w:val="000000" w:themeColor="text1"/>
          <w:lang w:eastAsia="en-US"/>
        </w:rPr>
        <w:t>–</w:t>
      </w:r>
      <w:r w:rsidRPr="00CF31E0">
        <w:rPr>
          <w:rFonts w:eastAsia="Calibri" w:hAnsi="Calibri Light"/>
          <w:color w:val="000000" w:themeColor="text1"/>
          <w:lang w:eastAsia="en-US"/>
        </w:rPr>
        <w:t>379. https://doi.org/10.1515/TLR.2006.014</w:t>
      </w:r>
    </w:p>
    <w:p w14:paraId="771536BE"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Henerson, M. E., Morris, L. L., &amp; Fitz-Gibbon, C. T. (1987). </w:t>
      </w:r>
      <w:r w:rsidRPr="00CF31E0">
        <w:rPr>
          <w:rFonts w:eastAsia="Calibri" w:hAnsi="Calibri Light"/>
          <w:i/>
          <w:iCs/>
          <w:color w:val="000000" w:themeColor="text1"/>
          <w:lang w:eastAsia="en-US"/>
        </w:rPr>
        <w:t>How to measure attitudes</w:t>
      </w:r>
      <w:r w:rsidRPr="00CF31E0">
        <w:rPr>
          <w:rFonts w:eastAsia="Calibri" w:hAnsi="Calibri Light"/>
          <w:color w:val="000000" w:themeColor="text1"/>
          <w:lang w:eastAsia="en-US"/>
        </w:rPr>
        <w:t>. London, England: SAGE Publications.</w:t>
      </w:r>
    </w:p>
    <w:p w14:paraId="03E22192"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Holes, C. (1990). </w:t>
      </w:r>
      <w:r w:rsidRPr="00CF31E0">
        <w:rPr>
          <w:rFonts w:eastAsia="Calibri" w:hAnsi="Calibri Light"/>
          <w:i/>
          <w:iCs/>
          <w:color w:val="000000" w:themeColor="text1"/>
          <w:lang w:eastAsia="en-US"/>
        </w:rPr>
        <w:t>Gulf Arabic</w:t>
      </w:r>
      <w:r w:rsidRPr="00CF31E0">
        <w:rPr>
          <w:rFonts w:eastAsia="Calibri" w:hAnsi="Calibri Light"/>
          <w:color w:val="000000" w:themeColor="text1"/>
          <w:lang w:eastAsia="en-US"/>
        </w:rPr>
        <w:t>. London, England: Routledge.</w:t>
      </w:r>
    </w:p>
    <w:p w14:paraId="152E8BF9" w14:textId="77777777" w:rsidR="00361ECA"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Holes, C. (1995). Community, dialect and urbanization in the Arabic-speaking Middle East. </w:t>
      </w:r>
      <w:r w:rsidRPr="00CF31E0">
        <w:rPr>
          <w:rFonts w:eastAsia="Calibri" w:hAnsi="Calibri Light"/>
          <w:i/>
          <w:iCs/>
          <w:color w:val="000000" w:themeColor="text1"/>
          <w:lang w:eastAsia="en-US"/>
        </w:rPr>
        <w:t>Bulletin of the School of Oriental and African Studies</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58</w:t>
      </w:r>
      <w:r w:rsidRPr="00CF31E0">
        <w:rPr>
          <w:rFonts w:eastAsia="Calibri" w:hAnsi="Calibri Light"/>
          <w:color w:val="000000" w:themeColor="text1"/>
          <w:lang w:eastAsia="en-US"/>
        </w:rPr>
        <w:t>(2), 270</w:t>
      </w:r>
      <w:r w:rsidRPr="00CF31E0">
        <w:rPr>
          <w:rFonts w:eastAsia="Calibri" w:hAnsi="Calibri Light"/>
          <w:color w:val="000000" w:themeColor="text1"/>
          <w:lang w:eastAsia="en-US"/>
        </w:rPr>
        <w:t>–</w:t>
      </w:r>
      <w:r w:rsidRPr="00CF31E0">
        <w:rPr>
          <w:rFonts w:eastAsia="Calibri" w:hAnsi="Calibri Light"/>
          <w:color w:val="000000" w:themeColor="text1"/>
          <w:lang w:eastAsia="en-US"/>
        </w:rPr>
        <w:t>287.</w:t>
      </w:r>
    </w:p>
    <w:p w14:paraId="72537A3B" w14:textId="748E8F81" w:rsidR="00A012A3" w:rsidRPr="00CF31E0" w:rsidRDefault="00BC5C9C" w:rsidP="00A012A3">
      <w:pPr>
        <w:spacing w:before="120" w:line="480" w:lineRule="auto"/>
        <w:ind w:left="720" w:hanging="720"/>
        <w:jc w:val="both"/>
        <w:rPr>
          <w:rFonts w:eastAsia="Calibri" w:hAnsi="Calibri Light"/>
          <w:color w:val="000000" w:themeColor="text1"/>
          <w:lang w:eastAsia="en-US"/>
        </w:rPr>
      </w:pPr>
      <w:r w:rsidRPr="00A012A3">
        <w:rPr>
          <w:rFonts w:eastAsia="Calibri" w:hAnsi="Calibri Light"/>
          <w:color w:val="000000" w:themeColor="text1"/>
          <w:lang w:eastAsia="en-US"/>
        </w:rPr>
        <w:lastRenderedPageBreak/>
        <w:t xml:space="preserve">Holes, C. (2004). </w:t>
      </w:r>
      <w:r w:rsidRPr="00A012A3">
        <w:rPr>
          <w:rFonts w:eastAsia="Calibri" w:hAnsi="Calibri Light"/>
          <w:i/>
          <w:iCs/>
          <w:color w:val="000000" w:themeColor="text1"/>
          <w:lang w:eastAsia="en-US"/>
        </w:rPr>
        <w:t>Modern Arabic: Structures, Functions, and Varieties</w:t>
      </w:r>
      <w:r w:rsidRPr="00A012A3">
        <w:rPr>
          <w:rFonts w:eastAsia="Calibri" w:hAnsi="Calibri Light"/>
          <w:color w:val="000000" w:themeColor="text1"/>
          <w:lang w:eastAsia="en-US"/>
        </w:rPr>
        <w:t>. Washington, D.C.: Georgetown University Press.</w:t>
      </w:r>
    </w:p>
    <w:p w14:paraId="35BC9032"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Horn, J. L. (1965). A rationale and test for the number of factors in factor analysis. </w:t>
      </w:r>
      <w:r w:rsidRPr="00CF31E0">
        <w:rPr>
          <w:rFonts w:eastAsia="Calibri" w:hAnsi="Calibri Light"/>
          <w:i/>
          <w:iCs/>
          <w:color w:val="000000" w:themeColor="text1"/>
          <w:lang w:eastAsia="en-US"/>
        </w:rPr>
        <w:t>Psychometrika</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30</w:t>
      </w:r>
      <w:r w:rsidRPr="00CF31E0">
        <w:rPr>
          <w:rFonts w:eastAsia="Calibri" w:hAnsi="Calibri Light"/>
          <w:color w:val="000000" w:themeColor="text1"/>
          <w:lang w:eastAsia="en-US"/>
        </w:rPr>
        <w:t>(2), 179</w:t>
      </w:r>
      <w:r w:rsidRPr="00CF31E0">
        <w:rPr>
          <w:rFonts w:eastAsia="Calibri" w:hAnsi="Calibri Light"/>
          <w:color w:val="000000" w:themeColor="text1"/>
          <w:lang w:eastAsia="en-US"/>
        </w:rPr>
        <w:t>–</w:t>
      </w:r>
      <w:r w:rsidRPr="00CF31E0">
        <w:rPr>
          <w:rFonts w:eastAsia="Calibri" w:hAnsi="Calibri Light"/>
          <w:color w:val="000000" w:themeColor="text1"/>
          <w:lang w:eastAsia="en-US"/>
        </w:rPr>
        <w:t>185.</w:t>
      </w:r>
    </w:p>
    <w:p w14:paraId="1DF4A59C"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Hubbard, R., &amp; Allen, S. J. (1987). An empirical comparison of alternative methods for principal component extraction. </w:t>
      </w:r>
      <w:r w:rsidRPr="00CF31E0">
        <w:rPr>
          <w:rFonts w:eastAsia="Calibri" w:hAnsi="Calibri Light"/>
          <w:i/>
          <w:iCs/>
          <w:color w:val="000000" w:themeColor="text1"/>
          <w:lang w:eastAsia="en-US"/>
        </w:rPr>
        <w:t>Journal of Business Research</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15</w:t>
      </w:r>
      <w:r w:rsidRPr="00CF31E0">
        <w:rPr>
          <w:rFonts w:eastAsia="Calibri" w:hAnsi="Calibri Light"/>
          <w:color w:val="000000" w:themeColor="text1"/>
          <w:lang w:eastAsia="en-US"/>
        </w:rPr>
        <w:t>(2), 173</w:t>
      </w:r>
      <w:r w:rsidRPr="00CF31E0">
        <w:rPr>
          <w:rFonts w:eastAsia="Calibri" w:hAnsi="Calibri Light"/>
          <w:color w:val="000000" w:themeColor="text1"/>
          <w:lang w:eastAsia="en-US"/>
        </w:rPr>
        <w:t>–</w:t>
      </w:r>
      <w:r w:rsidRPr="00CF31E0">
        <w:rPr>
          <w:rFonts w:eastAsia="Calibri" w:hAnsi="Calibri Light"/>
          <w:color w:val="000000" w:themeColor="text1"/>
          <w:lang w:eastAsia="en-US"/>
        </w:rPr>
        <w:t>190.</w:t>
      </w:r>
    </w:p>
    <w:p w14:paraId="4D82042C"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Huygens, I., &amp; Vaughan, G. M. (1983). Language attitudes, ethnicity and social class in New Zealand. </w:t>
      </w:r>
      <w:r w:rsidRPr="00CF31E0">
        <w:rPr>
          <w:rFonts w:eastAsia="Calibri" w:hAnsi="Calibri Light"/>
          <w:i/>
          <w:iCs/>
          <w:color w:val="000000" w:themeColor="text1"/>
          <w:lang w:eastAsia="en-US"/>
        </w:rPr>
        <w:t>Journal of Multilingual and Multicultural Development</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4</w:t>
      </w:r>
      <w:r w:rsidRPr="00CF31E0">
        <w:rPr>
          <w:rFonts w:eastAsia="Calibri" w:hAnsi="Calibri Light"/>
          <w:color w:val="000000" w:themeColor="text1"/>
          <w:lang w:eastAsia="en-US"/>
        </w:rPr>
        <w:t>(2</w:t>
      </w:r>
      <w:r w:rsidRPr="00CF31E0">
        <w:rPr>
          <w:rFonts w:eastAsia="Calibri" w:hAnsi="Calibri Light"/>
          <w:color w:val="000000" w:themeColor="text1"/>
          <w:lang w:eastAsia="en-US"/>
        </w:rPr>
        <w:t>–</w:t>
      </w:r>
      <w:r w:rsidRPr="00CF31E0">
        <w:rPr>
          <w:rFonts w:eastAsia="Calibri" w:hAnsi="Calibri Light"/>
          <w:color w:val="000000" w:themeColor="text1"/>
          <w:lang w:eastAsia="en-US"/>
        </w:rPr>
        <w:t>3), 207</w:t>
      </w:r>
      <w:r w:rsidRPr="00CF31E0">
        <w:rPr>
          <w:rFonts w:eastAsia="Calibri" w:hAnsi="Calibri Light"/>
          <w:color w:val="000000" w:themeColor="text1"/>
          <w:lang w:eastAsia="en-US"/>
        </w:rPr>
        <w:t>–</w:t>
      </w:r>
      <w:r w:rsidRPr="00CF31E0">
        <w:rPr>
          <w:rFonts w:eastAsia="Calibri" w:hAnsi="Calibri Light"/>
          <w:color w:val="000000" w:themeColor="text1"/>
          <w:lang w:eastAsia="en-US"/>
        </w:rPr>
        <w:t>223. https://doi.org/10.1080/01434632.1983.9994112</w:t>
      </w:r>
    </w:p>
    <w:p w14:paraId="0FE6F629"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Ingham, B. (1971). Some characteristics of Meccan speech. </w:t>
      </w:r>
      <w:r w:rsidRPr="00CF31E0">
        <w:rPr>
          <w:rFonts w:eastAsia="Calibri" w:hAnsi="Calibri Light"/>
          <w:i/>
          <w:iCs/>
          <w:color w:val="000000" w:themeColor="text1"/>
          <w:lang w:eastAsia="en-US"/>
        </w:rPr>
        <w:t>Bulletin of the School of Oriental and African Studies</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34</w:t>
      </w:r>
      <w:r w:rsidRPr="00CF31E0">
        <w:rPr>
          <w:rFonts w:eastAsia="Calibri" w:hAnsi="Calibri Light"/>
          <w:color w:val="000000" w:themeColor="text1"/>
          <w:lang w:eastAsia="en-US"/>
        </w:rPr>
        <w:t>(2), 273</w:t>
      </w:r>
      <w:r w:rsidRPr="00CF31E0">
        <w:rPr>
          <w:rFonts w:eastAsia="Calibri" w:hAnsi="Calibri Light"/>
          <w:color w:val="000000" w:themeColor="text1"/>
          <w:lang w:eastAsia="en-US"/>
        </w:rPr>
        <w:t>–</w:t>
      </w:r>
      <w:r w:rsidRPr="00CF31E0">
        <w:rPr>
          <w:rFonts w:eastAsia="Calibri" w:hAnsi="Calibri Light"/>
          <w:color w:val="000000" w:themeColor="text1"/>
          <w:lang w:eastAsia="en-US"/>
        </w:rPr>
        <w:t>297.</w:t>
      </w:r>
    </w:p>
    <w:p w14:paraId="2A7E4522"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Ingham, B. (1982). Notes on the dialect of the </w:t>
      </w:r>
      <w:r w:rsidRPr="00CF31E0">
        <w:rPr>
          <w:rFonts w:eastAsia="Calibri"/>
          <w:color w:val="000000" w:themeColor="text1"/>
          <w:lang w:eastAsia="en-US"/>
        </w:rPr>
        <w:t>Ḍ</w:t>
      </w:r>
      <w:r w:rsidRPr="00CF31E0">
        <w:rPr>
          <w:rFonts w:eastAsia="Calibri" w:hAnsi="Calibri Light"/>
          <w:color w:val="000000" w:themeColor="text1"/>
          <w:lang w:eastAsia="en-US"/>
        </w:rPr>
        <w:t xml:space="preserve">hafr of north-eastern Arabia. </w:t>
      </w:r>
      <w:r w:rsidRPr="00CF31E0">
        <w:rPr>
          <w:rFonts w:eastAsia="Calibri" w:hAnsi="Calibri Light"/>
          <w:i/>
          <w:iCs/>
          <w:color w:val="000000" w:themeColor="text1"/>
          <w:lang w:eastAsia="en-US"/>
        </w:rPr>
        <w:t>Bulletin of the School of Oriental and African Studies</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45</w:t>
      </w:r>
      <w:r w:rsidRPr="00CF31E0">
        <w:rPr>
          <w:rFonts w:eastAsia="Calibri" w:hAnsi="Calibri Light"/>
          <w:color w:val="000000" w:themeColor="text1"/>
          <w:lang w:eastAsia="en-US"/>
        </w:rPr>
        <w:t>(2), 245</w:t>
      </w:r>
      <w:r w:rsidRPr="00CF31E0">
        <w:rPr>
          <w:rFonts w:eastAsia="Calibri" w:hAnsi="Calibri Light"/>
          <w:color w:val="000000" w:themeColor="text1"/>
          <w:lang w:eastAsia="en-US"/>
        </w:rPr>
        <w:t>–</w:t>
      </w:r>
      <w:r w:rsidRPr="00CF31E0">
        <w:rPr>
          <w:rFonts w:eastAsia="Calibri" w:hAnsi="Calibri Light"/>
          <w:color w:val="000000" w:themeColor="text1"/>
          <w:lang w:eastAsia="en-US"/>
        </w:rPr>
        <w:t>259.</w:t>
      </w:r>
    </w:p>
    <w:p w14:paraId="492EF2B5"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Ingham, B. (1986). Notes on the dialect of the </w:t>
      </w:r>
      <w:r w:rsidRPr="00CF31E0">
        <w:rPr>
          <w:rFonts w:eastAsia="Calibri"/>
          <w:color w:val="000000" w:themeColor="text1"/>
          <w:lang w:eastAsia="en-US"/>
        </w:rPr>
        <w:t>Ā</w:t>
      </w:r>
      <w:r w:rsidRPr="00CF31E0">
        <w:rPr>
          <w:rFonts w:eastAsia="Calibri" w:hAnsi="Calibri Light"/>
          <w:color w:val="000000" w:themeColor="text1"/>
          <w:lang w:eastAsia="en-US"/>
        </w:rPr>
        <w:t xml:space="preserve">l Murra of eastern and southern Arabia. </w:t>
      </w:r>
      <w:r w:rsidRPr="00CF31E0">
        <w:rPr>
          <w:rFonts w:eastAsia="Calibri" w:hAnsi="Calibri Light"/>
          <w:i/>
          <w:iCs/>
          <w:color w:val="000000" w:themeColor="text1"/>
          <w:lang w:eastAsia="en-US"/>
        </w:rPr>
        <w:t>Bulletin of the School of Oriental and African Studies</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49</w:t>
      </w:r>
      <w:r w:rsidRPr="00CF31E0">
        <w:rPr>
          <w:rFonts w:eastAsia="Calibri" w:hAnsi="Calibri Light"/>
          <w:color w:val="000000" w:themeColor="text1"/>
          <w:lang w:eastAsia="en-US"/>
        </w:rPr>
        <w:t>(2), 271</w:t>
      </w:r>
      <w:r w:rsidRPr="00CF31E0">
        <w:rPr>
          <w:rFonts w:eastAsia="Calibri" w:hAnsi="Calibri Light"/>
          <w:color w:val="000000" w:themeColor="text1"/>
          <w:lang w:eastAsia="en-US"/>
        </w:rPr>
        <w:t>–</w:t>
      </w:r>
      <w:r w:rsidRPr="00CF31E0">
        <w:rPr>
          <w:rFonts w:eastAsia="Calibri" w:hAnsi="Calibri Light"/>
          <w:color w:val="000000" w:themeColor="text1"/>
          <w:lang w:eastAsia="en-US"/>
        </w:rPr>
        <w:t>291.</w:t>
      </w:r>
    </w:p>
    <w:p w14:paraId="2921DCED"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Inoue, F. (1996). Subjective dialect division in Great Britain. In D. R. Preston (Ed.), </w:t>
      </w:r>
      <w:r w:rsidRPr="00CF31E0">
        <w:rPr>
          <w:rFonts w:eastAsia="Calibri" w:hAnsi="Calibri Light"/>
          <w:i/>
          <w:iCs/>
          <w:color w:val="000000" w:themeColor="text1"/>
          <w:lang w:eastAsia="en-US"/>
        </w:rPr>
        <w:t>Handbook of perceptual dialectology</w:t>
      </w:r>
      <w:r w:rsidRPr="00CF31E0">
        <w:rPr>
          <w:rFonts w:eastAsia="Calibri" w:hAnsi="Calibri Light"/>
          <w:color w:val="000000" w:themeColor="text1"/>
          <w:lang w:eastAsia="en-US"/>
        </w:rPr>
        <w:t xml:space="preserve"> (Vol. 1, pp. 161</w:t>
      </w:r>
      <w:r w:rsidRPr="00CF31E0">
        <w:rPr>
          <w:rFonts w:eastAsia="Calibri" w:hAnsi="Calibri Light"/>
          <w:color w:val="000000" w:themeColor="text1"/>
          <w:lang w:eastAsia="en-US"/>
        </w:rPr>
        <w:t>–</w:t>
      </w:r>
      <w:r w:rsidRPr="00CF31E0">
        <w:rPr>
          <w:rFonts w:eastAsia="Calibri" w:hAnsi="Calibri Light"/>
          <w:color w:val="000000" w:themeColor="text1"/>
          <w:lang w:eastAsia="en-US"/>
        </w:rPr>
        <w:t xml:space="preserve">176). Amsterdam, The Netherlands: John Benjamins Publishing. </w:t>
      </w:r>
    </w:p>
    <w:p w14:paraId="13253B67"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lastRenderedPageBreak/>
        <w:t xml:space="preserve">Inoue, F. (1999). Classification of dialects by image: English and Japanese. In D. R. Preston (Ed.), </w:t>
      </w:r>
      <w:r w:rsidRPr="00CF31E0">
        <w:rPr>
          <w:rFonts w:eastAsia="Calibri" w:hAnsi="Calibri Light"/>
          <w:i/>
          <w:iCs/>
          <w:color w:val="000000" w:themeColor="text1"/>
          <w:lang w:eastAsia="en-US"/>
        </w:rPr>
        <w:t>Handbook of perceptual dialectology</w:t>
      </w:r>
      <w:r w:rsidRPr="00CF31E0">
        <w:rPr>
          <w:rFonts w:eastAsia="Calibri" w:hAnsi="Calibri Light"/>
          <w:color w:val="000000" w:themeColor="text1"/>
          <w:lang w:eastAsia="en-US"/>
        </w:rPr>
        <w:t xml:space="preserve"> (Vol. 1, pp. 147</w:t>
      </w:r>
      <w:r w:rsidRPr="00CF31E0">
        <w:rPr>
          <w:rFonts w:eastAsia="Calibri" w:hAnsi="Calibri Light"/>
          <w:color w:val="000000" w:themeColor="text1"/>
          <w:lang w:eastAsia="en-US"/>
        </w:rPr>
        <w:t>–</w:t>
      </w:r>
      <w:r w:rsidRPr="00CF31E0">
        <w:rPr>
          <w:rFonts w:eastAsia="Calibri" w:hAnsi="Calibri Light"/>
          <w:color w:val="000000" w:themeColor="text1"/>
          <w:lang w:eastAsia="en-US"/>
        </w:rPr>
        <w:t>160). Amsterdam, The Netherlands: John Benjamins Publishing.</w:t>
      </w:r>
    </w:p>
    <w:p w14:paraId="1664A6F4"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Johnstone, T. M. (1965). The sound change </w:t>
      </w:r>
      <w:r w:rsidRPr="00CF31E0">
        <w:rPr>
          <w:rFonts w:eastAsia="Calibri"/>
          <w:color w:val="000000" w:themeColor="text1"/>
          <w:lang w:eastAsia="en-US"/>
        </w:rPr>
        <w:t>“</w:t>
      </w:r>
      <w:r w:rsidRPr="00CF31E0">
        <w:rPr>
          <w:rFonts w:eastAsia="Calibri" w:hAnsi="Calibri Light"/>
          <w:color w:val="000000" w:themeColor="text1"/>
          <w:lang w:eastAsia="en-US"/>
        </w:rPr>
        <w:t>j &gt; y</w:t>
      </w:r>
      <w:r w:rsidRPr="00CF31E0">
        <w:rPr>
          <w:rFonts w:eastAsia="Calibri"/>
          <w:color w:val="000000" w:themeColor="text1"/>
          <w:lang w:eastAsia="en-US"/>
        </w:rPr>
        <w:t>”</w:t>
      </w:r>
      <w:r w:rsidRPr="00CF31E0">
        <w:rPr>
          <w:rFonts w:eastAsia="Calibri" w:hAnsi="Calibri Light"/>
          <w:color w:val="000000" w:themeColor="text1"/>
          <w:lang w:eastAsia="en-US"/>
        </w:rPr>
        <w:t xml:space="preserve"> in the Arabic dialects of peninsular Arabia. </w:t>
      </w:r>
      <w:r w:rsidRPr="00CF31E0">
        <w:rPr>
          <w:rFonts w:eastAsia="Calibri" w:hAnsi="Calibri Light"/>
          <w:i/>
          <w:iCs/>
          <w:color w:val="000000" w:themeColor="text1"/>
          <w:lang w:eastAsia="en-US"/>
        </w:rPr>
        <w:t>Bulletin of the School of Oriental and African Studies</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28</w:t>
      </w:r>
      <w:r w:rsidRPr="00CF31E0">
        <w:rPr>
          <w:rFonts w:eastAsia="Calibri" w:hAnsi="Calibri Light"/>
          <w:color w:val="000000" w:themeColor="text1"/>
          <w:lang w:eastAsia="en-US"/>
        </w:rPr>
        <w:t>(2), 233</w:t>
      </w:r>
      <w:r w:rsidRPr="00CF31E0">
        <w:rPr>
          <w:rFonts w:eastAsia="Calibri" w:hAnsi="Calibri Light"/>
          <w:color w:val="000000" w:themeColor="text1"/>
          <w:lang w:eastAsia="en-US"/>
        </w:rPr>
        <w:t>–</w:t>
      </w:r>
      <w:r w:rsidRPr="00CF31E0">
        <w:rPr>
          <w:rFonts w:eastAsia="Calibri" w:hAnsi="Calibri Light"/>
          <w:color w:val="000000" w:themeColor="text1"/>
          <w:lang w:eastAsia="en-US"/>
        </w:rPr>
        <w:t>241.</w:t>
      </w:r>
    </w:p>
    <w:p w14:paraId="2E658B86"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Johnstone, T. M. (1967). </w:t>
      </w:r>
      <w:r w:rsidRPr="00CF31E0">
        <w:rPr>
          <w:rFonts w:eastAsia="Calibri" w:hAnsi="Calibri Light"/>
          <w:i/>
          <w:iCs/>
          <w:color w:val="000000" w:themeColor="text1"/>
          <w:lang w:eastAsia="en-US"/>
        </w:rPr>
        <w:t>Eastern Arabian dialect studies</w:t>
      </w:r>
      <w:r w:rsidRPr="00CF31E0">
        <w:rPr>
          <w:rFonts w:eastAsia="Calibri" w:hAnsi="Calibri Light"/>
          <w:color w:val="000000" w:themeColor="text1"/>
          <w:lang w:eastAsia="en-US"/>
        </w:rPr>
        <w:t>. London, England: Oxford University Press.</w:t>
      </w:r>
    </w:p>
    <w:p w14:paraId="08A665F4"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Kaiser, H. F. (1958). The varimax criterion for analytic rotation in factor analysis. </w:t>
      </w:r>
      <w:r w:rsidRPr="00CF31E0">
        <w:rPr>
          <w:rFonts w:eastAsia="Calibri" w:hAnsi="Calibri Light"/>
          <w:i/>
          <w:iCs/>
          <w:color w:val="000000" w:themeColor="text1"/>
          <w:lang w:eastAsia="en-US"/>
        </w:rPr>
        <w:t>Psychometrika</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23</w:t>
      </w:r>
      <w:r w:rsidRPr="00CF31E0">
        <w:rPr>
          <w:rFonts w:eastAsia="Calibri" w:hAnsi="Calibri Light"/>
          <w:color w:val="000000" w:themeColor="text1"/>
          <w:lang w:eastAsia="en-US"/>
        </w:rPr>
        <w:t>(3), 187</w:t>
      </w:r>
      <w:r w:rsidRPr="00CF31E0">
        <w:rPr>
          <w:rFonts w:eastAsia="Calibri" w:hAnsi="Calibri Light"/>
          <w:color w:val="000000" w:themeColor="text1"/>
          <w:lang w:eastAsia="en-US"/>
        </w:rPr>
        <w:t>–</w:t>
      </w:r>
      <w:r w:rsidRPr="00CF31E0">
        <w:rPr>
          <w:rFonts w:eastAsia="Calibri" w:hAnsi="Calibri Light"/>
          <w:color w:val="000000" w:themeColor="text1"/>
          <w:lang w:eastAsia="en-US"/>
        </w:rPr>
        <w:t>200. https://doi.org/10.1007/BF02289233</w:t>
      </w:r>
    </w:p>
    <w:p w14:paraId="72A2060C"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Khan, F. (2015). Why Mecca? Abraham and the Hajj in the Islamic tradition. In E. Tagliacozzo &amp; S. Toorawa (Eds.), </w:t>
      </w:r>
      <w:r w:rsidRPr="00CF31E0">
        <w:rPr>
          <w:rFonts w:eastAsia="Calibri" w:hAnsi="Calibri Light"/>
          <w:i/>
          <w:iCs/>
          <w:color w:val="000000" w:themeColor="text1"/>
          <w:lang w:eastAsia="en-US"/>
        </w:rPr>
        <w:t>The Hajj: Pilgrimage in Islam</w:t>
      </w:r>
      <w:r w:rsidRPr="00CF31E0">
        <w:rPr>
          <w:rFonts w:eastAsia="Calibri" w:hAnsi="Calibri Light"/>
          <w:color w:val="000000" w:themeColor="text1"/>
          <w:lang w:eastAsia="en-US"/>
        </w:rPr>
        <w:t xml:space="preserve"> (pp. 31</w:t>
      </w:r>
      <w:r w:rsidRPr="00CF31E0">
        <w:rPr>
          <w:rFonts w:eastAsia="Calibri" w:hAnsi="Calibri Light"/>
          <w:color w:val="000000" w:themeColor="text1"/>
          <w:lang w:eastAsia="en-US"/>
        </w:rPr>
        <w:t>–</w:t>
      </w:r>
      <w:r w:rsidRPr="00CF31E0">
        <w:rPr>
          <w:rFonts w:eastAsia="Calibri" w:hAnsi="Calibri Light"/>
          <w:color w:val="000000" w:themeColor="text1"/>
          <w:lang w:eastAsia="en-US"/>
        </w:rPr>
        <w:t>41). Cambridge, England: Cambridge University Press.</w:t>
      </w:r>
    </w:p>
    <w:p w14:paraId="4CCEF458"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Kristiansen, T. (2001). Two standards: One for the media and one for the school. </w:t>
      </w:r>
      <w:r w:rsidRPr="00CF31E0">
        <w:rPr>
          <w:rFonts w:eastAsia="Calibri" w:hAnsi="Calibri Light"/>
          <w:i/>
          <w:iCs/>
          <w:color w:val="000000" w:themeColor="text1"/>
          <w:lang w:eastAsia="en-US"/>
        </w:rPr>
        <w:t>Language Awareness</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10</w:t>
      </w:r>
      <w:r w:rsidRPr="00CF31E0">
        <w:rPr>
          <w:rFonts w:eastAsia="Calibri" w:hAnsi="Calibri Light"/>
          <w:color w:val="000000" w:themeColor="text1"/>
          <w:lang w:eastAsia="en-US"/>
        </w:rPr>
        <w:t>(1), 9</w:t>
      </w:r>
      <w:r w:rsidRPr="00CF31E0">
        <w:rPr>
          <w:rFonts w:eastAsia="Calibri" w:hAnsi="Calibri Light"/>
          <w:color w:val="000000" w:themeColor="text1"/>
          <w:lang w:eastAsia="en-US"/>
        </w:rPr>
        <w:t>–</w:t>
      </w:r>
      <w:r w:rsidRPr="00CF31E0">
        <w:rPr>
          <w:rFonts w:eastAsia="Calibri" w:hAnsi="Calibri Light"/>
          <w:color w:val="000000" w:themeColor="text1"/>
          <w:lang w:eastAsia="en-US"/>
        </w:rPr>
        <w:t>24. https://doi.org/10.1080/09658410108667022</w:t>
      </w:r>
    </w:p>
    <w:p w14:paraId="3A80A2B8" w14:textId="77777777" w:rsidR="00361ECA" w:rsidRPr="000E3509"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Kristiansen, T. (2009). The macro-level social meanings of late-modern Danish accents. </w:t>
      </w:r>
      <w:r w:rsidRPr="000E3509">
        <w:rPr>
          <w:rFonts w:eastAsia="Calibri" w:hAnsi="Calibri Light"/>
          <w:i/>
          <w:iCs/>
          <w:color w:val="000000" w:themeColor="text1"/>
          <w:lang w:eastAsia="en-US"/>
        </w:rPr>
        <w:t>Acta Linguistica Hafniensia</w:t>
      </w:r>
      <w:r w:rsidRPr="000E3509">
        <w:rPr>
          <w:rFonts w:eastAsia="Calibri" w:hAnsi="Calibri Light"/>
          <w:color w:val="000000" w:themeColor="text1"/>
          <w:lang w:eastAsia="en-US"/>
        </w:rPr>
        <w:t xml:space="preserve">, </w:t>
      </w:r>
      <w:r w:rsidRPr="000E3509">
        <w:rPr>
          <w:rFonts w:eastAsia="Calibri" w:hAnsi="Calibri Light"/>
          <w:i/>
          <w:iCs/>
          <w:color w:val="000000" w:themeColor="text1"/>
          <w:lang w:eastAsia="en-US"/>
        </w:rPr>
        <w:t>41</w:t>
      </w:r>
      <w:r w:rsidRPr="000E3509">
        <w:rPr>
          <w:rFonts w:eastAsia="Calibri" w:hAnsi="Calibri Light"/>
          <w:color w:val="000000" w:themeColor="text1"/>
          <w:lang w:eastAsia="en-US"/>
        </w:rPr>
        <w:t>(1), 167</w:t>
      </w:r>
      <w:r w:rsidRPr="000E3509">
        <w:rPr>
          <w:rFonts w:eastAsia="Calibri" w:hAnsi="Calibri Light"/>
          <w:color w:val="000000" w:themeColor="text1"/>
          <w:lang w:eastAsia="en-US"/>
        </w:rPr>
        <w:t>–</w:t>
      </w:r>
      <w:r w:rsidRPr="000E3509">
        <w:rPr>
          <w:rFonts w:eastAsia="Calibri" w:hAnsi="Calibri Light"/>
          <w:color w:val="000000" w:themeColor="text1"/>
          <w:lang w:eastAsia="en-US"/>
        </w:rPr>
        <w:t>192. https://doi.org/10.1080/03740460903364219</w:t>
      </w:r>
    </w:p>
    <w:p w14:paraId="73EF4302"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0E3509">
        <w:rPr>
          <w:rFonts w:eastAsia="Calibri" w:hAnsi="Calibri Light"/>
          <w:color w:val="000000" w:themeColor="text1"/>
          <w:lang w:eastAsia="en-US"/>
        </w:rPr>
        <w:lastRenderedPageBreak/>
        <w:t xml:space="preserve">Kristiansen, T., Garrett, P., &amp; Coupland, N. (2005). </w:t>
      </w:r>
      <w:r w:rsidRPr="00CF31E0">
        <w:rPr>
          <w:rFonts w:eastAsia="Calibri" w:hAnsi="Calibri Light"/>
          <w:color w:val="000000" w:themeColor="text1"/>
          <w:lang w:eastAsia="en-US"/>
        </w:rPr>
        <w:t xml:space="preserve">Introducing subjectivities in language variation and change. </w:t>
      </w:r>
      <w:r w:rsidRPr="00CF31E0">
        <w:rPr>
          <w:rFonts w:eastAsia="Calibri" w:hAnsi="Calibri Light"/>
          <w:i/>
          <w:iCs/>
          <w:color w:val="000000" w:themeColor="text1"/>
          <w:lang w:eastAsia="en-US"/>
        </w:rPr>
        <w:t>Acta Linguistica Hafniensia</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37</w:t>
      </w:r>
      <w:r w:rsidRPr="00CF31E0">
        <w:rPr>
          <w:rFonts w:eastAsia="Calibri" w:hAnsi="Calibri Light"/>
          <w:color w:val="000000" w:themeColor="text1"/>
          <w:lang w:eastAsia="en-US"/>
        </w:rPr>
        <w:t>(1), 9</w:t>
      </w:r>
      <w:r w:rsidRPr="00CF31E0">
        <w:rPr>
          <w:rFonts w:eastAsia="Calibri" w:hAnsi="Calibri Light"/>
          <w:color w:val="000000" w:themeColor="text1"/>
          <w:lang w:eastAsia="en-US"/>
        </w:rPr>
        <w:t>–</w:t>
      </w:r>
      <w:r w:rsidRPr="00CF31E0">
        <w:rPr>
          <w:rFonts w:eastAsia="Calibri" w:hAnsi="Calibri Light"/>
          <w:color w:val="000000" w:themeColor="text1"/>
          <w:lang w:eastAsia="en-US"/>
        </w:rPr>
        <w:t xml:space="preserve">35. </w:t>
      </w:r>
    </w:p>
    <w:p w14:paraId="3CEA9F95"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Krzywinski, M., &amp; Altman, N. (2014). Visualizing samples with box plots. </w:t>
      </w:r>
      <w:r w:rsidRPr="00CF31E0">
        <w:rPr>
          <w:rFonts w:eastAsia="Calibri" w:hAnsi="Calibri Light"/>
          <w:i/>
          <w:iCs/>
          <w:color w:val="000000" w:themeColor="text1"/>
          <w:lang w:eastAsia="en-US"/>
        </w:rPr>
        <w:t>Nature Methods</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11</w:t>
      </w:r>
      <w:r w:rsidRPr="00CF31E0">
        <w:rPr>
          <w:rFonts w:eastAsia="Calibri" w:hAnsi="Calibri Light"/>
          <w:color w:val="000000" w:themeColor="text1"/>
          <w:lang w:eastAsia="en-US"/>
        </w:rPr>
        <w:t>(2), 119</w:t>
      </w:r>
      <w:r w:rsidRPr="00CF31E0">
        <w:rPr>
          <w:rFonts w:eastAsia="Calibri" w:hAnsi="Calibri Light"/>
          <w:color w:val="000000" w:themeColor="text1"/>
          <w:lang w:eastAsia="en-US"/>
        </w:rPr>
        <w:t>–</w:t>
      </w:r>
      <w:r w:rsidRPr="00CF31E0">
        <w:rPr>
          <w:rFonts w:eastAsia="Calibri" w:hAnsi="Calibri Light"/>
          <w:color w:val="000000" w:themeColor="text1"/>
          <w:lang w:eastAsia="en-US"/>
        </w:rPr>
        <w:t>120.</w:t>
      </w:r>
    </w:p>
    <w:p w14:paraId="0FF8FAB6"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Kultgen, D. B. (2014). Saudi Aramco: A look ahead. </w:t>
      </w:r>
      <w:r w:rsidRPr="00CF31E0">
        <w:rPr>
          <w:rFonts w:eastAsia="Calibri" w:hAnsi="Calibri Light"/>
          <w:i/>
          <w:iCs/>
          <w:color w:val="000000" w:themeColor="text1"/>
          <w:lang w:eastAsia="en-US"/>
        </w:rPr>
        <w:t>Journal of World Energy Law and Business</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7</w:t>
      </w:r>
      <w:r w:rsidRPr="00CF31E0">
        <w:rPr>
          <w:rFonts w:eastAsia="Calibri" w:hAnsi="Calibri Light"/>
          <w:color w:val="000000" w:themeColor="text1"/>
          <w:lang w:eastAsia="en-US"/>
        </w:rPr>
        <w:t>(2), 153</w:t>
      </w:r>
      <w:r w:rsidRPr="00CF31E0">
        <w:rPr>
          <w:rFonts w:eastAsia="Calibri" w:hAnsi="Calibri Light"/>
          <w:color w:val="000000" w:themeColor="text1"/>
          <w:lang w:eastAsia="en-US"/>
        </w:rPr>
        <w:t>–</w:t>
      </w:r>
      <w:r w:rsidRPr="00CF31E0">
        <w:rPr>
          <w:rFonts w:eastAsia="Calibri" w:hAnsi="Calibri Light"/>
          <w:color w:val="000000" w:themeColor="text1"/>
          <w:lang w:eastAsia="en-US"/>
        </w:rPr>
        <w:t>161. https://doi.org/10.1093/jwelb/jwu003</w:t>
      </w:r>
    </w:p>
    <w:p w14:paraId="5DB6DAF4"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Labov, W. (1966). </w:t>
      </w:r>
      <w:r w:rsidRPr="00CF31E0">
        <w:rPr>
          <w:rFonts w:eastAsia="Calibri" w:hAnsi="Calibri Light"/>
          <w:i/>
          <w:iCs/>
          <w:color w:val="000000" w:themeColor="text1"/>
          <w:lang w:eastAsia="en-US"/>
        </w:rPr>
        <w:t>The social significance of speech in New York City</w:t>
      </w:r>
      <w:r w:rsidRPr="00CF31E0">
        <w:rPr>
          <w:rFonts w:eastAsia="Calibri" w:hAnsi="Calibri Light"/>
          <w:color w:val="000000" w:themeColor="text1"/>
          <w:lang w:eastAsia="en-US"/>
        </w:rPr>
        <w:t>. Washington, D.C.: Center for Applied Linguistics.</w:t>
      </w:r>
    </w:p>
    <w:p w14:paraId="4AFA9D61"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Labov, W. (1972). </w:t>
      </w:r>
      <w:r w:rsidRPr="00CF31E0">
        <w:rPr>
          <w:rFonts w:eastAsia="Calibri" w:hAnsi="Calibri Light"/>
          <w:i/>
          <w:iCs/>
          <w:color w:val="000000" w:themeColor="text1"/>
          <w:lang w:eastAsia="en-US"/>
        </w:rPr>
        <w:t>Sociolinguistic patterns</w:t>
      </w:r>
      <w:r w:rsidRPr="00CF31E0">
        <w:rPr>
          <w:rFonts w:eastAsia="Calibri" w:hAnsi="Calibri Light"/>
          <w:color w:val="000000" w:themeColor="text1"/>
          <w:lang w:eastAsia="en-US"/>
        </w:rPr>
        <w:t xml:space="preserve">. Philadelphia, PA: University of Pennsylvania Press. </w:t>
      </w:r>
    </w:p>
    <w:p w14:paraId="0B746ACF"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Labov, W. (1982). </w:t>
      </w:r>
      <w:r w:rsidRPr="00CF31E0">
        <w:rPr>
          <w:rFonts w:eastAsia="Calibri" w:hAnsi="Calibri Light"/>
          <w:i/>
          <w:iCs/>
          <w:color w:val="000000" w:themeColor="text1"/>
          <w:lang w:eastAsia="en-US"/>
        </w:rPr>
        <w:t>The social stratification of English in New York City.</w:t>
      </w:r>
      <w:r w:rsidRPr="00CF31E0">
        <w:rPr>
          <w:rFonts w:eastAsia="Calibri" w:hAnsi="Calibri Light"/>
          <w:color w:val="000000" w:themeColor="text1"/>
          <w:lang w:eastAsia="en-US"/>
        </w:rPr>
        <w:t xml:space="preserve"> Washington, D.C.: Center for Applied Linguistics.</w:t>
      </w:r>
    </w:p>
    <w:p w14:paraId="0C322F24"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Ladegaard, H. J. (1998). Assessing national stereotypes in language attitude studies: The case of class-consciousness in Denmark. </w:t>
      </w:r>
      <w:r w:rsidRPr="00CF31E0">
        <w:rPr>
          <w:rFonts w:eastAsia="Calibri" w:hAnsi="Calibri Light"/>
          <w:i/>
          <w:iCs/>
          <w:color w:val="000000" w:themeColor="text1"/>
          <w:lang w:eastAsia="en-US"/>
        </w:rPr>
        <w:t>Journal of Multilingual and Multicultural Development</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19</w:t>
      </w:r>
      <w:r w:rsidRPr="00CF31E0">
        <w:rPr>
          <w:rFonts w:eastAsia="Calibri" w:hAnsi="Calibri Light"/>
          <w:color w:val="000000" w:themeColor="text1"/>
          <w:lang w:eastAsia="en-US"/>
        </w:rPr>
        <w:t>(3), 182</w:t>
      </w:r>
      <w:r w:rsidRPr="00CF31E0">
        <w:rPr>
          <w:rFonts w:eastAsia="Calibri" w:hAnsi="Calibri Light"/>
          <w:color w:val="000000" w:themeColor="text1"/>
          <w:lang w:eastAsia="en-US"/>
        </w:rPr>
        <w:t>–</w:t>
      </w:r>
      <w:r w:rsidRPr="00CF31E0">
        <w:rPr>
          <w:rFonts w:eastAsia="Calibri" w:hAnsi="Calibri Light"/>
          <w:color w:val="000000" w:themeColor="text1"/>
          <w:lang w:eastAsia="en-US"/>
        </w:rPr>
        <w:t>198.</w:t>
      </w:r>
    </w:p>
    <w:p w14:paraId="7C47246F"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Longva, A. N. (2006). Nationalism in pre-modern guise: The discourse on hadhar and badu in Kuwait. </w:t>
      </w:r>
      <w:r w:rsidRPr="00CF31E0">
        <w:rPr>
          <w:rFonts w:eastAsia="Calibri" w:hAnsi="Calibri Light"/>
          <w:i/>
          <w:iCs/>
          <w:color w:val="000000" w:themeColor="text1"/>
          <w:lang w:eastAsia="en-US"/>
        </w:rPr>
        <w:t>International Journal of Middle East Studies</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38</w:t>
      </w:r>
      <w:r w:rsidRPr="00CF31E0">
        <w:rPr>
          <w:rFonts w:eastAsia="Calibri" w:hAnsi="Calibri Light"/>
          <w:color w:val="000000" w:themeColor="text1"/>
          <w:lang w:eastAsia="en-US"/>
        </w:rPr>
        <w:t>(2), 171</w:t>
      </w:r>
      <w:r w:rsidRPr="00CF31E0">
        <w:rPr>
          <w:rFonts w:eastAsia="Calibri" w:hAnsi="Calibri Light"/>
          <w:color w:val="000000" w:themeColor="text1"/>
          <w:lang w:eastAsia="en-US"/>
        </w:rPr>
        <w:t>–</w:t>
      </w:r>
      <w:r w:rsidRPr="00CF31E0">
        <w:rPr>
          <w:rFonts w:eastAsia="Calibri" w:hAnsi="Calibri Light"/>
          <w:color w:val="000000" w:themeColor="text1"/>
          <w:lang w:eastAsia="en-US"/>
        </w:rPr>
        <w:t>187.</w:t>
      </w:r>
    </w:p>
    <w:p w14:paraId="504DA48B" w14:textId="77777777" w:rsidR="00361ECA"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Maegaard, M. (2005). Language attitudes, norm and gender a presentation of the method and results from a language attitude study. </w:t>
      </w:r>
      <w:r w:rsidRPr="00CF31E0">
        <w:rPr>
          <w:rFonts w:eastAsia="Calibri" w:hAnsi="Calibri Light"/>
          <w:i/>
          <w:iCs/>
          <w:color w:val="000000" w:themeColor="text1"/>
          <w:lang w:eastAsia="en-US"/>
        </w:rPr>
        <w:t>Acta Linguistica Hafniensia</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37</w:t>
      </w:r>
      <w:r w:rsidRPr="00CF31E0">
        <w:rPr>
          <w:rFonts w:eastAsia="Calibri" w:hAnsi="Calibri Light"/>
          <w:color w:val="000000" w:themeColor="text1"/>
          <w:lang w:eastAsia="en-US"/>
        </w:rPr>
        <w:t>(1), 55</w:t>
      </w:r>
      <w:r w:rsidRPr="00CF31E0">
        <w:rPr>
          <w:rFonts w:eastAsia="Calibri" w:hAnsi="Calibri Light"/>
          <w:color w:val="000000" w:themeColor="text1"/>
          <w:lang w:eastAsia="en-US"/>
        </w:rPr>
        <w:t>–</w:t>
      </w:r>
      <w:r w:rsidRPr="00CF31E0">
        <w:rPr>
          <w:rFonts w:eastAsia="Calibri" w:hAnsi="Calibri Light"/>
          <w:color w:val="000000" w:themeColor="text1"/>
          <w:lang w:eastAsia="en-US"/>
        </w:rPr>
        <w:t xml:space="preserve">80. </w:t>
      </w:r>
    </w:p>
    <w:p w14:paraId="181938A0" w14:textId="43F29E68" w:rsidR="007A2511" w:rsidRPr="00CF31E0" w:rsidRDefault="00823A5A" w:rsidP="007A2511">
      <w:pPr>
        <w:spacing w:before="120" w:line="480" w:lineRule="auto"/>
        <w:ind w:left="720" w:hanging="720"/>
        <w:jc w:val="both"/>
        <w:rPr>
          <w:rFonts w:eastAsia="Calibri" w:hAnsi="Calibri Light"/>
          <w:color w:val="000000" w:themeColor="text1"/>
          <w:lang w:eastAsia="en-US"/>
        </w:rPr>
      </w:pPr>
      <w:r w:rsidRPr="007A2511">
        <w:rPr>
          <w:rFonts w:eastAsia="Calibri" w:hAnsi="Calibri Light"/>
          <w:color w:val="000000" w:themeColor="text1"/>
          <w:lang w:eastAsia="en-US"/>
        </w:rPr>
        <w:lastRenderedPageBreak/>
        <w:t>Mejdell, G. (1999). Switching, mixing</w:t>
      </w:r>
      <w:r w:rsidRPr="007A2511">
        <w:rPr>
          <w:rFonts w:eastAsia="Calibri" w:hAnsi="Calibri Light"/>
          <w:color w:val="000000" w:themeColor="text1"/>
          <w:lang w:eastAsia="en-US"/>
        </w:rPr>
        <w:t>–</w:t>
      </w:r>
      <w:r w:rsidRPr="007A2511">
        <w:rPr>
          <w:rFonts w:eastAsia="Calibri" w:hAnsi="Calibri Light"/>
          <w:color w:val="000000" w:themeColor="text1"/>
          <w:lang w:eastAsia="en-US"/>
        </w:rPr>
        <w:t xml:space="preserve">code interaction in spoken Arabic. In B. Brendemoen, E. Lanza, &amp; E. Ryen (Eds.), </w:t>
      </w:r>
      <w:r w:rsidRPr="007A2511">
        <w:rPr>
          <w:rFonts w:eastAsia="Calibri" w:hAnsi="Calibri Light"/>
          <w:i/>
          <w:iCs/>
          <w:color w:val="000000" w:themeColor="text1"/>
          <w:lang w:eastAsia="en-US"/>
        </w:rPr>
        <w:t>Language encounters across time and space</w:t>
      </w:r>
      <w:r w:rsidRPr="007A2511">
        <w:rPr>
          <w:rFonts w:eastAsia="Calibri" w:hAnsi="Calibri Light"/>
          <w:color w:val="000000" w:themeColor="text1"/>
          <w:lang w:eastAsia="en-US"/>
        </w:rPr>
        <w:t xml:space="preserve"> (pp. 225</w:t>
      </w:r>
      <w:r w:rsidRPr="007A2511">
        <w:rPr>
          <w:rFonts w:eastAsia="Calibri" w:hAnsi="Calibri Light"/>
          <w:color w:val="000000" w:themeColor="text1"/>
          <w:lang w:eastAsia="en-US"/>
        </w:rPr>
        <w:t>–</w:t>
      </w:r>
      <w:r w:rsidR="0034506C">
        <w:rPr>
          <w:rFonts w:eastAsia="Calibri" w:hAnsi="Calibri Light"/>
          <w:color w:val="000000" w:themeColor="text1"/>
          <w:lang w:eastAsia="en-US"/>
        </w:rPr>
        <w:t>2</w:t>
      </w:r>
      <w:r w:rsidRPr="007A2511">
        <w:rPr>
          <w:rFonts w:eastAsia="Calibri" w:hAnsi="Calibri Light"/>
          <w:color w:val="000000" w:themeColor="text1"/>
          <w:lang w:eastAsia="en-US"/>
        </w:rPr>
        <w:t>41). Oslo: Novus.</w:t>
      </w:r>
    </w:p>
    <w:p w14:paraId="4DAE49D4"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Meyerhoff, M., Schleef, E., &amp; MacKenzie, L. (2015). </w:t>
      </w:r>
      <w:r w:rsidRPr="00CF31E0">
        <w:rPr>
          <w:rFonts w:eastAsia="Calibri" w:hAnsi="Calibri Light"/>
          <w:i/>
          <w:iCs/>
          <w:color w:val="000000" w:themeColor="text1"/>
          <w:lang w:eastAsia="en-US"/>
        </w:rPr>
        <w:t>Doing sociolinguistics: A practical guide to data collection and analysis</w:t>
      </w:r>
      <w:r w:rsidRPr="00CF31E0">
        <w:rPr>
          <w:rFonts w:eastAsia="Calibri" w:hAnsi="Calibri Light"/>
          <w:color w:val="000000" w:themeColor="text1"/>
          <w:lang w:eastAsia="en-US"/>
        </w:rPr>
        <w:t>. New York, NY: Routledge.</w:t>
      </w:r>
    </w:p>
    <w:p w14:paraId="325321FC"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Ministry of Education. (n.d.). The custodian of the two holy mosques</w:t>
      </w:r>
      <w:r w:rsidRPr="00CF31E0">
        <w:rPr>
          <w:rFonts w:eastAsia="Calibri"/>
          <w:color w:val="000000" w:themeColor="text1"/>
          <w:lang w:eastAsia="en-US"/>
        </w:rPr>
        <w:t>’</w:t>
      </w:r>
      <w:r w:rsidRPr="00CF31E0">
        <w:rPr>
          <w:rFonts w:eastAsia="Calibri" w:hAnsi="Calibri Light"/>
          <w:color w:val="000000" w:themeColor="text1"/>
          <w:lang w:eastAsia="en-US"/>
        </w:rPr>
        <w:t xml:space="preserve"> overseas scholarship program. Retrieved 16 November 2018, from https://www.moe.gov.sa/en/HigherEducation/ExternalEducation/Pages/TheCustodianofTheTwoHolyMosquesOverseasScholarshipProgram.aspx</w:t>
      </w:r>
    </w:p>
    <w:p w14:paraId="3A4B7D77"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Ministry of Interior Affairs (1953). Saudi nationality system. Retrieved 4 November 2018, from https://www.moi.gov.sa/wps/wcm/connect/316362004d4bb7c28e05dfbed7ca8368/AR_saudi_nationality_system.pdf?MOD=AJPERES&amp;CACHEID=ROOTWORKSPACE-316362004d4bb7c28e05dfbed7ca8368-lDGneI</w:t>
      </w:r>
    </w:p>
    <w:p w14:paraId="7D190B8E"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Ministry of Labour and Social Development, Kingdom of Saudi Arabia. (2016). </w:t>
      </w:r>
      <w:r w:rsidRPr="00CF31E0">
        <w:rPr>
          <w:rFonts w:eastAsia="Calibri" w:hAnsi="Calibri Light"/>
          <w:i/>
          <w:iCs/>
          <w:color w:val="000000" w:themeColor="text1"/>
          <w:lang w:eastAsia="en-US"/>
        </w:rPr>
        <w:t>Saudi Arabia labour market report</w:t>
      </w:r>
      <w:r w:rsidRPr="00CF31E0">
        <w:rPr>
          <w:rFonts w:eastAsia="Calibri" w:hAnsi="Calibri Light"/>
          <w:color w:val="000000" w:themeColor="text1"/>
          <w:lang w:eastAsia="en-US"/>
        </w:rPr>
        <w:t xml:space="preserve"> (3rd ed.). Saudi Arabia. Retrieved from https://mlsd.gov.sa/en/node</w:t>
      </w:r>
    </w:p>
    <w:p w14:paraId="44DD31CF"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Montgomery, C. (2007). </w:t>
      </w:r>
      <w:r w:rsidRPr="00CF31E0">
        <w:rPr>
          <w:rFonts w:eastAsia="Calibri" w:hAnsi="Calibri Light"/>
          <w:i/>
          <w:iCs/>
          <w:color w:val="000000" w:themeColor="text1"/>
          <w:lang w:eastAsia="en-US"/>
        </w:rPr>
        <w:t xml:space="preserve">Northern English dialects: A perceptual approach </w:t>
      </w:r>
      <w:r w:rsidRPr="00CF31E0">
        <w:rPr>
          <w:rFonts w:eastAsia="Calibri" w:hAnsi="Calibri Light"/>
          <w:color w:val="000000" w:themeColor="text1"/>
          <w:lang w:eastAsia="en-US"/>
        </w:rPr>
        <w:t>(Doctoral dissertation). University of Sheffield. Retrieved from http://etheses.whiterose.ac.uk/1203/</w:t>
      </w:r>
    </w:p>
    <w:p w14:paraId="74CCA957"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lastRenderedPageBreak/>
        <w:t xml:space="preserve">Montgomery, C. (2012). The effect of proximity in perceptual dialectology. </w:t>
      </w:r>
      <w:r w:rsidRPr="00CF31E0">
        <w:rPr>
          <w:rFonts w:eastAsia="Calibri" w:hAnsi="Calibri Light"/>
          <w:i/>
          <w:iCs/>
          <w:color w:val="000000" w:themeColor="text1"/>
          <w:lang w:eastAsia="en-US"/>
        </w:rPr>
        <w:t>Journal of Sociolinguistics</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16</w:t>
      </w:r>
      <w:r w:rsidRPr="00CF31E0">
        <w:rPr>
          <w:rFonts w:eastAsia="Calibri" w:hAnsi="Calibri Light"/>
          <w:color w:val="000000" w:themeColor="text1"/>
          <w:lang w:eastAsia="en-US"/>
        </w:rPr>
        <w:t>(5), 638</w:t>
      </w:r>
      <w:r w:rsidRPr="00CF31E0">
        <w:rPr>
          <w:rFonts w:eastAsia="Calibri" w:hAnsi="Calibri Light"/>
          <w:color w:val="000000" w:themeColor="text1"/>
          <w:lang w:eastAsia="en-US"/>
        </w:rPr>
        <w:t>–</w:t>
      </w:r>
      <w:r w:rsidRPr="00CF31E0">
        <w:rPr>
          <w:rFonts w:eastAsia="Calibri" w:hAnsi="Calibri Light"/>
          <w:color w:val="000000" w:themeColor="text1"/>
          <w:lang w:eastAsia="en-US"/>
        </w:rPr>
        <w:t>668.</w:t>
      </w:r>
    </w:p>
    <w:p w14:paraId="6A8951F5"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Munt, H. (2014). </w:t>
      </w:r>
      <w:r w:rsidRPr="00CF31E0">
        <w:rPr>
          <w:rFonts w:eastAsia="Calibri" w:hAnsi="Calibri Light"/>
          <w:i/>
          <w:iCs/>
          <w:color w:val="000000" w:themeColor="text1"/>
          <w:lang w:eastAsia="en-US"/>
        </w:rPr>
        <w:t>The holy city of Medina: Sacred space in early Islamic Arabia</w:t>
      </w:r>
      <w:r w:rsidRPr="00CF31E0">
        <w:rPr>
          <w:rFonts w:eastAsia="Calibri" w:hAnsi="Calibri Light"/>
          <w:color w:val="000000" w:themeColor="text1"/>
          <w:lang w:eastAsia="en-US"/>
        </w:rPr>
        <w:t xml:space="preserve">. Cambridge, England: Cambridge University Press. </w:t>
      </w:r>
    </w:p>
    <w:p w14:paraId="311A1EAA"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Munt, H. (2015). Pilgrimage in pre-Islamic Arabia and late antiquity. In E. Tagliacozzo &amp; S. Toorawa (Eds.), </w:t>
      </w:r>
      <w:r w:rsidRPr="00CF31E0">
        <w:rPr>
          <w:rFonts w:eastAsia="Calibri" w:hAnsi="Calibri Light"/>
          <w:i/>
          <w:iCs/>
          <w:color w:val="000000" w:themeColor="text1"/>
          <w:lang w:eastAsia="en-US"/>
        </w:rPr>
        <w:t>The Hajj: Pilgrimage in Islam</w:t>
      </w:r>
      <w:r w:rsidRPr="00CF31E0">
        <w:rPr>
          <w:rFonts w:eastAsia="Calibri" w:hAnsi="Calibri Light"/>
          <w:color w:val="000000" w:themeColor="text1"/>
          <w:lang w:eastAsia="en-US"/>
        </w:rPr>
        <w:t xml:space="preserve"> (pp. 13</w:t>
      </w:r>
      <w:r w:rsidRPr="00CF31E0">
        <w:rPr>
          <w:rFonts w:eastAsia="Calibri" w:hAnsi="Calibri Light"/>
          <w:color w:val="000000" w:themeColor="text1"/>
          <w:lang w:eastAsia="en-US"/>
        </w:rPr>
        <w:t>–</w:t>
      </w:r>
      <w:r w:rsidRPr="00CF31E0">
        <w:rPr>
          <w:rFonts w:eastAsia="Calibri" w:hAnsi="Calibri Light"/>
          <w:color w:val="000000" w:themeColor="text1"/>
          <w:lang w:eastAsia="en-US"/>
        </w:rPr>
        <w:t>30). Cambridge, England: Cambridge University Press.</w:t>
      </w:r>
    </w:p>
    <w:p w14:paraId="5217207F"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Nahedh, M. (1989). </w:t>
      </w:r>
      <w:r w:rsidRPr="00CF31E0">
        <w:rPr>
          <w:rFonts w:eastAsia="Calibri" w:hAnsi="Calibri Light"/>
          <w:i/>
          <w:iCs/>
          <w:color w:val="000000" w:themeColor="text1"/>
          <w:lang w:eastAsia="en-US"/>
        </w:rPr>
        <w:t xml:space="preserve">The sedentarization of a Bedouin community in Saudi Arabia </w:t>
      </w:r>
      <w:r w:rsidRPr="00CF31E0">
        <w:rPr>
          <w:rFonts w:eastAsia="Calibri" w:hAnsi="Calibri Light"/>
          <w:color w:val="000000" w:themeColor="text1"/>
          <w:lang w:eastAsia="en-US"/>
        </w:rPr>
        <w:t>(Doctoral dissertation). University of Leeds.</w:t>
      </w:r>
    </w:p>
    <w:p w14:paraId="5C467F94"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Nesdale, D., &amp; Rooney, R. (1996). Evaluations and stereotyping of accented speakers by pre-adolescent children. </w:t>
      </w:r>
      <w:r w:rsidRPr="00CF31E0">
        <w:rPr>
          <w:rFonts w:eastAsia="Calibri" w:hAnsi="Calibri Light"/>
          <w:i/>
          <w:iCs/>
          <w:color w:val="000000" w:themeColor="text1"/>
          <w:lang w:eastAsia="en-US"/>
        </w:rPr>
        <w:t>Journal of Language and Social Psychology</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15</w:t>
      </w:r>
      <w:r w:rsidRPr="00CF31E0">
        <w:rPr>
          <w:rFonts w:eastAsia="Calibri" w:hAnsi="Calibri Light"/>
          <w:color w:val="000000" w:themeColor="text1"/>
          <w:lang w:eastAsia="en-US"/>
        </w:rPr>
        <w:t>(2), 133</w:t>
      </w:r>
      <w:r w:rsidRPr="00CF31E0">
        <w:rPr>
          <w:rFonts w:eastAsia="Calibri" w:hAnsi="Calibri Light"/>
          <w:color w:val="000000" w:themeColor="text1"/>
          <w:lang w:eastAsia="en-US"/>
        </w:rPr>
        <w:t>–</w:t>
      </w:r>
      <w:r w:rsidRPr="00CF31E0">
        <w:rPr>
          <w:rFonts w:eastAsia="Calibri" w:hAnsi="Calibri Light"/>
          <w:color w:val="000000" w:themeColor="text1"/>
          <w:lang w:eastAsia="en-US"/>
        </w:rPr>
        <w:t>154.</w:t>
      </w:r>
    </w:p>
    <w:p w14:paraId="179929A2"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Niedzielski, N. (1999). The effect of social information on the perception of sociolinguistic variables. </w:t>
      </w:r>
      <w:r w:rsidRPr="00CF31E0">
        <w:rPr>
          <w:rFonts w:eastAsia="Calibri" w:hAnsi="Calibri Light"/>
          <w:i/>
          <w:iCs/>
          <w:color w:val="000000" w:themeColor="text1"/>
          <w:lang w:eastAsia="en-US"/>
        </w:rPr>
        <w:t>Journal of Language and Social Psychology</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18</w:t>
      </w:r>
      <w:r w:rsidRPr="00CF31E0">
        <w:rPr>
          <w:rFonts w:eastAsia="Calibri" w:hAnsi="Calibri Light"/>
          <w:color w:val="000000" w:themeColor="text1"/>
          <w:lang w:eastAsia="en-US"/>
        </w:rPr>
        <w:t>(1), 62</w:t>
      </w:r>
      <w:r w:rsidRPr="00CF31E0">
        <w:rPr>
          <w:rFonts w:eastAsia="Calibri" w:hAnsi="Calibri Light"/>
          <w:color w:val="000000" w:themeColor="text1"/>
          <w:lang w:eastAsia="en-US"/>
        </w:rPr>
        <w:t>–</w:t>
      </w:r>
      <w:r w:rsidRPr="00CF31E0">
        <w:rPr>
          <w:rFonts w:eastAsia="Calibri" w:hAnsi="Calibri Light"/>
          <w:color w:val="000000" w:themeColor="text1"/>
          <w:lang w:eastAsia="en-US"/>
        </w:rPr>
        <w:t>85.</w:t>
      </w:r>
    </w:p>
    <w:p w14:paraId="01F4E760" w14:textId="68F050C1" w:rsidR="00D946B3" w:rsidRPr="00CF31E0" w:rsidRDefault="007F5371" w:rsidP="00D946B3">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Niedzielski,</w:t>
      </w:r>
      <w:r w:rsidR="00D946B3" w:rsidRPr="00CF31E0">
        <w:rPr>
          <w:rFonts w:eastAsia="Calibri" w:hAnsi="Calibri Light"/>
          <w:color w:val="000000" w:themeColor="text1"/>
          <w:lang w:eastAsia="en-US"/>
        </w:rPr>
        <w:t xml:space="preserve"> N.</w:t>
      </w:r>
      <w:r w:rsidRPr="00CF31E0">
        <w:rPr>
          <w:rFonts w:eastAsia="Calibri" w:hAnsi="Calibri Light"/>
          <w:color w:val="000000" w:themeColor="text1"/>
          <w:lang w:eastAsia="en-US"/>
        </w:rPr>
        <w:t xml:space="preserve"> &amp; Preston, D. R. (2003). </w:t>
      </w:r>
      <w:r w:rsidRPr="00CF31E0">
        <w:rPr>
          <w:rFonts w:eastAsia="Calibri" w:hAnsi="Calibri Light"/>
          <w:i/>
          <w:iCs/>
          <w:color w:val="000000" w:themeColor="text1"/>
          <w:lang w:eastAsia="en-US"/>
        </w:rPr>
        <w:t>Folk linguistics</w:t>
      </w:r>
      <w:r w:rsidRPr="00CF31E0">
        <w:rPr>
          <w:rFonts w:eastAsia="Calibri" w:hAnsi="Calibri Light"/>
          <w:color w:val="000000" w:themeColor="text1"/>
          <w:lang w:eastAsia="en-US"/>
        </w:rPr>
        <w:t>. Berlin; New York: Mouton de Gruyter.</w:t>
      </w:r>
    </w:p>
    <w:p w14:paraId="69DEEFA9"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Norman Einstein. (2006). A map of Saudi Arabia. Wikimedia Commons. Retrieved from http://commons.wikimedia.org/wiki/File:Saudi_Arabia_map.png#file</w:t>
      </w:r>
    </w:p>
    <w:p w14:paraId="289D0EFF"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Norris, M., &amp; Lecavalier, L. (2010). Evaluating the use of exploratory factor analysis in developmental disability psychological research. </w:t>
      </w:r>
      <w:r w:rsidRPr="00CF31E0">
        <w:rPr>
          <w:rFonts w:eastAsia="Calibri" w:hAnsi="Calibri Light"/>
          <w:i/>
          <w:iCs/>
          <w:color w:val="000000" w:themeColor="text1"/>
          <w:lang w:eastAsia="en-US"/>
        </w:rPr>
        <w:t xml:space="preserve">Journal </w:t>
      </w:r>
      <w:r w:rsidRPr="00CF31E0">
        <w:rPr>
          <w:rFonts w:eastAsia="Calibri" w:hAnsi="Calibri Light"/>
          <w:i/>
          <w:iCs/>
          <w:color w:val="000000" w:themeColor="text1"/>
          <w:lang w:eastAsia="en-US"/>
        </w:rPr>
        <w:lastRenderedPageBreak/>
        <w:t>of Autism and Developmental Disorders</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40</w:t>
      </w:r>
      <w:r w:rsidRPr="00CF31E0">
        <w:rPr>
          <w:rFonts w:eastAsia="Calibri" w:hAnsi="Calibri Light"/>
          <w:color w:val="000000" w:themeColor="text1"/>
          <w:lang w:eastAsia="en-US"/>
        </w:rPr>
        <w:t>(1), 8</w:t>
      </w:r>
      <w:r w:rsidRPr="00CF31E0">
        <w:rPr>
          <w:rFonts w:eastAsia="Calibri" w:hAnsi="Calibri Light"/>
          <w:color w:val="000000" w:themeColor="text1"/>
          <w:lang w:eastAsia="en-US"/>
        </w:rPr>
        <w:t>–</w:t>
      </w:r>
      <w:r w:rsidRPr="00CF31E0">
        <w:rPr>
          <w:rFonts w:eastAsia="Calibri" w:hAnsi="Calibri Light"/>
          <w:color w:val="000000" w:themeColor="text1"/>
          <w:lang w:eastAsia="en-US"/>
        </w:rPr>
        <w:t>20. https://doi.org/10.1007/s10803-009-0816-2</w:t>
      </w:r>
    </w:p>
    <w:p w14:paraId="2C5515FE"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0E3509">
        <w:rPr>
          <w:rFonts w:eastAsia="Calibri" w:hAnsi="Calibri Light"/>
          <w:color w:val="000000" w:themeColor="text1"/>
          <w:lang w:val="de-DE" w:eastAsia="en-US"/>
        </w:rPr>
        <w:t xml:space="preserve">Nunnally, J. C., &amp; Bernstein, I. H. (1974). </w:t>
      </w:r>
      <w:r w:rsidRPr="00CF31E0">
        <w:rPr>
          <w:rFonts w:eastAsia="Calibri" w:hAnsi="Calibri Light"/>
          <w:i/>
          <w:iCs/>
          <w:color w:val="000000" w:themeColor="text1"/>
          <w:lang w:eastAsia="en-US"/>
        </w:rPr>
        <w:t>Psychometric theory</w:t>
      </w:r>
      <w:r w:rsidRPr="00CF31E0">
        <w:rPr>
          <w:rFonts w:eastAsia="Calibri" w:hAnsi="Calibri Light"/>
          <w:color w:val="000000" w:themeColor="text1"/>
          <w:lang w:eastAsia="en-US"/>
        </w:rPr>
        <w:t xml:space="preserve"> (3rd ed.). New York, NY: McGraw-Hill. </w:t>
      </w:r>
    </w:p>
    <w:p w14:paraId="57398471"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Ochsenwald, W. (1984). </w:t>
      </w:r>
      <w:r w:rsidRPr="00CF31E0">
        <w:rPr>
          <w:rFonts w:eastAsia="Calibri" w:hAnsi="Calibri Light"/>
          <w:i/>
          <w:iCs/>
          <w:color w:val="000000" w:themeColor="text1"/>
          <w:lang w:eastAsia="en-US"/>
        </w:rPr>
        <w:t>Religion, society, and the state in Arabia: The Hijaz under Ottoman control, 1840-1908</w:t>
      </w:r>
      <w:r w:rsidRPr="00CF31E0">
        <w:rPr>
          <w:rFonts w:eastAsia="Calibri" w:hAnsi="Calibri Light"/>
          <w:color w:val="000000" w:themeColor="text1"/>
          <w:lang w:eastAsia="en-US"/>
        </w:rPr>
        <w:t>. Colombus, OH: The Ohio State University Press. Retrieved from http://hdl.handle.net/1811/24661</w:t>
      </w:r>
    </w:p>
    <w:p w14:paraId="549AD4B7"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Omar, M. K. (1975). </w:t>
      </w:r>
      <w:r w:rsidRPr="00CF31E0">
        <w:rPr>
          <w:rFonts w:eastAsia="Calibri" w:hAnsi="Calibri Light"/>
          <w:i/>
          <w:iCs/>
          <w:color w:val="000000" w:themeColor="text1"/>
          <w:lang w:eastAsia="en-US"/>
        </w:rPr>
        <w:t>Saudi Arabic, Urban Hijazi Dialect: Basic course.</w:t>
      </w:r>
      <w:r w:rsidRPr="00CF31E0">
        <w:rPr>
          <w:rFonts w:eastAsia="Calibri" w:hAnsi="Calibri Light"/>
          <w:color w:val="000000" w:themeColor="text1"/>
          <w:lang w:eastAsia="en-US"/>
        </w:rPr>
        <w:t xml:space="preserve"> Washington, D.C.: Foreign Service Institute. Retrieved from http://eric.ed.gov/?id=ED112665</w:t>
      </w:r>
    </w:p>
    <w:p w14:paraId="52DF5F60"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OPEC. (2017). OPEC share of world crude oil reserves. Retrieved 9 April 2018, from http://www.opec.org/opec_web/en/data_graphs/330.htm</w:t>
      </w:r>
    </w:p>
    <w:p w14:paraId="5E5AB91E"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Oppenheim, A. N. (1992). </w:t>
      </w:r>
      <w:r w:rsidRPr="00CF31E0">
        <w:rPr>
          <w:rFonts w:eastAsia="Calibri" w:hAnsi="Calibri Light"/>
          <w:i/>
          <w:iCs/>
          <w:color w:val="000000" w:themeColor="text1"/>
          <w:lang w:eastAsia="en-US"/>
        </w:rPr>
        <w:t>Questionnaire design, interviewing and attitude measurement</w:t>
      </w:r>
      <w:r w:rsidRPr="00CF31E0">
        <w:rPr>
          <w:rFonts w:eastAsia="Calibri" w:hAnsi="Calibri Light"/>
          <w:color w:val="000000" w:themeColor="text1"/>
          <w:lang w:eastAsia="en-US"/>
        </w:rPr>
        <w:t xml:space="preserve"> (New ed.). London, England: Pinter.</w:t>
      </w:r>
    </w:p>
    <w:p w14:paraId="597CAC88"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Oppenheim, B. (1982). An exercise in attitude measurement. In G. M. Breakwell, H. Foot, &amp; R. Gilmour (Eds.), </w:t>
      </w:r>
      <w:r w:rsidRPr="00CF31E0">
        <w:rPr>
          <w:rFonts w:eastAsia="Calibri" w:hAnsi="Calibri Light"/>
          <w:i/>
          <w:iCs/>
          <w:color w:val="000000" w:themeColor="text1"/>
          <w:lang w:eastAsia="en-US"/>
        </w:rPr>
        <w:t>Social psychology: A practical manual</w:t>
      </w:r>
      <w:r w:rsidRPr="00CF31E0">
        <w:rPr>
          <w:rFonts w:eastAsia="Calibri" w:hAnsi="Calibri Light"/>
          <w:color w:val="000000" w:themeColor="text1"/>
          <w:lang w:eastAsia="en-US"/>
        </w:rPr>
        <w:t xml:space="preserve"> (pp. 38</w:t>
      </w:r>
      <w:r w:rsidRPr="00CF31E0">
        <w:rPr>
          <w:rFonts w:eastAsia="Calibri" w:hAnsi="Calibri Light"/>
          <w:color w:val="000000" w:themeColor="text1"/>
          <w:lang w:eastAsia="en-US"/>
        </w:rPr>
        <w:t>–</w:t>
      </w:r>
      <w:r w:rsidRPr="00CF31E0">
        <w:rPr>
          <w:rFonts w:eastAsia="Calibri" w:hAnsi="Calibri Light"/>
          <w:color w:val="000000" w:themeColor="text1"/>
          <w:lang w:eastAsia="en-US"/>
        </w:rPr>
        <w:t xml:space="preserve">56). London, England: Palgrave. </w:t>
      </w:r>
    </w:p>
    <w:p w14:paraId="1EF3C82E"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Pallant, J. (2013). </w:t>
      </w:r>
      <w:r w:rsidRPr="00CF31E0">
        <w:rPr>
          <w:rFonts w:eastAsia="Calibri" w:hAnsi="Calibri Light"/>
          <w:i/>
          <w:iCs/>
          <w:color w:val="000000" w:themeColor="text1"/>
          <w:lang w:eastAsia="en-US"/>
        </w:rPr>
        <w:t>SPSS survival manual</w:t>
      </w:r>
      <w:r w:rsidRPr="00CF31E0">
        <w:rPr>
          <w:rFonts w:eastAsia="Calibri" w:hAnsi="Calibri Light"/>
          <w:color w:val="000000" w:themeColor="text1"/>
          <w:lang w:eastAsia="en-US"/>
        </w:rPr>
        <w:t xml:space="preserve"> (5th ed.). Maidenhead, England: McGraw-Hill Education (UK). </w:t>
      </w:r>
    </w:p>
    <w:p w14:paraId="09536056"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Paltridge, J., &amp; Giles, H. (1984). Attitudes towards speakers of regional accents of French: Effects of regionality, age and sex of listeners. </w:t>
      </w:r>
      <w:r w:rsidRPr="00CF31E0">
        <w:rPr>
          <w:rFonts w:eastAsia="Calibri" w:hAnsi="Calibri Light"/>
          <w:i/>
          <w:iCs/>
          <w:color w:val="000000" w:themeColor="text1"/>
          <w:lang w:eastAsia="en-US"/>
        </w:rPr>
        <w:t>Linguistische Berichte</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90</w:t>
      </w:r>
      <w:r w:rsidRPr="00CF31E0">
        <w:rPr>
          <w:rFonts w:eastAsia="Calibri" w:hAnsi="Calibri Light"/>
          <w:color w:val="000000" w:themeColor="text1"/>
          <w:lang w:eastAsia="en-US"/>
        </w:rPr>
        <w:t>, 71</w:t>
      </w:r>
      <w:r w:rsidRPr="00CF31E0">
        <w:rPr>
          <w:rFonts w:eastAsia="Calibri" w:hAnsi="Calibri Light"/>
          <w:color w:val="000000" w:themeColor="text1"/>
          <w:lang w:eastAsia="en-US"/>
        </w:rPr>
        <w:t>–</w:t>
      </w:r>
      <w:r w:rsidRPr="00CF31E0">
        <w:rPr>
          <w:rFonts w:eastAsia="Calibri" w:hAnsi="Calibri Light"/>
          <w:color w:val="000000" w:themeColor="text1"/>
          <w:lang w:eastAsia="en-US"/>
        </w:rPr>
        <w:t>85.</w:t>
      </w:r>
    </w:p>
    <w:p w14:paraId="5EA36BA1"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lastRenderedPageBreak/>
        <w:t xml:space="preserve">Pearce, M. (2009). A perceptual dialect map of North East England. </w:t>
      </w:r>
      <w:r w:rsidRPr="00CF31E0">
        <w:rPr>
          <w:rFonts w:eastAsia="Calibri" w:hAnsi="Calibri Light"/>
          <w:i/>
          <w:iCs/>
          <w:color w:val="000000" w:themeColor="text1"/>
          <w:lang w:eastAsia="en-US"/>
        </w:rPr>
        <w:t>Journal of English Linguistics</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37</w:t>
      </w:r>
      <w:r w:rsidRPr="00CF31E0">
        <w:rPr>
          <w:rFonts w:eastAsia="Calibri" w:hAnsi="Calibri Light"/>
          <w:color w:val="000000" w:themeColor="text1"/>
          <w:lang w:eastAsia="en-US"/>
        </w:rPr>
        <w:t>(2), 162</w:t>
      </w:r>
      <w:r w:rsidRPr="00CF31E0">
        <w:rPr>
          <w:rFonts w:eastAsia="Calibri" w:hAnsi="Calibri Light"/>
          <w:color w:val="000000" w:themeColor="text1"/>
          <w:lang w:eastAsia="en-US"/>
        </w:rPr>
        <w:t>–</w:t>
      </w:r>
      <w:r w:rsidRPr="00CF31E0">
        <w:rPr>
          <w:rFonts w:eastAsia="Calibri" w:hAnsi="Calibri Light"/>
          <w:color w:val="000000" w:themeColor="text1"/>
          <w:lang w:eastAsia="en-US"/>
        </w:rPr>
        <w:t>192.</w:t>
      </w:r>
    </w:p>
    <w:p w14:paraId="3E64D5A8"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Pedhazur, E. J., &amp; Schmelkin, L. P. (1991). </w:t>
      </w:r>
      <w:r w:rsidRPr="00CF31E0">
        <w:rPr>
          <w:rFonts w:eastAsia="Calibri" w:hAnsi="Calibri Light"/>
          <w:i/>
          <w:iCs/>
          <w:color w:val="000000" w:themeColor="text1"/>
          <w:lang w:eastAsia="en-US"/>
        </w:rPr>
        <w:t>Measurement, design, and analysis: An integrated approach</w:t>
      </w:r>
      <w:r w:rsidRPr="00CF31E0">
        <w:rPr>
          <w:rFonts w:eastAsia="Calibri" w:hAnsi="Calibri Light"/>
          <w:color w:val="000000" w:themeColor="text1"/>
          <w:lang w:eastAsia="en-US"/>
        </w:rPr>
        <w:t xml:space="preserve">. Hillsdale, NJ: Lawrence Erlbaum. </w:t>
      </w:r>
    </w:p>
    <w:p w14:paraId="3D656386"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Perloff, R. M. (1993). </w:t>
      </w:r>
      <w:r w:rsidRPr="00CF31E0">
        <w:rPr>
          <w:rFonts w:eastAsia="Calibri" w:hAnsi="Calibri Light"/>
          <w:i/>
          <w:iCs/>
          <w:color w:val="000000" w:themeColor="text1"/>
          <w:lang w:eastAsia="en-US"/>
        </w:rPr>
        <w:t>Communication textbook series. General communication theory and methodology. The dynamics of persuasion.</w:t>
      </w:r>
      <w:r w:rsidRPr="00CF31E0">
        <w:rPr>
          <w:rFonts w:eastAsia="Calibri" w:hAnsi="Calibri Light"/>
          <w:color w:val="000000" w:themeColor="text1"/>
          <w:lang w:eastAsia="en-US"/>
        </w:rPr>
        <w:t xml:space="preserve"> Hillsdale, NJ: Lawrence Erlbaum Associates, Inc.</w:t>
      </w:r>
    </w:p>
    <w:p w14:paraId="75A7EF2E"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Peters, F. E. (1994). </w:t>
      </w:r>
      <w:r w:rsidRPr="00CF31E0">
        <w:rPr>
          <w:rFonts w:eastAsia="Calibri" w:hAnsi="Calibri Light"/>
          <w:i/>
          <w:iCs/>
          <w:color w:val="000000" w:themeColor="text1"/>
          <w:lang w:eastAsia="en-US"/>
        </w:rPr>
        <w:t>Mecca: A literary history of the Muslim Holy Land</w:t>
      </w:r>
      <w:r w:rsidRPr="00CF31E0">
        <w:rPr>
          <w:rFonts w:eastAsia="Calibri" w:hAnsi="Calibri Light"/>
          <w:color w:val="000000" w:themeColor="text1"/>
          <w:lang w:eastAsia="en-US"/>
        </w:rPr>
        <w:t>. Princeton, NJ: Princeton University Press.</w:t>
      </w:r>
    </w:p>
    <w:p w14:paraId="468FC04E"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Peters, F. E. (1996). </w:t>
      </w:r>
      <w:r w:rsidRPr="00CF31E0">
        <w:rPr>
          <w:rFonts w:eastAsia="Calibri" w:hAnsi="Calibri Light"/>
          <w:i/>
          <w:iCs/>
          <w:color w:val="000000" w:themeColor="text1"/>
          <w:lang w:eastAsia="en-US"/>
        </w:rPr>
        <w:t>The Hajj: The Muslim pilgrimage to Mecca and the holy places</w:t>
      </w:r>
      <w:r w:rsidRPr="00CF31E0">
        <w:rPr>
          <w:rFonts w:eastAsia="Calibri" w:hAnsi="Calibri Light"/>
          <w:color w:val="000000" w:themeColor="text1"/>
          <w:lang w:eastAsia="en-US"/>
        </w:rPr>
        <w:t xml:space="preserve">. NJ: Princeton University Press. </w:t>
      </w:r>
    </w:p>
    <w:p w14:paraId="13D14F46"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Pett, M. A., Lackey, N. R., &amp; Sullivan, J. J. (2003). </w:t>
      </w:r>
      <w:r w:rsidRPr="00CF31E0">
        <w:rPr>
          <w:rFonts w:eastAsia="Calibri" w:hAnsi="Calibri Light"/>
          <w:i/>
          <w:iCs/>
          <w:color w:val="000000" w:themeColor="text1"/>
          <w:lang w:eastAsia="en-US"/>
        </w:rPr>
        <w:t>Making sense of factor analysis: The use of factor analysis for instrument development in health care research</w:t>
      </w:r>
      <w:r w:rsidRPr="00CF31E0">
        <w:rPr>
          <w:rFonts w:eastAsia="Calibri" w:hAnsi="Calibri Light"/>
          <w:color w:val="000000" w:themeColor="text1"/>
          <w:lang w:eastAsia="en-US"/>
        </w:rPr>
        <w:t xml:space="preserve">. London, England: SAGE Publications. </w:t>
      </w:r>
    </w:p>
    <w:p w14:paraId="5FDAE939"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Philip, B. (2013). Haj in pre-Islamic times. Retrieved 12 April 2018, from http://www.arabnews.com/news/465223. No known copyright restriction.</w:t>
      </w:r>
    </w:p>
    <w:p w14:paraId="6C3223C5"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Preston, D. (1989). </w:t>
      </w:r>
      <w:r w:rsidRPr="00CF31E0">
        <w:rPr>
          <w:rFonts w:eastAsia="Calibri" w:hAnsi="Calibri Light"/>
          <w:i/>
          <w:iCs/>
          <w:color w:val="000000" w:themeColor="text1"/>
          <w:lang w:eastAsia="en-US"/>
        </w:rPr>
        <w:t>Perceptual dialectology: Nonlinguists</w:t>
      </w:r>
      <w:r w:rsidRPr="00CF31E0">
        <w:rPr>
          <w:rFonts w:eastAsia="Calibri"/>
          <w:i/>
          <w:iCs/>
          <w:color w:val="000000" w:themeColor="text1"/>
          <w:lang w:eastAsia="en-US"/>
        </w:rPr>
        <w:t xml:space="preserve">’ </w:t>
      </w:r>
      <w:r w:rsidRPr="00CF31E0">
        <w:rPr>
          <w:rFonts w:eastAsia="Calibri" w:hAnsi="Calibri Light"/>
          <w:i/>
          <w:iCs/>
          <w:color w:val="000000" w:themeColor="text1"/>
          <w:lang w:eastAsia="en-US"/>
        </w:rPr>
        <w:t>views of areal linguistics</w:t>
      </w:r>
      <w:r w:rsidRPr="00CF31E0">
        <w:rPr>
          <w:rFonts w:eastAsia="Calibri" w:hAnsi="Calibri Light"/>
          <w:color w:val="000000" w:themeColor="text1"/>
          <w:lang w:eastAsia="en-US"/>
        </w:rPr>
        <w:t xml:space="preserve"> (Vol. 7). Dordrecht: Foris Publications. </w:t>
      </w:r>
    </w:p>
    <w:p w14:paraId="5A932444"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Preston, D. (1996). Whaddayaknow?: The modes of folk linguistic awareness 1. </w:t>
      </w:r>
      <w:r w:rsidRPr="00CF31E0">
        <w:rPr>
          <w:rFonts w:eastAsia="Calibri" w:hAnsi="Calibri Light"/>
          <w:i/>
          <w:iCs/>
          <w:color w:val="000000" w:themeColor="text1"/>
          <w:lang w:eastAsia="en-US"/>
        </w:rPr>
        <w:t>Language Awareness</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5</w:t>
      </w:r>
      <w:r w:rsidRPr="00CF31E0">
        <w:rPr>
          <w:rFonts w:eastAsia="Calibri" w:hAnsi="Calibri Light"/>
          <w:color w:val="000000" w:themeColor="text1"/>
          <w:lang w:eastAsia="en-US"/>
        </w:rPr>
        <w:t>(1), 40</w:t>
      </w:r>
      <w:r w:rsidRPr="00CF31E0">
        <w:rPr>
          <w:rFonts w:eastAsia="Calibri" w:hAnsi="Calibri Light"/>
          <w:color w:val="000000" w:themeColor="text1"/>
          <w:lang w:eastAsia="en-US"/>
        </w:rPr>
        <w:t>–</w:t>
      </w:r>
      <w:r w:rsidRPr="00CF31E0">
        <w:rPr>
          <w:rFonts w:eastAsia="Calibri" w:hAnsi="Calibri Light"/>
          <w:color w:val="000000" w:themeColor="text1"/>
          <w:lang w:eastAsia="en-US"/>
        </w:rPr>
        <w:t>74.</w:t>
      </w:r>
    </w:p>
    <w:p w14:paraId="59E32D87"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Preston, D. (1999a). A language attitude approach to the perception of regional variety. In D. Preston (Ed.), </w:t>
      </w:r>
      <w:r w:rsidRPr="00CF31E0">
        <w:rPr>
          <w:rFonts w:eastAsia="Calibri" w:hAnsi="Calibri Light"/>
          <w:i/>
          <w:iCs/>
          <w:color w:val="000000" w:themeColor="text1"/>
          <w:lang w:eastAsia="en-US"/>
        </w:rPr>
        <w:t xml:space="preserve">Handbook of perceptual </w:t>
      </w:r>
      <w:r w:rsidRPr="00CF31E0">
        <w:rPr>
          <w:rFonts w:eastAsia="Calibri" w:hAnsi="Calibri Light"/>
          <w:i/>
          <w:iCs/>
          <w:color w:val="000000" w:themeColor="text1"/>
          <w:lang w:eastAsia="en-US"/>
        </w:rPr>
        <w:lastRenderedPageBreak/>
        <w:t>dialectology</w:t>
      </w:r>
      <w:r w:rsidRPr="00CF31E0">
        <w:rPr>
          <w:rFonts w:eastAsia="Calibri" w:hAnsi="Calibri Light"/>
          <w:color w:val="000000" w:themeColor="text1"/>
          <w:lang w:eastAsia="en-US"/>
        </w:rPr>
        <w:t xml:space="preserve"> (Vol. 1, pp. 359</w:t>
      </w:r>
      <w:r w:rsidRPr="00CF31E0">
        <w:rPr>
          <w:rFonts w:eastAsia="Calibri" w:hAnsi="Calibri Light"/>
          <w:color w:val="000000" w:themeColor="text1"/>
          <w:lang w:eastAsia="en-US"/>
        </w:rPr>
        <w:t>–</w:t>
      </w:r>
      <w:r w:rsidRPr="00CF31E0">
        <w:rPr>
          <w:rFonts w:eastAsia="Calibri" w:hAnsi="Calibri Light"/>
          <w:color w:val="000000" w:themeColor="text1"/>
          <w:lang w:eastAsia="en-US"/>
        </w:rPr>
        <w:t>374). Amsterdam, The Netherlands: John Benjamins Publishing.</w:t>
      </w:r>
    </w:p>
    <w:p w14:paraId="7B56724D"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Preston, D. (1999b). </w:t>
      </w:r>
      <w:r w:rsidRPr="00CF31E0">
        <w:rPr>
          <w:rFonts w:eastAsia="Calibri" w:hAnsi="Calibri Light"/>
          <w:i/>
          <w:iCs/>
          <w:color w:val="000000" w:themeColor="text1"/>
          <w:lang w:eastAsia="en-US"/>
        </w:rPr>
        <w:t>Handbook of perceptual dialectology</w:t>
      </w:r>
      <w:r w:rsidRPr="00CF31E0">
        <w:rPr>
          <w:rFonts w:eastAsia="Calibri" w:hAnsi="Calibri Light"/>
          <w:color w:val="000000" w:themeColor="text1"/>
          <w:lang w:eastAsia="en-US"/>
        </w:rPr>
        <w:t>. Amsterdam, The Netherlands: John Benjamins Publishing.</w:t>
      </w:r>
    </w:p>
    <w:p w14:paraId="3E6BE125"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Preston, D. (2011). The power of language regard </w:t>
      </w:r>
      <w:r w:rsidRPr="00CF31E0">
        <w:rPr>
          <w:rFonts w:eastAsia="Calibri" w:hAnsi="Calibri Light"/>
          <w:color w:val="000000" w:themeColor="text1"/>
          <w:lang w:eastAsia="en-US"/>
        </w:rPr>
        <w:t>–</w:t>
      </w:r>
      <w:r w:rsidRPr="00CF31E0">
        <w:rPr>
          <w:rFonts w:eastAsia="Calibri" w:hAnsi="Calibri Light"/>
          <w:color w:val="000000" w:themeColor="text1"/>
          <w:lang w:eastAsia="en-US"/>
        </w:rPr>
        <w:t xml:space="preserve"> Discrimination, classification, comprehension, and production. </w:t>
      </w:r>
      <w:r w:rsidRPr="00CF31E0">
        <w:rPr>
          <w:rFonts w:eastAsia="Calibri" w:hAnsi="Calibri Light"/>
          <w:i/>
          <w:iCs/>
          <w:color w:val="000000" w:themeColor="text1"/>
          <w:lang w:eastAsia="en-US"/>
        </w:rPr>
        <w:t>Dialectologia</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2</w:t>
      </w:r>
      <w:r w:rsidRPr="00CF31E0">
        <w:rPr>
          <w:rFonts w:eastAsia="Calibri" w:hAnsi="Calibri Light"/>
          <w:color w:val="000000" w:themeColor="text1"/>
          <w:lang w:eastAsia="en-US"/>
        </w:rPr>
        <w:t>, 9</w:t>
      </w:r>
      <w:r w:rsidRPr="00CF31E0">
        <w:rPr>
          <w:rFonts w:eastAsia="Calibri" w:hAnsi="Calibri Light"/>
          <w:color w:val="000000" w:themeColor="text1"/>
          <w:lang w:eastAsia="en-US"/>
        </w:rPr>
        <w:t>–</w:t>
      </w:r>
      <w:r w:rsidRPr="00CF31E0">
        <w:rPr>
          <w:rFonts w:eastAsia="Calibri" w:hAnsi="Calibri Light"/>
          <w:color w:val="000000" w:themeColor="text1"/>
          <w:lang w:eastAsia="en-US"/>
        </w:rPr>
        <w:t>33.</w:t>
      </w:r>
    </w:p>
    <w:p w14:paraId="4BA914F1"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Price, S., Fluck, M., &amp; Giles, H. (1983). The effects of language of testing on bilingual pre</w:t>
      </w:r>
      <w:r w:rsidRPr="00CF31E0">
        <w:rPr>
          <w:rFonts w:eastAsia="Calibri" w:hAnsi="Calibri Light"/>
          <w:color w:val="000000" w:themeColor="text1"/>
          <w:lang w:eastAsia="en-US"/>
        </w:rPr>
        <w:t>‐</w:t>
      </w:r>
      <w:r w:rsidRPr="00CF31E0">
        <w:rPr>
          <w:rFonts w:eastAsia="Calibri" w:hAnsi="Calibri Light"/>
          <w:color w:val="000000" w:themeColor="text1"/>
          <w:lang w:eastAsia="en-US"/>
        </w:rPr>
        <w:t>adolescents</w:t>
      </w:r>
      <w:r w:rsidRPr="00CF31E0">
        <w:rPr>
          <w:rFonts w:eastAsia="Calibri"/>
          <w:color w:val="000000" w:themeColor="text1"/>
          <w:lang w:eastAsia="en-US"/>
        </w:rPr>
        <w:t>’</w:t>
      </w:r>
      <w:r w:rsidRPr="00CF31E0">
        <w:rPr>
          <w:rFonts w:eastAsia="Calibri" w:hAnsi="Calibri Light"/>
          <w:color w:val="000000" w:themeColor="text1"/>
          <w:lang w:eastAsia="en-US"/>
        </w:rPr>
        <w:t xml:space="preserve"> attitudes towards Welsh and varieties of English. </w:t>
      </w:r>
      <w:r w:rsidRPr="00CF31E0">
        <w:rPr>
          <w:rFonts w:eastAsia="Calibri" w:hAnsi="Calibri Light"/>
          <w:i/>
          <w:iCs/>
          <w:color w:val="000000" w:themeColor="text1"/>
          <w:lang w:eastAsia="en-US"/>
        </w:rPr>
        <w:t>Journal of Multilingual and Multicultural Development</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4</w:t>
      </w:r>
      <w:r w:rsidRPr="00CF31E0">
        <w:rPr>
          <w:rFonts w:eastAsia="Calibri" w:hAnsi="Calibri Light"/>
          <w:color w:val="000000" w:themeColor="text1"/>
          <w:lang w:eastAsia="en-US"/>
        </w:rPr>
        <w:t>(2</w:t>
      </w:r>
      <w:r w:rsidRPr="00CF31E0">
        <w:rPr>
          <w:rFonts w:eastAsia="Calibri" w:hAnsi="Calibri Light"/>
          <w:color w:val="000000" w:themeColor="text1"/>
          <w:lang w:eastAsia="en-US"/>
        </w:rPr>
        <w:t>–</w:t>
      </w:r>
      <w:r w:rsidRPr="00CF31E0">
        <w:rPr>
          <w:rFonts w:eastAsia="Calibri" w:hAnsi="Calibri Light"/>
          <w:color w:val="000000" w:themeColor="text1"/>
          <w:lang w:eastAsia="en-US"/>
        </w:rPr>
        <w:t>3), 149</w:t>
      </w:r>
      <w:r w:rsidRPr="00CF31E0">
        <w:rPr>
          <w:rFonts w:eastAsia="Calibri" w:hAnsi="Calibri Light"/>
          <w:color w:val="000000" w:themeColor="text1"/>
          <w:lang w:eastAsia="en-US"/>
        </w:rPr>
        <w:t>–</w:t>
      </w:r>
      <w:r w:rsidRPr="00CF31E0">
        <w:rPr>
          <w:rFonts w:eastAsia="Calibri" w:hAnsi="Calibri Light"/>
          <w:color w:val="000000" w:themeColor="text1"/>
          <w:lang w:eastAsia="en-US"/>
        </w:rPr>
        <w:t xml:space="preserve">161. </w:t>
      </w:r>
    </w:p>
    <w:p w14:paraId="30954CD9"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Prochazka, T. (1988). </w:t>
      </w:r>
      <w:r w:rsidRPr="00CF31E0">
        <w:rPr>
          <w:rFonts w:eastAsia="Calibri" w:hAnsi="Calibri Light"/>
          <w:i/>
          <w:iCs/>
          <w:color w:val="000000" w:themeColor="text1"/>
          <w:lang w:eastAsia="en-US"/>
        </w:rPr>
        <w:t>Saudi Arabian dialects</w:t>
      </w:r>
      <w:r w:rsidRPr="00CF31E0">
        <w:rPr>
          <w:rFonts w:eastAsia="Calibri" w:hAnsi="Calibri Light"/>
          <w:color w:val="000000" w:themeColor="text1"/>
          <w:lang w:eastAsia="en-US"/>
        </w:rPr>
        <w:t>. London, England: Kegan Paul International.</w:t>
      </w:r>
    </w:p>
    <w:p w14:paraId="6AB1FEDD"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Reio Jr, T. G., &amp; Shuck, B. (2015). Exploratory factor analysis: Implications for theory, research, and practice. </w:t>
      </w:r>
      <w:r w:rsidRPr="00CF31E0">
        <w:rPr>
          <w:rFonts w:eastAsia="Calibri" w:hAnsi="Calibri Light"/>
          <w:i/>
          <w:iCs/>
          <w:color w:val="000000" w:themeColor="text1"/>
          <w:lang w:eastAsia="en-US"/>
        </w:rPr>
        <w:t>Advances in Developing Human Resources</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17</w:t>
      </w:r>
      <w:r w:rsidRPr="00CF31E0">
        <w:rPr>
          <w:rFonts w:eastAsia="Calibri" w:hAnsi="Calibri Light"/>
          <w:color w:val="000000" w:themeColor="text1"/>
          <w:lang w:eastAsia="en-US"/>
        </w:rPr>
        <w:t>(1), 12</w:t>
      </w:r>
      <w:r w:rsidRPr="00CF31E0">
        <w:rPr>
          <w:rFonts w:eastAsia="Calibri" w:hAnsi="Calibri Light"/>
          <w:color w:val="000000" w:themeColor="text1"/>
          <w:lang w:eastAsia="en-US"/>
        </w:rPr>
        <w:t>–</w:t>
      </w:r>
      <w:r w:rsidRPr="00CF31E0">
        <w:rPr>
          <w:rFonts w:eastAsia="Calibri" w:hAnsi="Calibri Light"/>
          <w:color w:val="000000" w:themeColor="text1"/>
          <w:lang w:eastAsia="en-US"/>
        </w:rPr>
        <w:t>25.</w:t>
      </w:r>
    </w:p>
    <w:p w14:paraId="498B62EA"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Rutter, E. (1931). The Hejaz. </w:t>
      </w:r>
      <w:r w:rsidRPr="00CF31E0">
        <w:rPr>
          <w:rFonts w:eastAsia="Calibri" w:hAnsi="Calibri Light"/>
          <w:i/>
          <w:iCs/>
          <w:color w:val="000000" w:themeColor="text1"/>
          <w:lang w:eastAsia="en-US"/>
        </w:rPr>
        <w:t>The Geographical Journal</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77</w:t>
      </w:r>
      <w:r w:rsidRPr="00CF31E0">
        <w:rPr>
          <w:rFonts w:eastAsia="Calibri" w:hAnsi="Calibri Light"/>
          <w:color w:val="000000" w:themeColor="text1"/>
          <w:lang w:eastAsia="en-US"/>
        </w:rPr>
        <w:t>(2), 97</w:t>
      </w:r>
      <w:r w:rsidRPr="00CF31E0">
        <w:rPr>
          <w:rFonts w:eastAsia="Calibri" w:hAnsi="Calibri Light"/>
          <w:color w:val="000000" w:themeColor="text1"/>
          <w:lang w:eastAsia="en-US"/>
        </w:rPr>
        <w:t>–</w:t>
      </w:r>
      <w:r w:rsidRPr="00CF31E0">
        <w:rPr>
          <w:rFonts w:eastAsia="Calibri" w:hAnsi="Calibri Light"/>
          <w:color w:val="000000" w:themeColor="text1"/>
          <w:lang w:eastAsia="en-US"/>
        </w:rPr>
        <w:t xml:space="preserve">108. </w:t>
      </w:r>
    </w:p>
    <w:p w14:paraId="035E83CD"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Ryding, K. C. (2005). </w:t>
      </w:r>
      <w:r w:rsidRPr="00CF31E0">
        <w:rPr>
          <w:rFonts w:eastAsia="Calibri" w:hAnsi="Calibri Light"/>
          <w:i/>
          <w:iCs/>
          <w:color w:val="000000" w:themeColor="text1"/>
          <w:lang w:eastAsia="en-US"/>
        </w:rPr>
        <w:t>A reference grammar of Modern Standard Arabic</w:t>
      </w:r>
      <w:r w:rsidRPr="00CF31E0">
        <w:rPr>
          <w:rFonts w:eastAsia="Calibri" w:hAnsi="Calibri Light"/>
          <w:color w:val="000000" w:themeColor="text1"/>
          <w:lang w:eastAsia="en-US"/>
        </w:rPr>
        <w:t xml:space="preserve">. Cambridge, England: Cambridge University Press. </w:t>
      </w:r>
    </w:p>
    <w:p w14:paraId="5BF30C50"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Saleh, M. A. (1995). Tribalism, genealogy and the development of Al-Alkhalaf: A traditional settlement in southwestern Saudi Arabia. </w:t>
      </w:r>
      <w:r w:rsidRPr="00CF31E0">
        <w:rPr>
          <w:rFonts w:eastAsia="Calibri" w:hAnsi="Calibri Light"/>
          <w:i/>
          <w:iCs/>
          <w:color w:val="000000" w:themeColor="text1"/>
          <w:lang w:eastAsia="en-US"/>
        </w:rPr>
        <w:t>Habitat International</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19</w:t>
      </w:r>
      <w:r w:rsidRPr="00CF31E0">
        <w:rPr>
          <w:rFonts w:eastAsia="Calibri" w:hAnsi="Calibri Light"/>
          <w:color w:val="000000" w:themeColor="text1"/>
          <w:lang w:eastAsia="en-US"/>
        </w:rPr>
        <w:t>(4), 547</w:t>
      </w:r>
      <w:r w:rsidRPr="00CF31E0">
        <w:rPr>
          <w:rFonts w:eastAsia="Calibri" w:hAnsi="Calibri Light"/>
          <w:color w:val="000000" w:themeColor="text1"/>
          <w:lang w:eastAsia="en-US"/>
        </w:rPr>
        <w:t>–</w:t>
      </w:r>
      <w:r w:rsidRPr="00CF31E0">
        <w:rPr>
          <w:rFonts w:eastAsia="Calibri" w:hAnsi="Calibri Light"/>
          <w:color w:val="000000" w:themeColor="text1"/>
          <w:lang w:eastAsia="en-US"/>
        </w:rPr>
        <w:t>570.</w:t>
      </w:r>
    </w:p>
    <w:p w14:paraId="162C45C9" w14:textId="1C1BD82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lastRenderedPageBreak/>
        <w:t xml:space="preserve">Sell, R. R. (1988). Egyptian international </w:t>
      </w:r>
      <w:r w:rsidR="008235A3" w:rsidRPr="00CF31E0">
        <w:rPr>
          <w:rFonts w:eastAsia="Calibri" w:hAnsi="Calibri Light"/>
          <w:color w:val="000000" w:themeColor="text1"/>
          <w:lang w:eastAsia="en-US"/>
        </w:rPr>
        <w:t>labour</w:t>
      </w:r>
      <w:r w:rsidRPr="00CF31E0">
        <w:rPr>
          <w:rFonts w:eastAsia="Calibri" w:hAnsi="Calibri Light"/>
          <w:color w:val="000000" w:themeColor="text1"/>
          <w:lang w:eastAsia="en-US"/>
        </w:rPr>
        <w:t xml:space="preserve"> migration and social processes: Toward regional integration. </w:t>
      </w:r>
      <w:r w:rsidRPr="00CF31E0">
        <w:rPr>
          <w:rFonts w:eastAsia="Calibri" w:hAnsi="Calibri Light"/>
          <w:i/>
          <w:iCs/>
          <w:color w:val="000000" w:themeColor="text1"/>
          <w:lang w:eastAsia="en-US"/>
        </w:rPr>
        <w:t>The International Migration Review</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22</w:t>
      </w:r>
      <w:r w:rsidRPr="00CF31E0">
        <w:rPr>
          <w:rFonts w:eastAsia="Calibri" w:hAnsi="Calibri Light"/>
          <w:color w:val="000000" w:themeColor="text1"/>
          <w:lang w:eastAsia="en-US"/>
        </w:rPr>
        <w:t>(3), 87</w:t>
      </w:r>
      <w:r w:rsidRPr="00CF31E0">
        <w:rPr>
          <w:rFonts w:eastAsia="Calibri" w:hAnsi="Calibri Light"/>
          <w:color w:val="000000" w:themeColor="text1"/>
          <w:lang w:eastAsia="en-US"/>
        </w:rPr>
        <w:t>–</w:t>
      </w:r>
      <w:r w:rsidRPr="00CF31E0">
        <w:rPr>
          <w:rFonts w:eastAsia="Calibri" w:hAnsi="Calibri Light"/>
          <w:color w:val="000000" w:themeColor="text1"/>
          <w:lang w:eastAsia="en-US"/>
        </w:rPr>
        <w:t>108. https://doi.org/10.2307/2546586</w:t>
      </w:r>
    </w:p>
    <w:p w14:paraId="3B7DF900"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Sibata, T. (1999). Consciousness of dialect boundaries. In D. R. Preston (Ed.), </w:t>
      </w:r>
      <w:r w:rsidRPr="00CF31E0">
        <w:rPr>
          <w:rFonts w:eastAsia="Calibri" w:hAnsi="Calibri Light"/>
          <w:i/>
          <w:iCs/>
          <w:color w:val="000000" w:themeColor="text1"/>
          <w:lang w:eastAsia="en-US"/>
        </w:rPr>
        <w:t>Handbook of perceptual dialectology</w:t>
      </w:r>
      <w:r w:rsidRPr="00CF31E0">
        <w:rPr>
          <w:rFonts w:eastAsia="Calibri" w:hAnsi="Calibri Light"/>
          <w:color w:val="000000" w:themeColor="text1"/>
          <w:lang w:eastAsia="en-US"/>
        </w:rPr>
        <w:t xml:space="preserve"> (Vol. 1, pp. 39</w:t>
      </w:r>
      <w:r w:rsidRPr="00CF31E0">
        <w:rPr>
          <w:rFonts w:eastAsia="Calibri" w:hAnsi="Calibri Light"/>
          <w:color w:val="000000" w:themeColor="text1"/>
          <w:lang w:eastAsia="en-US"/>
        </w:rPr>
        <w:t>–</w:t>
      </w:r>
      <w:r w:rsidRPr="00CF31E0">
        <w:rPr>
          <w:rFonts w:eastAsia="Calibri" w:hAnsi="Calibri Light"/>
          <w:color w:val="000000" w:themeColor="text1"/>
          <w:lang w:eastAsia="en-US"/>
        </w:rPr>
        <w:t xml:space="preserve">62). Amsterdam, The Netherlands: John Benjamins Publishing. </w:t>
      </w:r>
    </w:p>
    <w:p w14:paraId="6AC64BB1"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Stewart, M. A., Ryan, E. B., &amp; Giles, H. (1985). Accent and social class effects on status and solidarity evaluations. </w:t>
      </w:r>
      <w:r w:rsidRPr="00CF31E0">
        <w:rPr>
          <w:rFonts w:eastAsia="Calibri" w:hAnsi="Calibri Light"/>
          <w:i/>
          <w:iCs/>
          <w:color w:val="000000" w:themeColor="text1"/>
          <w:lang w:eastAsia="en-US"/>
        </w:rPr>
        <w:t>Personality and Social Psychology Bulletin</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11</w:t>
      </w:r>
      <w:r w:rsidRPr="00CF31E0">
        <w:rPr>
          <w:rFonts w:eastAsia="Calibri" w:hAnsi="Calibri Light"/>
          <w:color w:val="000000" w:themeColor="text1"/>
          <w:lang w:eastAsia="en-US"/>
        </w:rPr>
        <w:t>(1), 98</w:t>
      </w:r>
      <w:r w:rsidRPr="00CF31E0">
        <w:rPr>
          <w:rFonts w:eastAsia="Calibri" w:hAnsi="Calibri Light"/>
          <w:color w:val="000000" w:themeColor="text1"/>
          <w:lang w:eastAsia="en-US"/>
        </w:rPr>
        <w:t>–</w:t>
      </w:r>
      <w:r w:rsidRPr="00CF31E0">
        <w:rPr>
          <w:rFonts w:eastAsia="Calibri" w:hAnsi="Calibri Light"/>
          <w:color w:val="000000" w:themeColor="text1"/>
          <w:lang w:eastAsia="en-US"/>
        </w:rPr>
        <w:t>105.</w:t>
      </w:r>
    </w:p>
    <w:p w14:paraId="5452A535"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Tabachnick, B. G., &amp; Fidell, L. S. (2007). </w:t>
      </w:r>
      <w:r w:rsidRPr="00CF31E0">
        <w:rPr>
          <w:rFonts w:eastAsia="Calibri" w:hAnsi="Calibri Light"/>
          <w:i/>
          <w:iCs/>
          <w:color w:val="000000" w:themeColor="text1"/>
          <w:lang w:eastAsia="en-US"/>
        </w:rPr>
        <w:t>Using multivariate statistics</w:t>
      </w:r>
      <w:r w:rsidRPr="00CF31E0">
        <w:rPr>
          <w:rFonts w:eastAsia="Calibri" w:hAnsi="Calibri Light"/>
          <w:color w:val="000000" w:themeColor="text1"/>
          <w:lang w:eastAsia="en-US"/>
        </w:rPr>
        <w:t xml:space="preserve"> (5th ed.). Boston, MA: Allyn &amp; Bacon/Pearson Education.</w:t>
      </w:r>
    </w:p>
    <w:p w14:paraId="5E549548"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Tagliacozzo, E., &amp; Toorawa, S. (2015). </w:t>
      </w:r>
      <w:r w:rsidRPr="00CF31E0">
        <w:rPr>
          <w:rFonts w:eastAsia="Calibri" w:hAnsi="Calibri Light"/>
          <w:i/>
          <w:iCs/>
          <w:color w:val="000000" w:themeColor="text1"/>
          <w:lang w:eastAsia="en-US"/>
        </w:rPr>
        <w:t>The Hajj: Pilgrimage in Islam</w:t>
      </w:r>
      <w:r w:rsidRPr="00CF31E0">
        <w:rPr>
          <w:rFonts w:eastAsia="Calibri" w:hAnsi="Calibri Light"/>
          <w:color w:val="000000" w:themeColor="text1"/>
          <w:lang w:eastAsia="en-US"/>
        </w:rPr>
        <w:t xml:space="preserve">. Cambridge, England: Cambridge University Press. </w:t>
      </w:r>
    </w:p>
    <w:p w14:paraId="6DEFD7BA" w14:textId="77777777" w:rsidR="00361ECA" w:rsidRPr="000E3509" w:rsidRDefault="00361ECA" w:rsidP="004F45D7">
      <w:pPr>
        <w:spacing w:before="120" w:line="480" w:lineRule="auto"/>
        <w:ind w:left="720" w:hanging="720"/>
        <w:jc w:val="both"/>
        <w:rPr>
          <w:rFonts w:eastAsia="Calibri" w:hAnsi="Calibri Light"/>
          <w:color w:val="000000" w:themeColor="text1"/>
          <w:lang w:val="fr-FR" w:eastAsia="en-US"/>
        </w:rPr>
      </w:pPr>
      <w:r w:rsidRPr="00CF31E0">
        <w:rPr>
          <w:rFonts w:eastAsia="Calibri" w:hAnsi="Calibri Light"/>
          <w:color w:val="000000" w:themeColor="text1"/>
          <w:lang w:eastAsia="en-US"/>
        </w:rPr>
        <w:t xml:space="preserve">Tajfel, H. (1974). Social identity and intergroup behaviour. </w:t>
      </w:r>
      <w:r w:rsidRPr="000E3509">
        <w:rPr>
          <w:rFonts w:eastAsia="Calibri" w:hAnsi="Calibri Light"/>
          <w:i/>
          <w:iCs/>
          <w:color w:val="000000" w:themeColor="text1"/>
          <w:lang w:val="fr-FR" w:eastAsia="en-US"/>
        </w:rPr>
        <w:t>Social Science Information</w:t>
      </w:r>
      <w:r w:rsidRPr="000E3509">
        <w:rPr>
          <w:rFonts w:eastAsia="Calibri" w:hAnsi="Calibri Light"/>
          <w:color w:val="000000" w:themeColor="text1"/>
          <w:lang w:val="fr-FR" w:eastAsia="en-US"/>
        </w:rPr>
        <w:t xml:space="preserve">, </w:t>
      </w:r>
      <w:r w:rsidRPr="000E3509">
        <w:rPr>
          <w:rFonts w:eastAsia="Calibri" w:hAnsi="Calibri Light"/>
          <w:i/>
          <w:iCs/>
          <w:color w:val="000000" w:themeColor="text1"/>
          <w:lang w:val="fr-FR" w:eastAsia="en-US"/>
        </w:rPr>
        <w:t>13</w:t>
      </w:r>
      <w:r w:rsidRPr="000E3509">
        <w:rPr>
          <w:rFonts w:eastAsia="Calibri" w:hAnsi="Calibri Light"/>
          <w:color w:val="000000" w:themeColor="text1"/>
          <w:lang w:val="fr-FR" w:eastAsia="en-US"/>
        </w:rPr>
        <w:t>(2), 65</w:t>
      </w:r>
      <w:r w:rsidRPr="000E3509">
        <w:rPr>
          <w:rFonts w:eastAsia="Calibri" w:hAnsi="Calibri Light"/>
          <w:color w:val="000000" w:themeColor="text1"/>
          <w:lang w:val="fr-FR" w:eastAsia="en-US"/>
        </w:rPr>
        <w:t>–</w:t>
      </w:r>
      <w:r w:rsidRPr="000E3509">
        <w:rPr>
          <w:rFonts w:eastAsia="Calibri" w:hAnsi="Calibri Light"/>
          <w:color w:val="000000" w:themeColor="text1"/>
          <w:lang w:val="fr-FR" w:eastAsia="en-US"/>
        </w:rPr>
        <w:t xml:space="preserve">93. </w:t>
      </w:r>
    </w:p>
    <w:p w14:paraId="2533E771"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0E3509">
        <w:rPr>
          <w:rFonts w:eastAsia="Calibri" w:hAnsi="Calibri Light"/>
          <w:color w:val="000000" w:themeColor="text1"/>
          <w:lang w:val="fr-FR" w:eastAsia="en-US"/>
        </w:rPr>
        <w:t xml:space="preserve">Taylor, R. M. (2011). </w:t>
      </w:r>
      <w:r w:rsidRPr="00CF31E0">
        <w:rPr>
          <w:rFonts w:eastAsia="Calibri" w:hAnsi="Calibri Light"/>
          <w:color w:val="000000" w:themeColor="text1"/>
          <w:lang w:eastAsia="en-US"/>
        </w:rPr>
        <w:t xml:space="preserve">Holy movement and holy place: Christian pilgrimage and the Hajj. </w:t>
      </w:r>
      <w:r w:rsidRPr="00CF31E0">
        <w:rPr>
          <w:rFonts w:eastAsia="Calibri" w:hAnsi="Calibri Light"/>
          <w:i/>
          <w:iCs/>
          <w:color w:val="000000" w:themeColor="text1"/>
          <w:lang w:eastAsia="en-US"/>
        </w:rPr>
        <w:t>Dialog</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50</w:t>
      </w:r>
      <w:r w:rsidRPr="00CF31E0">
        <w:rPr>
          <w:rFonts w:eastAsia="Calibri" w:hAnsi="Calibri Light"/>
          <w:color w:val="000000" w:themeColor="text1"/>
          <w:lang w:eastAsia="en-US"/>
        </w:rPr>
        <w:t>(3), 262</w:t>
      </w:r>
      <w:r w:rsidRPr="00CF31E0">
        <w:rPr>
          <w:rFonts w:eastAsia="Calibri" w:hAnsi="Calibri Light"/>
          <w:color w:val="000000" w:themeColor="text1"/>
          <w:lang w:eastAsia="en-US"/>
        </w:rPr>
        <w:t>–</w:t>
      </w:r>
      <w:r w:rsidRPr="00CF31E0">
        <w:rPr>
          <w:rFonts w:eastAsia="Calibri" w:hAnsi="Calibri Light"/>
          <w:color w:val="000000" w:themeColor="text1"/>
          <w:lang w:eastAsia="en-US"/>
        </w:rPr>
        <w:t>270.</w:t>
      </w:r>
    </w:p>
    <w:p w14:paraId="5342B10B"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The Embassy of the Kingdom of Saudi Arabia. (n.d.). Energy. Retrieved 5 April 2018, from https://www.saudiembassy.net/energy</w:t>
      </w:r>
    </w:p>
    <w:p w14:paraId="408EC86A"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The Holy Mosque in Mecca. (2017). Retrieved 16 April 2018, from https://forums.haneenhob.com/hob3514.html. No known copyright restrictions.</w:t>
      </w:r>
    </w:p>
    <w:p w14:paraId="40AB670B"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lastRenderedPageBreak/>
        <w:t xml:space="preserve">Trudgill, P. (1972). Sex, covert prestige and linguistic change in the urban British English of Norwich. </w:t>
      </w:r>
      <w:r w:rsidRPr="00CF31E0">
        <w:rPr>
          <w:rFonts w:eastAsia="Calibri" w:hAnsi="Calibri Light"/>
          <w:i/>
          <w:iCs/>
          <w:color w:val="000000" w:themeColor="text1"/>
          <w:lang w:eastAsia="en-US"/>
        </w:rPr>
        <w:t>Language in Society</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1</w:t>
      </w:r>
      <w:r w:rsidRPr="00CF31E0">
        <w:rPr>
          <w:rFonts w:eastAsia="Calibri" w:hAnsi="Calibri Light"/>
          <w:color w:val="000000" w:themeColor="text1"/>
          <w:lang w:eastAsia="en-US"/>
        </w:rPr>
        <w:t>(2), 179</w:t>
      </w:r>
      <w:r w:rsidRPr="00CF31E0">
        <w:rPr>
          <w:rFonts w:eastAsia="Calibri" w:hAnsi="Calibri Light"/>
          <w:color w:val="000000" w:themeColor="text1"/>
          <w:lang w:eastAsia="en-US"/>
        </w:rPr>
        <w:t>–</w:t>
      </w:r>
      <w:r w:rsidRPr="00CF31E0">
        <w:rPr>
          <w:rFonts w:eastAsia="Calibri" w:hAnsi="Calibri Light"/>
          <w:color w:val="000000" w:themeColor="text1"/>
          <w:lang w:eastAsia="en-US"/>
        </w:rPr>
        <w:t xml:space="preserve">195. </w:t>
      </w:r>
    </w:p>
    <w:p w14:paraId="0A9CF75A"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United Nations. (2014). Country profiles. Retrieved 10 April 2018, from https://esa.un.org/unpd/wup/Country-Profiles/</w:t>
      </w:r>
    </w:p>
    <w:p w14:paraId="42C9EFD1"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United Nations. (2017). World population prospects </w:t>
      </w:r>
      <w:r w:rsidRPr="00CF31E0">
        <w:rPr>
          <w:rFonts w:eastAsia="Calibri" w:hAnsi="Calibri Light"/>
          <w:color w:val="000000" w:themeColor="text1"/>
          <w:lang w:eastAsia="en-US"/>
        </w:rPr>
        <w:t>–</w:t>
      </w:r>
      <w:r w:rsidRPr="00CF31E0">
        <w:rPr>
          <w:rFonts w:eastAsia="Calibri" w:hAnsi="Calibri Light"/>
          <w:color w:val="000000" w:themeColor="text1"/>
          <w:lang w:eastAsia="en-US"/>
        </w:rPr>
        <w:t xml:space="preserve"> Population division </w:t>
      </w:r>
      <w:r w:rsidRPr="00CF31E0">
        <w:rPr>
          <w:rFonts w:eastAsia="Calibri" w:hAnsi="Calibri Light"/>
          <w:color w:val="000000" w:themeColor="text1"/>
          <w:lang w:eastAsia="en-US"/>
        </w:rPr>
        <w:t>–</w:t>
      </w:r>
      <w:r w:rsidRPr="00CF31E0">
        <w:rPr>
          <w:rFonts w:eastAsia="Calibri" w:hAnsi="Calibri Light"/>
          <w:color w:val="000000" w:themeColor="text1"/>
          <w:lang w:eastAsia="en-US"/>
        </w:rPr>
        <w:t xml:space="preserve"> United Nations. Retrieved 29 May 2018, from https://esa.un.org/unpd/wpp/Graphs/DemographicProfiles/</w:t>
      </w:r>
    </w:p>
    <w:p w14:paraId="580200A3"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Vassiliev, A. (2000). </w:t>
      </w:r>
      <w:r w:rsidRPr="00CF31E0">
        <w:rPr>
          <w:rFonts w:eastAsia="Calibri" w:hAnsi="Calibri Light"/>
          <w:i/>
          <w:iCs/>
          <w:color w:val="000000" w:themeColor="text1"/>
          <w:lang w:eastAsia="en-US"/>
        </w:rPr>
        <w:t>The history of Saudi Arabia</w:t>
      </w:r>
      <w:r w:rsidRPr="00CF31E0">
        <w:rPr>
          <w:rFonts w:eastAsia="Calibri" w:hAnsi="Calibri Light"/>
          <w:color w:val="000000" w:themeColor="text1"/>
          <w:lang w:eastAsia="en-US"/>
        </w:rPr>
        <w:t xml:space="preserve">. London, England: Saqi. </w:t>
      </w:r>
    </w:p>
    <w:p w14:paraId="69312F95" w14:textId="4F81C5E9" w:rsidR="00626E89" w:rsidRPr="00CF31E0" w:rsidRDefault="003C72D4" w:rsidP="005B04C2">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Watkins, M. W. (2006). Determining parallel analysis criteria. </w:t>
      </w:r>
      <w:r w:rsidRPr="00CF31E0">
        <w:rPr>
          <w:rFonts w:eastAsia="Calibri" w:hAnsi="Calibri Light"/>
          <w:i/>
          <w:iCs/>
          <w:color w:val="000000" w:themeColor="text1"/>
          <w:lang w:eastAsia="en-US"/>
        </w:rPr>
        <w:t>Journal of Modern Applied Statistical Methods</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5</w:t>
      </w:r>
      <w:r w:rsidRPr="00CF31E0">
        <w:rPr>
          <w:rFonts w:eastAsia="Calibri" w:hAnsi="Calibri Light"/>
          <w:color w:val="000000" w:themeColor="text1"/>
          <w:lang w:eastAsia="en-US"/>
        </w:rPr>
        <w:t>(2), 344</w:t>
      </w:r>
      <w:r w:rsidRPr="00CF31E0">
        <w:rPr>
          <w:rFonts w:eastAsia="Calibri" w:hAnsi="Calibri Light"/>
          <w:color w:val="000000" w:themeColor="text1"/>
          <w:lang w:eastAsia="en-US"/>
        </w:rPr>
        <w:t>–</w:t>
      </w:r>
      <w:r w:rsidRPr="00CF31E0">
        <w:rPr>
          <w:rFonts w:eastAsia="Calibri" w:hAnsi="Calibri Light"/>
          <w:color w:val="000000" w:themeColor="text1"/>
          <w:lang w:eastAsia="en-US"/>
        </w:rPr>
        <w:t>346. https://doi.org/10.22237/jmasm/1162354020</w:t>
      </w:r>
    </w:p>
    <w:p w14:paraId="79554993" w14:textId="77777777" w:rsidR="00531165" w:rsidRPr="000E3509" w:rsidRDefault="00531165" w:rsidP="00531165">
      <w:pPr>
        <w:spacing w:before="120" w:line="480" w:lineRule="auto"/>
        <w:ind w:left="720" w:hanging="720"/>
        <w:jc w:val="both"/>
        <w:rPr>
          <w:rFonts w:eastAsia="Calibri" w:hAnsi="Calibri Light"/>
          <w:color w:val="000000" w:themeColor="text1"/>
          <w:lang w:val="de-DE" w:eastAsia="en-US"/>
        </w:rPr>
      </w:pPr>
      <w:r w:rsidRPr="00531165">
        <w:rPr>
          <w:rFonts w:eastAsia="Calibri" w:hAnsi="Calibri Light"/>
          <w:color w:val="000000" w:themeColor="text1"/>
          <w:lang w:eastAsia="en-US"/>
        </w:rPr>
        <w:t xml:space="preserve">Watson, J. C. E. (1993). </w:t>
      </w:r>
      <w:r w:rsidRPr="00531165">
        <w:rPr>
          <w:rFonts w:eastAsia="Calibri" w:hAnsi="Calibri Light"/>
          <w:i/>
          <w:iCs/>
          <w:color w:val="000000" w:themeColor="text1"/>
          <w:lang w:eastAsia="en-US"/>
        </w:rPr>
        <w:t>A syntax of San</w:t>
      </w:r>
      <w:r w:rsidRPr="00531165">
        <w:rPr>
          <w:rFonts w:eastAsia="Calibri" w:hAnsi="Calibri Light"/>
          <w:i/>
          <w:iCs/>
          <w:color w:val="000000" w:themeColor="text1"/>
          <w:lang w:eastAsia="en-US"/>
        </w:rPr>
        <w:t>’</w:t>
      </w:r>
      <w:r w:rsidRPr="00531165">
        <w:rPr>
          <w:rFonts w:eastAsia="Calibri" w:hAnsi="Calibri Light"/>
          <w:i/>
          <w:iCs/>
          <w:color w:val="000000" w:themeColor="text1"/>
          <w:lang w:eastAsia="en-US"/>
        </w:rPr>
        <w:t>ani Arabic</w:t>
      </w:r>
      <w:r w:rsidRPr="00531165">
        <w:rPr>
          <w:rFonts w:eastAsia="Calibri" w:hAnsi="Calibri Light"/>
          <w:color w:val="000000" w:themeColor="text1"/>
          <w:lang w:eastAsia="en-US"/>
        </w:rPr>
        <w:t xml:space="preserve"> (Vol. 13). </w:t>
      </w:r>
      <w:r w:rsidRPr="000E3509">
        <w:rPr>
          <w:rFonts w:eastAsia="Calibri" w:hAnsi="Calibri Light"/>
          <w:color w:val="000000" w:themeColor="text1"/>
          <w:lang w:val="de-DE" w:eastAsia="en-US"/>
        </w:rPr>
        <w:t xml:space="preserve">Wiesbaden: Harrassowitz. </w:t>
      </w:r>
    </w:p>
    <w:p w14:paraId="53D96823" w14:textId="49E1572C" w:rsidR="00531165" w:rsidRDefault="00531165" w:rsidP="00531165">
      <w:pPr>
        <w:spacing w:before="120" w:line="480" w:lineRule="auto"/>
        <w:ind w:left="720" w:hanging="720"/>
        <w:jc w:val="both"/>
        <w:rPr>
          <w:rFonts w:eastAsia="Calibri" w:hAnsi="Calibri Light"/>
          <w:color w:val="000000" w:themeColor="text1"/>
          <w:lang w:eastAsia="en-US"/>
        </w:rPr>
      </w:pPr>
      <w:r w:rsidRPr="000E3509">
        <w:rPr>
          <w:rFonts w:eastAsia="Calibri" w:hAnsi="Calibri Light"/>
          <w:color w:val="000000" w:themeColor="text1"/>
          <w:lang w:val="de-DE" w:eastAsia="en-US"/>
        </w:rPr>
        <w:t xml:space="preserve">Watson, J. C. E. (2002). </w:t>
      </w:r>
      <w:r w:rsidRPr="00531165">
        <w:rPr>
          <w:rFonts w:eastAsia="Calibri" w:hAnsi="Calibri Light"/>
          <w:i/>
          <w:iCs/>
          <w:color w:val="000000" w:themeColor="text1"/>
          <w:lang w:eastAsia="en-US"/>
        </w:rPr>
        <w:t>Phonology and morphology of Arabic (the phonology of the world</w:t>
      </w:r>
      <w:r w:rsidRPr="00531165">
        <w:rPr>
          <w:rFonts w:eastAsia="Calibri" w:hAnsi="Calibri Light"/>
          <w:i/>
          <w:iCs/>
          <w:color w:val="000000" w:themeColor="text1"/>
          <w:lang w:eastAsia="en-US"/>
        </w:rPr>
        <w:t>’</w:t>
      </w:r>
      <w:r w:rsidRPr="00531165">
        <w:rPr>
          <w:rFonts w:eastAsia="Calibri" w:hAnsi="Calibri Light"/>
          <w:i/>
          <w:iCs/>
          <w:color w:val="000000" w:themeColor="text1"/>
          <w:lang w:eastAsia="en-US"/>
        </w:rPr>
        <w:t>s languages)</w:t>
      </w:r>
      <w:r w:rsidRPr="00531165">
        <w:rPr>
          <w:rFonts w:eastAsia="Calibri" w:hAnsi="Calibri Light"/>
          <w:color w:val="000000" w:themeColor="text1"/>
          <w:lang w:eastAsia="en-US"/>
        </w:rPr>
        <w:t xml:space="preserve">. USA: Oxford University Press. </w:t>
      </w:r>
    </w:p>
    <w:p w14:paraId="19E5772F" w14:textId="4DB3DB3D" w:rsidR="00A012A3" w:rsidRDefault="00BC5C9C" w:rsidP="00A012A3">
      <w:pPr>
        <w:spacing w:before="120" w:line="480" w:lineRule="auto"/>
        <w:ind w:left="720" w:hanging="720"/>
        <w:jc w:val="both"/>
        <w:rPr>
          <w:rFonts w:eastAsia="Calibri" w:hAnsi="Calibri Light"/>
          <w:color w:val="000000" w:themeColor="text1"/>
          <w:lang w:eastAsia="en-US"/>
        </w:rPr>
      </w:pPr>
      <w:r w:rsidRPr="00A012A3">
        <w:rPr>
          <w:rFonts w:eastAsia="Calibri" w:hAnsi="Calibri Light"/>
          <w:color w:val="000000" w:themeColor="text1"/>
          <w:lang w:eastAsia="en-US"/>
        </w:rPr>
        <w:t xml:space="preserve">Watson, J. C. E. (2012). Arabic dialects (general article). In S. Weninger, G. Khan, M. P. Streck, &amp; J. C. E. Watson (Eds.), </w:t>
      </w:r>
      <w:r w:rsidRPr="00A012A3">
        <w:rPr>
          <w:rFonts w:eastAsia="Calibri" w:hAnsi="Calibri Light"/>
          <w:i/>
          <w:iCs/>
          <w:color w:val="000000" w:themeColor="text1"/>
          <w:lang w:eastAsia="en-US"/>
        </w:rPr>
        <w:t xml:space="preserve">Semitic languages: </w:t>
      </w:r>
      <w:r w:rsidR="0034506C">
        <w:rPr>
          <w:rFonts w:eastAsia="Calibri" w:hAnsi="Calibri Light"/>
          <w:i/>
          <w:iCs/>
          <w:color w:val="000000" w:themeColor="text1"/>
          <w:lang w:eastAsia="en-US"/>
        </w:rPr>
        <w:t>A</w:t>
      </w:r>
      <w:r w:rsidRPr="00A012A3">
        <w:rPr>
          <w:rFonts w:eastAsia="Calibri" w:hAnsi="Calibri Light"/>
          <w:i/>
          <w:iCs/>
          <w:color w:val="000000" w:themeColor="text1"/>
          <w:lang w:eastAsia="en-US"/>
        </w:rPr>
        <w:t>n international handbook</w:t>
      </w:r>
      <w:r w:rsidRPr="00A012A3">
        <w:rPr>
          <w:rFonts w:eastAsia="Calibri" w:hAnsi="Calibri Light"/>
          <w:color w:val="000000" w:themeColor="text1"/>
          <w:lang w:eastAsia="en-US"/>
        </w:rPr>
        <w:t xml:space="preserve"> (pp. 851</w:t>
      </w:r>
      <w:r w:rsidRPr="00A012A3">
        <w:rPr>
          <w:rFonts w:eastAsia="Calibri" w:hAnsi="Calibri Light"/>
          <w:color w:val="000000" w:themeColor="text1"/>
          <w:lang w:eastAsia="en-US"/>
        </w:rPr>
        <w:t>–</w:t>
      </w:r>
      <w:r w:rsidRPr="00A012A3">
        <w:rPr>
          <w:rFonts w:eastAsia="Calibri" w:hAnsi="Calibri Light"/>
          <w:color w:val="000000" w:themeColor="text1"/>
          <w:lang w:eastAsia="en-US"/>
        </w:rPr>
        <w:t>895). Berlin</w:t>
      </w:r>
      <w:r w:rsidRPr="00A012A3">
        <w:rPr>
          <w:rFonts w:eastAsia="Calibri" w:hAnsi="Calibri Light"/>
          <w:color w:val="000000" w:themeColor="text1"/>
          <w:lang w:eastAsia="en-US"/>
        </w:rPr>
        <w:t> </w:t>
      </w:r>
      <w:r w:rsidRPr="00A012A3">
        <w:rPr>
          <w:rFonts w:eastAsia="Calibri" w:hAnsi="Calibri Light"/>
          <w:color w:val="000000" w:themeColor="text1"/>
          <w:lang w:eastAsia="en-US"/>
        </w:rPr>
        <w:t>; Boston: De Gruyter Mouton.</w:t>
      </w:r>
    </w:p>
    <w:p w14:paraId="5FDF53A4" w14:textId="71FB2B25"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Weston, M. (2011). </w:t>
      </w:r>
      <w:r w:rsidRPr="00CF31E0">
        <w:rPr>
          <w:rFonts w:eastAsia="Calibri" w:hAnsi="Calibri Light"/>
          <w:i/>
          <w:iCs/>
          <w:color w:val="000000" w:themeColor="text1"/>
          <w:lang w:eastAsia="en-US"/>
        </w:rPr>
        <w:t>Prophets and princes: Saudi Arabia from Muhammad to the present</w:t>
      </w:r>
      <w:r w:rsidRPr="00CF31E0">
        <w:rPr>
          <w:rFonts w:eastAsia="Calibri" w:hAnsi="Calibri Light"/>
          <w:color w:val="000000" w:themeColor="text1"/>
          <w:lang w:eastAsia="en-US"/>
        </w:rPr>
        <w:t>.</w:t>
      </w:r>
      <w:r w:rsidR="005F39B6" w:rsidRPr="00CF31E0">
        <w:rPr>
          <w:rFonts w:eastAsia="Calibri" w:hAnsi="Calibri Light"/>
          <w:color w:val="000000" w:themeColor="text1"/>
          <w:lang w:eastAsia="en-US"/>
        </w:rPr>
        <w:t xml:space="preserve"> New Jersey,</w:t>
      </w:r>
      <w:r w:rsidRPr="00CF31E0">
        <w:rPr>
          <w:rFonts w:eastAsia="Calibri" w:hAnsi="Calibri Light"/>
          <w:color w:val="000000" w:themeColor="text1"/>
          <w:lang w:eastAsia="en-US"/>
        </w:rPr>
        <w:t xml:space="preserve"> NJ: John Wiley &amp; Sons. </w:t>
      </w:r>
    </w:p>
    <w:p w14:paraId="1598A009"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Willis, C. (1972). Perception of vowel phonemes in Fort Erie, Ontario, Canada, and Buffalo, New York: An application of synthetic vowel </w:t>
      </w:r>
      <w:r w:rsidRPr="00CF31E0">
        <w:rPr>
          <w:rFonts w:eastAsia="Calibri" w:hAnsi="Calibri Light"/>
          <w:color w:val="000000" w:themeColor="text1"/>
          <w:lang w:eastAsia="en-US"/>
        </w:rPr>
        <w:lastRenderedPageBreak/>
        <w:t xml:space="preserve">categorization tests to dialectology. </w:t>
      </w:r>
      <w:r w:rsidRPr="00CF31E0">
        <w:rPr>
          <w:rFonts w:eastAsia="Calibri" w:hAnsi="Calibri Light"/>
          <w:i/>
          <w:iCs/>
          <w:color w:val="000000" w:themeColor="text1"/>
          <w:lang w:eastAsia="en-US"/>
        </w:rPr>
        <w:t>Journal of Speech, Language, and Hearing Research</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15</w:t>
      </w:r>
      <w:r w:rsidRPr="00CF31E0">
        <w:rPr>
          <w:rFonts w:eastAsia="Calibri" w:hAnsi="Calibri Light"/>
          <w:color w:val="000000" w:themeColor="text1"/>
          <w:lang w:eastAsia="en-US"/>
        </w:rPr>
        <w:t>(2), 246</w:t>
      </w:r>
      <w:r w:rsidRPr="00CF31E0">
        <w:rPr>
          <w:rFonts w:eastAsia="Calibri" w:hAnsi="Calibri Light"/>
          <w:color w:val="000000" w:themeColor="text1"/>
          <w:lang w:eastAsia="en-US"/>
        </w:rPr>
        <w:t>–</w:t>
      </w:r>
      <w:r w:rsidRPr="00CF31E0">
        <w:rPr>
          <w:rFonts w:eastAsia="Calibri" w:hAnsi="Calibri Light"/>
          <w:color w:val="000000" w:themeColor="text1"/>
          <w:lang w:eastAsia="en-US"/>
        </w:rPr>
        <w:t>255.</w:t>
      </w:r>
    </w:p>
    <w:p w14:paraId="1B402A80"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Wilson, P. W., &amp; Graham, D. F. (2016). </w:t>
      </w:r>
      <w:r w:rsidRPr="00CF31E0">
        <w:rPr>
          <w:rFonts w:eastAsia="Calibri" w:hAnsi="Calibri Light"/>
          <w:i/>
          <w:iCs/>
          <w:color w:val="000000" w:themeColor="text1"/>
          <w:lang w:eastAsia="en-US"/>
        </w:rPr>
        <w:t>Saudi Arabia: The coming storm</w:t>
      </w:r>
      <w:r w:rsidRPr="00CF31E0">
        <w:rPr>
          <w:rFonts w:eastAsia="Calibri" w:hAnsi="Calibri Light"/>
          <w:color w:val="000000" w:themeColor="text1"/>
          <w:lang w:eastAsia="en-US"/>
        </w:rPr>
        <w:t>. New York, NY: Routledge.</w:t>
      </w:r>
    </w:p>
    <w:p w14:paraId="07AB30F1"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Wynbrandt, J. (2010). </w:t>
      </w:r>
      <w:r w:rsidRPr="00CF31E0">
        <w:rPr>
          <w:rFonts w:eastAsia="Calibri" w:hAnsi="Calibri Light"/>
          <w:i/>
          <w:iCs/>
          <w:color w:val="000000" w:themeColor="text1"/>
          <w:lang w:eastAsia="en-US"/>
        </w:rPr>
        <w:t>A brief history of Saudi Arabia</w:t>
      </w:r>
      <w:r w:rsidRPr="00CF31E0">
        <w:rPr>
          <w:rFonts w:eastAsia="Calibri" w:hAnsi="Calibri Light"/>
          <w:color w:val="000000" w:themeColor="text1"/>
          <w:lang w:eastAsia="en-US"/>
        </w:rPr>
        <w:t xml:space="preserve"> (2nd ed.). New York, NY: Infobase Publishing.</w:t>
      </w:r>
    </w:p>
    <w:p w14:paraId="4D81491E"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Yamani, M. (1996). Some observations on women in Saudi Arabia. In M. Yamani (Ed.), </w:t>
      </w:r>
      <w:r w:rsidRPr="00CF31E0">
        <w:rPr>
          <w:rFonts w:eastAsia="Calibri" w:hAnsi="Calibri Light"/>
          <w:i/>
          <w:iCs/>
          <w:color w:val="000000" w:themeColor="text1"/>
          <w:lang w:eastAsia="en-US"/>
        </w:rPr>
        <w:t>Feminism and Islam: Legal and literary perspectives</w:t>
      </w:r>
      <w:r w:rsidRPr="00CF31E0">
        <w:rPr>
          <w:rFonts w:eastAsia="Calibri" w:hAnsi="Calibri Light"/>
          <w:color w:val="000000" w:themeColor="text1"/>
          <w:lang w:eastAsia="en-US"/>
        </w:rPr>
        <w:t xml:space="preserve"> (pp. 263</w:t>
      </w:r>
      <w:r w:rsidRPr="00CF31E0">
        <w:rPr>
          <w:rFonts w:eastAsia="Calibri" w:hAnsi="Calibri Light"/>
          <w:color w:val="000000" w:themeColor="text1"/>
          <w:lang w:eastAsia="en-US"/>
        </w:rPr>
        <w:t>–</w:t>
      </w:r>
      <w:r w:rsidRPr="00CF31E0">
        <w:rPr>
          <w:rFonts w:eastAsia="Calibri" w:hAnsi="Calibri Light"/>
          <w:color w:val="000000" w:themeColor="text1"/>
          <w:lang w:eastAsia="en-US"/>
        </w:rPr>
        <w:t>282). New York, NY: New York University Press.</w:t>
      </w:r>
    </w:p>
    <w:p w14:paraId="73DEED3F"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Zahn, C., &amp; Hopper, R. (1985). Measuring language attitudes: The speech evaluation instrument. </w:t>
      </w:r>
      <w:r w:rsidRPr="00CF31E0">
        <w:rPr>
          <w:rFonts w:eastAsia="Calibri" w:hAnsi="Calibri Light"/>
          <w:i/>
          <w:iCs/>
          <w:color w:val="000000" w:themeColor="text1"/>
          <w:lang w:eastAsia="en-US"/>
        </w:rPr>
        <w:t>Journal of Language and Social Psychology</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4</w:t>
      </w:r>
      <w:r w:rsidRPr="00CF31E0">
        <w:rPr>
          <w:rFonts w:eastAsia="Calibri" w:hAnsi="Calibri Light"/>
          <w:color w:val="000000" w:themeColor="text1"/>
          <w:lang w:eastAsia="en-US"/>
        </w:rPr>
        <w:t>(2), 113</w:t>
      </w:r>
      <w:r w:rsidRPr="00CF31E0">
        <w:rPr>
          <w:rFonts w:eastAsia="Calibri" w:hAnsi="Calibri Light"/>
          <w:color w:val="000000" w:themeColor="text1"/>
          <w:lang w:eastAsia="en-US"/>
        </w:rPr>
        <w:t>–</w:t>
      </w:r>
      <w:r w:rsidRPr="00CF31E0">
        <w:rPr>
          <w:rFonts w:eastAsia="Calibri" w:hAnsi="Calibri Light"/>
          <w:color w:val="000000" w:themeColor="text1"/>
          <w:lang w:eastAsia="en-US"/>
        </w:rPr>
        <w:t xml:space="preserve">123. </w:t>
      </w:r>
    </w:p>
    <w:p w14:paraId="4A407290" w14:textId="77777777" w:rsidR="00361ECA" w:rsidRPr="00CF31E0" w:rsidRDefault="00361ECA" w:rsidP="004F45D7">
      <w:pPr>
        <w:spacing w:before="120" w:line="480" w:lineRule="auto"/>
        <w:ind w:left="720" w:hanging="720"/>
        <w:jc w:val="both"/>
        <w:rPr>
          <w:rFonts w:eastAsia="Calibri" w:hAnsi="Calibri Light"/>
          <w:color w:val="000000" w:themeColor="text1"/>
          <w:lang w:eastAsia="en-US"/>
        </w:rPr>
      </w:pPr>
      <w:r w:rsidRPr="00CF31E0">
        <w:rPr>
          <w:rFonts w:eastAsia="Calibri" w:hAnsi="Calibri Light"/>
          <w:color w:val="000000" w:themeColor="text1"/>
          <w:lang w:eastAsia="en-US"/>
        </w:rPr>
        <w:t xml:space="preserve">Zwick, W. R., &amp; Velicer, W. F. (1986). Comparison of five rules for determining the number of components to retain. </w:t>
      </w:r>
      <w:r w:rsidRPr="00CF31E0">
        <w:rPr>
          <w:rFonts w:eastAsia="Calibri" w:hAnsi="Calibri Light"/>
          <w:i/>
          <w:iCs/>
          <w:color w:val="000000" w:themeColor="text1"/>
          <w:lang w:eastAsia="en-US"/>
        </w:rPr>
        <w:t>Psychological Bulletin</w:t>
      </w:r>
      <w:r w:rsidRPr="00CF31E0">
        <w:rPr>
          <w:rFonts w:eastAsia="Calibri" w:hAnsi="Calibri Light"/>
          <w:color w:val="000000" w:themeColor="text1"/>
          <w:lang w:eastAsia="en-US"/>
        </w:rPr>
        <w:t xml:space="preserve">, </w:t>
      </w:r>
      <w:r w:rsidRPr="00CF31E0">
        <w:rPr>
          <w:rFonts w:eastAsia="Calibri" w:hAnsi="Calibri Light"/>
          <w:i/>
          <w:iCs/>
          <w:color w:val="000000" w:themeColor="text1"/>
          <w:lang w:eastAsia="en-US"/>
        </w:rPr>
        <w:t>99</w:t>
      </w:r>
      <w:r w:rsidRPr="00CF31E0">
        <w:rPr>
          <w:rFonts w:eastAsia="Calibri" w:hAnsi="Calibri Light"/>
          <w:color w:val="000000" w:themeColor="text1"/>
          <w:lang w:eastAsia="en-US"/>
        </w:rPr>
        <w:t>(3), 432</w:t>
      </w:r>
      <w:r w:rsidRPr="00CF31E0">
        <w:rPr>
          <w:rFonts w:eastAsia="Calibri" w:hAnsi="Calibri Light"/>
          <w:color w:val="000000" w:themeColor="text1"/>
          <w:lang w:eastAsia="en-US"/>
        </w:rPr>
        <w:t>–</w:t>
      </w:r>
      <w:r w:rsidRPr="00CF31E0">
        <w:rPr>
          <w:rFonts w:eastAsia="Calibri" w:hAnsi="Calibri Light"/>
          <w:color w:val="000000" w:themeColor="text1"/>
          <w:lang w:eastAsia="en-US"/>
        </w:rPr>
        <w:t>442.</w:t>
      </w:r>
    </w:p>
    <w:bookmarkEnd w:id="1216"/>
    <w:p w14:paraId="2B29672A" w14:textId="77777777" w:rsidR="00B00858" w:rsidRPr="00CF31E0" w:rsidRDefault="00B00858" w:rsidP="00B01076">
      <w:pPr>
        <w:rPr>
          <w:color w:val="000000" w:themeColor="text1"/>
          <w:lang w:eastAsia="en-US"/>
        </w:rPr>
        <w:sectPr w:rsidR="00B00858" w:rsidRPr="00CF31E0" w:rsidSect="00603CB7">
          <w:pgSz w:w="11900" w:h="16840"/>
          <w:pgMar w:top="1440" w:right="2268" w:bottom="1440" w:left="2268" w:header="708" w:footer="708" w:gutter="0"/>
          <w:cols w:space="708"/>
          <w:docGrid w:linePitch="360"/>
        </w:sectPr>
      </w:pPr>
    </w:p>
    <w:p w14:paraId="78298A3B" w14:textId="6F76DA86" w:rsidR="00E87209" w:rsidRPr="00CF31E0" w:rsidRDefault="008A2A0D" w:rsidP="00E87209">
      <w:pPr>
        <w:pStyle w:val="Title"/>
        <w:rPr>
          <w:color w:val="000000" w:themeColor="text1"/>
          <w:lang w:eastAsia="en-US"/>
        </w:rPr>
      </w:pPr>
      <w:bookmarkStart w:id="1217" w:name="_Toc6472841"/>
      <w:r w:rsidRPr="00CF31E0">
        <w:rPr>
          <w:color w:val="000000" w:themeColor="text1"/>
          <w:lang w:eastAsia="en-US"/>
        </w:rPr>
        <w:lastRenderedPageBreak/>
        <w:t>Appendice</w:t>
      </w:r>
      <w:r w:rsidR="00FF76E5" w:rsidRPr="00CF31E0">
        <w:rPr>
          <w:color w:val="000000" w:themeColor="text1"/>
          <w:lang w:eastAsia="en-US"/>
        </w:rPr>
        <w:t>s</w:t>
      </w:r>
      <w:bookmarkEnd w:id="1217"/>
    </w:p>
    <w:p w14:paraId="2E14557F" w14:textId="1E576BBD" w:rsidR="00C90CEE" w:rsidRPr="00CF31E0" w:rsidRDefault="00C90CEE" w:rsidP="00603CB7">
      <w:pPr>
        <w:pStyle w:val="Title"/>
        <w:spacing w:after="400"/>
        <w:contextualSpacing w:val="0"/>
        <w:rPr>
          <w:color w:val="000000" w:themeColor="text1"/>
          <w:lang w:eastAsia="en-US"/>
        </w:rPr>
      </w:pPr>
      <w:bookmarkStart w:id="1218" w:name="_Toc6472842"/>
      <w:r w:rsidRPr="00CF31E0">
        <w:rPr>
          <w:color w:val="000000" w:themeColor="text1"/>
          <w:lang w:eastAsia="en-US"/>
        </w:rPr>
        <w:t>Appendix 1</w:t>
      </w:r>
      <w:r w:rsidR="00FD2074" w:rsidRPr="00CF31E0">
        <w:rPr>
          <w:color w:val="000000" w:themeColor="text1"/>
          <w:lang w:eastAsia="en-US"/>
        </w:rPr>
        <w:t>: The questionnaire</w:t>
      </w:r>
      <w:bookmarkEnd w:id="1218"/>
    </w:p>
    <w:p w14:paraId="11EBB39C" w14:textId="77777777" w:rsidR="00FD2074" w:rsidRPr="00CF31E0" w:rsidRDefault="00FD2074" w:rsidP="00603CB7">
      <w:pPr>
        <w:spacing w:after="400"/>
        <w:jc w:val="center"/>
        <w:rPr>
          <w:rFonts w:eastAsia="MS Mincho"/>
          <w:b/>
          <w:color w:val="000000" w:themeColor="text1"/>
          <w:sz w:val="32"/>
          <w:szCs w:val="32"/>
          <w:u w:val="single"/>
        </w:rPr>
      </w:pPr>
      <w:r w:rsidRPr="00CF31E0">
        <w:rPr>
          <w:rFonts w:eastAsia="MS Mincho"/>
          <w:b/>
          <w:color w:val="000000" w:themeColor="text1"/>
          <w:sz w:val="32"/>
          <w:szCs w:val="32"/>
          <w:u w:val="single"/>
        </w:rPr>
        <w:t>Part 1</w:t>
      </w:r>
    </w:p>
    <w:p w14:paraId="73457F05" w14:textId="77777777" w:rsidR="00FD2074" w:rsidRPr="00CF31E0" w:rsidRDefault="00FD2074" w:rsidP="00603CB7">
      <w:pPr>
        <w:numPr>
          <w:ilvl w:val="0"/>
          <w:numId w:val="56"/>
        </w:numPr>
        <w:spacing w:after="400"/>
        <w:ind w:left="357" w:hanging="357"/>
        <w:rPr>
          <w:rFonts w:eastAsia="MS Mincho"/>
          <w:bCs/>
          <w:color w:val="000000" w:themeColor="text1"/>
          <w:lang w:eastAsia="en-US"/>
        </w:rPr>
      </w:pPr>
      <w:r w:rsidRPr="00CF31E0">
        <w:rPr>
          <w:rFonts w:eastAsia="MS Mincho"/>
          <w:bCs/>
          <w:color w:val="000000" w:themeColor="text1"/>
          <w:lang w:eastAsia="en-US"/>
        </w:rPr>
        <w:t xml:space="preserve">Please check off and complete the appropriate information that describes you </w:t>
      </w:r>
    </w:p>
    <w:p w14:paraId="07790FAE" w14:textId="77777777" w:rsidR="00FD2074" w:rsidRPr="00CF31E0" w:rsidRDefault="00FD2074" w:rsidP="00603CB7">
      <w:pPr>
        <w:spacing w:after="200"/>
        <w:rPr>
          <w:rFonts w:eastAsia="MS Mincho"/>
          <w:b/>
          <w:color w:val="000000" w:themeColor="text1"/>
        </w:rPr>
      </w:pPr>
      <w:r w:rsidRPr="00CF31E0">
        <w:rPr>
          <w:rFonts w:eastAsia="MS Mincho"/>
          <w:b/>
          <w:color w:val="000000" w:themeColor="text1"/>
        </w:rPr>
        <w:t>Demographic information</w:t>
      </w:r>
    </w:p>
    <w:p w14:paraId="2617A543" w14:textId="77777777" w:rsidR="00FD2074" w:rsidRPr="00CF31E0" w:rsidRDefault="00FD2074" w:rsidP="00FD2074">
      <w:pPr>
        <w:rPr>
          <w:rFonts w:eastAsia="MS Mincho"/>
          <w:color w:val="000000" w:themeColor="text1"/>
        </w:rPr>
      </w:pPr>
      <w:r w:rsidRPr="00CF31E0">
        <w:rPr>
          <w:rFonts w:eastAsia="MS Mincho"/>
          <w:color w:val="000000" w:themeColor="text1"/>
        </w:rPr>
        <w:t>What is your gender?</w:t>
      </w:r>
    </w:p>
    <w:p w14:paraId="742BBFF9" w14:textId="77777777" w:rsidR="00FD2074" w:rsidRPr="00CF31E0" w:rsidRDefault="00FD2074" w:rsidP="00FD2074">
      <w:pPr>
        <w:numPr>
          <w:ilvl w:val="0"/>
          <w:numId w:val="55"/>
        </w:numPr>
        <w:contextualSpacing/>
        <w:rPr>
          <w:rFonts w:eastAsia="MS Mincho"/>
          <w:color w:val="000000" w:themeColor="text1"/>
          <w:lang w:eastAsia="en-US"/>
        </w:rPr>
      </w:pPr>
      <w:r w:rsidRPr="00CF31E0">
        <w:rPr>
          <w:rFonts w:eastAsia="MS Mincho"/>
          <w:color w:val="000000" w:themeColor="text1"/>
          <w:lang w:eastAsia="en-US"/>
        </w:rPr>
        <w:t>Male.</w:t>
      </w:r>
    </w:p>
    <w:p w14:paraId="4D709BFB" w14:textId="77777777" w:rsidR="00FD2074" w:rsidRPr="00CF31E0" w:rsidRDefault="00FD2074" w:rsidP="00603CB7">
      <w:pPr>
        <w:numPr>
          <w:ilvl w:val="0"/>
          <w:numId w:val="55"/>
        </w:numPr>
        <w:spacing w:after="200"/>
        <w:ind w:left="714" w:hanging="357"/>
        <w:rPr>
          <w:rFonts w:eastAsia="MS Mincho"/>
          <w:color w:val="000000" w:themeColor="text1"/>
          <w:lang w:eastAsia="en-US"/>
        </w:rPr>
      </w:pPr>
      <w:r w:rsidRPr="00CF31E0">
        <w:rPr>
          <w:rFonts w:eastAsia="MS Mincho"/>
          <w:color w:val="000000" w:themeColor="text1"/>
          <w:lang w:eastAsia="en-US"/>
        </w:rPr>
        <w:t>Female.</w:t>
      </w:r>
    </w:p>
    <w:p w14:paraId="11248BFD" w14:textId="77777777" w:rsidR="00FD2074" w:rsidRPr="00CF31E0" w:rsidRDefault="00FD2074" w:rsidP="00FD2074">
      <w:pPr>
        <w:rPr>
          <w:rFonts w:eastAsia="MS Mincho"/>
          <w:color w:val="000000" w:themeColor="text1"/>
        </w:rPr>
      </w:pPr>
      <w:r w:rsidRPr="00CF31E0">
        <w:rPr>
          <w:rFonts w:eastAsia="MS Mincho"/>
          <w:color w:val="000000" w:themeColor="text1"/>
        </w:rPr>
        <w:t>What is your age?</w:t>
      </w:r>
    </w:p>
    <w:p w14:paraId="421B2FB8" w14:textId="77777777" w:rsidR="00FD2074" w:rsidRPr="00CF31E0" w:rsidRDefault="00FD2074" w:rsidP="00FD2074">
      <w:pPr>
        <w:numPr>
          <w:ilvl w:val="0"/>
          <w:numId w:val="47"/>
        </w:numPr>
        <w:contextualSpacing/>
        <w:rPr>
          <w:rFonts w:eastAsia="MS Mincho"/>
          <w:color w:val="000000" w:themeColor="text1"/>
          <w:lang w:eastAsia="en-US"/>
        </w:rPr>
      </w:pPr>
      <w:r w:rsidRPr="00CF31E0">
        <w:rPr>
          <w:rFonts w:eastAsia="MS Mincho"/>
          <w:color w:val="000000" w:themeColor="text1"/>
          <w:lang w:eastAsia="en-US"/>
        </w:rPr>
        <w:t>18 to 24</w:t>
      </w:r>
    </w:p>
    <w:p w14:paraId="28027246" w14:textId="77777777" w:rsidR="00FD2074" w:rsidRPr="00CF31E0" w:rsidRDefault="00FD2074" w:rsidP="00FD2074">
      <w:pPr>
        <w:numPr>
          <w:ilvl w:val="0"/>
          <w:numId w:val="47"/>
        </w:numPr>
        <w:contextualSpacing/>
        <w:rPr>
          <w:rFonts w:eastAsia="MS Mincho"/>
          <w:color w:val="000000" w:themeColor="text1"/>
          <w:lang w:eastAsia="en-US"/>
        </w:rPr>
      </w:pPr>
      <w:r w:rsidRPr="00CF31E0">
        <w:rPr>
          <w:rFonts w:eastAsia="MS Mincho"/>
          <w:color w:val="000000" w:themeColor="text1"/>
          <w:lang w:eastAsia="en-US"/>
        </w:rPr>
        <w:t>25 to 34</w:t>
      </w:r>
    </w:p>
    <w:p w14:paraId="00E6A566" w14:textId="77777777" w:rsidR="00FD2074" w:rsidRPr="00CF31E0" w:rsidRDefault="00FD2074" w:rsidP="00FD2074">
      <w:pPr>
        <w:numPr>
          <w:ilvl w:val="0"/>
          <w:numId w:val="47"/>
        </w:numPr>
        <w:contextualSpacing/>
        <w:rPr>
          <w:rFonts w:eastAsia="MS Mincho"/>
          <w:color w:val="000000" w:themeColor="text1"/>
          <w:lang w:eastAsia="en-US"/>
        </w:rPr>
      </w:pPr>
      <w:r w:rsidRPr="00CF31E0">
        <w:rPr>
          <w:rFonts w:eastAsia="MS Mincho"/>
          <w:color w:val="000000" w:themeColor="text1"/>
          <w:lang w:eastAsia="en-US"/>
        </w:rPr>
        <w:t>35 to 44</w:t>
      </w:r>
    </w:p>
    <w:p w14:paraId="2B63F5D9" w14:textId="77777777" w:rsidR="00FD2074" w:rsidRPr="00CF31E0" w:rsidRDefault="00FD2074" w:rsidP="00FD2074">
      <w:pPr>
        <w:numPr>
          <w:ilvl w:val="0"/>
          <w:numId w:val="47"/>
        </w:numPr>
        <w:contextualSpacing/>
        <w:rPr>
          <w:rFonts w:eastAsia="MS Mincho"/>
          <w:color w:val="000000" w:themeColor="text1"/>
          <w:lang w:eastAsia="en-US"/>
        </w:rPr>
      </w:pPr>
      <w:r w:rsidRPr="00CF31E0">
        <w:rPr>
          <w:rFonts w:eastAsia="MS Mincho"/>
          <w:color w:val="000000" w:themeColor="text1"/>
          <w:lang w:eastAsia="en-US"/>
        </w:rPr>
        <w:t>45 to 54</w:t>
      </w:r>
    </w:p>
    <w:p w14:paraId="34DB5DBA" w14:textId="77777777" w:rsidR="00FD2074" w:rsidRPr="00CF31E0" w:rsidRDefault="00FD2074" w:rsidP="00FD2074">
      <w:pPr>
        <w:numPr>
          <w:ilvl w:val="0"/>
          <w:numId w:val="47"/>
        </w:numPr>
        <w:contextualSpacing/>
        <w:rPr>
          <w:rFonts w:eastAsia="MS Mincho"/>
          <w:color w:val="000000" w:themeColor="text1"/>
          <w:lang w:eastAsia="en-US"/>
        </w:rPr>
      </w:pPr>
      <w:r w:rsidRPr="00CF31E0">
        <w:rPr>
          <w:rFonts w:eastAsia="MS Mincho"/>
          <w:color w:val="000000" w:themeColor="text1"/>
          <w:lang w:eastAsia="en-US"/>
        </w:rPr>
        <w:t>55 to 64</w:t>
      </w:r>
    </w:p>
    <w:p w14:paraId="5EA76A05" w14:textId="6D38CADC" w:rsidR="00FD2074" w:rsidRPr="00CF31E0" w:rsidRDefault="002834DA" w:rsidP="00603CB7">
      <w:pPr>
        <w:numPr>
          <w:ilvl w:val="0"/>
          <w:numId w:val="47"/>
        </w:numPr>
        <w:spacing w:after="200"/>
        <w:ind w:left="714" w:hanging="357"/>
        <w:rPr>
          <w:rFonts w:eastAsia="MS Mincho"/>
          <w:color w:val="000000" w:themeColor="text1"/>
          <w:lang w:eastAsia="en-US"/>
        </w:rPr>
      </w:pPr>
      <w:r w:rsidRPr="00CF31E0">
        <w:rPr>
          <w:rFonts w:eastAsia="MS Mincho"/>
          <w:color w:val="000000" w:themeColor="text1"/>
          <w:lang w:eastAsia="en-US"/>
        </w:rPr>
        <w:t>Other (</w:t>
      </w:r>
      <w:r w:rsidR="00FD2074" w:rsidRPr="00CF31E0">
        <w:rPr>
          <w:rFonts w:eastAsia="MS Mincho"/>
          <w:color w:val="000000" w:themeColor="text1"/>
          <w:lang w:eastAsia="en-US"/>
        </w:rPr>
        <w:t>please specify) …</w:t>
      </w:r>
      <w:r w:rsidR="00973445" w:rsidRPr="00CF31E0">
        <w:rPr>
          <w:rFonts w:eastAsia="MS Mincho"/>
          <w:color w:val="000000" w:themeColor="text1"/>
          <w:lang w:eastAsia="en-US"/>
        </w:rPr>
        <w:t>…...</w:t>
      </w:r>
    </w:p>
    <w:p w14:paraId="7570D2F0" w14:textId="77777777" w:rsidR="00FD2074" w:rsidRPr="00CF31E0" w:rsidRDefault="00FD2074" w:rsidP="00FD2074">
      <w:pPr>
        <w:rPr>
          <w:rFonts w:eastAsia="MS Mincho"/>
          <w:color w:val="000000" w:themeColor="text1"/>
        </w:rPr>
      </w:pPr>
      <w:r w:rsidRPr="00CF31E0">
        <w:rPr>
          <w:rFonts w:eastAsia="MS Mincho"/>
          <w:color w:val="000000" w:themeColor="text1"/>
        </w:rPr>
        <w:t>Where were you born?</w:t>
      </w:r>
    </w:p>
    <w:p w14:paraId="04594597" w14:textId="337F38B1" w:rsidR="00FD2074" w:rsidRPr="00CF31E0" w:rsidRDefault="00D30B2F" w:rsidP="00FD2074">
      <w:pPr>
        <w:numPr>
          <w:ilvl w:val="0"/>
          <w:numId w:val="48"/>
        </w:numPr>
        <w:contextualSpacing/>
        <w:rPr>
          <w:rFonts w:eastAsia="MS Mincho"/>
          <w:color w:val="000000" w:themeColor="text1"/>
          <w:lang w:eastAsia="en-US"/>
        </w:rPr>
      </w:pPr>
      <w:r>
        <w:rPr>
          <w:rFonts w:eastAsia="MS Mincho"/>
          <w:color w:val="000000" w:themeColor="text1"/>
          <w:lang w:eastAsia="en-US"/>
        </w:rPr>
        <w:t>Makkah</w:t>
      </w:r>
      <w:r w:rsidR="00E90789" w:rsidRPr="00CF31E0">
        <w:rPr>
          <w:rFonts w:eastAsia="MS Mincho"/>
          <w:color w:val="000000" w:themeColor="text1"/>
          <w:lang w:eastAsia="en-US"/>
        </w:rPr>
        <w:t>.</w:t>
      </w:r>
    </w:p>
    <w:p w14:paraId="6FCF63D4" w14:textId="2681FCEE" w:rsidR="00FD2074" w:rsidRPr="00CF31E0" w:rsidRDefault="00FD2074" w:rsidP="00FD2074">
      <w:pPr>
        <w:numPr>
          <w:ilvl w:val="0"/>
          <w:numId w:val="48"/>
        </w:numPr>
        <w:contextualSpacing/>
        <w:rPr>
          <w:rFonts w:eastAsia="MS Mincho"/>
          <w:color w:val="000000" w:themeColor="text1"/>
          <w:lang w:eastAsia="en-US"/>
        </w:rPr>
      </w:pPr>
      <w:r w:rsidRPr="00CF31E0">
        <w:rPr>
          <w:rFonts w:eastAsia="MS Mincho"/>
          <w:color w:val="000000" w:themeColor="text1"/>
          <w:lang w:eastAsia="en-US"/>
        </w:rPr>
        <w:t>Jeddah</w:t>
      </w:r>
      <w:r w:rsidR="00E90789" w:rsidRPr="00CF31E0">
        <w:rPr>
          <w:rFonts w:eastAsia="MS Mincho"/>
          <w:color w:val="000000" w:themeColor="text1"/>
          <w:lang w:eastAsia="en-US"/>
        </w:rPr>
        <w:t>.</w:t>
      </w:r>
    </w:p>
    <w:p w14:paraId="0235C224" w14:textId="63D0FD57" w:rsidR="00FD2074" w:rsidRPr="00CF31E0" w:rsidRDefault="00FD2074" w:rsidP="005D1502">
      <w:pPr>
        <w:numPr>
          <w:ilvl w:val="0"/>
          <w:numId w:val="48"/>
        </w:numPr>
        <w:contextualSpacing/>
        <w:rPr>
          <w:rFonts w:eastAsia="MS Mincho"/>
          <w:color w:val="000000" w:themeColor="text1"/>
          <w:lang w:eastAsia="en-US"/>
        </w:rPr>
      </w:pPr>
      <w:r w:rsidRPr="00CF31E0">
        <w:rPr>
          <w:rFonts w:eastAsia="MS Mincho"/>
          <w:color w:val="000000" w:themeColor="text1"/>
          <w:lang w:eastAsia="en-US"/>
        </w:rPr>
        <w:t>Al-M</w:t>
      </w:r>
      <w:r w:rsidRPr="00CF31E0">
        <w:rPr>
          <w:rFonts w:eastAsia="MS Mincho"/>
          <w:color w:val="000000" w:themeColor="text1"/>
          <w:lang w:val="en-US" w:eastAsia="en-US"/>
        </w:rPr>
        <w:t>a</w:t>
      </w:r>
      <w:r w:rsidRPr="00CF31E0">
        <w:rPr>
          <w:rFonts w:eastAsia="MS Mincho"/>
          <w:color w:val="000000" w:themeColor="text1"/>
          <w:lang w:eastAsia="en-US"/>
        </w:rPr>
        <w:t>dina</w:t>
      </w:r>
      <w:r w:rsidR="00E90789" w:rsidRPr="00CF31E0">
        <w:rPr>
          <w:rFonts w:eastAsia="MS Mincho"/>
          <w:color w:val="000000" w:themeColor="text1"/>
          <w:lang w:eastAsia="en-US"/>
        </w:rPr>
        <w:t>.</w:t>
      </w:r>
    </w:p>
    <w:p w14:paraId="636597CC" w14:textId="06F27534" w:rsidR="00FD2074" w:rsidRPr="00CF31E0" w:rsidRDefault="00FD2074" w:rsidP="00FD2074">
      <w:pPr>
        <w:numPr>
          <w:ilvl w:val="0"/>
          <w:numId w:val="48"/>
        </w:numPr>
        <w:contextualSpacing/>
        <w:rPr>
          <w:rFonts w:eastAsia="MS Mincho"/>
          <w:color w:val="000000" w:themeColor="text1"/>
          <w:lang w:eastAsia="en-US"/>
        </w:rPr>
      </w:pPr>
      <w:r w:rsidRPr="00CF31E0">
        <w:rPr>
          <w:rFonts w:eastAsia="MS Mincho"/>
          <w:color w:val="000000" w:themeColor="text1"/>
          <w:lang w:eastAsia="en-US"/>
        </w:rPr>
        <w:t>Other places inside the Hijaz, specify please</w:t>
      </w:r>
      <w:r w:rsidR="00973445" w:rsidRPr="00CF31E0">
        <w:rPr>
          <w:rFonts w:eastAsia="MS Mincho"/>
          <w:color w:val="000000" w:themeColor="text1"/>
          <w:lang w:eastAsia="en-US"/>
        </w:rPr>
        <w:t>…...</w:t>
      </w:r>
      <w:r w:rsidRPr="00CF31E0">
        <w:rPr>
          <w:rFonts w:eastAsia="MS Mincho"/>
          <w:color w:val="000000" w:themeColor="text1"/>
          <w:lang w:eastAsia="en-US"/>
        </w:rPr>
        <w:t xml:space="preserve"> </w:t>
      </w:r>
    </w:p>
    <w:p w14:paraId="7F026EDC" w14:textId="3B6A118C" w:rsidR="00FD2074" w:rsidRPr="00CF31E0" w:rsidRDefault="00FD2074" w:rsidP="00603CB7">
      <w:pPr>
        <w:numPr>
          <w:ilvl w:val="0"/>
          <w:numId w:val="48"/>
        </w:numPr>
        <w:spacing w:after="200"/>
        <w:ind w:left="714" w:hanging="357"/>
        <w:rPr>
          <w:rFonts w:eastAsia="MS Mincho"/>
          <w:color w:val="000000" w:themeColor="text1"/>
          <w:lang w:eastAsia="en-US"/>
        </w:rPr>
      </w:pPr>
      <w:r w:rsidRPr="00CF31E0">
        <w:rPr>
          <w:rFonts w:eastAsia="MS Mincho"/>
          <w:color w:val="000000" w:themeColor="text1"/>
          <w:lang w:eastAsia="en-US"/>
        </w:rPr>
        <w:t>Other places outside</w:t>
      </w:r>
      <w:r w:rsidR="00973445" w:rsidRPr="00CF31E0">
        <w:rPr>
          <w:rFonts w:eastAsia="MS Mincho"/>
          <w:color w:val="000000" w:themeColor="text1"/>
          <w:lang w:eastAsia="en-US"/>
        </w:rPr>
        <w:t xml:space="preserve"> the Hijaz, specify please</w:t>
      </w:r>
      <w:r w:rsidRPr="00CF31E0">
        <w:rPr>
          <w:rFonts w:eastAsia="MS Mincho"/>
          <w:color w:val="000000" w:themeColor="text1"/>
          <w:lang w:eastAsia="en-US"/>
        </w:rPr>
        <w:t xml:space="preserve">…… </w:t>
      </w:r>
    </w:p>
    <w:p w14:paraId="1B63F6E5" w14:textId="77777777" w:rsidR="00FD2074" w:rsidRPr="00CF31E0" w:rsidRDefault="00FD2074" w:rsidP="00FD2074">
      <w:pPr>
        <w:rPr>
          <w:rFonts w:eastAsia="MS Mincho"/>
          <w:color w:val="000000" w:themeColor="text1"/>
        </w:rPr>
      </w:pPr>
      <w:r w:rsidRPr="00CF31E0">
        <w:rPr>
          <w:rFonts w:eastAsia="MS Mincho"/>
          <w:color w:val="000000" w:themeColor="text1"/>
        </w:rPr>
        <w:t xml:space="preserve">Where did you live in the last ten years? (you can choose more than one). </w:t>
      </w:r>
    </w:p>
    <w:p w14:paraId="6503642A" w14:textId="7176CA4B" w:rsidR="00FD2074" w:rsidRPr="00CF31E0" w:rsidRDefault="00D30B2F" w:rsidP="00FD2074">
      <w:pPr>
        <w:numPr>
          <w:ilvl w:val="0"/>
          <w:numId w:val="49"/>
        </w:numPr>
        <w:contextualSpacing/>
        <w:rPr>
          <w:rFonts w:eastAsia="MS Mincho"/>
          <w:color w:val="000000" w:themeColor="text1"/>
          <w:lang w:eastAsia="en-US"/>
        </w:rPr>
      </w:pPr>
      <w:r>
        <w:rPr>
          <w:rFonts w:eastAsia="MS Mincho"/>
          <w:color w:val="000000" w:themeColor="text1"/>
          <w:lang w:eastAsia="en-US"/>
        </w:rPr>
        <w:t>Makkah</w:t>
      </w:r>
      <w:r w:rsidR="00FD2074" w:rsidRPr="00CF31E0">
        <w:rPr>
          <w:rFonts w:eastAsia="MS Mincho"/>
          <w:color w:val="000000" w:themeColor="text1"/>
          <w:lang w:eastAsia="en-US"/>
        </w:rPr>
        <w:t>.</w:t>
      </w:r>
    </w:p>
    <w:p w14:paraId="4E268935" w14:textId="77777777" w:rsidR="00FD2074" w:rsidRPr="00CF31E0" w:rsidRDefault="00FD2074" w:rsidP="00FD2074">
      <w:pPr>
        <w:numPr>
          <w:ilvl w:val="0"/>
          <w:numId w:val="49"/>
        </w:numPr>
        <w:contextualSpacing/>
        <w:rPr>
          <w:rFonts w:eastAsia="MS Mincho"/>
          <w:color w:val="000000" w:themeColor="text1"/>
          <w:lang w:eastAsia="en-US"/>
        </w:rPr>
      </w:pPr>
      <w:r w:rsidRPr="00CF31E0">
        <w:rPr>
          <w:rFonts w:eastAsia="MS Mincho"/>
          <w:color w:val="000000" w:themeColor="text1"/>
          <w:lang w:eastAsia="en-US"/>
        </w:rPr>
        <w:t>Jeddah.</w:t>
      </w:r>
    </w:p>
    <w:p w14:paraId="376A89F3" w14:textId="77777777" w:rsidR="00FD2074" w:rsidRPr="00CF31E0" w:rsidRDefault="00FD2074" w:rsidP="00FD2074">
      <w:pPr>
        <w:numPr>
          <w:ilvl w:val="0"/>
          <w:numId w:val="49"/>
        </w:numPr>
        <w:contextualSpacing/>
        <w:rPr>
          <w:rFonts w:eastAsia="MS Mincho"/>
          <w:color w:val="000000" w:themeColor="text1"/>
          <w:lang w:eastAsia="en-US"/>
        </w:rPr>
      </w:pPr>
      <w:r w:rsidRPr="00CF31E0">
        <w:rPr>
          <w:rFonts w:eastAsia="MS Mincho"/>
          <w:color w:val="000000" w:themeColor="text1"/>
          <w:lang w:eastAsia="en-US"/>
        </w:rPr>
        <w:t>Madina.</w:t>
      </w:r>
    </w:p>
    <w:p w14:paraId="0D3B0500" w14:textId="77777777" w:rsidR="00FD2074" w:rsidRPr="00CF31E0" w:rsidRDefault="00FD2074" w:rsidP="00FD2074">
      <w:pPr>
        <w:numPr>
          <w:ilvl w:val="0"/>
          <w:numId w:val="49"/>
        </w:numPr>
        <w:contextualSpacing/>
        <w:rPr>
          <w:rFonts w:eastAsia="MS Mincho"/>
          <w:color w:val="000000" w:themeColor="text1"/>
          <w:lang w:eastAsia="en-US"/>
        </w:rPr>
      </w:pPr>
      <w:r w:rsidRPr="00CF31E0">
        <w:rPr>
          <w:rFonts w:eastAsia="MS Mincho"/>
          <w:color w:val="000000" w:themeColor="text1"/>
          <w:lang w:eastAsia="en-US"/>
        </w:rPr>
        <w:t>Other places inside the Hijaz, specify please….</w:t>
      </w:r>
    </w:p>
    <w:p w14:paraId="2C3B7CAF" w14:textId="77777777" w:rsidR="00FD2074" w:rsidRPr="00CF31E0" w:rsidRDefault="00FD2074" w:rsidP="00603CB7">
      <w:pPr>
        <w:numPr>
          <w:ilvl w:val="0"/>
          <w:numId w:val="49"/>
        </w:numPr>
        <w:spacing w:after="200"/>
        <w:ind w:left="714" w:hanging="357"/>
        <w:rPr>
          <w:rFonts w:eastAsia="MS Mincho"/>
          <w:color w:val="000000" w:themeColor="text1"/>
          <w:lang w:eastAsia="en-US"/>
        </w:rPr>
      </w:pPr>
      <w:r w:rsidRPr="00CF31E0">
        <w:rPr>
          <w:rFonts w:eastAsia="MS Mincho"/>
          <w:color w:val="000000" w:themeColor="text1"/>
          <w:lang w:eastAsia="en-US"/>
        </w:rPr>
        <w:t>Other places outside the Hijaz, specify please….</w:t>
      </w:r>
    </w:p>
    <w:p w14:paraId="44638CE5" w14:textId="77777777" w:rsidR="00FD2074" w:rsidRPr="00CF31E0" w:rsidRDefault="00FD2074" w:rsidP="00FD2074">
      <w:pPr>
        <w:rPr>
          <w:rFonts w:eastAsia="MS Mincho"/>
          <w:color w:val="000000" w:themeColor="text1"/>
        </w:rPr>
      </w:pPr>
      <w:r w:rsidRPr="00CF31E0">
        <w:rPr>
          <w:rFonts w:eastAsia="MS Mincho"/>
          <w:color w:val="000000" w:themeColor="text1"/>
        </w:rPr>
        <w:t>What is you marital status?</w:t>
      </w:r>
    </w:p>
    <w:p w14:paraId="3A211977" w14:textId="77777777" w:rsidR="00FD2074" w:rsidRPr="00CF31E0" w:rsidRDefault="00FD2074" w:rsidP="00FD2074">
      <w:pPr>
        <w:numPr>
          <w:ilvl w:val="0"/>
          <w:numId w:val="53"/>
        </w:numPr>
        <w:contextualSpacing/>
        <w:rPr>
          <w:rFonts w:eastAsia="MS Mincho"/>
          <w:color w:val="000000" w:themeColor="text1"/>
          <w:lang w:eastAsia="en-US"/>
        </w:rPr>
      </w:pPr>
      <w:r w:rsidRPr="00CF31E0">
        <w:rPr>
          <w:rFonts w:eastAsia="MS Mincho"/>
          <w:color w:val="000000" w:themeColor="text1"/>
          <w:lang w:eastAsia="en-US"/>
        </w:rPr>
        <w:t>Single.</w:t>
      </w:r>
    </w:p>
    <w:p w14:paraId="22DAAFC4" w14:textId="77777777" w:rsidR="00FD2074" w:rsidRPr="00CF31E0" w:rsidRDefault="00FD2074" w:rsidP="00FD2074">
      <w:pPr>
        <w:numPr>
          <w:ilvl w:val="0"/>
          <w:numId w:val="53"/>
        </w:numPr>
        <w:contextualSpacing/>
        <w:rPr>
          <w:rFonts w:eastAsia="MS Mincho"/>
          <w:color w:val="000000" w:themeColor="text1"/>
          <w:lang w:eastAsia="en-US"/>
        </w:rPr>
      </w:pPr>
      <w:r w:rsidRPr="00CF31E0">
        <w:rPr>
          <w:rFonts w:eastAsia="MS Mincho"/>
          <w:color w:val="000000" w:themeColor="text1"/>
          <w:lang w:eastAsia="en-US"/>
        </w:rPr>
        <w:t>Married.</w:t>
      </w:r>
    </w:p>
    <w:p w14:paraId="3A95BB42" w14:textId="77777777" w:rsidR="00FD2074" w:rsidRPr="00CF31E0" w:rsidRDefault="00FD2074" w:rsidP="00FD2074">
      <w:pPr>
        <w:numPr>
          <w:ilvl w:val="0"/>
          <w:numId w:val="53"/>
        </w:numPr>
        <w:contextualSpacing/>
        <w:rPr>
          <w:rFonts w:eastAsia="MS Mincho"/>
          <w:color w:val="000000" w:themeColor="text1"/>
          <w:lang w:eastAsia="en-US"/>
        </w:rPr>
      </w:pPr>
      <w:r w:rsidRPr="00CF31E0">
        <w:rPr>
          <w:rFonts w:eastAsia="MS Mincho"/>
          <w:color w:val="000000" w:themeColor="text1"/>
          <w:lang w:eastAsia="en-US"/>
        </w:rPr>
        <w:t>Divorced.</w:t>
      </w:r>
    </w:p>
    <w:p w14:paraId="1D3DB0A4" w14:textId="77777777" w:rsidR="00FD2074" w:rsidRPr="00CF31E0" w:rsidRDefault="00FD2074" w:rsidP="00603CB7">
      <w:pPr>
        <w:numPr>
          <w:ilvl w:val="0"/>
          <w:numId w:val="53"/>
        </w:numPr>
        <w:spacing w:after="200"/>
        <w:ind w:left="714" w:hanging="357"/>
        <w:rPr>
          <w:rFonts w:eastAsia="MS Mincho"/>
          <w:color w:val="000000" w:themeColor="text1"/>
          <w:lang w:eastAsia="en-US"/>
        </w:rPr>
      </w:pPr>
      <w:r w:rsidRPr="00CF31E0">
        <w:rPr>
          <w:rFonts w:eastAsia="MS Mincho"/>
          <w:color w:val="000000" w:themeColor="text1"/>
          <w:lang w:eastAsia="en-US"/>
        </w:rPr>
        <w:t xml:space="preserve">Widow/widower  </w:t>
      </w:r>
    </w:p>
    <w:p w14:paraId="50CDA265" w14:textId="77777777" w:rsidR="00FD2074" w:rsidRPr="00CF31E0" w:rsidRDefault="00FD2074" w:rsidP="00FD2074">
      <w:pPr>
        <w:rPr>
          <w:rFonts w:eastAsia="MS Mincho"/>
          <w:color w:val="000000" w:themeColor="text1"/>
        </w:rPr>
      </w:pPr>
      <w:r w:rsidRPr="00CF31E0">
        <w:rPr>
          <w:rFonts w:eastAsia="MS Mincho"/>
          <w:color w:val="000000" w:themeColor="text1"/>
        </w:rPr>
        <w:t>What is the highest level of education you have completed?</w:t>
      </w:r>
    </w:p>
    <w:p w14:paraId="7BDBDE05" w14:textId="77777777" w:rsidR="00FD2074" w:rsidRPr="00CF31E0" w:rsidRDefault="00FD2074" w:rsidP="00FD2074">
      <w:pPr>
        <w:numPr>
          <w:ilvl w:val="0"/>
          <w:numId w:val="50"/>
        </w:numPr>
        <w:contextualSpacing/>
        <w:rPr>
          <w:rFonts w:eastAsia="MS Mincho"/>
          <w:color w:val="000000" w:themeColor="text1"/>
          <w:lang w:eastAsia="en-US"/>
        </w:rPr>
      </w:pPr>
      <w:r w:rsidRPr="00CF31E0">
        <w:rPr>
          <w:rFonts w:eastAsia="MS Mincho"/>
          <w:color w:val="000000" w:themeColor="text1"/>
          <w:lang w:eastAsia="en-US"/>
        </w:rPr>
        <w:t>Primary.</w:t>
      </w:r>
    </w:p>
    <w:p w14:paraId="3CE16425" w14:textId="77777777" w:rsidR="00FD2074" w:rsidRPr="00CF31E0" w:rsidRDefault="00FD2074" w:rsidP="00FD2074">
      <w:pPr>
        <w:numPr>
          <w:ilvl w:val="0"/>
          <w:numId w:val="50"/>
        </w:numPr>
        <w:contextualSpacing/>
        <w:rPr>
          <w:rFonts w:eastAsia="MS Mincho"/>
          <w:color w:val="000000" w:themeColor="text1"/>
          <w:lang w:eastAsia="en-US"/>
        </w:rPr>
      </w:pPr>
      <w:r w:rsidRPr="00CF31E0">
        <w:rPr>
          <w:rFonts w:eastAsia="MS Mincho"/>
          <w:color w:val="000000" w:themeColor="text1"/>
          <w:lang w:eastAsia="en-US"/>
        </w:rPr>
        <w:t>Intermediate.</w:t>
      </w:r>
    </w:p>
    <w:p w14:paraId="2DCBC2B9" w14:textId="77777777" w:rsidR="00FD2074" w:rsidRPr="00CF31E0" w:rsidRDefault="00FD2074" w:rsidP="00FD2074">
      <w:pPr>
        <w:numPr>
          <w:ilvl w:val="0"/>
          <w:numId w:val="50"/>
        </w:numPr>
        <w:contextualSpacing/>
        <w:rPr>
          <w:rFonts w:eastAsia="MS Mincho"/>
          <w:color w:val="000000" w:themeColor="text1"/>
          <w:lang w:eastAsia="en-US"/>
        </w:rPr>
      </w:pPr>
      <w:r w:rsidRPr="00CF31E0">
        <w:rPr>
          <w:rFonts w:eastAsia="MS Mincho"/>
          <w:color w:val="000000" w:themeColor="text1"/>
          <w:lang w:eastAsia="en-US"/>
        </w:rPr>
        <w:t>Secondary.</w:t>
      </w:r>
    </w:p>
    <w:p w14:paraId="7CFA0088" w14:textId="77777777" w:rsidR="00FD2074" w:rsidRPr="00CF31E0" w:rsidRDefault="00FD2074" w:rsidP="00FD2074">
      <w:pPr>
        <w:numPr>
          <w:ilvl w:val="0"/>
          <w:numId w:val="50"/>
        </w:numPr>
        <w:contextualSpacing/>
        <w:rPr>
          <w:rFonts w:eastAsia="MS Mincho"/>
          <w:color w:val="000000" w:themeColor="text1"/>
          <w:lang w:eastAsia="en-US"/>
        </w:rPr>
      </w:pPr>
      <w:r w:rsidRPr="00CF31E0">
        <w:rPr>
          <w:rFonts w:eastAsia="MS Mincho"/>
          <w:color w:val="000000" w:themeColor="text1"/>
          <w:lang w:eastAsia="en-US"/>
        </w:rPr>
        <w:lastRenderedPageBreak/>
        <w:t xml:space="preserve">Bachelor degree. </w:t>
      </w:r>
    </w:p>
    <w:p w14:paraId="1DF34CA2" w14:textId="77777777" w:rsidR="00FD2074" w:rsidRPr="00CF31E0" w:rsidRDefault="00FD2074" w:rsidP="00FD2074">
      <w:pPr>
        <w:numPr>
          <w:ilvl w:val="0"/>
          <w:numId w:val="50"/>
        </w:numPr>
        <w:contextualSpacing/>
        <w:rPr>
          <w:rFonts w:eastAsia="MS Mincho"/>
          <w:color w:val="000000" w:themeColor="text1"/>
          <w:lang w:eastAsia="en-US"/>
        </w:rPr>
      </w:pPr>
      <w:r w:rsidRPr="00CF31E0">
        <w:rPr>
          <w:rFonts w:eastAsia="MS Mincho"/>
          <w:color w:val="000000" w:themeColor="text1"/>
          <w:lang w:eastAsia="en-US"/>
        </w:rPr>
        <w:t>Master degree.</w:t>
      </w:r>
    </w:p>
    <w:p w14:paraId="19CF93A2" w14:textId="77777777" w:rsidR="00FD2074" w:rsidRPr="00CF31E0" w:rsidRDefault="00FD2074" w:rsidP="00603CB7">
      <w:pPr>
        <w:numPr>
          <w:ilvl w:val="0"/>
          <w:numId w:val="50"/>
        </w:numPr>
        <w:spacing w:after="200"/>
        <w:ind w:left="714" w:hanging="357"/>
        <w:rPr>
          <w:rFonts w:eastAsia="MS Mincho"/>
          <w:color w:val="000000" w:themeColor="text1"/>
          <w:lang w:eastAsia="en-US"/>
        </w:rPr>
      </w:pPr>
      <w:r w:rsidRPr="00CF31E0">
        <w:rPr>
          <w:rFonts w:eastAsia="MS Mincho"/>
          <w:color w:val="000000" w:themeColor="text1"/>
          <w:lang w:eastAsia="en-US"/>
        </w:rPr>
        <w:t>PhD.</w:t>
      </w:r>
    </w:p>
    <w:p w14:paraId="2692B4C4" w14:textId="77777777" w:rsidR="00FD2074" w:rsidRPr="00CF31E0" w:rsidRDefault="00FD2074" w:rsidP="00FD2074">
      <w:pPr>
        <w:rPr>
          <w:rFonts w:eastAsia="MS Mincho"/>
          <w:color w:val="000000" w:themeColor="text1"/>
        </w:rPr>
      </w:pPr>
      <w:r w:rsidRPr="00CF31E0">
        <w:rPr>
          <w:rFonts w:eastAsia="MS Mincho"/>
          <w:color w:val="000000" w:themeColor="text1"/>
        </w:rPr>
        <w:t>From which social group did you originally come?</w:t>
      </w:r>
    </w:p>
    <w:p w14:paraId="652D83F0" w14:textId="77777777" w:rsidR="00FD2074" w:rsidRPr="00CF31E0" w:rsidRDefault="00FD2074" w:rsidP="00FD2074">
      <w:pPr>
        <w:numPr>
          <w:ilvl w:val="0"/>
          <w:numId w:val="51"/>
        </w:numPr>
        <w:contextualSpacing/>
        <w:rPr>
          <w:rFonts w:eastAsia="MS Mincho"/>
          <w:color w:val="000000" w:themeColor="text1"/>
          <w:lang w:eastAsia="en-US"/>
        </w:rPr>
      </w:pPr>
      <w:r w:rsidRPr="00CF31E0">
        <w:rPr>
          <w:rFonts w:eastAsia="MS Mincho"/>
          <w:color w:val="000000" w:themeColor="text1"/>
          <w:lang w:eastAsia="en-US"/>
        </w:rPr>
        <w:t>HH social group.</w:t>
      </w:r>
    </w:p>
    <w:p w14:paraId="1E2B8BFF" w14:textId="77777777" w:rsidR="00FD2074" w:rsidRPr="00CF31E0" w:rsidRDefault="00FD2074" w:rsidP="00FD2074">
      <w:pPr>
        <w:numPr>
          <w:ilvl w:val="0"/>
          <w:numId w:val="51"/>
        </w:numPr>
        <w:contextualSpacing/>
        <w:rPr>
          <w:rFonts w:eastAsia="MS Mincho"/>
          <w:color w:val="000000" w:themeColor="text1"/>
          <w:lang w:eastAsia="en-US"/>
        </w:rPr>
      </w:pPr>
      <w:r w:rsidRPr="00CF31E0">
        <w:rPr>
          <w:rFonts w:eastAsia="MS Mincho"/>
          <w:color w:val="000000" w:themeColor="text1"/>
          <w:lang w:eastAsia="en-US"/>
        </w:rPr>
        <w:t>UBH social group.</w:t>
      </w:r>
    </w:p>
    <w:p w14:paraId="07A66824" w14:textId="6F5DDD40" w:rsidR="00FD2074" w:rsidRPr="00CF31E0" w:rsidRDefault="00FD2074" w:rsidP="00603CB7">
      <w:pPr>
        <w:numPr>
          <w:ilvl w:val="0"/>
          <w:numId w:val="51"/>
        </w:numPr>
        <w:spacing w:after="200"/>
        <w:ind w:left="714" w:hanging="357"/>
        <w:rPr>
          <w:rFonts w:eastAsia="MS Mincho"/>
          <w:color w:val="000000" w:themeColor="text1"/>
          <w:lang w:eastAsia="en-US"/>
        </w:rPr>
      </w:pPr>
      <w:r w:rsidRPr="00CF31E0">
        <w:rPr>
          <w:rFonts w:eastAsia="MS Mincho"/>
          <w:color w:val="000000" w:themeColor="text1"/>
          <w:lang w:eastAsia="en-US"/>
        </w:rPr>
        <w:t>Other. Please specify …</w:t>
      </w:r>
      <w:r w:rsidR="00973445" w:rsidRPr="00CF31E0">
        <w:rPr>
          <w:rFonts w:eastAsia="MS Mincho"/>
          <w:color w:val="000000" w:themeColor="text1"/>
          <w:lang w:eastAsia="en-US"/>
        </w:rPr>
        <w:t>…...</w:t>
      </w:r>
    </w:p>
    <w:p w14:paraId="17271D11" w14:textId="77777777" w:rsidR="00FD2074" w:rsidRPr="00CF31E0" w:rsidRDefault="00FD2074" w:rsidP="00FD2074">
      <w:pPr>
        <w:rPr>
          <w:rFonts w:eastAsia="MS Mincho"/>
          <w:color w:val="000000" w:themeColor="text1"/>
        </w:rPr>
      </w:pPr>
      <w:r w:rsidRPr="00CF31E0">
        <w:rPr>
          <w:rFonts w:eastAsia="MS Mincho"/>
          <w:color w:val="000000" w:themeColor="text1"/>
        </w:rPr>
        <w:t>From which social group did your mother originally come?</w:t>
      </w:r>
    </w:p>
    <w:p w14:paraId="5292DE88" w14:textId="77777777" w:rsidR="00FD2074" w:rsidRPr="00CF31E0" w:rsidRDefault="00FD2074" w:rsidP="00FD2074">
      <w:pPr>
        <w:numPr>
          <w:ilvl w:val="0"/>
          <w:numId w:val="52"/>
        </w:numPr>
        <w:contextualSpacing/>
        <w:rPr>
          <w:rFonts w:eastAsia="MS Mincho"/>
          <w:color w:val="000000" w:themeColor="text1"/>
          <w:lang w:eastAsia="en-US"/>
        </w:rPr>
      </w:pPr>
      <w:r w:rsidRPr="00CF31E0">
        <w:rPr>
          <w:rFonts w:eastAsia="MS Mincho"/>
          <w:color w:val="000000" w:themeColor="text1"/>
          <w:lang w:eastAsia="en-US"/>
        </w:rPr>
        <w:t>HH social group.</w:t>
      </w:r>
    </w:p>
    <w:p w14:paraId="676FDA93" w14:textId="77777777" w:rsidR="00FD2074" w:rsidRPr="00CF31E0" w:rsidRDefault="00FD2074" w:rsidP="00FD2074">
      <w:pPr>
        <w:numPr>
          <w:ilvl w:val="0"/>
          <w:numId w:val="52"/>
        </w:numPr>
        <w:contextualSpacing/>
        <w:rPr>
          <w:rFonts w:eastAsia="MS Mincho"/>
          <w:color w:val="000000" w:themeColor="text1"/>
          <w:lang w:eastAsia="en-US"/>
        </w:rPr>
      </w:pPr>
      <w:r w:rsidRPr="00CF31E0">
        <w:rPr>
          <w:rFonts w:eastAsia="MS Mincho"/>
          <w:color w:val="000000" w:themeColor="text1"/>
          <w:lang w:eastAsia="en-US"/>
        </w:rPr>
        <w:t>UBH social group.</w:t>
      </w:r>
    </w:p>
    <w:p w14:paraId="49212B11" w14:textId="77777777" w:rsidR="00FD2074" w:rsidRPr="00CF31E0" w:rsidRDefault="00FD2074" w:rsidP="00603CB7">
      <w:pPr>
        <w:numPr>
          <w:ilvl w:val="0"/>
          <w:numId w:val="52"/>
        </w:numPr>
        <w:spacing w:after="200"/>
        <w:ind w:left="714" w:hanging="357"/>
        <w:rPr>
          <w:rFonts w:eastAsia="MS Mincho"/>
          <w:color w:val="000000" w:themeColor="text1"/>
          <w:lang w:eastAsia="en-US"/>
        </w:rPr>
      </w:pPr>
      <w:r w:rsidRPr="00CF31E0">
        <w:rPr>
          <w:rFonts w:eastAsia="MS Mincho"/>
          <w:color w:val="000000" w:themeColor="text1"/>
          <w:lang w:eastAsia="en-US"/>
        </w:rPr>
        <w:t>Others, please specify…….</w:t>
      </w:r>
    </w:p>
    <w:p w14:paraId="38BAF7C9" w14:textId="77777777" w:rsidR="00FD2074" w:rsidRPr="00CF31E0" w:rsidRDefault="00FD2074" w:rsidP="00603CB7">
      <w:pPr>
        <w:spacing w:after="200"/>
        <w:rPr>
          <w:rFonts w:eastAsia="MS Mincho"/>
          <w:color w:val="000000" w:themeColor="text1"/>
        </w:rPr>
      </w:pPr>
      <w:r w:rsidRPr="00CF31E0">
        <w:rPr>
          <w:rFonts w:eastAsia="MS Mincho"/>
          <w:color w:val="000000" w:themeColor="text1"/>
        </w:rPr>
        <w:t>If married, from which social group did your spouse originally come?</w:t>
      </w:r>
    </w:p>
    <w:p w14:paraId="359E7DA8" w14:textId="77777777" w:rsidR="00FD2074" w:rsidRPr="00CF31E0" w:rsidRDefault="00FD2074" w:rsidP="00FD2074">
      <w:pPr>
        <w:numPr>
          <w:ilvl w:val="0"/>
          <w:numId w:val="54"/>
        </w:numPr>
        <w:contextualSpacing/>
        <w:rPr>
          <w:rFonts w:eastAsia="MS Mincho"/>
          <w:color w:val="000000" w:themeColor="text1"/>
          <w:lang w:eastAsia="en-US"/>
        </w:rPr>
      </w:pPr>
      <w:r w:rsidRPr="00CF31E0">
        <w:rPr>
          <w:rFonts w:eastAsia="MS Mincho"/>
          <w:color w:val="000000" w:themeColor="text1"/>
          <w:lang w:eastAsia="en-US"/>
        </w:rPr>
        <w:t>HH social group.</w:t>
      </w:r>
    </w:p>
    <w:p w14:paraId="1C4769BB" w14:textId="77777777" w:rsidR="00FD2074" w:rsidRPr="00CF31E0" w:rsidRDefault="00FD2074" w:rsidP="00FD2074">
      <w:pPr>
        <w:numPr>
          <w:ilvl w:val="0"/>
          <w:numId w:val="54"/>
        </w:numPr>
        <w:contextualSpacing/>
        <w:rPr>
          <w:rFonts w:eastAsia="MS Mincho"/>
          <w:color w:val="000000" w:themeColor="text1"/>
          <w:lang w:eastAsia="en-US"/>
        </w:rPr>
      </w:pPr>
      <w:r w:rsidRPr="00CF31E0">
        <w:rPr>
          <w:rFonts w:eastAsia="MS Mincho"/>
          <w:color w:val="000000" w:themeColor="text1"/>
          <w:lang w:eastAsia="en-US"/>
        </w:rPr>
        <w:t>UBH social group.</w:t>
      </w:r>
    </w:p>
    <w:p w14:paraId="7AAFDA49" w14:textId="77777777" w:rsidR="00FD2074" w:rsidRPr="00CF31E0" w:rsidRDefault="00FD2074" w:rsidP="00FD2074">
      <w:pPr>
        <w:numPr>
          <w:ilvl w:val="0"/>
          <w:numId w:val="54"/>
        </w:numPr>
        <w:contextualSpacing/>
        <w:rPr>
          <w:rFonts w:eastAsia="MS Mincho"/>
          <w:color w:val="000000" w:themeColor="text1"/>
          <w:lang w:eastAsia="en-US"/>
        </w:rPr>
      </w:pPr>
      <w:r w:rsidRPr="00CF31E0">
        <w:rPr>
          <w:rFonts w:eastAsia="MS Mincho"/>
          <w:color w:val="000000" w:themeColor="text1"/>
          <w:lang w:eastAsia="en-US"/>
        </w:rPr>
        <w:t>Others, please specify…….</w:t>
      </w:r>
    </w:p>
    <w:p w14:paraId="1ACD067B" w14:textId="77777777" w:rsidR="00FD2074" w:rsidRPr="00CF31E0" w:rsidRDefault="00FD2074" w:rsidP="00603CB7">
      <w:pPr>
        <w:rPr>
          <w:color w:val="000000" w:themeColor="text1"/>
          <w:lang w:eastAsia="en-US"/>
        </w:rPr>
      </w:pPr>
    </w:p>
    <w:p w14:paraId="467E67D6" w14:textId="77777777" w:rsidR="00FD2074" w:rsidRPr="00CF31E0" w:rsidRDefault="00FD2074" w:rsidP="00603CB7">
      <w:pPr>
        <w:rPr>
          <w:color w:val="000000" w:themeColor="text1"/>
          <w:lang w:eastAsia="en-US"/>
        </w:rPr>
      </w:pPr>
    </w:p>
    <w:p w14:paraId="40D8AA5D" w14:textId="77777777" w:rsidR="00A035D5" w:rsidRPr="00CF31E0" w:rsidRDefault="00A035D5" w:rsidP="00A035D5">
      <w:pPr>
        <w:rPr>
          <w:color w:val="000000" w:themeColor="text1"/>
          <w:lang w:eastAsia="en-US"/>
        </w:rPr>
      </w:pPr>
    </w:p>
    <w:p w14:paraId="530C80D5" w14:textId="77777777" w:rsidR="00A035D5" w:rsidRPr="00CF31E0" w:rsidRDefault="00A035D5" w:rsidP="00A035D5">
      <w:pPr>
        <w:rPr>
          <w:color w:val="000000" w:themeColor="text1"/>
          <w:lang w:eastAsia="en-US"/>
        </w:rPr>
        <w:sectPr w:rsidR="00A035D5" w:rsidRPr="00CF31E0" w:rsidSect="00603CB7">
          <w:pgSz w:w="11900" w:h="16840"/>
          <w:pgMar w:top="1440" w:right="2268" w:bottom="1440" w:left="2268" w:header="708" w:footer="708" w:gutter="0"/>
          <w:cols w:space="708"/>
          <w:docGrid w:linePitch="360"/>
        </w:sectPr>
      </w:pPr>
    </w:p>
    <w:p w14:paraId="72C4712F" w14:textId="77777777" w:rsidR="00FD2074" w:rsidRPr="00CF31E0" w:rsidRDefault="00FD2074" w:rsidP="00603CB7">
      <w:pPr>
        <w:spacing w:after="400"/>
        <w:jc w:val="center"/>
        <w:rPr>
          <w:rFonts w:eastAsia="MS Mincho"/>
          <w:b/>
          <w:color w:val="000000" w:themeColor="text1"/>
          <w:sz w:val="32"/>
          <w:szCs w:val="32"/>
          <w:u w:val="single"/>
        </w:rPr>
      </w:pPr>
      <w:r w:rsidRPr="00CF31E0">
        <w:rPr>
          <w:rFonts w:eastAsia="MS Mincho"/>
          <w:b/>
          <w:color w:val="000000" w:themeColor="text1"/>
          <w:sz w:val="32"/>
          <w:szCs w:val="32"/>
          <w:u w:val="single"/>
        </w:rPr>
        <w:lastRenderedPageBreak/>
        <w:t>Part 2</w:t>
      </w:r>
    </w:p>
    <w:p w14:paraId="14BF961A" w14:textId="6A771FEF" w:rsidR="00FD2074" w:rsidRPr="00CF31E0" w:rsidRDefault="00FD2074" w:rsidP="00603CB7">
      <w:pPr>
        <w:numPr>
          <w:ilvl w:val="0"/>
          <w:numId w:val="56"/>
        </w:numPr>
        <w:spacing w:after="400"/>
        <w:ind w:left="714" w:hanging="357"/>
        <w:rPr>
          <w:rFonts w:eastAsia="MS Mincho"/>
          <w:bCs/>
          <w:color w:val="000000" w:themeColor="text1"/>
          <w:lang w:eastAsia="en-US"/>
        </w:rPr>
      </w:pPr>
      <w:r w:rsidRPr="00CF31E0">
        <w:rPr>
          <w:rFonts w:eastAsia="MS Mincho"/>
          <w:bCs/>
          <w:color w:val="000000" w:themeColor="text1"/>
          <w:lang w:eastAsia="en-US"/>
        </w:rPr>
        <w:t>Please check off the answers that you think best describes the sociolinguist</w:t>
      </w:r>
      <w:r w:rsidR="00EE2B86" w:rsidRPr="00CF31E0">
        <w:rPr>
          <w:rFonts w:eastAsia="MS Mincho"/>
          <w:bCs/>
          <w:color w:val="000000" w:themeColor="text1"/>
          <w:lang w:eastAsia="en-US"/>
        </w:rPr>
        <w:t>ic</w:t>
      </w:r>
      <w:r w:rsidRPr="00CF31E0">
        <w:rPr>
          <w:rFonts w:eastAsia="MS Mincho"/>
          <w:bCs/>
          <w:color w:val="000000" w:themeColor="text1"/>
          <w:lang w:eastAsia="en-US"/>
        </w:rPr>
        <w:t xml:space="preserve"> dialect situation in Hijaz.</w:t>
      </w:r>
    </w:p>
    <w:p w14:paraId="0E707C36" w14:textId="77777777" w:rsidR="00FD2074" w:rsidRPr="00CF31E0" w:rsidRDefault="00FD2074" w:rsidP="00FD2074">
      <w:pPr>
        <w:numPr>
          <w:ilvl w:val="0"/>
          <w:numId w:val="61"/>
        </w:numPr>
        <w:contextualSpacing/>
        <w:rPr>
          <w:rFonts w:eastAsia="MS Mincho"/>
          <w:color w:val="000000" w:themeColor="text1"/>
          <w:lang w:eastAsia="en-US"/>
        </w:rPr>
      </w:pPr>
      <w:r w:rsidRPr="00CF31E0">
        <w:rPr>
          <w:rFonts w:eastAsia="MS Mincho"/>
          <w:color w:val="000000" w:themeColor="text1"/>
          <w:lang w:eastAsia="en-US"/>
        </w:rPr>
        <w:t>What does Hijazi dialect refer to?</w:t>
      </w:r>
    </w:p>
    <w:p w14:paraId="0C59CBA2" w14:textId="77777777" w:rsidR="00FD2074" w:rsidRPr="00CF31E0" w:rsidRDefault="00FD2074" w:rsidP="00FD2074">
      <w:pPr>
        <w:numPr>
          <w:ilvl w:val="0"/>
          <w:numId w:val="62"/>
        </w:numPr>
        <w:contextualSpacing/>
        <w:rPr>
          <w:rFonts w:eastAsia="MS Mincho"/>
          <w:color w:val="000000" w:themeColor="text1"/>
          <w:lang w:eastAsia="en-US"/>
        </w:rPr>
      </w:pPr>
      <w:r w:rsidRPr="00CF31E0">
        <w:rPr>
          <w:rFonts w:eastAsia="MS Mincho"/>
          <w:color w:val="000000" w:themeColor="text1"/>
          <w:lang w:eastAsia="en-US"/>
        </w:rPr>
        <w:t>UBH dialect.</w:t>
      </w:r>
    </w:p>
    <w:p w14:paraId="6BE5B92D" w14:textId="77777777" w:rsidR="00FD2074" w:rsidRPr="00CF31E0" w:rsidRDefault="00FD2074" w:rsidP="00FD2074">
      <w:pPr>
        <w:numPr>
          <w:ilvl w:val="0"/>
          <w:numId w:val="62"/>
        </w:numPr>
        <w:contextualSpacing/>
        <w:rPr>
          <w:rFonts w:eastAsia="MS Mincho"/>
          <w:color w:val="000000" w:themeColor="text1"/>
          <w:lang w:eastAsia="en-US"/>
        </w:rPr>
      </w:pPr>
      <w:r w:rsidRPr="00CF31E0">
        <w:rPr>
          <w:rFonts w:eastAsia="MS Mincho"/>
          <w:color w:val="000000" w:themeColor="text1"/>
          <w:lang w:eastAsia="en-US"/>
        </w:rPr>
        <w:t>HH dialect.</w:t>
      </w:r>
    </w:p>
    <w:p w14:paraId="66FDDD72" w14:textId="77777777" w:rsidR="00FD2074" w:rsidRPr="00CF31E0" w:rsidRDefault="00FD2074" w:rsidP="00603CB7">
      <w:pPr>
        <w:numPr>
          <w:ilvl w:val="0"/>
          <w:numId w:val="62"/>
        </w:numPr>
        <w:spacing w:after="200"/>
        <w:ind w:left="1434" w:hanging="357"/>
        <w:rPr>
          <w:rFonts w:eastAsia="MS Mincho"/>
          <w:color w:val="000000" w:themeColor="text1"/>
          <w:lang w:eastAsia="en-US"/>
        </w:rPr>
      </w:pPr>
      <w:r w:rsidRPr="00CF31E0">
        <w:rPr>
          <w:rFonts w:eastAsia="MS Mincho"/>
          <w:color w:val="000000" w:themeColor="text1"/>
          <w:lang w:eastAsia="en-US"/>
        </w:rPr>
        <w:t>Both dialects.</w:t>
      </w:r>
    </w:p>
    <w:p w14:paraId="1416D9D7" w14:textId="0AA0391E" w:rsidR="00FD2074" w:rsidRPr="00CF31E0" w:rsidRDefault="00FD2074" w:rsidP="00FD2074">
      <w:pPr>
        <w:numPr>
          <w:ilvl w:val="0"/>
          <w:numId w:val="61"/>
        </w:numPr>
        <w:contextualSpacing/>
        <w:rPr>
          <w:rFonts w:eastAsia="MS Mincho"/>
          <w:color w:val="000000" w:themeColor="text1"/>
          <w:lang w:eastAsia="en-US"/>
        </w:rPr>
      </w:pPr>
      <w:r w:rsidRPr="00CF31E0">
        <w:rPr>
          <w:rFonts w:eastAsia="MS Mincho"/>
          <w:color w:val="000000" w:themeColor="text1"/>
          <w:lang w:eastAsia="en-US"/>
        </w:rPr>
        <w:t xml:space="preserve">What are the most dominant dialects within </w:t>
      </w:r>
      <w:r w:rsidR="00D30B2F">
        <w:rPr>
          <w:rFonts w:eastAsia="MS Mincho"/>
          <w:color w:val="000000" w:themeColor="text1"/>
          <w:lang w:eastAsia="en-US"/>
        </w:rPr>
        <w:t>Makkah</w:t>
      </w:r>
      <w:r w:rsidRPr="00CF31E0">
        <w:rPr>
          <w:rFonts w:eastAsia="MS Mincho"/>
          <w:color w:val="000000" w:themeColor="text1"/>
          <w:lang w:eastAsia="en-US"/>
        </w:rPr>
        <w:t>?</w:t>
      </w:r>
    </w:p>
    <w:p w14:paraId="4BAFB98A" w14:textId="77777777" w:rsidR="00FD2074" w:rsidRPr="00CF31E0" w:rsidRDefault="00FD2074" w:rsidP="00FD2074">
      <w:pPr>
        <w:numPr>
          <w:ilvl w:val="0"/>
          <w:numId w:val="57"/>
        </w:numPr>
        <w:contextualSpacing/>
        <w:rPr>
          <w:rFonts w:eastAsia="MS Mincho"/>
          <w:color w:val="000000" w:themeColor="text1"/>
          <w:lang w:eastAsia="en-US"/>
        </w:rPr>
      </w:pPr>
      <w:r w:rsidRPr="00CF31E0">
        <w:rPr>
          <w:rFonts w:eastAsia="MS Mincho"/>
          <w:color w:val="000000" w:themeColor="text1"/>
          <w:lang w:eastAsia="en-US"/>
        </w:rPr>
        <w:t>UBH dialect.</w:t>
      </w:r>
    </w:p>
    <w:p w14:paraId="2F6DB1F5" w14:textId="77777777" w:rsidR="00FD2074" w:rsidRPr="00CF31E0" w:rsidRDefault="00FD2074" w:rsidP="00FD2074">
      <w:pPr>
        <w:numPr>
          <w:ilvl w:val="0"/>
          <w:numId w:val="57"/>
        </w:numPr>
        <w:contextualSpacing/>
        <w:rPr>
          <w:rFonts w:eastAsia="MS Mincho"/>
          <w:color w:val="000000" w:themeColor="text1"/>
          <w:lang w:eastAsia="en-US"/>
        </w:rPr>
      </w:pPr>
      <w:r w:rsidRPr="00CF31E0">
        <w:rPr>
          <w:rFonts w:eastAsia="MS Mincho"/>
          <w:color w:val="000000" w:themeColor="text1"/>
          <w:lang w:eastAsia="en-US"/>
        </w:rPr>
        <w:t>HH dialect.</w:t>
      </w:r>
    </w:p>
    <w:p w14:paraId="1E50E124" w14:textId="77777777" w:rsidR="00FD2074" w:rsidRPr="00CF31E0" w:rsidRDefault="00FD2074" w:rsidP="00603CB7">
      <w:pPr>
        <w:numPr>
          <w:ilvl w:val="0"/>
          <w:numId w:val="57"/>
        </w:numPr>
        <w:spacing w:after="200"/>
        <w:ind w:left="1434" w:hanging="357"/>
        <w:rPr>
          <w:rFonts w:eastAsia="MS Mincho"/>
          <w:color w:val="000000" w:themeColor="text1"/>
          <w:lang w:eastAsia="en-US"/>
        </w:rPr>
      </w:pPr>
      <w:r w:rsidRPr="00CF31E0">
        <w:rPr>
          <w:rFonts w:eastAsia="MS Mincho"/>
          <w:color w:val="000000" w:themeColor="text1"/>
          <w:lang w:eastAsia="en-US"/>
        </w:rPr>
        <w:t>No dominant dialect.</w:t>
      </w:r>
    </w:p>
    <w:p w14:paraId="075D66A9" w14:textId="77777777" w:rsidR="00FD2074" w:rsidRPr="00CF31E0" w:rsidRDefault="00FD2074" w:rsidP="00FD2074">
      <w:pPr>
        <w:numPr>
          <w:ilvl w:val="0"/>
          <w:numId w:val="61"/>
        </w:numPr>
        <w:contextualSpacing/>
        <w:rPr>
          <w:rFonts w:eastAsia="MS Mincho"/>
          <w:color w:val="000000" w:themeColor="text1"/>
          <w:lang w:eastAsia="en-US"/>
        </w:rPr>
      </w:pPr>
      <w:r w:rsidRPr="00CF31E0">
        <w:rPr>
          <w:rFonts w:eastAsia="MS Mincho"/>
          <w:color w:val="000000" w:themeColor="text1"/>
          <w:lang w:eastAsia="en-US"/>
        </w:rPr>
        <w:t>To what extent HH dialect is different from UBH dialect in Hijaz region?</w:t>
      </w:r>
    </w:p>
    <w:p w14:paraId="74405846" w14:textId="77777777" w:rsidR="00FD2074" w:rsidRPr="00CF31E0" w:rsidRDefault="00FD2074" w:rsidP="00FD2074">
      <w:pPr>
        <w:numPr>
          <w:ilvl w:val="0"/>
          <w:numId w:val="60"/>
        </w:numPr>
        <w:contextualSpacing/>
        <w:rPr>
          <w:rFonts w:eastAsia="MS Mincho"/>
          <w:color w:val="000000" w:themeColor="text1"/>
          <w:lang w:eastAsia="en-US"/>
        </w:rPr>
      </w:pPr>
      <w:r w:rsidRPr="00CF31E0">
        <w:rPr>
          <w:rFonts w:eastAsia="MS Mincho"/>
          <w:color w:val="000000" w:themeColor="text1"/>
          <w:lang w:eastAsia="en-US"/>
        </w:rPr>
        <w:t>Same</w:t>
      </w:r>
    </w:p>
    <w:p w14:paraId="638775DB" w14:textId="77777777" w:rsidR="00FD2074" w:rsidRPr="00CF31E0" w:rsidRDefault="00FD2074" w:rsidP="00FD2074">
      <w:pPr>
        <w:numPr>
          <w:ilvl w:val="0"/>
          <w:numId w:val="60"/>
        </w:numPr>
        <w:contextualSpacing/>
        <w:rPr>
          <w:rFonts w:eastAsia="MS Mincho"/>
          <w:color w:val="000000" w:themeColor="text1"/>
          <w:lang w:eastAsia="en-US"/>
        </w:rPr>
      </w:pPr>
      <w:r w:rsidRPr="00CF31E0">
        <w:rPr>
          <w:rFonts w:eastAsia="MS Mincho"/>
          <w:color w:val="000000" w:themeColor="text1"/>
          <w:lang w:eastAsia="en-US"/>
        </w:rPr>
        <w:t>A little different</w:t>
      </w:r>
    </w:p>
    <w:p w14:paraId="5EC13922" w14:textId="77777777" w:rsidR="00FD2074" w:rsidRPr="00CF31E0" w:rsidRDefault="00FD2074" w:rsidP="00FD2074">
      <w:pPr>
        <w:numPr>
          <w:ilvl w:val="0"/>
          <w:numId w:val="60"/>
        </w:numPr>
        <w:contextualSpacing/>
        <w:rPr>
          <w:rFonts w:eastAsia="MS Mincho"/>
          <w:color w:val="000000" w:themeColor="text1"/>
          <w:lang w:eastAsia="en-US"/>
        </w:rPr>
      </w:pPr>
      <w:r w:rsidRPr="00CF31E0">
        <w:rPr>
          <w:rFonts w:eastAsia="MS Mincho"/>
          <w:color w:val="000000" w:themeColor="text1"/>
          <w:lang w:eastAsia="en-US"/>
        </w:rPr>
        <w:t>Different</w:t>
      </w:r>
    </w:p>
    <w:p w14:paraId="35B9C0BE" w14:textId="77777777" w:rsidR="00FD2074" w:rsidRPr="00CF31E0" w:rsidRDefault="00FD2074" w:rsidP="00603CB7">
      <w:pPr>
        <w:numPr>
          <w:ilvl w:val="0"/>
          <w:numId w:val="60"/>
        </w:numPr>
        <w:spacing w:after="200"/>
        <w:ind w:left="1434" w:hanging="357"/>
        <w:rPr>
          <w:rFonts w:eastAsia="MS Mincho"/>
          <w:color w:val="000000" w:themeColor="text1"/>
          <w:lang w:eastAsia="en-US"/>
        </w:rPr>
      </w:pPr>
      <w:r w:rsidRPr="00CF31E0">
        <w:rPr>
          <w:rFonts w:eastAsia="MS Mincho"/>
          <w:color w:val="000000" w:themeColor="text1"/>
          <w:lang w:val="en-US" w:eastAsia="en-US"/>
        </w:rPr>
        <w:t>Completely different</w:t>
      </w:r>
    </w:p>
    <w:p w14:paraId="2B620C10" w14:textId="77777777" w:rsidR="00FD2074" w:rsidRPr="00CF31E0" w:rsidRDefault="00FD2074" w:rsidP="00FD2074">
      <w:pPr>
        <w:numPr>
          <w:ilvl w:val="0"/>
          <w:numId w:val="61"/>
        </w:numPr>
        <w:contextualSpacing/>
        <w:rPr>
          <w:rFonts w:eastAsia="MS Mincho"/>
          <w:color w:val="000000" w:themeColor="text1"/>
          <w:lang w:eastAsia="en-US"/>
        </w:rPr>
      </w:pPr>
      <w:r w:rsidRPr="00CF31E0">
        <w:rPr>
          <w:rFonts w:eastAsia="MS Mincho"/>
          <w:color w:val="000000" w:themeColor="text1"/>
          <w:lang w:eastAsia="en-US"/>
        </w:rPr>
        <w:t>What distinguishes HH dialect from UBH dialect? You can choose more than one answer.</w:t>
      </w:r>
    </w:p>
    <w:p w14:paraId="6B759CB3" w14:textId="77777777" w:rsidR="00FD2074" w:rsidRPr="00CF31E0" w:rsidRDefault="00FD2074" w:rsidP="00FD2074">
      <w:pPr>
        <w:numPr>
          <w:ilvl w:val="0"/>
          <w:numId w:val="58"/>
        </w:numPr>
        <w:contextualSpacing/>
        <w:rPr>
          <w:rFonts w:eastAsia="MS Mincho"/>
          <w:color w:val="000000" w:themeColor="text1"/>
          <w:lang w:eastAsia="en-US"/>
        </w:rPr>
      </w:pPr>
      <w:r w:rsidRPr="00CF31E0">
        <w:rPr>
          <w:rFonts w:eastAsia="MS Mincho"/>
          <w:color w:val="000000" w:themeColor="text1"/>
          <w:lang w:eastAsia="en-US"/>
        </w:rPr>
        <w:t>Words.</w:t>
      </w:r>
    </w:p>
    <w:p w14:paraId="1A096588" w14:textId="77777777" w:rsidR="00FD2074" w:rsidRPr="00CF31E0" w:rsidRDefault="00FD2074" w:rsidP="00FD2074">
      <w:pPr>
        <w:numPr>
          <w:ilvl w:val="0"/>
          <w:numId w:val="58"/>
        </w:numPr>
        <w:contextualSpacing/>
        <w:rPr>
          <w:rFonts w:eastAsia="MS Mincho"/>
          <w:color w:val="000000" w:themeColor="text1"/>
          <w:lang w:eastAsia="en-US"/>
        </w:rPr>
      </w:pPr>
      <w:r w:rsidRPr="00CF31E0">
        <w:rPr>
          <w:rFonts w:eastAsia="MS Mincho"/>
          <w:color w:val="000000" w:themeColor="text1"/>
          <w:lang w:eastAsia="en-US"/>
        </w:rPr>
        <w:t>Sounds.</w:t>
      </w:r>
    </w:p>
    <w:p w14:paraId="7588D876" w14:textId="77777777" w:rsidR="00FD2074" w:rsidRPr="00CF31E0" w:rsidRDefault="00FD2074" w:rsidP="00603CB7">
      <w:pPr>
        <w:numPr>
          <w:ilvl w:val="0"/>
          <w:numId w:val="58"/>
        </w:numPr>
        <w:spacing w:after="200"/>
        <w:ind w:left="1434" w:hanging="357"/>
        <w:rPr>
          <w:rFonts w:eastAsia="MS Mincho"/>
          <w:color w:val="000000" w:themeColor="text1"/>
          <w:lang w:eastAsia="en-US"/>
        </w:rPr>
      </w:pPr>
      <w:r w:rsidRPr="00CF31E0">
        <w:rPr>
          <w:rFonts w:eastAsia="MS Mincho"/>
          <w:color w:val="000000" w:themeColor="text1"/>
          <w:lang w:eastAsia="en-US"/>
        </w:rPr>
        <w:t>Style of speaking.</w:t>
      </w:r>
    </w:p>
    <w:p w14:paraId="7A245A33" w14:textId="77777777" w:rsidR="00FD2074" w:rsidRPr="00CF31E0" w:rsidRDefault="00FD2074" w:rsidP="00FD2074">
      <w:pPr>
        <w:numPr>
          <w:ilvl w:val="0"/>
          <w:numId w:val="61"/>
        </w:numPr>
        <w:contextualSpacing/>
        <w:rPr>
          <w:rFonts w:eastAsia="MS Mincho"/>
          <w:color w:val="000000" w:themeColor="text1"/>
          <w:lang w:eastAsia="en-US"/>
        </w:rPr>
      </w:pPr>
      <w:r w:rsidRPr="00CF31E0">
        <w:rPr>
          <w:rFonts w:eastAsia="MS Mincho"/>
          <w:color w:val="000000" w:themeColor="text1"/>
          <w:lang w:eastAsia="en-US"/>
        </w:rPr>
        <w:t>Is HH dialect similar to any of the following dialects? You can choose more than one answer</w:t>
      </w:r>
    </w:p>
    <w:p w14:paraId="5FA55B4C" w14:textId="77777777" w:rsidR="00FD2074" w:rsidRPr="00CF31E0" w:rsidRDefault="00FD2074" w:rsidP="00FD2074">
      <w:pPr>
        <w:numPr>
          <w:ilvl w:val="0"/>
          <w:numId w:val="59"/>
        </w:numPr>
        <w:contextualSpacing/>
        <w:rPr>
          <w:rFonts w:eastAsia="MS Mincho"/>
          <w:color w:val="000000" w:themeColor="text1"/>
          <w:lang w:eastAsia="en-US"/>
        </w:rPr>
      </w:pPr>
      <w:r w:rsidRPr="00CF31E0">
        <w:rPr>
          <w:rFonts w:eastAsia="MS Mincho"/>
          <w:color w:val="000000" w:themeColor="text1"/>
          <w:lang w:eastAsia="en-US"/>
        </w:rPr>
        <w:t>Egyptian.</w:t>
      </w:r>
    </w:p>
    <w:p w14:paraId="65AC6DB7" w14:textId="77777777" w:rsidR="00FD2074" w:rsidRPr="00CF31E0" w:rsidRDefault="00FD2074" w:rsidP="00FD2074">
      <w:pPr>
        <w:numPr>
          <w:ilvl w:val="0"/>
          <w:numId w:val="59"/>
        </w:numPr>
        <w:contextualSpacing/>
        <w:rPr>
          <w:rFonts w:eastAsia="MS Mincho"/>
          <w:color w:val="000000" w:themeColor="text1"/>
          <w:lang w:eastAsia="en-US"/>
        </w:rPr>
      </w:pPr>
      <w:r w:rsidRPr="00CF31E0">
        <w:rPr>
          <w:rFonts w:eastAsia="MS Mincho"/>
          <w:color w:val="000000" w:themeColor="text1"/>
          <w:lang w:eastAsia="en-US"/>
        </w:rPr>
        <w:t>Yemeni.</w:t>
      </w:r>
    </w:p>
    <w:p w14:paraId="22F9F008" w14:textId="77777777" w:rsidR="00FD2074" w:rsidRPr="00CF31E0" w:rsidRDefault="00FD2074" w:rsidP="00FD2074">
      <w:pPr>
        <w:numPr>
          <w:ilvl w:val="0"/>
          <w:numId w:val="59"/>
        </w:numPr>
        <w:contextualSpacing/>
        <w:rPr>
          <w:rFonts w:eastAsia="MS Mincho"/>
          <w:color w:val="000000" w:themeColor="text1"/>
          <w:lang w:eastAsia="en-US"/>
        </w:rPr>
      </w:pPr>
      <w:r w:rsidRPr="00CF31E0">
        <w:rPr>
          <w:rFonts w:eastAsia="MS Mincho"/>
          <w:color w:val="000000" w:themeColor="text1"/>
          <w:lang w:eastAsia="en-US"/>
        </w:rPr>
        <w:t>Levant.</w:t>
      </w:r>
    </w:p>
    <w:p w14:paraId="697A219E" w14:textId="77777777" w:rsidR="00FD2074" w:rsidRPr="00CF31E0" w:rsidRDefault="00FD2074" w:rsidP="00FD2074">
      <w:pPr>
        <w:numPr>
          <w:ilvl w:val="0"/>
          <w:numId w:val="59"/>
        </w:numPr>
        <w:contextualSpacing/>
        <w:rPr>
          <w:rFonts w:eastAsia="MS Mincho"/>
          <w:color w:val="000000" w:themeColor="text1"/>
          <w:lang w:eastAsia="en-US"/>
        </w:rPr>
      </w:pPr>
      <w:r w:rsidRPr="00CF31E0">
        <w:rPr>
          <w:rFonts w:eastAsia="MS Mincho"/>
          <w:color w:val="000000" w:themeColor="text1"/>
          <w:lang w:eastAsia="en-US"/>
        </w:rPr>
        <w:t>Sudanese.</w:t>
      </w:r>
    </w:p>
    <w:p w14:paraId="0D68ABE1" w14:textId="77777777" w:rsidR="00FD2074" w:rsidRPr="00CF31E0" w:rsidRDefault="00FD2074" w:rsidP="00603CB7">
      <w:pPr>
        <w:numPr>
          <w:ilvl w:val="0"/>
          <w:numId w:val="59"/>
        </w:numPr>
        <w:spacing w:after="200"/>
        <w:ind w:left="1434" w:hanging="357"/>
        <w:rPr>
          <w:rFonts w:eastAsia="MS Mincho"/>
          <w:color w:val="000000" w:themeColor="text1"/>
          <w:lang w:eastAsia="en-US"/>
        </w:rPr>
      </w:pPr>
      <w:r w:rsidRPr="00CF31E0">
        <w:rPr>
          <w:rFonts w:eastAsia="MS Mincho"/>
          <w:color w:val="000000" w:themeColor="text1"/>
          <w:lang w:eastAsia="en-US"/>
        </w:rPr>
        <w:t>Others. Please specify …….</w:t>
      </w:r>
    </w:p>
    <w:p w14:paraId="408939EE" w14:textId="77777777" w:rsidR="00FD2074" w:rsidRPr="00CF31E0" w:rsidRDefault="00FD2074" w:rsidP="00FD2074">
      <w:pPr>
        <w:numPr>
          <w:ilvl w:val="0"/>
          <w:numId w:val="61"/>
        </w:numPr>
        <w:contextualSpacing/>
        <w:rPr>
          <w:rFonts w:eastAsia="MS Mincho"/>
          <w:color w:val="000000" w:themeColor="text1"/>
          <w:lang w:eastAsia="en-US"/>
        </w:rPr>
      </w:pPr>
      <w:r w:rsidRPr="00CF31E0">
        <w:rPr>
          <w:rFonts w:eastAsia="MS Mincho"/>
          <w:color w:val="000000" w:themeColor="text1"/>
          <w:lang w:eastAsia="en-US"/>
        </w:rPr>
        <w:t>To what extent do UBH people speak HH dialect?</w:t>
      </w:r>
    </w:p>
    <w:p w14:paraId="6B80340D" w14:textId="77777777" w:rsidR="00FD2074" w:rsidRPr="00CF31E0" w:rsidRDefault="00FD2074" w:rsidP="00FD2074">
      <w:pPr>
        <w:numPr>
          <w:ilvl w:val="0"/>
          <w:numId w:val="63"/>
        </w:numPr>
        <w:contextualSpacing/>
        <w:rPr>
          <w:rFonts w:eastAsia="MS Mincho"/>
          <w:color w:val="000000" w:themeColor="text1"/>
          <w:lang w:eastAsia="en-US"/>
        </w:rPr>
      </w:pPr>
      <w:r w:rsidRPr="00CF31E0">
        <w:rPr>
          <w:rFonts w:eastAsia="MS Mincho"/>
          <w:color w:val="000000" w:themeColor="text1"/>
          <w:lang w:eastAsia="en-US"/>
        </w:rPr>
        <w:t>Always.</w:t>
      </w:r>
    </w:p>
    <w:p w14:paraId="3059D9B3" w14:textId="77777777" w:rsidR="00FD2074" w:rsidRPr="00CF31E0" w:rsidRDefault="00FD2074" w:rsidP="00FD2074">
      <w:pPr>
        <w:numPr>
          <w:ilvl w:val="0"/>
          <w:numId w:val="63"/>
        </w:numPr>
        <w:contextualSpacing/>
        <w:rPr>
          <w:rFonts w:eastAsia="MS Mincho"/>
          <w:color w:val="000000" w:themeColor="text1"/>
          <w:lang w:eastAsia="en-US"/>
        </w:rPr>
      </w:pPr>
      <w:r w:rsidRPr="00CF31E0">
        <w:rPr>
          <w:rFonts w:eastAsia="MS Mincho"/>
          <w:color w:val="000000" w:themeColor="text1"/>
          <w:lang w:eastAsia="en-US"/>
        </w:rPr>
        <w:t>Sometimes.</w:t>
      </w:r>
    </w:p>
    <w:p w14:paraId="02016EFD" w14:textId="77777777" w:rsidR="00FD2074" w:rsidRPr="00CF31E0" w:rsidRDefault="00FD2074" w:rsidP="00FD2074">
      <w:pPr>
        <w:numPr>
          <w:ilvl w:val="0"/>
          <w:numId w:val="63"/>
        </w:numPr>
        <w:contextualSpacing/>
        <w:rPr>
          <w:rFonts w:eastAsia="MS Mincho"/>
          <w:color w:val="000000" w:themeColor="text1"/>
          <w:lang w:eastAsia="en-US"/>
        </w:rPr>
      </w:pPr>
      <w:r w:rsidRPr="00CF31E0">
        <w:rPr>
          <w:rFonts w:eastAsia="MS Mincho"/>
          <w:color w:val="000000" w:themeColor="text1"/>
          <w:lang w:eastAsia="en-US"/>
        </w:rPr>
        <w:t>Rarely.</w:t>
      </w:r>
    </w:p>
    <w:p w14:paraId="0C0B93EA" w14:textId="77777777" w:rsidR="00FD2074" w:rsidRPr="00CF31E0" w:rsidRDefault="00FD2074" w:rsidP="00603CB7">
      <w:pPr>
        <w:numPr>
          <w:ilvl w:val="0"/>
          <w:numId w:val="63"/>
        </w:numPr>
        <w:spacing w:after="200"/>
        <w:ind w:left="1434" w:hanging="357"/>
        <w:rPr>
          <w:rFonts w:eastAsia="MS Mincho"/>
          <w:color w:val="000000" w:themeColor="text1"/>
          <w:lang w:eastAsia="en-US"/>
        </w:rPr>
      </w:pPr>
      <w:r w:rsidRPr="00CF31E0">
        <w:rPr>
          <w:rFonts w:eastAsia="MS Mincho"/>
          <w:color w:val="000000" w:themeColor="text1"/>
          <w:lang w:eastAsia="en-US"/>
        </w:rPr>
        <w:t>Never.</w:t>
      </w:r>
    </w:p>
    <w:p w14:paraId="408558D5" w14:textId="77777777" w:rsidR="00FD2074" w:rsidRPr="00CF31E0" w:rsidRDefault="00FD2074" w:rsidP="00FD2074">
      <w:pPr>
        <w:numPr>
          <w:ilvl w:val="0"/>
          <w:numId w:val="61"/>
        </w:numPr>
        <w:contextualSpacing/>
        <w:rPr>
          <w:rFonts w:eastAsia="MS Mincho"/>
          <w:color w:val="000000" w:themeColor="text1"/>
          <w:lang w:eastAsia="en-US"/>
        </w:rPr>
      </w:pPr>
      <w:r w:rsidRPr="00CF31E0">
        <w:rPr>
          <w:rFonts w:eastAsia="MS Mincho"/>
          <w:color w:val="000000" w:themeColor="text1"/>
          <w:lang w:eastAsia="en-US"/>
        </w:rPr>
        <w:t>To what extent do HH people speak UBH dialect?</w:t>
      </w:r>
    </w:p>
    <w:p w14:paraId="56ADC246" w14:textId="77777777" w:rsidR="00FD2074" w:rsidRPr="00CF31E0" w:rsidRDefault="00FD2074" w:rsidP="00FD2074">
      <w:pPr>
        <w:numPr>
          <w:ilvl w:val="0"/>
          <w:numId w:val="63"/>
        </w:numPr>
        <w:contextualSpacing/>
        <w:rPr>
          <w:rFonts w:eastAsia="MS Mincho"/>
          <w:color w:val="000000" w:themeColor="text1"/>
          <w:lang w:eastAsia="en-US"/>
        </w:rPr>
      </w:pPr>
      <w:r w:rsidRPr="00CF31E0">
        <w:rPr>
          <w:rFonts w:eastAsia="MS Mincho"/>
          <w:color w:val="000000" w:themeColor="text1"/>
          <w:lang w:eastAsia="en-US"/>
        </w:rPr>
        <w:t>Always.</w:t>
      </w:r>
    </w:p>
    <w:p w14:paraId="6302E652" w14:textId="77777777" w:rsidR="00FD2074" w:rsidRPr="00CF31E0" w:rsidRDefault="00FD2074" w:rsidP="00FD2074">
      <w:pPr>
        <w:numPr>
          <w:ilvl w:val="0"/>
          <w:numId w:val="63"/>
        </w:numPr>
        <w:contextualSpacing/>
        <w:rPr>
          <w:rFonts w:eastAsia="MS Mincho"/>
          <w:color w:val="000000" w:themeColor="text1"/>
          <w:lang w:eastAsia="en-US"/>
        </w:rPr>
      </w:pPr>
      <w:r w:rsidRPr="00CF31E0">
        <w:rPr>
          <w:rFonts w:eastAsia="MS Mincho"/>
          <w:color w:val="000000" w:themeColor="text1"/>
          <w:lang w:eastAsia="en-US"/>
        </w:rPr>
        <w:t>Sometimes.</w:t>
      </w:r>
    </w:p>
    <w:p w14:paraId="014AD167" w14:textId="77777777" w:rsidR="00FD2074" w:rsidRPr="00CF31E0" w:rsidRDefault="00FD2074" w:rsidP="00FD2074">
      <w:pPr>
        <w:numPr>
          <w:ilvl w:val="0"/>
          <w:numId w:val="63"/>
        </w:numPr>
        <w:contextualSpacing/>
        <w:rPr>
          <w:rFonts w:eastAsia="MS Mincho"/>
          <w:color w:val="000000" w:themeColor="text1"/>
          <w:lang w:eastAsia="en-US"/>
        </w:rPr>
      </w:pPr>
      <w:r w:rsidRPr="00CF31E0">
        <w:rPr>
          <w:rFonts w:eastAsia="MS Mincho"/>
          <w:color w:val="000000" w:themeColor="text1"/>
          <w:lang w:eastAsia="en-US"/>
        </w:rPr>
        <w:t xml:space="preserve">Rarely. </w:t>
      </w:r>
    </w:p>
    <w:p w14:paraId="2E500854" w14:textId="77777777" w:rsidR="00FD2074" w:rsidRPr="00CF31E0" w:rsidRDefault="00FD2074" w:rsidP="00603CB7">
      <w:pPr>
        <w:numPr>
          <w:ilvl w:val="0"/>
          <w:numId w:val="63"/>
        </w:numPr>
        <w:spacing w:after="200"/>
        <w:ind w:left="1434" w:hanging="357"/>
        <w:rPr>
          <w:rFonts w:eastAsia="MS Mincho"/>
          <w:color w:val="000000" w:themeColor="text1"/>
          <w:lang w:eastAsia="en-US"/>
        </w:rPr>
      </w:pPr>
      <w:r w:rsidRPr="00CF31E0">
        <w:rPr>
          <w:rFonts w:eastAsia="MS Mincho"/>
          <w:color w:val="000000" w:themeColor="text1"/>
          <w:lang w:eastAsia="en-US"/>
        </w:rPr>
        <w:t>Never.</w:t>
      </w:r>
    </w:p>
    <w:p w14:paraId="4F5C42ED" w14:textId="77777777" w:rsidR="00FD2074" w:rsidRPr="00CF31E0" w:rsidRDefault="00FD2074" w:rsidP="00FD2074">
      <w:pPr>
        <w:numPr>
          <w:ilvl w:val="0"/>
          <w:numId w:val="61"/>
        </w:numPr>
        <w:contextualSpacing/>
        <w:rPr>
          <w:rFonts w:eastAsia="MS Mincho"/>
          <w:color w:val="000000" w:themeColor="text1"/>
          <w:lang w:eastAsia="en-US"/>
        </w:rPr>
      </w:pPr>
      <w:r w:rsidRPr="00CF31E0">
        <w:rPr>
          <w:rFonts w:eastAsia="MS Mincho"/>
          <w:color w:val="000000" w:themeColor="text1"/>
          <w:lang w:eastAsia="en-US"/>
        </w:rPr>
        <w:lastRenderedPageBreak/>
        <w:t>When do you think intermarriage started to occur between HH people and UBH people?</w:t>
      </w:r>
    </w:p>
    <w:p w14:paraId="21805D39" w14:textId="77777777" w:rsidR="00FD2074" w:rsidRPr="00CF31E0" w:rsidRDefault="00FD2074" w:rsidP="00FD2074">
      <w:pPr>
        <w:numPr>
          <w:ilvl w:val="0"/>
          <w:numId w:val="65"/>
        </w:numPr>
        <w:contextualSpacing/>
        <w:rPr>
          <w:rFonts w:eastAsia="MS Mincho"/>
          <w:color w:val="000000" w:themeColor="text1"/>
          <w:lang w:eastAsia="en-US"/>
        </w:rPr>
      </w:pPr>
      <w:r w:rsidRPr="00CF31E0">
        <w:rPr>
          <w:rFonts w:eastAsia="MS Mincho"/>
          <w:color w:val="000000" w:themeColor="text1"/>
          <w:lang w:eastAsia="en-US"/>
        </w:rPr>
        <w:t>In the past.</w:t>
      </w:r>
    </w:p>
    <w:p w14:paraId="54850AC7" w14:textId="77777777" w:rsidR="00FD2074" w:rsidRPr="00CF31E0" w:rsidRDefault="00FD2074" w:rsidP="00603CB7">
      <w:pPr>
        <w:numPr>
          <w:ilvl w:val="0"/>
          <w:numId w:val="65"/>
        </w:numPr>
        <w:spacing w:after="200"/>
        <w:ind w:left="1434" w:hanging="357"/>
        <w:rPr>
          <w:rFonts w:eastAsia="MS Mincho"/>
          <w:color w:val="000000" w:themeColor="text1"/>
          <w:lang w:eastAsia="en-US"/>
        </w:rPr>
      </w:pPr>
      <w:r w:rsidRPr="00CF31E0">
        <w:rPr>
          <w:rFonts w:eastAsia="MS Mincho"/>
          <w:color w:val="000000" w:themeColor="text1"/>
          <w:lang w:eastAsia="en-US"/>
        </w:rPr>
        <w:t xml:space="preserve">In recent times. </w:t>
      </w:r>
    </w:p>
    <w:p w14:paraId="5CD9BE87" w14:textId="77777777" w:rsidR="00FD2074" w:rsidRPr="00CF31E0" w:rsidRDefault="00FD2074" w:rsidP="00FD2074">
      <w:pPr>
        <w:numPr>
          <w:ilvl w:val="0"/>
          <w:numId w:val="61"/>
        </w:numPr>
        <w:contextualSpacing/>
        <w:rPr>
          <w:rFonts w:eastAsia="MS Mincho"/>
          <w:color w:val="000000" w:themeColor="text1"/>
          <w:lang w:eastAsia="en-US"/>
        </w:rPr>
      </w:pPr>
      <w:r w:rsidRPr="00CF31E0">
        <w:rPr>
          <w:rFonts w:eastAsia="MS Mincho"/>
          <w:color w:val="000000" w:themeColor="text1"/>
          <w:lang w:eastAsia="en-US"/>
        </w:rPr>
        <w:t xml:space="preserve">Do you think that intermarriage between the two social groups is an acceptable tradition among UBHs? </w:t>
      </w:r>
    </w:p>
    <w:p w14:paraId="286F2141" w14:textId="77777777" w:rsidR="00FD2074" w:rsidRPr="00CF31E0" w:rsidRDefault="00FD2074" w:rsidP="00FD2074">
      <w:pPr>
        <w:numPr>
          <w:ilvl w:val="0"/>
          <w:numId w:val="64"/>
        </w:numPr>
        <w:contextualSpacing/>
        <w:rPr>
          <w:rFonts w:eastAsia="MS Mincho"/>
          <w:color w:val="000000" w:themeColor="text1"/>
          <w:lang w:eastAsia="en-US"/>
        </w:rPr>
      </w:pPr>
      <w:r w:rsidRPr="00CF31E0">
        <w:rPr>
          <w:rFonts w:eastAsia="MS Mincho"/>
          <w:color w:val="000000" w:themeColor="text1"/>
          <w:lang w:eastAsia="en-US"/>
        </w:rPr>
        <w:t>Strongly agree.</w:t>
      </w:r>
    </w:p>
    <w:p w14:paraId="4A5B76C8" w14:textId="77777777" w:rsidR="00FD2074" w:rsidRPr="00CF31E0" w:rsidRDefault="00FD2074" w:rsidP="00FD2074">
      <w:pPr>
        <w:numPr>
          <w:ilvl w:val="0"/>
          <w:numId w:val="64"/>
        </w:numPr>
        <w:contextualSpacing/>
        <w:rPr>
          <w:rFonts w:eastAsia="MS Mincho"/>
          <w:color w:val="000000" w:themeColor="text1"/>
          <w:lang w:eastAsia="en-US"/>
        </w:rPr>
      </w:pPr>
      <w:r w:rsidRPr="00CF31E0">
        <w:rPr>
          <w:rFonts w:eastAsia="MS Mincho"/>
          <w:color w:val="000000" w:themeColor="text1"/>
          <w:lang w:eastAsia="en-US"/>
        </w:rPr>
        <w:t>Agree.</w:t>
      </w:r>
    </w:p>
    <w:p w14:paraId="31E8AB07" w14:textId="77777777" w:rsidR="00FD2074" w:rsidRPr="00CF31E0" w:rsidRDefault="00FD2074" w:rsidP="00FD2074">
      <w:pPr>
        <w:numPr>
          <w:ilvl w:val="0"/>
          <w:numId w:val="64"/>
        </w:numPr>
        <w:ind w:left="1434" w:hanging="357"/>
        <w:rPr>
          <w:rFonts w:eastAsia="MS Mincho"/>
          <w:color w:val="000000" w:themeColor="text1"/>
          <w:lang w:eastAsia="en-US"/>
        </w:rPr>
      </w:pPr>
      <w:r w:rsidRPr="00CF31E0">
        <w:rPr>
          <w:rFonts w:eastAsia="MS Mincho"/>
          <w:color w:val="000000" w:themeColor="text1"/>
          <w:lang w:eastAsia="en-US"/>
        </w:rPr>
        <w:t>Disagree.</w:t>
      </w:r>
    </w:p>
    <w:p w14:paraId="45F5F340" w14:textId="77777777" w:rsidR="00FD2074" w:rsidRPr="00CF31E0" w:rsidRDefault="00FD2074" w:rsidP="00603CB7">
      <w:pPr>
        <w:numPr>
          <w:ilvl w:val="0"/>
          <w:numId w:val="64"/>
        </w:numPr>
        <w:spacing w:after="200"/>
        <w:ind w:left="1434" w:hanging="357"/>
        <w:rPr>
          <w:rFonts w:eastAsia="MS Mincho"/>
          <w:color w:val="000000" w:themeColor="text1"/>
          <w:lang w:eastAsia="en-US"/>
        </w:rPr>
      </w:pPr>
      <w:r w:rsidRPr="00CF31E0">
        <w:rPr>
          <w:rFonts w:eastAsia="MS Mincho"/>
          <w:color w:val="000000" w:themeColor="text1"/>
          <w:lang w:eastAsia="en-US"/>
        </w:rPr>
        <w:t>Strongly disagree.</w:t>
      </w:r>
    </w:p>
    <w:p w14:paraId="15860748" w14:textId="77777777" w:rsidR="00FD2074" w:rsidRPr="00CF31E0" w:rsidRDefault="00FD2074" w:rsidP="00FD2074">
      <w:pPr>
        <w:numPr>
          <w:ilvl w:val="0"/>
          <w:numId w:val="61"/>
        </w:numPr>
        <w:spacing w:before="240"/>
        <w:ind w:left="714" w:hanging="357"/>
        <w:rPr>
          <w:rFonts w:eastAsia="MS Mincho"/>
          <w:color w:val="000000" w:themeColor="text1"/>
          <w:lang w:eastAsia="en-US"/>
        </w:rPr>
      </w:pPr>
      <w:r w:rsidRPr="00CF31E0">
        <w:rPr>
          <w:rFonts w:eastAsia="MS Mincho"/>
          <w:color w:val="000000" w:themeColor="text1"/>
          <w:lang w:eastAsia="en-US"/>
        </w:rPr>
        <w:t xml:space="preserve">Do you think that intermarriage between the two social groups is an acceptable tradition among HHs? </w:t>
      </w:r>
    </w:p>
    <w:p w14:paraId="51D21572" w14:textId="77777777" w:rsidR="00FD2074" w:rsidRPr="00CF31E0" w:rsidRDefault="00FD2074" w:rsidP="00FD2074">
      <w:pPr>
        <w:numPr>
          <w:ilvl w:val="0"/>
          <w:numId w:val="64"/>
        </w:numPr>
        <w:contextualSpacing/>
        <w:rPr>
          <w:rFonts w:eastAsia="MS Mincho"/>
          <w:color w:val="000000" w:themeColor="text1"/>
          <w:lang w:eastAsia="en-US"/>
        </w:rPr>
      </w:pPr>
      <w:r w:rsidRPr="00CF31E0">
        <w:rPr>
          <w:rFonts w:eastAsia="MS Mincho"/>
          <w:color w:val="000000" w:themeColor="text1"/>
          <w:lang w:eastAsia="en-US"/>
        </w:rPr>
        <w:t>Strongly agree.</w:t>
      </w:r>
    </w:p>
    <w:p w14:paraId="038D8A6A" w14:textId="77777777" w:rsidR="00FD2074" w:rsidRPr="00CF31E0" w:rsidRDefault="00FD2074" w:rsidP="00FD2074">
      <w:pPr>
        <w:numPr>
          <w:ilvl w:val="0"/>
          <w:numId w:val="64"/>
        </w:numPr>
        <w:contextualSpacing/>
        <w:rPr>
          <w:rFonts w:eastAsia="MS Mincho"/>
          <w:color w:val="000000" w:themeColor="text1"/>
          <w:lang w:eastAsia="en-US"/>
        </w:rPr>
      </w:pPr>
      <w:r w:rsidRPr="00CF31E0">
        <w:rPr>
          <w:rFonts w:eastAsia="MS Mincho"/>
          <w:color w:val="000000" w:themeColor="text1"/>
          <w:lang w:eastAsia="en-US"/>
        </w:rPr>
        <w:t>Agree.</w:t>
      </w:r>
    </w:p>
    <w:p w14:paraId="6803A95F" w14:textId="77777777" w:rsidR="00FD2074" w:rsidRPr="00CF31E0" w:rsidRDefault="00FD2074" w:rsidP="00FD2074">
      <w:pPr>
        <w:numPr>
          <w:ilvl w:val="0"/>
          <w:numId w:val="64"/>
        </w:numPr>
        <w:contextualSpacing/>
        <w:rPr>
          <w:rFonts w:eastAsia="MS Mincho"/>
          <w:color w:val="000000" w:themeColor="text1"/>
          <w:lang w:eastAsia="en-US"/>
        </w:rPr>
      </w:pPr>
      <w:r w:rsidRPr="00CF31E0">
        <w:rPr>
          <w:rFonts w:eastAsia="MS Mincho"/>
          <w:color w:val="000000" w:themeColor="text1"/>
          <w:lang w:eastAsia="en-US"/>
        </w:rPr>
        <w:t>Disagree.</w:t>
      </w:r>
    </w:p>
    <w:p w14:paraId="6F85896F" w14:textId="77777777" w:rsidR="00FD2074" w:rsidRPr="00CF31E0" w:rsidRDefault="00FD2074" w:rsidP="00FD2074">
      <w:pPr>
        <w:numPr>
          <w:ilvl w:val="0"/>
          <w:numId w:val="64"/>
        </w:numPr>
        <w:contextualSpacing/>
        <w:rPr>
          <w:rFonts w:eastAsia="MS Mincho"/>
          <w:color w:val="000000" w:themeColor="text1"/>
          <w:lang w:eastAsia="en-US"/>
        </w:rPr>
      </w:pPr>
      <w:r w:rsidRPr="00CF31E0">
        <w:rPr>
          <w:rFonts w:eastAsia="MS Mincho"/>
          <w:color w:val="000000" w:themeColor="text1"/>
          <w:lang w:eastAsia="en-US"/>
        </w:rPr>
        <w:t>Strongly disagree.</w:t>
      </w:r>
    </w:p>
    <w:p w14:paraId="6760F711" w14:textId="77777777" w:rsidR="008518A4" w:rsidRPr="00CF31E0" w:rsidRDefault="008518A4">
      <w:pPr>
        <w:pStyle w:val="Title"/>
        <w:rPr>
          <w:color w:val="000000" w:themeColor="text1"/>
          <w:lang w:eastAsia="en-US"/>
        </w:rPr>
        <w:sectPr w:rsidR="008518A4" w:rsidRPr="00CF31E0" w:rsidSect="00B9532F">
          <w:pgSz w:w="11900" w:h="16840"/>
          <w:pgMar w:top="1440" w:right="2268" w:bottom="1440" w:left="2268" w:header="708" w:footer="708" w:gutter="0"/>
          <w:cols w:space="708"/>
          <w:docGrid w:linePitch="360"/>
        </w:sectPr>
      </w:pPr>
    </w:p>
    <w:p w14:paraId="532CE4CB" w14:textId="77777777" w:rsidR="008518A4" w:rsidRPr="00CF31E0" w:rsidRDefault="008518A4" w:rsidP="00603CB7">
      <w:pPr>
        <w:spacing w:after="400"/>
        <w:jc w:val="center"/>
        <w:rPr>
          <w:rFonts w:eastAsia="MS Mincho"/>
          <w:b/>
          <w:color w:val="000000" w:themeColor="text1"/>
          <w:sz w:val="32"/>
          <w:szCs w:val="32"/>
          <w:u w:val="single"/>
        </w:rPr>
      </w:pPr>
      <w:r w:rsidRPr="00CF31E0">
        <w:rPr>
          <w:rFonts w:eastAsia="MS Mincho"/>
          <w:b/>
          <w:color w:val="000000" w:themeColor="text1"/>
          <w:sz w:val="32"/>
          <w:szCs w:val="32"/>
          <w:u w:val="single"/>
        </w:rPr>
        <w:lastRenderedPageBreak/>
        <w:t>Part 3</w:t>
      </w:r>
    </w:p>
    <w:p w14:paraId="060D488E" w14:textId="77777777" w:rsidR="008518A4" w:rsidRPr="00CF31E0" w:rsidRDefault="008518A4" w:rsidP="00603CB7">
      <w:pPr>
        <w:numPr>
          <w:ilvl w:val="0"/>
          <w:numId w:val="56"/>
        </w:numPr>
        <w:spacing w:after="400" w:line="360" w:lineRule="auto"/>
        <w:ind w:left="357" w:hanging="357"/>
        <w:jc w:val="both"/>
        <w:rPr>
          <w:rFonts w:eastAsia="MS Mincho"/>
          <w:bCs/>
          <w:color w:val="000000" w:themeColor="text1"/>
          <w:lang w:eastAsia="en-US"/>
        </w:rPr>
      </w:pPr>
      <w:r w:rsidRPr="00CF31E0">
        <w:rPr>
          <w:rFonts w:eastAsia="MS Mincho"/>
          <w:bCs/>
          <w:color w:val="000000" w:themeColor="text1"/>
          <w:lang w:eastAsia="en-US"/>
        </w:rPr>
        <w:t>Please think of the UBH dialect in the Hijaz region, and check off how each characteristic applies to the UBH dialect. There are two opposing labels provided with each characteristic (most, least).</w:t>
      </w:r>
    </w:p>
    <w:p w14:paraId="6F4C7AAD" w14:textId="0EE33630" w:rsidR="008518A4" w:rsidRPr="00CF31E0" w:rsidRDefault="008518A4" w:rsidP="00603CB7">
      <w:pPr>
        <w:pStyle w:val="ListParagraph"/>
        <w:numPr>
          <w:ilvl w:val="0"/>
          <w:numId w:val="67"/>
        </w:numPr>
        <w:spacing w:line="360" w:lineRule="auto"/>
        <w:jc w:val="both"/>
        <w:rPr>
          <w:rFonts w:asciiTheme="majorBidi" w:eastAsia="MS Mincho" w:hAnsiTheme="majorBidi" w:cstheme="majorBidi"/>
          <w:b/>
          <w:color w:val="000000" w:themeColor="text1"/>
        </w:rPr>
      </w:pPr>
      <w:r w:rsidRPr="00CF31E0">
        <w:rPr>
          <w:rFonts w:asciiTheme="majorBidi" w:eastAsia="MS Mincho" w:hAnsiTheme="majorBidi" w:cstheme="majorBidi"/>
          <w:b/>
          <w:color w:val="000000" w:themeColor="text1"/>
        </w:rPr>
        <w:t>UBH dialect</w:t>
      </w:r>
    </w:p>
    <w:p w14:paraId="70B95D78" w14:textId="78596B31" w:rsidR="00453E26" w:rsidRPr="00CF31E0" w:rsidRDefault="00453E26" w:rsidP="00603CB7">
      <w:pPr>
        <w:pStyle w:val="ListParagraph"/>
        <w:spacing w:line="360" w:lineRule="auto"/>
        <w:ind w:left="717"/>
        <w:jc w:val="both"/>
        <w:rPr>
          <w:rFonts w:asciiTheme="majorBidi" w:eastAsia="MS Mincho" w:hAnsiTheme="majorBidi" w:cstheme="majorBidi"/>
          <w:b/>
          <w:color w:val="000000" w:themeColor="text1"/>
        </w:rPr>
      </w:pPr>
      <w:r w:rsidRPr="00CF31E0">
        <w:rPr>
          <w:rFonts w:asciiTheme="majorBidi" w:eastAsia="MS Mincho" w:hAnsiTheme="majorBidi" w:cstheme="majorBidi"/>
          <w:b/>
          <w:color w:val="000000" w:themeColor="text1"/>
        </w:rPr>
        <w:tab/>
      </w:r>
      <w:r w:rsidRPr="00CF31E0">
        <w:rPr>
          <w:rFonts w:asciiTheme="majorBidi" w:eastAsia="MS Mincho" w:hAnsiTheme="majorBidi" w:cstheme="majorBidi"/>
          <w:b/>
          <w:color w:val="000000" w:themeColor="text1"/>
        </w:rPr>
        <w:tab/>
      </w:r>
      <w:r w:rsidRPr="00CF31E0">
        <w:rPr>
          <w:rFonts w:asciiTheme="majorBidi" w:eastAsia="MS Mincho" w:hAnsiTheme="majorBidi" w:cstheme="majorBidi"/>
          <w:b/>
          <w:color w:val="000000" w:themeColor="text1"/>
        </w:rPr>
        <w:tab/>
      </w:r>
      <w:r w:rsidRPr="00CF31E0">
        <w:rPr>
          <w:rFonts w:asciiTheme="majorBidi" w:eastAsia="MS Mincho" w:hAnsiTheme="majorBidi" w:cstheme="majorBidi"/>
          <w:b/>
          <w:color w:val="000000" w:themeColor="text1"/>
        </w:rPr>
        <w:tab/>
      </w:r>
      <w:r w:rsidRPr="00CF31E0">
        <w:rPr>
          <w:rFonts w:asciiTheme="majorBidi" w:eastAsia="MS Mincho" w:hAnsiTheme="majorBidi" w:cstheme="majorBidi"/>
          <w:b/>
          <w:color w:val="000000" w:themeColor="text1"/>
        </w:rPr>
        <w:tab/>
      </w:r>
      <w:r w:rsidRPr="00CF31E0">
        <w:rPr>
          <w:rFonts w:asciiTheme="majorBidi" w:eastAsia="MS Mincho" w:hAnsiTheme="majorBidi" w:cstheme="majorBidi"/>
          <w:b/>
          <w:color w:val="000000" w:themeColor="text1"/>
        </w:rPr>
        <w:tab/>
      </w:r>
      <w:r w:rsidR="00C16AD3" w:rsidRPr="00CF31E0">
        <w:rPr>
          <w:rFonts w:asciiTheme="majorBidi" w:eastAsia="MS Mincho" w:hAnsiTheme="majorBidi" w:cstheme="majorBidi"/>
          <w:b/>
          <w:color w:val="000000" w:themeColor="text1"/>
        </w:rPr>
        <w:t xml:space="preserve"> </w:t>
      </w:r>
      <w:r w:rsidRPr="00CF31E0">
        <w:rPr>
          <w:rFonts w:asciiTheme="majorBidi" w:eastAsia="MS Mincho" w:hAnsiTheme="majorBidi" w:cstheme="majorBidi"/>
          <w:b/>
          <w:color w:val="000000" w:themeColor="text1"/>
        </w:rPr>
        <w:t>Least_______________Most</w:t>
      </w:r>
    </w:p>
    <w:tbl>
      <w:tblPr>
        <w:tblStyle w:val="TableGrid7"/>
        <w:tblW w:w="7479" w:type="dxa"/>
        <w:tblLayout w:type="fixed"/>
        <w:tblLook w:val="04A0" w:firstRow="1" w:lastRow="0" w:firstColumn="1" w:lastColumn="0" w:noHBand="0" w:noVBand="1"/>
      </w:tblPr>
      <w:tblGrid>
        <w:gridCol w:w="4644"/>
        <w:gridCol w:w="567"/>
        <w:gridCol w:w="567"/>
        <w:gridCol w:w="567"/>
        <w:gridCol w:w="567"/>
        <w:gridCol w:w="567"/>
      </w:tblGrid>
      <w:tr w:rsidR="008A1A4E" w:rsidRPr="00CF31E0" w14:paraId="686BF95D" w14:textId="77777777" w:rsidTr="00603CB7">
        <w:trPr>
          <w:trHeight w:val="324"/>
        </w:trPr>
        <w:tc>
          <w:tcPr>
            <w:tcW w:w="4644" w:type="dxa"/>
          </w:tcPr>
          <w:p w14:paraId="001B1838" w14:textId="77777777" w:rsidR="00453E26" w:rsidRPr="00CF31E0" w:rsidRDefault="00453E26" w:rsidP="00453E26">
            <w:pPr>
              <w:rPr>
                <w:color w:val="000000" w:themeColor="text1"/>
                <w:sz w:val="22"/>
                <w:szCs w:val="22"/>
                <w:lang w:val="en-US"/>
              </w:rPr>
            </w:pPr>
          </w:p>
          <w:p w14:paraId="2A7CB9CB" w14:textId="77777777" w:rsidR="00453E26" w:rsidRPr="00CF31E0" w:rsidRDefault="00453E26" w:rsidP="00453E26">
            <w:pPr>
              <w:rPr>
                <w:color w:val="000000" w:themeColor="text1"/>
                <w:sz w:val="22"/>
                <w:szCs w:val="22"/>
                <w:lang w:val="en-US"/>
              </w:rPr>
            </w:pPr>
            <w:r w:rsidRPr="00CF31E0">
              <w:rPr>
                <w:color w:val="000000" w:themeColor="text1"/>
                <w:sz w:val="22"/>
                <w:szCs w:val="22"/>
                <w:lang w:val="en-US"/>
              </w:rPr>
              <w:t>Similar to other Arabic dialects</w:t>
            </w:r>
          </w:p>
          <w:p w14:paraId="0DF062FD" w14:textId="77777777" w:rsidR="00453E26" w:rsidRPr="00CF31E0" w:rsidRDefault="00453E26" w:rsidP="00453E26">
            <w:pPr>
              <w:rPr>
                <w:color w:val="000000" w:themeColor="text1"/>
                <w:sz w:val="22"/>
                <w:szCs w:val="22"/>
                <w:lang w:val="en-US"/>
              </w:rPr>
            </w:pPr>
          </w:p>
        </w:tc>
        <w:tc>
          <w:tcPr>
            <w:tcW w:w="567" w:type="dxa"/>
          </w:tcPr>
          <w:p w14:paraId="5A123549" w14:textId="77777777" w:rsidR="00453E26" w:rsidRPr="00CF31E0" w:rsidRDefault="00453E26" w:rsidP="00453E26">
            <w:pPr>
              <w:rPr>
                <w:color w:val="000000" w:themeColor="text1"/>
                <w:sz w:val="22"/>
                <w:szCs w:val="22"/>
              </w:rPr>
            </w:pPr>
          </w:p>
          <w:p w14:paraId="07932643"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332F8BAB" w14:textId="77777777" w:rsidR="00453E26" w:rsidRPr="00CF31E0" w:rsidRDefault="00453E26" w:rsidP="00453E26">
            <w:pPr>
              <w:rPr>
                <w:color w:val="000000" w:themeColor="text1"/>
                <w:sz w:val="22"/>
                <w:szCs w:val="22"/>
              </w:rPr>
            </w:pPr>
          </w:p>
          <w:p w14:paraId="420DE2DB"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29C4CD31" w14:textId="77777777" w:rsidR="00453E26" w:rsidRPr="00CF31E0" w:rsidRDefault="00453E26" w:rsidP="00453E26">
            <w:pPr>
              <w:rPr>
                <w:color w:val="000000" w:themeColor="text1"/>
                <w:sz w:val="22"/>
                <w:szCs w:val="22"/>
              </w:rPr>
            </w:pPr>
          </w:p>
          <w:p w14:paraId="7E009E46"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78C4DC96" w14:textId="77777777" w:rsidR="00453E26" w:rsidRPr="00CF31E0" w:rsidRDefault="00453E26" w:rsidP="00453E26">
            <w:pPr>
              <w:rPr>
                <w:color w:val="000000" w:themeColor="text1"/>
                <w:sz w:val="22"/>
                <w:szCs w:val="22"/>
              </w:rPr>
            </w:pPr>
          </w:p>
          <w:p w14:paraId="334F5BC2" w14:textId="77777777" w:rsidR="00453E26" w:rsidRPr="00CF31E0" w:rsidRDefault="00453E26" w:rsidP="00453E26">
            <w:pPr>
              <w:ind w:left="175" w:hanging="175"/>
              <w:jc w:val="center"/>
              <w:rPr>
                <w:color w:val="000000" w:themeColor="text1"/>
                <w:sz w:val="22"/>
                <w:szCs w:val="22"/>
              </w:rPr>
            </w:pPr>
            <w:r w:rsidRPr="00CF31E0">
              <w:rPr>
                <w:color w:val="000000" w:themeColor="text1"/>
                <w:sz w:val="22"/>
                <w:szCs w:val="22"/>
              </w:rPr>
              <w:t>4</w:t>
            </w:r>
          </w:p>
        </w:tc>
        <w:tc>
          <w:tcPr>
            <w:tcW w:w="567" w:type="dxa"/>
          </w:tcPr>
          <w:p w14:paraId="067FDF4C" w14:textId="77777777" w:rsidR="00453E26" w:rsidRPr="00CF31E0" w:rsidRDefault="00453E26" w:rsidP="00453E26">
            <w:pPr>
              <w:rPr>
                <w:color w:val="000000" w:themeColor="text1"/>
                <w:sz w:val="22"/>
                <w:szCs w:val="22"/>
              </w:rPr>
            </w:pPr>
          </w:p>
          <w:p w14:paraId="72A61476"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tc>
      </w:tr>
      <w:tr w:rsidR="008A1A4E" w:rsidRPr="00CF31E0" w14:paraId="0E52E32A" w14:textId="77777777" w:rsidTr="00603CB7">
        <w:trPr>
          <w:trHeight w:val="699"/>
        </w:trPr>
        <w:tc>
          <w:tcPr>
            <w:tcW w:w="4644" w:type="dxa"/>
          </w:tcPr>
          <w:p w14:paraId="2BEB0E32" w14:textId="77777777" w:rsidR="00453E26" w:rsidRPr="00CF31E0" w:rsidRDefault="00453E26" w:rsidP="00453E26">
            <w:pPr>
              <w:rPr>
                <w:color w:val="000000" w:themeColor="text1"/>
                <w:sz w:val="22"/>
                <w:szCs w:val="22"/>
              </w:rPr>
            </w:pPr>
          </w:p>
          <w:p w14:paraId="738C6FE0" w14:textId="77777777" w:rsidR="00453E26" w:rsidRPr="00CF31E0" w:rsidRDefault="00453E26" w:rsidP="00453E26">
            <w:pPr>
              <w:rPr>
                <w:color w:val="000000" w:themeColor="text1"/>
                <w:sz w:val="22"/>
                <w:szCs w:val="22"/>
              </w:rPr>
            </w:pPr>
            <w:r w:rsidRPr="00CF31E0">
              <w:rPr>
                <w:color w:val="000000" w:themeColor="text1"/>
                <w:sz w:val="22"/>
                <w:szCs w:val="22"/>
              </w:rPr>
              <w:t>Sounds correct</w:t>
            </w:r>
          </w:p>
        </w:tc>
        <w:tc>
          <w:tcPr>
            <w:tcW w:w="567" w:type="dxa"/>
          </w:tcPr>
          <w:p w14:paraId="6DACCACD" w14:textId="77777777" w:rsidR="00453E26" w:rsidRPr="00CF31E0" w:rsidRDefault="00453E26" w:rsidP="00453E26">
            <w:pPr>
              <w:rPr>
                <w:color w:val="000000" w:themeColor="text1"/>
                <w:sz w:val="22"/>
                <w:szCs w:val="22"/>
              </w:rPr>
            </w:pPr>
          </w:p>
          <w:p w14:paraId="18ED0001"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5725DEA2" w14:textId="77777777" w:rsidR="00453E26" w:rsidRPr="00CF31E0" w:rsidRDefault="00453E26" w:rsidP="00453E26">
            <w:pPr>
              <w:rPr>
                <w:color w:val="000000" w:themeColor="text1"/>
                <w:sz w:val="22"/>
                <w:szCs w:val="22"/>
              </w:rPr>
            </w:pPr>
          </w:p>
          <w:p w14:paraId="62DAD680"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0063CAB0" w14:textId="77777777" w:rsidR="00453E26" w:rsidRPr="00CF31E0" w:rsidRDefault="00453E26" w:rsidP="00453E26">
            <w:pPr>
              <w:rPr>
                <w:color w:val="000000" w:themeColor="text1"/>
                <w:sz w:val="22"/>
                <w:szCs w:val="22"/>
              </w:rPr>
            </w:pPr>
          </w:p>
          <w:p w14:paraId="0F6381C8"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77767FD7" w14:textId="77777777" w:rsidR="00453E26" w:rsidRPr="00CF31E0" w:rsidRDefault="00453E26" w:rsidP="00453E26">
            <w:pPr>
              <w:rPr>
                <w:color w:val="000000" w:themeColor="text1"/>
                <w:sz w:val="22"/>
                <w:szCs w:val="22"/>
              </w:rPr>
            </w:pPr>
          </w:p>
          <w:p w14:paraId="18134D6E"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378E3746" w14:textId="77777777" w:rsidR="00453E26" w:rsidRPr="00CF31E0" w:rsidRDefault="00453E26" w:rsidP="00453E26">
            <w:pPr>
              <w:rPr>
                <w:color w:val="000000" w:themeColor="text1"/>
                <w:sz w:val="22"/>
                <w:szCs w:val="22"/>
              </w:rPr>
            </w:pPr>
          </w:p>
          <w:p w14:paraId="65EB48C0"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tc>
      </w:tr>
      <w:tr w:rsidR="008A1A4E" w:rsidRPr="00CF31E0" w14:paraId="7772AC01" w14:textId="77777777" w:rsidTr="00603CB7">
        <w:trPr>
          <w:trHeight w:val="724"/>
        </w:trPr>
        <w:tc>
          <w:tcPr>
            <w:tcW w:w="4644" w:type="dxa"/>
          </w:tcPr>
          <w:p w14:paraId="1CE18DF0" w14:textId="77777777" w:rsidR="00453E26" w:rsidRPr="00CF31E0" w:rsidRDefault="00453E26" w:rsidP="00453E26">
            <w:pPr>
              <w:rPr>
                <w:color w:val="000000" w:themeColor="text1"/>
                <w:sz w:val="22"/>
                <w:szCs w:val="22"/>
              </w:rPr>
            </w:pPr>
          </w:p>
          <w:p w14:paraId="140EF533" w14:textId="77777777" w:rsidR="00453E26" w:rsidRPr="00CF31E0" w:rsidRDefault="00453E26" w:rsidP="00453E26">
            <w:pPr>
              <w:rPr>
                <w:color w:val="000000" w:themeColor="text1"/>
                <w:sz w:val="22"/>
                <w:szCs w:val="22"/>
              </w:rPr>
            </w:pPr>
            <w:r w:rsidRPr="00CF31E0">
              <w:rPr>
                <w:color w:val="000000" w:themeColor="text1"/>
                <w:sz w:val="22"/>
                <w:szCs w:val="22"/>
              </w:rPr>
              <w:t>Serious</w:t>
            </w:r>
          </w:p>
        </w:tc>
        <w:tc>
          <w:tcPr>
            <w:tcW w:w="567" w:type="dxa"/>
          </w:tcPr>
          <w:p w14:paraId="1CE1642B" w14:textId="77777777" w:rsidR="00453E26" w:rsidRPr="00CF31E0" w:rsidRDefault="00453E26" w:rsidP="00453E26">
            <w:pPr>
              <w:rPr>
                <w:color w:val="000000" w:themeColor="text1"/>
                <w:sz w:val="22"/>
                <w:szCs w:val="22"/>
              </w:rPr>
            </w:pPr>
          </w:p>
          <w:p w14:paraId="0DCC99C5"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7D33CD5D" w14:textId="77777777" w:rsidR="00453E26" w:rsidRPr="00CF31E0" w:rsidRDefault="00453E26" w:rsidP="00453E26">
            <w:pPr>
              <w:rPr>
                <w:color w:val="000000" w:themeColor="text1"/>
                <w:sz w:val="22"/>
                <w:szCs w:val="22"/>
              </w:rPr>
            </w:pPr>
          </w:p>
          <w:p w14:paraId="475A6ED5"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735AB991" w14:textId="77777777" w:rsidR="00453E26" w:rsidRPr="00CF31E0" w:rsidRDefault="00453E26" w:rsidP="00453E26">
            <w:pPr>
              <w:rPr>
                <w:color w:val="000000" w:themeColor="text1"/>
                <w:sz w:val="22"/>
                <w:szCs w:val="22"/>
              </w:rPr>
            </w:pPr>
          </w:p>
          <w:p w14:paraId="7A8DE7DC"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3104CA40" w14:textId="77777777" w:rsidR="00453E26" w:rsidRPr="00CF31E0" w:rsidRDefault="00453E26" w:rsidP="00453E26">
            <w:pPr>
              <w:rPr>
                <w:color w:val="000000" w:themeColor="text1"/>
                <w:sz w:val="22"/>
                <w:szCs w:val="22"/>
              </w:rPr>
            </w:pPr>
          </w:p>
          <w:p w14:paraId="1FCFBF4F"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7FEB0D2A" w14:textId="77777777" w:rsidR="00453E26" w:rsidRPr="00CF31E0" w:rsidRDefault="00453E26" w:rsidP="00453E26">
            <w:pPr>
              <w:jc w:val="center"/>
              <w:rPr>
                <w:color w:val="000000" w:themeColor="text1"/>
                <w:sz w:val="22"/>
                <w:szCs w:val="22"/>
              </w:rPr>
            </w:pPr>
          </w:p>
          <w:p w14:paraId="776511CB"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p w14:paraId="7B689D97" w14:textId="77777777" w:rsidR="00453E26" w:rsidRPr="00CF31E0" w:rsidRDefault="00453E26" w:rsidP="00453E26">
            <w:pPr>
              <w:rPr>
                <w:color w:val="000000" w:themeColor="text1"/>
                <w:sz w:val="22"/>
                <w:szCs w:val="22"/>
              </w:rPr>
            </w:pPr>
          </w:p>
        </w:tc>
      </w:tr>
      <w:tr w:rsidR="008A1A4E" w:rsidRPr="00CF31E0" w14:paraId="29259709" w14:textId="77777777" w:rsidTr="00603CB7">
        <w:trPr>
          <w:trHeight w:val="699"/>
        </w:trPr>
        <w:tc>
          <w:tcPr>
            <w:tcW w:w="4644" w:type="dxa"/>
          </w:tcPr>
          <w:p w14:paraId="053D8FD6" w14:textId="77777777" w:rsidR="00453E26" w:rsidRPr="00CF31E0" w:rsidRDefault="00453E26" w:rsidP="00453E26">
            <w:pPr>
              <w:rPr>
                <w:color w:val="000000" w:themeColor="text1"/>
                <w:sz w:val="22"/>
                <w:szCs w:val="22"/>
              </w:rPr>
            </w:pPr>
          </w:p>
          <w:p w14:paraId="25C3C6C2" w14:textId="77777777" w:rsidR="00453E26" w:rsidRPr="00CF31E0" w:rsidRDefault="00453E26" w:rsidP="00453E26">
            <w:pPr>
              <w:rPr>
                <w:color w:val="000000" w:themeColor="text1"/>
                <w:sz w:val="22"/>
                <w:szCs w:val="22"/>
              </w:rPr>
            </w:pPr>
            <w:r w:rsidRPr="00CF31E0">
              <w:rPr>
                <w:color w:val="000000" w:themeColor="text1"/>
                <w:sz w:val="22"/>
                <w:szCs w:val="22"/>
              </w:rPr>
              <w:t xml:space="preserve">Spoken with a soft voice </w:t>
            </w:r>
          </w:p>
          <w:p w14:paraId="62ACB4ED" w14:textId="77777777" w:rsidR="00453E26" w:rsidRPr="00CF31E0" w:rsidRDefault="00453E26" w:rsidP="00453E26">
            <w:pPr>
              <w:rPr>
                <w:color w:val="000000" w:themeColor="text1"/>
                <w:sz w:val="22"/>
                <w:szCs w:val="22"/>
              </w:rPr>
            </w:pPr>
          </w:p>
        </w:tc>
        <w:tc>
          <w:tcPr>
            <w:tcW w:w="567" w:type="dxa"/>
          </w:tcPr>
          <w:p w14:paraId="16A5C7A2" w14:textId="77777777" w:rsidR="00453E26" w:rsidRPr="00CF31E0" w:rsidRDefault="00453E26" w:rsidP="00453E26">
            <w:pPr>
              <w:rPr>
                <w:color w:val="000000" w:themeColor="text1"/>
                <w:sz w:val="22"/>
                <w:szCs w:val="22"/>
              </w:rPr>
            </w:pPr>
          </w:p>
          <w:p w14:paraId="70E85C07"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1D1F7201" w14:textId="77777777" w:rsidR="00453E26" w:rsidRPr="00CF31E0" w:rsidRDefault="00453E26" w:rsidP="00453E26">
            <w:pPr>
              <w:rPr>
                <w:color w:val="000000" w:themeColor="text1"/>
                <w:sz w:val="22"/>
                <w:szCs w:val="22"/>
              </w:rPr>
            </w:pPr>
          </w:p>
          <w:p w14:paraId="5A6554C6"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7C72038C" w14:textId="77777777" w:rsidR="00453E26" w:rsidRPr="00CF31E0" w:rsidRDefault="00453E26" w:rsidP="00453E26">
            <w:pPr>
              <w:rPr>
                <w:color w:val="000000" w:themeColor="text1"/>
                <w:sz w:val="22"/>
                <w:szCs w:val="22"/>
              </w:rPr>
            </w:pPr>
          </w:p>
          <w:p w14:paraId="3CFF06F9"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1EBB54B4" w14:textId="77777777" w:rsidR="00453E26" w:rsidRPr="00CF31E0" w:rsidRDefault="00453E26" w:rsidP="00453E26">
            <w:pPr>
              <w:rPr>
                <w:color w:val="000000" w:themeColor="text1"/>
                <w:sz w:val="22"/>
                <w:szCs w:val="22"/>
              </w:rPr>
            </w:pPr>
          </w:p>
          <w:p w14:paraId="13AD337E"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769D21CA" w14:textId="77777777" w:rsidR="00453E26" w:rsidRPr="00CF31E0" w:rsidRDefault="00453E26" w:rsidP="00453E26">
            <w:pPr>
              <w:rPr>
                <w:color w:val="000000" w:themeColor="text1"/>
                <w:sz w:val="22"/>
                <w:szCs w:val="22"/>
              </w:rPr>
            </w:pPr>
          </w:p>
          <w:p w14:paraId="05264B5B"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tc>
      </w:tr>
      <w:tr w:rsidR="008A1A4E" w:rsidRPr="00CF31E0" w14:paraId="08FE9E4B" w14:textId="77777777" w:rsidTr="00603CB7">
        <w:trPr>
          <w:trHeight w:val="699"/>
        </w:trPr>
        <w:tc>
          <w:tcPr>
            <w:tcW w:w="4644" w:type="dxa"/>
          </w:tcPr>
          <w:p w14:paraId="221FF7DB" w14:textId="77777777" w:rsidR="00453E26" w:rsidRPr="00CF31E0" w:rsidRDefault="00453E26" w:rsidP="00453E26">
            <w:pPr>
              <w:rPr>
                <w:color w:val="000000" w:themeColor="text1"/>
                <w:sz w:val="22"/>
                <w:szCs w:val="22"/>
              </w:rPr>
            </w:pPr>
          </w:p>
          <w:p w14:paraId="3F746041" w14:textId="77777777" w:rsidR="00453E26" w:rsidRPr="00CF31E0" w:rsidRDefault="00453E26" w:rsidP="00453E26">
            <w:pPr>
              <w:rPr>
                <w:color w:val="000000" w:themeColor="text1"/>
                <w:sz w:val="22"/>
                <w:szCs w:val="22"/>
              </w:rPr>
            </w:pPr>
            <w:r w:rsidRPr="00CF31E0">
              <w:rPr>
                <w:color w:val="000000" w:themeColor="text1"/>
                <w:sz w:val="22"/>
                <w:szCs w:val="22"/>
              </w:rPr>
              <w:t>Popular in the countryside</w:t>
            </w:r>
          </w:p>
        </w:tc>
        <w:tc>
          <w:tcPr>
            <w:tcW w:w="567" w:type="dxa"/>
          </w:tcPr>
          <w:p w14:paraId="6E9D7354" w14:textId="77777777" w:rsidR="00453E26" w:rsidRPr="00CF31E0" w:rsidRDefault="00453E26" w:rsidP="00453E26">
            <w:pPr>
              <w:rPr>
                <w:color w:val="000000" w:themeColor="text1"/>
                <w:sz w:val="22"/>
                <w:szCs w:val="22"/>
              </w:rPr>
            </w:pPr>
          </w:p>
          <w:p w14:paraId="295E55ED"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23133B0B" w14:textId="77777777" w:rsidR="00453E26" w:rsidRPr="00CF31E0" w:rsidRDefault="00453E26" w:rsidP="00453E26">
            <w:pPr>
              <w:rPr>
                <w:color w:val="000000" w:themeColor="text1"/>
                <w:sz w:val="22"/>
                <w:szCs w:val="22"/>
              </w:rPr>
            </w:pPr>
          </w:p>
          <w:p w14:paraId="33CCD596"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542AA4FF" w14:textId="77777777" w:rsidR="00453E26" w:rsidRPr="00CF31E0" w:rsidRDefault="00453E26" w:rsidP="00453E26">
            <w:pPr>
              <w:rPr>
                <w:color w:val="000000" w:themeColor="text1"/>
                <w:sz w:val="22"/>
                <w:szCs w:val="22"/>
              </w:rPr>
            </w:pPr>
          </w:p>
          <w:p w14:paraId="0308ABBF"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7EB18172" w14:textId="77777777" w:rsidR="00453E26" w:rsidRPr="00CF31E0" w:rsidRDefault="00453E26" w:rsidP="00453E26">
            <w:pPr>
              <w:rPr>
                <w:color w:val="000000" w:themeColor="text1"/>
                <w:sz w:val="22"/>
                <w:szCs w:val="22"/>
              </w:rPr>
            </w:pPr>
          </w:p>
          <w:p w14:paraId="7ABFE20E" w14:textId="77777777" w:rsidR="00453E26" w:rsidRPr="00CF31E0" w:rsidRDefault="00453E26" w:rsidP="00453E26">
            <w:pPr>
              <w:ind w:left="175" w:hanging="175"/>
              <w:jc w:val="center"/>
              <w:rPr>
                <w:color w:val="000000" w:themeColor="text1"/>
                <w:sz w:val="22"/>
                <w:szCs w:val="22"/>
              </w:rPr>
            </w:pPr>
            <w:r w:rsidRPr="00CF31E0">
              <w:rPr>
                <w:color w:val="000000" w:themeColor="text1"/>
                <w:sz w:val="22"/>
                <w:szCs w:val="22"/>
              </w:rPr>
              <w:t>4</w:t>
            </w:r>
          </w:p>
        </w:tc>
        <w:tc>
          <w:tcPr>
            <w:tcW w:w="567" w:type="dxa"/>
          </w:tcPr>
          <w:p w14:paraId="2E503C95" w14:textId="77777777" w:rsidR="00453E26" w:rsidRPr="00CF31E0" w:rsidRDefault="00453E26" w:rsidP="00453E26">
            <w:pPr>
              <w:rPr>
                <w:color w:val="000000" w:themeColor="text1"/>
                <w:sz w:val="22"/>
                <w:szCs w:val="22"/>
              </w:rPr>
            </w:pPr>
          </w:p>
          <w:p w14:paraId="5730DF98"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tc>
      </w:tr>
      <w:tr w:rsidR="008A1A4E" w:rsidRPr="00CF31E0" w14:paraId="2D0BEA7F" w14:textId="77777777" w:rsidTr="00603CB7">
        <w:trPr>
          <w:trHeight w:val="724"/>
        </w:trPr>
        <w:tc>
          <w:tcPr>
            <w:tcW w:w="4644" w:type="dxa"/>
          </w:tcPr>
          <w:p w14:paraId="2B0B4F15" w14:textId="77777777" w:rsidR="00453E26" w:rsidRPr="00CF31E0" w:rsidRDefault="00453E26" w:rsidP="00453E26">
            <w:pPr>
              <w:rPr>
                <w:color w:val="000000" w:themeColor="text1"/>
                <w:sz w:val="22"/>
                <w:szCs w:val="22"/>
              </w:rPr>
            </w:pPr>
          </w:p>
          <w:p w14:paraId="6BE59611" w14:textId="77777777" w:rsidR="00453E26" w:rsidRPr="00CF31E0" w:rsidRDefault="00453E26" w:rsidP="00453E26">
            <w:pPr>
              <w:rPr>
                <w:color w:val="000000" w:themeColor="text1"/>
                <w:sz w:val="22"/>
                <w:szCs w:val="22"/>
              </w:rPr>
            </w:pPr>
            <w:r w:rsidRPr="00CF31E0">
              <w:rPr>
                <w:color w:val="000000" w:themeColor="text1"/>
                <w:sz w:val="22"/>
                <w:szCs w:val="22"/>
              </w:rPr>
              <w:t>Feminine</w:t>
            </w:r>
          </w:p>
        </w:tc>
        <w:tc>
          <w:tcPr>
            <w:tcW w:w="567" w:type="dxa"/>
          </w:tcPr>
          <w:p w14:paraId="61BB0847" w14:textId="77777777" w:rsidR="00453E26" w:rsidRPr="00CF31E0" w:rsidRDefault="00453E26" w:rsidP="00453E26">
            <w:pPr>
              <w:rPr>
                <w:color w:val="000000" w:themeColor="text1"/>
                <w:sz w:val="22"/>
                <w:szCs w:val="22"/>
              </w:rPr>
            </w:pPr>
          </w:p>
          <w:p w14:paraId="5F39809B"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3C079AF7" w14:textId="77777777" w:rsidR="00453E26" w:rsidRPr="00CF31E0" w:rsidRDefault="00453E26" w:rsidP="00453E26">
            <w:pPr>
              <w:rPr>
                <w:color w:val="000000" w:themeColor="text1"/>
                <w:sz w:val="22"/>
                <w:szCs w:val="22"/>
              </w:rPr>
            </w:pPr>
          </w:p>
          <w:p w14:paraId="0AD0DBB6"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098990C4" w14:textId="77777777" w:rsidR="00453E26" w:rsidRPr="00CF31E0" w:rsidRDefault="00453E26" w:rsidP="00453E26">
            <w:pPr>
              <w:rPr>
                <w:color w:val="000000" w:themeColor="text1"/>
                <w:sz w:val="22"/>
                <w:szCs w:val="22"/>
              </w:rPr>
            </w:pPr>
          </w:p>
          <w:p w14:paraId="7D8352CA"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320C1A4D" w14:textId="77777777" w:rsidR="00453E26" w:rsidRPr="00CF31E0" w:rsidRDefault="00453E26" w:rsidP="00453E26">
            <w:pPr>
              <w:rPr>
                <w:color w:val="000000" w:themeColor="text1"/>
                <w:sz w:val="22"/>
                <w:szCs w:val="22"/>
              </w:rPr>
            </w:pPr>
          </w:p>
          <w:p w14:paraId="1559CCAC"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310DAE03" w14:textId="77777777" w:rsidR="00453E26" w:rsidRPr="00CF31E0" w:rsidRDefault="00453E26" w:rsidP="00453E26">
            <w:pPr>
              <w:jc w:val="center"/>
              <w:rPr>
                <w:color w:val="000000" w:themeColor="text1"/>
                <w:sz w:val="22"/>
                <w:szCs w:val="22"/>
              </w:rPr>
            </w:pPr>
          </w:p>
          <w:p w14:paraId="74D98686"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p w14:paraId="580AAFED" w14:textId="77777777" w:rsidR="00453E26" w:rsidRPr="00CF31E0" w:rsidRDefault="00453E26" w:rsidP="00453E26">
            <w:pPr>
              <w:rPr>
                <w:color w:val="000000" w:themeColor="text1"/>
                <w:sz w:val="22"/>
                <w:szCs w:val="22"/>
              </w:rPr>
            </w:pPr>
          </w:p>
        </w:tc>
      </w:tr>
      <w:tr w:rsidR="008A1A4E" w:rsidRPr="00CF31E0" w14:paraId="6B252C97" w14:textId="77777777" w:rsidTr="00603CB7">
        <w:trPr>
          <w:trHeight w:val="699"/>
        </w:trPr>
        <w:tc>
          <w:tcPr>
            <w:tcW w:w="4644" w:type="dxa"/>
          </w:tcPr>
          <w:p w14:paraId="3D2FC3FB" w14:textId="77777777" w:rsidR="00453E26" w:rsidRPr="00CF31E0" w:rsidRDefault="00453E26" w:rsidP="00453E26">
            <w:pPr>
              <w:rPr>
                <w:color w:val="000000" w:themeColor="text1"/>
                <w:sz w:val="22"/>
                <w:szCs w:val="22"/>
              </w:rPr>
            </w:pPr>
          </w:p>
          <w:p w14:paraId="6C7E56B6" w14:textId="6B6C0A47" w:rsidR="00453E26" w:rsidRPr="00CF31E0" w:rsidRDefault="001136D4" w:rsidP="00453E26">
            <w:pPr>
              <w:rPr>
                <w:color w:val="000000" w:themeColor="text1"/>
                <w:sz w:val="22"/>
                <w:szCs w:val="22"/>
              </w:rPr>
            </w:pPr>
            <w:r w:rsidRPr="00CF31E0">
              <w:rPr>
                <w:color w:val="000000" w:themeColor="text1"/>
                <w:sz w:val="22"/>
                <w:szCs w:val="22"/>
              </w:rPr>
              <w:t>Difficult to</w:t>
            </w:r>
            <w:r w:rsidR="00453E26" w:rsidRPr="00CF31E0">
              <w:rPr>
                <w:color w:val="000000" w:themeColor="text1"/>
                <w:sz w:val="22"/>
                <w:szCs w:val="22"/>
              </w:rPr>
              <w:t xml:space="preserve"> imitate</w:t>
            </w:r>
          </w:p>
        </w:tc>
        <w:tc>
          <w:tcPr>
            <w:tcW w:w="567" w:type="dxa"/>
          </w:tcPr>
          <w:p w14:paraId="45D17EDA" w14:textId="77777777" w:rsidR="00453E26" w:rsidRPr="00CF31E0" w:rsidRDefault="00453E26" w:rsidP="00453E26">
            <w:pPr>
              <w:rPr>
                <w:color w:val="000000" w:themeColor="text1"/>
                <w:sz w:val="22"/>
                <w:szCs w:val="22"/>
              </w:rPr>
            </w:pPr>
          </w:p>
          <w:p w14:paraId="10FC38E8"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371FC93D" w14:textId="77777777" w:rsidR="00453E26" w:rsidRPr="00CF31E0" w:rsidRDefault="00453E26" w:rsidP="00453E26">
            <w:pPr>
              <w:rPr>
                <w:color w:val="000000" w:themeColor="text1"/>
                <w:sz w:val="22"/>
                <w:szCs w:val="22"/>
              </w:rPr>
            </w:pPr>
          </w:p>
          <w:p w14:paraId="59780266"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6C00E9B4" w14:textId="77777777" w:rsidR="00453E26" w:rsidRPr="00CF31E0" w:rsidRDefault="00453E26" w:rsidP="00453E26">
            <w:pPr>
              <w:rPr>
                <w:color w:val="000000" w:themeColor="text1"/>
                <w:sz w:val="22"/>
                <w:szCs w:val="22"/>
              </w:rPr>
            </w:pPr>
          </w:p>
          <w:p w14:paraId="7A1298BF"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367AC90E" w14:textId="77777777" w:rsidR="00453E26" w:rsidRPr="00CF31E0" w:rsidRDefault="00453E26" w:rsidP="00453E26">
            <w:pPr>
              <w:rPr>
                <w:color w:val="000000" w:themeColor="text1"/>
                <w:sz w:val="22"/>
                <w:szCs w:val="22"/>
              </w:rPr>
            </w:pPr>
          </w:p>
          <w:p w14:paraId="1F7FE6B2"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08C1EE85" w14:textId="77777777" w:rsidR="00453E26" w:rsidRPr="00CF31E0" w:rsidRDefault="00453E26" w:rsidP="00453E26">
            <w:pPr>
              <w:rPr>
                <w:color w:val="000000" w:themeColor="text1"/>
                <w:sz w:val="22"/>
                <w:szCs w:val="22"/>
              </w:rPr>
            </w:pPr>
          </w:p>
          <w:p w14:paraId="12E80C1B"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tc>
      </w:tr>
      <w:tr w:rsidR="008A1A4E" w:rsidRPr="00CF31E0" w14:paraId="0A06C22F" w14:textId="77777777" w:rsidTr="00603CB7">
        <w:trPr>
          <w:trHeight w:val="724"/>
        </w:trPr>
        <w:tc>
          <w:tcPr>
            <w:tcW w:w="4644" w:type="dxa"/>
          </w:tcPr>
          <w:p w14:paraId="0C2C9352" w14:textId="77777777" w:rsidR="00453E26" w:rsidRPr="00CF31E0" w:rsidRDefault="00453E26" w:rsidP="00453E26">
            <w:pPr>
              <w:rPr>
                <w:color w:val="000000" w:themeColor="text1"/>
                <w:sz w:val="22"/>
                <w:szCs w:val="22"/>
              </w:rPr>
            </w:pPr>
          </w:p>
          <w:p w14:paraId="251C6B03" w14:textId="3312282B" w:rsidR="00453E26" w:rsidRPr="00CF31E0" w:rsidRDefault="00453E26" w:rsidP="001136D4">
            <w:pPr>
              <w:rPr>
                <w:color w:val="000000" w:themeColor="text1"/>
                <w:sz w:val="22"/>
                <w:szCs w:val="22"/>
              </w:rPr>
            </w:pPr>
            <w:r w:rsidRPr="00CF31E0">
              <w:rPr>
                <w:color w:val="000000" w:themeColor="text1"/>
                <w:sz w:val="22"/>
                <w:szCs w:val="22"/>
              </w:rPr>
              <w:t xml:space="preserve">Distinctive </w:t>
            </w:r>
          </w:p>
        </w:tc>
        <w:tc>
          <w:tcPr>
            <w:tcW w:w="567" w:type="dxa"/>
          </w:tcPr>
          <w:p w14:paraId="4E420ABC" w14:textId="77777777" w:rsidR="00453E26" w:rsidRPr="00CF31E0" w:rsidRDefault="00453E26" w:rsidP="00453E26">
            <w:pPr>
              <w:rPr>
                <w:color w:val="000000" w:themeColor="text1"/>
                <w:sz w:val="22"/>
                <w:szCs w:val="22"/>
              </w:rPr>
            </w:pPr>
          </w:p>
          <w:p w14:paraId="56A2B46C"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3AF0832E" w14:textId="77777777" w:rsidR="00453E26" w:rsidRPr="00CF31E0" w:rsidRDefault="00453E26" w:rsidP="00453E26">
            <w:pPr>
              <w:rPr>
                <w:color w:val="000000" w:themeColor="text1"/>
                <w:sz w:val="22"/>
                <w:szCs w:val="22"/>
              </w:rPr>
            </w:pPr>
          </w:p>
          <w:p w14:paraId="37E53D6D"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70723D89" w14:textId="77777777" w:rsidR="00453E26" w:rsidRPr="00CF31E0" w:rsidRDefault="00453E26" w:rsidP="00453E26">
            <w:pPr>
              <w:rPr>
                <w:color w:val="000000" w:themeColor="text1"/>
                <w:sz w:val="22"/>
                <w:szCs w:val="22"/>
              </w:rPr>
            </w:pPr>
          </w:p>
          <w:p w14:paraId="69AFA0C9"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11B82E24" w14:textId="77777777" w:rsidR="00453E26" w:rsidRPr="00CF31E0" w:rsidRDefault="00453E26" w:rsidP="00453E26">
            <w:pPr>
              <w:rPr>
                <w:color w:val="000000" w:themeColor="text1"/>
                <w:sz w:val="22"/>
                <w:szCs w:val="22"/>
              </w:rPr>
            </w:pPr>
          </w:p>
          <w:p w14:paraId="61CEDCDD"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57FBF68E" w14:textId="77777777" w:rsidR="00453E26" w:rsidRPr="00CF31E0" w:rsidRDefault="00453E26" w:rsidP="00453E26">
            <w:pPr>
              <w:jc w:val="center"/>
              <w:rPr>
                <w:color w:val="000000" w:themeColor="text1"/>
                <w:sz w:val="22"/>
                <w:szCs w:val="22"/>
              </w:rPr>
            </w:pPr>
          </w:p>
          <w:p w14:paraId="782E917B"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p w14:paraId="2D900B1A" w14:textId="77777777" w:rsidR="00453E26" w:rsidRPr="00CF31E0" w:rsidRDefault="00453E26" w:rsidP="00453E26">
            <w:pPr>
              <w:rPr>
                <w:color w:val="000000" w:themeColor="text1"/>
                <w:sz w:val="22"/>
                <w:szCs w:val="22"/>
              </w:rPr>
            </w:pPr>
          </w:p>
        </w:tc>
      </w:tr>
      <w:tr w:rsidR="008A1A4E" w:rsidRPr="00CF31E0" w14:paraId="438B3623" w14:textId="77777777" w:rsidTr="00603CB7">
        <w:trPr>
          <w:trHeight w:val="699"/>
        </w:trPr>
        <w:tc>
          <w:tcPr>
            <w:tcW w:w="4644" w:type="dxa"/>
          </w:tcPr>
          <w:p w14:paraId="40544177" w14:textId="77777777" w:rsidR="00453E26" w:rsidRPr="00CF31E0" w:rsidRDefault="00453E26" w:rsidP="00453E26">
            <w:pPr>
              <w:rPr>
                <w:color w:val="000000" w:themeColor="text1"/>
                <w:sz w:val="22"/>
                <w:szCs w:val="22"/>
              </w:rPr>
            </w:pPr>
          </w:p>
          <w:p w14:paraId="7B605B80" w14:textId="77777777" w:rsidR="00453E26" w:rsidRPr="00CF31E0" w:rsidRDefault="00453E26" w:rsidP="00453E26">
            <w:pPr>
              <w:rPr>
                <w:color w:val="000000" w:themeColor="text1"/>
                <w:sz w:val="22"/>
                <w:szCs w:val="22"/>
              </w:rPr>
            </w:pPr>
            <w:r w:rsidRPr="00CF31E0">
              <w:rPr>
                <w:color w:val="000000" w:themeColor="text1"/>
                <w:sz w:val="22"/>
                <w:szCs w:val="22"/>
              </w:rPr>
              <w:t>Poetic dialect (i.e. used in poetry)</w:t>
            </w:r>
          </w:p>
        </w:tc>
        <w:tc>
          <w:tcPr>
            <w:tcW w:w="567" w:type="dxa"/>
          </w:tcPr>
          <w:p w14:paraId="3AA34592" w14:textId="77777777" w:rsidR="00453E26" w:rsidRPr="00CF31E0" w:rsidRDefault="00453E26" w:rsidP="00453E26">
            <w:pPr>
              <w:rPr>
                <w:color w:val="000000" w:themeColor="text1"/>
                <w:sz w:val="22"/>
                <w:szCs w:val="22"/>
              </w:rPr>
            </w:pPr>
          </w:p>
          <w:p w14:paraId="24B0C67C"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2CBB51B9" w14:textId="77777777" w:rsidR="00453E26" w:rsidRPr="00CF31E0" w:rsidRDefault="00453E26" w:rsidP="00453E26">
            <w:pPr>
              <w:rPr>
                <w:color w:val="000000" w:themeColor="text1"/>
                <w:sz w:val="22"/>
                <w:szCs w:val="22"/>
              </w:rPr>
            </w:pPr>
          </w:p>
          <w:p w14:paraId="293AF568"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55E57065" w14:textId="77777777" w:rsidR="00453E26" w:rsidRPr="00CF31E0" w:rsidRDefault="00453E26" w:rsidP="00453E26">
            <w:pPr>
              <w:rPr>
                <w:color w:val="000000" w:themeColor="text1"/>
                <w:sz w:val="22"/>
                <w:szCs w:val="22"/>
              </w:rPr>
            </w:pPr>
          </w:p>
          <w:p w14:paraId="5E15B5D2"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01ED1F0C" w14:textId="77777777" w:rsidR="00453E26" w:rsidRPr="00CF31E0" w:rsidRDefault="00453E26" w:rsidP="00453E26">
            <w:pPr>
              <w:rPr>
                <w:color w:val="000000" w:themeColor="text1"/>
                <w:sz w:val="22"/>
                <w:szCs w:val="22"/>
              </w:rPr>
            </w:pPr>
          </w:p>
          <w:p w14:paraId="00CCB61A"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4872B367" w14:textId="77777777" w:rsidR="00453E26" w:rsidRPr="00CF31E0" w:rsidRDefault="00453E26" w:rsidP="00453E26">
            <w:pPr>
              <w:rPr>
                <w:color w:val="000000" w:themeColor="text1"/>
                <w:sz w:val="22"/>
                <w:szCs w:val="22"/>
              </w:rPr>
            </w:pPr>
          </w:p>
          <w:p w14:paraId="73594A7B"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tc>
      </w:tr>
      <w:tr w:rsidR="008A1A4E" w:rsidRPr="00CF31E0" w14:paraId="4D8E28FE" w14:textId="77777777" w:rsidTr="00603CB7">
        <w:trPr>
          <w:trHeight w:val="699"/>
        </w:trPr>
        <w:tc>
          <w:tcPr>
            <w:tcW w:w="4644" w:type="dxa"/>
          </w:tcPr>
          <w:p w14:paraId="4EA8B44E" w14:textId="77777777" w:rsidR="00453E26" w:rsidRPr="00CF31E0" w:rsidRDefault="00453E26" w:rsidP="00453E26">
            <w:pPr>
              <w:rPr>
                <w:color w:val="000000" w:themeColor="text1"/>
                <w:sz w:val="22"/>
                <w:szCs w:val="22"/>
              </w:rPr>
            </w:pPr>
          </w:p>
          <w:p w14:paraId="3919FB23" w14:textId="77777777" w:rsidR="00453E26" w:rsidRPr="00CF31E0" w:rsidRDefault="00453E26" w:rsidP="00453E26">
            <w:pPr>
              <w:rPr>
                <w:color w:val="000000" w:themeColor="text1"/>
                <w:sz w:val="22"/>
                <w:szCs w:val="22"/>
              </w:rPr>
            </w:pPr>
            <w:r w:rsidRPr="00CF31E0">
              <w:rPr>
                <w:color w:val="000000" w:themeColor="text1"/>
                <w:sz w:val="22"/>
                <w:szCs w:val="22"/>
              </w:rPr>
              <w:t>Understandable</w:t>
            </w:r>
          </w:p>
        </w:tc>
        <w:tc>
          <w:tcPr>
            <w:tcW w:w="567" w:type="dxa"/>
          </w:tcPr>
          <w:p w14:paraId="34C44FA6" w14:textId="77777777" w:rsidR="00453E26" w:rsidRPr="00CF31E0" w:rsidRDefault="00453E26" w:rsidP="00453E26">
            <w:pPr>
              <w:rPr>
                <w:color w:val="000000" w:themeColor="text1"/>
                <w:sz w:val="22"/>
                <w:szCs w:val="22"/>
              </w:rPr>
            </w:pPr>
          </w:p>
          <w:p w14:paraId="6A30564A"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5B6B3D8E" w14:textId="77777777" w:rsidR="00453E26" w:rsidRPr="00CF31E0" w:rsidRDefault="00453E26" w:rsidP="00453E26">
            <w:pPr>
              <w:rPr>
                <w:color w:val="000000" w:themeColor="text1"/>
                <w:sz w:val="22"/>
                <w:szCs w:val="22"/>
              </w:rPr>
            </w:pPr>
          </w:p>
          <w:p w14:paraId="3C256746"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01F7B77C" w14:textId="77777777" w:rsidR="00453E26" w:rsidRPr="00CF31E0" w:rsidRDefault="00453E26" w:rsidP="00453E26">
            <w:pPr>
              <w:rPr>
                <w:color w:val="000000" w:themeColor="text1"/>
                <w:sz w:val="22"/>
                <w:szCs w:val="22"/>
              </w:rPr>
            </w:pPr>
          </w:p>
          <w:p w14:paraId="1746B55D"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0EA875CD" w14:textId="77777777" w:rsidR="00453E26" w:rsidRPr="00CF31E0" w:rsidRDefault="00453E26" w:rsidP="00453E26">
            <w:pPr>
              <w:rPr>
                <w:color w:val="000000" w:themeColor="text1"/>
                <w:sz w:val="22"/>
                <w:szCs w:val="22"/>
              </w:rPr>
            </w:pPr>
          </w:p>
          <w:p w14:paraId="6FBBE8C0"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16DCFF32" w14:textId="77777777" w:rsidR="00453E26" w:rsidRPr="00CF31E0" w:rsidRDefault="00453E26" w:rsidP="00453E26">
            <w:pPr>
              <w:rPr>
                <w:color w:val="000000" w:themeColor="text1"/>
                <w:sz w:val="22"/>
                <w:szCs w:val="22"/>
              </w:rPr>
            </w:pPr>
          </w:p>
          <w:p w14:paraId="3736D4CA"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tc>
      </w:tr>
      <w:tr w:rsidR="008A1A4E" w:rsidRPr="00CF31E0" w14:paraId="24145D97" w14:textId="77777777" w:rsidTr="00603CB7">
        <w:trPr>
          <w:trHeight w:val="724"/>
        </w:trPr>
        <w:tc>
          <w:tcPr>
            <w:tcW w:w="4644" w:type="dxa"/>
          </w:tcPr>
          <w:p w14:paraId="61C7696B" w14:textId="77777777" w:rsidR="00453E26" w:rsidRPr="00CF31E0" w:rsidRDefault="00453E26" w:rsidP="00453E26">
            <w:pPr>
              <w:rPr>
                <w:color w:val="000000" w:themeColor="text1"/>
                <w:sz w:val="22"/>
                <w:szCs w:val="22"/>
              </w:rPr>
            </w:pPr>
          </w:p>
          <w:p w14:paraId="3A242336" w14:textId="77777777" w:rsidR="00453E26" w:rsidRPr="00CF31E0" w:rsidRDefault="00453E26" w:rsidP="00453E26">
            <w:pPr>
              <w:rPr>
                <w:color w:val="000000" w:themeColor="text1"/>
                <w:sz w:val="22"/>
                <w:szCs w:val="22"/>
              </w:rPr>
            </w:pPr>
            <w:r w:rsidRPr="00CF31E0">
              <w:rPr>
                <w:color w:val="000000" w:themeColor="text1"/>
                <w:sz w:val="22"/>
                <w:szCs w:val="22"/>
              </w:rPr>
              <w:t>Prestigious</w:t>
            </w:r>
          </w:p>
        </w:tc>
        <w:tc>
          <w:tcPr>
            <w:tcW w:w="567" w:type="dxa"/>
          </w:tcPr>
          <w:p w14:paraId="17679354" w14:textId="77777777" w:rsidR="00453E26" w:rsidRPr="00CF31E0" w:rsidRDefault="00453E26" w:rsidP="00453E26">
            <w:pPr>
              <w:rPr>
                <w:color w:val="000000" w:themeColor="text1"/>
                <w:sz w:val="22"/>
                <w:szCs w:val="22"/>
              </w:rPr>
            </w:pPr>
          </w:p>
          <w:p w14:paraId="7B8BC6A4"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3C508C92" w14:textId="77777777" w:rsidR="00453E26" w:rsidRPr="00CF31E0" w:rsidRDefault="00453E26" w:rsidP="00453E26">
            <w:pPr>
              <w:rPr>
                <w:color w:val="000000" w:themeColor="text1"/>
                <w:sz w:val="22"/>
                <w:szCs w:val="22"/>
              </w:rPr>
            </w:pPr>
          </w:p>
          <w:p w14:paraId="792D94C7"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64B18B08" w14:textId="77777777" w:rsidR="00453E26" w:rsidRPr="00CF31E0" w:rsidRDefault="00453E26" w:rsidP="00453E26">
            <w:pPr>
              <w:rPr>
                <w:color w:val="000000" w:themeColor="text1"/>
                <w:sz w:val="22"/>
                <w:szCs w:val="22"/>
              </w:rPr>
            </w:pPr>
          </w:p>
          <w:p w14:paraId="0A2F8B99"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5D0B3051" w14:textId="77777777" w:rsidR="00453E26" w:rsidRPr="00CF31E0" w:rsidRDefault="00453E26" w:rsidP="00453E26">
            <w:pPr>
              <w:rPr>
                <w:color w:val="000000" w:themeColor="text1"/>
                <w:sz w:val="22"/>
                <w:szCs w:val="22"/>
              </w:rPr>
            </w:pPr>
          </w:p>
          <w:p w14:paraId="1149750F"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4A1C8DED" w14:textId="77777777" w:rsidR="00453E26" w:rsidRPr="00CF31E0" w:rsidRDefault="00453E26" w:rsidP="00453E26">
            <w:pPr>
              <w:jc w:val="center"/>
              <w:rPr>
                <w:color w:val="000000" w:themeColor="text1"/>
                <w:sz w:val="22"/>
                <w:szCs w:val="22"/>
              </w:rPr>
            </w:pPr>
          </w:p>
          <w:p w14:paraId="447D8FE5"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p w14:paraId="20061305" w14:textId="77777777" w:rsidR="00453E26" w:rsidRPr="00CF31E0" w:rsidRDefault="00453E26" w:rsidP="00453E26">
            <w:pPr>
              <w:rPr>
                <w:color w:val="000000" w:themeColor="text1"/>
                <w:sz w:val="22"/>
                <w:szCs w:val="22"/>
              </w:rPr>
            </w:pPr>
          </w:p>
        </w:tc>
      </w:tr>
      <w:tr w:rsidR="008A1A4E" w:rsidRPr="00CF31E0" w14:paraId="79B4F38A" w14:textId="77777777" w:rsidTr="00603CB7">
        <w:trPr>
          <w:trHeight w:val="699"/>
        </w:trPr>
        <w:tc>
          <w:tcPr>
            <w:tcW w:w="4644" w:type="dxa"/>
          </w:tcPr>
          <w:p w14:paraId="3C573B3A" w14:textId="77777777" w:rsidR="00453E26" w:rsidRPr="00CF31E0" w:rsidRDefault="00453E26" w:rsidP="00453E26">
            <w:pPr>
              <w:rPr>
                <w:color w:val="000000" w:themeColor="text1"/>
                <w:sz w:val="22"/>
                <w:szCs w:val="22"/>
              </w:rPr>
            </w:pPr>
          </w:p>
          <w:p w14:paraId="798803F2" w14:textId="77777777" w:rsidR="00453E26" w:rsidRPr="00CF31E0" w:rsidRDefault="00453E26" w:rsidP="00453E26">
            <w:pPr>
              <w:rPr>
                <w:color w:val="000000" w:themeColor="text1"/>
                <w:sz w:val="22"/>
                <w:szCs w:val="22"/>
              </w:rPr>
            </w:pPr>
            <w:r w:rsidRPr="00CF31E0">
              <w:rPr>
                <w:color w:val="000000" w:themeColor="text1"/>
                <w:sz w:val="22"/>
                <w:szCs w:val="22"/>
              </w:rPr>
              <w:t xml:space="preserve">Difficult to understand </w:t>
            </w:r>
            <w:r w:rsidRPr="00CF31E0">
              <w:rPr>
                <w:color w:val="000000" w:themeColor="text1"/>
                <w:sz w:val="22"/>
                <w:szCs w:val="22"/>
                <w:lang w:val="en-US"/>
              </w:rPr>
              <w:t xml:space="preserve">the meaning of its words </w:t>
            </w:r>
          </w:p>
        </w:tc>
        <w:tc>
          <w:tcPr>
            <w:tcW w:w="567" w:type="dxa"/>
          </w:tcPr>
          <w:p w14:paraId="720C5FFC" w14:textId="77777777" w:rsidR="00453E26" w:rsidRPr="00CF31E0" w:rsidRDefault="00453E26" w:rsidP="00453E26">
            <w:pPr>
              <w:rPr>
                <w:color w:val="000000" w:themeColor="text1"/>
                <w:sz w:val="22"/>
                <w:szCs w:val="22"/>
              </w:rPr>
            </w:pPr>
          </w:p>
          <w:p w14:paraId="5FCB372A"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12102066" w14:textId="77777777" w:rsidR="00453E26" w:rsidRPr="00CF31E0" w:rsidRDefault="00453E26" w:rsidP="00453E26">
            <w:pPr>
              <w:rPr>
                <w:color w:val="000000" w:themeColor="text1"/>
                <w:sz w:val="22"/>
                <w:szCs w:val="22"/>
              </w:rPr>
            </w:pPr>
          </w:p>
          <w:p w14:paraId="0FB7B03D"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14F0DD11" w14:textId="77777777" w:rsidR="00453E26" w:rsidRPr="00CF31E0" w:rsidRDefault="00453E26" w:rsidP="00453E26">
            <w:pPr>
              <w:rPr>
                <w:color w:val="000000" w:themeColor="text1"/>
                <w:sz w:val="22"/>
                <w:szCs w:val="22"/>
              </w:rPr>
            </w:pPr>
          </w:p>
          <w:p w14:paraId="775DA4E5"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5E8BEF95" w14:textId="77777777" w:rsidR="00453E26" w:rsidRPr="00CF31E0" w:rsidRDefault="00453E26" w:rsidP="00453E26">
            <w:pPr>
              <w:rPr>
                <w:color w:val="000000" w:themeColor="text1"/>
                <w:sz w:val="22"/>
                <w:szCs w:val="22"/>
              </w:rPr>
            </w:pPr>
          </w:p>
          <w:p w14:paraId="397313DA"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0ECD5B2E" w14:textId="77777777" w:rsidR="00453E26" w:rsidRPr="00CF31E0" w:rsidRDefault="00453E26" w:rsidP="00453E26">
            <w:pPr>
              <w:rPr>
                <w:color w:val="000000" w:themeColor="text1"/>
                <w:sz w:val="22"/>
                <w:szCs w:val="22"/>
              </w:rPr>
            </w:pPr>
          </w:p>
          <w:p w14:paraId="772FA409"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tc>
      </w:tr>
      <w:tr w:rsidR="008A1A4E" w:rsidRPr="00CF31E0" w14:paraId="7E7697DB" w14:textId="77777777" w:rsidTr="00603CB7">
        <w:trPr>
          <w:trHeight w:val="729"/>
        </w:trPr>
        <w:tc>
          <w:tcPr>
            <w:tcW w:w="4644" w:type="dxa"/>
          </w:tcPr>
          <w:p w14:paraId="2DEFE228" w14:textId="77777777" w:rsidR="00453E26" w:rsidRPr="00CF31E0" w:rsidRDefault="00453E26" w:rsidP="00453E26">
            <w:pPr>
              <w:rPr>
                <w:color w:val="000000" w:themeColor="text1"/>
                <w:sz w:val="22"/>
                <w:szCs w:val="22"/>
              </w:rPr>
            </w:pPr>
          </w:p>
          <w:p w14:paraId="66C3D718" w14:textId="0D1CF2F2" w:rsidR="00453E26" w:rsidRPr="00CF31E0" w:rsidRDefault="001136D4" w:rsidP="00453E26">
            <w:pPr>
              <w:rPr>
                <w:color w:val="000000" w:themeColor="text1"/>
                <w:sz w:val="22"/>
                <w:szCs w:val="22"/>
              </w:rPr>
            </w:pPr>
            <w:r w:rsidRPr="00CF31E0">
              <w:rPr>
                <w:color w:val="000000" w:themeColor="text1"/>
                <w:sz w:val="22"/>
                <w:szCs w:val="22"/>
              </w:rPr>
              <w:t>C</w:t>
            </w:r>
            <w:r w:rsidR="00453E26" w:rsidRPr="00CF31E0">
              <w:rPr>
                <w:color w:val="000000" w:themeColor="text1"/>
                <w:sz w:val="22"/>
                <w:szCs w:val="22"/>
              </w:rPr>
              <w:t>om</w:t>
            </w:r>
            <w:r w:rsidRPr="00CF31E0">
              <w:rPr>
                <w:color w:val="000000" w:themeColor="text1"/>
                <w:sz w:val="22"/>
                <w:szCs w:val="22"/>
              </w:rPr>
              <w:t xml:space="preserve">mon in towns </w:t>
            </w:r>
          </w:p>
        </w:tc>
        <w:tc>
          <w:tcPr>
            <w:tcW w:w="567" w:type="dxa"/>
          </w:tcPr>
          <w:p w14:paraId="021FA743" w14:textId="77777777" w:rsidR="00453E26" w:rsidRPr="00CF31E0" w:rsidRDefault="00453E26" w:rsidP="00453E26">
            <w:pPr>
              <w:rPr>
                <w:color w:val="000000" w:themeColor="text1"/>
                <w:sz w:val="22"/>
                <w:szCs w:val="22"/>
              </w:rPr>
            </w:pPr>
          </w:p>
          <w:p w14:paraId="13606C44"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752625A6" w14:textId="77777777" w:rsidR="00453E26" w:rsidRPr="00CF31E0" w:rsidRDefault="00453E26" w:rsidP="00453E26">
            <w:pPr>
              <w:rPr>
                <w:color w:val="000000" w:themeColor="text1"/>
                <w:sz w:val="22"/>
                <w:szCs w:val="22"/>
              </w:rPr>
            </w:pPr>
          </w:p>
          <w:p w14:paraId="537F43F2"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545E714E" w14:textId="77777777" w:rsidR="00453E26" w:rsidRPr="00CF31E0" w:rsidRDefault="00453E26" w:rsidP="00453E26">
            <w:pPr>
              <w:rPr>
                <w:color w:val="000000" w:themeColor="text1"/>
                <w:sz w:val="22"/>
                <w:szCs w:val="22"/>
              </w:rPr>
            </w:pPr>
          </w:p>
          <w:p w14:paraId="462DA7BC"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6088AE70" w14:textId="77777777" w:rsidR="00453E26" w:rsidRPr="00CF31E0" w:rsidRDefault="00453E26" w:rsidP="00453E26">
            <w:pPr>
              <w:rPr>
                <w:color w:val="000000" w:themeColor="text1"/>
                <w:sz w:val="22"/>
                <w:szCs w:val="22"/>
              </w:rPr>
            </w:pPr>
          </w:p>
          <w:p w14:paraId="7698E20A"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6224944A" w14:textId="77777777" w:rsidR="00453E26" w:rsidRPr="00CF31E0" w:rsidRDefault="00453E26" w:rsidP="00453E26">
            <w:pPr>
              <w:jc w:val="center"/>
              <w:rPr>
                <w:color w:val="000000" w:themeColor="text1"/>
                <w:sz w:val="22"/>
                <w:szCs w:val="22"/>
              </w:rPr>
            </w:pPr>
          </w:p>
          <w:p w14:paraId="3059C20F"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tc>
      </w:tr>
      <w:tr w:rsidR="008A1A4E" w:rsidRPr="00CF31E0" w14:paraId="315822FF" w14:textId="77777777" w:rsidTr="00603CB7">
        <w:trPr>
          <w:trHeight w:val="699"/>
        </w:trPr>
        <w:tc>
          <w:tcPr>
            <w:tcW w:w="4644" w:type="dxa"/>
          </w:tcPr>
          <w:p w14:paraId="26ACA7AB" w14:textId="77777777" w:rsidR="00453E26" w:rsidRPr="00CF31E0" w:rsidRDefault="00453E26" w:rsidP="00453E26">
            <w:pPr>
              <w:rPr>
                <w:color w:val="000000" w:themeColor="text1"/>
                <w:sz w:val="22"/>
                <w:szCs w:val="22"/>
              </w:rPr>
            </w:pPr>
          </w:p>
          <w:p w14:paraId="48A90F61" w14:textId="77777777" w:rsidR="00453E26" w:rsidRPr="00CF31E0" w:rsidRDefault="00453E26" w:rsidP="00453E26">
            <w:pPr>
              <w:rPr>
                <w:color w:val="000000" w:themeColor="text1"/>
                <w:sz w:val="22"/>
                <w:szCs w:val="22"/>
              </w:rPr>
            </w:pPr>
            <w:r w:rsidRPr="00CF31E0">
              <w:rPr>
                <w:color w:val="000000" w:themeColor="text1"/>
                <w:sz w:val="22"/>
                <w:szCs w:val="22"/>
              </w:rPr>
              <w:t>Some of the letters are not produced from the proper sound targets</w:t>
            </w:r>
          </w:p>
        </w:tc>
        <w:tc>
          <w:tcPr>
            <w:tcW w:w="567" w:type="dxa"/>
          </w:tcPr>
          <w:p w14:paraId="18BFE84A" w14:textId="77777777" w:rsidR="00453E26" w:rsidRPr="00CF31E0" w:rsidRDefault="00453E26" w:rsidP="00453E26">
            <w:pPr>
              <w:rPr>
                <w:color w:val="000000" w:themeColor="text1"/>
                <w:sz w:val="22"/>
                <w:szCs w:val="22"/>
              </w:rPr>
            </w:pPr>
          </w:p>
          <w:p w14:paraId="153F0F84"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2F42EA02" w14:textId="77777777" w:rsidR="00453E26" w:rsidRPr="00CF31E0" w:rsidRDefault="00453E26" w:rsidP="00453E26">
            <w:pPr>
              <w:rPr>
                <w:color w:val="000000" w:themeColor="text1"/>
                <w:sz w:val="22"/>
                <w:szCs w:val="22"/>
              </w:rPr>
            </w:pPr>
          </w:p>
          <w:p w14:paraId="35182B44"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7B408FB0" w14:textId="77777777" w:rsidR="00453E26" w:rsidRPr="00CF31E0" w:rsidRDefault="00453E26" w:rsidP="00453E26">
            <w:pPr>
              <w:rPr>
                <w:color w:val="000000" w:themeColor="text1"/>
                <w:sz w:val="22"/>
                <w:szCs w:val="22"/>
              </w:rPr>
            </w:pPr>
          </w:p>
          <w:p w14:paraId="76D557C8"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719595CE" w14:textId="77777777" w:rsidR="00453E26" w:rsidRPr="00CF31E0" w:rsidRDefault="00453E26" w:rsidP="00453E26">
            <w:pPr>
              <w:rPr>
                <w:color w:val="000000" w:themeColor="text1"/>
                <w:sz w:val="22"/>
                <w:szCs w:val="22"/>
              </w:rPr>
            </w:pPr>
          </w:p>
          <w:p w14:paraId="12A0ED4F"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42BCB1B6" w14:textId="77777777" w:rsidR="00453E26" w:rsidRPr="00CF31E0" w:rsidRDefault="00453E26" w:rsidP="00453E26">
            <w:pPr>
              <w:rPr>
                <w:color w:val="000000" w:themeColor="text1"/>
                <w:sz w:val="22"/>
                <w:szCs w:val="22"/>
              </w:rPr>
            </w:pPr>
          </w:p>
          <w:p w14:paraId="5BFA6DEE"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tc>
      </w:tr>
      <w:tr w:rsidR="008A1A4E" w:rsidRPr="00CF31E0" w14:paraId="66C7A004" w14:textId="77777777" w:rsidTr="00603CB7">
        <w:trPr>
          <w:trHeight w:val="724"/>
        </w:trPr>
        <w:tc>
          <w:tcPr>
            <w:tcW w:w="4644" w:type="dxa"/>
          </w:tcPr>
          <w:p w14:paraId="1D435AD1" w14:textId="77777777" w:rsidR="00453E26" w:rsidRPr="00CF31E0" w:rsidRDefault="00453E26" w:rsidP="00453E26">
            <w:pPr>
              <w:rPr>
                <w:color w:val="000000" w:themeColor="text1"/>
                <w:sz w:val="22"/>
                <w:szCs w:val="22"/>
              </w:rPr>
            </w:pPr>
          </w:p>
          <w:p w14:paraId="3BFFD706" w14:textId="77777777" w:rsidR="00453E26" w:rsidRPr="00CF31E0" w:rsidRDefault="00453E26" w:rsidP="00453E26">
            <w:pPr>
              <w:rPr>
                <w:color w:val="000000" w:themeColor="text1"/>
                <w:sz w:val="22"/>
                <w:szCs w:val="22"/>
              </w:rPr>
            </w:pPr>
            <w:r w:rsidRPr="00CF31E0">
              <w:rPr>
                <w:color w:val="000000" w:themeColor="text1"/>
                <w:sz w:val="22"/>
                <w:szCs w:val="22"/>
              </w:rPr>
              <w:t>Signifies tribal loyalty</w:t>
            </w:r>
          </w:p>
        </w:tc>
        <w:tc>
          <w:tcPr>
            <w:tcW w:w="567" w:type="dxa"/>
          </w:tcPr>
          <w:p w14:paraId="60E8C583" w14:textId="77777777" w:rsidR="00453E26" w:rsidRPr="00CF31E0" w:rsidRDefault="00453E26" w:rsidP="00453E26">
            <w:pPr>
              <w:rPr>
                <w:color w:val="000000" w:themeColor="text1"/>
                <w:sz w:val="22"/>
                <w:szCs w:val="22"/>
              </w:rPr>
            </w:pPr>
          </w:p>
          <w:p w14:paraId="5CEE259A"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37257E2E" w14:textId="77777777" w:rsidR="00453E26" w:rsidRPr="00CF31E0" w:rsidRDefault="00453E26" w:rsidP="00453E26">
            <w:pPr>
              <w:rPr>
                <w:color w:val="000000" w:themeColor="text1"/>
                <w:sz w:val="22"/>
                <w:szCs w:val="22"/>
              </w:rPr>
            </w:pPr>
          </w:p>
          <w:p w14:paraId="34668081"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5B5CADE0" w14:textId="77777777" w:rsidR="00453E26" w:rsidRPr="00CF31E0" w:rsidRDefault="00453E26" w:rsidP="00453E26">
            <w:pPr>
              <w:rPr>
                <w:color w:val="000000" w:themeColor="text1"/>
                <w:sz w:val="22"/>
                <w:szCs w:val="22"/>
              </w:rPr>
            </w:pPr>
          </w:p>
          <w:p w14:paraId="0D87627D"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1DDA0F68" w14:textId="77777777" w:rsidR="00453E26" w:rsidRPr="00CF31E0" w:rsidRDefault="00453E26" w:rsidP="00453E26">
            <w:pPr>
              <w:rPr>
                <w:color w:val="000000" w:themeColor="text1"/>
                <w:sz w:val="22"/>
                <w:szCs w:val="22"/>
              </w:rPr>
            </w:pPr>
          </w:p>
          <w:p w14:paraId="518DD2E2"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48E01A97" w14:textId="77777777" w:rsidR="00453E26" w:rsidRPr="00CF31E0" w:rsidRDefault="00453E26" w:rsidP="00453E26">
            <w:pPr>
              <w:jc w:val="center"/>
              <w:rPr>
                <w:color w:val="000000" w:themeColor="text1"/>
                <w:sz w:val="22"/>
                <w:szCs w:val="22"/>
              </w:rPr>
            </w:pPr>
          </w:p>
          <w:p w14:paraId="586901AC"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p w14:paraId="4F721620" w14:textId="77777777" w:rsidR="00453E26" w:rsidRPr="00CF31E0" w:rsidRDefault="00453E26" w:rsidP="00453E26">
            <w:pPr>
              <w:rPr>
                <w:color w:val="000000" w:themeColor="text1"/>
                <w:sz w:val="22"/>
                <w:szCs w:val="22"/>
              </w:rPr>
            </w:pPr>
          </w:p>
        </w:tc>
      </w:tr>
      <w:tr w:rsidR="008A1A4E" w:rsidRPr="00CF31E0" w14:paraId="73DEE4AE" w14:textId="77777777" w:rsidTr="00603CB7">
        <w:trPr>
          <w:trHeight w:val="699"/>
        </w:trPr>
        <w:tc>
          <w:tcPr>
            <w:tcW w:w="4644" w:type="dxa"/>
          </w:tcPr>
          <w:p w14:paraId="1352A3DB" w14:textId="77777777" w:rsidR="00453E26" w:rsidRPr="00CF31E0" w:rsidRDefault="00453E26" w:rsidP="00453E26">
            <w:pPr>
              <w:rPr>
                <w:color w:val="000000" w:themeColor="text1"/>
                <w:sz w:val="22"/>
                <w:szCs w:val="22"/>
              </w:rPr>
            </w:pPr>
          </w:p>
          <w:p w14:paraId="6464B956" w14:textId="77777777" w:rsidR="00453E26" w:rsidRPr="00CF31E0" w:rsidRDefault="00453E26" w:rsidP="00453E26">
            <w:pPr>
              <w:rPr>
                <w:color w:val="000000" w:themeColor="text1"/>
                <w:sz w:val="22"/>
                <w:szCs w:val="22"/>
              </w:rPr>
            </w:pPr>
            <w:r w:rsidRPr="00CF31E0">
              <w:rPr>
                <w:color w:val="000000" w:themeColor="text1"/>
                <w:sz w:val="22"/>
                <w:szCs w:val="22"/>
              </w:rPr>
              <w:t>Modern</w:t>
            </w:r>
          </w:p>
        </w:tc>
        <w:tc>
          <w:tcPr>
            <w:tcW w:w="567" w:type="dxa"/>
          </w:tcPr>
          <w:p w14:paraId="0726FB9A" w14:textId="77777777" w:rsidR="00453E26" w:rsidRPr="00CF31E0" w:rsidRDefault="00453E26" w:rsidP="00453E26">
            <w:pPr>
              <w:rPr>
                <w:color w:val="000000" w:themeColor="text1"/>
                <w:sz w:val="22"/>
                <w:szCs w:val="22"/>
              </w:rPr>
            </w:pPr>
          </w:p>
          <w:p w14:paraId="7D8EF0DF"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6FBBA879" w14:textId="77777777" w:rsidR="00453E26" w:rsidRPr="00CF31E0" w:rsidRDefault="00453E26" w:rsidP="00453E26">
            <w:pPr>
              <w:rPr>
                <w:color w:val="000000" w:themeColor="text1"/>
                <w:sz w:val="22"/>
                <w:szCs w:val="22"/>
              </w:rPr>
            </w:pPr>
          </w:p>
          <w:p w14:paraId="0D3B27C4"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31713CC8" w14:textId="77777777" w:rsidR="00453E26" w:rsidRPr="00CF31E0" w:rsidRDefault="00453E26" w:rsidP="00453E26">
            <w:pPr>
              <w:rPr>
                <w:color w:val="000000" w:themeColor="text1"/>
                <w:sz w:val="22"/>
                <w:szCs w:val="22"/>
              </w:rPr>
            </w:pPr>
          </w:p>
          <w:p w14:paraId="60358F6F"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01CC79CF" w14:textId="77777777" w:rsidR="00453E26" w:rsidRPr="00CF31E0" w:rsidRDefault="00453E26" w:rsidP="00453E26">
            <w:pPr>
              <w:rPr>
                <w:color w:val="000000" w:themeColor="text1"/>
                <w:sz w:val="22"/>
                <w:szCs w:val="22"/>
              </w:rPr>
            </w:pPr>
          </w:p>
          <w:p w14:paraId="1C699D91"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1ACE9354" w14:textId="77777777" w:rsidR="00453E26" w:rsidRPr="00CF31E0" w:rsidRDefault="00453E26" w:rsidP="00453E26">
            <w:pPr>
              <w:rPr>
                <w:color w:val="000000" w:themeColor="text1"/>
                <w:sz w:val="22"/>
                <w:szCs w:val="22"/>
              </w:rPr>
            </w:pPr>
          </w:p>
          <w:p w14:paraId="01F6CB38"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tc>
      </w:tr>
      <w:tr w:rsidR="008A1A4E" w:rsidRPr="00CF31E0" w14:paraId="62C8AF65" w14:textId="77777777" w:rsidTr="00603CB7">
        <w:trPr>
          <w:trHeight w:val="724"/>
        </w:trPr>
        <w:tc>
          <w:tcPr>
            <w:tcW w:w="4644" w:type="dxa"/>
          </w:tcPr>
          <w:p w14:paraId="48F7D00A" w14:textId="77777777" w:rsidR="00453E26" w:rsidRPr="00CF31E0" w:rsidRDefault="00453E26" w:rsidP="00453E26">
            <w:pPr>
              <w:rPr>
                <w:color w:val="000000" w:themeColor="text1"/>
                <w:sz w:val="22"/>
                <w:szCs w:val="22"/>
              </w:rPr>
            </w:pPr>
          </w:p>
          <w:p w14:paraId="65F4DE88" w14:textId="16B8DF93" w:rsidR="00453E26" w:rsidRPr="00CF31E0" w:rsidRDefault="001136D4" w:rsidP="00453E26">
            <w:pPr>
              <w:rPr>
                <w:color w:val="000000" w:themeColor="text1"/>
                <w:sz w:val="22"/>
                <w:szCs w:val="22"/>
              </w:rPr>
            </w:pPr>
            <w:r w:rsidRPr="00CF31E0">
              <w:rPr>
                <w:color w:val="000000" w:themeColor="text1"/>
                <w:sz w:val="22"/>
                <w:szCs w:val="22"/>
              </w:rPr>
              <w:t>Easy to</w:t>
            </w:r>
            <w:r w:rsidR="00453E26" w:rsidRPr="00CF31E0">
              <w:rPr>
                <w:color w:val="000000" w:themeColor="text1"/>
                <w:sz w:val="22"/>
                <w:szCs w:val="22"/>
              </w:rPr>
              <w:t xml:space="preserve"> imitate</w:t>
            </w:r>
          </w:p>
        </w:tc>
        <w:tc>
          <w:tcPr>
            <w:tcW w:w="567" w:type="dxa"/>
          </w:tcPr>
          <w:p w14:paraId="7E09EB82" w14:textId="77777777" w:rsidR="00453E26" w:rsidRPr="00CF31E0" w:rsidRDefault="00453E26" w:rsidP="00453E26">
            <w:pPr>
              <w:rPr>
                <w:color w:val="000000" w:themeColor="text1"/>
                <w:sz w:val="22"/>
                <w:szCs w:val="22"/>
              </w:rPr>
            </w:pPr>
          </w:p>
          <w:p w14:paraId="5D9CCDD7"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6391956F" w14:textId="77777777" w:rsidR="00453E26" w:rsidRPr="00CF31E0" w:rsidRDefault="00453E26" w:rsidP="00453E26">
            <w:pPr>
              <w:rPr>
                <w:color w:val="000000" w:themeColor="text1"/>
                <w:sz w:val="22"/>
                <w:szCs w:val="22"/>
              </w:rPr>
            </w:pPr>
          </w:p>
          <w:p w14:paraId="631EA57A"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29BF3793" w14:textId="77777777" w:rsidR="00453E26" w:rsidRPr="00CF31E0" w:rsidRDefault="00453E26" w:rsidP="00453E26">
            <w:pPr>
              <w:rPr>
                <w:color w:val="000000" w:themeColor="text1"/>
                <w:sz w:val="22"/>
                <w:szCs w:val="22"/>
              </w:rPr>
            </w:pPr>
          </w:p>
          <w:p w14:paraId="27C3DEB7"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2043E3EE" w14:textId="77777777" w:rsidR="00453E26" w:rsidRPr="00CF31E0" w:rsidRDefault="00453E26" w:rsidP="00453E26">
            <w:pPr>
              <w:rPr>
                <w:color w:val="000000" w:themeColor="text1"/>
                <w:sz w:val="22"/>
                <w:szCs w:val="22"/>
              </w:rPr>
            </w:pPr>
          </w:p>
          <w:p w14:paraId="678BE5F1"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7D014F80" w14:textId="77777777" w:rsidR="00453E26" w:rsidRPr="00CF31E0" w:rsidRDefault="00453E26" w:rsidP="00453E26">
            <w:pPr>
              <w:jc w:val="center"/>
              <w:rPr>
                <w:color w:val="000000" w:themeColor="text1"/>
                <w:sz w:val="22"/>
                <w:szCs w:val="22"/>
              </w:rPr>
            </w:pPr>
          </w:p>
          <w:p w14:paraId="3653D27E"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p w14:paraId="48BF0251" w14:textId="77777777" w:rsidR="00453E26" w:rsidRPr="00CF31E0" w:rsidRDefault="00453E26" w:rsidP="00453E26">
            <w:pPr>
              <w:rPr>
                <w:color w:val="000000" w:themeColor="text1"/>
                <w:sz w:val="22"/>
                <w:szCs w:val="22"/>
              </w:rPr>
            </w:pPr>
          </w:p>
        </w:tc>
      </w:tr>
      <w:tr w:rsidR="008A1A4E" w:rsidRPr="00CF31E0" w14:paraId="20837699" w14:textId="77777777" w:rsidTr="00603CB7">
        <w:trPr>
          <w:trHeight w:val="699"/>
        </w:trPr>
        <w:tc>
          <w:tcPr>
            <w:tcW w:w="4644" w:type="dxa"/>
          </w:tcPr>
          <w:p w14:paraId="47FDAAF4" w14:textId="77777777" w:rsidR="00453E26" w:rsidRPr="00CF31E0" w:rsidRDefault="00453E26" w:rsidP="00453E26">
            <w:pPr>
              <w:rPr>
                <w:color w:val="000000" w:themeColor="text1"/>
                <w:sz w:val="22"/>
                <w:szCs w:val="22"/>
              </w:rPr>
            </w:pPr>
          </w:p>
          <w:p w14:paraId="699436BE" w14:textId="77777777" w:rsidR="00453E26" w:rsidRPr="00CF31E0" w:rsidRDefault="00453E26" w:rsidP="00453E26">
            <w:pPr>
              <w:rPr>
                <w:color w:val="000000" w:themeColor="text1"/>
                <w:sz w:val="22"/>
                <w:szCs w:val="22"/>
              </w:rPr>
            </w:pPr>
            <w:r w:rsidRPr="00CF31E0">
              <w:rPr>
                <w:color w:val="000000" w:themeColor="text1"/>
                <w:sz w:val="22"/>
                <w:szCs w:val="22"/>
              </w:rPr>
              <w:t>Masculine</w:t>
            </w:r>
          </w:p>
        </w:tc>
        <w:tc>
          <w:tcPr>
            <w:tcW w:w="567" w:type="dxa"/>
          </w:tcPr>
          <w:p w14:paraId="76050AA3" w14:textId="77777777" w:rsidR="00453E26" w:rsidRPr="00CF31E0" w:rsidRDefault="00453E26" w:rsidP="00453E26">
            <w:pPr>
              <w:rPr>
                <w:color w:val="000000" w:themeColor="text1"/>
                <w:sz w:val="22"/>
                <w:szCs w:val="22"/>
              </w:rPr>
            </w:pPr>
          </w:p>
          <w:p w14:paraId="3A75F378"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5A0A1DC8" w14:textId="77777777" w:rsidR="00453E26" w:rsidRPr="00CF31E0" w:rsidRDefault="00453E26" w:rsidP="00453E26">
            <w:pPr>
              <w:rPr>
                <w:color w:val="000000" w:themeColor="text1"/>
                <w:sz w:val="22"/>
                <w:szCs w:val="22"/>
              </w:rPr>
            </w:pPr>
          </w:p>
          <w:p w14:paraId="51255DAB"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2187450F" w14:textId="77777777" w:rsidR="00453E26" w:rsidRPr="00CF31E0" w:rsidRDefault="00453E26" w:rsidP="00453E26">
            <w:pPr>
              <w:rPr>
                <w:color w:val="000000" w:themeColor="text1"/>
                <w:sz w:val="22"/>
                <w:szCs w:val="22"/>
              </w:rPr>
            </w:pPr>
          </w:p>
          <w:p w14:paraId="5D71256B"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58B552F6" w14:textId="77777777" w:rsidR="00453E26" w:rsidRPr="00CF31E0" w:rsidRDefault="00453E26" w:rsidP="00453E26">
            <w:pPr>
              <w:rPr>
                <w:color w:val="000000" w:themeColor="text1"/>
                <w:sz w:val="22"/>
                <w:szCs w:val="22"/>
              </w:rPr>
            </w:pPr>
          </w:p>
          <w:p w14:paraId="3F3C8015"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0F0A81DE" w14:textId="77777777" w:rsidR="00453E26" w:rsidRPr="00CF31E0" w:rsidRDefault="00453E26" w:rsidP="00453E26">
            <w:pPr>
              <w:rPr>
                <w:color w:val="000000" w:themeColor="text1"/>
                <w:sz w:val="22"/>
                <w:szCs w:val="22"/>
              </w:rPr>
            </w:pPr>
          </w:p>
          <w:p w14:paraId="2124EC21"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tc>
      </w:tr>
      <w:tr w:rsidR="008A1A4E" w:rsidRPr="00CF31E0" w14:paraId="51BB17DC" w14:textId="77777777" w:rsidTr="00603CB7">
        <w:trPr>
          <w:trHeight w:val="702"/>
        </w:trPr>
        <w:tc>
          <w:tcPr>
            <w:tcW w:w="4644" w:type="dxa"/>
          </w:tcPr>
          <w:p w14:paraId="6E697F6E" w14:textId="77777777" w:rsidR="00453E26" w:rsidRPr="00CF31E0" w:rsidRDefault="00453E26" w:rsidP="00453E26">
            <w:pPr>
              <w:rPr>
                <w:color w:val="000000" w:themeColor="text1"/>
                <w:sz w:val="22"/>
                <w:szCs w:val="22"/>
              </w:rPr>
            </w:pPr>
          </w:p>
          <w:p w14:paraId="604A9379" w14:textId="77777777" w:rsidR="00453E26" w:rsidRPr="00CF31E0" w:rsidRDefault="00453E26" w:rsidP="00453E26">
            <w:pPr>
              <w:rPr>
                <w:color w:val="000000" w:themeColor="text1"/>
                <w:sz w:val="22"/>
                <w:szCs w:val="22"/>
              </w:rPr>
            </w:pPr>
            <w:r w:rsidRPr="00CF31E0">
              <w:rPr>
                <w:color w:val="000000" w:themeColor="text1"/>
                <w:sz w:val="22"/>
                <w:szCs w:val="22"/>
              </w:rPr>
              <w:t>Practical</w:t>
            </w:r>
          </w:p>
          <w:p w14:paraId="2808742E" w14:textId="77777777" w:rsidR="00453E26" w:rsidRPr="00CF31E0" w:rsidRDefault="00453E26" w:rsidP="00453E26">
            <w:pPr>
              <w:rPr>
                <w:color w:val="000000" w:themeColor="text1"/>
                <w:sz w:val="22"/>
                <w:szCs w:val="22"/>
              </w:rPr>
            </w:pPr>
            <w:r w:rsidRPr="00CF31E0">
              <w:rPr>
                <w:color w:val="000000" w:themeColor="text1"/>
                <w:sz w:val="22"/>
                <w:szCs w:val="22"/>
              </w:rPr>
              <w:t xml:space="preserve"> </w:t>
            </w:r>
          </w:p>
        </w:tc>
        <w:tc>
          <w:tcPr>
            <w:tcW w:w="567" w:type="dxa"/>
          </w:tcPr>
          <w:p w14:paraId="675DDFC7" w14:textId="77777777" w:rsidR="00453E26" w:rsidRPr="00CF31E0" w:rsidRDefault="00453E26" w:rsidP="00453E26">
            <w:pPr>
              <w:rPr>
                <w:color w:val="000000" w:themeColor="text1"/>
                <w:sz w:val="22"/>
                <w:szCs w:val="22"/>
              </w:rPr>
            </w:pPr>
          </w:p>
          <w:p w14:paraId="175EB1AF"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26D338A1" w14:textId="77777777" w:rsidR="00453E26" w:rsidRPr="00CF31E0" w:rsidRDefault="00453E26" w:rsidP="00453E26">
            <w:pPr>
              <w:rPr>
                <w:color w:val="000000" w:themeColor="text1"/>
                <w:sz w:val="22"/>
                <w:szCs w:val="22"/>
              </w:rPr>
            </w:pPr>
          </w:p>
          <w:p w14:paraId="103038DB"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2501DE29" w14:textId="77777777" w:rsidR="00453E26" w:rsidRPr="00CF31E0" w:rsidRDefault="00453E26" w:rsidP="00453E26">
            <w:pPr>
              <w:rPr>
                <w:color w:val="000000" w:themeColor="text1"/>
                <w:sz w:val="22"/>
                <w:szCs w:val="22"/>
              </w:rPr>
            </w:pPr>
          </w:p>
          <w:p w14:paraId="53B49200"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5151F24D" w14:textId="77777777" w:rsidR="00453E26" w:rsidRPr="00CF31E0" w:rsidRDefault="00453E26" w:rsidP="00453E26">
            <w:pPr>
              <w:rPr>
                <w:color w:val="000000" w:themeColor="text1"/>
                <w:sz w:val="22"/>
                <w:szCs w:val="22"/>
              </w:rPr>
            </w:pPr>
          </w:p>
          <w:p w14:paraId="4FC947D1"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77D50094" w14:textId="77777777" w:rsidR="00453E26" w:rsidRPr="00CF31E0" w:rsidRDefault="00453E26" w:rsidP="00453E26">
            <w:pPr>
              <w:jc w:val="center"/>
              <w:rPr>
                <w:color w:val="000000" w:themeColor="text1"/>
                <w:sz w:val="22"/>
                <w:szCs w:val="22"/>
              </w:rPr>
            </w:pPr>
          </w:p>
          <w:p w14:paraId="41841DEF"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p w14:paraId="047D3085" w14:textId="77777777" w:rsidR="00453E26" w:rsidRPr="00CF31E0" w:rsidRDefault="00453E26" w:rsidP="00453E26">
            <w:pPr>
              <w:rPr>
                <w:color w:val="000000" w:themeColor="text1"/>
                <w:sz w:val="22"/>
                <w:szCs w:val="22"/>
              </w:rPr>
            </w:pPr>
          </w:p>
        </w:tc>
      </w:tr>
      <w:tr w:rsidR="008A1A4E" w:rsidRPr="00CF31E0" w14:paraId="5F542E35" w14:textId="77777777" w:rsidTr="00603CB7">
        <w:trPr>
          <w:trHeight w:val="699"/>
        </w:trPr>
        <w:tc>
          <w:tcPr>
            <w:tcW w:w="4644" w:type="dxa"/>
          </w:tcPr>
          <w:p w14:paraId="118F3FF2" w14:textId="77777777" w:rsidR="00453E26" w:rsidRPr="00CF31E0" w:rsidRDefault="00453E26" w:rsidP="00453E26">
            <w:pPr>
              <w:rPr>
                <w:color w:val="000000" w:themeColor="text1"/>
                <w:sz w:val="22"/>
                <w:szCs w:val="22"/>
              </w:rPr>
            </w:pPr>
          </w:p>
          <w:p w14:paraId="3F94E568" w14:textId="77777777" w:rsidR="00453E26" w:rsidRPr="00CF31E0" w:rsidRDefault="00453E26" w:rsidP="00453E26">
            <w:pPr>
              <w:rPr>
                <w:color w:val="000000" w:themeColor="text1"/>
                <w:sz w:val="22"/>
                <w:szCs w:val="22"/>
              </w:rPr>
            </w:pPr>
            <w:r w:rsidRPr="00CF31E0">
              <w:rPr>
                <w:color w:val="000000" w:themeColor="text1"/>
                <w:sz w:val="22"/>
                <w:szCs w:val="22"/>
              </w:rPr>
              <w:t>Closer to modern standard Arabic (MSA)</w:t>
            </w:r>
          </w:p>
          <w:p w14:paraId="4E318CFD" w14:textId="77777777" w:rsidR="00453E26" w:rsidRPr="00CF31E0" w:rsidRDefault="00453E26" w:rsidP="00453E26">
            <w:pPr>
              <w:rPr>
                <w:color w:val="000000" w:themeColor="text1"/>
                <w:sz w:val="22"/>
                <w:szCs w:val="22"/>
                <w:lang w:val="en-US"/>
              </w:rPr>
            </w:pPr>
          </w:p>
        </w:tc>
        <w:tc>
          <w:tcPr>
            <w:tcW w:w="567" w:type="dxa"/>
          </w:tcPr>
          <w:p w14:paraId="5DFAA751" w14:textId="77777777" w:rsidR="00453E26" w:rsidRPr="00CF31E0" w:rsidRDefault="00453E26" w:rsidP="00453E26">
            <w:pPr>
              <w:rPr>
                <w:color w:val="000000" w:themeColor="text1"/>
                <w:sz w:val="22"/>
                <w:szCs w:val="22"/>
              </w:rPr>
            </w:pPr>
          </w:p>
          <w:p w14:paraId="73F1AD5B"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19948195" w14:textId="77777777" w:rsidR="00453E26" w:rsidRPr="00CF31E0" w:rsidRDefault="00453E26" w:rsidP="00453E26">
            <w:pPr>
              <w:rPr>
                <w:color w:val="000000" w:themeColor="text1"/>
                <w:sz w:val="22"/>
                <w:szCs w:val="22"/>
              </w:rPr>
            </w:pPr>
          </w:p>
          <w:p w14:paraId="713BFED4"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25ABF2B8" w14:textId="77777777" w:rsidR="00453E26" w:rsidRPr="00CF31E0" w:rsidRDefault="00453E26" w:rsidP="00453E26">
            <w:pPr>
              <w:rPr>
                <w:color w:val="000000" w:themeColor="text1"/>
                <w:sz w:val="22"/>
                <w:szCs w:val="22"/>
              </w:rPr>
            </w:pPr>
          </w:p>
          <w:p w14:paraId="508B3F4E"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09087199" w14:textId="77777777" w:rsidR="00453E26" w:rsidRPr="00CF31E0" w:rsidRDefault="00453E26" w:rsidP="00453E26">
            <w:pPr>
              <w:rPr>
                <w:color w:val="000000" w:themeColor="text1"/>
                <w:sz w:val="22"/>
                <w:szCs w:val="22"/>
              </w:rPr>
            </w:pPr>
          </w:p>
          <w:p w14:paraId="23FAC164"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65D9E5C1" w14:textId="77777777" w:rsidR="00453E26" w:rsidRPr="00CF31E0" w:rsidRDefault="00453E26" w:rsidP="00453E26">
            <w:pPr>
              <w:rPr>
                <w:color w:val="000000" w:themeColor="text1"/>
                <w:sz w:val="22"/>
                <w:szCs w:val="22"/>
              </w:rPr>
            </w:pPr>
          </w:p>
          <w:p w14:paraId="73500171"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tc>
      </w:tr>
      <w:tr w:rsidR="008A1A4E" w:rsidRPr="00CF31E0" w14:paraId="47F2A228" w14:textId="77777777" w:rsidTr="00603CB7">
        <w:trPr>
          <w:trHeight w:val="724"/>
        </w:trPr>
        <w:tc>
          <w:tcPr>
            <w:tcW w:w="4644" w:type="dxa"/>
          </w:tcPr>
          <w:p w14:paraId="3B7D7F25" w14:textId="77777777" w:rsidR="00453E26" w:rsidRPr="00CF31E0" w:rsidRDefault="00453E26" w:rsidP="00453E26">
            <w:pPr>
              <w:rPr>
                <w:color w:val="000000" w:themeColor="text1"/>
                <w:sz w:val="22"/>
                <w:szCs w:val="22"/>
              </w:rPr>
            </w:pPr>
          </w:p>
          <w:p w14:paraId="58838AC0" w14:textId="77777777" w:rsidR="00453E26" w:rsidRPr="00CF31E0" w:rsidRDefault="00453E26" w:rsidP="00453E26">
            <w:pPr>
              <w:rPr>
                <w:color w:val="000000" w:themeColor="text1"/>
                <w:sz w:val="22"/>
                <w:szCs w:val="22"/>
              </w:rPr>
            </w:pPr>
            <w:r w:rsidRPr="00CF31E0">
              <w:rPr>
                <w:color w:val="000000" w:themeColor="text1"/>
                <w:sz w:val="22"/>
                <w:szCs w:val="22"/>
              </w:rPr>
              <w:t xml:space="preserve">Easily understood by Arabs other than Saudis  </w:t>
            </w:r>
          </w:p>
        </w:tc>
        <w:tc>
          <w:tcPr>
            <w:tcW w:w="567" w:type="dxa"/>
          </w:tcPr>
          <w:p w14:paraId="496EDF8F" w14:textId="77777777" w:rsidR="00453E26" w:rsidRPr="00CF31E0" w:rsidRDefault="00453E26" w:rsidP="00453E26">
            <w:pPr>
              <w:rPr>
                <w:color w:val="000000" w:themeColor="text1"/>
                <w:sz w:val="22"/>
                <w:szCs w:val="22"/>
              </w:rPr>
            </w:pPr>
          </w:p>
          <w:p w14:paraId="3D835BCC"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73657BB2" w14:textId="77777777" w:rsidR="00453E26" w:rsidRPr="00CF31E0" w:rsidRDefault="00453E26" w:rsidP="00453E26">
            <w:pPr>
              <w:rPr>
                <w:color w:val="000000" w:themeColor="text1"/>
                <w:sz w:val="22"/>
                <w:szCs w:val="22"/>
              </w:rPr>
            </w:pPr>
          </w:p>
          <w:p w14:paraId="17474CA9"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25549F93" w14:textId="77777777" w:rsidR="00453E26" w:rsidRPr="00CF31E0" w:rsidRDefault="00453E26" w:rsidP="00453E26">
            <w:pPr>
              <w:rPr>
                <w:color w:val="000000" w:themeColor="text1"/>
                <w:sz w:val="22"/>
                <w:szCs w:val="22"/>
              </w:rPr>
            </w:pPr>
          </w:p>
          <w:p w14:paraId="3A7A9C60"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0CCDDDC7" w14:textId="77777777" w:rsidR="00453E26" w:rsidRPr="00CF31E0" w:rsidRDefault="00453E26" w:rsidP="00453E26">
            <w:pPr>
              <w:rPr>
                <w:color w:val="000000" w:themeColor="text1"/>
                <w:sz w:val="22"/>
                <w:szCs w:val="22"/>
              </w:rPr>
            </w:pPr>
          </w:p>
          <w:p w14:paraId="50C1D908"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37AFFB85" w14:textId="77777777" w:rsidR="00453E26" w:rsidRPr="00CF31E0" w:rsidRDefault="00453E26" w:rsidP="00453E26">
            <w:pPr>
              <w:jc w:val="center"/>
              <w:rPr>
                <w:color w:val="000000" w:themeColor="text1"/>
                <w:sz w:val="22"/>
                <w:szCs w:val="22"/>
              </w:rPr>
            </w:pPr>
          </w:p>
          <w:p w14:paraId="75510191"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p w14:paraId="3FB6193A" w14:textId="77777777" w:rsidR="00453E26" w:rsidRPr="00CF31E0" w:rsidRDefault="00453E26" w:rsidP="00453E26">
            <w:pPr>
              <w:rPr>
                <w:color w:val="000000" w:themeColor="text1"/>
                <w:sz w:val="22"/>
                <w:szCs w:val="22"/>
              </w:rPr>
            </w:pPr>
          </w:p>
        </w:tc>
      </w:tr>
      <w:tr w:rsidR="00453E26" w:rsidRPr="00CF31E0" w14:paraId="4C40F451" w14:textId="77777777" w:rsidTr="00603CB7">
        <w:trPr>
          <w:trHeight w:val="724"/>
        </w:trPr>
        <w:tc>
          <w:tcPr>
            <w:tcW w:w="4644" w:type="dxa"/>
          </w:tcPr>
          <w:p w14:paraId="4243BB70" w14:textId="77777777" w:rsidR="00453E26" w:rsidRPr="00CF31E0" w:rsidRDefault="00453E26" w:rsidP="00453E26">
            <w:pPr>
              <w:rPr>
                <w:color w:val="000000" w:themeColor="text1"/>
                <w:sz w:val="22"/>
                <w:szCs w:val="22"/>
              </w:rPr>
            </w:pPr>
          </w:p>
          <w:p w14:paraId="3B7A8889" w14:textId="77777777" w:rsidR="00453E26" w:rsidRPr="00CF31E0" w:rsidRDefault="00453E26" w:rsidP="00453E26">
            <w:pPr>
              <w:rPr>
                <w:color w:val="000000" w:themeColor="text1"/>
                <w:sz w:val="22"/>
                <w:szCs w:val="22"/>
              </w:rPr>
            </w:pPr>
            <w:r w:rsidRPr="00CF31E0">
              <w:rPr>
                <w:color w:val="000000" w:themeColor="text1"/>
                <w:sz w:val="22"/>
                <w:szCs w:val="22"/>
              </w:rPr>
              <w:t xml:space="preserve">Traditional </w:t>
            </w:r>
          </w:p>
        </w:tc>
        <w:tc>
          <w:tcPr>
            <w:tcW w:w="567" w:type="dxa"/>
          </w:tcPr>
          <w:p w14:paraId="66D4C93B" w14:textId="77777777" w:rsidR="00453E26" w:rsidRPr="00CF31E0" w:rsidRDefault="00453E26" w:rsidP="00453E26">
            <w:pPr>
              <w:rPr>
                <w:color w:val="000000" w:themeColor="text1"/>
                <w:sz w:val="22"/>
                <w:szCs w:val="22"/>
              </w:rPr>
            </w:pPr>
          </w:p>
          <w:p w14:paraId="0C38D7FE"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7BC2F2E7" w14:textId="77777777" w:rsidR="00453E26" w:rsidRPr="00CF31E0" w:rsidRDefault="00453E26" w:rsidP="00453E26">
            <w:pPr>
              <w:rPr>
                <w:color w:val="000000" w:themeColor="text1"/>
                <w:sz w:val="22"/>
                <w:szCs w:val="22"/>
              </w:rPr>
            </w:pPr>
          </w:p>
          <w:p w14:paraId="00ED7AA3"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3186764A" w14:textId="77777777" w:rsidR="00453E26" w:rsidRPr="00CF31E0" w:rsidRDefault="00453E26" w:rsidP="00453E26">
            <w:pPr>
              <w:rPr>
                <w:color w:val="000000" w:themeColor="text1"/>
                <w:sz w:val="22"/>
                <w:szCs w:val="22"/>
              </w:rPr>
            </w:pPr>
          </w:p>
          <w:p w14:paraId="0E74BBC5"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2F542D1A" w14:textId="77777777" w:rsidR="00453E26" w:rsidRPr="00CF31E0" w:rsidRDefault="00453E26" w:rsidP="00453E26">
            <w:pPr>
              <w:rPr>
                <w:color w:val="000000" w:themeColor="text1"/>
                <w:sz w:val="22"/>
                <w:szCs w:val="22"/>
              </w:rPr>
            </w:pPr>
          </w:p>
          <w:p w14:paraId="4B5306F0"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4B3E0821" w14:textId="77777777" w:rsidR="00453E26" w:rsidRPr="00CF31E0" w:rsidRDefault="00453E26" w:rsidP="00453E26">
            <w:pPr>
              <w:jc w:val="center"/>
              <w:rPr>
                <w:color w:val="000000" w:themeColor="text1"/>
                <w:sz w:val="22"/>
                <w:szCs w:val="22"/>
              </w:rPr>
            </w:pPr>
          </w:p>
          <w:p w14:paraId="25CAC18B"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p w14:paraId="6E6FA605" w14:textId="77777777" w:rsidR="00453E26" w:rsidRPr="00CF31E0" w:rsidRDefault="00453E26" w:rsidP="00453E26">
            <w:pPr>
              <w:rPr>
                <w:color w:val="000000" w:themeColor="text1"/>
                <w:sz w:val="22"/>
                <w:szCs w:val="22"/>
              </w:rPr>
            </w:pPr>
          </w:p>
        </w:tc>
      </w:tr>
    </w:tbl>
    <w:p w14:paraId="50C90DDD" w14:textId="77777777" w:rsidR="00453E26" w:rsidRPr="00CF31E0" w:rsidRDefault="00453E26" w:rsidP="00603CB7">
      <w:pPr>
        <w:pStyle w:val="ListParagraph"/>
        <w:spacing w:before="400" w:line="360" w:lineRule="auto"/>
        <w:ind w:left="780"/>
        <w:contextualSpacing w:val="0"/>
        <w:jc w:val="both"/>
        <w:rPr>
          <w:rFonts w:asciiTheme="majorBidi" w:eastAsia="MS Mincho" w:hAnsiTheme="majorBidi" w:cstheme="majorBidi"/>
          <w:b/>
          <w:color w:val="000000" w:themeColor="text1"/>
        </w:rPr>
      </w:pPr>
    </w:p>
    <w:p w14:paraId="4C25BA31" w14:textId="77777777" w:rsidR="00453E26" w:rsidRPr="00CF31E0" w:rsidRDefault="00453E26" w:rsidP="00603CB7">
      <w:pPr>
        <w:pStyle w:val="ListParagraph"/>
        <w:spacing w:before="400" w:line="360" w:lineRule="auto"/>
        <w:ind w:left="780"/>
        <w:contextualSpacing w:val="0"/>
        <w:jc w:val="both"/>
        <w:rPr>
          <w:rFonts w:asciiTheme="majorBidi" w:eastAsia="MS Mincho" w:hAnsiTheme="majorBidi" w:cstheme="majorBidi"/>
          <w:b/>
          <w:color w:val="000000" w:themeColor="text1"/>
        </w:rPr>
      </w:pPr>
    </w:p>
    <w:p w14:paraId="5E64BAA6" w14:textId="77777777" w:rsidR="00453E26" w:rsidRPr="00CF31E0" w:rsidRDefault="00453E26" w:rsidP="00603CB7">
      <w:pPr>
        <w:pStyle w:val="ListParagraph"/>
        <w:spacing w:before="400" w:line="360" w:lineRule="auto"/>
        <w:ind w:left="780"/>
        <w:contextualSpacing w:val="0"/>
        <w:jc w:val="both"/>
        <w:rPr>
          <w:rFonts w:asciiTheme="majorBidi" w:eastAsia="MS Mincho" w:hAnsiTheme="majorBidi" w:cstheme="majorBidi"/>
          <w:b/>
          <w:color w:val="000000" w:themeColor="text1"/>
        </w:rPr>
      </w:pPr>
    </w:p>
    <w:p w14:paraId="59594BC5" w14:textId="77777777" w:rsidR="00453E26" w:rsidRPr="00CF31E0" w:rsidRDefault="00453E26" w:rsidP="00603CB7">
      <w:pPr>
        <w:pStyle w:val="ListParagraph"/>
        <w:spacing w:before="400" w:line="360" w:lineRule="auto"/>
        <w:ind w:left="780"/>
        <w:contextualSpacing w:val="0"/>
        <w:jc w:val="both"/>
        <w:rPr>
          <w:rFonts w:asciiTheme="majorBidi" w:eastAsia="MS Mincho" w:hAnsiTheme="majorBidi" w:cstheme="majorBidi"/>
          <w:b/>
          <w:color w:val="000000" w:themeColor="text1"/>
        </w:rPr>
      </w:pPr>
    </w:p>
    <w:p w14:paraId="51BC99C2" w14:textId="77777777" w:rsidR="00453E26" w:rsidRPr="00CF31E0" w:rsidRDefault="00453E26" w:rsidP="00603CB7">
      <w:pPr>
        <w:pStyle w:val="ListParagraph"/>
        <w:spacing w:before="400" w:line="360" w:lineRule="auto"/>
        <w:ind w:left="780"/>
        <w:contextualSpacing w:val="0"/>
        <w:jc w:val="both"/>
        <w:rPr>
          <w:rFonts w:asciiTheme="majorBidi" w:eastAsia="MS Mincho" w:hAnsiTheme="majorBidi" w:cstheme="majorBidi"/>
          <w:b/>
          <w:color w:val="000000" w:themeColor="text1"/>
        </w:rPr>
      </w:pPr>
    </w:p>
    <w:p w14:paraId="4B639579" w14:textId="77777777" w:rsidR="00453E26" w:rsidRPr="00CF31E0" w:rsidRDefault="00453E26" w:rsidP="00603CB7">
      <w:pPr>
        <w:pStyle w:val="ListParagraph"/>
        <w:spacing w:before="400" w:line="360" w:lineRule="auto"/>
        <w:ind w:left="780"/>
        <w:contextualSpacing w:val="0"/>
        <w:jc w:val="both"/>
        <w:rPr>
          <w:rFonts w:asciiTheme="majorBidi" w:eastAsia="MS Mincho" w:hAnsiTheme="majorBidi" w:cstheme="majorBidi"/>
          <w:b/>
          <w:color w:val="000000" w:themeColor="text1"/>
        </w:rPr>
      </w:pPr>
    </w:p>
    <w:p w14:paraId="466A0F4F" w14:textId="77777777" w:rsidR="00453E26" w:rsidRPr="00CF31E0" w:rsidRDefault="00453E26" w:rsidP="00603CB7">
      <w:pPr>
        <w:pStyle w:val="ListParagraph"/>
        <w:spacing w:before="400" w:line="360" w:lineRule="auto"/>
        <w:ind w:left="780"/>
        <w:contextualSpacing w:val="0"/>
        <w:jc w:val="both"/>
        <w:rPr>
          <w:rFonts w:asciiTheme="majorBidi" w:eastAsia="MS Mincho" w:hAnsiTheme="majorBidi" w:cstheme="majorBidi"/>
          <w:b/>
          <w:color w:val="000000" w:themeColor="text1"/>
        </w:rPr>
      </w:pPr>
    </w:p>
    <w:p w14:paraId="6DDA270F" w14:textId="77777777" w:rsidR="00453E26" w:rsidRPr="00CF31E0" w:rsidRDefault="00453E26" w:rsidP="00603CB7">
      <w:pPr>
        <w:pStyle w:val="ListParagraph"/>
        <w:spacing w:before="400" w:line="360" w:lineRule="auto"/>
        <w:ind w:left="780"/>
        <w:contextualSpacing w:val="0"/>
        <w:jc w:val="both"/>
        <w:rPr>
          <w:rFonts w:asciiTheme="majorBidi" w:eastAsia="MS Mincho" w:hAnsiTheme="majorBidi" w:cstheme="majorBidi"/>
          <w:b/>
          <w:color w:val="000000" w:themeColor="text1"/>
        </w:rPr>
      </w:pPr>
    </w:p>
    <w:p w14:paraId="3D68670E" w14:textId="77777777" w:rsidR="001136D4" w:rsidRPr="00CF31E0" w:rsidRDefault="001136D4" w:rsidP="00603CB7">
      <w:pPr>
        <w:pStyle w:val="ListParagraph"/>
        <w:spacing w:before="400" w:line="360" w:lineRule="auto"/>
        <w:ind w:left="780"/>
        <w:contextualSpacing w:val="0"/>
        <w:jc w:val="both"/>
        <w:rPr>
          <w:rFonts w:asciiTheme="majorBidi" w:eastAsia="MS Mincho" w:hAnsiTheme="majorBidi" w:cstheme="majorBidi"/>
          <w:b/>
          <w:color w:val="000000" w:themeColor="text1"/>
        </w:rPr>
      </w:pPr>
    </w:p>
    <w:p w14:paraId="1F59B518" w14:textId="77777777" w:rsidR="00453E26" w:rsidRPr="00CF31E0" w:rsidRDefault="00453E26" w:rsidP="00DF1804">
      <w:pPr>
        <w:pStyle w:val="ListParagraph"/>
        <w:numPr>
          <w:ilvl w:val="0"/>
          <w:numId w:val="68"/>
        </w:numPr>
        <w:spacing w:before="400" w:line="360" w:lineRule="auto"/>
        <w:contextualSpacing w:val="0"/>
        <w:jc w:val="both"/>
        <w:rPr>
          <w:rFonts w:asciiTheme="majorBidi" w:eastAsia="MS Mincho" w:hAnsiTheme="majorBidi" w:cstheme="majorBidi"/>
          <w:b/>
          <w:color w:val="000000" w:themeColor="text1"/>
        </w:rPr>
      </w:pPr>
      <w:r w:rsidRPr="00CF31E0">
        <w:rPr>
          <w:rFonts w:asciiTheme="majorBidi" w:eastAsia="MS Mincho" w:hAnsiTheme="majorBidi" w:cstheme="majorBidi"/>
          <w:b/>
          <w:color w:val="000000" w:themeColor="text1"/>
        </w:rPr>
        <w:lastRenderedPageBreak/>
        <w:t>HH dialect</w:t>
      </w:r>
    </w:p>
    <w:p w14:paraId="43403052" w14:textId="77777777" w:rsidR="00453E26" w:rsidRPr="00CF31E0" w:rsidRDefault="00453E26" w:rsidP="00DC699C">
      <w:pPr>
        <w:pStyle w:val="ListParagraph"/>
        <w:numPr>
          <w:ilvl w:val="0"/>
          <w:numId w:val="56"/>
        </w:numPr>
        <w:spacing w:before="400" w:after="400" w:line="360" w:lineRule="auto"/>
        <w:ind w:left="357" w:hanging="357"/>
        <w:contextualSpacing w:val="0"/>
        <w:rPr>
          <w:rFonts w:asciiTheme="majorBidi" w:eastAsia="MS Mincho" w:hAnsiTheme="majorBidi" w:cstheme="majorBidi"/>
          <w:color w:val="000000" w:themeColor="text1"/>
        </w:rPr>
      </w:pPr>
      <w:r w:rsidRPr="00CF31E0">
        <w:rPr>
          <w:rFonts w:asciiTheme="majorBidi" w:eastAsia="MS Mincho" w:hAnsiTheme="majorBidi" w:cstheme="majorBidi"/>
          <w:color w:val="000000" w:themeColor="text1"/>
        </w:rPr>
        <w:t>Please think of the UBH dialect in the Hijaz region, and check off how each characteristic applies to the UBH dialect. There are two opposing labels provided with each characteristic (most, least).</w:t>
      </w:r>
    </w:p>
    <w:p w14:paraId="108A955B" w14:textId="4769A4C3" w:rsidR="00453E26" w:rsidRPr="00CF31E0" w:rsidRDefault="00453E26" w:rsidP="00453E26">
      <w:pPr>
        <w:pStyle w:val="ListParagraph"/>
        <w:spacing w:before="400" w:line="360" w:lineRule="auto"/>
        <w:jc w:val="both"/>
        <w:rPr>
          <w:rFonts w:asciiTheme="majorBidi" w:eastAsia="MS Mincho" w:hAnsiTheme="majorBidi" w:cstheme="majorBidi"/>
          <w:b/>
          <w:bCs/>
          <w:color w:val="000000" w:themeColor="text1"/>
        </w:rPr>
      </w:pPr>
      <w:r w:rsidRPr="00CF31E0">
        <w:rPr>
          <w:rFonts w:asciiTheme="majorBidi" w:eastAsia="MS Mincho" w:hAnsiTheme="majorBidi" w:cstheme="majorBidi"/>
          <w:color w:val="000000" w:themeColor="text1"/>
        </w:rPr>
        <w:tab/>
      </w:r>
      <w:r w:rsidRPr="00CF31E0">
        <w:rPr>
          <w:rFonts w:asciiTheme="majorBidi" w:eastAsia="MS Mincho" w:hAnsiTheme="majorBidi" w:cstheme="majorBidi"/>
          <w:color w:val="000000" w:themeColor="text1"/>
        </w:rPr>
        <w:tab/>
      </w:r>
      <w:r w:rsidRPr="00CF31E0">
        <w:rPr>
          <w:rFonts w:asciiTheme="majorBidi" w:eastAsia="MS Mincho" w:hAnsiTheme="majorBidi" w:cstheme="majorBidi"/>
          <w:color w:val="000000" w:themeColor="text1"/>
        </w:rPr>
        <w:tab/>
      </w:r>
      <w:r w:rsidRPr="00CF31E0">
        <w:rPr>
          <w:rFonts w:asciiTheme="majorBidi" w:eastAsia="MS Mincho" w:hAnsiTheme="majorBidi" w:cstheme="majorBidi"/>
          <w:color w:val="000000" w:themeColor="text1"/>
        </w:rPr>
        <w:tab/>
      </w:r>
      <w:r w:rsidRPr="00CF31E0">
        <w:rPr>
          <w:rFonts w:asciiTheme="majorBidi" w:eastAsia="MS Mincho" w:hAnsiTheme="majorBidi" w:cstheme="majorBidi"/>
          <w:color w:val="000000" w:themeColor="text1"/>
        </w:rPr>
        <w:tab/>
      </w:r>
      <w:r w:rsidR="00C16AD3" w:rsidRPr="00CF31E0">
        <w:rPr>
          <w:rFonts w:asciiTheme="majorBidi" w:eastAsia="MS Mincho" w:hAnsiTheme="majorBidi" w:cstheme="majorBidi"/>
          <w:b/>
          <w:bCs/>
          <w:color w:val="000000" w:themeColor="text1"/>
        </w:rPr>
        <w:t xml:space="preserve"> </w:t>
      </w:r>
      <w:r w:rsidRPr="00CF31E0">
        <w:rPr>
          <w:rFonts w:asciiTheme="majorBidi" w:eastAsia="MS Mincho" w:hAnsiTheme="majorBidi" w:cstheme="majorBidi"/>
          <w:b/>
          <w:bCs/>
          <w:color w:val="000000" w:themeColor="text1"/>
        </w:rPr>
        <w:t>Least_______________Most</w:t>
      </w:r>
    </w:p>
    <w:tbl>
      <w:tblPr>
        <w:tblStyle w:val="TableGrid8"/>
        <w:tblW w:w="7479" w:type="dxa"/>
        <w:tblLayout w:type="fixed"/>
        <w:tblLook w:val="04A0" w:firstRow="1" w:lastRow="0" w:firstColumn="1" w:lastColumn="0" w:noHBand="0" w:noVBand="1"/>
      </w:tblPr>
      <w:tblGrid>
        <w:gridCol w:w="4644"/>
        <w:gridCol w:w="567"/>
        <w:gridCol w:w="567"/>
        <w:gridCol w:w="567"/>
        <w:gridCol w:w="567"/>
        <w:gridCol w:w="567"/>
      </w:tblGrid>
      <w:tr w:rsidR="008A1A4E" w:rsidRPr="00CF31E0" w14:paraId="76CE6E92" w14:textId="77777777" w:rsidTr="00603CB7">
        <w:trPr>
          <w:trHeight w:val="324"/>
        </w:trPr>
        <w:tc>
          <w:tcPr>
            <w:tcW w:w="4644" w:type="dxa"/>
          </w:tcPr>
          <w:p w14:paraId="30119316" w14:textId="77777777" w:rsidR="00453E26" w:rsidRPr="00CF31E0" w:rsidRDefault="00453E26" w:rsidP="00453E26">
            <w:pPr>
              <w:rPr>
                <w:color w:val="000000" w:themeColor="text1"/>
                <w:sz w:val="22"/>
                <w:szCs w:val="22"/>
                <w:lang w:val="en-US"/>
              </w:rPr>
            </w:pPr>
          </w:p>
          <w:p w14:paraId="2D44711C" w14:textId="77777777" w:rsidR="00453E26" w:rsidRPr="00CF31E0" w:rsidRDefault="00453E26" w:rsidP="00453E26">
            <w:pPr>
              <w:rPr>
                <w:color w:val="000000" w:themeColor="text1"/>
                <w:sz w:val="22"/>
                <w:szCs w:val="22"/>
                <w:lang w:val="en-US"/>
              </w:rPr>
            </w:pPr>
            <w:r w:rsidRPr="00CF31E0">
              <w:rPr>
                <w:color w:val="000000" w:themeColor="text1"/>
                <w:sz w:val="22"/>
                <w:szCs w:val="22"/>
                <w:lang w:val="en-US"/>
              </w:rPr>
              <w:t>Similar to other Arabic dialects</w:t>
            </w:r>
          </w:p>
          <w:p w14:paraId="35B408E7" w14:textId="77777777" w:rsidR="00453E26" w:rsidRPr="00CF31E0" w:rsidRDefault="00453E26" w:rsidP="00453E26">
            <w:pPr>
              <w:rPr>
                <w:color w:val="000000" w:themeColor="text1"/>
                <w:sz w:val="22"/>
                <w:szCs w:val="22"/>
                <w:lang w:val="en-US"/>
              </w:rPr>
            </w:pPr>
          </w:p>
        </w:tc>
        <w:tc>
          <w:tcPr>
            <w:tcW w:w="567" w:type="dxa"/>
          </w:tcPr>
          <w:p w14:paraId="56C65591" w14:textId="77777777" w:rsidR="00453E26" w:rsidRPr="00CF31E0" w:rsidRDefault="00453E26" w:rsidP="00453E26">
            <w:pPr>
              <w:rPr>
                <w:color w:val="000000" w:themeColor="text1"/>
                <w:sz w:val="22"/>
                <w:szCs w:val="22"/>
              </w:rPr>
            </w:pPr>
          </w:p>
          <w:p w14:paraId="11CD78BD"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129DB511" w14:textId="77777777" w:rsidR="00453E26" w:rsidRPr="00CF31E0" w:rsidRDefault="00453E26" w:rsidP="00453E26">
            <w:pPr>
              <w:rPr>
                <w:color w:val="000000" w:themeColor="text1"/>
                <w:sz w:val="22"/>
                <w:szCs w:val="22"/>
              </w:rPr>
            </w:pPr>
          </w:p>
          <w:p w14:paraId="47380ED0"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4C9D1FE6" w14:textId="77777777" w:rsidR="00453E26" w:rsidRPr="00CF31E0" w:rsidRDefault="00453E26" w:rsidP="00453E26">
            <w:pPr>
              <w:rPr>
                <w:color w:val="000000" w:themeColor="text1"/>
                <w:sz w:val="22"/>
                <w:szCs w:val="22"/>
              </w:rPr>
            </w:pPr>
          </w:p>
          <w:p w14:paraId="42DD8855"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47C3ED2F" w14:textId="77777777" w:rsidR="00453E26" w:rsidRPr="00CF31E0" w:rsidRDefault="00453E26" w:rsidP="00453E26">
            <w:pPr>
              <w:rPr>
                <w:color w:val="000000" w:themeColor="text1"/>
                <w:sz w:val="22"/>
                <w:szCs w:val="22"/>
              </w:rPr>
            </w:pPr>
          </w:p>
          <w:p w14:paraId="426F08C7" w14:textId="77777777" w:rsidR="00453E26" w:rsidRPr="00CF31E0" w:rsidRDefault="00453E26" w:rsidP="00453E26">
            <w:pPr>
              <w:ind w:left="175" w:hanging="175"/>
              <w:jc w:val="center"/>
              <w:rPr>
                <w:color w:val="000000" w:themeColor="text1"/>
                <w:sz w:val="22"/>
                <w:szCs w:val="22"/>
              </w:rPr>
            </w:pPr>
            <w:r w:rsidRPr="00CF31E0">
              <w:rPr>
                <w:color w:val="000000" w:themeColor="text1"/>
                <w:sz w:val="22"/>
                <w:szCs w:val="22"/>
              </w:rPr>
              <w:t>4</w:t>
            </w:r>
          </w:p>
        </w:tc>
        <w:tc>
          <w:tcPr>
            <w:tcW w:w="567" w:type="dxa"/>
          </w:tcPr>
          <w:p w14:paraId="38B098EE" w14:textId="77777777" w:rsidR="00453E26" w:rsidRPr="00CF31E0" w:rsidRDefault="00453E26" w:rsidP="00453E26">
            <w:pPr>
              <w:rPr>
                <w:color w:val="000000" w:themeColor="text1"/>
                <w:sz w:val="22"/>
                <w:szCs w:val="22"/>
              </w:rPr>
            </w:pPr>
          </w:p>
          <w:p w14:paraId="69E7A5BF"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tc>
      </w:tr>
      <w:tr w:rsidR="008A1A4E" w:rsidRPr="00CF31E0" w14:paraId="15508857" w14:textId="77777777" w:rsidTr="00603CB7">
        <w:trPr>
          <w:trHeight w:val="699"/>
        </w:trPr>
        <w:tc>
          <w:tcPr>
            <w:tcW w:w="4644" w:type="dxa"/>
          </w:tcPr>
          <w:p w14:paraId="41E4545C" w14:textId="77777777" w:rsidR="00453E26" w:rsidRPr="00CF31E0" w:rsidRDefault="00453E26" w:rsidP="00453E26">
            <w:pPr>
              <w:rPr>
                <w:color w:val="000000" w:themeColor="text1"/>
                <w:sz w:val="22"/>
                <w:szCs w:val="22"/>
              </w:rPr>
            </w:pPr>
          </w:p>
          <w:p w14:paraId="6F852ADB" w14:textId="77777777" w:rsidR="00453E26" w:rsidRPr="00CF31E0" w:rsidRDefault="00453E26" w:rsidP="00453E26">
            <w:pPr>
              <w:rPr>
                <w:color w:val="000000" w:themeColor="text1"/>
                <w:sz w:val="22"/>
                <w:szCs w:val="22"/>
              </w:rPr>
            </w:pPr>
            <w:r w:rsidRPr="00CF31E0">
              <w:rPr>
                <w:color w:val="000000" w:themeColor="text1"/>
                <w:sz w:val="22"/>
                <w:szCs w:val="22"/>
              </w:rPr>
              <w:t>Sounds correct</w:t>
            </w:r>
          </w:p>
        </w:tc>
        <w:tc>
          <w:tcPr>
            <w:tcW w:w="567" w:type="dxa"/>
          </w:tcPr>
          <w:p w14:paraId="62CA00CD" w14:textId="77777777" w:rsidR="00453E26" w:rsidRPr="00CF31E0" w:rsidRDefault="00453E26" w:rsidP="00453E26">
            <w:pPr>
              <w:rPr>
                <w:color w:val="000000" w:themeColor="text1"/>
                <w:sz w:val="22"/>
                <w:szCs w:val="22"/>
              </w:rPr>
            </w:pPr>
          </w:p>
          <w:p w14:paraId="7A8DB23A"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28FB61A5" w14:textId="77777777" w:rsidR="00453E26" w:rsidRPr="00CF31E0" w:rsidRDefault="00453E26" w:rsidP="00453E26">
            <w:pPr>
              <w:rPr>
                <w:color w:val="000000" w:themeColor="text1"/>
                <w:sz w:val="22"/>
                <w:szCs w:val="22"/>
              </w:rPr>
            </w:pPr>
          </w:p>
          <w:p w14:paraId="4EDDB31C"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2A2D0D8B" w14:textId="77777777" w:rsidR="00453E26" w:rsidRPr="00CF31E0" w:rsidRDefault="00453E26" w:rsidP="00453E26">
            <w:pPr>
              <w:rPr>
                <w:color w:val="000000" w:themeColor="text1"/>
                <w:sz w:val="22"/>
                <w:szCs w:val="22"/>
              </w:rPr>
            </w:pPr>
          </w:p>
          <w:p w14:paraId="1D6D5534"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066A7F37" w14:textId="77777777" w:rsidR="00453E26" w:rsidRPr="00CF31E0" w:rsidRDefault="00453E26" w:rsidP="00453E26">
            <w:pPr>
              <w:rPr>
                <w:color w:val="000000" w:themeColor="text1"/>
                <w:sz w:val="22"/>
                <w:szCs w:val="22"/>
              </w:rPr>
            </w:pPr>
          </w:p>
          <w:p w14:paraId="3E9F13DB"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77C99F35" w14:textId="77777777" w:rsidR="00453E26" w:rsidRPr="00CF31E0" w:rsidRDefault="00453E26" w:rsidP="00453E26">
            <w:pPr>
              <w:rPr>
                <w:color w:val="000000" w:themeColor="text1"/>
                <w:sz w:val="22"/>
                <w:szCs w:val="22"/>
              </w:rPr>
            </w:pPr>
          </w:p>
          <w:p w14:paraId="0CEDAE9E"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tc>
      </w:tr>
      <w:tr w:rsidR="008A1A4E" w:rsidRPr="00CF31E0" w14:paraId="5E970AF7" w14:textId="77777777" w:rsidTr="00603CB7">
        <w:trPr>
          <w:trHeight w:val="724"/>
        </w:trPr>
        <w:tc>
          <w:tcPr>
            <w:tcW w:w="4644" w:type="dxa"/>
          </w:tcPr>
          <w:p w14:paraId="4D8B3A23" w14:textId="77777777" w:rsidR="00453E26" w:rsidRPr="00CF31E0" w:rsidRDefault="00453E26" w:rsidP="00453E26">
            <w:pPr>
              <w:rPr>
                <w:color w:val="000000" w:themeColor="text1"/>
                <w:sz w:val="22"/>
                <w:szCs w:val="22"/>
              </w:rPr>
            </w:pPr>
          </w:p>
          <w:p w14:paraId="714223F5" w14:textId="77777777" w:rsidR="00453E26" w:rsidRPr="00CF31E0" w:rsidRDefault="00453E26" w:rsidP="00453E26">
            <w:pPr>
              <w:rPr>
                <w:color w:val="000000" w:themeColor="text1"/>
                <w:sz w:val="22"/>
                <w:szCs w:val="22"/>
              </w:rPr>
            </w:pPr>
            <w:r w:rsidRPr="00CF31E0">
              <w:rPr>
                <w:color w:val="000000" w:themeColor="text1"/>
                <w:sz w:val="22"/>
                <w:szCs w:val="22"/>
              </w:rPr>
              <w:t>Serious</w:t>
            </w:r>
          </w:p>
        </w:tc>
        <w:tc>
          <w:tcPr>
            <w:tcW w:w="567" w:type="dxa"/>
          </w:tcPr>
          <w:p w14:paraId="116A66A4" w14:textId="77777777" w:rsidR="00453E26" w:rsidRPr="00CF31E0" w:rsidRDefault="00453E26" w:rsidP="00453E26">
            <w:pPr>
              <w:rPr>
                <w:color w:val="000000" w:themeColor="text1"/>
                <w:sz w:val="22"/>
                <w:szCs w:val="22"/>
              </w:rPr>
            </w:pPr>
          </w:p>
          <w:p w14:paraId="39F065FD"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56856E87" w14:textId="77777777" w:rsidR="00453E26" w:rsidRPr="00CF31E0" w:rsidRDefault="00453E26" w:rsidP="00453E26">
            <w:pPr>
              <w:rPr>
                <w:color w:val="000000" w:themeColor="text1"/>
                <w:sz w:val="22"/>
                <w:szCs w:val="22"/>
              </w:rPr>
            </w:pPr>
          </w:p>
          <w:p w14:paraId="57EE2628"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663AA2B2" w14:textId="77777777" w:rsidR="00453E26" w:rsidRPr="00CF31E0" w:rsidRDefault="00453E26" w:rsidP="00453E26">
            <w:pPr>
              <w:rPr>
                <w:color w:val="000000" w:themeColor="text1"/>
                <w:sz w:val="22"/>
                <w:szCs w:val="22"/>
              </w:rPr>
            </w:pPr>
          </w:p>
          <w:p w14:paraId="72808285"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471C0BD2" w14:textId="77777777" w:rsidR="00453E26" w:rsidRPr="00CF31E0" w:rsidRDefault="00453E26" w:rsidP="00453E26">
            <w:pPr>
              <w:rPr>
                <w:color w:val="000000" w:themeColor="text1"/>
                <w:sz w:val="22"/>
                <w:szCs w:val="22"/>
              </w:rPr>
            </w:pPr>
          </w:p>
          <w:p w14:paraId="19FE5986"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4DBD222D" w14:textId="77777777" w:rsidR="00453E26" w:rsidRPr="00CF31E0" w:rsidRDefault="00453E26" w:rsidP="00453E26">
            <w:pPr>
              <w:jc w:val="center"/>
              <w:rPr>
                <w:color w:val="000000" w:themeColor="text1"/>
                <w:sz w:val="22"/>
                <w:szCs w:val="22"/>
              </w:rPr>
            </w:pPr>
          </w:p>
          <w:p w14:paraId="6BD4F089"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p w14:paraId="631CAFF4" w14:textId="77777777" w:rsidR="00453E26" w:rsidRPr="00CF31E0" w:rsidRDefault="00453E26" w:rsidP="00453E26">
            <w:pPr>
              <w:rPr>
                <w:color w:val="000000" w:themeColor="text1"/>
                <w:sz w:val="22"/>
                <w:szCs w:val="22"/>
              </w:rPr>
            </w:pPr>
          </w:p>
        </w:tc>
      </w:tr>
      <w:tr w:rsidR="008A1A4E" w:rsidRPr="00CF31E0" w14:paraId="10CD7517" w14:textId="77777777" w:rsidTr="00603CB7">
        <w:trPr>
          <w:trHeight w:val="699"/>
        </w:trPr>
        <w:tc>
          <w:tcPr>
            <w:tcW w:w="4644" w:type="dxa"/>
          </w:tcPr>
          <w:p w14:paraId="638C9213" w14:textId="77777777" w:rsidR="00453E26" w:rsidRPr="00CF31E0" w:rsidRDefault="00453E26" w:rsidP="00453E26">
            <w:pPr>
              <w:rPr>
                <w:color w:val="000000" w:themeColor="text1"/>
                <w:sz w:val="22"/>
                <w:szCs w:val="22"/>
              </w:rPr>
            </w:pPr>
          </w:p>
          <w:p w14:paraId="22CCD5C5" w14:textId="77777777" w:rsidR="00453E26" w:rsidRPr="00CF31E0" w:rsidRDefault="00453E26" w:rsidP="00453E26">
            <w:pPr>
              <w:rPr>
                <w:color w:val="000000" w:themeColor="text1"/>
                <w:sz w:val="22"/>
                <w:szCs w:val="22"/>
              </w:rPr>
            </w:pPr>
            <w:r w:rsidRPr="00CF31E0">
              <w:rPr>
                <w:color w:val="000000" w:themeColor="text1"/>
                <w:sz w:val="22"/>
                <w:szCs w:val="22"/>
              </w:rPr>
              <w:t xml:space="preserve">Spoken with a soft voice </w:t>
            </w:r>
          </w:p>
          <w:p w14:paraId="2731AB81" w14:textId="77777777" w:rsidR="00453E26" w:rsidRPr="00CF31E0" w:rsidRDefault="00453E26" w:rsidP="00453E26">
            <w:pPr>
              <w:rPr>
                <w:color w:val="000000" w:themeColor="text1"/>
                <w:sz w:val="22"/>
                <w:szCs w:val="22"/>
              </w:rPr>
            </w:pPr>
          </w:p>
        </w:tc>
        <w:tc>
          <w:tcPr>
            <w:tcW w:w="567" w:type="dxa"/>
          </w:tcPr>
          <w:p w14:paraId="378D2B89" w14:textId="77777777" w:rsidR="00453E26" w:rsidRPr="00CF31E0" w:rsidRDefault="00453E26" w:rsidP="00453E26">
            <w:pPr>
              <w:rPr>
                <w:color w:val="000000" w:themeColor="text1"/>
                <w:sz w:val="22"/>
                <w:szCs w:val="22"/>
              </w:rPr>
            </w:pPr>
          </w:p>
          <w:p w14:paraId="3DCBFF09"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5603D50F" w14:textId="77777777" w:rsidR="00453E26" w:rsidRPr="00CF31E0" w:rsidRDefault="00453E26" w:rsidP="00453E26">
            <w:pPr>
              <w:rPr>
                <w:color w:val="000000" w:themeColor="text1"/>
                <w:sz w:val="22"/>
                <w:szCs w:val="22"/>
              </w:rPr>
            </w:pPr>
          </w:p>
          <w:p w14:paraId="6C1183A7"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76F48A63" w14:textId="77777777" w:rsidR="00453E26" w:rsidRPr="00CF31E0" w:rsidRDefault="00453E26" w:rsidP="00453E26">
            <w:pPr>
              <w:rPr>
                <w:color w:val="000000" w:themeColor="text1"/>
                <w:sz w:val="22"/>
                <w:szCs w:val="22"/>
              </w:rPr>
            </w:pPr>
          </w:p>
          <w:p w14:paraId="1E6DE763"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79527855" w14:textId="77777777" w:rsidR="00453E26" w:rsidRPr="00CF31E0" w:rsidRDefault="00453E26" w:rsidP="00453E26">
            <w:pPr>
              <w:rPr>
                <w:color w:val="000000" w:themeColor="text1"/>
                <w:sz w:val="22"/>
                <w:szCs w:val="22"/>
              </w:rPr>
            </w:pPr>
          </w:p>
          <w:p w14:paraId="6BDF5DFF"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7325E8E8" w14:textId="77777777" w:rsidR="00453E26" w:rsidRPr="00CF31E0" w:rsidRDefault="00453E26" w:rsidP="00453E26">
            <w:pPr>
              <w:rPr>
                <w:color w:val="000000" w:themeColor="text1"/>
                <w:sz w:val="22"/>
                <w:szCs w:val="22"/>
              </w:rPr>
            </w:pPr>
          </w:p>
          <w:p w14:paraId="1065146E"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tc>
      </w:tr>
      <w:tr w:rsidR="008A1A4E" w:rsidRPr="00CF31E0" w14:paraId="11E817EF" w14:textId="77777777" w:rsidTr="00603CB7">
        <w:trPr>
          <w:trHeight w:val="699"/>
        </w:trPr>
        <w:tc>
          <w:tcPr>
            <w:tcW w:w="4644" w:type="dxa"/>
          </w:tcPr>
          <w:p w14:paraId="35119E84" w14:textId="77777777" w:rsidR="00453E26" w:rsidRPr="00CF31E0" w:rsidRDefault="00453E26" w:rsidP="00453E26">
            <w:pPr>
              <w:rPr>
                <w:color w:val="000000" w:themeColor="text1"/>
                <w:sz w:val="22"/>
                <w:szCs w:val="22"/>
              </w:rPr>
            </w:pPr>
          </w:p>
          <w:p w14:paraId="7FFAF967" w14:textId="77777777" w:rsidR="00453E26" w:rsidRPr="00CF31E0" w:rsidRDefault="00453E26" w:rsidP="00453E26">
            <w:pPr>
              <w:rPr>
                <w:color w:val="000000" w:themeColor="text1"/>
                <w:sz w:val="22"/>
                <w:szCs w:val="22"/>
              </w:rPr>
            </w:pPr>
            <w:r w:rsidRPr="00CF31E0">
              <w:rPr>
                <w:color w:val="000000" w:themeColor="text1"/>
                <w:sz w:val="22"/>
                <w:szCs w:val="22"/>
              </w:rPr>
              <w:t>Popular in the countryside</w:t>
            </w:r>
          </w:p>
        </w:tc>
        <w:tc>
          <w:tcPr>
            <w:tcW w:w="567" w:type="dxa"/>
          </w:tcPr>
          <w:p w14:paraId="5A3EE13F" w14:textId="77777777" w:rsidR="00453E26" w:rsidRPr="00CF31E0" w:rsidRDefault="00453E26" w:rsidP="00453E26">
            <w:pPr>
              <w:rPr>
                <w:color w:val="000000" w:themeColor="text1"/>
                <w:sz w:val="22"/>
                <w:szCs w:val="22"/>
              </w:rPr>
            </w:pPr>
          </w:p>
          <w:p w14:paraId="39541F41"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6B3FD3A2" w14:textId="77777777" w:rsidR="00453E26" w:rsidRPr="00CF31E0" w:rsidRDefault="00453E26" w:rsidP="00453E26">
            <w:pPr>
              <w:rPr>
                <w:color w:val="000000" w:themeColor="text1"/>
                <w:sz w:val="22"/>
                <w:szCs w:val="22"/>
              </w:rPr>
            </w:pPr>
          </w:p>
          <w:p w14:paraId="0AA6D196"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3CC311FA" w14:textId="77777777" w:rsidR="00453E26" w:rsidRPr="00CF31E0" w:rsidRDefault="00453E26" w:rsidP="00453E26">
            <w:pPr>
              <w:rPr>
                <w:color w:val="000000" w:themeColor="text1"/>
                <w:sz w:val="22"/>
                <w:szCs w:val="22"/>
              </w:rPr>
            </w:pPr>
          </w:p>
          <w:p w14:paraId="22957D49"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5BF42EB6" w14:textId="77777777" w:rsidR="00453E26" w:rsidRPr="00CF31E0" w:rsidRDefault="00453E26" w:rsidP="00453E26">
            <w:pPr>
              <w:rPr>
                <w:color w:val="000000" w:themeColor="text1"/>
                <w:sz w:val="22"/>
                <w:szCs w:val="22"/>
              </w:rPr>
            </w:pPr>
          </w:p>
          <w:p w14:paraId="41B0EA1D" w14:textId="77777777" w:rsidR="00453E26" w:rsidRPr="00CF31E0" w:rsidRDefault="00453E26" w:rsidP="00453E26">
            <w:pPr>
              <w:ind w:left="175" w:hanging="175"/>
              <w:jc w:val="center"/>
              <w:rPr>
                <w:color w:val="000000" w:themeColor="text1"/>
                <w:sz w:val="22"/>
                <w:szCs w:val="22"/>
              </w:rPr>
            </w:pPr>
            <w:r w:rsidRPr="00CF31E0">
              <w:rPr>
                <w:color w:val="000000" w:themeColor="text1"/>
                <w:sz w:val="22"/>
                <w:szCs w:val="22"/>
              </w:rPr>
              <w:t>4</w:t>
            </w:r>
          </w:p>
        </w:tc>
        <w:tc>
          <w:tcPr>
            <w:tcW w:w="567" w:type="dxa"/>
          </w:tcPr>
          <w:p w14:paraId="3B1226E3" w14:textId="77777777" w:rsidR="00453E26" w:rsidRPr="00CF31E0" w:rsidRDefault="00453E26" w:rsidP="00453E26">
            <w:pPr>
              <w:rPr>
                <w:color w:val="000000" w:themeColor="text1"/>
                <w:sz w:val="22"/>
                <w:szCs w:val="22"/>
              </w:rPr>
            </w:pPr>
          </w:p>
          <w:p w14:paraId="426AAFD3"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tc>
      </w:tr>
      <w:tr w:rsidR="008A1A4E" w:rsidRPr="00CF31E0" w14:paraId="22364155" w14:textId="77777777" w:rsidTr="00603CB7">
        <w:trPr>
          <w:trHeight w:val="724"/>
        </w:trPr>
        <w:tc>
          <w:tcPr>
            <w:tcW w:w="4644" w:type="dxa"/>
          </w:tcPr>
          <w:p w14:paraId="0FEADCFB" w14:textId="77777777" w:rsidR="00453E26" w:rsidRPr="00CF31E0" w:rsidRDefault="00453E26" w:rsidP="00453E26">
            <w:pPr>
              <w:rPr>
                <w:color w:val="000000" w:themeColor="text1"/>
                <w:sz w:val="22"/>
                <w:szCs w:val="22"/>
              </w:rPr>
            </w:pPr>
          </w:p>
          <w:p w14:paraId="402C42A7" w14:textId="77777777" w:rsidR="00453E26" w:rsidRPr="00CF31E0" w:rsidRDefault="00453E26" w:rsidP="00453E26">
            <w:pPr>
              <w:rPr>
                <w:color w:val="000000" w:themeColor="text1"/>
                <w:sz w:val="22"/>
                <w:szCs w:val="22"/>
              </w:rPr>
            </w:pPr>
            <w:r w:rsidRPr="00CF31E0">
              <w:rPr>
                <w:color w:val="000000" w:themeColor="text1"/>
                <w:sz w:val="22"/>
                <w:szCs w:val="22"/>
              </w:rPr>
              <w:t>Feminine</w:t>
            </w:r>
          </w:p>
        </w:tc>
        <w:tc>
          <w:tcPr>
            <w:tcW w:w="567" w:type="dxa"/>
          </w:tcPr>
          <w:p w14:paraId="7D05E6B8" w14:textId="77777777" w:rsidR="00453E26" w:rsidRPr="00CF31E0" w:rsidRDefault="00453E26" w:rsidP="00453E26">
            <w:pPr>
              <w:rPr>
                <w:color w:val="000000" w:themeColor="text1"/>
                <w:sz w:val="22"/>
                <w:szCs w:val="22"/>
              </w:rPr>
            </w:pPr>
          </w:p>
          <w:p w14:paraId="667109D1"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19928333" w14:textId="77777777" w:rsidR="00453E26" w:rsidRPr="00CF31E0" w:rsidRDefault="00453E26" w:rsidP="00453E26">
            <w:pPr>
              <w:rPr>
                <w:color w:val="000000" w:themeColor="text1"/>
                <w:sz w:val="22"/>
                <w:szCs w:val="22"/>
              </w:rPr>
            </w:pPr>
          </w:p>
          <w:p w14:paraId="24C00110"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74F58BDD" w14:textId="77777777" w:rsidR="00453E26" w:rsidRPr="00CF31E0" w:rsidRDefault="00453E26" w:rsidP="00453E26">
            <w:pPr>
              <w:rPr>
                <w:color w:val="000000" w:themeColor="text1"/>
                <w:sz w:val="22"/>
                <w:szCs w:val="22"/>
              </w:rPr>
            </w:pPr>
          </w:p>
          <w:p w14:paraId="0B03A150"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25502F7D" w14:textId="77777777" w:rsidR="00453E26" w:rsidRPr="00CF31E0" w:rsidRDefault="00453E26" w:rsidP="00453E26">
            <w:pPr>
              <w:rPr>
                <w:color w:val="000000" w:themeColor="text1"/>
                <w:sz w:val="22"/>
                <w:szCs w:val="22"/>
              </w:rPr>
            </w:pPr>
          </w:p>
          <w:p w14:paraId="103A9572"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3283F162" w14:textId="77777777" w:rsidR="00453E26" w:rsidRPr="00CF31E0" w:rsidRDefault="00453E26" w:rsidP="00453E26">
            <w:pPr>
              <w:jc w:val="center"/>
              <w:rPr>
                <w:color w:val="000000" w:themeColor="text1"/>
                <w:sz w:val="22"/>
                <w:szCs w:val="22"/>
              </w:rPr>
            </w:pPr>
          </w:p>
          <w:p w14:paraId="0AD01492"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p w14:paraId="6BB1E1F4" w14:textId="77777777" w:rsidR="00453E26" w:rsidRPr="00CF31E0" w:rsidRDefault="00453E26" w:rsidP="00453E26">
            <w:pPr>
              <w:rPr>
                <w:color w:val="000000" w:themeColor="text1"/>
                <w:sz w:val="22"/>
                <w:szCs w:val="22"/>
              </w:rPr>
            </w:pPr>
          </w:p>
        </w:tc>
      </w:tr>
      <w:tr w:rsidR="008A1A4E" w:rsidRPr="00CF31E0" w14:paraId="37E7F759" w14:textId="77777777" w:rsidTr="00603CB7">
        <w:trPr>
          <w:trHeight w:val="699"/>
        </w:trPr>
        <w:tc>
          <w:tcPr>
            <w:tcW w:w="4644" w:type="dxa"/>
          </w:tcPr>
          <w:p w14:paraId="16751EBE" w14:textId="77777777" w:rsidR="00453E26" w:rsidRPr="00CF31E0" w:rsidRDefault="00453E26" w:rsidP="00453E26">
            <w:pPr>
              <w:rPr>
                <w:color w:val="000000" w:themeColor="text1"/>
                <w:sz w:val="22"/>
                <w:szCs w:val="22"/>
              </w:rPr>
            </w:pPr>
          </w:p>
          <w:p w14:paraId="26290FBB" w14:textId="19075D13" w:rsidR="00453E26" w:rsidRPr="00CF31E0" w:rsidRDefault="001136D4" w:rsidP="00453E26">
            <w:pPr>
              <w:rPr>
                <w:color w:val="000000" w:themeColor="text1"/>
                <w:sz w:val="22"/>
                <w:szCs w:val="22"/>
              </w:rPr>
            </w:pPr>
            <w:r w:rsidRPr="00CF31E0">
              <w:rPr>
                <w:color w:val="000000" w:themeColor="text1"/>
                <w:sz w:val="22"/>
                <w:szCs w:val="22"/>
              </w:rPr>
              <w:t xml:space="preserve">Difficult to </w:t>
            </w:r>
            <w:r w:rsidR="00453E26" w:rsidRPr="00CF31E0">
              <w:rPr>
                <w:color w:val="000000" w:themeColor="text1"/>
                <w:sz w:val="22"/>
                <w:szCs w:val="22"/>
              </w:rPr>
              <w:t>imitate</w:t>
            </w:r>
          </w:p>
        </w:tc>
        <w:tc>
          <w:tcPr>
            <w:tcW w:w="567" w:type="dxa"/>
          </w:tcPr>
          <w:p w14:paraId="104D2EF6" w14:textId="77777777" w:rsidR="00453E26" w:rsidRPr="00CF31E0" w:rsidRDefault="00453E26" w:rsidP="00453E26">
            <w:pPr>
              <w:rPr>
                <w:color w:val="000000" w:themeColor="text1"/>
                <w:sz w:val="22"/>
                <w:szCs w:val="22"/>
              </w:rPr>
            </w:pPr>
          </w:p>
          <w:p w14:paraId="7C0F456A"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70E70098" w14:textId="77777777" w:rsidR="00453E26" w:rsidRPr="00CF31E0" w:rsidRDefault="00453E26" w:rsidP="00453E26">
            <w:pPr>
              <w:rPr>
                <w:color w:val="000000" w:themeColor="text1"/>
                <w:sz w:val="22"/>
                <w:szCs w:val="22"/>
              </w:rPr>
            </w:pPr>
          </w:p>
          <w:p w14:paraId="690EC89E"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773349E9" w14:textId="77777777" w:rsidR="00453E26" w:rsidRPr="00CF31E0" w:rsidRDefault="00453E26" w:rsidP="00453E26">
            <w:pPr>
              <w:rPr>
                <w:color w:val="000000" w:themeColor="text1"/>
                <w:sz w:val="22"/>
                <w:szCs w:val="22"/>
              </w:rPr>
            </w:pPr>
          </w:p>
          <w:p w14:paraId="05A75ACC"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0052EDD9" w14:textId="77777777" w:rsidR="00453E26" w:rsidRPr="00CF31E0" w:rsidRDefault="00453E26" w:rsidP="00453E26">
            <w:pPr>
              <w:rPr>
                <w:color w:val="000000" w:themeColor="text1"/>
                <w:sz w:val="22"/>
                <w:szCs w:val="22"/>
              </w:rPr>
            </w:pPr>
          </w:p>
          <w:p w14:paraId="087B57FB"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7EEAE9DC" w14:textId="77777777" w:rsidR="00453E26" w:rsidRPr="00CF31E0" w:rsidRDefault="00453E26" w:rsidP="00453E26">
            <w:pPr>
              <w:rPr>
                <w:color w:val="000000" w:themeColor="text1"/>
                <w:sz w:val="22"/>
                <w:szCs w:val="22"/>
              </w:rPr>
            </w:pPr>
          </w:p>
          <w:p w14:paraId="151A958D"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tc>
      </w:tr>
      <w:tr w:rsidR="008A1A4E" w:rsidRPr="00CF31E0" w14:paraId="4204882D" w14:textId="77777777" w:rsidTr="00603CB7">
        <w:trPr>
          <w:trHeight w:val="724"/>
        </w:trPr>
        <w:tc>
          <w:tcPr>
            <w:tcW w:w="4644" w:type="dxa"/>
          </w:tcPr>
          <w:p w14:paraId="5908E2DA" w14:textId="77777777" w:rsidR="00453E26" w:rsidRPr="00CF31E0" w:rsidRDefault="00453E26" w:rsidP="00453E26">
            <w:pPr>
              <w:rPr>
                <w:color w:val="000000" w:themeColor="text1"/>
                <w:sz w:val="22"/>
                <w:szCs w:val="22"/>
              </w:rPr>
            </w:pPr>
          </w:p>
          <w:p w14:paraId="44F3B703" w14:textId="15986D9B" w:rsidR="00453E26" w:rsidRPr="00CF31E0" w:rsidRDefault="00453E26" w:rsidP="00453E26">
            <w:pPr>
              <w:rPr>
                <w:color w:val="000000" w:themeColor="text1"/>
                <w:sz w:val="22"/>
                <w:szCs w:val="22"/>
              </w:rPr>
            </w:pPr>
            <w:r w:rsidRPr="00CF31E0">
              <w:rPr>
                <w:color w:val="000000" w:themeColor="text1"/>
                <w:sz w:val="22"/>
                <w:szCs w:val="22"/>
              </w:rPr>
              <w:t>Distinc</w:t>
            </w:r>
            <w:r w:rsidR="001136D4" w:rsidRPr="00CF31E0">
              <w:rPr>
                <w:color w:val="000000" w:themeColor="text1"/>
                <w:sz w:val="22"/>
                <w:szCs w:val="22"/>
              </w:rPr>
              <w:t>tive</w:t>
            </w:r>
          </w:p>
        </w:tc>
        <w:tc>
          <w:tcPr>
            <w:tcW w:w="567" w:type="dxa"/>
          </w:tcPr>
          <w:p w14:paraId="54C0C48E" w14:textId="77777777" w:rsidR="00453E26" w:rsidRPr="00CF31E0" w:rsidRDefault="00453E26" w:rsidP="00453E26">
            <w:pPr>
              <w:rPr>
                <w:color w:val="000000" w:themeColor="text1"/>
                <w:sz w:val="22"/>
                <w:szCs w:val="22"/>
              </w:rPr>
            </w:pPr>
          </w:p>
          <w:p w14:paraId="02416CF5"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22FD9FAA" w14:textId="77777777" w:rsidR="00453E26" w:rsidRPr="00CF31E0" w:rsidRDefault="00453E26" w:rsidP="00453E26">
            <w:pPr>
              <w:rPr>
                <w:color w:val="000000" w:themeColor="text1"/>
                <w:sz w:val="22"/>
                <w:szCs w:val="22"/>
              </w:rPr>
            </w:pPr>
          </w:p>
          <w:p w14:paraId="76E2FA20"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7CA28566" w14:textId="77777777" w:rsidR="00453E26" w:rsidRPr="00CF31E0" w:rsidRDefault="00453E26" w:rsidP="00453E26">
            <w:pPr>
              <w:rPr>
                <w:color w:val="000000" w:themeColor="text1"/>
                <w:sz w:val="22"/>
                <w:szCs w:val="22"/>
              </w:rPr>
            </w:pPr>
          </w:p>
          <w:p w14:paraId="01E489ED"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378C03EB" w14:textId="77777777" w:rsidR="00453E26" w:rsidRPr="00CF31E0" w:rsidRDefault="00453E26" w:rsidP="00453E26">
            <w:pPr>
              <w:rPr>
                <w:color w:val="000000" w:themeColor="text1"/>
                <w:sz w:val="22"/>
                <w:szCs w:val="22"/>
              </w:rPr>
            </w:pPr>
          </w:p>
          <w:p w14:paraId="117F1868"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53D80394" w14:textId="77777777" w:rsidR="00453E26" w:rsidRPr="00CF31E0" w:rsidRDefault="00453E26" w:rsidP="00453E26">
            <w:pPr>
              <w:jc w:val="center"/>
              <w:rPr>
                <w:color w:val="000000" w:themeColor="text1"/>
                <w:sz w:val="22"/>
                <w:szCs w:val="22"/>
              </w:rPr>
            </w:pPr>
          </w:p>
          <w:p w14:paraId="210E2EA4"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p w14:paraId="3820164E" w14:textId="77777777" w:rsidR="00453E26" w:rsidRPr="00CF31E0" w:rsidRDefault="00453E26" w:rsidP="00453E26">
            <w:pPr>
              <w:rPr>
                <w:color w:val="000000" w:themeColor="text1"/>
                <w:sz w:val="22"/>
                <w:szCs w:val="22"/>
              </w:rPr>
            </w:pPr>
          </w:p>
        </w:tc>
      </w:tr>
      <w:tr w:rsidR="008A1A4E" w:rsidRPr="00CF31E0" w14:paraId="1743E81A" w14:textId="77777777" w:rsidTr="00603CB7">
        <w:trPr>
          <w:trHeight w:val="699"/>
        </w:trPr>
        <w:tc>
          <w:tcPr>
            <w:tcW w:w="4644" w:type="dxa"/>
          </w:tcPr>
          <w:p w14:paraId="42E8F805" w14:textId="77777777" w:rsidR="00453E26" w:rsidRPr="00CF31E0" w:rsidRDefault="00453E26" w:rsidP="00453E26">
            <w:pPr>
              <w:rPr>
                <w:color w:val="000000" w:themeColor="text1"/>
                <w:sz w:val="22"/>
                <w:szCs w:val="22"/>
              </w:rPr>
            </w:pPr>
          </w:p>
          <w:p w14:paraId="7E7FB134" w14:textId="77777777" w:rsidR="00453E26" w:rsidRPr="00CF31E0" w:rsidRDefault="00453E26" w:rsidP="00453E26">
            <w:pPr>
              <w:rPr>
                <w:color w:val="000000" w:themeColor="text1"/>
                <w:sz w:val="22"/>
                <w:szCs w:val="22"/>
              </w:rPr>
            </w:pPr>
            <w:r w:rsidRPr="00CF31E0">
              <w:rPr>
                <w:color w:val="000000" w:themeColor="text1"/>
                <w:sz w:val="22"/>
                <w:szCs w:val="22"/>
              </w:rPr>
              <w:t>Poetic dialect (i.e. used in poetry)</w:t>
            </w:r>
          </w:p>
        </w:tc>
        <w:tc>
          <w:tcPr>
            <w:tcW w:w="567" w:type="dxa"/>
          </w:tcPr>
          <w:p w14:paraId="03BE0C7C" w14:textId="77777777" w:rsidR="00453E26" w:rsidRPr="00CF31E0" w:rsidRDefault="00453E26" w:rsidP="00453E26">
            <w:pPr>
              <w:rPr>
                <w:color w:val="000000" w:themeColor="text1"/>
                <w:sz w:val="22"/>
                <w:szCs w:val="22"/>
              </w:rPr>
            </w:pPr>
          </w:p>
          <w:p w14:paraId="2CF19670"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4B2512AA" w14:textId="77777777" w:rsidR="00453E26" w:rsidRPr="00CF31E0" w:rsidRDefault="00453E26" w:rsidP="00453E26">
            <w:pPr>
              <w:rPr>
                <w:color w:val="000000" w:themeColor="text1"/>
                <w:sz w:val="22"/>
                <w:szCs w:val="22"/>
              </w:rPr>
            </w:pPr>
          </w:p>
          <w:p w14:paraId="6849E4A3"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75D53C18" w14:textId="77777777" w:rsidR="00453E26" w:rsidRPr="00CF31E0" w:rsidRDefault="00453E26" w:rsidP="00453E26">
            <w:pPr>
              <w:rPr>
                <w:color w:val="000000" w:themeColor="text1"/>
                <w:sz w:val="22"/>
                <w:szCs w:val="22"/>
              </w:rPr>
            </w:pPr>
          </w:p>
          <w:p w14:paraId="106F60BA"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1BDE8ABA" w14:textId="77777777" w:rsidR="00453E26" w:rsidRPr="00CF31E0" w:rsidRDefault="00453E26" w:rsidP="00453E26">
            <w:pPr>
              <w:rPr>
                <w:color w:val="000000" w:themeColor="text1"/>
                <w:sz w:val="22"/>
                <w:szCs w:val="22"/>
              </w:rPr>
            </w:pPr>
          </w:p>
          <w:p w14:paraId="437CBC2A"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234B72BF" w14:textId="77777777" w:rsidR="00453E26" w:rsidRPr="00CF31E0" w:rsidRDefault="00453E26" w:rsidP="00453E26">
            <w:pPr>
              <w:rPr>
                <w:color w:val="000000" w:themeColor="text1"/>
                <w:sz w:val="22"/>
                <w:szCs w:val="22"/>
              </w:rPr>
            </w:pPr>
          </w:p>
          <w:p w14:paraId="207DDAE9"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tc>
      </w:tr>
      <w:tr w:rsidR="008A1A4E" w:rsidRPr="00CF31E0" w14:paraId="114D8050" w14:textId="77777777" w:rsidTr="00603CB7">
        <w:trPr>
          <w:trHeight w:val="699"/>
        </w:trPr>
        <w:tc>
          <w:tcPr>
            <w:tcW w:w="4644" w:type="dxa"/>
          </w:tcPr>
          <w:p w14:paraId="232BDD8D" w14:textId="77777777" w:rsidR="00453E26" w:rsidRPr="00CF31E0" w:rsidRDefault="00453E26" w:rsidP="00453E26">
            <w:pPr>
              <w:rPr>
                <w:color w:val="000000" w:themeColor="text1"/>
                <w:sz w:val="22"/>
                <w:szCs w:val="22"/>
              </w:rPr>
            </w:pPr>
          </w:p>
          <w:p w14:paraId="64DF3539" w14:textId="77777777" w:rsidR="00453E26" w:rsidRPr="00CF31E0" w:rsidRDefault="00453E26" w:rsidP="00453E26">
            <w:pPr>
              <w:rPr>
                <w:color w:val="000000" w:themeColor="text1"/>
                <w:sz w:val="22"/>
                <w:szCs w:val="22"/>
              </w:rPr>
            </w:pPr>
            <w:r w:rsidRPr="00CF31E0">
              <w:rPr>
                <w:color w:val="000000" w:themeColor="text1"/>
                <w:sz w:val="22"/>
                <w:szCs w:val="22"/>
              </w:rPr>
              <w:t>Understandable</w:t>
            </w:r>
          </w:p>
        </w:tc>
        <w:tc>
          <w:tcPr>
            <w:tcW w:w="567" w:type="dxa"/>
          </w:tcPr>
          <w:p w14:paraId="6209C517" w14:textId="77777777" w:rsidR="00453E26" w:rsidRPr="00CF31E0" w:rsidRDefault="00453E26" w:rsidP="00453E26">
            <w:pPr>
              <w:rPr>
                <w:color w:val="000000" w:themeColor="text1"/>
                <w:sz w:val="22"/>
                <w:szCs w:val="22"/>
              </w:rPr>
            </w:pPr>
          </w:p>
          <w:p w14:paraId="2BDAE716"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07E007C5" w14:textId="77777777" w:rsidR="00453E26" w:rsidRPr="00CF31E0" w:rsidRDefault="00453E26" w:rsidP="00453E26">
            <w:pPr>
              <w:rPr>
                <w:color w:val="000000" w:themeColor="text1"/>
                <w:sz w:val="22"/>
                <w:szCs w:val="22"/>
              </w:rPr>
            </w:pPr>
          </w:p>
          <w:p w14:paraId="3896BCB3"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09D1F858" w14:textId="77777777" w:rsidR="00453E26" w:rsidRPr="00CF31E0" w:rsidRDefault="00453E26" w:rsidP="00453E26">
            <w:pPr>
              <w:rPr>
                <w:color w:val="000000" w:themeColor="text1"/>
                <w:sz w:val="22"/>
                <w:szCs w:val="22"/>
              </w:rPr>
            </w:pPr>
          </w:p>
          <w:p w14:paraId="57310F39"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1021F3F2" w14:textId="77777777" w:rsidR="00453E26" w:rsidRPr="00CF31E0" w:rsidRDefault="00453E26" w:rsidP="00453E26">
            <w:pPr>
              <w:rPr>
                <w:color w:val="000000" w:themeColor="text1"/>
                <w:sz w:val="22"/>
                <w:szCs w:val="22"/>
              </w:rPr>
            </w:pPr>
          </w:p>
          <w:p w14:paraId="01985685"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4C3BEA5B" w14:textId="77777777" w:rsidR="00453E26" w:rsidRPr="00CF31E0" w:rsidRDefault="00453E26" w:rsidP="00453E26">
            <w:pPr>
              <w:rPr>
                <w:color w:val="000000" w:themeColor="text1"/>
                <w:sz w:val="22"/>
                <w:szCs w:val="22"/>
              </w:rPr>
            </w:pPr>
          </w:p>
          <w:p w14:paraId="319A8E2F"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tc>
      </w:tr>
      <w:tr w:rsidR="008A1A4E" w:rsidRPr="00CF31E0" w14:paraId="60785091" w14:textId="77777777" w:rsidTr="00603CB7">
        <w:trPr>
          <w:trHeight w:val="724"/>
        </w:trPr>
        <w:tc>
          <w:tcPr>
            <w:tcW w:w="4644" w:type="dxa"/>
          </w:tcPr>
          <w:p w14:paraId="65402B5E" w14:textId="77777777" w:rsidR="00453E26" w:rsidRPr="00CF31E0" w:rsidRDefault="00453E26" w:rsidP="00453E26">
            <w:pPr>
              <w:rPr>
                <w:color w:val="000000" w:themeColor="text1"/>
                <w:sz w:val="22"/>
                <w:szCs w:val="22"/>
              </w:rPr>
            </w:pPr>
          </w:p>
          <w:p w14:paraId="69CC98BA" w14:textId="77777777" w:rsidR="00453E26" w:rsidRPr="00CF31E0" w:rsidRDefault="00453E26" w:rsidP="00453E26">
            <w:pPr>
              <w:rPr>
                <w:color w:val="000000" w:themeColor="text1"/>
                <w:sz w:val="22"/>
                <w:szCs w:val="22"/>
              </w:rPr>
            </w:pPr>
            <w:r w:rsidRPr="00CF31E0">
              <w:rPr>
                <w:color w:val="000000" w:themeColor="text1"/>
                <w:sz w:val="22"/>
                <w:szCs w:val="22"/>
              </w:rPr>
              <w:t>Prestigious</w:t>
            </w:r>
          </w:p>
        </w:tc>
        <w:tc>
          <w:tcPr>
            <w:tcW w:w="567" w:type="dxa"/>
          </w:tcPr>
          <w:p w14:paraId="690C00C4" w14:textId="77777777" w:rsidR="00453E26" w:rsidRPr="00CF31E0" w:rsidRDefault="00453E26" w:rsidP="00453E26">
            <w:pPr>
              <w:rPr>
                <w:color w:val="000000" w:themeColor="text1"/>
                <w:sz w:val="22"/>
                <w:szCs w:val="22"/>
              </w:rPr>
            </w:pPr>
          </w:p>
          <w:p w14:paraId="0C86604F"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1A2968E7" w14:textId="77777777" w:rsidR="00453E26" w:rsidRPr="00CF31E0" w:rsidRDefault="00453E26" w:rsidP="00453E26">
            <w:pPr>
              <w:rPr>
                <w:color w:val="000000" w:themeColor="text1"/>
                <w:sz w:val="22"/>
                <w:szCs w:val="22"/>
              </w:rPr>
            </w:pPr>
          </w:p>
          <w:p w14:paraId="41AA3438"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39A21B11" w14:textId="77777777" w:rsidR="00453E26" w:rsidRPr="00CF31E0" w:rsidRDefault="00453E26" w:rsidP="00453E26">
            <w:pPr>
              <w:rPr>
                <w:color w:val="000000" w:themeColor="text1"/>
                <w:sz w:val="22"/>
                <w:szCs w:val="22"/>
              </w:rPr>
            </w:pPr>
          </w:p>
          <w:p w14:paraId="1AF52309"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494DCB2A" w14:textId="77777777" w:rsidR="00453E26" w:rsidRPr="00CF31E0" w:rsidRDefault="00453E26" w:rsidP="00453E26">
            <w:pPr>
              <w:rPr>
                <w:color w:val="000000" w:themeColor="text1"/>
                <w:sz w:val="22"/>
                <w:szCs w:val="22"/>
              </w:rPr>
            </w:pPr>
          </w:p>
          <w:p w14:paraId="4877DB41"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39233404" w14:textId="77777777" w:rsidR="00453E26" w:rsidRPr="00CF31E0" w:rsidRDefault="00453E26" w:rsidP="00453E26">
            <w:pPr>
              <w:jc w:val="center"/>
              <w:rPr>
                <w:color w:val="000000" w:themeColor="text1"/>
                <w:sz w:val="22"/>
                <w:szCs w:val="22"/>
              </w:rPr>
            </w:pPr>
          </w:p>
          <w:p w14:paraId="168F4A68"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p w14:paraId="1226402A" w14:textId="77777777" w:rsidR="00453E26" w:rsidRPr="00CF31E0" w:rsidRDefault="00453E26" w:rsidP="00453E26">
            <w:pPr>
              <w:rPr>
                <w:color w:val="000000" w:themeColor="text1"/>
                <w:sz w:val="22"/>
                <w:szCs w:val="22"/>
              </w:rPr>
            </w:pPr>
          </w:p>
        </w:tc>
      </w:tr>
      <w:tr w:rsidR="008A1A4E" w:rsidRPr="00CF31E0" w14:paraId="75E2F117" w14:textId="77777777" w:rsidTr="00603CB7">
        <w:trPr>
          <w:trHeight w:val="699"/>
        </w:trPr>
        <w:tc>
          <w:tcPr>
            <w:tcW w:w="4644" w:type="dxa"/>
          </w:tcPr>
          <w:p w14:paraId="02B7A531" w14:textId="77777777" w:rsidR="00453E26" w:rsidRPr="00CF31E0" w:rsidRDefault="00453E26" w:rsidP="00453E26">
            <w:pPr>
              <w:rPr>
                <w:color w:val="000000" w:themeColor="text1"/>
                <w:sz w:val="22"/>
                <w:szCs w:val="22"/>
              </w:rPr>
            </w:pPr>
          </w:p>
          <w:p w14:paraId="5A490C76" w14:textId="77777777" w:rsidR="00453E26" w:rsidRPr="00CF31E0" w:rsidRDefault="00453E26" w:rsidP="00453E26">
            <w:pPr>
              <w:rPr>
                <w:color w:val="000000" w:themeColor="text1"/>
                <w:sz w:val="22"/>
                <w:szCs w:val="22"/>
              </w:rPr>
            </w:pPr>
            <w:r w:rsidRPr="00CF31E0">
              <w:rPr>
                <w:color w:val="000000" w:themeColor="text1"/>
                <w:sz w:val="22"/>
                <w:szCs w:val="22"/>
              </w:rPr>
              <w:t xml:space="preserve">Difficult to understand </w:t>
            </w:r>
            <w:r w:rsidRPr="00CF31E0">
              <w:rPr>
                <w:color w:val="000000" w:themeColor="text1"/>
                <w:sz w:val="22"/>
                <w:szCs w:val="22"/>
                <w:lang w:val="en-US"/>
              </w:rPr>
              <w:t xml:space="preserve">the meaning of its words </w:t>
            </w:r>
          </w:p>
        </w:tc>
        <w:tc>
          <w:tcPr>
            <w:tcW w:w="567" w:type="dxa"/>
          </w:tcPr>
          <w:p w14:paraId="3F6FE588" w14:textId="77777777" w:rsidR="00453E26" w:rsidRPr="00CF31E0" w:rsidRDefault="00453E26" w:rsidP="00453E26">
            <w:pPr>
              <w:rPr>
                <w:color w:val="000000" w:themeColor="text1"/>
                <w:sz w:val="22"/>
                <w:szCs w:val="22"/>
              </w:rPr>
            </w:pPr>
          </w:p>
          <w:p w14:paraId="42C57B02"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2D0CC515" w14:textId="77777777" w:rsidR="00453E26" w:rsidRPr="00CF31E0" w:rsidRDefault="00453E26" w:rsidP="00453E26">
            <w:pPr>
              <w:rPr>
                <w:color w:val="000000" w:themeColor="text1"/>
                <w:sz w:val="22"/>
                <w:szCs w:val="22"/>
              </w:rPr>
            </w:pPr>
          </w:p>
          <w:p w14:paraId="5DF189CC"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164048C7" w14:textId="77777777" w:rsidR="00453E26" w:rsidRPr="00CF31E0" w:rsidRDefault="00453E26" w:rsidP="00453E26">
            <w:pPr>
              <w:rPr>
                <w:color w:val="000000" w:themeColor="text1"/>
                <w:sz w:val="22"/>
                <w:szCs w:val="22"/>
              </w:rPr>
            </w:pPr>
          </w:p>
          <w:p w14:paraId="3B34C2D3"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7222EBE5" w14:textId="77777777" w:rsidR="00453E26" w:rsidRPr="00CF31E0" w:rsidRDefault="00453E26" w:rsidP="00453E26">
            <w:pPr>
              <w:rPr>
                <w:color w:val="000000" w:themeColor="text1"/>
                <w:sz w:val="22"/>
                <w:szCs w:val="22"/>
              </w:rPr>
            </w:pPr>
          </w:p>
          <w:p w14:paraId="40C0A8D4"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3A19916D" w14:textId="77777777" w:rsidR="00453E26" w:rsidRPr="00CF31E0" w:rsidRDefault="00453E26" w:rsidP="00453E26">
            <w:pPr>
              <w:rPr>
                <w:color w:val="000000" w:themeColor="text1"/>
                <w:sz w:val="22"/>
                <w:szCs w:val="22"/>
              </w:rPr>
            </w:pPr>
          </w:p>
          <w:p w14:paraId="01ECD639"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tc>
      </w:tr>
      <w:tr w:rsidR="008A1A4E" w:rsidRPr="00CF31E0" w14:paraId="686EE7B1" w14:textId="77777777" w:rsidTr="00603CB7">
        <w:trPr>
          <w:trHeight w:val="1006"/>
        </w:trPr>
        <w:tc>
          <w:tcPr>
            <w:tcW w:w="4644" w:type="dxa"/>
          </w:tcPr>
          <w:p w14:paraId="1E47FBE4" w14:textId="77777777" w:rsidR="00453E26" w:rsidRPr="00CF31E0" w:rsidRDefault="00453E26" w:rsidP="00453E26">
            <w:pPr>
              <w:rPr>
                <w:color w:val="000000" w:themeColor="text1"/>
                <w:sz w:val="22"/>
                <w:szCs w:val="22"/>
              </w:rPr>
            </w:pPr>
          </w:p>
          <w:p w14:paraId="4A971FE3" w14:textId="460996D3" w:rsidR="00453E26" w:rsidRPr="00CF31E0" w:rsidRDefault="001136D4" w:rsidP="00453E26">
            <w:pPr>
              <w:rPr>
                <w:color w:val="000000" w:themeColor="text1"/>
                <w:sz w:val="22"/>
                <w:szCs w:val="22"/>
              </w:rPr>
            </w:pPr>
            <w:r w:rsidRPr="00CF31E0">
              <w:rPr>
                <w:color w:val="000000" w:themeColor="text1"/>
                <w:sz w:val="22"/>
                <w:szCs w:val="22"/>
              </w:rPr>
              <w:t>C</w:t>
            </w:r>
            <w:r w:rsidR="00453E26" w:rsidRPr="00CF31E0">
              <w:rPr>
                <w:color w:val="000000" w:themeColor="text1"/>
                <w:sz w:val="22"/>
                <w:szCs w:val="22"/>
              </w:rPr>
              <w:t>om</w:t>
            </w:r>
            <w:r w:rsidRPr="00CF31E0">
              <w:rPr>
                <w:color w:val="000000" w:themeColor="text1"/>
                <w:sz w:val="22"/>
                <w:szCs w:val="22"/>
              </w:rPr>
              <w:t>mon in towns</w:t>
            </w:r>
          </w:p>
        </w:tc>
        <w:tc>
          <w:tcPr>
            <w:tcW w:w="567" w:type="dxa"/>
          </w:tcPr>
          <w:p w14:paraId="22AF1AF0" w14:textId="77777777" w:rsidR="00453E26" w:rsidRPr="00CF31E0" w:rsidRDefault="00453E26" w:rsidP="00453E26">
            <w:pPr>
              <w:rPr>
                <w:color w:val="000000" w:themeColor="text1"/>
                <w:sz w:val="22"/>
                <w:szCs w:val="22"/>
              </w:rPr>
            </w:pPr>
          </w:p>
          <w:p w14:paraId="32A92A00"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1EBD2069" w14:textId="77777777" w:rsidR="00453E26" w:rsidRPr="00CF31E0" w:rsidRDefault="00453E26" w:rsidP="00453E26">
            <w:pPr>
              <w:rPr>
                <w:color w:val="000000" w:themeColor="text1"/>
                <w:sz w:val="22"/>
                <w:szCs w:val="22"/>
              </w:rPr>
            </w:pPr>
          </w:p>
          <w:p w14:paraId="589130E3"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550D5F03" w14:textId="77777777" w:rsidR="00453E26" w:rsidRPr="00CF31E0" w:rsidRDefault="00453E26" w:rsidP="00453E26">
            <w:pPr>
              <w:rPr>
                <w:color w:val="000000" w:themeColor="text1"/>
                <w:sz w:val="22"/>
                <w:szCs w:val="22"/>
              </w:rPr>
            </w:pPr>
          </w:p>
          <w:p w14:paraId="7D02DB2A"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719EDBBB" w14:textId="77777777" w:rsidR="00453E26" w:rsidRPr="00CF31E0" w:rsidRDefault="00453E26" w:rsidP="00453E26">
            <w:pPr>
              <w:rPr>
                <w:color w:val="000000" w:themeColor="text1"/>
                <w:sz w:val="22"/>
                <w:szCs w:val="22"/>
              </w:rPr>
            </w:pPr>
          </w:p>
          <w:p w14:paraId="76609056"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718E39BC" w14:textId="77777777" w:rsidR="00453E26" w:rsidRPr="00CF31E0" w:rsidRDefault="00453E26" w:rsidP="00453E26">
            <w:pPr>
              <w:jc w:val="center"/>
              <w:rPr>
                <w:color w:val="000000" w:themeColor="text1"/>
                <w:sz w:val="22"/>
                <w:szCs w:val="22"/>
              </w:rPr>
            </w:pPr>
          </w:p>
          <w:p w14:paraId="7849E34B"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p w14:paraId="45A1BA25" w14:textId="77777777" w:rsidR="00453E26" w:rsidRPr="00CF31E0" w:rsidRDefault="00453E26" w:rsidP="00453E26">
            <w:pPr>
              <w:rPr>
                <w:color w:val="000000" w:themeColor="text1"/>
                <w:sz w:val="22"/>
                <w:szCs w:val="22"/>
              </w:rPr>
            </w:pPr>
          </w:p>
        </w:tc>
      </w:tr>
      <w:tr w:rsidR="008A1A4E" w:rsidRPr="00CF31E0" w14:paraId="40041AC5" w14:textId="77777777" w:rsidTr="00603CB7">
        <w:trPr>
          <w:trHeight w:val="699"/>
        </w:trPr>
        <w:tc>
          <w:tcPr>
            <w:tcW w:w="4644" w:type="dxa"/>
          </w:tcPr>
          <w:p w14:paraId="01BB71BB" w14:textId="77777777" w:rsidR="00453E26" w:rsidRPr="00CF31E0" w:rsidRDefault="00453E26" w:rsidP="00453E26">
            <w:pPr>
              <w:rPr>
                <w:color w:val="000000" w:themeColor="text1"/>
                <w:sz w:val="22"/>
                <w:szCs w:val="22"/>
              </w:rPr>
            </w:pPr>
          </w:p>
          <w:p w14:paraId="0F06D327" w14:textId="77777777" w:rsidR="00453E26" w:rsidRPr="00CF31E0" w:rsidRDefault="00453E26" w:rsidP="00453E26">
            <w:pPr>
              <w:rPr>
                <w:color w:val="000000" w:themeColor="text1"/>
                <w:sz w:val="22"/>
                <w:szCs w:val="22"/>
              </w:rPr>
            </w:pPr>
            <w:r w:rsidRPr="00CF31E0">
              <w:rPr>
                <w:color w:val="000000" w:themeColor="text1"/>
                <w:sz w:val="22"/>
                <w:szCs w:val="22"/>
              </w:rPr>
              <w:t>Some of the letters are not produced from the proper sound targets</w:t>
            </w:r>
          </w:p>
        </w:tc>
        <w:tc>
          <w:tcPr>
            <w:tcW w:w="567" w:type="dxa"/>
          </w:tcPr>
          <w:p w14:paraId="13DF25D6" w14:textId="77777777" w:rsidR="00453E26" w:rsidRPr="00CF31E0" w:rsidRDefault="00453E26" w:rsidP="00453E26">
            <w:pPr>
              <w:rPr>
                <w:color w:val="000000" w:themeColor="text1"/>
                <w:sz w:val="22"/>
                <w:szCs w:val="22"/>
              </w:rPr>
            </w:pPr>
          </w:p>
          <w:p w14:paraId="72BB42BA"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14FBDE6C" w14:textId="77777777" w:rsidR="00453E26" w:rsidRPr="00CF31E0" w:rsidRDefault="00453E26" w:rsidP="00453E26">
            <w:pPr>
              <w:rPr>
                <w:color w:val="000000" w:themeColor="text1"/>
                <w:sz w:val="22"/>
                <w:szCs w:val="22"/>
              </w:rPr>
            </w:pPr>
          </w:p>
          <w:p w14:paraId="1D908AA9"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4D243C6D" w14:textId="77777777" w:rsidR="00453E26" w:rsidRPr="00CF31E0" w:rsidRDefault="00453E26" w:rsidP="00453E26">
            <w:pPr>
              <w:rPr>
                <w:color w:val="000000" w:themeColor="text1"/>
                <w:sz w:val="22"/>
                <w:szCs w:val="22"/>
              </w:rPr>
            </w:pPr>
          </w:p>
          <w:p w14:paraId="022F02EF"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60903C6D" w14:textId="77777777" w:rsidR="00453E26" w:rsidRPr="00CF31E0" w:rsidRDefault="00453E26" w:rsidP="00453E26">
            <w:pPr>
              <w:rPr>
                <w:color w:val="000000" w:themeColor="text1"/>
                <w:sz w:val="22"/>
                <w:szCs w:val="22"/>
              </w:rPr>
            </w:pPr>
          </w:p>
          <w:p w14:paraId="186B04E2"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5CA71011" w14:textId="77777777" w:rsidR="00453E26" w:rsidRPr="00CF31E0" w:rsidRDefault="00453E26" w:rsidP="00453E26">
            <w:pPr>
              <w:rPr>
                <w:color w:val="000000" w:themeColor="text1"/>
                <w:sz w:val="22"/>
                <w:szCs w:val="22"/>
              </w:rPr>
            </w:pPr>
          </w:p>
          <w:p w14:paraId="10203E56"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tc>
      </w:tr>
      <w:tr w:rsidR="008A1A4E" w:rsidRPr="00CF31E0" w14:paraId="59EF4983" w14:textId="77777777" w:rsidTr="00603CB7">
        <w:trPr>
          <w:trHeight w:val="724"/>
        </w:trPr>
        <w:tc>
          <w:tcPr>
            <w:tcW w:w="4644" w:type="dxa"/>
          </w:tcPr>
          <w:p w14:paraId="7883D3E0" w14:textId="77777777" w:rsidR="00453E26" w:rsidRPr="00CF31E0" w:rsidRDefault="00453E26" w:rsidP="00453E26">
            <w:pPr>
              <w:rPr>
                <w:color w:val="000000" w:themeColor="text1"/>
                <w:sz w:val="22"/>
                <w:szCs w:val="22"/>
              </w:rPr>
            </w:pPr>
          </w:p>
          <w:p w14:paraId="7464302F" w14:textId="77777777" w:rsidR="00453E26" w:rsidRPr="00CF31E0" w:rsidRDefault="00453E26" w:rsidP="00453E26">
            <w:pPr>
              <w:rPr>
                <w:color w:val="000000" w:themeColor="text1"/>
                <w:sz w:val="22"/>
                <w:szCs w:val="22"/>
              </w:rPr>
            </w:pPr>
            <w:r w:rsidRPr="00CF31E0">
              <w:rPr>
                <w:color w:val="000000" w:themeColor="text1"/>
                <w:sz w:val="22"/>
                <w:szCs w:val="22"/>
              </w:rPr>
              <w:t>Signifies tribal loyalty</w:t>
            </w:r>
          </w:p>
        </w:tc>
        <w:tc>
          <w:tcPr>
            <w:tcW w:w="567" w:type="dxa"/>
          </w:tcPr>
          <w:p w14:paraId="429965FF" w14:textId="77777777" w:rsidR="00453E26" w:rsidRPr="00CF31E0" w:rsidRDefault="00453E26" w:rsidP="00453E26">
            <w:pPr>
              <w:rPr>
                <w:color w:val="000000" w:themeColor="text1"/>
                <w:sz w:val="22"/>
                <w:szCs w:val="22"/>
              </w:rPr>
            </w:pPr>
          </w:p>
          <w:p w14:paraId="11EAC945"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7738298A" w14:textId="77777777" w:rsidR="00453E26" w:rsidRPr="00CF31E0" w:rsidRDefault="00453E26" w:rsidP="00453E26">
            <w:pPr>
              <w:rPr>
                <w:color w:val="000000" w:themeColor="text1"/>
                <w:sz w:val="22"/>
                <w:szCs w:val="22"/>
              </w:rPr>
            </w:pPr>
          </w:p>
          <w:p w14:paraId="409E8C4B"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1D78E826" w14:textId="77777777" w:rsidR="00453E26" w:rsidRPr="00CF31E0" w:rsidRDefault="00453E26" w:rsidP="00453E26">
            <w:pPr>
              <w:rPr>
                <w:color w:val="000000" w:themeColor="text1"/>
                <w:sz w:val="22"/>
                <w:szCs w:val="22"/>
              </w:rPr>
            </w:pPr>
          </w:p>
          <w:p w14:paraId="426EB78C"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2C84431D" w14:textId="77777777" w:rsidR="00453E26" w:rsidRPr="00CF31E0" w:rsidRDefault="00453E26" w:rsidP="00453E26">
            <w:pPr>
              <w:rPr>
                <w:color w:val="000000" w:themeColor="text1"/>
                <w:sz w:val="22"/>
                <w:szCs w:val="22"/>
              </w:rPr>
            </w:pPr>
          </w:p>
          <w:p w14:paraId="690F6D6C"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0FE5C9CA" w14:textId="77777777" w:rsidR="00453E26" w:rsidRPr="00CF31E0" w:rsidRDefault="00453E26" w:rsidP="00453E26">
            <w:pPr>
              <w:jc w:val="center"/>
              <w:rPr>
                <w:color w:val="000000" w:themeColor="text1"/>
                <w:sz w:val="22"/>
                <w:szCs w:val="22"/>
              </w:rPr>
            </w:pPr>
          </w:p>
          <w:p w14:paraId="7D7B0007"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p w14:paraId="72BD0ED7" w14:textId="77777777" w:rsidR="00453E26" w:rsidRPr="00CF31E0" w:rsidRDefault="00453E26" w:rsidP="00453E26">
            <w:pPr>
              <w:rPr>
                <w:color w:val="000000" w:themeColor="text1"/>
                <w:sz w:val="22"/>
                <w:szCs w:val="22"/>
              </w:rPr>
            </w:pPr>
          </w:p>
        </w:tc>
      </w:tr>
      <w:tr w:rsidR="008A1A4E" w:rsidRPr="00CF31E0" w14:paraId="5BC3EC62" w14:textId="77777777" w:rsidTr="00603CB7">
        <w:trPr>
          <w:trHeight w:val="699"/>
        </w:trPr>
        <w:tc>
          <w:tcPr>
            <w:tcW w:w="4644" w:type="dxa"/>
          </w:tcPr>
          <w:p w14:paraId="4BE406B9" w14:textId="77777777" w:rsidR="00453E26" w:rsidRPr="00CF31E0" w:rsidRDefault="00453E26" w:rsidP="00453E26">
            <w:pPr>
              <w:rPr>
                <w:color w:val="000000" w:themeColor="text1"/>
                <w:sz w:val="22"/>
                <w:szCs w:val="22"/>
              </w:rPr>
            </w:pPr>
          </w:p>
          <w:p w14:paraId="05E2C2C6" w14:textId="77777777" w:rsidR="00453E26" w:rsidRPr="00CF31E0" w:rsidRDefault="00453E26" w:rsidP="00453E26">
            <w:pPr>
              <w:rPr>
                <w:color w:val="000000" w:themeColor="text1"/>
                <w:sz w:val="22"/>
                <w:szCs w:val="22"/>
              </w:rPr>
            </w:pPr>
            <w:r w:rsidRPr="00CF31E0">
              <w:rPr>
                <w:color w:val="000000" w:themeColor="text1"/>
                <w:sz w:val="22"/>
                <w:szCs w:val="22"/>
              </w:rPr>
              <w:t>Modern</w:t>
            </w:r>
          </w:p>
        </w:tc>
        <w:tc>
          <w:tcPr>
            <w:tcW w:w="567" w:type="dxa"/>
          </w:tcPr>
          <w:p w14:paraId="6756D80E" w14:textId="77777777" w:rsidR="00453E26" w:rsidRPr="00CF31E0" w:rsidRDefault="00453E26" w:rsidP="00453E26">
            <w:pPr>
              <w:rPr>
                <w:color w:val="000000" w:themeColor="text1"/>
                <w:sz w:val="22"/>
                <w:szCs w:val="22"/>
              </w:rPr>
            </w:pPr>
          </w:p>
          <w:p w14:paraId="09AB7EC9"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132B9580" w14:textId="77777777" w:rsidR="00453E26" w:rsidRPr="00CF31E0" w:rsidRDefault="00453E26" w:rsidP="00453E26">
            <w:pPr>
              <w:rPr>
                <w:color w:val="000000" w:themeColor="text1"/>
                <w:sz w:val="22"/>
                <w:szCs w:val="22"/>
              </w:rPr>
            </w:pPr>
          </w:p>
          <w:p w14:paraId="0A1316FC"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19657FF7" w14:textId="77777777" w:rsidR="00453E26" w:rsidRPr="00CF31E0" w:rsidRDefault="00453E26" w:rsidP="00453E26">
            <w:pPr>
              <w:rPr>
                <w:color w:val="000000" w:themeColor="text1"/>
                <w:sz w:val="22"/>
                <w:szCs w:val="22"/>
              </w:rPr>
            </w:pPr>
          </w:p>
          <w:p w14:paraId="65EAE5F8"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7F85409E" w14:textId="77777777" w:rsidR="00453E26" w:rsidRPr="00CF31E0" w:rsidRDefault="00453E26" w:rsidP="00453E26">
            <w:pPr>
              <w:rPr>
                <w:color w:val="000000" w:themeColor="text1"/>
                <w:sz w:val="22"/>
                <w:szCs w:val="22"/>
              </w:rPr>
            </w:pPr>
          </w:p>
          <w:p w14:paraId="360CF252"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29B91679" w14:textId="77777777" w:rsidR="00453E26" w:rsidRPr="00CF31E0" w:rsidRDefault="00453E26" w:rsidP="00453E26">
            <w:pPr>
              <w:rPr>
                <w:color w:val="000000" w:themeColor="text1"/>
                <w:sz w:val="22"/>
                <w:szCs w:val="22"/>
              </w:rPr>
            </w:pPr>
          </w:p>
          <w:p w14:paraId="3C9FDBE6"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tc>
      </w:tr>
      <w:tr w:rsidR="008A1A4E" w:rsidRPr="00CF31E0" w14:paraId="1BCC076E" w14:textId="77777777" w:rsidTr="00603CB7">
        <w:trPr>
          <w:trHeight w:val="724"/>
        </w:trPr>
        <w:tc>
          <w:tcPr>
            <w:tcW w:w="4644" w:type="dxa"/>
          </w:tcPr>
          <w:p w14:paraId="06503FAD" w14:textId="77777777" w:rsidR="00453E26" w:rsidRPr="00CF31E0" w:rsidRDefault="00453E26" w:rsidP="00453E26">
            <w:pPr>
              <w:rPr>
                <w:color w:val="000000" w:themeColor="text1"/>
                <w:sz w:val="22"/>
                <w:szCs w:val="22"/>
              </w:rPr>
            </w:pPr>
          </w:p>
          <w:p w14:paraId="4FA77BAE" w14:textId="10C05422" w:rsidR="00453E26" w:rsidRPr="00CF31E0" w:rsidRDefault="001136D4" w:rsidP="00453E26">
            <w:pPr>
              <w:rPr>
                <w:color w:val="000000" w:themeColor="text1"/>
                <w:sz w:val="22"/>
                <w:szCs w:val="22"/>
              </w:rPr>
            </w:pPr>
            <w:r w:rsidRPr="00CF31E0">
              <w:rPr>
                <w:color w:val="000000" w:themeColor="text1"/>
                <w:sz w:val="22"/>
                <w:szCs w:val="22"/>
              </w:rPr>
              <w:t>Easy to</w:t>
            </w:r>
            <w:r w:rsidR="00453E26" w:rsidRPr="00CF31E0">
              <w:rPr>
                <w:color w:val="000000" w:themeColor="text1"/>
                <w:sz w:val="22"/>
                <w:szCs w:val="22"/>
              </w:rPr>
              <w:t xml:space="preserve"> imitate.</w:t>
            </w:r>
          </w:p>
        </w:tc>
        <w:tc>
          <w:tcPr>
            <w:tcW w:w="567" w:type="dxa"/>
          </w:tcPr>
          <w:p w14:paraId="6740A603" w14:textId="77777777" w:rsidR="00453E26" w:rsidRPr="00CF31E0" w:rsidRDefault="00453E26" w:rsidP="00453E26">
            <w:pPr>
              <w:rPr>
                <w:color w:val="000000" w:themeColor="text1"/>
                <w:sz w:val="22"/>
                <w:szCs w:val="22"/>
              </w:rPr>
            </w:pPr>
          </w:p>
          <w:p w14:paraId="362DBF32"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140CAF8B" w14:textId="77777777" w:rsidR="00453E26" w:rsidRPr="00CF31E0" w:rsidRDefault="00453E26" w:rsidP="00453E26">
            <w:pPr>
              <w:rPr>
                <w:color w:val="000000" w:themeColor="text1"/>
                <w:sz w:val="22"/>
                <w:szCs w:val="22"/>
              </w:rPr>
            </w:pPr>
          </w:p>
          <w:p w14:paraId="45B71AD2"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1C8CD464" w14:textId="77777777" w:rsidR="00453E26" w:rsidRPr="00CF31E0" w:rsidRDefault="00453E26" w:rsidP="00453E26">
            <w:pPr>
              <w:rPr>
                <w:color w:val="000000" w:themeColor="text1"/>
                <w:sz w:val="22"/>
                <w:szCs w:val="22"/>
              </w:rPr>
            </w:pPr>
          </w:p>
          <w:p w14:paraId="61BCBB98"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2075AA0F" w14:textId="77777777" w:rsidR="00453E26" w:rsidRPr="00CF31E0" w:rsidRDefault="00453E26" w:rsidP="00453E26">
            <w:pPr>
              <w:rPr>
                <w:color w:val="000000" w:themeColor="text1"/>
                <w:sz w:val="22"/>
                <w:szCs w:val="22"/>
              </w:rPr>
            </w:pPr>
          </w:p>
          <w:p w14:paraId="5D09D43E"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5D2043B6" w14:textId="77777777" w:rsidR="00453E26" w:rsidRPr="00CF31E0" w:rsidRDefault="00453E26" w:rsidP="00453E26">
            <w:pPr>
              <w:jc w:val="center"/>
              <w:rPr>
                <w:color w:val="000000" w:themeColor="text1"/>
                <w:sz w:val="22"/>
                <w:szCs w:val="22"/>
              </w:rPr>
            </w:pPr>
          </w:p>
          <w:p w14:paraId="39D27A41"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p w14:paraId="5AA8E0FC" w14:textId="77777777" w:rsidR="00453E26" w:rsidRPr="00CF31E0" w:rsidRDefault="00453E26" w:rsidP="00453E26">
            <w:pPr>
              <w:rPr>
                <w:color w:val="000000" w:themeColor="text1"/>
                <w:sz w:val="22"/>
                <w:szCs w:val="22"/>
              </w:rPr>
            </w:pPr>
          </w:p>
        </w:tc>
      </w:tr>
      <w:tr w:rsidR="008A1A4E" w:rsidRPr="00CF31E0" w14:paraId="4601AD14" w14:textId="77777777" w:rsidTr="00603CB7">
        <w:trPr>
          <w:trHeight w:val="699"/>
        </w:trPr>
        <w:tc>
          <w:tcPr>
            <w:tcW w:w="4644" w:type="dxa"/>
          </w:tcPr>
          <w:p w14:paraId="7D45BF4E" w14:textId="77777777" w:rsidR="00453E26" w:rsidRPr="00CF31E0" w:rsidRDefault="00453E26" w:rsidP="00453E26">
            <w:pPr>
              <w:rPr>
                <w:color w:val="000000" w:themeColor="text1"/>
                <w:sz w:val="22"/>
                <w:szCs w:val="22"/>
              </w:rPr>
            </w:pPr>
          </w:p>
          <w:p w14:paraId="77C903F3" w14:textId="77777777" w:rsidR="00453E26" w:rsidRPr="00CF31E0" w:rsidRDefault="00453E26" w:rsidP="00453E26">
            <w:pPr>
              <w:rPr>
                <w:color w:val="000000" w:themeColor="text1"/>
                <w:sz w:val="22"/>
                <w:szCs w:val="22"/>
              </w:rPr>
            </w:pPr>
            <w:r w:rsidRPr="00CF31E0">
              <w:rPr>
                <w:color w:val="000000" w:themeColor="text1"/>
                <w:sz w:val="22"/>
                <w:szCs w:val="22"/>
              </w:rPr>
              <w:t>Masculine</w:t>
            </w:r>
          </w:p>
        </w:tc>
        <w:tc>
          <w:tcPr>
            <w:tcW w:w="567" w:type="dxa"/>
          </w:tcPr>
          <w:p w14:paraId="75A981C7" w14:textId="77777777" w:rsidR="00453E26" w:rsidRPr="00CF31E0" w:rsidRDefault="00453E26" w:rsidP="00453E26">
            <w:pPr>
              <w:rPr>
                <w:color w:val="000000" w:themeColor="text1"/>
                <w:sz w:val="22"/>
                <w:szCs w:val="22"/>
              </w:rPr>
            </w:pPr>
          </w:p>
          <w:p w14:paraId="02E49CEB"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17648CF6" w14:textId="77777777" w:rsidR="00453E26" w:rsidRPr="00CF31E0" w:rsidRDefault="00453E26" w:rsidP="00453E26">
            <w:pPr>
              <w:rPr>
                <w:color w:val="000000" w:themeColor="text1"/>
                <w:sz w:val="22"/>
                <w:szCs w:val="22"/>
              </w:rPr>
            </w:pPr>
          </w:p>
          <w:p w14:paraId="07806595"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63C5AFB0" w14:textId="77777777" w:rsidR="00453E26" w:rsidRPr="00CF31E0" w:rsidRDefault="00453E26" w:rsidP="00453E26">
            <w:pPr>
              <w:rPr>
                <w:color w:val="000000" w:themeColor="text1"/>
                <w:sz w:val="22"/>
                <w:szCs w:val="22"/>
              </w:rPr>
            </w:pPr>
          </w:p>
          <w:p w14:paraId="31F1D35F"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2546B496" w14:textId="77777777" w:rsidR="00453E26" w:rsidRPr="00CF31E0" w:rsidRDefault="00453E26" w:rsidP="00453E26">
            <w:pPr>
              <w:rPr>
                <w:color w:val="000000" w:themeColor="text1"/>
                <w:sz w:val="22"/>
                <w:szCs w:val="22"/>
              </w:rPr>
            </w:pPr>
          </w:p>
          <w:p w14:paraId="248AA680"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76224554" w14:textId="77777777" w:rsidR="00453E26" w:rsidRPr="00CF31E0" w:rsidRDefault="00453E26" w:rsidP="00453E26">
            <w:pPr>
              <w:rPr>
                <w:color w:val="000000" w:themeColor="text1"/>
                <w:sz w:val="22"/>
                <w:szCs w:val="22"/>
              </w:rPr>
            </w:pPr>
          </w:p>
          <w:p w14:paraId="1BCA96A3"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tc>
      </w:tr>
      <w:tr w:rsidR="008A1A4E" w:rsidRPr="00CF31E0" w14:paraId="06999C2C" w14:textId="77777777" w:rsidTr="00603CB7">
        <w:trPr>
          <w:trHeight w:val="702"/>
        </w:trPr>
        <w:tc>
          <w:tcPr>
            <w:tcW w:w="4644" w:type="dxa"/>
          </w:tcPr>
          <w:p w14:paraId="4959A524" w14:textId="77777777" w:rsidR="00453E26" w:rsidRPr="00CF31E0" w:rsidRDefault="00453E26" w:rsidP="00453E26">
            <w:pPr>
              <w:rPr>
                <w:color w:val="000000" w:themeColor="text1"/>
                <w:sz w:val="22"/>
                <w:szCs w:val="22"/>
              </w:rPr>
            </w:pPr>
          </w:p>
          <w:p w14:paraId="0F213DDB" w14:textId="77777777" w:rsidR="00453E26" w:rsidRPr="00CF31E0" w:rsidRDefault="00453E26" w:rsidP="00453E26">
            <w:pPr>
              <w:rPr>
                <w:color w:val="000000" w:themeColor="text1"/>
                <w:sz w:val="22"/>
                <w:szCs w:val="22"/>
              </w:rPr>
            </w:pPr>
            <w:r w:rsidRPr="00CF31E0">
              <w:rPr>
                <w:color w:val="000000" w:themeColor="text1"/>
                <w:sz w:val="22"/>
                <w:szCs w:val="22"/>
              </w:rPr>
              <w:t>Practical</w:t>
            </w:r>
          </w:p>
          <w:p w14:paraId="094EC3FE" w14:textId="77777777" w:rsidR="00453E26" w:rsidRPr="00CF31E0" w:rsidRDefault="00453E26" w:rsidP="00453E26">
            <w:pPr>
              <w:rPr>
                <w:color w:val="000000" w:themeColor="text1"/>
                <w:sz w:val="22"/>
                <w:szCs w:val="22"/>
              </w:rPr>
            </w:pPr>
            <w:r w:rsidRPr="00CF31E0">
              <w:rPr>
                <w:color w:val="000000" w:themeColor="text1"/>
                <w:sz w:val="22"/>
                <w:szCs w:val="22"/>
              </w:rPr>
              <w:t xml:space="preserve"> </w:t>
            </w:r>
          </w:p>
        </w:tc>
        <w:tc>
          <w:tcPr>
            <w:tcW w:w="567" w:type="dxa"/>
          </w:tcPr>
          <w:p w14:paraId="2DC19B0D" w14:textId="77777777" w:rsidR="00453E26" w:rsidRPr="00CF31E0" w:rsidRDefault="00453E26" w:rsidP="00453E26">
            <w:pPr>
              <w:rPr>
                <w:color w:val="000000" w:themeColor="text1"/>
                <w:sz w:val="22"/>
                <w:szCs w:val="22"/>
              </w:rPr>
            </w:pPr>
          </w:p>
          <w:p w14:paraId="776608E7"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20707530" w14:textId="77777777" w:rsidR="00453E26" w:rsidRPr="00CF31E0" w:rsidRDefault="00453E26" w:rsidP="00453E26">
            <w:pPr>
              <w:rPr>
                <w:color w:val="000000" w:themeColor="text1"/>
                <w:sz w:val="22"/>
                <w:szCs w:val="22"/>
              </w:rPr>
            </w:pPr>
          </w:p>
          <w:p w14:paraId="154C823D"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332D22CC" w14:textId="77777777" w:rsidR="00453E26" w:rsidRPr="00CF31E0" w:rsidRDefault="00453E26" w:rsidP="00453E26">
            <w:pPr>
              <w:rPr>
                <w:color w:val="000000" w:themeColor="text1"/>
                <w:sz w:val="22"/>
                <w:szCs w:val="22"/>
              </w:rPr>
            </w:pPr>
          </w:p>
          <w:p w14:paraId="659CAE45"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46D675D1" w14:textId="77777777" w:rsidR="00453E26" w:rsidRPr="00CF31E0" w:rsidRDefault="00453E26" w:rsidP="00453E26">
            <w:pPr>
              <w:rPr>
                <w:color w:val="000000" w:themeColor="text1"/>
                <w:sz w:val="22"/>
                <w:szCs w:val="22"/>
              </w:rPr>
            </w:pPr>
          </w:p>
          <w:p w14:paraId="2C72AA38"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45F8F146" w14:textId="77777777" w:rsidR="00453E26" w:rsidRPr="00CF31E0" w:rsidRDefault="00453E26" w:rsidP="00453E26">
            <w:pPr>
              <w:jc w:val="center"/>
              <w:rPr>
                <w:color w:val="000000" w:themeColor="text1"/>
                <w:sz w:val="22"/>
                <w:szCs w:val="22"/>
              </w:rPr>
            </w:pPr>
          </w:p>
          <w:p w14:paraId="7A4CD67B"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p w14:paraId="70CD1488" w14:textId="77777777" w:rsidR="00453E26" w:rsidRPr="00CF31E0" w:rsidRDefault="00453E26" w:rsidP="00453E26">
            <w:pPr>
              <w:rPr>
                <w:color w:val="000000" w:themeColor="text1"/>
                <w:sz w:val="22"/>
                <w:szCs w:val="22"/>
              </w:rPr>
            </w:pPr>
          </w:p>
        </w:tc>
      </w:tr>
      <w:tr w:rsidR="008A1A4E" w:rsidRPr="00CF31E0" w14:paraId="79BD2E13" w14:textId="77777777" w:rsidTr="00603CB7">
        <w:trPr>
          <w:trHeight w:val="699"/>
        </w:trPr>
        <w:tc>
          <w:tcPr>
            <w:tcW w:w="4644" w:type="dxa"/>
          </w:tcPr>
          <w:p w14:paraId="4E08F3B7" w14:textId="77777777" w:rsidR="00453E26" w:rsidRPr="00CF31E0" w:rsidRDefault="00453E26" w:rsidP="00453E26">
            <w:pPr>
              <w:rPr>
                <w:color w:val="000000" w:themeColor="text1"/>
                <w:sz w:val="22"/>
                <w:szCs w:val="22"/>
              </w:rPr>
            </w:pPr>
          </w:p>
          <w:p w14:paraId="487A8201" w14:textId="77777777" w:rsidR="00453E26" w:rsidRPr="00CF31E0" w:rsidRDefault="00453E26" w:rsidP="00453E26">
            <w:pPr>
              <w:rPr>
                <w:color w:val="000000" w:themeColor="text1"/>
                <w:sz w:val="22"/>
                <w:szCs w:val="22"/>
              </w:rPr>
            </w:pPr>
            <w:r w:rsidRPr="00CF31E0">
              <w:rPr>
                <w:color w:val="000000" w:themeColor="text1"/>
                <w:sz w:val="22"/>
                <w:szCs w:val="22"/>
              </w:rPr>
              <w:t>Closer to modern standard Arabic (MSA)</w:t>
            </w:r>
          </w:p>
          <w:p w14:paraId="1EDA47FE" w14:textId="77777777" w:rsidR="00453E26" w:rsidRPr="00CF31E0" w:rsidRDefault="00453E26" w:rsidP="00453E26">
            <w:pPr>
              <w:rPr>
                <w:color w:val="000000" w:themeColor="text1"/>
                <w:sz w:val="22"/>
                <w:szCs w:val="22"/>
                <w:lang w:val="en-US"/>
              </w:rPr>
            </w:pPr>
          </w:p>
        </w:tc>
        <w:tc>
          <w:tcPr>
            <w:tcW w:w="567" w:type="dxa"/>
          </w:tcPr>
          <w:p w14:paraId="370896C4" w14:textId="77777777" w:rsidR="00453E26" w:rsidRPr="00CF31E0" w:rsidRDefault="00453E26" w:rsidP="00453E26">
            <w:pPr>
              <w:rPr>
                <w:color w:val="000000" w:themeColor="text1"/>
                <w:sz w:val="22"/>
                <w:szCs w:val="22"/>
              </w:rPr>
            </w:pPr>
          </w:p>
          <w:p w14:paraId="5F8CBF95"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359EA3ED" w14:textId="77777777" w:rsidR="00453E26" w:rsidRPr="00CF31E0" w:rsidRDefault="00453E26" w:rsidP="00453E26">
            <w:pPr>
              <w:rPr>
                <w:color w:val="000000" w:themeColor="text1"/>
                <w:sz w:val="22"/>
                <w:szCs w:val="22"/>
              </w:rPr>
            </w:pPr>
          </w:p>
          <w:p w14:paraId="22038B0C"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7CFA1DED" w14:textId="77777777" w:rsidR="00453E26" w:rsidRPr="00CF31E0" w:rsidRDefault="00453E26" w:rsidP="00453E26">
            <w:pPr>
              <w:rPr>
                <w:color w:val="000000" w:themeColor="text1"/>
                <w:sz w:val="22"/>
                <w:szCs w:val="22"/>
              </w:rPr>
            </w:pPr>
          </w:p>
          <w:p w14:paraId="225B13BF"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1B11499A" w14:textId="77777777" w:rsidR="00453E26" w:rsidRPr="00CF31E0" w:rsidRDefault="00453E26" w:rsidP="00453E26">
            <w:pPr>
              <w:rPr>
                <w:color w:val="000000" w:themeColor="text1"/>
                <w:sz w:val="22"/>
                <w:szCs w:val="22"/>
              </w:rPr>
            </w:pPr>
          </w:p>
          <w:p w14:paraId="014149CD"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40B9016F" w14:textId="77777777" w:rsidR="00453E26" w:rsidRPr="00CF31E0" w:rsidRDefault="00453E26" w:rsidP="00453E26">
            <w:pPr>
              <w:rPr>
                <w:color w:val="000000" w:themeColor="text1"/>
                <w:sz w:val="22"/>
                <w:szCs w:val="22"/>
              </w:rPr>
            </w:pPr>
          </w:p>
          <w:p w14:paraId="1478CF80"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tc>
      </w:tr>
      <w:tr w:rsidR="008A1A4E" w:rsidRPr="00CF31E0" w14:paraId="7F642EB6" w14:textId="77777777" w:rsidTr="00603CB7">
        <w:trPr>
          <w:trHeight w:val="724"/>
        </w:trPr>
        <w:tc>
          <w:tcPr>
            <w:tcW w:w="4644" w:type="dxa"/>
          </w:tcPr>
          <w:p w14:paraId="699D812A" w14:textId="77777777" w:rsidR="00453E26" w:rsidRPr="00CF31E0" w:rsidRDefault="00453E26" w:rsidP="00453E26">
            <w:pPr>
              <w:rPr>
                <w:color w:val="000000" w:themeColor="text1"/>
                <w:sz w:val="22"/>
                <w:szCs w:val="22"/>
              </w:rPr>
            </w:pPr>
          </w:p>
          <w:p w14:paraId="5A71289C" w14:textId="77777777" w:rsidR="00453E26" w:rsidRPr="00CF31E0" w:rsidRDefault="00453E26" w:rsidP="00453E26">
            <w:pPr>
              <w:rPr>
                <w:color w:val="000000" w:themeColor="text1"/>
                <w:sz w:val="22"/>
                <w:szCs w:val="22"/>
              </w:rPr>
            </w:pPr>
            <w:r w:rsidRPr="00CF31E0">
              <w:rPr>
                <w:color w:val="000000" w:themeColor="text1"/>
                <w:sz w:val="22"/>
                <w:szCs w:val="22"/>
              </w:rPr>
              <w:t xml:space="preserve">Easily understood by Arabs other than Saudis  </w:t>
            </w:r>
          </w:p>
        </w:tc>
        <w:tc>
          <w:tcPr>
            <w:tcW w:w="567" w:type="dxa"/>
          </w:tcPr>
          <w:p w14:paraId="422FC848" w14:textId="77777777" w:rsidR="00453E26" w:rsidRPr="00CF31E0" w:rsidRDefault="00453E26" w:rsidP="00453E26">
            <w:pPr>
              <w:rPr>
                <w:color w:val="000000" w:themeColor="text1"/>
                <w:sz w:val="22"/>
                <w:szCs w:val="22"/>
              </w:rPr>
            </w:pPr>
          </w:p>
          <w:p w14:paraId="3E23434E"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69D9D64F" w14:textId="77777777" w:rsidR="00453E26" w:rsidRPr="00CF31E0" w:rsidRDefault="00453E26" w:rsidP="00453E26">
            <w:pPr>
              <w:rPr>
                <w:color w:val="000000" w:themeColor="text1"/>
                <w:sz w:val="22"/>
                <w:szCs w:val="22"/>
              </w:rPr>
            </w:pPr>
          </w:p>
          <w:p w14:paraId="64FF7FC5"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38D5980F" w14:textId="77777777" w:rsidR="00453E26" w:rsidRPr="00CF31E0" w:rsidRDefault="00453E26" w:rsidP="00453E26">
            <w:pPr>
              <w:rPr>
                <w:color w:val="000000" w:themeColor="text1"/>
                <w:sz w:val="22"/>
                <w:szCs w:val="22"/>
              </w:rPr>
            </w:pPr>
          </w:p>
          <w:p w14:paraId="75375C13"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67D442EE" w14:textId="77777777" w:rsidR="00453E26" w:rsidRPr="00CF31E0" w:rsidRDefault="00453E26" w:rsidP="00453E26">
            <w:pPr>
              <w:rPr>
                <w:color w:val="000000" w:themeColor="text1"/>
                <w:sz w:val="22"/>
                <w:szCs w:val="22"/>
              </w:rPr>
            </w:pPr>
          </w:p>
          <w:p w14:paraId="5518923B"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2AAEBF3F" w14:textId="77777777" w:rsidR="00453E26" w:rsidRPr="00CF31E0" w:rsidRDefault="00453E26" w:rsidP="00453E26">
            <w:pPr>
              <w:jc w:val="center"/>
              <w:rPr>
                <w:color w:val="000000" w:themeColor="text1"/>
                <w:sz w:val="22"/>
                <w:szCs w:val="22"/>
              </w:rPr>
            </w:pPr>
          </w:p>
          <w:p w14:paraId="0CEB9740"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p w14:paraId="4516310A" w14:textId="77777777" w:rsidR="00453E26" w:rsidRPr="00CF31E0" w:rsidRDefault="00453E26" w:rsidP="00453E26">
            <w:pPr>
              <w:rPr>
                <w:color w:val="000000" w:themeColor="text1"/>
                <w:sz w:val="22"/>
                <w:szCs w:val="22"/>
              </w:rPr>
            </w:pPr>
          </w:p>
        </w:tc>
      </w:tr>
      <w:tr w:rsidR="008A1A4E" w:rsidRPr="00CF31E0" w14:paraId="6DD3D466" w14:textId="77777777" w:rsidTr="00603CB7">
        <w:trPr>
          <w:trHeight w:val="724"/>
        </w:trPr>
        <w:tc>
          <w:tcPr>
            <w:tcW w:w="4644" w:type="dxa"/>
          </w:tcPr>
          <w:p w14:paraId="4160F367" w14:textId="77777777" w:rsidR="00453E26" w:rsidRPr="00CF31E0" w:rsidRDefault="00453E26" w:rsidP="00453E26">
            <w:pPr>
              <w:rPr>
                <w:color w:val="000000" w:themeColor="text1"/>
                <w:sz w:val="22"/>
                <w:szCs w:val="22"/>
              </w:rPr>
            </w:pPr>
          </w:p>
          <w:p w14:paraId="3F6696DA" w14:textId="77777777" w:rsidR="00453E26" w:rsidRPr="00CF31E0" w:rsidRDefault="00453E26" w:rsidP="00453E26">
            <w:pPr>
              <w:rPr>
                <w:color w:val="000000" w:themeColor="text1"/>
                <w:sz w:val="22"/>
                <w:szCs w:val="22"/>
              </w:rPr>
            </w:pPr>
            <w:r w:rsidRPr="00CF31E0">
              <w:rPr>
                <w:color w:val="000000" w:themeColor="text1"/>
                <w:sz w:val="22"/>
                <w:szCs w:val="22"/>
              </w:rPr>
              <w:t xml:space="preserve">Traditional </w:t>
            </w:r>
          </w:p>
        </w:tc>
        <w:tc>
          <w:tcPr>
            <w:tcW w:w="567" w:type="dxa"/>
          </w:tcPr>
          <w:p w14:paraId="5DB5FA44" w14:textId="77777777" w:rsidR="00453E26" w:rsidRPr="00CF31E0" w:rsidRDefault="00453E26" w:rsidP="00453E26">
            <w:pPr>
              <w:rPr>
                <w:color w:val="000000" w:themeColor="text1"/>
                <w:sz w:val="22"/>
                <w:szCs w:val="22"/>
              </w:rPr>
            </w:pPr>
          </w:p>
          <w:p w14:paraId="294EF113" w14:textId="77777777" w:rsidR="00453E26" w:rsidRPr="00CF31E0" w:rsidRDefault="00453E26" w:rsidP="00453E26">
            <w:pPr>
              <w:jc w:val="center"/>
              <w:rPr>
                <w:color w:val="000000" w:themeColor="text1"/>
                <w:sz w:val="22"/>
                <w:szCs w:val="22"/>
              </w:rPr>
            </w:pPr>
            <w:r w:rsidRPr="00CF31E0">
              <w:rPr>
                <w:color w:val="000000" w:themeColor="text1"/>
                <w:sz w:val="22"/>
                <w:szCs w:val="22"/>
              </w:rPr>
              <w:t>1</w:t>
            </w:r>
          </w:p>
        </w:tc>
        <w:tc>
          <w:tcPr>
            <w:tcW w:w="567" w:type="dxa"/>
          </w:tcPr>
          <w:p w14:paraId="54832EBB" w14:textId="77777777" w:rsidR="00453E26" w:rsidRPr="00CF31E0" w:rsidRDefault="00453E26" w:rsidP="00453E26">
            <w:pPr>
              <w:rPr>
                <w:color w:val="000000" w:themeColor="text1"/>
                <w:sz w:val="22"/>
                <w:szCs w:val="22"/>
              </w:rPr>
            </w:pPr>
          </w:p>
          <w:p w14:paraId="47A4AB0D" w14:textId="77777777" w:rsidR="00453E26" w:rsidRPr="00CF31E0" w:rsidRDefault="00453E26" w:rsidP="00453E26">
            <w:pPr>
              <w:jc w:val="center"/>
              <w:rPr>
                <w:color w:val="000000" w:themeColor="text1"/>
                <w:sz w:val="22"/>
                <w:szCs w:val="22"/>
              </w:rPr>
            </w:pPr>
            <w:r w:rsidRPr="00CF31E0">
              <w:rPr>
                <w:color w:val="000000" w:themeColor="text1"/>
                <w:sz w:val="22"/>
                <w:szCs w:val="22"/>
              </w:rPr>
              <w:t>2</w:t>
            </w:r>
          </w:p>
        </w:tc>
        <w:tc>
          <w:tcPr>
            <w:tcW w:w="567" w:type="dxa"/>
          </w:tcPr>
          <w:p w14:paraId="1342F9E0" w14:textId="77777777" w:rsidR="00453E26" w:rsidRPr="00CF31E0" w:rsidRDefault="00453E26" w:rsidP="00453E26">
            <w:pPr>
              <w:rPr>
                <w:color w:val="000000" w:themeColor="text1"/>
                <w:sz w:val="22"/>
                <w:szCs w:val="22"/>
              </w:rPr>
            </w:pPr>
          </w:p>
          <w:p w14:paraId="0B78CC49" w14:textId="77777777" w:rsidR="00453E26" w:rsidRPr="00CF31E0" w:rsidRDefault="00453E26" w:rsidP="00453E26">
            <w:pPr>
              <w:jc w:val="center"/>
              <w:rPr>
                <w:color w:val="000000" w:themeColor="text1"/>
                <w:sz w:val="22"/>
                <w:szCs w:val="22"/>
              </w:rPr>
            </w:pPr>
            <w:r w:rsidRPr="00CF31E0">
              <w:rPr>
                <w:color w:val="000000" w:themeColor="text1"/>
                <w:sz w:val="22"/>
                <w:szCs w:val="22"/>
              </w:rPr>
              <w:t>3</w:t>
            </w:r>
          </w:p>
        </w:tc>
        <w:tc>
          <w:tcPr>
            <w:tcW w:w="567" w:type="dxa"/>
          </w:tcPr>
          <w:p w14:paraId="3441D20E" w14:textId="77777777" w:rsidR="00453E26" w:rsidRPr="00CF31E0" w:rsidRDefault="00453E26" w:rsidP="00453E26">
            <w:pPr>
              <w:rPr>
                <w:color w:val="000000" w:themeColor="text1"/>
                <w:sz w:val="22"/>
                <w:szCs w:val="22"/>
              </w:rPr>
            </w:pPr>
          </w:p>
          <w:p w14:paraId="5C242C24" w14:textId="77777777" w:rsidR="00453E26" w:rsidRPr="00CF31E0" w:rsidRDefault="00453E26" w:rsidP="00453E26">
            <w:pPr>
              <w:jc w:val="center"/>
              <w:rPr>
                <w:color w:val="000000" w:themeColor="text1"/>
                <w:sz w:val="22"/>
                <w:szCs w:val="22"/>
              </w:rPr>
            </w:pPr>
            <w:r w:rsidRPr="00CF31E0">
              <w:rPr>
                <w:color w:val="000000" w:themeColor="text1"/>
                <w:sz w:val="22"/>
                <w:szCs w:val="22"/>
              </w:rPr>
              <w:t>4</w:t>
            </w:r>
          </w:p>
        </w:tc>
        <w:tc>
          <w:tcPr>
            <w:tcW w:w="567" w:type="dxa"/>
          </w:tcPr>
          <w:p w14:paraId="72BE3EBC" w14:textId="77777777" w:rsidR="00453E26" w:rsidRPr="00CF31E0" w:rsidRDefault="00453E26" w:rsidP="00453E26">
            <w:pPr>
              <w:jc w:val="center"/>
              <w:rPr>
                <w:color w:val="000000" w:themeColor="text1"/>
                <w:sz w:val="22"/>
                <w:szCs w:val="22"/>
              </w:rPr>
            </w:pPr>
          </w:p>
          <w:p w14:paraId="0779B473" w14:textId="77777777" w:rsidR="00453E26" w:rsidRPr="00CF31E0" w:rsidRDefault="00453E26" w:rsidP="00453E26">
            <w:pPr>
              <w:jc w:val="center"/>
              <w:rPr>
                <w:color w:val="000000" w:themeColor="text1"/>
                <w:sz w:val="22"/>
                <w:szCs w:val="22"/>
              </w:rPr>
            </w:pPr>
            <w:r w:rsidRPr="00CF31E0">
              <w:rPr>
                <w:color w:val="000000" w:themeColor="text1"/>
                <w:sz w:val="22"/>
                <w:szCs w:val="22"/>
              </w:rPr>
              <w:t>5</w:t>
            </w:r>
          </w:p>
          <w:p w14:paraId="630C66E2" w14:textId="77777777" w:rsidR="00453E26" w:rsidRPr="00CF31E0" w:rsidRDefault="00453E26" w:rsidP="00453E26">
            <w:pPr>
              <w:rPr>
                <w:color w:val="000000" w:themeColor="text1"/>
                <w:sz w:val="22"/>
                <w:szCs w:val="22"/>
              </w:rPr>
            </w:pPr>
          </w:p>
        </w:tc>
      </w:tr>
    </w:tbl>
    <w:p w14:paraId="1BE1BFAD" w14:textId="77777777" w:rsidR="000E260E" w:rsidRPr="00CF31E0" w:rsidRDefault="000E260E" w:rsidP="00453E26">
      <w:pPr>
        <w:pStyle w:val="ListParagraph"/>
        <w:spacing w:before="400" w:line="360" w:lineRule="auto"/>
        <w:jc w:val="both"/>
        <w:rPr>
          <w:rFonts w:asciiTheme="majorBidi" w:eastAsia="MS Mincho" w:hAnsiTheme="majorBidi" w:cstheme="majorBidi"/>
          <w:color w:val="000000" w:themeColor="text1"/>
        </w:rPr>
        <w:sectPr w:rsidR="000E260E" w:rsidRPr="00CF31E0" w:rsidSect="00B9532F">
          <w:pgSz w:w="11900" w:h="16840"/>
          <w:pgMar w:top="1440" w:right="2268" w:bottom="1440" w:left="2268" w:header="708" w:footer="708" w:gutter="0"/>
          <w:cols w:space="708"/>
          <w:docGrid w:linePitch="360"/>
        </w:sectPr>
      </w:pPr>
    </w:p>
    <w:p w14:paraId="3E83148F" w14:textId="77777777" w:rsidR="000E260E" w:rsidRPr="00CF31E0" w:rsidRDefault="000E260E" w:rsidP="00603CB7">
      <w:pPr>
        <w:spacing w:after="400"/>
        <w:jc w:val="center"/>
        <w:rPr>
          <w:rFonts w:eastAsia="MS Mincho"/>
          <w:b/>
          <w:color w:val="000000" w:themeColor="text1"/>
          <w:sz w:val="32"/>
          <w:szCs w:val="32"/>
          <w:u w:val="single"/>
        </w:rPr>
      </w:pPr>
      <w:r w:rsidRPr="00CF31E0">
        <w:rPr>
          <w:rFonts w:eastAsia="MS Mincho"/>
          <w:b/>
          <w:color w:val="000000" w:themeColor="text1"/>
          <w:sz w:val="32"/>
          <w:szCs w:val="32"/>
          <w:u w:val="single"/>
        </w:rPr>
        <w:lastRenderedPageBreak/>
        <w:t>Part 4</w:t>
      </w:r>
    </w:p>
    <w:p w14:paraId="3001E954" w14:textId="77777777" w:rsidR="000E260E" w:rsidRPr="00CF31E0" w:rsidRDefault="000E260E" w:rsidP="00603CB7">
      <w:pPr>
        <w:numPr>
          <w:ilvl w:val="0"/>
          <w:numId w:val="56"/>
        </w:numPr>
        <w:spacing w:after="400" w:line="360" w:lineRule="auto"/>
        <w:ind w:left="357" w:hanging="357"/>
        <w:jc w:val="both"/>
        <w:rPr>
          <w:rFonts w:eastAsia="MS Mincho"/>
          <w:bCs/>
          <w:color w:val="000000" w:themeColor="text1"/>
          <w:lang w:eastAsia="en-US"/>
        </w:rPr>
      </w:pPr>
      <w:r w:rsidRPr="00CF31E0">
        <w:rPr>
          <w:rFonts w:eastAsia="MS Mincho"/>
          <w:bCs/>
          <w:color w:val="000000" w:themeColor="text1"/>
          <w:lang w:eastAsia="en-US"/>
        </w:rPr>
        <w:t xml:space="preserve">This part of the questionnaire is divided into two sections; in the first section, you need to listen carefully to the voice samples provided and in the second part, you need to rate the voice sample you listened to. </w:t>
      </w:r>
    </w:p>
    <w:p w14:paraId="2C157A61" w14:textId="77777777" w:rsidR="000E260E" w:rsidRPr="00CF31E0" w:rsidRDefault="000E260E" w:rsidP="00603CB7">
      <w:pPr>
        <w:numPr>
          <w:ilvl w:val="0"/>
          <w:numId w:val="69"/>
        </w:numPr>
        <w:spacing w:after="400" w:line="360" w:lineRule="auto"/>
        <w:ind w:left="714" w:hanging="357"/>
        <w:jc w:val="both"/>
        <w:rPr>
          <w:rFonts w:eastAsia="MS Mincho"/>
          <w:bCs/>
          <w:color w:val="000000" w:themeColor="text1"/>
          <w:lang w:eastAsia="en-US"/>
        </w:rPr>
      </w:pPr>
      <w:r w:rsidRPr="00CF31E0">
        <w:rPr>
          <w:rFonts w:eastAsia="MS Mincho"/>
          <w:bCs/>
          <w:color w:val="000000" w:themeColor="text1"/>
          <w:lang w:eastAsia="en-US"/>
        </w:rPr>
        <w:t xml:space="preserve">Please listen carefully to the voice sample and allocate the sample to its original social group. </w:t>
      </w:r>
    </w:p>
    <w:tbl>
      <w:tblPr>
        <w:tblStyle w:val="TableGrid9"/>
        <w:tblW w:w="0" w:type="auto"/>
        <w:tblLook w:val="04A0" w:firstRow="1" w:lastRow="0" w:firstColumn="1" w:lastColumn="0" w:noHBand="0" w:noVBand="1"/>
      </w:tblPr>
      <w:tblGrid>
        <w:gridCol w:w="4177"/>
        <w:gridCol w:w="1802"/>
        <w:gridCol w:w="1601"/>
      </w:tblGrid>
      <w:tr w:rsidR="008A1A4E" w:rsidRPr="00CF31E0" w14:paraId="63EAB5BB" w14:textId="77777777" w:rsidTr="003C210A">
        <w:tc>
          <w:tcPr>
            <w:tcW w:w="4177" w:type="dxa"/>
          </w:tcPr>
          <w:p w14:paraId="329E9310" w14:textId="77777777" w:rsidR="000E260E" w:rsidRPr="00CF31E0" w:rsidRDefault="000E260E" w:rsidP="000E260E">
            <w:pPr>
              <w:jc w:val="center"/>
              <w:rPr>
                <w:color w:val="000000" w:themeColor="text1"/>
                <w:sz w:val="22"/>
                <w:szCs w:val="22"/>
              </w:rPr>
            </w:pPr>
            <w:r w:rsidRPr="00CF31E0">
              <w:rPr>
                <w:color w:val="000000" w:themeColor="text1"/>
                <w:sz w:val="22"/>
                <w:szCs w:val="22"/>
              </w:rPr>
              <w:t>Voice sample</w:t>
            </w:r>
          </w:p>
        </w:tc>
        <w:tc>
          <w:tcPr>
            <w:tcW w:w="1802" w:type="dxa"/>
          </w:tcPr>
          <w:p w14:paraId="087C8D7B" w14:textId="77777777" w:rsidR="000E260E" w:rsidRPr="00CF31E0" w:rsidRDefault="000E260E" w:rsidP="000E260E">
            <w:pPr>
              <w:rPr>
                <w:color w:val="000000" w:themeColor="text1"/>
                <w:sz w:val="22"/>
                <w:szCs w:val="22"/>
              </w:rPr>
            </w:pPr>
            <w:r w:rsidRPr="00CF31E0">
              <w:rPr>
                <w:color w:val="000000" w:themeColor="text1"/>
                <w:sz w:val="22"/>
                <w:szCs w:val="22"/>
              </w:rPr>
              <w:t>UBH dialect</w:t>
            </w:r>
          </w:p>
        </w:tc>
        <w:tc>
          <w:tcPr>
            <w:tcW w:w="1601" w:type="dxa"/>
          </w:tcPr>
          <w:p w14:paraId="2D4C51CB" w14:textId="77777777" w:rsidR="000E260E" w:rsidRPr="00CF31E0" w:rsidRDefault="000E260E" w:rsidP="000E260E">
            <w:pPr>
              <w:rPr>
                <w:color w:val="000000" w:themeColor="text1"/>
                <w:sz w:val="22"/>
                <w:szCs w:val="22"/>
              </w:rPr>
            </w:pPr>
            <w:r w:rsidRPr="00CF31E0">
              <w:rPr>
                <w:color w:val="000000" w:themeColor="text1"/>
                <w:sz w:val="22"/>
                <w:szCs w:val="22"/>
              </w:rPr>
              <w:t>HH dialect</w:t>
            </w:r>
          </w:p>
        </w:tc>
      </w:tr>
      <w:tr w:rsidR="008A1A4E" w:rsidRPr="00CF31E0" w14:paraId="64EDCAA8" w14:textId="77777777" w:rsidTr="003C210A">
        <w:tc>
          <w:tcPr>
            <w:tcW w:w="4177" w:type="dxa"/>
          </w:tcPr>
          <w:p w14:paraId="3E4AB0BC" w14:textId="77777777" w:rsidR="000E260E" w:rsidRPr="00CF31E0" w:rsidRDefault="000E260E" w:rsidP="000E260E">
            <w:pPr>
              <w:rPr>
                <w:color w:val="000000" w:themeColor="text1"/>
                <w:sz w:val="22"/>
                <w:szCs w:val="22"/>
              </w:rPr>
            </w:pPr>
            <w:r w:rsidRPr="00CF31E0">
              <w:rPr>
                <w:color w:val="000000" w:themeColor="text1"/>
                <w:sz w:val="22"/>
                <w:szCs w:val="22"/>
              </w:rPr>
              <w:t>VS1 (the surname of the speaker)</w:t>
            </w:r>
          </w:p>
        </w:tc>
        <w:tc>
          <w:tcPr>
            <w:tcW w:w="1802" w:type="dxa"/>
          </w:tcPr>
          <w:p w14:paraId="526AE20E" w14:textId="77777777" w:rsidR="000E260E" w:rsidRPr="00CF31E0" w:rsidRDefault="000E260E" w:rsidP="000E260E">
            <w:pPr>
              <w:rPr>
                <w:color w:val="000000" w:themeColor="text1"/>
                <w:sz w:val="22"/>
                <w:szCs w:val="22"/>
              </w:rPr>
            </w:pPr>
          </w:p>
        </w:tc>
        <w:tc>
          <w:tcPr>
            <w:tcW w:w="1601" w:type="dxa"/>
          </w:tcPr>
          <w:p w14:paraId="696F110B" w14:textId="77777777" w:rsidR="000E260E" w:rsidRPr="00CF31E0" w:rsidRDefault="000E260E" w:rsidP="000E260E">
            <w:pPr>
              <w:rPr>
                <w:color w:val="000000" w:themeColor="text1"/>
                <w:sz w:val="22"/>
                <w:szCs w:val="22"/>
              </w:rPr>
            </w:pPr>
          </w:p>
        </w:tc>
      </w:tr>
    </w:tbl>
    <w:p w14:paraId="47273984" w14:textId="77777777" w:rsidR="003C210A" w:rsidRPr="00CF31E0" w:rsidRDefault="003C210A" w:rsidP="00603CB7">
      <w:pPr>
        <w:numPr>
          <w:ilvl w:val="0"/>
          <w:numId w:val="69"/>
        </w:numPr>
        <w:spacing w:before="400" w:after="400"/>
        <w:ind w:left="714" w:hanging="357"/>
        <w:rPr>
          <w:rFonts w:eastAsia="MS Mincho"/>
          <w:color w:val="000000" w:themeColor="text1"/>
          <w:lang w:eastAsia="en-US"/>
        </w:rPr>
      </w:pPr>
      <w:r w:rsidRPr="00CF31E0">
        <w:rPr>
          <w:rFonts w:eastAsia="MS Mincho"/>
          <w:color w:val="000000" w:themeColor="text1"/>
          <w:lang w:eastAsia="en-US"/>
        </w:rPr>
        <w:t>How would you rate the speech of the voice sample provided in the recording?</w:t>
      </w:r>
    </w:p>
    <w:p w14:paraId="254E5821" w14:textId="5CF84110" w:rsidR="003C210A" w:rsidRPr="00CF31E0" w:rsidRDefault="00C16AD3" w:rsidP="00603CB7">
      <w:pPr>
        <w:spacing w:after="200"/>
        <w:rPr>
          <w:rFonts w:eastAsia="MS Mincho"/>
          <w:b/>
          <w:color w:val="000000" w:themeColor="text1"/>
        </w:rPr>
      </w:pPr>
      <w:r w:rsidRPr="00CF31E0">
        <w:rPr>
          <w:rFonts w:eastAsia="MS Mincho"/>
          <w:b/>
          <w:color w:val="000000" w:themeColor="text1"/>
        </w:rPr>
        <w:tab/>
      </w:r>
      <w:r w:rsidRPr="00CF31E0">
        <w:rPr>
          <w:rFonts w:eastAsia="MS Mincho"/>
          <w:b/>
          <w:color w:val="000000" w:themeColor="text1"/>
        </w:rPr>
        <w:tab/>
      </w:r>
      <w:r w:rsidRPr="00CF31E0">
        <w:rPr>
          <w:rFonts w:eastAsia="MS Mincho"/>
          <w:b/>
          <w:color w:val="000000" w:themeColor="text1"/>
        </w:rPr>
        <w:tab/>
      </w:r>
      <w:r w:rsidRPr="00CF31E0">
        <w:rPr>
          <w:rFonts w:eastAsia="MS Mincho"/>
          <w:b/>
          <w:color w:val="000000" w:themeColor="text1"/>
        </w:rPr>
        <w:tab/>
      </w:r>
      <w:r w:rsidRPr="00CF31E0">
        <w:rPr>
          <w:rFonts w:eastAsia="MS Mincho"/>
          <w:b/>
          <w:color w:val="000000" w:themeColor="text1"/>
        </w:rPr>
        <w:tab/>
      </w:r>
      <w:r w:rsidRPr="00CF31E0">
        <w:rPr>
          <w:rFonts w:eastAsia="MS Mincho"/>
          <w:b/>
          <w:color w:val="000000" w:themeColor="text1"/>
        </w:rPr>
        <w:tab/>
        <w:t xml:space="preserve">  </w:t>
      </w:r>
      <w:r w:rsidR="003C210A" w:rsidRPr="00CF31E0">
        <w:rPr>
          <w:rFonts w:eastAsia="MS Mincho"/>
          <w:b/>
          <w:color w:val="000000" w:themeColor="text1"/>
        </w:rPr>
        <w:t>Least______________Most</w:t>
      </w:r>
    </w:p>
    <w:tbl>
      <w:tblPr>
        <w:tblStyle w:val="TableGrid10"/>
        <w:tblW w:w="7674" w:type="dxa"/>
        <w:tblLook w:val="04A0" w:firstRow="1" w:lastRow="0" w:firstColumn="1" w:lastColumn="0" w:noHBand="0" w:noVBand="1"/>
      </w:tblPr>
      <w:tblGrid>
        <w:gridCol w:w="1711"/>
        <w:gridCol w:w="2792"/>
        <w:gridCol w:w="634"/>
        <w:gridCol w:w="634"/>
        <w:gridCol w:w="634"/>
        <w:gridCol w:w="634"/>
        <w:gridCol w:w="635"/>
      </w:tblGrid>
      <w:tr w:rsidR="008A1A4E" w:rsidRPr="00CF31E0" w14:paraId="2B654F30" w14:textId="77777777" w:rsidTr="00603CB7">
        <w:trPr>
          <w:trHeight w:val="699"/>
        </w:trPr>
        <w:tc>
          <w:tcPr>
            <w:tcW w:w="1711" w:type="dxa"/>
            <w:vMerge w:val="restart"/>
          </w:tcPr>
          <w:p w14:paraId="4BD4D660" w14:textId="77777777" w:rsidR="003C210A" w:rsidRPr="00CF31E0" w:rsidRDefault="003C210A" w:rsidP="003C210A">
            <w:pPr>
              <w:rPr>
                <w:color w:val="000000" w:themeColor="text1"/>
                <w:sz w:val="22"/>
                <w:szCs w:val="22"/>
              </w:rPr>
            </w:pPr>
          </w:p>
          <w:p w14:paraId="3F3103A2" w14:textId="77777777" w:rsidR="003C210A" w:rsidRPr="00CF31E0" w:rsidRDefault="003C210A" w:rsidP="003C210A">
            <w:pPr>
              <w:rPr>
                <w:color w:val="000000" w:themeColor="text1"/>
                <w:sz w:val="22"/>
                <w:szCs w:val="22"/>
              </w:rPr>
            </w:pPr>
          </w:p>
          <w:p w14:paraId="174F614E" w14:textId="77777777" w:rsidR="003C210A" w:rsidRPr="00CF31E0" w:rsidRDefault="003C210A" w:rsidP="003C210A">
            <w:pPr>
              <w:rPr>
                <w:color w:val="000000" w:themeColor="text1"/>
                <w:sz w:val="22"/>
                <w:szCs w:val="22"/>
              </w:rPr>
            </w:pPr>
            <w:r w:rsidRPr="00CF31E0">
              <w:rPr>
                <w:color w:val="000000" w:themeColor="text1"/>
                <w:sz w:val="22"/>
                <w:szCs w:val="22"/>
              </w:rPr>
              <w:t xml:space="preserve">VS1 </w:t>
            </w:r>
          </w:p>
          <w:p w14:paraId="5B54BC03" w14:textId="77777777" w:rsidR="003C210A" w:rsidRPr="00CF31E0" w:rsidRDefault="003C210A" w:rsidP="003C210A">
            <w:pPr>
              <w:jc w:val="right"/>
              <w:rPr>
                <w:color w:val="000000" w:themeColor="text1"/>
                <w:sz w:val="22"/>
                <w:szCs w:val="22"/>
              </w:rPr>
            </w:pPr>
          </w:p>
        </w:tc>
        <w:tc>
          <w:tcPr>
            <w:tcW w:w="2792" w:type="dxa"/>
          </w:tcPr>
          <w:p w14:paraId="5CBD99CA" w14:textId="77777777" w:rsidR="003C210A" w:rsidRPr="00CF31E0" w:rsidRDefault="003C210A" w:rsidP="003C210A">
            <w:pPr>
              <w:rPr>
                <w:color w:val="000000" w:themeColor="text1"/>
                <w:sz w:val="22"/>
                <w:szCs w:val="22"/>
              </w:rPr>
            </w:pPr>
          </w:p>
          <w:p w14:paraId="70C1C2AE" w14:textId="77777777" w:rsidR="003C210A" w:rsidRPr="00CF31E0" w:rsidRDefault="003C210A" w:rsidP="003C210A">
            <w:pPr>
              <w:rPr>
                <w:color w:val="000000" w:themeColor="text1"/>
                <w:sz w:val="22"/>
                <w:szCs w:val="22"/>
              </w:rPr>
            </w:pPr>
            <w:r w:rsidRPr="00CF31E0">
              <w:rPr>
                <w:color w:val="000000" w:themeColor="text1"/>
                <w:sz w:val="22"/>
                <w:szCs w:val="22"/>
              </w:rPr>
              <w:t>Serious</w:t>
            </w:r>
          </w:p>
        </w:tc>
        <w:tc>
          <w:tcPr>
            <w:tcW w:w="634" w:type="dxa"/>
          </w:tcPr>
          <w:p w14:paraId="5456876B" w14:textId="77777777" w:rsidR="003C210A" w:rsidRPr="00CF31E0" w:rsidRDefault="003C210A" w:rsidP="003C210A">
            <w:pPr>
              <w:rPr>
                <w:color w:val="000000" w:themeColor="text1"/>
                <w:sz w:val="22"/>
                <w:szCs w:val="22"/>
              </w:rPr>
            </w:pPr>
          </w:p>
          <w:p w14:paraId="1695F79A" w14:textId="77777777" w:rsidR="003C210A" w:rsidRPr="00CF31E0" w:rsidRDefault="003C210A" w:rsidP="003C210A">
            <w:pPr>
              <w:jc w:val="center"/>
              <w:rPr>
                <w:color w:val="000000" w:themeColor="text1"/>
                <w:sz w:val="22"/>
                <w:szCs w:val="22"/>
              </w:rPr>
            </w:pPr>
            <w:r w:rsidRPr="00CF31E0">
              <w:rPr>
                <w:color w:val="000000" w:themeColor="text1"/>
                <w:sz w:val="22"/>
                <w:szCs w:val="22"/>
              </w:rPr>
              <w:t>1</w:t>
            </w:r>
          </w:p>
        </w:tc>
        <w:tc>
          <w:tcPr>
            <w:tcW w:w="634" w:type="dxa"/>
          </w:tcPr>
          <w:p w14:paraId="12489FB9" w14:textId="77777777" w:rsidR="003C210A" w:rsidRPr="00CF31E0" w:rsidRDefault="003C210A" w:rsidP="003C210A">
            <w:pPr>
              <w:rPr>
                <w:color w:val="000000" w:themeColor="text1"/>
                <w:sz w:val="22"/>
                <w:szCs w:val="22"/>
              </w:rPr>
            </w:pPr>
          </w:p>
          <w:p w14:paraId="07242858" w14:textId="77777777" w:rsidR="003C210A" w:rsidRPr="00CF31E0" w:rsidRDefault="003C210A" w:rsidP="003C210A">
            <w:pPr>
              <w:jc w:val="center"/>
              <w:rPr>
                <w:color w:val="000000" w:themeColor="text1"/>
                <w:sz w:val="22"/>
                <w:szCs w:val="22"/>
              </w:rPr>
            </w:pPr>
            <w:r w:rsidRPr="00CF31E0">
              <w:rPr>
                <w:color w:val="000000" w:themeColor="text1"/>
                <w:sz w:val="22"/>
                <w:szCs w:val="22"/>
              </w:rPr>
              <w:t>2</w:t>
            </w:r>
          </w:p>
        </w:tc>
        <w:tc>
          <w:tcPr>
            <w:tcW w:w="634" w:type="dxa"/>
          </w:tcPr>
          <w:p w14:paraId="112C6AEC" w14:textId="77777777" w:rsidR="003C210A" w:rsidRPr="00CF31E0" w:rsidRDefault="003C210A" w:rsidP="003C210A">
            <w:pPr>
              <w:rPr>
                <w:color w:val="000000" w:themeColor="text1"/>
                <w:sz w:val="22"/>
                <w:szCs w:val="22"/>
              </w:rPr>
            </w:pPr>
          </w:p>
          <w:p w14:paraId="700EA6FD" w14:textId="77777777" w:rsidR="003C210A" w:rsidRPr="00CF31E0" w:rsidRDefault="003C210A" w:rsidP="003C210A">
            <w:pPr>
              <w:jc w:val="center"/>
              <w:rPr>
                <w:color w:val="000000" w:themeColor="text1"/>
                <w:sz w:val="22"/>
                <w:szCs w:val="22"/>
              </w:rPr>
            </w:pPr>
            <w:r w:rsidRPr="00CF31E0">
              <w:rPr>
                <w:color w:val="000000" w:themeColor="text1"/>
                <w:sz w:val="22"/>
                <w:szCs w:val="22"/>
              </w:rPr>
              <w:t>3</w:t>
            </w:r>
          </w:p>
        </w:tc>
        <w:tc>
          <w:tcPr>
            <w:tcW w:w="634" w:type="dxa"/>
          </w:tcPr>
          <w:p w14:paraId="7D292E25" w14:textId="77777777" w:rsidR="003C210A" w:rsidRPr="00CF31E0" w:rsidRDefault="003C210A" w:rsidP="003C210A">
            <w:pPr>
              <w:rPr>
                <w:color w:val="000000" w:themeColor="text1"/>
                <w:sz w:val="22"/>
                <w:szCs w:val="22"/>
              </w:rPr>
            </w:pPr>
          </w:p>
          <w:p w14:paraId="2FDC3369" w14:textId="77777777" w:rsidR="003C210A" w:rsidRPr="00CF31E0" w:rsidRDefault="003C210A" w:rsidP="003C210A">
            <w:pPr>
              <w:jc w:val="center"/>
              <w:rPr>
                <w:color w:val="000000" w:themeColor="text1"/>
                <w:sz w:val="22"/>
                <w:szCs w:val="22"/>
              </w:rPr>
            </w:pPr>
            <w:r w:rsidRPr="00CF31E0">
              <w:rPr>
                <w:color w:val="000000" w:themeColor="text1"/>
                <w:sz w:val="22"/>
                <w:szCs w:val="22"/>
              </w:rPr>
              <w:t>4</w:t>
            </w:r>
          </w:p>
        </w:tc>
        <w:tc>
          <w:tcPr>
            <w:tcW w:w="635" w:type="dxa"/>
          </w:tcPr>
          <w:p w14:paraId="2DAD0143" w14:textId="77777777" w:rsidR="003C210A" w:rsidRPr="00CF31E0" w:rsidRDefault="003C210A" w:rsidP="003C210A">
            <w:pPr>
              <w:rPr>
                <w:color w:val="000000" w:themeColor="text1"/>
                <w:sz w:val="22"/>
                <w:szCs w:val="22"/>
              </w:rPr>
            </w:pPr>
          </w:p>
          <w:p w14:paraId="61163111" w14:textId="77777777" w:rsidR="003C210A" w:rsidRPr="00CF31E0" w:rsidRDefault="003C210A" w:rsidP="003C210A">
            <w:pPr>
              <w:jc w:val="center"/>
              <w:rPr>
                <w:color w:val="000000" w:themeColor="text1"/>
                <w:sz w:val="22"/>
                <w:szCs w:val="22"/>
              </w:rPr>
            </w:pPr>
            <w:r w:rsidRPr="00CF31E0">
              <w:rPr>
                <w:color w:val="000000" w:themeColor="text1"/>
                <w:sz w:val="22"/>
                <w:szCs w:val="22"/>
              </w:rPr>
              <w:t>5</w:t>
            </w:r>
          </w:p>
        </w:tc>
      </w:tr>
      <w:tr w:rsidR="008A1A4E" w:rsidRPr="00CF31E0" w14:paraId="708F58A7" w14:textId="77777777" w:rsidTr="00603CB7">
        <w:trPr>
          <w:trHeight w:val="724"/>
        </w:trPr>
        <w:tc>
          <w:tcPr>
            <w:tcW w:w="1711" w:type="dxa"/>
            <w:vMerge/>
          </w:tcPr>
          <w:p w14:paraId="689BC17F" w14:textId="77777777" w:rsidR="003C210A" w:rsidRPr="00CF31E0" w:rsidRDefault="003C210A" w:rsidP="003C210A">
            <w:pPr>
              <w:rPr>
                <w:color w:val="000000" w:themeColor="text1"/>
                <w:sz w:val="22"/>
                <w:szCs w:val="22"/>
              </w:rPr>
            </w:pPr>
          </w:p>
        </w:tc>
        <w:tc>
          <w:tcPr>
            <w:tcW w:w="2792" w:type="dxa"/>
          </w:tcPr>
          <w:p w14:paraId="3A5B15E8" w14:textId="77777777" w:rsidR="003C210A" w:rsidRPr="00CF31E0" w:rsidRDefault="003C210A" w:rsidP="003C210A">
            <w:pPr>
              <w:rPr>
                <w:color w:val="000000" w:themeColor="text1"/>
                <w:sz w:val="22"/>
                <w:szCs w:val="22"/>
              </w:rPr>
            </w:pPr>
          </w:p>
          <w:p w14:paraId="536426EB" w14:textId="77777777" w:rsidR="003C210A" w:rsidRPr="00CF31E0" w:rsidRDefault="003C210A" w:rsidP="003C210A">
            <w:pPr>
              <w:rPr>
                <w:color w:val="000000" w:themeColor="text1"/>
                <w:sz w:val="22"/>
                <w:szCs w:val="22"/>
              </w:rPr>
            </w:pPr>
            <w:r w:rsidRPr="00CF31E0">
              <w:rPr>
                <w:color w:val="000000" w:themeColor="text1"/>
                <w:sz w:val="22"/>
                <w:szCs w:val="22"/>
              </w:rPr>
              <w:t>Traditional</w:t>
            </w:r>
          </w:p>
        </w:tc>
        <w:tc>
          <w:tcPr>
            <w:tcW w:w="634" w:type="dxa"/>
          </w:tcPr>
          <w:p w14:paraId="4435E3B5" w14:textId="77777777" w:rsidR="003C210A" w:rsidRPr="00CF31E0" w:rsidRDefault="003C210A" w:rsidP="003C210A">
            <w:pPr>
              <w:rPr>
                <w:color w:val="000000" w:themeColor="text1"/>
                <w:sz w:val="22"/>
                <w:szCs w:val="22"/>
              </w:rPr>
            </w:pPr>
          </w:p>
          <w:p w14:paraId="626D6487" w14:textId="77777777" w:rsidR="003C210A" w:rsidRPr="00CF31E0" w:rsidRDefault="003C210A" w:rsidP="003C210A">
            <w:pPr>
              <w:jc w:val="center"/>
              <w:rPr>
                <w:color w:val="000000" w:themeColor="text1"/>
                <w:sz w:val="22"/>
                <w:szCs w:val="22"/>
              </w:rPr>
            </w:pPr>
            <w:r w:rsidRPr="00CF31E0">
              <w:rPr>
                <w:color w:val="000000" w:themeColor="text1"/>
                <w:sz w:val="22"/>
                <w:szCs w:val="22"/>
              </w:rPr>
              <w:t>1</w:t>
            </w:r>
          </w:p>
        </w:tc>
        <w:tc>
          <w:tcPr>
            <w:tcW w:w="634" w:type="dxa"/>
          </w:tcPr>
          <w:p w14:paraId="19B67DB7" w14:textId="77777777" w:rsidR="003C210A" w:rsidRPr="00CF31E0" w:rsidRDefault="003C210A" w:rsidP="003C210A">
            <w:pPr>
              <w:rPr>
                <w:color w:val="000000" w:themeColor="text1"/>
                <w:sz w:val="22"/>
                <w:szCs w:val="22"/>
              </w:rPr>
            </w:pPr>
          </w:p>
          <w:p w14:paraId="090193D3" w14:textId="77777777" w:rsidR="003C210A" w:rsidRPr="00CF31E0" w:rsidRDefault="003C210A" w:rsidP="003C210A">
            <w:pPr>
              <w:jc w:val="center"/>
              <w:rPr>
                <w:color w:val="000000" w:themeColor="text1"/>
                <w:sz w:val="22"/>
                <w:szCs w:val="22"/>
              </w:rPr>
            </w:pPr>
            <w:r w:rsidRPr="00CF31E0">
              <w:rPr>
                <w:color w:val="000000" w:themeColor="text1"/>
                <w:sz w:val="22"/>
                <w:szCs w:val="22"/>
              </w:rPr>
              <w:t>2</w:t>
            </w:r>
          </w:p>
        </w:tc>
        <w:tc>
          <w:tcPr>
            <w:tcW w:w="634" w:type="dxa"/>
          </w:tcPr>
          <w:p w14:paraId="1C90BDED" w14:textId="77777777" w:rsidR="003C210A" w:rsidRPr="00CF31E0" w:rsidRDefault="003C210A" w:rsidP="003C210A">
            <w:pPr>
              <w:rPr>
                <w:color w:val="000000" w:themeColor="text1"/>
                <w:sz w:val="22"/>
                <w:szCs w:val="22"/>
              </w:rPr>
            </w:pPr>
          </w:p>
          <w:p w14:paraId="77D2F061" w14:textId="77777777" w:rsidR="003C210A" w:rsidRPr="00CF31E0" w:rsidRDefault="003C210A" w:rsidP="003C210A">
            <w:pPr>
              <w:jc w:val="center"/>
              <w:rPr>
                <w:color w:val="000000" w:themeColor="text1"/>
                <w:sz w:val="22"/>
                <w:szCs w:val="22"/>
              </w:rPr>
            </w:pPr>
            <w:r w:rsidRPr="00CF31E0">
              <w:rPr>
                <w:color w:val="000000" w:themeColor="text1"/>
                <w:sz w:val="22"/>
                <w:szCs w:val="22"/>
              </w:rPr>
              <w:t>3</w:t>
            </w:r>
          </w:p>
        </w:tc>
        <w:tc>
          <w:tcPr>
            <w:tcW w:w="634" w:type="dxa"/>
          </w:tcPr>
          <w:p w14:paraId="725CBDC9" w14:textId="77777777" w:rsidR="003C210A" w:rsidRPr="00CF31E0" w:rsidRDefault="003C210A" w:rsidP="003C210A">
            <w:pPr>
              <w:rPr>
                <w:color w:val="000000" w:themeColor="text1"/>
                <w:sz w:val="22"/>
                <w:szCs w:val="22"/>
              </w:rPr>
            </w:pPr>
          </w:p>
          <w:p w14:paraId="6AE9AE4B" w14:textId="77777777" w:rsidR="003C210A" w:rsidRPr="00CF31E0" w:rsidRDefault="003C210A" w:rsidP="003C210A">
            <w:pPr>
              <w:jc w:val="center"/>
              <w:rPr>
                <w:color w:val="000000" w:themeColor="text1"/>
                <w:sz w:val="22"/>
                <w:szCs w:val="22"/>
              </w:rPr>
            </w:pPr>
            <w:r w:rsidRPr="00CF31E0">
              <w:rPr>
                <w:color w:val="000000" w:themeColor="text1"/>
                <w:sz w:val="22"/>
                <w:szCs w:val="22"/>
              </w:rPr>
              <w:t>4</w:t>
            </w:r>
          </w:p>
        </w:tc>
        <w:tc>
          <w:tcPr>
            <w:tcW w:w="635" w:type="dxa"/>
          </w:tcPr>
          <w:p w14:paraId="21D07134" w14:textId="77777777" w:rsidR="003C210A" w:rsidRPr="00CF31E0" w:rsidRDefault="003C210A" w:rsidP="003C210A">
            <w:pPr>
              <w:jc w:val="center"/>
              <w:rPr>
                <w:color w:val="000000" w:themeColor="text1"/>
                <w:sz w:val="22"/>
                <w:szCs w:val="22"/>
              </w:rPr>
            </w:pPr>
          </w:p>
          <w:p w14:paraId="54939867" w14:textId="77777777" w:rsidR="003C210A" w:rsidRPr="00CF31E0" w:rsidRDefault="003C210A" w:rsidP="003C210A">
            <w:pPr>
              <w:jc w:val="center"/>
              <w:rPr>
                <w:color w:val="000000" w:themeColor="text1"/>
                <w:sz w:val="22"/>
                <w:szCs w:val="22"/>
              </w:rPr>
            </w:pPr>
            <w:r w:rsidRPr="00CF31E0">
              <w:rPr>
                <w:color w:val="000000" w:themeColor="text1"/>
                <w:sz w:val="22"/>
                <w:szCs w:val="22"/>
              </w:rPr>
              <w:t>5</w:t>
            </w:r>
          </w:p>
          <w:p w14:paraId="3D4A9051" w14:textId="77777777" w:rsidR="003C210A" w:rsidRPr="00CF31E0" w:rsidRDefault="003C210A" w:rsidP="003C210A">
            <w:pPr>
              <w:rPr>
                <w:color w:val="000000" w:themeColor="text1"/>
                <w:sz w:val="22"/>
                <w:szCs w:val="22"/>
              </w:rPr>
            </w:pPr>
          </w:p>
        </w:tc>
      </w:tr>
      <w:tr w:rsidR="008A1A4E" w:rsidRPr="00CF31E0" w14:paraId="7C52F885" w14:textId="77777777" w:rsidTr="00603CB7">
        <w:trPr>
          <w:trHeight w:val="699"/>
        </w:trPr>
        <w:tc>
          <w:tcPr>
            <w:tcW w:w="1711" w:type="dxa"/>
            <w:vMerge w:val="restart"/>
          </w:tcPr>
          <w:p w14:paraId="4648E7B8" w14:textId="77777777" w:rsidR="003C210A" w:rsidRPr="00CF31E0" w:rsidRDefault="003C210A" w:rsidP="003C210A">
            <w:pPr>
              <w:rPr>
                <w:color w:val="000000" w:themeColor="text1"/>
                <w:sz w:val="22"/>
                <w:szCs w:val="22"/>
              </w:rPr>
            </w:pPr>
          </w:p>
        </w:tc>
        <w:tc>
          <w:tcPr>
            <w:tcW w:w="2792" w:type="dxa"/>
          </w:tcPr>
          <w:p w14:paraId="75EE4AA4" w14:textId="77777777" w:rsidR="003C210A" w:rsidRPr="00CF31E0" w:rsidRDefault="003C210A" w:rsidP="003C210A">
            <w:pPr>
              <w:rPr>
                <w:color w:val="000000" w:themeColor="text1"/>
                <w:sz w:val="22"/>
                <w:szCs w:val="22"/>
              </w:rPr>
            </w:pPr>
          </w:p>
          <w:p w14:paraId="51B27CBF" w14:textId="77777777" w:rsidR="003C210A" w:rsidRPr="00CF31E0" w:rsidRDefault="003C210A" w:rsidP="003C210A">
            <w:pPr>
              <w:rPr>
                <w:color w:val="000000" w:themeColor="text1"/>
                <w:sz w:val="22"/>
                <w:szCs w:val="22"/>
              </w:rPr>
            </w:pPr>
            <w:r w:rsidRPr="00CF31E0">
              <w:rPr>
                <w:color w:val="000000" w:themeColor="text1"/>
                <w:sz w:val="22"/>
                <w:szCs w:val="22"/>
              </w:rPr>
              <w:t>Similar to other Arabic dialects</w:t>
            </w:r>
          </w:p>
        </w:tc>
        <w:tc>
          <w:tcPr>
            <w:tcW w:w="634" w:type="dxa"/>
          </w:tcPr>
          <w:p w14:paraId="47689F4D" w14:textId="77777777" w:rsidR="003C210A" w:rsidRPr="00CF31E0" w:rsidRDefault="003C210A" w:rsidP="003C210A">
            <w:pPr>
              <w:rPr>
                <w:color w:val="000000" w:themeColor="text1"/>
                <w:sz w:val="22"/>
                <w:szCs w:val="22"/>
              </w:rPr>
            </w:pPr>
          </w:p>
          <w:p w14:paraId="13B426BD" w14:textId="77777777" w:rsidR="003C210A" w:rsidRPr="00CF31E0" w:rsidRDefault="003C210A" w:rsidP="003C210A">
            <w:pPr>
              <w:jc w:val="center"/>
              <w:rPr>
                <w:color w:val="000000" w:themeColor="text1"/>
                <w:sz w:val="22"/>
                <w:szCs w:val="22"/>
              </w:rPr>
            </w:pPr>
            <w:r w:rsidRPr="00CF31E0">
              <w:rPr>
                <w:color w:val="000000" w:themeColor="text1"/>
                <w:sz w:val="22"/>
                <w:szCs w:val="22"/>
              </w:rPr>
              <w:t>1</w:t>
            </w:r>
          </w:p>
        </w:tc>
        <w:tc>
          <w:tcPr>
            <w:tcW w:w="634" w:type="dxa"/>
          </w:tcPr>
          <w:p w14:paraId="013EEB5E" w14:textId="77777777" w:rsidR="003C210A" w:rsidRPr="00CF31E0" w:rsidRDefault="003C210A" w:rsidP="003C210A">
            <w:pPr>
              <w:rPr>
                <w:color w:val="000000" w:themeColor="text1"/>
                <w:sz w:val="22"/>
                <w:szCs w:val="22"/>
              </w:rPr>
            </w:pPr>
          </w:p>
          <w:p w14:paraId="65D82C4B" w14:textId="77777777" w:rsidR="003C210A" w:rsidRPr="00CF31E0" w:rsidRDefault="003C210A" w:rsidP="003C210A">
            <w:pPr>
              <w:jc w:val="center"/>
              <w:rPr>
                <w:color w:val="000000" w:themeColor="text1"/>
                <w:sz w:val="22"/>
                <w:szCs w:val="22"/>
              </w:rPr>
            </w:pPr>
            <w:r w:rsidRPr="00CF31E0">
              <w:rPr>
                <w:color w:val="000000" w:themeColor="text1"/>
                <w:sz w:val="22"/>
                <w:szCs w:val="22"/>
              </w:rPr>
              <w:t>2</w:t>
            </w:r>
          </w:p>
        </w:tc>
        <w:tc>
          <w:tcPr>
            <w:tcW w:w="634" w:type="dxa"/>
          </w:tcPr>
          <w:p w14:paraId="31282D76" w14:textId="77777777" w:rsidR="003C210A" w:rsidRPr="00CF31E0" w:rsidRDefault="003C210A" w:rsidP="003C210A">
            <w:pPr>
              <w:rPr>
                <w:color w:val="000000" w:themeColor="text1"/>
                <w:sz w:val="22"/>
                <w:szCs w:val="22"/>
              </w:rPr>
            </w:pPr>
          </w:p>
          <w:p w14:paraId="6D64E29A" w14:textId="77777777" w:rsidR="003C210A" w:rsidRPr="00CF31E0" w:rsidRDefault="003C210A" w:rsidP="003C210A">
            <w:pPr>
              <w:jc w:val="center"/>
              <w:rPr>
                <w:color w:val="000000" w:themeColor="text1"/>
                <w:sz w:val="22"/>
                <w:szCs w:val="22"/>
              </w:rPr>
            </w:pPr>
            <w:r w:rsidRPr="00CF31E0">
              <w:rPr>
                <w:color w:val="000000" w:themeColor="text1"/>
                <w:sz w:val="22"/>
                <w:szCs w:val="22"/>
              </w:rPr>
              <w:t>3</w:t>
            </w:r>
          </w:p>
        </w:tc>
        <w:tc>
          <w:tcPr>
            <w:tcW w:w="634" w:type="dxa"/>
          </w:tcPr>
          <w:p w14:paraId="52562CDF" w14:textId="77777777" w:rsidR="003C210A" w:rsidRPr="00CF31E0" w:rsidRDefault="003C210A" w:rsidP="003C210A">
            <w:pPr>
              <w:rPr>
                <w:color w:val="000000" w:themeColor="text1"/>
                <w:sz w:val="22"/>
                <w:szCs w:val="22"/>
              </w:rPr>
            </w:pPr>
          </w:p>
          <w:p w14:paraId="4F045BAD" w14:textId="77777777" w:rsidR="003C210A" w:rsidRPr="00CF31E0" w:rsidRDefault="003C210A" w:rsidP="003C210A">
            <w:pPr>
              <w:jc w:val="center"/>
              <w:rPr>
                <w:color w:val="000000" w:themeColor="text1"/>
                <w:sz w:val="22"/>
                <w:szCs w:val="22"/>
              </w:rPr>
            </w:pPr>
            <w:r w:rsidRPr="00CF31E0">
              <w:rPr>
                <w:color w:val="000000" w:themeColor="text1"/>
                <w:sz w:val="22"/>
                <w:szCs w:val="22"/>
              </w:rPr>
              <w:t>4</w:t>
            </w:r>
          </w:p>
        </w:tc>
        <w:tc>
          <w:tcPr>
            <w:tcW w:w="635" w:type="dxa"/>
          </w:tcPr>
          <w:p w14:paraId="753DCE91" w14:textId="77777777" w:rsidR="003C210A" w:rsidRPr="00CF31E0" w:rsidRDefault="003C210A" w:rsidP="003C210A">
            <w:pPr>
              <w:rPr>
                <w:color w:val="000000" w:themeColor="text1"/>
                <w:sz w:val="22"/>
                <w:szCs w:val="22"/>
              </w:rPr>
            </w:pPr>
          </w:p>
          <w:p w14:paraId="5F2A7EE5" w14:textId="77777777" w:rsidR="003C210A" w:rsidRPr="00CF31E0" w:rsidRDefault="003C210A" w:rsidP="003C210A">
            <w:pPr>
              <w:jc w:val="center"/>
              <w:rPr>
                <w:color w:val="000000" w:themeColor="text1"/>
                <w:sz w:val="22"/>
                <w:szCs w:val="22"/>
              </w:rPr>
            </w:pPr>
            <w:r w:rsidRPr="00CF31E0">
              <w:rPr>
                <w:color w:val="000000" w:themeColor="text1"/>
                <w:sz w:val="22"/>
                <w:szCs w:val="22"/>
              </w:rPr>
              <w:t>5</w:t>
            </w:r>
          </w:p>
        </w:tc>
      </w:tr>
      <w:tr w:rsidR="008A1A4E" w:rsidRPr="00CF31E0" w14:paraId="33F7680D" w14:textId="77777777" w:rsidTr="00603CB7">
        <w:trPr>
          <w:trHeight w:val="724"/>
        </w:trPr>
        <w:tc>
          <w:tcPr>
            <w:tcW w:w="1711" w:type="dxa"/>
            <w:vMerge/>
          </w:tcPr>
          <w:p w14:paraId="161504A6" w14:textId="77777777" w:rsidR="003C210A" w:rsidRPr="00CF31E0" w:rsidRDefault="003C210A" w:rsidP="003C210A">
            <w:pPr>
              <w:rPr>
                <w:color w:val="000000" w:themeColor="text1"/>
                <w:sz w:val="22"/>
                <w:szCs w:val="22"/>
              </w:rPr>
            </w:pPr>
          </w:p>
        </w:tc>
        <w:tc>
          <w:tcPr>
            <w:tcW w:w="2792" w:type="dxa"/>
          </w:tcPr>
          <w:p w14:paraId="3F601139" w14:textId="77777777" w:rsidR="003C210A" w:rsidRPr="00CF31E0" w:rsidRDefault="003C210A" w:rsidP="003C210A">
            <w:pPr>
              <w:rPr>
                <w:color w:val="000000" w:themeColor="text1"/>
                <w:sz w:val="22"/>
                <w:szCs w:val="22"/>
              </w:rPr>
            </w:pPr>
          </w:p>
          <w:p w14:paraId="63818508" w14:textId="77777777" w:rsidR="003C210A" w:rsidRPr="00CF31E0" w:rsidRDefault="003C210A" w:rsidP="003C210A">
            <w:pPr>
              <w:rPr>
                <w:color w:val="000000" w:themeColor="text1"/>
                <w:sz w:val="22"/>
                <w:szCs w:val="22"/>
              </w:rPr>
            </w:pPr>
            <w:r w:rsidRPr="00CF31E0">
              <w:rPr>
                <w:color w:val="000000" w:themeColor="text1"/>
                <w:sz w:val="22"/>
                <w:szCs w:val="22"/>
              </w:rPr>
              <w:t>Modern</w:t>
            </w:r>
          </w:p>
        </w:tc>
        <w:tc>
          <w:tcPr>
            <w:tcW w:w="634" w:type="dxa"/>
          </w:tcPr>
          <w:p w14:paraId="7AD96F20" w14:textId="77777777" w:rsidR="003C210A" w:rsidRPr="00CF31E0" w:rsidRDefault="003C210A" w:rsidP="003C210A">
            <w:pPr>
              <w:rPr>
                <w:color w:val="000000" w:themeColor="text1"/>
                <w:sz w:val="22"/>
                <w:szCs w:val="22"/>
              </w:rPr>
            </w:pPr>
          </w:p>
          <w:p w14:paraId="02891C0F" w14:textId="77777777" w:rsidR="003C210A" w:rsidRPr="00CF31E0" w:rsidRDefault="003C210A" w:rsidP="003C210A">
            <w:pPr>
              <w:jc w:val="center"/>
              <w:rPr>
                <w:color w:val="000000" w:themeColor="text1"/>
                <w:sz w:val="22"/>
                <w:szCs w:val="22"/>
              </w:rPr>
            </w:pPr>
            <w:r w:rsidRPr="00CF31E0">
              <w:rPr>
                <w:color w:val="000000" w:themeColor="text1"/>
                <w:sz w:val="22"/>
                <w:szCs w:val="22"/>
              </w:rPr>
              <w:t>1</w:t>
            </w:r>
          </w:p>
        </w:tc>
        <w:tc>
          <w:tcPr>
            <w:tcW w:w="634" w:type="dxa"/>
          </w:tcPr>
          <w:p w14:paraId="61062179" w14:textId="77777777" w:rsidR="003C210A" w:rsidRPr="00CF31E0" w:rsidRDefault="003C210A" w:rsidP="003C210A">
            <w:pPr>
              <w:rPr>
                <w:color w:val="000000" w:themeColor="text1"/>
                <w:sz w:val="22"/>
                <w:szCs w:val="22"/>
              </w:rPr>
            </w:pPr>
          </w:p>
          <w:p w14:paraId="433EF760" w14:textId="77777777" w:rsidR="003C210A" w:rsidRPr="00CF31E0" w:rsidRDefault="003C210A" w:rsidP="003C210A">
            <w:pPr>
              <w:jc w:val="center"/>
              <w:rPr>
                <w:color w:val="000000" w:themeColor="text1"/>
                <w:sz w:val="22"/>
                <w:szCs w:val="22"/>
              </w:rPr>
            </w:pPr>
            <w:r w:rsidRPr="00CF31E0">
              <w:rPr>
                <w:color w:val="000000" w:themeColor="text1"/>
                <w:sz w:val="22"/>
                <w:szCs w:val="22"/>
              </w:rPr>
              <w:t>2</w:t>
            </w:r>
          </w:p>
        </w:tc>
        <w:tc>
          <w:tcPr>
            <w:tcW w:w="634" w:type="dxa"/>
          </w:tcPr>
          <w:p w14:paraId="61A4F53D" w14:textId="77777777" w:rsidR="003C210A" w:rsidRPr="00CF31E0" w:rsidRDefault="003C210A" w:rsidP="003C210A">
            <w:pPr>
              <w:rPr>
                <w:color w:val="000000" w:themeColor="text1"/>
                <w:sz w:val="22"/>
                <w:szCs w:val="22"/>
              </w:rPr>
            </w:pPr>
          </w:p>
          <w:p w14:paraId="10611D6C" w14:textId="77777777" w:rsidR="003C210A" w:rsidRPr="00CF31E0" w:rsidRDefault="003C210A" w:rsidP="003C210A">
            <w:pPr>
              <w:jc w:val="center"/>
              <w:rPr>
                <w:color w:val="000000" w:themeColor="text1"/>
                <w:sz w:val="22"/>
                <w:szCs w:val="22"/>
              </w:rPr>
            </w:pPr>
            <w:r w:rsidRPr="00CF31E0">
              <w:rPr>
                <w:color w:val="000000" w:themeColor="text1"/>
                <w:sz w:val="22"/>
                <w:szCs w:val="22"/>
              </w:rPr>
              <w:t>3</w:t>
            </w:r>
          </w:p>
        </w:tc>
        <w:tc>
          <w:tcPr>
            <w:tcW w:w="634" w:type="dxa"/>
          </w:tcPr>
          <w:p w14:paraId="78B2802A" w14:textId="77777777" w:rsidR="003C210A" w:rsidRPr="00CF31E0" w:rsidRDefault="003C210A" w:rsidP="003C210A">
            <w:pPr>
              <w:rPr>
                <w:color w:val="000000" w:themeColor="text1"/>
                <w:sz w:val="22"/>
                <w:szCs w:val="22"/>
              </w:rPr>
            </w:pPr>
          </w:p>
          <w:p w14:paraId="72EBB37B" w14:textId="77777777" w:rsidR="003C210A" w:rsidRPr="00CF31E0" w:rsidRDefault="003C210A" w:rsidP="003C210A">
            <w:pPr>
              <w:jc w:val="center"/>
              <w:rPr>
                <w:color w:val="000000" w:themeColor="text1"/>
                <w:sz w:val="22"/>
                <w:szCs w:val="22"/>
              </w:rPr>
            </w:pPr>
            <w:r w:rsidRPr="00CF31E0">
              <w:rPr>
                <w:color w:val="000000" w:themeColor="text1"/>
                <w:sz w:val="22"/>
                <w:szCs w:val="22"/>
              </w:rPr>
              <w:t>4</w:t>
            </w:r>
          </w:p>
        </w:tc>
        <w:tc>
          <w:tcPr>
            <w:tcW w:w="635" w:type="dxa"/>
          </w:tcPr>
          <w:p w14:paraId="575168FF" w14:textId="77777777" w:rsidR="003C210A" w:rsidRPr="00CF31E0" w:rsidRDefault="003C210A" w:rsidP="003C210A">
            <w:pPr>
              <w:jc w:val="center"/>
              <w:rPr>
                <w:color w:val="000000" w:themeColor="text1"/>
                <w:sz w:val="22"/>
                <w:szCs w:val="22"/>
              </w:rPr>
            </w:pPr>
          </w:p>
          <w:p w14:paraId="6935ED74" w14:textId="77777777" w:rsidR="003C210A" w:rsidRPr="00CF31E0" w:rsidRDefault="003C210A" w:rsidP="003C210A">
            <w:pPr>
              <w:jc w:val="center"/>
              <w:rPr>
                <w:color w:val="000000" w:themeColor="text1"/>
                <w:sz w:val="22"/>
                <w:szCs w:val="22"/>
              </w:rPr>
            </w:pPr>
            <w:r w:rsidRPr="00CF31E0">
              <w:rPr>
                <w:color w:val="000000" w:themeColor="text1"/>
                <w:sz w:val="22"/>
                <w:szCs w:val="22"/>
              </w:rPr>
              <w:t>5</w:t>
            </w:r>
          </w:p>
          <w:p w14:paraId="54E36DC8" w14:textId="77777777" w:rsidR="003C210A" w:rsidRPr="00CF31E0" w:rsidRDefault="003C210A" w:rsidP="003C210A">
            <w:pPr>
              <w:rPr>
                <w:color w:val="000000" w:themeColor="text1"/>
                <w:sz w:val="22"/>
                <w:szCs w:val="22"/>
              </w:rPr>
            </w:pPr>
          </w:p>
        </w:tc>
      </w:tr>
    </w:tbl>
    <w:p w14:paraId="38F8B4A6" w14:textId="77777777" w:rsidR="00C16AD3" w:rsidRPr="00CF31E0" w:rsidRDefault="00C16AD3" w:rsidP="00603CB7">
      <w:pPr>
        <w:numPr>
          <w:ilvl w:val="0"/>
          <w:numId w:val="69"/>
        </w:numPr>
        <w:spacing w:before="400" w:line="360" w:lineRule="auto"/>
        <w:ind w:left="714" w:hanging="357"/>
        <w:jc w:val="both"/>
        <w:rPr>
          <w:rFonts w:eastAsia="MS Mincho"/>
          <w:bCs/>
          <w:color w:val="000000" w:themeColor="text1"/>
          <w:lang w:eastAsia="en-US"/>
        </w:rPr>
      </w:pPr>
      <w:r w:rsidRPr="00CF31E0">
        <w:rPr>
          <w:rFonts w:eastAsia="MS Mincho"/>
          <w:bCs/>
          <w:color w:val="000000" w:themeColor="text1"/>
          <w:lang w:eastAsia="en-US"/>
        </w:rPr>
        <w:t xml:space="preserve">Please listen carefully to the voice sample and allocate the sample to its original social group. </w:t>
      </w:r>
    </w:p>
    <w:p w14:paraId="383706B1" w14:textId="77777777" w:rsidR="00C16AD3" w:rsidRPr="00CF31E0" w:rsidRDefault="00C16AD3" w:rsidP="00C16AD3">
      <w:pPr>
        <w:rPr>
          <w:rFonts w:eastAsia="MS Mincho"/>
          <w:color w:val="000000" w:themeColor="text1"/>
        </w:rPr>
      </w:pPr>
    </w:p>
    <w:tbl>
      <w:tblPr>
        <w:tblStyle w:val="TableGrid12"/>
        <w:tblW w:w="0" w:type="auto"/>
        <w:tblLook w:val="04A0" w:firstRow="1" w:lastRow="0" w:firstColumn="1" w:lastColumn="0" w:noHBand="0" w:noVBand="1"/>
      </w:tblPr>
      <w:tblGrid>
        <w:gridCol w:w="4184"/>
        <w:gridCol w:w="1799"/>
        <w:gridCol w:w="1597"/>
      </w:tblGrid>
      <w:tr w:rsidR="008A1A4E" w:rsidRPr="00CF31E0" w14:paraId="66ED7B68" w14:textId="77777777" w:rsidTr="008C00D8">
        <w:trPr>
          <w:trHeight w:val="297"/>
        </w:trPr>
        <w:tc>
          <w:tcPr>
            <w:tcW w:w="4786" w:type="dxa"/>
          </w:tcPr>
          <w:p w14:paraId="32088B98" w14:textId="77777777" w:rsidR="00C16AD3" w:rsidRPr="00CF31E0" w:rsidRDefault="00C16AD3" w:rsidP="00C16AD3">
            <w:pPr>
              <w:jc w:val="center"/>
              <w:rPr>
                <w:color w:val="000000" w:themeColor="text1"/>
                <w:sz w:val="22"/>
                <w:szCs w:val="22"/>
              </w:rPr>
            </w:pPr>
            <w:r w:rsidRPr="00CF31E0">
              <w:rPr>
                <w:color w:val="000000" w:themeColor="text1"/>
                <w:sz w:val="22"/>
                <w:szCs w:val="22"/>
              </w:rPr>
              <w:t>Voice samples</w:t>
            </w:r>
          </w:p>
        </w:tc>
        <w:tc>
          <w:tcPr>
            <w:tcW w:w="1985" w:type="dxa"/>
          </w:tcPr>
          <w:p w14:paraId="0CE01127" w14:textId="77777777" w:rsidR="00C16AD3" w:rsidRPr="00CF31E0" w:rsidRDefault="00C16AD3" w:rsidP="00C16AD3">
            <w:pPr>
              <w:rPr>
                <w:color w:val="000000" w:themeColor="text1"/>
                <w:sz w:val="22"/>
                <w:szCs w:val="22"/>
              </w:rPr>
            </w:pPr>
            <w:r w:rsidRPr="00CF31E0">
              <w:rPr>
                <w:color w:val="000000" w:themeColor="text1"/>
                <w:sz w:val="22"/>
                <w:szCs w:val="22"/>
              </w:rPr>
              <w:t xml:space="preserve"> UBH dialect</w:t>
            </w:r>
          </w:p>
        </w:tc>
        <w:tc>
          <w:tcPr>
            <w:tcW w:w="1745" w:type="dxa"/>
          </w:tcPr>
          <w:p w14:paraId="0AFEAADC" w14:textId="77777777" w:rsidR="00C16AD3" w:rsidRPr="00CF31E0" w:rsidRDefault="00C16AD3" w:rsidP="00C16AD3">
            <w:pPr>
              <w:rPr>
                <w:color w:val="000000" w:themeColor="text1"/>
                <w:sz w:val="22"/>
                <w:szCs w:val="22"/>
              </w:rPr>
            </w:pPr>
            <w:r w:rsidRPr="00CF31E0">
              <w:rPr>
                <w:color w:val="000000" w:themeColor="text1"/>
                <w:sz w:val="22"/>
                <w:szCs w:val="22"/>
              </w:rPr>
              <w:t>HH dialect</w:t>
            </w:r>
          </w:p>
        </w:tc>
      </w:tr>
      <w:tr w:rsidR="00C16AD3" w:rsidRPr="00CF31E0" w14:paraId="766BFAF8" w14:textId="77777777" w:rsidTr="008C00D8">
        <w:tc>
          <w:tcPr>
            <w:tcW w:w="4786" w:type="dxa"/>
          </w:tcPr>
          <w:p w14:paraId="3FA43B8B" w14:textId="77777777" w:rsidR="00C16AD3" w:rsidRPr="00CF31E0" w:rsidRDefault="00C16AD3" w:rsidP="00C16AD3">
            <w:pPr>
              <w:rPr>
                <w:color w:val="000000" w:themeColor="text1"/>
                <w:sz w:val="22"/>
                <w:szCs w:val="22"/>
              </w:rPr>
            </w:pPr>
            <w:r w:rsidRPr="00CF31E0">
              <w:rPr>
                <w:color w:val="000000" w:themeColor="text1"/>
                <w:sz w:val="22"/>
                <w:szCs w:val="22"/>
              </w:rPr>
              <w:t>VS2 (the surname of the speaker)</w:t>
            </w:r>
          </w:p>
        </w:tc>
        <w:tc>
          <w:tcPr>
            <w:tcW w:w="1985" w:type="dxa"/>
          </w:tcPr>
          <w:p w14:paraId="1A8D1984" w14:textId="77777777" w:rsidR="00C16AD3" w:rsidRPr="00CF31E0" w:rsidRDefault="00C16AD3" w:rsidP="00C16AD3">
            <w:pPr>
              <w:rPr>
                <w:color w:val="000000" w:themeColor="text1"/>
                <w:sz w:val="22"/>
                <w:szCs w:val="22"/>
              </w:rPr>
            </w:pPr>
          </w:p>
        </w:tc>
        <w:tc>
          <w:tcPr>
            <w:tcW w:w="1745" w:type="dxa"/>
          </w:tcPr>
          <w:p w14:paraId="3218A483" w14:textId="77777777" w:rsidR="00C16AD3" w:rsidRPr="00CF31E0" w:rsidRDefault="00C16AD3" w:rsidP="00C16AD3">
            <w:pPr>
              <w:rPr>
                <w:color w:val="000000" w:themeColor="text1"/>
                <w:sz w:val="22"/>
                <w:szCs w:val="22"/>
              </w:rPr>
            </w:pPr>
          </w:p>
        </w:tc>
      </w:tr>
    </w:tbl>
    <w:p w14:paraId="278803F1" w14:textId="77777777" w:rsidR="00C16AD3" w:rsidRPr="00CF31E0" w:rsidRDefault="00C16AD3" w:rsidP="00C16AD3">
      <w:pPr>
        <w:rPr>
          <w:rFonts w:eastAsia="MS Mincho"/>
          <w:color w:val="000000" w:themeColor="text1"/>
        </w:rPr>
      </w:pPr>
    </w:p>
    <w:p w14:paraId="280BF42B" w14:textId="77777777" w:rsidR="00C16AD3" w:rsidRPr="00CF31E0" w:rsidRDefault="00C16AD3" w:rsidP="00C16AD3">
      <w:pPr>
        <w:rPr>
          <w:rFonts w:eastAsia="MS Mincho"/>
          <w:color w:val="000000" w:themeColor="text1"/>
        </w:rPr>
      </w:pPr>
    </w:p>
    <w:p w14:paraId="17547EDE" w14:textId="35E7E24F" w:rsidR="00453E26" w:rsidRPr="00CF31E0" w:rsidRDefault="00453E26" w:rsidP="00453E26">
      <w:pPr>
        <w:pStyle w:val="ListParagraph"/>
        <w:spacing w:before="400" w:line="360" w:lineRule="auto"/>
        <w:jc w:val="both"/>
        <w:rPr>
          <w:rFonts w:asciiTheme="majorBidi" w:eastAsia="MS Mincho" w:hAnsiTheme="majorBidi" w:cstheme="majorBidi"/>
          <w:color w:val="000000" w:themeColor="text1"/>
        </w:rPr>
      </w:pPr>
    </w:p>
    <w:p w14:paraId="1BD25998" w14:textId="77777777" w:rsidR="00EE2B86" w:rsidRPr="00CF31E0" w:rsidRDefault="00EE2B86" w:rsidP="00603CB7">
      <w:pPr>
        <w:pStyle w:val="ListParagraph"/>
        <w:spacing w:before="400" w:after="240" w:line="360" w:lineRule="auto"/>
        <w:ind w:left="0"/>
        <w:contextualSpacing w:val="0"/>
        <w:jc w:val="both"/>
        <w:rPr>
          <w:rFonts w:asciiTheme="majorBidi" w:eastAsia="MS Mincho" w:hAnsiTheme="majorBidi" w:cstheme="majorBidi"/>
          <w:b/>
          <w:color w:val="000000" w:themeColor="text1"/>
        </w:rPr>
      </w:pPr>
    </w:p>
    <w:p w14:paraId="261FA15A" w14:textId="77777777" w:rsidR="00C16AD3" w:rsidRPr="00CF31E0" w:rsidRDefault="00C16AD3" w:rsidP="00603CB7">
      <w:pPr>
        <w:numPr>
          <w:ilvl w:val="0"/>
          <w:numId w:val="69"/>
        </w:numPr>
        <w:spacing w:after="400"/>
        <w:ind w:left="714" w:hanging="357"/>
        <w:rPr>
          <w:rFonts w:eastAsia="MS Mincho"/>
          <w:color w:val="000000" w:themeColor="text1"/>
          <w:lang w:eastAsia="en-US"/>
        </w:rPr>
      </w:pPr>
      <w:r w:rsidRPr="00CF31E0">
        <w:rPr>
          <w:rFonts w:eastAsia="MS Mincho"/>
          <w:color w:val="000000" w:themeColor="text1"/>
          <w:lang w:eastAsia="en-US"/>
        </w:rPr>
        <w:lastRenderedPageBreak/>
        <w:t>How would you rate the speech of the voice sample provided in the recording?</w:t>
      </w:r>
    </w:p>
    <w:p w14:paraId="5F16FBBC" w14:textId="23454539" w:rsidR="00C16AD3" w:rsidRPr="00CF31E0" w:rsidRDefault="00F93D44" w:rsidP="00603CB7">
      <w:pPr>
        <w:spacing w:after="200"/>
        <w:rPr>
          <w:rFonts w:eastAsia="MS Mincho"/>
          <w:b/>
          <w:color w:val="000000" w:themeColor="text1"/>
        </w:rPr>
      </w:pPr>
      <w:r w:rsidRPr="00CF31E0">
        <w:rPr>
          <w:rFonts w:eastAsia="MS Mincho"/>
          <w:b/>
          <w:color w:val="000000" w:themeColor="text1"/>
        </w:rPr>
        <w:tab/>
      </w:r>
      <w:r w:rsidRPr="00CF31E0">
        <w:rPr>
          <w:rFonts w:eastAsia="MS Mincho"/>
          <w:b/>
          <w:color w:val="000000" w:themeColor="text1"/>
        </w:rPr>
        <w:tab/>
      </w:r>
      <w:r w:rsidRPr="00CF31E0">
        <w:rPr>
          <w:rFonts w:eastAsia="MS Mincho"/>
          <w:b/>
          <w:color w:val="000000" w:themeColor="text1"/>
        </w:rPr>
        <w:tab/>
      </w:r>
      <w:r w:rsidRPr="00CF31E0">
        <w:rPr>
          <w:rFonts w:eastAsia="MS Mincho"/>
          <w:b/>
          <w:color w:val="000000" w:themeColor="text1"/>
        </w:rPr>
        <w:tab/>
      </w:r>
      <w:r w:rsidRPr="00CF31E0">
        <w:rPr>
          <w:rFonts w:eastAsia="MS Mincho"/>
          <w:b/>
          <w:color w:val="000000" w:themeColor="text1"/>
        </w:rPr>
        <w:tab/>
      </w:r>
      <w:r w:rsidRPr="00CF31E0">
        <w:rPr>
          <w:rFonts w:eastAsia="MS Mincho"/>
          <w:b/>
          <w:color w:val="000000" w:themeColor="text1"/>
        </w:rPr>
        <w:tab/>
        <w:t xml:space="preserve">  </w:t>
      </w:r>
      <w:r w:rsidR="00C16AD3" w:rsidRPr="00CF31E0">
        <w:rPr>
          <w:rFonts w:eastAsia="MS Mincho"/>
          <w:b/>
          <w:color w:val="000000" w:themeColor="text1"/>
        </w:rPr>
        <w:t>Least______________Most</w:t>
      </w:r>
    </w:p>
    <w:tbl>
      <w:tblPr>
        <w:tblStyle w:val="TableGrid13"/>
        <w:tblW w:w="7674" w:type="dxa"/>
        <w:tblLook w:val="04A0" w:firstRow="1" w:lastRow="0" w:firstColumn="1" w:lastColumn="0" w:noHBand="0" w:noVBand="1"/>
      </w:tblPr>
      <w:tblGrid>
        <w:gridCol w:w="1711"/>
        <w:gridCol w:w="2792"/>
        <w:gridCol w:w="634"/>
        <w:gridCol w:w="634"/>
        <w:gridCol w:w="634"/>
        <w:gridCol w:w="634"/>
        <w:gridCol w:w="635"/>
      </w:tblGrid>
      <w:tr w:rsidR="008A1A4E" w:rsidRPr="00CF31E0" w14:paraId="7E01D1BF" w14:textId="77777777" w:rsidTr="00603CB7">
        <w:trPr>
          <w:trHeight w:val="699"/>
        </w:trPr>
        <w:tc>
          <w:tcPr>
            <w:tcW w:w="1711" w:type="dxa"/>
            <w:vMerge w:val="restart"/>
          </w:tcPr>
          <w:p w14:paraId="4C5EB49D" w14:textId="77777777" w:rsidR="00C16AD3" w:rsidRPr="00CF31E0" w:rsidRDefault="00C16AD3" w:rsidP="00C16AD3">
            <w:pPr>
              <w:rPr>
                <w:color w:val="000000" w:themeColor="text1"/>
                <w:sz w:val="22"/>
                <w:szCs w:val="22"/>
              </w:rPr>
            </w:pPr>
          </w:p>
          <w:p w14:paraId="6843BFC7" w14:textId="77777777" w:rsidR="00C16AD3" w:rsidRPr="00CF31E0" w:rsidRDefault="00C16AD3" w:rsidP="00C16AD3">
            <w:pPr>
              <w:rPr>
                <w:color w:val="000000" w:themeColor="text1"/>
                <w:sz w:val="22"/>
                <w:szCs w:val="22"/>
              </w:rPr>
            </w:pPr>
          </w:p>
          <w:p w14:paraId="0A211FD8" w14:textId="77777777" w:rsidR="00C16AD3" w:rsidRPr="00CF31E0" w:rsidRDefault="00C16AD3" w:rsidP="00C16AD3">
            <w:pPr>
              <w:rPr>
                <w:color w:val="000000" w:themeColor="text1"/>
                <w:sz w:val="22"/>
                <w:szCs w:val="22"/>
              </w:rPr>
            </w:pPr>
          </w:p>
          <w:p w14:paraId="33CF602F" w14:textId="77777777" w:rsidR="00C16AD3" w:rsidRPr="00CF31E0" w:rsidRDefault="00C16AD3" w:rsidP="00C16AD3">
            <w:pPr>
              <w:rPr>
                <w:color w:val="000000" w:themeColor="text1"/>
                <w:sz w:val="22"/>
                <w:szCs w:val="22"/>
              </w:rPr>
            </w:pPr>
          </w:p>
          <w:p w14:paraId="35A9C630" w14:textId="77777777" w:rsidR="00C16AD3" w:rsidRPr="00CF31E0" w:rsidRDefault="00C16AD3" w:rsidP="00C16AD3">
            <w:pPr>
              <w:rPr>
                <w:color w:val="000000" w:themeColor="text1"/>
                <w:sz w:val="22"/>
                <w:szCs w:val="22"/>
              </w:rPr>
            </w:pPr>
            <w:r w:rsidRPr="00CF31E0">
              <w:rPr>
                <w:color w:val="000000" w:themeColor="text1"/>
                <w:sz w:val="22"/>
                <w:szCs w:val="22"/>
              </w:rPr>
              <w:t>VS2</w:t>
            </w:r>
          </w:p>
          <w:p w14:paraId="4D24F47B" w14:textId="77777777" w:rsidR="00C16AD3" w:rsidRPr="00CF31E0" w:rsidRDefault="00C16AD3" w:rsidP="00C16AD3">
            <w:pPr>
              <w:jc w:val="right"/>
              <w:rPr>
                <w:color w:val="000000" w:themeColor="text1"/>
                <w:sz w:val="22"/>
                <w:szCs w:val="22"/>
              </w:rPr>
            </w:pPr>
          </w:p>
        </w:tc>
        <w:tc>
          <w:tcPr>
            <w:tcW w:w="2792" w:type="dxa"/>
          </w:tcPr>
          <w:p w14:paraId="1DC3F2BE" w14:textId="77777777" w:rsidR="00C16AD3" w:rsidRPr="00CF31E0" w:rsidRDefault="00C16AD3" w:rsidP="00C16AD3">
            <w:pPr>
              <w:rPr>
                <w:color w:val="000000" w:themeColor="text1"/>
                <w:sz w:val="22"/>
                <w:szCs w:val="22"/>
              </w:rPr>
            </w:pPr>
          </w:p>
          <w:p w14:paraId="0144379F" w14:textId="77777777" w:rsidR="00C16AD3" w:rsidRPr="00CF31E0" w:rsidRDefault="00C16AD3" w:rsidP="00C16AD3">
            <w:pPr>
              <w:rPr>
                <w:color w:val="000000" w:themeColor="text1"/>
                <w:sz w:val="22"/>
                <w:szCs w:val="22"/>
              </w:rPr>
            </w:pPr>
            <w:r w:rsidRPr="00CF31E0">
              <w:rPr>
                <w:color w:val="000000" w:themeColor="text1"/>
                <w:sz w:val="22"/>
                <w:szCs w:val="22"/>
              </w:rPr>
              <w:t>Serious</w:t>
            </w:r>
          </w:p>
        </w:tc>
        <w:tc>
          <w:tcPr>
            <w:tcW w:w="634" w:type="dxa"/>
          </w:tcPr>
          <w:p w14:paraId="31168503" w14:textId="77777777" w:rsidR="00C16AD3" w:rsidRPr="00CF31E0" w:rsidRDefault="00C16AD3" w:rsidP="00C16AD3">
            <w:pPr>
              <w:rPr>
                <w:color w:val="000000" w:themeColor="text1"/>
                <w:sz w:val="22"/>
                <w:szCs w:val="22"/>
              </w:rPr>
            </w:pPr>
          </w:p>
          <w:p w14:paraId="47F98B0C" w14:textId="77777777" w:rsidR="00C16AD3" w:rsidRPr="00CF31E0" w:rsidRDefault="00C16AD3" w:rsidP="00C16AD3">
            <w:pPr>
              <w:jc w:val="center"/>
              <w:rPr>
                <w:color w:val="000000" w:themeColor="text1"/>
                <w:sz w:val="22"/>
                <w:szCs w:val="22"/>
              </w:rPr>
            </w:pPr>
            <w:r w:rsidRPr="00CF31E0">
              <w:rPr>
                <w:color w:val="000000" w:themeColor="text1"/>
                <w:sz w:val="22"/>
                <w:szCs w:val="22"/>
              </w:rPr>
              <w:t>1</w:t>
            </w:r>
          </w:p>
        </w:tc>
        <w:tc>
          <w:tcPr>
            <w:tcW w:w="634" w:type="dxa"/>
          </w:tcPr>
          <w:p w14:paraId="4B583139" w14:textId="77777777" w:rsidR="00C16AD3" w:rsidRPr="00CF31E0" w:rsidRDefault="00C16AD3" w:rsidP="00C16AD3">
            <w:pPr>
              <w:rPr>
                <w:color w:val="000000" w:themeColor="text1"/>
                <w:sz w:val="22"/>
                <w:szCs w:val="22"/>
              </w:rPr>
            </w:pPr>
          </w:p>
          <w:p w14:paraId="1165427C" w14:textId="77777777" w:rsidR="00C16AD3" w:rsidRPr="00CF31E0" w:rsidRDefault="00C16AD3" w:rsidP="00C16AD3">
            <w:pPr>
              <w:jc w:val="center"/>
              <w:rPr>
                <w:color w:val="000000" w:themeColor="text1"/>
                <w:sz w:val="22"/>
                <w:szCs w:val="22"/>
              </w:rPr>
            </w:pPr>
            <w:r w:rsidRPr="00CF31E0">
              <w:rPr>
                <w:color w:val="000000" w:themeColor="text1"/>
                <w:sz w:val="22"/>
                <w:szCs w:val="22"/>
              </w:rPr>
              <w:t>2</w:t>
            </w:r>
          </w:p>
        </w:tc>
        <w:tc>
          <w:tcPr>
            <w:tcW w:w="634" w:type="dxa"/>
          </w:tcPr>
          <w:p w14:paraId="74B43C4D" w14:textId="77777777" w:rsidR="00C16AD3" w:rsidRPr="00CF31E0" w:rsidRDefault="00C16AD3" w:rsidP="00C16AD3">
            <w:pPr>
              <w:rPr>
                <w:color w:val="000000" w:themeColor="text1"/>
                <w:sz w:val="22"/>
                <w:szCs w:val="22"/>
              </w:rPr>
            </w:pPr>
          </w:p>
          <w:p w14:paraId="417A4B16" w14:textId="77777777" w:rsidR="00C16AD3" w:rsidRPr="00CF31E0" w:rsidRDefault="00C16AD3" w:rsidP="00C16AD3">
            <w:pPr>
              <w:jc w:val="center"/>
              <w:rPr>
                <w:color w:val="000000" w:themeColor="text1"/>
                <w:sz w:val="22"/>
                <w:szCs w:val="22"/>
              </w:rPr>
            </w:pPr>
            <w:r w:rsidRPr="00CF31E0">
              <w:rPr>
                <w:color w:val="000000" w:themeColor="text1"/>
                <w:sz w:val="22"/>
                <w:szCs w:val="22"/>
              </w:rPr>
              <w:t>3</w:t>
            </w:r>
          </w:p>
        </w:tc>
        <w:tc>
          <w:tcPr>
            <w:tcW w:w="634" w:type="dxa"/>
          </w:tcPr>
          <w:p w14:paraId="0B9F613D" w14:textId="77777777" w:rsidR="00C16AD3" w:rsidRPr="00CF31E0" w:rsidRDefault="00C16AD3" w:rsidP="00C16AD3">
            <w:pPr>
              <w:rPr>
                <w:color w:val="000000" w:themeColor="text1"/>
                <w:sz w:val="22"/>
                <w:szCs w:val="22"/>
              </w:rPr>
            </w:pPr>
          </w:p>
          <w:p w14:paraId="7C621741" w14:textId="77777777" w:rsidR="00C16AD3" w:rsidRPr="00CF31E0" w:rsidRDefault="00C16AD3" w:rsidP="00C16AD3">
            <w:pPr>
              <w:jc w:val="center"/>
              <w:rPr>
                <w:color w:val="000000" w:themeColor="text1"/>
                <w:sz w:val="22"/>
                <w:szCs w:val="22"/>
              </w:rPr>
            </w:pPr>
            <w:r w:rsidRPr="00CF31E0">
              <w:rPr>
                <w:color w:val="000000" w:themeColor="text1"/>
                <w:sz w:val="22"/>
                <w:szCs w:val="22"/>
              </w:rPr>
              <w:t>4</w:t>
            </w:r>
          </w:p>
        </w:tc>
        <w:tc>
          <w:tcPr>
            <w:tcW w:w="635" w:type="dxa"/>
          </w:tcPr>
          <w:p w14:paraId="5A231E5C" w14:textId="77777777" w:rsidR="00C16AD3" w:rsidRPr="00CF31E0" w:rsidRDefault="00C16AD3" w:rsidP="00C16AD3">
            <w:pPr>
              <w:rPr>
                <w:color w:val="000000" w:themeColor="text1"/>
                <w:sz w:val="22"/>
                <w:szCs w:val="22"/>
              </w:rPr>
            </w:pPr>
          </w:p>
          <w:p w14:paraId="1050921B" w14:textId="77777777" w:rsidR="00C16AD3" w:rsidRPr="00CF31E0" w:rsidRDefault="00C16AD3" w:rsidP="00C16AD3">
            <w:pPr>
              <w:jc w:val="center"/>
              <w:rPr>
                <w:color w:val="000000" w:themeColor="text1"/>
                <w:sz w:val="22"/>
                <w:szCs w:val="22"/>
              </w:rPr>
            </w:pPr>
            <w:r w:rsidRPr="00CF31E0">
              <w:rPr>
                <w:color w:val="000000" w:themeColor="text1"/>
                <w:sz w:val="22"/>
                <w:szCs w:val="22"/>
              </w:rPr>
              <w:t>5</w:t>
            </w:r>
          </w:p>
        </w:tc>
      </w:tr>
      <w:tr w:rsidR="008A1A4E" w:rsidRPr="00CF31E0" w14:paraId="6651C58C" w14:textId="77777777" w:rsidTr="00603CB7">
        <w:trPr>
          <w:trHeight w:val="724"/>
        </w:trPr>
        <w:tc>
          <w:tcPr>
            <w:tcW w:w="1711" w:type="dxa"/>
            <w:vMerge/>
          </w:tcPr>
          <w:p w14:paraId="26D89894" w14:textId="77777777" w:rsidR="00C16AD3" w:rsidRPr="00CF31E0" w:rsidRDefault="00C16AD3" w:rsidP="00C16AD3">
            <w:pPr>
              <w:rPr>
                <w:color w:val="000000" w:themeColor="text1"/>
                <w:sz w:val="22"/>
                <w:szCs w:val="22"/>
              </w:rPr>
            </w:pPr>
          </w:p>
        </w:tc>
        <w:tc>
          <w:tcPr>
            <w:tcW w:w="2792" w:type="dxa"/>
          </w:tcPr>
          <w:p w14:paraId="5E6239E9" w14:textId="77777777" w:rsidR="00C16AD3" w:rsidRPr="00CF31E0" w:rsidRDefault="00C16AD3" w:rsidP="00C16AD3">
            <w:pPr>
              <w:rPr>
                <w:color w:val="000000" w:themeColor="text1"/>
                <w:sz w:val="22"/>
                <w:szCs w:val="22"/>
              </w:rPr>
            </w:pPr>
          </w:p>
          <w:p w14:paraId="795478CE" w14:textId="77777777" w:rsidR="00C16AD3" w:rsidRPr="00CF31E0" w:rsidRDefault="00C16AD3" w:rsidP="00C16AD3">
            <w:pPr>
              <w:rPr>
                <w:color w:val="000000" w:themeColor="text1"/>
                <w:sz w:val="22"/>
                <w:szCs w:val="22"/>
              </w:rPr>
            </w:pPr>
            <w:r w:rsidRPr="00CF31E0">
              <w:rPr>
                <w:color w:val="000000" w:themeColor="text1"/>
                <w:sz w:val="22"/>
                <w:szCs w:val="22"/>
              </w:rPr>
              <w:t>Traditional</w:t>
            </w:r>
          </w:p>
        </w:tc>
        <w:tc>
          <w:tcPr>
            <w:tcW w:w="634" w:type="dxa"/>
          </w:tcPr>
          <w:p w14:paraId="38AB7CE2" w14:textId="77777777" w:rsidR="00C16AD3" w:rsidRPr="00CF31E0" w:rsidRDefault="00C16AD3" w:rsidP="00C16AD3">
            <w:pPr>
              <w:rPr>
                <w:color w:val="000000" w:themeColor="text1"/>
                <w:sz w:val="22"/>
                <w:szCs w:val="22"/>
              </w:rPr>
            </w:pPr>
          </w:p>
          <w:p w14:paraId="25E2C24B" w14:textId="77777777" w:rsidR="00C16AD3" w:rsidRPr="00CF31E0" w:rsidRDefault="00C16AD3" w:rsidP="00C16AD3">
            <w:pPr>
              <w:jc w:val="center"/>
              <w:rPr>
                <w:color w:val="000000" w:themeColor="text1"/>
                <w:sz w:val="22"/>
                <w:szCs w:val="22"/>
              </w:rPr>
            </w:pPr>
            <w:r w:rsidRPr="00CF31E0">
              <w:rPr>
                <w:color w:val="000000" w:themeColor="text1"/>
                <w:sz w:val="22"/>
                <w:szCs w:val="22"/>
              </w:rPr>
              <w:t>1</w:t>
            </w:r>
          </w:p>
        </w:tc>
        <w:tc>
          <w:tcPr>
            <w:tcW w:w="634" w:type="dxa"/>
          </w:tcPr>
          <w:p w14:paraId="07448912" w14:textId="77777777" w:rsidR="00C16AD3" w:rsidRPr="00CF31E0" w:rsidRDefault="00C16AD3" w:rsidP="00C16AD3">
            <w:pPr>
              <w:rPr>
                <w:color w:val="000000" w:themeColor="text1"/>
                <w:sz w:val="22"/>
                <w:szCs w:val="22"/>
              </w:rPr>
            </w:pPr>
          </w:p>
          <w:p w14:paraId="6B4B3880" w14:textId="77777777" w:rsidR="00C16AD3" w:rsidRPr="00CF31E0" w:rsidRDefault="00C16AD3" w:rsidP="00C16AD3">
            <w:pPr>
              <w:jc w:val="center"/>
              <w:rPr>
                <w:color w:val="000000" w:themeColor="text1"/>
                <w:sz w:val="22"/>
                <w:szCs w:val="22"/>
              </w:rPr>
            </w:pPr>
            <w:r w:rsidRPr="00CF31E0">
              <w:rPr>
                <w:color w:val="000000" w:themeColor="text1"/>
                <w:sz w:val="22"/>
                <w:szCs w:val="22"/>
              </w:rPr>
              <w:t>2</w:t>
            </w:r>
          </w:p>
        </w:tc>
        <w:tc>
          <w:tcPr>
            <w:tcW w:w="634" w:type="dxa"/>
          </w:tcPr>
          <w:p w14:paraId="3FC372D9" w14:textId="77777777" w:rsidR="00C16AD3" w:rsidRPr="00CF31E0" w:rsidRDefault="00C16AD3" w:rsidP="00C16AD3">
            <w:pPr>
              <w:rPr>
                <w:color w:val="000000" w:themeColor="text1"/>
                <w:sz w:val="22"/>
                <w:szCs w:val="22"/>
              </w:rPr>
            </w:pPr>
          </w:p>
          <w:p w14:paraId="4819BB55" w14:textId="77777777" w:rsidR="00C16AD3" w:rsidRPr="00CF31E0" w:rsidRDefault="00C16AD3" w:rsidP="00C16AD3">
            <w:pPr>
              <w:jc w:val="center"/>
              <w:rPr>
                <w:color w:val="000000" w:themeColor="text1"/>
                <w:sz w:val="22"/>
                <w:szCs w:val="22"/>
              </w:rPr>
            </w:pPr>
            <w:r w:rsidRPr="00CF31E0">
              <w:rPr>
                <w:color w:val="000000" w:themeColor="text1"/>
                <w:sz w:val="22"/>
                <w:szCs w:val="22"/>
              </w:rPr>
              <w:t>3</w:t>
            </w:r>
          </w:p>
        </w:tc>
        <w:tc>
          <w:tcPr>
            <w:tcW w:w="634" w:type="dxa"/>
          </w:tcPr>
          <w:p w14:paraId="1E34972E" w14:textId="77777777" w:rsidR="00C16AD3" w:rsidRPr="00CF31E0" w:rsidRDefault="00C16AD3" w:rsidP="00C16AD3">
            <w:pPr>
              <w:rPr>
                <w:color w:val="000000" w:themeColor="text1"/>
                <w:sz w:val="22"/>
                <w:szCs w:val="22"/>
              </w:rPr>
            </w:pPr>
          </w:p>
          <w:p w14:paraId="62987762" w14:textId="77777777" w:rsidR="00C16AD3" w:rsidRPr="00CF31E0" w:rsidRDefault="00C16AD3" w:rsidP="00C16AD3">
            <w:pPr>
              <w:jc w:val="center"/>
              <w:rPr>
                <w:color w:val="000000" w:themeColor="text1"/>
                <w:sz w:val="22"/>
                <w:szCs w:val="22"/>
              </w:rPr>
            </w:pPr>
            <w:r w:rsidRPr="00CF31E0">
              <w:rPr>
                <w:color w:val="000000" w:themeColor="text1"/>
                <w:sz w:val="22"/>
                <w:szCs w:val="22"/>
              </w:rPr>
              <w:t>4</w:t>
            </w:r>
          </w:p>
        </w:tc>
        <w:tc>
          <w:tcPr>
            <w:tcW w:w="635" w:type="dxa"/>
          </w:tcPr>
          <w:p w14:paraId="0E28C2DF" w14:textId="77777777" w:rsidR="00C16AD3" w:rsidRPr="00CF31E0" w:rsidRDefault="00C16AD3" w:rsidP="00C16AD3">
            <w:pPr>
              <w:jc w:val="center"/>
              <w:rPr>
                <w:color w:val="000000" w:themeColor="text1"/>
                <w:sz w:val="22"/>
                <w:szCs w:val="22"/>
              </w:rPr>
            </w:pPr>
          </w:p>
          <w:p w14:paraId="4CC89770" w14:textId="77777777" w:rsidR="00C16AD3" w:rsidRPr="00CF31E0" w:rsidRDefault="00C16AD3" w:rsidP="00C16AD3">
            <w:pPr>
              <w:jc w:val="center"/>
              <w:rPr>
                <w:color w:val="000000" w:themeColor="text1"/>
                <w:sz w:val="22"/>
                <w:szCs w:val="22"/>
              </w:rPr>
            </w:pPr>
            <w:r w:rsidRPr="00CF31E0">
              <w:rPr>
                <w:color w:val="000000" w:themeColor="text1"/>
                <w:sz w:val="22"/>
                <w:szCs w:val="22"/>
              </w:rPr>
              <w:t>5</w:t>
            </w:r>
          </w:p>
          <w:p w14:paraId="466686E4" w14:textId="77777777" w:rsidR="00C16AD3" w:rsidRPr="00CF31E0" w:rsidRDefault="00C16AD3" w:rsidP="00C16AD3">
            <w:pPr>
              <w:rPr>
                <w:color w:val="000000" w:themeColor="text1"/>
                <w:sz w:val="22"/>
                <w:szCs w:val="22"/>
              </w:rPr>
            </w:pPr>
          </w:p>
        </w:tc>
      </w:tr>
      <w:tr w:rsidR="008A1A4E" w:rsidRPr="00CF31E0" w14:paraId="643FAAE4" w14:textId="77777777" w:rsidTr="00603CB7">
        <w:trPr>
          <w:trHeight w:val="699"/>
        </w:trPr>
        <w:tc>
          <w:tcPr>
            <w:tcW w:w="1711" w:type="dxa"/>
            <w:vMerge w:val="restart"/>
          </w:tcPr>
          <w:p w14:paraId="6A147B33" w14:textId="77777777" w:rsidR="00C16AD3" w:rsidRPr="00CF31E0" w:rsidRDefault="00C16AD3" w:rsidP="00C16AD3">
            <w:pPr>
              <w:rPr>
                <w:color w:val="000000" w:themeColor="text1"/>
                <w:sz w:val="22"/>
                <w:szCs w:val="22"/>
              </w:rPr>
            </w:pPr>
          </w:p>
        </w:tc>
        <w:tc>
          <w:tcPr>
            <w:tcW w:w="2792" w:type="dxa"/>
          </w:tcPr>
          <w:p w14:paraId="2EC75096" w14:textId="77777777" w:rsidR="00C16AD3" w:rsidRPr="00CF31E0" w:rsidRDefault="00C16AD3" w:rsidP="00C16AD3">
            <w:pPr>
              <w:rPr>
                <w:color w:val="000000" w:themeColor="text1"/>
                <w:sz w:val="22"/>
                <w:szCs w:val="22"/>
              </w:rPr>
            </w:pPr>
          </w:p>
          <w:p w14:paraId="2F6B440A" w14:textId="77777777" w:rsidR="00C16AD3" w:rsidRPr="00CF31E0" w:rsidRDefault="00C16AD3" w:rsidP="00C16AD3">
            <w:pPr>
              <w:rPr>
                <w:color w:val="000000" w:themeColor="text1"/>
                <w:sz w:val="22"/>
                <w:szCs w:val="22"/>
              </w:rPr>
            </w:pPr>
            <w:r w:rsidRPr="00CF31E0">
              <w:rPr>
                <w:color w:val="000000" w:themeColor="text1"/>
                <w:sz w:val="22"/>
                <w:szCs w:val="22"/>
              </w:rPr>
              <w:t>Similar to other Arabic dialects</w:t>
            </w:r>
          </w:p>
        </w:tc>
        <w:tc>
          <w:tcPr>
            <w:tcW w:w="634" w:type="dxa"/>
          </w:tcPr>
          <w:p w14:paraId="411DFA4A" w14:textId="77777777" w:rsidR="00C16AD3" w:rsidRPr="00CF31E0" w:rsidRDefault="00C16AD3" w:rsidP="00C16AD3">
            <w:pPr>
              <w:rPr>
                <w:color w:val="000000" w:themeColor="text1"/>
                <w:sz w:val="22"/>
                <w:szCs w:val="22"/>
              </w:rPr>
            </w:pPr>
          </w:p>
          <w:p w14:paraId="3617CDBD" w14:textId="77777777" w:rsidR="00C16AD3" w:rsidRPr="00CF31E0" w:rsidRDefault="00C16AD3" w:rsidP="00C16AD3">
            <w:pPr>
              <w:jc w:val="center"/>
              <w:rPr>
                <w:color w:val="000000" w:themeColor="text1"/>
                <w:sz w:val="22"/>
                <w:szCs w:val="22"/>
              </w:rPr>
            </w:pPr>
            <w:r w:rsidRPr="00CF31E0">
              <w:rPr>
                <w:color w:val="000000" w:themeColor="text1"/>
                <w:sz w:val="22"/>
                <w:szCs w:val="22"/>
              </w:rPr>
              <w:t>1</w:t>
            </w:r>
          </w:p>
        </w:tc>
        <w:tc>
          <w:tcPr>
            <w:tcW w:w="634" w:type="dxa"/>
          </w:tcPr>
          <w:p w14:paraId="4A3C91DE" w14:textId="77777777" w:rsidR="00C16AD3" w:rsidRPr="00CF31E0" w:rsidRDefault="00C16AD3" w:rsidP="00C16AD3">
            <w:pPr>
              <w:rPr>
                <w:color w:val="000000" w:themeColor="text1"/>
                <w:sz w:val="22"/>
                <w:szCs w:val="22"/>
              </w:rPr>
            </w:pPr>
          </w:p>
          <w:p w14:paraId="10B4D30F" w14:textId="77777777" w:rsidR="00C16AD3" w:rsidRPr="00CF31E0" w:rsidRDefault="00C16AD3" w:rsidP="00C16AD3">
            <w:pPr>
              <w:jc w:val="center"/>
              <w:rPr>
                <w:color w:val="000000" w:themeColor="text1"/>
                <w:sz w:val="22"/>
                <w:szCs w:val="22"/>
              </w:rPr>
            </w:pPr>
            <w:r w:rsidRPr="00CF31E0">
              <w:rPr>
                <w:color w:val="000000" w:themeColor="text1"/>
                <w:sz w:val="22"/>
                <w:szCs w:val="22"/>
              </w:rPr>
              <w:t>2</w:t>
            </w:r>
          </w:p>
        </w:tc>
        <w:tc>
          <w:tcPr>
            <w:tcW w:w="634" w:type="dxa"/>
          </w:tcPr>
          <w:p w14:paraId="04119F06" w14:textId="77777777" w:rsidR="00C16AD3" w:rsidRPr="00CF31E0" w:rsidRDefault="00C16AD3" w:rsidP="00C16AD3">
            <w:pPr>
              <w:rPr>
                <w:color w:val="000000" w:themeColor="text1"/>
                <w:sz w:val="22"/>
                <w:szCs w:val="22"/>
              </w:rPr>
            </w:pPr>
          </w:p>
          <w:p w14:paraId="330E61FA" w14:textId="77777777" w:rsidR="00C16AD3" w:rsidRPr="00CF31E0" w:rsidRDefault="00C16AD3" w:rsidP="00C16AD3">
            <w:pPr>
              <w:jc w:val="center"/>
              <w:rPr>
                <w:color w:val="000000" w:themeColor="text1"/>
                <w:sz w:val="22"/>
                <w:szCs w:val="22"/>
              </w:rPr>
            </w:pPr>
            <w:r w:rsidRPr="00CF31E0">
              <w:rPr>
                <w:color w:val="000000" w:themeColor="text1"/>
                <w:sz w:val="22"/>
                <w:szCs w:val="22"/>
              </w:rPr>
              <w:t>3</w:t>
            </w:r>
          </w:p>
        </w:tc>
        <w:tc>
          <w:tcPr>
            <w:tcW w:w="634" w:type="dxa"/>
          </w:tcPr>
          <w:p w14:paraId="49D18185" w14:textId="77777777" w:rsidR="00C16AD3" w:rsidRPr="00CF31E0" w:rsidRDefault="00C16AD3" w:rsidP="00C16AD3">
            <w:pPr>
              <w:rPr>
                <w:color w:val="000000" w:themeColor="text1"/>
                <w:sz w:val="22"/>
                <w:szCs w:val="22"/>
              </w:rPr>
            </w:pPr>
          </w:p>
          <w:p w14:paraId="0562B305" w14:textId="77777777" w:rsidR="00C16AD3" w:rsidRPr="00CF31E0" w:rsidRDefault="00C16AD3" w:rsidP="00C16AD3">
            <w:pPr>
              <w:jc w:val="center"/>
              <w:rPr>
                <w:color w:val="000000" w:themeColor="text1"/>
                <w:sz w:val="22"/>
                <w:szCs w:val="22"/>
              </w:rPr>
            </w:pPr>
            <w:r w:rsidRPr="00CF31E0">
              <w:rPr>
                <w:color w:val="000000" w:themeColor="text1"/>
                <w:sz w:val="22"/>
                <w:szCs w:val="22"/>
              </w:rPr>
              <w:t>4</w:t>
            </w:r>
          </w:p>
        </w:tc>
        <w:tc>
          <w:tcPr>
            <w:tcW w:w="635" w:type="dxa"/>
          </w:tcPr>
          <w:p w14:paraId="367A8947" w14:textId="77777777" w:rsidR="00C16AD3" w:rsidRPr="00CF31E0" w:rsidRDefault="00C16AD3" w:rsidP="00C16AD3">
            <w:pPr>
              <w:rPr>
                <w:color w:val="000000" w:themeColor="text1"/>
                <w:sz w:val="22"/>
                <w:szCs w:val="22"/>
              </w:rPr>
            </w:pPr>
          </w:p>
          <w:p w14:paraId="15F1470E" w14:textId="77777777" w:rsidR="00C16AD3" w:rsidRPr="00CF31E0" w:rsidRDefault="00C16AD3" w:rsidP="00C16AD3">
            <w:pPr>
              <w:jc w:val="center"/>
              <w:rPr>
                <w:color w:val="000000" w:themeColor="text1"/>
                <w:sz w:val="22"/>
                <w:szCs w:val="22"/>
              </w:rPr>
            </w:pPr>
            <w:r w:rsidRPr="00CF31E0">
              <w:rPr>
                <w:color w:val="000000" w:themeColor="text1"/>
                <w:sz w:val="22"/>
                <w:szCs w:val="22"/>
              </w:rPr>
              <w:t>5</w:t>
            </w:r>
          </w:p>
        </w:tc>
      </w:tr>
      <w:tr w:rsidR="008A1A4E" w:rsidRPr="00CF31E0" w14:paraId="694DDC89" w14:textId="77777777" w:rsidTr="00603CB7">
        <w:trPr>
          <w:trHeight w:val="724"/>
        </w:trPr>
        <w:tc>
          <w:tcPr>
            <w:tcW w:w="1711" w:type="dxa"/>
            <w:vMerge/>
          </w:tcPr>
          <w:p w14:paraId="798BDF9D" w14:textId="77777777" w:rsidR="00C16AD3" w:rsidRPr="00CF31E0" w:rsidRDefault="00C16AD3" w:rsidP="00C16AD3">
            <w:pPr>
              <w:rPr>
                <w:color w:val="000000" w:themeColor="text1"/>
                <w:sz w:val="22"/>
                <w:szCs w:val="22"/>
              </w:rPr>
            </w:pPr>
          </w:p>
        </w:tc>
        <w:tc>
          <w:tcPr>
            <w:tcW w:w="2792" w:type="dxa"/>
          </w:tcPr>
          <w:p w14:paraId="060E94BB" w14:textId="77777777" w:rsidR="00C16AD3" w:rsidRPr="00CF31E0" w:rsidRDefault="00C16AD3" w:rsidP="00C16AD3">
            <w:pPr>
              <w:rPr>
                <w:color w:val="000000" w:themeColor="text1"/>
                <w:sz w:val="22"/>
                <w:szCs w:val="22"/>
              </w:rPr>
            </w:pPr>
          </w:p>
          <w:p w14:paraId="786C85CC" w14:textId="77777777" w:rsidR="00C16AD3" w:rsidRPr="00CF31E0" w:rsidRDefault="00C16AD3" w:rsidP="00C16AD3">
            <w:pPr>
              <w:rPr>
                <w:color w:val="000000" w:themeColor="text1"/>
                <w:sz w:val="22"/>
                <w:szCs w:val="22"/>
              </w:rPr>
            </w:pPr>
            <w:r w:rsidRPr="00CF31E0">
              <w:rPr>
                <w:color w:val="000000" w:themeColor="text1"/>
                <w:sz w:val="22"/>
                <w:szCs w:val="22"/>
              </w:rPr>
              <w:t>Modern</w:t>
            </w:r>
          </w:p>
        </w:tc>
        <w:tc>
          <w:tcPr>
            <w:tcW w:w="634" w:type="dxa"/>
          </w:tcPr>
          <w:p w14:paraId="7655E854" w14:textId="77777777" w:rsidR="00C16AD3" w:rsidRPr="00CF31E0" w:rsidRDefault="00C16AD3" w:rsidP="00C16AD3">
            <w:pPr>
              <w:rPr>
                <w:color w:val="000000" w:themeColor="text1"/>
                <w:sz w:val="22"/>
                <w:szCs w:val="22"/>
              </w:rPr>
            </w:pPr>
          </w:p>
          <w:p w14:paraId="58BEDD11" w14:textId="77777777" w:rsidR="00C16AD3" w:rsidRPr="00CF31E0" w:rsidRDefault="00C16AD3" w:rsidP="00C16AD3">
            <w:pPr>
              <w:jc w:val="center"/>
              <w:rPr>
                <w:color w:val="000000" w:themeColor="text1"/>
                <w:sz w:val="22"/>
                <w:szCs w:val="22"/>
              </w:rPr>
            </w:pPr>
            <w:r w:rsidRPr="00CF31E0">
              <w:rPr>
                <w:color w:val="000000" w:themeColor="text1"/>
                <w:sz w:val="22"/>
                <w:szCs w:val="22"/>
              </w:rPr>
              <w:t>1</w:t>
            </w:r>
          </w:p>
        </w:tc>
        <w:tc>
          <w:tcPr>
            <w:tcW w:w="634" w:type="dxa"/>
          </w:tcPr>
          <w:p w14:paraId="2D33CD70" w14:textId="77777777" w:rsidR="00C16AD3" w:rsidRPr="00CF31E0" w:rsidRDefault="00C16AD3" w:rsidP="00C16AD3">
            <w:pPr>
              <w:rPr>
                <w:color w:val="000000" w:themeColor="text1"/>
                <w:sz w:val="22"/>
                <w:szCs w:val="22"/>
              </w:rPr>
            </w:pPr>
          </w:p>
          <w:p w14:paraId="375D099F" w14:textId="77777777" w:rsidR="00C16AD3" w:rsidRPr="00CF31E0" w:rsidRDefault="00C16AD3" w:rsidP="00C16AD3">
            <w:pPr>
              <w:jc w:val="center"/>
              <w:rPr>
                <w:color w:val="000000" w:themeColor="text1"/>
                <w:sz w:val="22"/>
                <w:szCs w:val="22"/>
              </w:rPr>
            </w:pPr>
            <w:r w:rsidRPr="00CF31E0">
              <w:rPr>
                <w:color w:val="000000" w:themeColor="text1"/>
                <w:sz w:val="22"/>
                <w:szCs w:val="22"/>
              </w:rPr>
              <w:t>2</w:t>
            </w:r>
          </w:p>
        </w:tc>
        <w:tc>
          <w:tcPr>
            <w:tcW w:w="634" w:type="dxa"/>
          </w:tcPr>
          <w:p w14:paraId="0746DAA1" w14:textId="77777777" w:rsidR="00C16AD3" w:rsidRPr="00CF31E0" w:rsidRDefault="00C16AD3" w:rsidP="00C16AD3">
            <w:pPr>
              <w:rPr>
                <w:color w:val="000000" w:themeColor="text1"/>
                <w:sz w:val="22"/>
                <w:szCs w:val="22"/>
              </w:rPr>
            </w:pPr>
          </w:p>
          <w:p w14:paraId="443DF900" w14:textId="77777777" w:rsidR="00C16AD3" w:rsidRPr="00CF31E0" w:rsidRDefault="00C16AD3" w:rsidP="00C16AD3">
            <w:pPr>
              <w:jc w:val="center"/>
              <w:rPr>
                <w:color w:val="000000" w:themeColor="text1"/>
                <w:sz w:val="22"/>
                <w:szCs w:val="22"/>
              </w:rPr>
            </w:pPr>
            <w:r w:rsidRPr="00CF31E0">
              <w:rPr>
                <w:color w:val="000000" w:themeColor="text1"/>
                <w:sz w:val="22"/>
                <w:szCs w:val="22"/>
              </w:rPr>
              <w:t>3</w:t>
            </w:r>
          </w:p>
        </w:tc>
        <w:tc>
          <w:tcPr>
            <w:tcW w:w="634" w:type="dxa"/>
          </w:tcPr>
          <w:p w14:paraId="18865CC7" w14:textId="77777777" w:rsidR="00C16AD3" w:rsidRPr="00CF31E0" w:rsidRDefault="00C16AD3" w:rsidP="00C16AD3">
            <w:pPr>
              <w:rPr>
                <w:color w:val="000000" w:themeColor="text1"/>
                <w:sz w:val="22"/>
                <w:szCs w:val="22"/>
              </w:rPr>
            </w:pPr>
          </w:p>
          <w:p w14:paraId="75A207B8" w14:textId="77777777" w:rsidR="00C16AD3" w:rsidRPr="00CF31E0" w:rsidRDefault="00C16AD3" w:rsidP="00C16AD3">
            <w:pPr>
              <w:jc w:val="center"/>
              <w:rPr>
                <w:color w:val="000000" w:themeColor="text1"/>
                <w:sz w:val="22"/>
                <w:szCs w:val="22"/>
              </w:rPr>
            </w:pPr>
            <w:r w:rsidRPr="00CF31E0">
              <w:rPr>
                <w:color w:val="000000" w:themeColor="text1"/>
                <w:sz w:val="22"/>
                <w:szCs w:val="22"/>
              </w:rPr>
              <w:t>4</w:t>
            </w:r>
          </w:p>
        </w:tc>
        <w:tc>
          <w:tcPr>
            <w:tcW w:w="635" w:type="dxa"/>
          </w:tcPr>
          <w:p w14:paraId="640F1E58" w14:textId="77777777" w:rsidR="00C16AD3" w:rsidRPr="00CF31E0" w:rsidRDefault="00C16AD3" w:rsidP="00C16AD3">
            <w:pPr>
              <w:jc w:val="center"/>
              <w:rPr>
                <w:color w:val="000000" w:themeColor="text1"/>
                <w:sz w:val="22"/>
                <w:szCs w:val="22"/>
              </w:rPr>
            </w:pPr>
          </w:p>
          <w:p w14:paraId="330C0397" w14:textId="77777777" w:rsidR="00C16AD3" w:rsidRPr="00CF31E0" w:rsidRDefault="00C16AD3" w:rsidP="00C16AD3">
            <w:pPr>
              <w:jc w:val="center"/>
              <w:rPr>
                <w:color w:val="000000" w:themeColor="text1"/>
                <w:sz w:val="22"/>
                <w:szCs w:val="22"/>
              </w:rPr>
            </w:pPr>
            <w:r w:rsidRPr="00CF31E0">
              <w:rPr>
                <w:color w:val="000000" w:themeColor="text1"/>
                <w:sz w:val="22"/>
                <w:szCs w:val="22"/>
              </w:rPr>
              <w:t>5</w:t>
            </w:r>
          </w:p>
          <w:p w14:paraId="6EF287BA" w14:textId="77777777" w:rsidR="00C16AD3" w:rsidRPr="00CF31E0" w:rsidRDefault="00C16AD3" w:rsidP="00C16AD3">
            <w:pPr>
              <w:rPr>
                <w:color w:val="000000" w:themeColor="text1"/>
                <w:sz w:val="22"/>
                <w:szCs w:val="22"/>
              </w:rPr>
            </w:pPr>
          </w:p>
        </w:tc>
      </w:tr>
    </w:tbl>
    <w:p w14:paraId="7EC7A8D2" w14:textId="77777777" w:rsidR="00F93D44" w:rsidRPr="00CF31E0" w:rsidRDefault="00F93D44" w:rsidP="00603CB7">
      <w:pPr>
        <w:numPr>
          <w:ilvl w:val="0"/>
          <w:numId w:val="69"/>
        </w:numPr>
        <w:spacing w:before="400" w:after="400" w:line="360" w:lineRule="auto"/>
        <w:ind w:left="714" w:hanging="357"/>
        <w:jc w:val="both"/>
        <w:rPr>
          <w:rFonts w:eastAsia="MS Mincho"/>
          <w:bCs/>
          <w:color w:val="000000" w:themeColor="text1"/>
          <w:lang w:eastAsia="en-US"/>
        </w:rPr>
      </w:pPr>
      <w:r w:rsidRPr="00CF31E0">
        <w:rPr>
          <w:rFonts w:eastAsia="MS Mincho"/>
          <w:bCs/>
          <w:color w:val="000000" w:themeColor="text1"/>
          <w:lang w:eastAsia="en-US"/>
        </w:rPr>
        <w:t xml:space="preserve">Please listen carefully to the voice sample and allocate the sample to its original social group. </w:t>
      </w:r>
    </w:p>
    <w:tbl>
      <w:tblPr>
        <w:tblStyle w:val="TableGrid14"/>
        <w:tblW w:w="0" w:type="auto"/>
        <w:tblLook w:val="04A0" w:firstRow="1" w:lastRow="0" w:firstColumn="1" w:lastColumn="0" w:noHBand="0" w:noVBand="1"/>
      </w:tblPr>
      <w:tblGrid>
        <w:gridCol w:w="4177"/>
        <w:gridCol w:w="1802"/>
        <w:gridCol w:w="1601"/>
      </w:tblGrid>
      <w:tr w:rsidR="008A1A4E" w:rsidRPr="00CF31E0" w14:paraId="237468A0" w14:textId="77777777" w:rsidTr="00603CB7">
        <w:tc>
          <w:tcPr>
            <w:tcW w:w="4177" w:type="dxa"/>
          </w:tcPr>
          <w:p w14:paraId="5E27306A" w14:textId="77777777" w:rsidR="00F93D44" w:rsidRPr="00CF31E0" w:rsidRDefault="00F93D44" w:rsidP="00F93D44">
            <w:pPr>
              <w:jc w:val="center"/>
              <w:rPr>
                <w:color w:val="000000" w:themeColor="text1"/>
                <w:sz w:val="22"/>
                <w:szCs w:val="22"/>
              </w:rPr>
            </w:pPr>
            <w:r w:rsidRPr="00CF31E0">
              <w:rPr>
                <w:color w:val="000000" w:themeColor="text1"/>
                <w:sz w:val="22"/>
                <w:szCs w:val="22"/>
              </w:rPr>
              <w:t>Voice sample</w:t>
            </w:r>
          </w:p>
        </w:tc>
        <w:tc>
          <w:tcPr>
            <w:tcW w:w="1802" w:type="dxa"/>
          </w:tcPr>
          <w:p w14:paraId="2079430D" w14:textId="77777777" w:rsidR="00F93D44" w:rsidRPr="00CF31E0" w:rsidRDefault="00F93D44" w:rsidP="00F93D44">
            <w:pPr>
              <w:rPr>
                <w:color w:val="000000" w:themeColor="text1"/>
                <w:sz w:val="22"/>
                <w:szCs w:val="22"/>
              </w:rPr>
            </w:pPr>
            <w:r w:rsidRPr="00CF31E0">
              <w:rPr>
                <w:color w:val="000000" w:themeColor="text1"/>
                <w:sz w:val="22"/>
                <w:szCs w:val="22"/>
              </w:rPr>
              <w:t>UBH dialect</w:t>
            </w:r>
          </w:p>
        </w:tc>
        <w:tc>
          <w:tcPr>
            <w:tcW w:w="1601" w:type="dxa"/>
          </w:tcPr>
          <w:p w14:paraId="670E1CD1" w14:textId="77777777" w:rsidR="00F93D44" w:rsidRPr="00CF31E0" w:rsidRDefault="00F93D44" w:rsidP="00F93D44">
            <w:pPr>
              <w:rPr>
                <w:color w:val="000000" w:themeColor="text1"/>
                <w:sz w:val="22"/>
                <w:szCs w:val="22"/>
              </w:rPr>
            </w:pPr>
            <w:r w:rsidRPr="00CF31E0">
              <w:rPr>
                <w:color w:val="000000" w:themeColor="text1"/>
                <w:sz w:val="22"/>
                <w:szCs w:val="22"/>
              </w:rPr>
              <w:t>HH dialect</w:t>
            </w:r>
          </w:p>
        </w:tc>
      </w:tr>
      <w:tr w:rsidR="00F93D44" w:rsidRPr="00CF31E0" w14:paraId="6F7D1BBC" w14:textId="77777777" w:rsidTr="00603CB7">
        <w:tc>
          <w:tcPr>
            <w:tcW w:w="4177" w:type="dxa"/>
          </w:tcPr>
          <w:p w14:paraId="43DE8EC7" w14:textId="77777777" w:rsidR="00F93D44" w:rsidRPr="00CF31E0" w:rsidRDefault="00F93D44" w:rsidP="00F93D44">
            <w:pPr>
              <w:rPr>
                <w:color w:val="000000" w:themeColor="text1"/>
                <w:sz w:val="22"/>
                <w:szCs w:val="22"/>
              </w:rPr>
            </w:pPr>
            <w:r w:rsidRPr="00CF31E0">
              <w:rPr>
                <w:color w:val="000000" w:themeColor="text1"/>
                <w:sz w:val="22"/>
                <w:szCs w:val="22"/>
              </w:rPr>
              <w:t>VS3 (the surname of the speaker)</w:t>
            </w:r>
          </w:p>
        </w:tc>
        <w:tc>
          <w:tcPr>
            <w:tcW w:w="1802" w:type="dxa"/>
          </w:tcPr>
          <w:p w14:paraId="4C183B2A" w14:textId="77777777" w:rsidR="00F93D44" w:rsidRPr="00CF31E0" w:rsidRDefault="00F93D44" w:rsidP="00F93D44">
            <w:pPr>
              <w:rPr>
                <w:color w:val="000000" w:themeColor="text1"/>
                <w:sz w:val="22"/>
                <w:szCs w:val="22"/>
              </w:rPr>
            </w:pPr>
          </w:p>
        </w:tc>
        <w:tc>
          <w:tcPr>
            <w:tcW w:w="1601" w:type="dxa"/>
          </w:tcPr>
          <w:p w14:paraId="58A2900D" w14:textId="77777777" w:rsidR="00F93D44" w:rsidRPr="00CF31E0" w:rsidRDefault="00F93D44" w:rsidP="00F93D44">
            <w:pPr>
              <w:rPr>
                <w:color w:val="000000" w:themeColor="text1"/>
                <w:sz w:val="22"/>
                <w:szCs w:val="22"/>
              </w:rPr>
            </w:pPr>
          </w:p>
        </w:tc>
      </w:tr>
    </w:tbl>
    <w:p w14:paraId="2D9DF369" w14:textId="77777777" w:rsidR="00F93D44" w:rsidRPr="00CF31E0" w:rsidRDefault="00F93D44" w:rsidP="00F93D44">
      <w:pPr>
        <w:rPr>
          <w:rFonts w:eastAsia="MS Mincho"/>
          <w:color w:val="000000" w:themeColor="text1"/>
        </w:rPr>
      </w:pPr>
    </w:p>
    <w:p w14:paraId="1F8FBD37" w14:textId="77777777" w:rsidR="00F93D44" w:rsidRPr="00CF31E0" w:rsidRDefault="00F93D44" w:rsidP="00603CB7">
      <w:pPr>
        <w:numPr>
          <w:ilvl w:val="0"/>
          <w:numId w:val="69"/>
        </w:numPr>
        <w:spacing w:after="400"/>
        <w:ind w:left="714" w:hanging="357"/>
        <w:rPr>
          <w:rFonts w:eastAsia="MS Mincho"/>
          <w:color w:val="000000" w:themeColor="text1"/>
          <w:lang w:eastAsia="en-US"/>
        </w:rPr>
      </w:pPr>
      <w:r w:rsidRPr="00CF31E0">
        <w:rPr>
          <w:rFonts w:eastAsia="MS Mincho"/>
          <w:color w:val="000000" w:themeColor="text1"/>
          <w:lang w:eastAsia="en-US"/>
        </w:rPr>
        <w:t>How would you rate the speech of the voice sample provided in the recording?</w:t>
      </w:r>
    </w:p>
    <w:p w14:paraId="55F0968C" w14:textId="46862818" w:rsidR="00F93D44" w:rsidRPr="00CF31E0" w:rsidRDefault="00F93D44" w:rsidP="00603CB7">
      <w:pPr>
        <w:spacing w:after="200"/>
        <w:rPr>
          <w:rFonts w:eastAsia="MS Mincho"/>
          <w:b/>
          <w:color w:val="000000" w:themeColor="text1"/>
        </w:rPr>
      </w:pPr>
      <w:r w:rsidRPr="00CF31E0">
        <w:rPr>
          <w:rFonts w:eastAsia="MS Mincho"/>
          <w:b/>
          <w:color w:val="000000" w:themeColor="text1"/>
        </w:rPr>
        <w:tab/>
      </w:r>
      <w:r w:rsidRPr="00CF31E0">
        <w:rPr>
          <w:rFonts w:eastAsia="MS Mincho"/>
          <w:b/>
          <w:color w:val="000000" w:themeColor="text1"/>
        </w:rPr>
        <w:tab/>
      </w:r>
      <w:r w:rsidRPr="00CF31E0">
        <w:rPr>
          <w:rFonts w:eastAsia="MS Mincho"/>
          <w:b/>
          <w:color w:val="000000" w:themeColor="text1"/>
        </w:rPr>
        <w:tab/>
      </w:r>
      <w:r w:rsidRPr="00CF31E0">
        <w:rPr>
          <w:rFonts w:eastAsia="MS Mincho"/>
          <w:b/>
          <w:color w:val="000000" w:themeColor="text1"/>
        </w:rPr>
        <w:tab/>
      </w:r>
      <w:r w:rsidRPr="00CF31E0">
        <w:rPr>
          <w:rFonts w:eastAsia="MS Mincho"/>
          <w:b/>
          <w:color w:val="000000" w:themeColor="text1"/>
        </w:rPr>
        <w:tab/>
        <w:t xml:space="preserve">            Least________________Most</w:t>
      </w:r>
    </w:p>
    <w:tbl>
      <w:tblPr>
        <w:tblStyle w:val="TableGrid15"/>
        <w:tblW w:w="7815" w:type="dxa"/>
        <w:tblLook w:val="04A0" w:firstRow="1" w:lastRow="0" w:firstColumn="1" w:lastColumn="0" w:noHBand="0" w:noVBand="1"/>
      </w:tblPr>
      <w:tblGrid>
        <w:gridCol w:w="1711"/>
        <w:gridCol w:w="2792"/>
        <w:gridCol w:w="662"/>
        <w:gridCol w:w="662"/>
        <w:gridCol w:w="663"/>
        <w:gridCol w:w="662"/>
        <w:gridCol w:w="663"/>
      </w:tblGrid>
      <w:tr w:rsidR="008A1A4E" w:rsidRPr="00CF31E0" w14:paraId="2A18E277" w14:textId="77777777" w:rsidTr="00603CB7">
        <w:trPr>
          <w:trHeight w:val="699"/>
        </w:trPr>
        <w:tc>
          <w:tcPr>
            <w:tcW w:w="1711" w:type="dxa"/>
            <w:vMerge w:val="restart"/>
          </w:tcPr>
          <w:p w14:paraId="675ED8EC" w14:textId="77777777" w:rsidR="00F93D44" w:rsidRPr="00CF31E0" w:rsidRDefault="00F93D44" w:rsidP="00F93D44">
            <w:pPr>
              <w:rPr>
                <w:color w:val="000000" w:themeColor="text1"/>
                <w:sz w:val="22"/>
                <w:szCs w:val="22"/>
              </w:rPr>
            </w:pPr>
          </w:p>
          <w:p w14:paraId="3CB4D15E" w14:textId="77777777" w:rsidR="00F93D44" w:rsidRPr="00CF31E0" w:rsidRDefault="00F93D44" w:rsidP="00F93D44">
            <w:pPr>
              <w:rPr>
                <w:color w:val="000000" w:themeColor="text1"/>
                <w:sz w:val="22"/>
                <w:szCs w:val="22"/>
              </w:rPr>
            </w:pPr>
          </w:p>
          <w:p w14:paraId="7FD0D1BF" w14:textId="77777777" w:rsidR="00F93D44" w:rsidRPr="00CF31E0" w:rsidRDefault="00F93D44" w:rsidP="00F93D44">
            <w:pPr>
              <w:rPr>
                <w:color w:val="000000" w:themeColor="text1"/>
                <w:sz w:val="22"/>
                <w:szCs w:val="22"/>
              </w:rPr>
            </w:pPr>
          </w:p>
          <w:p w14:paraId="090B7AFC" w14:textId="77777777" w:rsidR="00F93D44" w:rsidRPr="00CF31E0" w:rsidRDefault="00F93D44" w:rsidP="00F93D44">
            <w:pPr>
              <w:rPr>
                <w:color w:val="000000" w:themeColor="text1"/>
                <w:sz w:val="22"/>
                <w:szCs w:val="22"/>
              </w:rPr>
            </w:pPr>
          </w:p>
          <w:p w14:paraId="1879CCEC" w14:textId="77777777" w:rsidR="00F93D44" w:rsidRPr="00CF31E0" w:rsidRDefault="00F93D44" w:rsidP="00F93D44">
            <w:pPr>
              <w:rPr>
                <w:color w:val="000000" w:themeColor="text1"/>
                <w:sz w:val="22"/>
                <w:szCs w:val="22"/>
              </w:rPr>
            </w:pPr>
            <w:r w:rsidRPr="00CF31E0">
              <w:rPr>
                <w:color w:val="000000" w:themeColor="text1"/>
                <w:sz w:val="22"/>
                <w:szCs w:val="22"/>
              </w:rPr>
              <w:t>VS3</w:t>
            </w:r>
          </w:p>
          <w:p w14:paraId="13B73621" w14:textId="77777777" w:rsidR="00F93D44" w:rsidRPr="00CF31E0" w:rsidRDefault="00F93D44" w:rsidP="00F93D44">
            <w:pPr>
              <w:jc w:val="right"/>
              <w:rPr>
                <w:color w:val="000000" w:themeColor="text1"/>
                <w:sz w:val="22"/>
                <w:szCs w:val="22"/>
              </w:rPr>
            </w:pPr>
          </w:p>
        </w:tc>
        <w:tc>
          <w:tcPr>
            <w:tcW w:w="2792" w:type="dxa"/>
          </w:tcPr>
          <w:p w14:paraId="76A452E5" w14:textId="77777777" w:rsidR="00F93D44" w:rsidRPr="00CF31E0" w:rsidRDefault="00F93D44" w:rsidP="00F93D44">
            <w:pPr>
              <w:rPr>
                <w:color w:val="000000" w:themeColor="text1"/>
                <w:sz w:val="22"/>
                <w:szCs w:val="22"/>
              </w:rPr>
            </w:pPr>
          </w:p>
          <w:p w14:paraId="190D2344" w14:textId="77777777" w:rsidR="00F93D44" w:rsidRPr="00CF31E0" w:rsidRDefault="00F93D44" w:rsidP="00F93D44">
            <w:pPr>
              <w:rPr>
                <w:color w:val="000000" w:themeColor="text1"/>
                <w:sz w:val="22"/>
                <w:szCs w:val="22"/>
              </w:rPr>
            </w:pPr>
            <w:r w:rsidRPr="00CF31E0">
              <w:rPr>
                <w:color w:val="000000" w:themeColor="text1"/>
                <w:sz w:val="22"/>
                <w:szCs w:val="22"/>
              </w:rPr>
              <w:t>Serious</w:t>
            </w:r>
          </w:p>
        </w:tc>
        <w:tc>
          <w:tcPr>
            <w:tcW w:w="662" w:type="dxa"/>
          </w:tcPr>
          <w:p w14:paraId="280E95C9" w14:textId="77777777" w:rsidR="00F93D44" w:rsidRPr="00CF31E0" w:rsidRDefault="00F93D44" w:rsidP="00F93D44">
            <w:pPr>
              <w:rPr>
                <w:color w:val="000000" w:themeColor="text1"/>
                <w:sz w:val="22"/>
                <w:szCs w:val="22"/>
              </w:rPr>
            </w:pPr>
          </w:p>
          <w:p w14:paraId="52950EB2" w14:textId="77777777" w:rsidR="00F93D44" w:rsidRPr="00CF31E0" w:rsidRDefault="00F93D44" w:rsidP="00F93D44">
            <w:pPr>
              <w:jc w:val="center"/>
              <w:rPr>
                <w:color w:val="000000" w:themeColor="text1"/>
                <w:sz w:val="22"/>
                <w:szCs w:val="22"/>
              </w:rPr>
            </w:pPr>
            <w:r w:rsidRPr="00CF31E0">
              <w:rPr>
                <w:color w:val="000000" w:themeColor="text1"/>
                <w:sz w:val="22"/>
                <w:szCs w:val="22"/>
              </w:rPr>
              <w:t>1</w:t>
            </w:r>
          </w:p>
        </w:tc>
        <w:tc>
          <w:tcPr>
            <w:tcW w:w="662" w:type="dxa"/>
          </w:tcPr>
          <w:p w14:paraId="3B6191DD" w14:textId="77777777" w:rsidR="00F93D44" w:rsidRPr="00CF31E0" w:rsidRDefault="00F93D44" w:rsidP="00F93D44">
            <w:pPr>
              <w:rPr>
                <w:color w:val="000000" w:themeColor="text1"/>
                <w:sz w:val="22"/>
                <w:szCs w:val="22"/>
              </w:rPr>
            </w:pPr>
          </w:p>
          <w:p w14:paraId="2925A4E7" w14:textId="77777777" w:rsidR="00F93D44" w:rsidRPr="00CF31E0" w:rsidRDefault="00F93D44" w:rsidP="00F93D44">
            <w:pPr>
              <w:jc w:val="center"/>
              <w:rPr>
                <w:color w:val="000000" w:themeColor="text1"/>
                <w:sz w:val="22"/>
                <w:szCs w:val="22"/>
              </w:rPr>
            </w:pPr>
            <w:r w:rsidRPr="00CF31E0">
              <w:rPr>
                <w:color w:val="000000" w:themeColor="text1"/>
                <w:sz w:val="22"/>
                <w:szCs w:val="22"/>
              </w:rPr>
              <w:t>2</w:t>
            </w:r>
          </w:p>
        </w:tc>
        <w:tc>
          <w:tcPr>
            <w:tcW w:w="663" w:type="dxa"/>
          </w:tcPr>
          <w:p w14:paraId="2433EEB0" w14:textId="77777777" w:rsidR="00F93D44" w:rsidRPr="00CF31E0" w:rsidRDefault="00F93D44" w:rsidP="00F93D44">
            <w:pPr>
              <w:rPr>
                <w:color w:val="000000" w:themeColor="text1"/>
                <w:sz w:val="22"/>
                <w:szCs w:val="22"/>
              </w:rPr>
            </w:pPr>
          </w:p>
          <w:p w14:paraId="77589553" w14:textId="77777777" w:rsidR="00F93D44" w:rsidRPr="00CF31E0" w:rsidRDefault="00F93D44" w:rsidP="00F93D44">
            <w:pPr>
              <w:jc w:val="center"/>
              <w:rPr>
                <w:color w:val="000000" w:themeColor="text1"/>
                <w:sz w:val="22"/>
                <w:szCs w:val="22"/>
              </w:rPr>
            </w:pPr>
            <w:r w:rsidRPr="00CF31E0">
              <w:rPr>
                <w:color w:val="000000" w:themeColor="text1"/>
                <w:sz w:val="22"/>
                <w:szCs w:val="22"/>
              </w:rPr>
              <w:t>3</w:t>
            </w:r>
          </w:p>
        </w:tc>
        <w:tc>
          <w:tcPr>
            <w:tcW w:w="662" w:type="dxa"/>
          </w:tcPr>
          <w:p w14:paraId="1C65849F" w14:textId="77777777" w:rsidR="00F93D44" w:rsidRPr="00CF31E0" w:rsidRDefault="00F93D44" w:rsidP="00F93D44">
            <w:pPr>
              <w:rPr>
                <w:color w:val="000000" w:themeColor="text1"/>
                <w:sz w:val="22"/>
                <w:szCs w:val="22"/>
              </w:rPr>
            </w:pPr>
          </w:p>
          <w:p w14:paraId="7D9D77CA" w14:textId="77777777" w:rsidR="00F93D44" w:rsidRPr="00CF31E0" w:rsidRDefault="00F93D44" w:rsidP="00F93D44">
            <w:pPr>
              <w:jc w:val="center"/>
              <w:rPr>
                <w:color w:val="000000" w:themeColor="text1"/>
                <w:sz w:val="22"/>
                <w:szCs w:val="22"/>
              </w:rPr>
            </w:pPr>
            <w:r w:rsidRPr="00CF31E0">
              <w:rPr>
                <w:color w:val="000000" w:themeColor="text1"/>
                <w:sz w:val="22"/>
                <w:szCs w:val="22"/>
              </w:rPr>
              <w:t>4</w:t>
            </w:r>
          </w:p>
        </w:tc>
        <w:tc>
          <w:tcPr>
            <w:tcW w:w="663" w:type="dxa"/>
          </w:tcPr>
          <w:p w14:paraId="1D096AC9" w14:textId="77777777" w:rsidR="00F93D44" w:rsidRPr="00CF31E0" w:rsidRDefault="00F93D44" w:rsidP="00F93D44">
            <w:pPr>
              <w:rPr>
                <w:color w:val="000000" w:themeColor="text1"/>
                <w:sz w:val="22"/>
                <w:szCs w:val="22"/>
              </w:rPr>
            </w:pPr>
          </w:p>
          <w:p w14:paraId="0D5251CD" w14:textId="77777777" w:rsidR="00F93D44" w:rsidRPr="00CF31E0" w:rsidRDefault="00F93D44" w:rsidP="00F93D44">
            <w:pPr>
              <w:jc w:val="center"/>
              <w:rPr>
                <w:color w:val="000000" w:themeColor="text1"/>
                <w:sz w:val="22"/>
                <w:szCs w:val="22"/>
              </w:rPr>
            </w:pPr>
            <w:r w:rsidRPr="00CF31E0">
              <w:rPr>
                <w:color w:val="000000" w:themeColor="text1"/>
                <w:sz w:val="22"/>
                <w:szCs w:val="22"/>
              </w:rPr>
              <w:t>5</w:t>
            </w:r>
          </w:p>
        </w:tc>
      </w:tr>
      <w:tr w:rsidR="008A1A4E" w:rsidRPr="00CF31E0" w14:paraId="568ECA56" w14:textId="77777777" w:rsidTr="00603CB7">
        <w:trPr>
          <w:trHeight w:val="724"/>
        </w:trPr>
        <w:tc>
          <w:tcPr>
            <w:tcW w:w="1711" w:type="dxa"/>
            <w:vMerge/>
          </w:tcPr>
          <w:p w14:paraId="17B4C387" w14:textId="77777777" w:rsidR="00F93D44" w:rsidRPr="00CF31E0" w:rsidRDefault="00F93D44" w:rsidP="00F93D44">
            <w:pPr>
              <w:rPr>
                <w:color w:val="000000" w:themeColor="text1"/>
                <w:sz w:val="22"/>
                <w:szCs w:val="22"/>
              </w:rPr>
            </w:pPr>
          </w:p>
        </w:tc>
        <w:tc>
          <w:tcPr>
            <w:tcW w:w="2792" w:type="dxa"/>
          </w:tcPr>
          <w:p w14:paraId="0CBDD2C9" w14:textId="77777777" w:rsidR="00F93D44" w:rsidRPr="00CF31E0" w:rsidRDefault="00F93D44" w:rsidP="00F93D44">
            <w:pPr>
              <w:rPr>
                <w:color w:val="000000" w:themeColor="text1"/>
                <w:sz w:val="22"/>
                <w:szCs w:val="22"/>
              </w:rPr>
            </w:pPr>
          </w:p>
          <w:p w14:paraId="694C1A18" w14:textId="77777777" w:rsidR="00F93D44" w:rsidRPr="00CF31E0" w:rsidRDefault="00F93D44" w:rsidP="00F93D44">
            <w:pPr>
              <w:rPr>
                <w:color w:val="000000" w:themeColor="text1"/>
                <w:sz w:val="22"/>
                <w:szCs w:val="22"/>
              </w:rPr>
            </w:pPr>
            <w:r w:rsidRPr="00CF31E0">
              <w:rPr>
                <w:color w:val="000000" w:themeColor="text1"/>
                <w:sz w:val="22"/>
                <w:szCs w:val="22"/>
              </w:rPr>
              <w:t>Traditional</w:t>
            </w:r>
          </w:p>
        </w:tc>
        <w:tc>
          <w:tcPr>
            <w:tcW w:w="662" w:type="dxa"/>
          </w:tcPr>
          <w:p w14:paraId="279209F3" w14:textId="77777777" w:rsidR="00F93D44" w:rsidRPr="00CF31E0" w:rsidRDefault="00F93D44" w:rsidP="00F93D44">
            <w:pPr>
              <w:rPr>
                <w:color w:val="000000" w:themeColor="text1"/>
                <w:sz w:val="22"/>
                <w:szCs w:val="22"/>
              </w:rPr>
            </w:pPr>
          </w:p>
          <w:p w14:paraId="28947317" w14:textId="77777777" w:rsidR="00F93D44" w:rsidRPr="00CF31E0" w:rsidRDefault="00F93D44" w:rsidP="00F93D44">
            <w:pPr>
              <w:jc w:val="center"/>
              <w:rPr>
                <w:color w:val="000000" w:themeColor="text1"/>
                <w:sz w:val="22"/>
                <w:szCs w:val="22"/>
              </w:rPr>
            </w:pPr>
            <w:r w:rsidRPr="00CF31E0">
              <w:rPr>
                <w:color w:val="000000" w:themeColor="text1"/>
                <w:sz w:val="22"/>
                <w:szCs w:val="22"/>
              </w:rPr>
              <w:t>1</w:t>
            </w:r>
          </w:p>
        </w:tc>
        <w:tc>
          <w:tcPr>
            <w:tcW w:w="662" w:type="dxa"/>
          </w:tcPr>
          <w:p w14:paraId="620FFB97" w14:textId="77777777" w:rsidR="00F93D44" w:rsidRPr="00CF31E0" w:rsidRDefault="00F93D44" w:rsidP="00F93D44">
            <w:pPr>
              <w:rPr>
                <w:color w:val="000000" w:themeColor="text1"/>
                <w:sz w:val="22"/>
                <w:szCs w:val="22"/>
              </w:rPr>
            </w:pPr>
          </w:p>
          <w:p w14:paraId="1A33BF94" w14:textId="77777777" w:rsidR="00F93D44" w:rsidRPr="00CF31E0" w:rsidRDefault="00F93D44" w:rsidP="00F93D44">
            <w:pPr>
              <w:jc w:val="center"/>
              <w:rPr>
                <w:color w:val="000000" w:themeColor="text1"/>
                <w:sz w:val="22"/>
                <w:szCs w:val="22"/>
              </w:rPr>
            </w:pPr>
            <w:r w:rsidRPr="00CF31E0">
              <w:rPr>
                <w:color w:val="000000" w:themeColor="text1"/>
                <w:sz w:val="22"/>
                <w:szCs w:val="22"/>
              </w:rPr>
              <w:t>2</w:t>
            </w:r>
          </w:p>
        </w:tc>
        <w:tc>
          <w:tcPr>
            <w:tcW w:w="663" w:type="dxa"/>
          </w:tcPr>
          <w:p w14:paraId="4E493D92" w14:textId="77777777" w:rsidR="00F93D44" w:rsidRPr="00CF31E0" w:rsidRDefault="00F93D44" w:rsidP="00F93D44">
            <w:pPr>
              <w:rPr>
                <w:color w:val="000000" w:themeColor="text1"/>
                <w:sz w:val="22"/>
                <w:szCs w:val="22"/>
              </w:rPr>
            </w:pPr>
          </w:p>
          <w:p w14:paraId="6ACBFBB4" w14:textId="77777777" w:rsidR="00F93D44" w:rsidRPr="00CF31E0" w:rsidRDefault="00F93D44" w:rsidP="00F93D44">
            <w:pPr>
              <w:jc w:val="center"/>
              <w:rPr>
                <w:color w:val="000000" w:themeColor="text1"/>
                <w:sz w:val="22"/>
                <w:szCs w:val="22"/>
              </w:rPr>
            </w:pPr>
            <w:r w:rsidRPr="00CF31E0">
              <w:rPr>
                <w:color w:val="000000" w:themeColor="text1"/>
                <w:sz w:val="22"/>
                <w:szCs w:val="22"/>
              </w:rPr>
              <w:t>3</w:t>
            </w:r>
          </w:p>
        </w:tc>
        <w:tc>
          <w:tcPr>
            <w:tcW w:w="662" w:type="dxa"/>
          </w:tcPr>
          <w:p w14:paraId="2E841749" w14:textId="77777777" w:rsidR="00F93D44" w:rsidRPr="00CF31E0" w:rsidRDefault="00F93D44" w:rsidP="00F93D44">
            <w:pPr>
              <w:rPr>
                <w:color w:val="000000" w:themeColor="text1"/>
                <w:sz w:val="22"/>
                <w:szCs w:val="22"/>
              </w:rPr>
            </w:pPr>
          </w:p>
          <w:p w14:paraId="1C7E1EC4" w14:textId="77777777" w:rsidR="00F93D44" w:rsidRPr="00CF31E0" w:rsidRDefault="00F93D44" w:rsidP="00F93D44">
            <w:pPr>
              <w:jc w:val="center"/>
              <w:rPr>
                <w:color w:val="000000" w:themeColor="text1"/>
                <w:sz w:val="22"/>
                <w:szCs w:val="22"/>
              </w:rPr>
            </w:pPr>
            <w:r w:rsidRPr="00CF31E0">
              <w:rPr>
                <w:color w:val="000000" w:themeColor="text1"/>
                <w:sz w:val="22"/>
                <w:szCs w:val="22"/>
              </w:rPr>
              <w:t>4</w:t>
            </w:r>
          </w:p>
        </w:tc>
        <w:tc>
          <w:tcPr>
            <w:tcW w:w="663" w:type="dxa"/>
          </w:tcPr>
          <w:p w14:paraId="2D6F177A" w14:textId="77777777" w:rsidR="00F93D44" w:rsidRPr="00CF31E0" w:rsidRDefault="00F93D44" w:rsidP="00F93D44">
            <w:pPr>
              <w:jc w:val="center"/>
              <w:rPr>
                <w:color w:val="000000" w:themeColor="text1"/>
                <w:sz w:val="22"/>
                <w:szCs w:val="22"/>
              </w:rPr>
            </w:pPr>
          </w:p>
          <w:p w14:paraId="19E467BC" w14:textId="77777777" w:rsidR="00F93D44" w:rsidRPr="00CF31E0" w:rsidRDefault="00F93D44" w:rsidP="00F93D44">
            <w:pPr>
              <w:jc w:val="center"/>
              <w:rPr>
                <w:color w:val="000000" w:themeColor="text1"/>
                <w:sz w:val="22"/>
                <w:szCs w:val="22"/>
              </w:rPr>
            </w:pPr>
            <w:r w:rsidRPr="00CF31E0">
              <w:rPr>
                <w:color w:val="000000" w:themeColor="text1"/>
                <w:sz w:val="22"/>
                <w:szCs w:val="22"/>
              </w:rPr>
              <w:t>5</w:t>
            </w:r>
          </w:p>
          <w:p w14:paraId="6A6C448D" w14:textId="77777777" w:rsidR="00F93D44" w:rsidRPr="00CF31E0" w:rsidRDefault="00F93D44" w:rsidP="00F93D44">
            <w:pPr>
              <w:rPr>
                <w:color w:val="000000" w:themeColor="text1"/>
                <w:sz w:val="22"/>
                <w:szCs w:val="22"/>
              </w:rPr>
            </w:pPr>
          </w:p>
        </w:tc>
      </w:tr>
      <w:tr w:rsidR="008A1A4E" w:rsidRPr="00CF31E0" w14:paraId="4018DC4D" w14:textId="77777777" w:rsidTr="00603CB7">
        <w:trPr>
          <w:trHeight w:val="699"/>
        </w:trPr>
        <w:tc>
          <w:tcPr>
            <w:tcW w:w="1711" w:type="dxa"/>
            <w:vMerge w:val="restart"/>
          </w:tcPr>
          <w:p w14:paraId="3EF51B69" w14:textId="77777777" w:rsidR="00F93D44" w:rsidRPr="00CF31E0" w:rsidRDefault="00F93D44" w:rsidP="00F93D44">
            <w:pPr>
              <w:rPr>
                <w:color w:val="000000" w:themeColor="text1"/>
                <w:sz w:val="22"/>
                <w:szCs w:val="22"/>
              </w:rPr>
            </w:pPr>
          </w:p>
        </w:tc>
        <w:tc>
          <w:tcPr>
            <w:tcW w:w="2792" w:type="dxa"/>
          </w:tcPr>
          <w:p w14:paraId="5C2960A3" w14:textId="77777777" w:rsidR="00F93D44" w:rsidRPr="00CF31E0" w:rsidRDefault="00F93D44" w:rsidP="00F93D44">
            <w:pPr>
              <w:rPr>
                <w:color w:val="000000" w:themeColor="text1"/>
                <w:sz w:val="22"/>
                <w:szCs w:val="22"/>
              </w:rPr>
            </w:pPr>
          </w:p>
          <w:p w14:paraId="3A6D30B8" w14:textId="77777777" w:rsidR="00F93D44" w:rsidRPr="00CF31E0" w:rsidRDefault="00F93D44" w:rsidP="00F93D44">
            <w:pPr>
              <w:rPr>
                <w:color w:val="000000" w:themeColor="text1"/>
                <w:sz w:val="22"/>
                <w:szCs w:val="22"/>
              </w:rPr>
            </w:pPr>
            <w:r w:rsidRPr="00CF31E0">
              <w:rPr>
                <w:color w:val="000000" w:themeColor="text1"/>
                <w:sz w:val="22"/>
                <w:szCs w:val="22"/>
              </w:rPr>
              <w:t>Similar to other Arabic dialects</w:t>
            </w:r>
          </w:p>
        </w:tc>
        <w:tc>
          <w:tcPr>
            <w:tcW w:w="662" w:type="dxa"/>
          </w:tcPr>
          <w:p w14:paraId="09F2E514" w14:textId="77777777" w:rsidR="00F93D44" w:rsidRPr="00CF31E0" w:rsidRDefault="00F93D44" w:rsidP="00F93D44">
            <w:pPr>
              <w:rPr>
                <w:color w:val="000000" w:themeColor="text1"/>
                <w:sz w:val="22"/>
                <w:szCs w:val="22"/>
              </w:rPr>
            </w:pPr>
          </w:p>
          <w:p w14:paraId="464AE8C3" w14:textId="77777777" w:rsidR="00F93D44" w:rsidRPr="00CF31E0" w:rsidRDefault="00F93D44" w:rsidP="00F93D44">
            <w:pPr>
              <w:jc w:val="center"/>
              <w:rPr>
                <w:color w:val="000000" w:themeColor="text1"/>
                <w:sz w:val="22"/>
                <w:szCs w:val="22"/>
              </w:rPr>
            </w:pPr>
            <w:r w:rsidRPr="00CF31E0">
              <w:rPr>
                <w:color w:val="000000" w:themeColor="text1"/>
                <w:sz w:val="22"/>
                <w:szCs w:val="22"/>
              </w:rPr>
              <w:t>1</w:t>
            </w:r>
          </w:p>
        </w:tc>
        <w:tc>
          <w:tcPr>
            <w:tcW w:w="662" w:type="dxa"/>
          </w:tcPr>
          <w:p w14:paraId="42D05908" w14:textId="77777777" w:rsidR="00F93D44" w:rsidRPr="00CF31E0" w:rsidRDefault="00F93D44" w:rsidP="00F93D44">
            <w:pPr>
              <w:rPr>
                <w:color w:val="000000" w:themeColor="text1"/>
                <w:sz w:val="22"/>
                <w:szCs w:val="22"/>
              </w:rPr>
            </w:pPr>
          </w:p>
          <w:p w14:paraId="4DF459BA" w14:textId="77777777" w:rsidR="00F93D44" w:rsidRPr="00CF31E0" w:rsidRDefault="00F93D44" w:rsidP="00F93D44">
            <w:pPr>
              <w:jc w:val="center"/>
              <w:rPr>
                <w:color w:val="000000" w:themeColor="text1"/>
                <w:sz w:val="22"/>
                <w:szCs w:val="22"/>
              </w:rPr>
            </w:pPr>
            <w:r w:rsidRPr="00CF31E0">
              <w:rPr>
                <w:color w:val="000000" w:themeColor="text1"/>
                <w:sz w:val="22"/>
                <w:szCs w:val="22"/>
              </w:rPr>
              <w:t>2</w:t>
            </w:r>
          </w:p>
        </w:tc>
        <w:tc>
          <w:tcPr>
            <w:tcW w:w="663" w:type="dxa"/>
          </w:tcPr>
          <w:p w14:paraId="32231BE6" w14:textId="77777777" w:rsidR="00F93D44" w:rsidRPr="00CF31E0" w:rsidRDefault="00F93D44" w:rsidP="00F93D44">
            <w:pPr>
              <w:rPr>
                <w:color w:val="000000" w:themeColor="text1"/>
                <w:sz w:val="22"/>
                <w:szCs w:val="22"/>
              </w:rPr>
            </w:pPr>
          </w:p>
          <w:p w14:paraId="07F20C8B" w14:textId="77777777" w:rsidR="00F93D44" w:rsidRPr="00CF31E0" w:rsidRDefault="00F93D44" w:rsidP="00F93D44">
            <w:pPr>
              <w:jc w:val="center"/>
              <w:rPr>
                <w:color w:val="000000" w:themeColor="text1"/>
                <w:sz w:val="22"/>
                <w:szCs w:val="22"/>
              </w:rPr>
            </w:pPr>
            <w:r w:rsidRPr="00CF31E0">
              <w:rPr>
                <w:color w:val="000000" w:themeColor="text1"/>
                <w:sz w:val="22"/>
                <w:szCs w:val="22"/>
              </w:rPr>
              <w:t>3</w:t>
            </w:r>
          </w:p>
        </w:tc>
        <w:tc>
          <w:tcPr>
            <w:tcW w:w="662" w:type="dxa"/>
          </w:tcPr>
          <w:p w14:paraId="6BD7D6A2" w14:textId="77777777" w:rsidR="00F93D44" w:rsidRPr="00CF31E0" w:rsidRDefault="00F93D44" w:rsidP="00F93D44">
            <w:pPr>
              <w:rPr>
                <w:color w:val="000000" w:themeColor="text1"/>
                <w:sz w:val="22"/>
                <w:szCs w:val="22"/>
              </w:rPr>
            </w:pPr>
          </w:p>
          <w:p w14:paraId="5251F026" w14:textId="77777777" w:rsidR="00F93D44" w:rsidRPr="00CF31E0" w:rsidRDefault="00F93D44" w:rsidP="00F93D44">
            <w:pPr>
              <w:jc w:val="center"/>
              <w:rPr>
                <w:color w:val="000000" w:themeColor="text1"/>
                <w:sz w:val="22"/>
                <w:szCs w:val="22"/>
              </w:rPr>
            </w:pPr>
            <w:r w:rsidRPr="00CF31E0">
              <w:rPr>
                <w:color w:val="000000" w:themeColor="text1"/>
                <w:sz w:val="22"/>
                <w:szCs w:val="22"/>
              </w:rPr>
              <w:t>4</w:t>
            </w:r>
          </w:p>
        </w:tc>
        <w:tc>
          <w:tcPr>
            <w:tcW w:w="663" w:type="dxa"/>
          </w:tcPr>
          <w:p w14:paraId="2C76BFD7" w14:textId="77777777" w:rsidR="00F93D44" w:rsidRPr="00CF31E0" w:rsidRDefault="00F93D44" w:rsidP="00F93D44">
            <w:pPr>
              <w:rPr>
                <w:color w:val="000000" w:themeColor="text1"/>
                <w:sz w:val="22"/>
                <w:szCs w:val="22"/>
              </w:rPr>
            </w:pPr>
          </w:p>
          <w:p w14:paraId="62AA735F" w14:textId="77777777" w:rsidR="00F93D44" w:rsidRPr="00CF31E0" w:rsidRDefault="00F93D44" w:rsidP="00F93D44">
            <w:pPr>
              <w:jc w:val="center"/>
              <w:rPr>
                <w:color w:val="000000" w:themeColor="text1"/>
                <w:sz w:val="22"/>
                <w:szCs w:val="22"/>
              </w:rPr>
            </w:pPr>
            <w:r w:rsidRPr="00CF31E0">
              <w:rPr>
                <w:color w:val="000000" w:themeColor="text1"/>
                <w:sz w:val="22"/>
                <w:szCs w:val="22"/>
              </w:rPr>
              <w:t>5</w:t>
            </w:r>
          </w:p>
        </w:tc>
      </w:tr>
      <w:tr w:rsidR="008A1A4E" w:rsidRPr="00CF31E0" w14:paraId="2BCF05D0" w14:textId="77777777" w:rsidTr="00603CB7">
        <w:trPr>
          <w:trHeight w:val="724"/>
        </w:trPr>
        <w:tc>
          <w:tcPr>
            <w:tcW w:w="1711" w:type="dxa"/>
            <w:vMerge/>
          </w:tcPr>
          <w:p w14:paraId="14C8592E" w14:textId="77777777" w:rsidR="00F93D44" w:rsidRPr="00CF31E0" w:rsidRDefault="00F93D44" w:rsidP="00F93D44">
            <w:pPr>
              <w:rPr>
                <w:color w:val="000000" w:themeColor="text1"/>
                <w:sz w:val="22"/>
                <w:szCs w:val="22"/>
              </w:rPr>
            </w:pPr>
          </w:p>
        </w:tc>
        <w:tc>
          <w:tcPr>
            <w:tcW w:w="2792" w:type="dxa"/>
          </w:tcPr>
          <w:p w14:paraId="65120011" w14:textId="77777777" w:rsidR="00F93D44" w:rsidRPr="00CF31E0" w:rsidRDefault="00F93D44" w:rsidP="00F93D44">
            <w:pPr>
              <w:rPr>
                <w:color w:val="000000" w:themeColor="text1"/>
                <w:sz w:val="22"/>
                <w:szCs w:val="22"/>
              </w:rPr>
            </w:pPr>
          </w:p>
          <w:p w14:paraId="7E997B84" w14:textId="77777777" w:rsidR="00F93D44" w:rsidRPr="00CF31E0" w:rsidRDefault="00F93D44" w:rsidP="00F93D44">
            <w:pPr>
              <w:rPr>
                <w:color w:val="000000" w:themeColor="text1"/>
                <w:sz w:val="22"/>
                <w:szCs w:val="22"/>
              </w:rPr>
            </w:pPr>
            <w:r w:rsidRPr="00CF31E0">
              <w:rPr>
                <w:color w:val="000000" w:themeColor="text1"/>
                <w:sz w:val="22"/>
                <w:szCs w:val="22"/>
              </w:rPr>
              <w:t>Modern</w:t>
            </w:r>
          </w:p>
        </w:tc>
        <w:tc>
          <w:tcPr>
            <w:tcW w:w="662" w:type="dxa"/>
          </w:tcPr>
          <w:p w14:paraId="61247402" w14:textId="77777777" w:rsidR="00F93D44" w:rsidRPr="00CF31E0" w:rsidRDefault="00F93D44" w:rsidP="00F93D44">
            <w:pPr>
              <w:rPr>
                <w:color w:val="000000" w:themeColor="text1"/>
                <w:sz w:val="22"/>
                <w:szCs w:val="22"/>
              </w:rPr>
            </w:pPr>
          </w:p>
          <w:p w14:paraId="4E8350B6" w14:textId="77777777" w:rsidR="00F93D44" w:rsidRPr="00CF31E0" w:rsidRDefault="00F93D44" w:rsidP="00F93D44">
            <w:pPr>
              <w:jc w:val="center"/>
              <w:rPr>
                <w:color w:val="000000" w:themeColor="text1"/>
                <w:sz w:val="22"/>
                <w:szCs w:val="22"/>
              </w:rPr>
            </w:pPr>
            <w:r w:rsidRPr="00CF31E0">
              <w:rPr>
                <w:color w:val="000000" w:themeColor="text1"/>
                <w:sz w:val="22"/>
                <w:szCs w:val="22"/>
              </w:rPr>
              <w:t>1</w:t>
            </w:r>
          </w:p>
        </w:tc>
        <w:tc>
          <w:tcPr>
            <w:tcW w:w="662" w:type="dxa"/>
          </w:tcPr>
          <w:p w14:paraId="1EBC23BF" w14:textId="77777777" w:rsidR="00F93D44" w:rsidRPr="00CF31E0" w:rsidRDefault="00F93D44" w:rsidP="00F93D44">
            <w:pPr>
              <w:rPr>
                <w:color w:val="000000" w:themeColor="text1"/>
                <w:sz w:val="22"/>
                <w:szCs w:val="22"/>
              </w:rPr>
            </w:pPr>
          </w:p>
          <w:p w14:paraId="32B410C2" w14:textId="77777777" w:rsidR="00F93D44" w:rsidRPr="00CF31E0" w:rsidRDefault="00F93D44" w:rsidP="00F93D44">
            <w:pPr>
              <w:jc w:val="center"/>
              <w:rPr>
                <w:color w:val="000000" w:themeColor="text1"/>
                <w:sz w:val="22"/>
                <w:szCs w:val="22"/>
              </w:rPr>
            </w:pPr>
            <w:r w:rsidRPr="00CF31E0">
              <w:rPr>
                <w:color w:val="000000" w:themeColor="text1"/>
                <w:sz w:val="22"/>
                <w:szCs w:val="22"/>
              </w:rPr>
              <w:t>2</w:t>
            </w:r>
          </w:p>
        </w:tc>
        <w:tc>
          <w:tcPr>
            <w:tcW w:w="663" w:type="dxa"/>
          </w:tcPr>
          <w:p w14:paraId="40F3A90F" w14:textId="77777777" w:rsidR="00F93D44" w:rsidRPr="00CF31E0" w:rsidRDefault="00F93D44" w:rsidP="00F93D44">
            <w:pPr>
              <w:rPr>
                <w:color w:val="000000" w:themeColor="text1"/>
                <w:sz w:val="22"/>
                <w:szCs w:val="22"/>
              </w:rPr>
            </w:pPr>
          </w:p>
          <w:p w14:paraId="5EA98255" w14:textId="77777777" w:rsidR="00F93D44" w:rsidRPr="00CF31E0" w:rsidRDefault="00F93D44" w:rsidP="00F93D44">
            <w:pPr>
              <w:jc w:val="center"/>
              <w:rPr>
                <w:color w:val="000000" w:themeColor="text1"/>
                <w:sz w:val="22"/>
                <w:szCs w:val="22"/>
              </w:rPr>
            </w:pPr>
            <w:r w:rsidRPr="00CF31E0">
              <w:rPr>
                <w:color w:val="000000" w:themeColor="text1"/>
                <w:sz w:val="22"/>
                <w:szCs w:val="22"/>
              </w:rPr>
              <w:t>3</w:t>
            </w:r>
          </w:p>
        </w:tc>
        <w:tc>
          <w:tcPr>
            <w:tcW w:w="662" w:type="dxa"/>
          </w:tcPr>
          <w:p w14:paraId="27F9E793" w14:textId="77777777" w:rsidR="00F93D44" w:rsidRPr="00CF31E0" w:rsidRDefault="00F93D44" w:rsidP="00F93D44">
            <w:pPr>
              <w:rPr>
                <w:color w:val="000000" w:themeColor="text1"/>
                <w:sz w:val="22"/>
                <w:szCs w:val="22"/>
              </w:rPr>
            </w:pPr>
          </w:p>
          <w:p w14:paraId="3935AD12" w14:textId="77777777" w:rsidR="00F93D44" w:rsidRPr="00CF31E0" w:rsidRDefault="00F93D44" w:rsidP="00F93D44">
            <w:pPr>
              <w:jc w:val="center"/>
              <w:rPr>
                <w:color w:val="000000" w:themeColor="text1"/>
                <w:sz w:val="22"/>
                <w:szCs w:val="22"/>
              </w:rPr>
            </w:pPr>
            <w:r w:rsidRPr="00CF31E0">
              <w:rPr>
                <w:color w:val="000000" w:themeColor="text1"/>
                <w:sz w:val="22"/>
                <w:szCs w:val="22"/>
              </w:rPr>
              <w:t>4</w:t>
            </w:r>
          </w:p>
        </w:tc>
        <w:tc>
          <w:tcPr>
            <w:tcW w:w="663" w:type="dxa"/>
          </w:tcPr>
          <w:p w14:paraId="5B3D6DFE" w14:textId="77777777" w:rsidR="00F93D44" w:rsidRPr="00CF31E0" w:rsidRDefault="00F93D44" w:rsidP="00F93D44">
            <w:pPr>
              <w:jc w:val="center"/>
              <w:rPr>
                <w:color w:val="000000" w:themeColor="text1"/>
                <w:sz w:val="22"/>
                <w:szCs w:val="22"/>
              </w:rPr>
            </w:pPr>
          </w:p>
          <w:p w14:paraId="5EB19D09" w14:textId="77777777" w:rsidR="00F93D44" w:rsidRPr="00CF31E0" w:rsidRDefault="00F93D44" w:rsidP="00F93D44">
            <w:pPr>
              <w:jc w:val="center"/>
              <w:rPr>
                <w:color w:val="000000" w:themeColor="text1"/>
                <w:sz w:val="22"/>
                <w:szCs w:val="22"/>
              </w:rPr>
            </w:pPr>
            <w:r w:rsidRPr="00CF31E0">
              <w:rPr>
                <w:color w:val="000000" w:themeColor="text1"/>
                <w:sz w:val="22"/>
                <w:szCs w:val="22"/>
              </w:rPr>
              <w:t>5</w:t>
            </w:r>
          </w:p>
          <w:p w14:paraId="5EE25475" w14:textId="77777777" w:rsidR="00F93D44" w:rsidRPr="00CF31E0" w:rsidRDefault="00F93D44" w:rsidP="00F93D44">
            <w:pPr>
              <w:rPr>
                <w:color w:val="000000" w:themeColor="text1"/>
                <w:sz w:val="22"/>
                <w:szCs w:val="22"/>
              </w:rPr>
            </w:pPr>
          </w:p>
        </w:tc>
      </w:tr>
    </w:tbl>
    <w:p w14:paraId="0624AF0E" w14:textId="77777777" w:rsidR="00F93D44" w:rsidRPr="00CF31E0" w:rsidRDefault="00F93D44" w:rsidP="00603CB7">
      <w:pPr>
        <w:numPr>
          <w:ilvl w:val="0"/>
          <w:numId w:val="69"/>
        </w:numPr>
        <w:spacing w:before="400" w:line="360" w:lineRule="auto"/>
        <w:ind w:left="714" w:hanging="357"/>
        <w:jc w:val="both"/>
        <w:rPr>
          <w:rFonts w:eastAsia="MS Mincho"/>
          <w:bCs/>
          <w:color w:val="000000" w:themeColor="text1"/>
          <w:lang w:eastAsia="en-US"/>
        </w:rPr>
      </w:pPr>
      <w:r w:rsidRPr="00CF31E0">
        <w:rPr>
          <w:rFonts w:eastAsia="MS Mincho"/>
          <w:bCs/>
          <w:color w:val="000000" w:themeColor="text1"/>
          <w:lang w:eastAsia="en-US"/>
        </w:rPr>
        <w:t xml:space="preserve">Please listen carefully to the voice sample and allocate the sample to its original social group. </w:t>
      </w:r>
    </w:p>
    <w:p w14:paraId="485C616F" w14:textId="77777777" w:rsidR="00F93D44" w:rsidRPr="00CF31E0" w:rsidRDefault="00F93D44" w:rsidP="00F93D44">
      <w:pPr>
        <w:rPr>
          <w:rFonts w:eastAsia="MS Mincho"/>
          <w:b/>
          <w:color w:val="000000" w:themeColor="text1"/>
        </w:rPr>
      </w:pPr>
    </w:p>
    <w:tbl>
      <w:tblPr>
        <w:tblStyle w:val="TableGrid16"/>
        <w:tblW w:w="0" w:type="auto"/>
        <w:tblLook w:val="04A0" w:firstRow="1" w:lastRow="0" w:firstColumn="1" w:lastColumn="0" w:noHBand="0" w:noVBand="1"/>
      </w:tblPr>
      <w:tblGrid>
        <w:gridCol w:w="4177"/>
        <w:gridCol w:w="1802"/>
        <w:gridCol w:w="1601"/>
      </w:tblGrid>
      <w:tr w:rsidR="008A1A4E" w:rsidRPr="00CF31E0" w14:paraId="3DE64B7C" w14:textId="77777777" w:rsidTr="008C00D8">
        <w:tc>
          <w:tcPr>
            <w:tcW w:w="4786" w:type="dxa"/>
          </w:tcPr>
          <w:p w14:paraId="1B12C5C1" w14:textId="77777777" w:rsidR="00F93D44" w:rsidRPr="00CF31E0" w:rsidRDefault="00F93D44" w:rsidP="00F93D44">
            <w:pPr>
              <w:jc w:val="center"/>
              <w:rPr>
                <w:color w:val="000000" w:themeColor="text1"/>
              </w:rPr>
            </w:pPr>
            <w:r w:rsidRPr="00CF31E0">
              <w:rPr>
                <w:color w:val="000000" w:themeColor="text1"/>
              </w:rPr>
              <w:t>Voice samples</w:t>
            </w:r>
          </w:p>
        </w:tc>
        <w:tc>
          <w:tcPr>
            <w:tcW w:w="1985" w:type="dxa"/>
          </w:tcPr>
          <w:p w14:paraId="3A393C34" w14:textId="77777777" w:rsidR="00F93D44" w:rsidRPr="00CF31E0" w:rsidRDefault="00F93D44" w:rsidP="00F93D44">
            <w:pPr>
              <w:rPr>
                <w:color w:val="000000" w:themeColor="text1"/>
              </w:rPr>
            </w:pPr>
            <w:r w:rsidRPr="00CF31E0">
              <w:rPr>
                <w:color w:val="000000" w:themeColor="text1"/>
              </w:rPr>
              <w:t>UBH dialect</w:t>
            </w:r>
          </w:p>
        </w:tc>
        <w:tc>
          <w:tcPr>
            <w:tcW w:w="1745" w:type="dxa"/>
          </w:tcPr>
          <w:p w14:paraId="40C76E7B" w14:textId="77777777" w:rsidR="00F93D44" w:rsidRPr="00CF31E0" w:rsidRDefault="00F93D44" w:rsidP="00F93D44">
            <w:pPr>
              <w:rPr>
                <w:color w:val="000000" w:themeColor="text1"/>
              </w:rPr>
            </w:pPr>
            <w:r w:rsidRPr="00CF31E0">
              <w:rPr>
                <w:color w:val="000000" w:themeColor="text1"/>
              </w:rPr>
              <w:t>HH dialect</w:t>
            </w:r>
          </w:p>
        </w:tc>
      </w:tr>
      <w:tr w:rsidR="008A1A4E" w:rsidRPr="00CF31E0" w14:paraId="6AE6CEEE" w14:textId="77777777" w:rsidTr="008C00D8">
        <w:tc>
          <w:tcPr>
            <w:tcW w:w="4786" w:type="dxa"/>
          </w:tcPr>
          <w:p w14:paraId="46EAB5FA" w14:textId="77777777" w:rsidR="00F93D44" w:rsidRPr="00CF31E0" w:rsidRDefault="00F93D44" w:rsidP="00F93D44">
            <w:pPr>
              <w:rPr>
                <w:color w:val="000000" w:themeColor="text1"/>
              </w:rPr>
            </w:pPr>
            <w:r w:rsidRPr="00CF31E0">
              <w:rPr>
                <w:color w:val="000000" w:themeColor="text1"/>
              </w:rPr>
              <w:t>VS4 (the surname of the speaker)</w:t>
            </w:r>
          </w:p>
        </w:tc>
        <w:tc>
          <w:tcPr>
            <w:tcW w:w="1985" w:type="dxa"/>
          </w:tcPr>
          <w:p w14:paraId="3554212C" w14:textId="77777777" w:rsidR="00F93D44" w:rsidRPr="00CF31E0" w:rsidRDefault="00F93D44" w:rsidP="00F93D44">
            <w:pPr>
              <w:rPr>
                <w:color w:val="000000" w:themeColor="text1"/>
              </w:rPr>
            </w:pPr>
          </w:p>
        </w:tc>
        <w:tc>
          <w:tcPr>
            <w:tcW w:w="1745" w:type="dxa"/>
          </w:tcPr>
          <w:p w14:paraId="7789574B" w14:textId="77777777" w:rsidR="00F93D44" w:rsidRPr="00CF31E0" w:rsidRDefault="00F93D44" w:rsidP="00F93D44">
            <w:pPr>
              <w:rPr>
                <w:color w:val="000000" w:themeColor="text1"/>
              </w:rPr>
            </w:pPr>
          </w:p>
        </w:tc>
      </w:tr>
    </w:tbl>
    <w:p w14:paraId="3ABFDE21" w14:textId="77777777" w:rsidR="00F93D44" w:rsidRPr="00CF31E0" w:rsidRDefault="00F93D44" w:rsidP="00603CB7">
      <w:pPr>
        <w:numPr>
          <w:ilvl w:val="0"/>
          <w:numId w:val="69"/>
        </w:numPr>
        <w:spacing w:before="400" w:after="400"/>
        <w:ind w:left="714" w:hanging="357"/>
        <w:rPr>
          <w:rFonts w:eastAsia="MS Mincho"/>
          <w:color w:val="000000" w:themeColor="text1"/>
          <w:lang w:eastAsia="en-US"/>
        </w:rPr>
      </w:pPr>
      <w:r w:rsidRPr="00CF31E0">
        <w:rPr>
          <w:rFonts w:eastAsia="MS Mincho"/>
          <w:color w:val="000000" w:themeColor="text1"/>
          <w:lang w:eastAsia="en-US"/>
        </w:rPr>
        <w:lastRenderedPageBreak/>
        <w:t>How would you rate the speech of the voice sample provided in the recording?</w:t>
      </w:r>
    </w:p>
    <w:p w14:paraId="0009380C" w14:textId="4376D294" w:rsidR="00FA02F5" w:rsidRPr="00CF31E0" w:rsidRDefault="00FA02F5" w:rsidP="00603CB7">
      <w:pPr>
        <w:pStyle w:val="ListParagraph"/>
        <w:spacing w:after="200"/>
        <w:contextualSpacing w:val="0"/>
        <w:rPr>
          <w:rFonts w:asciiTheme="majorBidi" w:hAnsiTheme="majorBidi" w:cstheme="majorBidi"/>
          <w:b/>
          <w:color w:val="000000" w:themeColor="text1"/>
        </w:rPr>
      </w:pPr>
      <w:r w:rsidRPr="00CF31E0">
        <w:rPr>
          <w:rFonts w:asciiTheme="majorBidi" w:hAnsiTheme="majorBidi" w:cstheme="majorBidi"/>
          <w:b/>
          <w:color w:val="000000" w:themeColor="text1"/>
        </w:rPr>
        <w:tab/>
      </w:r>
      <w:r w:rsidRPr="00CF31E0">
        <w:rPr>
          <w:rFonts w:asciiTheme="majorBidi" w:hAnsiTheme="majorBidi" w:cstheme="majorBidi"/>
          <w:b/>
          <w:color w:val="000000" w:themeColor="text1"/>
        </w:rPr>
        <w:tab/>
      </w:r>
      <w:r w:rsidRPr="00CF31E0">
        <w:rPr>
          <w:rFonts w:asciiTheme="majorBidi" w:hAnsiTheme="majorBidi" w:cstheme="majorBidi"/>
          <w:b/>
          <w:color w:val="000000" w:themeColor="text1"/>
        </w:rPr>
        <w:tab/>
      </w:r>
      <w:r w:rsidRPr="00CF31E0">
        <w:rPr>
          <w:rFonts w:asciiTheme="majorBidi" w:hAnsiTheme="majorBidi" w:cstheme="majorBidi"/>
          <w:b/>
          <w:color w:val="000000" w:themeColor="text1"/>
        </w:rPr>
        <w:tab/>
      </w:r>
      <w:r w:rsidRPr="00CF31E0">
        <w:rPr>
          <w:rFonts w:asciiTheme="majorBidi" w:hAnsiTheme="majorBidi" w:cstheme="majorBidi"/>
          <w:b/>
          <w:color w:val="000000" w:themeColor="text1"/>
        </w:rPr>
        <w:tab/>
        <w:t xml:space="preserve">  Least_______________Most</w:t>
      </w:r>
    </w:p>
    <w:tbl>
      <w:tblPr>
        <w:tblStyle w:val="TableGrid17"/>
        <w:tblW w:w="7763" w:type="dxa"/>
        <w:tblLook w:val="04A0" w:firstRow="1" w:lastRow="0" w:firstColumn="1" w:lastColumn="0" w:noHBand="0" w:noVBand="1"/>
      </w:tblPr>
      <w:tblGrid>
        <w:gridCol w:w="1711"/>
        <w:gridCol w:w="2792"/>
        <w:gridCol w:w="652"/>
        <w:gridCol w:w="652"/>
        <w:gridCol w:w="652"/>
        <w:gridCol w:w="652"/>
        <w:gridCol w:w="652"/>
      </w:tblGrid>
      <w:tr w:rsidR="008A1A4E" w:rsidRPr="00CF31E0" w14:paraId="0DAA026B" w14:textId="77777777" w:rsidTr="00603CB7">
        <w:trPr>
          <w:trHeight w:val="699"/>
        </w:trPr>
        <w:tc>
          <w:tcPr>
            <w:tcW w:w="1711" w:type="dxa"/>
            <w:vMerge w:val="restart"/>
          </w:tcPr>
          <w:p w14:paraId="2D509740" w14:textId="77777777" w:rsidR="00FA02F5" w:rsidRPr="00CF31E0" w:rsidRDefault="00FA02F5" w:rsidP="00FA02F5">
            <w:pPr>
              <w:rPr>
                <w:color w:val="000000" w:themeColor="text1"/>
                <w:sz w:val="22"/>
                <w:szCs w:val="22"/>
              </w:rPr>
            </w:pPr>
          </w:p>
          <w:p w14:paraId="07C73ADC" w14:textId="77777777" w:rsidR="00FA02F5" w:rsidRPr="00CF31E0" w:rsidRDefault="00FA02F5" w:rsidP="00FA02F5">
            <w:pPr>
              <w:rPr>
                <w:color w:val="000000" w:themeColor="text1"/>
                <w:sz w:val="22"/>
                <w:szCs w:val="22"/>
              </w:rPr>
            </w:pPr>
          </w:p>
          <w:p w14:paraId="0129BDC7" w14:textId="77777777" w:rsidR="00FA02F5" w:rsidRPr="00CF31E0" w:rsidRDefault="00FA02F5" w:rsidP="00FA02F5">
            <w:pPr>
              <w:rPr>
                <w:color w:val="000000" w:themeColor="text1"/>
                <w:sz w:val="22"/>
                <w:szCs w:val="22"/>
              </w:rPr>
            </w:pPr>
          </w:p>
          <w:p w14:paraId="39622315" w14:textId="77777777" w:rsidR="00FA02F5" w:rsidRPr="00CF31E0" w:rsidRDefault="00FA02F5" w:rsidP="00FA02F5">
            <w:pPr>
              <w:rPr>
                <w:color w:val="000000" w:themeColor="text1"/>
                <w:sz w:val="22"/>
                <w:szCs w:val="22"/>
              </w:rPr>
            </w:pPr>
          </w:p>
          <w:p w14:paraId="04E8A16B" w14:textId="77777777" w:rsidR="00FA02F5" w:rsidRPr="00CF31E0" w:rsidRDefault="00FA02F5" w:rsidP="00FA02F5">
            <w:pPr>
              <w:rPr>
                <w:color w:val="000000" w:themeColor="text1"/>
                <w:sz w:val="22"/>
                <w:szCs w:val="22"/>
              </w:rPr>
            </w:pPr>
            <w:r w:rsidRPr="00CF31E0">
              <w:rPr>
                <w:color w:val="000000" w:themeColor="text1"/>
                <w:sz w:val="22"/>
                <w:szCs w:val="22"/>
              </w:rPr>
              <w:t>VS4</w:t>
            </w:r>
          </w:p>
          <w:p w14:paraId="6B853B11" w14:textId="77777777" w:rsidR="00FA02F5" w:rsidRPr="00CF31E0" w:rsidRDefault="00FA02F5" w:rsidP="00FA02F5">
            <w:pPr>
              <w:jc w:val="right"/>
              <w:rPr>
                <w:color w:val="000000" w:themeColor="text1"/>
                <w:sz w:val="22"/>
                <w:szCs w:val="22"/>
              </w:rPr>
            </w:pPr>
          </w:p>
        </w:tc>
        <w:tc>
          <w:tcPr>
            <w:tcW w:w="2792" w:type="dxa"/>
          </w:tcPr>
          <w:p w14:paraId="7137FA07" w14:textId="77777777" w:rsidR="00FA02F5" w:rsidRPr="00CF31E0" w:rsidRDefault="00FA02F5" w:rsidP="00FA02F5">
            <w:pPr>
              <w:rPr>
                <w:color w:val="000000" w:themeColor="text1"/>
                <w:sz w:val="22"/>
                <w:szCs w:val="22"/>
              </w:rPr>
            </w:pPr>
          </w:p>
          <w:p w14:paraId="0B7FCC51" w14:textId="77777777" w:rsidR="00FA02F5" w:rsidRPr="00CF31E0" w:rsidRDefault="00FA02F5" w:rsidP="00FA02F5">
            <w:pPr>
              <w:rPr>
                <w:color w:val="000000" w:themeColor="text1"/>
                <w:sz w:val="22"/>
                <w:szCs w:val="22"/>
              </w:rPr>
            </w:pPr>
            <w:r w:rsidRPr="00CF31E0">
              <w:rPr>
                <w:color w:val="000000" w:themeColor="text1"/>
                <w:sz w:val="22"/>
                <w:szCs w:val="22"/>
              </w:rPr>
              <w:t>Serious</w:t>
            </w:r>
          </w:p>
        </w:tc>
        <w:tc>
          <w:tcPr>
            <w:tcW w:w="652" w:type="dxa"/>
          </w:tcPr>
          <w:p w14:paraId="40CDF6F3" w14:textId="77777777" w:rsidR="00FA02F5" w:rsidRPr="00CF31E0" w:rsidRDefault="00FA02F5" w:rsidP="00FA02F5">
            <w:pPr>
              <w:rPr>
                <w:color w:val="000000" w:themeColor="text1"/>
                <w:sz w:val="22"/>
                <w:szCs w:val="22"/>
              </w:rPr>
            </w:pPr>
          </w:p>
          <w:p w14:paraId="3887929B" w14:textId="77777777" w:rsidR="00FA02F5" w:rsidRPr="00CF31E0" w:rsidRDefault="00FA02F5" w:rsidP="00FA02F5">
            <w:pPr>
              <w:jc w:val="center"/>
              <w:rPr>
                <w:color w:val="000000" w:themeColor="text1"/>
                <w:sz w:val="22"/>
                <w:szCs w:val="22"/>
              </w:rPr>
            </w:pPr>
            <w:r w:rsidRPr="00CF31E0">
              <w:rPr>
                <w:color w:val="000000" w:themeColor="text1"/>
                <w:sz w:val="22"/>
                <w:szCs w:val="22"/>
              </w:rPr>
              <w:t>1</w:t>
            </w:r>
          </w:p>
        </w:tc>
        <w:tc>
          <w:tcPr>
            <w:tcW w:w="652" w:type="dxa"/>
          </w:tcPr>
          <w:p w14:paraId="44102557" w14:textId="77777777" w:rsidR="00FA02F5" w:rsidRPr="00CF31E0" w:rsidRDefault="00FA02F5" w:rsidP="00FA02F5">
            <w:pPr>
              <w:rPr>
                <w:color w:val="000000" w:themeColor="text1"/>
                <w:sz w:val="22"/>
                <w:szCs w:val="22"/>
              </w:rPr>
            </w:pPr>
          </w:p>
          <w:p w14:paraId="3A755D10" w14:textId="77777777" w:rsidR="00FA02F5" w:rsidRPr="00CF31E0" w:rsidRDefault="00FA02F5" w:rsidP="00FA02F5">
            <w:pPr>
              <w:jc w:val="center"/>
              <w:rPr>
                <w:color w:val="000000" w:themeColor="text1"/>
                <w:sz w:val="22"/>
                <w:szCs w:val="22"/>
              </w:rPr>
            </w:pPr>
            <w:r w:rsidRPr="00CF31E0">
              <w:rPr>
                <w:color w:val="000000" w:themeColor="text1"/>
                <w:sz w:val="22"/>
                <w:szCs w:val="22"/>
              </w:rPr>
              <w:t>2</w:t>
            </w:r>
          </w:p>
        </w:tc>
        <w:tc>
          <w:tcPr>
            <w:tcW w:w="652" w:type="dxa"/>
          </w:tcPr>
          <w:p w14:paraId="437FFC37" w14:textId="77777777" w:rsidR="00FA02F5" w:rsidRPr="00CF31E0" w:rsidRDefault="00FA02F5" w:rsidP="00FA02F5">
            <w:pPr>
              <w:rPr>
                <w:color w:val="000000" w:themeColor="text1"/>
                <w:sz w:val="22"/>
                <w:szCs w:val="22"/>
              </w:rPr>
            </w:pPr>
          </w:p>
          <w:p w14:paraId="1FFB95CF" w14:textId="77777777" w:rsidR="00FA02F5" w:rsidRPr="00CF31E0" w:rsidRDefault="00FA02F5" w:rsidP="00FA02F5">
            <w:pPr>
              <w:jc w:val="center"/>
              <w:rPr>
                <w:color w:val="000000" w:themeColor="text1"/>
                <w:sz w:val="22"/>
                <w:szCs w:val="22"/>
              </w:rPr>
            </w:pPr>
            <w:r w:rsidRPr="00CF31E0">
              <w:rPr>
                <w:color w:val="000000" w:themeColor="text1"/>
                <w:sz w:val="22"/>
                <w:szCs w:val="22"/>
              </w:rPr>
              <w:t>3</w:t>
            </w:r>
          </w:p>
        </w:tc>
        <w:tc>
          <w:tcPr>
            <w:tcW w:w="652" w:type="dxa"/>
          </w:tcPr>
          <w:p w14:paraId="11AEF926" w14:textId="77777777" w:rsidR="00FA02F5" w:rsidRPr="00CF31E0" w:rsidRDefault="00FA02F5" w:rsidP="00FA02F5">
            <w:pPr>
              <w:rPr>
                <w:color w:val="000000" w:themeColor="text1"/>
                <w:sz w:val="22"/>
                <w:szCs w:val="22"/>
              </w:rPr>
            </w:pPr>
          </w:p>
          <w:p w14:paraId="0098DD35" w14:textId="77777777" w:rsidR="00FA02F5" w:rsidRPr="00CF31E0" w:rsidRDefault="00FA02F5" w:rsidP="00FA02F5">
            <w:pPr>
              <w:jc w:val="center"/>
              <w:rPr>
                <w:color w:val="000000" w:themeColor="text1"/>
                <w:sz w:val="22"/>
                <w:szCs w:val="22"/>
              </w:rPr>
            </w:pPr>
            <w:r w:rsidRPr="00CF31E0">
              <w:rPr>
                <w:color w:val="000000" w:themeColor="text1"/>
                <w:sz w:val="22"/>
                <w:szCs w:val="22"/>
              </w:rPr>
              <w:t>4</w:t>
            </w:r>
          </w:p>
        </w:tc>
        <w:tc>
          <w:tcPr>
            <w:tcW w:w="652" w:type="dxa"/>
          </w:tcPr>
          <w:p w14:paraId="036AE8CA" w14:textId="77777777" w:rsidR="00FA02F5" w:rsidRPr="00CF31E0" w:rsidRDefault="00FA02F5" w:rsidP="00FA02F5">
            <w:pPr>
              <w:rPr>
                <w:color w:val="000000" w:themeColor="text1"/>
                <w:sz w:val="22"/>
                <w:szCs w:val="22"/>
              </w:rPr>
            </w:pPr>
          </w:p>
          <w:p w14:paraId="37713925" w14:textId="77777777" w:rsidR="00FA02F5" w:rsidRPr="00CF31E0" w:rsidRDefault="00FA02F5" w:rsidP="00FA02F5">
            <w:pPr>
              <w:jc w:val="center"/>
              <w:rPr>
                <w:color w:val="000000" w:themeColor="text1"/>
                <w:sz w:val="22"/>
                <w:szCs w:val="22"/>
              </w:rPr>
            </w:pPr>
            <w:r w:rsidRPr="00CF31E0">
              <w:rPr>
                <w:color w:val="000000" w:themeColor="text1"/>
                <w:sz w:val="22"/>
                <w:szCs w:val="22"/>
              </w:rPr>
              <w:t>5</w:t>
            </w:r>
          </w:p>
        </w:tc>
      </w:tr>
      <w:tr w:rsidR="008A1A4E" w:rsidRPr="00CF31E0" w14:paraId="433E030E" w14:textId="77777777" w:rsidTr="00603CB7">
        <w:trPr>
          <w:trHeight w:val="724"/>
        </w:trPr>
        <w:tc>
          <w:tcPr>
            <w:tcW w:w="1711" w:type="dxa"/>
            <w:vMerge/>
          </w:tcPr>
          <w:p w14:paraId="4E2B870E" w14:textId="77777777" w:rsidR="00FA02F5" w:rsidRPr="00CF31E0" w:rsidRDefault="00FA02F5" w:rsidP="00FA02F5">
            <w:pPr>
              <w:rPr>
                <w:color w:val="000000" w:themeColor="text1"/>
                <w:sz w:val="22"/>
                <w:szCs w:val="22"/>
              </w:rPr>
            </w:pPr>
          </w:p>
        </w:tc>
        <w:tc>
          <w:tcPr>
            <w:tcW w:w="2792" w:type="dxa"/>
          </w:tcPr>
          <w:p w14:paraId="76E90929" w14:textId="77777777" w:rsidR="00FA02F5" w:rsidRPr="00CF31E0" w:rsidRDefault="00FA02F5" w:rsidP="00FA02F5">
            <w:pPr>
              <w:rPr>
                <w:color w:val="000000" w:themeColor="text1"/>
                <w:sz w:val="22"/>
                <w:szCs w:val="22"/>
              </w:rPr>
            </w:pPr>
          </w:p>
          <w:p w14:paraId="65116B5E" w14:textId="77777777" w:rsidR="00FA02F5" w:rsidRPr="00CF31E0" w:rsidRDefault="00FA02F5" w:rsidP="00FA02F5">
            <w:pPr>
              <w:rPr>
                <w:color w:val="000000" w:themeColor="text1"/>
                <w:sz w:val="22"/>
                <w:szCs w:val="22"/>
              </w:rPr>
            </w:pPr>
            <w:r w:rsidRPr="00CF31E0">
              <w:rPr>
                <w:color w:val="000000" w:themeColor="text1"/>
                <w:sz w:val="22"/>
                <w:szCs w:val="22"/>
              </w:rPr>
              <w:t>Traditional</w:t>
            </w:r>
          </w:p>
        </w:tc>
        <w:tc>
          <w:tcPr>
            <w:tcW w:w="652" w:type="dxa"/>
          </w:tcPr>
          <w:p w14:paraId="6850F08E" w14:textId="77777777" w:rsidR="00FA02F5" w:rsidRPr="00CF31E0" w:rsidRDefault="00FA02F5" w:rsidP="00FA02F5">
            <w:pPr>
              <w:rPr>
                <w:color w:val="000000" w:themeColor="text1"/>
                <w:sz w:val="22"/>
                <w:szCs w:val="22"/>
              </w:rPr>
            </w:pPr>
          </w:p>
          <w:p w14:paraId="042957A6" w14:textId="77777777" w:rsidR="00FA02F5" w:rsidRPr="00CF31E0" w:rsidRDefault="00FA02F5" w:rsidP="00FA02F5">
            <w:pPr>
              <w:jc w:val="center"/>
              <w:rPr>
                <w:color w:val="000000" w:themeColor="text1"/>
                <w:sz w:val="22"/>
                <w:szCs w:val="22"/>
              </w:rPr>
            </w:pPr>
            <w:r w:rsidRPr="00CF31E0">
              <w:rPr>
                <w:color w:val="000000" w:themeColor="text1"/>
                <w:sz w:val="22"/>
                <w:szCs w:val="22"/>
              </w:rPr>
              <w:t>1</w:t>
            </w:r>
          </w:p>
        </w:tc>
        <w:tc>
          <w:tcPr>
            <w:tcW w:w="652" w:type="dxa"/>
          </w:tcPr>
          <w:p w14:paraId="41142989" w14:textId="77777777" w:rsidR="00FA02F5" w:rsidRPr="00CF31E0" w:rsidRDefault="00FA02F5" w:rsidP="00FA02F5">
            <w:pPr>
              <w:rPr>
                <w:color w:val="000000" w:themeColor="text1"/>
                <w:sz w:val="22"/>
                <w:szCs w:val="22"/>
              </w:rPr>
            </w:pPr>
          </w:p>
          <w:p w14:paraId="3D8A4962" w14:textId="77777777" w:rsidR="00FA02F5" w:rsidRPr="00CF31E0" w:rsidRDefault="00FA02F5" w:rsidP="00FA02F5">
            <w:pPr>
              <w:jc w:val="center"/>
              <w:rPr>
                <w:color w:val="000000" w:themeColor="text1"/>
                <w:sz w:val="22"/>
                <w:szCs w:val="22"/>
              </w:rPr>
            </w:pPr>
            <w:r w:rsidRPr="00CF31E0">
              <w:rPr>
                <w:color w:val="000000" w:themeColor="text1"/>
                <w:sz w:val="22"/>
                <w:szCs w:val="22"/>
              </w:rPr>
              <w:t>2</w:t>
            </w:r>
          </w:p>
        </w:tc>
        <w:tc>
          <w:tcPr>
            <w:tcW w:w="652" w:type="dxa"/>
          </w:tcPr>
          <w:p w14:paraId="7D2DFB8E" w14:textId="77777777" w:rsidR="00FA02F5" w:rsidRPr="00CF31E0" w:rsidRDefault="00FA02F5" w:rsidP="00FA02F5">
            <w:pPr>
              <w:rPr>
                <w:color w:val="000000" w:themeColor="text1"/>
                <w:sz w:val="22"/>
                <w:szCs w:val="22"/>
              </w:rPr>
            </w:pPr>
          </w:p>
          <w:p w14:paraId="68187750" w14:textId="77777777" w:rsidR="00FA02F5" w:rsidRPr="00CF31E0" w:rsidRDefault="00FA02F5" w:rsidP="00FA02F5">
            <w:pPr>
              <w:jc w:val="center"/>
              <w:rPr>
                <w:color w:val="000000" w:themeColor="text1"/>
                <w:sz w:val="22"/>
                <w:szCs w:val="22"/>
              </w:rPr>
            </w:pPr>
            <w:r w:rsidRPr="00CF31E0">
              <w:rPr>
                <w:color w:val="000000" w:themeColor="text1"/>
                <w:sz w:val="22"/>
                <w:szCs w:val="22"/>
              </w:rPr>
              <w:t>3</w:t>
            </w:r>
          </w:p>
        </w:tc>
        <w:tc>
          <w:tcPr>
            <w:tcW w:w="652" w:type="dxa"/>
          </w:tcPr>
          <w:p w14:paraId="0DA61427" w14:textId="77777777" w:rsidR="00FA02F5" w:rsidRPr="00CF31E0" w:rsidRDefault="00FA02F5" w:rsidP="00FA02F5">
            <w:pPr>
              <w:rPr>
                <w:color w:val="000000" w:themeColor="text1"/>
                <w:sz w:val="22"/>
                <w:szCs w:val="22"/>
              </w:rPr>
            </w:pPr>
          </w:p>
          <w:p w14:paraId="375FD8B6" w14:textId="77777777" w:rsidR="00FA02F5" w:rsidRPr="00CF31E0" w:rsidRDefault="00FA02F5" w:rsidP="00FA02F5">
            <w:pPr>
              <w:jc w:val="center"/>
              <w:rPr>
                <w:color w:val="000000" w:themeColor="text1"/>
                <w:sz w:val="22"/>
                <w:szCs w:val="22"/>
              </w:rPr>
            </w:pPr>
            <w:r w:rsidRPr="00CF31E0">
              <w:rPr>
                <w:color w:val="000000" w:themeColor="text1"/>
                <w:sz w:val="22"/>
                <w:szCs w:val="22"/>
              </w:rPr>
              <w:t>4</w:t>
            </w:r>
          </w:p>
        </w:tc>
        <w:tc>
          <w:tcPr>
            <w:tcW w:w="652" w:type="dxa"/>
          </w:tcPr>
          <w:p w14:paraId="73098EF6" w14:textId="77777777" w:rsidR="00FA02F5" w:rsidRPr="00CF31E0" w:rsidRDefault="00FA02F5" w:rsidP="00FA02F5">
            <w:pPr>
              <w:jc w:val="center"/>
              <w:rPr>
                <w:color w:val="000000" w:themeColor="text1"/>
                <w:sz w:val="22"/>
                <w:szCs w:val="22"/>
              </w:rPr>
            </w:pPr>
          </w:p>
          <w:p w14:paraId="50BE7332" w14:textId="77777777" w:rsidR="00FA02F5" w:rsidRPr="00CF31E0" w:rsidRDefault="00FA02F5" w:rsidP="00FA02F5">
            <w:pPr>
              <w:jc w:val="center"/>
              <w:rPr>
                <w:color w:val="000000" w:themeColor="text1"/>
                <w:sz w:val="22"/>
                <w:szCs w:val="22"/>
              </w:rPr>
            </w:pPr>
            <w:r w:rsidRPr="00CF31E0">
              <w:rPr>
                <w:color w:val="000000" w:themeColor="text1"/>
                <w:sz w:val="22"/>
                <w:szCs w:val="22"/>
              </w:rPr>
              <w:t>5</w:t>
            </w:r>
          </w:p>
          <w:p w14:paraId="35561A5C" w14:textId="77777777" w:rsidR="00FA02F5" w:rsidRPr="00CF31E0" w:rsidRDefault="00FA02F5" w:rsidP="00FA02F5">
            <w:pPr>
              <w:rPr>
                <w:color w:val="000000" w:themeColor="text1"/>
                <w:sz w:val="22"/>
                <w:szCs w:val="22"/>
              </w:rPr>
            </w:pPr>
          </w:p>
        </w:tc>
      </w:tr>
      <w:tr w:rsidR="008A1A4E" w:rsidRPr="00CF31E0" w14:paraId="75DAF290" w14:textId="77777777" w:rsidTr="00603CB7">
        <w:trPr>
          <w:trHeight w:val="699"/>
        </w:trPr>
        <w:tc>
          <w:tcPr>
            <w:tcW w:w="1711" w:type="dxa"/>
            <w:vMerge w:val="restart"/>
          </w:tcPr>
          <w:p w14:paraId="3D07FC70" w14:textId="77777777" w:rsidR="00FA02F5" w:rsidRPr="00CF31E0" w:rsidRDefault="00FA02F5" w:rsidP="00FA02F5">
            <w:pPr>
              <w:rPr>
                <w:color w:val="000000" w:themeColor="text1"/>
                <w:sz w:val="22"/>
                <w:szCs w:val="22"/>
              </w:rPr>
            </w:pPr>
          </w:p>
        </w:tc>
        <w:tc>
          <w:tcPr>
            <w:tcW w:w="2792" w:type="dxa"/>
          </w:tcPr>
          <w:p w14:paraId="766C320C" w14:textId="77777777" w:rsidR="00FA02F5" w:rsidRPr="00CF31E0" w:rsidRDefault="00FA02F5" w:rsidP="00FA02F5">
            <w:pPr>
              <w:rPr>
                <w:color w:val="000000" w:themeColor="text1"/>
                <w:sz w:val="22"/>
                <w:szCs w:val="22"/>
              </w:rPr>
            </w:pPr>
          </w:p>
          <w:p w14:paraId="2FC8DCA3" w14:textId="77777777" w:rsidR="00FA02F5" w:rsidRPr="00CF31E0" w:rsidRDefault="00FA02F5" w:rsidP="00FA02F5">
            <w:pPr>
              <w:rPr>
                <w:color w:val="000000" w:themeColor="text1"/>
                <w:sz w:val="22"/>
                <w:szCs w:val="22"/>
              </w:rPr>
            </w:pPr>
            <w:r w:rsidRPr="00CF31E0">
              <w:rPr>
                <w:color w:val="000000" w:themeColor="text1"/>
                <w:sz w:val="22"/>
                <w:szCs w:val="22"/>
              </w:rPr>
              <w:t>Similar to other Arabic dialects</w:t>
            </w:r>
          </w:p>
        </w:tc>
        <w:tc>
          <w:tcPr>
            <w:tcW w:w="652" w:type="dxa"/>
          </w:tcPr>
          <w:p w14:paraId="47C530CE" w14:textId="77777777" w:rsidR="00FA02F5" w:rsidRPr="00CF31E0" w:rsidRDefault="00FA02F5" w:rsidP="00FA02F5">
            <w:pPr>
              <w:rPr>
                <w:color w:val="000000" w:themeColor="text1"/>
                <w:sz w:val="22"/>
                <w:szCs w:val="22"/>
              </w:rPr>
            </w:pPr>
          </w:p>
          <w:p w14:paraId="72EE35A3" w14:textId="77777777" w:rsidR="00FA02F5" w:rsidRPr="00CF31E0" w:rsidRDefault="00FA02F5" w:rsidP="00FA02F5">
            <w:pPr>
              <w:jc w:val="center"/>
              <w:rPr>
                <w:color w:val="000000" w:themeColor="text1"/>
                <w:sz w:val="22"/>
                <w:szCs w:val="22"/>
              </w:rPr>
            </w:pPr>
            <w:r w:rsidRPr="00CF31E0">
              <w:rPr>
                <w:color w:val="000000" w:themeColor="text1"/>
                <w:sz w:val="22"/>
                <w:szCs w:val="22"/>
              </w:rPr>
              <w:t>1</w:t>
            </w:r>
          </w:p>
        </w:tc>
        <w:tc>
          <w:tcPr>
            <w:tcW w:w="652" w:type="dxa"/>
          </w:tcPr>
          <w:p w14:paraId="378C9026" w14:textId="77777777" w:rsidR="00FA02F5" w:rsidRPr="00CF31E0" w:rsidRDefault="00FA02F5" w:rsidP="00FA02F5">
            <w:pPr>
              <w:rPr>
                <w:color w:val="000000" w:themeColor="text1"/>
                <w:sz w:val="22"/>
                <w:szCs w:val="22"/>
              </w:rPr>
            </w:pPr>
          </w:p>
          <w:p w14:paraId="2682C4DE" w14:textId="77777777" w:rsidR="00FA02F5" w:rsidRPr="00CF31E0" w:rsidRDefault="00FA02F5" w:rsidP="00FA02F5">
            <w:pPr>
              <w:jc w:val="center"/>
              <w:rPr>
                <w:color w:val="000000" w:themeColor="text1"/>
                <w:sz w:val="22"/>
                <w:szCs w:val="22"/>
              </w:rPr>
            </w:pPr>
            <w:r w:rsidRPr="00CF31E0">
              <w:rPr>
                <w:color w:val="000000" w:themeColor="text1"/>
                <w:sz w:val="22"/>
                <w:szCs w:val="22"/>
              </w:rPr>
              <w:t>2</w:t>
            </w:r>
          </w:p>
        </w:tc>
        <w:tc>
          <w:tcPr>
            <w:tcW w:w="652" w:type="dxa"/>
          </w:tcPr>
          <w:p w14:paraId="01C741EF" w14:textId="77777777" w:rsidR="00FA02F5" w:rsidRPr="00CF31E0" w:rsidRDefault="00FA02F5" w:rsidP="00FA02F5">
            <w:pPr>
              <w:rPr>
                <w:color w:val="000000" w:themeColor="text1"/>
                <w:sz w:val="22"/>
                <w:szCs w:val="22"/>
              </w:rPr>
            </w:pPr>
          </w:p>
          <w:p w14:paraId="543913A9" w14:textId="77777777" w:rsidR="00FA02F5" w:rsidRPr="00CF31E0" w:rsidRDefault="00FA02F5" w:rsidP="00FA02F5">
            <w:pPr>
              <w:jc w:val="center"/>
              <w:rPr>
                <w:color w:val="000000" w:themeColor="text1"/>
                <w:sz w:val="22"/>
                <w:szCs w:val="22"/>
              </w:rPr>
            </w:pPr>
            <w:r w:rsidRPr="00CF31E0">
              <w:rPr>
                <w:color w:val="000000" w:themeColor="text1"/>
                <w:sz w:val="22"/>
                <w:szCs w:val="22"/>
              </w:rPr>
              <w:t>3</w:t>
            </w:r>
          </w:p>
        </w:tc>
        <w:tc>
          <w:tcPr>
            <w:tcW w:w="652" w:type="dxa"/>
          </w:tcPr>
          <w:p w14:paraId="2CB43030" w14:textId="77777777" w:rsidR="00FA02F5" w:rsidRPr="00CF31E0" w:rsidRDefault="00FA02F5" w:rsidP="00FA02F5">
            <w:pPr>
              <w:rPr>
                <w:color w:val="000000" w:themeColor="text1"/>
                <w:sz w:val="22"/>
                <w:szCs w:val="22"/>
              </w:rPr>
            </w:pPr>
          </w:p>
          <w:p w14:paraId="17A95A3C" w14:textId="77777777" w:rsidR="00FA02F5" w:rsidRPr="00CF31E0" w:rsidRDefault="00FA02F5" w:rsidP="00FA02F5">
            <w:pPr>
              <w:jc w:val="center"/>
              <w:rPr>
                <w:color w:val="000000" w:themeColor="text1"/>
                <w:sz w:val="22"/>
                <w:szCs w:val="22"/>
              </w:rPr>
            </w:pPr>
            <w:r w:rsidRPr="00CF31E0">
              <w:rPr>
                <w:color w:val="000000" w:themeColor="text1"/>
                <w:sz w:val="22"/>
                <w:szCs w:val="22"/>
              </w:rPr>
              <w:t>4</w:t>
            </w:r>
          </w:p>
        </w:tc>
        <w:tc>
          <w:tcPr>
            <w:tcW w:w="652" w:type="dxa"/>
          </w:tcPr>
          <w:p w14:paraId="56F77D7F" w14:textId="77777777" w:rsidR="00FA02F5" w:rsidRPr="00CF31E0" w:rsidRDefault="00FA02F5" w:rsidP="00FA02F5">
            <w:pPr>
              <w:rPr>
                <w:color w:val="000000" w:themeColor="text1"/>
                <w:sz w:val="22"/>
                <w:szCs w:val="22"/>
              </w:rPr>
            </w:pPr>
          </w:p>
          <w:p w14:paraId="6F9658D6" w14:textId="77777777" w:rsidR="00FA02F5" w:rsidRPr="00CF31E0" w:rsidRDefault="00FA02F5" w:rsidP="00FA02F5">
            <w:pPr>
              <w:jc w:val="center"/>
              <w:rPr>
                <w:color w:val="000000" w:themeColor="text1"/>
                <w:sz w:val="22"/>
                <w:szCs w:val="22"/>
              </w:rPr>
            </w:pPr>
            <w:r w:rsidRPr="00CF31E0">
              <w:rPr>
                <w:color w:val="000000" w:themeColor="text1"/>
                <w:sz w:val="22"/>
                <w:szCs w:val="22"/>
              </w:rPr>
              <w:t>5</w:t>
            </w:r>
          </w:p>
        </w:tc>
      </w:tr>
      <w:tr w:rsidR="008A1A4E" w:rsidRPr="00CF31E0" w14:paraId="026A6AF0" w14:textId="77777777" w:rsidTr="00603CB7">
        <w:trPr>
          <w:trHeight w:val="724"/>
        </w:trPr>
        <w:tc>
          <w:tcPr>
            <w:tcW w:w="1711" w:type="dxa"/>
            <w:vMerge/>
          </w:tcPr>
          <w:p w14:paraId="6B988302" w14:textId="77777777" w:rsidR="00FA02F5" w:rsidRPr="00CF31E0" w:rsidRDefault="00FA02F5" w:rsidP="00FA02F5">
            <w:pPr>
              <w:rPr>
                <w:color w:val="000000" w:themeColor="text1"/>
                <w:sz w:val="22"/>
                <w:szCs w:val="22"/>
              </w:rPr>
            </w:pPr>
          </w:p>
        </w:tc>
        <w:tc>
          <w:tcPr>
            <w:tcW w:w="2792" w:type="dxa"/>
          </w:tcPr>
          <w:p w14:paraId="54E6D7F0" w14:textId="77777777" w:rsidR="00FA02F5" w:rsidRPr="00CF31E0" w:rsidRDefault="00FA02F5" w:rsidP="00FA02F5">
            <w:pPr>
              <w:rPr>
                <w:color w:val="000000" w:themeColor="text1"/>
                <w:sz w:val="22"/>
                <w:szCs w:val="22"/>
              </w:rPr>
            </w:pPr>
          </w:p>
          <w:p w14:paraId="36F707E7" w14:textId="77777777" w:rsidR="00FA02F5" w:rsidRPr="00CF31E0" w:rsidRDefault="00FA02F5" w:rsidP="00FA02F5">
            <w:pPr>
              <w:rPr>
                <w:color w:val="000000" w:themeColor="text1"/>
                <w:sz w:val="22"/>
                <w:szCs w:val="22"/>
              </w:rPr>
            </w:pPr>
            <w:r w:rsidRPr="00CF31E0">
              <w:rPr>
                <w:color w:val="000000" w:themeColor="text1"/>
                <w:sz w:val="22"/>
                <w:szCs w:val="22"/>
              </w:rPr>
              <w:t>Modern</w:t>
            </w:r>
          </w:p>
        </w:tc>
        <w:tc>
          <w:tcPr>
            <w:tcW w:w="652" w:type="dxa"/>
          </w:tcPr>
          <w:p w14:paraId="3DF6EA1B" w14:textId="77777777" w:rsidR="00FA02F5" w:rsidRPr="00CF31E0" w:rsidRDefault="00FA02F5" w:rsidP="00FA02F5">
            <w:pPr>
              <w:rPr>
                <w:color w:val="000000" w:themeColor="text1"/>
                <w:sz w:val="22"/>
                <w:szCs w:val="22"/>
              </w:rPr>
            </w:pPr>
          </w:p>
          <w:p w14:paraId="447FE8B2" w14:textId="77777777" w:rsidR="00FA02F5" w:rsidRPr="00CF31E0" w:rsidRDefault="00FA02F5" w:rsidP="00FA02F5">
            <w:pPr>
              <w:jc w:val="center"/>
              <w:rPr>
                <w:color w:val="000000" w:themeColor="text1"/>
                <w:sz w:val="22"/>
                <w:szCs w:val="22"/>
              </w:rPr>
            </w:pPr>
            <w:r w:rsidRPr="00CF31E0">
              <w:rPr>
                <w:color w:val="000000" w:themeColor="text1"/>
                <w:sz w:val="22"/>
                <w:szCs w:val="22"/>
              </w:rPr>
              <w:t>1</w:t>
            </w:r>
          </w:p>
        </w:tc>
        <w:tc>
          <w:tcPr>
            <w:tcW w:w="652" w:type="dxa"/>
          </w:tcPr>
          <w:p w14:paraId="7A0EDB2A" w14:textId="77777777" w:rsidR="00FA02F5" w:rsidRPr="00CF31E0" w:rsidRDefault="00FA02F5" w:rsidP="00FA02F5">
            <w:pPr>
              <w:rPr>
                <w:color w:val="000000" w:themeColor="text1"/>
                <w:sz w:val="22"/>
                <w:szCs w:val="22"/>
              </w:rPr>
            </w:pPr>
          </w:p>
          <w:p w14:paraId="26FAC6AE" w14:textId="77777777" w:rsidR="00FA02F5" w:rsidRPr="00CF31E0" w:rsidRDefault="00FA02F5" w:rsidP="00FA02F5">
            <w:pPr>
              <w:jc w:val="center"/>
              <w:rPr>
                <w:color w:val="000000" w:themeColor="text1"/>
                <w:sz w:val="22"/>
                <w:szCs w:val="22"/>
              </w:rPr>
            </w:pPr>
            <w:r w:rsidRPr="00CF31E0">
              <w:rPr>
                <w:color w:val="000000" w:themeColor="text1"/>
                <w:sz w:val="22"/>
                <w:szCs w:val="22"/>
              </w:rPr>
              <w:t>2</w:t>
            </w:r>
          </w:p>
        </w:tc>
        <w:tc>
          <w:tcPr>
            <w:tcW w:w="652" w:type="dxa"/>
          </w:tcPr>
          <w:p w14:paraId="7DA4D4C1" w14:textId="77777777" w:rsidR="00FA02F5" w:rsidRPr="00CF31E0" w:rsidRDefault="00FA02F5" w:rsidP="00FA02F5">
            <w:pPr>
              <w:rPr>
                <w:color w:val="000000" w:themeColor="text1"/>
                <w:sz w:val="22"/>
                <w:szCs w:val="22"/>
              </w:rPr>
            </w:pPr>
          </w:p>
          <w:p w14:paraId="3782DE42" w14:textId="77777777" w:rsidR="00FA02F5" w:rsidRPr="00CF31E0" w:rsidRDefault="00FA02F5" w:rsidP="00FA02F5">
            <w:pPr>
              <w:jc w:val="center"/>
              <w:rPr>
                <w:color w:val="000000" w:themeColor="text1"/>
                <w:sz w:val="22"/>
                <w:szCs w:val="22"/>
              </w:rPr>
            </w:pPr>
            <w:r w:rsidRPr="00CF31E0">
              <w:rPr>
                <w:color w:val="000000" w:themeColor="text1"/>
                <w:sz w:val="22"/>
                <w:szCs w:val="22"/>
              </w:rPr>
              <w:t>3</w:t>
            </w:r>
          </w:p>
        </w:tc>
        <w:tc>
          <w:tcPr>
            <w:tcW w:w="652" w:type="dxa"/>
          </w:tcPr>
          <w:p w14:paraId="32956444" w14:textId="77777777" w:rsidR="00FA02F5" w:rsidRPr="00CF31E0" w:rsidRDefault="00FA02F5" w:rsidP="00FA02F5">
            <w:pPr>
              <w:rPr>
                <w:color w:val="000000" w:themeColor="text1"/>
                <w:sz w:val="22"/>
                <w:szCs w:val="22"/>
              </w:rPr>
            </w:pPr>
          </w:p>
          <w:p w14:paraId="283459D3" w14:textId="77777777" w:rsidR="00FA02F5" w:rsidRPr="00CF31E0" w:rsidRDefault="00FA02F5" w:rsidP="00FA02F5">
            <w:pPr>
              <w:jc w:val="center"/>
              <w:rPr>
                <w:color w:val="000000" w:themeColor="text1"/>
                <w:sz w:val="22"/>
                <w:szCs w:val="22"/>
              </w:rPr>
            </w:pPr>
            <w:r w:rsidRPr="00CF31E0">
              <w:rPr>
                <w:color w:val="000000" w:themeColor="text1"/>
                <w:sz w:val="22"/>
                <w:szCs w:val="22"/>
              </w:rPr>
              <w:t>4</w:t>
            </w:r>
          </w:p>
        </w:tc>
        <w:tc>
          <w:tcPr>
            <w:tcW w:w="652" w:type="dxa"/>
          </w:tcPr>
          <w:p w14:paraId="7B66B450" w14:textId="77777777" w:rsidR="00FA02F5" w:rsidRPr="00CF31E0" w:rsidRDefault="00FA02F5" w:rsidP="00FA02F5">
            <w:pPr>
              <w:jc w:val="center"/>
              <w:rPr>
                <w:color w:val="000000" w:themeColor="text1"/>
                <w:sz w:val="22"/>
                <w:szCs w:val="22"/>
              </w:rPr>
            </w:pPr>
          </w:p>
          <w:p w14:paraId="2E2057E6" w14:textId="77777777" w:rsidR="00FA02F5" w:rsidRPr="00CF31E0" w:rsidRDefault="00FA02F5" w:rsidP="00FA02F5">
            <w:pPr>
              <w:jc w:val="center"/>
              <w:rPr>
                <w:color w:val="000000" w:themeColor="text1"/>
                <w:sz w:val="22"/>
                <w:szCs w:val="22"/>
              </w:rPr>
            </w:pPr>
            <w:r w:rsidRPr="00CF31E0">
              <w:rPr>
                <w:color w:val="000000" w:themeColor="text1"/>
                <w:sz w:val="22"/>
                <w:szCs w:val="22"/>
              </w:rPr>
              <w:t>5</w:t>
            </w:r>
          </w:p>
          <w:p w14:paraId="29D8EF8B" w14:textId="77777777" w:rsidR="00FA02F5" w:rsidRPr="00CF31E0" w:rsidRDefault="00FA02F5" w:rsidP="00FA02F5">
            <w:pPr>
              <w:rPr>
                <w:color w:val="000000" w:themeColor="text1"/>
                <w:sz w:val="22"/>
                <w:szCs w:val="22"/>
              </w:rPr>
            </w:pPr>
          </w:p>
        </w:tc>
      </w:tr>
    </w:tbl>
    <w:p w14:paraId="2C9621AD" w14:textId="77777777" w:rsidR="00FA02F5" w:rsidRPr="00CF31E0" w:rsidRDefault="00FA02F5" w:rsidP="00603CB7">
      <w:pPr>
        <w:numPr>
          <w:ilvl w:val="0"/>
          <w:numId w:val="69"/>
        </w:numPr>
        <w:spacing w:before="400" w:after="400" w:line="360" w:lineRule="auto"/>
        <w:ind w:left="714" w:hanging="357"/>
        <w:jc w:val="both"/>
        <w:rPr>
          <w:rFonts w:eastAsia="MS Mincho"/>
          <w:bCs/>
          <w:color w:val="000000" w:themeColor="text1"/>
          <w:lang w:eastAsia="en-US"/>
        </w:rPr>
      </w:pPr>
      <w:r w:rsidRPr="00CF31E0">
        <w:rPr>
          <w:rFonts w:eastAsia="MS Mincho"/>
          <w:bCs/>
          <w:color w:val="000000" w:themeColor="text1"/>
          <w:lang w:eastAsia="en-US"/>
        </w:rPr>
        <w:t xml:space="preserve">Please listen carefully to the voice sample and allocate the sample to its original social group. </w:t>
      </w:r>
    </w:p>
    <w:tbl>
      <w:tblPr>
        <w:tblStyle w:val="TableGrid18"/>
        <w:tblW w:w="0" w:type="auto"/>
        <w:tblLook w:val="04A0" w:firstRow="1" w:lastRow="0" w:firstColumn="1" w:lastColumn="0" w:noHBand="0" w:noVBand="1"/>
      </w:tblPr>
      <w:tblGrid>
        <w:gridCol w:w="4184"/>
        <w:gridCol w:w="1799"/>
        <w:gridCol w:w="1597"/>
      </w:tblGrid>
      <w:tr w:rsidR="008A1A4E" w:rsidRPr="00CF31E0" w14:paraId="28B555D0" w14:textId="77777777" w:rsidTr="00603CB7">
        <w:tc>
          <w:tcPr>
            <w:tcW w:w="4184" w:type="dxa"/>
          </w:tcPr>
          <w:p w14:paraId="2CCD776D" w14:textId="77777777" w:rsidR="00FA02F5" w:rsidRPr="00CF31E0" w:rsidRDefault="00FA02F5" w:rsidP="00FA02F5">
            <w:pPr>
              <w:jc w:val="center"/>
              <w:rPr>
                <w:color w:val="000000" w:themeColor="text1"/>
                <w:sz w:val="22"/>
                <w:szCs w:val="22"/>
              </w:rPr>
            </w:pPr>
            <w:r w:rsidRPr="00CF31E0">
              <w:rPr>
                <w:color w:val="000000" w:themeColor="text1"/>
                <w:sz w:val="22"/>
                <w:szCs w:val="22"/>
              </w:rPr>
              <w:t>Voice samples</w:t>
            </w:r>
          </w:p>
        </w:tc>
        <w:tc>
          <w:tcPr>
            <w:tcW w:w="1799" w:type="dxa"/>
          </w:tcPr>
          <w:p w14:paraId="616B65A4" w14:textId="77777777" w:rsidR="00FA02F5" w:rsidRPr="00CF31E0" w:rsidRDefault="00FA02F5" w:rsidP="00FA02F5">
            <w:pPr>
              <w:rPr>
                <w:color w:val="000000" w:themeColor="text1"/>
                <w:sz w:val="22"/>
                <w:szCs w:val="22"/>
              </w:rPr>
            </w:pPr>
            <w:r w:rsidRPr="00CF31E0">
              <w:rPr>
                <w:color w:val="000000" w:themeColor="text1"/>
                <w:sz w:val="22"/>
                <w:szCs w:val="22"/>
              </w:rPr>
              <w:t>UBH dialect</w:t>
            </w:r>
          </w:p>
        </w:tc>
        <w:tc>
          <w:tcPr>
            <w:tcW w:w="1597" w:type="dxa"/>
          </w:tcPr>
          <w:p w14:paraId="702724A2" w14:textId="77777777" w:rsidR="00FA02F5" w:rsidRPr="00CF31E0" w:rsidRDefault="00FA02F5" w:rsidP="00FA02F5">
            <w:pPr>
              <w:rPr>
                <w:color w:val="000000" w:themeColor="text1"/>
                <w:sz w:val="22"/>
                <w:szCs w:val="22"/>
              </w:rPr>
            </w:pPr>
            <w:r w:rsidRPr="00CF31E0">
              <w:rPr>
                <w:color w:val="000000" w:themeColor="text1"/>
                <w:sz w:val="22"/>
                <w:szCs w:val="22"/>
              </w:rPr>
              <w:t>HH dialect</w:t>
            </w:r>
          </w:p>
        </w:tc>
      </w:tr>
      <w:tr w:rsidR="008A1A4E" w:rsidRPr="00CF31E0" w14:paraId="4017B380" w14:textId="77777777" w:rsidTr="00603CB7">
        <w:tc>
          <w:tcPr>
            <w:tcW w:w="4184" w:type="dxa"/>
          </w:tcPr>
          <w:p w14:paraId="4FA9C2E3" w14:textId="77777777" w:rsidR="00FA02F5" w:rsidRPr="00CF31E0" w:rsidRDefault="00FA02F5" w:rsidP="00FA02F5">
            <w:pPr>
              <w:rPr>
                <w:color w:val="000000" w:themeColor="text1"/>
                <w:sz w:val="22"/>
                <w:szCs w:val="22"/>
              </w:rPr>
            </w:pPr>
            <w:r w:rsidRPr="00CF31E0">
              <w:rPr>
                <w:color w:val="000000" w:themeColor="text1"/>
                <w:sz w:val="22"/>
                <w:szCs w:val="22"/>
              </w:rPr>
              <w:t>VS5 (the surname of the speaker)</w:t>
            </w:r>
          </w:p>
        </w:tc>
        <w:tc>
          <w:tcPr>
            <w:tcW w:w="1799" w:type="dxa"/>
          </w:tcPr>
          <w:p w14:paraId="3EA64C64" w14:textId="77777777" w:rsidR="00FA02F5" w:rsidRPr="00CF31E0" w:rsidRDefault="00FA02F5" w:rsidP="00FA02F5">
            <w:pPr>
              <w:rPr>
                <w:color w:val="000000" w:themeColor="text1"/>
                <w:sz w:val="22"/>
                <w:szCs w:val="22"/>
              </w:rPr>
            </w:pPr>
          </w:p>
        </w:tc>
        <w:tc>
          <w:tcPr>
            <w:tcW w:w="1597" w:type="dxa"/>
          </w:tcPr>
          <w:p w14:paraId="0CCD6E93" w14:textId="77777777" w:rsidR="00FA02F5" w:rsidRPr="00CF31E0" w:rsidRDefault="00FA02F5" w:rsidP="00FA02F5">
            <w:pPr>
              <w:rPr>
                <w:color w:val="000000" w:themeColor="text1"/>
                <w:sz w:val="22"/>
                <w:szCs w:val="22"/>
              </w:rPr>
            </w:pPr>
          </w:p>
        </w:tc>
      </w:tr>
    </w:tbl>
    <w:p w14:paraId="168404B6" w14:textId="77777777" w:rsidR="00FA02F5" w:rsidRPr="00CF31E0" w:rsidRDefault="00FA02F5" w:rsidP="00603CB7">
      <w:pPr>
        <w:spacing w:before="400" w:after="400"/>
        <w:rPr>
          <w:rFonts w:eastAsia="MS Mincho"/>
          <w:color w:val="000000" w:themeColor="text1"/>
        </w:rPr>
      </w:pPr>
      <w:r w:rsidRPr="00CF31E0">
        <w:rPr>
          <w:rFonts w:eastAsia="MS Mincho"/>
          <w:color w:val="000000" w:themeColor="text1"/>
        </w:rPr>
        <w:t>How would you rate the speech of the voice sample provided in the recording?</w:t>
      </w:r>
    </w:p>
    <w:p w14:paraId="0873AF4F" w14:textId="486FC011" w:rsidR="00FA02F5" w:rsidRPr="00CF31E0" w:rsidRDefault="00FA02F5" w:rsidP="00603CB7">
      <w:pPr>
        <w:spacing w:after="200"/>
        <w:rPr>
          <w:rFonts w:eastAsia="MS Mincho"/>
          <w:b/>
          <w:color w:val="000000" w:themeColor="text1"/>
        </w:rPr>
      </w:pPr>
      <w:r w:rsidRPr="00CF31E0">
        <w:rPr>
          <w:rFonts w:eastAsia="MS Mincho"/>
          <w:b/>
          <w:color w:val="000000" w:themeColor="text1"/>
        </w:rPr>
        <w:tab/>
      </w:r>
      <w:r w:rsidRPr="00CF31E0">
        <w:rPr>
          <w:rFonts w:eastAsia="MS Mincho"/>
          <w:b/>
          <w:color w:val="000000" w:themeColor="text1"/>
        </w:rPr>
        <w:tab/>
      </w:r>
      <w:r w:rsidRPr="00CF31E0">
        <w:rPr>
          <w:rFonts w:eastAsia="MS Mincho"/>
          <w:b/>
          <w:color w:val="000000" w:themeColor="text1"/>
        </w:rPr>
        <w:tab/>
      </w:r>
      <w:r w:rsidRPr="00CF31E0">
        <w:rPr>
          <w:rFonts w:eastAsia="MS Mincho"/>
          <w:b/>
          <w:color w:val="000000" w:themeColor="text1"/>
        </w:rPr>
        <w:tab/>
      </w:r>
      <w:r w:rsidRPr="00CF31E0">
        <w:rPr>
          <w:rFonts w:eastAsia="MS Mincho"/>
          <w:b/>
          <w:color w:val="000000" w:themeColor="text1"/>
        </w:rPr>
        <w:tab/>
      </w:r>
      <w:r w:rsidRPr="00CF31E0">
        <w:rPr>
          <w:rFonts w:eastAsia="MS Mincho"/>
          <w:b/>
          <w:color w:val="000000" w:themeColor="text1"/>
        </w:rPr>
        <w:tab/>
        <w:t xml:space="preserve">  Least_______________Most</w:t>
      </w:r>
    </w:p>
    <w:tbl>
      <w:tblPr>
        <w:tblStyle w:val="TableGrid19"/>
        <w:tblW w:w="7811" w:type="dxa"/>
        <w:tblLook w:val="04A0" w:firstRow="1" w:lastRow="0" w:firstColumn="1" w:lastColumn="0" w:noHBand="0" w:noVBand="1"/>
      </w:tblPr>
      <w:tblGrid>
        <w:gridCol w:w="1711"/>
        <w:gridCol w:w="2792"/>
        <w:gridCol w:w="661"/>
        <w:gridCol w:w="662"/>
        <w:gridCol w:w="661"/>
        <w:gridCol w:w="662"/>
        <w:gridCol w:w="662"/>
      </w:tblGrid>
      <w:tr w:rsidR="008A1A4E" w:rsidRPr="00CF31E0" w14:paraId="51B4F950" w14:textId="77777777" w:rsidTr="00603CB7">
        <w:trPr>
          <w:trHeight w:val="699"/>
        </w:trPr>
        <w:tc>
          <w:tcPr>
            <w:tcW w:w="1711" w:type="dxa"/>
            <w:vMerge w:val="restart"/>
          </w:tcPr>
          <w:p w14:paraId="71396C99" w14:textId="77777777" w:rsidR="00FA02F5" w:rsidRPr="00CF31E0" w:rsidRDefault="00FA02F5" w:rsidP="00FA02F5">
            <w:pPr>
              <w:rPr>
                <w:color w:val="000000" w:themeColor="text1"/>
                <w:sz w:val="22"/>
                <w:szCs w:val="22"/>
              </w:rPr>
            </w:pPr>
          </w:p>
          <w:p w14:paraId="43081435" w14:textId="77777777" w:rsidR="00FA02F5" w:rsidRPr="00CF31E0" w:rsidRDefault="00FA02F5" w:rsidP="00FA02F5">
            <w:pPr>
              <w:rPr>
                <w:color w:val="000000" w:themeColor="text1"/>
                <w:sz w:val="22"/>
                <w:szCs w:val="22"/>
              </w:rPr>
            </w:pPr>
          </w:p>
          <w:p w14:paraId="27FBFB04" w14:textId="77777777" w:rsidR="00FA02F5" w:rsidRPr="00CF31E0" w:rsidRDefault="00FA02F5" w:rsidP="00FA02F5">
            <w:pPr>
              <w:rPr>
                <w:color w:val="000000" w:themeColor="text1"/>
                <w:sz w:val="22"/>
                <w:szCs w:val="22"/>
              </w:rPr>
            </w:pPr>
          </w:p>
          <w:p w14:paraId="08D9800E" w14:textId="77777777" w:rsidR="00FA02F5" w:rsidRPr="00CF31E0" w:rsidRDefault="00FA02F5" w:rsidP="00FA02F5">
            <w:pPr>
              <w:rPr>
                <w:color w:val="000000" w:themeColor="text1"/>
                <w:sz w:val="22"/>
                <w:szCs w:val="22"/>
              </w:rPr>
            </w:pPr>
          </w:p>
          <w:p w14:paraId="1B124406" w14:textId="77777777" w:rsidR="00FA02F5" w:rsidRPr="00CF31E0" w:rsidRDefault="00FA02F5" w:rsidP="00FA02F5">
            <w:pPr>
              <w:rPr>
                <w:color w:val="000000" w:themeColor="text1"/>
                <w:sz w:val="22"/>
                <w:szCs w:val="22"/>
              </w:rPr>
            </w:pPr>
            <w:r w:rsidRPr="00CF31E0">
              <w:rPr>
                <w:color w:val="000000" w:themeColor="text1"/>
                <w:sz w:val="22"/>
                <w:szCs w:val="22"/>
              </w:rPr>
              <w:t>VS5</w:t>
            </w:r>
          </w:p>
          <w:p w14:paraId="26C850BB" w14:textId="77777777" w:rsidR="00FA02F5" w:rsidRPr="00CF31E0" w:rsidRDefault="00FA02F5" w:rsidP="00FA02F5">
            <w:pPr>
              <w:jc w:val="right"/>
              <w:rPr>
                <w:color w:val="000000" w:themeColor="text1"/>
                <w:sz w:val="22"/>
                <w:szCs w:val="22"/>
              </w:rPr>
            </w:pPr>
          </w:p>
        </w:tc>
        <w:tc>
          <w:tcPr>
            <w:tcW w:w="2792" w:type="dxa"/>
          </w:tcPr>
          <w:p w14:paraId="6DCDD266" w14:textId="77777777" w:rsidR="00FA02F5" w:rsidRPr="00CF31E0" w:rsidRDefault="00FA02F5" w:rsidP="00FA02F5">
            <w:pPr>
              <w:rPr>
                <w:color w:val="000000" w:themeColor="text1"/>
                <w:sz w:val="22"/>
                <w:szCs w:val="22"/>
              </w:rPr>
            </w:pPr>
          </w:p>
          <w:p w14:paraId="0C0D834D" w14:textId="77777777" w:rsidR="00FA02F5" w:rsidRPr="00CF31E0" w:rsidRDefault="00FA02F5" w:rsidP="00FA02F5">
            <w:pPr>
              <w:rPr>
                <w:color w:val="000000" w:themeColor="text1"/>
                <w:sz w:val="22"/>
                <w:szCs w:val="22"/>
              </w:rPr>
            </w:pPr>
            <w:r w:rsidRPr="00CF31E0">
              <w:rPr>
                <w:color w:val="000000" w:themeColor="text1"/>
                <w:sz w:val="22"/>
                <w:szCs w:val="22"/>
              </w:rPr>
              <w:t>Serious</w:t>
            </w:r>
          </w:p>
        </w:tc>
        <w:tc>
          <w:tcPr>
            <w:tcW w:w="661" w:type="dxa"/>
          </w:tcPr>
          <w:p w14:paraId="7D72D831" w14:textId="77777777" w:rsidR="00FA02F5" w:rsidRPr="00CF31E0" w:rsidRDefault="00FA02F5" w:rsidP="00FA02F5">
            <w:pPr>
              <w:rPr>
                <w:color w:val="000000" w:themeColor="text1"/>
                <w:sz w:val="22"/>
                <w:szCs w:val="22"/>
              </w:rPr>
            </w:pPr>
          </w:p>
          <w:p w14:paraId="39DCCAFC" w14:textId="77777777" w:rsidR="00FA02F5" w:rsidRPr="00CF31E0" w:rsidRDefault="00FA02F5" w:rsidP="00FA02F5">
            <w:pPr>
              <w:jc w:val="center"/>
              <w:rPr>
                <w:color w:val="000000" w:themeColor="text1"/>
                <w:sz w:val="22"/>
                <w:szCs w:val="22"/>
              </w:rPr>
            </w:pPr>
            <w:r w:rsidRPr="00CF31E0">
              <w:rPr>
                <w:color w:val="000000" w:themeColor="text1"/>
                <w:sz w:val="22"/>
                <w:szCs w:val="22"/>
              </w:rPr>
              <w:t>1</w:t>
            </w:r>
          </w:p>
        </w:tc>
        <w:tc>
          <w:tcPr>
            <w:tcW w:w="662" w:type="dxa"/>
          </w:tcPr>
          <w:p w14:paraId="6663F0B3" w14:textId="77777777" w:rsidR="00FA02F5" w:rsidRPr="00CF31E0" w:rsidRDefault="00FA02F5" w:rsidP="00FA02F5">
            <w:pPr>
              <w:rPr>
                <w:color w:val="000000" w:themeColor="text1"/>
                <w:sz w:val="22"/>
                <w:szCs w:val="22"/>
              </w:rPr>
            </w:pPr>
          </w:p>
          <w:p w14:paraId="2315E3FD" w14:textId="77777777" w:rsidR="00FA02F5" w:rsidRPr="00CF31E0" w:rsidRDefault="00FA02F5" w:rsidP="00FA02F5">
            <w:pPr>
              <w:jc w:val="center"/>
              <w:rPr>
                <w:color w:val="000000" w:themeColor="text1"/>
                <w:sz w:val="22"/>
                <w:szCs w:val="22"/>
              </w:rPr>
            </w:pPr>
            <w:r w:rsidRPr="00CF31E0">
              <w:rPr>
                <w:color w:val="000000" w:themeColor="text1"/>
                <w:sz w:val="22"/>
                <w:szCs w:val="22"/>
              </w:rPr>
              <w:t>2</w:t>
            </w:r>
          </w:p>
        </w:tc>
        <w:tc>
          <w:tcPr>
            <w:tcW w:w="661" w:type="dxa"/>
          </w:tcPr>
          <w:p w14:paraId="19D81609" w14:textId="77777777" w:rsidR="00FA02F5" w:rsidRPr="00CF31E0" w:rsidRDefault="00FA02F5" w:rsidP="00FA02F5">
            <w:pPr>
              <w:rPr>
                <w:color w:val="000000" w:themeColor="text1"/>
                <w:sz w:val="22"/>
                <w:szCs w:val="22"/>
              </w:rPr>
            </w:pPr>
          </w:p>
          <w:p w14:paraId="11D228CB" w14:textId="77777777" w:rsidR="00FA02F5" w:rsidRPr="00CF31E0" w:rsidRDefault="00FA02F5" w:rsidP="00FA02F5">
            <w:pPr>
              <w:jc w:val="center"/>
              <w:rPr>
                <w:color w:val="000000" w:themeColor="text1"/>
                <w:sz w:val="22"/>
                <w:szCs w:val="22"/>
              </w:rPr>
            </w:pPr>
            <w:r w:rsidRPr="00CF31E0">
              <w:rPr>
                <w:color w:val="000000" w:themeColor="text1"/>
                <w:sz w:val="22"/>
                <w:szCs w:val="22"/>
              </w:rPr>
              <w:t>3</w:t>
            </w:r>
          </w:p>
        </w:tc>
        <w:tc>
          <w:tcPr>
            <w:tcW w:w="662" w:type="dxa"/>
          </w:tcPr>
          <w:p w14:paraId="4673BF33" w14:textId="77777777" w:rsidR="00FA02F5" w:rsidRPr="00CF31E0" w:rsidRDefault="00FA02F5" w:rsidP="00FA02F5">
            <w:pPr>
              <w:rPr>
                <w:color w:val="000000" w:themeColor="text1"/>
                <w:sz w:val="22"/>
                <w:szCs w:val="22"/>
              </w:rPr>
            </w:pPr>
          </w:p>
          <w:p w14:paraId="617ADDFE" w14:textId="77777777" w:rsidR="00FA02F5" w:rsidRPr="00CF31E0" w:rsidRDefault="00FA02F5" w:rsidP="00FA02F5">
            <w:pPr>
              <w:jc w:val="center"/>
              <w:rPr>
                <w:color w:val="000000" w:themeColor="text1"/>
                <w:sz w:val="22"/>
                <w:szCs w:val="22"/>
              </w:rPr>
            </w:pPr>
            <w:r w:rsidRPr="00CF31E0">
              <w:rPr>
                <w:color w:val="000000" w:themeColor="text1"/>
                <w:sz w:val="22"/>
                <w:szCs w:val="22"/>
              </w:rPr>
              <w:t>4</w:t>
            </w:r>
          </w:p>
        </w:tc>
        <w:tc>
          <w:tcPr>
            <w:tcW w:w="662" w:type="dxa"/>
          </w:tcPr>
          <w:p w14:paraId="41A34AA4" w14:textId="77777777" w:rsidR="00FA02F5" w:rsidRPr="00CF31E0" w:rsidRDefault="00FA02F5" w:rsidP="00FA02F5">
            <w:pPr>
              <w:rPr>
                <w:color w:val="000000" w:themeColor="text1"/>
                <w:sz w:val="22"/>
                <w:szCs w:val="22"/>
              </w:rPr>
            </w:pPr>
          </w:p>
          <w:p w14:paraId="3073489A" w14:textId="77777777" w:rsidR="00FA02F5" w:rsidRPr="00CF31E0" w:rsidRDefault="00FA02F5" w:rsidP="00FA02F5">
            <w:pPr>
              <w:jc w:val="center"/>
              <w:rPr>
                <w:color w:val="000000" w:themeColor="text1"/>
                <w:sz w:val="22"/>
                <w:szCs w:val="22"/>
              </w:rPr>
            </w:pPr>
            <w:r w:rsidRPr="00CF31E0">
              <w:rPr>
                <w:color w:val="000000" w:themeColor="text1"/>
                <w:sz w:val="22"/>
                <w:szCs w:val="22"/>
              </w:rPr>
              <w:t>5</w:t>
            </w:r>
          </w:p>
        </w:tc>
      </w:tr>
      <w:tr w:rsidR="008A1A4E" w:rsidRPr="00CF31E0" w14:paraId="545B6A98" w14:textId="77777777" w:rsidTr="00603CB7">
        <w:trPr>
          <w:trHeight w:val="724"/>
        </w:trPr>
        <w:tc>
          <w:tcPr>
            <w:tcW w:w="1711" w:type="dxa"/>
            <w:vMerge/>
          </w:tcPr>
          <w:p w14:paraId="26CD42D6" w14:textId="77777777" w:rsidR="00FA02F5" w:rsidRPr="00CF31E0" w:rsidRDefault="00FA02F5" w:rsidP="00FA02F5">
            <w:pPr>
              <w:rPr>
                <w:color w:val="000000" w:themeColor="text1"/>
                <w:sz w:val="22"/>
                <w:szCs w:val="22"/>
              </w:rPr>
            </w:pPr>
          </w:p>
        </w:tc>
        <w:tc>
          <w:tcPr>
            <w:tcW w:w="2792" w:type="dxa"/>
          </w:tcPr>
          <w:p w14:paraId="2B89DE3D" w14:textId="77777777" w:rsidR="00FA02F5" w:rsidRPr="00CF31E0" w:rsidRDefault="00FA02F5" w:rsidP="00FA02F5">
            <w:pPr>
              <w:rPr>
                <w:color w:val="000000" w:themeColor="text1"/>
                <w:sz w:val="22"/>
                <w:szCs w:val="22"/>
              </w:rPr>
            </w:pPr>
          </w:p>
          <w:p w14:paraId="631FA379" w14:textId="77777777" w:rsidR="00FA02F5" w:rsidRPr="00CF31E0" w:rsidRDefault="00FA02F5" w:rsidP="00FA02F5">
            <w:pPr>
              <w:rPr>
                <w:color w:val="000000" w:themeColor="text1"/>
                <w:sz w:val="22"/>
                <w:szCs w:val="22"/>
              </w:rPr>
            </w:pPr>
            <w:r w:rsidRPr="00CF31E0">
              <w:rPr>
                <w:color w:val="000000" w:themeColor="text1"/>
                <w:sz w:val="22"/>
                <w:szCs w:val="22"/>
              </w:rPr>
              <w:t>Traditional</w:t>
            </w:r>
          </w:p>
        </w:tc>
        <w:tc>
          <w:tcPr>
            <w:tcW w:w="661" w:type="dxa"/>
          </w:tcPr>
          <w:p w14:paraId="4FCF4694" w14:textId="77777777" w:rsidR="00FA02F5" w:rsidRPr="00CF31E0" w:rsidRDefault="00FA02F5" w:rsidP="00FA02F5">
            <w:pPr>
              <w:rPr>
                <w:color w:val="000000" w:themeColor="text1"/>
                <w:sz w:val="22"/>
                <w:szCs w:val="22"/>
              </w:rPr>
            </w:pPr>
          </w:p>
          <w:p w14:paraId="5DD36BA3" w14:textId="77777777" w:rsidR="00FA02F5" w:rsidRPr="00CF31E0" w:rsidRDefault="00FA02F5" w:rsidP="00FA02F5">
            <w:pPr>
              <w:jc w:val="center"/>
              <w:rPr>
                <w:color w:val="000000" w:themeColor="text1"/>
                <w:sz w:val="22"/>
                <w:szCs w:val="22"/>
              </w:rPr>
            </w:pPr>
            <w:r w:rsidRPr="00CF31E0">
              <w:rPr>
                <w:color w:val="000000" w:themeColor="text1"/>
                <w:sz w:val="22"/>
                <w:szCs w:val="22"/>
              </w:rPr>
              <w:t>1</w:t>
            </w:r>
          </w:p>
        </w:tc>
        <w:tc>
          <w:tcPr>
            <w:tcW w:w="662" w:type="dxa"/>
          </w:tcPr>
          <w:p w14:paraId="12D53E2F" w14:textId="77777777" w:rsidR="00FA02F5" w:rsidRPr="00CF31E0" w:rsidRDefault="00FA02F5" w:rsidP="00FA02F5">
            <w:pPr>
              <w:rPr>
                <w:color w:val="000000" w:themeColor="text1"/>
                <w:sz w:val="22"/>
                <w:szCs w:val="22"/>
              </w:rPr>
            </w:pPr>
          </w:p>
          <w:p w14:paraId="19BF4F1E" w14:textId="77777777" w:rsidR="00FA02F5" w:rsidRPr="00CF31E0" w:rsidRDefault="00FA02F5" w:rsidP="00FA02F5">
            <w:pPr>
              <w:jc w:val="center"/>
              <w:rPr>
                <w:color w:val="000000" w:themeColor="text1"/>
                <w:sz w:val="22"/>
                <w:szCs w:val="22"/>
              </w:rPr>
            </w:pPr>
            <w:r w:rsidRPr="00CF31E0">
              <w:rPr>
                <w:color w:val="000000" w:themeColor="text1"/>
                <w:sz w:val="22"/>
                <w:szCs w:val="22"/>
              </w:rPr>
              <w:t>2</w:t>
            </w:r>
          </w:p>
        </w:tc>
        <w:tc>
          <w:tcPr>
            <w:tcW w:w="661" w:type="dxa"/>
          </w:tcPr>
          <w:p w14:paraId="5B4AF4A9" w14:textId="77777777" w:rsidR="00FA02F5" w:rsidRPr="00CF31E0" w:rsidRDefault="00FA02F5" w:rsidP="00FA02F5">
            <w:pPr>
              <w:rPr>
                <w:color w:val="000000" w:themeColor="text1"/>
                <w:sz w:val="22"/>
                <w:szCs w:val="22"/>
              </w:rPr>
            </w:pPr>
          </w:p>
          <w:p w14:paraId="6598CB2A" w14:textId="77777777" w:rsidR="00FA02F5" w:rsidRPr="00CF31E0" w:rsidRDefault="00FA02F5" w:rsidP="00FA02F5">
            <w:pPr>
              <w:jc w:val="center"/>
              <w:rPr>
                <w:color w:val="000000" w:themeColor="text1"/>
                <w:sz w:val="22"/>
                <w:szCs w:val="22"/>
              </w:rPr>
            </w:pPr>
            <w:r w:rsidRPr="00CF31E0">
              <w:rPr>
                <w:color w:val="000000" w:themeColor="text1"/>
                <w:sz w:val="22"/>
                <w:szCs w:val="22"/>
              </w:rPr>
              <w:t>3</w:t>
            </w:r>
          </w:p>
        </w:tc>
        <w:tc>
          <w:tcPr>
            <w:tcW w:w="662" w:type="dxa"/>
          </w:tcPr>
          <w:p w14:paraId="31B6E6F2" w14:textId="77777777" w:rsidR="00FA02F5" w:rsidRPr="00CF31E0" w:rsidRDefault="00FA02F5" w:rsidP="00FA02F5">
            <w:pPr>
              <w:rPr>
                <w:color w:val="000000" w:themeColor="text1"/>
                <w:sz w:val="22"/>
                <w:szCs w:val="22"/>
              </w:rPr>
            </w:pPr>
          </w:p>
          <w:p w14:paraId="50C69FD7" w14:textId="77777777" w:rsidR="00FA02F5" w:rsidRPr="00CF31E0" w:rsidRDefault="00FA02F5" w:rsidP="00FA02F5">
            <w:pPr>
              <w:jc w:val="center"/>
              <w:rPr>
                <w:color w:val="000000" w:themeColor="text1"/>
                <w:sz w:val="22"/>
                <w:szCs w:val="22"/>
              </w:rPr>
            </w:pPr>
            <w:r w:rsidRPr="00CF31E0">
              <w:rPr>
                <w:color w:val="000000" w:themeColor="text1"/>
                <w:sz w:val="22"/>
                <w:szCs w:val="22"/>
              </w:rPr>
              <w:t>4</w:t>
            </w:r>
          </w:p>
        </w:tc>
        <w:tc>
          <w:tcPr>
            <w:tcW w:w="662" w:type="dxa"/>
          </w:tcPr>
          <w:p w14:paraId="6EEED158" w14:textId="77777777" w:rsidR="00FA02F5" w:rsidRPr="00CF31E0" w:rsidRDefault="00FA02F5" w:rsidP="00FA02F5">
            <w:pPr>
              <w:jc w:val="center"/>
              <w:rPr>
                <w:color w:val="000000" w:themeColor="text1"/>
                <w:sz w:val="22"/>
                <w:szCs w:val="22"/>
              </w:rPr>
            </w:pPr>
          </w:p>
          <w:p w14:paraId="5AE21FCB" w14:textId="77777777" w:rsidR="00FA02F5" w:rsidRPr="00CF31E0" w:rsidRDefault="00FA02F5" w:rsidP="00FA02F5">
            <w:pPr>
              <w:jc w:val="center"/>
              <w:rPr>
                <w:color w:val="000000" w:themeColor="text1"/>
                <w:sz w:val="22"/>
                <w:szCs w:val="22"/>
              </w:rPr>
            </w:pPr>
            <w:r w:rsidRPr="00CF31E0">
              <w:rPr>
                <w:color w:val="000000" w:themeColor="text1"/>
                <w:sz w:val="22"/>
                <w:szCs w:val="22"/>
              </w:rPr>
              <w:t>5</w:t>
            </w:r>
          </w:p>
          <w:p w14:paraId="2FEA8E22" w14:textId="77777777" w:rsidR="00FA02F5" w:rsidRPr="00CF31E0" w:rsidRDefault="00FA02F5" w:rsidP="00FA02F5">
            <w:pPr>
              <w:rPr>
                <w:color w:val="000000" w:themeColor="text1"/>
                <w:sz w:val="22"/>
                <w:szCs w:val="22"/>
              </w:rPr>
            </w:pPr>
          </w:p>
        </w:tc>
      </w:tr>
      <w:tr w:rsidR="008A1A4E" w:rsidRPr="00CF31E0" w14:paraId="5E62ABE1" w14:textId="77777777" w:rsidTr="00603CB7">
        <w:trPr>
          <w:trHeight w:val="699"/>
        </w:trPr>
        <w:tc>
          <w:tcPr>
            <w:tcW w:w="1711" w:type="dxa"/>
            <w:vMerge w:val="restart"/>
          </w:tcPr>
          <w:p w14:paraId="5215248E" w14:textId="77777777" w:rsidR="00FA02F5" w:rsidRPr="00CF31E0" w:rsidRDefault="00FA02F5" w:rsidP="00FA02F5">
            <w:pPr>
              <w:rPr>
                <w:color w:val="000000" w:themeColor="text1"/>
                <w:sz w:val="22"/>
                <w:szCs w:val="22"/>
              </w:rPr>
            </w:pPr>
          </w:p>
        </w:tc>
        <w:tc>
          <w:tcPr>
            <w:tcW w:w="2792" w:type="dxa"/>
          </w:tcPr>
          <w:p w14:paraId="1028458A" w14:textId="77777777" w:rsidR="00FA02F5" w:rsidRPr="00CF31E0" w:rsidRDefault="00FA02F5" w:rsidP="00FA02F5">
            <w:pPr>
              <w:rPr>
                <w:color w:val="000000" w:themeColor="text1"/>
                <w:sz w:val="22"/>
                <w:szCs w:val="22"/>
              </w:rPr>
            </w:pPr>
          </w:p>
          <w:p w14:paraId="74006C76" w14:textId="77777777" w:rsidR="00FA02F5" w:rsidRPr="00CF31E0" w:rsidRDefault="00FA02F5" w:rsidP="00FA02F5">
            <w:pPr>
              <w:rPr>
                <w:color w:val="000000" w:themeColor="text1"/>
                <w:sz w:val="22"/>
                <w:szCs w:val="22"/>
              </w:rPr>
            </w:pPr>
            <w:r w:rsidRPr="00CF31E0">
              <w:rPr>
                <w:color w:val="000000" w:themeColor="text1"/>
                <w:sz w:val="22"/>
                <w:szCs w:val="22"/>
              </w:rPr>
              <w:t>Similar to other Arabic dialects</w:t>
            </w:r>
          </w:p>
        </w:tc>
        <w:tc>
          <w:tcPr>
            <w:tcW w:w="661" w:type="dxa"/>
          </w:tcPr>
          <w:p w14:paraId="4F4DE6F3" w14:textId="77777777" w:rsidR="00FA02F5" w:rsidRPr="00CF31E0" w:rsidRDefault="00FA02F5" w:rsidP="00FA02F5">
            <w:pPr>
              <w:rPr>
                <w:color w:val="000000" w:themeColor="text1"/>
                <w:sz w:val="22"/>
                <w:szCs w:val="22"/>
              </w:rPr>
            </w:pPr>
          </w:p>
          <w:p w14:paraId="7AA1CA52" w14:textId="77777777" w:rsidR="00FA02F5" w:rsidRPr="00CF31E0" w:rsidRDefault="00FA02F5" w:rsidP="00FA02F5">
            <w:pPr>
              <w:jc w:val="center"/>
              <w:rPr>
                <w:color w:val="000000" w:themeColor="text1"/>
                <w:sz w:val="22"/>
                <w:szCs w:val="22"/>
              </w:rPr>
            </w:pPr>
            <w:r w:rsidRPr="00CF31E0">
              <w:rPr>
                <w:color w:val="000000" w:themeColor="text1"/>
                <w:sz w:val="22"/>
                <w:szCs w:val="22"/>
              </w:rPr>
              <w:t>1</w:t>
            </w:r>
          </w:p>
        </w:tc>
        <w:tc>
          <w:tcPr>
            <w:tcW w:w="662" w:type="dxa"/>
          </w:tcPr>
          <w:p w14:paraId="2BDBA806" w14:textId="77777777" w:rsidR="00FA02F5" w:rsidRPr="00CF31E0" w:rsidRDefault="00FA02F5" w:rsidP="00FA02F5">
            <w:pPr>
              <w:rPr>
                <w:color w:val="000000" w:themeColor="text1"/>
                <w:sz w:val="22"/>
                <w:szCs w:val="22"/>
              </w:rPr>
            </w:pPr>
          </w:p>
          <w:p w14:paraId="24C9A7CD" w14:textId="77777777" w:rsidR="00FA02F5" w:rsidRPr="00CF31E0" w:rsidRDefault="00FA02F5" w:rsidP="00FA02F5">
            <w:pPr>
              <w:jc w:val="center"/>
              <w:rPr>
                <w:color w:val="000000" w:themeColor="text1"/>
                <w:sz w:val="22"/>
                <w:szCs w:val="22"/>
              </w:rPr>
            </w:pPr>
            <w:r w:rsidRPr="00CF31E0">
              <w:rPr>
                <w:color w:val="000000" w:themeColor="text1"/>
                <w:sz w:val="22"/>
                <w:szCs w:val="22"/>
              </w:rPr>
              <w:t>2</w:t>
            </w:r>
          </w:p>
        </w:tc>
        <w:tc>
          <w:tcPr>
            <w:tcW w:w="661" w:type="dxa"/>
          </w:tcPr>
          <w:p w14:paraId="67373119" w14:textId="77777777" w:rsidR="00FA02F5" w:rsidRPr="00CF31E0" w:rsidRDefault="00FA02F5" w:rsidP="00FA02F5">
            <w:pPr>
              <w:rPr>
                <w:color w:val="000000" w:themeColor="text1"/>
                <w:sz w:val="22"/>
                <w:szCs w:val="22"/>
              </w:rPr>
            </w:pPr>
          </w:p>
          <w:p w14:paraId="4B636CD0" w14:textId="77777777" w:rsidR="00FA02F5" w:rsidRPr="00CF31E0" w:rsidRDefault="00FA02F5" w:rsidP="00FA02F5">
            <w:pPr>
              <w:jc w:val="center"/>
              <w:rPr>
                <w:color w:val="000000" w:themeColor="text1"/>
                <w:sz w:val="22"/>
                <w:szCs w:val="22"/>
              </w:rPr>
            </w:pPr>
            <w:r w:rsidRPr="00CF31E0">
              <w:rPr>
                <w:color w:val="000000" w:themeColor="text1"/>
                <w:sz w:val="22"/>
                <w:szCs w:val="22"/>
              </w:rPr>
              <w:t>3</w:t>
            </w:r>
          </w:p>
        </w:tc>
        <w:tc>
          <w:tcPr>
            <w:tcW w:w="662" w:type="dxa"/>
          </w:tcPr>
          <w:p w14:paraId="40525482" w14:textId="77777777" w:rsidR="00FA02F5" w:rsidRPr="00CF31E0" w:rsidRDefault="00FA02F5" w:rsidP="00FA02F5">
            <w:pPr>
              <w:rPr>
                <w:color w:val="000000" w:themeColor="text1"/>
                <w:sz w:val="22"/>
                <w:szCs w:val="22"/>
              </w:rPr>
            </w:pPr>
          </w:p>
          <w:p w14:paraId="3180DD1D" w14:textId="77777777" w:rsidR="00FA02F5" w:rsidRPr="00CF31E0" w:rsidRDefault="00FA02F5" w:rsidP="00FA02F5">
            <w:pPr>
              <w:jc w:val="center"/>
              <w:rPr>
                <w:color w:val="000000" w:themeColor="text1"/>
                <w:sz w:val="22"/>
                <w:szCs w:val="22"/>
              </w:rPr>
            </w:pPr>
            <w:r w:rsidRPr="00CF31E0">
              <w:rPr>
                <w:color w:val="000000" w:themeColor="text1"/>
                <w:sz w:val="22"/>
                <w:szCs w:val="22"/>
              </w:rPr>
              <w:t>4</w:t>
            </w:r>
          </w:p>
        </w:tc>
        <w:tc>
          <w:tcPr>
            <w:tcW w:w="662" w:type="dxa"/>
          </w:tcPr>
          <w:p w14:paraId="37AF6BDD" w14:textId="77777777" w:rsidR="00FA02F5" w:rsidRPr="00CF31E0" w:rsidRDefault="00FA02F5" w:rsidP="00FA02F5">
            <w:pPr>
              <w:rPr>
                <w:color w:val="000000" w:themeColor="text1"/>
                <w:sz w:val="22"/>
                <w:szCs w:val="22"/>
              </w:rPr>
            </w:pPr>
          </w:p>
          <w:p w14:paraId="5FC9DE51" w14:textId="77777777" w:rsidR="00FA02F5" w:rsidRPr="00CF31E0" w:rsidRDefault="00FA02F5" w:rsidP="00FA02F5">
            <w:pPr>
              <w:jc w:val="center"/>
              <w:rPr>
                <w:color w:val="000000" w:themeColor="text1"/>
                <w:sz w:val="22"/>
                <w:szCs w:val="22"/>
              </w:rPr>
            </w:pPr>
            <w:r w:rsidRPr="00CF31E0">
              <w:rPr>
                <w:color w:val="000000" w:themeColor="text1"/>
                <w:sz w:val="22"/>
                <w:szCs w:val="22"/>
              </w:rPr>
              <w:t>5</w:t>
            </w:r>
          </w:p>
        </w:tc>
      </w:tr>
      <w:tr w:rsidR="00FA02F5" w:rsidRPr="00CF31E0" w14:paraId="413201D6" w14:textId="77777777" w:rsidTr="00603CB7">
        <w:trPr>
          <w:trHeight w:val="724"/>
        </w:trPr>
        <w:tc>
          <w:tcPr>
            <w:tcW w:w="1711" w:type="dxa"/>
            <w:vMerge/>
          </w:tcPr>
          <w:p w14:paraId="0A68CA82" w14:textId="77777777" w:rsidR="00FA02F5" w:rsidRPr="00CF31E0" w:rsidRDefault="00FA02F5" w:rsidP="00FA02F5">
            <w:pPr>
              <w:rPr>
                <w:color w:val="000000" w:themeColor="text1"/>
                <w:sz w:val="22"/>
                <w:szCs w:val="22"/>
              </w:rPr>
            </w:pPr>
          </w:p>
        </w:tc>
        <w:tc>
          <w:tcPr>
            <w:tcW w:w="2792" w:type="dxa"/>
          </w:tcPr>
          <w:p w14:paraId="712D82B0" w14:textId="77777777" w:rsidR="00FA02F5" w:rsidRPr="00CF31E0" w:rsidRDefault="00FA02F5" w:rsidP="00FA02F5">
            <w:pPr>
              <w:rPr>
                <w:color w:val="000000" w:themeColor="text1"/>
                <w:sz w:val="22"/>
                <w:szCs w:val="22"/>
              </w:rPr>
            </w:pPr>
          </w:p>
          <w:p w14:paraId="79FB933E" w14:textId="77777777" w:rsidR="00FA02F5" w:rsidRPr="00CF31E0" w:rsidRDefault="00FA02F5" w:rsidP="00FA02F5">
            <w:pPr>
              <w:rPr>
                <w:color w:val="000000" w:themeColor="text1"/>
                <w:sz w:val="22"/>
                <w:szCs w:val="22"/>
              </w:rPr>
            </w:pPr>
            <w:r w:rsidRPr="00CF31E0">
              <w:rPr>
                <w:color w:val="000000" w:themeColor="text1"/>
                <w:sz w:val="22"/>
                <w:szCs w:val="22"/>
              </w:rPr>
              <w:t>Modern</w:t>
            </w:r>
          </w:p>
        </w:tc>
        <w:tc>
          <w:tcPr>
            <w:tcW w:w="661" w:type="dxa"/>
          </w:tcPr>
          <w:p w14:paraId="434CB4B9" w14:textId="77777777" w:rsidR="00FA02F5" w:rsidRPr="00CF31E0" w:rsidRDefault="00FA02F5" w:rsidP="00FA02F5">
            <w:pPr>
              <w:rPr>
                <w:color w:val="000000" w:themeColor="text1"/>
                <w:sz w:val="22"/>
                <w:szCs w:val="22"/>
              </w:rPr>
            </w:pPr>
          </w:p>
          <w:p w14:paraId="70BDF924" w14:textId="77777777" w:rsidR="00FA02F5" w:rsidRPr="00CF31E0" w:rsidRDefault="00FA02F5" w:rsidP="00FA02F5">
            <w:pPr>
              <w:jc w:val="center"/>
              <w:rPr>
                <w:color w:val="000000" w:themeColor="text1"/>
                <w:sz w:val="22"/>
                <w:szCs w:val="22"/>
              </w:rPr>
            </w:pPr>
            <w:r w:rsidRPr="00CF31E0">
              <w:rPr>
                <w:color w:val="000000" w:themeColor="text1"/>
                <w:sz w:val="22"/>
                <w:szCs w:val="22"/>
              </w:rPr>
              <w:t>1</w:t>
            </w:r>
          </w:p>
        </w:tc>
        <w:tc>
          <w:tcPr>
            <w:tcW w:w="662" w:type="dxa"/>
          </w:tcPr>
          <w:p w14:paraId="430BD569" w14:textId="77777777" w:rsidR="00FA02F5" w:rsidRPr="00CF31E0" w:rsidRDefault="00FA02F5" w:rsidP="00FA02F5">
            <w:pPr>
              <w:rPr>
                <w:color w:val="000000" w:themeColor="text1"/>
                <w:sz w:val="22"/>
                <w:szCs w:val="22"/>
              </w:rPr>
            </w:pPr>
          </w:p>
          <w:p w14:paraId="3806F63C" w14:textId="77777777" w:rsidR="00FA02F5" w:rsidRPr="00CF31E0" w:rsidRDefault="00FA02F5" w:rsidP="00FA02F5">
            <w:pPr>
              <w:jc w:val="center"/>
              <w:rPr>
                <w:color w:val="000000" w:themeColor="text1"/>
                <w:sz w:val="22"/>
                <w:szCs w:val="22"/>
              </w:rPr>
            </w:pPr>
            <w:r w:rsidRPr="00CF31E0">
              <w:rPr>
                <w:color w:val="000000" w:themeColor="text1"/>
                <w:sz w:val="22"/>
                <w:szCs w:val="22"/>
              </w:rPr>
              <w:t>2</w:t>
            </w:r>
          </w:p>
        </w:tc>
        <w:tc>
          <w:tcPr>
            <w:tcW w:w="661" w:type="dxa"/>
          </w:tcPr>
          <w:p w14:paraId="7E213482" w14:textId="77777777" w:rsidR="00FA02F5" w:rsidRPr="00CF31E0" w:rsidRDefault="00FA02F5" w:rsidP="00FA02F5">
            <w:pPr>
              <w:rPr>
                <w:color w:val="000000" w:themeColor="text1"/>
                <w:sz w:val="22"/>
                <w:szCs w:val="22"/>
              </w:rPr>
            </w:pPr>
          </w:p>
          <w:p w14:paraId="5AE861D3" w14:textId="77777777" w:rsidR="00FA02F5" w:rsidRPr="00CF31E0" w:rsidRDefault="00FA02F5" w:rsidP="00FA02F5">
            <w:pPr>
              <w:jc w:val="center"/>
              <w:rPr>
                <w:color w:val="000000" w:themeColor="text1"/>
                <w:sz w:val="22"/>
                <w:szCs w:val="22"/>
              </w:rPr>
            </w:pPr>
            <w:r w:rsidRPr="00CF31E0">
              <w:rPr>
                <w:color w:val="000000" w:themeColor="text1"/>
                <w:sz w:val="22"/>
                <w:szCs w:val="22"/>
              </w:rPr>
              <w:t>3</w:t>
            </w:r>
          </w:p>
        </w:tc>
        <w:tc>
          <w:tcPr>
            <w:tcW w:w="662" w:type="dxa"/>
          </w:tcPr>
          <w:p w14:paraId="1FFDCC92" w14:textId="77777777" w:rsidR="00FA02F5" w:rsidRPr="00CF31E0" w:rsidRDefault="00FA02F5" w:rsidP="00FA02F5">
            <w:pPr>
              <w:rPr>
                <w:color w:val="000000" w:themeColor="text1"/>
                <w:sz w:val="22"/>
                <w:szCs w:val="22"/>
              </w:rPr>
            </w:pPr>
          </w:p>
          <w:p w14:paraId="669DCC9C" w14:textId="77777777" w:rsidR="00FA02F5" w:rsidRPr="00CF31E0" w:rsidRDefault="00FA02F5" w:rsidP="00FA02F5">
            <w:pPr>
              <w:jc w:val="center"/>
              <w:rPr>
                <w:color w:val="000000" w:themeColor="text1"/>
                <w:sz w:val="22"/>
                <w:szCs w:val="22"/>
              </w:rPr>
            </w:pPr>
            <w:r w:rsidRPr="00CF31E0">
              <w:rPr>
                <w:color w:val="000000" w:themeColor="text1"/>
                <w:sz w:val="22"/>
                <w:szCs w:val="22"/>
              </w:rPr>
              <w:t>4</w:t>
            </w:r>
          </w:p>
        </w:tc>
        <w:tc>
          <w:tcPr>
            <w:tcW w:w="662" w:type="dxa"/>
          </w:tcPr>
          <w:p w14:paraId="4EBF7921" w14:textId="77777777" w:rsidR="00FA02F5" w:rsidRPr="00CF31E0" w:rsidRDefault="00FA02F5" w:rsidP="00FA02F5">
            <w:pPr>
              <w:jc w:val="center"/>
              <w:rPr>
                <w:color w:val="000000" w:themeColor="text1"/>
                <w:sz w:val="22"/>
                <w:szCs w:val="22"/>
              </w:rPr>
            </w:pPr>
          </w:p>
          <w:p w14:paraId="2296B584" w14:textId="77777777" w:rsidR="00FA02F5" w:rsidRPr="00CF31E0" w:rsidRDefault="00FA02F5" w:rsidP="00FA02F5">
            <w:pPr>
              <w:jc w:val="center"/>
              <w:rPr>
                <w:color w:val="000000" w:themeColor="text1"/>
                <w:sz w:val="22"/>
                <w:szCs w:val="22"/>
              </w:rPr>
            </w:pPr>
            <w:r w:rsidRPr="00CF31E0">
              <w:rPr>
                <w:color w:val="000000" w:themeColor="text1"/>
                <w:sz w:val="22"/>
                <w:szCs w:val="22"/>
              </w:rPr>
              <w:t>5</w:t>
            </w:r>
          </w:p>
          <w:p w14:paraId="0ABE4A38" w14:textId="77777777" w:rsidR="00FA02F5" w:rsidRPr="00CF31E0" w:rsidRDefault="00FA02F5" w:rsidP="00FA02F5">
            <w:pPr>
              <w:rPr>
                <w:color w:val="000000" w:themeColor="text1"/>
                <w:sz w:val="22"/>
                <w:szCs w:val="22"/>
              </w:rPr>
            </w:pPr>
          </w:p>
        </w:tc>
      </w:tr>
    </w:tbl>
    <w:p w14:paraId="47561AEE" w14:textId="1ED83474" w:rsidR="00FD2074" w:rsidRPr="00CF31E0" w:rsidRDefault="00FD2074" w:rsidP="00603CB7">
      <w:pPr>
        <w:pStyle w:val="Title"/>
        <w:rPr>
          <w:color w:val="000000" w:themeColor="text1"/>
          <w:lang w:eastAsia="en-US"/>
        </w:rPr>
      </w:pPr>
    </w:p>
    <w:p w14:paraId="4D53F267" w14:textId="77777777" w:rsidR="00FD2074" w:rsidRPr="00CF31E0" w:rsidRDefault="00FD2074" w:rsidP="00603CB7">
      <w:pPr>
        <w:pStyle w:val="Title"/>
        <w:rPr>
          <w:color w:val="000000" w:themeColor="text1"/>
          <w:lang w:eastAsia="en-US"/>
        </w:rPr>
      </w:pPr>
    </w:p>
    <w:p w14:paraId="2887405F" w14:textId="77777777" w:rsidR="00FD2074" w:rsidRPr="00CF31E0" w:rsidRDefault="00FD2074" w:rsidP="00603CB7">
      <w:pPr>
        <w:pStyle w:val="Title"/>
        <w:rPr>
          <w:color w:val="000000" w:themeColor="text1"/>
          <w:lang w:eastAsia="en-US"/>
        </w:rPr>
      </w:pPr>
    </w:p>
    <w:p w14:paraId="67BD4604" w14:textId="77777777" w:rsidR="00FD2074" w:rsidRPr="00CF31E0" w:rsidRDefault="00FD2074" w:rsidP="00603CB7">
      <w:pPr>
        <w:pStyle w:val="Title"/>
        <w:rPr>
          <w:color w:val="000000" w:themeColor="text1"/>
          <w:lang w:eastAsia="en-US"/>
        </w:rPr>
      </w:pPr>
    </w:p>
    <w:p w14:paraId="2F1F5B4A" w14:textId="0E67001B" w:rsidR="00C90CEE" w:rsidRPr="00CF31E0" w:rsidRDefault="00C90CEE" w:rsidP="00603CB7">
      <w:pPr>
        <w:pStyle w:val="Title"/>
        <w:spacing w:after="400"/>
        <w:contextualSpacing w:val="0"/>
        <w:rPr>
          <w:color w:val="000000" w:themeColor="text1"/>
          <w:lang w:eastAsia="en-US"/>
        </w:rPr>
      </w:pPr>
      <w:bookmarkStart w:id="1219" w:name="_Toc6472843"/>
      <w:r w:rsidRPr="00CF31E0">
        <w:rPr>
          <w:color w:val="000000" w:themeColor="text1"/>
          <w:lang w:eastAsia="en-US"/>
        </w:rPr>
        <w:lastRenderedPageBreak/>
        <w:t>Appendix 2</w:t>
      </w:r>
      <w:r w:rsidR="002940F0" w:rsidRPr="00CF31E0">
        <w:rPr>
          <w:color w:val="000000" w:themeColor="text1"/>
          <w:lang w:eastAsia="en-US"/>
        </w:rPr>
        <w:t>: RQ</w:t>
      </w:r>
      <w:r w:rsidR="008C00D8" w:rsidRPr="00CF31E0">
        <w:rPr>
          <w:color w:val="000000" w:themeColor="text1"/>
          <w:lang w:eastAsia="en-US"/>
        </w:rPr>
        <w:t>1 results</w:t>
      </w:r>
      <w:bookmarkEnd w:id="1219"/>
    </w:p>
    <w:p w14:paraId="1D1A903C" w14:textId="77777777" w:rsidR="00BE51ED" w:rsidRPr="00CF31E0" w:rsidRDefault="00BE51ED" w:rsidP="00BE51ED">
      <w:pPr>
        <w:rPr>
          <w:rFonts w:eastAsia="MS Mincho"/>
          <w:b/>
          <w:bCs/>
          <w:color w:val="000000" w:themeColor="text1"/>
        </w:rPr>
      </w:pPr>
      <w:r w:rsidRPr="00CF31E0">
        <w:rPr>
          <w:rFonts w:eastAsia="MS Mincho"/>
          <w:b/>
          <w:color w:val="000000" w:themeColor="text1"/>
        </w:rPr>
        <w:t>Q1:</w:t>
      </w:r>
      <w:r w:rsidRPr="00CF31E0">
        <w:rPr>
          <w:rFonts w:eastAsia="MS Mincho"/>
          <w:color w:val="000000" w:themeColor="text1"/>
        </w:rPr>
        <w:t xml:space="preserve"> </w:t>
      </w:r>
      <w:r w:rsidRPr="00CF31E0">
        <w:rPr>
          <w:rFonts w:eastAsia="MS Mincho"/>
          <w:b/>
          <w:bCs/>
          <w:color w:val="000000" w:themeColor="text1"/>
        </w:rPr>
        <w:t xml:space="preserve">What does the Hijazi dialect refer to? </w:t>
      </w:r>
    </w:p>
    <w:p w14:paraId="7EF877D8" w14:textId="77777777" w:rsidR="00BE51ED" w:rsidRPr="00CF31E0" w:rsidRDefault="00BE51ED" w:rsidP="00DF1804">
      <w:pPr>
        <w:rPr>
          <w:color w:val="000000" w:themeColor="text1"/>
          <w:lang w:eastAsia="en-US"/>
        </w:rPr>
      </w:pPr>
    </w:p>
    <w:tbl>
      <w:tblPr>
        <w:tblW w:w="6714" w:type="dxa"/>
        <w:tblLayout w:type="fixed"/>
        <w:tblLook w:val="04A0" w:firstRow="1" w:lastRow="0" w:firstColumn="1" w:lastColumn="0" w:noHBand="0" w:noVBand="1"/>
      </w:tblPr>
      <w:tblGrid>
        <w:gridCol w:w="2235"/>
        <w:gridCol w:w="1134"/>
        <w:gridCol w:w="3345"/>
      </w:tblGrid>
      <w:tr w:rsidR="00067160" w:rsidRPr="00CF31E0" w14:paraId="7241EFAC" w14:textId="77777777" w:rsidTr="00067160">
        <w:trPr>
          <w:trHeight w:val="567"/>
        </w:trPr>
        <w:tc>
          <w:tcPr>
            <w:tcW w:w="2235" w:type="dxa"/>
            <w:tcBorders>
              <w:top w:val="single" w:sz="8" w:space="0" w:color="auto"/>
              <w:bottom w:val="single" w:sz="8" w:space="0" w:color="auto"/>
            </w:tcBorders>
            <w:shd w:val="clear" w:color="auto" w:fill="auto"/>
            <w:hideMark/>
          </w:tcPr>
          <w:p w14:paraId="6EDCEC3A"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Place of birth</w:t>
            </w:r>
          </w:p>
        </w:tc>
        <w:tc>
          <w:tcPr>
            <w:tcW w:w="1134" w:type="dxa"/>
            <w:tcBorders>
              <w:top w:val="single" w:sz="8" w:space="0" w:color="auto"/>
              <w:bottom w:val="single" w:sz="8" w:space="0" w:color="auto"/>
            </w:tcBorders>
            <w:shd w:val="clear" w:color="auto" w:fill="auto"/>
            <w:hideMark/>
          </w:tcPr>
          <w:p w14:paraId="2C5F529A"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345" w:type="dxa"/>
            <w:tcBorders>
              <w:top w:val="single" w:sz="8" w:space="0" w:color="auto"/>
              <w:bottom w:val="single" w:sz="8" w:space="0" w:color="auto"/>
            </w:tcBorders>
            <w:shd w:val="clear" w:color="auto" w:fill="auto"/>
          </w:tcPr>
          <w:p w14:paraId="2BBFA5A2"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067160" w:rsidRPr="00CF31E0" w14:paraId="3B77AA58" w14:textId="77777777" w:rsidTr="00067160">
        <w:trPr>
          <w:trHeight w:val="567"/>
        </w:trPr>
        <w:tc>
          <w:tcPr>
            <w:tcW w:w="2235" w:type="dxa"/>
            <w:tcBorders>
              <w:top w:val="single" w:sz="8" w:space="0" w:color="auto"/>
            </w:tcBorders>
            <w:shd w:val="clear" w:color="auto" w:fill="auto"/>
            <w:vAlign w:val="bottom"/>
          </w:tcPr>
          <w:p w14:paraId="66947FAF" w14:textId="77777777" w:rsidR="00067160" w:rsidRPr="00CF31E0" w:rsidRDefault="00067160" w:rsidP="00DF180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69F3537C"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.038</w:t>
            </w:r>
            <w:r w:rsidRPr="00CF31E0">
              <w:rPr>
                <w:rFonts w:eastAsia="Calibri"/>
                <w:color w:val="000000" w:themeColor="text1"/>
                <w:sz w:val="22"/>
                <w:szCs w:val="22"/>
                <w:vertAlign w:val="superscript"/>
                <w:lang w:eastAsia="en-US"/>
              </w:rPr>
              <w:t>a</w:t>
            </w:r>
          </w:p>
        </w:tc>
        <w:tc>
          <w:tcPr>
            <w:tcW w:w="3345" w:type="dxa"/>
            <w:tcBorders>
              <w:top w:val="single" w:sz="8" w:space="0" w:color="auto"/>
            </w:tcBorders>
            <w:shd w:val="clear" w:color="auto" w:fill="auto"/>
            <w:vAlign w:val="bottom"/>
          </w:tcPr>
          <w:p w14:paraId="62C505AD" w14:textId="17E642E5" w:rsidR="00067160" w:rsidRPr="00CF31E0" w:rsidRDefault="00067160" w:rsidP="00603CB7">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.981</w:t>
            </w:r>
          </w:p>
        </w:tc>
      </w:tr>
      <w:tr w:rsidR="00067160" w:rsidRPr="00CF31E0" w14:paraId="738FB6A5" w14:textId="77777777" w:rsidTr="00067160">
        <w:trPr>
          <w:trHeight w:val="567"/>
        </w:trPr>
        <w:tc>
          <w:tcPr>
            <w:tcW w:w="2235" w:type="dxa"/>
            <w:tcBorders>
              <w:bottom w:val="single" w:sz="8" w:space="0" w:color="auto"/>
            </w:tcBorders>
            <w:shd w:val="clear" w:color="auto" w:fill="auto"/>
            <w:vAlign w:val="bottom"/>
          </w:tcPr>
          <w:p w14:paraId="78CECC67"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308494D6"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345" w:type="dxa"/>
            <w:tcBorders>
              <w:bottom w:val="single" w:sz="8" w:space="0" w:color="auto"/>
            </w:tcBorders>
            <w:shd w:val="clear" w:color="auto" w:fill="auto"/>
            <w:vAlign w:val="bottom"/>
          </w:tcPr>
          <w:p w14:paraId="0B707045" w14:textId="77777777" w:rsidR="00067160" w:rsidRPr="00CF31E0" w:rsidRDefault="00067160" w:rsidP="00DF1804">
            <w:pPr>
              <w:spacing w:after="200" w:line="276" w:lineRule="auto"/>
              <w:rPr>
                <w:rFonts w:eastAsia="Calibri"/>
                <w:color w:val="000000" w:themeColor="text1"/>
                <w:sz w:val="22"/>
                <w:szCs w:val="22"/>
                <w:lang w:eastAsia="en-US"/>
              </w:rPr>
            </w:pPr>
          </w:p>
        </w:tc>
      </w:tr>
    </w:tbl>
    <w:p w14:paraId="4212C688" w14:textId="77777777" w:rsidR="008C00D8" w:rsidRPr="00CF31E0" w:rsidRDefault="008C00D8" w:rsidP="00DF1804">
      <w:pPr>
        <w:rPr>
          <w:color w:val="000000" w:themeColor="text1"/>
          <w:lang w:eastAsia="en-US"/>
        </w:rPr>
      </w:pPr>
    </w:p>
    <w:p w14:paraId="65571816" w14:textId="77777777" w:rsidR="008C00D8" w:rsidRPr="00CF31E0" w:rsidRDefault="008C00D8" w:rsidP="00DF1804">
      <w:pPr>
        <w:rPr>
          <w:color w:val="000000" w:themeColor="text1"/>
          <w:lang w:eastAsia="en-US"/>
        </w:rPr>
      </w:pPr>
    </w:p>
    <w:tbl>
      <w:tblPr>
        <w:tblW w:w="6714" w:type="dxa"/>
        <w:tblLayout w:type="fixed"/>
        <w:tblLook w:val="04A0" w:firstRow="1" w:lastRow="0" w:firstColumn="1" w:lastColumn="0" w:noHBand="0" w:noVBand="1"/>
      </w:tblPr>
      <w:tblGrid>
        <w:gridCol w:w="2235"/>
        <w:gridCol w:w="1134"/>
        <w:gridCol w:w="3345"/>
      </w:tblGrid>
      <w:tr w:rsidR="00067160" w:rsidRPr="00CF31E0" w14:paraId="75DF7A85" w14:textId="77777777" w:rsidTr="00067160">
        <w:trPr>
          <w:trHeight w:val="567"/>
        </w:trPr>
        <w:tc>
          <w:tcPr>
            <w:tcW w:w="2235" w:type="dxa"/>
            <w:tcBorders>
              <w:top w:val="single" w:sz="8" w:space="0" w:color="auto"/>
              <w:bottom w:val="single" w:sz="8" w:space="0" w:color="auto"/>
            </w:tcBorders>
            <w:shd w:val="clear" w:color="auto" w:fill="auto"/>
            <w:hideMark/>
          </w:tcPr>
          <w:p w14:paraId="1CD4CF46" w14:textId="3FC417E5"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Places lived</w:t>
            </w:r>
          </w:p>
        </w:tc>
        <w:tc>
          <w:tcPr>
            <w:tcW w:w="1134" w:type="dxa"/>
            <w:tcBorders>
              <w:top w:val="single" w:sz="8" w:space="0" w:color="auto"/>
              <w:bottom w:val="single" w:sz="8" w:space="0" w:color="auto"/>
            </w:tcBorders>
            <w:shd w:val="clear" w:color="auto" w:fill="auto"/>
            <w:hideMark/>
          </w:tcPr>
          <w:p w14:paraId="2B2073F1"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345" w:type="dxa"/>
            <w:tcBorders>
              <w:top w:val="single" w:sz="8" w:space="0" w:color="auto"/>
              <w:bottom w:val="single" w:sz="8" w:space="0" w:color="auto"/>
            </w:tcBorders>
            <w:shd w:val="clear" w:color="auto" w:fill="auto"/>
          </w:tcPr>
          <w:p w14:paraId="5CF9CAA1"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067160" w:rsidRPr="00CF31E0" w14:paraId="1651C246" w14:textId="77777777" w:rsidTr="00067160">
        <w:trPr>
          <w:trHeight w:val="567"/>
        </w:trPr>
        <w:tc>
          <w:tcPr>
            <w:tcW w:w="2235" w:type="dxa"/>
            <w:tcBorders>
              <w:top w:val="single" w:sz="8" w:space="0" w:color="auto"/>
            </w:tcBorders>
            <w:shd w:val="clear" w:color="auto" w:fill="auto"/>
            <w:vAlign w:val="bottom"/>
          </w:tcPr>
          <w:p w14:paraId="196C4012" w14:textId="77777777" w:rsidR="00067160" w:rsidRPr="00CF31E0" w:rsidRDefault="00067160" w:rsidP="00DF180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68E2C0D6"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.881</w:t>
            </w:r>
            <w:r w:rsidRPr="00CF31E0">
              <w:rPr>
                <w:rFonts w:eastAsia="Calibri"/>
                <w:color w:val="000000" w:themeColor="text1"/>
                <w:sz w:val="22"/>
                <w:szCs w:val="22"/>
                <w:vertAlign w:val="superscript"/>
                <w:lang w:eastAsia="en-US"/>
              </w:rPr>
              <w:t>a</w:t>
            </w:r>
          </w:p>
        </w:tc>
        <w:tc>
          <w:tcPr>
            <w:tcW w:w="3345" w:type="dxa"/>
            <w:tcBorders>
              <w:top w:val="single" w:sz="8" w:space="0" w:color="auto"/>
            </w:tcBorders>
            <w:shd w:val="clear" w:color="auto" w:fill="auto"/>
            <w:vAlign w:val="bottom"/>
          </w:tcPr>
          <w:p w14:paraId="2BCDEEE0" w14:textId="77777777" w:rsidR="00067160" w:rsidRPr="00CF31E0" w:rsidRDefault="00067160" w:rsidP="00603CB7">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.644</w:t>
            </w:r>
          </w:p>
        </w:tc>
      </w:tr>
      <w:tr w:rsidR="00067160" w:rsidRPr="00CF31E0" w14:paraId="65F5FF90" w14:textId="77777777" w:rsidTr="00067160">
        <w:trPr>
          <w:trHeight w:val="567"/>
        </w:trPr>
        <w:tc>
          <w:tcPr>
            <w:tcW w:w="2235" w:type="dxa"/>
            <w:tcBorders>
              <w:bottom w:val="single" w:sz="8" w:space="0" w:color="auto"/>
            </w:tcBorders>
            <w:shd w:val="clear" w:color="auto" w:fill="auto"/>
            <w:vAlign w:val="bottom"/>
          </w:tcPr>
          <w:p w14:paraId="5996A210"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02D42738"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345" w:type="dxa"/>
            <w:tcBorders>
              <w:bottom w:val="single" w:sz="8" w:space="0" w:color="auto"/>
            </w:tcBorders>
            <w:shd w:val="clear" w:color="auto" w:fill="auto"/>
            <w:vAlign w:val="bottom"/>
          </w:tcPr>
          <w:p w14:paraId="03AEDA36" w14:textId="77777777" w:rsidR="00067160" w:rsidRPr="00CF31E0" w:rsidRDefault="00067160" w:rsidP="00DF1804">
            <w:pPr>
              <w:spacing w:after="200" w:line="276" w:lineRule="auto"/>
              <w:rPr>
                <w:rFonts w:eastAsia="Calibri"/>
                <w:color w:val="000000" w:themeColor="text1"/>
                <w:sz w:val="22"/>
                <w:szCs w:val="22"/>
                <w:lang w:eastAsia="en-US"/>
              </w:rPr>
            </w:pPr>
          </w:p>
        </w:tc>
      </w:tr>
    </w:tbl>
    <w:p w14:paraId="61764D6A" w14:textId="77777777" w:rsidR="008C00D8" w:rsidRPr="00CF31E0" w:rsidRDefault="008C00D8" w:rsidP="00DF1804">
      <w:pPr>
        <w:rPr>
          <w:color w:val="000000" w:themeColor="text1"/>
          <w:lang w:eastAsia="en-US"/>
        </w:rPr>
      </w:pPr>
    </w:p>
    <w:p w14:paraId="5943E52C" w14:textId="77777777" w:rsidR="008C00D8" w:rsidRPr="00CF31E0" w:rsidRDefault="008C00D8" w:rsidP="00DF1804">
      <w:pPr>
        <w:rPr>
          <w:color w:val="000000" w:themeColor="text1"/>
          <w:lang w:eastAsia="en-US"/>
        </w:rPr>
      </w:pPr>
    </w:p>
    <w:tbl>
      <w:tblPr>
        <w:tblW w:w="6714" w:type="dxa"/>
        <w:tblLayout w:type="fixed"/>
        <w:tblLook w:val="04A0" w:firstRow="1" w:lastRow="0" w:firstColumn="1" w:lastColumn="0" w:noHBand="0" w:noVBand="1"/>
      </w:tblPr>
      <w:tblGrid>
        <w:gridCol w:w="2235"/>
        <w:gridCol w:w="1134"/>
        <w:gridCol w:w="3345"/>
      </w:tblGrid>
      <w:tr w:rsidR="00067160" w:rsidRPr="00CF31E0" w14:paraId="19076729" w14:textId="77777777" w:rsidTr="00067160">
        <w:trPr>
          <w:trHeight w:val="567"/>
        </w:trPr>
        <w:tc>
          <w:tcPr>
            <w:tcW w:w="2235" w:type="dxa"/>
            <w:tcBorders>
              <w:top w:val="single" w:sz="8" w:space="0" w:color="auto"/>
              <w:bottom w:val="single" w:sz="8" w:space="0" w:color="auto"/>
            </w:tcBorders>
            <w:shd w:val="clear" w:color="auto" w:fill="auto"/>
            <w:hideMark/>
          </w:tcPr>
          <w:p w14:paraId="1EC51576"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Marital status</w:t>
            </w:r>
          </w:p>
        </w:tc>
        <w:tc>
          <w:tcPr>
            <w:tcW w:w="1134" w:type="dxa"/>
            <w:tcBorders>
              <w:top w:val="single" w:sz="8" w:space="0" w:color="auto"/>
              <w:bottom w:val="single" w:sz="8" w:space="0" w:color="auto"/>
            </w:tcBorders>
            <w:shd w:val="clear" w:color="auto" w:fill="auto"/>
            <w:hideMark/>
          </w:tcPr>
          <w:p w14:paraId="09D524EA"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345" w:type="dxa"/>
            <w:tcBorders>
              <w:top w:val="single" w:sz="8" w:space="0" w:color="auto"/>
              <w:bottom w:val="single" w:sz="8" w:space="0" w:color="auto"/>
            </w:tcBorders>
            <w:shd w:val="clear" w:color="auto" w:fill="auto"/>
          </w:tcPr>
          <w:p w14:paraId="036D73FD"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067160" w:rsidRPr="00CF31E0" w14:paraId="4BFE4432" w14:textId="77777777" w:rsidTr="00067160">
        <w:trPr>
          <w:trHeight w:val="567"/>
        </w:trPr>
        <w:tc>
          <w:tcPr>
            <w:tcW w:w="2235" w:type="dxa"/>
            <w:tcBorders>
              <w:top w:val="single" w:sz="8" w:space="0" w:color="auto"/>
            </w:tcBorders>
            <w:shd w:val="clear" w:color="auto" w:fill="auto"/>
            <w:vAlign w:val="bottom"/>
          </w:tcPr>
          <w:p w14:paraId="4C0D56DA" w14:textId="77777777" w:rsidR="00067160" w:rsidRPr="00CF31E0" w:rsidRDefault="00067160" w:rsidP="00DF180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36C9C38F"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6.533</w:t>
            </w:r>
            <w:r w:rsidRPr="00CF31E0">
              <w:rPr>
                <w:rFonts w:eastAsia="Calibri"/>
                <w:color w:val="000000" w:themeColor="text1"/>
                <w:sz w:val="22"/>
                <w:szCs w:val="22"/>
                <w:vertAlign w:val="superscript"/>
                <w:lang w:eastAsia="en-US"/>
              </w:rPr>
              <w:t>a</w:t>
            </w:r>
          </w:p>
        </w:tc>
        <w:tc>
          <w:tcPr>
            <w:tcW w:w="3345" w:type="dxa"/>
            <w:tcBorders>
              <w:top w:val="single" w:sz="8" w:space="0" w:color="auto"/>
            </w:tcBorders>
            <w:shd w:val="clear" w:color="auto" w:fill="auto"/>
            <w:vAlign w:val="bottom"/>
          </w:tcPr>
          <w:p w14:paraId="03E0392E" w14:textId="77777777" w:rsidR="00067160" w:rsidRPr="00CF31E0" w:rsidRDefault="00067160" w:rsidP="00DF180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.163</w:t>
            </w:r>
          </w:p>
        </w:tc>
      </w:tr>
      <w:tr w:rsidR="00067160" w:rsidRPr="00CF31E0" w14:paraId="1D6FB790" w14:textId="77777777" w:rsidTr="00067160">
        <w:trPr>
          <w:trHeight w:val="567"/>
        </w:trPr>
        <w:tc>
          <w:tcPr>
            <w:tcW w:w="2235" w:type="dxa"/>
            <w:tcBorders>
              <w:bottom w:val="single" w:sz="8" w:space="0" w:color="auto"/>
            </w:tcBorders>
            <w:shd w:val="clear" w:color="auto" w:fill="auto"/>
            <w:vAlign w:val="bottom"/>
          </w:tcPr>
          <w:p w14:paraId="748B0BA0"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1549F4AF"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345" w:type="dxa"/>
            <w:tcBorders>
              <w:bottom w:val="single" w:sz="8" w:space="0" w:color="auto"/>
            </w:tcBorders>
            <w:shd w:val="clear" w:color="auto" w:fill="auto"/>
            <w:vAlign w:val="bottom"/>
          </w:tcPr>
          <w:p w14:paraId="1E9D8E7B" w14:textId="77777777" w:rsidR="00067160" w:rsidRPr="00CF31E0" w:rsidRDefault="00067160" w:rsidP="00DF1804">
            <w:pPr>
              <w:spacing w:after="200" w:line="276" w:lineRule="auto"/>
              <w:rPr>
                <w:rFonts w:eastAsia="Calibri"/>
                <w:color w:val="000000" w:themeColor="text1"/>
                <w:sz w:val="22"/>
                <w:szCs w:val="22"/>
                <w:lang w:eastAsia="en-US"/>
              </w:rPr>
            </w:pPr>
          </w:p>
        </w:tc>
      </w:tr>
    </w:tbl>
    <w:p w14:paraId="1CBBB961" w14:textId="77777777" w:rsidR="008C00D8" w:rsidRPr="00CF31E0" w:rsidRDefault="008C00D8" w:rsidP="00DF1804">
      <w:pPr>
        <w:rPr>
          <w:color w:val="000000" w:themeColor="text1"/>
          <w:lang w:eastAsia="en-US"/>
        </w:rPr>
      </w:pPr>
    </w:p>
    <w:p w14:paraId="2F94ACA2" w14:textId="77777777" w:rsidR="008C00D8" w:rsidRPr="00CF31E0" w:rsidRDefault="008C00D8" w:rsidP="00DF1804">
      <w:pPr>
        <w:rPr>
          <w:color w:val="000000" w:themeColor="text1"/>
          <w:lang w:eastAsia="en-US"/>
        </w:rPr>
      </w:pPr>
    </w:p>
    <w:tbl>
      <w:tblPr>
        <w:tblW w:w="6714" w:type="dxa"/>
        <w:tblLayout w:type="fixed"/>
        <w:tblLook w:val="04A0" w:firstRow="1" w:lastRow="0" w:firstColumn="1" w:lastColumn="0" w:noHBand="0" w:noVBand="1"/>
      </w:tblPr>
      <w:tblGrid>
        <w:gridCol w:w="2235"/>
        <w:gridCol w:w="1134"/>
        <w:gridCol w:w="3345"/>
      </w:tblGrid>
      <w:tr w:rsidR="00067160" w:rsidRPr="00CF31E0" w14:paraId="67099611" w14:textId="77777777" w:rsidTr="00067160">
        <w:trPr>
          <w:trHeight w:val="567"/>
        </w:trPr>
        <w:tc>
          <w:tcPr>
            <w:tcW w:w="2235" w:type="dxa"/>
            <w:tcBorders>
              <w:top w:val="single" w:sz="8" w:space="0" w:color="auto"/>
              <w:bottom w:val="single" w:sz="8" w:space="0" w:color="auto"/>
            </w:tcBorders>
            <w:shd w:val="clear" w:color="auto" w:fill="auto"/>
            <w:hideMark/>
          </w:tcPr>
          <w:p w14:paraId="49C8DCF6"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Social group</w:t>
            </w:r>
          </w:p>
        </w:tc>
        <w:tc>
          <w:tcPr>
            <w:tcW w:w="1134" w:type="dxa"/>
            <w:tcBorders>
              <w:top w:val="single" w:sz="8" w:space="0" w:color="auto"/>
              <w:bottom w:val="single" w:sz="8" w:space="0" w:color="auto"/>
            </w:tcBorders>
            <w:shd w:val="clear" w:color="auto" w:fill="auto"/>
            <w:hideMark/>
          </w:tcPr>
          <w:p w14:paraId="39D1A41B"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345" w:type="dxa"/>
            <w:tcBorders>
              <w:top w:val="single" w:sz="8" w:space="0" w:color="auto"/>
              <w:bottom w:val="single" w:sz="8" w:space="0" w:color="auto"/>
            </w:tcBorders>
            <w:shd w:val="clear" w:color="auto" w:fill="auto"/>
          </w:tcPr>
          <w:p w14:paraId="79C3C92C"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067160" w:rsidRPr="00CF31E0" w14:paraId="795EE654" w14:textId="77777777" w:rsidTr="00067160">
        <w:trPr>
          <w:trHeight w:val="567"/>
        </w:trPr>
        <w:tc>
          <w:tcPr>
            <w:tcW w:w="2235" w:type="dxa"/>
            <w:tcBorders>
              <w:top w:val="single" w:sz="8" w:space="0" w:color="auto"/>
            </w:tcBorders>
            <w:shd w:val="clear" w:color="auto" w:fill="auto"/>
            <w:vAlign w:val="bottom"/>
          </w:tcPr>
          <w:p w14:paraId="75CEF864" w14:textId="77777777" w:rsidR="00067160" w:rsidRPr="00CF31E0" w:rsidRDefault="00067160" w:rsidP="00DF180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201C1BF3"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1.883</w:t>
            </w:r>
            <w:r w:rsidRPr="00CF31E0">
              <w:rPr>
                <w:rFonts w:eastAsia="Calibri"/>
                <w:color w:val="000000" w:themeColor="text1"/>
                <w:sz w:val="22"/>
                <w:szCs w:val="22"/>
                <w:vertAlign w:val="superscript"/>
                <w:lang w:eastAsia="en-US"/>
              </w:rPr>
              <w:t>a</w:t>
            </w:r>
          </w:p>
        </w:tc>
        <w:tc>
          <w:tcPr>
            <w:tcW w:w="3345" w:type="dxa"/>
            <w:tcBorders>
              <w:top w:val="single" w:sz="8" w:space="0" w:color="auto"/>
            </w:tcBorders>
            <w:shd w:val="clear" w:color="auto" w:fill="auto"/>
            <w:vAlign w:val="bottom"/>
          </w:tcPr>
          <w:p w14:paraId="65BC06D4" w14:textId="77777777" w:rsidR="00067160" w:rsidRPr="00CF31E0" w:rsidRDefault="00067160" w:rsidP="00DF180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.390</w:t>
            </w:r>
          </w:p>
        </w:tc>
      </w:tr>
      <w:tr w:rsidR="00067160" w:rsidRPr="00CF31E0" w14:paraId="583B4BF0" w14:textId="77777777" w:rsidTr="00067160">
        <w:trPr>
          <w:trHeight w:val="567"/>
        </w:trPr>
        <w:tc>
          <w:tcPr>
            <w:tcW w:w="2235" w:type="dxa"/>
            <w:tcBorders>
              <w:bottom w:val="single" w:sz="8" w:space="0" w:color="auto"/>
            </w:tcBorders>
            <w:shd w:val="clear" w:color="auto" w:fill="auto"/>
            <w:vAlign w:val="bottom"/>
          </w:tcPr>
          <w:p w14:paraId="48B71342"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326AB6A6"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345" w:type="dxa"/>
            <w:tcBorders>
              <w:bottom w:val="single" w:sz="8" w:space="0" w:color="auto"/>
            </w:tcBorders>
            <w:shd w:val="clear" w:color="auto" w:fill="auto"/>
            <w:vAlign w:val="bottom"/>
          </w:tcPr>
          <w:p w14:paraId="39A3B3F3" w14:textId="77777777" w:rsidR="00067160" w:rsidRPr="00CF31E0" w:rsidRDefault="00067160" w:rsidP="00DF1804">
            <w:pPr>
              <w:spacing w:after="200" w:line="276" w:lineRule="auto"/>
              <w:rPr>
                <w:rFonts w:eastAsia="Calibri"/>
                <w:color w:val="000000" w:themeColor="text1"/>
                <w:sz w:val="22"/>
                <w:szCs w:val="22"/>
                <w:lang w:eastAsia="en-US"/>
              </w:rPr>
            </w:pPr>
          </w:p>
        </w:tc>
      </w:tr>
    </w:tbl>
    <w:p w14:paraId="5806956A" w14:textId="77777777" w:rsidR="008C00D8" w:rsidRPr="00CF31E0" w:rsidRDefault="008C00D8" w:rsidP="00DF1804">
      <w:pPr>
        <w:rPr>
          <w:color w:val="000000" w:themeColor="text1"/>
          <w:lang w:eastAsia="en-US"/>
        </w:rPr>
      </w:pPr>
    </w:p>
    <w:p w14:paraId="0F9EF541" w14:textId="77777777" w:rsidR="008C00D8" w:rsidRPr="00CF31E0" w:rsidRDefault="008C00D8" w:rsidP="00DF1804">
      <w:pPr>
        <w:rPr>
          <w:color w:val="000000" w:themeColor="text1"/>
          <w:lang w:eastAsia="en-US"/>
        </w:rPr>
      </w:pPr>
    </w:p>
    <w:tbl>
      <w:tblPr>
        <w:tblW w:w="6714" w:type="dxa"/>
        <w:tblLayout w:type="fixed"/>
        <w:tblLook w:val="04A0" w:firstRow="1" w:lastRow="0" w:firstColumn="1" w:lastColumn="0" w:noHBand="0" w:noVBand="1"/>
      </w:tblPr>
      <w:tblGrid>
        <w:gridCol w:w="2235"/>
        <w:gridCol w:w="1134"/>
        <w:gridCol w:w="3345"/>
      </w:tblGrid>
      <w:tr w:rsidR="00067160" w:rsidRPr="00CF31E0" w14:paraId="14FCAD5F" w14:textId="77777777" w:rsidTr="00067160">
        <w:trPr>
          <w:trHeight w:val="567"/>
        </w:trPr>
        <w:tc>
          <w:tcPr>
            <w:tcW w:w="2235" w:type="dxa"/>
            <w:tcBorders>
              <w:top w:val="single" w:sz="8" w:space="0" w:color="auto"/>
              <w:bottom w:val="single" w:sz="8" w:space="0" w:color="auto"/>
            </w:tcBorders>
            <w:shd w:val="clear" w:color="auto" w:fill="auto"/>
            <w:hideMark/>
          </w:tcPr>
          <w:p w14:paraId="01FA4DD6"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Mother’s social group</w:t>
            </w:r>
          </w:p>
        </w:tc>
        <w:tc>
          <w:tcPr>
            <w:tcW w:w="1134" w:type="dxa"/>
            <w:tcBorders>
              <w:top w:val="single" w:sz="8" w:space="0" w:color="auto"/>
              <w:bottom w:val="single" w:sz="8" w:space="0" w:color="auto"/>
            </w:tcBorders>
            <w:shd w:val="clear" w:color="auto" w:fill="auto"/>
            <w:hideMark/>
          </w:tcPr>
          <w:p w14:paraId="7A88AD5B"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345" w:type="dxa"/>
            <w:tcBorders>
              <w:top w:val="single" w:sz="8" w:space="0" w:color="auto"/>
              <w:bottom w:val="single" w:sz="8" w:space="0" w:color="auto"/>
            </w:tcBorders>
            <w:shd w:val="clear" w:color="auto" w:fill="auto"/>
          </w:tcPr>
          <w:p w14:paraId="17864473"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067160" w:rsidRPr="00CF31E0" w14:paraId="783E1C8C" w14:textId="77777777" w:rsidTr="00067160">
        <w:trPr>
          <w:trHeight w:val="567"/>
        </w:trPr>
        <w:tc>
          <w:tcPr>
            <w:tcW w:w="2235" w:type="dxa"/>
            <w:tcBorders>
              <w:top w:val="single" w:sz="8" w:space="0" w:color="auto"/>
            </w:tcBorders>
            <w:shd w:val="clear" w:color="auto" w:fill="auto"/>
            <w:vAlign w:val="bottom"/>
          </w:tcPr>
          <w:p w14:paraId="3C93D4D4" w14:textId="77777777" w:rsidR="00067160" w:rsidRPr="00CF31E0" w:rsidRDefault="00067160" w:rsidP="00DF180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0E588F27"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6.108</w:t>
            </w:r>
            <w:r w:rsidRPr="00CF31E0">
              <w:rPr>
                <w:rFonts w:eastAsia="Calibri"/>
                <w:color w:val="000000" w:themeColor="text1"/>
                <w:sz w:val="22"/>
                <w:szCs w:val="22"/>
                <w:vertAlign w:val="superscript"/>
                <w:lang w:eastAsia="en-US"/>
              </w:rPr>
              <w:t>a</w:t>
            </w:r>
          </w:p>
        </w:tc>
        <w:tc>
          <w:tcPr>
            <w:tcW w:w="3345" w:type="dxa"/>
            <w:tcBorders>
              <w:top w:val="single" w:sz="8" w:space="0" w:color="auto"/>
            </w:tcBorders>
            <w:shd w:val="clear" w:color="auto" w:fill="auto"/>
            <w:vAlign w:val="bottom"/>
          </w:tcPr>
          <w:p w14:paraId="07B65095" w14:textId="77777777" w:rsidR="00067160" w:rsidRPr="00CF31E0" w:rsidRDefault="00067160" w:rsidP="00DF180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.191</w:t>
            </w:r>
          </w:p>
        </w:tc>
      </w:tr>
      <w:tr w:rsidR="00067160" w:rsidRPr="00CF31E0" w14:paraId="5C575B9F" w14:textId="77777777" w:rsidTr="00067160">
        <w:trPr>
          <w:trHeight w:val="567"/>
        </w:trPr>
        <w:tc>
          <w:tcPr>
            <w:tcW w:w="2235" w:type="dxa"/>
            <w:tcBorders>
              <w:bottom w:val="single" w:sz="8" w:space="0" w:color="auto"/>
            </w:tcBorders>
            <w:shd w:val="clear" w:color="auto" w:fill="auto"/>
            <w:vAlign w:val="bottom"/>
          </w:tcPr>
          <w:p w14:paraId="01DA1E73"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27CED15C"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345" w:type="dxa"/>
            <w:tcBorders>
              <w:bottom w:val="single" w:sz="8" w:space="0" w:color="auto"/>
            </w:tcBorders>
            <w:shd w:val="clear" w:color="auto" w:fill="auto"/>
            <w:vAlign w:val="bottom"/>
          </w:tcPr>
          <w:p w14:paraId="44DC8E99" w14:textId="77777777" w:rsidR="00067160" w:rsidRPr="00CF31E0" w:rsidRDefault="00067160" w:rsidP="00DF1804">
            <w:pPr>
              <w:spacing w:after="200" w:line="276" w:lineRule="auto"/>
              <w:rPr>
                <w:rFonts w:eastAsia="Calibri"/>
                <w:color w:val="000000" w:themeColor="text1"/>
                <w:sz w:val="22"/>
                <w:szCs w:val="22"/>
                <w:lang w:eastAsia="en-US"/>
              </w:rPr>
            </w:pPr>
          </w:p>
        </w:tc>
      </w:tr>
    </w:tbl>
    <w:p w14:paraId="5B9F1BCC" w14:textId="77777777" w:rsidR="008C00D8" w:rsidRPr="00CF31E0" w:rsidRDefault="008C00D8" w:rsidP="00DF1804">
      <w:pPr>
        <w:rPr>
          <w:color w:val="000000" w:themeColor="text1"/>
          <w:lang w:eastAsia="en-US"/>
        </w:rPr>
      </w:pPr>
    </w:p>
    <w:p w14:paraId="206FD8BA" w14:textId="77777777" w:rsidR="008C00D8" w:rsidRPr="00CF31E0" w:rsidRDefault="008C00D8" w:rsidP="00DF1804">
      <w:pPr>
        <w:rPr>
          <w:color w:val="000000" w:themeColor="text1"/>
          <w:lang w:eastAsia="en-US"/>
        </w:rPr>
      </w:pPr>
    </w:p>
    <w:tbl>
      <w:tblPr>
        <w:tblW w:w="6714" w:type="dxa"/>
        <w:tblLayout w:type="fixed"/>
        <w:tblLook w:val="04A0" w:firstRow="1" w:lastRow="0" w:firstColumn="1" w:lastColumn="0" w:noHBand="0" w:noVBand="1"/>
      </w:tblPr>
      <w:tblGrid>
        <w:gridCol w:w="2235"/>
        <w:gridCol w:w="1134"/>
        <w:gridCol w:w="3345"/>
      </w:tblGrid>
      <w:tr w:rsidR="00067160" w:rsidRPr="00CF31E0" w14:paraId="20A9D82C" w14:textId="77777777" w:rsidTr="00067160">
        <w:trPr>
          <w:trHeight w:val="567"/>
        </w:trPr>
        <w:tc>
          <w:tcPr>
            <w:tcW w:w="2235" w:type="dxa"/>
            <w:tcBorders>
              <w:top w:val="single" w:sz="8" w:space="0" w:color="auto"/>
              <w:bottom w:val="single" w:sz="8" w:space="0" w:color="auto"/>
            </w:tcBorders>
            <w:shd w:val="clear" w:color="auto" w:fill="auto"/>
            <w:hideMark/>
          </w:tcPr>
          <w:p w14:paraId="28BFF9A6"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lastRenderedPageBreak/>
              <w:t>Spouse’s social group</w:t>
            </w:r>
          </w:p>
        </w:tc>
        <w:tc>
          <w:tcPr>
            <w:tcW w:w="1134" w:type="dxa"/>
            <w:tcBorders>
              <w:top w:val="single" w:sz="8" w:space="0" w:color="auto"/>
              <w:bottom w:val="single" w:sz="8" w:space="0" w:color="auto"/>
            </w:tcBorders>
            <w:shd w:val="clear" w:color="auto" w:fill="auto"/>
            <w:hideMark/>
          </w:tcPr>
          <w:p w14:paraId="67D91AC3"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345" w:type="dxa"/>
            <w:tcBorders>
              <w:top w:val="single" w:sz="8" w:space="0" w:color="auto"/>
              <w:bottom w:val="single" w:sz="8" w:space="0" w:color="auto"/>
            </w:tcBorders>
            <w:shd w:val="clear" w:color="auto" w:fill="auto"/>
          </w:tcPr>
          <w:p w14:paraId="71F35FA9"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067160" w:rsidRPr="00CF31E0" w14:paraId="799179AE" w14:textId="77777777" w:rsidTr="00067160">
        <w:trPr>
          <w:trHeight w:val="567"/>
        </w:trPr>
        <w:tc>
          <w:tcPr>
            <w:tcW w:w="2235" w:type="dxa"/>
            <w:tcBorders>
              <w:top w:val="single" w:sz="8" w:space="0" w:color="auto"/>
            </w:tcBorders>
            <w:shd w:val="clear" w:color="auto" w:fill="auto"/>
            <w:vAlign w:val="bottom"/>
          </w:tcPr>
          <w:p w14:paraId="2ED6DA8A" w14:textId="77777777" w:rsidR="00067160" w:rsidRPr="00CF31E0" w:rsidRDefault="00067160" w:rsidP="00DF180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038AAFB6"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5.948</w:t>
            </w:r>
            <w:r w:rsidRPr="00CF31E0">
              <w:rPr>
                <w:rFonts w:eastAsia="Calibri"/>
                <w:color w:val="000000" w:themeColor="text1"/>
                <w:sz w:val="22"/>
                <w:szCs w:val="22"/>
                <w:vertAlign w:val="superscript"/>
                <w:lang w:eastAsia="en-US"/>
              </w:rPr>
              <w:t>a</w:t>
            </w:r>
          </w:p>
        </w:tc>
        <w:tc>
          <w:tcPr>
            <w:tcW w:w="3345" w:type="dxa"/>
            <w:tcBorders>
              <w:top w:val="single" w:sz="8" w:space="0" w:color="auto"/>
            </w:tcBorders>
            <w:shd w:val="clear" w:color="auto" w:fill="auto"/>
            <w:vAlign w:val="bottom"/>
          </w:tcPr>
          <w:p w14:paraId="2325BB5C" w14:textId="5F44F2D3" w:rsidR="00067160" w:rsidRPr="00CF31E0" w:rsidRDefault="00067160" w:rsidP="00DF180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.203</w:t>
            </w:r>
          </w:p>
        </w:tc>
      </w:tr>
      <w:tr w:rsidR="00067160" w:rsidRPr="00CF31E0" w14:paraId="7A0DD7B7" w14:textId="77777777" w:rsidTr="00067160">
        <w:trPr>
          <w:trHeight w:val="567"/>
        </w:trPr>
        <w:tc>
          <w:tcPr>
            <w:tcW w:w="2235" w:type="dxa"/>
            <w:tcBorders>
              <w:bottom w:val="single" w:sz="8" w:space="0" w:color="auto"/>
            </w:tcBorders>
            <w:shd w:val="clear" w:color="auto" w:fill="auto"/>
            <w:vAlign w:val="bottom"/>
          </w:tcPr>
          <w:p w14:paraId="5CF6106E"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66E12E57"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345" w:type="dxa"/>
            <w:tcBorders>
              <w:bottom w:val="single" w:sz="8" w:space="0" w:color="auto"/>
            </w:tcBorders>
            <w:shd w:val="clear" w:color="auto" w:fill="auto"/>
            <w:vAlign w:val="bottom"/>
          </w:tcPr>
          <w:p w14:paraId="25D1BB5E" w14:textId="77777777" w:rsidR="00067160" w:rsidRPr="00CF31E0" w:rsidRDefault="00067160" w:rsidP="00DF1804">
            <w:pPr>
              <w:spacing w:after="200" w:line="276" w:lineRule="auto"/>
              <w:rPr>
                <w:rFonts w:eastAsia="Calibri"/>
                <w:color w:val="000000" w:themeColor="text1"/>
                <w:sz w:val="22"/>
                <w:szCs w:val="22"/>
                <w:lang w:eastAsia="en-US"/>
              </w:rPr>
            </w:pPr>
          </w:p>
        </w:tc>
      </w:tr>
    </w:tbl>
    <w:p w14:paraId="6D1DBBF1" w14:textId="77777777" w:rsidR="008C00D8" w:rsidRPr="00CF31E0" w:rsidRDefault="008C00D8" w:rsidP="00DF1804">
      <w:pPr>
        <w:rPr>
          <w:color w:val="000000" w:themeColor="text1"/>
          <w:lang w:eastAsia="en-US"/>
        </w:rPr>
      </w:pPr>
    </w:p>
    <w:p w14:paraId="7547BABE" w14:textId="77777777" w:rsidR="008C00D8" w:rsidRPr="00CF31E0" w:rsidRDefault="008C00D8" w:rsidP="00DF1804">
      <w:pPr>
        <w:rPr>
          <w:color w:val="000000" w:themeColor="text1"/>
          <w:lang w:eastAsia="en-US"/>
        </w:rPr>
      </w:pPr>
    </w:p>
    <w:tbl>
      <w:tblPr>
        <w:tblW w:w="6714" w:type="dxa"/>
        <w:tblLayout w:type="fixed"/>
        <w:tblLook w:val="04A0" w:firstRow="1" w:lastRow="0" w:firstColumn="1" w:lastColumn="0" w:noHBand="0" w:noVBand="1"/>
      </w:tblPr>
      <w:tblGrid>
        <w:gridCol w:w="2235"/>
        <w:gridCol w:w="1134"/>
        <w:gridCol w:w="3345"/>
      </w:tblGrid>
      <w:tr w:rsidR="00067160" w:rsidRPr="00CF31E0" w14:paraId="5A279DAE" w14:textId="77777777" w:rsidTr="00067160">
        <w:trPr>
          <w:trHeight w:val="567"/>
        </w:trPr>
        <w:tc>
          <w:tcPr>
            <w:tcW w:w="2235" w:type="dxa"/>
            <w:tcBorders>
              <w:top w:val="single" w:sz="8" w:space="0" w:color="auto"/>
              <w:bottom w:val="single" w:sz="8" w:space="0" w:color="auto"/>
            </w:tcBorders>
            <w:shd w:val="clear" w:color="auto" w:fill="auto"/>
            <w:hideMark/>
          </w:tcPr>
          <w:p w14:paraId="5FC90254"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Education</w:t>
            </w:r>
          </w:p>
        </w:tc>
        <w:tc>
          <w:tcPr>
            <w:tcW w:w="1134" w:type="dxa"/>
            <w:tcBorders>
              <w:top w:val="single" w:sz="8" w:space="0" w:color="auto"/>
              <w:bottom w:val="single" w:sz="8" w:space="0" w:color="auto"/>
            </w:tcBorders>
            <w:shd w:val="clear" w:color="auto" w:fill="auto"/>
            <w:hideMark/>
          </w:tcPr>
          <w:p w14:paraId="3D6B3299"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345" w:type="dxa"/>
            <w:tcBorders>
              <w:top w:val="single" w:sz="8" w:space="0" w:color="auto"/>
              <w:bottom w:val="single" w:sz="8" w:space="0" w:color="auto"/>
            </w:tcBorders>
            <w:shd w:val="clear" w:color="auto" w:fill="auto"/>
          </w:tcPr>
          <w:p w14:paraId="70647D4B"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067160" w:rsidRPr="00CF31E0" w14:paraId="30BDCD4A" w14:textId="77777777" w:rsidTr="00067160">
        <w:trPr>
          <w:trHeight w:val="567"/>
        </w:trPr>
        <w:tc>
          <w:tcPr>
            <w:tcW w:w="2235" w:type="dxa"/>
            <w:tcBorders>
              <w:top w:val="single" w:sz="8" w:space="0" w:color="auto"/>
            </w:tcBorders>
            <w:shd w:val="clear" w:color="auto" w:fill="auto"/>
            <w:vAlign w:val="bottom"/>
          </w:tcPr>
          <w:p w14:paraId="3CD90A95" w14:textId="77777777" w:rsidR="00067160" w:rsidRPr="00CF31E0" w:rsidRDefault="00067160" w:rsidP="00DF180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6D77BEF5"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7.114</w:t>
            </w:r>
            <w:r w:rsidRPr="00CF31E0">
              <w:rPr>
                <w:rFonts w:eastAsia="Calibri"/>
                <w:color w:val="000000" w:themeColor="text1"/>
                <w:sz w:val="22"/>
                <w:szCs w:val="22"/>
                <w:vertAlign w:val="superscript"/>
                <w:lang w:eastAsia="en-US"/>
              </w:rPr>
              <w:t>a</w:t>
            </w:r>
          </w:p>
        </w:tc>
        <w:tc>
          <w:tcPr>
            <w:tcW w:w="3345" w:type="dxa"/>
            <w:tcBorders>
              <w:top w:val="single" w:sz="8" w:space="0" w:color="auto"/>
            </w:tcBorders>
            <w:shd w:val="clear" w:color="auto" w:fill="auto"/>
            <w:vAlign w:val="bottom"/>
          </w:tcPr>
          <w:p w14:paraId="7709097C" w14:textId="77777777" w:rsidR="00067160" w:rsidRPr="00CF31E0" w:rsidRDefault="00067160" w:rsidP="00DF180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.130</w:t>
            </w:r>
          </w:p>
        </w:tc>
      </w:tr>
      <w:tr w:rsidR="00067160" w:rsidRPr="00CF31E0" w14:paraId="13CACB72" w14:textId="77777777" w:rsidTr="00067160">
        <w:trPr>
          <w:trHeight w:val="567"/>
        </w:trPr>
        <w:tc>
          <w:tcPr>
            <w:tcW w:w="2235" w:type="dxa"/>
            <w:tcBorders>
              <w:bottom w:val="single" w:sz="8" w:space="0" w:color="auto"/>
            </w:tcBorders>
            <w:shd w:val="clear" w:color="auto" w:fill="auto"/>
            <w:vAlign w:val="bottom"/>
          </w:tcPr>
          <w:p w14:paraId="7C79514B"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55309A0A"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345" w:type="dxa"/>
            <w:tcBorders>
              <w:bottom w:val="single" w:sz="8" w:space="0" w:color="auto"/>
            </w:tcBorders>
            <w:shd w:val="clear" w:color="auto" w:fill="auto"/>
            <w:vAlign w:val="bottom"/>
          </w:tcPr>
          <w:p w14:paraId="3B71B21D" w14:textId="77777777" w:rsidR="00067160" w:rsidRPr="00CF31E0" w:rsidRDefault="00067160" w:rsidP="00DF1804">
            <w:pPr>
              <w:spacing w:after="200" w:line="276" w:lineRule="auto"/>
              <w:rPr>
                <w:rFonts w:eastAsia="Calibri"/>
                <w:color w:val="000000" w:themeColor="text1"/>
                <w:sz w:val="22"/>
                <w:szCs w:val="22"/>
                <w:lang w:eastAsia="en-US"/>
              </w:rPr>
            </w:pPr>
          </w:p>
        </w:tc>
      </w:tr>
    </w:tbl>
    <w:p w14:paraId="732471C6" w14:textId="77777777" w:rsidR="008C00D8" w:rsidRPr="00CF31E0" w:rsidRDefault="008C00D8" w:rsidP="00DF1804">
      <w:pPr>
        <w:rPr>
          <w:color w:val="000000" w:themeColor="text1"/>
          <w:lang w:eastAsia="en-US"/>
        </w:rPr>
      </w:pPr>
    </w:p>
    <w:p w14:paraId="6F0FBBA6" w14:textId="77777777" w:rsidR="00BE51ED" w:rsidRPr="00CF31E0" w:rsidRDefault="00BE51ED" w:rsidP="00DF1804">
      <w:pPr>
        <w:rPr>
          <w:color w:val="000000" w:themeColor="text1"/>
          <w:lang w:eastAsia="en-US"/>
        </w:rPr>
      </w:pPr>
    </w:p>
    <w:tbl>
      <w:tblPr>
        <w:tblW w:w="6714" w:type="dxa"/>
        <w:tblLayout w:type="fixed"/>
        <w:tblLook w:val="04A0" w:firstRow="1" w:lastRow="0" w:firstColumn="1" w:lastColumn="0" w:noHBand="0" w:noVBand="1"/>
      </w:tblPr>
      <w:tblGrid>
        <w:gridCol w:w="2235"/>
        <w:gridCol w:w="1134"/>
        <w:gridCol w:w="3345"/>
      </w:tblGrid>
      <w:tr w:rsidR="00067160" w:rsidRPr="00CF31E0" w14:paraId="0633D9B3" w14:textId="77777777" w:rsidTr="00067160">
        <w:trPr>
          <w:trHeight w:val="567"/>
        </w:trPr>
        <w:tc>
          <w:tcPr>
            <w:tcW w:w="2235" w:type="dxa"/>
            <w:tcBorders>
              <w:top w:val="single" w:sz="8" w:space="0" w:color="auto"/>
              <w:bottom w:val="single" w:sz="8" w:space="0" w:color="auto"/>
            </w:tcBorders>
            <w:shd w:val="clear" w:color="auto" w:fill="auto"/>
            <w:hideMark/>
          </w:tcPr>
          <w:p w14:paraId="0BA7172F"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Age</w:t>
            </w:r>
          </w:p>
        </w:tc>
        <w:tc>
          <w:tcPr>
            <w:tcW w:w="1134" w:type="dxa"/>
            <w:tcBorders>
              <w:top w:val="single" w:sz="8" w:space="0" w:color="auto"/>
              <w:bottom w:val="single" w:sz="8" w:space="0" w:color="auto"/>
            </w:tcBorders>
            <w:shd w:val="clear" w:color="auto" w:fill="auto"/>
            <w:hideMark/>
          </w:tcPr>
          <w:p w14:paraId="24312DA2"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345" w:type="dxa"/>
            <w:tcBorders>
              <w:top w:val="single" w:sz="8" w:space="0" w:color="auto"/>
              <w:bottom w:val="single" w:sz="8" w:space="0" w:color="auto"/>
            </w:tcBorders>
            <w:shd w:val="clear" w:color="auto" w:fill="auto"/>
          </w:tcPr>
          <w:p w14:paraId="43289047"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067160" w:rsidRPr="00CF31E0" w14:paraId="14C05FEC" w14:textId="77777777" w:rsidTr="00067160">
        <w:trPr>
          <w:trHeight w:val="567"/>
        </w:trPr>
        <w:tc>
          <w:tcPr>
            <w:tcW w:w="2235" w:type="dxa"/>
            <w:tcBorders>
              <w:top w:val="single" w:sz="8" w:space="0" w:color="auto"/>
            </w:tcBorders>
            <w:shd w:val="clear" w:color="auto" w:fill="auto"/>
            <w:vAlign w:val="bottom"/>
          </w:tcPr>
          <w:p w14:paraId="0E335CB5" w14:textId="77777777" w:rsidR="00067160" w:rsidRPr="00CF31E0" w:rsidRDefault="00067160" w:rsidP="00DF180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63783377"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13.663</w:t>
            </w:r>
            <w:r w:rsidRPr="00CF31E0">
              <w:rPr>
                <w:rFonts w:eastAsia="Calibri"/>
                <w:color w:val="000000" w:themeColor="text1"/>
                <w:sz w:val="22"/>
                <w:szCs w:val="22"/>
                <w:vertAlign w:val="superscript"/>
                <w:lang w:eastAsia="en-US"/>
              </w:rPr>
              <w:t>a</w:t>
            </w:r>
          </w:p>
        </w:tc>
        <w:tc>
          <w:tcPr>
            <w:tcW w:w="3345" w:type="dxa"/>
            <w:tcBorders>
              <w:top w:val="single" w:sz="8" w:space="0" w:color="auto"/>
            </w:tcBorders>
            <w:shd w:val="clear" w:color="auto" w:fill="auto"/>
            <w:vAlign w:val="bottom"/>
          </w:tcPr>
          <w:p w14:paraId="68C2D05D" w14:textId="77777777" w:rsidR="00067160" w:rsidRPr="00CF31E0" w:rsidRDefault="00067160" w:rsidP="00DF180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.091</w:t>
            </w:r>
          </w:p>
        </w:tc>
      </w:tr>
      <w:tr w:rsidR="00067160" w:rsidRPr="00CF31E0" w14:paraId="218E6259" w14:textId="77777777" w:rsidTr="00067160">
        <w:trPr>
          <w:trHeight w:val="567"/>
        </w:trPr>
        <w:tc>
          <w:tcPr>
            <w:tcW w:w="2235" w:type="dxa"/>
            <w:tcBorders>
              <w:bottom w:val="single" w:sz="8" w:space="0" w:color="auto"/>
            </w:tcBorders>
            <w:shd w:val="clear" w:color="auto" w:fill="auto"/>
            <w:vAlign w:val="bottom"/>
          </w:tcPr>
          <w:p w14:paraId="332C95EF"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5080CA50"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345" w:type="dxa"/>
            <w:tcBorders>
              <w:bottom w:val="single" w:sz="8" w:space="0" w:color="auto"/>
            </w:tcBorders>
            <w:shd w:val="clear" w:color="auto" w:fill="auto"/>
            <w:vAlign w:val="bottom"/>
          </w:tcPr>
          <w:p w14:paraId="26338552" w14:textId="77777777" w:rsidR="00067160" w:rsidRPr="00CF31E0" w:rsidRDefault="00067160" w:rsidP="00DF1804">
            <w:pPr>
              <w:spacing w:after="200" w:line="276" w:lineRule="auto"/>
              <w:rPr>
                <w:rFonts w:eastAsia="Calibri"/>
                <w:color w:val="000000" w:themeColor="text1"/>
                <w:sz w:val="22"/>
                <w:szCs w:val="22"/>
                <w:lang w:eastAsia="en-US"/>
              </w:rPr>
            </w:pPr>
          </w:p>
        </w:tc>
      </w:tr>
    </w:tbl>
    <w:p w14:paraId="499EB7AE" w14:textId="77777777" w:rsidR="00BE51ED" w:rsidRPr="00CF31E0" w:rsidRDefault="00BE51ED" w:rsidP="00DF1804">
      <w:pPr>
        <w:rPr>
          <w:color w:val="000000" w:themeColor="text1"/>
          <w:lang w:eastAsia="en-US"/>
        </w:rPr>
      </w:pPr>
    </w:p>
    <w:p w14:paraId="1F1BFD87" w14:textId="77777777" w:rsidR="00BE51ED" w:rsidRPr="00CF31E0" w:rsidRDefault="00BE51ED" w:rsidP="00DF1804">
      <w:pPr>
        <w:rPr>
          <w:color w:val="000000" w:themeColor="text1"/>
          <w:lang w:eastAsia="en-US"/>
        </w:rPr>
      </w:pPr>
    </w:p>
    <w:p w14:paraId="3E28A216" w14:textId="77777777" w:rsidR="00BE51ED" w:rsidRPr="00CF31E0" w:rsidRDefault="00BE51ED" w:rsidP="00BE51ED">
      <w:pPr>
        <w:spacing w:line="400" w:lineRule="atLeast"/>
        <w:rPr>
          <w:rFonts w:eastAsia="MS Mincho"/>
          <w:b/>
          <w:bCs/>
          <w:color w:val="000000" w:themeColor="text1"/>
        </w:rPr>
      </w:pPr>
      <w:r w:rsidRPr="00CF31E0">
        <w:rPr>
          <w:rFonts w:eastAsia="MS Mincho"/>
          <w:b/>
          <w:bCs/>
          <w:color w:val="000000" w:themeColor="text1"/>
        </w:rPr>
        <w:t>Q2: What is the dominant dialect in Hijaz?</w:t>
      </w:r>
    </w:p>
    <w:p w14:paraId="5109D958" w14:textId="77777777" w:rsidR="00BE51ED" w:rsidRPr="00CF31E0" w:rsidRDefault="00BE51ED" w:rsidP="00DF1804">
      <w:pPr>
        <w:rPr>
          <w:color w:val="000000" w:themeColor="text1"/>
          <w:lang w:eastAsia="en-US"/>
        </w:rPr>
      </w:pPr>
    </w:p>
    <w:tbl>
      <w:tblPr>
        <w:tblW w:w="6714" w:type="dxa"/>
        <w:tblLayout w:type="fixed"/>
        <w:tblLook w:val="04A0" w:firstRow="1" w:lastRow="0" w:firstColumn="1" w:lastColumn="0" w:noHBand="0" w:noVBand="1"/>
      </w:tblPr>
      <w:tblGrid>
        <w:gridCol w:w="2235"/>
        <w:gridCol w:w="1134"/>
        <w:gridCol w:w="3345"/>
      </w:tblGrid>
      <w:tr w:rsidR="00067160" w:rsidRPr="00CF31E0" w14:paraId="5D11D824" w14:textId="77777777" w:rsidTr="00067160">
        <w:trPr>
          <w:trHeight w:val="567"/>
        </w:trPr>
        <w:tc>
          <w:tcPr>
            <w:tcW w:w="2235" w:type="dxa"/>
            <w:tcBorders>
              <w:top w:val="single" w:sz="8" w:space="0" w:color="auto"/>
              <w:bottom w:val="single" w:sz="8" w:space="0" w:color="auto"/>
            </w:tcBorders>
            <w:shd w:val="clear" w:color="auto" w:fill="auto"/>
            <w:hideMark/>
          </w:tcPr>
          <w:p w14:paraId="38A370B6"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Place of birth</w:t>
            </w:r>
          </w:p>
        </w:tc>
        <w:tc>
          <w:tcPr>
            <w:tcW w:w="1134" w:type="dxa"/>
            <w:tcBorders>
              <w:top w:val="single" w:sz="8" w:space="0" w:color="auto"/>
              <w:bottom w:val="single" w:sz="8" w:space="0" w:color="auto"/>
            </w:tcBorders>
            <w:shd w:val="clear" w:color="auto" w:fill="auto"/>
            <w:hideMark/>
          </w:tcPr>
          <w:p w14:paraId="7127D7AC"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345" w:type="dxa"/>
            <w:tcBorders>
              <w:top w:val="single" w:sz="8" w:space="0" w:color="auto"/>
              <w:bottom w:val="single" w:sz="8" w:space="0" w:color="auto"/>
            </w:tcBorders>
            <w:shd w:val="clear" w:color="auto" w:fill="auto"/>
          </w:tcPr>
          <w:p w14:paraId="61BE500C"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067160" w:rsidRPr="00CF31E0" w14:paraId="6F2D7AD6" w14:textId="77777777" w:rsidTr="00067160">
        <w:trPr>
          <w:trHeight w:val="567"/>
        </w:trPr>
        <w:tc>
          <w:tcPr>
            <w:tcW w:w="2235" w:type="dxa"/>
            <w:tcBorders>
              <w:top w:val="single" w:sz="8" w:space="0" w:color="auto"/>
            </w:tcBorders>
            <w:shd w:val="clear" w:color="auto" w:fill="auto"/>
            <w:vAlign w:val="bottom"/>
          </w:tcPr>
          <w:p w14:paraId="109DB99E" w14:textId="77777777" w:rsidR="00067160" w:rsidRPr="00CF31E0" w:rsidRDefault="00067160" w:rsidP="00DF180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0DE6A264"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1.320</w:t>
            </w:r>
            <w:r w:rsidRPr="00CF31E0">
              <w:rPr>
                <w:rFonts w:eastAsia="Calibri"/>
                <w:color w:val="000000" w:themeColor="text1"/>
                <w:sz w:val="22"/>
                <w:szCs w:val="22"/>
                <w:vertAlign w:val="superscript"/>
                <w:lang w:eastAsia="en-US"/>
              </w:rPr>
              <w:t>a</w:t>
            </w:r>
          </w:p>
        </w:tc>
        <w:tc>
          <w:tcPr>
            <w:tcW w:w="3345" w:type="dxa"/>
            <w:tcBorders>
              <w:top w:val="single" w:sz="8" w:space="0" w:color="auto"/>
            </w:tcBorders>
            <w:shd w:val="clear" w:color="auto" w:fill="auto"/>
            <w:vAlign w:val="bottom"/>
          </w:tcPr>
          <w:p w14:paraId="1E95AD7E" w14:textId="77777777" w:rsidR="00067160" w:rsidRPr="00CF31E0" w:rsidRDefault="00067160" w:rsidP="00DF180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.517</w:t>
            </w:r>
          </w:p>
        </w:tc>
      </w:tr>
      <w:tr w:rsidR="00067160" w:rsidRPr="00CF31E0" w14:paraId="59FDEE89" w14:textId="77777777" w:rsidTr="00067160">
        <w:trPr>
          <w:trHeight w:val="567"/>
        </w:trPr>
        <w:tc>
          <w:tcPr>
            <w:tcW w:w="2235" w:type="dxa"/>
            <w:tcBorders>
              <w:bottom w:val="single" w:sz="8" w:space="0" w:color="auto"/>
            </w:tcBorders>
            <w:shd w:val="clear" w:color="auto" w:fill="auto"/>
            <w:vAlign w:val="bottom"/>
          </w:tcPr>
          <w:p w14:paraId="3ECE4932"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0ADADAC2"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345" w:type="dxa"/>
            <w:tcBorders>
              <w:bottom w:val="single" w:sz="8" w:space="0" w:color="auto"/>
            </w:tcBorders>
            <w:shd w:val="clear" w:color="auto" w:fill="auto"/>
            <w:vAlign w:val="bottom"/>
          </w:tcPr>
          <w:p w14:paraId="6D5466F0" w14:textId="77777777" w:rsidR="00067160" w:rsidRPr="00CF31E0" w:rsidRDefault="00067160" w:rsidP="00DF1804">
            <w:pPr>
              <w:spacing w:after="200" w:line="276" w:lineRule="auto"/>
              <w:rPr>
                <w:rFonts w:eastAsia="Calibri"/>
                <w:color w:val="000000" w:themeColor="text1"/>
                <w:sz w:val="22"/>
                <w:szCs w:val="22"/>
                <w:lang w:eastAsia="en-US"/>
              </w:rPr>
            </w:pPr>
          </w:p>
        </w:tc>
      </w:tr>
    </w:tbl>
    <w:p w14:paraId="3F03944A" w14:textId="77777777" w:rsidR="00BE51ED" w:rsidRPr="00CF31E0" w:rsidRDefault="00BE51ED" w:rsidP="00DF1804">
      <w:pPr>
        <w:rPr>
          <w:color w:val="000000" w:themeColor="text1"/>
          <w:lang w:eastAsia="en-US"/>
        </w:rPr>
      </w:pPr>
    </w:p>
    <w:p w14:paraId="3FD9E8B6" w14:textId="77777777" w:rsidR="009E6308" w:rsidRPr="00CF31E0" w:rsidRDefault="009E6308" w:rsidP="00DF1804">
      <w:pPr>
        <w:rPr>
          <w:color w:val="000000" w:themeColor="text1"/>
          <w:lang w:eastAsia="en-US"/>
        </w:rPr>
      </w:pPr>
    </w:p>
    <w:tbl>
      <w:tblPr>
        <w:tblW w:w="6714" w:type="dxa"/>
        <w:tblLayout w:type="fixed"/>
        <w:tblLook w:val="04A0" w:firstRow="1" w:lastRow="0" w:firstColumn="1" w:lastColumn="0" w:noHBand="0" w:noVBand="1"/>
      </w:tblPr>
      <w:tblGrid>
        <w:gridCol w:w="2235"/>
        <w:gridCol w:w="1134"/>
        <w:gridCol w:w="3345"/>
      </w:tblGrid>
      <w:tr w:rsidR="00067160" w:rsidRPr="00CF31E0" w14:paraId="3E862C81" w14:textId="77777777" w:rsidTr="00067160">
        <w:trPr>
          <w:trHeight w:val="567"/>
        </w:trPr>
        <w:tc>
          <w:tcPr>
            <w:tcW w:w="2235" w:type="dxa"/>
            <w:tcBorders>
              <w:top w:val="single" w:sz="8" w:space="0" w:color="auto"/>
              <w:bottom w:val="single" w:sz="8" w:space="0" w:color="auto"/>
            </w:tcBorders>
            <w:shd w:val="clear" w:color="auto" w:fill="auto"/>
            <w:hideMark/>
          </w:tcPr>
          <w:p w14:paraId="24B65FCC"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Places lived</w:t>
            </w:r>
          </w:p>
        </w:tc>
        <w:tc>
          <w:tcPr>
            <w:tcW w:w="1134" w:type="dxa"/>
            <w:tcBorders>
              <w:top w:val="single" w:sz="8" w:space="0" w:color="auto"/>
              <w:bottom w:val="single" w:sz="8" w:space="0" w:color="auto"/>
            </w:tcBorders>
            <w:shd w:val="clear" w:color="auto" w:fill="auto"/>
            <w:hideMark/>
          </w:tcPr>
          <w:p w14:paraId="0385E85C"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345" w:type="dxa"/>
            <w:tcBorders>
              <w:top w:val="single" w:sz="8" w:space="0" w:color="auto"/>
              <w:bottom w:val="single" w:sz="8" w:space="0" w:color="auto"/>
            </w:tcBorders>
            <w:shd w:val="clear" w:color="auto" w:fill="auto"/>
          </w:tcPr>
          <w:p w14:paraId="197F2A4B"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067160" w:rsidRPr="00CF31E0" w14:paraId="466F150A" w14:textId="77777777" w:rsidTr="00067160">
        <w:trPr>
          <w:trHeight w:val="567"/>
        </w:trPr>
        <w:tc>
          <w:tcPr>
            <w:tcW w:w="2235" w:type="dxa"/>
            <w:tcBorders>
              <w:top w:val="single" w:sz="8" w:space="0" w:color="auto"/>
            </w:tcBorders>
            <w:shd w:val="clear" w:color="auto" w:fill="auto"/>
            <w:vAlign w:val="bottom"/>
          </w:tcPr>
          <w:p w14:paraId="3C661F9D" w14:textId="77777777" w:rsidR="00067160" w:rsidRPr="00CF31E0" w:rsidRDefault="00067160" w:rsidP="00DF180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34D7A034"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.567</w:t>
            </w:r>
            <w:r w:rsidRPr="00CF31E0">
              <w:rPr>
                <w:rFonts w:eastAsia="Calibri"/>
                <w:color w:val="000000" w:themeColor="text1"/>
                <w:sz w:val="22"/>
                <w:szCs w:val="22"/>
                <w:vertAlign w:val="superscript"/>
                <w:lang w:eastAsia="en-US"/>
              </w:rPr>
              <w:t>a</w:t>
            </w:r>
          </w:p>
        </w:tc>
        <w:tc>
          <w:tcPr>
            <w:tcW w:w="3345" w:type="dxa"/>
            <w:tcBorders>
              <w:top w:val="single" w:sz="8" w:space="0" w:color="auto"/>
            </w:tcBorders>
            <w:shd w:val="clear" w:color="auto" w:fill="auto"/>
            <w:vAlign w:val="bottom"/>
          </w:tcPr>
          <w:p w14:paraId="0FC6531C" w14:textId="77777777" w:rsidR="00067160" w:rsidRPr="00CF31E0" w:rsidRDefault="00067160" w:rsidP="00DF180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.753</w:t>
            </w:r>
          </w:p>
        </w:tc>
      </w:tr>
      <w:tr w:rsidR="00067160" w:rsidRPr="00CF31E0" w14:paraId="0B05D836" w14:textId="77777777" w:rsidTr="00067160">
        <w:trPr>
          <w:trHeight w:val="567"/>
        </w:trPr>
        <w:tc>
          <w:tcPr>
            <w:tcW w:w="2235" w:type="dxa"/>
            <w:tcBorders>
              <w:bottom w:val="single" w:sz="8" w:space="0" w:color="auto"/>
            </w:tcBorders>
            <w:shd w:val="clear" w:color="auto" w:fill="auto"/>
            <w:vAlign w:val="bottom"/>
          </w:tcPr>
          <w:p w14:paraId="2E86FF7E"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0C045CF8"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345" w:type="dxa"/>
            <w:tcBorders>
              <w:bottom w:val="single" w:sz="8" w:space="0" w:color="auto"/>
            </w:tcBorders>
            <w:shd w:val="clear" w:color="auto" w:fill="auto"/>
            <w:vAlign w:val="bottom"/>
          </w:tcPr>
          <w:p w14:paraId="2D32A58D" w14:textId="77777777" w:rsidR="00067160" w:rsidRPr="00CF31E0" w:rsidRDefault="00067160" w:rsidP="00DF1804">
            <w:pPr>
              <w:spacing w:after="200" w:line="276" w:lineRule="auto"/>
              <w:rPr>
                <w:rFonts w:eastAsia="Calibri"/>
                <w:color w:val="000000" w:themeColor="text1"/>
                <w:sz w:val="22"/>
                <w:szCs w:val="22"/>
                <w:lang w:eastAsia="en-US"/>
              </w:rPr>
            </w:pPr>
          </w:p>
        </w:tc>
      </w:tr>
    </w:tbl>
    <w:p w14:paraId="25C159CC" w14:textId="77777777" w:rsidR="009E6308" w:rsidRPr="00CF31E0" w:rsidRDefault="009E6308" w:rsidP="00DF1804">
      <w:pPr>
        <w:rPr>
          <w:color w:val="000000" w:themeColor="text1"/>
          <w:lang w:eastAsia="en-US"/>
        </w:rPr>
      </w:pPr>
    </w:p>
    <w:p w14:paraId="02C2E2D4" w14:textId="77777777" w:rsidR="00067160" w:rsidRPr="00CF31E0" w:rsidRDefault="00067160" w:rsidP="00DF1804">
      <w:pPr>
        <w:rPr>
          <w:color w:val="000000" w:themeColor="text1"/>
          <w:lang w:eastAsia="en-US"/>
        </w:rPr>
      </w:pPr>
    </w:p>
    <w:p w14:paraId="4F3AD2E0" w14:textId="77777777" w:rsidR="00EE138D" w:rsidRPr="00CF31E0" w:rsidRDefault="00EE138D" w:rsidP="00DF1804">
      <w:pPr>
        <w:rPr>
          <w:color w:val="000000" w:themeColor="text1"/>
          <w:lang w:eastAsia="en-US"/>
        </w:rPr>
      </w:pPr>
    </w:p>
    <w:p w14:paraId="5F582003" w14:textId="77777777" w:rsidR="00EE138D" w:rsidRPr="00CF31E0" w:rsidRDefault="00EE138D" w:rsidP="00DF1804">
      <w:pPr>
        <w:rPr>
          <w:color w:val="000000" w:themeColor="text1"/>
          <w:lang w:eastAsia="en-US"/>
        </w:rPr>
      </w:pPr>
    </w:p>
    <w:p w14:paraId="02DB9A23" w14:textId="77777777" w:rsidR="00EE138D" w:rsidRPr="00CF31E0" w:rsidRDefault="00EE138D" w:rsidP="00DF1804">
      <w:pPr>
        <w:rPr>
          <w:color w:val="000000" w:themeColor="text1"/>
          <w:lang w:eastAsia="en-US"/>
        </w:rPr>
      </w:pPr>
    </w:p>
    <w:tbl>
      <w:tblPr>
        <w:tblW w:w="6714" w:type="dxa"/>
        <w:tblLayout w:type="fixed"/>
        <w:tblLook w:val="04A0" w:firstRow="1" w:lastRow="0" w:firstColumn="1" w:lastColumn="0" w:noHBand="0" w:noVBand="1"/>
      </w:tblPr>
      <w:tblGrid>
        <w:gridCol w:w="2235"/>
        <w:gridCol w:w="1134"/>
        <w:gridCol w:w="3345"/>
      </w:tblGrid>
      <w:tr w:rsidR="00067160" w:rsidRPr="00CF31E0" w14:paraId="6A6D3797" w14:textId="77777777" w:rsidTr="00067160">
        <w:trPr>
          <w:trHeight w:val="567"/>
        </w:trPr>
        <w:tc>
          <w:tcPr>
            <w:tcW w:w="2235" w:type="dxa"/>
            <w:tcBorders>
              <w:top w:val="single" w:sz="8" w:space="0" w:color="auto"/>
              <w:bottom w:val="single" w:sz="8" w:space="0" w:color="auto"/>
            </w:tcBorders>
            <w:shd w:val="clear" w:color="auto" w:fill="auto"/>
            <w:hideMark/>
          </w:tcPr>
          <w:p w14:paraId="31404218"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Marital status</w:t>
            </w:r>
          </w:p>
        </w:tc>
        <w:tc>
          <w:tcPr>
            <w:tcW w:w="1134" w:type="dxa"/>
            <w:tcBorders>
              <w:top w:val="single" w:sz="8" w:space="0" w:color="auto"/>
              <w:bottom w:val="single" w:sz="8" w:space="0" w:color="auto"/>
            </w:tcBorders>
            <w:shd w:val="clear" w:color="auto" w:fill="auto"/>
            <w:hideMark/>
          </w:tcPr>
          <w:p w14:paraId="093456D5"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345" w:type="dxa"/>
            <w:tcBorders>
              <w:top w:val="single" w:sz="8" w:space="0" w:color="auto"/>
              <w:bottom w:val="single" w:sz="8" w:space="0" w:color="auto"/>
            </w:tcBorders>
            <w:shd w:val="clear" w:color="auto" w:fill="auto"/>
          </w:tcPr>
          <w:p w14:paraId="221067DC"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067160" w:rsidRPr="00CF31E0" w14:paraId="691940DB" w14:textId="77777777" w:rsidTr="00067160">
        <w:trPr>
          <w:trHeight w:val="567"/>
        </w:trPr>
        <w:tc>
          <w:tcPr>
            <w:tcW w:w="2235" w:type="dxa"/>
            <w:tcBorders>
              <w:top w:val="single" w:sz="8" w:space="0" w:color="auto"/>
            </w:tcBorders>
            <w:shd w:val="clear" w:color="auto" w:fill="auto"/>
            <w:vAlign w:val="bottom"/>
          </w:tcPr>
          <w:p w14:paraId="7AFA7F6F" w14:textId="77777777" w:rsidR="00067160" w:rsidRPr="00CF31E0" w:rsidRDefault="00067160" w:rsidP="00DF180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lastRenderedPageBreak/>
              <w:t>Pearson Chi-Square</w:t>
            </w:r>
          </w:p>
        </w:tc>
        <w:tc>
          <w:tcPr>
            <w:tcW w:w="1134" w:type="dxa"/>
            <w:tcBorders>
              <w:top w:val="single" w:sz="8" w:space="0" w:color="auto"/>
            </w:tcBorders>
            <w:shd w:val="clear" w:color="auto" w:fill="auto"/>
            <w:vAlign w:val="bottom"/>
          </w:tcPr>
          <w:p w14:paraId="76F7AE85"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7.676</w:t>
            </w:r>
            <w:r w:rsidRPr="00CF31E0">
              <w:rPr>
                <w:rFonts w:eastAsia="Calibri"/>
                <w:color w:val="000000" w:themeColor="text1"/>
                <w:sz w:val="22"/>
                <w:szCs w:val="22"/>
                <w:vertAlign w:val="superscript"/>
                <w:lang w:eastAsia="en-US"/>
              </w:rPr>
              <w:t>a</w:t>
            </w:r>
          </w:p>
        </w:tc>
        <w:tc>
          <w:tcPr>
            <w:tcW w:w="3345" w:type="dxa"/>
            <w:tcBorders>
              <w:top w:val="single" w:sz="8" w:space="0" w:color="auto"/>
            </w:tcBorders>
            <w:shd w:val="clear" w:color="auto" w:fill="auto"/>
            <w:vAlign w:val="bottom"/>
          </w:tcPr>
          <w:p w14:paraId="6F7B5282" w14:textId="77777777" w:rsidR="00067160" w:rsidRPr="00CF31E0" w:rsidRDefault="00067160" w:rsidP="00DF180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.104</w:t>
            </w:r>
          </w:p>
        </w:tc>
      </w:tr>
      <w:tr w:rsidR="00067160" w:rsidRPr="00CF31E0" w14:paraId="1724128D" w14:textId="77777777" w:rsidTr="00067160">
        <w:trPr>
          <w:trHeight w:val="567"/>
        </w:trPr>
        <w:tc>
          <w:tcPr>
            <w:tcW w:w="2235" w:type="dxa"/>
            <w:tcBorders>
              <w:bottom w:val="single" w:sz="8" w:space="0" w:color="auto"/>
            </w:tcBorders>
            <w:shd w:val="clear" w:color="auto" w:fill="auto"/>
            <w:vAlign w:val="bottom"/>
          </w:tcPr>
          <w:p w14:paraId="08DA0686"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2F390AE9"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345" w:type="dxa"/>
            <w:tcBorders>
              <w:bottom w:val="single" w:sz="8" w:space="0" w:color="auto"/>
            </w:tcBorders>
            <w:shd w:val="clear" w:color="auto" w:fill="auto"/>
            <w:vAlign w:val="bottom"/>
          </w:tcPr>
          <w:p w14:paraId="3951EDFF" w14:textId="77777777" w:rsidR="00067160" w:rsidRPr="00CF31E0" w:rsidRDefault="00067160" w:rsidP="00DF1804">
            <w:pPr>
              <w:spacing w:after="200" w:line="276" w:lineRule="auto"/>
              <w:rPr>
                <w:rFonts w:eastAsia="Calibri"/>
                <w:color w:val="000000" w:themeColor="text1"/>
                <w:sz w:val="22"/>
                <w:szCs w:val="22"/>
                <w:lang w:eastAsia="en-US"/>
              </w:rPr>
            </w:pPr>
          </w:p>
        </w:tc>
      </w:tr>
    </w:tbl>
    <w:p w14:paraId="2FA586FA" w14:textId="77777777" w:rsidR="009E6308" w:rsidRPr="00CF31E0" w:rsidRDefault="009E6308" w:rsidP="00DF1804">
      <w:pPr>
        <w:rPr>
          <w:color w:val="000000" w:themeColor="text1"/>
          <w:lang w:eastAsia="en-US"/>
        </w:rPr>
      </w:pPr>
    </w:p>
    <w:p w14:paraId="3476823C" w14:textId="77777777" w:rsidR="002877AB" w:rsidRPr="00CF31E0" w:rsidRDefault="002877AB" w:rsidP="00DF1804">
      <w:pPr>
        <w:rPr>
          <w:color w:val="000000" w:themeColor="text1"/>
          <w:lang w:eastAsia="en-US"/>
        </w:rPr>
      </w:pPr>
    </w:p>
    <w:tbl>
      <w:tblPr>
        <w:tblW w:w="6714" w:type="dxa"/>
        <w:tblLayout w:type="fixed"/>
        <w:tblLook w:val="04A0" w:firstRow="1" w:lastRow="0" w:firstColumn="1" w:lastColumn="0" w:noHBand="0" w:noVBand="1"/>
      </w:tblPr>
      <w:tblGrid>
        <w:gridCol w:w="2235"/>
        <w:gridCol w:w="1134"/>
        <w:gridCol w:w="3345"/>
      </w:tblGrid>
      <w:tr w:rsidR="00067160" w:rsidRPr="00CF31E0" w14:paraId="07C650C4" w14:textId="77777777" w:rsidTr="00067160">
        <w:trPr>
          <w:trHeight w:val="567"/>
        </w:trPr>
        <w:tc>
          <w:tcPr>
            <w:tcW w:w="2235" w:type="dxa"/>
            <w:tcBorders>
              <w:top w:val="single" w:sz="8" w:space="0" w:color="auto"/>
              <w:bottom w:val="single" w:sz="8" w:space="0" w:color="auto"/>
            </w:tcBorders>
            <w:shd w:val="clear" w:color="auto" w:fill="auto"/>
            <w:hideMark/>
          </w:tcPr>
          <w:p w14:paraId="416EFBE8"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Education</w:t>
            </w:r>
          </w:p>
        </w:tc>
        <w:tc>
          <w:tcPr>
            <w:tcW w:w="1134" w:type="dxa"/>
            <w:tcBorders>
              <w:top w:val="single" w:sz="8" w:space="0" w:color="auto"/>
              <w:bottom w:val="single" w:sz="8" w:space="0" w:color="auto"/>
            </w:tcBorders>
            <w:shd w:val="clear" w:color="auto" w:fill="auto"/>
            <w:hideMark/>
          </w:tcPr>
          <w:p w14:paraId="59C2D164"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345" w:type="dxa"/>
            <w:tcBorders>
              <w:top w:val="single" w:sz="8" w:space="0" w:color="auto"/>
              <w:bottom w:val="single" w:sz="8" w:space="0" w:color="auto"/>
            </w:tcBorders>
            <w:shd w:val="clear" w:color="auto" w:fill="auto"/>
          </w:tcPr>
          <w:p w14:paraId="540610FB"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067160" w:rsidRPr="00CF31E0" w14:paraId="3C161766" w14:textId="77777777" w:rsidTr="00067160">
        <w:trPr>
          <w:trHeight w:val="567"/>
        </w:trPr>
        <w:tc>
          <w:tcPr>
            <w:tcW w:w="2235" w:type="dxa"/>
            <w:tcBorders>
              <w:top w:val="single" w:sz="8" w:space="0" w:color="auto"/>
            </w:tcBorders>
            <w:shd w:val="clear" w:color="auto" w:fill="auto"/>
            <w:vAlign w:val="bottom"/>
          </w:tcPr>
          <w:p w14:paraId="5E15320A" w14:textId="77777777" w:rsidR="00067160" w:rsidRPr="00CF31E0" w:rsidRDefault="00067160" w:rsidP="00DF180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6E2D845E"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8.986</w:t>
            </w:r>
            <w:r w:rsidRPr="00CF31E0">
              <w:rPr>
                <w:rFonts w:eastAsia="Calibri"/>
                <w:color w:val="000000" w:themeColor="text1"/>
                <w:sz w:val="22"/>
                <w:szCs w:val="22"/>
                <w:vertAlign w:val="superscript"/>
                <w:lang w:eastAsia="en-US"/>
              </w:rPr>
              <w:t>a</w:t>
            </w:r>
          </w:p>
        </w:tc>
        <w:tc>
          <w:tcPr>
            <w:tcW w:w="3345" w:type="dxa"/>
            <w:tcBorders>
              <w:top w:val="single" w:sz="8" w:space="0" w:color="auto"/>
            </w:tcBorders>
            <w:shd w:val="clear" w:color="auto" w:fill="auto"/>
            <w:vAlign w:val="bottom"/>
          </w:tcPr>
          <w:p w14:paraId="11351292" w14:textId="77777777" w:rsidR="00067160" w:rsidRPr="00CF31E0" w:rsidRDefault="00067160" w:rsidP="00DF180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.061</w:t>
            </w:r>
          </w:p>
        </w:tc>
      </w:tr>
      <w:tr w:rsidR="00067160" w:rsidRPr="00CF31E0" w14:paraId="20045119" w14:textId="77777777" w:rsidTr="00067160">
        <w:trPr>
          <w:trHeight w:val="567"/>
        </w:trPr>
        <w:tc>
          <w:tcPr>
            <w:tcW w:w="2235" w:type="dxa"/>
            <w:tcBorders>
              <w:bottom w:val="single" w:sz="8" w:space="0" w:color="auto"/>
            </w:tcBorders>
            <w:shd w:val="clear" w:color="auto" w:fill="auto"/>
            <w:vAlign w:val="bottom"/>
          </w:tcPr>
          <w:p w14:paraId="368C6BE9"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4414AAE7"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345" w:type="dxa"/>
            <w:tcBorders>
              <w:bottom w:val="single" w:sz="8" w:space="0" w:color="auto"/>
            </w:tcBorders>
            <w:shd w:val="clear" w:color="auto" w:fill="auto"/>
            <w:vAlign w:val="bottom"/>
          </w:tcPr>
          <w:p w14:paraId="117A6869" w14:textId="77777777" w:rsidR="00067160" w:rsidRPr="00CF31E0" w:rsidRDefault="00067160" w:rsidP="00DF1804">
            <w:pPr>
              <w:spacing w:after="200" w:line="276" w:lineRule="auto"/>
              <w:rPr>
                <w:rFonts w:eastAsia="Calibri"/>
                <w:color w:val="000000" w:themeColor="text1"/>
                <w:sz w:val="22"/>
                <w:szCs w:val="22"/>
                <w:lang w:eastAsia="en-US"/>
              </w:rPr>
            </w:pPr>
          </w:p>
        </w:tc>
      </w:tr>
    </w:tbl>
    <w:p w14:paraId="5DE8975C" w14:textId="77777777" w:rsidR="00BE51ED" w:rsidRPr="00CF31E0" w:rsidRDefault="00BE51ED" w:rsidP="00DF1804">
      <w:pPr>
        <w:rPr>
          <w:color w:val="000000" w:themeColor="text1"/>
          <w:lang w:eastAsia="en-US"/>
        </w:rPr>
      </w:pPr>
    </w:p>
    <w:p w14:paraId="5D94BE51" w14:textId="77777777" w:rsidR="002877AB" w:rsidRPr="00CF31E0" w:rsidRDefault="002877AB" w:rsidP="00DF1804">
      <w:pPr>
        <w:rPr>
          <w:color w:val="000000" w:themeColor="text1"/>
          <w:lang w:eastAsia="en-US"/>
        </w:rPr>
      </w:pPr>
    </w:p>
    <w:tbl>
      <w:tblPr>
        <w:tblW w:w="6714" w:type="dxa"/>
        <w:tblLayout w:type="fixed"/>
        <w:tblLook w:val="04A0" w:firstRow="1" w:lastRow="0" w:firstColumn="1" w:lastColumn="0" w:noHBand="0" w:noVBand="1"/>
      </w:tblPr>
      <w:tblGrid>
        <w:gridCol w:w="2235"/>
        <w:gridCol w:w="1134"/>
        <w:gridCol w:w="3345"/>
      </w:tblGrid>
      <w:tr w:rsidR="00067160" w:rsidRPr="00CF31E0" w14:paraId="57032FF4" w14:textId="77777777" w:rsidTr="00067160">
        <w:trPr>
          <w:trHeight w:val="567"/>
        </w:trPr>
        <w:tc>
          <w:tcPr>
            <w:tcW w:w="2235" w:type="dxa"/>
            <w:tcBorders>
              <w:top w:val="single" w:sz="8" w:space="0" w:color="auto"/>
              <w:bottom w:val="single" w:sz="8" w:space="0" w:color="auto"/>
            </w:tcBorders>
            <w:shd w:val="clear" w:color="auto" w:fill="auto"/>
            <w:hideMark/>
          </w:tcPr>
          <w:p w14:paraId="4720B73C"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Age</w:t>
            </w:r>
          </w:p>
        </w:tc>
        <w:tc>
          <w:tcPr>
            <w:tcW w:w="1134" w:type="dxa"/>
            <w:tcBorders>
              <w:top w:val="single" w:sz="8" w:space="0" w:color="auto"/>
              <w:bottom w:val="single" w:sz="8" w:space="0" w:color="auto"/>
            </w:tcBorders>
            <w:shd w:val="clear" w:color="auto" w:fill="auto"/>
            <w:hideMark/>
          </w:tcPr>
          <w:p w14:paraId="4D224C6B"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345" w:type="dxa"/>
            <w:tcBorders>
              <w:top w:val="single" w:sz="8" w:space="0" w:color="auto"/>
              <w:bottom w:val="single" w:sz="8" w:space="0" w:color="auto"/>
            </w:tcBorders>
            <w:shd w:val="clear" w:color="auto" w:fill="auto"/>
          </w:tcPr>
          <w:p w14:paraId="529270EE"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067160" w:rsidRPr="00CF31E0" w14:paraId="77E6C3B7" w14:textId="77777777" w:rsidTr="00067160">
        <w:trPr>
          <w:trHeight w:val="567"/>
        </w:trPr>
        <w:tc>
          <w:tcPr>
            <w:tcW w:w="2235" w:type="dxa"/>
            <w:tcBorders>
              <w:top w:val="single" w:sz="8" w:space="0" w:color="auto"/>
            </w:tcBorders>
            <w:shd w:val="clear" w:color="auto" w:fill="auto"/>
            <w:vAlign w:val="bottom"/>
          </w:tcPr>
          <w:p w14:paraId="30538726" w14:textId="77777777" w:rsidR="00067160" w:rsidRPr="00CF31E0" w:rsidRDefault="00067160" w:rsidP="00DF180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0F7478AD"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10.154</w:t>
            </w:r>
            <w:r w:rsidRPr="00CF31E0">
              <w:rPr>
                <w:rFonts w:eastAsia="Calibri"/>
                <w:color w:val="000000" w:themeColor="text1"/>
                <w:sz w:val="22"/>
                <w:szCs w:val="22"/>
                <w:vertAlign w:val="superscript"/>
                <w:lang w:eastAsia="en-US"/>
              </w:rPr>
              <w:t>a</w:t>
            </w:r>
          </w:p>
        </w:tc>
        <w:tc>
          <w:tcPr>
            <w:tcW w:w="3345" w:type="dxa"/>
            <w:tcBorders>
              <w:top w:val="single" w:sz="8" w:space="0" w:color="auto"/>
            </w:tcBorders>
            <w:shd w:val="clear" w:color="auto" w:fill="auto"/>
            <w:vAlign w:val="bottom"/>
          </w:tcPr>
          <w:p w14:paraId="5BAC3128" w14:textId="77777777" w:rsidR="00067160" w:rsidRPr="00CF31E0" w:rsidRDefault="00067160" w:rsidP="00DF180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.254</w:t>
            </w:r>
          </w:p>
        </w:tc>
      </w:tr>
      <w:tr w:rsidR="00067160" w:rsidRPr="00CF31E0" w14:paraId="2FDA3B1B" w14:textId="77777777" w:rsidTr="00067160">
        <w:trPr>
          <w:trHeight w:val="567"/>
        </w:trPr>
        <w:tc>
          <w:tcPr>
            <w:tcW w:w="2235" w:type="dxa"/>
            <w:tcBorders>
              <w:bottom w:val="single" w:sz="8" w:space="0" w:color="auto"/>
            </w:tcBorders>
            <w:shd w:val="clear" w:color="auto" w:fill="auto"/>
            <w:vAlign w:val="bottom"/>
          </w:tcPr>
          <w:p w14:paraId="6AEF41CF"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77BC857A"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345" w:type="dxa"/>
            <w:tcBorders>
              <w:bottom w:val="single" w:sz="8" w:space="0" w:color="auto"/>
            </w:tcBorders>
            <w:shd w:val="clear" w:color="auto" w:fill="auto"/>
            <w:vAlign w:val="bottom"/>
          </w:tcPr>
          <w:p w14:paraId="048650E6" w14:textId="77777777" w:rsidR="00067160" w:rsidRPr="00CF31E0" w:rsidRDefault="00067160" w:rsidP="00DF1804">
            <w:pPr>
              <w:spacing w:after="200" w:line="276" w:lineRule="auto"/>
              <w:rPr>
                <w:rFonts w:eastAsia="Calibri"/>
                <w:color w:val="000000" w:themeColor="text1"/>
                <w:sz w:val="22"/>
                <w:szCs w:val="22"/>
                <w:lang w:eastAsia="en-US"/>
              </w:rPr>
            </w:pPr>
          </w:p>
        </w:tc>
      </w:tr>
    </w:tbl>
    <w:p w14:paraId="3B6CE416" w14:textId="77777777" w:rsidR="008C00D8" w:rsidRPr="00CF31E0" w:rsidRDefault="008C00D8" w:rsidP="00DF1804">
      <w:pPr>
        <w:rPr>
          <w:color w:val="000000" w:themeColor="text1"/>
          <w:lang w:eastAsia="en-US"/>
        </w:rPr>
      </w:pPr>
    </w:p>
    <w:p w14:paraId="5B76F51C" w14:textId="77777777" w:rsidR="008C00D8" w:rsidRPr="00CF31E0" w:rsidRDefault="008C00D8" w:rsidP="00DF1804">
      <w:pPr>
        <w:rPr>
          <w:color w:val="000000" w:themeColor="text1"/>
          <w:lang w:eastAsia="en-US"/>
        </w:rPr>
      </w:pPr>
    </w:p>
    <w:p w14:paraId="49E93D85" w14:textId="77777777" w:rsidR="002877AB" w:rsidRPr="00CF31E0" w:rsidRDefault="002877AB" w:rsidP="002877AB">
      <w:pPr>
        <w:spacing w:line="400" w:lineRule="atLeast"/>
        <w:rPr>
          <w:rFonts w:eastAsia="MS Mincho"/>
          <w:b/>
          <w:bCs/>
          <w:color w:val="000000" w:themeColor="text1"/>
        </w:rPr>
      </w:pPr>
      <w:r w:rsidRPr="00CF31E0">
        <w:rPr>
          <w:rFonts w:eastAsia="MS Mincho"/>
          <w:b/>
          <w:bCs/>
          <w:color w:val="000000" w:themeColor="text1"/>
        </w:rPr>
        <w:t>Q3: What is the degree of difference between the two dialects?</w:t>
      </w:r>
    </w:p>
    <w:p w14:paraId="7DA61A32" w14:textId="77777777" w:rsidR="008C00D8" w:rsidRPr="00CF31E0" w:rsidRDefault="008C00D8" w:rsidP="00DF1804">
      <w:pPr>
        <w:rPr>
          <w:color w:val="000000" w:themeColor="text1"/>
          <w:lang w:eastAsia="en-US"/>
        </w:rPr>
      </w:pPr>
    </w:p>
    <w:tbl>
      <w:tblPr>
        <w:tblW w:w="6714" w:type="dxa"/>
        <w:tblLayout w:type="fixed"/>
        <w:tblLook w:val="04A0" w:firstRow="1" w:lastRow="0" w:firstColumn="1" w:lastColumn="0" w:noHBand="0" w:noVBand="1"/>
      </w:tblPr>
      <w:tblGrid>
        <w:gridCol w:w="2235"/>
        <w:gridCol w:w="1134"/>
        <w:gridCol w:w="3345"/>
      </w:tblGrid>
      <w:tr w:rsidR="00067160" w:rsidRPr="00CF31E0" w14:paraId="4B73C6C2" w14:textId="77777777" w:rsidTr="00067160">
        <w:trPr>
          <w:trHeight w:val="567"/>
        </w:trPr>
        <w:tc>
          <w:tcPr>
            <w:tcW w:w="2235" w:type="dxa"/>
            <w:tcBorders>
              <w:top w:val="single" w:sz="8" w:space="0" w:color="auto"/>
              <w:bottom w:val="single" w:sz="8" w:space="0" w:color="auto"/>
            </w:tcBorders>
            <w:shd w:val="clear" w:color="auto" w:fill="auto"/>
            <w:hideMark/>
          </w:tcPr>
          <w:p w14:paraId="050A1A61"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Gender</w:t>
            </w:r>
          </w:p>
        </w:tc>
        <w:tc>
          <w:tcPr>
            <w:tcW w:w="1134" w:type="dxa"/>
            <w:tcBorders>
              <w:top w:val="single" w:sz="8" w:space="0" w:color="auto"/>
              <w:bottom w:val="single" w:sz="8" w:space="0" w:color="auto"/>
            </w:tcBorders>
            <w:shd w:val="clear" w:color="auto" w:fill="auto"/>
            <w:hideMark/>
          </w:tcPr>
          <w:p w14:paraId="6FA2AC63"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345" w:type="dxa"/>
            <w:tcBorders>
              <w:top w:val="single" w:sz="8" w:space="0" w:color="auto"/>
              <w:bottom w:val="single" w:sz="8" w:space="0" w:color="auto"/>
            </w:tcBorders>
            <w:shd w:val="clear" w:color="auto" w:fill="auto"/>
          </w:tcPr>
          <w:p w14:paraId="2A8F0306" w14:textId="77777777" w:rsidR="00067160" w:rsidRPr="00CF31E0" w:rsidRDefault="00067160" w:rsidP="00603CB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067160" w:rsidRPr="00CF31E0" w14:paraId="5538F9EF" w14:textId="77777777" w:rsidTr="00067160">
        <w:trPr>
          <w:trHeight w:val="567"/>
        </w:trPr>
        <w:tc>
          <w:tcPr>
            <w:tcW w:w="2235" w:type="dxa"/>
            <w:tcBorders>
              <w:top w:val="single" w:sz="8" w:space="0" w:color="auto"/>
            </w:tcBorders>
            <w:shd w:val="clear" w:color="auto" w:fill="auto"/>
            <w:vAlign w:val="bottom"/>
          </w:tcPr>
          <w:p w14:paraId="339CE88E" w14:textId="77777777" w:rsidR="00067160" w:rsidRPr="00CF31E0" w:rsidRDefault="00067160" w:rsidP="00DF180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25924E87"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3.836</w:t>
            </w:r>
            <w:r w:rsidRPr="00CF31E0">
              <w:rPr>
                <w:rFonts w:eastAsia="Calibri"/>
                <w:color w:val="000000" w:themeColor="text1"/>
                <w:sz w:val="22"/>
                <w:szCs w:val="22"/>
                <w:vertAlign w:val="superscript"/>
                <w:lang w:eastAsia="en-US"/>
              </w:rPr>
              <w:t>a</w:t>
            </w:r>
          </w:p>
        </w:tc>
        <w:tc>
          <w:tcPr>
            <w:tcW w:w="3345" w:type="dxa"/>
            <w:tcBorders>
              <w:top w:val="single" w:sz="8" w:space="0" w:color="auto"/>
            </w:tcBorders>
            <w:shd w:val="clear" w:color="auto" w:fill="auto"/>
            <w:vAlign w:val="bottom"/>
          </w:tcPr>
          <w:p w14:paraId="12334DB6" w14:textId="77777777" w:rsidR="00067160" w:rsidRPr="00CF31E0" w:rsidRDefault="00067160" w:rsidP="00DF180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.280</w:t>
            </w:r>
          </w:p>
        </w:tc>
      </w:tr>
      <w:tr w:rsidR="00067160" w:rsidRPr="00CF31E0" w14:paraId="47B1C88E" w14:textId="77777777" w:rsidTr="00067160">
        <w:trPr>
          <w:trHeight w:val="567"/>
        </w:trPr>
        <w:tc>
          <w:tcPr>
            <w:tcW w:w="2235" w:type="dxa"/>
            <w:tcBorders>
              <w:bottom w:val="single" w:sz="8" w:space="0" w:color="auto"/>
            </w:tcBorders>
            <w:shd w:val="clear" w:color="auto" w:fill="auto"/>
            <w:vAlign w:val="bottom"/>
          </w:tcPr>
          <w:p w14:paraId="05D93638"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7901C780"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345" w:type="dxa"/>
            <w:tcBorders>
              <w:bottom w:val="single" w:sz="8" w:space="0" w:color="auto"/>
            </w:tcBorders>
            <w:shd w:val="clear" w:color="auto" w:fill="auto"/>
            <w:vAlign w:val="bottom"/>
          </w:tcPr>
          <w:p w14:paraId="05FFF6F5" w14:textId="77777777" w:rsidR="00067160" w:rsidRPr="00CF31E0" w:rsidRDefault="00067160" w:rsidP="00DF1804">
            <w:pPr>
              <w:spacing w:after="200" w:line="276" w:lineRule="auto"/>
              <w:rPr>
                <w:rFonts w:eastAsia="Calibri"/>
                <w:color w:val="000000" w:themeColor="text1"/>
                <w:sz w:val="22"/>
                <w:szCs w:val="22"/>
                <w:lang w:eastAsia="en-US"/>
              </w:rPr>
            </w:pPr>
          </w:p>
        </w:tc>
      </w:tr>
    </w:tbl>
    <w:p w14:paraId="13E9E7B8" w14:textId="77777777" w:rsidR="002877AB" w:rsidRPr="00CF31E0" w:rsidRDefault="002877AB" w:rsidP="00DF1804">
      <w:pPr>
        <w:rPr>
          <w:color w:val="000000" w:themeColor="text1"/>
          <w:lang w:eastAsia="en-US"/>
        </w:rPr>
      </w:pPr>
    </w:p>
    <w:p w14:paraId="6847E700" w14:textId="77777777" w:rsidR="008C00D8" w:rsidRPr="00CF31E0" w:rsidRDefault="008C00D8" w:rsidP="00DF1804">
      <w:pPr>
        <w:rPr>
          <w:color w:val="000000" w:themeColor="text1"/>
          <w:lang w:eastAsia="en-US"/>
        </w:rPr>
      </w:pPr>
    </w:p>
    <w:tbl>
      <w:tblPr>
        <w:tblW w:w="6714" w:type="dxa"/>
        <w:tblLayout w:type="fixed"/>
        <w:tblLook w:val="04A0" w:firstRow="1" w:lastRow="0" w:firstColumn="1" w:lastColumn="0" w:noHBand="0" w:noVBand="1"/>
      </w:tblPr>
      <w:tblGrid>
        <w:gridCol w:w="2235"/>
        <w:gridCol w:w="1134"/>
        <w:gridCol w:w="3345"/>
      </w:tblGrid>
      <w:tr w:rsidR="00067160" w:rsidRPr="00CF31E0" w14:paraId="740F495A" w14:textId="77777777" w:rsidTr="00067160">
        <w:trPr>
          <w:trHeight w:val="567"/>
        </w:trPr>
        <w:tc>
          <w:tcPr>
            <w:tcW w:w="2235" w:type="dxa"/>
            <w:tcBorders>
              <w:top w:val="single" w:sz="8" w:space="0" w:color="auto"/>
              <w:bottom w:val="single" w:sz="8" w:space="0" w:color="auto"/>
            </w:tcBorders>
            <w:shd w:val="clear" w:color="auto" w:fill="auto"/>
            <w:hideMark/>
          </w:tcPr>
          <w:p w14:paraId="1FF5EC37" w14:textId="77777777" w:rsidR="00067160" w:rsidRPr="00CF31E0" w:rsidRDefault="00067160" w:rsidP="00C72D1E">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Place of birth</w:t>
            </w:r>
          </w:p>
        </w:tc>
        <w:tc>
          <w:tcPr>
            <w:tcW w:w="1134" w:type="dxa"/>
            <w:tcBorders>
              <w:top w:val="single" w:sz="8" w:space="0" w:color="auto"/>
              <w:bottom w:val="single" w:sz="8" w:space="0" w:color="auto"/>
            </w:tcBorders>
            <w:shd w:val="clear" w:color="auto" w:fill="auto"/>
            <w:hideMark/>
          </w:tcPr>
          <w:p w14:paraId="3873BA32" w14:textId="77777777" w:rsidR="00067160" w:rsidRPr="00CF31E0" w:rsidRDefault="00067160" w:rsidP="00C72D1E">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345" w:type="dxa"/>
            <w:tcBorders>
              <w:top w:val="single" w:sz="8" w:space="0" w:color="auto"/>
              <w:bottom w:val="single" w:sz="8" w:space="0" w:color="auto"/>
            </w:tcBorders>
            <w:shd w:val="clear" w:color="auto" w:fill="auto"/>
          </w:tcPr>
          <w:p w14:paraId="7DC47025" w14:textId="77777777" w:rsidR="00067160" w:rsidRPr="00CF31E0" w:rsidRDefault="00067160" w:rsidP="00C72D1E">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067160" w:rsidRPr="00CF31E0" w14:paraId="32CF7CD7" w14:textId="77777777" w:rsidTr="00067160">
        <w:trPr>
          <w:trHeight w:val="567"/>
        </w:trPr>
        <w:tc>
          <w:tcPr>
            <w:tcW w:w="2235" w:type="dxa"/>
            <w:tcBorders>
              <w:top w:val="single" w:sz="8" w:space="0" w:color="auto"/>
            </w:tcBorders>
            <w:shd w:val="clear" w:color="auto" w:fill="auto"/>
            <w:vAlign w:val="bottom"/>
          </w:tcPr>
          <w:p w14:paraId="097E02F3" w14:textId="77777777" w:rsidR="00067160" w:rsidRPr="00CF31E0" w:rsidRDefault="00067160" w:rsidP="00DF180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4243E47E"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4.666</w:t>
            </w:r>
            <w:r w:rsidRPr="00CF31E0">
              <w:rPr>
                <w:rFonts w:eastAsia="Calibri"/>
                <w:color w:val="000000" w:themeColor="text1"/>
                <w:sz w:val="22"/>
                <w:szCs w:val="22"/>
                <w:vertAlign w:val="superscript"/>
                <w:lang w:eastAsia="en-US"/>
              </w:rPr>
              <w:t>a</w:t>
            </w:r>
          </w:p>
        </w:tc>
        <w:tc>
          <w:tcPr>
            <w:tcW w:w="3345" w:type="dxa"/>
            <w:tcBorders>
              <w:top w:val="single" w:sz="8" w:space="0" w:color="auto"/>
            </w:tcBorders>
            <w:shd w:val="clear" w:color="auto" w:fill="auto"/>
            <w:vAlign w:val="bottom"/>
          </w:tcPr>
          <w:p w14:paraId="6C23C1D2" w14:textId="77777777" w:rsidR="00067160" w:rsidRPr="00CF31E0" w:rsidRDefault="00067160" w:rsidP="00DF180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.198</w:t>
            </w:r>
          </w:p>
        </w:tc>
      </w:tr>
      <w:tr w:rsidR="00067160" w:rsidRPr="00CF31E0" w14:paraId="6789E66F" w14:textId="77777777" w:rsidTr="00067160">
        <w:trPr>
          <w:trHeight w:val="567"/>
        </w:trPr>
        <w:tc>
          <w:tcPr>
            <w:tcW w:w="2235" w:type="dxa"/>
            <w:tcBorders>
              <w:bottom w:val="single" w:sz="8" w:space="0" w:color="auto"/>
            </w:tcBorders>
            <w:shd w:val="clear" w:color="auto" w:fill="auto"/>
            <w:vAlign w:val="bottom"/>
          </w:tcPr>
          <w:p w14:paraId="5CF51EFE"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42B2DCC7"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345" w:type="dxa"/>
            <w:tcBorders>
              <w:bottom w:val="single" w:sz="8" w:space="0" w:color="auto"/>
            </w:tcBorders>
            <w:shd w:val="clear" w:color="auto" w:fill="auto"/>
            <w:vAlign w:val="bottom"/>
          </w:tcPr>
          <w:p w14:paraId="5AFE442A" w14:textId="77777777" w:rsidR="00067160" w:rsidRPr="00CF31E0" w:rsidRDefault="00067160" w:rsidP="00DF1804">
            <w:pPr>
              <w:spacing w:after="200" w:line="276" w:lineRule="auto"/>
              <w:rPr>
                <w:rFonts w:eastAsia="Calibri"/>
                <w:color w:val="000000" w:themeColor="text1"/>
                <w:sz w:val="22"/>
                <w:szCs w:val="22"/>
                <w:lang w:eastAsia="en-US"/>
              </w:rPr>
            </w:pPr>
          </w:p>
        </w:tc>
      </w:tr>
    </w:tbl>
    <w:p w14:paraId="2975C7FD" w14:textId="77777777" w:rsidR="008C00D8" w:rsidRPr="00CF31E0" w:rsidRDefault="008C00D8" w:rsidP="00DF1804">
      <w:pPr>
        <w:rPr>
          <w:color w:val="000000" w:themeColor="text1"/>
          <w:lang w:eastAsia="en-US"/>
        </w:rPr>
      </w:pPr>
    </w:p>
    <w:p w14:paraId="2AFCC9C6" w14:textId="77777777" w:rsidR="00EE138D" w:rsidRPr="00CF31E0" w:rsidRDefault="00EE138D" w:rsidP="00DF1804">
      <w:pPr>
        <w:rPr>
          <w:color w:val="000000" w:themeColor="text1"/>
          <w:lang w:eastAsia="en-US"/>
        </w:rPr>
      </w:pPr>
    </w:p>
    <w:p w14:paraId="6039F31C" w14:textId="77777777" w:rsidR="00EE138D" w:rsidRPr="00CF31E0" w:rsidRDefault="00EE138D" w:rsidP="00DF1804">
      <w:pPr>
        <w:rPr>
          <w:color w:val="000000" w:themeColor="text1"/>
          <w:lang w:eastAsia="en-US"/>
        </w:rPr>
      </w:pPr>
    </w:p>
    <w:tbl>
      <w:tblPr>
        <w:tblW w:w="6714" w:type="dxa"/>
        <w:tblLayout w:type="fixed"/>
        <w:tblLook w:val="04A0" w:firstRow="1" w:lastRow="0" w:firstColumn="1" w:lastColumn="0" w:noHBand="0" w:noVBand="1"/>
      </w:tblPr>
      <w:tblGrid>
        <w:gridCol w:w="2235"/>
        <w:gridCol w:w="1134"/>
        <w:gridCol w:w="3345"/>
      </w:tblGrid>
      <w:tr w:rsidR="00067160" w:rsidRPr="00CF31E0" w14:paraId="2950ECDE" w14:textId="77777777" w:rsidTr="00067160">
        <w:trPr>
          <w:trHeight w:val="567"/>
        </w:trPr>
        <w:tc>
          <w:tcPr>
            <w:tcW w:w="2235" w:type="dxa"/>
            <w:tcBorders>
              <w:top w:val="single" w:sz="8" w:space="0" w:color="auto"/>
              <w:bottom w:val="single" w:sz="8" w:space="0" w:color="auto"/>
            </w:tcBorders>
            <w:shd w:val="clear" w:color="auto" w:fill="auto"/>
            <w:hideMark/>
          </w:tcPr>
          <w:p w14:paraId="6EE1D0A4" w14:textId="77777777" w:rsidR="00067160" w:rsidRPr="00CF31E0" w:rsidRDefault="00067160" w:rsidP="00324E88">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Places lived</w:t>
            </w:r>
          </w:p>
        </w:tc>
        <w:tc>
          <w:tcPr>
            <w:tcW w:w="1134" w:type="dxa"/>
            <w:tcBorders>
              <w:top w:val="single" w:sz="8" w:space="0" w:color="auto"/>
              <w:bottom w:val="single" w:sz="8" w:space="0" w:color="auto"/>
            </w:tcBorders>
            <w:shd w:val="clear" w:color="auto" w:fill="auto"/>
            <w:hideMark/>
          </w:tcPr>
          <w:p w14:paraId="680E1D42" w14:textId="77777777" w:rsidR="00067160" w:rsidRPr="00CF31E0" w:rsidRDefault="00067160" w:rsidP="00324E88">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345" w:type="dxa"/>
            <w:tcBorders>
              <w:top w:val="single" w:sz="8" w:space="0" w:color="auto"/>
              <w:bottom w:val="single" w:sz="8" w:space="0" w:color="auto"/>
            </w:tcBorders>
            <w:shd w:val="clear" w:color="auto" w:fill="auto"/>
          </w:tcPr>
          <w:p w14:paraId="19A3506C" w14:textId="77777777" w:rsidR="00067160" w:rsidRPr="00CF31E0" w:rsidRDefault="00067160" w:rsidP="00324E88">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067160" w:rsidRPr="00CF31E0" w14:paraId="27870FF0" w14:textId="77777777" w:rsidTr="00067160">
        <w:trPr>
          <w:trHeight w:val="567"/>
        </w:trPr>
        <w:tc>
          <w:tcPr>
            <w:tcW w:w="2235" w:type="dxa"/>
            <w:tcBorders>
              <w:top w:val="single" w:sz="8" w:space="0" w:color="auto"/>
            </w:tcBorders>
            <w:shd w:val="clear" w:color="auto" w:fill="auto"/>
            <w:vAlign w:val="bottom"/>
          </w:tcPr>
          <w:p w14:paraId="209BD761" w14:textId="77777777" w:rsidR="00067160" w:rsidRPr="00CF31E0" w:rsidRDefault="00067160" w:rsidP="00DF180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15A27474"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1.911</w:t>
            </w:r>
            <w:r w:rsidRPr="00CF31E0">
              <w:rPr>
                <w:rFonts w:eastAsia="Calibri"/>
                <w:color w:val="000000" w:themeColor="text1"/>
                <w:sz w:val="22"/>
                <w:szCs w:val="22"/>
                <w:vertAlign w:val="superscript"/>
                <w:lang w:eastAsia="en-US"/>
              </w:rPr>
              <w:t>a</w:t>
            </w:r>
          </w:p>
        </w:tc>
        <w:tc>
          <w:tcPr>
            <w:tcW w:w="3345" w:type="dxa"/>
            <w:tcBorders>
              <w:top w:val="single" w:sz="8" w:space="0" w:color="auto"/>
            </w:tcBorders>
            <w:shd w:val="clear" w:color="auto" w:fill="auto"/>
            <w:vAlign w:val="bottom"/>
          </w:tcPr>
          <w:p w14:paraId="641227A0" w14:textId="77777777" w:rsidR="00067160" w:rsidRPr="00CF31E0" w:rsidRDefault="00067160" w:rsidP="00DF180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.591</w:t>
            </w:r>
          </w:p>
        </w:tc>
      </w:tr>
      <w:tr w:rsidR="00067160" w:rsidRPr="00CF31E0" w14:paraId="2D4001AB" w14:textId="77777777" w:rsidTr="00067160">
        <w:trPr>
          <w:trHeight w:val="567"/>
        </w:trPr>
        <w:tc>
          <w:tcPr>
            <w:tcW w:w="2235" w:type="dxa"/>
            <w:tcBorders>
              <w:bottom w:val="single" w:sz="8" w:space="0" w:color="auto"/>
            </w:tcBorders>
            <w:shd w:val="clear" w:color="auto" w:fill="auto"/>
            <w:vAlign w:val="bottom"/>
          </w:tcPr>
          <w:p w14:paraId="037B2E27"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27A637FB"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345" w:type="dxa"/>
            <w:tcBorders>
              <w:bottom w:val="single" w:sz="8" w:space="0" w:color="auto"/>
            </w:tcBorders>
            <w:shd w:val="clear" w:color="auto" w:fill="auto"/>
            <w:vAlign w:val="bottom"/>
          </w:tcPr>
          <w:p w14:paraId="57748C87" w14:textId="77777777" w:rsidR="00067160" w:rsidRPr="00CF31E0" w:rsidRDefault="00067160" w:rsidP="00DF1804">
            <w:pPr>
              <w:spacing w:after="200" w:line="276" w:lineRule="auto"/>
              <w:rPr>
                <w:rFonts w:eastAsia="Calibri"/>
                <w:color w:val="000000" w:themeColor="text1"/>
                <w:sz w:val="22"/>
                <w:szCs w:val="22"/>
                <w:lang w:eastAsia="en-US"/>
              </w:rPr>
            </w:pPr>
          </w:p>
        </w:tc>
      </w:tr>
    </w:tbl>
    <w:p w14:paraId="31A9AD6F" w14:textId="77777777" w:rsidR="00324E88" w:rsidRPr="00CF31E0" w:rsidRDefault="00324E88" w:rsidP="00DF1804">
      <w:pPr>
        <w:rPr>
          <w:color w:val="000000" w:themeColor="text1"/>
          <w:lang w:eastAsia="en-US"/>
        </w:rPr>
      </w:pPr>
    </w:p>
    <w:p w14:paraId="2B8A7947" w14:textId="77777777" w:rsidR="00324E88" w:rsidRPr="00CF31E0" w:rsidRDefault="00324E88" w:rsidP="00DF1804">
      <w:pPr>
        <w:rPr>
          <w:color w:val="000000" w:themeColor="text1"/>
          <w:lang w:eastAsia="en-US"/>
        </w:rPr>
      </w:pPr>
    </w:p>
    <w:tbl>
      <w:tblPr>
        <w:tblW w:w="6714" w:type="dxa"/>
        <w:tblLayout w:type="fixed"/>
        <w:tblLook w:val="04A0" w:firstRow="1" w:lastRow="0" w:firstColumn="1" w:lastColumn="0" w:noHBand="0" w:noVBand="1"/>
      </w:tblPr>
      <w:tblGrid>
        <w:gridCol w:w="2235"/>
        <w:gridCol w:w="1134"/>
        <w:gridCol w:w="3345"/>
      </w:tblGrid>
      <w:tr w:rsidR="00067160" w:rsidRPr="00CF31E0" w14:paraId="107A04B3" w14:textId="77777777" w:rsidTr="00067160">
        <w:trPr>
          <w:trHeight w:val="567"/>
        </w:trPr>
        <w:tc>
          <w:tcPr>
            <w:tcW w:w="2235" w:type="dxa"/>
            <w:tcBorders>
              <w:top w:val="single" w:sz="8" w:space="0" w:color="auto"/>
              <w:bottom w:val="single" w:sz="8" w:space="0" w:color="auto"/>
            </w:tcBorders>
            <w:shd w:val="clear" w:color="auto" w:fill="auto"/>
            <w:hideMark/>
          </w:tcPr>
          <w:p w14:paraId="1B80D9E6" w14:textId="77777777" w:rsidR="00067160" w:rsidRPr="00CF31E0" w:rsidRDefault="00067160" w:rsidP="00324E88">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Marital status</w:t>
            </w:r>
          </w:p>
        </w:tc>
        <w:tc>
          <w:tcPr>
            <w:tcW w:w="1134" w:type="dxa"/>
            <w:tcBorders>
              <w:top w:val="single" w:sz="8" w:space="0" w:color="auto"/>
              <w:bottom w:val="single" w:sz="8" w:space="0" w:color="auto"/>
            </w:tcBorders>
            <w:shd w:val="clear" w:color="auto" w:fill="auto"/>
            <w:hideMark/>
          </w:tcPr>
          <w:p w14:paraId="3934093F" w14:textId="77777777" w:rsidR="00067160" w:rsidRPr="00CF31E0" w:rsidRDefault="00067160" w:rsidP="00324E88">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345" w:type="dxa"/>
            <w:tcBorders>
              <w:top w:val="single" w:sz="8" w:space="0" w:color="auto"/>
              <w:bottom w:val="single" w:sz="8" w:space="0" w:color="auto"/>
            </w:tcBorders>
            <w:shd w:val="clear" w:color="auto" w:fill="auto"/>
          </w:tcPr>
          <w:p w14:paraId="4D7B5BB5" w14:textId="77777777" w:rsidR="00067160" w:rsidRPr="00CF31E0" w:rsidRDefault="00067160" w:rsidP="00324E88">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067160" w:rsidRPr="00CF31E0" w14:paraId="772FF296" w14:textId="77777777" w:rsidTr="00067160">
        <w:trPr>
          <w:trHeight w:val="567"/>
        </w:trPr>
        <w:tc>
          <w:tcPr>
            <w:tcW w:w="2235" w:type="dxa"/>
            <w:tcBorders>
              <w:top w:val="single" w:sz="8" w:space="0" w:color="auto"/>
            </w:tcBorders>
            <w:shd w:val="clear" w:color="auto" w:fill="auto"/>
            <w:vAlign w:val="bottom"/>
          </w:tcPr>
          <w:p w14:paraId="3413079E" w14:textId="77777777" w:rsidR="00067160" w:rsidRPr="00CF31E0" w:rsidRDefault="00067160" w:rsidP="00DF180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591801E7"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5.543</w:t>
            </w:r>
            <w:r w:rsidRPr="00CF31E0">
              <w:rPr>
                <w:rFonts w:eastAsia="Calibri"/>
                <w:color w:val="000000" w:themeColor="text1"/>
                <w:sz w:val="22"/>
                <w:szCs w:val="22"/>
                <w:vertAlign w:val="superscript"/>
                <w:lang w:eastAsia="en-US"/>
              </w:rPr>
              <w:t>a</w:t>
            </w:r>
          </w:p>
        </w:tc>
        <w:tc>
          <w:tcPr>
            <w:tcW w:w="3345" w:type="dxa"/>
            <w:tcBorders>
              <w:top w:val="single" w:sz="8" w:space="0" w:color="auto"/>
            </w:tcBorders>
            <w:shd w:val="clear" w:color="auto" w:fill="auto"/>
            <w:vAlign w:val="bottom"/>
          </w:tcPr>
          <w:p w14:paraId="73BEBB9A" w14:textId="77777777" w:rsidR="00067160" w:rsidRPr="00CF31E0" w:rsidRDefault="00067160" w:rsidP="00DF180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.476</w:t>
            </w:r>
          </w:p>
        </w:tc>
      </w:tr>
      <w:tr w:rsidR="00067160" w:rsidRPr="00CF31E0" w14:paraId="43F75510" w14:textId="77777777" w:rsidTr="00067160">
        <w:trPr>
          <w:trHeight w:val="567"/>
        </w:trPr>
        <w:tc>
          <w:tcPr>
            <w:tcW w:w="2235" w:type="dxa"/>
            <w:tcBorders>
              <w:bottom w:val="single" w:sz="8" w:space="0" w:color="auto"/>
            </w:tcBorders>
            <w:shd w:val="clear" w:color="auto" w:fill="auto"/>
            <w:vAlign w:val="bottom"/>
          </w:tcPr>
          <w:p w14:paraId="057A5710"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416AA9F3"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345" w:type="dxa"/>
            <w:tcBorders>
              <w:bottom w:val="single" w:sz="8" w:space="0" w:color="auto"/>
            </w:tcBorders>
            <w:shd w:val="clear" w:color="auto" w:fill="auto"/>
            <w:vAlign w:val="bottom"/>
          </w:tcPr>
          <w:p w14:paraId="7CF7A80F" w14:textId="77777777" w:rsidR="00067160" w:rsidRPr="00CF31E0" w:rsidRDefault="00067160" w:rsidP="00DF1804">
            <w:pPr>
              <w:spacing w:after="200" w:line="276" w:lineRule="auto"/>
              <w:rPr>
                <w:rFonts w:eastAsia="Calibri"/>
                <w:color w:val="000000" w:themeColor="text1"/>
                <w:sz w:val="22"/>
                <w:szCs w:val="22"/>
                <w:lang w:eastAsia="en-US"/>
              </w:rPr>
            </w:pPr>
          </w:p>
        </w:tc>
      </w:tr>
    </w:tbl>
    <w:p w14:paraId="1C3BFCB9" w14:textId="77777777" w:rsidR="00324E88" w:rsidRPr="00CF31E0" w:rsidRDefault="00324E88" w:rsidP="00DF1804">
      <w:pPr>
        <w:rPr>
          <w:color w:val="000000" w:themeColor="text1"/>
          <w:lang w:eastAsia="en-US"/>
        </w:rPr>
      </w:pPr>
    </w:p>
    <w:p w14:paraId="0AFD2E2A" w14:textId="77777777" w:rsidR="00324E88" w:rsidRPr="00CF31E0" w:rsidRDefault="00324E88" w:rsidP="00DF1804">
      <w:pPr>
        <w:rPr>
          <w:color w:val="000000" w:themeColor="text1"/>
          <w:lang w:eastAsia="en-US"/>
        </w:rPr>
      </w:pPr>
    </w:p>
    <w:tbl>
      <w:tblPr>
        <w:tblW w:w="6714" w:type="dxa"/>
        <w:tblLayout w:type="fixed"/>
        <w:tblLook w:val="04A0" w:firstRow="1" w:lastRow="0" w:firstColumn="1" w:lastColumn="0" w:noHBand="0" w:noVBand="1"/>
      </w:tblPr>
      <w:tblGrid>
        <w:gridCol w:w="2235"/>
        <w:gridCol w:w="1134"/>
        <w:gridCol w:w="3345"/>
      </w:tblGrid>
      <w:tr w:rsidR="00067160" w:rsidRPr="00CF31E0" w14:paraId="18A8B35A" w14:textId="77777777" w:rsidTr="00067160">
        <w:trPr>
          <w:trHeight w:val="567"/>
        </w:trPr>
        <w:tc>
          <w:tcPr>
            <w:tcW w:w="2235" w:type="dxa"/>
            <w:tcBorders>
              <w:top w:val="single" w:sz="8" w:space="0" w:color="auto"/>
              <w:bottom w:val="single" w:sz="8" w:space="0" w:color="auto"/>
            </w:tcBorders>
            <w:shd w:val="clear" w:color="auto" w:fill="auto"/>
            <w:hideMark/>
          </w:tcPr>
          <w:p w14:paraId="550C43A3" w14:textId="77777777" w:rsidR="00067160" w:rsidRPr="00CF31E0" w:rsidRDefault="00067160" w:rsidP="00324E88">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Social group</w:t>
            </w:r>
          </w:p>
        </w:tc>
        <w:tc>
          <w:tcPr>
            <w:tcW w:w="1134" w:type="dxa"/>
            <w:tcBorders>
              <w:top w:val="single" w:sz="8" w:space="0" w:color="auto"/>
              <w:bottom w:val="single" w:sz="8" w:space="0" w:color="auto"/>
            </w:tcBorders>
            <w:shd w:val="clear" w:color="auto" w:fill="auto"/>
            <w:hideMark/>
          </w:tcPr>
          <w:p w14:paraId="528BB056" w14:textId="77777777" w:rsidR="00067160" w:rsidRPr="00CF31E0" w:rsidRDefault="00067160" w:rsidP="00324E88">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345" w:type="dxa"/>
            <w:tcBorders>
              <w:top w:val="single" w:sz="8" w:space="0" w:color="auto"/>
              <w:bottom w:val="single" w:sz="8" w:space="0" w:color="auto"/>
            </w:tcBorders>
            <w:shd w:val="clear" w:color="auto" w:fill="auto"/>
          </w:tcPr>
          <w:p w14:paraId="06B2E931" w14:textId="77777777" w:rsidR="00067160" w:rsidRPr="00CF31E0" w:rsidRDefault="00067160" w:rsidP="00324E88">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067160" w:rsidRPr="00CF31E0" w14:paraId="029E01E7" w14:textId="77777777" w:rsidTr="00067160">
        <w:trPr>
          <w:trHeight w:val="567"/>
        </w:trPr>
        <w:tc>
          <w:tcPr>
            <w:tcW w:w="2235" w:type="dxa"/>
            <w:tcBorders>
              <w:top w:val="single" w:sz="8" w:space="0" w:color="auto"/>
            </w:tcBorders>
            <w:shd w:val="clear" w:color="auto" w:fill="auto"/>
            <w:vAlign w:val="bottom"/>
          </w:tcPr>
          <w:p w14:paraId="1AF5402A" w14:textId="77777777" w:rsidR="00067160" w:rsidRPr="00CF31E0" w:rsidRDefault="00067160" w:rsidP="00DF180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4DAB5523"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7.504</w:t>
            </w:r>
            <w:r w:rsidRPr="00CF31E0">
              <w:rPr>
                <w:rFonts w:eastAsia="Calibri"/>
                <w:color w:val="000000" w:themeColor="text1"/>
                <w:sz w:val="22"/>
                <w:szCs w:val="22"/>
                <w:vertAlign w:val="superscript"/>
                <w:lang w:eastAsia="en-US"/>
              </w:rPr>
              <w:t>a</w:t>
            </w:r>
          </w:p>
        </w:tc>
        <w:tc>
          <w:tcPr>
            <w:tcW w:w="3345" w:type="dxa"/>
            <w:tcBorders>
              <w:top w:val="single" w:sz="8" w:space="0" w:color="auto"/>
            </w:tcBorders>
            <w:shd w:val="clear" w:color="auto" w:fill="auto"/>
            <w:vAlign w:val="bottom"/>
          </w:tcPr>
          <w:p w14:paraId="051B47CC" w14:textId="77777777" w:rsidR="00067160" w:rsidRPr="00CF31E0" w:rsidRDefault="00067160" w:rsidP="00DF180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.057</w:t>
            </w:r>
          </w:p>
        </w:tc>
      </w:tr>
      <w:tr w:rsidR="00067160" w:rsidRPr="00CF31E0" w14:paraId="031729EC" w14:textId="77777777" w:rsidTr="00067160">
        <w:trPr>
          <w:trHeight w:val="567"/>
        </w:trPr>
        <w:tc>
          <w:tcPr>
            <w:tcW w:w="2235" w:type="dxa"/>
            <w:tcBorders>
              <w:bottom w:val="single" w:sz="8" w:space="0" w:color="auto"/>
            </w:tcBorders>
            <w:shd w:val="clear" w:color="auto" w:fill="auto"/>
            <w:vAlign w:val="bottom"/>
          </w:tcPr>
          <w:p w14:paraId="02BBB584"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762F3E14" w14:textId="77777777" w:rsidR="00067160" w:rsidRPr="00CF31E0" w:rsidRDefault="00067160"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345" w:type="dxa"/>
            <w:tcBorders>
              <w:bottom w:val="single" w:sz="8" w:space="0" w:color="auto"/>
            </w:tcBorders>
            <w:shd w:val="clear" w:color="auto" w:fill="auto"/>
            <w:vAlign w:val="bottom"/>
          </w:tcPr>
          <w:p w14:paraId="3A199934" w14:textId="77777777" w:rsidR="00067160" w:rsidRPr="00CF31E0" w:rsidRDefault="00067160" w:rsidP="00DF1804">
            <w:pPr>
              <w:spacing w:after="200" w:line="276" w:lineRule="auto"/>
              <w:rPr>
                <w:rFonts w:eastAsia="Calibri"/>
                <w:color w:val="000000" w:themeColor="text1"/>
                <w:sz w:val="22"/>
                <w:szCs w:val="22"/>
                <w:lang w:eastAsia="en-US"/>
              </w:rPr>
            </w:pPr>
          </w:p>
        </w:tc>
      </w:tr>
    </w:tbl>
    <w:p w14:paraId="26E625D4" w14:textId="77777777" w:rsidR="00324E88" w:rsidRPr="00CF31E0" w:rsidRDefault="00324E88" w:rsidP="00DF1804">
      <w:pPr>
        <w:rPr>
          <w:color w:val="000000" w:themeColor="text1"/>
          <w:lang w:eastAsia="en-US"/>
        </w:rPr>
      </w:pPr>
    </w:p>
    <w:p w14:paraId="7C953416" w14:textId="77777777" w:rsidR="008C00D8" w:rsidRPr="00CF31E0" w:rsidRDefault="008C00D8" w:rsidP="00DF1804">
      <w:pPr>
        <w:rPr>
          <w:color w:val="000000" w:themeColor="text1"/>
          <w:lang w:eastAsia="en-US"/>
        </w:rPr>
      </w:pPr>
    </w:p>
    <w:tbl>
      <w:tblPr>
        <w:tblW w:w="7139" w:type="dxa"/>
        <w:tblLayout w:type="fixed"/>
        <w:tblLook w:val="04A0" w:firstRow="1" w:lastRow="0" w:firstColumn="1" w:lastColumn="0" w:noHBand="0" w:noVBand="1"/>
      </w:tblPr>
      <w:tblGrid>
        <w:gridCol w:w="2235"/>
        <w:gridCol w:w="1134"/>
        <w:gridCol w:w="3345"/>
        <w:gridCol w:w="425"/>
      </w:tblGrid>
      <w:tr w:rsidR="00067160" w:rsidRPr="00CF31E0" w14:paraId="3EE337AB" w14:textId="77777777" w:rsidTr="005719F9">
        <w:trPr>
          <w:gridAfter w:val="1"/>
          <w:wAfter w:w="425" w:type="dxa"/>
          <w:trHeight w:val="567"/>
        </w:trPr>
        <w:tc>
          <w:tcPr>
            <w:tcW w:w="2235" w:type="dxa"/>
            <w:tcBorders>
              <w:top w:val="single" w:sz="8" w:space="0" w:color="auto"/>
              <w:bottom w:val="single" w:sz="8" w:space="0" w:color="auto"/>
            </w:tcBorders>
            <w:shd w:val="clear" w:color="auto" w:fill="auto"/>
            <w:hideMark/>
          </w:tcPr>
          <w:p w14:paraId="4FB14792" w14:textId="77777777" w:rsidR="00067160" w:rsidRPr="00CF31E0" w:rsidRDefault="00067160" w:rsidP="006609DA">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Mother’s social group</w:t>
            </w:r>
          </w:p>
        </w:tc>
        <w:tc>
          <w:tcPr>
            <w:tcW w:w="1134" w:type="dxa"/>
            <w:tcBorders>
              <w:top w:val="single" w:sz="8" w:space="0" w:color="auto"/>
              <w:bottom w:val="single" w:sz="8" w:space="0" w:color="auto"/>
            </w:tcBorders>
            <w:shd w:val="clear" w:color="auto" w:fill="auto"/>
            <w:hideMark/>
          </w:tcPr>
          <w:p w14:paraId="5F13826E" w14:textId="77777777" w:rsidR="00067160" w:rsidRPr="00CF31E0" w:rsidRDefault="00067160" w:rsidP="006609DA">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345" w:type="dxa"/>
            <w:tcBorders>
              <w:top w:val="single" w:sz="8" w:space="0" w:color="auto"/>
              <w:bottom w:val="single" w:sz="8" w:space="0" w:color="auto"/>
            </w:tcBorders>
            <w:shd w:val="clear" w:color="auto" w:fill="auto"/>
          </w:tcPr>
          <w:p w14:paraId="5D37C090" w14:textId="77777777" w:rsidR="00067160" w:rsidRPr="00CF31E0" w:rsidRDefault="00067160" w:rsidP="006609DA">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067160" w:rsidRPr="00CF31E0" w14:paraId="1BCF843B" w14:textId="77777777" w:rsidTr="005719F9">
        <w:trPr>
          <w:gridAfter w:val="1"/>
          <w:wAfter w:w="425" w:type="dxa"/>
          <w:trHeight w:val="567"/>
        </w:trPr>
        <w:tc>
          <w:tcPr>
            <w:tcW w:w="2235" w:type="dxa"/>
            <w:tcBorders>
              <w:top w:val="single" w:sz="8" w:space="0" w:color="auto"/>
            </w:tcBorders>
            <w:shd w:val="clear" w:color="auto" w:fill="auto"/>
            <w:vAlign w:val="bottom"/>
          </w:tcPr>
          <w:p w14:paraId="2DDB6F6B" w14:textId="77777777" w:rsidR="00067160" w:rsidRPr="00CF31E0" w:rsidRDefault="00067160" w:rsidP="006609DA">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564E1C9C" w14:textId="77777777" w:rsidR="00067160" w:rsidRPr="00CF31E0" w:rsidRDefault="00067160" w:rsidP="006609DA">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7.030</w:t>
            </w:r>
            <w:r w:rsidRPr="00CF31E0">
              <w:rPr>
                <w:rFonts w:eastAsia="Calibri"/>
                <w:color w:val="000000" w:themeColor="text1"/>
                <w:sz w:val="22"/>
                <w:szCs w:val="22"/>
                <w:vertAlign w:val="superscript"/>
                <w:lang w:eastAsia="en-US"/>
              </w:rPr>
              <w:t>a</w:t>
            </w:r>
          </w:p>
        </w:tc>
        <w:tc>
          <w:tcPr>
            <w:tcW w:w="3345" w:type="dxa"/>
            <w:tcBorders>
              <w:top w:val="single" w:sz="8" w:space="0" w:color="auto"/>
            </w:tcBorders>
            <w:shd w:val="clear" w:color="auto" w:fill="auto"/>
            <w:vAlign w:val="bottom"/>
          </w:tcPr>
          <w:p w14:paraId="29898567" w14:textId="77777777" w:rsidR="00067160" w:rsidRPr="00CF31E0" w:rsidRDefault="00067160" w:rsidP="006609DA">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.318</w:t>
            </w:r>
          </w:p>
        </w:tc>
      </w:tr>
      <w:tr w:rsidR="00067160" w:rsidRPr="00CF31E0" w14:paraId="0AB3DDEA" w14:textId="77777777" w:rsidTr="005719F9">
        <w:trPr>
          <w:gridAfter w:val="1"/>
          <w:wAfter w:w="425" w:type="dxa"/>
          <w:trHeight w:val="567"/>
        </w:trPr>
        <w:tc>
          <w:tcPr>
            <w:tcW w:w="2235" w:type="dxa"/>
            <w:tcBorders>
              <w:bottom w:val="single" w:sz="8" w:space="0" w:color="auto"/>
            </w:tcBorders>
            <w:shd w:val="clear" w:color="auto" w:fill="auto"/>
            <w:vAlign w:val="bottom"/>
          </w:tcPr>
          <w:p w14:paraId="03108DAD" w14:textId="77777777" w:rsidR="00067160" w:rsidRPr="00CF31E0" w:rsidRDefault="00067160" w:rsidP="006609DA">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2D17C8D7" w14:textId="77777777" w:rsidR="00067160" w:rsidRPr="00CF31E0" w:rsidRDefault="00067160" w:rsidP="006609DA">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345" w:type="dxa"/>
            <w:tcBorders>
              <w:bottom w:val="single" w:sz="8" w:space="0" w:color="auto"/>
            </w:tcBorders>
            <w:shd w:val="clear" w:color="auto" w:fill="auto"/>
            <w:vAlign w:val="bottom"/>
          </w:tcPr>
          <w:p w14:paraId="586A8D19" w14:textId="77777777" w:rsidR="00067160" w:rsidRPr="00CF31E0" w:rsidRDefault="00067160" w:rsidP="006609DA">
            <w:pPr>
              <w:spacing w:after="200" w:line="276" w:lineRule="auto"/>
              <w:rPr>
                <w:rFonts w:eastAsia="Calibri"/>
                <w:color w:val="000000" w:themeColor="text1"/>
                <w:sz w:val="22"/>
                <w:szCs w:val="22"/>
                <w:lang w:eastAsia="en-US"/>
              </w:rPr>
            </w:pPr>
          </w:p>
        </w:tc>
      </w:tr>
      <w:tr w:rsidR="006609DA" w:rsidRPr="00CF31E0" w14:paraId="2615C9AE" w14:textId="77777777" w:rsidTr="005719F9">
        <w:trPr>
          <w:trHeight w:val="567"/>
        </w:trPr>
        <w:tc>
          <w:tcPr>
            <w:tcW w:w="7139" w:type="dxa"/>
            <w:gridSpan w:val="4"/>
            <w:tcBorders>
              <w:top w:val="single" w:sz="8" w:space="0" w:color="auto"/>
              <w:bottom w:val="single" w:sz="8" w:space="0" w:color="auto"/>
            </w:tcBorders>
            <w:shd w:val="clear" w:color="auto" w:fill="auto"/>
          </w:tcPr>
          <w:p w14:paraId="315507B7" w14:textId="7694FB8B" w:rsidR="006609DA" w:rsidRPr="00CF31E0" w:rsidRDefault="006609DA" w:rsidP="006609DA">
            <w:pPr>
              <w:spacing w:before="80" w:after="80"/>
              <w:rPr>
                <w:rFonts w:eastAsia="Calibri"/>
                <w:color w:val="000000" w:themeColor="text1"/>
                <w:sz w:val="22"/>
                <w:szCs w:val="22"/>
                <w:lang w:eastAsia="en-US"/>
              </w:rPr>
            </w:pPr>
            <w:r w:rsidRPr="00CF31E0">
              <w:rPr>
                <w:rFonts w:eastAsia="Calibri"/>
                <w:color w:val="000000" w:themeColor="text1"/>
                <w:sz w:val="22"/>
                <w:szCs w:val="22"/>
                <w:lang w:eastAsia="en-US"/>
              </w:rPr>
              <w:t>a. 4 cells (33.3%) have expected count less than 5. The minimum expected count is .32.</w:t>
            </w:r>
          </w:p>
        </w:tc>
      </w:tr>
    </w:tbl>
    <w:p w14:paraId="02FC3452" w14:textId="77777777" w:rsidR="008C00D8" w:rsidRPr="00CF31E0" w:rsidRDefault="008C00D8" w:rsidP="00DF1804">
      <w:pPr>
        <w:rPr>
          <w:color w:val="000000" w:themeColor="text1"/>
          <w:lang w:eastAsia="en-US"/>
        </w:rPr>
      </w:pPr>
    </w:p>
    <w:p w14:paraId="2CE6D5A7" w14:textId="77777777" w:rsidR="006609DA" w:rsidRPr="00CF31E0" w:rsidRDefault="006609DA" w:rsidP="00DF1804">
      <w:pPr>
        <w:rPr>
          <w:color w:val="000000" w:themeColor="text1"/>
          <w:lang w:eastAsia="en-US"/>
        </w:rPr>
      </w:pPr>
    </w:p>
    <w:tbl>
      <w:tblPr>
        <w:tblW w:w="6714" w:type="dxa"/>
        <w:tblLayout w:type="fixed"/>
        <w:tblLook w:val="04A0" w:firstRow="1" w:lastRow="0" w:firstColumn="1" w:lastColumn="0" w:noHBand="0" w:noVBand="1"/>
      </w:tblPr>
      <w:tblGrid>
        <w:gridCol w:w="2235"/>
        <w:gridCol w:w="1134"/>
        <w:gridCol w:w="3345"/>
      </w:tblGrid>
      <w:tr w:rsidR="00067160" w:rsidRPr="00CF31E0" w14:paraId="74E2F591" w14:textId="77777777" w:rsidTr="00067160">
        <w:trPr>
          <w:trHeight w:val="567"/>
        </w:trPr>
        <w:tc>
          <w:tcPr>
            <w:tcW w:w="2235" w:type="dxa"/>
            <w:tcBorders>
              <w:top w:val="single" w:sz="8" w:space="0" w:color="auto"/>
              <w:bottom w:val="single" w:sz="8" w:space="0" w:color="auto"/>
            </w:tcBorders>
            <w:shd w:val="clear" w:color="auto" w:fill="auto"/>
            <w:hideMark/>
          </w:tcPr>
          <w:p w14:paraId="4C82F6CF" w14:textId="77777777" w:rsidR="00067160" w:rsidRPr="00CF31E0" w:rsidRDefault="00067160" w:rsidP="006609DA">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Spouse’s social group</w:t>
            </w:r>
          </w:p>
        </w:tc>
        <w:tc>
          <w:tcPr>
            <w:tcW w:w="1134" w:type="dxa"/>
            <w:tcBorders>
              <w:top w:val="single" w:sz="8" w:space="0" w:color="auto"/>
              <w:bottom w:val="single" w:sz="8" w:space="0" w:color="auto"/>
            </w:tcBorders>
            <w:shd w:val="clear" w:color="auto" w:fill="auto"/>
            <w:hideMark/>
          </w:tcPr>
          <w:p w14:paraId="57435204" w14:textId="77777777" w:rsidR="00067160" w:rsidRPr="00CF31E0" w:rsidRDefault="00067160" w:rsidP="006609DA">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345" w:type="dxa"/>
            <w:tcBorders>
              <w:top w:val="single" w:sz="8" w:space="0" w:color="auto"/>
              <w:bottom w:val="single" w:sz="8" w:space="0" w:color="auto"/>
            </w:tcBorders>
            <w:shd w:val="clear" w:color="auto" w:fill="auto"/>
          </w:tcPr>
          <w:p w14:paraId="5729AD1C" w14:textId="77777777" w:rsidR="00067160" w:rsidRPr="00CF31E0" w:rsidRDefault="00067160" w:rsidP="006609DA">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067160" w:rsidRPr="00CF31E0" w14:paraId="22363F4F" w14:textId="77777777" w:rsidTr="00067160">
        <w:trPr>
          <w:trHeight w:val="567"/>
        </w:trPr>
        <w:tc>
          <w:tcPr>
            <w:tcW w:w="2235" w:type="dxa"/>
            <w:tcBorders>
              <w:top w:val="single" w:sz="8" w:space="0" w:color="auto"/>
            </w:tcBorders>
            <w:shd w:val="clear" w:color="auto" w:fill="auto"/>
            <w:vAlign w:val="bottom"/>
          </w:tcPr>
          <w:p w14:paraId="41F3B92E" w14:textId="77777777" w:rsidR="00067160" w:rsidRPr="00CF31E0" w:rsidRDefault="00067160" w:rsidP="006609DA">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3E13FD24" w14:textId="77777777" w:rsidR="00067160" w:rsidRPr="00CF31E0" w:rsidRDefault="00067160" w:rsidP="006609DA">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8.231</w:t>
            </w:r>
            <w:r w:rsidRPr="00CF31E0">
              <w:rPr>
                <w:rFonts w:eastAsia="Calibri"/>
                <w:color w:val="000000" w:themeColor="text1"/>
                <w:sz w:val="22"/>
                <w:szCs w:val="22"/>
                <w:vertAlign w:val="superscript"/>
                <w:lang w:eastAsia="en-US"/>
              </w:rPr>
              <w:t>a</w:t>
            </w:r>
          </w:p>
        </w:tc>
        <w:tc>
          <w:tcPr>
            <w:tcW w:w="3345" w:type="dxa"/>
            <w:tcBorders>
              <w:top w:val="single" w:sz="8" w:space="0" w:color="auto"/>
            </w:tcBorders>
            <w:shd w:val="clear" w:color="auto" w:fill="auto"/>
            <w:vAlign w:val="bottom"/>
          </w:tcPr>
          <w:p w14:paraId="68B5D195" w14:textId="77777777" w:rsidR="00067160" w:rsidRPr="00CF31E0" w:rsidRDefault="00067160" w:rsidP="006609DA">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.222</w:t>
            </w:r>
          </w:p>
        </w:tc>
      </w:tr>
      <w:tr w:rsidR="00067160" w:rsidRPr="00CF31E0" w14:paraId="3B8DCE39" w14:textId="77777777" w:rsidTr="00067160">
        <w:trPr>
          <w:trHeight w:val="567"/>
        </w:trPr>
        <w:tc>
          <w:tcPr>
            <w:tcW w:w="2235" w:type="dxa"/>
            <w:tcBorders>
              <w:bottom w:val="single" w:sz="8" w:space="0" w:color="auto"/>
            </w:tcBorders>
            <w:shd w:val="clear" w:color="auto" w:fill="auto"/>
            <w:vAlign w:val="bottom"/>
          </w:tcPr>
          <w:p w14:paraId="16278F0C" w14:textId="77777777" w:rsidR="00067160" w:rsidRPr="00CF31E0" w:rsidRDefault="00067160" w:rsidP="006609DA">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06A76E91" w14:textId="77777777" w:rsidR="00067160" w:rsidRPr="00CF31E0" w:rsidRDefault="00067160" w:rsidP="006609DA">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345" w:type="dxa"/>
            <w:tcBorders>
              <w:bottom w:val="single" w:sz="8" w:space="0" w:color="auto"/>
            </w:tcBorders>
            <w:shd w:val="clear" w:color="auto" w:fill="auto"/>
            <w:vAlign w:val="bottom"/>
          </w:tcPr>
          <w:p w14:paraId="7D122120" w14:textId="77777777" w:rsidR="00067160" w:rsidRPr="00CF31E0" w:rsidRDefault="00067160" w:rsidP="006609DA">
            <w:pPr>
              <w:spacing w:after="200" w:line="276" w:lineRule="auto"/>
              <w:rPr>
                <w:rFonts w:eastAsia="Calibri"/>
                <w:color w:val="000000" w:themeColor="text1"/>
                <w:sz w:val="22"/>
                <w:szCs w:val="22"/>
                <w:lang w:eastAsia="en-US"/>
              </w:rPr>
            </w:pPr>
          </w:p>
        </w:tc>
      </w:tr>
    </w:tbl>
    <w:p w14:paraId="2E9F3F69" w14:textId="77777777" w:rsidR="006609DA" w:rsidRPr="00CF31E0" w:rsidRDefault="006609DA" w:rsidP="00DF1804">
      <w:pPr>
        <w:rPr>
          <w:color w:val="000000" w:themeColor="text1"/>
          <w:lang w:eastAsia="en-US"/>
        </w:rPr>
      </w:pPr>
    </w:p>
    <w:p w14:paraId="1750C03C" w14:textId="77777777" w:rsidR="006609DA" w:rsidRPr="00CF31E0" w:rsidRDefault="006609DA" w:rsidP="00DF1804">
      <w:pPr>
        <w:rPr>
          <w:color w:val="000000" w:themeColor="text1"/>
          <w:lang w:eastAsia="en-US"/>
        </w:rPr>
      </w:pPr>
    </w:p>
    <w:p w14:paraId="4E8B86C1" w14:textId="77777777" w:rsidR="006609DA" w:rsidRPr="00CF31E0" w:rsidRDefault="006609DA" w:rsidP="00DF1804">
      <w:pPr>
        <w:rPr>
          <w:color w:val="000000" w:themeColor="text1"/>
          <w:lang w:eastAsia="en-US"/>
        </w:rPr>
      </w:pPr>
    </w:p>
    <w:tbl>
      <w:tblPr>
        <w:tblW w:w="6714" w:type="dxa"/>
        <w:tblLayout w:type="fixed"/>
        <w:tblLook w:val="04A0" w:firstRow="1" w:lastRow="0" w:firstColumn="1" w:lastColumn="0" w:noHBand="0" w:noVBand="1"/>
      </w:tblPr>
      <w:tblGrid>
        <w:gridCol w:w="2235"/>
        <w:gridCol w:w="1134"/>
        <w:gridCol w:w="3345"/>
      </w:tblGrid>
      <w:tr w:rsidR="00067160" w:rsidRPr="00CF31E0" w14:paraId="41D10413" w14:textId="77777777" w:rsidTr="00067160">
        <w:trPr>
          <w:trHeight w:val="567"/>
        </w:trPr>
        <w:tc>
          <w:tcPr>
            <w:tcW w:w="2235" w:type="dxa"/>
            <w:tcBorders>
              <w:top w:val="single" w:sz="8" w:space="0" w:color="auto"/>
              <w:bottom w:val="single" w:sz="8" w:space="0" w:color="auto"/>
            </w:tcBorders>
            <w:shd w:val="clear" w:color="auto" w:fill="auto"/>
            <w:hideMark/>
          </w:tcPr>
          <w:p w14:paraId="2752E59E" w14:textId="77777777" w:rsidR="00067160" w:rsidRPr="00CF31E0" w:rsidRDefault="00067160" w:rsidP="006609DA">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Education</w:t>
            </w:r>
          </w:p>
        </w:tc>
        <w:tc>
          <w:tcPr>
            <w:tcW w:w="1134" w:type="dxa"/>
            <w:tcBorders>
              <w:top w:val="single" w:sz="8" w:space="0" w:color="auto"/>
              <w:bottom w:val="single" w:sz="8" w:space="0" w:color="auto"/>
            </w:tcBorders>
            <w:shd w:val="clear" w:color="auto" w:fill="auto"/>
            <w:hideMark/>
          </w:tcPr>
          <w:p w14:paraId="323FB504" w14:textId="77777777" w:rsidR="00067160" w:rsidRPr="00CF31E0" w:rsidRDefault="00067160" w:rsidP="006609DA">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345" w:type="dxa"/>
            <w:tcBorders>
              <w:top w:val="single" w:sz="8" w:space="0" w:color="auto"/>
              <w:bottom w:val="single" w:sz="8" w:space="0" w:color="auto"/>
            </w:tcBorders>
            <w:shd w:val="clear" w:color="auto" w:fill="auto"/>
          </w:tcPr>
          <w:p w14:paraId="75907478" w14:textId="77777777" w:rsidR="00067160" w:rsidRPr="00CF31E0" w:rsidRDefault="00067160" w:rsidP="006609DA">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067160" w:rsidRPr="00CF31E0" w14:paraId="2ACC58DA" w14:textId="77777777" w:rsidTr="00067160">
        <w:trPr>
          <w:trHeight w:val="567"/>
        </w:trPr>
        <w:tc>
          <w:tcPr>
            <w:tcW w:w="2235" w:type="dxa"/>
            <w:tcBorders>
              <w:top w:val="single" w:sz="8" w:space="0" w:color="auto"/>
            </w:tcBorders>
            <w:shd w:val="clear" w:color="auto" w:fill="auto"/>
            <w:vAlign w:val="bottom"/>
          </w:tcPr>
          <w:p w14:paraId="0A9616B6" w14:textId="77777777" w:rsidR="00067160" w:rsidRPr="00CF31E0" w:rsidRDefault="00067160" w:rsidP="006609DA">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3AF1F45F" w14:textId="77777777" w:rsidR="00067160" w:rsidRPr="00CF31E0" w:rsidRDefault="00067160" w:rsidP="006609DA">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4.106</w:t>
            </w:r>
            <w:r w:rsidRPr="00CF31E0">
              <w:rPr>
                <w:rFonts w:eastAsia="Calibri"/>
                <w:color w:val="000000" w:themeColor="text1"/>
                <w:sz w:val="22"/>
                <w:szCs w:val="22"/>
                <w:vertAlign w:val="superscript"/>
                <w:lang w:eastAsia="en-US"/>
              </w:rPr>
              <w:t>a</w:t>
            </w:r>
          </w:p>
        </w:tc>
        <w:tc>
          <w:tcPr>
            <w:tcW w:w="3345" w:type="dxa"/>
            <w:tcBorders>
              <w:top w:val="single" w:sz="8" w:space="0" w:color="auto"/>
            </w:tcBorders>
            <w:shd w:val="clear" w:color="auto" w:fill="auto"/>
            <w:vAlign w:val="bottom"/>
          </w:tcPr>
          <w:p w14:paraId="6E2F61EB" w14:textId="77777777" w:rsidR="00067160" w:rsidRPr="00CF31E0" w:rsidRDefault="00067160" w:rsidP="006609DA">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.662</w:t>
            </w:r>
          </w:p>
        </w:tc>
      </w:tr>
      <w:tr w:rsidR="00067160" w:rsidRPr="00CF31E0" w14:paraId="13FDF915" w14:textId="77777777" w:rsidTr="00067160">
        <w:trPr>
          <w:trHeight w:val="567"/>
        </w:trPr>
        <w:tc>
          <w:tcPr>
            <w:tcW w:w="2235" w:type="dxa"/>
            <w:tcBorders>
              <w:bottom w:val="single" w:sz="8" w:space="0" w:color="auto"/>
            </w:tcBorders>
            <w:shd w:val="clear" w:color="auto" w:fill="auto"/>
            <w:vAlign w:val="bottom"/>
          </w:tcPr>
          <w:p w14:paraId="7C796CFF" w14:textId="77777777" w:rsidR="00067160" w:rsidRPr="00CF31E0" w:rsidRDefault="00067160" w:rsidP="006609DA">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59576F9E" w14:textId="77777777" w:rsidR="00067160" w:rsidRPr="00CF31E0" w:rsidRDefault="00067160" w:rsidP="006609DA">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345" w:type="dxa"/>
            <w:tcBorders>
              <w:bottom w:val="single" w:sz="8" w:space="0" w:color="auto"/>
            </w:tcBorders>
            <w:shd w:val="clear" w:color="auto" w:fill="auto"/>
            <w:vAlign w:val="bottom"/>
          </w:tcPr>
          <w:p w14:paraId="66DBA962" w14:textId="77777777" w:rsidR="00067160" w:rsidRPr="00CF31E0" w:rsidRDefault="00067160" w:rsidP="006609DA">
            <w:pPr>
              <w:spacing w:after="200" w:line="276" w:lineRule="auto"/>
              <w:rPr>
                <w:rFonts w:eastAsia="Calibri"/>
                <w:color w:val="000000" w:themeColor="text1"/>
                <w:sz w:val="22"/>
                <w:szCs w:val="22"/>
                <w:lang w:eastAsia="en-US"/>
              </w:rPr>
            </w:pPr>
          </w:p>
        </w:tc>
      </w:tr>
    </w:tbl>
    <w:p w14:paraId="0FEB728D" w14:textId="77777777" w:rsidR="006609DA" w:rsidRPr="00CF31E0" w:rsidRDefault="006609DA" w:rsidP="00DF1804">
      <w:pPr>
        <w:rPr>
          <w:color w:val="000000" w:themeColor="text1"/>
          <w:lang w:eastAsia="en-US"/>
        </w:rPr>
      </w:pPr>
    </w:p>
    <w:p w14:paraId="2BF67079" w14:textId="77777777" w:rsidR="00324E88" w:rsidRPr="00CF31E0" w:rsidRDefault="00324E88"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03"/>
        <w:gridCol w:w="57"/>
      </w:tblGrid>
      <w:tr w:rsidR="00067160" w:rsidRPr="00CF31E0" w14:paraId="04B308B2" w14:textId="77777777" w:rsidTr="00067160">
        <w:trPr>
          <w:trHeight w:val="567"/>
        </w:trPr>
        <w:tc>
          <w:tcPr>
            <w:tcW w:w="2235" w:type="dxa"/>
            <w:tcBorders>
              <w:top w:val="single" w:sz="8" w:space="0" w:color="auto"/>
              <w:bottom w:val="single" w:sz="8" w:space="0" w:color="auto"/>
            </w:tcBorders>
            <w:shd w:val="clear" w:color="auto" w:fill="auto"/>
            <w:hideMark/>
          </w:tcPr>
          <w:p w14:paraId="17115480" w14:textId="77777777" w:rsidR="00067160" w:rsidRPr="00CF31E0" w:rsidRDefault="00067160" w:rsidP="005719F9">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lastRenderedPageBreak/>
              <w:t>Age</w:t>
            </w:r>
          </w:p>
        </w:tc>
        <w:tc>
          <w:tcPr>
            <w:tcW w:w="1134" w:type="dxa"/>
            <w:tcBorders>
              <w:top w:val="single" w:sz="8" w:space="0" w:color="auto"/>
              <w:bottom w:val="single" w:sz="8" w:space="0" w:color="auto"/>
            </w:tcBorders>
            <w:shd w:val="clear" w:color="auto" w:fill="auto"/>
            <w:hideMark/>
          </w:tcPr>
          <w:p w14:paraId="0EE36B99" w14:textId="77777777" w:rsidR="00067160" w:rsidRPr="00CF31E0" w:rsidRDefault="00067160" w:rsidP="005719F9">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gridSpan w:val="2"/>
            <w:tcBorders>
              <w:top w:val="single" w:sz="8" w:space="0" w:color="auto"/>
              <w:bottom w:val="single" w:sz="8" w:space="0" w:color="auto"/>
            </w:tcBorders>
            <w:shd w:val="clear" w:color="auto" w:fill="auto"/>
          </w:tcPr>
          <w:p w14:paraId="2ED035F7" w14:textId="485C4A69" w:rsidR="00067160" w:rsidRPr="00CF31E0" w:rsidRDefault="00067160" w:rsidP="00DF180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067160" w:rsidRPr="00CF31E0" w14:paraId="063A297E" w14:textId="77777777" w:rsidTr="00067160">
        <w:trPr>
          <w:gridAfter w:val="1"/>
          <w:wAfter w:w="57" w:type="dxa"/>
          <w:trHeight w:val="567"/>
        </w:trPr>
        <w:tc>
          <w:tcPr>
            <w:tcW w:w="2235" w:type="dxa"/>
            <w:tcBorders>
              <w:top w:val="single" w:sz="8" w:space="0" w:color="auto"/>
            </w:tcBorders>
            <w:shd w:val="clear" w:color="auto" w:fill="auto"/>
            <w:vAlign w:val="bottom"/>
          </w:tcPr>
          <w:p w14:paraId="63613E79" w14:textId="77777777" w:rsidR="00067160" w:rsidRPr="00CF31E0" w:rsidRDefault="00067160" w:rsidP="005719F9">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24A68F6F" w14:textId="77777777" w:rsidR="00067160" w:rsidRPr="00CF31E0" w:rsidRDefault="00067160" w:rsidP="005719F9">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12.297</w:t>
            </w:r>
            <w:r w:rsidRPr="00CF31E0">
              <w:rPr>
                <w:rFonts w:eastAsia="Calibri"/>
                <w:color w:val="000000" w:themeColor="text1"/>
                <w:sz w:val="22"/>
                <w:szCs w:val="22"/>
                <w:vertAlign w:val="superscript"/>
                <w:lang w:eastAsia="en-US"/>
              </w:rPr>
              <w:t>a</w:t>
            </w:r>
          </w:p>
        </w:tc>
        <w:tc>
          <w:tcPr>
            <w:tcW w:w="3203" w:type="dxa"/>
            <w:tcBorders>
              <w:top w:val="single" w:sz="8" w:space="0" w:color="auto"/>
            </w:tcBorders>
            <w:shd w:val="clear" w:color="auto" w:fill="auto"/>
            <w:vAlign w:val="bottom"/>
          </w:tcPr>
          <w:p w14:paraId="43A75A26" w14:textId="77777777" w:rsidR="00067160" w:rsidRPr="00CF31E0" w:rsidRDefault="00067160" w:rsidP="005719F9">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.422</w:t>
            </w:r>
          </w:p>
        </w:tc>
      </w:tr>
      <w:tr w:rsidR="00067160" w:rsidRPr="00CF31E0" w14:paraId="20651421" w14:textId="77777777" w:rsidTr="00067160">
        <w:trPr>
          <w:gridAfter w:val="1"/>
          <w:wAfter w:w="57" w:type="dxa"/>
          <w:trHeight w:val="567"/>
        </w:trPr>
        <w:tc>
          <w:tcPr>
            <w:tcW w:w="2235" w:type="dxa"/>
            <w:tcBorders>
              <w:bottom w:val="single" w:sz="8" w:space="0" w:color="auto"/>
            </w:tcBorders>
            <w:shd w:val="clear" w:color="auto" w:fill="auto"/>
            <w:vAlign w:val="bottom"/>
          </w:tcPr>
          <w:p w14:paraId="00567768" w14:textId="77777777" w:rsidR="00067160" w:rsidRPr="00CF31E0" w:rsidRDefault="00067160" w:rsidP="005719F9">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102F7FD7" w14:textId="77777777" w:rsidR="00067160" w:rsidRPr="00CF31E0" w:rsidRDefault="00067160" w:rsidP="005719F9">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03" w:type="dxa"/>
            <w:tcBorders>
              <w:bottom w:val="single" w:sz="8" w:space="0" w:color="auto"/>
            </w:tcBorders>
            <w:shd w:val="clear" w:color="auto" w:fill="auto"/>
            <w:vAlign w:val="bottom"/>
          </w:tcPr>
          <w:p w14:paraId="2CCBC584" w14:textId="77777777" w:rsidR="00067160" w:rsidRPr="00CF31E0" w:rsidRDefault="00067160" w:rsidP="005719F9">
            <w:pPr>
              <w:spacing w:after="200" w:line="276" w:lineRule="auto"/>
              <w:rPr>
                <w:rFonts w:eastAsia="Calibri"/>
                <w:color w:val="000000" w:themeColor="text1"/>
                <w:sz w:val="22"/>
                <w:szCs w:val="22"/>
                <w:lang w:eastAsia="en-US"/>
              </w:rPr>
            </w:pPr>
          </w:p>
        </w:tc>
      </w:tr>
    </w:tbl>
    <w:p w14:paraId="59BD88C8" w14:textId="77777777" w:rsidR="006609DA" w:rsidRPr="00CF31E0" w:rsidRDefault="006609DA" w:rsidP="00DF1804">
      <w:pPr>
        <w:rPr>
          <w:color w:val="000000" w:themeColor="text1"/>
          <w:lang w:eastAsia="en-US"/>
        </w:rPr>
      </w:pPr>
    </w:p>
    <w:p w14:paraId="1EF9350F" w14:textId="77777777" w:rsidR="005719F9" w:rsidRPr="00CF31E0" w:rsidRDefault="005719F9" w:rsidP="00DF1804">
      <w:pPr>
        <w:rPr>
          <w:color w:val="000000" w:themeColor="text1"/>
          <w:lang w:eastAsia="en-US"/>
        </w:rPr>
      </w:pPr>
    </w:p>
    <w:p w14:paraId="741F5958" w14:textId="77777777" w:rsidR="005719F9" w:rsidRPr="00CF31E0" w:rsidRDefault="005719F9" w:rsidP="005719F9">
      <w:pPr>
        <w:spacing w:line="400" w:lineRule="atLeast"/>
        <w:rPr>
          <w:rFonts w:eastAsia="MS Mincho"/>
          <w:b/>
          <w:bCs/>
          <w:color w:val="000000" w:themeColor="text1"/>
        </w:rPr>
      </w:pPr>
      <w:r w:rsidRPr="00CF31E0">
        <w:rPr>
          <w:rFonts w:eastAsia="MS Mincho"/>
          <w:b/>
          <w:bCs/>
          <w:color w:val="000000" w:themeColor="text1"/>
        </w:rPr>
        <w:t>Q4: What distinguishes the HH dialect from the UBH dialect?</w:t>
      </w:r>
    </w:p>
    <w:p w14:paraId="59753BB7" w14:textId="77777777" w:rsidR="005719F9" w:rsidRPr="00CF31E0" w:rsidRDefault="005719F9"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067160" w:rsidRPr="00CF31E0" w14:paraId="15C849F6" w14:textId="77777777" w:rsidTr="00067160">
        <w:trPr>
          <w:trHeight w:val="567"/>
        </w:trPr>
        <w:tc>
          <w:tcPr>
            <w:tcW w:w="2235" w:type="dxa"/>
            <w:tcBorders>
              <w:top w:val="single" w:sz="8" w:space="0" w:color="auto"/>
              <w:bottom w:val="single" w:sz="8" w:space="0" w:color="auto"/>
            </w:tcBorders>
            <w:shd w:val="clear" w:color="auto" w:fill="auto"/>
            <w:hideMark/>
          </w:tcPr>
          <w:p w14:paraId="179F77B0" w14:textId="77777777" w:rsidR="00067160" w:rsidRPr="00CF31E0" w:rsidRDefault="00067160" w:rsidP="005719F9">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Gender</w:t>
            </w:r>
          </w:p>
        </w:tc>
        <w:tc>
          <w:tcPr>
            <w:tcW w:w="1134" w:type="dxa"/>
            <w:tcBorders>
              <w:top w:val="single" w:sz="8" w:space="0" w:color="auto"/>
              <w:bottom w:val="single" w:sz="8" w:space="0" w:color="auto"/>
            </w:tcBorders>
            <w:shd w:val="clear" w:color="auto" w:fill="auto"/>
            <w:hideMark/>
          </w:tcPr>
          <w:p w14:paraId="5BBF50BC" w14:textId="77777777" w:rsidR="00067160" w:rsidRPr="00CF31E0" w:rsidRDefault="00067160" w:rsidP="005719F9">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098A32B7" w14:textId="77777777" w:rsidR="00067160" w:rsidRPr="00CF31E0" w:rsidRDefault="00067160" w:rsidP="005719F9">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067160" w:rsidRPr="00CF31E0" w14:paraId="179E58D3" w14:textId="77777777" w:rsidTr="00067160">
        <w:trPr>
          <w:trHeight w:val="567"/>
        </w:trPr>
        <w:tc>
          <w:tcPr>
            <w:tcW w:w="2235" w:type="dxa"/>
            <w:tcBorders>
              <w:top w:val="single" w:sz="8" w:space="0" w:color="auto"/>
            </w:tcBorders>
            <w:shd w:val="clear" w:color="auto" w:fill="auto"/>
            <w:vAlign w:val="bottom"/>
          </w:tcPr>
          <w:p w14:paraId="3FCA0DAD" w14:textId="77777777" w:rsidR="00067160" w:rsidRPr="00CF31E0" w:rsidRDefault="00067160" w:rsidP="005719F9">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457B7F3D" w14:textId="77777777" w:rsidR="00067160" w:rsidRPr="00CF31E0" w:rsidRDefault="00067160" w:rsidP="005719F9">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5.523</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2FBA42B8" w14:textId="77777777" w:rsidR="00067160" w:rsidRPr="00CF31E0" w:rsidRDefault="00067160" w:rsidP="005719F9">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.479</w:t>
            </w:r>
          </w:p>
        </w:tc>
      </w:tr>
      <w:tr w:rsidR="00067160" w:rsidRPr="00CF31E0" w14:paraId="76752F53" w14:textId="77777777" w:rsidTr="00067160">
        <w:trPr>
          <w:trHeight w:val="567"/>
        </w:trPr>
        <w:tc>
          <w:tcPr>
            <w:tcW w:w="2235" w:type="dxa"/>
            <w:tcBorders>
              <w:bottom w:val="single" w:sz="8" w:space="0" w:color="auto"/>
            </w:tcBorders>
            <w:shd w:val="clear" w:color="auto" w:fill="auto"/>
            <w:vAlign w:val="bottom"/>
          </w:tcPr>
          <w:p w14:paraId="30C2512C" w14:textId="77777777" w:rsidR="00067160" w:rsidRPr="00CF31E0" w:rsidRDefault="00067160" w:rsidP="005719F9">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29B0D981" w14:textId="77777777" w:rsidR="00067160" w:rsidRPr="00CF31E0" w:rsidRDefault="00067160" w:rsidP="005719F9">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6F1AE94D" w14:textId="77777777" w:rsidR="00067160" w:rsidRPr="00CF31E0" w:rsidRDefault="00067160" w:rsidP="005719F9">
            <w:pPr>
              <w:spacing w:after="200" w:line="276" w:lineRule="auto"/>
              <w:rPr>
                <w:rFonts w:eastAsia="Calibri"/>
                <w:color w:val="000000" w:themeColor="text1"/>
                <w:sz w:val="22"/>
                <w:szCs w:val="22"/>
                <w:lang w:eastAsia="en-US"/>
              </w:rPr>
            </w:pPr>
          </w:p>
        </w:tc>
      </w:tr>
    </w:tbl>
    <w:p w14:paraId="71B379B4" w14:textId="77777777" w:rsidR="005719F9" w:rsidRPr="00CF31E0" w:rsidRDefault="005719F9" w:rsidP="00DF1804">
      <w:pPr>
        <w:rPr>
          <w:color w:val="000000" w:themeColor="text1"/>
          <w:lang w:eastAsia="en-US"/>
        </w:rPr>
      </w:pPr>
    </w:p>
    <w:p w14:paraId="201A1907" w14:textId="77777777" w:rsidR="005719F9" w:rsidRPr="00CF31E0" w:rsidRDefault="005719F9"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067160" w:rsidRPr="00CF31E0" w14:paraId="5AB0CFF7" w14:textId="77777777" w:rsidTr="00067160">
        <w:trPr>
          <w:trHeight w:val="567"/>
        </w:trPr>
        <w:tc>
          <w:tcPr>
            <w:tcW w:w="2235" w:type="dxa"/>
            <w:tcBorders>
              <w:top w:val="single" w:sz="8" w:space="0" w:color="auto"/>
              <w:bottom w:val="single" w:sz="8" w:space="0" w:color="auto"/>
            </w:tcBorders>
            <w:shd w:val="clear" w:color="auto" w:fill="auto"/>
            <w:hideMark/>
          </w:tcPr>
          <w:p w14:paraId="63D8D927" w14:textId="77777777" w:rsidR="00067160" w:rsidRPr="00CF31E0" w:rsidRDefault="00067160" w:rsidP="0074559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Place of birth</w:t>
            </w:r>
          </w:p>
        </w:tc>
        <w:tc>
          <w:tcPr>
            <w:tcW w:w="1134" w:type="dxa"/>
            <w:tcBorders>
              <w:top w:val="single" w:sz="8" w:space="0" w:color="auto"/>
              <w:bottom w:val="single" w:sz="8" w:space="0" w:color="auto"/>
            </w:tcBorders>
            <w:shd w:val="clear" w:color="auto" w:fill="auto"/>
            <w:hideMark/>
          </w:tcPr>
          <w:p w14:paraId="110FAAFA" w14:textId="77777777" w:rsidR="00067160" w:rsidRPr="00CF31E0" w:rsidRDefault="00067160" w:rsidP="0074559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3A3692F7" w14:textId="77777777" w:rsidR="00067160" w:rsidRPr="00CF31E0" w:rsidRDefault="00067160" w:rsidP="0074559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067160" w:rsidRPr="00CF31E0" w14:paraId="1E993BA4" w14:textId="77777777" w:rsidTr="00067160">
        <w:trPr>
          <w:trHeight w:val="567"/>
        </w:trPr>
        <w:tc>
          <w:tcPr>
            <w:tcW w:w="2235" w:type="dxa"/>
            <w:tcBorders>
              <w:top w:val="single" w:sz="8" w:space="0" w:color="auto"/>
            </w:tcBorders>
            <w:shd w:val="clear" w:color="auto" w:fill="auto"/>
            <w:vAlign w:val="bottom"/>
          </w:tcPr>
          <w:p w14:paraId="4C272673" w14:textId="77777777" w:rsidR="00067160" w:rsidRPr="00CF31E0" w:rsidRDefault="00067160" w:rsidP="00745597">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14FADCF3" w14:textId="77777777" w:rsidR="00067160" w:rsidRPr="00CF31E0" w:rsidRDefault="00067160" w:rsidP="00745597">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5.676</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1B4419A9" w14:textId="77777777" w:rsidR="00067160" w:rsidRPr="00CF31E0" w:rsidRDefault="00067160" w:rsidP="00745597">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.460</w:t>
            </w:r>
          </w:p>
        </w:tc>
      </w:tr>
      <w:tr w:rsidR="00067160" w:rsidRPr="00CF31E0" w14:paraId="09C9C0AE" w14:textId="77777777" w:rsidTr="00067160">
        <w:trPr>
          <w:trHeight w:val="567"/>
        </w:trPr>
        <w:tc>
          <w:tcPr>
            <w:tcW w:w="2235" w:type="dxa"/>
            <w:tcBorders>
              <w:bottom w:val="single" w:sz="8" w:space="0" w:color="auto"/>
            </w:tcBorders>
            <w:shd w:val="clear" w:color="auto" w:fill="auto"/>
            <w:vAlign w:val="bottom"/>
          </w:tcPr>
          <w:p w14:paraId="7791D4D9" w14:textId="77777777" w:rsidR="00067160" w:rsidRPr="00CF31E0" w:rsidRDefault="00067160" w:rsidP="00745597">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309F739B" w14:textId="77777777" w:rsidR="00067160" w:rsidRPr="00CF31E0" w:rsidRDefault="00067160" w:rsidP="00745597">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03525D16" w14:textId="77777777" w:rsidR="00067160" w:rsidRPr="00CF31E0" w:rsidRDefault="00067160" w:rsidP="00745597">
            <w:pPr>
              <w:spacing w:after="200" w:line="276" w:lineRule="auto"/>
              <w:rPr>
                <w:rFonts w:eastAsia="Calibri"/>
                <w:color w:val="000000" w:themeColor="text1"/>
                <w:sz w:val="22"/>
                <w:szCs w:val="22"/>
                <w:lang w:eastAsia="en-US"/>
              </w:rPr>
            </w:pPr>
          </w:p>
        </w:tc>
      </w:tr>
    </w:tbl>
    <w:p w14:paraId="0372BD67" w14:textId="77777777" w:rsidR="00745597" w:rsidRPr="00CF31E0" w:rsidRDefault="00745597" w:rsidP="00DF1804">
      <w:pPr>
        <w:rPr>
          <w:color w:val="000000" w:themeColor="text1"/>
          <w:lang w:eastAsia="en-US"/>
        </w:rPr>
      </w:pPr>
    </w:p>
    <w:p w14:paraId="33156D2E" w14:textId="77777777" w:rsidR="00745597" w:rsidRPr="00CF31E0" w:rsidRDefault="00745597"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726E471E" w14:textId="77777777" w:rsidTr="00A21FE4">
        <w:trPr>
          <w:trHeight w:val="567"/>
        </w:trPr>
        <w:tc>
          <w:tcPr>
            <w:tcW w:w="2235" w:type="dxa"/>
            <w:tcBorders>
              <w:top w:val="single" w:sz="8" w:space="0" w:color="auto"/>
              <w:bottom w:val="single" w:sz="8" w:space="0" w:color="auto"/>
            </w:tcBorders>
            <w:shd w:val="clear" w:color="auto" w:fill="auto"/>
            <w:hideMark/>
          </w:tcPr>
          <w:p w14:paraId="49176959" w14:textId="77777777" w:rsidR="00A21FE4" w:rsidRPr="00CF31E0" w:rsidRDefault="00A21FE4" w:rsidP="0074559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Places lived</w:t>
            </w:r>
          </w:p>
        </w:tc>
        <w:tc>
          <w:tcPr>
            <w:tcW w:w="1134" w:type="dxa"/>
            <w:tcBorders>
              <w:top w:val="single" w:sz="8" w:space="0" w:color="auto"/>
              <w:bottom w:val="single" w:sz="8" w:space="0" w:color="auto"/>
            </w:tcBorders>
            <w:shd w:val="clear" w:color="auto" w:fill="auto"/>
            <w:hideMark/>
          </w:tcPr>
          <w:p w14:paraId="2231619C" w14:textId="77777777" w:rsidR="00A21FE4" w:rsidRPr="00CF31E0" w:rsidRDefault="00A21FE4" w:rsidP="0074559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03EE9246" w14:textId="77777777" w:rsidR="00A21FE4" w:rsidRPr="00CF31E0" w:rsidRDefault="00A21FE4" w:rsidP="0074559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4EC3C7BD" w14:textId="77777777" w:rsidTr="00A21FE4">
        <w:trPr>
          <w:trHeight w:val="567"/>
        </w:trPr>
        <w:tc>
          <w:tcPr>
            <w:tcW w:w="2235" w:type="dxa"/>
            <w:tcBorders>
              <w:top w:val="single" w:sz="8" w:space="0" w:color="auto"/>
            </w:tcBorders>
            <w:shd w:val="clear" w:color="auto" w:fill="auto"/>
            <w:vAlign w:val="bottom"/>
          </w:tcPr>
          <w:p w14:paraId="0BAB32E0" w14:textId="77777777" w:rsidR="00A21FE4" w:rsidRPr="00CF31E0" w:rsidRDefault="00A21FE4" w:rsidP="00745597">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41CB8149" w14:textId="77777777" w:rsidR="00A21FE4" w:rsidRPr="00CF31E0" w:rsidRDefault="00A21FE4" w:rsidP="00745597">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2.510</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1DB54925" w14:textId="77777777" w:rsidR="00A21FE4" w:rsidRPr="00CF31E0" w:rsidRDefault="00A21FE4" w:rsidP="00745597">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.867</w:t>
            </w:r>
          </w:p>
        </w:tc>
      </w:tr>
      <w:tr w:rsidR="00A21FE4" w:rsidRPr="00CF31E0" w14:paraId="4D951DBD" w14:textId="77777777" w:rsidTr="00A21FE4">
        <w:trPr>
          <w:trHeight w:val="567"/>
        </w:trPr>
        <w:tc>
          <w:tcPr>
            <w:tcW w:w="2235" w:type="dxa"/>
            <w:tcBorders>
              <w:bottom w:val="single" w:sz="8" w:space="0" w:color="auto"/>
            </w:tcBorders>
            <w:shd w:val="clear" w:color="auto" w:fill="auto"/>
            <w:vAlign w:val="bottom"/>
          </w:tcPr>
          <w:p w14:paraId="47D27972" w14:textId="77777777" w:rsidR="00A21FE4" w:rsidRPr="00CF31E0" w:rsidRDefault="00A21FE4" w:rsidP="00745597">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7089F7CF" w14:textId="77777777" w:rsidR="00A21FE4" w:rsidRPr="00CF31E0" w:rsidRDefault="00A21FE4" w:rsidP="00745597">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7EE5B672" w14:textId="77777777" w:rsidR="00A21FE4" w:rsidRPr="00CF31E0" w:rsidRDefault="00A21FE4" w:rsidP="00745597">
            <w:pPr>
              <w:spacing w:after="200" w:line="276" w:lineRule="auto"/>
              <w:rPr>
                <w:rFonts w:eastAsia="Calibri"/>
                <w:color w:val="000000" w:themeColor="text1"/>
                <w:sz w:val="22"/>
                <w:szCs w:val="22"/>
                <w:lang w:eastAsia="en-US"/>
              </w:rPr>
            </w:pPr>
          </w:p>
        </w:tc>
      </w:tr>
    </w:tbl>
    <w:p w14:paraId="0012DD1E" w14:textId="77777777" w:rsidR="00EE138D" w:rsidRPr="00CF31E0" w:rsidRDefault="00EE138D" w:rsidP="00DF1804">
      <w:pPr>
        <w:rPr>
          <w:color w:val="000000" w:themeColor="text1"/>
          <w:lang w:eastAsia="en-US"/>
        </w:rPr>
      </w:pPr>
    </w:p>
    <w:p w14:paraId="03009B55" w14:textId="77777777" w:rsidR="00EE138D" w:rsidRPr="00CF31E0" w:rsidRDefault="00EE138D"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6611040A" w14:textId="77777777" w:rsidTr="00A21FE4">
        <w:trPr>
          <w:trHeight w:val="567"/>
        </w:trPr>
        <w:tc>
          <w:tcPr>
            <w:tcW w:w="2235" w:type="dxa"/>
            <w:tcBorders>
              <w:top w:val="single" w:sz="8" w:space="0" w:color="auto"/>
              <w:bottom w:val="single" w:sz="8" w:space="0" w:color="auto"/>
            </w:tcBorders>
            <w:shd w:val="clear" w:color="auto" w:fill="auto"/>
            <w:hideMark/>
          </w:tcPr>
          <w:p w14:paraId="2FFF74C1" w14:textId="77777777" w:rsidR="00A21FE4" w:rsidRPr="00CF31E0" w:rsidRDefault="00A21FE4" w:rsidP="00644120">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Marital status</w:t>
            </w:r>
          </w:p>
        </w:tc>
        <w:tc>
          <w:tcPr>
            <w:tcW w:w="1134" w:type="dxa"/>
            <w:tcBorders>
              <w:top w:val="single" w:sz="8" w:space="0" w:color="auto"/>
              <w:bottom w:val="single" w:sz="8" w:space="0" w:color="auto"/>
            </w:tcBorders>
            <w:shd w:val="clear" w:color="auto" w:fill="auto"/>
            <w:hideMark/>
          </w:tcPr>
          <w:p w14:paraId="762ECED3" w14:textId="77777777" w:rsidR="00A21FE4" w:rsidRPr="00CF31E0" w:rsidRDefault="00A21FE4" w:rsidP="00644120">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24DDA509" w14:textId="77777777" w:rsidR="00A21FE4" w:rsidRPr="00CF31E0" w:rsidRDefault="00A21FE4" w:rsidP="00644120">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0DCF16F9" w14:textId="77777777" w:rsidTr="00A21FE4">
        <w:trPr>
          <w:trHeight w:val="567"/>
        </w:trPr>
        <w:tc>
          <w:tcPr>
            <w:tcW w:w="2235" w:type="dxa"/>
            <w:tcBorders>
              <w:top w:val="single" w:sz="8" w:space="0" w:color="auto"/>
            </w:tcBorders>
            <w:shd w:val="clear" w:color="auto" w:fill="auto"/>
            <w:vAlign w:val="bottom"/>
          </w:tcPr>
          <w:p w14:paraId="35D4CF32" w14:textId="77777777" w:rsidR="00A21FE4" w:rsidRPr="00CF31E0" w:rsidRDefault="00A21FE4" w:rsidP="00644120">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401D89A8" w14:textId="77777777" w:rsidR="00A21FE4" w:rsidRPr="00CF31E0" w:rsidRDefault="00A21FE4" w:rsidP="00644120">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15.914</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7671FBA0" w14:textId="77777777" w:rsidR="00A21FE4" w:rsidRPr="00CF31E0" w:rsidRDefault="00A21FE4" w:rsidP="00644120">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.195</w:t>
            </w:r>
          </w:p>
        </w:tc>
      </w:tr>
      <w:tr w:rsidR="00A21FE4" w:rsidRPr="00CF31E0" w14:paraId="69B8DFB1" w14:textId="77777777" w:rsidTr="00A21FE4">
        <w:trPr>
          <w:trHeight w:val="567"/>
        </w:trPr>
        <w:tc>
          <w:tcPr>
            <w:tcW w:w="2235" w:type="dxa"/>
            <w:tcBorders>
              <w:bottom w:val="single" w:sz="8" w:space="0" w:color="auto"/>
            </w:tcBorders>
            <w:shd w:val="clear" w:color="auto" w:fill="auto"/>
            <w:vAlign w:val="bottom"/>
          </w:tcPr>
          <w:p w14:paraId="5CB10CDF" w14:textId="77777777" w:rsidR="00A21FE4" w:rsidRPr="00CF31E0" w:rsidRDefault="00A21FE4" w:rsidP="00644120">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0F47AC9E" w14:textId="77777777" w:rsidR="00A21FE4" w:rsidRPr="00CF31E0" w:rsidRDefault="00A21FE4" w:rsidP="00644120">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1CA7BAE0" w14:textId="77777777" w:rsidR="00A21FE4" w:rsidRPr="00CF31E0" w:rsidRDefault="00A21FE4" w:rsidP="00644120">
            <w:pPr>
              <w:spacing w:after="200" w:line="276" w:lineRule="auto"/>
              <w:rPr>
                <w:rFonts w:eastAsia="Calibri"/>
                <w:color w:val="000000" w:themeColor="text1"/>
                <w:sz w:val="22"/>
                <w:szCs w:val="22"/>
                <w:lang w:eastAsia="en-US"/>
              </w:rPr>
            </w:pPr>
          </w:p>
        </w:tc>
      </w:tr>
    </w:tbl>
    <w:p w14:paraId="1726887C" w14:textId="77777777" w:rsidR="00745597" w:rsidRPr="00CF31E0" w:rsidRDefault="00745597" w:rsidP="00DF1804">
      <w:pPr>
        <w:rPr>
          <w:color w:val="000000" w:themeColor="text1"/>
          <w:lang w:eastAsia="en-US"/>
        </w:rPr>
      </w:pPr>
    </w:p>
    <w:p w14:paraId="217EB5DD" w14:textId="77777777" w:rsidR="00644120" w:rsidRDefault="00644120" w:rsidP="00DF1804">
      <w:pPr>
        <w:rPr>
          <w:color w:val="000000" w:themeColor="text1"/>
          <w:lang w:eastAsia="en-US"/>
        </w:rPr>
      </w:pPr>
    </w:p>
    <w:p w14:paraId="3E700B0B" w14:textId="77777777" w:rsidR="006E02B4" w:rsidRDefault="006E02B4" w:rsidP="00DF1804">
      <w:pPr>
        <w:rPr>
          <w:color w:val="000000" w:themeColor="text1"/>
          <w:lang w:eastAsia="en-US"/>
        </w:rPr>
      </w:pPr>
    </w:p>
    <w:p w14:paraId="6B648CD8" w14:textId="77777777" w:rsidR="006E02B4" w:rsidRDefault="006E02B4" w:rsidP="00DF1804">
      <w:pPr>
        <w:rPr>
          <w:color w:val="000000" w:themeColor="text1"/>
          <w:lang w:eastAsia="en-US"/>
        </w:rPr>
      </w:pPr>
    </w:p>
    <w:p w14:paraId="0B7C313C" w14:textId="77777777" w:rsidR="006E02B4" w:rsidRDefault="006E02B4" w:rsidP="00DF1804">
      <w:pPr>
        <w:rPr>
          <w:color w:val="000000" w:themeColor="text1"/>
          <w:lang w:eastAsia="en-US"/>
        </w:rPr>
      </w:pPr>
    </w:p>
    <w:p w14:paraId="36797A87" w14:textId="77777777" w:rsidR="006E02B4" w:rsidRPr="00CF31E0" w:rsidRDefault="006E02B4"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067160" w:rsidRPr="00CF31E0" w14:paraId="35571BB8" w14:textId="77777777" w:rsidTr="00067160">
        <w:trPr>
          <w:trHeight w:val="567"/>
        </w:trPr>
        <w:tc>
          <w:tcPr>
            <w:tcW w:w="2235" w:type="dxa"/>
            <w:tcBorders>
              <w:top w:val="single" w:sz="8" w:space="0" w:color="auto"/>
              <w:bottom w:val="single" w:sz="8" w:space="0" w:color="auto"/>
            </w:tcBorders>
            <w:shd w:val="clear" w:color="auto" w:fill="auto"/>
            <w:hideMark/>
          </w:tcPr>
          <w:p w14:paraId="059025E4" w14:textId="77777777" w:rsidR="00067160" w:rsidRPr="00CF31E0" w:rsidRDefault="00067160" w:rsidP="00644120">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lastRenderedPageBreak/>
              <w:t>Social group</w:t>
            </w:r>
          </w:p>
        </w:tc>
        <w:tc>
          <w:tcPr>
            <w:tcW w:w="1134" w:type="dxa"/>
            <w:tcBorders>
              <w:top w:val="single" w:sz="8" w:space="0" w:color="auto"/>
              <w:bottom w:val="single" w:sz="8" w:space="0" w:color="auto"/>
            </w:tcBorders>
            <w:shd w:val="clear" w:color="auto" w:fill="auto"/>
            <w:hideMark/>
          </w:tcPr>
          <w:p w14:paraId="060A3EE6" w14:textId="77777777" w:rsidR="00067160" w:rsidRPr="00CF31E0" w:rsidRDefault="00067160" w:rsidP="00644120">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0B6ED110" w14:textId="77777777" w:rsidR="00067160" w:rsidRPr="00CF31E0" w:rsidRDefault="00067160" w:rsidP="00644120">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067160" w:rsidRPr="00CF31E0" w14:paraId="1A15DEC2" w14:textId="77777777" w:rsidTr="00067160">
        <w:trPr>
          <w:trHeight w:val="567"/>
        </w:trPr>
        <w:tc>
          <w:tcPr>
            <w:tcW w:w="2235" w:type="dxa"/>
            <w:tcBorders>
              <w:top w:val="single" w:sz="8" w:space="0" w:color="auto"/>
            </w:tcBorders>
            <w:shd w:val="clear" w:color="auto" w:fill="auto"/>
            <w:vAlign w:val="bottom"/>
          </w:tcPr>
          <w:p w14:paraId="69CF3191" w14:textId="77777777" w:rsidR="00067160" w:rsidRPr="00CF31E0" w:rsidRDefault="00067160" w:rsidP="00644120">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4CAD6BB4" w14:textId="77777777" w:rsidR="00067160" w:rsidRPr="00CF31E0" w:rsidRDefault="00067160" w:rsidP="00644120">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11.391</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75D8D2A4" w14:textId="77777777" w:rsidR="00067160" w:rsidRPr="00CF31E0" w:rsidRDefault="00067160" w:rsidP="00644120">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.077</w:t>
            </w:r>
          </w:p>
        </w:tc>
      </w:tr>
      <w:tr w:rsidR="00067160" w:rsidRPr="00CF31E0" w14:paraId="459D6CD1" w14:textId="77777777" w:rsidTr="00067160">
        <w:trPr>
          <w:trHeight w:val="567"/>
        </w:trPr>
        <w:tc>
          <w:tcPr>
            <w:tcW w:w="2235" w:type="dxa"/>
            <w:tcBorders>
              <w:bottom w:val="single" w:sz="8" w:space="0" w:color="auto"/>
            </w:tcBorders>
            <w:shd w:val="clear" w:color="auto" w:fill="auto"/>
            <w:vAlign w:val="bottom"/>
          </w:tcPr>
          <w:p w14:paraId="540F71A5" w14:textId="77777777" w:rsidR="00067160" w:rsidRPr="00CF31E0" w:rsidRDefault="00067160" w:rsidP="00644120">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6F87B77B" w14:textId="77777777" w:rsidR="00067160" w:rsidRPr="00CF31E0" w:rsidRDefault="00067160" w:rsidP="00644120">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6B94C6D9" w14:textId="77777777" w:rsidR="00067160" w:rsidRPr="00CF31E0" w:rsidRDefault="00067160" w:rsidP="00644120">
            <w:pPr>
              <w:spacing w:after="200" w:line="276" w:lineRule="auto"/>
              <w:rPr>
                <w:rFonts w:eastAsia="Calibri"/>
                <w:color w:val="000000" w:themeColor="text1"/>
                <w:sz w:val="22"/>
                <w:szCs w:val="22"/>
                <w:lang w:eastAsia="en-US"/>
              </w:rPr>
            </w:pPr>
          </w:p>
        </w:tc>
      </w:tr>
    </w:tbl>
    <w:p w14:paraId="15139217" w14:textId="77777777" w:rsidR="00644120" w:rsidRPr="00CF31E0" w:rsidRDefault="00644120" w:rsidP="00DF1804">
      <w:pPr>
        <w:rPr>
          <w:color w:val="000000" w:themeColor="text1"/>
          <w:lang w:eastAsia="en-US"/>
        </w:rPr>
      </w:pPr>
    </w:p>
    <w:p w14:paraId="5ECC81F2" w14:textId="77777777" w:rsidR="00644120" w:rsidRPr="00CF31E0" w:rsidRDefault="00644120"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21B47AE2" w14:textId="77777777" w:rsidTr="00A21FE4">
        <w:trPr>
          <w:trHeight w:val="567"/>
        </w:trPr>
        <w:tc>
          <w:tcPr>
            <w:tcW w:w="2235" w:type="dxa"/>
            <w:tcBorders>
              <w:top w:val="single" w:sz="8" w:space="0" w:color="auto"/>
              <w:bottom w:val="single" w:sz="8" w:space="0" w:color="auto"/>
            </w:tcBorders>
            <w:shd w:val="clear" w:color="auto" w:fill="auto"/>
            <w:hideMark/>
          </w:tcPr>
          <w:p w14:paraId="3DBDD1C2" w14:textId="77777777" w:rsidR="00A21FE4" w:rsidRPr="00CF31E0" w:rsidRDefault="00A21FE4" w:rsidP="00644120">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Mother’s social group</w:t>
            </w:r>
          </w:p>
        </w:tc>
        <w:tc>
          <w:tcPr>
            <w:tcW w:w="1134" w:type="dxa"/>
            <w:tcBorders>
              <w:top w:val="single" w:sz="8" w:space="0" w:color="auto"/>
              <w:bottom w:val="single" w:sz="8" w:space="0" w:color="auto"/>
            </w:tcBorders>
            <w:shd w:val="clear" w:color="auto" w:fill="auto"/>
            <w:hideMark/>
          </w:tcPr>
          <w:p w14:paraId="3624D69E" w14:textId="77777777" w:rsidR="00A21FE4" w:rsidRPr="00CF31E0" w:rsidRDefault="00A21FE4" w:rsidP="00644120">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43BC1668" w14:textId="77777777" w:rsidR="00A21FE4" w:rsidRPr="00CF31E0" w:rsidRDefault="00A21FE4" w:rsidP="00644120">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01AC77A6" w14:textId="77777777" w:rsidTr="00A21FE4">
        <w:trPr>
          <w:trHeight w:val="567"/>
        </w:trPr>
        <w:tc>
          <w:tcPr>
            <w:tcW w:w="2235" w:type="dxa"/>
            <w:tcBorders>
              <w:top w:val="single" w:sz="8" w:space="0" w:color="auto"/>
            </w:tcBorders>
            <w:shd w:val="clear" w:color="auto" w:fill="auto"/>
            <w:vAlign w:val="bottom"/>
          </w:tcPr>
          <w:p w14:paraId="23DB078C" w14:textId="77777777" w:rsidR="00A21FE4" w:rsidRPr="00CF31E0" w:rsidRDefault="00A21FE4" w:rsidP="00644120">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24BD385D" w14:textId="77777777" w:rsidR="00A21FE4" w:rsidRPr="00CF31E0" w:rsidRDefault="00A21FE4" w:rsidP="00644120">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15.699</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3D51AED2" w14:textId="77777777" w:rsidR="00A21FE4" w:rsidRPr="00CF31E0" w:rsidRDefault="00A21FE4" w:rsidP="00644120">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.205</w:t>
            </w:r>
          </w:p>
        </w:tc>
      </w:tr>
      <w:tr w:rsidR="00A21FE4" w:rsidRPr="00CF31E0" w14:paraId="0C0E9472" w14:textId="77777777" w:rsidTr="00A21FE4">
        <w:trPr>
          <w:trHeight w:val="567"/>
        </w:trPr>
        <w:tc>
          <w:tcPr>
            <w:tcW w:w="2235" w:type="dxa"/>
            <w:tcBorders>
              <w:bottom w:val="single" w:sz="8" w:space="0" w:color="auto"/>
            </w:tcBorders>
            <w:shd w:val="clear" w:color="auto" w:fill="auto"/>
            <w:vAlign w:val="bottom"/>
          </w:tcPr>
          <w:p w14:paraId="5076C81C" w14:textId="77777777" w:rsidR="00A21FE4" w:rsidRPr="00CF31E0" w:rsidRDefault="00A21FE4" w:rsidP="00644120">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77E7CBD6" w14:textId="77777777" w:rsidR="00A21FE4" w:rsidRPr="00CF31E0" w:rsidRDefault="00A21FE4" w:rsidP="00644120">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66CE1BD4" w14:textId="77777777" w:rsidR="00A21FE4" w:rsidRPr="00CF31E0" w:rsidRDefault="00A21FE4" w:rsidP="00644120">
            <w:pPr>
              <w:spacing w:after="200" w:line="276" w:lineRule="auto"/>
              <w:rPr>
                <w:rFonts w:eastAsia="Calibri"/>
                <w:color w:val="000000" w:themeColor="text1"/>
                <w:sz w:val="22"/>
                <w:szCs w:val="22"/>
                <w:lang w:eastAsia="en-US"/>
              </w:rPr>
            </w:pPr>
          </w:p>
        </w:tc>
      </w:tr>
    </w:tbl>
    <w:p w14:paraId="66A2047E" w14:textId="77777777" w:rsidR="00644120" w:rsidRPr="00CF31E0" w:rsidRDefault="00644120" w:rsidP="00DF1804">
      <w:pPr>
        <w:rPr>
          <w:color w:val="000000" w:themeColor="text1"/>
          <w:lang w:eastAsia="en-US"/>
        </w:rPr>
      </w:pPr>
    </w:p>
    <w:p w14:paraId="4A4ED14D" w14:textId="77777777" w:rsidR="00644120" w:rsidRPr="00CF31E0" w:rsidRDefault="00644120"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6B83B335" w14:textId="77777777" w:rsidTr="00A21FE4">
        <w:trPr>
          <w:trHeight w:val="567"/>
        </w:trPr>
        <w:tc>
          <w:tcPr>
            <w:tcW w:w="2235" w:type="dxa"/>
            <w:tcBorders>
              <w:top w:val="single" w:sz="8" w:space="0" w:color="auto"/>
              <w:bottom w:val="single" w:sz="8" w:space="0" w:color="auto"/>
            </w:tcBorders>
            <w:shd w:val="clear" w:color="auto" w:fill="auto"/>
            <w:hideMark/>
          </w:tcPr>
          <w:p w14:paraId="0E5B84F4" w14:textId="77777777" w:rsidR="00A21FE4" w:rsidRPr="00CF31E0" w:rsidRDefault="00A21FE4" w:rsidP="00644120">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Spouse’s social group</w:t>
            </w:r>
          </w:p>
        </w:tc>
        <w:tc>
          <w:tcPr>
            <w:tcW w:w="1134" w:type="dxa"/>
            <w:tcBorders>
              <w:top w:val="single" w:sz="8" w:space="0" w:color="auto"/>
              <w:bottom w:val="single" w:sz="8" w:space="0" w:color="auto"/>
            </w:tcBorders>
            <w:shd w:val="clear" w:color="auto" w:fill="auto"/>
            <w:hideMark/>
          </w:tcPr>
          <w:p w14:paraId="68084394" w14:textId="77777777" w:rsidR="00A21FE4" w:rsidRPr="00CF31E0" w:rsidRDefault="00A21FE4" w:rsidP="00644120">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722E0BB2" w14:textId="77777777" w:rsidR="00A21FE4" w:rsidRPr="00CF31E0" w:rsidRDefault="00A21FE4" w:rsidP="00644120">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086FDDEF" w14:textId="77777777" w:rsidTr="00A21FE4">
        <w:trPr>
          <w:trHeight w:val="567"/>
        </w:trPr>
        <w:tc>
          <w:tcPr>
            <w:tcW w:w="2235" w:type="dxa"/>
            <w:tcBorders>
              <w:top w:val="single" w:sz="8" w:space="0" w:color="auto"/>
            </w:tcBorders>
            <w:shd w:val="clear" w:color="auto" w:fill="auto"/>
            <w:vAlign w:val="bottom"/>
          </w:tcPr>
          <w:p w14:paraId="367EE8B9" w14:textId="77777777" w:rsidR="00A21FE4" w:rsidRPr="00CF31E0" w:rsidRDefault="00A21FE4" w:rsidP="00644120">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3DB2CD69" w14:textId="77777777" w:rsidR="00A21FE4" w:rsidRPr="00CF31E0" w:rsidRDefault="00A21FE4" w:rsidP="00644120">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18.294</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16DF1D33" w14:textId="77777777" w:rsidR="00A21FE4" w:rsidRPr="00CF31E0" w:rsidRDefault="00A21FE4" w:rsidP="00644120">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.107</w:t>
            </w:r>
          </w:p>
        </w:tc>
      </w:tr>
      <w:tr w:rsidR="00A21FE4" w:rsidRPr="00CF31E0" w14:paraId="6D7947C4" w14:textId="77777777" w:rsidTr="00A21FE4">
        <w:trPr>
          <w:trHeight w:val="567"/>
        </w:trPr>
        <w:tc>
          <w:tcPr>
            <w:tcW w:w="2235" w:type="dxa"/>
            <w:tcBorders>
              <w:bottom w:val="single" w:sz="8" w:space="0" w:color="auto"/>
            </w:tcBorders>
            <w:shd w:val="clear" w:color="auto" w:fill="auto"/>
            <w:vAlign w:val="bottom"/>
          </w:tcPr>
          <w:p w14:paraId="46A1DA56" w14:textId="77777777" w:rsidR="00A21FE4" w:rsidRPr="00CF31E0" w:rsidRDefault="00A21FE4" w:rsidP="00644120">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4A41FE24" w14:textId="77777777" w:rsidR="00A21FE4" w:rsidRPr="00CF31E0" w:rsidRDefault="00A21FE4" w:rsidP="00644120">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300FE963" w14:textId="77777777" w:rsidR="00A21FE4" w:rsidRPr="00CF31E0" w:rsidRDefault="00A21FE4" w:rsidP="00644120">
            <w:pPr>
              <w:spacing w:after="200" w:line="276" w:lineRule="auto"/>
              <w:rPr>
                <w:rFonts w:eastAsia="Calibri"/>
                <w:color w:val="000000" w:themeColor="text1"/>
                <w:sz w:val="22"/>
                <w:szCs w:val="22"/>
                <w:lang w:eastAsia="en-US"/>
              </w:rPr>
            </w:pPr>
          </w:p>
        </w:tc>
      </w:tr>
    </w:tbl>
    <w:p w14:paraId="38898261" w14:textId="77777777" w:rsidR="00644120" w:rsidRPr="00CF31E0" w:rsidRDefault="00644120" w:rsidP="00DF1804">
      <w:pPr>
        <w:rPr>
          <w:color w:val="000000" w:themeColor="text1"/>
          <w:lang w:eastAsia="en-US"/>
        </w:rPr>
      </w:pPr>
    </w:p>
    <w:p w14:paraId="0560B929" w14:textId="77777777" w:rsidR="00644120" w:rsidRPr="00CF31E0" w:rsidRDefault="00644120"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64D5EAB8" w14:textId="77777777" w:rsidTr="00A21FE4">
        <w:trPr>
          <w:trHeight w:val="567"/>
        </w:trPr>
        <w:tc>
          <w:tcPr>
            <w:tcW w:w="2235" w:type="dxa"/>
            <w:tcBorders>
              <w:top w:val="single" w:sz="8" w:space="0" w:color="auto"/>
              <w:bottom w:val="single" w:sz="8" w:space="0" w:color="auto"/>
            </w:tcBorders>
            <w:shd w:val="clear" w:color="auto" w:fill="auto"/>
            <w:hideMark/>
          </w:tcPr>
          <w:p w14:paraId="1B979FD2" w14:textId="77777777" w:rsidR="00A21FE4" w:rsidRPr="00CF31E0" w:rsidRDefault="00A21FE4" w:rsidP="00ED6E5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Education</w:t>
            </w:r>
          </w:p>
        </w:tc>
        <w:tc>
          <w:tcPr>
            <w:tcW w:w="1134" w:type="dxa"/>
            <w:tcBorders>
              <w:top w:val="single" w:sz="8" w:space="0" w:color="auto"/>
              <w:bottom w:val="single" w:sz="8" w:space="0" w:color="auto"/>
            </w:tcBorders>
            <w:shd w:val="clear" w:color="auto" w:fill="auto"/>
            <w:hideMark/>
          </w:tcPr>
          <w:p w14:paraId="22DAF6A2" w14:textId="77777777" w:rsidR="00A21FE4" w:rsidRPr="00CF31E0" w:rsidRDefault="00A21FE4" w:rsidP="00ED6E5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091E274A" w14:textId="77777777" w:rsidR="00A21FE4" w:rsidRPr="00CF31E0" w:rsidRDefault="00A21FE4" w:rsidP="00ED6E5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3DB4F85A" w14:textId="77777777" w:rsidTr="00A21FE4">
        <w:trPr>
          <w:trHeight w:val="567"/>
        </w:trPr>
        <w:tc>
          <w:tcPr>
            <w:tcW w:w="2235" w:type="dxa"/>
            <w:tcBorders>
              <w:top w:val="single" w:sz="8" w:space="0" w:color="auto"/>
            </w:tcBorders>
            <w:shd w:val="clear" w:color="auto" w:fill="auto"/>
            <w:vAlign w:val="bottom"/>
          </w:tcPr>
          <w:p w14:paraId="7D9A6E74" w14:textId="77777777" w:rsidR="00A21FE4" w:rsidRPr="00CF31E0" w:rsidRDefault="00A21FE4" w:rsidP="00ED6E5F">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288C61A3" w14:textId="77777777" w:rsidR="00A21FE4" w:rsidRPr="00CF31E0" w:rsidRDefault="00A21FE4" w:rsidP="00ED6E5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15.866</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55050C48" w14:textId="77777777" w:rsidR="00A21FE4" w:rsidRPr="00CF31E0" w:rsidRDefault="00A21FE4" w:rsidP="00ED6E5F">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.197</w:t>
            </w:r>
          </w:p>
        </w:tc>
      </w:tr>
      <w:tr w:rsidR="00A21FE4" w:rsidRPr="00CF31E0" w14:paraId="4F7F8F9F" w14:textId="77777777" w:rsidTr="00A21FE4">
        <w:trPr>
          <w:trHeight w:val="567"/>
        </w:trPr>
        <w:tc>
          <w:tcPr>
            <w:tcW w:w="2235" w:type="dxa"/>
            <w:tcBorders>
              <w:bottom w:val="single" w:sz="8" w:space="0" w:color="auto"/>
            </w:tcBorders>
            <w:shd w:val="clear" w:color="auto" w:fill="auto"/>
            <w:vAlign w:val="bottom"/>
          </w:tcPr>
          <w:p w14:paraId="62A8787F" w14:textId="77777777" w:rsidR="00A21FE4" w:rsidRPr="00CF31E0" w:rsidRDefault="00A21FE4" w:rsidP="00ED6E5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74239E3D" w14:textId="77777777" w:rsidR="00A21FE4" w:rsidRPr="00CF31E0" w:rsidRDefault="00A21FE4" w:rsidP="00ED6E5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1763173F" w14:textId="77777777" w:rsidR="00A21FE4" w:rsidRPr="00CF31E0" w:rsidRDefault="00A21FE4" w:rsidP="00ED6E5F">
            <w:pPr>
              <w:spacing w:after="200" w:line="276" w:lineRule="auto"/>
              <w:rPr>
                <w:rFonts w:eastAsia="Calibri"/>
                <w:color w:val="000000" w:themeColor="text1"/>
                <w:sz w:val="22"/>
                <w:szCs w:val="22"/>
                <w:lang w:eastAsia="en-US"/>
              </w:rPr>
            </w:pPr>
          </w:p>
        </w:tc>
      </w:tr>
    </w:tbl>
    <w:p w14:paraId="626EFF2A" w14:textId="77777777" w:rsidR="00ED6E5F" w:rsidRPr="00CF31E0" w:rsidRDefault="00ED6E5F" w:rsidP="00DF1804">
      <w:pPr>
        <w:rPr>
          <w:color w:val="000000" w:themeColor="text1"/>
          <w:lang w:eastAsia="en-US"/>
        </w:rPr>
      </w:pPr>
    </w:p>
    <w:p w14:paraId="20825C6B" w14:textId="77777777" w:rsidR="00ED6E5F" w:rsidRPr="00CF31E0" w:rsidRDefault="00ED6E5F"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3B6B17ED" w14:textId="77777777" w:rsidTr="00A21FE4">
        <w:trPr>
          <w:trHeight w:val="567"/>
        </w:trPr>
        <w:tc>
          <w:tcPr>
            <w:tcW w:w="2235" w:type="dxa"/>
            <w:tcBorders>
              <w:top w:val="single" w:sz="8" w:space="0" w:color="auto"/>
              <w:bottom w:val="single" w:sz="8" w:space="0" w:color="auto"/>
            </w:tcBorders>
            <w:shd w:val="clear" w:color="auto" w:fill="auto"/>
            <w:hideMark/>
          </w:tcPr>
          <w:p w14:paraId="3F1B29D1" w14:textId="77777777" w:rsidR="00A21FE4" w:rsidRPr="00CF31E0" w:rsidRDefault="00A21FE4" w:rsidP="00ED6E5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Age</w:t>
            </w:r>
          </w:p>
        </w:tc>
        <w:tc>
          <w:tcPr>
            <w:tcW w:w="1134" w:type="dxa"/>
            <w:tcBorders>
              <w:top w:val="single" w:sz="8" w:space="0" w:color="auto"/>
              <w:bottom w:val="single" w:sz="8" w:space="0" w:color="auto"/>
            </w:tcBorders>
            <w:shd w:val="clear" w:color="auto" w:fill="auto"/>
            <w:hideMark/>
          </w:tcPr>
          <w:p w14:paraId="10200DFF" w14:textId="77777777" w:rsidR="00A21FE4" w:rsidRPr="00CF31E0" w:rsidRDefault="00A21FE4" w:rsidP="00ED6E5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11711CD0" w14:textId="77777777" w:rsidR="00A21FE4" w:rsidRPr="00CF31E0" w:rsidRDefault="00A21FE4" w:rsidP="00ED6E5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2B11792C" w14:textId="77777777" w:rsidTr="00A21FE4">
        <w:trPr>
          <w:trHeight w:val="567"/>
        </w:trPr>
        <w:tc>
          <w:tcPr>
            <w:tcW w:w="2235" w:type="dxa"/>
            <w:tcBorders>
              <w:top w:val="single" w:sz="8" w:space="0" w:color="auto"/>
            </w:tcBorders>
            <w:shd w:val="clear" w:color="auto" w:fill="auto"/>
            <w:vAlign w:val="bottom"/>
          </w:tcPr>
          <w:p w14:paraId="1681BA10" w14:textId="77777777" w:rsidR="00A21FE4" w:rsidRPr="00CF31E0" w:rsidRDefault="00A21FE4" w:rsidP="00ED6E5F">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09CBBEEC" w14:textId="77777777" w:rsidR="00A21FE4" w:rsidRPr="00CF31E0" w:rsidRDefault="00A21FE4" w:rsidP="00ED6E5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30.380</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7E7A0B53" w14:textId="77777777" w:rsidR="00A21FE4" w:rsidRPr="00CF31E0" w:rsidRDefault="00A21FE4" w:rsidP="00ED6E5F">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.172</w:t>
            </w:r>
          </w:p>
        </w:tc>
      </w:tr>
      <w:tr w:rsidR="00A21FE4" w:rsidRPr="00CF31E0" w14:paraId="61751CFE" w14:textId="77777777" w:rsidTr="00A21FE4">
        <w:trPr>
          <w:trHeight w:val="567"/>
        </w:trPr>
        <w:tc>
          <w:tcPr>
            <w:tcW w:w="2235" w:type="dxa"/>
            <w:tcBorders>
              <w:bottom w:val="single" w:sz="8" w:space="0" w:color="auto"/>
            </w:tcBorders>
            <w:shd w:val="clear" w:color="auto" w:fill="auto"/>
            <w:vAlign w:val="bottom"/>
          </w:tcPr>
          <w:p w14:paraId="586256CA" w14:textId="77777777" w:rsidR="00A21FE4" w:rsidRPr="00CF31E0" w:rsidRDefault="00A21FE4" w:rsidP="00ED6E5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4FA85A00" w14:textId="77777777" w:rsidR="00A21FE4" w:rsidRPr="00CF31E0" w:rsidRDefault="00A21FE4" w:rsidP="00ED6E5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528C0A54" w14:textId="77777777" w:rsidR="00A21FE4" w:rsidRPr="00CF31E0" w:rsidRDefault="00A21FE4" w:rsidP="00ED6E5F">
            <w:pPr>
              <w:spacing w:after="200" w:line="276" w:lineRule="auto"/>
              <w:rPr>
                <w:rFonts w:eastAsia="Calibri"/>
                <w:color w:val="000000" w:themeColor="text1"/>
                <w:sz w:val="22"/>
                <w:szCs w:val="22"/>
                <w:lang w:eastAsia="en-US"/>
              </w:rPr>
            </w:pPr>
          </w:p>
        </w:tc>
      </w:tr>
    </w:tbl>
    <w:p w14:paraId="17540373" w14:textId="77777777" w:rsidR="00ED6E5F" w:rsidRPr="00CF31E0" w:rsidRDefault="00ED6E5F" w:rsidP="00ED6E5F">
      <w:pPr>
        <w:spacing w:line="400" w:lineRule="atLeast"/>
        <w:rPr>
          <w:rFonts w:eastAsia="MS Mincho"/>
          <w:b/>
          <w:bCs/>
          <w:color w:val="000000" w:themeColor="text1"/>
        </w:rPr>
      </w:pPr>
      <w:r w:rsidRPr="00CF31E0">
        <w:rPr>
          <w:rFonts w:eastAsia="MS Mincho"/>
          <w:b/>
          <w:bCs/>
          <w:color w:val="000000" w:themeColor="text1"/>
        </w:rPr>
        <w:t>Q5: What are the Arabic dialects that the HH dialect is similar to?</w:t>
      </w:r>
    </w:p>
    <w:p w14:paraId="79625E63" w14:textId="77777777" w:rsidR="00ED6E5F" w:rsidRPr="00CF31E0" w:rsidRDefault="00ED6E5F"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56D3828A" w14:textId="77777777" w:rsidTr="00A21FE4">
        <w:trPr>
          <w:trHeight w:val="567"/>
        </w:trPr>
        <w:tc>
          <w:tcPr>
            <w:tcW w:w="2235" w:type="dxa"/>
            <w:tcBorders>
              <w:top w:val="single" w:sz="8" w:space="0" w:color="auto"/>
              <w:bottom w:val="single" w:sz="8" w:space="0" w:color="auto"/>
            </w:tcBorders>
            <w:shd w:val="clear" w:color="auto" w:fill="auto"/>
            <w:hideMark/>
          </w:tcPr>
          <w:p w14:paraId="63C18B29" w14:textId="77777777" w:rsidR="00A21FE4" w:rsidRPr="00CF31E0" w:rsidRDefault="00A21FE4" w:rsidP="00ED6E5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Gender</w:t>
            </w:r>
          </w:p>
        </w:tc>
        <w:tc>
          <w:tcPr>
            <w:tcW w:w="1134" w:type="dxa"/>
            <w:tcBorders>
              <w:top w:val="single" w:sz="8" w:space="0" w:color="auto"/>
              <w:bottom w:val="single" w:sz="8" w:space="0" w:color="auto"/>
            </w:tcBorders>
            <w:shd w:val="clear" w:color="auto" w:fill="auto"/>
            <w:hideMark/>
          </w:tcPr>
          <w:p w14:paraId="13048A66" w14:textId="77777777" w:rsidR="00A21FE4" w:rsidRPr="00CF31E0" w:rsidRDefault="00A21FE4" w:rsidP="00ED6E5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5CEEF901" w14:textId="77777777" w:rsidR="00A21FE4" w:rsidRPr="00CF31E0" w:rsidRDefault="00A21FE4" w:rsidP="00ED6E5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3DA42B7E" w14:textId="77777777" w:rsidTr="00A21FE4">
        <w:trPr>
          <w:trHeight w:val="567"/>
        </w:trPr>
        <w:tc>
          <w:tcPr>
            <w:tcW w:w="2235" w:type="dxa"/>
            <w:tcBorders>
              <w:top w:val="single" w:sz="8" w:space="0" w:color="auto"/>
            </w:tcBorders>
            <w:shd w:val="clear" w:color="auto" w:fill="auto"/>
            <w:vAlign w:val="bottom"/>
          </w:tcPr>
          <w:p w14:paraId="0B43C68C" w14:textId="77777777" w:rsidR="00A21FE4" w:rsidRPr="00CF31E0" w:rsidRDefault="00A21FE4" w:rsidP="00ED6E5F">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4224973D" w14:textId="77777777" w:rsidR="00A21FE4" w:rsidRPr="00CF31E0" w:rsidRDefault="00A21FE4" w:rsidP="00ED6E5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3.826</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5374A9D5" w14:textId="77777777" w:rsidR="00A21FE4" w:rsidRPr="00CF31E0" w:rsidRDefault="00A21FE4" w:rsidP="00ED6E5F">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.281</w:t>
            </w:r>
          </w:p>
        </w:tc>
      </w:tr>
      <w:tr w:rsidR="00A21FE4" w:rsidRPr="00CF31E0" w14:paraId="36329C42" w14:textId="77777777" w:rsidTr="00A21FE4">
        <w:trPr>
          <w:trHeight w:val="567"/>
        </w:trPr>
        <w:tc>
          <w:tcPr>
            <w:tcW w:w="2235" w:type="dxa"/>
            <w:tcBorders>
              <w:bottom w:val="single" w:sz="8" w:space="0" w:color="auto"/>
            </w:tcBorders>
            <w:shd w:val="clear" w:color="auto" w:fill="auto"/>
            <w:vAlign w:val="bottom"/>
          </w:tcPr>
          <w:p w14:paraId="5E2555D1" w14:textId="77777777" w:rsidR="00A21FE4" w:rsidRPr="00CF31E0" w:rsidRDefault="00A21FE4" w:rsidP="00ED6E5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595A12FC" w14:textId="77777777" w:rsidR="00A21FE4" w:rsidRPr="00CF31E0" w:rsidRDefault="00A21FE4" w:rsidP="00ED6E5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14059BB1" w14:textId="77777777" w:rsidR="00A21FE4" w:rsidRPr="00CF31E0" w:rsidRDefault="00A21FE4" w:rsidP="00ED6E5F">
            <w:pPr>
              <w:spacing w:after="200" w:line="276" w:lineRule="auto"/>
              <w:rPr>
                <w:rFonts w:eastAsia="Calibri"/>
                <w:color w:val="000000" w:themeColor="text1"/>
                <w:sz w:val="22"/>
                <w:szCs w:val="22"/>
                <w:lang w:eastAsia="en-US"/>
              </w:rPr>
            </w:pPr>
          </w:p>
        </w:tc>
      </w:tr>
    </w:tbl>
    <w:p w14:paraId="0D150C8D" w14:textId="77777777" w:rsidR="00ED6E5F" w:rsidRPr="00CF31E0" w:rsidRDefault="00ED6E5F" w:rsidP="00DF1804">
      <w:pPr>
        <w:rPr>
          <w:color w:val="000000" w:themeColor="text1"/>
          <w:lang w:eastAsia="en-US"/>
        </w:rPr>
      </w:pPr>
    </w:p>
    <w:p w14:paraId="498BD435" w14:textId="77777777" w:rsidR="00ED6E5F" w:rsidRPr="00CF31E0" w:rsidRDefault="00ED6E5F"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6FC2D0C0" w14:textId="77777777" w:rsidTr="00A21FE4">
        <w:trPr>
          <w:trHeight w:val="567"/>
        </w:trPr>
        <w:tc>
          <w:tcPr>
            <w:tcW w:w="2235" w:type="dxa"/>
            <w:tcBorders>
              <w:top w:val="single" w:sz="8" w:space="0" w:color="auto"/>
              <w:bottom w:val="single" w:sz="8" w:space="0" w:color="auto"/>
            </w:tcBorders>
            <w:shd w:val="clear" w:color="auto" w:fill="auto"/>
            <w:hideMark/>
          </w:tcPr>
          <w:p w14:paraId="16736908" w14:textId="77777777" w:rsidR="00A21FE4" w:rsidRPr="00CF31E0" w:rsidRDefault="00A21FE4" w:rsidP="00ED6E5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Place of birth</w:t>
            </w:r>
          </w:p>
        </w:tc>
        <w:tc>
          <w:tcPr>
            <w:tcW w:w="1134" w:type="dxa"/>
            <w:tcBorders>
              <w:top w:val="single" w:sz="8" w:space="0" w:color="auto"/>
              <w:bottom w:val="single" w:sz="8" w:space="0" w:color="auto"/>
            </w:tcBorders>
            <w:shd w:val="clear" w:color="auto" w:fill="auto"/>
            <w:hideMark/>
          </w:tcPr>
          <w:p w14:paraId="6491278E" w14:textId="77777777" w:rsidR="00A21FE4" w:rsidRPr="00CF31E0" w:rsidRDefault="00A21FE4" w:rsidP="00ED6E5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40A75DB5" w14:textId="77777777" w:rsidR="00A21FE4" w:rsidRPr="00CF31E0" w:rsidRDefault="00A21FE4" w:rsidP="00ED6E5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2DAD713F" w14:textId="77777777" w:rsidTr="00A21FE4">
        <w:trPr>
          <w:trHeight w:val="567"/>
        </w:trPr>
        <w:tc>
          <w:tcPr>
            <w:tcW w:w="2235" w:type="dxa"/>
            <w:tcBorders>
              <w:top w:val="single" w:sz="8" w:space="0" w:color="auto"/>
            </w:tcBorders>
            <w:shd w:val="clear" w:color="auto" w:fill="auto"/>
            <w:vAlign w:val="bottom"/>
          </w:tcPr>
          <w:p w14:paraId="1FCF5A73" w14:textId="77777777" w:rsidR="00A21FE4" w:rsidRPr="00CF31E0" w:rsidRDefault="00A21FE4" w:rsidP="00ED6E5F">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70CDBBA0" w14:textId="77777777" w:rsidR="00A21FE4" w:rsidRPr="00CF31E0" w:rsidRDefault="00A21FE4" w:rsidP="00ED6E5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3.546</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6CA5BF6C" w14:textId="77777777" w:rsidR="00A21FE4" w:rsidRPr="00CF31E0" w:rsidRDefault="00A21FE4" w:rsidP="00ED6E5F">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.315</w:t>
            </w:r>
          </w:p>
        </w:tc>
      </w:tr>
      <w:tr w:rsidR="00A21FE4" w:rsidRPr="00CF31E0" w14:paraId="4DC3DF02" w14:textId="77777777" w:rsidTr="00A21FE4">
        <w:trPr>
          <w:trHeight w:val="567"/>
        </w:trPr>
        <w:tc>
          <w:tcPr>
            <w:tcW w:w="2235" w:type="dxa"/>
            <w:tcBorders>
              <w:bottom w:val="single" w:sz="8" w:space="0" w:color="auto"/>
            </w:tcBorders>
            <w:shd w:val="clear" w:color="auto" w:fill="auto"/>
            <w:vAlign w:val="bottom"/>
          </w:tcPr>
          <w:p w14:paraId="71DE3DA6" w14:textId="77777777" w:rsidR="00A21FE4" w:rsidRPr="00CF31E0" w:rsidRDefault="00A21FE4" w:rsidP="00ED6E5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75EFF93F" w14:textId="77777777" w:rsidR="00A21FE4" w:rsidRPr="00CF31E0" w:rsidRDefault="00A21FE4" w:rsidP="00ED6E5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4E9F3BBF" w14:textId="77777777" w:rsidR="00A21FE4" w:rsidRPr="00CF31E0" w:rsidRDefault="00A21FE4" w:rsidP="00ED6E5F">
            <w:pPr>
              <w:spacing w:after="200" w:line="276" w:lineRule="auto"/>
              <w:rPr>
                <w:rFonts w:eastAsia="Calibri"/>
                <w:color w:val="000000" w:themeColor="text1"/>
                <w:sz w:val="22"/>
                <w:szCs w:val="22"/>
                <w:lang w:eastAsia="en-US"/>
              </w:rPr>
            </w:pPr>
          </w:p>
        </w:tc>
      </w:tr>
    </w:tbl>
    <w:p w14:paraId="62B66EBC" w14:textId="77777777" w:rsidR="00ED6E5F" w:rsidRPr="00CF31E0" w:rsidRDefault="00ED6E5F" w:rsidP="00DF1804">
      <w:pPr>
        <w:rPr>
          <w:color w:val="000000" w:themeColor="text1"/>
          <w:lang w:eastAsia="en-US"/>
        </w:rPr>
      </w:pPr>
    </w:p>
    <w:p w14:paraId="72918BCA" w14:textId="77777777" w:rsidR="00ED6E5F" w:rsidRPr="00CF31E0" w:rsidRDefault="00ED6E5F"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5AB59D10" w14:textId="77777777" w:rsidTr="00A21FE4">
        <w:trPr>
          <w:trHeight w:val="567"/>
        </w:trPr>
        <w:tc>
          <w:tcPr>
            <w:tcW w:w="2235" w:type="dxa"/>
            <w:tcBorders>
              <w:top w:val="single" w:sz="8" w:space="0" w:color="auto"/>
              <w:bottom w:val="single" w:sz="8" w:space="0" w:color="auto"/>
            </w:tcBorders>
            <w:shd w:val="clear" w:color="auto" w:fill="auto"/>
            <w:hideMark/>
          </w:tcPr>
          <w:p w14:paraId="5A4AD9FA" w14:textId="05A3E804" w:rsidR="00A21FE4" w:rsidRPr="00CF31E0" w:rsidRDefault="00A21FE4" w:rsidP="00ED6E5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Places lived</w:t>
            </w:r>
          </w:p>
        </w:tc>
        <w:tc>
          <w:tcPr>
            <w:tcW w:w="1134" w:type="dxa"/>
            <w:tcBorders>
              <w:top w:val="single" w:sz="8" w:space="0" w:color="auto"/>
              <w:bottom w:val="single" w:sz="8" w:space="0" w:color="auto"/>
            </w:tcBorders>
            <w:shd w:val="clear" w:color="auto" w:fill="auto"/>
            <w:hideMark/>
          </w:tcPr>
          <w:p w14:paraId="0499249D" w14:textId="77777777" w:rsidR="00A21FE4" w:rsidRPr="00CF31E0" w:rsidRDefault="00A21FE4" w:rsidP="00ED6E5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611E1918" w14:textId="77777777" w:rsidR="00A21FE4" w:rsidRPr="00CF31E0" w:rsidRDefault="00A21FE4" w:rsidP="00ED6E5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36B0C0D3" w14:textId="77777777" w:rsidTr="00A21FE4">
        <w:trPr>
          <w:trHeight w:val="567"/>
        </w:trPr>
        <w:tc>
          <w:tcPr>
            <w:tcW w:w="2235" w:type="dxa"/>
            <w:tcBorders>
              <w:top w:val="single" w:sz="8" w:space="0" w:color="auto"/>
            </w:tcBorders>
            <w:shd w:val="clear" w:color="auto" w:fill="auto"/>
            <w:vAlign w:val="bottom"/>
          </w:tcPr>
          <w:p w14:paraId="04575C83" w14:textId="77777777" w:rsidR="00A21FE4" w:rsidRPr="00CF31E0" w:rsidRDefault="00A21FE4" w:rsidP="00ED6E5F">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2684BE12" w14:textId="77777777" w:rsidR="00A21FE4" w:rsidRPr="00CF31E0" w:rsidRDefault="00A21FE4" w:rsidP="00ED6E5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.145</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3C482498" w14:textId="77777777" w:rsidR="00A21FE4" w:rsidRPr="00CF31E0" w:rsidRDefault="00A21FE4" w:rsidP="00ED6E5F">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.986</w:t>
            </w:r>
          </w:p>
        </w:tc>
      </w:tr>
      <w:tr w:rsidR="00A21FE4" w:rsidRPr="00CF31E0" w14:paraId="09D3A035" w14:textId="77777777" w:rsidTr="00A21FE4">
        <w:trPr>
          <w:trHeight w:val="567"/>
        </w:trPr>
        <w:tc>
          <w:tcPr>
            <w:tcW w:w="2235" w:type="dxa"/>
            <w:tcBorders>
              <w:bottom w:val="single" w:sz="8" w:space="0" w:color="auto"/>
            </w:tcBorders>
            <w:shd w:val="clear" w:color="auto" w:fill="auto"/>
            <w:vAlign w:val="bottom"/>
          </w:tcPr>
          <w:p w14:paraId="35E21DD1" w14:textId="77777777" w:rsidR="00A21FE4" w:rsidRPr="00CF31E0" w:rsidRDefault="00A21FE4" w:rsidP="00ED6E5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3E9EB97C" w14:textId="77777777" w:rsidR="00A21FE4" w:rsidRPr="00CF31E0" w:rsidRDefault="00A21FE4" w:rsidP="00ED6E5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01753DE1" w14:textId="77777777" w:rsidR="00A21FE4" w:rsidRPr="00CF31E0" w:rsidRDefault="00A21FE4" w:rsidP="00ED6E5F">
            <w:pPr>
              <w:spacing w:after="200" w:line="276" w:lineRule="auto"/>
              <w:rPr>
                <w:rFonts w:eastAsia="Calibri"/>
                <w:color w:val="000000" w:themeColor="text1"/>
                <w:sz w:val="22"/>
                <w:szCs w:val="22"/>
                <w:lang w:eastAsia="en-US"/>
              </w:rPr>
            </w:pPr>
          </w:p>
        </w:tc>
      </w:tr>
    </w:tbl>
    <w:p w14:paraId="54ACC1BD" w14:textId="77777777" w:rsidR="00ED6E5F" w:rsidRPr="00CF31E0" w:rsidRDefault="00ED6E5F" w:rsidP="00DF1804">
      <w:pPr>
        <w:rPr>
          <w:color w:val="000000" w:themeColor="text1"/>
          <w:lang w:eastAsia="en-US"/>
        </w:rPr>
      </w:pPr>
    </w:p>
    <w:p w14:paraId="7C08A26A" w14:textId="77777777" w:rsidR="00ED6E5F" w:rsidRPr="00CF31E0" w:rsidRDefault="00ED6E5F"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5E2D7BA2" w14:textId="77777777" w:rsidTr="00A21FE4">
        <w:trPr>
          <w:trHeight w:val="567"/>
        </w:trPr>
        <w:tc>
          <w:tcPr>
            <w:tcW w:w="2235" w:type="dxa"/>
            <w:tcBorders>
              <w:top w:val="single" w:sz="8" w:space="0" w:color="auto"/>
              <w:bottom w:val="single" w:sz="8" w:space="0" w:color="auto"/>
            </w:tcBorders>
            <w:shd w:val="clear" w:color="auto" w:fill="auto"/>
            <w:hideMark/>
          </w:tcPr>
          <w:p w14:paraId="1FD5E4F8" w14:textId="77777777" w:rsidR="00A21FE4" w:rsidRPr="00CF31E0" w:rsidRDefault="00A21FE4" w:rsidP="00ED6E5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Marital status</w:t>
            </w:r>
          </w:p>
        </w:tc>
        <w:tc>
          <w:tcPr>
            <w:tcW w:w="1134" w:type="dxa"/>
            <w:tcBorders>
              <w:top w:val="single" w:sz="8" w:space="0" w:color="auto"/>
              <w:bottom w:val="single" w:sz="8" w:space="0" w:color="auto"/>
            </w:tcBorders>
            <w:shd w:val="clear" w:color="auto" w:fill="auto"/>
            <w:hideMark/>
          </w:tcPr>
          <w:p w14:paraId="6BBDB4A4" w14:textId="77777777" w:rsidR="00A21FE4" w:rsidRPr="00CF31E0" w:rsidRDefault="00A21FE4" w:rsidP="00ED6E5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7912B818" w14:textId="77777777" w:rsidR="00A21FE4" w:rsidRPr="00CF31E0" w:rsidRDefault="00A21FE4" w:rsidP="00ED6E5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09E22F1D" w14:textId="77777777" w:rsidTr="00A21FE4">
        <w:trPr>
          <w:trHeight w:val="567"/>
        </w:trPr>
        <w:tc>
          <w:tcPr>
            <w:tcW w:w="2235" w:type="dxa"/>
            <w:tcBorders>
              <w:top w:val="single" w:sz="8" w:space="0" w:color="auto"/>
            </w:tcBorders>
            <w:shd w:val="clear" w:color="auto" w:fill="auto"/>
            <w:vAlign w:val="bottom"/>
          </w:tcPr>
          <w:p w14:paraId="11ECECEA" w14:textId="77777777" w:rsidR="00A21FE4" w:rsidRPr="00CF31E0" w:rsidRDefault="00A21FE4" w:rsidP="00ED6E5F">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49499889" w14:textId="77777777" w:rsidR="00A21FE4" w:rsidRPr="00CF31E0" w:rsidRDefault="00A21FE4" w:rsidP="00ED6E5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9.503</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3334C123" w14:textId="77777777" w:rsidR="00A21FE4" w:rsidRPr="00CF31E0" w:rsidRDefault="00A21FE4" w:rsidP="00ED6E5F">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.147</w:t>
            </w:r>
          </w:p>
        </w:tc>
      </w:tr>
      <w:tr w:rsidR="00A21FE4" w:rsidRPr="00CF31E0" w14:paraId="45455796" w14:textId="77777777" w:rsidTr="00A21FE4">
        <w:trPr>
          <w:trHeight w:val="567"/>
        </w:trPr>
        <w:tc>
          <w:tcPr>
            <w:tcW w:w="2235" w:type="dxa"/>
            <w:tcBorders>
              <w:bottom w:val="single" w:sz="8" w:space="0" w:color="auto"/>
            </w:tcBorders>
            <w:shd w:val="clear" w:color="auto" w:fill="auto"/>
            <w:vAlign w:val="bottom"/>
          </w:tcPr>
          <w:p w14:paraId="45362561" w14:textId="77777777" w:rsidR="00A21FE4" w:rsidRPr="00CF31E0" w:rsidRDefault="00A21FE4" w:rsidP="00ED6E5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4944DCC5" w14:textId="77777777" w:rsidR="00A21FE4" w:rsidRPr="00CF31E0" w:rsidRDefault="00A21FE4" w:rsidP="00ED6E5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4445CFE5" w14:textId="77777777" w:rsidR="00A21FE4" w:rsidRPr="00CF31E0" w:rsidRDefault="00A21FE4" w:rsidP="00ED6E5F">
            <w:pPr>
              <w:spacing w:after="200" w:line="276" w:lineRule="auto"/>
              <w:rPr>
                <w:rFonts w:eastAsia="Calibri"/>
                <w:color w:val="000000" w:themeColor="text1"/>
                <w:sz w:val="22"/>
                <w:szCs w:val="22"/>
                <w:lang w:eastAsia="en-US"/>
              </w:rPr>
            </w:pPr>
          </w:p>
        </w:tc>
      </w:tr>
    </w:tbl>
    <w:p w14:paraId="724BA8DA" w14:textId="77777777" w:rsidR="00ED6E5F" w:rsidRPr="00CF31E0" w:rsidRDefault="00ED6E5F" w:rsidP="00DF1804">
      <w:pPr>
        <w:rPr>
          <w:color w:val="000000" w:themeColor="text1"/>
          <w:lang w:eastAsia="en-US"/>
        </w:rPr>
      </w:pPr>
    </w:p>
    <w:p w14:paraId="26F36052" w14:textId="77777777" w:rsidR="00ED6E5F" w:rsidRPr="00CF31E0" w:rsidRDefault="00ED6E5F"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75433729" w14:textId="77777777" w:rsidTr="00A21FE4">
        <w:trPr>
          <w:trHeight w:val="567"/>
        </w:trPr>
        <w:tc>
          <w:tcPr>
            <w:tcW w:w="2235" w:type="dxa"/>
            <w:tcBorders>
              <w:top w:val="single" w:sz="8" w:space="0" w:color="auto"/>
              <w:bottom w:val="single" w:sz="8" w:space="0" w:color="auto"/>
            </w:tcBorders>
            <w:shd w:val="clear" w:color="auto" w:fill="auto"/>
            <w:hideMark/>
          </w:tcPr>
          <w:p w14:paraId="7B074D00" w14:textId="77777777" w:rsidR="00A21FE4" w:rsidRPr="00CF31E0" w:rsidRDefault="00A21FE4" w:rsidP="00ED6E5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Mother’s social group</w:t>
            </w:r>
          </w:p>
        </w:tc>
        <w:tc>
          <w:tcPr>
            <w:tcW w:w="1134" w:type="dxa"/>
            <w:tcBorders>
              <w:top w:val="single" w:sz="8" w:space="0" w:color="auto"/>
              <w:bottom w:val="single" w:sz="8" w:space="0" w:color="auto"/>
            </w:tcBorders>
            <w:shd w:val="clear" w:color="auto" w:fill="auto"/>
            <w:hideMark/>
          </w:tcPr>
          <w:p w14:paraId="6221F262" w14:textId="77777777" w:rsidR="00A21FE4" w:rsidRPr="00CF31E0" w:rsidRDefault="00A21FE4" w:rsidP="00ED6E5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3640F6A7" w14:textId="77777777" w:rsidR="00A21FE4" w:rsidRPr="00CF31E0" w:rsidRDefault="00A21FE4" w:rsidP="00ED6E5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15BAC587" w14:textId="77777777" w:rsidTr="00A21FE4">
        <w:trPr>
          <w:trHeight w:val="567"/>
        </w:trPr>
        <w:tc>
          <w:tcPr>
            <w:tcW w:w="2235" w:type="dxa"/>
            <w:tcBorders>
              <w:top w:val="single" w:sz="8" w:space="0" w:color="auto"/>
            </w:tcBorders>
            <w:shd w:val="clear" w:color="auto" w:fill="auto"/>
            <w:vAlign w:val="bottom"/>
          </w:tcPr>
          <w:p w14:paraId="2EA81F93" w14:textId="77777777" w:rsidR="00A21FE4" w:rsidRPr="00CF31E0" w:rsidRDefault="00A21FE4" w:rsidP="00ED6E5F">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02D011AA" w14:textId="77777777" w:rsidR="00A21FE4" w:rsidRPr="00CF31E0" w:rsidRDefault="00A21FE4" w:rsidP="00ED6E5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67.374</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220E32AC" w14:textId="77777777" w:rsidR="00A21FE4" w:rsidRPr="00CF31E0" w:rsidRDefault="00A21FE4" w:rsidP="00ED6E5F">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.000</w:t>
            </w:r>
          </w:p>
        </w:tc>
      </w:tr>
      <w:tr w:rsidR="00A21FE4" w:rsidRPr="00CF31E0" w14:paraId="3FF2F145" w14:textId="77777777" w:rsidTr="00A21FE4">
        <w:trPr>
          <w:trHeight w:val="567"/>
        </w:trPr>
        <w:tc>
          <w:tcPr>
            <w:tcW w:w="2235" w:type="dxa"/>
            <w:tcBorders>
              <w:bottom w:val="single" w:sz="8" w:space="0" w:color="auto"/>
            </w:tcBorders>
            <w:shd w:val="clear" w:color="auto" w:fill="auto"/>
            <w:vAlign w:val="bottom"/>
          </w:tcPr>
          <w:p w14:paraId="39387E19" w14:textId="77777777" w:rsidR="00A21FE4" w:rsidRPr="00CF31E0" w:rsidRDefault="00A21FE4" w:rsidP="00ED6E5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474A4572" w14:textId="77777777" w:rsidR="00A21FE4" w:rsidRPr="00CF31E0" w:rsidRDefault="00A21FE4" w:rsidP="00ED6E5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2FDCAD59" w14:textId="77777777" w:rsidR="00A21FE4" w:rsidRPr="00CF31E0" w:rsidRDefault="00A21FE4" w:rsidP="00ED6E5F">
            <w:pPr>
              <w:spacing w:after="200" w:line="276" w:lineRule="auto"/>
              <w:rPr>
                <w:rFonts w:eastAsia="Calibri"/>
                <w:color w:val="000000" w:themeColor="text1"/>
                <w:sz w:val="22"/>
                <w:szCs w:val="22"/>
                <w:lang w:eastAsia="en-US"/>
              </w:rPr>
            </w:pPr>
          </w:p>
        </w:tc>
      </w:tr>
    </w:tbl>
    <w:p w14:paraId="61C2F17E" w14:textId="77777777" w:rsidR="00ED6E5F" w:rsidRPr="00CF31E0" w:rsidRDefault="00ED6E5F" w:rsidP="00DF1804">
      <w:pPr>
        <w:rPr>
          <w:color w:val="000000" w:themeColor="text1"/>
          <w:lang w:eastAsia="en-US"/>
        </w:rPr>
      </w:pPr>
    </w:p>
    <w:p w14:paraId="309A6D49" w14:textId="77777777" w:rsidR="0038312A" w:rsidRPr="00CF31E0" w:rsidRDefault="0038312A"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36527FBF" w14:textId="77777777" w:rsidTr="00A21FE4">
        <w:trPr>
          <w:trHeight w:val="567"/>
        </w:trPr>
        <w:tc>
          <w:tcPr>
            <w:tcW w:w="2235" w:type="dxa"/>
            <w:tcBorders>
              <w:top w:val="single" w:sz="8" w:space="0" w:color="auto"/>
              <w:bottom w:val="single" w:sz="8" w:space="0" w:color="auto"/>
            </w:tcBorders>
            <w:shd w:val="clear" w:color="auto" w:fill="auto"/>
            <w:hideMark/>
          </w:tcPr>
          <w:p w14:paraId="3B3E1735" w14:textId="77777777" w:rsidR="00A21FE4" w:rsidRPr="00CF31E0" w:rsidRDefault="00A21FE4" w:rsidP="00ED6E5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Spouse’s social group</w:t>
            </w:r>
          </w:p>
        </w:tc>
        <w:tc>
          <w:tcPr>
            <w:tcW w:w="1134" w:type="dxa"/>
            <w:tcBorders>
              <w:top w:val="single" w:sz="8" w:space="0" w:color="auto"/>
              <w:bottom w:val="single" w:sz="8" w:space="0" w:color="auto"/>
            </w:tcBorders>
            <w:shd w:val="clear" w:color="auto" w:fill="auto"/>
            <w:hideMark/>
          </w:tcPr>
          <w:p w14:paraId="580D2831" w14:textId="77777777" w:rsidR="00A21FE4" w:rsidRPr="00CF31E0" w:rsidRDefault="00A21FE4" w:rsidP="00ED6E5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20E2C2A9" w14:textId="77777777" w:rsidR="00A21FE4" w:rsidRPr="00CF31E0" w:rsidRDefault="00A21FE4" w:rsidP="00ED6E5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36F7FBBB" w14:textId="77777777" w:rsidTr="00A21FE4">
        <w:trPr>
          <w:trHeight w:val="567"/>
        </w:trPr>
        <w:tc>
          <w:tcPr>
            <w:tcW w:w="2235" w:type="dxa"/>
            <w:tcBorders>
              <w:top w:val="single" w:sz="8" w:space="0" w:color="auto"/>
            </w:tcBorders>
            <w:shd w:val="clear" w:color="auto" w:fill="auto"/>
            <w:vAlign w:val="bottom"/>
          </w:tcPr>
          <w:p w14:paraId="15FB9EA0" w14:textId="77777777" w:rsidR="00A21FE4" w:rsidRPr="00CF31E0" w:rsidRDefault="00A21FE4" w:rsidP="00ED6E5F">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71012A9A" w14:textId="77777777" w:rsidR="00A21FE4" w:rsidRPr="00CF31E0" w:rsidRDefault="00A21FE4" w:rsidP="00ED6E5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66.645</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3B7C9F4C" w14:textId="77777777" w:rsidR="00A21FE4" w:rsidRPr="00CF31E0" w:rsidRDefault="00A21FE4" w:rsidP="00ED6E5F">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.000</w:t>
            </w:r>
          </w:p>
        </w:tc>
      </w:tr>
      <w:tr w:rsidR="00A21FE4" w:rsidRPr="00CF31E0" w14:paraId="11485C5E" w14:textId="77777777" w:rsidTr="00A21FE4">
        <w:trPr>
          <w:trHeight w:val="567"/>
        </w:trPr>
        <w:tc>
          <w:tcPr>
            <w:tcW w:w="2235" w:type="dxa"/>
            <w:tcBorders>
              <w:bottom w:val="single" w:sz="8" w:space="0" w:color="auto"/>
            </w:tcBorders>
            <w:shd w:val="clear" w:color="auto" w:fill="auto"/>
            <w:vAlign w:val="bottom"/>
          </w:tcPr>
          <w:p w14:paraId="6280F598" w14:textId="77777777" w:rsidR="00A21FE4" w:rsidRPr="00CF31E0" w:rsidRDefault="00A21FE4" w:rsidP="00ED6E5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085ABF0F" w14:textId="77777777" w:rsidR="00A21FE4" w:rsidRPr="00CF31E0" w:rsidRDefault="00A21FE4" w:rsidP="00ED6E5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3745F157" w14:textId="77777777" w:rsidR="00A21FE4" w:rsidRPr="00CF31E0" w:rsidRDefault="00A21FE4" w:rsidP="00ED6E5F">
            <w:pPr>
              <w:spacing w:after="200" w:line="276" w:lineRule="auto"/>
              <w:rPr>
                <w:rFonts w:eastAsia="Calibri"/>
                <w:color w:val="000000" w:themeColor="text1"/>
                <w:sz w:val="22"/>
                <w:szCs w:val="22"/>
                <w:lang w:eastAsia="en-US"/>
              </w:rPr>
            </w:pPr>
          </w:p>
        </w:tc>
      </w:tr>
    </w:tbl>
    <w:p w14:paraId="4934DDB2" w14:textId="77777777" w:rsidR="00ED6E5F" w:rsidRPr="00CF31E0" w:rsidRDefault="00ED6E5F" w:rsidP="00DF1804">
      <w:pPr>
        <w:rPr>
          <w:color w:val="000000" w:themeColor="text1"/>
          <w:lang w:eastAsia="en-US"/>
        </w:rPr>
      </w:pPr>
    </w:p>
    <w:p w14:paraId="0C29D0DB" w14:textId="77777777" w:rsidR="00ED6E5F" w:rsidRDefault="00ED6E5F" w:rsidP="00DF1804">
      <w:pPr>
        <w:rPr>
          <w:color w:val="000000" w:themeColor="text1"/>
          <w:lang w:eastAsia="en-US"/>
        </w:rPr>
      </w:pPr>
    </w:p>
    <w:p w14:paraId="6D5E5B91" w14:textId="77777777" w:rsidR="006E02B4" w:rsidRDefault="006E02B4" w:rsidP="00DF1804">
      <w:pPr>
        <w:rPr>
          <w:color w:val="000000" w:themeColor="text1"/>
          <w:lang w:eastAsia="en-US"/>
        </w:rPr>
      </w:pPr>
    </w:p>
    <w:p w14:paraId="57EBB14D" w14:textId="77777777" w:rsidR="006E02B4" w:rsidRDefault="006E02B4" w:rsidP="00DF1804">
      <w:pPr>
        <w:rPr>
          <w:color w:val="000000" w:themeColor="text1"/>
          <w:lang w:eastAsia="en-US"/>
        </w:rPr>
      </w:pPr>
    </w:p>
    <w:p w14:paraId="07FDB8E8" w14:textId="77777777" w:rsidR="006E02B4" w:rsidRDefault="006E02B4" w:rsidP="00DF1804">
      <w:pPr>
        <w:rPr>
          <w:color w:val="000000" w:themeColor="text1"/>
          <w:lang w:eastAsia="en-US"/>
        </w:rPr>
      </w:pPr>
    </w:p>
    <w:p w14:paraId="2BAB5F45" w14:textId="77777777" w:rsidR="006E02B4" w:rsidRPr="00CF31E0" w:rsidRDefault="006E02B4"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046147C7" w14:textId="77777777" w:rsidTr="00A21FE4">
        <w:trPr>
          <w:trHeight w:val="567"/>
        </w:trPr>
        <w:tc>
          <w:tcPr>
            <w:tcW w:w="2235" w:type="dxa"/>
            <w:tcBorders>
              <w:top w:val="single" w:sz="8" w:space="0" w:color="auto"/>
              <w:bottom w:val="single" w:sz="8" w:space="0" w:color="auto"/>
            </w:tcBorders>
            <w:shd w:val="clear" w:color="auto" w:fill="auto"/>
            <w:hideMark/>
          </w:tcPr>
          <w:p w14:paraId="797F396F" w14:textId="77777777" w:rsidR="00A21FE4" w:rsidRPr="00CF31E0" w:rsidRDefault="00A21FE4" w:rsidP="00DF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lastRenderedPageBreak/>
              <w:t>Education</w:t>
            </w:r>
          </w:p>
        </w:tc>
        <w:tc>
          <w:tcPr>
            <w:tcW w:w="1134" w:type="dxa"/>
            <w:tcBorders>
              <w:top w:val="single" w:sz="8" w:space="0" w:color="auto"/>
              <w:bottom w:val="single" w:sz="8" w:space="0" w:color="auto"/>
            </w:tcBorders>
            <w:shd w:val="clear" w:color="auto" w:fill="auto"/>
            <w:hideMark/>
          </w:tcPr>
          <w:p w14:paraId="20CB5355" w14:textId="77777777" w:rsidR="00A21FE4" w:rsidRPr="00CF31E0" w:rsidRDefault="00A21FE4" w:rsidP="00DF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066FA6DE" w14:textId="77777777" w:rsidR="00A21FE4" w:rsidRPr="00CF31E0" w:rsidRDefault="00A21FE4" w:rsidP="00DF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5D733793" w14:textId="77777777" w:rsidTr="00A21FE4">
        <w:trPr>
          <w:trHeight w:val="567"/>
        </w:trPr>
        <w:tc>
          <w:tcPr>
            <w:tcW w:w="2235" w:type="dxa"/>
            <w:tcBorders>
              <w:top w:val="single" w:sz="8" w:space="0" w:color="auto"/>
            </w:tcBorders>
            <w:shd w:val="clear" w:color="auto" w:fill="auto"/>
            <w:vAlign w:val="bottom"/>
          </w:tcPr>
          <w:p w14:paraId="230B4874" w14:textId="77777777" w:rsidR="00A21FE4" w:rsidRPr="00CF31E0" w:rsidRDefault="00A21FE4" w:rsidP="00DF082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02E75599" w14:textId="77777777" w:rsidR="00A21FE4" w:rsidRPr="00CF31E0" w:rsidRDefault="00A21FE4" w:rsidP="00DF082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11.323</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3CC7F0F2" w14:textId="77777777" w:rsidR="00A21FE4" w:rsidRPr="00CF31E0" w:rsidRDefault="00A21FE4" w:rsidP="00DF082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.079</w:t>
            </w:r>
          </w:p>
        </w:tc>
      </w:tr>
      <w:tr w:rsidR="00A21FE4" w:rsidRPr="00CF31E0" w14:paraId="32255060" w14:textId="77777777" w:rsidTr="00A21FE4">
        <w:trPr>
          <w:trHeight w:val="567"/>
        </w:trPr>
        <w:tc>
          <w:tcPr>
            <w:tcW w:w="2235" w:type="dxa"/>
            <w:tcBorders>
              <w:bottom w:val="single" w:sz="8" w:space="0" w:color="auto"/>
            </w:tcBorders>
            <w:shd w:val="clear" w:color="auto" w:fill="auto"/>
            <w:vAlign w:val="bottom"/>
          </w:tcPr>
          <w:p w14:paraId="2827DD11" w14:textId="77777777" w:rsidR="00A21FE4" w:rsidRPr="00CF31E0" w:rsidRDefault="00A21FE4" w:rsidP="00DF082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1C58A6C6" w14:textId="77777777" w:rsidR="00A21FE4" w:rsidRPr="00CF31E0" w:rsidRDefault="00A21FE4" w:rsidP="00DF082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56666B0A" w14:textId="77777777" w:rsidR="00A21FE4" w:rsidRPr="00CF31E0" w:rsidRDefault="00A21FE4" w:rsidP="00DF0824">
            <w:pPr>
              <w:spacing w:after="200" w:line="276" w:lineRule="auto"/>
              <w:rPr>
                <w:rFonts w:eastAsia="Calibri"/>
                <w:color w:val="000000" w:themeColor="text1"/>
                <w:sz w:val="22"/>
                <w:szCs w:val="22"/>
                <w:lang w:eastAsia="en-US"/>
              </w:rPr>
            </w:pPr>
          </w:p>
        </w:tc>
      </w:tr>
    </w:tbl>
    <w:p w14:paraId="4FDB1A4D" w14:textId="77777777" w:rsidR="00ED6E5F" w:rsidRPr="00CF31E0" w:rsidRDefault="00ED6E5F" w:rsidP="00DF1804">
      <w:pPr>
        <w:rPr>
          <w:color w:val="000000" w:themeColor="text1"/>
          <w:lang w:eastAsia="en-US"/>
        </w:rPr>
      </w:pPr>
    </w:p>
    <w:p w14:paraId="38D8CEA6" w14:textId="77777777" w:rsidR="00DF0824" w:rsidRPr="00CF31E0" w:rsidRDefault="00DF0824"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43B3A8E7" w14:textId="77777777" w:rsidTr="00A21FE4">
        <w:trPr>
          <w:trHeight w:val="567"/>
        </w:trPr>
        <w:tc>
          <w:tcPr>
            <w:tcW w:w="2235" w:type="dxa"/>
            <w:tcBorders>
              <w:top w:val="single" w:sz="8" w:space="0" w:color="auto"/>
              <w:bottom w:val="single" w:sz="8" w:space="0" w:color="auto"/>
            </w:tcBorders>
            <w:shd w:val="clear" w:color="auto" w:fill="auto"/>
            <w:hideMark/>
          </w:tcPr>
          <w:p w14:paraId="515D2E19" w14:textId="77777777" w:rsidR="00A21FE4" w:rsidRPr="00CF31E0" w:rsidRDefault="00A21FE4" w:rsidP="00DF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Age</w:t>
            </w:r>
          </w:p>
        </w:tc>
        <w:tc>
          <w:tcPr>
            <w:tcW w:w="1134" w:type="dxa"/>
            <w:tcBorders>
              <w:top w:val="single" w:sz="8" w:space="0" w:color="auto"/>
              <w:bottom w:val="single" w:sz="8" w:space="0" w:color="auto"/>
            </w:tcBorders>
            <w:shd w:val="clear" w:color="auto" w:fill="auto"/>
            <w:hideMark/>
          </w:tcPr>
          <w:p w14:paraId="7EBE4A0C" w14:textId="77777777" w:rsidR="00A21FE4" w:rsidRPr="00CF31E0" w:rsidRDefault="00A21FE4" w:rsidP="00DF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57B7DD5A" w14:textId="77777777" w:rsidR="00A21FE4" w:rsidRPr="00CF31E0" w:rsidRDefault="00A21FE4" w:rsidP="00DF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05DBEE25" w14:textId="77777777" w:rsidTr="00A21FE4">
        <w:trPr>
          <w:trHeight w:val="567"/>
        </w:trPr>
        <w:tc>
          <w:tcPr>
            <w:tcW w:w="2235" w:type="dxa"/>
            <w:tcBorders>
              <w:top w:val="single" w:sz="8" w:space="0" w:color="auto"/>
            </w:tcBorders>
            <w:shd w:val="clear" w:color="auto" w:fill="auto"/>
            <w:vAlign w:val="bottom"/>
          </w:tcPr>
          <w:p w14:paraId="5E636C46" w14:textId="77777777" w:rsidR="00A21FE4" w:rsidRPr="00CF31E0" w:rsidRDefault="00A21FE4" w:rsidP="00DF082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273DA8C6" w14:textId="77777777" w:rsidR="00A21FE4" w:rsidRPr="00CF31E0" w:rsidRDefault="00A21FE4" w:rsidP="00DF082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9.158</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7552D5AB" w14:textId="77777777" w:rsidR="00A21FE4" w:rsidRPr="00CF31E0" w:rsidRDefault="00A21FE4" w:rsidP="00DF082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.689</w:t>
            </w:r>
          </w:p>
        </w:tc>
      </w:tr>
      <w:tr w:rsidR="00A21FE4" w:rsidRPr="00CF31E0" w14:paraId="74CA1229" w14:textId="77777777" w:rsidTr="00A21FE4">
        <w:trPr>
          <w:trHeight w:val="567"/>
        </w:trPr>
        <w:tc>
          <w:tcPr>
            <w:tcW w:w="2235" w:type="dxa"/>
            <w:tcBorders>
              <w:bottom w:val="single" w:sz="8" w:space="0" w:color="auto"/>
            </w:tcBorders>
            <w:shd w:val="clear" w:color="auto" w:fill="auto"/>
            <w:vAlign w:val="bottom"/>
          </w:tcPr>
          <w:p w14:paraId="614BC001" w14:textId="77777777" w:rsidR="00A21FE4" w:rsidRPr="00CF31E0" w:rsidRDefault="00A21FE4" w:rsidP="00DF082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3211D9E7" w14:textId="77777777" w:rsidR="00A21FE4" w:rsidRPr="00CF31E0" w:rsidRDefault="00A21FE4" w:rsidP="00DF082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6BCEBA32" w14:textId="77777777" w:rsidR="00A21FE4" w:rsidRPr="00CF31E0" w:rsidRDefault="00A21FE4" w:rsidP="00DF0824">
            <w:pPr>
              <w:spacing w:after="200" w:line="276" w:lineRule="auto"/>
              <w:rPr>
                <w:rFonts w:eastAsia="Calibri"/>
                <w:color w:val="000000" w:themeColor="text1"/>
                <w:sz w:val="22"/>
                <w:szCs w:val="22"/>
                <w:lang w:eastAsia="en-US"/>
              </w:rPr>
            </w:pPr>
          </w:p>
        </w:tc>
      </w:tr>
    </w:tbl>
    <w:p w14:paraId="707C7731" w14:textId="77777777" w:rsidR="00DF0824" w:rsidRPr="00CF31E0" w:rsidRDefault="00DF0824" w:rsidP="00DF1804">
      <w:pPr>
        <w:rPr>
          <w:color w:val="000000" w:themeColor="text1"/>
          <w:lang w:eastAsia="en-US"/>
        </w:rPr>
      </w:pPr>
    </w:p>
    <w:p w14:paraId="1DD3CC11" w14:textId="77777777" w:rsidR="00DF0824" w:rsidRPr="00CF31E0" w:rsidRDefault="00DF0824" w:rsidP="00DF1804">
      <w:pPr>
        <w:rPr>
          <w:color w:val="000000" w:themeColor="text1"/>
          <w:lang w:eastAsia="en-US"/>
        </w:rPr>
      </w:pPr>
    </w:p>
    <w:p w14:paraId="5C9AD376" w14:textId="77777777" w:rsidR="00DF0824" w:rsidRPr="00CF31E0" w:rsidRDefault="00DF0824" w:rsidP="00DF0824">
      <w:pPr>
        <w:keepNext/>
        <w:keepLines/>
        <w:spacing w:line="360" w:lineRule="auto"/>
        <w:ind w:left="680" w:hanging="680"/>
        <w:outlineLvl w:val="1"/>
        <w:rPr>
          <w:rFonts w:eastAsia="Times New Roman"/>
          <w:b/>
          <w:color w:val="000000" w:themeColor="text1"/>
          <w:lang w:val="en-US" w:eastAsia="zh-CN"/>
        </w:rPr>
      </w:pPr>
      <w:r w:rsidRPr="00CF31E0">
        <w:rPr>
          <w:rFonts w:eastAsia="MS Gothic"/>
          <w:b/>
          <w:color w:val="000000" w:themeColor="text1"/>
          <w:lang w:val="en-US" w:eastAsia="zh-CN"/>
        </w:rPr>
        <w:t xml:space="preserve">Q6: </w:t>
      </w:r>
      <w:r w:rsidRPr="00CF31E0">
        <w:rPr>
          <w:rFonts w:eastAsia="Times New Roman"/>
          <w:b/>
          <w:color w:val="000000" w:themeColor="text1"/>
          <w:lang w:val="en-US" w:eastAsia="zh-CN"/>
        </w:rPr>
        <w:t>To what extent do UBH people speak the HH dialect?</w:t>
      </w:r>
    </w:p>
    <w:p w14:paraId="61486863" w14:textId="77777777" w:rsidR="00DF0824" w:rsidRPr="00CF31E0" w:rsidRDefault="00DF0824" w:rsidP="00DF1804">
      <w:pPr>
        <w:rPr>
          <w:color w:val="000000" w:themeColor="text1"/>
          <w:lang w:val="en-US"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6EF1EDC3" w14:textId="77777777" w:rsidTr="00A21FE4">
        <w:trPr>
          <w:trHeight w:val="567"/>
        </w:trPr>
        <w:tc>
          <w:tcPr>
            <w:tcW w:w="2235" w:type="dxa"/>
            <w:tcBorders>
              <w:top w:val="single" w:sz="8" w:space="0" w:color="auto"/>
              <w:bottom w:val="single" w:sz="8" w:space="0" w:color="auto"/>
            </w:tcBorders>
            <w:shd w:val="clear" w:color="auto" w:fill="auto"/>
            <w:hideMark/>
          </w:tcPr>
          <w:p w14:paraId="19F3A78E" w14:textId="77777777" w:rsidR="00A21FE4" w:rsidRPr="00CF31E0" w:rsidRDefault="00A21FE4" w:rsidP="00DF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Gender</w:t>
            </w:r>
          </w:p>
        </w:tc>
        <w:tc>
          <w:tcPr>
            <w:tcW w:w="1134" w:type="dxa"/>
            <w:tcBorders>
              <w:top w:val="single" w:sz="8" w:space="0" w:color="auto"/>
              <w:bottom w:val="single" w:sz="8" w:space="0" w:color="auto"/>
            </w:tcBorders>
            <w:shd w:val="clear" w:color="auto" w:fill="auto"/>
            <w:hideMark/>
          </w:tcPr>
          <w:p w14:paraId="336FA77D" w14:textId="77777777" w:rsidR="00A21FE4" w:rsidRPr="00CF31E0" w:rsidRDefault="00A21FE4" w:rsidP="00DF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0B419B5D" w14:textId="77777777" w:rsidR="00A21FE4" w:rsidRPr="00CF31E0" w:rsidRDefault="00A21FE4" w:rsidP="00DF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75D4C2A4" w14:textId="77777777" w:rsidTr="00A21FE4">
        <w:trPr>
          <w:trHeight w:val="567"/>
        </w:trPr>
        <w:tc>
          <w:tcPr>
            <w:tcW w:w="2235" w:type="dxa"/>
            <w:tcBorders>
              <w:top w:val="single" w:sz="8" w:space="0" w:color="auto"/>
            </w:tcBorders>
            <w:shd w:val="clear" w:color="auto" w:fill="auto"/>
            <w:vAlign w:val="bottom"/>
          </w:tcPr>
          <w:p w14:paraId="523B4DC5" w14:textId="77777777" w:rsidR="00A21FE4" w:rsidRPr="00CF31E0" w:rsidRDefault="00A21FE4" w:rsidP="00DF082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4823690A" w14:textId="77777777" w:rsidR="00A21FE4" w:rsidRPr="00CF31E0" w:rsidRDefault="00A21FE4" w:rsidP="00DF082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7.389</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30819242" w14:textId="77777777" w:rsidR="00A21FE4" w:rsidRPr="00CF31E0" w:rsidRDefault="00A21FE4" w:rsidP="00DF082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.060</w:t>
            </w:r>
          </w:p>
        </w:tc>
      </w:tr>
      <w:tr w:rsidR="00A21FE4" w:rsidRPr="00CF31E0" w14:paraId="05271F0C" w14:textId="77777777" w:rsidTr="00A21FE4">
        <w:trPr>
          <w:trHeight w:val="567"/>
        </w:trPr>
        <w:tc>
          <w:tcPr>
            <w:tcW w:w="2235" w:type="dxa"/>
            <w:tcBorders>
              <w:bottom w:val="single" w:sz="8" w:space="0" w:color="auto"/>
            </w:tcBorders>
            <w:shd w:val="clear" w:color="auto" w:fill="auto"/>
            <w:vAlign w:val="bottom"/>
          </w:tcPr>
          <w:p w14:paraId="7E3C1785" w14:textId="77777777" w:rsidR="00A21FE4" w:rsidRPr="00CF31E0" w:rsidRDefault="00A21FE4" w:rsidP="00DF082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625F3297" w14:textId="77777777" w:rsidR="00A21FE4" w:rsidRPr="00CF31E0" w:rsidRDefault="00A21FE4" w:rsidP="00DF082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0EFFC4A1" w14:textId="77777777" w:rsidR="00A21FE4" w:rsidRPr="00CF31E0" w:rsidRDefault="00A21FE4" w:rsidP="00DF0824">
            <w:pPr>
              <w:spacing w:after="200" w:line="276" w:lineRule="auto"/>
              <w:rPr>
                <w:rFonts w:eastAsia="Calibri"/>
                <w:color w:val="000000" w:themeColor="text1"/>
                <w:sz w:val="22"/>
                <w:szCs w:val="22"/>
                <w:lang w:eastAsia="en-US"/>
              </w:rPr>
            </w:pPr>
          </w:p>
        </w:tc>
      </w:tr>
    </w:tbl>
    <w:p w14:paraId="6D3EEA80" w14:textId="77777777" w:rsidR="00DF0824" w:rsidRPr="00CF31E0" w:rsidRDefault="00DF0824" w:rsidP="00DF1804">
      <w:pPr>
        <w:rPr>
          <w:color w:val="000000" w:themeColor="text1"/>
          <w:lang w:eastAsia="en-US"/>
        </w:rPr>
      </w:pPr>
    </w:p>
    <w:p w14:paraId="0A8ED9E1" w14:textId="77777777" w:rsidR="00DF0824" w:rsidRPr="00CF31E0" w:rsidRDefault="00DF0824"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6ACE2B79" w14:textId="77777777" w:rsidTr="00A21FE4">
        <w:trPr>
          <w:trHeight w:val="567"/>
        </w:trPr>
        <w:tc>
          <w:tcPr>
            <w:tcW w:w="2235" w:type="dxa"/>
            <w:tcBorders>
              <w:top w:val="single" w:sz="8" w:space="0" w:color="auto"/>
              <w:bottom w:val="single" w:sz="8" w:space="0" w:color="auto"/>
            </w:tcBorders>
            <w:shd w:val="clear" w:color="auto" w:fill="auto"/>
            <w:hideMark/>
          </w:tcPr>
          <w:p w14:paraId="017703F7" w14:textId="77777777" w:rsidR="00A21FE4" w:rsidRPr="00CF31E0" w:rsidRDefault="00A21FE4" w:rsidP="003867AE">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Place of birth</w:t>
            </w:r>
          </w:p>
        </w:tc>
        <w:tc>
          <w:tcPr>
            <w:tcW w:w="1134" w:type="dxa"/>
            <w:tcBorders>
              <w:top w:val="single" w:sz="8" w:space="0" w:color="auto"/>
              <w:bottom w:val="single" w:sz="8" w:space="0" w:color="auto"/>
            </w:tcBorders>
            <w:shd w:val="clear" w:color="auto" w:fill="auto"/>
            <w:hideMark/>
          </w:tcPr>
          <w:p w14:paraId="4DDFC417" w14:textId="77777777" w:rsidR="00A21FE4" w:rsidRPr="00CF31E0" w:rsidRDefault="00A21FE4" w:rsidP="003867AE">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7133C9B5" w14:textId="77777777" w:rsidR="00A21FE4" w:rsidRPr="00CF31E0" w:rsidRDefault="00A21FE4" w:rsidP="003867AE">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165D9D2F" w14:textId="77777777" w:rsidTr="00A21FE4">
        <w:trPr>
          <w:trHeight w:val="567"/>
        </w:trPr>
        <w:tc>
          <w:tcPr>
            <w:tcW w:w="2235" w:type="dxa"/>
            <w:tcBorders>
              <w:top w:val="single" w:sz="8" w:space="0" w:color="auto"/>
            </w:tcBorders>
            <w:shd w:val="clear" w:color="auto" w:fill="auto"/>
            <w:vAlign w:val="bottom"/>
          </w:tcPr>
          <w:p w14:paraId="0266B16E" w14:textId="77777777" w:rsidR="00A21FE4" w:rsidRPr="00CF31E0" w:rsidRDefault="00A21FE4" w:rsidP="003867AE">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38B16ECD" w14:textId="77777777" w:rsidR="00A21FE4" w:rsidRPr="00CF31E0" w:rsidRDefault="00A21FE4" w:rsidP="003867AE">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4.421</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038EBFB8" w14:textId="77777777" w:rsidR="00A21FE4" w:rsidRPr="00CF31E0" w:rsidRDefault="00A21FE4" w:rsidP="003867AE">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.219</w:t>
            </w:r>
          </w:p>
        </w:tc>
      </w:tr>
      <w:tr w:rsidR="00A21FE4" w:rsidRPr="00CF31E0" w14:paraId="716F9713" w14:textId="77777777" w:rsidTr="00A21FE4">
        <w:trPr>
          <w:trHeight w:val="567"/>
        </w:trPr>
        <w:tc>
          <w:tcPr>
            <w:tcW w:w="2235" w:type="dxa"/>
            <w:tcBorders>
              <w:bottom w:val="single" w:sz="8" w:space="0" w:color="auto"/>
            </w:tcBorders>
            <w:shd w:val="clear" w:color="auto" w:fill="auto"/>
            <w:vAlign w:val="bottom"/>
          </w:tcPr>
          <w:p w14:paraId="2063D56A" w14:textId="77777777" w:rsidR="00A21FE4" w:rsidRPr="00CF31E0" w:rsidRDefault="00A21FE4" w:rsidP="003867AE">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30FF05F8" w14:textId="77777777" w:rsidR="00A21FE4" w:rsidRPr="00CF31E0" w:rsidRDefault="00A21FE4" w:rsidP="003867AE">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63633EDD" w14:textId="77777777" w:rsidR="00A21FE4" w:rsidRPr="00CF31E0" w:rsidRDefault="00A21FE4" w:rsidP="003867AE">
            <w:pPr>
              <w:spacing w:after="200" w:line="276" w:lineRule="auto"/>
              <w:rPr>
                <w:rFonts w:eastAsia="Calibri"/>
                <w:color w:val="000000" w:themeColor="text1"/>
                <w:sz w:val="22"/>
                <w:szCs w:val="22"/>
                <w:lang w:eastAsia="en-US"/>
              </w:rPr>
            </w:pPr>
          </w:p>
        </w:tc>
      </w:tr>
    </w:tbl>
    <w:p w14:paraId="25494E01" w14:textId="77777777" w:rsidR="00DF0824" w:rsidRPr="00CF31E0" w:rsidRDefault="00DF0824" w:rsidP="00DF1804">
      <w:pPr>
        <w:rPr>
          <w:color w:val="000000" w:themeColor="text1"/>
          <w:lang w:eastAsia="en-US"/>
        </w:rPr>
      </w:pPr>
    </w:p>
    <w:p w14:paraId="61B13783" w14:textId="77777777" w:rsidR="0038312A" w:rsidRPr="00CF31E0" w:rsidRDefault="0038312A"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462352FB" w14:textId="77777777" w:rsidTr="00A21FE4">
        <w:trPr>
          <w:trHeight w:val="567"/>
        </w:trPr>
        <w:tc>
          <w:tcPr>
            <w:tcW w:w="2235" w:type="dxa"/>
            <w:tcBorders>
              <w:top w:val="single" w:sz="8" w:space="0" w:color="auto"/>
              <w:bottom w:val="single" w:sz="8" w:space="0" w:color="auto"/>
            </w:tcBorders>
            <w:shd w:val="clear" w:color="auto" w:fill="auto"/>
            <w:hideMark/>
          </w:tcPr>
          <w:p w14:paraId="7D36E22D" w14:textId="77777777" w:rsidR="00A21FE4" w:rsidRPr="00CF31E0" w:rsidRDefault="00A21FE4" w:rsidP="003867AE">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Places lived</w:t>
            </w:r>
          </w:p>
        </w:tc>
        <w:tc>
          <w:tcPr>
            <w:tcW w:w="1134" w:type="dxa"/>
            <w:tcBorders>
              <w:top w:val="single" w:sz="8" w:space="0" w:color="auto"/>
              <w:bottom w:val="single" w:sz="8" w:space="0" w:color="auto"/>
            </w:tcBorders>
            <w:shd w:val="clear" w:color="auto" w:fill="auto"/>
            <w:hideMark/>
          </w:tcPr>
          <w:p w14:paraId="3D8FCE6F" w14:textId="77777777" w:rsidR="00A21FE4" w:rsidRPr="00CF31E0" w:rsidRDefault="00A21FE4" w:rsidP="003867AE">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09B6D558" w14:textId="77777777" w:rsidR="00A21FE4" w:rsidRPr="00CF31E0" w:rsidRDefault="00A21FE4" w:rsidP="003867AE">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0740BE66" w14:textId="77777777" w:rsidTr="00A21FE4">
        <w:trPr>
          <w:trHeight w:val="567"/>
        </w:trPr>
        <w:tc>
          <w:tcPr>
            <w:tcW w:w="2235" w:type="dxa"/>
            <w:tcBorders>
              <w:top w:val="single" w:sz="8" w:space="0" w:color="auto"/>
            </w:tcBorders>
            <w:shd w:val="clear" w:color="auto" w:fill="auto"/>
            <w:vAlign w:val="bottom"/>
          </w:tcPr>
          <w:p w14:paraId="543341FF" w14:textId="77777777" w:rsidR="00A21FE4" w:rsidRPr="00CF31E0" w:rsidRDefault="00A21FE4" w:rsidP="003867AE">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4D77B32B" w14:textId="77777777" w:rsidR="00A21FE4" w:rsidRPr="00CF31E0" w:rsidRDefault="00A21FE4" w:rsidP="003867AE">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1.400</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10CC435B" w14:textId="77777777" w:rsidR="00A21FE4" w:rsidRPr="00CF31E0" w:rsidRDefault="00A21FE4" w:rsidP="003867AE">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.706</w:t>
            </w:r>
          </w:p>
        </w:tc>
      </w:tr>
      <w:tr w:rsidR="00A21FE4" w:rsidRPr="00CF31E0" w14:paraId="71AC06C8" w14:textId="77777777" w:rsidTr="00A21FE4">
        <w:trPr>
          <w:trHeight w:val="567"/>
        </w:trPr>
        <w:tc>
          <w:tcPr>
            <w:tcW w:w="2235" w:type="dxa"/>
            <w:tcBorders>
              <w:bottom w:val="single" w:sz="8" w:space="0" w:color="auto"/>
            </w:tcBorders>
            <w:shd w:val="clear" w:color="auto" w:fill="auto"/>
            <w:vAlign w:val="bottom"/>
          </w:tcPr>
          <w:p w14:paraId="59D4F558" w14:textId="77777777" w:rsidR="00A21FE4" w:rsidRPr="00CF31E0" w:rsidRDefault="00A21FE4" w:rsidP="003867AE">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59D503D7" w14:textId="77777777" w:rsidR="00A21FE4" w:rsidRPr="00CF31E0" w:rsidRDefault="00A21FE4" w:rsidP="003867AE">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32F16492" w14:textId="77777777" w:rsidR="00A21FE4" w:rsidRPr="00CF31E0" w:rsidRDefault="00A21FE4" w:rsidP="003867AE">
            <w:pPr>
              <w:spacing w:after="200" w:line="276" w:lineRule="auto"/>
              <w:rPr>
                <w:rFonts w:eastAsia="Calibri"/>
                <w:color w:val="000000" w:themeColor="text1"/>
                <w:sz w:val="22"/>
                <w:szCs w:val="22"/>
                <w:lang w:eastAsia="en-US"/>
              </w:rPr>
            </w:pPr>
          </w:p>
        </w:tc>
      </w:tr>
    </w:tbl>
    <w:p w14:paraId="7D6F242C" w14:textId="77777777" w:rsidR="003867AE" w:rsidRPr="00CF31E0" w:rsidRDefault="003867AE" w:rsidP="00DF1804">
      <w:pPr>
        <w:rPr>
          <w:color w:val="000000" w:themeColor="text1"/>
          <w:lang w:eastAsia="en-US"/>
        </w:rPr>
      </w:pPr>
    </w:p>
    <w:p w14:paraId="656A782B" w14:textId="77777777" w:rsidR="003867AE" w:rsidRDefault="003867AE" w:rsidP="00DF1804">
      <w:pPr>
        <w:rPr>
          <w:color w:val="000000" w:themeColor="text1"/>
          <w:lang w:eastAsia="en-US"/>
        </w:rPr>
      </w:pPr>
    </w:p>
    <w:p w14:paraId="68729C60" w14:textId="77777777" w:rsidR="006E02B4" w:rsidRDefault="006E02B4" w:rsidP="00DF1804">
      <w:pPr>
        <w:rPr>
          <w:color w:val="000000" w:themeColor="text1"/>
          <w:lang w:eastAsia="en-US"/>
        </w:rPr>
      </w:pPr>
    </w:p>
    <w:p w14:paraId="0FE60591" w14:textId="77777777" w:rsidR="006E02B4" w:rsidRDefault="006E02B4" w:rsidP="00DF1804">
      <w:pPr>
        <w:rPr>
          <w:color w:val="000000" w:themeColor="text1"/>
          <w:lang w:eastAsia="en-US"/>
        </w:rPr>
      </w:pPr>
    </w:p>
    <w:p w14:paraId="0670345E" w14:textId="77777777" w:rsidR="006E02B4" w:rsidRPr="00CF31E0" w:rsidRDefault="006E02B4"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5B90EDA5" w14:textId="77777777" w:rsidTr="00A21FE4">
        <w:trPr>
          <w:trHeight w:val="567"/>
        </w:trPr>
        <w:tc>
          <w:tcPr>
            <w:tcW w:w="2235" w:type="dxa"/>
            <w:tcBorders>
              <w:top w:val="single" w:sz="8" w:space="0" w:color="auto"/>
              <w:bottom w:val="single" w:sz="8" w:space="0" w:color="auto"/>
            </w:tcBorders>
            <w:shd w:val="clear" w:color="auto" w:fill="auto"/>
            <w:hideMark/>
          </w:tcPr>
          <w:p w14:paraId="1A0661F5" w14:textId="77777777" w:rsidR="00A21FE4" w:rsidRPr="00CF31E0" w:rsidRDefault="00A21FE4" w:rsidP="003867AE">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lastRenderedPageBreak/>
              <w:t>Marital status</w:t>
            </w:r>
          </w:p>
        </w:tc>
        <w:tc>
          <w:tcPr>
            <w:tcW w:w="1134" w:type="dxa"/>
            <w:tcBorders>
              <w:top w:val="single" w:sz="8" w:space="0" w:color="auto"/>
              <w:bottom w:val="single" w:sz="8" w:space="0" w:color="auto"/>
            </w:tcBorders>
            <w:shd w:val="clear" w:color="auto" w:fill="auto"/>
            <w:hideMark/>
          </w:tcPr>
          <w:p w14:paraId="01E8BE43" w14:textId="77777777" w:rsidR="00A21FE4" w:rsidRPr="00CF31E0" w:rsidRDefault="00A21FE4" w:rsidP="003867AE">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68889A36" w14:textId="77777777" w:rsidR="00A21FE4" w:rsidRPr="00CF31E0" w:rsidRDefault="00A21FE4" w:rsidP="003867AE">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4E61FF99" w14:textId="77777777" w:rsidTr="00A21FE4">
        <w:trPr>
          <w:trHeight w:val="567"/>
        </w:trPr>
        <w:tc>
          <w:tcPr>
            <w:tcW w:w="2235" w:type="dxa"/>
            <w:tcBorders>
              <w:top w:val="single" w:sz="8" w:space="0" w:color="auto"/>
            </w:tcBorders>
            <w:shd w:val="clear" w:color="auto" w:fill="auto"/>
            <w:vAlign w:val="bottom"/>
          </w:tcPr>
          <w:p w14:paraId="61F9BF96" w14:textId="77777777" w:rsidR="00A21FE4" w:rsidRPr="00CF31E0" w:rsidRDefault="00A21FE4" w:rsidP="003867AE">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4537C5DE" w14:textId="77777777" w:rsidR="00A21FE4" w:rsidRPr="00CF31E0" w:rsidRDefault="00A21FE4" w:rsidP="003867AE">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8.601</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53B47E66" w14:textId="77777777" w:rsidR="00A21FE4" w:rsidRPr="00CF31E0" w:rsidRDefault="00A21FE4" w:rsidP="003867AE">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.197</w:t>
            </w:r>
          </w:p>
        </w:tc>
      </w:tr>
      <w:tr w:rsidR="00A21FE4" w:rsidRPr="00CF31E0" w14:paraId="76BACD9A" w14:textId="77777777" w:rsidTr="00A21FE4">
        <w:trPr>
          <w:trHeight w:val="567"/>
        </w:trPr>
        <w:tc>
          <w:tcPr>
            <w:tcW w:w="2235" w:type="dxa"/>
            <w:tcBorders>
              <w:bottom w:val="single" w:sz="8" w:space="0" w:color="auto"/>
            </w:tcBorders>
            <w:shd w:val="clear" w:color="auto" w:fill="auto"/>
            <w:vAlign w:val="bottom"/>
          </w:tcPr>
          <w:p w14:paraId="209763AE" w14:textId="77777777" w:rsidR="00A21FE4" w:rsidRPr="00CF31E0" w:rsidRDefault="00A21FE4" w:rsidP="003867AE">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6AD7CE8B" w14:textId="77777777" w:rsidR="00A21FE4" w:rsidRPr="00CF31E0" w:rsidRDefault="00A21FE4" w:rsidP="003867AE">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62767D89" w14:textId="77777777" w:rsidR="00A21FE4" w:rsidRPr="00CF31E0" w:rsidRDefault="00A21FE4" w:rsidP="003867AE">
            <w:pPr>
              <w:spacing w:after="200" w:line="276" w:lineRule="auto"/>
              <w:rPr>
                <w:rFonts w:eastAsia="Calibri"/>
                <w:color w:val="000000" w:themeColor="text1"/>
                <w:sz w:val="22"/>
                <w:szCs w:val="22"/>
                <w:lang w:eastAsia="en-US"/>
              </w:rPr>
            </w:pPr>
          </w:p>
        </w:tc>
      </w:tr>
    </w:tbl>
    <w:p w14:paraId="4090FF69" w14:textId="77777777" w:rsidR="003867AE" w:rsidRPr="00CF31E0" w:rsidRDefault="003867AE" w:rsidP="00DF1804">
      <w:pPr>
        <w:rPr>
          <w:color w:val="000000" w:themeColor="text1"/>
          <w:lang w:eastAsia="en-US"/>
        </w:rPr>
      </w:pPr>
    </w:p>
    <w:p w14:paraId="689D98D5" w14:textId="77777777" w:rsidR="003867AE" w:rsidRPr="00CF31E0" w:rsidRDefault="003867AE"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5B0885B1" w14:textId="77777777" w:rsidTr="00A21FE4">
        <w:trPr>
          <w:trHeight w:val="567"/>
        </w:trPr>
        <w:tc>
          <w:tcPr>
            <w:tcW w:w="2235" w:type="dxa"/>
            <w:tcBorders>
              <w:top w:val="single" w:sz="8" w:space="0" w:color="auto"/>
              <w:bottom w:val="single" w:sz="8" w:space="0" w:color="auto"/>
            </w:tcBorders>
            <w:shd w:val="clear" w:color="auto" w:fill="auto"/>
            <w:hideMark/>
          </w:tcPr>
          <w:p w14:paraId="28330224" w14:textId="77777777" w:rsidR="00A21FE4" w:rsidRPr="00CF31E0" w:rsidRDefault="00A21FE4" w:rsidP="00AB6710">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Mother’s social group</w:t>
            </w:r>
          </w:p>
        </w:tc>
        <w:tc>
          <w:tcPr>
            <w:tcW w:w="1134" w:type="dxa"/>
            <w:tcBorders>
              <w:top w:val="single" w:sz="8" w:space="0" w:color="auto"/>
              <w:bottom w:val="single" w:sz="8" w:space="0" w:color="auto"/>
            </w:tcBorders>
            <w:shd w:val="clear" w:color="auto" w:fill="auto"/>
            <w:hideMark/>
          </w:tcPr>
          <w:p w14:paraId="47E5EA88" w14:textId="77777777" w:rsidR="00A21FE4" w:rsidRPr="00CF31E0" w:rsidRDefault="00A21FE4" w:rsidP="00AB6710">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2F2289AD" w14:textId="77777777" w:rsidR="00A21FE4" w:rsidRPr="00CF31E0" w:rsidRDefault="00A21FE4" w:rsidP="00AB6710">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5ACC0851" w14:textId="77777777" w:rsidTr="00A21FE4">
        <w:trPr>
          <w:trHeight w:val="567"/>
        </w:trPr>
        <w:tc>
          <w:tcPr>
            <w:tcW w:w="2235" w:type="dxa"/>
            <w:tcBorders>
              <w:top w:val="single" w:sz="8" w:space="0" w:color="auto"/>
            </w:tcBorders>
            <w:shd w:val="clear" w:color="auto" w:fill="auto"/>
            <w:vAlign w:val="bottom"/>
          </w:tcPr>
          <w:p w14:paraId="70FDBAF4" w14:textId="77777777" w:rsidR="00A21FE4" w:rsidRPr="00CF31E0" w:rsidRDefault="00A21FE4" w:rsidP="00AB6710">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50FA12CF" w14:textId="77777777" w:rsidR="00A21FE4" w:rsidRPr="00CF31E0" w:rsidRDefault="00A21FE4" w:rsidP="00AB6710">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138.559</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1E41BBBD" w14:textId="77777777" w:rsidR="00A21FE4" w:rsidRPr="00CF31E0" w:rsidRDefault="00A21FE4" w:rsidP="00AB6710">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.000</w:t>
            </w:r>
          </w:p>
        </w:tc>
      </w:tr>
      <w:tr w:rsidR="00A21FE4" w:rsidRPr="00CF31E0" w14:paraId="1B408289" w14:textId="77777777" w:rsidTr="00A21FE4">
        <w:trPr>
          <w:trHeight w:val="567"/>
        </w:trPr>
        <w:tc>
          <w:tcPr>
            <w:tcW w:w="2235" w:type="dxa"/>
            <w:tcBorders>
              <w:bottom w:val="single" w:sz="8" w:space="0" w:color="auto"/>
            </w:tcBorders>
            <w:shd w:val="clear" w:color="auto" w:fill="auto"/>
            <w:vAlign w:val="bottom"/>
          </w:tcPr>
          <w:p w14:paraId="6067F047" w14:textId="77777777" w:rsidR="00A21FE4" w:rsidRPr="00CF31E0" w:rsidRDefault="00A21FE4" w:rsidP="00AB6710">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0E79C05E" w14:textId="77777777" w:rsidR="00A21FE4" w:rsidRPr="00CF31E0" w:rsidRDefault="00A21FE4" w:rsidP="00AB6710">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6F2FE3BB" w14:textId="77777777" w:rsidR="00A21FE4" w:rsidRPr="00CF31E0" w:rsidRDefault="00A21FE4" w:rsidP="00AB6710">
            <w:pPr>
              <w:spacing w:after="200" w:line="276" w:lineRule="auto"/>
              <w:rPr>
                <w:rFonts w:eastAsia="Calibri"/>
                <w:color w:val="000000" w:themeColor="text1"/>
                <w:sz w:val="22"/>
                <w:szCs w:val="22"/>
                <w:lang w:eastAsia="en-US"/>
              </w:rPr>
            </w:pPr>
          </w:p>
        </w:tc>
      </w:tr>
    </w:tbl>
    <w:p w14:paraId="00FD02B1" w14:textId="77777777" w:rsidR="003867AE" w:rsidRPr="00CF31E0" w:rsidRDefault="003867AE" w:rsidP="00DF1804">
      <w:pPr>
        <w:rPr>
          <w:color w:val="000000" w:themeColor="text1"/>
          <w:lang w:eastAsia="en-US"/>
        </w:rPr>
      </w:pPr>
    </w:p>
    <w:p w14:paraId="7849F2C1" w14:textId="77777777" w:rsidR="00AB6710" w:rsidRPr="00CF31E0" w:rsidRDefault="00AB6710"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214BC2B1" w14:textId="77777777" w:rsidTr="00A21FE4">
        <w:trPr>
          <w:trHeight w:val="567"/>
        </w:trPr>
        <w:tc>
          <w:tcPr>
            <w:tcW w:w="2235" w:type="dxa"/>
            <w:tcBorders>
              <w:top w:val="single" w:sz="8" w:space="0" w:color="auto"/>
              <w:bottom w:val="single" w:sz="8" w:space="0" w:color="auto"/>
            </w:tcBorders>
            <w:shd w:val="clear" w:color="auto" w:fill="auto"/>
            <w:hideMark/>
          </w:tcPr>
          <w:p w14:paraId="7B20DA97" w14:textId="77777777" w:rsidR="00A21FE4" w:rsidRPr="00CF31E0" w:rsidRDefault="00A21FE4" w:rsidP="00AB6710">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Spouse’s social group</w:t>
            </w:r>
          </w:p>
        </w:tc>
        <w:tc>
          <w:tcPr>
            <w:tcW w:w="1134" w:type="dxa"/>
            <w:tcBorders>
              <w:top w:val="single" w:sz="8" w:space="0" w:color="auto"/>
              <w:bottom w:val="single" w:sz="8" w:space="0" w:color="auto"/>
            </w:tcBorders>
            <w:shd w:val="clear" w:color="auto" w:fill="auto"/>
            <w:hideMark/>
          </w:tcPr>
          <w:p w14:paraId="366ED2FC" w14:textId="77777777" w:rsidR="00A21FE4" w:rsidRPr="00CF31E0" w:rsidRDefault="00A21FE4" w:rsidP="00AB6710">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3994ECC3" w14:textId="77777777" w:rsidR="00A21FE4" w:rsidRPr="00CF31E0" w:rsidRDefault="00A21FE4" w:rsidP="00AB6710">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32F2ACF4" w14:textId="77777777" w:rsidTr="00A21FE4">
        <w:trPr>
          <w:trHeight w:val="567"/>
        </w:trPr>
        <w:tc>
          <w:tcPr>
            <w:tcW w:w="2235" w:type="dxa"/>
            <w:tcBorders>
              <w:top w:val="single" w:sz="8" w:space="0" w:color="auto"/>
            </w:tcBorders>
            <w:shd w:val="clear" w:color="auto" w:fill="auto"/>
            <w:vAlign w:val="bottom"/>
          </w:tcPr>
          <w:p w14:paraId="7278CF92" w14:textId="77777777" w:rsidR="00A21FE4" w:rsidRPr="00CF31E0" w:rsidRDefault="00A21FE4" w:rsidP="00AB6710">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1FC01AFD" w14:textId="77777777" w:rsidR="00A21FE4" w:rsidRPr="00CF31E0" w:rsidRDefault="00A21FE4" w:rsidP="00AB6710">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135.079</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279C5196" w14:textId="77777777" w:rsidR="00A21FE4" w:rsidRPr="00CF31E0" w:rsidRDefault="00A21FE4" w:rsidP="00AB6710">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.000</w:t>
            </w:r>
          </w:p>
        </w:tc>
      </w:tr>
      <w:tr w:rsidR="00A21FE4" w:rsidRPr="00CF31E0" w14:paraId="5E324625" w14:textId="77777777" w:rsidTr="00A21FE4">
        <w:trPr>
          <w:trHeight w:val="567"/>
        </w:trPr>
        <w:tc>
          <w:tcPr>
            <w:tcW w:w="2235" w:type="dxa"/>
            <w:tcBorders>
              <w:bottom w:val="single" w:sz="8" w:space="0" w:color="auto"/>
            </w:tcBorders>
            <w:shd w:val="clear" w:color="auto" w:fill="auto"/>
            <w:vAlign w:val="bottom"/>
          </w:tcPr>
          <w:p w14:paraId="22E1CEBB" w14:textId="77777777" w:rsidR="00A21FE4" w:rsidRPr="00CF31E0" w:rsidRDefault="00A21FE4" w:rsidP="00AB6710">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4BC4975A" w14:textId="77777777" w:rsidR="00A21FE4" w:rsidRPr="00CF31E0" w:rsidRDefault="00A21FE4" w:rsidP="00AB6710">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268883BA" w14:textId="77777777" w:rsidR="00A21FE4" w:rsidRPr="00CF31E0" w:rsidRDefault="00A21FE4" w:rsidP="00AB6710">
            <w:pPr>
              <w:spacing w:after="200" w:line="276" w:lineRule="auto"/>
              <w:rPr>
                <w:rFonts w:eastAsia="Calibri"/>
                <w:color w:val="000000" w:themeColor="text1"/>
                <w:sz w:val="22"/>
                <w:szCs w:val="22"/>
                <w:lang w:eastAsia="en-US"/>
              </w:rPr>
            </w:pPr>
          </w:p>
        </w:tc>
      </w:tr>
    </w:tbl>
    <w:p w14:paraId="63C8FDC6" w14:textId="77777777" w:rsidR="00AB6710" w:rsidRPr="00CF31E0" w:rsidRDefault="00AB6710" w:rsidP="00DF1804">
      <w:pPr>
        <w:rPr>
          <w:color w:val="000000" w:themeColor="text1"/>
          <w:lang w:eastAsia="en-US"/>
        </w:rPr>
      </w:pPr>
    </w:p>
    <w:p w14:paraId="47F2CB87" w14:textId="77777777" w:rsidR="00AB6710" w:rsidRPr="00CF31E0" w:rsidRDefault="00AB6710"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55F9C72F" w14:textId="77777777" w:rsidTr="00A21FE4">
        <w:trPr>
          <w:trHeight w:val="567"/>
        </w:trPr>
        <w:tc>
          <w:tcPr>
            <w:tcW w:w="2235" w:type="dxa"/>
            <w:tcBorders>
              <w:top w:val="single" w:sz="8" w:space="0" w:color="auto"/>
              <w:bottom w:val="single" w:sz="8" w:space="0" w:color="auto"/>
            </w:tcBorders>
            <w:shd w:val="clear" w:color="auto" w:fill="auto"/>
            <w:hideMark/>
          </w:tcPr>
          <w:p w14:paraId="34058EA8" w14:textId="77777777" w:rsidR="00A21FE4" w:rsidRPr="00CF31E0" w:rsidRDefault="00A21FE4" w:rsidP="00AB6710">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Education</w:t>
            </w:r>
          </w:p>
        </w:tc>
        <w:tc>
          <w:tcPr>
            <w:tcW w:w="1134" w:type="dxa"/>
            <w:tcBorders>
              <w:top w:val="single" w:sz="8" w:space="0" w:color="auto"/>
              <w:bottom w:val="single" w:sz="8" w:space="0" w:color="auto"/>
            </w:tcBorders>
            <w:shd w:val="clear" w:color="auto" w:fill="auto"/>
            <w:hideMark/>
          </w:tcPr>
          <w:p w14:paraId="543E9826" w14:textId="77777777" w:rsidR="00A21FE4" w:rsidRPr="00CF31E0" w:rsidRDefault="00A21FE4" w:rsidP="00AB6710">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76DB4BD9" w14:textId="77777777" w:rsidR="00A21FE4" w:rsidRPr="00CF31E0" w:rsidRDefault="00A21FE4" w:rsidP="00AB6710">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3B72B6E3" w14:textId="77777777" w:rsidTr="00A21FE4">
        <w:trPr>
          <w:trHeight w:val="567"/>
        </w:trPr>
        <w:tc>
          <w:tcPr>
            <w:tcW w:w="2235" w:type="dxa"/>
            <w:tcBorders>
              <w:top w:val="single" w:sz="8" w:space="0" w:color="auto"/>
            </w:tcBorders>
            <w:shd w:val="clear" w:color="auto" w:fill="auto"/>
            <w:vAlign w:val="bottom"/>
          </w:tcPr>
          <w:p w14:paraId="6A5B27D2" w14:textId="77777777" w:rsidR="00A21FE4" w:rsidRPr="00CF31E0" w:rsidRDefault="00A21FE4" w:rsidP="00AB6710">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461383A6" w14:textId="77777777" w:rsidR="00A21FE4" w:rsidRPr="00CF31E0" w:rsidRDefault="00A21FE4" w:rsidP="00AB6710">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8.318</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39102546" w14:textId="77777777" w:rsidR="00A21FE4" w:rsidRPr="00CF31E0" w:rsidRDefault="00A21FE4" w:rsidP="00AB6710">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.216</w:t>
            </w:r>
          </w:p>
        </w:tc>
      </w:tr>
      <w:tr w:rsidR="00A21FE4" w:rsidRPr="00CF31E0" w14:paraId="38EB66AA" w14:textId="77777777" w:rsidTr="00A21FE4">
        <w:trPr>
          <w:trHeight w:val="567"/>
        </w:trPr>
        <w:tc>
          <w:tcPr>
            <w:tcW w:w="2235" w:type="dxa"/>
            <w:tcBorders>
              <w:bottom w:val="single" w:sz="8" w:space="0" w:color="auto"/>
            </w:tcBorders>
            <w:shd w:val="clear" w:color="auto" w:fill="auto"/>
            <w:vAlign w:val="bottom"/>
          </w:tcPr>
          <w:p w14:paraId="3ADEEEBE" w14:textId="77777777" w:rsidR="00A21FE4" w:rsidRPr="00CF31E0" w:rsidRDefault="00A21FE4" w:rsidP="00AB6710">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1579C56B" w14:textId="77777777" w:rsidR="00A21FE4" w:rsidRPr="00CF31E0" w:rsidRDefault="00A21FE4" w:rsidP="00AB6710">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78FA646B" w14:textId="77777777" w:rsidR="00A21FE4" w:rsidRPr="00CF31E0" w:rsidRDefault="00A21FE4" w:rsidP="00AB6710">
            <w:pPr>
              <w:spacing w:after="200" w:line="276" w:lineRule="auto"/>
              <w:rPr>
                <w:rFonts w:eastAsia="Calibri"/>
                <w:color w:val="000000" w:themeColor="text1"/>
                <w:sz w:val="22"/>
                <w:szCs w:val="22"/>
                <w:lang w:eastAsia="en-US"/>
              </w:rPr>
            </w:pPr>
          </w:p>
        </w:tc>
      </w:tr>
    </w:tbl>
    <w:p w14:paraId="4876C5CC" w14:textId="77777777" w:rsidR="00AB6710" w:rsidRPr="00CF31E0" w:rsidRDefault="00AB6710" w:rsidP="00DF1804">
      <w:pPr>
        <w:rPr>
          <w:color w:val="000000" w:themeColor="text1"/>
          <w:lang w:eastAsia="en-US"/>
        </w:rPr>
      </w:pPr>
    </w:p>
    <w:p w14:paraId="0D043A8B" w14:textId="77777777" w:rsidR="00AB6710" w:rsidRPr="00CF31E0" w:rsidRDefault="00AB6710"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7B2706F5" w14:textId="77777777" w:rsidTr="00A21FE4">
        <w:trPr>
          <w:trHeight w:val="567"/>
        </w:trPr>
        <w:tc>
          <w:tcPr>
            <w:tcW w:w="2235" w:type="dxa"/>
            <w:tcBorders>
              <w:top w:val="single" w:sz="8" w:space="0" w:color="auto"/>
              <w:bottom w:val="single" w:sz="8" w:space="0" w:color="auto"/>
            </w:tcBorders>
            <w:shd w:val="clear" w:color="auto" w:fill="auto"/>
            <w:hideMark/>
          </w:tcPr>
          <w:p w14:paraId="60816435" w14:textId="77777777" w:rsidR="00A21FE4" w:rsidRPr="00CF31E0" w:rsidRDefault="00A21FE4" w:rsidP="00715A3B">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Age</w:t>
            </w:r>
          </w:p>
        </w:tc>
        <w:tc>
          <w:tcPr>
            <w:tcW w:w="1134" w:type="dxa"/>
            <w:tcBorders>
              <w:top w:val="single" w:sz="8" w:space="0" w:color="auto"/>
              <w:bottom w:val="single" w:sz="8" w:space="0" w:color="auto"/>
            </w:tcBorders>
            <w:shd w:val="clear" w:color="auto" w:fill="auto"/>
            <w:hideMark/>
          </w:tcPr>
          <w:p w14:paraId="5EEE24F0" w14:textId="77777777" w:rsidR="00A21FE4" w:rsidRPr="00CF31E0" w:rsidRDefault="00A21FE4" w:rsidP="00715A3B">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701BF230" w14:textId="77777777" w:rsidR="00A21FE4" w:rsidRPr="00CF31E0" w:rsidRDefault="00A21FE4" w:rsidP="00715A3B">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0202013B" w14:textId="77777777" w:rsidTr="00A21FE4">
        <w:trPr>
          <w:trHeight w:val="567"/>
        </w:trPr>
        <w:tc>
          <w:tcPr>
            <w:tcW w:w="2235" w:type="dxa"/>
            <w:tcBorders>
              <w:top w:val="single" w:sz="8" w:space="0" w:color="auto"/>
            </w:tcBorders>
            <w:shd w:val="clear" w:color="auto" w:fill="auto"/>
            <w:vAlign w:val="bottom"/>
          </w:tcPr>
          <w:p w14:paraId="2342D805" w14:textId="77777777" w:rsidR="00A21FE4" w:rsidRPr="00CF31E0" w:rsidRDefault="00A21FE4" w:rsidP="00715A3B">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56660AC3" w14:textId="77777777" w:rsidR="00A21FE4" w:rsidRPr="00CF31E0" w:rsidRDefault="00A21FE4" w:rsidP="00715A3B">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14.732</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5A0B63D6" w14:textId="77777777" w:rsidR="00A21FE4" w:rsidRPr="00CF31E0" w:rsidRDefault="00A21FE4" w:rsidP="00715A3B">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.256</w:t>
            </w:r>
          </w:p>
        </w:tc>
      </w:tr>
      <w:tr w:rsidR="00A21FE4" w:rsidRPr="00CF31E0" w14:paraId="5B98061D" w14:textId="77777777" w:rsidTr="00A21FE4">
        <w:trPr>
          <w:trHeight w:val="567"/>
        </w:trPr>
        <w:tc>
          <w:tcPr>
            <w:tcW w:w="2235" w:type="dxa"/>
            <w:tcBorders>
              <w:bottom w:val="single" w:sz="8" w:space="0" w:color="auto"/>
            </w:tcBorders>
            <w:shd w:val="clear" w:color="auto" w:fill="auto"/>
            <w:vAlign w:val="bottom"/>
          </w:tcPr>
          <w:p w14:paraId="21F5EAE9" w14:textId="77777777" w:rsidR="00A21FE4" w:rsidRPr="00CF31E0" w:rsidRDefault="00A21FE4" w:rsidP="00715A3B">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7241A225" w14:textId="77777777" w:rsidR="00A21FE4" w:rsidRPr="00CF31E0" w:rsidRDefault="00A21FE4" w:rsidP="00715A3B">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3592CB8F" w14:textId="77777777" w:rsidR="00A21FE4" w:rsidRPr="00CF31E0" w:rsidRDefault="00A21FE4" w:rsidP="00715A3B">
            <w:pPr>
              <w:spacing w:after="200" w:line="276" w:lineRule="auto"/>
              <w:rPr>
                <w:rFonts w:eastAsia="Calibri"/>
                <w:color w:val="000000" w:themeColor="text1"/>
                <w:sz w:val="22"/>
                <w:szCs w:val="22"/>
                <w:lang w:eastAsia="en-US"/>
              </w:rPr>
            </w:pPr>
          </w:p>
        </w:tc>
      </w:tr>
    </w:tbl>
    <w:p w14:paraId="029468D2" w14:textId="77777777" w:rsidR="00AB6710" w:rsidRPr="00CF31E0" w:rsidRDefault="00AB6710" w:rsidP="00DF1804">
      <w:pPr>
        <w:rPr>
          <w:color w:val="000000" w:themeColor="text1"/>
          <w:lang w:eastAsia="en-US"/>
        </w:rPr>
      </w:pPr>
    </w:p>
    <w:p w14:paraId="1B425464" w14:textId="77777777" w:rsidR="00715A3B" w:rsidRPr="00CF31E0" w:rsidRDefault="00715A3B" w:rsidP="00715A3B">
      <w:pPr>
        <w:keepNext/>
        <w:keepLines/>
        <w:spacing w:line="360" w:lineRule="auto"/>
        <w:ind w:left="680" w:hanging="680"/>
        <w:outlineLvl w:val="1"/>
        <w:rPr>
          <w:rFonts w:eastAsia="Times New Roman"/>
          <w:b/>
          <w:color w:val="000000" w:themeColor="text1"/>
          <w:lang w:val="en-US" w:eastAsia="zh-CN"/>
        </w:rPr>
      </w:pPr>
      <w:r w:rsidRPr="00CF31E0">
        <w:rPr>
          <w:rFonts w:eastAsia="MS Gothic"/>
          <w:b/>
          <w:color w:val="000000" w:themeColor="text1"/>
          <w:lang w:val="en-US" w:eastAsia="zh-CN"/>
        </w:rPr>
        <w:t xml:space="preserve">Q7: </w:t>
      </w:r>
      <w:r w:rsidRPr="00CF31E0">
        <w:rPr>
          <w:rFonts w:eastAsia="Times New Roman"/>
          <w:b/>
          <w:color w:val="000000" w:themeColor="text1"/>
          <w:lang w:val="en-US" w:eastAsia="zh-CN"/>
        </w:rPr>
        <w:t>To what extent do HH people speak the UBH dialect?</w:t>
      </w:r>
    </w:p>
    <w:p w14:paraId="04C58D4B" w14:textId="77777777" w:rsidR="00715A3B" w:rsidRPr="00CF31E0" w:rsidRDefault="00715A3B" w:rsidP="00DF1804">
      <w:pPr>
        <w:rPr>
          <w:color w:val="000000" w:themeColor="text1"/>
          <w:lang w:val="en-US"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79A290BA" w14:textId="77777777" w:rsidTr="00A21FE4">
        <w:trPr>
          <w:trHeight w:val="567"/>
        </w:trPr>
        <w:tc>
          <w:tcPr>
            <w:tcW w:w="2235" w:type="dxa"/>
            <w:tcBorders>
              <w:top w:val="single" w:sz="8" w:space="0" w:color="auto"/>
              <w:bottom w:val="single" w:sz="8" w:space="0" w:color="auto"/>
            </w:tcBorders>
            <w:shd w:val="clear" w:color="auto" w:fill="auto"/>
            <w:hideMark/>
          </w:tcPr>
          <w:p w14:paraId="06B736EF" w14:textId="77777777" w:rsidR="00A21FE4" w:rsidRPr="00CF31E0" w:rsidRDefault="00A21FE4" w:rsidP="00715A3B">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Place of birth</w:t>
            </w:r>
          </w:p>
        </w:tc>
        <w:tc>
          <w:tcPr>
            <w:tcW w:w="1134" w:type="dxa"/>
            <w:tcBorders>
              <w:top w:val="single" w:sz="8" w:space="0" w:color="auto"/>
              <w:bottom w:val="single" w:sz="8" w:space="0" w:color="auto"/>
            </w:tcBorders>
            <w:shd w:val="clear" w:color="auto" w:fill="auto"/>
            <w:hideMark/>
          </w:tcPr>
          <w:p w14:paraId="3DC322E6" w14:textId="77777777" w:rsidR="00A21FE4" w:rsidRPr="00CF31E0" w:rsidRDefault="00A21FE4" w:rsidP="00715A3B">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6F03A374" w14:textId="77777777" w:rsidR="00A21FE4" w:rsidRPr="00CF31E0" w:rsidRDefault="00A21FE4" w:rsidP="00715A3B">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4B37861C" w14:textId="77777777" w:rsidTr="00A21FE4">
        <w:trPr>
          <w:trHeight w:val="567"/>
        </w:trPr>
        <w:tc>
          <w:tcPr>
            <w:tcW w:w="2235" w:type="dxa"/>
            <w:tcBorders>
              <w:top w:val="single" w:sz="8" w:space="0" w:color="auto"/>
            </w:tcBorders>
            <w:shd w:val="clear" w:color="auto" w:fill="auto"/>
            <w:vAlign w:val="bottom"/>
          </w:tcPr>
          <w:p w14:paraId="6C971C70" w14:textId="77777777" w:rsidR="00A21FE4" w:rsidRPr="00CF31E0" w:rsidRDefault="00A21FE4" w:rsidP="00715A3B">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7C2AF20A" w14:textId="77777777" w:rsidR="00A21FE4" w:rsidRPr="00CF31E0" w:rsidRDefault="00A21FE4" w:rsidP="00715A3B">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2.314</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56064FFD" w14:textId="77777777" w:rsidR="00A21FE4" w:rsidRPr="00CF31E0" w:rsidRDefault="00A21FE4" w:rsidP="00715A3B">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.510</w:t>
            </w:r>
          </w:p>
        </w:tc>
      </w:tr>
      <w:tr w:rsidR="00A21FE4" w:rsidRPr="00CF31E0" w14:paraId="2B505872" w14:textId="77777777" w:rsidTr="00A21FE4">
        <w:trPr>
          <w:trHeight w:val="567"/>
        </w:trPr>
        <w:tc>
          <w:tcPr>
            <w:tcW w:w="2235" w:type="dxa"/>
            <w:tcBorders>
              <w:bottom w:val="single" w:sz="8" w:space="0" w:color="auto"/>
            </w:tcBorders>
            <w:shd w:val="clear" w:color="auto" w:fill="auto"/>
            <w:vAlign w:val="bottom"/>
          </w:tcPr>
          <w:p w14:paraId="2C20BAE9" w14:textId="77777777" w:rsidR="00A21FE4" w:rsidRPr="00CF31E0" w:rsidRDefault="00A21FE4" w:rsidP="00715A3B">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lastRenderedPageBreak/>
              <w:t>N of Valid Cases</w:t>
            </w:r>
          </w:p>
        </w:tc>
        <w:tc>
          <w:tcPr>
            <w:tcW w:w="1134" w:type="dxa"/>
            <w:tcBorders>
              <w:bottom w:val="single" w:sz="8" w:space="0" w:color="auto"/>
            </w:tcBorders>
            <w:shd w:val="clear" w:color="auto" w:fill="auto"/>
            <w:vAlign w:val="bottom"/>
          </w:tcPr>
          <w:p w14:paraId="7EAF5535" w14:textId="77777777" w:rsidR="00A21FE4" w:rsidRPr="00CF31E0" w:rsidRDefault="00A21FE4" w:rsidP="00715A3B">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602FF82A" w14:textId="77777777" w:rsidR="00A21FE4" w:rsidRPr="00CF31E0" w:rsidRDefault="00A21FE4" w:rsidP="00715A3B">
            <w:pPr>
              <w:spacing w:after="200" w:line="276" w:lineRule="auto"/>
              <w:rPr>
                <w:rFonts w:eastAsia="Calibri"/>
                <w:color w:val="000000" w:themeColor="text1"/>
                <w:sz w:val="22"/>
                <w:szCs w:val="22"/>
                <w:lang w:eastAsia="en-US"/>
              </w:rPr>
            </w:pPr>
          </w:p>
        </w:tc>
      </w:tr>
    </w:tbl>
    <w:p w14:paraId="5AAC4556" w14:textId="77777777" w:rsidR="00715A3B" w:rsidRPr="00CF31E0" w:rsidRDefault="00715A3B" w:rsidP="00DF1804">
      <w:pPr>
        <w:rPr>
          <w:color w:val="000000" w:themeColor="text1"/>
          <w:lang w:eastAsia="en-US"/>
        </w:rPr>
      </w:pPr>
    </w:p>
    <w:p w14:paraId="60272274" w14:textId="77777777" w:rsidR="000C2BA6" w:rsidRPr="00CF31E0" w:rsidRDefault="000C2BA6"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31F05F06" w14:textId="77777777" w:rsidTr="00A21FE4">
        <w:trPr>
          <w:trHeight w:val="567"/>
        </w:trPr>
        <w:tc>
          <w:tcPr>
            <w:tcW w:w="2235" w:type="dxa"/>
            <w:tcBorders>
              <w:top w:val="single" w:sz="8" w:space="0" w:color="auto"/>
              <w:bottom w:val="single" w:sz="8" w:space="0" w:color="auto"/>
            </w:tcBorders>
            <w:shd w:val="clear" w:color="auto" w:fill="auto"/>
            <w:hideMark/>
          </w:tcPr>
          <w:p w14:paraId="4093199F" w14:textId="77777777" w:rsidR="00A21FE4" w:rsidRPr="00CF31E0" w:rsidRDefault="00A21FE4" w:rsidP="000C2BA6">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Places lived</w:t>
            </w:r>
          </w:p>
        </w:tc>
        <w:tc>
          <w:tcPr>
            <w:tcW w:w="1134" w:type="dxa"/>
            <w:tcBorders>
              <w:top w:val="single" w:sz="8" w:space="0" w:color="auto"/>
              <w:bottom w:val="single" w:sz="8" w:space="0" w:color="auto"/>
            </w:tcBorders>
            <w:shd w:val="clear" w:color="auto" w:fill="auto"/>
            <w:hideMark/>
          </w:tcPr>
          <w:p w14:paraId="664AAD52" w14:textId="77777777" w:rsidR="00A21FE4" w:rsidRPr="00CF31E0" w:rsidRDefault="00A21FE4" w:rsidP="000C2BA6">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34FB90D7" w14:textId="77777777" w:rsidR="00A21FE4" w:rsidRPr="00CF31E0" w:rsidRDefault="00A21FE4" w:rsidP="000C2BA6">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1DBC28B2" w14:textId="77777777" w:rsidTr="00A21FE4">
        <w:trPr>
          <w:trHeight w:val="567"/>
        </w:trPr>
        <w:tc>
          <w:tcPr>
            <w:tcW w:w="2235" w:type="dxa"/>
            <w:tcBorders>
              <w:top w:val="single" w:sz="8" w:space="0" w:color="auto"/>
            </w:tcBorders>
            <w:shd w:val="clear" w:color="auto" w:fill="auto"/>
            <w:vAlign w:val="bottom"/>
          </w:tcPr>
          <w:p w14:paraId="6D7A37A1" w14:textId="77777777" w:rsidR="00A21FE4" w:rsidRPr="00CF31E0" w:rsidRDefault="00A21FE4" w:rsidP="000C2BA6">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04B4FC26" w14:textId="77777777" w:rsidR="00A21FE4" w:rsidRPr="00CF31E0" w:rsidRDefault="00A21FE4" w:rsidP="000C2BA6">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5.813</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01BBD3E2" w14:textId="77777777" w:rsidR="00A21FE4" w:rsidRPr="00CF31E0" w:rsidRDefault="00A21FE4" w:rsidP="000C2BA6">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.121</w:t>
            </w:r>
          </w:p>
        </w:tc>
      </w:tr>
      <w:tr w:rsidR="00A21FE4" w:rsidRPr="00CF31E0" w14:paraId="2698ABFA" w14:textId="77777777" w:rsidTr="00A21FE4">
        <w:trPr>
          <w:trHeight w:val="567"/>
        </w:trPr>
        <w:tc>
          <w:tcPr>
            <w:tcW w:w="2235" w:type="dxa"/>
            <w:tcBorders>
              <w:bottom w:val="single" w:sz="8" w:space="0" w:color="auto"/>
            </w:tcBorders>
            <w:shd w:val="clear" w:color="auto" w:fill="auto"/>
            <w:vAlign w:val="bottom"/>
          </w:tcPr>
          <w:p w14:paraId="5671F2DB" w14:textId="77777777" w:rsidR="00A21FE4" w:rsidRPr="00CF31E0" w:rsidRDefault="00A21FE4" w:rsidP="000C2BA6">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6C7EA342" w14:textId="77777777" w:rsidR="00A21FE4" w:rsidRPr="00CF31E0" w:rsidRDefault="00A21FE4" w:rsidP="000C2BA6">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1F80ADCF" w14:textId="77777777" w:rsidR="00A21FE4" w:rsidRPr="00CF31E0" w:rsidRDefault="00A21FE4" w:rsidP="000C2BA6">
            <w:pPr>
              <w:spacing w:after="200" w:line="276" w:lineRule="auto"/>
              <w:rPr>
                <w:rFonts w:eastAsia="Calibri"/>
                <w:color w:val="000000" w:themeColor="text1"/>
                <w:sz w:val="22"/>
                <w:szCs w:val="22"/>
                <w:lang w:eastAsia="en-US"/>
              </w:rPr>
            </w:pPr>
          </w:p>
        </w:tc>
      </w:tr>
    </w:tbl>
    <w:p w14:paraId="19E34F1A" w14:textId="77777777" w:rsidR="00715A3B" w:rsidRPr="00CF31E0" w:rsidRDefault="00715A3B" w:rsidP="00DF1804">
      <w:pPr>
        <w:rPr>
          <w:color w:val="000000" w:themeColor="text1"/>
          <w:lang w:eastAsia="en-US"/>
        </w:rPr>
      </w:pPr>
    </w:p>
    <w:p w14:paraId="58619A53" w14:textId="77777777" w:rsidR="000C2BA6" w:rsidRPr="00CF31E0" w:rsidRDefault="000C2BA6"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098B1376" w14:textId="77777777" w:rsidTr="00A21FE4">
        <w:trPr>
          <w:trHeight w:val="567"/>
        </w:trPr>
        <w:tc>
          <w:tcPr>
            <w:tcW w:w="2235" w:type="dxa"/>
            <w:tcBorders>
              <w:top w:val="single" w:sz="8" w:space="0" w:color="auto"/>
              <w:bottom w:val="single" w:sz="8" w:space="0" w:color="auto"/>
            </w:tcBorders>
            <w:shd w:val="clear" w:color="auto" w:fill="auto"/>
            <w:hideMark/>
          </w:tcPr>
          <w:p w14:paraId="795D325B" w14:textId="77777777" w:rsidR="00A21FE4" w:rsidRPr="00CF31E0" w:rsidRDefault="00A21FE4" w:rsidP="0075042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Marital status</w:t>
            </w:r>
          </w:p>
        </w:tc>
        <w:tc>
          <w:tcPr>
            <w:tcW w:w="1134" w:type="dxa"/>
            <w:tcBorders>
              <w:top w:val="single" w:sz="8" w:space="0" w:color="auto"/>
              <w:bottom w:val="single" w:sz="8" w:space="0" w:color="auto"/>
            </w:tcBorders>
            <w:shd w:val="clear" w:color="auto" w:fill="auto"/>
            <w:hideMark/>
          </w:tcPr>
          <w:p w14:paraId="0761C672" w14:textId="77777777" w:rsidR="00A21FE4" w:rsidRPr="00CF31E0" w:rsidRDefault="00A21FE4" w:rsidP="0075042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171E896F" w14:textId="77777777" w:rsidR="00A21FE4" w:rsidRPr="00CF31E0" w:rsidRDefault="00A21FE4" w:rsidP="0075042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6802B3F5" w14:textId="77777777" w:rsidTr="00A21FE4">
        <w:trPr>
          <w:trHeight w:val="567"/>
        </w:trPr>
        <w:tc>
          <w:tcPr>
            <w:tcW w:w="2235" w:type="dxa"/>
            <w:tcBorders>
              <w:top w:val="single" w:sz="8" w:space="0" w:color="auto"/>
            </w:tcBorders>
            <w:shd w:val="clear" w:color="auto" w:fill="auto"/>
            <w:vAlign w:val="bottom"/>
          </w:tcPr>
          <w:p w14:paraId="377648D2" w14:textId="77777777" w:rsidR="00A21FE4" w:rsidRPr="00CF31E0" w:rsidRDefault="00A21FE4" w:rsidP="00750427">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4FD4678C" w14:textId="77777777" w:rsidR="00A21FE4" w:rsidRPr="00CF31E0" w:rsidRDefault="00A21FE4" w:rsidP="00750427">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6.481</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513B38E6" w14:textId="77777777" w:rsidR="00A21FE4" w:rsidRPr="00CF31E0" w:rsidRDefault="00A21FE4" w:rsidP="00750427">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.372</w:t>
            </w:r>
          </w:p>
        </w:tc>
      </w:tr>
      <w:tr w:rsidR="00A21FE4" w:rsidRPr="00CF31E0" w14:paraId="4431CD51" w14:textId="77777777" w:rsidTr="00A21FE4">
        <w:trPr>
          <w:trHeight w:val="567"/>
        </w:trPr>
        <w:tc>
          <w:tcPr>
            <w:tcW w:w="2235" w:type="dxa"/>
            <w:tcBorders>
              <w:bottom w:val="single" w:sz="8" w:space="0" w:color="auto"/>
            </w:tcBorders>
            <w:shd w:val="clear" w:color="auto" w:fill="auto"/>
            <w:vAlign w:val="bottom"/>
          </w:tcPr>
          <w:p w14:paraId="4ABEA721" w14:textId="77777777" w:rsidR="00A21FE4" w:rsidRPr="00CF31E0" w:rsidRDefault="00A21FE4" w:rsidP="00750427">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0F1E70C3" w14:textId="77777777" w:rsidR="00A21FE4" w:rsidRPr="00CF31E0" w:rsidRDefault="00A21FE4" w:rsidP="00750427">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1A5EDC30" w14:textId="77777777" w:rsidR="00A21FE4" w:rsidRPr="00CF31E0" w:rsidRDefault="00A21FE4" w:rsidP="00750427">
            <w:pPr>
              <w:spacing w:after="200" w:line="276" w:lineRule="auto"/>
              <w:rPr>
                <w:rFonts w:eastAsia="Calibri"/>
                <w:color w:val="000000" w:themeColor="text1"/>
                <w:sz w:val="22"/>
                <w:szCs w:val="22"/>
                <w:lang w:eastAsia="en-US"/>
              </w:rPr>
            </w:pPr>
          </w:p>
        </w:tc>
      </w:tr>
    </w:tbl>
    <w:p w14:paraId="336A485B" w14:textId="77777777" w:rsidR="000C2BA6" w:rsidRPr="00CF31E0" w:rsidRDefault="000C2BA6" w:rsidP="00DF1804">
      <w:pPr>
        <w:rPr>
          <w:color w:val="000000" w:themeColor="text1"/>
          <w:lang w:eastAsia="en-US"/>
        </w:rPr>
      </w:pPr>
    </w:p>
    <w:p w14:paraId="20EC1671" w14:textId="77777777" w:rsidR="00750427" w:rsidRPr="00CF31E0" w:rsidRDefault="00750427"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53D7FFE5" w14:textId="77777777" w:rsidTr="00A21FE4">
        <w:trPr>
          <w:trHeight w:val="567"/>
        </w:trPr>
        <w:tc>
          <w:tcPr>
            <w:tcW w:w="2235" w:type="dxa"/>
            <w:tcBorders>
              <w:top w:val="single" w:sz="8" w:space="0" w:color="auto"/>
              <w:bottom w:val="single" w:sz="8" w:space="0" w:color="auto"/>
            </w:tcBorders>
            <w:shd w:val="clear" w:color="auto" w:fill="auto"/>
            <w:hideMark/>
          </w:tcPr>
          <w:p w14:paraId="24597B85" w14:textId="77777777" w:rsidR="00A21FE4" w:rsidRPr="00CF31E0" w:rsidRDefault="00A21FE4" w:rsidP="002F14C8">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Mother’s social group</w:t>
            </w:r>
          </w:p>
        </w:tc>
        <w:tc>
          <w:tcPr>
            <w:tcW w:w="1134" w:type="dxa"/>
            <w:tcBorders>
              <w:top w:val="single" w:sz="8" w:space="0" w:color="auto"/>
              <w:bottom w:val="single" w:sz="8" w:space="0" w:color="auto"/>
            </w:tcBorders>
            <w:shd w:val="clear" w:color="auto" w:fill="auto"/>
            <w:hideMark/>
          </w:tcPr>
          <w:p w14:paraId="17E459C9" w14:textId="77777777" w:rsidR="00A21FE4" w:rsidRPr="00CF31E0" w:rsidRDefault="00A21FE4" w:rsidP="002F14C8">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17347E25" w14:textId="77777777" w:rsidR="00A21FE4" w:rsidRPr="00CF31E0" w:rsidRDefault="00A21FE4" w:rsidP="002F14C8">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2FEB93D5" w14:textId="77777777" w:rsidTr="00A21FE4">
        <w:trPr>
          <w:trHeight w:val="567"/>
        </w:trPr>
        <w:tc>
          <w:tcPr>
            <w:tcW w:w="2235" w:type="dxa"/>
            <w:tcBorders>
              <w:top w:val="single" w:sz="8" w:space="0" w:color="auto"/>
            </w:tcBorders>
            <w:shd w:val="clear" w:color="auto" w:fill="auto"/>
            <w:vAlign w:val="bottom"/>
          </w:tcPr>
          <w:p w14:paraId="2080E5B6" w14:textId="77777777" w:rsidR="00A21FE4" w:rsidRPr="00CF31E0" w:rsidRDefault="00A21FE4" w:rsidP="002F14C8">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0BF931B7" w14:textId="77777777" w:rsidR="00A21FE4" w:rsidRPr="00CF31E0" w:rsidRDefault="00A21FE4" w:rsidP="002F14C8">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17.739</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5C7281D4" w14:textId="77777777" w:rsidR="00A21FE4" w:rsidRPr="00CF31E0" w:rsidRDefault="00A21FE4" w:rsidP="002F14C8">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.007</w:t>
            </w:r>
          </w:p>
        </w:tc>
      </w:tr>
      <w:tr w:rsidR="00A21FE4" w:rsidRPr="00CF31E0" w14:paraId="61467EB3" w14:textId="77777777" w:rsidTr="00A21FE4">
        <w:trPr>
          <w:trHeight w:val="567"/>
        </w:trPr>
        <w:tc>
          <w:tcPr>
            <w:tcW w:w="2235" w:type="dxa"/>
            <w:tcBorders>
              <w:bottom w:val="single" w:sz="8" w:space="0" w:color="auto"/>
            </w:tcBorders>
            <w:shd w:val="clear" w:color="auto" w:fill="auto"/>
            <w:vAlign w:val="bottom"/>
          </w:tcPr>
          <w:p w14:paraId="7B9328D8" w14:textId="77777777" w:rsidR="00A21FE4" w:rsidRPr="00CF31E0" w:rsidRDefault="00A21FE4" w:rsidP="002F14C8">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5792D7D6" w14:textId="77777777" w:rsidR="00A21FE4" w:rsidRPr="00CF31E0" w:rsidRDefault="00A21FE4" w:rsidP="002F14C8">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38599F71" w14:textId="77777777" w:rsidR="00A21FE4" w:rsidRPr="00CF31E0" w:rsidRDefault="00A21FE4" w:rsidP="002F14C8">
            <w:pPr>
              <w:spacing w:after="200" w:line="276" w:lineRule="auto"/>
              <w:rPr>
                <w:rFonts w:eastAsia="Calibri"/>
                <w:color w:val="000000" w:themeColor="text1"/>
                <w:sz w:val="22"/>
                <w:szCs w:val="22"/>
                <w:lang w:eastAsia="en-US"/>
              </w:rPr>
            </w:pPr>
          </w:p>
        </w:tc>
      </w:tr>
    </w:tbl>
    <w:p w14:paraId="1C25A207" w14:textId="77777777" w:rsidR="00750427" w:rsidRPr="00CF31E0" w:rsidRDefault="00750427" w:rsidP="00DF1804">
      <w:pPr>
        <w:rPr>
          <w:color w:val="000000" w:themeColor="text1"/>
          <w:lang w:eastAsia="en-US"/>
        </w:rPr>
      </w:pPr>
    </w:p>
    <w:p w14:paraId="124CF35F" w14:textId="77777777" w:rsidR="002F14C8" w:rsidRPr="00CF31E0" w:rsidRDefault="002F14C8"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5EF9A95E" w14:textId="77777777" w:rsidTr="00A21FE4">
        <w:trPr>
          <w:trHeight w:val="567"/>
        </w:trPr>
        <w:tc>
          <w:tcPr>
            <w:tcW w:w="2235" w:type="dxa"/>
            <w:tcBorders>
              <w:top w:val="single" w:sz="8" w:space="0" w:color="auto"/>
              <w:bottom w:val="single" w:sz="8" w:space="0" w:color="auto"/>
            </w:tcBorders>
            <w:shd w:val="clear" w:color="auto" w:fill="auto"/>
            <w:hideMark/>
          </w:tcPr>
          <w:p w14:paraId="56508221" w14:textId="77777777" w:rsidR="00A21FE4" w:rsidRPr="00CF31E0" w:rsidRDefault="00A21FE4" w:rsidP="002F14C8">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Spouse’s social group</w:t>
            </w:r>
          </w:p>
        </w:tc>
        <w:tc>
          <w:tcPr>
            <w:tcW w:w="1134" w:type="dxa"/>
            <w:tcBorders>
              <w:top w:val="single" w:sz="8" w:space="0" w:color="auto"/>
              <w:bottom w:val="single" w:sz="8" w:space="0" w:color="auto"/>
            </w:tcBorders>
            <w:shd w:val="clear" w:color="auto" w:fill="auto"/>
            <w:hideMark/>
          </w:tcPr>
          <w:p w14:paraId="699D0BF8" w14:textId="77777777" w:rsidR="00A21FE4" w:rsidRPr="00CF31E0" w:rsidRDefault="00A21FE4" w:rsidP="002F14C8">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7F258F5C" w14:textId="77777777" w:rsidR="00A21FE4" w:rsidRPr="00CF31E0" w:rsidRDefault="00A21FE4" w:rsidP="002F14C8">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572ECA1E" w14:textId="77777777" w:rsidTr="00A21FE4">
        <w:trPr>
          <w:trHeight w:val="567"/>
        </w:trPr>
        <w:tc>
          <w:tcPr>
            <w:tcW w:w="2235" w:type="dxa"/>
            <w:tcBorders>
              <w:top w:val="single" w:sz="8" w:space="0" w:color="auto"/>
            </w:tcBorders>
            <w:shd w:val="clear" w:color="auto" w:fill="auto"/>
            <w:vAlign w:val="bottom"/>
          </w:tcPr>
          <w:p w14:paraId="2AE35909" w14:textId="77777777" w:rsidR="00A21FE4" w:rsidRPr="00CF31E0" w:rsidRDefault="00A21FE4" w:rsidP="002F14C8">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6EDB7899" w14:textId="77777777" w:rsidR="00A21FE4" w:rsidRPr="00CF31E0" w:rsidRDefault="00A21FE4" w:rsidP="002F14C8">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18.142</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61A37790" w14:textId="77777777" w:rsidR="00A21FE4" w:rsidRPr="00CF31E0" w:rsidRDefault="00A21FE4" w:rsidP="002F14C8">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.006</w:t>
            </w:r>
          </w:p>
        </w:tc>
      </w:tr>
      <w:tr w:rsidR="00A21FE4" w:rsidRPr="00CF31E0" w14:paraId="270C30F2" w14:textId="77777777" w:rsidTr="00A21FE4">
        <w:trPr>
          <w:trHeight w:val="567"/>
        </w:trPr>
        <w:tc>
          <w:tcPr>
            <w:tcW w:w="2235" w:type="dxa"/>
            <w:tcBorders>
              <w:bottom w:val="single" w:sz="8" w:space="0" w:color="auto"/>
            </w:tcBorders>
            <w:shd w:val="clear" w:color="auto" w:fill="auto"/>
            <w:vAlign w:val="bottom"/>
          </w:tcPr>
          <w:p w14:paraId="390CD5F0" w14:textId="77777777" w:rsidR="00A21FE4" w:rsidRPr="00CF31E0" w:rsidRDefault="00A21FE4" w:rsidP="002F14C8">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3C782763" w14:textId="77777777" w:rsidR="00A21FE4" w:rsidRPr="00CF31E0" w:rsidRDefault="00A21FE4" w:rsidP="002F14C8">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584D42E5" w14:textId="77777777" w:rsidR="00A21FE4" w:rsidRPr="00CF31E0" w:rsidRDefault="00A21FE4" w:rsidP="002F14C8">
            <w:pPr>
              <w:spacing w:after="200" w:line="276" w:lineRule="auto"/>
              <w:rPr>
                <w:rFonts w:eastAsia="Calibri"/>
                <w:color w:val="000000" w:themeColor="text1"/>
                <w:sz w:val="22"/>
                <w:szCs w:val="22"/>
                <w:lang w:eastAsia="en-US"/>
              </w:rPr>
            </w:pPr>
          </w:p>
        </w:tc>
      </w:tr>
    </w:tbl>
    <w:p w14:paraId="1B9AE1EE" w14:textId="77777777" w:rsidR="0038312A" w:rsidRPr="00CF31E0" w:rsidRDefault="0038312A" w:rsidP="00DF1804">
      <w:pPr>
        <w:rPr>
          <w:color w:val="000000" w:themeColor="text1"/>
          <w:lang w:eastAsia="en-US"/>
        </w:rPr>
      </w:pPr>
    </w:p>
    <w:p w14:paraId="4C6675C0" w14:textId="77777777" w:rsidR="0038312A" w:rsidRPr="00CF31E0" w:rsidRDefault="0038312A"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4EC08601" w14:textId="77777777" w:rsidTr="00A21FE4">
        <w:trPr>
          <w:trHeight w:val="567"/>
        </w:trPr>
        <w:tc>
          <w:tcPr>
            <w:tcW w:w="2235" w:type="dxa"/>
            <w:tcBorders>
              <w:top w:val="single" w:sz="8" w:space="0" w:color="auto"/>
              <w:bottom w:val="single" w:sz="8" w:space="0" w:color="auto"/>
            </w:tcBorders>
            <w:shd w:val="clear" w:color="auto" w:fill="auto"/>
            <w:hideMark/>
          </w:tcPr>
          <w:p w14:paraId="16A6D97E" w14:textId="77777777" w:rsidR="00A21FE4" w:rsidRPr="00CF31E0" w:rsidRDefault="00A21FE4" w:rsidP="002F14C8">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Education</w:t>
            </w:r>
          </w:p>
        </w:tc>
        <w:tc>
          <w:tcPr>
            <w:tcW w:w="1134" w:type="dxa"/>
            <w:tcBorders>
              <w:top w:val="single" w:sz="8" w:space="0" w:color="auto"/>
              <w:bottom w:val="single" w:sz="8" w:space="0" w:color="auto"/>
            </w:tcBorders>
            <w:shd w:val="clear" w:color="auto" w:fill="auto"/>
            <w:hideMark/>
          </w:tcPr>
          <w:p w14:paraId="19F27EA2" w14:textId="77777777" w:rsidR="00A21FE4" w:rsidRPr="00CF31E0" w:rsidRDefault="00A21FE4" w:rsidP="002F14C8">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5E2BBB62" w14:textId="77777777" w:rsidR="00A21FE4" w:rsidRPr="00CF31E0" w:rsidRDefault="00A21FE4" w:rsidP="002F14C8">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5C19BFAF" w14:textId="77777777" w:rsidTr="00A21FE4">
        <w:trPr>
          <w:trHeight w:val="567"/>
        </w:trPr>
        <w:tc>
          <w:tcPr>
            <w:tcW w:w="2235" w:type="dxa"/>
            <w:tcBorders>
              <w:top w:val="single" w:sz="8" w:space="0" w:color="auto"/>
            </w:tcBorders>
            <w:shd w:val="clear" w:color="auto" w:fill="auto"/>
            <w:vAlign w:val="bottom"/>
          </w:tcPr>
          <w:p w14:paraId="4AE1A150" w14:textId="77777777" w:rsidR="00A21FE4" w:rsidRPr="00CF31E0" w:rsidRDefault="00A21FE4" w:rsidP="002F14C8">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4CF668CE" w14:textId="77777777" w:rsidR="00A21FE4" w:rsidRPr="00CF31E0" w:rsidRDefault="00A21FE4" w:rsidP="002F14C8">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7.955</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6A445FBD" w14:textId="77777777" w:rsidR="00A21FE4" w:rsidRPr="00CF31E0" w:rsidRDefault="00A21FE4" w:rsidP="002F14C8">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.241</w:t>
            </w:r>
          </w:p>
        </w:tc>
      </w:tr>
      <w:tr w:rsidR="00A21FE4" w:rsidRPr="00CF31E0" w14:paraId="5D4DE24B" w14:textId="77777777" w:rsidTr="00A21FE4">
        <w:trPr>
          <w:trHeight w:val="567"/>
        </w:trPr>
        <w:tc>
          <w:tcPr>
            <w:tcW w:w="2235" w:type="dxa"/>
            <w:tcBorders>
              <w:bottom w:val="single" w:sz="8" w:space="0" w:color="auto"/>
            </w:tcBorders>
            <w:shd w:val="clear" w:color="auto" w:fill="auto"/>
            <w:vAlign w:val="bottom"/>
          </w:tcPr>
          <w:p w14:paraId="62DB773C" w14:textId="77777777" w:rsidR="00A21FE4" w:rsidRPr="00CF31E0" w:rsidRDefault="00A21FE4" w:rsidP="002F14C8">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187A30C3" w14:textId="77777777" w:rsidR="00A21FE4" w:rsidRPr="00CF31E0" w:rsidRDefault="00A21FE4" w:rsidP="002F14C8">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6E9ECDE6" w14:textId="77777777" w:rsidR="00A21FE4" w:rsidRPr="00CF31E0" w:rsidRDefault="00A21FE4" w:rsidP="002F14C8">
            <w:pPr>
              <w:spacing w:after="200" w:line="276" w:lineRule="auto"/>
              <w:rPr>
                <w:rFonts w:eastAsia="Calibri"/>
                <w:color w:val="000000" w:themeColor="text1"/>
                <w:sz w:val="22"/>
                <w:szCs w:val="22"/>
                <w:lang w:eastAsia="en-US"/>
              </w:rPr>
            </w:pPr>
          </w:p>
        </w:tc>
      </w:tr>
    </w:tbl>
    <w:p w14:paraId="6ACF6D29" w14:textId="77777777" w:rsidR="002F14C8" w:rsidRPr="00CF31E0" w:rsidRDefault="002F14C8" w:rsidP="00DF1804">
      <w:pPr>
        <w:rPr>
          <w:color w:val="000000" w:themeColor="text1"/>
          <w:lang w:eastAsia="en-US"/>
        </w:rPr>
      </w:pPr>
    </w:p>
    <w:p w14:paraId="329B9F87" w14:textId="77777777" w:rsidR="002F14C8" w:rsidRDefault="002F14C8" w:rsidP="00DF1804">
      <w:pPr>
        <w:rPr>
          <w:color w:val="000000" w:themeColor="text1"/>
          <w:lang w:eastAsia="en-US"/>
        </w:rPr>
      </w:pPr>
    </w:p>
    <w:p w14:paraId="19959F77" w14:textId="77777777" w:rsidR="006E02B4" w:rsidRDefault="006E02B4" w:rsidP="00DF1804">
      <w:pPr>
        <w:rPr>
          <w:color w:val="000000" w:themeColor="text1"/>
          <w:lang w:eastAsia="en-US"/>
        </w:rPr>
      </w:pPr>
    </w:p>
    <w:p w14:paraId="1C135D3E" w14:textId="77777777" w:rsidR="006E02B4" w:rsidRPr="00CF31E0" w:rsidRDefault="006E02B4"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3F0F9BFA" w14:textId="77777777" w:rsidTr="00A21FE4">
        <w:trPr>
          <w:trHeight w:val="567"/>
        </w:trPr>
        <w:tc>
          <w:tcPr>
            <w:tcW w:w="2235" w:type="dxa"/>
            <w:tcBorders>
              <w:top w:val="single" w:sz="8" w:space="0" w:color="auto"/>
              <w:bottom w:val="single" w:sz="8" w:space="0" w:color="auto"/>
            </w:tcBorders>
            <w:shd w:val="clear" w:color="auto" w:fill="auto"/>
            <w:hideMark/>
          </w:tcPr>
          <w:p w14:paraId="3B621292" w14:textId="77777777" w:rsidR="00A21FE4" w:rsidRPr="00CF31E0" w:rsidRDefault="00A21FE4" w:rsidP="002F14C8">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lastRenderedPageBreak/>
              <w:t>Age</w:t>
            </w:r>
          </w:p>
        </w:tc>
        <w:tc>
          <w:tcPr>
            <w:tcW w:w="1134" w:type="dxa"/>
            <w:tcBorders>
              <w:top w:val="single" w:sz="8" w:space="0" w:color="auto"/>
              <w:bottom w:val="single" w:sz="8" w:space="0" w:color="auto"/>
            </w:tcBorders>
            <w:shd w:val="clear" w:color="auto" w:fill="auto"/>
            <w:hideMark/>
          </w:tcPr>
          <w:p w14:paraId="3C6F3EF6" w14:textId="77777777" w:rsidR="00A21FE4" w:rsidRPr="00CF31E0" w:rsidRDefault="00A21FE4" w:rsidP="002F14C8">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3030112C" w14:textId="77777777" w:rsidR="00A21FE4" w:rsidRPr="00CF31E0" w:rsidRDefault="00A21FE4" w:rsidP="002F14C8">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7EB103E5" w14:textId="77777777" w:rsidTr="00A21FE4">
        <w:trPr>
          <w:trHeight w:val="567"/>
        </w:trPr>
        <w:tc>
          <w:tcPr>
            <w:tcW w:w="2235" w:type="dxa"/>
            <w:tcBorders>
              <w:top w:val="single" w:sz="8" w:space="0" w:color="auto"/>
            </w:tcBorders>
            <w:shd w:val="clear" w:color="auto" w:fill="auto"/>
            <w:vAlign w:val="bottom"/>
          </w:tcPr>
          <w:p w14:paraId="54DF9B3D" w14:textId="77777777" w:rsidR="00A21FE4" w:rsidRPr="00CF31E0" w:rsidRDefault="00A21FE4" w:rsidP="002F14C8">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21534FB3" w14:textId="77777777" w:rsidR="00A21FE4" w:rsidRPr="00CF31E0" w:rsidRDefault="00A21FE4" w:rsidP="002F14C8">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9.479</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74FBE5EF" w14:textId="77777777" w:rsidR="00A21FE4" w:rsidRPr="00CF31E0" w:rsidRDefault="00A21FE4" w:rsidP="002F14C8">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.662</w:t>
            </w:r>
          </w:p>
        </w:tc>
      </w:tr>
      <w:tr w:rsidR="00A21FE4" w:rsidRPr="00CF31E0" w14:paraId="61C2D26C" w14:textId="77777777" w:rsidTr="00A21FE4">
        <w:trPr>
          <w:trHeight w:val="567"/>
        </w:trPr>
        <w:tc>
          <w:tcPr>
            <w:tcW w:w="2235" w:type="dxa"/>
            <w:tcBorders>
              <w:bottom w:val="single" w:sz="8" w:space="0" w:color="auto"/>
            </w:tcBorders>
            <w:shd w:val="clear" w:color="auto" w:fill="auto"/>
            <w:vAlign w:val="bottom"/>
          </w:tcPr>
          <w:p w14:paraId="67EF74FB" w14:textId="77777777" w:rsidR="00A21FE4" w:rsidRPr="00CF31E0" w:rsidRDefault="00A21FE4" w:rsidP="002F14C8">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6867A6B6" w14:textId="77777777" w:rsidR="00A21FE4" w:rsidRPr="00CF31E0" w:rsidRDefault="00A21FE4" w:rsidP="002F14C8">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47033987" w14:textId="77777777" w:rsidR="00A21FE4" w:rsidRPr="00CF31E0" w:rsidRDefault="00A21FE4" w:rsidP="002F14C8">
            <w:pPr>
              <w:spacing w:after="200" w:line="276" w:lineRule="auto"/>
              <w:rPr>
                <w:rFonts w:eastAsia="Calibri"/>
                <w:color w:val="000000" w:themeColor="text1"/>
                <w:sz w:val="22"/>
                <w:szCs w:val="22"/>
                <w:lang w:eastAsia="en-US"/>
              </w:rPr>
            </w:pPr>
          </w:p>
        </w:tc>
      </w:tr>
    </w:tbl>
    <w:p w14:paraId="1743CB99" w14:textId="77777777" w:rsidR="002F14C8" w:rsidRPr="00CF31E0" w:rsidRDefault="002F14C8" w:rsidP="00DF1804">
      <w:pPr>
        <w:rPr>
          <w:color w:val="000000" w:themeColor="text1"/>
          <w:lang w:eastAsia="en-US"/>
        </w:rPr>
      </w:pPr>
    </w:p>
    <w:p w14:paraId="61F57421" w14:textId="77777777" w:rsidR="002F14C8" w:rsidRPr="00CF31E0" w:rsidRDefault="002F14C8" w:rsidP="00DF1804">
      <w:pPr>
        <w:rPr>
          <w:color w:val="000000" w:themeColor="text1"/>
          <w:lang w:eastAsia="en-US"/>
        </w:rPr>
      </w:pPr>
    </w:p>
    <w:p w14:paraId="7D0D7082" w14:textId="77777777" w:rsidR="002F14C8" w:rsidRPr="00CF31E0" w:rsidRDefault="002F14C8" w:rsidP="002F14C8">
      <w:pPr>
        <w:keepNext/>
        <w:keepLines/>
        <w:spacing w:line="360" w:lineRule="auto"/>
        <w:ind w:left="680" w:hanging="680"/>
        <w:outlineLvl w:val="1"/>
        <w:rPr>
          <w:rFonts w:eastAsia="Times New Roman"/>
          <w:b/>
          <w:color w:val="000000" w:themeColor="text1"/>
          <w:lang w:val="en-US" w:eastAsia="zh-CN"/>
        </w:rPr>
      </w:pPr>
      <w:r w:rsidRPr="00CF31E0">
        <w:rPr>
          <w:rFonts w:eastAsia="MS Gothic"/>
          <w:b/>
          <w:color w:val="000000" w:themeColor="text1"/>
          <w:lang w:val="en-US" w:eastAsia="zh-CN"/>
        </w:rPr>
        <w:t>Q8:</w:t>
      </w:r>
      <w:r w:rsidRPr="00CF31E0">
        <w:rPr>
          <w:rFonts w:eastAsia="Times New Roman"/>
          <w:b/>
          <w:color w:val="000000" w:themeColor="text1"/>
          <w:lang w:val="en-US" w:eastAsia="zh-CN"/>
        </w:rPr>
        <w:t xml:space="preserve"> When does intermarriage start to happen between the two social groups?</w:t>
      </w:r>
    </w:p>
    <w:p w14:paraId="2074F646" w14:textId="77777777" w:rsidR="002F14C8" w:rsidRPr="00CF31E0" w:rsidRDefault="002F14C8" w:rsidP="00DF1804">
      <w:pPr>
        <w:rPr>
          <w:color w:val="000000" w:themeColor="text1"/>
          <w:lang w:val="en-US"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71A64099" w14:textId="77777777" w:rsidTr="00A21FE4">
        <w:trPr>
          <w:trHeight w:val="567"/>
        </w:trPr>
        <w:tc>
          <w:tcPr>
            <w:tcW w:w="2235" w:type="dxa"/>
            <w:tcBorders>
              <w:top w:val="single" w:sz="8" w:space="0" w:color="auto"/>
              <w:bottom w:val="single" w:sz="8" w:space="0" w:color="auto"/>
            </w:tcBorders>
            <w:shd w:val="clear" w:color="auto" w:fill="auto"/>
            <w:hideMark/>
          </w:tcPr>
          <w:p w14:paraId="0460DB0E" w14:textId="77777777" w:rsidR="00A21FE4" w:rsidRPr="00CF31E0" w:rsidRDefault="00A21FE4" w:rsidP="000F1FA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Gender</w:t>
            </w:r>
          </w:p>
        </w:tc>
        <w:tc>
          <w:tcPr>
            <w:tcW w:w="1134" w:type="dxa"/>
            <w:tcBorders>
              <w:top w:val="single" w:sz="8" w:space="0" w:color="auto"/>
              <w:bottom w:val="single" w:sz="8" w:space="0" w:color="auto"/>
            </w:tcBorders>
            <w:shd w:val="clear" w:color="auto" w:fill="auto"/>
            <w:hideMark/>
          </w:tcPr>
          <w:p w14:paraId="12C06B86" w14:textId="77777777" w:rsidR="00A21FE4" w:rsidRPr="00CF31E0" w:rsidRDefault="00A21FE4" w:rsidP="000F1FA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737BDBA5" w14:textId="77777777" w:rsidR="00A21FE4" w:rsidRPr="00CF31E0" w:rsidRDefault="00A21FE4" w:rsidP="000F1FA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1A8E3493" w14:textId="77777777" w:rsidTr="00A21FE4">
        <w:trPr>
          <w:trHeight w:val="567"/>
        </w:trPr>
        <w:tc>
          <w:tcPr>
            <w:tcW w:w="2235" w:type="dxa"/>
            <w:tcBorders>
              <w:top w:val="single" w:sz="8" w:space="0" w:color="auto"/>
            </w:tcBorders>
            <w:shd w:val="clear" w:color="auto" w:fill="auto"/>
            <w:vAlign w:val="bottom"/>
          </w:tcPr>
          <w:p w14:paraId="120930EF" w14:textId="77777777" w:rsidR="00A21FE4" w:rsidRPr="00CF31E0" w:rsidRDefault="00A21FE4" w:rsidP="000F1FA7">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05A70457" w14:textId="77777777" w:rsidR="00A21FE4" w:rsidRPr="00CF31E0" w:rsidRDefault="00A21FE4" w:rsidP="000F1FA7">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.363</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7D96BAEE" w14:textId="77777777" w:rsidR="00A21FE4" w:rsidRPr="00CF31E0" w:rsidRDefault="00A21FE4" w:rsidP="000F1FA7">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.547</w:t>
            </w:r>
          </w:p>
        </w:tc>
      </w:tr>
      <w:tr w:rsidR="00A21FE4" w:rsidRPr="00CF31E0" w14:paraId="489F93DC" w14:textId="77777777" w:rsidTr="00A21FE4">
        <w:trPr>
          <w:trHeight w:val="567"/>
        </w:trPr>
        <w:tc>
          <w:tcPr>
            <w:tcW w:w="2235" w:type="dxa"/>
            <w:shd w:val="clear" w:color="auto" w:fill="auto"/>
            <w:vAlign w:val="bottom"/>
          </w:tcPr>
          <w:p w14:paraId="5C83A578" w14:textId="1706FDDF" w:rsidR="00A21FE4" w:rsidRPr="00CF31E0" w:rsidRDefault="00A21FE4" w:rsidP="000F1FA7">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Continuity Correction</w:t>
            </w:r>
            <w:r w:rsidRPr="00CF31E0">
              <w:rPr>
                <w:rFonts w:eastAsia="Calibri"/>
                <w:color w:val="000000" w:themeColor="text1"/>
                <w:sz w:val="22"/>
                <w:szCs w:val="22"/>
                <w:vertAlign w:val="superscript"/>
                <w:lang w:eastAsia="en-US"/>
              </w:rPr>
              <w:t>b</w:t>
            </w:r>
          </w:p>
        </w:tc>
        <w:tc>
          <w:tcPr>
            <w:tcW w:w="1134" w:type="dxa"/>
            <w:shd w:val="clear" w:color="auto" w:fill="auto"/>
            <w:vAlign w:val="bottom"/>
          </w:tcPr>
          <w:p w14:paraId="416FE408" w14:textId="77777777" w:rsidR="00A21FE4" w:rsidRPr="00CF31E0" w:rsidRDefault="00A21FE4" w:rsidP="000F1FA7">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.236</w:t>
            </w:r>
          </w:p>
        </w:tc>
        <w:tc>
          <w:tcPr>
            <w:tcW w:w="3260" w:type="dxa"/>
            <w:shd w:val="clear" w:color="auto" w:fill="auto"/>
            <w:vAlign w:val="bottom"/>
          </w:tcPr>
          <w:p w14:paraId="1A8DAFD7" w14:textId="77777777" w:rsidR="00A21FE4" w:rsidRPr="00CF31E0" w:rsidRDefault="00A21FE4" w:rsidP="000F1FA7">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.627</w:t>
            </w:r>
          </w:p>
        </w:tc>
      </w:tr>
      <w:tr w:rsidR="00A21FE4" w:rsidRPr="00CF31E0" w14:paraId="69B1CA5F" w14:textId="77777777" w:rsidTr="00A21FE4">
        <w:trPr>
          <w:trHeight w:val="567"/>
        </w:trPr>
        <w:tc>
          <w:tcPr>
            <w:tcW w:w="2235" w:type="dxa"/>
            <w:tcBorders>
              <w:bottom w:val="single" w:sz="8" w:space="0" w:color="auto"/>
            </w:tcBorders>
            <w:shd w:val="clear" w:color="auto" w:fill="auto"/>
            <w:vAlign w:val="bottom"/>
          </w:tcPr>
          <w:p w14:paraId="2CF84713" w14:textId="77777777" w:rsidR="00A21FE4" w:rsidRPr="00CF31E0" w:rsidRDefault="00A21FE4" w:rsidP="000F1FA7">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4BCB69CF" w14:textId="77777777" w:rsidR="00A21FE4" w:rsidRPr="00CF31E0" w:rsidRDefault="00A21FE4" w:rsidP="000F1FA7">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06078624" w14:textId="77777777" w:rsidR="00A21FE4" w:rsidRPr="00CF31E0" w:rsidRDefault="00A21FE4" w:rsidP="000F1FA7">
            <w:pPr>
              <w:spacing w:after="200" w:line="276" w:lineRule="auto"/>
              <w:rPr>
                <w:rFonts w:eastAsia="Calibri"/>
                <w:color w:val="000000" w:themeColor="text1"/>
                <w:sz w:val="22"/>
                <w:szCs w:val="22"/>
                <w:lang w:eastAsia="en-US"/>
              </w:rPr>
            </w:pPr>
          </w:p>
        </w:tc>
      </w:tr>
    </w:tbl>
    <w:p w14:paraId="07A215B4" w14:textId="77777777" w:rsidR="002F14C8" w:rsidRPr="00CF31E0" w:rsidRDefault="002F14C8" w:rsidP="00DF1804">
      <w:pPr>
        <w:rPr>
          <w:color w:val="000000" w:themeColor="text1"/>
          <w:lang w:val="en-US" w:eastAsia="en-US"/>
        </w:rPr>
      </w:pPr>
    </w:p>
    <w:p w14:paraId="7C14A19E" w14:textId="77777777" w:rsidR="000F1FA7" w:rsidRPr="00CF31E0" w:rsidRDefault="000F1FA7" w:rsidP="00DF1804">
      <w:pPr>
        <w:rPr>
          <w:color w:val="000000" w:themeColor="text1"/>
          <w:lang w:val="en-US"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6D8CDE94" w14:textId="77777777" w:rsidTr="00A21FE4">
        <w:trPr>
          <w:trHeight w:val="567"/>
        </w:trPr>
        <w:tc>
          <w:tcPr>
            <w:tcW w:w="2235" w:type="dxa"/>
            <w:tcBorders>
              <w:top w:val="single" w:sz="8" w:space="0" w:color="auto"/>
              <w:bottom w:val="single" w:sz="8" w:space="0" w:color="auto"/>
            </w:tcBorders>
            <w:shd w:val="clear" w:color="auto" w:fill="auto"/>
            <w:hideMark/>
          </w:tcPr>
          <w:p w14:paraId="0402713D" w14:textId="77777777" w:rsidR="00A21FE4" w:rsidRPr="00CF31E0" w:rsidRDefault="00A21FE4" w:rsidP="000F1FA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Place of birth</w:t>
            </w:r>
          </w:p>
        </w:tc>
        <w:tc>
          <w:tcPr>
            <w:tcW w:w="1134" w:type="dxa"/>
            <w:tcBorders>
              <w:top w:val="single" w:sz="8" w:space="0" w:color="auto"/>
              <w:bottom w:val="single" w:sz="8" w:space="0" w:color="auto"/>
            </w:tcBorders>
            <w:shd w:val="clear" w:color="auto" w:fill="auto"/>
            <w:hideMark/>
          </w:tcPr>
          <w:p w14:paraId="6CBEE60F" w14:textId="77777777" w:rsidR="00A21FE4" w:rsidRPr="00CF31E0" w:rsidRDefault="00A21FE4" w:rsidP="000F1FA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1A5943DB" w14:textId="77777777" w:rsidR="00A21FE4" w:rsidRPr="00CF31E0" w:rsidRDefault="00A21FE4" w:rsidP="000F1FA7">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2F0D2828" w14:textId="77777777" w:rsidTr="00A21FE4">
        <w:trPr>
          <w:trHeight w:val="567"/>
        </w:trPr>
        <w:tc>
          <w:tcPr>
            <w:tcW w:w="2235" w:type="dxa"/>
            <w:tcBorders>
              <w:top w:val="single" w:sz="8" w:space="0" w:color="auto"/>
            </w:tcBorders>
            <w:shd w:val="clear" w:color="auto" w:fill="auto"/>
            <w:vAlign w:val="bottom"/>
          </w:tcPr>
          <w:p w14:paraId="5043D28B" w14:textId="77777777" w:rsidR="00A21FE4" w:rsidRPr="00CF31E0" w:rsidRDefault="00A21FE4" w:rsidP="000F1FA7">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54F10539" w14:textId="77777777" w:rsidR="00A21FE4" w:rsidRPr="00CF31E0" w:rsidRDefault="00A21FE4" w:rsidP="000F1FA7">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.095</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7BD82B97" w14:textId="77777777" w:rsidR="00A21FE4" w:rsidRPr="00CF31E0" w:rsidRDefault="00A21FE4" w:rsidP="000F1FA7">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.757</w:t>
            </w:r>
          </w:p>
        </w:tc>
      </w:tr>
      <w:tr w:rsidR="00A21FE4" w:rsidRPr="00CF31E0" w14:paraId="496FE7BD" w14:textId="77777777" w:rsidTr="00A21FE4">
        <w:trPr>
          <w:trHeight w:val="567"/>
        </w:trPr>
        <w:tc>
          <w:tcPr>
            <w:tcW w:w="2235" w:type="dxa"/>
            <w:shd w:val="clear" w:color="auto" w:fill="auto"/>
            <w:vAlign w:val="bottom"/>
          </w:tcPr>
          <w:p w14:paraId="26CA5A61" w14:textId="3CDDB433" w:rsidR="00A21FE4" w:rsidRPr="00CF31E0" w:rsidRDefault="00A21FE4" w:rsidP="000F1FA7">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Continuity Correction</w:t>
            </w:r>
            <w:r w:rsidRPr="00CF31E0">
              <w:rPr>
                <w:rFonts w:eastAsia="Calibri"/>
                <w:color w:val="000000" w:themeColor="text1"/>
                <w:sz w:val="22"/>
                <w:szCs w:val="22"/>
                <w:vertAlign w:val="superscript"/>
                <w:lang w:eastAsia="en-US"/>
              </w:rPr>
              <w:t>b</w:t>
            </w:r>
          </w:p>
        </w:tc>
        <w:tc>
          <w:tcPr>
            <w:tcW w:w="1134" w:type="dxa"/>
            <w:shd w:val="clear" w:color="auto" w:fill="auto"/>
            <w:vAlign w:val="bottom"/>
          </w:tcPr>
          <w:p w14:paraId="3BF9F888" w14:textId="77777777" w:rsidR="00A21FE4" w:rsidRPr="00CF31E0" w:rsidRDefault="00A21FE4" w:rsidP="000F1FA7">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.013</w:t>
            </w:r>
          </w:p>
        </w:tc>
        <w:tc>
          <w:tcPr>
            <w:tcW w:w="3260" w:type="dxa"/>
            <w:shd w:val="clear" w:color="auto" w:fill="auto"/>
            <w:vAlign w:val="bottom"/>
          </w:tcPr>
          <w:p w14:paraId="0DDF453D" w14:textId="77777777" w:rsidR="00A21FE4" w:rsidRPr="00CF31E0" w:rsidRDefault="00A21FE4" w:rsidP="000F1FA7">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.911</w:t>
            </w:r>
          </w:p>
        </w:tc>
      </w:tr>
      <w:tr w:rsidR="00A21FE4" w:rsidRPr="00CF31E0" w14:paraId="25CCE51B" w14:textId="77777777" w:rsidTr="00A21FE4">
        <w:trPr>
          <w:trHeight w:val="567"/>
        </w:trPr>
        <w:tc>
          <w:tcPr>
            <w:tcW w:w="2235" w:type="dxa"/>
            <w:tcBorders>
              <w:bottom w:val="single" w:sz="8" w:space="0" w:color="auto"/>
            </w:tcBorders>
            <w:shd w:val="clear" w:color="auto" w:fill="auto"/>
            <w:vAlign w:val="bottom"/>
          </w:tcPr>
          <w:p w14:paraId="651A0870" w14:textId="77777777" w:rsidR="00A21FE4" w:rsidRPr="00CF31E0" w:rsidRDefault="00A21FE4" w:rsidP="000F1FA7">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32C2952B" w14:textId="77777777" w:rsidR="00A21FE4" w:rsidRPr="00CF31E0" w:rsidRDefault="00A21FE4" w:rsidP="000F1FA7">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79A0B857" w14:textId="77777777" w:rsidR="00A21FE4" w:rsidRPr="00CF31E0" w:rsidRDefault="00A21FE4" w:rsidP="000F1FA7">
            <w:pPr>
              <w:spacing w:after="200" w:line="276" w:lineRule="auto"/>
              <w:rPr>
                <w:rFonts w:eastAsia="Calibri"/>
                <w:color w:val="000000" w:themeColor="text1"/>
                <w:sz w:val="22"/>
                <w:szCs w:val="22"/>
                <w:lang w:eastAsia="en-US"/>
              </w:rPr>
            </w:pPr>
          </w:p>
        </w:tc>
      </w:tr>
    </w:tbl>
    <w:p w14:paraId="25A68F09" w14:textId="77777777" w:rsidR="000F1FA7" w:rsidRPr="00CF31E0" w:rsidRDefault="000F1FA7" w:rsidP="00DF1804">
      <w:pPr>
        <w:rPr>
          <w:color w:val="000000" w:themeColor="text1"/>
          <w:lang w:val="en-US" w:eastAsia="en-US"/>
        </w:rPr>
      </w:pPr>
    </w:p>
    <w:p w14:paraId="0252FE00" w14:textId="77777777" w:rsidR="0038312A" w:rsidRPr="00CF31E0" w:rsidRDefault="0038312A" w:rsidP="00DF1804">
      <w:pPr>
        <w:rPr>
          <w:color w:val="000000" w:themeColor="text1"/>
          <w:lang w:val="en-US"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0D8BF5C5" w14:textId="77777777" w:rsidTr="00A21FE4">
        <w:trPr>
          <w:trHeight w:val="567"/>
        </w:trPr>
        <w:tc>
          <w:tcPr>
            <w:tcW w:w="2235" w:type="dxa"/>
            <w:tcBorders>
              <w:top w:val="single" w:sz="8" w:space="0" w:color="auto"/>
              <w:bottom w:val="single" w:sz="8" w:space="0" w:color="auto"/>
            </w:tcBorders>
            <w:shd w:val="clear" w:color="auto" w:fill="auto"/>
            <w:hideMark/>
          </w:tcPr>
          <w:p w14:paraId="5EE10A31" w14:textId="77777777" w:rsidR="00A21FE4" w:rsidRPr="00CF31E0" w:rsidRDefault="00A21FE4" w:rsidP="008033A2">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Places lived</w:t>
            </w:r>
          </w:p>
        </w:tc>
        <w:tc>
          <w:tcPr>
            <w:tcW w:w="1134" w:type="dxa"/>
            <w:tcBorders>
              <w:top w:val="single" w:sz="8" w:space="0" w:color="auto"/>
              <w:bottom w:val="single" w:sz="8" w:space="0" w:color="auto"/>
            </w:tcBorders>
            <w:shd w:val="clear" w:color="auto" w:fill="auto"/>
            <w:hideMark/>
          </w:tcPr>
          <w:p w14:paraId="7A50E851" w14:textId="77777777" w:rsidR="00A21FE4" w:rsidRPr="00CF31E0" w:rsidRDefault="00A21FE4" w:rsidP="008033A2">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0AD0F677" w14:textId="77777777" w:rsidR="00A21FE4" w:rsidRPr="00CF31E0" w:rsidRDefault="00A21FE4" w:rsidP="008033A2">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419E0A44" w14:textId="77777777" w:rsidTr="00A21FE4">
        <w:trPr>
          <w:trHeight w:val="567"/>
        </w:trPr>
        <w:tc>
          <w:tcPr>
            <w:tcW w:w="2235" w:type="dxa"/>
            <w:tcBorders>
              <w:top w:val="single" w:sz="8" w:space="0" w:color="auto"/>
            </w:tcBorders>
            <w:shd w:val="clear" w:color="auto" w:fill="auto"/>
            <w:vAlign w:val="bottom"/>
          </w:tcPr>
          <w:p w14:paraId="4D60456E" w14:textId="77777777" w:rsidR="00A21FE4" w:rsidRPr="00CF31E0" w:rsidRDefault="00A21FE4" w:rsidP="008033A2">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01547604" w14:textId="77777777" w:rsidR="00A21FE4" w:rsidRPr="00CF31E0" w:rsidRDefault="00A21FE4" w:rsidP="008033A2">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.171</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56C794A3" w14:textId="77777777" w:rsidR="00A21FE4" w:rsidRPr="00CF31E0" w:rsidRDefault="00A21FE4" w:rsidP="008033A2">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.679</w:t>
            </w:r>
          </w:p>
        </w:tc>
      </w:tr>
      <w:tr w:rsidR="00A21FE4" w:rsidRPr="00CF31E0" w14:paraId="496D2622" w14:textId="77777777" w:rsidTr="00A21FE4">
        <w:trPr>
          <w:trHeight w:val="567"/>
        </w:trPr>
        <w:tc>
          <w:tcPr>
            <w:tcW w:w="2235" w:type="dxa"/>
            <w:shd w:val="clear" w:color="auto" w:fill="auto"/>
            <w:vAlign w:val="bottom"/>
          </w:tcPr>
          <w:p w14:paraId="66FCBB27" w14:textId="41D29129" w:rsidR="00A21FE4" w:rsidRPr="00CF31E0" w:rsidRDefault="00A21FE4" w:rsidP="008033A2">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Continuity Correction</w:t>
            </w:r>
            <w:r w:rsidRPr="00CF31E0">
              <w:rPr>
                <w:rFonts w:eastAsia="Calibri"/>
                <w:color w:val="000000" w:themeColor="text1"/>
                <w:sz w:val="22"/>
                <w:szCs w:val="22"/>
                <w:vertAlign w:val="superscript"/>
                <w:lang w:eastAsia="en-US"/>
              </w:rPr>
              <w:t>b</w:t>
            </w:r>
          </w:p>
        </w:tc>
        <w:tc>
          <w:tcPr>
            <w:tcW w:w="1134" w:type="dxa"/>
            <w:shd w:val="clear" w:color="auto" w:fill="auto"/>
            <w:vAlign w:val="bottom"/>
          </w:tcPr>
          <w:p w14:paraId="08A4A8F4" w14:textId="77777777" w:rsidR="00A21FE4" w:rsidRPr="00CF31E0" w:rsidRDefault="00A21FE4" w:rsidP="008033A2">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.000</w:t>
            </w:r>
          </w:p>
        </w:tc>
        <w:tc>
          <w:tcPr>
            <w:tcW w:w="3260" w:type="dxa"/>
            <w:shd w:val="clear" w:color="auto" w:fill="auto"/>
            <w:vAlign w:val="bottom"/>
          </w:tcPr>
          <w:p w14:paraId="7D9B49DA" w14:textId="77777777" w:rsidR="00A21FE4" w:rsidRPr="00CF31E0" w:rsidRDefault="00A21FE4" w:rsidP="008033A2">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1.000</w:t>
            </w:r>
          </w:p>
        </w:tc>
      </w:tr>
      <w:tr w:rsidR="00A21FE4" w:rsidRPr="00CF31E0" w14:paraId="1396DD41" w14:textId="77777777" w:rsidTr="00A21FE4">
        <w:trPr>
          <w:trHeight w:val="567"/>
        </w:trPr>
        <w:tc>
          <w:tcPr>
            <w:tcW w:w="2235" w:type="dxa"/>
            <w:tcBorders>
              <w:bottom w:val="single" w:sz="8" w:space="0" w:color="auto"/>
            </w:tcBorders>
            <w:shd w:val="clear" w:color="auto" w:fill="auto"/>
            <w:vAlign w:val="bottom"/>
          </w:tcPr>
          <w:p w14:paraId="7B5CBC71" w14:textId="77777777" w:rsidR="00A21FE4" w:rsidRPr="00CF31E0" w:rsidRDefault="00A21FE4" w:rsidP="008033A2">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2FB62FF1" w14:textId="77777777" w:rsidR="00A21FE4" w:rsidRPr="00CF31E0" w:rsidRDefault="00A21FE4" w:rsidP="008033A2">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449E9A6B" w14:textId="77777777" w:rsidR="00A21FE4" w:rsidRPr="00CF31E0" w:rsidRDefault="00A21FE4" w:rsidP="008033A2">
            <w:pPr>
              <w:spacing w:after="200" w:line="276" w:lineRule="auto"/>
              <w:rPr>
                <w:rFonts w:eastAsia="Calibri"/>
                <w:color w:val="000000" w:themeColor="text1"/>
                <w:sz w:val="22"/>
                <w:szCs w:val="22"/>
                <w:lang w:eastAsia="en-US"/>
              </w:rPr>
            </w:pPr>
          </w:p>
        </w:tc>
      </w:tr>
    </w:tbl>
    <w:p w14:paraId="04E67C47" w14:textId="77777777" w:rsidR="000F1FA7" w:rsidRPr="00CF31E0" w:rsidRDefault="000F1FA7" w:rsidP="00DF1804">
      <w:pPr>
        <w:rPr>
          <w:color w:val="000000" w:themeColor="text1"/>
          <w:lang w:val="en-US" w:eastAsia="en-US"/>
        </w:rPr>
      </w:pPr>
    </w:p>
    <w:p w14:paraId="3C90FA76" w14:textId="77777777" w:rsidR="008033A2" w:rsidRPr="00CF31E0" w:rsidRDefault="008033A2" w:rsidP="00DF1804">
      <w:pPr>
        <w:rPr>
          <w:color w:val="000000" w:themeColor="text1"/>
          <w:lang w:val="en-US"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1BBB7CED" w14:textId="77777777" w:rsidTr="00A21FE4">
        <w:trPr>
          <w:trHeight w:val="567"/>
        </w:trPr>
        <w:tc>
          <w:tcPr>
            <w:tcW w:w="2235" w:type="dxa"/>
            <w:tcBorders>
              <w:top w:val="single" w:sz="8" w:space="0" w:color="auto"/>
              <w:bottom w:val="single" w:sz="8" w:space="0" w:color="auto"/>
            </w:tcBorders>
            <w:shd w:val="clear" w:color="auto" w:fill="auto"/>
            <w:hideMark/>
          </w:tcPr>
          <w:p w14:paraId="09B5B5EB" w14:textId="77777777" w:rsidR="00A21FE4" w:rsidRPr="00CF31E0" w:rsidRDefault="00A21FE4" w:rsidP="008033A2">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Marital status</w:t>
            </w:r>
          </w:p>
        </w:tc>
        <w:tc>
          <w:tcPr>
            <w:tcW w:w="1134" w:type="dxa"/>
            <w:tcBorders>
              <w:top w:val="single" w:sz="8" w:space="0" w:color="auto"/>
              <w:bottom w:val="single" w:sz="8" w:space="0" w:color="auto"/>
            </w:tcBorders>
            <w:shd w:val="clear" w:color="auto" w:fill="auto"/>
            <w:hideMark/>
          </w:tcPr>
          <w:p w14:paraId="1B10B6F0" w14:textId="77777777" w:rsidR="00A21FE4" w:rsidRPr="00CF31E0" w:rsidRDefault="00A21FE4" w:rsidP="008033A2">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1966E713" w14:textId="77777777" w:rsidR="00A21FE4" w:rsidRPr="00CF31E0" w:rsidRDefault="00A21FE4" w:rsidP="008033A2">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6B84852D" w14:textId="77777777" w:rsidTr="00A21FE4">
        <w:trPr>
          <w:trHeight w:val="567"/>
        </w:trPr>
        <w:tc>
          <w:tcPr>
            <w:tcW w:w="2235" w:type="dxa"/>
            <w:tcBorders>
              <w:top w:val="single" w:sz="8" w:space="0" w:color="auto"/>
            </w:tcBorders>
            <w:shd w:val="clear" w:color="auto" w:fill="auto"/>
            <w:vAlign w:val="bottom"/>
          </w:tcPr>
          <w:p w14:paraId="02B44C58" w14:textId="77777777" w:rsidR="00A21FE4" w:rsidRPr="00CF31E0" w:rsidRDefault="00A21FE4" w:rsidP="008033A2">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59E180F1" w14:textId="77777777" w:rsidR="00A21FE4" w:rsidRPr="00CF31E0" w:rsidRDefault="00A21FE4" w:rsidP="008033A2">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.297</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50872432" w14:textId="77777777" w:rsidR="00A21FE4" w:rsidRPr="00CF31E0" w:rsidRDefault="00A21FE4" w:rsidP="008033A2">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.862</w:t>
            </w:r>
          </w:p>
        </w:tc>
      </w:tr>
      <w:tr w:rsidR="00A21FE4" w:rsidRPr="00CF31E0" w14:paraId="562A7E7E" w14:textId="77777777" w:rsidTr="00A21FE4">
        <w:trPr>
          <w:trHeight w:val="567"/>
        </w:trPr>
        <w:tc>
          <w:tcPr>
            <w:tcW w:w="2235" w:type="dxa"/>
            <w:tcBorders>
              <w:bottom w:val="single" w:sz="8" w:space="0" w:color="auto"/>
            </w:tcBorders>
            <w:shd w:val="clear" w:color="auto" w:fill="auto"/>
            <w:vAlign w:val="bottom"/>
          </w:tcPr>
          <w:p w14:paraId="55F60895" w14:textId="77777777" w:rsidR="00A21FE4" w:rsidRPr="00CF31E0" w:rsidRDefault="00A21FE4" w:rsidP="008033A2">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lastRenderedPageBreak/>
              <w:t>N of Valid Cases</w:t>
            </w:r>
          </w:p>
        </w:tc>
        <w:tc>
          <w:tcPr>
            <w:tcW w:w="1134" w:type="dxa"/>
            <w:tcBorders>
              <w:bottom w:val="single" w:sz="8" w:space="0" w:color="auto"/>
            </w:tcBorders>
            <w:shd w:val="clear" w:color="auto" w:fill="auto"/>
            <w:vAlign w:val="bottom"/>
          </w:tcPr>
          <w:p w14:paraId="5AB411EC" w14:textId="77777777" w:rsidR="00A21FE4" w:rsidRPr="00CF31E0" w:rsidRDefault="00A21FE4" w:rsidP="008033A2">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7A9F8E7E" w14:textId="77777777" w:rsidR="00A21FE4" w:rsidRPr="00CF31E0" w:rsidRDefault="00A21FE4" w:rsidP="008033A2">
            <w:pPr>
              <w:spacing w:after="200" w:line="276" w:lineRule="auto"/>
              <w:rPr>
                <w:rFonts w:eastAsia="Calibri"/>
                <w:color w:val="000000" w:themeColor="text1"/>
                <w:sz w:val="22"/>
                <w:szCs w:val="22"/>
                <w:lang w:eastAsia="en-US"/>
              </w:rPr>
            </w:pPr>
          </w:p>
        </w:tc>
      </w:tr>
    </w:tbl>
    <w:p w14:paraId="49661771" w14:textId="77777777" w:rsidR="008033A2" w:rsidRPr="00CF31E0" w:rsidRDefault="008033A2" w:rsidP="00DF1804">
      <w:pPr>
        <w:rPr>
          <w:color w:val="000000" w:themeColor="text1"/>
          <w:lang w:eastAsia="en-US"/>
        </w:rPr>
      </w:pPr>
    </w:p>
    <w:p w14:paraId="3728BA44" w14:textId="77777777" w:rsidR="008033A2" w:rsidRPr="00CF31E0" w:rsidRDefault="008033A2"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1821C545" w14:textId="77777777" w:rsidTr="00A21FE4">
        <w:trPr>
          <w:trHeight w:val="567"/>
        </w:trPr>
        <w:tc>
          <w:tcPr>
            <w:tcW w:w="2235" w:type="dxa"/>
            <w:tcBorders>
              <w:top w:val="single" w:sz="8" w:space="0" w:color="auto"/>
              <w:bottom w:val="single" w:sz="8" w:space="0" w:color="auto"/>
            </w:tcBorders>
            <w:shd w:val="clear" w:color="auto" w:fill="auto"/>
            <w:hideMark/>
          </w:tcPr>
          <w:p w14:paraId="41604EAC" w14:textId="77777777" w:rsidR="00A21FE4" w:rsidRPr="00CF31E0" w:rsidRDefault="00A21FE4" w:rsidP="00DF180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Social group</w:t>
            </w:r>
          </w:p>
        </w:tc>
        <w:tc>
          <w:tcPr>
            <w:tcW w:w="1134" w:type="dxa"/>
            <w:tcBorders>
              <w:top w:val="single" w:sz="8" w:space="0" w:color="auto"/>
              <w:bottom w:val="single" w:sz="8" w:space="0" w:color="auto"/>
            </w:tcBorders>
            <w:shd w:val="clear" w:color="auto" w:fill="auto"/>
            <w:hideMark/>
          </w:tcPr>
          <w:p w14:paraId="26B6FCFE" w14:textId="77777777" w:rsidR="00A21FE4" w:rsidRPr="00CF31E0" w:rsidRDefault="00A21FE4" w:rsidP="00DF180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0CBF0B50" w14:textId="77777777" w:rsidR="00A21FE4" w:rsidRPr="00CF31E0" w:rsidRDefault="00A21FE4" w:rsidP="00DF180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4F189AA2" w14:textId="77777777" w:rsidTr="00A21FE4">
        <w:trPr>
          <w:trHeight w:val="567"/>
        </w:trPr>
        <w:tc>
          <w:tcPr>
            <w:tcW w:w="2235" w:type="dxa"/>
            <w:tcBorders>
              <w:top w:val="single" w:sz="8" w:space="0" w:color="auto"/>
            </w:tcBorders>
            <w:shd w:val="clear" w:color="auto" w:fill="auto"/>
            <w:vAlign w:val="bottom"/>
          </w:tcPr>
          <w:p w14:paraId="6299AD4C" w14:textId="77777777" w:rsidR="00A21FE4" w:rsidRPr="00CF31E0" w:rsidRDefault="00A21FE4" w:rsidP="00DF180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3C9A3685" w14:textId="77777777" w:rsidR="00A21FE4" w:rsidRPr="00CF31E0" w:rsidRDefault="00A21FE4"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1.376</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09E91D60" w14:textId="77777777" w:rsidR="00A21FE4" w:rsidRPr="00CF31E0" w:rsidRDefault="00A21FE4" w:rsidP="00DF180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.241</w:t>
            </w:r>
          </w:p>
        </w:tc>
      </w:tr>
      <w:tr w:rsidR="00A21FE4" w:rsidRPr="00CF31E0" w14:paraId="13471366" w14:textId="77777777" w:rsidTr="00A21FE4">
        <w:trPr>
          <w:trHeight w:val="567"/>
        </w:trPr>
        <w:tc>
          <w:tcPr>
            <w:tcW w:w="2235" w:type="dxa"/>
            <w:shd w:val="clear" w:color="auto" w:fill="auto"/>
            <w:vAlign w:val="bottom"/>
          </w:tcPr>
          <w:p w14:paraId="7DF11081" w14:textId="77777777" w:rsidR="00A21FE4" w:rsidRPr="00CF31E0" w:rsidRDefault="00A21FE4" w:rsidP="00DF180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Continuity Correction</w:t>
            </w:r>
            <w:r w:rsidRPr="00CF31E0">
              <w:rPr>
                <w:rFonts w:eastAsia="Calibri"/>
                <w:color w:val="000000" w:themeColor="text1"/>
                <w:sz w:val="22"/>
                <w:szCs w:val="22"/>
                <w:vertAlign w:val="superscript"/>
                <w:lang w:val="en-US" w:eastAsia="en-US"/>
              </w:rPr>
              <w:t>b</w:t>
            </w:r>
          </w:p>
        </w:tc>
        <w:tc>
          <w:tcPr>
            <w:tcW w:w="1134" w:type="dxa"/>
            <w:shd w:val="clear" w:color="auto" w:fill="auto"/>
            <w:vAlign w:val="bottom"/>
          </w:tcPr>
          <w:p w14:paraId="241329B7" w14:textId="77777777" w:rsidR="00A21FE4" w:rsidRPr="00CF31E0" w:rsidRDefault="00A21FE4"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1.118</w:t>
            </w:r>
          </w:p>
        </w:tc>
        <w:tc>
          <w:tcPr>
            <w:tcW w:w="3260" w:type="dxa"/>
            <w:shd w:val="clear" w:color="auto" w:fill="auto"/>
            <w:vAlign w:val="bottom"/>
          </w:tcPr>
          <w:p w14:paraId="7CF9B94F" w14:textId="77777777" w:rsidR="00A21FE4" w:rsidRPr="00CF31E0" w:rsidRDefault="00A21FE4" w:rsidP="00DF180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.290</w:t>
            </w:r>
          </w:p>
        </w:tc>
      </w:tr>
      <w:tr w:rsidR="00A21FE4" w:rsidRPr="00CF31E0" w14:paraId="6F7497DF" w14:textId="77777777" w:rsidTr="00A21FE4">
        <w:trPr>
          <w:trHeight w:val="567"/>
        </w:trPr>
        <w:tc>
          <w:tcPr>
            <w:tcW w:w="2235" w:type="dxa"/>
            <w:tcBorders>
              <w:bottom w:val="single" w:sz="8" w:space="0" w:color="auto"/>
            </w:tcBorders>
            <w:shd w:val="clear" w:color="auto" w:fill="auto"/>
            <w:vAlign w:val="bottom"/>
          </w:tcPr>
          <w:p w14:paraId="28BFE1BC" w14:textId="77777777" w:rsidR="00A21FE4" w:rsidRPr="00CF31E0" w:rsidRDefault="00A21FE4"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6443AD2E" w14:textId="77777777" w:rsidR="00A21FE4" w:rsidRPr="00CF31E0" w:rsidRDefault="00A21FE4" w:rsidP="00DF18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259F6864" w14:textId="77777777" w:rsidR="00A21FE4" w:rsidRPr="00CF31E0" w:rsidRDefault="00A21FE4" w:rsidP="00DF1804">
            <w:pPr>
              <w:spacing w:after="200" w:line="276" w:lineRule="auto"/>
              <w:rPr>
                <w:rFonts w:eastAsia="Calibri"/>
                <w:color w:val="000000" w:themeColor="text1"/>
                <w:sz w:val="22"/>
                <w:szCs w:val="22"/>
                <w:lang w:eastAsia="en-US"/>
              </w:rPr>
            </w:pPr>
          </w:p>
        </w:tc>
      </w:tr>
    </w:tbl>
    <w:p w14:paraId="41A248CD" w14:textId="77777777" w:rsidR="008033A2" w:rsidRPr="00CF31E0" w:rsidRDefault="008033A2" w:rsidP="00DF1804">
      <w:pPr>
        <w:rPr>
          <w:color w:val="000000" w:themeColor="text1"/>
          <w:lang w:eastAsia="en-US"/>
        </w:rPr>
      </w:pPr>
    </w:p>
    <w:p w14:paraId="3EF21FE2" w14:textId="77777777" w:rsidR="00DF1804" w:rsidRPr="00CF31E0" w:rsidRDefault="00DF1804"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32C95A91" w14:textId="77777777" w:rsidTr="00A21FE4">
        <w:trPr>
          <w:trHeight w:val="567"/>
        </w:trPr>
        <w:tc>
          <w:tcPr>
            <w:tcW w:w="2235" w:type="dxa"/>
            <w:tcBorders>
              <w:top w:val="single" w:sz="8" w:space="0" w:color="auto"/>
              <w:bottom w:val="single" w:sz="8" w:space="0" w:color="auto"/>
            </w:tcBorders>
            <w:shd w:val="clear" w:color="auto" w:fill="auto"/>
            <w:hideMark/>
          </w:tcPr>
          <w:p w14:paraId="221D8A6B" w14:textId="77777777" w:rsidR="00A21FE4" w:rsidRPr="00CF31E0" w:rsidRDefault="00A21FE4" w:rsidP="009A6D96">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Mother’s social group</w:t>
            </w:r>
          </w:p>
        </w:tc>
        <w:tc>
          <w:tcPr>
            <w:tcW w:w="1134" w:type="dxa"/>
            <w:tcBorders>
              <w:top w:val="single" w:sz="8" w:space="0" w:color="auto"/>
              <w:bottom w:val="single" w:sz="8" w:space="0" w:color="auto"/>
            </w:tcBorders>
            <w:shd w:val="clear" w:color="auto" w:fill="auto"/>
            <w:hideMark/>
          </w:tcPr>
          <w:p w14:paraId="6253E9E2" w14:textId="77777777" w:rsidR="00A21FE4" w:rsidRPr="00CF31E0" w:rsidRDefault="00A21FE4" w:rsidP="009A6D96">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6C9888EA" w14:textId="77777777" w:rsidR="00A21FE4" w:rsidRPr="00CF31E0" w:rsidRDefault="00A21FE4" w:rsidP="009A6D96">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4437EF43" w14:textId="77777777" w:rsidTr="00A21FE4">
        <w:trPr>
          <w:trHeight w:val="567"/>
        </w:trPr>
        <w:tc>
          <w:tcPr>
            <w:tcW w:w="2235" w:type="dxa"/>
            <w:tcBorders>
              <w:top w:val="single" w:sz="8" w:space="0" w:color="auto"/>
            </w:tcBorders>
            <w:shd w:val="clear" w:color="auto" w:fill="auto"/>
            <w:vAlign w:val="bottom"/>
          </w:tcPr>
          <w:p w14:paraId="71A4332E" w14:textId="77777777" w:rsidR="00A21FE4" w:rsidRPr="00CF31E0" w:rsidRDefault="00A21FE4" w:rsidP="009A6D96">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434C68FE" w14:textId="77777777" w:rsidR="00A21FE4" w:rsidRPr="00CF31E0" w:rsidRDefault="00A21FE4" w:rsidP="009A6D96">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1.367</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615CE7DD" w14:textId="77777777" w:rsidR="00A21FE4" w:rsidRPr="00CF31E0" w:rsidRDefault="00A21FE4" w:rsidP="009A6D96">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.505</w:t>
            </w:r>
          </w:p>
        </w:tc>
      </w:tr>
      <w:tr w:rsidR="00A21FE4" w:rsidRPr="00CF31E0" w14:paraId="605B1079" w14:textId="77777777" w:rsidTr="00A21FE4">
        <w:trPr>
          <w:trHeight w:val="567"/>
        </w:trPr>
        <w:tc>
          <w:tcPr>
            <w:tcW w:w="2235" w:type="dxa"/>
            <w:tcBorders>
              <w:bottom w:val="single" w:sz="8" w:space="0" w:color="auto"/>
            </w:tcBorders>
            <w:shd w:val="clear" w:color="auto" w:fill="auto"/>
            <w:vAlign w:val="bottom"/>
          </w:tcPr>
          <w:p w14:paraId="30E2BF59" w14:textId="77777777" w:rsidR="00A21FE4" w:rsidRPr="00CF31E0" w:rsidRDefault="00A21FE4" w:rsidP="009A6D96">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05D3834A" w14:textId="77777777" w:rsidR="00A21FE4" w:rsidRPr="00CF31E0" w:rsidRDefault="00A21FE4" w:rsidP="009A6D96">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741EE599" w14:textId="77777777" w:rsidR="00A21FE4" w:rsidRPr="00CF31E0" w:rsidRDefault="00A21FE4" w:rsidP="009A6D96">
            <w:pPr>
              <w:spacing w:after="200" w:line="276" w:lineRule="auto"/>
              <w:rPr>
                <w:rFonts w:eastAsia="Calibri"/>
                <w:color w:val="000000" w:themeColor="text1"/>
                <w:sz w:val="22"/>
                <w:szCs w:val="22"/>
                <w:lang w:eastAsia="en-US"/>
              </w:rPr>
            </w:pPr>
          </w:p>
        </w:tc>
      </w:tr>
    </w:tbl>
    <w:p w14:paraId="26538B72" w14:textId="77777777" w:rsidR="00DF1804" w:rsidRPr="00CF31E0" w:rsidRDefault="00DF1804" w:rsidP="00DF1804">
      <w:pPr>
        <w:rPr>
          <w:color w:val="000000" w:themeColor="text1"/>
          <w:lang w:eastAsia="en-US"/>
        </w:rPr>
      </w:pPr>
    </w:p>
    <w:p w14:paraId="264BE965" w14:textId="77777777" w:rsidR="009A6D96" w:rsidRPr="00CF31E0" w:rsidRDefault="009A6D96"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345570D0" w14:textId="77777777" w:rsidTr="00A21FE4">
        <w:trPr>
          <w:trHeight w:val="567"/>
        </w:trPr>
        <w:tc>
          <w:tcPr>
            <w:tcW w:w="2235" w:type="dxa"/>
            <w:tcBorders>
              <w:top w:val="single" w:sz="8" w:space="0" w:color="auto"/>
              <w:bottom w:val="single" w:sz="8" w:space="0" w:color="auto"/>
            </w:tcBorders>
            <w:shd w:val="clear" w:color="auto" w:fill="auto"/>
            <w:hideMark/>
          </w:tcPr>
          <w:p w14:paraId="03AABDED" w14:textId="77777777" w:rsidR="00A21FE4" w:rsidRPr="00CF31E0" w:rsidRDefault="00A21FE4" w:rsidP="009A6D96">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Spouse’s social group</w:t>
            </w:r>
          </w:p>
        </w:tc>
        <w:tc>
          <w:tcPr>
            <w:tcW w:w="1134" w:type="dxa"/>
            <w:tcBorders>
              <w:top w:val="single" w:sz="8" w:space="0" w:color="auto"/>
              <w:bottom w:val="single" w:sz="8" w:space="0" w:color="auto"/>
            </w:tcBorders>
            <w:shd w:val="clear" w:color="auto" w:fill="auto"/>
            <w:hideMark/>
          </w:tcPr>
          <w:p w14:paraId="4844E465" w14:textId="77777777" w:rsidR="00A21FE4" w:rsidRPr="00CF31E0" w:rsidRDefault="00A21FE4" w:rsidP="009A6D96">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52697FB7" w14:textId="77777777" w:rsidR="00A21FE4" w:rsidRPr="00CF31E0" w:rsidRDefault="00A21FE4" w:rsidP="009A6D96">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3974D090" w14:textId="77777777" w:rsidTr="00A21FE4">
        <w:trPr>
          <w:trHeight w:val="567"/>
        </w:trPr>
        <w:tc>
          <w:tcPr>
            <w:tcW w:w="2235" w:type="dxa"/>
            <w:tcBorders>
              <w:top w:val="single" w:sz="8" w:space="0" w:color="auto"/>
            </w:tcBorders>
            <w:shd w:val="clear" w:color="auto" w:fill="auto"/>
            <w:vAlign w:val="bottom"/>
          </w:tcPr>
          <w:p w14:paraId="4CD5B387" w14:textId="77777777" w:rsidR="00A21FE4" w:rsidRPr="00CF31E0" w:rsidRDefault="00A21FE4" w:rsidP="009A6D96">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3D552553" w14:textId="77777777" w:rsidR="00A21FE4" w:rsidRPr="00CF31E0" w:rsidRDefault="00A21FE4" w:rsidP="009A6D96">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1.396</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5183698B" w14:textId="77777777" w:rsidR="00A21FE4" w:rsidRPr="00CF31E0" w:rsidRDefault="00A21FE4" w:rsidP="009A6D96">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.498</w:t>
            </w:r>
          </w:p>
        </w:tc>
      </w:tr>
      <w:tr w:rsidR="00A21FE4" w:rsidRPr="00CF31E0" w14:paraId="5D631815" w14:textId="77777777" w:rsidTr="00A21FE4">
        <w:trPr>
          <w:trHeight w:val="567"/>
        </w:trPr>
        <w:tc>
          <w:tcPr>
            <w:tcW w:w="2235" w:type="dxa"/>
            <w:tcBorders>
              <w:bottom w:val="single" w:sz="8" w:space="0" w:color="auto"/>
            </w:tcBorders>
            <w:shd w:val="clear" w:color="auto" w:fill="auto"/>
            <w:vAlign w:val="bottom"/>
          </w:tcPr>
          <w:p w14:paraId="517200B3" w14:textId="77777777" w:rsidR="00A21FE4" w:rsidRPr="00CF31E0" w:rsidRDefault="00A21FE4" w:rsidP="009A6D96">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1D91AB72" w14:textId="77777777" w:rsidR="00A21FE4" w:rsidRPr="00CF31E0" w:rsidRDefault="00A21FE4" w:rsidP="009A6D96">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3A3D5142" w14:textId="77777777" w:rsidR="00A21FE4" w:rsidRPr="00CF31E0" w:rsidRDefault="00A21FE4" w:rsidP="009A6D96">
            <w:pPr>
              <w:spacing w:after="200" w:line="276" w:lineRule="auto"/>
              <w:rPr>
                <w:rFonts w:eastAsia="Calibri"/>
                <w:color w:val="000000" w:themeColor="text1"/>
                <w:sz w:val="22"/>
                <w:szCs w:val="22"/>
                <w:lang w:eastAsia="en-US"/>
              </w:rPr>
            </w:pPr>
          </w:p>
        </w:tc>
      </w:tr>
    </w:tbl>
    <w:p w14:paraId="7B56EBAA" w14:textId="77777777" w:rsidR="009A6D96" w:rsidRPr="00CF31E0" w:rsidRDefault="009A6D96" w:rsidP="00DF1804">
      <w:pPr>
        <w:rPr>
          <w:color w:val="000000" w:themeColor="text1"/>
          <w:lang w:eastAsia="en-US"/>
        </w:rPr>
      </w:pPr>
    </w:p>
    <w:p w14:paraId="251C33E9" w14:textId="77777777" w:rsidR="00C73201" w:rsidRPr="00CF31E0" w:rsidRDefault="00C73201"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2F5F02C5" w14:textId="77777777" w:rsidTr="00A21FE4">
        <w:trPr>
          <w:trHeight w:val="567"/>
        </w:trPr>
        <w:tc>
          <w:tcPr>
            <w:tcW w:w="2235" w:type="dxa"/>
            <w:tcBorders>
              <w:top w:val="single" w:sz="8" w:space="0" w:color="auto"/>
              <w:bottom w:val="single" w:sz="8" w:space="0" w:color="auto"/>
            </w:tcBorders>
            <w:shd w:val="clear" w:color="auto" w:fill="auto"/>
            <w:hideMark/>
          </w:tcPr>
          <w:p w14:paraId="457AD37D" w14:textId="77777777" w:rsidR="00A21FE4" w:rsidRPr="00CF31E0" w:rsidRDefault="00A21FE4" w:rsidP="009A6D96">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Education</w:t>
            </w:r>
          </w:p>
        </w:tc>
        <w:tc>
          <w:tcPr>
            <w:tcW w:w="1134" w:type="dxa"/>
            <w:tcBorders>
              <w:top w:val="single" w:sz="8" w:space="0" w:color="auto"/>
              <w:bottom w:val="single" w:sz="8" w:space="0" w:color="auto"/>
            </w:tcBorders>
            <w:shd w:val="clear" w:color="auto" w:fill="auto"/>
            <w:hideMark/>
          </w:tcPr>
          <w:p w14:paraId="14103A01" w14:textId="77777777" w:rsidR="00A21FE4" w:rsidRPr="00CF31E0" w:rsidRDefault="00A21FE4" w:rsidP="009A6D96">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5A8EB267" w14:textId="77777777" w:rsidR="00A21FE4" w:rsidRPr="00CF31E0" w:rsidRDefault="00A21FE4" w:rsidP="009A6D96">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1673BABE" w14:textId="77777777" w:rsidTr="00A21FE4">
        <w:trPr>
          <w:trHeight w:val="567"/>
        </w:trPr>
        <w:tc>
          <w:tcPr>
            <w:tcW w:w="2235" w:type="dxa"/>
            <w:tcBorders>
              <w:top w:val="single" w:sz="8" w:space="0" w:color="auto"/>
            </w:tcBorders>
            <w:shd w:val="clear" w:color="auto" w:fill="auto"/>
            <w:vAlign w:val="bottom"/>
          </w:tcPr>
          <w:p w14:paraId="6AFA01E0" w14:textId="77777777" w:rsidR="00A21FE4" w:rsidRPr="00CF31E0" w:rsidRDefault="00A21FE4" w:rsidP="009A6D96">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1426E510" w14:textId="7E63C703" w:rsidR="00A21FE4" w:rsidRPr="00CF31E0" w:rsidRDefault="00A21FE4" w:rsidP="009A6D96">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.221</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16069AF7" w14:textId="77777777" w:rsidR="00A21FE4" w:rsidRPr="00CF31E0" w:rsidRDefault="00A21FE4" w:rsidP="009A6D96">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.895</w:t>
            </w:r>
          </w:p>
        </w:tc>
      </w:tr>
      <w:tr w:rsidR="00A21FE4" w:rsidRPr="00CF31E0" w14:paraId="297AF8F1" w14:textId="77777777" w:rsidTr="00A21FE4">
        <w:trPr>
          <w:trHeight w:val="567"/>
        </w:trPr>
        <w:tc>
          <w:tcPr>
            <w:tcW w:w="2235" w:type="dxa"/>
            <w:tcBorders>
              <w:bottom w:val="single" w:sz="8" w:space="0" w:color="auto"/>
            </w:tcBorders>
            <w:shd w:val="clear" w:color="auto" w:fill="auto"/>
            <w:vAlign w:val="bottom"/>
          </w:tcPr>
          <w:p w14:paraId="70CFC9A9" w14:textId="77777777" w:rsidR="00A21FE4" w:rsidRPr="00CF31E0" w:rsidRDefault="00A21FE4" w:rsidP="009A6D96">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6E7852E6" w14:textId="77777777" w:rsidR="00A21FE4" w:rsidRPr="00CF31E0" w:rsidRDefault="00A21FE4" w:rsidP="009A6D96">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45FD8242" w14:textId="77777777" w:rsidR="00A21FE4" w:rsidRPr="00CF31E0" w:rsidRDefault="00A21FE4" w:rsidP="009A6D96">
            <w:pPr>
              <w:spacing w:after="200" w:line="276" w:lineRule="auto"/>
              <w:rPr>
                <w:rFonts w:eastAsia="Calibri"/>
                <w:color w:val="000000" w:themeColor="text1"/>
                <w:sz w:val="22"/>
                <w:szCs w:val="22"/>
                <w:lang w:eastAsia="en-US"/>
              </w:rPr>
            </w:pPr>
          </w:p>
        </w:tc>
      </w:tr>
    </w:tbl>
    <w:p w14:paraId="3E5CC0F3" w14:textId="77777777" w:rsidR="009A6D96" w:rsidRPr="00CF31E0" w:rsidRDefault="009A6D96" w:rsidP="00DF1804">
      <w:pPr>
        <w:rPr>
          <w:color w:val="000000" w:themeColor="text1"/>
          <w:lang w:eastAsia="en-US"/>
        </w:rPr>
      </w:pPr>
    </w:p>
    <w:p w14:paraId="1A7240B8" w14:textId="77777777" w:rsidR="009A6D96" w:rsidRPr="00CF31E0" w:rsidRDefault="009A6D96"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4C4A919F" w14:textId="77777777" w:rsidTr="00A21FE4">
        <w:trPr>
          <w:trHeight w:val="567"/>
        </w:trPr>
        <w:tc>
          <w:tcPr>
            <w:tcW w:w="2235" w:type="dxa"/>
            <w:tcBorders>
              <w:top w:val="single" w:sz="8" w:space="0" w:color="auto"/>
              <w:bottom w:val="single" w:sz="8" w:space="0" w:color="auto"/>
            </w:tcBorders>
            <w:shd w:val="clear" w:color="auto" w:fill="auto"/>
            <w:hideMark/>
          </w:tcPr>
          <w:p w14:paraId="29744D9E" w14:textId="77777777" w:rsidR="00A21FE4" w:rsidRPr="00CF31E0" w:rsidRDefault="00A21FE4" w:rsidP="009A6D96">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Age</w:t>
            </w:r>
          </w:p>
        </w:tc>
        <w:tc>
          <w:tcPr>
            <w:tcW w:w="1134" w:type="dxa"/>
            <w:tcBorders>
              <w:top w:val="single" w:sz="8" w:space="0" w:color="auto"/>
              <w:bottom w:val="single" w:sz="8" w:space="0" w:color="auto"/>
            </w:tcBorders>
            <w:shd w:val="clear" w:color="auto" w:fill="auto"/>
            <w:hideMark/>
          </w:tcPr>
          <w:p w14:paraId="6DD27F1C" w14:textId="77777777" w:rsidR="00A21FE4" w:rsidRPr="00CF31E0" w:rsidRDefault="00A21FE4" w:rsidP="009A6D96">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612B117B" w14:textId="77777777" w:rsidR="00A21FE4" w:rsidRPr="00CF31E0" w:rsidRDefault="00A21FE4" w:rsidP="009A6D96">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21792BFA" w14:textId="77777777" w:rsidTr="00A21FE4">
        <w:trPr>
          <w:trHeight w:val="567"/>
        </w:trPr>
        <w:tc>
          <w:tcPr>
            <w:tcW w:w="2235" w:type="dxa"/>
            <w:tcBorders>
              <w:top w:val="single" w:sz="8" w:space="0" w:color="auto"/>
            </w:tcBorders>
            <w:shd w:val="clear" w:color="auto" w:fill="auto"/>
            <w:vAlign w:val="bottom"/>
          </w:tcPr>
          <w:p w14:paraId="63C156DA" w14:textId="77777777" w:rsidR="00A21FE4" w:rsidRPr="00CF31E0" w:rsidRDefault="00A21FE4" w:rsidP="009A6D96">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0B2DDE16" w14:textId="77777777" w:rsidR="00A21FE4" w:rsidRPr="00CF31E0" w:rsidRDefault="00A21FE4" w:rsidP="009A6D96">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3.373</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17C2A679" w14:textId="77777777" w:rsidR="00A21FE4" w:rsidRPr="00CF31E0" w:rsidRDefault="00A21FE4" w:rsidP="009A6D96">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.497</w:t>
            </w:r>
          </w:p>
        </w:tc>
      </w:tr>
      <w:tr w:rsidR="00A21FE4" w:rsidRPr="00CF31E0" w14:paraId="5283121A" w14:textId="77777777" w:rsidTr="00A21FE4">
        <w:trPr>
          <w:trHeight w:val="567"/>
        </w:trPr>
        <w:tc>
          <w:tcPr>
            <w:tcW w:w="2235" w:type="dxa"/>
            <w:tcBorders>
              <w:bottom w:val="single" w:sz="8" w:space="0" w:color="auto"/>
            </w:tcBorders>
            <w:shd w:val="clear" w:color="auto" w:fill="auto"/>
            <w:vAlign w:val="bottom"/>
          </w:tcPr>
          <w:p w14:paraId="4098DC41" w14:textId="3AAD8545" w:rsidR="00A21FE4" w:rsidRPr="00CF31E0" w:rsidRDefault="00A21FE4" w:rsidP="009A6D96">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43467990" w14:textId="1337FA3D" w:rsidR="00A21FE4" w:rsidRPr="00CF31E0" w:rsidRDefault="00A21FE4" w:rsidP="009A6D96">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327BCD63" w14:textId="77777777" w:rsidR="00A21FE4" w:rsidRPr="00CF31E0" w:rsidRDefault="00A21FE4" w:rsidP="009A6D96">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.441</w:t>
            </w:r>
          </w:p>
        </w:tc>
      </w:tr>
    </w:tbl>
    <w:p w14:paraId="564ED77C" w14:textId="77777777" w:rsidR="009A6D96" w:rsidRPr="00CF31E0" w:rsidRDefault="009A6D96" w:rsidP="00DF1804">
      <w:pPr>
        <w:rPr>
          <w:color w:val="000000" w:themeColor="text1"/>
          <w:lang w:eastAsia="en-US"/>
        </w:rPr>
      </w:pPr>
    </w:p>
    <w:p w14:paraId="3FC4C546" w14:textId="77777777" w:rsidR="009A6D96" w:rsidRPr="00CF31E0" w:rsidRDefault="009A6D96" w:rsidP="00DF1804">
      <w:pPr>
        <w:rPr>
          <w:color w:val="000000" w:themeColor="text1"/>
          <w:lang w:eastAsia="en-US"/>
        </w:rPr>
      </w:pPr>
    </w:p>
    <w:p w14:paraId="75045DF3" w14:textId="77777777" w:rsidR="0009795A" w:rsidRPr="00CF31E0" w:rsidRDefault="0009795A" w:rsidP="0009795A">
      <w:pPr>
        <w:keepNext/>
        <w:keepLines/>
        <w:spacing w:line="360" w:lineRule="auto"/>
        <w:ind w:left="680" w:hanging="680"/>
        <w:outlineLvl w:val="1"/>
        <w:rPr>
          <w:rFonts w:eastAsia="Times New Roman"/>
          <w:b/>
          <w:color w:val="000000" w:themeColor="text1"/>
          <w:lang w:val="en-US" w:eastAsia="zh-CN"/>
        </w:rPr>
      </w:pPr>
      <w:r w:rsidRPr="00CF31E0">
        <w:rPr>
          <w:rFonts w:eastAsia="MS Gothic"/>
          <w:b/>
          <w:color w:val="000000" w:themeColor="text1"/>
          <w:lang w:val="en-US" w:eastAsia="zh-CN"/>
        </w:rPr>
        <w:lastRenderedPageBreak/>
        <w:t>Q9:</w:t>
      </w:r>
      <w:r w:rsidRPr="00CF31E0">
        <w:rPr>
          <w:rFonts w:eastAsia="Times New Roman"/>
          <w:b/>
          <w:color w:val="000000" w:themeColor="text1"/>
          <w:lang w:val="en-US" w:eastAsia="zh-CN"/>
        </w:rPr>
        <w:t xml:space="preserve"> Is intermarriage acceptable among UBHs?</w:t>
      </w:r>
    </w:p>
    <w:p w14:paraId="06D7DA98" w14:textId="77777777" w:rsidR="009A6D96" w:rsidRPr="00CF31E0" w:rsidRDefault="009A6D96"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41C0A0A7" w14:textId="77777777" w:rsidTr="00A21FE4">
        <w:trPr>
          <w:trHeight w:val="567"/>
        </w:trPr>
        <w:tc>
          <w:tcPr>
            <w:tcW w:w="2235" w:type="dxa"/>
            <w:tcBorders>
              <w:top w:val="single" w:sz="8" w:space="0" w:color="auto"/>
              <w:bottom w:val="single" w:sz="8" w:space="0" w:color="auto"/>
            </w:tcBorders>
            <w:shd w:val="clear" w:color="auto" w:fill="auto"/>
            <w:hideMark/>
          </w:tcPr>
          <w:p w14:paraId="34155E25" w14:textId="77777777" w:rsidR="00A21FE4" w:rsidRPr="00CF31E0" w:rsidRDefault="00A21FE4" w:rsidP="0009795A">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Gender</w:t>
            </w:r>
          </w:p>
        </w:tc>
        <w:tc>
          <w:tcPr>
            <w:tcW w:w="1134" w:type="dxa"/>
            <w:tcBorders>
              <w:top w:val="single" w:sz="8" w:space="0" w:color="auto"/>
              <w:bottom w:val="single" w:sz="8" w:space="0" w:color="auto"/>
            </w:tcBorders>
            <w:shd w:val="clear" w:color="auto" w:fill="auto"/>
            <w:hideMark/>
          </w:tcPr>
          <w:p w14:paraId="32C98FED" w14:textId="77777777" w:rsidR="00A21FE4" w:rsidRPr="00CF31E0" w:rsidRDefault="00A21FE4" w:rsidP="0009795A">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09ACB5A1" w14:textId="77777777" w:rsidR="00A21FE4" w:rsidRPr="00CF31E0" w:rsidRDefault="00A21FE4" w:rsidP="0009795A">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3F3E0727" w14:textId="77777777" w:rsidTr="00A21FE4">
        <w:trPr>
          <w:trHeight w:val="567"/>
        </w:trPr>
        <w:tc>
          <w:tcPr>
            <w:tcW w:w="2235" w:type="dxa"/>
            <w:tcBorders>
              <w:top w:val="single" w:sz="8" w:space="0" w:color="auto"/>
            </w:tcBorders>
            <w:shd w:val="clear" w:color="auto" w:fill="auto"/>
            <w:vAlign w:val="bottom"/>
          </w:tcPr>
          <w:p w14:paraId="15E0053B" w14:textId="77777777" w:rsidR="00A21FE4" w:rsidRPr="00CF31E0" w:rsidRDefault="00A21FE4" w:rsidP="0009795A">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4E3564C0" w14:textId="77777777" w:rsidR="00A21FE4" w:rsidRPr="00CF31E0" w:rsidRDefault="00A21FE4" w:rsidP="0009795A">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2.357</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16E08AEB" w14:textId="77777777" w:rsidR="00A21FE4" w:rsidRPr="00CF31E0" w:rsidRDefault="00A21FE4" w:rsidP="0009795A">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.502</w:t>
            </w:r>
          </w:p>
        </w:tc>
      </w:tr>
      <w:tr w:rsidR="00A21FE4" w:rsidRPr="00CF31E0" w14:paraId="515F5902" w14:textId="77777777" w:rsidTr="00A21FE4">
        <w:trPr>
          <w:trHeight w:val="567"/>
        </w:trPr>
        <w:tc>
          <w:tcPr>
            <w:tcW w:w="2235" w:type="dxa"/>
            <w:tcBorders>
              <w:bottom w:val="single" w:sz="8" w:space="0" w:color="auto"/>
            </w:tcBorders>
            <w:shd w:val="clear" w:color="auto" w:fill="auto"/>
            <w:vAlign w:val="bottom"/>
          </w:tcPr>
          <w:p w14:paraId="49A53C55" w14:textId="77777777" w:rsidR="00A21FE4" w:rsidRPr="00CF31E0" w:rsidRDefault="00A21FE4" w:rsidP="0009795A">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6308688F" w14:textId="77777777" w:rsidR="00A21FE4" w:rsidRPr="00CF31E0" w:rsidRDefault="00A21FE4" w:rsidP="0009795A">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21082AD1" w14:textId="77777777" w:rsidR="00A21FE4" w:rsidRPr="00CF31E0" w:rsidRDefault="00A21FE4" w:rsidP="0009795A">
            <w:pPr>
              <w:spacing w:after="200" w:line="276" w:lineRule="auto"/>
              <w:jc w:val="center"/>
              <w:rPr>
                <w:rFonts w:eastAsia="Calibri"/>
                <w:color w:val="000000" w:themeColor="text1"/>
                <w:sz w:val="22"/>
                <w:szCs w:val="22"/>
                <w:lang w:eastAsia="en-US"/>
              </w:rPr>
            </w:pPr>
          </w:p>
        </w:tc>
      </w:tr>
    </w:tbl>
    <w:p w14:paraId="60B11200" w14:textId="77777777" w:rsidR="0009795A" w:rsidRPr="00CF31E0" w:rsidRDefault="0009795A" w:rsidP="00DF1804">
      <w:pPr>
        <w:rPr>
          <w:color w:val="000000" w:themeColor="text1"/>
          <w:lang w:eastAsia="en-US"/>
        </w:rPr>
      </w:pPr>
    </w:p>
    <w:p w14:paraId="36068D6C" w14:textId="77777777" w:rsidR="0009795A" w:rsidRPr="00CF31E0" w:rsidRDefault="0009795A"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0D8D66D2" w14:textId="77777777" w:rsidTr="00A21FE4">
        <w:trPr>
          <w:trHeight w:val="567"/>
        </w:trPr>
        <w:tc>
          <w:tcPr>
            <w:tcW w:w="2235" w:type="dxa"/>
            <w:tcBorders>
              <w:top w:val="single" w:sz="8" w:space="0" w:color="auto"/>
              <w:bottom w:val="single" w:sz="8" w:space="0" w:color="auto"/>
            </w:tcBorders>
            <w:shd w:val="clear" w:color="auto" w:fill="auto"/>
            <w:hideMark/>
          </w:tcPr>
          <w:p w14:paraId="5B464CEB" w14:textId="77777777" w:rsidR="00A21FE4" w:rsidRPr="00CF31E0" w:rsidRDefault="00A21FE4" w:rsidP="00230B0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Place of birth</w:t>
            </w:r>
          </w:p>
        </w:tc>
        <w:tc>
          <w:tcPr>
            <w:tcW w:w="1134" w:type="dxa"/>
            <w:tcBorders>
              <w:top w:val="single" w:sz="8" w:space="0" w:color="auto"/>
              <w:bottom w:val="single" w:sz="8" w:space="0" w:color="auto"/>
            </w:tcBorders>
            <w:shd w:val="clear" w:color="auto" w:fill="auto"/>
            <w:hideMark/>
          </w:tcPr>
          <w:p w14:paraId="3301BC6C" w14:textId="77777777" w:rsidR="00A21FE4" w:rsidRPr="00CF31E0" w:rsidRDefault="00A21FE4" w:rsidP="00230B0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5A266213" w14:textId="77777777" w:rsidR="00A21FE4" w:rsidRPr="00CF31E0" w:rsidRDefault="00A21FE4" w:rsidP="00230B0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7FAE7C57" w14:textId="77777777" w:rsidTr="00A21FE4">
        <w:trPr>
          <w:trHeight w:val="567"/>
        </w:trPr>
        <w:tc>
          <w:tcPr>
            <w:tcW w:w="2235" w:type="dxa"/>
            <w:tcBorders>
              <w:top w:val="single" w:sz="8" w:space="0" w:color="auto"/>
            </w:tcBorders>
            <w:shd w:val="clear" w:color="auto" w:fill="auto"/>
            <w:vAlign w:val="bottom"/>
          </w:tcPr>
          <w:p w14:paraId="04AE39B2" w14:textId="77777777" w:rsidR="00A21FE4" w:rsidRPr="00CF31E0" w:rsidRDefault="00A21FE4" w:rsidP="00230B0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2AE80602" w14:textId="77777777" w:rsidR="00A21FE4" w:rsidRPr="00CF31E0" w:rsidRDefault="00A21FE4" w:rsidP="00230B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1.733</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53F52C39" w14:textId="77777777" w:rsidR="00A21FE4" w:rsidRPr="00CF31E0" w:rsidRDefault="00A21FE4" w:rsidP="00230B0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.630</w:t>
            </w:r>
          </w:p>
        </w:tc>
      </w:tr>
      <w:tr w:rsidR="00A21FE4" w:rsidRPr="00CF31E0" w14:paraId="3B596D2F" w14:textId="77777777" w:rsidTr="00A21FE4">
        <w:trPr>
          <w:trHeight w:val="567"/>
        </w:trPr>
        <w:tc>
          <w:tcPr>
            <w:tcW w:w="2235" w:type="dxa"/>
            <w:tcBorders>
              <w:bottom w:val="single" w:sz="8" w:space="0" w:color="auto"/>
            </w:tcBorders>
            <w:shd w:val="clear" w:color="auto" w:fill="auto"/>
            <w:vAlign w:val="bottom"/>
          </w:tcPr>
          <w:p w14:paraId="63E51C8D" w14:textId="77777777" w:rsidR="00A21FE4" w:rsidRPr="00CF31E0" w:rsidRDefault="00A21FE4" w:rsidP="00230B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67852C4E" w14:textId="77777777" w:rsidR="00A21FE4" w:rsidRPr="00CF31E0" w:rsidRDefault="00A21FE4" w:rsidP="00230B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0767FCC9" w14:textId="77777777" w:rsidR="00A21FE4" w:rsidRPr="00CF31E0" w:rsidRDefault="00A21FE4" w:rsidP="00230B04">
            <w:pPr>
              <w:spacing w:after="200" w:line="276" w:lineRule="auto"/>
              <w:jc w:val="center"/>
              <w:rPr>
                <w:rFonts w:eastAsia="Calibri"/>
                <w:color w:val="000000" w:themeColor="text1"/>
                <w:sz w:val="22"/>
                <w:szCs w:val="22"/>
                <w:lang w:eastAsia="en-US"/>
              </w:rPr>
            </w:pPr>
          </w:p>
        </w:tc>
      </w:tr>
    </w:tbl>
    <w:p w14:paraId="3C93B01E" w14:textId="77777777" w:rsidR="0009795A" w:rsidRPr="00CF31E0" w:rsidRDefault="0009795A" w:rsidP="00DF1804">
      <w:pPr>
        <w:rPr>
          <w:color w:val="000000" w:themeColor="text1"/>
          <w:lang w:eastAsia="en-US"/>
        </w:rPr>
      </w:pPr>
    </w:p>
    <w:p w14:paraId="0342A179" w14:textId="77777777" w:rsidR="00230B04" w:rsidRPr="00CF31E0" w:rsidRDefault="00230B04"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4C261D09" w14:textId="77777777" w:rsidTr="00A21FE4">
        <w:trPr>
          <w:trHeight w:val="567"/>
        </w:trPr>
        <w:tc>
          <w:tcPr>
            <w:tcW w:w="2235" w:type="dxa"/>
            <w:tcBorders>
              <w:top w:val="single" w:sz="8" w:space="0" w:color="auto"/>
              <w:bottom w:val="single" w:sz="8" w:space="0" w:color="auto"/>
            </w:tcBorders>
            <w:shd w:val="clear" w:color="auto" w:fill="auto"/>
            <w:hideMark/>
          </w:tcPr>
          <w:p w14:paraId="6F84ECD9" w14:textId="77777777" w:rsidR="00A21FE4" w:rsidRPr="00CF31E0" w:rsidRDefault="00A21FE4" w:rsidP="00230B0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Places lived</w:t>
            </w:r>
          </w:p>
        </w:tc>
        <w:tc>
          <w:tcPr>
            <w:tcW w:w="1134" w:type="dxa"/>
            <w:tcBorders>
              <w:top w:val="single" w:sz="8" w:space="0" w:color="auto"/>
              <w:bottom w:val="single" w:sz="8" w:space="0" w:color="auto"/>
            </w:tcBorders>
            <w:shd w:val="clear" w:color="auto" w:fill="auto"/>
            <w:hideMark/>
          </w:tcPr>
          <w:p w14:paraId="597F429B" w14:textId="77777777" w:rsidR="00A21FE4" w:rsidRPr="00CF31E0" w:rsidRDefault="00A21FE4" w:rsidP="00230B0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4C3FF1A5" w14:textId="77777777" w:rsidR="00A21FE4" w:rsidRPr="00CF31E0" w:rsidRDefault="00A21FE4" w:rsidP="00230B0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3B94631F" w14:textId="77777777" w:rsidTr="00A21FE4">
        <w:trPr>
          <w:trHeight w:val="567"/>
        </w:trPr>
        <w:tc>
          <w:tcPr>
            <w:tcW w:w="2235" w:type="dxa"/>
            <w:tcBorders>
              <w:top w:val="single" w:sz="8" w:space="0" w:color="auto"/>
            </w:tcBorders>
            <w:shd w:val="clear" w:color="auto" w:fill="auto"/>
            <w:vAlign w:val="bottom"/>
          </w:tcPr>
          <w:p w14:paraId="6D34C7CC" w14:textId="77777777" w:rsidR="00A21FE4" w:rsidRPr="00CF31E0" w:rsidRDefault="00A21FE4" w:rsidP="00230B0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1CE1BBAC" w14:textId="77777777" w:rsidR="00A21FE4" w:rsidRPr="00CF31E0" w:rsidRDefault="00A21FE4" w:rsidP="00230B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5.081</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08BFA7C8" w14:textId="77777777" w:rsidR="00A21FE4" w:rsidRPr="00CF31E0" w:rsidRDefault="00A21FE4" w:rsidP="00230B0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.166</w:t>
            </w:r>
          </w:p>
        </w:tc>
      </w:tr>
      <w:tr w:rsidR="00A21FE4" w:rsidRPr="00CF31E0" w14:paraId="10B36884" w14:textId="77777777" w:rsidTr="00A21FE4">
        <w:trPr>
          <w:trHeight w:val="567"/>
        </w:trPr>
        <w:tc>
          <w:tcPr>
            <w:tcW w:w="2235" w:type="dxa"/>
            <w:tcBorders>
              <w:bottom w:val="single" w:sz="8" w:space="0" w:color="auto"/>
            </w:tcBorders>
            <w:shd w:val="clear" w:color="auto" w:fill="auto"/>
            <w:vAlign w:val="bottom"/>
          </w:tcPr>
          <w:p w14:paraId="46AB7055" w14:textId="77777777" w:rsidR="00A21FE4" w:rsidRPr="00CF31E0" w:rsidRDefault="00A21FE4" w:rsidP="00230B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3A013F13" w14:textId="77777777" w:rsidR="00A21FE4" w:rsidRPr="00CF31E0" w:rsidRDefault="00A21FE4" w:rsidP="00230B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3D44BA7F" w14:textId="77777777" w:rsidR="00A21FE4" w:rsidRPr="00CF31E0" w:rsidRDefault="00A21FE4" w:rsidP="00230B04">
            <w:pPr>
              <w:spacing w:after="200" w:line="276" w:lineRule="auto"/>
              <w:jc w:val="center"/>
              <w:rPr>
                <w:rFonts w:eastAsia="Calibri"/>
                <w:color w:val="000000" w:themeColor="text1"/>
                <w:sz w:val="22"/>
                <w:szCs w:val="22"/>
                <w:lang w:eastAsia="en-US"/>
              </w:rPr>
            </w:pPr>
          </w:p>
        </w:tc>
      </w:tr>
    </w:tbl>
    <w:p w14:paraId="308293A8" w14:textId="77777777" w:rsidR="00230B04" w:rsidRPr="00CF31E0" w:rsidRDefault="00230B04" w:rsidP="00DF1804">
      <w:pPr>
        <w:rPr>
          <w:color w:val="000000" w:themeColor="text1"/>
          <w:lang w:eastAsia="en-US"/>
        </w:rPr>
      </w:pPr>
    </w:p>
    <w:p w14:paraId="09A0892A" w14:textId="77777777" w:rsidR="00C73201" w:rsidRPr="00CF31E0" w:rsidRDefault="00C73201"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30274BBD" w14:textId="77777777" w:rsidTr="00A21FE4">
        <w:trPr>
          <w:trHeight w:val="567"/>
        </w:trPr>
        <w:tc>
          <w:tcPr>
            <w:tcW w:w="2235" w:type="dxa"/>
            <w:tcBorders>
              <w:top w:val="single" w:sz="8" w:space="0" w:color="auto"/>
              <w:bottom w:val="single" w:sz="8" w:space="0" w:color="auto"/>
            </w:tcBorders>
            <w:shd w:val="clear" w:color="auto" w:fill="auto"/>
            <w:hideMark/>
          </w:tcPr>
          <w:p w14:paraId="35A6BE46" w14:textId="77777777" w:rsidR="00A21FE4" w:rsidRPr="00CF31E0" w:rsidRDefault="00A21FE4" w:rsidP="00230B0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Marital status</w:t>
            </w:r>
          </w:p>
        </w:tc>
        <w:tc>
          <w:tcPr>
            <w:tcW w:w="1134" w:type="dxa"/>
            <w:tcBorders>
              <w:top w:val="single" w:sz="8" w:space="0" w:color="auto"/>
              <w:bottom w:val="single" w:sz="8" w:space="0" w:color="auto"/>
            </w:tcBorders>
            <w:shd w:val="clear" w:color="auto" w:fill="auto"/>
            <w:hideMark/>
          </w:tcPr>
          <w:p w14:paraId="58DE41D8" w14:textId="77777777" w:rsidR="00A21FE4" w:rsidRPr="00CF31E0" w:rsidRDefault="00A21FE4" w:rsidP="00230B0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0E175512" w14:textId="77777777" w:rsidR="00A21FE4" w:rsidRPr="00CF31E0" w:rsidRDefault="00A21FE4" w:rsidP="00230B0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63C21AD0" w14:textId="77777777" w:rsidTr="00A21FE4">
        <w:trPr>
          <w:trHeight w:val="567"/>
        </w:trPr>
        <w:tc>
          <w:tcPr>
            <w:tcW w:w="2235" w:type="dxa"/>
            <w:tcBorders>
              <w:top w:val="single" w:sz="8" w:space="0" w:color="auto"/>
            </w:tcBorders>
            <w:shd w:val="clear" w:color="auto" w:fill="auto"/>
            <w:vAlign w:val="bottom"/>
          </w:tcPr>
          <w:p w14:paraId="6E914DFA" w14:textId="77777777" w:rsidR="00A21FE4" w:rsidRPr="00CF31E0" w:rsidRDefault="00A21FE4" w:rsidP="00230B0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57695220" w14:textId="77777777" w:rsidR="00A21FE4" w:rsidRPr="00CF31E0" w:rsidRDefault="00A21FE4" w:rsidP="00230B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9.448</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220CE536" w14:textId="77777777" w:rsidR="00A21FE4" w:rsidRPr="00CF31E0" w:rsidRDefault="00A21FE4" w:rsidP="00230B0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.150</w:t>
            </w:r>
          </w:p>
        </w:tc>
      </w:tr>
      <w:tr w:rsidR="00A21FE4" w:rsidRPr="00CF31E0" w14:paraId="112B1EDE" w14:textId="77777777" w:rsidTr="00A21FE4">
        <w:trPr>
          <w:trHeight w:val="567"/>
        </w:trPr>
        <w:tc>
          <w:tcPr>
            <w:tcW w:w="2235" w:type="dxa"/>
            <w:tcBorders>
              <w:bottom w:val="single" w:sz="8" w:space="0" w:color="auto"/>
            </w:tcBorders>
            <w:shd w:val="clear" w:color="auto" w:fill="auto"/>
            <w:vAlign w:val="bottom"/>
          </w:tcPr>
          <w:p w14:paraId="288B815E" w14:textId="77777777" w:rsidR="00A21FE4" w:rsidRPr="00CF31E0" w:rsidRDefault="00A21FE4" w:rsidP="00230B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0AEECAE5" w14:textId="77777777" w:rsidR="00A21FE4" w:rsidRPr="00CF31E0" w:rsidRDefault="00A21FE4" w:rsidP="00230B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0AB9B395" w14:textId="77777777" w:rsidR="00A21FE4" w:rsidRPr="00CF31E0" w:rsidRDefault="00A21FE4" w:rsidP="00230B04">
            <w:pPr>
              <w:spacing w:after="200" w:line="276" w:lineRule="auto"/>
              <w:jc w:val="center"/>
              <w:rPr>
                <w:rFonts w:eastAsia="Calibri"/>
                <w:color w:val="000000" w:themeColor="text1"/>
                <w:sz w:val="22"/>
                <w:szCs w:val="22"/>
                <w:lang w:eastAsia="en-US"/>
              </w:rPr>
            </w:pPr>
          </w:p>
        </w:tc>
      </w:tr>
    </w:tbl>
    <w:p w14:paraId="3CAA7BFC" w14:textId="77777777" w:rsidR="00230B04" w:rsidRPr="00CF31E0" w:rsidRDefault="00230B04" w:rsidP="00DF1804">
      <w:pPr>
        <w:rPr>
          <w:color w:val="000000" w:themeColor="text1"/>
          <w:lang w:eastAsia="en-US"/>
        </w:rPr>
      </w:pPr>
    </w:p>
    <w:p w14:paraId="7A2D245D" w14:textId="77777777" w:rsidR="00230B04" w:rsidRPr="00CF31E0" w:rsidRDefault="00230B04"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6C5B4AC4" w14:textId="77777777" w:rsidTr="00A21FE4">
        <w:trPr>
          <w:trHeight w:val="567"/>
        </w:trPr>
        <w:tc>
          <w:tcPr>
            <w:tcW w:w="2235" w:type="dxa"/>
            <w:tcBorders>
              <w:top w:val="single" w:sz="8" w:space="0" w:color="auto"/>
              <w:bottom w:val="single" w:sz="8" w:space="0" w:color="auto"/>
            </w:tcBorders>
            <w:shd w:val="clear" w:color="auto" w:fill="auto"/>
            <w:hideMark/>
          </w:tcPr>
          <w:p w14:paraId="14C55540" w14:textId="77777777" w:rsidR="00A21FE4" w:rsidRPr="00CF31E0" w:rsidRDefault="00A21FE4" w:rsidP="00230B0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Mother’s social group</w:t>
            </w:r>
          </w:p>
        </w:tc>
        <w:tc>
          <w:tcPr>
            <w:tcW w:w="1134" w:type="dxa"/>
            <w:tcBorders>
              <w:top w:val="single" w:sz="8" w:space="0" w:color="auto"/>
              <w:bottom w:val="single" w:sz="8" w:space="0" w:color="auto"/>
            </w:tcBorders>
            <w:shd w:val="clear" w:color="auto" w:fill="auto"/>
            <w:hideMark/>
          </w:tcPr>
          <w:p w14:paraId="7164450C" w14:textId="77777777" w:rsidR="00A21FE4" w:rsidRPr="00CF31E0" w:rsidRDefault="00A21FE4" w:rsidP="00230B0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2C8102F5" w14:textId="77777777" w:rsidR="00A21FE4" w:rsidRPr="00CF31E0" w:rsidRDefault="00A21FE4" w:rsidP="00230B0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2A8CEC45" w14:textId="77777777" w:rsidTr="00A21FE4">
        <w:trPr>
          <w:trHeight w:val="567"/>
        </w:trPr>
        <w:tc>
          <w:tcPr>
            <w:tcW w:w="2235" w:type="dxa"/>
            <w:tcBorders>
              <w:top w:val="single" w:sz="8" w:space="0" w:color="auto"/>
            </w:tcBorders>
            <w:shd w:val="clear" w:color="auto" w:fill="auto"/>
            <w:vAlign w:val="bottom"/>
          </w:tcPr>
          <w:p w14:paraId="05503246" w14:textId="77777777" w:rsidR="00A21FE4" w:rsidRPr="00CF31E0" w:rsidRDefault="00A21FE4" w:rsidP="00230B0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70A55EA6" w14:textId="77777777" w:rsidR="00A21FE4" w:rsidRPr="00CF31E0" w:rsidRDefault="00A21FE4" w:rsidP="00230B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18.409</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409EE390" w14:textId="77777777" w:rsidR="00A21FE4" w:rsidRPr="00CF31E0" w:rsidRDefault="00A21FE4" w:rsidP="00230B0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.005</w:t>
            </w:r>
          </w:p>
        </w:tc>
      </w:tr>
      <w:tr w:rsidR="00A21FE4" w:rsidRPr="00CF31E0" w14:paraId="3F8C7218" w14:textId="77777777" w:rsidTr="00A21FE4">
        <w:trPr>
          <w:trHeight w:val="567"/>
        </w:trPr>
        <w:tc>
          <w:tcPr>
            <w:tcW w:w="2235" w:type="dxa"/>
            <w:tcBorders>
              <w:bottom w:val="single" w:sz="8" w:space="0" w:color="auto"/>
            </w:tcBorders>
            <w:shd w:val="clear" w:color="auto" w:fill="auto"/>
            <w:vAlign w:val="bottom"/>
          </w:tcPr>
          <w:p w14:paraId="7B50EE8D" w14:textId="77777777" w:rsidR="00A21FE4" w:rsidRPr="00CF31E0" w:rsidRDefault="00A21FE4" w:rsidP="00230B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6ADC8F1B" w14:textId="77777777" w:rsidR="00A21FE4" w:rsidRPr="00CF31E0" w:rsidRDefault="00A21FE4" w:rsidP="00230B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639E00AA" w14:textId="77777777" w:rsidR="00A21FE4" w:rsidRPr="00CF31E0" w:rsidRDefault="00A21FE4" w:rsidP="00230B04">
            <w:pPr>
              <w:spacing w:after="200" w:line="276" w:lineRule="auto"/>
              <w:jc w:val="center"/>
              <w:rPr>
                <w:rFonts w:eastAsia="Calibri"/>
                <w:color w:val="000000" w:themeColor="text1"/>
                <w:sz w:val="22"/>
                <w:szCs w:val="22"/>
                <w:lang w:eastAsia="en-US"/>
              </w:rPr>
            </w:pPr>
          </w:p>
        </w:tc>
      </w:tr>
    </w:tbl>
    <w:p w14:paraId="297B9A46" w14:textId="77777777" w:rsidR="00230B04" w:rsidRPr="00CF31E0" w:rsidRDefault="00230B04" w:rsidP="00DF1804">
      <w:pPr>
        <w:rPr>
          <w:color w:val="000000" w:themeColor="text1"/>
          <w:lang w:eastAsia="en-US"/>
        </w:rPr>
      </w:pPr>
    </w:p>
    <w:p w14:paraId="58CDB593" w14:textId="77777777" w:rsidR="00230B04" w:rsidRDefault="00230B04" w:rsidP="00DF1804">
      <w:pPr>
        <w:rPr>
          <w:color w:val="000000" w:themeColor="text1"/>
          <w:lang w:eastAsia="en-US"/>
        </w:rPr>
      </w:pPr>
    </w:p>
    <w:p w14:paraId="2DECD22A" w14:textId="77777777" w:rsidR="006E02B4" w:rsidRDefault="006E02B4" w:rsidP="00DF1804">
      <w:pPr>
        <w:rPr>
          <w:color w:val="000000" w:themeColor="text1"/>
          <w:lang w:eastAsia="en-US"/>
        </w:rPr>
      </w:pPr>
    </w:p>
    <w:p w14:paraId="71476966" w14:textId="77777777" w:rsidR="006E02B4" w:rsidRDefault="006E02B4" w:rsidP="00DF1804">
      <w:pPr>
        <w:rPr>
          <w:color w:val="000000" w:themeColor="text1"/>
          <w:lang w:eastAsia="en-US"/>
        </w:rPr>
      </w:pPr>
    </w:p>
    <w:p w14:paraId="5BA36D95" w14:textId="77777777" w:rsidR="006E02B4" w:rsidRPr="00CF31E0" w:rsidRDefault="006E02B4"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5E328042" w14:textId="77777777" w:rsidTr="00A21FE4">
        <w:trPr>
          <w:trHeight w:val="567"/>
        </w:trPr>
        <w:tc>
          <w:tcPr>
            <w:tcW w:w="2235" w:type="dxa"/>
            <w:tcBorders>
              <w:top w:val="single" w:sz="8" w:space="0" w:color="auto"/>
              <w:bottom w:val="single" w:sz="8" w:space="0" w:color="auto"/>
            </w:tcBorders>
            <w:shd w:val="clear" w:color="auto" w:fill="auto"/>
            <w:hideMark/>
          </w:tcPr>
          <w:p w14:paraId="3EE3029C" w14:textId="77777777" w:rsidR="00A21FE4" w:rsidRPr="00CF31E0" w:rsidRDefault="00A21FE4" w:rsidP="00230B0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lastRenderedPageBreak/>
              <w:t>Spouse’s social group</w:t>
            </w:r>
          </w:p>
        </w:tc>
        <w:tc>
          <w:tcPr>
            <w:tcW w:w="1134" w:type="dxa"/>
            <w:tcBorders>
              <w:top w:val="single" w:sz="8" w:space="0" w:color="auto"/>
              <w:bottom w:val="single" w:sz="8" w:space="0" w:color="auto"/>
            </w:tcBorders>
            <w:shd w:val="clear" w:color="auto" w:fill="auto"/>
            <w:hideMark/>
          </w:tcPr>
          <w:p w14:paraId="25E7FCAE" w14:textId="77777777" w:rsidR="00A21FE4" w:rsidRPr="00CF31E0" w:rsidRDefault="00A21FE4" w:rsidP="00230B0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493054D0" w14:textId="77777777" w:rsidR="00A21FE4" w:rsidRPr="00CF31E0" w:rsidRDefault="00A21FE4" w:rsidP="00230B0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3952EAC6" w14:textId="77777777" w:rsidTr="00A21FE4">
        <w:trPr>
          <w:trHeight w:val="567"/>
        </w:trPr>
        <w:tc>
          <w:tcPr>
            <w:tcW w:w="2235" w:type="dxa"/>
            <w:tcBorders>
              <w:top w:val="single" w:sz="8" w:space="0" w:color="auto"/>
            </w:tcBorders>
            <w:shd w:val="clear" w:color="auto" w:fill="auto"/>
            <w:vAlign w:val="bottom"/>
          </w:tcPr>
          <w:p w14:paraId="526F55DE" w14:textId="77777777" w:rsidR="00A21FE4" w:rsidRPr="00CF31E0" w:rsidRDefault="00A21FE4" w:rsidP="00230B0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143E0316" w14:textId="77777777" w:rsidR="00A21FE4" w:rsidRPr="00CF31E0" w:rsidRDefault="00A21FE4" w:rsidP="00230B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25.149</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3C9849C5" w14:textId="77777777" w:rsidR="00A21FE4" w:rsidRPr="00CF31E0" w:rsidRDefault="00A21FE4" w:rsidP="00230B0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.000</w:t>
            </w:r>
          </w:p>
        </w:tc>
      </w:tr>
      <w:tr w:rsidR="00A21FE4" w:rsidRPr="00CF31E0" w14:paraId="7F7A0054" w14:textId="77777777" w:rsidTr="00A21FE4">
        <w:trPr>
          <w:trHeight w:val="567"/>
        </w:trPr>
        <w:tc>
          <w:tcPr>
            <w:tcW w:w="2235" w:type="dxa"/>
            <w:tcBorders>
              <w:bottom w:val="single" w:sz="8" w:space="0" w:color="auto"/>
            </w:tcBorders>
            <w:shd w:val="clear" w:color="auto" w:fill="auto"/>
            <w:vAlign w:val="bottom"/>
          </w:tcPr>
          <w:p w14:paraId="3D059076" w14:textId="77777777" w:rsidR="00A21FE4" w:rsidRPr="00CF31E0" w:rsidRDefault="00A21FE4" w:rsidP="00230B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1983D33D" w14:textId="77777777" w:rsidR="00A21FE4" w:rsidRPr="00CF31E0" w:rsidRDefault="00A21FE4" w:rsidP="00230B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7B4E21F7" w14:textId="77777777" w:rsidR="00A21FE4" w:rsidRPr="00CF31E0" w:rsidRDefault="00A21FE4" w:rsidP="00230B04">
            <w:pPr>
              <w:spacing w:after="200" w:line="276" w:lineRule="auto"/>
              <w:jc w:val="center"/>
              <w:rPr>
                <w:rFonts w:eastAsia="Calibri"/>
                <w:color w:val="000000" w:themeColor="text1"/>
                <w:sz w:val="22"/>
                <w:szCs w:val="22"/>
                <w:lang w:eastAsia="en-US"/>
              </w:rPr>
            </w:pPr>
          </w:p>
        </w:tc>
      </w:tr>
    </w:tbl>
    <w:p w14:paraId="44CD83AB" w14:textId="77777777" w:rsidR="00230B04" w:rsidRPr="00CF31E0" w:rsidRDefault="00230B04" w:rsidP="00DF1804">
      <w:pPr>
        <w:rPr>
          <w:color w:val="000000" w:themeColor="text1"/>
          <w:lang w:eastAsia="en-US"/>
        </w:rPr>
      </w:pPr>
    </w:p>
    <w:p w14:paraId="693B37E9" w14:textId="77777777" w:rsidR="00230B04" w:rsidRPr="00CF31E0" w:rsidRDefault="00230B04"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6FA167A0" w14:textId="77777777" w:rsidTr="00A21FE4">
        <w:trPr>
          <w:trHeight w:val="567"/>
        </w:trPr>
        <w:tc>
          <w:tcPr>
            <w:tcW w:w="2235" w:type="dxa"/>
            <w:tcBorders>
              <w:top w:val="single" w:sz="8" w:space="0" w:color="auto"/>
              <w:bottom w:val="single" w:sz="8" w:space="0" w:color="auto"/>
            </w:tcBorders>
            <w:shd w:val="clear" w:color="auto" w:fill="auto"/>
            <w:hideMark/>
          </w:tcPr>
          <w:p w14:paraId="2C375D1D" w14:textId="77777777" w:rsidR="00A21FE4" w:rsidRPr="00CF31E0" w:rsidRDefault="00A21FE4" w:rsidP="00230B0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Education</w:t>
            </w:r>
          </w:p>
        </w:tc>
        <w:tc>
          <w:tcPr>
            <w:tcW w:w="1134" w:type="dxa"/>
            <w:tcBorders>
              <w:top w:val="single" w:sz="8" w:space="0" w:color="auto"/>
              <w:bottom w:val="single" w:sz="8" w:space="0" w:color="auto"/>
            </w:tcBorders>
            <w:shd w:val="clear" w:color="auto" w:fill="auto"/>
            <w:hideMark/>
          </w:tcPr>
          <w:p w14:paraId="62FBDEF9" w14:textId="77777777" w:rsidR="00A21FE4" w:rsidRPr="00CF31E0" w:rsidRDefault="00A21FE4" w:rsidP="00230B0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40A406B0" w14:textId="77777777" w:rsidR="00A21FE4" w:rsidRPr="00CF31E0" w:rsidRDefault="00A21FE4" w:rsidP="00230B0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3D74A67F" w14:textId="77777777" w:rsidTr="00A21FE4">
        <w:trPr>
          <w:trHeight w:val="567"/>
        </w:trPr>
        <w:tc>
          <w:tcPr>
            <w:tcW w:w="2235" w:type="dxa"/>
            <w:tcBorders>
              <w:top w:val="single" w:sz="8" w:space="0" w:color="auto"/>
            </w:tcBorders>
            <w:shd w:val="clear" w:color="auto" w:fill="auto"/>
            <w:vAlign w:val="bottom"/>
          </w:tcPr>
          <w:p w14:paraId="1E114F3A" w14:textId="77777777" w:rsidR="00A21FE4" w:rsidRPr="00CF31E0" w:rsidRDefault="00A21FE4" w:rsidP="00230B0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19191F57" w14:textId="77777777" w:rsidR="00A21FE4" w:rsidRPr="00CF31E0" w:rsidRDefault="00A21FE4" w:rsidP="00230B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6.604</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2AF96A6D" w14:textId="77777777" w:rsidR="00A21FE4" w:rsidRPr="00CF31E0" w:rsidRDefault="00A21FE4" w:rsidP="00230B0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.359</w:t>
            </w:r>
          </w:p>
        </w:tc>
      </w:tr>
      <w:tr w:rsidR="00A21FE4" w:rsidRPr="00CF31E0" w14:paraId="3480515A" w14:textId="77777777" w:rsidTr="00A21FE4">
        <w:trPr>
          <w:trHeight w:val="567"/>
        </w:trPr>
        <w:tc>
          <w:tcPr>
            <w:tcW w:w="2235" w:type="dxa"/>
            <w:tcBorders>
              <w:bottom w:val="single" w:sz="8" w:space="0" w:color="auto"/>
            </w:tcBorders>
            <w:shd w:val="clear" w:color="auto" w:fill="auto"/>
            <w:vAlign w:val="bottom"/>
          </w:tcPr>
          <w:p w14:paraId="3F243A3E" w14:textId="77777777" w:rsidR="00A21FE4" w:rsidRPr="00CF31E0" w:rsidRDefault="00A21FE4" w:rsidP="00230B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6BDB29C6" w14:textId="77777777" w:rsidR="00A21FE4" w:rsidRPr="00CF31E0" w:rsidRDefault="00A21FE4" w:rsidP="00230B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5E426743" w14:textId="77777777" w:rsidR="00A21FE4" w:rsidRPr="00CF31E0" w:rsidRDefault="00A21FE4" w:rsidP="00230B04">
            <w:pPr>
              <w:spacing w:after="200" w:line="276" w:lineRule="auto"/>
              <w:jc w:val="center"/>
              <w:rPr>
                <w:rFonts w:eastAsia="Calibri"/>
                <w:color w:val="000000" w:themeColor="text1"/>
                <w:sz w:val="22"/>
                <w:szCs w:val="22"/>
                <w:lang w:eastAsia="en-US"/>
              </w:rPr>
            </w:pPr>
          </w:p>
        </w:tc>
      </w:tr>
    </w:tbl>
    <w:p w14:paraId="4E4C57BC" w14:textId="77777777" w:rsidR="00A21FE4" w:rsidRPr="00CF31E0" w:rsidRDefault="00A21FE4" w:rsidP="00DF1804">
      <w:pPr>
        <w:rPr>
          <w:color w:val="000000" w:themeColor="text1"/>
          <w:lang w:eastAsia="en-US"/>
        </w:rPr>
      </w:pPr>
    </w:p>
    <w:p w14:paraId="61CEA63B" w14:textId="77777777" w:rsidR="00A21FE4" w:rsidRPr="00CF31E0" w:rsidRDefault="00A21FE4"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1CDC5BCA" w14:textId="77777777" w:rsidTr="00A21FE4">
        <w:trPr>
          <w:trHeight w:val="567"/>
        </w:trPr>
        <w:tc>
          <w:tcPr>
            <w:tcW w:w="2235" w:type="dxa"/>
            <w:tcBorders>
              <w:top w:val="single" w:sz="8" w:space="0" w:color="auto"/>
              <w:bottom w:val="single" w:sz="8" w:space="0" w:color="auto"/>
            </w:tcBorders>
            <w:shd w:val="clear" w:color="auto" w:fill="auto"/>
            <w:hideMark/>
          </w:tcPr>
          <w:p w14:paraId="117FCC97" w14:textId="77777777" w:rsidR="00A21FE4" w:rsidRPr="00CF31E0" w:rsidRDefault="00A21FE4" w:rsidP="00230B0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Age</w:t>
            </w:r>
          </w:p>
        </w:tc>
        <w:tc>
          <w:tcPr>
            <w:tcW w:w="1134" w:type="dxa"/>
            <w:tcBorders>
              <w:top w:val="single" w:sz="8" w:space="0" w:color="auto"/>
              <w:bottom w:val="single" w:sz="8" w:space="0" w:color="auto"/>
            </w:tcBorders>
            <w:shd w:val="clear" w:color="auto" w:fill="auto"/>
            <w:hideMark/>
          </w:tcPr>
          <w:p w14:paraId="6ED87E91" w14:textId="77777777" w:rsidR="00A21FE4" w:rsidRPr="00CF31E0" w:rsidRDefault="00A21FE4" w:rsidP="00230B0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796117D6" w14:textId="77777777" w:rsidR="00A21FE4" w:rsidRPr="00CF31E0" w:rsidRDefault="00A21FE4" w:rsidP="00230B0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1CB21E62" w14:textId="77777777" w:rsidTr="00A21FE4">
        <w:trPr>
          <w:trHeight w:val="567"/>
        </w:trPr>
        <w:tc>
          <w:tcPr>
            <w:tcW w:w="2235" w:type="dxa"/>
            <w:tcBorders>
              <w:top w:val="single" w:sz="8" w:space="0" w:color="auto"/>
            </w:tcBorders>
            <w:shd w:val="clear" w:color="auto" w:fill="auto"/>
            <w:vAlign w:val="bottom"/>
          </w:tcPr>
          <w:p w14:paraId="4CBA2621" w14:textId="77777777" w:rsidR="00A21FE4" w:rsidRPr="00CF31E0" w:rsidRDefault="00A21FE4" w:rsidP="00230B0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1C55A059" w14:textId="77777777" w:rsidR="00A21FE4" w:rsidRPr="00CF31E0" w:rsidRDefault="00A21FE4" w:rsidP="00230B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17.423</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2AB5D4D1" w14:textId="77777777" w:rsidR="00A21FE4" w:rsidRPr="00CF31E0" w:rsidRDefault="00A21FE4" w:rsidP="00230B0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.134</w:t>
            </w:r>
          </w:p>
        </w:tc>
      </w:tr>
      <w:tr w:rsidR="00A21FE4" w:rsidRPr="00CF31E0" w14:paraId="563AC4EC" w14:textId="77777777" w:rsidTr="00A21FE4">
        <w:trPr>
          <w:trHeight w:val="567"/>
        </w:trPr>
        <w:tc>
          <w:tcPr>
            <w:tcW w:w="2235" w:type="dxa"/>
            <w:tcBorders>
              <w:bottom w:val="single" w:sz="8" w:space="0" w:color="auto"/>
            </w:tcBorders>
            <w:shd w:val="clear" w:color="auto" w:fill="auto"/>
            <w:vAlign w:val="bottom"/>
          </w:tcPr>
          <w:p w14:paraId="784461E0" w14:textId="77777777" w:rsidR="00A21FE4" w:rsidRPr="00CF31E0" w:rsidRDefault="00A21FE4" w:rsidP="00230B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726BCB21" w14:textId="77777777" w:rsidR="00A21FE4" w:rsidRPr="00CF31E0" w:rsidRDefault="00A21FE4" w:rsidP="00230B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77C4DC0D" w14:textId="77777777" w:rsidR="00A21FE4" w:rsidRPr="00CF31E0" w:rsidRDefault="00A21FE4" w:rsidP="00230B04">
            <w:pPr>
              <w:spacing w:after="200" w:line="276" w:lineRule="auto"/>
              <w:jc w:val="center"/>
              <w:rPr>
                <w:rFonts w:eastAsia="Calibri"/>
                <w:color w:val="000000" w:themeColor="text1"/>
                <w:sz w:val="22"/>
                <w:szCs w:val="22"/>
                <w:lang w:eastAsia="en-US"/>
              </w:rPr>
            </w:pPr>
          </w:p>
        </w:tc>
      </w:tr>
    </w:tbl>
    <w:p w14:paraId="24DD289A" w14:textId="77777777" w:rsidR="00230B04" w:rsidRPr="00CF31E0" w:rsidRDefault="00230B04" w:rsidP="00DF1804">
      <w:pPr>
        <w:rPr>
          <w:color w:val="000000" w:themeColor="text1"/>
          <w:lang w:eastAsia="en-US"/>
        </w:rPr>
      </w:pPr>
    </w:p>
    <w:p w14:paraId="3A23E879" w14:textId="77777777" w:rsidR="00C73201" w:rsidRPr="00CF31E0" w:rsidRDefault="00C73201" w:rsidP="00DF1804">
      <w:pPr>
        <w:rPr>
          <w:color w:val="000000" w:themeColor="text1"/>
          <w:lang w:eastAsia="en-US"/>
        </w:rPr>
      </w:pPr>
    </w:p>
    <w:p w14:paraId="1F12C5FA" w14:textId="51D337CD" w:rsidR="00230B04" w:rsidRPr="00CF31E0" w:rsidRDefault="00230B04" w:rsidP="002E4EC9">
      <w:pPr>
        <w:keepNext/>
        <w:keepLines/>
        <w:spacing w:line="360" w:lineRule="auto"/>
        <w:ind w:left="680" w:hanging="680"/>
        <w:outlineLvl w:val="1"/>
        <w:rPr>
          <w:rFonts w:eastAsia="Times New Roman"/>
          <w:b/>
          <w:color w:val="000000" w:themeColor="text1"/>
          <w:lang w:val="en-US" w:eastAsia="zh-CN"/>
        </w:rPr>
      </w:pPr>
      <w:r w:rsidRPr="00CF31E0">
        <w:rPr>
          <w:rFonts w:eastAsia="Times New Roman"/>
          <w:b/>
          <w:color w:val="000000" w:themeColor="text1"/>
          <w:lang w:val="en-US" w:eastAsia="zh-CN"/>
        </w:rPr>
        <w:t>Q</w:t>
      </w:r>
      <w:r w:rsidR="002E4EC9" w:rsidRPr="00CF31E0">
        <w:rPr>
          <w:rFonts w:eastAsia="Times New Roman"/>
          <w:b/>
          <w:color w:val="000000" w:themeColor="text1"/>
          <w:lang w:val="en-US" w:eastAsia="zh-CN"/>
        </w:rPr>
        <w:t>10</w:t>
      </w:r>
      <w:r w:rsidRPr="00CF31E0">
        <w:rPr>
          <w:rFonts w:eastAsia="Times New Roman"/>
          <w:b/>
          <w:color w:val="000000" w:themeColor="text1"/>
          <w:lang w:val="en-US" w:eastAsia="zh-CN"/>
        </w:rPr>
        <w:t>: Is intermarriage acceptable among HHs?</w:t>
      </w:r>
    </w:p>
    <w:p w14:paraId="46E8300F" w14:textId="77777777" w:rsidR="00230B04" w:rsidRPr="00CF31E0" w:rsidRDefault="00230B04" w:rsidP="00DF1804">
      <w:pPr>
        <w:rPr>
          <w:color w:val="000000" w:themeColor="text1"/>
          <w:lang w:val="en-US"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5D2E270C" w14:textId="77777777" w:rsidTr="00A21FE4">
        <w:trPr>
          <w:trHeight w:val="567"/>
        </w:trPr>
        <w:tc>
          <w:tcPr>
            <w:tcW w:w="2235" w:type="dxa"/>
            <w:tcBorders>
              <w:top w:val="single" w:sz="8" w:space="0" w:color="auto"/>
              <w:bottom w:val="single" w:sz="8" w:space="0" w:color="auto"/>
            </w:tcBorders>
            <w:shd w:val="clear" w:color="auto" w:fill="auto"/>
            <w:hideMark/>
          </w:tcPr>
          <w:p w14:paraId="3D544A0F" w14:textId="77777777" w:rsidR="00A21FE4" w:rsidRPr="00CF31E0" w:rsidRDefault="00A21FE4" w:rsidP="00230B0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Gender</w:t>
            </w:r>
          </w:p>
        </w:tc>
        <w:tc>
          <w:tcPr>
            <w:tcW w:w="1134" w:type="dxa"/>
            <w:tcBorders>
              <w:top w:val="single" w:sz="8" w:space="0" w:color="auto"/>
              <w:bottom w:val="single" w:sz="8" w:space="0" w:color="auto"/>
            </w:tcBorders>
            <w:shd w:val="clear" w:color="auto" w:fill="auto"/>
            <w:hideMark/>
          </w:tcPr>
          <w:p w14:paraId="65A9F092" w14:textId="77777777" w:rsidR="00A21FE4" w:rsidRPr="00CF31E0" w:rsidRDefault="00A21FE4" w:rsidP="00230B0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7BB1559B" w14:textId="77777777" w:rsidR="00A21FE4" w:rsidRPr="00CF31E0" w:rsidRDefault="00A21FE4" w:rsidP="00230B0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0771981E" w14:textId="77777777" w:rsidTr="00A21FE4">
        <w:trPr>
          <w:trHeight w:val="567"/>
        </w:trPr>
        <w:tc>
          <w:tcPr>
            <w:tcW w:w="2235" w:type="dxa"/>
            <w:tcBorders>
              <w:top w:val="single" w:sz="8" w:space="0" w:color="auto"/>
            </w:tcBorders>
            <w:shd w:val="clear" w:color="auto" w:fill="auto"/>
            <w:vAlign w:val="bottom"/>
          </w:tcPr>
          <w:p w14:paraId="4E9CEE6B" w14:textId="77777777" w:rsidR="00A21FE4" w:rsidRPr="00CF31E0" w:rsidRDefault="00A21FE4" w:rsidP="00230B0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757370C2" w14:textId="77777777" w:rsidR="00A21FE4" w:rsidRPr="00CF31E0" w:rsidRDefault="00A21FE4" w:rsidP="00230B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4.767</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39F858C0" w14:textId="77777777" w:rsidR="00A21FE4" w:rsidRPr="00CF31E0" w:rsidRDefault="00A21FE4" w:rsidP="00230B0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.190</w:t>
            </w:r>
          </w:p>
        </w:tc>
      </w:tr>
      <w:tr w:rsidR="00A21FE4" w:rsidRPr="00CF31E0" w14:paraId="07460425" w14:textId="77777777" w:rsidTr="00A21FE4">
        <w:trPr>
          <w:trHeight w:val="567"/>
        </w:trPr>
        <w:tc>
          <w:tcPr>
            <w:tcW w:w="2235" w:type="dxa"/>
            <w:tcBorders>
              <w:bottom w:val="single" w:sz="8" w:space="0" w:color="auto"/>
            </w:tcBorders>
            <w:shd w:val="clear" w:color="auto" w:fill="auto"/>
            <w:vAlign w:val="bottom"/>
          </w:tcPr>
          <w:p w14:paraId="2BE56CA0" w14:textId="77777777" w:rsidR="00A21FE4" w:rsidRPr="00CF31E0" w:rsidRDefault="00A21FE4" w:rsidP="00230B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1B84F2AB" w14:textId="77777777" w:rsidR="00A21FE4" w:rsidRPr="00CF31E0" w:rsidRDefault="00A21FE4" w:rsidP="00230B0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7CD4B58E" w14:textId="77777777" w:rsidR="00A21FE4" w:rsidRPr="00CF31E0" w:rsidRDefault="00A21FE4" w:rsidP="00230B04">
            <w:pPr>
              <w:spacing w:after="200" w:line="276" w:lineRule="auto"/>
              <w:jc w:val="center"/>
              <w:rPr>
                <w:rFonts w:eastAsia="Calibri"/>
                <w:color w:val="000000" w:themeColor="text1"/>
                <w:sz w:val="22"/>
                <w:szCs w:val="22"/>
                <w:lang w:eastAsia="en-US"/>
              </w:rPr>
            </w:pPr>
          </w:p>
        </w:tc>
      </w:tr>
    </w:tbl>
    <w:p w14:paraId="2ED8EFF2" w14:textId="77777777" w:rsidR="00230B04" w:rsidRPr="00CF31E0" w:rsidRDefault="00230B04" w:rsidP="00DF1804">
      <w:pPr>
        <w:rPr>
          <w:color w:val="000000" w:themeColor="text1"/>
          <w:lang w:eastAsia="en-US"/>
        </w:rPr>
      </w:pPr>
    </w:p>
    <w:p w14:paraId="6092DF17" w14:textId="77777777" w:rsidR="00980C34" w:rsidRPr="00CF31E0" w:rsidRDefault="00980C34"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7798EA28" w14:textId="77777777" w:rsidTr="00A21FE4">
        <w:trPr>
          <w:trHeight w:val="567"/>
        </w:trPr>
        <w:tc>
          <w:tcPr>
            <w:tcW w:w="2235" w:type="dxa"/>
            <w:tcBorders>
              <w:top w:val="single" w:sz="8" w:space="0" w:color="auto"/>
              <w:bottom w:val="single" w:sz="8" w:space="0" w:color="auto"/>
            </w:tcBorders>
            <w:shd w:val="clear" w:color="auto" w:fill="auto"/>
            <w:hideMark/>
          </w:tcPr>
          <w:p w14:paraId="61AB4447" w14:textId="77777777" w:rsidR="00A21FE4" w:rsidRPr="00CF31E0" w:rsidRDefault="00A21FE4" w:rsidP="00980C3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Place of birth</w:t>
            </w:r>
          </w:p>
        </w:tc>
        <w:tc>
          <w:tcPr>
            <w:tcW w:w="1134" w:type="dxa"/>
            <w:tcBorders>
              <w:top w:val="single" w:sz="8" w:space="0" w:color="auto"/>
              <w:bottom w:val="single" w:sz="8" w:space="0" w:color="auto"/>
            </w:tcBorders>
            <w:shd w:val="clear" w:color="auto" w:fill="auto"/>
            <w:hideMark/>
          </w:tcPr>
          <w:p w14:paraId="02673169" w14:textId="77777777" w:rsidR="00A21FE4" w:rsidRPr="00CF31E0" w:rsidRDefault="00A21FE4" w:rsidP="00980C3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4F89E166" w14:textId="77777777" w:rsidR="00A21FE4" w:rsidRPr="00CF31E0" w:rsidRDefault="00A21FE4" w:rsidP="00980C3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6EFB8664" w14:textId="77777777" w:rsidTr="00A21FE4">
        <w:trPr>
          <w:trHeight w:val="567"/>
        </w:trPr>
        <w:tc>
          <w:tcPr>
            <w:tcW w:w="2235" w:type="dxa"/>
            <w:tcBorders>
              <w:top w:val="single" w:sz="8" w:space="0" w:color="auto"/>
            </w:tcBorders>
            <w:shd w:val="clear" w:color="auto" w:fill="auto"/>
            <w:vAlign w:val="bottom"/>
          </w:tcPr>
          <w:p w14:paraId="405BF425" w14:textId="77777777" w:rsidR="00A21FE4" w:rsidRPr="00CF31E0" w:rsidRDefault="00A21FE4" w:rsidP="00980C3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22B213C6" w14:textId="77777777" w:rsidR="00A21FE4" w:rsidRPr="00CF31E0" w:rsidRDefault="00A21FE4" w:rsidP="00980C3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4.040</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27B1E71A" w14:textId="77777777" w:rsidR="00A21FE4" w:rsidRPr="00CF31E0" w:rsidRDefault="00A21FE4" w:rsidP="00980C3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.257</w:t>
            </w:r>
          </w:p>
        </w:tc>
      </w:tr>
      <w:tr w:rsidR="00A21FE4" w:rsidRPr="00CF31E0" w14:paraId="3FF9569B" w14:textId="77777777" w:rsidTr="00A21FE4">
        <w:trPr>
          <w:trHeight w:val="567"/>
        </w:trPr>
        <w:tc>
          <w:tcPr>
            <w:tcW w:w="2235" w:type="dxa"/>
            <w:tcBorders>
              <w:bottom w:val="single" w:sz="8" w:space="0" w:color="auto"/>
            </w:tcBorders>
            <w:shd w:val="clear" w:color="auto" w:fill="auto"/>
            <w:vAlign w:val="bottom"/>
          </w:tcPr>
          <w:p w14:paraId="425FA223" w14:textId="77777777" w:rsidR="00A21FE4" w:rsidRPr="00CF31E0" w:rsidRDefault="00A21FE4" w:rsidP="00980C3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69DC03A3" w14:textId="77777777" w:rsidR="00A21FE4" w:rsidRPr="00CF31E0" w:rsidRDefault="00A21FE4" w:rsidP="00980C3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4A412370" w14:textId="77777777" w:rsidR="00A21FE4" w:rsidRPr="00CF31E0" w:rsidRDefault="00A21FE4" w:rsidP="00980C34">
            <w:pPr>
              <w:spacing w:after="200" w:line="276" w:lineRule="auto"/>
              <w:jc w:val="center"/>
              <w:rPr>
                <w:rFonts w:eastAsia="Calibri"/>
                <w:color w:val="000000" w:themeColor="text1"/>
                <w:sz w:val="22"/>
                <w:szCs w:val="22"/>
                <w:lang w:eastAsia="en-US"/>
              </w:rPr>
            </w:pPr>
          </w:p>
        </w:tc>
      </w:tr>
    </w:tbl>
    <w:p w14:paraId="1396FB04" w14:textId="77777777" w:rsidR="00230B04" w:rsidRPr="00CF31E0" w:rsidRDefault="00230B04" w:rsidP="00DF1804">
      <w:pPr>
        <w:rPr>
          <w:color w:val="000000" w:themeColor="text1"/>
          <w:lang w:eastAsia="en-US"/>
        </w:rPr>
      </w:pPr>
    </w:p>
    <w:p w14:paraId="40530930" w14:textId="77777777" w:rsidR="00980C34" w:rsidRPr="00CF31E0" w:rsidRDefault="00980C34"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2D6C3D77" w14:textId="77777777" w:rsidTr="00A21FE4">
        <w:trPr>
          <w:trHeight w:val="567"/>
        </w:trPr>
        <w:tc>
          <w:tcPr>
            <w:tcW w:w="2235" w:type="dxa"/>
            <w:tcBorders>
              <w:top w:val="single" w:sz="8" w:space="0" w:color="auto"/>
              <w:bottom w:val="single" w:sz="8" w:space="0" w:color="auto"/>
            </w:tcBorders>
            <w:shd w:val="clear" w:color="auto" w:fill="auto"/>
            <w:hideMark/>
          </w:tcPr>
          <w:p w14:paraId="616BDB1F" w14:textId="77777777" w:rsidR="00A21FE4" w:rsidRPr="00CF31E0" w:rsidRDefault="00A21FE4" w:rsidP="00980C3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Places lived</w:t>
            </w:r>
          </w:p>
        </w:tc>
        <w:tc>
          <w:tcPr>
            <w:tcW w:w="1134" w:type="dxa"/>
            <w:tcBorders>
              <w:top w:val="single" w:sz="8" w:space="0" w:color="auto"/>
              <w:bottom w:val="single" w:sz="8" w:space="0" w:color="auto"/>
            </w:tcBorders>
            <w:shd w:val="clear" w:color="auto" w:fill="auto"/>
            <w:hideMark/>
          </w:tcPr>
          <w:p w14:paraId="01C22D46" w14:textId="77777777" w:rsidR="00A21FE4" w:rsidRPr="00CF31E0" w:rsidRDefault="00A21FE4" w:rsidP="00980C3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356CE3CF" w14:textId="77777777" w:rsidR="00A21FE4" w:rsidRPr="00CF31E0" w:rsidRDefault="00A21FE4" w:rsidP="00980C3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3B9D3AF3" w14:textId="77777777" w:rsidTr="00A21FE4">
        <w:trPr>
          <w:trHeight w:val="567"/>
        </w:trPr>
        <w:tc>
          <w:tcPr>
            <w:tcW w:w="2235" w:type="dxa"/>
            <w:tcBorders>
              <w:top w:val="single" w:sz="8" w:space="0" w:color="auto"/>
            </w:tcBorders>
            <w:shd w:val="clear" w:color="auto" w:fill="auto"/>
            <w:vAlign w:val="bottom"/>
          </w:tcPr>
          <w:p w14:paraId="2C7EB9BA" w14:textId="77777777" w:rsidR="00A21FE4" w:rsidRPr="00CF31E0" w:rsidRDefault="00A21FE4" w:rsidP="00980C3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14A7D097" w14:textId="77777777" w:rsidR="00A21FE4" w:rsidRPr="00CF31E0" w:rsidRDefault="00A21FE4" w:rsidP="00980C3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1.696</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0490A1D6" w14:textId="77777777" w:rsidR="00A21FE4" w:rsidRPr="00CF31E0" w:rsidRDefault="00A21FE4" w:rsidP="00980C3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.638</w:t>
            </w:r>
          </w:p>
        </w:tc>
      </w:tr>
      <w:tr w:rsidR="00A21FE4" w:rsidRPr="00CF31E0" w14:paraId="55E6E8CB" w14:textId="77777777" w:rsidTr="00A21FE4">
        <w:trPr>
          <w:trHeight w:val="567"/>
        </w:trPr>
        <w:tc>
          <w:tcPr>
            <w:tcW w:w="2235" w:type="dxa"/>
            <w:tcBorders>
              <w:bottom w:val="single" w:sz="8" w:space="0" w:color="auto"/>
            </w:tcBorders>
            <w:shd w:val="clear" w:color="auto" w:fill="auto"/>
            <w:vAlign w:val="bottom"/>
          </w:tcPr>
          <w:p w14:paraId="19EB5C90" w14:textId="77777777" w:rsidR="00A21FE4" w:rsidRPr="00CF31E0" w:rsidRDefault="00A21FE4" w:rsidP="00980C3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lastRenderedPageBreak/>
              <w:t>N of Valid Cases</w:t>
            </w:r>
          </w:p>
        </w:tc>
        <w:tc>
          <w:tcPr>
            <w:tcW w:w="1134" w:type="dxa"/>
            <w:tcBorders>
              <w:bottom w:val="single" w:sz="8" w:space="0" w:color="auto"/>
            </w:tcBorders>
            <w:shd w:val="clear" w:color="auto" w:fill="auto"/>
            <w:vAlign w:val="bottom"/>
          </w:tcPr>
          <w:p w14:paraId="754AC372" w14:textId="77777777" w:rsidR="00A21FE4" w:rsidRPr="00CF31E0" w:rsidRDefault="00A21FE4" w:rsidP="00980C3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316A4BB3" w14:textId="77777777" w:rsidR="00A21FE4" w:rsidRPr="00CF31E0" w:rsidRDefault="00A21FE4" w:rsidP="00980C34">
            <w:pPr>
              <w:spacing w:after="200" w:line="276" w:lineRule="auto"/>
              <w:jc w:val="center"/>
              <w:rPr>
                <w:rFonts w:eastAsia="Calibri"/>
                <w:color w:val="000000" w:themeColor="text1"/>
                <w:sz w:val="22"/>
                <w:szCs w:val="22"/>
                <w:lang w:eastAsia="en-US"/>
              </w:rPr>
            </w:pPr>
          </w:p>
        </w:tc>
      </w:tr>
    </w:tbl>
    <w:p w14:paraId="6D00D904" w14:textId="77777777" w:rsidR="00980C34" w:rsidRPr="00CF31E0" w:rsidRDefault="00980C34" w:rsidP="00DF1804">
      <w:pPr>
        <w:rPr>
          <w:color w:val="000000" w:themeColor="text1"/>
          <w:lang w:eastAsia="en-US"/>
        </w:rPr>
      </w:pPr>
    </w:p>
    <w:p w14:paraId="249B8BFF" w14:textId="77777777" w:rsidR="00980C34" w:rsidRPr="00CF31E0" w:rsidRDefault="00980C34"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74CA849F" w14:textId="77777777" w:rsidTr="00A21FE4">
        <w:trPr>
          <w:trHeight w:val="567"/>
        </w:trPr>
        <w:tc>
          <w:tcPr>
            <w:tcW w:w="2235" w:type="dxa"/>
            <w:tcBorders>
              <w:top w:val="single" w:sz="8" w:space="0" w:color="auto"/>
              <w:bottom w:val="single" w:sz="8" w:space="0" w:color="auto"/>
            </w:tcBorders>
            <w:shd w:val="clear" w:color="auto" w:fill="auto"/>
            <w:hideMark/>
          </w:tcPr>
          <w:p w14:paraId="010C060C" w14:textId="77777777" w:rsidR="00A21FE4" w:rsidRPr="00CF31E0" w:rsidRDefault="00A21FE4" w:rsidP="00980C3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Marital status</w:t>
            </w:r>
          </w:p>
        </w:tc>
        <w:tc>
          <w:tcPr>
            <w:tcW w:w="1134" w:type="dxa"/>
            <w:tcBorders>
              <w:top w:val="single" w:sz="8" w:space="0" w:color="auto"/>
              <w:bottom w:val="single" w:sz="8" w:space="0" w:color="auto"/>
            </w:tcBorders>
            <w:shd w:val="clear" w:color="auto" w:fill="auto"/>
            <w:hideMark/>
          </w:tcPr>
          <w:p w14:paraId="45509901" w14:textId="77777777" w:rsidR="00A21FE4" w:rsidRPr="00CF31E0" w:rsidRDefault="00A21FE4" w:rsidP="00980C3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72B715C1" w14:textId="77777777" w:rsidR="00A21FE4" w:rsidRPr="00CF31E0" w:rsidRDefault="00A21FE4" w:rsidP="00980C3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164D1B6C" w14:textId="77777777" w:rsidTr="00A21FE4">
        <w:trPr>
          <w:trHeight w:val="567"/>
        </w:trPr>
        <w:tc>
          <w:tcPr>
            <w:tcW w:w="2235" w:type="dxa"/>
            <w:tcBorders>
              <w:top w:val="single" w:sz="8" w:space="0" w:color="auto"/>
            </w:tcBorders>
            <w:shd w:val="clear" w:color="auto" w:fill="auto"/>
            <w:vAlign w:val="bottom"/>
          </w:tcPr>
          <w:p w14:paraId="184EBD2D" w14:textId="77777777" w:rsidR="00A21FE4" w:rsidRPr="00CF31E0" w:rsidRDefault="00A21FE4" w:rsidP="00980C3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1FBC331A" w14:textId="77777777" w:rsidR="00A21FE4" w:rsidRPr="00CF31E0" w:rsidRDefault="00A21FE4" w:rsidP="00980C3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8.395</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53DE681E" w14:textId="77777777" w:rsidR="00A21FE4" w:rsidRPr="00CF31E0" w:rsidRDefault="00A21FE4" w:rsidP="00980C3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.211</w:t>
            </w:r>
          </w:p>
        </w:tc>
      </w:tr>
      <w:tr w:rsidR="00A21FE4" w:rsidRPr="00CF31E0" w14:paraId="4FE7819F" w14:textId="77777777" w:rsidTr="00A21FE4">
        <w:trPr>
          <w:trHeight w:val="567"/>
        </w:trPr>
        <w:tc>
          <w:tcPr>
            <w:tcW w:w="2235" w:type="dxa"/>
            <w:tcBorders>
              <w:bottom w:val="single" w:sz="8" w:space="0" w:color="auto"/>
            </w:tcBorders>
            <w:shd w:val="clear" w:color="auto" w:fill="auto"/>
            <w:vAlign w:val="bottom"/>
          </w:tcPr>
          <w:p w14:paraId="2721AD84" w14:textId="77777777" w:rsidR="00A21FE4" w:rsidRPr="00CF31E0" w:rsidRDefault="00A21FE4" w:rsidP="00980C3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520A6C08" w14:textId="77777777" w:rsidR="00A21FE4" w:rsidRPr="00CF31E0" w:rsidRDefault="00A21FE4" w:rsidP="00980C3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34FC58CD" w14:textId="77777777" w:rsidR="00A21FE4" w:rsidRPr="00CF31E0" w:rsidRDefault="00A21FE4" w:rsidP="00980C34">
            <w:pPr>
              <w:spacing w:after="200" w:line="276" w:lineRule="auto"/>
              <w:jc w:val="center"/>
              <w:rPr>
                <w:rFonts w:eastAsia="Calibri"/>
                <w:color w:val="000000" w:themeColor="text1"/>
                <w:sz w:val="22"/>
                <w:szCs w:val="22"/>
                <w:lang w:eastAsia="en-US"/>
              </w:rPr>
            </w:pPr>
          </w:p>
        </w:tc>
      </w:tr>
    </w:tbl>
    <w:p w14:paraId="1DE7DFD3" w14:textId="77777777" w:rsidR="00980C34" w:rsidRPr="00CF31E0" w:rsidRDefault="00980C34" w:rsidP="00DF1804">
      <w:pPr>
        <w:rPr>
          <w:color w:val="000000" w:themeColor="text1"/>
          <w:lang w:eastAsia="en-US"/>
        </w:rPr>
      </w:pPr>
    </w:p>
    <w:p w14:paraId="7F4AD968" w14:textId="77777777" w:rsidR="00980C34" w:rsidRPr="00CF31E0" w:rsidRDefault="00980C34"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09EB8FF0" w14:textId="77777777" w:rsidTr="00A21FE4">
        <w:trPr>
          <w:trHeight w:val="567"/>
        </w:trPr>
        <w:tc>
          <w:tcPr>
            <w:tcW w:w="2235" w:type="dxa"/>
            <w:tcBorders>
              <w:top w:val="single" w:sz="8" w:space="0" w:color="auto"/>
              <w:bottom w:val="single" w:sz="8" w:space="0" w:color="auto"/>
            </w:tcBorders>
            <w:shd w:val="clear" w:color="auto" w:fill="auto"/>
            <w:hideMark/>
          </w:tcPr>
          <w:p w14:paraId="39B4D178" w14:textId="77777777" w:rsidR="00A21FE4" w:rsidRPr="00CF31E0" w:rsidRDefault="00A21FE4" w:rsidP="00980C3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Mother’s social group</w:t>
            </w:r>
          </w:p>
        </w:tc>
        <w:tc>
          <w:tcPr>
            <w:tcW w:w="1134" w:type="dxa"/>
            <w:tcBorders>
              <w:top w:val="single" w:sz="8" w:space="0" w:color="auto"/>
              <w:bottom w:val="single" w:sz="8" w:space="0" w:color="auto"/>
            </w:tcBorders>
            <w:shd w:val="clear" w:color="auto" w:fill="auto"/>
            <w:hideMark/>
          </w:tcPr>
          <w:p w14:paraId="68D4B6AB" w14:textId="77777777" w:rsidR="00A21FE4" w:rsidRPr="00CF31E0" w:rsidRDefault="00A21FE4" w:rsidP="00980C3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530F3831" w14:textId="77777777" w:rsidR="00A21FE4" w:rsidRPr="00CF31E0" w:rsidRDefault="00A21FE4" w:rsidP="00980C3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7884C5F8" w14:textId="77777777" w:rsidTr="00A21FE4">
        <w:trPr>
          <w:trHeight w:val="567"/>
        </w:trPr>
        <w:tc>
          <w:tcPr>
            <w:tcW w:w="2235" w:type="dxa"/>
            <w:tcBorders>
              <w:top w:val="single" w:sz="8" w:space="0" w:color="auto"/>
            </w:tcBorders>
            <w:shd w:val="clear" w:color="auto" w:fill="auto"/>
            <w:vAlign w:val="bottom"/>
          </w:tcPr>
          <w:p w14:paraId="2CFD9F63" w14:textId="77777777" w:rsidR="00A21FE4" w:rsidRPr="00CF31E0" w:rsidRDefault="00A21FE4" w:rsidP="00980C3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18D87175" w14:textId="77777777" w:rsidR="00A21FE4" w:rsidRPr="00CF31E0" w:rsidRDefault="00A21FE4" w:rsidP="00980C3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133.837</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11475496" w14:textId="77777777" w:rsidR="00A21FE4" w:rsidRPr="00CF31E0" w:rsidRDefault="00A21FE4" w:rsidP="00980C34">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.000</w:t>
            </w:r>
          </w:p>
        </w:tc>
      </w:tr>
      <w:tr w:rsidR="00A21FE4" w:rsidRPr="00CF31E0" w14:paraId="576AEFD2" w14:textId="77777777" w:rsidTr="00A21FE4">
        <w:trPr>
          <w:trHeight w:val="567"/>
        </w:trPr>
        <w:tc>
          <w:tcPr>
            <w:tcW w:w="2235" w:type="dxa"/>
            <w:tcBorders>
              <w:bottom w:val="single" w:sz="8" w:space="0" w:color="auto"/>
            </w:tcBorders>
            <w:shd w:val="clear" w:color="auto" w:fill="auto"/>
            <w:vAlign w:val="bottom"/>
          </w:tcPr>
          <w:p w14:paraId="18ABC63D" w14:textId="77777777" w:rsidR="00A21FE4" w:rsidRPr="00CF31E0" w:rsidRDefault="00A21FE4" w:rsidP="00980C3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10E0D17A" w14:textId="77777777" w:rsidR="00A21FE4" w:rsidRPr="00CF31E0" w:rsidRDefault="00A21FE4" w:rsidP="00980C3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3B4B6B94" w14:textId="77777777" w:rsidR="00A21FE4" w:rsidRPr="00CF31E0" w:rsidRDefault="00A21FE4" w:rsidP="00980C34">
            <w:pPr>
              <w:spacing w:after="200" w:line="276" w:lineRule="auto"/>
              <w:jc w:val="center"/>
              <w:rPr>
                <w:rFonts w:eastAsia="Calibri"/>
                <w:color w:val="000000" w:themeColor="text1"/>
                <w:sz w:val="22"/>
                <w:szCs w:val="22"/>
                <w:lang w:eastAsia="en-US"/>
              </w:rPr>
            </w:pPr>
          </w:p>
        </w:tc>
      </w:tr>
    </w:tbl>
    <w:p w14:paraId="7E012B36" w14:textId="77777777" w:rsidR="00C73201" w:rsidRPr="00CF31E0" w:rsidRDefault="00C73201" w:rsidP="00DF1804">
      <w:pPr>
        <w:rPr>
          <w:color w:val="000000" w:themeColor="text1"/>
          <w:lang w:eastAsia="en-US"/>
        </w:rPr>
      </w:pPr>
    </w:p>
    <w:p w14:paraId="7AACF0B8" w14:textId="77777777" w:rsidR="00C73201" w:rsidRPr="00CF31E0" w:rsidRDefault="00C73201"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4B8E3A18" w14:textId="77777777" w:rsidTr="00A21FE4">
        <w:trPr>
          <w:trHeight w:val="567"/>
        </w:trPr>
        <w:tc>
          <w:tcPr>
            <w:tcW w:w="2235" w:type="dxa"/>
            <w:tcBorders>
              <w:top w:val="single" w:sz="8" w:space="0" w:color="auto"/>
              <w:bottom w:val="single" w:sz="8" w:space="0" w:color="auto"/>
            </w:tcBorders>
            <w:shd w:val="clear" w:color="auto" w:fill="auto"/>
            <w:hideMark/>
          </w:tcPr>
          <w:p w14:paraId="3B45E01F" w14:textId="77777777" w:rsidR="00A21FE4" w:rsidRPr="00CF31E0" w:rsidRDefault="00A21FE4" w:rsidP="00051543">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Spouse’s social group</w:t>
            </w:r>
          </w:p>
        </w:tc>
        <w:tc>
          <w:tcPr>
            <w:tcW w:w="1134" w:type="dxa"/>
            <w:tcBorders>
              <w:top w:val="single" w:sz="8" w:space="0" w:color="auto"/>
              <w:bottom w:val="single" w:sz="8" w:space="0" w:color="auto"/>
            </w:tcBorders>
            <w:shd w:val="clear" w:color="auto" w:fill="auto"/>
            <w:hideMark/>
          </w:tcPr>
          <w:p w14:paraId="02B3E972" w14:textId="77777777" w:rsidR="00A21FE4" w:rsidRPr="00CF31E0" w:rsidRDefault="00A21FE4" w:rsidP="00051543">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291FFF34" w14:textId="77777777" w:rsidR="00A21FE4" w:rsidRPr="00CF31E0" w:rsidRDefault="00A21FE4" w:rsidP="00051543">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10282029" w14:textId="77777777" w:rsidTr="00A21FE4">
        <w:trPr>
          <w:trHeight w:val="567"/>
        </w:trPr>
        <w:tc>
          <w:tcPr>
            <w:tcW w:w="2235" w:type="dxa"/>
            <w:tcBorders>
              <w:top w:val="single" w:sz="8" w:space="0" w:color="auto"/>
            </w:tcBorders>
            <w:shd w:val="clear" w:color="auto" w:fill="auto"/>
            <w:vAlign w:val="bottom"/>
          </w:tcPr>
          <w:p w14:paraId="2A577A25" w14:textId="77777777" w:rsidR="00A21FE4" w:rsidRPr="00CF31E0" w:rsidRDefault="00A21FE4" w:rsidP="00051543">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78F5A598" w14:textId="77777777" w:rsidR="00A21FE4" w:rsidRPr="00CF31E0" w:rsidRDefault="00A21FE4" w:rsidP="00051543">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118.240</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34DFFE36" w14:textId="77777777" w:rsidR="00A21FE4" w:rsidRPr="00CF31E0" w:rsidRDefault="00A21FE4" w:rsidP="00051543">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.000</w:t>
            </w:r>
          </w:p>
        </w:tc>
      </w:tr>
      <w:tr w:rsidR="00A21FE4" w:rsidRPr="00CF31E0" w14:paraId="2EC78077" w14:textId="77777777" w:rsidTr="00A21FE4">
        <w:trPr>
          <w:trHeight w:val="567"/>
        </w:trPr>
        <w:tc>
          <w:tcPr>
            <w:tcW w:w="2235" w:type="dxa"/>
            <w:tcBorders>
              <w:bottom w:val="single" w:sz="8" w:space="0" w:color="auto"/>
            </w:tcBorders>
            <w:shd w:val="clear" w:color="auto" w:fill="auto"/>
            <w:vAlign w:val="bottom"/>
          </w:tcPr>
          <w:p w14:paraId="6E667466" w14:textId="77777777" w:rsidR="00A21FE4" w:rsidRPr="00CF31E0" w:rsidRDefault="00A21FE4" w:rsidP="00051543">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6B8C4D09" w14:textId="77777777" w:rsidR="00A21FE4" w:rsidRPr="00CF31E0" w:rsidRDefault="00A21FE4" w:rsidP="00051543">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07BB12A9" w14:textId="77777777" w:rsidR="00A21FE4" w:rsidRPr="00CF31E0" w:rsidRDefault="00A21FE4" w:rsidP="00051543">
            <w:pPr>
              <w:spacing w:after="200" w:line="276" w:lineRule="auto"/>
              <w:jc w:val="center"/>
              <w:rPr>
                <w:rFonts w:eastAsia="Calibri"/>
                <w:color w:val="000000" w:themeColor="text1"/>
                <w:sz w:val="22"/>
                <w:szCs w:val="22"/>
                <w:lang w:eastAsia="en-US"/>
              </w:rPr>
            </w:pPr>
          </w:p>
        </w:tc>
      </w:tr>
    </w:tbl>
    <w:p w14:paraId="3300B886" w14:textId="77777777" w:rsidR="00980C34" w:rsidRPr="00CF31E0" w:rsidRDefault="00980C34" w:rsidP="00DF1804">
      <w:pPr>
        <w:rPr>
          <w:color w:val="000000" w:themeColor="text1"/>
          <w:lang w:eastAsia="en-US"/>
        </w:rPr>
      </w:pPr>
    </w:p>
    <w:p w14:paraId="1CEDE3CA" w14:textId="77777777" w:rsidR="00051543" w:rsidRPr="00CF31E0" w:rsidRDefault="00051543"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6028E07F" w14:textId="77777777" w:rsidTr="00A21FE4">
        <w:trPr>
          <w:trHeight w:val="567"/>
        </w:trPr>
        <w:tc>
          <w:tcPr>
            <w:tcW w:w="2235" w:type="dxa"/>
            <w:tcBorders>
              <w:top w:val="single" w:sz="8" w:space="0" w:color="auto"/>
              <w:bottom w:val="single" w:sz="8" w:space="0" w:color="auto"/>
            </w:tcBorders>
            <w:shd w:val="clear" w:color="auto" w:fill="auto"/>
            <w:hideMark/>
          </w:tcPr>
          <w:p w14:paraId="787B58ED" w14:textId="77777777" w:rsidR="00A21FE4" w:rsidRPr="00CF31E0" w:rsidRDefault="00A21FE4" w:rsidP="00051543">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Education</w:t>
            </w:r>
          </w:p>
        </w:tc>
        <w:tc>
          <w:tcPr>
            <w:tcW w:w="1134" w:type="dxa"/>
            <w:tcBorders>
              <w:top w:val="single" w:sz="8" w:space="0" w:color="auto"/>
              <w:bottom w:val="single" w:sz="8" w:space="0" w:color="auto"/>
            </w:tcBorders>
            <w:shd w:val="clear" w:color="auto" w:fill="auto"/>
            <w:hideMark/>
          </w:tcPr>
          <w:p w14:paraId="2F0F7C14" w14:textId="77777777" w:rsidR="00A21FE4" w:rsidRPr="00CF31E0" w:rsidRDefault="00A21FE4" w:rsidP="00051543">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2B61C0A9" w14:textId="77777777" w:rsidR="00A21FE4" w:rsidRPr="00CF31E0" w:rsidRDefault="00A21FE4" w:rsidP="00051543">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0EB06301" w14:textId="77777777" w:rsidTr="00A21FE4">
        <w:trPr>
          <w:trHeight w:val="567"/>
        </w:trPr>
        <w:tc>
          <w:tcPr>
            <w:tcW w:w="2235" w:type="dxa"/>
            <w:tcBorders>
              <w:top w:val="single" w:sz="8" w:space="0" w:color="auto"/>
            </w:tcBorders>
            <w:shd w:val="clear" w:color="auto" w:fill="auto"/>
            <w:vAlign w:val="bottom"/>
          </w:tcPr>
          <w:p w14:paraId="1B394C18" w14:textId="77777777" w:rsidR="00A21FE4" w:rsidRPr="00CF31E0" w:rsidRDefault="00A21FE4" w:rsidP="00051543">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0028F40A" w14:textId="14C57890" w:rsidR="00A21FE4" w:rsidRPr="00CF31E0" w:rsidRDefault="00A21FE4" w:rsidP="00051543">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11.515</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702320DB" w14:textId="77777777" w:rsidR="00A21FE4" w:rsidRPr="00CF31E0" w:rsidRDefault="00A21FE4" w:rsidP="00051543">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.074</w:t>
            </w:r>
          </w:p>
        </w:tc>
      </w:tr>
      <w:tr w:rsidR="00A21FE4" w:rsidRPr="00CF31E0" w14:paraId="291BDDD6" w14:textId="77777777" w:rsidTr="00A21FE4">
        <w:trPr>
          <w:trHeight w:val="567"/>
        </w:trPr>
        <w:tc>
          <w:tcPr>
            <w:tcW w:w="2235" w:type="dxa"/>
            <w:tcBorders>
              <w:bottom w:val="single" w:sz="8" w:space="0" w:color="auto"/>
            </w:tcBorders>
            <w:shd w:val="clear" w:color="auto" w:fill="auto"/>
            <w:vAlign w:val="bottom"/>
          </w:tcPr>
          <w:p w14:paraId="1FD2D0FE" w14:textId="77777777" w:rsidR="00A21FE4" w:rsidRPr="00CF31E0" w:rsidRDefault="00A21FE4" w:rsidP="00051543">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75A85984" w14:textId="77777777" w:rsidR="00A21FE4" w:rsidRPr="00CF31E0" w:rsidRDefault="00A21FE4" w:rsidP="00051543">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6440E847" w14:textId="77777777" w:rsidR="00A21FE4" w:rsidRPr="00CF31E0" w:rsidRDefault="00A21FE4" w:rsidP="00051543">
            <w:pPr>
              <w:spacing w:after="200" w:line="276" w:lineRule="auto"/>
              <w:jc w:val="center"/>
              <w:rPr>
                <w:rFonts w:eastAsia="Calibri"/>
                <w:color w:val="000000" w:themeColor="text1"/>
                <w:sz w:val="22"/>
                <w:szCs w:val="22"/>
                <w:lang w:eastAsia="en-US"/>
              </w:rPr>
            </w:pPr>
          </w:p>
        </w:tc>
      </w:tr>
    </w:tbl>
    <w:p w14:paraId="73CCE552" w14:textId="77777777" w:rsidR="00051543" w:rsidRPr="00CF31E0" w:rsidRDefault="00051543" w:rsidP="00DF1804">
      <w:pPr>
        <w:rPr>
          <w:color w:val="000000" w:themeColor="text1"/>
          <w:lang w:eastAsia="en-US"/>
        </w:rPr>
      </w:pPr>
    </w:p>
    <w:p w14:paraId="0C798D37" w14:textId="77777777" w:rsidR="00051543" w:rsidRPr="00CF31E0" w:rsidRDefault="00051543" w:rsidP="00DF180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A21FE4" w:rsidRPr="00CF31E0" w14:paraId="4E9B0355" w14:textId="77777777" w:rsidTr="00A21FE4">
        <w:trPr>
          <w:trHeight w:val="567"/>
        </w:trPr>
        <w:tc>
          <w:tcPr>
            <w:tcW w:w="2235" w:type="dxa"/>
            <w:tcBorders>
              <w:top w:val="single" w:sz="8" w:space="0" w:color="auto"/>
              <w:bottom w:val="single" w:sz="8" w:space="0" w:color="auto"/>
            </w:tcBorders>
            <w:shd w:val="clear" w:color="auto" w:fill="auto"/>
            <w:hideMark/>
          </w:tcPr>
          <w:p w14:paraId="7B49BA87" w14:textId="77777777" w:rsidR="00A21FE4" w:rsidRPr="00CF31E0" w:rsidRDefault="00A21FE4" w:rsidP="00051543">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Age</w:t>
            </w:r>
          </w:p>
        </w:tc>
        <w:tc>
          <w:tcPr>
            <w:tcW w:w="1134" w:type="dxa"/>
            <w:tcBorders>
              <w:top w:val="single" w:sz="8" w:space="0" w:color="auto"/>
              <w:bottom w:val="single" w:sz="8" w:space="0" w:color="auto"/>
            </w:tcBorders>
            <w:shd w:val="clear" w:color="auto" w:fill="auto"/>
            <w:hideMark/>
          </w:tcPr>
          <w:p w14:paraId="5685C2C1" w14:textId="77777777" w:rsidR="00A21FE4" w:rsidRPr="00CF31E0" w:rsidRDefault="00A21FE4" w:rsidP="00051543">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1BEC2D85" w14:textId="77777777" w:rsidR="00A21FE4" w:rsidRPr="00CF31E0" w:rsidRDefault="00A21FE4" w:rsidP="00051543">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A21FE4" w:rsidRPr="00CF31E0" w14:paraId="31870246" w14:textId="77777777" w:rsidTr="00A21FE4">
        <w:trPr>
          <w:trHeight w:val="567"/>
        </w:trPr>
        <w:tc>
          <w:tcPr>
            <w:tcW w:w="2235" w:type="dxa"/>
            <w:tcBorders>
              <w:top w:val="single" w:sz="8" w:space="0" w:color="auto"/>
            </w:tcBorders>
            <w:shd w:val="clear" w:color="auto" w:fill="auto"/>
            <w:vAlign w:val="bottom"/>
          </w:tcPr>
          <w:p w14:paraId="2BDBC0AD" w14:textId="77777777" w:rsidR="00A21FE4" w:rsidRPr="00CF31E0" w:rsidRDefault="00A21FE4" w:rsidP="00051543">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287B7CCC" w14:textId="77777777" w:rsidR="00A21FE4" w:rsidRPr="00CF31E0" w:rsidRDefault="00A21FE4" w:rsidP="00051543">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10.038</w:t>
            </w:r>
            <w:r w:rsidRPr="00CF31E0">
              <w:rPr>
                <w:rFonts w:eastAsia="Calibr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6242A37E" w14:textId="77777777" w:rsidR="00A21FE4" w:rsidRPr="00CF31E0" w:rsidRDefault="00A21FE4" w:rsidP="00051543">
            <w:pPr>
              <w:spacing w:after="200" w:line="276" w:lineRule="auto"/>
              <w:jc w:val="center"/>
              <w:rPr>
                <w:rFonts w:eastAsia="Calibri"/>
                <w:color w:val="000000" w:themeColor="text1"/>
                <w:sz w:val="22"/>
                <w:szCs w:val="22"/>
                <w:lang w:eastAsia="en-US"/>
              </w:rPr>
            </w:pPr>
            <w:r w:rsidRPr="00CF31E0">
              <w:rPr>
                <w:rFonts w:eastAsia="Calibri"/>
                <w:color w:val="000000" w:themeColor="text1"/>
                <w:sz w:val="22"/>
                <w:szCs w:val="22"/>
                <w:lang w:eastAsia="en-US"/>
              </w:rPr>
              <w:t>.613</w:t>
            </w:r>
          </w:p>
        </w:tc>
      </w:tr>
      <w:tr w:rsidR="00A21FE4" w:rsidRPr="00CF31E0" w14:paraId="30AB5BAC" w14:textId="77777777" w:rsidTr="00A21FE4">
        <w:trPr>
          <w:trHeight w:val="567"/>
        </w:trPr>
        <w:tc>
          <w:tcPr>
            <w:tcW w:w="2235" w:type="dxa"/>
            <w:tcBorders>
              <w:bottom w:val="single" w:sz="8" w:space="0" w:color="auto"/>
            </w:tcBorders>
            <w:shd w:val="clear" w:color="auto" w:fill="auto"/>
            <w:vAlign w:val="bottom"/>
          </w:tcPr>
          <w:p w14:paraId="236F07AE" w14:textId="77777777" w:rsidR="00A21FE4" w:rsidRPr="00CF31E0" w:rsidRDefault="00A21FE4" w:rsidP="00051543">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7586664A" w14:textId="77777777" w:rsidR="00A21FE4" w:rsidRPr="00CF31E0" w:rsidRDefault="00A21FE4" w:rsidP="00051543">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649</w:t>
            </w:r>
          </w:p>
        </w:tc>
        <w:tc>
          <w:tcPr>
            <w:tcW w:w="3260" w:type="dxa"/>
            <w:tcBorders>
              <w:bottom w:val="single" w:sz="8" w:space="0" w:color="auto"/>
            </w:tcBorders>
            <w:shd w:val="clear" w:color="auto" w:fill="auto"/>
            <w:vAlign w:val="bottom"/>
          </w:tcPr>
          <w:p w14:paraId="1E8D6012" w14:textId="77777777" w:rsidR="00A21FE4" w:rsidRPr="00CF31E0" w:rsidRDefault="00A21FE4" w:rsidP="00051543">
            <w:pPr>
              <w:spacing w:after="200" w:line="276" w:lineRule="auto"/>
              <w:jc w:val="center"/>
              <w:rPr>
                <w:rFonts w:eastAsia="Calibri"/>
                <w:color w:val="000000" w:themeColor="text1"/>
                <w:sz w:val="22"/>
                <w:szCs w:val="22"/>
                <w:lang w:eastAsia="en-US"/>
              </w:rPr>
            </w:pPr>
          </w:p>
        </w:tc>
      </w:tr>
    </w:tbl>
    <w:p w14:paraId="7218D71C" w14:textId="77777777" w:rsidR="00051543" w:rsidRPr="00CF31E0" w:rsidRDefault="00051543" w:rsidP="00DF1804">
      <w:pPr>
        <w:rPr>
          <w:color w:val="000000" w:themeColor="text1"/>
          <w:lang w:eastAsia="en-US"/>
        </w:rPr>
      </w:pPr>
    </w:p>
    <w:p w14:paraId="0A4ADB37" w14:textId="77777777" w:rsidR="00051543" w:rsidRPr="00CF31E0" w:rsidRDefault="00051543" w:rsidP="00DF1804">
      <w:pPr>
        <w:rPr>
          <w:color w:val="000000" w:themeColor="text1"/>
          <w:lang w:eastAsia="en-US"/>
        </w:rPr>
      </w:pPr>
    </w:p>
    <w:p w14:paraId="611BAF70" w14:textId="77777777" w:rsidR="00051543" w:rsidRPr="00CF31E0" w:rsidRDefault="00051543" w:rsidP="00DF1804">
      <w:pPr>
        <w:rPr>
          <w:color w:val="000000" w:themeColor="text1"/>
          <w:lang w:eastAsia="en-US"/>
        </w:rPr>
      </w:pPr>
    </w:p>
    <w:p w14:paraId="7F177378" w14:textId="77777777" w:rsidR="00051543" w:rsidRPr="00CF31E0" w:rsidRDefault="00051543">
      <w:pPr>
        <w:pStyle w:val="Title"/>
        <w:rPr>
          <w:color w:val="000000" w:themeColor="text1"/>
          <w:lang w:eastAsia="en-US"/>
        </w:rPr>
        <w:sectPr w:rsidR="00051543" w:rsidRPr="00CF31E0" w:rsidSect="00B9532F">
          <w:pgSz w:w="11900" w:h="16840"/>
          <w:pgMar w:top="1440" w:right="2268" w:bottom="1440" w:left="2268" w:header="708" w:footer="708" w:gutter="0"/>
          <w:cols w:space="708"/>
          <w:docGrid w:linePitch="360"/>
        </w:sectPr>
      </w:pPr>
    </w:p>
    <w:p w14:paraId="6E9E9CE1" w14:textId="188CA432" w:rsidR="00C90CEE" w:rsidRPr="00CF31E0" w:rsidRDefault="00C90CEE" w:rsidP="00603CB7">
      <w:pPr>
        <w:pStyle w:val="Title"/>
        <w:spacing w:after="400"/>
        <w:contextualSpacing w:val="0"/>
        <w:rPr>
          <w:color w:val="000000" w:themeColor="text1"/>
          <w:lang w:eastAsia="en-US"/>
        </w:rPr>
      </w:pPr>
      <w:bookmarkStart w:id="1220" w:name="_Toc6472844"/>
      <w:r w:rsidRPr="00CF31E0">
        <w:rPr>
          <w:color w:val="000000" w:themeColor="text1"/>
          <w:lang w:eastAsia="en-US"/>
        </w:rPr>
        <w:lastRenderedPageBreak/>
        <w:t>Appendix 3</w:t>
      </w:r>
      <w:r w:rsidR="00051543" w:rsidRPr="00CF31E0">
        <w:rPr>
          <w:color w:val="000000" w:themeColor="text1"/>
          <w:lang w:eastAsia="en-US"/>
        </w:rPr>
        <w:t>: RQ2</w:t>
      </w:r>
      <w:r w:rsidR="002940F0" w:rsidRPr="00CF31E0">
        <w:rPr>
          <w:color w:val="000000" w:themeColor="text1"/>
          <w:lang w:eastAsia="en-US"/>
        </w:rPr>
        <w:t xml:space="preserve"> results</w:t>
      </w:r>
      <w:bookmarkEnd w:id="1220"/>
    </w:p>
    <w:p w14:paraId="0CBC9F15" w14:textId="67FEDD74" w:rsidR="00051543" w:rsidRPr="00CF31E0" w:rsidRDefault="00051543" w:rsidP="00051543">
      <w:pPr>
        <w:numPr>
          <w:ilvl w:val="0"/>
          <w:numId w:val="71"/>
        </w:numPr>
        <w:rPr>
          <w:color w:val="000000" w:themeColor="text1"/>
          <w:lang w:eastAsia="en-US"/>
        </w:rPr>
      </w:pPr>
      <w:r w:rsidRPr="00CF31E0">
        <w:rPr>
          <w:b/>
          <w:bCs/>
          <w:color w:val="000000" w:themeColor="text1"/>
          <w:lang w:eastAsia="en-US"/>
        </w:rPr>
        <w:t>ANOVA re</w:t>
      </w:r>
      <w:r w:rsidR="004E4B0B" w:rsidRPr="00CF31E0">
        <w:rPr>
          <w:b/>
          <w:bCs/>
          <w:color w:val="000000" w:themeColor="text1"/>
          <w:lang w:eastAsia="en-US"/>
        </w:rPr>
        <w:t>sults for both factors from UBH</w:t>
      </w:r>
      <w:r w:rsidRPr="00CF31E0">
        <w:rPr>
          <w:b/>
          <w:bCs/>
          <w:color w:val="000000" w:themeColor="text1"/>
          <w:lang w:eastAsia="en-US"/>
        </w:rPr>
        <w:t>s</w:t>
      </w:r>
      <w:r w:rsidR="004E4B0B" w:rsidRPr="00CF31E0">
        <w:rPr>
          <w:b/>
          <w:bCs/>
          <w:color w:val="000000" w:themeColor="text1"/>
          <w:lang w:eastAsia="en-US"/>
        </w:rPr>
        <w:t>’</w:t>
      </w:r>
      <w:r w:rsidRPr="00CF31E0">
        <w:rPr>
          <w:b/>
          <w:bCs/>
          <w:color w:val="000000" w:themeColor="text1"/>
          <w:lang w:eastAsia="en-US"/>
        </w:rPr>
        <w:t xml:space="preserve"> perceptions</w:t>
      </w:r>
    </w:p>
    <w:p w14:paraId="6F2DCA21" w14:textId="77777777" w:rsidR="00051543" w:rsidRPr="00CF31E0" w:rsidRDefault="00051543"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2"/>
        <w:gridCol w:w="1443"/>
        <w:gridCol w:w="1030"/>
        <w:gridCol w:w="674"/>
      </w:tblGrid>
      <w:tr w:rsidR="004E4B0B" w:rsidRPr="00CF31E0" w14:paraId="0DF6365E" w14:textId="77777777" w:rsidTr="00DB6FA6">
        <w:trPr>
          <w:cantSplit/>
        </w:trPr>
        <w:tc>
          <w:tcPr>
            <w:tcW w:w="7391" w:type="dxa"/>
            <w:gridSpan w:val="6"/>
            <w:tcBorders>
              <w:top w:val="single" w:sz="8" w:space="0" w:color="auto"/>
              <w:bottom w:val="single" w:sz="8" w:space="0" w:color="auto"/>
            </w:tcBorders>
            <w:shd w:val="clear" w:color="auto" w:fill="FFFFFF"/>
            <w:vAlign w:val="bottom"/>
          </w:tcPr>
          <w:p w14:paraId="1A1E0D70" w14:textId="77777777" w:rsidR="004E4B0B" w:rsidRPr="00CF31E0" w:rsidRDefault="004E4B0B" w:rsidP="004E4B0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Modern factor (UBH dialect)</w:t>
            </w:r>
          </w:p>
        </w:tc>
      </w:tr>
      <w:tr w:rsidR="004E4B0B" w:rsidRPr="00CF31E0" w14:paraId="67CBB882" w14:textId="77777777" w:rsidTr="00D0193D">
        <w:trPr>
          <w:cantSplit/>
          <w:trHeight w:val="650"/>
        </w:trPr>
        <w:tc>
          <w:tcPr>
            <w:tcW w:w="1736" w:type="dxa"/>
            <w:tcBorders>
              <w:top w:val="single" w:sz="8" w:space="0" w:color="auto"/>
              <w:bottom w:val="single" w:sz="6" w:space="0" w:color="auto"/>
            </w:tcBorders>
            <w:shd w:val="clear" w:color="auto" w:fill="FFFFFF"/>
            <w:vAlign w:val="bottom"/>
          </w:tcPr>
          <w:p w14:paraId="39905BDC" w14:textId="77777777" w:rsidR="004E4B0B" w:rsidRPr="00CF31E0" w:rsidRDefault="004E4B0B" w:rsidP="004E4B0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Age</w:t>
            </w:r>
          </w:p>
        </w:tc>
        <w:tc>
          <w:tcPr>
            <w:tcW w:w="1686" w:type="dxa"/>
            <w:tcBorders>
              <w:top w:val="single" w:sz="8" w:space="0" w:color="auto"/>
              <w:bottom w:val="single" w:sz="6" w:space="0" w:color="auto"/>
            </w:tcBorders>
            <w:shd w:val="clear" w:color="auto" w:fill="FFFFFF"/>
            <w:vAlign w:val="bottom"/>
          </w:tcPr>
          <w:p w14:paraId="7220EB19" w14:textId="77777777" w:rsidR="004E4B0B" w:rsidRPr="00CF31E0" w:rsidRDefault="004E4B0B" w:rsidP="004E4B0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2" w:type="dxa"/>
            <w:tcBorders>
              <w:top w:val="single" w:sz="8" w:space="0" w:color="auto"/>
              <w:bottom w:val="single" w:sz="6" w:space="0" w:color="auto"/>
            </w:tcBorders>
            <w:shd w:val="clear" w:color="auto" w:fill="FFFFFF"/>
            <w:vAlign w:val="bottom"/>
          </w:tcPr>
          <w:p w14:paraId="73E818A9" w14:textId="77777777" w:rsidR="004E4B0B" w:rsidRPr="00CF31E0" w:rsidRDefault="004E4B0B" w:rsidP="004E4B0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3" w:type="dxa"/>
            <w:tcBorders>
              <w:top w:val="single" w:sz="8" w:space="0" w:color="auto"/>
              <w:bottom w:val="single" w:sz="6" w:space="0" w:color="auto"/>
            </w:tcBorders>
            <w:shd w:val="clear" w:color="auto" w:fill="FFFFFF"/>
            <w:vAlign w:val="bottom"/>
          </w:tcPr>
          <w:p w14:paraId="2A0711E4" w14:textId="77777777" w:rsidR="004E4B0B" w:rsidRPr="00CF31E0" w:rsidRDefault="004E4B0B" w:rsidP="004E4B0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6C463377" w14:textId="77777777" w:rsidR="004E4B0B" w:rsidRPr="00CF31E0" w:rsidRDefault="004E4B0B" w:rsidP="004E4B0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5C313BB0" w14:textId="77777777" w:rsidR="004E4B0B" w:rsidRPr="00CF31E0" w:rsidRDefault="004E4B0B" w:rsidP="004E4B0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4E4B0B" w:rsidRPr="00CF31E0" w14:paraId="0C164896" w14:textId="77777777" w:rsidTr="00D0193D">
        <w:trPr>
          <w:cantSplit/>
        </w:trPr>
        <w:tc>
          <w:tcPr>
            <w:tcW w:w="1736" w:type="dxa"/>
            <w:tcBorders>
              <w:top w:val="single" w:sz="6" w:space="0" w:color="auto"/>
              <w:bottom w:val="nil"/>
            </w:tcBorders>
            <w:shd w:val="clear" w:color="auto" w:fill="FFFFFF"/>
          </w:tcPr>
          <w:p w14:paraId="0D7250CF" w14:textId="77777777" w:rsidR="004E4B0B" w:rsidRPr="00CF31E0" w:rsidRDefault="004E4B0B" w:rsidP="004E4B0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tcPr>
          <w:p w14:paraId="7592D928" w14:textId="77777777" w:rsidR="004E4B0B" w:rsidRPr="00CF31E0" w:rsidRDefault="004E4B0B" w:rsidP="004E4B0B">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14.163</w:t>
            </w:r>
          </w:p>
        </w:tc>
        <w:tc>
          <w:tcPr>
            <w:tcW w:w="822" w:type="dxa"/>
            <w:tcBorders>
              <w:top w:val="single" w:sz="6" w:space="0" w:color="auto"/>
              <w:bottom w:val="nil"/>
            </w:tcBorders>
            <w:shd w:val="clear" w:color="auto" w:fill="FFFFFF"/>
          </w:tcPr>
          <w:p w14:paraId="1DA1CA12" w14:textId="77777777" w:rsidR="004E4B0B" w:rsidRPr="00CF31E0" w:rsidRDefault="004E4B0B" w:rsidP="004E4B0B">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5</w:t>
            </w:r>
          </w:p>
        </w:tc>
        <w:tc>
          <w:tcPr>
            <w:tcW w:w="1443" w:type="dxa"/>
            <w:tcBorders>
              <w:top w:val="single" w:sz="6" w:space="0" w:color="auto"/>
              <w:bottom w:val="nil"/>
            </w:tcBorders>
            <w:shd w:val="clear" w:color="auto" w:fill="FFFFFF"/>
          </w:tcPr>
          <w:p w14:paraId="62D1D5A6" w14:textId="77777777" w:rsidR="004E4B0B" w:rsidRPr="00CF31E0" w:rsidRDefault="004E4B0B" w:rsidP="004E4B0B">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2.833</w:t>
            </w:r>
          </w:p>
        </w:tc>
        <w:tc>
          <w:tcPr>
            <w:tcW w:w="1030" w:type="dxa"/>
            <w:tcBorders>
              <w:top w:val="single" w:sz="6" w:space="0" w:color="auto"/>
              <w:bottom w:val="nil"/>
            </w:tcBorders>
            <w:shd w:val="clear" w:color="auto" w:fill="FFFFFF"/>
            <w:vAlign w:val="center"/>
          </w:tcPr>
          <w:p w14:paraId="26FE3B97" w14:textId="77777777" w:rsidR="004E4B0B" w:rsidRPr="00CF31E0" w:rsidRDefault="004E4B0B" w:rsidP="004E4B0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1.605</w:t>
            </w:r>
          </w:p>
        </w:tc>
        <w:tc>
          <w:tcPr>
            <w:tcW w:w="674" w:type="dxa"/>
            <w:tcBorders>
              <w:top w:val="single" w:sz="6" w:space="0" w:color="auto"/>
              <w:bottom w:val="nil"/>
            </w:tcBorders>
            <w:shd w:val="clear" w:color="auto" w:fill="FFFFFF"/>
            <w:vAlign w:val="center"/>
          </w:tcPr>
          <w:p w14:paraId="0240D41F" w14:textId="77777777" w:rsidR="004E4B0B" w:rsidRPr="00CF31E0" w:rsidRDefault="004E4B0B" w:rsidP="004E4B0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.157</w:t>
            </w:r>
          </w:p>
        </w:tc>
      </w:tr>
      <w:tr w:rsidR="004E4B0B" w:rsidRPr="00CF31E0" w14:paraId="09848AC0" w14:textId="77777777" w:rsidTr="00D0193D">
        <w:trPr>
          <w:cantSplit/>
        </w:trPr>
        <w:tc>
          <w:tcPr>
            <w:tcW w:w="1736" w:type="dxa"/>
            <w:tcBorders>
              <w:top w:val="nil"/>
            </w:tcBorders>
            <w:shd w:val="clear" w:color="auto" w:fill="FFFFFF"/>
          </w:tcPr>
          <w:p w14:paraId="4DEB531F" w14:textId="77777777" w:rsidR="004E4B0B" w:rsidRPr="00CF31E0" w:rsidRDefault="004E4B0B" w:rsidP="004E4B0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tcPr>
          <w:p w14:paraId="57E0B8AC" w14:textId="77777777" w:rsidR="004E4B0B" w:rsidRPr="00CF31E0" w:rsidRDefault="004E4B0B" w:rsidP="004E4B0B">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1131.537</w:t>
            </w:r>
          </w:p>
        </w:tc>
        <w:tc>
          <w:tcPr>
            <w:tcW w:w="822" w:type="dxa"/>
            <w:tcBorders>
              <w:top w:val="nil"/>
            </w:tcBorders>
            <w:shd w:val="clear" w:color="auto" w:fill="FFFFFF"/>
          </w:tcPr>
          <w:p w14:paraId="63198908" w14:textId="10401941" w:rsidR="004E4B0B" w:rsidRPr="00CF31E0" w:rsidRDefault="00D0193D" w:rsidP="004E4B0B">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318</w:t>
            </w:r>
          </w:p>
        </w:tc>
        <w:tc>
          <w:tcPr>
            <w:tcW w:w="1443" w:type="dxa"/>
            <w:tcBorders>
              <w:top w:val="nil"/>
            </w:tcBorders>
            <w:shd w:val="clear" w:color="auto" w:fill="FFFFFF"/>
          </w:tcPr>
          <w:p w14:paraId="65AADCFC" w14:textId="77777777" w:rsidR="004E4B0B" w:rsidRPr="00CF31E0" w:rsidRDefault="004E4B0B" w:rsidP="004E4B0B">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1.765</w:t>
            </w:r>
          </w:p>
        </w:tc>
        <w:tc>
          <w:tcPr>
            <w:tcW w:w="1030" w:type="dxa"/>
            <w:tcBorders>
              <w:top w:val="nil"/>
            </w:tcBorders>
            <w:shd w:val="clear" w:color="auto" w:fill="FFFFFF"/>
            <w:vAlign w:val="center"/>
          </w:tcPr>
          <w:p w14:paraId="66EC8AA8" w14:textId="77777777" w:rsidR="004E4B0B" w:rsidRPr="00CF31E0" w:rsidRDefault="004E4B0B" w:rsidP="004E4B0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1B904A71" w14:textId="77777777" w:rsidR="004E4B0B" w:rsidRPr="00CF31E0" w:rsidRDefault="004E4B0B" w:rsidP="004E4B0B">
            <w:pPr>
              <w:spacing w:before="120" w:after="120" w:line="360" w:lineRule="auto"/>
              <w:jc w:val="right"/>
              <w:rPr>
                <w:rFonts w:eastAsia="Calibri" w:cs="Arial"/>
                <w:color w:val="000000" w:themeColor="text1"/>
                <w:sz w:val="22"/>
                <w:szCs w:val="22"/>
                <w:lang w:eastAsia="en-US"/>
              </w:rPr>
            </w:pPr>
          </w:p>
        </w:tc>
      </w:tr>
      <w:tr w:rsidR="004E4B0B" w:rsidRPr="00CF31E0" w14:paraId="3F49C619" w14:textId="77777777" w:rsidTr="00D0193D">
        <w:trPr>
          <w:cantSplit/>
        </w:trPr>
        <w:tc>
          <w:tcPr>
            <w:tcW w:w="1736" w:type="dxa"/>
            <w:shd w:val="clear" w:color="auto" w:fill="FFFFFF"/>
          </w:tcPr>
          <w:p w14:paraId="3CCB95FB" w14:textId="77777777" w:rsidR="004E4B0B" w:rsidRPr="00CF31E0" w:rsidRDefault="004E4B0B" w:rsidP="004E4B0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tcPr>
          <w:p w14:paraId="69459ACB" w14:textId="77777777" w:rsidR="004E4B0B" w:rsidRPr="00CF31E0" w:rsidRDefault="004E4B0B" w:rsidP="004E4B0B">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1145.700</w:t>
            </w:r>
          </w:p>
        </w:tc>
        <w:tc>
          <w:tcPr>
            <w:tcW w:w="822" w:type="dxa"/>
            <w:shd w:val="clear" w:color="auto" w:fill="FFFFFF"/>
          </w:tcPr>
          <w:p w14:paraId="2E504B11" w14:textId="720E69CC" w:rsidR="004E4B0B" w:rsidRPr="00CF31E0" w:rsidRDefault="00D0193D" w:rsidP="004E4B0B">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323</w:t>
            </w:r>
          </w:p>
        </w:tc>
        <w:tc>
          <w:tcPr>
            <w:tcW w:w="1443" w:type="dxa"/>
            <w:shd w:val="clear" w:color="auto" w:fill="FFFFFF"/>
            <w:vAlign w:val="center"/>
          </w:tcPr>
          <w:p w14:paraId="595CA58A" w14:textId="77777777" w:rsidR="004E4B0B" w:rsidRPr="00CF31E0" w:rsidRDefault="004E4B0B" w:rsidP="00D0193D">
            <w:pPr>
              <w:spacing w:before="120" w:after="120" w:line="360" w:lineRule="auto"/>
              <w:rPr>
                <w:rFonts w:eastAsia="Calibri" w:cs="Arial"/>
                <w:color w:val="000000" w:themeColor="text1"/>
                <w:sz w:val="22"/>
                <w:szCs w:val="22"/>
                <w:lang w:eastAsia="en-US"/>
              </w:rPr>
            </w:pPr>
          </w:p>
        </w:tc>
        <w:tc>
          <w:tcPr>
            <w:tcW w:w="1030" w:type="dxa"/>
            <w:shd w:val="clear" w:color="auto" w:fill="FFFFFF"/>
            <w:vAlign w:val="center"/>
          </w:tcPr>
          <w:p w14:paraId="52477B38" w14:textId="77777777" w:rsidR="004E4B0B" w:rsidRPr="00CF31E0" w:rsidRDefault="004E4B0B" w:rsidP="004E4B0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1B4EF640" w14:textId="77777777" w:rsidR="004E4B0B" w:rsidRPr="00CF31E0" w:rsidRDefault="004E4B0B" w:rsidP="004E4B0B">
            <w:pPr>
              <w:spacing w:before="120" w:after="120" w:line="360" w:lineRule="auto"/>
              <w:jc w:val="right"/>
              <w:rPr>
                <w:rFonts w:eastAsia="Calibri" w:cs="Arial"/>
                <w:color w:val="000000" w:themeColor="text1"/>
                <w:sz w:val="22"/>
                <w:szCs w:val="22"/>
                <w:lang w:eastAsia="en-US"/>
              </w:rPr>
            </w:pPr>
          </w:p>
        </w:tc>
      </w:tr>
    </w:tbl>
    <w:p w14:paraId="36520C15" w14:textId="77777777" w:rsidR="00051543" w:rsidRPr="00CF31E0" w:rsidRDefault="00051543" w:rsidP="00B57389">
      <w:pPr>
        <w:rPr>
          <w:color w:val="000000" w:themeColor="text1"/>
          <w:lang w:eastAsia="en-US"/>
        </w:rPr>
      </w:pPr>
    </w:p>
    <w:p w14:paraId="0E002010" w14:textId="77777777" w:rsidR="004E4B0B" w:rsidRPr="00CF31E0" w:rsidRDefault="004E4B0B"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2"/>
        <w:gridCol w:w="1443"/>
        <w:gridCol w:w="1030"/>
        <w:gridCol w:w="674"/>
      </w:tblGrid>
      <w:tr w:rsidR="00593774" w:rsidRPr="00CF31E0" w14:paraId="6469A536" w14:textId="77777777" w:rsidTr="00DB6FA6">
        <w:trPr>
          <w:cantSplit/>
        </w:trPr>
        <w:tc>
          <w:tcPr>
            <w:tcW w:w="7391" w:type="dxa"/>
            <w:gridSpan w:val="6"/>
            <w:tcBorders>
              <w:top w:val="single" w:sz="8" w:space="0" w:color="auto"/>
              <w:bottom w:val="single" w:sz="8" w:space="0" w:color="auto"/>
            </w:tcBorders>
            <w:shd w:val="clear" w:color="auto" w:fill="FFFFFF"/>
            <w:vAlign w:val="bottom"/>
          </w:tcPr>
          <w:p w14:paraId="7A3F2B36" w14:textId="77777777" w:rsidR="00593774" w:rsidRPr="00CF31E0" w:rsidRDefault="00593774" w:rsidP="0059377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Modern factor (UBH dialect)</w:t>
            </w:r>
          </w:p>
        </w:tc>
      </w:tr>
      <w:tr w:rsidR="00593774" w:rsidRPr="00CF31E0" w14:paraId="5CEF9968" w14:textId="77777777" w:rsidTr="00D0193D">
        <w:trPr>
          <w:cantSplit/>
        </w:trPr>
        <w:tc>
          <w:tcPr>
            <w:tcW w:w="1736" w:type="dxa"/>
            <w:tcBorders>
              <w:top w:val="single" w:sz="8" w:space="0" w:color="auto"/>
              <w:bottom w:val="single" w:sz="6" w:space="0" w:color="auto"/>
            </w:tcBorders>
            <w:shd w:val="clear" w:color="auto" w:fill="FFFFFF"/>
            <w:vAlign w:val="bottom"/>
          </w:tcPr>
          <w:p w14:paraId="43F3E65A" w14:textId="77777777" w:rsidR="00593774" w:rsidRPr="00CF31E0" w:rsidRDefault="00593774" w:rsidP="0059377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 of birth</w:t>
            </w:r>
          </w:p>
        </w:tc>
        <w:tc>
          <w:tcPr>
            <w:tcW w:w="1686" w:type="dxa"/>
            <w:tcBorders>
              <w:top w:val="single" w:sz="8" w:space="0" w:color="auto"/>
              <w:bottom w:val="single" w:sz="6" w:space="0" w:color="auto"/>
            </w:tcBorders>
            <w:shd w:val="clear" w:color="auto" w:fill="FFFFFF"/>
            <w:vAlign w:val="bottom"/>
          </w:tcPr>
          <w:p w14:paraId="7ED8ED73"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2" w:type="dxa"/>
            <w:tcBorders>
              <w:top w:val="single" w:sz="8" w:space="0" w:color="auto"/>
              <w:bottom w:val="single" w:sz="6" w:space="0" w:color="auto"/>
            </w:tcBorders>
            <w:shd w:val="clear" w:color="auto" w:fill="FFFFFF"/>
            <w:vAlign w:val="bottom"/>
          </w:tcPr>
          <w:p w14:paraId="631A3E0D"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3" w:type="dxa"/>
            <w:tcBorders>
              <w:top w:val="single" w:sz="8" w:space="0" w:color="auto"/>
              <w:bottom w:val="single" w:sz="6" w:space="0" w:color="auto"/>
            </w:tcBorders>
            <w:shd w:val="clear" w:color="auto" w:fill="FFFFFF"/>
            <w:vAlign w:val="bottom"/>
          </w:tcPr>
          <w:p w14:paraId="00CB5A82"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145BE247"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2404885A"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593774" w:rsidRPr="00CF31E0" w14:paraId="464303B3" w14:textId="77777777" w:rsidTr="00D0193D">
        <w:trPr>
          <w:cantSplit/>
        </w:trPr>
        <w:tc>
          <w:tcPr>
            <w:tcW w:w="1736" w:type="dxa"/>
            <w:tcBorders>
              <w:top w:val="single" w:sz="6" w:space="0" w:color="auto"/>
              <w:bottom w:val="nil"/>
            </w:tcBorders>
            <w:shd w:val="clear" w:color="auto" w:fill="FFFFFF"/>
          </w:tcPr>
          <w:p w14:paraId="6EDD0F85" w14:textId="77777777" w:rsidR="00593774" w:rsidRPr="00CF31E0" w:rsidRDefault="00593774" w:rsidP="0059377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31A956A8"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.932</w:t>
            </w:r>
          </w:p>
        </w:tc>
        <w:tc>
          <w:tcPr>
            <w:tcW w:w="822" w:type="dxa"/>
            <w:tcBorders>
              <w:top w:val="single" w:sz="6" w:space="0" w:color="auto"/>
              <w:bottom w:val="nil"/>
            </w:tcBorders>
            <w:shd w:val="clear" w:color="auto" w:fill="FFFFFF"/>
            <w:vAlign w:val="center"/>
          </w:tcPr>
          <w:p w14:paraId="486E2FBE"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w:t>
            </w:r>
          </w:p>
        </w:tc>
        <w:tc>
          <w:tcPr>
            <w:tcW w:w="1443" w:type="dxa"/>
            <w:tcBorders>
              <w:top w:val="single" w:sz="6" w:space="0" w:color="auto"/>
              <w:bottom w:val="nil"/>
            </w:tcBorders>
            <w:shd w:val="clear" w:color="auto" w:fill="FFFFFF"/>
            <w:vAlign w:val="center"/>
          </w:tcPr>
          <w:p w14:paraId="462A5527"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.932</w:t>
            </w:r>
          </w:p>
        </w:tc>
        <w:tc>
          <w:tcPr>
            <w:tcW w:w="1030" w:type="dxa"/>
            <w:tcBorders>
              <w:top w:val="single" w:sz="6" w:space="0" w:color="auto"/>
              <w:bottom w:val="nil"/>
            </w:tcBorders>
            <w:shd w:val="clear" w:color="auto" w:fill="FFFFFF"/>
            <w:vAlign w:val="center"/>
          </w:tcPr>
          <w:p w14:paraId="61119DCC"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.526</w:t>
            </w:r>
          </w:p>
        </w:tc>
        <w:tc>
          <w:tcPr>
            <w:tcW w:w="674" w:type="dxa"/>
            <w:tcBorders>
              <w:top w:val="single" w:sz="6" w:space="0" w:color="auto"/>
              <w:bottom w:val="nil"/>
            </w:tcBorders>
            <w:shd w:val="clear" w:color="auto" w:fill="FFFFFF"/>
            <w:vAlign w:val="center"/>
          </w:tcPr>
          <w:p w14:paraId="7BDF72C6"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.469</w:t>
            </w:r>
          </w:p>
        </w:tc>
      </w:tr>
      <w:tr w:rsidR="00593774" w:rsidRPr="00CF31E0" w14:paraId="2E4A1144" w14:textId="77777777" w:rsidTr="00D0193D">
        <w:trPr>
          <w:cantSplit/>
        </w:trPr>
        <w:tc>
          <w:tcPr>
            <w:tcW w:w="1736" w:type="dxa"/>
            <w:tcBorders>
              <w:top w:val="nil"/>
            </w:tcBorders>
            <w:shd w:val="clear" w:color="auto" w:fill="FFFFFF"/>
          </w:tcPr>
          <w:p w14:paraId="13F1C7EA" w14:textId="77777777" w:rsidR="00593774" w:rsidRPr="00CF31E0" w:rsidRDefault="00593774" w:rsidP="0059377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3D8F2656"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1146.772</w:t>
            </w:r>
          </w:p>
        </w:tc>
        <w:tc>
          <w:tcPr>
            <w:tcW w:w="822" w:type="dxa"/>
            <w:tcBorders>
              <w:top w:val="nil"/>
            </w:tcBorders>
            <w:shd w:val="clear" w:color="auto" w:fill="FFFFFF"/>
            <w:vAlign w:val="center"/>
          </w:tcPr>
          <w:p w14:paraId="37BE9246" w14:textId="1D5E82FE" w:rsidR="00593774" w:rsidRPr="00CF31E0" w:rsidRDefault="00D0193D"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322</w:t>
            </w:r>
          </w:p>
        </w:tc>
        <w:tc>
          <w:tcPr>
            <w:tcW w:w="1443" w:type="dxa"/>
            <w:tcBorders>
              <w:top w:val="nil"/>
            </w:tcBorders>
            <w:shd w:val="clear" w:color="auto" w:fill="FFFFFF"/>
            <w:vAlign w:val="center"/>
          </w:tcPr>
          <w:p w14:paraId="24FE69E3"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1.772</w:t>
            </w:r>
          </w:p>
        </w:tc>
        <w:tc>
          <w:tcPr>
            <w:tcW w:w="1030" w:type="dxa"/>
            <w:tcBorders>
              <w:top w:val="nil"/>
            </w:tcBorders>
            <w:shd w:val="clear" w:color="auto" w:fill="FFFFFF"/>
            <w:vAlign w:val="center"/>
          </w:tcPr>
          <w:p w14:paraId="4F30F6DD"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247B6E7A"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p>
        </w:tc>
      </w:tr>
      <w:tr w:rsidR="00593774" w:rsidRPr="00CF31E0" w14:paraId="2F56AAEB" w14:textId="77777777" w:rsidTr="00D0193D">
        <w:trPr>
          <w:cantSplit/>
        </w:trPr>
        <w:tc>
          <w:tcPr>
            <w:tcW w:w="1736" w:type="dxa"/>
            <w:shd w:val="clear" w:color="auto" w:fill="FFFFFF"/>
          </w:tcPr>
          <w:p w14:paraId="6A853A76" w14:textId="77777777" w:rsidR="00593774" w:rsidRPr="00CF31E0" w:rsidRDefault="00593774" w:rsidP="0059377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1420BC21"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1147.704</w:t>
            </w:r>
          </w:p>
        </w:tc>
        <w:tc>
          <w:tcPr>
            <w:tcW w:w="822" w:type="dxa"/>
            <w:shd w:val="clear" w:color="auto" w:fill="FFFFFF"/>
            <w:vAlign w:val="center"/>
          </w:tcPr>
          <w:p w14:paraId="46DDE9BF" w14:textId="40147C2E" w:rsidR="00593774" w:rsidRPr="00CF31E0" w:rsidRDefault="00D0193D"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323</w:t>
            </w:r>
          </w:p>
        </w:tc>
        <w:tc>
          <w:tcPr>
            <w:tcW w:w="1443" w:type="dxa"/>
            <w:shd w:val="clear" w:color="auto" w:fill="FFFFFF"/>
            <w:vAlign w:val="center"/>
          </w:tcPr>
          <w:p w14:paraId="4A5D2139"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71D06391"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6288A60A"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p>
        </w:tc>
      </w:tr>
    </w:tbl>
    <w:p w14:paraId="05E7F4F0" w14:textId="77777777" w:rsidR="004E4B0B" w:rsidRPr="00CF31E0" w:rsidRDefault="004E4B0B" w:rsidP="00B57389">
      <w:pPr>
        <w:rPr>
          <w:color w:val="000000" w:themeColor="text1"/>
          <w:lang w:eastAsia="en-US"/>
        </w:rPr>
      </w:pPr>
    </w:p>
    <w:p w14:paraId="2597B790" w14:textId="77777777" w:rsidR="00593774" w:rsidRPr="00CF31E0" w:rsidRDefault="00593774"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593774" w:rsidRPr="00CF31E0" w14:paraId="5E6BC29F" w14:textId="77777777" w:rsidTr="00DB6FA6">
        <w:trPr>
          <w:cantSplit/>
        </w:trPr>
        <w:tc>
          <w:tcPr>
            <w:tcW w:w="7391" w:type="dxa"/>
            <w:gridSpan w:val="6"/>
            <w:tcBorders>
              <w:top w:val="single" w:sz="8" w:space="0" w:color="auto"/>
              <w:bottom w:val="single" w:sz="8" w:space="0" w:color="auto"/>
            </w:tcBorders>
            <w:shd w:val="clear" w:color="auto" w:fill="FFFFFF"/>
            <w:vAlign w:val="bottom"/>
          </w:tcPr>
          <w:p w14:paraId="70574129" w14:textId="77777777" w:rsidR="00593774" w:rsidRPr="00CF31E0" w:rsidRDefault="00593774" w:rsidP="0059377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Modern factor (UBH dialect)</w:t>
            </w:r>
          </w:p>
        </w:tc>
      </w:tr>
      <w:tr w:rsidR="00593774" w:rsidRPr="00CF31E0" w14:paraId="749A8AEA" w14:textId="77777777" w:rsidTr="00DB6FA6">
        <w:trPr>
          <w:cantSplit/>
        </w:trPr>
        <w:tc>
          <w:tcPr>
            <w:tcW w:w="1736" w:type="dxa"/>
            <w:tcBorders>
              <w:top w:val="single" w:sz="8" w:space="0" w:color="auto"/>
              <w:bottom w:val="single" w:sz="6" w:space="0" w:color="auto"/>
            </w:tcBorders>
            <w:shd w:val="clear" w:color="auto" w:fill="FFFFFF"/>
            <w:vAlign w:val="bottom"/>
          </w:tcPr>
          <w:p w14:paraId="671629D9" w14:textId="77777777" w:rsidR="00593774" w:rsidRPr="00CF31E0" w:rsidRDefault="00593774" w:rsidP="0059377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Places lived</w:t>
            </w:r>
          </w:p>
        </w:tc>
        <w:tc>
          <w:tcPr>
            <w:tcW w:w="1686" w:type="dxa"/>
            <w:tcBorders>
              <w:top w:val="single" w:sz="8" w:space="0" w:color="auto"/>
              <w:bottom w:val="single" w:sz="6" w:space="0" w:color="auto"/>
            </w:tcBorders>
            <w:shd w:val="clear" w:color="auto" w:fill="FFFFFF"/>
            <w:vAlign w:val="bottom"/>
          </w:tcPr>
          <w:p w14:paraId="58504CBC"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1B9CBF83"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676BB7B0"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2A72D67F"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129B8DC5"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593774" w:rsidRPr="00CF31E0" w14:paraId="34A12FDB" w14:textId="77777777" w:rsidTr="00DB6FA6">
        <w:trPr>
          <w:cantSplit/>
        </w:trPr>
        <w:tc>
          <w:tcPr>
            <w:tcW w:w="1736" w:type="dxa"/>
            <w:tcBorders>
              <w:top w:val="single" w:sz="6" w:space="0" w:color="auto"/>
              <w:bottom w:val="nil"/>
            </w:tcBorders>
            <w:shd w:val="clear" w:color="auto" w:fill="FFFFFF"/>
          </w:tcPr>
          <w:p w14:paraId="67D036BB" w14:textId="77777777" w:rsidR="00593774" w:rsidRPr="00CF31E0" w:rsidRDefault="00593774" w:rsidP="0059377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39D08A36"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1.612</w:t>
            </w:r>
          </w:p>
        </w:tc>
        <w:tc>
          <w:tcPr>
            <w:tcW w:w="820" w:type="dxa"/>
            <w:tcBorders>
              <w:top w:val="single" w:sz="6" w:space="0" w:color="auto"/>
              <w:bottom w:val="nil"/>
            </w:tcBorders>
            <w:shd w:val="clear" w:color="auto" w:fill="FFFFFF"/>
            <w:vAlign w:val="center"/>
          </w:tcPr>
          <w:p w14:paraId="10531123"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w:t>
            </w:r>
          </w:p>
        </w:tc>
        <w:tc>
          <w:tcPr>
            <w:tcW w:w="1445" w:type="dxa"/>
            <w:tcBorders>
              <w:top w:val="single" w:sz="6" w:space="0" w:color="auto"/>
              <w:bottom w:val="nil"/>
            </w:tcBorders>
            <w:shd w:val="clear" w:color="auto" w:fill="FFFFFF"/>
            <w:vAlign w:val="center"/>
          </w:tcPr>
          <w:p w14:paraId="5DC5252F"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1.612</w:t>
            </w:r>
          </w:p>
        </w:tc>
        <w:tc>
          <w:tcPr>
            <w:tcW w:w="1030" w:type="dxa"/>
            <w:tcBorders>
              <w:top w:val="single" w:sz="6" w:space="0" w:color="auto"/>
              <w:bottom w:val="nil"/>
            </w:tcBorders>
            <w:shd w:val="clear" w:color="auto" w:fill="FFFFFF"/>
            <w:vAlign w:val="center"/>
          </w:tcPr>
          <w:p w14:paraId="6F306220"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.901</w:t>
            </w:r>
          </w:p>
        </w:tc>
        <w:tc>
          <w:tcPr>
            <w:tcW w:w="674" w:type="dxa"/>
            <w:tcBorders>
              <w:top w:val="single" w:sz="6" w:space="0" w:color="auto"/>
              <w:bottom w:val="nil"/>
            </w:tcBorders>
            <w:shd w:val="clear" w:color="auto" w:fill="FFFFFF"/>
            <w:vAlign w:val="center"/>
          </w:tcPr>
          <w:p w14:paraId="2E314E9A"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.343</w:t>
            </w:r>
          </w:p>
        </w:tc>
      </w:tr>
      <w:tr w:rsidR="00593774" w:rsidRPr="00CF31E0" w14:paraId="064C165A" w14:textId="77777777" w:rsidTr="00DB6FA6">
        <w:trPr>
          <w:cantSplit/>
        </w:trPr>
        <w:tc>
          <w:tcPr>
            <w:tcW w:w="1736" w:type="dxa"/>
            <w:tcBorders>
              <w:top w:val="nil"/>
            </w:tcBorders>
            <w:shd w:val="clear" w:color="auto" w:fill="FFFFFF"/>
          </w:tcPr>
          <w:p w14:paraId="26B5AA18" w14:textId="77777777" w:rsidR="00593774" w:rsidRPr="00CF31E0" w:rsidRDefault="00593774" w:rsidP="0059377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224B23C7"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1031.247</w:t>
            </w:r>
          </w:p>
        </w:tc>
        <w:tc>
          <w:tcPr>
            <w:tcW w:w="820" w:type="dxa"/>
            <w:tcBorders>
              <w:top w:val="nil"/>
            </w:tcBorders>
            <w:shd w:val="clear" w:color="auto" w:fill="FFFFFF"/>
            <w:vAlign w:val="center"/>
          </w:tcPr>
          <w:p w14:paraId="37A84097" w14:textId="1F32AEFE" w:rsidR="00593774" w:rsidRPr="00CF31E0" w:rsidRDefault="00D0193D"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322</w:t>
            </w:r>
          </w:p>
        </w:tc>
        <w:tc>
          <w:tcPr>
            <w:tcW w:w="1445" w:type="dxa"/>
            <w:tcBorders>
              <w:top w:val="nil"/>
            </w:tcBorders>
            <w:shd w:val="clear" w:color="auto" w:fill="FFFFFF"/>
            <w:vAlign w:val="center"/>
          </w:tcPr>
          <w:p w14:paraId="4CC2BCA4"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1.790</w:t>
            </w:r>
          </w:p>
        </w:tc>
        <w:tc>
          <w:tcPr>
            <w:tcW w:w="1030" w:type="dxa"/>
            <w:tcBorders>
              <w:top w:val="nil"/>
            </w:tcBorders>
            <w:shd w:val="clear" w:color="auto" w:fill="FFFFFF"/>
            <w:vAlign w:val="center"/>
          </w:tcPr>
          <w:p w14:paraId="65CBCCF9"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56834DCA"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p>
        </w:tc>
      </w:tr>
      <w:tr w:rsidR="00593774" w:rsidRPr="00CF31E0" w14:paraId="429FDE01" w14:textId="77777777" w:rsidTr="00DB6FA6">
        <w:trPr>
          <w:cantSplit/>
        </w:trPr>
        <w:tc>
          <w:tcPr>
            <w:tcW w:w="1736" w:type="dxa"/>
            <w:shd w:val="clear" w:color="auto" w:fill="FFFFFF"/>
          </w:tcPr>
          <w:p w14:paraId="3002379D" w14:textId="77777777" w:rsidR="00593774" w:rsidRPr="00CF31E0" w:rsidRDefault="00593774" w:rsidP="0059377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601C4F5C"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1032.860</w:t>
            </w:r>
          </w:p>
        </w:tc>
        <w:tc>
          <w:tcPr>
            <w:tcW w:w="820" w:type="dxa"/>
            <w:shd w:val="clear" w:color="auto" w:fill="FFFFFF"/>
            <w:vAlign w:val="center"/>
          </w:tcPr>
          <w:p w14:paraId="391D67A5" w14:textId="42963F87" w:rsidR="00593774" w:rsidRPr="00CF31E0" w:rsidRDefault="00D0193D"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323</w:t>
            </w:r>
          </w:p>
        </w:tc>
        <w:tc>
          <w:tcPr>
            <w:tcW w:w="1445" w:type="dxa"/>
            <w:shd w:val="clear" w:color="auto" w:fill="FFFFFF"/>
            <w:vAlign w:val="center"/>
          </w:tcPr>
          <w:p w14:paraId="381DFC02"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7159B51C"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1985F1F4"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p>
        </w:tc>
      </w:tr>
    </w:tbl>
    <w:p w14:paraId="5021A317" w14:textId="77777777" w:rsidR="00593774" w:rsidRPr="00CF31E0" w:rsidRDefault="00593774" w:rsidP="00B57389">
      <w:pPr>
        <w:rPr>
          <w:color w:val="000000" w:themeColor="text1"/>
          <w:lang w:eastAsia="en-US"/>
        </w:rPr>
      </w:pPr>
    </w:p>
    <w:p w14:paraId="35A752B1" w14:textId="77777777" w:rsidR="00593774" w:rsidRPr="00CF31E0" w:rsidRDefault="00593774" w:rsidP="00B57389">
      <w:pPr>
        <w:rPr>
          <w:color w:val="000000" w:themeColor="text1"/>
          <w:lang w:eastAsia="en-US"/>
        </w:rPr>
      </w:pPr>
    </w:p>
    <w:p w14:paraId="451A2B28" w14:textId="77777777" w:rsidR="002E24DB" w:rsidRPr="00CF31E0" w:rsidRDefault="002E24DB" w:rsidP="00B57389">
      <w:pPr>
        <w:rPr>
          <w:color w:val="000000" w:themeColor="text1"/>
          <w:lang w:eastAsia="en-US"/>
        </w:rPr>
      </w:pPr>
    </w:p>
    <w:p w14:paraId="5FCF1C0A" w14:textId="77777777" w:rsidR="00BE32DA" w:rsidRPr="00CF31E0" w:rsidRDefault="00BE32DA"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593774" w:rsidRPr="00CF31E0" w14:paraId="2E873A49" w14:textId="77777777" w:rsidTr="00DB6FA6">
        <w:trPr>
          <w:cantSplit/>
        </w:trPr>
        <w:tc>
          <w:tcPr>
            <w:tcW w:w="7391" w:type="dxa"/>
            <w:gridSpan w:val="6"/>
            <w:tcBorders>
              <w:top w:val="single" w:sz="8" w:space="0" w:color="auto"/>
              <w:bottom w:val="single" w:sz="8" w:space="0" w:color="auto"/>
            </w:tcBorders>
            <w:shd w:val="clear" w:color="auto" w:fill="FFFFFF"/>
            <w:vAlign w:val="bottom"/>
          </w:tcPr>
          <w:p w14:paraId="5F53D7B6" w14:textId="77777777" w:rsidR="00593774" w:rsidRPr="00CF31E0" w:rsidRDefault="00593774" w:rsidP="0059377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Modern factor (UBH dialect)</w:t>
            </w:r>
          </w:p>
        </w:tc>
      </w:tr>
      <w:tr w:rsidR="00593774" w:rsidRPr="00CF31E0" w14:paraId="7A2C8A31" w14:textId="77777777" w:rsidTr="00DB6FA6">
        <w:trPr>
          <w:cantSplit/>
        </w:trPr>
        <w:tc>
          <w:tcPr>
            <w:tcW w:w="1736" w:type="dxa"/>
            <w:tcBorders>
              <w:top w:val="single" w:sz="8" w:space="0" w:color="auto"/>
              <w:bottom w:val="single" w:sz="6" w:space="0" w:color="auto"/>
            </w:tcBorders>
            <w:shd w:val="clear" w:color="auto" w:fill="FFFFFF"/>
            <w:vAlign w:val="bottom"/>
          </w:tcPr>
          <w:p w14:paraId="14D3BBD8" w14:textId="77777777" w:rsidR="00593774" w:rsidRPr="00CF31E0" w:rsidRDefault="00593774" w:rsidP="0059377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Marital status</w:t>
            </w:r>
          </w:p>
        </w:tc>
        <w:tc>
          <w:tcPr>
            <w:tcW w:w="1686" w:type="dxa"/>
            <w:tcBorders>
              <w:top w:val="single" w:sz="8" w:space="0" w:color="auto"/>
              <w:bottom w:val="single" w:sz="6" w:space="0" w:color="auto"/>
            </w:tcBorders>
            <w:shd w:val="clear" w:color="auto" w:fill="FFFFFF"/>
            <w:vAlign w:val="bottom"/>
          </w:tcPr>
          <w:p w14:paraId="19D9FF39"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5B20F88F"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AEC7166"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7BC71BA9"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207D18C9"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593774" w:rsidRPr="00CF31E0" w14:paraId="08960736" w14:textId="77777777" w:rsidTr="00DB6FA6">
        <w:trPr>
          <w:cantSplit/>
        </w:trPr>
        <w:tc>
          <w:tcPr>
            <w:tcW w:w="1736" w:type="dxa"/>
            <w:tcBorders>
              <w:top w:val="single" w:sz="6" w:space="0" w:color="auto"/>
              <w:bottom w:val="nil"/>
            </w:tcBorders>
            <w:shd w:val="clear" w:color="auto" w:fill="FFFFFF"/>
          </w:tcPr>
          <w:p w14:paraId="19BE7C54" w14:textId="77777777" w:rsidR="00593774" w:rsidRPr="00CF31E0" w:rsidRDefault="00593774" w:rsidP="0059377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3BB46607"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4.086</w:t>
            </w:r>
          </w:p>
        </w:tc>
        <w:tc>
          <w:tcPr>
            <w:tcW w:w="820" w:type="dxa"/>
            <w:tcBorders>
              <w:top w:val="single" w:sz="6" w:space="0" w:color="auto"/>
              <w:bottom w:val="nil"/>
            </w:tcBorders>
            <w:shd w:val="clear" w:color="auto" w:fill="FFFFFF"/>
            <w:vAlign w:val="center"/>
          </w:tcPr>
          <w:p w14:paraId="12BAE746"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w:t>
            </w:r>
          </w:p>
        </w:tc>
        <w:tc>
          <w:tcPr>
            <w:tcW w:w="1445" w:type="dxa"/>
            <w:tcBorders>
              <w:top w:val="single" w:sz="6" w:space="0" w:color="auto"/>
              <w:bottom w:val="nil"/>
            </w:tcBorders>
            <w:shd w:val="clear" w:color="auto" w:fill="FFFFFF"/>
            <w:vAlign w:val="center"/>
          </w:tcPr>
          <w:p w14:paraId="27471BE8"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1.362</w:t>
            </w:r>
          </w:p>
        </w:tc>
        <w:tc>
          <w:tcPr>
            <w:tcW w:w="1030" w:type="dxa"/>
            <w:tcBorders>
              <w:top w:val="single" w:sz="6" w:space="0" w:color="auto"/>
              <w:bottom w:val="nil"/>
            </w:tcBorders>
            <w:shd w:val="clear" w:color="auto" w:fill="FFFFFF"/>
            <w:vAlign w:val="center"/>
          </w:tcPr>
          <w:p w14:paraId="6E0664F3"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.768</w:t>
            </w:r>
          </w:p>
        </w:tc>
        <w:tc>
          <w:tcPr>
            <w:tcW w:w="674" w:type="dxa"/>
            <w:tcBorders>
              <w:top w:val="single" w:sz="6" w:space="0" w:color="auto"/>
              <w:bottom w:val="nil"/>
            </w:tcBorders>
            <w:shd w:val="clear" w:color="auto" w:fill="FFFFFF"/>
            <w:vAlign w:val="center"/>
          </w:tcPr>
          <w:p w14:paraId="065BBE09"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.512</w:t>
            </w:r>
          </w:p>
        </w:tc>
      </w:tr>
      <w:tr w:rsidR="00593774" w:rsidRPr="00CF31E0" w14:paraId="33BB7949" w14:textId="77777777" w:rsidTr="00DB6FA6">
        <w:trPr>
          <w:cantSplit/>
        </w:trPr>
        <w:tc>
          <w:tcPr>
            <w:tcW w:w="1736" w:type="dxa"/>
            <w:tcBorders>
              <w:top w:val="nil"/>
            </w:tcBorders>
            <w:shd w:val="clear" w:color="auto" w:fill="FFFFFF"/>
          </w:tcPr>
          <w:p w14:paraId="7E9F4EF9" w14:textId="77777777" w:rsidR="00593774" w:rsidRPr="00CF31E0" w:rsidRDefault="00593774" w:rsidP="0059377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40A594AD"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1143.618</w:t>
            </w:r>
          </w:p>
        </w:tc>
        <w:tc>
          <w:tcPr>
            <w:tcW w:w="820" w:type="dxa"/>
            <w:tcBorders>
              <w:top w:val="nil"/>
            </w:tcBorders>
            <w:shd w:val="clear" w:color="auto" w:fill="FFFFFF"/>
            <w:vAlign w:val="center"/>
          </w:tcPr>
          <w:p w14:paraId="2B45922E" w14:textId="58B457AB" w:rsidR="00593774" w:rsidRPr="00CF31E0" w:rsidRDefault="00D0193D"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319</w:t>
            </w:r>
          </w:p>
        </w:tc>
        <w:tc>
          <w:tcPr>
            <w:tcW w:w="1445" w:type="dxa"/>
            <w:tcBorders>
              <w:top w:val="nil"/>
            </w:tcBorders>
            <w:shd w:val="clear" w:color="auto" w:fill="FFFFFF"/>
            <w:vAlign w:val="center"/>
          </w:tcPr>
          <w:p w14:paraId="2705C6AE"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1.773</w:t>
            </w:r>
          </w:p>
        </w:tc>
        <w:tc>
          <w:tcPr>
            <w:tcW w:w="1030" w:type="dxa"/>
            <w:tcBorders>
              <w:top w:val="nil"/>
            </w:tcBorders>
            <w:shd w:val="clear" w:color="auto" w:fill="FFFFFF"/>
            <w:vAlign w:val="center"/>
          </w:tcPr>
          <w:p w14:paraId="23A3BE21"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5BC1C550"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p>
        </w:tc>
      </w:tr>
      <w:tr w:rsidR="00593774" w:rsidRPr="00CF31E0" w14:paraId="6614B283" w14:textId="77777777" w:rsidTr="00DB6FA6">
        <w:trPr>
          <w:cantSplit/>
        </w:trPr>
        <w:tc>
          <w:tcPr>
            <w:tcW w:w="1736" w:type="dxa"/>
            <w:shd w:val="clear" w:color="auto" w:fill="FFFFFF"/>
          </w:tcPr>
          <w:p w14:paraId="3A28BC96" w14:textId="77777777" w:rsidR="00593774" w:rsidRPr="00CF31E0" w:rsidRDefault="00593774" w:rsidP="0059377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7D7A2E1"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1147.704</w:t>
            </w:r>
          </w:p>
        </w:tc>
        <w:tc>
          <w:tcPr>
            <w:tcW w:w="820" w:type="dxa"/>
            <w:shd w:val="clear" w:color="auto" w:fill="FFFFFF"/>
            <w:vAlign w:val="center"/>
          </w:tcPr>
          <w:p w14:paraId="36906A28" w14:textId="4EFC767A" w:rsidR="00593774" w:rsidRPr="00CF31E0" w:rsidRDefault="00D0193D"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323</w:t>
            </w:r>
          </w:p>
        </w:tc>
        <w:tc>
          <w:tcPr>
            <w:tcW w:w="1445" w:type="dxa"/>
            <w:shd w:val="clear" w:color="auto" w:fill="FFFFFF"/>
            <w:vAlign w:val="center"/>
          </w:tcPr>
          <w:p w14:paraId="5D4540E5"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44D76C28"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175D01A4"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p>
        </w:tc>
      </w:tr>
    </w:tbl>
    <w:p w14:paraId="169FFA62" w14:textId="77777777" w:rsidR="00593774" w:rsidRPr="00CF31E0" w:rsidRDefault="00593774" w:rsidP="00B57389">
      <w:pPr>
        <w:rPr>
          <w:color w:val="000000" w:themeColor="text1"/>
          <w:lang w:eastAsia="en-US"/>
        </w:rPr>
      </w:pPr>
    </w:p>
    <w:p w14:paraId="6BD588B7" w14:textId="77777777" w:rsidR="00593774" w:rsidRPr="00CF31E0" w:rsidRDefault="00593774"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593774" w:rsidRPr="00CF31E0" w14:paraId="36949DA3" w14:textId="77777777" w:rsidTr="00DB6FA6">
        <w:trPr>
          <w:cantSplit/>
        </w:trPr>
        <w:tc>
          <w:tcPr>
            <w:tcW w:w="7391" w:type="dxa"/>
            <w:gridSpan w:val="6"/>
            <w:tcBorders>
              <w:top w:val="single" w:sz="8" w:space="0" w:color="auto"/>
              <w:bottom w:val="single" w:sz="8" w:space="0" w:color="auto"/>
            </w:tcBorders>
            <w:shd w:val="clear" w:color="auto" w:fill="FFFFFF"/>
            <w:vAlign w:val="bottom"/>
          </w:tcPr>
          <w:p w14:paraId="3D4FB9B8" w14:textId="77777777" w:rsidR="00593774" w:rsidRPr="00CF31E0" w:rsidRDefault="00593774" w:rsidP="0059377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Modern factor (UBH dialect)</w:t>
            </w:r>
          </w:p>
        </w:tc>
      </w:tr>
      <w:tr w:rsidR="00593774" w:rsidRPr="00CF31E0" w14:paraId="41D8CF48" w14:textId="77777777" w:rsidTr="00DB6FA6">
        <w:trPr>
          <w:cantSplit/>
        </w:trPr>
        <w:tc>
          <w:tcPr>
            <w:tcW w:w="1736" w:type="dxa"/>
            <w:tcBorders>
              <w:top w:val="single" w:sz="8" w:space="0" w:color="auto"/>
              <w:bottom w:val="single" w:sz="6" w:space="0" w:color="auto"/>
            </w:tcBorders>
            <w:shd w:val="clear" w:color="auto" w:fill="FFFFFF"/>
            <w:vAlign w:val="bottom"/>
          </w:tcPr>
          <w:p w14:paraId="7E704F3A" w14:textId="77777777" w:rsidR="00593774" w:rsidRPr="00CF31E0" w:rsidRDefault="00593774" w:rsidP="0059377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Education</w:t>
            </w:r>
          </w:p>
        </w:tc>
        <w:tc>
          <w:tcPr>
            <w:tcW w:w="1686" w:type="dxa"/>
            <w:tcBorders>
              <w:top w:val="single" w:sz="8" w:space="0" w:color="auto"/>
              <w:bottom w:val="single" w:sz="6" w:space="0" w:color="auto"/>
            </w:tcBorders>
            <w:shd w:val="clear" w:color="auto" w:fill="FFFFFF"/>
            <w:vAlign w:val="bottom"/>
          </w:tcPr>
          <w:p w14:paraId="359C5C2E"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4A893125"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0C2F2984"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085874F7"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448BCA33"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593774" w:rsidRPr="00CF31E0" w14:paraId="7F47FE89" w14:textId="77777777" w:rsidTr="00DB6FA6">
        <w:trPr>
          <w:cantSplit/>
        </w:trPr>
        <w:tc>
          <w:tcPr>
            <w:tcW w:w="1736" w:type="dxa"/>
            <w:tcBorders>
              <w:top w:val="single" w:sz="6" w:space="0" w:color="auto"/>
              <w:bottom w:val="nil"/>
            </w:tcBorders>
            <w:shd w:val="clear" w:color="auto" w:fill="FFFFFF"/>
          </w:tcPr>
          <w:p w14:paraId="3594E54F" w14:textId="77777777" w:rsidR="00593774" w:rsidRPr="00CF31E0" w:rsidRDefault="00593774" w:rsidP="0059377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2C2DCD9C"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10.125</w:t>
            </w:r>
          </w:p>
        </w:tc>
        <w:tc>
          <w:tcPr>
            <w:tcW w:w="820" w:type="dxa"/>
            <w:tcBorders>
              <w:top w:val="single" w:sz="6" w:space="0" w:color="auto"/>
              <w:bottom w:val="nil"/>
            </w:tcBorders>
            <w:shd w:val="clear" w:color="auto" w:fill="FFFFFF"/>
            <w:vAlign w:val="center"/>
          </w:tcPr>
          <w:p w14:paraId="74359F34"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5</w:t>
            </w:r>
          </w:p>
        </w:tc>
        <w:tc>
          <w:tcPr>
            <w:tcW w:w="1445" w:type="dxa"/>
            <w:tcBorders>
              <w:top w:val="single" w:sz="6" w:space="0" w:color="auto"/>
              <w:bottom w:val="nil"/>
            </w:tcBorders>
            <w:shd w:val="clear" w:color="auto" w:fill="FFFFFF"/>
            <w:vAlign w:val="center"/>
          </w:tcPr>
          <w:p w14:paraId="48297D4F"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2.025</w:t>
            </w:r>
          </w:p>
        </w:tc>
        <w:tc>
          <w:tcPr>
            <w:tcW w:w="1030" w:type="dxa"/>
            <w:tcBorders>
              <w:top w:val="single" w:sz="6" w:space="0" w:color="auto"/>
              <w:bottom w:val="nil"/>
            </w:tcBorders>
            <w:shd w:val="clear" w:color="auto" w:fill="FFFFFF"/>
            <w:vAlign w:val="center"/>
          </w:tcPr>
          <w:p w14:paraId="7AB91D6E"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1.145</w:t>
            </w:r>
          </w:p>
        </w:tc>
        <w:tc>
          <w:tcPr>
            <w:tcW w:w="674" w:type="dxa"/>
            <w:tcBorders>
              <w:top w:val="single" w:sz="6" w:space="0" w:color="auto"/>
              <w:bottom w:val="nil"/>
            </w:tcBorders>
            <w:shd w:val="clear" w:color="auto" w:fill="FFFFFF"/>
            <w:vAlign w:val="center"/>
          </w:tcPr>
          <w:p w14:paraId="2AAB0E15"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.335</w:t>
            </w:r>
          </w:p>
        </w:tc>
      </w:tr>
      <w:tr w:rsidR="00593774" w:rsidRPr="00CF31E0" w14:paraId="44BD45C8" w14:textId="77777777" w:rsidTr="00DB6FA6">
        <w:trPr>
          <w:cantSplit/>
        </w:trPr>
        <w:tc>
          <w:tcPr>
            <w:tcW w:w="1736" w:type="dxa"/>
            <w:tcBorders>
              <w:top w:val="nil"/>
            </w:tcBorders>
            <w:shd w:val="clear" w:color="auto" w:fill="FFFFFF"/>
          </w:tcPr>
          <w:p w14:paraId="07FCD5D8" w14:textId="77777777" w:rsidR="00593774" w:rsidRPr="00CF31E0" w:rsidRDefault="00593774" w:rsidP="0059377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09A46D8E"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1137.579</w:t>
            </w:r>
          </w:p>
        </w:tc>
        <w:tc>
          <w:tcPr>
            <w:tcW w:w="820" w:type="dxa"/>
            <w:tcBorders>
              <w:top w:val="nil"/>
            </w:tcBorders>
            <w:shd w:val="clear" w:color="auto" w:fill="FFFFFF"/>
            <w:vAlign w:val="center"/>
          </w:tcPr>
          <w:p w14:paraId="040B88E7" w14:textId="408BC055" w:rsidR="00593774" w:rsidRPr="00CF31E0" w:rsidRDefault="00D0193D"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318</w:t>
            </w:r>
          </w:p>
        </w:tc>
        <w:tc>
          <w:tcPr>
            <w:tcW w:w="1445" w:type="dxa"/>
            <w:tcBorders>
              <w:top w:val="nil"/>
            </w:tcBorders>
            <w:shd w:val="clear" w:color="auto" w:fill="FFFFFF"/>
            <w:vAlign w:val="center"/>
          </w:tcPr>
          <w:p w14:paraId="498FAEC1"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1.769</w:t>
            </w:r>
          </w:p>
        </w:tc>
        <w:tc>
          <w:tcPr>
            <w:tcW w:w="1030" w:type="dxa"/>
            <w:tcBorders>
              <w:top w:val="nil"/>
            </w:tcBorders>
            <w:shd w:val="clear" w:color="auto" w:fill="FFFFFF"/>
            <w:vAlign w:val="center"/>
          </w:tcPr>
          <w:p w14:paraId="282FFBBB"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53D8F1B3"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p>
        </w:tc>
      </w:tr>
      <w:tr w:rsidR="00593774" w:rsidRPr="00CF31E0" w14:paraId="3C7ED1D3" w14:textId="77777777" w:rsidTr="00DB6FA6">
        <w:trPr>
          <w:cantSplit/>
        </w:trPr>
        <w:tc>
          <w:tcPr>
            <w:tcW w:w="1736" w:type="dxa"/>
            <w:shd w:val="clear" w:color="auto" w:fill="FFFFFF"/>
          </w:tcPr>
          <w:p w14:paraId="2C2AD6C2" w14:textId="77777777" w:rsidR="00593774" w:rsidRPr="00CF31E0" w:rsidRDefault="00593774" w:rsidP="0059377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027DA6CC"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1147.704</w:t>
            </w:r>
          </w:p>
        </w:tc>
        <w:tc>
          <w:tcPr>
            <w:tcW w:w="820" w:type="dxa"/>
            <w:shd w:val="clear" w:color="auto" w:fill="FFFFFF"/>
            <w:vAlign w:val="center"/>
          </w:tcPr>
          <w:p w14:paraId="29749D2D" w14:textId="0FA34946" w:rsidR="00593774" w:rsidRPr="00CF31E0" w:rsidRDefault="00D0193D" w:rsidP="00593774">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323</w:t>
            </w:r>
          </w:p>
        </w:tc>
        <w:tc>
          <w:tcPr>
            <w:tcW w:w="1445" w:type="dxa"/>
            <w:shd w:val="clear" w:color="auto" w:fill="FFFFFF"/>
            <w:vAlign w:val="center"/>
          </w:tcPr>
          <w:p w14:paraId="79BEA29C"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217134A8"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0EFDDFC9" w14:textId="77777777" w:rsidR="00593774" w:rsidRPr="00CF31E0" w:rsidRDefault="00593774" w:rsidP="00593774">
            <w:pPr>
              <w:spacing w:before="120" w:after="120" w:line="360" w:lineRule="auto"/>
              <w:jc w:val="right"/>
              <w:rPr>
                <w:rFonts w:eastAsia="Calibri" w:cs="Arial"/>
                <w:color w:val="000000" w:themeColor="text1"/>
                <w:sz w:val="22"/>
                <w:szCs w:val="22"/>
                <w:lang w:eastAsia="en-US"/>
              </w:rPr>
            </w:pPr>
          </w:p>
        </w:tc>
      </w:tr>
    </w:tbl>
    <w:p w14:paraId="24CA04C8" w14:textId="77777777" w:rsidR="00593774" w:rsidRPr="00CF31E0" w:rsidRDefault="00593774" w:rsidP="00B57389">
      <w:pPr>
        <w:rPr>
          <w:color w:val="000000" w:themeColor="text1"/>
          <w:lang w:eastAsia="en-US"/>
        </w:rPr>
      </w:pPr>
    </w:p>
    <w:p w14:paraId="2DDEF429" w14:textId="77777777" w:rsidR="00DB6FA6" w:rsidRPr="00CF31E0" w:rsidRDefault="00DB6FA6"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DB6FA6" w:rsidRPr="00CF31E0" w14:paraId="297C393B" w14:textId="77777777" w:rsidTr="00DB6FA6">
        <w:trPr>
          <w:cantSplit/>
        </w:trPr>
        <w:tc>
          <w:tcPr>
            <w:tcW w:w="7391" w:type="dxa"/>
            <w:gridSpan w:val="6"/>
            <w:tcBorders>
              <w:top w:val="single" w:sz="8" w:space="0" w:color="auto"/>
              <w:bottom w:val="single" w:sz="8" w:space="0" w:color="auto"/>
            </w:tcBorders>
            <w:shd w:val="clear" w:color="auto" w:fill="FFFFFF"/>
            <w:vAlign w:val="bottom"/>
          </w:tcPr>
          <w:p w14:paraId="50F6DCAA" w14:textId="206F4695" w:rsidR="00DB6FA6" w:rsidRPr="00CF31E0" w:rsidRDefault="002E24DB" w:rsidP="00DB6FA6">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Traditional</w:t>
            </w:r>
            <w:r w:rsidR="00DB6FA6" w:rsidRPr="00CF31E0">
              <w:rPr>
                <w:rFonts w:eastAsia="Calibri" w:cs="Arial"/>
                <w:color w:val="000000" w:themeColor="text1"/>
                <w:sz w:val="22"/>
                <w:szCs w:val="22"/>
                <w:lang w:eastAsia="en-US"/>
              </w:rPr>
              <w:t xml:space="preserve"> factor (UBH dialect)</w:t>
            </w:r>
          </w:p>
        </w:tc>
      </w:tr>
      <w:tr w:rsidR="00DB6FA6" w:rsidRPr="00CF31E0" w14:paraId="7D5981B1" w14:textId="77777777" w:rsidTr="00DB6FA6">
        <w:trPr>
          <w:cantSplit/>
        </w:trPr>
        <w:tc>
          <w:tcPr>
            <w:tcW w:w="1736" w:type="dxa"/>
            <w:tcBorders>
              <w:top w:val="single" w:sz="8" w:space="0" w:color="auto"/>
              <w:bottom w:val="single" w:sz="6" w:space="0" w:color="auto"/>
            </w:tcBorders>
            <w:shd w:val="clear" w:color="auto" w:fill="FFFFFF"/>
            <w:vAlign w:val="bottom"/>
          </w:tcPr>
          <w:p w14:paraId="1DAC4D40" w14:textId="77777777" w:rsidR="00DB6FA6" w:rsidRPr="00CF31E0" w:rsidRDefault="00DB6FA6" w:rsidP="00DB6FA6">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Gender</w:t>
            </w:r>
          </w:p>
        </w:tc>
        <w:tc>
          <w:tcPr>
            <w:tcW w:w="1686" w:type="dxa"/>
            <w:tcBorders>
              <w:top w:val="single" w:sz="8" w:space="0" w:color="auto"/>
              <w:bottom w:val="single" w:sz="6" w:space="0" w:color="auto"/>
            </w:tcBorders>
            <w:shd w:val="clear" w:color="auto" w:fill="FFFFFF"/>
            <w:vAlign w:val="bottom"/>
          </w:tcPr>
          <w:p w14:paraId="761C484B" w14:textId="77777777" w:rsidR="00DB6FA6" w:rsidRPr="00CF31E0" w:rsidRDefault="00DB6FA6" w:rsidP="00DB6FA6">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360E605B" w14:textId="77777777" w:rsidR="00DB6FA6" w:rsidRPr="00CF31E0" w:rsidRDefault="00DB6FA6" w:rsidP="00DB6FA6">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60934751" w14:textId="77777777" w:rsidR="00DB6FA6" w:rsidRPr="00CF31E0" w:rsidRDefault="00DB6FA6" w:rsidP="00DB6FA6">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0D23DA7A" w14:textId="77777777" w:rsidR="00DB6FA6" w:rsidRPr="00CF31E0" w:rsidRDefault="00DB6FA6" w:rsidP="00DB6FA6">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33812AF3" w14:textId="77777777" w:rsidR="00DB6FA6" w:rsidRPr="00CF31E0" w:rsidRDefault="00DB6FA6" w:rsidP="00DB6FA6">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DB6FA6" w:rsidRPr="00CF31E0" w14:paraId="2215AFAE" w14:textId="77777777" w:rsidTr="00DB6FA6">
        <w:trPr>
          <w:cantSplit/>
        </w:trPr>
        <w:tc>
          <w:tcPr>
            <w:tcW w:w="1736" w:type="dxa"/>
            <w:tcBorders>
              <w:top w:val="single" w:sz="6" w:space="0" w:color="auto"/>
              <w:bottom w:val="nil"/>
            </w:tcBorders>
            <w:shd w:val="clear" w:color="auto" w:fill="FFFFFF"/>
          </w:tcPr>
          <w:p w14:paraId="6DD16633" w14:textId="77777777" w:rsidR="00DB6FA6" w:rsidRPr="00CF31E0" w:rsidRDefault="00DB6FA6" w:rsidP="00DB6FA6">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154A98F5" w14:textId="77777777" w:rsidR="00DB6FA6" w:rsidRPr="00CF31E0" w:rsidRDefault="00DB6FA6" w:rsidP="00DB6FA6">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.322</w:t>
            </w:r>
          </w:p>
        </w:tc>
        <w:tc>
          <w:tcPr>
            <w:tcW w:w="820" w:type="dxa"/>
            <w:tcBorders>
              <w:top w:val="single" w:sz="6" w:space="0" w:color="auto"/>
              <w:bottom w:val="nil"/>
            </w:tcBorders>
            <w:shd w:val="clear" w:color="auto" w:fill="FFFFFF"/>
            <w:vAlign w:val="center"/>
          </w:tcPr>
          <w:p w14:paraId="69DAAE2B" w14:textId="77777777" w:rsidR="00DB6FA6" w:rsidRPr="00CF31E0" w:rsidRDefault="00DB6FA6" w:rsidP="00DB6FA6">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w:t>
            </w:r>
          </w:p>
        </w:tc>
        <w:tc>
          <w:tcPr>
            <w:tcW w:w="1445" w:type="dxa"/>
            <w:tcBorders>
              <w:top w:val="single" w:sz="6" w:space="0" w:color="auto"/>
              <w:bottom w:val="nil"/>
            </w:tcBorders>
            <w:shd w:val="clear" w:color="auto" w:fill="FFFFFF"/>
            <w:vAlign w:val="center"/>
          </w:tcPr>
          <w:p w14:paraId="0558862F" w14:textId="77777777" w:rsidR="00DB6FA6" w:rsidRPr="00CF31E0" w:rsidRDefault="00DB6FA6" w:rsidP="00DB6FA6">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.322</w:t>
            </w:r>
          </w:p>
        </w:tc>
        <w:tc>
          <w:tcPr>
            <w:tcW w:w="1030" w:type="dxa"/>
            <w:tcBorders>
              <w:top w:val="single" w:sz="6" w:space="0" w:color="auto"/>
              <w:bottom w:val="nil"/>
            </w:tcBorders>
            <w:shd w:val="clear" w:color="auto" w:fill="FFFFFF"/>
            <w:vAlign w:val="center"/>
          </w:tcPr>
          <w:p w14:paraId="30207565" w14:textId="77777777" w:rsidR="00DB6FA6" w:rsidRPr="00CF31E0" w:rsidRDefault="00DB6FA6" w:rsidP="00DB6FA6">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.205</w:t>
            </w:r>
          </w:p>
        </w:tc>
        <w:tc>
          <w:tcPr>
            <w:tcW w:w="674" w:type="dxa"/>
            <w:tcBorders>
              <w:top w:val="single" w:sz="6" w:space="0" w:color="auto"/>
              <w:bottom w:val="nil"/>
            </w:tcBorders>
            <w:shd w:val="clear" w:color="auto" w:fill="FFFFFF"/>
            <w:vAlign w:val="center"/>
          </w:tcPr>
          <w:p w14:paraId="68445FA2" w14:textId="77777777" w:rsidR="00DB6FA6" w:rsidRPr="00CF31E0" w:rsidRDefault="00DB6FA6" w:rsidP="00DB6FA6">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.651</w:t>
            </w:r>
          </w:p>
        </w:tc>
      </w:tr>
      <w:tr w:rsidR="00DB6FA6" w:rsidRPr="00CF31E0" w14:paraId="6E864D9F" w14:textId="77777777" w:rsidTr="00DB6FA6">
        <w:trPr>
          <w:cantSplit/>
        </w:trPr>
        <w:tc>
          <w:tcPr>
            <w:tcW w:w="1736" w:type="dxa"/>
            <w:tcBorders>
              <w:top w:val="nil"/>
            </w:tcBorders>
            <w:shd w:val="clear" w:color="auto" w:fill="FFFFFF"/>
          </w:tcPr>
          <w:p w14:paraId="35017A48" w14:textId="77777777" w:rsidR="00DB6FA6" w:rsidRPr="00CF31E0" w:rsidRDefault="00DB6FA6" w:rsidP="00DB6FA6">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14BCEE5B" w14:textId="77777777" w:rsidR="00DB6FA6" w:rsidRPr="00CF31E0" w:rsidRDefault="00DB6FA6" w:rsidP="00DB6FA6">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1014.094</w:t>
            </w:r>
          </w:p>
        </w:tc>
        <w:tc>
          <w:tcPr>
            <w:tcW w:w="820" w:type="dxa"/>
            <w:tcBorders>
              <w:top w:val="nil"/>
            </w:tcBorders>
            <w:shd w:val="clear" w:color="auto" w:fill="FFFFFF"/>
            <w:vAlign w:val="center"/>
          </w:tcPr>
          <w:p w14:paraId="2F10D680" w14:textId="0FEDC436" w:rsidR="00DB6FA6" w:rsidRPr="00CF31E0" w:rsidRDefault="00D0193D" w:rsidP="00DB6FA6">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322</w:t>
            </w:r>
          </w:p>
        </w:tc>
        <w:tc>
          <w:tcPr>
            <w:tcW w:w="1445" w:type="dxa"/>
            <w:tcBorders>
              <w:top w:val="nil"/>
            </w:tcBorders>
            <w:shd w:val="clear" w:color="auto" w:fill="FFFFFF"/>
            <w:vAlign w:val="center"/>
          </w:tcPr>
          <w:p w14:paraId="3401C43E" w14:textId="77777777" w:rsidR="00DB6FA6" w:rsidRPr="00CF31E0" w:rsidRDefault="00DB6FA6" w:rsidP="00DB6FA6">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1.567</w:t>
            </w:r>
          </w:p>
        </w:tc>
        <w:tc>
          <w:tcPr>
            <w:tcW w:w="1030" w:type="dxa"/>
            <w:tcBorders>
              <w:top w:val="nil"/>
            </w:tcBorders>
            <w:shd w:val="clear" w:color="auto" w:fill="FFFFFF"/>
            <w:vAlign w:val="center"/>
          </w:tcPr>
          <w:p w14:paraId="42D24CE6" w14:textId="77777777" w:rsidR="00DB6FA6" w:rsidRPr="00CF31E0" w:rsidRDefault="00DB6FA6" w:rsidP="00DB6FA6">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18DCED3F" w14:textId="77777777" w:rsidR="00DB6FA6" w:rsidRPr="00CF31E0" w:rsidRDefault="00DB6FA6" w:rsidP="00DB6FA6">
            <w:pPr>
              <w:spacing w:before="120" w:after="120" w:line="360" w:lineRule="auto"/>
              <w:jc w:val="right"/>
              <w:rPr>
                <w:rFonts w:eastAsia="Calibri" w:cs="Arial"/>
                <w:color w:val="000000" w:themeColor="text1"/>
                <w:sz w:val="22"/>
                <w:szCs w:val="22"/>
                <w:lang w:eastAsia="en-US"/>
              </w:rPr>
            </w:pPr>
          </w:p>
        </w:tc>
      </w:tr>
      <w:tr w:rsidR="00DB6FA6" w:rsidRPr="00CF31E0" w14:paraId="5412C054" w14:textId="77777777" w:rsidTr="00DB6FA6">
        <w:trPr>
          <w:cantSplit/>
        </w:trPr>
        <w:tc>
          <w:tcPr>
            <w:tcW w:w="1736" w:type="dxa"/>
            <w:shd w:val="clear" w:color="auto" w:fill="FFFFFF"/>
          </w:tcPr>
          <w:p w14:paraId="315CAE65" w14:textId="77777777" w:rsidR="00DB6FA6" w:rsidRPr="00CF31E0" w:rsidRDefault="00DB6FA6" w:rsidP="00DB6FA6">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B9B263E" w14:textId="77777777" w:rsidR="00DB6FA6" w:rsidRPr="00CF31E0" w:rsidRDefault="00DB6FA6" w:rsidP="00DB6FA6">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1014.416</w:t>
            </w:r>
          </w:p>
        </w:tc>
        <w:tc>
          <w:tcPr>
            <w:tcW w:w="820" w:type="dxa"/>
            <w:shd w:val="clear" w:color="auto" w:fill="FFFFFF"/>
            <w:vAlign w:val="center"/>
          </w:tcPr>
          <w:p w14:paraId="1A16F24A" w14:textId="633A5DD0" w:rsidR="00DB6FA6" w:rsidRPr="00CF31E0" w:rsidRDefault="00D0193D" w:rsidP="00DB6FA6">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323</w:t>
            </w:r>
          </w:p>
        </w:tc>
        <w:tc>
          <w:tcPr>
            <w:tcW w:w="1445" w:type="dxa"/>
            <w:shd w:val="clear" w:color="auto" w:fill="FFFFFF"/>
            <w:vAlign w:val="center"/>
          </w:tcPr>
          <w:p w14:paraId="7D59CB95" w14:textId="77777777" w:rsidR="00DB6FA6" w:rsidRPr="00CF31E0" w:rsidRDefault="00DB6FA6" w:rsidP="00DB6FA6">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78E41700" w14:textId="77777777" w:rsidR="00DB6FA6" w:rsidRPr="00CF31E0" w:rsidRDefault="00DB6FA6" w:rsidP="00DB6FA6">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61534F36" w14:textId="77777777" w:rsidR="00DB6FA6" w:rsidRPr="00CF31E0" w:rsidRDefault="00DB6FA6" w:rsidP="00DB6FA6">
            <w:pPr>
              <w:spacing w:before="120" w:after="120" w:line="360" w:lineRule="auto"/>
              <w:jc w:val="right"/>
              <w:rPr>
                <w:rFonts w:eastAsia="Calibri" w:cs="Arial"/>
                <w:color w:val="000000" w:themeColor="text1"/>
                <w:sz w:val="22"/>
                <w:szCs w:val="22"/>
                <w:lang w:eastAsia="en-US"/>
              </w:rPr>
            </w:pPr>
          </w:p>
        </w:tc>
      </w:tr>
    </w:tbl>
    <w:p w14:paraId="1361D3D1" w14:textId="77777777" w:rsidR="00DB6FA6" w:rsidRPr="00CF31E0" w:rsidRDefault="00DB6FA6" w:rsidP="00B57389">
      <w:pPr>
        <w:rPr>
          <w:color w:val="000000" w:themeColor="text1"/>
          <w:lang w:eastAsia="en-US"/>
        </w:rPr>
      </w:pPr>
    </w:p>
    <w:p w14:paraId="52D8B0EB" w14:textId="77777777" w:rsidR="00DB6FA6" w:rsidRPr="00CF31E0" w:rsidRDefault="00DB6FA6"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BE32DA" w:rsidRPr="00CF31E0" w14:paraId="2F26560C" w14:textId="77777777" w:rsidTr="0012747F">
        <w:trPr>
          <w:cantSplit/>
        </w:trPr>
        <w:tc>
          <w:tcPr>
            <w:tcW w:w="7391" w:type="dxa"/>
            <w:gridSpan w:val="6"/>
            <w:tcBorders>
              <w:top w:val="single" w:sz="8" w:space="0" w:color="auto"/>
              <w:bottom w:val="single" w:sz="8" w:space="0" w:color="auto"/>
            </w:tcBorders>
            <w:shd w:val="clear" w:color="auto" w:fill="FFFFFF"/>
            <w:vAlign w:val="bottom"/>
          </w:tcPr>
          <w:p w14:paraId="71C50A3A" w14:textId="77777777" w:rsidR="00BE32DA" w:rsidRPr="00CF31E0" w:rsidRDefault="00BE32DA" w:rsidP="00BE32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Traditional factor (UBH dialect)</w:t>
            </w:r>
          </w:p>
        </w:tc>
      </w:tr>
      <w:tr w:rsidR="00BE32DA" w:rsidRPr="00CF31E0" w14:paraId="5CD94991" w14:textId="77777777" w:rsidTr="0012747F">
        <w:trPr>
          <w:cantSplit/>
        </w:trPr>
        <w:tc>
          <w:tcPr>
            <w:tcW w:w="1736" w:type="dxa"/>
            <w:tcBorders>
              <w:top w:val="single" w:sz="8" w:space="0" w:color="auto"/>
              <w:bottom w:val="single" w:sz="6" w:space="0" w:color="auto"/>
            </w:tcBorders>
            <w:shd w:val="clear" w:color="auto" w:fill="FFFFFF"/>
            <w:vAlign w:val="bottom"/>
          </w:tcPr>
          <w:p w14:paraId="6CBFE83E" w14:textId="77777777" w:rsidR="00BE32DA" w:rsidRPr="00CF31E0" w:rsidRDefault="00BE32DA" w:rsidP="00BE32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Age</w:t>
            </w:r>
          </w:p>
        </w:tc>
        <w:tc>
          <w:tcPr>
            <w:tcW w:w="1686" w:type="dxa"/>
            <w:tcBorders>
              <w:top w:val="single" w:sz="8" w:space="0" w:color="auto"/>
              <w:bottom w:val="single" w:sz="6" w:space="0" w:color="auto"/>
            </w:tcBorders>
            <w:shd w:val="clear" w:color="auto" w:fill="FFFFFF"/>
            <w:vAlign w:val="bottom"/>
          </w:tcPr>
          <w:p w14:paraId="193D8338" w14:textId="77777777" w:rsidR="00BE32DA" w:rsidRPr="00CF31E0" w:rsidRDefault="00BE32DA" w:rsidP="00BE32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67DFB603" w14:textId="77777777" w:rsidR="00BE32DA" w:rsidRPr="00CF31E0" w:rsidRDefault="00BE32DA" w:rsidP="00BE32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0C56738D" w14:textId="77777777" w:rsidR="00BE32DA" w:rsidRPr="00CF31E0" w:rsidRDefault="00BE32DA" w:rsidP="00BE32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6B9B8F42" w14:textId="77777777" w:rsidR="00BE32DA" w:rsidRPr="00CF31E0" w:rsidRDefault="00BE32DA" w:rsidP="00BE32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49D3C92B" w14:textId="77777777" w:rsidR="00BE32DA" w:rsidRPr="00CF31E0" w:rsidRDefault="00BE32DA" w:rsidP="00BE32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BE32DA" w:rsidRPr="00CF31E0" w14:paraId="2EF60C29" w14:textId="77777777" w:rsidTr="0012747F">
        <w:trPr>
          <w:cantSplit/>
        </w:trPr>
        <w:tc>
          <w:tcPr>
            <w:tcW w:w="1736" w:type="dxa"/>
            <w:tcBorders>
              <w:top w:val="single" w:sz="6" w:space="0" w:color="auto"/>
              <w:bottom w:val="nil"/>
            </w:tcBorders>
            <w:shd w:val="clear" w:color="auto" w:fill="FFFFFF"/>
          </w:tcPr>
          <w:p w14:paraId="16E81C71" w14:textId="77777777" w:rsidR="00BE32DA" w:rsidRPr="00CF31E0" w:rsidRDefault="00BE32DA" w:rsidP="00BE32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6197C994" w14:textId="77777777" w:rsidR="00BE32DA" w:rsidRPr="00CF31E0" w:rsidRDefault="00BE32DA" w:rsidP="00BE32D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8.319</w:t>
            </w:r>
          </w:p>
        </w:tc>
        <w:tc>
          <w:tcPr>
            <w:tcW w:w="820" w:type="dxa"/>
            <w:tcBorders>
              <w:top w:val="single" w:sz="6" w:space="0" w:color="auto"/>
              <w:bottom w:val="nil"/>
            </w:tcBorders>
            <w:shd w:val="clear" w:color="auto" w:fill="FFFFFF"/>
            <w:vAlign w:val="center"/>
          </w:tcPr>
          <w:p w14:paraId="171D2B41" w14:textId="77777777" w:rsidR="00BE32DA" w:rsidRPr="00CF31E0" w:rsidRDefault="00BE32DA" w:rsidP="00BE32D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5</w:t>
            </w:r>
          </w:p>
        </w:tc>
        <w:tc>
          <w:tcPr>
            <w:tcW w:w="1445" w:type="dxa"/>
            <w:tcBorders>
              <w:top w:val="single" w:sz="6" w:space="0" w:color="auto"/>
              <w:bottom w:val="nil"/>
            </w:tcBorders>
            <w:shd w:val="clear" w:color="auto" w:fill="FFFFFF"/>
            <w:vAlign w:val="center"/>
          </w:tcPr>
          <w:p w14:paraId="55111316" w14:textId="77777777" w:rsidR="00BE32DA" w:rsidRPr="00CF31E0" w:rsidRDefault="00BE32DA" w:rsidP="00BE32D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1.664</w:t>
            </w:r>
          </w:p>
        </w:tc>
        <w:tc>
          <w:tcPr>
            <w:tcW w:w="1030" w:type="dxa"/>
            <w:tcBorders>
              <w:top w:val="single" w:sz="6" w:space="0" w:color="auto"/>
              <w:bottom w:val="nil"/>
            </w:tcBorders>
            <w:shd w:val="clear" w:color="auto" w:fill="FFFFFF"/>
            <w:vAlign w:val="center"/>
          </w:tcPr>
          <w:p w14:paraId="0B160EDC" w14:textId="77777777" w:rsidR="00BE32DA" w:rsidRPr="00CF31E0" w:rsidRDefault="00BE32DA" w:rsidP="00BE32D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1.062</w:t>
            </w:r>
          </w:p>
        </w:tc>
        <w:tc>
          <w:tcPr>
            <w:tcW w:w="674" w:type="dxa"/>
            <w:tcBorders>
              <w:top w:val="single" w:sz="6" w:space="0" w:color="auto"/>
              <w:bottom w:val="nil"/>
            </w:tcBorders>
            <w:shd w:val="clear" w:color="auto" w:fill="FFFFFF"/>
            <w:vAlign w:val="center"/>
          </w:tcPr>
          <w:p w14:paraId="6844B58F" w14:textId="77777777" w:rsidR="00BE32DA" w:rsidRPr="00CF31E0" w:rsidRDefault="00BE32DA" w:rsidP="00BE32D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.380</w:t>
            </w:r>
          </w:p>
        </w:tc>
      </w:tr>
      <w:tr w:rsidR="00BE32DA" w:rsidRPr="00CF31E0" w14:paraId="1196A185" w14:textId="77777777" w:rsidTr="0012747F">
        <w:trPr>
          <w:cantSplit/>
        </w:trPr>
        <w:tc>
          <w:tcPr>
            <w:tcW w:w="1736" w:type="dxa"/>
            <w:tcBorders>
              <w:top w:val="nil"/>
            </w:tcBorders>
            <w:shd w:val="clear" w:color="auto" w:fill="FFFFFF"/>
          </w:tcPr>
          <w:p w14:paraId="303D593C" w14:textId="77777777" w:rsidR="00BE32DA" w:rsidRPr="00CF31E0" w:rsidRDefault="00BE32DA" w:rsidP="00BE32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3C95328E" w14:textId="77777777" w:rsidR="00BE32DA" w:rsidRPr="00CF31E0" w:rsidRDefault="00BE32DA" w:rsidP="00BE32D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1003.956</w:t>
            </w:r>
          </w:p>
        </w:tc>
        <w:tc>
          <w:tcPr>
            <w:tcW w:w="820" w:type="dxa"/>
            <w:tcBorders>
              <w:top w:val="nil"/>
            </w:tcBorders>
            <w:shd w:val="clear" w:color="auto" w:fill="FFFFFF"/>
            <w:vAlign w:val="center"/>
          </w:tcPr>
          <w:p w14:paraId="42C150AC" w14:textId="47AC952F" w:rsidR="00BE32DA" w:rsidRPr="00CF31E0" w:rsidRDefault="00D0193D" w:rsidP="00BE32D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318</w:t>
            </w:r>
          </w:p>
        </w:tc>
        <w:tc>
          <w:tcPr>
            <w:tcW w:w="1445" w:type="dxa"/>
            <w:tcBorders>
              <w:top w:val="nil"/>
            </w:tcBorders>
            <w:shd w:val="clear" w:color="auto" w:fill="FFFFFF"/>
            <w:vAlign w:val="center"/>
          </w:tcPr>
          <w:p w14:paraId="0D409D38" w14:textId="77777777" w:rsidR="00BE32DA" w:rsidRPr="00CF31E0" w:rsidRDefault="00BE32DA" w:rsidP="00BE32D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1.566</w:t>
            </w:r>
          </w:p>
        </w:tc>
        <w:tc>
          <w:tcPr>
            <w:tcW w:w="1030" w:type="dxa"/>
            <w:tcBorders>
              <w:top w:val="nil"/>
            </w:tcBorders>
            <w:shd w:val="clear" w:color="auto" w:fill="FFFFFF"/>
            <w:vAlign w:val="center"/>
          </w:tcPr>
          <w:p w14:paraId="02DC32CE" w14:textId="77777777" w:rsidR="00BE32DA" w:rsidRPr="00CF31E0" w:rsidRDefault="00BE32DA" w:rsidP="00BE32DA">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5495CAEC" w14:textId="77777777" w:rsidR="00BE32DA" w:rsidRPr="00CF31E0" w:rsidRDefault="00BE32DA" w:rsidP="00BE32DA">
            <w:pPr>
              <w:spacing w:before="120" w:after="120" w:line="360" w:lineRule="auto"/>
              <w:jc w:val="right"/>
              <w:rPr>
                <w:rFonts w:eastAsia="Calibri" w:cs="Arial"/>
                <w:color w:val="000000" w:themeColor="text1"/>
                <w:sz w:val="22"/>
                <w:szCs w:val="22"/>
                <w:lang w:eastAsia="en-US"/>
              </w:rPr>
            </w:pPr>
          </w:p>
        </w:tc>
      </w:tr>
      <w:tr w:rsidR="00BE32DA" w:rsidRPr="00CF31E0" w14:paraId="4ADB7CEF" w14:textId="77777777" w:rsidTr="0012747F">
        <w:trPr>
          <w:cantSplit/>
        </w:trPr>
        <w:tc>
          <w:tcPr>
            <w:tcW w:w="1736" w:type="dxa"/>
            <w:shd w:val="clear" w:color="auto" w:fill="FFFFFF"/>
          </w:tcPr>
          <w:p w14:paraId="5ABF375E" w14:textId="77777777" w:rsidR="00BE32DA" w:rsidRPr="00CF31E0" w:rsidRDefault="00BE32DA" w:rsidP="00BE32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Total</w:t>
            </w:r>
          </w:p>
        </w:tc>
        <w:tc>
          <w:tcPr>
            <w:tcW w:w="1686" w:type="dxa"/>
            <w:shd w:val="clear" w:color="auto" w:fill="FFFFFF"/>
            <w:vAlign w:val="center"/>
          </w:tcPr>
          <w:p w14:paraId="74BBF8FF" w14:textId="77777777" w:rsidR="00BE32DA" w:rsidRPr="00CF31E0" w:rsidRDefault="00BE32DA" w:rsidP="00BE32D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1012.275</w:t>
            </w:r>
          </w:p>
        </w:tc>
        <w:tc>
          <w:tcPr>
            <w:tcW w:w="820" w:type="dxa"/>
            <w:shd w:val="clear" w:color="auto" w:fill="FFFFFF"/>
            <w:vAlign w:val="center"/>
          </w:tcPr>
          <w:p w14:paraId="6A4C4565" w14:textId="1F1D5EAA" w:rsidR="00BE32DA" w:rsidRPr="00CF31E0" w:rsidRDefault="00D0193D" w:rsidP="00BE32D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323</w:t>
            </w:r>
          </w:p>
        </w:tc>
        <w:tc>
          <w:tcPr>
            <w:tcW w:w="1445" w:type="dxa"/>
            <w:shd w:val="clear" w:color="auto" w:fill="FFFFFF"/>
            <w:vAlign w:val="center"/>
          </w:tcPr>
          <w:p w14:paraId="0B0F3027" w14:textId="77777777" w:rsidR="00BE32DA" w:rsidRPr="00CF31E0" w:rsidRDefault="00BE32DA" w:rsidP="00BE32DA">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60B6F054" w14:textId="77777777" w:rsidR="00BE32DA" w:rsidRPr="00CF31E0" w:rsidRDefault="00BE32DA" w:rsidP="00BE32DA">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652EAE24" w14:textId="77777777" w:rsidR="00BE32DA" w:rsidRPr="00CF31E0" w:rsidRDefault="00BE32DA" w:rsidP="00BE32DA">
            <w:pPr>
              <w:spacing w:before="120" w:after="120" w:line="360" w:lineRule="auto"/>
              <w:jc w:val="right"/>
              <w:rPr>
                <w:rFonts w:eastAsia="Calibri" w:cs="Arial"/>
                <w:color w:val="000000" w:themeColor="text1"/>
                <w:sz w:val="22"/>
                <w:szCs w:val="22"/>
                <w:lang w:eastAsia="en-US"/>
              </w:rPr>
            </w:pPr>
          </w:p>
        </w:tc>
      </w:tr>
    </w:tbl>
    <w:p w14:paraId="3085C8D8" w14:textId="77777777" w:rsidR="00BE32DA" w:rsidRPr="00CF31E0" w:rsidRDefault="00BE32DA" w:rsidP="00B57389">
      <w:pPr>
        <w:rPr>
          <w:color w:val="000000" w:themeColor="text1"/>
          <w:lang w:eastAsia="en-US"/>
        </w:rPr>
      </w:pPr>
    </w:p>
    <w:p w14:paraId="09EBAB86" w14:textId="77777777" w:rsidR="00BE32DA" w:rsidRPr="00CF31E0" w:rsidRDefault="00BE32DA"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18396A" w:rsidRPr="00CF31E0" w14:paraId="39BBEA64" w14:textId="77777777" w:rsidTr="0012747F">
        <w:trPr>
          <w:cantSplit/>
        </w:trPr>
        <w:tc>
          <w:tcPr>
            <w:tcW w:w="7391" w:type="dxa"/>
            <w:gridSpan w:val="6"/>
            <w:tcBorders>
              <w:top w:val="single" w:sz="8" w:space="0" w:color="auto"/>
              <w:bottom w:val="single" w:sz="8" w:space="0" w:color="auto"/>
            </w:tcBorders>
            <w:shd w:val="clear" w:color="auto" w:fill="FFFFFF"/>
            <w:vAlign w:val="bottom"/>
          </w:tcPr>
          <w:p w14:paraId="61D81574" w14:textId="77777777" w:rsidR="0018396A" w:rsidRPr="00CF31E0" w:rsidRDefault="0018396A" w:rsidP="0018396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Traditional factor (UBH dialect)</w:t>
            </w:r>
          </w:p>
        </w:tc>
      </w:tr>
      <w:tr w:rsidR="0018396A" w:rsidRPr="00CF31E0" w14:paraId="3C00AC3B" w14:textId="77777777" w:rsidTr="0012747F">
        <w:trPr>
          <w:cantSplit/>
        </w:trPr>
        <w:tc>
          <w:tcPr>
            <w:tcW w:w="1736" w:type="dxa"/>
            <w:tcBorders>
              <w:top w:val="single" w:sz="8" w:space="0" w:color="auto"/>
              <w:bottom w:val="single" w:sz="6" w:space="0" w:color="auto"/>
            </w:tcBorders>
            <w:shd w:val="clear" w:color="auto" w:fill="FFFFFF"/>
            <w:vAlign w:val="bottom"/>
          </w:tcPr>
          <w:p w14:paraId="791BE3B4" w14:textId="77777777" w:rsidR="0018396A" w:rsidRPr="00CF31E0" w:rsidRDefault="0018396A" w:rsidP="0018396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 of birth</w:t>
            </w:r>
          </w:p>
        </w:tc>
        <w:tc>
          <w:tcPr>
            <w:tcW w:w="1686" w:type="dxa"/>
            <w:tcBorders>
              <w:top w:val="single" w:sz="8" w:space="0" w:color="auto"/>
              <w:bottom w:val="single" w:sz="6" w:space="0" w:color="auto"/>
            </w:tcBorders>
            <w:shd w:val="clear" w:color="auto" w:fill="FFFFFF"/>
            <w:vAlign w:val="bottom"/>
          </w:tcPr>
          <w:p w14:paraId="3DFB6761"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70B9B8CC"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FF34BAB"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3AAA5A1"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54A0E867"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18396A" w:rsidRPr="00CF31E0" w14:paraId="253FEE36" w14:textId="77777777" w:rsidTr="0012747F">
        <w:trPr>
          <w:cantSplit/>
        </w:trPr>
        <w:tc>
          <w:tcPr>
            <w:tcW w:w="1736" w:type="dxa"/>
            <w:tcBorders>
              <w:top w:val="single" w:sz="6" w:space="0" w:color="auto"/>
              <w:bottom w:val="nil"/>
            </w:tcBorders>
            <w:shd w:val="clear" w:color="auto" w:fill="FFFFFF"/>
          </w:tcPr>
          <w:p w14:paraId="00DC3418" w14:textId="77777777" w:rsidR="0018396A" w:rsidRPr="00CF31E0" w:rsidRDefault="0018396A" w:rsidP="0018396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1AC73C56"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.769</w:t>
            </w:r>
          </w:p>
        </w:tc>
        <w:tc>
          <w:tcPr>
            <w:tcW w:w="820" w:type="dxa"/>
            <w:tcBorders>
              <w:top w:val="single" w:sz="6" w:space="0" w:color="auto"/>
              <w:bottom w:val="nil"/>
            </w:tcBorders>
            <w:shd w:val="clear" w:color="auto" w:fill="FFFFFF"/>
            <w:vAlign w:val="center"/>
          </w:tcPr>
          <w:p w14:paraId="68626AE2"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w:t>
            </w:r>
          </w:p>
        </w:tc>
        <w:tc>
          <w:tcPr>
            <w:tcW w:w="1445" w:type="dxa"/>
            <w:tcBorders>
              <w:top w:val="single" w:sz="6" w:space="0" w:color="auto"/>
              <w:bottom w:val="nil"/>
            </w:tcBorders>
            <w:shd w:val="clear" w:color="auto" w:fill="FFFFFF"/>
            <w:vAlign w:val="center"/>
          </w:tcPr>
          <w:p w14:paraId="22AB5BEC"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.769</w:t>
            </w:r>
          </w:p>
        </w:tc>
        <w:tc>
          <w:tcPr>
            <w:tcW w:w="1030" w:type="dxa"/>
            <w:tcBorders>
              <w:top w:val="single" w:sz="6" w:space="0" w:color="auto"/>
              <w:bottom w:val="nil"/>
            </w:tcBorders>
            <w:shd w:val="clear" w:color="auto" w:fill="FFFFFF"/>
            <w:vAlign w:val="center"/>
          </w:tcPr>
          <w:p w14:paraId="22F2399D"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.491</w:t>
            </w:r>
          </w:p>
        </w:tc>
        <w:tc>
          <w:tcPr>
            <w:tcW w:w="674" w:type="dxa"/>
            <w:tcBorders>
              <w:top w:val="single" w:sz="6" w:space="0" w:color="auto"/>
              <w:bottom w:val="nil"/>
            </w:tcBorders>
            <w:shd w:val="clear" w:color="auto" w:fill="FFFFFF"/>
            <w:vAlign w:val="center"/>
          </w:tcPr>
          <w:p w14:paraId="4198FD73"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.484</w:t>
            </w:r>
          </w:p>
        </w:tc>
      </w:tr>
      <w:tr w:rsidR="0018396A" w:rsidRPr="00CF31E0" w14:paraId="1013205C" w14:textId="77777777" w:rsidTr="0012747F">
        <w:trPr>
          <w:cantSplit/>
        </w:trPr>
        <w:tc>
          <w:tcPr>
            <w:tcW w:w="1736" w:type="dxa"/>
            <w:tcBorders>
              <w:top w:val="nil"/>
            </w:tcBorders>
            <w:shd w:val="clear" w:color="auto" w:fill="FFFFFF"/>
          </w:tcPr>
          <w:p w14:paraId="20A24165" w14:textId="77777777" w:rsidR="0018396A" w:rsidRPr="00CF31E0" w:rsidRDefault="0018396A" w:rsidP="0018396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0BB386E0"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1013.647</w:t>
            </w:r>
          </w:p>
        </w:tc>
        <w:tc>
          <w:tcPr>
            <w:tcW w:w="820" w:type="dxa"/>
            <w:tcBorders>
              <w:top w:val="nil"/>
            </w:tcBorders>
            <w:shd w:val="clear" w:color="auto" w:fill="FFFFFF"/>
            <w:vAlign w:val="center"/>
          </w:tcPr>
          <w:p w14:paraId="014A0849" w14:textId="42A9F542" w:rsidR="0018396A" w:rsidRPr="00CF31E0" w:rsidRDefault="00D0193D" w:rsidP="0018396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322</w:t>
            </w:r>
          </w:p>
        </w:tc>
        <w:tc>
          <w:tcPr>
            <w:tcW w:w="1445" w:type="dxa"/>
            <w:tcBorders>
              <w:top w:val="nil"/>
            </w:tcBorders>
            <w:shd w:val="clear" w:color="auto" w:fill="FFFFFF"/>
            <w:vAlign w:val="center"/>
          </w:tcPr>
          <w:p w14:paraId="102C81E2"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1.567</w:t>
            </w:r>
          </w:p>
        </w:tc>
        <w:tc>
          <w:tcPr>
            <w:tcW w:w="1030" w:type="dxa"/>
            <w:tcBorders>
              <w:top w:val="nil"/>
            </w:tcBorders>
            <w:shd w:val="clear" w:color="auto" w:fill="FFFFFF"/>
            <w:vAlign w:val="center"/>
          </w:tcPr>
          <w:p w14:paraId="167F78C6"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3348EF5A"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p>
        </w:tc>
      </w:tr>
      <w:tr w:rsidR="0018396A" w:rsidRPr="00CF31E0" w14:paraId="7779BB3D" w14:textId="77777777" w:rsidTr="0012747F">
        <w:trPr>
          <w:cantSplit/>
        </w:trPr>
        <w:tc>
          <w:tcPr>
            <w:tcW w:w="1736" w:type="dxa"/>
            <w:shd w:val="clear" w:color="auto" w:fill="FFFFFF"/>
          </w:tcPr>
          <w:p w14:paraId="48CD1E49" w14:textId="77777777" w:rsidR="0018396A" w:rsidRPr="00CF31E0" w:rsidRDefault="0018396A" w:rsidP="0018396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000FA2D7"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1014.416</w:t>
            </w:r>
          </w:p>
        </w:tc>
        <w:tc>
          <w:tcPr>
            <w:tcW w:w="820" w:type="dxa"/>
            <w:shd w:val="clear" w:color="auto" w:fill="FFFFFF"/>
            <w:vAlign w:val="center"/>
          </w:tcPr>
          <w:p w14:paraId="72E6B279" w14:textId="1EA0CA40" w:rsidR="0018396A" w:rsidRPr="00CF31E0" w:rsidRDefault="00D0193D" w:rsidP="0018396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323</w:t>
            </w:r>
          </w:p>
        </w:tc>
        <w:tc>
          <w:tcPr>
            <w:tcW w:w="1445" w:type="dxa"/>
            <w:shd w:val="clear" w:color="auto" w:fill="FFFFFF"/>
            <w:vAlign w:val="center"/>
          </w:tcPr>
          <w:p w14:paraId="1759B7C8"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67EC4374"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6DE4A423"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p>
        </w:tc>
      </w:tr>
    </w:tbl>
    <w:p w14:paraId="638F8D18" w14:textId="77777777" w:rsidR="00BE32DA" w:rsidRPr="00CF31E0" w:rsidRDefault="00BE32DA" w:rsidP="00B57389">
      <w:pPr>
        <w:rPr>
          <w:color w:val="000000" w:themeColor="text1"/>
          <w:lang w:eastAsia="en-US"/>
        </w:rPr>
      </w:pPr>
    </w:p>
    <w:p w14:paraId="160C73D3" w14:textId="77777777" w:rsidR="0018396A" w:rsidRPr="00CF31E0" w:rsidRDefault="0018396A"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18396A" w:rsidRPr="00CF31E0" w14:paraId="5CD17836" w14:textId="77777777" w:rsidTr="0012747F">
        <w:trPr>
          <w:cantSplit/>
        </w:trPr>
        <w:tc>
          <w:tcPr>
            <w:tcW w:w="7391" w:type="dxa"/>
            <w:gridSpan w:val="6"/>
            <w:tcBorders>
              <w:top w:val="single" w:sz="8" w:space="0" w:color="auto"/>
              <w:bottom w:val="single" w:sz="8" w:space="0" w:color="auto"/>
            </w:tcBorders>
            <w:shd w:val="clear" w:color="auto" w:fill="FFFFFF"/>
            <w:vAlign w:val="bottom"/>
          </w:tcPr>
          <w:p w14:paraId="536ECD94" w14:textId="77777777" w:rsidR="0018396A" w:rsidRPr="00CF31E0" w:rsidRDefault="0018396A" w:rsidP="0018396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Traditional factor (UBH dialect)</w:t>
            </w:r>
          </w:p>
        </w:tc>
      </w:tr>
      <w:tr w:rsidR="0018396A" w:rsidRPr="00CF31E0" w14:paraId="6E14BF1A" w14:textId="77777777" w:rsidTr="0012747F">
        <w:trPr>
          <w:cantSplit/>
        </w:trPr>
        <w:tc>
          <w:tcPr>
            <w:tcW w:w="1736" w:type="dxa"/>
            <w:tcBorders>
              <w:top w:val="single" w:sz="8" w:space="0" w:color="auto"/>
              <w:bottom w:val="single" w:sz="6" w:space="0" w:color="auto"/>
            </w:tcBorders>
            <w:shd w:val="clear" w:color="auto" w:fill="FFFFFF"/>
            <w:vAlign w:val="bottom"/>
          </w:tcPr>
          <w:p w14:paraId="6AFD9A76" w14:textId="77777777" w:rsidR="0018396A" w:rsidRPr="00CF31E0" w:rsidRDefault="0018396A" w:rsidP="0018396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Places lived</w:t>
            </w:r>
          </w:p>
        </w:tc>
        <w:tc>
          <w:tcPr>
            <w:tcW w:w="1686" w:type="dxa"/>
            <w:tcBorders>
              <w:top w:val="single" w:sz="8" w:space="0" w:color="auto"/>
              <w:bottom w:val="single" w:sz="6" w:space="0" w:color="auto"/>
            </w:tcBorders>
            <w:shd w:val="clear" w:color="auto" w:fill="FFFFFF"/>
            <w:vAlign w:val="bottom"/>
          </w:tcPr>
          <w:p w14:paraId="1E1BA1D2"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251BBFFF"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34A150C9"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2BA4FCDF"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7385C648"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18396A" w:rsidRPr="00CF31E0" w14:paraId="57857F17" w14:textId="77777777" w:rsidTr="0012747F">
        <w:trPr>
          <w:cantSplit/>
        </w:trPr>
        <w:tc>
          <w:tcPr>
            <w:tcW w:w="1736" w:type="dxa"/>
            <w:tcBorders>
              <w:top w:val="single" w:sz="6" w:space="0" w:color="auto"/>
              <w:bottom w:val="nil"/>
            </w:tcBorders>
            <w:shd w:val="clear" w:color="auto" w:fill="FFFFFF"/>
          </w:tcPr>
          <w:p w14:paraId="2CF42788" w14:textId="77777777" w:rsidR="0018396A" w:rsidRPr="00CF31E0" w:rsidRDefault="0018396A" w:rsidP="0018396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2D9D5337"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4.265</w:t>
            </w:r>
          </w:p>
        </w:tc>
        <w:tc>
          <w:tcPr>
            <w:tcW w:w="820" w:type="dxa"/>
            <w:tcBorders>
              <w:top w:val="single" w:sz="6" w:space="0" w:color="auto"/>
              <w:bottom w:val="nil"/>
            </w:tcBorders>
            <w:shd w:val="clear" w:color="auto" w:fill="FFFFFF"/>
            <w:vAlign w:val="center"/>
          </w:tcPr>
          <w:p w14:paraId="078E3169"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w:t>
            </w:r>
          </w:p>
        </w:tc>
        <w:tc>
          <w:tcPr>
            <w:tcW w:w="1445" w:type="dxa"/>
            <w:tcBorders>
              <w:top w:val="single" w:sz="6" w:space="0" w:color="auto"/>
              <w:bottom w:val="nil"/>
            </w:tcBorders>
            <w:shd w:val="clear" w:color="auto" w:fill="FFFFFF"/>
            <w:vAlign w:val="center"/>
          </w:tcPr>
          <w:p w14:paraId="750A471B"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4.265</w:t>
            </w:r>
          </w:p>
        </w:tc>
        <w:tc>
          <w:tcPr>
            <w:tcW w:w="1030" w:type="dxa"/>
            <w:tcBorders>
              <w:top w:val="single" w:sz="6" w:space="0" w:color="auto"/>
              <w:bottom w:val="nil"/>
            </w:tcBorders>
            <w:shd w:val="clear" w:color="auto" w:fill="FFFFFF"/>
            <w:vAlign w:val="center"/>
          </w:tcPr>
          <w:p w14:paraId="2656DF54"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2.655</w:t>
            </w:r>
          </w:p>
        </w:tc>
        <w:tc>
          <w:tcPr>
            <w:tcW w:w="674" w:type="dxa"/>
            <w:tcBorders>
              <w:top w:val="single" w:sz="6" w:space="0" w:color="auto"/>
              <w:bottom w:val="nil"/>
            </w:tcBorders>
            <w:shd w:val="clear" w:color="auto" w:fill="FFFFFF"/>
            <w:vAlign w:val="center"/>
          </w:tcPr>
          <w:p w14:paraId="6DC27167"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.104</w:t>
            </w:r>
          </w:p>
        </w:tc>
      </w:tr>
      <w:tr w:rsidR="0018396A" w:rsidRPr="00CF31E0" w14:paraId="2CE0A1C9" w14:textId="77777777" w:rsidTr="0012747F">
        <w:trPr>
          <w:cantSplit/>
        </w:trPr>
        <w:tc>
          <w:tcPr>
            <w:tcW w:w="1736" w:type="dxa"/>
            <w:tcBorders>
              <w:top w:val="nil"/>
            </w:tcBorders>
            <w:shd w:val="clear" w:color="auto" w:fill="FFFFFF"/>
          </w:tcPr>
          <w:p w14:paraId="37698D2B" w14:textId="77777777" w:rsidR="0018396A" w:rsidRPr="00CF31E0" w:rsidRDefault="0018396A" w:rsidP="0018396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67596F1A"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925.322</w:t>
            </w:r>
          </w:p>
        </w:tc>
        <w:tc>
          <w:tcPr>
            <w:tcW w:w="820" w:type="dxa"/>
            <w:tcBorders>
              <w:top w:val="nil"/>
            </w:tcBorders>
            <w:shd w:val="clear" w:color="auto" w:fill="FFFFFF"/>
            <w:vAlign w:val="center"/>
          </w:tcPr>
          <w:p w14:paraId="6D083965" w14:textId="753FF12D" w:rsidR="0018396A" w:rsidRPr="00CF31E0" w:rsidRDefault="00D0193D" w:rsidP="0018396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322</w:t>
            </w:r>
          </w:p>
        </w:tc>
        <w:tc>
          <w:tcPr>
            <w:tcW w:w="1445" w:type="dxa"/>
            <w:tcBorders>
              <w:top w:val="nil"/>
            </w:tcBorders>
            <w:shd w:val="clear" w:color="auto" w:fill="FFFFFF"/>
            <w:vAlign w:val="center"/>
          </w:tcPr>
          <w:p w14:paraId="6F8EC8AE"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1.606</w:t>
            </w:r>
          </w:p>
        </w:tc>
        <w:tc>
          <w:tcPr>
            <w:tcW w:w="1030" w:type="dxa"/>
            <w:tcBorders>
              <w:top w:val="nil"/>
            </w:tcBorders>
            <w:shd w:val="clear" w:color="auto" w:fill="FFFFFF"/>
            <w:vAlign w:val="center"/>
          </w:tcPr>
          <w:p w14:paraId="53B5B81E"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7D6528F1"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p>
        </w:tc>
      </w:tr>
      <w:tr w:rsidR="0018396A" w:rsidRPr="00CF31E0" w14:paraId="1AC86830" w14:textId="77777777" w:rsidTr="0012747F">
        <w:trPr>
          <w:cantSplit/>
        </w:trPr>
        <w:tc>
          <w:tcPr>
            <w:tcW w:w="1736" w:type="dxa"/>
            <w:shd w:val="clear" w:color="auto" w:fill="FFFFFF"/>
          </w:tcPr>
          <w:p w14:paraId="40AB55A4" w14:textId="77777777" w:rsidR="0018396A" w:rsidRPr="00CF31E0" w:rsidRDefault="0018396A" w:rsidP="0018396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08014235"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929.587</w:t>
            </w:r>
          </w:p>
        </w:tc>
        <w:tc>
          <w:tcPr>
            <w:tcW w:w="820" w:type="dxa"/>
            <w:shd w:val="clear" w:color="auto" w:fill="FFFFFF"/>
            <w:vAlign w:val="center"/>
          </w:tcPr>
          <w:p w14:paraId="3355A5A0" w14:textId="07E7FFC8" w:rsidR="0018396A" w:rsidRPr="00CF31E0" w:rsidRDefault="00D0193D" w:rsidP="0018396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323</w:t>
            </w:r>
          </w:p>
        </w:tc>
        <w:tc>
          <w:tcPr>
            <w:tcW w:w="1445" w:type="dxa"/>
            <w:shd w:val="clear" w:color="auto" w:fill="FFFFFF"/>
            <w:vAlign w:val="center"/>
          </w:tcPr>
          <w:p w14:paraId="77BFB1B4"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10114AA4"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02693FFC"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p>
        </w:tc>
      </w:tr>
    </w:tbl>
    <w:p w14:paraId="40326285" w14:textId="77777777" w:rsidR="0018396A" w:rsidRPr="00CF31E0" w:rsidRDefault="0018396A" w:rsidP="00B57389">
      <w:pPr>
        <w:rPr>
          <w:color w:val="000000" w:themeColor="text1"/>
          <w:lang w:eastAsia="en-US"/>
        </w:rPr>
      </w:pPr>
    </w:p>
    <w:p w14:paraId="4125EB51" w14:textId="77777777" w:rsidR="00442D9B" w:rsidRPr="00CF31E0" w:rsidRDefault="00442D9B"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18396A" w:rsidRPr="00CF31E0" w14:paraId="3D9780E5" w14:textId="77777777" w:rsidTr="0012747F">
        <w:trPr>
          <w:cantSplit/>
        </w:trPr>
        <w:tc>
          <w:tcPr>
            <w:tcW w:w="7391" w:type="dxa"/>
            <w:gridSpan w:val="6"/>
            <w:tcBorders>
              <w:top w:val="single" w:sz="8" w:space="0" w:color="auto"/>
              <w:bottom w:val="single" w:sz="8" w:space="0" w:color="auto"/>
            </w:tcBorders>
            <w:shd w:val="clear" w:color="auto" w:fill="FFFFFF"/>
            <w:vAlign w:val="bottom"/>
          </w:tcPr>
          <w:p w14:paraId="038C6F53" w14:textId="77777777" w:rsidR="0018396A" w:rsidRPr="00CF31E0" w:rsidRDefault="0018396A" w:rsidP="0018396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Traditional factor (UBH dialect)</w:t>
            </w:r>
          </w:p>
        </w:tc>
      </w:tr>
      <w:tr w:rsidR="0018396A" w:rsidRPr="00CF31E0" w14:paraId="69DC2213" w14:textId="77777777" w:rsidTr="0012747F">
        <w:trPr>
          <w:cantSplit/>
        </w:trPr>
        <w:tc>
          <w:tcPr>
            <w:tcW w:w="1736" w:type="dxa"/>
            <w:tcBorders>
              <w:top w:val="single" w:sz="8" w:space="0" w:color="auto"/>
              <w:bottom w:val="single" w:sz="6" w:space="0" w:color="auto"/>
            </w:tcBorders>
            <w:shd w:val="clear" w:color="auto" w:fill="FFFFFF"/>
            <w:vAlign w:val="bottom"/>
          </w:tcPr>
          <w:p w14:paraId="78389E70" w14:textId="77777777" w:rsidR="0018396A" w:rsidRPr="00CF31E0" w:rsidRDefault="0018396A" w:rsidP="0018396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Marital status</w:t>
            </w:r>
          </w:p>
        </w:tc>
        <w:tc>
          <w:tcPr>
            <w:tcW w:w="1686" w:type="dxa"/>
            <w:tcBorders>
              <w:top w:val="single" w:sz="8" w:space="0" w:color="auto"/>
              <w:bottom w:val="single" w:sz="6" w:space="0" w:color="auto"/>
            </w:tcBorders>
            <w:shd w:val="clear" w:color="auto" w:fill="FFFFFF"/>
            <w:vAlign w:val="bottom"/>
          </w:tcPr>
          <w:p w14:paraId="2F23394E"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755A4085"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226A30B2"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EDAD23C"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0BC04322"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18396A" w:rsidRPr="00CF31E0" w14:paraId="6721BF11" w14:textId="77777777" w:rsidTr="0012747F">
        <w:trPr>
          <w:cantSplit/>
        </w:trPr>
        <w:tc>
          <w:tcPr>
            <w:tcW w:w="1736" w:type="dxa"/>
            <w:tcBorders>
              <w:top w:val="single" w:sz="6" w:space="0" w:color="auto"/>
              <w:bottom w:val="nil"/>
            </w:tcBorders>
            <w:shd w:val="clear" w:color="auto" w:fill="FFFFFF"/>
          </w:tcPr>
          <w:p w14:paraId="3D1431FB" w14:textId="77777777" w:rsidR="0018396A" w:rsidRPr="00CF31E0" w:rsidRDefault="0018396A" w:rsidP="0018396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4ACE466C"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2.580</w:t>
            </w:r>
          </w:p>
        </w:tc>
        <w:tc>
          <w:tcPr>
            <w:tcW w:w="820" w:type="dxa"/>
            <w:tcBorders>
              <w:top w:val="single" w:sz="6" w:space="0" w:color="auto"/>
              <w:bottom w:val="nil"/>
            </w:tcBorders>
            <w:shd w:val="clear" w:color="auto" w:fill="FFFFFF"/>
            <w:vAlign w:val="center"/>
          </w:tcPr>
          <w:p w14:paraId="667067B6"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w:t>
            </w:r>
          </w:p>
        </w:tc>
        <w:tc>
          <w:tcPr>
            <w:tcW w:w="1445" w:type="dxa"/>
            <w:tcBorders>
              <w:top w:val="single" w:sz="6" w:space="0" w:color="auto"/>
              <w:bottom w:val="nil"/>
            </w:tcBorders>
            <w:shd w:val="clear" w:color="auto" w:fill="FFFFFF"/>
            <w:vAlign w:val="center"/>
          </w:tcPr>
          <w:p w14:paraId="0147A017"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.860</w:t>
            </w:r>
          </w:p>
        </w:tc>
        <w:tc>
          <w:tcPr>
            <w:tcW w:w="1030" w:type="dxa"/>
            <w:tcBorders>
              <w:top w:val="single" w:sz="6" w:space="0" w:color="auto"/>
              <w:bottom w:val="nil"/>
            </w:tcBorders>
            <w:shd w:val="clear" w:color="auto" w:fill="FFFFFF"/>
            <w:vAlign w:val="center"/>
          </w:tcPr>
          <w:p w14:paraId="33D54635"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.548</w:t>
            </w:r>
          </w:p>
        </w:tc>
        <w:tc>
          <w:tcPr>
            <w:tcW w:w="674" w:type="dxa"/>
            <w:tcBorders>
              <w:top w:val="single" w:sz="6" w:space="0" w:color="auto"/>
              <w:bottom w:val="nil"/>
            </w:tcBorders>
            <w:shd w:val="clear" w:color="auto" w:fill="FFFFFF"/>
            <w:vAlign w:val="center"/>
          </w:tcPr>
          <w:p w14:paraId="17F32D68"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.649</w:t>
            </w:r>
          </w:p>
        </w:tc>
      </w:tr>
      <w:tr w:rsidR="0018396A" w:rsidRPr="00CF31E0" w14:paraId="05033536" w14:textId="77777777" w:rsidTr="0012747F">
        <w:trPr>
          <w:cantSplit/>
        </w:trPr>
        <w:tc>
          <w:tcPr>
            <w:tcW w:w="1736" w:type="dxa"/>
            <w:tcBorders>
              <w:top w:val="nil"/>
            </w:tcBorders>
            <w:shd w:val="clear" w:color="auto" w:fill="FFFFFF"/>
          </w:tcPr>
          <w:p w14:paraId="14ABCDED" w14:textId="77777777" w:rsidR="0018396A" w:rsidRPr="00CF31E0" w:rsidRDefault="0018396A" w:rsidP="0018396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1E07B7B2"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1011.836</w:t>
            </w:r>
          </w:p>
        </w:tc>
        <w:tc>
          <w:tcPr>
            <w:tcW w:w="820" w:type="dxa"/>
            <w:tcBorders>
              <w:top w:val="nil"/>
            </w:tcBorders>
            <w:shd w:val="clear" w:color="auto" w:fill="FFFFFF"/>
            <w:vAlign w:val="center"/>
          </w:tcPr>
          <w:p w14:paraId="291EDCCA" w14:textId="4EED3850" w:rsidR="0018396A" w:rsidRPr="00CF31E0" w:rsidRDefault="00D0193D" w:rsidP="0018396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320</w:t>
            </w:r>
          </w:p>
        </w:tc>
        <w:tc>
          <w:tcPr>
            <w:tcW w:w="1445" w:type="dxa"/>
            <w:tcBorders>
              <w:top w:val="nil"/>
            </w:tcBorders>
            <w:shd w:val="clear" w:color="auto" w:fill="FFFFFF"/>
            <w:vAlign w:val="center"/>
          </w:tcPr>
          <w:p w14:paraId="200902E8"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1.569</w:t>
            </w:r>
          </w:p>
        </w:tc>
        <w:tc>
          <w:tcPr>
            <w:tcW w:w="1030" w:type="dxa"/>
            <w:tcBorders>
              <w:top w:val="nil"/>
            </w:tcBorders>
            <w:shd w:val="clear" w:color="auto" w:fill="FFFFFF"/>
            <w:vAlign w:val="center"/>
          </w:tcPr>
          <w:p w14:paraId="14C149BD"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563687C3"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p>
        </w:tc>
      </w:tr>
      <w:tr w:rsidR="0018396A" w:rsidRPr="00CF31E0" w14:paraId="7F94689B" w14:textId="77777777" w:rsidTr="0012747F">
        <w:trPr>
          <w:cantSplit/>
        </w:trPr>
        <w:tc>
          <w:tcPr>
            <w:tcW w:w="1736" w:type="dxa"/>
            <w:shd w:val="clear" w:color="auto" w:fill="FFFFFF"/>
          </w:tcPr>
          <w:p w14:paraId="671D0546" w14:textId="77777777" w:rsidR="0018396A" w:rsidRPr="00CF31E0" w:rsidRDefault="0018396A" w:rsidP="0018396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5F603228"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1014.416</w:t>
            </w:r>
          </w:p>
        </w:tc>
        <w:tc>
          <w:tcPr>
            <w:tcW w:w="820" w:type="dxa"/>
            <w:shd w:val="clear" w:color="auto" w:fill="FFFFFF"/>
            <w:vAlign w:val="center"/>
          </w:tcPr>
          <w:p w14:paraId="08711FAC" w14:textId="01B48D08" w:rsidR="0018396A" w:rsidRPr="00CF31E0" w:rsidRDefault="00D0193D" w:rsidP="0018396A">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323</w:t>
            </w:r>
          </w:p>
        </w:tc>
        <w:tc>
          <w:tcPr>
            <w:tcW w:w="1445" w:type="dxa"/>
            <w:shd w:val="clear" w:color="auto" w:fill="FFFFFF"/>
            <w:vAlign w:val="center"/>
          </w:tcPr>
          <w:p w14:paraId="76D8B59D"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72BC47B6"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3C17FEBD" w14:textId="77777777" w:rsidR="0018396A" w:rsidRPr="00CF31E0" w:rsidRDefault="0018396A" w:rsidP="0018396A">
            <w:pPr>
              <w:spacing w:before="120" w:after="120" w:line="360" w:lineRule="auto"/>
              <w:jc w:val="right"/>
              <w:rPr>
                <w:rFonts w:eastAsia="Calibri" w:cs="Arial"/>
                <w:color w:val="000000" w:themeColor="text1"/>
                <w:sz w:val="22"/>
                <w:szCs w:val="22"/>
                <w:lang w:eastAsia="en-US"/>
              </w:rPr>
            </w:pPr>
          </w:p>
        </w:tc>
      </w:tr>
    </w:tbl>
    <w:p w14:paraId="432F5B78" w14:textId="77777777" w:rsidR="00BE32DA" w:rsidRPr="00CF31E0" w:rsidRDefault="00BE32DA" w:rsidP="00B57389">
      <w:pPr>
        <w:rPr>
          <w:color w:val="000000" w:themeColor="text1"/>
          <w:lang w:eastAsia="en-US"/>
        </w:rPr>
      </w:pPr>
    </w:p>
    <w:p w14:paraId="7C89FE3E" w14:textId="77777777" w:rsidR="0018396A" w:rsidRPr="00CF31E0" w:rsidRDefault="0018396A" w:rsidP="00B57389">
      <w:pPr>
        <w:rPr>
          <w:color w:val="000000" w:themeColor="text1"/>
          <w:lang w:eastAsia="en-US"/>
        </w:rPr>
      </w:pPr>
    </w:p>
    <w:p w14:paraId="3119D155" w14:textId="77777777" w:rsidR="00C73201" w:rsidRPr="00CF31E0" w:rsidRDefault="00C73201" w:rsidP="00B57389">
      <w:pPr>
        <w:rPr>
          <w:color w:val="000000" w:themeColor="text1"/>
          <w:lang w:eastAsia="en-US"/>
        </w:rPr>
      </w:pPr>
    </w:p>
    <w:p w14:paraId="5F3DCFE9" w14:textId="77777777" w:rsidR="00C73201" w:rsidRPr="00CF31E0" w:rsidRDefault="00C73201" w:rsidP="00B57389">
      <w:pPr>
        <w:rPr>
          <w:color w:val="000000" w:themeColor="text1"/>
          <w:lang w:eastAsia="en-US"/>
        </w:rPr>
      </w:pPr>
    </w:p>
    <w:p w14:paraId="22F9F112" w14:textId="77777777" w:rsidR="00C73201" w:rsidRPr="00CF31E0" w:rsidRDefault="00C73201" w:rsidP="00B57389">
      <w:pPr>
        <w:rPr>
          <w:color w:val="000000" w:themeColor="text1"/>
          <w:lang w:eastAsia="en-US"/>
        </w:rPr>
      </w:pPr>
    </w:p>
    <w:p w14:paraId="54BC136E" w14:textId="77777777" w:rsidR="00C73201" w:rsidRPr="00CF31E0" w:rsidRDefault="00C73201"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4F2BCD" w:rsidRPr="00CF31E0" w14:paraId="32FE63F8" w14:textId="77777777" w:rsidTr="0012747F">
        <w:trPr>
          <w:cantSplit/>
        </w:trPr>
        <w:tc>
          <w:tcPr>
            <w:tcW w:w="7391" w:type="dxa"/>
            <w:gridSpan w:val="6"/>
            <w:tcBorders>
              <w:top w:val="single" w:sz="8" w:space="0" w:color="auto"/>
              <w:bottom w:val="single" w:sz="8" w:space="0" w:color="auto"/>
            </w:tcBorders>
            <w:shd w:val="clear" w:color="auto" w:fill="FFFFFF"/>
            <w:vAlign w:val="bottom"/>
          </w:tcPr>
          <w:p w14:paraId="7A4E902F" w14:textId="77777777" w:rsidR="004F2BCD" w:rsidRPr="00CF31E0" w:rsidRDefault="004F2BCD" w:rsidP="004F2B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Traditional factor (UBH dialect)</w:t>
            </w:r>
          </w:p>
        </w:tc>
      </w:tr>
      <w:tr w:rsidR="004F2BCD" w:rsidRPr="00CF31E0" w14:paraId="07A7AE78" w14:textId="77777777" w:rsidTr="0012747F">
        <w:trPr>
          <w:cantSplit/>
        </w:trPr>
        <w:tc>
          <w:tcPr>
            <w:tcW w:w="1736" w:type="dxa"/>
            <w:tcBorders>
              <w:top w:val="single" w:sz="8" w:space="0" w:color="auto"/>
              <w:bottom w:val="single" w:sz="6" w:space="0" w:color="auto"/>
            </w:tcBorders>
            <w:shd w:val="clear" w:color="auto" w:fill="FFFFFF"/>
            <w:vAlign w:val="bottom"/>
          </w:tcPr>
          <w:p w14:paraId="644DF589" w14:textId="77777777" w:rsidR="004F2BCD" w:rsidRPr="00CF31E0" w:rsidRDefault="004F2BCD" w:rsidP="004F2B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Education</w:t>
            </w:r>
          </w:p>
        </w:tc>
        <w:tc>
          <w:tcPr>
            <w:tcW w:w="1686" w:type="dxa"/>
            <w:tcBorders>
              <w:top w:val="single" w:sz="8" w:space="0" w:color="auto"/>
              <w:bottom w:val="single" w:sz="6" w:space="0" w:color="auto"/>
            </w:tcBorders>
            <w:shd w:val="clear" w:color="auto" w:fill="FFFFFF"/>
            <w:vAlign w:val="bottom"/>
          </w:tcPr>
          <w:p w14:paraId="1DD17DCF" w14:textId="77777777" w:rsidR="004F2BCD" w:rsidRPr="00CF31E0" w:rsidRDefault="004F2BCD" w:rsidP="004F2B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08D43D67" w14:textId="77777777" w:rsidR="004F2BCD" w:rsidRPr="00CF31E0" w:rsidRDefault="004F2BCD" w:rsidP="004F2B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51444BAB" w14:textId="77777777" w:rsidR="004F2BCD" w:rsidRPr="00CF31E0" w:rsidRDefault="004F2BCD" w:rsidP="004F2B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4417C240" w14:textId="77777777" w:rsidR="004F2BCD" w:rsidRPr="00CF31E0" w:rsidRDefault="004F2BCD" w:rsidP="004F2B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5E83F700" w14:textId="77777777" w:rsidR="004F2BCD" w:rsidRPr="00CF31E0" w:rsidRDefault="004F2BCD" w:rsidP="004F2B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4F2BCD" w:rsidRPr="00CF31E0" w14:paraId="530EBFD1" w14:textId="77777777" w:rsidTr="0012747F">
        <w:trPr>
          <w:cantSplit/>
        </w:trPr>
        <w:tc>
          <w:tcPr>
            <w:tcW w:w="1736" w:type="dxa"/>
            <w:tcBorders>
              <w:top w:val="single" w:sz="6" w:space="0" w:color="auto"/>
              <w:bottom w:val="nil"/>
            </w:tcBorders>
            <w:shd w:val="clear" w:color="auto" w:fill="FFFFFF"/>
          </w:tcPr>
          <w:p w14:paraId="46DCE18C" w14:textId="77777777" w:rsidR="004F2BCD" w:rsidRPr="00CF31E0" w:rsidRDefault="004F2BCD" w:rsidP="004F2B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22C59B4B" w14:textId="77777777" w:rsidR="004F2BCD" w:rsidRPr="00CF31E0" w:rsidRDefault="004F2BCD" w:rsidP="004F2BCD">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10.335</w:t>
            </w:r>
          </w:p>
        </w:tc>
        <w:tc>
          <w:tcPr>
            <w:tcW w:w="820" w:type="dxa"/>
            <w:tcBorders>
              <w:top w:val="single" w:sz="6" w:space="0" w:color="auto"/>
              <w:bottom w:val="nil"/>
            </w:tcBorders>
            <w:shd w:val="clear" w:color="auto" w:fill="FFFFFF"/>
            <w:vAlign w:val="center"/>
          </w:tcPr>
          <w:p w14:paraId="11E34126" w14:textId="77777777" w:rsidR="004F2BCD" w:rsidRPr="00CF31E0" w:rsidRDefault="004F2BCD" w:rsidP="004F2BCD">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5</w:t>
            </w:r>
          </w:p>
        </w:tc>
        <w:tc>
          <w:tcPr>
            <w:tcW w:w="1445" w:type="dxa"/>
            <w:tcBorders>
              <w:top w:val="single" w:sz="6" w:space="0" w:color="auto"/>
              <w:bottom w:val="nil"/>
            </w:tcBorders>
            <w:shd w:val="clear" w:color="auto" w:fill="FFFFFF"/>
            <w:vAlign w:val="center"/>
          </w:tcPr>
          <w:p w14:paraId="56470B6C" w14:textId="77777777" w:rsidR="004F2BCD" w:rsidRPr="00CF31E0" w:rsidRDefault="004F2BCD" w:rsidP="004F2BCD">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2.067</w:t>
            </w:r>
          </w:p>
        </w:tc>
        <w:tc>
          <w:tcPr>
            <w:tcW w:w="1030" w:type="dxa"/>
            <w:tcBorders>
              <w:top w:val="single" w:sz="6" w:space="0" w:color="auto"/>
              <w:bottom w:val="nil"/>
            </w:tcBorders>
            <w:shd w:val="clear" w:color="auto" w:fill="FFFFFF"/>
            <w:vAlign w:val="center"/>
          </w:tcPr>
          <w:p w14:paraId="7E8E060C" w14:textId="77777777" w:rsidR="004F2BCD" w:rsidRPr="00CF31E0" w:rsidRDefault="004F2BCD" w:rsidP="004F2BCD">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1.324</w:t>
            </w:r>
          </w:p>
        </w:tc>
        <w:tc>
          <w:tcPr>
            <w:tcW w:w="674" w:type="dxa"/>
            <w:tcBorders>
              <w:top w:val="single" w:sz="6" w:space="0" w:color="auto"/>
              <w:bottom w:val="nil"/>
            </w:tcBorders>
            <w:shd w:val="clear" w:color="auto" w:fill="FFFFFF"/>
            <w:vAlign w:val="center"/>
          </w:tcPr>
          <w:p w14:paraId="298AF611" w14:textId="77777777" w:rsidR="004F2BCD" w:rsidRPr="00CF31E0" w:rsidRDefault="004F2BCD" w:rsidP="004F2BCD">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.252</w:t>
            </w:r>
          </w:p>
        </w:tc>
      </w:tr>
      <w:tr w:rsidR="004F2BCD" w:rsidRPr="00CF31E0" w14:paraId="79D68168" w14:textId="77777777" w:rsidTr="0012747F">
        <w:trPr>
          <w:cantSplit/>
        </w:trPr>
        <w:tc>
          <w:tcPr>
            <w:tcW w:w="1736" w:type="dxa"/>
            <w:tcBorders>
              <w:top w:val="nil"/>
            </w:tcBorders>
            <w:shd w:val="clear" w:color="auto" w:fill="FFFFFF"/>
          </w:tcPr>
          <w:p w14:paraId="77E1A65D" w14:textId="77777777" w:rsidR="004F2BCD" w:rsidRPr="00CF31E0" w:rsidRDefault="004F2BCD" w:rsidP="004F2B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26B83E24" w14:textId="77777777" w:rsidR="004F2BCD" w:rsidRPr="00CF31E0" w:rsidRDefault="004F2BCD" w:rsidP="004F2BCD">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1004.081</w:t>
            </w:r>
          </w:p>
        </w:tc>
        <w:tc>
          <w:tcPr>
            <w:tcW w:w="820" w:type="dxa"/>
            <w:tcBorders>
              <w:top w:val="nil"/>
            </w:tcBorders>
            <w:shd w:val="clear" w:color="auto" w:fill="FFFFFF"/>
            <w:vAlign w:val="center"/>
          </w:tcPr>
          <w:p w14:paraId="0534A467" w14:textId="1AAA5D1E" w:rsidR="004F2BCD" w:rsidRPr="00CF31E0" w:rsidRDefault="00D0193D" w:rsidP="004F2BCD">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318</w:t>
            </w:r>
          </w:p>
        </w:tc>
        <w:tc>
          <w:tcPr>
            <w:tcW w:w="1445" w:type="dxa"/>
            <w:tcBorders>
              <w:top w:val="nil"/>
            </w:tcBorders>
            <w:shd w:val="clear" w:color="auto" w:fill="FFFFFF"/>
            <w:vAlign w:val="center"/>
          </w:tcPr>
          <w:p w14:paraId="4F93B52B" w14:textId="77777777" w:rsidR="004F2BCD" w:rsidRPr="00CF31E0" w:rsidRDefault="004F2BCD" w:rsidP="004F2BCD">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1.562</w:t>
            </w:r>
          </w:p>
        </w:tc>
        <w:tc>
          <w:tcPr>
            <w:tcW w:w="1030" w:type="dxa"/>
            <w:tcBorders>
              <w:top w:val="nil"/>
            </w:tcBorders>
            <w:shd w:val="clear" w:color="auto" w:fill="FFFFFF"/>
            <w:vAlign w:val="center"/>
          </w:tcPr>
          <w:p w14:paraId="709A23D6" w14:textId="77777777" w:rsidR="004F2BCD" w:rsidRPr="00CF31E0" w:rsidRDefault="004F2BCD" w:rsidP="004F2B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645DB430" w14:textId="77777777" w:rsidR="004F2BCD" w:rsidRPr="00CF31E0" w:rsidRDefault="004F2BCD" w:rsidP="004F2BCD">
            <w:pPr>
              <w:spacing w:before="120" w:after="120" w:line="360" w:lineRule="auto"/>
              <w:jc w:val="right"/>
              <w:rPr>
                <w:rFonts w:eastAsia="Calibri" w:cs="Arial"/>
                <w:color w:val="000000" w:themeColor="text1"/>
                <w:sz w:val="22"/>
                <w:szCs w:val="22"/>
                <w:lang w:eastAsia="en-US"/>
              </w:rPr>
            </w:pPr>
          </w:p>
        </w:tc>
      </w:tr>
      <w:tr w:rsidR="004F2BCD" w:rsidRPr="00CF31E0" w14:paraId="7C2FAE9E" w14:textId="77777777" w:rsidTr="0012747F">
        <w:trPr>
          <w:cantSplit/>
        </w:trPr>
        <w:tc>
          <w:tcPr>
            <w:tcW w:w="1736" w:type="dxa"/>
            <w:shd w:val="clear" w:color="auto" w:fill="FFFFFF"/>
          </w:tcPr>
          <w:p w14:paraId="352F692B" w14:textId="77777777" w:rsidR="004F2BCD" w:rsidRPr="00CF31E0" w:rsidRDefault="004F2BCD" w:rsidP="004F2B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6E27028" w14:textId="77777777" w:rsidR="004F2BCD" w:rsidRPr="00CF31E0" w:rsidRDefault="004F2BCD" w:rsidP="004F2BCD">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1014.416</w:t>
            </w:r>
          </w:p>
        </w:tc>
        <w:tc>
          <w:tcPr>
            <w:tcW w:w="820" w:type="dxa"/>
            <w:shd w:val="clear" w:color="auto" w:fill="FFFFFF"/>
            <w:vAlign w:val="center"/>
          </w:tcPr>
          <w:p w14:paraId="67F5B10E" w14:textId="1748A084" w:rsidR="004F2BCD" w:rsidRPr="00CF31E0" w:rsidRDefault="00D0193D" w:rsidP="004F2BCD">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323</w:t>
            </w:r>
          </w:p>
        </w:tc>
        <w:tc>
          <w:tcPr>
            <w:tcW w:w="1445" w:type="dxa"/>
            <w:shd w:val="clear" w:color="auto" w:fill="FFFFFF"/>
            <w:vAlign w:val="center"/>
          </w:tcPr>
          <w:p w14:paraId="57964FF5" w14:textId="77777777" w:rsidR="004F2BCD" w:rsidRPr="00CF31E0" w:rsidRDefault="004F2BCD" w:rsidP="004F2B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3C865D18" w14:textId="77777777" w:rsidR="004F2BCD" w:rsidRPr="00CF31E0" w:rsidRDefault="004F2BCD" w:rsidP="004F2B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09AE3B90" w14:textId="77777777" w:rsidR="004F2BCD" w:rsidRPr="00CF31E0" w:rsidRDefault="004F2BCD" w:rsidP="004F2BCD">
            <w:pPr>
              <w:spacing w:before="120" w:after="120" w:line="360" w:lineRule="auto"/>
              <w:jc w:val="right"/>
              <w:rPr>
                <w:rFonts w:eastAsia="Calibri" w:cs="Arial"/>
                <w:color w:val="000000" w:themeColor="text1"/>
                <w:sz w:val="22"/>
                <w:szCs w:val="22"/>
                <w:lang w:eastAsia="en-US"/>
              </w:rPr>
            </w:pPr>
          </w:p>
        </w:tc>
      </w:tr>
    </w:tbl>
    <w:p w14:paraId="7EFDCE85" w14:textId="77777777" w:rsidR="0018396A" w:rsidRPr="00CF31E0" w:rsidRDefault="0018396A" w:rsidP="00B57389">
      <w:pPr>
        <w:rPr>
          <w:color w:val="000000" w:themeColor="text1"/>
          <w:lang w:eastAsia="en-US"/>
        </w:rPr>
      </w:pPr>
    </w:p>
    <w:p w14:paraId="51109F36" w14:textId="77777777" w:rsidR="0012747F" w:rsidRPr="00CF31E0" w:rsidRDefault="0012747F"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12747F" w:rsidRPr="00CF31E0" w14:paraId="22B0512A" w14:textId="77777777" w:rsidTr="0012747F">
        <w:trPr>
          <w:cantSplit/>
        </w:trPr>
        <w:tc>
          <w:tcPr>
            <w:tcW w:w="7391" w:type="dxa"/>
            <w:gridSpan w:val="6"/>
            <w:tcBorders>
              <w:top w:val="single" w:sz="8" w:space="0" w:color="auto"/>
              <w:bottom w:val="single" w:sz="8" w:space="0" w:color="auto"/>
            </w:tcBorders>
            <w:shd w:val="clear" w:color="auto" w:fill="FFFFFF"/>
            <w:vAlign w:val="bottom"/>
          </w:tcPr>
          <w:p w14:paraId="353A8FED" w14:textId="77777777" w:rsidR="0012747F" w:rsidRPr="00CF31E0" w:rsidRDefault="0012747F" w:rsidP="0012747F">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Modern factor (HH dialect)</w:t>
            </w:r>
          </w:p>
        </w:tc>
      </w:tr>
      <w:tr w:rsidR="0012747F" w:rsidRPr="00CF31E0" w14:paraId="648FE7DC" w14:textId="77777777" w:rsidTr="0012747F">
        <w:trPr>
          <w:cantSplit/>
        </w:trPr>
        <w:tc>
          <w:tcPr>
            <w:tcW w:w="1736" w:type="dxa"/>
            <w:tcBorders>
              <w:top w:val="single" w:sz="8" w:space="0" w:color="auto"/>
              <w:bottom w:val="single" w:sz="6" w:space="0" w:color="auto"/>
            </w:tcBorders>
            <w:shd w:val="clear" w:color="auto" w:fill="FFFFFF"/>
            <w:vAlign w:val="bottom"/>
          </w:tcPr>
          <w:p w14:paraId="61267878" w14:textId="77777777" w:rsidR="0012747F" w:rsidRPr="00CF31E0" w:rsidRDefault="0012747F" w:rsidP="0012747F">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Gender</w:t>
            </w:r>
          </w:p>
        </w:tc>
        <w:tc>
          <w:tcPr>
            <w:tcW w:w="1686" w:type="dxa"/>
            <w:tcBorders>
              <w:top w:val="single" w:sz="8" w:space="0" w:color="auto"/>
              <w:bottom w:val="single" w:sz="6" w:space="0" w:color="auto"/>
            </w:tcBorders>
            <w:shd w:val="clear" w:color="auto" w:fill="FFFFFF"/>
            <w:vAlign w:val="bottom"/>
          </w:tcPr>
          <w:p w14:paraId="1BE886FC"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428F40E5"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0CB978BF"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4259EBE9"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0EBC3026"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12747F" w:rsidRPr="00CF31E0" w14:paraId="665E409C" w14:textId="77777777" w:rsidTr="0012747F">
        <w:trPr>
          <w:cantSplit/>
        </w:trPr>
        <w:tc>
          <w:tcPr>
            <w:tcW w:w="1736" w:type="dxa"/>
            <w:tcBorders>
              <w:top w:val="single" w:sz="6" w:space="0" w:color="auto"/>
              <w:bottom w:val="nil"/>
            </w:tcBorders>
            <w:shd w:val="clear" w:color="auto" w:fill="FFFFFF"/>
          </w:tcPr>
          <w:p w14:paraId="7FBEDCC0" w14:textId="77777777" w:rsidR="0012747F" w:rsidRPr="00CF31E0" w:rsidRDefault="0012747F" w:rsidP="0012747F">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5827BF4A"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4.484</w:t>
            </w:r>
          </w:p>
        </w:tc>
        <w:tc>
          <w:tcPr>
            <w:tcW w:w="820" w:type="dxa"/>
            <w:tcBorders>
              <w:top w:val="single" w:sz="6" w:space="0" w:color="auto"/>
              <w:bottom w:val="nil"/>
            </w:tcBorders>
            <w:shd w:val="clear" w:color="auto" w:fill="FFFFFF"/>
            <w:vAlign w:val="center"/>
          </w:tcPr>
          <w:p w14:paraId="07E2585F"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w:t>
            </w:r>
          </w:p>
        </w:tc>
        <w:tc>
          <w:tcPr>
            <w:tcW w:w="1445" w:type="dxa"/>
            <w:tcBorders>
              <w:top w:val="single" w:sz="6" w:space="0" w:color="auto"/>
              <w:bottom w:val="nil"/>
            </w:tcBorders>
            <w:shd w:val="clear" w:color="auto" w:fill="FFFFFF"/>
            <w:vAlign w:val="center"/>
          </w:tcPr>
          <w:p w14:paraId="1164E9DD"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4.484</w:t>
            </w:r>
          </w:p>
        </w:tc>
        <w:tc>
          <w:tcPr>
            <w:tcW w:w="1030" w:type="dxa"/>
            <w:tcBorders>
              <w:top w:val="single" w:sz="6" w:space="0" w:color="auto"/>
              <w:bottom w:val="nil"/>
            </w:tcBorders>
            <w:shd w:val="clear" w:color="auto" w:fill="FFFFFF"/>
            <w:vAlign w:val="center"/>
          </w:tcPr>
          <w:p w14:paraId="676C8359"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2.566</w:t>
            </w:r>
          </w:p>
        </w:tc>
        <w:tc>
          <w:tcPr>
            <w:tcW w:w="674" w:type="dxa"/>
            <w:tcBorders>
              <w:top w:val="single" w:sz="6" w:space="0" w:color="auto"/>
              <w:bottom w:val="nil"/>
            </w:tcBorders>
            <w:shd w:val="clear" w:color="auto" w:fill="FFFFFF"/>
            <w:vAlign w:val="center"/>
          </w:tcPr>
          <w:p w14:paraId="48F7D2C9"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.110</w:t>
            </w:r>
          </w:p>
        </w:tc>
      </w:tr>
      <w:tr w:rsidR="0012747F" w:rsidRPr="00CF31E0" w14:paraId="37E9C20F" w14:textId="77777777" w:rsidTr="0012747F">
        <w:trPr>
          <w:cantSplit/>
        </w:trPr>
        <w:tc>
          <w:tcPr>
            <w:tcW w:w="1736" w:type="dxa"/>
            <w:tcBorders>
              <w:top w:val="nil"/>
            </w:tcBorders>
            <w:shd w:val="clear" w:color="auto" w:fill="FFFFFF"/>
          </w:tcPr>
          <w:p w14:paraId="48E18779" w14:textId="77777777" w:rsidR="0012747F" w:rsidRPr="00CF31E0" w:rsidRDefault="0012747F" w:rsidP="0012747F">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0F170EE4"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1127.262</w:t>
            </w:r>
          </w:p>
        </w:tc>
        <w:tc>
          <w:tcPr>
            <w:tcW w:w="820" w:type="dxa"/>
            <w:tcBorders>
              <w:top w:val="nil"/>
            </w:tcBorders>
            <w:shd w:val="clear" w:color="auto" w:fill="FFFFFF"/>
            <w:vAlign w:val="center"/>
          </w:tcPr>
          <w:p w14:paraId="02A303D1" w14:textId="73EFC44C" w:rsidR="0012747F" w:rsidRPr="00CF31E0" w:rsidRDefault="00D0193D"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322</w:t>
            </w:r>
          </w:p>
        </w:tc>
        <w:tc>
          <w:tcPr>
            <w:tcW w:w="1445" w:type="dxa"/>
            <w:tcBorders>
              <w:top w:val="nil"/>
            </w:tcBorders>
            <w:shd w:val="clear" w:color="auto" w:fill="FFFFFF"/>
            <w:vAlign w:val="center"/>
          </w:tcPr>
          <w:p w14:paraId="42D62B3D"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1.748</w:t>
            </w:r>
          </w:p>
        </w:tc>
        <w:tc>
          <w:tcPr>
            <w:tcW w:w="1030" w:type="dxa"/>
            <w:tcBorders>
              <w:top w:val="nil"/>
            </w:tcBorders>
            <w:shd w:val="clear" w:color="auto" w:fill="FFFFFF"/>
            <w:vAlign w:val="center"/>
          </w:tcPr>
          <w:p w14:paraId="2D45937D"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6137E219"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p>
        </w:tc>
      </w:tr>
      <w:tr w:rsidR="0012747F" w:rsidRPr="00CF31E0" w14:paraId="0AB1213C" w14:textId="77777777" w:rsidTr="0012747F">
        <w:trPr>
          <w:cantSplit/>
        </w:trPr>
        <w:tc>
          <w:tcPr>
            <w:tcW w:w="1736" w:type="dxa"/>
            <w:shd w:val="clear" w:color="auto" w:fill="FFFFFF"/>
          </w:tcPr>
          <w:p w14:paraId="1DC67F49" w14:textId="77777777" w:rsidR="0012747F" w:rsidRPr="00CF31E0" w:rsidRDefault="0012747F" w:rsidP="0012747F">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630DD215"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1131.747</w:t>
            </w:r>
          </w:p>
        </w:tc>
        <w:tc>
          <w:tcPr>
            <w:tcW w:w="820" w:type="dxa"/>
            <w:shd w:val="clear" w:color="auto" w:fill="FFFFFF"/>
            <w:vAlign w:val="center"/>
          </w:tcPr>
          <w:p w14:paraId="2441632C" w14:textId="48721625" w:rsidR="0012747F" w:rsidRPr="00CF31E0" w:rsidRDefault="00D0193D"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323</w:t>
            </w:r>
          </w:p>
        </w:tc>
        <w:tc>
          <w:tcPr>
            <w:tcW w:w="1445" w:type="dxa"/>
            <w:shd w:val="clear" w:color="auto" w:fill="FFFFFF"/>
            <w:vAlign w:val="center"/>
          </w:tcPr>
          <w:p w14:paraId="7B8645E7"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6934B496"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2600E07F"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p>
        </w:tc>
      </w:tr>
    </w:tbl>
    <w:p w14:paraId="6561C631" w14:textId="77777777" w:rsidR="00442D9B" w:rsidRPr="00CF31E0" w:rsidRDefault="00442D9B" w:rsidP="00B57389">
      <w:pPr>
        <w:rPr>
          <w:color w:val="000000" w:themeColor="text1"/>
          <w:lang w:eastAsia="en-US"/>
        </w:rPr>
      </w:pPr>
    </w:p>
    <w:p w14:paraId="0B6E6144" w14:textId="77777777" w:rsidR="00442D9B" w:rsidRPr="00CF31E0" w:rsidRDefault="00442D9B"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12747F" w:rsidRPr="00CF31E0" w14:paraId="6D75687E" w14:textId="77777777" w:rsidTr="0012747F">
        <w:trPr>
          <w:cantSplit/>
        </w:trPr>
        <w:tc>
          <w:tcPr>
            <w:tcW w:w="7391" w:type="dxa"/>
            <w:gridSpan w:val="6"/>
            <w:tcBorders>
              <w:top w:val="single" w:sz="8" w:space="0" w:color="auto"/>
              <w:bottom w:val="single" w:sz="8" w:space="0" w:color="auto"/>
            </w:tcBorders>
            <w:shd w:val="clear" w:color="auto" w:fill="FFFFFF"/>
            <w:vAlign w:val="bottom"/>
          </w:tcPr>
          <w:p w14:paraId="799BEA38" w14:textId="77777777" w:rsidR="0012747F" w:rsidRPr="00CF31E0" w:rsidRDefault="0012747F" w:rsidP="0012747F">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Modern factor (HH dialect)</w:t>
            </w:r>
          </w:p>
        </w:tc>
      </w:tr>
      <w:tr w:rsidR="0012747F" w:rsidRPr="00CF31E0" w14:paraId="24495DF4" w14:textId="77777777" w:rsidTr="0012747F">
        <w:trPr>
          <w:cantSplit/>
        </w:trPr>
        <w:tc>
          <w:tcPr>
            <w:tcW w:w="1736" w:type="dxa"/>
            <w:tcBorders>
              <w:top w:val="single" w:sz="8" w:space="0" w:color="auto"/>
              <w:bottom w:val="single" w:sz="6" w:space="0" w:color="auto"/>
            </w:tcBorders>
            <w:shd w:val="clear" w:color="auto" w:fill="FFFFFF"/>
            <w:vAlign w:val="bottom"/>
          </w:tcPr>
          <w:p w14:paraId="4C36973E" w14:textId="77777777" w:rsidR="0012747F" w:rsidRPr="00CF31E0" w:rsidRDefault="0012747F" w:rsidP="0012747F">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Age</w:t>
            </w:r>
          </w:p>
        </w:tc>
        <w:tc>
          <w:tcPr>
            <w:tcW w:w="1686" w:type="dxa"/>
            <w:tcBorders>
              <w:top w:val="single" w:sz="8" w:space="0" w:color="auto"/>
              <w:bottom w:val="single" w:sz="6" w:space="0" w:color="auto"/>
            </w:tcBorders>
            <w:shd w:val="clear" w:color="auto" w:fill="FFFFFF"/>
            <w:vAlign w:val="bottom"/>
          </w:tcPr>
          <w:p w14:paraId="65550DE6"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0B030B5F"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0ED7F4AF"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0DD2A7C2"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657A6A35"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12747F" w:rsidRPr="00CF31E0" w14:paraId="4F84EF89" w14:textId="77777777" w:rsidTr="0012747F">
        <w:trPr>
          <w:cantSplit/>
        </w:trPr>
        <w:tc>
          <w:tcPr>
            <w:tcW w:w="1736" w:type="dxa"/>
            <w:tcBorders>
              <w:top w:val="single" w:sz="6" w:space="0" w:color="auto"/>
              <w:bottom w:val="nil"/>
            </w:tcBorders>
            <w:shd w:val="clear" w:color="auto" w:fill="FFFFFF"/>
          </w:tcPr>
          <w:p w14:paraId="2DA6264B" w14:textId="77777777" w:rsidR="0012747F" w:rsidRPr="00CF31E0" w:rsidRDefault="0012747F" w:rsidP="0012747F">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5A17DE1E"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3.441</w:t>
            </w:r>
          </w:p>
        </w:tc>
        <w:tc>
          <w:tcPr>
            <w:tcW w:w="820" w:type="dxa"/>
            <w:tcBorders>
              <w:top w:val="single" w:sz="6" w:space="0" w:color="auto"/>
              <w:bottom w:val="nil"/>
            </w:tcBorders>
            <w:shd w:val="clear" w:color="auto" w:fill="FFFFFF"/>
            <w:vAlign w:val="center"/>
          </w:tcPr>
          <w:p w14:paraId="60B0FAB1"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5</w:t>
            </w:r>
          </w:p>
        </w:tc>
        <w:tc>
          <w:tcPr>
            <w:tcW w:w="1445" w:type="dxa"/>
            <w:tcBorders>
              <w:top w:val="single" w:sz="6" w:space="0" w:color="auto"/>
              <w:bottom w:val="nil"/>
            </w:tcBorders>
            <w:shd w:val="clear" w:color="auto" w:fill="FFFFFF"/>
            <w:vAlign w:val="center"/>
          </w:tcPr>
          <w:p w14:paraId="008E3152"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.688</w:t>
            </w:r>
          </w:p>
        </w:tc>
        <w:tc>
          <w:tcPr>
            <w:tcW w:w="1030" w:type="dxa"/>
            <w:tcBorders>
              <w:top w:val="single" w:sz="6" w:space="0" w:color="auto"/>
              <w:bottom w:val="nil"/>
            </w:tcBorders>
            <w:shd w:val="clear" w:color="auto" w:fill="FFFFFF"/>
            <w:vAlign w:val="center"/>
          </w:tcPr>
          <w:p w14:paraId="6A06C22C"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.392</w:t>
            </w:r>
          </w:p>
        </w:tc>
        <w:tc>
          <w:tcPr>
            <w:tcW w:w="674" w:type="dxa"/>
            <w:tcBorders>
              <w:top w:val="single" w:sz="6" w:space="0" w:color="auto"/>
              <w:bottom w:val="nil"/>
            </w:tcBorders>
            <w:shd w:val="clear" w:color="auto" w:fill="FFFFFF"/>
            <w:vAlign w:val="center"/>
          </w:tcPr>
          <w:p w14:paraId="2053F258"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.854</w:t>
            </w:r>
          </w:p>
        </w:tc>
      </w:tr>
      <w:tr w:rsidR="0012747F" w:rsidRPr="00CF31E0" w14:paraId="3F178DC5" w14:textId="77777777" w:rsidTr="0012747F">
        <w:trPr>
          <w:cantSplit/>
        </w:trPr>
        <w:tc>
          <w:tcPr>
            <w:tcW w:w="1736" w:type="dxa"/>
            <w:tcBorders>
              <w:top w:val="nil"/>
            </w:tcBorders>
            <w:shd w:val="clear" w:color="auto" w:fill="FFFFFF"/>
          </w:tcPr>
          <w:p w14:paraId="39E6453E" w14:textId="77777777" w:rsidR="0012747F" w:rsidRPr="00CF31E0" w:rsidRDefault="0012747F" w:rsidP="0012747F">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51FB39A2"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1121.778</w:t>
            </w:r>
          </w:p>
        </w:tc>
        <w:tc>
          <w:tcPr>
            <w:tcW w:w="820" w:type="dxa"/>
            <w:tcBorders>
              <w:top w:val="nil"/>
            </w:tcBorders>
            <w:shd w:val="clear" w:color="auto" w:fill="FFFFFF"/>
            <w:vAlign w:val="center"/>
          </w:tcPr>
          <w:p w14:paraId="2DDEDB16" w14:textId="099FA61F" w:rsidR="0012747F" w:rsidRPr="00CF31E0" w:rsidRDefault="00D0193D"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318</w:t>
            </w:r>
          </w:p>
        </w:tc>
        <w:tc>
          <w:tcPr>
            <w:tcW w:w="1445" w:type="dxa"/>
            <w:tcBorders>
              <w:top w:val="nil"/>
            </w:tcBorders>
            <w:shd w:val="clear" w:color="auto" w:fill="FFFFFF"/>
            <w:vAlign w:val="center"/>
          </w:tcPr>
          <w:p w14:paraId="5987AFA9"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1.756</w:t>
            </w:r>
          </w:p>
        </w:tc>
        <w:tc>
          <w:tcPr>
            <w:tcW w:w="1030" w:type="dxa"/>
            <w:tcBorders>
              <w:top w:val="nil"/>
            </w:tcBorders>
            <w:shd w:val="clear" w:color="auto" w:fill="FFFFFF"/>
            <w:vAlign w:val="center"/>
          </w:tcPr>
          <w:p w14:paraId="456AC9F9"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2CD33EA8"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p>
        </w:tc>
      </w:tr>
      <w:tr w:rsidR="0012747F" w:rsidRPr="00CF31E0" w14:paraId="7693A7C6" w14:textId="77777777" w:rsidTr="0012747F">
        <w:trPr>
          <w:cantSplit/>
        </w:trPr>
        <w:tc>
          <w:tcPr>
            <w:tcW w:w="1736" w:type="dxa"/>
            <w:shd w:val="clear" w:color="auto" w:fill="FFFFFF"/>
          </w:tcPr>
          <w:p w14:paraId="05A69723" w14:textId="77777777" w:rsidR="0012747F" w:rsidRPr="00CF31E0" w:rsidRDefault="0012747F" w:rsidP="0012747F">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6300C1A6"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1125.219</w:t>
            </w:r>
          </w:p>
        </w:tc>
        <w:tc>
          <w:tcPr>
            <w:tcW w:w="820" w:type="dxa"/>
            <w:shd w:val="clear" w:color="auto" w:fill="FFFFFF"/>
            <w:vAlign w:val="center"/>
          </w:tcPr>
          <w:p w14:paraId="2F11F664" w14:textId="710267D1" w:rsidR="0012747F" w:rsidRPr="00CF31E0" w:rsidRDefault="00D0193D"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323</w:t>
            </w:r>
          </w:p>
        </w:tc>
        <w:tc>
          <w:tcPr>
            <w:tcW w:w="1445" w:type="dxa"/>
            <w:shd w:val="clear" w:color="auto" w:fill="FFFFFF"/>
            <w:vAlign w:val="center"/>
          </w:tcPr>
          <w:p w14:paraId="5F26222F"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54FA4655"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2068FBE1"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p>
        </w:tc>
      </w:tr>
    </w:tbl>
    <w:p w14:paraId="6DA36E07" w14:textId="77777777" w:rsidR="0012747F" w:rsidRPr="00CF31E0" w:rsidRDefault="0012747F" w:rsidP="00B57389">
      <w:pPr>
        <w:rPr>
          <w:color w:val="000000" w:themeColor="text1"/>
          <w:lang w:eastAsia="en-US"/>
        </w:rPr>
      </w:pPr>
    </w:p>
    <w:p w14:paraId="6BBD14C8" w14:textId="77777777" w:rsidR="0012747F" w:rsidRPr="00CF31E0" w:rsidRDefault="0012747F" w:rsidP="00B57389">
      <w:pPr>
        <w:rPr>
          <w:color w:val="000000" w:themeColor="text1"/>
          <w:lang w:eastAsia="en-US"/>
        </w:rPr>
      </w:pPr>
    </w:p>
    <w:p w14:paraId="6F358194" w14:textId="77777777" w:rsidR="00C73201" w:rsidRPr="00CF31E0" w:rsidRDefault="00C73201" w:rsidP="00B57389">
      <w:pPr>
        <w:rPr>
          <w:color w:val="000000" w:themeColor="text1"/>
          <w:lang w:eastAsia="en-US"/>
        </w:rPr>
      </w:pPr>
    </w:p>
    <w:p w14:paraId="60C189DC" w14:textId="77777777" w:rsidR="00C73201" w:rsidRPr="00CF31E0" w:rsidRDefault="00C73201" w:rsidP="00B57389">
      <w:pPr>
        <w:rPr>
          <w:color w:val="000000" w:themeColor="text1"/>
          <w:lang w:eastAsia="en-US"/>
        </w:rPr>
      </w:pPr>
    </w:p>
    <w:p w14:paraId="78785FC9" w14:textId="77777777" w:rsidR="00C73201" w:rsidRPr="00CF31E0" w:rsidRDefault="00C73201" w:rsidP="00B57389">
      <w:pPr>
        <w:rPr>
          <w:color w:val="000000" w:themeColor="text1"/>
          <w:lang w:eastAsia="en-US"/>
        </w:rPr>
      </w:pPr>
    </w:p>
    <w:p w14:paraId="07342036" w14:textId="77777777" w:rsidR="00C73201" w:rsidRPr="00CF31E0" w:rsidRDefault="00C73201" w:rsidP="00B57389">
      <w:pPr>
        <w:rPr>
          <w:color w:val="000000" w:themeColor="text1"/>
          <w:lang w:eastAsia="en-US"/>
        </w:rPr>
      </w:pPr>
    </w:p>
    <w:p w14:paraId="3EB2EB06" w14:textId="77777777" w:rsidR="00C73201" w:rsidRPr="00CF31E0" w:rsidRDefault="00C73201" w:rsidP="00B57389">
      <w:pPr>
        <w:rPr>
          <w:color w:val="000000" w:themeColor="text1"/>
          <w:lang w:eastAsia="en-US"/>
        </w:rPr>
      </w:pPr>
    </w:p>
    <w:p w14:paraId="318BD61F" w14:textId="77777777" w:rsidR="00C73201" w:rsidRPr="00CF31E0" w:rsidRDefault="00C73201" w:rsidP="00B57389">
      <w:pPr>
        <w:rPr>
          <w:color w:val="000000" w:themeColor="text1"/>
          <w:lang w:eastAsia="en-US"/>
        </w:rPr>
      </w:pPr>
    </w:p>
    <w:p w14:paraId="7EB33CF6" w14:textId="77777777" w:rsidR="00C73201" w:rsidRPr="00CF31E0" w:rsidRDefault="00C73201" w:rsidP="00B57389">
      <w:pPr>
        <w:rPr>
          <w:color w:val="000000" w:themeColor="text1"/>
          <w:lang w:eastAsia="en-US"/>
        </w:rPr>
      </w:pPr>
    </w:p>
    <w:p w14:paraId="6EFE361D" w14:textId="77777777" w:rsidR="00C73201" w:rsidRPr="00CF31E0" w:rsidRDefault="00C73201"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12747F" w:rsidRPr="00CF31E0" w14:paraId="5F91E03D" w14:textId="77777777" w:rsidTr="0012747F">
        <w:trPr>
          <w:cantSplit/>
        </w:trPr>
        <w:tc>
          <w:tcPr>
            <w:tcW w:w="7391" w:type="dxa"/>
            <w:gridSpan w:val="6"/>
            <w:tcBorders>
              <w:top w:val="single" w:sz="8" w:space="0" w:color="auto"/>
              <w:bottom w:val="single" w:sz="8" w:space="0" w:color="auto"/>
            </w:tcBorders>
            <w:shd w:val="clear" w:color="auto" w:fill="FFFFFF"/>
            <w:vAlign w:val="bottom"/>
          </w:tcPr>
          <w:p w14:paraId="0B79ED50" w14:textId="77777777" w:rsidR="0012747F" w:rsidRPr="00CF31E0" w:rsidRDefault="0012747F" w:rsidP="0012747F">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Modern factor (HH dialect)</w:t>
            </w:r>
          </w:p>
        </w:tc>
      </w:tr>
      <w:tr w:rsidR="0012747F" w:rsidRPr="00CF31E0" w14:paraId="64A4F76D" w14:textId="77777777" w:rsidTr="0012747F">
        <w:trPr>
          <w:cantSplit/>
        </w:trPr>
        <w:tc>
          <w:tcPr>
            <w:tcW w:w="1736" w:type="dxa"/>
            <w:tcBorders>
              <w:top w:val="single" w:sz="8" w:space="0" w:color="auto"/>
              <w:bottom w:val="single" w:sz="6" w:space="0" w:color="auto"/>
            </w:tcBorders>
            <w:shd w:val="clear" w:color="auto" w:fill="FFFFFF"/>
            <w:vAlign w:val="bottom"/>
          </w:tcPr>
          <w:p w14:paraId="7A547D9E" w14:textId="77777777" w:rsidR="0012747F" w:rsidRPr="00CF31E0" w:rsidRDefault="0012747F" w:rsidP="0012747F">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 of birth</w:t>
            </w:r>
          </w:p>
        </w:tc>
        <w:tc>
          <w:tcPr>
            <w:tcW w:w="1686" w:type="dxa"/>
            <w:tcBorders>
              <w:top w:val="single" w:sz="8" w:space="0" w:color="auto"/>
              <w:bottom w:val="single" w:sz="6" w:space="0" w:color="auto"/>
            </w:tcBorders>
            <w:shd w:val="clear" w:color="auto" w:fill="FFFFFF"/>
            <w:vAlign w:val="bottom"/>
          </w:tcPr>
          <w:p w14:paraId="16640119"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158AE8BD"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0D0F472C"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1E2A126B"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4F114586"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12747F" w:rsidRPr="00CF31E0" w14:paraId="6B363A9E" w14:textId="77777777" w:rsidTr="0012747F">
        <w:trPr>
          <w:cantSplit/>
        </w:trPr>
        <w:tc>
          <w:tcPr>
            <w:tcW w:w="1736" w:type="dxa"/>
            <w:tcBorders>
              <w:top w:val="single" w:sz="6" w:space="0" w:color="auto"/>
              <w:bottom w:val="nil"/>
            </w:tcBorders>
            <w:shd w:val="clear" w:color="auto" w:fill="FFFFFF"/>
          </w:tcPr>
          <w:p w14:paraId="27B4F0F5" w14:textId="77777777" w:rsidR="0012747F" w:rsidRPr="00CF31E0" w:rsidRDefault="0012747F" w:rsidP="0012747F">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638CB11B"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.023</w:t>
            </w:r>
          </w:p>
        </w:tc>
        <w:tc>
          <w:tcPr>
            <w:tcW w:w="820" w:type="dxa"/>
            <w:tcBorders>
              <w:top w:val="single" w:sz="6" w:space="0" w:color="auto"/>
              <w:bottom w:val="nil"/>
            </w:tcBorders>
            <w:shd w:val="clear" w:color="auto" w:fill="FFFFFF"/>
            <w:vAlign w:val="center"/>
          </w:tcPr>
          <w:p w14:paraId="27734B4D"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w:t>
            </w:r>
          </w:p>
        </w:tc>
        <w:tc>
          <w:tcPr>
            <w:tcW w:w="1445" w:type="dxa"/>
            <w:tcBorders>
              <w:top w:val="single" w:sz="6" w:space="0" w:color="auto"/>
              <w:bottom w:val="nil"/>
            </w:tcBorders>
            <w:shd w:val="clear" w:color="auto" w:fill="FFFFFF"/>
            <w:vAlign w:val="center"/>
          </w:tcPr>
          <w:p w14:paraId="0D1C916F"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.023</w:t>
            </w:r>
          </w:p>
        </w:tc>
        <w:tc>
          <w:tcPr>
            <w:tcW w:w="1030" w:type="dxa"/>
            <w:tcBorders>
              <w:top w:val="single" w:sz="6" w:space="0" w:color="auto"/>
              <w:bottom w:val="nil"/>
            </w:tcBorders>
            <w:shd w:val="clear" w:color="auto" w:fill="FFFFFF"/>
            <w:vAlign w:val="center"/>
          </w:tcPr>
          <w:p w14:paraId="1C03F53E"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.013</w:t>
            </w:r>
          </w:p>
        </w:tc>
        <w:tc>
          <w:tcPr>
            <w:tcW w:w="674" w:type="dxa"/>
            <w:tcBorders>
              <w:top w:val="single" w:sz="6" w:space="0" w:color="auto"/>
              <w:bottom w:val="nil"/>
            </w:tcBorders>
            <w:shd w:val="clear" w:color="auto" w:fill="FFFFFF"/>
            <w:vAlign w:val="center"/>
          </w:tcPr>
          <w:p w14:paraId="5EE3FB8D"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.908</w:t>
            </w:r>
          </w:p>
        </w:tc>
      </w:tr>
      <w:tr w:rsidR="0012747F" w:rsidRPr="00CF31E0" w14:paraId="0CBD93EE" w14:textId="77777777" w:rsidTr="0012747F">
        <w:trPr>
          <w:cantSplit/>
        </w:trPr>
        <w:tc>
          <w:tcPr>
            <w:tcW w:w="1736" w:type="dxa"/>
            <w:tcBorders>
              <w:top w:val="nil"/>
            </w:tcBorders>
            <w:shd w:val="clear" w:color="auto" w:fill="FFFFFF"/>
          </w:tcPr>
          <w:p w14:paraId="1A73BCE8" w14:textId="77777777" w:rsidR="0012747F" w:rsidRPr="00CF31E0" w:rsidRDefault="0012747F" w:rsidP="0012747F">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6522CD59"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1131.723</w:t>
            </w:r>
          </w:p>
        </w:tc>
        <w:tc>
          <w:tcPr>
            <w:tcW w:w="820" w:type="dxa"/>
            <w:tcBorders>
              <w:top w:val="nil"/>
            </w:tcBorders>
            <w:shd w:val="clear" w:color="auto" w:fill="FFFFFF"/>
            <w:vAlign w:val="center"/>
          </w:tcPr>
          <w:p w14:paraId="032CAA99" w14:textId="0C176955" w:rsidR="0012747F" w:rsidRPr="00CF31E0" w:rsidRDefault="00D0193D"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322</w:t>
            </w:r>
          </w:p>
        </w:tc>
        <w:tc>
          <w:tcPr>
            <w:tcW w:w="1445" w:type="dxa"/>
            <w:tcBorders>
              <w:top w:val="nil"/>
            </w:tcBorders>
            <w:shd w:val="clear" w:color="auto" w:fill="FFFFFF"/>
            <w:vAlign w:val="center"/>
          </w:tcPr>
          <w:p w14:paraId="63996C32"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1.755</w:t>
            </w:r>
          </w:p>
        </w:tc>
        <w:tc>
          <w:tcPr>
            <w:tcW w:w="1030" w:type="dxa"/>
            <w:tcBorders>
              <w:top w:val="nil"/>
            </w:tcBorders>
            <w:shd w:val="clear" w:color="auto" w:fill="FFFFFF"/>
            <w:vAlign w:val="center"/>
          </w:tcPr>
          <w:p w14:paraId="0FD8B859"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0824F452"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p>
        </w:tc>
      </w:tr>
      <w:tr w:rsidR="0012747F" w:rsidRPr="00CF31E0" w14:paraId="3F5C27BF" w14:textId="77777777" w:rsidTr="0012747F">
        <w:trPr>
          <w:cantSplit/>
        </w:trPr>
        <w:tc>
          <w:tcPr>
            <w:tcW w:w="1736" w:type="dxa"/>
            <w:shd w:val="clear" w:color="auto" w:fill="FFFFFF"/>
          </w:tcPr>
          <w:p w14:paraId="5FE0D665" w14:textId="77777777" w:rsidR="0012747F" w:rsidRPr="00CF31E0" w:rsidRDefault="0012747F" w:rsidP="0012747F">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F8DBEBA"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1131.747</w:t>
            </w:r>
          </w:p>
        </w:tc>
        <w:tc>
          <w:tcPr>
            <w:tcW w:w="820" w:type="dxa"/>
            <w:shd w:val="clear" w:color="auto" w:fill="FFFFFF"/>
            <w:vAlign w:val="center"/>
          </w:tcPr>
          <w:p w14:paraId="0BDABDD7" w14:textId="1715E6BB" w:rsidR="0012747F" w:rsidRPr="00CF31E0" w:rsidRDefault="00D0193D"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323</w:t>
            </w:r>
          </w:p>
        </w:tc>
        <w:tc>
          <w:tcPr>
            <w:tcW w:w="1445" w:type="dxa"/>
            <w:shd w:val="clear" w:color="auto" w:fill="FFFFFF"/>
            <w:vAlign w:val="center"/>
          </w:tcPr>
          <w:p w14:paraId="61B19388"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7475AB9C"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61456C64"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p>
        </w:tc>
      </w:tr>
    </w:tbl>
    <w:p w14:paraId="2A9A27BF" w14:textId="77777777" w:rsidR="0012747F" w:rsidRPr="00CF31E0" w:rsidRDefault="0012747F" w:rsidP="00B57389">
      <w:pPr>
        <w:rPr>
          <w:color w:val="000000" w:themeColor="text1"/>
          <w:lang w:eastAsia="en-US"/>
        </w:rPr>
      </w:pPr>
    </w:p>
    <w:p w14:paraId="3515D268" w14:textId="77777777" w:rsidR="0012747F" w:rsidRPr="00CF31E0" w:rsidRDefault="0012747F"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12747F" w:rsidRPr="00CF31E0" w14:paraId="2B396ED8" w14:textId="77777777" w:rsidTr="0012747F">
        <w:trPr>
          <w:cantSplit/>
        </w:trPr>
        <w:tc>
          <w:tcPr>
            <w:tcW w:w="7391" w:type="dxa"/>
            <w:gridSpan w:val="6"/>
            <w:tcBorders>
              <w:top w:val="single" w:sz="8" w:space="0" w:color="auto"/>
              <w:bottom w:val="single" w:sz="8" w:space="0" w:color="auto"/>
            </w:tcBorders>
            <w:shd w:val="clear" w:color="auto" w:fill="FFFFFF"/>
            <w:vAlign w:val="bottom"/>
          </w:tcPr>
          <w:p w14:paraId="255439C8" w14:textId="77777777" w:rsidR="0012747F" w:rsidRPr="00CF31E0" w:rsidRDefault="0012747F" w:rsidP="0012747F">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Modern factor (HH dialect)</w:t>
            </w:r>
          </w:p>
        </w:tc>
      </w:tr>
      <w:tr w:rsidR="0012747F" w:rsidRPr="00CF31E0" w14:paraId="45D3401F" w14:textId="77777777" w:rsidTr="0012747F">
        <w:trPr>
          <w:cantSplit/>
        </w:trPr>
        <w:tc>
          <w:tcPr>
            <w:tcW w:w="1736" w:type="dxa"/>
            <w:tcBorders>
              <w:top w:val="single" w:sz="8" w:space="0" w:color="auto"/>
              <w:bottom w:val="single" w:sz="6" w:space="0" w:color="auto"/>
            </w:tcBorders>
            <w:shd w:val="clear" w:color="auto" w:fill="FFFFFF"/>
            <w:vAlign w:val="bottom"/>
          </w:tcPr>
          <w:p w14:paraId="555E2F5B" w14:textId="77777777" w:rsidR="0012747F" w:rsidRPr="00CF31E0" w:rsidRDefault="0012747F" w:rsidP="0012747F">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Places lived</w:t>
            </w:r>
          </w:p>
        </w:tc>
        <w:tc>
          <w:tcPr>
            <w:tcW w:w="1686" w:type="dxa"/>
            <w:tcBorders>
              <w:top w:val="single" w:sz="8" w:space="0" w:color="auto"/>
              <w:bottom w:val="single" w:sz="6" w:space="0" w:color="auto"/>
            </w:tcBorders>
            <w:shd w:val="clear" w:color="auto" w:fill="FFFFFF"/>
            <w:vAlign w:val="bottom"/>
          </w:tcPr>
          <w:p w14:paraId="194B9C90"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04C20660"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227B3DFC"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6D05AD5C"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0DD880D6"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12747F" w:rsidRPr="00CF31E0" w14:paraId="6A77343A" w14:textId="77777777" w:rsidTr="0012747F">
        <w:trPr>
          <w:cantSplit/>
        </w:trPr>
        <w:tc>
          <w:tcPr>
            <w:tcW w:w="1736" w:type="dxa"/>
            <w:tcBorders>
              <w:top w:val="single" w:sz="6" w:space="0" w:color="auto"/>
              <w:bottom w:val="nil"/>
            </w:tcBorders>
            <w:shd w:val="clear" w:color="auto" w:fill="FFFFFF"/>
          </w:tcPr>
          <w:p w14:paraId="544FCFCF" w14:textId="77777777" w:rsidR="0012747F" w:rsidRPr="00CF31E0" w:rsidRDefault="0012747F" w:rsidP="0012747F">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14E41D48"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2.140</w:t>
            </w:r>
          </w:p>
        </w:tc>
        <w:tc>
          <w:tcPr>
            <w:tcW w:w="820" w:type="dxa"/>
            <w:tcBorders>
              <w:top w:val="single" w:sz="6" w:space="0" w:color="auto"/>
              <w:bottom w:val="nil"/>
            </w:tcBorders>
            <w:shd w:val="clear" w:color="auto" w:fill="FFFFFF"/>
            <w:vAlign w:val="center"/>
          </w:tcPr>
          <w:p w14:paraId="0E4407E9"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w:t>
            </w:r>
          </w:p>
        </w:tc>
        <w:tc>
          <w:tcPr>
            <w:tcW w:w="1445" w:type="dxa"/>
            <w:tcBorders>
              <w:top w:val="single" w:sz="6" w:space="0" w:color="auto"/>
              <w:bottom w:val="nil"/>
            </w:tcBorders>
            <w:shd w:val="clear" w:color="auto" w:fill="FFFFFF"/>
            <w:vAlign w:val="center"/>
          </w:tcPr>
          <w:p w14:paraId="62F02453"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2.140</w:t>
            </w:r>
          </w:p>
        </w:tc>
        <w:tc>
          <w:tcPr>
            <w:tcW w:w="1030" w:type="dxa"/>
            <w:tcBorders>
              <w:top w:val="single" w:sz="6" w:space="0" w:color="auto"/>
              <w:bottom w:val="nil"/>
            </w:tcBorders>
            <w:shd w:val="clear" w:color="auto" w:fill="FFFFFF"/>
            <w:vAlign w:val="center"/>
          </w:tcPr>
          <w:p w14:paraId="31AE6436"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1.219</w:t>
            </w:r>
          </w:p>
        </w:tc>
        <w:tc>
          <w:tcPr>
            <w:tcW w:w="674" w:type="dxa"/>
            <w:tcBorders>
              <w:top w:val="single" w:sz="6" w:space="0" w:color="auto"/>
              <w:bottom w:val="nil"/>
            </w:tcBorders>
            <w:shd w:val="clear" w:color="auto" w:fill="FFFFFF"/>
            <w:vAlign w:val="center"/>
          </w:tcPr>
          <w:p w14:paraId="0A474037"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.270</w:t>
            </w:r>
          </w:p>
        </w:tc>
      </w:tr>
      <w:tr w:rsidR="0012747F" w:rsidRPr="00CF31E0" w14:paraId="2EBE5529" w14:textId="77777777" w:rsidTr="0012747F">
        <w:trPr>
          <w:cantSplit/>
        </w:trPr>
        <w:tc>
          <w:tcPr>
            <w:tcW w:w="1736" w:type="dxa"/>
            <w:tcBorders>
              <w:top w:val="nil"/>
            </w:tcBorders>
            <w:shd w:val="clear" w:color="auto" w:fill="FFFFFF"/>
          </w:tcPr>
          <w:p w14:paraId="7A1B8263" w14:textId="77777777" w:rsidR="0012747F" w:rsidRPr="00CF31E0" w:rsidRDefault="0012747F" w:rsidP="0012747F">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0C6610B2"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1007.415</w:t>
            </w:r>
          </w:p>
        </w:tc>
        <w:tc>
          <w:tcPr>
            <w:tcW w:w="820" w:type="dxa"/>
            <w:tcBorders>
              <w:top w:val="nil"/>
            </w:tcBorders>
            <w:shd w:val="clear" w:color="auto" w:fill="FFFFFF"/>
            <w:vAlign w:val="center"/>
          </w:tcPr>
          <w:p w14:paraId="429B3263" w14:textId="23154E50" w:rsidR="0012747F" w:rsidRPr="00CF31E0" w:rsidRDefault="00D0193D"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322</w:t>
            </w:r>
          </w:p>
        </w:tc>
        <w:tc>
          <w:tcPr>
            <w:tcW w:w="1445" w:type="dxa"/>
            <w:tcBorders>
              <w:top w:val="nil"/>
            </w:tcBorders>
            <w:shd w:val="clear" w:color="auto" w:fill="FFFFFF"/>
            <w:vAlign w:val="center"/>
          </w:tcPr>
          <w:p w14:paraId="56E8E2DE"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1.755</w:t>
            </w:r>
          </w:p>
        </w:tc>
        <w:tc>
          <w:tcPr>
            <w:tcW w:w="1030" w:type="dxa"/>
            <w:tcBorders>
              <w:top w:val="nil"/>
            </w:tcBorders>
            <w:shd w:val="clear" w:color="auto" w:fill="FFFFFF"/>
            <w:vAlign w:val="center"/>
          </w:tcPr>
          <w:p w14:paraId="3F5455DC"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216EB263"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p>
        </w:tc>
      </w:tr>
      <w:tr w:rsidR="0012747F" w:rsidRPr="00CF31E0" w14:paraId="24783C13" w14:textId="77777777" w:rsidTr="0012747F">
        <w:trPr>
          <w:cantSplit/>
        </w:trPr>
        <w:tc>
          <w:tcPr>
            <w:tcW w:w="1736" w:type="dxa"/>
            <w:shd w:val="clear" w:color="auto" w:fill="FFFFFF"/>
          </w:tcPr>
          <w:p w14:paraId="56D5CD86" w14:textId="77777777" w:rsidR="0012747F" w:rsidRPr="00CF31E0" w:rsidRDefault="0012747F" w:rsidP="0012747F">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633A8065"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1009.556</w:t>
            </w:r>
          </w:p>
        </w:tc>
        <w:tc>
          <w:tcPr>
            <w:tcW w:w="820" w:type="dxa"/>
            <w:shd w:val="clear" w:color="auto" w:fill="FFFFFF"/>
            <w:vAlign w:val="center"/>
          </w:tcPr>
          <w:p w14:paraId="565C800D" w14:textId="7D44BB19" w:rsidR="0012747F" w:rsidRPr="00CF31E0" w:rsidRDefault="00D0193D" w:rsidP="0012747F">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323</w:t>
            </w:r>
          </w:p>
        </w:tc>
        <w:tc>
          <w:tcPr>
            <w:tcW w:w="1445" w:type="dxa"/>
            <w:shd w:val="clear" w:color="auto" w:fill="FFFFFF"/>
            <w:vAlign w:val="center"/>
          </w:tcPr>
          <w:p w14:paraId="35A95900"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3CC82C84"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6660A3C9" w14:textId="77777777" w:rsidR="0012747F" w:rsidRPr="00CF31E0" w:rsidRDefault="0012747F" w:rsidP="0012747F">
            <w:pPr>
              <w:spacing w:before="120" w:after="120" w:line="360" w:lineRule="auto"/>
              <w:jc w:val="right"/>
              <w:rPr>
                <w:rFonts w:eastAsia="Calibri" w:cs="Arial"/>
                <w:color w:val="000000" w:themeColor="text1"/>
                <w:sz w:val="22"/>
                <w:szCs w:val="22"/>
                <w:lang w:eastAsia="en-US"/>
              </w:rPr>
            </w:pPr>
          </w:p>
        </w:tc>
      </w:tr>
    </w:tbl>
    <w:p w14:paraId="4C50E12C" w14:textId="77777777" w:rsidR="0012747F" w:rsidRPr="00CF31E0" w:rsidRDefault="0012747F" w:rsidP="00B57389">
      <w:pPr>
        <w:rPr>
          <w:color w:val="000000" w:themeColor="text1"/>
          <w:lang w:eastAsia="en-US"/>
        </w:rPr>
      </w:pPr>
    </w:p>
    <w:p w14:paraId="46F7DD4F" w14:textId="77777777" w:rsidR="00EB50E5" w:rsidRPr="00CF31E0" w:rsidRDefault="00EB50E5"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1C1AF3" w:rsidRPr="00CF31E0" w14:paraId="6DC4EB4D" w14:textId="77777777" w:rsidTr="002F74EA">
        <w:trPr>
          <w:cantSplit/>
        </w:trPr>
        <w:tc>
          <w:tcPr>
            <w:tcW w:w="7391" w:type="dxa"/>
            <w:gridSpan w:val="6"/>
            <w:tcBorders>
              <w:top w:val="single" w:sz="8" w:space="0" w:color="auto"/>
              <w:bottom w:val="single" w:sz="8" w:space="0" w:color="auto"/>
            </w:tcBorders>
            <w:shd w:val="clear" w:color="auto" w:fill="FFFFFF"/>
            <w:vAlign w:val="bottom"/>
          </w:tcPr>
          <w:p w14:paraId="7FBC16D5" w14:textId="77777777" w:rsidR="001C1AF3" w:rsidRPr="00CF31E0" w:rsidRDefault="001C1AF3" w:rsidP="001C1AF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Modern factor (HH dialect)</w:t>
            </w:r>
          </w:p>
        </w:tc>
      </w:tr>
      <w:tr w:rsidR="001C1AF3" w:rsidRPr="00CF31E0" w14:paraId="4D7B1DC4" w14:textId="77777777" w:rsidTr="002F74EA">
        <w:trPr>
          <w:cantSplit/>
        </w:trPr>
        <w:tc>
          <w:tcPr>
            <w:tcW w:w="1736" w:type="dxa"/>
            <w:tcBorders>
              <w:top w:val="single" w:sz="8" w:space="0" w:color="auto"/>
              <w:bottom w:val="single" w:sz="6" w:space="0" w:color="auto"/>
            </w:tcBorders>
            <w:shd w:val="clear" w:color="auto" w:fill="FFFFFF"/>
            <w:vAlign w:val="bottom"/>
          </w:tcPr>
          <w:p w14:paraId="3683E7D4" w14:textId="77777777" w:rsidR="001C1AF3" w:rsidRPr="00CF31E0" w:rsidRDefault="001C1AF3" w:rsidP="001C1AF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Marital status</w:t>
            </w:r>
          </w:p>
        </w:tc>
        <w:tc>
          <w:tcPr>
            <w:tcW w:w="1686" w:type="dxa"/>
            <w:tcBorders>
              <w:top w:val="single" w:sz="8" w:space="0" w:color="auto"/>
              <w:bottom w:val="single" w:sz="6" w:space="0" w:color="auto"/>
            </w:tcBorders>
            <w:shd w:val="clear" w:color="auto" w:fill="FFFFFF"/>
            <w:vAlign w:val="bottom"/>
          </w:tcPr>
          <w:p w14:paraId="7D61776B"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1F2F480C"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73EBB7B8"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34F3F2FF"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0DBE02B9"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1C1AF3" w:rsidRPr="00CF31E0" w14:paraId="3033D8C9" w14:textId="77777777" w:rsidTr="002F74EA">
        <w:trPr>
          <w:cantSplit/>
        </w:trPr>
        <w:tc>
          <w:tcPr>
            <w:tcW w:w="1736" w:type="dxa"/>
            <w:tcBorders>
              <w:top w:val="single" w:sz="6" w:space="0" w:color="auto"/>
              <w:bottom w:val="nil"/>
            </w:tcBorders>
            <w:shd w:val="clear" w:color="auto" w:fill="FFFFFF"/>
          </w:tcPr>
          <w:p w14:paraId="0731C8A4" w14:textId="77777777" w:rsidR="001C1AF3" w:rsidRPr="00CF31E0" w:rsidRDefault="001C1AF3" w:rsidP="001C1AF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1BEAE64A"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3.603</w:t>
            </w:r>
          </w:p>
        </w:tc>
        <w:tc>
          <w:tcPr>
            <w:tcW w:w="820" w:type="dxa"/>
            <w:tcBorders>
              <w:top w:val="single" w:sz="6" w:space="0" w:color="auto"/>
              <w:bottom w:val="nil"/>
            </w:tcBorders>
            <w:shd w:val="clear" w:color="auto" w:fill="FFFFFF"/>
            <w:vAlign w:val="center"/>
          </w:tcPr>
          <w:p w14:paraId="1D916CE4"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w:t>
            </w:r>
          </w:p>
        </w:tc>
        <w:tc>
          <w:tcPr>
            <w:tcW w:w="1445" w:type="dxa"/>
            <w:tcBorders>
              <w:top w:val="single" w:sz="6" w:space="0" w:color="auto"/>
              <w:bottom w:val="nil"/>
            </w:tcBorders>
            <w:shd w:val="clear" w:color="auto" w:fill="FFFFFF"/>
            <w:vAlign w:val="center"/>
          </w:tcPr>
          <w:p w14:paraId="6F0B2FA8"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1.201</w:t>
            </w:r>
          </w:p>
        </w:tc>
        <w:tc>
          <w:tcPr>
            <w:tcW w:w="1030" w:type="dxa"/>
            <w:tcBorders>
              <w:top w:val="single" w:sz="6" w:space="0" w:color="auto"/>
              <w:bottom w:val="nil"/>
            </w:tcBorders>
            <w:shd w:val="clear" w:color="auto" w:fill="FFFFFF"/>
            <w:vAlign w:val="center"/>
          </w:tcPr>
          <w:p w14:paraId="1B302F27"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.685</w:t>
            </w:r>
          </w:p>
        </w:tc>
        <w:tc>
          <w:tcPr>
            <w:tcW w:w="674" w:type="dxa"/>
            <w:tcBorders>
              <w:top w:val="single" w:sz="6" w:space="0" w:color="auto"/>
              <w:bottom w:val="nil"/>
            </w:tcBorders>
            <w:shd w:val="clear" w:color="auto" w:fill="FFFFFF"/>
            <w:vAlign w:val="center"/>
          </w:tcPr>
          <w:p w14:paraId="228DAD08"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.562</w:t>
            </w:r>
          </w:p>
        </w:tc>
      </w:tr>
      <w:tr w:rsidR="001C1AF3" w:rsidRPr="00CF31E0" w14:paraId="0F001B61" w14:textId="77777777" w:rsidTr="002F74EA">
        <w:trPr>
          <w:cantSplit/>
        </w:trPr>
        <w:tc>
          <w:tcPr>
            <w:tcW w:w="1736" w:type="dxa"/>
            <w:tcBorders>
              <w:top w:val="nil"/>
            </w:tcBorders>
            <w:shd w:val="clear" w:color="auto" w:fill="FFFFFF"/>
          </w:tcPr>
          <w:p w14:paraId="5010586E" w14:textId="77777777" w:rsidR="001C1AF3" w:rsidRPr="00CF31E0" w:rsidRDefault="001C1AF3" w:rsidP="001C1AF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1E1D63C2"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1128.143</w:t>
            </w:r>
          </w:p>
        </w:tc>
        <w:tc>
          <w:tcPr>
            <w:tcW w:w="820" w:type="dxa"/>
            <w:tcBorders>
              <w:top w:val="nil"/>
            </w:tcBorders>
            <w:shd w:val="clear" w:color="auto" w:fill="FFFFFF"/>
            <w:vAlign w:val="center"/>
          </w:tcPr>
          <w:p w14:paraId="6888BD40" w14:textId="357BFD86" w:rsidR="001C1AF3" w:rsidRPr="00CF31E0" w:rsidRDefault="00D0193D" w:rsidP="001C1AF3">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320</w:t>
            </w:r>
          </w:p>
        </w:tc>
        <w:tc>
          <w:tcPr>
            <w:tcW w:w="1445" w:type="dxa"/>
            <w:tcBorders>
              <w:top w:val="nil"/>
            </w:tcBorders>
            <w:shd w:val="clear" w:color="auto" w:fill="FFFFFF"/>
            <w:vAlign w:val="center"/>
          </w:tcPr>
          <w:p w14:paraId="60D12DCB"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1.754</w:t>
            </w:r>
          </w:p>
        </w:tc>
        <w:tc>
          <w:tcPr>
            <w:tcW w:w="1030" w:type="dxa"/>
            <w:tcBorders>
              <w:top w:val="nil"/>
            </w:tcBorders>
            <w:shd w:val="clear" w:color="auto" w:fill="FFFFFF"/>
            <w:vAlign w:val="center"/>
          </w:tcPr>
          <w:p w14:paraId="53D6B404"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6EC4CD2D"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p>
        </w:tc>
      </w:tr>
      <w:tr w:rsidR="00682B5B" w:rsidRPr="00CF31E0" w14:paraId="7C190078" w14:textId="77777777" w:rsidTr="002F74EA">
        <w:trPr>
          <w:cantSplit/>
        </w:trPr>
        <w:tc>
          <w:tcPr>
            <w:tcW w:w="1736" w:type="dxa"/>
            <w:shd w:val="clear" w:color="auto" w:fill="FFFFFF"/>
          </w:tcPr>
          <w:p w14:paraId="12271E99" w14:textId="77777777" w:rsidR="001C1AF3" w:rsidRPr="00CF31E0" w:rsidRDefault="001C1AF3" w:rsidP="001C1AF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01CD9C91"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1131.747</w:t>
            </w:r>
          </w:p>
        </w:tc>
        <w:tc>
          <w:tcPr>
            <w:tcW w:w="820" w:type="dxa"/>
            <w:shd w:val="clear" w:color="auto" w:fill="FFFFFF"/>
            <w:vAlign w:val="center"/>
          </w:tcPr>
          <w:p w14:paraId="47FC1701" w14:textId="598995E4" w:rsidR="001C1AF3" w:rsidRPr="00CF31E0" w:rsidRDefault="00D0193D" w:rsidP="001C1AF3">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323</w:t>
            </w:r>
          </w:p>
        </w:tc>
        <w:tc>
          <w:tcPr>
            <w:tcW w:w="1445" w:type="dxa"/>
            <w:shd w:val="clear" w:color="auto" w:fill="FFFFFF"/>
            <w:vAlign w:val="center"/>
          </w:tcPr>
          <w:p w14:paraId="2D0B6146"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289F9818"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0D9A8625"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p>
        </w:tc>
      </w:tr>
    </w:tbl>
    <w:p w14:paraId="0993F970" w14:textId="77777777" w:rsidR="0012747F" w:rsidRPr="00CF31E0" w:rsidRDefault="0012747F" w:rsidP="00B57389">
      <w:pPr>
        <w:rPr>
          <w:color w:val="000000" w:themeColor="text1"/>
          <w:lang w:eastAsia="en-US"/>
        </w:rPr>
      </w:pPr>
    </w:p>
    <w:p w14:paraId="4D3E4C78" w14:textId="77777777" w:rsidR="001C1AF3" w:rsidRPr="00CF31E0" w:rsidRDefault="001C1AF3" w:rsidP="00B57389">
      <w:pPr>
        <w:rPr>
          <w:color w:val="000000" w:themeColor="text1"/>
          <w:lang w:eastAsia="en-US"/>
        </w:rPr>
      </w:pPr>
    </w:p>
    <w:p w14:paraId="30E9BB86" w14:textId="77777777" w:rsidR="00C73201" w:rsidRPr="00CF31E0" w:rsidRDefault="00C73201" w:rsidP="00B57389">
      <w:pPr>
        <w:rPr>
          <w:color w:val="000000" w:themeColor="text1"/>
          <w:lang w:eastAsia="en-US"/>
        </w:rPr>
      </w:pPr>
    </w:p>
    <w:p w14:paraId="60A8D49A" w14:textId="77777777" w:rsidR="00C73201" w:rsidRPr="00CF31E0" w:rsidRDefault="00C73201" w:rsidP="00B57389">
      <w:pPr>
        <w:rPr>
          <w:color w:val="000000" w:themeColor="text1"/>
          <w:lang w:eastAsia="en-US"/>
        </w:rPr>
      </w:pPr>
    </w:p>
    <w:p w14:paraId="5CE57F69" w14:textId="77777777" w:rsidR="00C73201" w:rsidRPr="00CF31E0" w:rsidRDefault="00C73201" w:rsidP="00B57389">
      <w:pPr>
        <w:rPr>
          <w:color w:val="000000" w:themeColor="text1"/>
          <w:lang w:eastAsia="en-US"/>
        </w:rPr>
      </w:pPr>
    </w:p>
    <w:p w14:paraId="405D9068" w14:textId="77777777" w:rsidR="00C73201" w:rsidRPr="00CF31E0" w:rsidRDefault="00C73201" w:rsidP="00B57389">
      <w:pPr>
        <w:rPr>
          <w:color w:val="000000" w:themeColor="text1"/>
          <w:lang w:eastAsia="en-US"/>
        </w:rPr>
      </w:pPr>
    </w:p>
    <w:p w14:paraId="2D4D29FD" w14:textId="77777777" w:rsidR="00C73201" w:rsidRPr="00CF31E0" w:rsidRDefault="00C73201" w:rsidP="00B57389">
      <w:pPr>
        <w:rPr>
          <w:color w:val="000000" w:themeColor="text1"/>
          <w:lang w:eastAsia="en-US"/>
        </w:rPr>
      </w:pPr>
    </w:p>
    <w:p w14:paraId="76AD7EB3" w14:textId="77777777" w:rsidR="00C73201" w:rsidRPr="00CF31E0" w:rsidRDefault="00C73201" w:rsidP="00B57389">
      <w:pPr>
        <w:rPr>
          <w:color w:val="000000" w:themeColor="text1"/>
          <w:lang w:eastAsia="en-US"/>
        </w:rPr>
      </w:pPr>
    </w:p>
    <w:p w14:paraId="71020773" w14:textId="77777777" w:rsidR="00C73201" w:rsidRPr="00CF31E0" w:rsidRDefault="00C73201" w:rsidP="00B57389">
      <w:pPr>
        <w:rPr>
          <w:color w:val="000000" w:themeColor="text1"/>
          <w:lang w:eastAsia="en-US"/>
        </w:rPr>
      </w:pPr>
    </w:p>
    <w:p w14:paraId="71DEAC30" w14:textId="77777777" w:rsidR="00C73201" w:rsidRPr="00CF31E0" w:rsidRDefault="00C73201"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1C1AF3" w:rsidRPr="00CF31E0" w14:paraId="3D85720D" w14:textId="77777777" w:rsidTr="002F74EA">
        <w:trPr>
          <w:cantSplit/>
        </w:trPr>
        <w:tc>
          <w:tcPr>
            <w:tcW w:w="7391" w:type="dxa"/>
            <w:gridSpan w:val="6"/>
            <w:tcBorders>
              <w:top w:val="single" w:sz="8" w:space="0" w:color="auto"/>
              <w:bottom w:val="single" w:sz="8" w:space="0" w:color="auto"/>
            </w:tcBorders>
            <w:shd w:val="clear" w:color="auto" w:fill="FFFFFF"/>
            <w:vAlign w:val="bottom"/>
          </w:tcPr>
          <w:p w14:paraId="3C4EFE7A" w14:textId="77777777" w:rsidR="001C1AF3" w:rsidRPr="00CF31E0" w:rsidRDefault="001C1AF3" w:rsidP="001C1AF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Modern factor (HH dialect)</w:t>
            </w:r>
          </w:p>
        </w:tc>
      </w:tr>
      <w:tr w:rsidR="001C1AF3" w:rsidRPr="00CF31E0" w14:paraId="52B0D2E4" w14:textId="77777777" w:rsidTr="002F74EA">
        <w:trPr>
          <w:cantSplit/>
        </w:trPr>
        <w:tc>
          <w:tcPr>
            <w:tcW w:w="1736" w:type="dxa"/>
            <w:tcBorders>
              <w:top w:val="single" w:sz="8" w:space="0" w:color="auto"/>
              <w:bottom w:val="single" w:sz="6" w:space="0" w:color="auto"/>
            </w:tcBorders>
            <w:shd w:val="clear" w:color="auto" w:fill="FFFFFF"/>
            <w:vAlign w:val="bottom"/>
          </w:tcPr>
          <w:p w14:paraId="43752D7F" w14:textId="77777777" w:rsidR="001C1AF3" w:rsidRPr="00CF31E0" w:rsidRDefault="001C1AF3" w:rsidP="001C1AF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Education</w:t>
            </w:r>
          </w:p>
        </w:tc>
        <w:tc>
          <w:tcPr>
            <w:tcW w:w="1686" w:type="dxa"/>
            <w:tcBorders>
              <w:top w:val="single" w:sz="8" w:space="0" w:color="auto"/>
              <w:bottom w:val="single" w:sz="6" w:space="0" w:color="auto"/>
            </w:tcBorders>
            <w:shd w:val="clear" w:color="auto" w:fill="FFFFFF"/>
            <w:vAlign w:val="bottom"/>
          </w:tcPr>
          <w:p w14:paraId="015F33A3"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3C4CA72B"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63B5E3E1"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3F40A13"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543364DA"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1C1AF3" w:rsidRPr="00CF31E0" w14:paraId="1FE65E74" w14:textId="77777777" w:rsidTr="002F74EA">
        <w:trPr>
          <w:cantSplit/>
        </w:trPr>
        <w:tc>
          <w:tcPr>
            <w:tcW w:w="1736" w:type="dxa"/>
            <w:tcBorders>
              <w:top w:val="single" w:sz="6" w:space="0" w:color="auto"/>
              <w:bottom w:val="nil"/>
            </w:tcBorders>
            <w:shd w:val="clear" w:color="auto" w:fill="FFFFFF"/>
          </w:tcPr>
          <w:p w14:paraId="64974A8B" w14:textId="77777777" w:rsidR="001C1AF3" w:rsidRPr="00CF31E0" w:rsidRDefault="001C1AF3" w:rsidP="001C1AF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1B13AEE9"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5.086</w:t>
            </w:r>
          </w:p>
        </w:tc>
        <w:tc>
          <w:tcPr>
            <w:tcW w:w="820" w:type="dxa"/>
            <w:tcBorders>
              <w:top w:val="single" w:sz="6" w:space="0" w:color="auto"/>
              <w:bottom w:val="nil"/>
            </w:tcBorders>
            <w:shd w:val="clear" w:color="auto" w:fill="FFFFFF"/>
            <w:vAlign w:val="center"/>
          </w:tcPr>
          <w:p w14:paraId="5D29D026"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5</w:t>
            </w:r>
          </w:p>
        </w:tc>
        <w:tc>
          <w:tcPr>
            <w:tcW w:w="1445" w:type="dxa"/>
            <w:tcBorders>
              <w:top w:val="single" w:sz="6" w:space="0" w:color="auto"/>
              <w:bottom w:val="nil"/>
            </w:tcBorders>
            <w:shd w:val="clear" w:color="auto" w:fill="FFFFFF"/>
            <w:vAlign w:val="center"/>
          </w:tcPr>
          <w:p w14:paraId="282321CA"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1.017</w:t>
            </w:r>
          </w:p>
        </w:tc>
        <w:tc>
          <w:tcPr>
            <w:tcW w:w="1030" w:type="dxa"/>
            <w:tcBorders>
              <w:top w:val="single" w:sz="6" w:space="0" w:color="auto"/>
              <w:bottom w:val="nil"/>
            </w:tcBorders>
            <w:shd w:val="clear" w:color="auto" w:fill="FFFFFF"/>
            <w:vAlign w:val="center"/>
          </w:tcPr>
          <w:p w14:paraId="66D41002"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.579</w:t>
            </w:r>
          </w:p>
        </w:tc>
        <w:tc>
          <w:tcPr>
            <w:tcW w:w="674" w:type="dxa"/>
            <w:tcBorders>
              <w:top w:val="single" w:sz="6" w:space="0" w:color="auto"/>
              <w:bottom w:val="nil"/>
            </w:tcBorders>
            <w:shd w:val="clear" w:color="auto" w:fill="FFFFFF"/>
            <w:vAlign w:val="center"/>
          </w:tcPr>
          <w:p w14:paraId="7076FD75"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.716</w:t>
            </w:r>
          </w:p>
        </w:tc>
      </w:tr>
      <w:tr w:rsidR="001C1AF3" w:rsidRPr="00CF31E0" w14:paraId="11B1C305" w14:textId="77777777" w:rsidTr="002F74EA">
        <w:trPr>
          <w:cantSplit/>
        </w:trPr>
        <w:tc>
          <w:tcPr>
            <w:tcW w:w="1736" w:type="dxa"/>
            <w:tcBorders>
              <w:top w:val="nil"/>
            </w:tcBorders>
            <w:shd w:val="clear" w:color="auto" w:fill="FFFFFF"/>
          </w:tcPr>
          <w:p w14:paraId="63C23FA9" w14:textId="77777777" w:rsidR="001C1AF3" w:rsidRPr="00CF31E0" w:rsidRDefault="001C1AF3" w:rsidP="001C1AF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2E112717"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1126.661</w:t>
            </w:r>
          </w:p>
        </w:tc>
        <w:tc>
          <w:tcPr>
            <w:tcW w:w="820" w:type="dxa"/>
            <w:tcBorders>
              <w:top w:val="nil"/>
            </w:tcBorders>
            <w:shd w:val="clear" w:color="auto" w:fill="FFFFFF"/>
            <w:vAlign w:val="center"/>
          </w:tcPr>
          <w:p w14:paraId="63155806" w14:textId="144D2D11" w:rsidR="001C1AF3" w:rsidRPr="00CF31E0" w:rsidRDefault="00D0193D" w:rsidP="001C1AF3">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318</w:t>
            </w:r>
          </w:p>
        </w:tc>
        <w:tc>
          <w:tcPr>
            <w:tcW w:w="1445" w:type="dxa"/>
            <w:tcBorders>
              <w:top w:val="nil"/>
            </w:tcBorders>
            <w:shd w:val="clear" w:color="auto" w:fill="FFFFFF"/>
            <w:vAlign w:val="center"/>
          </w:tcPr>
          <w:p w14:paraId="44DEC0A3"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1.758</w:t>
            </w:r>
          </w:p>
        </w:tc>
        <w:tc>
          <w:tcPr>
            <w:tcW w:w="1030" w:type="dxa"/>
            <w:tcBorders>
              <w:top w:val="nil"/>
            </w:tcBorders>
            <w:shd w:val="clear" w:color="auto" w:fill="FFFFFF"/>
            <w:vAlign w:val="center"/>
          </w:tcPr>
          <w:p w14:paraId="3090FA9E"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44EB4B3A"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p>
        </w:tc>
      </w:tr>
      <w:tr w:rsidR="00682B5B" w:rsidRPr="00CF31E0" w14:paraId="7D5356F6" w14:textId="77777777" w:rsidTr="002F74EA">
        <w:trPr>
          <w:cantSplit/>
        </w:trPr>
        <w:tc>
          <w:tcPr>
            <w:tcW w:w="1736" w:type="dxa"/>
            <w:shd w:val="clear" w:color="auto" w:fill="FFFFFF"/>
          </w:tcPr>
          <w:p w14:paraId="6B934D36" w14:textId="77777777" w:rsidR="001C1AF3" w:rsidRPr="00CF31E0" w:rsidRDefault="001C1AF3" w:rsidP="001C1AF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0D060BE1"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1131.747</w:t>
            </w:r>
          </w:p>
        </w:tc>
        <w:tc>
          <w:tcPr>
            <w:tcW w:w="820" w:type="dxa"/>
            <w:shd w:val="clear" w:color="auto" w:fill="FFFFFF"/>
            <w:vAlign w:val="center"/>
          </w:tcPr>
          <w:p w14:paraId="3C026292" w14:textId="2D354BEF" w:rsidR="001C1AF3" w:rsidRPr="00CF31E0" w:rsidRDefault="00D0193D" w:rsidP="001C1AF3">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323</w:t>
            </w:r>
          </w:p>
        </w:tc>
        <w:tc>
          <w:tcPr>
            <w:tcW w:w="1445" w:type="dxa"/>
            <w:shd w:val="clear" w:color="auto" w:fill="FFFFFF"/>
            <w:vAlign w:val="center"/>
          </w:tcPr>
          <w:p w14:paraId="428C5ED8"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1E1F5C36"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342151FE" w14:textId="77777777" w:rsidR="001C1AF3" w:rsidRPr="00CF31E0" w:rsidRDefault="001C1AF3" w:rsidP="001C1AF3">
            <w:pPr>
              <w:spacing w:before="120" w:after="120" w:line="360" w:lineRule="auto"/>
              <w:jc w:val="right"/>
              <w:rPr>
                <w:rFonts w:eastAsia="Calibri" w:cs="Arial"/>
                <w:color w:val="000000" w:themeColor="text1"/>
                <w:sz w:val="22"/>
                <w:szCs w:val="22"/>
                <w:lang w:eastAsia="en-US"/>
              </w:rPr>
            </w:pPr>
          </w:p>
        </w:tc>
      </w:tr>
    </w:tbl>
    <w:p w14:paraId="5759D2D7" w14:textId="77777777" w:rsidR="0012747F" w:rsidRPr="00CF31E0" w:rsidRDefault="0012747F" w:rsidP="00B57389">
      <w:pPr>
        <w:rPr>
          <w:color w:val="000000" w:themeColor="text1"/>
          <w:lang w:eastAsia="en-US"/>
        </w:rPr>
      </w:pPr>
    </w:p>
    <w:p w14:paraId="08E736D7" w14:textId="77777777" w:rsidR="00682B5B" w:rsidRPr="00CF31E0" w:rsidRDefault="00682B5B"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7C3473" w:rsidRPr="00CF31E0" w14:paraId="3C48A1B5" w14:textId="77777777" w:rsidTr="002F74EA">
        <w:trPr>
          <w:cantSplit/>
        </w:trPr>
        <w:tc>
          <w:tcPr>
            <w:tcW w:w="7391" w:type="dxa"/>
            <w:gridSpan w:val="6"/>
            <w:tcBorders>
              <w:top w:val="single" w:sz="8" w:space="0" w:color="auto"/>
              <w:bottom w:val="single" w:sz="8" w:space="0" w:color="auto"/>
            </w:tcBorders>
            <w:shd w:val="clear" w:color="auto" w:fill="FFFFFF"/>
            <w:vAlign w:val="bottom"/>
          </w:tcPr>
          <w:p w14:paraId="572EDFB2" w14:textId="77777777" w:rsidR="007C3473" w:rsidRPr="00CF31E0" w:rsidRDefault="007C3473" w:rsidP="007C347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Traditional factor (HH dialect)</w:t>
            </w:r>
          </w:p>
        </w:tc>
      </w:tr>
      <w:tr w:rsidR="007C3473" w:rsidRPr="00CF31E0" w14:paraId="4FE5C25B" w14:textId="77777777" w:rsidTr="002F74EA">
        <w:trPr>
          <w:cantSplit/>
        </w:trPr>
        <w:tc>
          <w:tcPr>
            <w:tcW w:w="1736" w:type="dxa"/>
            <w:tcBorders>
              <w:top w:val="single" w:sz="8" w:space="0" w:color="auto"/>
              <w:bottom w:val="single" w:sz="6" w:space="0" w:color="auto"/>
            </w:tcBorders>
            <w:shd w:val="clear" w:color="auto" w:fill="FFFFFF"/>
            <w:vAlign w:val="bottom"/>
          </w:tcPr>
          <w:p w14:paraId="497061C3" w14:textId="77777777" w:rsidR="007C3473" w:rsidRPr="00CF31E0" w:rsidRDefault="007C3473" w:rsidP="007C347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Gender</w:t>
            </w:r>
          </w:p>
        </w:tc>
        <w:tc>
          <w:tcPr>
            <w:tcW w:w="1686" w:type="dxa"/>
            <w:tcBorders>
              <w:top w:val="single" w:sz="8" w:space="0" w:color="auto"/>
              <w:bottom w:val="single" w:sz="6" w:space="0" w:color="auto"/>
            </w:tcBorders>
            <w:shd w:val="clear" w:color="auto" w:fill="FFFFFF"/>
            <w:vAlign w:val="bottom"/>
          </w:tcPr>
          <w:p w14:paraId="77635AD7" w14:textId="77777777" w:rsidR="007C3473" w:rsidRPr="00CF31E0" w:rsidRDefault="007C3473" w:rsidP="007C3473">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39A0E49D" w14:textId="77777777" w:rsidR="007C3473" w:rsidRPr="00CF31E0" w:rsidRDefault="007C3473" w:rsidP="007C3473">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6C6F3446" w14:textId="77777777" w:rsidR="007C3473" w:rsidRPr="00CF31E0" w:rsidRDefault="007C3473" w:rsidP="007C3473">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01354816" w14:textId="77777777" w:rsidR="007C3473" w:rsidRPr="00CF31E0" w:rsidRDefault="007C3473" w:rsidP="007C3473">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741B219F" w14:textId="77777777" w:rsidR="007C3473" w:rsidRPr="00CF31E0" w:rsidRDefault="007C3473" w:rsidP="007C3473">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C3473" w:rsidRPr="00CF31E0" w14:paraId="3E9DBAA7" w14:textId="77777777" w:rsidTr="002F74EA">
        <w:trPr>
          <w:cantSplit/>
        </w:trPr>
        <w:tc>
          <w:tcPr>
            <w:tcW w:w="1736" w:type="dxa"/>
            <w:tcBorders>
              <w:top w:val="single" w:sz="6" w:space="0" w:color="auto"/>
              <w:bottom w:val="nil"/>
            </w:tcBorders>
            <w:shd w:val="clear" w:color="auto" w:fill="FFFFFF"/>
          </w:tcPr>
          <w:p w14:paraId="3C5DEA29" w14:textId="77777777" w:rsidR="007C3473" w:rsidRPr="00CF31E0" w:rsidRDefault="007C3473" w:rsidP="007C347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79ECFD35" w14:textId="77777777" w:rsidR="007C3473" w:rsidRPr="00CF31E0" w:rsidRDefault="007C3473" w:rsidP="007C3473">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.056</w:t>
            </w:r>
          </w:p>
        </w:tc>
        <w:tc>
          <w:tcPr>
            <w:tcW w:w="820" w:type="dxa"/>
            <w:tcBorders>
              <w:top w:val="single" w:sz="6" w:space="0" w:color="auto"/>
              <w:bottom w:val="nil"/>
            </w:tcBorders>
            <w:shd w:val="clear" w:color="auto" w:fill="FFFFFF"/>
            <w:vAlign w:val="center"/>
          </w:tcPr>
          <w:p w14:paraId="13BAE40D" w14:textId="77777777" w:rsidR="007C3473" w:rsidRPr="00CF31E0" w:rsidRDefault="007C3473" w:rsidP="007C3473">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w:t>
            </w:r>
          </w:p>
        </w:tc>
        <w:tc>
          <w:tcPr>
            <w:tcW w:w="1445" w:type="dxa"/>
            <w:tcBorders>
              <w:top w:val="single" w:sz="6" w:space="0" w:color="auto"/>
              <w:bottom w:val="nil"/>
            </w:tcBorders>
            <w:shd w:val="clear" w:color="auto" w:fill="FFFFFF"/>
            <w:vAlign w:val="center"/>
          </w:tcPr>
          <w:p w14:paraId="03CB7BB3" w14:textId="77777777" w:rsidR="007C3473" w:rsidRPr="00CF31E0" w:rsidRDefault="007C3473" w:rsidP="007C3473">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.056</w:t>
            </w:r>
          </w:p>
        </w:tc>
        <w:tc>
          <w:tcPr>
            <w:tcW w:w="1030" w:type="dxa"/>
            <w:tcBorders>
              <w:top w:val="single" w:sz="6" w:space="0" w:color="auto"/>
              <w:bottom w:val="nil"/>
            </w:tcBorders>
            <w:shd w:val="clear" w:color="auto" w:fill="FFFFFF"/>
            <w:vAlign w:val="center"/>
          </w:tcPr>
          <w:p w14:paraId="3055459D" w14:textId="77777777" w:rsidR="007C3473" w:rsidRPr="00CF31E0" w:rsidRDefault="007C3473" w:rsidP="007C3473">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.033</w:t>
            </w:r>
          </w:p>
        </w:tc>
        <w:tc>
          <w:tcPr>
            <w:tcW w:w="674" w:type="dxa"/>
            <w:tcBorders>
              <w:top w:val="single" w:sz="6" w:space="0" w:color="auto"/>
              <w:bottom w:val="nil"/>
            </w:tcBorders>
            <w:shd w:val="clear" w:color="auto" w:fill="FFFFFF"/>
            <w:vAlign w:val="center"/>
          </w:tcPr>
          <w:p w14:paraId="525C6BBB" w14:textId="77777777" w:rsidR="007C3473" w:rsidRPr="00CF31E0" w:rsidRDefault="007C3473" w:rsidP="007C3473">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.856</w:t>
            </w:r>
          </w:p>
        </w:tc>
      </w:tr>
      <w:tr w:rsidR="007C3473" w:rsidRPr="00CF31E0" w14:paraId="26AE1715" w14:textId="77777777" w:rsidTr="002F74EA">
        <w:trPr>
          <w:cantSplit/>
        </w:trPr>
        <w:tc>
          <w:tcPr>
            <w:tcW w:w="1736" w:type="dxa"/>
            <w:tcBorders>
              <w:top w:val="nil"/>
            </w:tcBorders>
            <w:shd w:val="clear" w:color="auto" w:fill="FFFFFF"/>
          </w:tcPr>
          <w:p w14:paraId="440E6AB7" w14:textId="77777777" w:rsidR="007C3473" w:rsidRPr="00CF31E0" w:rsidRDefault="007C3473" w:rsidP="007C347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7820C458" w14:textId="77777777" w:rsidR="007C3473" w:rsidRPr="00CF31E0" w:rsidRDefault="007C3473" w:rsidP="007C3473">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1085.595</w:t>
            </w:r>
          </w:p>
        </w:tc>
        <w:tc>
          <w:tcPr>
            <w:tcW w:w="820" w:type="dxa"/>
            <w:tcBorders>
              <w:top w:val="nil"/>
            </w:tcBorders>
            <w:shd w:val="clear" w:color="auto" w:fill="FFFFFF"/>
            <w:vAlign w:val="center"/>
          </w:tcPr>
          <w:p w14:paraId="1C196A51" w14:textId="2276D18C" w:rsidR="007C3473" w:rsidRPr="00CF31E0" w:rsidRDefault="00D0193D" w:rsidP="007C3473">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322</w:t>
            </w:r>
          </w:p>
        </w:tc>
        <w:tc>
          <w:tcPr>
            <w:tcW w:w="1445" w:type="dxa"/>
            <w:tcBorders>
              <w:top w:val="nil"/>
            </w:tcBorders>
            <w:shd w:val="clear" w:color="auto" w:fill="FFFFFF"/>
            <w:vAlign w:val="center"/>
          </w:tcPr>
          <w:p w14:paraId="16107321" w14:textId="77777777" w:rsidR="007C3473" w:rsidRPr="00CF31E0" w:rsidRDefault="007C3473" w:rsidP="007C3473">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1.683</w:t>
            </w:r>
          </w:p>
        </w:tc>
        <w:tc>
          <w:tcPr>
            <w:tcW w:w="1030" w:type="dxa"/>
            <w:tcBorders>
              <w:top w:val="nil"/>
            </w:tcBorders>
            <w:shd w:val="clear" w:color="auto" w:fill="FFFFFF"/>
            <w:vAlign w:val="center"/>
          </w:tcPr>
          <w:p w14:paraId="101D7A54" w14:textId="77777777" w:rsidR="007C3473" w:rsidRPr="00CF31E0" w:rsidRDefault="007C3473" w:rsidP="007C3473">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55EAAAFA" w14:textId="77777777" w:rsidR="007C3473" w:rsidRPr="00CF31E0" w:rsidRDefault="007C3473" w:rsidP="007C3473">
            <w:pPr>
              <w:spacing w:before="120" w:after="120" w:line="360" w:lineRule="auto"/>
              <w:jc w:val="right"/>
              <w:rPr>
                <w:rFonts w:eastAsia="Calibri" w:cs="Arial"/>
                <w:color w:val="000000" w:themeColor="text1"/>
                <w:sz w:val="22"/>
                <w:szCs w:val="22"/>
                <w:lang w:eastAsia="en-US"/>
              </w:rPr>
            </w:pPr>
          </w:p>
        </w:tc>
      </w:tr>
      <w:tr w:rsidR="007C3473" w:rsidRPr="00CF31E0" w14:paraId="7016B6BB" w14:textId="77777777" w:rsidTr="002F74EA">
        <w:trPr>
          <w:cantSplit/>
        </w:trPr>
        <w:tc>
          <w:tcPr>
            <w:tcW w:w="1736" w:type="dxa"/>
            <w:shd w:val="clear" w:color="auto" w:fill="FFFFFF"/>
          </w:tcPr>
          <w:p w14:paraId="7FB8476F" w14:textId="77777777" w:rsidR="007C3473" w:rsidRPr="00CF31E0" w:rsidRDefault="007C3473" w:rsidP="007C3473">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5B99601D" w14:textId="77777777" w:rsidR="007C3473" w:rsidRPr="00CF31E0" w:rsidRDefault="007C3473" w:rsidP="007C3473">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1085.651</w:t>
            </w:r>
          </w:p>
        </w:tc>
        <w:tc>
          <w:tcPr>
            <w:tcW w:w="820" w:type="dxa"/>
            <w:shd w:val="clear" w:color="auto" w:fill="FFFFFF"/>
            <w:vAlign w:val="center"/>
          </w:tcPr>
          <w:p w14:paraId="26091CDE" w14:textId="27332D9E" w:rsidR="007C3473" w:rsidRPr="00CF31E0" w:rsidRDefault="00D0193D" w:rsidP="007C3473">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323</w:t>
            </w:r>
          </w:p>
        </w:tc>
        <w:tc>
          <w:tcPr>
            <w:tcW w:w="1445" w:type="dxa"/>
            <w:shd w:val="clear" w:color="auto" w:fill="FFFFFF"/>
            <w:vAlign w:val="center"/>
          </w:tcPr>
          <w:p w14:paraId="46A52C71" w14:textId="77777777" w:rsidR="007C3473" w:rsidRPr="00CF31E0" w:rsidRDefault="007C3473" w:rsidP="007C3473">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49A6C2F1" w14:textId="77777777" w:rsidR="007C3473" w:rsidRPr="00CF31E0" w:rsidRDefault="007C3473" w:rsidP="007C3473">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1D9173DD" w14:textId="77777777" w:rsidR="007C3473" w:rsidRPr="00CF31E0" w:rsidRDefault="007C3473" w:rsidP="007C3473">
            <w:pPr>
              <w:spacing w:before="120" w:after="120" w:line="360" w:lineRule="auto"/>
              <w:jc w:val="right"/>
              <w:rPr>
                <w:rFonts w:eastAsia="Calibri" w:cs="Arial"/>
                <w:color w:val="000000" w:themeColor="text1"/>
                <w:sz w:val="22"/>
                <w:szCs w:val="22"/>
                <w:lang w:eastAsia="en-US"/>
              </w:rPr>
            </w:pPr>
          </w:p>
        </w:tc>
      </w:tr>
    </w:tbl>
    <w:p w14:paraId="1FABCD10" w14:textId="77777777" w:rsidR="00682B5B" w:rsidRPr="00CF31E0" w:rsidRDefault="00682B5B" w:rsidP="00B57389">
      <w:pPr>
        <w:rPr>
          <w:color w:val="000000" w:themeColor="text1"/>
          <w:lang w:eastAsia="en-US"/>
        </w:rPr>
      </w:pPr>
    </w:p>
    <w:p w14:paraId="61EEB948" w14:textId="77777777" w:rsidR="00EB50E5" w:rsidRPr="00CF31E0" w:rsidRDefault="00EB50E5"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DC2A0E" w:rsidRPr="00CF31E0" w14:paraId="115C19E7" w14:textId="77777777" w:rsidTr="002F74EA">
        <w:trPr>
          <w:cantSplit/>
        </w:trPr>
        <w:tc>
          <w:tcPr>
            <w:tcW w:w="7391" w:type="dxa"/>
            <w:gridSpan w:val="6"/>
            <w:tcBorders>
              <w:top w:val="single" w:sz="8" w:space="0" w:color="auto"/>
              <w:bottom w:val="single" w:sz="8" w:space="0" w:color="auto"/>
            </w:tcBorders>
            <w:shd w:val="clear" w:color="auto" w:fill="FFFFFF"/>
            <w:vAlign w:val="bottom"/>
          </w:tcPr>
          <w:p w14:paraId="2DF7AAB1" w14:textId="50C5030B" w:rsidR="00DC2A0E" w:rsidRPr="00CF31E0" w:rsidRDefault="00F22C21" w:rsidP="00DC2A0E">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Traditional</w:t>
            </w:r>
            <w:r w:rsidR="00DC2A0E" w:rsidRPr="00CF31E0">
              <w:rPr>
                <w:rFonts w:eastAsia="Calibri" w:cs="Arial"/>
                <w:color w:val="000000" w:themeColor="text1"/>
                <w:sz w:val="22"/>
                <w:szCs w:val="22"/>
                <w:lang w:eastAsia="en-US"/>
              </w:rPr>
              <w:t xml:space="preserve"> factor (HH dialect)</w:t>
            </w:r>
          </w:p>
        </w:tc>
      </w:tr>
      <w:tr w:rsidR="00DC2A0E" w:rsidRPr="00CF31E0" w14:paraId="4A4BC8D1" w14:textId="77777777" w:rsidTr="002F74EA">
        <w:trPr>
          <w:cantSplit/>
        </w:trPr>
        <w:tc>
          <w:tcPr>
            <w:tcW w:w="1736" w:type="dxa"/>
            <w:tcBorders>
              <w:top w:val="single" w:sz="8" w:space="0" w:color="auto"/>
              <w:bottom w:val="single" w:sz="6" w:space="0" w:color="auto"/>
            </w:tcBorders>
            <w:shd w:val="clear" w:color="auto" w:fill="FFFFFF"/>
            <w:vAlign w:val="bottom"/>
          </w:tcPr>
          <w:p w14:paraId="155A5EFB" w14:textId="77777777" w:rsidR="00DC2A0E" w:rsidRPr="00CF31E0" w:rsidRDefault="00DC2A0E" w:rsidP="00DC2A0E">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Age</w:t>
            </w:r>
          </w:p>
        </w:tc>
        <w:tc>
          <w:tcPr>
            <w:tcW w:w="1686" w:type="dxa"/>
            <w:tcBorders>
              <w:top w:val="single" w:sz="8" w:space="0" w:color="auto"/>
              <w:bottom w:val="single" w:sz="6" w:space="0" w:color="auto"/>
            </w:tcBorders>
            <w:shd w:val="clear" w:color="auto" w:fill="FFFFFF"/>
            <w:vAlign w:val="bottom"/>
          </w:tcPr>
          <w:p w14:paraId="46FA6F2B"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10879001"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3BAC1F80"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54140A0"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43590CC5"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DC2A0E" w:rsidRPr="00CF31E0" w14:paraId="28F18E2D" w14:textId="77777777" w:rsidTr="002F74EA">
        <w:trPr>
          <w:cantSplit/>
        </w:trPr>
        <w:tc>
          <w:tcPr>
            <w:tcW w:w="1736" w:type="dxa"/>
            <w:tcBorders>
              <w:top w:val="single" w:sz="6" w:space="0" w:color="auto"/>
              <w:bottom w:val="nil"/>
            </w:tcBorders>
            <w:shd w:val="clear" w:color="auto" w:fill="FFFFFF"/>
          </w:tcPr>
          <w:p w14:paraId="5863DF4D" w14:textId="77777777" w:rsidR="00DC2A0E" w:rsidRPr="00CF31E0" w:rsidRDefault="00DC2A0E" w:rsidP="00DC2A0E">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0A7A83F6"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2.299</w:t>
            </w:r>
          </w:p>
        </w:tc>
        <w:tc>
          <w:tcPr>
            <w:tcW w:w="820" w:type="dxa"/>
            <w:tcBorders>
              <w:top w:val="single" w:sz="6" w:space="0" w:color="auto"/>
              <w:bottom w:val="nil"/>
            </w:tcBorders>
            <w:shd w:val="clear" w:color="auto" w:fill="FFFFFF"/>
            <w:vAlign w:val="center"/>
          </w:tcPr>
          <w:p w14:paraId="192538EE"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5</w:t>
            </w:r>
          </w:p>
        </w:tc>
        <w:tc>
          <w:tcPr>
            <w:tcW w:w="1445" w:type="dxa"/>
            <w:tcBorders>
              <w:top w:val="single" w:sz="6" w:space="0" w:color="auto"/>
              <w:bottom w:val="nil"/>
            </w:tcBorders>
            <w:shd w:val="clear" w:color="auto" w:fill="FFFFFF"/>
            <w:vAlign w:val="center"/>
          </w:tcPr>
          <w:p w14:paraId="4405BDA8"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.460</w:t>
            </w:r>
          </w:p>
        </w:tc>
        <w:tc>
          <w:tcPr>
            <w:tcW w:w="1030" w:type="dxa"/>
            <w:tcBorders>
              <w:top w:val="single" w:sz="6" w:space="0" w:color="auto"/>
              <w:bottom w:val="nil"/>
            </w:tcBorders>
            <w:shd w:val="clear" w:color="auto" w:fill="FFFFFF"/>
            <w:vAlign w:val="center"/>
          </w:tcPr>
          <w:p w14:paraId="2B499C8A"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.273</w:t>
            </w:r>
          </w:p>
        </w:tc>
        <w:tc>
          <w:tcPr>
            <w:tcW w:w="674" w:type="dxa"/>
            <w:tcBorders>
              <w:top w:val="single" w:sz="6" w:space="0" w:color="auto"/>
              <w:bottom w:val="nil"/>
            </w:tcBorders>
            <w:shd w:val="clear" w:color="auto" w:fill="FFFFFF"/>
            <w:vAlign w:val="center"/>
          </w:tcPr>
          <w:p w14:paraId="4207310D"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.928</w:t>
            </w:r>
          </w:p>
        </w:tc>
      </w:tr>
      <w:tr w:rsidR="00DC2A0E" w:rsidRPr="00CF31E0" w14:paraId="0AD689E9" w14:textId="77777777" w:rsidTr="002F74EA">
        <w:trPr>
          <w:cantSplit/>
        </w:trPr>
        <w:tc>
          <w:tcPr>
            <w:tcW w:w="1736" w:type="dxa"/>
            <w:tcBorders>
              <w:top w:val="nil"/>
            </w:tcBorders>
            <w:shd w:val="clear" w:color="auto" w:fill="FFFFFF"/>
          </w:tcPr>
          <w:p w14:paraId="55E80EA4" w14:textId="77777777" w:rsidR="00DC2A0E" w:rsidRPr="00CF31E0" w:rsidRDefault="00DC2A0E" w:rsidP="00DC2A0E">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42868F8E"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1076.513</w:t>
            </w:r>
          </w:p>
        </w:tc>
        <w:tc>
          <w:tcPr>
            <w:tcW w:w="820" w:type="dxa"/>
            <w:tcBorders>
              <w:top w:val="nil"/>
            </w:tcBorders>
            <w:shd w:val="clear" w:color="auto" w:fill="FFFFFF"/>
            <w:vAlign w:val="center"/>
          </w:tcPr>
          <w:p w14:paraId="3F3E1C98" w14:textId="77A365E1" w:rsidR="00DC2A0E" w:rsidRPr="00CF31E0" w:rsidRDefault="00D0193D"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318</w:t>
            </w:r>
          </w:p>
        </w:tc>
        <w:tc>
          <w:tcPr>
            <w:tcW w:w="1445" w:type="dxa"/>
            <w:tcBorders>
              <w:top w:val="nil"/>
            </w:tcBorders>
            <w:shd w:val="clear" w:color="auto" w:fill="FFFFFF"/>
            <w:vAlign w:val="center"/>
          </w:tcPr>
          <w:p w14:paraId="4CDBBD2C"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1.685</w:t>
            </w:r>
          </w:p>
        </w:tc>
        <w:tc>
          <w:tcPr>
            <w:tcW w:w="1030" w:type="dxa"/>
            <w:tcBorders>
              <w:top w:val="nil"/>
            </w:tcBorders>
            <w:shd w:val="clear" w:color="auto" w:fill="FFFFFF"/>
            <w:vAlign w:val="center"/>
          </w:tcPr>
          <w:p w14:paraId="24F5258A"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6BADEFD4"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p>
        </w:tc>
      </w:tr>
      <w:tr w:rsidR="00DC2A0E" w:rsidRPr="00CF31E0" w14:paraId="09D1EDB1" w14:textId="77777777" w:rsidTr="002F74EA">
        <w:trPr>
          <w:cantSplit/>
        </w:trPr>
        <w:tc>
          <w:tcPr>
            <w:tcW w:w="1736" w:type="dxa"/>
            <w:shd w:val="clear" w:color="auto" w:fill="FFFFFF"/>
          </w:tcPr>
          <w:p w14:paraId="637566B7" w14:textId="77777777" w:rsidR="00DC2A0E" w:rsidRPr="00CF31E0" w:rsidRDefault="00DC2A0E" w:rsidP="00DC2A0E">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29F267BA"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1078.812</w:t>
            </w:r>
          </w:p>
        </w:tc>
        <w:tc>
          <w:tcPr>
            <w:tcW w:w="820" w:type="dxa"/>
            <w:shd w:val="clear" w:color="auto" w:fill="FFFFFF"/>
            <w:vAlign w:val="center"/>
          </w:tcPr>
          <w:p w14:paraId="53821DF7" w14:textId="5CE68A1E" w:rsidR="00DC2A0E" w:rsidRPr="00CF31E0" w:rsidRDefault="00D0193D"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323</w:t>
            </w:r>
          </w:p>
        </w:tc>
        <w:tc>
          <w:tcPr>
            <w:tcW w:w="1445" w:type="dxa"/>
            <w:shd w:val="clear" w:color="auto" w:fill="FFFFFF"/>
            <w:vAlign w:val="center"/>
          </w:tcPr>
          <w:p w14:paraId="41C46CF0"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279415B8"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77120836"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p>
        </w:tc>
      </w:tr>
    </w:tbl>
    <w:p w14:paraId="2B1A66F2" w14:textId="77777777" w:rsidR="007C3473" w:rsidRPr="00CF31E0" w:rsidRDefault="007C3473" w:rsidP="00B57389">
      <w:pPr>
        <w:rPr>
          <w:color w:val="000000" w:themeColor="text1"/>
          <w:lang w:eastAsia="en-US"/>
        </w:rPr>
      </w:pPr>
    </w:p>
    <w:p w14:paraId="35194A16" w14:textId="77777777" w:rsidR="00C73201" w:rsidRPr="00CF31E0" w:rsidRDefault="00C73201"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DC2A0E" w:rsidRPr="00CF31E0" w14:paraId="72F9B0BD" w14:textId="77777777" w:rsidTr="002F74EA">
        <w:trPr>
          <w:cantSplit/>
        </w:trPr>
        <w:tc>
          <w:tcPr>
            <w:tcW w:w="7391" w:type="dxa"/>
            <w:gridSpan w:val="6"/>
            <w:tcBorders>
              <w:top w:val="single" w:sz="8" w:space="0" w:color="auto"/>
              <w:bottom w:val="single" w:sz="8" w:space="0" w:color="auto"/>
            </w:tcBorders>
            <w:shd w:val="clear" w:color="auto" w:fill="FFFFFF"/>
            <w:vAlign w:val="bottom"/>
          </w:tcPr>
          <w:p w14:paraId="7093D906" w14:textId="370116B6" w:rsidR="00DC2A0E" w:rsidRPr="00CF31E0" w:rsidRDefault="00F22C21" w:rsidP="00DC2A0E">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Traditional</w:t>
            </w:r>
            <w:r w:rsidR="00DC2A0E" w:rsidRPr="00CF31E0">
              <w:rPr>
                <w:rFonts w:eastAsia="Calibri" w:cs="Arial"/>
                <w:color w:val="000000" w:themeColor="text1"/>
                <w:sz w:val="22"/>
                <w:szCs w:val="22"/>
                <w:lang w:eastAsia="en-US"/>
              </w:rPr>
              <w:t xml:space="preserve"> factor (HH dialect)</w:t>
            </w:r>
          </w:p>
        </w:tc>
      </w:tr>
      <w:tr w:rsidR="00DC2A0E" w:rsidRPr="00CF31E0" w14:paraId="63A9B9CB" w14:textId="77777777" w:rsidTr="002F74EA">
        <w:trPr>
          <w:cantSplit/>
        </w:trPr>
        <w:tc>
          <w:tcPr>
            <w:tcW w:w="1736" w:type="dxa"/>
            <w:tcBorders>
              <w:top w:val="single" w:sz="8" w:space="0" w:color="auto"/>
              <w:bottom w:val="single" w:sz="6" w:space="0" w:color="auto"/>
            </w:tcBorders>
            <w:shd w:val="clear" w:color="auto" w:fill="FFFFFF"/>
            <w:vAlign w:val="bottom"/>
          </w:tcPr>
          <w:p w14:paraId="6FFE42B6" w14:textId="77777777" w:rsidR="00DC2A0E" w:rsidRPr="00CF31E0" w:rsidRDefault="00DC2A0E" w:rsidP="00DC2A0E">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 of birth</w:t>
            </w:r>
          </w:p>
        </w:tc>
        <w:tc>
          <w:tcPr>
            <w:tcW w:w="1686" w:type="dxa"/>
            <w:tcBorders>
              <w:top w:val="single" w:sz="8" w:space="0" w:color="auto"/>
              <w:bottom w:val="single" w:sz="6" w:space="0" w:color="auto"/>
            </w:tcBorders>
            <w:shd w:val="clear" w:color="auto" w:fill="FFFFFF"/>
            <w:vAlign w:val="bottom"/>
          </w:tcPr>
          <w:p w14:paraId="08522A4B"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532D418F"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0A38DB47"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4240DB7B"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4D30C95C"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DC2A0E" w:rsidRPr="00CF31E0" w14:paraId="5683F722" w14:textId="77777777" w:rsidTr="002F74EA">
        <w:trPr>
          <w:cantSplit/>
        </w:trPr>
        <w:tc>
          <w:tcPr>
            <w:tcW w:w="1736" w:type="dxa"/>
            <w:tcBorders>
              <w:top w:val="single" w:sz="6" w:space="0" w:color="auto"/>
              <w:bottom w:val="nil"/>
            </w:tcBorders>
            <w:shd w:val="clear" w:color="auto" w:fill="FFFFFF"/>
          </w:tcPr>
          <w:p w14:paraId="014985C1" w14:textId="77777777" w:rsidR="00DC2A0E" w:rsidRPr="00CF31E0" w:rsidRDefault="00DC2A0E" w:rsidP="00DC2A0E">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7C9CEAE4"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1.761</w:t>
            </w:r>
          </w:p>
        </w:tc>
        <w:tc>
          <w:tcPr>
            <w:tcW w:w="820" w:type="dxa"/>
            <w:tcBorders>
              <w:top w:val="single" w:sz="6" w:space="0" w:color="auto"/>
              <w:bottom w:val="nil"/>
            </w:tcBorders>
            <w:shd w:val="clear" w:color="auto" w:fill="FFFFFF"/>
            <w:vAlign w:val="center"/>
          </w:tcPr>
          <w:p w14:paraId="2AEC2C5C"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w:t>
            </w:r>
          </w:p>
        </w:tc>
        <w:tc>
          <w:tcPr>
            <w:tcW w:w="1445" w:type="dxa"/>
            <w:tcBorders>
              <w:top w:val="single" w:sz="6" w:space="0" w:color="auto"/>
              <w:bottom w:val="nil"/>
            </w:tcBorders>
            <w:shd w:val="clear" w:color="auto" w:fill="FFFFFF"/>
            <w:vAlign w:val="center"/>
          </w:tcPr>
          <w:p w14:paraId="416E8A48"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1.761</w:t>
            </w:r>
          </w:p>
        </w:tc>
        <w:tc>
          <w:tcPr>
            <w:tcW w:w="1030" w:type="dxa"/>
            <w:tcBorders>
              <w:top w:val="single" w:sz="6" w:space="0" w:color="auto"/>
              <w:bottom w:val="nil"/>
            </w:tcBorders>
            <w:shd w:val="clear" w:color="auto" w:fill="FFFFFF"/>
            <w:vAlign w:val="center"/>
          </w:tcPr>
          <w:p w14:paraId="48BBC339"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1.048</w:t>
            </w:r>
          </w:p>
        </w:tc>
        <w:tc>
          <w:tcPr>
            <w:tcW w:w="674" w:type="dxa"/>
            <w:tcBorders>
              <w:top w:val="single" w:sz="6" w:space="0" w:color="auto"/>
              <w:bottom w:val="nil"/>
            </w:tcBorders>
            <w:shd w:val="clear" w:color="auto" w:fill="FFFFFF"/>
            <w:vAlign w:val="center"/>
          </w:tcPr>
          <w:p w14:paraId="663D3E17"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.306</w:t>
            </w:r>
          </w:p>
        </w:tc>
      </w:tr>
      <w:tr w:rsidR="00DC2A0E" w:rsidRPr="00CF31E0" w14:paraId="48CDDC99" w14:textId="77777777" w:rsidTr="002F74EA">
        <w:trPr>
          <w:cantSplit/>
        </w:trPr>
        <w:tc>
          <w:tcPr>
            <w:tcW w:w="1736" w:type="dxa"/>
            <w:tcBorders>
              <w:top w:val="nil"/>
            </w:tcBorders>
            <w:shd w:val="clear" w:color="auto" w:fill="FFFFFF"/>
          </w:tcPr>
          <w:p w14:paraId="1FACBA15" w14:textId="77777777" w:rsidR="00DC2A0E" w:rsidRPr="00CF31E0" w:rsidRDefault="00DC2A0E" w:rsidP="00DC2A0E">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406B6C3B"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1083.890</w:t>
            </w:r>
          </w:p>
        </w:tc>
        <w:tc>
          <w:tcPr>
            <w:tcW w:w="820" w:type="dxa"/>
            <w:tcBorders>
              <w:top w:val="nil"/>
            </w:tcBorders>
            <w:shd w:val="clear" w:color="auto" w:fill="FFFFFF"/>
            <w:vAlign w:val="center"/>
          </w:tcPr>
          <w:p w14:paraId="7423DA8A" w14:textId="363DE64D" w:rsidR="00DC2A0E" w:rsidRPr="00CF31E0" w:rsidRDefault="00D0193D"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322</w:t>
            </w:r>
          </w:p>
        </w:tc>
        <w:tc>
          <w:tcPr>
            <w:tcW w:w="1445" w:type="dxa"/>
            <w:tcBorders>
              <w:top w:val="nil"/>
            </w:tcBorders>
            <w:shd w:val="clear" w:color="auto" w:fill="FFFFFF"/>
            <w:vAlign w:val="center"/>
          </w:tcPr>
          <w:p w14:paraId="1E83C86F"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1.680</w:t>
            </w:r>
          </w:p>
        </w:tc>
        <w:tc>
          <w:tcPr>
            <w:tcW w:w="1030" w:type="dxa"/>
            <w:tcBorders>
              <w:top w:val="nil"/>
            </w:tcBorders>
            <w:shd w:val="clear" w:color="auto" w:fill="FFFFFF"/>
            <w:vAlign w:val="center"/>
          </w:tcPr>
          <w:p w14:paraId="40AD1E2B"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4C6B3B46"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p>
        </w:tc>
      </w:tr>
      <w:tr w:rsidR="00DC2A0E" w:rsidRPr="00CF31E0" w14:paraId="662F9FA6" w14:textId="77777777" w:rsidTr="002F74EA">
        <w:trPr>
          <w:cantSplit/>
        </w:trPr>
        <w:tc>
          <w:tcPr>
            <w:tcW w:w="1736" w:type="dxa"/>
            <w:shd w:val="clear" w:color="auto" w:fill="FFFFFF"/>
          </w:tcPr>
          <w:p w14:paraId="1C94B034" w14:textId="77777777" w:rsidR="00DC2A0E" w:rsidRPr="00CF31E0" w:rsidRDefault="00DC2A0E" w:rsidP="00DC2A0E">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Total</w:t>
            </w:r>
          </w:p>
        </w:tc>
        <w:tc>
          <w:tcPr>
            <w:tcW w:w="1686" w:type="dxa"/>
            <w:shd w:val="clear" w:color="auto" w:fill="FFFFFF"/>
            <w:vAlign w:val="center"/>
          </w:tcPr>
          <w:p w14:paraId="0F386D78"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1085.651</w:t>
            </w:r>
          </w:p>
        </w:tc>
        <w:tc>
          <w:tcPr>
            <w:tcW w:w="820" w:type="dxa"/>
            <w:shd w:val="clear" w:color="auto" w:fill="FFFFFF"/>
            <w:vAlign w:val="center"/>
          </w:tcPr>
          <w:p w14:paraId="02CC5F60" w14:textId="22E0165F" w:rsidR="00DC2A0E" w:rsidRPr="00CF31E0" w:rsidRDefault="00D0193D"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323</w:t>
            </w:r>
          </w:p>
        </w:tc>
        <w:tc>
          <w:tcPr>
            <w:tcW w:w="1445" w:type="dxa"/>
            <w:shd w:val="clear" w:color="auto" w:fill="FFFFFF"/>
            <w:vAlign w:val="center"/>
          </w:tcPr>
          <w:p w14:paraId="7573A3FD"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70671101"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3D0439F1"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p>
        </w:tc>
      </w:tr>
    </w:tbl>
    <w:p w14:paraId="183393F4" w14:textId="77777777" w:rsidR="00DC2A0E" w:rsidRPr="00CF31E0" w:rsidRDefault="00DC2A0E" w:rsidP="00B57389">
      <w:pPr>
        <w:rPr>
          <w:color w:val="000000" w:themeColor="text1"/>
          <w:lang w:eastAsia="en-US"/>
        </w:rPr>
      </w:pPr>
    </w:p>
    <w:p w14:paraId="01FAE175" w14:textId="77777777" w:rsidR="00DC2A0E" w:rsidRPr="00CF31E0" w:rsidRDefault="00DC2A0E"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2"/>
        <w:gridCol w:w="1443"/>
        <w:gridCol w:w="1030"/>
        <w:gridCol w:w="674"/>
      </w:tblGrid>
      <w:tr w:rsidR="00DC2A0E" w:rsidRPr="00CF31E0" w14:paraId="101AE346" w14:textId="77777777" w:rsidTr="002F74EA">
        <w:trPr>
          <w:cantSplit/>
        </w:trPr>
        <w:tc>
          <w:tcPr>
            <w:tcW w:w="7391" w:type="dxa"/>
            <w:gridSpan w:val="6"/>
            <w:tcBorders>
              <w:top w:val="single" w:sz="8" w:space="0" w:color="auto"/>
              <w:bottom w:val="single" w:sz="8" w:space="0" w:color="auto"/>
            </w:tcBorders>
            <w:shd w:val="clear" w:color="auto" w:fill="FFFFFF"/>
            <w:vAlign w:val="bottom"/>
          </w:tcPr>
          <w:p w14:paraId="2347AF40" w14:textId="62E96123" w:rsidR="00DC2A0E" w:rsidRPr="00CF31E0" w:rsidRDefault="00F22C21" w:rsidP="00DC2A0E">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Traditional</w:t>
            </w:r>
            <w:r w:rsidR="00DC2A0E" w:rsidRPr="00CF31E0">
              <w:rPr>
                <w:rFonts w:eastAsia="Calibri" w:cs="Arial"/>
                <w:color w:val="000000" w:themeColor="text1"/>
                <w:sz w:val="22"/>
                <w:szCs w:val="22"/>
                <w:lang w:eastAsia="en-US"/>
              </w:rPr>
              <w:t xml:space="preserve"> factor (HH dialect)</w:t>
            </w:r>
          </w:p>
        </w:tc>
      </w:tr>
      <w:tr w:rsidR="00DC2A0E" w:rsidRPr="00CF31E0" w14:paraId="56B99757" w14:textId="77777777" w:rsidTr="00D0193D">
        <w:trPr>
          <w:cantSplit/>
        </w:trPr>
        <w:tc>
          <w:tcPr>
            <w:tcW w:w="1736" w:type="dxa"/>
            <w:tcBorders>
              <w:top w:val="single" w:sz="8" w:space="0" w:color="auto"/>
              <w:bottom w:val="single" w:sz="6" w:space="0" w:color="auto"/>
            </w:tcBorders>
            <w:shd w:val="clear" w:color="auto" w:fill="FFFFFF"/>
            <w:vAlign w:val="bottom"/>
          </w:tcPr>
          <w:p w14:paraId="728DB0AB" w14:textId="77777777" w:rsidR="00DC2A0E" w:rsidRPr="00CF31E0" w:rsidRDefault="00DC2A0E" w:rsidP="00DC2A0E">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Marital status</w:t>
            </w:r>
          </w:p>
        </w:tc>
        <w:tc>
          <w:tcPr>
            <w:tcW w:w="1686" w:type="dxa"/>
            <w:tcBorders>
              <w:top w:val="single" w:sz="8" w:space="0" w:color="auto"/>
              <w:bottom w:val="single" w:sz="6" w:space="0" w:color="auto"/>
            </w:tcBorders>
            <w:shd w:val="clear" w:color="auto" w:fill="FFFFFF"/>
            <w:vAlign w:val="bottom"/>
          </w:tcPr>
          <w:p w14:paraId="40BF91D2"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2" w:type="dxa"/>
            <w:tcBorders>
              <w:top w:val="single" w:sz="8" w:space="0" w:color="auto"/>
              <w:bottom w:val="single" w:sz="6" w:space="0" w:color="auto"/>
            </w:tcBorders>
            <w:shd w:val="clear" w:color="auto" w:fill="FFFFFF"/>
            <w:vAlign w:val="bottom"/>
          </w:tcPr>
          <w:p w14:paraId="104A0F51"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3" w:type="dxa"/>
            <w:tcBorders>
              <w:top w:val="single" w:sz="8" w:space="0" w:color="auto"/>
              <w:bottom w:val="single" w:sz="6" w:space="0" w:color="auto"/>
            </w:tcBorders>
            <w:shd w:val="clear" w:color="auto" w:fill="FFFFFF"/>
            <w:vAlign w:val="bottom"/>
          </w:tcPr>
          <w:p w14:paraId="043A4ABB"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4B51932B"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1387AB0C"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DC2A0E" w:rsidRPr="00CF31E0" w14:paraId="1E0EB2BA" w14:textId="77777777" w:rsidTr="00D0193D">
        <w:trPr>
          <w:cantSplit/>
        </w:trPr>
        <w:tc>
          <w:tcPr>
            <w:tcW w:w="1736" w:type="dxa"/>
            <w:tcBorders>
              <w:top w:val="single" w:sz="6" w:space="0" w:color="auto"/>
              <w:bottom w:val="nil"/>
            </w:tcBorders>
            <w:shd w:val="clear" w:color="auto" w:fill="FFFFFF"/>
          </w:tcPr>
          <w:p w14:paraId="28EFD659" w14:textId="77777777" w:rsidR="00DC2A0E" w:rsidRPr="00CF31E0" w:rsidRDefault="00DC2A0E" w:rsidP="00DC2A0E">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13FEE3D5"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2.712</w:t>
            </w:r>
          </w:p>
        </w:tc>
        <w:tc>
          <w:tcPr>
            <w:tcW w:w="822" w:type="dxa"/>
            <w:tcBorders>
              <w:top w:val="single" w:sz="6" w:space="0" w:color="auto"/>
              <w:bottom w:val="nil"/>
            </w:tcBorders>
            <w:shd w:val="clear" w:color="auto" w:fill="FFFFFF"/>
            <w:vAlign w:val="center"/>
          </w:tcPr>
          <w:p w14:paraId="34773181"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w:t>
            </w:r>
          </w:p>
        </w:tc>
        <w:tc>
          <w:tcPr>
            <w:tcW w:w="1443" w:type="dxa"/>
            <w:tcBorders>
              <w:top w:val="single" w:sz="6" w:space="0" w:color="auto"/>
              <w:bottom w:val="nil"/>
            </w:tcBorders>
            <w:shd w:val="clear" w:color="auto" w:fill="FFFFFF"/>
            <w:vAlign w:val="center"/>
          </w:tcPr>
          <w:p w14:paraId="5BB2F482"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.904</w:t>
            </w:r>
          </w:p>
        </w:tc>
        <w:tc>
          <w:tcPr>
            <w:tcW w:w="1030" w:type="dxa"/>
            <w:tcBorders>
              <w:top w:val="single" w:sz="6" w:space="0" w:color="auto"/>
              <w:bottom w:val="nil"/>
            </w:tcBorders>
            <w:shd w:val="clear" w:color="auto" w:fill="FFFFFF"/>
            <w:vAlign w:val="center"/>
          </w:tcPr>
          <w:p w14:paraId="7B5B0679"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.537</w:t>
            </w:r>
          </w:p>
        </w:tc>
        <w:tc>
          <w:tcPr>
            <w:tcW w:w="674" w:type="dxa"/>
            <w:tcBorders>
              <w:top w:val="single" w:sz="6" w:space="0" w:color="auto"/>
              <w:bottom w:val="nil"/>
            </w:tcBorders>
            <w:shd w:val="clear" w:color="auto" w:fill="FFFFFF"/>
            <w:vAlign w:val="center"/>
          </w:tcPr>
          <w:p w14:paraId="6E145BB2"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.657</w:t>
            </w:r>
          </w:p>
        </w:tc>
      </w:tr>
      <w:tr w:rsidR="00DC2A0E" w:rsidRPr="00CF31E0" w14:paraId="0FBB7028" w14:textId="77777777" w:rsidTr="00D0193D">
        <w:trPr>
          <w:cantSplit/>
        </w:trPr>
        <w:tc>
          <w:tcPr>
            <w:tcW w:w="1736" w:type="dxa"/>
            <w:tcBorders>
              <w:top w:val="nil"/>
            </w:tcBorders>
            <w:shd w:val="clear" w:color="auto" w:fill="FFFFFF"/>
          </w:tcPr>
          <w:p w14:paraId="34EB552D" w14:textId="77777777" w:rsidR="00DC2A0E" w:rsidRPr="00CF31E0" w:rsidRDefault="00DC2A0E" w:rsidP="00DC2A0E">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432F5D63"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1082.938</w:t>
            </w:r>
          </w:p>
        </w:tc>
        <w:tc>
          <w:tcPr>
            <w:tcW w:w="822" w:type="dxa"/>
            <w:tcBorders>
              <w:top w:val="nil"/>
            </w:tcBorders>
            <w:shd w:val="clear" w:color="auto" w:fill="FFFFFF"/>
            <w:vAlign w:val="center"/>
          </w:tcPr>
          <w:p w14:paraId="0B1E8818" w14:textId="310F044A" w:rsidR="00DC2A0E" w:rsidRPr="00CF31E0" w:rsidRDefault="00D0193D"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320</w:t>
            </w:r>
          </w:p>
        </w:tc>
        <w:tc>
          <w:tcPr>
            <w:tcW w:w="1443" w:type="dxa"/>
            <w:tcBorders>
              <w:top w:val="nil"/>
            </w:tcBorders>
            <w:shd w:val="clear" w:color="auto" w:fill="FFFFFF"/>
            <w:vAlign w:val="center"/>
          </w:tcPr>
          <w:p w14:paraId="2D57AE20"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1.684</w:t>
            </w:r>
          </w:p>
        </w:tc>
        <w:tc>
          <w:tcPr>
            <w:tcW w:w="1030" w:type="dxa"/>
            <w:tcBorders>
              <w:top w:val="nil"/>
            </w:tcBorders>
            <w:shd w:val="clear" w:color="auto" w:fill="FFFFFF"/>
            <w:vAlign w:val="center"/>
          </w:tcPr>
          <w:p w14:paraId="17BFDE50"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36C070FD"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p>
        </w:tc>
      </w:tr>
      <w:tr w:rsidR="00DC2A0E" w:rsidRPr="00CF31E0" w14:paraId="0A187FED" w14:textId="77777777" w:rsidTr="00D0193D">
        <w:trPr>
          <w:cantSplit/>
        </w:trPr>
        <w:tc>
          <w:tcPr>
            <w:tcW w:w="1736" w:type="dxa"/>
            <w:shd w:val="clear" w:color="auto" w:fill="FFFFFF"/>
          </w:tcPr>
          <w:p w14:paraId="24CA64A2" w14:textId="77777777" w:rsidR="00DC2A0E" w:rsidRPr="00CF31E0" w:rsidRDefault="00DC2A0E" w:rsidP="00DC2A0E">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038353E0"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1085.651</w:t>
            </w:r>
          </w:p>
        </w:tc>
        <w:tc>
          <w:tcPr>
            <w:tcW w:w="822" w:type="dxa"/>
            <w:shd w:val="clear" w:color="auto" w:fill="FFFFFF"/>
            <w:vAlign w:val="center"/>
          </w:tcPr>
          <w:p w14:paraId="6035749E" w14:textId="5EC765BE" w:rsidR="00DC2A0E" w:rsidRPr="00CF31E0" w:rsidRDefault="00D0193D"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323</w:t>
            </w:r>
          </w:p>
        </w:tc>
        <w:tc>
          <w:tcPr>
            <w:tcW w:w="1443" w:type="dxa"/>
            <w:shd w:val="clear" w:color="auto" w:fill="FFFFFF"/>
            <w:vAlign w:val="center"/>
          </w:tcPr>
          <w:p w14:paraId="7DC7ACBC"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703A923E"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12094E96"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p>
        </w:tc>
      </w:tr>
    </w:tbl>
    <w:p w14:paraId="786AB944" w14:textId="77777777" w:rsidR="00DC2A0E" w:rsidRPr="00CF31E0" w:rsidRDefault="00DC2A0E" w:rsidP="00B57389">
      <w:pPr>
        <w:rPr>
          <w:color w:val="000000" w:themeColor="text1"/>
          <w:lang w:eastAsia="en-US"/>
        </w:rPr>
      </w:pPr>
    </w:p>
    <w:p w14:paraId="6F50FCA0" w14:textId="77777777" w:rsidR="00DC2A0E" w:rsidRPr="00CF31E0" w:rsidRDefault="00DC2A0E"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DC2A0E" w:rsidRPr="00CF31E0" w14:paraId="4F8841FF" w14:textId="77777777" w:rsidTr="002F74EA">
        <w:trPr>
          <w:cantSplit/>
        </w:trPr>
        <w:tc>
          <w:tcPr>
            <w:tcW w:w="7391" w:type="dxa"/>
            <w:gridSpan w:val="6"/>
            <w:tcBorders>
              <w:top w:val="single" w:sz="8" w:space="0" w:color="auto"/>
              <w:bottom w:val="single" w:sz="8" w:space="0" w:color="auto"/>
            </w:tcBorders>
            <w:shd w:val="clear" w:color="auto" w:fill="FFFFFF"/>
            <w:vAlign w:val="bottom"/>
          </w:tcPr>
          <w:p w14:paraId="511C8E34" w14:textId="2161F8CD" w:rsidR="00DC2A0E" w:rsidRPr="00CF31E0" w:rsidRDefault="00F22C21" w:rsidP="00DC2A0E">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Traditional</w:t>
            </w:r>
            <w:r w:rsidR="00DC2A0E" w:rsidRPr="00CF31E0">
              <w:rPr>
                <w:rFonts w:eastAsia="Calibri" w:cs="Arial"/>
                <w:color w:val="000000" w:themeColor="text1"/>
                <w:sz w:val="22"/>
                <w:szCs w:val="22"/>
                <w:lang w:eastAsia="en-US"/>
              </w:rPr>
              <w:t xml:space="preserve"> factor (HH dialect)</w:t>
            </w:r>
          </w:p>
        </w:tc>
      </w:tr>
      <w:tr w:rsidR="00DC2A0E" w:rsidRPr="00CF31E0" w14:paraId="2BAD394A" w14:textId="77777777" w:rsidTr="002F74EA">
        <w:trPr>
          <w:cantSplit/>
        </w:trPr>
        <w:tc>
          <w:tcPr>
            <w:tcW w:w="1736" w:type="dxa"/>
            <w:tcBorders>
              <w:top w:val="single" w:sz="8" w:space="0" w:color="auto"/>
              <w:bottom w:val="single" w:sz="6" w:space="0" w:color="auto"/>
            </w:tcBorders>
            <w:shd w:val="clear" w:color="auto" w:fill="FFFFFF"/>
            <w:vAlign w:val="bottom"/>
          </w:tcPr>
          <w:p w14:paraId="3958BD10" w14:textId="77777777" w:rsidR="00DC2A0E" w:rsidRPr="00CF31E0" w:rsidRDefault="00DC2A0E" w:rsidP="00DC2A0E">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Education</w:t>
            </w:r>
          </w:p>
        </w:tc>
        <w:tc>
          <w:tcPr>
            <w:tcW w:w="1686" w:type="dxa"/>
            <w:tcBorders>
              <w:top w:val="single" w:sz="8" w:space="0" w:color="auto"/>
              <w:bottom w:val="single" w:sz="6" w:space="0" w:color="auto"/>
            </w:tcBorders>
            <w:shd w:val="clear" w:color="auto" w:fill="FFFFFF"/>
            <w:vAlign w:val="bottom"/>
          </w:tcPr>
          <w:p w14:paraId="1C59D818"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3DC3DCEC"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DFF1929"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E75020D"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49DC837D"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DC2A0E" w:rsidRPr="00CF31E0" w14:paraId="44741747" w14:textId="77777777" w:rsidTr="002F74EA">
        <w:trPr>
          <w:cantSplit/>
        </w:trPr>
        <w:tc>
          <w:tcPr>
            <w:tcW w:w="1736" w:type="dxa"/>
            <w:tcBorders>
              <w:top w:val="single" w:sz="6" w:space="0" w:color="auto"/>
              <w:bottom w:val="nil"/>
            </w:tcBorders>
            <w:shd w:val="clear" w:color="auto" w:fill="FFFFFF"/>
          </w:tcPr>
          <w:p w14:paraId="2F7B8E6C" w14:textId="77777777" w:rsidR="00DC2A0E" w:rsidRPr="00CF31E0" w:rsidRDefault="00DC2A0E" w:rsidP="00DC2A0E">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3213841A"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6.586</w:t>
            </w:r>
          </w:p>
        </w:tc>
        <w:tc>
          <w:tcPr>
            <w:tcW w:w="820" w:type="dxa"/>
            <w:tcBorders>
              <w:top w:val="single" w:sz="6" w:space="0" w:color="auto"/>
              <w:bottom w:val="nil"/>
            </w:tcBorders>
            <w:shd w:val="clear" w:color="auto" w:fill="FFFFFF"/>
            <w:vAlign w:val="center"/>
          </w:tcPr>
          <w:p w14:paraId="31BF9C22"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5</w:t>
            </w:r>
          </w:p>
        </w:tc>
        <w:tc>
          <w:tcPr>
            <w:tcW w:w="1445" w:type="dxa"/>
            <w:tcBorders>
              <w:top w:val="single" w:sz="6" w:space="0" w:color="auto"/>
              <w:bottom w:val="nil"/>
            </w:tcBorders>
            <w:shd w:val="clear" w:color="auto" w:fill="FFFFFF"/>
            <w:vAlign w:val="center"/>
          </w:tcPr>
          <w:p w14:paraId="1ED59128"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1.317</w:t>
            </w:r>
          </w:p>
        </w:tc>
        <w:tc>
          <w:tcPr>
            <w:tcW w:w="1030" w:type="dxa"/>
            <w:tcBorders>
              <w:top w:val="single" w:sz="6" w:space="0" w:color="auto"/>
              <w:bottom w:val="nil"/>
            </w:tcBorders>
            <w:shd w:val="clear" w:color="auto" w:fill="FFFFFF"/>
            <w:vAlign w:val="center"/>
          </w:tcPr>
          <w:p w14:paraId="022E65FB"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.782</w:t>
            </w:r>
          </w:p>
        </w:tc>
        <w:tc>
          <w:tcPr>
            <w:tcW w:w="674" w:type="dxa"/>
            <w:tcBorders>
              <w:top w:val="single" w:sz="6" w:space="0" w:color="auto"/>
              <w:bottom w:val="nil"/>
            </w:tcBorders>
            <w:shd w:val="clear" w:color="auto" w:fill="FFFFFF"/>
            <w:vAlign w:val="center"/>
          </w:tcPr>
          <w:p w14:paraId="490AF55F"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.563</w:t>
            </w:r>
          </w:p>
        </w:tc>
      </w:tr>
      <w:tr w:rsidR="00DC2A0E" w:rsidRPr="00CF31E0" w14:paraId="307DA049" w14:textId="77777777" w:rsidTr="002F74EA">
        <w:trPr>
          <w:cantSplit/>
        </w:trPr>
        <w:tc>
          <w:tcPr>
            <w:tcW w:w="1736" w:type="dxa"/>
            <w:tcBorders>
              <w:top w:val="nil"/>
            </w:tcBorders>
            <w:shd w:val="clear" w:color="auto" w:fill="FFFFFF"/>
          </w:tcPr>
          <w:p w14:paraId="34ADE080" w14:textId="77777777" w:rsidR="00DC2A0E" w:rsidRPr="00CF31E0" w:rsidRDefault="00DC2A0E" w:rsidP="00DC2A0E">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0D8A62F3"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1079.065</w:t>
            </w:r>
          </w:p>
        </w:tc>
        <w:tc>
          <w:tcPr>
            <w:tcW w:w="820" w:type="dxa"/>
            <w:tcBorders>
              <w:top w:val="nil"/>
            </w:tcBorders>
            <w:shd w:val="clear" w:color="auto" w:fill="FFFFFF"/>
            <w:vAlign w:val="center"/>
          </w:tcPr>
          <w:p w14:paraId="1102AC98" w14:textId="7FE9E278" w:rsidR="00DC2A0E" w:rsidRPr="00CF31E0" w:rsidRDefault="00D0193D"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318</w:t>
            </w:r>
          </w:p>
        </w:tc>
        <w:tc>
          <w:tcPr>
            <w:tcW w:w="1445" w:type="dxa"/>
            <w:tcBorders>
              <w:top w:val="nil"/>
            </w:tcBorders>
            <w:shd w:val="clear" w:color="auto" w:fill="FFFFFF"/>
            <w:vAlign w:val="center"/>
          </w:tcPr>
          <w:p w14:paraId="2EA3EC0E"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1.683</w:t>
            </w:r>
          </w:p>
        </w:tc>
        <w:tc>
          <w:tcPr>
            <w:tcW w:w="1030" w:type="dxa"/>
            <w:tcBorders>
              <w:top w:val="nil"/>
            </w:tcBorders>
            <w:shd w:val="clear" w:color="auto" w:fill="FFFFFF"/>
            <w:vAlign w:val="center"/>
          </w:tcPr>
          <w:p w14:paraId="61A3AEB3"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5F71EC28"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p>
        </w:tc>
      </w:tr>
      <w:tr w:rsidR="00DC2A0E" w:rsidRPr="00CF31E0" w14:paraId="1A45F0D8" w14:textId="77777777" w:rsidTr="002F74EA">
        <w:trPr>
          <w:cantSplit/>
        </w:trPr>
        <w:tc>
          <w:tcPr>
            <w:tcW w:w="1736" w:type="dxa"/>
            <w:shd w:val="clear" w:color="auto" w:fill="FFFFFF"/>
          </w:tcPr>
          <w:p w14:paraId="5E7ADD9F" w14:textId="77777777" w:rsidR="00DC2A0E" w:rsidRPr="00CF31E0" w:rsidRDefault="00DC2A0E" w:rsidP="00DC2A0E">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2A94F315"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1085.651</w:t>
            </w:r>
          </w:p>
        </w:tc>
        <w:tc>
          <w:tcPr>
            <w:tcW w:w="820" w:type="dxa"/>
            <w:shd w:val="clear" w:color="auto" w:fill="FFFFFF"/>
            <w:vAlign w:val="center"/>
          </w:tcPr>
          <w:p w14:paraId="2F3E29B2" w14:textId="27A2BD41" w:rsidR="00DC2A0E" w:rsidRPr="00CF31E0" w:rsidRDefault="00D0193D" w:rsidP="00DC2A0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323</w:t>
            </w:r>
          </w:p>
        </w:tc>
        <w:tc>
          <w:tcPr>
            <w:tcW w:w="1445" w:type="dxa"/>
            <w:shd w:val="clear" w:color="auto" w:fill="FFFFFF"/>
            <w:vAlign w:val="center"/>
          </w:tcPr>
          <w:p w14:paraId="7ED26CEC"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69A9A313"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2BE20E28" w14:textId="77777777" w:rsidR="00DC2A0E" w:rsidRPr="00CF31E0" w:rsidRDefault="00DC2A0E" w:rsidP="00DC2A0E">
            <w:pPr>
              <w:spacing w:before="120" w:after="120" w:line="360" w:lineRule="auto"/>
              <w:jc w:val="right"/>
              <w:rPr>
                <w:rFonts w:eastAsia="Calibri" w:cs="Arial"/>
                <w:color w:val="000000" w:themeColor="text1"/>
                <w:sz w:val="22"/>
                <w:szCs w:val="22"/>
                <w:lang w:eastAsia="en-US"/>
              </w:rPr>
            </w:pPr>
          </w:p>
        </w:tc>
      </w:tr>
    </w:tbl>
    <w:p w14:paraId="581DF11E" w14:textId="77777777" w:rsidR="00DC2A0E" w:rsidRPr="00CF31E0" w:rsidRDefault="00DC2A0E" w:rsidP="00B57389">
      <w:pPr>
        <w:rPr>
          <w:color w:val="000000" w:themeColor="text1"/>
          <w:lang w:eastAsia="en-US"/>
        </w:rPr>
      </w:pPr>
    </w:p>
    <w:p w14:paraId="5C62B706" w14:textId="77777777" w:rsidR="00C73201" w:rsidRPr="00CF31E0" w:rsidRDefault="00C73201" w:rsidP="00B57389">
      <w:pPr>
        <w:rPr>
          <w:color w:val="000000" w:themeColor="text1"/>
          <w:lang w:eastAsia="en-US"/>
        </w:rPr>
      </w:pPr>
    </w:p>
    <w:p w14:paraId="4A1354A3" w14:textId="77777777" w:rsidR="00C73201" w:rsidRPr="00CF31E0" w:rsidRDefault="00C73201" w:rsidP="00B57389">
      <w:pPr>
        <w:rPr>
          <w:color w:val="000000" w:themeColor="text1"/>
          <w:lang w:eastAsia="en-US"/>
        </w:rPr>
      </w:pPr>
    </w:p>
    <w:p w14:paraId="53D6B849" w14:textId="6B3F1F87" w:rsidR="007066FD" w:rsidRPr="00CF31E0" w:rsidRDefault="007066FD">
      <w:pPr>
        <w:numPr>
          <w:ilvl w:val="0"/>
          <w:numId w:val="71"/>
        </w:numPr>
        <w:autoSpaceDE w:val="0"/>
        <w:autoSpaceDN w:val="0"/>
        <w:adjustRightInd w:val="0"/>
        <w:spacing w:line="400" w:lineRule="atLeast"/>
        <w:contextualSpacing/>
        <w:rPr>
          <w:rFonts w:eastAsia="MS Mincho"/>
          <w:color w:val="000000" w:themeColor="text1"/>
          <w:lang w:eastAsia="en-US"/>
        </w:rPr>
      </w:pPr>
      <w:r w:rsidRPr="00CF31E0">
        <w:rPr>
          <w:rFonts w:eastAsia="MS Mincho"/>
          <w:b/>
          <w:bCs/>
          <w:color w:val="000000" w:themeColor="text1"/>
          <w:lang w:eastAsia="en-US"/>
        </w:rPr>
        <w:t>ANOVA results for both factors from HHs’ perceptions</w:t>
      </w:r>
    </w:p>
    <w:p w14:paraId="54F69179" w14:textId="77777777" w:rsidR="007066FD" w:rsidRPr="00CF31E0" w:rsidRDefault="007066FD" w:rsidP="00603CB7">
      <w:pPr>
        <w:autoSpaceDE w:val="0"/>
        <w:autoSpaceDN w:val="0"/>
        <w:adjustRightInd w:val="0"/>
        <w:spacing w:line="400" w:lineRule="atLeast"/>
        <w:contextualSpacing/>
        <w:rPr>
          <w:rFonts w:eastAsia="MS Mincho"/>
          <w:b/>
          <w:bCs/>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7066FD" w:rsidRPr="00CF31E0" w14:paraId="68FC2829" w14:textId="77777777" w:rsidTr="00CA1F5C">
        <w:trPr>
          <w:cantSplit/>
        </w:trPr>
        <w:tc>
          <w:tcPr>
            <w:tcW w:w="7391" w:type="dxa"/>
            <w:gridSpan w:val="6"/>
            <w:tcBorders>
              <w:top w:val="single" w:sz="8" w:space="0" w:color="auto"/>
              <w:bottom w:val="single" w:sz="8" w:space="0" w:color="auto"/>
            </w:tcBorders>
            <w:shd w:val="clear" w:color="auto" w:fill="FFFFFF"/>
            <w:vAlign w:val="bottom"/>
          </w:tcPr>
          <w:p w14:paraId="24B904DC" w14:textId="77777777" w:rsidR="007066FD" w:rsidRPr="00CF31E0" w:rsidRDefault="007066FD" w:rsidP="007066F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Modern factor (UBH dialect)</w:t>
            </w:r>
          </w:p>
        </w:tc>
      </w:tr>
      <w:tr w:rsidR="007066FD" w:rsidRPr="00CF31E0" w14:paraId="1B7C22A6" w14:textId="77777777" w:rsidTr="00CA1F5C">
        <w:trPr>
          <w:cantSplit/>
        </w:trPr>
        <w:tc>
          <w:tcPr>
            <w:tcW w:w="1736" w:type="dxa"/>
            <w:tcBorders>
              <w:top w:val="single" w:sz="8" w:space="0" w:color="auto"/>
              <w:bottom w:val="single" w:sz="6" w:space="0" w:color="auto"/>
            </w:tcBorders>
            <w:shd w:val="clear" w:color="auto" w:fill="FFFFFF"/>
            <w:vAlign w:val="bottom"/>
          </w:tcPr>
          <w:p w14:paraId="2C9DAE99" w14:textId="77777777" w:rsidR="007066FD" w:rsidRPr="00CF31E0" w:rsidRDefault="007066FD" w:rsidP="007066F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Gender</w:t>
            </w:r>
          </w:p>
        </w:tc>
        <w:tc>
          <w:tcPr>
            <w:tcW w:w="1686" w:type="dxa"/>
            <w:tcBorders>
              <w:top w:val="single" w:sz="8" w:space="0" w:color="auto"/>
              <w:bottom w:val="single" w:sz="6" w:space="0" w:color="auto"/>
            </w:tcBorders>
            <w:shd w:val="clear" w:color="auto" w:fill="FFFFFF"/>
            <w:vAlign w:val="bottom"/>
          </w:tcPr>
          <w:p w14:paraId="383FE72B"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06943052"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7E0E6924"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09E4827E"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1E6ECB5B"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066FD" w:rsidRPr="00CF31E0" w14:paraId="6AFA6E2F" w14:textId="77777777" w:rsidTr="00CA1F5C">
        <w:trPr>
          <w:cantSplit/>
        </w:trPr>
        <w:tc>
          <w:tcPr>
            <w:tcW w:w="1736" w:type="dxa"/>
            <w:tcBorders>
              <w:top w:val="single" w:sz="6" w:space="0" w:color="auto"/>
              <w:bottom w:val="nil"/>
            </w:tcBorders>
            <w:shd w:val="clear" w:color="auto" w:fill="FFFFFF"/>
          </w:tcPr>
          <w:p w14:paraId="044A03D0" w14:textId="77777777" w:rsidR="007066FD" w:rsidRPr="00CF31E0" w:rsidRDefault="007066FD" w:rsidP="007066F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2680FD4F"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.027</w:t>
            </w:r>
          </w:p>
        </w:tc>
        <w:tc>
          <w:tcPr>
            <w:tcW w:w="820" w:type="dxa"/>
            <w:tcBorders>
              <w:top w:val="single" w:sz="6" w:space="0" w:color="auto"/>
              <w:bottom w:val="nil"/>
            </w:tcBorders>
            <w:shd w:val="clear" w:color="auto" w:fill="FFFFFF"/>
            <w:vAlign w:val="center"/>
          </w:tcPr>
          <w:p w14:paraId="3D8282C3"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w:t>
            </w:r>
          </w:p>
        </w:tc>
        <w:tc>
          <w:tcPr>
            <w:tcW w:w="1445" w:type="dxa"/>
            <w:tcBorders>
              <w:top w:val="single" w:sz="6" w:space="0" w:color="auto"/>
              <w:bottom w:val="nil"/>
            </w:tcBorders>
            <w:shd w:val="clear" w:color="auto" w:fill="FFFFFF"/>
            <w:vAlign w:val="center"/>
          </w:tcPr>
          <w:p w14:paraId="52DF3C1E"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.027</w:t>
            </w:r>
          </w:p>
        </w:tc>
        <w:tc>
          <w:tcPr>
            <w:tcW w:w="1030" w:type="dxa"/>
            <w:tcBorders>
              <w:top w:val="single" w:sz="6" w:space="0" w:color="auto"/>
              <w:bottom w:val="nil"/>
            </w:tcBorders>
            <w:shd w:val="clear" w:color="auto" w:fill="FFFFFF"/>
            <w:vAlign w:val="center"/>
          </w:tcPr>
          <w:p w14:paraId="59123D76"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.018</w:t>
            </w:r>
          </w:p>
        </w:tc>
        <w:tc>
          <w:tcPr>
            <w:tcW w:w="674" w:type="dxa"/>
            <w:tcBorders>
              <w:top w:val="single" w:sz="6" w:space="0" w:color="auto"/>
              <w:bottom w:val="nil"/>
            </w:tcBorders>
            <w:shd w:val="clear" w:color="auto" w:fill="FFFFFF"/>
            <w:vAlign w:val="center"/>
          </w:tcPr>
          <w:p w14:paraId="2BCCCDA8"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.894</w:t>
            </w:r>
          </w:p>
        </w:tc>
      </w:tr>
      <w:tr w:rsidR="007066FD" w:rsidRPr="00CF31E0" w14:paraId="50485B9B" w14:textId="77777777" w:rsidTr="00CA1F5C">
        <w:trPr>
          <w:cantSplit/>
        </w:trPr>
        <w:tc>
          <w:tcPr>
            <w:tcW w:w="1736" w:type="dxa"/>
            <w:tcBorders>
              <w:top w:val="nil"/>
            </w:tcBorders>
            <w:shd w:val="clear" w:color="auto" w:fill="FFFFFF"/>
          </w:tcPr>
          <w:p w14:paraId="2461FE35" w14:textId="77777777" w:rsidR="007066FD" w:rsidRPr="00CF31E0" w:rsidRDefault="007066FD" w:rsidP="007066F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5E61F7C4"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963.298</w:t>
            </w:r>
          </w:p>
        </w:tc>
        <w:tc>
          <w:tcPr>
            <w:tcW w:w="820" w:type="dxa"/>
            <w:tcBorders>
              <w:top w:val="nil"/>
            </w:tcBorders>
            <w:shd w:val="clear" w:color="auto" w:fill="FFFFFF"/>
            <w:vAlign w:val="center"/>
          </w:tcPr>
          <w:p w14:paraId="6F6B031A" w14:textId="3CDB3C2C" w:rsidR="007066FD" w:rsidRPr="00CF31E0" w:rsidRDefault="00B045BE" w:rsidP="007066FD">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325</w:t>
            </w:r>
          </w:p>
        </w:tc>
        <w:tc>
          <w:tcPr>
            <w:tcW w:w="1445" w:type="dxa"/>
            <w:tcBorders>
              <w:top w:val="nil"/>
            </w:tcBorders>
            <w:shd w:val="clear" w:color="auto" w:fill="FFFFFF"/>
            <w:vAlign w:val="center"/>
          </w:tcPr>
          <w:p w14:paraId="7762E1AC"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1.489</w:t>
            </w:r>
          </w:p>
        </w:tc>
        <w:tc>
          <w:tcPr>
            <w:tcW w:w="1030" w:type="dxa"/>
            <w:tcBorders>
              <w:top w:val="nil"/>
            </w:tcBorders>
            <w:shd w:val="clear" w:color="auto" w:fill="FFFFFF"/>
            <w:vAlign w:val="center"/>
          </w:tcPr>
          <w:p w14:paraId="27786C9C"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51EB7084"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p>
        </w:tc>
      </w:tr>
      <w:tr w:rsidR="007066FD" w:rsidRPr="00CF31E0" w14:paraId="07263350" w14:textId="77777777" w:rsidTr="00CA1F5C">
        <w:trPr>
          <w:cantSplit/>
        </w:trPr>
        <w:tc>
          <w:tcPr>
            <w:tcW w:w="1736" w:type="dxa"/>
            <w:shd w:val="clear" w:color="auto" w:fill="FFFFFF"/>
          </w:tcPr>
          <w:p w14:paraId="02EF397B" w14:textId="77777777" w:rsidR="007066FD" w:rsidRPr="00CF31E0" w:rsidRDefault="007066FD" w:rsidP="007066F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2E7CD3F0"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963.325</w:t>
            </w:r>
          </w:p>
        </w:tc>
        <w:tc>
          <w:tcPr>
            <w:tcW w:w="820" w:type="dxa"/>
            <w:shd w:val="clear" w:color="auto" w:fill="FFFFFF"/>
            <w:vAlign w:val="center"/>
          </w:tcPr>
          <w:p w14:paraId="05DB7722" w14:textId="5A03499A" w:rsidR="007066FD" w:rsidRPr="00CF31E0" w:rsidRDefault="00B045BE" w:rsidP="007066FD">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326</w:t>
            </w:r>
          </w:p>
        </w:tc>
        <w:tc>
          <w:tcPr>
            <w:tcW w:w="1445" w:type="dxa"/>
            <w:shd w:val="clear" w:color="auto" w:fill="FFFFFF"/>
            <w:vAlign w:val="center"/>
          </w:tcPr>
          <w:p w14:paraId="4F760EC5"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7F2176FA"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41DE45BD"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p>
        </w:tc>
      </w:tr>
    </w:tbl>
    <w:p w14:paraId="1DD13E30" w14:textId="77777777" w:rsidR="007066FD" w:rsidRPr="00CF31E0" w:rsidRDefault="007066FD" w:rsidP="00603CB7">
      <w:pPr>
        <w:autoSpaceDE w:val="0"/>
        <w:autoSpaceDN w:val="0"/>
        <w:adjustRightInd w:val="0"/>
        <w:contextualSpacing/>
        <w:rPr>
          <w:rFonts w:eastAsia="MS Mincho"/>
          <w:color w:val="000000" w:themeColor="text1"/>
          <w:lang w:eastAsia="en-US"/>
        </w:rPr>
      </w:pPr>
    </w:p>
    <w:p w14:paraId="6D3B47B5" w14:textId="77777777" w:rsidR="007066FD" w:rsidRPr="00CF31E0" w:rsidRDefault="007066FD" w:rsidP="00603CB7">
      <w:pPr>
        <w:autoSpaceDE w:val="0"/>
        <w:autoSpaceDN w:val="0"/>
        <w:adjustRightInd w:val="0"/>
        <w:contextualSpacing/>
        <w:rPr>
          <w:rFonts w:eastAsia="MS Mincho"/>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7066FD" w:rsidRPr="00CF31E0" w14:paraId="2E57B475" w14:textId="77777777" w:rsidTr="00CA1F5C">
        <w:trPr>
          <w:cantSplit/>
        </w:trPr>
        <w:tc>
          <w:tcPr>
            <w:tcW w:w="7391" w:type="dxa"/>
            <w:gridSpan w:val="6"/>
            <w:tcBorders>
              <w:top w:val="single" w:sz="8" w:space="0" w:color="auto"/>
              <w:bottom w:val="single" w:sz="8" w:space="0" w:color="auto"/>
            </w:tcBorders>
            <w:shd w:val="clear" w:color="auto" w:fill="FFFFFF"/>
            <w:vAlign w:val="bottom"/>
          </w:tcPr>
          <w:p w14:paraId="287BBEE9" w14:textId="77777777" w:rsidR="007066FD" w:rsidRPr="00CF31E0" w:rsidRDefault="007066FD" w:rsidP="007066F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Modern factor (UBH dialect)</w:t>
            </w:r>
          </w:p>
        </w:tc>
      </w:tr>
      <w:tr w:rsidR="007066FD" w:rsidRPr="00CF31E0" w14:paraId="2B404D8E" w14:textId="77777777" w:rsidTr="00CA1F5C">
        <w:trPr>
          <w:cantSplit/>
        </w:trPr>
        <w:tc>
          <w:tcPr>
            <w:tcW w:w="1736" w:type="dxa"/>
            <w:tcBorders>
              <w:top w:val="single" w:sz="8" w:space="0" w:color="auto"/>
              <w:bottom w:val="single" w:sz="6" w:space="0" w:color="auto"/>
            </w:tcBorders>
            <w:shd w:val="clear" w:color="auto" w:fill="FFFFFF"/>
            <w:vAlign w:val="bottom"/>
          </w:tcPr>
          <w:p w14:paraId="75B2AEBD" w14:textId="77777777" w:rsidR="007066FD" w:rsidRPr="00CF31E0" w:rsidRDefault="007066FD" w:rsidP="007066F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Age</w:t>
            </w:r>
          </w:p>
        </w:tc>
        <w:tc>
          <w:tcPr>
            <w:tcW w:w="1686" w:type="dxa"/>
            <w:tcBorders>
              <w:top w:val="single" w:sz="8" w:space="0" w:color="auto"/>
              <w:bottom w:val="single" w:sz="6" w:space="0" w:color="auto"/>
            </w:tcBorders>
            <w:shd w:val="clear" w:color="auto" w:fill="FFFFFF"/>
            <w:vAlign w:val="bottom"/>
          </w:tcPr>
          <w:p w14:paraId="62E67860"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3EA4F47C"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59440B51"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22730D33"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32CE3126"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066FD" w:rsidRPr="00CF31E0" w14:paraId="1C026566" w14:textId="77777777" w:rsidTr="00CA1F5C">
        <w:trPr>
          <w:cantSplit/>
        </w:trPr>
        <w:tc>
          <w:tcPr>
            <w:tcW w:w="1736" w:type="dxa"/>
            <w:tcBorders>
              <w:top w:val="single" w:sz="6" w:space="0" w:color="auto"/>
              <w:bottom w:val="nil"/>
            </w:tcBorders>
            <w:shd w:val="clear" w:color="auto" w:fill="FFFFFF"/>
          </w:tcPr>
          <w:p w14:paraId="5CEC16C1" w14:textId="77777777" w:rsidR="007066FD" w:rsidRPr="00CF31E0" w:rsidRDefault="007066FD" w:rsidP="007066F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6831BF9B"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2.546</w:t>
            </w:r>
          </w:p>
        </w:tc>
        <w:tc>
          <w:tcPr>
            <w:tcW w:w="820" w:type="dxa"/>
            <w:tcBorders>
              <w:top w:val="single" w:sz="6" w:space="0" w:color="auto"/>
              <w:bottom w:val="nil"/>
            </w:tcBorders>
            <w:shd w:val="clear" w:color="auto" w:fill="FFFFFF"/>
            <w:vAlign w:val="center"/>
          </w:tcPr>
          <w:p w14:paraId="579080D0"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5</w:t>
            </w:r>
          </w:p>
        </w:tc>
        <w:tc>
          <w:tcPr>
            <w:tcW w:w="1445" w:type="dxa"/>
            <w:tcBorders>
              <w:top w:val="single" w:sz="6" w:space="0" w:color="auto"/>
              <w:bottom w:val="nil"/>
            </w:tcBorders>
            <w:shd w:val="clear" w:color="auto" w:fill="FFFFFF"/>
            <w:vAlign w:val="center"/>
          </w:tcPr>
          <w:p w14:paraId="5DAA8DCB"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.509</w:t>
            </w:r>
          </w:p>
        </w:tc>
        <w:tc>
          <w:tcPr>
            <w:tcW w:w="1030" w:type="dxa"/>
            <w:tcBorders>
              <w:top w:val="single" w:sz="6" w:space="0" w:color="auto"/>
              <w:bottom w:val="nil"/>
            </w:tcBorders>
            <w:shd w:val="clear" w:color="auto" w:fill="FFFFFF"/>
            <w:vAlign w:val="center"/>
          </w:tcPr>
          <w:p w14:paraId="730E839A"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.340</w:t>
            </w:r>
          </w:p>
        </w:tc>
        <w:tc>
          <w:tcPr>
            <w:tcW w:w="674" w:type="dxa"/>
            <w:tcBorders>
              <w:top w:val="single" w:sz="6" w:space="0" w:color="auto"/>
              <w:bottom w:val="nil"/>
            </w:tcBorders>
            <w:shd w:val="clear" w:color="auto" w:fill="FFFFFF"/>
            <w:vAlign w:val="center"/>
          </w:tcPr>
          <w:p w14:paraId="0EDBA981"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.889</w:t>
            </w:r>
          </w:p>
        </w:tc>
      </w:tr>
      <w:tr w:rsidR="007066FD" w:rsidRPr="00CF31E0" w14:paraId="6BE364B2" w14:textId="77777777" w:rsidTr="00CA1F5C">
        <w:trPr>
          <w:cantSplit/>
        </w:trPr>
        <w:tc>
          <w:tcPr>
            <w:tcW w:w="1736" w:type="dxa"/>
            <w:tcBorders>
              <w:top w:val="nil"/>
            </w:tcBorders>
            <w:shd w:val="clear" w:color="auto" w:fill="FFFFFF"/>
          </w:tcPr>
          <w:p w14:paraId="22F8C1FD" w14:textId="77777777" w:rsidR="007066FD" w:rsidRPr="00CF31E0" w:rsidRDefault="007066FD" w:rsidP="007066F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3C36C8C6"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959.411</w:t>
            </w:r>
          </w:p>
        </w:tc>
        <w:tc>
          <w:tcPr>
            <w:tcW w:w="820" w:type="dxa"/>
            <w:tcBorders>
              <w:top w:val="nil"/>
            </w:tcBorders>
            <w:shd w:val="clear" w:color="auto" w:fill="FFFFFF"/>
            <w:vAlign w:val="center"/>
          </w:tcPr>
          <w:p w14:paraId="1CC120CF" w14:textId="7956D3F6" w:rsidR="007066FD" w:rsidRPr="00CF31E0" w:rsidRDefault="00B045BE" w:rsidP="007066FD">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321</w:t>
            </w:r>
          </w:p>
        </w:tc>
        <w:tc>
          <w:tcPr>
            <w:tcW w:w="1445" w:type="dxa"/>
            <w:tcBorders>
              <w:top w:val="nil"/>
            </w:tcBorders>
            <w:shd w:val="clear" w:color="auto" w:fill="FFFFFF"/>
            <w:vAlign w:val="center"/>
          </w:tcPr>
          <w:p w14:paraId="3814669D"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1.497</w:t>
            </w:r>
          </w:p>
        </w:tc>
        <w:tc>
          <w:tcPr>
            <w:tcW w:w="1030" w:type="dxa"/>
            <w:tcBorders>
              <w:top w:val="nil"/>
            </w:tcBorders>
            <w:shd w:val="clear" w:color="auto" w:fill="FFFFFF"/>
            <w:vAlign w:val="center"/>
          </w:tcPr>
          <w:p w14:paraId="01B15E78"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0C81D55F"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p>
        </w:tc>
      </w:tr>
      <w:tr w:rsidR="007066FD" w:rsidRPr="00CF31E0" w14:paraId="49880A52" w14:textId="77777777" w:rsidTr="00CA1F5C">
        <w:trPr>
          <w:cantSplit/>
        </w:trPr>
        <w:tc>
          <w:tcPr>
            <w:tcW w:w="1736" w:type="dxa"/>
            <w:shd w:val="clear" w:color="auto" w:fill="FFFFFF"/>
          </w:tcPr>
          <w:p w14:paraId="0D9AE091" w14:textId="77777777" w:rsidR="007066FD" w:rsidRPr="00CF31E0" w:rsidRDefault="007066FD" w:rsidP="007066F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09A5D20D"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961.957</w:t>
            </w:r>
          </w:p>
        </w:tc>
        <w:tc>
          <w:tcPr>
            <w:tcW w:w="820" w:type="dxa"/>
            <w:shd w:val="clear" w:color="auto" w:fill="FFFFFF"/>
            <w:vAlign w:val="center"/>
          </w:tcPr>
          <w:p w14:paraId="3977F91E" w14:textId="619ED948" w:rsidR="007066FD" w:rsidRPr="00CF31E0" w:rsidRDefault="00B045BE" w:rsidP="007066FD">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326</w:t>
            </w:r>
          </w:p>
        </w:tc>
        <w:tc>
          <w:tcPr>
            <w:tcW w:w="1445" w:type="dxa"/>
            <w:shd w:val="clear" w:color="auto" w:fill="FFFFFF"/>
            <w:vAlign w:val="center"/>
          </w:tcPr>
          <w:p w14:paraId="4A9CB6CF"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791E04E7"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0FAF0CBB" w14:textId="77777777" w:rsidR="007066FD" w:rsidRPr="00CF31E0" w:rsidRDefault="007066FD" w:rsidP="007066FD">
            <w:pPr>
              <w:spacing w:before="120" w:after="120" w:line="360" w:lineRule="auto"/>
              <w:jc w:val="right"/>
              <w:rPr>
                <w:rFonts w:eastAsia="Calibri" w:cs="Arial"/>
                <w:color w:val="000000" w:themeColor="text1"/>
                <w:sz w:val="22"/>
                <w:szCs w:val="22"/>
                <w:lang w:eastAsia="en-US"/>
              </w:rPr>
            </w:pPr>
          </w:p>
        </w:tc>
      </w:tr>
    </w:tbl>
    <w:p w14:paraId="38651177" w14:textId="77777777" w:rsidR="007066FD" w:rsidRPr="00CF31E0" w:rsidRDefault="007066FD" w:rsidP="00603CB7">
      <w:pPr>
        <w:autoSpaceDE w:val="0"/>
        <w:autoSpaceDN w:val="0"/>
        <w:adjustRightInd w:val="0"/>
        <w:contextualSpacing/>
        <w:rPr>
          <w:rFonts w:eastAsia="MS Mincho"/>
          <w:color w:val="000000" w:themeColor="text1"/>
          <w:lang w:eastAsia="en-US"/>
        </w:rPr>
      </w:pPr>
    </w:p>
    <w:p w14:paraId="12DC7781" w14:textId="77777777" w:rsidR="00EB50E5" w:rsidRPr="00CF31E0" w:rsidRDefault="00EB50E5" w:rsidP="00603CB7">
      <w:pPr>
        <w:autoSpaceDE w:val="0"/>
        <w:autoSpaceDN w:val="0"/>
        <w:adjustRightInd w:val="0"/>
        <w:contextualSpacing/>
        <w:rPr>
          <w:rFonts w:eastAsia="MS Mincho"/>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A1F5C" w:rsidRPr="00CF31E0" w14:paraId="7571A46C" w14:textId="77777777" w:rsidTr="00CA1F5C">
        <w:trPr>
          <w:cantSplit/>
        </w:trPr>
        <w:tc>
          <w:tcPr>
            <w:tcW w:w="7391" w:type="dxa"/>
            <w:gridSpan w:val="6"/>
            <w:tcBorders>
              <w:top w:val="single" w:sz="8" w:space="0" w:color="auto"/>
              <w:bottom w:val="single" w:sz="8" w:space="0" w:color="auto"/>
            </w:tcBorders>
            <w:shd w:val="clear" w:color="auto" w:fill="FFFFFF"/>
            <w:vAlign w:val="bottom"/>
          </w:tcPr>
          <w:p w14:paraId="69582433"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Modern factor (UBH dialect)</w:t>
            </w:r>
          </w:p>
        </w:tc>
      </w:tr>
      <w:tr w:rsidR="00CA1F5C" w:rsidRPr="00CF31E0" w14:paraId="3B06B6CA" w14:textId="77777777" w:rsidTr="00CA1F5C">
        <w:trPr>
          <w:cantSplit/>
        </w:trPr>
        <w:tc>
          <w:tcPr>
            <w:tcW w:w="1736" w:type="dxa"/>
            <w:tcBorders>
              <w:top w:val="single" w:sz="8" w:space="0" w:color="auto"/>
              <w:bottom w:val="single" w:sz="6" w:space="0" w:color="auto"/>
            </w:tcBorders>
            <w:shd w:val="clear" w:color="auto" w:fill="FFFFFF"/>
            <w:vAlign w:val="bottom"/>
          </w:tcPr>
          <w:p w14:paraId="23BDB2A8"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 of birth</w:t>
            </w:r>
          </w:p>
        </w:tc>
        <w:tc>
          <w:tcPr>
            <w:tcW w:w="1686" w:type="dxa"/>
            <w:tcBorders>
              <w:top w:val="single" w:sz="8" w:space="0" w:color="auto"/>
              <w:bottom w:val="single" w:sz="6" w:space="0" w:color="auto"/>
            </w:tcBorders>
            <w:shd w:val="clear" w:color="auto" w:fill="FFFFFF"/>
            <w:vAlign w:val="bottom"/>
          </w:tcPr>
          <w:p w14:paraId="3F7B8E67"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0212E82D"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2A61C943"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0472CAB0"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42D68706"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A1F5C" w:rsidRPr="00CF31E0" w14:paraId="6F1CFE93" w14:textId="77777777" w:rsidTr="00CA1F5C">
        <w:trPr>
          <w:cantSplit/>
        </w:trPr>
        <w:tc>
          <w:tcPr>
            <w:tcW w:w="1736" w:type="dxa"/>
            <w:tcBorders>
              <w:top w:val="single" w:sz="6" w:space="0" w:color="auto"/>
              <w:bottom w:val="nil"/>
            </w:tcBorders>
            <w:shd w:val="clear" w:color="auto" w:fill="FFFFFF"/>
          </w:tcPr>
          <w:p w14:paraId="0B9F3369"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7583F651"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.057</w:t>
            </w:r>
          </w:p>
        </w:tc>
        <w:tc>
          <w:tcPr>
            <w:tcW w:w="820" w:type="dxa"/>
            <w:tcBorders>
              <w:top w:val="single" w:sz="6" w:space="0" w:color="auto"/>
              <w:bottom w:val="nil"/>
            </w:tcBorders>
            <w:shd w:val="clear" w:color="auto" w:fill="FFFFFF"/>
            <w:vAlign w:val="center"/>
          </w:tcPr>
          <w:p w14:paraId="628D83F3"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w:t>
            </w:r>
          </w:p>
        </w:tc>
        <w:tc>
          <w:tcPr>
            <w:tcW w:w="1445" w:type="dxa"/>
            <w:tcBorders>
              <w:top w:val="single" w:sz="6" w:space="0" w:color="auto"/>
              <w:bottom w:val="nil"/>
            </w:tcBorders>
            <w:shd w:val="clear" w:color="auto" w:fill="FFFFFF"/>
            <w:vAlign w:val="center"/>
          </w:tcPr>
          <w:p w14:paraId="6A0BEB26"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.057</w:t>
            </w:r>
          </w:p>
        </w:tc>
        <w:tc>
          <w:tcPr>
            <w:tcW w:w="1030" w:type="dxa"/>
            <w:tcBorders>
              <w:top w:val="single" w:sz="6" w:space="0" w:color="auto"/>
              <w:bottom w:val="nil"/>
            </w:tcBorders>
            <w:shd w:val="clear" w:color="auto" w:fill="FFFFFF"/>
            <w:vAlign w:val="center"/>
          </w:tcPr>
          <w:p w14:paraId="664903E4"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.039</w:t>
            </w:r>
          </w:p>
        </w:tc>
        <w:tc>
          <w:tcPr>
            <w:tcW w:w="674" w:type="dxa"/>
            <w:tcBorders>
              <w:top w:val="single" w:sz="6" w:space="0" w:color="auto"/>
              <w:bottom w:val="nil"/>
            </w:tcBorders>
            <w:shd w:val="clear" w:color="auto" w:fill="FFFFFF"/>
            <w:vAlign w:val="center"/>
          </w:tcPr>
          <w:p w14:paraId="1A274208"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.844</w:t>
            </w:r>
          </w:p>
        </w:tc>
      </w:tr>
      <w:tr w:rsidR="00CA1F5C" w:rsidRPr="00CF31E0" w14:paraId="35A04E5D" w14:textId="77777777" w:rsidTr="00CA1F5C">
        <w:trPr>
          <w:cantSplit/>
        </w:trPr>
        <w:tc>
          <w:tcPr>
            <w:tcW w:w="1736" w:type="dxa"/>
            <w:tcBorders>
              <w:top w:val="nil"/>
            </w:tcBorders>
            <w:shd w:val="clear" w:color="auto" w:fill="FFFFFF"/>
          </w:tcPr>
          <w:p w14:paraId="465F4D28"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511FC5D5"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963.268</w:t>
            </w:r>
          </w:p>
        </w:tc>
        <w:tc>
          <w:tcPr>
            <w:tcW w:w="820" w:type="dxa"/>
            <w:tcBorders>
              <w:top w:val="nil"/>
            </w:tcBorders>
            <w:shd w:val="clear" w:color="auto" w:fill="FFFFFF"/>
            <w:vAlign w:val="center"/>
          </w:tcPr>
          <w:p w14:paraId="4AF54F19" w14:textId="22964EE5"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325</w:t>
            </w:r>
          </w:p>
        </w:tc>
        <w:tc>
          <w:tcPr>
            <w:tcW w:w="1445" w:type="dxa"/>
            <w:tcBorders>
              <w:top w:val="nil"/>
            </w:tcBorders>
            <w:shd w:val="clear" w:color="auto" w:fill="FFFFFF"/>
            <w:vAlign w:val="center"/>
          </w:tcPr>
          <w:p w14:paraId="3FE8604D"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1.489</w:t>
            </w:r>
          </w:p>
        </w:tc>
        <w:tc>
          <w:tcPr>
            <w:tcW w:w="1030" w:type="dxa"/>
            <w:tcBorders>
              <w:top w:val="nil"/>
            </w:tcBorders>
            <w:shd w:val="clear" w:color="auto" w:fill="FFFFFF"/>
            <w:vAlign w:val="center"/>
          </w:tcPr>
          <w:p w14:paraId="50C34B3B"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6F29E76E"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r w:rsidR="00CA1F5C" w:rsidRPr="00CF31E0" w14:paraId="01AA044F" w14:textId="77777777" w:rsidTr="00CA1F5C">
        <w:trPr>
          <w:cantSplit/>
        </w:trPr>
        <w:tc>
          <w:tcPr>
            <w:tcW w:w="1736" w:type="dxa"/>
            <w:shd w:val="clear" w:color="auto" w:fill="FFFFFF"/>
          </w:tcPr>
          <w:p w14:paraId="61EB12BC"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123AA50B"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963.325</w:t>
            </w:r>
          </w:p>
        </w:tc>
        <w:tc>
          <w:tcPr>
            <w:tcW w:w="820" w:type="dxa"/>
            <w:shd w:val="clear" w:color="auto" w:fill="FFFFFF"/>
            <w:vAlign w:val="center"/>
          </w:tcPr>
          <w:p w14:paraId="6EDA5C4D" w14:textId="2A59913A"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326</w:t>
            </w:r>
          </w:p>
        </w:tc>
        <w:tc>
          <w:tcPr>
            <w:tcW w:w="1445" w:type="dxa"/>
            <w:shd w:val="clear" w:color="auto" w:fill="FFFFFF"/>
            <w:vAlign w:val="center"/>
          </w:tcPr>
          <w:p w14:paraId="4A13F6D9"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7AF1CCD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294CC839"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bl>
    <w:p w14:paraId="3C662FB6" w14:textId="77777777" w:rsidR="007066FD" w:rsidRPr="00CF31E0" w:rsidRDefault="007066FD" w:rsidP="00603CB7">
      <w:pPr>
        <w:autoSpaceDE w:val="0"/>
        <w:autoSpaceDN w:val="0"/>
        <w:adjustRightInd w:val="0"/>
        <w:contextualSpacing/>
        <w:rPr>
          <w:rFonts w:eastAsia="MS Mincho"/>
          <w:color w:val="000000" w:themeColor="text1"/>
          <w:lang w:eastAsia="en-US"/>
        </w:rPr>
      </w:pPr>
    </w:p>
    <w:p w14:paraId="02E2D11F" w14:textId="77777777" w:rsidR="00C73201" w:rsidRPr="00CF31E0" w:rsidRDefault="00C73201" w:rsidP="00603CB7">
      <w:pPr>
        <w:autoSpaceDE w:val="0"/>
        <w:autoSpaceDN w:val="0"/>
        <w:adjustRightInd w:val="0"/>
        <w:contextualSpacing/>
        <w:rPr>
          <w:rFonts w:eastAsia="MS Mincho"/>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A1F5C" w:rsidRPr="00CF31E0" w14:paraId="68425DB0" w14:textId="77777777" w:rsidTr="00CA1F5C">
        <w:trPr>
          <w:cantSplit/>
        </w:trPr>
        <w:tc>
          <w:tcPr>
            <w:tcW w:w="7391" w:type="dxa"/>
            <w:gridSpan w:val="6"/>
            <w:tcBorders>
              <w:top w:val="single" w:sz="8" w:space="0" w:color="auto"/>
              <w:bottom w:val="single" w:sz="8" w:space="0" w:color="auto"/>
            </w:tcBorders>
            <w:shd w:val="clear" w:color="auto" w:fill="FFFFFF"/>
            <w:vAlign w:val="bottom"/>
          </w:tcPr>
          <w:p w14:paraId="15A7FA84"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Modern factor (UBH dialect)</w:t>
            </w:r>
          </w:p>
        </w:tc>
      </w:tr>
      <w:tr w:rsidR="00CA1F5C" w:rsidRPr="00CF31E0" w14:paraId="528F0DBE" w14:textId="77777777" w:rsidTr="00CA1F5C">
        <w:trPr>
          <w:cantSplit/>
        </w:trPr>
        <w:tc>
          <w:tcPr>
            <w:tcW w:w="1736" w:type="dxa"/>
            <w:tcBorders>
              <w:top w:val="single" w:sz="8" w:space="0" w:color="auto"/>
              <w:bottom w:val="single" w:sz="6" w:space="0" w:color="auto"/>
            </w:tcBorders>
            <w:shd w:val="clear" w:color="auto" w:fill="FFFFFF"/>
            <w:vAlign w:val="bottom"/>
          </w:tcPr>
          <w:p w14:paraId="55110A91"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Places lived</w:t>
            </w:r>
          </w:p>
        </w:tc>
        <w:tc>
          <w:tcPr>
            <w:tcW w:w="1686" w:type="dxa"/>
            <w:tcBorders>
              <w:top w:val="single" w:sz="8" w:space="0" w:color="auto"/>
              <w:bottom w:val="single" w:sz="6" w:space="0" w:color="auto"/>
            </w:tcBorders>
            <w:shd w:val="clear" w:color="auto" w:fill="FFFFFF"/>
            <w:vAlign w:val="bottom"/>
          </w:tcPr>
          <w:p w14:paraId="09CF5085"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7150AABF"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3EB35693"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010D228B"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6FF2D981"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A1F5C" w:rsidRPr="00CF31E0" w14:paraId="496B6280" w14:textId="77777777" w:rsidTr="00CA1F5C">
        <w:trPr>
          <w:cantSplit/>
        </w:trPr>
        <w:tc>
          <w:tcPr>
            <w:tcW w:w="1736" w:type="dxa"/>
            <w:tcBorders>
              <w:top w:val="single" w:sz="6" w:space="0" w:color="auto"/>
              <w:bottom w:val="nil"/>
            </w:tcBorders>
            <w:shd w:val="clear" w:color="auto" w:fill="FFFFFF"/>
          </w:tcPr>
          <w:p w14:paraId="550F1C32"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3FB992C4"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3.377</w:t>
            </w:r>
          </w:p>
        </w:tc>
        <w:tc>
          <w:tcPr>
            <w:tcW w:w="820" w:type="dxa"/>
            <w:tcBorders>
              <w:top w:val="single" w:sz="6" w:space="0" w:color="auto"/>
              <w:bottom w:val="nil"/>
            </w:tcBorders>
            <w:shd w:val="clear" w:color="auto" w:fill="FFFFFF"/>
            <w:vAlign w:val="center"/>
          </w:tcPr>
          <w:p w14:paraId="4D40328F"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w:t>
            </w:r>
          </w:p>
        </w:tc>
        <w:tc>
          <w:tcPr>
            <w:tcW w:w="1445" w:type="dxa"/>
            <w:tcBorders>
              <w:top w:val="single" w:sz="6" w:space="0" w:color="auto"/>
              <w:bottom w:val="nil"/>
            </w:tcBorders>
            <w:shd w:val="clear" w:color="auto" w:fill="FFFFFF"/>
            <w:vAlign w:val="center"/>
          </w:tcPr>
          <w:p w14:paraId="32E06B1F"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3.377</w:t>
            </w:r>
          </w:p>
        </w:tc>
        <w:tc>
          <w:tcPr>
            <w:tcW w:w="1030" w:type="dxa"/>
            <w:tcBorders>
              <w:top w:val="single" w:sz="6" w:space="0" w:color="auto"/>
              <w:bottom w:val="nil"/>
            </w:tcBorders>
            <w:shd w:val="clear" w:color="auto" w:fill="FFFFFF"/>
            <w:vAlign w:val="center"/>
          </w:tcPr>
          <w:p w14:paraId="667A4F90"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2.273</w:t>
            </w:r>
          </w:p>
        </w:tc>
        <w:tc>
          <w:tcPr>
            <w:tcW w:w="674" w:type="dxa"/>
            <w:tcBorders>
              <w:top w:val="single" w:sz="6" w:space="0" w:color="auto"/>
              <w:bottom w:val="nil"/>
            </w:tcBorders>
            <w:shd w:val="clear" w:color="auto" w:fill="FFFFFF"/>
            <w:vAlign w:val="center"/>
          </w:tcPr>
          <w:p w14:paraId="7D4B3634"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.132</w:t>
            </w:r>
          </w:p>
        </w:tc>
      </w:tr>
      <w:tr w:rsidR="00CA1F5C" w:rsidRPr="00CF31E0" w14:paraId="16E2632B" w14:textId="77777777" w:rsidTr="00CA1F5C">
        <w:trPr>
          <w:cantSplit/>
        </w:trPr>
        <w:tc>
          <w:tcPr>
            <w:tcW w:w="1736" w:type="dxa"/>
            <w:tcBorders>
              <w:top w:val="nil"/>
            </w:tcBorders>
            <w:shd w:val="clear" w:color="auto" w:fill="FFFFFF"/>
          </w:tcPr>
          <w:p w14:paraId="37AE9AD9"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40774236"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855.815</w:t>
            </w:r>
          </w:p>
        </w:tc>
        <w:tc>
          <w:tcPr>
            <w:tcW w:w="820" w:type="dxa"/>
            <w:tcBorders>
              <w:top w:val="nil"/>
            </w:tcBorders>
            <w:shd w:val="clear" w:color="auto" w:fill="FFFFFF"/>
            <w:vAlign w:val="center"/>
          </w:tcPr>
          <w:p w14:paraId="3A33E11E" w14:textId="300A836B"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325</w:t>
            </w:r>
          </w:p>
        </w:tc>
        <w:tc>
          <w:tcPr>
            <w:tcW w:w="1445" w:type="dxa"/>
            <w:tcBorders>
              <w:top w:val="nil"/>
            </w:tcBorders>
            <w:shd w:val="clear" w:color="auto" w:fill="FFFFFF"/>
            <w:vAlign w:val="center"/>
          </w:tcPr>
          <w:p w14:paraId="73500B05"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1.486</w:t>
            </w:r>
          </w:p>
        </w:tc>
        <w:tc>
          <w:tcPr>
            <w:tcW w:w="1030" w:type="dxa"/>
            <w:tcBorders>
              <w:top w:val="nil"/>
            </w:tcBorders>
            <w:shd w:val="clear" w:color="auto" w:fill="FFFFFF"/>
            <w:vAlign w:val="center"/>
          </w:tcPr>
          <w:p w14:paraId="60C3B7D3"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4F7000F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r w:rsidR="00CA1F5C" w:rsidRPr="00CF31E0" w14:paraId="6304CA46" w14:textId="77777777" w:rsidTr="00CA1F5C">
        <w:trPr>
          <w:cantSplit/>
        </w:trPr>
        <w:tc>
          <w:tcPr>
            <w:tcW w:w="1736" w:type="dxa"/>
            <w:shd w:val="clear" w:color="auto" w:fill="FFFFFF"/>
          </w:tcPr>
          <w:p w14:paraId="06033520"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419D18F"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859.192</w:t>
            </w:r>
          </w:p>
        </w:tc>
        <w:tc>
          <w:tcPr>
            <w:tcW w:w="820" w:type="dxa"/>
            <w:shd w:val="clear" w:color="auto" w:fill="FFFFFF"/>
            <w:vAlign w:val="center"/>
          </w:tcPr>
          <w:p w14:paraId="2D8938FC" w14:textId="4696D218"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326</w:t>
            </w:r>
          </w:p>
        </w:tc>
        <w:tc>
          <w:tcPr>
            <w:tcW w:w="1445" w:type="dxa"/>
            <w:shd w:val="clear" w:color="auto" w:fill="FFFFFF"/>
            <w:vAlign w:val="center"/>
          </w:tcPr>
          <w:p w14:paraId="045BF3D1"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56A54B5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1E489EE7"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bl>
    <w:p w14:paraId="5D04C123" w14:textId="77777777" w:rsidR="002F74EA" w:rsidRPr="00CF31E0" w:rsidRDefault="002F74EA" w:rsidP="00B57389">
      <w:pPr>
        <w:rPr>
          <w:color w:val="000000" w:themeColor="text1"/>
          <w:lang w:eastAsia="en-US"/>
        </w:rPr>
      </w:pPr>
    </w:p>
    <w:p w14:paraId="2210499E" w14:textId="77777777" w:rsidR="00CA1F5C" w:rsidRPr="00CF31E0" w:rsidRDefault="00CA1F5C"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A1F5C" w:rsidRPr="00CF31E0" w14:paraId="42675863" w14:textId="77777777" w:rsidTr="00CA1F5C">
        <w:trPr>
          <w:cantSplit/>
        </w:trPr>
        <w:tc>
          <w:tcPr>
            <w:tcW w:w="7391" w:type="dxa"/>
            <w:gridSpan w:val="6"/>
            <w:tcBorders>
              <w:top w:val="single" w:sz="8" w:space="0" w:color="auto"/>
              <w:bottom w:val="single" w:sz="8" w:space="0" w:color="auto"/>
            </w:tcBorders>
            <w:shd w:val="clear" w:color="auto" w:fill="FFFFFF"/>
            <w:vAlign w:val="bottom"/>
          </w:tcPr>
          <w:p w14:paraId="3A53F83F"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Modern factor (UBH dialect)</w:t>
            </w:r>
          </w:p>
        </w:tc>
      </w:tr>
      <w:tr w:rsidR="00CA1F5C" w:rsidRPr="00CF31E0" w14:paraId="646F80C6" w14:textId="77777777" w:rsidTr="00CA1F5C">
        <w:trPr>
          <w:cantSplit/>
        </w:trPr>
        <w:tc>
          <w:tcPr>
            <w:tcW w:w="1736" w:type="dxa"/>
            <w:tcBorders>
              <w:top w:val="single" w:sz="8" w:space="0" w:color="auto"/>
              <w:bottom w:val="single" w:sz="6" w:space="0" w:color="auto"/>
            </w:tcBorders>
            <w:shd w:val="clear" w:color="auto" w:fill="FFFFFF"/>
            <w:vAlign w:val="bottom"/>
          </w:tcPr>
          <w:p w14:paraId="11B69D18"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Marital status</w:t>
            </w:r>
          </w:p>
        </w:tc>
        <w:tc>
          <w:tcPr>
            <w:tcW w:w="1686" w:type="dxa"/>
            <w:tcBorders>
              <w:top w:val="single" w:sz="8" w:space="0" w:color="auto"/>
              <w:bottom w:val="single" w:sz="6" w:space="0" w:color="auto"/>
            </w:tcBorders>
            <w:shd w:val="clear" w:color="auto" w:fill="FFFFFF"/>
            <w:vAlign w:val="bottom"/>
          </w:tcPr>
          <w:p w14:paraId="25B54E01"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377E3D41"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0100A5A2"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10DEE21D"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51953718"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A1F5C" w:rsidRPr="00CF31E0" w14:paraId="5E6EBE31" w14:textId="77777777" w:rsidTr="00CA1F5C">
        <w:trPr>
          <w:cantSplit/>
        </w:trPr>
        <w:tc>
          <w:tcPr>
            <w:tcW w:w="1736" w:type="dxa"/>
            <w:tcBorders>
              <w:top w:val="single" w:sz="6" w:space="0" w:color="auto"/>
              <w:bottom w:val="nil"/>
            </w:tcBorders>
            <w:shd w:val="clear" w:color="auto" w:fill="FFFFFF"/>
          </w:tcPr>
          <w:p w14:paraId="24AC277D"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7B73AE0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1.875</w:t>
            </w:r>
          </w:p>
        </w:tc>
        <w:tc>
          <w:tcPr>
            <w:tcW w:w="820" w:type="dxa"/>
            <w:tcBorders>
              <w:top w:val="single" w:sz="6" w:space="0" w:color="auto"/>
              <w:bottom w:val="nil"/>
            </w:tcBorders>
            <w:shd w:val="clear" w:color="auto" w:fill="FFFFFF"/>
            <w:vAlign w:val="center"/>
          </w:tcPr>
          <w:p w14:paraId="1FE8A85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w:t>
            </w:r>
          </w:p>
        </w:tc>
        <w:tc>
          <w:tcPr>
            <w:tcW w:w="1445" w:type="dxa"/>
            <w:tcBorders>
              <w:top w:val="single" w:sz="6" w:space="0" w:color="auto"/>
              <w:bottom w:val="nil"/>
            </w:tcBorders>
            <w:shd w:val="clear" w:color="auto" w:fill="FFFFFF"/>
            <w:vAlign w:val="center"/>
          </w:tcPr>
          <w:p w14:paraId="3B8F3BC5"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.625</w:t>
            </w:r>
          </w:p>
        </w:tc>
        <w:tc>
          <w:tcPr>
            <w:tcW w:w="1030" w:type="dxa"/>
            <w:tcBorders>
              <w:top w:val="single" w:sz="6" w:space="0" w:color="auto"/>
              <w:bottom w:val="nil"/>
            </w:tcBorders>
            <w:shd w:val="clear" w:color="auto" w:fill="FFFFFF"/>
            <w:vAlign w:val="center"/>
          </w:tcPr>
          <w:p w14:paraId="00F4BB74"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.419</w:t>
            </w:r>
          </w:p>
        </w:tc>
        <w:tc>
          <w:tcPr>
            <w:tcW w:w="674" w:type="dxa"/>
            <w:tcBorders>
              <w:top w:val="single" w:sz="6" w:space="0" w:color="auto"/>
              <w:bottom w:val="nil"/>
            </w:tcBorders>
            <w:shd w:val="clear" w:color="auto" w:fill="FFFFFF"/>
            <w:vAlign w:val="center"/>
          </w:tcPr>
          <w:p w14:paraId="47C7FE2C"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.739</w:t>
            </w:r>
          </w:p>
        </w:tc>
      </w:tr>
      <w:tr w:rsidR="00CA1F5C" w:rsidRPr="00CF31E0" w14:paraId="73DAA0CF" w14:textId="77777777" w:rsidTr="00CA1F5C">
        <w:trPr>
          <w:cantSplit/>
        </w:trPr>
        <w:tc>
          <w:tcPr>
            <w:tcW w:w="1736" w:type="dxa"/>
            <w:tcBorders>
              <w:top w:val="nil"/>
            </w:tcBorders>
            <w:shd w:val="clear" w:color="auto" w:fill="FFFFFF"/>
          </w:tcPr>
          <w:p w14:paraId="59834BCB"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1CFF9D77"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961.450</w:t>
            </w:r>
          </w:p>
        </w:tc>
        <w:tc>
          <w:tcPr>
            <w:tcW w:w="820" w:type="dxa"/>
            <w:tcBorders>
              <w:top w:val="nil"/>
            </w:tcBorders>
            <w:shd w:val="clear" w:color="auto" w:fill="FFFFFF"/>
            <w:vAlign w:val="center"/>
          </w:tcPr>
          <w:p w14:paraId="1548953B" w14:textId="7C6A2785"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323</w:t>
            </w:r>
          </w:p>
        </w:tc>
        <w:tc>
          <w:tcPr>
            <w:tcW w:w="1445" w:type="dxa"/>
            <w:tcBorders>
              <w:top w:val="nil"/>
            </w:tcBorders>
            <w:shd w:val="clear" w:color="auto" w:fill="FFFFFF"/>
            <w:vAlign w:val="center"/>
          </w:tcPr>
          <w:p w14:paraId="1C91B85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1.491</w:t>
            </w:r>
          </w:p>
        </w:tc>
        <w:tc>
          <w:tcPr>
            <w:tcW w:w="1030" w:type="dxa"/>
            <w:tcBorders>
              <w:top w:val="nil"/>
            </w:tcBorders>
            <w:shd w:val="clear" w:color="auto" w:fill="FFFFFF"/>
            <w:vAlign w:val="center"/>
          </w:tcPr>
          <w:p w14:paraId="1D5A05D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219F35AB"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r w:rsidR="00CA1F5C" w:rsidRPr="00CF31E0" w14:paraId="2F9AF255" w14:textId="77777777" w:rsidTr="00CA1F5C">
        <w:trPr>
          <w:cantSplit/>
        </w:trPr>
        <w:tc>
          <w:tcPr>
            <w:tcW w:w="1736" w:type="dxa"/>
            <w:shd w:val="clear" w:color="auto" w:fill="FFFFFF"/>
          </w:tcPr>
          <w:p w14:paraId="25580E2D"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Total</w:t>
            </w:r>
          </w:p>
        </w:tc>
        <w:tc>
          <w:tcPr>
            <w:tcW w:w="1686" w:type="dxa"/>
            <w:shd w:val="clear" w:color="auto" w:fill="FFFFFF"/>
            <w:vAlign w:val="center"/>
          </w:tcPr>
          <w:p w14:paraId="3E249A42"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963.325</w:t>
            </w:r>
          </w:p>
        </w:tc>
        <w:tc>
          <w:tcPr>
            <w:tcW w:w="820" w:type="dxa"/>
            <w:shd w:val="clear" w:color="auto" w:fill="FFFFFF"/>
            <w:vAlign w:val="center"/>
          </w:tcPr>
          <w:p w14:paraId="1D3E9B83" w14:textId="4BB85B1F"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326</w:t>
            </w:r>
          </w:p>
        </w:tc>
        <w:tc>
          <w:tcPr>
            <w:tcW w:w="1445" w:type="dxa"/>
            <w:shd w:val="clear" w:color="auto" w:fill="FFFFFF"/>
            <w:vAlign w:val="center"/>
          </w:tcPr>
          <w:p w14:paraId="05E0B9A6"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193ECC9B"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193C0BBC"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bl>
    <w:p w14:paraId="7E732B3C" w14:textId="77777777" w:rsidR="00CA1F5C" w:rsidRPr="00CF31E0" w:rsidRDefault="00CA1F5C" w:rsidP="00B57389">
      <w:pPr>
        <w:rPr>
          <w:color w:val="000000" w:themeColor="text1"/>
          <w:lang w:eastAsia="en-US"/>
        </w:rPr>
      </w:pPr>
    </w:p>
    <w:p w14:paraId="3F6D1B23" w14:textId="77777777" w:rsidR="00EB50E5" w:rsidRPr="00CF31E0" w:rsidRDefault="00EB50E5"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A1F5C" w:rsidRPr="00CF31E0" w14:paraId="4524C534" w14:textId="77777777" w:rsidTr="00CA1F5C">
        <w:trPr>
          <w:cantSplit/>
        </w:trPr>
        <w:tc>
          <w:tcPr>
            <w:tcW w:w="7391" w:type="dxa"/>
            <w:gridSpan w:val="6"/>
            <w:tcBorders>
              <w:top w:val="single" w:sz="8" w:space="0" w:color="auto"/>
              <w:bottom w:val="single" w:sz="8" w:space="0" w:color="auto"/>
            </w:tcBorders>
            <w:shd w:val="clear" w:color="auto" w:fill="FFFFFF"/>
            <w:vAlign w:val="bottom"/>
          </w:tcPr>
          <w:p w14:paraId="46F8781D"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Modern factor (UBH dialect)</w:t>
            </w:r>
          </w:p>
        </w:tc>
      </w:tr>
      <w:tr w:rsidR="00CA1F5C" w:rsidRPr="00CF31E0" w14:paraId="387B1BCA" w14:textId="77777777" w:rsidTr="00CA1F5C">
        <w:trPr>
          <w:cantSplit/>
        </w:trPr>
        <w:tc>
          <w:tcPr>
            <w:tcW w:w="1736" w:type="dxa"/>
            <w:tcBorders>
              <w:top w:val="single" w:sz="8" w:space="0" w:color="auto"/>
              <w:bottom w:val="single" w:sz="6" w:space="0" w:color="auto"/>
            </w:tcBorders>
            <w:shd w:val="clear" w:color="auto" w:fill="FFFFFF"/>
            <w:vAlign w:val="bottom"/>
          </w:tcPr>
          <w:p w14:paraId="2EAE3F79"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Education</w:t>
            </w:r>
          </w:p>
        </w:tc>
        <w:tc>
          <w:tcPr>
            <w:tcW w:w="1686" w:type="dxa"/>
            <w:tcBorders>
              <w:top w:val="single" w:sz="8" w:space="0" w:color="auto"/>
              <w:bottom w:val="single" w:sz="6" w:space="0" w:color="auto"/>
            </w:tcBorders>
            <w:shd w:val="clear" w:color="auto" w:fill="FFFFFF"/>
            <w:vAlign w:val="bottom"/>
          </w:tcPr>
          <w:p w14:paraId="6DC5C7C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578E917C"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3701AB1"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4EBCA735"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36676ADB"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A1F5C" w:rsidRPr="00CF31E0" w14:paraId="20A9A3D9" w14:textId="77777777" w:rsidTr="00CA1F5C">
        <w:trPr>
          <w:cantSplit/>
        </w:trPr>
        <w:tc>
          <w:tcPr>
            <w:tcW w:w="1736" w:type="dxa"/>
            <w:tcBorders>
              <w:top w:val="single" w:sz="6" w:space="0" w:color="auto"/>
              <w:bottom w:val="nil"/>
            </w:tcBorders>
            <w:shd w:val="clear" w:color="auto" w:fill="FFFFFF"/>
          </w:tcPr>
          <w:p w14:paraId="65E5F21E"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41864BA7"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1.545</w:t>
            </w:r>
          </w:p>
        </w:tc>
        <w:tc>
          <w:tcPr>
            <w:tcW w:w="820" w:type="dxa"/>
            <w:tcBorders>
              <w:top w:val="single" w:sz="6" w:space="0" w:color="auto"/>
              <w:bottom w:val="nil"/>
            </w:tcBorders>
            <w:shd w:val="clear" w:color="auto" w:fill="FFFFFF"/>
            <w:vAlign w:val="center"/>
          </w:tcPr>
          <w:p w14:paraId="58112EF1"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5</w:t>
            </w:r>
          </w:p>
        </w:tc>
        <w:tc>
          <w:tcPr>
            <w:tcW w:w="1445" w:type="dxa"/>
            <w:tcBorders>
              <w:top w:val="single" w:sz="6" w:space="0" w:color="auto"/>
              <w:bottom w:val="nil"/>
            </w:tcBorders>
            <w:shd w:val="clear" w:color="auto" w:fill="FFFFFF"/>
            <w:vAlign w:val="center"/>
          </w:tcPr>
          <w:p w14:paraId="2642B542"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.309</w:t>
            </w:r>
          </w:p>
        </w:tc>
        <w:tc>
          <w:tcPr>
            <w:tcW w:w="1030" w:type="dxa"/>
            <w:tcBorders>
              <w:top w:val="single" w:sz="6" w:space="0" w:color="auto"/>
              <w:bottom w:val="nil"/>
            </w:tcBorders>
            <w:shd w:val="clear" w:color="auto" w:fill="FFFFFF"/>
            <w:vAlign w:val="center"/>
          </w:tcPr>
          <w:p w14:paraId="6830796B"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.207</w:t>
            </w:r>
          </w:p>
        </w:tc>
        <w:tc>
          <w:tcPr>
            <w:tcW w:w="674" w:type="dxa"/>
            <w:tcBorders>
              <w:top w:val="single" w:sz="6" w:space="0" w:color="auto"/>
              <w:bottom w:val="nil"/>
            </w:tcBorders>
            <w:shd w:val="clear" w:color="auto" w:fill="FFFFFF"/>
            <w:vAlign w:val="center"/>
          </w:tcPr>
          <w:p w14:paraId="26AEF2E9"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.960</w:t>
            </w:r>
          </w:p>
        </w:tc>
      </w:tr>
      <w:tr w:rsidR="00CA1F5C" w:rsidRPr="00CF31E0" w14:paraId="5C01D67F" w14:textId="77777777" w:rsidTr="00CA1F5C">
        <w:trPr>
          <w:cantSplit/>
        </w:trPr>
        <w:tc>
          <w:tcPr>
            <w:tcW w:w="1736" w:type="dxa"/>
            <w:tcBorders>
              <w:top w:val="nil"/>
            </w:tcBorders>
            <w:shd w:val="clear" w:color="auto" w:fill="FFFFFF"/>
          </w:tcPr>
          <w:p w14:paraId="26FF6F16"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30555BC3"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961.780</w:t>
            </w:r>
          </w:p>
        </w:tc>
        <w:tc>
          <w:tcPr>
            <w:tcW w:w="820" w:type="dxa"/>
            <w:tcBorders>
              <w:top w:val="nil"/>
            </w:tcBorders>
            <w:shd w:val="clear" w:color="auto" w:fill="FFFFFF"/>
            <w:vAlign w:val="center"/>
          </w:tcPr>
          <w:p w14:paraId="55AE073A" w14:textId="79E67B50"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321</w:t>
            </w:r>
          </w:p>
        </w:tc>
        <w:tc>
          <w:tcPr>
            <w:tcW w:w="1445" w:type="dxa"/>
            <w:tcBorders>
              <w:top w:val="nil"/>
            </w:tcBorders>
            <w:shd w:val="clear" w:color="auto" w:fill="FFFFFF"/>
            <w:vAlign w:val="center"/>
          </w:tcPr>
          <w:p w14:paraId="10582F8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1.496</w:t>
            </w:r>
          </w:p>
        </w:tc>
        <w:tc>
          <w:tcPr>
            <w:tcW w:w="1030" w:type="dxa"/>
            <w:tcBorders>
              <w:top w:val="nil"/>
            </w:tcBorders>
            <w:shd w:val="clear" w:color="auto" w:fill="FFFFFF"/>
            <w:vAlign w:val="center"/>
          </w:tcPr>
          <w:p w14:paraId="22247117"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6B133C6B"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r w:rsidR="00CA1F5C" w:rsidRPr="00CF31E0" w14:paraId="20CDAAB5" w14:textId="77777777" w:rsidTr="00CA1F5C">
        <w:trPr>
          <w:cantSplit/>
        </w:trPr>
        <w:tc>
          <w:tcPr>
            <w:tcW w:w="1736" w:type="dxa"/>
            <w:shd w:val="clear" w:color="auto" w:fill="FFFFFF"/>
          </w:tcPr>
          <w:p w14:paraId="4D8EA91E"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4FABBB6"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963.325</w:t>
            </w:r>
          </w:p>
        </w:tc>
        <w:tc>
          <w:tcPr>
            <w:tcW w:w="820" w:type="dxa"/>
            <w:shd w:val="clear" w:color="auto" w:fill="FFFFFF"/>
            <w:vAlign w:val="center"/>
          </w:tcPr>
          <w:p w14:paraId="520030D3" w14:textId="04C32802"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326</w:t>
            </w:r>
          </w:p>
        </w:tc>
        <w:tc>
          <w:tcPr>
            <w:tcW w:w="1445" w:type="dxa"/>
            <w:shd w:val="clear" w:color="auto" w:fill="FFFFFF"/>
            <w:vAlign w:val="center"/>
          </w:tcPr>
          <w:p w14:paraId="6C5DE44B"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690C02AF"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0CCFF3EE"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bl>
    <w:p w14:paraId="38FDED35" w14:textId="77777777" w:rsidR="00CA1F5C" w:rsidRPr="00CF31E0" w:rsidRDefault="00CA1F5C" w:rsidP="00B57389">
      <w:pPr>
        <w:rPr>
          <w:color w:val="000000" w:themeColor="text1"/>
          <w:lang w:eastAsia="en-US"/>
        </w:rPr>
      </w:pPr>
    </w:p>
    <w:p w14:paraId="090BF19C" w14:textId="77777777" w:rsidR="00C73201" w:rsidRPr="00CF31E0" w:rsidRDefault="00C73201"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A1F5C" w:rsidRPr="00CF31E0" w14:paraId="0E5A05DE" w14:textId="77777777" w:rsidTr="00CA1F5C">
        <w:trPr>
          <w:cantSplit/>
        </w:trPr>
        <w:tc>
          <w:tcPr>
            <w:tcW w:w="7391" w:type="dxa"/>
            <w:gridSpan w:val="6"/>
            <w:tcBorders>
              <w:top w:val="single" w:sz="8" w:space="0" w:color="auto"/>
              <w:bottom w:val="single" w:sz="8" w:space="0" w:color="auto"/>
            </w:tcBorders>
            <w:shd w:val="clear" w:color="auto" w:fill="FFFFFF"/>
            <w:vAlign w:val="bottom"/>
          </w:tcPr>
          <w:p w14:paraId="35E431DF"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Traditional factor (UBH dialect)</w:t>
            </w:r>
          </w:p>
        </w:tc>
      </w:tr>
      <w:tr w:rsidR="00CA1F5C" w:rsidRPr="00CF31E0" w14:paraId="4009D698" w14:textId="77777777" w:rsidTr="00CA1F5C">
        <w:trPr>
          <w:cantSplit/>
        </w:trPr>
        <w:tc>
          <w:tcPr>
            <w:tcW w:w="1736" w:type="dxa"/>
            <w:tcBorders>
              <w:top w:val="single" w:sz="8" w:space="0" w:color="auto"/>
              <w:bottom w:val="single" w:sz="6" w:space="0" w:color="auto"/>
            </w:tcBorders>
            <w:shd w:val="clear" w:color="auto" w:fill="FFFFFF"/>
            <w:vAlign w:val="bottom"/>
          </w:tcPr>
          <w:p w14:paraId="2E9FBE90"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Gender</w:t>
            </w:r>
          </w:p>
        </w:tc>
        <w:tc>
          <w:tcPr>
            <w:tcW w:w="1686" w:type="dxa"/>
            <w:tcBorders>
              <w:top w:val="single" w:sz="8" w:space="0" w:color="auto"/>
              <w:bottom w:val="single" w:sz="6" w:space="0" w:color="auto"/>
            </w:tcBorders>
            <w:shd w:val="clear" w:color="auto" w:fill="FFFFFF"/>
            <w:vAlign w:val="bottom"/>
          </w:tcPr>
          <w:p w14:paraId="415E5488"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5ADDC46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08C4FCA4"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081CC2CC"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5269CDD2"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A1F5C" w:rsidRPr="00CF31E0" w14:paraId="5997AF8D" w14:textId="77777777" w:rsidTr="00CA1F5C">
        <w:trPr>
          <w:cantSplit/>
        </w:trPr>
        <w:tc>
          <w:tcPr>
            <w:tcW w:w="1736" w:type="dxa"/>
            <w:tcBorders>
              <w:top w:val="single" w:sz="6" w:space="0" w:color="auto"/>
              <w:bottom w:val="nil"/>
            </w:tcBorders>
            <w:shd w:val="clear" w:color="auto" w:fill="FFFFFF"/>
          </w:tcPr>
          <w:p w14:paraId="547A4EDF"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7330B00D"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1.062</w:t>
            </w:r>
          </w:p>
        </w:tc>
        <w:tc>
          <w:tcPr>
            <w:tcW w:w="820" w:type="dxa"/>
            <w:tcBorders>
              <w:top w:val="single" w:sz="6" w:space="0" w:color="auto"/>
              <w:bottom w:val="nil"/>
            </w:tcBorders>
            <w:shd w:val="clear" w:color="auto" w:fill="FFFFFF"/>
            <w:vAlign w:val="center"/>
          </w:tcPr>
          <w:p w14:paraId="2DDEEA45"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w:t>
            </w:r>
          </w:p>
        </w:tc>
        <w:tc>
          <w:tcPr>
            <w:tcW w:w="1445" w:type="dxa"/>
            <w:tcBorders>
              <w:top w:val="single" w:sz="6" w:space="0" w:color="auto"/>
              <w:bottom w:val="nil"/>
            </w:tcBorders>
            <w:shd w:val="clear" w:color="auto" w:fill="FFFFFF"/>
            <w:vAlign w:val="center"/>
          </w:tcPr>
          <w:p w14:paraId="5BCE232B"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1.062</w:t>
            </w:r>
          </w:p>
        </w:tc>
        <w:tc>
          <w:tcPr>
            <w:tcW w:w="1030" w:type="dxa"/>
            <w:tcBorders>
              <w:top w:val="single" w:sz="6" w:space="0" w:color="auto"/>
              <w:bottom w:val="nil"/>
            </w:tcBorders>
            <w:shd w:val="clear" w:color="auto" w:fill="FFFFFF"/>
            <w:vAlign w:val="center"/>
          </w:tcPr>
          <w:p w14:paraId="0E281B1D"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.689</w:t>
            </w:r>
          </w:p>
        </w:tc>
        <w:tc>
          <w:tcPr>
            <w:tcW w:w="674" w:type="dxa"/>
            <w:tcBorders>
              <w:top w:val="single" w:sz="6" w:space="0" w:color="auto"/>
              <w:bottom w:val="nil"/>
            </w:tcBorders>
            <w:shd w:val="clear" w:color="auto" w:fill="FFFFFF"/>
            <w:vAlign w:val="center"/>
          </w:tcPr>
          <w:p w14:paraId="33A4EFFE"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.407</w:t>
            </w:r>
          </w:p>
        </w:tc>
      </w:tr>
      <w:tr w:rsidR="00CA1F5C" w:rsidRPr="00CF31E0" w14:paraId="282960B4" w14:textId="77777777" w:rsidTr="00CA1F5C">
        <w:trPr>
          <w:cantSplit/>
        </w:trPr>
        <w:tc>
          <w:tcPr>
            <w:tcW w:w="1736" w:type="dxa"/>
            <w:tcBorders>
              <w:top w:val="nil"/>
            </w:tcBorders>
            <w:shd w:val="clear" w:color="auto" w:fill="FFFFFF"/>
          </w:tcPr>
          <w:p w14:paraId="2B368A9E"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6670936E"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996.966</w:t>
            </w:r>
          </w:p>
        </w:tc>
        <w:tc>
          <w:tcPr>
            <w:tcW w:w="820" w:type="dxa"/>
            <w:tcBorders>
              <w:top w:val="nil"/>
            </w:tcBorders>
            <w:shd w:val="clear" w:color="auto" w:fill="FFFFFF"/>
            <w:vAlign w:val="center"/>
          </w:tcPr>
          <w:p w14:paraId="07D4E078" w14:textId="5F8E46CF"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325</w:t>
            </w:r>
          </w:p>
        </w:tc>
        <w:tc>
          <w:tcPr>
            <w:tcW w:w="1445" w:type="dxa"/>
            <w:tcBorders>
              <w:top w:val="nil"/>
            </w:tcBorders>
            <w:shd w:val="clear" w:color="auto" w:fill="FFFFFF"/>
            <w:vAlign w:val="center"/>
          </w:tcPr>
          <w:p w14:paraId="0CB41897"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1.541</w:t>
            </w:r>
          </w:p>
        </w:tc>
        <w:tc>
          <w:tcPr>
            <w:tcW w:w="1030" w:type="dxa"/>
            <w:tcBorders>
              <w:top w:val="nil"/>
            </w:tcBorders>
            <w:shd w:val="clear" w:color="auto" w:fill="FFFFFF"/>
            <w:vAlign w:val="center"/>
          </w:tcPr>
          <w:p w14:paraId="742006C9"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0BB13420"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r w:rsidR="00CA1F5C" w:rsidRPr="00CF31E0" w14:paraId="2E3B20E4" w14:textId="77777777" w:rsidTr="00CA1F5C">
        <w:trPr>
          <w:cantSplit/>
        </w:trPr>
        <w:tc>
          <w:tcPr>
            <w:tcW w:w="1736" w:type="dxa"/>
            <w:shd w:val="clear" w:color="auto" w:fill="FFFFFF"/>
          </w:tcPr>
          <w:p w14:paraId="566FB241"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161651C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998.028</w:t>
            </w:r>
          </w:p>
        </w:tc>
        <w:tc>
          <w:tcPr>
            <w:tcW w:w="820" w:type="dxa"/>
            <w:shd w:val="clear" w:color="auto" w:fill="FFFFFF"/>
            <w:vAlign w:val="center"/>
          </w:tcPr>
          <w:p w14:paraId="714C749E" w14:textId="5F81147A"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326</w:t>
            </w:r>
          </w:p>
        </w:tc>
        <w:tc>
          <w:tcPr>
            <w:tcW w:w="1445" w:type="dxa"/>
            <w:shd w:val="clear" w:color="auto" w:fill="FFFFFF"/>
            <w:vAlign w:val="center"/>
          </w:tcPr>
          <w:p w14:paraId="1D22C11E"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59576F24"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0A4FB0B7"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bl>
    <w:p w14:paraId="1E48BB95" w14:textId="77777777" w:rsidR="00CA1F5C" w:rsidRPr="00CF31E0" w:rsidRDefault="00CA1F5C" w:rsidP="00B57389">
      <w:pPr>
        <w:rPr>
          <w:color w:val="000000" w:themeColor="text1"/>
          <w:lang w:eastAsia="en-US"/>
        </w:rPr>
      </w:pPr>
    </w:p>
    <w:p w14:paraId="0D09E9EC" w14:textId="77777777" w:rsidR="00CA1F5C" w:rsidRPr="00CF31E0" w:rsidRDefault="00CA1F5C"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A1F5C" w:rsidRPr="00CF31E0" w14:paraId="13C2BFC9" w14:textId="77777777" w:rsidTr="00CA1F5C">
        <w:trPr>
          <w:cantSplit/>
        </w:trPr>
        <w:tc>
          <w:tcPr>
            <w:tcW w:w="7391" w:type="dxa"/>
            <w:gridSpan w:val="6"/>
            <w:tcBorders>
              <w:top w:val="single" w:sz="8" w:space="0" w:color="auto"/>
              <w:bottom w:val="single" w:sz="8" w:space="0" w:color="auto"/>
            </w:tcBorders>
            <w:shd w:val="clear" w:color="auto" w:fill="FFFFFF"/>
            <w:vAlign w:val="bottom"/>
          </w:tcPr>
          <w:p w14:paraId="6F5E67D8"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Traditional factor (UBH dialect)</w:t>
            </w:r>
          </w:p>
        </w:tc>
      </w:tr>
      <w:tr w:rsidR="00CA1F5C" w:rsidRPr="00CF31E0" w14:paraId="3E2662D2" w14:textId="77777777" w:rsidTr="00CA1F5C">
        <w:trPr>
          <w:cantSplit/>
        </w:trPr>
        <w:tc>
          <w:tcPr>
            <w:tcW w:w="1736" w:type="dxa"/>
            <w:tcBorders>
              <w:top w:val="single" w:sz="8" w:space="0" w:color="auto"/>
              <w:bottom w:val="single" w:sz="6" w:space="0" w:color="auto"/>
            </w:tcBorders>
            <w:shd w:val="clear" w:color="auto" w:fill="FFFFFF"/>
            <w:vAlign w:val="bottom"/>
          </w:tcPr>
          <w:p w14:paraId="31442E4E"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Age</w:t>
            </w:r>
          </w:p>
        </w:tc>
        <w:tc>
          <w:tcPr>
            <w:tcW w:w="1686" w:type="dxa"/>
            <w:tcBorders>
              <w:top w:val="single" w:sz="8" w:space="0" w:color="auto"/>
              <w:bottom w:val="single" w:sz="6" w:space="0" w:color="auto"/>
            </w:tcBorders>
            <w:shd w:val="clear" w:color="auto" w:fill="FFFFFF"/>
            <w:vAlign w:val="bottom"/>
          </w:tcPr>
          <w:p w14:paraId="1FB1273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6A3A9B15"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655C6B9D"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259950F6"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05C3A890"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A1F5C" w:rsidRPr="00CF31E0" w14:paraId="6C880B55" w14:textId="77777777" w:rsidTr="00CA1F5C">
        <w:trPr>
          <w:cantSplit/>
        </w:trPr>
        <w:tc>
          <w:tcPr>
            <w:tcW w:w="1736" w:type="dxa"/>
            <w:tcBorders>
              <w:top w:val="single" w:sz="6" w:space="0" w:color="auto"/>
              <w:bottom w:val="nil"/>
            </w:tcBorders>
            <w:shd w:val="clear" w:color="auto" w:fill="FFFFFF"/>
          </w:tcPr>
          <w:p w14:paraId="61A9E934"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4E6464B4"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10.541</w:t>
            </w:r>
          </w:p>
        </w:tc>
        <w:tc>
          <w:tcPr>
            <w:tcW w:w="820" w:type="dxa"/>
            <w:tcBorders>
              <w:top w:val="single" w:sz="6" w:space="0" w:color="auto"/>
              <w:bottom w:val="nil"/>
            </w:tcBorders>
            <w:shd w:val="clear" w:color="auto" w:fill="FFFFFF"/>
            <w:vAlign w:val="center"/>
          </w:tcPr>
          <w:p w14:paraId="7C782E0B"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5</w:t>
            </w:r>
          </w:p>
        </w:tc>
        <w:tc>
          <w:tcPr>
            <w:tcW w:w="1445" w:type="dxa"/>
            <w:tcBorders>
              <w:top w:val="single" w:sz="6" w:space="0" w:color="auto"/>
              <w:bottom w:val="nil"/>
            </w:tcBorders>
            <w:shd w:val="clear" w:color="auto" w:fill="FFFFFF"/>
            <w:vAlign w:val="center"/>
          </w:tcPr>
          <w:p w14:paraId="298B6857"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2.108</w:t>
            </w:r>
          </w:p>
        </w:tc>
        <w:tc>
          <w:tcPr>
            <w:tcW w:w="1030" w:type="dxa"/>
            <w:tcBorders>
              <w:top w:val="single" w:sz="6" w:space="0" w:color="auto"/>
              <w:bottom w:val="nil"/>
            </w:tcBorders>
            <w:shd w:val="clear" w:color="auto" w:fill="FFFFFF"/>
            <w:vAlign w:val="center"/>
          </w:tcPr>
          <w:p w14:paraId="642E8D52"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1.369</w:t>
            </w:r>
          </w:p>
        </w:tc>
        <w:tc>
          <w:tcPr>
            <w:tcW w:w="674" w:type="dxa"/>
            <w:tcBorders>
              <w:top w:val="single" w:sz="6" w:space="0" w:color="auto"/>
              <w:bottom w:val="nil"/>
            </w:tcBorders>
            <w:shd w:val="clear" w:color="auto" w:fill="FFFFFF"/>
            <w:vAlign w:val="center"/>
          </w:tcPr>
          <w:p w14:paraId="68F07A13"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.234</w:t>
            </w:r>
          </w:p>
        </w:tc>
      </w:tr>
      <w:tr w:rsidR="00CA1F5C" w:rsidRPr="00CF31E0" w14:paraId="54F2BB3A" w14:textId="77777777" w:rsidTr="00CA1F5C">
        <w:trPr>
          <w:cantSplit/>
        </w:trPr>
        <w:tc>
          <w:tcPr>
            <w:tcW w:w="1736" w:type="dxa"/>
            <w:tcBorders>
              <w:top w:val="nil"/>
            </w:tcBorders>
            <w:shd w:val="clear" w:color="auto" w:fill="FFFFFF"/>
          </w:tcPr>
          <w:p w14:paraId="3A27B351"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2016F26F"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987.354</w:t>
            </w:r>
          </w:p>
        </w:tc>
        <w:tc>
          <w:tcPr>
            <w:tcW w:w="820" w:type="dxa"/>
            <w:tcBorders>
              <w:top w:val="nil"/>
            </w:tcBorders>
            <w:shd w:val="clear" w:color="auto" w:fill="FFFFFF"/>
            <w:vAlign w:val="center"/>
          </w:tcPr>
          <w:p w14:paraId="2B5F5528" w14:textId="5486E64C"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321</w:t>
            </w:r>
          </w:p>
        </w:tc>
        <w:tc>
          <w:tcPr>
            <w:tcW w:w="1445" w:type="dxa"/>
            <w:tcBorders>
              <w:top w:val="nil"/>
            </w:tcBorders>
            <w:shd w:val="clear" w:color="auto" w:fill="FFFFFF"/>
            <w:vAlign w:val="center"/>
          </w:tcPr>
          <w:p w14:paraId="0352A84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1.540</w:t>
            </w:r>
          </w:p>
        </w:tc>
        <w:tc>
          <w:tcPr>
            <w:tcW w:w="1030" w:type="dxa"/>
            <w:tcBorders>
              <w:top w:val="nil"/>
            </w:tcBorders>
            <w:shd w:val="clear" w:color="auto" w:fill="FFFFFF"/>
            <w:vAlign w:val="center"/>
          </w:tcPr>
          <w:p w14:paraId="150EE0AC"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76CDEC64"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r w:rsidR="00CA1F5C" w:rsidRPr="00CF31E0" w14:paraId="4E1459F3" w14:textId="77777777" w:rsidTr="00CA1F5C">
        <w:trPr>
          <w:cantSplit/>
        </w:trPr>
        <w:tc>
          <w:tcPr>
            <w:tcW w:w="1736" w:type="dxa"/>
            <w:shd w:val="clear" w:color="auto" w:fill="FFFFFF"/>
          </w:tcPr>
          <w:p w14:paraId="7F05867E"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12059B98"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997.895</w:t>
            </w:r>
          </w:p>
        </w:tc>
        <w:tc>
          <w:tcPr>
            <w:tcW w:w="820" w:type="dxa"/>
            <w:shd w:val="clear" w:color="auto" w:fill="FFFFFF"/>
            <w:vAlign w:val="center"/>
          </w:tcPr>
          <w:p w14:paraId="7C2EC771" w14:textId="7A78C2A5"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326</w:t>
            </w:r>
          </w:p>
        </w:tc>
        <w:tc>
          <w:tcPr>
            <w:tcW w:w="1445" w:type="dxa"/>
            <w:shd w:val="clear" w:color="auto" w:fill="FFFFFF"/>
            <w:vAlign w:val="center"/>
          </w:tcPr>
          <w:p w14:paraId="29A64738"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6B06EAE9"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036ED5FF"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bl>
    <w:p w14:paraId="10C3C785" w14:textId="77777777" w:rsidR="00CA1F5C" w:rsidRPr="00CF31E0" w:rsidRDefault="00CA1F5C" w:rsidP="00B57389">
      <w:pPr>
        <w:rPr>
          <w:color w:val="000000" w:themeColor="text1"/>
          <w:lang w:eastAsia="en-US"/>
        </w:rPr>
      </w:pPr>
    </w:p>
    <w:p w14:paraId="737BF7F1" w14:textId="77777777" w:rsidR="00EB50E5" w:rsidRPr="00CF31E0" w:rsidRDefault="00EB50E5"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A1F5C" w:rsidRPr="00CF31E0" w14:paraId="64AE33A4" w14:textId="77777777" w:rsidTr="00CA1F5C">
        <w:trPr>
          <w:cantSplit/>
        </w:trPr>
        <w:tc>
          <w:tcPr>
            <w:tcW w:w="7391" w:type="dxa"/>
            <w:gridSpan w:val="6"/>
            <w:tcBorders>
              <w:top w:val="single" w:sz="8" w:space="0" w:color="auto"/>
              <w:bottom w:val="single" w:sz="8" w:space="0" w:color="auto"/>
            </w:tcBorders>
            <w:shd w:val="clear" w:color="auto" w:fill="FFFFFF"/>
            <w:vAlign w:val="bottom"/>
          </w:tcPr>
          <w:p w14:paraId="43385F56"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Traditional factor (UBH dialect)</w:t>
            </w:r>
          </w:p>
        </w:tc>
      </w:tr>
      <w:tr w:rsidR="00CA1F5C" w:rsidRPr="00CF31E0" w14:paraId="1D57C8F9" w14:textId="77777777" w:rsidTr="00CA1F5C">
        <w:trPr>
          <w:cantSplit/>
        </w:trPr>
        <w:tc>
          <w:tcPr>
            <w:tcW w:w="1736" w:type="dxa"/>
            <w:tcBorders>
              <w:top w:val="single" w:sz="8" w:space="0" w:color="auto"/>
              <w:bottom w:val="single" w:sz="6" w:space="0" w:color="auto"/>
            </w:tcBorders>
            <w:shd w:val="clear" w:color="auto" w:fill="FFFFFF"/>
            <w:vAlign w:val="bottom"/>
          </w:tcPr>
          <w:p w14:paraId="0A000CC6"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 of birth</w:t>
            </w:r>
          </w:p>
        </w:tc>
        <w:tc>
          <w:tcPr>
            <w:tcW w:w="1686" w:type="dxa"/>
            <w:tcBorders>
              <w:top w:val="single" w:sz="8" w:space="0" w:color="auto"/>
              <w:bottom w:val="single" w:sz="6" w:space="0" w:color="auto"/>
            </w:tcBorders>
            <w:shd w:val="clear" w:color="auto" w:fill="FFFFFF"/>
            <w:vAlign w:val="bottom"/>
          </w:tcPr>
          <w:p w14:paraId="3EF6B483"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1977E25B"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27336B97"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7AB351F9"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4C5CC0A8"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A1F5C" w:rsidRPr="00CF31E0" w14:paraId="34B9388C" w14:textId="77777777" w:rsidTr="00CA1F5C">
        <w:trPr>
          <w:cantSplit/>
        </w:trPr>
        <w:tc>
          <w:tcPr>
            <w:tcW w:w="1736" w:type="dxa"/>
            <w:tcBorders>
              <w:top w:val="single" w:sz="6" w:space="0" w:color="auto"/>
              <w:bottom w:val="nil"/>
            </w:tcBorders>
            <w:shd w:val="clear" w:color="auto" w:fill="FFFFFF"/>
          </w:tcPr>
          <w:p w14:paraId="4BC5A710"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Between Groups</w:t>
            </w:r>
          </w:p>
        </w:tc>
        <w:tc>
          <w:tcPr>
            <w:tcW w:w="1686" w:type="dxa"/>
            <w:tcBorders>
              <w:top w:val="single" w:sz="6" w:space="0" w:color="auto"/>
              <w:bottom w:val="nil"/>
            </w:tcBorders>
            <w:shd w:val="clear" w:color="auto" w:fill="FFFFFF"/>
            <w:vAlign w:val="center"/>
          </w:tcPr>
          <w:p w14:paraId="78A6E9E6"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.279</w:t>
            </w:r>
          </w:p>
        </w:tc>
        <w:tc>
          <w:tcPr>
            <w:tcW w:w="820" w:type="dxa"/>
            <w:tcBorders>
              <w:top w:val="single" w:sz="6" w:space="0" w:color="auto"/>
              <w:bottom w:val="nil"/>
            </w:tcBorders>
            <w:shd w:val="clear" w:color="auto" w:fill="FFFFFF"/>
            <w:vAlign w:val="center"/>
          </w:tcPr>
          <w:p w14:paraId="36681BA2"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w:t>
            </w:r>
          </w:p>
        </w:tc>
        <w:tc>
          <w:tcPr>
            <w:tcW w:w="1445" w:type="dxa"/>
            <w:tcBorders>
              <w:top w:val="single" w:sz="6" w:space="0" w:color="auto"/>
              <w:bottom w:val="nil"/>
            </w:tcBorders>
            <w:shd w:val="clear" w:color="auto" w:fill="FFFFFF"/>
            <w:vAlign w:val="center"/>
          </w:tcPr>
          <w:p w14:paraId="52F8F216"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.279</w:t>
            </w:r>
          </w:p>
        </w:tc>
        <w:tc>
          <w:tcPr>
            <w:tcW w:w="1030" w:type="dxa"/>
            <w:tcBorders>
              <w:top w:val="single" w:sz="6" w:space="0" w:color="auto"/>
              <w:bottom w:val="nil"/>
            </w:tcBorders>
            <w:shd w:val="clear" w:color="auto" w:fill="FFFFFF"/>
            <w:vAlign w:val="center"/>
          </w:tcPr>
          <w:p w14:paraId="336C26D6"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.181</w:t>
            </w:r>
          </w:p>
        </w:tc>
        <w:tc>
          <w:tcPr>
            <w:tcW w:w="674" w:type="dxa"/>
            <w:tcBorders>
              <w:top w:val="single" w:sz="6" w:space="0" w:color="auto"/>
              <w:bottom w:val="nil"/>
            </w:tcBorders>
            <w:shd w:val="clear" w:color="auto" w:fill="FFFFFF"/>
            <w:vAlign w:val="center"/>
          </w:tcPr>
          <w:p w14:paraId="571AA859"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.671</w:t>
            </w:r>
          </w:p>
        </w:tc>
      </w:tr>
      <w:tr w:rsidR="00CA1F5C" w:rsidRPr="00CF31E0" w14:paraId="6EC5BDA1" w14:textId="77777777" w:rsidTr="00CA1F5C">
        <w:trPr>
          <w:cantSplit/>
        </w:trPr>
        <w:tc>
          <w:tcPr>
            <w:tcW w:w="1736" w:type="dxa"/>
            <w:tcBorders>
              <w:top w:val="nil"/>
            </w:tcBorders>
            <w:shd w:val="clear" w:color="auto" w:fill="FFFFFF"/>
          </w:tcPr>
          <w:p w14:paraId="40BB2103"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65EE34DF"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997.749</w:t>
            </w:r>
          </w:p>
        </w:tc>
        <w:tc>
          <w:tcPr>
            <w:tcW w:w="820" w:type="dxa"/>
            <w:tcBorders>
              <w:top w:val="nil"/>
            </w:tcBorders>
            <w:shd w:val="clear" w:color="auto" w:fill="FFFFFF"/>
            <w:vAlign w:val="center"/>
          </w:tcPr>
          <w:p w14:paraId="7E6F4578" w14:textId="5F35312A"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325</w:t>
            </w:r>
          </w:p>
        </w:tc>
        <w:tc>
          <w:tcPr>
            <w:tcW w:w="1445" w:type="dxa"/>
            <w:tcBorders>
              <w:top w:val="nil"/>
            </w:tcBorders>
            <w:shd w:val="clear" w:color="auto" w:fill="FFFFFF"/>
            <w:vAlign w:val="center"/>
          </w:tcPr>
          <w:p w14:paraId="0DC91378"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1.542</w:t>
            </w:r>
          </w:p>
        </w:tc>
        <w:tc>
          <w:tcPr>
            <w:tcW w:w="1030" w:type="dxa"/>
            <w:tcBorders>
              <w:top w:val="nil"/>
            </w:tcBorders>
            <w:shd w:val="clear" w:color="auto" w:fill="FFFFFF"/>
            <w:vAlign w:val="center"/>
          </w:tcPr>
          <w:p w14:paraId="75FC9445"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75D10550"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r w:rsidR="00CA1F5C" w:rsidRPr="00CF31E0" w14:paraId="2CB4231E" w14:textId="77777777" w:rsidTr="00CA1F5C">
        <w:trPr>
          <w:cantSplit/>
        </w:trPr>
        <w:tc>
          <w:tcPr>
            <w:tcW w:w="1736" w:type="dxa"/>
            <w:shd w:val="clear" w:color="auto" w:fill="FFFFFF"/>
          </w:tcPr>
          <w:p w14:paraId="3308B529"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01AC07B"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998.028</w:t>
            </w:r>
          </w:p>
        </w:tc>
        <w:tc>
          <w:tcPr>
            <w:tcW w:w="820" w:type="dxa"/>
            <w:shd w:val="clear" w:color="auto" w:fill="FFFFFF"/>
            <w:vAlign w:val="center"/>
          </w:tcPr>
          <w:p w14:paraId="4D571FAD" w14:textId="7F125658"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326</w:t>
            </w:r>
          </w:p>
        </w:tc>
        <w:tc>
          <w:tcPr>
            <w:tcW w:w="1445" w:type="dxa"/>
            <w:shd w:val="clear" w:color="auto" w:fill="FFFFFF"/>
            <w:vAlign w:val="center"/>
          </w:tcPr>
          <w:p w14:paraId="22670664"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656CFC4C"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2117E4E0"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bl>
    <w:p w14:paraId="58C9D958" w14:textId="77777777" w:rsidR="00CA1F5C" w:rsidRPr="00CF31E0" w:rsidRDefault="00CA1F5C" w:rsidP="00B57389">
      <w:pPr>
        <w:rPr>
          <w:color w:val="000000" w:themeColor="text1"/>
          <w:lang w:eastAsia="en-US"/>
        </w:rPr>
      </w:pPr>
    </w:p>
    <w:p w14:paraId="363CCF6E" w14:textId="77777777" w:rsidR="00C73201" w:rsidRPr="00CF31E0" w:rsidRDefault="00C73201"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A1F5C" w:rsidRPr="00CF31E0" w14:paraId="4DCAC822" w14:textId="77777777" w:rsidTr="00CA1F5C">
        <w:trPr>
          <w:cantSplit/>
        </w:trPr>
        <w:tc>
          <w:tcPr>
            <w:tcW w:w="7391" w:type="dxa"/>
            <w:gridSpan w:val="6"/>
            <w:tcBorders>
              <w:top w:val="single" w:sz="8" w:space="0" w:color="auto"/>
              <w:bottom w:val="single" w:sz="8" w:space="0" w:color="auto"/>
            </w:tcBorders>
            <w:shd w:val="clear" w:color="auto" w:fill="FFFFFF"/>
            <w:vAlign w:val="bottom"/>
          </w:tcPr>
          <w:p w14:paraId="716F16CE"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Traditional factor (UBH dialect)</w:t>
            </w:r>
          </w:p>
        </w:tc>
      </w:tr>
      <w:tr w:rsidR="00CA1F5C" w:rsidRPr="00CF31E0" w14:paraId="26B4EFAF" w14:textId="77777777" w:rsidTr="00CA1F5C">
        <w:trPr>
          <w:cantSplit/>
        </w:trPr>
        <w:tc>
          <w:tcPr>
            <w:tcW w:w="1736" w:type="dxa"/>
            <w:tcBorders>
              <w:top w:val="single" w:sz="8" w:space="0" w:color="auto"/>
              <w:bottom w:val="single" w:sz="6" w:space="0" w:color="auto"/>
            </w:tcBorders>
            <w:shd w:val="clear" w:color="auto" w:fill="FFFFFF"/>
            <w:vAlign w:val="bottom"/>
          </w:tcPr>
          <w:p w14:paraId="776C9E62"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Places lived</w:t>
            </w:r>
          </w:p>
        </w:tc>
        <w:tc>
          <w:tcPr>
            <w:tcW w:w="1686" w:type="dxa"/>
            <w:tcBorders>
              <w:top w:val="single" w:sz="8" w:space="0" w:color="auto"/>
              <w:bottom w:val="single" w:sz="6" w:space="0" w:color="auto"/>
            </w:tcBorders>
            <w:shd w:val="clear" w:color="auto" w:fill="FFFFFF"/>
            <w:vAlign w:val="bottom"/>
          </w:tcPr>
          <w:p w14:paraId="1D05143C"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66E5F439"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ED711E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3BD7045E"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42CF5321"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A1F5C" w:rsidRPr="00CF31E0" w14:paraId="596B8FEA" w14:textId="77777777" w:rsidTr="00CA1F5C">
        <w:trPr>
          <w:cantSplit/>
        </w:trPr>
        <w:tc>
          <w:tcPr>
            <w:tcW w:w="1736" w:type="dxa"/>
            <w:tcBorders>
              <w:top w:val="single" w:sz="6" w:space="0" w:color="auto"/>
              <w:bottom w:val="nil"/>
            </w:tcBorders>
            <w:shd w:val="clear" w:color="auto" w:fill="FFFFFF"/>
          </w:tcPr>
          <w:p w14:paraId="065BC61F"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09CC59EC"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1.681</w:t>
            </w:r>
          </w:p>
        </w:tc>
        <w:tc>
          <w:tcPr>
            <w:tcW w:w="820" w:type="dxa"/>
            <w:tcBorders>
              <w:top w:val="single" w:sz="6" w:space="0" w:color="auto"/>
              <w:bottom w:val="nil"/>
            </w:tcBorders>
            <w:shd w:val="clear" w:color="auto" w:fill="FFFFFF"/>
            <w:vAlign w:val="center"/>
          </w:tcPr>
          <w:p w14:paraId="7FA27139"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w:t>
            </w:r>
          </w:p>
        </w:tc>
        <w:tc>
          <w:tcPr>
            <w:tcW w:w="1445" w:type="dxa"/>
            <w:tcBorders>
              <w:top w:val="single" w:sz="6" w:space="0" w:color="auto"/>
              <w:bottom w:val="nil"/>
            </w:tcBorders>
            <w:shd w:val="clear" w:color="auto" w:fill="FFFFFF"/>
            <w:vAlign w:val="center"/>
          </w:tcPr>
          <w:p w14:paraId="15DE8448"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1.681</w:t>
            </w:r>
          </w:p>
        </w:tc>
        <w:tc>
          <w:tcPr>
            <w:tcW w:w="1030" w:type="dxa"/>
            <w:tcBorders>
              <w:top w:val="single" w:sz="6" w:space="0" w:color="auto"/>
              <w:bottom w:val="nil"/>
            </w:tcBorders>
            <w:shd w:val="clear" w:color="auto" w:fill="FFFFFF"/>
            <w:vAlign w:val="center"/>
          </w:tcPr>
          <w:p w14:paraId="14857947"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1.085</w:t>
            </w:r>
          </w:p>
        </w:tc>
        <w:tc>
          <w:tcPr>
            <w:tcW w:w="674" w:type="dxa"/>
            <w:tcBorders>
              <w:top w:val="single" w:sz="6" w:space="0" w:color="auto"/>
              <w:bottom w:val="nil"/>
            </w:tcBorders>
            <w:shd w:val="clear" w:color="auto" w:fill="FFFFFF"/>
            <w:vAlign w:val="center"/>
          </w:tcPr>
          <w:p w14:paraId="5F8A5855"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.298</w:t>
            </w:r>
          </w:p>
        </w:tc>
      </w:tr>
      <w:tr w:rsidR="00CA1F5C" w:rsidRPr="00CF31E0" w14:paraId="65C87944" w14:textId="77777777" w:rsidTr="00CA1F5C">
        <w:trPr>
          <w:cantSplit/>
        </w:trPr>
        <w:tc>
          <w:tcPr>
            <w:tcW w:w="1736" w:type="dxa"/>
            <w:tcBorders>
              <w:top w:val="nil"/>
            </w:tcBorders>
            <w:shd w:val="clear" w:color="auto" w:fill="FFFFFF"/>
          </w:tcPr>
          <w:p w14:paraId="0E7CF873"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6B541197"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892.443</w:t>
            </w:r>
          </w:p>
        </w:tc>
        <w:tc>
          <w:tcPr>
            <w:tcW w:w="820" w:type="dxa"/>
            <w:tcBorders>
              <w:top w:val="nil"/>
            </w:tcBorders>
            <w:shd w:val="clear" w:color="auto" w:fill="FFFFFF"/>
            <w:vAlign w:val="center"/>
          </w:tcPr>
          <w:p w14:paraId="1333C871" w14:textId="2BF66666"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325</w:t>
            </w:r>
          </w:p>
        </w:tc>
        <w:tc>
          <w:tcPr>
            <w:tcW w:w="1445" w:type="dxa"/>
            <w:tcBorders>
              <w:top w:val="nil"/>
            </w:tcBorders>
            <w:shd w:val="clear" w:color="auto" w:fill="FFFFFF"/>
            <w:vAlign w:val="center"/>
          </w:tcPr>
          <w:p w14:paraId="449D50D2"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1.549</w:t>
            </w:r>
          </w:p>
        </w:tc>
        <w:tc>
          <w:tcPr>
            <w:tcW w:w="1030" w:type="dxa"/>
            <w:tcBorders>
              <w:top w:val="nil"/>
            </w:tcBorders>
            <w:shd w:val="clear" w:color="auto" w:fill="FFFFFF"/>
            <w:vAlign w:val="center"/>
          </w:tcPr>
          <w:p w14:paraId="623263D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422D7AB0"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r w:rsidR="00CA1F5C" w:rsidRPr="00CF31E0" w14:paraId="6CE635B9" w14:textId="77777777" w:rsidTr="00CA1F5C">
        <w:trPr>
          <w:cantSplit/>
        </w:trPr>
        <w:tc>
          <w:tcPr>
            <w:tcW w:w="1736" w:type="dxa"/>
            <w:shd w:val="clear" w:color="auto" w:fill="FFFFFF"/>
          </w:tcPr>
          <w:p w14:paraId="56E122E8"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16050C21"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894.125</w:t>
            </w:r>
          </w:p>
        </w:tc>
        <w:tc>
          <w:tcPr>
            <w:tcW w:w="820" w:type="dxa"/>
            <w:shd w:val="clear" w:color="auto" w:fill="FFFFFF"/>
            <w:vAlign w:val="center"/>
          </w:tcPr>
          <w:p w14:paraId="5AAF0C67" w14:textId="0D42C659"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326</w:t>
            </w:r>
          </w:p>
        </w:tc>
        <w:tc>
          <w:tcPr>
            <w:tcW w:w="1445" w:type="dxa"/>
            <w:shd w:val="clear" w:color="auto" w:fill="FFFFFF"/>
            <w:vAlign w:val="center"/>
          </w:tcPr>
          <w:p w14:paraId="087BB106"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0C42F259"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7F57F886"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bl>
    <w:p w14:paraId="153E314B" w14:textId="77777777" w:rsidR="00CA1F5C" w:rsidRPr="00CF31E0" w:rsidRDefault="00CA1F5C" w:rsidP="00B57389">
      <w:pPr>
        <w:rPr>
          <w:color w:val="000000" w:themeColor="text1"/>
          <w:lang w:eastAsia="en-US"/>
        </w:rPr>
      </w:pPr>
    </w:p>
    <w:p w14:paraId="0E24CF0C" w14:textId="77777777" w:rsidR="00CA1F5C" w:rsidRPr="00CF31E0" w:rsidRDefault="00CA1F5C"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A1F5C" w:rsidRPr="00CF31E0" w14:paraId="4651CD5C" w14:textId="77777777" w:rsidTr="00CA1F5C">
        <w:trPr>
          <w:cantSplit/>
        </w:trPr>
        <w:tc>
          <w:tcPr>
            <w:tcW w:w="7391" w:type="dxa"/>
            <w:gridSpan w:val="6"/>
            <w:tcBorders>
              <w:top w:val="single" w:sz="8" w:space="0" w:color="auto"/>
              <w:bottom w:val="single" w:sz="8" w:space="0" w:color="auto"/>
            </w:tcBorders>
            <w:shd w:val="clear" w:color="auto" w:fill="FFFFFF"/>
            <w:vAlign w:val="bottom"/>
          </w:tcPr>
          <w:p w14:paraId="23EFEC87"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Traditional factor (UBH dialect)</w:t>
            </w:r>
          </w:p>
        </w:tc>
      </w:tr>
      <w:tr w:rsidR="00CA1F5C" w:rsidRPr="00CF31E0" w14:paraId="3C879EC3" w14:textId="77777777" w:rsidTr="00CA1F5C">
        <w:trPr>
          <w:cantSplit/>
        </w:trPr>
        <w:tc>
          <w:tcPr>
            <w:tcW w:w="1736" w:type="dxa"/>
            <w:tcBorders>
              <w:top w:val="single" w:sz="8" w:space="0" w:color="auto"/>
              <w:bottom w:val="single" w:sz="6" w:space="0" w:color="auto"/>
            </w:tcBorders>
            <w:shd w:val="clear" w:color="auto" w:fill="FFFFFF"/>
            <w:vAlign w:val="bottom"/>
          </w:tcPr>
          <w:p w14:paraId="4B4025DA"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Marital status</w:t>
            </w:r>
          </w:p>
        </w:tc>
        <w:tc>
          <w:tcPr>
            <w:tcW w:w="1686" w:type="dxa"/>
            <w:tcBorders>
              <w:top w:val="single" w:sz="8" w:space="0" w:color="auto"/>
              <w:bottom w:val="single" w:sz="6" w:space="0" w:color="auto"/>
            </w:tcBorders>
            <w:shd w:val="clear" w:color="auto" w:fill="FFFFFF"/>
            <w:vAlign w:val="bottom"/>
          </w:tcPr>
          <w:p w14:paraId="76F8F774"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483A267C"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79E33AEF"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1D58E580"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766930F2"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A1F5C" w:rsidRPr="00CF31E0" w14:paraId="7E33B2C7" w14:textId="77777777" w:rsidTr="00CA1F5C">
        <w:trPr>
          <w:cantSplit/>
        </w:trPr>
        <w:tc>
          <w:tcPr>
            <w:tcW w:w="1736" w:type="dxa"/>
            <w:tcBorders>
              <w:top w:val="single" w:sz="6" w:space="0" w:color="auto"/>
              <w:bottom w:val="nil"/>
            </w:tcBorders>
            <w:shd w:val="clear" w:color="auto" w:fill="FFFFFF"/>
          </w:tcPr>
          <w:p w14:paraId="39E2796E"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40593B97"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1.759</w:t>
            </w:r>
          </w:p>
        </w:tc>
        <w:tc>
          <w:tcPr>
            <w:tcW w:w="820" w:type="dxa"/>
            <w:tcBorders>
              <w:top w:val="single" w:sz="6" w:space="0" w:color="auto"/>
              <w:bottom w:val="nil"/>
            </w:tcBorders>
            <w:shd w:val="clear" w:color="auto" w:fill="FFFFFF"/>
            <w:vAlign w:val="center"/>
          </w:tcPr>
          <w:p w14:paraId="3A4FE666"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w:t>
            </w:r>
          </w:p>
        </w:tc>
        <w:tc>
          <w:tcPr>
            <w:tcW w:w="1445" w:type="dxa"/>
            <w:tcBorders>
              <w:top w:val="single" w:sz="6" w:space="0" w:color="auto"/>
              <w:bottom w:val="nil"/>
            </w:tcBorders>
            <w:shd w:val="clear" w:color="auto" w:fill="FFFFFF"/>
            <w:vAlign w:val="center"/>
          </w:tcPr>
          <w:p w14:paraId="2646A907"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.586</w:t>
            </w:r>
          </w:p>
        </w:tc>
        <w:tc>
          <w:tcPr>
            <w:tcW w:w="1030" w:type="dxa"/>
            <w:tcBorders>
              <w:top w:val="single" w:sz="6" w:space="0" w:color="auto"/>
              <w:bottom w:val="nil"/>
            </w:tcBorders>
            <w:shd w:val="clear" w:color="auto" w:fill="FFFFFF"/>
            <w:vAlign w:val="center"/>
          </w:tcPr>
          <w:p w14:paraId="7FCF4070"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.380</w:t>
            </w:r>
          </w:p>
        </w:tc>
        <w:tc>
          <w:tcPr>
            <w:tcW w:w="674" w:type="dxa"/>
            <w:tcBorders>
              <w:top w:val="single" w:sz="6" w:space="0" w:color="auto"/>
              <w:bottom w:val="nil"/>
            </w:tcBorders>
            <w:shd w:val="clear" w:color="auto" w:fill="FFFFFF"/>
            <w:vAlign w:val="center"/>
          </w:tcPr>
          <w:p w14:paraId="4CE81328"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.768</w:t>
            </w:r>
          </w:p>
        </w:tc>
      </w:tr>
      <w:tr w:rsidR="00CA1F5C" w:rsidRPr="00CF31E0" w14:paraId="5073B61E" w14:textId="77777777" w:rsidTr="00CA1F5C">
        <w:trPr>
          <w:cantSplit/>
        </w:trPr>
        <w:tc>
          <w:tcPr>
            <w:tcW w:w="1736" w:type="dxa"/>
            <w:tcBorders>
              <w:top w:val="nil"/>
            </w:tcBorders>
            <w:shd w:val="clear" w:color="auto" w:fill="FFFFFF"/>
          </w:tcPr>
          <w:p w14:paraId="205E86EA"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656A73D5"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996.269</w:t>
            </w:r>
          </w:p>
        </w:tc>
        <w:tc>
          <w:tcPr>
            <w:tcW w:w="820" w:type="dxa"/>
            <w:tcBorders>
              <w:top w:val="nil"/>
            </w:tcBorders>
            <w:shd w:val="clear" w:color="auto" w:fill="FFFFFF"/>
            <w:vAlign w:val="center"/>
          </w:tcPr>
          <w:p w14:paraId="3FEA8E64" w14:textId="1BA41531"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323</w:t>
            </w:r>
          </w:p>
        </w:tc>
        <w:tc>
          <w:tcPr>
            <w:tcW w:w="1445" w:type="dxa"/>
            <w:tcBorders>
              <w:top w:val="nil"/>
            </w:tcBorders>
            <w:shd w:val="clear" w:color="auto" w:fill="FFFFFF"/>
            <w:vAlign w:val="center"/>
          </w:tcPr>
          <w:p w14:paraId="24656E44"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1.545</w:t>
            </w:r>
          </w:p>
        </w:tc>
        <w:tc>
          <w:tcPr>
            <w:tcW w:w="1030" w:type="dxa"/>
            <w:tcBorders>
              <w:top w:val="nil"/>
            </w:tcBorders>
            <w:shd w:val="clear" w:color="auto" w:fill="FFFFFF"/>
            <w:vAlign w:val="center"/>
          </w:tcPr>
          <w:p w14:paraId="6243FBAC"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651ACE92"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r w:rsidR="00CA1F5C" w:rsidRPr="00CF31E0" w14:paraId="449363E5" w14:textId="77777777" w:rsidTr="00CA1F5C">
        <w:trPr>
          <w:cantSplit/>
        </w:trPr>
        <w:tc>
          <w:tcPr>
            <w:tcW w:w="1736" w:type="dxa"/>
            <w:shd w:val="clear" w:color="auto" w:fill="FFFFFF"/>
          </w:tcPr>
          <w:p w14:paraId="021E7924"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6619FE31"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998.028</w:t>
            </w:r>
          </w:p>
        </w:tc>
        <w:tc>
          <w:tcPr>
            <w:tcW w:w="820" w:type="dxa"/>
            <w:shd w:val="clear" w:color="auto" w:fill="FFFFFF"/>
            <w:vAlign w:val="center"/>
          </w:tcPr>
          <w:p w14:paraId="0E398CC6" w14:textId="37AC737F"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326</w:t>
            </w:r>
          </w:p>
        </w:tc>
        <w:tc>
          <w:tcPr>
            <w:tcW w:w="1445" w:type="dxa"/>
            <w:shd w:val="clear" w:color="auto" w:fill="FFFFFF"/>
            <w:vAlign w:val="center"/>
          </w:tcPr>
          <w:p w14:paraId="50DA52C8"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62A6AE1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2F72076B"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bl>
    <w:p w14:paraId="045BF9AF" w14:textId="77777777" w:rsidR="00CA1F5C" w:rsidRPr="00CF31E0" w:rsidRDefault="00CA1F5C" w:rsidP="00B57389">
      <w:pPr>
        <w:rPr>
          <w:color w:val="000000" w:themeColor="text1"/>
          <w:lang w:eastAsia="en-US"/>
        </w:rPr>
      </w:pPr>
    </w:p>
    <w:p w14:paraId="730190CF" w14:textId="77777777" w:rsidR="00CA1F5C" w:rsidRPr="00CF31E0" w:rsidRDefault="00CA1F5C"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2"/>
        <w:gridCol w:w="1443"/>
        <w:gridCol w:w="1030"/>
        <w:gridCol w:w="674"/>
      </w:tblGrid>
      <w:tr w:rsidR="00CA1F5C" w:rsidRPr="00CF31E0" w14:paraId="0D6D760A" w14:textId="77777777" w:rsidTr="00CA1F5C">
        <w:trPr>
          <w:cantSplit/>
        </w:trPr>
        <w:tc>
          <w:tcPr>
            <w:tcW w:w="7391" w:type="dxa"/>
            <w:gridSpan w:val="6"/>
            <w:tcBorders>
              <w:top w:val="single" w:sz="8" w:space="0" w:color="auto"/>
              <w:bottom w:val="single" w:sz="8" w:space="0" w:color="auto"/>
            </w:tcBorders>
            <w:shd w:val="clear" w:color="auto" w:fill="FFFFFF"/>
            <w:vAlign w:val="bottom"/>
          </w:tcPr>
          <w:p w14:paraId="6093493C"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Traditional factor (UBH dialect)</w:t>
            </w:r>
          </w:p>
        </w:tc>
      </w:tr>
      <w:tr w:rsidR="00CA1F5C" w:rsidRPr="00CF31E0" w14:paraId="090D60EA" w14:textId="77777777" w:rsidTr="00B045BE">
        <w:trPr>
          <w:cantSplit/>
        </w:trPr>
        <w:tc>
          <w:tcPr>
            <w:tcW w:w="1736" w:type="dxa"/>
            <w:tcBorders>
              <w:top w:val="single" w:sz="8" w:space="0" w:color="auto"/>
              <w:bottom w:val="single" w:sz="6" w:space="0" w:color="auto"/>
            </w:tcBorders>
            <w:shd w:val="clear" w:color="auto" w:fill="FFFFFF"/>
            <w:vAlign w:val="bottom"/>
          </w:tcPr>
          <w:p w14:paraId="3B561F0C"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Education</w:t>
            </w:r>
          </w:p>
        </w:tc>
        <w:tc>
          <w:tcPr>
            <w:tcW w:w="1686" w:type="dxa"/>
            <w:tcBorders>
              <w:top w:val="single" w:sz="8" w:space="0" w:color="auto"/>
              <w:bottom w:val="single" w:sz="6" w:space="0" w:color="auto"/>
            </w:tcBorders>
            <w:shd w:val="clear" w:color="auto" w:fill="FFFFFF"/>
            <w:vAlign w:val="bottom"/>
          </w:tcPr>
          <w:p w14:paraId="71F1D8C9"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2" w:type="dxa"/>
            <w:tcBorders>
              <w:top w:val="single" w:sz="8" w:space="0" w:color="auto"/>
              <w:bottom w:val="single" w:sz="6" w:space="0" w:color="auto"/>
            </w:tcBorders>
            <w:shd w:val="clear" w:color="auto" w:fill="FFFFFF"/>
            <w:vAlign w:val="bottom"/>
          </w:tcPr>
          <w:p w14:paraId="66169785"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3" w:type="dxa"/>
            <w:tcBorders>
              <w:top w:val="single" w:sz="8" w:space="0" w:color="auto"/>
              <w:bottom w:val="single" w:sz="6" w:space="0" w:color="auto"/>
            </w:tcBorders>
            <w:shd w:val="clear" w:color="auto" w:fill="FFFFFF"/>
            <w:vAlign w:val="bottom"/>
          </w:tcPr>
          <w:p w14:paraId="0BBFB6F1"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4D9E50F"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4635626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A1F5C" w:rsidRPr="00CF31E0" w14:paraId="7ACFF7DC" w14:textId="77777777" w:rsidTr="00B045BE">
        <w:trPr>
          <w:cantSplit/>
        </w:trPr>
        <w:tc>
          <w:tcPr>
            <w:tcW w:w="1736" w:type="dxa"/>
            <w:tcBorders>
              <w:top w:val="single" w:sz="6" w:space="0" w:color="auto"/>
              <w:bottom w:val="nil"/>
            </w:tcBorders>
            <w:shd w:val="clear" w:color="auto" w:fill="FFFFFF"/>
          </w:tcPr>
          <w:p w14:paraId="614BB3C4"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303C6056"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21.437</w:t>
            </w:r>
          </w:p>
        </w:tc>
        <w:tc>
          <w:tcPr>
            <w:tcW w:w="822" w:type="dxa"/>
            <w:tcBorders>
              <w:top w:val="single" w:sz="6" w:space="0" w:color="auto"/>
              <w:bottom w:val="nil"/>
            </w:tcBorders>
            <w:shd w:val="clear" w:color="auto" w:fill="FFFFFF"/>
            <w:vAlign w:val="center"/>
          </w:tcPr>
          <w:p w14:paraId="17489FEE"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5</w:t>
            </w:r>
          </w:p>
        </w:tc>
        <w:tc>
          <w:tcPr>
            <w:tcW w:w="1443" w:type="dxa"/>
            <w:tcBorders>
              <w:top w:val="single" w:sz="6" w:space="0" w:color="auto"/>
              <w:bottom w:val="nil"/>
            </w:tcBorders>
            <w:shd w:val="clear" w:color="auto" w:fill="FFFFFF"/>
            <w:vAlign w:val="center"/>
          </w:tcPr>
          <w:p w14:paraId="582C3B63"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4.287</w:t>
            </w:r>
          </w:p>
        </w:tc>
        <w:tc>
          <w:tcPr>
            <w:tcW w:w="1030" w:type="dxa"/>
            <w:tcBorders>
              <w:top w:val="single" w:sz="6" w:space="0" w:color="auto"/>
              <w:bottom w:val="nil"/>
            </w:tcBorders>
            <w:shd w:val="clear" w:color="auto" w:fill="FFFFFF"/>
            <w:vAlign w:val="center"/>
          </w:tcPr>
          <w:p w14:paraId="33EF1B35"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2.823</w:t>
            </w:r>
          </w:p>
        </w:tc>
        <w:tc>
          <w:tcPr>
            <w:tcW w:w="674" w:type="dxa"/>
            <w:tcBorders>
              <w:top w:val="single" w:sz="6" w:space="0" w:color="auto"/>
              <w:bottom w:val="nil"/>
            </w:tcBorders>
            <w:shd w:val="clear" w:color="auto" w:fill="FFFFFF"/>
            <w:vAlign w:val="center"/>
          </w:tcPr>
          <w:p w14:paraId="76F39CB6"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.106</w:t>
            </w:r>
          </w:p>
        </w:tc>
      </w:tr>
      <w:tr w:rsidR="00CA1F5C" w:rsidRPr="00CF31E0" w14:paraId="59C95B80" w14:textId="77777777" w:rsidTr="00B045BE">
        <w:trPr>
          <w:cantSplit/>
        </w:trPr>
        <w:tc>
          <w:tcPr>
            <w:tcW w:w="1736" w:type="dxa"/>
            <w:tcBorders>
              <w:top w:val="nil"/>
            </w:tcBorders>
            <w:shd w:val="clear" w:color="auto" w:fill="FFFFFF"/>
          </w:tcPr>
          <w:p w14:paraId="1764BBF8"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0E8BD51D"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976.590</w:t>
            </w:r>
          </w:p>
        </w:tc>
        <w:tc>
          <w:tcPr>
            <w:tcW w:w="822" w:type="dxa"/>
            <w:tcBorders>
              <w:top w:val="nil"/>
            </w:tcBorders>
            <w:shd w:val="clear" w:color="auto" w:fill="FFFFFF"/>
            <w:vAlign w:val="center"/>
          </w:tcPr>
          <w:p w14:paraId="257B7FF8" w14:textId="2D69E2AD"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321</w:t>
            </w:r>
          </w:p>
        </w:tc>
        <w:tc>
          <w:tcPr>
            <w:tcW w:w="1443" w:type="dxa"/>
            <w:tcBorders>
              <w:top w:val="nil"/>
            </w:tcBorders>
            <w:shd w:val="clear" w:color="auto" w:fill="FFFFFF"/>
            <w:vAlign w:val="center"/>
          </w:tcPr>
          <w:p w14:paraId="0DE91D0C"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1.519</w:t>
            </w:r>
          </w:p>
        </w:tc>
        <w:tc>
          <w:tcPr>
            <w:tcW w:w="1030" w:type="dxa"/>
            <w:tcBorders>
              <w:top w:val="nil"/>
            </w:tcBorders>
            <w:shd w:val="clear" w:color="auto" w:fill="FFFFFF"/>
            <w:vAlign w:val="center"/>
          </w:tcPr>
          <w:p w14:paraId="430C0191"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3EA4F7F6"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r w:rsidR="00CA1F5C" w:rsidRPr="00CF31E0" w14:paraId="21AA1AED" w14:textId="77777777" w:rsidTr="00B045BE">
        <w:trPr>
          <w:cantSplit/>
        </w:trPr>
        <w:tc>
          <w:tcPr>
            <w:tcW w:w="1736" w:type="dxa"/>
            <w:shd w:val="clear" w:color="auto" w:fill="FFFFFF"/>
          </w:tcPr>
          <w:p w14:paraId="1CC8341D"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784049E"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998.028</w:t>
            </w:r>
          </w:p>
        </w:tc>
        <w:tc>
          <w:tcPr>
            <w:tcW w:w="822" w:type="dxa"/>
            <w:shd w:val="clear" w:color="auto" w:fill="FFFFFF"/>
            <w:vAlign w:val="center"/>
          </w:tcPr>
          <w:p w14:paraId="2EB1F133" w14:textId="08EE0929" w:rsidR="00CA1F5C" w:rsidRPr="00CF31E0" w:rsidRDefault="00B045BE" w:rsidP="00B045BE">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326</w:t>
            </w:r>
          </w:p>
        </w:tc>
        <w:tc>
          <w:tcPr>
            <w:tcW w:w="1443" w:type="dxa"/>
            <w:shd w:val="clear" w:color="auto" w:fill="FFFFFF"/>
            <w:vAlign w:val="center"/>
          </w:tcPr>
          <w:p w14:paraId="7B7EF629"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50B66B6B"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0143D0B3"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bl>
    <w:p w14:paraId="449A0E67" w14:textId="77777777" w:rsidR="00C73201" w:rsidRPr="00CF31E0" w:rsidRDefault="00C73201" w:rsidP="00B57389">
      <w:pPr>
        <w:rPr>
          <w:color w:val="000000" w:themeColor="text1"/>
          <w:lang w:eastAsia="en-US"/>
        </w:rPr>
      </w:pPr>
    </w:p>
    <w:p w14:paraId="2825EBE2" w14:textId="77777777" w:rsidR="00C73201" w:rsidRPr="00CF31E0" w:rsidRDefault="00C73201"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A1F5C" w:rsidRPr="00CF31E0" w14:paraId="34BB568A" w14:textId="77777777" w:rsidTr="00CA1F5C">
        <w:trPr>
          <w:cantSplit/>
        </w:trPr>
        <w:tc>
          <w:tcPr>
            <w:tcW w:w="7391" w:type="dxa"/>
            <w:gridSpan w:val="6"/>
            <w:tcBorders>
              <w:top w:val="single" w:sz="8" w:space="0" w:color="auto"/>
              <w:bottom w:val="single" w:sz="8" w:space="0" w:color="auto"/>
            </w:tcBorders>
            <w:shd w:val="clear" w:color="auto" w:fill="FFFFFF"/>
            <w:vAlign w:val="bottom"/>
          </w:tcPr>
          <w:p w14:paraId="2B213A03"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Modern factor (HH dialect)</w:t>
            </w:r>
          </w:p>
        </w:tc>
      </w:tr>
      <w:tr w:rsidR="00CA1F5C" w:rsidRPr="00CF31E0" w14:paraId="3DBEC18B" w14:textId="77777777" w:rsidTr="00CA1F5C">
        <w:trPr>
          <w:cantSplit/>
        </w:trPr>
        <w:tc>
          <w:tcPr>
            <w:tcW w:w="1736" w:type="dxa"/>
            <w:tcBorders>
              <w:top w:val="single" w:sz="8" w:space="0" w:color="auto"/>
              <w:bottom w:val="single" w:sz="6" w:space="0" w:color="auto"/>
            </w:tcBorders>
            <w:shd w:val="clear" w:color="auto" w:fill="FFFFFF"/>
            <w:vAlign w:val="bottom"/>
          </w:tcPr>
          <w:p w14:paraId="11F3B09F"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Gender</w:t>
            </w:r>
          </w:p>
        </w:tc>
        <w:tc>
          <w:tcPr>
            <w:tcW w:w="1686" w:type="dxa"/>
            <w:tcBorders>
              <w:top w:val="single" w:sz="8" w:space="0" w:color="auto"/>
              <w:bottom w:val="single" w:sz="6" w:space="0" w:color="auto"/>
            </w:tcBorders>
            <w:shd w:val="clear" w:color="auto" w:fill="FFFFFF"/>
            <w:vAlign w:val="bottom"/>
          </w:tcPr>
          <w:p w14:paraId="4CCB77FC"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34C6EF8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4EE057AD"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0F9059D3"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2FD29C31"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A1F5C" w:rsidRPr="00CF31E0" w14:paraId="7307A9B1" w14:textId="77777777" w:rsidTr="00CA1F5C">
        <w:trPr>
          <w:cantSplit/>
        </w:trPr>
        <w:tc>
          <w:tcPr>
            <w:tcW w:w="1736" w:type="dxa"/>
            <w:tcBorders>
              <w:top w:val="single" w:sz="6" w:space="0" w:color="auto"/>
              <w:bottom w:val="nil"/>
            </w:tcBorders>
            <w:shd w:val="clear" w:color="auto" w:fill="FFFFFF"/>
          </w:tcPr>
          <w:p w14:paraId="5A13BEBF"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428989A4"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.047</w:t>
            </w:r>
          </w:p>
        </w:tc>
        <w:tc>
          <w:tcPr>
            <w:tcW w:w="820" w:type="dxa"/>
            <w:tcBorders>
              <w:top w:val="single" w:sz="6" w:space="0" w:color="auto"/>
              <w:bottom w:val="nil"/>
            </w:tcBorders>
            <w:shd w:val="clear" w:color="auto" w:fill="FFFFFF"/>
            <w:vAlign w:val="center"/>
          </w:tcPr>
          <w:p w14:paraId="317233C4"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w:t>
            </w:r>
          </w:p>
        </w:tc>
        <w:tc>
          <w:tcPr>
            <w:tcW w:w="1445" w:type="dxa"/>
            <w:tcBorders>
              <w:top w:val="single" w:sz="6" w:space="0" w:color="auto"/>
              <w:bottom w:val="nil"/>
            </w:tcBorders>
            <w:shd w:val="clear" w:color="auto" w:fill="FFFFFF"/>
            <w:vAlign w:val="center"/>
          </w:tcPr>
          <w:p w14:paraId="0538C238"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.047</w:t>
            </w:r>
          </w:p>
        </w:tc>
        <w:tc>
          <w:tcPr>
            <w:tcW w:w="1030" w:type="dxa"/>
            <w:tcBorders>
              <w:top w:val="single" w:sz="6" w:space="0" w:color="auto"/>
              <w:bottom w:val="nil"/>
            </w:tcBorders>
            <w:shd w:val="clear" w:color="auto" w:fill="FFFFFF"/>
            <w:vAlign w:val="center"/>
          </w:tcPr>
          <w:p w14:paraId="6D7F93E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.028</w:t>
            </w:r>
          </w:p>
        </w:tc>
        <w:tc>
          <w:tcPr>
            <w:tcW w:w="674" w:type="dxa"/>
            <w:tcBorders>
              <w:top w:val="single" w:sz="6" w:space="0" w:color="auto"/>
              <w:bottom w:val="nil"/>
            </w:tcBorders>
            <w:shd w:val="clear" w:color="auto" w:fill="FFFFFF"/>
            <w:vAlign w:val="center"/>
          </w:tcPr>
          <w:p w14:paraId="525A7357"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.866</w:t>
            </w:r>
          </w:p>
        </w:tc>
      </w:tr>
      <w:tr w:rsidR="00CA1F5C" w:rsidRPr="00CF31E0" w14:paraId="338D959A" w14:textId="77777777" w:rsidTr="00CA1F5C">
        <w:trPr>
          <w:cantSplit/>
        </w:trPr>
        <w:tc>
          <w:tcPr>
            <w:tcW w:w="1736" w:type="dxa"/>
            <w:tcBorders>
              <w:top w:val="nil"/>
            </w:tcBorders>
            <w:shd w:val="clear" w:color="auto" w:fill="FFFFFF"/>
          </w:tcPr>
          <w:p w14:paraId="0805EA62"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65FD6779"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1072.534</w:t>
            </w:r>
          </w:p>
        </w:tc>
        <w:tc>
          <w:tcPr>
            <w:tcW w:w="820" w:type="dxa"/>
            <w:tcBorders>
              <w:top w:val="nil"/>
            </w:tcBorders>
            <w:shd w:val="clear" w:color="auto" w:fill="FFFFFF"/>
            <w:vAlign w:val="center"/>
          </w:tcPr>
          <w:p w14:paraId="45777DCD" w14:textId="4F88043F"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325</w:t>
            </w:r>
          </w:p>
        </w:tc>
        <w:tc>
          <w:tcPr>
            <w:tcW w:w="1445" w:type="dxa"/>
            <w:tcBorders>
              <w:top w:val="nil"/>
            </w:tcBorders>
            <w:shd w:val="clear" w:color="auto" w:fill="FFFFFF"/>
            <w:vAlign w:val="center"/>
          </w:tcPr>
          <w:p w14:paraId="1421EA15"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1.663</w:t>
            </w:r>
          </w:p>
        </w:tc>
        <w:tc>
          <w:tcPr>
            <w:tcW w:w="1030" w:type="dxa"/>
            <w:tcBorders>
              <w:top w:val="nil"/>
            </w:tcBorders>
            <w:shd w:val="clear" w:color="auto" w:fill="FFFFFF"/>
            <w:vAlign w:val="center"/>
          </w:tcPr>
          <w:p w14:paraId="741DDB7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3879CBD6"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r w:rsidR="00CA1F5C" w:rsidRPr="00CF31E0" w14:paraId="48D46E0D" w14:textId="77777777" w:rsidTr="00CA1F5C">
        <w:trPr>
          <w:cantSplit/>
        </w:trPr>
        <w:tc>
          <w:tcPr>
            <w:tcW w:w="1736" w:type="dxa"/>
            <w:shd w:val="clear" w:color="auto" w:fill="FFFFFF"/>
          </w:tcPr>
          <w:p w14:paraId="59B10C03"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826AB79"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1072.581</w:t>
            </w:r>
          </w:p>
        </w:tc>
        <w:tc>
          <w:tcPr>
            <w:tcW w:w="820" w:type="dxa"/>
            <w:shd w:val="clear" w:color="auto" w:fill="FFFFFF"/>
            <w:vAlign w:val="center"/>
          </w:tcPr>
          <w:p w14:paraId="7E8D3FBB" w14:textId="35D31ED5"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326</w:t>
            </w:r>
          </w:p>
        </w:tc>
        <w:tc>
          <w:tcPr>
            <w:tcW w:w="1445" w:type="dxa"/>
            <w:shd w:val="clear" w:color="auto" w:fill="FFFFFF"/>
            <w:vAlign w:val="center"/>
          </w:tcPr>
          <w:p w14:paraId="0BD2F607"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37351F38"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0BFB756C"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bl>
    <w:p w14:paraId="5E28DF5D" w14:textId="77777777" w:rsidR="00CA1F5C" w:rsidRPr="00CF31E0" w:rsidRDefault="00CA1F5C" w:rsidP="00B57389">
      <w:pPr>
        <w:rPr>
          <w:color w:val="000000" w:themeColor="text1"/>
          <w:lang w:eastAsia="en-US"/>
        </w:rPr>
      </w:pPr>
    </w:p>
    <w:p w14:paraId="0B8F523E" w14:textId="77777777" w:rsidR="00CA1F5C" w:rsidRPr="00CF31E0" w:rsidRDefault="00CA1F5C"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A1F5C" w:rsidRPr="00CF31E0" w14:paraId="69568754" w14:textId="77777777" w:rsidTr="00CA1F5C">
        <w:trPr>
          <w:cantSplit/>
        </w:trPr>
        <w:tc>
          <w:tcPr>
            <w:tcW w:w="7391" w:type="dxa"/>
            <w:gridSpan w:val="6"/>
            <w:tcBorders>
              <w:top w:val="single" w:sz="8" w:space="0" w:color="auto"/>
              <w:bottom w:val="single" w:sz="8" w:space="0" w:color="auto"/>
            </w:tcBorders>
            <w:shd w:val="clear" w:color="auto" w:fill="FFFFFF"/>
            <w:vAlign w:val="bottom"/>
          </w:tcPr>
          <w:p w14:paraId="5B7D19E0"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Modern factor (HH dialect)</w:t>
            </w:r>
          </w:p>
        </w:tc>
      </w:tr>
      <w:tr w:rsidR="00CA1F5C" w:rsidRPr="00CF31E0" w14:paraId="74EAD69C" w14:textId="77777777" w:rsidTr="00CA1F5C">
        <w:trPr>
          <w:cantSplit/>
        </w:trPr>
        <w:tc>
          <w:tcPr>
            <w:tcW w:w="1736" w:type="dxa"/>
            <w:tcBorders>
              <w:top w:val="single" w:sz="8" w:space="0" w:color="auto"/>
              <w:bottom w:val="single" w:sz="6" w:space="0" w:color="auto"/>
            </w:tcBorders>
            <w:shd w:val="clear" w:color="auto" w:fill="FFFFFF"/>
            <w:vAlign w:val="bottom"/>
          </w:tcPr>
          <w:p w14:paraId="3792A35E"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Age</w:t>
            </w:r>
          </w:p>
        </w:tc>
        <w:tc>
          <w:tcPr>
            <w:tcW w:w="1686" w:type="dxa"/>
            <w:tcBorders>
              <w:top w:val="single" w:sz="8" w:space="0" w:color="auto"/>
              <w:bottom w:val="single" w:sz="6" w:space="0" w:color="auto"/>
            </w:tcBorders>
            <w:shd w:val="clear" w:color="auto" w:fill="FFFFFF"/>
            <w:vAlign w:val="bottom"/>
          </w:tcPr>
          <w:p w14:paraId="0F921EAC"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73AF77EF"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2D9908A8"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62EDE008"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5AB88C4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A1F5C" w:rsidRPr="00CF31E0" w14:paraId="1E9610CD" w14:textId="77777777" w:rsidTr="00CA1F5C">
        <w:trPr>
          <w:cantSplit/>
        </w:trPr>
        <w:tc>
          <w:tcPr>
            <w:tcW w:w="1736" w:type="dxa"/>
            <w:tcBorders>
              <w:top w:val="single" w:sz="6" w:space="0" w:color="auto"/>
              <w:bottom w:val="nil"/>
            </w:tcBorders>
            <w:shd w:val="clear" w:color="auto" w:fill="FFFFFF"/>
          </w:tcPr>
          <w:p w14:paraId="703815CE"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32A978B2"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5.876</w:t>
            </w:r>
          </w:p>
        </w:tc>
        <w:tc>
          <w:tcPr>
            <w:tcW w:w="820" w:type="dxa"/>
            <w:tcBorders>
              <w:top w:val="single" w:sz="6" w:space="0" w:color="auto"/>
              <w:bottom w:val="nil"/>
            </w:tcBorders>
            <w:shd w:val="clear" w:color="auto" w:fill="FFFFFF"/>
            <w:vAlign w:val="center"/>
          </w:tcPr>
          <w:p w14:paraId="2A881E0E"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5</w:t>
            </w:r>
          </w:p>
        </w:tc>
        <w:tc>
          <w:tcPr>
            <w:tcW w:w="1445" w:type="dxa"/>
            <w:tcBorders>
              <w:top w:val="single" w:sz="6" w:space="0" w:color="auto"/>
              <w:bottom w:val="nil"/>
            </w:tcBorders>
            <w:shd w:val="clear" w:color="auto" w:fill="FFFFFF"/>
            <w:vAlign w:val="center"/>
          </w:tcPr>
          <w:p w14:paraId="42F5CD50"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1.175</w:t>
            </w:r>
          </w:p>
        </w:tc>
        <w:tc>
          <w:tcPr>
            <w:tcW w:w="1030" w:type="dxa"/>
            <w:tcBorders>
              <w:top w:val="single" w:sz="6" w:space="0" w:color="auto"/>
              <w:bottom w:val="nil"/>
            </w:tcBorders>
            <w:shd w:val="clear" w:color="auto" w:fill="FFFFFF"/>
            <w:vAlign w:val="center"/>
          </w:tcPr>
          <w:p w14:paraId="6AD241D0"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.704</w:t>
            </w:r>
          </w:p>
        </w:tc>
        <w:tc>
          <w:tcPr>
            <w:tcW w:w="674" w:type="dxa"/>
            <w:tcBorders>
              <w:top w:val="single" w:sz="6" w:space="0" w:color="auto"/>
              <w:bottom w:val="nil"/>
            </w:tcBorders>
            <w:shd w:val="clear" w:color="auto" w:fill="FFFFFF"/>
            <w:vAlign w:val="center"/>
          </w:tcPr>
          <w:p w14:paraId="1F33BAE8"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.620</w:t>
            </w:r>
          </w:p>
        </w:tc>
      </w:tr>
      <w:tr w:rsidR="00CA1F5C" w:rsidRPr="00CF31E0" w14:paraId="32A42E76" w14:textId="77777777" w:rsidTr="00CA1F5C">
        <w:trPr>
          <w:cantSplit/>
        </w:trPr>
        <w:tc>
          <w:tcPr>
            <w:tcW w:w="1736" w:type="dxa"/>
            <w:tcBorders>
              <w:top w:val="nil"/>
            </w:tcBorders>
            <w:shd w:val="clear" w:color="auto" w:fill="FFFFFF"/>
          </w:tcPr>
          <w:p w14:paraId="7E0F5CFD"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2E6F51EB"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1066.285</w:t>
            </w:r>
          </w:p>
        </w:tc>
        <w:tc>
          <w:tcPr>
            <w:tcW w:w="820" w:type="dxa"/>
            <w:tcBorders>
              <w:top w:val="nil"/>
            </w:tcBorders>
            <w:shd w:val="clear" w:color="auto" w:fill="FFFFFF"/>
            <w:vAlign w:val="center"/>
          </w:tcPr>
          <w:p w14:paraId="7FA66F85" w14:textId="03A65E68"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321</w:t>
            </w:r>
          </w:p>
        </w:tc>
        <w:tc>
          <w:tcPr>
            <w:tcW w:w="1445" w:type="dxa"/>
            <w:tcBorders>
              <w:top w:val="nil"/>
            </w:tcBorders>
            <w:shd w:val="clear" w:color="auto" w:fill="FFFFFF"/>
            <w:vAlign w:val="center"/>
          </w:tcPr>
          <w:p w14:paraId="2F1148A3"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1.669</w:t>
            </w:r>
          </w:p>
        </w:tc>
        <w:tc>
          <w:tcPr>
            <w:tcW w:w="1030" w:type="dxa"/>
            <w:tcBorders>
              <w:top w:val="nil"/>
            </w:tcBorders>
            <w:shd w:val="clear" w:color="auto" w:fill="FFFFFF"/>
            <w:vAlign w:val="center"/>
          </w:tcPr>
          <w:p w14:paraId="451C70B4"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6F1C7AE9"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r w:rsidR="00CA1F5C" w:rsidRPr="00CF31E0" w14:paraId="0D061100" w14:textId="77777777" w:rsidTr="00CA1F5C">
        <w:trPr>
          <w:cantSplit/>
        </w:trPr>
        <w:tc>
          <w:tcPr>
            <w:tcW w:w="1736" w:type="dxa"/>
            <w:shd w:val="clear" w:color="auto" w:fill="FFFFFF"/>
          </w:tcPr>
          <w:p w14:paraId="5F973B68"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7CEFD1E"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1072.161</w:t>
            </w:r>
          </w:p>
        </w:tc>
        <w:tc>
          <w:tcPr>
            <w:tcW w:w="820" w:type="dxa"/>
            <w:shd w:val="clear" w:color="auto" w:fill="FFFFFF"/>
            <w:vAlign w:val="center"/>
          </w:tcPr>
          <w:p w14:paraId="6AD136CC" w14:textId="759D30E2"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326</w:t>
            </w:r>
          </w:p>
        </w:tc>
        <w:tc>
          <w:tcPr>
            <w:tcW w:w="1445" w:type="dxa"/>
            <w:shd w:val="clear" w:color="auto" w:fill="FFFFFF"/>
            <w:vAlign w:val="center"/>
          </w:tcPr>
          <w:p w14:paraId="77301436"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0A844F3C"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10E06EC4"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bl>
    <w:p w14:paraId="5BE2F5BB" w14:textId="77777777" w:rsidR="00CA1F5C" w:rsidRPr="00CF31E0" w:rsidRDefault="00CA1F5C" w:rsidP="00B57389">
      <w:pPr>
        <w:rPr>
          <w:color w:val="000000" w:themeColor="text1"/>
          <w:lang w:eastAsia="en-US"/>
        </w:rPr>
      </w:pPr>
    </w:p>
    <w:p w14:paraId="718B6596" w14:textId="77777777" w:rsidR="00CA1F5C" w:rsidRPr="00CF31E0" w:rsidRDefault="00CA1F5C"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A1F5C" w:rsidRPr="00CF31E0" w14:paraId="3C00E07C" w14:textId="77777777" w:rsidTr="00CA1F5C">
        <w:trPr>
          <w:cantSplit/>
        </w:trPr>
        <w:tc>
          <w:tcPr>
            <w:tcW w:w="7391" w:type="dxa"/>
            <w:gridSpan w:val="6"/>
            <w:tcBorders>
              <w:top w:val="single" w:sz="8" w:space="0" w:color="auto"/>
              <w:bottom w:val="single" w:sz="8" w:space="0" w:color="auto"/>
            </w:tcBorders>
            <w:shd w:val="clear" w:color="auto" w:fill="FFFFFF"/>
            <w:vAlign w:val="bottom"/>
          </w:tcPr>
          <w:p w14:paraId="189234D0"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Modern factor (HH dialect)</w:t>
            </w:r>
          </w:p>
        </w:tc>
      </w:tr>
      <w:tr w:rsidR="00CA1F5C" w:rsidRPr="00CF31E0" w14:paraId="1AB1B671" w14:textId="77777777" w:rsidTr="00CA1F5C">
        <w:trPr>
          <w:cantSplit/>
        </w:trPr>
        <w:tc>
          <w:tcPr>
            <w:tcW w:w="1736" w:type="dxa"/>
            <w:tcBorders>
              <w:top w:val="single" w:sz="8" w:space="0" w:color="auto"/>
              <w:bottom w:val="single" w:sz="6" w:space="0" w:color="auto"/>
            </w:tcBorders>
            <w:shd w:val="clear" w:color="auto" w:fill="FFFFFF"/>
            <w:vAlign w:val="bottom"/>
          </w:tcPr>
          <w:p w14:paraId="08B0D57C"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 of birth</w:t>
            </w:r>
          </w:p>
        </w:tc>
        <w:tc>
          <w:tcPr>
            <w:tcW w:w="1686" w:type="dxa"/>
            <w:tcBorders>
              <w:top w:val="single" w:sz="8" w:space="0" w:color="auto"/>
              <w:bottom w:val="single" w:sz="6" w:space="0" w:color="auto"/>
            </w:tcBorders>
            <w:shd w:val="clear" w:color="auto" w:fill="FFFFFF"/>
            <w:vAlign w:val="bottom"/>
          </w:tcPr>
          <w:p w14:paraId="02FAA0C3"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63F5FA7B"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6E972FE1"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3914AA7F"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68DDA938"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A1F5C" w:rsidRPr="00CF31E0" w14:paraId="551D8A5E" w14:textId="77777777" w:rsidTr="00CA1F5C">
        <w:trPr>
          <w:cantSplit/>
        </w:trPr>
        <w:tc>
          <w:tcPr>
            <w:tcW w:w="1736" w:type="dxa"/>
            <w:tcBorders>
              <w:top w:val="single" w:sz="6" w:space="0" w:color="auto"/>
              <w:bottom w:val="nil"/>
            </w:tcBorders>
            <w:shd w:val="clear" w:color="auto" w:fill="FFFFFF"/>
          </w:tcPr>
          <w:p w14:paraId="2EB0D283"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5088ADAD"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2.153</w:t>
            </w:r>
          </w:p>
        </w:tc>
        <w:tc>
          <w:tcPr>
            <w:tcW w:w="820" w:type="dxa"/>
            <w:tcBorders>
              <w:top w:val="single" w:sz="6" w:space="0" w:color="auto"/>
              <w:bottom w:val="nil"/>
            </w:tcBorders>
            <w:shd w:val="clear" w:color="auto" w:fill="FFFFFF"/>
            <w:vAlign w:val="center"/>
          </w:tcPr>
          <w:p w14:paraId="267BA7A2"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w:t>
            </w:r>
          </w:p>
        </w:tc>
        <w:tc>
          <w:tcPr>
            <w:tcW w:w="1445" w:type="dxa"/>
            <w:tcBorders>
              <w:top w:val="single" w:sz="6" w:space="0" w:color="auto"/>
              <w:bottom w:val="nil"/>
            </w:tcBorders>
            <w:shd w:val="clear" w:color="auto" w:fill="FFFFFF"/>
            <w:vAlign w:val="center"/>
          </w:tcPr>
          <w:p w14:paraId="70DAA6E6"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2.153</w:t>
            </w:r>
          </w:p>
        </w:tc>
        <w:tc>
          <w:tcPr>
            <w:tcW w:w="1030" w:type="dxa"/>
            <w:tcBorders>
              <w:top w:val="single" w:sz="6" w:space="0" w:color="auto"/>
              <w:bottom w:val="nil"/>
            </w:tcBorders>
            <w:shd w:val="clear" w:color="auto" w:fill="FFFFFF"/>
            <w:vAlign w:val="center"/>
          </w:tcPr>
          <w:p w14:paraId="0F41B67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1.298</w:t>
            </w:r>
          </w:p>
        </w:tc>
        <w:tc>
          <w:tcPr>
            <w:tcW w:w="674" w:type="dxa"/>
            <w:tcBorders>
              <w:top w:val="single" w:sz="6" w:space="0" w:color="auto"/>
              <w:bottom w:val="nil"/>
            </w:tcBorders>
            <w:shd w:val="clear" w:color="auto" w:fill="FFFFFF"/>
            <w:vAlign w:val="center"/>
          </w:tcPr>
          <w:p w14:paraId="67020F9B"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.255</w:t>
            </w:r>
          </w:p>
        </w:tc>
      </w:tr>
      <w:tr w:rsidR="00CA1F5C" w:rsidRPr="00CF31E0" w14:paraId="36B30938" w14:textId="77777777" w:rsidTr="00CA1F5C">
        <w:trPr>
          <w:cantSplit/>
        </w:trPr>
        <w:tc>
          <w:tcPr>
            <w:tcW w:w="1736" w:type="dxa"/>
            <w:tcBorders>
              <w:top w:val="nil"/>
            </w:tcBorders>
            <w:shd w:val="clear" w:color="auto" w:fill="FFFFFF"/>
          </w:tcPr>
          <w:p w14:paraId="695228EA"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0FF88103"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1070.428</w:t>
            </w:r>
          </w:p>
        </w:tc>
        <w:tc>
          <w:tcPr>
            <w:tcW w:w="820" w:type="dxa"/>
            <w:tcBorders>
              <w:top w:val="nil"/>
            </w:tcBorders>
            <w:shd w:val="clear" w:color="auto" w:fill="FFFFFF"/>
            <w:vAlign w:val="center"/>
          </w:tcPr>
          <w:p w14:paraId="4B7A0810" w14:textId="00BB58BE"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325</w:t>
            </w:r>
          </w:p>
        </w:tc>
        <w:tc>
          <w:tcPr>
            <w:tcW w:w="1445" w:type="dxa"/>
            <w:tcBorders>
              <w:top w:val="nil"/>
            </w:tcBorders>
            <w:shd w:val="clear" w:color="auto" w:fill="FFFFFF"/>
            <w:vAlign w:val="center"/>
          </w:tcPr>
          <w:p w14:paraId="23941B97"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1.660</w:t>
            </w:r>
          </w:p>
        </w:tc>
        <w:tc>
          <w:tcPr>
            <w:tcW w:w="1030" w:type="dxa"/>
            <w:tcBorders>
              <w:top w:val="nil"/>
            </w:tcBorders>
            <w:shd w:val="clear" w:color="auto" w:fill="FFFFFF"/>
            <w:vAlign w:val="center"/>
          </w:tcPr>
          <w:p w14:paraId="03F3382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24BE619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r w:rsidR="00CA1F5C" w:rsidRPr="00CF31E0" w14:paraId="5AE8196B" w14:textId="77777777" w:rsidTr="00CA1F5C">
        <w:trPr>
          <w:cantSplit/>
        </w:trPr>
        <w:tc>
          <w:tcPr>
            <w:tcW w:w="1736" w:type="dxa"/>
            <w:shd w:val="clear" w:color="auto" w:fill="FFFFFF"/>
          </w:tcPr>
          <w:p w14:paraId="0D756CA2"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6CD53AAC"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1072.581</w:t>
            </w:r>
          </w:p>
        </w:tc>
        <w:tc>
          <w:tcPr>
            <w:tcW w:w="820" w:type="dxa"/>
            <w:shd w:val="clear" w:color="auto" w:fill="FFFFFF"/>
            <w:vAlign w:val="center"/>
          </w:tcPr>
          <w:p w14:paraId="4B38BEB0" w14:textId="172C2999"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326</w:t>
            </w:r>
          </w:p>
        </w:tc>
        <w:tc>
          <w:tcPr>
            <w:tcW w:w="1445" w:type="dxa"/>
            <w:shd w:val="clear" w:color="auto" w:fill="FFFFFF"/>
            <w:vAlign w:val="center"/>
          </w:tcPr>
          <w:p w14:paraId="5AF8367C"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7F4F16FF"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183240AE"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bl>
    <w:p w14:paraId="0E48F544" w14:textId="77777777" w:rsidR="00CA1F5C" w:rsidRPr="00CF31E0" w:rsidRDefault="00CA1F5C" w:rsidP="00B57389">
      <w:pPr>
        <w:rPr>
          <w:color w:val="000000" w:themeColor="text1"/>
          <w:lang w:eastAsia="en-US"/>
        </w:rPr>
      </w:pPr>
    </w:p>
    <w:p w14:paraId="4C1C97EA" w14:textId="77777777" w:rsidR="00C73201" w:rsidRPr="00CF31E0" w:rsidRDefault="00C73201" w:rsidP="00B57389">
      <w:pPr>
        <w:rPr>
          <w:color w:val="000000" w:themeColor="text1"/>
          <w:lang w:eastAsia="en-US"/>
        </w:rPr>
      </w:pPr>
    </w:p>
    <w:p w14:paraId="3BEA40E6" w14:textId="77777777" w:rsidR="00C73201" w:rsidRPr="00CF31E0" w:rsidRDefault="00C73201"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A1F5C" w:rsidRPr="00CF31E0" w14:paraId="6D1DB486" w14:textId="77777777" w:rsidTr="00CA1F5C">
        <w:trPr>
          <w:cantSplit/>
        </w:trPr>
        <w:tc>
          <w:tcPr>
            <w:tcW w:w="7391" w:type="dxa"/>
            <w:gridSpan w:val="6"/>
            <w:tcBorders>
              <w:top w:val="single" w:sz="8" w:space="0" w:color="auto"/>
              <w:bottom w:val="single" w:sz="8" w:space="0" w:color="auto"/>
            </w:tcBorders>
            <w:shd w:val="clear" w:color="auto" w:fill="FFFFFF"/>
            <w:vAlign w:val="bottom"/>
          </w:tcPr>
          <w:p w14:paraId="6842FE2B"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Modern factor (HH dialect)</w:t>
            </w:r>
          </w:p>
        </w:tc>
      </w:tr>
      <w:tr w:rsidR="00CA1F5C" w:rsidRPr="00CF31E0" w14:paraId="46E8A619" w14:textId="77777777" w:rsidTr="00CA1F5C">
        <w:trPr>
          <w:cantSplit/>
        </w:trPr>
        <w:tc>
          <w:tcPr>
            <w:tcW w:w="1736" w:type="dxa"/>
            <w:tcBorders>
              <w:top w:val="single" w:sz="8" w:space="0" w:color="auto"/>
              <w:bottom w:val="single" w:sz="6" w:space="0" w:color="auto"/>
            </w:tcBorders>
            <w:shd w:val="clear" w:color="auto" w:fill="FFFFFF"/>
            <w:vAlign w:val="bottom"/>
          </w:tcPr>
          <w:p w14:paraId="27A37104"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Places lived</w:t>
            </w:r>
          </w:p>
        </w:tc>
        <w:tc>
          <w:tcPr>
            <w:tcW w:w="1686" w:type="dxa"/>
            <w:tcBorders>
              <w:top w:val="single" w:sz="8" w:space="0" w:color="auto"/>
              <w:bottom w:val="single" w:sz="6" w:space="0" w:color="auto"/>
            </w:tcBorders>
            <w:shd w:val="clear" w:color="auto" w:fill="FFFFFF"/>
            <w:vAlign w:val="bottom"/>
          </w:tcPr>
          <w:p w14:paraId="4433755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0529E1CE"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32C842B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47B49776"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7623650D"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A1F5C" w:rsidRPr="00CF31E0" w14:paraId="61E2599E" w14:textId="77777777" w:rsidTr="00CA1F5C">
        <w:trPr>
          <w:cantSplit/>
        </w:trPr>
        <w:tc>
          <w:tcPr>
            <w:tcW w:w="1736" w:type="dxa"/>
            <w:tcBorders>
              <w:top w:val="single" w:sz="6" w:space="0" w:color="auto"/>
              <w:bottom w:val="nil"/>
            </w:tcBorders>
            <w:shd w:val="clear" w:color="auto" w:fill="FFFFFF"/>
          </w:tcPr>
          <w:p w14:paraId="6638E904"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305039C9"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.050</w:t>
            </w:r>
          </w:p>
        </w:tc>
        <w:tc>
          <w:tcPr>
            <w:tcW w:w="820" w:type="dxa"/>
            <w:tcBorders>
              <w:top w:val="single" w:sz="6" w:space="0" w:color="auto"/>
              <w:bottom w:val="nil"/>
            </w:tcBorders>
            <w:shd w:val="clear" w:color="auto" w:fill="FFFFFF"/>
            <w:vAlign w:val="center"/>
          </w:tcPr>
          <w:p w14:paraId="10C5AD1D"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w:t>
            </w:r>
          </w:p>
        </w:tc>
        <w:tc>
          <w:tcPr>
            <w:tcW w:w="1445" w:type="dxa"/>
            <w:tcBorders>
              <w:top w:val="single" w:sz="6" w:space="0" w:color="auto"/>
              <w:bottom w:val="nil"/>
            </w:tcBorders>
            <w:shd w:val="clear" w:color="auto" w:fill="FFFFFF"/>
            <w:vAlign w:val="center"/>
          </w:tcPr>
          <w:p w14:paraId="0A8EE3E4"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.050</w:t>
            </w:r>
          </w:p>
        </w:tc>
        <w:tc>
          <w:tcPr>
            <w:tcW w:w="1030" w:type="dxa"/>
            <w:tcBorders>
              <w:top w:val="single" w:sz="6" w:space="0" w:color="auto"/>
              <w:bottom w:val="nil"/>
            </w:tcBorders>
            <w:shd w:val="clear" w:color="auto" w:fill="FFFFFF"/>
            <w:vAlign w:val="center"/>
          </w:tcPr>
          <w:p w14:paraId="26C957B4"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.030</w:t>
            </w:r>
          </w:p>
        </w:tc>
        <w:tc>
          <w:tcPr>
            <w:tcW w:w="674" w:type="dxa"/>
            <w:tcBorders>
              <w:top w:val="single" w:sz="6" w:space="0" w:color="auto"/>
              <w:bottom w:val="nil"/>
            </w:tcBorders>
            <w:shd w:val="clear" w:color="auto" w:fill="FFFFFF"/>
            <w:vAlign w:val="center"/>
          </w:tcPr>
          <w:p w14:paraId="15365EDF"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.863</w:t>
            </w:r>
          </w:p>
        </w:tc>
      </w:tr>
      <w:tr w:rsidR="00CA1F5C" w:rsidRPr="00CF31E0" w14:paraId="15AD44DE" w14:textId="77777777" w:rsidTr="00CA1F5C">
        <w:trPr>
          <w:cantSplit/>
        </w:trPr>
        <w:tc>
          <w:tcPr>
            <w:tcW w:w="1736" w:type="dxa"/>
            <w:tcBorders>
              <w:top w:val="nil"/>
            </w:tcBorders>
            <w:shd w:val="clear" w:color="auto" w:fill="FFFFFF"/>
          </w:tcPr>
          <w:p w14:paraId="4394DC9D"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Within Groups</w:t>
            </w:r>
          </w:p>
        </w:tc>
        <w:tc>
          <w:tcPr>
            <w:tcW w:w="1686" w:type="dxa"/>
            <w:tcBorders>
              <w:top w:val="nil"/>
            </w:tcBorders>
            <w:shd w:val="clear" w:color="auto" w:fill="FFFFFF"/>
            <w:vAlign w:val="center"/>
          </w:tcPr>
          <w:p w14:paraId="40E04130"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965.172</w:t>
            </w:r>
          </w:p>
        </w:tc>
        <w:tc>
          <w:tcPr>
            <w:tcW w:w="820" w:type="dxa"/>
            <w:tcBorders>
              <w:top w:val="nil"/>
            </w:tcBorders>
            <w:shd w:val="clear" w:color="auto" w:fill="FFFFFF"/>
            <w:vAlign w:val="center"/>
          </w:tcPr>
          <w:p w14:paraId="76319338" w14:textId="3631ADD3"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325</w:t>
            </w:r>
          </w:p>
        </w:tc>
        <w:tc>
          <w:tcPr>
            <w:tcW w:w="1445" w:type="dxa"/>
            <w:tcBorders>
              <w:top w:val="nil"/>
            </w:tcBorders>
            <w:shd w:val="clear" w:color="auto" w:fill="FFFFFF"/>
            <w:vAlign w:val="center"/>
          </w:tcPr>
          <w:p w14:paraId="66E9C1CE"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1.681</w:t>
            </w:r>
          </w:p>
        </w:tc>
        <w:tc>
          <w:tcPr>
            <w:tcW w:w="1030" w:type="dxa"/>
            <w:tcBorders>
              <w:top w:val="nil"/>
            </w:tcBorders>
            <w:shd w:val="clear" w:color="auto" w:fill="FFFFFF"/>
            <w:vAlign w:val="center"/>
          </w:tcPr>
          <w:p w14:paraId="30BCDC6B"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5860D3E1"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r w:rsidR="00CA1F5C" w:rsidRPr="00CF31E0" w14:paraId="29A65298" w14:textId="77777777" w:rsidTr="00CA1F5C">
        <w:trPr>
          <w:cantSplit/>
        </w:trPr>
        <w:tc>
          <w:tcPr>
            <w:tcW w:w="1736" w:type="dxa"/>
            <w:shd w:val="clear" w:color="auto" w:fill="FFFFFF"/>
          </w:tcPr>
          <w:p w14:paraId="3337C23B"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D231324"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965.222</w:t>
            </w:r>
          </w:p>
        </w:tc>
        <w:tc>
          <w:tcPr>
            <w:tcW w:w="820" w:type="dxa"/>
            <w:shd w:val="clear" w:color="auto" w:fill="FFFFFF"/>
            <w:vAlign w:val="center"/>
          </w:tcPr>
          <w:p w14:paraId="45A257BF" w14:textId="408B4E81"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326</w:t>
            </w:r>
          </w:p>
        </w:tc>
        <w:tc>
          <w:tcPr>
            <w:tcW w:w="1445" w:type="dxa"/>
            <w:shd w:val="clear" w:color="auto" w:fill="FFFFFF"/>
            <w:vAlign w:val="center"/>
          </w:tcPr>
          <w:p w14:paraId="000D040C"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0E60E2AE"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35E4E808"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bl>
    <w:p w14:paraId="2F6E114A" w14:textId="77777777" w:rsidR="00CA1F5C" w:rsidRPr="00CF31E0" w:rsidRDefault="00CA1F5C" w:rsidP="00B57389">
      <w:pPr>
        <w:rPr>
          <w:color w:val="000000" w:themeColor="text1"/>
          <w:lang w:eastAsia="en-US"/>
        </w:rPr>
      </w:pPr>
    </w:p>
    <w:p w14:paraId="3EF7C54C" w14:textId="77777777" w:rsidR="00CA1F5C" w:rsidRPr="00CF31E0" w:rsidRDefault="00CA1F5C"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A1F5C" w:rsidRPr="00CF31E0" w14:paraId="28EEFD29" w14:textId="77777777" w:rsidTr="00CA1F5C">
        <w:trPr>
          <w:cantSplit/>
        </w:trPr>
        <w:tc>
          <w:tcPr>
            <w:tcW w:w="7391" w:type="dxa"/>
            <w:gridSpan w:val="6"/>
            <w:tcBorders>
              <w:top w:val="single" w:sz="8" w:space="0" w:color="auto"/>
              <w:bottom w:val="single" w:sz="8" w:space="0" w:color="auto"/>
            </w:tcBorders>
            <w:shd w:val="clear" w:color="auto" w:fill="FFFFFF"/>
            <w:vAlign w:val="bottom"/>
          </w:tcPr>
          <w:p w14:paraId="49504EE2"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Modern factor (HH dialect)</w:t>
            </w:r>
          </w:p>
        </w:tc>
      </w:tr>
      <w:tr w:rsidR="00CA1F5C" w:rsidRPr="00CF31E0" w14:paraId="654339C4" w14:textId="77777777" w:rsidTr="00CA1F5C">
        <w:trPr>
          <w:cantSplit/>
        </w:trPr>
        <w:tc>
          <w:tcPr>
            <w:tcW w:w="1736" w:type="dxa"/>
            <w:tcBorders>
              <w:top w:val="single" w:sz="8" w:space="0" w:color="auto"/>
              <w:bottom w:val="single" w:sz="6" w:space="0" w:color="auto"/>
            </w:tcBorders>
            <w:shd w:val="clear" w:color="auto" w:fill="FFFFFF"/>
            <w:vAlign w:val="bottom"/>
          </w:tcPr>
          <w:p w14:paraId="7372C530"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Marital status</w:t>
            </w:r>
          </w:p>
        </w:tc>
        <w:tc>
          <w:tcPr>
            <w:tcW w:w="1686" w:type="dxa"/>
            <w:tcBorders>
              <w:top w:val="single" w:sz="8" w:space="0" w:color="auto"/>
              <w:bottom w:val="single" w:sz="6" w:space="0" w:color="auto"/>
            </w:tcBorders>
            <w:shd w:val="clear" w:color="auto" w:fill="FFFFFF"/>
            <w:vAlign w:val="bottom"/>
          </w:tcPr>
          <w:p w14:paraId="1503C497"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4C999BF6"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3C0114AB"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1082B7F8"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01D86264"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A1F5C" w:rsidRPr="00CF31E0" w14:paraId="680FCC50" w14:textId="77777777" w:rsidTr="00CA1F5C">
        <w:trPr>
          <w:cantSplit/>
        </w:trPr>
        <w:tc>
          <w:tcPr>
            <w:tcW w:w="1736" w:type="dxa"/>
            <w:tcBorders>
              <w:top w:val="single" w:sz="6" w:space="0" w:color="auto"/>
              <w:bottom w:val="nil"/>
            </w:tcBorders>
            <w:shd w:val="clear" w:color="auto" w:fill="FFFFFF"/>
          </w:tcPr>
          <w:p w14:paraId="5F0C112F"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6CFC2804"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.424</w:t>
            </w:r>
          </w:p>
        </w:tc>
        <w:tc>
          <w:tcPr>
            <w:tcW w:w="820" w:type="dxa"/>
            <w:tcBorders>
              <w:top w:val="single" w:sz="6" w:space="0" w:color="auto"/>
              <w:bottom w:val="nil"/>
            </w:tcBorders>
            <w:shd w:val="clear" w:color="auto" w:fill="FFFFFF"/>
            <w:vAlign w:val="center"/>
          </w:tcPr>
          <w:p w14:paraId="20980988"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w:t>
            </w:r>
          </w:p>
        </w:tc>
        <w:tc>
          <w:tcPr>
            <w:tcW w:w="1445" w:type="dxa"/>
            <w:tcBorders>
              <w:top w:val="single" w:sz="6" w:space="0" w:color="auto"/>
              <w:bottom w:val="nil"/>
            </w:tcBorders>
            <w:shd w:val="clear" w:color="auto" w:fill="FFFFFF"/>
            <w:vAlign w:val="center"/>
          </w:tcPr>
          <w:p w14:paraId="03B2656D"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.141</w:t>
            </w:r>
          </w:p>
        </w:tc>
        <w:tc>
          <w:tcPr>
            <w:tcW w:w="1030" w:type="dxa"/>
            <w:tcBorders>
              <w:top w:val="single" w:sz="6" w:space="0" w:color="auto"/>
              <w:bottom w:val="nil"/>
            </w:tcBorders>
            <w:shd w:val="clear" w:color="auto" w:fill="FFFFFF"/>
            <w:vAlign w:val="center"/>
          </w:tcPr>
          <w:p w14:paraId="6DE9B0DB"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.085</w:t>
            </w:r>
          </w:p>
        </w:tc>
        <w:tc>
          <w:tcPr>
            <w:tcW w:w="674" w:type="dxa"/>
            <w:tcBorders>
              <w:top w:val="single" w:sz="6" w:space="0" w:color="auto"/>
              <w:bottom w:val="nil"/>
            </w:tcBorders>
            <w:shd w:val="clear" w:color="auto" w:fill="FFFFFF"/>
            <w:vAlign w:val="center"/>
          </w:tcPr>
          <w:p w14:paraId="3932AC7B"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.968</w:t>
            </w:r>
          </w:p>
        </w:tc>
      </w:tr>
      <w:tr w:rsidR="00CA1F5C" w:rsidRPr="00CF31E0" w14:paraId="783EFD67" w14:textId="77777777" w:rsidTr="00CA1F5C">
        <w:trPr>
          <w:cantSplit/>
        </w:trPr>
        <w:tc>
          <w:tcPr>
            <w:tcW w:w="1736" w:type="dxa"/>
            <w:tcBorders>
              <w:top w:val="nil"/>
            </w:tcBorders>
            <w:shd w:val="clear" w:color="auto" w:fill="FFFFFF"/>
          </w:tcPr>
          <w:p w14:paraId="411E0CE7"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38E1CCB7"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1072.157</w:t>
            </w:r>
          </w:p>
        </w:tc>
        <w:tc>
          <w:tcPr>
            <w:tcW w:w="820" w:type="dxa"/>
            <w:tcBorders>
              <w:top w:val="nil"/>
            </w:tcBorders>
            <w:shd w:val="clear" w:color="auto" w:fill="FFFFFF"/>
            <w:vAlign w:val="center"/>
          </w:tcPr>
          <w:p w14:paraId="4977574E" w14:textId="0EE82808"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323</w:t>
            </w:r>
          </w:p>
        </w:tc>
        <w:tc>
          <w:tcPr>
            <w:tcW w:w="1445" w:type="dxa"/>
            <w:tcBorders>
              <w:top w:val="nil"/>
            </w:tcBorders>
            <w:shd w:val="clear" w:color="auto" w:fill="FFFFFF"/>
            <w:vAlign w:val="center"/>
          </w:tcPr>
          <w:p w14:paraId="025D287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1.667</w:t>
            </w:r>
          </w:p>
        </w:tc>
        <w:tc>
          <w:tcPr>
            <w:tcW w:w="1030" w:type="dxa"/>
            <w:tcBorders>
              <w:top w:val="nil"/>
            </w:tcBorders>
            <w:shd w:val="clear" w:color="auto" w:fill="FFFFFF"/>
            <w:vAlign w:val="center"/>
          </w:tcPr>
          <w:p w14:paraId="4AE67B54"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07162967"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r w:rsidR="00CA1F5C" w:rsidRPr="00CF31E0" w14:paraId="3D78ECF5" w14:textId="77777777" w:rsidTr="00CA1F5C">
        <w:trPr>
          <w:cantSplit/>
        </w:trPr>
        <w:tc>
          <w:tcPr>
            <w:tcW w:w="1736" w:type="dxa"/>
            <w:shd w:val="clear" w:color="auto" w:fill="FFFFFF"/>
          </w:tcPr>
          <w:p w14:paraId="238C3FF9"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567EE7FB"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1072.581</w:t>
            </w:r>
          </w:p>
        </w:tc>
        <w:tc>
          <w:tcPr>
            <w:tcW w:w="820" w:type="dxa"/>
            <w:shd w:val="clear" w:color="auto" w:fill="FFFFFF"/>
            <w:vAlign w:val="center"/>
          </w:tcPr>
          <w:p w14:paraId="5D966EAF" w14:textId="0857ADDB"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326</w:t>
            </w:r>
          </w:p>
        </w:tc>
        <w:tc>
          <w:tcPr>
            <w:tcW w:w="1445" w:type="dxa"/>
            <w:shd w:val="clear" w:color="auto" w:fill="FFFFFF"/>
            <w:vAlign w:val="center"/>
          </w:tcPr>
          <w:p w14:paraId="6F211BFE"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643BD91B"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6704C7FC"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bl>
    <w:p w14:paraId="2BBEC750" w14:textId="77777777" w:rsidR="00CA1F5C" w:rsidRPr="00CF31E0" w:rsidRDefault="00CA1F5C" w:rsidP="00B57389">
      <w:pPr>
        <w:rPr>
          <w:color w:val="000000" w:themeColor="text1"/>
          <w:lang w:eastAsia="en-US"/>
        </w:rPr>
      </w:pPr>
    </w:p>
    <w:p w14:paraId="0B1D2A5A" w14:textId="77777777" w:rsidR="00EB50E5" w:rsidRPr="00CF31E0" w:rsidRDefault="00EB50E5"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A1F5C" w:rsidRPr="00CF31E0" w14:paraId="4736B423" w14:textId="77777777" w:rsidTr="00CA1F5C">
        <w:trPr>
          <w:cantSplit/>
        </w:trPr>
        <w:tc>
          <w:tcPr>
            <w:tcW w:w="7391" w:type="dxa"/>
            <w:gridSpan w:val="6"/>
            <w:tcBorders>
              <w:top w:val="single" w:sz="8" w:space="0" w:color="auto"/>
              <w:bottom w:val="single" w:sz="8" w:space="0" w:color="auto"/>
            </w:tcBorders>
            <w:shd w:val="clear" w:color="auto" w:fill="FFFFFF"/>
            <w:vAlign w:val="bottom"/>
          </w:tcPr>
          <w:p w14:paraId="75D9FFC9"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Modern factor (HH dialect)</w:t>
            </w:r>
          </w:p>
        </w:tc>
      </w:tr>
      <w:tr w:rsidR="00CA1F5C" w:rsidRPr="00CF31E0" w14:paraId="306F75B2" w14:textId="77777777" w:rsidTr="00CA1F5C">
        <w:trPr>
          <w:cantSplit/>
        </w:trPr>
        <w:tc>
          <w:tcPr>
            <w:tcW w:w="1736" w:type="dxa"/>
            <w:tcBorders>
              <w:top w:val="single" w:sz="8" w:space="0" w:color="auto"/>
              <w:bottom w:val="single" w:sz="6" w:space="0" w:color="auto"/>
            </w:tcBorders>
            <w:shd w:val="clear" w:color="auto" w:fill="FFFFFF"/>
            <w:vAlign w:val="bottom"/>
          </w:tcPr>
          <w:p w14:paraId="18A96EC5"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Education</w:t>
            </w:r>
          </w:p>
        </w:tc>
        <w:tc>
          <w:tcPr>
            <w:tcW w:w="1686" w:type="dxa"/>
            <w:tcBorders>
              <w:top w:val="single" w:sz="8" w:space="0" w:color="auto"/>
              <w:bottom w:val="single" w:sz="6" w:space="0" w:color="auto"/>
            </w:tcBorders>
            <w:shd w:val="clear" w:color="auto" w:fill="FFFFFF"/>
            <w:vAlign w:val="bottom"/>
          </w:tcPr>
          <w:p w14:paraId="370B3D0E"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4532127C"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2CFBF511"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8F554BB"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56C075AE"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A1F5C" w:rsidRPr="00CF31E0" w14:paraId="280F8785" w14:textId="77777777" w:rsidTr="00CA1F5C">
        <w:trPr>
          <w:cantSplit/>
        </w:trPr>
        <w:tc>
          <w:tcPr>
            <w:tcW w:w="1736" w:type="dxa"/>
            <w:tcBorders>
              <w:top w:val="single" w:sz="6" w:space="0" w:color="auto"/>
              <w:bottom w:val="nil"/>
            </w:tcBorders>
            <w:shd w:val="clear" w:color="auto" w:fill="FFFFFF"/>
          </w:tcPr>
          <w:p w14:paraId="3F02ED34"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6E52BEED"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7.990</w:t>
            </w:r>
          </w:p>
        </w:tc>
        <w:tc>
          <w:tcPr>
            <w:tcW w:w="820" w:type="dxa"/>
            <w:tcBorders>
              <w:top w:val="single" w:sz="6" w:space="0" w:color="auto"/>
              <w:bottom w:val="nil"/>
            </w:tcBorders>
            <w:shd w:val="clear" w:color="auto" w:fill="FFFFFF"/>
            <w:vAlign w:val="center"/>
          </w:tcPr>
          <w:p w14:paraId="77737E88"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5</w:t>
            </w:r>
          </w:p>
        </w:tc>
        <w:tc>
          <w:tcPr>
            <w:tcW w:w="1445" w:type="dxa"/>
            <w:tcBorders>
              <w:top w:val="single" w:sz="6" w:space="0" w:color="auto"/>
              <w:bottom w:val="nil"/>
            </w:tcBorders>
            <w:shd w:val="clear" w:color="auto" w:fill="FFFFFF"/>
            <w:vAlign w:val="center"/>
          </w:tcPr>
          <w:p w14:paraId="24CA31F3"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1.598</w:t>
            </w:r>
          </w:p>
        </w:tc>
        <w:tc>
          <w:tcPr>
            <w:tcW w:w="1030" w:type="dxa"/>
            <w:tcBorders>
              <w:top w:val="single" w:sz="6" w:space="0" w:color="auto"/>
              <w:bottom w:val="nil"/>
            </w:tcBorders>
            <w:shd w:val="clear" w:color="auto" w:fill="FFFFFF"/>
            <w:vAlign w:val="center"/>
          </w:tcPr>
          <w:p w14:paraId="7BEB0B91"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.962</w:t>
            </w:r>
          </w:p>
        </w:tc>
        <w:tc>
          <w:tcPr>
            <w:tcW w:w="674" w:type="dxa"/>
            <w:tcBorders>
              <w:top w:val="single" w:sz="6" w:space="0" w:color="auto"/>
              <w:bottom w:val="nil"/>
            </w:tcBorders>
            <w:shd w:val="clear" w:color="auto" w:fill="FFFFFF"/>
            <w:vAlign w:val="center"/>
          </w:tcPr>
          <w:p w14:paraId="0327C725"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.440</w:t>
            </w:r>
          </w:p>
        </w:tc>
      </w:tr>
      <w:tr w:rsidR="00CA1F5C" w:rsidRPr="00CF31E0" w14:paraId="7B3EF19F" w14:textId="77777777" w:rsidTr="00CA1F5C">
        <w:trPr>
          <w:cantSplit/>
        </w:trPr>
        <w:tc>
          <w:tcPr>
            <w:tcW w:w="1736" w:type="dxa"/>
            <w:tcBorders>
              <w:top w:val="nil"/>
            </w:tcBorders>
            <w:shd w:val="clear" w:color="auto" w:fill="FFFFFF"/>
          </w:tcPr>
          <w:p w14:paraId="76CED22E"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77622FE2"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1064.591</w:t>
            </w:r>
          </w:p>
        </w:tc>
        <w:tc>
          <w:tcPr>
            <w:tcW w:w="820" w:type="dxa"/>
            <w:tcBorders>
              <w:top w:val="nil"/>
            </w:tcBorders>
            <w:shd w:val="clear" w:color="auto" w:fill="FFFFFF"/>
            <w:vAlign w:val="center"/>
          </w:tcPr>
          <w:p w14:paraId="0CD3F700" w14:textId="72913ECF"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321</w:t>
            </w:r>
          </w:p>
        </w:tc>
        <w:tc>
          <w:tcPr>
            <w:tcW w:w="1445" w:type="dxa"/>
            <w:tcBorders>
              <w:top w:val="nil"/>
            </w:tcBorders>
            <w:shd w:val="clear" w:color="auto" w:fill="FFFFFF"/>
            <w:vAlign w:val="center"/>
          </w:tcPr>
          <w:p w14:paraId="3AB78541"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1.661</w:t>
            </w:r>
          </w:p>
        </w:tc>
        <w:tc>
          <w:tcPr>
            <w:tcW w:w="1030" w:type="dxa"/>
            <w:tcBorders>
              <w:top w:val="nil"/>
            </w:tcBorders>
            <w:shd w:val="clear" w:color="auto" w:fill="FFFFFF"/>
            <w:vAlign w:val="center"/>
          </w:tcPr>
          <w:p w14:paraId="2D7FE8AE"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1F0E1B6D"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r w:rsidR="00CA1F5C" w:rsidRPr="00CF31E0" w14:paraId="338D5DA6" w14:textId="77777777" w:rsidTr="00CA1F5C">
        <w:trPr>
          <w:cantSplit/>
        </w:trPr>
        <w:tc>
          <w:tcPr>
            <w:tcW w:w="1736" w:type="dxa"/>
            <w:shd w:val="clear" w:color="auto" w:fill="FFFFFF"/>
          </w:tcPr>
          <w:p w14:paraId="38C8567A"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8AA4794"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1072.581</w:t>
            </w:r>
          </w:p>
        </w:tc>
        <w:tc>
          <w:tcPr>
            <w:tcW w:w="820" w:type="dxa"/>
            <w:shd w:val="clear" w:color="auto" w:fill="FFFFFF"/>
            <w:vAlign w:val="center"/>
          </w:tcPr>
          <w:p w14:paraId="378900FC" w14:textId="3AADCE13"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326</w:t>
            </w:r>
          </w:p>
        </w:tc>
        <w:tc>
          <w:tcPr>
            <w:tcW w:w="1445" w:type="dxa"/>
            <w:shd w:val="clear" w:color="auto" w:fill="FFFFFF"/>
            <w:vAlign w:val="center"/>
          </w:tcPr>
          <w:p w14:paraId="1DF7A5EE"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40A561E5"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23A95E24"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bl>
    <w:p w14:paraId="3B9A4137" w14:textId="77777777" w:rsidR="00CA1F5C" w:rsidRPr="00CF31E0" w:rsidRDefault="00CA1F5C" w:rsidP="00B57389">
      <w:pPr>
        <w:rPr>
          <w:color w:val="000000" w:themeColor="text1"/>
          <w:lang w:eastAsia="en-US"/>
        </w:rPr>
      </w:pPr>
    </w:p>
    <w:p w14:paraId="1EA8F055" w14:textId="77777777" w:rsidR="00C73201" w:rsidRPr="00CF31E0" w:rsidRDefault="00C73201"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A1F5C" w:rsidRPr="00CF31E0" w14:paraId="458905E6" w14:textId="77777777" w:rsidTr="00CA1F5C">
        <w:trPr>
          <w:cantSplit/>
        </w:trPr>
        <w:tc>
          <w:tcPr>
            <w:tcW w:w="7391" w:type="dxa"/>
            <w:gridSpan w:val="6"/>
            <w:tcBorders>
              <w:top w:val="single" w:sz="8" w:space="0" w:color="auto"/>
              <w:bottom w:val="single" w:sz="8" w:space="0" w:color="auto"/>
            </w:tcBorders>
            <w:shd w:val="clear" w:color="auto" w:fill="FFFFFF"/>
            <w:vAlign w:val="bottom"/>
          </w:tcPr>
          <w:p w14:paraId="62C548DC" w14:textId="7C4AB4F5" w:rsidR="00CA1F5C" w:rsidRPr="00CF31E0" w:rsidRDefault="00BE5AEB"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Traditional</w:t>
            </w:r>
            <w:r w:rsidR="00CA1F5C" w:rsidRPr="00CF31E0">
              <w:rPr>
                <w:rFonts w:eastAsia="Calibri" w:cs="Arial"/>
                <w:color w:val="000000" w:themeColor="text1"/>
                <w:sz w:val="22"/>
                <w:szCs w:val="22"/>
                <w:lang w:eastAsia="en-US"/>
              </w:rPr>
              <w:t xml:space="preserve"> factor (HH dialect)</w:t>
            </w:r>
          </w:p>
        </w:tc>
      </w:tr>
      <w:tr w:rsidR="00CA1F5C" w:rsidRPr="00CF31E0" w14:paraId="6FAB4504" w14:textId="77777777" w:rsidTr="00CA1F5C">
        <w:trPr>
          <w:cantSplit/>
        </w:trPr>
        <w:tc>
          <w:tcPr>
            <w:tcW w:w="1736" w:type="dxa"/>
            <w:tcBorders>
              <w:top w:val="single" w:sz="8" w:space="0" w:color="auto"/>
              <w:bottom w:val="single" w:sz="6" w:space="0" w:color="auto"/>
            </w:tcBorders>
            <w:shd w:val="clear" w:color="auto" w:fill="FFFFFF"/>
            <w:vAlign w:val="bottom"/>
          </w:tcPr>
          <w:p w14:paraId="34B42A90" w14:textId="337709F5" w:rsidR="00CA1F5C" w:rsidRPr="00CF31E0" w:rsidRDefault="00BE5AEB"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Gender</w:t>
            </w:r>
          </w:p>
        </w:tc>
        <w:tc>
          <w:tcPr>
            <w:tcW w:w="1686" w:type="dxa"/>
            <w:tcBorders>
              <w:top w:val="single" w:sz="8" w:space="0" w:color="auto"/>
              <w:bottom w:val="single" w:sz="6" w:space="0" w:color="auto"/>
            </w:tcBorders>
            <w:shd w:val="clear" w:color="auto" w:fill="FFFFFF"/>
            <w:vAlign w:val="bottom"/>
          </w:tcPr>
          <w:p w14:paraId="7ED1A043"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4AFE3542"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54DF5AD"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6AD6B960"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4A92754F"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A1F5C" w:rsidRPr="00CF31E0" w14:paraId="723073BB" w14:textId="77777777" w:rsidTr="00CA1F5C">
        <w:trPr>
          <w:cantSplit/>
        </w:trPr>
        <w:tc>
          <w:tcPr>
            <w:tcW w:w="1736" w:type="dxa"/>
            <w:tcBorders>
              <w:top w:val="single" w:sz="6" w:space="0" w:color="auto"/>
              <w:bottom w:val="nil"/>
            </w:tcBorders>
            <w:shd w:val="clear" w:color="auto" w:fill="FFFFFF"/>
          </w:tcPr>
          <w:p w14:paraId="1883AB2F"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0E4ADFCD"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.689</w:t>
            </w:r>
          </w:p>
        </w:tc>
        <w:tc>
          <w:tcPr>
            <w:tcW w:w="820" w:type="dxa"/>
            <w:tcBorders>
              <w:top w:val="single" w:sz="6" w:space="0" w:color="auto"/>
              <w:bottom w:val="nil"/>
            </w:tcBorders>
            <w:shd w:val="clear" w:color="auto" w:fill="FFFFFF"/>
            <w:vAlign w:val="center"/>
          </w:tcPr>
          <w:p w14:paraId="69787803"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w:t>
            </w:r>
          </w:p>
        </w:tc>
        <w:tc>
          <w:tcPr>
            <w:tcW w:w="1445" w:type="dxa"/>
            <w:tcBorders>
              <w:top w:val="single" w:sz="6" w:space="0" w:color="auto"/>
              <w:bottom w:val="nil"/>
            </w:tcBorders>
            <w:shd w:val="clear" w:color="auto" w:fill="FFFFFF"/>
            <w:vAlign w:val="center"/>
          </w:tcPr>
          <w:p w14:paraId="4DA1024D"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.689</w:t>
            </w:r>
          </w:p>
        </w:tc>
        <w:tc>
          <w:tcPr>
            <w:tcW w:w="1030" w:type="dxa"/>
            <w:tcBorders>
              <w:top w:val="single" w:sz="6" w:space="0" w:color="auto"/>
              <w:bottom w:val="nil"/>
            </w:tcBorders>
            <w:shd w:val="clear" w:color="auto" w:fill="FFFFFF"/>
            <w:vAlign w:val="center"/>
          </w:tcPr>
          <w:p w14:paraId="34E21D70"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.485</w:t>
            </w:r>
          </w:p>
        </w:tc>
        <w:tc>
          <w:tcPr>
            <w:tcW w:w="674" w:type="dxa"/>
            <w:tcBorders>
              <w:top w:val="single" w:sz="6" w:space="0" w:color="auto"/>
              <w:bottom w:val="nil"/>
            </w:tcBorders>
            <w:shd w:val="clear" w:color="auto" w:fill="FFFFFF"/>
            <w:vAlign w:val="center"/>
          </w:tcPr>
          <w:p w14:paraId="619026E1"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.486</w:t>
            </w:r>
          </w:p>
        </w:tc>
      </w:tr>
      <w:tr w:rsidR="00CA1F5C" w:rsidRPr="00CF31E0" w14:paraId="4B45A7C4" w14:textId="77777777" w:rsidTr="00CA1F5C">
        <w:trPr>
          <w:cantSplit/>
        </w:trPr>
        <w:tc>
          <w:tcPr>
            <w:tcW w:w="1736" w:type="dxa"/>
            <w:tcBorders>
              <w:top w:val="nil"/>
            </w:tcBorders>
            <w:shd w:val="clear" w:color="auto" w:fill="FFFFFF"/>
          </w:tcPr>
          <w:p w14:paraId="47D4BFA6"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47C920BD"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915.256</w:t>
            </w:r>
          </w:p>
        </w:tc>
        <w:tc>
          <w:tcPr>
            <w:tcW w:w="820" w:type="dxa"/>
            <w:tcBorders>
              <w:top w:val="nil"/>
            </w:tcBorders>
            <w:shd w:val="clear" w:color="auto" w:fill="FFFFFF"/>
            <w:vAlign w:val="center"/>
          </w:tcPr>
          <w:p w14:paraId="09F9DFE9" w14:textId="30F593A6"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325</w:t>
            </w:r>
          </w:p>
        </w:tc>
        <w:tc>
          <w:tcPr>
            <w:tcW w:w="1445" w:type="dxa"/>
            <w:tcBorders>
              <w:top w:val="nil"/>
            </w:tcBorders>
            <w:shd w:val="clear" w:color="auto" w:fill="FFFFFF"/>
            <w:vAlign w:val="center"/>
          </w:tcPr>
          <w:p w14:paraId="520F9AAD"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1.419</w:t>
            </w:r>
          </w:p>
        </w:tc>
        <w:tc>
          <w:tcPr>
            <w:tcW w:w="1030" w:type="dxa"/>
            <w:tcBorders>
              <w:top w:val="nil"/>
            </w:tcBorders>
            <w:shd w:val="clear" w:color="auto" w:fill="FFFFFF"/>
            <w:vAlign w:val="center"/>
          </w:tcPr>
          <w:p w14:paraId="3BADBF0E"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13875E9F"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r w:rsidR="00CA1F5C" w:rsidRPr="00CF31E0" w14:paraId="0324E707" w14:textId="77777777" w:rsidTr="00CA1F5C">
        <w:trPr>
          <w:cantSplit/>
        </w:trPr>
        <w:tc>
          <w:tcPr>
            <w:tcW w:w="1736" w:type="dxa"/>
            <w:shd w:val="clear" w:color="auto" w:fill="FFFFFF"/>
          </w:tcPr>
          <w:p w14:paraId="4A41F846"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5FDE68C0"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915.944</w:t>
            </w:r>
          </w:p>
        </w:tc>
        <w:tc>
          <w:tcPr>
            <w:tcW w:w="820" w:type="dxa"/>
            <w:shd w:val="clear" w:color="auto" w:fill="FFFFFF"/>
            <w:vAlign w:val="center"/>
          </w:tcPr>
          <w:p w14:paraId="726566FD" w14:textId="7F14FA1D"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326</w:t>
            </w:r>
          </w:p>
        </w:tc>
        <w:tc>
          <w:tcPr>
            <w:tcW w:w="1445" w:type="dxa"/>
            <w:shd w:val="clear" w:color="auto" w:fill="FFFFFF"/>
            <w:vAlign w:val="center"/>
          </w:tcPr>
          <w:p w14:paraId="372CDE90"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4F630E4E"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2628B7EE"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bl>
    <w:p w14:paraId="624A11DE" w14:textId="77777777" w:rsidR="00CA1F5C" w:rsidRDefault="00CA1F5C" w:rsidP="00B57389">
      <w:pPr>
        <w:rPr>
          <w:color w:val="000000" w:themeColor="text1"/>
          <w:lang w:eastAsia="en-US"/>
        </w:rPr>
      </w:pPr>
    </w:p>
    <w:p w14:paraId="64DA0E3F" w14:textId="77777777" w:rsidR="00531165" w:rsidRPr="00CF31E0" w:rsidRDefault="00531165" w:rsidP="00B57389">
      <w:pPr>
        <w:rPr>
          <w:color w:val="000000" w:themeColor="text1"/>
          <w:lang w:eastAsia="en-US"/>
        </w:rPr>
      </w:pPr>
    </w:p>
    <w:p w14:paraId="1496576E" w14:textId="77777777" w:rsidR="0079268C" w:rsidRDefault="0079268C" w:rsidP="00B57389">
      <w:pPr>
        <w:rPr>
          <w:color w:val="000000" w:themeColor="text1"/>
          <w:lang w:eastAsia="en-US"/>
        </w:rPr>
      </w:pPr>
    </w:p>
    <w:p w14:paraId="2CD77AD9" w14:textId="77777777" w:rsidR="00465A80" w:rsidRPr="00CF31E0" w:rsidRDefault="00465A80"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A1F5C" w:rsidRPr="00CF31E0" w14:paraId="2301C904" w14:textId="77777777" w:rsidTr="00CA1F5C">
        <w:trPr>
          <w:cantSplit/>
        </w:trPr>
        <w:tc>
          <w:tcPr>
            <w:tcW w:w="7391" w:type="dxa"/>
            <w:gridSpan w:val="6"/>
            <w:tcBorders>
              <w:top w:val="single" w:sz="8" w:space="0" w:color="auto"/>
              <w:bottom w:val="single" w:sz="8" w:space="0" w:color="auto"/>
            </w:tcBorders>
            <w:shd w:val="clear" w:color="auto" w:fill="FFFFFF"/>
            <w:vAlign w:val="bottom"/>
          </w:tcPr>
          <w:p w14:paraId="7C71561E" w14:textId="58BD3585" w:rsidR="00CA1F5C" w:rsidRPr="00CF31E0" w:rsidRDefault="00BE5AEB"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Traditional</w:t>
            </w:r>
            <w:r w:rsidR="00CA1F5C" w:rsidRPr="00CF31E0">
              <w:rPr>
                <w:rFonts w:eastAsia="Calibri" w:cs="Arial"/>
                <w:color w:val="000000" w:themeColor="text1"/>
                <w:sz w:val="22"/>
                <w:szCs w:val="22"/>
                <w:lang w:eastAsia="en-US"/>
              </w:rPr>
              <w:t xml:space="preserve"> factor (HH dialect)</w:t>
            </w:r>
          </w:p>
        </w:tc>
      </w:tr>
      <w:tr w:rsidR="00CA1F5C" w:rsidRPr="00CF31E0" w14:paraId="1B9E959D" w14:textId="77777777" w:rsidTr="00CA1F5C">
        <w:trPr>
          <w:cantSplit/>
        </w:trPr>
        <w:tc>
          <w:tcPr>
            <w:tcW w:w="1736" w:type="dxa"/>
            <w:tcBorders>
              <w:top w:val="single" w:sz="8" w:space="0" w:color="auto"/>
              <w:bottom w:val="single" w:sz="6" w:space="0" w:color="auto"/>
            </w:tcBorders>
            <w:shd w:val="clear" w:color="auto" w:fill="FFFFFF"/>
            <w:vAlign w:val="bottom"/>
          </w:tcPr>
          <w:p w14:paraId="16896B8F"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Age</w:t>
            </w:r>
          </w:p>
        </w:tc>
        <w:tc>
          <w:tcPr>
            <w:tcW w:w="1686" w:type="dxa"/>
            <w:tcBorders>
              <w:top w:val="single" w:sz="8" w:space="0" w:color="auto"/>
              <w:bottom w:val="single" w:sz="6" w:space="0" w:color="auto"/>
            </w:tcBorders>
            <w:shd w:val="clear" w:color="auto" w:fill="FFFFFF"/>
            <w:vAlign w:val="bottom"/>
          </w:tcPr>
          <w:p w14:paraId="30EFFCE8"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01C60D5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25FAEA99"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2606AC34"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69090F58"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A1F5C" w:rsidRPr="00CF31E0" w14:paraId="223BC0CE" w14:textId="77777777" w:rsidTr="00CA1F5C">
        <w:trPr>
          <w:cantSplit/>
        </w:trPr>
        <w:tc>
          <w:tcPr>
            <w:tcW w:w="1736" w:type="dxa"/>
            <w:tcBorders>
              <w:top w:val="single" w:sz="6" w:space="0" w:color="auto"/>
              <w:bottom w:val="nil"/>
            </w:tcBorders>
            <w:shd w:val="clear" w:color="auto" w:fill="FFFFFF"/>
          </w:tcPr>
          <w:p w14:paraId="2DDE5811"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45E54836"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6.242</w:t>
            </w:r>
          </w:p>
        </w:tc>
        <w:tc>
          <w:tcPr>
            <w:tcW w:w="820" w:type="dxa"/>
            <w:tcBorders>
              <w:top w:val="single" w:sz="6" w:space="0" w:color="auto"/>
              <w:bottom w:val="nil"/>
            </w:tcBorders>
            <w:shd w:val="clear" w:color="auto" w:fill="FFFFFF"/>
            <w:vAlign w:val="center"/>
          </w:tcPr>
          <w:p w14:paraId="081016C3"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5</w:t>
            </w:r>
          </w:p>
        </w:tc>
        <w:tc>
          <w:tcPr>
            <w:tcW w:w="1445" w:type="dxa"/>
            <w:tcBorders>
              <w:top w:val="single" w:sz="6" w:space="0" w:color="auto"/>
              <w:bottom w:val="nil"/>
            </w:tcBorders>
            <w:shd w:val="clear" w:color="auto" w:fill="FFFFFF"/>
            <w:vAlign w:val="center"/>
          </w:tcPr>
          <w:p w14:paraId="6C45F3D4"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1.248</w:t>
            </w:r>
          </w:p>
        </w:tc>
        <w:tc>
          <w:tcPr>
            <w:tcW w:w="1030" w:type="dxa"/>
            <w:tcBorders>
              <w:top w:val="single" w:sz="6" w:space="0" w:color="auto"/>
              <w:bottom w:val="nil"/>
            </w:tcBorders>
            <w:shd w:val="clear" w:color="auto" w:fill="FFFFFF"/>
            <w:vAlign w:val="center"/>
          </w:tcPr>
          <w:p w14:paraId="52A806AC"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.878</w:t>
            </w:r>
          </w:p>
        </w:tc>
        <w:tc>
          <w:tcPr>
            <w:tcW w:w="674" w:type="dxa"/>
            <w:tcBorders>
              <w:top w:val="single" w:sz="6" w:space="0" w:color="auto"/>
              <w:bottom w:val="nil"/>
            </w:tcBorders>
            <w:shd w:val="clear" w:color="auto" w:fill="FFFFFF"/>
            <w:vAlign w:val="center"/>
          </w:tcPr>
          <w:p w14:paraId="1314DBA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.495</w:t>
            </w:r>
          </w:p>
        </w:tc>
      </w:tr>
      <w:tr w:rsidR="00CA1F5C" w:rsidRPr="00CF31E0" w14:paraId="34AC3682" w14:textId="77777777" w:rsidTr="00CA1F5C">
        <w:trPr>
          <w:cantSplit/>
        </w:trPr>
        <w:tc>
          <w:tcPr>
            <w:tcW w:w="1736" w:type="dxa"/>
            <w:tcBorders>
              <w:top w:val="nil"/>
            </w:tcBorders>
            <w:shd w:val="clear" w:color="auto" w:fill="FFFFFF"/>
          </w:tcPr>
          <w:p w14:paraId="69607394"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343EDF51"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908.719</w:t>
            </w:r>
          </w:p>
        </w:tc>
        <w:tc>
          <w:tcPr>
            <w:tcW w:w="820" w:type="dxa"/>
            <w:tcBorders>
              <w:top w:val="nil"/>
            </w:tcBorders>
            <w:shd w:val="clear" w:color="auto" w:fill="FFFFFF"/>
            <w:vAlign w:val="center"/>
          </w:tcPr>
          <w:p w14:paraId="6B09E523" w14:textId="4885EC08"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321</w:t>
            </w:r>
          </w:p>
        </w:tc>
        <w:tc>
          <w:tcPr>
            <w:tcW w:w="1445" w:type="dxa"/>
            <w:tcBorders>
              <w:top w:val="nil"/>
            </w:tcBorders>
            <w:shd w:val="clear" w:color="auto" w:fill="FFFFFF"/>
            <w:vAlign w:val="center"/>
          </w:tcPr>
          <w:p w14:paraId="75A87130"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1.422</w:t>
            </w:r>
          </w:p>
        </w:tc>
        <w:tc>
          <w:tcPr>
            <w:tcW w:w="1030" w:type="dxa"/>
            <w:tcBorders>
              <w:top w:val="nil"/>
            </w:tcBorders>
            <w:shd w:val="clear" w:color="auto" w:fill="FFFFFF"/>
            <w:vAlign w:val="center"/>
          </w:tcPr>
          <w:p w14:paraId="5A0B39D8"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7BB6F399"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r w:rsidR="00CA1F5C" w:rsidRPr="00CF31E0" w14:paraId="24431221" w14:textId="77777777" w:rsidTr="00CA1F5C">
        <w:trPr>
          <w:cantSplit/>
        </w:trPr>
        <w:tc>
          <w:tcPr>
            <w:tcW w:w="1736" w:type="dxa"/>
            <w:shd w:val="clear" w:color="auto" w:fill="FFFFFF"/>
          </w:tcPr>
          <w:p w14:paraId="4DB3F1B7"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0B4CE72E"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914.961</w:t>
            </w:r>
          </w:p>
        </w:tc>
        <w:tc>
          <w:tcPr>
            <w:tcW w:w="820" w:type="dxa"/>
            <w:shd w:val="clear" w:color="auto" w:fill="FFFFFF"/>
            <w:vAlign w:val="center"/>
          </w:tcPr>
          <w:p w14:paraId="204D8031" w14:textId="0707DD9A"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326</w:t>
            </w:r>
          </w:p>
        </w:tc>
        <w:tc>
          <w:tcPr>
            <w:tcW w:w="1445" w:type="dxa"/>
            <w:shd w:val="clear" w:color="auto" w:fill="FFFFFF"/>
            <w:vAlign w:val="center"/>
          </w:tcPr>
          <w:p w14:paraId="583B9F48"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025A71F0"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62D1C36D"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bl>
    <w:p w14:paraId="70DC27C3" w14:textId="77777777" w:rsidR="00CA1F5C" w:rsidRPr="00CF31E0" w:rsidRDefault="00CA1F5C" w:rsidP="00B57389">
      <w:pPr>
        <w:rPr>
          <w:color w:val="000000" w:themeColor="text1"/>
          <w:lang w:eastAsia="en-US"/>
        </w:rPr>
      </w:pPr>
    </w:p>
    <w:p w14:paraId="7110493D" w14:textId="77777777" w:rsidR="00CA1F5C" w:rsidRPr="00CF31E0" w:rsidRDefault="00CA1F5C"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A1F5C" w:rsidRPr="00CF31E0" w14:paraId="3A48E30C" w14:textId="77777777" w:rsidTr="00CA1F5C">
        <w:trPr>
          <w:cantSplit/>
        </w:trPr>
        <w:tc>
          <w:tcPr>
            <w:tcW w:w="7391" w:type="dxa"/>
            <w:gridSpan w:val="6"/>
            <w:tcBorders>
              <w:top w:val="single" w:sz="8" w:space="0" w:color="auto"/>
              <w:bottom w:val="single" w:sz="8" w:space="0" w:color="auto"/>
            </w:tcBorders>
            <w:shd w:val="clear" w:color="auto" w:fill="FFFFFF"/>
            <w:vAlign w:val="bottom"/>
          </w:tcPr>
          <w:p w14:paraId="0E5A53AE" w14:textId="304D625A" w:rsidR="00CA1F5C" w:rsidRPr="00CF31E0" w:rsidRDefault="00BE5AEB"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Traditional</w:t>
            </w:r>
            <w:r w:rsidR="00CA1F5C" w:rsidRPr="00CF31E0">
              <w:rPr>
                <w:rFonts w:eastAsia="Calibri" w:cs="Arial"/>
                <w:color w:val="000000" w:themeColor="text1"/>
                <w:sz w:val="22"/>
                <w:szCs w:val="22"/>
                <w:lang w:eastAsia="en-US"/>
              </w:rPr>
              <w:t xml:space="preserve"> factor (HH dialect)</w:t>
            </w:r>
          </w:p>
        </w:tc>
      </w:tr>
      <w:tr w:rsidR="00CA1F5C" w:rsidRPr="00CF31E0" w14:paraId="089311D7" w14:textId="77777777" w:rsidTr="00CA1F5C">
        <w:trPr>
          <w:cantSplit/>
        </w:trPr>
        <w:tc>
          <w:tcPr>
            <w:tcW w:w="1736" w:type="dxa"/>
            <w:tcBorders>
              <w:top w:val="single" w:sz="8" w:space="0" w:color="auto"/>
              <w:bottom w:val="single" w:sz="6" w:space="0" w:color="auto"/>
            </w:tcBorders>
            <w:shd w:val="clear" w:color="auto" w:fill="FFFFFF"/>
            <w:vAlign w:val="bottom"/>
          </w:tcPr>
          <w:p w14:paraId="193B1CFA"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 of birth</w:t>
            </w:r>
          </w:p>
        </w:tc>
        <w:tc>
          <w:tcPr>
            <w:tcW w:w="1686" w:type="dxa"/>
            <w:tcBorders>
              <w:top w:val="single" w:sz="8" w:space="0" w:color="auto"/>
              <w:bottom w:val="single" w:sz="6" w:space="0" w:color="auto"/>
            </w:tcBorders>
            <w:shd w:val="clear" w:color="auto" w:fill="FFFFFF"/>
            <w:vAlign w:val="bottom"/>
          </w:tcPr>
          <w:p w14:paraId="0BD35F97"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4706E33F"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6E48B4FC"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76542439"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14FEA881"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A1F5C" w:rsidRPr="00CF31E0" w14:paraId="67C4E001" w14:textId="77777777" w:rsidTr="00CA1F5C">
        <w:trPr>
          <w:cantSplit/>
        </w:trPr>
        <w:tc>
          <w:tcPr>
            <w:tcW w:w="1736" w:type="dxa"/>
            <w:tcBorders>
              <w:top w:val="single" w:sz="6" w:space="0" w:color="auto"/>
              <w:bottom w:val="nil"/>
            </w:tcBorders>
            <w:shd w:val="clear" w:color="auto" w:fill="FFFFFF"/>
          </w:tcPr>
          <w:p w14:paraId="0D2028B2"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25C5E1FF"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.006</w:t>
            </w:r>
          </w:p>
        </w:tc>
        <w:tc>
          <w:tcPr>
            <w:tcW w:w="820" w:type="dxa"/>
            <w:tcBorders>
              <w:top w:val="single" w:sz="6" w:space="0" w:color="auto"/>
              <w:bottom w:val="nil"/>
            </w:tcBorders>
            <w:shd w:val="clear" w:color="auto" w:fill="FFFFFF"/>
            <w:vAlign w:val="center"/>
          </w:tcPr>
          <w:p w14:paraId="337BC95B"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w:t>
            </w:r>
          </w:p>
        </w:tc>
        <w:tc>
          <w:tcPr>
            <w:tcW w:w="1445" w:type="dxa"/>
            <w:tcBorders>
              <w:top w:val="single" w:sz="6" w:space="0" w:color="auto"/>
              <w:bottom w:val="nil"/>
            </w:tcBorders>
            <w:shd w:val="clear" w:color="auto" w:fill="FFFFFF"/>
            <w:vAlign w:val="center"/>
          </w:tcPr>
          <w:p w14:paraId="2EE87A1B"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.006</w:t>
            </w:r>
          </w:p>
        </w:tc>
        <w:tc>
          <w:tcPr>
            <w:tcW w:w="1030" w:type="dxa"/>
            <w:tcBorders>
              <w:top w:val="single" w:sz="6" w:space="0" w:color="auto"/>
              <w:bottom w:val="nil"/>
            </w:tcBorders>
            <w:shd w:val="clear" w:color="auto" w:fill="FFFFFF"/>
            <w:vAlign w:val="center"/>
          </w:tcPr>
          <w:p w14:paraId="27A133AE"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.004</w:t>
            </w:r>
          </w:p>
        </w:tc>
        <w:tc>
          <w:tcPr>
            <w:tcW w:w="674" w:type="dxa"/>
            <w:tcBorders>
              <w:top w:val="single" w:sz="6" w:space="0" w:color="auto"/>
              <w:bottom w:val="nil"/>
            </w:tcBorders>
            <w:shd w:val="clear" w:color="auto" w:fill="FFFFFF"/>
            <w:vAlign w:val="center"/>
          </w:tcPr>
          <w:p w14:paraId="6E4853D4"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.949</w:t>
            </w:r>
          </w:p>
        </w:tc>
      </w:tr>
      <w:tr w:rsidR="00CA1F5C" w:rsidRPr="00CF31E0" w14:paraId="6B01BB88" w14:textId="77777777" w:rsidTr="00CA1F5C">
        <w:trPr>
          <w:cantSplit/>
        </w:trPr>
        <w:tc>
          <w:tcPr>
            <w:tcW w:w="1736" w:type="dxa"/>
            <w:tcBorders>
              <w:top w:val="nil"/>
            </w:tcBorders>
            <w:shd w:val="clear" w:color="auto" w:fill="FFFFFF"/>
          </w:tcPr>
          <w:p w14:paraId="06D26719"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50C9F0A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915.939</w:t>
            </w:r>
          </w:p>
        </w:tc>
        <w:tc>
          <w:tcPr>
            <w:tcW w:w="820" w:type="dxa"/>
            <w:tcBorders>
              <w:top w:val="nil"/>
            </w:tcBorders>
            <w:shd w:val="clear" w:color="auto" w:fill="FFFFFF"/>
            <w:vAlign w:val="center"/>
          </w:tcPr>
          <w:p w14:paraId="6E2287A4" w14:textId="1CE20F73"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325</w:t>
            </w:r>
          </w:p>
        </w:tc>
        <w:tc>
          <w:tcPr>
            <w:tcW w:w="1445" w:type="dxa"/>
            <w:tcBorders>
              <w:top w:val="nil"/>
            </w:tcBorders>
            <w:shd w:val="clear" w:color="auto" w:fill="FFFFFF"/>
            <w:vAlign w:val="center"/>
          </w:tcPr>
          <w:p w14:paraId="3DBA8F45"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1.420</w:t>
            </w:r>
          </w:p>
        </w:tc>
        <w:tc>
          <w:tcPr>
            <w:tcW w:w="1030" w:type="dxa"/>
            <w:tcBorders>
              <w:top w:val="nil"/>
            </w:tcBorders>
            <w:shd w:val="clear" w:color="auto" w:fill="FFFFFF"/>
            <w:vAlign w:val="center"/>
          </w:tcPr>
          <w:p w14:paraId="39172B19"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48DD408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r w:rsidR="00CA1F5C" w:rsidRPr="00CF31E0" w14:paraId="5F214AAB" w14:textId="77777777" w:rsidTr="00CA1F5C">
        <w:trPr>
          <w:cantSplit/>
        </w:trPr>
        <w:tc>
          <w:tcPr>
            <w:tcW w:w="1736" w:type="dxa"/>
            <w:shd w:val="clear" w:color="auto" w:fill="FFFFFF"/>
          </w:tcPr>
          <w:p w14:paraId="3C844299"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38FBBA87"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915.944</w:t>
            </w:r>
          </w:p>
        </w:tc>
        <w:tc>
          <w:tcPr>
            <w:tcW w:w="820" w:type="dxa"/>
            <w:shd w:val="clear" w:color="auto" w:fill="FFFFFF"/>
            <w:vAlign w:val="center"/>
          </w:tcPr>
          <w:p w14:paraId="2C2FA9CE" w14:textId="6B9CF4AA"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326</w:t>
            </w:r>
          </w:p>
        </w:tc>
        <w:tc>
          <w:tcPr>
            <w:tcW w:w="1445" w:type="dxa"/>
            <w:shd w:val="clear" w:color="auto" w:fill="FFFFFF"/>
            <w:vAlign w:val="center"/>
          </w:tcPr>
          <w:p w14:paraId="3B9218BB"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6ECB900D"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126245ED"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bl>
    <w:p w14:paraId="1DACC9F2" w14:textId="77777777" w:rsidR="00CA1F5C" w:rsidRPr="00CF31E0" w:rsidRDefault="00CA1F5C" w:rsidP="00B57389">
      <w:pPr>
        <w:rPr>
          <w:color w:val="000000" w:themeColor="text1"/>
          <w:lang w:eastAsia="en-US"/>
        </w:rPr>
      </w:pPr>
    </w:p>
    <w:p w14:paraId="5BF6B121" w14:textId="77777777" w:rsidR="00C73201" w:rsidRPr="00CF31E0" w:rsidRDefault="00C73201"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A1F5C" w:rsidRPr="00CF31E0" w14:paraId="62FB75B4" w14:textId="77777777" w:rsidTr="00CA1F5C">
        <w:trPr>
          <w:cantSplit/>
        </w:trPr>
        <w:tc>
          <w:tcPr>
            <w:tcW w:w="7391" w:type="dxa"/>
            <w:gridSpan w:val="6"/>
            <w:tcBorders>
              <w:top w:val="single" w:sz="8" w:space="0" w:color="auto"/>
              <w:bottom w:val="single" w:sz="8" w:space="0" w:color="auto"/>
            </w:tcBorders>
            <w:shd w:val="clear" w:color="auto" w:fill="FFFFFF"/>
            <w:vAlign w:val="bottom"/>
          </w:tcPr>
          <w:p w14:paraId="44FAC244" w14:textId="5BE1C60B" w:rsidR="00CA1F5C" w:rsidRPr="00CF31E0" w:rsidRDefault="00B045BE"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Traditional</w:t>
            </w:r>
            <w:r w:rsidR="00CA1F5C" w:rsidRPr="00CF31E0">
              <w:rPr>
                <w:rFonts w:eastAsia="Calibri" w:cs="Arial"/>
                <w:color w:val="000000" w:themeColor="text1"/>
                <w:sz w:val="22"/>
                <w:szCs w:val="22"/>
                <w:lang w:eastAsia="en-US"/>
              </w:rPr>
              <w:t xml:space="preserve"> factor (HH dialect)</w:t>
            </w:r>
          </w:p>
        </w:tc>
      </w:tr>
      <w:tr w:rsidR="00CA1F5C" w:rsidRPr="00CF31E0" w14:paraId="7F1F9CEC" w14:textId="77777777" w:rsidTr="00CA1F5C">
        <w:trPr>
          <w:cantSplit/>
        </w:trPr>
        <w:tc>
          <w:tcPr>
            <w:tcW w:w="1736" w:type="dxa"/>
            <w:tcBorders>
              <w:top w:val="single" w:sz="8" w:space="0" w:color="auto"/>
              <w:bottom w:val="single" w:sz="6" w:space="0" w:color="auto"/>
            </w:tcBorders>
            <w:shd w:val="clear" w:color="auto" w:fill="FFFFFF"/>
            <w:vAlign w:val="bottom"/>
          </w:tcPr>
          <w:p w14:paraId="63DF73C6"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Places lived</w:t>
            </w:r>
          </w:p>
        </w:tc>
        <w:tc>
          <w:tcPr>
            <w:tcW w:w="1686" w:type="dxa"/>
            <w:tcBorders>
              <w:top w:val="single" w:sz="8" w:space="0" w:color="auto"/>
              <w:bottom w:val="single" w:sz="6" w:space="0" w:color="auto"/>
            </w:tcBorders>
            <w:shd w:val="clear" w:color="auto" w:fill="FFFFFF"/>
            <w:vAlign w:val="bottom"/>
          </w:tcPr>
          <w:p w14:paraId="0E6956A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7A2E622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6078DE1E"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17EDFE4A"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20412B1C"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A1F5C" w:rsidRPr="00CF31E0" w14:paraId="70EFDB58" w14:textId="77777777" w:rsidTr="00CA1F5C">
        <w:trPr>
          <w:cantSplit/>
        </w:trPr>
        <w:tc>
          <w:tcPr>
            <w:tcW w:w="1736" w:type="dxa"/>
            <w:tcBorders>
              <w:top w:val="single" w:sz="6" w:space="0" w:color="auto"/>
              <w:bottom w:val="nil"/>
            </w:tcBorders>
            <w:shd w:val="clear" w:color="auto" w:fill="FFFFFF"/>
          </w:tcPr>
          <w:p w14:paraId="7AD3FC12"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317A45C9"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1.749</w:t>
            </w:r>
          </w:p>
        </w:tc>
        <w:tc>
          <w:tcPr>
            <w:tcW w:w="820" w:type="dxa"/>
            <w:tcBorders>
              <w:top w:val="single" w:sz="6" w:space="0" w:color="auto"/>
              <w:bottom w:val="nil"/>
            </w:tcBorders>
            <w:shd w:val="clear" w:color="auto" w:fill="FFFFFF"/>
            <w:vAlign w:val="center"/>
          </w:tcPr>
          <w:p w14:paraId="3AD4049D"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w:t>
            </w:r>
          </w:p>
        </w:tc>
        <w:tc>
          <w:tcPr>
            <w:tcW w:w="1445" w:type="dxa"/>
            <w:tcBorders>
              <w:top w:val="single" w:sz="6" w:space="0" w:color="auto"/>
              <w:bottom w:val="nil"/>
            </w:tcBorders>
            <w:shd w:val="clear" w:color="auto" w:fill="FFFFFF"/>
            <w:vAlign w:val="center"/>
          </w:tcPr>
          <w:p w14:paraId="72C1D7A5"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1.749</w:t>
            </w:r>
          </w:p>
        </w:tc>
        <w:tc>
          <w:tcPr>
            <w:tcW w:w="1030" w:type="dxa"/>
            <w:tcBorders>
              <w:top w:val="single" w:sz="6" w:space="0" w:color="auto"/>
              <w:bottom w:val="nil"/>
            </w:tcBorders>
            <w:shd w:val="clear" w:color="auto" w:fill="FFFFFF"/>
            <w:vAlign w:val="center"/>
          </w:tcPr>
          <w:p w14:paraId="117AC244"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1.219</w:t>
            </w:r>
          </w:p>
        </w:tc>
        <w:tc>
          <w:tcPr>
            <w:tcW w:w="674" w:type="dxa"/>
            <w:tcBorders>
              <w:top w:val="single" w:sz="6" w:space="0" w:color="auto"/>
              <w:bottom w:val="nil"/>
            </w:tcBorders>
            <w:shd w:val="clear" w:color="auto" w:fill="FFFFFF"/>
            <w:vAlign w:val="center"/>
          </w:tcPr>
          <w:p w14:paraId="2D7B5EC8"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.270</w:t>
            </w:r>
          </w:p>
        </w:tc>
      </w:tr>
      <w:tr w:rsidR="00CA1F5C" w:rsidRPr="00CF31E0" w14:paraId="7B6340A4" w14:textId="77777777" w:rsidTr="00CA1F5C">
        <w:trPr>
          <w:cantSplit/>
        </w:trPr>
        <w:tc>
          <w:tcPr>
            <w:tcW w:w="1736" w:type="dxa"/>
            <w:tcBorders>
              <w:top w:val="nil"/>
            </w:tcBorders>
            <w:shd w:val="clear" w:color="auto" w:fill="FFFFFF"/>
          </w:tcPr>
          <w:p w14:paraId="3CBEC41E"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7D768431"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823.689</w:t>
            </w:r>
          </w:p>
        </w:tc>
        <w:tc>
          <w:tcPr>
            <w:tcW w:w="820" w:type="dxa"/>
            <w:tcBorders>
              <w:top w:val="nil"/>
            </w:tcBorders>
            <w:shd w:val="clear" w:color="auto" w:fill="FFFFFF"/>
            <w:vAlign w:val="center"/>
          </w:tcPr>
          <w:p w14:paraId="46BA4F13" w14:textId="418C7589"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325</w:t>
            </w:r>
          </w:p>
        </w:tc>
        <w:tc>
          <w:tcPr>
            <w:tcW w:w="1445" w:type="dxa"/>
            <w:tcBorders>
              <w:top w:val="nil"/>
            </w:tcBorders>
            <w:shd w:val="clear" w:color="auto" w:fill="FFFFFF"/>
            <w:vAlign w:val="center"/>
          </w:tcPr>
          <w:p w14:paraId="74786EBB"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1.435</w:t>
            </w:r>
          </w:p>
        </w:tc>
        <w:tc>
          <w:tcPr>
            <w:tcW w:w="1030" w:type="dxa"/>
            <w:tcBorders>
              <w:top w:val="nil"/>
            </w:tcBorders>
            <w:shd w:val="clear" w:color="auto" w:fill="FFFFFF"/>
            <w:vAlign w:val="center"/>
          </w:tcPr>
          <w:p w14:paraId="4B3CEC2D"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7B3D57EE"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r w:rsidR="00CA1F5C" w:rsidRPr="00CF31E0" w14:paraId="4DE05B69" w14:textId="77777777" w:rsidTr="00CA1F5C">
        <w:trPr>
          <w:cantSplit/>
        </w:trPr>
        <w:tc>
          <w:tcPr>
            <w:tcW w:w="1736" w:type="dxa"/>
            <w:shd w:val="clear" w:color="auto" w:fill="FFFFFF"/>
          </w:tcPr>
          <w:p w14:paraId="29B3C519"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09D0AC0"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825.437</w:t>
            </w:r>
          </w:p>
        </w:tc>
        <w:tc>
          <w:tcPr>
            <w:tcW w:w="820" w:type="dxa"/>
            <w:shd w:val="clear" w:color="auto" w:fill="FFFFFF"/>
            <w:vAlign w:val="center"/>
          </w:tcPr>
          <w:p w14:paraId="53B24A34" w14:textId="5CFB6FE1"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326</w:t>
            </w:r>
          </w:p>
        </w:tc>
        <w:tc>
          <w:tcPr>
            <w:tcW w:w="1445" w:type="dxa"/>
            <w:shd w:val="clear" w:color="auto" w:fill="FFFFFF"/>
            <w:vAlign w:val="center"/>
          </w:tcPr>
          <w:p w14:paraId="79D5A0A7"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138118DD"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5AA382DE"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bl>
    <w:p w14:paraId="257B1AEA" w14:textId="77777777" w:rsidR="00CA1F5C" w:rsidRPr="00CF31E0" w:rsidRDefault="00CA1F5C" w:rsidP="00B57389">
      <w:pPr>
        <w:rPr>
          <w:color w:val="000000" w:themeColor="text1"/>
          <w:lang w:eastAsia="en-US"/>
        </w:rPr>
      </w:pPr>
    </w:p>
    <w:p w14:paraId="46B5C73C" w14:textId="77777777" w:rsidR="00CA1F5C" w:rsidRPr="00CF31E0" w:rsidRDefault="00CA1F5C"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A1F5C" w:rsidRPr="00CF31E0" w14:paraId="54860928" w14:textId="77777777" w:rsidTr="00CA1F5C">
        <w:trPr>
          <w:cantSplit/>
        </w:trPr>
        <w:tc>
          <w:tcPr>
            <w:tcW w:w="7391" w:type="dxa"/>
            <w:gridSpan w:val="6"/>
            <w:tcBorders>
              <w:top w:val="single" w:sz="8" w:space="0" w:color="auto"/>
              <w:bottom w:val="single" w:sz="8" w:space="0" w:color="auto"/>
            </w:tcBorders>
            <w:shd w:val="clear" w:color="auto" w:fill="FFFFFF"/>
            <w:vAlign w:val="bottom"/>
          </w:tcPr>
          <w:p w14:paraId="4488F0AD" w14:textId="7BAE89B6" w:rsidR="00CA1F5C" w:rsidRPr="00CF31E0" w:rsidRDefault="00BE5AEB"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Traditional</w:t>
            </w:r>
            <w:r w:rsidR="00CA1F5C" w:rsidRPr="00CF31E0">
              <w:rPr>
                <w:rFonts w:eastAsia="Calibri" w:cs="Arial"/>
                <w:color w:val="000000" w:themeColor="text1"/>
                <w:sz w:val="22"/>
                <w:szCs w:val="22"/>
                <w:lang w:eastAsia="en-US"/>
              </w:rPr>
              <w:t xml:space="preserve"> factor (HH dialect)</w:t>
            </w:r>
          </w:p>
        </w:tc>
      </w:tr>
      <w:tr w:rsidR="00CA1F5C" w:rsidRPr="00CF31E0" w14:paraId="6C301B77" w14:textId="77777777" w:rsidTr="00CA1F5C">
        <w:trPr>
          <w:cantSplit/>
        </w:trPr>
        <w:tc>
          <w:tcPr>
            <w:tcW w:w="1736" w:type="dxa"/>
            <w:tcBorders>
              <w:top w:val="single" w:sz="8" w:space="0" w:color="auto"/>
              <w:bottom w:val="single" w:sz="6" w:space="0" w:color="auto"/>
            </w:tcBorders>
            <w:shd w:val="clear" w:color="auto" w:fill="FFFFFF"/>
            <w:vAlign w:val="bottom"/>
          </w:tcPr>
          <w:p w14:paraId="351A1FC5"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Marital status</w:t>
            </w:r>
          </w:p>
        </w:tc>
        <w:tc>
          <w:tcPr>
            <w:tcW w:w="1686" w:type="dxa"/>
            <w:tcBorders>
              <w:top w:val="single" w:sz="8" w:space="0" w:color="auto"/>
              <w:bottom w:val="single" w:sz="6" w:space="0" w:color="auto"/>
            </w:tcBorders>
            <w:shd w:val="clear" w:color="auto" w:fill="FFFFFF"/>
            <w:vAlign w:val="bottom"/>
          </w:tcPr>
          <w:p w14:paraId="4641930C"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5CB2FBF7"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59790CF1"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13F26E11"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567546F5"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A1F5C" w:rsidRPr="00CF31E0" w14:paraId="0EE8C5C1" w14:textId="77777777" w:rsidTr="00CA1F5C">
        <w:trPr>
          <w:cantSplit/>
        </w:trPr>
        <w:tc>
          <w:tcPr>
            <w:tcW w:w="1736" w:type="dxa"/>
            <w:tcBorders>
              <w:top w:val="single" w:sz="6" w:space="0" w:color="auto"/>
              <w:bottom w:val="nil"/>
            </w:tcBorders>
            <w:shd w:val="clear" w:color="auto" w:fill="FFFFFF"/>
          </w:tcPr>
          <w:p w14:paraId="0C9A84BE"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1EE31EB4"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.303</w:t>
            </w:r>
          </w:p>
        </w:tc>
        <w:tc>
          <w:tcPr>
            <w:tcW w:w="820" w:type="dxa"/>
            <w:tcBorders>
              <w:top w:val="single" w:sz="6" w:space="0" w:color="auto"/>
              <w:bottom w:val="nil"/>
            </w:tcBorders>
            <w:shd w:val="clear" w:color="auto" w:fill="FFFFFF"/>
            <w:vAlign w:val="center"/>
          </w:tcPr>
          <w:p w14:paraId="0A1DA347"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w:t>
            </w:r>
          </w:p>
        </w:tc>
        <w:tc>
          <w:tcPr>
            <w:tcW w:w="1445" w:type="dxa"/>
            <w:tcBorders>
              <w:top w:val="single" w:sz="6" w:space="0" w:color="auto"/>
              <w:bottom w:val="nil"/>
            </w:tcBorders>
            <w:shd w:val="clear" w:color="auto" w:fill="FFFFFF"/>
            <w:vAlign w:val="center"/>
          </w:tcPr>
          <w:p w14:paraId="2E0DA400"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.101</w:t>
            </w:r>
          </w:p>
        </w:tc>
        <w:tc>
          <w:tcPr>
            <w:tcW w:w="1030" w:type="dxa"/>
            <w:tcBorders>
              <w:top w:val="single" w:sz="6" w:space="0" w:color="auto"/>
              <w:bottom w:val="nil"/>
            </w:tcBorders>
            <w:shd w:val="clear" w:color="auto" w:fill="FFFFFF"/>
            <w:vAlign w:val="center"/>
          </w:tcPr>
          <w:p w14:paraId="5C59593B"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.071</w:t>
            </w:r>
          </w:p>
        </w:tc>
        <w:tc>
          <w:tcPr>
            <w:tcW w:w="674" w:type="dxa"/>
            <w:tcBorders>
              <w:top w:val="single" w:sz="6" w:space="0" w:color="auto"/>
              <w:bottom w:val="nil"/>
            </w:tcBorders>
            <w:shd w:val="clear" w:color="auto" w:fill="FFFFFF"/>
            <w:vAlign w:val="center"/>
          </w:tcPr>
          <w:p w14:paraId="6AC12657"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.975</w:t>
            </w:r>
          </w:p>
        </w:tc>
      </w:tr>
      <w:tr w:rsidR="00CA1F5C" w:rsidRPr="00CF31E0" w14:paraId="55D31434" w14:textId="77777777" w:rsidTr="00CA1F5C">
        <w:trPr>
          <w:cantSplit/>
        </w:trPr>
        <w:tc>
          <w:tcPr>
            <w:tcW w:w="1736" w:type="dxa"/>
            <w:tcBorders>
              <w:top w:val="nil"/>
            </w:tcBorders>
            <w:shd w:val="clear" w:color="auto" w:fill="FFFFFF"/>
          </w:tcPr>
          <w:p w14:paraId="12F7310B"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302121C1"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915.641</w:t>
            </w:r>
          </w:p>
        </w:tc>
        <w:tc>
          <w:tcPr>
            <w:tcW w:w="820" w:type="dxa"/>
            <w:tcBorders>
              <w:top w:val="nil"/>
            </w:tcBorders>
            <w:shd w:val="clear" w:color="auto" w:fill="FFFFFF"/>
            <w:vAlign w:val="center"/>
          </w:tcPr>
          <w:p w14:paraId="0218A9C8" w14:textId="2D3CC21F"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323</w:t>
            </w:r>
          </w:p>
        </w:tc>
        <w:tc>
          <w:tcPr>
            <w:tcW w:w="1445" w:type="dxa"/>
            <w:tcBorders>
              <w:top w:val="nil"/>
            </w:tcBorders>
            <w:shd w:val="clear" w:color="auto" w:fill="FFFFFF"/>
            <w:vAlign w:val="center"/>
          </w:tcPr>
          <w:p w14:paraId="073607C5"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1.424</w:t>
            </w:r>
          </w:p>
        </w:tc>
        <w:tc>
          <w:tcPr>
            <w:tcW w:w="1030" w:type="dxa"/>
            <w:tcBorders>
              <w:top w:val="nil"/>
            </w:tcBorders>
            <w:shd w:val="clear" w:color="auto" w:fill="FFFFFF"/>
            <w:vAlign w:val="center"/>
          </w:tcPr>
          <w:p w14:paraId="3ED4C731"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03EA7D3C"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r w:rsidR="00CA1F5C" w:rsidRPr="00CF31E0" w14:paraId="22673861" w14:textId="77777777" w:rsidTr="00CA1F5C">
        <w:trPr>
          <w:cantSplit/>
        </w:trPr>
        <w:tc>
          <w:tcPr>
            <w:tcW w:w="1736" w:type="dxa"/>
            <w:shd w:val="clear" w:color="auto" w:fill="FFFFFF"/>
          </w:tcPr>
          <w:p w14:paraId="1DBAEB94"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Total</w:t>
            </w:r>
          </w:p>
        </w:tc>
        <w:tc>
          <w:tcPr>
            <w:tcW w:w="1686" w:type="dxa"/>
            <w:shd w:val="clear" w:color="auto" w:fill="FFFFFF"/>
            <w:vAlign w:val="center"/>
          </w:tcPr>
          <w:p w14:paraId="26EC5AB1"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915.944</w:t>
            </w:r>
          </w:p>
        </w:tc>
        <w:tc>
          <w:tcPr>
            <w:tcW w:w="820" w:type="dxa"/>
            <w:shd w:val="clear" w:color="auto" w:fill="FFFFFF"/>
            <w:vAlign w:val="center"/>
          </w:tcPr>
          <w:p w14:paraId="54600E8B" w14:textId="164201C3"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326</w:t>
            </w:r>
          </w:p>
        </w:tc>
        <w:tc>
          <w:tcPr>
            <w:tcW w:w="1445" w:type="dxa"/>
            <w:shd w:val="clear" w:color="auto" w:fill="FFFFFF"/>
            <w:vAlign w:val="center"/>
          </w:tcPr>
          <w:p w14:paraId="041AC6F6"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124F8464"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0F96AC93"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bl>
    <w:p w14:paraId="5DD3B658" w14:textId="77777777" w:rsidR="00CA1F5C" w:rsidRPr="00CF31E0" w:rsidRDefault="00CA1F5C" w:rsidP="00B57389">
      <w:pPr>
        <w:rPr>
          <w:color w:val="000000" w:themeColor="text1"/>
          <w:lang w:eastAsia="en-US"/>
        </w:rPr>
      </w:pPr>
    </w:p>
    <w:p w14:paraId="7D110F41" w14:textId="77777777" w:rsidR="00EB50E5" w:rsidRPr="00CF31E0" w:rsidRDefault="00EB50E5" w:rsidP="00B57389">
      <w:pPr>
        <w:rPr>
          <w:color w:val="000000" w:themeColor="text1"/>
          <w:lang w:eastAsia="en-US"/>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A1F5C" w:rsidRPr="00CF31E0" w14:paraId="315685FE" w14:textId="77777777" w:rsidTr="00CA1F5C">
        <w:trPr>
          <w:cantSplit/>
        </w:trPr>
        <w:tc>
          <w:tcPr>
            <w:tcW w:w="7391" w:type="dxa"/>
            <w:gridSpan w:val="6"/>
            <w:tcBorders>
              <w:top w:val="single" w:sz="8" w:space="0" w:color="auto"/>
              <w:bottom w:val="single" w:sz="8" w:space="0" w:color="auto"/>
            </w:tcBorders>
            <w:shd w:val="clear" w:color="auto" w:fill="FFFFFF"/>
            <w:vAlign w:val="bottom"/>
          </w:tcPr>
          <w:p w14:paraId="1166D719" w14:textId="3A0F22E6" w:rsidR="00CA1F5C" w:rsidRPr="00CF31E0" w:rsidRDefault="00BE5AEB"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Traditional</w:t>
            </w:r>
            <w:r w:rsidR="00CA1F5C" w:rsidRPr="00CF31E0">
              <w:rPr>
                <w:rFonts w:eastAsia="Calibri" w:cs="Arial"/>
                <w:color w:val="000000" w:themeColor="text1"/>
                <w:sz w:val="22"/>
                <w:szCs w:val="22"/>
                <w:lang w:eastAsia="en-US"/>
              </w:rPr>
              <w:t xml:space="preserve"> factor (HH dialect)</w:t>
            </w:r>
          </w:p>
        </w:tc>
      </w:tr>
      <w:tr w:rsidR="00CA1F5C" w:rsidRPr="00CF31E0" w14:paraId="2D0C91C6" w14:textId="77777777" w:rsidTr="00CA1F5C">
        <w:trPr>
          <w:cantSplit/>
        </w:trPr>
        <w:tc>
          <w:tcPr>
            <w:tcW w:w="1736" w:type="dxa"/>
            <w:tcBorders>
              <w:top w:val="single" w:sz="8" w:space="0" w:color="auto"/>
              <w:bottom w:val="single" w:sz="6" w:space="0" w:color="auto"/>
            </w:tcBorders>
            <w:shd w:val="clear" w:color="auto" w:fill="FFFFFF"/>
            <w:vAlign w:val="bottom"/>
          </w:tcPr>
          <w:p w14:paraId="5F5F25AE"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Education</w:t>
            </w:r>
          </w:p>
        </w:tc>
        <w:tc>
          <w:tcPr>
            <w:tcW w:w="1686" w:type="dxa"/>
            <w:tcBorders>
              <w:top w:val="single" w:sz="8" w:space="0" w:color="auto"/>
              <w:bottom w:val="single" w:sz="6" w:space="0" w:color="auto"/>
            </w:tcBorders>
            <w:shd w:val="clear" w:color="auto" w:fill="FFFFFF"/>
            <w:vAlign w:val="bottom"/>
          </w:tcPr>
          <w:p w14:paraId="60357E31"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7F3712E9"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7EDD712C"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104BA0D8"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40663BAF"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A1F5C" w:rsidRPr="00CF31E0" w14:paraId="32C30F57" w14:textId="77777777" w:rsidTr="00CA1F5C">
        <w:trPr>
          <w:cantSplit/>
        </w:trPr>
        <w:tc>
          <w:tcPr>
            <w:tcW w:w="1736" w:type="dxa"/>
            <w:tcBorders>
              <w:top w:val="single" w:sz="6" w:space="0" w:color="auto"/>
              <w:bottom w:val="nil"/>
            </w:tcBorders>
            <w:shd w:val="clear" w:color="auto" w:fill="FFFFFF"/>
          </w:tcPr>
          <w:p w14:paraId="564133AB"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1E67FFB0"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2.516</w:t>
            </w:r>
          </w:p>
        </w:tc>
        <w:tc>
          <w:tcPr>
            <w:tcW w:w="820" w:type="dxa"/>
            <w:tcBorders>
              <w:top w:val="single" w:sz="6" w:space="0" w:color="auto"/>
              <w:bottom w:val="nil"/>
            </w:tcBorders>
            <w:shd w:val="clear" w:color="auto" w:fill="FFFFFF"/>
            <w:vAlign w:val="center"/>
          </w:tcPr>
          <w:p w14:paraId="16C8D13E"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5</w:t>
            </w:r>
          </w:p>
        </w:tc>
        <w:tc>
          <w:tcPr>
            <w:tcW w:w="1445" w:type="dxa"/>
            <w:tcBorders>
              <w:top w:val="single" w:sz="6" w:space="0" w:color="auto"/>
              <w:bottom w:val="nil"/>
            </w:tcBorders>
            <w:shd w:val="clear" w:color="auto" w:fill="FFFFFF"/>
            <w:vAlign w:val="center"/>
          </w:tcPr>
          <w:p w14:paraId="310FE3E2"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.503</w:t>
            </w:r>
          </w:p>
        </w:tc>
        <w:tc>
          <w:tcPr>
            <w:tcW w:w="1030" w:type="dxa"/>
            <w:tcBorders>
              <w:top w:val="single" w:sz="6" w:space="0" w:color="auto"/>
              <w:bottom w:val="nil"/>
            </w:tcBorders>
            <w:shd w:val="clear" w:color="auto" w:fill="FFFFFF"/>
            <w:vAlign w:val="center"/>
          </w:tcPr>
          <w:p w14:paraId="49A61CF5"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.353</w:t>
            </w:r>
          </w:p>
        </w:tc>
        <w:tc>
          <w:tcPr>
            <w:tcW w:w="674" w:type="dxa"/>
            <w:tcBorders>
              <w:top w:val="single" w:sz="6" w:space="0" w:color="auto"/>
              <w:bottom w:val="nil"/>
            </w:tcBorders>
            <w:shd w:val="clear" w:color="auto" w:fill="FFFFFF"/>
            <w:vAlign w:val="center"/>
          </w:tcPr>
          <w:p w14:paraId="04B1C444"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.880</w:t>
            </w:r>
          </w:p>
        </w:tc>
      </w:tr>
      <w:tr w:rsidR="00CA1F5C" w:rsidRPr="00CF31E0" w14:paraId="0D69CD30" w14:textId="77777777" w:rsidTr="00CA1F5C">
        <w:trPr>
          <w:cantSplit/>
        </w:trPr>
        <w:tc>
          <w:tcPr>
            <w:tcW w:w="1736" w:type="dxa"/>
            <w:tcBorders>
              <w:top w:val="nil"/>
            </w:tcBorders>
            <w:shd w:val="clear" w:color="auto" w:fill="FFFFFF"/>
          </w:tcPr>
          <w:p w14:paraId="00303DA6"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55B9AFE4"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913.429</w:t>
            </w:r>
          </w:p>
        </w:tc>
        <w:tc>
          <w:tcPr>
            <w:tcW w:w="820" w:type="dxa"/>
            <w:tcBorders>
              <w:top w:val="nil"/>
            </w:tcBorders>
            <w:shd w:val="clear" w:color="auto" w:fill="FFFFFF"/>
            <w:vAlign w:val="center"/>
          </w:tcPr>
          <w:p w14:paraId="4F9DAC93" w14:textId="3DEC5100"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321</w:t>
            </w:r>
          </w:p>
        </w:tc>
        <w:tc>
          <w:tcPr>
            <w:tcW w:w="1445" w:type="dxa"/>
            <w:tcBorders>
              <w:top w:val="nil"/>
            </w:tcBorders>
            <w:shd w:val="clear" w:color="auto" w:fill="FFFFFF"/>
            <w:vAlign w:val="center"/>
          </w:tcPr>
          <w:p w14:paraId="6EF25718"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1.425</w:t>
            </w:r>
          </w:p>
        </w:tc>
        <w:tc>
          <w:tcPr>
            <w:tcW w:w="1030" w:type="dxa"/>
            <w:tcBorders>
              <w:top w:val="nil"/>
            </w:tcBorders>
            <w:shd w:val="clear" w:color="auto" w:fill="FFFFFF"/>
            <w:vAlign w:val="center"/>
          </w:tcPr>
          <w:p w14:paraId="62042FCC"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55AA9D85"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r w:rsidR="00CA1F5C" w:rsidRPr="00CF31E0" w14:paraId="103730F8" w14:textId="77777777" w:rsidTr="00CA1F5C">
        <w:trPr>
          <w:cantSplit/>
        </w:trPr>
        <w:tc>
          <w:tcPr>
            <w:tcW w:w="1736" w:type="dxa"/>
            <w:shd w:val="clear" w:color="auto" w:fill="FFFFFF"/>
          </w:tcPr>
          <w:p w14:paraId="2EF1640F" w14:textId="77777777" w:rsidR="00CA1F5C" w:rsidRPr="00CF31E0" w:rsidRDefault="00CA1F5C" w:rsidP="00CA1F5C">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D986112"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915.944</w:t>
            </w:r>
          </w:p>
        </w:tc>
        <w:tc>
          <w:tcPr>
            <w:tcW w:w="820" w:type="dxa"/>
            <w:shd w:val="clear" w:color="auto" w:fill="FFFFFF"/>
            <w:vAlign w:val="center"/>
          </w:tcPr>
          <w:p w14:paraId="59D0F6A2" w14:textId="38C6F12A" w:rsidR="00CA1F5C" w:rsidRPr="00CF31E0" w:rsidRDefault="00B045BE" w:rsidP="00CA1F5C">
            <w:pPr>
              <w:spacing w:before="120" w:after="120" w:line="360" w:lineRule="auto"/>
              <w:jc w:val="right"/>
              <w:rPr>
                <w:rFonts w:eastAsia="Calibri" w:cs="Arial"/>
                <w:color w:val="000000" w:themeColor="text1"/>
                <w:sz w:val="22"/>
                <w:szCs w:val="22"/>
                <w:lang w:eastAsia="en-US"/>
              </w:rPr>
            </w:pPr>
            <w:r w:rsidRPr="00CF31E0">
              <w:rPr>
                <w:rFonts w:eastAsia="MS Mincho"/>
                <w:color w:val="000000" w:themeColor="text1"/>
                <w:sz w:val="22"/>
                <w:szCs w:val="22"/>
              </w:rPr>
              <w:t>326</w:t>
            </w:r>
          </w:p>
        </w:tc>
        <w:tc>
          <w:tcPr>
            <w:tcW w:w="1445" w:type="dxa"/>
            <w:shd w:val="clear" w:color="auto" w:fill="FFFFFF"/>
            <w:vAlign w:val="center"/>
          </w:tcPr>
          <w:p w14:paraId="409291DF"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51F2FCDD"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71DB96DB" w14:textId="77777777" w:rsidR="00CA1F5C" w:rsidRPr="00CF31E0" w:rsidRDefault="00CA1F5C" w:rsidP="00CA1F5C">
            <w:pPr>
              <w:spacing w:before="120" w:after="120" w:line="360" w:lineRule="auto"/>
              <w:jc w:val="right"/>
              <w:rPr>
                <w:rFonts w:eastAsia="Calibri" w:cs="Arial"/>
                <w:color w:val="000000" w:themeColor="text1"/>
                <w:sz w:val="22"/>
                <w:szCs w:val="22"/>
                <w:lang w:eastAsia="en-US"/>
              </w:rPr>
            </w:pPr>
          </w:p>
        </w:tc>
      </w:tr>
    </w:tbl>
    <w:p w14:paraId="4FABF737" w14:textId="77777777" w:rsidR="00CA1F5C" w:rsidRPr="00CF31E0" w:rsidRDefault="00CA1F5C" w:rsidP="00B57389">
      <w:pPr>
        <w:rPr>
          <w:color w:val="000000" w:themeColor="text1"/>
          <w:lang w:eastAsia="en-US"/>
        </w:rPr>
      </w:pPr>
    </w:p>
    <w:p w14:paraId="5C816BD6" w14:textId="77777777" w:rsidR="00CA1F5C" w:rsidRPr="00CF31E0" w:rsidRDefault="00CA1F5C" w:rsidP="00B57389">
      <w:pPr>
        <w:rPr>
          <w:color w:val="000000" w:themeColor="text1"/>
          <w:lang w:eastAsia="en-US"/>
        </w:rPr>
      </w:pPr>
    </w:p>
    <w:p w14:paraId="24C92864" w14:textId="77777777" w:rsidR="00CA1F5C" w:rsidRPr="00CF31E0" w:rsidRDefault="00CA1F5C" w:rsidP="00B57389">
      <w:pPr>
        <w:rPr>
          <w:color w:val="000000" w:themeColor="text1"/>
          <w:lang w:eastAsia="en-US"/>
        </w:rPr>
      </w:pPr>
    </w:p>
    <w:p w14:paraId="0E155A7B" w14:textId="77777777" w:rsidR="00CA1F5C" w:rsidRPr="00CF31E0" w:rsidRDefault="00CA1F5C" w:rsidP="00B57389">
      <w:pPr>
        <w:rPr>
          <w:color w:val="000000" w:themeColor="text1"/>
          <w:lang w:eastAsia="en-US"/>
        </w:rPr>
      </w:pPr>
    </w:p>
    <w:p w14:paraId="55F27CA0" w14:textId="77777777" w:rsidR="00CA1F5C" w:rsidRPr="00CF31E0" w:rsidRDefault="00CA1F5C" w:rsidP="00B57389">
      <w:pPr>
        <w:rPr>
          <w:color w:val="000000" w:themeColor="text1"/>
          <w:lang w:eastAsia="en-US"/>
        </w:rPr>
      </w:pPr>
    </w:p>
    <w:p w14:paraId="5C6FB9A4" w14:textId="77777777" w:rsidR="00CA1F5C" w:rsidRPr="00CF31E0" w:rsidRDefault="00CA1F5C" w:rsidP="00B57389">
      <w:pPr>
        <w:rPr>
          <w:color w:val="000000" w:themeColor="text1"/>
          <w:lang w:eastAsia="en-US"/>
        </w:rPr>
      </w:pPr>
    </w:p>
    <w:p w14:paraId="445CBAB8" w14:textId="77777777" w:rsidR="00CA1F5C" w:rsidRPr="00CF31E0" w:rsidRDefault="00CA1F5C" w:rsidP="00B57389">
      <w:pPr>
        <w:rPr>
          <w:color w:val="000000" w:themeColor="text1"/>
          <w:lang w:eastAsia="en-US"/>
        </w:rPr>
        <w:sectPr w:rsidR="00CA1F5C" w:rsidRPr="00CF31E0" w:rsidSect="00603CB7">
          <w:pgSz w:w="11900" w:h="16840"/>
          <w:pgMar w:top="1440" w:right="2268" w:bottom="1440" w:left="2268" w:header="708" w:footer="708" w:gutter="0"/>
          <w:cols w:space="708"/>
          <w:docGrid w:linePitch="360"/>
        </w:sectPr>
      </w:pPr>
    </w:p>
    <w:p w14:paraId="5F4E36D6" w14:textId="06938DD4" w:rsidR="00C90CEE" w:rsidRPr="00CF31E0" w:rsidRDefault="00C90CEE" w:rsidP="00603CB7">
      <w:pPr>
        <w:pStyle w:val="Title"/>
        <w:spacing w:after="400"/>
        <w:contextualSpacing w:val="0"/>
        <w:rPr>
          <w:color w:val="000000" w:themeColor="text1"/>
          <w:lang w:eastAsia="en-US"/>
        </w:rPr>
      </w:pPr>
      <w:bookmarkStart w:id="1221" w:name="_Toc6472845"/>
      <w:r w:rsidRPr="00CF31E0">
        <w:rPr>
          <w:color w:val="000000" w:themeColor="text1"/>
          <w:lang w:eastAsia="en-US"/>
        </w:rPr>
        <w:lastRenderedPageBreak/>
        <w:t>Appendix 4</w:t>
      </w:r>
      <w:r w:rsidR="00E77B61" w:rsidRPr="00CF31E0">
        <w:rPr>
          <w:color w:val="000000" w:themeColor="text1"/>
          <w:lang w:eastAsia="en-US"/>
        </w:rPr>
        <w:t>: RQ</w:t>
      </w:r>
      <w:r w:rsidR="00ED023B" w:rsidRPr="00CF31E0">
        <w:rPr>
          <w:color w:val="000000" w:themeColor="text1"/>
          <w:lang w:eastAsia="en-US"/>
        </w:rPr>
        <w:t>3</w:t>
      </w:r>
      <w:r w:rsidR="002940F0" w:rsidRPr="00CF31E0">
        <w:rPr>
          <w:color w:val="000000" w:themeColor="text1"/>
          <w:lang w:eastAsia="en-US"/>
        </w:rPr>
        <w:t xml:space="preserve"> results</w:t>
      </w:r>
      <w:r w:rsidR="00ED023B" w:rsidRPr="00CF31E0">
        <w:rPr>
          <w:color w:val="000000" w:themeColor="text1"/>
          <w:lang w:eastAsia="en-US"/>
        </w:rPr>
        <w:t xml:space="preserve"> (the perceptual part)</w:t>
      </w:r>
      <w:bookmarkEnd w:id="1221"/>
    </w:p>
    <w:p w14:paraId="1CB560CF" w14:textId="77777777" w:rsidR="00E77B61" w:rsidRPr="00CF31E0" w:rsidRDefault="00E77B61" w:rsidP="00E77B61">
      <w:pPr>
        <w:rPr>
          <w:rFonts w:eastAsia="MS Mincho"/>
          <w:b/>
          <w:bCs/>
          <w:color w:val="000000" w:themeColor="text1"/>
          <w:sz w:val="28"/>
          <w:szCs w:val="28"/>
        </w:rPr>
      </w:pPr>
    </w:p>
    <w:p w14:paraId="754FB332" w14:textId="77777777" w:rsidR="00E77B61" w:rsidRPr="00CF31E0" w:rsidRDefault="00E77B61" w:rsidP="00E77B61">
      <w:pPr>
        <w:numPr>
          <w:ilvl w:val="0"/>
          <w:numId w:val="73"/>
        </w:numPr>
        <w:contextualSpacing/>
        <w:rPr>
          <w:rFonts w:eastAsia="MS Mincho"/>
          <w:b/>
          <w:bCs/>
          <w:color w:val="000000" w:themeColor="text1"/>
          <w:sz w:val="28"/>
          <w:szCs w:val="28"/>
          <w:lang w:eastAsia="en-US"/>
        </w:rPr>
      </w:pPr>
      <w:r w:rsidRPr="00CF31E0">
        <w:rPr>
          <w:rFonts w:eastAsia="MS Mincho"/>
          <w:b/>
          <w:bCs/>
          <w:color w:val="000000" w:themeColor="text1"/>
          <w:sz w:val="28"/>
          <w:szCs w:val="28"/>
          <w:lang w:eastAsia="en-US"/>
        </w:rPr>
        <w:t>VS1</w:t>
      </w:r>
    </w:p>
    <w:p w14:paraId="627BB488" w14:textId="77777777" w:rsidR="00E77B61" w:rsidRPr="00CF31E0" w:rsidRDefault="00E77B61">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3DFCD531" w14:textId="77777777" w:rsidTr="00852AD3">
        <w:trPr>
          <w:trHeight w:val="567"/>
        </w:trPr>
        <w:tc>
          <w:tcPr>
            <w:tcW w:w="2235" w:type="dxa"/>
            <w:tcBorders>
              <w:top w:val="single" w:sz="8" w:space="0" w:color="auto"/>
              <w:bottom w:val="single" w:sz="8" w:space="0" w:color="auto"/>
            </w:tcBorders>
            <w:shd w:val="clear" w:color="auto" w:fill="auto"/>
            <w:hideMark/>
          </w:tcPr>
          <w:p w14:paraId="07E47406" w14:textId="77777777" w:rsidR="00852AD3" w:rsidRPr="00CF31E0" w:rsidRDefault="00852AD3" w:rsidP="0022368A">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Gender</w:t>
            </w:r>
          </w:p>
        </w:tc>
        <w:tc>
          <w:tcPr>
            <w:tcW w:w="1134" w:type="dxa"/>
            <w:tcBorders>
              <w:top w:val="single" w:sz="8" w:space="0" w:color="auto"/>
              <w:bottom w:val="single" w:sz="8" w:space="0" w:color="auto"/>
            </w:tcBorders>
            <w:shd w:val="clear" w:color="auto" w:fill="auto"/>
            <w:hideMark/>
          </w:tcPr>
          <w:p w14:paraId="6243CB71" w14:textId="77777777" w:rsidR="00852AD3" w:rsidRPr="00CF31E0" w:rsidRDefault="00852AD3" w:rsidP="0022368A">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0AFD99AA" w14:textId="77777777" w:rsidR="00852AD3" w:rsidRPr="00CF31E0" w:rsidRDefault="00852AD3" w:rsidP="0022368A">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2CD7F5E2" w14:textId="77777777" w:rsidTr="00852AD3">
        <w:trPr>
          <w:trHeight w:val="567"/>
        </w:trPr>
        <w:tc>
          <w:tcPr>
            <w:tcW w:w="2235" w:type="dxa"/>
            <w:tcBorders>
              <w:top w:val="single" w:sz="8" w:space="0" w:color="auto"/>
            </w:tcBorders>
            <w:shd w:val="clear" w:color="auto" w:fill="auto"/>
            <w:vAlign w:val="bottom"/>
          </w:tcPr>
          <w:p w14:paraId="278B88C0" w14:textId="77777777" w:rsidR="00852AD3" w:rsidRPr="00CF31E0" w:rsidRDefault="00852AD3">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2F0A0053" w14:textId="77777777" w:rsidR="00852AD3" w:rsidRPr="00CF31E0" w:rsidRDefault="00852AD3">
            <w:pPr>
              <w:spacing w:after="200" w:line="276" w:lineRule="auto"/>
              <w:rPr>
                <w:rFonts w:eastAsia="Calibri"/>
                <w:color w:val="000000" w:themeColor="text1"/>
                <w:sz w:val="22"/>
                <w:szCs w:val="22"/>
                <w:lang w:eastAsia="en-US"/>
              </w:rPr>
            </w:pPr>
            <w:r w:rsidRPr="00CF31E0">
              <w:rPr>
                <w:rFonts w:eastAsia="MS Mincho"/>
                <w:color w:val="000000" w:themeColor="text1"/>
                <w:sz w:val="22"/>
                <w:szCs w:val="22"/>
                <w:lang w:eastAsia="en-US"/>
              </w:rPr>
              <w:t>2.109</w:t>
            </w:r>
            <w:r w:rsidRPr="00CF31E0">
              <w:rPr>
                <w:rFonts w:eastAsia="MS Mincho"/>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0049DE0B" w14:textId="77777777" w:rsidR="00852AD3" w:rsidRPr="00CF31E0" w:rsidRDefault="00852AD3">
            <w:pPr>
              <w:spacing w:after="200" w:line="276" w:lineRule="auto"/>
              <w:jc w:val="center"/>
              <w:rPr>
                <w:rFonts w:eastAsia="Calibri"/>
                <w:color w:val="000000" w:themeColor="text1"/>
                <w:sz w:val="22"/>
                <w:szCs w:val="22"/>
                <w:lang w:eastAsia="en-US"/>
              </w:rPr>
            </w:pPr>
            <w:r w:rsidRPr="00CF31E0">
              <w:rPr>
                <w:rFonts w:eastAsia="MS Mincho"/>
                <w:color w:val="000000" w:themeColor="text1"/>
                <w:sz w:val="22"/>
                <w:szCs w:val="22"/>
                <w:lang w:eastAsia="en-US"/>
              </w:rPr>
              <w:t>.146</w:t>
            </w:r>
          </w:p>
        </w:tc>
      </w:tr>
      <w:tr w:rsidR="00852AD3" w:rsidRPr="00CF31E0" w14:paraId="128F70D3" w14:textId="77777777" w:rsidTr="00852AD3">
        <w:trPr>
          <w:trHeight w:val="567"/>
        </w:trPr>
        <w:tc>
          <w:tcPr>
            <w:tcW w:w="2235" w:type="dxa"/>
            <w:shd w:val="clear" w:color="auto" w:fill="auto"/>
            <w:vAlign w:val="bottom"/>
          </w:tcPr>
          <w:p w14:paraId="7400A72E" w14:textId="77777777" w:rsidR="00852AD3" w:rsidRPr="00CF31E0" w:rsidRDefault="00852AD3">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Continuity Correction</w:t>
            </w:r>
            <w:r w:rsidRPr="00CF31E0">
              <w:rPr>
                <w:rFonts w:eastAsia="Calibri"/>
                <w:color w:val="000000" w:themeColor="text1"/>
                <w:sz w:val="22"/>
                <w:szCs w:val="22"/>
                <w:vertAlign w:val="superscript"/>
                <w:lang w:eastAsia="en-US"/>
              </w:rPr>
              <w:t>b</w:t>
            </w:r>
          </w:p>
        </w:tc>
        <w:tc>
          <w:tcPr>
            <w:tcW w:w="1134" w:type="dxa"/>
            <w:shd w:val="clear" w:color="auto" w:fill="auto"/>
            <w:vAlign w:val="bottom"/>
          </w:tcPr>
          <w:p w14:paraId="581A9442" w14:textId="77777777" w:rsidR="00852AD3" w:rsidRPr="00CF31E0" w:rsidRDefault="00852AD3">
            <w:pPr>
              <w:spacing w:after="200" w:line="276" w:lineRule="auto"/>
              <w:rPr>
                <w:rFonts w:eastAsia="Calibri"/>
                <w:color w:val="000000" w:themeColor="text1"/>
                <w:sz w:val="22"/>
                <w:szCs w:val="22"/>
                <w:lang w:eastAsia="en-US"/>
              </w:rPr>
            </w:pPr>
            <w:r w:rsidRPr="00CF31E0">
              <w:rPr>
                <w:rFonts w:eastAsia="MS Mincho"/>
                <w:color w:val="000000" w:themeColor="text1"/>
                <w:sz w:val="22"/>
                <w:szCs w:val="22"/>
                <w:lang w:eastAsia="en-US"/>
              </w:rPr>
              <w:t>1.277</w:t>
            </w:r>
          </w:p>
        </w:tc>
        <w:tc>
          <w:tcPr>
            <w:tcW w:w="3260" w:type="dxa"/>
            <w:shd w:val="clear" w:color="auto" w:fill="auto"/>
            <w:vAlign w:val="bottom"/>
          </w:tcPr>
          <w:p w14:paraId="0C7C2B22" w14:textId="77777777" w:rsidR="00852AD3" w:rsidRPr="00CF31E0" w:rsidRDefault="00852AD3">
            <w:pPr>
              <w:spacing w:after="200" w:line="276" w:lineRule="auto"/>
              <w:jc w:val="center"/>
              <w:rPr>
                <w:rFonts w:eastAsia="Calibri"/>
                <w:color w:val="000000" w:themeColor="text1"/>
                <w:sz w:val="22"/>
                <w:szCs w:val="22"/>
                <w:lang w:eastAsia="en-US"/>
              </w:rPr>
            </w:pPr>
            <w:r w:rsidRPr="00CF31E0">
              <w:rPr>
                <w:rFonts w:eastAsia="MS Mincho"/>
                <w:color w:val="000000" w:themeColor="text1"/>
                <w:sz w:val="22"/>
                <w:szCs w:val="22"/>
                <w:lang w:eastAsia="en-US"/>
              </w:rPr>
              <w:t>.259</w:t>
            </w:r>
          </w:p>
        </w:tc>
      </w:tr>
      <w:tr w:rsidR="00852AD3" w:rsidRPr="00CF31E0" w14:paraId="6EA273C8" w14:textId="77777777" w:rsidTr="00852AD3">
        <w:trPr>
          <w:trHeight w:val="567"/>
        </w:trPr>
        <w:tc>
          <w:tcPr>
            <w:tcW w:w="2235" w:type="dxa"/>
            <w:tcBorders>
              <w:bottom w:val="single" w:sz="8" w:space="0" w:color="auto"/>
            </w:tcBorders>
            <w:shd w:val="clear" w:color="auto" w:fill="auto"/>
            <w:vAlign w:val="bottom"/>
          </w:tcPr>
          <w:p w14:paraId="23E80E58" w14:textId="77777777" w:rsidR="00852AD3" w:rsidRPr="00CF31E0" w:rsidRDefault="00852AD3">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187B0895" w14:textId="77777777" w:rsidR="00852AD3" w:rsidRPr="00CF31E0" w:rsidRDefault="00852AD3">
            <w:pPr>
              <w:spacing w:after="200" w:line="276" w:lineRule="auto"/>
              <w:rPr>
                <w:rFonts w:eastAsia="Calibri"/>
                <w:color w:val="000000" w:themeColor="text1"/>
                <w:sz w:val="22"/>
                <w:szCs w:val="22"/>
                <w:lang w:eastAsia="en-US"/>
              </w:rPr>
            </w:pPr>
            <w:r w:rsidRPr="00CF31E0">
              <w:rPr>
                <w:rFonts w:eastAsia="MS Mincho"/>
                <w:color w:val="000000" w:themeColor="text1"/>
                <w:sz w:val="22"/>
                <w:szCs w:val="22"/>
                <w:lang w:eastAsia="en-US"/>
              </w:rPr>
              <w:t>649</w:t>
            </w:r>
          </w:p>
        </w:tc>
        <w:tc>
          <w:tcPr>
            <w:tcW w:w="3260" w:type="dxa"/>
            <w:tcBorders>
              <w:bottom w:val="single" w:sz="8" w:space="0" w:color="auto"/>
            </w:tcBorders>
            <w:shd w:val="clear" w:color="auto" w:fill="auto"/>
            <w:vAlign w:val="bottom"/>
          </w:tcPr>
          <w:p w14:paraId="32291F4C" w14:textId="77777777" w:rsidR="00852AD3" w:rsidRPr="00CF31E0" w:rsidRDefault="00852AD3" w:rsidP="00603CB7">
            <w:pPr>
              <w:spacing w:after="200" w:line="276" w:lineRule="auto"/>
              <w:rPr>
                <w:rFonts w:eastAsia="Calibri"/>
                <w:color w:val="000000" w:themeColor="text1"/>
                <w:sz w:val="22"/>
                <w:szCs w:val="22"/>
                <w:lang w:eastAsia="en-US"/>
              </w:rPr>
            </w:pPr>
          </w:p>
        </w:tc>
      </w:tr>
    </w:tbl>
    <w:p w14:paraId="53808232" w14:textId="77777777" w:rsidR="00E77B61" w:rsidRPr="00CF31E0" w:rsidRDefault="00E77B61">
      <w:pPr>
        <w:rPr>
          <w:color w:val="000000" w:themeColor="text1"/>
          <w:lang w:eastAsia="en-US"/>
        </w:rPr>
      </w:pPr>
    </w:p>
    <w:p w14:paraId="5DF6A913" w14:textId="77777777" w:rsidR="00E77B61" w:rsidRPr="00CF31E0" w:rsidRDefault="00E77B61">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6086B6EC" w14:textId="77777777" w:rsidTr="00852AD3">
        <w:trPr>
          <w:trHeight w:val="567"/>
        </w:trPr>
        <w:tc>
          <w:tcPr>
            <w:tcW w:w="2235" w:type="dxa"/>
            <w:tcBorders>
              <w:top w:val="single" w:sz="8" w:space="0" w:color="auto"/>
              <w:bottom w:val="single" w:sz="8" w:space="0" w:color="auto"/>
            </w:tcBorders>
            <w:shd w:val="clear" w:color="auto" w:fill="auto"/>
            <w:hideMark/>
          </w:tcPr>
          <w:p w14:paraId="57EB2BA3" w14:textId="77777777" w:rsidR="00852AD3" w:rsidRPr="00CF31E0" w:rsidRDefault="00852AD3" w:rsidP="00FC66A2">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Age</w:t>
            </w:r>
          </w:p>
        </w:tc>
        <w:tc>
          <w:tcPr>
            <w:tcW w:w="1134" w:type="dxa"/>
            <w:tcBorders>
              <w:top w:val="single" w:sz="8" w:space="0" w:color="auto"/>
              <w:bottom w:val="single" w:sz="8" w:space="0" w:color="auto"/>
            </w:tcBorders>
            <w:shd w:val="clear" w:color="auto" w:fill="auto"/>
            <w:hideMark/>
          </w:tcPr>
          <w:p w14:paraId="73F60286" w14:textId="77777777" w:rsidR="00852AD3" w:rsidRPr="00CF31E0" w:rsidRDefault="00852AD3" w:rsidP="00FC66A2">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07B5B252" w14:textId="77777777" w:rsidR="00852AD3" w:rsidRPr="00CF31E0" w:rsidRDefault="00852AD3" w:rsidP="00FC66A2">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2C8F5E68" w14:textId="77777777" w:rsidTr="00852AD3">
        <w:trPr>
          <w:trHeight w:val="567"/>
        </w:trPr>
        <w:tc>
          <w:tcPr>
            <w:tcW w:w="2235" w:type="dxa"/>
            <w:tcBorders>
              <w:top w:val="single" w:sz="8" w:space="0" w:color="auto"/>
            </w:tcBorders>
            <w:shd w:val="clear" w:color="auto" w:fill="auto"/>
            <w:vAlign w:val="bottom"/>
          </w:tcPr>
          <w:p w14:paraId="2B247259" w14:textId="77777777" w:rsidR="00852AD3" w:rsidRPr="00CF31E0" w:rsidRDefault="00852AD3" w:rsidP="00FC66A2">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3043886A" w14:textId="2A24289E" w:rsidR="00852AD3" w:rsidRPr="00CF31E0" w:rsidRDefault="00852AD3" w:rsidP="00FC66A2">
            <w:pPr>
              <w:spacing w:after="200" w:line="276" w:lineRule="auto"/>
              <w:rPr>
                <w:rFonts w:eastAsia="Calibri"/>
                <w:color w:val="000000" w:themeColor="text1"/>
                <w:sz w:val="22"/>
                <w:szCs w:val="22"/>
                <w:lang w:eastAsia="en-US"/>
              </w:rPr>
            </w:pPr>
            <w:r w:rsidRPr="00CF31E0">
              <w:rPr>
                <w:rFonts w:eastAsia="MS Mincho"/>
                <w:color w:val="000000" w:themeColor="text1"/>
                <w:sz w:val="22"/>
                <w:szCs w:val="22"/>
                <w:lang w:eastAsia="en-US"/>
              </w:rPr>
              <w:t>3.224</w:t>
            </w:r>
            <w:r w:rsidRPr="00CF31E0">
              <w:rPr>
                <w:rFonts w:eastAsia="MS Mincho"/>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6F5F0D55" w14:textId="77777777" w:rsidR="00852AD3" w:rsidRPr="00CF31E0" w:rsidRDefault="00852AD3" w:rsidP="00FC66A2">
            <w:pPr>
              <w:spacing w:after="200" w:line="276" w:lineRule="auto"/>
              <w:jc w:val="center"/>
              <w:rPr>
                <w:rFonts w:eastAsia="Calibri"/>
                <w:color w:val="000000" w:themeColor="text1"/>
                <w:sz w:val="22"/>
                <w:szCs w:val="22"/>
                <w:lang w:eastAsia="en-US"/>
              </w:rPr>
            </w:pPr>
            <w:r w:rsidRPr="00CF31E0">
              <w:rPr>
                <w:rFonts w:eastAsia="MS Mincho"/>
                <w:color w:val="000000" w:themeColor="text1"/>
                <w:sz w:val="22"/>
                <w:szCs w:val="22"/>
                <w:lang w:eastAsia="en-US"/>
              </w:rPr>
              <w:t>.665</w:t>
            </w:r>
          </w:p>
        </w:tc>
      </w:tr>
      <w:tr w:rsidR="00852AD3" w:rsidRPr="00CF31E0" w14:paraId="388FF361" w14:textId="77777777" w:rsidTr="00852AD3">
        <w:trPr>
          <w:trHeight w:val="567"/>
        </w:trPr>
        <w:tc>
          <w:tcPr>
            <w:tcW w:w="2235" w:type="dxa"/>
            <w:tcBorders>
              <w:bottom w:val="single" w:sz="8" w:space="0" w:color="auto"/>
            </w:tcBorders>
            <w:shd w:val="clear" w:color="auto" w:fill="auto"/>
            <w:vAlign w:val="bottom"/>
          </w:tcPr>
          <w:p w14:paraId="13257E3F" w14:textId="77777777" w:rsidR="00852AD3" w:rsidRPr="00CF31E0" w:rsidRDefault="00852AD3" w:rsidP="00FC66A2">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2068EEC9" w14:textId="77777777" w:rsidR="00852AD3" w:rsidRPr="00CF31E0" w:rsidRDefault="00852AD3" w:rsidP="00FC66A2">
            <w:pPr>
              <w:spacing w:after="200" w:line="276" w:lineRule="auto"/>
              <w:rPr>
                <w:rFonts w:eastAsia="Calibri"/>
                <w:color w:val="000000" w:themeColor="text1"/>
                <w:sz w:val="22"/>
                <w:szCs w:val="22"/>
                <w:lang w:eastAsia="en-US"/>
              </w:rPr>
            </w:pPr>
            <w:r w:rsidRPr="00CF31E0">
              <w:rPr>
                <w:rFonts w:eastAsia="MS Mincho"/>
                <w:color w:val="000000" w:themeColor="text1"/>
                <w:sz w:val="22"/>
                <w:szCs w:val="22"/>
                <w:lang w:eastAsia="en-US"/>
              </w:rPr>
              <w:t>649</w:t>
            </w:r>
          </w:p>
        </w:tc>
        <w:tc>
          <w:tcPr>
            <w:tcW w:w="3260" w:type="dxa"/>
            <w:tcBorders>
              <w:bottom w:val="single" w:sz="8" w:space="0" w:color="auto"/>
            </w:tcBorders>
            <w:shd w:val="clear" w:color="auto" w:fill="auto"/>
            <w:vAlign w:val="bottom"/>
          </w:tcPr>
          <w:p w14:paraId="53D8A071" w14:textId="77777777" w:rsidR="00852AD3" w:rsidRPr="00CF31E0" w:rsidRDefault="00852AD3" w:rsidP="00FC66A2">
            <w:pPr>
              <w:spacing w:after="200" w:line="276" w:lineRule="auto"/>
              <w:rPr>
                <w:rFonts w:eastAsia="Calibri"/>
                <w:color w:val="000000" w:themeColor="text1"/>
                <w:sz w:val="22"/>
                <w:szCs w:val="22"/>
                <w:lang w:eastAsia="en-US"/>
              </w:rPr>
            </w:pPr>
          </w:p>
        </w:tc>
      </w:tr>
    </w:tbl>
    <w:p w14:paraId="339906BC" w14:textId="77777777" w:rsidR="00E77B61" w:rsidRPr="00CF31E0" w:rsidRDefault="00E77B61">
      <w:pPr>
        <w:rPr>
          <w:color w:val="000000" w:themeColor="text1"/>
          <w:lang w:eastAsia="en-US"/>
        </w:rPr>
      </w:pPr>
    </w:p>
    <w:p w14:paraId="70F51F46" w14:textId="77777777" w:rsidR="00FC66A2" w:rsidRPr="00CF31E0" w:rsidRDefault="00FC66A2">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30B3A036" w14:textId="77777777" w:rsidTr="00852AD3">
        <w:trPr>
          <w:trHeight w:val="567"/>
        </w:trPr>
        <w:tc>
          <w:tcPr>
            <w:tcW w:w="2235" w:type="dxa"/>
            <w:tcBorders>
              <w:top w:val="single" w:sz="8" w:space="0" w:color="auto"/>
              <w:bottom w:val="single" w:sz="8" w:space="0" w:color="auto"/>
            </w:tcBorders>
            <w:shd w:val="clear" w:color="auto" w:fill="auto"/>
            <w:hideMark/>
          </w:tcPr>
          <w:p w14:paraId="6FE6BE17" w14:textId="77777777" w:rsidR="00852AD3" w:rsidRPr="00CF31E0" w:rsidRDefault="00852AD3" w:rsidP="00A42A9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Place of birth</w:t>
            </w:r>
          </w:p>
        </w:tc>
        <w:tc>
          <w:tcPr>
            <w:tcW w:w="1134" w:type="dxa"/>
            <w:tcBorders>
              <w:top w:val="single" w:sz="8" w:space="0" w:color="auto"/>
              <w:bottom w:val="single" w:sz="8" w:space="0" w:color="auto"/>
            </w:tcBorders>
            <w:shd w:val="clear" w:color="auto" w:fill="auto"/>
            <w:hideMark/>
          </w:tcPr>
          <w:p w14:paraId="02175B57" w14:textId="77777777" w:rsidR="00852AD3" w:rsidRPr="00CF31E0" w:rsidRDefault="00852AD3" w:rsidP="00A42A9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0CB256AB" w14:textId="77777777" w:rsidR="00852AD3" w:rsidRPr="00CF31E0" w:rsidRDefault="00852AD3" w:rsidP="00A42A9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47691268" w14:textId="77777777" w:rsidTr="00852AD3">
        <w:trPr>
          <w:trHeight w:val="567"/>
        </w:trPr>
        <w:tc>
          <w:tcPr>
            <w:tcW w:w="2235" w:type="dxa"/>
            <w:tcBorders>
              <w:top w:val="single" w:sz="8" w:space="0" w:color="auto"/>
            </w:tcBorders>
            <w:shd w:val="clear" w:color="auto" w:fill="auto"/>
            <w:vAlign w:val="bottom"/>
          </w:tcPr>
          <w:p w14:paraId="7615F308" w14:textId="77777777" w:rsidR="00852AD3" w:rsidRPr="00CF31E0" w:rsidRDefault="00852AD3" w:rsidP="00A42A9F">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center"/>
          </w:tcPr>
          <w:p w14:paraId="43197BAF" w14:textId="77777777" w:rsidR="00852AD3" w:rsidRPr="00CF31E0" w:rsidRDefault="00852AD3" w:rsidP="00A42A9F">
            <w:pPr>
              <w:spacing w:after="200" w:line="276" w:lineRule="auto"/>
              <w:rPr>
                <w:rFonts w:eastAsia="Calibri"/>
                <w:color w:val="000000" w:themeColor="text1"/>
                <w:sz w:val="22"/>
                <w:szCs w:val="22"/>
                <w:lang w:eastAsia="en-US"/>
              </w:rPr>
            </w:pPr>
            <w:r w:rsidRPr="00CF31E0">
              <w:rPr>
                <w:rFonts w:eastAsia="MS Mincho"/>
                <w:color w:val="000000" w:themeColor="text1"/>
                <w:sz w:val="22"/>
                <w:szCs w:val="22"/>
                <w:lang w:eastAsia="en-US"/>
              </w:rPr>
              <w:t>.002</w:t>
            </w:r>
            <w:r w:rsidRPr="00CF31E0">
              <w:rPr>
                <w:rFonts w:eastAsia="MS Mincho"/>
                <w:color w:val="000000" w:themeColor="text1"/>
                <w:sz w:val="22"/>
                <w:szCs w:val="22"/>
                <w:vertAlign w:val="superscript"/>
                <w:lang w:eastAsia="en-US"/>
              </w:rPr>
              <w:t>a</w:t>
            </w:r>
          </w:p>
        </w:tc>
        <w:tc>
          <w:tcPr>
            <w:tcW w:w="3260" w:type="dxa"/>
            <w:tcBorders>
              <w:top w:val="single" w:sz="8" w:space="0" w:color="auto"/>
            </w:tcBorders>
            <w:shd w:val="clear" w:color="auto" w:fill="auto"/>
            <w:vAlign w:val="center"/>
          </w:tcPr>
          <w:p w14:paraId="06A6C891" w14:textId="77777777" w:rsidR="00852AD3" w:rsidRPr="00CF31E0" w:rsidRDefault="00852AD3" w:rsidP="00A42A9F">
            <w:pPr>
              <w:spacing w:after="200" w:line="276" w:lineRule="auto"/>
              <w:jc w:val="center"/>
              <w:rPr>
                <w:rFonts w:eastAsia="Calibri"/>
                <w:color w:val="000000" w:themeColor="text1"/>
                <w:sz w:val="22"/>
                <w:szCs w:val="22"/>
                <w:lang w:eastAsia="en-US"/>
              </w:rPr>
            </w:pPr>
            <w:r w:rsidRPr="00CF31E0">
              <w:rPr>
                <w:rFonts w:eastAsia="MS Mincho"/>
                <w:color w:val="000000" w:themeColor="text1"/>
                <w:sz w:val="22"/>
                <w:szCs w:val="22"/>
                <w:lang w:eastAsia="en-US"/>
              </w:rPr>
              <w:t>.961</w:t>
            </w:r>
          </w:p>
        </w:tc>
      </w:tr>
      <w:tr w:rsidR="00852AD3" w:rsidRPr="00CF31E0" w14:paraId="777309C9" w14:textId="77777777" w:rsidTr="00852AD3">
        <w:trPr>
          <w:trHeight w:val="567"/>
        </w:trPr>
        <w:tc>
          <w:tcPr>
            <w:tcW w:w="2235" w:type="dxa"/>
            <w:shd w:val="clear" w:color="auto" w:fill="auto"/>
            <w:vAlign w:val="bottom"/>
          </w:tcPr>
          <w:p w14:paraId="24F3EE4F" w14:textId="77777777" w:rsidR="00852AD3" w:rsidRPr="00CF31E0" w:rsidRDefault="00852AD3" w:rsidP="00A42A9F">
            <w:pPr>
              <w:spacing w:before="80" w:after="200" w:line="276" w:lineRule="auto"/>
              <w:rPr>
                <w:rFonts w:eastAsia="Calibri"/>
                <w:color w:val="000000" w:themeColor="text1"/>
                <w:sz w:val="22"/>
                <w:szCs w:val="22"/>
                <w:lang w:val="en-US" w:eastAsia="en-US"/>
              </w:rPr>
            </w:pPr>
            <w:r w:rsidRPr="00CF31E0">
              <w:rPr>
                <w:rFonts w:eastAsia="MS Mincho"/>
                <w:color w:val="000000" w:themeColor="text1"/>
                <w:sz w:val="22"/>
                <w:szCs w:val="22"/>
                <w:lang w:eastAsia="en-US"/>
              </w:rPr>
              <w:t>Continuity Correction</w:t>
            </w:r>
            <w:r w:rsidRPr="00CF31E0">
              <w:rPr>
                <w:rFonts w:eastAsia="MS Mincho"/>
                <w:color w:val="000000" w:themeColor="text1"/>
                <w:sz w:val="22"/>
                <w:szCs w:val="22"/>
                <w:vertAlign w:val="superscript"/>
                <w:lang w:eastAsia="en-US"/>
              </w:rPr>
              <w:t>b</w:t>
            </w:r>
          </w:p>
        </w:tc>
        <w:tc>
          <w:tcPr>
            <w:tcW w:w="1134" w:type="dxa"/>
            <w:shd w:val="clear" w:color="auto" w:fill="auto"/>
            <w:vAlign w:val="center"/>
          </w:tcPr>
          <w:p w14:paraId="3D0A0DF6" w14:textId="77777777" w:rsidR="00852AD3" w:rsidRPr="00CF31E0" w:rsidRDefault="00852AD3" w:rsidP="00A42A9F">
            <w:pPr>
              <w:spacing w:after="200" w:line="276" w:lineRule="auto"/>
              <w:rPr>
                <w:rFonts w:eastAsia="MS Mincho"/>
                <w:color w:val="000000" w:themeColor="text1"/>
                <w:sz w:val="22"/>
                <w:szCs w:val="22"/>
                <w:lang w:eastAsia="en-US"/>
              </w:rPr>
            </w:pPr>
            <w:r w:rsidRPr="00CF31E0">
              <w:rPr>
                <w:rFonts w:eastAsia="MS Mincho"/>
                <w:color w:val="000000" w:themeColor="text1"/>
                <w:sz w:val="22"/>
                <w:szCs w:val="22"/>
                <w:lang w:eastAsia="en-US"/>
              </w:rPr>
              <w:t>.000</w:t>
            </w:r>
          </w:p>
        </w:tc>
        <w:tc>
          <w:tcPr>
            <w:tcW w:w="3260" w:type="dxa"/>
            <w:shd w:val="clear" w:color="auto" w:fill="auto"/>
            <w:vAlign w:val="center"/>
          </w:tcPr>
          <w:p w14:paraId="69FF0516" w14:textId="77777777" w:rsidR="00852AD3" w:rsidRPr="00CF31E0" w:rsidRDefault="00852AD3" w:rsidP="00A42A9F">
            <w:pPr>
              <w:spacing w:after="200" w:line="276" w:lineRule="auto"/>
              <w:jc w:val="center"/>
              <w:rPr>
                <w:rFonts w:eastAsia="MS Mincho"/>
                <w:color w:val="000000" w:themeColor="text1"/>
                <w:sz w:val="22"/>
                <w:szCs w:val="22"/>
                <w:lang w:eastAsia="en-US"/>
              </w:rPr>
            </w:pPr>
            <w:r w:rsidRPr="00CF31E0">
              <w:rPr>
                <w:rFonts w:eastAsia="MS Mincho"/>
                <w:color w:val="000000" w:themeColor="text1"/>
                <w:sz w:val="22"/>
                <w:szCs w:val="22"/>
                <w:lang w:eastAsia="en-US"/>
              </w:rPr>
              <w:t>1.000</w:t>
            </w:r>
          </w:p>
        </w:tc>
      </w:tr>
      <w:tr w:rsidR="00852AD3" w:rsidRPr="00CF31E0" w14:paraId="22AA938E" w14:textId="77777777" w:rsidTr="00852AD3">
        <w:trPr>
          <w:trHeight w:val="567"/>
        </w:trPr>
        <w:tc>
          <w:tcPr>
            <w:tcW w:w="2235" w:type="dxa"/>
            <w:tcBorders>
              <w:bottom w:val="single" w:sz="8" w:space="0" w:color="auto"/>
            </w:tcBorders>
            <w:shd w:val="clear" w:color="auto" w:fill="auto"/>
            <w:vAlign w:val="bottom"/>
          </w:tcPr>
          <w:p w14:paraId="6165F17E" w14:textId="77777777" w:rsidR="00852AD3" w:rsidRPr="00CF31E0" w:rsidRDefault="00852AD3" w:rsidP="00A42A9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center"/>
          </w:tcPr>
          <w:p w14:paraId="1EEE5055" w14:textId="77777777" w:rsidR="00852AD3" w:rsidRPr="00CF31E0" w:rsidRDefault="00852AD3" w:rsidP="00A42A9F">
            <w:pPr>
              <w:spacing w:after="200" w:line="276" w:lineRule="auto"/>
              <w:rPr>
                <w:rFonts w:eastAsia="Calibri"/>
                <w:color w:val="000000" w:themeColor="text1"/>
                <w:sz w:val="22"/>
                <w:szCs w:val="22"/>
                <w:lang w:eastAsia="en-US"/>
              </w:rPr>
            </w:pPr>
            <w:r w:rsidRPr="00CF31E0">
              <w:rPr>
                <w:rFonts w:eastAsia="MS Mincho"/>
                <w:color w:val="000000" w:themeColor="text1"/>
                <w:sz w:val="22"/>
                <w:szCs w:val="22"/>
                <w:lang w:eastAsia="en-US"/>
              </w:rPr>
              <w:t>649</w:t>
            </w:r>
          </w:p>
        </w:tc>
        <w:tc>
          <w:tcPr>
            <w:tcW w:w="3260" w:type="dxa"/>
            <w:tcBorders>
              <w:bottom w:val="single" w:sz="8" w:space="0" w:color="auto"/>
            </w:tcBorders>
            <w:shd w:val="clear" w:color="auto" w:fill="auto"/>
            <w:vAlign w:val="center"/>
          </w:tcPr>
          <w:p w14:paraId="26FF13E2" w14:textId="77777777" w:rsidR="00852AD3" w:rsidRPr="00CF31E0" w:rsidRDefault="00852AD3" w:rsidP="00A42A9F">
            <w:pPr>
              <w:spacing w:after="200" w:line="276" w:lineRule="auto"/>
              <w:rPr>
                <w:rFonts w:eastAsia="Calibri"/>
                <w:color w:val="000000" w:themeColor="text1"/>
                <w:sz w:val="22"/>
                <w:szCs w:val="22"/>
                <w:lang w:eastAsia="en-US"/>
              </w:rPr>
            </w:pPr>
          </w:p>
        </w:tc>
      </w:tr>
    </w:tbl>
    <w:p w14:paraId="33008738" w14:textId="77777777" w:rsidR="00E77B61" w:rsidRPr="00CF31E0" w:rsidRDefault="00E77B61">
      <w:pPr>
        <w:rPr>
          <w:color w:val="000000" w:themeColor="text1"/>
          <w:lang w:eastAsia="en-US"/>
        </w:rPr>
      </w:pPr>
    </w:p>
    <w:p w14:paraId="3DBB6A9B" w14:textId="77777777" w:rsidR="007E4A40" w:rsidRPr="00CF31E0" w:rsidRDefault="007E4A40">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32BE4A4F" w14:textId="77777777" w:rsidTr="00852AD3">
        <w:trPr>
          <w:trHeight w:val="567"/>
        </w:trPr>
        <w:tc>
          <w:tcPr>
            <w:tcW w:w="2235" w:type="dxa"/>
            <w:tcBorders>
              <w:top w:val="single" w:sz="8" w:space="0" w:color="auto"/>
              <w:bottom w:val="single" w:sz="8" w:space="0" w:color="auto"/>
            </w:tcBorders>
            <w:shd w:val="clear" w:color="auto" w:fill="auto"/>
            <w:hideMark/>
          </w:tcPr>
          <w:p w14:paraId="4DEA2415" w14:textId="77777777" w:rsidR="00852AD3" w:rsidRPr="00CF31E0" w:rsidRDefault="00852AD3" w:rsidP="00A42A9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Places lived</w:t>
            </w:r>
          </w:p>
        </w:tc>
        <w:tc>
          <w:tcPr>
            <w:tcW w:w="1134" w:type="dxa"/>
            <w:tcBorders>
              <w:top w:val="single" w:sz="8" w:space="0" w:color="auto"/>
              <w:bottom w:val="single" w:sz="8" w:space="0" w:color="auto"/>
            </w:tcBorders>
            <w:shd w:val="clear" w:color="auto" w:fill="auto"/>
            <w:hideMark/>
          </w:tcPr>
          <w:p w14:paraId="2A77127F" w14:textId="77777777" w:rsidR="00852AD3" w:rsidRPr="00CF31E0" w:rsidRDefault="00852AD3" w:rsidP="00A42A9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5BA70D83" w14:textId="77777777" w:rsidR="00852AD3" w:rsidRPr="00CF31E0" w:rsidRDefault="00852AD3" w:rsidP="00A42A9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2B5B9786" w14:textId="77777777" w:rsidTr="00852AD3">
        <w:trPr>
          <w:trHeight w:val="567"/>
        </w:trPr>
        <w:tc>
          <w:tcPr>
            <w:tcW w:w="2235" w:type="dxa"/>
            <w:tcBorders>
              <w:top w:val="single" w:sz="8" w:space="0" w:color="auto"/>
            </w:tcBorders>
            <w:shd w:val="clear" w:color="auto" w:fill="auto"/>
            <w:vAlign w:val="bottom"/>
          </w:tcPr>
          <w:p w14:paraId="49358BDF" w14:textId="77777777" w:rsidR="00852AD3" w:rsidRPr="00CF31E0" w:rsidRDefault="00852AD3" w:rsidP="00A42A9F">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center"/>
          </w:tcPr>
          <w:p w14:paraId="2643B551" w14:textId="77777777" w:rsidR="00852AD3" w:rsidRPr="00CF31E0" w:rsidRDefault="00852AD3" w:rsidP="00A42A9F">
            <w:pPr>
              <w:spacing w:after="200" w:line="276" w:lineRule="auto"/>
              <w:rPr>
                <w:rFonts w:eastAsia="Calibri"/>
                <w:color w:val="000000" w:themeColor="text1"/>
                <w:sz w:val="22"/>
                <w:szCs w:val="22"/>
                <w:lang w:eastAsia="en-US"/>
              </w:rPr>
            </w:pPr>
            <w:r w:rsidRPr="00CF31E0">
              <w:rPr>
                <w:rFonts w:eastAsia="MS Mincho"/>
                <w:color w:val="000000" w:themeColor="text1"/>
                <w:sz w:val="22"/>
                <w:szCs w:val="22"/>
                <w:lang w:eastAsia="en-US"/>
              </w:rPr>
              <w:t>.211</w:t>
            </w:r>
            <w:r w:rsidRPr="00CF31E0">
              <w:rPr>
                <w:rFonts w:eastAsia="MS Mincho"/>
                <w:color w:val="000000" w:themeColor="text1"/>
                <w:sz w:val="22"/>
                <w:szCs w:val="22"/>
                <w:vertAlign w:val="superscript"/>
                <w:lang w:eastAsia="en-US"/>
              </w:rPr>
              <w:t>a</w:t>
            </w:r>
          </w:p>
        </w:tc>
        <w:tc>
          <w:tcPr>
            <w:tcW w:w="3260" w:type="dxa"/>
            <w:tcBorders>
              <w:top w:val="single" w:sz="8" w:space="0" w:color="auto"/>
            </w:tcBorders>
            <w:shd w:val="clear" w:color="auto" w:fill="auto"/>
            <w:vAlign w:val="center"/>
          </w:tcPr>
          <w:p w14:paraId="38EB0640" w14:textId="77777777" w:rsidR="00852AD3" w:rsidRPr="00CF31E0" w:rsidRDefault="00852AD3" w:rsidP="00A42A9F">
            <w:pPr>
              <w:spacing w:after="200" w:line="276" w:lineRule="auto"/>
              <w:jc w:val="center"/>
              <w:rPr>
                <w:rFonts w:eastAsia="Calibri"/>
                <w:color w:val="000000" w:themeColor="text1"/>
                <w:sz w:val="22"/>
                <w:szCs w:val="22"/>
                <w:lang w:eastAsia="en-US"/>
              </w:rPr>
            </w:pPr>
            <w:r w:rsidRPr="00CF31E0">
              <w:rPr>
                <w:rFonts w:eastAsia="MS Mincho"/>
                <w:color w:val="000000" w:themeColor="text1"/>
                <w:sz w:val="22"/>
                <w:szCs w:val="22"/>
                <w:lang w:eastAsia="en-US"/>
              </w:rPr>
              <w:t>.646</w:t>
            </w:r>
          </w:p>
        </w:tc>
      </w:tr>
      <w:tr w:rsidR="00852AD3" w:rsidRPr="00CF31E0" w14:paraId="324CBBC0" w14:textId="77777777" w:rsidTr="00852AD3">
        <w:trPr>
          <w:trHeight w:val="567"/>
        </w:trPr>
        <w:tc>
          <w:tcPr>
            <w:tcW w:w="2235" w:type="dxa"/>
            <w:shd w:val="clear" w:color="auto" w:fill="auto"/>
            <w:vAlign w:val="bottom"/>
          </w:tcPr>
          <w:p w14:paraId="73D0B416" w14:textId="77777777" w:rsidR="00852AD3" w:rsidRPr="00CF31E0" w:rsidRDefault="00852AD3" w:rsidP="00A42A9F">
            <w:pPr>
              <w:spacing w:before="80" w:after="200" w:line="276" w:lineRule="auto"/>
              <w:rPr>
                <w:rFonts w:eastAsia="Calibri"/>
                <w:color w:val="000000" w:themeColor="text1"/>
                <w:sz w:val="22"/>
                <w:szCs w:val="22"/>
                <w:lang w:val="en-US" w:eastAsia="en-US"/>
              </w:rPr>
            </w:pPr>
            <w:r w:rsidRPr="00CF31E0">
              <w:rPr>
                <w:rFonts w:eastAsia="MS Mincho"/>
                <w:color w:val="000000" w:themeColor="text1"/>
                <w:sz w:val="22"/>
                <w:szCs w:val="22"/>
                <w:lang w:eastAsia="en-US"/>
              </w:rPr>
              <w:t>Continuity Correction</w:t>
            </w:r>
            <w:r w:rsidRPr="00CF31E0">
              <w:rPr>
                <w:rFonts w:eastAsia="MS Mincho"/>
                <w:color w:val="000000" w:themeColor="text1"/>
                <w:sz w:val="22"/>
                <w:szCs w:val="22"/>
                <w:vertAlign w:val="superscript"/>
                <w:lang w:eastAsia="en-US"/>
              </w:rPr>
              <w:t>b</w:t>
            </w:r>
          </w:p>
        </w:tc>
        <w:tc>
          <w:tcPr>
            <w:tcW w:w="1134" w:type="dxa"/>
            <w:shd w:val="clear" w:color="auto" w:fill="auto"/>
            <w:vAlign w:val="center"/>
          </w:tcPr>
          <w:p w14:paraId="2899A9FA" w14:textId="77777777" w:rsidR="00852AD3" w:rsidRPr="00CF31E0" w:rsidRDefault="00852AD3" w:rsidP="00A42A9F">
            <w:pPr>
              <w:spacing w:after="200" w:line="276" w:lineRule="auto"/>
              <w:rPr>
                <w:rFonts w:eastAsia="MS Mincho"/>
                <w:color w:val="000000" w:themeColor="text1"/>
                <w:sz w:val="22"/>
                <w:szCs w:val="22"/>
                <w:lang w:eastAsia="en-US"/>
              </w:rPr>
            </w:pPr>
            <w:r w:rsidRPr="00CF31E0">
              <w:rPr>
                <w:rFonts w:eastAsia="MS Mincho"/>
                <w:color w:val="000000" w:themeColor="text1"/>
                <w:sz w:val="22"/>
                <w:szCs w:val="22"/>
                <w:lang w:eastAsia="en-US"/>
              </w:rPr>
              <w:t>.000</w:t>
            </w:r>
          </w:p>
        </w:tc>
        <w:tc>
          <w:tcPr>
            <w:tcW w:w="3260" w:type="dxa"/>
            <w:shd w:val="clear" w:color="auto" w:fill="auto"/>
            <w:vAlign w:val="center"/>
          </w:tcPr>
          <w:p w14:paraId="5C0E7935" w14:textId="77777777" w:rsidR="00852AD3" w:rsidRPr="00CF31E0" w:rsidRDefault="00852AD3" w:rsidP="00A42A9F">
            <w:pPr>
              <w:spacing w:after="200" w:line="276" w:lineRule="auto"/>
              <w:jc w:val="center"/>
              <w:rPr>
                <w:rFonts w:eastAsia="MS Mincho"/>
                <w:color w:val="000000" w:themeColor="text1"/>
                <w:sz w:val="22"/>
                <w:szCs w:val="22"/>
                <w:lang w:eastAsia="en-US"/>
              </w:rPr>
            </w:pPr>
            <w:r w:rsidRPr="00CF31E0">
              <w:rPr>
                <w:rFonts w:eastAsia="MS Mincho"/>
                <w:color w:val="000000" w:themeColor="text1"/>
                <w:sz w:val="22"/>
                <w:szCs w:val="22"/>
                <w:lang w:eastAsia="en-US"/>
              </w:rPr>
              <w:t>1.000</w:t>
            </w:r>
          </w:p>
        </w:tc>
      </w:tr>
      <w:tr w:rsidR="00852AD3" w:rsidRPr="00CF31E0" w14:paraId="0CA042BA" w14:textId="77777777" w:rsidTr="00852AD3">
        <w:trPr>
          <w:trHeight w:val="567"/>
        </w:trPr>
        <w:tc>
          <w:tcPr>
            <w:tcW w:w="2235" w:type="dxa"/>
            <w:tcBorders>
              <w:bottom w:val="single" w:sz="8" w:space="0" w:color="auto"/>
            </w:tcBorders>
            <w:shd w:val="clear" w:color="auto" w:fill="auto"/>
            <w:vAlign w:val="bottom"/>
          </w:tcPr>
          <w:p w14:paraId="44CB71E4" w14:textId="77777777" w:rsidR="00852AD3" w:rsidRPr="00CF31E0" w:rsidRDefault="00852AD3" w:rsidP="00C9622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4BDD1A0F" w14:textId="77777777" w:rsidR="00852AD3" w:rsidRPr="00CF31E0" w:rsidRDefault="00852AD3" w:rsidP="00C9622F">
            <w:pPr>
              <w:spacing w:after="200" w:line="276" w:lineRule="auto"/>
              <w:rPr>
                <w:rFonts w:eastAsia="Calibri"/>
                <w:color w:val="000000" w:themeColor="text1"/>
                <w:sz w:val="22"/>
                <w:szCs w:val="22"/>
                <w:lang w:eastAsia="en-US"/>
              </w:rPr>
            </w:pPr>
            <w:r w:rsidRPr="00CF31E0">
              <w:rPr>
                <w:rFonts w:eastAsia="MS Mincho"/>
                <w:color w:val="000000" w:themeColor="text1"/>
                <w:sz w:val="22"/>
                <w:szCs w:val="22"/>
                <w:lang w:eastAsia="en-US"/>
              </w:rPr>
              <w:t>649</w:t>
            </w:r>
          </w:p>
        </w:tc>
        <w:tc>
          <w:tcPr>
            <w:tcW w:w="3260" w:type="dxa"/>
            <w:tcBorders>
              <w:bottom w:val="single" w:sz="8" w:space="0" w:color="auto"/>
            </w:tcBorders>
            <w:shd w:val="clear" w:color="auto" w:fill="auto"/>
            <w:vAlign w:val="bottom"/>
          </w:tcPr>
          <w:p w14:paraId="60D5FEE3" w14:textId="77777777" w:rsidR="00852AD3" w:rsidRPr="00CF31E0" w:rsidRDefault="00852AD3" w:rsidP="00C9622F">
            <w:pPr>
              <w:spacing w:after="200" w:line="276" w:lineRule="auto"/>
              <w:rPr>
                <w:rFonts w:eastAsia="Calibri"/>
                <w:color w:val="000000" w:themeColor="text1"/>
                <w:sz w:val="22"/>
                <w:szCs w:val="22"/>
                <w:lang w:eastAsia="en-US"/>
              </w:rPr>
            </w:pPr>
          </w:p>
        </w:tc>
      </w:tr>
    </w:tbl>
    <w:p w14:paraId="2701FF7D" w14:textId="77777777" w:rsidR="00A42A9F" w:rsidRPr="00CF31E0" w:rsidRDefault="00A42A9F">
      <w:pPr>
        <w:rPr>
          <w:color w:val="000000" w:themeColor="text1"/>
          <w:lang w:eastAsia="en-US"/>
        </w:rPr>
      </w:pPr>
    </w:p>
    <w:p w14:paraId="562365B7" w14:textId="77777777" w:rsidR="00A42A9F" w:rsidRPr="00CF31E0" w:rsidRDefault="00A42A9F">
      <w:pPr>
        <w:rPr>
          <w:color w:val="000000" w:themeColor="text1"/>
          <w:lang w:eastAsia="en-US"/>
        </w:rPr>
      </w:pPr>
    </w:p>
    <w:p w14:paraId="63FE478F" w14:textId="77777777" w:rsidR="00C73201" w:rsidRPr="00CF31E0" w:rsidRDefault="00C73201">
      <w:pPr>
        <w:rPr>
          <w:color w:val="000000" w:themeColor="text1"/>
          <w:lang w:eastAsia="en-US"/>
        </w:rPr>
      </w:pPr>
    </w:p>
    <w:p w14:paraId="2D19105C" w14:textId="77777777" w:rsidR="00C73201" w:rsidRPr="00CF31E0" w:rsidRDefault="00C73201">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53A4B1C5" w14:textId="77777777" w:rsidTr="00852AD3">
        <w:trPr>
          <w:trHeight w:val="567"/>
        </w:trPr>
        <w:tc>
          <w:tcPr>
            <w:tcW w:w="2235" w:type="dxa"/>
            <w:tcBorders>
              <w:top w:val="single" w:sz="8" w:space="0" w:color="auto"/>
              <w:bottom w:val="single" w:sz="8" w:space="0" w:color="auto"/>
            </w:tcBorders>
            <w:shd w:val="clear" w:color="auto" w:fill="auto"/>
            <w:hideMark/>
          </w:tcPr>
          <w:p w14:paraId="08A9E08D" w14:textId="77777777" w:rsidR="00852AD3" w:rsidRPr="00CF31E0" w:rsidRDefault="00852AD3" w:rsidP="00A42A9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lastRenderedPageBreak/>
              <w:t>Marital status</w:t>
            </w:r>
          </w:p>
        </w:tc>
        <w:tc>
          <w:tcPr>
            <w:tcW w:w="1134" w:type="dxa"/>
            <w:tcBorders>
              <w:top w:val="single" w:sz="8" w:space="0" w:color="auto"/>
              <w:bottom w:val="single" w:sz="8" w:space="0" w:color="auto"/>
            </w:tcBorders>
            <w:shd w:val="clear" w:color="auto" w:fill="auto"/>
            <w:hideMark/>
          </w:tcPr>
          <w:p w14:paraId="78183140" w14:textId="77777777" w:rsidR="00852AD3" w:rsidRPr="00CF31E0" w:rsidRDefault="00852AD3" w:rsidP="00A42A9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7FA40D71" w14:textId="77777777" w:rsidR="00852AD3" w:rsidRPr="00CF31E0" w:rsidRDefault="00852AD3" w:rsidP="00A42A9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0044A64D" w14:textId="77777777" w:rsidTr="00852AD3">
        <w:trPr>
          <w:trHeight w:val="567"/>
        </w:trPr>
        <w:tc>
          <w:tcPr>
            <w:tcW w:w="2235" w:type="dxa"/>
            <w:tcBorders>
              <w:top w:val="single" w:sz="8" w:space="0" w:color="auto"/>
            </w:tcBorders>
            <w:shd w:val="clear" w:color="auto" w:fill="auto"/>
            <w:vAlign w:val="bottom"/>
          </w:tcPr>
          <w:p w14:paraId="7044A6DC" w14:textId="77777777" w:rsidR="00852AD3" w:rsidRPr="00CF31E0" w:rsidRDefault="00852AD3" w:rsidP="00A42A9F">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center"/>
          </w:tcPr>
          <w:p w14:paraId="14C22D07" w14:textId="77777777" w:rsidR="00852AD3" w:rsidRPr="00CF31E0" w:rsidRDefault="00852AD3" w:rsidP="00A42A9F">
            <w:pPr>
              <w:spacing w:after="200" w:line="276" w:lineRule="auto"/>
              <w:rPr>
                <w:rFonts w:eastAsia="Calibri"/>
                <w:color w:val="000000" w:themeColor="text1"/>
                <w:sz w:val="22"/>
                <w:szCs w:val="22"/>
                <w:lang w:eastAsia="en-US"/>
              </w:rPr>
            </w:pPr>
            <w:r w:rsidRPr="00CF31E0">
              <w:rPr>
                <w:rFonts w:eastAsia="MS Mincho"/>
                <w:color w:val="000000" w:themeColor="text1"/>
                <w:sz w:val="22"/>
                <w:szCs w:val="22"/>
                <w:lang w:eastAsia="en-US"/>
              </w:rPr>
              <w:t>13.263</w:t>
            </w:r>
            <w:r w:rsidRPr="00CF31E0">
              <w:rPr>
                <w:rFonts w:eastAsia="MS Mincho"/>
                <w:color w:val="000000" w:themeColor="text1"/>
                <w:sz w:val="22"/>
                <w:szCs w:val="22"/>
                <w:vertAlign w:val="superscript"/>
                <w:lang w:eastAsia="en-US"/>
              </w:rPr>
              <w:t>a</w:t>
            </w:r>
          </w:p>
        </w:tc>
        <w:tc>
          <w:tcPr>
            <w:tcW w:w="3260" w:type="dxa"/>
            <w:tcBorders>
              <w:top w:val="single" w:sz="8" w:space="0" w:color="auto"/>
            </w:tcBorders>
            <w:shd w:val="clear" w:color="auto" w:fill="auto"/>
            <w:vAlign w:val="center"/>
          </w:tcPr>
          <w:p w14:paraId="33DEAAA1" w14:textId="77777777" w:rsidR="00852AD3" w:rsidRPr="00CF31E0" w:rsidRDefault="00852AD3" w:rsidP="00A42A9F">
            <w:pPr>
              <w:spacing w:after="200" w:line="276" w:lineRule="auto"/>
              <w:jc w:val="center"/>
              <w:rPr>
                <w:rFonts w:eastAsia="Calibri"/>
                <w:color w:val="000000" w:themeColor="text1"/>
                <w:sz w:val="22"/>
                <w:szCs w:val="22"/>
                <w:lang w:eastAsia="en-US"/>
              </w:rPr>
            </w:pPr>
            <w:r w:rsidRPr="00CF31E0">
              <w:rPr>
                <w:rFonts w:eastAsia="MS Mincho"/>
                <w:color w:val="000000" w:themeColor="text1"/>
                <w:sz w:val="22"/>
                <w:szCs w:val="22"/>
                <w:lang w:eastAsia="en-US"/>
              </w:rPr>
              <w:t>.064</w:t>
            </w:r>
          </w:p>
        </w:tc>
      </w:tr>
      <w:tr w:rsidR="00852AD3" w:rsidRPr="00CF31E0" w14:paraId="7BC29348" w14:textId="77777777" w:rsidTr="00852AD3">
        <w:trPr>
          <w:trHeight w:val="567"/>
        </w:trPr>
        <w:tc>
          <w:tcPr>
            <w:tcW w:w="2235" w:type="dxa"/>
            <w:tcBorders>
              <w:bottom w:val="single" w:sz="8" w:space="0" w:color="auto"/>
            </w:tcBorders>
            <w:shd w:val="clear" w:color="auto" w:fill="auto"/>
            <w:vAlign w:val="bottom"/>
          </w:tcPr>
          <w:p w14:paraId="64AC9A35" w14:textId="77777777" w:rsidR="00852AD3" w:rsidRPr="00CF31E0" w:rsidRDefault="00852AD3" w:rsidP="00C9622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4CA4D2F9" w14:textId="77777777" w:rsidR="00852AD3" w:rsidRPr="00CF31E0" w:rsidRDefault="00852AD3" w:rsidP="00C9622F">
            <w:pPr>
              <w:spacing w:after="200" w:line="276" w:lineRule="auto"/>
              <w:rPr>
                <w:rFonts w:eastAsia="Calibri"/>
                <w:color w:val="000000" w:themeColor="text1"/>
                <w:sz w:val="22"/>
                <w:szCs w:val="22"/>
                <w:lang w:eastAsia="en-US"/>
              </w:rPr>
            </w:pPr>
            <w:r w:rsidRPr="00CF31E0">
              <w:rPr>
                <w:rFonts w:eastAsia="MS Mincho"/>
                <w:color w:val="000000" w:themeColor="text1"/>
                <w:sz w:val="22"/>
                <w:szCs w:val="22"/>
                <w:lang w:eastAsia="en-US"/>
              </w:rPr>
              <w:t>649</w:t>
            </w:r>
          </w:p>
        </w:tc>
        <w:tc>
          <w:tcPr>
            <w:tcW w:w="3260" w:type="dxa"/>
            <w:tcBorders>
              <w:bottom w:val="single" w:sz="8" w:space="0" w:color="auto"/>
            </w:tcBorders>
            <w:shd w:val="clear" w:color="auto" w:fill="auto"/>
            <w:vAlign w:val="bottom"/>
          </w:tcPr>
          <w:p w14:paraId="7A286BF5" w14:textId="77777777" w:rsidR="00852AD3" w:rsidRPr="00CF31E0" w:rsidRDefault="00852AD3" w:rsidP="00C9622F">
            <w:pPr>
              <w:spacing w:after="200" w:line="276" w:lineRule="auto"/>
              <w:rPr>
                <w:rFonts w:eastAsia="Calibri"/>
                <w:color w:val="000000" w:themeColor="text1"/>
                <w:sz w:val="22"/>
                <w:szCs w:val="22"/>
                <w:lang w:eastAsia="en-US"/>
              </w:rPr>
            </w:pPr>
          </w:p>
        </w:tc>
      </w:tr>
    </w:tbl>
    <w:p w14:paraId="5C2056EF" w14:textId="77777777" w:rsidR="00183876" w:rsidRPr="00CF31E0" w:rsidRDefault="00183876">
      <w:pPr>
        <w:rPr>
          <w:color w:val="000000" w:themeColor="text1"/>
          <w:lang w:eastAsia="en-US"/>
        </w:rPr>
      </w:pPr>
    </w:p>
    <w:p w14:paraId="3988BD6A" w14:textId="77777777" w:rsidR="00A42A9F" w:rsidRPr="00CF31E0" w:rsidRDefault="00A42A9F">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1A5A15E7" w14:textId="77777777" w:rsidTr="00852AD3">
        <w:trPr>
          <w:trHeight w:val="567"/>
        </w:trPr>
        <w:tc>
          <w:tcPr>
            <w:tcW w:w="2235" w:type="dxa"/>
            <w:tcBorders>
              <w:top w:val="single" w:sz="8" w:space="0" w:color="auto"/>
              <w:bottom w:val="single" w:sz="8" w:space="0" w:color="auto"/>
            </w:tcBorders>
            <w:shd w:val="clear" w:color="auto" w:fill="auto"/>
            <w:hideMark/>
          </w:tcPr>
          <w:p w14:paraId="453A79B9" w14:textId="77777777" w:rsidR="00852AD3" w:rsidRPr="00CF31E0" w:rsidRDefault="00852AD3" w:rsidP="00A42A9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Education</w:t>
            </w:r>
          </w:p>
        </w:tc>
        <w:tc>
          <w:tcPr>
            <w:tcW w:w="1134" w:type="dxa"/>
            <w:tcBorders>
              <w:top w:val="single" w:sz="8" w:space="0" w:color="auto"/>
              <w:bottom w:val="single" w:sz="8" w:space="0" w:color="auto"/>
            </w:tcBorders>
            <w:shd w:val="clear" w:color="auto" w:fill="auto"/>
            <w:hideMark/>
          </w:tcPr>
          <w:p w14:paraId="6F5C7D07" w14:textId="77777777" w:rsidR="00852AD3" w:rsidRPr="00CF31E0" w:rsidRDefault="00852AD3" w:rsidP="00A42A9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00716C73" w14:textId="77777777" w:rsidR="00852AD3" w:rsidRPr="00CF31E0" w:rsidRDefault="00852AD3" w:rsidP="00A42A9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0232C6E9" w14:textId="77777777" w:rsidTr="00852AD3">
        <w:trPr>
          <w:trHeight w:val="567"/>
        </w:trPr>
        <w:tc>
          <w:tcPr>
            <w:tcW w:w="2235" w:type="dxa"/>
            <w:tcBorders>
              <w:top w:val="single" w:sz="8" w:space="0" w:color="auto"/>
            </w:tcBorders>
            <w:shd w:val="clear" w:color="auto" w:fill="auto"/>
            <w:vAlign w:val="bottom"/>
          </w:tcPr>
          <w:p w14:paraId="0D06F326" w14:textId="77777777" w:rsidR="00852AD3" w:rsidRPr="00CF31E0" w:rsidRDefault="00852AD3" w:rsidP="00A42A9F">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center"/>
          </w:tcPr>
          <w:p w14:paraId="5EAAA892" w14:textId="77777777" w:rsidR="00852AD3" w:rsidRPr="00CF31E0" w:rsidRDefault="00852AD3" w:rsidP="00A42A9F">
            <w:pPr>
              <w:spacing w:after="200" w:line="276" w:lineRule="auto"/>
              <w:rPr>
                <w:rFonts w:eastAsia="Calibri"/>
                <w:color w:val="000000" w:themeColor="text1"/>
                <w:sz w:val="22"/>
                <w:szCs w:val="22"/>
                <w:lang w:eastAsia="en-US"/>
              </w:rPr>
            </w:pPr>
            <w:r w:rsidRPr="00CF31E0">
              <w:rPr>
                <w:rFonts w:eastAsia="MS Mincho"/>
                <w:color w:val="000000" w:themeColor="text1"/>
                <w:sz w:val="22"/>
                <w:szCs w:val="22"/>
                <w:lang w:eastAsia="en-US"/>
              </w:rPr>
              <w:t>9.343</w:t>
            </w:r>
            <w:r w:rsidRPr="00CF31E0">
              <w:rPr>
                <w:rFonts w:eastAsia="MS Mincho"/>
                <w:color w:val="000000" w:themeColor="text1"/>
                <w:sz w:val="22"/>
                <w:szCs w:val="22"/>
                <w:vertAlign w:val="superscript"/>
                <w:lang w:eastAsia="en-US"/>
              </w:rPr>
              <w:t>a</w:t>
            </w:r>
          </w:p>
        </w:tc>
        <w:tc>
          <w:tcPr>
            <w:tcW w:w="3260" w:type="dxa"/>
            <w:tcBorders>
              <w:top w:val="single" w:sz="8" w:space="0" w:color="auto"/>
            </w:tcBorders>
            <w:shd w:val="clear" w:color="auto" w:fill="auto"/>
            <w:vAlign w:val="center"/>
          </w:tcPr>
          <w:p w14:paraId="4A217FDB" w14:textId="77777777" w:rsidR="00852AD3" w:rsidRPr="00CF31E0" w:rsidRDefault="00852AD3" w:rsidP="00A42A9F">
            <w:pPr>
              <w:spacing w:after="200" w:line="276" w:lineRule="auto"/>
              <w:jc w:val="center"/>
              <w:rPr>
                <w:rFonts w:eastAsia="Calibri"/>
                <w:color w:val="000000" w:themeColor="text1"/>
                <w:sz w:val="22"/>
                <w:szCs w:val="22"/>
                <w:lang w:eastAsia="en-US"/>
              </w:rPr>
            </w:pPr>
            <w:r w:rsidRPr="00CF31E0">
              <w:rPr>
                <w:rFonts w:eastAsia="MS Mincho"/>
                <w:color w:val="000000" w:themeColor="text1"/>
                <w:sz w:val="22"/>
                <w:szCs w:val="22"/>
                <w:lang w:eastAsia="en-US"/>
              </w:rPr>
              <w:t>.096</w:t>
            </w:r>
          </w:p>
        </w:tc>
      </w:tr>
      <w:tr w:rsidR="00852AD3" w:rsidRPr="00CF31E0" w14:paraId="5BCDAB18" w14:textId="77777777" w:rsidTr="00852AD3">
        <w:trPr>
          <w:trHeight w:val="567"/>
        </w:trPr>
        <w:tc>
          <w:tcPr>
            <w:tcW w:w="2235" w:type="dxa"/>
            <w:tcBorders>
              <w:bottom w:val="single" w:sz="8" w:space="0" w:color="auto"/>
            </w:tcBorders>
            <w:shd w:val="clear" w:color="auto" w:fill="auto"/>
            <w:vAlign w:val="bottom"/>
          </w:tcPr>
          <w:p w14:paraId="71057DA8" w14:textId="77777777" w:rsidR="00852AD3" w:rsidRPr="00CF31E0" w:rsidRDefault="00852AD3" w:rsidP="00A42A9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center"/>
          </w:tcPr>
          <w:p w14:paraId="7AB28BE4" w14:textId="77777777" w:rsidR="00852AD3" w:rsidRPr="00CF31E0" w:rsidRDefault="00852AD3" w:rsidP="00A42A9F">
            <w:pPr>
              <w:spacing w:after="200" w:line="276" w:lineRule="auto"/>
              <w:rPr>
                <w:rFonts w:eastAsia="Calibri"/>
                <w:color w:val="000000" w:themeColor="text1"/>
                <w:sz w:val="22"/>
                <w:szCs w:val="22"/>
                <w:lang w:eastAsia="en-US"/>
              </w:rPr>
            </w:pPr>
            <w:r w:rsidRPr="00CF31E0">
              <w:rPr>
                <w:rFonts w:eastAsia="MS Mincho"/>
                <w:color w:val="000000" w:themeColor="text1"/>
                <w:sz w:val="22"/>
                <w:szCs w:val="22"/>
                <w:lang w:eastAsia="en-US"/>
              </w:rPr>
              <w:t>649</w:t>
            </w:r>
          </w:p>
        </w:tc>
        <w:tc>
          <w:tcPr>
            <w:tcW w:w="3260" w:type="dxa"/>
            <w:tcBorders>
              <w:bottom w:val="single" w:sz="8" w:space="0" w:color="auto"/>
            </w:tcBorders>
            <w:shd w:val="clear" w:color="auto" w:fill="auto"/>
            <w:vAlign w:val="center"/>
          </w:tcPr>
          <w:p w14:paraId="59383171" w14:textId="77777777" w:rsidR="00852AD3" w:rsidRPr="00CF31E0" w:rsidRDefault="00852AD3" w:rsidP="00A42A9F">
            <w:pPr>
              <w:spacing w:after="200" w:line="276" w:lineRule="auto"/>
              <w:rPr>
                <w:rFonts w:eastAsia="Calibri"/>
                <w:color w:val="000000" w:themeColor="text1"/>
                <w:sz w:val="22"/>
                <w:szCs w:val="22"/>
                <w:lang w:eastAsia="en-US"/>
              </w:rPr>
            </w:pPr>
          </w:p>
        </w:tc>
      </w:tr>
    </w:tbl>
    <w:p w14:paraId="2DF77822" w14:textId="77777777" w:rsidR="00A42A9F" w:rsidRPr="00CF31E0" w:rsidRDefault="00A42A9F">
      <w:pPr>
        <w:rPr>
          <w:color w:val="000000" w:themeColor="text1"/>
          <w:lang w:eastAsia="en-US"/>
        </w:rPr>
      </w:pPr>
    </w:p>
    <w:p w14:paraId="1E93F270" w14:textId="77777777" w:rsidR="00A42A9F" w:rsidRPr="00CF31E0" w:rsidRDefault="00A42A9F">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0BB55957" w14:textId="77777777" w:rsidTr="00852AD3">
        <w:trPr>
          <w:trHeight w:val="567"/>
        </w:trPr>
        <w:tc>
          <w:tcPr>
            <w:tcW w:w="2235" w:type="dxa"/>
            <w:tcBorders>
              <w:top w:val="single" w:sz="8" w:space="0" w:color="auto"/>
              <w:bottom w:val="single" w:sz="8" w:space="0" w:color="auto"/>
            </w:tcBorders>
            <w:shd w:val="clear" w:color="auto" w:fill="auto"/>
            <w:hideMark/>
          </w:tcPr>
          <w:p w14:paraId="43FE373C" w14:textId="77777777" w:rsidR="00852AD3" w:rsidRPr="00CF31E0" w:rsidRDefault="00852AD3" w:rsidP="00A42A9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Social group</w:t>
            </w:r>
          </w:p>
        </w:tc>
        <w:tc>
          <w:tcPr>
            <w:tcW w:w="1134" w:type="dxa"/>
            <w:tcBorders>
              <w:top w:val="single" w:sz="8" w:space="0" w:color="auto"/>
              <w:bottom w:val="single" w:sz="8" w:space="0" w:color="auto"/>
            </w:tcBorders>
            <w:shd w:val="clear" w:color="auto" w:fill="auto"/>
            <w:hideMark/>
          </w:tcPr>
          <w:p w14:paraId="0A99E1A0" w14:textId="77777777" w:rsidR="00852AD3" w:rsidRPr="00CF31E0" w:rsidRDefault="00852AD3" w:rsidP="00A42A9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36BCFFFD" w14:textId="77777777" w:rsidR="00852AD3" w:rsidRPr="00CF31E0" w:rsidRDefault="00852AD3" w:rsidP="00A42A9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62C04C80" w14:textId="77777777" w:rsidTr="00852AD3">
        <w:trPr>
          <w:trHeight w:val="567"/>
        </w:trPr>
        <w:tc>
          <w:tcPr>
            <w:tcW w:w="2235" w:type="dxa"/>
            <w:tcBorders>
              <w:top w:val="single" w:sz="8" w:space="0" w:color="auto"/>
            </w:tcBorders>
            <w:shd w:val="clear" w:color="auto" w:fill="auto"/>
            <w:vAlign w:val="bottom"/>
          </w:tcPr>
          <w:p w14:paraId="47311C92" w14:textId="77777777" w:rsidR="00852AD3" w:rsidRPr="00CF31E0" w:rsidRDefault="00852AD3" w:rsidP="00A42A9F">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center"/>
          </w:tcPr>
          <w:p w14:paraId="4221EF32" w14:textId="77777777" w:rsidR="00852AD3" w:rsidRPr="00CF31E0" w:rsidRDefault="00852AD3" w:rsidP="00A42A9F">
            <w:pPr>
              <w:spacing w:after="200" w:line="276" w:lineRule="auto"/>
              <w:rPr>
                <w:rFonts w:eastAsia="Calibri"/>
                <w:color w:val="000000" w:themeColor="text1"/>
                <w:sz w:val="22"/>
                <w:szCs w:val="22"/>
                <w:lang w:eastAsia="en-US"/>
              </w:rPr>
            </w:pPr>
            <w:r w:rsidRPr="00CF31E0">
              <w:rPr>
                <w:rFonts w:eastAsia="MS Mincho"/>
                <w:color w:val="000000" w:themeColor="text1"/>
                <w:sz w:val="22"/>
                <w:szCs w:val="22"/>
                <w:lang w:eastAsia="en-US"/>
              </w:rPr>
              <w:t>3.675</w:t>
            </w:r>
            <w:r w:rsidRPr="00CF31E0">
              <w:rPr>
                <w:rFonts w:eastAsia="MS Mincho"/>
                <w:color w:val="000000" w:themeColor="text1"/>
                <w:sz w:val="22"/>
                <w:szCs w:val="22"/>
                <w:vertAlign w:val="superscript"/>
                <w:lang w:eastAsia="en-US"/>
              </w:rPr>
              <w:t>a</w:t>
            </w:r>
          </w:p>
        </w:tc>
        <w:tc>
          <w:tcPr>
            <w:tcW w:w="3260" w:type="dxa"/>
            <w:tcBorders>
              <w:top w:val="single" w:sz="8" w:space="0" w:color="auto"/>
            </w:tcBorders>
            <w:shd w:val="clear" w:color="auto" w:fill="auto"/>
            <w:vAlign w:val="center"/>
          </w:tcPr>
          <w:p w14:paraId="414DDA66" w14:textId="77777777" w:rsidR="00852AD3" w:rsidRPr="00CF31E0" w:rsidRDefault="00852AD3" w:rsidP="00A42A9F">
            <w:pPr>
              <w:spacing w:after="200" w:line="276" w:lineRule="auto"/>
              <w:jc w:val="center"/>
              <w:rPr>
                <w:rFonts w:eastAsia="Calibri"/>
                <w:color w:val="000000" w:themeColor="text1"/>
                <w:sz w:val="22"/>
                <w:szCs w:val="22"/>
                <w:lang w:eastAsia="en-US"/>
              </w:rPr>
            </w:pPr>
            <w:r w:rsidRPr="00CF31E0">
              <w:rPr>
                <w:rFonts w:eastAsia="MS Mincho"/>
                <w:color w:val="000000" w:themeColor="text1"/>
                <w:sz w:val="22"/>
                <w:szCs w:val="22"/>
                <w:lang w:eastAsia="en-US"/>
              </w:rPr>
              <w:t>.065</w:t>
            </w:r>
          </w:p>
        </w:tc>
      </w:tr>
      <w:tr w:rsidR="00852AD3" w:rsidRPr="00CF31E0" w14:paraId="33AB737D" w14:textId="77777777" w:rsidTr="00852AD3">
        <w:trPr>
          <w:trHeight w:val="567"/>
        </w:trPr>
        <w:tc>
          <w:tcPr>
            <w:tcW w:w="2235" w:type="dxa"/>
            <w:shd w:val="clear" w:color="auto" w:fill="auto"/>
            <w:vAlign w:val="bottom"/>
          </w:tcPr>
          <w:p w14:paraId="0643B55A" w14:textId="77777777" w:rsidR="00852AD3" w:rsidRPr="00CF31E0" w:rsidRDefault="00852AD3" w:rsidP="00C9622F">
            <w:pPr>
              <w:spacing w:after="200" w:line="276" w:lineRule="auto"/>
              <w:rPr>
                <w:rFonts w:eastAsia="Calibri"/>
                <w:color w:val="000000" w:themeColor="text1"/>
                <w:sz w:val="22"/>
                <w:szCs w:val="22"/>
                <w:lang w:eastAsia="en-US"/>
              </w:rPr>
            </w:pPr>
            <w:r w:rsidRPr="00CF31E0">
              <w:rPr>
                <w:rFonts w:eastAsia="MS Mincho"/>
                <w:color w:val="000000" w:themeColor="text1"/>
                <w:sz w:val="22"/>
                <w:szCs w:val="22"/>
                <w:lang w:eastAsia="en-US"/>
              </w:rPr>
              <w:t>Continuity Correction</w:t>
            </w:r>
            <w:r w:rsidRPr="00CF31E0">
              <w:rPr>
                <w:rFonts w:eastAsia="MS Mincho"/>
                <w:color w:val="000000" w:themeColor="text1"/>
                <w:sz w:val="22"/>
                <w:szCs w:val="22"/>
                <w:vertAlign w:val="superscript"/>
                <w:lang w:eastAsia="en-US"/>
              </w:rPr>
              <w:t>b</w:t>
            </w:r>
          </w:p>
        </w:tc>
        <w:tc>
          <w:tcPr>
            <w:tcW w:w="1134" w:type="dxa"/>
            <w:shd w:val="clear" w:color="auto" w:fill="auto"/>
            <w:vAlign w:val="bottom"/>
          </w:tcPr>
          <w:p w14:paraId="6E90F1EB" w14:textId="77777777" w:rsidR="00852AD3" w:rsidRPr="00CF31E0" w:rsidRDefault="00852AD3" w:rsidP="00C9622F">
            <w:pPr>
              <w:spacing w:after="200" w:line="276" w:lineRule="auto"/>
              <w:rPr>
                <w:rFonts w:eastAsia="MS Mincho"/>
                <w:color w:val="000000" w:themeColor="text1"/>
                <w:sz w:val="22"/>
                <w:szCs w:val="22"/>
                <w:lang w:eastAsia="en-US"/>
              </w:rPr>
            </w:pPr>
            <w:r w:rsidRPr="00CF31E0">
              <w:rPr>
                <w:rFonts w:eastAsia="MS Mincho"/>
                <w:color w:val="000000" w:themeColor="text1"/>
                <w:sz w:val="22"/>
                <w:szCs w:val="22"/>
                <w:lang w:eastAsia="en-US"/>
              </w:rPr>
              <w:t>2.555</w:t>
            </w:r>
          </w:p>
        </w:tc>
        <w:tc>
          <w:tcPr>
            <w:tcW w:w="3260" w:type="dxa"/>
            <w:shd w:val="clear" w:color="auto" w:fill="auto"/>
            <w:vAlign w:val="bottom"/>
          </w:tcPr>
          <w:p w14:paraId="42438754" w14:textId="77777777" w:rsidR="00852AD3" w:rsidRPr="00CF31E0" w:rsidRDefault="00852AD3" w:rsidP="00603CB7">
            <w:pPr>
              <w:spacing w:after="200" w:line="276" w:lineRule="auto"/>
              <w:jc w:val="center"/>
              <w:rPr>
                <w:rFonts w:eastAsia="Calibri"/>
                <w:color w:val="000000" w:themeColor="text1"/>
                <w:sz w:val="22"/>
                <w:szCs w:val="22"/>
                <w:lang w:eastAsia="en-US"/>
              </w:rPr>
            </w:pPr>
            <w:r w:rsidRPr="00CF31E0">
              <w:rPr>
                <w:rFonts w:eastAsia="MS Mincho"/>
                <w:color w:val="000000" w:themeColor="text1"/>
                <w:sz w:val="22"/>
                <w:szCs w:val="22"/>
                <w:lang w:eastAsia="en-US"/>
              </w:rPr>
              <w:t>.110</w:t>
            </w:r>
          </w:p>
        </w:tc>
      </w:tr>
      <w:tr w:rsidR="00852AD3" w:rsidRPr="00CF31E0" w14:paraId="629C8B13" w14:textId="77777777" w:rsidTr="00852AD3">
        <w:trPr>
          <w:trHeight w:val="567"/>
        </w:trPr>
        <w:tc>
          <w:tcPr>
            <w:tcW w:w="2235" w:type="dxa"/>
            <w:tcBorders>
              <w:bottom w:val="single" w:sz="8" w:space="0" w:color="auto"/>
            </w:tcBorders>
            <w:shd w:val="clear" w:color="auto" w:fill="auto"/>
            <w:vAlign w:val="bottom"/>
          </w:tcPr>
          <w:p w14:paraId="537A514F" w14:textId="77777777" w:rsidR="00852AD3" w:rsidRPr="00CF31E0" w:rsidRDefault="00852AD3" w:rsidP="00A42A9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center"/>
          </w:tcPr>
          <w:p w14:paraId="168E27CE" w14:textId="77777777" w:rsidR="00852AD3" w:rsidRPr="00CF31E0" w:rsidRDefault="00852AD3" w:rsidP="00A42A9F">
            <w:pPr>
              <w:spacing w:after="200" w:line="276" w:lineRule="auto"/>
              <w:rPr>
                <w:rFonts w:eastAsia="Calibri"/>
                <w:color w:val="000000" w:themeColor="text1"/>
                <w:sz w:val="22"/>
                <w:szCs w:val="22"/>
                <w:lang w:eastAsia="en-US"/>
              </w:rPr>
            </w:pPr>
            <w:r w:rsidRPr="00CF31E0">
              <w:rPr>
                <w:rFonts w:eastAsia="MS Mincho"/>
                <w:color w:val="000000" w:themeColor="text1"/>
                <w:sz w:val="22"/>
                <w:szCs w:val="22"/>
                <w:lang w:eastAsia="en-US"/>
              </w:rPr>
              <w:t>649</w:t>
            </w:r>
          </w:p>
        </w:tc>
        <w:tc>
          <w:tcPr>
            <w:tcW w:w="3260" w:type="dxa"/>
            <w:tcBorders>
              <w:bottom w:val="single" w:sz="8" w:space="0" w:color="auto"/>
            </w:tcBorders>
            <w:shd w:val="clear" w:color="auto" w:fill="auto"/>
            <w:vAlign w:val="center"/>
          </w:tcPr>
          <w:p w14:paraId="36DD4B3F" w14:textId="77777777" w:rsidR="00852AD3" w:rsidRPr="00CF31E0" w:rsidRDefault="00852AD3" w:rsidP="00A42A9F">
            <w:pPr>
              <w:spacing w:after="200" w:line="276" w:lineRule="auto"/>
              <w:rPr>
                <w:rFonts w:eastAsia="Calibri"/>
                <w:color w:val="000000" w:themeColor="text1"/>
                <w:sz w:val="22"/>
                <w:szCs w:val="22"/>
                <w:lang w:eastAsia="en-US"/>
              </w:rPr>
            </w:pPr>
          </w:p>
        </w:tc>
      </w:tr>
    </w:tbl>
    <w:p w14:paraId="5303631D" w14:textId="77777777" w:rsidR="00A42A9F" w:rsidRPr="00CF31E0" w:rsidRDefault="00A42A9F">
      <w:pPr>
        <w:rPr>
          <w:color w:val="000000" w:themeColor="text1"/>
          <w:lang w:eastAsia="en-US"/>
        </w:rPr>
      </w:pPr>
    </w:p>
    <w:p w14:paraId="76DBAB55" w14:textId="77777777" w:rsidR="00CA187F" w:rsidRPr="00CF31E0" w:rsidRDefault="00CA187F">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717E34D4" w14:textId="77777777" w:rsidTr="00852AD3">
        <w:trPr>
          <w:trHeight w:val="567"/>
        </w:trPr>
        <w:tc>
          <w:tcPr>
            <w:tcW w:w="2235" w:type="dxa"/>
            <w:tcBorders>
              <w:top w:val="single" w:sz="8" w:space="0" w:color="auto"/>
              <w:bottom w:val="single" w:sz="8" w:space="0" w:color="auto"/>
            </w:tcBorders>
            <w:shd w:val="clear" w:color="auto" w:fill="auto"/>
            <w:hideMark/>
          </w:tcPr>
          <w:p w14:paraId="0107C587" w14:textId="77777777" w:rsidR="00852AD3" w:rsidRPr="00CF31E0" w:rsidRDefault="00852AD3" w:rsidP="00CA187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Mother’s social group</w:t>
            </w:r>
          </w:p>
        </w:tc>
        <w:tc>
          <w:tcPr>
            <w:tcW w:w="1134" w:type="dxa"/>
            <w:tcBorders>
              <w:top w:val="single" w:sz="8" w:space="0" w:color="auto"/>
              <w:bottom w:val="single" w:sz="8" w:space="0" w:color="auto"/>
            </w:tcBorders>
            <w:shd w:val="clear" w:color="auto" w:fill="auto"/>
            <w:hideMark/>
          </w:tcPr>
          <w:p w14:paraId="22317089" w14:textId="77777777" w:rsidR="00852AD3" w:rsidRPr="00CF31E0" w:rsidRDefault="00852AD3" w:rsidP="00CA187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500F2EAB" w14:textId="77777777" w:rsidR="00852AD3" w:rsidRPr="00CF31E0" w:rsidRDefault="00852AD3" w:rsidP="00CA187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0EDE50DF" w14:textId="77777777" w:rsidTr="00852AD3">
        <w:trPr>
          <w:trHeight w:val="567"/>
        </w:trPr>
        <w:tc>
          <w:tcPr>
            <w:tcW w:w="2235" w:type="dxa"/>
            <w:tcBorders>
              <w:top w:val="single" w:sz="8" w:space="0" w:color="auto"/>
            </w:tcBorders>
            <w:shd w:val="clear" w:color="auto" w:fill="auto"/>
            <w:vAlign w:val="bottom"/>
          </w:tcPr>
          <w:p w14:paraId="11BD99A3" w14:textId="77777777" w:rsidR="00852AD3" w:rsidRPr="00CF31E0" w:rsidRDefault="00852AD3" w:rsidP="00CA187F">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center"/>
          </w:tcPr>
          <w:p w14:paraId="31BBB5FE" w14:textId="77777777" w:rsidR="00852AD3" w:rsidRPr="00CF31E0" w:rsidRDefault="00852AD3" w:rsidP="00CA187F">
            <w:pPr>
              <w:spacing w:after="200" w:line="276" w:lineRule="auto"/>
              <w:rPr>
                <w:rFonts w:eastAsia="Calibri"/>
                <w:color w:val="000000" w:themeColor="text1"/>
                <w:sz w:val="22"/>
                <w:szCs w:val="22"/>
                <w:lang w:eastAsia="en-US"/>
              </w:rPr>
            </w:pPr>
            <w:r w:rsidRPr="00CF31E0">
              <w:rPr>
                <w:rFonts w:eastAsia="MS Mincho"/>
                <w:color w:val="000000" w:themeColor="text1"/>
                <w:sz w:val="22"/>
                <w:szCs w:val="22"/>
                <w:lang w:eastAsia="en-US"/>
              </w:rPr>
              <w:t>7.193</w:t>
            </w:r>
            <w:r w:rsidRPr="00CF31E0">
              <w:rPr>
                <w:rFonts w:eastAsia="MS Mincho"/>
                <w:color w:val="000000" w:themeColor="text1"/>
                <w:sz w:val="22"/>
                <w:szCs w:val="22"/>
                <w:vertAlign w:val="superscript"/>
                <w:lang w:eastAsia="en-US"/>
              </w:rPr>
              <w:t>a</w:t>
            </w:r>
          </w:p>
        </w:tc>
        <w:tc>
          <w:tcPr>
            <w:tcW w:w="3260" w:type="dxa"/>
            <w:tcBorders>
              <w:top w:val="single" w:sz="8" w:space="0" w:color="auto"/>
            </w:tcBorders>
            <w:shd w:val="clear" w:color="auto" w:fill="auto"/>
            <w:vAlign w:val="center"/>
          </w:tcPr>
          <w:p w14:paraId="34828969" w14:textId="77777777" w:rsidR="00852AD3" w:rsidRPr="00CF31E0" w:rsidRDefault="00852AD3" w:rsidP="00CA187F">
            <w:pPr>
              <w:spacing w:after="200" w:line="276" w:lineRule="auto"/>
              <w:jc w:val="center"/>
              <w:rPr>
                <w:rFonts w:eastAsia="Calibri"/>
                <w:color w:val="000000" w:themeColor="text1"/>
                <w:sz w:val="22"/>
                <w:szCs w:val="22"/>
                <w:lang w:eastAsia="en-US"/>
              </w:rPr>
            </w:pPr>
            <w:r w:rsidRPr="00CF31E0">
              <w:rPr>
                <w:rFonts w:eastAsia="MS Mincho"/>
                <w:color w:val="000000" w:themeColor="text1"/>
                <w:sz w:val="22"/>
                <w:szCs w:val="22"/>
                <w:lang w:eastAsia="en-US"/>
              </w:rPr>
              <w:t>.077</w:t>
            </w:r>
          </w:p>
        </w:tc>
      </w:tr>
      <w:tr w:rsidR="00852AD3" w:rsidRPr="00CF31E0" w14:paraId="14D4703B" w14:textId="77777777" w:rsidTr="00852AD3">
        <w:trPr>
          <w:trHeight w:val="567"/>
        </w:trPr>
        <w:tc>
          <w:tcPr>
            <w:tcW w:w="2235" w:type="dxa"/>
            <w:tcBorders>
              <w:bottom w:val="single" w:sz="8" w:space="0" w:color="auto"/>
            </w:tcBorders>
            <w:shd w:val="clear" w:color="auto" w:fill="auto"/>
            <w:vAlign w:val="bottom"/>
          </w:tcPr>
          <w:p w14:paraId="01D138AF" w14:textId="77777777" w:rsidR="00852AD3" w:rsidRPr="00CF31E0" w:rsidRDefault="00852AD3" w:rsidP="00CA187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center"/>
          </w:tcPr>
          <w:p w14:paraId="5278317E" w14:textId="77777777" w:rsidR="00852AD3" w:rsidRPr="00CF31E0" w:rsidRDefault="00852AD3" w:rsidP="00CA187F">
            <w:pPr>
              <w:spacing w:after="200" w:line="276" w:lineRule="auto"/>
              <w:rPr>
                <w:rFonts w:eastAsia="Calibri"/>
                <w:color w:val="000000" w:themeColor="text1"/>
                <w:sz w:val="22"/>
                <w:szCs w:val="22"/>
                <w:lang w:eastAsia="en-US"/>
              </w:rPr>
            </w:pPr>
            <w:r w:rsidRPr="00CF31E0">
              <w:rPr>
                <w:rFonts w:eastAsia="MS Mincho"/>
                <w:color w:val="000000" w:themeColor="text1"/>
                <w:sz w:val="22"/>
                <w:szCs w:val="22"/>
                <w:lang w:eastAsia="en-US"/>
              </w:rPr>
              <w:t>649</w:t>
            </w:r>
          </w:p>
        </w:tc>
        <w:tc>
          <w:tcPr>
            <w:tcW w:w="3260" w:type="dxa"/>
            <w:tcBorders>
              <w:bottom w:val="single" w:sz="8" w:space="0" w:color="auto"/>
            </w:tcBorders>
            <w:shd w:val="clear" w:color="auto" w:fill="auto"/>
            <w:vAlign w:val="center"/>
          </w:tcPr>
          <w:p w14:paraId="39267E9F" w14:textId="77777777" w:rsidR="00852AD3" w:rsidRPr="00CF31E0" w:rsidRDefault="00852AD3" w:rsidP="00CA187F">
            <w:pPr>
              <w:spacing w:after="200" w:line="276" w:lineRule="auto"/>
              <w:rPr>
                <w:rFonts w:eastAsia="Calibri"/>
                <w:color w:val="000000" w:themeColor="text1"/>
                <w:sz w:val="22"/>
                <w:szCs w:val="22"/>
                <w:lang w:eastAsia="en-US"/>
              </w:rPr>
            </w:pPr>
          </w:p>
        </w:tc>
      </w:tr>
    </w:tbl>
    <w:p w14:paraId="0680DFE3" w14:textId="77777777" w:rsidR="00A42A9F" w:rsidRPr="00CF31E0" w:rsidRDefault="00A42A9F">
      <w:pPr>
        <w:rPr>
          <w:color w:val="000000" w:themeColor="text1"/>
          <w:lang w:eastAsia="en-US"/>
        </w:rPr>
      </w:pPr>
    </w:p>
    <w:p w14:paraId="57670373" w14:textId="77777777" w:rsidR="00CA187F" w:rsidRPr="00CF31E0" w:rsidRDefault="00CA187F">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743BC284" w14:textId="77777777" w:rsidTr="00852AD3">
        <w:trPr>
          <w:trHeight w:val="567"/>
        </w:trPr>
        <w:tc>
          <w:tcPr>
            <w:tcW w:w="2235" w:type="dxa"/>
            <w:tcBorders>
              <w:top w:val="single" w:sz="8" w:space="0" w:color="auto"/>
              <w:bottom w:val="single" w:sz="8" w:space="0" w:color="auto"/>
            </w:tcBorders>
            <w:shd w:val="clear" w:color="auto" w:fill="auto"/>
            <w:hideMark/>
          </w:tcPr>
          <w:p w14:paraId="7C8D149C" w14:textId="77777777" w:rsidR="00852AD3" w:rsidRPr="00CF31E0" w:rsidRDefault="00852AD3" w:rsidP="00CA187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Spouse’s social group</w:t>
            </w:r>
          </w:p>
        </w:tc>
        <w:tc>
          <w:tcPr>
            <w:tcW w:w="1134" w:type="dxa"/>
            <w:tcBorders>
              <w:top w:val="single" w:sz="8" w:space="0" w:color="auto"/>
              <w:bottom w:val="single" w:sz="8" w:space="0" w:color="auto"/>
            </w:tcBorders>
            <w:shd w:val="clear" w:color="auto" w:fill="auto"/>
            <w:hideMark/>
          </w:tcPr>
          <w:p w14:paraId="4B5C9883" w14:textId="77777777" w:rsidR="00852AD3" w:rsidRPr="00CF31E0" w:rsidRDefault="00852AD3" w:rsidP="00CA187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370920CA" w14:textId="77777777" w:rsidR="00852AD3" w:rsidRPr="00CF31E0" w:rsidRDefault="00852AD3" w:rsidP="00CA187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3C6B58A8" w14:textId="77777777" w:rsidTr="00852AD3">
        <w:trPr>
          <w:trHeight w:val="567"/>
        </w:trPr>
        <w:tc>
          <w:tcPr>
            <w:tcW w:w="2235" w:type="dxa"/>
            <w:tcBorders>
              <w:top w:val="single" w:sz="8" w:space="0" w:color="auto"/>
            </w:tcBorders>
            <w:shd w:val="clear" w:color="auto" w:fill="auto"/>
            <w:vAlign w:val="bottom"/>
          </w:tcPr>
          <w:p w14:paraId="33A239B1" w14:textId="77777777" w:rsidR="00852AD3" w:rsidRPr="00CF31E0" w:rsidRDefault="00852AD3" w:rsidP="00CA187F">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center"/>
          </w:tcPr>
          <w:p w14:paraId="718BF8D0" w14:textId="77777777" w:rsidR="00852AD3" w:rsidRPr="00CF31E0" w:rsidRDefault="00852AD3" w:rsidP="00CA187F">
            <w:pPr>
              <w:spacing w:after="200" w:line="276" w:lineRule="auto"/>
              <w:rPr>
                <w:rFonts w:eastAsia="Calibri"/>
                <w:color w:val="000000" w:themeColor="text1"/>
                <w:sz w:val="22"/>
                <w:szCs w:val="22"/>
                <w:lang w:eastAsia="en-US"/>
              </w:rPr>
            </w:pPr>
            <w:r w:rsidRPr="00CF31E0">
              <w:rPr>
                <w:rFonts w:eastAsia="MS Mincho"/>
                <w:color w:val="000000" w:themeColor="text1"/>
                <w:sz w:val="22"/>
                <w:szCs w:val="22"/>
                <w:lang w:eastAsia="en-US"/>
              </w:rPr>
              <w:t>8.589</w:t>
            </w:r>
            <w:r w:rsidRPr="00CF31E0">
              <w:rPr>
                <w:rFonts w:eastAsia="MS Mincho"/>
                <w:color w:val="000000" w:themeColor="text1"/>
                <w:sz w:val="22"/>
                <w:szCs w:val="22"/>
                <w:vertAlign w:val="superscript"/>
                <w:lang w:eastAsia="en-US"/>
              </w:rPr>
              <w:t>a</w:t>
            </w:r>
          </w:p>
        </w:tc>
        <w:tc>
          <w:tcPr>
            <w:tcW w:w="3260" w:type="dxa"/>
            <w:tcBorders>
              <w:top w:val="single" w:sz="8" w:space="0" w:color="auto"/>
            </w:tcBorders>
            <w:shd w:val="clear" w:color="auto" w:fill="auto"/>
            <w:vAlign w:val="center"/>
          </w:tcPr>
          <w:p w14:paraId="0E505F79" w14:textId="77777777" w:rsidR="00852AD3" w:rsidRPr="00CF31E0" w:rsidRDefault="00852AD3" w:rsidP="00CA187F">
            <w:pPr>
              <w:spacing w:after="200" w:line="276" w:lineRule="auto"/>
              <w:jc w:val="center"/>
              <w:rPr>
                <w:rFonts w:eastAsia="Calibri"/>
                <w:color w:val="000000" w:themeColor="text1"/>
                <w:sz w:val="22"/>
                <w:szCs w:val="22"/>
                <w:lang w:eastAsia="en-US"/>
              </w:rPr>
            </w:pPr>
            <w:r w:rsidRPr="00CF31E0">
              <w:rPr>
                <w:rFonts w:eastAsia="MS Mincho"/>
                <w:color w:val="000000" w:themeColor="text1"/>
                <w:sz w:val="22"/>
                <w:szCs w:val="22"/>
                <w:lang w:eastAsia="en-US"/>
              </w:rPr>
              <w:t>.072</w:t>
            </w:r>
          </w:p>
        </w:tc>
      </w:tr>
      <w:tr w:rsidR="00852AD3" w:rsidRPr="00CF31E0" w14:paraId="4556005C" w14:textId="77777777" w:rsidTr="00852AD3">
        <w:trPr>
          <w:trHeight w:val="567"/>
        </w:trPr>
        <w:tc>
          <w:tcPr>
            <w:tcW w:w="2235" w:type="dxa"/>
            <w:tcBorders>
              <w:bottom w:val="single" w:sz="8" w:space="0" w:color="auto"/>
            </w:tcBorders>
            <w:shd w:val="clear" w:color="auto" w:fill="auto"/>
            <w:vAlign w:val="bottom"/>
          </w:tcPr>
          <w:p w14:paraId="7D350B9B" w14:textId="77777777" w:rsidR="00852AD3" w:rsidRPr="00CF31E0" w:rsidRDefault="00852AD3" w:rsidP="00CA187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center"/>
          </w:tcPr>
          <w:p w14:paraId="770B2CB2" w14:textId="77777777" w:rsidR="00852AD3" w:rsidRPr="00CF31E0" w:rsidRDefault="00852AD3" w:rsidP="00CA187F">
            <w:pPr>
              <w:spacing w:after="200" w:line="276" w:lineRule="auto"/>
              <w:rPr>
                <w:rFonts w:eastAsia="Calibri"/>
                <w:color w:val="000000" w:themeColor="text1"/>
                <w:sz w:val="22"/>
                <w:szCs w:val="22"/>
                <w:lang w:eastAsia="en-US"/>
              </w:rPr>
            </w:pPr>
            <w:r w:rsidRPr="00CF31E0">
              <w:rPr>
                <w:rFonts w:eastAsia="MS Mincho"/>
                <w:color w:val="000000" w:themeColor="text1"/>
                <w:sz w:val="22"/>
                <w:szCs w:val="22"/>
                <w:lang w:eastAsia="en-US"/>
              </w:rPr>
              <w:t>649</w:t>
            </w:r>
          </w:p>
        </w:tc>
        <w:tc>
          <w:tcPr>
            <w:tcW w:w="3260" w:type="dxa"/>
            <w:tcBorders>
              <w:bottom w:val="single" w:sz="8" w:space="0" w:color="auto"/>
            </w:tcBorders>
            <w:shd w:val="clear" w:color="auto" w:fill="auto"/>
            <w:vAlign w:val="center"/>
          </w:tcPr>
          <w:p w14:paraId="65CEB080" w14:textId="77777777" w:rsidR="00852AD3" w:rsidRPr="00CF31E0" w:rsidRDefault="00852AD3" w:rsidP="00CA187F">
            <w:pPr>
              <w:spacing w:after="200" w:line="276" w:lineRule="auto"/>
              <w:rPr>
                <w:rFonts w:eastAsia="Calibri"/>
                <w:color w:val="000000" w:themeColor="text1"/>
                <w:sz w:val="22"/>
                <w:szCs w:val="22"/>
                <w:lang w:eastAsia="en-US"/>
              </w:rPr>
            </w:pPr>
          </w:p>
        </w:tc>
      </w:tr>
    </w:tbl>
    <w:p w14:paraId="25FC255A" w14:textId="77777777" w:rsidR="00CA187F" w:rsidRPr="00CF31E0" w:rsidRDefault="00CA187F">
      <w:pPr>
        <w:rPr>
          <w:color w:val="000000" w:themeColor="text1"/>
          <w:lang w:eastAsia="en-US"/>
        </w:rPr>
      </w:pPr>
    </w:p>
    <w:p w14:paraId="6A8D4174" w14:textId="77777777" w:rsidR="00CA187F" w:rsidRPr="00CF31E0" w:rsidRDefault="00CA187F">
      <w:pPr>
        <w:rPr>
          <w:color w:val="000000" w:themeColor="text1"/>
          <w:lang w:eastAsia="en-US"/>
        </w:rPr>
      </w:pPr>
    </w:p>
    <w:p w14:paraId="2EAE30CE" w14:textId="77777777" w:rsidR="00852AD3" w:rsidRPr="00CF31E0" w:rsidRDefault="00852AD3">
      <w:pPr>
        <w:rPr>
          <w:color w:val="000000" w:themeColor="text1"/>
          <w:lang w:eastAsia="en-US"/>
        </w:rPr>
      </w:pPr>
    </w:p>
    <w:p w14:paraId="6B932860" w14:textId="77777777" w:rsidR="00852AD3" w:rsidRPr="00CF31E0" w:rsidRDefault="00852AD3">
      <w:pPr>
        <w:rPr>
          <w:color w:val="000000" w:themeColor="text1"/>
          <w:lang w:eastAsia="en-US"/>
        </w:rPr>
      </w:pPr>
    </w:p>
    <w:p w14:paraId="0780DE0B" w14:textId="77777777" w:rsidR="00852AD3" w:rsidRPr="00CF31E0" w:rsidRDefault="00852AD3">
      <w:pPr>
        <w:rPr>
          <w:color w:val="000000" w:themeColor="text1"/>
          <w:lang w:eastAsia="en-US"/>
        </w:rPr>
      </w:pPr>
    </w:p>
    <w:p w14:paraId="75D30683" w14:textId="77777777" w:rsidR="00852AD3" w:rsidRPr="00CF31E0" w:rsidRDefault="00852AD3">
      <w:pPr>
        <w:rPr>
          <w:color w:val="000000" w:themeColor="text1"/>
          <w:lang w:eastAsia="en-US"/>
        </w:rPr>
      </w:pPr>
    </w:p>
    <w:p w14:paraId="3BADCA79" w14:textId="77777777" w:rsidR="00852AD3" w:rsidRPr="00CF31E0" w:rsidRDefault="00852AD3">
      <w:pPr>
        <w:rPr>
          <w:color w:val="000000" w:themeColor="text1"/>
          <w:lang w:eastAsia="en-US"/>
        </w:rPr>
      </w:pPr>
    </w:p>
    <w:p w14:paraId="09C69021" w14:textId="0795957C" w:rsidR="00CA187F" w:rsidRPr="00CF31E0" w:rsidRDefault="00CA187F" w:rsidP="00C9622F">
      <w:pPr>
        <w:numPr>
          <w:ilvl w:val="0"/>
          <w:numId w:val="73"/>
        </w:numPr>
        <w:contextualSpacing/>
        <w:rPr>
          <w:rFonts w:eastAsia="MS Mincho"/>
          <w:b/>
          <w:bCs/>
          <w:color w:val="000000" w:themeColor="text1"/>
          <w:sz w:val="28"/>
          <w:szCs w:val="28"/>
          <w:lang w:eastAsia="en-US"/>
        </w:rPr>
      </w:pPr>
      <w:r w:rsidRPr="00CF31E0">
        <w:rPr>
          <w:rFonts w:eastAsia="MS Mincho"/>
          <w:b/>
          <w:bCs/>
          <w:color w:val="000000" w:themeColor="text1"/>
          <w:sz w:val="28"/>
          <w:szCs w:val="28"/>
          <w:lang w:eastAsia="en-US"/>
        </w:rPr>
        <w:lastRenderedPageBreak/>
        <w:t>VS</w:t>
      </w:r>
      <w:r w:rsidR="00377E09" w:rsidRPr="00CF31E0">
        <w:rPr>
          <w:rFonts w:eastAsia="MS Mincho"/>
          <w:b/>
          <w:bCs/>
          <w:color w:val="000000" w:themeColor="text1"/>
          <w:sz w:val="28"/>
          <w:szCs w:val="28"/>
          <w:lang w:eastAsia="en-US"/>
        </w:rPr>
        <w:t>2</w:t>
      </w:r>
    </w:p>
    <w:p w14:paraId="585D2E50" w14:textId="77777777" w:rsidR="00CA187F" w:rsidRPr="00CF31E0" w:rsidRDefault="00CA187F">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7E5D0C69" w14:textId="77777777" w:rsidTr="00852AD3">
        <w:trPr>
          <w:trHeight w:val="567"/>
        </w:trPr>
        <w:tc>
          <w:tcPr>
            <w:tcW w:w="2235" w:type="dxa"/>
            <w:tcBorders>
              <w:top w:val="single" w:sz="8" w:space="0" w:color="auto"/>
              <w:bottom w:val="single" w:sz="8" w:space="0" w:color="auto"/>
            </w:tcBorders>
            <w:shd w:val="clear" w:color="auto" w:fill="auto"/>
            <w:hideMark/>
          </w:tcPr>
          <w:p w14:paraId="4E846AF1"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Gender</w:t>
            </w:r>
          </w:p>
        </w:tc>
        <w:tc>
          <w:tcPr>
            <w:tcW w:w="1134" w:type="dxa"/>
            <w:tcBorders>
              <w:top w:val="single" w:sz="8" w:space="0" w:color="auto"/>
              <w:bottom w:val="single" w:sz="8" w:space="0" w:color="auto"/>
            </w:tcBorders>
            <w:shd w:val="clear" w:color="auto" w:fill="auto"/>
            <w:hideMark/>
          </w:tcPr>
          <w:p w14:paraId="490785E7"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26DCC422" w14:textId="77777777" w:rsidR="00852AD3" w:rsidRPr="00CF31E0" w:rsidRDefault="00852AD3" w:rsidP="00852AD3">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5E8864A0" w14:textId="77777777" w:rsidTr="00852AD3">
        <w:trPr>
          <w:trHeight w:val="567"/>
        </w:trPr>
        <w:tc>
          <w:tcPr>
            <w:tcW w:w="2235" w:type="dxa"/>
            <w:tcBorders>
              <w:top w:val="single" w:sz="8" w:space="0" w:color="auto"/>
            </w:tcBorders>
            <w:shd w:val="clear" w:color="auto" w:fill="auto"/>
            <w:vAlign w:val="bottom"/>
          </w:tcPr>
          <w:p w14:paraId="52B223F6" w14:textId="77777777" w:rsidR="00852AD3" w:rsidRPr="00CF31E0" w:rsidRDefault="00852AD3" w:rsidP="005F1CFD">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171A6BF6" w14:textId="6DAFE4E6" w:rsidR="00852AD3" w:rsidRPr="00CF31E0" w:rsidRDefault="00852AD3" w:rsidP="005F1CFD">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.001</w:t>
            </w:r>
            <w:r w:rsidRPr="00CF31E0">
              <w:rPr>
                <w:rFonts w:asciiTheme="majorBidi" w:hAnsiTheme="majorBidi" w:cstheme="majorBid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533CCCC4" w14:textId="64591B75" w:rsidR="00852AD3" w:rsidRPr="00CF31E0" w:rsidRDefault="00852AD3" w:rsidP="00852AD3">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.975</w:t>
            </w:r>
          </w:p>
        </w:tc>
      </w:tr>
      <w:tr w:rsidR="00852AD3" w:rsidRPr="00CF31E0" w14:paraId="6B9720CD" w14:textId="77777777" w:rsidTr="00852AD3">
        <w:trPr>
          <w:trHeight w:val="567"/>
        </w:trPr>
        <w:tc>
          <w:tcPr>
            <w:tcW w:w="2235" w:type="dxa"/>
            <w:shd w:val="clear" w:color="auto" w:fill="auto"/>
            <w:vAlign w:val="bottom"/>
          </w:tcPr>
          <w:p w14:paraId="31893DC5" w14:textId="77777777" w:rsidR="00852AD3" w:rsidRPr="00CF31E0" w:rsidRDefault="00852AD3" w:rsidP="005F1CFD">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Continuity Correction</w:t>
            </w:r>
            <w:r w:rsidRPr="00CF31E0">
              <w:rPr>
                <w:rFonts w:eastAsia="Calibri"/>
                <w:color w:val="000000" w:themeColor="text1"/>
                <w:sz w:val="22"/>
                <w:szCs w:val="22"/>
                <w:vertAlign w:val="superscript"/>
                <w:lang w:eastAsia="en-US"/>
              </w:rPr>
              <w:t>b</w:t>
            </w:r>
          </w:p>
        </w:tc>
        <w:tc>
          <w:tcPr>
            <w:tcW w:w="1134" w:type="dxa"/>
            <w:shd w:val="clear" w:color="auto" w:fill="auto"/>
            <w:vAlign w:val="bottom"/>
          </w:tcPr>
          <w:p w14:paraId="79137AC4" w14:textId="31861845" w:rsidR="00852AD3" w:rsidRPr="00CF31E0" w:rsidRDefault="00852AD3" w:rsidP="005F1CFD">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.000</w:t>
            </w:r>
          </w:p>
        </w:tc>
        <w:tc>
          <w:tcPr>
            <w:tcW w:w="3260" w:type="dxa"/>
            <w:shd w:val="clear" w:color="auto" w:fill="auto"/>
            <w:vAlign w:val="bottom"/>
          </w:tcPr>
          <w:p w14:paraId="3968266E" w14:textId="1F4488AD" w:rsidR="00852AD3" w:rsidRPr="00CF31E0" w:rsidRDefault="00852AD3" w:rsidP="00852AD3">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1.000</w:t>
            </w:r>
          </w:p>
        </w:tc>
      </w:tr>
      <w:tr w:rsidR="00852AD3" w:rsidRPr="00CF31E0" w14:paraId="08EE3189" w14:textId="77777777" w:rsidTr="00852AD3">
        <w:trPr>
          <w:trHeight w:val="567"/>
        </w:trPr>
        <w:tc>
          <w:tcPr>
            <w:tcW w:w="2235" w:type="dxa"/>
            <w:tcBorders>
              <w:bottom w:val="single" w:sz="8" w:space="0" w:color="auto"/>
            </w:tcBorders>
            <w:shd w:val="clear" w:color="auto" w:fill="auto"/>
            <w:vAlign w:val="bottom"/>
          </w:tcPr>
          <w:p w14:paraId="1FD24652" w14:textId="77777777" w:rsidR="00852AD3" w:rsidRPr="00CF31E0" w:rsidRDefault="00852AD3" w:rsidP="005F1CFD">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60E07634" w14:textId="2EF9C9EC" w:rsidR="00852AD3" w:rsidRPr="00CF31E0" w:rsidRDefault="00852AD3" w:rsidP="005F1CFD">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c>
          <w:tcPr>
            <w:tcW w:w="3260" w:type="dxa"/>
            <w:tcBorders>
              <w:bottom w:val="single" w:sz="8" w:space="0" w:color="auto"/>
            </w:tcBorders>
            <w:shd w:val="clear" w:color="auto" w:fill="auto"/>
            <w:vAlign w:val="bottom"/>
          </w:tcPr>
          <w:p w14:paraId="551E5D4D" w14:textId="12F31895" w:rsidR="00852AD3" w:rsidRPr="00CF31E0" w:rsidRDefault="00852AD3" w:rsidP="00852AD3">
            <w:pPr>
              <w:spacing w:after="200" w:line="276" w:lineRule="auto"/>
              <w:rPr>
                <w:rFonts w:eastAsia="Calibri"/>
                <w:color w:val="000000" w:themeColor="text1"/>
                <w:sz w:val="22"/>
                <w:szCs w:val="22"/>
                <w:lang w:eastAsia="en-US"/>
              </w:rPr>
            </w:pPr>
          </w:p>
        </w:tc>
      </w:tr>
    </w:tbl>
    <w:p w14:paraId="41EC828B" w14:textId="77777777" w:rsidR="00CA187F" w:rsidRPr="00CF31E0" w:rsidRDefault="00CA187F">
      <w:pPr>
        <w:rPr>
          <w:color w:val="000000" w:themeColor="text1"/>
          <w:lang w:eastAsia="en-US"/>
        </w:rPr>
      </w:pPr>
    </w:p>
    <w:p w14:paraId="63908C55" w14:textId="77777777" w:rsidR="00CA187F" w:rsidRPr="00CF31E0" w:rsidRDefault="00CA187F">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0F27F5D6" w14:textId="77777777" w:rsidTr="00852AD3">
        <w:trPr>
          <w:trHeight w:val="567"/>
        </w:trPr>
        <w:tc>
          <w:tcPr>
            <w:tcW w:w="2235" w:type="dxa"/>
            <w:tcBorders>
              <w:top w:val="single" w:sz="8" w:space="0" w:color="auto"/>
              <w:bottom w:val="single" w:sz="8" w:space="0" w:color="auto"/>
            </w:tcBorders>
            <w:shd w:val="clear" w:color="auto" w:fill="auto"/>
            <w:hideMark/>
          </w:tcPr>
          <w:p w14:paraId="07A975AA" w14:textId="26FFA4F3"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Age</w:t>
            </w:r>
          </w:p>
        </w:tc>
        <w:tc>
          <w:tcPr>
            <w:tcW w:w="1134" w:type="dxa"/>
            <w:tcBorders>
              <w:top w:val="single" w:sz="8" w:space="0" w:color="auto"/>
              <w:bottom w:val="single" w:sz="8" w:space="0" w:color="auto"/>
            </w:tcBorders>
            <w:shd w:val="clear" w:color="auto" w:fill="auto"/>
            <w:hideMark/>
          </w:tcPr>
          <w:p w14:paraId="0B13B548"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388987B5"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49665928" w14:textId="77777777" w:rsidTr="00852AD3">
        <w:trPr>
          <w:trHeight w:val="567"/>
        </w:trPr>
        <w:tc>
          <w:tcPr>
            <w:tcW w:w="2235" w:type="dxa"/>
            <w:tcBorders>
              <w:top w:val="single" w:sz="8" w:space="0" w:color="auto"/>
            </w:tcBorders>
            <w:shd w:val="clear" w:color="auto" w:fill="auto"/>
            <w:vAlign w:val="bottom"/>
          </w:tcPr>
          <w:p w14:paraId="0B0EC65F" w14:textId="77777777" w:rsidR="00852AD3" w:rsidRPr="00CF31E0" w:rsidRDefault="00852AD3" w:rsidP="00BA082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center"/>
          </w:tcPr>
          <w:p w14:paraId="50DCE3C2" w14:textId="317BF672" w:rsidR="00852AD3" w:rsidRPr="00CF31E0" w:rsidRDefault="00852AD3" w:rsidP="00BA0824">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4.802</w:t>
            </w:r>
            <w:r w:rsidRPr="00CF31E0">
              <w:rPr>
                <w:rFonts w:asciiTheme="majorBidi" w:hAnsiTheme="majorBidi" w:cstheme="majorBidi"/>
                <w:color w:val="000000" w:themeColor="text1"/>
                <w:sz w:val="22"/>
                <w:szCs w:val="22"/>
                <w:vertAlign w:val="superscript"/>
                <w:lang w:eastAsia="en-US"/>
              </w:rPr>
              <w:t>a</w:t>
            </w:r>
          </w:p>
        </w:tc>
        <w:tc>
          <w:tcPr>
            <w:tcW w:w="3260" w:type="dxa"/>
            <w:tcBorders>
              <w:top w:val="single" w:sz="8" w:space="0" w:color="auto"/>
            </w:tcBorders>
            <w:shd w:val="clear" w:color="auto" w:fill="auto"/>
            <w:vAlign w:val="center"/>
          </w:tcPr>
          <w:p w14:paraId="1F137B1A" w14:textId="47900297" w:rsidR="00852AD3" w:rsidRPr="00CF31E0" w:rsidRDefault="00852AD3" w:rsidP="00BA0824">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.440</w:t>
            </w:r>
          </w:p>
        </w:tc>
      </w:tr>
      <w:tr w:rsidR="00852AD3" w:rsidRPr="00CF31E0" w14:paraId="366C60DD" w14:textId="77777777" w:rsidTr="00852AD3">
        <w:trPr>
          <w:trHeight w:val="567"/>
        </w:trPr>
        <w:tc>
          <w:tcPr>
            <w:tcW w:w="2235" w:type="dxa"/>
            <w:tcBorders>
              <w:bottom w:val="single" w:sz="8" w:space="0" w:color="auto"/>
            </w:tcBorders>
            <w:shd w:val="clear" w:color="auto" w:fill="auto"/>
            <w:vAlign w:val="bottom"/>
          </w:tcPr>
          <w:p w14:paraId="76771CA9" w14:textId="77777777" w:rsidR="00852AD3" w:rsidRPr="00CF31E0" w:rsidRDefault="00852AD3" w:rsidP="00BA082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center"/>
          </w:tcPr>
          <w:p w14:paraId="52936406" w14:textId="386DBC76" w:rsidR="00852AD3" w:rsidRPr="00CF31E0" w:rsidRDefault="00852AD3" w:rsidP="00BA0824">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c>
          <w:tcPr>
            <w:tcW w:w="3260" w:type="dxa"/>
            <w:tcBorders>
              <w:bottom w:val="single" w:sz="8" w:space="0" w:color="auto"/>
            </w:tcBorders>
            <w:shd w:val="clear" w:color="auto" w:fill="auto"/>
            <w:vAlign w:val="center"/>
          </w:tcPr>
          <w:p w14:paraId="3BC9591C" w14:textId="77777777" w:rsidR="00852AD3" w:rsidRPr="00CF31E0" w:rsidRDefault="00852AD3" w:rsidP="00BA0824">
            <w:pPr>
              <w:spacing w:after="200" w:line="276" w:lineRule="auto"/>
              <w:rPr>
                <w:rFonts w:eastAsia="Calibri"/>
                <w:color w:val="000000" w:themeColor="text1"/>
                <w:sz w:val="22"/>
                <w:szCs w:val="22"/>
                <w:lang w:eastAsia="en-US"/>
              </w:rPr>
            </w:pPr>
          </w:p>
        </w:tc>
      </w:tr>
    </w:tbl>
    <w:p w14:paraId="6D0F868B" w14:textId="77777777" w:rsidR="00181DEB" w:rsidRPr="00CF31E0" w:rsidRDefault="00181DEB">
      <w:pPr>
        <w:rPr>
          <w:color w:val="000000" w:themeColor="text1"/>
          <w:lang w:eastAsia="en-US"/>
        </w:rPr>
      </w:pPr>
    </w:p>
    <w:p w14:paraId="282850C9" w14:textId="77777777" w:rsidR="00377E09" w:rsidRPr="00CF31E0" w:rsidRDefault="00377E09">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60FFD694" w14:textId="77777777" w:rsidTr="00852AD3">
        <w:trPr>
          <w:trHeight w:val="567"/>
        </w:trPr>
        <w:tc>
          <w:tcPr>
            <w:tcW w:w="2235" w:type="dxa"/>
            <w:tcBorders>
              <w:top w:val="single" w:sz="8" w:space="0" w:color="auto"/>
              <w:bottom w:val="single" w:sz="8" w:space="0" w:color="auto"/>
            </w:tcBorders>
            <w:shd w:val="clear" w:color="auto" w:fill="auto"/>
            <w:hideMark/>
          </w:tcPr>
          <w:p w14:paraId="6EDE88BB" w14:textId="0F929B4E"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Place of birth</w:t>
            </w:r>
          </w:p>
        </w:tc>
        <w:tc>
          <w:tcPr>
            <w:tcW w:w="1134" w:type="dxa"/>
            <w:tcBorders>
              <w:top w:val="single" w:sz="8" w:space="0" w:color="auto"/>
              <w:bottom w:val="single" w:sz="8" w:space="0" w:color="auto"/>
            </w:tcBorders>
            <w:shd w:val="clear" w:color="auto" w:fill="auto"/>
            <w:hideMark/>
          </w:tcPr>
          <w:p w14:paraId="6A305B07"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7A24633B"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5CB0815B" w14:textId="77777777" w:rsidTr="00852AD3">
        <w:trPr>
          <w:trHeight w:val="567"/>
        </w:trPr>
        <w:tc>
          <w:tcPr>
            <w:tcW w:w="2235" w:type="dxa"/>
            <w:tcBorders>
              <w:top w:val="single" w:sz="8" w:space="0" w:color="auto"/>
            </w:tcBorders>
            <w:shd w:val="clear" w:color="auto" w:fill="auto"/>
            <w:vAlign w:val="bottom"/>
          </w:tcPr>
          <w:p w14:paraId="51D7C741" w14:textId="77777777" w:rsidR="00852AD3" w:rsidRPr="00CF31E0" w:rsidRDefault="00852AD3" w:rsidP="00C9622F">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5E03DA22" w14:textId="6343C3A9" w:rsidR="00852AD3" w:rsidRPr="00CF31E0" w:rsidRDefault="00852AD3" w:rsidP="00C9622F">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2.264</w:t>
            </w:r>
            <w:r w:rsidRPr="00CF31E0">
              <w:rPr>
                <w:rFonts w:asciiTheme="majorBidi" w:hAnsiTheme="majorBidi" w:cstheme="majorBid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6D151416" w14:textId="4D131D61" w:rsidR="00852AD3" w:rsidRPr="00CF31E0" w:rsidRDefault="00852AD3" w:rsidP="00C9622F">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.132</w:t>
            </w:r>
          </w:p>
        </w:tc>
      </w:tr>
      <w:tr w:rsidR="00852AD3" w:rsidRPr="00CF31E0" w14:paraId="123B4331" w14:textId="77777777" w:rsidTr="00852AD3">
        <w:trPr>
          <w:trHeight w:val="567"/>
        </w:trPr>
        <w:tc>
          <w:tcPr>
            <w:tcW w:w="2235" w:type="dxa"/>
            <w:shd w:val="clear" w:color="auto" w:fill="auto"/>
            <w:vAlign w:val="bottom"/>
          </w:tcPr>
          <w:p w14:paraId="7A5F7984" w14:textId="77777777" w:rsidR="00852AD3" w:rsidRPr="00CF31E0" w:rsidRDefault="00852AD3" w:rsidP="00C9622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Continuity Correction</w:t>
            </w:r>
            <w:r w:rsidRPr="00CF31E0">
              <w:rPr>
                <w:rFonts w:eastAsia="Calibri"/>
                <w:color w:val="000000" w:themeColor="text1"/>
                <w:sz w:val="22"/>
                <w:szCs w:val="22"/>
                <w:vertAlign w:val="superscript"/>
                <w:lang w:eastAsia="en-US"/>
              </w:rPr>
              <w:t>b</w:t>
            </w:r>
          </w:p>
        </w:tc>
        <w:tc>
          <w:tcPr>
            <w:tcW w:w="1134" w:type="dxa"/>
            <w:shd w:val="clear" w:color="auto" w:fill="auto"/>
            <w:vAlign w:val="bottom"/>
          </w:tcPr>
          <w:p w14:paraId="3BC5A7A7" w14:textId="4AA36FF8" w:rsidR="00852AD3" w:rsidRPr="00CF31E0" w:rsidRDefault="00852AD3" w:rsidP="00C9622F">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1.271</w:t>
            </w:r>
          </w:p>
        </w:tc>
        <w:tc>
          <w:tcPr>
            <w:tcW w:w="3260" w:type="dxa"/>
            <w:shd w:val="clear" w:color="auto" w:fill="auto"/>
            <w:vAlign w:val="bottom"/>
          </w:tcPr>
          <w:p w14:paraId="08A3E2AA" w14:textId="76F9BEA3" w:rsidR="00852AD3" w:rsidRPr="00CF31E0" w:rsidRDefault="00852AD3" w:rsidP="00C9622F">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.260</w:t>
            </w:r>
          </w:p>
        </w:tc>
      </w:tr>
      <w:tr w:rsidR="00852AD3" w:rsidRPr="00CF31E0" w14:paraId="27C2DA9B" w14:textId="77777777" w:rsidTr="00852AD3">
        <w:trPr>
          <w:trHeight w:val="567"/>
        </w:trPr>
        <w:tc>
          <w:tcPr>
            <w:tcW w:w="2235" w:type="dxa"/>
            <w:tcBorders>
              <w:bottom w:val="single" w:sz="8" w:space="0" w:color="auto"/>
            </w:tcBorders>
            <w:shd w:val="clear" w:color="auto" w:fill="auto"/>
            <w:vAlign w:val="bottom"/>
          </w:tcPr>
          <w:p w14:paraId="068D6175" w14:textId="77777777" w:rsidR="00852AD3" w:rsidRPr="00CF31E0" w:rsidRDefault="00852AD3" w:rsidP="00C9622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78E070E2" w14:textId="0F404FA9" w:rsidR="00852AD3" w:rsidRPr="00CF31E0" w:rsidRDefault="00852AD3" w:rsidP="00C9622F">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c>
          <w:tcPr>
            <w:tcW w:w="3260" w:type="dxa"/>
            <w:tcBorders>
              <w:bottom w:val="single" w:sz="8" w:space="0" w:color="auto"/>
            </w:tcBorders>
            <w:shd w:val="clear" w:color="auto" w:fill="auto"/>
            <w:vAlign w:val="bottom"/>
          </w:tcPr>
          <w:p w14:paraId="1BF52CC2" w14:textId="0411F666" w:rsidR="00852AD3" w:rsidRPr="00CF31E0" w:rsidRDefault="00852AD3" w:rsidP="00603CB7">
            <w:pPr>
              <w:spacing w:after="200" w:line="276" w:lineRule="auto"/>
              <w:rPr>
                <w:rFonts w:eastAsia="Calibri"/>
                <w:color w:val="000000" w:themeColor="text1"/>
                <w:sz w:val="22"/>
                <w:szCs w:val="22"/>
                <w:lang w:eastAsia="en-US"/>
              </w:rPr>
            </w:pPr>
          </w:p>
        </w:tc>
      </w:tr>
    </w:tbl>
    <w:p w14:paraId="5F197C9C" w14:textId="77777777" w:rsidR="00181DEB" w:rsidRPr="00CF31E0" w:rsidRDefault="00181DEB">
      <w:pPr>
        <w:rPr>
          <w:color w:val="000000" w:themeColor="text1"/>
          <w:lang w:eastAsia="en-US"/>
        </w:rPr>
      </w:pPr>
    </w:p>
    <w:p w14:paraId="402666E5" w14:textId="77777777" w:rsidR="00181DEB" w:rsidRPr="00CF31E0" w:rsidRDefault="00181DEB">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7D2BCEB6" w14:textId="77777777" w:rsidTr="00852AD3">
        <w:trPr>
          <w:trHeight w:val="567"/>
        </w:trPr>
        <w:tc>
          <w:tcPr>
            <w:tcW w:w="2235" w:type="dxa"/>
            <w:tcBorders>
              <w:top w:val="single" w:sz="8" w:space="0" w:color="auto"/>
              <w:bottom w:val="single" w:sz="8" w:space="0" w:color="auto"/>
            </w:tcBorders>
            <w:shd w:val="clear" w:color="auto" w:fill="auto"/>
            <w:hideMark/>
          </w:tcPr>
          <w:p w14:paraId="49D2FC4A" w14:textId="1BB3C7AE" w:rsidR="00852AD3" w:rsidRPr="00CF31E0" w:rsidRDefault="00852AD3" w:rsidP="00C9622F">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Places lived</w:t>
            </w:r>
          </w:p>
        </w:tc>
        <w:tc>
          <w:tcPr>
            <w:tcW w:w="1134" w:type="dxa"/>
            <w:tcBorders>
              <w:top w:val="single" w:sz="8" w:space="0" w:color="auto"/>
              <w:bottom w:val="single" w:sz="8" w:space="0" w:color="auto"/>
            </w:tcBorders>
            <w:shd w:val="clear" w:color="auto" w:fill="auto"/>
            <w:hideMark/>
          </w:tcPr>
          <w:p w14:paraId="3E256F3C"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6FDC9ACE"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4A26095E" w14:textId="77777777" w:rsidTr="00852AD3">
        <w:trPr>
          <w:trHeight w:val="567"/>
        </w:trPr>
        <w:tc>
          <w:tcPr>
            <w:tcW w:w="2235" w:type="dxa"/>
            <w:tcBorders>
              <w:top w:val="single" w:sz="8" w:space="0" w:color="auto"/>
            </w:tcBorders>
            <w:shd w:val="clear" w:color="auto" w:fill="auto"/>
            <w:vAlign w:val="bottom"/>
          </w:tcPr>
          <w:p w14:paraId="14A62251" w14:textId="77777777" w:rsidR="00852AD3" w:rsidRPr="00CF31E0" w:rsidRDefault="00852AD3" w:rsidP="00C9622F">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447F3D31" w14:textId="2BF5EA52" w:rsidR="00852AD3" w:rsidRPr="00CF31E0" w:rsidRDefault="00852AD3" w:rsidP="00C9622F">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6.111</w:t>
            </w:r>
            <w:r w:rsidRPr="00CF31E0">
              <w:rPr>
                <w:rFonts w:asciiTheme="majorBidi" w:hAnsiTheme="majorBidi" w:cstheme="majorBid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29415351" w14:textId="2E4A2296" w:rsidR="00852AD3" w:rsidRPr="00CF31E0" w:rsidRDefault="00852AD3" w:rsidP="00C9622F">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.093</w:t>
            </w:r>
          </w:p>
        </w:tc>
      </w:tr>
      <w:tr w:rsidR="00852AD3" w:rsidRPr="00CF31E0" w14:paraId="6820846A" w14:textId="77777777" w:rsidTr="00852AD3">
        <w:trPr>
          <w:trHeight w:val="567"/>
        </w:trPr>
        <w:tc>
          <w:tcPr>
            <w:tcW w:w="2235" w:type="dxa"/>
            <w:shd w:val="clear" w:color="auto" w:fill="auto"/>
            <w:vAlign w:val="bottom"/>
          </w:tcPr>
          <w:p w14:paraId="304224CE" w14:textId="77777777" w:rsidR="00852AD3" w:rsidRPr="00CF31E0" w:rsidRDefault="00852AD3" w:rsidP="00C9622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Continuity Correction</w:t>
            </w:r>
            <w:r w:rsidRPr="00CF31E0">
              <w:rPr>
                <w:rFonts w:eastAsia="Calibri"/>
                <w:color w:val="000000" w:themeColor="text1"/>
                <w:sz w:val="22"/>
                <w:szCs w:val="22"/>
                <w:vertAlign w:val="superscript"/>
                <w:lang w:eastAsia="en-US"/>
              </w:rPr>
              <w:t>b</w:t>
            </w:r>
          </w:p>
        </w:tc>
        <w:tc>
          <w:tcPr>
            <w:tcW w:w="1134" w:type="dxa"/>
            <w:shd w:val="clear" w:color="auto" w:fill="auto"/>
            <w:vAlign w:val="bottom"/>
          </w:tcPr>
          <w:p w14:paraId="748ABB83" w14:textId="22F5AFBF" w:rsidR="00852AD3" w:rsidRPr="00CF31E0" w:rsidRDefault="00852AD3" w:rsidP="00C9622F">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2.843</w:t>
            </w:r>
          </w:p>
        </w:tc>
        <w:tc>
          <w:tcPr>
            <w:tcW w:w="3260" w:type="dxa"/>
            <w:shd w:val="clear" w:color="auto" w:fill="auto"/>
            <w:vAlign w:val="bottom"/>
          </w:tcPr>
          <w:p w14:paraId="410140D2" w14:textId="4B377AF2" w:rsidR="00852AD3" w:rsidRPr="00CF31E0" w:rsidRDefault="00852AD3" w:rsidP="00C9622F">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.092</w:t>
            </w:r>
          </w:p>
        </w:tc>
      </w:tr>
      <w:tr w:rsidR="00852AD3" w:rsidRPr="00CF31E0" w14:paraId="212A85A0" w14:textId="77777777" w:rsidTr="00852AD3">
        <w:trPr>
          <w:trHeight w:val="567"/>
        </w:trPr>
        <w:tc>
          <w:tcPr>
            <w:tcW w:w="2235" w:type="dxa"/>
            <w:tcBorders>
              <w:bottom w:val="single" w:sz="8" w:space="0" w:color="auto"/>
            </w:tcBorders>
            <w:shd w:val="clear" w:color="auto" w:fill="auto"/>
            <w:vAlign w:val="bottom"/>
          </w:tcPr>
          <w:p w14:paraId="4284C554" w14:textId="77777777" w:rsidR="00852AD3" w:rsidRPr="00CF31E0" w:rsidRDefault="00852AD3" w:rsidP="00C9622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7A92F3CA" w14:textId="4F381910" w:rsidR="00852AD3" w:rsidRPr="00CF31E0" w:rsidRDefault="00852AD3" w:rsidP="00C9622F">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c>
          <w:tcPr>
            <w:tcW w:w="3260" w:type="dxa"/>
            <w:tcBorders>
              <w:bottom w:val="single" w:sz="8" w:space="0" w:color="auto"/>
            </w:tcBorders>
            <w:shd w:val="clear" w:color="auto" w:fill="auto"/>
            <w:vAlign w:val="bottom"/>
          </w:tcPr>
          <w:p w14:paraId="6D5CEE2F" w14:textId="77777777" w:rsidR="00852AD3" w:rsidRPr="00CF31E0" w:rsidRDefault="00852AD3" w:rsidP="00603CB7">
            <w:pPr>
              <w:spacing w:after="200" w:line="276" w:lineRule="auto"/>
              <w:rPr>
                <w:rFonts w:eastAsia="Calibri"/>
                <w:color w:val="000000" w:themeColor="text1"/>
                <w:sz w:val="22"/>
                <w:szCs w:val="22"/>
                <w:lang w:eastAsia="en-US"/>
              </w:rPr>
            </w:pPr>
          </w:p>
        </w:tc>
      </w:tr>
    </w:tbl>
    <w:p w14:paraId="4BA2499D" w14:textId="77777777" w:rsidR="00181DEB" w:rsidRPr="00CF31E0" w:rsidRDefault="00181DEB">
      <w:pPr>
        <w:rPr>
          <w:color w:val="000000" w:themeColor="text1"/>
          <w:lang w:eastAsia="en-US"/>
        </w:rPr>
      </w:pPr>
    </w:p>
    <w:p w14:paraId="76C12564" w14:textId="77777777" w:rsidR="00181DEB" w:rsidRPr="00CF31E0" w:rsidRDefault="00181DEB">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23C0955E" w14:textId="77777777" w:rsidTr="00852AD3">
        <w:trPr>
          <w:trHeight w:val="567"/>
        </w:trPr>
        <w:tc>
          <w:tcPr>
            <w:tcW w:w="2235" w:type="dxa"/>
            <w:tcBorders>
              <w:top w:val="single" w:sz="8" w:space="0" w:color="auto"/>
              <w:bottom w:val="single" w:sz="8" w:space="0" w:color="auto"/>
            </w:tcBorders>
            <w:shd w:val="clear" w:color="auto" w:fill="auto"/>
            <w:hideMark/>
          </w:tcPr>
          <w:p w14:paraId="4333DE4F" w14:textId="2F79D142"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Marital status</w:t>
            </w:r>
          </w:p>
        </w:tc>
        <w:tc>
          <w:tcPr>
            <w:tcW w:w="1134" w:type="dxa"/>
            <w:tcBorders>
              <w:top w:val="single" w:sz="8" w:space="0" w:color="auto"/>
              <w:bottom w:val="single" w:sz="8" w:space="0" w:color="auto"/>
            </w:tcBorders>
            <w:shd w:val="clear" w:color="auto" w:fill="auto"/>
            <w:hideMark/>
          </w:tcPr>
          <w:p w14:paraId="37E44827"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5A26F637"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43F74808" w14:textId="77777777" w:rsidTr="00852AD3">
        <w:trPr>
          <w:trHeight w:val="567"/>
        </w:trPr>
        <w:tc>
          <w:tcPr>
            <w:tcW w:w="2235" w:type="dxa"/>
            <w:tcBorders>
              <w:top w:val="single" w:sz="8" w:space="0" w:color="auto"/>
            </w:tcBorders>
            <w:shd w:val="clear" w:color="auto" w:fill="auto"/>
            <w:vAlign w:val="bottom"/>
          </w:tcPr>
          <w:p w14:paraId="2E2EF484" w14:textId="77777777" w:rsidR="00852AD3" w:rsidRPr="00CF31E0" w:rsidRDefault="00852AD3" w:rsidP="00C9622F">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5A673CB9" w14:textId="6542BA35" w:rsidR="00852AD3" w:rsidRPr="00CF31E0" w:rsidRDefault="00852AD3" w:rsidP="00C9622F">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6.552</w:t>
            </w:r>
            <w:r w:rsidRPr="00CF31E0">
              <w:rPr>
                <w:rFonts w:asciiTheme="majorBidi" w:hAnsiTheme="majorBidi" w:cstheme="majorBid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799E2B7D" w14:textId="5E732319" w:rsidR="00852AD3" w:rsidRPr="00CF31E0" w:rsidRDefault="00852AD3" w:rsidP="00C9622F">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.088</w:t>
            </w:r>
          </w:p>
        </w:tc>
      </w:tr>
      <w:tr w:rsidR="00852AD3" w:rsidRPr="00CF31E0" w14:paraId="48E56712" w14:textId="77777777" w:rsidTr="00852AD3">
        <w:trPr>
          <w:trHeight w:val="567"/>
        </w:trPr>
        <w:tc>
          <w:tcPr>
            <w:tcW w:w="2235" w:type="dxa"/>
            <w:tcBorders>
              <w:bottom w:val="single" w:sz="8" w:space="0" w:color="auto"/>
            </w:tcBorders>
            <w:shd w:val="clear" w:color="auto" w:fill="auto"/>
            <w:vAlign w:val="bottom"/>
          </w:tcPr>
          <w:p w14:paraId="00932ADC" w14:textId="77777777" w:rsidR="00852AD3" w:rsidRPr="00CF31E0" w:rsidRDefault="00852AD3" w:rsidP="00C9622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28DFE622" w14:textId="3023FE74" w:rsidR="00852AD3" w:rsidRPr="00CF31E0" w:rsidRDefault="00852AD3" w:rsidP="00C9622F">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c>
          <w:tcPr>
            <w:tcW w:w="3260" w:type="dxa"/>
            <w:tcBorders>
              <w:bottom w:val="single" w:sz="8" w:space="0" w:color="auto"/>
            </w:tcBorders>
            <w:shd w:val="clear" w:color="auto" w:fill="auto"/>
            <w:vAlign w:val="bottom"/>
          </w:tcPr>
          <w:p w14:paraId="14562C12" w14:textId="77777777" w:rsidR="00852AD3" w:rsidRPr="00CF31E0" w:rsidRDefault="00852AD3" w:rsidP="00C9622F">
            <w:pPr>
              <w:spacing w:after="200" w:line="276" w:lineRule="auto"/>
              <w:rPr>
                <w:rFonts w:eastAsia="Calibri"/>
                <w:color w:val="000000" w:themeColor="text1"/>
                <w:sz w:val="22"/>
                <w:szCs w:val="22"/>
                <w:lang w:eastAsia="en-US"/>
              </w:rPr>
            </w:pPr>
          </w:p>
        </w:tc>
      </w:tr>
    </w:tbl>
    <w:p w14:paraId="6AC45AA5" w14:textId="77777777" w:rsidR="00181DEB" w:rsidRPr="00CF31E0" w:rsidRDefault="00181DEB">
      <w:pPr>
        <w:rPr>
          <w:color w:val="000000" w:themeColor="text1"/>
          <w:lang w:eastAsia="en-US"/>
        </w:rPr>
      </w:pPr>
    </w:p>
    <w:p w14:paraId="23A2EEE0" w14:textId="77777777" w:rsidR="00181DEB" w:rsidRPr="00CF31E0" w:rsidRDefault="00181DEB">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50D05AC7" w14:textId="77777777" w:rsidTr="00852AD3">
        <w:trPr>
          <w:trHeight w:val="567"/>
        </w:trPr>
        <w:tc>
          <w:tcPr>
            <w:tcW w:w="2235" w:type="dxa"/>
            <w:tcBorders>
              <w:top w:val="single" w:sz="8" w:space="0" w:color="auto"/>
              <w:bottom w:val="single" w:sz="8" w:space="0" w:color="auto"/>
            </w:tcBorders>
            <w:shd w:val="clear" w:color="auto" w:fill="auto"/>
            <w:hideMark/>
          </w:tcPr>
          <w:p w14:paraId="3F6598B8" w14:textId="1F8180F6"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Education</w:t>
            </w:r>
          </w:p>
        </w:tc>
        <w:tc>
          <w:tcPr>
            <w:tcW w:w="1134" w:type="dxa"/>
            <w:tcBorders>
              <w:top w:val="single" w:sz="8" w:space="0" w:color="auto"/>
              <w:bottom w:val="single" w:sz="8" w:space="0" w:color="auto"/>
            </w:tcBorders>
            <w:shd w:val="clear" w:color="auto" w:fill="auto"/>
            <w:hideMark/>
          </w:tcPr>
          <w:p w14:paraId="37A098C5"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686048A9"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452A44A1" w14:textId="77777777" w:rsidTr="00852AD3">
        <w:trPr>
          <w:trHeight w:val="567"/>
        </w:trPr>
        <w:tc>
          <w:tcPr>
            <w:tcW w:w="2235" w:type="dxa"/>
            <w:tcBorders>
              <w:top w:val="single" w:sz="8" w:space="0" w:color="auto"/>
            </w:tcBorders>
            <w:shd w:val="clear" w:color="auto" w:fill="auto"/>
            <w:vAlign w:val="bottom"/>
          </w:tcPr>
          <w:p w14:paraId="643766E6" w14:textId="77777777" w:rsidR="00852AD3" w:rsidRPr="00CF31E0" w:rsidRDefault="00852AD3" w:rsidP="00C9622F">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3C7360E5" w14:textId="046B7B41" w:rsidR="00852AD3" w:rsidRPr="00CF31E0" w:rsidRDefault="00852AD3" w:rsidP="00C9622F">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3.495</w:t>
            </w:r>
            <w:r w:rsidRPr="00CF31E0">
              <w:rPr>
                <w:rFonts w:asciiTheme="majorBidi" w:hAnsiTheme="majorBidi" w:cstheme="majorBid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3CB349FD" w14:textId="3D3CE107" w:rsidR="00852AD3" w:rsidRPr="00CF31E0" w:rsidRDefault="00852AD3" w:rsidP="00C9622F">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.624</w:t>
            </w:r>
          </w:p>
        </w:tc>
      </w:tr>
      <w:tr w:rsidR="00852AD3" w:rsidRPr="00CF31E0" w14:paraId="192F2B17" w14:textId="77777777" w:rsidTr="00852AD3">
        <w:trPr>
          <w:trHeight w:val="567"/>
        </w:trPr>
        <w:tc>
          <w:tcPr>
            <w:tcW w:w="2235" w:type="dxa"/>
            <w:tcBorders>
              <w:bottom w:val="single" w:sz="8" w:space="0" w:color="auto"/>
            </w:tcBorders>
            <w:shd w:val="clear" w:color="auto" w:fill="auto"/>
            <w:vAlign w:val="bottom"/>
          </w:tcPr>
          <w:p w14:paraId="0197A68A" w14:textId="77777777" w:rsidR="00852AD3" w:rsidRPr="00CF31E0" w:rsidRDefault="00852AD3" w:rsidP="00C9622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31DCABA3" w14:textId="63D1484F" w:rsidR="00852AD3" w:rsidRPr="00CF31E0" w:rsidRDefault="00852AD3" w:rsidP="00C9622F">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c>
          <w:tcPr>
            <w:tcW w:w="3260" w:type="dxa"/>
            <w:tcBorders>
              <w:bottom w:val="single" w:sz="8" w:space="0" w:color="auto"/>
            </w:tcBorders>
            <w:shd w:val="clear" w:color="auto" w:fill="auto"/>
            <w:vAlign w:val="bottom"/>
          </w:tcPr>
          <w:p w14:paraId="2690B9A8" w14:textId="77777777" w:rsidR="00852AD3" w:rsidRPr="00CF31E0" w:rsidRDefault="00852AD3" w:rsidP="00C9622F">
            <w:pPr>
              <w:spacing w:after="200" w:line="276" w:lineRule="auto"/>
              <w:rPr>
                <w:rFonts w:eastAsia="Calibri"/>
                <w:color w:val="000000" w:themeColor="text1"/>
                <w:sz w:val="22"/>
                <w:szCs w:val="22"/>
                <w:lang w:eastAsia="en-US"/>
              </w:rPr>
            </w:pPr>
          </w:p>
        </w:tc>
      </w:tr>
    </w:tbl>
    <w:p w14:paraId="3E7591C2" w14:textId="77777777" w:rsidR="00181DEB" w:rsidRPr="00CF31E0" w:rsidRDefault="00181DEB">
      <w:pPr>
        <w:rPr>
          <w:color w:val="000000" w:themeColor="text1"/>
          <w:lang w:eastAsia="en-US"/>
        </w:rPr>
      </w:pPr>
    </w:p>
    <w:p w14:paraId="7DB60FFA" w14:textId="77777777" w:rsidR="00181DEB" w:rsidRPr="00CF31E0" w:rsidRDefault="00181DEB">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3406CAC1" w14:textId="77777777" w:rsidTr="00852AD3">
        <w:trPr>
          <w:trHeight w:val="567"/>
        </w:trPr>
        <w:tc>
          <w:tcPr>
            <w:tcW w:w="2235" w:type="dxa"/>
            <w:tcBorders>
              <w:top w:val="single" w:sz="8" w:space="0" w:color="auto"/>
              <w:bottom w:val="single" w:sz="8" w:space="0" w:color="auto"/>
            </w:tcBorders>
            <w:shd w:val="clear" w:color="auto" w:fill="auto"/>
            <w:hideMark/>
          </w:tcPr>
          <w:p w14:paraId="6A8DBC2E" w14:textId="7B1D6408"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Mother’s social group</w:t>
            </w:r>
          </w:p>
        </w:tc>
        <w:tc>
          <w:tcPr>
            <w:tcW w:w="1134" w:type="dxa"/>
            <w:tcBorders>
              <w:top w:val="single" w:sz="8" w:space="0" w:color="auto"/>
              <w:bottom w:val="single" w:sz="8" w:space="0" w:color="auto"/>
            </w:tcBorders>
            <w:shd w:val="clear" w:color="auto" w:fill="auto"/>
            <w:hideMark/>
          </w:tcPr>
          <w:p w14:paraId="5A7928F8"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3F86DE31"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1ED113ED" w14:textId="77777777" w:rsidTr="00852AD3">
        <w:trPr>
          <w:trHeight w:val="567"/>
        </w:trPr>
        <w:tc>
          <w:tcPr>
            <w:tcW w:w="2235" w:type="dxa"/>
            <w:tcBorders>
              <w:top w:val="single" w:sz="8" w:space="0" w:color="auto"/>
            </w:tcBorders>
            <w:shd w:val="clear" w:color="auto" w:fill="auto"/>
            <w:vAlign w:val="bottom"/>
          </w:tcPr>
          <w:p w14:paraId="039D167F" w14:textId="77777777" w:rsidR="00852AD3" w:rsidRPr="00CF31E0" w:rsidRDefault="00852AD3" w:rsidP="00C9622F">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3C74CB72" w14:textId="5E0AA4E0" w:rsidR="00852AD3" w:rsidRPr="00CF31E0" w:rsidRDefault="00852AD3" w:rsidP="00C9622F">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3.287</w:t>
            </w:r>
            <w:r w:rsidRPr="00CF31E0">
              <w:rPr>
                <w:rFonts w:asciiTheme="majorBidi" w:hAnsiTheme="majorBidi" w:cstheme="majorBid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0D1CA420" w14:textId="0EB8DD36" w:rsidR="00852AD3" w:rsidRPr="00CF31E0" w:rsidRDefault="00852AD3" w:rsidP="00C9622F">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.193</w:t>
            </w:r>
          </w:p>
        </w:tc>
      </w:tr>
      <w:tr w:rsidR="00852AD3" w:rsidRPr="00CF31E0" w14:paraId="21029C0C" w14:textId="77777777" w:rsidTr="00852AD3">
        <w:trPr>
          <w:trHeight w:val="567"/>
        </w:trPr>
        <w:tc>
          <w:tcPr>
            <w:tcW w:w="2235" w:type="dxa"/>
            <w:tcBorders>
              <w:bottom w:val="single" w:sz="8" w:space="0" w:color="auto"/>
            </w:tcBorders>
            <w:shd w:val="clear" w:color="auto" w:fill="auto"/>
            <w:vAlign w:val="bottom"/>
          </w:tcPr>
          <w:p w14:paraId="55F63CB2" w14:textId="77777777" w:rsidR="00852AD3" w:rsidRPr="00CF31E0" w:rsidRDefault="00852AD3" w:rsidP="00C9622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62834B15" w14:textId="739BDF12" w:rsidR="00852AD3" w:rsidRPr="00CF31E0" w:rsidRDefault="00852AD3" w:rsidP="00C9622F">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c>
          <w:tcPr>
            <w:tcW w:w="3260" w:type="dxa"/>
            <w:tcBorders>
              <w:bottom w:val="single" w:sz="8" w:space="0" w:color="auto"/>
            </w:tcBorders>
            <w:shd w:val="clear" w:color="auto" w:fill="auto"/>
            <w:vAlign w:val="bottom"/>
          </w:tcPr>
          <w:p w14:paraId="10DD9DFD" w14:textId="77777777" w:rsidR="00852AD3" w:rsidRPr="00CF31E0" w:rsidRDefault="00852AD3" w:rsidP="00C9622F">
            <w:pPr>
              <w:spacing w:after="200" w:line="276" w:lineRule="auto"/>
              <w:rPr>
                <w:rFonts w:eastAsia="Calibri"/>
                <w:color w:val="000000" w:themeColor="text1"/>
                <w:sz w:val="22"/>
                <w:szCs w:val="22"/>
                <w:lang w:eastAsia="en-US"/>
              </w:rPr>
            </w:pPr>
          </w:p>
        </w:tc>
      </w:tr>
    </w:tbl>
    <w:p w14:paraId="477C40A7" w14:textId="77777777" w:rsidR="00181DEB" w:rsidRPr="00CF31E0" w:rsidRDefault="00181DEB">
      <w:pPr>
        <w:rPr>
          <w:color w:val="000000" w:themeColor="text1"/>
          <w:lang w:eastAsia="en-US"/>
        </w:rPr>
      </w:pPr>
    </w:p>
    <w:p w14:paraId="19A6A63F" w14:textId="77777777" w:rsidR="00713F6B" w:rsidRPr="00CF31E0" w:rsidRDefault="00713F6B">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4C772589" w14:textId="77777777" w:rsidTr="00852AD3">
        <w:trPr>
          <w:trHeight w:val="567"/>
        </w:trPr>
        <w:tc>
          <w:tcPr>
            <w:tcW w:w="2235" w:type="dxa"/>
            <w:tcBorders>
              <w:top w:val="single" w:sz="8" w:space="0" w:color="auto"/>
              <w:bottom w:val="single" w:sz="8" w:space="0" w:color="auto"/>
            </w:tcBorders>
            <w:shd w:val="clear" w:color="auto" w:fill="auto"/>
            <w:hideMark/>
          </w:tcPr>
          <w:p w14:paraId="7CA1FDA6" w14:textId="2BE209DD"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Spouse’s social group</w:t>
            </w:r>
          </w:p>
        </w:tc>
        <w:tc>
          <w:tcPr>
            <w:tcW w:w="1134" w:type="dxa"/>
            <w:tcBorders>
              <w:top w:val="single" w:sz="8" w:space="0" w:color="auto"/>
              <w:bottom w:val="single" w:sz="8" w:space="0" w:color="auto"/>
            </w:tcBorders>
            <w:shd w:val="clear" w:color="auto" w:fill="auto"/>
            <w:hideMark/>
          </w:tcPr>
          <w:p w14:paraId="6D8CC77B"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0AB492FA"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5315B2CB" w14:textId="77777777" w:rsidTr="00852AD3">
        <w:trPr>
          <w:trHeight w:val="567"/>
        </w:trPr>
        <w:tc>
          <w:tcPr>
            <w:tcW w:w="2235" w:type="dxa"/>
            <w:tcBorders>
              <w:top w:val="single" w:sz="8" w:space="0" w:color="auto"/>
            </w:tcBorders>
            <w:shd w:val="clear" w:color="auto" w:fill="auto"/>
            <w:vAlign w:val="bottom"/>
          </w:tcPr>
          <w:p w14:paraId="11E7D2C3" w14:textId="77777777" w:rsidR="00852AD3" w:rsidRPr="00CF31E0" w:rsidRDefault="00852AD3" w:rsidP="00C9622F">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058D3C17" w14:textId="40F7AC03" w:rsidR="00852AD3" w:rsidRPr="00CF31E0" w:rsidRDefault="00852AD3" w:rsidP="00C9622F">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5.693</w:t>
            </w:r>
            <w:r w:rsidRPr="00CF31E0">
              <w:rPr>
                <w:rFonts w:asciiTheme="majorBidi" w:hAnsiTheme="majorBidi" w:cstheme="majorBid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396AD90E" w14:textId="7F3D926B" w:rsidR="00852AD3" w:rsidRPr="00CF31E0" w:rsidRDefault="00852AD3" w:rsidP="00C9622F">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.223</w:t>
            </w:r>
          </w:p>
        </w:tc>
      </w:tr>
      <w:tr w:rsidR="00852AD3" w:rsidRPr="00CF31E0" w14:paraId="1A37FC3A" w14:textId="77777777" w:rsidTr="00852AD3">
        <w:trPr>
          <w:trHeight w:val="567"/>
        </w:trPr>
        <w:tc>
          <w:tcPr>
            <w:tcW w:w="2235" w:type="dxa"/>
            <w:tcBorders>
              <w:bottom w:val="single" w:sz="8" w:space="0" w:color="auto"/>
            </w:tcBorders>
            <w:shd w:val="clear" w:color="auto" w:fill="auto"/>
            <w:vAlign w:val="bottom"/>
          </w:tcPr>
          <w:p w14:paraId="0279053E" w14:textId="77777777" w:rsidR="00852AD3" w:rsidRPr="00CF31E0" w:rsidRDefault="00852AD3" w:rsidP="00C9622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77CAD9C9" w14:textId="0FD9BD38" w:rsidR="00852AD3" w:rsidRPr="00CF31E0" w:rsidRDefault="00852AD3" w:rsidP="00C9622F">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c>
          <w:tcPr>
            <w:tcW w:w="3260" w:type="dxa"/>
            <w:tcBorders>
              <w:bottom w:val="single" w:sz="8" w:space="0" w:color="auto"/>
            </w:tcBorders>
            <w:shd w:val="clear" w:color="auto" w:fill="auto"/>
            <w:vAlign w:val="bottom"/>
          </w:tcPr>
          <w:p w14:paraId="177FBB0F" w14:textId="77777777" w:rsidR="00852AD3" w:rsidRPr="00CF31E0" w:rsidRDefault="00852AD3" w:rsidP="00C9622F">
            <w:pPr>
              <w:spacing w:after="200" w:line="276" w:lineRule="auto"/>
              <w:rPr>
                <w:rFonts w:eastAsia="Calibri"/>
                <w:color w:val="000000" w:themeColor="text1"/>
                <w:sz w:val="22"/>
                <w:szCs w:val="22"/>
                <w:lang w:eastAsia="en-US"/>
              </w:rPr>
            </w:pPr>
          </w:p>
        </w:tc>
      </w:tr>
    </w:tbl>
    <w:p w14:paraId="4387E414" w14:textId="77777777" w:rsidR="00713F6B" w:rsidRPr="00CF31E0" w:rsidRDefault="00713F6B">
      <w:pPr>
        <w:rPr>
          <w:color w:val="000000" w:themeColor="text1"/>
          <w:lang w:eastAsia="en-US"/>
        </w:rPr>
      </w:pPr>
    </w:p>
    <w:p w14:paraId="409E85AF" w14:textId="77777777" w:rsidR="00377E09" w:rsidRPr="00CF31E0" w:rsidRDefault="00377E09">
      <w:pPr>
        <w:rPr>
          <w:color w:val="000000" w:themeColor="text1"/>
          <w:lang w:eastAsia="en-US"/>
        </w:rPr>
      </w:pPr>
    </w:p>
    <w:p w14:paraId="2DAFF5AE" w14:textId="4D500999" w:rsidR="00377E09" w:rsidRPr="00CF31E0" w:rsidRDefault="00377E09" w:rsidP="00C9622F">
      <w:pPr>
        <w:numPr>
          <w:ilvl w:val="0"/>
          <w:numId w:val="73"/>
        </w:numPr>
        <w:contextualSpacing/>
        <w:rPr>
          <w:rFonts w:eastAsia="MS Mincho"/>
          <w:b/>
          <w:bCs/>
          <w:color w:val="000000" w:themeColor="text1"/>
          <w:sz w:val="28"/>
          <w:szCs w:val="28"/>
          <w:lang w:eastAsia="en-US"/>
        </w:rPr>
      </w:pPr>
      <w:r w:rsidRPr="00CF31E0">
        <w:rPr>
          <w:rFonts w:eastAsia="MS Mincho"/>
          <w:b/>
          <w:bCs/>
          <w:color w:val="000000" w:themeColor="text1"/>
          <w:sz w:val="28"/>
          <w:szCs w:val="28"/>
          <w:lang w:eastAsia="en-US"/>
        </w:rPr>
        <w:t>VS3</w:t>
      </w:r>
    </w:p>
    <w:p w14:paraId="128D13FE" w14:textId="77777777" w:rsidR="00377E09" w:rsidRPr="00CF31E0" w:rsidRDefault="00377E09" w:rsidP="00603CB7">
      <w:pPr>
        <w:contextualSpacing/>
        <w:rPr>
          <w:rFonts w:eastAsia="MS Mincho"/>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5C9F4EE7" w14:textId="77777777" w:rsidTr="00852AD3">
        <w:trPr>
          <w:trHeight w:val="567"/>
        </w:trPr>
        <w:tc>
          <w:tcPr>
            <w:tcW w:w="2235" w:type="dxa"/>
            <w:tcBorders>
              <w:top w:val="single" w:sz="8" w:space="0" w:color="auto"/>
              <w:bottom w:val="single" w:sz="8" w:space="0" w:color="auto"/>
            </w:tcBorders>
            <w:shd w:val="clear" w:color="auto" w:fill="auto"/>
            <w:hideMark/>
          </w:tcPr>
          <w:p w14:paraId="3BE6341B"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Gender</w:t>
            </w:r>
          </w:p>
        </w:tc>
        <w:tc>
          <w:tcPr>
            <w:tcW w:w="1134" w:type="dxa"/>
            <w:tcBorders>
              <w:top w:val="single" w:sz="8" w:space="0" w:color="auto"/>
              <w:bottom w:val="single" w:sz="8" w:space="0" w:color="auto"/>
            </w:tcBorders>
            <w:shd w:val="clear" w:color="auto" w:fill="auto"/>
            <w:hideMark/>
          </w:tcPr>
          <w:p w14:paraId="0969D0B2"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02784FF0"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370D3512" w14:textId="77777777" w:rsidTr="00852AD3">
        <w:trPr>
          <w:trHeight w:val="567"/>
        </w:trPr>
        <w:tc>
          <w:tcPr>
            <w:tcW w:w="2235" w:type="dxa"/>
            <w:tcBorders>
              <w:top w:val="single" w:sz="8" w:space="0" w:color="auto"/>
            </w:tcBorders>
            <w:shd w:val="clear" w:color="auto" w:fill="auto"/>
            <w:vAlign w:val="bottom"/>
          </w:tcPr>
          <w:p w14:paraId="66A2CDE8" w14:textId="77777777" w:rsidR="00852AD3" w:rsidRPr="00CF31E0" w:rsidRDefault="00852AD3" w:rsidP="00C9622F">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0EC233E5" w14:textId="7152CFC5" w:rsidR="00852AD3" w:rsidRPr="00CF31E0" w:rsidRDefault="00852AD3" w:rsidP="00C9622F">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.211</w:t>
            </w:r>
            <w:r w:rsidRPr="00CF31E0">
              <w:rPr>
                <w:rFonts w:asciiTheme="majorBidi" w:hAnsiTheme="majorBidi" w:cstheme="majorBid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7C0A6D3A" w14:textId="3833F748" w:rsidR="00852AD3" w:rsidRPr="00CF31E0" w:rsidRDefault="00852AD3" w:rsidP="00C9622F">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.646</w:t>
            </w:r>
          </w:p>
        </w:tc>
      </w:tr>
      <w:tr w:rsidR="00852AD3" w:rsidRPr="00CF31E0" w14:paraId="4FBD2949" w14:textId="77777777" w:rsidTr="00852AD3">
        <w:trPr>
          <w:trHeight w:val="567"/>
        </w:trPr>
        <w:tc>
          <w:tcPr>
            <w:tcW w:w="2235" w:type="dxa"/>
            <w:shd w:val="clear" w:color="auto" w:fill="auto"/>
            <w:vAlign w:val="bottom"/>
          </w:tcPr>
          <w:p w14:paraId="10B9B5B4" w14:textId="77777777" w:rsidR="00852AD3" w:rsidRPr="00CF31E0" w:rsidRDefault="00852AD3" w:rsidP="00C9622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Continuity Correction</w:t>
            </w:r>
            <w:r w:rsidRPr="00CF31E0">
              <w:rPr>
                <w:rFonts w:eastAsia="Calibri"/>
                <w:color w:val="000000" w:themeColor="text1"/>
                <w:sz w:val="22"/>
                <w:szCs w:val="22"/>
                <w:vertAlign w:val="superscript"/>
                <w:lang w:eastAsia="en-US"/>
              </w:rPr>
              <w:t>b</w:t>
            </w:r>
          </w:p>
        </w:tc>
        <w:tc>
          <w:tcPr>
            <w:tcW w:w="1134" w:type="dxa"/>
            <w:shd w:val="clear" w:color="auto" w:fill="auto"/>
            <w:vAlign w:val="bottom"/>
          </w:tcPr>
          <w:p w14:paraId="3F7C7CC7" w14:textId="3C7C4A4D" w:rsidR="00852AD3" w:rsidRPr="00CF31E0" w:rsidRDefault="00852AD3" w:rsidP="00C9622F">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.100</w:t>
            </w:r>
          </w:p>
        </w:tc>
        <w:tc>
          <w:tcPr>
            <w:tcW w:w="3260" w:type="dxa"/>
            <w:shd w:val="clear" w:color="auto" w:fill="auto"/>
            <w:vAlign w:val="bottom"/>
          </w:tcPr>
          <w:p w14:paraId="1302066C" w14:textId="5225452D" w:rsidR="00852AD3" w:rsidRPr="00CF31E0" w:rsidRDefault="00852AD3" w:rsidP="00C9622F">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.752</w:t>
            </w:r>
          </w:p>
        </w:tc>
      </w:tr>
      <w:tr w:rsidR="00852AD3" w:rsidRPr="00CF31E0" w14:paraId="5C63CECF" w14:textId="77777777" w:rsidTr="00852AD3">
        <w:trPr>
          <w:trHeight w:val="567"/>
        </w:trPr>
        <w:tc>
          <w:tcPr>
            <w:tcW w:w="2235" w:type="dxa"/>
            <w:tcBorders>
              <w:bottom w:val="single" w:sz="8" w:space="0" w:color="auto"/>
            </w:tcBorders>
            <w:shd w:val="clear" w:color="auto" w:fill="auto"/>
            <w:vAlign w:val="bottom"/>
          </w:tcPr>
          <w:p w14:paraId="26E5BD5F" w14:textId="77777777" w:rsidR="00852AD3" w:rsidRPr="00CF31E0" w:rsidRDefault="00852AD3" w:rsidP="00C9622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569EB5E9" w14:textId="5BF899F0" w:rsidR="00852AD3" w:rsidRPr="00CF31E0" w:rsidRDefault="00852AD3" w:rsidP="00C9622F">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c>
          <w:tcPr>
            <w:tcW w:w="3260" w:type="dxa"/>
            <w:tcBorders>
              <w:bottom w:val="single" w:sz="8" w:space="0" w:color="auto"/>
            </w:tcBorders>
            <w:shd w:val="clear" w:color="auto" w:fill="auto"/>
            <w:vAlign w:val="bottom"/>
          </w:tcPr>
          <w:p w14:paraId="4B3C1E50" w14:textId="24A3C1CC" w:rsidR="00852AD3" w:rsidRPr="00CF31E0" w:rsidRDefault="00852AD3" w:rsidP="00603CB7">
            <w:pPr>
              <w:spacing w:after="200" w:line="276" w:lineRule="auto"/>
              <w:rPr>
                <w:rFonts w:eastAsia="Calibri"/>
                <w:color w:val="000000" w:themeColor="text1"/>
                <w:sz w:val="22"/>
                <w:szCs w:val="22"/>
                <w:lang w:eastAsia="en-US"/>
              </w:rPr>
            </w:pPr>
          </w:p>
        </w:tc>
      </w:tr>
    </w:tbl>
    <w:p w14:paraId="56F62494" w14:textId="77777777" w:rsidR="00377E09" w:rsidRPr="00CF31E0" w:rsidRDefault="00377E09">
      <w:pPr>
        <w:rPr>
          <w:color w:val="000000" w:themeColor="text1"/>
          <w:lang w:eastAsia="en-US"/>
        </w:rPr>
      </w:pPr>
    </w:p>
    <w:p w14:paraId="364E1B20" w14:textId="77777777" w:rsidR="00377E09" w:rsidRPr="00CF31E0" w:rsidRDefault="00377E09">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7C54E03B" w14:textId="77777777" w:rsidTr="00852AD3">
        <w:trPr>
          <w:trHeight w:val="567"/>
        </w:trPr>
        <w:tc>
          <w:tcPr>
            <w:tcW w:w="2235" w:type="dxa"/>
            <w:tcBorders>
              <w:top w:val="single" w:sz="8" w:space="0" w:color="auto"/>
              <w:bottom w:val="single" w:sz="8" w:space="0" w:color="auto"/>
            </w:tcBorders>
            <w:shd w:val="clear" w:color="auto" w:fill="auto"/>
            <w:hideMark/>
          </w:tcPr>
          <w:p w14:paraId="19714B28" w14:textId="142EADD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Age</w:t>
            </w:r>
          </w:p>
        </w:tc>
        <w:tc>
          <w:tcPr>
            <w:tcW w:w="1134" w:type="dxa"/>
            <w:tcBorders>
              <w:top w:val="single" w:sz="8" w:space="0" w:color="auto"/>
              <w:bottom w:val="single" w:sz="8" w:space="0" w:color="auto"/>
            </w:tcBorders>
            <w:shd w:val="clear" w:color="auto" w:fill="auto"/>
            <w:hideMark/>
          </w:tcPr>
          <w:p w14:paraId="2A5CF0DC"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34AD6DAA"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581C8B4A" w14:textId="77777777" w:rsidTr="00852AD3">
        <w:trPr>
          <w:trHeight w:val="567"/>
        </w:trPr>
        <w:tc>
          <w:tcPr>
            <w:tcW w:w="2235" w:type="dxa"/>
            <w:tcBorders>
              <w:top w:val="single" w:sz="8" w:space="0" w:color="auto"/>
            </w:tcBorders>
            <w:shd w:val="clear" w:color="auto" w:fill="auto"/>
            <w:vAlign w:val="bottom"/>
          </w:tcPr>
          <w:p w14:paraId="5F2B3097" w14:textId="77777777" w:rsidR="00852AD3" w:rsidRPr="00CF31E0" w:rsidRDefault="00852AD3" w:rsidP="00C9622F">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16F4061F" w14:textId="4351BAA4" w:rsidR="00852AD3" w:rsidRPr="00CF31E0" w:rsidRDefault="00852AD3" w:rsidP="00C9622F">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4.995</w:t>
            </w:r>
            <w:r w:rsidRPr="00CF31E0">
              <w:rPr>
                <w:rFonts w:asciiTheme="majorBidi" w:hAnsiTheme="majorBidi" w:cstheme="majorBid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2D16A09E" w14:textId="72B4D997" w:rsidR="00852AD3" w:rsidRPr="00CF31E0" w:rsidRDefault="00852AD3" w:rsidP="00C9622F">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.417</w:t>
            </w:r>
          </w:p>
        </w:tc>
      </w:tr>
      <w:tr w:rsidR="00852AD3" w:rsidRPr="00CF31E0" w14:paraId="262CF83F" w14:textId="77777777" w:rsidTr="00852AD3">
        <w:trPr>
          <w:trHeight w:val="567"/>
        </w:trPr>
        <w:tc>
          <w:tcPr>
            <w:tcW w:w="2235" w:type="dxa"/>
            <w:tcBorders>
              <w:bottom w:val="single" w:sz="8" w:space="0" w:color="auto"/>
            </w:tcBorders>
            <w:shd w:val="clear" w:color="auto" w:fill="auto"/>
            <w:vAlign w:val="bottom"/>
          </w:tcPr>
          <w:p w14:paraId="5A187112" w14:textId="77777777" w:rsidR="00852AD3" w:rsidRPr="00CF31E0" w:rsidRDefault="00852AD3" w:rsidP="00C9622F">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76B69B8C" w14:textId="3B36D957" w:rsidR="00852AD3" w:rsidRPr="00CF31E0" w:rsidRDefault="00852AD3" w:rsidP="00C9622F">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c>
          <w:tcPr>
            <w:tcW w:w="3260" w:type="dxa"/>
            <w:tcBorders>
              <w:bottom w:val="single" w:sz="8" w:space="0" w:color="auto"/>
            </w:tcBorders>
            <w:shd w:val="clear" w:color="auto" w:fill="auto"/>
            <w:vAlign w:val="bottom"/>
          </w:tcPr>
          <w:p w14:paraId="2CC895F1" w14:textId="77777777" w:rsidR="00852AD3" w:rsidRPr="00CF31E0" w:rsidRDefault="00852AD3" w:rsidP="00C9622F">
            <w:pPr>
              <w:spacing w:after="200" w:line="276" w:lineRule="auto"/>
              <w:rPr>
                <w:rFonts w:eastAsia="Calibri"/>
                <w:color w:val="000000" w:themeColor="text1"/>
                <w:sz w:val="22"/>
                <w:szCs w:val="22"/>
                <w:lang w:eastAsia="en-US"/>
              </w:rPr>
            </w:pPr>
          </w:p>
        </w:tc>
      </w:tr>
    </w:tbl>
    <w:p w14:paraId="6D73700A" w14:textId="77777777" w:rsidR="00377E09" w:rsidRDefault="00377E09">
      <w:pPr>
        <w:rPr>
          <w:color w:val="000000" w:themeColor="text1"/>
          <w:lang w:eastAsia="en-US"/>
        </w:rPr>
      </w:pPr>
    </w:p>
    <w:p w14:paraId="1C6169DF" w14:textId="77777777" w:rsidR="00531165" w:rsidRPr="00CF31E0" w:rsidRDefault="00531165">
      <w:pPr>
        <w:rPr>
          <w:color w:val="000000" w:themeColor="text1"/>
          <w:lang w:eastAsia="en-US"/>
        </w:rPr>
      </w:pPr>
    </w:p>
    <w:p w14:paraId="0E2FA352" w14:textId="77777777" w:rsidR="00C9622F" w:rsidRPr="00CF31E0" w:rsidRDefault="00C9622F">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2E77E468" w14:textId="77777777" w:rsidTr="00852AD3">
        <w:trPr>
          <w:trHeight w:val="567"/>
        </w:trPr>
        <w:tc>
          <w:tcPr>
            <w:tcW w:w="2235" w:type="dxa"/>
            <w:tcBorders>
              <w:top w:val="single" w:sz="8" w:space="0" w:color="auto"/>
              <w:bottom w:val="single" w:sz="8" w:space="0" w:color="auto"/>
            </w:tcBorders>
            <w:shd w:val="clear" w:color="auto" w:fill="auto"/>
            <w:hideMark/>
          </w:tcPr>
          <w:p w14:paraId="70EFBB76" w14:textId="491B3550"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lastRenderedPageBreak/>
              <w:t>Place of birth</w:t>
            </w:r>
          </w:p>
        </w:tc>
        <w:tc>
          <w:tcPr>
            <w:tcW w:w="1134" w:type="dxa"/>
            <w:tcBorders>
              <w:top w:val="single" w:sz="8" w:space="0" w:color="auto"/>
              <w:bottom w:val="single" w:sz="8" w:space="0" w:color="auto"/>
            </w:tcBorders>
            <w:shd w:val="clear" w:color="auto" w:fill="auto"/>
            <w:hideMark/>
          </w:tcPr>
          <w:p w14:paraId="37F7A4E4"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1368970F"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596C0D59" w14:textId="77777777" w:rsidTr="00852AD3">
        <w:trPr>
          <w:trHeight w:val="567"/>
        </w:trPr>
        <w:tc>
          <w:tcPr>
            <w:tcW w:w="2235" w:type="dxa"/>
            <w:tcBorders>
              <w:top w:val="single" w:sz="8" w:space="0" w:color="auto"/>
            </w:tcBorders>
            <w:shd w:val="clear" w:color="auto" w:fill="auto"/>
            <w:vAlign w:val="bottom"/>
          </w:tcPr>
          <w:p w14:paraId="488227F9" w14:textId="77777777" w:rsidR="00852AD3" w:rsidRPr="00CF31E0" w:rsidRDefault="00852AD3" w:rsidP="00BA082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44444C28" w14:textId="56F8816B" w:rsidR="00852AD3" w:rsidRPr="00CF31E0" w:rsidRDefault="00852AD3" w:rsidP="00C9622F">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.015</w:t>
            </w:r>
            <w:r w:rsidRPr="00CF31E0">
              <w:rPr>
                <w:rFonts w:asciiTheme="majorBidi" w:hAnsiTheme="majorBidi" w:cstheme="majorBid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749A2AE2" w14:textId="0C898B69" w:rsidR="00852AD3" w:rsidRPr="00CF31E0" w:rsidRDefault="00852AD3" w:rsidP="00C9622F">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.903</w:t>
            </w:r>
          </w:p>
        </w:tc>
      </w:tr>
      <w:tr w:rsidR="00852AD3" w:rsidRPr="00CF31E0" w14:paraId="442305E3" w14:textId="77777777" w:rsidTr="00852AD3">
        <w:trPr>
          <w:trHeight w:val="567"/>
        </w:trPr>
        <w:tc>
          <w:tcPr>
            <w:tcW w:w="2235" w:type="dxa"/>
            <w:shd w:val="clear" w:color="auto" w:fill="auto"/>
            <w:vAlign w:val="bottom"/>
          </w:tcPr>
          <w:p w14:paraId="2148E2BB" w14:textId="77777777" w:rsidR="00852AD3" w:rsidRPr="00CF31E0" w:rsidRDefault="00852AD3" w:rsidP="00BA082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Continuity Correction</w:t>
            </w:r>
            <w:r w:rsidRPr="00CF31E0">
              <w:rPr>
                <w:rFonts w:eastAsia="Calibri"/>
                <w:color w:val="000000" w:themeColor="text1"/>
                <w:sz w:val="22"/>
                <w:szCs w:val="22"/>
                <w:vertAlign w:val="superscript"/>
                <w:lang w:eastAsia="en-US"/>
              </w:rPr>
              <w:t>b</w:t>
            </w:r>
          </w:p>
        </w:tc>
        <w:tc>
          <w:tcPr>
            <w:tcW w:w="1134" w:type="dxa"/>
            <w:shd w:val="clear" w:color="auto" w:fill="auto"/>
            <w:vAlign w:val="bottom"/>
          </w:tcPr>
          <w:p w14:paraId="042ED9C8" w14:textId="48E2F527" w:rsidR="00852AD3" w:rsidRPr="00CF31E0" w:rsidRDefault="00852AD3" w:rsidP="00C9622F">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.000</w:t>
            </w:r>
          </w:p>
        </w:tc>
        <w:tc>
          <w:tcPr>
            <w:tcW w:w="3260" w:type="dxa"/>
            <w:shd w:val="clear" w:color="auto" w:fill="auto"/>
            <w:vAlign w:val="bottom"/>
          </w:tcPr>
          <w:p w14:paraId="16653806" w14:textId="7D55FE82" w:rsidR="00852AD3" w:rsidRPr="00CF31E0" w:rsidRDefault="00852AD3" w:rsidP="00C9622F">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1.000</w:t>
            </w:r>
          </w:p>
        </w:tc>
      </w:tr>
      <w:tr w:rsidR="00852AD3" w:rsidRPr="00CF31E0" w14:paraId="5F379E59" w14:textId="77777777" w:rsidTr="00852AD3">
        <w:trPr>
          <w:trHeight w:val="567"/>
        </w:trPr>
        <w:tc>
          <w:tcPr>
            <w:tcW w:w="2235" w:type="dxa"/>
            <w:tcBorders>
              <w:bottom w:val="single" w:sz="8" w:space="0" w:color="auto"/>
            </w:tcBorders>
            <w:shd w:val="clear" w:color="auto" w:fill="auto"/>
            <w:vAlign w:val="bottom"/>
          </w:tcPr>
          <w:p w14:paraId="0EA5A8CA" w14:textId="77777777" w:rsidR="00852AD3" w:rsidRPr="00CF31E0" w:rsidRDefault="00852AD3" w:rsidP="00BA082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04490043" w14:textId="2D1FC2C4" w:rsidR="00852AD3" w:rsidRPr="00CF31E0" w:rsidRDefault="00852AD3" w:rsidP="00C9622F">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c>
          <w:tcPr>
            <w:tcW w:w="3260" w:type="dxa"/>
            <w:tcBorders>
              <w:bottom w:val="single" w:sz="8" w:space="0" w:color="auto"/>
            </w:tcBorders>
            <w:shd w:val="clear" w:color="auto" w:fill="auto"/>
            <w:vAlign w:val="bottom"/>
          </w:tcPr>
          <w:p w14:paraId="16B9567C" w14:textId="77777777" w:rsidR="00852AD3" w:rsidRPr="00CF31E0" w:rsidRDefault="00852AD3" w:rsidP="00C9622F">
            <w:pPr>
              <w:spacing w:after="200" w:line="276" w:lineRule="auto"/>
              <w:rPr>
                <w:rFonts w:eastAsia="Calibri"/>
                <w:color w:val="000000" w:themeColor="text1"/>
                <w:sz w:val="22"/>
                <w:szCs w:val="22"/>
                <w:lang w:eastAsia="en-US"/>
              </w:rPr>
            </w:pPr>
          </w:p>
        </w:tc>
      </w:tr>
    </w:tbl>
    <w:p w14:paraId="354D48D4" w14:textId="77777777" w:rsidR="00C9622F" w:rsidRPr="00CF31E0" w:rsidRDefault="00C9622F">
      <w:pPr>
        <w:rPr>
          <w:color w:val="000000" w:themeColor="text1"/>
          <w:lang w:eastAsia="en-US"/>
        </w:rPr>
      </w:pPr>
    </w:p>
    <w:p w14:paraId="0FC719E4" w14:textId="77777777" w:rsidR="00C9622F" w:rsidRPr="00CF31E0" w:rsidRDefault="00C9622F">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61BB18E6" w14:textId="77777777" w:rsidTr="00852AD3">
        <w:trPr>
          <w:trHeight w:val="567"/>
        </w:trPr>
        <w:tc>
          <w:tcPr>
            <w:tcW w:w="2235" w:type="dxa"/>
            <w:tcBorders>
              <w:top w:val="single" w:sz="8" w:space="0" w:color="auto"/>
              <w:bottom w:val="single" w:sz="8" w:space="0" w:color="auto"/>
            </w:tcBorders>
            <w:shd w:val="clear" w:color="auto" w:fill="auto"/>
            <w:hideMark/>
          </w:tcPr>
          <w:p w14:paraId="0E4F2C24" w14:textId="2E22E739" w:rsidR="00852AD3" w:rsidRPr="00CF31E0" w:rsidRDefault="00852AD3" w:rsidP="005F1CFD">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Places lived</w:t>
            </w:r>
          </w:p>
        </w:tc>
        <w:tc>
          <w:tcPr>
            <w:tcW w:w="1134" w:type="dxa"/>
            <w:tcBorders>
              <w:top w:val="single" w:sz="8" w:space="0" w:color="auto"/>
              <w:bottom w:val="single" w:sz="8" w:space="0" w:color="auto"/>
            </w:tcBorders>
            <w:shd w:val="clear" w:color="auto" w:fill="auto"/>
            <w:hideMark/>
          </w:tcPr>
          <w:p w14:paraId="0E5D22CB"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494B1D97"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6C3D0F50" w14:textId="77777777" w:rsidTr="00852AD3">
        <w:trPr>
          <w:trHeight w:val="567"/>
        </w:trPr>
        <w:tc>
          <w:tcPr>
            <w:tcW w:w="2235" w:type="dxa"/>
            <w:tcBorders>
              <w:top w:val="single" w:sz="8" w:space="0" w:color="auto"/>
            </w:tcBorders>
            <w:shd w:val="clear" w:color="auto" w:fill="auto"/>
            <w:vAlign w:val="bottom"/>
          </w:tcPr>
          <w:p w14:paraId="61B710BC" w14:textId="77777777" w:rsidR="00852AD3" w:rsidRPr="00CF31E0" w:rsidRDefault="00852AD3" w:rsidP="00BE5ED8">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4709ECB0" w14:textId="3A01C347" w:rsidR="00852AD3" w:rsidRPr="00CF31E0" w:rsidRDefault="00852AD3" w:rsidP="00BE5ED8">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1.200</w:t>
            </w:r>
            <w:r w:rsidRPr="00CF31E0">
              <w:rPr>
                <w:rFonts w:asciiTheme="majorBidi" w:hAnsiTheme="majorBidi" w:cstheme="majorBid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7B8D0671" w14:textId="096066DC" w:rsidR="00852AD3" w:rsidRPr="00CF31E0" w:rsidRDefault="00852AD3" w:rsidP="00BE5ED8">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.273</w:t>
            </w:r>
          </w:p>
        </w:tc>
      </w:tr>
      <w:tr w:rsidR="00852AD3" w:rsidRPr="00CF31E0" w14:paraId="3480BB0C" w14:textId="77777777" w:rsidTr="00852AD3">
        <w:trPr>
          <w:trHeight w:val="567"/>
        </w:trPr>
        <w:tc>
          <w:tcPr>
            <w:tcW w:w="2235" w:type="dxa"/>
            <w:shd w:val="clear" w:color="auto" w:fill="auto"/>
            <w:vAlign w:val="bottom"/>
          </w:tcPr>
          <w:p w14:paraId="7D817069" w14:textId="77777777" w:rsidR="00852AD3" w:rsidRPr="00CF31E0" w:rsidRDefault="00852AD3" w:rsidP="00BE5ED8">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Continuity Correction</w:t>
            </w:r>
            <w:r w:rsidRPr="00CF31E0">
              <w:rPr>
                <w:rFonts w:eastAsia="Calibri"/>
                <w:color w:val="000000" w:themeColor="text1"/>
                <w:sz w:val="22"/>
                <w:szCs w:val="22"/>
                <w:vertAlign w:val="superscript"/>
                <w:lang w:eastAsia="en-US"/>
              </w:rPr>
              <w:t>b</w:t>
            </w:r>
          </w:p>
        </w:tc>
        <w:tc>
          <w:tcPr>
            <w:tcW w:w="1134" w:type="dxa"/>
            <w:shd w:val="clear" w:color="auto" w:fill="auto"/>
            <w:vAlign w:val="bottom"/>
          </w:tcPr>
          <w:p w14:paraId="69C27230" w14:textId="64A8C900" w:rsidR="00852AD3" w:rsidRPr="00CF31E0" w:rsidRDefault="00852AD3" w:rsidP="00BE5ED8">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.345</w:t>
            </w:r>
          </w:p>
        </w:tc>
        <w:tc>
          <w:tcPr>
            <w:tcW w:w="3260" w:type="dxa"/>
            <w:shd w:val="clear" w:color="auto" w:fill="auto"/>
            <w:vAlign w:val="bottom"/>
          </w:tcPr>
          <w:p w14:paraId="16577719" w14:textId="65E617A4" w:rsidR="00852AD3" w:rsidRPr="00CF31E0" w:rsidRDefault="00852AD3" w:rsidP="00BE5ED8">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.557</w:t>
            </w:r>
          </w:p>
        </w:tc>
      </w:tr>
      <w:tr w:rsidR="00852AD3" w:rsidRPr="00CF31E0" w14:paraId="260AB1A1" w14:textId="77777777" w:rsidTr="00852AD3">
        <w:trPr>
          <w:trHeight w:val="567"/>
        </w:trPr>
        <w:tc>
          <w:tcPr>
            <w:tcW w:w="2235" w:type="dxa"/>
            <w:tcBorders>
              <w:bottom w:val="single" w:sz="8" w:space="0" w:color="auto"/>
            </w:tcBorders>
            <w:shd w:val="clear" w:color="auto" w:fill="auto"/>
            <w:vAlign w:val="bottom"/>
          </w:tcPr>
          <w:p w14:paraId="49948158" w14:textId="77777777" w:rsidR="00852AD3" w:rsidRPr="00CF31E0" w:rsidRDefault="00852AD3" w:rsidP="00BE5ED8">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6132D978" w14:textId="31957EE6" w:rsidR="00852AD3" w:rsidRPr="00CF31E0" w:rsidRDefault="00852AD3" w:rsidP="00BE5ED8">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c>
          <w:tcPr>
            <w:tcW w:w="3260" w:type="dxa"/>
            <w:tcBorders>
              <w:bottom w:val="single" w:sz="8" w:space="0" w:color="auto"/>
            </w:tcBorders>
            <w:shd w:val="clear" w:color="auto" w:fill="auto"/>
            <w:vAlign w:val="bottom"/>
          </w:tcPr>
          <w:p w14:paraId="4DADF7DD" w14:textId="77777777" w:rsidR="00852AD3" w:rsidRPr="00CF31E0" w:rsidRDefault="00852AD3" w:rsidP="00BE5ED8">
            <w:pPr>
              <w:spacing w:after="200" w:line="276" w:lineRule="auto"/>
              <w:rPr>
                <w:rFonts w:eastAsia="Calibri"/>
                <w:color w:val="000000" w:themeColor="text1"/>
                <w:sz w:val="22"/>
                <w:szCs w:val="22"/>
                <w:lang w:eastAsia="en-US"/>
              </w:rPr>
            </w:pPr>
          </w:p>
        </w:tc>
      </w:tr>
    </w:tbl>
    <w:p w14:paraId="7ED85254" w14:textId="77777777" w:rsidR="00C9622F" w:rsidRPr="00CF31E0" w:rsidRDefault="00C9622F">
      <w:pPr>
        <w:rPr>
          <w:color w:val="000000" w:themeColor="text1"/>
          <w:lang w:eastAsia="en-US"/>
        </w:rPr>
      </w:pPr>
    </w:p>
    <w:p w14:paraId="55A516E8" w14:textId="77777777" w:rsidR="00C9622F" w:rsidRPr="00CF31E0" w:rsidRDefault="00C9622F">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76F62CD7" w14:textId="77777777" w:rsidTr="00852AD3">
        <w:trPr>
          <w:trHeight w:val="567"/>
        </w:trPr>
        <w:tc>
          <w:tcPr>
            <w:tcW w:w="2235" w:type="dxa"/>
            <w:tcBorders>
              <w:top w:val="single" w:sz="8" w:space="0" w:color="auto"/>
              <w:bottom w:val="single" w:sz="8" w:space="0" w:color="auto"/>
            </w:tcBorders>
            <w:shd w:val="clear" w:color="auto" w:fill="auto"/>
            <w:hideMark/>
          </w:tcPr>
          <w:p w14:paraId="66531F41" w14:textId="3E41164F"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Marital status</w:t>
            </w:r>
          </w:p>
        </w:tc>
        <w:tc>
          <w:tcPr>
            <w:tcW w:w="1134" w:type="dxa"/>
            <w:tcBorders>
              <w:top w:val="single" w:sz="8" w:space="0" w:color="auto"/>
              <w:bottom w:val="single" w:sz="8" w:space="0" w:color="auto"/>
            </w:tcBorders>
            <w:shd w:val="clear" w:color="auto" w:fill="auto"/>
            <w:hideMark/>
          </w:tcPr>
          <w:p w14:paraId="1DE2DF40"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1A602EF5"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3AE1CAA4" w14:textId="77777777" w:rsidTr="00852AD3">
        <w:trPr>
          <w:trHeight w:val="567"/>
        </w:trPr>
        <w:tc>
          <w:tcPr>
            <w:tcW w:w="2235" w:type="dxa"/>
            <w:tcBorders>
              <w:top w:val="single" w:sz="8" w:space="0" w:color="auto"/>
            </w:tcBorders>
            <w:shd w:val="clear" w:color="auto" w:fill="auto"/>
            <w:vAlign w:val="bottom"/>
          </w:tcPr>
          <w:p w14:paraId="5D232B04" w14:textId="77777777" w:rsidR="00852AD3" w:rsidRPr="00CF31E0" w:rsidRDefault="00852AD3" w:rsidP="00BA082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29361C7C" w14:textId="762F8F95" w:rsidR="00852AD3" w:rsidRPr="00CF31E0" w:rsidRDefault="00852AD3" w:rsidP="00BE5ED8">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1.436</w:t>
            </w:r>
            <w:r w:rsidRPr="00CF31E0">
              <w:rPr>
                <w:rFonts w:asciiTheme="majorBidi" w:hAnsiTheme="majorBidi" w:cstheme="majorBid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4F2789E4" w14:textId="6B76BB09" w:rsidR="00852AD3" w:rsidRPr="00CF31E0" w:rsidRDefault="00852AD3" w:rsidP="00BE5ED8">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.697</w:t>
            </w:r>
          </w:p>
        </w:tc>
      </w:tr>
      <w:tr w:rsidR="00852AD3" w:rsidRPr="00CF31E0" w14:paraId="5E5B1A64" w14:textId="77777777" w:rsidTr="00852AD3">
        <w:trPr>
          <w:trHeight w:val="567"/>
        </w:trPr>
        <w:tc>
          <w:tcPr>
            <w:tcW w:w="2235" w:type="dxa"/>
            <w:tcBorders>
              <w:bottom w:val="single" w:sz="8" w:space="0" w:color="auto"/>
            </w:tcBorders>
            <w:shd w:val="clear" w:color="auto" w:fill="auto"/>
            <w:vAlign w:val="bottom"/>
          </w:tcPr>
          <w:p w14:paraId="0327D51E" w14:textId="77777777" w:rsidR="00852AD3" w:rsidRPr="00CF31E0" w:rsidRDefault="00852AD3" w:rsidP="00BA082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2A2783B7" w14:textId="18B176BC" w:rsidR="00852AD3" w:rsidRPr="00CF31E0" w:rsidRDefault="00852AD3" w:rsidP="00BE5ED8">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c>
          <w:tcPr>
            <w:tcW w:w="3260" w:type="dxa"/>
            <w:tcBorders>
              <w:bottom w:val="single" w:sz="8" w:space="0" w:color="auto"/>
            </w:tcBorders>
            <w:shd w:val="clear" w:color="auto" w:fill="auto"/>
            <w:vAlign w:val="bottom"/>
          </w:tcPr>
          <w:p w14:paraId="73D8C71A" w14:textId="77777777" w:rsidR="00852AD3" w:rsidRPr="00CF31E0" w:rsidRDefault="00852AD3" w:rsidP="00BE5ED8">
            <w:pPr>
              <w:spacing w:after="200" w:line="276" w:lineRule="auto"/>
              <w:rPr>
                <w:rFonts w:eastAsia="Calibri"/>
                <w:color w:val="000000" w:themeColor="text1"/>
                <w:sz w:val="22"/>
                <w:szCs w:val="22"/>
                <w:lang w:eastAsia="en-US"/>
              </w:rPr>
            </w:pPr>
          </w:p>
        </w:tc>
      </w:tr>
    </w:tbl>
    <w:p w14:paraId="229573DC" w14:textId="77777777" w:rsidR="00C9622F" w:rsidRPr="00CF31E0" w:rsidRDefault="00C9622F">
      <w:pPr>
        <w:rPr>
          <w:color w:val="000000" w:themeColor="text1"/>
          <w:lang w:eastAsia="en-US"/>
        </w:rPr>
      </w:pPr>
    </w:p>
    <w:p w14:paraId="79F35515" w14:textId="77777777" w:rsidR="00C9622F" w:rsidRPr="00CF31E0" w:rsidRDefault="00C9622F">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79E6A26E" w14:textId="77777777" w:rsidTr="00852AD3">
        <w:trPr>
          <w:trHeight w:val="567"/>
        </w:trPr>
        <w:tc>
          <w:tcPr>
            <w:tcW w:w="2235" w:type="dxa"/>
            <w:tcBorders>
              <w:top w:val="single" w:sz="8" w:space="0" w:color="auto"/>
              <w:bottom w:val="single" w:sz="8" w:space="0" w:color="auto"/>
            </w:tcBorders>
            <w:shd w:val="clear" w:color="auto" w:fill="auto"/>
            <w:hideMark/>
          </w:tcPr>
          <w:p w14:paraId="764B713D" w14:textId="153D4AED"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Education</w:t>
            </w:r>
          </w:p>
        </w:tc>
        <w:tc>
          <w:tcPr>
            <w:tcW w:w="1134" w:type="dxa"/>
            <w:tcBorders>
              <w:top w:val="single" w:sz="8" w:space="0" w:color="auto"/>
              <w:bottom w:val="single" w:sz="8" w:space="0" w:color="auto"/>
            </w:tcBorders>
            <w:shd w:val="clear" w:color="auto" w:fill="auto"/>
            <w:hideMark/>
          </w:tcPr>
          <w:p w14:paraId="474416C3"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5C8F20B5"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6D169DAE" w14:textId="77777777" w:rsidTr="00852AD3">
        <w:trPr>
          <w:trHeight w:val="567"/>
        </w:trPr>
        <w:tc>
          <w:tcPr>
            <w:tcW w:w="2235" w:type="dxa"/>
            <w:tcBorders>
              <w:top w:val="single" w:sz="8" w:space="0" w:color="auto"/>
            </w:tcBorders>
            <w:shd w:val="clear" w:color="auto" w:fill="auto"/>
            <w:vAlign w:val="bottom"/>
          </w:tcPr>
          <w:p w14:paraId="1FF25EA2" w14:textId="77777777" w:rsidR="00852AD3" w:rsidRPr="00CF31E0" w:rsidRDefault="00852AD3" w:rsidP="00BE5ED8">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30252C51" w14:textId="2601254A" w:rsidR="00852AD3" w:rsidRPr="00CF31E0" w:rsidRDefault="00852AD3" w:rsidP="00BE5ED8">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7.276</w:t>
            </w:r>
            <w:r w:rsidRPr="00CF31E0">
              <w:rPr>
                <w:rFonts w:asciiTheme="majorBidi" w:hAnsiTheme="majorBidi" w:cstheme="majorBid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3A872155" w14:textId="03B88075" w:rsidR="00852AD3" w:rsidRPr="00CF31E0" w:rsidRDefault="00852AD3" w:rsidP="00603CB7">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.201</w:t>
            </w:r>
          </w:p>
        </w:tc>
      </w:tr>
      <w:tr w:rsidR="00852AD3" w:rsidRPr="00CF31E0" w14:paraId="2F3AE91C" w14:textId="77777777" w:rsidTr="00852AD3">
        <w:trPr>
          <w:trHeight w:val="567"/>
        </w:trPr>
        <w:tc>
          <w:tcPr>
            <w:tcW w:w="2235" w:type="dxa"/>
            <w:tcBorders>
              <w:bottom w:val="single" w:sz="8" w:space="0" w:color="auto"/>
            </w:tcBorders>
            <w:shd w:val="clear" w:color="auto" w:fill="auto"/>
            <w:vAlign w:val="bottom"/>
          </w:tcPr>
          <w:p w14:paraId="17AC1A51" w14:textId="77777777" w:rsidR="00852AD3" w:rsidRPr="00CF31E0" w:rsidRDefault="00852AD3" w:rsidP="00BE5ED8">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407A63E0" w14:textId="140D20B4" w:rsidR="00852AD3" w:rsidRPr="00CF31E0" w:rsidRDefault="00852AD3" w:rsidP="00BE5ED8">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c>
          <w:tcPr>
            <w:tcW w:w="3260" w:type="dxa"/>
            <w:tcBorders>
              <w:bottom w:val="single" w:sz="8" w:space="0" w:color="auto"/>
            </w:tcBorders>
            <w:shd w:val="clear" w:color="auto" w:fill="auto"/>
            <w:vAlign w:val="bottom"/>
          </w:tcPr>
          <w:p w14:paraId="38083DE2" w14:textId="77777777" w:rsidR="00852AD3" w:rsidRPr="00CF31E0" w:rsidRDefault="00852AD3" w:rsidP="00BE5ED8">
            <w:pPr>
              <w:spacing w:after="200" w:line="276" w:lineRule="auto"/>
              <w:rPr>
                <w:rFonts w:eastAsia="Calibri"/>
                <w:color w:val="000000" w:themeColor="text1"/>
                <w:sz w:val="22"/>
                <w:szCs w:val="22"/>
                <w:lang w:eastAsia="en-US"/>
              </w:rPr>
            </w:pPr>
          </w:p>
        </w:tc>
      </w:tr>
    </w:tbl>
    <w:p w14:paraId="6B92F780" w14:textId="77777777" w:rsidR="00C9622F" w:rsidRPr="00CF31E0" w:rsidRDefault="00C9622F">
      <w:pPr>
        <w:rPr>
          <w:color w:val="000000" w:themeColor="text1"/>
          <w:lang w:eastAsia="en-US"/>
        </w:rPr>
      </w:pPr>
    </w:p>
    <w:p w14:paraId="59F59F70" w14:textId="77777777" w:rsidR="007E4A40" w:rsidRPr="00CF31E0" w:rsidRDefault="007E4A40">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51B6E2F9" w14:textId="77777777" w:rsidTr="00852AD3">
        <w:trPr>
          <w:trHeight w:val="567"/>
        </w:trPr>
        <w:tc>
          <w:tcPr>
            <w:tcW w:w="2235" w:type="dxa"/>
            <w:tcBorders>
              <w:top w:val="single" w:sz="8" w:space="0" w:color="auto"/>
              <w:bottom w:val="single" w:sz="8" w:space="0" w:color="auto"/>
            </w:tcBorders>
            <w:shd w:val="clear" w:color="auto" w:fill="auto"/>
            <w:hideMark/>
          </w:tcPr>
          <w:p w14:paraId="45345BFC" w14:textId="29A95DF6"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Social group</w:t>
            </w:r>
          </w:p>
        </w:tc>
        <w:tc>
          <w:tcPr>
            <w:tcW w:w="1134" w:type="dxa"/>
            <w:tcBorders>
              <w:top w:val="single" w:sz="8" w:space="0" w:color="auto"/>
              <w:bottom w:val="single" w:sz="8" w:space="0" w:color="auto"/>
            </w:tcBorders>
            <w:shd w:val="clear" w:color="auto" w:fill="auto"/>
            <w:hideMark/>
          </w:tcPr>
          <w:p w14:paraId="04B9B2D5"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38669034"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2AE3E94D" w14:textId="77777777" w:rsidTr="00852AD3">
        <w:trPr>
          <w:trHeight w:val="567"/>
        </w:trPr>
        <w:tc>
          <w:tcPr>
            <w:tcW w:w="2235" w:type="dxa"/>
            <w:tcBorders>
              <w:top w:val="single" w:sz="8" w:space="0" w:color="auto"/>
            </w:tcBorders>
            <w:shd w:val="clear" w:color="auto" w:fill="auto"/>
            <w:vAlign w:val="bottom"/>
          </w:tcPr>
          <w:p w14:paraId="702E3A41" w14:textId="77777777" w:rsidR="00852AD3" w:rsidRPr="00CF31E0" w:rsidRDefault="00852AD3" w:rsidP="00BA082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387DBA9D" w14:textId="35DD49E3" w:rsidR="00852AD3" w:rsidRPr="00CF31E0" w:rsidRDefault="00852AD3" w:rsidP="00BA0824">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3.401</w:t>
            </w:r>
            <w:r w:rsidRPr="00CF31E0">
              <w:rPr>
                <w:rFonts w:asciiTheme="majorBidi" w:hAnsiTheme="majorBidi" w:cstheme="majorBid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4D21F5EA" w14:textId="2BECD7FF" w:rsidR="00852AD3" w:rsidRPr="00CF31E0" w:rsidRDefault="00852AD3" w:rsidP="00BA0824">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.065</w:t>
            </w:r>
          </w:p>
        </w:tc>
      </w:tr>
      <w:tr w:rsidR="00852AD3" w:rsidRPr="00CF31E0" w14:paraId="3C79C615" w14:textId="77777777" w:rsidTr="00852AD3">
        <w:trPr>
          <w:trHeight w:val="567"/>
        </w:trPr>
        <w:tc>
          <w:tcPr>
            <w:tcW w:w="2235" w:type="dxa"/>
            <w:shd w:val="clear" w:color="auto" w:fill="auto"/>
            <w:vAlign w:val="bottom"/>
          </w:tcPr>
          <w:p w14:paraId="0479F9E8" w14:textId="77777777" w:rsidR="00852AD3" w:rsidRPr="00CF31E0" w:rsidRDefault="00852AD3" w:rsidP="00BA082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Continuity Correction</w:t>
            </w:r>
            <w:r w:rsidRPr="00CF31E0">
              <w:rPr>
                <w:rFonts w:eastAsia="Calibri"/>
                <w:color w:val="000000" w:themeColor="text1"/>
                <w:sz w:val="22"/>
                <w:szCs w:val="22"/>
                <w:vertAlign w:val="superscript"/>
                <w:lang w:eastAsia="en-US"/>
              </w:rPr>
              <w:t>b</w:t>
            </w:r>
          </w:p>
        </w:tc>
        <w:tc>
          <w:tcPr>
            <w:tcW w:w="1134" w:type="dxa"/>
            <w:shd w:val="clear" w:color="auto" w:fill="auto"/>
            <w:vAlign w:val="bottom"/>
          </w:tcPr>
          <w:p w14:paraId="5674DEF8" w14:textId="4EB95BA7" w:rsidR="00852AD3" w:rsidRPr="00CF31E0" w:rsidRDefault="00852AD3" w:rsidP="00BA0824">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2.901</w:t>
            </w:r>
          </w:p>
        </w:tc>
        <w:tc>
          <w:tcPr>
            <w:tcW w:w="3260" w:type="dxa"/>
            <w:shd w:val="clear" w:color="auto" w:fill="auto"/>
            <w:vAlign w:val="bottom"/>
          </w:tcPr>
          <w:p w14:paraId="368F8F50" w14:textId="596AC206" w:rsidR="00852AD3" w:rsidRPr="00CF31E0" w:rsidRDefault="00852AD3" w:rsidP="00BA0824">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.089</w:t>
            </w:r>
          </w:p>
        </w:tc>
      </w:tr>
      <w:tr w:rsidR="00852AD3" w:rsidRPr="00CF31E0" w14:paraId="40042FA2" w14:textId="77777777" w:rsidTr="00852AD3">
        <w:trPr>
          <w:trHeight w:val="567"/>
        </w:trPr>
        <w:tc>
          <w:tcPr>
            <w:tcW w:w="2235" w:type="dxa"/>
            <w:tcBorders>
              <w:bottom w:val="single" w:sz="8" w:space="0" w:color="auto"/>
            </w:tcBorders>
            <w:shd w:val="clear" w:color="auto" w:fill="auto"/>
            <w:vAlign w:val="bottom"/>
          </w:tcPr>
          <w:p w14:paraId="26B0DB30" w14:textId="77777777" w:rsidR="00852AD3" w:rsidRPr="00CF31E0" w:rsidRDefault="00852AD3" w:rsidP="00BA082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69D585D2" w14:textId="3E285D06" w:rsidR="00852AD3" w:rsidRPr="00CF31E0" w:rsidRDefault="00852AD3" w:rsidP="00BA0824">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c>
          <w:tcPr>
            <w:tcW w:w="3260" w:type="dxa"/>
            <w:tcBorders>
              <w:bottom w:val="single" w:sz="8" w:space="0" w:color="auto"/>
            </w:tcBorders>
            <w:shd w:val="clear" w:color="auto" w:fill="auto"/>
            <w:vAlign w:val="bottom"/>
          </w:tcPr>
          <w:p w14:paraId="06532D79" w14:textId="77777777" w:rsidR="00852AD3" w:rsidRPr="00CF31E0" w:rsidRDefault="00852AD3" w:rsidP="00BA0824">
            <w:pPr>
              <w:spacing w:after="200" w:line="276" w:lineRule="auto"/>
              <w:rPr>
                <w:rFonts w:eastAsia="Calibri"/>
                <w:color w:val="000000" w:themeColor="text1"/>
                <w:sz w:val="22"/>
                <w:szCs w:val="22"/>
                <w:lang w:eastAsia="en-US"/>
              </w:rPr>
            </w:pPr>
          </w:p>
        </w:tc>
      </w:tr>
    </w:tbl>
    <w:p w14:paraId="0DFEE637" w14:textId="77777777" w:rsidR="00BE5ED8" w:rsidRPr="00CF31E0" w:rsidRDefault="00BE5ED8">
      <w:pPr>
        <w:rPr>
          <w:color w:val="000000" w:themeColor="text1"/>
          <w:lang w:eastAsia="en-US"/>
        </w:rPr>
      </w:pPr>
    </w:p>
    <w:p w14:paraId="11C5A533" w14:textId="77777777" w:rsidR="00BE5ED8" w:rsidRPr="00CF31E0" w:rsidRDefault="00BE5ED8">
      <w:pPr>
        <w:rPr>
          <w:color w:val="000000" w:themeColor="text1"/>
          <w:lang w:eastAsia="en-US"/>
        </w:rPr>
      </w:pPr>
    </w:p>
    <w:tbl>
      <w:tblPr>
        <w:tblW w:w="6629" w:type="dxa"/>
        <w:tblBorders>
          <w:top w:val="single" w:sz="8" w:space="0" w:color="auto"/>
          <w:bottom w:val="single" w:sz="4" w:space="0" w:color="auto"/>
          <w:insideH w:val="single" w:sz="8" w:space="0" w:color="auto"/>
        </w:tblBorders>
        <w:tblLayout w:type="fixed"/>
        <w:tblLook w:val="04A0" w:firstRow="1" w:lastRow="0" w:firstColumn="1" w:lastColumn="0" w:noHBand="0" w:noVBand="1"/>
      </w:tblPr>
      <w:tblGrid>
        <w:gridCol w:w="2235"/>
        <w:gridCol w:w="1134"/>
        <w:gridCol w:w="3260"/>
      </w:tblGrid>
      <w:tr w:rsidR="00852AD3" w:rsidRPr="00CF31E0" w14:paraId="4D716470" w14:textId="77777777" w:rsidTr="00852AD3">
        <w:trPr>
          <w:trHeight w:val="567"/>
        </w:trPr>
        <w:tc>
          <w:tcPr>
            <w:tcW w:w="2235" w:type="dxa"/>
            <w:shd w:val="clear" w:color="auto" w:fill="auto"/>
            <w:hideMark/>
          </w:tcPr>
          <w:p w14:paraId="459C124B" w14:textId="673FD923"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lastRenderedPageBreak/>
              <w:t>Mother’s social group</w:t>
            </w:r>
          </w:p>
        </w:tc>
        <w:tc>
          <w:tcPr>
            <w:tcW w:w="1134" w:type="dxa"/>
            <w:shd w:val="clear" w:color="auto" w:fill="auto"/>
            <w:hideMark/>
          </w:tcPr>
          <w:p w14:paraId="0F769686"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shd w:val="clear" w:color="auto" w:fill="auto"/>
          </w:tcPr>
          <w:p w14:paraId="6F87F290"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05AFC916" w14:textId="77777777" w:rsidTr="00852AD3">
        <w:trPr>
          <w:trHeight w:val="567"/>
        </w:trPr>
        <w:tc>
          <w:tcPr>
            <w:tcW w:w="2235" w:type="dxa"/>
            <w:shd w:val="clear" w:color="auto" w:fill="auto"/>
            <w:vAlign w:val="bottom"/>
          </w:tcPr>
          <w:p w14:paraId="12270CB5" w14:textId="77777777" w:rsidR="00852AD3" w:rsidRPr="00CF31E0" w:rsidRDefault="00852AD3" w:rsidP="00BA082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shd w:val="clear" w:color="auto" w:fill="auto"/>
            <w:vAlign w:val="bottom"/>
          </w:tcPr>
          <w:p w14:paraId="7F1F446E" w14:textId="2A96032B" w:rsidR="00852AD3" w:rsidRPr="00CF31E0" w:rsidRDefault="00852AD3" w:rsidP="00BA0824">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4.914</w:t>
            </w:r>
            <w:r w:rsidRPr="00CF31E0">
              <w:rPr>
                <w:rFonts w:asciiTheme="majorBidi" w:hAnsiTheme="majorBidi" w:cstheme="majorBidi"/>
                <w:color w:val="000000" w:themeColor="text1"/>
                <w:sz w:val="22"/>
                <w:szCs w:val="22"/>
                <w:vertAlign w:val="superscript"/>
                <w:lang w:eastAsia="en-US"/>
              </w:rPr>
              <w:t>a</w:t>
            </w:r>
          </w:p>
        </w:tc>
        <w:tc>
          <w:tcPr>
            <w:tcW w:w="3260" w:type="dxa"/>
            <w:shd w:val="clear" w:color="auto" w:fill="auto"/>
            <w:vAlign w:val="bottom"/>
          </w:tcPr>
          <w:p w14:paraId="770B4054" w14:textId="386E094A" w:rsidR="00852AD3" w:rsidRPr="00CF31E0" w:rsidRDefault="00852AD3" w:rsidP="00BA0824">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.086</w:t>
            </w:r>
          </w:p>
        </w:tc>
      </w:tr>
    </w:tbl>
    <w:p w14:paraId="243F1FBF" w14:textId="77777777" w:rsidR="00852AD3" w:rsidRPr="00CF31E0" w:rsidRDefault="00852AD3">
      <w:pPr>
        <w:rPr>
          <w:color w:val="000000" w:themeColor="text1"/>
          <w:lang w:eastAsia="en-US"/>
        </w:rPr>
      </w:pPr>
    </w:p>
    <w:p w14:paraId="4CDD44CD" w14:textId="77777777" w:rsidR="00852AD3" w:rsidRPr="00CF31E0" w:rsidRDefault="00852AD3">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4CB4091D" w14:textId="77777777" w:rsidTr="00852AD3">
        <w:trPr>
          <w:trHeight w:val="567"/>
        </w:trPr>
        <w:tc>
          <w:tcPr>
            <w:tcW w:w="2235" w:type="dxa"/>
            <w:tcBorders>
              <w:top w:val="single" w:sz="8" w:space="0" w:color="auto"/>
              <w:bottom w:val="single" w:sz="8" w:space="0" w:color="auto"/>
            </w:tcBorders>
            <w:shd w:val="clear" w:color="auto" w:fill="auto"/>
            <w:hideMark/>
          </w:tcPr>
          <w:p w14:paraId="4BD4476D" w14:textId="44366BED"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Spouse’s social group</w:t>
            </w:r>
          </w:p>
        </w:tc>
        <w:tc>
          <w:tcPr>
            <w:tcW w:w="1134" w:type="dxa"/>
            <w:tcBorders>
              <w:top w:val="single" w:sz="8" w:space="0" w:color="auto"/>
              <w:bottom w:val="single" w:sz="8" w:space="0" w:color="auto"/>
            </w:tcBorders>
            <w:shd w:val="clear" w:color="auto" w:fill="auto"/>
            <w:hideMark/>
          </w:tcPr>
          <w:p w14:paraId="29C4FDE3"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6898E5C8"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67DC0F8F" w14:textId="77777777" w:rsidTr="00852AD3">
        <w:trPr>
          <w:trHeight w:val="567"/>
        </w:trPr>
        <w:tc>
          <w:tcPr>
            <w:tcW w:w="2235" w:type="dxa"/>
            <w:tcBorders>
              <w:top w:val="single" w:sz="8" w:space="0" w:color="auto"/>
            </w:tcBorders>
            <w:shd w:val="clear" w:color="auto" w:fill="auto"/>
            <w:vAlign w:val="bottom"/>
          </w:tcPr>
          <w:p w14:paraId="31CE871C" w14:textId="77777777" w:rsidR="00852AD3" w:rsidRPr="00CF31E0" w:rsidRDefault="00852AD3" w:rsidP="00BA082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5B221463" w14:textId="6553C889" w:rsidR="00852AD3" w:rsidRPr="00CF31E0" w:rsidRDefault="00852AD3" w:rsidP="00BA0824">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13.934</w:t>
            </w:r>
            <w:r w:rsidRPr="00CF31E0">
              <w:rPr>
                <w:rFonts w:asciiTheme="majorBidi" w:hAnsiTheme="majorBidi" w:cstheme="majorBid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35325B0F" w14:textId="6EF7D7D4" w:rsidR="00852AD3" w:rsidRPr="00CF31E0" w:rsidRDefault="00852AD3" w:rsidP="00BA0824">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.088</w:t>
            </w:r>
          </w:p>
        </w:tc>
      </w:tr>
      <w:tr w:rsidR="00852AD3" w:rsidRPr="00CF31E0" w14:paraId="0C65418F" w14:textId="77777777" w:rsidTr="00852AD3">
        <w:trPr>
          <w:trHeight w:val="567"/>
        </w:trPr>
        <w:tc>
          <w:tcPr>
            <w:tcW w:w="2235" w:type="dxa"/>
            <w:tcBorders>
              <w:bottom w:val="single" w:sz="8" w:space="0" w:color="auto"/>
            </w:tcBorders>
            <w:shd w:val="clear" w:color="auto" w:fill="auto"/>
            <w:vAlign w:val="bottom"/>
          </w:tcPr>
          <w:p w14:paraId="004DDB3D" w14:textId="77777777" w:rsidR="00852AD3" w:rsidRPr="00CF31E0" w:rsidRDefault="00852AD3" w:rsidP="00BA082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45E0510E" w14:textId="222EBE6D" w:rsidR="00852AD3" w:rsidRPr="00CF31E0" w:rsidRDefault="00852AD3" w:rsidP="00BA0824">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c>
          <w:tcPr>
            <w:tcW w:w="3260" w:type="dxa"/>
            <w:tcBorders>
              <w:bottom w:val="single" w:sz="8" w:space="0" w:color="auto"/>
            </w:tcBorders>
            <w:shd w:val="clear" w:color="auto" w:fill="auto"/>
            <w:vAlign w:val="bottom"/>
          </w:tcPr>
          <w:p w14:paraId="123167BC" w14:textId="77777777" w:rsidR="00852AD3" w:rsidRPr="00CF31E0" w:rsidRDefault="00852AD3" w:rsidP="00BA0824">
            <w:pPr>
              <w:spacing w:after="200" w:line="276" w:lineRule="auto"/>
              <w:rPr>
                <w:rFonts w:eastAsia="Calibri"/>
                <w:color w:val="000000" w:themeColor="text1"/>
                <w:sz w:val="22"/>
                <w:szCs w:val="22"/>
                <w:lang w:eastAsia="en-US"/>
              </w:rPr>
            </w:pPr>
          </w:p>
        </w:tc>
      </w:tr>
    </w:tbl>
    <w:p w14:paraId="40D4396A" w14:textId="77777777" w:rsidR="00BE5ED8" w:rsidRPr="00CF31E0" w:rsidRDefault="00BE5ED8">
      <w:pPr>
        <w:rPr>
          <w:color w:val="000000" w:themeColor="text1"/>
          <w:lang w:eastAsia="en-US"/>
        </w:rPr>
      </w:pPr>
    </w:p>
    <w:p w14:paraId="6A31811D" w14:textId="77777777" w:rsidR="00BE5ED8" w:rsidRPr="00CF31E0" w:rsidRDefault="00BE5ED8">
      <w:pPr>
        <w:rPr>
          <w:color w:val="000000" w:themeColor="text1"/>
          <w:lang w:eastAsia="en-US"/>
        </w:rPr>
      </w:pPr>
    </w:p>
    <w:p w14:paraId="14E070F7" w14:textId="7F89CEEC" w:rsidR="00BA0824" w:rsidRPr="00CF31E0" w:rsidRDefault="00BA0824" w:rsidP="00BA0824">
      <w:pPr>
        <w:numPr>
          <w:ilvl w:val="0"/>
          <w:numId w:val="73"/>
        </w:numPr>
        <w:contextualSpacing/>
        <w:rPr>
          <w:rFonts w:eastAsia="MS Mincho"/>
          <w:b/>
          <w:bCs/>
          <w:color w:val="000000" w:themeColor="text1"/>
          <w:sz w:val="28"/>
          <w:szCs w:val="28"/>
          <w:lang w:eastAsia="en-US"/>
        </w:rPr>
      </w:pPr>
      <w:r w:rsidRPr="00CF31E0">
        <w:rPr>
          <w:rFonts w:eastAsia="MS Mincho"/>
          <w:b/>
          <w:bCs/>
          <w:color w:val="000000" w:themeColor="text1"/>
          <w:sz w:val="28"/>
          <w:szCs w:val="28"/>
          <w:lang w:eastAsia="en-US"/>
        </w:rPr>
        <w:t>VS4</w:t>
      </w:r>
    </w:p>
    <w:p w14:paraId="3A19F536" w14:textId="77777777" w:rsidR="00BA0824" w:rsidRPr="00CF31E0" w:rsidRDefault="00BA082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0492E71C" w14:textId="77777777" w:rsidTr="00852AD3">
        <w:trPr>
          <w:trHeight w:val="567"/>
        </w:trPr>
        <w:tc>
          <w:tcPr>
            <w:tcW w:w="2235" w:type="dxa"/>
            <w:tcBorders>
              <w:top w:val="single" w:sz="8" w:space="0" w:color="auto"/>
              <w:bottom w:val="single" w:sz="8" w:space="0" w:color="auto"/>
            </w:tcBorders>
            <w:shd w:val="clear" w:color="auto" w:fill="auto"/>
            <w:hideMark/>
          </w:tcPr>
          <w:p w14:paraId="0CBAAAA5" w14:textId="3BE7A632"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Gender</w:t>
            </w:r>
          </w:p>
        </w:tc>
        <w:tc>
          <w:tcPr>
            <w:tcW w:w="1134" w:type="dxa"/>
            <w:tcBorders>
              <w:top w:val="single" w:sz="8" w:space="0" w:color="auto"/>
              <w:bottom w:val="single" w:sz="8" w:space="0" w:color="auto"/>
            </w:tcBorders>
            <w:shd w:val="clear" w:color="auto" w:fill="auto"/>
            <w:hideMark/>
          </w:tcPr>
          <w:p w14:paraId="70314392"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14470B8D"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02E1167E" w14:textId="77777777" w:rsidTr="00852AD3">
        <w:trPr>
          <w:trHeight w:val="567"/>
        </w:trPr>
        <w:tc>
          <w:tcPr>
            <w:tcW w:w="2235" w:type="dxa"/>
            <w:tcBorders>
              <w:top w:val="single" w:sz="8" w:space="0" w:color="auto"/>
            </w:tcBorders>
            <w:shd w:val="clear" w:color="auto" w:fill="auto"/>
            <w:vAlign w:val="bottom"/>
          </w:tcPr>
          <w:p w14:paraId="12B8CA35" w14:textId="77777777" w:rsidR="00852AD3" w:rsidRPr="00CF31E0" w:rsidRDefault="00852AD3" w:rsidP="00BA082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56320D19" w14:textId="4E8A87AE" w:rsidR="00852AD3" w:rsidRPr="00CF31E0" w:rsidRDefault="00852AD3" w:rsidP="00BA0824">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1.989</w:t>
            </w:r>
            <w:r w:rsidRPr="00CF31E0">
              <w:rPr>
                <w:rFonts w:asciiTheme="majorBidi" w:hAnsiTheme="majorBidi" w:cstheme="majorBid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3BFA0D68" w14:textId="6F99722D" w:rsidR="00852AD3" w:rsidRPr="00CF31E0" w:rsidRDefault="00852AD3" w:rsidP="00BA0824">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.158</w:t>
            </w:r>
          </w:p>
        </w:tc>
      </w:tr>
      <w:tr w:rsidR="00852AD3" w:rsidRPr="00CF31E0" w14:paraId="2A7DF127" w14:textId="77777777" w:rsidTr="00852AD3">
        <w:trPr>
          <w:trHeight w:val="567"/>
        </w:trPr>
        <w:tc>
          <w:tcPr>
            <w:tcW w:w="2235" w:type="dxa"/>
            <w:shd w:val="clear" w:color="auto" w:fill="auto"/>
            <w:vAlign w:val="bottom"/>
          </w:tcPr>
          <w:p w14:paraId="10288CBC" w14:textId="77777777" w:rsidR="00852AD3" w:rsidRPr="00CF31E0" w:rsidRDefault="00852AD3" w:rsidP="00BA082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Continuity Correction</w:t>
            </w:r>
            <w:r w:rsidRPr="00CF31E0">
              <w:rPr>
                <w:rFonts w:eastAsia="Calibri"/>
                <w:color w:val="000000" w:themeColor="text1"/>
                <w:sz w:val="22"/>
                <w:szCs w:val="22"/>
                <w:vertAlign w:val="superscript"/>
                <w:lang w:eastAsia="en-US"/>
              </w:rPr>
              <w:t>b</w:t>
            </w:r>
          </w:p>
        </w:tc>
        <w:tc>
          <w:tcPr>
            <w:tcW w:w="1134" w:type="dxa"/>
            <w:shd w:val="clear" w:color="auto" w:fill="auto"/>
            <w:vAlign w:val="bottom"/>
          </w:tcPr>
          <w:p w14:paraId="7EABBB2C" w14:textId="520A6A4D" w:rsidR="00852AD3" w:rsidRPr="00CF31E0" w:rsidRDefault="00852AD3" w:rsidP="00BA0824">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1.591</w:t>
            </w:r>
          </w:p>
        </w:tc>
        <w:tc>
          <w:tcPr>
            <w:tcW w:w="3260" w:type="dxa"/>
            <w:shd w:val="clear" w:color="auto" w:fill="auto"/>
            <w:vAlign w:val="bottom"/>
          </w:tcPr>
          <w:p w14:paraId="1C455295" w14:textId="13BE8B5B" w:rsidR="00852AD3" w:rsidRPr="00CF31E0" w:rsidRDefault="00852AD3" w:rsidP="00BA0824">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.207</w:t>
            </w:r>
          </w:p>
        </w:tc>
      </w:tr>
      <w:tr w:rsidR="00852AD3" w:rsidRPr="00CF31E0" w14:paraId="7C4ADD1C" w14:textId="77777777" w:rsidTr="00852AD3">
        <w:trPr>
          <w:trHeight w:val="567"/>
        </w:trPr>
        <w:tc>
          <w:tcPr>
            <w:tcW w:w="2235" w:type="dxa"/>
            <w:tcBorders>
              <w:bottom w:val="single" w:sz="8" w:space="0" w:color="auto"/>
            </w:tcBorders>
            <w:shd w:val="clear" w:color="auto" w:fill="auto"/>
            <w:vAlign w:val="bottom"/>
          </w:tcPr>
          <w:p w14:paraId="3C992289" w14:textId="77777777" w:rsidR="00852AD3" w:rsidRPr="00CF31E0" w:rsidRDefault="00852AD3" w:rsidP="00BA082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59CEB28A" w14:textId="429ECD2D" w:rsidR="00852AD3" w:rsidRPr="00CF31E0" w:rsidRDefault="00852AD3" w:rsidP="00BA0824">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c>
          <w:tcPr>
            <w:tcW w:w="3260" w:type="dxa"/>
            <w:tcBorders>
              <w:bottom w:val="single" w:sz="8" w:space="0" w:color="auto"/>
            </w:tcBorders>
            <w:shd w:val="clear" w:color="auto" w:fill="auto"/>
            <w:vAlign w:val="bottom"/>
          </w:tcPr>
          <w:p w14:paraId="5FC3F996" w14:textId="77777777" w:rsidR="00852AD3" w:rsidRPr="00CF31E0" w:rsidRDefault="00852AD3" w:rsidP="00BA0824">
            <w:pPr>
              <w:spacing w:after="200" w:line="276" w:lineRule="auto"/>
              <w:rPr>
                <w:rFonts w:eastAsia="Calibri"/>
                <w:color w:val="000000" w:themeColor="text1"/>
                <w:sz w:val="22"/>
                <w:szCs w:val="22"/>
                <w:lang w:eastAsia="en-US"/>
              </w:rPr>
            </w:pPr>
          </w:p>
        </w:tc>
      </w:tr>
    </w:tbl>
    <w:p w14:paraId="413DC0B3" w14:textId="77777777" w:rsidR="00BA0824" w:rsidRPr="00CF31E0" w:rsidRDefault="00BA0824">
      <w:pPr>
        <w:rPr>
          <w:color w:val="000000" w:themeColor="text1"/>
          <w:lang w:eastAsia="en-US"/>
        </w:rPr>
      </w:pPr>
    </w:p>
    <w:p w14:paraId="7025A4A5" w14:textId="77777777" w:rsidR="00BA0824" w:rsidRPr="00CF31E0" w:rsidRDefault="00BA082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699799C1" w14:textId="77777777" w:rsidTr="00852AD3">
        <w:trPr>
          <w:trHeight w:val="567"/>
        </w:trPr>
        <w:tc>
          <w:tcPr>
            <w:tcW w:w="2235" w:type="dxa"/>
            <w:tcBorders>
              <w:top w:val="single" w:sz="8" w:space="0" w:color="auto"/>
              <w:bottom w:val="single" w:sz="8" w:space="0" w:color="auto"/>
            </w:tcBorders>
            <w:shd w:val="clear" w:color="auto" w:fill="auto"/>
            <w:hideMark/>
          </w:tcPr>
          <w:p w14:paraId="2587584B" w14:textId="7DB055CD"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Age</w:t>
            </w:r>
          </w:p>
        </w:tc>
        <w:tc>
          <w:tcPr>
            <w:tcW w:w="1134" w:type="dxa"/>
            <w:tcBorders>
              <w:top w:val="single" w:sz="8" w:space="0" w:color="auto"/>
              <w:bottom w:val="single" w:sz="8" w:space="0" w:color="auto"/>
            </w:tcBorders>
            <w:shd w:val="clear" w:color="auto" w:fill="auto"/>
            <w:hideMark/>
          </w:tcPr>
          <w:p w14:paraId="5452EC9E"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66125D71"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2CBAE643" w14:textId="77777777" w:rsidTr="00852AD3">
        <w:trPr>
          <w:trHeight w:val="567"/>
        </w:trPr>
        <w:tc>
          <w:tcPr>
            <w:tcW w:w="2235" w:type="dxa"/>
            <w:tcBorders>
              <w:top w:val="single" w:sz="8" w:space="0" w:color="auto"/>
            </w:tcBorders>
            <w:shd w:val="clear" w:color="auto" w:fill="auto"/>
            <w:vAlign w:val="bottom"/>
          </w:tcPr>
          <w:p w14:paraId="77F27BEB" w14:textId="77777777" w:rsidR="00852AD3" w:rsidRPr="00CF31E0" w:rsidRDefault="00852AD3" w:rsidP="00BA082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2C88DB69" w14:textId="396D3558" w:rsidR="00852AD3" w:rsidRPr="00CF31E0" w:rsidRDefault="00852AD3" w:rsidP="00BA0824">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18.110</w:t>
            </w:r>
            <w:r w:rsidRPr="00CF31E0">
              <w:rPr>
                <w:rFonts w:asciiTheme="majorBidi" w:hAnsiTheme="majorBidi" w:cstheme="majorBid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173D7B96" w14:textId="44B07958" w:rsidR="00852AD3" w:rsidRPr="00CF31E0" w:rsidRDefault="00852AD3" w:rsidP="00BA0824">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.033</w:t>
            </w:r>
          </w:p>
        </w:tc>
      </w:tr>
      <w:tr w:rsidR="00852AD3" w:rsidRPr="00CF31E0" w14:paraId="3AB90EFF" w14:textId="77777777" w:rsidTr="00852AD3">
        <w:trPr>
          <w:trHeight w:val="567"/>
        </w:trPr>
        <w:tc>
          <w:tcPr>
            <w:tcW w:w="2235" w:type="dxa"/>
            <w:tcBorders>
              <w:bottom w:val="single" w:sz="8" w:space="0" w:color="auto"/>
            </w:tcBorders>
            <w:shd w:val="clear" w:color="auto" w:fill="auto"/>
            <w:vAlign w:val="bottom"/>
          </w:tcPr>
          <w:p w14:paraId="192057BB" w14:textId="77777777" w:rsidR="00852AD3" w:rsidRPr="00CF31E0" w:rsidRDefault="00852AD3" w:rsidP="00BA082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08D26E0A" w14:textId="5109064B" w:rsidR="00852AD3" w:rsidRPr="00CF31E0" w:rsidRDefault="00852AD3" w:rsidP="00BA0824">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c>
          <w:tcPr>
            <w:tcW w:w="3260" w:type="dxa"/>
            <w:tcBorders>
              <w:bottom w:val="single" w:sz="8" w:space="0" w:color="auto"/>
            </w:tcBorders>
            <w:shd w:val="clear" w:color="auto" w:fill="auto"/>
            <w:vAlign w:val="bottom"/>
          </w:tcPr>
          <w:p w14:paraId="64B2CEEC" w14:textId="77777777" w:rsidR="00852AD3" w:rsidRPr="00CF31E0" w:rsidRDefault="00852AD3" w:rsidP="00BA0824">
            <w:pPr>
              <w:spacing w:after="200" w:line="276" w:lineRule="auto"/>
              <w:rPr>
                <w:rFonts w:eastAsia="Calibri"/>
                <w:color w:val="000000" w:themeColor="text1"/>
                <w:sz w:val="22"/>
                <w:szCs w:val="22"/>
                <w:lang w:eastAsia="en-US"/>
              </w:rPr>
            </w:pPr>
          </w:p>
        </w:tc>
      </w:tr>
    </w:tbl>
    <w:p w14:paraId="18AD5DF2" w14:textId="77777777" w:rsidR="00BA0824" w:rsidRPr="00CF31E0" w:rsidRDefault="00BA0824">
      <w:pPr>
        <w:rPr>
          <w:color w:val="000000" w:themeColor="text1"/>
          <w:lang w:eastAsia="en-US"/>
        </w:rPr>
      </w:pPr>
    </w:p>
    <w:p w14:paraId="45B554D5" w14:textId="77777777" w:rsidR="00BA0824" w:rsidRPr="00CF31E0" w:rsidRDefault="00BA0824">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2427EF53" w14:textId="77777777" w:rsidTr="00852AD3">
        <w:trPr>
          <w:trHeight w:val="567"/>
        </w:trPr>
        <w:tc>
          <w:tcPr>
            <w:tcW w:w="2235" w:type="dxa"/>
            <w:tcBorders>
              <w:top w:val="single" w:sz="8" w:space="0" w:color="auto"/>
              <w:bottom w:val="single" w:sz="8" w:space="0" w:color="auto"/>
            </w:tcBorders>
            <w:shd w:val="clear" w:color="auto" w:fill="auto"/>
            <w:hideMark/>
          </w:tcPr>
          <w:p w14:paraId="7DA7289B" w14:textId="387A18A0"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Place of birth</w:t>
            </w:r>
          </w:p>
        </w:tc>
        <w:tc>
          <w:tcPr>
            <w:tcW w:w="1134" w:type="dxa"/>
            <w:tcBorders>
              <w:top w:val="single" w:sz="8" w:space="0" w:color="auto"/>
              <w:bottom w:val="single" w:sz="8" w:space="0" w:color="auto"/>
            </w:tcBorders>
            <w:shd w:val="clear" w:color="auto" w:fill="auto"/>
            <w:hideMark/>
          </w:tcPr>
          <w:p w14:paraId="10CDC476"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51E39DC2"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5C9AA47A" w14:textId="77777777" w:rsidTr="00852AD3">
        <w:trPr>
          <w:trHeight w:val="567"/>
        </w:trPr>
        <w:tc>
          <w:tcPr>
            <w:tcW w:w="2235" w:type="dxa"/>
            <w:tcBorders>
              <w:top w:val="single" w:sz="8" w:space="0" w:color="auto"/>
            </w:tcBorders>
            <w:shd w:val="clear" w:color="auto" w:fill="auto"/>
            <w:vAlign w:val="bottom"/>
          </w:tcPr>
          <w:p w14:paraId="2B150072" w14:textId="77777777" w:rsidR="00852AD3" w:rsidRPr="00CF31E0" w:rsidRDefault="00852AD3" w:rsidP="00BA082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5FBEDF38" w14:textId="0B5D09C6" w:rsidR="00852AD3" w:rsidRPr="00CF31E0" w:rsidRDefault="00852AD3" w:rsidP="00BA0824">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1.240</w:t>
            </w:r>
            <w:r w:rsidRPr="00CF31E0">
              <w:rPr>
                <w:rFonts w:asciiTheme="majorBidi" w:hAnsiTheme="majorBidi" w:cstheme="majorBid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1103DF4F" w14:textId="37DED87D" w:rsidR="00852AD3" w:rsidRPr="00CF31E0" w:rsidRDefault="00852AD3" w:rsidP="00BA0824">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.266</w:t>
            </w:r>
          </w:p>
        </w:tc>
      </w:tr>
      <w:tr w:rsidR="00852AD3" w:rsidRPr="00CF31E0" w14:paraId="6DEEFB91" w14:textId="77777777" w:rsidTr="00852AD3">
        <w:trPr>
          <w:trHeight w:val="567"/>
        </w:trPr>
        <w:tc>
          <w:tcPr>
            <w:tcW w:w="2235" w:type="dxa"/>
            <w:shd w:val="clear" w:color="auto" w:fill="auto"/>
            <w:vAlign w:val="bottom"/>
          </w:tcPr>
          <w:p w14:paraId="33A4C0CD" w14:textId="77777777" w:rsidR="00852AD3" w:rsidRPr="00CF31E0" w:rsidRDefault="00852AD3" w:rsidP="00BA082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Continuity Correction</w:t>
            </w:r>
            <w:r w:rsidRPr="00CF31E0">
              <w:rPr>
                <w:rFonts w:eastAsia="Calibri"/>
                <w:color w:val="000000" w:themeColor="text1"/>
                <w:sz w:val="22"/>
                <w:szCs w:val="22"/>
                <w:vertAlign w:val="superscript"/>
                <w:lang w:eastAsia="en-US"/>
              </w:rPr>
              <w:t>b</w:t>
            </w:r>
          </w:p>
        </w:tc>
        <w:tc>
          <w:tcPr>
            <w:tcW w:w="1134" w:type="dxa"/>
            <w:shd w:val="clear" w:color="auto" w:fill="auto"/>
            <w:vAlign w:val="bottom"/>
          </w:tcPr>
          <w:p w14:paraId="52854234" w14:textId="313420E3" w:rsidR="00852AD3" w:rsidRPr="00CF31E0" w:rsidRDefault="00852AD3" w:rsidP="00BA0824">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.745</w:t>
            </w:r>
          </w:p>
        </w:tc>
        <w:tc>
          <w:tcPr>
            <w:tcW w:w="3260" w:type="dxa"/>
            <w:shd w:val="clear" w:color="auto" w:fill="auto"/>
            <w:vAlign w:val="bottom"/>
          </w:tcPr>
          <w:p w14:paraId="6AD44F31" w14:textId="5C295094" w:rsidR="00852AD3" w:rsidRPr="00CF31E0" w:rsidRDefault="00852AD3" w:rsidP="00BA0824">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.388</w:t>
            </w:r>
          </w:p>
        </w:tc>
      </w:tr>
      <w:tr w:rsidR="00852AD3" w:rsidRPr="00CF31E0" w14:paraId="330F31C7" w14:textId="77777777" w:rsidTr="00852AD3">
        <w:trPr>
          <w:trHeight w:val="567"/>
        </w:trPr>
        <w:tc>
          <w:tcPr>
            <w:tcW w:w="2235" w:type="dxa"/>
            <w:tcBorders>
              <w:bottom w:val="single" w:sz="8" w:space="0" w:color="auto"/>
            </w:tcBorders>
            <w:shd w:val="clear" w:color="auto" w:fill="auto"/>
            <w:vAlign w:val="bottom"/>
          </w:tcPr>
          <w:p w14:paraId="0435D1C1" w14:textId="77777777" w:rsidR="00852AD3" w:rsidRPr="00CF31E0" w:rsidRDefault="00852AD3" w:rsidP="00BA082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1FBC9821" w14:textId="3ABFD4EF" w:rsidR="00852AD3" w:rsidRPr="00CF31E0" w:rsidRDefault="00852AD3" w:rsidP="00BA0824">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c>
          <w:tcPr>
            <w:tcW w:w="3260" w:type="dxa"/>
            <w:tcBorders>
              <w:bottom w:val="single" w:sz="8" w:space="0" w:color="auto"/>
            </w:tcBorders>
            <w:shd w:val="clear" w:color="auto" w:fill="auto"/>
            <w:vAlign w:val="bottom"/>
          </w:tcPr>
          <w:p w14:paraId="22AF1D99" w14:textId="77777777" w:rsidR="00852AD3" w:rsidRPr="00CF31E0" w:rsidRDefault="00852AD3" w:rsidP="00BA0824">
            <w:pPr>
              <w:spacing w:after="200" w:line="276" w:lineRule="auto"/>
              <w:rPr>
                <w:rFonts w:eastAsia="Calibri"/>
                <w:color w:val="000000" w:themeColor="text1"/>
                <w:sz w:val="22"/>
                <w:szCs w:val="22"/>
                <w:lang w:eastAsia="en-US"/>
              </w:rPr>
            </w:pPr>
          </w:p>
        </w:tc>
      </w:tr>
    </w:tbl>
    <w:p w14:paraId="5725F363" w14:textId="77777777" w:rsidR="00BA0824" w:rsidRPr="00CF31E0" w:rsidRDefault="00BA0824">
      <w:pPr>
        <w:rPr>
          <w:color w:val="000000" w:themeColor="text1"/>
          <w:lang w:eastAsia="en-US"/>
        </w:rPr>
      </w:pPr>
    </w:p>
    <w:p w14:paraId="6BE23DCA" w14:textId="77777777" w:rsidR="00BA0824" w:rsidRPr="00CF31E0" w:rsidRDefault="00BA0824">
      <w:pPr>
        <w:rPr>
          <w:color w:val="000000" w:themeColor="text1"/>
          <w:lang w:eastAsia="en-US"/>
        </w:rPr>
      </w:pPr>
    </w:p>
    <w:p w14:paraId="7ADA2D31" w14:textId="77777777" w:rsidR="00852AD3" w:rsidRPr="00CF31E0" w:rsidRDefault="00852AD3">
      <w:pPr>
        <w:rPr>
          <w:color w:val="000000" w:themeColor="text1"/>
          <w:lang w:eastAsia="en-US"/>
        </w:rPr>
      </w:pPr>
    </w:p>
    <w:p w14:paraId="1A8F5E3A" w14:textId="77777777" w:rsidR="00C73201" w:rsidRPr="00CF31E0" w:rsidRDefault="00C73201">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092B64E3" w14:textId="77777777" w:rsidTr="00852AD3">
        <w:trPr>
          <w:trHeight w:val="567"/>
        </w:trPr>
        <w:tc>
          <w:tcPr>
            <w:tcW w:w="2235" w:type="dxa"/>
            <w:tcBorders>
              <w:top w:val="single" w:sz="8" w:space="0" w:color="auto"/>
              <w:bottom w:val="single" w:sz="8" w:space="0" w:color="auto"/>
            </w:tcBorders>
            <w:shd w:val="clear" w:color="auto" w:fill="auto"/>
            <w:hideMark/>
          </w:tcPr>
          <w:p w14:paraId="60CCF67A" w14:textId="1BEB2201" w:rsidR="00852AD3" w:rsidRPr="00CF31E0" w:rsidRDefault="00852AD3" w:rsidP="00646E7C">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lastRenderedPageBreak/>
              <w:t>Places lived</w:t>
            </w:r>
          </w:p>
        </w:tc>
        <w:tc>
          <w:tcPr>
            <w:tcW w:w="1134" w:type="dxa"/>
            <w:tcBorders>
              <w:top w:val="single" w:sz="8" w:space="0" w:color="auto"/>
              <w:bottom w:val="single" w:sz="8" w:space="0" w:color="auto"/>
            </w:tcBorders>
            <w:shd w:val="clear" w:color="auto" w:fill="auto"/>
            <w:hideMark/>
          </w:tcPr>
          <w:p w14:paraId="3218804F"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09D345DA" w14:textId="77777777" w:rsidR="00852AD3" w:rsidRPr="00CF31E0" w:rsidRDefault="00852AD3" w:rsidP="00BA082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19F704B7" w14:textId="77777777" w:rsidTr="00852AD3">
        <w:trPr>
          <w:trHeight w:val="567"/>
        </w:trPr>
        <w:tc>
          <w:tcPr>
            <w:tcW w:w="2235" w:type="dxa"/>
            <w:tcBorders>
              <w:top w:val="single" w:sz="8" w:space="0" w:color="auto"/>
            </w:tcBorders>
            <w:shd w:val="clear" w:color="auto" w:fill="auto"/>
            <w:vAlign w:val="bottom"/>
          </w:tcPr>
          <w:p w14:paraId="60C9FDC7" w14:textId="77777777" w:rsidR="00852AD3" w:rsidRPr="00CF31E0" w:rsidRDefault="00852AD3" w:rsidP="00646E7C">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4019A6AA" w14:textId="2493D460" w:rsidR="00852AD3" w:rsidRPr="00CF31E0" w:rsidRDefault="00852AD3" w:rsidP="00646E7C">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1.116</w:t>
            </w:r>
            <w:r w:rsidRPr="00CF31E0">
              <w:rPr>
                <w:rFonts w:asciiTheme="majorBidi" w:hAnsiTheme="majorBidi" w:cstheme="majorBid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47BF88FC" w14:textId="0CAEFF37" w:rsidR="00852AD3" w:rsidRPr="00CF31E0" w:rsidRDefault="00852AD3" w:rsidP="00646E7C">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.291</w:t>
            </w:r>
          </w:p>
        </w:tc>
      </w:tr>
      <w:tr w:rsidR="00852AD3" w:rsidRPr="00CF31E0" w14:paraId="0FB24B81" w14:textId="77777777" w:rsidTr="00852AD3">
        <w:trPr>
          <w:trHeight w:val="567"/>
        </w:trPr>
        <w:tc>
          <w:tcPr>
            <w:tcW w:w="2235" w:type="dxa"/>
            <w:shd w:val="clear" w:color="auto" w:fill="auto"/>
            <w:vAlign w:val="bottom"/>
          </w:tcPr>
          <w:p w14:paraId="347C99CD" w14:textId="77777777" w:rsidR="00852AD3" w:rsidRPr="00CF31E0" w:rsidRDefault="00852AD3" w:rsidP="00646E7C">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Continuity Correction</w:t>
            </w:r>
            <w:r w:rsidRPr="00CF31E0">
              <w:rPr>
                <w:rFonts w:eastAsia="Calibri"/>
                <w:color w:val="000000" w:themeColor="text1"/>
                <w:sz w:val="22"/>
                <w:szCs w:val="22"/>
                <w:vertAlign w:val="superscript"/>
                <w:lang w:eastAsia="en-US"/>
              </w:rPr>
              <w:t>b</w:t>
            </w:r>
          </w:p>
        </w:tc>
        <w:tc>
          <w:tcPr>
            <w:tcW w:w="1134" w:type="dxa"/>
            <w:shd w:val="clear" w:color="auto" w:fill="auto"/>
            <w:vAlign w:val="bottom"/>
          </w:tcPr>
          <w:p w14:paraId="2B252597" w14:textId="75FB203E" w:rsidR="00852AD3" w:rsidRPr="00CF31E0" w:rsidRDefault="00852AD3" w:rsidP="00646E7C">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.281</w:t>
            </w:r>
          </w:p>
        </w:tc>
        <w:tc>
          <w:tcPr>
            <w:tcW w:w="3260" w:type="dxa"/>
            <w:shd w:val="clear" w:color="auto" w:fill="auto"/>
            <w:vAlign w:val="bottom"/>
          </w:tcPr>
          <w:p w14:paraId="2062F734" w14:textId="72C08CB5" w:rsidR="00852AD3" w:rsidRPr="00CF31E0" w:rsidRDefault="00852AD3" w:rsidP="00646E7C">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.596</w:t>
            </w:r>
          </w:p>
        </w:tc>
      </w:tr>
      <w:tr w:rsidR="00852AD3" w:rsidRPr="00CF31E0" w14:paraId="140B5864" w14:textId="77777777" w:rsidTr="00852AD3">
        <w:trPr>
          <w:trHeight w:val="567"/>
        </w:trPr>
        <w:tc>
          <w:tcPr>
            <w:tcW w:w="2235" w:type="dxa"/>
            <w:tcBorders>
              <w:bottom w:val="single" w:sz="8" w:space="0" w:color="auto"/>
            </w:tcBorders>
            <w:shd w:val="clear" w:color="auto" w:fill="auto"/>
            <w:vAlign w:val="bottom"/>
          </w:tcPr>
          <w:p w14:paraId="46073D86" w14:textId="77777777" w:rsidR="00852AD3" w:rsidRPr="00CF31E0" w:rsidRDefault="00852AD3" w:rsidP="00646E7C">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1ED01739" w14:textId="1E877E9B" w:rsidR="00852AD3" w:rsidRPr="00CF31E0" w:rsidRDefault="00852AD3" w:rsidP="00646E7C">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c>
          <w:tcPr>
            <w:tcW w:w="3260" w:type="dxa"/>
            <w:tcBorders>
              <w:bottom w:val="single" w:sz="8" w:space="0" w:color="auto"/>
            </w:tcBorders>
            <w:shd w:val="clear" w:color="auto" w:fill="auto"/>
            <w:vAlign w:val="bottom"/>
          </w:tcPr>
          <w:p w14:paraId="14B58DBD" w14:textId="77777777" w:rsidR="00852AD3" w:rsidRPr="00CF31E0" w:rsidRDefault="00852AD3" w:rsidP="00646E7C">
            <w:pPr>
              <w:spacing w:after="200" w:line="276" w:lineRule="auto"/>
              <w:rPr>
                <w:rFonts w:eastAsia="Calibri"/>
                <w:color w:val="000000" w:themeColor="text1"/>
                <w:sz w:val="22"/>
                <w:szCs w:val="22"/>
                <w:lang w:eastAsia="en-US"/>
              </w:rPr>
            </w:pPr>
          </w:p>
        </w:tc>
      </w:tr>
    </w:tbl>
    <w:p w14:paraId="566ABEA4" w14:textId="77777777" w:rsidR="00BA0824" w:rsidRPr="00CF31E0" w:rsidRDefault="00BA0824">
      <w:pPr>
        <w:rPr>
          <w:color w:val="000000" w:themeColor="text1"/>
          <w:lang w:eastAsia="en-US"/>
        </w:rPr>
      </w:pPr>
    </w:p>
    <w:p w14:paraId="6EBBE8BE" w14:textId="77777777" w:rsidR="00596ED9" w:rsidRPr="00CF31E0" w:rsidRDefault="00596ED9">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6A99BA43" w14:textId="77777777" w:rsidTr="00852AD3">
        <w:trPr>
          <w:trHeight w:val="567"/>
        </w:trPr>
        <w:tc>
          <w:tcPr>
            <w:tcW w:w="2235" w:type="dxa"/>
            <w:tcBorders>
              <w:top w:val="single" w:sz="8" w:space="0" w:color="auto"/>
              <w:bottom w:val="single" w:sz="8" w:space="0" w:color="auto"/>
            </w:tcBorders>
            <w:shd w:val="clear" w:color="auto" w:fill="auto"/>
            <w:hideMark/>
          </w:tcPr>
          <w:p w14:paraId="5CB7D584" w14:textId="44AC18E7"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Marital status</w:t>
            </w:r>
          </w:p>
        </w:tc>
        <w:tc>
          <w:tcPr>
            <w:tcW w:w="1134" w:type="dxa"/>
            <w:tcBorders>
              <w:top w:val="single" w:sz="8" w:space="0" w:color="auto"/>
              <w:bottom w:val="single" w:sz="8" w:space="0" w:color="auto"/>
            </w:tcBorders>
            <w:shd w:val="clear" w:color="auto" w:fill="auto"/>
            <w:hideMark/>
          </w:tcPr>
          <w:p w14:paraId="13870E69" w14:textId="77777777"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2AB48687" w14:textId="77777777"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4A7F49FD" w14:textId="77777777" w:rsidTr="00852AD3">
        <w:trPr>
          <w:trHeight w:val="567"/>
        </w:trPr>
        <w:tc>
          <w:tcPr>
            <w:tcW w:w="2235" w:type="dxa"/>
            <w:tcBorders>
              <w:top w:val="single" w:sz="8" w:space="0" w:color="auto"/>
            </w:tcBorders>
            <w:shd w:val="clear" w:color="auto" w:fill="auto"/>
            <w:vAlign w:val="bottom"/>
          </w:tcPr>
          <w:p w14:paraId="268B98A6" w14:textId="77777777" w:rsidR="00852AD3" w:rsidRPr="00CF31E0" w:rsidRDefault="00852AD3" w:rsidP="00646E7C">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546BD8E4" w14:textId="73ADEF0F" w:rsidR="00852AD3" w:rsidRPr="00CF31E0" w:rsidRDefault="00852AD3" w:rsidP="00646E7C">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4.667</w:t>
            </w:r>
            <w:r w:rsidRPr="00CF31E0">
              <w:rPr>
                <w:rFonts w:asciiTheme="majorBidi" w:hAnsiTheme="majorBidi" w:cstheme="majorBid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084497C6" w14:textId="323F4A54" w:rsidR="00852AD3" w:rsidRPr="00CF31E0" w:rsidRDefault="00852AD3" w:rsidP="00646E7C">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.198</w:t>
            </w:r>
          </w:p>
        </w:tc>
      </w:tr>
      <w:tr w:rsidR="00852AD3" w:rsidRPr="00CF31E0" w14:paraId="31CFC3D4" w14:textId="77777777" w:rsidTr="00852AD3">
        <w:trPr>
          <w:trHeight w:val="567"/>
        </w:trPr>
        <w:tc>
          <w:tcPr>
            <w:tcW w:w="2235" w:type="dxa"/>
            <w:tcBorders>
              <w:bottom w:val="single" w:sz="8" w:space="0" w:color="auto"/>
            </w:tcBorders>
            <w:shd w:val="clear" w:color="auto" w:fill="auto"/>
            <w:vAlign w:val="bottom"/>
          </w:tcPr>
          <w:p w14:paraId="10465E8E" w14:textId="77777777" w:rsidR="00852AD3" w:rsidRPr="00CF31E0" w:rsidRDefault="00852AD3" w:rsidP="00646E7C">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76A639C9" w14:textId="1CA4863C" w:rsidR="00852AD3" w:rsidRPr="00CF31E0" w:rsidRDefault="00852AD3" w:rsidP="00646E7C">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c>
          <w:tcPr>
            <w:tcW w:w="3260" w:type="dxa"/>
            <w:tcBorders>
              <w:bottom w:val="single" w:sz="8" w:space="0" w:color="auto"/>
            </w:tcBorders>
            <w:shd w:val="clear" w:color="auto" w:fill="auto"/>
            <w:vAlign w:val="bottom"/>
          </w:tcPr>
          <w:p w14:paraId="4661D25B" w14:textId="77777777" w:rsidR="00852AD3" w:rsidRPr="00CF31E0" w:rsidRDefault="00852AD3" w:rsidP="00646E7C">
            <w:pPr>
              <w:spacing w:after="200" w:line="276" w:lineRule="auto"/>
              <w:rPr>
                <w:rFonts w:eastAsia="Calibri"/>
                <w:color w:val="000000" w:themeColor="text1"/>
                <w:sz w:val="22"/>
                <w:szCs w:val="22"/>
                <w:lang w:eastAsia="en-US"/>
              </w:rPr>
            </w:pPr>
          </w:p>
        </w:tc>
      </w:tr>
    </w:tbl>
    <w:p w14:paraId="243D3CB6" w14:textId="77777777" w:rsidR="00596ED9" w:rsidRPr="00CF31E0" w:rsidRDefault="00596ED9">
      <w:pPr>
        <w:rPr>
          <w:color w:val="000000" w:themeColor="text1"/>
          <w:lang w:eastAsia="en-US"/>
        </w:rPr>
      </w:pPr>
    </w:p>
    <w:p w14:paraId="222EB1E7" w14:textId="77777777" w:rsidR="00596ED9" w:rsidRPr="00CF31E0" w:rsidRDefault="00596ED9">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2613DAC3" w14:textId="77777777" w:rsidTr="00852AD3">
        <w:trPr>
          <w:trHeight w:val="567"/>
        </w:trPr>
        <w:tc>
          <w:tcPr>
            <w:tcW w:w="2235" w:type="dxa"/>
            <w:tcBorders>
              <w:top w:val="single" w:sz="8" w:space="0" w:color="auto"/>
              <w:bottom w:val="single" w:sz="8" w:space="0" w:color="auto"/>
            </w:tcBorders>
            <w:shd w:val="clear" w:color="auto" w:fill="auto"/>
            <w:hideMark/>
          </w:tcPr>
          <w:p w14:paraId="6622A0E7" w14:textId="0F2A00B2"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Education</w:t>
            </w:r>
          </w:p>
        </w:tc>
        <w:tc>
          <w:tcPr>
            <w:tcW w:w="1134" w:type="dxa"/>
            <w:tcBorders>
              <w:top w:val="single" w:sz="8" w:space="0" w:color="auto"/>
              <w:bottom w:val="single" w:sz="8" w:space="0" w:color="auto"/>
            </w:tcBorders>
            <w:shd w:val="clear" w:color="auto" w:fill="auto"/>
            <w:hideMark/>
          </w:tcPr>
          <w:p w14:paraId="5983AC96" w14:textId="77777777"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0965EBCD" w14:textId="77777777"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772C713A" w14:textId="77777777" w:rsidTr="00852AD3">
        <w:trPr>
          <w:trHeight w:val="567"/>
        </w:trPr>
        <w:tc>
          <w:tcPr>
            <w:tcW w:w="2235" w:type="dxa"/>
            <w:tcBorders>
              <w:top w:val="single" w:sz="8" w:space="0" w:color="auto"/>
            </w:tcBorders>
            <w:shd w:val="clear" w:color="auto" w:fill="auto"/>
            <w:vAlign w:val="bottom"/>
          </w:tcPr>
          <w:p w14:paraId="62BC22A9" w14:textId="77777777" w:rsidR="00852AD3" w:rsidRPr="00CF31E0" w:rsidRDefault="00852AD3" w:rsidP="00646E7C">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668A9398" w14:textId="02AB073E" w:rsidR="00852AD3" w:rsidRPr="00CF31E0" w:rsidRDefault="00852AD3" w:rsidP="00646E7C">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2.423</w:t>
            </w:r>
            <w:r w:rsidRPr="00CF31E0">
              <w:rPr>
                <w:rFonts w:asciiTheme="majorBidi" w:hAnsiTheme="majorBidi" w:cstheme="majorBid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439646F1" w14:textId="79D3BC6A" w:rsidR="00852AD3" w:rsidRPr="00CF31E0" w:rsidRDefault="00852AD3" w:rsidP="00646E7C">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.788</w:t>
            </w:r>
          </w:p>
        </w:tc>
      </w:tr>
      <w:tr w:rsidR="00852AD3" w:rsidRPr="00CF31E0" w14:paraId="3746F7B1" w14:textId="77777777" w:rsidTr="00852AD3">
        <w:trPr>
          <w:trHeight w:val="567"/>
        </w:trPr>
        <w:tc>
          <w:tcPr>
            <w:tcW w:w="2235" w:type="dxa"/>
            <w:tcBorders>
              <w:bottom w:val="single" w:sz="8" w:space="0" w:color="auto"/>
            </w:tcBorders>
            <w:shd w:val="clear" w:color="auto" w:fill="auto"/>
            <w:vAlign w:val="bottom"/>
          </w:tcPr>
          <w:p w14:paraId="7F00AA90" w14:textId="77777777" w:rsidR="00852AD3" w:rsidRPr="00CF31E0" w:rsidRDefault="00852AD3" w:rsidP="00646E7C">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579C571D" w14:textId="7ACF92C6" w:rsidR="00852AD3" w:rsidRPr="00CF31E0" w:rsidRDefault="00852AD3" w:rsidP="00646E7C">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c>
          <w:tcPr>
            <w:tcW w:w="3260" w:type="dxa"/>
            <w:tcBorders>
              <w:bottom w:val="single" w:sz="8" w:space="0" w:color="auto"/>
            </w:tcBorders>
            <w:shd w:val="clear" w:color="auto" w:fill="auto"/>
            <w:vAlign w:val="bottom"/>
          </w:tcPr>
          <w:p w14:paraId="1E261D83" w14:textId="77777777" w:rsidR="00852AD3" w:rsidRPr="00CF31E0" w:rsidRDefault="00852AD3" w:rsidP="00646E7C">
            <w:pPr>
              <w:spacing w:after="200" w:line="276" w:lineRule="auto"/>
              <w:rPr>
                <w:rFonts w:eastAsia="Calibri"/>
                <w:color w:val="000000" w:themeColor="text1"/>
                <w:sz w:val="22"/>
                <w:szCs w:val="22"/>
                <w:lang w:eastAsia="en-US"/>
              </w:rPr>
            </w:pPr>
          </w:p>
        </w:tc>
      </w:tr>
    </w:tbl>
    <w:p w14:paraId="70AE8EDF" w14:textId="77777777" w:rsidR="00596ED9" w:rsidRPr="00CF31E0" w:rsidRDefault="00596ED9">
      <w:pPr>
        <w:rPr>
          <w:color w:val="000000" w:themeColor="text1"/>
          <w:lang w:eastAsia="en-US"/>
        </w:rPr>
      </w:pPr>
    </w:p>
    <w:p w14:paraId="5F048CC1" w14:textId="77777777" w:rsidR="00596ED9" w:rsidRPr="00CF31E0" w:rsidRDefault="00596ED9">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34BBBF2F" w14:textId="77777777" w:rsidTr="00852AD3">
        <w:trPr>
          <w:trHeight w:val="567"/>
        </w:trPr>
        <w:tc>
          <w:tcPr>
            <w:tcW w:w="2235" w:type="dxa"/>
            <w:tcBorders>
              <w:top w:val="single" w:sz="8" w:space="0" w:color="auto"/>
              <w:bottom w:val="single" w:sz="8" w:space="0" w:color="auto"/>
            </w:tcBorders>
            <w:shd w:val="clear" w:color="auto" w:fill="auto"/>
            <w:hideMark/>
          </w:tcPr>
          <w:p w14:paraId="051E3FF0" w14:textId="3030D5F9"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Social group</w:t>
            </w:r>
          </w:p>
        </w:tc>
        <w:tc>
          <w:tcPr>
            <w:tcW w:w="1134" w:type="dxa"/>
            <w:tcBorders>
              <w:top w:val="single" w:sz="8" w:space="0" w:color="auto"/>
              <w:bottom w:val="single" w:sz="8" w:space="0" w:color="auto"/>
            </w:tcBorders>
            <w:shd w:val="clear" w:color="auto" w:fill="auto"/>
            <w:hideMark/>
          </w:tcPr>
          <w:p w14:paraId="74878D70" w14:textId="77777777"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20DC0BC1" w14:textId="77777777"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1EEA5B1A" w14:textId="77777777" w:rsidTr="00852AD3">
        <w:trPr>
          <w:trHeight w:val="567"/>
        </w:trPr>
        <w:tc>
          <w:tcPr>
            <w:tcW w:w="2235" w:type="dxa"/>
            <w:tcBorders>
              <w:top w:val="single" w:sz="8" w:space="0" w:color="auto"/>
            </w:tcBorders>
            <w:shd w:val="clear" w:color="auto" w:fill="auto"/>
            <w:vAlign w:val="bottom"/>
          </w:tcPr>
          <w:p w14:paraId="21A24046" w14:textId="77777777" w:rsidR="00852AD3" w:rsidRPr="00CF31E0" w:rsidRDefault="00852AD3" w:rsidP="00D07B4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68887ADE" w14:textId="100A87AD" w:rsidR="00852AD3" w:rsidRPr="00CF31E0" w:rsidRDefault="00852AD3" w:rsidP="00646E7C">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.333</w:t>
            </w:r>
            <w:r w:rsidRPr="00CF31E0">
              <w:rPr>
                <w:rFonts w:asciiTheme="majorBidi" w:hAnsiTheme="majorBidi" w:cstheme="majorBid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33FD7E7D" w14:textId="21BBFA3B" w:rsidR="00852AD3" w:rsidRPr="00CF31E0" w:rsidRDefault="00852AD3" w:rsidP="00603CB7">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.564</w:t>
            </w:r>
          </w:p>
        </w:tc>
      </w:tr>
      <w:tr w:rsidR="00852AD3" w:rsidRPr="00CF31E0" w14:paraId="4C08E971" w14:textId="77777777" w:rsidTr="00852AD3">
        <w:trPr>
          <w:trHeight w:val="567"/>
        </w:trPr>
        <w:tc>
          <w:tcPr>
            <w:tcW w:w="2235" w:type="dxa"/>
            <w:shd w:val="clear" w:color="auto" w:fill="auto"/>
            <w:vAlign w:val="bottom"/>
          </w:tcPr>
          <w:p w14:paraId="1FB5B82F" w14:textId="77777777" w:rsidR="00852AD3" w:rsidRPr="00CF31E0" w:rsidRDefault="00852AD3" w:rsidP="00D07B4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Continuity Correction</w:t>
            </w:r>
            <w:r w:rsidRPr="00CF31E0">
              <w:rPr>
                <w:rFonts w:eastAsia="Calibri"/>
                <w:color w:val="000000" w:themeColor="text1"/>
                <w:sz w:val="22"/>
                <w:szCs w:val="22"/>
                <w:vertAlign w:val="superscript"/>
                <w:lang w:eastAsia="en-US"/>
              </w:rPr>
              <w:t>b</w:t>
            </w:r>
          </w:p>
        </w:tc>
        <w:tc>
          <w:tcPr>
            <w:tcW w:w="1134" w:type="dxa"/>
            <w:shd w:val="clear" w:color="auto" w:fill="auto"/>
            <w:vAlign w:val="bottom"/>
          </w:tcPr>
          <w:p w14:paraId="19679E58" w14:textId="73932FAB" w:rsidR="00852AD3" w:rsidRPr="00CF31E0" w:rsidRDefault="00852AD3" w:rsidP="00646E7C">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.185</w:t>
            </w:r>
          </w:p>
        </w:tc>
        <w:tc>
          <w:tcPr>
            <w:tcW w:w="3260" w:type="dxa"/>
            <w:shd w:val="clear" w:color="auto" w:fill="auto"/>
            <w:vAlign w:val="bottom"/>
          </w:tcPr>
          <w:p w14:paraId="231DDF36" w14:textId="0B69D77F" w:rsidR="00852AD3" w:rsidRPr="00CF31E0" w:rsidRDefault="00852AD3" w:rsidP="00603CB7">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.667</w:t>
            </w:r>
          </w:p>
        </w:tc>
      </w:tr>
      <w:tr w:rsidR="00852AD3" w:rsidRPr="00CF31E0" w14:paraId="1EFCA5F3" w14:textId="77777777" w:rsidTr="00852AD3">
        <w:trPr>
          <w:trHeight w:val="567"/>
        </w:trPr>
        <w:tc>
          <w:tcPr>
            <w:tcW w:w="2235" w:type="dxa"/>
            <w:tcBorders>
              <w:bottom w:val="single" w:sz="8" w:space="0" w:color="auto"/>
            </w:tcBorders>
            <w:shd w:val="clear" w:color="auto" w:fill="auto"/>
            <w:vAlign w:val="bottom"/>
          </w:tcPr>
          <w:p w14:paraId="0CF07131" w14:textId="77777777" w:rsidR="00852AD3" w:rsidRPr="00CF31E0" w:rsidRDefault="00852AD3" w:rsidP="00D07B4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7F330FCE" w14:textId="76FE10AE" w:rsidR="00852AD3" w:rsidRPr="00CF31E0" w:rsidRDefault="00852AD3" w:rsidP="00646E7C">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c>
          <w:tcPr>
            <w:tcW w:w="3260" w:type="dxa"/>
            <w:tcBorders>
              <w:bottom w:val="single" w:sz="8" w:space="0" w:color="auto"/>
            </w:tcBorders>
            <w:shd w:val="clear" w:color="auto" w:fill="auto"/>
            <w:vAlign w:val="bottom"/>
          </w:tcPr>
          <w:p w14:paraId="40C34A0D" w14:textId="77777777" w:rsidR="00852AD3" w:rsidRPr="00CF31E0" w:rsidRDefault="00852AD3" w:rsidP="00646E7C">
            <w:pPr>
              <w:spacing w:after="200" w:line="276" w:lineRule="auto"/>
              <w:rPr>
                <w:rFonts w:eastAsia="Calibri"/>
                <w:color w:val="000000" w:themeColor="text1"/>
                <w:sz w:val="22"/>
                <w:szCs w:val="22"/>
                <w:lang w:eastAsia="en-US"/>
              </w:rPr>
            </w:pPr>
          </w:p>
        </w:tc>
      </w:tr>
    </w:tbl>
    <w:p w14:paraId="250B92B0" w14:textId="77777777" w:rsidR="00596ED9" w:rsidRPr="00CF31E0" w:rsidRDefault="00596ED9">
      <w:pPr>
        <w:rPr>
          <w:color w:val="000000" w:themeColor="text1"/>
          <w:lang w:eastAsia="en-US"/>
        </w:rPr>
      </w:pPr>
    </w:p>
    <w:p w14:paraId="560BD474" w14:textId="77777777" w:rsidR="00596ED9" w:rsidRPr="00CF31E0" w:rsidRDefault="00596ED9">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238CA869" w14:textId="77777777" w:rsidTr="00852AD3">
        <w:trPr>
          <w:trHeight w:val="567"/>
        </w:trPr>
        <w:tc>
          <w:tcPr>
            <w:tcW w:w="2235" w:type="dxa"/>
            <w:tcBorders>
              <w:top w:val="single" w:sz="8" w:space="0" w:color="auto"/>
              <w:bottom w:val="single" w:sz="8" w:space="0" w:color="auto"/>
            </w:tcBorders>
            <w:shd w:val="clear" w:color="auto" w:fill="auto"/>
            <w:hideMark/>
          </w:tcPr>
          <w:p w14:paraId="46FBD8C4" w14:textId="48F657D9"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Mother’s social group</w:t>
            </w:r>
          </w:p>
        </w:tc>
        <w:tc>
          <w:tcPr>
            <w:tcW w:w="1134" w:type="dxa"/>
            <w:tcBorders>
              <w:top w:val="single" w:sz="8" w:space="0" w:color="auto"/>
              <w:bottom w:val="single" w:sz="8" w:space="0" w:color="auto"/>
            </w:tcBorders>
            <w:shd w:val="clear" w:color="auto" w:fill="auto"/>
            <w:hideMark/>
          </w:tcPr>
          <w:p w14:paraId="46B7B0E4" w14:textId="77777777"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6B6BD9BA" w14:textId="77777777"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160B98C0" w14:textId="77777777" w:rsidTr="00852AD3">
        <w:trPr>
          <w:trHeight w:val="567"/>
        </w:trPr>
        <w:tc>
          <w:tcPr>
            <w:tcW w:w="2235" w:type="dxa"/>
            <w:tcBorders>
              <w:top w:val="single" w:sz="8" w:space="0" w:color="auto"/>
            </w:tcBorders>
            <w:shd w:val="clear" w:color="auto" w:fill="auto"/>
            <w:vAlign w:val="bottom"/>
          </w:tcPr>
          <w:p w14:paraId="662596F0" w14:textId="77777777" w:rsidR="00852AD3" w:rsidRPr="00CF31E0" w:rsidRDefault="00852AD3" w:rsidP="00D07B4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4B1C6A60" w14:textId="1C3A5EC6" w:rsidR="00852AD3" w:rsidRPr="00CF31E0" w:rsidRDefault="00852AD3" w:rsidP="00646E7C">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.806</w:t>
            </w:r>
            <w:r w:rsidRPr="00CF31E0">
              <w:rPr>
                <w:rFonts w:asciiTheme="majorBidi" w:hAnsiTheme="majorBidi" w:cstheme="majorBid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0904BE77" w14:textId="5DBDD029" w:rsidR="00852AD3" w:rsidRPr="00CF31E0" w:rsidRDefault="00852AD3" w:rsidP="00646E7C">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.668</w:t>
            </w:r>
          </w:p>
        </w:tc>
      </w:tr>
      <w:tr w:rsidR="00852AD3" w:rsidRPr="00CF31E0" w14:paraId="1C690409" w14:textId="77777777" w:rsidTr="00852AD3">
        <w:trPr>
          <w:trHeight w:val="567"/>
        </w:trPr>
        <w:tc>
          <w:tcPr>
            <w:tcW w:w="2235" w:type="dxa"/>
            <w:tcBorders>
              <w:bottom w:val="single" w:sz="8" w:space="0" w:color="auto"/>
            </w:tcBorders>
            <w:shd w:val="clear" w:color="auto" w:fill="auto"/>
            <w:vAlign w:val="bottom"/>
          </w:tcPr>
          <w:p w14:paraId="55EFB618" w14:textId="77777777" w:rsidR="00852AD3" w:rsidRPr="00CF31E0" w:rsidRDefault="00852AD3" w:rsidP="00D07B4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6829A755" w14:textId="31301EE4" w:rsidR="00852AD3" w:rsidRPr="00CF31E0" w:rsidRDefault="00852AD3" w:rsidP="00646E7C">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c>
          <w:tcPr>
            <w:tcW w:w="3260" w:type="dxa"/>
            <w:tcBorders>
              <w:bottom w:val="single" w:sz="8" w:space="0" w:color="auto"/>
            </w:tcBorders>
            <w:shd w:val="clear" w:color="auto" w:fill="auto"/>
            <w:vAlign w:val="bottom"/>
          </w:tcPr>
          <w:p w14:paraId="677F5EE9" w14:textId="77777777" w:rsidR="00852AD3" w:rsidRPr="00CF31E0" w:rsidRDefault="00852AD3" w:rsidP="00646E7C">
            <w:pPr>
              <w:spacing w:after="200" w:line="276" w:lineRule="auto"/>
              <w:rPr>
                <w:rFonts w:eastAsia="Calibri"/>
                <w:color w:val="000000" w:themeColor="text1"/>
                <w:sz w:val="22"/>
                <w:szCs w:val="22"/>
                <w:lang w:eastAsia="en-US"/>
              </w:rPr>
            </w:pPr>
          </w:p>
        </w:tc>
      </w:tr>
    </w:tbl>
    <w:p w14:paraId="39FDA9AF" w14:textId="77777777" w:rsidR="005467E8" w:rsidRPr="00CF31E0" w:rsidRDefault="005467E8">
      <w:pPr>
        <w:rPr>
          <w:color w:val="000000" w:themeColor="text1"/>
          <w:lang w:eastAsia="en-US"/>
        </w:rPr>
      </w:pPr>
    </w:p>
    <w:p w14:paraId="7FA70FC1" w14:textId="77777777" w:rsidR="005467E8" w:rsidRPr="00CF31E0" w:rsidRDefault="005467E8">
      <w:pPr>
        <w:rPr>
          <w:color w:val="000000" w:themeColor="text1"/>
          <w:lang w:eastAsia="en-US"/>
        </w:rPr>
      </w:pPr>
    </w:p>
    <w:p w14:paraId="3EF27171" w14:textId="77777777" w:rsidR="007E4A40" w:rsidRPr="00CF31E0" w:rsidRDefault="007E4A40">
      <w:pPr>
        <w:rPr>
          <w:color w:val="000000" w:themeColor="text1"/>
          <w:lang w:eastAsia="en-US"/>
        </w:rPr>
      </w:pPr>
    </w:p>
    <w:p w14:paraId="75F6C926" w14:textId="77777777" w:rsidR="007E4A40" w:rsidRPr="00CF31E0" w:rsidRDefault="007E4A40">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6ECCAB84" w14:textId="77777777" w:rsidTr="00852AD3">
        <w:trPr>
          <w:trHeight w:val="567"/>
        </w:trPr>
        <w:tc>
          <w:tcPr>
            <w:tcW w:w="2235" w:type="dxa"/>
            <w:tcBorders>
              <w:top w:val="single" w:sz="8" w:space="0" w:color="auto"/>
              <w:bottom w:val="single" w:sz="8" w:space="0" w:color="auto"/>
            </w:tcBorders>
            <w:shd w:val="clear" w:color="auto" w:fill="auto"/>
            <w:hideMark/>
          </w:tcPr>
          <w:p w14:paraId="3904B43F" w14:textId="58BD9B86"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lastRenderedPageBreak/>
              <w:t>Spouse’s social group</w:t>
            </w:r>
          </w:p>
        </w:tc>
        <w:tc>
          <w:tcPr>
            <w:tcW w:w="1134" w:type="dxa"/>
            <w:tcBorders>
              <w:top w:val="single" w:sz="8" w:space="0" w:color="auto"/>
              <w:bottom w:val="single" w:sz="8" w:space="0" w:color="auto"/>
            </w:tcBorders>
            <w:shd w:val="clear" w:color="auto" w:fill="auto"/>
            <w:hideMark/>
          </w:tcPr>
          <w:p w14:paraId="0483B10D" w14:textId="77777777"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7284E185" w14:textId="77777777"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221FA105" w14:textId="77777777" w:rsidTr="00852AD3">
        <w:trPr>
          <w:trHeight w:val="567"/>
        </w:trPr>
        <w:tc>
          <w:tcPr>
            <w:tcW w:w="2235" w:type="dxa"/>
            <w:tcBorders>
              <w:top w:val="single" w:sz="8" w:space="0" w:color="auto"/>
            </w:tcBorders>
            <w:shd w:val="clear" w:color="auto" w:fill="auto"/>
            <w:vAlign w:val="bottom"/>
          </w:tcPr>
          <w:p w14:paraId="3CDCDF10" w14:textId="77777777" w:rsidR="00852AD3" w:rsidRPr="00CF31E0" w:rsidRDefault="00852AD3" w:rsidP="00D07B4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00664940" w14:textId="3CA45F6E" w:rsidR="00852AD3" w:rsidRPr="00CF31E0" w:rsidRDefault="00852AD3" w:rsidP="00646E7C">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6.156</w:t>
            </w:r>
            <w:r w:rsidRPr="00CF31E0">
              <w:rPr>
                <w:rFonts w:asciiTheme="majorBidi" w:hAnsiTheme="majorBidi" w:cstheme="majorBid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0B219361" w14:textId="58C5F3CE" w:rsidR="00852AD3" w:rsidRPr="00CF31E0" w:rsidRDefault="00852AD3" w:rsidP="00646E7C">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.188</w:t>
            </w:r>
          </w:p>
        </w:tc>
      </w:tr>
      <w:tr w:rsidR="00852AD3" w:rsidRPr="00CF31E0" w14:paraId="3FE180CB" w14:textId="77777777" w:rsidTr="00852AD3">
        <w:trPr>
          <w:trHeight w:val="567"/>
        </w:trPr>
        <w:tc>
          <w:tcPr>
            <w:tcW w:w="2235" w:type="dxa"/>
            <w:tcBorders>
              <w:bottom w:val="single" w:sz="8" w:space="0" w:color="auto"/>
            </w:tcBorders>
            <w:shd w:val="clear" w:color="auto" w:fill="auto"/>
            <w:vAlign w:val="bottom"/>
          </w:tcPr>
          <w:p w14:paraId="3270F9CF" w14:textId="77777777" w:rsidR="00852AD3" w:rsidRPr="00CF31E0" w:rsidRDefault="00852AD3" w:rsidP="00D07B4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332C4E7F" w14:textId="1ED1C300" w:rsidR="00852AD3" w:rsidRPr="00CF31E0" w:rsidRDefault="00852AD3" w:rsidP="00646E7C">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c>
          <w:tcPr>
            <w:tcW w:w="3260" w:type="dxa"/>
            <w:tcBorders>
              <w:bottom w:val="single" w:sz="8" w:space="0" w:color="auto"/>
            </w:tcBorders>
            <w:shd w:val="clear" w:color="auto" w:fill="auto"/>
            <w:vAlign w:val="bottom"/>
          </w:tcPr>
          <w:p w14:paraId="42C94ED1" w14:textId="77777777" w:rsidR="00852AD3" w:rsidRPr="00CF31E0" w:rsidRDefault="00852AD3" w:rsidP="00646E7C">
            <w:pPr>
              <w:spacing w:after="200" w:line="276" w:lineRule="auto"/>
              <w:rPr>
                <w:rFonts w:eastAsia="Calibri"/>
                <w:color w:val="000000" w:themeColor="text1"/>
                <w:sz w:val="22"/>
                <w:szCs w:val="22"/>
                <w:lang w:eastAsia="en-US"/>
              </w:rPr>
            </w:pPr>
          </w:p>
        </w:tc>
      </w:tr>
    </w:tbl>
    <w:p w14:paraId="26B6414D" w14:textId="77777777" w:rsidR="005467E8" w:rsidRPr="00CF31E0" w:rsidRDefault="005467E8">
      <w:pPr>
        <w:rPr>
          <w:color w:val="000000" w:themeColor="text1"/>
          <w:lang w:eastAsia="en-US"/>
        </w:rPr>
      </w:pPr>
    </w:p>
    <w:p w14:paraId="6D215D6A" w14:textId="77777777" w:rsidR="005467E8" w:rsidRPr="00CF31E0" w:rsidRDefault="005467E8">
      <w:pPr>
        <w:rPr>
          <w:color w:val="000000" w:themeColor="text1"/>
          <w:lang w:eastAsia="en-US"/>
        </w:rPr>
      </w:pPr>
    </w:p>
    <w:p w14:paraId="5C179C4E" w14:textId="77777777" w:rsidR="005467E8" w:rsidRPr="00CF31E0" w:rsidRDefault="005467E8" w:rsidP="005467E8">
      <w:pPr>
        <w:numPr>
          <w:ilvl w:val="0"/>
          <w:numId w:val="73"/>
        </w:numPr>
        <w:contextualSpacing/>
        <w:rPr>
          <w:rFonts w:eastAsia="MS Mincho"/>
          <w:b/>
          <w:bCs/>
          <w:color w:val="000000" w:themeColor="text1"/>
          <w:sz w:val="28"/>
          <w:szCs w:val="28"/>
          <w:lang w:eastAsia="en-US"/>
        </w:rPr>
      </w:pPr>
      <w:r w:rsidRPr="00CF31E0">
        <w:rPr>
          <w:rFonts w:eastAsia="MS Mincho"/>
          <w:b/>
          <w:bCs/>
          <w:color w:val="000000" w:themeColor="text1"/>
          <w:sz w:val="28"/>
          <w:szCs w:val="28"/>
          <w:lang w:eastAsia="en-US"/>
        </w:rPr>
        <w:t>VS4</w:t>
      </w:r>
    </w:p>
    <w:p w14:paraId="2AE7C21D" w14:textId="77777777" w:rsidR="005467E8" w:rsidRPr="00CF31E0" w:rsidRDefault="005467E8">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1DCE8FC4" w14:textId="77777777" w:rsidTr="00852AD3">
        <w:trPr>
          <w:trHeight w:val="567"/>
        </w:trPr>
        <w:tc>
          <w:tcPr>
            <w:tcW w:w="2235" w:type="dxa"/>
            <w:tcBorders>
              <w:top w:val="single" w:sz="8" w:space="0" w:color="auto"/>
              <w:bottom w:val="single" w:sz="8" w:space="0" w:color="auto"/>
            </w:tcBorders>
            <w:shd w:val="clear" w:color="auto" w:fill="auto"/>
            <w:hideMark/>
          </w:tcPr>
          <w:p w14:paraId="47D7B4A9" w14:textId="65EB3E1E"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Age</w:t>
            </w:r>
          </w:p>
        </w:tc>
        <w:tc>
          <w:tcPr>
            <w:tcW w:w="1134" w:type="dxa"/>
            <w:tcBorders>
              <w:top w:val="single" w:sz="8" w:space="0" w:color="auto"/>
              <w:bottom w:val="single" w:sz="8" w:space="0" w:color="auto"/>
            </w:tcBorders>
            <w:shd w:val="clear" w:color="auto" w:fill="auto"/>
            <w:hideMark/>
          </w:tcPr>
          <w:p w14:paraId="393A9668" w14:textId="77777777"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42C86B70" w14:textId="77777777"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2950AB36" w14:textId="77777777" w:rsidTr="00852AD3">
        <w:trPr>
          <w:trHeight w:val="567"/>
        </w:trPr>
        <w:tc>
          <w:tcPr>
            <w:tcW w:w="2235" w:type="dxa"/>
            <w:tcBorders>
              <w:top w:val="single" w:sz="8" w:space="0" w:color="auto"/>
            </w:tcBorders>
            <w:shd w:val="clear" w:color="auto" w:fill="auto"/>
            <w:vAlign w:val="bottom"/>
          </w:tcPr>
          <w:p w14:paraId="186E1125" w14:textId="77777777" w:rsidR="00852AD3" w:rsidRPr="00CF31E0" w:rsidRDefault="00852AD3" w:rsidP="00D07B4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51948218" w14:textId="01FB3508" w:rsidR="00852AD3" w:rsidRPr="00CF31E0" w:rsidRDefault="00852AD3" w:rsidP="00646E7C">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7.950</w:t>
            </w:r>
            <w:r w:rsidRPr="00CF31E0">
              <w:rPr>
                <w:rFonts w:asciiTheme="majorBidi" w:hAnsiTheme="majorBidi" w:cstheme="majorBid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13C93706" w14:textId="72DB7F1D" w:rsidR="00852AD3" w:rsidRPr="00CF31E0" w:rsidRDefault="00852AD3" w:rsidP="00646E7C">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.159</w:t>
            </w:r>
          </w:p>
        </w:tc>
      </w:tr>
      <w:tr w:rsidR="00852AD3" w:rsidRPr="00CF31E0" w14:paraId="1C8D9F61" w14:textId="77777777" w:rsidTr="00852AD3">
        <w:trPr>
          <w:trHeight w:val="567"/>
        </w:trPr>
        <w:tc>
          <w:tcPr>
            <w:tcW w:w="2235" w:type="dxa"/>
            <w:tcBorders>
              <w:bottom w:val="single" w:sz="8" w:space="0" w:color="auto"/>
            </w:tcBorders>
            <w:shd w:val="clear" w:color="auto" w:fill="auto"/>
            <w:vAlign w:val="bottom"/>
          </w:tcPr>
          <w:p w14:paraId="16C4FBC7" w14:textId="77777777" w:rsidR="00852AD3" w:rsidRPr="00CF31E0" w:rsidRDefault="00852AD3" w:rsidP="00D07B4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1DFBCDDF" w14:textId="7D135C39" w:rsidR="00852AD3" w:rsidRPr="00CF31E0" w:rsidRDefault="00852AD3" w:rsidP="00646E7C">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c>
          <w:tcPr>
            <w:tcW w:w="3260" w:type="dxa"/>
            <w:tcBorders>
              <w:bottom w:val="single" w:sz="8" w:space="0" w:color="auto"/>
            </w:tcBorders>
            <w:shd w:val="clear" w:color="auto" w:fill="auto"/>
            <w:vAlign w:val="bottom"/>
          </w:tcPr>
          <w:p w14:paraId="3B0A7DEC" w14:textId="77777777" w:rsidR="00852AD3" w:rsidRPr="00CF31E0" w:rsidRDefault="00852AD3" w:rsidP="00646E7C">
            <w:pPr>
              <w:spacing w:after="200" w:line="276" w:lineRule="auto"/>
              <w:rPr>
                <w:rFonts w:eastAsia="Calibri"/>
                <w:color w:val="000000" w:themeColor="text1"/>
                <w:sz w:val="22"/>
                <w:szCs w:val="22"/>
                <w:lang w:eastAsia="en-US"/>
              </w:rPr>
            </w:pPr>
          </w:p>
        </w:tc>
      </w:tr>
    </w:tbl>
    <w:p w14:paraId="0BC27E3D" w14:textId="77777777" w:rsidR="005467E8" w:rsidRPr="00CF31E0" w:rsidRDefault="005467E8">
      <w:pPr>
        <w:rPr>
          <w:color w:val="000000" w:themeColor="text1"/>
          <w:lang w:eastAsia="en-US"/>
        </w:rPr>
      </w:pPr>
    </w:p>
    <w:p w14:paraId="530833C4" w14:textId="77777777" w:rsidR="005467E8" w:rsidRPr="00CF31E0" w:rsidRDefault="005467E8">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5514BE21" w14:textId="77777777" w:rsidTr="00852AD3">
        <w:trPr>
          <w:trHeight w:val="567"/>
        </w:trPr>
        <w:tc>
          <w:tcPr>
            <w:tcW w:w="2235" w:type="dxa"/>
            <w:tcBorders>
              <w:top w:val="single" w:sz="8" w:space="0" w:color="auto"/>
              <w:bottom w:val="single" w:sz="8" w:space="0" w:color="auto"/>
            </w:tcBorders>
            <w:shd w:val="clear" w:color="auto" w:fill="auto"/>
            <w:hideMark/>
          </w:tcPr>
          <w:p w14:paraId="56F09C7F" w14:textId="1278109F"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Place of birth</w:t>
            </w:r>
          </w:p>
        </w:tc>
        <w:tc>
          <w:tcPr>
            <w:tcW w:w="1134" w:type="dxa"/>
            <w:tcBorders>
              <w:top w:val="single" w:sz="8" w:space="0" w:color="auto"/>
              <w:bottom w:val="single" w:sz="8" w:space="0" w:color="auto"/>
            </w:tcBorders>
            <w:shd w:val="clear" w:color="auto" w:fill="auto"/>
            <w:hideMark/>
          </w:tcPr>
          <w:p w14:paraId="67B0929F" w14:textId="77777777"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1CD93D63" w14:textId="77777777"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6CAEE905" w14:textId="77777777" w:rsidTr="00852AD3">
        <w:trPr>
          <w:trHeight w:val="567"/>
        </w:trPr>
        <w:tc>
          <w:tcPr>
            <w:tcW w:w="2235" w:type="dxa"/>
            <w:tcBorders>
              <w:top w:val="single" w:sz="8" w:space="0" w:color="auto"/>
            </w:tcBorders>
            <w:shd w:val="clear" w:color="auto" w:fill="auto"/>
            <w:vAlign w:val="bottom"/>
          </w:tcPr>
          <w:p w14:paraId="17CED68D" w14:textId="77777777" w:rsidR="00852AD3" w:rsidRPr="00CF31E0" w:rsidRDefault="00852AD3" w:rsidP="00646E7C">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75099B89" w14:textId="22689D69" w:rsidR="00852AD3" w:rsidRPr="00CF31E0" w:rsidRDefault="00852AD3" w:rsidP="00646E7C">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.002</w:t>
            </w:r>
            <w:r w:rsidRPr="00CF31E0">
              <w:rPr>
                <w:rFonts w:asciiTheme="majorBidi" w:hAnsiTheme="majorBidi" w:cstheme="majorBid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12A8B185" w14:textId="1AC68294" w:rsidR="00852AD3" w:rsidRPr="00CF31E0" w:rsidRDefault="00852AD3" w:rsidP="00603CB7">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.965</w:t>
            </w:r>
          </w:p>
        </w:tc>
      </w:tr>
      <w:tr w:rsidR="00852AD3" w:rsidRPr="00CF31E0" w14:paraId="08304B6C" w14:textId="77777777" w:rsidTr="00852AD3">
        <w:trPr>
          <w:trHeight w:val="567"/>
        </w:trPr>
        <w:tc>
          <w:tcPr>
            <w:tcW w:w="2235" w:type="dxa"/>
            <w:shd w:val="clear" w:color="auto" w:fill="auto"/>
            <w:vAlign w:val="bottom"/>
          </w:tcPr>
          <w:p w14:paraId="0D2E5D61" w14:textId="77777777" w:rsidR="00852AD3" w:rsidRPr="00CF31E0" w:rsidRDefault="00852AD3" w:rsidP="00646E7C">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Continuity Correction</w:t>
            </w:r>
            <w:r w:rsidRPr="00CF31E0">
              <w:rPr>
                <w:rFonts w:eastAsia="Calibri"/>
                <w:color w:val="000000" w:themeColor="text1"/>
                <w:sz w:val="22"/>
                <w:szCs w:val="22"/>
                <w:vertAlign w:val="superscript"/>
                <w:lang w:eastAsia="en-US"/>
              </w:rPr>
              <w:t>b</w:t>
            </w:r>
          </w:p>
        </w:tc>
        <w:tc>
          <w:tcPr>
            <w:tcW w:w="1134" w:type="dxa"/>
            <w:shd w:val="clear" w:color="auto" w:fill="auto"/>
            <w:vAlign w:val="bottom"/>
          </w:tcPr>
          <w:p w14:paraId="46C10FC1" w14:textId="39A70109" w:rsidR="00852AD3" w:rsidRPr="00CF31E0" w:rsidRDefault="00852AD3" w:rsidP="00646E7C">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.000</w:t>
            </w:r>
          </w:p>
        </w:tc>
        <w:tc>
          <w:tcPr>
            <w:tcW w:w="3260" w:type="dxa"/>
            <w:shd w:val="clear" w:color="auto" w:fill="auto"/>
            <w:vAlign w:val="bottom"/>
          </w:tcPr>
          <w:p w14:paraId="73FE91E7" w14:textId="136FE8E8" w:rsidR="00852AD3" w:rsidRPr="00CF31E0" w:rsidRDefault="00852AD3" w:rsidP="00603CB7">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1.000</w:t>
            </w:r>
          </w:p>
        </w:tc>
      </w:tr>
      <w:tr w:rsidR="00852AD3" w:rsidRPr="00CF31E0" w14:paraId="7F8827B2" w14:textId="77777777" w:rsidTr="00852AD3">
        <w:trPr>
          <w:trHeight w:val="567"/>
        </w:trPr>
        <w:tc>
          <w:tcPr>
            <w:tcW w:w="2235" w:type="dxa"/>
            <w:tcBorders>
              <w:bottom w:val="single" w:sz="8" w:space="0" w:color="auto"/>
            </w:tcBorders>
            <w:shd w:val="clear" w:color="auto" w:fill="auto"/>
            <w:vAlign w:val="bottom"/>
          </w:tcPr>
          <w:p w14:paraId="3FCA357E" w14:textId="77777777" w:rsidR="00852AD3" w:rsidRPr="00CF31E0" w:rsidRDefault="00852AD3" w:rsidP="00646E7C">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4B72F2A6" w14:textId="00CCC06D" w:rsidR="00852AD3" w:rsidRPr="00CF31E0" w:rsidRDefault="00852AD3" w:rsidP="00646E7C">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c>
          <w:tcPr>
            <w:tcW w:w="3260" w:type="dxa"/>
            <w:tcBorders>
              <w:bottom w:val="single" w:sz="8" w:space="0" w:color="auto"/>
            </w:tcBorders>
            <w:shd w:val="clear" w:color="auto" w:fill="auto"/>
            <w:vAlign w:val="bottom"/>
          </w:tcPr>
          <w:p w14:paraId="372AC9B0" w14:textId="77777777" w:rsidR="00852AD3" w:rsidRPr="00CF31E0" w:rsidRDefault="00852AD3" w:rsidP="00646E7C">
            <w:pPr>
              <w:spacing w:after="200" w:line="276" w:lineRule="auto"/>
              <w:rPr>
                <w:rFonts w:eastAsia="Calibri"/>
                <w:color w:val="000000" w:themeColor="text1"/>
                <w:sz w:val="22"/>
                <w:szCs w:val="22"/>
                <w:lang w:eastAsia="en-US"/>
              </w:rPr>
            </w:pPr>
          </w:p>
        </w:tc>
      </w:tr>
    </w:tbl>
    <w:p w14:paraId="37FADB51" w14:textId="77777777" w:rsidR="005467E8" w:rsidRPr="00CF31E0" w:rsidRDefault="005467E8">
      <w:pPr>
        <w:rPr>
          <w:color w:val="000000" w:themeColor="text1"/>
          <w:lang w:eastAsia="en-US"/>
        </w:rPr>
      </w:pPr>
    </w:p>
    <w:p w14:paraId="3A4A7CD8" w14:textId="77777777" w:rsidR="005467E8" w:rsidRPr="00CF31E0" w:rsidRDefault="005467E8">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718AE605" w14:textId="77777777" w:rsidTr="00852AD3">
        <w:trPr>
          <w:trHeight w:val="567"/>
        </w:trPr>
        <w:tc>
          <w:tcPr>
            <w:tcW w:w="2235" w:type="dxa"/>
            <w:tcBorders>
              <w:top w:val="single" w:sz="8" w:space="0" w:color="auto"/>
              <w:bottom w:val="single" w:sz="8" w:space="0" w:color="auto"/>
            </w:tcBorders>
            <w:shd w:val="clear" w:color="auto" w:fill="auto"/>
            <w:hideMark/>
          </w:tcPr>
          <w:p w14:paraId="74182476" w14:textId="42C71B3B" w:rsidR="00852AD3" w:rsidRPr="00CF31E0" w:rsidRDefault="00852AD3" w:rsidP="00646E7C">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Places lived</w:t>
            </w:r>
          </w:p>
        </w:tc>
        <w:tc>
          <w:tcPr>
            <w:tcW w:w="1134" w:type="dxa"/>
            <w:tcBorders>
              <w:top w:val="single" w:sz="8" w:space="0" w:color="auto"/>
              <w:bottom w:val="single" w:sz="8" w:space="0" w:color="auto"/>
            </w:tcBorders>
            <w:shd w:val="clear" w:color="auto" w:fill="auto"/>
            <w:hideMark/>
          </w:tcPr>
          <w:p w14:paraId="5D3BB7AE" w14:textId="77777777"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13670080" w14:textId="77777777"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3EA7484A" w14:textId="77777777" w:rsidTr="00852AD3">
        <w:trPr>
          <w:trHeight w:val="567"/>
        </w:trPr>
        <w:tc>
          <w:tcPr>
            <w:tcW w:w="2235" w:type="dxa"/>
            <w:tcBorders>
              <w:top w:val="single" w:sz="8" w:space="0" w:color="auto"/>
            </w:tcBorders>
            <w:shd w:val="clear" w:color="auto" w:fill="auto"/>
            <w:vAlign w:val="bottom"/>
          </w:tcPr>
          <w:p w14:paraId="78A73E81" w14:textId="77777777" w:rsidR="00852AD3" w:rsidRPr="00CF31E0" w:rsidRDefault="00852AD3" w:rsidP="00D07B4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4315E242" w14:textId="75E7EEB1" w:rsidR="00852AD3" w:rsidRPr="00CF31E0" w:rsidRDefault="00852AD3" w:rsidP="00646E7C">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.605</w:t>
            </w:r>
            <w:r w:rsidRPr="00CF31E0">
              <w:rPr>
                <w:rFonts w:asciiTheme="majorBidi" w:hAnsiTheme="majorBidi" w:cstheme="majorBid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45D2AF99" w14:textId="7B710612" w:rsidR="00852AD3" w:rsidRPr="00CF31E0" w:rsidRDefault="00852AD3" w:rsidP="00646E7C">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.437</w:t>
            </w:r>
          </w:p>
        </w:tc>
      </w:tr>
      <w:tr w:rsidR="00852AD3" w:rsidRPr="00CF31E0" w14:paraId="356EBBA2" w14:textId="77777777" w:rsidTr="00852AD3">
        <w:trPr>
          <w:trHeight w:val="567"/>
        </w:trPr>
        <w:tc>
          <w:tcPr>
            <w:tcW w:w="2235" w:type="dxa"/>
            <w:shd w:val="clear" w:color="auto" w:fill="auto"/>
            <w:vAlign w:val="bottom"/>
          </w:tcPr>
          <w:p w14:paraId="328D1234" w14:textId="77777777" w:rsidR="00852AD3" w:rsidRPr="00CF31E0" w:rsidRDefault="00852AD3" w:rsidP="00D07B4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Continuity Correction</w:t>
            </w:r>
            <w:r w:rsidRPr="00CF31E0">
              <w:rPr>
                <w:rFonts w:eastAsia="Calibri"/>
                <w:color w:val="000000" w:themeColor="text1"/>
                <w:sz w:val="22"/>
                <w:szCs w:val="22"/>
                <w:vertAlign w:val="superscript"/>
                <w:lang w:eastAsia="en-US"/>
              </w:rPr>
              <w:t>b</w:t>
            </w:r>
          </w:p>
        </w:tc>
        <w:tc>
          <w:tcPr>
            <w:tcW w:w="1134" w:type="dxa"/>
            <w:shd w:val="clear" w:color="auto" w:fill="auto"/>
            <w:vAlign w:val="bottom"/>
          </w:tcPr>
          <w:p w14:paraId="69002E21" w14:textId="1BCDC6B0" w:rsidR="00852AD3" w:rsidRPr="00CF31E0" w:rsidRDefault="00852AD3" w:rsidP="00646E7C">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.219</w:t>
            </w:r>
          </w:p>
        </w:tc>
        <w:tc>
          <w:tcPr>
            <w:tcW w:w="3260" w:type="dxa"/>
            <w:shd w:val="clear" w:color="auto" w:fill="auto"/>
            <w:vAlign w:val="bottom"/>
          </w:tcPr>
          <w:p w14:paraId="7BCAFD92" w14:textId="7297A700" w:rsidR="00852AD3" w:rsidRPr="00CF31E0" w:rsidRDefault="00852AD3" w:rsidP="00646E7C">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.640</w:t>
            </w:r>
          </w:p>
        </w:tc>
      </w:tr>
      <w:tr w:rsidR="00852AD3" w:rsidRPr="00CF31E0" w14:paraId="3FB1C1A6" w14:textId="77777777" w:rsidTr="00852AD3">
        <w:trPr>
          <w:trHeight w:val="567"/>
        </w:trPr>
        <w:tc>
          <w:tcPr>
            <w:tcW w:w="2235" w:type="dxa"/>
            <w:tcBorders>
              <w:bottom w:val="single" w:sz="8" w:space="0" w:color="auto"/>
            </w:tcBorders>
            <w:shd w:val="clear" w:color="auto" w:fill="auto"/>
            <w:vAlign w:val="bottom"/>
          </w:tcPr>
          <w:p w14:paraId="7420F769" w14:textId="77777777" w:rsidR="00852AD3" w:rsidRPr="00CF31E0" w:rsidRDefault="00852AD3" w:rsidP="00D07B4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2FC074E0" w14:textId="636D2F9B" w:rsidR="00852AD3" w:rsidRPr="00CF31E0" w:rsidRDefault="00852AD3" w:rsidP="00646E7C">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c>
          <w:tcPr>
            <w:tcW w:w="3260" w:type="dxa"/>
            <w:tcBorders>
              <w:bottom w:val="single" w:sz="8" w:space="0" w:color="auto"/>
            </w:tcBorders>
            <w:shd w:val="clear" w:color="auto" w:fill="auto"/>
            <w:vAlign w:val="bottom"/>
          </w:tcPr>
          <w:p w14:paraId="7D62505C" w14:textId="77777777" w:rsidR="00852AD3" w:rsidRPr="00CF31E0" w:rsidRDefault="00852AD3" w:rsidP="00646E7C">
            <w:pPr>
              <w:spacing w:after="200" w:line="276" w:lineRule="auto"/>
              <w:rPr>
                <w:rFonts w:eastAsia="Calibri"/>
                <w:color w:val="000000" w:themeColor="text1"/>
                <w:sz w:val="22"/>
                <w:szCs w:val="22"/>
                <w:lang w:eastAsia="en-US"/>
              </w:rPr>
            </w:pPr>
          </w:p>
        </w:tc>
      </w:tr>
    </w:tbl>
    <w:p w14:paraId="56085A27" w14:textId="77777777" w:rsidR="005467E8" w:rsidRPr="00CF31E0" w:rsidRDefault="005467E8">
      <w:pPr>
        <w:rPr>
          <w:color w:val="000000" w:themeColor="text1"/>
          <w:lang w:eastAsia="en-US"/>
        </w:rPr>
      </w:pPr>
    </w:p>
    <w:p w14:paraId="7976A8D3" w14:textId="77777777" w:rsidR="00852AD3" w:rsidRPr="00CF31E0" w:rsidRDefault="00852AD3">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2589FC11" w14:textId="77777777" w:rsidTr="00852AD3">
        <w:trPr>
          <w:trHeight w:val="567"/>
        </w:trPr>
        <w:tc>
          <w:tcPr>
            <w:tcW w:w="2235" w:type="dxa"/>
            <w:tcBorders>
              <w:top w:val="single" w:sz="8" w:space="0" w:color="auto"/>
              <w:bottom w:val="single" w:sz="8" w:space="0" w:color="auto"/>
            </w:tcBorders>
            <w:shd w:val="clear" w:color="auto" w:fill="auto"/>
            <w:hideMark/>
          </w:tcPr>
          <w:p w14:paraId="50827BEA" w14:textId="28C40C57"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Marital status</w:t>
            </w:r>
          </w:p>
        </w:tc>
        <w:tc>
          <w:tcPr>
            <w:tcW w:w="1134" w:type="dxa"/>
            <w:tcBorders>
              <w:top w:val="single" w:sz="8" w:space="0" w:color="auto"/>
              <w:bottom w:val="single" w:sz="8" w:space="0" w:color="auto"/>
            </w:tcBorders>
            <w:shd w:val="clear" w:color="auto" w:fill="auto"/>
            <w:hideMark/>
          </w:tcPr>
          <w:p w14:paraId="38D8AE3A" w14:textId="77777777"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12320F84" w14:textId="77777777"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5E9E09D0" w14:textId="77777777" w:rsidTr="00852AD3">
        <w:trPr>
          <w:trHeight w:val="567"/>
        </w:trPr>
        <w:tc>
          <w:tcPr>
            <w:tcW w:w="2235" w:type="dxa"/>
            <w:tcBorders>
              <w:top w:val="single" w:sz="8" w:space="0" w:color="auto"/>
            </w:tcBorders>
            <w:shd w:val="clear" w:color="auto" w:fill="auto"/>
            <w:vAlign w:val="bottom"/>
          </w:tcPr>
          <w:p w14:paraId="3997EC19" w14:textId="77777777" w:rsidR="00852AD3" w:rsidRPr="00CF31E0" w:rsidRDefault="00852AD3" w:rsidP="00D07B4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14493F58" w14:textId="29650974" w:rsidR="00852AD3" w:rsidRPr="00CF31E0" w:rsidRDefault="00852AD3" w:rsidP="00646E7C">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.420</w:t>
            </w:r>
            <w:r w:rsidRPr="00CF31E0">
              <w:rPr>
                <w:rFonts w:asciiTheme="majorBidi" w:hAnsiTheme="majorBidi" w:cstheme="majorBid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4FF755A9" w14:textId="0CC29E1C" w:rsidR="00852AD3" w:rsidRPr="00CF31E0" w:rsidRDefault="00852AD3" w:rsidP="00646E7C">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.936</w:t>
            </w:r>
          </w:p>
        </w:tc>
      </w:tr>
      <w:tr w:rsidR="00852AD3" w:rsidRPr="00CF31E0" w14:paraId="4159C712" w14:textId="77777777" w:rsidTr="00852AD3">
        <w:trPr>
          <w:trHeight w:val="567"/>
        </w:trPr>
        <w:tc>
          <w:tcPr>
            <w:tcW w:w="2235" w:type="dxa"/>
            <w:tcBorders>
              <w:bottom w:val="single" w:sz="8" w:space="0" w:color="auto"/>
            </w:tcBorders>
            <w:shd w:val="clear" w:color="auto" w:fill="auto"/>
            <w:vAlign w:val="bottom"/>
          </w:tcPr>
          <w:p w14:paraId="6FEB4D19" w14:textId="77777777" w:rsidR="00852AD3" w:rsidRPr="00CF31E0" w:rsidRDefault="00852AD3" w:rsidP="00D07B4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30F99E6F" w14:textId="08226C53" w:rsidR="00852AD3" w:rsidRPr="00CF31E0" w:rsidRDefault="00852AD3" w:rsidP="00646E7C">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c>
          <w:tcPr>
            <w:tcW w:w="3260" w:type="dxa"/>
            <w:tcBorders>
              <w:bottom w:val="single" w:sz="8" w:space="0" w:color="auto"/>
            </w:tcBorders>
            <w:shd w:val="clear" w:color="auto" w:fill="auto"/>
            <w:vAlign w:val="bottom"/>
          </w:tcPr>
          <w:p w14:paraId="75866EE9" w14:textId="77777777" w:rsidR="00852AD3" w:rsidRPr="00CF31E0" w:rsidRDefault="00852AD3" w:rsidP="00646E7C">
            <w:pPr>
              <w:spacing w:after="200" w:line="276" w:lineRule="auto"/>
              <w:rPr>
                <w:rFonts w:eastAsia="Calibri"/>
                <w:color w:val="000000" w:themeColor="text1"/>
                <w:sz w:val="22"/>
                <w:szCs w:val="22"/>
                <w:lang w:eastAsia="en-US"/>
              </w:rPr>
            </w:pPr>
          </w:p>
        </w:tc>
      </w:tr>
    </w:tbl>
    <w:p w14:paraId="32FF6874" w14:textId="77777777" w:rsidR="005467E8" w:rsidRPr="00CF31E0" w:rsidRDefault="005467E8">
      <w:pPr>
        <w:rPr>
          <w:color w:val="000000" w:themeColor="text1"/>
          <w:lang w:eastAsia="en-US"/>
        </w:rPr>
      </w:pPr>
    </w:p>
    <w:p w14:paraId="2BB0EAE0" w14:textId="77777777" w:rsidR="00646E7C" w:rsidRPr="00CF31E0" w:rsidRDefault="00646E7C">
      <w:pPr>
        <w:rPr>
          <w:color w:val="000000" w:themeColor="text1"/>
          <w:lang w:eastAsia="en-US"/>
        </w:rPr>
      </w:pPr>
    </w:p>
    <w:p w14:paraId="7BE12110" w14:textId="77777777" w:rsidR="00646E7C" w:rsidRPr="00CF31E0" w:rsidRDefault="00646E7C">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595F8EAF" w14:textId="77777777" w:rsidTr="00852AD3">
        <w:trPr>
          <w:trHeight w:val="567"/>
        </w:trPr>
        <w:tc>
          <w:tcPr>
            <w:tcW w:w="2235" w:type="dxa"/>
            <w:tcBorders>
              <w:top w:val="single" w:sz="8" w:space="0" w:color="auto"/>
              <w:bottom w:val="single" w:sz="8" w:space="0" w:color="auto"/>
            </w:tcBorders>
            <w:shd w:val="clear" w:color="auto" w:fill="auto"/>
            <w:hideMark/>
          </w:tcPr>
          <w:p w14:paraId="774EB50D" w14:textId="0AE1C177"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lastRenderedPageBreak/>
              <w:t>Education</w:t>
            </w:r>
          </w:p>
        </w:tc>
        <w:tc>
          <w:tcPr>
            <w:tcW w:w="1134" w:type="dxa"/>
            <w:tcBorders>
              <w:top w:val="single" w:sz="8" w:space="0" w:color="auto"/>
              <w:bottom w:val="single" w:sz="8" w:space="0" w:color="auto"/>
            </w:tcBorders>
            <w:shd w:val="clear" w:color="auto" w:fill="auto"/>
            <w:hideMark/>
          </w:tcPr>
          <w:p w14:paraId="2184B307" w14:textId="77777777"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5364B423" w14:textId="77777777"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6169CBD3" w14:textId="77777777" w:rsidTr="00852AD3">
        <w:trPr>
          <w:trHeight w:val="567"/>
        </w:trPr>
        <w:tc>
          <w:tcPr>
            <w:tcW w:w="2235" w:type="dxa"/>
            <w:tcBorders>
              <w:top w:val="single" w:sz="8" w:space="0" w:color="auto"/>
            </w:tcBorders>
            <w:shd w:val="clear" w:color="auto" w:fill="auto"/>
            <w:vAlign w:val="bottom"/>
          </w:tcPr>
          <w:p w14:paraId="41F1C5F6" w14:textId="77777777" w:rsidR="00852AD3" w:rsidRPr="00CF31E0" w:rsidRDefault="00852AD3" w:rsidP="00646E7C">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734447E7" w14:textId="2F934EB1" w:rsidR="00852AD3" w:rsidRPr="00CF31E0" w:rsidRDefault="00852AD3" w:rsidP="00646E7C">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4.486</w:t>
            </w:r>
            <w:r w:rsidRPr="00CF31E0">
              <w:rPr>
                <w:rFonts w:asciiTheme="majorBidi" w:hAnsiTheme="majorBidi" w:cstheme="majorBid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6F31B7EC" w14:textId="0E315D4B" w:rsidR="00852AD3" w:rsidRPr="00CF31E0" w:rsidRDefault="00852AD3" w:rsidP="00646E7C">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.482</w:t>
            </w:r>
          </w:p>
        </w:tc>
      </w:tr>
      <w:tr w:rsidR="00852AD3" w:rsidRPr="00CF31E0" w14:paraId="2CE24E91" w14:textId="77777777" w:rsidTr="00852AD3">
        <w:trPr>
          <w:trHeight w:val="567"/>
        </w:trPr>
        <w:tc>
          <w:tcPr>
            <w:tcW w:w="2235" w:type="dxa"/>
            <w:tcBorders>
              <w:bottom w:val="single" w:sz="8" w:space="0" w:color="auto"/>
            </w:tcBorders>
            <w:shd w:val="clear" w:color="auto" w:fill="auto"/>
            <w:vAlign w:val="bottom"/>
          </w:tcPr>
          <w:p w14:paraId="32BD377E" w14:textId="77777777" w:rsidR="00852AD3" w:rsidRPr="00CF31E0" w:rsidRDefault="00852AD3" w:rsidP="00646E7C">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2006AE73" w14:textId="79F6FF1A" w:rsidR="00852AD3" w:rsidRPr="00CF31E0" w:rsidRDefault="00852AD3" w:rsidP="00646E7C">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c>
          <w:tcPr>
            <w:tcW w:w="3260" w:type="dxa"/>
            <w:tcBorders>
              <w:bottom w:val="single" w:sz="8" w:space="0" w:color="auto"/>
            </w:tcBorders>
            <w:shd w:val="clear" w:color="auto" w:fill="auto"/>
            <w:vAlign w:val="bottom"/>
          </w:tcPr>
          <w:p w14:paraId="4C13C110" w14:textId="77777777" w:rsidR="00852AD3" w:rsidRPr="00CF31E0" w:rsidRDefault="00852AD3" w:rsidP="00646E7C">
            <w:pPr>
              <w:spacing w:after="200" w:line="276" w:lineRule="auto"/>
              <w:rPr>
                <w:rFonts w:eastAsia="Calibri"/>
                <w:color w:val="000000" w:themeColor="text1"/>
                <w:sz w:val="22"/>
                <w:szCs w:val="22"/>
                <w:lang w:eastAsia="en-US"/>
              </w:rPr>
            </w:pPr>
          </w:p>
        </w:tc>
      </w:tr>
    </w:tbl>
    <w:p w14:paraId="4F58AFCA" w14:textId="77777777" w:rsidR="005467E8" w:rsidRPr="00CF31E0" w:rsidRDefault="005467E8">
      <w:pPr>
        <w:rPr>
          <w:color w:val="000000" w:themeColor="text1"/>
          <w:lang w:eastAsia="en-US"/>
        </w:rPr>
      </w:pPr>
    </w:p>
    <w:p w14:paraId="7F4C5D7B" w14:textId="77777777" w:rsidR="00852AD3" w:rsidRPr="00CF31E0" w:rsidRDefault="00852AD3">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4D9D5FC6" w14:textId="77777777" w:rsidTr="00852AD3">
        <w:trPr>
          <w:trHeight w:val="567"/>
        </w:trPr>
        <w:tc>
          <w:tcPr>
            <w:tcW w:w="2235" w:type="dxa"/>
            <w:tcBorders>
              <w:top w:val="single" w:sz="8" w:space="0" w:color="auto"/>
              <w:bottom w:val="single" w:sz="8" w:space="0" w:color="auto"/>
            </w:tcBorders>
            <w:shd w:val="clear" w:color="auto" w:fill="auto"/>
            <w:hideMark/>
          </w:tcPr>
          <w:p w14:paraId="155EA0EA" w14:textId="2B242B23"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Mother’s social group</w:t>
            </w:r>
          </w:p>
        </w:tc>
        <w:tc>
          <w:tcPr>
            <w:tcW w:w="1134" w:type="dxa"/>
            <w:tcBorders>
              <w:top w:val="single" w:sz="8" w:space="0" w:color="auto"/>
              <w:bottom w:val="single" w:sz="8" w:space="0" w:color="auto"/>
            </w:tcBorders>
            <w:shd w:val="clear" w:color="auto" w:fill="auto"/>
            <w:hideMark/>
          </w:tcPr>
          <w:p w14:paraId="6A4FDDBD" w14:textId="77777777"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6A014412" w14:textId="77777777"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15854C9B" w14:textId="77777777" w:rsidTr="00852AD3">
        <w:trPr>
          <w:trHeight w:val="567"/>
        </w:trPr>
        <w:tc>
          <w:tcPr>
            <w:tcW w:w="2235" w:type="dxa"/>
            <w:tcBorders>
              <w:top w:val="single" w:sz="8" w:space="0" w:color="auto"/>
            </w:tcBorders>
            <w:shd w:val="clear" w:color="auto" w:fill="auto"/>
            <w:vAlign w:val="bottom"/>
          </w:tcPr>
          <w:p w14:paraId="297004B9" w14:textId="77777777" w:rsidR="00852AD3" w:rsidRPr="00CF31E0" w:rsidRDefault="00852AD3" w:rsidP="00D07B4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49720639" w14:textId="6E7051CE" w:rsidR="00852AD3" w:rsidRPr="00CF31E0" w:rsidRDefault="00852AD3" w:rsidP="00646E7C">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29.385</w:t>
            </w:r>
            <w:r w:rsidRPr="00CF31E0">
              <w:rPr>
                <w:rFonts w:asciiTheme="majorBidi" w:hAnsiTheme="majorBidi" w:cstheme="majorBid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707D647F" w14:textId="1ACBC5EE" w:rsidR="00852AD3" w:rsidRPr="00CF31E0" w:rsidRDefault="00852AD3" w:rsidP="00646E7C">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.132</w:t>
            </w:r>
          </w:p>
        </w:tc>
      </w:tr>
      <w:tr w:rsidR="00852AD3" w:rsidRPr="00CF31E0" w14:paraId="36824A91" w14:textId="77777777" w:rsidTr="00852AD3">
        <w:trPr>
          <w:trHeight w:val="567"/>
        </w:trPr>
        <w:tc>
          <w:tcPr>
            <w:tcW w:w="2235" w:type="dxa"/>
            <w:tcBorders>
              <w:bottom w:val="single" w:sz="8" w:space="0" w:color="auto"/>
            </w:tcBorders>
            <w:shd w:val="clear" w:color="auto" w:fill="auto"/>
            <w:vAlign w:val="bottom"/>
          </w:tcPr>
          <w:p w14:paraId="35D8A283" w14:textId="77777777" w:rsidR="00852AD3" w:rsidRPr="00CF31E0" w:rsidRDefault="00852AD3" w:rsidP="00D07B4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52DF4B03" w14:textId="1ECE610F" w:rsidR="00852AD3" w:rsidRPr="00CF31E0" w:rsidRDefault="00852AD3" w:rsidP="00646E7C">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c>
          <w:tcPr>
            <w:tcW w:w="3260" w:type="dxa"/>
            <w:tcBorders>
              <w:bottom w:val="single" w:sz="8" w:space="0" w:color="auto"/>
            </w:tcBorders>
            <w:shd w:val="clear" w:color="auto" w:fill="auto"/>
            <w:vAlign w:val="bottom"/>
          </w:tcPr>
          <w:p w14:paraId="4C175770" w14:textId="77777777" w:rsidR="00852AD3" w:rsidRPr="00CF31E0" w:rsidRDefault="00852AD3" w:rsidP="00646E7C">
            <w:pPr>
              <w:spacing w:after="200" w:line="276" w:lineRule="auto"/>
              <w:rPr>
                <w:rFonts w:eastAsia="Calibri"/>
                <w:color w:val="000000" w:themeColor="text1"/>
                <w:sz w:val="22"/>
                <w:szCs w:val="22"/>
                <w:lang w:eastAsia="en-US"/>
              </w:rPr>
            </w:pPr>
          </w:p>
        </w:tc>
      </w:tr>
    </w:tbl>
    <w:p w14:paraId="0D64005E" w14:textId="77777777" w:rsidR="00646E7C" w:rsidRPr="00CF31E0" w:rsidRDefault="00646E7C">
      <w:pPr>
        <w:rPr>
          <w:color w:val="000000" w:themeColor="text1"/>
          <w:lang w:eastAsia="en-US"/>
        </w:rPr>
      </w:pPr>
    </w:p>
    <w:p w14:paraId="15F96A14" w14:textId="77777777" w:rsidR="00646E7C" w:rsidRPr="00CF31E0" w:rsidRDefault="00646E7C">
      <w:pPr>
        <w:rPr>
          <w:color w:val="000000" w:themeColor="text1"/>
          <w:lang w:eastAsia="en-US"/>
        </w:rPr>
      </w:pPr>
    </w:p>
    <w:tbl>
      <w:tblPr>
        <w:tblW w:w="6629" w:type="dxa"/>
        <w:tblLayout w:type="fixed"/>
        <w:tblLook w:val="04A0" w:firstRow="1" w:lastRow="0" w:firstColumn="1" w:lastColumn="0" w:noHBand="0" w:noVBand="1"/>
      </w:tblPr>
      <w:tblGrid>
        <w:gridCol w:w="2235"/>
        <w:gridCol w:w="1134"/>
        <w:gridCol w:w="3260"/>
      </w:tblGrid>
      <w:tr w:rsidR="00852AD3" w:rsidRPr="00CF31E0" w14:paraId="4979ABD8" w14:textId="77777777" w:rsidTr="00852AD3">
        <w:trPr>
          <w:trHeight w:val="567"/>
        </w:trPr>
        <w:tc>
          <w:tcPr>
            <w:tcW w:w="2235" w:type="dxa"/>
            <w:tcBorders>
              <w:top w:val="single" w:sz="8" w:space="0" w:color="auto"/>
              <w:bottom w:val="single" w:sz="8" w:space="0" w:color="auto"/>
            </w:tcBorders>
            <w:shd w:val="clear" w:color="auto" w:fill="auto"/>
            <w:hideMark/>
          </w:tcPr>
          <w:p w14:paraId="7C15375E" w14:textId="64C49040"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Spouse’s social group</w:t>
            </w:r>
          </w:p>
        </w:tc>
        <w:tc>
          <w:tcPr>
            <w:tcW w:w="1134" w:type="dxa"/>
            <w:tcBorders>
              <w:top w:val="single" w:sz="8" w:space="0" w:color="auto"/>
              <w:bottom w:val="single" w:sz="8" w:space="0" w:color="auto"/>
            </w:tcBorders>
            <w:shd w:val="clear" w:color="auto" w:fill="auto"/>
            <w:hideMark/>
          </w:tcPr>
          <w:p w14:paraId="54FA1133" w14:textId="77777777"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Value</w:t>
            </w:r>
          </w:p>
        </w:tc>
        <w:tc>
          <w:tcPr>
            <w:tcW w:w="3260" w:type="dxa"/>
            <w:tcBorders>
              <w:top w:val="single" w:sz="8" w:space="0" w:color="auto"/>
              <w:bottom w:val="single" w:sz="8" w:space="0" w:color="auto"/>
            </w:tcBorders>
            <w:shd w:val="clear" w:color="auto" w:fill="auto"/>
          </w:tcPr>
          <w:p w14:paraId="0497AAA2" w14:textId="77777777" w:rsidR="00852AD3" w:rsidRPr="00CF31E0" w:rsidRDefault="00852AD3" w:rsidP="00D07B44">
            <w:pPr>
              <w:spacing w:before="120" w:after="200" w:line="276" w:lineRule="auto"/>
              <w:rPr>
                <w:rFonts w:eastAsia="Calibri"/>
                <w:color w:val="000000" w:themeColor="text1"/>
                <w:sz w:val="22"/>
                <w:szCs w:val="22"/>
                <w:lang w:val="en-US" w:eastAsia="en-US"/>
              </w:rPr>
            </w:pPr>
            <w:r w:rsidRPr="00CF31E0">
              <w:rPr>
                <w:rFonts w:eastAsia="Calibri"/>
                <w:color w:val="000000" w:themeColor="text1"/>
                <w:sz w:val="22"/>
                <w:szCs w:val="22"/>
                <w:lang w:eastAsia="en-US"/>
              </w:rPr>
              <w:t>Asymptotic Significance (2-sided)</w:t>
            </w:r>
          </w:p>
        </w:tc>
      </w:tr>
      <w:tr w:rsidR="00852AD3" w:rsidRPr="00CF31E0" w14:paraId="66937F5A" w14:textId="77777777" w:rsidTr="00852AD3">
        <w:trPr>
          <w:trHeight w:val="567"/>
        </w:trPr>
        <w:tc>
          <w:tcPr>
            <w:tcW w:w="2235" w:type="dxa"/>
            <w:tcBorders>
              <w:top w:val="single" w:sz="8" w:space="0" w:color="auto"/>
            </w:tcBorders>
            <w:shd w:val="clear" w:color="auto" w:fill="auto"/>
            <w:vAlign w:val="bottom"/>
          </w:tcPr>
          <w:p w14:paraId="5BC250A3" w14:textId="77777777" w:rsidR="00852AD3" w:rsidRPr="00CF31E0" w:rsidRDefault="00852AD3" w:rsidP="00D07B44">
            <w:pPr>
              <w:spacing w:before="80" w:after="200" w:line="276" w:lineRule="auto"/>
              <w:rPr>
                <w:rFonts w:eastAsia="Calibri"/>
                <w:color w:val="000000" w:themeColor="text1"/>
                <w:sz w:val="22"/>
                <w:szCs w:val="22"/>
                <w:lang w:val="en-US" w:eastAsia="en-US"/>
              </w:rPr>
            </w:pPr>
            <w:r w:rsidRPr="00CF31E0">
              <w:rPr>
                <w:rFonts w:eastAsia="Calibri"/>
                <w:color w:val="000000" w:themeColor="text1"/>
                <w:sz w:val="22"/>
                <w:szCs w:val="22"/>
                <w:lang w:val="en-US" w:eastAsia="en-US"/>
              </w:rPr>
              <w:t>Pearson Chi-Square</w:t>
            </w:r>
          </w:p>
        </w:tc>
        <w:tc>
          <w:tcPr>
            <w:tcW w:w="1134" w:type="dxa"/>
            <w:tcBorders>
              <w:top w:val="single" w:sz="8" w:space="0" w:color="auto"/>
            </w:tcBorders>
            <w:shd w:val="clear" w:color="auto" w:fill="auto"/>
            <w:vAlign w:val="bottom"/>
          </w:tcPr>
          <w:p w14:paraId="489C6EE2" w14:textId="11E87A88" w:rsidR="00852AD3" w:rsidRPr="00CF31E0" w:rsidRDefault="00852AD3" w:rsidP="00646E7C">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23.267</w:t>
            </w:r>
            <w:r w:rsidRPr="00CF31E0">
              <w:rPr>
                <w:rFonts w:asciiTheme="majorBidi" w:hAnsiTheme="majorBidi" w:cstheme="majorBidi"/>
                <w:color w:val="000000" w:themeColor="text1"/>
                <w:sz w:val="22"/>
                <w:szCs w:val="22"/>
                <w:vertAlign w:val="superscript"/>
                <w:lang w:eastAsia="en-US"/>
              </w:rPr>
              <w:t>a</w:t>
            </w:r>
          </w:p>
        </w:tc>
        <w:tc>
          <w:tcPr>
            <w:tcW w:w="3260" w:type="dxa"/>
            <w:tcBorders>
              <w:top w:val="single" w:sz="8" w:space="0" w:color="auto"/>
            </w:tcBorders>
            <w:shd w:val="clear" w:color="auto" w:fill="auto"/>
            <w:vAlign w:val="bottom"/>
          </w:tcPr>
          <w:p w14:paraId="79C3C618" w14:textId="3D27C1F1" w:rsidR="00852AD3" w:rsidRPr="00CF31E0" w:rsidRDefault="00852AD3" w:rsidP="00646E7C">
            <w:pPr>
              <w:spacing w:after="200" w:line="276" w:lineRule="auto"/>
              <w:jc w:val="center"/>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.190</w:t>
            </w:r>
          </w:p>
        </w:tc>
      </w:tr>
      <w:tr w:rsidR="00852AD3" w:rsidRPr="00CF31E0" w14:paraId="3B14C7F0" w14:textId="77777777" w:rsidTr="00852AD3">
        <w:trPr>
          <w:trHeight w:val="567"/>
        </w:trPr>
        <w:tc>
          <w:tcPr>
            <w:tcW w:w="2235" w:type="dxa"/>
            <w:tcBorders>
              <w:bottom w:val="single" w:sz="8" w:space="0" w:color="auto"/>
            </w:tcBorders>
            <w:shd w:val="clear" w:color="auto" w:fill="auto"/>
            <w:vAlign w:val="bottom"/>
          </w:tcPr>
          <w:p w14:paraId="43898A78" w14:textId="77777777" w:rsidR="00852AD3" w:rsidRPr="00CF31E0" w:rsidRDefault="00852AD3" w:rsidP="00D07B44">
            <w:pPr>
              <w:spacing w:after="200" w:line="276" w:lineRule="auto"/>
              <w:rPr>
                <w:rFonts w:eastAsia="Calibri"/>
                <w:color w:val="000000" w:themeColor="text1"/>
                <w:sz w:val="22"/>
                <w:szCs w:val="22"/>
                <w:lang w:eastAsia="en-US"/>
              </w:rPr>
            </w:pPr>
            <w:r w:rsidRPr="00CF31E0">
              <w:rPr>
                <w:rFonts w:eastAsia="Calibri"/>
                <w:color w:val="000000" w:themeColor="text1"/>
                <w:sz w:val="22"/>
                <w:szCs w:val="22"/>
                <w:lang w:eastAsia="en-US"/>
              </w:rPr>
              <w:t>N of Valid Cases</w:t>
            </w:r>
          </w:p>
        </w:tc>
        <w:tc>
          <w:tcPr>
            <w:tcW w:w="1134" w:type="dxa"/>
            <w:tcBorders>
              <w:bottom w:val="single" w:sz="8" w:space="0" w:color="auto"/>
            </w:tcBorders>
            <w:shd w:val="clear" w:color="auto" w:fill="auto"/>
            <w:vAlign w:val="bottom"/>
          </w:tcPr>
          <w:p w14:paraId="0E91F138" w14:textId="1C93B9E4" w:rsidR="00852AD3" w:rsidRPr="00CF31E0" w:rsidRDefault="00852AD3" w:rsidP="00646E7C">
            <w:pPr>
              <w:spacing w:after="200" w:line="276" w:lineRule="auto"/>
              <w:rPr>
                <w:rFonts w:eastAsia="Calibri"/>
                <w:color w:val="000000" w:themeColor="text1"/>
                <w:sz w:val="22"/>
                <w:szCs w:val="22"/>
                <w:lang w:eastAsia="en-US"/>
              </w:rPr>
            </w:pPr>
            <w:r w:rsidRPr="00CF31E0">
              <w:rPr>
                <w:rFonts w:asciiTheme="majorBidi" w:hAnsiTheme="majorBidi" w:cstheme="majorBidi"/>
                <w:color w:val="000000" w:themeColor="text1"/>
                <w:sz w:val="22"/>
                <w:szCs w:val="22"/>
                <w:lang w:eastAsia="en-US"/>
              </w:rPr>
              <w:t>649</w:t>
            </w:r>
          </w:p>
        </w:tc>
        <w:tc>
          <w:tcPr>
            <w:tcW w:w="3260" w:type="dxa"/>
            <w:tcBorders>
              <w:bottom w:val="single" w:sz="8" w:space="0" w:color="auto"/>
            </w:tcBorders>
            <w:shd w:val="clear" w:color="auto" w:fill="auto"/>
            <w:vAlign w:val="bottom"/>
          </w:tcPr>
          <w:p w14:paraId="1019711B" w14:textId="77777777" w:rsidR="00852AD3" w:rsidRPr="00CF31E0" w:rsidRDefault="00852AD3" w:rsidP="00646E7C">
            <w:pPr>
              <w:spacing w:after="200" w:line="276" w:lineRule="auto"/>
              <w:rPr>
                <w:rFonts w:eastAsia="Calibri"/>
                <w:color w:val="000000" w:themeColor="text1"/>
                <w:sz w:val="22"/>
                <w:szCs w:val="22"/>
                <w:lang w:eastAsia="en-US"/>
              </w:rPr>
            </w:pPr>
          </w:p>
        </w:tc>
      </w:tr>
    </w:tbl>
    <w:p w14:paraId="2B286101" w14:textId="77777777" w:rsidR="00646E7C" w:rsidRPr="00CF31E0" w:rsidRDefault="00646E7C">
      <w:pPr>
        <w:rPr>
          <w:color w:val="000000" w:themeColor="text1"/>
          <w:lang w:eastAsia="en-US"/>
        </w:rPr>
        <w:sectPr w:rsidR="00646E7C" w:rsidRPr="00CF31E0" w:rsidSect="00603CB7">
          <w:pgSz w:w="11900" w:h="16840"/>
          <w:pgMar w:top="1440" w:right="2268" w:bottom="1440" w:left="2268" w:header="708" w:footer="708" w:gutter="0"/>
          <w:cols w:space="708"/>
          <w:docGrid w:linePitch="360"/>
        </w:sectPr>
      </w:pPr>
    </w:p>
    <w:p w14:paraId="0C3C1891" w14:textId="68F8FE8B" w:rsidR="00B01076" w:rsidRPr="00CF31E0" w:rsidRDefault="00C90CEE" w:rsidP="00603CB7">
      <w:pPr>
        <w:pStyle w:val="Title"/>
        <w:spacing w:after="400"/>
        <w:contextualSpacing w:val="0"/>
        <w:rPr>
          <w:color w:val="000000" w:themeColor="text1"/>
          <w:lang w:eastAsia="en-US"/>
        </w:rPr>
      </w:pPr>
      <w:bookmarkStart w:id="1222" w:name="_Toc6472846"/>
      <w:r w:rsidRPr="00CF31E0">
        <w:rPr>
          <w:color w:val="000000" w:themeColor="text1"/>
          <w:lang w:eastAsia="en-US"/>
        </w:rPr>
        <w:lastRenderedPageBreak/>
        <w:t>Appendix 5</w:t>
      </w:r>
      <w:r w:rsidR="00846F98" w:rsidRPr="00CF31E0">
        <w:rPr>
          <w:color w:val="000000" w:themeColor="text1"/>
          <w:lang w:eastAsia="en-US"/>
        </w:rPr>
        <w:t>: RQ3</w:t>
      </w:r>
      <w:r w:rsidR="002940F0" w:rsidRPr="00CF31E0">
        <w:rPr>
          <w:color w:val="000000" w:themeColor="text1"/>
          <w:lang w:eastAsia="en-US"/>
        </w:rPr>
        <w:t xml:space="preserve"> results</w:t>
      </w:r>
      <w:r w:rsidR="00846F98" w:rsidRPr="00CF31E0">
        <w:rPr>
          <w:color w:val="000000" w:themeColor="text1"/>
          <w:lang w:eastAsia="en-US"/>
        </w:rPr>
        <w:t xml:space="preserve"> (the attitudinal part)</w:t>
      </w:r>
      <w:bookmarkEnd w:id="1222"/>
    </w:p>
    <w:p w14:paraId="040C79CA" w14:textId="34AAEFF5" w:rsidR="00846F98" w:rsidRPr="00CF31E0" w:rsidRDefault="00D07B44" w:rsidP="00603CB7">
      <w:pPr>
        <w:pStyle w:val="ListParagraph"/>
        <w:numPr>
          <w:ilvl w:val="0"/>
          <w:numId w:val="74"/>
        </w:numPr>
        <w:rPr>
          <w:rFonts w:asciiTheme="majorBidi" w:hAnsiTheme="majorBidi" w:cstheme="majorBidi"/>
          <w:b/>
          <w:bCs/>
          <w:color w:val="000000" w:themeColor="text1"/>
          <w:sz w:val="28"/>
          <w:szCs w:val="28"/>
        </w:rPr>
      </w:pPr>
      <w:r w:rsidRPr="00CF31E0">
        <w:rPr>
          <w:rFonts w:asciiTheme="majorBidi" w:hAnsiTheme="majorBidi" w:cstheme="majorBidi"/>
          <w:b/>
          <w:bCs/>
          <w:color w:val="000000" w:themeColor="text1"/>
          <w:sz w:val="28"/>
          <w:szCs w:val="28"/>
        </w:rPr>
        <w:t>VS1</w:t>
      </w:r>
    </w:p>
    <w:p w14:paraId="7707C353" w14:textId="77777777" w:rsidR="00D07B44" w:rsidRPr="00CF31E0" w:rsidRDefault="00D07B44" w:rsidP="00603CB7">
      <w:pPr>
        <w:pStyle w:val="ListParagraph"/>
        <w:ind w:left="0"/>
        <w:rPr>
          <w:rFonts w:asciiTheme="majorBidi" w:hAnsiTheme="majorBidi" w:cstheme="majorBidi"/>
          <w:b/>
          <w:bCs/>
          <w:color w:val="000000" w:themeColor="text1"/>
        </w:rPr>
      </w:pPr>
    </w:p>
    <w:p w14:paraId="023F78F8" w14:textId="6D36B2D2" w:rsidR="00D07B44" w:rsidRPr="00CF31E0" w:rsidRDefault="00D07B44" w:rsidP="00603CB7">
      <w:pPr>
        <w:pStyle w:val="ListParagraph"/>
        <w:numPr>
          <w:ilvl w:val="0"/>
          <w:numId w:val="71"/>
        </w:numPr>
        <w:rPr>
          <w:rFonts w:asciiTheme="majorBidi" w:hAnsiTheme="majorBidi" w:cstheme="majorBidi"/>
          <w:b/>
          <w:bCs/>
          <w:color w:val="000000" w:themeColor="text1"/>
          <w:sz w:val="28"/>
          <w:szCs w:val="28"/>
        </w:rPr>
      </w:pPr>
      <w:r w:rsidRPr="00CF31E0">
        <w:rPr>
          <w:rFonts w:asciiTheme="majorBidi" w:hAnsiTheme="majorBidi" w:cstheme="majorBidi"/>
          <w:b/>
          <w:bCs/>
          <w:color w:val="000000" w:themeColor="text1"/>
          <w:sz w:val="28"/>
          <w:szCs w:val="28"/>
        </w:rPr>
        <w:t>Serious scale</w:t>
      </w:r>
    </w:p>
    <w:p w14:paraId="5ED718D6" w14:textId="77777777" w:rsidR="00D07B44" w:rsidRPr="00CF31E0" w:rsidRDefault="00D07B44" w:rsidP="00D07B44">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2"/>
        <w:gridCol w:w="1443"/>
        <w:gridCol w:w="1030"/>
        <w:gridCol w:w="674"/>
      </w:tblGrid>
      <w:tr w:rsidR="00D07B44" w:rsidRPr="00CF31E0" w14:paraId="4566462D" w14:textId="77777777" w:rsidTr="00852AD3">
        <w:trPr>
          <w:cantSplit/>
        </w:trPr>
        <w:tc>
          <w:tcPr>
            <w:tcW w:w="1736" w:type="dxa"/>
            <w:tcBorders>
              <w:top w:val="single" w:sz="8" w:space="0" w:color="auto"/>
              <w:bottom w:val="single" w:sz="6" w:space="0" w:color="auto"/>
            </w:tcBorders>
            <w:shd w:val="clear" w:color="auto" w:fill="FFFFFF"/>
            <w:vAlign w:val="bottom"/>
          </w:tcPr>
          <w:p w14:paraId="599B1CAC"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Gender</w:t>
            </w:r>
          </w:p>
        </w:tc>
        <w:tc>
          <w:tcPr>
            <w:tcW w:w="1686" w:type="dxa"/>
            <w:tcBorders>
              <w:top w:val="single" w:sz="8" w:space="0" w:color="auto"/>
              <w:bottom w:val="single" w:sz="6" w:space="0" w:color="auto"/>
            </w:tcBorders>
            <w:shd w:val="clear" w:color="auto" w:fill="FFFFFF"/>
            <w:vAlign w:val="bottom"/>
          </w:tcPr>
          <w:p w14:paraId="2EA7C98D"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2" w:type="dxa"/>
            <w:tcBorders>
              <w:top w:val="single" w:sz="8" w:space="0" w:color="auto"/>
              <w:bottom w:val="single" w:sz="6" w:space="0" w:color="auto"/>
            </w:tcBorders>
            <w:shd w:val="clear" w:color="auto" w:fill="FFFFFF"/>
            <w:vAlign w:val="bottom"/>
          </w:tcPr>
          <w:p w14:paraId="75EC029B"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3" w:type="dxa"/>
            <w:tcBorders>
              <w:top w:val="single" w:sz="8" w:space="0" w:color="auto"/>
              <w:bottom w:val="single" w:sz="6" w:space="0" w:color="auto"/>
            </w:tcBorders>
            <w:shd w:val="clear" w:color="auto" w:fill="FFFFFF"/>
            <w:vAlign w:val="bottom"/>
          </w:tcPr>
          <w:p w14:paraId="7A2CF316"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297679B8"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412862E2"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D07B44" w:rsidRPr="00CF31E0" w14:paraId="27813840" w14:textId="77777777" w:rsidTr="00852AD3">
        <w:trPr>
          <w:cantSplit/>
        </w:trPr>
        <w:tc>
          <w:tcPr>
            <w:tcW w:w="1736" w:type="dxa"/>
            <w:tcBorders>
              <w:top w:val="single" w:sz="6" w:space="0" w:color="auto"/>
              <w:bottom w:val="nil"/>
            </w:tcBorders>
            <w:shd w:val="clear" w:color="auto" w:fill="FFFFFF"/>
          </w:tcPr>
          <w:p w14:paraId="7F9F1086"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1449DF44" w14:textId="79267E3A"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.139</w:t>
            </w:r>
          </w:p>
        </w:tc>
        <w:tc>
          <w:tcPr>
            <w:tcW w:w="822" w:type="dxa"/>
            <w:tcBorders>
              <w:top w:val="single" w:sz="6" w:space="0" w:color="auto"/>
              <w:bottom w:val="nil"/>
            </w:tcBorders>
            <w:shd w:val="clear" w:color="auto" w:fill="FFFFFF"/>
            <w:vAlign w:val="center"/>
          </w:tcPr>
          <w:p w14:paraId="7106ED78" w14:textId="362FED98"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3" w:type="dxa"/>
            <w:tcBorders>
              <w:top w:val="single" w:sz="6" w:space="0" w:color="auto"/>
              <w:bottom w:val="nil"/>
            </w:tcBorders>
            <w:shd w:val="clear" w:color="auto" w:fill="FFFFFF"/>
            <w:vAlign w:val="center"/>
          </w:tcPr>
          <w:p w14:paraId="31D11685" w14:textId="00DCCA7F"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.139</w:t>
            </w:r>
          </w:p>
        </w:tc>
        <w:tc>
          <w:tcPr>
            <w:tcW w:w="1030" w:type="dxa"/>
            <w:tcBorders>
              <w:top w:val="single" w:sz="6" w:space="0" w:color="auto"/>
              <w:bottom w:val="nil"/>
            </w:tcBorders>
            <w:shd w:val="clear" w:color="auto" w:fill="FFFFFF"/>
            <w:vAlign w:val="center"/>
          </w:tcPr>
          <w:p w14:paraId="3D59C4CF" w14:textId="108DBA5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.102</w:t>
            </w:r>
          </w:p>
        </w:tc>
        <w:tc>
          <w:tcPr>
            <w:tcW w:w="674" w:type="dxa"/>
            <w:tcBorders>
              <w:top w:val="single" w:sz="6" w:space="0" w:color="auto"/>
              <w:bottom w:val="nil"/>
            </w:tcBorders>
            <w:shd w:val="clear" w:color="auto" w:fill="FFFFFF"/>
            <w:vAlign w:val="center"/>
          </w:tcPr>
          <w:p w14:paraId="37E00088" w14:textId="2E038F60"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.750</w:t>
            </w:r>
          </w:p>
        </w:tc>
      </w:tr>
      <w:tr w:rsidR="00D07B44" w:rsidRPr="00CF31E0" w14:paraId="74DF75A6" w14:textId="77777777" w:rsidTr="00852AD3">
        <w:trPr>
          <w:cantSplit/>
        </w:trPr>
        <w:tc>
          <w:tcPr>
            <w:tcW w:w="1736" w:type="dxa"/>
            <w:tcBorders>
              <w:top w:val="nil"/>
            </w:tcBorders>
            <w:shd w:val="clear" w:color="auto" w:fill="FFFFFF"/>
          </w:tcPr>
          <w:p w14:paraId="2357B6BC"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770A08B6" w14:textId="6DF0A824"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882.854</w:t>
            </w:r>
          </w:p>
        </w:tc>
        <w:tc>
          <w:tcPr>
            <w:tcW w:w="822" w:type="dxa"/>
            <w:tcBorders>
              <w:top w:val="nil"/>
            </w:tcBorders>
            <w:shd w:val="clear" w:color="auto" w:fill="FFFFFF"/>
            <w:vAlign w:val="center"/>
          </w:tcPr>
          <w:p w14:paraId="56FD13B8" w14:textId="539532E1" w:rsidR="00D07B44" w:rsidRPr="00CF31E0" w:rsidRDefault="00852AD3"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3" w:type="dxa"/>
            <w:tcBorders>
              <w:top w:val="nil"/>
            </w:tcBorders>
            <w:shd w:val="clear" w:color="auto" w:fill="FFFFFF"/>
            <w:vAlign w:val="center"/>
          </w:tcPr>
          <w:p w14:paraId="45EA5F5F" w14:textId="5C4AE13B"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1.365</w:t>
            </w:r>
          </w:p>
        </w:tc>
        <w:tc>
          <w:tcPr>
            <w:tcW w:w="1030" w:type="dxa"/>
            <w:tcBorders>
              <w:top w:val="nil"/>
            </w:tcBorders>
            <w:shd w:val="clear" w:color="auto" w:fill="FFFFFF"/>
            <w:vAlign w:val="center"/>
          </w:tcPr>
          <w:p w14:paraId="4B599E12"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4811FB38"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r>
      <w:tr w:rsidR="00D07B44" w:rsidRPr="00CF31E0" w14:paraId="6BC73A7A" w14:textId="77777777" w:rsidTr="00852AD3">
        <w:trPr>
          <w:cantSplit/>
        </w:trPr>
        <w:tc>
          <w:tcPr>
            <w:tcW w:w="1736" w:type="dxa"/>
            <w:shd w:val="clear" w:color="auto" w:fill="FFFFFF"/>
          </w:tcPr>
          <w:p w14:paraId="3BB14722"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1B02B780" w14:textId="4C43C5BE"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882.992</w:t>
            </w:r>
          </w:p>
        </w:tc>
        <w:tc>
          <w:tcPr>
            <w:tcW w:w="822" w:type="dxa"/>
            <w:shd w:val="clear" w:color="auto" w:fill="FFFFFF"/>
            <w:vAlign w:val="center"/>
          </w:tcPr>
          <w:p w14:paraId="52465C4D" w14:textId="793767B6" w:rsidR="00D07B44" w:rsidRPr="00CF31E0" w:rsidRDefault="00852AD3"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3" w:type="dxa"/>
            <w:shd w:val="clear" w:color="auto" w:fill="FFFFFF"/>
            <w:vAlign w:val="center"/>
          </w:tcPr>
          <w:p w14:paraId="704FD5A7"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41C46626"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268F8AA9"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r>
    </w:tbl>
    <w:p w14:paraId="3651B498" w14:textId="77777777" w:rsidR="00D07B44" w:rsidRPr="00CF31E0" w:rsidRDefault="00D07B44" w:rsidP="00D07B44">
      <w:pPr>
        <w:rPr>
          <w:rFonts w:asciiTheme="majorBidi" w:hAnsiTheme="majorBidi" w:cstheme="majorBidi"/>
          <w:b/>
          <w:bCs/>
          <w:color w:val="000000" w:themeColor="text1"/>
        </w:rPr>
      </w:pPr>
    </w:p>
    <w:p w14:paraId="1B56D497" w14:textId="77777777" w:rsidR="00D07B44" w:rsidRPr="00CF31E0" w:rsidRDefault="00D07B44" w:rsidP="00FA43B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D07B44" w:rsidRPr="00CF31E0" w14:paraId="5FEDAA03" w14:textId="77777777" w:rsidTr="00D07B44">
        <w:trPr>
          <w:cantSplit/>
        </w:trPr>
        <w:tc>
          <w:tcPr>
            <w:tcW w:w="1736" w:type="dxa"/>
            <w:tcBorders>
              <w:top w:val="single" w:sz="8" w:space="0" w:color="auto"/>
              <w:bottom w:val="single" w:sz="6" w:space="0" w:color="auto"/>
            </w:tcBorders>
            <w:shd w:val="clear" w:color="auto" w:fill="FFFFFF"/>
            <w:vAlign w:val="bottom"/>
          </w:tcPr>
          <w:p w14:paraId="18F71CF7" w14:textId="5929A8E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Age</w:t>
            </w:r>
          </w:p>
        </w:tc>
        <w:tc>
          <w:tcPr>
            <w:tcW w:w="1686" w:type="dxa"/>
            <w:tcBorders>
              <w:top w:val="single" w:sz="8" w:space="0" w:color="auto"/>
              <w:bottom w:val="single" w:sz="6" w:space="0" w:color="auto"/>
            </w:tcBorders>
            <w:shd w:val="clear" w:color="auto" w:fill="FFFFFF"/>
            <w:vAlign w:val="bottom"/>
          </w:tcPr>
          <w:p w14:paraId="5B1EF1AB"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4D2A00F7"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5F73E762"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7C808AC4"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6A587E2E"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D07B44" w:rsidRPr="00CF31E0" w14:paraId="7A714D85" w14:textId="77777777" w:rsidTr="00D07B44">
        <w:trPr>
          <w:cantSplit/>
        </w:trPr>
        <w:tc>
          <w:tcPr>
            <w:tcW w:w="1736" w:type="dxa"/>
            <w:tcBorders>
              <w:top w:val="single" w:sz="6" w:space="0" w:color="auto"/>
              <w:bottom w:val="nil"/>
            </w:tcBorders>
            <w:shd w:val="clear" w:color="auto" w:fill="FFFFFF"/>
          </w:tcPr>
          <w:p w14:paraId="3BA0263B"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09E789EB" w14:textId="13E0DEE8"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3.156</w:t>
            </w:r>
          </w:p>
        </w:tc>
        <w:tc>
          <w:tcPr>
            <w:tcW w:w="820" w:type="dxa"/>
            <w:tcBorders>
              <w:top w:val="single" w:sz="6" w:space="0" w:color="auto"/>
              <w:bottom w:val="nil"/>
            </w:tcBorders>
            <w:shd w:val="clear" w:color="auto" w:fill="FFFFFF"/>
            <w:vAlign w:val="center"/>
          </w:tcPr>
          <w:p w14:paraId="12A29FBE" w14:textId="48EB089F"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w:t>
            </w:r>
          </w:p>
        </w:tc>
        <w:tc>
          <w:tcPr>
            <w:tcW w:w="1445" w:type="dxa"/>
            <w:tcBorders>
              <w:top w:val="single" w:sz="6" w:space="0" w:color="auto"/>
              <w:bottom w:val="nil"/>
            </w:tcBorders>
            <w:shd w:val="clear" w:color="auto" w:fill="FFFFFF"/>
            <w:vAlign w:val="center"/>
          </w:tcPr>
          <w:p w14:paraId="03D6E550" w14:textId="27E6577D"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.631</w:t>
            </w:r>
          </w:p>
        </w:tc>
        <w:tc>
          <w:tcPr>
            <w:tcW w:w="1030" w:type="dxa"/>
            <w:tcBorders>
              <w:top w:val="single" w:sz="6" w:space="0" w:color="auto"/>
              <w:bottom w:val="nil"/>
            </w:tcBorders>
            <w:shd w:val="clear" w:color="auto" w:fill="FFFFFF"/>
            <w:vAlign w:val="center"/>
          </w:tcPr>
          <w:p w14:paraId="6627E4C2" w14:textId="6D6FFF33"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.461</w:t>
            </w:r>
          </w:p>
        </w:tc>
        <w:tc>
          <w:tcPr>
            <w:tcW w:w="674" w:type="dxa"/>
            <w:tcBorders>
              <w:top w:val="single" w:sz="6" w:space="0" w:color="auto"/>
              <w:bottom w:val="nil"/>
            </w:tcBorders>
            <w:shd w:val="clear" w:color="auto" w:fill="FFFFFF"/>
            <w:vAlign w:val="center"/>
          </w:tcPr>
          <w:p w14:paraId="237FD73F" w14:textId="5DF670E8"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.805</w:t>
            </w:r>
          </w:p>
        </w:tc>
      </w:tr>
      <w:tr w:rsidR="00D07B44" w:rsidRPr="00CF31E0" w14:paraId="1E410069" w14:textId="77777777" w:rsidTr="00D07B44">
        <w:trPr>
          <w:cantSplit/>
        </w:trPr>
        <w:tc>
          <w:tcPr>
            <w:tcW w:w="1736" w:type="dxa"/>
            <w:tcBorders>
              <w:top w:val="nil"/>
            </w:tcBorders>
            <w:shd w:val="clear" w:color="auto" w:fill="FFFFFF"/>
          </w:tcPr>
          <w:p w14:paraId="67B7EC03"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15E6234E" w14:textId="53EE8DB5"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877.824</w:t>
            </w:r>
          </w:p>
        </w:tc>
        <w:tc>
          <w:tcPr>
            <w:tcW w:w="820" w:type="dxa"/>
            <w:tcBorders>
              <w:top w:val="nil"/>
            </w:tcBorders>
            <w:shd w:val="clear" w:color="auto" w:fill="FFFFFF"/>
            <w:vAlign w:val="center"/>
          </w:tcPr>
          <w:p w14:paraId="38E5369C" w14:textId="4BB421A0" w:rsidR="00D07B44" w:rsidRPr="00CF31E0" w:rsidRDefault="000604A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644</w:t>
            </w:r>
          </w:p>
        </w:tc>
        <w:tc>
          <w:tcPr>
            <w:tcW w:w="1445" w:type="dxa"/>
            <w:tcBorders>
              <w:top w:val="nil"/>
            </w:tcBorders>
            <w:shd w:val="clear" w:color="auto" w:fill="FFFFFF"/>
            <w:vAlign w:val="center"/>
          </w:tcPr>
          <w:p w14:paraId="4C6CDF41" w14:textId="3E4D9145"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1.369</w:t>
            </w:r>
          </w:p>
        </w:tc>
        <w:tc>
          <w:tcPr>
            <w:tcW w:w="1030" w:type="dxa"/>
            <w:tcBorders>
              <w:top w:val="nil"/>
            </w:tcBorders>
            <w:shd w:val="clear" w:color="auto" w:fill="FFFFFF"/>
            <w:vAlign w:val="center"/>
          </w:tcPr>
          <w:p w14:paraId="07BD9FA0"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10A17CE4"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r>
      <w:tr w:rsidR="00D07B44" w:rsidRPr="00CF31E0" w14:paraId="04EE0C54" w14:textId="77777777" w:rsidTr="00D07B44">
        <w:trPr>
          <w:cantSplit/>
        </w:trPr>
        <w:tc>
          <w:tcPr>
            <w:tcW w:w="1736" w:type="dxa"/>
            <w:shd w:val="clear" w:color="auto" w:fill="FFFFFF"/>
          </w:tcPr>
          <w:p w14:paraId="3EB97DDB"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6D1E1FDC" w14:textId="3FB315D8"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880.980</w:t>
            </w:r>
          </w:p>
        </w:tc>
        <w:tc>
          <w:tcPr>
            <w:tcW w:w="820" w:type="dxa"/>
            <w:shd w:val="clear" w:color="auto" w:fill="FFFFFF"/>
            <w:vAlign w:val="center"/>
          </w:tcPr>
          <w:p w14:paraId="37B92AF1" w14:textId="41798C68" w:rsidR="00D07B44" w:rsidRPr="00CF31E0" w:rsidRDefault="000604A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55B1284E"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0864207D"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043F2152"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r>
    </w:tbl>
    <w:p w14:paraId="45978D31" w14:textId="77777777" w:rsidR="00D07B44" w:rsidRPr="00CF31E0" w:rsidRDefault="00D07B44" w:rsidP="00D07B44">
      <w:pPr>
        <w:rPr>
          <w:rFonts w:asciiTheme="majorBidi" w:hAnsiTheme="majorBidi" w:cstheme="majorBidi"/>
          <w:b/>
          <w:bCs/>
          <w:color w:val="000000" w:themeColor="text1"/>
        </w:rPr>
      </w:pPr>
    </w:p>
    <w:p w14:paraId="13CCBA7D" w14:textId="77777777" w:rsidR="00D07B44" w:rsidRPr="00CF31E0" w:rsidRDefault="00D07B44" w:rsidP="00FA43B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D07B44" w:rsidRPr="00CF31E0" w14:paraId="4B8C20BD" w14:textId="77777777" w:rsidTr="00D07B44">
        <w:trPr>
          <w:cantSplit/>
        </w:trPr>
        <w:tc>
          <w:tcPr>
            <w:tcW w:w="1736" w:type="dxa"/>
            <w:tcBorders>
              <w:top w:val="single" w:sz="8" w:space="0" w:color="auto"/>
              <w:bottom w:val="single" w:sz="6" w:space="0" w:color="auto"/>
            </w:tcBorders>
            <w:shd w:val="clear" w:color="auto" w:fill="FFFFFF"/>
            <w:vAlign w:val="bottom"/>
          </w:tcPr>
          <w:p w14:paraId="4A0578E5" w14:textId="28273508"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 of birth</w:t>
            </w:r>
          </w:p>
        </w:tc>
        <w:tc>
          <w:tcPr>
            <w:tcW w:w="1686" w:type="dxa"/>
            <w:tcBorders>
              <w:top w:val="single" w:sz="8" w:space="0" w:color="auto"/>
              <w:bottom w:val="single" w:sz="6" w:space="0" w:color="auto"/>
            </w:tcBorders>
            <w:shd w:val="clear" w:color="auto" w:fill="FFFFFF"/>
            <w:vAlign w:val="bottom"/>
          </w:tcPr>
          <w:p w14:paraId="4EFBBC5C"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2A760717"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0CFAC5E4"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0B8668B7"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3E6BE064"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D07B44" w:rsidRPr="00CF31E0" w14:paraId="6E24B3EC" w14:textId="77777777" w:rsidTr="00D07B44">
        <w:trPr>
          <w:cantSplit/>
        </w:trPr>
        <w:tc>
          <w:tcPr>
            <w:tcW w:w="1736" w:type="dxa"/>
            <w:tcBorders>
              <w:top w:val="single" w:sz="6" w:space="0" w:color="auto"/>
              <w:bottom w:val="nil"/>
            </w:tcBorders>
            <w:shd w:val="clear" w:color="auto" w:fill="FFFFFF"/>
          </w:tcPr>
          <w:p w14:paraId="59D0C647"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395386E8" w14:textId="5769370D"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.014</w:t>
            </w:r>
          </w:p>
        </w:tc>
        <w:tc>
          <w:tcPr>
            <w:tcW w:w="820" w:type="dxa"/>
            <w:tcBorders>
              <w:top w:val="single" w:sz="6" w:space="0" w:color="auto"/>
              <w:bottom w:val="nil"/>
            </w:tcBorders>
            <w:shd w:val="clear" w:color="auto" w:fill="FFFFFF"/>
            <w:vAlign w:val="center"/>
          </w:tcPr>
          <w:p w14:paraId="546B4873" w14:textId="79DC52AA"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32C73946" w14:textId="2F216EB9"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.014</w:t>
            </w:r>
          </w:p>
        </w:tc>
        <w:tc>
          <w:tcPr>
            <w:tcW w:w="1030" w:type="dxa"/>
            <w:tcBorders>
              <w:top w:val="single" w:sz="6" w:space="0" w:color="auto"/>
              <w:bottom w:val="nil"/>
            </w:tcBorders>
            <w:shd w:val="clear" w:color="auto" w:fill="FFFFFF"/>
            <w:vAlign w:val="center"/>
          </w:tcPr>
          <w:p w14:paraId="1FECEF93" w14:textId="3F80C9A1"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.010</w:t>
            </w:r>
          </w:p>
        </w:tc>
        <w:tc>
          <w:tcPr>
            <w:tcW w:w="674" w:type="dxa"/>
            <w:tcBorders>
              <w:top w:val="single" w:sz="6" w:space="0" w:color="auto"/>
              <w:bottom w:val="nil"/>
            </w:tcBorders>
            <w:shd w:val="clear" w:color="auto" w:fill="FFFFFF"/>
            <w:vAlign w:val="center"/>
          </w:tcPr>
          <w:p w14:paraId="5FAF9645" w14:textId="59164E7E"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.921</w:t>
            </w:r>
          </w:p>
        </w:tc>
      </w:tr>
      <w:tr w:rsidR="00D07B44" w:rsidRPr="00CF31E0" w14:paraId="3E6CA331" w14:textId="77777777" w:rsidTr="00D07B44">
        <w:trPr>
          <w:cantSplit/>
        </w:trPr>
        <w:tc>
          <w:tcPr>
            <w:tcW w:w="1736" w:type="dxa"/>
            <w:tcBorders>
              <w:top w:val="nil"/>
            </w:tcBorders>
            <w:shd w:val="clear" w:color="auto" w:fill="FFFFFF"/>
          </w:tcPr>
          <w:p w14:paraId="1117634B"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4948DFC7" w14:textId="495550E3"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882.979</w:t>
            </w:r>
          </w:p>
        </w:tc>
        <w:tc>
          <w:tcPr>
            <w:tcW w:w="820" w:type="dxa"/>
            <w:tcBorders>
              <w:top w:val="nil"/>
            </w:tcBorders>
            <w:shd w:val="clear" w:color="auto" w:fill="FFFFFF"/>
            <w:vAlign w:val="center"/>
          </w:tcPr>
          <w:p w14:paraId="0BBDC397" w14:textId="7807B1AA" w:rsidR="00D07B44" w:rsidRPr="00CF31E0" w:rsidRDefault="000604A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0A0539B9" w14:textId="0A17A34B"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1.365</w:t>
            </w:r>
          </w:p>
        </w:tc>
        <w:tc>
          <w:tcPr>
            <w:tcW w:w="1030" w:type="dxa"/>
            <w:tcBorders>
              <w:top w:val="nil"/>
            </w:tcBorders>
            <w:shd w:val="clear" w:color="auto" w:fill="FFFFFF"/>
            <w:vAlign w:val="center"/>
          </w:tcPr>
          <w:p w14:paraId="058414B9"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371BBE9F"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r>
      <w:tr w:rsidR="00D07B44" w:rsidRPr="00CF31E0" w14:paraId="44DE80E1" w14:textId="77777777" w:rsidTr="00D07B44">
        <w:trPr>
          <w:cantSplit/>
        </w:trPr>
        <w:tc>
          <w:tcPr>
            <w:tcW w:w="1736" w:type="dxa"/>
            <w:shd w:val="clear" w:color="auto" w:fill="FFFFFF"/>
          </w:tcPr>
          <w:p w14:paraId="68BD68F0"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56FACBC" w14:textId="7DA2D2E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882.992</w:t>
            </w:r>
          </w:p>
        </w:tc>
        <w:tc>
          <w:tcPr>
            <w:tcW w:w="820" w:type="dxa"/>
            <w:shd w:val="clear" w:color="auto" w:fill="FFFFFF"/>
            <w:vAlign w:val="center"/>
          </w:tcPr>
          <w:p w14:paraId="68427133" w14:textId="40B16D6E" w:rsidR="00D07B44" w:rsidRPr="00CF31E0" w:rsidRDefault="000604A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57FDA79D"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39141611"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529F5075"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r>
    </w:tbl>
    <w:p w14:paraId="626FF3D2" w14:textId="77777777" w:rsidR="00D07B44" w:rsidRPr="00CF31E0" w:rsidRDefault="00D07B44" w:rsidP="00D07B44">
      <w:pPr>
        <w:rPr>
          <w:rFonts w:asciiTheme="majorBidi" w:hAnsiTheme="majorBidi" w:cstheme="majorBidi"/>
          <w:b/>
          <w:bCs/>
          <w:color w:val="000000" w:themeColor="text1"/>
        </w:rPr>
      </w:pPr>
    </w:p>
    <w:p w14:paraId="653020CE" w14:textId="77777777" w:rsidR="00D07B44" w:rsidRPr="00CF31E0" w:rsidRDefault="00D07B44" w:rsidP="00FA43BB">
      <w:pPr>
        <w:rPr>
          <w:rFonts w:asciiTheme="majorBidi" w:hAnsiTheme="majorBidi" w:cstheme="majorBidi"/>
          <w:b/>
          <w:bCs/>
          <w:color w:val="000000" w:themeColor="text1"/>
        </w:rPr>
      </w:pPr>
    </w:p>
    <w:p w14:paraId="719C8BF4" w14:textId="77777777" w:rsidR="00D07B44" w:rsidRPr="00CF31E0" w:rsidRDefault="00D07B44" w:rsidP="00FA43BB">
      <w:pPr>
        <w:rPr>
          <w:rFonts w:asciiTheme="majorBidi" w:hAnsiTheme="majorBidi" w:cstheme="majorBidi"/>
          <w:b/>
          <w:bCs/>
          <w:color w:val="000000" w:themeColor="text1"/>
        </w:rPr>
      </w:pPr>
    </w:p>
    <w:p w14:paraId="0F0445E5" w14:textId="77777777" w:rsidR="00D07B44" w:rsidRPr="00CF31E0" w:rsidRDefault="00D07B44" w:rsidP="00FA43BB">
      <w:pPr>
        <w:rPr>
          <w:rFonts w:asciiTheme="majorBidi" w:hAnsiTheme="majorBidi" w:cstheme="majorBidi"/>
          <w:b/>
          <w:bCs/>
          <w:color w:val="000000" w:themeColor="text1"/>
        </w:rPr>
      </w:pPr>
    </w:p>
    <w:p w14:paraId="53F71B2C" w14:textId="77777777" w:rsidR="00D07B44" w:rsidRPr="00CF31E0" w:rsidRDefault="00D07B44" w:rsidP="00FA43BB">
      <w:pPr>
        <w:rPr>
          <w:rFonts w:asciiTheme="majorBidi" w:hAnsiTheme="majorBidi" w:cstheme="majorBidi"/>
          <w:b/>
          <w:bCs/>
          <w:color w:val="000000" w:themeColor="text1"/>
        </w:rPr>
      </w:pPr>
    </w:p>
    <w:p w14:paraId="18A9A589" w14:textId="77777777" w:rsidR="00D07B44" w:rsidRPr="00CF31E0" w:rsidRDefault="00D07B44" w:rsidP="00FA43BB">
      <w:pPr>
        <w:rPr>
          <w:rFonts w:asciiTheme="majorBidi" w:hAnsiTheme="majorBidi" w:cstheme="majorBidi"/>
          <w:b/>
          <w:bCs/>
          <w:color w:val="000000" w:themeColor="text1"/>
        </w:rPr>
      </w:pPr>
    </w:p>
    <w:p w14:paraId="4D9EE9CA" w14:textId="77777777" w:rsidR="00D07B44" w:rsidRPr="00CF31E0" w:rsidRDefault="00D07B44" w:rsidP="00FA43BB">
      <w:pPr>
        <w:rPr>
          <w:rFonts w:asciiTheme="majorBidi" w:hAnsiTheme="majorBidi" w:cstheme="majorBidi"/>
          <w:b/>
          <w:bCs/>
          <w:color w:val="000000" w:themeColor="text1"/>
        </w:rPr>
      </w:pPr>
    </w:p>
    <w:p w14:paraId="4CB1F544" w14:textId="77777777" w:rsidR="00D07B44" w:rsidRPr="00CF31E0" w:rsidRDefault="00D07B44" w:rsidP="00FA43BB">
      <w:pPr>
        <w:rPr>
          <w:rFonts w:asciiTheme="majorBidi" w:hAnsiTheme="majorBidi" w:cstheme="majorBidi"/>
          <w:b/>
          <w:bCs/>
          <w:color w:val="000000" w:themeColor="text1"/>
        </w:rPr>
      </w:pPr>
    </w:p>
    <w:p w14:paraId="4808D41C" w14:textId="77777777" w:rsidR="00D07B44" w:rsidRPr="00CF31E0" w:rsidRDefault="00D07B44" w:rsidP="00FA43B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D07B44" w:rsidRPr="00CF31E0" w14:paraId="19B7A2B2" w14:textId="77777777" w:rsidTr="00D07B44">
        <w:trPr>
          <w:cantSplit/>
        </w:trPr>
        <w:tc>
          <w:tcPr>
            <w:tcW w:w="1736" w:type="dxa"/>
            <w:tcBorders>
              <w:top w:val="single" w:sz="8" w:space="0" w:color="auto"/>
              <w:bottom w:val="single" w:sz="6" w:space="0" w:color="auto"/>
            </w:tcBorders>
            <w:shd w:val="clear" w:color="auto" w:fill="FFFFFF"/>
            <w:vAlign w:val="bottom"/>
          </w:tcPr>
          <w:p w14:paraId="1F2E24C6" w14:textId="78192EB2"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Places lived</w:t>
            </w:r>
          </w:p>
        </w:tc>
        <w:tc>
          <w:tcPr>
            <w:tcW w:w="1686" w:type="dxa"/>
            <w:tcBorders>
              <w:top w:val="single" w:sz="8" w:space="0" w:color="auto"/>
              <w:bottom w:val="single" w:sz="6" w:space="0" w:color="auto"/>
            </w:tcBorders>
            <w:shd w:val="clear" w:color="auto" w:fill="FFFFFF"/>
            <w:vAlign w:val="bottom"/>
          </w:tcPr>
          <w:p w14:paraId="48458BE8"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2F15242A"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591933C7"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36E42EF0"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6AE97843"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D07B44" w:rsidRPr="00CF31E0" w14:paraId="3E29D203" w14:textId="77777777" w:rsidTr="00D07B44">
        <w:trPr>
          <w:cantSplit/>
        </w:trPr>
        <w:tc>
          <w:tcPr>
            <w:tcW w:w="1736" w:type="dxa"/>
            <w:tcBorders>
              <w:top w:val="single" w:sz="6" w:space="0" w:color="auto"/>
              <w:bottom w:val="nil"/>
            </w:tcBorders>
            <w:shd w:val="clear" w:color="auto" w:fill="FFFFFF"/>
          </w:tcPr>
          <w:p w14:paraId="34E93FFC"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73487EA9" w14:textId="1556D3DC"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.072</w:t>
            </w:r>
          </w:p>
        </w:tc>
        <w:tc>
          <w:tcPr>
            <w:tcW w:w="820" w:type="dxa"/>
            <w:tcBorders>
              <w:top w:val="single" w:sz="6" w:space="0" w:color="auto"/>
              <w:bottom w:val="nil"/>
            </w:tcBorders>
            <w:shd w:val="clear" w:color="auto" w:fill="FFFFFF"/>
            <w:vAlign w:val="center"/>
          </w:tcPr>
          <w:p w14:paraId="3F300A9D" w14:textId="0DEA77FC"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3113EE32" w14:textId="48F6EDC0"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.072</w:t>
            </w:r>
          </w:p>
        </w:tc>
        <w:tc>
          <w:tcPr>
            <w:tcW w:w="1030" w:type="dxa"/>
            <w:tcBorders>
              <w:top w:val="single" w:sz="6" w:space="0" w:color="auto"/>
              <w:bottom w:val="nil"/>
            </w:tcBorders>
            <w:shd w:val="clear" w:color="auto" w:fill="FFFFFF"/>
            <w:vAlign w:val="center"/>
          </w:tcPr>
          <w:p w14:paraId="64A5C0BD" w14:textId="0FF79311"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.052</w:t>
            </w:r>
          </w:p>
        </w:tc>
        <w:tc>
          <w:tcPr>
            <w:tcW w:w="674" w:type="dxa"/>
            <w:tcBorders>
              <w:top w:val="single" w:sz="6" w:space="0" w:color="auto"/>
              <w:bottom w:val="nil"/>
            </w:tcBorders>
            <w:shd w:val="clear" w:color="auto" w:fill="FFFFFF"/>
            <w:vAlign w:val="center"/>
          </w:tcPr>
          <w:p w14:paraId="45E004ED" w14:textId="3166212B"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.819</w:t>
            </w:r>
          </w:p>
        </w:tc>
      </w:tr>
      <w:tr w:rsidR="00D07B44" w:rsidRPr="00CF31E0" w14:paraId="0E3A02E4" w14:textId="77777777" w:rsidTr="00D07B44">
        <w:trPr>
          <w:cantSplit/>
        </w:trPr>
        <w:tc>
          <w:tcPr>
            <w:tcW w:w="1736" w:type="dxa"/>
            <w:tcBorders>
              <w:top w:val="nil"/>
            </w:tcBorders>
            <w:shd w:val="clear" w:color="auto" w:fill="FFFFFF"/>
          </w:tcPr>
          <w:p w14:paraId="656A95BA"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44FEFC34" w14:textId="1B097CFA"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873.471</w:t>
            </w:r>
          </w:p>
        </w:tc>
        <w:tc>
          <w:tcPr>
            <w:tcW w:w="820" w:type="dxa"/>
            <w:tcBorders>
              <w:top w:val="nil"/>
            </w:tcBorders>
            <w:shd w:val="clear" w:color="auto" w:fill="FFFFFF"/>
            <w:vAlign w:val="center"/>
          </w:tcPr>
          <w:p w14:paraId="051E257F" w14:textId="3DA2D22E" w:rsidR="00D07B44" w:rsidRPr="00CF31E0" w:rsidRDefault="000604A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70911B00" w14:textId="1D836708"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1.371</w:t>
            </w:r>
          </w:p>
        </w:tc>
        <w:tc>
          <w:tcPr>
            <w:tcW w:w="1030" w:type="dxa"/>
            <w:tcBorders>
              <w:top w:val="nil"/>
            </w:tcBorders>
            <w:shd w:val="clear" w:color="auto" w:fill="FFFFFF"/>
            <w:vAlign w:val="center"/>
          </w:tcPr>
          <w:p w14:paraId="09C5D31A"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054048EB"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r>
      <w:tr w:rsidR="00D07B44" w:rsidRPr="00CF31E0" w14:paraId="1B8C89AE" w14:textId="77777777" w:rsidTr="00D07B44">
        <w:trPr>
          <w:cantSplit/>
        </w:trPr>
        <w:tc>
          <w:tcPr>
            <w:tcW w:w="1736" w:type="dxa"/>
            <w:shd w:val="clear" w:color="auto" w:fill="FFFFFF"/>
          </w:tcPr>
          <w:p w14:paraId="628D9C0C"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6DA8738A"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882.992</w:t>
            </w:r>
          </w:p>
        </w:tc>
        <w:tc>
          <w:tcPr>
            <w:tcW w:w="820" w:type="dxa"/>
            <w:shd w:val="clear" w:color="auto" w:fill="FFFFFF"/>
            <w:vAlign w:val="center"/>
          </w:tcPr>
          <w:p w14:paraId="726566A5" w14:textId="4F8E0425" w:rsidR="00D07B44" w:rsidRPr="00CF31E0" w:rsidRDefault="000604A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371FCF56"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5A61F8C6"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7B91984C"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r>
    </w:tbl>
    <w:p w14:paraId="05213CB3" w14:textId="77777777" w:rsidR="00D07B44" w:rsidRPr="00CF31E0" w:rsidRDefault="00D07B44" w:rsidP="00D07B44">
      <w:pPr>
        <w:rPr>
          <w:rFonts w:asciiTheme="majorBidi" w:hAnsiTheme="majorBidi" w:cstheme="majorBidi"/>
          <w:b/>
          <w:bCs/>
          <w:color w:val="000000" w:themeColor="text1"/>
        </w:rPr>
      </w:pPr>
    </w:p>
    <w:p w14:paraId="0EAE4120" w14:textId="77777777" w:rsidR="00D07B44" w:rsidRPr="00CF31E0" w:rsidRDefault="00D07B44" w:rsidP="00FA43B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D07B44" w:rsidRPr="00CF31E0" w14:paraId="407BAD30" w14:textId="77777777" w:rsidTr="00D07B44">
        <w:trPr>
          <w:cantSplit/>
        </w:trPr>
        <w:tc>
          <w:tcPr>
            <w:tcW w:w="1736" w:type="dxa"/>
            <w:tcBorders>
              <w:top w:val="single" w:sz="8" w:space="0" w:color="auto"/>
              <w:bottom w:val="single" w:sz="6" w:space="0" w:color="auto"/>
            </w:tcBorders>
            <w:shd w:val="clear" w:color="auto" w:fill="FFFFFF"/>
            <w:vAlign w:val="bottom"/>
          </w:tcPr>
          <w:p w14:paraId="0968C976" w14:textId="1B2848FA"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Marital status</w:t>
            </w:r>
          </w:p>
        </w:tc>
        <w:tc>
          <w:tcPr>
            <w:tcW w:w="1686" w:type="dxa"/>
            <w:tcBorders>
              <w:top w:val="single" w:sz="8" w:space="0" w:color="auto"/>
              <w:bottom w:val="single" w:sz="6" w:space="0" w:color="auto"/>
            </w:tcBorders>
            <w:shd w:val="clear" w:color="auto" w:fill="FFFFFF"/>
            <w:vAlign w:val="bottom"/>
          </w:tcPr>
          <w:p w14:paraId="1405652C"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2E071064"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600CAA23"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60E7EA70"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3C19AFD7"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D07B44" w:rsidRPr="00CF31E0" w14:paraId="47B7B0CC" w14:textId="77777777" w:rsidTr="00D07B44">
        <w:trPr>
          <w:cantSplit/>
        </w:trPr>
        <w:tc>
          <w:tcPr>
            <w:tcW w:w="1736" w:type="dxa"/>
            <w:tcBorders>
              <w:top w:val="single" w:sz="6" w:space="0" w:color="auto"/>
              <w:bottom w:val="nil"/>
            </w:tcBorders>
            <w:shd w:val="clear" w:color="auto" w:fill="FFFFFF"/>
          </w:tcPr>
          <w:p w14:paraId="63AFDB5C"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6C7F38DA" w14:textId="3EB58C1A"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6.179</w:t>
            </w:r>
          </w:p>
        </w:tc>
        <w:tc>
          <w:tcPr>
            <w:tcW w:w="820" w:type="dxa"/>
            <w:tcBorders>
              <w:top w:val="single" w:sz="6" w:space="0" w:color="auto"/>
              <w:bottom w:val="nil"/>
            </w:tcBorders>
            <w:shd w:val="clear" w:color="auto" w:fill="FFFFFF"/>
            <w:vAlign w:val="center"/>
          </w:tcPr>
          <w:p w14:paraId="67B4FAA1" w14:textId="25F24B3F"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w:t>
            </w:r>
          </w:p>
        </w:tc>
        <w:tc>
          <w:tcPr>
            <w:tcW w:w="1445" w:type="dxa"/>
            <w:tcBorders>
              <w:top w:val="single" w:sz="6" w:space="0" w:color="auto"/>
              <w:bottom w:val="nil"/>
            </w:tcBorders>
            <w:shd w:val="clear" w:color="auto" w:fill="FFFFFF"/>
            <w:vAlign w:val="center"/>
          </w:tcPr>
          <w:p w14:paraId="24FFE0DC" w14:textId="5D5EB55A"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2.060</w:t>
            </w:r>
          </w:p>
        </w:tc>
        <w:tc>
          <w:tcPr>
            <w:tcW w:w="1030" w:type="dxa"/>
            <w:tcBorders>
              <w:top w:val="single" w:sz="6" w:space="0" w:color="auto"/>
              <w:bottom w:val="nil"/>
            </w:tcBorders>
            <w:shd w:val="clear" w:color="auto" w:fill="FFFFFF"/>
            <w:vAlign w:val="center"/>
          </w:tcPr>
          <w:p w14:paraId="076220C2" w14:textId="24CF5949"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1.515</w:t>
            </w:r>
          </w:p>
        </w:tc>
        <w:tc>
          <w:tcPr>
            <w:tcW w:w="674" w:type="dxa"/>
            <w:tcBorders>
              <w:top w:val="single" w:sz="6" w:space="0" w:color="auto"/>
              <w:bottom w:val="nil"/>
            </w:tcBorders>
            <w:shd w:val="clear" w:color="auto" w:fill="FFFFFF"/>
            <w:vAlign w:val="center"/>
          </w:tcPr>
          <w:p w14:paraId="5A8F54DE" w14:textId="59F583DB"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.209</w:t>
            </w:r>
          </w:p>
        </w:tc>
      </w:tr>
      <w:tr w:rsidR="00D07B44" w:rsidRPr="00CF31E0" w14:paraId="2B5718F9" w14:textId="77777777" w:rsidTr="00D07B44">
        <w:trPr>
          <w:cantSplit/>
        </w:trPr>
        <w:tc>
          <w:tcPr>
            <w:tcW w:w="1736" w:type="dxa"/>
            <w:tcBorders>
              <w:top w:val="nil"/>
            </w:tcBorders>
            <w:shd w:val="clear" w:color="auto" w:fill="FFFFFF"/>
          </w:tcPr>
          <w:p w14:paraId="6D066E61"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2AC56B23" w14:textId="649B3D30"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876.813</w:t>
            </w:r>
          </w:p>
        </w:tc>
        <w:tc>
          <w:tcPr>
            <w:tcW w:w="820" w:type="dxa"/>
            <w:tcBorders>
              <w:top w:val="nil"/>
            </w:tcBorders>
            <w:shd w:val="clear" w:color="auto" w:fill="FFFFFF"/>
            <w:vAlign w:val="center"/>
          </w:tcPr>
          <w:p w14:paraId="72ABE6C4" w14:textId="4A88772A" w:rsidR="00D07B44" w:rsidRPr="00CF31E0" w:rsidRDefault="000604A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646</w:t>
            </w:r>
          </w:p>
        </w:tc>
        <w:tc>
          <w:tcPr>
            <w:tcW w:w="1445" w:type="dxa"/>
            <w:tcBorders>
              <w:top w:val="nil"/>
            </w:tcBorders>
            <w:shd w:val="clear" w:color="auto" w:fill="FFFFFF"/>
            <w:vAlign w:val="center"/>
          </w:tcPr>
          <w:p w14:paraId="47C0F13A" w14:textId="40F3E668"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1.359</w:t>
            </w:r>
          </w:p>
        </w:tc>
        <w:tc>
          <w:tcPr>
            <w:tcW w:w="1030" w:type="dxa"/>
            <w:tcBorders>
              <w:top w:val="nil"/>
            </w:tcBorders>
            <w:shd w:val="clear" w:color="auto" w:fill="FFFFFF"/>
            <w:vAlign w:val="center"/>
          </w:tcPr>
          <w:p w14:paraId="4FF319DB"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3C33D3F4"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r>
      <w:tr w:rsidR="00D07B44" w:rsidRPr="00CF31E0" w14:paraId="09191DCF" w14:textId="77777777" w:rsidTr="00D07B44">
        <w:trPr>
          <w:cantSplit/>
        </w:trPr>
        <w:tc>
          <w:tcPr>
            <w:tcW w:w="1736" w:type="dxa"/>
            <w:shd w:val="clear" w:color="auto" w:fill="FFFFFF"/>
          </w:tcPr>
          <w:p w14:paraId="4765E06C"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2A5F7284" w14:textId="57A809C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882.992</w:t>
            </w:r>
          </w:p>
        </w:tc>
        <w:tc>
          <w:tcPr>
            <w:tcW w:w="820" w:type="dxa"/>
            <w:shd w:val="clear" w:color="auto" w:fill="FFFFFF"/>
            <w:vAlign w:val="center"/>
          </w:tcPr>
          <w:p w14:paraId="2AB8FF48" w14:textId="79728838" w:rsidR="00D07B44" w:rsidRPr="00CF31E0" w:rsidRDefault="000604A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16263205"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52599A85"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5289BCB4"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r>
    </w:tbl>
    <w:p w14:paraId="3D8C6EEE" w14:textId="77777777" w:rsidR="00D07B44" w:rsidRPr="00CF31E0" w:rsidRDefault="00D07B44" w:rsidP="00D07B44">
      <w:pPr>
        <w:rPr>
          <w:rFonts w:asciiTheme="majorBidi" w:hAnsiTheme="majorBidi" w:cstheme="majorBidi"/>
          <w:b/>
          <w:bCs/>
          <w:color w:val="000000" w:themeColor="text1"/>
        </w:rPr>
      </w:pPr>
    </w:p>
    <w:p w14:paraId="4F325324" w14:textId="77777777" w:rsidR="00D07B44" w:rsidRPr="00CF31E0" w:rsidRDefault="00D07B44" w:rsidP="00FA43B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D07B44" w:rsidRPr="00CF31E0" w14:paraId="135EDBF9" w14:textId="77777777" w:rsidTr="00D07B44">
        <w:trPr>
          <w:cantSplit/>
        </w:trPr>
        <w:tc>
          <w:tcPr>
            <w:tcW w:w="1736" w:type="dxa"/>
            <w:tcBorders>
              <w:top w:val="single" w:sz="8" w:space="0" w:color="auto"/>
              <w:bottom w:val="single" w:sz="6" w:space="0" w:color="auto"/>
            </w:tcBorders>
            <w:shd w:val="clear" w:color="auto" w:fill="FFFFFF"/>
            <w:vAlign w:val="bottom"/>
          </w:tcPr>
          <w:p w14:paraId="1D7103B9" w14:textId="1DC51FCE"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Education</w:t>
            </w:r>
          </w:p>
        </w:tc>
        <w:tc>
          <w:tcPr>
            <w:tcW w:w="1686" w:type="dxa"/>
            <w:tcBorders>
              <w:top w:val="single" w:sz="8" w:space="0" w:color="auto"/>
              <w:bottom w:val="single" w:sz="6" w:space="0" w:color="auto"/>
            </w:tcBorders>
            <w:shd w:val="clear" w:color="auto" w:fill="FFFFFF"/>
            <w:vAlign w:val="bottom"/>
          </w:tcPr>
          <w:p w14:paraId="13A88A21"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43C7D720"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6494B6DF"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38387775"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694B934D"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D07B44" w:rsidRPr="00CF31E0" w14:paraId="0E52AFDD" w14:textId="77777777" w:rsidTr="00D07B44">
        <w:trPr>
          <w:cantSplit/>
        </w:trPr>
        <w:tc>
          <w:tcPr>
            <w:tcW w:w="1736" w:type="dxa"/>
            <w:tcBorders>
              <w:top w:val="single" w:sz="6" w:space="0" w:color="auto"/>
              <w:bottom w:val="nil"/>
            </w:tcBorders>
            <w:shd w:val="clear" w:color="auto" w:fill="FFFFFF"/>
          </w:tcPr>
          <w:p w14:paraId="3929A19F"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0D2A1327" w14:textId="5EE10B6E"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13.572</w:t>
            </w:r>
          </w:p>
        </w:tc>
        <w:tc>
          <w:tcPr>
            <w:tcW w:w="820" w:type="dxa"/>
            <w:tcBorders>
              <w:top w:val="single" w:sz="6" w:space="0" w:color="auto"/>
              <w:bottom w:val="nil"/>
            </w:tcBorders>
            <w:shd w:val="clear" w:color="auto" w:fill="FFFFFF"/>
            <w:vAlign w:val="center"/>
          </w:tcPr>
          <w:p w14:paraId="222D7019" w14:textId="2B69C9CE"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w:t>
            </w:r>
          </w:p>
        </w:tc>
        <w:tc>
          <w:tcPr>
            <w:tcW w:w="1445" w:type="dxa"/>
            <w:tcBorders>
              <w:top w:val="single" w:sz="6" w:space="0" w:color="auto"/>
              <w:bottom w:val="nil"/>
            </w:tcBorders>
            <w:shd w:val="clear" w:color="auto" w:fill="FFFFFF"/>
            <w:vAlign w:val="center"/>
          </w:tcPr>
          <w:p w14:paraId="44323A03" w14:textId="1CACF474"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2.714</w:t>
            </w:r>
          </w:p>
        </w:tc>
        <w:tc>
          <w:tcPr>
            <w:tcW w:w="1030" w:type="dxa"/>
            <w:tcBorders>
              <w:top w:val="single" w:sz="6" w:space="0" w:color="auto"/>
              <w:bottom w:val="nil"/>
            </w:tcBorders>
            <w:shd w:val="clear" w:color="auto" w:fill="FFFFFF"/>
            <w:vAlign w:val="center"/>
          </w:tcPr>
          <w:p w14:paraId="55E85124" w14:textId="3052C3B4"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2.008</w:t>
            </w:r>
          </w:p>
        </w:tc>
        <w:tc>
          <w:tcPr>
            <w:tcW w:w="674" w:type="dxa"/>
            <w:tcBorders>
              <w:top w:val="single" w:sz="6" w:space="0" w:color="auto"/>
              <w:bottom w:val="nil"/>
            </w:tcBorders>
            <w:shd w:val="clear" w:color="auto" w:fill="FFFFFF"/>
            <w:vAlign w:val="center"/>
          </w:tcPr>
          <w:p w14:paraId="4C7DB9EE" w14:textId="68BD7785"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.076</w:t>
            </w:r>
          </w:p>
        </w:tc>
      </w:tr>
      <w:tr w:rsidR="00D07B44" w:rsidRPr="00CF31E0" w14:paraId="05F7714E" w14:textId="77777777" w:rsidTr="00D07B44">
        <w:trPr>
          <w:cantSplit/>
        </w:trPr>
        <w:tc>
          <w:tcPr>
            <w:tcW w:w="1736" w:type="dxa"/>
            <w:tcBorders>
              <w:top w:val="nil"/>
            </w:tcBorders>
            <w:shd w:val="clear" w:color="auto" w:fill="FFFFFF"/>
          </w:tcPr>
          <w:p w14:paraId="153160F1"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2260C51C" w14:textId="3C03934A"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869.420</w:t>
            </w:r>
          </w:p>
        </w:tc>
        <w:tc>
          <w:tcPr>
            <w:tcW w:w="820" w:type="dxa"/>
            <w:tcBorders>
              <w:top w:val="nil"/>
            </w:tcBorders>
            <w:shd w:val="clear" w:color="auto" w:fill="FFFFFF"/>
            <w:vAlign w:val="center"/>
          </w:tcPr>
          <w:p w14:paraId="7576888D" w14:textId="7D3EE1F4" w:rsidR="00D07B44" w:rsidRPr="00CF31E0" w:rsidRDefault="000604A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644</w:t>
            </w:r>
          </w:p>
        </w:tc>
        <w:tc>
          <w:tcPr>
            <w:tcW w:w="1445" w:type="dxa"/>
            <w:tcBorders>
              <w:top w:val="nil"/>
            </w:tcBorders>
            <w:shd w:val="clear" w:color="auto" w:fill="FFFFFF"/>
            <w:vAlign w:val="center"/>
          </w:tcPr>
          <w:p w14:paraId="5F619111" w14:textId="4C9780B4"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1.352</w:t>
            </w:r>
          </w:p>
        </w:tc>
        <w:tc>
          <w:tcPr>
            <w:tcW w:w="1030" w:type="dxa"/>
            <w:tcBorders>
              <w:top w:val="nil"/>
            </w:tcBorders>
            <w:shd w:val="clear" w:color="auto" w:fill="FFFFFF"/>
            <w:vAlign w:val="center"/>
          </w:tcPr>
          <w:p w14:paraId="3D071F27"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5542FD2C"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r>
      <w:tr w:rsidR="00D07B44" w:rsidRPr="00CF31E0" w14:paraId="4FBC51AB" w14:textId="77777777" w:rsidTr="00D07B44">
        <w:trPr>
          <w:cantSplit/>
        </w:trPr>
        <w:tc>
          <w:tcPr>
            <w:tcW w:w="1736" w:type="dxa"/>
            <w:shd w:val="clear" w:color="auto" w:fill="FFFFFF"/>
          </w:tcPr>
          <w:p w14:paraId="00C27B88"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009BABE" w14:textId="5DA937BC"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882.992</w:t>
            </w:r>
          </w:p>
        </w:tc>
        <w:tc>
          <w:tcPr>
            <w:tcW w:w="820" w:type="dxa"/>
            <w:shd w:val="clear" w:color="auto" w:fill="FFFFFF"/>
            <w:vAlign w:val="center"/>
          </w:tcPr>
          <w:p w14:paraId="504DD68D" w14:textId="58781F4B" w:rsidR="00D07B44" w:rsidRPr="00CF31E0" w:rsidRDefault="000604A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552CC81F"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3206327E"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32CBCE76"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r>
    </w:tbl>
    <w:p w14:paraId="42420C12" w14:textId="77777777" w:rsidR="00D07B44" w:rsidRPr="00CF31E0" w:rsidRDefault="00D07B44" w:rsidP="00D07B44">
      <w:pPr>
        <w:rPr>
          <w:rFonts w:asciiTheme="majorBidi" w:hAnsiTheme="majorBidi" w:cstheme="majorBidi"/>
          <w:b/>
          <w:bCs/>
          <w:color w:val="000000" w:themeColor="text1"/>
        </w:rPr>
      </w:pPr>
    </w:p>
    <w:p w14:paraId="140CC788" w14:textId="77777777" w:rsidR="00D07B44" w:rsidRPr="00CF31E0" w:rsidRDefault="00D07B44" w:rsidP="00FA43B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D07B44" w:rsidRPr="00CF31E0" w14:paraId="78B691A8" w14:textId="77777777" w:rsidTr="00D07B44">
        <w:trPr>
          <w:cantSplit/>
        </w:trPr>
        <w:tc>
          <w:tcPr>
            <w:tcW w:w="1736" w:type="dxa"/>
            <w:tcBorders>
              <w:top w:val="single" w:sz="8" w:space="0" w:color="auto"/>
              <w:bottom w:val="single" w:sz="6" w:space="0" w:color="auto"/>
            </w:tcBorders>
            <w:shd w:val="clear" w:color="auto" w:fill="FFFFFF"/>
            <w:vAlign w:val="bottom"/>
          </w:tcPr>
          <w:p w14:paraId="606A8355" w14:textId="1E011E60"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Social group</w:t>
            </w:r>
          </w:p>
        </w:tc>
        <w:tc>
          <w:tcPr>
            <w:tcW w:w="1686" w:type="dxa"/>
            <w:tcBorders>
              <w:top w:val="single" w:sz="8" w:space="0" w:color="auto"/>
              <w:bottom w:val="single" w:sz="6" w:space="0" w:color="auto"/>
            </w:tcBorders>
            <w:shd w:val="clear" w:color="auto" w:fill="FFFFFF"/>
            <w:vAlign w:val="bottom"/>
          </w:tcPr>
          <w:p w14:paraId="713D4C10"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579BE923"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34BD024"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E7CA22F"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6E66CC3F"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D07B44" w:rsidRPr="00CF31E0" w14:paraId="6A5F9A44" w14:textId="77777777" w:rsidTr="00D07B44">
        <w:trPr>
          <w:cantSplit/>
        </w:trPr>
        <w:tc>
          <w:tcPr>
            <w:tcW w:w="1736" w:type="dxa"/>
            <w:tcBorders>
              <w:top w:val="single" w:sz="6" w:space="0" w:color="auto"/>
              <w:bottom w:val="nil"/>
            </w:tcBorders>
            <w:shd w:val="clear" w:color="auto" w:fill="FFFFFF"/>
          </w:tcPr>
          <w:p w14:paraId="0EFED524"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61438A56" w14:textId="5A9C918E"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4.341</w:t>
            </w:r>
          </w:p>
        </w:tc>
        <w:tc>
          <w:tcPr>
            <w:tcW w:w="820" w:type="dxa"/>
            <w:tcBorders>
              <w:top w:val="single" w:sz="6" w:space="0" w:color="auto"/>
              <w:bottom w:val="nil"/>
            </w:tcBorders>
            <w:shd w:val="clear" w:color="auto" w:fill="FFFFFF"/>
            <w:vAlign w:val="center"/>
          </w:tcPr>
          <w:p w14:paraId="771EF149" w14:textId="73DC8C53"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791B7ADF" w14:textId="7902764A"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4.341</w:t>
            </w:r>
          </w:p>
        </w:tc>
        <w:tc>
          <w:tcPr>
            <w:tcW w:w="1030" w:type="dxa"/>
            <w:tcBorders>
              <w:top w:val="single" w:sz="6" w:space="0" w:color="auto"/>
              <w:bottom w:val="nil"/>
            </w:tcBorders>
            <w:shd w:val="clear" w:color="auto" w:fill="FFFFFF"/>
            <w:vAlign w:val="center"/>
          </w:tcPr>
          <w:p w14:paraId="2E45B8DF" w14:textId="6208389A"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3.197</w:t>
            </w:r>
          </w:p>
        </w:tc>
        <w:tc>
          <w:tcPr>
            <w:tcW w:w="674" w:type="dxa"/>
            <w:tcBorders>
              <w:top w:val="single" w:sz="6" w:space="0" w:color="auto"/>
              <w:bottom w:val="nil"/>
            </w:tcBorders>
            <w:shd w:val="clear" w:color="auto" w:fill="FFFFFF"/>
            <w:vAlign w:val="center"/>
          </w:tcPr>
          <w:p w14:paraId="43D2003A" w14:textId="21F7D63D"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.074</w:t>
            </w:r>
          </w:p>
        </w:tc>
      </w:tr>
      <w:tr w:rsidR="00D07B44" w:rsidRPr="00CF31E0" w14:paraId="70B1F2C1" w14:textId="77777777" w:rsidTr="00D07B44">
        <w:trPr>
          <w:cantSplit/>
        </w:trPr>
        <w:tc>
          <w:tcPr>
            <w:tcW w:w="1736" w:type="dxa"/>
            <w:tcBorders>
              <w:top w:val="nil"/>
            </w:tcBorders>
            <w:shd w:val="clear" w:color="auto" w:fill="FFFFFF"/>
          </w:tcPr>
          <w:p w14:paraId="70AE23CD"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63A06E66" w14:textId="03B7E4A9"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878.651</w:t>
            </w:r>
          </w:p>
        </w:tc>
        <w:tc>
          <w:tcPr>
            <w:tcW w:w="820" w:type="dxa"/>
            <w:tcBorders>
              <w:top w:val="nil"/>
            </w:tcBorders>
            <w:shd w:val="clear" w:color="auto" w:fill="FFFFFF"/>
            <w:vAlign w:val="center"/>
          </w:tcPr>
          <w:p w14:paraId="1CB833B8" w14:textId="74154E38" w:rsidR="00D07B44" w:rsidRPr="00CF31E0" w:rsidRDefault="000604A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61A4EC90" w14:textId="52C1E40E"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1.358</w:t>
            </w:r>
          </w:p>
        </w:tc>
        <w:tc>
          <w:tcPr>
            <w:tcW w:w="1030" w:type="dxa"/>
            <w:tcBorders>
              <w:top w:val="nil"/>
            </w:tcBorders>
            <w:shd w:val="clear" w:color="auto" w:fill="FFFFFF"/>
            <w:vAlign w:val="center"/>
          </w:tcPr>
          <w:p w14:paraId="0F143E89"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16AFC8AB"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r>
      <w:tr w:rsidR="00D07B44" w:rsidRPr="00CF31E0" w14:paraId="40152A66" w14:textId="77777777" w:rsidTr="00D07B44">
        <w:trPr>
          <w:cantSplit/>
        </w:trPr>
        <w:tc>
          <w:tcPr>
            <w:tcW w:w="1736" w:type="dxa"/>
            <w:shd w:val="clear" w:color="auto" w:fill="FFFFFF"/>
          </w:tcPr>
          <w:p w14:paraId="75BABD83"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18053DE8" w14:textId="663F1F8E"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882.992</w:t>
            </w:r>
          </w:p>
        </w:tc>
        <w:tc>
          <w:tcPr>
            <w:tcW w:w="820" w:type="dxa"/>
            <w:shd w:val="clear" w:color="auto" w:fill="FFFFFF"/>
            <w:vAlign w:val="center"/>
          </w:tcPr>
          <w:p w14:paraId="1C24B5BD" w14:textId="5720D420" w:rsidR="00D07B44" w:rsidRPr="00CF31E0" w:rsidRDefault="000604A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475CDFF0"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5107D094"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33D9A82A"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r>
    </w:tbl>
    <w:p w14:paraId="23F9E139" w14:textId="77777777" w:rsidR="00D07B44" w:rsidRPr="00CF31E0" w:rsidRDefault="00D07B44" w:rsidP="00D07B44">
      <w:pPr>
        <w:rPr>
          <w:rFonts w:asciiTheme="majorBidi" w:hAnsiTheme="majorBidi" w:cstheme="majorBidi"/>
          <w:b/>
          <w:bCs/>
          <w:color w:val="000000" w:themeColor="text1"/>
        </w:rPr>
      </w:pPr>
    </w:p>
    <w:p w14:paraId="097D7BA9" w14:textId="77777777" w:rsidR="00D07B44" w:rsidRPr="00CF31E0" w:rsidRDefault="00D07B44" w:rsidP="00FA43BB">
      <w:pPr>
        <w:rPr>
          <w:rFonts w:asciiTheme="majorBidi" w:hAnsiTheme="majorBidi" w:cstheme="majorBidi"/>
          <w:b/>
          <w:bCs/>
          <w:color w:val="000000" w:themeColor="text1"/>
        </w:rPr>
      </w:pPr>
    </w:p>
    <w:p w14:paraId="0EE6A304" w14:textId="77777777" w:rsidR="00D07B44" w:rsidRPr="00CF31E0" w:rsidRDefault="00D07B44" w:rsidP="00FA43BB">
      <w:pPr>
        <w:rPr>
          <w:rFonts w:asciiTheme="majorBidi" w:hAnsiTheme="majorBidi" w:cstheme="majorBidi"/>
          <w:b/>
          <w:bCs/>
          <w:color w:val="000000" w:themeColor="text1"/>
        </w:rPr>
      </w:pPr>
    </w:p>
    <w:p w14:paraId="2099F317" w14:textId="77777777" w:rsidR="00D07B44" w:rsidRPr="00CF31E0" w:rsidRDefault="00D07B44" w:rsidP="00FA43BB">
      <w:pPr>
        <w:rPr>
          <w:rFonts w:asciiTheme="majorBidi" w:hAnsiTheme="majorBidi" w:cstheme="majorBidi"/>
          <w:b/>
          <w:bCs/>
          <w:color w:val="000000" w:themeColor="text1"/>
        </w:rPr>
      </w:pPr>
    </w:p>
    <w:p w14:paraId="09CE0AF9" w14:textId="77777777" w:rsidR="00D07B44" w:rsidRPr="00CF31E0" w:rsidRDefault="00D07B44" w:rsidP="00FA43BB">
      <w:pPr>
        <w:rPr>
          <w:rFonts w:asciiTheme="majorBidi" w:hAnsiTheme="majorBidi" w:cstheme="majorBidi"/>
          <w:b/>
          <w:bCs/>
          <w:color w:val="000000" w:themeColor="text1"/>
        </w:rPr>
      </w:pPr>
    </w:p>
    <w:p w14:paraId="77D60474" w14:textId="77777777" w:rsidR="00D07B44" w:rsidRPr="00CF31E0" w:rsidRDefault="00D07B44" w:rsidP="00FA43B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D07B44" w:rsidRPr="00CF31E0" w14:paraId="0E685AE8" w14:textId="77777777" w:rsidTr="00D07B44">
        <w:trPr>
          <w:cantSplit/>
        </w:trPr>
        <w:tc>
          <w:tcPr>
            <w:tcW w:w="1736" w:type="dxa"/>
            <w:tcBorders>
              <w:top w:val="single" w:sz="8" w:space="0" w:color="auto"/>
              <w:bottom w:val="single" w:sz="6" w:space="0" w:color="auto"/>
            </w:tcBorders>
            <w:shd w:val="clear" w:color="auto" w:fill="FFFFFF"/>
            <w:vAlign w:val="bottom"/>
          </w:tcPr>
          <w:p w14:paraId="0C9794ED" w14:textId="43069700"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Mother’s social group</w:t>
            </w:r>
          </w:p>
        </w:tc>
        <w:tc>
          <w:tcPr>
            <w:tcW w:w="1686" w:type="dxa"/>
            <w:tcBorders>
              <w:top w:val="single" w:sz="8" w:space="0" w:color="auto"/>
              <w:bottom w:val="single" w:sz="6" w:space="0" w:color="auto"/>
            </w:tcBorders>
            <w:shd w:val="clear" w:color="auto" w:fill="FFFFFF"/>
            <w:vAlign w:val="bottom"/>
          </w:tcPr>
          <w:p w14:paraId="2E3912F4"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5E98DFB9"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29CBA82E"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04FFBCBD"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61F851D6"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D07B44" w:rsidRPr="00CF31E0" w14:paraId="7A3B743F" w14:textId="77777777" w:rsidTr="00D07B44">
        <w:trPr>
          <w:cantSplit/>
        </w:trPr>
        <w:tc>
          <w:tcPr>
            <w:tcW w:w="1736" w:type="dxa"/>
            <w:tcBorders>
              <w:top w:val="single" w:sz="6" w:space="0" w:color="auto"/>
              <w:bottom w:val="nil"/>
            </w:tcBorders>
            <w:shd w:val="clear" w:color="auto" w:fill="FFFFFF"/>
          </w:tcPr>
          <w:p w14:paraId="547439CA"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09D9ED7A" w14:textId="12D23BC2"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9.952</w:t>
            </w:r>
          </w:p>
        </w:tc>
        <w:tc>
          <w:tcPr>
            <w:tcW w:w="820" w:type="dxa"/>
            <w:tcBorders>
              <w:top w:val="single" w:sz="6" w:space="0" w:color="auto"/>
              <w:bottom w:val="nil"/>
            </w:tcBorders>
            <w:shd w:val="clear" w:color="auto" w:fill="FFFFFF"/>
            <w:vAlign w:val="center"/>
          </w:tcPr>
          <w:p w14:paraId="087814CD" w14:textId="2D4CB10C"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w:t>
            </w:r>
          </w:p>
        </w:tc>
        <w:tc>
          <w:tcPr>
            <w:tcW w:w="1445" w:type="dxa"/>
            <w:tcBorders>
              <w:top w:val="single" w:sz="6" w:space="0" w:color="auto"/>
              <w:bottom w:val="nil"/>
            </w:tcBorders>
            <w:shd w:val="clear" w:color="auto" w:fill="FFFFFF"/>
            <w:vAlign w:val="center"/>
          </w:tcPr>
          <w:p w14:paraId="01C2A7C9" w14:textId="5A61E389"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4.976</w:t>
            </w:r>
          </w:p>
        </w:tc>
        <w:tc>
          <w:tcPr>
            <w:tcW w:w="1030" w:type="dxa"/>
            <w:tcBorders>
              <w:top w:val="single" w:sz="6" w:space="0" w:color="auto"/>
              <w:bottom w:val="nil"/>
            </w:tcBorders>
            <w:shd w:val="clear" w:color="auto" w:fill="FFFFFF"/>
            <w:vAlign w:val="center"/>
          </w:tcPr>
          <w:p w14:paraId="23AB7D0C" w14:textId="04925989"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3.681</w:t>
            </w:r>
          </w:p>
        </w:tc>
        <w:tc>
          <w:tcPr>
            <w:tcW w:w="674" w:type="dxa"/>
            <w:tcBorders>
              <w:top w:val="single" w:sz="6" w:space="0" w:color="auto"/>
              <w:bottom w:val="nil"/>
            </w:tcBorders>
            <w:shd w:val="clear" w:color="auto" w:fill="FFFFFF"/>
            <w:vAlign w:val="center"/>
          </w:tcPr>
          <w:p w14:paraId="04E90397" w14:textId="6EAA1101"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.026</w:t>
            </w:r>
          </w:p>
        </w:tc>
      </w:tr>
      <w:tr w:rsidR="00D07B44" w:rsidRPr="00CF31E0" w14:paraId="2B1EDB23" w14:textId="77777777" w:rsidTr="00D07B44">
        <w:trPr>
          <w:cantSplit/>
        </w:trPr>
        <w:tc>
          <w:tcPr>
            <w:tcW w:w="1736" w:type="dxa"/>
            <w:tcBorders>
              <w:top w:val="nil"/>
            </w:tcBorders>
            <w:shd w:val="clear" w:color="auto" w:fill="FFFFFF"/>
          </w:tcPr>
          <w:p w14:paraId="55E77E29"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2CDFCCAD" w14:textId="01E70758"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871.875</w:t>
            </w:r>
          </w:p>
        </w:tc>
        <w:tc>
          <w:tcPr>
            <w:tcW w:w="820" w:type="dxa"/>
            <w:tcBorders>
              <w:top w:val="nil"/>
            </w:tcBorders>
            <w:shd w:val="clear" w:color="auto" w:fill="FFFFFF"/>
            <w:vAlign w:val="center"/>
          </w:tcPr>
          <w:p w14:paraId="20BBE443" w14:textId="3073CAC3" w:rsidR="00D07B44" w:rsidRPr="00CF31E0" w:rsidRDefault="000604A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647</w:t>
            </w:r>
          </w:p>
        </w:tc>
        <w:tc>
          <w:tcPr>
            <w:tcW w:w="1445" w:type="dxa"/>
            <w:tcBorders>
              <w:top w:val="nil"/>
            </w:tcBorders>
            <w:shd w:val="clear" w:color="auto" w:fill="FFFFFF"/>
            <w:vAlign w:val="center"/>
          </w:tcPr>
          <w:p w14:paraId="6330A8E4" w14:textId="6663DE51"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1.352</w:t>
            </w:r>
          </w:p>
        </w:tc>
        <w:tc>
          <w:tcPr>
            <w:tcW w:w="1030" w:type="dxa"/>
            <w:tcBorders>
              <w:top w:val="nil"/>
            </w:tcBorders>
            <w:shd w:val="clear" w:color="auto" w:fill="FFFFFF"/>
            <w:vAlign w:val="center"/>
          </w:tcPr>
          <w:p w14:paraId="5CCC28C4"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1F44BD4C"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r>
      <w:tr w:rsidR="00D07B44" w:rsidRPr="00CF31E0" w14:paraId="4AD79273" w14:textId="77777777" w:rsidTr="00D07B44">
        <w:trPr>
          <w:cantSplit/>
        </w:trPr>
        <w:tc>
          <w:tcPr>
            <w:tcW w:w="1736" w:type="dxa"/>
            <w:shd w:val="clear" w:color="auto" w:fill="FFFFFF"/>
          </w:tcPr>
          <w:p w14:paraId="59C98EFA"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247EEEAE" w14:textId="6AE2AF8B"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881.827</w:t>
            </w:r>
          </w:p>
        </w:tc>
        <w:tc>
          <w:tcPr>
            <w:tcW w:w="820" w:type="dxa"/>
            <w:shd w:val="clear" w:color="auto" w:fill="FFFFFF"/>
            <w:vAlign w:val="center"/>
          </w:tcPr>
          <w:p w14:paraId="3497453B" w14:textId="19F99B54" w:rsidR="00D07B44" w:rsidRPr="00CF31E0" w:rsidRDefault="000604A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2A47AEDE"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1B0C4A99"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4196A227"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r>
    </w:tbl>
    <w:p w14:paraId="014BD80F" w14:textId="77777777" w:rsidR="00D07B44" w:rsidRPr="00CF31E0" w:rsidRDefault="00D07B44" w:rsidP="00D07B44">
      <w:pPr>
        <w:rPr>
          <w:rFonts w:asciiTheme="majorBidi" w:hAnsiTheme="majorBidi" w:cstheme="majorBidi"/>
          <w:b/>
          <w:bCs/>
          <w:color w:val="000000" w:themeColor="text1"/>
        </w:rPr>
      </w:pPr>
    </w:p>
    <w:p w14:paraId="52CF6579" w14:textId="77777777" w:rsidR="00D07B44" w:rsidRPr="00CF31E0" w:rsidRDefault="00D07B44" w:rsidP="00FA43B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2"/>
        <w:gridCol w:w="1443"/>
        <w:gridCol w:w="1030"/>
        <w:gridCol w:w="674"/>
      </w:tblGrid>
      <w:tr w:rsidR="00D07B44" w:rsidRPr="00CF31E0" w14:paraId="75D4DB22" w14:textId="77777777" w:rsidTr="000604AB">
        <w:trPr>
          <w:cantSplit/>
        </w:trPr>
        <w:tc>
          <w:tcPr>
            <w:tcW w:w="1736" w:type="dxa"/>
            <w:tcBorders>
              <w:top w:val="single" w:sz="8" w:space="0" w:color="auto"/>
              <w:bottom w:val="single" w:sz="6" w:space="0" w:color="auto"/>
            </w:tcBorders>
            <w:shd w:val="clear" w:color="auto" w:fill="FFFFFF"/>
            <w:vAlign w:val="bottom"/>
          </w:tcPr>
          <w:p w14:paraId="1717DF5D" w14:textId="1CD32721"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Spouse’s social group</w:t>
            </w:r>
          </w:p>
        </w:tc>
        <w:tc>
          <w:tcPr>
            <w:tcW w:w="1686" w:type="dxa"/>
            <w:tcBorders>
              <w:top w:val="single" w:sz="8" w:space="0" w:color="auto"/>
              <w:bottom w:val="single" w:sz="6" w:space="0" w:color="auto"/>
            </w:tcBorders>
            <w:shd w:val="clear" w:color="auto" w:fill="FFFFFF"/>
            <w:vAlign w:val="bottom"/>
          </w:tcPr>
          <w:p w14:paraId="09E09E2C"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2" w:type="dxa"/>
            <w:tcBorders>
              <w:top w:val="single" w:sz="8" w:space="0" w:color="auto"/>
              <w:bottom w:val="single" w:sz="6" w:space="0" w:color="auto"/>
            </w:tcBorders>
            <w:shd w:val="clear" w:color="auto" w:fill="FFFFFF"/>
            <w:vAlign w:val="bottom"/>
          </w:tcPr>
          <w:p w14:paraId="0920B7FC"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3" w:type="dxa"/>
            <w:tcBorders>
              <w:top w:val="single" w:sz="8" w:space="0" w:color="auto"/>
              <w:bottom w:val="single" w:sz="6" w:space="0" w:color="auto"/>
            </w:tcBorders>
            <w:shd w:val="clear" w:color="auto" w:fill="FFFFFF"/>
            <w:vAlign w:val="bottom"/>
          </w:tcPr>
          <w:p w14:paraId="473EE24A"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27BFD02"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79A6248B"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D07B44" w:rsidRPr="00CF31E0" w14:paraId="678E8F08" w14:textId="77777777" w:rsidTr="000604AB">
        <w:trPr>
          <w:cantSplit/>
        </w:trPr>
        <w:tc>
          <w:tcPr>
            <w:tcW w:w="1736" w:type="dxa"/>
            <w:tcBorders>
              <w:top w:val="single" w:sz="6" w:space="0" w:color="auto"/>
              <w:bottom w:val="nil"/>
            </w:tcBorders>
            <w:shd w:val="clear" w:color="auto" w:fill="FFFFFF"/>
          </w:tcPr>
          <w:p w14:paraId="01E7A41C"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2E8F8A48" w14:textId="4CCE27F5"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1.308</w:t>
            </w:r>
          </w:p>
        </w:tc>
        <w:tc>
          <w:tcPr>
            <w:tcW w:w="822" w:type="dxa"/>
            <w:tcBorders>
              <w:top w:val="single" w:sz="6" w:space="0" w:color="auto"/>
              <w:bottom w:val="nil"/>
            </w:tcBorders>
            <w:shd w:val="clear" w:color="auto" w:fill="FFFFFF"/>
            <w:vAlign w:val="center"/>
          </w:tcPr>
          <w:p w14:paraId="53B8CA45" w14:textId="7307CA30"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w:t>
            </w:r>
          </w:p>
        </w:tc>
        <w:tc>
          <w:tcPr>
            <w:tcW w:w="1443" w:type="dxa"/>
            <w:tcBorders>
              <w:top w:val="single" w:sz="6" w:space="0" w:color="auto"/>
              <w:bottom w:val="nil"/>
            </w:tcBorders>
            <w:shd w:val="clear" w:color="auto" w:fill="FFFFFF"/>
            <w:vAlign w:val="center"/>
          </w:tcPr>
          <w:p w14:paraId="733488F0" w14:textId="359F67BE"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.327</w:t>
            </w:r>
          </w:p>
        </w:tc>
        <w:tc>
          <w:tcPr>
            <w:tcW w:w="1030" w:type="dxa"/>
            <w:tcBorders>
              <w:top w:val="single" w:sz="6" w:space="0" w:color="auto"/>
              <w:bottom w:val="nil"/>
            </w:tcBorders>
            <w:shd w:val="clear" w:color="auto" w:fill="FFFFFF"/>
            <w:vAlign w:val="center"/>
          </w:tcPr>
          <w:p w14:paraId="41765127" w14:textId="3D3C3CB5"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.238</w:t>
            </w:r>
          </w:p>
        </w:tc>
        <w:tc>
          <w:tcPr>
            <w:tcW w:w="674" w:type="dxa"/>
            <w:tcBorders>
              <w:top w:val="single" w:sz="6" w:space="0" w:color="auto"/>
              <w:bottom w:val="nil"/>
            </w:tcBorders>
            <w:shd w:val="clear" w:color="auto" w:fill="FFFFFF"/>
            <w:vAlign w:val="center"/>
          </w:tcPr>
          <w:p w14:paraId="731429A5" w14:textId="38CE8309"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.917</w:t>
            </w:r>
          </w:p>
        </w:tc>
      </w:tr>
      <w:tr w:rsidR="00D07B44" w:rsidRPr="00CF31E0" w14:paraId="51184BD8" w14:textId="77777777" w:rsidTr="000604AB">
        <w:trPr>
          <w:cantSplit/>
        </w:trPr>
        <w:tc>
          <w:tcPr>
            <w:tcW w:w="1736" w:type="dxa"/>
            <w:tcBorders>
              <w:top w:val="nil"/>
            </w:tcBorders>
            <w:shd w:val="clear" w:color="auto" w:fill="FFFFFF"/>
          </w:tcPr>
          <w:p w14:paraId="63121BEB"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48C5E36F" w14:textId="5A597250"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878.816</w:t>
            </w:r>
          </w:p>
        </w:tc>
        <w:tc>
          <w:tcPr>
            <w:tcW w:w="822" w:type="dxa"/>
            <w:tcBorders>
              <w:top w:val="nil"/>
            </w:tcBorders>
            <w:shd w:val="clear" w:color="auto" w:fill="FFFFFF"/>
            <w:vAlign w:val="center"/>
          </w:tcPr>
          <w:p w14:paraId="6AB2E3BA" w14:textId="1BC07B86" w:rsidR="00D07B44" w:rsidRPr="00CF31E0" w:rsidRDefault="000604A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645</w:t>
            </w:r>
          </w:p>
        </w:tc>
        <w:tc>
          <w:tcPr>
            <w:tcW w:w="1443" w:type="dxa"/>
            <w:tcBorders>
              <w:top w:val="nil"/>
            </w:tcBorders>
            <w:shd w:val="clear" w:color="auto" w:fill="FFFFFF"/>
            <w:vAlign w:val="center"/>
          </w:tcPr>
          <w:p w14:paraId="6BD73E92" w14:textId="49FE17CC"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1.373</w:t>
            </w:r>
          </w:p>
        </w:tc>
        <w:tc>
          <w:tcPr>
            <w:tcW w:w="1030" w:type="dxa"/>
            <w:tcBorders>
              <w:top w:val="nil"/>
            </w:tcBorders>
            <w:shd w:val="clear" w:color="auto" w:fill="FFFFFF"/>
            <w:vAlign w:val="center"/>
          </w:tcPr>
          <w:p w14:paraId="3B884560"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75DA41B9"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r>
      <w:tr w:rsidR="00D07B44" w:rsidRPr="00CF31E0" w14:paraId="31776CDD" w14:textId="77777777" w:rsidTr="000604AB">
        <w:trPr>
          <w:cantSplit/>
        </w:trPr>
        <w:tc>
          <w:tcPr>
            <w:tcW w:w="1736" w:type="dxa"/>
            <w:shd w:val="clear" w:color="auto" w:fill="FFFFFF"/>
          </w:tcPr>
          <w:p w14:paraId="2C227E0E"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24A97BB" w14:textId="4787651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880.124</w:t>
            </w:r>
          </w:p>
        </w:tc>
        <w:tc>
          <w:tcPr>
            <w:tcW w:w="822" w:type="dxa"/>
            <w:shd w:val="clear" w:color="auto" w:fill="FFFFFF"/>
            <w:vAlign w:val="center"/>
          </w:tcPr>
          <w:p w14:paraId="42ABC710" w14:textId="39A21C98" w:rsidR="00D07B44" w:rsidRPr="00CF31E0" w:rsidRDefault="000604A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3" w:type="dxa"/>
            <w:shd w:val="clear" w:color="auto" w:fill="FFFFFF"/>
            <w:vAlign w:val="center"/>
          </w:tcPr>
          <w:p w14:paraId="53007A64"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54643667"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2387F2B9"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r>
    </w:tbl>
    <w:p w14:paraId="30C1A30E" w14:textId="77777777" w:rsidR="00D07B44" w:rsidRPr="00CF31E0" w:rsidRDefault="00D07B44" w:rsidP="00D07B44">
      <w:pPr>
        <w:rPr>
          <w:rFonts w:asciiTheme="majorBidi" w:hAnsiTheme="majorBidi" w:cstheme="majorBidi"/>
          <w:b/>
          <w:bCs/>
          <w:color w:val="000000" w:themeColor="text1"/>
        </w:rPr>
      </w:pPr>
    </w:p>
    <w:p w14:paraId="018355DA" w14:textId="77777777" w:rsidR="00D07B44" w:rsidRPr="00CF31E0" w:rsidRDefault="00D07B44" w:rsidP="00FA43BB">
      <w:pPr>
        <w:rPr>
          <w:rFonts w:asciiTheme="majorBidi" w:hAnsiTheme="majorBidi" w:cstheme="majorBidi"/>
          <w:b/>
          <w:bCs/>
          <w:color w:val="000000" w:themeColor="text1"/>
        </w:rPr>
      </w:pPr>
    </w:p>
    <w:p w14:paraId="4DCEBB24" w14:textId="3193B55E" w:rsidR="00D07B44" w:rsidRPr="00CF31E0" w:rsidRDefault="00D07B44" w:rsidP="00D07B44">
      <w:pPr>
        <w:pStyle w:val="ListParagraph"/>
        <w:numPr>
          <w:ilvl w:val="0"/>
          <w:numId w:val="71"/>
        </w:numPr>
        <w:rPr>
          <w:rFonts w:asciiTheme="majorBidi" w:hAnsiTheme="majorBidi" w:cstheme="majorBidi"/>
          <w:b/>
          <w:bCs/>
          <w:color w:val="000000" w:themeColor="text1"/>
          <w:sz w:val="28"/>
          <w:szCs w:val="28"/>
        </w:rPr>
      </w:pPr>
      <w:r w:rsidRPr="00CF31E0">
        <w:rPr>
          <w:rFonts w:asciiTheme="majorBidi" w:hAnsiTheme="majorBidi" w:cstheme="majorBidi"/>
          <w:b/>
          <w:bCs/>
          <w:color w:val="000000" w:themeColor="text1"/>
          <w:sz w:val="28"/>
          <w:szCs w:val="28"/>
        </w:rPr>
        <w:t>Similar to other Arabic dialects scale</w:t>
      </w:r>
    </w:p>
    <w:p w14:paraId="582D6CC7" w14:textId="77777777" w:rsidR="00D07B44" w:rsidRPr="00CF31E0" w:rsidRDefault="00D07B44" w:rsidP="00D07B44">
      <w:pPr>
        <w:rPr>
          <w:rFonts w:asciiTheme="majorBidi" w:hAnsiTheme="majorBidi" w:cstheme="majorBidi"/>
          <w:b/>
          <w:bCs/>
          <w:color w:val="000000" w:themeColor="text1"/>
        </w:rPr>
      </w:pPr>
    </w:p>
    <w:p w14:paraId="326B5206" w14:textId="77777777" w:rsidR="00D07B44" w:rsidRPr="00CF31E0" w:rsidRDefault="00D07B44" w:rsidP="00FA43B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D07B44" w:rsidRPr="00CF31E0" w14:paraId="033803EF" w14:textId="77777777" w:rsidTr="00D07B44">
        <w:trPr>
          <w:cantSplit/>
        </w:trPr>
        <w:tc>
          <w:tcPr>
            <w:tcW w:w="1736" w:type="dxa"/>
            <w:tcBorders>
              <w:top w:val="single" w:sz="8" w:space="0" w:color="auto"/>
              <w:bottom w:val="single" w:sz="6" w:space="0" w:color="auto"/>
            </w:tcBorders>
            <w:shd w:val="clear" w:color="auto" w:fill="FFFFFF"/>
            <w:vAlign w:val="bottom"/>
          </w:tcPr>
          <w:p w14:paraId="670BE80D"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Gender</w:t>
            </w:r>
          </w:p>
        </w:tc>
        <w:tc>
          <w:tcPr>
            <w:tcW w:w="1686" w:type="dxa"/>
            <w:tcBorders>
              <w:top w:val="single" w:sz="8" w:space="0" w:color="auto"/>
              <w:bottom w:val="single" w:sz="6" w:space="0" w:color="auto"/>
            </w:tcBorders>
            <w:shd w:val="clear" w:color="auto" w:fill="FFFFFF"/>
            <w:vAlign w:val="bottom"/>
          </w:tcPr>
          <w:p w14:paraId="4ED23B39"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7236E740"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3F527185"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8D9CB1D"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36520289"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D07B44" w:rsidRPr="00CF31E0" w14:paraId="039867CA" w14:textId="77777777" w:rsidTr="00D07B44">
        <w:trPr>
          <w:cantSplit/>
        </w:trPr>
        <w:tc>
          <w:tcPr>
            <w:tcW w:w="1736" w:type="dxa"/>
            <w:tcBorders>
              <w:top w:val="single" w:sz="6" w:space="0" w:color="auto"/>
              <w:bottom w:val="nil"/>
            </w:tcBorders>
            <w:shd w:val="clear" w:color="auto" w:fill="FFFFFF"/>
          </w:tcPr>
          <w:p w14:paraId="16FBAA37"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4FBDB0E9" w14:textId="011F7F7D"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.520</w:t>
            </w:r>
          </w:p>
        </w:tc>
        <w:tc>
          <w:tcPr>
            <w:tcW w:w="820" w:type="dxa"/>
            <w:tcBorders>
              <w:top w:val="single" w:sz="6" w:space="0" w:color="auto"/>
              <w:bottom w:val="nil"/>
            </w:tcBorders>
            <w:shd w:val="clear" w:color="auto" w:fill="FFFFFF"/>
            <w:vAlign w:val="center"/>
          </w:tcPr>
          <w:p w14:paraId="3B38BC94" w14:textId="04403992"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0AA73CC1" w14:textId="621CD82F"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.520</w:t>
            </w:r>
          </w:p>
        </w:tc>
        <w:tc>
          <w:tcPr>
            <w:tcW w:w="1030" w:type="dxa"/>
            <w:tcBorders>
              <w:top w:val="single" w:sz="6" w:space="0" w:color="auto"/>
              <w:bottom w:val="nil"/>
            </w:tcBorders>
            <w:shd w:val="clear" w:color="auto" w:fill="FFFFFF"/>
            <w:vAlign w:val="center"/>
          </w:tcPr>
          <w:p w14:paraId="4CD27A6D" w14:textId="66432665"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.391</w:t>
            </w:r>
          </w:p>
        </w:tc>
        <w:tc>
          <w:tcPr>
            <w:tcW w:w="674" w:type="dxa"/>
            <w:tcBorders>
              <w:top w:val="single" w:sz="6" w:space="0" w:color="auto"/>
              <w:bottom w:val="nil"/>
            </w:tcBorders>
            <w:shd w:val="clear" w:color="auto" w:fill="FFFFFF"/>
            <w:vAlign w:val="center"/>
          </w:tcPr>
          <w:p w14:paraId="41AF77EC" w14:textId="552F816B"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.532</w:t>
            </w:r>
          </w:p>
        </w:tc>
      </w:tr>
      <w:tr w:rsidR="00D07B44" w:rsidRPr="00CF31E0" w14:paraId="3AC2156E" w14:textId="77777777" w:rsidTr="00D07B44">
        <w:trPr>
          <w:cantSplit/>
        </w:trPr>
        <w:tc>
          <w:tcPr>
            <w:tcW w:w="1736" w:type="dxa"/>
            <w:tcBorders>
              <w:top w:val="nil"/>
            </w:tcBorders>
            <w:shd w:val="clear" w:color="auto" w:fill="FFFFFF"/>
          </w:tcPr>
          <w:p w14:paraId="08D255B3"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082E790A" w14:textId="75870F13"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861.698</w:t>
            </w:r>
          </w:p>
        </w:tc>
        <w:tc>
          <w:tcPr>
            <w:tcW w:w="820" w:type="dxa"/>
            <w:tcBorders>
              <w:top w:val="nil"/>
            </w:tcBorders>
            <w:shd w:val="clear" w:color="auto" w:fill="FFFFFF"/>
            <w:vAlign w:val="center"/>
          </w:tcPr>
          <w:p w14:paraId="79E63345" w14:textId="764F0EC3"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647</w:t>
            </w:r>
          </w:p>
        </w:tc>
        <w:tc>
          <w:tcPr>
            <w:tcW w:w="1445" w:type="dxa"/>
            <w:tcBorders>
              <w:top w:val="nil"/>
            </w:tcBorders>
            <w:shd w:val="clear" w:color="auto" w:fill="FFFFFF"/>
            <w:vAlign w:val="center"/>
          </w:tcPr>
          <w:p w14:paraId="0F49D894" w14:textId="7009D8C3"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1.332</w:t>
            </w:r>
          </w:p>
        </w:tc>
        <w:tc>
          <w:tcPr>
            <w:tcW w:w="1030" w:type="dxa"/>
            <w:tcBorders>
              <w:top w:val="nil"/>
            </w:tcBorders>
            <w:shd w:val="clear" w:color="auto" w:fill="FFFFFF"/>
            <w:vAlign w:val="center"/>
          </w:tcPr>
          <w:p w14:paraId="1F0658A5"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5183723B"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r>
      <w:tr w:rsidR="00D07B44" w:rsidRPr="00CF31E0" w14:paraId="0C805426" w14:textId="77777777" w:rsidTr="00D07B44">
        <w:trPr>
          <w:cantSplit/>
        </w:trPr>
        <w:tc>
          <w:tcPr>
            <w:tcW w:w="1736" w:type="dxa"/>
            <w:shd w:val="clear" w:color="auto" w:fill="FFFFFF"/>
          </w:tcPr>
          <w:p w14:paraId="42BCE830"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6424615C" w14:textId="205038B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862.219</w:t>
            </w:r>
          </w:p>
        </w:tc>
        <w:tc>
          <w:tcPr>
            <w:tcW w:w="820" w:type="dxa"/>
            <w:shd w:val="clear" w:color="auto" w:fill="FFFFFF"/>
            <w:vAlign w:val="center"/>
          </w:tcPr>
          <w:p w14:paraId="62B80426" w14:textId="515EB963"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shd w:val="clear" w:color="auto" w:fill="FFFFFF"/>
            <w:vAlign w:val="center"/>
          </w:tcPr>
          <w:p w14:paraId="48841E10"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0F823A1C"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11FC0609"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r>
    </w:tbl>
    <w:p w14:paraId="3228F738" w14:textId="77777777" w:rsidR="00D07B44" w:rsidRPr="00CF31E0" w:rsidRDefault="00D07B44" w:rsidP="00D07B44">
      <w:pPr>
        <w:rPr>
          <w:rFonts w:asciiTheme="majorBidi" w:hAnsiTheme="majorBidi" w:cstheme="majorBidi"/>
          <w:b/>
          <w:bCs/>
          <w:color w:val="000000" w:themeColor="text1"/>
        </w:rPr>
      </w:pPr>
    </w:p>
    <w:p w14:paraId="68A0E8C5" w14:textId="77777777" w:rsidR="00D07B44" w:rsidRPr="00CF31E0" w:rsidRDefault="00D07B44" w:rsidP="00D07B44">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D07B44" w:rsidRPr="00CF31E0" w14:paraId="5C623601" w14:textId="77777777" w:rsidTr="00D07B44">
        <w:trPr>
          <w:cantSplit/>
        </w:trPr>
        <w:tc>
          <w:tcPr>
            <w:tcW w:w="1736" w:type="dxa"/>
            <w:tcBorders>
              <w:top w:val="single" w:sz="8" w:space="0" w:color="auto"/>
              <w:bottom w:val="single" w:sz="6" w:space="0" w:color="auto"/>
            </w:tcBorders>
            <w:shd w:val="clear" w:color="auto" w:fill="FFFFFF"/>
            <w:vAlign w:val="bottom"/>
          </w:tcPr>
          <w:p w14:paraId="000ECE13"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Age</w:t>
            </w:r>
          </w:p>
        </w:tc>
        <w:tc>
          <w:tcPr>
            <w:tcW w:w="1686" w:type="dxa"/>
            <w:tcBorders>
              <w:top w:val="single" w:sz="8" w:space="0" w:color="auto"/>
              <w:bottom w:val="single" w:sz="6" w:space="0" w:color="auto"/>
            </w:tcBorders>
            <w:shd w:val="clear" w:color="auto" w:fill="FFFFFF"/>
            <w:vAlign w:val="bottom"/>
          </w:tcPr>
          <w:p w14:paraId="53044FB8"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6773351D"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49C976E5"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0E31578"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32BB741C"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D07B44" w:rsidRPr="00CF31E0" w14:paraId="2C351480" w14:textId="77777777" w:rsidTr="00D07B44">
        <w:trPr>
          <w:cantSplit/>
        </w:trPr>
        <w:tc>
          <w:tcPr>
            <w:tcW w:w="1736" w:type="dxa"/>
            <w:tcBorders>
              <w:top w:val="single" w:sz="6" w:space="0" w:color="auto"/>
              <w:bottom w:val="nil"/>
            </w:tcBorders>
            <w:shd w:val="clear" w:color="auto" w:fill="FFFFFF"/>
          </w:tcPr>
          <w:p w14:paraId="3EBEAA6B"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339C8D7C" w14:textId="0EABB99D"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2.722</w:t>
            </w:r>
          </w:p>
        </w:tc>
        <w:tc>
          <w:tcPr>
            <w:tcW w:w="820" w:type="dxa"/>
            <w:tcBorders>
              <w:top w:val="single" w:sz="6" w:space="0" w:color="auto"/>
              <w:bottom w:val="nil"/>
            </w:tcBorders>
            <w:shd w:val="clear" w:color="auto" w:fill="FFFFFF"/>
            <w:vAlign w:val="center"/>
          </w:tcPr>
          <w:p w14:paraId="17EC93E2" w14:textId="2CB8F5F8"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w:t>
            </w:r>
          </w:p>
        </w:tc>
        <w:tc>
          <w:tcPr>
            <w:tcW w:w="1445" w:type="dxa"/>
            <w:tcBorders>
              <w:top w:val="single" w:sz="6" w:space="0" w:color="auto"/>
              <w:bottom w:val="nil"/>
            </w:tcBorders>
            <w:shd w:val="clear" w:color="auto" w:fill="FFFFFF"/>
            <w:vAlign w:val="center"/>
          </w:tcPr>
          <w:p w14:paraId="69F203AA" w14:textId="5AC23AB5"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.544</w:t>
            </w:r>
          </w:p>
        </w:tc>
        <w:tc>
          <w:tcPr>
            <w:tcW w:w="1030" w:type="dxa"/>
            <w:tcBorders>
              <w:top w:val="single" w:sz="6" w:space="0" w:color="auto"/>
              <w:bottom w:val="nil"/>
            </w:tcBorders>
            <w:shd w:val="clear" w:color="auto" w:fill="FFFFFF"/>
            <w:vAlign w:val="center"/>
          </w:tcPr>
          <w:p w14:paraId="0483844D" w14:textId="5259EF80"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.407</w:t>
            </w:r>
          </w:p>
        </w:tc>
        <w:tc>
          <w:tcPr>
            <w:tcW w:w="674" w:type="dxa"/>
            <w:tcBorders>
              <w:top w:val="single" w:sz="6" w:space="0" w:color="auto"/>
              <w:bottom w:val="nil"/>
            </w:tcBorders>
            <w:shd w:val="clear" w:color="auto" w:fill="FFFFFF"/>
            <w:vAlign w:val="center"/>
          </w:tcPr>
          <w:p w14:paraId="447734E5" w14:textId="1627885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.844</w:t>
            </w:r>
          </w:p>
        </w:tc>
      </w:tr>
      <w:tr w:rsidR="00D07B44" w:rsidRPr="00CF31E0" w14:paraId="0D663074" w14:textId="77777777" w:rsidTr="00D07B44">
        <w:trPr>
          <w:cantSplit/>
        </w:trPr>
        <w:tc>
          <w:tcPr>
            <w:tcW w:w="1736" w:type="dxa"/>
            <w:tcBorders>
              <w:top w:val="nil"/>
            </w:tcBorders>
            <w:shd w:val="clear" w:color="auto" w:fill="FFFFFF"/>
          </w:tcPr>
          <w:p w14:paraId="0B604E24"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08A2742D" w14:textId="54142F5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856.963</w:t>
            </w:r>
          </w:p>
        </w:tc>
        <w:tc>
          <w:tcPr>
            <w:tcW w:w="820" w:type="dxa"/>
            <w:tcBorders>
              <w:top w:val="nil"/>
            </w:tcBorders>
            <w:shd w:val="clear" w:color="auto" w:fill="FFFFFF"/>
            <w:vAlign w:val="center"/>
          </w:tcPr>
          <w:p w14:paraId="5B4FA58F" w14:textId="3E812FD8" w:rsidR="00D07B44" w:rsidRPr="00CF31E0" w:rsidRDefault="000604A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644</w:t>
            </w:r>
          </w:p>
        </w:tc>
        <w:tc>
          <w:tcPr>
            <w:tcW w:w="1445" w:type="dxa"/>
            <w:tcBorders>
              <w:top w:val="nil"/>
            </w:tcBorders>
            <w:shd w:val="clear" w:color="auto" w:fill="FFFFFF"/>
            <w:vAlign w:val="center"/>
          </w:tcPr>
          <w:p w14:paraId="198F362B" w14:textId="39C62664"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1.337</w:t>
            </w:r>
          </w:p>
        </w:tc>
        <w:tc>
          <w:tcPr>
            <w:tcW w:w="1030" w:type="dxa"/>
            <w:tcBorders>
              <w:top w:val="nil"/>
            </w:tcBorders>
            <w:shd w:val="clear" w:color="auto" w:fill="FFFFFF"/>
            <w:vAlign w:val="center"/>
          </w:tcPr>
          <w:p w14:paraId="261DD395"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614ACB4D"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r>
      <w:tr w:rsidR="00D07B44" w:rsidRPr="00CF31E0" w14:paraId="0D34287A" w14:textId="77777777" w:rsidTr="00D07B44">
        <w:trPr>
          <w:cantSplit/>
        </w:trPr>
        <w:tc>
          <w:tcPr>
            <w:tcW w:w="1736" w:type="dxa"/>
            <w:shd w:val="clear" w:color="auto" w:fill="FFFFFF"/>
          </w:tcPr>
          <w:p w14:paraId="245D7FB3"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31F8BA4A" w14:textId="1454114A"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859.685</w:t>
            </w:r>
          </w:p>
        </w:tc>
        <w:tc>
          <w:tcPr>
            <w:tcW w:w="820" w:type="dxa"/>
            <w:shd w:val="clear" w:color="auto" w:fill="FFFFFF"/>
            <w:vAlign w:val="center"/>
          </w:tcPr>
          <w:p w14:paraId="2E0F6E91" w14:textId="4FBE07DF" w:rsidR="00D07B44" w:rsidRPr="00CF31E0" w:rsidRDefault="000604A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211187AB"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388E808A"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4DE60AAB"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r>
    </w:tbl>
    <w:p w14:paraId="46DC32C3" w14:textId="77777777" w:rsidR="00D07B44" w:rsidRPr="00CF31E0" w:rsidRDefault="00D07B44" w:rsidP="00D07B44">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D07B44" w:rsidRPr="00CF31E0" w14:paraId="679E6F2F" w14:textId="77777777" w:rsidTr="00D07B44">
        <w:trPr>
          <w:cantSplit/>
        </w:trPr>
        <w:tc>
          <w:tcPr>
            <w:tcW w:w="1736" w:type="dxa"/>
            <w:tcBorders>
              <w:top w:val="single" w:sz="8" w:space="0" w:color="auto"/>
              <w:bottom w:val="single" w:sz="6" w:space="0" w:color="auto"/>
            </w:tcBorders>
            <w:shd w:val="clear" w:color="auto" w:fill="FFFFFF"/>
            <w:vAlign w:val="bottom"/>
          </w:tcPr>
          <w:p w14:paraId="08944945"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Place of birth</w:t>
            </w:r>
          </w:p>
        </w:tc>
        <w:tc>
          <w:tcPr>
            <w:tcW w:w="1686" w:type="dxa"/>
            <w:tcBorders>
              <w:top w:val="single" w:sz="8" w:space="0" w:color="auto"/>
              <w:bottom w:val="single" w:sz="6" w:space="0" w:color="auto"/>
            </w:tcBorders>
            <w:shd w:val="clear" w:color="auto" w:fill="FFFFFF"/>
            <w:vAlign w:val="bottom"/>
          </w:tcPr>
          <w:p w14:paraId="3BCB9B28"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0D0C2520"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25F8FD11"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C1130BE"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1A87D260"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D07B44" w:rsidRPr="00CF31E0" w14:paraId="5EC999A3" w14:textId="77777777" w:rsidTr="00D07B44">
        <w:trPr>
          <w:cantSplit/>
        </w:trPr>
        <w:tc>
          <w:tcPr>
            <w:tcW w:w="1736" w:type="dxa"/>
            <w:tcBorders>
              <w:top w:val="single" w:sz="6" w:space="0" w:color="auto"/>
              <w:bottom w:val="nil"/>
            </w:tcBorders>
            <w:shd w:val="clear" w:color="auto" w:fill="FFFFFF"/>
          </w:tcPr>
          <w:p w14:paraId="441C54C3"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0DEC8BE4" w14:textId="0351C7A6"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.044</w:t>
            </w:r>
          </w:p>
        </w:tc>
        <w:tc>
          <w:tcPr>
            <w:tcW w:w="820" w:type="dxa"/>
            <w:tcBorders>
              <w:top w:val="single" w:sz="6" w:space="0" w:color="auto"/>
              <w:bottom w:val="nil"/>
            </w:tcBorders>
            <w:shd w:val="clear" w:color="auto" w:fill="FFFFFF"/>
            <w:vAlign w:val="center"/>
          </w:tcPr>
          <w:p w14:paraId="46BF7581" w14:textId="00394B08"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3A0BC13C" w14:textId="6EB5261E"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.044</w:t>
            </w:r>
          </w:p>
        </w:tc>
        <w:tc>
          <w:tcPr>
            <w:tcW w:w="1030" w:type="dxa"/>
            <w:tcBorders>
              <w:top w:val="single" w:sz="6" w:space="0" w:color="auto"/>
              <w:bottom w:val="nil"/>
            </w:tcBorders>
            <w:shd w:val="clear" w:color="auto" w:fill="FFFFFF"/>
            <w:vAlign w:val="center"/>
          </w:tcPr>
          <w:p w14:paraId="7000FFCC" w14:textId="0855E0D3"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.033</w:t>
            </w:r>
          </w:p>
        </w:tc>
        <w:tc>
          <w:tcPr>
            <w:tcW w:w="674" w:type="dxa"/>
            <w:tcBorders>
              <w:top w:val="single" w:sz="6" w:space="0" w:color="auto"/>
              <w:bottom w:val="nil"/>
            </w:tcBorders>
            <w:shd w:val="clear" w:color="auto" w:fill="FFFFFF"/>
            <w:vAlign w:val="center"/>
          </w:tcPr>
          <w:p w14:paraId="71622F9D" w14:textId="1D9DAAC3"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.856</w:t>
            </w:r>
          </w:p>
        </w:tc>
      </w:tr>
      <w:tr w:rsidR="00D07B44" w:rsidRPr="00CF31E0" w14:paraId="622F8C91" w14:textId="77777777" w:rsidTr="00D07B44">
        <w:trPr>
          <w:cantSplit/>
        </w:trPr>
        <w:tc>
          <w:tcPr>
            <w:tcW w:w="1736" w:type="dxa"/>
            <w:tcBorders>
              <w:top w:val="nil"/>
            </w:tcBorders>
            <w:shd w:val="clear" w:color="auto" w:fill="FFFFFF"/>
          </w:tcPr>
          <w:p w14:paraId="7717E8F0"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6B504083" w14:textId="309100A0"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862.175</w:t>
            </w:r>
          </w:p>
        </w:tc>
        <w:tc>
          <w:tcPr>
            <w:tcW w:w="820" w:type="dxa"/>
            <w:tcBorders>
              <w:top w:val="nil"/>
            </w:tcBorders>
            <w:shd w:val="clear" w:color="auto" w:fill="FFFFFF"/>
            <w:vAlign w:val="center"/>
          </w:tcPr>
          <w:p w14:paraId="00C7CF10" w14:textId="0E72B6D7" w:rsidR="00D07B44" w:rsidRPr="00CF31E0" w:rsidRDefault="000604A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0C5F5AD4" w14:textId="35A5FD6A"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1.333</w:t>
            </w:r>
          </w:p>
        </w:tc>
        <w:tc>
          <w:tcPr>
            <w:tcW w:w="1030" w:type="dxa"/>
            <w:tcBorders>
              <w:top w:val="nil"/>
            </w:tcBorders>
            <w:shd w:val="clear" w:color="auto" w:fill="FFFFFF"/>
            <w:vAlign w:val="center"/>
          </w:tcPr>
          <w:p w14:paraId="412C2B78"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568C5F44"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r>
      <w:tr w:rsidR="00D07B44" w:rsidRPr="00CF31E0" w14:paraId="4D38E6CF" w14:textId="77777777" w:rsidTr="00D07B44">
        <w:trPr>
          <w:cantSplit/>
        </w:trPr>
        <w:tc>
          <w:tcPr>
            <w:tcW w:w="1736" w:type="dxa"/>
            <w:shd w:val="clear" w:color="auto" w:fill="FFFFFF"/>
          </w:tcPr>
          <w:p w14:paraId="553080D9"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0CBED6F" w14:textId="275B2FD3"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862.219</w:t>
            </w:r>
          </w:p>
        </w:tc>
        <w:tc>
          <w:tcPr>
            <w:tcW w:w="820" w:type="dxa"/>
            <w:shd w:val="clear" w:color="auto" w:fill="FFFFFF"/>
            <w:vAlign w:val="center"/>
          </w:tcPr>
          <w:p w14:paraId="6A6084AD" w14:textId="302213CF" w:rsidR="00D07B44" w:rsidRPr="00CF31E0" w:rsidRDefault="000604A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13CEDA62"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019CACE9"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72A208CF"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r>
    </w:tbl>
    <w:p w14:paraId="1AFB70F0" w14:textId="77777777" w:rsidR="00D07B44" w:rsidRPr="00CF31E0" w:rsidRDefault="00D07B44" w:rsidP="00D07B44">
      <w:pPr>
        <w:rPr>
          <w:rFonts w:asciiTheme="majorBidi" w:hAnsiTheme="majorBidi" w:cstheme="majorBidi"/>
          <w:b/>
          <w:bCs/>
          <w:color w:val="000000" w:themeColor="text1"/>
        </w:rPr>
      </w:pPr>
    </w:p>
    <w:p w14:paraId="3B286395" w14:textId="77777777" w:rsidR="00D07B44" w:rsidRPr="00CF31E0" w:rsidRDefault="00D07B44" w:rsidP="00D07B44">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D07B44" w:rsidRPr="00CF31E0" w14:paraId="4E8C497C" w14:textId="77777777" w:rsidTr="00D07B44">
        <w:trPr>
          <w:cantSplit/>
        </w:trPr>
        <w:tc>
          <w:tcPr>
            <w:tcW w:w="1736" w:type="dxa"/>
            <w:tcBorders>
              <w:top w:val="single" w:sz="8" w:space="0" w:color="auto"/>
              <w:bottom w:val="single" w:sz="6" w:space="0" w:color="auto"/>
            </w:tcBorders>
            <w:shd w:val="clear" w:color="auto" w:fill="FFFFFF"/>
            <w:vAlign w:val="bottom"/>
          </w:tcPr>
          <w:p w14:paraId="1D340B48"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Places lived</w:t>
            </w:r>
          </w:p>
        </w:tc>
        <w:tc>
          <w:tcPr>
            <w:tcW w:w="1686" w:type="dxa"/>
            <w:tcBorders>
              <w:top w:val="single" w:sz="8" w:space="0" w:color="auto"/>
              <w:bottom w:val="single" w:sz="6" w:space="0" w:color="auto"/>
            </w:tcBorders>
            <w:shd w:val="clear" w:color="auto" w:fill="FFFFFF"/>
            <w:vAlign w:val="bottom"/>
          </w:tcPr>
          <w:p w14:paraId="70A19641"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020E384C"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769278AC"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6C2C601C"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7D700C14"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D07B44" w:rsidRPr="00CF31E0" w14:paraId="2C1338CE" w14:textId="77777777" w:rsidTr="00D07B44">
        <w:trPr>
          <w:cantSplit/>
        </w:trPr>
        <w:tc>
          <w:tcPr>
            <w:tcW w:w="1736" w:type="dxa"/>
            <w:tcBorders>
              <w:top w:val="single" w:sz="6" w:space="0" w:color="auto"/>
              <w:bottom w:val="nil"/>
            </w:tcBorders>
            <w:shd w:val="clear" w:color="auto" w:fill="FFFFFF"/>
          </w:tcPr>
          <w:p w14:paraId="76EBFB60"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56179034" w14:textId="02A1D7C8"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.519</w:t>
            </w:r>
          </w:p>
        </w:tc>
        <w:tc>
          <w:tcPr>
            <w:tcW w:w="820" w:type="dxa"/>
            <w:tcBorders>
              <w:top w:val="single" w:sz="6" w:space="0" w:color="auto"/>
              <w:bottom w:val="nil"/>
            </w:tcBorders>
            <w:shd w:val="clear" w:color="auto" w:fill="FFFFFF"/>
            <w:vAlign w:val="center"/>
          </w:tcPr>
          <w:p w14:paraId="6103FE2B" w14:textId="4246934A"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713AAB4F" w14:textId="4FD5D81D"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.519</w:t>
            </w:r>
          </w:p>
        </w:tc>
        <w:tc>
          <w:tcPr>
            <w:tcW w:w="1030" w:type="dxa"/>
            <w:tcBorders>
              <w:top w:val="single" w:sz="6" w:space="0" w:color="auto"/>
              <w:bottom w:val="nil"/>
            </w:tcBorders>
            <w:shd w:val="clear" w:color="auto" w:fill="FFFFFF"/>
            <w:vAlign w:val="center"/>
          </w:tcPr>
          <w:p w14:paraId="72CAE0EB" w14:textId="35EB4DA0"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.388</w:t>
            </w:r>
          </w:p>
        </w:tc>
        <w:tc>
          <w:tcPr>
            <w:tcW w:w="674" w:type="dxa"/>
            <w:tcBorders>
              <w:top w:val="single" w:sz="6" w:space="0" w:color="auto"/>
              <w:bottom w:val="nil"/>
            </w:tcBorders>
            <w:shd w:val="clear" w:color="auto" w:fill="FFFFFF"/>
            <w:vAlign w:val="center"/>
          </w:tcPr>
          <w:p w14:paraId="6C2394E0" w14:textId="6D0D2D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.534</w:t>
            </w:r>
          </w:p>
        </w:tc>
      </w:tr>
      <w:tr w:rsidR="00D07B44" w:rsidRPr="00CF31E0" w14:paraId="50803C3B" w14:textId="77777777" w:rsidTr="00D07B44">
        <w:trPr>
          <w:cantSplit/>
        </w:trPr>
        <w:tc>
          <w:tcPr>
            <w:tcW w:w="1736" w:type="dxa"/>
            <w:tcBorders>
              <w:top w:val="nil"/>
            </w:tcBorders>
            <w:shd w:val="clear" w:color="auto" w:fill="FFFFFF"/>
          </w:tcPr>
          <w:p w14:paraId="7877122C"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0B010BF0" w14:textId="7178386C"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853.212</w:t>
            </w:r>
          </w:p>
        </w:tc>
        <w:tc>
          <w:tcPr>
            <w:tcW w:w="820" w:type="dxa"/>
            <w:tcBorders>
              <w:top w:val="nil"/>
            </w:tcBorders>
            <w:shd w:val="clear" w:color="auto" w:fill="FFFFFF"/>
            <w:vAlign w:val="center"/>
          </w:tcPr>
          <w:p w14:paraId="4233A385" w14:textId="6670DAD9"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647</w:t>
            </w:r>
          </w:p>
        </w:tc>
        <w:tc>
          <w:tcPr>
            <w:tcW w:w="1445" w:type="dxa"/>
            <w:tcBorders>
              <w:top w:val="nil"/>
            </w:tcBorders>
            <w:shd w:val="clear" w:color="auto" w:fill="FFFFFF"/>
            <w:vAlign w:val="center"/>
          </w:tcPr>
          <w:p w14:paraId="5214FB09" w14:textId="1EC949A3"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1.339</w:t>
            </w:r>
          </w:p>
        </w:tc>
        <w:tc>
          <w:tcPr>
            <w:tcW w:w="1030" w:type="dxa"/>
            <w:tcBorders>
              <w:top w:val="nil"/>
            </w:tcBorders>
            <w:shd w:val="clear" w:color="auto" w:fill="FFFFFF"/>
            <w:vAlign w:val="center"/>
          </w:tcPr>
          <w:p w14:paraId="09EF5A52"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3E68AB4B"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r>
      <w:tr w:rsidR="00D07B44" w:rsidRPr="00CF31E0" w14:paraId="212ACAE8" w14:textId="77777777" w:rsidTr="00D07B44">
        <w:trPr>
          <w:cantSplit/>
        </w:trPr>
        <w:tc>
          <w:tcPr>
            <w:tcW w:w="1736" w:type="dxa"/>
            <w:shd w:val="clear" w:color="auto" w:fill="FFFFFF"/>
          </w:tcPr>
          <w:p w14:paraId="6293710F"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D652D2E" w14:textId="3BFC5ED0"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853.731</w:t>
            </w:r>
          </w:p>
        </w:tc>
        <w:tc>
          <w:tcPr>
            <w:tcW w:w="820" w:type="dxa"/>
            <w:shd w:val="clear" w:color="auto" w:fill="FFFFFF"/>
            <w:vAlign w:val="center"/>
          </w:tcPr>
          <w:p w14:paraId="3D832AA8" w14:textId="0F35E22A"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shd w:val="clear" w:color="auto" w:fill="FFFFFF"/>
            <w:vAlign w:val="center"/>
          </w:tcPr>
          <w:p w14:paraId="6C084CEA"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157B9DB4"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425DBD0F"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r>
    </w:tbl>
    <w:p w14:paraId="01B6F3B0" w14:textId="77777777" w:rsidR="00D07B44" w:rsidRPr="00CF31E0" w:rsidRDefault="00D07B44" w:rsidP="00D07B44">
      <w:pPr>
        <w:rPr>
          <w:rFonts w:asciiTheme="majorBidi" w:hAnsiTheme="majorBidi" w:cstheme="majorBidi"/>
          <w:b/>
          <w:bCs/>
          <w:color w:val="000000" w:themeColor="text1"/>
        </w:rPr>
      </w:pPr>
    </w:p>
    <w:p w14:paraId="62AF4C66" w14:textId="77777777" w:rsidR="00D07B44" w:rsidRPr="00CF31E0" w:rsidRDefault="00D07B44" w:rsidP="00D07B44">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D07B44" w:rsidRPr="00CF31E0" w14:paraId="43091121" w14:textId="77777777" w:rsidTr="00D07B44">
        <w:trPr>
          <w:cantSplit/>
        </w:trPr>
        <w:tc>
          <w:tcPr>
            <w:tcW w:w="1736" w:type="dxa"/>
            <w:tcBorders>
              <w:top w:val="single" w:sz="8" w:space="0" w:color="auto"/>
              <w:bottom w:val="single" w:sz="6" w:space="0" w:color="auto"/>
            </w:tcBorders>
            <w:shd w:val="clear" w:color="auto" w:fill="FFFFFF"/>
            <w:vAlign w:val="bottom"/>
          </w:tcPr>
          <w:p w14:paraId="7A12DE5D"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Marital status</w:t>
            </w:r>
          </w:p>
        </w:tc>
        <w:tc>
          <w:tcPr>
            <w:tcW w:w="1686" w:type="dxa"/>
            <w:tcBorders>
              <w:top w:val="single" w:sz="8" w:space="0" w:color="auto"/>
              <w:bottom w:val="single" w:sz="6" w:space="0" w:color="auto"/>
            </w:tcBorders>
            <w:shd w:val="clear" w:color="auto" w:fill="FFFFFF"/>
            <w:vAlign w:val="bottom"/>
          </w:tcPr>
          <w:p w14:paraId="40E9898D"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5A4EB220"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8144F8B"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E3C39C5"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47813633"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D07B44" w:rsidRPr="00CF31E0" w14:paraId="6B4130A6" w14:textId="77777777" w:rsidTr="00D07B44">
        <w:trPr>
          <w:cantSplit/>
        </w:trPr>
        <w:tc>
          <w:tcPr>
            <w:tcW w:w="1736" w:type="dxa"/>
            <w:tcBorders>
              <w:top w:val="single" w:sz="6" w:space="0" w:color="auto"/>
              <w:bottom w:val="nil"/>
            </w:tcBorders>
            <w:shd w:val="clear" w:color="auto" w:fill="FFFFFF"/>
          </w:tcPr>
          <w:p w14:paraId="4DE2E738"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14CD2D15" w14:textId="5DB5AA56"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1.166</w:t>
            </w:r>
          </w:p>
        </w:tc>
        <w:tc>
          <w:tcPr>
            <w:tcW w:w="820" w:type="dxa"/>
            <w:tcBorders>
              <w:top w:val="single" w:sz="6" w:space="0" w:color="auto"/>
              <w:bottom w:val="nil"/>
            </w:tcBorders>
            <w:shd w:val="clear" w:color="auto" w:fill="FFFFFF"/>
            <w:vAlign w:val="center"/>
          </w:tcPr>
          <w:p w14:paraId="1E473B06" w14:textId="5011B4FB"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w:t>
            </w:r>
          </w:p>
        </w:tc>
        <w:tc>
          <w:tcPr>
            <w:tcW w:w="1445" w:type="dxa"/>
            <w:tcBorders>
              <w:top w:val="single" w:sz="6" w:space="0" w:color="auto"/>
              <w:bottom w:val="nil"/>
            </w:tcBorders>
            <w:shd w:val="clear" w:color="auto" w:fill="FFFFFF"/>
            <w:vAlign w:val="center"/>
          </w:tcPr>
          <w:p w14:paraId="2DB01818" w14:textId="3724B7DA"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.389</w:t>
            </w:r>
          </w:p>
        </w:tc>
        <w:tc>
          <w:tcPr>
            <w:tcW w:w="1030" w:type="dxa"/>
            <w:tcBorders>
              <w:top w:val="single" w:sz="6" w:space="0" w:color="auto"/>
              <w:bottom w:val="nil"/>
            </w:tcBorders>
            <w:shd w:val="clear" w:color="auto" w:fill="FFFFFF"/>
            <w:vAlign w:val="center"/>
          </w:tcPr>
          <w:p w14:paraId="57990C10" w14:textId="298C8A3D"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.291</w:t>
            </w:r>
          </w:p>
        </w:tc>
        <w:tc>
          <w:tcPr>
            <w:tcW w:w="674" w:type="dxa"/>
            <w:tcBorders>
              <w:top w:val="single" w:sz="6" w:space="0" w:color="auto"/>
              <w:bottom w:val="nil"/>
            </w:tcBorders>
            <w:shd w:val="clear" w:color="auto" w:fill="FFFFFF"/>
            <w:vAlign w:val="center"/>
          </w:tcPr>
          <w:p w14:paraId="25709642" w14:textId="0CE172B6"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.832</w:t>
            </w:r>
          </w:p>
        </w:tc>
      </w:tr>
      <w:tr w:rsidR="00D07B44" w:rsidRPr="00CF31E0" w14:paraId="418631EA" w14:textId="77777777" w:rsidTr="00D07B44">
        <w:trPr>
          <w:cantSplit/>
        </w:trPr>
        <w:tc>
          <w:tcPr>
            <w:tcW w:w="1736" w:type="dxa"/>
            <w:tcBorders>
              <w:top w:val="nil"/>
            </w:tcBorders>
            <w:shd w:val="clear" w:color="auto" w:fill="FFFFFF"/>
          </w:tcPr>
          <w:p w14:paraId="3EF445DE"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3C292F57" w14:textId="02EB59FB"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861.053</w:t>
            </w:r>
          </w:p>
        </w:tc>
        <w:tc>
          <w:tcPr>
            <w:tcW w:w="820" w:type="dxa"/>
            <w:tcBorders>
              <w:top w:val="nil"/>
            </w:tcBorders>
            <w:shd w:val="clear" w:color="auto" w:fill="FFFFFF"/>
            <w:vAlign w:val="center"/>
          </w:tcPr>
          <w:p w14:paraId="1309E058" w14:textId="29E9BC7C" w:rsidR="00D07B44" w:rsidRPr="00CF31E0" w:rsidRDefault="000604A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646</w:t>
            </w:r>
          </w:p>
        </w:tc>
        <w:tc>
          <w:tcPr>
            <w:tcW w:w="1445" w:type="dxa"/>
            <w:tcBorders>
              <w:top w:val="nil"/>
            </w:tcBorders>
            <w:shd w:val="clear" w:color="auto" w:fill="FFFFFF"/>
            <w:vAlign w:val="center"/>
          </w:tcPr>
          <w:p w14:paraId="7CF04B3C" w14:textId="36E7DE52"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1.335</w:t>
            </w:r>
          </w:p>
        </w:tc>
        <w:tc>
          <w:tcPr>
            <w:tcW w:w="1030" w:type="dxa"/>
            <w:tcBorders>
              <w:top w:val="nil"/>
            </w:tcBorders>
            <w:shd w:val="clear" w:color="auto" w:fill="FFFFFF"/>
            <w:vAlign w:val="center"/>
          </w:tcPr>
          <w:p w14:paraId="298330A3"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28EDB003"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r>
      <w:tr w:rsidR="00D07B44" w:rsidRPr="00CF31E0" w14:paraId="21C0533C" w14:textId="77777777" w:rsidTr="00D07B44">
        <w:trPr>
          <w:cantSplit/>
        </w:trPr>
        <w:tc>
          <w:tcPr>
            <w:tcW w:w="1736" w:type="dxa"/>
            <w:shd w:val="clear" w:color="auto" w:fill="FFFFFF"/>
          </w:tcPr>
          <w:p w14:paraId="5435BB25"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2C594BD1" w14:textId="17F3BF20"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862.219</w:t>
            </w:r>
          </w:p>
        </w:tc>
        <w:tc>
          <w:tcPr>
            <w:tcW w:w="820" w:type="dxa"/>
            <w:shd w:val="clear" w:color="auto" w:fill="FFFFFF"/>
            <w:vAlign w:val="center"/>
          </w:tcPr>
          <w:p w14:paraId="78BE4E70" w14:textId="122C4190" w:rsidR="00D07B44" w:rsidRPr="00CF31E0" w:rsidRDefault="000604A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37D423C3"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606CBA18"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462C04C8"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r>
    </w:tbl>
    <w:p w14:paraId="6A45F1D2" w14:textId="77777777" w:rsidR="00D07B44" w:rsidRPr="00CF31E0" w:rsidRDefault="00D07B44" w:rsidP="00D07B44">
      <w:pPr>
        <w:rPr>
          <w:rFonts w:asciiTheme="majorBidi" w:hAnsiTheme="majorBidi" w:cstheme="majorBidi"/>
          <w:b/>
          <w:bCs/>
          <w:color w:val="000000" w:themeColor="text1"/>
        </w:rPr>
      </w:pPr>
    </w:p>
    <w:p w14:paraId="185AFB01" w14:textId="77777777" w:rsidR="00D07B44" w:rsidRPr="00CF31E0" w:rsidRDefault="00D07B44" w:rsidP="00D07B44">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D07B44" w:rsidRPr="00CF31E0" w14:paraId="5727C8E0" w14:textId="77777777" w:rsidTr="00D07B44">
        <w:trPr>
          <w:cantSplit/>
        </w:trPr>
        <w:tc>
          <w:tcPr>
            <w:tcW w:w="1736" w:type="dxa"/>
            <w:tcBorders>
              <w:top w:val="single" w:sz="8" w:space="0" w:color="auto"/>
              <w:bottom w:val="single" w:sz="6" w:space="0" w:color="auto"/>
            </w:tcBorders>
            <w:shd w:val="clear" w:color="auto" w:fill="FFFFFF"/>
            <w:vAlign w:val="bottom"/>
          </w:tcPr>
          <w:p w14:paraId="755C168C"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Education</w:t>
            </w:r>
          </w:p>
        </w:tc>
        <w:tc>
          <w:tcPr>
            <w:tcW w:w="1686" w:type="dxa"/>
            <w:tcBorders>
              <w:top w:val="single" w:sz="8" w:space="0" w:color="auto"/>
              <w:bottom w:val="single" w:sz="6" w:space="0" w:color="auto"/>
            </w:tcBorders>
            <w:shd w:val="clear" w:color="auto" w:fill="FFFFFF"/>
            <w:vAlign w:val="bottom"/>
          </w:tcPr>
          <w:p w14:paraId="68D9FA1C"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0D5CEAC1"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40A694C7"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1A665A4"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77962C20"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D07B44" w:rsidRPr="00CF31E0" w14:paraId="3AD112BF" w14:textId="77777777" w:rsidTr="00D07B44">
        <w:trPr>
          <w:cantSplit/>
        </w:trPr>
        <w:tc>
          <w:tcPr>
            <w:tcW w:w="1736" w:type="dxa"/>
            <w:tcBorders>
              <w:top w:val="single" w:sz="6" w:space="0" w:color="auto"/>
              <w:bottom w:val="nil"/>
            </w:tcBorders>
            <w:shd w:val="clear" w:color="auto" w:fill="FFFFFF"/>
          </w:tcPr>
          <w:p w14:paraId="2C521FF4"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65A0A0AA" w14:textId="6F9CA2E0"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5.873</w:t>
            </w:r>
          </w:p>
        </w:tc>
        <w:tc>
          <w:tcPr>
            <w:tcW w:w="820" w:type="dxa"/>
            <w:tcBorders>
              <w:top w:val="single" w:sz="6" w:space="0" w:color="auto"/>
              <w:bottom w:val="nil"/>
            </w:tcBorders>
            <w:shd w:val="clear" w:color="auto" w:fill="FFFFFF"/>
            <w:vAlign w:val="center"/>
          </w:tcPr>
          <w:p w14:paraId="5E408F78" w14:textId="08A478E1"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w:t>
            </w:r>
          </w:p>
        </w:tc>
        <w:tc>
          <w:tcPr>
            <w:tcW w:w="1445" w:type="dxa"/>
            <w:tcBorders>
              <w:top w:val="single" w:sz="6" w:space="0" w:color="auto"/>
              <w:bottom w:val="nil"/>
            </w:tcBorders>
            <w:shd w:val="clear" w:color="auto" w:fill="FFFFFF"/>
            <w:vAlign w:val="center"/>
          </w:tcPr>
          <w:p w14:paraId="6DCCD624" w14:textId="1EAD6E36"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1.175</w:t>
            </w:r>
          </w:p>
        </w:tc>
        <w:tc>
          <w:tcPr>
            <w:tcW w:w="1030" w:type="dxa"/>
            <w:tcBorders>
              <w:top w:val="single" w:sz="6" w:space="0" w:color="auto"/>
              <w:bottom w:val="nil"/>
            </w:tcBorders>
            <w:shd w:val="clear" w:color="auto" w:fill="FFFFFF"/>
            <w:vAlign w:val="center"/>
          </w:tcPr>
          <w:p w14:paraId="66402454" w14:textId="3E1279FF"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.882</w:t>
            </w:r>
          </w:p>
        </w:tc>
        <w:tc>
          <w:tcPr>
            <w:tcW w:w="674" w:type="dxa"/>
            <w:tcBorders>
              <w:top w:val="single" w:sz="6" w:space="0" w:color="auto"/>
              <w:bottom w:val="nil"/>
            </w:tcBorders>
            <w:shd w:val="clear" w:color="auto" w:fill="FFFFFF"/>
            <w:vAlign w:val="center"/>
          </w:tcPr>
          <w:p w14:paraId="45BE9118" w14:textId="3985981C"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.493</w:t>
            </w:r>
          </w:p>
        </w:tc>
      </w:tr>
      <w:tr w:rsidR="00D07B44" w:rsidRPr="00CF31E0" w14:paraId="35609189" w14:textId="77777777" w:rsidTr="00D07B44">
        <w:trPr>
          <w:cantSplit/>
        </w:trPr>
        <w:tc>
          <w:tcPr>
            <w:tcW w:w="1736" w:type="dxa"/>
            <w:tcBorders>
              <w:top w:val="nil"/>
            </w:tcBorders>
            <w:shd w:val="clear" w:color="auto" w:fill="FFFFFF"/>
          </w:tcPr>
          <w:p w14:paraId="01C8F8BD"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15FB2BDA" w14:textId="2CE3649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856.345</w:t>
            </w:r>
          </w:p>
        </w:tc>
        <w:tc>
          <w:tcPr>
            <w:tcW w:w="820" w:type="dxa"/>
            <w:tcBorders>
              <w:top w:val="nil"/>
            </w:tcBorders>
            <w:shd w:val="clear" w:color="auto" w:fill="FFFFFF"/>
            <w:vAlign w:val="center"/>
          </w:tcPr>
          <w:p w14:paraId="5FCDFEB9" w14:textId="7937B3F0" w:rsidR="00D07B44" w:rsidRPr="00CF31E0" w:rsidRDefault="000604A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644</w:t>
            </w:r>
          </w:p>
        </w:tc>
        <w:tc>
          <w:tcPr>
            <w:tcW w:w="1445" w:type="dxa"/>
            <w:tcBorders>
              <w:top w:val="nil"/>
            </w:tcBorders>
            <w:shd w:val="clear" w:color="auto" w:fill="FFFFFF"/>
            <w:vAlign w:val="center"/>
          </w:tcPr>
          <w:p w14:paraId="7CB1D658" w14:textId="1DDCE544"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1.332</w:t>
            </w:r>
          </w:p>
        </w:tc>
        <w:tc>
          <w:tcPr>
            <w:tcW w:w="1030" w:type="dxa"/>
            <w:tcBorders>
              <w:top w:val="nil"/>
            </w:tcBorders>
            <w:shd w:val="clear" w:color="auto" w:fill="FFFFFF"/>
            <w:vAlign w:val="center"/>
          </w:tcPr>
          <w:p w14:paraId="4D78F7B0"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34C2EF3C"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r>
      <w:tr w:rsidR="00D07B44" w:rsidRPr="00CF31E0" w14:paraId="4283308A" w14:textId="77777777" w:rsidTr="00D07B44">
        <w:trPr>
          <w:cantSplit/>
        </w:trPr>
        <w:tc>
          <w:tcPr>
            <w:tcW w:w="1736" w:type="dxa"/>
            <w:shd w:val="clear" w:color="auto" w:fill="FFFFFF"/>
          </w:tcPr>
          <w:p w14:paraId="54BC0C36"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D2D4C7B" w14:textId="3AA3788C"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862.219</w:t>
            </w:r>
          </w:p>
        </w:tc>
        <w:tc>
          <w:tcPr>
            <w:tcW w:w="820" w:type="dxa"/>
            <w:shd w:val="clear" w:color="auto" w:fill="FFFFFF"/>
            <w:vAlign w:val="center"/>
          </w:tcPr>
          <w:p w14:paraId="5DDBF4DB" w14:textId="15B2734C" w:rsidR="00D07B44" w:rsidRPr="00CF31E0" w:rsidRDefault="000604A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5A4D5E28"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6522143F"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676FAE6B"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p>
        </w:tc>
      </w:tr>
    </w:tbl>
    <w:p w14:paraId="3DE9E6AA" w14:textId="77777777" w:rsidR="00D07B44" w:rsidRPr="00CF31E0" w:rsidRDefault="00D07B44" w:rsidP="00D07B44">
      <w:pPr>
        <w:rPr>
          <w:rFonts w:asciiTheme="majorBidi" w:hAnsiTheme="majorBidi" w:cstheme="majorBidi"/>
          <w:b/>
          <w:bCs/>
          <w:color w:val="000000" w:themeColor="text1"/>
        </w:rPr>
      </w:pPr>
    </w:p>
    <w:p w14:paraId="5142DB01" w14:textId="77777777" w:rsidR="00D07B44" w:rsidRPr="00CF31E0" w:rsidRDefault="00D07B44" w:rsidP="00D07B44">
      <w:pPr>
        <w:rPr>
          <w:rFonts w:asciiTheme="majorBidi" w:hAnsiTheme="majorBidi" w:cstheme="majorBidi"/>
          <w:b/>
          <w:bCs/>
          <w:color w:val="000000" w:themeColor="text1"/>
        </w:rPr>
      </w:pPr>
    </w:p>
    <w:p w14:paraId="39721CA0" w14:textId="77777777" w:rsidR="00FA43BB" w:rsidRPr="00CF31E0" w:rsidRDefault="00FA43BB" w:rsidP="00D07B44">
      <w:pPr>
        <w:rPr>
          <w:rFonts w:asciiTheme="majorBidi" w:hAnsiTheme="majorBidi" w:cstheme="majorBidi"/>
          <w:b/>
          <w:bCs/>
          <w:color w:val="000000" w:themeColor="text1"/>
        </w:rPr>
      </w:pPr>
    </w:p>
    <w:p w14:paraId="11F69ECE" w14:textId="77777777" w:rsidR="00FA43BB" w:rsidRPr="00CF31E0" w:rsidRDefault="00FA43BB" w:rsidP="00D07B44">
      <w:pPr>
        <w:rPr>
          <w:rFonts w:asciiTheme="majorBidi" w:hAnsiTheme="majorBidi" w:cstheme="majorBidi"/>
          <w:b/>
          <w:bCs/>
          <w:color w:val="000000" w:themeColor="text1"/>
        </w:rPr>
      </w:pPr>
    </w:p>
    <w:p w14:paraId="47E04020" w14:textId="77777777" w:rsidR="00FA43BB" w:rsidRPr="00CF31E0" w:rsidRDefault="00FA43BB" w:rsidP="00D07B44">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D07B44" w:rsidRPr="00CF31E0" w14:paraId="779813AA" w14:textId="77777777" w:rsidTr="00D07B44">
        <w:trPr>
          <w:cantSplit/>
        </w:trPr>
        <w:tc>
          <w:tcPr>
            <w:tcW w:w="1736" w:type="dxa"/>
            <w:tcBorders>
              <w:top w:val="single" w:sz="8" w:space="0" w:color="auto"/>
              <w:bottom w:val="single" w:sz="6" w:space="0" w:color="auto"/>
            </w:tcBorders>
            <w:shd w:val="clear" w:color="auto" w:fill="FFFFFF"/>
            <w:vAlign w:val="bottom"/>
          </w:tcPr>
          <w:p w14:paraId="2E95D06F"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Mother’s social group</w:t>
            </w:r>
          </w:p>
        </w:tc>
        <w:tc>
          <w:tcPr>
            <w:tcW w:w="1686" w:type="dxa"/>
            <w:tcBorders>
              <w:top w:val="single" w:sz="8" w:space="0" w:color="auto"/>
              <w:bottom w:val="single" w:sz="6" w:space="0" w:color="auto"/>
            </w:tcBorders>
            <w:shd w:val="clear" w:color="auto" w:fill="FFFFFF"/>
            <w:vAlign w:val="bottom"/>
          </w:tcPr>
          <w:p w14:paraId="4469F383"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2FAFC37B"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04EB05D3"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474B35B6"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2B585A97"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FA43BB" w:rsidRPr="00CF31E0" w14:paraId="7A0C7386" w14:textId="77777777" w:rsidTr="00D07B44">
        <w:trPr>
          <w:cantSplit/>
        </w:trPr>
        <w:tc>
          <w:tcPr>
            <w:tcW w:w="1736" w:type="dxa"/>
            <w:tcBorders>
              <w:top w:val="single" w:sz="6" w:space="0" w:color="auto"/>
              <w:bottom w:val="nil"/>
            </w:tcBorders>
            <w:shd w:val="clear" w:color="auto" w:fill="FFFFFF"/>
          </w:tcPr>
          <w:p w14:paraId="20376588" w14:textId="77777777" w:rsidR="00FA43BB" w:rsidRPr="00CF31E0" w:rsidRDefault="00FA43BB"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083EE727" w14:textId="6D7F1FBE" w:rsidR="00FA43BB" w:rsidRPr="00CF31E0" w:rsidRDefault="00FA43B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3.169</w:t>
            </w:r>
          </w:p>
        </w:tc>
        <w:tc>
          <w:tcPr>
            <w:tcW w:w="820" w:type="dxa"/>
            <w:tcBorders>
              <w:top w:val="single" w:sz="6" w:space="0" w:color="auto"/>
              <w:bottom w:val="nil"/>
            </w:tcBorders>
            <w:shd w:val="clear" w:color="auto" w:fill="FFFFFF"/>
            <w:vAlign w:val="center"/>
          </w:tcPr>
          <w:p w14:paraId="7036875A" w14:textId="12F48416" w:rsidR="00FA43BB" w:rsidRPr="00CF31E0" w:rsidRDefault="00FA43B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w:t>
            </w:r>
          </w:p>
        </w:tc>
        <w:tc>
          <w:tcPr>
            <w:tcW w:w="1445" w:type="dxa"/>
            <w:tcBorders>
              <w:top w:val="single" w:sz="6" w:space="0" w:color="auto"/>
              <w:bottom w:val="nil"/>
            </w:tcBorders>
            <w:shd w:val="clear" w:color="auto" w:fill="FFFFFF"/>
            <w:vAlign w:val="center"/>
          </w:tcPr>
          <w:p w14:paraId="76F36CC5" w14:textId="31918747" w:rsidR="00FA43BB" w:rsidRPr="00CF31E0" w:rsidRDefault="00FA43B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1.585</w:t>
            </w:r>
          </w:p>
        </w:tc>
        <w:tc>
          <w:tcPr>
            <w:tcW w:w="1030" w:type="dxa"/>
            <w:tcBorders>
              <w:top w:val="single" w:sz="6" w:space="0" w:color="auto"/>
              <w:bottom w:val="nil"/>
            </w:tcBorders>
            <w:shd w:val="clear" w:color="auto" w:fill="FFFFFF"/>
            <w:vAlign w:val="center"/>
          </w:tcPr>
          <w:p w14:paraId="73A0C31D" w14:textId="02E4AF24" w:rsidR="00FA43BB" w:rsidRPr="00CF31E0" w:rsidRDefault="00FA43B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1.193</w:t>
            </w:r>
          </w:p>
        </w:tc>
        <w:tc>
          <w:tcPr>
            <w:tcW w:w="674" w:type="dxa"/>
            <w:tcBorders>
              <w:top w:val="single" w:sz="6" w:space="0" w:color="auto"/>
              <w:bottom w:val="nil"/>
            </w:tcBorders>
            <w:shd w:val="clear" w:color="auto" w:fill="FFFFFF"/>
            <w:vAlign w:val="center"/>
          </w:tcPr>
          <w:p w14:paraId="796A31FB" w14:textId="4CC00FDA" w:rsidR="00FA43BB" w:rsidRPr="00CF31E0" w:rsidRDefault="00FA43B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.304</w:t>
            </w:r>
          </w:p>
        </w:tc>
      </w:tr>
      <w:tr w:rsidR="00FA43BB" w:rsidRPr="00CF31E0" w14:paraId="473CE048" w14:textId="77777777" w:rsidTr="00D07B44">
        <w:trPr>
          <w:cantSplit/>
        </w:trPr>
        <w:tc>
          <w:tcPr>
            <w:tcW w:w="1736" w:type="dxa"/>
            <w:tcBorders>
              <w:top w:val="nil"/>
            </w:tcBorders>
            <w:shd w:val="clear" w:color="auto" w:fill="FFFFFF"/>
          </w:tcPr>
          <w:p w14:paraId="4AB8D9EF" w14:textId="77777777" w:rsidR="00FA43BB" w:rsidRPr="00CF31E0" w:rsidRDefault="00FA43BB"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308D8236" w14:textId="7EAF5AD9" w:rsidR="00FA43BB" w:rsidRPr="00CF31E0" w:rsidRDefault="00FA43B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856.817</w:t>
            </w:r>
          </w:p>
        </w:tc>
        <w:tc>
          <w:tcPr>
            <w:tcW w:w="820" w:type="dxa"/>
            <w:tcBorders>
              <w:top w:val="nil"/>
            </w:tcBorders>
            <w:shd w:val="clear" w:color="auto" w:fill="FFFFFF"/>
            <w:vAlign w:val="center"/>
          </w:tcPr>
          <w:p w14:paraId="3FC92A08" w14:textId="2D30D400" w:rsidR="00FA43BB" w:rsidRPr="00CF31E0" w:rsidRDefault="000604A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647</w:t>
            </w:r>
          </w:p>
        </w:tc>
        <w:tc>
          <w:tcPr>
            <w:tcW w:w="1445" w:type="dxa"/>
            <w:tcBorders>
              <w:top w:val="nil"/>
            </w:tcBorders>
            <w:shd w:val="clear" w:color="auto" w:fill="FFFFFF"/>
            <w:vAlign w:val="center"/>
          </w:tcPr>
          <w:p w14:paraId="235E5BA3" w14:textId="195DA03A" w:rsidR="00FA43BB" w:rsidRPr="00CF31E0" w:rsidRDefault="00FA43B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1.328</w:t>
            </w:r>
          </w:p>
        </w:tc>
        <w:tc>
          <w:tcPr>
            <w:tcW w:w="1030" w:type="dxa"/>
            <w:tcBorders>
              <w:top w:val="nil"/>
            </w:tcBorders>
            <w:shd w:val="clear" w:color="auto" w:fill="FFFFFF"/>
            <w:vAlign w:val="center"/>
          </w:tcPr>
          <w:p w14:paraId="75EE30D0" w14:textId="77777777" w:rsidR="00FA43BB" w:rsidRPr="00CF31E0" w:rsidRDefault="00FA43BB" w:rsidP="00D07B44">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4DD38908" w14:textId="77777777" w:rsidR="00FA43BB" w:rsidRPr="00CF31E0" w:rsidRDefault="00FA43BB" w:rsidP="00D07B44">
            <w:pPr>
              <w:spacing w:before="120" w:after="120" w:line="360" w:lineRule="auto"/>
              <w:jc w:val="right"/>
              <w:rPr>
                <w:rFonts w:eastAsia="Calibri" w:cs="Arial"/>
                <w:color w:val="000000" w:themeColor="text1"/>
                <w:sz w:val="22"/>
                <w:szCs w:val="22"/>
                <w:lang w:eastAsia="en-US"/>
              </w:rPr>
            </w:pPr>
          </w:p>
        </w:tc>
      </w:tr>
      <w:tr w:rsidR="00FA43BB" w:rsidRPr="00CF31E0" w14:paraId="4F085E28" w14:textId="77777777" w:rsidTr="00D07B44">
        <w:trPr>
          <w:cantSplit/>
        </w:trPr>
        <w:tc>
          <w:tcPr>
            <w:tcW w:w="1736" w:type="dxa"/>
            <w:shd w:val="clear" w:color="auto" w:fill="FFFFFF"/>
          </w:tcPr>
          <w:p w14:paraId="057504F9" w14:textId="77777777" w:rsidR="00FA43BB" w:rsidRPr="00CF31E0" w:rsidRDefault="00FA43BB"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54C7DA0" w14:textId="0A4A6A8D" w:rsidR="00FA43BB" w:rsidRPr="00CF31E0" w:rsidRDefault="00FA43B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859.986</w:t>
            </w:r>
          </w:p>
        </w:tc>
        <w:tc>
          <w:tcPr>
            <w:tcW w:w="820" w:type="dxa"/>
            <w:shd w:val="clear" w:color="auto" w:fill="FFFFFF"/>
            <w:vAlign w:val="center"/>
          </w:tcPr>
          <w:p w14:paraId="127C53AC" w14:textId="37BE19D8" w:rsidR="00FA43BB" w:rsidRPr="00CF31E0" w:rsidRDefault="000604A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46A29A37" w14:textId="77777777" w:rsidR="00FA43BB" w:rsidRPr="00CF31E0" w:rsidRDefault="00FA43BB" w:rsidP="00D07B44">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67031AAD" w14:textId="77777777" w:rsidR="00FA43BB" w:rsidRPr="00CF31E0" w:rsidRDefault="00FA43BB" w:rsidP="00D07B44">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7D2351DC" w14:textId="77777777" w:rsidR="00FA43BB" w:rsidRPr="00CF31E0" w:rsidRDefault="00FA43BB" w:rsidP="00D07B44">
            <w:pPr>
              <w:spacing w:before="120" w:after="120" w:line="360" w:lineRule="auto"/>
              <w:jc w:val="right"/>
              <w:rPr>
                <w:rFonts w:eastAsia="Calibri" w:cs="Arial"/>
                <w:color w:val="000000" w:themeColor="text1"/>
                <w:sz w:val="22"/>
                <w:szCs w:val="22"/>
                <w:lang w:eastAsia="en-US"/>
              </w:rPr>
            </w:pPr>
          </w:p>
        </w:tc>
      </w:tr>
    </w:tbl>
    <w:p w14:paraId="0F10FA54" w14:textId="77777777" w:rsidR="00D07B44" w:rsidRPr="00CF31E0" w:rsidRDefault="00D07B44" w:rsidP="00D07B44">
      <w:pPr>
        <w:rPr>
          <w:rFonts w:asciiTheme="majorBidi" w:hAnsiTheme="majorBidi" w:cstheme="majorBidi"/>
          <w:b/>
          <w:bCs/>
          <w:color w:val="000000" w:themeColor="text1"/>
        </w:rPr>
      </w:pPr>
    </w:p>
    <w:p w14:paraId="19601B2B" w14:textId="77777777" w:rsidR="00D07B44" w:rsidRPr="00CF31E0" w:rsidRDefault="00D07B44" w:rsidP="00D07B44">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D07B44" w:rsidRPr="00CF31E0" w14:paraId="0AC96D17" w14:textId="77777777" w:rsidTr="00D07B44">
        <w:trPr>
          <w:cantSplit/>
        </w:trPr>
        <w:tc>
          <w:tcPr>
            <w:tcW w:w="1736" w:type="dxa"/>
            <w:tcBorders>
              <w:top w:val="single" w:sz="8" w:space="0" w:color="auto"/>
              <w:bottom w:val="single" w:sz="6" w:space="0" w:color="auto"/>
            </w:tcBorders>
            <w:shd w:val="clear" w:color="auto" w:fill="FFFFFF"/>
            <w:vAlign w:val="bottom"/>
          </w:tcPr>
          <w:p w14:paraId="16FF125F" w14:textId="77777777" w:rsidR="00D07B44" w:rsidRPr="00CF31E0" w:rsidRDefault="00D07B44"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Spouse’s social group</w:t>
            </w:r>
          </w:p>
        </w:tc>
        <w:tc>
          <w:tcPr>
            <w:tcW w:w="1686" w:type="dxa"/>
            <w:tcBorders>
              <w:top w:val="single" w:sz="8" w:space="0" w:color="auto"/>
              <w:bottom w:val="single" w:sz="6" w:space="0" w:color="auto"/>
            </w:tcBorders>
            <w:shd w:val="clear" w:color="auto" w:fill="FFFFFF"/>
            <w:vAlign w:val="bottom"/>
          </w:tcPr>
          <w:p w14:paraId="52708081"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40FEC555"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08E51A02"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823872E"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6605E259" w14:textId="77777777" w:rsidR="00D07B44" w:rsidRPr="00CF31E0" w:rsidRDefault="00D07B44" w:rsidP="00D07B44">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FA43BB" w:rsidRPr="00CF31E0" w14:paraId="273840D7" w14:textId="77777777" w:rsidTr="00D07B44">
        <w:trPr>
          <w:cantSplit/>
        </w:trPr>
        <w:tc>
          <w:tcPr>
            <w:tcW w:w="1736" w:type="dxa"/>
            <w:tcBorders>
              <w:top w:val="single" w:sz="6" w:space="0" w:color="auto"/>
              <w:bottom w:val="nil"/>
            </w:tcBorders>
            <w:shd w:val="clear" w:color="auto" w:fill="FFFFFF"/>
          </w:tcPr>
          <w:p w14:paraId="6C6ACF63" w14:textId="77777777" w:rsidR="00FA43BB" w:rsidRPr="00CF31E0" w:rsidRDefault="00FA43BB"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58A30678" w14:textId="50A4BB57" w:rsidR="00FA43BB" w:rsidRPr="00CF31E0" w:rsidRDefault="00FA43B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7.413</w:t>
            </w:r>
          </w:p>
        </w:tc>
        <w:tc>
          <w:tcPr>
            <w:tcW w:w="820" w:type="dxa"/>
            <w:tcBorders>
              <w:top w:val="single" w:sz="6" w:space="0" w:color="auto"/>
              <w:bottom w:val="nil"/>
            </w:tcBorders>
            <w:shd w:val="clear" w:color="auto" w:fill="FFFFFF"/>
            <w:vAlign w:val="center"/>
          </w:tcPr>
          <w:p w14:paraId="013C0D07" w14:textId="41B6B8E7" w:rsidR="00FA43BB" w:rsidRPr="00CF31E0" w:rsidRDefault="00FA43B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w:t>
            </w:r>
          </w:p>
        </w:tc>
        <w:tc>
          <w:tcPr>
            <w:tcW w:w="1445" w:type="dxa"/>
            <w:tcBorders>
              <w:top w:val="single" w:sz="6" w:space="0" w:color="auto"/>
              <w:bottom w:val="nil"/>
            </w:tcBorders>
            <w:shd w:val="clear" w:color="auto" w:fill="FFFFFF"/>
            <w:vAlign w:val="center"/>
          </w:tcPr>
          <w:p w14:paraId="77CC7A70" w14:textId="4CCDFDBE" w:rsidR="00FA43BB" w:rsidRPr="00CF31E0" w:rsidRDefault="00FA43B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1.853</w:t>
            </w:r>
          </w:p>
        </w:tc>
        <w:tc>
          <w:tcPr>
            <w:tcW w:w="1030" w:type="dxa"/>
            <w:tcBorders>
              <w:top w:val="single" w:sz="6" w:space="0" w:color="auto"/>
              <w:bottom w:val="nil"/>
            </w:tcBorders>
            <w:shd w:val="clear" w:color="auto" w:fill="FFFFFF"/>
            <w:vAlign w:val="center"/>
          </w:tcPr>
          <w:p w14:paraId="7A822407" w14:textId="4290600C" w:rsidR="00FA43BB" w:rsidRPr="00CF31E0" w:rsidRDefault="00FA43B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1.396</w:t>
            </w:r>
          </w:p>
        </w:tc>
        <w:tc>
          <w:tcPr>
            <w:tcW w:w="674" w:type="dxa"/>
            <w:tcBorders>
              <w:top w:val="single" w:sz="6" w:space="0" w:color="auto"/>
              <w:bottom w:val="nil"/>
            </w:tcBorders>
            <w:shd w:val="clear" w:color="auto" w:fill="FFFFFF"/>
            <w:vAlign w:val="center"/>
          </w:tcPr>
          <w:p w14:paraId="6DAD2A2F" w14:textId="1814EF61" w:rsidR="00FA43BB" w:rsidRPr="00CF31E0" w:rsidRDefault="00FA43B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.234</w:t>
            </w:r>
          </w:p>
        </w:tc>
      </w:tr>
      <w:tr w:rsidR="00FA43BB" w:rsidRPr="00CF31E0" w14:paraId="42D4EC05" w14:textId="77777777" w:rsidTr="00D07B44">
        <w:trPr>
          <w:cantSplit/>
        </w:trPr>
        <w:tc>
          <w:tcPr>
            <w:tcW w:w="1736" w:type="dxa"/>
            <w:tcBorders>
              <w:top w:val="nil"/>
            </w:tcBorders>
            <w:shd w:val="clear" w:color="auto" w:fill="FFFFFF"/>
          </w:tcPr>
          <w:p w14:paraId="341C4402" w14:textId="77777777" w:rsidR="00FA43BB" w:rsidRPr="00CF31E0" w:rsidRDefault="00FA43BB"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3B69DAA4" w14:textId="30D4233E" w:rsidR="00FA43BB" w:rsidRPr="00CF31E0" w:rsidRDefault="00FA43B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849.750</w:t>
            </w:r>
          </w:p>
        </w:tc>
        <w:tc>
          <w:tcPr>
            <w:tcW w:w="820" w:type="dxa"/>
            <w:tcBorders>
              <w:top w:val="nil"/>
            </w:tcBorders>
            <w:shd w:val="clear" w:color="auto" w:fill="FFFFFF"/>
            <w:vAlign w:val="center"/>
          </w:tcPr>
          <w:p w14:paraId="66F59E37" w14:textId="05F902B4" w:rsidR="00FA43BB" w:rsidRPr="00CF31E0" w:rsidRDefault="000604A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645</w:t>
            </w:r>
          </w:p>
        </w:tc>
        <w:tc>
          <w:tcPr>
            <w:tcW w:w="1445" w:type="dxa"/>
            <w:tcBorders>
              <w:top w:val="nil"/>
            </w:tcBorders>
            <w:shd w:val="clear" w:color="auto" w:fill="FFFFFF"/>
            <w:vAlign w:val="center"/>
          </w:tcPr>
          <w:p w14:paraId="77C39F9C" w14:textId="21E1FD6A" w:rsidR="00FA43BB" w:rsidRPr="00CF31E0" w:rsidRDefault="00FA43B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1.328</w:t>
            </w:r>
          </w:p>
        </w:tc>
        <w:tc>
          <w:tcPr>
            <w:tcW w:w="1030" w:type="dxa"/>
            <w:tcBorders>
              <w:top w:val="nil"/>
            </w:tcBorders>
            <w:shd w:val="clear" w:color="auto" w:fill="FFFFFF"/>
            <w:vAlign w:val="center"/>
          </w:tcPr>
          <w:p w14:paraId="26CF18A3" w14:textId="77777777" w:rsidR="00FA43BB" w:rsidRPr="00CF31E0" w:rsidRDefault="00FA43BB" w:rsidP="00D07B44">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71F0ED85" w14:textId="77777777" w:rsidR="00FA43BB" w:rsidRPr="00CF31E0" w:rsidRDefault="00FA43BB" w:rsidP="00D07B44">
            <w:pPr>
              <w:spacing w:before="120" w:after="120" w:line="360" w:lineRule="auto"/>
              <w:jc w:val="right"/>
              <w:rPr>
                <w:rFonts w:eastAsia="Calibri" w:cs="Arial"/>
                <w:color w:val="000000" w:themeColor="text1"/>
                <w:sz w:val="22"/>
                <w:szCs w:val="22"/>
                <w:lang w:eastAsia="en-US"/>
              </w:rPr>
            </w:pPr>
          </w:p>
        </w:tc>
      </w:tr>
      <w:tr w:rsidR="00FA43BB" w:rsidRPr="00CF31E0" w14:paraId="06C2EF8A" w14:textId="77777777" w:rsidTr="00D07B44">
        <w:trPr>
          <w:cantSplit/>
        </w:trPr>
        <w:tc>
          <w:tcPr>
            <w:tcW w:w="1736" w:type="dxa"/>
            <w:shd w:val="clear" w:color="auto" w:fill="FFFFFF"/>
          </w:tcPr>
          <w:p w14:paraId="7D6F5A73" w14:textId="77777777" w:rsidR="00FA43BB" w:rsidRPr="00CF31E0" w:rsidRDefault="00FA43BB" w:rsidP="00D07B44">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33EDD76D" w14:textId="6A5DFF06" w:rsidR="00FA43BB" w:rsidRPr="00CF31E0" w:rsidRDefault="00FA43B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857.163</w:t>
            </w:r>
          </w:p>
        </w:tc>
        <w:tc>
          <w:tcPr>
            <w:tcW w:w="820" w:type="dxa"/>
            <w:shd w:val="clear" w:color="auto" w:fill="FFFFFF"/>
            <w:vAlign w:val="center"/>
          </w:tcPr>
          <w:p w14:paraId="466E4EC8" w14:textId="7004D316" w:rsidR="00FA43BB" w:rsidRPr="00CF31E0" w:rsidRDefault="000604AB" w:rsidP="00D07B44">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10D134DD" w14:textId="77777777" w:rsidR="00FA43BB" w:rsidRPr="00CF31E0" w:rsidRDefault="00FA43BB" w:rsidP="00D07B44">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44E5AC78" w14:textId="77777777" w:rsidR="00FA43BB" w:rsidRPr="00CF31E0" w:rsidRDefault="00FA43BB" w:rsidP="00D07B44">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3A165B8C" w14:textId="77777777" w:rsidR="00FA43BB" w:rsidRPr="00CF31E0" w:rsidRDefault="00FA43BB" w:rsidP="00D07B44">
            <w:pPr>
              <w:spacing w:before="120" w:after="120" w:line="360" w:lineRule="auto"/>
              <w:jc w:val="right"/>
              <w:rPr>
                <w:rFonts w:eastAsia="Calibri" w:cs="Arial"/>
                <w:color w:val="000000" w:themeColor="text1"/>
                <w:sz w:val="22"/>
                <w:szCs w:val="22"/>
                <w:lang w:eastAsia="en-US"/>
              </w:rPr>
            </w:pPr>
          </w:p>
        </w:tc>
      </w:tr>
    </w:tbl>
    <w:p w14:paraId="7CFCD6F3" w14:textId="77777777" w:rsidR="00D07B44" w:rsidRPr="00CF31E0" w:rsidRDefault="00D07B44" w:rsidP="00D07B44">
      <w:pPr>
        <w:rPr>
          <w:rFonts w:asciiTheme="majorBidi" w:hAnsiTheme="majorBidi" w:cstheme="majorBidi"/>
          <w:b/>
          <w:bCs/>
          <w:color w:val="000000" w:themeColor="text1"/>
        </w:rPr>
      </w:pPr>
    </w:p>
    <w:p w14:paraId="6D24703B" w14:textId="77777777" w:rsidR="00FA43BB" w:rsidRPr="00CF31E0" w:rsidRDefault="00FA43BB" w:rsidP="00D07B44">
      <w:pPr>
        <w:rPr>
          <w:rFonts w:asciiTheme="majorBidi" w:hAnsiTheme="majorBidi" w:cstheme="majorBidi"/>
          <w:b/>
          <w:bCs/>
          <w:color w:val="000000" w:themeColor="text1"/>
        </w:rPr>
      </w:pPr>
    </w:p>
    <w:p w14:paraId="791EBD9A" w14:textId="18B9FFA2" w:rsidR="00FA43BB" w:rsidRPr="00CF31E0" w:rsidRDefault="00FA43BB" w:rsidP="00FA43BB">
      <w:pPr>
        <w:pStyle w:val="ListParagraph"/>
        <w:numPr>
          <w:ilvl w:val="0"/>
          <w:numId w:val="71"/>
        </w:numPr>
        <w:rPr>
          <w:rFonts w:asciiTheme="majorBidi" w:hAnsiTheme="majorBidi" w:cstheme="majorBidi"/>
          <w:b/>
          <w:bCs/>
          <w:color w:val="000000" w:themeColor="text1"/>
          <w:sz w:val="28"/>
          <w:szCs w:val="28"/>
        </w:rPr>
      </w:pPr>
      <w:r w:rsidRPr="00CF31E0">
        <w:rPr>
          <w:rFonts w:asciiTheme="majorBidi" w:hAnsiTheme="majorBidi" w:cstheme="majorBidi"/>
          <w:b/>
          <w:bCs/>
          <w:color w:val="000000" w:themeColor="text1"/>
          <w:sz w:val="28"/>
          <w:szCs w:val="28"/>
        </w:rPr>
        <w:t>Traditional scale</w:t>
      </w:r>
    </w:p>
    <w:p w14:paraId="5C3D04E2" w14:textId="77777777" w:rsidR="00FA43BB" w:rsidRPr="00CF31E0" w:rsidRDefault="00FA43BB" w:rsidP="00D07B44">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FA43BB" w:rsidRPr="00CF31E0" w14:paraId="18F8C033" w14:textId="77777777" w:rsidTr="00944CCD">
        <w:trPr>
          <w:cantSplit/>
        </w:trPr>
        <w:tc>
          <w:tcPr>
            <w:tcW w:w="1736" w:type="dxa"/>
            <w:tcBorders>
              <w:top w:val="single" w:sz="8" w:space="0" w:color="auto"/>
              <w:bottom w:val="single" w:sz="6" w:space="0" w:color="auto"/>
            </w:tcBorders>
            <w:shd w:val="clear" w:color="auto" w:fill="FFFFFF"/>
            <w:vAlign w:val="bottom"/>
          </w:tcPr>
          <w:p w14:paraId="26017A01"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Gender</w:t>
            </w:r>
          </w:p>
        </w:tc>
        <w:tc>
          <w:tcPr>
            <w:tcW w:w="1686" w:type="dxa"/>
            <w:tcBorders>
              <w:top w:val="single" w:sz="8" w:space="0" w:color="auto"/>
              <w:bottom w:val="single" w:sz="6" w:space="0" w:color="auto"/>
            </w:tcBorders>
            <w:shd w:val="clear" w:color="auto" w:fill="FFFFFF"/>
            <w:vAlign w:val="bottom"/>
          </w:tcPr>
          <w:p w14:paraId="21B23488"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4C9619C6"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3567AF00"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65B16651"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61AF3107"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FA43BB" w:rsidRPr="00CF31E0" w14:paraId="2F76F480" w14:textId="77777777" w:rsidTr="00944CCD">
        <w:trPr>
          <w:cantSplit/>
        </w:trPr>
        <w:tc>
          <w:tcPr>
            <w:tcW w:w="1736" w:type="dxa"/>
            <w:tcBorders>
              <w:top w:val="single" w:sz="6" w:space="0" w:color="auto"/>
              <w:bottom w:val="nil"/>
            </w:tcBorders>
            <w:shd w:val="clear" w:color="auto" w:fill="FFFFFF"/>
          </w:tcPr>
          <w:p w14:paraId="19F21229"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76AF7A1F" w14:textId="34F79C19"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2.677</w:t>
            </w:r>
          </w:p>
        </w:tc>
        <w:tc>
          <w:tcPr>
            <w:tcW w:w="820" w:type="dxa"/>
            <w:tcBorders>
              <w:top w:val="single" w:sz="6" w:space="0" w:color="auto"/>
              <w:bottom w:val="nil"/>
            </w:tcBorders>
            <w:shd w:val="clear" w:color="auto" w:fill="FFFFFF"/>
            <w:vAlign w:val="center"/>
          </w:tcPr>
          <w:p w14:paraId="44ECDF30" w14:textId="309ED4EC"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4E3B0BE1" w14:textId="3ECA0AEB"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2.677</w:t>
            </w:r>
          </w:p>
        </w:tc>
        <w:tc>
          <w:tcPr>
            <w:tcW w:w="1030" w:type="dxa"/>
            <w:tcBorders>
              <w:top w:val="single" w:sz="6" w:space="0" w:color="auto"/>
              <w:bottom w:val="nil"/>
            </w:tcBorders>
            <w:shd w:val="clear" w:color="auto" w:fill="FFFFFF"/>
            <w:vAlign w:val="center"/>
          </w:tcPr>
          <w:p w14:paraId="4A438F9A" w14:textId="0C1A5904"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1.865</w:t>
            </w:r>
          </w:p>
        </w:tc>
        <w:tc>
          <w:tcPr>
            <w:tcW w:w="674" w:type="dxa"/>
            <w:tcBorders>
              <w:top w:val="single" w:sz="6" w:space="0" w:color="auto"/>
              <w:bottom w:val="nil"/>
            </w:tcBorders>
            <w:shd w:val="clear" w:color="auto" w:fill="FFFFFF"/>
            <w:vAlign w:val="center"/>
          </w:tcPr>
          <w:p w14:paraId="1CE8F11F" w14:textId="41B2502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.172</w:t>
            </w:r>
          </w:p>
        </w:tc>
      </w:tr>
      <w:tr w:rsidR="00FA43BB" w:rsidRPr="00CF31E0" w14:paraId="4EC259DC" w14:textId="77777777" w:rsidTr="00944CCD">
        <w:trPr>
          <w:cantSplit/>
        </w:trPr>
        <w:tc>
          <w:tcPr>
            <w:tcW w:w="1736" w:type="dxa"/>
            <w:tcBorders>
              <w:top w:val="nil"/>
            </w:tcBorders>
            <w:shd w:val="clear" w:color="auto" w:fill="FFFFFF"/>
          </w:tcPr>
          <w:p w14:paraId="018E9BDC"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56FDF3BA" w14:textId="21F59129"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928.503</w:t>
            </w:r>
          </w:p>
        </w:tc>
        <w:tc>
          <w:tcPr>
            <w:tcW w:w="820" w:type="dxa"/>
            <w:tcBorders>
              <w:top w:val="nil"/>
            </w:tcBorders>
            <w:shd w:val="clear" w:color="auto" w:fill="FFFFFF"/>
            <w:vAlign w:val="center"/>
          </w:tcPr>
          <w:p w14:paraId="677C183C" w14:textId="5F744F58" w:rsidR="00FA43BB"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1EBAB028" w14:textId="5988AB9E"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1.435</w:t>
            </w:r>
          </w:p>
        </w:tc>
        <w:tc>
          <w:tcPr>
            <w:tcW w:w="1030" w:type="dxa"/>
            <w:tcBorders>
              <w:top w:val="nil"/>
            </w:tcBorders>
            <w:shd w:val="clear" w:color="auto" w:fill="FFFFFF"/>
            <w:vAlign w:val="center"/>
          </w:tcPr>
          <w:p w14:paraId="7B04B9C2"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7F572F66"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r>
      <w:tr w:rsidR="00FA43BB" w:rsidRPr="00CF31E0" w14:paraId="7E8E88C7" w14:textId="77777777" w:rsidTr="00944CCD">
        <w:trPr>
          <w:cantSplit/>
        </w:trPr>
        <w:tc>
          <w:tcPr>
            <w:tcW w:w="1736" w:type="dxa"/>
            <w:shd w:val="clear" w:color="auto" w:fill="FFFFFF"/>
          </w:tcPr>
          <w:p w14:paraId="10FE25DD"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00FF5A11" w14:textId="2A798944"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931.180</w:t>
            </w:r>
          </w:p>
        </w:tc>
        <w:tc>
          <w:tcPr>
            <w:tcW w:w="820" w:type="dxa"/>
            <w:shd w:val="clear" w:color="auto" w:fill="FFFFFF"/>
            <w:vAlign w:val="center"/>
          </w:tcPr>
          <w:p w14:paraId="5F2EFC4A" w14:textId="68E9E1D1" w:rsidR="00FA43BB"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289192FA"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73C05BEE"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3593B4DE"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r>
    </w:tbl>
    <w:p w14:paraId="3D223C38" w14:textId="77777777" w:rsidR="00FA43BB" w:rsidRPr="00CF31E0" w:rsidRDefault="00FA43BB" w:rsidP="00FA43BB">
      <w:pPr>
        <w:rPr>
          <w:rFonts w:asciiTheme="majorBidi" w:hAnsiTheme="majorBidi" w:cstheme="majorBidi"/>
          <w:b/>
          <w:bCs/>
          <w:color w:val="000000" w:themeColor="text1"/>
        </w:rPr>
      </w:pPr>
    </w:p>
    <w:p w14:paraId="656D08D5" w14:textId="77777777" w:rsidR="00FA43BB" w:rsidRPr="00CF31E0" w:rsidRDefault="00FA43BB" w:rsidP="00FA43B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FA43BB" w:rsidRPr="00CF31E0" w14:paraId="296C5BA6" w14:textId="77777777" w:rsidTr="00944CCD">
        <w:trPr>
          <w:cantSplit/>
        </w:trPr>
        <w:tc>
          <w:tcPr>
            <w:tcW w:w="1736" w:type="dxa"/>
            <w:tcBorders>
              <w:top w:val="single" w:sz="8" w:space="0" w:color="auto"/>
              <w:bottom w:val="single" w:sz="6" w:space="0" w:color="auto"/>
            </w:tcBorders>
            <w:shd w:val="clear" w:color="auto" w:fill="FFFFFF"/>
            <w:vAlign w:val="bottom"/>
          </w:tcPr>
          <w:p w14:paraId="22F8C113"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Age</w:t>
            </w:r>
          </w:p>
        </w:tc>
        <w:tc>
          <w:tcPr>
            <w:tcW w:w="1686" w:type="dxa"/>
            <w:tcBorders>
              <w:top w:val="single" w:sz="8" w:space="0" w:color="auto"/>
              <w:bottom w:val="single" w:sz="6" w:space="0" w:color="auto"/>
            </w:tcBorders>
            <w:shd w:val="clear" w:color="auto" w:fill="FFFFFF"/>
            <w:vAlign w:val="bottom"/>
          </w:tcPr>
          <w:p w14:paraId="3C13CCBF"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5EA282DE"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B83636E"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1A8A3234"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42B4B40E"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FA43BB" w:rsidRPr="00CF31E0" w14:paraId="164E5035" w14:textId="77777777" w:rsidTr="00944CCD">
        <w:trPr>
          <w:cantSplit/>
        </w:trPr>
        <w:tc>
          <w:tcPr>
            <w:tcW w:w="1736" w:type="dxa"/>
            <w:tcBorders>
              <w:top w:val="single" w:sz="6" w:space="0" w:color="auto"/>
              <w:bottom w:val="nil"/>
            </w:tcBorders>
            <w:shd w:val="clear" w:color="auto" w:fill="FFFFFF"/>
          </w:tcPr>
          <w:p w14:paraId="3D04AB9F"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7738D511" w14:textId="1648BDA0"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9.514</w:t>
            </w:r>
          </w:p>
        </w:tc>
        <w:tc>
          <w:tcPr>
            <w:tcW w:w="820" w:type="dxa"/>
            <w:tcBorders>
              <w:top w:val="single" w:sz="6" w:space="0" w:color="auto"/>
              <w:bottom w:val="nil"/>
            </w:tcBorders>
            <w:shd w:val="clear" w:color="auto" w:fill="FFFFFF"/>
            <w:vAlign w:val="center"/>
          </w:tcPr>
          <w:p w14:paraId="5A52D301" w14:textId="216AC55B"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w:t>
            </w:r>
          </w:p>
        </w:tc>
        <w:tc>
          <w:tcPr>
            <w:tcW w:w="1445" w:type="dxa"/>
            <w:tcBorders>
              <w:top w:val="single" w:sz="6" w:space="0" w:color="auto"/>
              <w:bottom w:val="nil"/>
            </w:tcBorders>
            <w:shd w:val="clear" w:color="auto" w:fill="FFFFFF"/>
            <w:vAlign w:val="center"/>
          </w:tcPr>
          <w:p w14:paraId="3675A182" w14:textId="6CA18C0E"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1.903</w:t>
            </w:r>
          </w:p>
        </w:tc>
        <w:tc>
          <w:tcPr>
            <w:tcW w:w="1030" w:type="dxa"/>
            <w:tcBorders>
              <w:top w:val="single" w:sz="6" w:space="0" w:color="auto"/>
              <w:bottom w:val="nil"/>
            </w:tcBorders>
            <w:shd w:val="clear" w:color="auto" w:fill="FFFFFF"/>
            <w:vAlign w:val="center"/>
          </w:tcPr>
          <w:p w14:paraId="59C1D164" w14:textId="2B9D61C2"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1.329</w:t>
            </w:r>
          </w:p>
        </w:tc>
        <w:tc>
          <w:tcPr>
            <w:tcW w:w="674" w:type="dxa"/>
            <w:tcBorders>
              <w:top w:val="single" w:sz="6" w:space="0" w:color="auto"/>
              <w:bottom w:val="nil"/>
            </w:tcBorders>
            <w:shd w:val="clear" w:color="auto" w:fill="FFFFFF"/>
            <w:vAlign w:val="center"/>
          </w:tcPr>
          <w:p w14:paraId="7B8AC902" w14:textId="7F5647EF"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.250</w:t>
            </w:r>
          </w:p>
        </w:tc>
      </w:tr>
      <w:tr w:rsidR="00FA43BB" w:rsidRPr="00CF31E0" w14:paraId="303CCEB3" w14:textId="77777777" w:rsidTr="00944CCD">
        <w:trPr>
          <w:cantSplit/>
        </w:trPr>
        <w:tc>
          <w:tcPr>
            <w:tcW w:w="1736" w:type="dxa"/>
            <w:tcBorders>
              <w:top w:val="nil"/>
            </w:tcBorders>
            <w:shd w:val="clear" w:color="auto" w:fill="FFFFFF"/>
          </w:tcPr>
          <w:p w14:paraId="5567CC1B"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0A0E1342" w14:textId="5DFECC7C"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917.689</w:t>
            </w:r>
          </w:p>
        </w:tc>
        <w:tc>
          <w:tcPr>
            <w:tcW w:w="820" w:type="dxa"/>
            <w:tcBorders>
              <w:top w:val="nil"/>
            </w:tcBorders>
            <w:shd w:val="clear" w:color="auto" w:fill="FFFFFF"/>
            <w:vAlign w:val="center"/>
          </w:tcPr>
          <w:p w14:paraId="59059095" w14:textId="71F2A6D5" w:rsidR="00FA43BB"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644</w:t>
            </w:r>
          </w:p>
        </w:tc>
        <w:tc>
          <w:tcPr>
            <w:tcW w:w="1445" w:type="dxa"/>
            <w:tcBorders>
              <w:top w:val="nil"/>
            </w:tcBorders>
            <w:shd w:val="clear" w:color="auto" w:fill="FFFFFF"/>
            <w:vAlign w:val="center"/>
          </w:tcPr>
          <w:p w14:paraId="45889A84" w14:textId="3712494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1.432</w:t>
            </w:r>
          </w:p>
        </w:tc>
        <w:tc>
          <w:tcPr>
            <w:tcW w:w="1030" w:type="dxa"/>
            <w:tcBorders>
              <w:top w:val="nil"/>
            </w:tcBorders>
            <w:shd w:val="clear" w:color="auto" w:fill="FFFFFF"/>
            <w:vAlign w:val="center"/>
          </w:tcPr>
          <w:p w14:paraId="249C937F"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25D324F0"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r>
      <w:tr w:rsidR="00FA43BB" w:rsidRPr="00CF31E0" w14:paraId="5BDCD4E5" w14:textId="77777777" w:rsidTr="00944CCD">
        <w:trPr>
          <w:cantSplit/>
        </w:trPr>
        <w:tc>
          <w:tcPr>
            <w:tcW w:w="1736" w:type="dxa"/>
            <w:shd w:val="clear" w:color="auto" w:fill="FFFFFF"/>
          </w:tcPr>
          <w:p w14:paraId="27D275C1"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FFC46F4" w14:textId="24E3225C"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927.202</w:t>
            </w:r>
          </w:p>
        </w:tc>
        <w:tc>
          <w:tcPr>
            <w:tcW w:w="820" w:type="dxa"/>
            <w:shd w:val="clear" w:color="auto" w:fill="FFFFFF"/>
            <w:vAlign w:val="center"/>
          </w:tcPr>
          <w:p w14:paraId="1C3AD051" w14:textId="698E04E2" w:rsidR="00FA43BB"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17566674"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68A53E5D"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265667E7"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r>
    </w:tbl>
    <w:p w14:paraId="41E03613" w14:textId="77777777" w:rsidR="00FA43BB" w:rsidRPr="00CF31E0" w:rsidRDefault="00FA43BB" w:rsidP="00FA43B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FA43BB" w:rsidRPr="00CF31E0" w14:paraId="4B98FFD5" w14:textId="77777777" w:rsidTr="00944CCD">
        <w:trPr>
          <w:cantSplit/>
        </w:trPr>
        <w:tc>
          <w:tcPr>
            <w:tcW w:w="1736" w:type="dxa"/>
            <w:tcBorders>
              <w:top w:val="single" w:sz="8" w:space="0" w:color="auto"/>
              <w:bottom w:val="single" w:sz="6" w:space="0" w:color="auto"/>
            </w:tcBorders>
            <w:shd w:val="clear" w:color="auto" w:fill="FFFFFF"/>
            <w:vAlign w:val="bottom"/>
          </w:tcPr>
          <w:p w14:paraId="51874B6C"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Place of birth</w:t>
            </w:r>
          </w:p>
        </w:tc>
        <w:tc>
          <w:tcPr>
            <w:tcW w:w="1686" w:type="dxa"/>
            <w:tcBorders>
              <w:top w:val="single" w:sz="8" w:space="0" w:color="auto"/>
              <w:bottom w:val="single" w:sz="6" w:space="0" w:color="auto"/>
            </w:tcBorders>
            <w:shd w:val="clear" w:color="auto" w:fill="FFFFFF"/>
            <w:vAlign w:val="bottom"/>
          </w:tcPr>
          <w:p w14:paraId="4E6543E0"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1DE9D9D2"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2F5600EA"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116DF09F"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41B4AE8C"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FA43BB" w:rsidRPr="00CF31E0" w14:paraId="486A593D" w14:textId="77777777" w:rsidTr="00944CCD">
        <w:trPr>
          <w:cantSplit/>
        </w:trPr>
        <w:tc>
          <w:tcPr>
            <w:tcW w:w="1736" w:type="dxa"/>
            <w:tcBorders>
              <w:top w:val="single" w:sz="6" w:space="0" w:color="auto"/>
              <w:bottom w:val="nil"/>
            </w:tcBorders>
            <w:shd w:val="clear" w:color="auto" w:fill="FFFFFF"/>
          </w:tcPr>
          <w:p w14:paraId="479B7974"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328F2046" w14:textId="1364322B"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1.565</w:t>
            </w:r>
          </w:p>
        </w:tc>
        <w:tc>
          <w:tcPr>
            <w:tcW w:w="820" w:type="dxa"/>
            <w:tcBorders>
              <w:top w:val="single" w:sz="6" w:space="0" w:color="auto"/>
              <w:bottom w:val="nil"/>
            </w:tcBorders>
            <w:shd w:val="clear" w:color="auto" w:fill="FFFFFF"/>
            <w:vAlign w:val="center"/>
          </w:tcPr>
          <w:p w14:paraId="37D5DBB2" w14:textId="47EA7155"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225A1355" w14:textId="1CC169CD"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1.565</w:t>
            </w:r>
          </w:p>
        </w:tc>
        <w:tc>
          <w:tcPr>
            <w:tcW w:w="1030" w:type="dxa"/>
            <w:tcBorders>
              <w:top w:val="single" w:sz="6" w:space="0" w:color="auto"/>
              <w:bottom w:val="nil"/>
            </w:tcBorders>
            <w:shd w:val="clear" w:color="auto" w:fill="FFFFFF"/>
            <w:vAlign w:val="center"/>
          </w:tcPr>
          <w:p w14:paraId="74A46B48" w14:textId="22C919FA"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1.089</w:t>
            </w:r>
          </w:p>
        </w:tc>
        <w:tc>
          <w:tcPr>
            <w:tcW w:w="674" w:type="dxa"/>
            <w:tcBorders>
              <w:top w:val="single" w:sz="6" w:space="0" w:color="auto"/>
              <w:bottom w:val="nil"/>
            </w:tcBorders>
            <w:shd w:val="clear" w:color="auto" w:fill="FFFFFF"/>
            <w:vAlign w:val="center"/>
          </w:tcPr>
          <w:p w14:paraId="62B4AD54" w14:textId="5D3A7488"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.297</w:t>
            </w:r>
          </w:p>
        </w:tc>
      </w:tr>
      <w:tr w:rsidR="00FA43BB" w:rsidRPr="00CF31E0" w14:paraId="00C67A93" w14:textId="77777777" w:rsidTr="00944CCD">
        <w:trPr>
          <w:cantSplit/>
        </w:trPr>
        <w:tc>
          <w:tcPr>
            <w:tcW w:w="1736" w:type="dxa"/>
            <w:tcBorders>
              <w:top w:val="nil"/>
            </w:tcBorders>
            <w:shd w:val="clear" w:color="auto" w:fill="FFFFFF"/>
          </w:tcPr>
          <w:p w14:paraId="32EE5E51"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7DA50524" w14:textId="4AB8EDF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929.615</w:t>
            </w:r>
          </w:p>
        </w:tc>
        <w:tc>
          <w:tcPr>
            <w:tcW w:w="820" w:type="dxa"/>
            <w:tcBorders>
              <w:top w:val="nil"/>
            </w:tcBorders>
            <w:shd w:val="clear" w:color="auto" w:fill="FFFFFF"/>
            <w:vAlign w:val="center"/>
          </w:tcPr>
          <w:p w14:paraId="3EC32D5D" w14:textId="44287437" w:rsidR="00FA43BB"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60B02937" w14:textId="2172696A"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1.437</w:t>
            </w:r>
          </w:p>
        </w:tc>
        <w:tc>
          <w:tcPr>
            <w:tcW w:w="1030" w:type="dxa"/>
            <w:tcBorders>
              <w:top w:val="nil"/>
            </w:tcBorders>
            <w:shd w:val="clear" w:color="auto" w:fill="FFFFFF"/>
            <w:vAlign w:val="center"/>
          </w:tcPr>
          <w:p w14:paraId="612A1A6A"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274442E1"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r>
      <w:tr w:rsidR="00FA43BB" w:rsidRPr="00CF31E0" w14:paraId="1486AE76" w14:textId="77777777" w:rsidTr="00944CCD">
        <w:trPr>
          <w:cantSplit/>
        </w:trPr>
        <w:tc>
          <w:tcPr>
            <w:tcW w:w="1736" w:type="dxa"/>
            <w:shd w:val="clear" w:color="auto" w:fill="FFFFFF"/>
          </w:tcPr>
          <w:p w14:paraId="5958FBCB"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5C082E6" w14:textId="441D6671"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931.180</w:t>
            </w:r>
          </w:p>
        </w:tc>
        <w:tc>
          <w:tcPr>
            <w:tcW w:w="820" w:type="dxa"/>
            <w:shd w:val="clear" w:color="auto" w:fill="FFFFFF"/>
            <w:vAlign w:val="center"/>
          </w:tcPr>
          <w:p w14:paraId="056A82EE" w14:textId="717A4442" w:rsidR="00FA43BB"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622DA1FA"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0BABD288"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59B875A9"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r>
    </w:tbl>
    <w:p w14:paraId="0DDFA516" w14:textId="77777777" w:rsidR="00FA43BB" w:rsidRPr="00CF31E0" w:rsidRDefault="00FA43BB" w:rsidP="00FA43BB">
      <w:pPr>
        <w:rPr>
          <w:rFonts w:asciiTheme="majorBidi" w:hAnsiTheme="majorBidi" w:cstheme="majorBidi"/>
          <w:b/>
          <w:bCs/>
          <w:color w:val="000000" w:themeColor="text1"/>
        </w:rPr>
      </w:pPr>
    </w:p>
    <w:p w14:paraId="57CCE3A7" w14:textId="77777777" w:rsidR="00FA43BB" w:rsidRPr="00CF31E0" w:rsidRDefault="00FA43BB" w:rsidP="00FA43B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FA43BB" w:rsidRPr="00CF31E0" w14:paraId="1C7C6D67" w14:textId="77777777" w:rsidTr="00944CCD">
        <w:trPr>
          <w:cantSplit/>
        </w:trPr>
        <w:tc>
          <w:tcPr>
            <w:tcW w:w="1736" w:type="dxa"/>
            <w:tcBorders>
              <w:top w:val="single" w:sz="8" w:space="0" w:color="auto"/>
              <w:bottom w:val="single" w:sz="6" w:space="0" w:color="auto"/>
            </w:tcBorders>
            <w:shd w:val="clear" w:color="auto" w:fill="FFFFFF"/>
            <w:vAlign w:val="bottom"/>
          </w:tcPr>
          <w:p w14:paraId="6A467361"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Places lived</w:t>
            </w:r>
          </w:p>
        </w:tc>
        <w:tc>
          <w:tcPr>
            <w:tcW w:w="1686" w:type="dxa"/>
            <w:tcBorders>
              <w:top w:val="single" w:sz="8" w:space="0" w:color="auto"/>
              <w:bottom w:val="single" w:sz="6" w:space="0" w:color="auto"/>
            </w:tcBorders>
            <w:shd w:val="clear" w:color="auto" w:fill="FFFFFF"/>
            <w:vAlign w:val="bottom"/>
          </w:tcPr>
          <w:p w14:paraId="2BC537CA"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47FA1B45"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60F50C91"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33F00319"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19B3A98E"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FA43BB" w:rsidRPr="00CF31E0" w14:paraId="61501266" w14:textId="77777777" w:rsidTr="00944CCD">
        <w:trPr>
          <w:cantSplit/>
        </w:trPr>
        <w:tc>
          <w:tcPr>
            <w:tcW w:w="1736" w:type="dxa"/>
            <w:tcBorders>
              <w:top w:val="single" w:sz="6" w:space="0" w:color="auto"/>
              <w:bottom w:val="nil"/>
            </w:tcBorders>
            <w:shd w:val="clear" w:color="auto" w:fill="FFFFFF"/>
          </w:tcPr>
          <w:p w14:paraId="6C7DC076"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2F4D69FA" w14:textId="154DEA1B"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.150</w:t>
            </w:r>
          </w:p>
        </w:tc>
        <w:tc>
          <w:tcPr>
            <w:tcW w:w="820" w:type="dxa"/>
            <w:tcBorders>
              <w:top w:val="single" w:sz="6" w:space="0" w:color="auto"/>
              <w:bottom w:val="nil"/>
            </w:tcBorders>
            <w:shd w:val="clear" w:color="auto" w:fill="FFFFFF"/>
            <w:vAlign w:val="center"/>
          </w:tcPr>
          <w:p w14:paraId="47E76014" w14:textId="447B47EA"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125DCB51" w14:textId="57876E86"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.150</w:t>
            </w:r>
          </w:p>
        </w:tc>
        <w:tc>
          <w:tcPr>
            <w:tcW w:w="1030" w:type="dxa"/>
            <w:tcBorders>
              <w:top w:val="single" w:sz="6" w:space="0" w:color="auto"/>
              <w:bottom w:val="nil"/>
            </w:tcBorders>
            <w:shd w:val="clear" w:color="auto" w:fill="FFFFFF"/>
            <w:vAlign w:val="center"/>
          </w:tcPr>
          <w:p w14:paraId="334D930E" w14:textId="21978CC0"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.103</w:t>
            </w:r>
          </w:p>
        </w:tc>
        <w:tc>
          <w:tcPr>
            <w:tcW w:w="674" w:type="dxa"/>
            <w:tcBorders>
              <w:top w:val="single" w:sz="6" w:space="0" w:color="auto"/>
              <w:bottom w:val="nil"/>
            </w:tcBorders>
            <w:shd w:val="clear" w:color="auto" w:fill="FFFFFF"/>
            <w:vAlign w:val="center"/>
          </w:tcPr>
          <w:p w14:paraId="420F5581" w14:textId="574D310E"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.748</w:t>
            </w:r>
          </w:p>
        </w:tc>
      </w:tr>
      <w:tr w:rsidR="00FA43BB" w:rsidRPr="00CF31E0" w14:paraId="468E5467" w14:textId="77777777" w:rsidTr="00944CCD">
        <w:trPr>
          <w:cantSplit/>
        </w:trPr>
        <w:tc>
          <w:tcPr>
            <w:tcW w:w="1736" w:type="dxa"/>
            <w:tcBorders>
              <w:top w:val="nil"/>
            </w:tcBorders>
            <w:shd w:val="clear" w:color="auto" w:fill="FFFFFF"/>
          </w:tcPr>
          <w:p w14:paraId="57DEB968"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167BA945" w14:textId="3E9AC10C"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921.428</w:t>
            </w:r>
          </w:p>
        </w:tc>
        <w:tc>
          <w:tcPr>
            <w:tcW w:w="820" w:type="dxa"/>
            <w:tcBorders>
              <w:top w:val="nil"/>
            </w:tcBorders>
            <w:shd w:val="clear" w:color="auto" w:fill="FFFFFF"/>
            <w:vAlign w:val="center"/>
          </w:tcPr>
          <w:p w14:paraId="2119716B" w14:textId="641EFDAD" w:rsidR="00FA43BB"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6820D5EF" w14:textId="4877F568"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1.447</w:t>
            </w:r>
          </w:p>
        </w:tc>
        <w:tc>
          <w:tcPr>
            <w:tcW w:w="1030" w:type="dxa"/>
            <w:tcBorders>
              <w:top w:val="nil"/>
            </w:tcBorders>
            <w:shd w:val="clear" w:color="auto" w:fill="FFFFFF"/>
            <w:vAlign w:val="center"/>
          </w:tcPr>
          <w:p w14:paraId="4EBC1747"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20D5D663"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r>
      <w:tr w:rsidR="00FA43BB" w:rsidRPr="00CF31E0" w14:paraId="16BFC460" w14:textId="77777777" w:rsidTr="00944CCD">
        <w:trPr>
          <w:cantSplit/>
        </w:trPr>
        <w:tc>
          <w:tcPr>
            <w:tcW w:w="1736" w:type="dxa"/>
            <w:shd w:val="clear" w:color="auto" w:fill="FFFFFF"/>
          </w:tcPr>
          <w:p w14:paraId="5D48D559"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E2DA0AE" w14:textId="6C096C31"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921.577</w:t>
            </w:r>
          </w:p>
        </w:tc>
        <w:tc>
          <w:tcPr>
            <w:tcW w:w="820" w:type="dxa"/>
            <w:shd w:val="clear" w:color="auto" w:fill="FFFFFF"/>
            <w:vAlign w:val="center"/>
          </w:tcPr>
          <w:p w14:paraId="477A1BE3" w14:textId="4EF697D4" w:rsidR="00FA43BB"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328CA3CA"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58744B6E"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007EAD02"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r>
    </w:tbl>
    <w:p w14:paraId="55DD5584" w14:textId="77777777" w:rsidR="00FA43BB" w:rsidRPr="00CF31E0" w:rsidRDefault="00FA43BB" w:rsidP="00FA43BB">
      <w:pPr>
        <w:rPr>
          <w:rFonts w:asciiTheme="majorBidi" w:hAnsiTheme="majorBidi" w:cstheme="majorBidi"/>
          <w:b/>
          <w:bCs/>
          <w:color w:val="000000" w:themeColor="text1"/>
        </w:rPr>
      </w:pPr>
    </w:p>
    <w:p w14:paraId="2726889A" w14:textId="77777777" w:rsidR="00FA43BB" w:rsidRPr="00CF31E0" w:rsidRDefault="00FA43BB" w:rsidP="00FA43B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FA43BB" w:rsidRPr="00CF31E0" w14:paraId="00053092" w14:textId="77777777" w:rsidTr="00944CCD">
        <w:trPr>
          <w:cantSplit/>
        </w:trPr>
        <w:tc>
          <w:tcPr>
            <w:tcW w:w="1736" w:type="dxa"/>
            <w:tcBorders>
              <w:top w:val="single" w:sz="8" w:space="0" w:color="auto"/>
              <w:bottom w:val="single" w:sz="6" w:space="0" w:color="auto"/>
            </w:tcBorders>
            <w:shd w:val="clear" w:color="auto" w:fill="FFFFFF"/>
            <w:vAlign w:val="bottom"/>
          </w:tcPr>
          <w:p w14:paraId="0C533D70"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Marital status</w:t>
            </w:r>
          </w:p>
        </w:tc>
        <w:tc>
          <w:tcPr>
            <w:tcW w:w="1686" w:type="dxa"/>
            <w:tcBorders>
              <w:top w:val="single" w:sz="8" w:space="0" w:color="auto"/>
              <w:bottom w:val="single" w:sz="6" w:space="0" w:color="auto"/>
            </w:tcBorders>
            <w:shd w:val="clear" w:color="auto" w:fill="FFFFFF"/>
            <w:vAlign w:val="bottom"/>
          </w:tcPr>
          <w:p w14:paraId="70689BB8"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782ADE39"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F9C1EA1"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434FCBF2"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674FEB5D"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FA43BB" w:rsidRPr="00CF31E0" w14:paraId="409F1FA5" w14:textId="77777777" w:rsidTr="00944CCD">
        <w:trPr>
          <w:cantSplit/>
        </w:trPr>
        <w:tc>
          <w:tcPr>
            <w:tcW w:w="1736" w:type="dxa"/>
            <w:tcBorders>
              <w:top w:val="single" w:sz="6" w:space="0" w:color="auto"/>
              <w:bottom w:val="nil"/>
            </w:tcBorders>
            <w:shd w:val="clear" w:color="auto" w:fill="FFFFFF"/>
          </w:tcPr>
          <w:p w14:paraId="62250616"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41676AE9" w14:textId="766C852F"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2.621</w:t>
            </w:r>
          </w:p>
        </w:tc>
        <w:tc>
          <w:tcPr>
            <w:tcW w:w="820" w:type="dxa"/>
            <w:tcBorders>
              <w:top w:val="single" w:sz="6" w:space="0" w:color="auto"/>
              <w:bottom w:val="nil"/>
            </w:tcBorders>
            <w:shd w:val="clear" w:color="auto" w:fill="FFFFFF"/>
            <w:vAlign w:val="center"/>
          </w:tcPr>
          <w:p w14:paraId="377D4A15" w14:textId="3DA0B5F9"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w:t>
            </w:r>
          </w:p>
        </w:tc>
        <w:tc>
          <w:tcPr>
            <w:tcW w:w="1445" w:type="dxa"/>
            <w:tcBorders>
              <w:top w:val="single" w:sz="6" w:space="0" w:color="auto"/>
              <w:bottom w:val="nil"/>
            </w:tcBorders>
            <w:shd w:val="clear" w:color="auto" w:fill="FFFFFF"/>
            <w:vAlign w:val="center"/>
          </w:tcPr>
          <w:p w14:paraId="5C8FCE82" w14:textId="032E6AD8"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.874</w:t>
            </w:r>
          </w:p>
        </w:tc>
        <w:tc>
          <w:tcPr>
            <w:tcW w:w="1030" w:type="dxa"/>
            <w:tcBorders>
              <w:top w:val="single" w:sz="6" w:space="0" w:color="auto"/>
              <w:bottom w:val="nil"/>
            </w:tcBorders>
            <w:shd w:val="clear" w:color="auto" w:fill="FFFFFF"/>
            <w:vAlign w:val="center"/>
          </w:tcPr>
          <w:p w14:paraId="13F24AFD" w14:textId="05A112E5"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.607</w:t>
            </w:r>
          </w:p>
        </w:tc>
        <w:tc>
          <w:tcPr>
            <w:tcW w:w="674" w:type="dxa"/>
            <w:tcBorders>
              <w:top w:val="single" w:sz="6" w:space="0" w:color="auto"/>
              <w:bottom w:val="nil"/>
            </w:tcBorders>
            <w:shd w:val="clear" w:color="auto" w:fill="FFFFFF"/>
            <w:vAlign w:val="center"/>
          </w:tcPr>
          <w:p w14:paraId="513385C1" w14:textId="36E226D5"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.611</w:t>
            </w:r>
          </w:p>
        </w:tc>
      </w:tr>
      <w:tr w:rsidR="00FA43BB" w:rsidRPr="00CF31E0" w14:paraId="502CB680" w14:textId="77777777" w:rsidTr="00944CCD">
        <w:trPr>
          <w:cantSplit/>
        </w:trPr>
        <w:tc>
          <w:tcPr>
            <w:tcW w:w="1736" w:type="dxa"/>
            <w:tcBorders>
              <w:top w:val="nil"/>
            </w:tcBorders>
            <w:shd w:val="clear" w:color="auto" w:fill="FFFFFF"/>
          </w:tcPr>
          <w:p w14:paraId="338DD150"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62A3B1C4" w14:textId="05E16C48"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928.559</w:t>
            </w:r>
          </w:p>
        </w:tc>
        <w:tc>
          <w:tcPr>
            <w:tcW w:w="820" w:type="dxa"/>
            <w:tcBorders>
              <w:top w:val="nil"/>
            </w:tcBorders>
            <w:shd w:val="clear" w:color="auto" w:fill="FFFFFF"/>
            <w:vAlign w:val="center"/>
          </w:tcPr>
          <w:p w14:paraId="3CE7A5E3" w14:textId="4FC9E66D" w:rsidR="00FA43BB"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646</w:t>
            </w:r>
          </w:p>
        </w:tc>
        <w:tc>
          <w:tcPr>
            <w:tcW w:w="1445" w:type="dxa"/>
            <w:tcBorders>
              <w:top w:val="nil"/>
            </w:tcBorders>
            <w:shd w:val="clear" w:color="auto" w:fill="FFFFFF"/>
            <w:vAlign w:val="center"/>
          </w:tcPr>
          <w:p w14:paraId="1DD3CEB5" w14:textId="248688E4"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1.440</w:t>
            </w:r>
          </w:p>
        </w:tc>
        <w:tc>
          <w:tcPr>
            <w:tcW w:w="1030" w:type="dxa"/>
            <w:tcBorders>
              <w:top w:val="nil"/>
            </w:tcBorders>
            <w:shd w:val="clear" w:color="auto" w:fill="FFFFFF"/>
            <w:vAlign w:val="center"/>
          </w:tcPr>
          <w:p w14:paraId="61ADB60A"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602D97FD"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r>
      <w:tr w:rsidR="00FA43BB" w:rsidRPr="00CF31E0" w14:paraId="484BE3FB" w14:textId="77777777" w:rsidTr="00944CCD">
        <w:trPr>
          <w:cantSplit/>
        </w:trPr>
        <w:tc>
          <w:tcPr>
            <w:tcW w:w="1736" w:type="dxa"/>
            <w:shd w:val="clear" w:color="auto" w:fill="FFFFFF"/>
          </w:tcPr>
          <w:p w14:paraId="5E62346D"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88210F6" w14:textId="6A88D412"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931.180</w:t>
            </w:r>
          </w:p>
        </w:tc>
        <w:tc>
          <w:tcPr>
            <w:tcW w:w="820" w:type="dxa"/>
            <w:shd w:val="clear" w:color="auto" w:fill="FFFFFF"/>
            <w:vAlign w:val="center"/>
          </w:tcPr>
          <w:p w14:paraId="30D1A5A1" w14:textId="00FF40BF" w:rsidR="00FA43BB"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75CBD97E"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2863A5F8"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11E2E3DA"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r>
    </w:tbl>
    <w:p w14:paraId="22760075" w14:textId="77777777" w:rsidR="00FA43BB" w:rsidRPr="00CF31E0" w:rsidRDefault="00FA43BB" w:rsidP="00FA43BB">
      <w:pPr>
        <w:rPr>
          <w:rFonts w:asciiTheme="majorBidi" w:hAnsiTheme="majorBidi" w:cstheme="majorBidi"/>
          <w:b/>
          <w:bCs/>
          <w:color w:val="000000" w:themeColor="text1"/>
        </w:rPr>
      </w:pPr>
    </w:p>
    <w:p w14:paraId="23FC4E0A" w14:textId="77777777" w:rsidR="00FA43BB" w:rsidRPr="00CF31E0" w:rsidRDefault="00FA43BB" w:rsidP="00FA43B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FA43BB" w:rsidRPr="00CF31E0" w14:paraId="7E655876" w14:textId="77777777" w:rsidTr="00944CCD">
        <w:trPr>
          <w:cantSplit/>
        </w:trPr>
        <w:tc>
          <w:tcPr>
            <w:tcW w:w="1736" w:type="dxa"/>
            <w:tcBorders>
              <w:top w:val="single" w:sz="8" w:space="0" w:color="auto"/>
              <w:bottom w:val="single" w:sz="6" w:space="0" w:color="auto"/>
            </w:tcBorders>
            <w:shd w:val="clear" w:color="auto" w:fill="FFFFFF"/>
            <w:vAlign w:val="bottom"/>
          </w:tcPr>
          <w:p w14:paraId="214A9EB1"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Education</w:t>
            </w:r>
          </w:p>
        </w:tc>
        <w:tc>
          <w:tcPr>
            <w:tcW w:w="1686" w:type="dxa"/>
            <w:tcBorders>
              <w:top w:val="single" w:sz="8" w:space="0" w:color="auto"/>
              <w:bottom w:val="single" w:sz="6" w:space="0" w:color="auto"/>
            </w:tcBorders>
            <w:shd w:val="clear" w:color="auto" w:fill="FFFFFF"/>
            <w:vAlign w:val="bottom"/>
          </w:tcPr>
          <w:p w14:paraId="46B6A399"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67AF005E"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3FAE038B"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11CACCD5"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2C20B8FC"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FA43BB" w:rsidRPr="00CF31E0" w14:paraId="54A00919" w14:textId="77777777" w:rsidTr="00944CCD">
        <w:trPr>
          <w:cantSplit/>
        </w:trPr>
        <w:tc>
          <w:tcPr>
            <w:tcW w:w="1736" w:type="dxa"/>
            <w:tcBorders>
              <w:top w:val="single" w:sz="6" w:space="0" w:color="auto"/>
              <w:bottom w:val="nil"/>
            </w:tcBorders>
            <w:shd w:val="clear" w:color="auto" w:fill="FFFFFF"/>
          </w:tcPr>
          <w:p w14:paraId="10FF9A8F"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38D924CF" w14:textId="431583F4"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5.738</w:t>
            </w:r>
          </w:p>
        </w:tc>
        <w:tc>
          <w:tcPr>
            <w:tcW w:w="820" w:type="dxa"/>
            <w:tcBorders>
              <w:top w:val="single" w:sz="6" w:space="0" w:color="auto"/>
              <w:bottom w:val="nil"/>
            </w:tcBorders>
            <w:shd w:val="clear" w:color="auto" w:fill="FFFFFF"/>
            <w:vAlign w:val="center"/>
          </w:tcPr>
          <w:p w14:paraId="7D65F043" w14:textId="1AFC8DC8"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w:t>
            </w:r>
          </w:p>
        </w:tc>
        <w:tc>
          <w:tcPr>
            <w:tcW w:w="1445" w:type="dxa"/>
            <w:tcBorders>
              <w:top w:val="single" w:sz="6" w:space="0" w:color="auto"/>
              <w:bottom w:val="nil"/>
            </w:tcBorders>
            <w:shd w:val="clear" w:color="auto" w:fill="FFFFFF"/>
            <w:vAlign w:val="center"/>
          </w:tcPr>
          <w:p w14:paraId="4ABF3D17" w14:textId="2A1E9141"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1.148</w:t>
            </w:r>
          </w:p>
        </w:tc>
        <w:tc>
          <w:tcPr>
            <w:tcW w:w="1030" w:type="dxa"/>
            <w:tcBorders>
              <w:top w:val="single" w:sz="6" w:space="0" w:color="auto"/>
              <w:bottom w:val="nil"/>
            </w:tcBorders>
            <w:shd w:val="clear" w:color="auto" w:fill="FFFFFF"/>
            <w:vAlign w:val="center"/>
          </w:tcPr>
          <w:p w14:paraId="259773D9" w14:textId="1AB676C3"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.797</w:t>
            </w:r>
          </w:p>
        </w:tc>
        <w:tc>
          <w:tcPr>
            <w:tcW w:w="674" w:type="dxa"/>
            <w:tcBorders>
              <w:top w:val="single" w:sz="6" w:space="0" w:color="auto"/>
              <w:bottom w:val="nil"/>
            </w:tcBorders>
            <w:shd w:val="clear" w:color="auto" w:fill="FFFFFF"/>
            <w:vAlign w:val="center"/>
          </w:tcPr>
          <w:p w14:paraId="3E44132A" w14:textId="6AA55821"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.552</w:t>
            </w:r>
          </w:p>
        </w:tc>
      </w:tr>
      <w:tr w:rsidR="00FA43BB" w:rsidRPr="00CF31E0" w14:paraId="01D9DD8A" w14:textId="77777777" w:rsidTr="00944CCD">
        <w:trPr>
          <w:cantSplit/>
        </w:trPr>
        <w:tc>
          <w:tcPr>
            <w:tcW w:w="1736" w:type="dxa"/>
            <w:tcBorders>
              <w:top w:val="nil"/>
            </w:tcBorders>
            <w:shd w:val="clear" w:color="auto" w:fill="FFFFFF"/>
          </w:tcPr>
          <w:p w14:paraId="1A89F1EE"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3912F5E1" w14:textId="0F6EF590"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925.442</w:t>
            </w:r>
          </w:p>
        </w:tc>
        <w:tc>
          <w:tcPr>
            <w:tcW w:w="820" w:type="dxa"/>
            <w:tcBorders>
              <w:top w:val="nil"/>
            </w:tcBorders>
            <w:shd w:val="clear" w:color="auto" w:fill="FFFFFF"/>
            <w:vAlign w:val="center"/>
          </w:tcPr>
          <w:p w14:paraId="276F77FB" w14:textId="1437C66B" w:rsidR="00FA43BB"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644</w:t>
            </w:r>
          </w:p>
        </w:tc>
        <w:tc>
          <w:tcPr>
            <w:tcW w:w="1445" w:type="dxa"/>
            <w:tcBorders>
              <w:top w:val="nil"/>
            </w:tcBorders>
            <w:shd w:val="clear" w:color="auto" w:fill="FFFFFF"/>
            <w:vAlign w:val="center"/>
          </w:tcPr>
          <w:p w14:paraId="7A5A9758" w14:textId="13A05DAB"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1.439</w:t>
            </w:r>
          </w:p>
        </w:tc>
        <w:tc>
          <w:tcPr>
            <w:tcW w:w="1030" w:type="dxa"/>
            <w:tcBorders>
              <w:top w:val="nil"/>
            </w:tcBorders>
            <w:shd w:val="clear" w:color="auto" w:fill="FFFFFF"/>
            <w:vAlign w:val="center"/>
          </w:tcPr>
          <w:p w14:paraId="006D0FE5"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73078082"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r>
      <w:tr w:rsidR="00FA43BB" w:rsidRPr="00CF31E0" w14:paraId="1A58192F" w14:textId="77777777" w:rsidTr="00944CCD">
        <w:trPr>
          <w:cantSplit/>
        </w:trPr>
        <w:tc>
          <w:tcPr>
            <w:tcW w:w="1736" w:type="dxa"/>
            <w:shd w:val="clear" w:color="auto" w:fill="FFFFFF"/>
          </w:tcPr>
          <w:p w14:paraId="1E149BC6"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17A8CDF5" w14:textId="5B1BD26C"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931.180</w:t>
            </w:r>
          </w:p>
        </w:tc>
        <w:tc>
          <w:tcPr>
            <w:tcW w:w="820" w:type="dxa"/>
            <w:shd w:val="clear" w:color="auto" w:fill="FFFFFF"/>
            <w:vAlign w:val="center"/>
          </w:tcPr>
          <w:p w14:paraId="41F1DE03" w14:textId="6EAEBE39" w:rsidR="00FA43BB"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76DEE0CB"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5F62C56E"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6B3CE633"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r>
    </w:tbl>
    <w:p w14:paraId="60C3D875" w14:textId="77777777" w:rsidR="00FA43BB" w:rsidRPr="00CF31E0" w:rsidRDefault="00FA43BB" w:rsidP="00D07B44">
      <w:pPr>
        <w:rPr>
          <w:rFonts w:asciiTheme="majorBidi" w:hAnsiTheme="majorBidi" w:cstheme="majorBidi"/>
          <w:b/>
          <w:bCs/>
          <w:color w:val="000000" w:themeColor="text1"/>
        </w:rPr>
      </w:pPr>
    </w:p>
    <w:p w14:paraId="7A1B7058" w14:textId="77777777" w:rsidR="00FA43BB" w:rsidRPr="00CF31E0" w:rsidRDefault="00FA43BB" w:rsidP="00D07B44">
      <w:pPr>
        <w:rPr>
          <w:rFonts w:asciiTheme="majorBidi" w:hAnsiTheme="majorBidi" w:cstheme="majorBidi"/>
          <w:b/>
          <w:bCs/>
          <w:color w:val="000000" w:themeColor="text1"/>
        </w:rPr>
      </w:pPr>
    </w:p>
    <w:p w14:paraId="02550CEF" w14:textId="77777777" w:rsidR="00FA43BB" w:rsidRPr="00CF31E0" w:rsidRDefault="00FA43BB" w:rsidP="00D07B44">
      <w:pPr>
        <w:rPr>
          <w:rFonts w:asciiTheme="majorBidi" w:hAnsiTheme="majorBidi" w:cstheme="majorBidi"/>
          <w:b/>
          <w:bCs/>
          <w:color w:val="000000" w:themeColor="text1"/>
        </w:rPr>
      </w:pPr>
    </w:p>
    <w:p w14:paraId="56498DF9" w14:textId="77777777" w:rsidR="00FA43BB" w:rsidRPr="00CF31E0" w:rsidRDefault="00FA43BB" w:rsidP="00D07B44">
      <w:pPr>
        <w:rPr>
          <w:rFonts w:asciiTheme="majorBidi" w:hAnsiTheme="majorBidi" w:cstheme="majorBidi"/>
          <w:b/>
          <w:bCs/>
          <w:color w:val="000000" w:themeColor="text1"/>
        </w:rPr>
      </w:pPr>
    </w:p>
    <w:p w14:paraId="09DEE3EF" w14:textId="77777777" w:rsidR="00FA43BB" w:rsidRPr="00CF31E0" w:rsidRDefault="00FA43BB" w:rsidP="00D07B44">
      <w:pPr>
        <w:rPr>
          <w:rFonts w:asciiTheme="majorBidi" w:hAnsiTheme="majorBidi" w:cstheme="majorBidi"/>
          <w:b/>
          <w:bCs/>
          <w:color w:val="000000" w:themeColor="text1"/>
        </w:rPr>
      </w:pPr>
    </w:p>
    <w:p w14:paraId="3491DD5C" w14:textId="77777777" w:rsidR="00FA43BB" w:rsidRPr="00CF31E0" w:rsidRDefault="00FA43BB" w:rsidP="00D07B44">
      <w:pPr>
        <w:rPr>
          <w:rFonts w:asciiTheme="majorBidi" w:hAnsiTheme="majorBidi" w:cstheme="majorBidi"/>
          <w:b/>
          <w:bCs/>
          <w:color w:val="000000" w:themeColor="text1"/>
        </w:rPr>
      </w:pPr>
    </w:p>
    <w:p w14:paraId="26857BFE" w14:textId="77777777" w:rsidR="00FA43BB" w:rsidRPr="00CF31E0" w:rsidRDefault="00FA43BB" w:rsidP="00D07B44">
      <w:pPr>
        <w:rPr>
          <w:rFonts w:asciiTheme="majorBidi" w:hAnsiTheme="majorBidi" w:cstheme="majorBidi"/>
          <w:b/>
          <w:bCs/>
          <w:color w:val="000000" w:themeColor="text1"/>
        </w:rPr>
      </w:pPr>
    </w:p>
    <w:p w14:paraId="28DB3A56" w14:textId="72A4D6B9" w:rsidR="00FA43BB" w:rsidRPr="00CF31E0" w:rsidRDefault="00FA43BB" w:rsidP="00FA43BB">
      <w:pPr>
        <w:pStyle w:val="ListParagraph"/>
        <w:numPr>
          <w:ilvl w:val="0"/>
          <w:numId w:val="71"/>
        </w:numPr>
        <w:rPr>
          <w:rFonts w:asciiTheme="majorBidi" w:hAnsiTheme="majorBidi" w:cstheme="majorBidi"/>
          <w:b/>
          <w:bCs/>
          <w:color w:val="000000" w:themeColor="text1"/>
          <w:sz w:val="28"/>
          <w:szCs w:val="28"/>
        </w:rPr>
      </w:pPr>
      <w:r w:rsidRPr="00CF31E0">
        <w:rPr>
          <w:rFonts w:asciiTheme="majorBidi" w:hAnsiTheme="majorBidi" w:cstheme="majorBidi"/>
          <w:b/>
          <w:bCs/>
          <w:color w:val="000000" w:themeColor="text1"/>
          <w:sz w:val="28"/>
          <w:szCs w:val="28"/>
        </w:rPr>
        <w:lastRenderedPageBreak/>
        <w:t>Modern scale</w:t>
      </w:r>
    </w:p>
    <w:p w14:paraId="7D59C5B6" w14:textId="77777777" w:rsidR="00FA43BB" w:rsidRPr="00CF31E0" w:rsidRDefault="00FA43BB" w:rsidP="00FA43B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FA43BB" w:rsidRPr="00CF31E0" w14:paraId="6ACE8C2A" w14:textId="77777777" w:rsidTr="00944CCD">
        <w:trPr>
          <w:cantSplit/>
        </w:trPr>
        <w:tc>
          <w:tcPr>
            <w:tcW w:w="1736" w:type="dxa"/>
            <w:tcBorders>
              <w:top w:val="single" w:sz="8" w:space="0" w:color="auto"/>
              <w:bottom w:val="single" w:sz="6" w:space="0" w:color="auto"/>
            </w:tcBorders>
            <w:shd w:val="clear" w:color="auto" w:fill="FFFFFF"/>
            <w:vAlign w:val="bottom"/>
          </w:tcPr>
          <w:p w14:paraId="7802DA77"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Gender</w:t>
            </w:r>
          </w:p>
        </w:tc>
        <w:tc>
          <w:tcPr>
            <w:tcW w:w="1686" w:type="dxa"/>
            <w:tcBorders>
              <w:top w:val="single" w:sz="8" w:space="0" w:color="auto"/>
              <w:bottom w:val="single" w:sz="6" w:space="0" w:color="auto"/>
            </w:tcBorders>
            <w:shd w:val="clear" w:color="auto" w:fill="FFFFFF"/>
            <w:vAlign w:val="bottom"/>
          </w:tcPr>
          <w:p w14:paraId="2083F11B"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00C5659D"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2FD7F27B"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0A7E263D"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248DB111"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FA43BB" w:rsidRPr="00CF31E0" w14:paraId="69167D8E" w14:textId="77777777" w:rsidTr="00944CCD">
        <w:trPr>
          <w:cantSplit/>
        </w:trPr>
        <w:tc>
          <w:tcPr>
            <w:tcW w:w="1736" w:type="dxa"/>
            <w:tcBorders>
              <w:top w:val="single" w:sz="6" w:space="0" w:color="auto"/>
              <w:bottom w:val="nil"/>
            </w:tcBorders>
            <w:shd w:val="clear" w:color="auto" w:fill="FFFFFF"/>
          </w:tcPr>
          <w:p w14:paraId="10E4052F"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16A796BF" w14:textId="2B982BBF"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.526</w:t>
            </w:r>
          </w:p>
        </w:tc>
        <w:tc>
          <w:tcPr>
            <w:tcW w:w="820" w:type="dxa"/>
            <w:tcBorders>
              <w:top w:val="single" w:sz="6" w:space="0" w:color="auto"/>
              <w:bottom w:val="nil"/>
            </w:tcBorders>
            <w:shd w:val="clear" w:color="auto" w:fill="FFFFFF"/>
            <w:vAlign w:val="center"/>
          </w:tcPr>
          <w:p w14:paraId="364ED97B" w14:textId="473B876A"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09FA1117" w14:textId="54D150DC"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.526</w:t>
            </w:r>
          </w:p>
        </w:tc>
        <w:tc>
          <w:tcPr>
            <w:tcW w:w="1030" w:type="dxa"/>
            <w:tcBorders>
              <w:top w:val="single" w:sz="6" w:space="0" w:color="auto"/>
              <w:bottom w:val="nil"/>
            </w:tcBorders>
            <w:shd w:val="clear" w:color="auto" w:fill="FFFFFF"/>
            <w:vAlign w:val="center"/>
          </w:tcPr>
          <w:p w14:paraId="596E44D2" w14:textId="1BDA5DDF"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.372</w:t>
            </w:r>
          </w:p>
        </w:tc>
        <w:tc>
          <w:tcPr>
            <w:tcW w:w="674" w:type="dxa"/>
            <w:tcBorders>
              <w:top w:val="single" w:sz="6" w:space="0" w:color="auto"/>
              <w:bottom w:val="nil"/>
            </w:tcBorders>
            <w:shd w:val="clear" w:color="auto" w:fill="FFFFFF"/>
            <w:vAlign w:val="center"/>
          </w:tcPr>
          <w:p w14:paraId="7652FF3B" w14:textId="4DBADDB3"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.542</w:t>
            </w:r>
          </w:p>
        </w:tc>
      </w:tr>
      <w:tr w:rsidR="00FA43BB" w:rsidRPr="00CF31E0" w14:paraId="47D0320E" w14:textId="77777777" w:rsidTr="00944CCD">
        <w:trPr>
          <w:cantSplit/>
        </w:trPr>
        <w:tc>
          <w:tcPr>
            <w:tcW w:w="1736" w:type="dxa"/>
            <w:tcBorders>
              <w:top w:val="nil"/>
            </w:tcBorders>
            <w:shd w:val="clear" w:color="auto" w:fill="FFFFFF"/>
          </w:tcPr>
          <w:p w14:paraId="1EDBABD8"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6C5C4F96" w14:textId="3C6D5268"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914.494</w:t>
            </w:r>
          </w:p>
        </w:tc>
        <w:tc>
          <w:tcPr>
            <w:tcW w:w="820" w:type="dxa"/>
            <w:tcBorders>
              <w:top w:val="nil"/>
            </w:tcBorders>
            <w:shd w:val="clear" w:color="auto" w:fill="FFFFFF"/>
            <w:vAlign w:val="center"/>
          </w:tcPr>
          <w:p w14:paraId="2C6630B1" w14:textId="018BCE34" w:rsidR="00FA43BB"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6766D23C" w14:textId="7BEB89F9"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1.413</w:t>
            </w:r>
          </w:p>
        </w:tc>
        <w:tc>
          <w:tcPr>
            <w:tcW w:w="1030" w:type="dxa"/>
            <w:tcBorders>
              <w:top w:val="nil"/>
            </w:tcBorders>
            <w:shd w:val="clear" w:color="auto" w:fill="FFFFFF"/>
            <w:vAlign w:val="center"/>
          </w:tcPr>
          <w:p w14:paraId="6E9C4320"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7BC82213"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r>
      <w:tr w:rsidR="00FA43BB" w:rsidRPr="00CF31E0" w14:paraId="3E82FEDA" w14:textId="77777777" w:rsidTr="00944CCD">
        <w:trPr>
          <w:cantSplit/>
        </w:trPr>
        <w:tc>
          <w:tcPr>
            <w:tcW w:w="1736" w:type="dxa"/>
            <w:shd w:val="clear" w:color="auto" w:fill="FFFFFF"/>
          </w:tcPr>
          <w:p w14:paraId="191D265E"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0E55B17A" w14:textId="594A1E32"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915.020</w:t>
            </w:r>
          </w:p>
        </w:tc>
        <w:tc>
          <w:tcPr>
            <w:tcW w:w="820" w:type="dxa"/>
            <w:shd w:val="clear" w:color="auto" w:fill="FFFFFF"/>
            <w:vAlign w:val="center"/>
          </w:tcPr>
          <w:p w14:paraId="08865A2F" w14:textId="7B0E100D" w:rsidR="00FA43BB"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253E6DC8"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670647AD"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76F8B6A0"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r>
    </w:tbl>
    <w:p w14:paraId="4277CC3C" w14:textId="77777777" w:rsidR="00FA43BB" w:rsidRPr="00CF31E0" w:rsidRDefault="00FA43BB" w:rsidP="00FA43BB">
      <w:pPr>
        <w:rPr>
          <w:rFonts w:asciiTheme="majorBidi" w:hAnsiTheme="majorBidi" w:cstheme="majorBidi"/>
          <w:b/>
          <w:bCs/>
          <w:color w:val="000000" w:themeColor="text1"/>
        </w:rPr>
      </w:pPr>
    </w:p>
    <w:p w14:paraId="08E2E7E0" w14:textId="77777777" w:rsidR="00FA43BB" w:rsidRPr="00CF31E0" w:rsidRDefault="00FA43BB" w:rsidP="00FA43B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FA43BB" w:rsidRPr="00CF31E0" w14:paraId="01A069DB" w14:textId="77777777" w:rsidTr="00944CCD">
        <w:trPr>
          <w:cantSplit/>
        </w:trPr>
        <w:tc>
          <w:tcPr>
            <w:tcW w:w="1736" w:type="dxa"/>
            <w:tcBorders>
              <w:top w:val="single" w:sz="8" w:space="0" w:color="auto"/>
              <w:bottom w:val="single" w:sz="6" w:space="0" w:color="auto"/>
            </w:tcBorders>
            <w:shd w:val="clear" w:color="auto" w:fill="FFFFFF"/>
            <w:vAlign w:val="bottom"/>
          </w:tcPr>
          <w:p w14:paraId="03E63A32"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Age</w:t>
            </w:r>
          </w:p>
        </w:tc>
        <w:tc>
          <w:tcPr>
            <w:tcW w:w="1686" w:type="dxa"/>
            <w:tcBorders>
              <w:top w:val="single" w:sz="8" w:space="0" w:color="auto"/>
              <w:bottom w:val="single" w:sz="6" w:space="0" w:color="auto"/>
            </w:tcBorders>
            <w:shd w:val="clear" w:color="auto" w:fill="FFFFFF"/>
            <w:vAlign w:val="bottom"/>
          </w:tcPr>
          <w:p w14:paraId="32533E05"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3E7F25F3"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2EDFB6D7"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7762E98"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6BE66AE9"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FA43BB" w:rsidRPr="00CF31E0" w14:paraId="341CB6A5" w14:textId="77777777" w:rsidTr="00944CCD">
        <w:trPr>
          <w:cantSplit/>
        </w:trPr>
        <w:tc>
          <w:tcPr>
            <w:tcW w:w="1736" w:type="dxa"/>
            <w:tcBorders>
              <w:top w:val="single" w:sz="6" w:space="0" w:color="auto"/>
              <w:bottom w:val="nil"/>
            </w:tcBorders>
            <w:shd w:val="clear" w:color="auto" w:fill="FFFFFF"/>
          </w:tcPr>
          <w:p w14:paraId="020997C2"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450F8C80" w14:textId="304DB6DB"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2.447</w:t>
            </w:r>
          </w:p>
        </w:tc>
        <w:tc>
          <w:tcPr>
            <w:tcW w:w="820" w:type="dxa"/>
            <w:tcBorders>
              <w:top w:val="single" w:sz="6" w:space="0" w:color="auto"/>
              <w:bottom w:val="nil"/>
            </w:tcBorders>
            <w:shd w:val="clear" w:color="auto" w:fill="FFFFFF"/>
            <w:vAlign w:val="center"/>
          </w:tcPr>
          <w:p w14:paraId="008DD11F" w14:textId="5890FE90"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w:t>
            </w:r>
          </w:p>
        </w:tc>
        <w:tc>
          <w:tcPr>
            <w:tcW w:w="1445" w:type="dxa"/>
            <w:tcBorders>
              <w:top w:val="single" w:sz="6" w:space="0" w:color="auto"/>
              <w:bottom w:val="nil"/>
            </w:tcBorders>
            <w:shd w:val="clear" w:color="auto" w:fill="FFFFFF"/>
            <w:vAlign w:val="center"/>
          </w:tcPr>
          <w:p w14:paraId="5B9C497C" w14:textId="2A65AC6B"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.489</w:t>
            </w:r>
          </w:p>
        </w:tc>
        <w:tc>
          <w:tcPr>
            <w:tcW w:w="1030" w:type="dxa"/>
            <w:tcBorders>
              <w:top w:val="single" w:sz="6" w:space="0" w:color="auto"/>
              <w:bottom w:val="nil"/>
            </w:tcBorders>
            <w:shd w:val="clear" w:color="auto" w:fill="FFFFFF"/>
            <w:vAlign w:val="center"/>
          </w:tcPr>
          <w:p w14:paraId="15BBEEDF" w14:textId="6AE5AA9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.346</w:t>
            </w:r>
          </w:p>
        </w:tc>
        <w:tc>
          <w:tcPr>
            <w:tcW w:w="674" w:type="dxa"/>
            <w:tcBorders>
              <w:top w:val="single" w:sz="6" w:space="0" w:color="auto"/>
              <w:bottom w:val="nil"/>
            </w:tcBorders>
            <w:shd w:val="clear" w:color="auto" w:fill="FFFFFF"/>
            <w:vAlign w:val="center"/>
          </w:tcPr>
          <w:p w14:paraId="65C79143" w14:textId="11904116"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.885</w:t>
            </w:r>
          </w:p>
        </w:tc>
      </w:tr>
      <w:tr w:rsidR="00FA43BB" w:rsidRPr="00CF31E0" w14:paraId="6EF96F9E" w14:textId="77777777" w:rsidTr="00944CCD">
        <w:trPr>
          <w:cantSplit/>
        </w:trPr>
        <w:tc>
          <w:tcPr>
            <w:tcW w:w="1736" w:type="dxa"/>
            <w:tcBorders>
              <w:top w:val="nil"/>
            </w:tcBorders>
            <w:shd w:val="clear" w:color="auto" w:fill="FFFFFF"/>
          </w:tcPr>
          <w:p w14:paraId="4C97A2B8"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704A5152" w14:textId="176D6BC3"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907.402</w:t>
            </w:r>
          </w:p>
        </w:tc>
        <w:tc>
          <w:tcPr>
            <w:tcW w:w="820" w:type="dxa"/>
            <w:tcBorders>
              <w:top w:val="nil"/>
            </w:tcBorders>
            <w:shd w:val="clear" w:color="auto" w:fill="FFFFFF"/>
            <w:vAlign w:val="center"/>
          </w:tcPr>
          <w:p w14:paraId="6E1EA6E1" w14:textId="56E05DA6" w:rsidR="00FA43BB"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644</w:t>
            </w:r>
          </w:p>
        </w:tc>
        <w:tc>
          <w:tcPr>
            <w:tcW w:w="1445" w:type="dxa"/>
            <w:tcBorders>
              <w:top w:val="nil"/>
            </w:tcBorders>
            <w:shd w:val="clear" w:color="auto" w:fill="FFFFFF"/>
            <w:vAlign w:val="center"/>
          </w:tcPr>
          <w:p w14:paraId="28F4FBC1" w14:textId="061E907B"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1.416</w:t>
            </w:r>
          </w:p>
        </w:tc>
        <w:tc>
          <w:tcPr>
            <w:tcW w:w="1030" w:type="dxa"/>
            <w:tcBorders>
              <w:top w:val="nil"/>
            </w:tcBorders>
            <w:shd w:val="clear" w:color="auto" w:fill="FFFFFF"/>
            <w:vAlign w:val="center"/>
          </w:tcPr>
          <w:p w14:paraId="596AD1E2"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7202C2D6"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r>
      <w:tr w:rsidR="00FA43BB" w:rsidRPr="00CF31E0" w14:paraId="2691BBB4" w14:textId="77777777" w:rsidTr="00944CCD">
        <w:trPr>
          <w:cantSplit/>
        </w:trPr>
        <w:tc>
          <w:tcPr>
            <w:tcW w:w="1736" w:type="dxa"/>
            <w:shd w:val="clear" w:color="auto" w:fill="FFFFFF"/>
          </w:tcPr>
          <w:p w14:paraId="723C058B"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03AD9D29" w14:textId="63E5733E"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909.849</w:t>
            </w:r>
          </w:p>
        </w:tc>
        <w:tc>
          <w:tcPr>
            <w:tcW w:w="820" w:type="dxa"/>
            <w:shd w:val="clear" w:color="auto" w:fill="FFFFFF"/>
            <w:vAlign w:val="center"/>
          </w:tcPr>
          <w:p w14:paraId="3672E485" w14:textId="7A2F0B66" w:rsidR="00FA43BB"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70B585C0"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7ED902DE"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6650030B"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r>
    </w:tbl>
    <w:p w14:paraId="3FDAA1C9" w14:textId="77777777" w:rsidR="00FA43BB" w:rsidRPr="00CF31E0" w:rsidRDefault="00FA43BB" w:rsidP="00FA43B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FA43BB" w:rsidRPr="00CF31E0" w14:paraId="33D1B56A" w14:textId="77777777" w:rsidTr="00944CCD">
        <w:trPr>
          <w:cantSplit/>
        </w:trPr>
        <w:tc>
          <w:tcPr>
            <w:tcW w:w="1736" w:type="dxa"/>
            <w:tcBorders>
              <w:top w:val="single" w:sz="8" w:space="0" w:color="auto"/>
              <w:bottom w:val="single" w:sz="6" w:space="0" w:color="auto"/>
            </w:tcBorders>
            <w:shd w:val="clear" w:color="auto" w:fill="FFFFFF"/>
            <w:vAlign w:val="bottom"/>
          </w:tcPr>
          <w:p w14:paraId="417D7B1B" w14:textId="57BF337C"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Marital status</w:t>
            </w:r>
          </w:p>
        </w:tc>
        <w:tc>
          <w:tcPr>
            <w:tcW w:w="1686" w:type="dxa"/>
            <w:tcBorders>
              <w:top w:val="single" w:sz="8" w:space="0" w:color="auto"/>
              <w:bottom w:val="single" w:sz="6" w:space="0" w:color="auto"/>
            </w:tcBorders>
            <w:shd w:val="clear" w:color="auto" w:fill="FFFFFF"/>
            <w:vAlign w:val="bottom"/>
          </w:tcPr>
          <w:p w14:paraId="05E8818B"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43BE76F4"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7CE65716"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2BA7EF23"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648DED33"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FA43BB" w:rsidRPr="00CF31E0" w14:paraId="18657849" w14:textId="77777777" w:rsidTr="00944CCD">
        <w:trPr>
          <w:cantSplit/>
        </w:trPr>
        <w:tc>
          <w:tcPr>
            <w:tcW w:w="1736" w:type="dxa"/>
            <w:tcBorders>
              <w:top w:val="single" w:sz="6" w:space="0" w:color="auto"/>
              <w:bottom w:val="nil"/>
            </w:tcBorders>
            <w:shd w:val="clear" w:color="auto" w:fill="FFFFFF"/>
          </w:tcPr>
          <w:p w14:paraId="0F296EF7"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4392A9D6" w14:textId="5C435B69"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2.019</w:t>
            </w:r>
          </w:p>
        </w:tc>
        <w:tc>
          <w:tcPr>
            <w:tcW w:w="820" w:type="dxa"/>
            <w:tcBorders>
              <w:top w:val="single" w:sz="6" w:space="0" w:color="auto"/>
              <w:bottom w:val="nil"/>
            </w:tcBorders>
            <w:shd w:val="clear" w:color="auto" w:fill="FFFFFF"/>
            <w:vAlign w:val="center"/>
          </w:tcPr>
          <w:p w14:paraId="6C8A41BE" w14:textId="451A0E52"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w:t>
            </w:r>
          </w:p>
        </w:tc>
        <w:tc>
          <w:tcPr>
            <w:tcW w:w="1445" w:type="dxa"/>
            <w:tcBorders>
              <w:top w:val="single" w:sz="6" w:space="0" w:color="auto"/>
              <w:bottom w:val="nil"/>
            </w:tcBorders>
            <w:shd w:val="clear" w:color="auto" w:fill="FFFFFF"/>
            <w:vAlign w:val="center"/>
          </w:tcPr>
          <w:p w14:paraId="0F090F69" w14:textId="1C387EB3"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.673</w:t>
            </w:r>
          </w:p>
        </w:tc>
        <w:tc>
          <w:tcPr>
            <w:tcW w:w="1030" w:type="dxa"/>
            <w:tcBorders>
              <w:top w:val="single" w:sz="6" w:space="0" w:color="auto"/>
              <w:bottom w:val="nil"/>
            </w:tcBorders>
            <w:shd w:val="clear" w:color="auto" w:fill="FFFFFF"/>
            <w:vAlign w:val="center"/>
          </w:tcPr>
          <w:p w14:paraId="69A0EC82" w14:textId="38DA1ED8"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.476</w:t>
            </w:r>
          </w:p>
        </w:tc>
        <w:tc>
          <w:tcPr>
            <w:tcW w:w="674" w:type="dxa"/>
            <w:tcBorders>
              <w:top w:val="single" w:sz="6" w:space="0" w:color="auto"/>
              <w:bottom w:val="nil"/>
            </w:tcBorders>
            <w:shd w:val="clear" w:color="auto" w:fill="FFFFFF"/>
            <w:vAlign w:val="center"/>
          </w:tcPr>
          <w:p w14:paraId="5D9E2E5C" w14:textId="3A71FA15"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.699</w:t>
            </w:r>
          </w:p>
        </w:tc>
      </w:tr>
      <w:tr w:rsidR="00FA43BB" w:rsidRPr="00CF31E0" w14:paraId="60A5D311" w14:textId="77777777" w:rsidTr="00944CCD">
        <w:trPr>
          <w:cantSplit/>
        </w:trPr>
        <w:tc>
          <w:tcPr>
            <w:tcW w:w="1736" w:type="dxa"/>
            <w:tcBorders>
              <w:top w:val="nil"/>
            </w:tcBorders>
            <w:shd w:val="clear" w:color="auto" w:fill="FFFFFF"/>
          </w:tcPr>
          <w:p w14:paraId="07C43B79"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0E2A5838" w14:textId="608CA69B"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913.001</w:t>
            </w:r>
          </w:p>
        </w:tc>
        <w:tc>
          <w:tcPr>
            <w:tcW w:w="820" w:type="dxa"/>
            <w:tcBorders>
              <w:top w:val="nil"/>
            </w:tcBorders>
            <w:shd w:val="clear" w:color="auto" w:fill="FFFFFF"/>
            <w:vAlign w:val="center"/>
          </w:tcPr>
          <w:p w14:paraId="098705DC" w14:textId="78EB20CC" w:rsidR="00FA43BB"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646</w:t>
            </w:r>
          </w:p>
        </w:tc>
        <w:tc>
          <w:tcPr>
            <w:tcW w:w="1445" w:type="dxa"/>
            <w:tcBorders>
              <w:top w:val="nil"/>
            </w:tcBorders>
            <w:shd w:val="clear" w:color="auto" w:fill="FFFFFF"/>
            <w:vAlign w:val="center"/>
          </w:tcPr>
          <w:p w14:paraId="1BF86E2A" w14:textId="7550BAE0"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1.416</w:t>
            </w:r>
          </w:p>
        </w:tc>
        <w:tc>
          <w:tcPr>
            <w:tcW w:w="1030" w:type="dxa"/>
            <w:tcBorders>
              <w:top w:val="nil"/>
            </w:tcBorders>
            <w:shd w:val="clear" w:color="auto" w:fill="FFFFFF"/>
            <w:vAlign w:val="center"/>
          </w:tcPr>
          <w:p w14:paraId="24A6FF4D"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359CEFBC"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r>
      <w:tr w:rsidR="00FA43BB" w:rsidRPr="00CF31E0" w14:paraId="656363B5" w14:textId="77777777" w:rsidTr="00944CCD">
        <w:trPr>
          <w:cantSplit/>
        </w:trPr>
        <w:tc>
          <w:tcPr>
            <w:tcW w:w="1736" w:type="dxa"/>
            <w:shd w:val="clear" w:color="auto" w:fill="FFFFFF"/>
          </w:tcPr>
          <w:p w14:paraId="549F0FDC"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5305F35" w14:textId="5E0310A2"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915.020</w:t>
            </w:r>
          </w:p>
        </w:tc>
        <w:tc>
          <w:tcPr>
            <w:tcW w:w="820" w:type="dxa"/>
            <w:shd w:val="clear" w:color="auto" w:fill="FFFFFF"/>
            <w:vAlign w:val="center"/>
          </w:tcPr>
          <w:p w14:paraId="5BC170DC" w14:textId="14CB1FCE" w:rsidR="00FA43BB"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27138476"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32CD62DB"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0C564A0C"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r>
    </w:tbl>
    <w:p w14:paraId="30F4FD2F" w14:textId="77777777" w:rsidR="00FA43BB" w:rsidRPr="00CF31E0" w:rsidRDefault="00FA43BB" w:rsidP="00FA43BB">
      <w:pPr>
        <w:rPr>
          <w:rFonts w:asciiTheme="majorBidi" w:hAnsiTheme="majorBidi" w:cstheme="majorBidi"/>
          <w:b/>
          <w:bCs/>
          <w:color w:val="000000" w:themeColor="text1"/>
        </w:rPr>
      </w:pPr>
    </w:p>
    <w:p w14:paraId="41A1B32A" w14:textId="77777777" w:rsidR="00FA43BB" w:rsidRPr="00CF31E0" w:rsidRDefault="00FA43BB" w:rsidP="00FA43B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FA43BB" w:rsidRPr="00CF31E0" w14:paraId="6CE5220D" w14:textId="77777777" w:rsidTr="00944CCD">
        <w:trPr>
          <w:cantSplit/>
        </w:trPr>
        <w:tc>
          <w:tcPr>
            <w:tcW w:w="1736" w:type="dxa"/>
            <w:tcBorders>
              <w:top w:val="single" w:sz="8" w:space="0" w:color="auto"/>
              <w:bottom w:val="single" w:sz="6" w:space="0" w:color="auto"/>
            </w:tcBorders>
            <w:shd w:val="clear" w:color="auto" w:fill="FFFFFF"/>
            <w:vAlign w:val="bottom"/>
          </w:tcPr>
          <w:p w14:paraId="736329D9" w14:textId="67DC5CA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Education</w:t>
            </w:r>
          </w:p>
        </w:tc>
        <w:tc>
          <w:tcPr>
            <w:tcW w:w="1686" w:type="dxa"/>
            <w:tcBorders>
              <w:top w:val="single" w:sz="8" w:space="0" w:color="auto"/>
              <w:bottom w:val="single" w:sz="6" w:space="0" w:color="auto"/>
            </w:tcBorders>
            <w:shd w:val="clear" w:color="auto" w:fill="FFFFFF"/>
            <w:vAlign w:val="bottom"/>
          </w:tcPr>
          <w:p w14:paraId="3E4950A2"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1DA738C9"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333A3A02"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BD02109"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5A904CF4"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FA43BB" w:rsidRPr="00CF31E0" w14:paraId="4CC23E32" w14:textId="77777777" w:rsidTr="00944CCD">
        <w:trPr>
          <w:cantSplit/>
        </w:trPr>
        <w:tc>
          <w:tcPr>
            <w:tcW w:w="1736" w:type="dxa"/>
            <w:tcBorders>
              <w:top w:val="single" w:sz="6" w:space="0" w:color="auto"/>
              <w:bottom w:val="nil"/>
            </w:tcBorders>
            <w:shd w:val="clear" w:color="auto" w:fill="FFFFFF"/>
          </w:tcPr>
          <w:p w14:paraId="2D583EC4"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2D6CAA37" w14:textId="0BBF939C"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2.777</w:t>
            </w:r>
          </w:p>
        </w:tc>
        <w:tc>
          <w:tcPr>
            <w:tcW w:w="820" w:type="dxa"/>
            <w:tcBorders>
              <w:top w:val="single" w:sz="6" w:space="0" w:color="auto"/>
              <w:bottom w:val="nil"/>
            </w:tcBorders>
            <w:shd w:val="clear" w:color="auto" w:fill="FFFFFF"/>
            <w:vAlign w:val="center"/>
          </w:tcPr>
          <w:p w14:paraId="3CCABE9F" w14:textId="2676653B"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w:t>
            </w:r>
          </w:p>
        </w:tc>
        <w:tc>
          <w:tcPr>
            <w:tcW w:w="1445" w:type="dxa"/>
            <w:tcBorders>
              <w:top w:val="single" w:sz="6" w:space="0" w:color="auto"/>
              <w:bottom w:val="nil"/>
            </w:tcBorders>
            <w:shd w:val="clear" w:color="auto" w:fill="FFFFFF"/>
            <w:vAlign w:val="center"/>
          </w:tcPr>
          <w:p w14:paraId="48FFADE8" w14:textId="1E43E5F2"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.555</w:t>
            </w:r>
          </w:p>
        </w:tc>
        <w:tc>
          <w:tcPr>
            <w:tcW w:w="1030" w:type="dxa"/>
            <w:tcBorders>
              <w:top w:val="single" w:sz="6" w:space="0" w:color="auto"/>
              <w:bottom w:val="nil"/>
            </w:tcBorders>
            <w:shd w:val="clear" w:color="auto" w:fill="FFFFFF"/>
            <w:vAlign w:val="center"/>
          </w:tcPr>
          <w:p w14:paraId="13BF7673" w14:textId="7E9BF9BF"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.392</w:t>
            </w:r>
          </w:p>
        </w:tc>
        <w:tc>
          <w:tcPr>
            <w:tcW w:w="674" w:type="dxa"/>
            <w:tcBorders>
              <w:top w:val="single" w:sz="6" w:space="0" w:color="auto"/>
              <w:bottom w:val="nil"/>
            </w:tcBorders>
            <w:shd w:val="clear" w:color="auto" w:fill="FFFFFF"/>
            <w:vAlign w:val="center"/>
          </w:tcPr>
          <w:p w14:paraId="332FD319" w14:textId="7DC00FAB"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.855</w:t>
            </w:r>
          </w:p>
        </w:tc>
      </w:tr>
      <w:tr w:rsidR="00FA43BB" w:rsidRPr="00CF31E0" w14:paraId="1B33967B" w14:textId="77777777" w:rsidTr="00944CCD">
        <w:trPr>
          <w:cantSplit/>
        </w:trPr>
        <w:tc>
          <w:tcPr>
            <w:tcW w:w="1736" w:type="dxa"/>
            <w:tcBorders>
              <w:top w:val="nil"/>
            </w:tcBorders>
            <w:shd w:val="clear" w:color="auto" w:fill="FFFFFF"/>
          </w:tcPr>
          <w:p w14:paraId="52D8F561"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684A75AF" w14:textId="6D72354B"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912.243</w:t>
            </w:r>
          </w:p>
        </w:tc>
        <w:tc>
          <w:tcPr>
            <w:tcW w:w="820" w:type="dxa"/>
            <w:tcBorders>
              <w:top w:val="nil"/>
            </w:tcBorders>
            <w:shd w:val="clear" w:color="auto" w:fill="FFFFFF"/>
            <w:vAlign w:val="center"/>
          </w:tcPr>
          <w:p w14:paraId="0B91A68D" w14:textId="2BA607F5" w:rsidR="00FA43BB"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644</w:t>
            </w:r>
          </w:p>
        </w:tc>
        <w:tc>
          <w:tcPr>
            <w:tcW w:w="1445" w:type="dxa"/>
            <w:tcBorders>
              <w:top w:val="nil"/>
            </w:tcBorders>
            <w:shd w:val="clear" w:color="auto" w:fill="FFFFFF"/>
            <w:vAlign w:val="center"/>
          </w:tcPr>
          <w:p w14:paraId="6DAF18E1" w14:textId="529AB2AC"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1.419</w:t>
            </w:r>
          </w:p>
        </w:tc>
        <w:tc>
          <w:tcPr>
            <w:tcW w:w="1030" w:type="dxa"/>
            <w:tcBorders>
              <w:top w:val="nil"/>
            </w:tcBorders>
            <w:shd w:val="clear" w:color="auto" w:fill="FFFFFF"/>
            <w:vAlign w:val="center"/>
          </w:tcPr>
          <w:p w14:paraId="715A6FA3"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3579C2D1"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r>
      <w:tr w:rsidR="00FA43BB" w:rsidRPr="00CF31E0" w14:paraId="7AD6762B" w14:textId="77777777" w:rsidTr="00944CCD">
        <w:trPr>
          <w:cantSplit/>
        </w:trPr>
        <w:tc>
          <w:tcPr>
            <w:tcW w:w="1736" w:type="dxa"/>
            <w:shd w:val="clear" w:color="auto" w:fill="FFFFFF"/>
          </w:tcPr>
          <w:p w14:paraId="2520BC42" w14:textId="77777777" w:rsidR="00FA43BB" w:rsidRPr="00CF31E0" w:rsidRDefault="00FA43BB"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3E30611" w14:textId="15F17F19" w:rsidR="00FA43BB" w:rsidRPr="00CF31E0" w:rsidRDefault="00FA43B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915.020</w:t>
            </w:r>
          </w:p>
        </w:tc>
        <w:tc>
          <w:tcPr>
            <w:tcW w:w="820" w:type="dxa"/>
            <w:shd w:val="clear" w:color="auto" w:fill="FFFFFF"/>
            <w:vAlign w:val="center"/>
          </w:tcPr>
          <w:p w14:paraId="676CAF10" w14:textId="2C83CC34" w:rsidR="00FA43BB"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4F84E070"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37A30A8B"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04D858E2" w14:textId="77777777" w:rsidR="00FA43BB" w:rsidRPr="00CF31E0" w:rsidRDefault="00FA43BB" w:rsidP="00944CCD">
            <w:pPr>
              <w:spacing w:before="120" w:after="120" w:line="360" w:lineRule="auto"/>
              <w:jc w:val="right"/>
              <w:rPr>
                <w:rFonts w:eastAsia="Calibri" w:cs="Arial"/>
                <w:color w:val="000000" w:themeColor="text1"/>
                <w:sz w:val="22"/>
                <w:szCs w:val="22"/>
                <w:lang w:eastAsia="en-US"/>
              </w:rPr>
            </w:pPr>
          </w:p>
        </w:tc>
      </w:tr>
    </w:tbl>
    <w:p w14:paraId="108045F0" w14:textId="77777777" w:rsidR="00FA43BB" w:rsidRPr="00CF31E0" w:rsidRDefault="00FA43BB" w:rsidP="00FA43BB">
      <w:pPr>
        <w:rPr>
          <w:rFonts w:asciiTheme="majorBidi" w:hAnsiTheme="majorBidi" w:cstheme="majorBidi"/>
          <w:b/>
          <w:bCs/>
          <w:color w:val="000000" w:themeColor="text1"/>
        </w:rPr>
      </w:pPr>
    </w:p>
    <w:p w14:paraId="6FCC4EEE" w14:textId="77777777" w:rsidR="00FA43BB" w:rsidRPr="00CF31E0" w:rsidRDefault="00FA43BB" w:rsidP="00FA43BB">
      <w:pPr>
        <w:rPr>
          <w:rFonts w:asciiTheme="majorBidi" w:hAnsiTheme="majorBidi" w:cstheme="majorBidi"/>
          <w:b/>
          <w:bCs/>
          <w:color w:val="000000" w:themeColor="text1"/>
        </w:rPr>
      </w:pPr>
    </w:p>
    <w:p w14:paraId="2BC25E07" w14:textId="77777777" w:rsidR="00944CCD" w:rsidRPr="00CF31E0" w:rsidRDefault="00944CCD" w:rsidP="00FA43BB">
      <w:pPr>
        <w:rPr>
          <w:rFonts w:asciiTheme="majorBidi" w:hAnsiTheme="majorBidi" w:cstheme="majorBidi"/>
          <w:b/>
          <w:bCs/>
          <w:color w:val="000000" w:themeColor="text1"/>
        </w:rPr>
      </w:pPr>
    </w:p>
    <w:p w14:paraId="52717F0E" w14:textId="77777777" w:rsidR="00944CCD" w:rsidRPr="00CF31E0" w:rsidRDefault="00944CCD" w:rsidP="00FA43BB">
      <w:pPr>
        <w:rPr>
          <w:rFonts w:asciiTheme="majorBidi" w:hAnsiTheme="majorBidi" w:cstheme="majorBidi"/>
          <w:b/>
          <w:bCs/>
          <w:color w:val="000000" w:themeColor="text1"/>
        </w:rPr>
      </w:pPr>
    </w:p>
    <w:p w14:paraId="06ABC4A4" w14:textId="77777777" w:rsidR="00944CCD" w:rsidRPr="00CF31E0" w:rsidRDefault="00944CCD" w:rsidP="00FA43BB">
      <w:pPr>
        <w:rPr>
          <w:rFonts w:asciiTheme="majorBidi" w:hAnsiTheme="majorBidi" w:cstheme="majorBidi"/>
          <w:b/>
          <w:bCs/>
          <w:color w:val="000000" w:themeColor="text1"/>
        </w:rPr>
      </w:pPr>
    </w:p>
    <w:p w14:paraId="150B7572" w14:textId="77777777" w:rsidR="00944CCD" w:rsidRPr="00CF31E0" w:rsidRDefault="00944CCD" w:rsidP="00FA43BB">
      <w:pPr>
        <w:rPr>
          <w:rFonts w:asciiTheme="majorBidi" w:hAnsiTheme="majorBidi" w:cstheme="majorBidi"/>
          <w:b/>
          <w:bCs/>
          <w:color w:val="000000" w:themeColor="text1"/>
        </w:rPr>
      </w:pPr>
    </w:p>
    <w:p w14:paraId="795DD464" w14:textId="2583D2BA" w:rsidR="00944CCD" w:rsidRPr="00CF31E0" w:rsidRDefault="00944CCD" w:rsidP="00944CCD">
      <w:pPr>
        <w:pStyle w:val="ListParagraph"/>
        <w:numPr>
          <w:ilvl w:val="0"/>
          <w:numId w:val="74"/>
        </w:numPr>
        <w:rPr>
          <w:rFonts w:asciiTheme="majorBidi" w:hAnsiTheme="majorBidi" w:cstheme="majorBidi"/>
          <w:b/>
          <w:bCs/>
          <w:color w:val="000000" w:themeColor="text1"/>
          <w:sz w:val="28"/>
          <w:szCs w:val="28"/>
        </w:rPr>
      </w:pPr>
      <w:r w:rsidRPr="00CF31E0">
        <w:rPr>
          <w:rFonts w:asciiTheme="majorBidi" w:hAnsiTheme="majorBidi" w:cstheme="majorBidi"/>
          <w:b/>
          <w:bCs/>
          <w:color w:val="000000" w:themeColor="text1"/>
          <w:sz w:val="28"/>
          <w:szCs w:val="28"/>
        </w:rPr>
        <w:lastRenderedPageBreak/>
        <w:t>VS2</w:t>
      </w:r>
    </w:p>
    <w:p w14:paraId="1FAA034E" w14:textId="77777777" w:rsidR="00944CCD" w:rsidRPr="00CF31E0" w:rsidRDefault="00944CCD" w:rsidP="00944CCD">
      <w:pPr>
        <w:pStyle w:val="ListParagraph"/>
        <w:ind w:left="0"/>
        <w:rPr>
          <w:rFonts w:asciiTheme="majorBidi" w:hAnsiTheme="majorBidi" w:cstheme="majorBidi"/>
          <w:b/>
          <w:bCs/>
          <w:color w:val="000000" w:themeColor="text1"/>
        </w:rPr>
      </w:pPr>
    </w:p>
    <w:p w14:paraId="584D8E4B" w14:textId="77777777" w:rsidR="00944CCD" w:rsidRPr="00CF31E0" w:rsidRDefault="00944CCD" w:rsidP="00944CCD">
      <w:pPr>
        <w:pStyle w:val="ListParagraph"/>
        <w:numPr>
          <w:ilvl w:val="0"/>
          <w:numId w:val="71"/>
        </w:numPr>
        <w:rPr>
          <w:rFonts w:asciiTheme="majorBidi" w:hAnsiTheme="majorBidi" w:cstheme="majorBidi"/>
          <w:b/>
          <w:bCs/>
          <w:color w:val="000000" w:themeColor="text1"/>
          <w:sz w:val="28"/>
          <w:szCs w:val="28"/>
        </w:rPr>
      </w:pPr>
      <w:r w:rsidRPr="00CF31E0">
        <w:rPr>
          <w:rFonts w:asciiTheme="majorBidi" w:hAnsiTheme="majorBidi" w:cstheme="majorBidi"/>
          <w:b/>
          <w:bCs/>
          <w:color w:val="000000" w:themeColor="text1"/>
          <w:sz w:val="28"/>
          <w:szCs w:val="28"/>
        </w:rPr>
        <w:t>Serious scale</w:t>
      </w:r>
    </w:p>
    <w:p w14:paraId="3258AD9C" w14:textId="77777777" w:rsidR="00944CCD" w:rsidRPr="00CF31E0" w:rsidRDefault="00944CCD" w:rsidP="00944CC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944CCD" w:rsidRPr="00CF31E0" w14:paraId="770DE4AB" w14:textId="77777777" w:rsidTr="00944CCD">
        <w:trPr>
          <w:cantSplit/>
        </w:trPr>
        <w:tc>
          <w:tcPr>
            <w:tcW w:w="1736" w:type="dxa"/>
            <w:tcBorders>
              <w:top w:val="single" w:sz="8" w:space="0" w:color="auto"/>
              <w:bottom w:val="single" w:sz="6" w:space="0" w:color="auto"/>
            </w:tcBorders>
            <w:shd w:val="clear" w:color="auto" w:fill="FFFFFF"/>
            <w:vAlign w:val="bottom"/>
          </w:tcPr>
          <w:p w14:paraId="0F0915C3"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Gender</w:t>
            </w:r>
          </w:p>
        </w:tc>
        <w:tc>
          <w:tcPr>
            <w:tcW w:w="1686" w:type="dxa"/>
            <w:tcBorders>
              <w:top w:val="single" w:sz="8" w:space="0" w:color="auto"/>
              <w:bottom w:val="single" w:sz="6" w:space="0" w:color="auto"/>
            </w:tcBorders>
            <w:shd w:val="clear" w:color="auto" w:fill="FFFFFF"/>
            <w:vAlign w:val="bottom"/>
          </w:tcPr>
          <w:p w14:paraId="6A949661"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6159FE73"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54835B3E"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4E502EB7"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751D1079"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944CCD" w:rsidRPr="00CF31E0" w14:paraId="1465F60B" w14:textId="77777777" w:rsidTr="00944CCD">
        <w:trPr>
          <w:cantSplit/>
        </w:trPr>
        <w:tc>
          <w:tcPr>
            <w:tcW w:w="1736" w:type="dxa"/>
            <w:tcBorders>
              <w:top w:val="single" w:sz="6" w:space="0" w:color="auto"/>
              <w:bottom w:val="nil"/>
            </w:tcBorders>
            <w:shd w:val="clear" w:color="auto" w:fill="FFFFFF"/>
          </w:tcPr>
          <w:p w14:paraId="6B0A77EB"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0BA75FB2" w14:textId="06BE0F8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.410</w:t>
            </w:r>
          </w:p>
        </w:tc>
        <w:tc>
          <w:tcPr>
            <w:tcW w:w="820" w:type="dxa"/>
            <w:tcBorders>
              <w:top w:val="single" w:sz="6" w:space="0" w:color="auto"/>
              <w:bottom w:val="nil"/>
            </w:tcBorders>
            <w:shd w:val="clear" w:color="auto" w:fill="FFFFFF"/>
            <w:vAlign w:val="center"/>
          </w:tcPr>
          <w:p w14:paraId="2F0EE3BE" w14:textId="28FF82BD"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6943ACB7" w14:textId="627FA45C"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.410</w:t>
            </w:r>
          </w:p>
        </w:tc>
        <w:tc>
          <w:tcPr>
            <w:tcW w:w="1030" w:type="dxa"/>
            <w:tcBorders>
              <w:top w:val="single" w:sz="6" w:space="0" w:color="auto"/>
              <w:bottom w:val="nil"/>
            </w:tcBorders>
            <w:shd w:val="clear" w:color="auto" w:fill="FFFFFF"/>
            <w:vAlign w:val="center"/>
          </w:tcPr>
          <w:p w14:paraId="6445C743" w14:textId="5641D703"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.272</w:t>
            </w:r>
          </w:p>
        </w:tc>
        <w:tc>
          <w:tcPr>
            <w:tcW w:w="674" w:type="dxa"/>
            <w:tcBorders>
              <w:top w:val="single" w:sz="6" w:space="0" w:color="auto"/>
              <w:bottom w:val="nil"/>
            </w:tcBorders>
            <w:shd w:val="clear" w:color="auto" w:fill="FFFFFF"/>
            <w:vAlign w:val="center"/>
          </w:tcPr>
          <w:p w14:paraId="63FA4CEC" w14:textId="26A8A7E9"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.602</w:t>
            </w:r>
          </w:p>
        </w:tc>
      </w:tr>
      <w:tr w:rsidR="00944CCD" w:rsidRPr="00CF31E0" w14:paraId="158607FC" w14:textId="77777777" w:rsidTr="00944CCD">
        <w:trPr>
          <w:cantSplit/>
        </w:trPr>
        <w:tc>
          <w:tcPr>
            <w:tcW w:w="1736" w:type="dxa"/>
            <w:tcBorders>
              <w:top w:val="nil"/>
            </w:tcBorders>
            <w:shd w:val="clear" w:color="auto" w:fill="FFFFFF"/>
          </w:tcPr>
          <w:p w14:paraId="269CC496"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672E77FF" w14:textId="072B5209"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973.840</w:t>
            </w:r>
          </w:p>
        </w:tc>
        <w:tc>
          <w:tcPr>
            <w:tcW w:w="820" w:type="dxa"/>
            <w:tcBorders>
              <w:top w:val="nil"/>
            </w:tcBorders>
            <w:shd w:val="clear" w:color="auto" w:fill="FFFFFF"/>
            <w:vAlign w:val="center"/>
          </w:tcPr>
          <w:p w14:paraId="7CBE52BE" w14:textId="240045F7" w:rsidR="00944CCD"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2C792C73" w14:textId="0B371865"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1.505</w:t>
            </w:r>
          </w:p>
        </w:tc>
        <w:tc>
          <w:tcPr>
            <w:tcW w:w="1030" w:type="dxa"/>
            <w:tcBorders>
              <w:top w:val="nil"/>
            </w:tcBorders>
            <w:shd w:val="clear" w:color="auto" w:fill="FFFFFF"/>
            <w:vAlign w:val="center"/>
          </w:tcPr>
          <w:p w14:paraId="3FAB0122"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1E574886"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r w:rsidR="00944CCD" w:rsidRPr="00CF31E0" w14:paraId="2C82064F" w14:textId="77777777" w:rsidTr="00944CCD">
        <w:trPr>
          <w:cantSplit/>
        </w:trPr>
        <w:tc>
          <w:tcPr>
            <w:tcW w:w="1736" w:type="dxa"/>
            <w:shd w:val="clear" w:color="auto" w:fill="FFFFFF"/>
          </w:tcPr>
          <w:p w14:paraId="51ED1714"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0F9B2D84" w14:textId="78F39908"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974.250</w:t>
            </w:r>
          </w:p>
        </w:tc>
        <w:tc>
          <w:tcPr>
            <w:tcW w:w="820" w:type="dxa"/>
            <w:shd w:val="clear" w:color="auto" w:fill="FFFFFF"/>
            <w:vAlign w:val="center"/>
          </w:tcPr>
          <w:p w14:paraId="4F2DCCDC" w14:textId="63B41291" w:rsidR="00944CCD"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2B18FEB2"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78EFC648"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2196AD45"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bl>
    <w:p w14:paraId="1338E12A" w14:textId="77777777" w:rsidR="00944CCD" w:rsidRPr="00CF31E0" w:rsidRDefault="00944CCD" w:rsidP="00944CCD">
      <w:pPr>
        <w:rPr>
          <w:rFonts w:asciiTheme="majorBidi" w:hAnsiTheme="majorBidi" w:cstheme="majorBidi"/>
          <w:b/>
          <w:bCs/>
          <w:color w:val="000000" w:themeColor="text1"/>
        </w:rPr>
      </w:pPr>
    </w:p>
    <w:p w14:paraId="0822C148" w14:textId="77777777" w:rsidR="00944CCD" w:rsidRPr="00CF31E0" w:rsidRDefault="00944CCD" w:rsidP="00944CC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944CCD" w:rsidRPr="00CF31E0" w14:paraId="69409423" w14:textId="77777777" w:rsidTr="00944CCD">
        <w:trPr>
          <w:cantSplit/>
        </w:trPr>
        <w:tc>
          <w:tcPr>
            <w:tcW w:w="1736" w:type="dxa"/>
            <w:tcBorders>
              <w:top w:val="single" w:sz="8" w:space="0" w:color="auto"/>
              <w:bottom w:val="single" w:sz="6" w:space="0" w:color="auto"/>
            </w:tcBorders>
            <w:shd w:val="clear" w:color="auto" w:fill="FFFFFF"/>
            <w:vAlign w:val="bottom"/>
          </w:tcPr>
          <w:p w14:paraId="385DA366"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Age</w:t>
            </w:r>
          </w:p>
        </w:tc>
        <w:tc>
          <w:tcPr>
            <w:tcW w:w="1686" w:type="dxa"/>
            <w:tcBorders>
              <w:top w:val="single" w:sz="8" w:space="0" w:color="auto"/>
              <w:bottom w:val="single" w:sz="6" w:space="0" w:color="auto"/>
            </w:tcBorders>
            <w:shd w:val="clear" w:color="auto" w:fill="FFFFFF"/>
            <w:vAlign w:val="bottom"/>
          </w:tcPr>
          <w:p w14:paraId="7B525B64"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2188F547"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E36787E"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2AB92921"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1C6BA90A"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944CCD" w:rsidRPr="00CF31E0" w14:paraId="6AEE7EC7" w14:textId="77777777" w:rsidTr="00944CCD">
        <w:trPr>
          <w:cantSplit/>
        </w:trPr>
        <w:tc>
          <w:tcPr>
            <w:tcW w:w="1736" w:type="dxa"/>
            <w:tcBorders>
              <w:top w:val="single" w:sz="6" w:space="0" w:color="auto"/>
              <w:bottom w:val="nil"/>
            </w:tcBorders>
            <w:shd w:val="clear" w:color="auto" w:fill="FFFFFF"/>
          </w:tcPr>
          <w:p w14:paraId="6D7FE2B2"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5E28BAA7" w14:textId="4B59630E"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11.797</w:t>
            </w:r>
          </w:p>
        </w:tc>
        <w:tc>
          <w:tcPr>
            <w:tcW w:w="820" w:type="dxa"/>
            <w:tcBorders>
              <w:top w:val="single" w:sz="6" w:space="0" w:color="auto"/>
              <w:bottom w:val="nil"/>
            </w:tcBorders>
            <w:shd w:val="clear" w:color="auto" w:fill="FFFFFF"/>
            <w:vAlign w:val="center"/>
          </w:tcPr>
          <w:p w14:paraId="5B8D7966" w14:textId="2CBE9009"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w:t>
            </w:r>
          </w:p>
        </w:tc>
        <w:tc>
          <w:tcPr>
            <w:tcW w:w="1445" w:type="dxa"/>
            <w:tcBorders>
              <w:top w:val="single" w:sz="6" w:space="0" w:color="auto"/>
              <w:bottom w:val="nil"/>
            </w:tcBorders>
            <w:shd w:val="clear" w:color="auto" w:fill="FFFFFF"/>
            <w:vAlign w:val="center"/>
          </w:tcPr>
          <w:p w14:paraId="5D772B00" w14:textId="4D24F60F"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2.359</w:t>
            </w:r>
          </w:p>
        </w:tc>
        <w:tc>
          <w:tcPr>
            <w:tcW w:w="1030" w:type="dxa"/>
            <w:tcBorders>
              <w:top w:val="single" w:sz="6" w:space="0" w:color="auto"/>
              <w:bottom w:val="nil"/>
            </w:tcBorders>
            <w:shd w:val="clear" w:color="auto" w:fill="FFFFFF"/>
            <w:vAlign w:val="center"/>
          </w:tcPr>
          <w:p w14:paraId="3FB97CE3" w14:textId="130142A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1.585</w:t>
            </w:r>
          </w:p>
        </w:tc>
        <w:tc>
          <w:tcPr>
            <w:tcW w:w="674" w:type="dxa"/>
            <w:tcBorders>
              <w:top w:val="single" w:sz="6" w:space="0" w:color="auto"/>
              <w:bottom w:val="nil"/>
            </w:tcBorders>
            <w:shd w:val="clear" w:color="auto" w:fill="FFFFFF"/>
            <w:vAlign w:val="center"/>
          </w:tcPr>
          <w:p w14:paraId="49F8DACB" w14:textId="2A7591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.162</w:t>
            </w:r>
          </w:p>
        </w:tc>
      </w:tr>
      <w:tr w:rsidR="00944CCD" w:rsidRPr="00CF31E0" w14:paraId="2D481F55" w14:textId="77777777" w:rsidTr="00944CCD">
        <w:trPr>
          <w:cantSplit/>
        </w:trPr>
        <w:tc>
          <w:tcPr>
            <w:tcW w:w="1736" w:type="dxa"/>
            <w:tcBorders>
              <w:top w:val="nil"/>
            </w:tcBorders>
            <w:shd w:val="clear" w:color="auto" w:fill="FFFFFF"/>
          </w:tcPr>
          <w:p w14:paraId="5A827ABF"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5AABE526" w14:textId="547C90DB"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954.348</w:t>
            </w:r>
          </w:p>
        </w:tc>
        <w:tc>
          <w:tcPr>
            <w:tcW w:w="820" w:type="dxa"/>
            <w:tcBorders>
              <w:top w:val="nil"/>
            </w:tcBorders>
            <w:shd w:val="clear" w:color="auto" w:fill="FFFFFF"/>
            <w:vAlign w:val="center"/>
          </w:tcPr>
          <w:p w14:paraId="0F82D500" w14:textId="7E60B8C9" w:rsidR="00944CCD"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644</w:t>
            </w:r>
          </w:p>
        </w:tc>
        <w:tc>
          <w:tcPr>
            <w:tcW w:w="1445" w:type="dxa"/>
            <w:tcBorders>
              <w:top w:val="nil"/>
            </w:tcBorders>
            <w:shd w:val="clear" w:color="auto" w:fill="FFFFFF"/>
            <w:vAlign w:val="center"/>
          </w:tcPr>
          <w:p w14:paraId="29320D96" w14:textId="2B296B58"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1.489</w:t>
            </w:r>
          </w:p>
        </w:tc>
        <w:tc>
          <w:tcPr>
            <w:tcW w:w="1030" w:type="dxa"/>
            <w:tcBorders>
              <w:top w:val="nil"/>
            </w:tcBorders>
            <w:shd w:val="clear" w:color="auto" w:fill="FFFFFF"/>
            <w:vAlign w:val="center"/>
          </w:tcPr>
          <w:p w14:paraId="003FE9E5"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2EFCA4B9"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r w:rsidR="00944CCD" w:rsidRPr="00CF31E0" w14:paraId="632C7FD6" w14:textId="77777777" w:rsidTr="00944CCD">
        <w:trPr>
          <w:cantSplit/>
        </w:trPr>
        <w:tc>
          <w:tcPr>
            <w:tcW w:w="1736" w:type="dxa"/>
            <w:shd w:val="clear" w:color="auto" w:fill="FFFFFF"/>
          </w:tcPr>
          <w:p w14:paraId="42E6C4BD"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2A165DBA" w14:textId="1892F764"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966.145</w:t>
            </w:r>
          </w:p>
        </w:tc>
        <w:tc>
          <w:tcPr>
            <w:tcW w:w="820" w:type="dxa"/>
            <w:shd w:val="clear" w:color="auto" w:fill="FFFFFF"/>
            <w:vAlign w:val="center"/>
          </w:tcPr>
          <w:p w14:paraId="371684F5" w14:textId="1B0FBBC7" w:rsidR="00944CCD"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75F7836B"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33798699"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582D769E"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bl>
    <w:p w14:paraId="3D3118EC" w14:textId="77777777" w:rsidR="00944CCD" w:rsidRPr="00CF31E0" w:rsidRDefault="00944CCD" w:rsidP="00944CCD">
      <w:pPr>
        <w:rPr>
          <w:rFonts w:asciiTheme="majorBidi" w:hAnsiTheme="majorBidi" w:cstheme="majorBidi"/>
          <w:b/>
          <w:bCs/>
          <w:color w:val="000000" w:themeColor="text1"/>
        </w:rPr>
      </w:pPr>
    </w:p>
    <w:p w14:paraId="1F95E9F5" w14:textId="77777777" w:rsidR="00944CCD" w:rsidRPr="00CF31E0" w:rsidRDefault="00944CCD" w:rsidP="00944CC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944CCD" w:rsidRPr="00CF31E0" w14:paraId="0D13883C" w14:textId="77777777" w:rsidTr="00944CCD">
        <w:trPr>
          <w:cantSplit/>
        </w:trPr>
        <w:tc>
          <w:tcPr>
            <w:tcW w:w="1736" w:type="dxa"/>
            <w:tcBorders>
              <w:top w:val="single" w:sz="8" w:space="0" w:color="auto"/>
              <w:bottom w:val="single" w:sz="6" w:space="0" w:color="auto"/>
            </w:tcBorders>
            <w:shd w:val="clear" w:color="auto" w:fill="FFFFFF"/>
            <w:vAlign w:val="bottom"/>
          </w:tcPr>
          <w:p w14:paraId="553D15C6"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 of birth</w:t>
            </w:r>
          </w:p>
        </w:tc>
        <w:tc>
          <w:tcPr>
            <w:tcW w:w="1686" w:type="dxa"/>
            <w:tcBorders>
              <w:top w:val="single" w:sz="8" w:space="0" w:color="auto"/>
              <w:bottom w:val="single" w:sz="6" w:space="0" w:color="auto"/>
            </w:tcBorders>
            <w:shd w:val="clear" w:color="auto" w:fill="FFFFFF"/>
            <w:vAlign w:val="bottom"/>
          </w:tcPr>
          <w:p w14:paraId="2379287E"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7A134243"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4FE1F209"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2A0F1A1D"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20699205"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944CCD" w:rsidRPr="00CF31E0" w14:paraId="55EAA239" w14:textId="77777777" w:rsidTr="00944CCD">
        <w:trPr>
          <w:cantSplit/>
        </w:trPr>
        <w:tc>
          <w:tcPr>
            <w:tcW w:w="1736" w:type="dxa"/>
            <w:tcBorders>
              <w:top w:val="single" w:sz="6" w:space="0" w:color="auto"/>
              <w:bottom w:val="nil"/>
            </w:tcBorders>
            <w:shd w:val="clear" w:color="auto" w:fill="FFFFFF"/>
          </w:tcPr>
          <w:p w14:paraId="415E2509"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53BFAFCC" w14:textId="3F2708B6"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.840</w:t>
            </w:r>
          </w:p>
        </w:tc>
        <w:tc>
          <w:tcPr>
            <w:tcW w:w="820" w:type="dxa"/>
            <w:tcBorders>
              <w:top w:val="single" w:sz="6" w:space="0" w:color="auto"/>
              <w:bottom w:val="nil"/>
            </w:tcBorders>
            <w:shd w:val="clear" w:color="auto" w:fill="FFFFFF"/>
            <w:vAlign w:val="center"/>
          </w:tcPr>
          <w:p w14:paraId="7BC803AA" w14:textId="4C3C900E"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434199CD" w14:textId="294A9111"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.840</w:t>
            </w:r>
          </w:p>
        </w:tc>
        <w:tc>
          <w:tcPr>
            <w:tcW w:w="1030" w:type="dxa"/>
            <w:tcBorders>
              <w:top w:val="single" w:sz="6" w:space="0" w:color="auto"/>
              <w:bottom w:val="nil"/>
            </w:tcBorders>
            <w:shd w:val="clear" w:color="auto" w:fill="FFFFFF"/>
            <w:vAlign w:val="center"/>
          </w:tcPr>
          <w:p w14:paraId="46B62FDA" w14:textId="5AFE9033"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.558</w:t>
            </w:r>
          </w:p>
        </w:tc>
        <w:tc>
          <w:tcPr>
            <w:tcW w:w="674" w:type="dxa"/>
            <w:tcBorders>
              <w:top w:val="single" w:sz="6" w:space="0" w:color="auto"/>
              <w:bottom w:val="nil"/>
            </w:tcBorders>
            <w:shd w:val="clear" w:color="auto" w:fill="FFFFFF"/>
            <w:vAlign w:val="center"/>
          </w:tcPr>
          <w:p w14:paraId="5656AAFD" w14:textId="519A595A"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.455</w:t>
            </w:r>
          </w:p>
        </w:tc>
      </w:tr>
      <w:tr w:rsidR="00944CCD" w:rsidRPr="00CF31E0" w14:paraId="50B814EF" w14:textId="77777777" w:rsidTr="00944CCD">
        <w:trPr>
          <w:cantSplit/>
        </w:trPr>
        <w:tc>
          <w:tcPr>
            <w:tcW w:w="1736" w:type="dxa"/>
            <w:tcBorders>
              <w:top w:val="nil"/>
            </w:tcBorders>
            <w:shd w:val="clear" w:color="auto" w:fill="FFFFFF"/>
          </w:tcPr>
          <w:p w14:paraId="255E3748"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2A7B7F14" w14:textId="479B0C9E"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973.410</w:t>
            </w:r>
          </w:p>
        </w:tc>
        <w:tc>
          <w:tcPr>
            <w:tcW w:w="820" w:type="dxa"/>
            <w:tcBorders>
              <w:top w:val="nil"/>
            </w:tcBorders>
            <w:shd w:val="clear" w:color="auto" w:fill="FFFFFF"/>
            <w:vAlign w:val="center"/>
          </w:tcPr>
          <w:p w14:paraId="5EC6E566" w14:textId="56F9F6F0" w:rsidR="00944CCD"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0F5B70AB" w14:textId="657A996E"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1.504</w:t>
            </w:r>
          </w:p>
        </w:tc>
        <w:tc>
          <w:tcPr>
            <w:tcW w:w="1030" w:type="dxa"/>
            <w:tcBorders>
              <w:top w:val="nil"/>
            </w:tcBorders>
            <w:shd w:val="clear" w:color="auto" w:fill="FFFFFF"/>
            <w:vAlign w:val="center"/>
          </w:tcPr>
          <w:p w14:paraId="41FE1834"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4BF352B0"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r w:rsidR="00944CCD" w:rsidRPr="00CF31E0" w14:paraId="29B8AC20" w14:textId="77777777" w:rsidTr="00944CCD">
        <w:trPr>
          <w:cantSplit/>
        </w:trPr>
        <w:tc>
          <w:tcPr>
            <w:tcW w:w="1736" w:type="dxa"/>
            <w:shd w:val="clear" w:color="auto" w:fill="FFFFFF"/>
          </w:tcPr>
          <w:p w14:paraId="4107FD59"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6A8F2814" w14:textId="29EA26A4"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974.250</w:t>
            </w:r>
          </w:p>
        </w:tc>
        <w:tc>
          <w:tcPr>
            <w:tcW w:w="820" w:type="dxa"/>
            <w:shd w:val="clear" w:color="auto" w:fill="FFFFFF"/>
            <w:vAlign w:val="center"/>
          </w:tcPr>
          <w:p w14:paraId="110184EC" w14:textId="0BBFA334" w:rsidR="00944CCD"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02551CAB"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163971D0"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34CFFA0E"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bl>
    <w:p w14:paraId="2CB01494" w14:textId="77777777" w:rsidR="00944CCD" w:rsidRPr="00CF31E0" w:rsidRDefault="00944CCD" w:rsidP="00944CCD">
      <w:pPr>
        <w:rPr>
          <w:rFonts w:asciiTheme="majorBidi" w:hAnsiTheme="majorBidi" w:cstheme="majorBidi"/>
          <w:b/>
          <w:bCs/>
          <w:color w:val="000000" w:themeColor="text1"/>
        </w:rPr>
      </w:pPr>
    </w:p>
    <w:p w14:paraId="7A123A25" w14:textId="77777777" w:rsidR="00944CCD" w:rsidRPr="00CF31E0" w:rsidRDefault="00944CCD" w:rsidP="00944CC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944CCD" w:rsidRPr="00CF31E0" w14:paraId="31625F25" w14:textId="77777777" w:rsidTr="00944CCD">
        <w:trPr>
          <w:cantSplit/>
        </w:trPr>
        <w:tc>
          <w:tcPr>
            <w:tcW w:w="1736" w:type="dxa"/>
            <w:tcBorders>
              <w:top w:val="single" w:sz="8" w:space="0" w:color="auto"/>
              <w:bottom w:val="single" w:sz="6" w:space="0" w:color="auto"/>
            </w:tcBorders>
            <w:shd w:val="clear" w:color="auto" w:fill="FFFFFF"/>
            <w:vAlign w:val="bottom"/>
          </w:tcPr>
          <w:p w14:paraId="7FC1B229"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Places lived</w:t>
            </w:r>
          </w:p>
        </w:tc>
        <w:tc>
          <w:tcPr>
            <w:tcW w:w="1686" w:type="dxa"/>
            <w:tcBorders>
              <w:top w:val="single" w:sz="8" w:space="0" w:color="auto"/>
              <w:bottom w:val="single" w:sz="6" w:space="0" w:color="auto"/>
            </w:tcBorders>
            <w:shd w:val="clear" w:color="auto" w:fill="FFFFFF"/>
            <w:vAlign w:val="bottom"/>
          </w:tcPr>
          <w:p w14:paraId="44DCD983"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679151C7"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4CFB1B4E"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8535B46"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10E16167"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944CCD" w:rsidRPr="00CF31E0" w14:paraId="737CF4F5" w14:textId="77777777" w:rsidTr="00944CCD">
        <w:trPr>
          <w:cantSplit/>
        </w:trPr>
        <w:tc>
          <w:tcPr>
            <w:tcW w:w="1736" w:type="dxa"/>
            <w:tcBorders>
              <w:top w:val="single" w:sz="6" w:space="0" w:color="auto"/>
              <w:bottom w:val="nil"/>
            </w:tcBorders>
            <w:shd w:val="clear" w:color="auto" w:fill="FFFFFF"/>
          </w:tcPr>
          <w:p w14:paraId="25E8E729"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72F8C5C4" w14:textId="3082A38E"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.318</w:t>
            </w:r>
          </w:p>
        </w:tc>
        <w:tc>
          <w:tcPr>
            <w:tcW w:w="820" w:type="dxa"/>
            <w:tcBorders>
              <w:top w:val="single" w:sz="6" w:space="0" w:color="auto"/>
              <w:bottom w:val="nil"/>
            </w:tcBorders>
            <w:shd w:val="clear" w:color="auto" w:fill="FFFFFF"/>
            <w:vAlign w:val="center"/>
          </w:tcPr>
          <w:p w14:paraId="4CC7E10B" w14:textId="29139028"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2B1151F7" w14:textId="5C59B115"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.318</w:t>
            </w:r>
          </w:p>
        </w:tc>
        <w:tc>
          <w:tcPr>
            <w:tcW w:w="1030" w:type="dxa"/>
            <w:tcBorders>
              <w:top w:val="single" w:sz="6" w:space="0" w:color="auto"/>
              <w:bottom w:val="nil"/>
            </w:tcBorders>
            <w:shd w:val="clear" w:color="auto" w:fill="FFFFFF"/>
            <w:vAlign w:val="center"/>
          </w:tcPr>
          <w:p w14:paraId="52824AF1" w14:textId="1ACA1348"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.210</w:t>
            </w:r>
          </w:p>
        </w:tc>
        <w:tc>
          <w:tcPr>
            <w:tcW w:w="674" w:type="dxa"/>
            <w:tcBorders>
              <w:top w:val="single" w:sz="6" w:space="0" w:color="auto"/>
              <w:bottom w:val="nil"/>
            </w:tcBorders>
            <w:shd w:val="clear" w:color="auto" w:fill="FFFFFF"/>
            <w:vAlign w:val="center"/>
          </w:tcPr>
          <w:p w14:paraId="6B81F410" w14:textId="5918BC6A"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.647</w:t>
            </w:r>
          </w:p>
        </w:tc>
      </w:tr>
      <w:tr w:rsidR="00944CCD" w:rsidRPr="00CF31E0" w14:paraId="737AC640" w14:textId="77777777" w:rsidTr="00944CCD">
        <w:trPr>
          <w:cantSplit/>
        </w:trPr>
        <w:tc>
          <w:tcPr>
            <w:tcW w:w="1736" w:type="dxa"/>
            <w:tcBorders>
              <w:top w:val="nil"/>
            </w:tcBorders>
            <w:shd w:val="clear" w:color="auto" w:fill="FFFFFF"/>
          </w:tcPr>
          <w:p w14:paraId="1BCE5178"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551822D0" w14:textId="33D24E32"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963.404</w:t>
            </w:r>
          </w:p>
        </w:tc>
        <w:tc>
          <w:tcPr>
            <w:tcW w:w="820" w:type="dxa"/>
            <w:tcBorders>
              <w:top w:val="nil"/>
            </w:tcBorders>
            <w:shd w:val="clear" w:color="auto" w:fill="FFFFFF"/>
            <w:vAlign w:val="center"/>
          </w:tcPr>
          <w:p w14:paraId="19FC6493" w14:textId="54AF36C5" w:rsidR="00944CCD"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02AB1B2C" w14:textId="1C87B418"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1.512</w:t>
            </w:r>
          </w:p>
        </w:tc>
        <w:tc>
          <w:tcPr>
            <w:tcW w:w="1030" w:type="dxa"/>
            <w:tcBorders>
              <w:top w:val="nil"/>
            </w:tcBorders>
            <w:shd w:val="clear" w:color="auto" w:fill="FFFFFF"/>
            <w:vAlign w:val="center"/>
          </w:tcPr>
          <w:p w14:paraId="793E0A33"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5C1A2E9B"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r w:rsidR="00944CCD" w:rsidRPr="00CF31E0" w14:paraId="21355C86" w14:textId="77777777" w:rsidTr="00944CCD">
        <w:trPr>
          <w:cantSplit/>
        </w:trPr>
        <w:tc>
          <w:tcPr>
            <w:tcW w:w="1736" w:type="dxa"/>
            <w:shd w:val="clear" w:color="auto" w:fill="FFFFFF"/>
          </w:tcPr>
          <w:p w14:paraId="48146C34"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5287D065" w14:textId="3CF4C8A1"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963.721</w:t>
            </w:r>
          </w:p>
        </w:tc>
        <w:tc>
          <w:tcPr>
            <w:tcW w:w="820" w:type="dxa"/>
            <w:shd w:val="clear" w:color="auto" w:fill="FFFFFF"/>
            <w:vAlign w:val="center"/>
          </w:tcPr>
          <w:p w14:paraId="3F5293CD" w14:textId="732E47F6" w:rsidR="00944CCD"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5DFCE288"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498B6B0D"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04969DEE"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bl>
    <w:p w14:paraId="172B48D7" w14:textId="77777777" w:rsidR="00944CCD" w:rsidRPr="00CF31E0" w:rsidRDefault="00944CCD" w:rsidP="00944CCD">
      <w:pPr>
        <w:rPr>
          <w:rFonts w:asciiTheme="majorBidi" w:hAnsiTheme="majorBidi" w:cstheme="majorBidi"/>
          <w:b/>
          <w:bCs/>
          <w:color w:val="000000" w:themeColor="text1"/>
        </w:rPr>
      </w:pPr>
    </w:p>
    <w:p w14:paraId="72961082" w14:textId="77777777" w:rsidR="00944CCD" w:rsidRPr="00CF31E0" w:rsidRDefault="00944CCD" w:rsidP="00944CC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944CCD" w:rsidRPr="00CF31E0" w14:paraId="5A2C9CA0" w14:textId="77777777" w:rsidTr="00944CCD">
        <w:trPr>
          <w:cantSplit/>
        </w:trPr>
        <w:tc>
          <w:tcPr>
            <w:tcW w:w="1736" w:type="dxa"/>
            <w:tcBorders>
              <w:top w:val="single" w:sz="8" w:space="0" w:color="auto"/>
              <w:bottom w:val="single" w:sz="6" w:space="0" w:color="auto"/>
            </w:tcBorders>
            <w:shd w:val="clear" w:color="auto" w:fill="FFFFFF"/>
            <w:vAlign w:val="bottom"/>
          </w:tcPr>
          <w:p w14:paraId="0204321B"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Marital status</w:t>
            </w:r>
          </w:p>
        </w:tc>
        <w:tc>
          <w:tcPr>
            <w:tcW w:w="1686" w:type="dxa"/>
            <w:tcBorders>
              <w:top w:val="single" w:sz="8" w:space="0" w:color="auto"/>
              <w:bottom w:val="single" w:sz="6" w:space="0" w:color="auto"/>
            </w:tcBorders>
            <w:shd w:val="clear" w:color="auto" w:fill="FFFFFF"/>
            <w:vAlign w:val="bottom"/>
          </w:tcPr>
          <w:p w14:paraId="7602F86B"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6B010D11"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225F4109"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3B4EB37D"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5548853F"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944CCD" w:rsidRPr="00CF31E0" w14:paraId="36044C1D" w14:textId="77777777" w:rsidTr="00944CCD">
        <w:trPr>
          <w:cantSplit/>
        </w:trPr>
        <w:tc>
          <w:tcPr>
            <w:tcW w:w="1736" w:type="dxa"/>
            <w:tcBorders>
              <w:top w:val="single" w:sz="6" w:space="0" w:color="auto"/>
              <w:bottom w:val="nil"/>
            </w:tcBorders>
            <w:shd w:val="clear" w:color="auto" w:fill="FFFFFF"/>
          </w:tcPr>
          <w:p w14:paraId="7C817EB0"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0EE61A9B" w14:textId="2079870A"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7.838</w:t>
            </w:r>
          </w:p>
        </w:tc>
        <w:tc>
          <w:tcPr>
            <w:tcW w:w="820" w:type="dxa"/>
            <w:tcBorders>
              <w:top w:val="single" w:sz="6" w:space="0" w:color="auto"/>
              <w:bottom w:val="nil"/>
            </w:tcBorders>
            <w:shd w:val="clear" w:color="auto" w:fill="FFFFFF"/>
            <w:vAlign w:val="center"/>
          </w:tcPr>
          <w:p w14:paraId="2C9758BE" w14:textId="7C434571"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w:t>
            </w:r>
          </w:p>
        </w:tc>
        <w:tc>
          <w:tcPr>
            <w:tcW w:w="1445" w:type="dxa"/>
            <w:tcBorders>
              <w:top w:val="single" w:sz="6" w:space="0" w:color="auto"/>
              <w:bottom w:val="nil"/>
            </w:tcBorders>
            <w:shd w:val="clear" w:color="auto" w:fill="FFFFFF"/>
            <w:vAlign w:val="center"/>
          </w:tcPr>
          <w:p w14:paraId="45343FD9" w14:textId="1E20F91E"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2.613</w:t>
            </w:r>
          </w:p>
        </w:tc>
        <w:tc>
          <w:tcPr>
            <w:tcW w:w="1030" w:type="dxa"/>
            <w:tcBorders>
              <w:top w:val="single" w:sz="6" w:space="0" w:color="auto"/>
              <w:bottom w:val="nil"/>
            </w:tcBorders>
            <w:shd w:val="clear" w:color="auto" w:fill="FFFFFF"/>
            <w:vAlign w:val="center"/>
          </w:tcPr>
          <w:p w14:paraId="008244F9" w14:textId="487B51A3"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1.744</w:t>
            </w:r>
          </w:p>
        </w:tc>
        <w:tc>
          <w:tcPr>
            <w:tcW w:w="674" w:type="dxa"/>
            <w:tcBorders>
              <w:top w:val="single" w:sz="6" w:space="0" w:color="auto"/>
              <w:bottom w:val="nil"/>
            </w:tcBorders>
            <w:shd w:val="clear" w:color="auto" w:fill="FFFFFF"/>
            <w:vAlign w:val="center"/>
          </w:tcPr>
          <w:p w14:paraId="209CAF78" w14:textId="61EE9853"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.157</w:t>
            </w:r>
          </w:p>
        </w:tc>
      </w:tr>
      <w:tr w:rsidR="00944CCD" w:rsidRPr="00CF31E0" w14:paraId="3F0603BE" w14:textId="77777777" w:rsidTr="00944CCD">
        <w:trPr>
          <w:cantSplit/>
        </w:trPr>
        <w:tc>
          <w:tcPr>
            <w:tcW w:w="1736" w:type="dxa"/>
            <w:tcBorders>
              <w:top w:val="nil"/>
            </w:tcBorders>
            <w:shd w:val="clear" w:color="auto" w:fill="FFFFFF"/>
          </w:tcPr>
          <w:p w14:paraId="5DE8B862"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43F6608B" w14:textId="4F41AED2"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966.412</w:t>
            </w:r>
          </w:p>
        </w:tc>
        <w:tc>
          <w:tcPr>
            <w:tcW w:w="820" w:type="dxa"/>
            <w:tcBorders>
              <w:top w:val="nil"/>
            </w:tcBorders>
            <w:shd w:val="clear" w:color="auto" w:fill="FFFFFF"/>
            <w:vAlign w:val="center"/>
          </w:tcPr>
          <w:p w14:paraId="5DE27F46" w14:textId="63F80A6F" w:rsidR="00944CCD"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646</w:t>
            </w:r>
          </w:p>
        </w:tc>
        <w:tc>
          <w:tcPr>
            <w:tcW w:w="1445" w:type="dxa"/>
            <w:tcBorders>
              <w:top w:val="nil"/>
            </w:tcBorders>
            <w:shd w:val="clear" w:color="auto" w:fill="FFFFFF"/>
            <w:vAlign w:val="center"/>
          </w:tcPr>
          <w:p w14:paraId="553984E8" w14:textId="26C26431"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1.498</w:t>
            </w:r>
          </w:p>
        </w:tc>
        <w:tc>
          <w:tcPr>
            <w:tcW w:w="1030" w:type="dxa"/>
            <w:tcBorders>
              <w:top w:val="nil"/>
            </w:tcBorders>
            <w:shd w:val="clear" w:color="auto" w:fill="FFFFFF"/>
            <w:vAlign w:val="center"/>
          </w:tcPr>
          <w:p w14:paraId="1AACA860"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6CC43A85"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r w:rsidR="00944CCD" w:rsidRPr="00CF31E0" w14:paraId="0AB94F03" w14:textId="77777777" w:rsidTr="00944CCD">
        <w:trPr>
          <w:cantSplit/>
        </w:trPr>
        <w:tc>
          <w:tcPr>
            <w:tcW w:w="1736" w:type="dxa"/>
            <w:shd w:val="clear" w:color="auto" w:fill="FFFFFF"/>
          </w:tcPr>
          <w:p w14:paraId="64CA5A6D"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1FBEF99" w14:textId="7CA093FE"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974.250</w:t>
            </w:r>
          </w:p>
        </w:tc>
        <w:tc>
          <w:tcPr>
            <w:tcW w:w="820" w:type="dxa"/>
            <w:shd w:val="clear" w:color="auto" w:fill="FFFFFF"/>
            <w:vAlign w:val="center"/>
          </w:tcPr>
          <w:p w14:paraId="79239EEA" w14:textId="558B21EA" w:rsidR="00944CCD"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66946B25"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66DF591C"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216A6BE1"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bl>
    <w:p w14:paraId="0218E961" w14:textId="77777777" w:rsidR="00944CCD" w:rsidRPr="00CF31E0" w:rsidRDefault="00944CCD" w:rsidP="00944CCD">
      <w:pPr>
        <w:rPr>
          <w:rFonts w:asciiTheme="majorBidi" w:hAnsiTheme="majorBidi" w:cstheme="majorBidi"/>
          <w:b/>
          <w:bCs/>
          <w:color w:val="000000" w:themeColor="text1"/>
        </w:rPr>
      </w:pPr>
    </w:p>
    <w:p w14:paraId="10BDE610" w14:textId="77777777" w:rsidR="00944CCD" w:rsidRPr="00CF31E0" w:rsidRDefault="00944CCD" w:rsidP="00944CC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944CCD" w:rsidRPr="00CF31E0" w14:paraId="50DA943C" w14:textId="77777777" w:rsidTr="00944CCD">
        <w:trPr>
          <w:cantSplit/>
        </w:trPr>
        <w:tc>
          <w:tcPr>
            <w:tcW w:w="1736" w:type="dxa"/>
            <w:tcBorders>
              <w:top w:val="single" w:sz="8" w:space="0" w:color="auto"/>
              <w:bottom w:val="single" w:sz="6" w:space="0" w:color="auto"/>
            </w:tcBorders>
            <w:shd w:val="clear" w:color="auto" w:fill="FFFFFF"/>
            <w:vAlign w:val="bottom"/>
          </w:tcPr>
          <w:p w14:paraId="602FB3A7"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Education</w:t>
            </w:r>
          </w:p>
        </w:tc>
        <w:tc>
          <w:tcPr>
            <w:tcW w:w="1686" w:type="dxa"/>
            <w:tcBorders>
              <w:top w:val="single" w:sz="8" w:space="0" w:color="auto"/>
              <w:bottom w:val="single" w:sz="6" w:space="0" w:color="auto"/>
            </w:tcBorders>
            <w:shd w:val="clear" w:color="auto" w:fill="FFFFFF"/>
            <w:vAlign w:val="bottom"/>
          </w:tcPr>
          <w:p w14:paraId="210BF539"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62CB403B"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2A6BFDF0"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0BF9A640"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036B925C"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944CCD" w:rsidRPr="00CF31E0" w14:paraId="6F519C28" w14:textId="77777777" w:rsidTr="00944CCD">
        <w:trPr>
          <w:cantSplit/>
        </w:trPr>
        <w:tc>
          <w:tcPr>
            <w:tcW w:w="1736" w:type="dxa"/>
            <w:tcBorders>
              <w:top w:val="single" w:sz="6" w:space="0" w:color="auto"/>
              <w:bottom w:val="nil"/>
            </w:tcBorders>
            <w:shd w:val="clear" w:color="auto" w:fill="FFFFFF"/>
          </w:tcPr>
          <w:p w14:paraId="6C75A034"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778FE5FF" w14:textId="42D4167F"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17.153</w:t>
            </w:r>
          </w:p>
        </w:tc>
        <w:tc>
          <w:tcPr>
            <w:tcW w:w="820" w:type="dxa"/>
            <w:tcBorders>
              <w:top w:val="single" w:sz="6" w:space="0" w:color="auto"/>
              <w:bottom w:val="nil"/>
            </w:tcBorders>
            <w:shd w:val="clear" w:color="auto" w:fill="FFFFFF"/>
            <w:vAlign w:val="center"/>
          </w:tcPr>
          <w:p w14:paraId="66775242" w14:textId="24D6EF30"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w:t>
            </w:r>
          </w:p>
        </w:tc>
        <w:tc>
          <w:tcPr>
            <w:tcW w:w="1445" w:type="dxa"/>
            <w:tcBorders>
              <w:top w:val="single" w:sz="6" w:space="0" w:color="auto"/>
              <w:bottom w:val="nil"/>
            </w:tcBorders>
            <w:shd w:val="clear" w:color="auto" w:fill="FFFFFF"/>
            <w:vAlign w:val="center"/>
          </w:tcPr>
          <w:p w14:paraId="0A9B9A1A" w14:textId="551F7385"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3.431</w:t>
            </w:r>
          </w:p>
        </w:tc>
        <w:tc>
          <w:tcPr>
            <w:tcW w:w="1030" w:type="dxa"/>
            <w:tcBorders>
              <w:top w:val="single" w:sz="6" w:space="0" w:color="auto"/>
              <w:bottom w:val="nil"/>
            </w:tcBorders>
            <w:shd w:val="clear" w:color="auto" w:fill="FFFFFF"/>
            <w:vAlign w:val="center"/>
          </w:tcPr>
          <w:p w14:paraId="0E738F0C" w14:textId="2E15C546"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2.305</w:t>
            </w:r>
          </w:p>
        </w:tc>
        <w:tc>
          <w:tcPr>
            <w:tcW w:w="674" w:type="dxa"/>
            <w:tcBorders>
              <w:top w:val="single" w:sz="6" w:space="0" w:color="auto"/>
              <w:bottom w:val="nil"/>
            </w:tcBorders>
            <w:shd w:val="clear" w:color="auto" w:fill="FFFFFF"/>
            <w:vAlign w:val="center"/>
          </w:tcPr>
          <w:p w14:paraId="02436A4C" w14:textId="24554424"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.063</w:t>
            </w:r>
          </w:p>
        </w:tc>
      </w:tr>
      <w:tr w:rsidR="00944CCD" w:rsidRPr="00CF31E0" w14:paraId="1676ECA3" w14:textId="77777777" w:rsidTr="00944CCD">
        <w:trPr>
          <w:cantSplit/>
        </w:trPr>
        <w:tc>
          <w:tcPr>
            <w:tcW w:w="1736" w:type="dxa"/>
            <w:tcBorders>
              <w:top w:val="nil"/>
            </w:tcBorders>
            <w:shd w:val="clear" w:color="auto" w:fill="FFFFFF"/>
          </w:tcPr>
          <w:p w14:paraId="28E08D5E"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499C09AB" w14:textId="5700AE88"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957.097</w:t>
            </w:r>
          </w:p>
        </w:tc>
        <w:tc>
          <w:tcPr>
            <w:tcW w:w="820" w:type="dxa"/>
            <w:tcBorders>
              <w:top w:val="nil"/>
            </w:tcBorders>
            <w:shd w:val="clear" w:color="auto" w:fill="FFFFFF"/>
            <w:vAlign w:val="center"/>
          </w:tcPr>
          <w:p w14:paraId="022BB9A5" w14:textId="591D2285" w:rsidR="00944CCD"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644</w:t>
            </w:r>
          </w:p>
        </w:tc>
        <w:tc>
          <w:tcPr>
            <w:tcW w:w="1445" w:type="dxa"/>
            <w:tcBorders>
              <w:top w:val="nil"/>
            </w:tcBorders>
            <w:shd w:val="clear" w:color="auto" w:fill="FFFFFF"/>
            <w:vAlign w:val="center"/>
          </w:tcPr>
          <w:p w14:paraId="627D9E38" w14:textId="5202339A"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1.488</w:t>
            </w:r>
          </w:p>
        </w:tc>
        <w:tc>
          <w:tcPr>
            <w:tcW w:w="1030" w:type="dxa"/>
            <w:tcBorders>
              <w:top w:val="nil"/>
            </w:tcBorders>
            <w:shd w:val="clear" w:color="auto" w:fill="FFFFFF"/>
            <w:vAlign w:val="center"/>
          </w:tcPr>
          <w:p w14:paraId="082BBBCB"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10CFFF04"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r w:rsidR="00944CCD" w:rsidRPr="00CF31E0" w14:paraId="1DF7BCE3" w14:textId="77777777" w:rsidTr="00944CCD">
        <w:trPr>
          <w:cantSplit/>
        </w:trPr>
        <w:tc>
          <w:tcPr>
            <w:tcW w:w="1736" w:type="dxa"/>
            <w:shd w:val="clear" w:color="auto" w:fill="FFFFFF"/>
          </w:tcPr>
          <w:p w14:paraId="6B60D4D2"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CD1718C" w14:textId="5B2EE70E"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974.250</w:t>
            </w:r>
          </w:p>
        </w:tc>
        <w:tc>
          <w:tcPr>
            <w:tcW w:w="820" w:type="dxa"/>
            <w:shd w:val="clear" w:color="auto" w:fill="FFFFFF"/>
            <w:vAlign w:val="center"/>
          </w:tcPr>
          <w:p w14:paraId="09FE1268" w14:textId="0E107D90" w:rsidR="00944CCD"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7314CDB6"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0024A639"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190989CA"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bl>
    <w:p w14:paraId="441622A4" w14:textId="77777777" w:rsidR="00944CCD" w:rsidRPr="00CF31E0" w:rsidRDefault="00944CCD" w:rsidP="00944CCD">
      <w:pPr>
        <w:rPr>
          <w:rFonts w:asciiTheme="majorBidi" w:hAnsiTheme="majorBidi" w:cstheme="majorBidi"/>
          <w:b/>
          <w:bCs/>
          <w:color w:val="000000" w:themeColor="text1"/>
        </w:rPr>
      </w:pPr>
    </w:p>
    <w:p w14:paraId="203BD941" w14:textId="77777777" w:rsidR="00944CCD" w:rsidRPr="00CF31E0" w:rsidRDefault="00944CCD" w:rsidP="00944CC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2"/>
        <w:gridCol w:w="1443"/>
        <w:gridCol w:w="1030"/>
        <w:gridCol w:w="674"/>
      </w:tblGrid>
      <w:tr w:rsidR="00944CCD" w:rsidRPr="00CF31E0" w14:paraId="127451E3" w14:textId="77777777" w:rsidTr="000604AB">
        <w:trPr>
          <w:cantSplit/>
        </w:trPr>
        <w:tc>
          <w:tcPr>
            <w:tcW w:w="1736" w:type="dxa"/>
            <w:tcBorders>
              <w:top w:val="single" w:sz="8" w:space="0" w:color="auto"/>
              <w:bottom w:val="single" w:sz="6" w:space="0" w:color="auto"/>
            </w:tcBorders>
            <w:shd w:val="clear" w:color="auto" w:fill="FFFFFF"/>
            <w:vAlign w:val="bottom"/>
          </w:tcPr>
          <w:p w14:paraId="330A46C4"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Social group</w:t>
            </w:r>
          </w:p>
        </w:tc>
        <w:tc>
          <w:tcPr>
            <w:tcW w:w="1686" w:type="dxa"/>
            <w:tcBorders>
              <w:top w:val="single" w:sz="8" w:space="0" w:color="auto"/>
              <w:bottom w:val="single" w:sz="6" w:space="0" w:color="auto"/>
            </w:tcBorders>
            <w:shd w:val="clear" w:color="auto" w:fill="FFFFFF"/>
            <w:vAlign w:val="bottom"/>
          </w:tcPr>
          <w:p w14:paraId="2C4990DD"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2" w:type="dxa"/>
            <w:tcBorders>
              <w:top w:val="single" w:sz="8" w:space="0" w:color="auto"/>
              <w:bottom w:val="single" w:sz="6" w:space="0" w:color="auto"/>
            </w:tcBorders>
            <w:shd w:val="clear" w:color="auto" w:fill="FFFFFF"/>
            <w:vAlign w:val="bottom"/>
          </w:tcPr>
          <w:p w14:paraId="1D4748F3"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3" w:type="dxa"/>
            <w:tcBorders>
              <w:top w:val="single" w:sz="8" w:space="0" w:color="auto"/>
              <w:bottom w:val="single" w:sz="6" w:space="0" w:color="auto"/>
            </w:tcBorders>
            <w:shd w:val="clear" w:color="auto" w:fill="FFFFFF"/>
            <w:vAlign w:val="bottom"/>
          </w:tcPr>
          <w:p w14:paraId="52C663E0"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1FF25ACC"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2F921675"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944CCD" w:rsidRPr="00CF31E0" w14:paraId="7468BE55" w14:textId="77777777" w:rsidTr="000604AB">
        <w:trPr>
          <w:cantSplit/>
        </w:trPr>
        <w:tc>
          <w:tcPr>
            <w:tcW w:w="1736" w:type="dxa"/>
            <w:tcBorders>
              <w:top w:val="single" w:sz="6" w:space="0" w:color="auto"/>
              <w:bottom w:val="nil"/>
            </w:tcBorders>
            <w:shd w:val="clear" w:color="auto" w:fill="FFFFFF"/>
          </w:tcPr>
          <w:p w14:paraId="13761A9B"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34E75512" w14:textId="7AF15475"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4.871</w:t>
            </w:r>
          </w:p>
        </w:tc>
        <w:tc>
          <w:tcPr>
            <w:tcW w:w="822" w:type="dxa"/>
            <w:tcBorders>
              <w:top w:val="single" w:sz="6" w:space="0" w:color="auto"/>
              <w:bottom w:val="nil"/>
            </w:tcBorders>
            <w:shd w:val="clear" w:color="auto" w:fill="FFFFFF"/>
            <w:vAlign w:val="center"/>
          </w:tcPr>
          <w:p w14:paraId="29B76630" w14:textId="5C58A8A4"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3" w:type="dxa"/>
            <w:tcBorders>
              <w:top w:val="single" w:sz="6" w:space="0" w:color="auto"/>
              <w:bottom w:val="nil"/>
            </w:tcBorders>
            <w:shd w:val="clear" w:color="auto" w:fill="FFFFFF"/>
            <w:vAlign w:val="center"/>
          </w:tcPr>
          <w:p w14:paraId="7BD80052" w14:textId="539B7AA3"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4.871</w:t>
            </w:r>
          </w:p>
        </w:tc>
        <w:tc>
          <w:tcPr>
            <w:tcW w:w="1030" w:type="dxa"/>
            <w:tcBorders>
              <w:top w:val="single" w:sz="6" w:space="0" w:color="auto"/>
              <w:bottom w:val="nil"/>
            </w:tcBorders>
            <w:shd w:val="clear" w:color="auto" w:fill="FFFFFF"/>
            <w:vAlign w:val="center"/>
          </w:tcPr>
          <w:p w14:paraId="28915588" w14:textId="75A4501B"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3.251</w:t>
            </w:r>
          </w:p>
        </w:tc>
        <w:tc>
          <w:tcPr>
            <w:tcW w:w="674" w:type="dxa"/>
            <w:tcBorders>
              <w:top w:val="single" w:sz="6" w:space="0" w:color="auto"/>
              <w:bottom w:val="nil"/>
            </w:tcBorders>
            <w:shd w:val="clear" w:color="auto" w:fill="FFFFFF"/>
            <w:vAlign w:val="center"/>
          </w:tcPr>
          <w:p w14:paraId="6A8B131A" w14:textId="550B1168"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.072</w:t>
            </w:r>
          </w:p>
        </w:tc>
      </w:tr>
      <w:tr w:rsidR="00944CCD" w:rsidRPr="00CF31E0" w14:paraId="750546FC" w14:textId="77777777" w:rsidTr="000604AB">
        <w:trPr>
          <w:cantSplit/>
        </w:trPr>
        <w:tc>
          <w:tcPr>
            <w:tcW w:w="1736" w:type="dxa"/>
            <w:tcBorders>
              <w:top w:val="nil"/>
            </w:tcBorders>
            <w:shd w:val="clear" w:color="auto" w:fill="FFFFFF"/>
          </w:tcPr>
          <w:p w14:paraId="715AC6AD"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4284C82B" w14:textId="50358EA5"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969.378</w:t>
            </w:r>
          </w:p>
        </w:tc>
        <w:tc>
          <w:tcPr>
            <w:tcW w:w="822" w:type="dxa"/>
            <w:tcBorders>
              <w:top w:val="nil"/>
            </w:tcBorders>
            <w:shd w:val="clear" w:color="auto" w:fill="FFFFFF"/>
            <w:vAlign w:val="center"/>
          </w:tcPr>
          <w:p w14:paraId="7AFFF40E" w14:textId="4E5F1CD8" w:rsidR="00944CCD"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3" w:type="dxa"/>
            <w:tcBorders>
              <w:top w:val="nil"/>
            </w:tcBorders>
            <w:shd w:val="clear" w:color="auto" w:fill="FFFFFF"/>
            <w:vAlign w:val="center"/>
          </w:tcPr>
          <w:p w14:paraId="4842C681" w14:textId="4A13060A"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1.498</w:t>
            </w:r>
          </w:p>
        </w:tc>
        <w:tc>
          <w:tcPr>
            <w:tcW w:w="1030" w:type="dxa"/>
            <w:tcBorders>
              <w:top w:val="nil"/>
            </w:tcBorders>
            <w:shd w:val="clear" w:color="auto" w:fill="FFFFFF"/>
            <w:vAlign w:val="center"/>
          </w:tcPr>
          <w:p w14:paraId="44C621A6"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0005AE88"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r w:rsidR="00944CCD" w:rsidRPr="00CF31E0" w14:paraId="6AE14FFF" w14:textId="77777777" w:rsidTr="000604AB">
        <w:trPr>
          <w:cantSplit/>
        </w:trPr>
        <w:tc>
          <w:tcPr>
            <w:tcW w:w="1736" w:type="dxa"/>
            <w:shd w:val="clear" w:color="auto" w:fill="FFFFFF"/>
          </w:tcPr>
          <w:p w14:paraId="6681187F"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0195BDCC" w14:textId="3E704410"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974.250</w:t>
            </w:r>
          </w:p>
        </w:tc>
        <w:tc>
          <w:tcPr>
            <w:tcW w:w="822" w:type="dxa"/>
            <w:shd w:val="clear" w:color="auto" w:fill="FFFFFF"/>
            <w:vAlign w:val="center"/>
          </w:tcPr>
          <w:p w14:paraId="689EDFAC" w14:textId="7EF911A4" w:rsidR="00944CCD"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3" w:type="dxa"/>
            <w:shd w:val="clear" w:color="auto" w:fill="FFFFFF"/>
            <w:vAlign w:val="center"/>
          </w:tcPr>
          <w:p w14:paraId="31F7BBE7"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07F059E0"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2AB48865"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bl>
    <w:p w14:paraId="60C6EA83" w14:textId="77777777" w:rsidR="00944CCD" w:rsidRPr="00CF31E0" w:rsidRDefault="00944CCD" w:rsidP="00944CCD">
      <w:pPr>
        <w:rPr>
          <w:rFonts w:asciiTheme="majorBidi" w:hAnsiTheme="majorBidi" w:cstheme="majorBidi"/>
          <w:b/>
          <w:bCs/>
          <w:color w:val="000000" w:themeColor="text1"/>
        </w:rPr>
      </w:pPr>
    </w:p>
    <w:p w14:paraId="4A1F8D9D" w14:textId="77777777" w:rsidR="00944CCD" w:rsidRPr="00CF31E0" w:rsidRDefault="00944CCD" w:rsidP="00944CC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944CCD" w:rsidRPr="00CF31E0" w14:paraId="79EEDAC7" w14:textId="77777777" w:rsidTr="00944CCD">
        <w:trPr>
          <w:cantSplit/>
        </w:trPr>
        <w:tc>
          <w:tcPr>
            <w:tcW w:w="1736" w:type="dxa"/>
            <w:tcBorders>
              <w:top w:val="single" w:sz="8" w:space="0" w:color="auto"/>
              <w:bottom w:val="single" w:sz="6" w:space="0" w:color="auto"/>
            </w:tcBorders>
            <w:shd w:val="clear" w:color="auto" w:fill="FFFFFF"/>
            <w:vAlign w:val="bottom"/>
          </w:tcPr>
          <w:p w14:paraId="61AC4FA1"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Mother’s social group</w:t>
            </w:r>
          </w:p>
        </w:tc>
        <w:tc>
          <w:tcPr>
            <w:tcW w:w="1686" w:type="dxa"/>
            <w:tcBorders>
              <w:top w:val="single" w:sz="8" w:space="0" w:color="auto"/>
              <w:bottom w:val="single" w:sz="6" w:space="0" w:color="auto"/>
            </w:tcBorders>
            <w:shd w:val="clear" w:color="auto" w:fill="FFFFFF"/>
            <w:vAlign w:val="bottom"/>
          </w:tcPr>
          <w:p w14:paraId="2A77C95A"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507450D2"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94D5AF0"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47A66A13"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56404047"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944CCD" w:rsidRPr="00CF31E0" w14:paraId="2142BFB1" w14:textId="77777777" w:rsidTr="00944CCD">
        <w:trPr>
          <w:cantSplit/>
        </w:trPr>
        <w:tc>
          <w:tcPr>
            <w:tcW w:w="1736" w:type="dxa"/>
            <w:tcBorders>
              <w:top w:val="single" w:sz="6" w:space="0" w:color="auto"/>
              <w:bottom w:val="nil"/>
            </w:tcBorders>
            <w:shd w:val="clear" w:color="auto" w:fill="FFFFFF"/>
          </w:tcPr>
          <w:p w14:paraId="5B4BEF37"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0B24F29E" w14:textId="6541B7D6"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6.134</w:t>
            </w:r>
          </w:p>
        </w:tc>
        <w:tc>
          <w:tcPr>
            <w:tcW w:w="820" w:type="dxa"/>
            <w:tcBorders>
              <w:top w:val="single" w:sz="6" w:space="0" w:color="auto"/>
              <w:bottom w:val="nil"/>
            </w:tcBorders>
            <w:shd w:val="clear" w:color="auto" w:fill="FFFFFF"/>
            <w:vAlign w:val="center"/>
          </w:tcPr>
          <w:p w14:paraId="237C3E83" w14:textId="35C1D481"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w:t>
            </w:r>
          </w:p>
        </w:tc>
        <w:tc>
          <w:tcPr>
            <w:tcW w:w="1445" w:type="dxa"/>
            <w:tcBorders>
              <w:top w:val="single" w:sz="6" w:space="0" w:color="auto"/>
              <w:bottom w:val="nil"/>
            </w:tcBorders>
            <w:shd w:val="clear" w:color="auto" w:fill="FFFFFF"/>
            <w:vAlign w:val="center"/>
          </w:tcPr>
          <w:p w14:paraId="7076FA62" w14:textId="37547595"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3.067</w:t>
            </w:r>
          </w:p>
        </w:tc>
        <w:tc>
          <w:tcPr>
            <w:tcW w:w="1030" w:type="dxa"/>
            <w:tcBorders>
              <w:top w:val="single" w:sz="6" w:space="0" w:color="auto"/>
              <w:bottom w:val="nil"/>
            </w:tcBorders>
            <w:shd w:val="clear" w:color="auto" w:fill="FFFFFF"/>
            <w:vAlign w:val="center"/>
          </w:tcPr>
          <w:p w14:paraId="1F7076CB" w14:textId="42FF984E"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2.050</w:t>
            </w:r>
          </w:p>
        </w:tc>
        <w:tc>
          <w:tcPr>
            <w:tcW w:w="674" w:type="dxa"/>
            <w:tcBorders>
              <w:top w:val="single" w:sz="6" w:space="0" w:color="auto"/>
              <w:bottom w:val="nil"/>
            </w:tcBorders>
            <w:shd w:val="clear" w:color="auto" w:fill="FFFFFF"/>
            <w:vAlign w:val="center"/>
          </w:tcPr>
          <w:p w14:paraId="388A0085" w14:textId="4D600A05"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.130</w:t>
            </w:r>
          </w:p>
        </w:tc>
      </w:tr>
      <w:tr w:rsidR="00944CCD" w:rsidRPr="00CF31E0" w14:paraId="0A439C61" w14:textId="77777777" w:rsidTr="00944CCD">
        <w:trPr>
          <w:cantSplit/>
        </w:trPr>
        <w:tc>
          <w:tcPr>
            <w:tcW w:w="1736" w:type="dxa"/>
            <w:tcBorders>
              <w:top w:val="nil"/>
            </w:tcBorders>
            <w:shd w:val="clear" w:color="auto" w:fill="FFFFFF"/>
          </w:tcPr>
          <w:p w14:paraId="18C0A6D2"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31CC7EA3" w14:textId="11852E7B"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964.971</w:t>
            </w:r>
          </w:p>
        </w:tc>
        <w:tc>
          <w:tcPr>
            <w:tcW w:w="820" w:type="dxa"/>
            <w:tcBorders>
              <w:top w:val="nil"/>
            </w:tcBorders>
            <w:shd w:val="clear" w:color="auto" w:fill="FFFFFF"/>
            <w:vAlign w:val="center"/>
          </w:tcPr>
          <w:p w14:paraId="0D22FD79" w14:textId="50C9339D" w:rsidR="00944CCD"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647</w:t>
            </w:r>
          </w:p>
        </w:tc>
        <w:tc>
          <w:tcPr>
            <w:tcW w:w="1445" w:type="dxa"/>
            <w:tcBorders>
              <w:top w:val="nil"/>
            </w:tcBorders>
            <w:shd w:val="clear" w:color="auto" w:fill="FFFFFF"/>
            <w:vAlign w:val="center"/>
          </w:tcPr>
          <w:p w14:paraId="1262BEA9" w14:textId="1415FE2D"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1.496</w:t>
            </w:r>
          </w:p>
        </w:tc>
        <w:tc>
          <w:tcPr>
            <w:tcW w:w="1030" w:type="dxa"/>
            <w:tcBorders>
              <w:top w:val="nil"/>
            </w:tcBorders>
            <w:shd w:val="clear" w:color="auto" w:fill="FFFFFF"/>
            <w:vAlign w:val="center"/>
          </w:tcPr>
          <w:p w14:paraId="7139199B"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369842B3"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r w:rsidR="00944CCD" w:rsidRPr="00CF31E0" w14:paraId="0268CE63" w14:textId="77777777" w:rsidTr="00944CCD">
        <w:trPr>
          <w:cantSplit/>
        </w:trPr>
        <w:tc>
          <w:tcPr>
            <w:tcW w:w="1736" w:type="dxa"/>
            <w:shd w:val="clear" w:color="auto" w:fill="FFFFFF"/>
          </w:tcPr>
          <w:p w14:paraId="5ED2F66D"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5E448E7C" w14:textId="5837468A"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971.105</w:t>
            </w:r>
          </w:p>
        </w:tc>
        <w:tc>
          <w:tcPr>
            <w:tcW w:w="820" w:type="dxa"/>
            <w:shd w:val="clear" w:color="auto" w:fill="FFFFFF"/>
            <w:vAlign w:val="center"/>
          </w:tcPr>
          <w:p w14:paraId="071B118D" w14:textId="0E443F39" w:rsidR="00944CCD"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347D1448"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3D7FE1A0"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6DFF9E4C"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bl>
    <w:p w14:paraId="09C25A59" w14:textId="77777777" w:rsidR="00944CCD" w:rsidRPr="00CF31E0" w:rsidRDefault="00944CCD" w:rsidP="00944CCD">
      <w:pPr>
        <w:rPr>
          <w:rFonts w:asciiTheme="majorBidi" w:hAnsiTheme="majorBidi" w:cstheme="majorBidi"/>
          <w:b/>
          <w:bCs/>
          <w:color w:val="000000" w:themeColor="text1"/>
        </w:rPr>
      </w:pPr>
    </w:p>
    <w:p w14:paraId="0010CC86" w14:textId="77777777" w:rsidR="00944CCD" w:rsidRPr="00CF31E0" w:rsidRDefault="00944CCD" w:rsidP="00944CCD">
      <w:pPr>
        <w:rPr>
          <w:rFonts w:asciiTheme="majorBidi" w:hAnsiTheme="majorBidi" w:cstheme="majorBidi"/>
          <w:b/>
          <w:bCs/>
          <w:color w:val="000000" w:themeColor="text1"/>
        </w:rPr>
      </w:pPr>
    </w:p>
    <w:p w14:paraId="617DB968" w14:textId="77777777" w:rsidR="00944CCD" w:rsidRPr="00CF31E0" w:rsidRDefault="00944CCD" w:rsidP="00944CCD">
      <w:pPr>
        <w:rPr>
          <w:rFonts w:asciiTheme="majorBidi" w:hAnsiTheme="majorBidi" w:cstheme="majorBidi"/>
          <w:b/>
          <w:bCs/>
          <w:color w:val="000000" w:themeColor="text1"/>
        </w:rPr>
      </w:pPr>
    </w:p>
    <w:p w14:paraId="069D0DA0" w14:textId="77777777" w:rsidR="00944CCD" w:rsidRPr="00CF31E0" w:rsidRDefault="00944CCD" w:rsidP="00944CC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944CCD" w:rsidRPr="00CF31E0" w14:paraId="49ABE1CF" w14:textId="77777777" w:rsidTr="00944CCD">
        <w:trPr>
          <w:cantSplit/>
        </w:trPr>
        <w:tc>
          <w:tcPr>
            <w:tcW w:w="1736" w:type="dxa"/>
            <w:tcBorders>
              <w:top w:val="single" w:sz="8" w:space="0" w:color="auto"/>
              <w:bottom w:val="single" w:sz="6" w:space="0" w:color="auto"/>
            </w:tcBorders>
            <w:shd w:val="clear" w:color="auto" w:fill="FFFFFF"/>
            <w:vAlign w:val="bottom"/>
          </w:tcPr>
          <w:p w14:paraId="1F82E007"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Spouse’s social group</w:t>
            </w:r>
          </w:p>
        </w:tc>
        <w:tc>
          <w:tcPr>
            <w:tcW w:w="1686" w:type="dxa"/>
            <w:tcBorders>
              <w:top w:val="single" w:sz="8" w:space="0" w:color="auto"/>
              <w:bottom w:val="single" w:sz="6" w:space="0" w:color="auto"/>
            </w:tcBorders>
            <w:shd w:val="clear" w:color="auto" w:fill="FFFFFF"/>
            <w:vAlign w:val="bottom"/>
          </w:tcPr>
          <w:p w14:paraId="7AD92F55"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78F9B8B3"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F2FAFBA"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0375406D"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44353E82"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944CCD" w:rsidRPr="00CF31E0" w14:paraId="12A62FF5" w14:textId="77777777" w:rsidTr="00944CCD">
        <w:trPr>
          <w:cantSplit/>
        </w:trPr>
        <w:tc>
          <w:tcPr>
            <w:tcW w:w="1736" w:type="dxa"/>
            <w:tcBorders>
              <w:top w:val="single" w:sz="6" w:space="0" w:color="auto"/>
              <w:bottom w:val="nil"/>
            </w:tcBorders>
            <w:shd w:val="clear" w:color="auto" w:fill="FFFFFF"/>
          </w:tcPr>
          <w:p w14:paraId="6202A135"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19EF5462" w14:textId="38FDA5C8"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10.582</w:t>
            </w:r>
          </w:p>
        </w:tc>
        <w:tc>
          <w:tcPr>
            <w:tcW w:w="820" w:type="dxa"/>
            <w:tcBorders>
              <w:top w:val="single" w:sz="6" w:space="0" w:color="auto"/>
              <w:bottom w:val="nil"/>
            </w:tcBorders>
            <w:shd w:val="clear" w:color="auto" w:fill="FFFFFF"/>
            <w:vAlign w:val="center"/>
          </w:tcPr>
          <w:p w14:paraId="0D84FD2F" w14:textId="7244ABA2"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w:t>
            </w:r>
          </w:p>
        </w:tc>
        <w:tc>
          <w:tcPr>
            <w:tcW w:w="1445" w:type="dxa"/>
            <w:tcBorders>
              <w:top w:val="single" w:sz="6" w:space="0" w:color="auto"/>
              <w:bottom w:val="nil"/>
            </w:tcBorders>
            <w:shd w:val="clear" w:color="auto" w:fill="FFFFFF"/>
            <w:vAlign w:val="center"/>
          </w:tcPr>
          <w:p w14:paraId="41F1B5C9" w14:textId="7D86CD43"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2.645</w:t>
            </w:r>
          </w:p>
        </w:tc>
        <w:tc>
          <w:tcPr>
            <w:tcW w:w="1030" w:type="dxa"/>
            <w:tcBorders>
              <w:top w:val="single" w:sz="6" w:space="0" w:color="auto"/>
              <w:bottom w:val="nil"/>
            </w:tcBorders>
            <w:shd w:val="clear" w:color="auto" w:fill="FFFFFF"/>
            <w:vAlign w:val="center"/>
          </w:tcPr>
          <w:p w14:paraId="70D7C552" w14:textId="65FE13BA"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1.779</w:t>
            </w:r>
          </w:p>
        </w:tc>
        <w:tc>
          <w:tcPr>
            <w:tcW w:w="674" w:type="dxa"/>
            <w:tcBorders>
              <w:top w:val="single" w:sz="6" w:space="0" w:color="auto"/>
              <w:bottom w:val="nil"/>
            </w:tcBorders>
            <w:shd w:val="clear" w:color="auto" w:fill="FFFFFF"/>
            <w:vAlign w:val="center"/>
          </w:tcPr>
          <w:p w14:paraId="20B9CACF" w14:textId="5AB9441E"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.131</w:t>
            </w:r>
          </w:p>
        </w:tc>
      </w:tr>
      <w:tr w:rsidR="00944CCD" w:rsidRPr="00CF31E0" w14:paraId="74AF96D5" w14:textId="77777777" w:rsidTr="00944CCD">
        <w:trPr>
          <w:cantSplit/>
        </w:trPr>
        <w:tc>
          <w:tcPr>
            <w:tcW w:w="1736" w:type="dxa"/>
            <w:tcBorders>
              <w:top w:val="nil"/>
            </w:tcBorders>
            <w:shd w:val="clear" w:color="auto" w:fill="FFFFFF"/>
          </w:tcPr>
          <w:p w14:paraId="0C8A8BCB"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3A21B0A8" w14:textId="41CBE4DC"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951.821</w:t>
            </w:r>
          </w:p>
        </w:tc>
        <w:tc>
          <w:tcPr>
            <w:tcW w:w="820" w:type="dxa"/>
            <w:tcBorders>
              <w:top w:val="nil"/>
            </w:tcBorders>
            <w:shd w:val="clear" w:color="auto" w:fill="FFFFFF"/>
            <w:vAlign w:val="center"/>
          </w:tcPr>
          <w:p w14:paraId="3982E291" w14:textId="10EEA8A4" w:rsidR="00944CCD"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645</w:t>
            </w:r>
          </w:p>
        </w:tc>
        <w:tc>
          <w:tcPr>
            <w:tcW w:w="1445" w:type="dxa"/>
            <w:tcBorders>
              <w:top w:val="nil"/>
            </w:tcBorders>
            <w:shd w:val="clear" w:color="auto" w:fill="FFFFFF"/>
            <w:vAlign w:val="center"/>
          </w:tcPr>
          <w:p w14:paraId="6D3A9DBA" w14:textId="48686640"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1.487</w:t>
            </w:r>
          </w:p>
        </w:tc>
        <w:tc>
          <w:tcPr>
            <w:tcW w:w="1030" w:type="dxa"/>
            <w:tcBorders>
              <w:top w:val="nil"/>
            </w:tcBorders>
            <w:shd w:val="clear" w:color="auto" w:fill="FFFFFF"/>
            <w:vAlign w:val="center"/>
          </w:tcPr>
          <w:p w14:paraId="7CC1EC97"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369E5F02"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r w:rsidR="00944CCD" w:rsidRPr="00CF31E0" w14:paraId="55DDF686" w14:textId="77777777" w:rsidTr="00944CCD">
        <w:trPr>
          <w:cantSplit/>
        </w:trPr>
        <w:tc>
          <w:tcPr>
            <w:tcW w:w="1736" w:type="dxa"/>
            <w:shd w:val="clear" w:color="auto" w:fill="FFFFFF"/>
          </w:tcPr>
          <w:p w14:paraId="0F3A51AF"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B5C540E" w14:textId="50FDE79A"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962.403</w:t>
            </w:r>
          </w:p>
        </w:tc>
        <w:tc>
          <w:tcPr>
            <w:tcW w:w="820" w:type="dxa"/>
            <w:shd w:val="clear" w:color="auto" w:fill="FFFFFF"/>
            <w:vAlign w:val="center"/>
          </w:tcPr>
          <w:p w14:paraId="301180BE" w14:textId="13919160" w:rsidR="00944CCD"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2A84C2D4"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423315A2"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3CD1C0CB"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bl>
    <w:p w14:paraId="3F475729" w14:textId="77777777" w:rsidR="00944CCD" w:rsidRPr="00CF31E0" w:rsidRDefault="00944CCD" w:rsidP="00944CCD">
      <w:pPr>
        <w:rPr>
          <w:rFonts w:asciiTheme="majorBidi" w:hAnsiTheme="majorBidi" w:cstheme="majorBidi"/>
          <w:b/>
          <w:bCs/>
          <w:color w:val="000000" w:themeColor="text1"/>
        </w:rPr>
      </w:pPr>
    </w:p>
    <w:p w14:paraId="2EE789A0" w14:textId="77777777" w:rsidR="00944CCD" w:rsidRPr="00CF31E0" w:rsidRDefault="00944CCD" w:rsidP="00944CCD">
      <w:pPr>
        <w:rPr>
          <w:rFonts w:asciiTheme="majorBidi" w:hAnsiTheme="majorBidi" w:cstheme="majorBidi"/>
          <w:b/>
          <w:bCs/>
          <w:color w:val="000000" w:themeColor="text1"/>
        </w:rPr>
      </w:pPr>
    </w:p>
    <w:p w14:paraId="03978EC7" w14:textId="77777777" w:rsidR="00944CCD" w:rsidRPr="00CF31E0" w:rsidRDefault="00944CCD" w:rsidP="00944CCD">
      <w:pPr>
        <w:pStyle w:val="ListParagraph"/>
        <w:numPr>
          <w:ilvl w:val="0"/>
          <w:numId w:val="71"/>
        </w:numPr>
        <w:rPr>
          <w:rFonts w:asciiTheme="majorBidi" w:hAnsiTheme="majorBidi" w:cstheme="majorBidi"/>
          <w:b/>
          <w:bCs/>
          <w:color w:val="000000" w:themeColor="text1"/>
          <w:sz w:val="28"/>
          <w:szCs w:val="28"/>
        </w:rPr>
      </w:pPr>
      <w:r w:rsidRPr="00CF31E0">
        <w:rPr>
          <w:rFonts w:asciiTheme="majorBidi" w:hAnsiTheme="majorBidi" w:cstheme="majorBidi"/>
          <w:b/>
          <w:bCs/>
          <w:color w:val="000000" w:themeColor="text1"/>
          <w:sz w:val="28"/>
          <w:szCs w:val="28"/>
        </w:rPr>
        <w:t>Similar to other Arabic dialects scale</w:t>
      </w:r>
    </w:p>
    <w:p w14:paraId="684D1EFD" w14:textId="77777777" w:rsidR="00944CCD" w:rsidRPr="00CF31E0" w:rsidRDefault="00944CCD" w:rsidP="00944CC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944CCD" w:rsidRPr="00CF31E0" w14:paraId="300F0CA0" w14:textId="77777777" w:rsidTr="00944CCD">
        <w:trPr>
          <w:cantSplit/>
        </w:trPr>
        <w:tc>
          <w:tcPr>
            <w:tcW w:w="1736" w:type="dxa"/>
            <w:tcBorders>
              <w:top w:val="single" w:sz="8" w:space="0" w:color="auto"/>
              <w:bottom w:val="single" w:sz="6" w:space="0" w:color="auto"/>
            </w:tcBorders>
            <w:shd w:val="clear" w:color="auto" w:fill="FFFFFF"/>
            <w:vAlign w:val="bottom"/>
          </w:tcPr>
          <w:p w14:paraId="3EAE94D9"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Gender</w:t>
            </w:r>
          </w:p>
        </w:tc>
        <w:tc>
          <w:tcPr>
            <w:tcW w:w="1686" w:type="dxa"/>
            <w:tcBorders>
              <w:top w:val="single" w:sz="8" w:space="0" w:color="auto"/>
              <w:bottom w:val="single" w:sz="6" w:space="0" w:color="auto"/>
            </w:tcBorders>
            <w:shd w:val="clear" w:color="auto" w:fill="FFFFFF"/>
            <w:vAlign w:val="bottom"/>
          </w:tcPr>
          <w:p w14:paraId="4A91272B"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3D986A66"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B36935D"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17C01521"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3EF74B43"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944CCD" w:rsidRPr="00CF31E0" w14:paraId="2A9DD046" w14:textId="77777777" w:rsidTr="00944CCD">
        <w:trPr>
          <w:cantSplit/>
        </w:trPr>
        <w:tc>
          <w:tcPr>
            <w:tcW w:w="1736" w:type="dxa"/>
            <w:tcBorders>
              <w:top w:val="single" w:sz="6" w:space="0" w:color="auto"/>
              <w:bottom w:val="nil"/>
            </w:tcBorders>
            <w:shd w:val="clear" w:color="auto" w:fill="FFFFFF"/>
          </w:tcPr>
          <w:p w14:paraId="4C64344F"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3B37A0E7" w14:textId="152EC9B6"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3.095</w:t>
            </w:r>
          </w:p>
        </w:tc>
        <w:tc>
          <w:tcPr>
            <w:tcW w:w="820" w:type="dxa"/>
            <w:tcBorders>
              <w:top w:val="single" w:sz="6" w:space="0" w:color="auto"/>
              <w:bottom w:val="nil"/>
            </w:tcBorders>
            <w:shd w:val="clear" w:color="auto" w:fill="FFFFFF"/>
            <w:vAlign w:val="center"/>
          </w:tcPr>
          <w:p w14:paraId="60248E77" w14:textId="0D18A3DD"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757A4F2F" w14:textId="609A6EF2"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3.095</w:t>
            </w:r>
          </w:p>
        </w:tc>
        <w:tc>
          <w:tcPr>
            <w:tcW w:w="1030" w:type="dxa"/>
            <w:tcBorders>
              <w:top w:val="single" w:sz="6" w:space="0" w:color="auto"/>
              <w:bottom w:val="nil"/>
            </w:tcBorders>
            <w:shd w:val="clear" w:color="auto" w:fill="FFFFFF"/>
            <w:vAlign w:val="center"/>
          </w:tcPr>
          <w:p w14:paraId="703CA3C0" w14:textId="3757E72C"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2.057</w:t>
            </w:r>
          </w:p>
        </w:tc>
        <w:tc>
          <w:tcPr>
            <w:tcW w:w="674" w:type="dxa"/>
            <w:tcBorders>
              <w:top w:val="single" w:sz="6" w:space="0" w:color="auto"/>
              <w:bottom w:val="nil"/>
            </w:tcBorders>
            <w:shd w:val="clear" w:color="auto" w:fill="FFFFFF"/>
            <w:vAlign w:val="center"/>
          </w:tcPr>
          <w:p w14:paraId="6162E952" w14:textId="030E24CF"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.152</w:t>
            </w:r>
          </w:p>
        </w:tc>
      </w:tr>
      <w:tr w:rsidR="00944CCD" w:rsidRPr="00CF31E0" w14:paraId="000E6606" w14:textId="77777777" w:rsidTr="00944CCD">
        <w:trPr>
          <w:cantSplit/>
        </w:trPr>
        <w:tc>
          <w:tcPr>
            <w:tcW w:w="1736" w:type="dxa"/>
            <w:tcBorders>
              <w:top w:val="nil"/>
            </w:tcBorders>
            <w:shd w:val="clear" w:color="auto" w:fill="FFFFFF"/>
          </w:tcPr>
          <w:p w14:paraId="034BCCF9"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0E032123" w14:textId="27CAD442"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973.829</w:t>
            </w:r>
          </w:p>
        </w:tc>
        <w:tc>
          <w:tcPr>
            <w:tcW w:w="820" w:type="dxa"/>
            <w:tcBorders>
              <w:top w:val="nil"/>
            </w:tcBorders>
            <w:shd w:val="clear" w:color="auto" w:fill="FFFFFF"/>
            <w:vAlign w:val="center"/>
          </w:tcPr>
          <w:p w14:paraId="291AE36E" w14:textId="5006E230" w:rsidR="00944CCD"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0793C7C9" w14:textId="3DB2A91C"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1.505</w:t>
            </w:r>
          </w:p>
        </w:tc>
        <w:tc>
          <w:tcPr>
            <w:tcW w:w="1030" w:type="dxa"/>
            <w:tcBorders>
              <w:top w:val="nil"/>
            </w:tcBorders>
            <w:shd w:val="clear" w:color="auto" w:fill="FFFFFF"/>
            <w:vAlign w:val="center"/>
          </w:tcPr>
          <w:p w14:paraId="4B640ECF"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5898FC28"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r w:rsidR="00944CCD" w:rsidRPr="00CF31E0" w14:paraId="5C49B3BD" w14:textId="77777777" w:rsidTr="00944CCD">
        <w:trPr>
          <w:cantSplit/>
        </w:trPr>
        <w:tc>
          <w:tcPr>
            <w:tcW w:w="1736" w:type="dxa"/>
            <w:shd w:val="clear" w:color="auto" w:fill="FFFFFF"/>
          </w:tcPr>
          <w:p w14:paraId="436C9F57"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3929980F" w14:textId="64019511"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976.924</w:t>
            </w:r>
          </w:p>
        </w:tc>
        <w:tc>
          <w:tcPr>
            <w:tcW w:w="820" w:type="dxa"/>
            <w:shd w:val="clear" w:color="auto" w:fill="FFFFFF"/>
            <w:vAlign w:val="center"/>
          </w:tcPr>
          <w:p w14:paraId="0BBB5B8F" w14:textId="11D73224" w:rsidR="00944CCD"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2DB423D7"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72CFACFE"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242C8DD4"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bl>
    <w:p w14:paraId="12813C92" w14:textId="77777777" w:rsidR="00944CCD" w:rsidRPr="00CF31E0" w:rsidRDefault="00944CCD" w:rsidP="00944CCD">
      <w:pPr>
        <w:rPr>
          <w:rFonts w:asciiTheme="majorBidi" w:hAnsiTheme="majorBidi" w:cstheme="majorBidi"/>
          <w:b/>
          <w:bCs/>
          <w:color w:val="000000" w:themeColor="text1"/>
        </w:rPr>
      </w:pPr>
    </w:p>
    <w:p w14:paraId="02FD5787" w14:textId="77777777" w:rsidR="00944CCD" w:rsidRPr="00CF31E0" w:rsidRDefault="00944CCD" w:rsidP="00944CC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944CCD" w:rsidRPr="00CF31E0" w14:paraId="730B0BBE" w14:textId="77777777" w:rsidTr="00944CCD">
        <w:trPr>
          <w:cantSplit/>
        </w:trPr>
        <w:tc>
          <w:tcPr>
            <w:tcW w:w="1736" w:type="dxa"/>
            <w:tcBorders>
              <w:top w:val="single" w:sz="8" w:space="0" w:color="auto"/>
              <w:bottom w:val="single" w:sz="6" w:space="0" w:color="auto"/>
            </w:tcBorders>
            <w:shd w:val="clear" w:color="auto" w:fill="FFFFFF"/>
            <w:vAlign w:val="bottom"/>
          </w:tcPr>
          <w:p w14:paraId="4C138925"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Age</w:t>
            </w:r>
          </w:p>
        </w:tc>
        <w:tc>
          <w:tcPr>
            <w:tcW w:w="1686" w:type="dxa"/>
            <w:tcBorders>
              <w:top w:val="single" w:sz="8" w:space="0" w:color="auto"/>
              <w:bottom w:val="single" w:sz="6" w:space="0" w:color="auto"/>
            </w:tcBorders>
            <w:shd w:val="clear" w:color="auto" w:fill="FFFFFF"/>
            <w:vAlign w:val="bottom"/>
          </w:tcPr>
          <w:p w14:paraId="248125A4"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098DBCDA"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D92BA7C"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2108DEDF"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6C5AD0D9"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944CCD" w:rsidRPr="00CF31E0" w14:paraId="12B9EEBE" w14:textId="77777777" w:rsidTr="00944CCD">
        <w:trPr>
          <w:cantSplit/>
        </w:trPr>
        <w:tc>
          <w:tcPr>
            <w:tcW w:w="1736" w:type="dxa"/>
            <w:tcBorders>
              <w:top w:val="single" w:sz="6" w:space="0" w:color="auto"/>
              <w:bottom w:val="nil"/>
            </w:tcBorders>
            <w:shd w:val="clear" w:color="auto" w:fill="FFFFFF"/>
          </w:tcPr>
          <w:p w14:paraId="09CE5C0E"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4CAE4B71" w14:textId="2F3DBD64"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15.756</w:t>
            </w:r>
          </w:p>
        </w:tc>
        <w:tc>
          <w:tcPr>
            <w:tcW w:w="820" w:type="dxa"/>
            <w:tcBorders>
              <w:top w:val="single" w:sz="6" w:space="0" w:color="auto"/>
              <w:bottom w:val="nil"/>
            </w:tcBorders>
            <w:shd w:val="clear" w:color="auto" w:fill="FFFFFF"/>
            <w:vAlign w:val="center"/>
          </w:tcPr>
          <w:p w14:paraId="55911D65" w14:textId="44163061"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w:t>
            </w:r>
          </w:p>
        </w:tc>
        <w:tc>
          <w:tcPr>
            <w:tcW w:w="1445" w:type="dxa"/>
            <w:tcBorders>
              <w:top w:val="single" w:sz="6" w:space="0" w:color="auto"/>
              <w:bottom w:val="nil"/>
            </w:tcBorders>
            <w:shd w:val="clear" w:color="auto" w:fill="FFFFFF"/>
            <w:vAlign w:val="center"/>
          </w:tcPr>
          <w:p w14:paraId="3B218262" w14:textId="2DACDFA0"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3.151</w:t>
            </w:r>
          </w:p>
        </w:tc>
        <w:tc>
          <w:tcPr>
            <w:tcW w:w="1030" w:type="dxa"/>
            <w:tcBorders>
              <w:top w:val="single" w:sz="6" w:space="0" w:color="auto"/>
              <w:bottom w:val="nil"/>
            </w:tcBorders>
            <w:shd w:val="clear" w:color="auto" w:fill="FFFFFF"/>
            <w:vAlign w:val="center"/>
          </w:tcPr>
          <w:p w14:paraId="0F93C983" w14:textId="4C11E11C"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2.123</w:t>
            </w:r>
          </w:p>
        </w:tc>
        <w:tc>
          <w:tcPr>
            <w:tcW w:w="674" w:type="dxa"/>
            <w:tcBorders>
              <w:top w:val="single" w:sz="6" w:space="0" w:color="auto"/>
              <w:bottom w:val="nil"/>
            </w:tcBorders>
            <w:shd w:val="clear" w:color="auto" w:fill="FFFFFF"/>
            <w:vAlign w:val="center"/>
          </w:tcPr>
          <w:p w14:paraId="33A66D40" w14:textId="465530EE"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.061</w:t>
            </w:r>
          </w:p>
        </w:tc>
      </w:tr>
      <w:tr w:rsidR="00944CCD" w:rsidRPr="00CF31E0" w14:paraId="75FABB9B" w14:textId="77777777" w:rsidTr="00944CCD">
        <w:trPr>
          <w:cantSplit/>
        </w:trPr>
        <w:tc>
          <w:tcPr>
            <w:tcW w:w="1736" w:type="dxa"/>
            <w:tcBorders>
              <w:top w:val="nil"/>
            </w:tcBorders>
            <w:shd w:val="clear" w:color="auto" w:fill="FFFFFF"/>
          </w:tcPr>
          <w:p w14:paraId="0208B53C"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231D79D8" w14:textId="1EB9A798"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951.524</w:t>
            </w:r>
          </w:p>
        </w:tc>
        <w:tc>
          <w:tcPr>
            <w:tcW w:w="820" w:type="dxa"/>
            <w:tcBorders>
              <w:top w:val="nil"/>
            </w:tcBorders>
            <w:shd w:val="clear" w:color="auto" w:fill="FFFFFF"/>
            <w:vAlign w:val="center"/>
          </w:tcPr>
          <w:p w14:paraId="3CD80C0B" w14:textId="1FAE26AF" w:rsidR="00944CCD"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644</w:t>
            </w:r>
          </w:p>
        </w:tc>
        <w:tc>
          <w:tcPr>
            <w:tcW w:w="1445" w:type="dxa"/>
            <w:tcBorders>
              <w:top w:val="nil"/>
            </w:tcBorders>
            <w:shd w:val="clear" w:color="auto" w:fill="FFFFFF"/>
            <w:vAlign w:val="center"/>
          </w:tcPr>
          <w:p w14:paraId="4752D1CB" w14:textId="436348E3"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1.484</w:t>
            </w:r>
          </w:p>
        </w:tc>
        <w:tc>
          <w:tcPr>
            <w:tcW w:w="1030" w:type="dxa"/>
            <w:tcBorders>
              <w:top w:val="nil"/>
            </w:tcBorders>
            <w:shd w:val="clear" w:color="auto" w:fill="FFFFFF"/>
            <w:vAlign w:val="center"/>
          </w:tcPr>
          <w:p w14:paraId="4F4743BE"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7BFEB88C"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r w:rsidR="00944CCD" w:rsidRPr="00CF31E0" w14:paraId="08E143B2" w14:textId="77777777" w:rsidTr="00944CCD">
        <w:trPr>
          <w:cantSplit/>
        </w:trPr>
        <w:tc>
          <w:tcPr>
            <w:tcW w:w="1736" w:type="dxa"/>
            <w:shd w:val="clear" w:color="auto" w:fill="FFFFFF"/>
          </w:tcPr>
          <w:p w14:paraId="2EFC26F7"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1A6F9CBC" w14:textId="5EB59E6B"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967.280</w:t>
            </w:r>
          </w:p>
        </w:tc>
        <w:tc>
          <w:tcPr>
            <w:tcW w:w="820" w:type="dxa"/>
            <w:shd w:val="clear" w:color="auto" w:fill="FFFFFF"/>
            <w:vAlign w:val="center"/>
          </w:tcPr>
          <w:p w14:paraId="46DCAB51" w14:textId="3B1271AD" w:rsidR="00944CCD"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1AA52628"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4CB59D4E"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6E608BD4"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bl>
    <w:p w14:paraId="44EECAEC" w14:textId="77777777" w:rsidR="00944CCD" w:rsidRPr="00CF31E0" w:rsidRDefault="00944CCD" w:rsidP="00944CCD">
      <w:pPr>
        <w:rPr>
          <w:rFonts w:asciiTheme="majorBidi" w:hAnsiTheme="majorBidi" w:cstheme="majorBidi"/>
          <w:b/>
          <w:bCs/>
          <w:color w:val="000000" w:themeColor="text1"/>
        </w:rPr>
      </w:pPr>
    </w:p>
    <w:p w14:paraId="66A7C1CF" w14:textId="77777777" w:rsidR="00944CCD" w:rsidRPr="00CF31E0" w:rsidRDefault="00944CCD" w:rsidP="00944CC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944CCD" w:rsidRPr="00CF31E0" w14:paraId="6A33A30E" w14:textId="77777777" w:rsidTr="00944CCD">
        <w:trPr>
          <w:cantSplit/>
        </w:trPr>
        <w:tc>
          <w:tcPr>
            <w:tcW w:w="1736" w:type="dxa"/>
            <w:tcBorders>
              <w:top w:val="single" w:sz="8" w:space="0" w:color="auto"/>
              <w:bottom w:val="single" w:sz="6" w:space="0" w:color="auto"/>
            </w:tcBorders>
            <w:shd w:val="clear" w:color="auto" w:fill="FFFFFF"/>
            <w:vAlign w:val="bottom"/>
          </w:tcPr>
          <w:p w14:paraId="17EB8F9C"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 of birth</w:t>
            </w:r>
          </w:p>
        </w:tc>
        <w:tc>
          <w:tcPr>
            <w:tcW w:w="1686" w:type="dxa"/>
            <w:tcBorders>
              <w:top w:val="single" w:sz="8" w:space="0" w:color="auto"/>
              <w:bottom w:val="single" w:sz="6" w:space="0" w:color="auto"/>
            </w:tcBorders>
            <w:shd w:val="clear" w:color="auto" w:fill="FFFFFF"/>
            <w:vAlign w:val="bottom"/>
          </w:tcPr>
          <w:p w14:paraId="42F11F46"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3749A4D6"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F456881"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44C6F0A2"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1F0A538A"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944CCD" w:rsidRPr="00CF31E0" w14:paraId="41EFF80F" w14:textId="77777777" w:rsidTr="00944CCD">
        <w:trPr>
          <w:cantSplit/>
        </w:trPr>
        <w:tc>
          <w:tcPr>
            <w:tcW w:w="1736" w:type="dxa"/>
            <w:tcBorders>
              <w:top w:val="single" w:sz="6" w:space="0" w:color="auto"/>
              <w:bottom w:val="nil"/>
            </w:tcBorders>
            <w:shd w:val="clear" w:color="auto" w:fill="FFFFFF"/>
          </w:tcPr>
          <w:p w14:paraId="5A034CB1"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4BA1FEC3" w14:textId="446DC453"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.167</w:t>
            </w:r>
          </w:p>
        </w:tc>
        <w:tc>
          <w:tcPr>
            <w:tcW w:w="820" w:type="dxa"/>
            <w:tcBorders>
              <w:top w:val="single" w:sz="6" w:space="0" w:color="auto"/>
              <w:bottom w:val="nil"/>
            </w:tcBorders>
            <w:shd w:val="clear" w:color="auto" w:fill="FFFFFF"/>
            <w:vAlign w:val="center"/>
          </w:tcPr>
          <w:p w14:paraId="20B75E3A" w14:textId="34940584"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35A69350" w14:textId="15D24A15"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.167</w:t>
            </w:r>
          </w:p>
        </w:tc>
        <w:tc>
          <w:tcPr>
            <w:tcW w:w="1030" w:type="dxa"/>
            <w:tcBorders>
              <w:top w:val="single" w:sz="6" w:space="0" w:color="auto"/>
              <w:bottom w:val="nil"/>
            </w:tcBorders>
            <w:shd w:val="clear" w:color="auto" w:fill="FFFFFF"/>
            <w:vAlign w:val="center"/>
          </w:tcPr>
          <w:p w14:paraId="526E3F66" w14:textId="617F1B39"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.111</w:t>
            </w:r>
          </w:p>
        </w:tc>
        <w:tc>
          <w:tcPr>
            <w:tcW w:w="674" w:type="dxa"/>
            <w:tcBorders>
              <w:top w:val="single" w:sz="6" w:space="0" w:color="auto"/>
              <w:bottom w:val="nil"/>
            </w:tcBorders>
            <w:shd w:val="clear" w:color="auto" w:fill="FFFFFF"/>
            <w:vAlign w:val="center"/>
          </w:tcPr>
          <w:p w14:paraId="6A831600" w14:textId="28D34404"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.740</w:t>
            </w:r>
          </w:p>
        </w:tc>
      </w:tr>
      <w:tr w:rsidR="00944CCD" w:rsidRPr="00CF31E0" w14:paraId="350CB00E" w14:textId="77777777" w:rsidTr="00944CCD">
        <w:trPr>
          <w:cantSplit/>
        </w:trPr>
        <w:tc>
          <w:tcPr>
            <w:tcW w:w="1736" w:type="dxa"/>
            <w:tcBorders>
              <w:top w:val="nil"/>
            </w:tcBorders>
            <w:shd w:val="clear" w:color="auto" w:fill="FFFFFF"/>
          </w:tcPr>
          <w:p w14:paraId="2E0C2D2B"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242D9CAB" w14:textId="2BF135AB"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976.758</w:t>
            </w:r>
          </w:p>
        </w:tc>
        <w:tc>
          <w:tcPr>
            <w:tcW w:w="820" w:type="dxa"/>
            <w:tcBorders>
              <w:top w:val="nil"/>
            </w:tcBorders>
            <w:shd w:val="clear" w:color="auto" w:fill="FFFFFF"/>
            <w:vAlign w:val="center"/>
          </w:tcPr>
          <w:p w14:paraId="04E021FE" w14:textId="0C706D6C" w:rsidR="00944CCD"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2584C6E5" w14:textId="00C9AAAB"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1.510</w:t>
            </w:r>
          </w:p>
        </w:tc>
        <w:tc>
          <w:tcPr>
            <w:tcW w:w="1030" w:type="dxa"/>
            <w:tcBorders>
              <w:top w:val="nil"/>
            </w:tcBorders>
            <w:shd w:val="clear" w:color="auto" w:fill="FFFFFF"/>
            <w:vAlign w:val="center"/>
          </w:tcPr>
          <w:p w14:paraId="71CF0CD0"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2F2B8EA9"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r w:rsidR="00944CCD" w:rsidRPr="00CF31E0" w14:paraId="4E8EC903" w14:textId="77777777" w:rsidTr="00944CCD">
        <w:trPr>
          <w:cantSplit/>
        </w:trPr>
        <w:tc>
          <w:tcPr>
            <w:tcW w:w="1736" w:type="dxa"/>
            <w:shd w:val="clear" w:color="auto" w:fill="FFFFFF"/>
          </w:tcPr>
          <w:p w14:paraId="42CAC794"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8573EF8" w14:textId="7D127915"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976.924</w:t>
            </w:r>
          </w:p>
        </w:tc>
        <w:tc>
          <w:tcPr>
            <w:tcW w:w="820" w:type="dxa"/>
            <w:shd w:val="clear" w:color="auto" w:fill="FFFFFF"/>
            <w:vAlign w:val="center"/>
          </w:tcPr>
          <w:p w14:paraId="4617B7DD" w14:textId="4FD56087" w:rsidR="00944CCD"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16F57839"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6211DB80"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621EB190"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bl>
    <w:p w14:paraId="56C260EA" w14:textId="77777777" w:rsidR="00944CCD" w:rsidRPr="00CF31E0" w:rsidRDefault="00944CCD" w:rsidP="00944CCD">
      <w:pPr>
        <w:rPr>
          <w:rFonts w:asciiTheme="majorBidi" w:hAnsiTheme="majorBidi" w:cstheme="majorBidi"/>
          <w:b/>
          <w:bCs/>
          <w:color w:val="000000" w:themeColor="text1"/>
        </w:rPr>
      </w:pPr>
    </w:p>
    <w:p w14:paraId="7A0CCF44" w14:textId="77777777" w:rsidR="00944CCD" w:rsidRPr="00CF31E0" w:rsidRDefault="00944CCD" w:rsidP="00944CC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944CCD" w:rsidRPr="00CF31E0" w14:paraId="1218E5A7" w14:textId="77777777" w:rsidTr="00944CCD">
        <w:trPr>
          <w:cantSplit/>
        </w:trPr>
        <w:tc>
          <w:tcPr>
            <w:tcW w:w="1736" w:type="dxa"/>
            <w:tcBorders>
              <w:top w:val="single" w:sz="8" w:space="0" w:color="auto"/>
              <w:bottom w:val="single" w:sz="6" w:space="0" w:color="auto"/>
            </w:tcBorders>
            <w:shd w:val="clear" w:color="auto" w:fill="FFFFFF"/>
            <w:vAlign w:val="bottom"/>
          </w:tcPr>
          <w:p w14:paraId="587850DF"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Places lived</w:t>
            </w:r>
          </w:p>
        </w:tc>
        <w:tc>
          <w:tcPr>
            <w:tcW w:w="1686" w:type="dxa"/>
            <w:tcBorders>
              <w:top w:val="single" w:sz="8" w:space="0" w:color="auto"/>
              <w:bottom w:val="single" w:sz="6" w:space="0" w:color="auto"/>
            </w:tcBorders>
            <w:shd w:val="clear" w:color="auto" w:fill="FFFFFF"/>
            <w:vAlign w:val="bottom"/>
          </w:tcPr>
          <w:p w14:paraId="1AC36DE1"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565B15AC"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7F5B4584"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6B86D794"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2F0947EC"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944CCD" w:rsidRPr="00CF31E0" w14:paraId="34A60426" w14:textId="77777777" w:rsidTr="00944CCD">
        <w:trPr>
          <w:cantSplit/>
        </w:trPr>
        <w:tc>
          <w:tcPr>
            <w:tcW w:w="1736" w:type="dxa"/>
            <w:tcBorders>
              <w:top w:val="single" w:sz="6" w:space="0" w:color="auto"/>
              <w:bottom w:val="nil"/>
            </w:tcBorders>
            <w:shd w:val="clear" w:color="auto" w:fill="FFFFFF"/>
          </w:tcPr>
          <w:p w14:paraId="602F04FE"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06DF6F80" w14:textId="4FD2354A"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.482</w:t>
            </w:r>
          </w:p>
        </w:tc>
        <w:tc>
          <w:tcPr>
            <w:tcW w:w="820" w:type="dxa"/>
            <w:tcBorders>
              <w:top w:val="single" w:sz="6" w:space="0" w:color="auto"/>
              <w:bottom w:val="nil"/>
            </w:tcBorders>
            <w:shd w:val="clear" w:color="auto" w:fill="FFFFFF"/>
            <w:vAlign w:val="center"/>
          </w:tcPr>
          <w:p w14:paraId="44C53234" w14:textId="66ECABCB"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5C23D147" w14:textId="08387CFE"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.482</w:t>
            </w:r>
          </w:p>
        </w:tc>
        <w:tc>
          <w:tcPr>
            <w:tcW w:w="1030" w:type="dxa"/>
            <w:tcBorders>
              <w:top w:val="single" w:sz="6" w:space="0" w:color="auto"/>
              <w:bottom w:val="nil"/>
            </w:tcBorders>
            <w:shd w:val="clear" w:color="auto" w:fill="FFFFFF"/>
            <w:vAlign w:val="center"/>
          </w:tcPr>
          <w:p w14:paraId="65206935" w14:textId="301E99AF"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.318</w:t>
            </w:r>
          </w:p>
        </w:tc>
        <w:tc>
          <w:tcPr>
            <w:tcW w:w="674" w:type="dxa"/>
            <w:tcBorders>
              <w:top w:val="single" w:sz="6" w:space="0" w:color="auto"/>
              <w:bottom w:val="nil"/>
            </w:tcBorders>
            <w:shd w:val="clear" w:color="auto" w:fill="FFFFFF"/>
            <w:vAlign w:val="center"/>
          </w:tcPr>
          <w:p w14:paraId="2770FCFB" w14:textId="492D526C"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.573</w:t>
            </w:r>
          </w:p>
        </w:tc>
      </w:tr>
      <w:tr w:rsidR="00944CCD" w:rsidRPr="00CF31E0" w14:paraId="456868BF" w14:textId="77777777" w:rsidTr="00944CCD">
        <w:trPr>
          <w:cantSplit/>
        </w:trPr>
        <w:tc>
          <w:tcPr>
            <w:tcW w:w="1736" w:type="dxa"/>
            <w:tcBorders>
              <w:top w:val="nil"/>
            </w:tcBorders>
            <w:shd w:val="clear" w:color="auto" w:fill="FFFFFF"/>
          </w:tcPr>
          <w:p w14:paraId="5FF9ECE9"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12028EF3" w14:textId="5EBD72CB"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965.456</w:t>
            </w:r>
          </w:p>
        </w:tc>
        <w:tc>
          <w:tcPr>
            <w:tcW w:w="820" w:type="dxa"/>
            <w:tcBorders>
              <w:top w:val="nil"/>
            </w:tcBorders>
            <w:shd w:val="clear" w:color="auto" w:fill="FFFFFF"/>
            <w:vAlign w:val="center"/>
          </w:tcPr>
          <w:p w14:paraId="0732ADC3" w14:textId="58936A04" w:rsidR="00944CCD"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3E40CF22" w14:textId="28F08554"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1.516</w:t>
            </w:r>
          </w:p>
        </w:tc>
        <w:tc>
          <w:tcPr>
            <w:tcW w:w="1030" w:type="dxa"/>
            <w:tcBorders>
              <w:top w:val="nil"/>
            </w:tcBorders>
            <w:shd w:val="clear" w:color="auto" w:fill="FFFFFF"/>
            <w:vAlign w:val="center"/>
          </w:tcPr>
          <w:p w14:paraId="57571528"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42D37626"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r w:rsidR="00944CCD" w:rsidRPr="00CF31E0" w14:paraId="6D27F19F" w14:textId="77777777" w:rsidTr="00944CCD">
        <w:trPr>
          <w:cantSplit/>
        </w:trPr>
        <w:tc>
          <w:tcPr>
            <w:tcW w:w="1736" w:type="dxa"/>
            <w:shd w:val="clear" w:color="auto" w:fill="FFFFFF"/>
          </w:tcPr>
          <w:p w14:paraId="5187322A"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A9C59BD" w14:textId="2AE21EAA"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965.937</w:t>
            </w:r>
          </w:p>
        </w:tc>
        <w:tc>
          <w:tcPr>
            <w:tcW w:w="820" w:type="dxa"/>
            <w:shd w:val="clear" w:color="auto" w:fill="FFFFFF"/>
            <w:vAlign w:val="center"/>
          </w:tcPr>
          <w:p w14:paraId="6B2B7163" w14:textId="2106AB3F" w:rsidR="00944CCD"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7CA9D8F9"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1AF5CBF5"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629E4773"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bl>
    <w:p w14:paraId="306D61B7" w14:textId="77777777" w:rsidR="00944CCD" w:rsidRPr="00CF31E0" w:rsidRDefault="00944CCD" w:rsidP="00944CCD">
      <w:pPr>
        <w:rPr>
          <w:rFonts w:asciiTheme="majorBidi" w:hAnsiTheme="majorBidi" w:cstheme="majorBidi"/>
          <w:b/>
          <w:bCs/>
          <w:color w:val="000000" w:themeColor="text1"/>
        </w:rPr>
      </w:pPr>
    </w:p>
    <w:p w14:paraId="6F4A742E" w14:textId="77777777" w:rsidR="00944CCD" w:rsidRPr="00CF31E0" w:rsidRDefault="00944CCD" w:rsidP="00944CC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944CCD" w:rsidRPr="00CF31E0" w14:paraId="0A34CEAB" w14:textId="77777777" w:rsidTr="00944CCD">
        <w:trPr>
          <w:cantSplit/>
        </w:trPr>
        <w:tc>
          <w:tcPr>
            <w:tcW w:w="1736" w:type="dxa"/>
            <w:tcBorders>
              <w:top w:val="single" w:sz="8" w:space="0" w:color="auto"/>
              <w:bottom w:val="single" w:sz="6" w:space="0" w:color="auto"/>
            </w:tcBorders>
            <w:shd w:val="clear" w:color="auto" w:fill="FFFFFF"/>
            <w:vAlign w:val="bottom"/>
          </w:tcPr>
          <w:p w14:paraId="16580C96"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Marital status</w:t>
            </w:r>
          </w:p>
        </w:tc>
        <w:tc>
          <w:tcPr>
            <w:tcW w:w="1686" w:type="dxa"/>
            <w:tcBorders>
              <w:top w:val="single" w:sz="8" w:space="0" w:color="auto"/>
              <w:bottom w:val="single" w:sz="6" w:space="0" w:color="auto"/>
            </w:tcBorders>
            <w:shd w:val="clear" w:color="auto" w:fill="FFFFFF"/>
            <w:vAlign w:val="bottom"/>
          </w:tcPr>
          <w:p w14:paraId="4AE7A458"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3398933E"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7F55921A"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10D2F4D2"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0806DC0F"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944CCD" w:rsidRPr="00CF31E0" w14:paraId="4C480589" w14:textId="77777777" w:rsidTr="00944CCD">
        <w:trPr>
          <w:cantSplit/>
        </w:trPr>
        <w:tc>
          <w:tcPr>
            <w:tcW w:w="1736" w:type="dxa"/>
            <w:tcBorders>
              <w:top w:val="single" w:sz="6" w:space="0" w:color="auto"/>
              <w:bottom w:val="nil"/>
            </w:tcBorders>
            <w:shd w:val="clear" w:color="auto" w:fill="FFFFFF"/>
          </w:tcPr>
          <w:p w14:paraId="26E937D6"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5C0FCBAE" w14:textId="257487F0"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10.473</w:t>
            </w:r>
          </w:p>
        </w:tc>
        <w:tc>
          <w:tcPr>
            <w:tcW w:w="820" w:type="dxa"/>
            <w:tcBorders>
              <w:top w:val="single" w:sz="6" w:space="0" w:color="auto"/>
              <w:bottom w:val="nil"/>
            </w:tcBorders>
            <w:shd w:val="clear" w:color="auto" w:fill="FFFFFF"/>
            <w:vAlign w:val="center"/>
          </w:tcPr>
          <w:p w14:paraId="6505C23A" w14:textId="6189064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w:t>
            </w:r>
          </w:p>
        </w:tc>
        <w:tc>
          <w:tcPr>
            <w:tcW w:w="1445" w:type="dxa"/>
            <w:tcBorders>
              <w:top w:val="single" w:sz="6" w:space="0" w:color="auto"/>
              <w:bottom w:val="nil"/>
            </w:tcBorders>
            <w:shd w:val="clear" w:color="auto" w:fill="FFFFFF"/>
            <w:vAlign w:val="center"/>
          </w:tcPr>
          <w:p w14:paraId="28F91A1E" w14:textId="28F71ABE"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3.491</w:t>
            </w:r>
          </w:p>
        </w:tc>
        <w:tc>
          <w:tcPr>
            <w:tcW w:w="1030" w:type="dxa"/>
            <w:tcBorders>
              <w:top w:val="single" w:sz="6" w:space="0" w:color="auto"/>
              <w:bottom w:val="nil"/>
            </w:tcBorders>
            <w:shd w:val="clear" w:color="auto" w:fill="FFFFFF"/>
            <w:vAlign w:val="center"/>
          </w:tcPr>
          <w:p w14:paraId="776BABB7" w14:textId="15A41139"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2.330</w:t>
            </w:r>
          </w:p>
        </w:tc>
        <w:tc>
          <w:tcPr>
            <w:tcW w:w="674" w:type="dxa"/>
            <w:tcBorders>
              <w:top w:val="single" w:sz="6" w:space="0" w:color="auto"/>
              <w:bottom w:val="nil"/>
            </w:tcBorders>
            <w:shd w:val="clear" w:color="auto" w:fill="FFFFFF"/>
            <w:vAlign w:val="center"/>
          </w:tcPr>
          <w:p w14:paraId="78A77BDF" w14:textId="69BC14F2"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.073</w:t>
            </w:r>
          </w:p>
        </w:tc>
      </w:tr>
      <w:tr w:rsidR="00944CCD" w:rsidRPr="00CF31E0" w14:paraId="4923CC8B" w14:textId="77777777" w:rsidTr="00944CCD">
        <w:trPr>
          <w:cantSplit/>
        </w:trPr>
        <w:tc>
          <w:tcPr>
            <w:tcW w:w="1736" w:type="dxa"/>
            <w:tcBorders>
              <w:top w:val="nil"/>
            </w:tcBorders>
            <w:shd w:val="clear" w:color="auto" w:fill="FFFFFF"/>
          </w:tcPr>
          <w:p w14:paraId="0209256D"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33ED731B" w14:textId="1620085A"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966.451</w:t>
            </w:r>
          </w:p>
        </w:tc>
        <w:tc>
          <w:tcPr>
            <w:tcW w:w="820" w:type="dxa"/>
            <w:tcBorders>
              <w:top w:val="nil"/>
            </w:tcBorders>
            <w:shd w:val="clear" w:color="auto" w:fill="FFFFFF"/>
            <w:vAlign w:val="center"/>
          </w:tcPr>
          <w:p w14:paraId="3765A89B" w14:textId="25656A31" w:rsidR="00944CCD"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646</w:t>
            </w:r>
          </w:p>
        </w:tc>
        <w:tc>
          <w:tcPr>
            <w:tcW w:w="1445" w:type="dxa"/>
            <w:tcBorders>
              <w:top w:val="nil"/>
            </w:tcBorders>
            <w:shd w:val="clear" w:color="auto" w:fill="FFFFFF"/>
            <w:vAlign w:val="center"/>
          </w:tcPr>
          <w:p w14:paraId="52020BF6" w14:textId="29441E32"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1.498</w:t>
            </w:r>
          </w:p>
        </w:tc>
        <w:tc>
          <w:tcPr>
            <w:tcW w:w="1030" w:type="dxa"/>
            <w:tcBorders>
              <w:top w:val="nil"/>
            </w:tcBorders>
            <w:shd w:val="clear" w:color="auto" w:fill="FFFFFF"/>
            <w:vAlign w:val="center"/>
          </w:tcPr>
          <w:p w14:paraId="3391CB69"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7B355C53"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r w:rsidR="00944CCD" w:rsidRPr="00CF31E0" w14:paraId="4D75CF18" w14:textId="77777777" w:rsidTr="00944CCD">
        <w:trPr>
          <w:cantSplit/>
        </w:trPr>
        <w:tc>
          <w:tcPr>
            <w:tcW w:w="1736" w:type="dxa"/>
            <w:shd w:val="clear" w:color="auto" w:fill="FFFFFF"/>
          </w:tcPr>
          <w:p w14:paraId="7D6ADC04"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07877866" w14:textId="04B03141"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976.924</w:t>
            </w:r>
          </w:p>
        </w:tc>
        <w:tc>
          <w:tcPr>
            <w:tcW w:w="820" w:type="dxa"/>
            <w:shd w:val="clear" w:color="auto" w:fill="FFFFFF"/>
            <w:vAlign w:val="center"/>
          </w:tcPr>
          <w:p w14:paraId="73228697" w14:textId="12F92112" w:rsidR="00944CCD"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0E924F23"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1DF2A3FE"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008A1C8C"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bl>
    <w:p w14:paraId="3B96BA51" w14:textId="77777777" w:rsidR="00944CCD" w:rsidRPr="00CF31E0" w:rsidRDefault="00944CCD" w:rsidP="00944CCD">
      <w:pPr>
        <w:rPr>
          <w:rFonts w:asciiTheme="majorBidi" w:hAnsiTheme="majorBidi" w:cstheme="majorBidi"/>
          <w:b/>
          <w:bCs/>
          <w:color w:val="000000" w:themeColor="text1"/>
        </w:rPr>
      </w:pPr>
    </w:p>
    <w:p w14:paraId="20767844" w14:textId="77777777" w:rsidR="00944CCD" w:rsidRPr="00CF31E0" w:rsidRDefault="00944CCD" w:rsidP="00944CC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944CCD" w:rsidRPr="00CF31E0" w14:paraId="1C138A98" w14:textId="77777777" w:rsidTr="00944CCD">
        <w:trPr>
          <w:cantSplit/>
        </w:trPr>
        <w:tc>
          <w:tcPr>
            <w:tcW w:w="1736" w:type="dxa"/>
            <w:tcBorders>
              <w:top w:val="single" w:sz="8" w:space="0" w:color="auto"/>
              <w:bottom w:val="single" w:sz="6" w:space="0" w:color="auto"/>
            </w:tcBorders>
            <w:shd w:val="clear" w:color="auto" w:fill="FFFFFF"/>
            <w:vAlign w:val="bottom"/>
          </w:tcPr>
          <w:p w14:paraId="7BF07D13"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Education</w:t>
            </w:r>
          </w:p>
        </w:tc>
        <w:tc>
          <w:tcPr>
            <w:tcW w:w="1686" w:type="dxa"/>
            <w:tcBorders>
              <w:top w:val="single" w:sz="8" w:space="0" w:color="auto"/>
              <w:bottom w:val="single" w:sz="6" w:space="0" w:color="auto"/>
            </w:tcBorders>
            <w:shd w:val="clear" w:color="auto" w:fill="FFFFFF"/>
            <w:vAlign w:val="bottom"/>
          </w:tcPr>
          <w:p w14:paraId="53FB40D4"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68F2F9AD"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4C615AEE"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4DEA4AAE"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303FD678"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944CCD" w:rsidRPr="00CF31E0" w14:paraId="1750D197" w14:textId="77777777" w:rsidTr="00944CCD">
        <w:trPr>
          <w:cantSplit/>
        </w:trPr>
        <w:tc>
          <w:tcPr>
            <w:tcW w:w="1736" w:type="dxa"/>
            <w:tcBorders>
              <w:top w:val="single" w:sz="6" w:space="0" w:color="auto"/>
              <w:bottom w:val="nil"/>
            </w:tcBorders>
            <w:shd w:val="clear" w:color="auto" w:fill="FFFFFF"/>
          </w:tcPr>
          <w:p w14:paraId="34B8AA42"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2B6872EE" w14:textId="2D9ED996"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6.663</w:t>
            </w:r>
          </w:p>
        </w:tc>
        <w:tc>
          <w:tcPr>
            <w:tcW w:w="820" w:type="dxa"/>
            <w:tcBorders>
              <w:top w:val="single" w:sz="6" w:space="0" w:color="auto"/>
              <w:bottom w:val="nil"/>
            </w:tcBorders>
            <w:shd w:val="clear" w:color="auto" w:fill="FFFFFF"/>
            <w:vAlign w:val="center"/>
          </w:tcPr>
          <w:p w14:paraId="610DDCD7" w14:textId="34BBEEE5"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w:t>
            </w:r>
          </w:p>
        </w:tc>
        <w:tc>
          <w:tcPr>
            <w:tcW w:w="1445" w:type="dxa"/>
            <w:tcBorders>
              <w:top w:val="single" w:sz="6" w:space="0" w:color="auto"/>
              <w:bottom w:val="nil"/>
            </w:tcBorders>
            <w:shd w:val="clear" w:color="auto" w:fill="FFFFFF"/>
            <w:vAlign w:val="center"/>
          </w:tcPr>
          <w:p w14:paraId="6BDE0FC6" w14:textId="3488B990"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1.333</w:t>
            </w:r>
          </w:p>
        </w:tc>
        <w:tc>
          <w:tcPr>
            <w:tcW w:w="1030" w:type="dxa"/>
            <w:tcBorders>
              <w:top w:val="single" w:sz="6" w:space="0" w:color="auto"/>
              <w:bottom w:val="nil"/>
            </w:tcBorders>
            <w:shd w:val="clear" w:color="auto" w:fill="FFFFFF"/>
            <w:vAlign w:val="center"/>
          </w:tcPr>
          <w:p w14:paraId="41101FCE" w14:textId="45FA0D54"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.883</w:t>
            </w:r>
          </w:p>
        </w:tc>
        <w:tc>
          <w:tcPr>
            <w:tcW w:w="674" w:type="dxa"/>
            <w:tcBorders>
              <w:top w:val="single" w:sz="6" w:space="0" w:color="auto"/>
              <w:bottom w:val="nil"/>
            </w:tcBorders>
            <w:shd w:val="clear" w:color="auto" w:fill="FFFFFF"/>
            <w:vAlign w:val="center"/>
          </w:tcPr>
          <w:p w14:paraId="22A10BDD" w14:textId="798F1D9B"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.492</w:t>
            </w:r>
          </w:p>
        </w:tc>
      </w:tr>
      <w:tr w:rsidR="00944CCD" w:rsidRPr="00CF31E0" w14:paraId="0A29E88F" w14:textId="77777777" w:rsidTr="00944CCD">
        <w:trPr>
          <w:cantSplit/>
        </w:trPr>
        <w:tc>
          <w:tcPr>
            <w:tcW w:w="1736" w:type="dxa"/>
            <w:tcBorders>
              <w:top w:val="nil"/>
            </w:tcBorders>
            <w:shd w:val="clear" w:color="auto" w:fill="FFFFFF"/>
          </w:tcPr>
          <w:p w14:paraId="12853918"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1BEBF9C7" w14:textId="15E2BC5F"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970.262</w:t>
            </w:r>
          </w:p>
        </w:tc>
        <w:tc>
          <w:tcPr>
            <w:tcW w:w="820" w:type="dxa"/>
            <w:tcBorders>
              <w:top w:val="nil"/>
            </w:tcBorders>
            <w:shd w:val="clear" w:color="auto" w:fill="FFFFFF"/>
            <w:vAlign w:val="center"/>
          </w:tcPr>
          <w:p w14:paraId="46DA19A4" w14:textId="3C25C03C" w:rsidR="00944CCD"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644</w:t>
            </w:r>
          </w:p>
        </w:tc>
        <w:tc>
          <w:tcPr>
            <w:tcW w:w="1445" w:type="dxa"/>
            <w:tcBorders>
              <w:top w:val="nil"/>
            </w:tcBorders>
            <w:shd w:val="clear" w:color="auto" w:fill="FFFFFF"/>
            <w:vAlign w:val="center"/>
          </w:tcPr>
          <w:p w14:paraId="381673F5" w14:textId="28A836FB"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1.509</w:t>
            </w:r>
          </w:p>
        </w:tc>
        <w:tc>
          <w:tcPr>
            <w:tcW w:w="1030" w:type="dxa"/>
            <w:tcBorders>
              <w:top w:val="nil"/>
            </w:tcBorders>
            <w:shd w:val="clear" w:color="auto" w:fill="FFFFFF"/>
            <w:vAlign w:val="center"/>
          </w:tcPr>
          <w:p w14:paraId="506B4D81"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3F891CFD"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r w:rsidR="00944CCD" w:rsidRPr="00CF31E0" w14:paraId="1A7C3F8A" w14:textId="77777777" w:rsidTr="00944CCD">
        <w:trPr>
          <w:cantSplit/>
        </w:trPr>
        <w:tc>
          <w:tcPr>
            <w:tcW w:w="1736" w:type="dxa"/>
            <w:shd w:val="clear" w:color="auto" w:fill="FFFFFF"/>
          </w:tcPr>
          <w:p w14:paraId="04CB76D7"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0C9AD520" w14:textId="5F849E48"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976.924</w:t>
            </w:r>
          </w:p>
        </w:tc>
        <w:tc>
          <w:tcPr>
            <w:tcW w:w="820" w:type="dxa"/>
            <w:shd w:val="clear" w:color="auto" w:fill="FFFFFF"/>
            <w:vAlign w:val="center"/>
          </w:tcPr>
          <w:p w14:paraId="2AEED6E3" w14:textId="6A0C0B54" w:rsidR="00944CCD" w:rsidRPr="00CF31E0" w:rsidRDefault="000604AB"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27B68707"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2066D2BD"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23AF632B"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bl>
    <w:p w14:paraId="2B9E5F96" w14:textId="77777777" w:rsidR="00944CCD" w:rsidRPr="00CF31E0" w:rsidRDefault="00944CCD" w:rsidP="00944CCD">
      <w:pPr>
        <w:rPr>
          <w:rFonts w:asciiTheme="majorBidi" w:hAnsiTheme="majorBidi" w:cstheme="majorBidi"/>
          <w:b/>
          <w:bCs/>
          <w:color w:val="000000" w:themeColor="text1"/>
        </w:rPr>
      </w:pPr>
    </w:p>
    <w:p w14:paraId="75C5B7C9" w14:textId="77777777" w:rsidR="00944CCD" w:rsidRPr="00CF31E0" w:rsidRDefault="00944CCD" w:rsidP="00944CC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944CCD" w:rsidRPr="00CF31E0" w14:paraId="355943A1" w14:textId="77777777" w:rsidTr="00944CCD">
        <w:trPr>
          <w:cantSplit/>
        </w:trPr>
        <w:tc>
          <w:tcPr>
            <w:tcW w:w="1736" w:type="dxa"/>
            <w:tcBorders>
              <w:top w:val="single" w:sz="8" w:space="0" w:color="auto"/>
              <w:bottom w:val="single" w:sz="6" w:space="0" w:color="auto"/>
            </w:tcBorders>
            <w:shd w:val="clear" w:color="auto" w:fill="FFFFFF"/>
            <w:vAlign w:val="bottom"/>
          </w:tcPr>
          <w:p w14:paraId="63893D10" w14:textId="3BD3A274"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Social group</w:t>
            </w:r>
          </w:p>
        </w:tc>
        <w:tc>
          <w:tcPr>
            <w:tcW w:w="1686" w:type="dxa"/>
            <w:tcBorders>
              <w:top w:val="single" w:sz="8" w:space="0" w:color="auto"/>
              <w:bottom w:val="single" w:sz="6" w:space="0" w:color="auto"/>
            </w:tcBorders>
            <w:shd w:val="clear" w:color="auto" w:fill="FFFFFF"/>
            <w:vAlign w:val="bottom"/>
          </w:tcPr>
          <w:p w14:paraId="22F87CA9"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31D31DD0"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0B2B73CE"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1D066501"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195D8F90"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944CCD" w:rsidRPr="00CF31E0" w14:paraId="1BA00AE8" w14:textId="77777777" w:rsidTr="00944CCD">
        <w:trPr>
          <w:cantSplit/>
        </w:trPr>
        <w:tc>
          <w:tcPr>
            <w:tcW w:w="1736" w:type="dxa"/>
            <w:tcBorders>
              <w:top w:val="single" w:sz="6" w:space="0" w:color="auto"/>
              <w:bottom w:val="nil"/>
            </w:tcBorders>
            <w:shd w:val="clear" w:color="auto" w:fill="FFFFFF"/>
          </w:tcPr>
          <w:p w14:paraId="3C8459CB"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3C75A693" w14:textId="4912F029"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.002</w:t>
            </w:r>
          </w:p>
        </w:tc>
        <w:tc>
          <w:tcPr>
            <w:tcW w:w="820" w:type="dxa"/>
            <w:tcBorders>
              <w:top w:val="single" w:sz="6" w:space="0" w:color="auto"/>
              <w:bottom w:val="nil"/>
            </w:tcBorders>
            <w:shd w:val="clear" w:color="auto" w:fill="FFFFFF"/>
            <w:vAlign w:val="center"/>
          </w:tcPr>
          <w:p w14:paraId="0884297A" w14:textId="2FA07F26"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5137D927" w14:textId="538A55CA"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.002</w:t>
            </w:r>
          </w:p>
        </w:tc>
        <w:tc>
          <w:tcPr>
            <w:tcW w:w="1030" w:type="dxa"/>
            <w:tcBorders>
              <w:top w:val="single" w:sz="6" w:space="0" w:color="auto"/>
              <w:bottom w:val="nil"/>
            </w:tcBorders>
            <w:shd w:val="clear" w:color="auto" w:fill="FFFFFF"/>
            <w:vAlign w:val="center"/>
          </w:tcPr>
          <w:p w14:paraId="669290F8" w14:textId="0241AD32"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.001</w:t>
            </w:r>
          </w:p>
        </w:tc>
        <w:tc>
          <w:tcPr>
            <w:tcW w:w="674" w:type="dxa"/>
            <w:tcBorders>
              <w:top w:val="single" w:sz="6" w:space="0" w:color="auto"/>
              <w:bottom w:val="nil"/>
            </w:tcBorders>
            <w:shd w:val="clear" w:color="auto" w:fill="FFFFFF"/>
            <w:vAlign w:val="center"/>
          </w:tcPr>
          <w:p w14:paraId="1FD07833" w14:textId="45C60A5B"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.970</w:t>
            </w:r>
          </w:p>
        </w:tc>
      </w:tr>
      <w:tr w:rsidR="00944CCD" w:rsidRPr="00CF31E0" w14:paraId="659D8BC0" w14:textId="77777777" w:rsidTr="00944CCD">
        <w:trPr>
          <w:cantSplit/>
        </w:trPr>
        <w:tc>
          <w:tcPr>
            <w:tcW w:w="1736" w:type="dxa"/>
            <w:tcBorders>
              <w:top w:val="nil"/>
            </w:tcBorders>
            <w:shd w:val="clear" w:color="auto" w:fill="FFFFFF"/>
          </w:tcPr>
          <w:p w14:paraId="65CF199B"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55163968" w14:textId="570A843C"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976.922</w:t>
            </w:r>
          </w:p>
        </w:tc>
        <w:tc>
          <w:tcPr>
            <w:tcW w:w="820" w:type="dxa"/>
            <w:tcBorders>
              <w:top w:val="nil"/>
            </w:tcBorders>
            <w:shd w:val="clear" w:color="auto" w:fill="FFFFFF"/>
            <w:vAlign w:val="center"/>
          </w:tcPr>
          <w:p w14:paraId="50A52C6A" w14:textId="50842CCD" w:rsidR="00944CCD" w:rsidRPr="00CF31E0" w:rsidRDefault="00906EE7"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6BA5ABFB" w14:textId="2759AEFC"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1.510</w:t>
            </w:r>
          </w:p>
        </w:tc>
        <w:tc>
          <w:tcPr>
            <w:tcW w:w="1030" w:type="dxa"/>
            <w:tcBorders>
              <w:top w:val="nil"/>
            </w:tcBorders>
            <w:shd w:val="clear" w:color="auto" w:fill="FFFFFF"/>
            <w:vAlign w:val="center"/>
          </w:tcPr>
          <w:p w14:paraId="4DC3B558"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6810BFDE"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r w:rsidR="00944CCD" w:rsidRPr="00CF31E0" w14:paraId="3D013A54" w14:textId="77777777" w:rsidTr="00944CCD">
        <w:trPr>
          <w:cantSplit/>
        </w:trPr>
        <w:tc>
          <w:tcPr>
            <w:tcW w:w="1736" w:type="dxa"/>
            <w:shd w:val="clear" w:color="auto" w:fill="FFFFFF"/>
          </w:tcPr>
          <w:p w14:paraId="6807385D"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80A2C09" w14:textId="68D81ABC"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976.924</w:t>
            </w:r>
          </w:p>
        </w:tc>
        <w:tc>
          <w:tcPr>
            <w:tcW w:w="820" w:type="dxa"/>
            <w:shd w:val="clear" w:color="auto" w:fill="FFFFFF"/>
            <w:vAlign w:val="center"/>
          </w:tcPr>
          <w:p w14:paraId="394856D2" w14:textId="6782AD97" w:rsidR="00944CCD" w:rsidRPr="00CF31E0" w:rsidRDefault="00906EE7"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27379261"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19F74FC8"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3FBC7C81"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bl>
    <w:p w14:paraId="3D287FFF" w14:textId="77777777" w:rsidR="00944CCD" w:rsidRPr="00CF31E0" w:rsidRDefault="00944CCD" w:rsidP="00944CCD">
      <w:pPr>
        <w:rPr>
          <w:rFonts w:asciiTheme="majorBidi" w:hAnsiTheme="majorBidi" w:cstheme="majorBidi"/>
          <w:b/>
          <w:bCs/>
          <w:color w:val="000000" w:themeColor="text1"/>
        </w:rPr>
      </w:pPr>
    </w:p>
    <w:p w14:paraId="55C33BB8" w14:textId="77777777" w:rsidR="00944CCD" w:rsidRPr="00CF31E0" w:rsidRDefault="00944CCD" w:rsidP="00944CCD">
      <w:pPr>
        <w:rPr>
          <w:rFonts w:asciiTheme="majorBidi" w:hAnsiTheme="majorBidi" w:cstheme="majorBidi"/>
          <w:b/>
          <w:bCs/>
          <w:color w:val="000000" w:themeColor="text1"/>
        </w:rPr>
      </w:pPr>
    </w:p>
    <w:p w14:paraId="4AEDFCC9" w14:textId="77777777" w:rsidR="00944CCD" w:rsidRPr="00CF31E0" w:rsidRDefault="00944CCD" w:rsidP="00944CCD">
      <w:pPr>
        <w:rPr>
          <w:rFonts w:asciiTheme="majorBidi" w:hAnsiTheme="majorBidi" w:cstheme="majorBidi"/>
          <w:b/>
          <w:bCs/>
          <w:color w:val="000000" w:themeColor="text1"/>
        </w:rPr>
      </w:pPr>
    </w:p>
    <w:p w14:paraId="1A9793B5" w14:textId="77777777" w:rsidR="00944CCD" w:rsidRPr="00CF31E0" w:rsidRDefault="00944CCD" w:rsidP="00944CCD">
      <w:pPr>
        <w:rPr>
          <w:rFonts w:asciiTheme="majorBidi" w:hAnsiTheme="majorBidi" w:cstheme="majorBidi"/>
          <w:b/>
          <w:bCs/>
          <w:color w:val="000000" w:themeColor="text1"/>
        </w:rPr>
      </w:pPr>
    </w:p>
    <w:p w14:paraId="3DD6D2C4" w14:textId="77777777" w:rsidR="00944CCD" w:rsidRPr="00CF31E0" w:rsidRDefault="00944CCD" w:rsidP="00944CC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944CCD" w:rsidRPr="00CF31E0" w14:paraId="3491D1EA" w14:textId="77777777" w:rsidTr="00944CCD">
        <w:trPr>
          <w:cantSplit/>
        </w:trPr>
        <w:tc>
          <w:tcPr>
            <w:tcW w:w="1736" w:type="dxa"/>
            <w:tcBorders>
              <w:top w:val="single" w:sz="8" w:space="0" w:color="auto"/>
              <w:bottom w:val="single" w:sz="6" w:space="0" w:color="auto"/>
            </w:tcBorders>
            <w:shd w:val="clear" w:color="auto" w:fill="FFFFFF"/>
            <w:vAlign w:val="bottom"/>
          </w:tcPr>
          <w:p w14:paraId="756089A2"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Mother’s social group</w:t>
            </w:r>
          </w:p>
        </w:tc>
        <w:tc>
          <w:tcPr>
            <w:tcW w:w="1686" w:type="dxa"/>
            <w:tcBorders>
              <w:top w:val="single" w:sz="8" w:space="0" w:color="auto"/>
              <w:bottom w:val="single" w:sz="6" w:space="0" w:color="auto"/>
            </w:tcBorders>
            <w:shd w:val="clear" w:color="auto" w:fill="FFFFFF"/>
            <w:vAlign w:val="bottom"/>
          </w:tcPr>
          <w:p w14:paraId="138D034A"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23C3F5E4"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2FBCF4A9"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7F02C025"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279259F5"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944CCD" w:rsidRPr="00CF31E0" w14:paraId="23D26C79" w14:textId="77777777" w:rsidTr="00944CCD">
        <w:trPr>
          <w:cantSplit/>
        </w:trPr>
        <w:tc>
          <w:tcPr>
            <w:tcW w:w="1736" w:type="dxa"/>
            <w:tcBorders>
              <w:top w:val="single" w:sz="6" w:space="0" w:color="auto"/>
              <w:bottom w:val="nil"/>
            </w:tcBorders>
            <w:shd w:val="clear" w:color="auto" w:fill="FFFFFF"/>
          </w:tcPr>
          <w:p w14:paraId="592EC38A"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7210748C" w14:textId="6AD8D268"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1.733</w:t>
            </w:r>
          </w:p>
        </w:tc>
        <w:tc>
          <w:tcPr>
            <w:tcW w:w="820" w:type="dxa"/>
            <w:tcBorders>
              <w:top w:val="single" w:sz="6" w:space="0" w:color="auto"/>
              <w:bottom w:val="nil"/>
            </w:tcBorders>
            <w:shd w:val="clear" w:color="auto" w:fill="FFFFFF"/>
            <w:vAlign w:val="center"/>
          </w:tcPr>
          <w:p w14:paraId="7C5422E1" w14:textId="57E5791F"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w:t>
            </w:r>
          </w:p>
        </w:tc>
        <w:tc>
          <w:tcPr>
            <w:tcW w:w="1445" w:type="dxa"/>
            <w:tcBorders>
              <w:top w:val="single" w:sz="6" w:space="0" w:color="auto"/>
              <w:bottom w:val="nil"/>
            </w:tcBorders>
            <w:shd w:val="clear" w:color="auto" w:fill="FFFFFF"/>
            <w:vAlign w:val="center"/>
          </w:tcPr>
          <w:p w14:paraId="42CB13E4" w14:textId="42084A1A"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.867</w:t>
            </w:r>
          </w:p>
        </w:tc>
        <w:tc>
          <w:tcPr>
            <w:tcW w:w="1030" w:type="dxa"/>
            <w:tcBorders>
              <w:top w:val="single" w:sz="6" w:space="0" w:color="auto"/>
              <w:bottom w:val="nil"/>
            </w:tcBorders>
            <w:shd w:val="clear" w:color="auto" w:fill="FFFFFF"/>
            <w:vAlign w:val="center"/>
          </w:tcPr>
          <w:p w14:paraId="03C6D8F0" w14:textId="1B408CF6"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.574</w:t>
            </w:r>
          </w:p>
        </w:tc>
        <w:tc>
          <w:tcPr>
            <w:tcW w:w="674" w:type="dxa"/>
            <w:tcBorders>
              <w:top w:val="single" w:sz="6" w:space="0" w:color="auto"/>
              <w:bottom w:val="nil"/>
            </w:tcBorders>
            <w:shd w:val="clear" w:color="auto" w:fill="FFFFFF"/>
            <w:vAlign w:val="center"/>
          </w:tcPr>
          <w:p w14:paraId="7E7D311F" w14:textId="57AF969D"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.564</w:t>
            </w:r>
          </w:p>
        </w:tc>
      </w:tr>
      <w:tr w:rsidR="00944CCD" w:rsidRPr="00CF31E0" w14:paraId="0C35007A" w14:textId="77777777" w:rsidTr="00944CCD">
        <w:trPr>
          <w:cantSplit/>
        </w:trPr>
        <w:tc>
          <w:tcPr>
            <w:tcW w:w="1736" w:type="dxa"/>
            <w:tcBorders>
              <w:top w:val="nil"/>
            </w:tcBorders>
            <w:shd w:val="clear" w:color="auto" w:fill="FFFFFF"/>
          </w:tcPr>
          <w:p w14:paraId="5A981B52"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185D0FEE" w14:textId="4636BB65"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974.538</w:t>
            </w:r>
          </w:p>
        </w:tc>
        <w:tc>
          <w:tcPr>
            <w:tcW w:w="820" w:type="dxa"/>
            <w:tcBorders>
              <w:top w:val="nil"/>
            </w:tcBorders>
            <w:shd w:val="clear" w:color="auto" w:fill="FFFFFF"/>
            <w:vAlign w:val="center"/>
          </w:tcPr>
          <w:p w14:paraId="4538C998" w14:textId="16835AFF" w:rsidR="00944CCD" w:rsidRPr="00CF31E0" w:rsidRDefault="00906EE7"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647</w:t>
            </w:r>
          </w:p>
        </w:tc>
        <w:tc>
          <w:tcPr>
            <w:tcW w:w="1445" w:type="dxa"/>
            <w:tcBorders>
              <w:top w:val="nil"/>
            </w:tcBorders>
            <w:shd w:val="clear" w:color="auto" w:fill="FFFFFF"/>
            <w:vAlign w:val="center"/>
          </w:tcPr>
          <w:p w14:paraId="2E9AA589" w14:textId="6A760C5A"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1.511</w:t>
            </w:r>
          </w:p>
        </w:tc>
        <w:tc>
          <w:tcPr>
            <w:tcW w:w="1030" w:type="dxa"/>
            <w:tcBorders>
              <w:top w:val="nil"/>
            </w:tcBorders>
            <w:shd w:val="clear" w:color="auto" w:fill="FFFFFF"/>
            <w:vAlign w:val="center"/>
          </w:tcPr>
          <w:p w14:paraId="7DCD4006"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461E1C6B"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r w:rsidR="00944CCD" w:rsidRPr="00CF31E0" w14:paraId="053234F3" w14:textId="77777777" w:rsidTr="00944CCD">
        <w:trPr>
          <w:cantSplit/>
        </w:trPr>
        <w:tc>
          <w:tcPr>
            <w:tcW w:w="1736" w:type="dxa"/>
            <w:shd w:val="clear" w:color="auto" w:fill="FFFFFF"/>
          </w:tcPr>
          <w:p w14:paraId="6860065C"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6E0E08C" w14:textId="106C07A4"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976.272</w:t>
            </w:r>
          </w:p>
        </w:tc>
        <w:tc>
          <w:tcPr>
            <w:tcW w:w="820" w:type="dxa"/>
            <w:shd w:val="clear" w:color="auto" w:fill="FFFFFF"/>
            <w:vAlign w:val="center"/>
          </w:tcPr>
          <w:p w14:paraId="3C132EA1" w14:textId="232CCE68" w:rsidR="00944CCD" w:rsidRPr="00CF31E0" w:rsidRDefault="00906EE7"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shd w:val="clear" w:color="auto" w:fill="FFFFFF"/>
            <w:vAlign w:val="center"/>
          </w:tcPr>
          <w:p w14:paraId="46F0B32D"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1B169347"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4C1CBAAC"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bl>
    <w:p w14:paraId="7226074C" w14:textId="77777777" w:rsidR="00944CCD" w:rsidRPr="00CF31E0" w:rsidRDefault="00944CCD" w:rsidP="00944CCD">
      <w:pPr>
        <w:rPr>
          <w:rFonts w:asciiTheme="majorBidi" w:hAnsiTheme="majorBidi" w:cstheme="majorBidi"/>
          <w:b/>
          <w:bCs/>
          <w:color w:val="000000" w:themeColor="text1"/>
        </w:rPr>
      </w:pPr>
    </w:p>
    <w:p w14:paraId="37F2D137" w14:textId="77777777" w:rsidR="00944CCD" w:rsidRPr="00CF31E0" w:rsidRDefault="00944CCD" w:rsidP="00944CC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944CCD" w:rsidRPr="00CF31E0" w14:paraId="4F6023D8" w14:textId="77777777" w:rsidTr="00944CCD">
        <w:trPr>
          <w:cantSplit/>
        </w:trPr>
        <w:tc>
          <w:tcPr>
            <w:tcW w:w="1736" w:type="dxa"/>
            <w:tcBorders>
              <w:top w:val="single" w:sz="8" w:space="0" w:color="auto"/>
              <w:bottom w:val="single" w:sz="6" w:space="0" w:color="auto"/>
            </w:tcBorders>
            <w:shd w:val="clear" w:color="auto" w:fill="FFFFFF"/>
            <w:vAlign w:val="bottom"/>
          </w:tcPr>
          <w:p w14:paraId="79510651"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Spouse’s social group</w:t>
            </w:r>
          </w:p>
        </w:tc>
        <w:tc>
          <w:tcPr>
            <w:tcW w:w="1686" w:type="dxa"/>
            <w:tcBorders>
              <w:top w:val="single" w:sz="8" w:space="0" w:color="auto"/>
              <w:bottom w:val="single" w:sz="6" w:space="0" w:color="auto"/>
            </w:tcBorders>
            <w:shd w:val="clear" w:color="auto" w:fill="FFFFFF"/>
            <w:vAlign w:val="bottom"/>
          </w:tcPr>
          <w:p w14:paraId="346C3B60"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372EA592"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392A7C3"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7C3A8F85"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6DA0DD8C"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944CCD" w:rsidRPr="00CF31E0" w14:paraId="1096FDF1" w14:textId="77777777" w:rsidTr="00944CCD">
        <w:trPr>
          <w:cantSplit/>
        </w:trPr>
        <w:tc>
          <w:tcPr>
            <w:tcW w:w="1736" w:type="dxa"/>
            <w:tcBorders>
              <w:top w:val="single" w:sz="6" w:space="0" w:color="auto"/>
              <w:bottom w:val="nil"/>
            </w:tcBorders>
            <w:shd w:val="clear" w:color="auto" w:fill="FFFFFF"/>
          </w:tcPr>
          <w:p w14:paraId="364BE32C"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1856D053" w14:textId="7F675421"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12.066</w:t>
            </w:r>
          </w:p>
        </w:tc>
        <w:tc>
          <w:tcPr>
            <w:tcW w:w="820" w:type="dxa"/>
            <w:tcBorders>
              <w:top w:val="single" w:sz="6" w:space="0" w:color="auto"/>
              <w:bottom w:val="nil"/>
            </w:tcBorders>
            <w:shd w:val="clear" w:color="auto" w:fill="FFFFFF"/>
            <w:vAlign w:val="center"/>
          </w:tcPr>
          <w:p w14:paraId="5582C29D" w14:textId="156281BB"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w:t>
            </w:r>
          </w:p>
        </w:tc>
        <w:tc>
          <w:tcPr>
            <w:tcW w:w="1445" w:type="dxa"/>
            <w:tcBorders>
              <w:top w:val="single" w:sz="6" w:space="0" w:color="auto"/>
              <w:bottom w:val="nil"/>
            </w:tcBorders>
            <w:shd w:val="clear" w:color="auto" w:fill="FFFFFF"/>
            <w:vAlign w:val="center"/>
          </w:tcPr>
          <w:p w14:paraId="1470DF4C" w14:textId="45C43965"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3.016</w:t>
            </w:r>
          </w:p>
        </w:tc>
        <w:tc>
          <w:tcPr>
            <w:tcW w:w="1030" w:type="dxa"/>
            <w:tcBorders>
              <w:top w:val="single" w:sz="6" w:space="0" w:color="auto"/>
              <w:bottom w:val="nil"/>
            </w:tcBorders>
            <w:shd w:val="clear" w:color="auto" w:fill="FFFFFF"/>
            <w:vAlign w:val="center"/>
          </w:tcPr>
          <w:p w14:paraId="49332D6B" w14:textId="49662E3B"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2.038</w:t>
            </w:r>
          </w:p>
        </w:tc>
        <w:tc>
          <w:tcPr>
            <w:tcW w:w="674" w:type="dxa"/>
            <w:tcBorders>
              <w:top w:val="single" w:sz="6" w:space="0" w:color="auto"/>
              <w:bottom w:val="nil"/>
            </w:tcBorders>
            <w:shd w:val="clear" w:color="auto" w:fill="FFFFFF"/>
            <w:vAlign w:val="center"/>
          </w:tcPr>
          <w:p w14:paraId="4B622E4C" w14:textId="0E602F3E"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.087</w:t>
            </w:r>
          </w:p>
        </w:tc>
      </w:tr>
      <w:tr w:rsidR="00944CCD" w:rsidRPr="00CF31E0" w14:paraId="6ACE7DD5" w14:textId="77777777" w:rsidTr="00944CCD">
        <w:trPr>
          <w:cantSplit/>
        </w:trPr>
        <w:tc>
          <w:tcPr>
            <w:tcW w:w="1736" w:type="dxa"/>
            <w:tcBorders>
              <w:top w:val="nil"/>
            </w:tcBorders>
            <w:shd w:val="clear" w:color="auto" w:fill="FFFFFF"/>
          </w:tcPr>
          <w:p w14:paraId="0B98C259"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7E6481DB" w14:textId="12C24101"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947.134</w:t>
            </w:r>
          </w:p>
        </w:tc>
        <w:tc>
          <w:tcPr>
            <w:tcW w:w="820" w:type="dxa"/>
            <w:tcBorders>
              <w:top w:val="nil"/>
            </w:tcBorders>
            <w:shd w:val="clear" w:color="auto" w:fill="FFFFFF"/>
            <w:vAlign w:val="center"/>
          </w:tcPr>
          <w:p w14:paraId="70D6B13B" w14:textId="79F48165" w:rsidR="00944CCD" w:rsidRPr="00CF31E0" w:rsidRDefault="00906EE7"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645</w:t>
            </w:r>
          </w:p>
        </w:tc>
        <w:tc>
          <w:tcPr>
            <w:tcW w:w="1445" w:type="dxa"/>
            <w:tcBorders>
              <w:top w:val="nil"/>
            </w:tcBorders>
            <w:shd w:val="clear" w:color="auto" w:fill="FFFFFF"/>
            <w:vAlign w:val="center"/>
          </w:tcPr>
          <w:p w14:paraId="775A1C3E" w14:textId="1CA3FDC4"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1.480</w:t>
            </w:r>
          </w:p>
        </w:tc>
        <w:tc>
          <w:tcPr>
            <w:tcW w:w="1030" w:type="dxa"/>
            <w:tcBorders>
              <w:top w:val="nil"/>
            </w:tcBorders>
            <w:shd w:val="clear" w:color="auto" w:fill="FFFFFF"/>
            <w:vAlign w:val="center"/>
          </w:tcPr>
          <w:p w14:paraId="56FA6172"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5E79340B"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r w:rsidR="00944CCD" w:rsidRPr="00CF31E0" w14:paraId="73997912" w14:textId="77777777" w:rsidTr="00944CCD">
        <w:trPr>
          <w:cantSplit/>
        </w:trPr>
        <w:tc>
          <w:tcPr>
            <w:tcW w:w="1736" w:type="dxa"/>
            <w:shd w:val="clear" w:color="auto" w:fill="FFFFFF"/>
          </w:tcPr>
          <w:p w14:paraId="0EBE4D8B"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35B17609" w14:textId="0C71D3AF"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959.200</w:t>
            </w:r>
          </w:p>
        </w:tc>
        <w:tc>
          <w:tcPr>
            <w:tcW w:w="820" w:type="dxa"/>
            <w:shd w:val="clear" w:color="auto" w:fill="FFFFFF"/>
            <w:vAlign w:val="center"/>
          </w:tcPr>
          <w:p w14:paraId="7409F502" w14:textId="165ABA04" w:rsidR="00944CCD" w:rsidRPr="00CF31E0" w:rsidRDefault="00906EE7"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3D094157"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271C8AF0"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0D0AD4FC"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p>
        </w:tc>
      </w:tr>
    </w:tbl>
    <w:p w14:paraId="61C6AA36" w14:textId="77777777" w:rsidR="00944CCD" w:rsidRPr="00CF31E0" w:rsidRDefault="00944CCD" w:rsidP="00944CCD">
      <w:pPr>
        <w:rPr>
          <w:rFonts w:asciiTheme="majorBidi" w:hAnsiTheme="majorBidi" w:cstheme="majorBidi"/>
          <w:b/>
          <w:bCs/>
          <w:color w:val="000000" w:themeColor="text1"/>
        </w:rPr>
      </w:pPr>
    </w:p>
    <w:p w14:paraId="1D7CD16E" w14:textId="77777777" w:rsidR="00944CCD" w:rsidRPr="00CF31E0" w:rsidRDefault="00944CCD" w:rsidP="00944CCD">
      <w:pPr>
        <w:rPr>
          <w:rFonts w:asciiTheme="majorBidi" w:hAnsiTheme="majorBidi" w:cstheme="majorBidi"/>
          <w:b/>
          <w:bCs/>
          <w:color w:val="000000" w:themeColor="text1"/>
        </w:rPr>
      </w:pPr>
    </w:p>
    <w:p w14:paraId="587B2D72" w14:textId="77777777" w:rsidR="00944CCD" w:rsidRPr="00CF31E0" w:rsidRDefault="00944CCD" w:rsidP="00944CCD">
      <w:pPr>
        <w:pStyle w:val="ListParagraph"/>
        <w:numPr>
          <w:ilvl w:val="0"/>
          <w:numId w:val="71"/>
        </w:numPr>
        <w:rPr>
          <w:rFonts w:asciiTheme="majorBidi" w:hAnsiTheme="majorBidi" w:cstheme="majorBidi"/>
          <w:b/>
          <w:bCs/>
          <w:color w:val="000000" w:themeColor="text1"/>
          <w:sz w:val="28"/>
          <w:szCs w:val="28"/>
        </w:rPr>
      </w:pPr>
      <w:r w:rsidRPr="00CF31E0">
        <w:rPr>
          <w:rFonts w:asciiTheme="majorBidi" w:hAnsiTheme="majorBidi" w:cstheme="majorBidi"/>
          <w:b/>
          <w:bCs/>
          <w:color w:val="000000" w:themeColor="text1"/>
          <w:sz w:val="28"/>
          <w:szCs w:val="28"/>
        </w:rPr>
        <w:t>Traditional scale</w:t>
      </w:r>
    </w:p>
    <w:p w14:paraId="088B4902" w14:textId="77777777" w:rsidR="00944CCD" w:rsidRPr="00CF31E0" w:rsidRDefault="00944CCD" w:rsidP="00944CC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2"/>
        <w:gridCol w:w="1443"/>
        <w:gridCol w:w="1030"/>
        <w:gridCol w:w="674"/>
      </w:tblGrid>
      <w:tr w:rsidR="00944CCD" w:rsidRPr="00CF31E0" w14:paraId="7291E5DD" w14:textId="77777777" w:rsidTr="00073750">
        <w:trPr>
          <w:cantSplit/>
        </w:trPr>
        <w:tc>
          <w:tcPr>
            <w:tcW w:w="1736" w:type="dxa"/>
            <w:tcBorders>
              <w:top w:val="single" w:sz="8" w:space="0" w:color="auto"/>
              <w:bottom w:val="single" w:sz="6" w:space="0" w:color="auto"/>
            </w:tcBorders>
            <w:shd w:val="clear" w:color="auto" w:fill="FFFFFF"/>
            <w:vAlign w:val="bottom"/>
          </w:tcPr>
          <w:p w14:paraId="32DCFCBC"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Age</w:t>
            </w:r>
          </w:p>
        </w:tc>
        <w:tc>
          <w:tcPr>
            <w:tcW w:w="1686" w:type="dxa"/>
            <w:tcBorders>
              <w:top w:val="single" w:sz="8" w:space="0" w:color="auto"/>
              <w:bottom w:val="single" w:sz="6" w:space="0" w:color="auto"/>
            </w:tcBorders>
            <w:shd w:val="clear" w:color="auto" w:fill="FFFFFF"/>
            <w:vAlign w:val="bottom"/>
          </w:tcPr>
          <w:p w14:paraId="62D875BC"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2" w:type="dxa"/>
            <w:tcBorders>
              <w:top w:val="single" w:sz="8" w:space="0" w:color="auto"/>
              <w:bottom w:val="single" w:sz="6" w:space="0" w:color="auto"/>
            </w:tcBorders>
            <w:shd w:val="clear" w:color="auto" w:fill="FFFFFF"/>
            <w:vAlign w:val="bottom"/>
          </w:tcPr>
          <w:p w14:paraId="2529AB67"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3" w:type="dxa"/>
            <w:tcBorders>
              <w:top w:val="single" w:sz="8" w:space="0" w:color="auto"/>
              <w:bottom w:val="single" w:sz="6" w:space="0" w:color="auto"/>
            </w:tcBorders>
            <w:shd w:val="clear" w:color="auto" w:fill="FFFFFF"/>
            <w:vAlign w:val="bottom"/>
          </w:tcPr>
          <w:p w14:paraId="4AA15CCB"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2B71B170"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43B0D96C"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055E2" w:rsidRPr="00CF31E0" w14:paraId="564D81F7" w14:textId="77777777" w:rsidTr="00073750">
        <w:trPr>
          <w:cantSplit/>
        </w:trPr>
        <w:tc>
          <w:tcPr>
            <w:tcW w:w="1736" w:type="dxa"/>
            <w:tcBorders>
              <w:top w:val="single" w:sz="6" w:space="0" w:color="auto"/>
              <w:bottom w:val="nil"/>
            </w:tcBorders>
            <w:shd w:val="clear" w:color="auto" w:fill="FFFFFF"/>
          </w:tcPr>
          <w:p w14:paraId="622C431F" w14:textId="77777777" w:rsidR="007055E2" w:rsidRPr="00CF31E0" w:rsidRDefault="007055E2"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5717F56B" w14:textId="3200E713"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12.389</w:t>
            </w:r>
          </w:p>
        </w:tc>
        <w:tc>
          <w:tcPr>
            <w:tcW w:w="822" w:type="dxa"/>
            <w:tcBorders>
              <w:top w:val="single" w:sz="6" w:space="0" w:color="auto"/>
              <w:bottom w:val="nil"/>
            </w:tcBorders>
            <w:shd w:val="clear" w:color="auto" w:fill="FFFFFF"/>
            <w:vAlign w:val="center"/>
          </w:tcPr>
          <w:p w14:paraId="4D2EFF0F" w14:textId="0A5E35A4"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w:t>
            </w:r>
          </w:p>
        </w:tc>
        <w:tc>
          <w:tcPr>
            <w:tcW w:w="1443" w:type="dxa"/>
            <w:tcBorders>
              <w:top w:val="single" w:sz="6" w:space="0" w:color="auto"/>
              <w:bottom w:val="nil"/>
            </w:tcBorders>
            <w:shd w:val="clear" w:color="auto" w:fill="FFFFFF"/>
            <w:vAlign w:val="center"/>
          </w:tcPr>
          <w:p w14:paraId="1EFBBF96" w14:textId="39EF0D45"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2.478</w:t>
            </w:r>
          </w:p>
        </w:tc>
        <w:tc>
          <w:tcPr>
            <w:tcW w:w="1030" w:type="dxa"/>
            <w:tcBorders>
              <w:top w:val="single" w:sz="6" w:space="0" w:color="auto"/>
              <w:bottom w:val="nil"/>
            </w:tcBorders>
            <w:shd w:val="clear" w:color="auto" w:fill="FFFFFF"/>
            <w:vAlign w:val="center"/>
          </w:tcPr>
          <w:p w14:paraId="3AF1AEDD" w14:textId="10149A4F"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1.956</w:t>
            </w:r>
          </w:p>
        </w:tc>
        <w:tc>
          <w:tcPr>
            <w:tcW w:w="674" w:type="dxa"/>
            <w:tcBorders>
              <w:top w:val="single" w:sz="6" w:space="0" w:color="auto"/>
              <w:bottom w:val="nil"/>
            </w:tcBorders>
            <w:shd w:val="clear" w:color="auto" w:fill="FFFFFF"/>
            <w:vAlign w:val="center"/>
          </w:tcPr>
          <w:p w14:paraId="64CE382A" w14:textId="55F09E25"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.083</w:t>
            </w:r>
          </w:p>
        </w:tc>
      </w:tr>
      <w:tr w:rsidR="007055E2" w:rsidRPr="00CF31E0" w14:paraId="7463EF67" w14:textId="77777777" w:rsidTr="00073750">
        <w:trPr>
          <w:cantSplit/>
        </w:trPr>
        <w:tc>
          <w:tcPr>
            <w:tcW w:w="1736" w:type="dxa"/>
            <w:tcBorders>
              <w:top w:val="nil"/>
            </w:tcBorders>
            <w:shd w:val="clear" w:color="auto" w:fill="FFFFFF"/>
          </w:tcPr>
          <w:p w14:paraId="767FD158" w14:textId="77777777" w:rsidR="007055E2" w:rsidRPr="00CF31E0" w:rsidRDefault="007055E2"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208F1D66" w14:textId="2D563AC9"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812.192</w:t>
            </w:r>
          </w:p>
        </w:tc>
        <w:tc>
          <w:tcPr>
            <w:tcW w:w="822" w:type="dxa"/>
            <w:tcBorders>
              <w:top w:val="nil"/>
            </w:tcBorders>
            <w:shd w:val="clear" w:color="auto" w:fill="FFFFFF"/>
            <w:vAlign w:val="center"/>
          </w:tcPr>
          <w:p w14:paraId="2D679245" w14:textId="25650DEE" w:rsidR="007055E2" w:rsidRPr="00CF31E0" w:rsidRDefault="00073750"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644</w:t>
            </w:r>
          </w:p>
        </w:tc>
        <w:tc>
          <w:tcPr>
            <w:tcW w:w="1443" w:type="dxa"/>
            <w:tcBorders>
              <w:top w:val="nil"/>
            </w:tcBorders>
            <w:shd w:val="clear" w:color="auto" w:fill="FFFFFF"/>
            <w:vAlign w:val="center"/>
          </w:tcPr>
          <w:p w14:paraId="79632E17" w14:textId="2B4200CB"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1.267</w:t>
            </w:r>
          </w:p>
        </w:tc>
        <w:tc>
          <w:tcPr>
            <w:tcW w:w="1030" w:type="dxa"/>
            <w:tcBorders>
              <w:top w:val="nil"/>
            </w:tcBorders>
            <w:shd w:val="clear" w:color="auto" w:fill="FFFFFF"/>
            <w:vAlign w:val="center"/>
          </w:tcPr>
          <w:p w14:paraId="6CEC1E11"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394A59CD"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r>
      <w:tr w:rsidR="007055E2" w:rsidRPr="00CF31E0" w14:paraId="4B67348E" w14:textId="77777777" w:rsidTr="00073750">
        <w:trPr>
          <w:cantSplit/>
        </w:trPr>
        <w:tc>
          <w:tcPr>
            <w:tcW w:w="1736" w:type="dxa"/>
            <w:shd w:val="clear" w:color="auto" w:fill="FFFFFF"/>
          </w:tcPr>
          <w:p w14:paraId="38E42BC5" w14:textId="77777777" w:rsidR="007055E2" w:rsidRPr="00CF31E0" w:rsidRDefault="007055E2"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246FE6E1" w14:textId="1331081A"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824.581</w:t>
            </w:r>
          </w:p>
        </w:tc>
        <w:tc>
          <w:tcPr>
            <w:tcW w:w="822" w:type="dxa"/>
            <w:shd w:val="clear" w:color="auto" w:fill="FFFFFF"/>
            <w:vAlign w:val="center"/>
          </w:tcPr>
          <w:p w14:paraId="73F9160F" w14:textId="6A2BE473" w:rsidR="007055E2" w:rsidRPr="00CF31E0" w:rsidRDefault="00073750"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3" w:type="dxa"/>
            <w:shd w:val="clear" w:color="auto" w:fill="FFFFFF"/>
            <w:vAlign w:val="center"/>
          </w:tcPr>
          <w:p w14:paraId="35D032DD"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0F3C140A"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0ED98F9D"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r>
    </w:tbl>
    <w:p w14:paraId="5158001B" w14:textId="77777777" w:rsidR="00944CCD" w:rsidRPr="00CF31E0" w:rsidRDefault="00944CCD" w:rsidP="00944CCD">
      <w:pPr>
        <w:rPr>
          <w:rFonts w:asciiTheme="majorBidi" w:hAnsiTheme="majorBidi" w:cstheme="majorBidi"/>
          <w:b/>
          <w:bCs/>
          <w:color w:val="000000" w:themeColor="text1"/>
        </w:rPr>
      </w:pPr>
    </w:p>
    <w:p w14:paraId="42375BDA" w14:textId="77777777" w:rsidR="005F1CFD" w:rsidRPr="00CF31E0" w:rsidRDefault="005F1CFD" w:rsidP="00944CC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944CCD" w:rsidRPr="00CF31E0" w14:paraId="09FC4CCF" w14:textId="77777777" w:rsidTr="00944CCD">
        <w:trPr>
          <w:cantSplit/>
        </w:trPr>
        <w:tc>
          <w:tcPr>
            <w:tcW w:w="1736" w:type="dxa"/>
            <w:tcBorders>
              <w:top w:val="single" w:sz="8" w:space="0" w:color="auto"/>
              <w:bottom w:val="single" w:sz="6" w:space="0" w:color="auto"/>
            </w:tcBorders>
            <w:shd w:val="clear" w:color="auto" w:fill="FFFFFF"/>
            <w:vAlign w:val="bottom"/>
          </w:tcPr>
          <w:p w14:paraId="3808E174"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 of birth</w:t>
            </w:r>
          </w:p>
        </w:tc>
        <w:tc>
          <w:tcPr>
            <w:tcW w:w="1686" w:type="dxa"/>
            <w:tcBorders>
              <w:top w:val="single" w:sz="8" w:space="0" w:color="auto"/>
              <w:bottom w:val="single" w:sz="6" w:space="0" w:color="auto"/>
            </w:tcBorders>
            <w:shd w:val="clear" w:color="auto" w:fill="FFFFFF"/>
            <w:vAlign w:val="bottom"/>
          </w:tcPr>
          <w:p w14:paraId="47BDEA38"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5BCF4055"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38E3DC7D"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188E788F"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2CB3D4ED"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055E2" w:rsidRPr="00CF31E0" w14:paraId="4698C9C7" w14:textId="77777777" w:rsidTr="00944CCD">
        <w:trPr>
          <w:cantSplit/>
        </w:trPr>
        <w:tc>
          <w:tcPr>
            <w:tcW w:w="1736" w:type="dxa"/>
            <w:tcBorders>
              <w:top w:val="single" w:sz="6" w:space="0" w:color="auto"/>
              <w:bottom w:val="nil"/>
            </w:tcBorders>
            <w:shd w:val="clear" w:color="auto" w:fill="FFFFFF"/>
          </w:tcPr>
          <w:p w14:paraId="2F1B6A55" w14:textId="77777777" w:rsidR="007055E2" w:rsidRPr="00CF31E0" w:rsidRDefault="007055E2"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49CAFD25" w14:textId="25E0D1DE"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.552</w:t>
            </w:r>
          </w:p>
        </w:tc>
        <w:tc>
          <w:tcPr>
            <w:tcW w:w="820" w:type="dxa"/>
            <w:tcBorders>
              <w:top w:val="single" w:sz="6" w:space="0" w:color="auto"/>
              <w:bottom w:val="nil"/>
            </w:tcBorders>
            <w:shd w:val="clear" w:color="auto" w:fill="FFFFFF"/>
            <w:vAlign w:val="center"/>
          </w:tcPr>
          <w:p w14:paraId="0B5E4C1C" w14:textId="77B2E846"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3B9A9594" w14:textId="1491D0EB"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.552</w:t>
            </w:r>
          </w:p>
        </w:tc>
        <w:tc>
          <w:tcPr>
            <w:tcW w:w="1030" w:type="dxa"/>
            <w:tcBorders>
              <w:top w:val="single" w:sz="6" w:space="0" w:color="auto"/>
              <w:bottom w:val="nil"/>
            </w:tcBorders>
            <w:shd w:val="clear" w:color="auto" w:fill="FFFFFF"/>
            <w:vAlign w:val="center"/>
          </w:tcPr>
          <w:p w14:paraId="34692C94" w14:textId="145DD404"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.432</w:t>
            </w:r>
          </w:p>
        </w:tc>
        <w:tc>
          <w:tcPr>
            <w:tcW w:w="674" w:type="dxa"/>
            <w:tcBorders>
              <w:top w:val="single" w:sz="6" w:space="0" w:color="auto"/>
              <w:bottom w:val="nil"/>
            </w:tcBorders>
            <w:shd w:val="clear" w:color="auto" w:fill="FFFFFF"/>
            <w:vAlign w:val="center"/>
          </w:tcPr>
          <w:p w14:paraId="41DFED20" w14:textId="5AA447CA"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.511</w:t>
            </w:r>
          </w:p>
        </w:tc>
      </w:tr>
      <w:tr w:rsidR="007055E2" w:rsidRPr="00CF31E0" w14:paraId="166E81FE" w14:textId="77777777" w:rsidTr="00944CCD">
        <w:trPr>
          <w:cantSplit/>
        </w:trPr>
        <w:tc>
          <w:tcPr>
            <w:tcW w:w="1736" w:type="dxa"/>
            <w:tcBorders>
              <w:top w:val="nil"/>
            </w:tcBorders>
            <w:shd w:val="clear" w:color="auto" w:fill="FFFFFF"/>
          </w:tcPr>
          <w:p w14:paraId="6E81B95F" w14:textId="77777777" w:rsidR="007055E2" w:rsidRPr="00CF31E0" w:rsidRDefault="007055E2"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01B168CD" w14:textId="5160A919"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826.696</w:t>
            </w:r>
          </w:p>
        </w:tc>
        <w:tc>
          <w:tcPr>
            <w:tcW w:w="820" w:type="dxa"/>
            <w:tcBorders>
              <w:top w:val="nil"/>
            </w:tcBorders>
            <w:shd w:val="clear" w:color="auto" w:fill="FFFFFF"/>
            <w:vAlign w:val="center"/>
          </w:tcPr>
          <w:p w14:paraId="0E0E3A8C" w14:textId="3643E485" w:rsidR="007055E2" w:rsidRPr="00CF31E0" w:rsidRDefault="00073750"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52E8B792" w14:textId="1C42553B"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1.278</w:t>
            </w:r>
          </w:p>
        </w:tc>
        <w:tc>
          <w:tcPr>
            <w:tcW w:w="1030" w:type="dxa"/>
            <w:tcBorders>
              <w:top w:val="nil"/>
            </w:tcBorders>
            <w:shd w:val="clear" w:color="auto" w:fill="FFFFFF"/>
            <w:vAlign w:val="center"/>
          </w:tcPr>
          <w:p w14:paraId="44D73B0C"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1001217D"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r>
      <w:tr w:rsidR="007055E2" w:rsidRPr="00CF31E0" w14:paraId="1326A88C" w14:textId="77777777" w:rsidTr="00944CCD">
        <w:trPr>
          <w:cantSplit/>
        </w:trPr>
        <w:tc>
          <w:tcPr>
            <w:tcW w:w="1736" w:type="dxa"/>
            <w:shd w:val="clear" w:color="auto" w:fill="FFFFFF"/>
          </w:tcPr>
          <w:p w14:paraId="287DAEFD" w14:textId="77777777" w:rsidR="007055E2" w:rsidRPr="00CF31E0" w:rsidRDefault="007055E2"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8AEDED9" w14:textId="3A0F4767"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827.248</w:t>
            </w:r>
          </w:p>
        </w:tc>
        <w:tc>
          <w:tcPr>
            <w:tcW w:w="820" w:type="dxa"/>
            <w:shd w:val="clear" w:color="auto" w:fill="FFFFFF"/>
            <w:vAlign w:val="center"/>
          </w:tcPr>
          <w:p w14:paraId="67A81AD9" w14:textId="6E77921C" w:rsidR="007055E2" w:rsidRPr="00CF31E0" w:rsidRDefault="00073750"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371AE5F4"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1DF4836E"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4862D8DE"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r>
    </w:tbl>
    <w:p w14:paraId="64C7ADAB" w14:textId="77777777" w:rsidR="00944CCD" w:rsidRPr="00CF31E0" w:rsidRDefault="00944CCD" w:rsidP="00944CC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944CCD" w:rsidRPr="00CF31E0" w14:paraId="5D5A8649" w14:textId="77777777" w:rsidTr="00944CCD">
        <w:trPr>
          <w:cantSplit/>
        </w:trPr>
        <w:tc>
          <w:tcPr>
            <w:tcW w:w="1736" w:type="dxa"/>
            <w:tcBorders>
              <w:top w:val="single" w:sz="8" w:space="0" w:color="auto"/>
              <w:bottom w:val="single" w:sz="6" w:space="0" w:color="auto"/>
            </w:tcBorders>
            <w:shd w:val="clear" w:color="auto" w:fill="FFFFFF"/>
            <w:vAlign w:val="bottom"/>
          </w:tcPr>
          <w:p w14:paraId="5B5E54E8"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Places lived</w:t>
            </w:r>
          </w:p>
        </w:tc>
        <w:tc>
          <w:tcPr>
            <w:tcW w:w="1686" w:type="dxa"/>
            <w:tcBorders>
              <w:top w:val="single" w:sz="8" w:space="0" w:color="auto"/>
              <w:bottom w:val="single" w:sz="6" w:space="0" w:color="auto"/>
            </w:tcBorders>
            <w:shd w:val="clear" w:color="auto" w:fill="FFFFFF"/>
            <w:vAlign w:val="bottom"/>
          </w:tcPr>
          <w:p w14:paraId="4CEC35AD"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1CD40F2F"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0E572FAE"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41CCE321"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6C323650"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055E2" w:rsidRPr="00CF31E0" w14:paraId="603B639D" w14:textId="77777777" w:rsidTr="00944CCD">
        <w:trPr>
          <w:cantSplit/>
        </w:trPr>
        <w:tc>
          <w:tcPr>
            <w:tcW w:w="1736" w:type="dxa"/>
            <w:tcBorders>
              <w:top w:val="single" w:sz="6" w:space="0" w:color="auto"/>
              <w:bottom w:val="nil"/>
            </w:tcBorders>
            <w:shd w:val="clear" w:color="auto" w:fill="FFFFFF"/>
          </w:tcPr>
          <w:p w14:paraId="74DE75A9" w14:textId="77777777" w:rsidR="007055E2" w:rsidRPr="00CF31E0" w:rsidRDefault="007055E2"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1554B7C1" w14:textId="72169AE9"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.082</w:t>
            </w:r>
          </w:p>
        </w:tc>
        <w:tc>
          <w:tcPr>
            <w:tcW w:w="820" w:type="dxa"/>
            <w:tcBorders>
              <w:top w:val="single" w:sz="6" w:space="0" w:color="auto"/>
              <w:bottom w:val="nil"/>
            </w:tcBorders>
            <w:shd w:val="clear" w:color="auto" w:fill="FFFFFF"/>
            <w:vAlign w:val="center"/>
          </w:tcPr>
          <w:p w14:paraId="6E1A150B" w14:textId="3D589554"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79A62E18" w14:textId="76B3F426"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.082</w:t>
            </w:r>
          </w:p>
        </w:tc>
        <w:tc>
          <w:tcPr>
            <w:tcW w:w="1030" w:type="dxa"/>
            <w:tcBorders>
              <w:top w:val="single" w:sz="6" w:space="0" w:color="auto"/>
              <w:bottom w:val="nil"/>
            </w:tcBorders>
            <w:shd w:val="clear" w:color="auto" w:fill="FFFFFF"/>
            <w:vAlign w:val="center"/>
          </w:tcPr>
          <w:p w14:paraId="77434C85" w14:textId="50060FAB"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.064</w:t>
            </w:r>
          </w:p>
        </w:tc>
        <w:tc>
          <w:tcPr>
            <w:tcW w:w="674" w:type="dxa"/>
            <w:tcBorders>
              <w:top w:val="single" w:sz="6" w:space="0" w:color="auto"/>
              <w:bottom w:val="nil"/>
            </w:tcBorders>
            <w:shd w:val="clear" w:color="auto" w:fill="FFFFFF"/>
            <w:vAlign w:val="center"/>
          </w:tcPr>
          <w:p w14:paraId="6BDB899E" w14:textId="2CF0AB4D"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.801</w:t>
            </w:r>
          </w:p>
        </w:tc>
      </w:tr>
      <w:tr w:rsidR="007055E2" w:rsidRPr="00CF31E0" w14:paraId="6503D893" w14:textId="77777777" w:rsidTr="00944CCD">
        <w:trPr>
          <w:cantSplit/>
        </w:trPr>
        <w:tc>
          <w:tcPr>
            <w:tcW w:w="1736" w:type="dxa"/>
            <w:tcBorders>
              <w:top w:val="nil"/>
            </w:tcBorders>
            <w:shd w:val="clear" w:color="auto" w:fill="FFFFFF"/>
          </w:tcPr>
          <w:p w14:paraId="6169698E" w14:textId="77777777" w:rsidR="007055E2" w:rsidRPr="00CF31E0" w:rsidRDefault="007055E2"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24035F87" w14:textId="195A6C01"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818.804</w:t>
            </w:r>
          </w:p>
        </w:tc>
        <w:tc>
          <w:tcPr>
            <w:tcW w:w="820" w:type="dxa"/>
            <w:tcBorders>
              <w:top w:val="nil"/>
            </w:tcBorders>
            <w:shd w:val="clear" w:color="auto" w:fill="FFFFFF"/>
            <w:vAlign w:val="center"/>
          </w:tcPr>
          <w:p w14:paraId="307489F2" w14:textId="3AE0C65D" w:rsidR="007055E2" w:rsidRPr="00CF31E0" w:rsidRDefault="00073750"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01DCE2D5" w14:textId="66132DBD"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1.285</w:t>
            </w:r>
          </w:p>
        </w:tc>
        <w:tc>
          <w:tcPr>
            <w:tcW w:w="1030" w:type="dxa"/>
            <w:tcBorders>
              <w:top w:val="nil"/>
            </w:tcBorders>
            <w:shd w:val="clear" w:color="auto" w:fill="FFFFFF"/>
            <w:vAlign w:val="center"/>
          </w:tcPr>
          <w:p w14:paraId="11F6B7A9"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40F07D4D"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r>
      <w:tr w:rsidR="007055E2" w:rsidRPr="00CF31E0" w14:paraId="135D879A" w14:textId="77777777" w:rsidTr="00944CCD">
        <w:trPr>
          <w:cantSplit/>
        </w:trPr>
        <w:tc>
          <w:tcPr>
            <w:tcW w:w="1736" w:type="dxa"/>
            <w:shd w:val="clear" w:color="auto" w:fill="FFFFFF"/>
          </w:tcPr>
          <w:p w14:paraId="5F9864EE" w14:textId="77777777" w:rsidR="007055E2" w:rsidRPr="00CF31E0" w:rsidRDefault="007055E2"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464DD04" w14:textId="77657FD7"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818.886</w:t>
            </w:r>
          </w:p>
        </w:tc>
        <w:tc>
          <w:tcPr>
            <w:tcW w:w="820" w:type="dxa"/>
            <w:shd w:val="clear" w:color="auto" w:fill="FFFFFF"/>
            <w:vAlign w:val="center"/>
          </w:tcPr>
          <w:p w14:paraId="5C7FEB7F" w14:textId="374F54E6" w:rsidR="007055E2" w:rsidRPr="00CF31E0" w:rsidRDefault="00073750"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327A4985"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186339C0"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31AB4AB3"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r>
    </w:tbl>
    <w:p w14:paraId="0627D8DE" w14:textId="77777777" w:rsidR="00944CCD" w:rsidRPr="00CF31E0" w:rsidRDefault="00944CCD" w:rsidP="00944CCD">
      <w:pPr>
        <w:rPr>
          <w:rFonts w:asciiTheme="majorBidi" w:hAnsiTheme="majorBidi" w:cstheme="majorBidi"/>
          <w:b/>
          <w:bCs/>
          <w:color w:val="000000" w:themeColor="text1"/>
        </w:rPr>
      </w:pPr>
    </w:p>
    <w:p w14:paraId="41B77FC9" w14:textId="77777777" w:rsidR="00944CCD" w:rsidRPr="00CF31E0" w:rsidRDefault="00944CCD" w:rsidP="00944CC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944CCD" w:rsidRPr="00CF31E0" w14:paraId="51626CF5" w14:textId="77777777" w:rsidTr="00944CCD">
        <w:trPr>
          <w:cantSplit/>
        </w:trPr>
        <w:tc>
          <w:tcPr>
            <w:tcW w:w="1736" w:type="dxa"/>
            <w:tcBorders>
              <w:top w:val="single" w:sz="8" w:space="0" w:color="auto"/>
              <w:bottom w:val="single" w:sz="6" w:space="0" w:color="auto"/>
            </w:tcBorders>
            <w:shd w:val="clear" w:color="auto" w:fill="FFFFFF"/>
            <w:vAlign w:val="bottom"/>
          </w:tcPr>
          <w:p w14:paraId="37AE1245"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Marital status</w:t>
            </w:r>
          </w:p>
        </w:tc>
        <w:tc>
          <w:tcPr>
            <w:tcW w:w="1686" w:type="dxa"/>
            <w:tcBorders>
              <w:top w:val="single" w:sz="8" w:space="0" w:color="auto"/>
              <w:bottom w:val="single" w:sz="6" w:space="0" w:color="auto"/>
            </w:tcBorders>
            <w:shd w:val="clear" w:color="auto" w:fill="FFFFFF"/>
            <w:vAlign w:val="bottom"/>
          </w:tcPr>
          <w:p w14:paraId="2BFFA926"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0A08E69B"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2838CF2"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BC2E213"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5E67DBA7"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055E2" w:rsidRPr="00CF31E0" w14:paraId="025779B0" w14:textId="77777777" w:rsidTr="00944CCD">
        <w:trPr>
          <w:cantSplit/>
        </w:trPr>
        <w:tc>
          <w:tcPr>
            <w:tcW w:w="1736" w:type="dxa"/>
            <w:tcBorders>
              <w:top w:val="single" w:sz="6" w:space="0" w:color="auto"/>
              <w:bottom w:val="nil"/>
            </w:tcBorders>
            <w:shd w:val="clear" w:color="auto" w:fill="FFFFFF"/>
          </w:tcPr>
          <w:p w14:paraId="47FAE44C" w14:textId="77777777" w:rsidR="007055E2" w:rsidRPr="00CF31E0" w:rsidRDefault="007055E2"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7F1503A8" w14:textId="687735DD"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3.815</w:t>
            </w:r>
          </w:p>
        </w:tc>
        <w:tc>
          <w:tcPr>
            <w:tcW w:w="820" w:type="dxa"/>
            <w:tcBorders>
              <w:top w:val="single" w:sz="6" w:space="0" w:color="auto"/>
              <w:bottom w:val="nil"/>
            </w:tcBorders>
            <w:shd w:val="clear" w:color="auto" w:fill="FFFFFF"/>
            <w:vAlign w:val="center"/>
          </w:tcPr>
          <w:p w14:paraId="643A523E" w14:textId="637BCDB2"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w:t>
            </w:r>
          </w:p>
        </w:tc>
        <w:tc>
          <w:tcPr>
            <w:tcW w:w="1445" w:type="dxa"/>
            <w:tcBorders>
              <w:top w:val="single" w:sz="6" w:space="0" w:color="auto"/>
              <w:bottom w:val="nil"/>
            </w:tcBorders>
            <w:shd w:val="clear" w:color="auto" w:fill="FFFFFF"/>
            <w:vAlign w:val="center"/>
          </w:tcPr>
          <w:p w14:paraId="2C720B49" w14:textId="4F4E029C"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1.272</w:t>
            </w:r>
          </w:p>
        </w:tc>
        <w:tc>
          <w:tcPr>
            <w:tcW w:w="1030" w:type="dxa"/>
            <w:tcBorders>
              <w:top w:val="single" w:sz="6" w:space="0" w:color="auto"/>
              <w:bottom w:val="nil"/>
            </w:tcBorders>
            <w:shd w:val="clear" w:color="auto" w:fill="FFFFFF"/>
            <w:vAlign w:val="center"/>
          </w:tcPr>
          <w:p w14:paraId="2E27C58A" w14:textId="2FA24E27"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.996</w:t>
            </w:r>
          </w:p>
        </w:tc>
        <w:tc>
          <w:tcPr>
            <w:tcW w:w="674" w:type="dxa"/>
            <w:tcBorders>
              <w:top w:val="single" w:sz="6" w:space="0" w:color="auto"/>
              <w:bottom w:val="nil"/>
            </w:tcBorders>
            <w:shd w:val="clear" w:color="auto" w:fill="FFFFFF"/>
            <w:vAlign w:val="center"/>
          </w:tcPr>
          <w:p w14:paraId="46D206B0" w14:textId="234EC624"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.394</w:t>
            </w:r>
          </w:p>
        </w:tc>
      </w:tr>
      <w:tr w:rsidR="007055E2" w:rsidRPr="00CF31E0" w14:paraId="49D24978" w14:textId="77777777" w:rsidTr="00944CCD">
        <w:trPr>
          <w:cantSplit/>
        </w:trPr>
        <w:tc>
          <w:tcPr>
            <w:tcW w:w="1736" w:type="dxa"/>
            <w:tcBorders>
              <w:top w:val="nil"/>
            </w:tcBorders>
            <w:shd w:val="clear" w:color="auto" w:fill="FFFFFF"/>
          </w:tcPr>
          <w:p w14:paraId="70E4100E" w14:textId="77777777" w:rsidR="007055E2" w:rsidRPr="00CF31E0" w:rsidRDefault="007055E2"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7848CEFD" w14:textId="0EFB9138"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823.433</w:t>
            </w:r>
          </w:p>
        </w:tc>
        <w:tc>
          <w:tcPr>
            <w:tcW w:w="820" w:type="dxa"/>
            <w:tcBorders>
              <w:top w:val="nil"/>
            </w:tcBorders>
            <w:shd w:val="clear" w:color="auto" w:fill="FFFFFF"/>
            <w:vAlign w:val="center"/>
          </w:tcPr>
          <w:p w14:paraId="1C39B1E1" w14:textId="0551863B" w:rsidR="007055E2" w:rsidRPr="00CF31E0" w:rsidRDefault="00073750"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646</w:t>
            </w:r>
          </w:p>
        </w:tc>
        <w:tc>
          <w:tcPr>
            <w:tcW w:w="1445" w:type="dxa"/>
            <w:tcBorders>
              <w:top w:val="nil"/>
            </w:tcBorders>
            <w:shd w:val="clear" w:color="auto" w:fill="FFFFFF"/>
            <w:vAlign w:val="center"/>
          </w:tcPr>
          <w:p w14:paraId="6C69C2DA" w14:textId="31F18F85"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1.277</w:t>
            </w:r>
          </w:p>
        </w:tc>
        <w:tc>
          <w:tcPr>
            <w:tcW w:w="1030" w:type="dxa"/>
            <w:tcBorders>
              <w:top w:val="nil"/>
            </w:tcBorders>
            <w:shd w:val="clear" w:color="auto" w:fill="FFFFFF"/>
            <w:vAlign w:val="center"/>
          </w:tcPr>
          <w:p w14:paraId="3065154A"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30EE8788"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r>
      <w:tr w:rsidR="007055E2" w:rsidRPr="00CF31E0" w14:paraId="1E024D24" w14:textId="77777777" w:rsidTr="00944CCD">
        <w:trPr>
          <w:cantSplit/>
        </w:trPr>
        <w:tc>
          <w:tcPr>
            <w:tcW w:w="1736" w:type="dxa"/>
            <w:shd w:val="clear" w:color="auto" w:fill="FFFFFF"/>
          </w:tcPr>
          <w:p w14:paraId="23594B00" w14:textId="77777777" w:rsidR="007055E2" w:rsidRPr="00CF31E0" w:rsidRDefault="007055E2"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339F00A3" w14:textId="0F585CB1"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827.248</w:t>
            </w:r>
          </w:p>
        </w:tc>
        <w:tc>
          <w:tcPr>
            <w:tcW w:w="820" w:type="dxa"/>
            <w:shd w:val="clear" w:color="auto" w:fill="FFFFFF"/>
            <w:vAlign w:val="center"/>
          </w:tcPr>
          <w:p w14:paraId="75E84B8C" w14:textId="69977784" w:rsidR="007055E2" w:rsidRPr="00CF31E0" w:rsidRDefault="00073750"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6BA72DFF"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079C7E4F"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19A65B1E"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r>
    </w:tbl>
    <w:p w14:paraId="59561D3E" w14:textId="77777777" w:rsidR="00944CCD" w:rsidRPr="00CF31E0" w:rsidRDefault="00944CCD" w:rsidP="00944CCD">
      <w:pPr>
        <w:rPr>
          <w:rFonts w:asciiTheme="majorBidi" w:hAnsiTheme="majorBidi" w:cstheme="majorBidi"/>
          <w:b/>
          <w:bCs/>
          <w:color w:val="000000" w:themeColor="text1"/>
        </w:rPr>
      </w:pPr>
    </w:p>
    <w:p w14:paraId="57ACB215" w14:textId="77777777" w:rsidR="00944CCD" w:rsidRPr="00CF31E0" w:rsidRDefault="00944CCD" w:rsidP="00944CC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944CCD" w:rsidRPr="00CF31E0" w14:paraId="6441F764" w14:textId="77777777" w:rsidTr="00944CCD">
        <w:trPr>
          <w:cantSplit/>
        </w:trPr>
        <w:tc>
          <w:tcPr>
            <w:tcW w:w="1736" w:type="dxa"/>
            <w:tcBorders>
              <w:top w:val="single" w:sz="8" w:space="0" w:color="auto"/>
              <w:bottom w:val="single" w:sz="6" w:space="0" w:color="auto"/>
            </w:tcBorders>
            <w:shd w:val="clear" w:color="auto" w:fill="FFFFFF"/>
            <w:vAlign w:val="bottom"/>
          </w:tcPr>
          <w:p w14:paraId="1738B250"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Education</w:t>
            </w:r>
          </w:p>
        </w:tc>
        <w:tc>
          <w:tcPr>
            <w:tcW w:w="1686" w:type="dxa"/>
            <w:tcBorders>
              <w:top w:val="single" w:sz="8" w:space="0" w:color="auto"/>
              <w:bottom w:val="single" w:sz="6" w:space="0" w:color="auto"/>
            </w:tcBorders>
            <w:shd w:val="clear" w:color="auto" w:fill="FFFFFF"/>
            <w:vAlign w:val="bottom"/>
          </w:tcPr>
          <w:p w14:paraId="751D6301"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036C0332"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61C342F2"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1AEC1715"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6E3E39F2"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055E2" w:rsidRPr="00CF31E0" w14:paraId="0DD43582" w14:textId="77777777" w:rsidTr="00944CCD">
        <w:trPr>
          <w:cantSplit/>
        </w:trPr>
        <w:tc>
          <w:tcPr>
            <w:tcW w:w="1736" w:type="dxa"/>
            <w:tcBorders>
              <w:top w:val="single" w:sz="6" w:space="0" w:color="auto"/>
              <w:bottom w:val="nil"/>
            </w:tcBorders>
            <w:shd w:val="clear" w:color="auto" w:fill="FFFFFF"/>
          </w:tcPr>
          <w:p w14:paraId="51BCA88B" w14:textId="77777777" w:rsidR="007055E2" w:rsidRPr="00CF31E0" w:rsidRDefault="007055E2"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4D9AC7F1" w14:textId="0FCCA695"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5.781</w:t>
            </w:r>
          </w:p>
        </w:tc>
        <w:tc>
          <w:tcPr>
            <w:tcW w:w="820" w:type="dxa"/>
            <w:tcBorders>
              <w:top w:val="single" w:sz="6" w:space="0" w:color="auto"/>
              <w:bottom w:val="nil"/>
            </w:tcBorders>
            <w:shd w:val="clear" w:color="auto" w:fill="FFFFFF"/>
            <w:vAlign w:val="center"/>
          </w:tcPr>
          <w:p w14:paraId="45F55486" w14:textId="04855191"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w:t>
            </w:r>
          </w:p>
        </w:tc>
        <w:tc>
          <w:tcPr>
            <w:tcW w:w="1445" w:type="dxa"/>
            <w:tcBorders>
              <w:top w:val="single" w:sz="6" w:space="0" w:color="auto"/>
              <w:bottom w:val="nil"/>
            </w:tcBorders>
            <w:shd w:val="clear" w:color="auto" w:fill="FFFFFF"/>
            <w:vAlign w:val="center"/>
          </w:tcPr>
          <w:p w14:paraId="6FB868B3" w14:textId="7C9E6A9C"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1.156</w:t>
            </w:r>
          </w:p>
        </w:tc>
        <w:tc>
          <w:tcPr>
            <w:tcW w:w="1030" w:type="dxa"/>
            <w:tcBorders>
              <w:top w:val="single" w:sz="6" w:space="0" w:color="auto"/>
              <w:bottom w:val="nil"/>
            </w:tcBorders>
            <w:shd w:val="clear" w:color="auto" w:fill="FFFFFF"/>
            <w:vAlign w:val="center"/>
          </w:tcPr>
          <w:p w14:paraId="10959AEF" w14:textId="414571BE"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.905</w:t>
            </w:r>
          </w:p>
        </w:tc>
        <w:tc>
          <w:tcPr>
            <w:tcW w:w="674" w:type="dxa"/>
            <w:tcBorders>
              <w:top w:val="single" w:sz="6" w:space="0" w:color="auto"/>
              <w:bottom w:val="nil"/>
            </w:tcBorders>
            <w:shd w:val="clear" w:color="auto" w:fill="FFFFFF"/>
            <w:vAlign w:val="center"/>
          </w:tcPr>
          <w:p w14:paraId="566578B2" w14:textId="6CAEA5B5"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.477</w:t>
            </w:r>
          </w:p>
        </w:tc>
      </w:tr>
      <w:tr w:rsidR="007055E2" w:rsidRPr="00CF31E0" w14:paraId="5F0CDC61" w14:textId="77777777" w:rsidTr="00944CCD">
        <w:trPr>
          <w:cantSplit/>
        </w:trPr>
        <w:tc>
          <w:tcPr>
            <w:tcW w:w="1736" w:type="dxa"/>
            <w:tcBorders>
              <w:top w:val="nil"/>
            </w:tcBorders>
            <w:shd w:val="clear" w:color="auto" w:fill="FFFFFF"/>
          </w:tcPr>
          <w:p w14:paraId="211584D6" w14:textId="77777777" w:rsidR="007055E2" w:rsidRPr="00CF31E0" w:rsidRDefault="007055E2"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5195B998" w14:textId="4ACE5584"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821.467</w:t>
            </w:r>
          </w:p>
        </w:tc>
        <w:tc>
          <w:tcPr>
            <w:tcW w:w="820" w:type="dxa"/>
            <w:tcBorders>
              <w:top w:val="nil"/>
            </w:tcBorders>
            <w:shd w:val="clear" w:color="auto" w:fill="FFFFFF"/>
            <w:vAlign w:val="center"/>
          </w:tcPr>
          <w:p w14:paraId="77FDCA5E" w14:textId="68E457AA" w:rsidR="007055E2" w:rsidRPr="00CF31E0" w:rsidRDefault="00073750"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644</w:t>
            </w:r>
          </w:p>
        </w:tc>
        <w:tc>
          <w:tcPr>
            <w:tcW w:w="1445" w:type="dxa"/>
            <w:tcBorders>
              <w:top w:val="nil"/>
            </w:tcBorders>
            <w:shd w:val="clear" w:color="auto" w:fill="FFFFFF"/>
            <w:vAlign w:val="center"/>
          </w:tcPr>
          <w:p w14:paraId="5E49634B" w14:textId="4FFA481E"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1.278</w:t>
            </w:r>
          </w:p>
        </w:tc>
        <w:tc>
          <w:tcPr>
            <w:tcW w:w="1030" w:type="dxa"/>
            <w:tcBorders>
              <w:top w:val="nil"/>
            </w:tcBorders>
            <w:shd w:val="clear" w:color="auto" w:fill="FFFFFF"/>
            <w:vAlign w:val="center"/>
          </w:tcPr>
          <w:p w14:paraId="40732AB5"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1D3A4244"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r>
      <w:tr w:rsidR="007055E2" w:rsidRPr="00CF31E0" w14:paraId="0A166307" w14:textId="77777777" w:rsidTr="00944CCD">
        <w:trPr>
          <w:cantSplit/>
        </w:trPr>
        <w:tc>
          <w:tcPr>
            <w:tcW w:w="1736" w:type="dxa"/>
            <w:shd w:val="clear" w:color="auto" w:fill="FFFFFF"/>
          </w:tcPr>
          <w:p w14:paraId="0B6F5F7D" w14:textId="77777777" w:rsidR="007055E2" w:rsidRPr="00CF31E0" w:rsidRDefault="007055E2"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AAF079D" w14:textId="4FDFD0EF"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827.248</w:t>
            </w:r>
          </w:p>
        </w:tc>
        <w:tc>
          <w:tcPr>
            <w:tcW w:w="820" w:type="dxa"/>
            <w:shd w:val="clear" w:color="auto" w:fill="FFFFFF"/>
            <w:vAlign w:val="center"/>
          </w:tcPr>
          <w:p w14:paraId="37C3FDA2" w14:textId="67F5B3DE" w:rsidR="007055E2" w:rsidRPr="00CF31E0" w:rsidRDefault="00073750"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74E60365"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371D27D6"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748E1707"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r>
    </w:tbl>
    <w:p w14:paraId="17E1C435" w14:textId="77777777" w:rsidR="00944CCD" w:rsidRPr="00CF31E0" w:rsidRDefault="00944CCD" w:rsidP="00944CCD">
      <w:pPr>
        <w:rPr>
          <w:rFonts w:asciiTheme="majorBidi" w:hAnsiTheme="majorBidi" w:cstheme="majorBidi"/>
          <w:b/>
          <w:bCs/>
          <w:color w:val="000000" w:themeColor="text1"/>
        </w:rPr>
      </w:pPr>
    </w:p>
    <w:p w14:paraId="4B30F5BA" w14:textId="77777777" w:rsidR="00944CCD" w:rsidRPr="00CF31E0" w:rsidRDefault="00944CCD" w:rsidP="00944CC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7055E2" w:rsidRPr="00CF31E0" w14:paraId="046EE48A" w14:textId="77777777" w:rsidTr="00661DC9">
        <w:trPr>
          <w:cantSplit/>
        </w:trPr>
        <w:tc>
          <w:tcPr>
            <w:tcW w:w="1736" w:type="dxa"/>
            <w:tcBorders>
              <w:top w:val="single" w:sz="8" w:space="0" w:color="auto"/>
              <w:bottom w:val="single" w:sz="6" w:space="0" w:color="auto"/>
            </w:tcBorders>
            <w:shd w:val="clear" w:color="auto" w:fill="FFFFFF"/>
            <w:vAlign w:val="bottom"/>
          </w:tcPr>
          <w:p w14:paraId="41DDB44D" w14:textId="00A1FE9F" w:rsidR="007055E2" w:rsidRPr="00CF31E0" w:rsidRDefault="007055E2"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Spouse’s social group</w:t>
            </w:r>
          </w:p>
        </w:tc>
        <w:tc>
          <w:tcPr>
            <w:tcW w:w="1686" w:type="dxa"/>
            <w:tcBorders>
              <w:top w:val="single" w:sz="8" w:space="0" w:color="auto"/>
              <w:bottom w:val="single" w:sz="6" w:space="0" w:color="auto"/>
            </w:tcBorders>
            <w:shd w:val="clear" w:color="auto" w:fill="FFFFFF"/>
            <w:vAlign w:val="bottom"/>
          </w:tcPr>
          <w:p w14:paraId="715AD30C"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445F74D6"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D120ACA"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834A114"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761450DB"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055E2" w:rsidRPr="00CF31E0" w14:paraId="6477DD8E" w14:textId="77777777" w:rsidTr="00661DC9">
        <w:trPr>
          <w:cantSplit/>
        </w:trPr>
        <w:tc>
          <w:tcPr>
            <w:tcW w:w="1736" w:type="dxa"/>
            <w:tcBorders>
              <w:top w:val="single" w:sz="6" w:space="0" w:color="auto"/>
              <w:bottom w:val="nil"/>
            </w:tcBorders>
            <w:shd w:val="clear" w:color="auto" w:fill="FFFFFF"/>
          </w:tcPr>
          <w:p w14:paraId="2D4222BA" w14:textId="77777777" w:rsidR="007055E2" w:rsidRPr="00CF31E0" w:rsidRDefault="007055E2"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5D3B13EF" w14:textId="0F5BEAB2"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8.798</w:t>
            </w:r>
          </w:p>
        </w:tc>
        <w:tc>
          <w:tcPr>
            <w:tcW w:w="820" w:type="dxa"/>
            <w:tcBorders>
              <w:top w:val="single" w:sz="6" w:space="0" w:color="auto"/>
              <w:bottom w:val="nil"/>
            </w:tcBorders>
            <w:shd w:val="clear" w:color="auto" w:fill="FFFFFF"/>
            <w:vAlign w:val="center"/>
          </w:tcPr>
          <w:p w14:paraId="3E7893E9" w14:textId="53671B69"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w:t>
            </w:r>
          </w:p>
        </w:tc>
        <w:tc>
          <w:tcPr>
            <w:tcW w:w="1445" w:type="dxa"/>
            <w:tcBorders>
              <w:top w:val="single" w:sz="6" w:space="0" w:color="auto"/>
              <w:bottom w:val="nil"/>
            </w:tcBorders>
            <w:shd w:val="clear" w:color="auto" w:fill="FFFFFF"/>
            <w:vAlign w:val="center"/>
          </w:tcPr>
          <w:p w14:paraId="32CF348D" w14:textId="7419F7C2"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2.199</w:t>
            </w:r>
          </w:p>
        </w:tc>
        <w:tc>
          <w:tcPr>
            <w:tcW w:w="1030" w:type="dxa"/>
            <w:tcBorders>
              <w:top w:val="single" w:sz="6" w:space="0" w:color="auto"/>
              <w:bottom w:val="nil"/>
            </w:tcBorders>
            <w:shd w:val="clear" w:color="auto" w:fill="FFFFFF"/>
            <w:vAlign w:val="center"/>
          </w:tcPr>
          <w:p w14:paraId="521FD612" w14:textId="51E55FE5"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1.731</w:t>
            </w:r>
          </w:p>
        </w:tc>
        <w:tc>
          <w:tcPr>
            <w:tcW w:w="674" w:type="dxa"/>
            <w:tcBorders>
              <w:top w:val="single" w:sz="6" w:space="0" w:color="auto"/>
              <w:bottom w:val="nil"/>
            </w:tcBorders>
            <w:shd w:val="clear" w:color="auto" w:fill="FFFFFF"/>
            <w:vAlign w:val="center"/>
          </w:tcPr>
          <w:p w14:paraId="2A644A01" w14:textId="022ECAAD"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.141</w:t>
            </w:r>
          </w:p>
        </w:tc>
      </w:tr>
      <w:tr w:rsidR="007055E2" w:rsidRPr="00CF31E0" w14:paraId="56C7E670" w14:textId="77777777" w:rsidTr="00661DC9">
        <w:trPr>
          <w:cantSplit/>
        </w:trPr>
        <w:tc>
          <w:tcPr>
            <w:tcW w:w="1736" w:type="dxa"/>
            <w:tcBorders>
              <w:top w:val="nil"/>
            </w:tcBorders>
            <w:shd w:val="clear" w:color="auto" w:fill="FFFFFF"/>
          </w:tcPr>
          <w:p w14:paraId="657B7E94" w14:textId="77777777" w:rsidR="007055E2" w:rsidRPr="00CF31E0" w:rsidRDefault="007055E2"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4DB3E67B" w14:textId="2A756AB3"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813.280</w:t>
            </w:r>
          </w:p>
        </w:tc>
        <w:tc>
          <w:tcPr>
            <w:tcW w:w="820" w:type="dxa"/>
            <w:tcBorders>
              <w:top w:val="nil"/>
            </w:tcBorders>
            <w:shd w:val="clear" w:color="auto" w:fill="FFFFFF"/>
            <w:vAlign w:val="center"/>
          </w:tcPr>
          <w:p w14:paraId="099DDA0C" w14:textId="5FAEAB49" w:rsidR="007055E2"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645</w:t>
            </w:r>
          </w:p>
        </w:tc>
        <w:tc>
          <w:tcPr>
            <w:tcW w:w="1445" w:type="dxa"/>
            <w:tcBorders>
              <w:top w:val="nil"/>
            </w:tcBorders>
            <w:shd w:val="clear" w:color="auto" w:fill="FFFFFF"/>
            <w:vAlign w:val="center"/>
          </w:tcPr>
          <w:p w14:paraId="07C2BE47" w14:textId="048B2FEF"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1.271</w:t>
            </w:r>
          </w:p>
        </w:tc>
        <w:tc>
          <w:tcPr>
            <w:tcW w:w="1030" w:type="dxa"/>
            <w:tcBorders>
              <w:top w:val="nil"/>
            </w:tcBorders>
            <w:shd w:val="clear" w:color="auto" w:fill="FFFFFF"/>
            <w:vAlign w:val="center"/>
          </w:tcPr>
          <w:p w14:paraId="550A5AF2"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094FD5C0"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p>
        </w:tc>
      </w:tr>
      <w:tr w:rsidR="007055E2" w:rsidRPr="00CF31E0" w14:paraId="56AAF480" w14:textId="77777777" w:rsidTr="00661DC9">
        <w:trPr>
          <w:cantSplit/>
        </w:trPr>
        <w:tc>
          <w:tcPr>
            <w:tcW w:w="1736" w:type="dxa"/>
            <w:shd w:val="clear" w:color="auto" w:fill="FFFFFF"/>
          </w:tcPr>
          <w:p w14:paraId="4DE03FA9" w14:textId="77777777" w:rsidR="007055E2" w:rsidRPr="00CF31E0" w:rsidRDefault="007055E2"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2EF72298" w14:textId="10CFF33B"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822.078</w:t>
            </w:r>
          </w:p>
        </w:tc>
        <w:tc>
          <w:tcPr>
            <w:tcW w:w="820" w:type="dxa"/>
            <w:shd w:val="clear" w:color="auto" w:fill="FFFFFF"/>
            <w:vAlign w:val="center"/>
          </w:tcPr>
          <w:p w14:paraId="59F6DFC8" w14:textId="6406DE37" w:rsidR="007055E2"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6EF3EF31"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1F2C2E74"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7CFED128"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p>
        </w:tc>
      </w:tr>
    </w:tbl>
    <w:p w14:paraId="304FBD8F" w14:textId="77777777" w:rsidR="00944CCD" w:rsidRPr="00CF31E0" w:rsidRDefault="00944CCD" w:rsidP="00944CCD">
      <w:pPr>
        <w:rPr>
          <w:rFonts w:asciiTheme="majorBidi" w:hAnsiTheme="majorBidi" w:cstheme="majorBidi"/>
          <w:b/>
          <w:bCs/>
          <w:color w:val="000000" w:themeColor="text1"/>
        </w:rPr>
      </w:pPr>
    </w:p>
    <w:p w14:paraId="7E27DA62" w14:textId="77777777" w:rsidR="00944CCD" w:rsidRPr="00CF31E0" w:rsidRDefault="00944CCD" w:rsidP="00944CCD">
      <w:pPr>
        <w:rPr>
          <w:rFonts w:asciiTheme="majorBidi" w:hAnsiTheme="majorBidi" w:cstheme="majorBidi"/>
          <w:b/>
          <w:bCs/>
          <w:color w:val="000000" w:themeColor="text1"/>
        </w:rPr>
      </w:pPr>
    </w:p>
    <w:p w14:paraId="59F1CDB9" w14:textId="77777777" w:rsidR="00944CCD" w:rsidRPr="00CF31E0" w:rsidRDefault="00944CCD" w:rsidP="00944CCD">
      <w:pPr>
        <w:rPr>
          <w:rFonts w:asciiTheme="majorBidi" w:hAnsiTheme="majorBidi" w:cstheme="majorBidi"/>
          <w:b/>
          <w:bCs/>
          <w:color w:val="000000" w:themeColor="text1"/>
        </w:rPr>
      </w:pPr>
    </w:p>
    <w:p w14:paraId="2C6E103E" w14:textId="77777777" w:rsidR="00944CCD" w:rsidRPr="00CF31E0" w:rsidRDefault="00944CCD" w:rsidP="00944CCD">
      <w:pPr>
        <w:rPr>
          <w:rFonts w:asciiTheme="majorBidi" w:hAnsiTheme="majorBidi" w:cstheme="majorBidi"/>
          <w:b/>
          <w:bCs/>
          <w:color w:val="000000" w:themeColor="text1"/>
        </w:rPr>
      </w:pPr>
    </w:p>
    <w:p w14:paraId="1571F2CB" w14:textId="77777777" w:rsidR="00944CCD" w:rsidRPr="00CF31E0" w:rsidRDefault="00944CCD" w:rsidP="00944CCD">
      <w:pPr>
        <w:rPr>
          <w:rFonts w:asciiTheme="majorBidi" w:hAnsiTheme="majorBidi" w:cstheme="majorBidi"/>
          <w:b/>
          <w:bCs/>
          <w:color w:val="000000" w:themeColor="text1"/>
        </w:rPr>
      </w:pPr>
    </w:p>
    <w:p w14:paraId="4128630C" w14:textId="77777777" w:rsidR="007055E2" w:rsidRPr="00CF31E0" w:rsidRDefault="007055E2" w:rsidP="00944CCD">
      <w:pPr>
        <w:rPr>
          <w:rFonts w:asciiTheme="majorBidi" w:hAnsiTheme="majorBidi" w:cstheme="majorBidi"/>
          <w:b/>
          <w:bCs/>
          <w:color w:val="000000" w:themeColor="text1"/>
        </w:rPr>
      </w:pPr>
    </w:p>
    <w:p w14:paraId="4F7C082C" w14:textId="77777777" w:rsidR="00944CCD" w:rsidRPr="00CF31E0" w:rsidRDefault="00944CCD" w:rsidP="00944CCD">
      <w:pPr>
        <w:pStyle w:val="ListParagraph"/>
        <w:numPr>
          <w:ilvl w:val="0"/>
          <w:numId w:val="71"/>
        </w:numPr>
        <w:rPr>
          <w:rFonts w:asciiTheme="majorBidi" w:hAnsiTheme="majorBidi" w:cstheme="majorBidi"/>
          <w:b/>
          <w:bCs/>
          <w:color w:val="000000" w:themeColor="text1"/>
          <w:sz w:val="28"/>
          <w:szCs w:val="28"/>
        </w:rPr>
      </w:pPr>
      <w:r w:rsidRPr="00CF31E0">
        <w:rPr>
          <w:rFonts w:asciiTheme="majorBidi" w:hAnsiTheme="majorBidi" w:cstheme="majorBidi"/>
          <w:b/>
          <w:bCs/>
          <w:color w:val="000000" w:themeColor="text1"/>
          <w:sz w:val="28"/>
          <w:szCs w:val="28"/>
        </w:rPr>
        <w:lastRenderedPageBreak/>
        <w:t>Modern scale</w:t>
      </w:r>
    </w:p>
    <w:p w14:paraId="64526330" w14:textId="77777777" w:rsidR="00944CCD" w:rsidRPr="00CF31E0" w:rsidRDefault="00944CCD" w:rsidP="00944CC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944CCD" w:rsidRPr="00CF31E0" w14:paraId="5991181A" w14:textId="77777777" w:rsidTr="00944CCD">
        <w:trPr>
          <w:cantSplit/>
        </w:trPr>
        <w:tc>
          <w:tcPr>
            <w:tcW w:w="1736" w:type="dxa"/>
            <w:tcBorders>
              <w:top w:val="single" w:sz="8" w:space="0" w:color="auto"/>
              <w:bottom w:val="single" w:sz="6" w:space="0" w:color="auto"/>
            </w:tcBorders>
            <w:shd w:val="clear" w:color="auto" w:fill="FFFFFF"/>
            <w:vAlign w:val="bottom"/>
          </w:tcPr>
          <w:p w14:paraId="47B41529"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Gender</w:t>
            </w:r>
          </w:p>
        </w:tc>
        <w:tc>
          <w:tcPr>
            <w:tcW w:w="1686" w:type="dxa"/>
            <w:tcBorders>
              <w:top w:val="single" w:sz="8" w:space="0" w:color="auto"/>
              <w:bottom w:val="single" w:sz="6" w:space="0" w:color="auto"/>
            </w:tcBorders>
            <w:shd w:val="clear" w:color="auto" w:fill="FFFFFF"/>
            <w:vAlign w:val="bottom"/>
          </w:tcPr>
          <w:p w14:paraId="629C8EDF"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2B21FE12"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521CB215"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31E8BCA7"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489A1128"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055E2" w:rsidRPr="00CF31E0" w14:paraId="159337DE" w14:textId="77777777" w:rsidTr="00944CCD">
        <w:trPr>
          <w:cantSplit/>
        </w:trPr>
        <w:tc>
          <w:tcPr>
            <w:tcW w:w="1736" w:type="dxa"/>
            <w:tcBorders>
              <w:top w:val="single" w:sz="6" w:space="0" w:color="auto"/>
              <w:bottom w:val="nil"/>
            </w:tcBorders>
            <w:shd w:val="clear" w:color="auto" w:fill="FFFFFF"/>
          </w:tcPr>
          <w:p w14:paraId="2E567EDA" w14:textId="77777777" w:rsidR="007055E2" w:rsidRPr="00CF31E0" w:rsidRDefault="007055E2"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474D5021" w14:textId="684531A4"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13.726</w:t>
            </w:r>
          </w:p>
        </w:tc>
        <w:tc>
          <w:tcPr>
            <w:tcW w:w="820" w:type="dxa"/>
            <w:tcBorders>
              <w:top w:val="single" w:sz="6" w:space="0" w:color="auto"/>
              <w:bottom w:val="nil"/>
            </w:tcBorders>
            <w:shd w:val="clear" w:color="auto" w:fill="FFFFFF"/>
            <w:vAlign w:val="center"/>
          </w:tcPr>
          <w:p w14:paraId="7C07E125" w14:textId="0A52564D"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55553C81" w14:textId="1D0EDA91"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13.726</w:t>
            </w:r>
          </w:p>
        </w:tc>
        <w:tc>
          <w:tcPr>
            <w:tcW w:w="1030" w:type="dxa"/>
            <w:tcBorders>
              <w:top w:val="single" w:sz="6" w:space="0" w:color="auto"/>
              <w:bottom w:val="nil"/>
            </w:tcBorders>
            <w:shd w:val="clear" w:color="auto" w:fill="FFFFFF"/>
            <w:vAlign w:val="center"/>
          </w:tcPr>
          <w:p w14:paraId="41FF08A4" w14:textId="055D91FA"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11.292</w:t>
            </w:r>
          </w:p>
        </w:tc>
        <w:tc>
          <w:tcPr>
            <w:tcW w:w="674" w:type="dxa"/>
            <w:tcBorders>
              <w:top w:val="single" w:sz="6" w:space="0" w:color="auto"/>
              <w:bottom w:val="nil"/>
            </w:tcBorders>
            <w:shd w:val="clear" w:color="auto" w:fill="FFFFFF"/>
            <w:vAlign w:val="center"/>
          </w:tcPr>
          <w:p w14:paraId="6FFB4501" w14:textId="65AA2BF4"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.011</w:t>
            </w:r>
          </w:p>
        </w:tc>
      </w:tr>
      <w:tr w:rsidR="007055E2" w:rsidRPr="00CF31E0" w14:paraId="39493F5A" w14:textId="77777777" w:rsidTr="00944CCD">
        <w:trPr>
          <w:cantSplit/>
        </w:trPr>
        <w:tc>
          <w:tcPr>
            <w:tcW w:w="1736" w:type="dxa"/>
            <w:tcBorders>
              <w:top w:val="nil"/>
            </w:tcBorders>
            <w:shd w:val="clear" w:color="auto" w:fill="FFFFFF"/>
          </w:tcPr>
          <w:p w14:paraId="4BD306E8" w14:textId="77777777" w:rsidR="007055E2" w:rsidRPr="00CF31E0" w:rsidRDefault="007055E2"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79BCC227" w14:textId="60C6C4B1"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786.478</w:t>
            </w:r>
          </w:p>
        </w:tc>
        <w:tc>
          <w:tcPr>
            <w:tcW w:w="820" w:type="dxa"/>
            <w:tcBorders>
              <w:top w:val="nil"/>
            </w:tcBorders>
            <w:shd w:val="clear" w:color="auto" w:fill="FFFFFF"/>
            <w:vAlign w:val="center"/>
          </w:tcPr>
          <w:p w14:paraId="59714422" w14:textId="4A7B0846" w:rsidR="007055E2" w:rsidRPr="00CF31E0" w:rsidRDefault="00073750"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694FB0D4" w14:textId="5E30BD18"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1.216</w:t>
            </w:r>
          </w:p>
        </w:tc>
        <w:tc>
          <w:tcPr>
            <w:tcW w:w="1030" w:type="dxa"/>
            <w:tcBorders>
              <w:top w:val="nil"/>
            </w:tcBorders>
            <w:shd w:val="clear" w:color="auto" w:fill="FFFFFF"/>
            <w:vAlign w:val="center"/>
          </w:tcPr>
          <w:p w14:paraId="313FA51C"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71ADF2D1"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r>
      <w:tr w:rsidR="007055E2" w:rsidRPr="00CF31E0" w14:paraId="1BA256CF" w14:textId="77777777" w:rsidTr="00944CCD">
        <w:trPr>
          <w:cantSplit/>
        </w:trPr>
        <w:tc>
          <w:tcPr>
            <w:tcW w:w="1736" w:type="dxa"/>
            <w:shd w:val="clear" w:color="auto" w:fill="FFFFFF"/>
          </w:tcPr>
          <w:p w14:paraId="4A102A19" w14:textId="77777777" w:rsidR="007055E2" w:rsidRPr="00CF31E0" w:rsidRDefault="007055E2"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692BE915" w14:textId="5744A70C"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800.203</w:t>
            </w:r>
          </w:p>
        </w:tc>
        <w:tc>
          <w:tcPr>
            <w:tcW w:w="820" w:type="dxa"/>
            <w:shd w:val="clear" w:color="auto" w:fill="FFFFFF"/>
            <w:vAlign w:val="center"/>
          </w:tcPr>
          <w:p w14:paraId="5499A8F6" w14:textId="41C9A303" w:rsidR="007055E2" w:rsidRPr="00CF31E0" w:rsidRDefault="00073750"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25F3D982"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16EC1889"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7A75FE1B"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r>
    </w:tbl>
    <w:p w14:paraId="3DE9068F" w14:textId="77777777" w:rsidR="00944CCD" w:rsidRPr="00CF31E0" w:rsidRDefault="00944CCD" w:rsidP="00944CCD">
      <w:pPr>
        <w:rPr>
          <w:rFonts w:asciiTheme="majorBidi" w:hAnsiTheme="majorBidi" w:cstheme="majorBidi"/>
          <w:b/>
          <w:bCs/>
          <w:color w:val="000000" w:themeColor="text1"/>
        </w:rPr>
      </w:pPr>
    </w:p>
    <w:p w14:paraId="2FAD811B" w14:textId="77777777" w:rsidR="00944CCD" w:rsidRPr="00CF31E0" w:rsidRDefault="00944CCD" w:rsidP="00944CC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2"/>
        <w:gridCol w:w="1443"/>
        <w:gridCol w:w="1030"/>
        <w:gridCol w:w="674"/>
      </w:tblGrid>
      <w:tr w:rsidR="007055E2" w:rsidRPr="00CF31E0" w14:paraId="7DAAD3BA" w14:textId="77777777" w:rsidTr="00073750">
        <w:trPr>
          <w:cantSplit/>
        </w:trPr>
        <w:tc>
          <w:tcPr>
            <w:tcW w:w="1736" w:type="dxa"/>
            <w:tcBorders>
              <w:top w:val="single" w:sz="8" w:space="0" w:color="auto"/>
              <w:bottom w:val="single" w:sz="6" w:space="0" w:color="auto"/>
            </w:tcBorders>
            <w:shd w:val="clear" w:color="auto" w:fill="FFFFFF"/>
            <w:vAlign w:val="bottom"/>
          </w:tcPr>
          <w:p w14:paraId="2A9FB343" w14:textId="28CC047A" w:rsidR="007055E2" w:rsidRPr="00CF31E0" w:rsidRDefault="007055E2"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 of birth</w:t>
            </w:r>
          </w:p>
        </w:tc>
        <w:tc>
          <w:tcPr>
            <w:tcW w:w="1686" w:type="dxa"/>
            <w:tcBorders>
              <w:top w:val="single" w:sz="8" w:space="0" w:color="auto"/>
              <w:bottom w:val="single" w:sz="6" w:space="0" w:color="auto"/>
            </w:tcBorders>
            <w:shd w:val="clear" w:color="auto" w:fill="FFFFFF"/>
            <w:vAlign w:val="bottom"/>
          </w:tcPr>
          <w:p w14:paraId="4BACE629"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2" w:type="dxa"/>
            <w:tcBorders>
              <w:top w:val="single" w:sz="8" w:space="0" w:color="auto"/>
              <w:bottom w:val="single" w:sz="6" w:space="0" w:color="auto"/>
            </w:tcBorders>
            <w:shd w:val="clear" w:color="auto" w:fill="FFFFFF"/>
            <w:vAlign w:val="bottom"/>
          </w:tcPr>
          <w:p w14:paraId="43067E0C"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3" w:type="dxa"/>
            <w:tcBorders>
              <w:top w:val="single" w:sz="8" w:space="0" w:color="auto"/>
              <w:bottom w:val="single" w:sz="6" w:space="0" w:color="auto"/>
            </w:tcBorders>
            <w:shd w:val="clear" w:color="auto" w:fill="FFFFFF"/>
            <w:vAlign w:val="bottom"/>
          </w:tcPr>
          <w:p w14:paraId="6B1E7350"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0A3AC5EB"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0BC7739C"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055E2" w:rsidRPr="00CF31E0" w14:paraId="4CEB450B" w14:textId="77777777" w:rsidTr="00073750">
        <w:trPr>
          <w:cantSplit/>
        </w:trPr>
        <w:tc>
          <w:tcPr>
            <w:tcW w:w="1736" w:type="dxa"/>
            <w:tcBorders>
              <w:top w:val="single" w:sz="6" w:space="0" w:color="auto"/>
              <w:bottom w:val="nil"/>
            </w:tcBorders>
            <w:shd w:val="clear" w:color="auto" w:fill="FFFFFF"/>
          </w:tcPr>
          <w:p w14:paraId="1D897F48" w14:textId="77777777" w:rsidR="007055E2" w:rsidRPr="00CF31E0" w:rsidRDefault="007055E2"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3EE4B89C" w14:textId="5F44E35A" w:rsidR="007055E2" w:rsidRPr="00CF31E0" w:rsidRDefault="007055E2"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3.262</w:t>
            </w:r>
          </w:p>
        </w:tc>
        <w:tc>
          <w:tcPr>
            <w:tcW w:w="822" w:type="dxa"/>
            <w:tcBorders>
              <w:top w:val="single" w:sz="6" w:space="0" w:color="auto"/>
              <w:bottom w:val="nil"/>
            </w:tcBorders>
            <w:shd w:val="clear" w:color="auto" w:fill="FFFFFF"/>
            <w:vAlign w:val="center"/>
          </w:tcPr>
          <w:p w14:paraId="678B0F23" w14:textId="663A235D" w:rsidR="007055E2" w:rsidRPr="00CF31E0" w:rsidRDefault="007055E2"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3" w:type="dxa"/>
            <w:tcBorders>
              <w:top w:val="single" w:sz="6" w:space="0" w:color="auto"/>
              <w:bottom w:val="nil"/>
            </w:tcBorders>
            <w:shd w:val="clear" w:color="auto" w:fill="FFFFFF"/>
            <w:vAlign w:val="center"/>
          </w:tcPr>
          <w:p w14:paraId="5CD0A314" w14:textId="3F4B5115" w:rsidR="007055E2" w:rsidRPr="00CF31E0" w:rsidRDefault="007055E2"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3.262</w:t>
            </w:r>
          </w:p>
        </w:tc>
        <w:tc>
          <w:tcPr>
            <w:tcW w:w="1030" w:type="dxa"/>
            <w:tcBorders>
              <w:top w:val="single" w:sz="6" w:space="0" w:color="auto"/>
              <w:bottom w:val="nil"/>
            </w:tcBorders>
            <w:shd w:val="clear" w:color="auto" w:fill="FFFFFF"/>
            <w:vAlign w:val="center"/>
          </w:tcPr>
          <w:p w14:paraId="4B0D2FA6" w14:textId="0CF9FAC9" w:rsidR="007055E2" w:rsidRPr="00CF31E0" w:rsidRDefault="007055E2"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2.648</w:t>
            </w:r>
          </w:p>
        </w:tc>
        <w:tc>
          <w:tcPr>
            <w:tcW w:w="674" w:type="dxa"/>
            <w:tcBorders>
              <w:top w:val="single" w:sz="6" w:space="0" w:color="auto"/>
              <w:bottom w:val="nil"/>
            </w:tcBorders>
            <w:shd w:val="clear" w:color="auto" w:fill="FFFFFF"/>
            <w:vAlign w:val="center"/>
          </w:tcPr>
          <w:p w14:paraId="53E9D709" w14:textId="6FC15DFE" w:rsidR="007055E2" w:rsidRPr="00CF31E0" w:rsidRDefault="007055E2"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.104</w:t>
            </w:r>
          </w:p>
        </w:tc>
      </w:tr>
      <w:tr w:rsidR="007055E2" w:rsidRPr="00CF31E0" w14:paraId="55EF7E02" w14:textId="77777777" w:rsidTr="00073750">
        <w:trPr>
          <w:cantSplit/>
        </w:trPr>
        <w:tc>
          <w:tcPr>
            <w:tcW w:w="1736" w:type="dxa"/>
            <w:tcBorders>
              <w:top w:val="nil"/>
            </w:tcBorders>
            <w:shd w:val="clear" w:color="auto" w:fill="FFFFFF"/>
          </w:tcPr>
          <w:p w14:paraId="78C4897D" w14:textId="77777777" w:rsidR="007055E2" w:rsidRPr="00CF31E0" w:rsidRDefault="007055E2"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26DB8017" w14:textId="718D3143" w:rsidR="007055E2" w:rsidRPr="00CF31E0" w:rsidRDefault="007055E2"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796.941</w:t>
            </w:r>
          </w:p>
        </w:tc>
        <w:tc>
          <w:tcPr>
            <w:tcW w:w="822" w:type="dxa"/>
            <w:tcBorders>
              <w:top w:val="nil"/>
            </w:tcBorders>
            <w:shd w:val="clear" w:color="auto" w:fill="FFFFFF"/>
            <w:vAlign w:val="center"/>
          </w:tcPr>
          <w:p w14:paraId="4DCDB99D" w14:textId="6909530B" w:rsidR="007055E2" w:rsidRPr="00CF31E0" w:rsidRDefault="00073750"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3" w:type="dxa"/>
            <w:tcBorders>
              <w:top w:val="nil"/>
            </w:tcBorders>
            <w:shd w:val="clear" w:color="auto" w:fill="FFFFFF"/>
            <w:vAlign w:val="center"/>
          </w:tcPr>
          <w:p w14:paraId="68568BE8" w14:textId="1D3EA0BF" w:rsidR="007055E2" w:rsidRPr="00CF31E0" w:rsidRDefault="007055E2"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1.232</w:t>
            </w:r>
          </w:p>
        </w:tc>
        <w:tc>
          <w:tcPr>
            <w:tcW w:w="1030" w:type="dxa"/>
            <w:tcBorders>
              <w:top w:val="nil"/>
            </w:tcBorders>
            <w:shd w:val="clear" w:color="auto" w:fill="FFFFFF"/>
            <w:vAlign w:val="center"/>
          </w:tcPr>
          <w:p w14:paraId="5B42353F" w14:textId="77777777" w:rsidR="007055E2" w:rsidRPr="00CF31E0" w:rsidRDefault="007055E2" w:rsidP="00661DC9">
            <w:pPr>
              <w:spacing w:before="120" w:after="120" w:line="360" w:lineRule="auto"/>
              <w:jc w:val="right"/>
              <w:rPr>
                <w:rFonts w:asciiTheme="majorBidi" w:eastAsia="Calibri" w:hAnsiTheme="majorBidi" w:cstheme="majorBidi"/>
                <w:color w:val="000000" w:themeColor="text1"/>
                <w:sz w:val="22"/>
                <w:szCs w:val="22"/>
                <w:lang w:eastAsia="en-US"/>
              </w:rPr>
            </w:pPr>
          </w:p>
        </w:tc>
        <w:tc>
          <w:tcPr>
            <w:tcW w:w="674" w:type="dxa"/>
            <w:tcBorders>
              <w:top w:val="nil"/>
            </w:tcBorders>
            <w:shd w:val="clear" w:color="auto" w:fill="FFFFFF"/>
            <w:vAlign w:val="center"/>
          </w:tcPr>
          <w:p w14:paraId="1601964B" w14:textId="77777777" w:rsidR="007055E2" w:rsidRPr="00CF31E0" w:rsidRDefault="007055E2" w:rsidP="00661DC9">
            <w:pPr>
              <w:spacing w:before="120" w:after="120" w:line="360" w:lineRule="auto"/>
              <w:jc w:val="right"/>
              <w:rPr>
                <w:rFonts w:asciiTheme="majorBidi" w:eastAsia="Calibri" w:hAnsiTheme="majorBidi" w:cstheme="majorBidi"/>
                <w:color w:val="000000" w:themeColor="text1"/>
                <w:sz w:val="22"/>
                <w:szCs w:val="22"/>
                <w:lang w:eastAsia="en-US"/>
              </w:rPr>
            </w:pPr>
          </w:p>
        </w:tc>
      </w:tr>
      <w:tr w:rsidR="007055E2" w:rsidRPr="00CF31E0" w14:paraId="17BD25E6" w14:textId="77777777" w:rsidTr="00073750">
        <w:trPr>
          <w:cantSplit/>
        </w:trPr>
        <w:tc>
          <w:tcPr>
            <w:tcW w:w="1736" w:type="dxa"/>
            <w:shd w:val="clear" w:color="auto" w:fill="FFFFFF"/>
          </w:tcPr>
          <w:p w14:paraId="5FC1E67F" w14:textId="77777777" w:rsidR="007055E2" w:rsidRPr="00CF31E0" w:rsidRDefault="007055E2"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2CB472D3" w14:textId="2F1289AA" w:rsidR="007055E2" w:rsidRPr="00CF31E0" w:rsidRDefault="007055E2"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800.203</w:t>
            </w:r>
          </w:p>
        </w:tc>
        <w:tc>
          <w:tcPr>
            <w:tcW w:w="822" w:type="dxa"/>
            <w:shd w:val="clear" w:color="auto" w:fill="FFFFFF"/>
            <w:vAlign w:val="center"/>
          </w:tcPr>
          <w:p w14:paraId="21A5D694" w14:textId="782EBE0F" w:rsidR="007055E2" w:rsidRPr="00CF31E0" w:rsidRDefault="00073750"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3" w:type="dxa"/>
            <w:shd w:val="clear" w:color="auto" w:fill="FFFFFF"/>
            <w:vAlign w:val="center"/>
          </w:tcPr>
          <w:p w14:paraId="7225C201" w14:textId="77777777" w:rsidR="007055E2" w:rsidRPr="00CF31E0" w:rsidRDefault="007055E2" w:rsidP="00661DC9">
            <w:pPr>
              <w:spacing w:before="120" w:after="120" w:line="360" w:lineRule="auto"/>
              <w:jc w:val="right"/>
              <w:rPr>
                <w:rFonts w:asciiTheme="majorBidi" w:eastAsia="Calibri" w:hAnsiTheme="majorBidi" w:cstheme="majorBidi"/>
                <w:color w:val="000000" w:themeColor="text1"/>
                <w:sz w:val="22"/>
                <w:szCs w:val="22"/>
                <w:lang w:eastAsia="en-US"/>
              </w:rPr>
            </w:pPr>
          </w:p>
        </w:tc>
        <w:tc>
          <w:tcPr>
            <w:tcW w:w="1030" w:type="dxa"/>
            <w:shd w:val="clear" w:color="auto" w:fill="FFFFFF"/>
            <w:vAlign w:val="center"/>
          </w:tcPr>
          <w:p w14:paraId="2D90A331" w14:textId="77777777" w:rsidR="007055E2" w:rsidRPr="00CF31E0" w:rsidRDefault="007055E2" w:rsidP="00661DC9">
            <w:pPr>
              <w:spacing w:before="120" w:after="120" w:line="360" w:lineRule="auto"/>
              <w:jc w:val="right"/>
              <w:rPr>
                <w:rFonts w:asciiTheme="majorBidi" w:eastAsia="Calibri" w:hAnsiTheme="majorBidi" w:cstheme="majorBidi"/>
                <w:color w:val="000000" w:themeColor="text1"/>
                <w:sz w:val="22"/>
                <w:szCs w:val="22"/>
                <w:lang w:eastAsia="en-US"/>
              </w:rPr>
            </w:pPr>
          </w:p>
        </w:tc>
        <w:tc>
          <w:tcPr>
            <w:tcW w:w="674" w:type="dxa"/>
            <w:shd w:val="clear" w:color="auto" w:fill="FFFFFF"/>
            <w:vAlign w:val="center"/>
          </w:tcPr>
          <w:p w14:paraId="20D147D3" w14:textId="77777777" w:rsidR="007055E2" w:rsidRPr="00CF31E0" w:rsidRDefault="007055E2" w:rsidP="00661DC9">
            <w:pPr>
              <w:spacing w:before="120" w:after="120" w:line="360" w:lineRule="auto"/>
              <w:jc w:val="right"/>
              <w:rPr>
                <w:rFonts w:asciiTheme="majorBidi" w:eastAsia="Calibri" w:hAnsiTheme="majorBidi" w:cstheme="majorBidi"/>
                <w:color w:val="000000" w:themeColor="text1"/>
                <w:sz w:val="22"/>
                <w:szCs w:val="22"/>
                <w:lang w:eastAsia="en-US"/>
              </w:rPr>
            </w:pPr>
          </w:p>
        </w:tc>
      </w:tr>
    </w:tbl>
    <w:p w14:paraId="09D33CFF" w14:textId="77777777" w:rsidR="007055E2" w:rsidRPr="00CF31E0" w:rsidRDefault="007055E2" w:rsidP="00944CCD">
      <w:pPr>
        <w:rPr>
          <w:rFonts w:asciiTheme="majorBidi" w:hAnsiTheme="majorBidi" w:cstheme="majorBidi"/>
          <w:b/>
          <w:bCs/>
          <w:color w:val="000000" w:themeColor="text1"/>
        </w:rPr>
      </w:pPr>
    </w:p>
    <w:p w14:paraId="1FE5D2D8" w14:textId="77777777" w:rsidR="007055E2" w:rsidRPr="00CF31E0" w:rsidRDefault="007055E2" w:rsidP="00944CC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7055E2" w:rsidRPr="00CF31E0" w14:paraId="42F4F3A7" w14:textId="77777777" w:rsidTr="00661DC9">
        <w:trPr>
          <w:cantSplit/>
        </w:trPr>
        <w:tc>
          <w:tcPr>
            <w:tcW w:w="1736" w:type="dxa"/>
            <w:tcBorders>
              <w:top w:val="single" w:sz="8" w:space="0" w:color="auto"/>
              <w:bottom w:val="single" w:sz="6" w:space="0" w:color="auto"/>
            </w:tcBorders>
            <w:shd w:val="clear" w:color="auto" w:fill="FFFFFF"/>
            <w:vAlign w:val="bottom"/>
          </w:tcPr>
          <w:p w14:paraId="3E4DAC7D" w14:textId="18C4D995" w:rsidR="007055E2" w:rsidRPr="00CF31E0" w:rsidRDefault="007055E2"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Places lived</w:t>
            </w:r>
          </w:p>
        </w:tc>
        <w:tc>
          <w:tcPr>
            <w:tcW w:w="1686" w:type="dxa"/>
            <w:tcBorders>
              <w:top w:val="single" w:sz="8" w:space="0" w:color="auto"/>
              <w:bottom w:val="single" w:sz="6" w:space="0" w:color="auto"/>
            </w:tcBorders>
            <w:shd w:val="clear" w:color="auto" w:fill="FFFFFF"/>
            <w:vAlign w:val="bottom"/>
          </w:tcPr>
          <w:p w14:paraId="44DF00EA"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3A32F21E"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4F7F2BF5"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CC645A5"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3D6ABD82"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055E2" w:rsidRPr="00CF31E0" w14:paraId="726D5F7C" w14:textId="77777777" w:rsidTr="00661DC9">
        <w:trPr>
          <w:cantSplit/>
        </w:trPr>
        <w:tc>
          <w:tcPr>
            <w:tcW w:w="1736" w:type="dxa"/>
            <w:tcBorders>
              <w:top w:val="single" w:sz="6" w:space="0" w:color="auto"/>
              <w:bottom w:val="nil"/>
            </w:tcBorders>
            <w:shd w:val="clear" w:color="auto" w:fill="FFFFFF"/>
          </w:tcPr>
          <w:p w14:paraId="4A3415D3" w14:textId="77777777" w:rsidR="007055E2" w:rsidRPr="00CF31E0" w:rsidRDefault="007055E2"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4B36166B" w14:textId="51387DEA" w:rsidR="007055E2" w:rsidRPr="00CF31E0" w:rsidRDefault="007055E2"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.174</w:t>
            </w:r>
          </w:p>
        </w:tc>
        <w:tc>
          <w:tcPr>
            <w:tcW w:w="820" w:type="dxa"/>
            <w:tcBorders>
              <w:top w:val="single" w:sz="6" w:space="0" w:color="auto"/>
              <w:bottom w:val="nil"/>
            </w:tcBorders>
            <w:shd w:val="clear" w:color="auto" w:fill="FFFFFF"/>
            <w:vAlign w:val="center"/>
          </w:tcPr>
          <w:p w14:paraId="7506EDBF" w14:textId="55FCF19B" w:rsidR="007055E2" w:rsidRPr="00CF31E0" w:rsidRDefault="007055E2"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25DBA14A" w14:textId="6347397E" w:rsidR="007055E2" w:rsidRPr="00CF31E0" w:rsidRDefault="007055E2"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.174</w:t>
            </w:r>
          </w:p>
        </w:tc>
        <w:tc>
          <w:tcPr>
            <w:tcW w:w="1030" w:type="dxa"/>
            <w:tcBorders>
              <w:top w:val="single" w:sz="6" w:space="0" w:color="auto"/>
              <w:bottom w:val="nil"/>
            </w:tcBorders>
            <w:shd w:val="clear" w:color="auto" w:fill="FFFFFF"/>
            <w:vAlign w:val="center"/>
          </w:tcPr>
          <w:p w14:paraId="75C752BF" w14:textId="3B81FC4B" w:rsidR="007055E2" w:rsidRPr="00CF31E0" w:rsidRDefault="007055E2"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.141</w:t>
            </w:r>
          </w:p>
        </w:tc>
        <w:tc>
          <w:tcPr>
            <w:tcW w:w="674" w:type="dxa"/>
            <w:tcBorders>
              <w:top w:val="single" w:sz="6" w:space="0" w:color="auto"/>
              <w:bottom w:val="nil"/>
            </w:tcBorders>
            <w:shd w:val="clear" w:color="auto" w:fill="FFFFFF"/>
            <w:vAlign w:val="center"/>
          </w:tcPr>
          <w:p w14:paraId="7ABE526F" w14:textId="38782A22" w:rsidR="007055E2" w:rsidRPr="00CF31E0" w:rsidRDefault="007055E2"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.708</w:t>
            </w:r>
          </w:p>
        </w:tc>
      </w:tr>
      <w:tr w:rsidR="007055E2" w:rsidRPr="00CF31E0" w14:paraId="22BB37EC" w14:textId="77777777" w:rsidTr="00661DC9">
        <w:trPr>
          <w:cantSplit/>
        </w:trPr>
        <w:tc>
          <w:tcPr>
            <w:tcW w:w="1736" w:type="dxa"/>
            <w:tcBorders>
              <w:top w:val="nil"/>
            </w:tcBorders>
            <w:shd w:val="clear" w:color="auto" w:fill="FFFFFF"/>
          </w:tcPr>
          <w:p w14:paraId="68F51F4A" w14:textId="77777777" w:rsidR="007055E2" w:rsidRPr="00CF31E0" w:rsidRDefault="007055E2"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1EBE54D8" w14:textId="7CD7995E" w:rsidR="007055E2" w:rsidRPr="00CF31E0" w:rsidRDefault="007055E2"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789.575</w:t>
            </w:r>
          </w:p>
        </w:tc>
        <w:tc>
          <w:tcPr>
            <w:tcW w:w="820" w:type="dxa"/>
            <w:tcBorders>
              <w:top w:val="nil"/>
            </w:tcBorders>
            <w:shd w:val="clear" w:color="auto" w:fill="FFFFFF"/>
            <w:vAlign w:val="center"/>
          </w:tcPr>
          <w:p w14:paraId="06C998B8" w14:textId="20F4E16C" w:rsidR="007055E2" w:rsidRPr="00CF31E0" w:rsidRDefault="00073750"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7EF491CC" w14:textId="0A8880BE" w:rsidR="007055E2" w:rsidRPr="00CF31E0" w:rsidRDefault="007055E2"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1.240</w:t>
            </w:r>
          </w:p>
        </w:tc>
        <w:tc>
          <w:tcPr>
            <w:tcW w:w="1030" w:type="dxa"/>
            <w:tcBorders>
              <w:top w:val="nil"/>
            </w:tcBorders>
            <w:shd w:val="clear" w:color="auto" w:fill="FFFFFF"/>
            <w:vAlign w:val="center"/>
          </w:tcPr>
          <w:p w14:paraId="078A3FD7" w14:textId="77777777" w:rsidR="007055E2" w:rsidRPr="00CF31E0" w:rsidRDefault="007055E2" w:rsidP="00661DC9">
            <w:pPr>
              <w:spacing w:before="120" w:after="120" w:line="360" w:lineRule="auto"/>
              <w:jc w:val="right"/>
              <w:rPr>
                <w:rFonts w:asciiTheme="majorBidi" w:eastAsia="Calibri" w:hAnsiTheme="majorBidi" w:cstheme="majorBidi"/>
                <w:color w:val="000000" w:themeColor="text1"/>
                <w:sz w:val="22"/>
                <w:szCs w:val="22"/>
                <w:lang w:eastAsia="en-US"/>
              </w:rPr>
            </w:pPr>
          </w:p>
        </w:tc>
        <w:tc>
          <w:tcPr>
            <w:tcW w:w="674" w:type="dxa"/>
            <w:tcBorders>
              <w:top w:val="nil"/>
            </w:tcBorders>
            <w:shd w:val="clear" w:color="auto" w:fill="FFFFFF"/>
            <w:vAlign w:val="center"/>
          </w:tcPr>
          <w:p w14:paraId="5DBFD0D4" w14:textId="77777777" w:rsidR="007055E2" w:rsidRPr="00CF31E0" w:rsidRDefault="007055E2" w:rsidP="00661DC9">
            <w:pPr>
              <w:spacing w:before="120" w:after="120" w:line="360" w:lineRule="auto"/>
              <w:jc w:val="right"/>
              <w:rPr>
                <w:rFonts w:asciiTheme="majorBidi" w:eastAsia="Calibri" w:hAnsiTheme="majorBidi" w:cstheme="majorBidi"/>
                <w:color w:val="000000" w:themeColor="text1"/>
                <w:sz w:val="22"/>
                <w:szCs w:val="22"/>
                <w:lang w:eastAsia="en-US"/>
              </w:rPr>
            </w:pPr>
          </w:p>
        </w:tc>
      </w:tr>
      <w:tr w:rsidR="007055E2" w:rsidRPr="00CF31E0" w14:paraId="71A95610" w14:textId="77777777" w:rsidTr="00661DC9">
        <w:trPr>
          <w:cantSplit/>
        </w:trPr>
        <w:tc>
          <w:tcPr>
            <w:tcW w:w="1736" w:type="dxa"/>
            <w:shd w:val="clear" w:color="auto" w:fill="FFFFFF"/>
          </w:tcPr>
          <w:p w14:paraId="035D2996" w14:textId="77777777" w:rsidR="007055E2" w:rsidRPr="00CF31E0" w:rsidRDefault="007055E2"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28111298" w14:textId="1EF39713" w:rsidR="007055E2" w:rsidRPr="00CF31E0" w:rsidRDefault="007055E2"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789.750</w:t>
            </w:r>
          </w:p>
        </w:tc>
        <w:tc>
          <w:tcPr>
            <w:tcW w:w="820" w:type="dxa"/>
            <w:shd w:val="clear" w:color="auto" w:fill="FFFFFF"/>
            <w:vAlign w:val="center"/>
          </w:tcPr>
          <w:p w14:paraId="3203266A" w14:textId="38EEB600" w:rsidR="007055E2" w:rsidRPr="00CF31E0" w:rsidRDefault="00073750"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3DE57824" w14:textId="77777777" w:rsidR="007055E2" w:rsidRPr="00CF31E0" w:rsidRDefault="007055E2" w:rsidP="00661DC9">
            <w:pPr>
              <w:spacing w:before="120" w:after="120" w:line="360" w:lineRule="auto"/>
              <w:jc w:val="right"/>
              <w:rPr>
                <w:rFonts w:asciiTheme="majorBidi" w:eastAsia="Calibri" w:hAnsiTheme="majorBidi" w:cstheme="majorBidi"/>
                <w:color w:val="000000" w:themeColor="text1"/>
                <w:sz w:val="22"/>
                <w:szCs w:val="22"/>
                <w:lang w:eastAsia="en-US"/>
              </w:rPr>
            </w:pPr>
          </w:p>
        </w:tc>
        <w:tc>
          <w:tcPr>
            <w:tcW w:w="1030" w:type="dxa"/>
            <w:shd w:val="clear" w:color="auto" w:fill="FFFFFF"/>
            <w:vAlign w:val="center"/>
          </w:tcPr>
          <w:p w14:paraId="273EC96F" w14:textId="77777777" w:rsidR="007055E2" w:rsidRPr="00CF31E0" w:rsidRDefault="007055E2" w:rsidP="00661DC9">
            <w:pPr>
              <w:spacing w:before="120" w:after="120" w:line="360" w:lineRule="auto"/>
              <w:jc w:val="right"/>
              <w:rPr>
                <w:rFonts w:asciiTheme="majorBidi" w:eastAsia="Calibri" w:hAnsiTheme="majorBidi" w:cstheme="majorBidi"/>
                <w:color w:val="000000" w:themeColor="text1"/>
                <w:sz w:val="22"/>
                <w:szCs w:val="22"/>
                <w:lang w:eastAsia="en-US"/>
              </w:rPr>
            </w:pPr>
          </w:p>
        </w:tc>
        <w:tc>
          <w:tcPr>
            <w:tcW w:w="674" w:type="dxa"/>
            <w:shd w:val="clear" w:color="auto" w:fill="FFFFFF"/>
            <w:vAlign w:val="center"/>
          </w:tcPr>
          <w:p w14:paraId="2EC25E53" w14:textId="77777777" w:rsidR="007055E2" w:rsidRPr="00CF31E0" w:rsidRDefault="007055E2" w:rsidP="00661DC9">
            <w:pPr>
              <w:spacing w:before="120" w:after="120" w:line="360" w:lineRule="auto"/>
              <w:jc w:val="right"/>
              <w:rPr>
                <w:rFonts w:asciiTheme="majorBidi" w:eastAsia="Calibri" w:hAnsiTheme="majorBidi" w:cstheme="majorBidi"/>
                <w:color w:val="000000" w:themeColor="text1"/>
                <w:sz w:val="22"/>
                <w:szCs w:val="22"/>
                <w:lang w:eastAsia="en-US"/>
              </w:rPr>
            </w:pPr>
          </w:p>
        </w:tc>
      </w:tr>
    </w:tbl>
    <w:p w14:paraId="6DE8EF25" w14:textId="77777777" w:rsidR="007055E2" w:rsidRPr="00CF31E0" w:rsidRDefault="007055E2" w:rsidP="00944CCD">
      <w:pPr>
        <w:rPr>
          <w:rFonts w:asciiTheme="majorBidi" w:hAnsiTheme="majorBidi" w:cstheme="majorBidi"/>
          <w:b/>
          <w:bCs/>
          <w:color w:val="000000" w:themeColor="text1"/>
        </w:rPr>
      </w:pPr>
    </w:p>
    <w:p w14:paraId="0255ABDB" w14:textId="77777777" w:rsidR="00944CCD" w:rsidRPr="00CF31E0" w:rsidRDefault="00944CCD" w:rsidP="00944CC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944CCD" w:rsidRPr="00CF31E0" w14:paraId="76125106" w14:textId="77777777" w:rsidTr="00944CCD">
        <w:trPr>
          <w:cantSplit/>
        </w:trPr>
        <w:tc>
          <w:tcPr>
            <w:tcW w:w="1736" w:type="dxa"/>
            <w:tcBorders>
              <w:top w:val="single" w:sz="8" w:space="0" w:color="auto"/>
              <w:bottom w:val="single" w:sz="6" w:space="0" w:color="auto"/>
            </w:tcBorders>
            <w:shd w:val="clear" w:color="auto" w:fill="FFFFFF"/>
            <w:vAlign w:val="bottom"/>
          </w:tcPr>
          <w:p w14:paraId="2BAE9B1F"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Marital status</w:t>
            </w:r>
          </w:p>
        </w:tc>
        <w:tc>
          <w:tcPr>
            <w:tcW w:w="1686" w:type="dxa"/>
            <w:tcBorders>
              <w:top w:val="single" w:sz="8" w:space="0" w:color="auto"/>
              <w:bottom w:val="single" w:sz="6" w:space="0" w:color="auto"/>
            </w:tcBorders>
            <w:shd w:val="clear" w:color="auto" w:fill="FFFFFF"/>
            <w:vAlign w:val="bottom"/>
          </w:tcPr>
          <w:p w14:paraId="6481AE55"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5E09DAF4"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3B21A7F2"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1534B892"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229981B9"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055E2" w:rsidRPr="00CF31E0" w14:paraId="48AD6C3A" w14:textId="77777777" w:rsidTr="00944CCD">
        <w:trPr>
          <w:cantSplit/>
        </w:trPr>
        <w:tc>
          <w:tcPr>
            <w:tcW w:w="1736" w:type="dxa"/>
            <w:tcBorders>
              <w:top w:val="single" w:sz="6" w:space="0" w:color="auto"/>
              <w:bottom w:val="nil"/>
            </w:tcBorders>
            <w:shd w:val="clear" w:color="auto" w:fill="FFFFFF"/>
          </w:tcPr>
          <w:p w14:paraId="37BB4393" w14:textId="77777777" w:rsidR="007055E2" w:rsidRPr="00CF31E0" w:rsidRDefault="007055E2"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261C2390" w14:textId="52C6C593"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31.047</w:t>
            </w:r>
          </w:p>
        </w:tc>
        <w:tc>
          <w:tcPr>
            <w:tcW w:w="820" w:type="dxa"/>
            <w:tcBorders>
              <w:top w:val="single" w:sz="6" w:space="0" w:color="auto"/>
              <w:bottom w:val="nil"/>
            </w:tcBorders>
            <w:shd w:val="clear" w:color="auto" w:fill="FFFFFF"/>
            <w:vAlign w:val="center"/>
          </w:tcPr>
          <w:p w14:paraId="208D17E4" w14:textId="5FFC5FEA"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w:t>
            </w:r>
          </w:p>
        </w:tc>
        <w:tc>
          <w:tcPr>
            <w:tcW w:w="1445" w:type="dxa"/>
            <w:tcBorders>
              <w:top w:val="single" w:sz="6" w:space="0" w:color="auto"/>
              <w:bottom w:val="nil"/>
            </w:tcBorders>
            <w:shd w:val="clear" w:color="auto" w:fill="FFFFFF"/>
            <w:vAlign w:val="center"/>
          </w:tcPr>
          <w:p w14:paraId="5FDA51BB" w14:textId="29B4A2D5"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10.349</w:t>
            </w:r>
          </w:p>
        </w:tc>
        <w:tc>
          <w:tcPr>
            <w:tcW w:w="1030" w:type="dxa"/>
            <w:tcBorders>
              <w:top w:val="single" w:sz="6" w:space="0" w:color="auto"/>
              <w:bottom w:val="nil"/>
            </w:tcBorders>
            <w:shd w:val="clear" w:color="auto" w:fill="FFFFFF"/>
            <w:vAlign w:val="center"/>
          </w:tcPr>
          <w:p w14:paraId="557E4CD9" w14:textId="14EA9CB6"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8.678</w:t>
            </w:r>
          </w:p>
        </w:tc>
        <w:tc>
          <w:tcPr>
            <w:tcW w:w="674" w:type="dxa"/>
            <w:tcBorders>
              <w:top w:val="single" w:sz="6" w:space="0" w:color="auto"/>
              <w:bottom w:val="nil"/>
            </w:tcBorders>
            <w:shd w:val="clear" w:color="auto" w:fill="FFFFFF"/>
            <w:vAlign w:val="center"/>
          </w:tcPr>
          <w:p w14:paraId="6956F978" w14:textId="70A89FBA"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.100</w:t>
            </w:r>
          </w:p>
        </w:tc>
      </w:tr>
      <w:tr w:rsidR="007055E2" w:rsidRPr="00CF31E0" w14:paraId="06F4FA0C" w14:textId="77777777" w:rsidTr="00944CCD">
        <w:trPr>
          <w:cantSplit/>
        </w:trPr>
        <w:tc>
          <w:tcPr>
            <w:tcW w:w="1736" w:type="dxa"/>
            <w:tcBorders>
              <w:top w:val="nil"/>
            </w:tcBorders>
            <w:shd w:val="clear" w:color="auto" w:fill="FFFFFF"/>
          </w:tcPr>
          <w:p w14:paraId="401DBBAC" w14:textId="77777777" w:rsidR="007055E2" w:rsidRPr="00CF31E0" w:rsidRDefault="007055E2"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4FB57DB7" w14:textId="1CB759C0"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769.157</w:t>
            </w:r>
          </w:p>
        </w:tc>
        <w:tc>
          <w:tcPr>
            <w:tcW w:w="820" w:type="dxa"/>
            <w:tcBorders>
              <w:top w:val="nil"/>
            </w:tcBorders>
            <w:shd w:val="clear" w:color="auto" w:fill="FFFFFF"/>
            <w:vAlign w:val="center"/>
          </w:tcPr>
          <w:p w14:paraId="00A4B338" w14:textId="60EFDC2B" w:rsidR="007055E2" w:rsidRPr="00CF31E0" w:rsidRDefault="00073750"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646</w:t>
            </w:r>
          </w:p>
        </w:tc>
        <w:tc>
          <w:tcPr>
            <w:tcW w:w="1445" w:type="dxa"/>
            <w:tcBorders>
              <w:top w:val="nil"/>
            </w:tcBorders>
            <w:shd w:val="clear" w:color="auto" w:fill="FFFFFF"/>
            <w:vAlign w:val="center"/>
          </w:tcPr>
          <w:p w14:paraId="497C27BC" w14:textId="0200B72E"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1.192</w:t>
            </w:r>
          </w:p>
        </w:tc>
        <w:tc>
          <w:tcPr>
            <w:tcW w:w="1030" w:type="dxa"/>
            <w:tcBorders>
              <w:top w:val="nil"/>
            </w:tcBorders>
            <w:shd w:val="clear" w:color="auto" w:fill="FFFFFF"/>
            <w:vAlign w:val="center"/>
          </w:tcPr>
          <w:p w14:paraId="3B0D4093"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06730E37"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r>
      <w:tr w:rsidR="007055E2" w:rsidRPr="00CF31E0" w14:paraId="082D4BF9" w14:textId="77777777" w:rsidTr="00944CCD">
        <w:trPr>
          <w:cantSplit/>
        </w:trPr>
        <w:tc>
          <w:tcPr>
            <w:tcW w:w="1736" w:type="dxa"/>
            <w:shd w:val="clear" w:color="auto" w:fill="FFFFFF"/>
          </w:tcPr>
          <w:p w14:paraId="7F295C52" w14:textId="77777777" w:rsidR="007055E2" w:rsidRPr="00CF31E0" w:rsidRDefault="007055E2"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0C7BE4E" w14:textId="7BA972E7"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800.203</w:t>
            </w:r>
          </w:p>
        </w:tc>
        <w:tc>
          <w:tcPr>
            <w:tcW w:w="820" w:type="dxa"/>
            <w:shd w:val="clear" w:color="auto" w:fill="FFFFFF"/>
            <w:vAlign w:val="center"/>
          </w:tcPr>
          <w:p w14:paraId="39DCB497" w14:textId="2B4E080F" w:rsidR="007055E2" w:rsidRPr="00CF31E0" w:rsidRDefault="00073750"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6308E13E"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66B5DFF0"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6A5CE0E9"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r>
    </w:tbl>
    <w:p w14:paraId="4CC85690" w14:textId="77777777" w:rsidR="00944CCD" w:rsidRPr="00CF31E0" w:rsidRDefault="00944CCD" w:rsidP="00944CCD">
      <w:pPr>
        <w:rPr>
          <w:rFonts w:asciiTheme="majorBidi" w:hAnsiTheme="majorBidi" w:cstheme="majorBidi"/>
          <w:b/>
          <w:bCs/>
          <w:color w:val="000000" w:themeColor="text1"/>
        </w:rPr>
      </w:pPr>
    </w:p>
    <w:p w14:paraId="3CADBA9D" w14:textId="77777777" w:rsidR="00944CCD" w:rsidRPr="00CF31E0" w:rsidRDefault="00944CCD" w:rsidP="00944CCD">
      <w:pPr>
        <w:rPr>
          <w:rFonts w:asciiTheme="majorBidi" w:hAnsiTheme="majorBidi" w:cstheme="majorBidi"/>
          <w:b/>
          <w:bCs/>
          <w:color w:val="000000" w:themeColor="text1"/>
        </w:rPr>
      </w:pPr>
    </w:p>
    <w:p w14:paraId="2B5C953E" w14:textId="77777777" w:rsidR="007055E2" w:rsidRPr="00CF31E0" w:rsidRDefault="007055E2" w:rsidP="00944CCD">
      <w:pPr>
        <w:rPr>
          <w:rFonts w:asciiTheme="majorBidi" w:hAnsiTheme="majorBidi" w:cstheme="majorBidi"/>
          <w:b/>
          <w:bCs/>
          <w:color w:val="000000" w:themeColor="text1"/>
        </w:rPr>
      </w:pPr>
    </w:p>
    <w:p w14:paraId="65D7F6DE" w14:textId="77777777" w:rsidR="007055E2" w:rsidRPr="00CF31E0" w:rsidRDefault="007055E2" w:rsidP="00944CC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944CCD" w:rsidRPr="00CF31E0" w14:paraId="55A0B3C3" w14:textId="77777777" w:rsidTr="00944CCD">
        <w:trPr>
          <w:cantSplit/>
        </w:trPr>
        <w:tc>
          <w:tcPr>
            <w:tcW w:w="1736" w:type="dxa"/>
            <w:tcBorders>
              <w:top w:val="single" w:sz="8" w:space="0" w:color="auto"/>
              <w:bottom w:val="single" w:sz="6" w:space="0" w:color="auto"/>
            </w:tcBorders>
            <w:shd w:val="clear" w:color="auto" w:fill="FFFFFF"/>
            <w:vAlign w:val="bottom"/>
          </w:tcPr>
          <w:p w14:paraId="6FDCECE1" w14:textId="77777777" w:rsidR="00944CCD" w:rsidRPr="00CF31E0" w:rsidRDefault="00944CCD"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Education</w:t>
            </w:r>
          </w:p>
        </w:tc>
        <w:tc>
          <w:tcPr>
            <w:tcW w:w="1686" w:type="dxa"/>
            <w:tcBorders>
              <w:top w:val="single" w:sz="8" w:space="0" w:color="auto"/>
              <w:bottom w:val="single" w:sz="6" w:space="0" w:color="auto"/>
            </w:tcBorders>
            <w:shd w:val="clear" w:color="auto" w:fill="FFFFFF"/>
            <w:vAlign w:val="bottom"/>
          </w:tcPr>
          <w:p w14:paraId="09785766"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68BD877E"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4A03E9C1"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132B6A0E"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039065DE" w14:textId="77777777" w:rsidR="00944CCD" w:rsidRPr="00CF31E0" w:rsidRDefault="00944CCD" w:rsidP="00944CCD">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055E2" w:rsidRPr="00CF31E0" w14:paraId="4700D81D" w14:textId="77777777" w:rsidTr="00944CCD">
        <w:trPr>
          <w:cantSplit/>
        </w:trPr>
        <w:tc>
          <w:tcPr>
            <w:tcW w:w="1736" w:type="dxa"/>
            <w:tcBorders>
              <w:top w:val="single" w:sz="6" w:space="0" w:color="auto"/>
              <w:bottom w:val="nil"/>
            </w:tcBorders>
            <w:shd w:val="clear" w:color="auto" w:fill="FFFFFF"/>
          </w:tcPr>
          <w:p w14:paraId="111D2FF0" w14:textId="77777777" w:rsidR="007055E2" w:rsidRPr="00CF31E0" w:rsidRDefault="007055E2"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27C4B37A" w14:textId="0A969CAB"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13.408</w:t>
            </w:r>
          </w:p>
        </w:tc>
        <w:tc>
          <w:tcPr>
            <w:tcW w:w="820" w:type="dxa"/>
            <w:tcBorders>
              <w:top w:val="single" w:sz="6" w:space="0" w:color="auto"/>
              <w:bottom w:val="nil"/>
            </w:tcBorders>
            <w:shd w:val="clear" w:color="auto" w:fill="FFFFFF"/>
            <w:vAlign w:val="center"/>
          </w:tcPr>
          <w:p w14:paraId="40260605" w14:textId="0D52C7D1"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w:t>
            </w:r>
          </w:p>
        </w:tc>
        <w:tc>
          <w:tcPr>
            <w:tcW w:w="1445" w:type="dxa"/>
            <w:tcBorders>
              <w:top w:val="single" w:sz="6" w:space="0" w:color="auto"/>
              <w:bottom w:val="nil"/>
            </w:tcBorders>
            <w:shd w:val="clear" w:color="auto" w:fill="FFFFFF"/>
            <w:vAlign w:val="center"/>
          </w:tcPr>
          <w:p w14:paraId="0DC1B839" w14:textId="123F48DF"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2.682</w:t>
            </w:r>
          </w:p>
        </w:tc>
        <w:tc>
          <w:tcPr>
            <w:tcW w:w="1030" w:type="dxa"/>
            <w:tcBorders>
              <w:top w:val="single" w:sz="6" w:space="0" w:color="auto"/>
              <w:bottom w:val="nil"/>
            </w:tcBorders>
            <w:shd w:val="clear" w:color="auto" w:fill="FFFFFF"/>
            <w:vAlign w:val="center"/>
          </w:tcPr>
          <w:p w14:paraId="5BC52458" w14:textId="1A81B4AD"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2.191</w:t>
            </w:r>
          </w:p>
        </w:tc>
        <w:tc>
          <w:tcPr>
            <w:tcW w:w="674" w:type="dxa"/>
            <w:tcBorders>
              <w:top w:val="single" w:sz="6" w:space="0" w:color="auto"/>
              <w:bottom w:val="nil"/>
            </w:tcBorders>
            <w:shd w:val="clear" w:color="auto" w:fill="FFFFFF"/>
            <w:vAlign w:val="center"/>
          </w:tcPr>
          <w:p w14:paraId="3510224E" w14:textId="12175044"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.064</w:t>
            </w:r>
          </w:p>
        </w:tc>
      </w:tr>
      <w:tr w:rsidR="007055E2" w:rsidRPr="00CF31E0" w14:paraId="419D1351" w14:textId="77777777" w:rsidTr="00944CCD">
        <w:trPr>
          <w:cantSplit/>
        </w:trPr>
        <w:tc>
          <w:tcPr>
            <w:tcW w:w="1736" w:type="dxa"/>
            <w:tcBorders>
              <w:top w:val="nil"/>
            </w:tcBorders>
            <w:shd w:val="clear" w:color="auto" w:fill="FFFFFF"/>
          </w:tcPr>
          <w:p w14:paraId="066F98D8" w14:textId="77777777" w:rsidR="007055E2" w:rsidRPr="00CF31E0" w:rsidRDefault="007055E2"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024754D0" w14:textId="74BC81CF"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786.796</w:t>
            </w:r>
          </w:p>
        </w:tc>
        <w:tc>
          <w:tcPr>
            <w:tcW w:w="820" w:type="dxa"/>
            <w:tcBorders>
              <w:top w:val="nil"/>
            </w:tcBorders>
            <w:shd w:val="clear" w:color="auto" w:fill="FFFFFF"/>
            <w:vAlign w:val="center"/>
          </w:tcPr>
          <w:p w14:paraId="058D67D6" w14:textId="5EDB0CA0" w:rsidR="007055E2" w:rsidRPr="00CF31E0" w:rsidRDefault="00073750"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644</w:t>
            </w:r>
          </w:p>
        </w:tc>
        <w:tc>
          <w:tcPr>
            <w:tcW w:w="1445" w:type="dxa"/>
            <w:tcBorders>
              <w:top w:val="nil"/>
            </w:tcBorders>
            <w:shd w:val="clear" w:color="auto" w:fill="FFFFFF"/>
            <w:vAlign w:val="center"/>
          </w:tcPr>
          <w:p w14:paraId="1CD54008" w14:textId="75D8BD93"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1.224</w:t>
            </w:r>
          </w:p>
        </w:tc>
        <w:tc>
          <w:tcPr>
            <w:tcW w:w="1030" w:type="dxa"/>
            <w:tcBorders>
              <w:top w:val="nil"/>
            </w:tcBorders>
            <w:shd w:val="clear" w:color="auto" w:fill="FFFFFF"/>
            <w:vAlign w:val="center"/>
          </w:tcPr>
          <w:p w14:paraId="3C0641BA"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57145210"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r>
      <w:tr w:rsidR="007055E2" w:rsidRPr="00CF31E0" w14:paraId="1732A430" w14:textId="77777777" w:rsidTr="00944CCD">
        <w:trPr>
          <w:cantSplit/>
        </w:trPr>
        <w:tc>
          <w:tcPr>
            <w:tcW w:w="1736" w:type="dxa"/>
            <w:shd w:val="clear" w:color="auto" w:fill="FFFFFF"/>
          </w:tcPr>
          <w:p w14:paraId="41FAECA8" w14:textId="77777777" w:rsidR="007055E2" w:rsidRPr="00CF31E0" w:rsidRDefault="007055E2" w:rsidP="00944CCD">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5255C7E4" w14:textId="33F3E637" w:rsidR="007055E2" w:rsidRPr="00CF31E0" w:rsidRDefault="007055E2"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800.203</w:t>
            </w:r>
          </w:p>
        </w:tc>
        <w:tc>
          <w:tcPr>
            <w:tcW w:w="820" w:type="dxa"/>
            <w:shd w:val="clear" w:color="auto" w:fill="FFFFFF"/>
            <w:vAlign w:val="center"/>
          </w:tcPr>
          <w:p w14:paraId="3FE24E05" w14:textId="5D474F9F" w:rsidR="007055E2" w:rsidRPr="00CF31E0" w:rsidRDefault="00073750" w:rsidP="00944CCD">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67D7E7A3"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60DE3F8A"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49387D7B" w14:textId="77777777" w:rsidR="007055E2" w:rsidRPr="00CF31E0" w:rsidRDefault="007055E2" w:rsidP="00944CCD">
            <w:pPr>
              <w:spacing w:before="120" w:after="120" w:line="360" w:lineRule="auto"/>
              <w:jc w:val="right"/>
              <w:rPr>
                <w:rFonts w:eastAsia="Calibri" w:cs="Arial"/>
                <w:color w:val="000000" w:themeColor="text1"/>
                <w:sz w:val="22"/>
                <w:szCs w:val="22"/>
                <w:lang w:eastAsia="en-US"/>
              </w:rPr>
            </w:pPr>
          </w:p>
        </w:tc>
      </w:tr>
    </w:tbl>
    <w:p w14:paraId="0CD18A60" w14:textId="77777777" w:rsidR="00944CCD" w:rsidRPr="00CF31E0" w:rsidRDefault="00944CCD" w:rsidP="00944CCD">
      <w:pPr>
        <w:rPr>
          <w:rFonts w:asciiTheme="majorBidi" w:hAnsiTheme="majorBidi" w:cstheme="majorBidi"/>
          <w:b/>
          <w:bCs/>
          <w:color w:val="000000" w:themeColor="text1"/>
        </w:rPr>
      </w:pPr>
    </w:p>
    <w:p w14:paraId="5DB63C8C" w14:textId="77777777" w:rsidR="00944CCD" w:rsidRPr="00CF31E0" w:rsidRDefault="00944CCD" w:rsidP="00944CC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7055E2" w:rsidRPr="00CF31E0" w14:paraId="68700DF5" w14:textId="77777777" w:rsidTr="00661DC9">
        <w:trPr>
          <w:cantSplit/>
        </w:trPr>
        <w:tc>
          <w:tcPr>
            <w:tcW w:w="1736" w:type="dxa"/>
            <w:tcBorders>
              <w:top w:val="single" w:sz="8" w:space="0" w:color="auto"/>
              <w:bottom w:val="single" w:sz="6" w:space="0" w:color="auto"/>
            </w:tcBorders>
            <w:shd w:val="clear" w:color="auto" w:fill="FFFFFF"/>
            <w:vAlign w:val="bottom"/>
          </w:tcPr>
          <w:p w14:paraId="06352F4E" w14:textId="6F3D497F" w:rsidR="007055E2" w:rsidRPr="00CF31E0" w:rsidRDefault="007055E2"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Social group</w:t>
            </w:r>
          </w:p>
        </w:tc>
        <w:tc>
          <w:tcPr>
            <w:tcW w:w="1686" w:type="dxa"/>
            <w:tcBorders>
              <w:top w:val="single" w:sz="8" w:space="0" w:color="auto"/>
              <w:bottom w:val="single" w:sz="6" w:space="0" w:color="auto"/>
            </w:tcBorders>
            <w:shd w:val="clear" w:color="auto" w:fill="FFFFFF"/>
            <w:vAlign w:val="bottom"/>
          </w:tcPr>
          <w:p w14:paraId="416470E5"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454BC573"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06E2B8D4"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42D94DA5"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2584885D"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055E2" w:rsidRPr="00CF31E0" w14:paraId="694F1822" w14:textId="77777777" w:rsidTr="00661DC9">
        <w:trPr>
          <w:cantSplit/>
        </w:trPr>
        <w:tc>
          <w:tcPr>
            <w:tcW w:w="1736" w:type="dxa"/>
            <w:tcBorders>
              <w:top w:val="single" w:sz="6" w:space="0" w:color="auto"/>
              <w:bottom w:val="nil"/>
            </w:tcBorders>
            <w:shd w:val="clear" w:color="auto" w:fill="FFFFFF"/>
          </w:tcPr>
          <w:p w14:paraId="2DD4565B" w14:textId="77777777" w:rsidR="007055E2" w:rsidRPr="00CF31E0" w:rsidRDefault="007055E2"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4601BF8B" w14:textId="7A8800CF"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4.871</w:t>
            </w:r>
          </w:p>
        </w:tc>
        <w:tc>
          <w:tcPr>
            <w:tcW w:w="820" w:type="dxa"/>
            <w:tcBorders>
              <w:top w:val="single" w:sz="6" w:space="0" w:color="auto"/>
              <w:bottom w:val="nil"/>
            </w:tcBorders>
            <w:shd w:val="clear" w:color="auto" w:fill="FFFFFF"/>
            <w:vAlign w:val="center"/>
          </w:tcPr>
          <w:p w14:paraId="4C1E1335" w14:textId="1DEB25D3"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38D3BEAF" w14:textId="442599AF"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4.871</w:t>
            </w:r>
          </w:p>
        </w:tc>
        <w:tc>
          <w:tcPr>
            <w:tcW w:w="1030" w:type="dxa"/>
            <w:tcBorders>
              <w:top w:val="single" w:sz="6" w:space="0" w:color="auto"/>
              <w:bottom w:val="nil"/>
            </w:tcBorders>
            <w:shd w:val="clear" w:color="auto" w:fill="FFFFFF"/>
            <w:vAlign w:val="center"/>
          </w:tcPr>
          <w:p w14:paraId="2E46FEAA" w14:textId="2D47B6F4"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3.251</w:t>
            </w:r>
          </w:p>
        </w:tc>
        <w:tc>
          <w:tcPr>
            <w:tcW w:w="674" w:type="dxa"/>
            <w:tcBorders>
              <w:top w:val="single" w:sz="6" w:space="0" w:color="auto"/>
              <w:bottom w:val="nil"/>
            </w:tcBorders>
            <w:shd w:val="clear" w:color="auto" w:fill="FFFFFF"/>
            <w:vAlign w:val="center"/>
          </w:tcPr>
          <w:p w14:paraId="74A49759" w14:textId="16085B92"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.072</w:t>
            </w:r>
          </w:p>
        </w:tc>
      </w:tr>
      <w:tr w:rsidR="007055E2" w:rsidRPr="00CF31E0" w14:paraId="3D796795" w14:textId="77777777" w:rsidTr="00661DC9">
        <w:trPr>
          <w:cantSplit/>
        </w:trPr>
        <w:tc>
          <w:tcPr>
            <w:tcW w:w="1736" w:type="dxa"/>
            <w:tcBorders>
              <w:top w:val="nil"/>
            </w:tcBorders>
            <w:shd w:val="clear" w:color="auto" w:fill="FFFFFF"/>
          </w:tcPr>
          <w:p w14:paraId="1A5DB249" w14:textId="77777777" w:rsidR="007055E2" w:rsidRPr="00CF31E0" w:rsidRDefault="007055E2"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178D5D82" w14:textId="786EEDB4"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969.378</w:t>
            </w:r>
          </w:p>
        </w:tc>
        <w:tc>
          <w:tcPr>
            <w:tcW w:w="820" w:type="dxa"/>
            <w:tcBorders>
              <w:top w:val="nil"/>
            </w:tcBorders>
            <w:shd w:val="clear" w:color="auto" w:fill="FFFFFF"/>
            <w:vAlign w:val="center"/>
          </w:tcPr>
          <w:p w14:paraId="2549068A" w14:textId="0DB1B4D1" w:rsidR="007055E2"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7D8CAC74" w14:textId="590A40D6"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1.498</w:t>
            </w:r>
          </w:p>
        </w:tc>
        <w:tc>
          <w:tcPr>
            <w:tcW w:w="1030" w:type="dxa"/>
            <w:tcBorders>
              <w:top w:val="nil"/>
            </w:tcBorders>
            <w:shd w:val="clear" w:color="auto" w:fill="FFFFFF"/>
            <w:vAlign w:val="center"/>
          </w:tcPr>
          <w:p w14:paraId="18C0D38E"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3880BA57"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p>
        </w:tc>
      </w:tr>
      <w:tr w:rsidR="007055E2" w:rsidRPr="00CF31E0" w14:paraId="201D5743" w14:textId="77777777" w:rsidTr="00661DC9">
        <w:trPr>
          <w:cantSplit/>
        </w:trPr>
        <w:tc>
          <w:tcPr>
            <w:tcW w:w="1736" w:type="dxa"/>
            <w:shd w:val="clear" w:color="auto" w:fill="FFFFFF"/>
          </w:tcPr>
          <w:p w14:paraId="7587A002" w14:textId="77777777" w:rsidR="007055E2" w:rsidRPr="00CF31E0" w:rsidRDefault="007055E2"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6F12679B" w14:textId="61CD8BD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974.250</w:t>
            </w:r>
          </w:p>
        </w:tc>
        <w:tc>
          <w:tcPr>
            <w:tcW w:w="820" w:type="dxa"/>
            <w:shd w:val="clear" w:color="auto" w:fill="FFFFFF"/>
            <w:vAlign w:val="center"/>
          </w:tcPr>
          <w:p w14:paraId="301DA151" w14:textId="0F7BBDC9" w:rsidR="007055E2"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7BC26B93"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6CA5EDB8"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349DADB2"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p>
        </w:tc>
      </w:tr>
    </w:tbl>
    <w:p w14:paraId="6738F2C9" w14:textId="77777777" w:rsidR="00944CCD" w:rsidRPr="00CF31E0" w:rsidRDefault="00944CCD" w:rsidP="00FA43BB">
      <w:pPr>
        <w:rPr>
          <w:rFonts w:asciiTheme="majorBidi" w:hAnsiTheme="majorBidi" w:cstheme="majorBidi"/>
          <w:b/>
          <w:bCs/>
          <w:color w:val="000000" w:themeColor="text1"/>
        </w:rPr>
      </w:pPr>
    </w:p>
    <w:p w14:paraId="4D65B6EC" w14:textId="77777777" w:rsidR="007055E2" w:rsidRPr="00CF31E0" w:rsidRDefault="007055E2" w:rsidP="00FA43B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7055E2" w:rsidRPr="00CF31E0" w14:paraId="78ABD842" w14:textId="77777777" w:rsidTr="00661DC9">
        <w:trPr>
          <w:cantSplit/>
        </w:trPr>
        <w:tc>
          <w:tcPr>
            <w:tcW w:w="1736" w:type="dxa"/>
            <w:tcBorders>
              <w:top w:val="single" w:sz="8" w:space="0" w:color="auto"/>
              <w:bottom w:val="single" w:sz="6" w:space="0" w:color="auto"/>
            </w:tcBorders>
            <w:shd w:val="clear" w:color="auto" w:fill="FFFFFF"/>
            <w:vAlign w:val="bottom"/>
          </w:tcPr>
          <w:p w14:paraId="5F328EE2" w14:textId="533AF3C8" w:rsidR="007055E2" w:rsidRPr="00CF31E0" w:rsidRDefault="007055E2"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Mother’s social group</w:t>
            </w:r>
          </w:p>
        </w:tc>
        <w:tc>
          <w:tcPr>
            <w:tcW w:w="1686" w:type="dxa"/>
            <w:tcBorders>
              <w:top w:val="single" w:sz="8" w:space="0" w:color="auto"/>
              <w:bottom w:val="single" w:sz="6" w:space="0" w:color="auto"/>
            </w:tcBorders>
            <w:shd w:val="clear" w:color="auto" w:fill="FFFFFF"/>
            <w:vAlign w:val="bottom"/>
          </w:tcPr>
          <w:p w14:paraId="31A0628C"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70F164A8"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77AF6C07"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1FD03112"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10F74201"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055E2" w:rsidRPr="00CF31E0" w14:paraId="3C8BDBC8" w14:textId="77777777" w:rsidTr="00661DC9">
        <w:trPr>
          <w:cantSplit/>
        </w:trPr>
        <w:tc>
          <w:tcPr>
            <w:tcW w:w="1736" w:type="dxa"/>
            <w:tcBorders>
              <w:top w:val="single" w:sz="6" w:space="0" w:color="auto"/>
              <w:bottom w:val="nil"/>
            </w:tcBorders>
            <w:shd w:val="clear" w:color="auto" w:fill="FFFFFF"/>
          </w:tcPr>
          <w:p w14:paraId="73944925" w14:textId="77777777" w:rsidR="007055E2" w:rsidRPr="00CF31E0" w:rsidRDefault="007055E2"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1AC7034F" w14:textId="2031DC6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6.134</w:t>
            </w:r>
          </w:p>
        </w:tc>
        <w:tc>
          <w:tcPr>
            <w:tcW w:w="820" w:type="dxa"/>
            <w:tcBorders>
              <w:top w:val="single" w:sz="6" w:space="0" w:color="auto"/>
              <w:bottom w:val="nil"/>
            </w:tcBorders>
            <w:shd w:val="clear" w:color="auto" w:fill="FFFFFF"/>
            <w:vAlign w:val="center"/>
          </w:tcPr>
          <w:p w14:paraId="5FD6B2B5" w14:textId="5C8F32A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w:t>
            </w:r>
          </w:p>
        </w:tc>
        <w:tc>
          <w:tcPr>
            <w:tcW w:w="1445" w:type="dxa"/>
            <w:tcBorders>
              <w:top w:val="single" w:sz="6" w:space="0" w:color="auto"/>
              <w:bottom w:val="nil"/>
            </w:tcBorders>
            <w:shd w:val="clear" w:color="auto" w:fill="FFFFFF"/>
            <w:vAlign w:val="center"/>
          </w:tcPr>
          <w:p w14:paraId="4A92AEC2" w14:textId="4E4377CE"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3.067</w:t>
            </w:r>
          </w:p>
        </w:tc>
        <w:tc>
          <w:tcPr>
            <w:tcW w:w="1030" w:type="dxa"/>
            <w:tcBorders>
              <w:top w:val="single" w:sz="6" w:space="0" w:color="auto"/>
              <w:bottom w:val="nil"/>
            </w:tcBorders>
            <w:shd w:val="clear" w:color="auto" w:fill="FFFFFF"/>
            <w:vAlign w:val="center"/>
          </w:tcPr>
          <w:p w14:paraId="78471C9E" w14:textId="03797686"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2.050</w:t>
            </w:r>
          </w:p>
        </w:tc>
        <w:tc>
          <w:tcPr>
            <w:tcW w:w="674" w:type="dxa"/>
            <w:tcBorders>
              <w:top w:val="single" w:sz="6" w:space="0" w:color="auto"/>
              <w:bottom w:val="nil"/>
            </w:tcBorders>
            <w:shd w:val="clear" w:color="auto" w:fill="FFFFFF"/>
            <w:vAlign w:val="center"/>
          </w:tcPr>
          <w:p w14:paraId="5B21D8ED" w14:textId="416F7D80"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.130</w:t>
            </w:r>
          </w:p>
        </w:tc>
      </w:tr>
      <w:tr w:rsidR="007055E2" w:rsidRPr="00CF31E0" w14:paraId="3F347A19" w14:textId="77777777" w:rsidTr="00661DC9">
        <w:trPr>
          <w:cantSplit/>
        </w:trPr>
        <w:tc>
          <w:tcPr>
            <w:tcW w:w="1736" w:type="dxa"/>
            <w:tcBorders>
              <w:top w:val="nil"/>
            </w:tcBorders>
            <w:shd w:val="clear" w:color="auto" w:fill="FFFFFF"/>
          </w:tcPr>
          <w:p w14:paraId="5C7B5FC5" w14:textId="77777777" w:rsidR="007055E2" w:rsidRPr="00CF31E0" w:rsidRDefault="007055E2"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0415F9C9" w14:textId="29A7E950"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964.971</w:t>
            </w:r>
          </w:p>
        </w:tc>
        <w:tc>
          <w:tcPr>
            <w:tcW w:w="820" w:type="dxa"/>
            <w:tcBorders>
              <w:top w:val="nil"/>
            </w:tcBorders>
            <w:shd w:val="clear" w:color="auto" w:fill="FFFFFF"/>
            <w:vAlign w:val="center"/>
          </w:tcPr>
          <w:p w14:paraId="5A1C591A" w14:textId="330355B4" w:rsidR="007055E2"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647</w:t>
            </w:r>
          </w:p>
        </w:tc>
        <w:tc>
          <w:tcPr>
            <w:tcW w:w="1445" w:type="dxa"/>
            <w:tcBorders>
              <w:top w:val="nil"/>
            </w:tcBorders>
            <w:shd w:val="clear" w:color="auto" w:fill="FFFFFF"/>
            <w:vAlign w:val="center"/>
          </w:tcPr>
          <w:p w14:paraId="0C93266C" w14:textId="6986AF4B"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1.496</w:t>
            </w:r>
          </w:p>
        </w:tc>
        <w:tc>
          <w:tcPr>
            <w:tcW w:w="1030" w:type="dxa"/>
            <w:tcBorders>
              <w:top w:val="nil"/>
            </w:tcBorders>
            <w:shd w:val="clear" w:color="auto" w:fill="FFFFFF"/>
            <w:vAlign w:val="center"/>
          </w:tcPr>
          <w:p w14:paraId="0435A6E6"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195078BC"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p>
        </w:tc>
      </w:tr>
      <w:tr w:rsidR="007055E2" w:rsidRPr="00CF31E0" w14:paraId="6A1A0B43" w14:textId="77777777" w:rsidTr="00661DC9">
        <w:trPr>
          <w:cantSplit/>
        </w:trPr>
        <w:tc>
          <w:tcPr>
            <w:tcW w:w="1736" w:type="dxa"/>
            <w:shd w:val="clear" w:color="auto" w:fill="FFFFFF"/>
          </w:tcPr>
          <w:p w14:paraId="5B3CD497" w14:textId="77777777" w:rsidR="007055E2" w:rsidRPr="00CF31E0" w:rsidRDefault="007055E2"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7B497F2" w14:textId="65BBEB28"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971.105</w:t>
            </w:r>
          </w:p>
        </w:tc>
        <w:tc>
          <w:tcPr>
            <w:tcW w:w="820" w:type="dxa"/>
            <w:shd w:val="clear" w:color="auto" w:fill="FFFFFF"/>
            <w:vAlign w:val="center"/>
          </w:tcPr>
          <w:p w14:paraId="7635F8C0" w14:textId="56B804AF" w:rsidR="007055E2"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0F94D5CA"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5BDA5968"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62A4DF5E"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p>
        </w:tc>
      </w:tr>
    </w:tbl>
    <w:p w14:paraId="0721E320" w14:textId="77777777" w:rsidR="007055E2" w:rsidRPr="00CF31E0" w:rsidRDefault="007055E2" w:rsidP="00FA43BB">
      <w:pPr>
        <w:rPr>
          <w:rFonts w:asciiTheme="majorBidi" w:hAnsiTheme="majorBidi" w:cstheme="majorBidi"/>
          <w:b/>
          <w:bCs/>
          <w:color w:val="000000" w:themeColor="text1"/>
        </w:rPr>
      </w:pPr>
    </w:p>
    <w:p w14:paraId="756ADA1F" w14:textId="77777777" w:rsidR="007055E2" w:rsidRPr="00CF31E0" w:rsidRDefault="007055E2" w:rsidP="00FA43B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7055E2" w:rsidRPr="00CF31E0" w14:paraId="0350C8B7" w14:textId="77777777" w:rsidTr="00661DC9">
        <w:trPr>
          <w:cantSplit/>
        </w:trPr>
        <w:tc>
          <w:tcPr>
            <w:tcW w:w="1736" w:type="dxa"/>
            <w:tcBorders>
              <w:top w:val="single" w:sz="8" w:space="0" w:color="auto"/>
              <w:bottom w:val="single" w:sz="6" w:space="0" w:color="auto"/>
            </w:tcBorders>
            <w:shd w:val="clear" w:color="auto" w:fill="FFFFFF"/>
            <w:vAlign w:val="bottom"/>
          </w:tcPr>
          <w:p w14:paraId="661D0047" w14:textId="622CBA3B" w:rsidR="007055E2" w:rsidRPr="00CF31E0" w:rsidRDefault="007055E2"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Spouse’s social group</w:t>
            </w:r>
          </w:p>
        </w:tc>
        <w:tc>
          <w:tcPr>
            <w:tcW w:w="1686" w:type="dxa"/>
            <w:tcBorders>
              <w:top w:val="single" w:sz="8" w:space="0" w:color="auto"/>
              <w:bottom w:val="single" w:sz="6" w:space="0" w:color="auto"/>
            </w:tcBorders>
            <w:shd w:val="clear" w:color="auto" w:fill="FFFFFF"/>
            <w:vAlign w:val="bottom"/>
          </w:tcPr>
          <w:p w14:paraId="01A07FA9"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054E1E09"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20E2F61F"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3E08C0BE"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70D70110"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055E2" w:rsidRPr="00CF31E0" w14:paraId="685CC553" w14:textId="77777777" w:rsidTr="00661DC9">
        <w:trPr>
          <w:cantSplit/>
        </w:trPr>
        <w:tc>
          <w:tcPr>
            <w:tcW w:w="1736" w:type="dxa"/>
            <w:tcBorders>
              <w:top w:val="single" w:sz="6" w:space="0" w:color="auto"/>
              <w:bottom w:val="nil"/>
            </w:tcBorders>
            <w:shd w:val="clear" w:color="auto" w:fill="FFFFFF"/>
          </w:tcPr>
          <w:p w14:paraId="4D30B85F" w14:textId="77777777" w:rsidR="007055E2" w:rsidRPr="00CF31E0" w:rsidRDefault="007055E2"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611DEE94" w14:textId="0BBADB58"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10.582</w:t>
            </w:r>
          </w:p>
        </w:tc>
        <w:tc>
          <w:tcPr>
            <w:tcW w:w="820" w:type="dxa"/>
            <w:tcBorders>
              <w:top w:val="single" w:sz="6" w:space="0" w:color="auto"/>
              <w:bottom w:val="nil"/>
            </w:tcBorders>
            <w:shd w:val="clear" w:color="auto" w:fill="FFFFFF"/>
            <w:vAlign w:val="center"/>
          </w:tcPr>
          <w:p w14:paraId="54567AFB" w14:textId="5A2C0A9E"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w:t>
            </w:r>
          </w:p>
        </w:tc>
        <w:tc>
          <w:tcPr>
            <w:tcW w:w="1445" w:type="dxa"/>
            <w:tcBorders>
              <w:top w:val="single" w:sz="6" w:space="0" w:color="auto"/>
              <w:bottom w:val="nil"/>
            </w:tcBorders>
            <w:shd w:val="clear" w:color="auto" w:fill="FFFFFF"/>
            <w:vAlign w:val="center"/>
          </w:tcPr>
          <w:p w14:paraId="14B8D983" w14:textId="2CE731F7"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2.645</w:t>
            </w:r>
          </w:p>
        </w:tc>
        <w:tc>
          <w:tcPr>
            <w:tcW w:w="1030" w:type="dxa"/>
            <w:tcBorders>
              <w:top w:val="single" w:sz="6" w:space="0" w:color="auto"/>
              <w:bottom w:val="nil"/>
            </w:tcBorders>
            <w:shd w:val="clear" w:color="auto" w:fill="FFFFFF"/>
            <w:vAlign w:val="center"/>
          </w:tcPr>
          <w:p w14:paraId="127D2067" w14:textId="62FFB1DD"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1.779</w:t>
            </w:r>
          </w:p>
        </w:tc>
        <w:tc>
          <w:tcPr>
            <w:tcW w:w="674" w:type="dxa"/>
            <w:tcBorders>
              <w:top w:val="single" w:sz="6" w:space="0" w:color="auto"/>
              <w:bottom w:val="nil"/>
            </w:tcBorders>
            <w:shd w:val="clear" w:color="auto" w:fill="FFFFFF"/>
            <w:vAlign w:val="center"/>
          </w:tcPr>
          <w:p w14:paraId="6550D087" w14:textId="609B84E9"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.131</w:t>
            </w:r>
          </w:p>
        </w:tc>
      </w:tr>
      <w:tr w:rsidR="007055E2" w:rsidRPr="00CF31E0" w14:paraId="18EEEDA7" w14:textId="77777777" w:rsidTr="00661DC9">
        <w:trPr>
          <w:cantSplit/>
        </w:trPr>
        <w:tc>
          <w:tcPr>
            <w:tcW w:w="1736" w:type="dxa"/>
            <w:tcBorders>
              <w:top w:val="nil"/>
            </w:tcBorders>
            <w:shd w:val="clear" w:color="auto" w:fill="FFFFFF"/>
          </w:tcPr>
          <w:p w14:paraId="4A0AEBC6" w14:textId="77777777" w:rsidR="007055E2" w:rsidRPr="00CF31E0" w:rsidRDefault="007055E2"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2003F6FB" w14:textId="3CA6D61C"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951.821</w:t>
            </w:r>
          </w:p>
        </w:tc>
        <w:tc>
          <w:tcPr>
            <w:tcW w:w="820" w:type="dxa"/>
            <w:tcBorders>
              <w:top w:val="nil"/>
            </w:tcBorders>
            <w:shd w:val="clear" w:color="auto" w:fill="FFFFFF"/>
            <w:vAlign w:val="center"/>
          </w:tcPr>
          <w:p w14:paraId="5326ABD0" w14:textId="1A3B24A3" w:rsidR="007055E2"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645</w:t>
            </w:r>
          </w:p>
        </w:tc>
        <w:tc>
          <w:tcPr>
            <w:tcW w:w="1445" w:type="dxa"/>
            <w:tcBorders>
              <w:top w:val="nil"/>
            </w:tcBorders>
            <w:shd w:val="clear" w:color="auto" w:fill="FFFFFF"/>
            <w:vAlign w:val="center"/>
          </w:tcPr>
          <w:p w14:paraId="0D9A1FFC" w14:textId="5105E080"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1.487</w:t>
            </w:r>
          </w:p>
        </w:tc>
        <w:tc>
          <w:tcPr>
            <w:tcW w:w="1030" w:type="dxa"/>
            <w:tcBorders>
              <w:top w:val="nil"/>
            </w:tcBorders>
            <w:shd w:val="clear" w:color="auto" w:fill="FFFFFF"/>
            <w:vAlign w:val="center"/>
          </w:tcPr>
          <w:p w14:paraId="6CC9BCB8"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1259C533"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p>
        </w:tc>
      </w:tr>
      <w:tr w:rsidR="007055E2" w:rsidRPr="00CF31E0" w14:paraId="76BC7AB8" w14:textId="77777777" w:rsidTr="00661DC9">
        <w:trPr>
          <w:cantSplit/>
        </w:trPr>
        <w:tc>
          <w:tcPr>
            <w:tcW w:w="1736" w:type="dxa"/>
            <w:shd w:val="clear" w:color="auto" w:fill="FFFFFF"/>
          </w:tcPr>
          <w:p w14:paraId="211FD505" w14:textId="77777777" w:rsidR="007055E2" w:rsidRPr="00CF31E0" w:rsidRDefault="007055E2"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5D3BE0E1" w14:textId="492EF731" w:rsidR="007055E2" w:rsidRPr="00CF31E0" w:rsidRDefault="007055E2"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962.403</w:t>
            </w:r>
          </w:p>
        </w:tc>
        <w:tc>
          <w:tcPr>
            <w:tcW w:w="820" w:type="dxa"/>
            <w:shd w:val="clear" w:color="auto" w:fill="FFFFFF"/>
            <w:vAlign w:val="center"/>
          </w:tcPr>
          <w:p w14:paraId="5D2EFD31" w14:textId="7E7C3CE5" w:rsidR="007055E2"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6EB41864"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0E189B22"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610422EB" w14:textId="77777777" w:rsidR="007055E2" w:rsidRPr="00CF31E0" w:rsidRDefault="007055E2" w:rsidP="00661DC9">
            <w:pPr>
              <w:spacing w:before="120" w:after="120" w:line="360" w:lineRule="auto"/>
              <w:jc w:val="right"/>
              <w:rPr>
                <w:rFonts w:eastAsia="Calibri" w:cs="Arial"/>
                <w:color w:val="000000" w:themeColor="text1"/>
                <w:sz w:val="22"/>
                <w:szCs w:val="22"/>
                <w:lang w:eastAsia="en-US"/>
              </w:rPr>
            </w:pPr>
          </w:p>
        </w:tc>
      </w:tr>
    </w:tbl>
    <w:p w14:paraId="1B09D43E" w14:textId="77777777" w:rsidR="007055E2" w:rsidRPr="00CF31E0" w:rsidRDefault="007055E2" w:rsidP="00FA43BB">
      <w:pPr>
        <w:rPr>
          <w:rFonts w:asciiTheme="majorBidi" w:hAnsiTheme="majorBidi" w:cstheme="majorBidi"/>
          <w:b/>
          <w:bCs/>
          <w:color w:val="000000" w:themeColor="text1"/>
        </w:rPr>
      </w:pPr>
    </w:p>
    <w:p w14:paraId="65F8CBC3" w14:textId="77777777" w:rsidR="007055E2" w:rsidRPr="00CF31E0" w:rsidRDefault="007055E2" w:rsidP="00FA43BB">
      <w:pPr>
        <w:rPr>
          <w:rFonts w:asciiTheme="majorBidi" w:hAnsiTheme="majorBidi" w:cstheme="majorBidi"/>
          <w:b/>
          <w:bCs/>
          <w:color w:val="000000" w:themeColor="text1"/>
        </w:rPr>
      </w:pPr>
    </w:p>
    <w:p w14:paraId="66BE9F27" w14:textId="77777777" w:rsidR="00C15345" w:rsidRPr="00CF31E0" w:rsidRDefault="00C15345" w:rsidP="00FA43BB">
      <w:pPr>
        <w:rPr>
          <w:rFonts w:asciiTheme="majorBidi" w:hAnsiTheme="majorBidi" w:cstheme="majorBidi"/>
          <w:b/>
          <w:bCs/>
          <w:color w:val="000000" w:themeColor="text1"/>
        </w:rPr>
      </w:pPr>
    </w:p>
    <w:p w14:paraId="4EF749E5" w14:textId="77777777" w:rsidR="00C15345" w:rsidRPr="00CF31E0" w:rsidRDefault="00C15345" w:rsidP="00FA43BB">
      <w:pPr>
        <w:rPr>
          <w:rFonts w:asciiTheme="majorBidi" w:hAnsiTheme="majorBidi" w:cstheme="majorBidi"/>
          <w:b/>
          <w:bCs/>
          <w:color w:val="000000" w:themeColor="text1"/>
        </w:rPr>
      </w:pPr>
    </w:p>
    <w:p w14:paraId="52896651" w14:textId="77777777" w:rsidR="00C15345" w:rsidRPr="00CF31E0" w:rsidRDefault="00C15345" w:rsidP="00FA43BB">
      <w:pPr>
        <w:rPr>
          <w:rFonts w:asciiTheme="majorBidi" w:hAnsiTheme="majorBidi" w:cstheme="majorBidi"/>
          <w:b/>
          <w:bCs/>
          <w:color w:val="000000" w:themeColor="text1"/>
        </w:rPr>
      </w:pPr>
    </w:p>
    <w:p w14:paraId="764DD4DB" w14:textId="044F73BF" w:rsidR="00C15345" w:rsidRPr="00CF31E0" w:rsidRDefault="00C15345" w:rsidP="00661DC9">
      <w:pPr>
        <w:pStyle w:val="ListParagraph"/>
        <w:numPr>
          <w:ilvl w:val="0"/>
          <w:numId w:val="74"/>
        </w:numPr>
        <w:rPr>
          <w:rFonts w:asciiTheme="majorBidi" w:hAnsiTheme="majorBidi" w:cstheme="majorBidi"/>
          <w:b/>
          <w:bCs/>
          <w:color w:val="000000" w:themeColor="text1"/>
          <w:sz w:val="28"/>
          <w:szCs w:val="28"/>
        </w:rPr>
      </w:pPr>
      <w:r w:rsidRPr="00CF31E0">
        <w:rPr>
          <w:rFonts w:asciiTheme="majorBidi" w:hAnsiTheme="majorBidi" w:cstheme="majorBidi"/>
          <w:b/>
          <w:bCs/>
          <w:color w:val="000000" w:themeColor="text1"/>
          <w:sz w:val="28"/>
          <w:szCs w:val="28"/>
        </w:rPr>
        <w:lastRenderedPageBreak/>
        <w:t>VS3</w:t>
      </w:r>
    </w:p>
    <w:p w14:paraId="22EBCE7F" w14:textId="77777777" w:rsidR="00C15345" w:rsidRPr="00CF31E0" w:rsidRDefault="00C15345" w:rsidP="00C15345">
      <w:pPr>
        <w:pStyle w:val="ListParagraph"/>
        <w:ind w:left="0"/>
        <w:rPr>
          <w:rFonts w:asciiTheme="majorBidi" w:hAnsiTheme="majorBidi" w:cstheme="majorBidi"/>
          <w:b/>
          <w:bCs/>
          <w:color w:val="000000" w:themeColor="text1"/>
        </w:rPr>
      </w:pPr>
    </w:p>
    <w:p w14:paraId="4B5D980E" w14:textId="77777777" w:rsidR="00C15345" w:rsidRPr="00CF31E0" w:rsidRDefault="00C15345" w:rsidP="00C15345">
      <w:pPr>
        <w:pStyle w:val="ListParagraph"/>
        <w:numPr>
          <w:ilvl w:val="0"/>
          <w:numId w:val="71"/>
        </w:numPr>
        <w:rPr>
          <w:rFonts w:asciiTheme="majorBidi" w:hAnsiTheme="majorBidi" w:cstheme="majorBidi"/>
          <w:b/>
          <w:bCs/>
          <w:color w:val="000000" w:themeColor="text1"/>
          <w:sz w:val="28"/>
          <w:szCs w:val="28"/>
        </w:rPr>
      </w:pPr>
      <w:r w:rsidRPr="00CF31E0">
        <w:rPr>
          <w:rFonts w:asciiTheme="majorBidi" w:hAnsiTheme="majorBidi" w:cstheme="majorBidi"/>
          <w:b/>
          <w:bCs/>
          <w:color w:val="000000" w:themeColor="text1"/>
          <w:sz w:val="28"/>
          <w:szCs w:val="28"/>
        </w:rPr>
        <w:t>Serious scale</w:t>
      </w:r>
    </w:p>
    <w:p w14:paraId="609F3A95" w14:textId="77777777" w:rsidR="00C15345" w:rsidRPr="00CF31E0" w:rsidRDefault="00C15345" w:rsidP="00C15345">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15345" w:rsidRPr="00CF31E0" w14:paraId="188A19C8" w14:textId="77777777" w:rsidTr="00661DC9">
        <w:trPr>
          <w:cantSplit/>
        </w:trPr>
        <w:tc>
          <w:tcPr>
            <w:tcW w:w="1736" w:type="dxa"/>
            <w:tcBorders>
              <w:top w:val="single" w:sz="8" w:space="0" w:color="auto"/>
              <w:bottom w:val="single" w:sz="6" w:space="0" w:color="auto"/>
            </w:tcBorders>
            <w:shd w:val="clear" w:color="auto" w:fill="FFFFFF"/>
            <w:vAlign w:val="bottom"/>
          </w:tcPr>
          <w:p w14:paraId="57975CBD" w14:textId="77777777" w:rsidR="00C15345" w:rsidRPr="00CF31E0" w:rsidRDefault="00C15345"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Gender</w:t>
            </w:r>
          </w:p>
        </w:tc>
        <w:tc>
          <w:tcPr>
            <w:tcW w:w="1686" w:type="dxa"/>
            <w:tcBorders>
              <w:top w:val="single" w:sz="8" w:space="0" w:color="auto"/>
              <w:bottom w:val="single" w:sz="6" w:space="0" w:color="auto"/>
            </w:tcBorders>
            <w:shd w:val="clear" w:color="auto" w:fill="FFFFFF"/>
            <w:vAlign w:val="bottom"/>
          </w:tcPr>
          <w:p w14:paraId="64CDAD1A"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4176B49C"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01FB894F"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29CF5DDD"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1350A9AD"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661DC9" w:rsidRPr="00CF31E0" w14:paraId="751EA238" w14:textId="77777777" w:rsidTr="00661DC9">
        <w:trPr>
          <w:cantSplit/>
        </w:trPr>
        <w:tc>
          <w:tcPr>
            <w:tcW w:w="1736" w:type="dxa"/>
            <w:tcBorders>
              <w:top w:val="single" w:sz="6" w:space="0" w:color="auto"/>
              <w:bottom w:val="nil"/>
            </w:tcBorders>
            <w:shd w:val="clear" w:color="auto" w:fill="FFFFFF"/>
          </w:tcPr>
          <w:p w14:paraId="050BCF86"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3124EE32" w14:textId="73A201D9"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5.039</w:t>
            </w:r>
          </w:p>
        </w:tc>
        <w:tc>
          <w:tcPr>
            <w:tcW w:w="820" w:type="dxa"/>
            <w:tcBorders>
              <w:top w:val="single" w:sz="6" w:space="0" w:color="auto"/>
              <w:bottom w:val="nil"/>
            </w:tcBorders>
            <w:shd w:val="clear" w:color="auto" w:fill="FFFFFF"/>
            <w:vAlign w:val="center"/>
          </w:tcPr>
          <w:p w14:paraId="70D2B593" w14:textId="5D1AA97C"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5E8CB832" w14:textId="024ABE7E"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5.039</w:t>
            </w:r>
          </w:p>
        </w:tc>
        <w:tc>
          <w:tcPr>
            <w:tcW w:w="1030" w:type="dxa"/>
            <w:tcBorders>
              <w:top w:val="single" w:sz="6" w:space="0" w:color="auto"/>
              <w:bottom w:val="nil"/>
            </w:tcBorders>
            <w:shd w:val="clear" w:color="auto" w:fill="FFFFFF"/>
            <w:vAlign w:val="center"/>
          </w:tcPr>
          <w:p w14:paraId="5783304D" w14:textId="5FEDF717"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3.892</w:t>
            </w:r>
          </w:p>
        </w:tc>
        <w:tc>
          <w:tcPr>
            <w:tcW w:w="674" w:type="dxa"/>
            <w:tcBorders>
              <w:top w:val="single" w:sz="6" w:space="0" w:color="auto"/>
              <w:bottom w:val="nil"/>
            </w:tcBorders>
            <w:shd w:val="clear" w:color="auto" w:fill="FFFFFF"/>
            <w:vAlign w:val="center"/>
          </w:tcPr>
          <w:p w14:paraId="5EE0E784" w14:textId="2836DF45"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.069</w:t>
            </w:r>
          </w:p>
        </w:tc>
      </w:tr>
      <w:tr w:rsidR="00661DC9" w:rsidRPr="00CF31E0" w14:paraId="26E78F11" w14:textId="77777777" w:rsidTr="00661DC9">
        <w:trPr>
          <w:cantSplit/>
        </w:trPr>
        <w:tc>
          <w:tcPr>
            <w:tcW w:w="1736" w:type="dxa"/>
            <w:tcBorders>
              <w:top w:val="nil"/>
            </w:tcBorders>
            <w:shd w:val="clear" w:color="auto" w:fill="FFFFFF"/>
          </w:tcPr>
          <w:p w14:paraId="3342346F"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0DE243FE" w14:textId="58DBEF51"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837.688</w:t>
            </w:r>
          </w:p>
        </w:tc>
        <w:tc>
          <w:tcPr>
            <w:tcW w:w="820" w:type="dxa"/>
            <w:tcBorders>
              <w:top w:val="nil"/>
            </w:tcBorders>
            <w:shd w:val="clear" w:color="auto" w:fill="FFFFFF"/>
            <w:vAlign w:val="center"/>
          </w:tcPr>
          <w:p w14:paraId="3C572D8F" w14:textId="796E614C" w:rsidR="00661DC9"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777B88F5" w14:textId="54414612"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1.295</w:t>
            </w:r>
          </w:p>
        </w:tc>
        <w:tc>
          <w:tcPr>
            <w:tcW w:w="1030" w:type="dxa"/>
            <w:tcBorders>
              <w:top w:val="nil"/>
            </w:tcBorders>
            <w:shd w:val="clear" w:color="auto" w:fill="FFFFFF"/>
            <w:vAlign w:val="center"/>
          </w:tcPr>
          <w:p w14:paraId="5942202E"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58D9643E"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r>
      <w:tr w:rsidR="00661DC9" w:rsidRPr="00CF31E0" w14:paraId="641F6BBC" w14:textId="77777777" w:rsidTr="00661DC9">
        <w:trPr>
          <w:cantSplit/>
        </w:trPr>
        <w:tc>
          <w:tcPr>
            <w:tcW w:w="1736" w:type="dxa"/>
            <w:shd w:val="clear" w:color="auto" w:fill="FFFFFF"/>
          </w:tcPr>
          <w:p w14:paraId="1C685246"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69290BC3" w14:textId="51E71C5B"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842.727</w:t>
            </w:r>
          </w:p>
        </w:tc>
        <w:tc>
          <w:tcPr>
            <w:tcW w:w="820" w:type="dxa"/>
            <w:shd w:val="clear" w:color="auto" w:fill="FFFFFF"/>
            <w:vAlign w:val="center"/>
          </w:tcPr>
          <w:p w14:paraId="66B52ADA" w14:textId="4BBBD6A8" w:rsidR="00661DC9"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4F39E66E"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7B49DFC0"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5C19C820"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r>
    </w:tbl>
    <w:p w14:paraId="2474EBA8" w14:textId="77777777" w:rsidR="00C15345" w:rsidRPr="00CF31E0" w:rsidRDefault="00C15345" w:rsidP="00C15345">
      <w:pPr>
        <w:rPr>
          <w:rFonts w:asciiTheme="majorBidi" w:hAnsiTheme="majorBidi" w:cstheme="majorBidi"/>
          <w:b/>
          <w:bCs/>
          <w:color w:val="000000" w:themeColor="text1"/>
        </w:rPr>
      </w:pPr>
    </w:p>
    <w:p w14:paraId="34815623" w14:textId="77777777" w:rsidR="00C15345" w:rsidRPr="00CF31E0" w:rsidRDefault="00C15345" w:rsidP="00C15345">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2"/>
        <w:gridCol w:w="1443"/>
        <w:gridCol w:w="1030"/>
        <w:gridCol w:w="674"/>
      </w:tblGrid>
      <w:tr w:rsidR="00C15345" w:rsidRPr="00CF31E0" w14:paraId="2AA17FEC" w14:textId="77777777" w:rsidTr="00073750">
        <w:trPr>
          <w:cantSplit/>
        </w:trPr>
        <w:tc>
          <w:tcPr>
            <w:tcW w:w="1736" w:type="dxa"/>
            <w:tcBorders>
              <w:top w:val="single" w:sz="8" w:space="0" w:color="auto"/>
              <w:bottom w:val="single" w:sz="6" w:space="0" w:color="auto"/>
            </w:tcBorders>
            <w:shd w:val="clear" w:color="auto" w:fill="FFFFFF"/>
            <w:vAlign w:val="bottom"/>
          </w:tcPr>
          <w:p w14:paraId="60D248D7" w14:textId="77777777" w:rsidR="00C15345" w:rsidRPr="00CF31E0" w:rsidRDefault="00C15345"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Age</w:t>
            </w:r>
          </w:p>
        </w:tc>
        <w:tc>
          <w:tcPr>
            <w:tcW w:w="1686" w:type="dxa"/>
            <w:tcBorders>
              <w:top w:val="single" w:sz="8" w:space="0" w:color="auto"/>
              <w:bottom w:val="single" w:sz="6" w:space="0" w:color="auto"/>
            </w:tcBorders>
            <w:shd w:val="clear" w:color="auto" w:fill="FFFFFF"/>
            <w:vAlign w:val="bottom"/>
          </w:tcPr>
          <w:p w14:paraId="7E414EEC"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2" w:type="dxa"/>
            <w:tcBorders>
              <w:top w:val="single" w:sz="8" w:space="0" w:color="auto"/>
              <w:bottom w:val="single" w:sz="6" w:space="0" w:color="auto"/>
            </w:tcBorders>
            <w:shd w:val="clear" w:color="auto" w:fill="FFFFFF"/>
            <w:vAlign w:val="bottom"/>
          </w:tcPr>
          <w:p w14:paraId="2A7DA660"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3" w:type="dxa"/>
            <w:tcBorders>
              <w:top w:val="single" w:sz="8" w:space="0" w:color="auto"/>
              <w:bottom w:val="single" w:sz="6" w:space="0" w:color="auto"/>
            </w:tcBorders>
            <w:shd w:val="clear" w:color="auto" w:fill="FFFFFF"/>
            <w:vAlign w:val="bottom"/>
          </w:tcPr>
          <w:p w14:paraId="31648745"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78A62619"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19108A97"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661DC9" w:rsidRPr="00CF31E0" w14:paraId="6A4FFD6D" w14:textId="77777777" w:rsidTr="00073750">
        <w:trPr>
          <w:cantSplit/>
        </w:trPr>
        <w:tc>
          <w:tcPr>
            <w:tcW w:w="1736" w:type="dxa"/>
            <w:tcBorders>
              <w:top w:val="single" w:sz="6" w:space="0" w:color="auto"/>
              <w:bottom w:val="nil"/>
            </w:tcBorders>
            <w:shd w:val="clear" w:color="auto" w:fill="FFFFFF"/>
          </w:tcPr>
          <w:p w14:paraId="10B55C00"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1897289F" w14:textId="4413A2EB"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25.195</w:t>
            </w:r>
          </w:p>
        </w:tc>
        <w:tc>
          <w:tcPr>
            <w:tcW w:w="822" w:type="dxa"/>
            <w:tcBorders>
              <w:top w:val="single" w:sz="6" w:space="0" w:color="auto"/>
              <w:bottom w:val="nil"/>
            </w:tcBorders>
            <w:shd w:val="clear" w:color="auto" w:fill="FFFFFF"/>
            <w:vAlign w:val="center"/>
          </w:tcPr>
          <w:p w14:paraId="79FE0D36" w14:textId="6D09F450"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w:t>
            </w:r>
          </w:p>
        </w:tc>
        <w:tc>
          <w:tcPr>
            <w:tcW w:w="1443" w:type="dxa"/>
            <w:tcBorders>
              <w:top w:val="single" w:sz="6" w:space="0" w:color="auto"/>
              <w:bottom w:val="nil"/>
            </w:tcBorders>
            <w:shd w:val="clear" w:color="auto" w:fill="FFFFFF"/>
            <w:vAlign w:val="center"/>
          </w:tcPr>
          <w:p w14:paraId="224DCC53" w14:textId="2A8DE0CD"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5.039</w:t>
            </w:r>
          </w:p>
        </w:tc>
        <w:tc>
          <w:tcPr>
            <w:tcW w:w="1030" w:type="dxa"/>
            <w:tcBorders>
              <w:top w:val="single" w:sz="6" w:space="0" w:color="auto"/>
              <w:bottom w:val="nil"/>
            </w:tcBorders>
            <w:shd w:val="clear" w:color="auto" w:fill="FFFFFF"/>
            <w:vAlign w:val="center"/>
          </w:tcPr>
          <w:p w14:paraId="1DA461CC" w14:textId="34980FB3"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3.954</w:t>
            </w:r>
          </w:p>
        </w:tc>
        <w:tc>
          <w:tcPr>
            <w:tcW w:w="674" w:type="dxa"/>
            <w:tcBorders>
              <w:top w:val="single" w:sz="6" w:space="0" w:color="auto"/>
              <w:bottom w:val="nil"/>
            </w:tcBorders>
            <w:shd w:val="clear" w:color="auto" w:fill="FFFFFF"/>
            <w:vAlign w:val="center"/>
          </w:tcPr>
          <w:p w14:paraId="46489A30" w14:textId="198850FD"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.092</w:t>
            </w:r>
          </w:p>
        </w:tc>
      </w:tr>
      <w:tr w:rsidR="00661DC9" w:rsidRPr="00CF31E0" w14:paraId="5A483713" w14:textId="77777777" w:rsidTr="00073750">
        <w:trPr>
          <w:cantSplit/>
        </w:trPr>
        <w:tc>
          <w:tcPr>
            <w:tcW w:w="1736" w:type="dxa"/>
            <w:tcBorders>
              <w:top w:val="nil"/>
            </w:tcBorders>
            <w:shd w:val="clear" w:color="auto" w:fill="FFFFFF"/>
          </w:tcPr>
          <w:p w14:paraId="19BA1E35"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1425A867" w14:textId="629AF5D4"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816.928</w:t>
            </w:r>
          </w:p>
        </w:tc>
        <w:tc>
          <w:tcPr>
            <w:tcW w:w="822" w:type="dxa"/>
            <w:tcBorders>
              <w:top w:val="nil"/>
            </w:tcBorders>
            <w:shd w:val="clear" w:color="auto" w:fill="FFFFFF"/>
            <w:vAlign w:val="center"/>
          </w:tcPr>
          <w:p w14:paraId="03BA4665" w14:textId="26F39CB7" w:rsidR="00661DC9"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644</w:t>
            </w:r>
          </w:p>
        </w:tc>
        <w:tc>
          <w:tcPr>
            <w:tcW w:w="1443" w:type="dxa"/>
            <w:tcBorders>
              <w:top w:val="nil"/>
            </w:tcBorders>
            <w:shd w:val="clear" w:color="auto" w:fill="FFFFFF"/>
            <w:vAlign w:val="center"/>
          </w:tcPr>
          <w:p w14:paraId="1C2B5567" w14:textId="3EA18F8F"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1.274</w:t>
            </w:r>
          </w:p>
        </w:tc>
        <w:tc>
          <w:tcPr>
            <w:tcW w:w="1030" w:type="dxa"/>
            <w:tcBorders>
              <w:top w:val="nil"/>
            </w:tcBorders>
            <w:shd w:val="clear" w:color="auto" w:fill="FFFFFF"/>
            <w:vAlign w:val="center"/>
          </w:tcPr>
          <w:p w14:paraId="4578198C"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2B78F47D"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r>
      <w:tr w:rsidR="00661DC9" w:rsidRPr="00CF31E0" w14:paraId="6AC3E8D4" w14:textId="77777777" w:rsidTr="00073750">
        <w:trPr>
          <w:cantSplit/>
        </w:trPr>
        <w:tc>
          <w:tcPr>
            <w:tcW w:w="1736" w:type="dxa"/>
            <w:shd w:val="clear" w:color="auto" w:fill="FFFFFF"/>
          </w:tcPr>
          <w:p w14:paraId="1F75C1AD"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0393C14C" w14:textId="32F3D947"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842.124</w:t>
            </w:r>
          </w:p>
        </w:tc>
        <w:tc>
          <w:tcPr>
            <w:tcW w:w="822" w:type="dxa"/>
            <w:shd w:val="clear" w:color="auto" w:fill="FFFFFF"/>
            <w:vAlign w:val="center"/>
          </w:tcPr>
          <w:p w14:paraId="566B43F8" w14:textId="422C1807" w:rsidR="00661DC9"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3" w:type="dxa"/>
            <w:shd w:val="clear" w:color="auto" w:fill="FFFFFF"/>
            <w:vAlign w:val="center"/>
          </w:tcPr>
          <w:p w14:paraId="6C1B663F"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722E60F7"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784ADB17"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r>
    </w:tbl>
    <w:p w14:paraId="78C8075F" w14:textId="77777777" w:rsidR="00C15345" w:rsidRPr="00CF31E0" w:rsidRDefault="00C15345" w:rsidP="00C15345">
      <w:pPr>
        <w:rPr>
          <w:rFonts w:asciiTheme="majorBidi" w:hAnsiTheme="majorBidi" w:cstheme="majorBidi"/>
          <w:b/>
          <w:bCs/>
          <w:color w:val="000000" w:themeColor="text1"/>
        </w:rPr>
      </w:pPr>
    </w:p>
    <w:p w14:paraId="2CCFB91B" w14:textId="77777777" w:rsidR="00C15345" w:rsidRPr="00CF31E0" w:rsidRDefault="00C15345" w:rsidP="00C15345">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2"/>
        <w:gridCol w:w="1443"/>
        <w:gridCol w:w="1030"/>
        <w:gridCol w:w="674"/>
      </w:tblGrid>
      <w:tr w:rsidR="00C15345" w:rsidRPr="00CF31E0" w14:paraId="57FBBB6B" w14:textId="77777777" w:rsidTr="00073750">
        <w:trPr>
          <w:cantSplit/>
        </w:trPr>
        <w:tc>
          <w:tcPr>
            <w:tcW w:w="1736" w:type="dxa"/>
            <w:tcBorders>
              <w:top w:val="single" w:sz="8" w:space="0" w:color="auto"/>
              <w:bottom w:val="single" w:sz="6" w:space="0" w:color="auto"/>
            </w:tcBorders>
            <w:shd w:val="clear" w:color="auto" w:fill="FFFFFF"/>
            <w:vAlign w:val="bottom"/>
          </w:tcPr>
          <w:p w14:paraId="37FD025F" w14:textId="77777777" w:rsidR="00C15345" w:rsidRPr="00CF31E0" w:rsidRDefault="00C15345"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 of birth</w:t>
            </w:r>
          </w:p>
        </w:tc>
        <w:tc>
          <w:tcPr>
            <w:tcW w:w="1686" w:type="dxa"/>
            <w:tcBorders>
              <w:top w:val="single" w:sz="8" w:space="0" w:color="auto"/>
              <w:bottom w:val="single" w:sz="6" w:space="0" w:color="auto"/>
            </w:tcBorders>
            <w:shd w:val="clear" w:color="auto" w:fill="FFFFFF"/>
            <w:vAlign w:val="bottom"/>
          </w:tcPr>
          <w:p w14:paraId="0050CDE2"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2" w:type="dxa"/>
            <w:tcBorders>
              <w:top w:val="single" w:sz="8" w:space="0" w:color="auto"/>
              <w:bottom w:val="single" w:sz="6" w:space="0" w:color="auto"/>
            </w:tcBorders>
            <w:shd w:val="clear" w:color="auto" w:fill="FFFFFF"/>
            <w:vAlign w:val="bottom"/>
          </w:tcPr>
          <w:p w14:paraId="36F702A3"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3" w:type="dxa"/>
            <w:tcBorders>
              <w:top w:val="single" w:sz="8" w:space="0" w:color="auto"/>
              <w:bottom w:val="single" w:sz="6" w:space="0" w:color="auto"/>
            </w:tcBorders>
            <w:shd w:val="clear" w:color="auto" w:fill="FFFFFF"/>
            <w:vAlign w:val="bottom"/>
          </w:tcPr>
          <w:p w14:paraId="3D2CEF26"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7FDF550D"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35CEC22B"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661DC9" w:rsidRPr="00CF31E0" w14:paraId="20F31DC3" w14:textId="77777777" w:rsidTr="00073750">
        <w:trPr>
          <w:cantSplit/>
        </w:trPr>
        <w:tc>
          <w:tcPr>
            <w:tcW w:w="1736" w:type="dxa"/>
            <w:tcBorders>
              <w:top w:val="single" w:sz="6" w:space="0" w:color="auto"/>
              <w:bottom w:val="nil"/>
            </w:tcBorders>
            <w:shd w:val="clear" w:color="auto" w:fill="FFFFFF"/>
          </w:tcPr>
          <w:p w14:paraId="6F51E2DE"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3379472D" w14:textId="3904767D"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4.617</w:t>
            </w:r>
          </w:p>
        </w:tc>
        <w:tc>
          <w:tcPr>
            <w:tcW w:w="822" w:type="dxa"/>
            <w:tcBorders>
              <w:top w:val="single" w:sz="6" w:space="0" w:color="auto"/>
              <w:bottom w:val="nil"/>
            </w:tcBorders>
            <w:shd w:val="clear" w:color="auto" w:fill="FFFFFF"/>
            <w:vAlign w:val="center"/>
          </w:tcPr>
          <w:p w14:paraId="4EAC4BCF" w14:textId="3BD6D7C1"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3" w:type="dxa"/>
            <w:tcBorders>
              <w:top w:val="single" w:sz="6" w:space="0" w:color="auto"/>
              <w:bottom w:val="nil"/>
            </w:tcBorders>
            <w:shd w:val="clear" w:color="auto" w:fill="FFFFFF"/>
            <w:vAlign w:val="center"/>
          </w:tcPr>
          <w:p w14:paraId="42E52276" w14:textId="2E72FD66"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4.617</w:t>
            </w:r>
          </w:p>
        </w:tc>
        <w:tc>
          <w:tcPr>
            <w:tcW w:w="1030" w:type="dxa"/>
            <w:tcBorders>
              <w:top w:val="single" w:sz="6" w:space="0" w:color="auto"/>
              <w:bottom w:val="nil"/>
            </w:tcBorders>
            <w:shd w:val="clear" w:color="auto" w:fill="FFFFFF"/>
            <w:vAlign w:val="center"/>
          </w:tcPr>
          <w:p w14:paraId="6B67CFAC" w14:textId="40FB2812"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3.564</w:t>
            </w:r>
          </w:p>
        </w:tc>
        <w:tc>
          <w:tcPr>
            <w:tcW w:w="674" w:type="dxa"/>
            <w:tcBorders>
              <w:top w:val="single" w:sz="6" w:space="0" w:color="auto"/>
              <w:bottom w:val="nil"/>
            </w:tcBorders>
            <w:shd w:val="clear" w:color="auto" w:fill="FFFFFF"/>
            <w:vAlign w:val="center"/>
          </w:tcPr>
          <w:p w14:paraId="0896EC47" w14:textId="09185558"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.069</w:t>
            </w:r>
          </w:p>
        </w:tc>
      </w:tr>
      <w:tr w:rsidR="00661DC9" w:rsidRPr="00CF31E0" w14:paraId="4CE59E4D" w14:textId="77777777" w:rsidTr="00073750">
        <w:trPr>
          <w:cantSplit/>
        </w:trPr>
        <w:tc>
          <w:tcPr>
            <w:tcW w:w="1736" w:type="dxa"/>
            <w:tcBorders>
              <w:top w:val="nil"/>
            </w:tcBorders>
            <w:shd w:val="clear" w:color="auto" w:fill="FFFFFF"/>
          </w:tcPr>
          <w:p w14:paraId="29C97DA2"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31E587BE" w14:textId="514C9880"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838.110</w:t>
            </w:r>
          </w:p>
        </w:tc>
        <w:tc>
          <w:tcPr>
            <w:tcW w:w="822" w:type="dxa"/>
            <w:tcBorders>
              <w:top w:val="nil"/>
            </w:tcBorders>
            <w:shd w:val="clear" w:color="auto" w:fill="FFFFFF"/>
            <w:vAlign w:val="center"/>
          </w:tcPr>
          <w:p w14:paraId="4D956056" w14:textId="558DAD3B" w:rsidR="00661DC9"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3" w:type="dxa"/>
            <w:tcBorders>
              <w:top w:val="nil"/>
            </w:tcBorders>
            <w:shd w:val="clear" w:color="auto" w:fill="FFFFFF"/>
            <w:vAlign w:val="center"/>
          </w:tcPr>
          <w:p w14:paraId="769D94B0" w14:textId="7A44DBAC"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1.295</w:t>
            </w:r>
          </w:p>
        </w:tc>
        <w:tc>
          <w:tcPr>
            <w:tcW w:w="1030" w:type="dxa"/>
            <w:tcBorders>
              <w:top w:val="nil"/>
            </w:tcBorders>
            <w:shd w:val="clear" w:color="auto" w:fill="FFFFFF"/>
            <w:vAlign w:val="center"/>
          </w:tcPr>
          <w:p w14:paraId="165E0ECA"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316A0F9C"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r>
      <w:tr w:rsidR="00661DC9" w:rsidRPr="00CF31E0" w14:paraId="4064B6C4" w14:textId="77777777" w:rsidTr="00073750">
        <w:trPr>
          <w:cantSplit/>
        </w:trPr>
        <w:tc>
          <w:tcPr>
            <w:tcW w:w="1736" w:type="dxa"/>
            <w:shd w:val="clear" w:color="auto" w:fill="FFFFFF"/>
          </w:tcPr>
          <w:p w14:paraId="1FF6C684"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592A87EC" w14:textId="73EFF7A6"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842.727</w:t>
            </w:r>
          </w:p>
        </w:tc>
        <w:tc>
          <w:tcPr>
            <w:tcW w:w="822" w:type="dxa"/>
            <w:shd w:val="clear" w:color="auto" w:fill="FFFFFF"/>
            <w:vAlign w:val="center"/>
          </w:tcPr>
          <w:p w14:paraId="4FAD5DFF" w14:textId="699767CA" w:rsidR="00661DC9"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3" w:type="dxa"/>
            <w:shd w:val="clear" w:color="auto" w:fill="FFFFFF"/>
            <w:vAlign w:val="center"/>
          </w:tcPr>
          <w:p w14:paraId="48FBE3BE"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025CBD47"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3AD60AAF"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r>
    </w:tbl>
    <w:p w14:paraId="72C449DA" w14:textId="77777777" w:rsidR="00C15345" w:rsidRPr="00CF31E0" w:rsidRDefault="00C15345" w:rsidP="00C15345">
      <w:pPr>
        <w:rPr>
          <w:rFonts w:asciiTheme="majorBidi" w:hAnsiTheme="majorBidi" w:cstheme="majorBidi"/>
          <w:b/>
          <w:bCs/>
          <w:color w:val="000000" w:themeColor="text1"/>
        </w:rPr>
      </w:pPr>
    </w:p>
    <w:p w14:paraId="6F52296D" w14:textId="77777777" w:rsidR="00C15345" w:rsidRPr="00CF31E0" w:rsidRDefault="00C15345" w:rsidP="00C15345">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15345" w:rsidRPr="00CF31E0" w14:paraId="655210D4" w14:textId="77777777" w:rsidTr="00661DC9">
        <w:trPr>
          <w:cantSplit/>
        </w:trPr>
        <w:tc>
          <w:tcPr>
            <w:tcW w:w="1736" w:type="dxa"/>
            <w:tcBorders>
              <w:top w:val="single" w:sz="8" w:space="0" w:color="auto"/>
              <w:bottom w:val="single" w:sz="6" w:space="0" w:color="auto"/>
            </w:tcBorders>
            <w:shd w:val="clear" w:color="auto" w:fill="FFFFFF"/>
            <w:vAlign w:val="bottom"/>
          </w:tcPr>
          <w:p w14:paraId="3E0C36C1" w14:textId="77777777" w:rsidR="00C15345" w:rsidRPr="00CF31E0" w:rsidRDefault="00C15345"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Places lived</w:t>
            </w:r>
          </w:p>
        </w:tc>
        <w:tc>
          <w:tcPr>
            <w:tcW w:w="1686" w:type="dxa"/>
            <w:tcBorders>
              <w:top w:val="single" w:sz="8" w:space="0" w:color="auto"/>
              <w:bottom w:val="single" w:sz="6" w:space="0" w:color="auto"/>
            </w:tcBorders>
            <w:shd w:val="clear" w:color="auto" w:fill="FFFFFF"/>
            <w:vAlign w:val="bottom"/>
          </w:tcPr>
          <w:p w14:paraId="759D6333"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31F39A9B"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697F088B"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4977AD56"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0F41AB37"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661DC9" w:rsidRPr="00CF31E0" w14:paraId="6B8E029E" w14:textId="77777777" w:rsidTr="00661DC9">
        <w:trPr>
          <w:cantSplit/>
        </w:trPr>
        <w:tc>
          <w:tcPr>
            <w:tcW w:w="1736" w:type="dxa"/>
            <w:tcBorders>
              <w:top w:val="single" w:sz="6" w:space="0" w:color="auto"/>
              <w:bottom w:val="nil"/>
            </w:tcBorders>
            <w:shd w:val="clear" w:color="auto" w:fill="FFFFFF"/>
          </w:tcPr>
          <w:p w14:paraId="185C8988"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3114EB31" w14:textId="5ADA5B70"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.158</w:t>
            </w:r>
          </w:p>
        </w:tc>
        <w:tc>
          <w:tcPr>
            <w:tcW w:w="820" w:type="dxa"/>
            <w:tcBorders>
              <w:top w:val="single" w:sz="6" w:space="0" w:color="auto"/>
              <w:bottom w:val="nil"/>
            </w:tcBorders>
            <w:shd w:val="clear" w:color="auto" w:fill="FFFFFF"/>
            <w:vAlign w:val="center"/>
          </w:tcPr>
          <w:p w14:paraId="0A8F86E7" w14:textId="4CD31FB8"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3F370610" w14:textId="4BCC23FE"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.158</w:t>
            </w:r>
          </w:p>
        </w:tc>
        <w:tc>
          <w:tcPr>
            <w:tcW w:w="1030" w:type="dxa"/>
            <w:tcBorders>
              <w:top w:val="single" w:sz="6" w:space="0" w:color="auto"/>
              <w:bottom w:val="nil"/>
            </w:tcBorders>
            <w:shd w:val="clear" w:color="auto" w:fill="FFFFFF"/>
            <w:vAlign w:val="center"/>
          </w:tcPr>
          <w:p w14:paraId="3CF06BDB" w14:textId="6275FB2E"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.122</w:t>
            </w:r>
          </w:p>
        </w:tc>
        <w:tc>
          <w:tcPr>
            <w:tcW w:w="674" w:type="dxa"/>
            <w:tcBorders>
              <w:top w:val="single" w:sz="6" w:space="0" w:color="auto"/>
              <w:bottom w:val="nil"/>
            </w:tcBorders>
            <w:shd w:val="clear" w:color="auto" w:fill="FFFFFF"/>
            <w:vAlign w:val="center"/>
          </w:tcPr>
          <w:p w14:paraId="6E667471" w14:textId="0D730BE6"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.727</w:t>
            </w:r>
          </w:p>
        </w:tc>
      </w:tr>
      <w:tr w:rsidR="00661DC9" w:rsidRPr="00CF31E0" w14:paraId="283528A2" w14:textId="77777777" w:rsidTr="00661DC9">
        <w:trPr>
          <w:cantSplit/>
        </w:trPr>
        <w:tc>
          <w:tcPr>
            <w:tcW w:w="1736" w:type="dxa"/>
            <w:tcBorders>
              <w:top w:val="nil"/>
            </w:tcBorders>
            <w:shd w:val="clear" w:color="auto" w:fill="FFFFFF"/>
          </w:tcPr>
          <w:p w14:paraId="42075312"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2E0AB421" w14:textId="2EF4075B"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827.366</w:t>
            </w:r>
          </w:p>
        </w:tc>
        <w:tc>
          <w:tcPr>
            <w:tcW w:w="820" w:type="dxa"/>
            <w:tcBorders>
              <w:top w:val="nil"/>
            </w:tcBorders>
            <w:shd w:val="clear" w:color="auto" w:fill="FFFFFF"/>
            <w:vAlign w:val="center"/>
          </w:tcPr>
          <w:p w14:paraId="6BAD209D" w14:textId="28C7AF39" w:rsidR="00661DC9"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6BC923F0" w14:textId="40D72CF9"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1.299</w:t>
            </w:r>
          </w:p>
        </w:tc>
        <w:tc>
          <w:tcPr>
            <w:tcW w:w="1030" w:type="dxa"/>
            <w:tcBorders>
              <w:top w:val="nil"/>
            </w:tcBorders>
            <w:shd w:val="clear" w:color="auto" w:fill="FFFFFF"/>
            <w:vAlign w:val="center"/>
          </w:tcPr>
          <w:p w14:paraId="1E74A69A"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7C281185"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r>
      <w:tr w:rsidR="00661DC9" w:rsidRPr="00CF31E0" w14:paraId="6900AFDB" w14:textId="77777777" w:rsidTr="00661DC9">
        <w:trPr>
          <w:cantSplit/>
        </w:trPr>
        <w:tc>
          <w:tcPr>
            <w:tcW w:w="1736" w:type="dxa"/>
            <w:shd w:val="clear" w:color="auto" w:fill="FFFFFF"/>
          </w:tcPr>
          <w:p w14:paraId="1A64985C"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2035BC2B" w14:textId="065A0A87"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827.524</w:t>
            </w:r>
          </w:p>
        </w:tc>
        <w:tc>
          <w:tcPr>
            <w:tcW w:w="820" w:type="dxa"/>
            <w:shd w:val="clear" w:color="auto" w:fill="FFFFFF"/>
            <w:vAlign w:val="center"/>
          </w:tcPr>
          <w:p w14:paraId="488080AF" w14:textId="00FB1F34" w:rsidR="00661DC9"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04D582DC"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0E09D7C4"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2AA72344"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r>
    </w:tbl>
    <w:p w14:paraId="5A6761B0" w14:textId="77777777" w:rsidR="00C15345" w:rsidRPr="00CF31E0" w:rsidRDefault="00C15345" w:rsidP="00C15345">
      <w:pPr>
        <w:rPr>
          <w:rFonts w:asciiTheme="majorBidi" w:hAnsiTheme="majorBidi" w:cstheme="majorBidi"/>
          <w:b/>
          <w:bCs/>
          <w:color w:val="000000" w:themeColor="text1"/>
        </w:rPr>
      </w:pPr>
    </w:p>
    <w:p w14:paraId="4B1B83D0" w14:textId="77777777" w:rsidR="00C15345" w:rsidRPr="00CF31E0" w:rsidRDefault="00C15345" w:rsidP="00C15345">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15345" w:rsidRPr="00CF31E0" w14:paraId="4AA0B4B8" w14:textId="77777777" w:rsidTr="00661DC9">
        <w:trPr>
          <w:cantSplit/>
        </w:trPr>
        <w:tc>
          <w:tcPr>
            <w:tcW w:w="1736" w:type="dxa"/>
            <w:tcBorders>
              <w:top w:val="single" w:sz="8" w:space="0" w:color="auto"/>
              <w:bottom w:val="single" w:sz="6" w:space="0" w:color="auto"/>
            </w:tcBorders>
            <w:shd w:val="clear" w:color="auto" w:fill="FFFFFF"/>
            <w:vAlign w:val="bottom"/>
          </w:tcPr>
          <w:p w14:paraId="799CAB75" w14:textId="77777777" w:rsidR="00C15345" w:rsidRPr="00CF31E0" w:rsidRDefault="00C15345"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Marital status</w:t>
            </w:r>
          </w:p>
        </w:tc>
        <w:tc>
          <w:tcPr>
            <w:tcW w:w="1686" w:type="dxa"/>
            <w:tcBorders>
              <w:top w:val="single" w:sz="8" w:space="0" w:color="auto"/>
              <w:bottom w:val="single" w:sz="6" w:space="0" w:color="auto"/>
            </w:tcBorders>
            <w:shd w:val="clear" w:color="auto" w:fill="FFFFFF"/>
            <w:vAlign w:val="bottom"/>
          </w:tcPr>
          <w:p w14:paraId="0A6AB319"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3A6588D8"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643F9A3D"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770CF2D8"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46CD3CC2"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661DC9" w:rsidRPr="00CF31E0" w14:paraId="5F00DB2C" w14:textId="77777777" w:rsidTr="00661DC9">
        <w:trPr>
          <w:cantSplit/>
        </w:trPr>
        <w:tc>
          <w:tcPr>
            <w:tcW w:w="1736" w:type="dxa"/>
            <w:tcBorders>
              <w:top w:val="single" w:sz="6" w:space="0" w:color="auto"/>
              <w:bottom w:val="nil"/>
            </w:tcBorders>
            <w:shd w:val="clear" w:color="auto" w:fill="FFFFFF"/>
          </w:tcPr>
          <w:p w14:paraId="1241D34F"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025436B9" w14:textId="635A9C99"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26.107</w:t>
            </w:r>
          </w:p>
        </w:tc>
        <w:tc>
          <w:tcPr>
            <w:tcW w:w="820" w:type="dxa"/>
            <w:tcBorders>
              <w:top w:val="single" w:sz="6" w:space="0" w:color="auto"/>
              <w:bottom w:val="nil"/>
            </w:tcBorders>
            <w:shd w:val="clear" w:color="auto" w:fill="FFFFFF"/>
            <w:vAlign w:val="center"/>
          </w:tcPr>
          <w:p w14:paraId="73C41372" w14:textId="16355706"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w:t>
            </w:r>
          </w:p>
        </w:tc>
        <w:tc>
          <w:tcPr>
            <w:tcW w:w="1445" w:type="dxa"/>
            <w:tcBorders>
              <w:top w:val="single" w:sz="6" w:space="0" w:color="auto"/>
              <w:bottom w:val="nil"/>
            </w:tcBorders>
            <w:shd w:val="clear" w:color="auto" w:fill="FFFFFF"/>
            <w:vAlign w:val="center"/>
          </w:tcPr>
          <w:p w14:paraId="442AFE1E" w14:textId="301C495B"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8.702</w:t>
            </w:r>
          </w:p>
        </w:tc>
        <w:tc>
          <w:tcPr>
            <w:tcW w:w="1030" w:type="dxa"/>
            <w:tcBorders>
              <w:top w:val="single" w:sz="6" w:space="0" w:color="auto"/>
              <w:bottom w:val="nil"/>
            </w:tcBorders>
            <w:shd w:val="clear" w:color="auto" w:fill="FFFFFF"/>
            <w:vAlign w:val="center"/>
          </w:tcPr>
          <w:p w14:paraId="40639F7D" w14:textId="00EEEAA1"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6.873</w:t>
            </w:r>
          </w:p>
        </w:tc>
        <w:tc>
          <w:tcPr>
            <w:tcW w:w="674" w:type="dxa"/>
            <w:tcBorders>
              <w:top w:val="single" w:sz="6" w:space="0" w:color="auto"/>
              <w:bottom w:val="nil"/>
            </w:tcBorders>
            <w:shd w:val="clear" w:color="auto" w:fill="FFFFFF"/>
            <w:vAlign w:val="center"/>
          </w:tcPr>
          <w:p w14:paraId="48EA490A" w14:textId="212B4E34"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.839</w:t>
            </w:r>
          </w:p>
        </w:tc>
      </w:tr>
      <w:tr w:rsidR="00661DC9" w:rsidRPr="00CF31E0" w14:paraId="20780BCB" w14:textId="77777777" w:rsidTr="00661DC9">
        <w:trPr>
          <w:cantSplit/>
        </w:trPr>
        <w:tc>
          <w:tcPr>
            <w:tcW w:w="1736" w:type="dxa"/>
            <w:tcBorders>
              <w:top w:val="nil"/>
            </w:tcBorders>
            <w:shd w:val="clear" w:color="auto" w:fill="FFFFFF"/>
          </w:tcPr>
          <w:p w14:paraId="3EE51F52"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76EF5BAF" w14:textId="32248854"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816.621</w:t>
            </w:r>
          </w:p>
        </w:tc>
        <w:tc>
          <w:tcPr>
            <w:tcW w:w="820" w:type="dxa"/>
            <w:tcBorders>
              <w:top w:val="nil"/>
            </w:tcBorders>
            <w:shd w:val="clear" w:color="auto" w:fill="FFFFFF"/>
            <w:vAlign w:val="center"/>
          </w:tcPr>
          <w:p w14:paraId="579D530A" w14:textId="0A10A9F2" w:rsidR="00661DC9"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646</w:t>
            </w:r>
          </w:p>
        </w:tc>
        <w:tc>
          <w:tcPr>
            <w:tcW w:w="1445" w:type="dxa"/>
            <w:tcBorders>
              <w:top w:val="nil"/>
            </w:tcBorders>
            <w:shd w:val="clear" w:color="auto" w:fill="FFFFFF"/>
            <w:vAlign w:val="center"/>
          </w:tcPr>
          <w:p w14:paraId="49879A3F" w14:textId="5369A680"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1.266</w:t>
            </w:r>
          </w:p>
        </w:tc>
        <w:tc>
          <w:tcPr>
            <w:tcW w:w="1030" w:type="dxa"/>
            <w:tcBorders>
              <w:top w:val="nil"/>
            </w:tcBorders>
            <w:shd w:val="clear" w:color="auto" w:fill="FFFFFF"/>
            <w:vAlign w:val="center"/>
          </w:tcPr>
          <w:p w14:paraId="72354723"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00F70B45"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r>
      <w:tr w:rsidR="00661DC9" w:rsidRPr="00CF31E0" w14:paraId="4FB2A853" w14:textId="77777777" w:rsidTr="00661DC9">
        <w:trPr>
          <w:cantSplit/>
        </w:trPr>
        <w:tc>
          <w:tcPr>
            <w:tcW w:w="1736" w:type="dxa"/>
            <w:shd w:val="clear" w:color="auto" w:fill="FFFFFF"/>
          </w:tcPr>
          <w:p w14:paraId="3869274A"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35151E3C" w14:textId="1153B7EA"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842.727</w:t>
            </w:r>
          </w:p>
        </w:tc>
        <w:tc>
          <w:tcPr>
            <w:tcW w:w="820" w:type="dxa"/>
            <w:shd w:val="clear" w:color="auto" w:fill="FFFFFF"/>
            <w:vAlign w:val="center"/>
          </w:tcPr>
          <w:p w14:paraId="0635A596" w14:textId="0A696583" w:rsidR="00661DC9"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531E3166"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485A01F4"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4009B6B2"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r>
    </w:tbl>
    <w:p w14:paraId="13F053F1" w14:textId="77777777" w:rsidR="00C15345" w:rsidRPr="00CF31E0" w:rsidRDefault="00C15345" w:rsidP="00C15345">
      <w:pPr>
        <w:rPr>
          <w:rFonts w:asciiTheme="majorBidi" w:hAnsiTheme="majorBidi" w:cstheme="majorBidi"/>
          <w:b/>
          <w:bCs/>
          <w:color w:val="000000" w:themeColor="text1"/>
        </w:rPr>
      </w:pPr>
    </w:p>
    <w:p w14:paraId="05D10B96" w14:textId="77777777" w:rsidR="00C15345" w:rsidRPr="00CF31E0" w:rsidRDefault="00C15345" w:rsidP="00C15345">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15345" w:rsidRPr="00CF31E0" w14:paraId="7A19FBE8" w14:textId="77777777" w:rsidTr="00661DC9">
        <w:trPr>
          <w:cantSplit/>
        </w:trPr>
        <w:tc>
          <w:tcPr>
            <w:tcW w:w="1736" w:type="dxa"/>
            <w:tcBorders>
              <w:top w:val="single" w:sz="8" w:space="0" w:color="auto"/>
              <w:bottom w:val="single" w:sz="6" w:space="0" w:color="auto"/>
            </w:tcBorders>
            <w:shd w:val="clear" w:color="auto" w:fill="FFFFFF"/>
            <w:vAlign w:val="bottom"/>
          </w:tcPr>
          <w:p w14:paraId="3FB63476" w14:textId="77777777" w:rsidR="00C15345" w:rsidRPr="00CF31E0" w:rsidRDefault="00C15345"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Education</w:t>
            </w:r>
          </w:p>
        </w:tc>
        <w:tc>
          <w:tcPr>
            <w:tcW w:w="1686" w:type="dxa"/>
            <w:tcBorders>
              <w:top w:val="single" w:sz="8" w:space="0" w:color="auto"/>
              <w:bottom w:val="single" w:sz="6" w:space="0" w:color="auto"/>
            </w:tcBorders>
            <w:shd w:val="clear" w:color="auto" w:fill="FFFFFF"/>
            <w:vAlign w:val="bottom"/>
          </w:tcPr>
          <w:p w14:paraId="4C076AD5"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539A50A8"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621530B8"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61FAEE10"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728BD93D"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661DC9" w:rsidRPr="00CF31E0" w14:paraId="31154F7B" w14:textId="77777777" w:rsidTr="00661DC9">
        <w:trPr>
          <w:cantSplit/>
        </w:trPr>
        <w:tc>
          <w:tcPr>
            <w:tcW w:w="1736" w:type="dxa"/>
            <w:tcBorders>
              <w:top w:val="single" w:sz="6" w:space="0" w:color="auto"/>
              <w:bottom w:val="nil"/>
            </w:tcBorders>
            <w:shd w:val="clear" w:color="auto" w:fill="FFFFFF"/>
          </w:tcPr>
          <w:p w14:paraId="51E1F222"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6412F01F" w14:textId="62E20BEF"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17.590</w:t>
            </w:r>
          </w:p>
        </w:tc>
        <w:tc>
          <w:tcPr>
            <w:tcW w:w="820" w:type="dxa"/>
            <w:tcBorders>
              <w:top w:val="single" w:sz="6" w:space="0" w:color="auto"/>
              <w:bottom w:val="nil"/>
            </w:tcBorders>
            <w:shd w:val="clear" w:color="auto" w:fill="FFFFFF"/>
            <w:vAlign w:val="center"/>
          </w:tcPr>
          <w:p w14:paraId="4592B312" w14:textId="7155FD28"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w:t>
            </w:r>
          </w:p>
        </w:tc>
        <w:tc>
          <w:tcPr>
            <w:tcW w:w="1445" w:type="dxa"/>
            <w:tcBorders>
              <w:top w:val="single" w:sz="6" w:space="0" w:color="auto"/>
              <w:bottom w:val="nil"/>
            </w:tcBorders>
            <w:shd w:val="clear" w:color="auto" w:fill="FFFFFF"/>
            <w:vAlign w:val="center"/>
          </w:tcPr>
          <w:p w14:paraId="27ECA344" w14:textId="7DF60A21"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3.518</w:t>
            </w:r>
          </w:p>
        </w:tc>
        <w:tc>
          <w:tcPr>
            <w:tcW w:w="1030" w:type="dxa"/>
            <w:tcBorders>
              <w:top w:val="single" w:sz="6" w:space="0" w:color="auto"/>
              <w:bottom w:val="nil"/>
            </w:tcBorders>
            <w:shd w:val="clear" w:color="auto" w:fill="FFFFFF"/>
            <w:vAlign w:val="center"/>
          </w:tcPr>
          <w:p w14:paraId="3C40267E" w14:textId="1BD2D073"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2.741</w:t>
            </w:r>
          </w:p>
        </w:tc>
        <w:tc>
          <w:tcPr>
            <w:tcW w:w="674" w:type="dxa"/>
            <w:tcBorders>
              <w:top w:val="single" w:sz="6" w:space="0" w:color="auto"/>
              <w:bottom w:val="nil"/>
            </w:tcBorders>
            <w:shd w:val="clear" w:color="auto" w:fill="FFFFFF"/>
            <w:vAlign w:val="center"/>
          </w:tcPr>
          <w:p w14:paraId="041191DC" w14:textId="152933E5"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.118</w:t>
            </w:r>
          </w:p>
        </w:tc>
      </w:tr>
      <w:tr w:rsidR="00661DC9" w:rsidRPr="00CF31E0" w14:paraId="1BAE85ED" w14:textId="77777777" w:rsidTr="00661DC9">
        <w:trPr>
          <w:cantSplit/>
        </w:trPr>
        <w:tc>
          <w:tcPr>
            <w:tcW w:w="1736" w:type="dxa"/>
            <w:tcBorders>
              <w:top w:val="nil"/>
            </w:tcBorders>
            <w:shd w:val="clear" w:color="auto" w:fill="FFFFFF"/>
          </w:tcPr>
          <w:p w14:paraId="1997021E"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513909F8" w14:textId="0F1A2B06"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825.137</w:t>
            </w:r>
          </w:p>
        </w:tc>
        <w:tc>
          <w:tcPr>
            <w:tcW w:w="820" w:type="dxa"/>
            <w:tcBorders>
              <w:top w:val="nil"/>
            </w:tcBorders>
            <w:shd w:val="clear" w:color="auto" w:fill="FFFFFF"/>
            <w:vAlign w:val="center"/>
          </w:tcPr>
          <w:p w14:paraId="14405D77" w14:textId="22F51880" w:rsidR="00661DC9"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644</w:t>
            </w:r>
          </w:p>
        </w:tc>
        <w:tc>
          <w:tcPr>
            <w:tcW w:w="1445" w:type="dxa"/>
            <w:tcBorders>
              <w:top w:val="nil"/>
            </w:tcBorders>
            <w:shd w:val="clear" w:color="auto" w:fill="FFFFFF"/>
            <w:vAlign w:val="center"/>
          </w:tcPr>
          <w:p w14:paraId="044E6711" w14:textId="2B4C94C8"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1.283</w:t>
            </w:r>
          </w:p>
        </w:tc>
        <w:tc>
          <w:tcPr>
            <w:tcW w:w="1030" w:type="dxa"/>
            <w:tcBorders>
              <w:top w:val="nil"/>
            </w:tcBorders>
            <w:shd w:val="clear" w:color="auto" w:fill="FFFFFF"/>
            <w:vAlign w:val="center"/>
          </w:tcPr>
          <w:p w14:paraId="4ED49991"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4D1437D3"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r>
      <w:tr w:rsidR="00661DC9" w:rsidRPr="00CF31E0" w14:paraId="713A1DB7" w14:textId="77777777" w:rsidTr="00661DC9">
        <w:trPr>
          <w:cantSplit/>
        </w:trPr>
        <w:tc>
          <w:tcPr>
            <w:tcW w:w="1736" w:type="dxa"/>
            <w:shd w:val="clear" w:color="auto" w:fill="FFFFFF"/>
          </w:tcPr>
          <w:p w14:paraId="11549AA2"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5BD01E7" w14:textId="47727801"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842.727</w:t>
            </w:r>
          </w:p>
        </w:tc>
        <w:tc>
          <w:tcPr>
            <w:tcW w:w="820" w:type="dxa"/>
            <w:shd w:val="clear" w:color="auto" w:fill="FFFFFF"/>
            <w:vAlign w:val="center"/>
          </w:tcPr>
          <w:p w14:paraId="6EFEFEF0" w14:textId="00DE8045" w:rsidR="00661DC9"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47873F56"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2A95B3B7"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4C1C356B"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r>
    </w:tbl>
    <w:p w14:paraId="5D92D922" w14:textId="77777777" w:rsidR="00C15345" w:rsidRPr="00CF31E0" w:rsidRDefault="00C15345" w:rsidP="00C15345">
      <w:pPr>
        <w:rPr>
          <w:rFonts w:asciiTheme="majorBidi" w:hAnsiTheme="majorBidi" w:cstheme="majorBidi"/>
          <w:b/>
          <w:bCs/>
          <w:color w:val="000000" w:themeColor="text1"/>
        </w:rPr>
      </w:pPr>
    </w:p>
    <w:p w14:paraId="65A0DD84" w14:textId="77777777" w:rsidR="00C15345" w:rsidRPr="00CF31E0" w:rsidRDefault="00C15345" w:rsidP="00C15345">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15345" w:rsidRPr="00CF31E0" w14:paraId="1F57EE83" w14:textId="77777777" w:rsidTr="00661DC9">
        <w:trPr>
          <w:cantSplit/>
        </w:trPr>
        <w:tc>
          <w:tcPr>
            <w:tcW w:w="1736" w:type="dxa"/>
            <w:tcBorders>
              <w:top w:val="single" w:sz="8" w:space="0" w:color="auto"/>
              <w:bottom w:val="single" w:sz="6" w:space="0" w:color="auto"/>
            </w:tcBorders>
            <w:shd w:val="clear" w:color="auto" w:fill="FFFFFF"/>
            <w:vAlign w:val="bottom"/>
          </w:tcPr>
          <w:p w14:paraId="675F0DEE" w14:textId="77777777" w:rsidR="00C15345" w:rsidRPr="00CF31E0" w:rsidRDefault="00C15345"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Social group</w:t>
            </w:r>
          </w:p>
        </w:tc>
        <w:tc>
          <w:tcPr>
            <w:tcW w:w="1686" w:type="dxa"/>
            <w:tcBorders>
              <w:top w:val="single" w:sz="8" w:space="0" w:color="auto"/>
              <w:bottom w:val="single" w:sz="6" w:space="0" w:color="auto"/>
            </w:tcBorders>
            <w:shd w:val="clear" w:color="auto" w:fill="FFFFFF"/>
            <w:vAlign w:val="bottom"/>
          </w:tcPr>
          <w:p w14:paraId="44A662C4"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3E27C3FB"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69658AA"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20D43B7D"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08FAFA10"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661DC9" w:rsidRPr="00CF31E0" w14:paraId="28645C2C" w14:textId="77777777" w:rsidTr="00661DC9">
        <w:trPr>
          <w:cantSplit/>
        </w:trPr>
        <w:tc>
          <w:tcPr>
            <w:tcW w:w="1736" w:type="dxa"/>
            <w:tcBorders>
              <w:top w:val="single" w:sz="6" w:space="0" w:color="auto"/>
              <w:bottom w:val="nil"/>
            </w:tcBorders>
            <w:shd w:val="clear" w:color="auto" w:fill="FFFFFF"/>
          </w:tcPr>
          <w:p w14:paraId="0B65E1FF"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5E9BB546" w14:textId="3A8DE7C5"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2.141</w:t>
            </w:r>
          </w:p>
        </w:tc>
        <w:tc>
          <w:tcPr>
            <w:tcW w:w="820" w:type="dxa"/>
            <w:tcBorders>
              <w:top w:val="single" w:sz="6" w:space="0" w:color="auto"/>
              <w:bottom w:val="nil"/>
            </w:tcBorders>
            <w:shd w:val="clear" w:color="auto" w:fill="FFFFFF"/>
            <w:vAlign w:val="center"/>
          </w:tcPr>
          <w:p w14:paraId="16861CC4" w14:textId="594B4C8E"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320A58FB" w14:textId="71E56AC3"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2.141</w:t>
            </w:r>
          </w:p>
        </w:tc>
        <w:tc>
          <w:tcPr>
            <w:tcW w:w="1030" w:type="dxa"/>
            <w:tcBorders>
              <w:top w:val="single" w:sz="6" w:space="0" w:color="auto"/>
              <w:bottom w:val="nil"/>
            </w:tcBorders>
            <w:shd w:val="clear" w:color="auto" w:fill="FFFFFF"/>
            <w:vAlign w:val="center"/>
          </w:tcPr>
          <w:p w14:paraId="52045D7D" w14:textId="1F4BF19C"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1.648</w:t>
            </w:r>
          </w:p>
        </w:tc>
        <w:tc>
          <w:tcPr>
            <w:tcW w:w="674" w:type="dxa"/>
            <w:tcBorders>
              <w:top w:val="single" w:sz="6" w:space="0" w:color="auto"/>
              <w:bottom w:val="nil"/>
            </w:tcBorders>
            <w:shd w:val="clear" w:color="auto" w:fill="FFFFFF"/>
            <w:vAlign w:val="center"/>
          </w:tcPr>
          <w:p w14:paraId="0C83691E" w14:textId="45CF93AC"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.200</w:t>
            </w:r>
          </w:p>
        </w:tc>
      </w:tr>
      <w:tr w:rsidR="00661DC9" w:rsidRPr="00CF31E0" w14:paraId="750D335B" w14:textId="77777777" w:rsidTr="00661DC9">
        <w:trPr>
          <w:cantSplit/>
        </w:trPr>
        <w:tc>
          <w:tcPr>
            <w:tcW w:w="1736" w:type="dxa"/>
            <w:tcBorders>
              <w:top w:val="nil"/>
            </w:tcBorders>
            <w:shd w:val="clear" w:color="auto" w:fill="FFFFFF"/>
          </w:tcPr>
          <w:p w14:paraId="2D30C745"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43598040" w14:textId="726B156A"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840.587</w:t>
            </w:r>
          </w:p>
        </w:tc>
        <w:tc>
          <w:tcPr>
            <w:tcW w:w="820" w:type="dxa"/>
            <w:tcBorders>
              <w:top w:val="nil"/>
            </w:tcBorders>
            <w:shd w:val="clear" w:color="auto" w:fill="FFFFFF"/>
            <w:vAlign w:val="center"/>
          </w:tcPr>
          <w:p w14:paraId="5B99FD73" w14:textId="4A0CC6BB" w:rsidR="00661DC9"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3D9D1BB0" w14:textId="7147FEE8"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1.299</w:t>
            </w:r>
          </w:p>
        </w:tc>
        <w:tc>
          <w:tcPr>
            <w:tcW w:w="1030" w:type="dxa"/>
            <w:tcBorders>
              <w:top w:val="nil"/>
            </w:tcBorders>
            <w:shd w:val="clear" w:color="auto" w:fill="FFFFFF"/>
            <w:vAlign w:val="center"/>
          </w:tcPr>
          <w:p w14:paraId="4F3C12E4"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4EAD9A81"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r>
      <w:tr w:rsidR="00661DC9" w:rsidRPr="00CF31E0" w14:paraId="680746D2" w14:textId="77777777" w:rsidTr="00661DC9">
        <w:trPr>
          <w:cantSplit/>
        </w:trPr>
        <w:tc>
          <w:tcPr>
            <w:tcW w:w="1736" w:type="dxa"/>
            <w:shd w:val="clear" w:color="auto" w:fill="FFFFFF"/>
          </w:tcPr>
          <w:p w14:paraId="16782ADD"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1B111D0E" w14:textId="2CC0873E"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842.727</w:t>
            </w:r>
          </w:p>
        </w:tc>
        <w:tc>
          <w:tcPr>
            <w:tcW w:w="820" w:type="dxa"/>
            <w:shd w:val="clear" w:color="auto" w:fill="FFFFFF"/>
            <w:vAlign w:val="center"/>
          </w:tcPr>
          <w:p w14:paraId="7A946179" w14:textId="516CDCC3" w:rsidR="00661DC9"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296C526C"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3BA2CFA1"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70041785"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r>
    </w:tbl>
    <w:p w14:paraId="7A34C9B7" w14:textId="77777777" w:rsidR="00C15345" w:rsidRPr="00CF31E0" w:rsidRDefault="00C15345" w:rsidP="00C15345">
      <w:pPr>
        <w:rPr>
          <w:rFonts w:asciiTheme="majorBidi" w:hAnsiTheme="majorBidi" w:cstheme="majorBidi"/>
          <w:b/>
          <w:bCs/>
          <w:color w:val="000000" w:themeColor="text1"/>
        </w:rPr>
      </w:pPr>
    </w:p>
    <w:p w14:paraId="562B731B" w14:textId="77777777" w:rsidR="00C15345" w:rsidRPr="00CF31E0" w:rsidRDefault="00C15345" w:rsidP="00C15345">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15345" w:rsidRPr="00CF31E0" w14:paraId="478BA781" w14:textId="77777777" w:rsidTr="00661DC9">
        <w:trPr>
          <w:cantSplit/>
        </w:trPr>
        <w:tc>
          <w:tcPr>
            <w:tcW w:w="1736" w:type="dxa"/>
            <w:tcBorders>
              <w:top w:val="single" w:sz="8" w:space="0" w:color="auto"/>
              <w:bottom w:val="single" w:sz="6" w:space="0" w:color="auto"/>
            </w:tcBorders>
            <w:shd w:val="clear" w:color="auto" w:fill="FFFFFF"/>
            <w:vAlign w:val="bottom"/>
          </w:tcPr>
          <w:p w14:paraId="5BEBB5CA" w14:textId="77777777" w:rsidR="00C15345" w:rsidRPr="00CF31E0" w:rsidRDefault="00C15345"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Mother’s social group</w:t>
            </w:r>
          </w:p>
        </w:tc>
        <w:tc>
          <w:tcPr>
            <w:tcW w:w="1686" w:type="dxa"/>
            <w:tcBorders>
              <w:top w:val="single" w:sz="8" w:space="0" w:color="auto"/>
              <w:bottom w:val="single" w:sz="6" w:space="0" w:color="auto"/>
            </w:tcBorders>
            <w:shd w:val="clear" w:color="auto" w:fill="FFFFFF"/>
            <w:vAlign w:val="bottom"/>
          </w:tcPr>
          <w:p w14:paraId="7CA9DE32"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1BBE1FE0"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67D983A7"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1E9C8F1D"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772AFF28"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661DC9" w:rsidRPr="00CF31E0" w14:paraId="5D0758C7" w14:textId="77777777" w:rsidTr="00661DC9">
        <w:trPr>
          <w:cantSplit/>
        </w:trPr>
        <w:tc>
          <w:tcPr>
            <w:tcW w:w="1736" w:type="dxa"/>
            <w:tcBorders>
              <w:top w:val="single" w:sz="6" w:space="0" w:color="auto"/>
              <w:bottom w:val="nil"/>
            </w:tcBorders>
            <w:shd w:val="clear" w:color="auto" w:fill="FFFFFF"/>
          </w:tcPr>
          <w:p w14:paraId="53A5D102"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1B502F11" w14:textId="1FDCC542"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3.472</w:t>
            </w:r>
          </w:p>
        </w:tc>
        <w:tc>
          <w:tcPr>
            <w:tcW w:w="820" w:type="dxa"/>
            <w:tcBorders>
              <w:top w:val="single" w:sz="6" w:space="0" w:color="auto"/>
              <w:bottom w:val="nil"/>
            </w:tcBorders>
            <w:shd w:val="clear" w:color="auto" w:fill="FFFFFF"/>
            <w:vAlign w:val="center"/>
          </w:tcPr>
          <w:p w14:paraId="6E2A63E2" w14:textId="49A45A64"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w:t>
            </w:r>
          </w:p>
        </w:tc>
        <w:tc>
          <w:tcPr>
            <w:tcW w:w="1445" w:type="dxa"/>
            <w:tcBorders>
              <w:top w:val="single" w:sz="6" w:space="0" w:color="auto"/>
              <w:bottom w:val="nil"/>
            </w:tcBorders>
            <w:shd w:val="clear" w:color="auto" w:fill="FFFFFF"/>
            <w:vAlign w:val="center"/>
          </w:tcPr>
          <w:p w14:paraId="6B46C498" w14:textId="6356F7F7"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1.736</w:t>
            </w:r>
          </w:p>
        </w:tc>
        <w:tc>
          <w:tcPr>
            <w:tcW w:w="1030" w:type="dxa"/>
            <w:tcBorders>
              <w:top w:val="single" w:sz="6" w:space="0" w:color="auto"/>
              <w:bottom w:val="nil"/>
            </w:tcBorders>
            <w:shd w:val="clear" w:color="auto" w:fill="FFFFFF"/>
            <w:vAlign w:val="center"/>
          </w:tcPr>
          <w:p w14:paraId="14F0DFDA" w14:textId="62A7C891"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1.335</w:t>
            </w:r>
          </w:p>
        </w:tc>
        <w:tc>
          <w:tcPr>
            <w:tcW w:w="674" w:type="dxa"/>
            <w:tcBorders>
              <w:top w:val="single" w:sz="6" w:space="0" w:color="auto"/>
              <w:bottom w:val="nil"/>
            </w:tcBorders>
            <w:shd w:val="clear" w:color="auto" w:fill="FFFFFF"/>
            <w:vAlign w:val="center"/>
          </w:tcPr>
          <w:p w14:paraId="77C85F92" w14:textId="28A9FBFC"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.264</w:t>
            </w:r>
          </w:p>
        </w:tc>
      </w:tr>
      <w:tr w:rsidR="00661DC9" w:rsidRPr="00CF31E0" w14:paraId="65AEE959" w14:textId="77777777" w:rsidTr="00661DC9">
        <w:trPr>
          <w:cantSplit/>
        </w:trPr>
        <w:tc>
          <w:tcPr>
            <w:tcW w:w="1736" w:type="dxa"/>
            <w:tcBorders>
              <w:top w:val="nil"/>
            </w:tcBorders>
            <w:shd w:val="clear" w:color="auto" w:fill="FFFFFF"/>
          </w:tcPr>
          <w:p w14:paraId="7DE5A3FB"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6DD0BE48" w14:textId="2D1C6B78"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838.725</w:t>
            </w:r>
          </w:p>
        </w:tc>
        <w:tc>
          <w:tcPr>
            <w:tcW w:w="820" w:type="dxa"/>
            <w:tcBorders>
              <w:top w:val="nil"/>
            </w:tcBorders>
            <w:shd w:val="clear" w:color="auto" w:fill="FFFFFF"/>
            <w:vAlign w:val="center"/>
          </w:tcPr>
          <w:p w14:paraId="7C20B1C9" w14:textId="27F7B6C8" w:rsidR="00661DC9"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647</w:t>
            </w:r>
          </w:p>
        </w:tc>
        <w:tc>
          <w:tcPr>
            <w:tcW w:w="1445" w:type="dxa"/>
            <w:tcBorders>
              <w:top w:val="nil"/>
            </w:tcBorders>
            <w:shd w:val="clear" w:color="auto" w:fill="FFFFFF"/>
            <w:vAlign w:val="center"/>
          </w:tcPr>
          <w:p w14:paraId="0D515FF0" w14:textId="33976179"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1.300</w:t>
            </w:r>
          </w:p>
        </w:tc>
        <w:tc>
          <w:tcPr>
            <w:tcW w:w="1030" w:type="dxa"/>
            <w:tcBorders>
              <w:top w:val="nil"/>
            </w:tcBorders>
            <w:shd w:val="clear" w:color="auto" w:fill="FFFFFF"/>
            <w:vAlign w:val="center"/>
          </w:tcPr>
          <w:p w14:paraId="05DA2DAB"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1E16A46F"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r>
      <w:tr w:rsidR="00661DC9" w:rsidRPr="00CF31E0" w14:paraId="1915BEF0" w14:textId="77777777" w:rsidTr="00661DC9">
        <w:trPr>
          <w:cantSplit/>
        </w:trPr>
        <w:tc>
          <w:tcPr>
            <w:tcW w:w="1736" w:type="dxa"/>
            <w:shd w:val="clear" w:color="auto" w:fill="FFFFFF"/>
          </w:tcPr>
          <w:p w14:paraId="023AEFED"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2A12FC7D" w14:textId="32FB7236"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842.198</w:t>
            </w:r>
          </w:p>
        </w:tc>
        <w:tc>
          <w:tcPr>
            <w:tcW w:w="820" w:type="dxa"/>
            <w:shd w:val="clear" w:color="auto" w:fill="FFFFFF"/>
            <w:vAlign w:val="center"/>
          </w:tcPr>
          <w:p w14:paraId="356D1364" w14:textId="60F85258" w:rsidR="00661DC9"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348DB4DA"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3B5FDAA6"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6753E8C5"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r>
    </w:tbl>
    <w:p w14:paraId="724AA9D8" w14:textId="77777777" w:rsidR="00C15345" w:rsidRPr="00CF31E0" w:rsidRDefault="00C15345" w:rsidP="00C15345">
      <w:pPr>
        <w:rPr>
          <w:rFonts w:asciiTheme="majorBidi" w:hAnsiTheme="majorBidi" w:cstheme="majorBidi"/>
          <w:b/>
          <w:bCs/>
          <w:color w:val="000000" w:themeColor="text1"/>
        </w:rPr>
      </w:pPr>
    </w:p>
    <w:p w14:paraId="3562A733" w14:textId="77777777" w:rsidR="00C15345" w:rsidRPr="00CF31E0" w:rsidRDefault="00C15345" w:rsidP="00C15345">
      <w:pPr>
        <w:rPr>
          <w:rFonts w:asciiTheme="majorBidi" w:hAnsiTheme="majorBidi" w:cstheme="majorBidi"/>
          <w:b/>
          <w:bCs/>
          <w:color w:val="000000" w:themeColor="text1"/>
        </w:rPr>
      </w:pPr>
    </w:p>
    <w:p w14:paraId="24B52061" w14:textId="77777777" w:rsidR="00C15345" w:rsidRPr="00CF31E0" w:rsidRDefault="00C15345" w:rsidP="00C15345">
      <w:pPr>
        <w:rPr>
          <w:rFonts w:asciiTheme="majorBidi" w:hAnsiTheme="majorBidi" w:cstheme="majorBidi"/>
          <w:b/>
          <w:bCs/>
          <w:color w:val="000000" w:themeColor="text1"/>
        </w:rPr>
      </w:pPr>
    </w:p>
    <w:p w14:paraId="53A7DC57" w14:textId="77777777" w:rsidR="00C15345" w:rsidRPr="00CF31E0" w:rsidRDefault="00C15345" w:rsidP="00C15345">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15345" w:rsidRPr="00CF31E0" w14:paraId="370640AC" w14:textId="77777777" w:rsidTr="00661DC9">
        <w:trPr>
          <w:cantSplit/>
        </w:trPr>
        <w:tc>
          <w:tcPr>
            <w:tcW w:w="1736" w:type="dxa"/>
            <w:tcBorders>
              <w:top w:val="single" w:sz="8" w:space="0" w:color="auto"/>
              <w:bottom w:val="single" w:sz="6" w:space="0" w:color="auto"/>
            </w:tcBorders>
            <w:shd w:val="clear" w:color="auto" w:fill="FFFFFF"/>
            <w:vAlign w:val="bottom"/>
          </w:tcPr>
          <w:p w14:paraId="69BCCACC" w14:textId="77777777" w:rsidR="00C15345" w:rsidRPr="00CF31E0" w:rsidRDefault="00C15345"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Spouse’s social group</w:t>
            </w:r>
          </w:p>
        </w:tc>
        <w:tc>
          <w:tcPr>
            <w:tcW w:w="1686" w:type="dxa"/>
            <w:tcBorders>
              <w:top w:val="single" w:sz="8" w:space="0" w:color="auto"/>
              <w:bottom w:val="single" w:sz="6" w:space="0" w:color="auto"/>
            </w:tcBorders>
            <w:shd w:val="clear" w:color="auto" w:fill="FFFFFF"/>
            <w:vAlign w:val="bottom"/>
          </w:tcPr>
          <w:p w14:paraId="0ABCE21C"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0B3AF22A"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6F68EC41"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273C5FE4"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5237856B"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661DC9" w:rsidRPr="00CF31E0" w14:paraId="01FF7109" w14:textId="77777777" w:rsidTr="00661DC9">
        <w:trPr>
          <w:cantSplit/>
        </w:trPr>
        <w:tc>
          <w:tcPr>
            <w:tcW w:w="1736" w:type="dxa"/>
            <w:tcBorders>
              <w:top w:val="single" w:sz="6" w:space="0" w:color="auto"/>
              <w:bottom w:val="nil"/>
            </w:tcBorders>
            <w:shd w:val="clear" w:color="auto" w:fill="FFFFFF"/>
          </w:tcPr>
          <w:p w14:paraId="05EBE86B"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464013DB" w14:textId="5BE10BA2"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8.296</w:t>
            </w:r>
          </w:p>
        </w:tc>
        <w:tc>
          <w:tcPr>
            <w:tcW w:w="820" w:type="dxa"/>
            <w:tcBorders>
              <w:top w:val="single" w:sz="6" w:space="0" w:color="auto"/>
              <w:bottom w:val="nil"/>
            </w:tcBorders>
            <w:shd w:val="clear" w:color="auto" w:fill="FFFFFF"/>
            <w:vAlign w:val="center"/>
          </w:tcPr>
          <w:p w14:paraId="2346A13C" w14:textId="7ABE3DBE"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w:t>
            </w:r>
          </w:p>
        </w:tc>
        <w:tc>
          <w:tcPr>
            <w:tcW w:w="1445" w:type="dxa"/>
            <w:tcBorders>
              <w:top w:val="single" w:sz="6" w:space="0" w:color="auto"/>
              <w:bottom w:val="nil"/>
            </w:tcBorders>
            <w:shd w:val="clear" w:color="auto" w:fill="FFFFFF"/>
            <w:vAlign w:val="center"/>
          </w:tcPr>
          <w:p w14:paraId="67A44B1E" w14:textId="74D9EFF4"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2.074</w:t>
            </w:r>
          </w:p>
        </w:tc>
        <w:tc>
          <w:tcPr>
            <w:tcW w:w="1030" w:type="dxa"/>
            <w:tcBorders>
              <w:top w:val="single" w:sz="6" w:space="0" w:color="auto"/>
              <w:bottom w:val="nil"/>
            </w:tcBorders>
            <w:shd w:val="clear" w:color="auto" w:fill="FFFFFF"/>
            <w:vAlign w:val="center"/>
          </w:tcPr>
          <w:p w14:paraId="24E2B350" w14:textId="4D85A28F"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1.597</w:t>
            </w:r>
          </w:p>
        </w:tc>
        <w:tc>
          <w:tcPr>
            <w:tcW w:w="674" w:type="dxa"/>
            <w:tcBorders>
              <w:top w:val="single" w:sz="6" w:space="0" w:color="auto"/>
              <w:bottom w:val="nil"/>
            </w:tcBorders>
            <w:shd w:val="clear" w:color="auto" w:fill="FFFFFF"/>
            <w:vAlign w:val="center"/>
          </w:tcPr>
          <w:p w14:paraId="2805CFBE" w14:textId="736CA002"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.173</w:t>
            </w:r>
          </w:p>
        </w:tc>
      </w:tr>
      <w:tr w:rsidR="00661DC9" w:rsidRPr="00CF31E0" w14:paraId="24DE2966" w14:textId="77777777" w:rsidTr="00661DC9">
        <w:trPr>
          <w:cantSplit/>
        </w:trPr>
        <w:tc>
          <w:tcPr>
            <w:tcW w:w="1736" w:type="dxa"/>
            <w:tcBorders>
              <w:top w:val="nil"/>
            </w:tcBorders>
            <w:shd w:val="clear" w:color="auto" w:fill="FFFFFF"/>
          </w:tcPr>
          <w:p w14:paraId="3FA024E9"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7DB4D2CA" w14:textId="16E843FA"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831.224</w:t>
            </w:r>
          </w:p>
        </w:tc>
        <w:tc>
          <w:tcPr>
            <w:tcW w:w="820" w:type="dxa"/>
            <w:tcBorders>
              <w:top w:val="nil"/>
            </w:tcBorders>
            <w:shd w:val="clear" w:color="auto" w:fill="FFFFFF"/>
            <w:vAlign w:val="center"/>
          </w:tcPr>
          <w:p w14:paraId="1D077F8E" w14:textId="68DF3907" w:rsidR="00661DC9"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645</w:t>
            </w:r>
          </w:p>
        </w:tc>
        <w:tc>
          <w:tcPr>
            <w:tcW w:w="1445" w:type="dxa"/>
            <w:tcBorders>
              <w:top w:val="nil"/>
            </w:tcBorders>
            <w:shd w:val="clear" w:color="auto" w:fill="FFFFFF"/>
            <w:vAlign w:val="center"/>
          </w:tcPr>
          <w:p w14:paraId="43B51AEA" w14:textId="2D1FFC0F"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1.299</w:t>
            </w:r>
          </w:p>
        </w:tc>
        <w:tc>
          <w:tcPr>
            <w:tcW w:w="1030" w:type="dxa"/>
            <w:tcBorders>
              <w:top w:val="nil"/>
            </w:tcBorders>
            <w:shd w:val="clear" w:color="auto" w:fill="FFFFFF"/>
            <w:vAlign w:val="center"/>
          </w:tcPr>
          <w:p w14:paraId="15D662EB"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5C9D9807"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r>
      <w:tr w:rsidR="00661DC9" w:rsidRPr="00CF31E0" w14:paraId="68893524" w14:textId="77777777" w:rsidTr="00661DC9">
        <w:trPr>
          <w:cantSplit/>
        </w:trPr>
        <w:tc>
          <w:tcPr>
            <w:tcW w:w="1736" w:type="dxa"/>
            <w:shd w:val="clear" w:color="auto" w:fill="FFFFFF"/>
          </w:tcPr>
          <w:p w14:paraId="79E6F442"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2C358FC0" w14:textId="3A5391FF"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839.519</w:t>
            </w:r>
          </w:p>
        </w:tc>
        <w:tc>
          <w:tcPr>
            <w:tcW w:w="820" w:type="dxa"/>
            <w:shd w:val="clear" w:color="auto" w:fill="FFFFFF"/>
            <w:vAlign w:val="center"/>
          </w:tcPr>
          <w:p w14:paraId="1DD87153" w14:textId="5282CC6D" w:rsidR="00661DC9"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138035F3"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38A278FB"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4C07F685"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r>
    </w:tbl>
    <w:p w14:paraId="72C88456" w14:textId="77777777" w:rsidR="00C15345" w:rsidRPr="00CF31E0" w:rsidRDefault="00C15345" w:rsidP="00C15345">
      <w:pPr>
        <w:rPr>
          <w:rFonts w:asciiTheme="majorBidi" w:hAnsiTheme="majorBidi" w:cstheme="majorBidi"/>
          <w:b/>
          <w:bCs/>
          <w:color w:val="000000" w:themeColor="text1"/>
        </w:rPr>
      </w:pPr>
    </w:p>
    <w:p w14:paraId="1189C46A" w14:textId="77777777" w:rsidR="00C15345" w:rsidRPr="00CF31E0" w:rsidRDefault="00C15345" w:rsidP="00C15345">
      <w:pPr>
        <w:rPr>
          <w:rFonts w:asciiTheme="majorBidi" w:hAnsiTheme="majorBidi" w:cstheme="majorBidi"/>
          <w:b/>
          <w:bCs/>
          <w:color w:val="000000" w:themeColor="text1"/>
        </w:rPr>
      </w:pPr>
    </w:p>
    <w:p w14:paraId="6D40E302" w14:textId="77777777" w:rsidR="00C15345" w:rsidRPr="00CF31E0" w:rsidRDefault="00C15345" w:rsidP="00C15345">
      <w:pPr>
        <w:pStyle w:val="ListParagraph"/>
        <w:numPr>
          <w:ilvl w:val="0"/>
          <w:numId w:val="71"/>
        </w:numPr>
        <w:rPr>
          <w:rFonts w:asciiTheme="majorBidi" w:hAnsiTheme="majorBidi" w:cstheme="majorBidi"/>
          <w:b/>
          <w:bCs/>
          <w:color w:val="000000" w:themeColor="text1"/>
          <w:sz w:val="28"/>
          <w:szCs w:val="28"/>
        </w:rPr>
      </w:pPr>
      <w:r w:rsidRPr="00CF31E0">
        <w:rPr>
          <w:rFonts w:asciiTheme="majorBidi" w:hAnsiTheme="majorBidi" w:cstheme="majorBidi"/>
          <w:b/>
          <w:bCs/>
          <w:color w:val="000000" w:themeColor="text1"/>
          <w:sz w:val="28"/>
          <w:szCs w:val="28"/>
        </w:rPr>
        <w:t>Similar to other Arabic dialects scale</w:t>
      </w:r>
    </w:p>
    <w:p w14:paraId="6D51AF05" w14:textId="77777777" w:rsidR="00C15345" w:rsidRPr="00CF31E0" w:rsidRDefault="00C15345" w:rsidP="00C15345">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15345" w:rsidRPr="00CF31E0" w14:paraId="51C25E92" w14:textId="77777777" w:rsidTr="00661DC9">
        <w:trPr>
          <w:cantSplit/>
        </w:trPr>
        <w:tc>
          <w:tcPr>
            <w:tcW w:w="1736" w:type="dxa"/>
            <w:tcBorders>
              <w:top w:val="single" w:sz="8" w:space="0" w:color="auto"/>
              <w:bottom w:val="single" w:sz="6" w:space="0" w:color="auto"/>
            </w:tcBorders>
            <w:shd w:val="clear" w:color="auto" w:fill="FFFFFF"/>
            <w:vAlign w:val="bottom"/>
          </w:tcPr>
          <w:p w14:paraId="2E82B153" w14:textId="77777777" w:rsidR="00C15345" w:rsidRPr="00CF31E0" w:rsidRDefault="00C15345"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Gender</w:t>
            </w:r>
          </w:p>
        </w:tc>
        <w:tc>
          <w:tcPr>
            <w:tcW w:w="1686" w:type="dxa"/>
            <w:tcBorders>
              <w:top w:val="single" w:sz="8" w:space="0" w:color="auto"/>
              <w:bottom w:val="single" w:sz="6" w:space="0" w:color="auto"/>
            </w:tcBorders>
            <w:shd w:val="clear" w:color="auto" w:fill="FFFFFF"/>
            <w:vAlign w:val="bottom"/>
          </w:tcPr>
          <w:p w14:paraId="66D9769F"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3FA897D0"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41D4EF8A"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20F646F8"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230D56A9"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661DC9" w:rsidRPr="00CF31E0" w14:paraId="3DEDA587" w14:textId="77777777" w:rsidTr="00661DC9">
        <w:trPr>
          <w:cantSplit/>
        </w:trPr>
        <w:tc>
          <w:tcPr>
            <w:tcW w:w="1736" w:type="dxa"/>
            <w:tcBorders>
              <w:top w:val="single" w:sz="6" w:space="0" w:color="auto"/>
              <w:bottom w:val="nil"/>
            </w:tcBorders>
            <w:shd w:val="clear" w:color="auto" w:fill="FFFFFF"/>
          </w:tcPr>
          <w:p w14:paraId="28B2E454"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71EE2375" w14:textId="42B425C5"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1.429</w:t>
            </w:r>
          </w:p>
        </w:tc>
        <w:tc>
          <w:tcPr>
            <w:tcW w:w="820" w:type="dxa"/>
            <w:tcBorders>
              <w:top w:val="single" w:sz="6" w:space="0" w:color="auto"/>
              <w:bottom w:val="nil"/>
            </w:tcBorders>
            <w:shd w:val="clear" w:color="auto" w:fill="FFFFFF"/>
            <w:vAlign w:val="center"/>
          </w:tcPr>
          <w:p w14:paraId="57D34181" w14:textId="3E6B2B4C"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5E84D165" w14:textId="413D00B1"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1.429</w:t>
            </w:r>
          </w:p>
        </w:tc>
        <w:tc>
          <w:tcPr>
            <w:tcW w:w="1030" w:type="dxa"/>
            <w:tcBorders>
              <w:top w:val="single" w:sz="6" w:space="0" w:color="auto"/>
              <w:bottom w:val="nil"/>
            </w:tcBorders>
            <w:shd w:val="clear" w:color="auto" w:fill="FFFFFF"/>
            <w:vAlign w:val="center"/>
          </w:tcPr>
          <w:p w14:paraId="2862003C" w14:textId="128AD67F"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1.088</w:t>
            </w:r>
          </w:p>
        </w:tc>
        <w:tc>
          <w:tcPr>
            <w:tcW w:w="674" w:type="dxa"/>
            <w:tcBorders>
              <w:top w:val="single" w:sz="6" w:space="0" w:color="auto"/>
              <w:bottom w:val="nil"/>
            </w:tcBorders>
            <w:shd w:val="clear" w:color="auto" w:fill="FFFFFF"/>
            <w:vAlign w:val="center"/>
          </w:tcPr>
          <w:p w14:paraId="52AFD0E4" w14:textId="631FDCB5"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.297</w:t>
            </w:r>
          </w:p>
        </w:tc>
      </w:tr>
      <w:tr w:rsidR="00661DC9" w:rsidRPr="00CF31E0" w14:paraId="70952021" w14:textId="77777777" w:rsidTr="00661DC9">
        <w:trPr>
          <w:cantSplit/>
        </w:trPr>
        <w:tc>
          <w:tcPr>
            <w:tcW w:w="1736" w:type="dxa"/>
            <w:tcBorders>
              <w:top w:val="nil"/>
            </w:tcBorders>
            <w:shd w:val="clear" w:color="auto" w:fill="FFFFFF"/>
          </w:tcPr>
          <w:p w14:paraId="60F3F8B1"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0A98978A" w14:textId="67A3EC25"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849.896</w:t>
            </w:r>
          </w:p>
        </w:tc>
        <w:tc>
          <w:tcPr>
            <w:tcW w:w="820" w:type="dxa"/>
            <w:tcBorders>
              <w:top w:val="nil"/>
            </w:tcBorders>
            <w:shd w:val="clear" w:color="auto" w:fill="FFFFFF"/>
            <w:vAlign w:val="center"/>
          </w:tcPr>
          <w:p w14:paraId="1AFA3891" w14:textId="74C577E7" w:rsidR="00661DC9"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0C58C555" w14:textId="02B63F35"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1.314</w:t>
            </w:r>
          </w:p>
        </w:tc>
        <w:tc>
          <w:tcPr>
            <w:tcW w:w="1030" w:type="dxa"/>
            <w:tcBorders>
              <w:top w:val="nil"/>
            </w:tcBorders>
            <w:shd w:val="clear" w:color="auto" w:fill="FFFFFF"/>
            <w:vAlign w:val="center"/>
          </w:tcPr>
          <w:p w14:paraId="4496F943"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6EE55FB2"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r>
      <w:tr w:rsidR="00661DC9" w:rsidRPr="00CF31E0" w14:paraId="4D91C5D3" w14:textId="77777777" w:rsidTr="00661DC9">
        <w:trPr>
          <w:cantSplit/>
        </w:trPr>
        <w:tc>
          <w:tcPr>
            <w:tcW w:w="1736" w:type="dxa"/>
            <w:shd w:val="clear" w:color="auto" w:fill="FFFFFF"/>
          </w:tcPr>
          <w:p w14:paraId="23FE848E"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6300B15" w14:textId="32FC4731"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851.325</w:t>
            </w:r>
          </w:p>
        </w:tc>
        <w:tc>
          <w:tcPr>
            <w:tcW w:w="820" w:type="dxa"/>
            <w:shd w:val="clear" w:color="auto" w:fill="FFFFFF"/>
            <w:vAlign w:val="center"/>
          </w:tcPr>
          <w:p w14:paraId="2C261A1E" w14:textId="4EEADE3F" w:rsidR="00661DC9"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4CC4C38B"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338E92C0"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7FA08EC3"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r>
    </w:tbl>
    <w:p w14:paraId="6C5F1A93" w14:textId="77777777" w:rsidR="00C15345" w:rsidRPr="00CF31E0" w:rsidRDefault="00C15345" w:rsidP="00C15345">
      <w:pPr>
        <w:rPr>
          <w:rFonts w:asciiTheme="majorBidi" w:hAnsiTheme="majorBidi" w:cstheme="majorBidi"/>
          <w:b/>
          <w:bCs/>
          <w:color w:val="000000" w:themeColor="text1"/>
        </w:rPr>
      </w:pPr>
    </w:p>
    <w:p w14:paraId="178B5AF6" w14:textId="77777777" w:rsidR="00C15345" w:rsidRPr="00CF31E0" w:rsidRDefault="00C15345" w:rsidP="00C15345">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15345" w:rsidRPr="00CF31E0" w14:paraId="075CB693" w14:textId="77777777" w:rsidTr="00661DC9">
        <w:trPr>
          <w:cantSplit/>
        </w:trPr>
        <w:tc>
          <w:tcPr>
            <w:tcW w:w="1736" w:type="dxa"/>
            <w:tcBorders>
              <w:top w:val="single" w:sz="8" w:space="0" w:color="auto"/>
              <w:bottom w:val="single" w:sz="6" w:space="0" w:color="auto"/>
            </w:tcBorders>
            <w:shd w:val="clear" w:color="auto" w:fill="FFFFFF"/>
            <w:vAlign w:val="bottom"/>
          </w:tcPr>
          <w:p w14:paraId="582D55E0" w14:textId="77777777" w:rsidR="00C15345" w:rsidRPr="00CF31E0" w:rsidRDefault="00C15345"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Age</w:t>
            </w:r>
          </w:p>
        </w:tc>
        <w:tc>
          <w:tcPr>
            <w:tcW w:w="1686" w:type="dxa"/>
            <w:tcBorders>
              <w:top w:val="single" w:sz="8" w:space="0" w:color="auto"/>
              <w:bottom w:val="single" w:sz="6" w:space="0" w:color="auto"/>
            </w:tcBorders>
            <w:shd w:val="clear" w:color="auto" w:fill="FFFFFF"/>
            <w:vAlign w:val="bottom"/>
          </w:tcPr>
          <w:p w14:paraId="5E44494A"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7CBC90B1"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6907DD52"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6DC278C4"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589FD935"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661DC9" w:rsidRPr="00CF31E0" w14:paraId="644F5C61" w14:textId="77777777" w:rsidTr="00661DC9">
        <w:trPr>
          <w:cantSplit/>
        </w:trPr>
        <w:tc>
          <w:tcPr>
            <w:tcW w:w="1736" w:type="dxa"/>
            <w:tcBorders>
              <w:top w:val="single" w:sz="6" w:space="0" w:color="auto"/>
              <w:bottom w:val="nil"/>
            </w:tcBorders>
            <w:shd w:val="clear" w:color="auto" w:fill="FFFFFF"/>
          </w:tcPr>
          <w:p w14:paraId="0AD4E399"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242C0EEB" w14:textId="5FEFB7D1"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5.579</w:t>
            </w:r>
          </w:p>
        </w:tc>
        <w:tc>
          <w:tcPr>
            <w:tcW w:w="820" w:type="dxa"/>
            <w:tcBorders>
              <w:top w:val="single" w:sz="6" w:space="0" w:color="auto"/>
              <w:bottom w:val="nil"/>
            </w:tcBorders>
            <w:shd w:val="clear" w:color="auto" w:fill="FFFFFF"/>
            <w:vAlign w:val="center"/>
          </w:tcPr>
          <w:p w14:paraId="494518E6" w14:textId="62C65263"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w:t>
            </w:r>
          </w:p>
        </w:tc>
        <w:tc>
          <w:tcPr>
            <w:tcW w:w="1445" w:type="dxa"/>
            <w:tcBorders>
              <w:top w:val="single" w:sz="6" w:space="0" w:color="auto"/>
              <w:bottom w:val="nil"/>
            </w:tcBorders>
            <w:shd w:val="clear" w:color="auto" w:fill="FFFFFF"/>
            <w:vAlign w:val="center"/>
          </w:tcPr>
          <w:p w14:paraId="7AD90CFD" w14:textId="36A8632E"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1.116</w:t>
            </w:r>
          </w:p>
        </w:tc>
        <w:tc>
          <w:tcPr>
            <w:tcW w:w="1030" w:type="dxa"/>
            <w:tcBorders>
              <w:top w:val="single" w:sz="6" w:space="0" w:color="auto"/>
              <w:bottom w:val="nil"/>
            </w:tcBorders>
            <w:shd w:val="clear" w:color="auto" w:fill="FFFFFF"/>
            <w:vAlign w:val="center"/>
          </w:tcPr>
          <w:p w14:paraId="73D43327" w14:textId="781F3045"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.848</w:t>
            </w:r>
          </w:p>
        </w:tc>
        <w:tc>
          <w:tcPr>
            <w:tcW w:w="674" w:type="dxa"/>
            <w:tcBorders>
              <w:top w:val="single" w:sz="6" w:space="0" w:color="auto"/>
              <w:bottom w:val="nil"/>
            </w:tcBorders>
            <w:shd w:val="clear" w:color="auto" w:fill="FFFFFF"/>
            <w:vAlign w:val="center"/>
          </w:tcPr>
          <w:p w14:paraId="2EBB58EE" w14:textId="104BB51C"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.516</w:t>
            </w:r>
          </w:p>
        </w:tc>
      </w:tr>
      <w:tr w:rsidR="00661DC9" w:rsidRPr="00CF31E0" w14:paraId="1D81CB60" w14:textId="77777777" w:rsidTr="00661DC9">
        <w:trPr>
          <w:cantSplit/>
        </w:trPr>
        <w:tc>
          <w:tcPr>
            <w:tcW w:w="1736" w:type="dxa"/>
            <w:tcBorders>
              <w:top w:val="nil"/>
            </w:tcBorders>
            <w:shd w:val="clear" w:color="auto" w:fill="FFFFFF"/>
          </w:tcPr>
          <w:p w14:paraId="5397DEBD"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0448C8EA" w14:textId="2EC04FD0"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843.685</w:t>
            </w:r>
          </w:p>
        </w:tc>
        <w:tc>
          <w:tcPr>
            <w:tcW w:w="820" w:type="dxa"/>
            <w:tcBorders>
              <w:top w:val="nil"/>
            </w:tcBorders>
            <w:shd w:val="clear" w:color="auto" w:fill="FFFFFF"/>
            <w:vAlign w:val="center"/>
          </w:tcPr>
          <w:p w14:paraId="77505AB9" w14:textId="0238AEE6" w:rsidR="00661DC9"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644</w:t>
            </w:r>
          </w:p>
        </w:tc>
        <w:tc>
          <w:tcPr>
            <w:tcW w:w="1445" w:type="dxa"/>
            <w:tcBorders>
              <w:top w:val="nil"/>
            </w:tcBorders>
            <w:shd w:val="clear" w:color="auto" w:fill="FFFFFF"/>
            <w:vAlign w:val="center"/>
          </w:tcPr>
          <w:p w14:paraId="60B5615E" w14:textId="0EDDCFFE"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1.316</w:t>
            </w:r>
          </w:p>
        </w:tc>
        <w:tc>
          <w:tcPr>
            <w:tcW w:w="1030" w:type="dxa"/>
            <w:tcBorders>
              <w:top w:val="nil"/>
            </w:tcBorders>
            <w:shd w:val="clear" w:color="auto" w:fill="FFFFFF"/>
            <w:vAlign w:val="center"/>
          </w:tcPr>
          <w:p w14:paraId="29653E39"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2C10D9D7"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r>
      <w:tr w:rsidR="00661DC9" w:rsidRPr="00CF31E0" w14:paraId="305439A2" w14:textId="77777777" w:rsidTr="00661DC9">
        <w:trPr>
          <w:cantSplit/>
        </w:trPr>
        <w:tc>
          <w:tcPr>
            <w:tcW w:w="1736" w:type="dxa"/>
            <w:shd w:val="clear" w:color="auto" w:fill="FFFFFF"/>
          </w:tcPr>
          <w:p w14:paraId="1763D32E"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6BA9531E" w14:textId="662D8269"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849.264</w:t>
            </w:r>
          </w:p>
        </w:tc>
        <w:tc>
          <w:tcPr>
            <w:tcW w:w="820" w:type="dxa"/>
            <w:shd w:val="clear" w:color="auto" w:fill="FFFFFF"/>
            <w:vAlign w:val="center"/>
          </w:tcPr>
          <w:p w14:paraId="59E683B5" w14:textId="6472429D" w:rsidR="00661DC9"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7B57A079"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6BB44D79"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7F0CFD09"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r>
    </w:tbl>
    <w:p w14:paraId="2A33BCF7" w14:textId="77777777" w:rsidR="00C15345" w:rsidRPr="00CF31E0" w:rsidRDefault="00C15345" w:rsidP="00C15345">
      <w:pPr>
        <w:rPr>
          <w:rFonts w:asciiTheme="majorBidi" w:hAnsiTheme="majorBidi" w:cstheme="majorBidi"/>
          <w:b/>
          <w:bCs/>
          <w:color w:val="000000" w:themeColor="text1"/>
        </w:rPr>
      </w:pPr>
    </w:p>
    <w:p w14:paraId="1DE523A7" w14:textId="77777777" w:rsidR="00C15345" w:rsidRPr="00CF31E0" w:rsidRDefault="00C15345" w:rsidP="00C15345">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15345" w:rsidRPr="00CF31E0" w14:paraId="06BA4776" w14:textId="77777777" w:rsidTr="00661DC9">
        <w:trPr>
          <w:cantSplit/>
        </w:trPr>
        <w:tc>
          <w:tcPr>
            <w:tcW w:w="1736" w:type="dxa"/>
            <w:tcBorders>
              <w:top w:val="single" w:sz="8" w:space="0" w:color="auto"/>
              <w:bottom w:val="single" w:sz="6" w:space="0" w:color="auto"/>
            </w:tcBorders>
            <w:shd w:val="clear" w:color="auto" w:fill="FFFFFF"/>
            <w:vAlign w:val="bottom"/>
          </w:tcPr>
          <w:p w14:paraId="7A9581ED" w14:textId="77777777" w:rsidR="00C15345" w:rsidRPr="00CF31E0" w:rsidRDefault="00C15345"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 of birth</w:t>
            </w:r>
          </w:p>
        </w:tc>
        <w:tc>
          <w:tcPr>
            <w:tcW w:w="1686" w:type="dxa"/>
            <w:tcBorders>
              <w:top w:val="single" w:sz="8" w:space="0" w:color="auto"/>
              <w:bottom w:val="single" w:sz="6" w:space="0" w:color="auto"/>
            </w:tcBorders>
            <w:shd w:val="clear" w:color="auto" w:fill="FFFFFF"/>
            <w:vAlign w:val="bottom"/>
          </w:tcPr>
          <w:p w14:paraId="54A64D25"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0AEA5B70"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5BC286BE"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0B8038F"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3E6D6B4D"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661DC9" w:rsidRPr="00CF31E0" w14:paraId="47A1B9B3" w14:textId="77777777" w:rsidTr="00661DC9">
        <w:trPr>
          <w:cantSplit/>
        </w:trPr>
        <w:tc>
          <w:tcPr>
            <w:tcW w:w="1736" w:type="dxa"/>
            <w:tcBorders>
              <w:top w:val="single" w:sz="6" w:space="0" w:color="auto"/>
              <w:bottom w:val="nil"/>
            </w:tcBorders>
            <w:shd w:val="clear" w:color="auto" w:fill="FFFFFF"/>
          </w:tcPr>
          <w:p w14:paraId="33542F38"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3FA43768" w14:textId="3920B456"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3.394</w:t>
            </w:r>
          </w:p>
        </w:tc>
        <w:tc>
          <w:tcPr>
            <w:tcW w:w="820" w:type="dxa"/>
            <w:tcBorders>
              <w:top w:val="single" w:sz="6" w:space="0" w:color="auto"/>
              <w:bottom w:val="nil"/>
            </w:tcBorders>
            <w:shd w:val="clear" w:color="auto" w:fill="FFFFFF"/>
            <w:vAlign w:val="center"/>
          </w:tcPr>
          <w:p w14:paraId="19EE763D" w14:textId="0D79BD4D"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6C3AB363" w14:textId="0454F8BD"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3.394</w:t>
            </w:r>
          </w:p>
        </w:tc>
        <w:tc>
          <w:tcPr>
            <w:tcW w:w="1030" w:type="dxa"/>
            <w:tcBorders>
              <w:top w:val="single" w:sz="6" w:space="0" w:color="auto"/>
              <w:bottom w:val="nil"/>
            </w:tcBorders>
            <w:shd w:val="clear" w:color="auto" w:fill="FFFFFF"/>
            <w:vAlign w:val="center"/>
          </w:tcPr>
          <w:p w14:paraId="2300C3C5" w14:textId="3822281B"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2.589</w:t>
            </w:r>
          </w:p>
        </w:tc>
        <w:tc>
          <w:tcPr>
            <w:tcW w:w="674" w:type="dxa"/>
            <w:tcBorders>
              <w:top w:val="single" w:sz="6" w:space="0" w:color="auto"/>
              <w:bottom w:val="nil"/>
            </w:tcBorders>
            <w:shd w:val="clear" w:color="auto" w:fill="FFFFFF"/>
            <w:vAlign w:val="center"/>
          </w:tcPr>
          <w:p w14:paraId="6F631822" w14:textId="12EE3E82"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.108</w:t>
            </w:r>
          </w:p>
        </w:tc>
      </w:tr>
      <w:tr w:rsidR="00661DC9" w:rsidRPr="00CF31E0" w14:paraId="40E7F561" w14:textId="77777777" w:rsidTr="00661DC9">
        <w:trPr>
          <w:cantSplit/>
        </w:trPr>
        <w:tc>
          <w:tcPr>
            <w:tcW w:w="1736" w:type="dxa"/>
            <w:tcBorders>
              <w:top w:val="nil"/>
            </w:tcBorders>
            <w:shd w:val="clear" w:color="auto" w:fill="FFFFFF"/>
          </w:tcPr>
          <w:p w14:paraId="225DF0B4"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08E7F9B8" w14:textId="40B4C13A"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847.931</w:t>
            </w:r>
          </w:p>
        </w:tc>
        <w:tc>
          <w:tcPr>
            <w:tcW w:w="820" w:type="dxa"/>
            <w:tcBorders>
              <w:top w:val="nil"/>
            </w:tcBorders>
            <w:shd w:val="clear" w:color="auto" w:fill="FFFFFF"/>
            <w:vAlign w:val="center"/>
          </w:tcPr>
          <w:p w14:paraId="4663B088" w14:textId="6CD1FFB5" w:rsidR="00661DC9"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79781D15" w14:textId="73304681"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1.311</w:t>
            </w:r>
          </w:p>
        </w:tc>
        <w:tc>
          <w:tcPr>
            <w:tcW w:w="1030" w:type="dxa"/>
            <w:tcBorders>
              <w:top w:val="nil"/>
            </w:tcBorders>
            <w:shd w:val="clear" w:color="auto" w:fill="FFFFFF"/>
            <w:vAlign w:val="center"/>
          </w:tcPr>
          <w:p w14:paraId="10009A01"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0220D715"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r>
      <w:tr w:rsidR="00661DC9" w:rsidRPr="00CF31E0" w14:paraId="73EAB8E3" w14:textId="77777777" w:rsidTr="00661DC9">
        <w:trPr>
          <w:cantSplit/>
        </w:trPr>
        <w:tc>
          <w:tcPr>
            <w:tcW w:w="1736" w:type="dxa"/>
            <w:shd w:val="clear" w:color="auto" w:fill="FFFFFF"/>
          </w:tcPr>
          <w:p w14:paraId="1DBD5F49"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04FD4439" w14:textId="0CFC233A"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851.325</w:t>
            </w:r>
          </w:p>
        </w:tc>
        <w:tc>
          <w:tcPr>
            <w:tcW w:w="820" w:type="dxa"/>
            <w:shd w:val="clear" w:color="auto" w:fill="FFFFFF"/>
            <w:vAlign w:val="center"/>
          </w:tcPr>
          <w:p w14:paraId="032EE3E0" w14:textId="28214726" w:rsidR="00661DC9"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38E8BF73"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540565A9"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6E19EECA"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r>
    </w:tbl>
    <w:p w14:paraId="0EC3BFE6" w14:textId="77777777" w:rsidR="00C15345" w:rsidRPr="00CF31E0" w:rsidRDefault="00C15345" w:rsidP="00C15345">
      <w:pPr>
        <w:rPr>
          <w:rFonts w:asciiTheme="majorBidi" w:hAnsiTheme="majorBidi" w:cstheme="majorBidi"/>
          <w:b/>
          <w:bCs/>
          <w:color w:val="000000" w:themeColor="text1"/>
        </w:rPr>
      </w:pPr>
    </w:p>
    <w:p w14:paraId="06A58F88" w14:textId="77777777" w:rsidR="00C15345" w:rsidRPr="00CF31E0" w:rsidRDefault="00C15345" w:rsidP="00C15345">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15345" w:rsidRPr="00CF31E0" w14:paraId="274C0AB6" w14:textId="77777777" w:rsidTr="00661DC9">
        <w:trPr>
          <w:cantSplit/>
        </w:trPr>
        <w:tc>
          <w:tcPr>
            <w:tcW w:w="1736" w:type="dxa"/>
            <w:tcBorders>
              <w:top w:val="single" w:sz="8" w:space="0" w:color="auto"/>
              <w:bottom w:val="single" w:sz="6" w:space="0" w:color="auto"/>
            </w:tcBorders>
            <w:shd w:val="clear" w:color="auto" w:fill="FFFFFF"/>
            <w:vAlign w:val="bottom"/>
          </w:tcPr>
          <w:p w14:paraId="188017FF" w14:textId="77777777" w:rsidR="00C15345" w:rsidRPr="00CF31E0" w:rsidRDefault="00C15345"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Places lived</w:t>
            </w:r>
          </w:p>
        </w:tc>
        <w:tc>
          <w:tcPr>
            <w:tcW w:w="1686" w:type="dxa"/>
            <w:tcBorders>
              <w:top w:val="single" w:sz="8" w:space="0" w:color="auto"/>
              <w:bottom w:val="single" w:sz="6" w:space="0" w:color="auto"/>
            </w:tcBorders>
            <w:shd w:val="clear" w:color="auto" w:fill="FFFFFF"/>
            <w:vAlign w:val="bottom"/>
          </w:tcPr>
          <w:p w14:paraId="05253EF9"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00ED85D1"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33334E9C"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25B8C8A"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1D2B759F"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661DC9" w:rsidRPr="00CF31E0" w14:paraId="1A3CF7E0" w14:textId="77777777" w:rsidTr="00661DC9">
        <w:trPr>
          <w:cantSplit/>
        </w:trPr>
        <w:tc>
          <w:tcPr>
            <w:tcW w:w="1736" w:type="dxa"/>
            <w:tcBorders>
              <w:top w:val="single" w:sz="6" w:space="0" w:color="auto"/>
              <w:bottom w:val="nil"/>
            </w:tcBorders>
            <w:shd w:val="clear" w:color="auto" w:fill="FFFFFF"/>
          </w:tcPr>
          <w:p w14:paraId="2B43B991"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6032B429" w14:textId="7D75B655"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.233</w:t>
            </w:r>
          </w:p>
        </w:tc>
        <w:tc>
          <w:tcPr>
            <w:tcW w:w="820" w:type="dxa"/>
            <w:tcBorders>
              <w:top w:val="single" w:sz="6" w:space="0" w:color="auto"/>
              <w:bottom w:val="nil"/>
            </w:tcBorders>
            <w:shd w:val="clear" w:color="auto" w:fill="FFFFFF"/>
            <w:vAlign w:val="center"/>
          </w:tcPr>
          <w:p w14:paraId="1436637C" w14:textId="78868345"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059356AE" w14:textId="1476D9C5"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.233</w:t>
            </w:r>
          </w:p>
        </w:tc>
        <w:tc>
          <w:tcPr>
            <w:tcW w:w="1030" w:type="dxa"/>
            <w:tcBorders>
              <w:top w:val="single" w:sz="6" w:space="0" w:color="auto"/>
              <w:bottom w:val="nil"/>
            </w:tcBorders>
            <w:shd w:val="clear" w:color="auto" w:fill="FFFFFF"/>
            <w:vAlign w:val="center"/>
          </w:tcPr>
          <w:p w14:paraId="00710165" w14:textId="76E75091"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.176</w:t>
            </w:r>
          </w:p>
        </w:tc>
        <w:tc>
          <w:tcPr>
            <w:tcW w:w="674" w:type="dxa"/>
            <w:tcBorders>
              <w:top w:val="single" w:sz="6" w:space="0" w:color="auto"/>
              <w:bottom w:val="nil"/>
            </w:tcBorders>
            <w:shd w:val="clear" w:color="auto" w:fill="FFFFFF"/>
            <w:vAlign w:val="center"/>
          </w:tcPr>
          <w:p w14:paraId="0A4F2B4E" w14:textId="6F0A976F"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.675</w:t>
            </w:r>
          </w:p>
        </w:tc>
      </w:tr>
      <w:tr w:rsidR="00661DC9" w:rsidRPr="00CF31E0" w14:paraId="4C765981" w14:textId="77777777" w:rsidTr="00661DC9">
        <w:trPr>
          <w:cantSplit/>
        </w:trPr>
        <w:tc>
          <w:tcPr>
            <w:tcW w:w="1736" w:type="dxa"/>
            <w:tcBorders>
              <w:top w:val="nil"/>
            </w:tcBorders>
            <w:shd w:val="clear" w:color="auto" w:fill="FFFFFF"/>
          </w:tcPr>
          <w:p w14:paraId="2FFE159E"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41902A4C" w14:textId="049CD724"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842.137</w:t>
            </w:r>
          </w:p>
        </w:tc>
        <w:tc>
          <w:tcPr>
            <w:tcW w:w="820" w:type="dxa"/>
            <w:tcBorders>
              <w:top w:val="nil"/>
            </w:tcBorders>
            <w:shd w:val="clear" w:color="auto" w:fill="FFFFFF"/>
            <w:vAlign w:val="center"/>
          </w:tcPr>
          <w:p w14:paraId="52B38A46" w14:textId="4BAEC160" w:rsidR="00661DC9"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4CCC8DCC" w14:textId="433C6F04"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1.322</w:t>
            </w:r>
          </w:p>
        </w:tc>
        <w:tc>
          <w:tcPr>
            <w:tcW w:w="1030" w:type="dxa"/>
            <w:tcBorders>
              <w:top w:val="nil"/>
            </w:tcBorders>
            <w:shd w:val="clear" w:color="auto" w:fill="FFFFFF"/>
            <w:vAlign w:val="center"/>
          </w:tcPr>
          <w:p w14:paraId="5E68BA4D"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72C00B17"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r>
      <w:tr w:rsidR="00661DC9" w:rsidRPr="00CF31E0" w14:paraId="3C8ACAD2" w14:textId="77777777" w:rsidTr="00661DC9">
        <w:trPr>
          <w:cantSplit/>
        </w:trPr>
        <w:tc>
          <w:tcPr>
            <w:tcW w:w="1736" w:type="dxa"/>
            <w:shd w:val="clear" w:color="auto" w:fill="FFFFFF"/>
          </w:tcPr>
          <w:p w14:paraId="73549622"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0F108240" w14:textId="256AB454"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842.369</w:t>
            </w:r>
          </w:p>
        </w:tc>
        <w:tc>
          <w:tcPr>
            <w:tcW w:w="820" w:type="dxa"/>
            <w:shd w:val="clear" w:color="auto" w:fill="FFFFFF"/>
            <w:vAlign w:val="center"/>
          </w:tcPr>
          <w:p w14:paraId="07619A4F" w14:textId="6D8DDFD3" w:rsidR="00661DC9"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46697FFF"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5860356C"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7DEE5DA0"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r>
    </w:tbl>
    <w:p w14:paraId="3393B255" w14:textId="77777777" w:rsidR="00C15345" w:rsidRPr="00CF31E0" w:rsidRDefault="00C15345" w:rsidP="00C15345">
      <w:pPr>
        <w:rPr>
          <w:rFonts w:asciiTheme="majorBidi" w:hAnsiTheme="majorBidi" w:cstheme="majorBidi"/>
          <w:b/>
          <w:bCs/>
          <w:color w:val="000000" w:themeColor="text1"/>
        </w:rPr>
      </w:pPr>
    </w:p>
    <w:p w14:paraId="442D2AC4" w14:textId="77777777" w:rsidR="00C15345" w:rsidRPr="00CF31E0" w:rsidRDefault="00C15345" w:rsidP="00C15345">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15345" w:rsidRPr="00CF31E0" w14:paraId="56FAAA3B" w14:textId="77777777" w:rsidTr="00661DC9">
        <w:trPr>
          <w:cantSplit/>
        </w:trPr>
        <w:tc>
          <w:tcPr>
            <w:tcW w:w="1736" w:type="dxa"/>
            <w:tcBorders>
              <w:top w:val="single" w:sz="8" w:space="0" w:color="auto"/>
              <w:bottom w:val="single" w:sz="6" w:space="0" w:color="auto"/>
            </w:tcBorders>
            <w:shd w:val="clear" w:color="auto" w:fill="FFFFFF"/>
            <w:vAlign w:val="bottom"/>
          </w:tcPr>
          <w:p w14:paraId="13CE6A69" w14:textId="77777777" w:rsidR="00C15345" w:rsidRPr="00CF31E0" w:rsidRDefault="00C15345"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Marital status</w:t>
            </w:r>
          </w:p>
        </w:tc>
        <w:tc>
          <w:tcPr>
            <w:tcW w:w="1686" w:type="dxa"/>
            <w:tcBorders>
              <w:top w:val="single" w:sz="8" w:space="0" w:color="auto"/>
              <w:bottom w:val="single" w:sz="6" w:space="0" w:color="auto"/>
            </w:tcBorders>
            <w:shd w:val="clear" w:color="auto" w:fill="FFFFFF"/>
            <w:vAlign w:val="bottom"/>
          </w:tcPr>
          <w:p w14:paraId="70D50360"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36EF73C9"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B39ADE1"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0ED04BA3"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67F256D9"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661DC9" w:rsidRPr="00CF31E0" w14:paraId="46ED5E99" w14:textId="77777777" w:rsidTr="00661DC9">
        <w:trPr>
          <w:cantSplit/>
        </w:trPr>
        <w:tc>
          <w:tcPr>
            <w:tcW w:w="1736" w:type="dxa"/>
            <w:tcBorders>
              <w:top w:val="single" w:sz="6" w:space="0" w:color="auto"/>
              <w:bottom w:val="nil"/>
            </w:tcBorders>
            <w:shd w:val="clear" w:color="auto" w:fill="FFFFFF"/>
          </w:tcPr>
          <w:p w14:paraId="69618CBF"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5E616A21" w14:textId="6C353A98"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7.594</w:t>
            </w:r>
          </w:p>
        </w:tc>
        <w:tc>
          <w:tcPr>
            <w:tcW w:w="820" w:type="dxa"/>
            <w:tcBorders>
              <w:top w:val="single" w:sz="6" w:space="0" w:color="auto"/>
              <w:bottom w:val="nil"/>
            </w:tcBorders>
            <w:shd w:val="clear" w:color="auto" w:fill="FFFFFF"/>
            <w:vAlign w:val="center"/>
          </w:tcPr>
          <w:p w14:paraId="5A315FA9" w14:textId="4E93525C"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w:t>
            </w:r>
          </w:p>
        </w:tc>
        <w:tc>
          <w:tcPr>
            <w:tcW w:w="1445" w:type="dxa"/>
            <w:tcBorders>
              <w:top w:val="single" w:sz="6" w:space="0" w:color="auto"/>
              <w:bottom w:val="nil"/>
            </w:tcBorders>
            <w:shd w:val="clear" w:color="auto" w:fill="FFFFFF"/>
            <w:vAlign w:val="center"/>
          </w:tcPr>
          <w:p w14:paraId="332FB0E9" w14:textId="0C1A0A48"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2.531</w:t>
            </w:r>
          </w:p>
        </w:tc>
        <w:tc>
          <w:tcPr>
            <w:tcW w:w="1030" w:type="dxa"/>
            <w:tcBorders>
              <w:top w:val="single" w:sz="6" w:space="0" w:color="auto"/>
              <w:bottom w:val="nil"/>
            </w:tcBorders>
            <w:shd w:val="clear" w:color="auto" w:fill="FFFFFF"/>
            <w:vAlign w:val="center"/>
          </w:tcPr>
          <w:p w14:paraId="47A29E4E" w14:textId="1F79B6BE"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1.935</w:t>
            </w:r>
          </w:p>
        </w:tc>
        <w:tc>
          <w:tcPr>
            <w:tcW w:w="674" w:type="dxa"/>
            <w:tcBorders>
              <w:top w:val="single" w:sz="6" w:space="0" w:color="auto"/>
              <w:bottom w:val="nil"/>
            </w:tcBorders>
            <w:shd w:val="clear" w:color="auto" w:fill="FFFFFF"/>
            <w:vAlign w:val="center"/>
          </w:tcPr>
          <w:p w14:paraId="449FF100" w14:textId="719F0144"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.123</w:t>
            </w:r>
          </w:p>
        </w:tc>
      </w:tr>
      <w:tr w:rsidR="00661DC9" w:rsidRPr="00CF31E0" w14:paraId="07E9A881" w14:textId="77777777" w:rsidTr="00661DC9">
        <w:trPr>
          <w:cantSplit/>
        </w:trPr>
        <w:tc>
          <w:tcPr>
            <w:tcW w:w="1736" w:type="dxa"/>
            <w:tcBorders>
              <w:top w:val="nil"/>
            </w:tcBorders>
            <w:shd w:val="clear" w:color="auto" w:fill="FFFFFF"/>
          </w:tcPr>
          <w:p w14:paraId="1B52E601"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564E86B5" w14:textId="37ECE185"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843.731</w:t>
            </w:r>
          </w:p>
        </w:tc>
        <w:tc>
          <w:tcPr>
            <w:tcW w:w="820" w:type="dxa"/>
            <w:tcBorders>
              <w:top w:val="nil"/>
            </w:tcBorders>
            <w:shd w:val="clear" w:color="auto" w:fill="FFFFFF"/>
            <w:vAlign w:val="center"/>
          </w:tcPr>
          <w:p w14:paraId="1D92BF7F" w14:textId="5C539BE2" w:rsidR="00661DC9"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646</w:t>
            </w:r>
          </w:p>
        </w:tc>
        <w:tc>
          <w:tcPr>
            <w:tcW w:w="1445" w:type="dxa"/>
            <w:tcBorders>
              <w:top w:val="nil"/>
            </w:tcBorders>
            <w:shd w:val="clear" w:color="auto" w:fill="FFFFFF"/>
            <w:vAlign w:val="center"/>
          </w:tcPr>
          <w:p w14:paraId="21C93AA3" w14:textId="5CE1D4A5"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1.308</w:t>
            </w:r>
          </w:p>
        </w:tc>
        <w:tc>
          <w:tcPr>
            <w:tcW w:w="1030" w:type="dxa"/>
            <w:tcBorders>
              <w:top w:val="nil"/>
            </w:tcBorders>
            <w:shd w:val="clear" w:color="auto" w:fill="FFFFFF"/>
            <w:vAlign w:val="center"/>
          </w:tcPr>
          <w:p w14:paraId="3FDB4E57"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5B593240"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r>
      <w:tr w:rsidR="00661DC9" w:rsidRPr="00CF31E0" w14:paraId="4D6BE887" w14:textId="77777777" w:rsidTr="00661DC9">
        <w:trPr>
          <w:cantSplit/>
        </w:trPr>
        <w:tc>
          <w:tcPr>
            <w:tcW w:w="1736" w:type="dxa"/>
            <w:shd w:val="clear" w:color="auto" w:fill="FFFFFF"/>
          </w:tcPr>
          <w:p w14:paraId="29F21BE1"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824575C" w14:textId="5F81F94D"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851.325</w:t>
            </w:r>
          </w:p>
        </w:tc>
        <w:tc>
          <w:tcPr>
            <w:tcW w:w="820" w:type="dxa"/>
            <w:shd w:val="clear" w:color="auto" w:fill="FFFFFF"/>
            <w:vAlign w:val="center"/>
          </w:tcPr>
          <w:p w14:paraId="35384F58" w14:textId="4869A613" w:rsidR="00661DC9"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4C48C486"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1EA8358E"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361B3924"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r>
    </w:tbl>
    <w:p w14:paraId="3FC463B3" w14:textId="77777777" w:rsidR="00C15345" w:rsidRPr="00CF31E0" w:rsidRDefault="00C15345" w:rsidP="00C15345">
      <w:pPr>
        <w:rPr>
          <w:rFonts w:asciiTheme="majorBidi" w:hAnsiTheme="majorBidi" w:cstheme="majorBidi"/>
          <w:b/>
          <w:bCs/>
          <w:color w:val="000000" w:themeColor="text1"/>
        </w:rPr>
      </w:pPr>
    </w:p>
    <w:p w14:paraId="6C31B001" w14:textId="77777777" w:rsidR="00C15345" w:rsidRPr="00CF31E0" w:rsidRDefault="00C15345" w:rsidP="00C15345">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15345" w:rsidRPr="00CF31E0" w14:paraId="087F8E2A" w14:textId="77777777" w:rsidTr="00661DC9">
        <w:trPr>
          <w:cantSplit/>
        </w:trPr>
        <w:tc>
          <w:tcPr>
            <w:tcW w:w="1736" w:type="dxa"/>
            <w:tcBorders>
              <w:top w:val="single" w:sz="8" w:space="0" w:color="auto"/>
              <w:bottom w:val="single" w:sz="6" w:space="0" w:color="auto"/>
            </w:tcBorders>
            <w:shd w:val="clear" w:color="auto" w:fill="FFFFFF"/>
            <w:vAlign w:val="bottom"/>
          </w:tcPr>
          <w:p w14:paraId="4939F85F" w14:textId="77777777" w:rsidR="00C15345" w:rsidRPr="00CF31E0" w:rsidRDefault="00C15345"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Education</w:t>
            </w:r>
          </w:p>
        </w:tc>
        <w:tc>
          <w:tcPr>
            <w:tcW w:w="1686" w:type="dxa"/>
            <w:tcBorders>
              <w:top w:val="single" w:sz="8" w:space="0" w:color="auto"/>
              <w:bottom w:val="single" w:sz="6" w:space="0" w:color="auto"/>
            </w:tcBorders>
            <w:shd w:val="clear" w:color="auto" w:fill="FFFFFF"/>
            <w:vAlign w:val="bottom"/>
          </w:tcPr>
          <w:p w14:paraId="4FFA1E77"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496F9FC9"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5A51B2B7"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0B420860"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7F4801F2"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661DC9" w:rsidRPr="00CF31E0" w14:paraId="1DA2C153" w14:textId="77777777" w:rsidTr="00661DC9">
        <w:trPr>
          <w:cantSplit/>
        </w:trPr>
        <w:tc>
          <w:tcPr>
            <w:tcW w:w="1736" w:type="dxa"/>
            <w:tcBorders>
              <w:top w:val="single" w:sz="6" w:space="0" w:color="auto"/>
              <w:bottom w:val="nil"/>
            </w:tcBorders>
            <w:shd w:val="clear" w:color="auto" w:fill="FFFFFF"/>
          </w:tcPr>
          <w:p w14:paraId="207D8E4B"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0BC88D18" w14:textId="2146CD5D"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2.763</w:t>
            </w:r>
          </w:p>
        </w:tc>
        <w:tc>
          <w:tcPr>
            <w:tcW w:w="820" w:type="dxa"/>
            <w:tcBorders>
              <w:top w:val="single" w:sz="6" w:space="0" w:color="auto"/>
              <w:bottom w:val="nil"/>
            </w:tcBorders>
            <w:shd w:val="clear" w:color="auto" w:fill="FFFFFF"/>
            <w:vAlign w:val="center"/>
          </w:tcPr>
          <w:p w14:paraId="27D98DE3" w14:textId="40B52A36"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w:t>
            </w:r>
          </w:p>
        </w:tc>
        <w:tc>
          <w:tcPr>
            <w:tcW w:w="1445" w:type="dxa"/>
            <w:tcBorders>
              <w:top w:val="single" w:sz="6" w:space="0" w:color="auto"/>
              <w:bottom w:val="nil"/>
            </w:tcBorders>
            <w:shd w:val="clear" w:color="auto" w:fill="FFFFFF"/>
            <w:vAlign w:val="center"/>
          </w:tcPr>
          <w:p w14:paraId="602511D5" w14:textId="70AECD76"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.553</w:t>
            </w:r>
          </w:p>
        </w:tc>
        <w:tc>
          <w:tcPr>
            <w:tcW w:w="1030" w:type="dxa"/>
            <w:tcBorders>
              <w:top w:val="single" w:sz="6" w:space="0" w:color="auto"/>
              <w:bottom w:val="nil"/>
            </w:tcBorders>
            <w:shd w:val="clear" w:color="auto" w:fill="FFFFFF"/>
            <w:vAlign w:val="center"/>
          </w:tcPr>
          <w:p w14:paraId="092A0674" w14:textId="7823ED29"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.419</w:t>
            </w:r>
          </w:p>
        </w:tc>
        <w:tc>
          <w:tcPr>
            <w:tcW w:w="674" w:type="dxa"/>
            <w:tcBorders>
              <w:top w:val="single" w:sz="6" w:space="0" w:color="auto"/>
              <w:bottom w:val="nil"/>
            </w:tcBorders>
            <w:shd w:val="clear" w:color="auto" w:fill="FFFFFF"/>
            <w:vAlign w:val="center"/>
          </w:tcPr>
          <w:p w14:paraId="2C463D19" w14:textId="71D44350"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.836</w:t>
            </w:r>
          </w:p>
        </w:tc>
      </w:tr>
      <w:tr w:rsidR="00661DC9" w:rsidRPr="00CF31E0" w14:paraId="6BA48261" w14:textId="77777777" w:rsidTr="00661DC9">
        <w:trPr>
          <w:cantSplit/>
        </w:trPr>
        <w:tc>
          <w:tcPr>
            <w:tcW w:w="1736" w:type="dxa"/>
            <w:tcBorders>
              <w:top w:val="nil"/>
            </w:tcBorders>
            <w:shd w:val="clear" w:color="auto" w:fill="FFFFFF"/>
          </w:tcPr>
          <w:p w14:paraId="07DF4D72"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1CAABC0C" w14:textId="3B8D9E3A"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848.562</w:t>
            </w:r>
          </w:p>
        </w:tc>
        <w:tc>
          <w:tcPr>
            <w:tcW w:w="820" w:type="dxa"/>
            <w:tcBorders>
              <w:top w:val="nil"/>
            </w:tcBorders>
            <w:shd w:val="clear" w:color="auto" w:fill="FFFFFF"/>
            <w:vAlign w:val="center"/>
          </w:tcPr>
          <w:p w14:paraId="5CFCE396" w14:textId="07CB8781" w:rsidR="00661DC9"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644</w:t>
            </w:r>
          </w:p>
        </w:tc>
        <w:tc>
          <w:tcPr>
            <w:tcW w:w="1445" w:type="dxa"/>
            <w:tcBorders>
              <w:top w:val="nil"/>
            </w:tcBorders>
            <w:shd w:val="clear" w:color="auto" w:fill="FFFFFF"/>
            <w:vAlign w:val="center"/>
          </w:tcPr>
          <w:p w14:paraId="6CB3D96A" w14:textId="6D55AF44"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1.320</w:t>
            </w:r>
          </w:p>
        </w:tc>
        <w:tc>
          <w:tcPr>
            <w:tcW w:w="1030" w:type="dxa"/>
            <w:tcBorders>
              <w:top w:val="nil"/>
            </w:tcBorders>
            <w:shd w:val="clear" w:color="auto" w:fill="FFFFFF"/>
            <w:vAlign w:val="center"/>
          </w:tcPr>
          <w:p w14:paraId="4AA8B53D"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453DB70F"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r>
      <w:tr w:rsidR="00661DC9" w:rsidRPr="00CF31E0" w14:paraId="2BF6FFC3" w14:textId="77777777" w:rsidTr="00661DC9">
        <w:trPr>
          <w:cantSplit/>
        </w:trPr>
        <w:tc>
          <w:tcPr>
            <w:tcW w:w="1736" w:type="dxa"/>
            <w:shd w:val="clear" w:color="auto" w:fill="FFFFFF"/>
          </w:tcPr>
          <w:p w14:paraId="212AAB77"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D00C12E" w14:textId="0A6CE420"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851.325</w:t>
            </w:r>
          </w:p>
        </w:tc>
        <w:tc>
          <w:tcPr>
            <w:tcW w:w="820" w:type="dxa"/>
            <w:shd w:val="clear" w:color="auto" w:fill="FFFFFF"/>
            <w:vAlign w:val="center"/>
          </w:tcPr>
          <w:p w14:paraId="20FFF075" w14:textId="5444A12B" w:rsidR="00661DC9"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15B87DD1"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61BF6F13"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081515EE"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r>
    </w:tbl>
    <w:p w14:paraId="3DBEAD70" w14:textId="77777777" w:rsidR="00C15345" w:rsidRPr="00CF31E0" w:rsidRDefault="00C15345" w:rsidP="00C15345">
      <w:pPr>
        <w:rPr>
          <w:rFonts w:asciiTheme="majorBidi" w:hAnsiTheme="majorBidi" w:cstheme="majorBidi"/>
          <w:b/>
          <w:bCs/>
          <w:color w:val="000000" w:themeColor="text1"/>
        </w:rPr>
      </w:pPr>
    </w:p>
    <w:p w14:paraId="5710741C" w14:textId="77777777" w:rsidR="00C15345" w:rsidRPr="00CF31E0" w:rsidRDefault="00C15345" w:rsidP="00C15345">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15345" w:rsidRPr="00CF31E0" w14:paraId="6FD91917" w14:textId="77777777" w:rsidTr="00661DC9">
        <w:trPr>
          <w:cantSplit/>
        </w:trPr>
        <w:tc>
          <w:tcPr>
            <w:tcW w:w="1736" w:type="dxa"/>
            <w:tcBorders>
              <w:top w:val="single" w:sz="8" w:space="0" w:color="auto"/>
              <w:bottom w:val="single" w:sz="6" w:space="0" w:color="auto"/>
            </w:tcBorders>
            <w:shd w:val="clear" w:color="auto" w:fill="FFFFFF"/>
            <w:vAlign w:val="bottom"/>
          </w:tcPr>
          <w:p w14:paraId="2D432885" w14:textId="6C0C7A2A" w:rsidR="00C15345"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Spouse’s social</w:t>
            </w:r>
            <w:r w:rsidR="00C15345" w:rsidRPr="00CF31E0">
              <w:rPr>
                <w:rFonts w:eastAsia="Calibri" w:cs="Arial"/>
                <w:color w:val="000000" w:themeColor="text1"/>
                <w:sz w:val="22"/>
                <w:szCs w:val="22"/>
                <w:lang w:eastAsia="en-US"/>
              </w:rPr>
              <w:t xml:space="preserve"> group</w:t>
            </w:r>
          </w:p>
        </w:tc>
        <w:tc>
          <w:tcPr>
            <w:tcW w:w="1686" w:type="dxa"/>
            <w:tcBorders>
              <w:top w:val="single" w:sz="8" w:space="0" w:color="auto"/>
              <w:bottom w:val="single" w:sz="6" w:space="0" w:color="auto"/>
            </w:tcBorders>
            <w:shd w:val="clear" w:color="auto" w:fill="FFFFFF"/>
            <w:vAlign w:val="bottom"/>
          </w:tcPr>
          <w:p w14:paraId="047641B3"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47C3192A"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22A92F62"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4F8B953F"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38E97923"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661DC9" w:rsidRPr="00CF31E0" w14:paraId="34FBF995" w14:textId="77777777" w:rsidTr="00661DC9">
        <w:trPr>
          <w:cantSplit/>
        </w:trPr>
        <w:tc>
          <w:tcPr>
            <w:tcW w:w="1736" w:type="dxa"/>
            <w:tcBorders>
              <w:top w:val="single" w:sz="6" w:space="0" w:color="auto"/>
              <w:bottom w:val="nil"/>
            </w:tcBorders>
            <w:shd w:val="clear" w:color="auto" w:fill="FFFFFF"/>
          </w:tcPr>
          <w:p w14:paraId="76A47E57"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1F8FBA88" w14:textId="51D5E209"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2.323</w:t>
            </w:r>
          </w:p>
        </w:tc>
        <w:tc>
          <w:tcPr>
            <w:tcW w:w="820" w:type="dxa"/>
            <w:tcBorders>
              <w:top w:val="single" w:sz="6" w:space="0" w:color="auto"/>
              <w:bottom w:val="nil"/>
            </w:tcBorders>
            <w:shd w:val="clear" w:color="auto" w:fill="FFFFFF"/>
            <w:vAlign w:val="center"/>
          </w:tcPr>
          <w:p w14:paraId="67F3AEAC" w14:textId="50B3C6EE"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w:t>
            </w:r>
          </w:p>
        </w:tc>
        <w:tc>
          <w:tcPr>
            <w:tcW w:w="1445" w:type="dxa"/>
            <w:tcBorders>
              <w:top w:val="single" w:sz="6" w:space="0" w:color="auto"/>
              <w:bottom w:val="nil"/>
            </w:tcBorders>
            <w:shd w:val="clear" w:color="auto" w:fill="FFFFFF"/>
            <w:vAlign w:val="center"/>
          </w:tcPr>
          <w:p w14:paraId="0A80F054" w14:textId="01C12D56"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.581</w:t>
            </w:r>
          </w:p>
        </w:tc>
        <w:tc>
          <w:tcPr>
            <w:tcW w:w="1030" w:type="dxa"/>
            <w:tcBorders>
              <w:top w:val="single" w:sz="6" w:space="0" w:color="auto"/>
              <w:bottom w:val="nil"/>
            </w:tcBorders>
            <w:shd w:val="clear" w:color="auto" w:fill="FFFFFF"/>
            <w:vAlign w:val="center"/>
          </w:tcPr>
          <w:p w14:paraId="0F9072F4" w14:textId="506C853A"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.442</w:t>
            </w:r>
          </w:p>
        </w:tc>
        <w:tc>
          <w:tcPr>
            <w:tcW w:w="674" w:type="dxa"/>
            <w:tcBorders>
              <w:top w:val="single" w:sz="6" w:space="0" w:color="auto"/>
              <w:bottom w:val="nil"/>
            </w:tcBorders>
            <w:shd w:val="clear" w:color="auto" w:fill="FFFFFF"/>
            <w:vAlign w:val="center"/>
          </w:tcPr>
          <w:p w14:paraId="3396A31A" w14:textId="22BC0D21"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.778</w:t>
            </w:r>
          </w:p>
        </w:tc>
      </w:tr>
      <w:tr w:rsidR="00661DC9" w:rsidRPr="00CF31E0" w14:paraId="2FCDA103" w14:textId="77777777" w:rsidTr="00661DC9">
        <w:trPr>
          <w:cantSplit/>
        </w:trPr>
        <w:tc>
          <w:tcPr>
            <w:tcW w:w="1736" w:type="dxa"/>
            <w:tcBorders>
              <w:top w:val="nil"/>
            </w:tcBorders>
            <w:shd w:val="clear" w:color="auto" w:fill="FFFFFF"/>
          </w:tcPr>
          <w:p w14:paraId="41A29A80"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160E0462" w14:textId="60192C50"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841.593</w:t>
            </w:r>
          </w:p>
        </w:tc>
        <w:tc>
          <w:tcPr>
            <w:tcW w:w="820" w:type="dxa"/>
            <w:tcBorders>
              <w:top w:val="nil"/>
            </w:tcBorders>
            <w:shd w:val="clear" w:color="auto" w:fill="FFFFFF"/>
            <w:vAlign w:val="center"/>
          </w:tcPr>
          <w:p w14:paraId="32CADBF3" w14:textId="189D7831" w:rsidR="00661DC9"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645</w:t>
            </w:r>
          </w:p>
        </w:tc>
        <w:tc>
          <w:tcPr>
            <w:tcW w:w="1445" w:type="dxa"/>
            <w:tcBorders>
              <w:top w:val="nil"/>
            </w:tcBorders>
            <w:shd w:val="clear" w:color="auto" w:fill="FFFFFF"/>
            <w:vAlign w:val="center"/>
          </w:tcPr>
          <w:p w14:paraId="2B64C388" w14:textId="44AEA9AC"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1.315</w:t>
            </w:r>
          </w:p>
        </w:tc>
        <w:tc>
          <w:tcPr>
            <w:tcW w:w="1030" w:type="dxa"/>
            <w:tcBorders>
              <w:top w:val="nil"/>
            </w:tcBorders>
            <w:shd w:val="clear" w:color="auto" w:fill="FFFFFF"/>
            <w:vAlign w:val="center"/>
          </w:tcPr>
          <w:p w14:paraId="53AE1278"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58076C2B"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r>
      <w:tr w:rsidR="00661DC9" w:rsidRPr="00CF31E0" w14:paraId="4F7B0ADD" w14:textId="77777777" w:rsidTr="00661DC9">
        <w:trPr>
          <w:cantSplit/>
        </w:trPr>
        <w:tc>
          <w:tcPr>
            <w:tcW w:w="1736" w:type="dxa"/>
            <w:shd w:val="clear" w:color="auto" w:fill="FFFFFF"/>
          </w:tcPr>
          <w:p w14:paraId="7EA6BF6F" w14:textId="77777777" w:rsidR="00661DC9" w:rsidRPr="00CF31E0" w:rsidRDefault="00661DC9"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5E0B133D" w14:textId="28E348AF" w:rsidR="00661DC9" w:rsidRPr="00CF31E0" w:rsidRDefault="00661DC9"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843.916</w:t>
            </w:r>
          </w:p>
        </w:tc>
        <w:tc>
          <w:tcPr>
            <w:tcW w:w="820" w:type="dxa"/>
            <w:shd w:val="clear" w:color="auto" w:fill="FFFFFF"/>
            <w:vAlign w:val="center"/>
          </w:tcPr>
          <w:p w14:paraId="69EDE60C" w14:textId="303888EF" w:rsidR="00661DC9" w:rsidRPr="00CF31E0" w:rsidRDefault="00073750"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669F40DC"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06882459"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2FE71771" w14:textId="77777777" w:rsidR="00661DC9" w:rsidRPr="00CF31E0" w:rsidRDefault="00661DC9" w:rsidP="00661DC9">
            <w:pPr>
              <w:spacing w:before="120" w:after="120" w:line="360" w:lineRule="auto"/>
              <w:jc w:val="right"/>
              <w:rPr>
                <w:rFonts w:eastAsia="Calibri" w:cs="Arial"/>
                <w:color w:val="000000" w:themeColor="text1"/>
                <w:sz w:val="22"/>
                <w:szCs w:val="22"/>
                <w:lang w:eastAsia="en-US"/>
              </w:rPr>
            </w:pPr>
          </w:p>
        </w:tc>
      </w:tr>
    </w:tbl>
    <w:p w14:paraId="3E5C9EB2" w14:textId="77777777" w:rsidR="00C15345" w:rsidRPr="00CF31E0" w:rsidRDefault="00C15345" w:rsidP="00C15345">
      <w:pPr>
        <w:rPr>
          <w:rFonts w:asciiTheme="majorBidi" w:hAnsiTheme="majorBidi" w:cstheme="majorBidi"/>
          <w:b/>
          <w:bCs/>
          <w:color w:val="000000" w:themeColor="text1"/>
        </w:rPr>
      </w:pPr>
    </w:p>
    <w:p w14:paraId="0240E769" w14:textId="77777777" w:rsidR="00C15345" w:rsidRPr="00CF31E0" w:rsidRDefault="00C15345" w:rsidP="00C15345">
      <w:pPr>
        <w:rPr>
          <w:rFonts w:asciiTheme="majorBidi" w:hAnsiTheme="majorBidi" w:cstheme="majorBidi"/>
          <w:b/>
          <w:bCs/>
          <w:color w:val="000000" w:themeColor="text1"/>
        </w:rPr>
      </w:pPr>
    </w:p>
    <w:p w14:paraId="0EFAFDD3" w14:textId="77777777" w:rsidR="005F1CFD" w:rsidRPr="00CF31E0" w:rsidRDefault="005F1CFD" w:rsidP="00C15345">
      <w:pPr>
        <w:rPr>
          <w:rFonts w:asciiTheme="majorBidi" w:hAnsiTheme="majorBidi" w:cstheme="majorBidi"/>
          <w:b/>
          <w:bCs/>
          <w:color w:val="000000" w:themeColor="text1"/>
        </w:rPr>
      </w:pPr>
    </w:p>
    <w:p w14:paraId="1B8D402F" w14:textId="77777777" w:rsidR="005F1CFD" w:rsidRPr="00CF31E0" w:rsidRDefault="005F1CFD" w:rsidP="00C15345">
      <w:pPr>
        <w:rPr>
          <w:rFonts w:asciiTheme="majorBidi" w:hAnsiTheme="majorBidi" w:cstheme="majorBidi"/>
          <w:b/>
          <w:bCs/>
          <w:color w:val="000000" w:themeColor="text1"/>
        </w:rPr>
      </w:pPr>
    </w:p>
    <w:p w14:paraId="2E696CEB" w14:textId="77777777" w:rsidR="005F1CFD" w:rsidRPr="00CF31E0" w:rsidRDefault="005F1CFD" w:rsidP="00C15345">
      <w:pPr>
        <w:rPr>
          <w:rFonts w:asciiTheme="majorBidi" w:hAnsiTheme="majorBidi" w:cstheme="majorBidi"/>
          <w:b/>
          <w:bCs/>
          <w:color w:val="000000" w:themeColor="text1"/>
        </w:rPr>
      </w:pPr>
    </w:p>
    <w:p w14:paraId="4F251089" w14:textId="77777777" w:rsidR="005F1CFD" w:rsidRPr="00CF31E0" w:rsidRDefault="005F1CFD" w:rsidP="00C15345">
      <w:pPr>
        <w:rPr>
          <w:rFonts w:asciiTheme="majorBidi" w:hAnsiTheme="majorBidi" w:cstheme="majorBidi"/>
          <w:b/>
          <w:bCs/>
          <w:color w:val="000000" w:themeColor="text1"/>
        </w:rPr>
      </w:pPr>
    </w:p>
    <w:p w14:paraId="541B3F6B" w14:textId="67668F0C" w:rsidR="005F1CFD" w:rsidRPr="00CF31E0" w:rsidRDefault="005F1CFD" w:rsidP="005F1CFD">
      <w:pPr>
        <w:pStyle w:val="ListParagraph"/>
        <w:numPr>
          <w:ilvl w:val="0"/>
          <w:numId w:val="71"/>
        </w:numPr>
        <w:rPr>
          <w:rFonts w:asciiTheme="majorBidi" w:hAnsiTheme="majorBidi" w:cstheme="majorBidi"/>
          <w:b/>
          <w:bCs/>
          <w:color w:val="000000" w:themeColor="text1"/>
          <w:sz w:val="28"/>
          <w:szCs w:val="28"/>
        </w:rPr>
      </w:pPr>
      <w:r w:rsidRPr="00CF31E0">
        <w:rPr>
          <w:rFonts w:asciiTheme="majorBidi" w:hAnsiTheme="majorBidi" w:cstheme="majorBidi"/>
          <w:b/>
          <w:bCs/>
          <w:color w:val="000000" w:themeColor="text1"/>
          <w:sz w:val="28"/>
          <w:szCs w:val="28"/>
        </w:rPr>
        <w:lastRenderedPageBreak/>
        <w:t>Traditional scale</w:t>
      </w:r>
    </w:p>
    <w:p w14:paraId="7E866802" w14:textId="77777777" w:rsidR="007255CE" w:rsidRPr="00CF31E0" w:rsidRDefault="007255CE" w:rsidP="00C15345">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5F1CFD" w:rsidRPr="00CF31E0" w14:paraId="48EDB09B" w14:textId="77777777" w:rsidTr="00C86BDA">
        <w:trPr>
          <w:cantSplit/>
        </w:trPr>
        <w:tc>
          <w:tcPr>
            <w:tcW w:w="1736" w:type="dxa"/>
            <w:tcBorders>
              <w:top w:val="single" w:sz="8" w:space="0" w:color="auto"/>
              <w:bottom w:val="single" w:sz="6" w:space="0" w:color="auto"/>
            </w:tcBorders>
            <w:shd w:val="clear" w:color="auto" w:fill="FFFFFF"/>
            <w:vAlign w:val="bottom"/>
          </w:tcPr>
          <w:p w14:paraId="761070C9"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Gender</w:t>
            </w:r>
          </w:p>
        </w:tc>
        <w:tc>
          <w:tcPr>
            <w:tcW w:w="1686" w:type="dxa"/>
            <w:tcBorders>
              <w:top w:val="single" w:sz="8" w:space="0" w:color="auto"/>
              <w:bottom w:val="single" w:sz="6" w:space="0" w:color="auto"/>
            </w:tcBorders>
            <w:shd w:val="clear" w:color="auto" w:fill="FFFFFF"/>
            <w:vAlign w:val="bottom"/>
          </w:tcPr>
          <w:p w14:paraId="6FC3C51B"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446D80D7"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37F47E77"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39A46436"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72A5424E"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5F1CFD" w:rsidRPr="00CF31E0" w14:paraId="4F77EFCB" w14:textId="77777777" w:rsidTr="00C86BDA">
        <w:trPr>
          <w:cantSplit/>
        </w:trPr>
        <w:tc>
          <w:tcPr>
            <w:tcW w:w="1736" w:type="dxa"/>
            <w:tcBorders>
              <w:top w:val="single" w:sz="6" w:space="0" w:color="auto"/>
              <w:bottom w:val="nil"/>
            </w:tcBorders>
            <w:shd w:val="clear" w:color="auto" w:fill="FFFFFF"/>
          </w:tcPr>
          <w:p w14:paraId="619D1754"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6294D65E" w14:textId="28EA4478"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.719</w:t>
            </w:r>
          </w:p>
        </w:tc>
        <w:tc>
          <w:tcPr>
            <w:tcW w:w="820" w:type="dxa"/>
            <w:tcBorders>
              <w:top w:val="single" w:sz="6" w:space="0" w:color="auto"/>
              <w:bottom w:val="nil"/>
            </w:tcBorders>
            <w:shd w:val="clear" w:color="auto" w:fill="FFFFFF"/>
            <w:vAlign w:val="center"/>
          </w:tcPr>
          <w:p w14:paraId="02F0C0B9" w14:textId="57716BBF"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691E3440" w14:textId="5D67355E"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.719</w:t>
            </w:r>
          </w:p>
        </w:tc>
        <w:tc>
          <w:tcPr>
            <w:tcW w:w="1030" w:type="dxa"/>
            <w:tcBorders>
              <w:top w:val="single" w:sz="6" w:space="0" w:color="auto"/>
              <w:bottom w:val="nil"/>
            </w:tcBorders>
            <w:shd w:val="clear" w:color="auto" w:fill="FFFFFF"/>
            <w:vAlign w:val="center"/>
          </w:tcPr>
          <w:p w14:paraId="46C75A30" w14:textId="255DCDB1"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.519</w:t>
            </w:r>
          </w:p>
        </w:tc>
        <w:tc>
          <w:tcPr>
            <w:tcW w:w="674" w:type="dxa"/>
            <w:tcBorders>
              <w:top w:val="single" w:sz="6" w:space="0" w:color="auto"/>
              <w:bottom w:val="nil"/>
            </w:tcBorders>
            <w:shd w:val="clear" w:color="auto" w:fill="FFFFFF"/>
            <w:vAlign w:val="center"/>
          </w:tcPr>
          <w:p w14:paraId="68DBB33C" w14:textId="5740B28C"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.472</w:t>
            </w:r>
          </w:p>
        </w:tc>
      </w:tr>
      <w:tr w:rsidR="005F1CFD" w:rsidRPr="00CF31E0" w14:paraId="6DFF6D2A" w14:textId="77777777" w:rsidTr="00C86BDA">
        <w:trPr>
          <w:cantSplit/>
        </w:trPr>
        <w:tc>
          <w:tcPr>
            <w:tcW w:w="1736" w:type="dxa"/>
            <w:tcBorders>
              <w:top w:val="nil"/>
            </w:tcBorders>
            <w:shd w:val="clear" w:color="auto" w:fill="FFFFFF"/>
          </w:tcPr>
          <w:p w14:paraId="47372745"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29EA6AD1" w14:textId="105B9C7A"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896.381</w:t>
            </w:r>
          </w:p>
        </w:tc>
        <w:tc>
          <w:tcPr>
            <w:tcW w:w="820" w:type="dxa"/>
            <w:tcBorders>
              <w:top w:val="nil"/>
            </w:tcBorders>
            <w:shd w:val="clear" w:color="auto" w:fill="FFFFFF"/>
            <w:vAlign w:val="center"/>
          </w:tcPr>
          <w:p w14:paraId="2110AB38" w14:textId="20FE204C" w:rsidR="005F1CFD" w:rsidRPr="00CF31E0" w:rsidRDefault="00073750"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17854E46" w14:textId="046D7482"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1.385</w:t>
            </w:r>
          </w:p>
        </w:tc>
        <w:tc>
          <w:tcPr>
            <w:tcW w:w="1030" w:type="dxa"/>
            <w:tcBorders>
              <w:top w:val="nil"/>
            </w:tcBorders>
            <w:shd w:val="clear" w:color="auto" w:fill="FFFFFF"/>
            <w:vAlign w:val="center"/>
          </w:tcPr>
          <w:p w14:paraId="70189F7B"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7BAB1988"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r>
      <w:tr w:rsidR="005F1CFD" w:rsidRPr="00CF31E0" w14:paraId="57E3CA52" w14:textId="77777777" w:rsidTr="00C86BDA">
        <w:trPr>
          <w:cantSplit/>
        </w:trPr>
        <w:tc>
          <w:tcPr>
            <w:tcW w:w="1736" w:type="dxa"/>
            <w:shd w:val="clear" w:color="auto" w:fill="FFFFFF"/>
          </w:tcPr>
          <w:p w14:paraId="7B0BE0B6"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11B89B15" w14:textId="0FBC8686"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897.100</w:t>
            </w:r>
          </w:p>
        </w:tc>
        <w:tc>
          <w:tcPr>
            <w:tcW w:w="820" w:type="dxa"/>
            <w:shd w:val="clear" w:color="auto" w:fill="FFFFFF"/>
            <w:vAlign w:val="center"/>
          </w:tcPr>
          <w:p w14:paraId="72223CEF" w14:textId="4CD4D7E0" w:rsidR="005F1CFD" w:rsidRPr="00CF31E0" w:rsidRDefault="00073750"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26888188"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5DDDF6AD"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274D3480"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r>
    </w:tbl>
    <w:p w14:paraId="58D591FD" w14:textId="77777777" w:rsidR="005F1CFD" w:rsidRPr="00CF31E0" w:rsidRDefault="005F1CFD" w:rsidP="005F1CFD">
      <w:pPr>
        <w:rPr>
          <w:rFonts w:asciiTheme="majorBidi" w:hAnsiTheme="majorBidi" w:cstheme="majorBidi"/>
          <w:b/>
          <w:bCs/>
          <w:color w:val="000000" w:themeColor="text1"/>
        </w:rPr>
      </w:pPr>
    </w:p>
    <w:p w14:paraId="144E8DD3" w14:textId="77777777" w:rsidR="005F1CFD" w:rsidRPr="00CF31E0" w:rsidRDefault="005F1CFD" w:rsidP="005F1CF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5F1CFD" w:rsidRPr="00CF31E0" w14:paraId="6045788F" w14:textId="77777777" w:rsidTr="00C86BDA">
        <w:trPr>
          <w:cantSplit/>
        </w:trPr>
        <w:tc>
          <w:tcPr>
            <w:tcW w:w="1736" w:type="dxa"/>
            <w:tcBorders>
              <w:top w:val="single" w:sz="8" w:space="0" w:color="auto"/>
              <w:bottom w:val="single" w:sz="6" w:space="0" w:color="auto"/>
            </w:tcBorders>
            <w:shd w:val="clear" w:color="auto" w:fill="FFFFFF"/>
            <w:vAlign w:val="bottom"/>
          </w:tcPr>
          <w:p w14:paraId="5C990E98"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 of birth</w:t>
            </w:r>
          </w:p>
        </w:tc>
        <w:tc>
          <w:tcPr>
            <w:tcW w:w="1686" w:type="dxa"/>
            <w:tcBorders>
              <w:top w:val="single" w:sz="8" w:space="0" w:color="auto"/>
              <w:bottom w:val="single" w:sz="6" w:space="0" w:color="auto"/>
            </w:tcBorders>
            <w:shd w:val="clear" w:color="auto" w:fill="FFFFFF"/>
            <w:vAlign w:val="bottom"/>
          </w:tcPr>
          <w:p w14:paraId="76D1CDE8"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69D544AD"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35B88361"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0294F49D"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2778CC61"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5F1CFD" w:rsidRPr="00CF31E0" w14:paraId="07697129" w14:textId="77777777" w:rsidTr="00C86BDA">
        <w:trPr>
          <w:cantSplit/>
        </w:trPr>
        <w:tc>
          <w:tcPr>
            <w:tcW w:w="1736" w:type="dxa"/>
            <w:tcBorders>
              <w:top w:val="single" w:sz="6" w:space="0" w:color="auto"/>
              <w:bottom w:val="nil"/>
            </w:tcBorders>
            <w:shd w:val="clear" w:color="auto" w:fill="FFFFFF"/>
          </w:tcPr>
          <w:p w14:paraId="642EF631"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78A79362" w14:textId="3FBEEDF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.054</w:t>
            </w:r>
          </w:p>
        </w:tc>
        <w:tc>
          <w:tcPr>
            <w:tcW w:w="820" w:type="dxa"/>
            <w:tcBorders>
              <w:top w:val="single" w:sz="6" w:space="0" w:color="auto"/>
              <w:bottom w:val="nil"/>
            </w:tcBorders>
            <w:shd w:val="clear" w:color="auto" w:fill="FFFFFF"/>
            <w:vAlign w:val="center"/>
          </w:tcPr>
          <w:p w14:paraId="4FCE11C8" w14:textId="38A7086F"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2F8D172D" w14:textId="19E5296E"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.054</w:t>
            </w:r>
          </w:p>
        </w:tc>
        <w:tc>
          <w:tcPr>
            <w:tcW w:w="1030" w:type="dxa"/>
            <w:tcBorders>
              <w:top w:val="single" w:sz="6" w:space="0" w:color="auto"/>
              <w:bottom w:val="nil"/>
            </w:tcBorders>
            <w:shd w:val="clear" w:color="auto" w:fill="FFFFFF"/>
            <w:vAlign w:val="center"/>
          </w:tcPr>
          <w:p w14:paraId="52BED3F1" w14:textId="693F2C2E"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.039</w:t>
            </w:r>
          </w:p>
        </w:tc>
        <w:tc>
          <w:tcPr>
            <w:tcW w:w="674" w:type="dxa"/>
            <w:tcBorders>
              <w:top w:val="single" w:sz="6" w:space="0" w:color="auto"/>
              <w:bottom w:val="nil"/>
            </w:tcBorders>
            <w:shd w:val="clear" w:color="auto" w:fill="FFFFFF"/>
            <w:vAlign w:val="center"/>
          </w:tcPr>
          <w:p w14:paraId="7DD5A009" w14:textId="7B5DB075"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.844</w:t>
            </w:r>
          </w:p>
        </w:tc>
      </w:tr>
      <w:tr w:rsidR="005F1CFD" w:rsidRPr="00CF31E0" w14:paraId="13C78C5F" w14:textId="77777777" w:rsidTr="00C86BDA">
        <w:trPr>
          <w:cantSplit/>
        </w:trPr>
        <w:tc>
          <w:tcPr>
            <w:tcW w:w="1736" w:type="dxa"/>
            <w:tcBorders>
              <w:top w:val="nil"/>
            </w:tcBorders>
            <w:shd w:val="clear" w:color="auto" w:fill="FFFFFF"/>
          </w:tcPr>
          <w:p w14:paraId="7326D6FB"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34125804" w14:textId="550588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897.046</w:t>
            </w:r>
          </w:p>
        </w:tc>
        <w:tc>
          <w:tcPr>
            <w:tcW w:w="820" w:type="dxa"/>
            <w:tcBorders>
              <w:top w:val="nil"/>
            </w:tcBorders>
            <w:shd w:val="clear" w:color="auto" w:fill="FFFFFF"/>
            <w:vAlign w:val="center"/>
          </w:tcPr>
          <w:p w14:paraId="3EC75C75" w14:textId="0DE7C582" w:rsidR="005F1CFD" w:rsidRPr="00CF31E0" w:rsidRDefault="00073750"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0132C787" w14:textId="2A048F31"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1.386</w:t>
            </w:r>
          </w:p>
        </w:tc>
        <w:tc>
          <w:tcPr>
            <w:tcW w:w="1030" w:type="dxa"/>
            <w:tcBorders>
              <w:top w:val="nil"/>
            </w:tcBorders>
            <w:shd w:val="clear" w:color="auto" w:fill="FFFFFF"/>
            <w:vAlign w:val="center"/>
          </w:tcPr>
          <w:p w14:paraId="141D436A"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41AFE3EB"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r>
      <w:tr w:rsidR="005F1CFD" w:rsidRPr="00CF31E0" w14:paraId="10C76126" w14:textId="77777777" w:rsidTr="00C86BDA">
        <w:trPr>
          <w:cantSplit/>
        </w:trPr>
        <w:tc>
          <w:tcPr>
            <w:tcW w:w="1736" w:type="dxa"/>
            <w:shd w:val="clear" w:color="auto" w:fill="FFFFFF"/>
          </w:tcPr>
          <w:p w14:paraId="6960DA26"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39DC224" w14:textId="7D1F16CA"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897.100</w:t>
            </w:r>
          </w:p>
        </w:tc>
        <w:tc>
          <w:tcPr>
            <w:tcW w:w="820" w:type="dxa"/>
            <w:shd w:val="clear" w:color="auto" w:fill="FFFFFF"/>
            <w:vAlign w:val="center"/>
          </w:tcPr>
          <w:p w14:paraId="162DACDB" w14:textId="5B967658" w:rsidR="005F1CFD" w:rsidRPr="00CF31E0" w:rsidRDefault="00073750"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714D15DD"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354CA3FD"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583BFF8B"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r>
    </w:tbl>
    <w:p w14:paraId="4BE6A6A0" w14:textId="77777777" w:rsidR="005F1CFD" w:rsidRPr="00CF31E0" w:rsidRDefault="005F1CFD" w:rsidP="005F1CFD">
      <w:pPr>
        <w:rPr>
          <w:rFonts w:asciiTheme="majorBidi" w:hAnsiTheme="majorBidi" w:cstheme="majorBidi"/>
          <w:b/>
          <w:bCs/>
          <w:color w:val="000000" w:themeColor="text1"/>
        </w:rPr>
      </w:pPr>
    </w:p>
    <w:p w14:paraId="6A932E53" w14:textId="77777777" w:rsidR="005F1CFD" w:rsidRPr="00CF31E0" w:rsidRDefault="005F1CFD" w:rsidP="005F1CF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5F1CFD" w:rsidRPr="00CF31E0" w14:paraId="6B1A83D9" w14:textId="77777777" w:rsidTr="00C86BDA">
        <w:trPr>
          <w:cantSplit/>
        </w:trPr>
        <w:tc>
          <w:tcPr>
            <w:tcW w:w="1736" w:type="dxa"/>
            <w:tcBorders>
              <w:top w:val="single" w:sz="8" w:space="0" w:color="auto"/>
              <w:bottom w:val="single" w:sz="6" w:space="0" w:color="auto"/>
            </w:tcBorders>
            <w:shd w:val="clear" w:color="auto" w:fill="FFFFFF"/>
            <w:vAlign w:val="bottom"/>
          </w:tcPr>
          <w:p w14:paraId="2B651D11"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Places lived</w:t>
            </w:r>
          </w:p>
        </w:tc>
        <w:tc>
          <w:tcPr>
            <w:tcW w:w="1686" w:type="dxa"/>
            <w:tcBorders>
              <w:top w:val="single" w:sz="8" w:space="0" w:color="auto"/>
              <w:bottom w:val="single" w:sz="6" w:space="0" w:color="auto"/>
            </w:tcBorders>
            <w:shd w:val="clear" w:color="auto" w:fill="FFFFFF"/>
            <w:vAlign w:val="bottom"/>
          </w:tcPr>
          <w:p w14:paraId="6118D2C4"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105A8EE2"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7D283A3B"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0B4EEA3D"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6D7CE2ED"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5F1CFD" w:rsidRPr="00CF31E0" w14:paraId="23E29525" w14:textId="77777777" w:rsidTr="00C86BDA">
        <w:trPr>
          <w:cantSplit/>
        </w:trPr>
        <w:tc>
          <w:tcPr>
            <w:tcW w:w="1736" w:type="dxa"/>
            <w:tcBorders>
              <w:top w:val="single" w:sz="6" w:space="0" w:color="auto"/>
              <w:bottom w:val="nil"/>
            </w:tcBorders>
            <w:shd w:val="clear" w:color="auto" w:fill="FFFFFF"/>
          </w:tcPr>
          <w:p w14:paraId="73410F4B"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21F4AD01" w14:textId="45BBC430"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.926</w:t>
            </w:r>
          </w:p>
        </w:tc>
        <w:tc>
          <w:tcPr>
            <w:tcW w:w="820" w:type="dxa"/>
            <w:tcBorders>
              <w:top w:val="single" w:sz="6" w:space="0" w:color="auto"/>
              <w:bottom w:val="nil"/>
            </w:tcBorders>
            <w:shd w:val="clear" w:color="auto" w:fill="FFFFFF"/>
            <w:vAlign w:val="center"/>
          </w:tcPr>
          <w:p w14:paraId="429DC379" w14:textId="086729DB"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3960D711" w14:textId="14BC56E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.926</w:t>
            </w:r>
          </w:p>
        </w:tc>
        <w:tc>
          <w:tcPr>
            <w:tcW w:w="1030" w:type="dxa"/>
            <w:tcBorders>
              <w:top w:val="single" w:sz="6" w:space="0" w:color="auto"/>
              <w:bottom w:val="nil"/>
            </w:tcBorders>
            <w:shd w:val="clear" w:color="auto" w:fill="FFFFFF"/>
            <w:vAlign w:val="center"/>
          </w:tcPr>
          <w:p w14:paraId="53278669" w14:textId="0031160A"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.663</w:t>
            </w:r>
          </w:p>
        </w:tc>
        <w:tc>
          <w:tcPr>
            <w:tcW w:w="674" w:type="dxa"/>
            <w:tcBorders>
              <w:top w:val="single" w:sz="6" w:space="0" w:color="auto"/>
              <w:bottom w:val="nil"/>
            </w:tcBorders>
            <w:shd w:val="clear" w:color="auto" w:fill="FFFFFF"/>
            <w:vAlign w:val="center"/>
          </w:tcPr>
          <w:p w14:paraId="2E5C3ED1" w14:textId="563DEBBE"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.416</w:t>
            </w:r>
          </w:p>
        </w:tc>
      </w:tr>
      <w:tr w:rsidR="005F1CFD" w:rsidRPr="00CF31E0" w14:paraId="73469FBF" w14:textId="77777777" w:rsidTr="00C86BDA">
        <w:trPr>
          <w:cantSplit/>
        </w:trPr>
        <w:tc>
          <w:tcPr>
            <w:tcW w:w="1736" w:type="dxa"/>
            <w:tcBorders>
              <w:top w:val="nil"/>
            </w:tcBorders>
            <w:shd w:val="clear" w:color="auto" w:fill="FFFFFF"/>
          </w:tcPr>
          <w:p w14:paraId="46806F47"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4839D188" w14:textId="6189CE24"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888.796</w:t>
            </w:r>
          </w:p>
        </w:tc>
        <w:tc>
          <w:tcPr>
            <w:tcW w:w="820" w:type="dxa"/>
            <w:tcBorders>
              <w:top w:val="nil"/>
            </w:tcBorders>
            <w:shd w:val="clear" w:color="auto" w:fill="FFFFFF"/>
            <w:vAlign w:val="center"/>
          </w:tcPr>
          <w:p w14:paraId="6D2826F8" w14:textId="7BD8CA10" w:rsidR="005F1CFD" w:rsidRPr="00CF31E0" w:rsidRDefault="00073750"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386BECC2" w14:textId="7D4486BB"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1.395</w:t>
            </w:r>
          </w:p>
        </w:tc>
        <w:tc>
          <w:tcPr>
            <w:tcW w:w="1030" w:type="dxa"/>
            <w:tcBorders>
              <w:top w:val="nil"/>
            </w:tcBorders>
            <w:shd w:val="clear" w:color="auto" w:fill="FFFFFF"/>
            <w:vAlign w:val="center"/>
          </w:tcPr>
          <w:p w14:paraId="1F66A146"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3F45C941"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r>
      <w:tr w:rsidR="005F1CFD" w:rsidRPr="00CF31E0" w14:paraId="57A1AF1C" w14:textId="77777777" w:rsidTr="00C86BDA">
        <w:trPr>
          <w:cantSplit/>
        </w:trPr>
        <w:tc>
          <w:tcPr>
            <w:tcW w:w="1736" w:type="dxa"/>
            <w:shd w:val="clear" w:color="auto" w:fill="FFFFFF"/>
          </w:tcPr>
          <w:p w14:paraId="776B5A1E"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6C6D3B24" w14:textId="7AC97DC5"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889.721</w:t>
            </w:r>
          </w:p>
        </w:tc>
        <w:tc>
          <w:tcPr>
            <w:tcW w:w="820" w:type="dxa"/>
            <w:shd w:val="clear" w:color="auto" w:fill="FFFFFF"/>
            <w:vAlign w:val="center"/>
          </w:tcPr>
          <w:p w14:paraId="3582B2DD" w14:textId="39EE2A18" w:rsidR="005F1CFD" w:rsidRPr="00CF31E0" w:rsidRDefault="00073750"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72149994"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1B54C60B"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1E3E5077"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r>
    </w:tbl>
    <w:p w14:paraId="70C7A2C1" w14:textId="77777777" w:rsidR="005F1CFD" w:rsidRPr="00CF31E0" w:rsidRDefault="005F1CFD" w:rsidP="005F1CFD">
      <w:pPr>
        <w:rPr>
          <w:rFonts w:asciiTheme="majorBidi" w:hAnsiTheme="majorBidi" w:cstheme="majorBidi"/>
          <w:b/>
          <w:bCs/>
          <w:color w:val="000000" w:themeColor="text1"/>
        </w:rPr>
      </w:pPr>
    </w:p>
    <w:p w14:paraId="35BBC14C" w14:textId="77777777" w:rsidR="005F1CFD" w:rsidRPr="00CF31E0" w:rsidRDefault="005F1CFD" w:rsidP="005F1CF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5F1CFD" w:rsidRPr="00CF31E0" w14:paraId="30F02F34" w14:textId="77777777" w:rsidTr="00C86BDA">
        <w:trPr>
          <w:cantSplit/>
        </w:trPr>
        <w:tc>
          <w:tcPr>
            <w:tcW w:w="1736" w:type="dxa"/>
            <w:tcBorders>
              <w:top w:val="single" w:sz="8" w:space="0" w:color="auto"/>
              <w:bottom w:val="single" w:sz="6" w:space="0" w:color="auto"/>
            </w:tcBorders>
            <w:shd w:val="clear" w:color="auto" w:fill="FFFFFF"/>
            <w:vAlign w:val="bottom"/>
          </w:tcPr>
          <w:p w14:paraId="7EF34BC2"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Marital status</w:t>
            </w:r>
          </w:p>
        </w:tc>
        <w:tc>
          <w:tcPr>
            <w:tcW w:w="1686" w:type="dxa"/>
            <w:tcBorders>
              <w:top w:val="single" w:sz="8" w:space="0" w:color="auto"/>
              <w:bottom w:val="single" w:sz="6" w:space="0" w:color="auto"/>
            </w:tcBorders>
            <w:shd w:val="clear" w:color="auto" w:fill="FFFFFF"/>
            <w:vAlign w:val="bottom"/>
          </w:tcPr>
          <w:p w14:paraId="56AE58CC"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79916598"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59F3701A"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6B208742"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59F1EBCE"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5F1CFD" w:rsidRPr="00CF31E0" w14:paraId="11AA9B74" w14:textId="77777777" w:rsidTr="00C86BDA">
        <w:trPr>
          <w:cantSplit/>
        </w:trPr>
        <w:tc>
          <w:tcPr>
            <w:tcW w:w="1736" w:type="dxa"/>
            <w:tcBorders>
              <w:top w:val="single" w:sz="6" w:space="0" w:color="auto"/>
              <w:bottom w:val="nil"/>
            </w:tcBorders>
            <w:shd w:val="clear" w:color="auto" w:fill="FFFFFF"/>
          </w:tcPr>
          <w:p w14:paraId="094FB0EA"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5142BE60" w14:textId="00B7508A"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9.203</w:t>
            </w:r>
          </w:p>
        </w:tc>
        <w:tc>
          <w:tcPr>
            <w:tcW w:w="820" w:type="dxa"/>
            <w:tcBorders>
              <w:top w:val="single" w:sz="6" w:space="0" w:color="auto"/>
              <w:bottom w:val="nil"/>
            </w:tcBorders>
            <w:shd w:val="clear" w:color="auto" w:fill="FFFFFF"/>
            <w:vAlign w:val="center"/>
          </w:tcPr>
          <w:p w14:paraId="088E39A7" w14:textId="7DBCE0F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w:t>
            </w:r>
          </w:p>
        </w:tc>
        <w:tc>
          <w:tcPr>
            <w:tcW w:w="1445" w:type="dxa"/>
            <w:tcBorders>
              <w:top w:val="single" w:sz="6" w:space="0" w:color="auto"/>
              <w:bottom w:val="nil"/>
            </w:tcBorders>
            <w:shd w:val="clear" w:color="auto" w:fill="FFFFFF"/>
            <w:vAlign w:val="center"/>
          </w:tcPr>
          <w:p w14:paraId="534667CD" w14:textId="34BA1B0A"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3.068</w:t>
            </w:r>
          </w:p>
        </w:tc>
        <w:tc>
          <w:tcPr>
            <w:tcW w:w="1030" w:type="dxa"/>
            <w:tcBorders>
              <w:top w:val="single" w:sz="6" w:space="0" w:color="auto"/>
              <w:bottom w:val="nil"/>
            </w:tcBorders>
            <w:shd w:val="clear" w:color="auto" w:fill="FFFFFF"/>
            <w:vAlign w:val="center"/>
          </w:tcPr>
          <w:p w14:paraId="4F08FCC9" w14:textId="0123A0EF"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2.229</w:t>
            </w:r>
          </w:p>
        </w:tc>
        <w:tc>
          <w:tcPr>
            <w:tcW w:w="674" w:type="dxa"/>
            <w:tcBorders>
              <w:top w:val="single" w:sz="6" w:space="0" w:color="auto"/>
              <w:bottom w:val="nil"/>
            </w:tcBorders>
            <w:shd w:val="clear" w:color="auto" w:fill="FFFFFF"/>
            <w:vAlign w:val="center"/>
          </w:tcPr>
          <w:p w14:paraId="26D698A4" w14:textId="43AAB5A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.084</w:t>
            </w:r>
          </w:p>
        </w:tc>
      </w:tr>
      <w:tr w:rsidR="005F1CFD" w:rsidRPr="00CF31E0" w14:paraId="4F56ED69" w14:textId="77777777" w:rsidTr="00C86BDA">
        <w:trPr>
          <w:cantSplit/>
        </w:trPr>
        <w:tc>
          <w:tcPr>
            <w:tcW w:w="1736" w:type="dxa"/>
            <w:tcBorders>
              <w:top w:val="nil"/>
            </w:tcBorders>
            <w:shd w:val="clear" w:color="auto" w:fill="FFFFFF"/>
          </w:tcPr>
          <w:p w14:paraId="591A7CBE"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6830696D" w14:textId="490B5E13"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887.897</w:t>
            </w:r>
          </w:p>
        </w:tc>
        <w:tc>
          <w:tcPr>
            <w:tcW w:w="820" w:type="dxa"/>
            <w:tcBorders>
              <w:top w:val="nil"/>
            </w:tcBorders>
            <w:shd w:val="clear" w:color="auto" w:fill="FFFFFF"/>
            <w:vAlign w:val="center"/>
          </w:tcPr>
          <w:p w14:paraId="244963B9" w14:textId="11B19192" w:rsidR="005F1CFD" w:rsidRPr="00CF31E0" w:rsidRDefault="00073750"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646</w:t>
            </w:r>
          </w:p>
        </w:tc>
        <w:tc>
          <w:tcPr>
            <w:tcW w:w="1445" w:type="dxa"/>
            <w:tcBorders>
              <w:top w:val="nil"/>
            </w:tcBorders>
            <w:shd w:val="clear" w:color="auto" w:fill="FFFFFF"/>
            <w:vAlign w:val="center"/>
          </w:tcPr>
          <w:p w14:paraId="2E8383FA" w14:textId="24132CF4"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1.377</w:t>
            </w:r>
          </w:p>
        </w:tc>
        <w:tc>
          <w:tcPr>
            <w:tcW w:w="1030" w:type="dxa"/>
            <w:tcBorders>
              <w:top w:val="nil"/>
            </w:tcBorders>
            <w:shd w:val="clear" w:color="auto" w:fill="FFFFFF"/>
            <w:vAlign w:val="center"/>
          </w:tcPr>
          <w:p w14:paraId="066AEA83"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4EB34B27"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r>
      <w:tr w:rsidR="005F1CFD" w:rsidRPr="00CF31E0" w14:paraId="5ECA6E05" w14:textId="77777777" w:rsidTr="00C86BDA">
        <w:trPr>
          <w:cantSplit/>
        </w:trPr>
        <w:tc>
          <w:tcPr>
            <w:tcW w:w="1736" w:type="dxa"/>
            <w:shd w:val="clear" w:color="auto" w:fill="FFFFFF"/>
          </w:tcPr>
          <w:p w14:paraId="54DEB19B"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E5066B0" w14:textId="1DDA2B11"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897.100</w:t>
            </w:r>
          </w:p>
        </w:tc>
        <w:tc>
          <w:tcPr>
            <w:tcW w:w="820" w:type="dxa"/>
            <w:shd w:val="clear" w:color="auto" w:fill="FFFFFF"/>
            <w:vAlign w:val="center"/>
          </w:tcPr>
          <w:p w14:paraId="6D8076E7" w14:textId="47B0AF94" w:rsidR="005F1CFD" w:rsidRPr="00CF31E0" w:rsidRDefault="00073750"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745E7D9E"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6806006B"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494B09F9"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r>
    </w:tbl>
    <w:p w14:paraId="16EBAA7C" w14:textId="77777777" w:rsidR="005F1CFD" w:rsidRPr="00CF31E0" w:rsidRDefault="005F1CFD" w:rsidP="005F1CFD">
      <w:pPr>
        <w:rPr>
          <w:rFonts w:asciiTheme="majorBidi" w:hAnsiTheme="majorBidi" w:cstheme="majorBidi"/>
          <w:b/>
          <w:bCs/>
          <w:color w:val="000000" w:themeColor="text1"/>
        </w:rPr>
      </w:pPr>
    </w:p>
    <w:p w14:paraId="69F80367" w14:textId="77777777" w:rsidR="005F1CFD" w:rsidRPr="00CF31E0" w:rsidRDefault="005F1CFD" w:rsidP="005F1CFD">
      <w:pPr>
        <w:rPr>
          <w:rFonts w:asciiTheme="majorBidi" w:hAnsiTheme="majorBidi" w:cstheme="majorBidi"/>
          <w:b/>
          <w:bCs/>
          <w:color w:val="000000" w:themeColor="text1"/>
        </w:rPr>
      </w:pPr>
    </w:p>
    <w:p w14:paraId="6605E82F" w14:textId="77777777" w:rsidR="005F1CFD" w:rsidRPr="00CF31E0" w:rsidRDefault="005F1CFD" w:rsidP="005F1CFD">
      <w:pPr>
        <w:rPr>
          <w:rFonts w:asciiTheme="majorBidi" w:hAnsiTheme="majorBidi" w:cstheme="majorBidi"/>
          <w:b/>
          <w:bCs/>
          <w:color w:val="000000" w:themeColor="text1"/>
        </w:rPr>
      </w:pPr>
    </w:p>
    <w:p w14:paraId="1DC99876" w14:textId="77777777" w:rsidR="005F1CFD" w:rsidRPr="00CF31E0" w:rsidRDefault="005F1CFD" w:rsidP="005F1CF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5F1CFD" w:rsidRPr="00CF31E0" w14:paraId="74B738B3" w14:textId="77777777" w:rsidTr="00C86BDA">
        <w:trPr>
          <w:cantSplit/>
        </w:trPr>
        <w:tc>
          <w:tcPr>
            <w:tcW w:w="1736" w:type="dxa"/>
            <w:tcBorders>
              <w:top w:val="single" w:sz="8" w:space="0" w:color="auto"/>
              <w:bottom w:val="single" w:sz="6" w:space="0" w:color="auto"/>
            </w:tcBorders>
            <w:shd w:val="clear" w:color="auto" w:fill="FFFFFF"/>
            <w:vAlign w:val="bottom"/>
          </w:tcPr>
          <w:p w14:paraId="6AA774A3"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Education</w:t>
            </w:r>
          </w:p>
        </w:tc>
        <w:tc>
          <w:tcPr>
            <w:tcW w:w="1686" w:type="dxa"/>
            <w:tcBorders>
              <w:top w:val="single" w:sz="8" w:space="0" w:color="auto"/>
              <w:bottom w:val="single" w:sz="6" w:space="0" w:color="auto"/>
            </w:tcBorders>
            <w:shd w:val="clear" w:color="auto" w:fill="FFFFFF"/>
            <w:vAlign w:val="bottom"/>
          </w:tcPr>
          <w:p w14:paraId="35327279"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6B5E5CF4"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E20E40B"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6ED946F2"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2083A0A9"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5F1CFD" w:rsidRPr="00CF31E0" w14:paraId="6107F265" w14:textId="77777777" w:rsidTr="00C86BDA">
        <w:trPr>
          <w:cantSplit/>
        </w:trPr>
        <w:tc>
          <w:tcPr>
            <w:tcW w:w="1736" w:type="dxa"/>
            <w:tcBorders>
              <w:top w:val="single" w:sz="6" w:space="0" w:color="auto"/>
              <w:bottom w:val="nil"/>
            </w:tcBorders>
            <w:shd w:val="clear" w:color="auto" w:fill="FFFFFF"/>
          </w:tcPr>
          <w:p w14:paraId="34072BE8"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122C26F2" w14:textId="3B7F108C"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5.143</w:t>
            </w:r>
          </w:p>
        </w:tc>
        <w:tc>
          <w:tcPr>
            <w:tcW w:w="820" w:type="dxa"/>
            <w:tcBorders>
              <w:top w:val="single" w:sz="6" w:space="0" w:color="auto"/>
              <w:bottom w:val="nil"/>
            </w:tcBorders>
            <w:shd w:val="clear" w:color="auto" w:fill="FFFFFF"/>
            <w:vAlign w:val="center"/>
          </w:tcPr>
          <w:p w14:paraId="42DEC637" w14:textId="6F133480"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w:t>
            </w:r>
          </w:p>
        </w:tc>
        <w:tc>
          <w:tcPr>
            <w:tcW w:w="1445" w:type="dxa"/>
            <w:tcBorders>
              <w:top w:val="single" w:sz="6" w:space="0" w:color="auto"/>
              <w:bottom w:val="nil"/>
            </w:tcBorders>
            <w:shd w:val="clear" w:color="auto" w:fill="FFFFFF"/>
            <w:vAlign w:val="center"/>
          </w:tcPr>
          <w:p w14:paraId="7766FD93" w14:textId="6C9FEF80"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1.029</w:t>
            </w:r>
          </w:p>
        </w:tc>
        <w:tc>
          <w:tcPr>
            <w:tcW w:w="1030" w:type="dxa"/>
            <w:tcBorders>
              <w:top w:val="single" w:sz="6" w:space="0" w:color="auto"/>
              <w:bottom w:val="nil"/>
            </w:tcBorders>
            <w:shd w:val="clear" w:color="auto" w:fill="FFFFFF"/>
            <w:vAlign w:val="center"/>
          </w:tcPr>
          <w:p w14:paraId="451AE930" w14:textId="6711B1D5"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.742</w:t>
            </w:r>
          </w:p>
        </w:tc>
        <w:tc>
          <w:tcPr>
            <w:tcW w:w="674" w:type="dxa"/>
            <w:tcBorders>
              <w:top w:val="single" w:sz="6" w:space="0" w:color="auto"/>
              <w:bottom w:val="nil"/>
            </w:tcBorders>
            <w:shd w:val="clear" w:color="auto" w:fill="FFFFFF"/>
            <w:vAlign w:val="center"/>
          </w:tcPr>
          <w:p w14:paraId="3470A8C9" w14:textId="2F18B2A0"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.593</w:t>
            </w:r>
          </w:p>
        </w:tc>
      </w:tr>
      <w:tr w:rsidR="005F1CFD" w:rsidRPr="00CF31E0" w14:paraId="5B0AC54B" w14:textId="77777777" w:rsidTr="00C86BDA">
        <w:trPr>
          <w:cantSplit/>
        </w:trPr>
        <w:tc>
          <w:tcPr>
            <w:tcW w:w="1736" w:type="dxa"/>
            <w:tcBorders>
              <w:top w:val="nil"/>
            </w:tcBorders>
            <w:shd w:val="clear" w:color="auto" w:fill="FFFFFF"/>
          </w:tcPr>
          <w:p w14:paraId="08EB028F"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3ACDD0B6" w14:textId="241F00F0"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891.957</w:t>
            </w:r>
          </w:p>
        </w:tc>
        <w:tc>
          <w:tcPr>
            <w:tcW w:w="820" w:type="dxa"/>
            <w:tcBorders>
              <w:top w:val="nil"/>
            </w:tcBorders>
            <w:shd w:val="clear" w:color="auto" w:fill="FFFFFF"/>
            <w:vAlign w:val="center"/>
          </w:tcPr>
          <w:p w14:paraId="04CCA8C4" w14:textId="45875525" w:rsidR="005F1CFD" w:rsidRPr="00CF31E0" w:rsidRDefault="00073750"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644</w:t>
            </w:r>
          </w:p>
        </w:tc>
        <w:tc>
          <w:tcPr>
            <w:tcW w:w="1445" w:type="dxa"/>
            <w:tcBorders>
              <w:top w:val="nil"/>
            </w:tcBorders>
            <w:shd w:val="clear" w:color="auto" w:fill="FFFFFF"/>
            <w:vAlign w:val="center"/>
          </w:tcPr>
          <w:p w14:paraId="3A732817" w14:textId="3B2C8CC2"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1.387</w:t>
            </w:r>
          </w:p>
        </w:tc>
        <w:tc>
          <w:tcPr>
            <w:tcW w:w="1030" w:type="dxa"/>
            <w:tcBorders>
              <w:top w:val="nil"/>
            </w:tcBorders>
            <w:shd w:val="clear" w:color="auto" w:fill="FFFFFF"/>
            <w:vAlign w:val="center"/>
          </w:tcPr>
          <w:p w14:paraId="6ED5DFBB"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1DF4FFEC"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r>
      <w:tr w:rsidR="005F1CFD" w:rsidRPr="00CF31E0" w14:paraId="28AA0C32" w14:textId="77777777" w:rsidTr="00C86BDA">
        <w:trPr>
          <w:cantSplit/>
        </w:trPr>
        <w:tc>
          <w:tcPr>
            <w:tcW w:w="1736" w:type="dxa"/>
            <w:shd w:val="clear" w:color="auto" w:fill="FFFFFF"/>
          </w:tcPr>
          <w:p w14:paraId="473FAFCD"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1483857" w14:textId="7CC35ED9"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897.100</w:t>
            </w:r>
          </w:p>
        </w:tc>
        <w:tc>
          <w:tcPr>
            <w:tcW w:w="820" w:type="dxa"/>
            <w:shd w:val="clear" w:color="auto" w:fill="FFFFFF"/>
            <w:vAlign w:val="center"/>
          </w:tcPr>
          <w:p w14:paraId="7AA65EE2" w14:textId="17820CEF" w:rsidR="005F1CFD" w:rsidRPr="00CF31E0" w:rsidRDefault="00073750"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5B92F8EA"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306409BE"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08D6849C"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r>
    </w:tbl>
    <w:p w14:paraId="007FC92E" w14:textId="77777777" w:rsidR="007255CE" w:rsidRPr="00CF31E0" w:rsidRDefault="007255CE" w:rsidP="00C15345">
      <w:pPr>
        <w:rPr>
          <w:rFonts w:asciiTheme="majorBidi" w:hAnsiTheme="majorBidi" w:cstheme="majorBidi"/>
          <w:b/>
          <w:bCs/>
          <w:color w:val="000000" w:themeColor="text1"/>
        </w:rPr>
      </w:pPr>
    </w:p>
    <w:p w14:paraId="209D7ACD" w14:textId="77777777" w:rsidR="007255CE" w:rsidRPr="00CF31E0" w:rsidRDefault="007255CE" w:rsidP="00C15345">
      <w:pPr>
        <w:rPr>
          <w:rFonts w:asciiTheme="majorBidi" w:hAnsiTheme="majorBidi" w:cstheme="majorBidi"/>
          <w:b/>
          <w:bCs/>
          <w:color w:val="000000" w:themeColor="text1"/>
        </w:rPr>
      </w:pPr>
    </w:p>
    <w:p w14:paraId="3355B6F7" w14:textId="1ED62460" w:rsidR="005F1CFD" w:rsidRPr="00CF31E0" w:rsidRDefault="005F1CFD" w:rsidP="005F1CFD">
      <w:pPr>
        <w:pStyle w:val="ListParagraph"/>
        <w:numPr>
          <w:ilvl w:val="0"/>
          <w:numId w:val="71"/>
        </w:numPr>
        <w:rPr>
          <w:rFonts w:asciiTheme="majorBidi" w:hAnsiTheme="majorBidi" w:cstheme="majorBidi"/>
          <w:b/>
          <w:bCs/>
          <w:color w:val="000000" w:themeColor="text1"/>
          <w:sz w:val="28"/>
          <w:szCs w:val="28"/>
        </w:rPr>
      </w:pPr>
      <w:r w:rsidRPr="00CF31E0">
        <w:rPr>
          <w:rFonts w:asciiTheme="majorBidi" w:hAnsiTheme="majorBidi" w:cstheme="majorBidi"/>
          <w:b/>
          <w:bCs/>
          <w:color w:val="000000" w:themeColor="text1"/>
          <w:sz w:val="28"/>
          <w:szCs w:val="28"/>
        </w:rPr>
        <w:t>Modern scale</w:t>
      </w:r>
    </w:p>
    <w:p w14:paraId="000E5056" w14:textId="77777777" w:rsidR="005F1CFD" w:rsidRPr="00CF31E0" w:rsidRDefault="005F1CFD" w:rsidP="005F1CF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5F1CFD" w:rsidRPr="00CF31E0" w14:paraId="5DA28BF4" w14:textId="77777777" w:rsidTr="00C86BDA">
        <w:trPr>
          <w:cantSplit/>
        </w:trPr>
        <w:tc>
          <w:tcPr>
            <w:tcW w:w="1736" w:type="dxa"/>
            <w:tcBorders>
              <w:top w:val="single" w:sz="8" w:space="0" w:color="auto"/>
              <w:bottom w:val="single" w:sz="6" w:space="0" w:color="auto"/>
            </w:tcBorders>
            <w:shd w:val="clear" w:color="auto" w:fill="FFFFFF"/>
            <w:vAlign w:val="bottom"/>
          </w:tcPr>
          <w:p w14:paraId="402CB58E"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Gender</w:t>
            </w:r>
          </w:p>
        </w:tc>
        <w:tc>
          <w:tcPr>
            <w:tcW w:w="1686" w:type="dxa"/>
            <w:tcBorders>
              <w:top w:val="single" w:sz="8" w:space="0" w:color="auto"/>
              <w:bottom w:val="single" w:sz="6" w:space="0" w:color="auto"/>
            </w:tcBorders>
            <w:shd w:val="clear" w:color="auto" w:fill="FFFFFF"/>
            <w:vAlign w:val="bottom"/>
          </w:tcPr>
          <w:p w14:paraId="0E3DD8EA"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75B73F54"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2056DCF"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75524E13"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718A31B9"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5F1CFD" w:rsidRPr="00CF31E0" w14:paraId="62DC577B" w14:textId="77777777" w:rsidTr="00C86BDA">
        <w:trPr>
          <w:cantSplit/>
        </w:trPr>
        <w:tc>
          <w:tcPr>
            <w:tcW w:w="1736" w:type="dxa"/>
            <w:tcBorders>
              <w:top w:val="single" w:sz="6" w:space="0" w:color="auto"/>
              <w:bottom w:val="nil"/>
            </w:tcBorders>
            <w:shd w:val="clear" w:color="auto" w:fill="FFFFFF"/>
          </w:tcPr>
          <w:p w14:paraId="3FDFF252"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0D601619" w14:textId="13A05DAB"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.004</w:t>
            </w:r>
          </w:p>
        </w:tc>
        <w:tc>
          <w:tcPr>
            <w:tcW w:w="820" w:type="dxa"/>
            <w:tcBorders>
              <w:top w:val="single" w:sz="6" w:space="0" w:color="auto"/>
              <w:bottom w:val="nil"/>
            </w:tcBorders>
            <w:shd w:val="clear" w:color="auto" w:fill="FFFFFF"/>
            <w:vAlign w:val="center"/>
          </w:tcPr>
          <w:p w14:paraId="3A3C7C8C" w14:textId="5B1BD26C"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3D82DAEE" w14:textId="06EA7986"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.004</w:t>
            </w:r>
          </w:p>
        </w:tc>
        <w:tc>
          <w:tcPr>
            <w:tcW w:w="1030" w:type="dxa"/>
            <w:tcBorders>
              <w:top w:val="single" w:sz="6" w:space="0" w:color="auto"/>
              <w:bottom w:val="nil"/>
            </w:tcBorders>
            <w:shd w:val="clear" w:color="auto" w:fill="FFFFFF"/>
            <w:vAlign w:val="center"/>
          </w:tcPr>
          <w:p w14:paraId="6015AEA8" w14:textId="396540D8"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.003</w:t>
            </w:r>
          </w:p>
        </w:tc>
        <w:tc>
          <w:tcPr>
            <w:tcW w:w="674" w:type="dxa"/>
            <w:tcBorders>
              <w:top w:val="single" w:sz="6" w:space="0" w:color="auto"/>
              <w:bottom w:val="nil"/>
            </w:tcBorders>
            <w:shd w:val="clear" w:color="auto" w:fill="FFFFFF"/>
            <w:vAlign w:val="center"/>
          </w:tcPr>
          <w:p w14:paraId="3ADA46D6" w14:textId="401131D5"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.958</w:t>
            </w:r>
          </w:p>
        </w:tc>
      </w:tr>
      <w:tr w:rsidR="005F1CFD" w:rsidRPr="00CF31E0" w14:paraId="677197C8" w14:textId="77777777" w:rsidTr="00C86BDA">
        <w:trPr>
          <w:cantSplit/>
        </w:trPr>
        <w:tc>
          <w:tcPr>
            <w:tcW w:w="1736" w:type="dxa"/>
            <w:tcBorders>
              <w:top w:val="nil"/>
            </w:tcBorders>
            <w:shd w:val="clear" w:color="auto" w:fill="FFFFFF"/>
          </w:tcPr>
          <w:p w14:paraId="3A14FE6C"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52714EEC" w14:textId="2A57E1A4"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942.507</w:t>
            </w:r>
          </w:p>
        </w:tc>
        <w:tc>
          <w:tcPr>
            <w:tcW w:w="820" w:type="dxa"/>
            <w:tcBorders>
              <w:top w:val="nil"/>
            </w:tcBorders>
            <w:shd w:val="clear" w:color="auto" w:fill="FFFFFF"/>
            <w:vAlign w:val="center"/>
          </w:tcPr>
          <w:p w14:paraId="5FED9DD5" w14:textId="72474A8D" w:rsidR="005F1CFD" w:rsidRPr="00CF31E0" w:rsidRDefault="00073750"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39CCD603" w14:textId="51557F2C"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1.457</w:t>
            </w:r>
          </w:p>
        </w:tc>
        <w:tc>
          <w:tcPr>
            <w:tcW w:w="1030" w:type="dxa"/>
            <w:tcBorders>
              <w:top w:val="nil"/>
            </w:tcBorders>
            <w:shd w:val="clear" w:color="auto" w:fill="FFFFFF"/>
            <w:vAlign w:val="center"/>
          </w:tcPr>
          <w:p w14:paraId="023AFE92"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2C44D379"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r>
      <w:tr w:rsidR="005F1CFD" w:rsidRPr="00CF31E0" w14:paraId="79619FDC" w14:textId="77777777" w:rsidTr="00C86BDA">
        <w:trPr>
          <w:cantSplit/>
        </w:trPr>
        <w:tc>
          <w:tcPr>
            <w:tcW w:w="1736" w:type="dxa"/>
            <w:shd w:val="clear" w:color="auto" w:fill="FFFFFF"/>
          </w:tcPr>
          <w:p w14:paraId="0BD8C7CC"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1675A56B" w14:textId="12B4D3FF"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942.512</w:t>
            </w:r>
          </w:p>
        </w:tc>
        <w:tc>
          <w:tcPr>
            <w:tcW w:w="820" w:type="dxa"/>
            <w:shd w:val="clear" w:color="auto" w:fill="FFFFFF"/>
            <w:vAlign w:val="center"/>
          </w:tcPr>
          <w:p w14:paraId="3A57B836" w14:textId="1882E43E" w:rsidR="005F1CFD" w:rsidRPr="00CF31E0" w:rsidRDefault="00073750"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5242CE40"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67EF56E6"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63E593BD"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r>
    </w:tbl>
    <w:p w14:paraId="313EB1D6" w14:textId="77777777" w:rsidR="005F1CFD" w:rsidRPr="00CF31E0" w:rsidRDefault="005F1CFD" w:rsidP="005F1CFD">
      <w:pPr>
        <w:rPr>
          <w:rFonts w:asciiTheme="majorBidi" w:hAnsiTheme="majorBidi" w:cstheme="majorBidi"/>
          <w:b/>
          <w:bCs/>
          <w:color w:val="000000" w:themeColor="text1"/>
        </w:rPr>
      </w:pPr>
    </w:p>
    <w:p w14:paraId="4D391C68" w14:textId="77777777" w:rsidR="005F1CFD" w:rsidRPr="00CF31E0" w:rsidRDefault="005F1CFD" w:rsidP="005F1CF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5F1CFD" w:rsidRPr="00CF31E0" w14:paraId="4091D18B" w14:textId="77777777" w:rsidTr="00C86BDA">
        <w:trPr>
          <w:cantSplit/>
        </w:trPr>
        <w:tc>
          <w:tcPr>
            <w:tcW w:w="1736" w:type="dxa"/>
            <w:tcBorders>
              <w:top w:val="single" w:sz="8" w:space="0" w:color="auto"/>
              <w:bottom w:val="single" w:sz="6" w:space="0" w:color="auto"/>
            </w:tcBorders>
            <w:shd w:val="clear" w:color="auto" w:fill="FFFFFF"/>
            <w:vAlign w:val="bottom"/>
          </w:tcPr>
          <w:p w14:paraId="2303AE6E"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Age</w:t>
            </w:r>
          </w:p>
        </w:tc>
        <w:tc>
          <w:tcPr>
            <w:tcW w:w="1686" w:type="dxa"/>
            <w:tcBorders>
              <w:top w:val="single" w:sz="8" w:space="0" w:color="auto"/>
              <w:bottom w:val="single" w:sz="6" w:space="0" w:color="auto"/>
            </w:tcBorders>
            <w:shd w:val="clear" w:color="auto" w:fill="FFFFFF"/>
            <w:vAlign w:val="bottom"/>
          </w:tcPr>
          <w:p w14:paraId="5F4773F9"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5338F245"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4AB3209A"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4F67E20"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0F5164B9"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5F1CFD" w:rsidRPr="00CF31E0" w14:paraId="77A1F875" w14:textId="77777777" w:rsidTr="00C86BDA">
        <w:trPr>
          <w:cantSplit/>
        </w:trPr>
        <w:tc>
          <w:tcPr>
            <w:tcW w:w="1736" w:type="dxa"/>
            <w:tcBorders>
              <w:top w:val="single" w:sz="6" w:space="0" w:color="auto"/>
              <w:bottom w:val="nil"/>
            </w:tcBorders>
            <w:shd w:val="clear" w:color="auto" w:fill="FFFFFF"/>
          </w:tcPr>
          <w:p w14:paraId="35208E26"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3CFA1AAD" w14:textId="549158EE"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5.171</w:t>
            </w:r>
          </w:p>
        </w:tc>
        <w:tc>
          <w:tcPr>
            <w:tcW w:w="820" w:type="dxa"/>
            <w:tcBorders>
              <w:top w:val="single" w:sz="6" w:space="0" w:color="auto"/>
              <w:bottom w:val="nil"/>
            </w:tcBorders>
            <w:shd w:val="clear" w:color="auto" w:fill="FFFFFF"/>
            <w:vAlign w:val="center"/>
          </w:tcPr>
          <w:p w14:paraId="61DE34A4" w14:textId="0CB99863"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w:t>
            </w:r>
          </w:p>
        </w:tc>
        <w:tc>
          <w:tcPr>
            <w:tcW w:w="1445" w:type="dxa"/>
            <w:tcBorders>
              <w:top w:val="single" w:sz="6" w:space="0" w:color="auto"/>
              <w:bottom w:val="nil"/>
            </w:tcBorders>
            <w:shd w:val="clear" w:color="auto" w:fill="FFFFFF"/>
            <w:vAlign w:val="center"/>
          </w:tcPr>
          <w:p w14:paraId="24965098" w14:textId="7730C90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1.034</w:t>
            </w:r>
          </w:p>
        </w:tc>
        <w:tc>
          <w:tcPr>
            <w:tcW w:w="1030" w:type="dxa"/>
            <w:tcBorders>
              <w:top w:val="single" w:sz="6" w:space="0" w:color="auto"/>
              <w:bottom w:val="nil"/>
            </w:tcBorders>
            <w:shd w:val="clear" w:color="auto" w:fill="FFFFFF"/>
            <w:vAlign w:val="center"/>
          </w:tcPr>
          <w:p w14:paraId="359EA8F7" w14:textId="14996B54"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.711</w:t>
            </w:r>
          </w:p>
        </w:tc>
        <w:tc>
          <w:tcPr>
            <w:tcW w:w="674" w:type="dxa"/>
            <w:tcBorders>
              <w:top w:val="single" w:sz="6" w:space="0" w:color="auto"/>
              <w:bottom w:val="nil"/>
            </w:tcBorders>
            <w:shd w:val="clear" w:color="auto" w:fill="FFFFFF"/>
            <w:vAlign w:val="center"/>
          </w:tcPr>
          <w:p w14:paraId="22C4EC17" w14:textId="7A674189"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.616</w:t>
            </w:r>
          </w:p>
        </w:tc>
      </w:tr>
      <w:tr w:rsidR="005F1CFD" w:rsidRPr="00CF31E0" w14:paraId="32E66DBB" w14:textId="77777777" w:rsidTr="00C86BDA">
        <w:trPr>
          <w:cantSplit/>
        </w:trPr>
        <w:tc>
          <w:tcPr>
            <w:tcW w:w="1736" w:type="dxa"/>
            <w:tcBorders>
              <w:top w:val="nil"/>
            </w:tcBorders>
            <w:shd w:val="clear" w:color="auto" w:fill="FFFFFF"/>
          </w:tcPr>
          <w:p w14:paraId="1BC592FF"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05A50919" w14:textId="4581D5BE"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932.810</w:t>
            </w:r>
          </w:p>
        </w:tc>
        <w:tc>
          <w:tcPr>
            <w:tcW w:w="820" w:type="dxa"/>
            <w:tcBorders>
              <w:top w:val="nil"/>
            </w:tcBorders>
            <w:shd w:val="clear" w:color="auto" w:fill="FFFFFF"/>
            <w:vAlign w:val="center"/>
          </w:tcPr>
          <w:p w14:paraId="275AA9FF" w14:textId="6D6EBA8F" w:rsidR="005F1CFD" w:rsidRPr="00CF31E0" w:rsidRDefault="00073750"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644</w:t>
            </w:r>
          </w:p>
        </w:tc>
        <w:tc>
          <w:tcPr>
            <w:tcW w:w="1445" w:type="dxa"/>
            <w:tcBorders>
              <w:top w:val="nil"/>
            </w:tcBorders>
            <w:shd w:val="clear" w:color="auto" w:fill="FFFFFF"/>
            <w:vAlign w:val="center"/>
          </w:tcPr>
          <w:p w14:paraId="5C387207" w14:textId="3697D43F"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1.455</w:t>
            </w:r>
          </w:p>
        </w:tc>
        <w:tc>
          <w:tcPr>
            <w:tcW w:w="1030" w:type="dxa"/>
            <w:tcBorders>
              <w:top w:val="nil"/>
            </w:tcBorders>
            <w:shd w:val="clear" w:color="auto" w:fill="FFFFFF"/>
            <w:vAlign w:val="center"/>
          </w:tcPr>
          <w:p w14:paraId="7C7B60F0"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2442D4B2"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r>
      <w:tr w:rsidR="005F1CFD" w:rsidRPr="00CF31E0" w14:paraId="7D93F683" w14:textId="77777777" w:rsidTr="00C86BDA">
        <w:trPr>
          <w:cantSplit/>
        </w:trPr>
        <w:tc>
          <w:tcPr>
            <w:tcW w:w="1736" w:type="dxa"/>
            <w:shd w:val="clear" w:color="auto" w:fill="FFFFFF"/>
          </w:tcPr>
          <w:p w14:paraId="4D0C7A32"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2B8B324" w14:textId="5E1FF378"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937.981</w:t>
            </w:r>
          </w:p>
        </w:tc>
        <w:tc>
          <w:tcPr>
            <w:tcW w:w="820" w:type="dxa"/>
            <w:shd w:val="clear" w:color="auto" w:fill="FFFFFF"/>
            <w:vAlign w:val="center"/>
          </w:tcPr>
          <w:p w14:paraId="32BD6A42" w14:textId="030E16A6" w:rsidR="005F1CFD" w:rsidRPr="00CF31E0" w:rsidRDefault="00073750"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27A23B52"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15CA8E5C"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16C42389"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r>
    </w:tbl>
    <w:p w14:paraId="30650530" w14:textId="77777777" w:rsidR="005F1CFD" w:rsidRPr="00CF31E0" w:rsidRDefault="005F1CFD" w:rsidP="005F1CFD">
      <w:pPr>
        <w:rPr>
          <w:rFonts w:asciiTheme="majorBidi" w:hAnsiTheme="majorBidi" w:cstheme="majorBidi"/>
          <w:b/>
          <w:bCs/>
          <w:color w:val="000000" w:themeColor="text1"/>
        </w:rPr>
      </w:pPr>
    </w:p>
    <w:p w14:paraId="2E84D72F" w14:textId="77777777" w:rsidR="005F1CFD" w:rsidRPr="00CF31E0" w:rsidRDefault="005F1CFD" w:rsidP="005F1CF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5F1CFD" w:rsidRPr="00CF31E0" w14:paraId="3D263976" w14:textId="77777777" w:rsidTr="00C86BDA">
        <w:trPr>
          <w:cantSplit/>
        </w:trPr>
        <w:tc>
          <w:tcPr>
            <w:tcW w:w="1736" w:type="dxa"/>
            <w:tcBorders>
              <w:top w:val="single" w:sz="8" w:space="0" w:color="auto"/>
              <w:bottom w:val="single" w:sz="6" w:space="0" w:color="auto"/>
            </w:tcBorders>
            <w:shd w:val="clear" w:color="auto" w:fill="FFFFFF"/>
            <w:vAlign w:val="bottom"/>
          </w:tcPr>
          <w:p w14:paraId="393FEA42"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 of birth</w:t>
            </w:r>
          </w:p>
        </w:tc>
        <w:tc>
          <w:tcPr>
            <w:tcW w:w="1686" w:type="dxa"/>
            <w:tcBorders>
              <w:top w:val="single" w:sz="8" w:space="0" w:color="auto"/>
              <w:bottom w:val="single" w:sz="6" w:space="0" w:color="auto"/>
            </w:tcBorders>
            <w:shd w:val="clear" w:color="auto" w:fill="FFFFFF"/>
            <w:vAlign w:val="bottom"/>
          </w:tcPr>
          <w:p w14:paraId="640ACB0E"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0D1CB334"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21138093"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0438411A"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7D2630AC"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5F1CFD" w:rsidRPr="00CF31E0" w14:paraId="0A36F800" w14:textId="77777777" w:rsidTr="00C86BDA">
        <w:trPr>
          <w:cantSplit/>
        </w:trPr>
        <w:tc>
          <w:tcPr>
            <w:tcW w:w="1736" w:type="dxa"/>
            <w:tcBorders>
              <w:top w:val="single" w:sz="6" w:space="0" w:color="auto"/>
              <w:bottom w:val="nil"/>
            </w:tcBorders>
            <w:shd w:val="clear" w:color="auto" w:fill="FFFFFF"/>
          </w:tcPr>
          <w:p w14:paraId="7E772AD2"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3CB2BB04" w14:textId="54E0A938"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.978</w:t>
            </w:r>
          </w:p>
        </w:tc>
        <w:tc>
          <w:tcPr>
            <w:tcW w:w="820" w:type="dxa"/>
            <w:tcBorders>
              <w:top w:val="single" w:sz="6" w:space="0" w:color="auto"/>
              <w:bottom w:val="nil"/>
            </w:tcBorders>
            <w:shd w:val="clear" w:color="auto" w:fill="FFFFFF"/>
            <w:vAlign w:val="center"/>
          </w:tcPr>
          <w:p w14:paraId="2FBD648B" w14:textId="32AA426B"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0FC6E50B" w14:textId="74441EB0"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.978</w:t>
            </w:r>
          </w:p>
        </w:tc>
        <w:tc>
          <w:tcPr>
            <w:tcW w:w="1030" w:type="dxa"/>
            <w:tcBorders>
              <w:top w:val="single" w:sz="6" w:space="0" w:color="auto"/>
              <w:bottom w:val="nil"/>
            </w:tcBorders>
            <w:shd w:val="clear" w:color="auto" w:fill="FFFFFF"/>
            <w:vAlign w:val="center"/>
          </w:tcPr>
          <w:p w14:paraId="5C4D817B" w14:textId="426A910E"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.672</w:t>
            </w:r>
          </w:p>
        </w:tc>
        <w:tc>
          <w:tcPr>
            <w:tcW w:w="674" w:type="dxa"/>
            <w:tcBorders>
              <w:top w:val="single" w:sz="6" w:space="0" w:color="auto"/>
              <w:bottom w:val="nil"/>
            </w:tcBorders>
            <w:shd w:val="clear" w:color="auto" w:fill="FFFFFF"/>
            <w:vAlign w:val="center"/>
          </w:tcPr>
          <w:p w14:paraId="246D2526" w14:textId="28BEDEB8"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.413</w:t>
            </w:r>
          </w:p>
        </w:tc>
      </w:tr>
      <w:tr w:rsidR="005F1CFD" w:rsidRPr="00CF31E0" w14:paraId="440B1848" w14:textId="77777777" w:rsidTr="00C86BDA">
        <w:trPr>
          <w:cantSplit/>
        </w:trPr>
        <w:tc>
          <w:tcPr>
            <w:tcW w:w="1736" w:type="dxa"/>
            <w:tcBorders>
              <w:top w:val="nil"/>
            </w:tcBorders>
            <w:shd w:val="clear" w:color="auto" w:fill="FFFFFF"/>
          </w:tcPr>
          <w:p w14:paraId="79D4DFA1"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76941633" w14:textId="023919E8"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941.534</w:t>
            </w:r>
          </w:p>
        </w:tc>
        <w:tc>
          <w:tcPr>
            <w:tcW w:w="820" w:type="dxa"/>
            <w:tcBorders>
              <w:top w:val="nil"/>
            </w:tcBorders>
            <w:shd w:val="clear" w:color="auto" w:fill="FFFFFF"/>
            <w:vAlign w:val="center"/>
          </w:tcPr>
          <w:p w14:paraId="2A24A654" w14:textId="1E08ED03" w:rsidR="005F1CFD" w:rsidRPr="00CF31E0" w:rsidRDefault="00073750"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5B0DAB79" w14:textId="399FD4AF"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1.455</w:t>
            </w:r>
          </w:p>
        </w:tc>
        <w:tc>
          <w:tcPr>
            <w:tcW w:w="1030" w:type="dxa"/>
            <w:tcBorders>
              <w:top w:val="nil"/>
            </w:tcBorders>
            <w:shd w:val="clear" w:color="auto" w:fill="FFFFFF"/>
            <w:vAlign w:val="center"/>
          </w:tcPr>
          <w:p w14:paraId="36781B52"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38BCF4E0"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r>
      <w:tr w:rsidR="005F1CFD" w:rsidRPr="00CF31E0" w14:paraId="2F08BB94" w14:textId="77777777" w:rsidTr="00C86BDA">
        <w:trPr>
          <w:cantSplit/>
        </w:trPr>
        <w:tc>
          <w:tcPr>
            <w:tcW w:w="1736" w:type="dxa"/>
            <w:shd w:val="clear" w:color="auto" w:fill="FFFFFF"/>
          </w:tcPr>
          <w:p w14:paraId="78AF5300"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91026D3" w14:textId="2BF493C8"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942.512</w:t>
            </w:r>
          </w:p>
        </w:tc>
        <w:tc>
          <w:tcPr>
            <w:tcW w:w="820" w:type="dxa"/>
            <w:shd w:val="clear" w:color="auto" w:fill="FFFFFF"/>
            <w:vAlign w:val="center"/>
          </w:tcPr>
          <w:p w14:paraId="7BAE6835" w14:textId="64D86932" w:rsidR="005F1CFD" w:rsidRPr="00CF31E0" w:rsidRDefault="00073750"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6CE0A752"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017FEE8D"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23EF5125"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r>
    </w:tbl>
    <w:p w14:paraId="7D10F883" w14:textId="77777777" w:rsidR="005F1CFD" w:rsidRPr="00CF31E0" w:rsidRDefault="005F1CFD" w:rsidP="005F1CFD">
      <w:pPr>
        <w:rPr>
          <w:rFonts w:asciiTheme="majorBidi" w:hAnsiTheme="majorBidi" w:cstheme="majorBidi"/>
          <w:b/>
          <w:bCs/>
          <w:color w:val="000000" w:themeColor="text1"/>
        </w:rPr>
      </w:pPr>
    </w:p>
    <w:p w14:paraId="0F1AB6B0" w14:textId="77777777" w:rsidR="005F1CFD" w:rsidRPr="00CF31E0" w:rsidRDefault="005F1CFD" w:rsidP="005F1CFD">
      <w:pPr>
        <w:rPr>
          <w:rFonts w:asciiTheme="majorBidi" w:hAnsiTheme="majorBidi" w:cstheme="majorBidi"/>
          <w:b/>
          <w:bCs/>
          <w:color w:val="000000" w:themeColor="text1"/>
        </w:rPr>
      </w:pPr>
    </w:p>
    <w:p w14:paraId="69446FAC" w14:textId="77777777" w:rsidR="005F1CFD" w:rsidRPr="00CF31E0" w:rsidRDefault="005F1CFD" w:rsidP="005F1CFD">
      <w:pPr>
        <w:rPr>
          <w:rFonts w:asciiTheme="majorBidi" w:hAnsiTheme="majorBidi" w:cstheme="majorBidi"/>
          <w:b/>
          <w:bCs/>
          <w:color w:val="000000" w:themeColor="text1"/>
        </w:rPr>
      </w:pPr>
    </w:p>
    <w:p w14:paraId="048A9CA2" w14:textId="77777777" w:rsidR="005F1CFD" w:rsidRPr="00CF31E0" w:rsidRDefault="005F1CFD" w:rsidP="005F1CF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5F1CFD" w:rsidRPr="00CF31E0" w14:paraId="5C921255" w14:textId="77777777" w:rsidTr="00C86BDA">
        <w:trPr>
          <w:cantSplit/>
        </w:trPr>
        <w:tc>
          <w:tcPr>
            <w:tcW w:w="1736" w:type="dxa"/>
            <w:tcBorders>
              <w:top w:val="single" w:sz="8" w:space="0" w:color="auto"/>
              <w:bottom w:val="single" w:sz="6" w:space="0" w:color="auto"/>
            </w:tcBorders>
            <w:shd w:val="clear" w:color="auto" w:fill="FFFFFF"/>
            <w:vAlign w:val="bottom"/>
          </w:tcPr>
          <w:p w14:paraId="771721D6"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Place of birth</w:t>
            </w:r>
          </w:p>
        </w:tc>
        <w:tc>
          <w:tcPr>
            <w:tcW w:w="1686" w:type="dxa"/>
            <w:tcBorders>
              <w:top w:val="single" w:sz="8" w:space="0" w:color="auto"/>
              <w:bottom w:val="single" w:sz="6" w:space="0" w:color="auto"/>
            </w:tcBorders>
            <w:shd w:val="clear" w:color="auto" w:fill="FFFFFF"/>
            <w:vAlign w:val="bottom"/>
          </w:tcPr>
          <w:p w14:paraId="4D79F9E4"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5B746FED"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CF6B79C"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3FEE8D5A"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3DB17995"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5F1CFD" w:rsidRPr="00CF31E0" w14:paraId="2DC07631" w14:textId="77777777" w:rsidTr="00C86BDA">
        <w:trPr>
          <w:cantSplit/>
        </w:trPr>
        <w:tc>
          <w:tcPr>
            <w:tcW w:w="1736" w:type="dxa"/>
            <w:tcBorders>
              <w:top w:val="single" w:sz="6" w:space="0" w:color="auto"/>
              <w:bottom w:val="nil"/>
            </w:tcBorders>
            <w:shd w:val="clear" w:color="auto" w:fill="FFFFFF"/>
          </w:tcPr>
          <w:p w14:paraId="6AD63279"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365B45DE" w14:textId="1BC063B9"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.266</w:t>
            </w:r>
          </w:p>
        </w:tc>
        <w:tc>
          <w:tcPr>
            <w:tcW w:w="820" w:type="dxa"/>
            <w:tcBorders>
              <w:top w:val="single" w:sz="6" w:space="0" w:color="auto"/>
              <w:bottom w:val="nil"/>
            </w:tcBorders>
            <w:shd w:val="clear" w:color="auto" w:fill="FFFFFF"/>
            <w:vAlign w:val="center"/>
          </w:tcPr>
          <w:p w14:paraId="66941D81" w14:textId="2B72C62F"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5B3CBF1E" w14:textId="76B2E204"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.266</w:t>
            </w:r>
          </w:p>
        </w:tc>
        <w:tc>
          <w:tcPr>
            <w:tcW w:w="1030" w:type="dxa"/>
            <w:tcBorders>
              <w:top w:val="single" w:sz="6" w:space="0" w:color="auto"/>
              <w:bottom w:val="nil"/>
            </w:tcBorders>
            <w:shd w:val="clear" w:color="auto" w:fill="FFFFFF"/>
            <w:vAlign w:val="center"/>
          </w:tcPr>
          <w:p w14:paraId="447CD942" w14:textId="537658A9"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.183</w:t>
            </w:r>
          </w:p>
        </w:tc>
        <w:tc>
          <w:tcPr>
            <w:tcW w:w="674" w:type="dxa"/>
            <w:tcBorders>
              <w:top w:val="single" w:sz="6" w:space="0" w:color="auto"/>
              <w:bottom w:val="nil"/>
            </w:tcBorders>
            <w:shd w:val="clear" w:color="auto" w:fill="FFFFFF"/>
            <w:vAlign w:val="center"/>
          </w:tcPr>
          <w:p w14:paraId="04A7A062" w14:textId="30ADAA2B"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.669</w:t>
            </w:r>
          </w:p>
        </w:tc>
      </w:tr>
      <w:tr w:rsidR="005F1CFD" w:rsidRPr="00CF31E0" w14:paraId="52A5EB46" w14:textId="77777777" w:rsidTr="00C86BDA">
        <w:trPr>
          <w:cantSplit/>
        </w:trPr>
        <w:tc>
          <w:tcPr>
            <w:tcW w:w="1736" w:type="dxa"/>
            <w:tcBorders>
              <w:top w:val="nil"/>
            </w:tcBorders>
            <w:shd w:val="clear" w:color="auto" w:fill="FFFFFF"/>
          </w:tcPr>
          <w:p w14:paraId="4B82FE2E"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7B5E1661" w14:textId="13643670"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929.089</w:t>
            </w:r>
          </w:p>
        </w:tc>
        <w:tc>
          <w:tcPr>
            <w:tcW w:w="820" w:type="dxa"/>
            <w:tcBorders>
              <w:top w:val="nil"/>
            </w:tcBorders>
            <w:shd w:val="clear" w:color="auto" w:fill="FFFFFF"/>
            <w:vAlign w:val="center"/>
          </w:tcPr>
          <w:p w14:paraId="638D881D" w14:textId="48DCB8EE" w:rsidR="005F1CFD" w:rsidRPr="00CF31E0" w:rsidRDefault="00073750"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47ABAA8F" w14:textId="50835900"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1.459</w:t>
            </w:r>
          </w:p>
        </w:tc>
        <w:tc>
          <w:tcPr>
            <w:tcW w:w="1030" w:type="dxa"/>
            <w:tcBorders>
              <w:top w:val="nil"/>
            </w:tcBorders>
            <w:shd w:val="clear" w:color="auto" w:fill="FFFFFF"/>
            <w:vAlign w:val="center"/>
          </w:tcPr>
          <w:p w14:paraId="1FBB0A9D"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6592FAA1"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r>
      <w:tr w:rsidR="005F1CFD" w:rsidRPr="00CF31E0" w14:paraId="01E1D58B" w14:textId="77777777" w:rsidTr="00C86BDA">
        <w:trPr>
          <w:cantSplit/>
        </w:trPr>
        <w:tc>
          <w:tcPr>
            <w:tcW w:w="1736" w:type="dxa"/>
            <w:shd w:val="clear" w:color="auto" w:fill="FFFFFF"/>
          </w:tcPr>
          <w:p w14:paraId="423FAEC7"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2020D3AC" w14:textId="6FEEE83D"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929.355</w:t>
            </w:r>
          </w:p>
        </w:tc>
        <w:tc>
          <w:tcPr>
            <w:tcW w:w="820" w:type="dxa"/>
            <w:shd w:val="clear" w:color="auto" w:fill="FFFFFF"/>
            <w:vAlign w:val="center"/>
          </w:tcPr>
          <w:p w14:paraId="26653CFC" w14:textId="218E7AF9" w:rsidR="005F1CFD" w:rsidRPr="00CF31E0" w:rsidRDefault="00073750"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14E15EAD"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24F9BF22"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1C263C3E"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r>
    </w:tbl>
    <w:p w14:paraId="4F94CAFF" w14:textId="77777777" w:rsidR="005F1CFD" w:rsidRPr="00CF31E0" w:rsidRDefault="005F1CFD" w:rsidP="005F1CFD">
      <w:pPr>
        <w:rPr>
          <w:rFonts w:asciiTheme="majorBidi" w:hAnsiTheme="majorBidi" w:cstheme="majorBidi"/>
          <w:b/>
          <w:bCs/>
          <w:color w:val="000000" w:themeColor="text1"/>
        </w:rPr>
      </w:pPr>
    </w:p>
    <w:p w14:paraId="462E3875" w14:textId="77777777" w:rsidR="005F1CFD" w:rsidRPr="00CF31E0" w:rsidRDefault="005F1CFD" w:rsidP="005F1CF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5F1CFD" w:rsidRPr="00CF31E0" w14:paraId="1176E7D4" w14:textId="77777777" w:rsidTr="00C86BDA">
        <w:trPr>
          <w:cantSplit/>
        </w:trPr>
        <w:tc>
          <w:tcPr>
            <w:tcW w:w="1736" w:type="dxa"/>
            <w:tcBorders>
              <w:top w:val="single" w:sz="8" w:space="0" w:color="auto"/>
              <w:bottom w:val="single" w:sz="6" w:space="0" w:color="auto"/>
            </w:tcBorders>
            <w:shd w:val="clear" w:color="auto" w:fill="FFFFFF"/>
            <w:vAlign w:val="bottom"/>
          </w:tcPr>
          <w:p w14:paraId="0EDF27D3"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Places lived</w:t>
            </w:r>
          </w:p>
        </w:tc>
        <w:tc>
          <w:tcPr>
            <w:tcW w:w="1686" w:type="dxa"/>
            <w:tcBorders>
              <w:top w:val="single" w:sz="8" w:space="0" w:color="auto"/>
              <w:bottom w:val="single" w:sz="6" w:space="0" w:color="auto"/>
            </w:tcBorders>
            <w:shd w:val="clear" w:color="auto" w:fill="FFFFFF"/>
            <w:vAlign w:val="bottom"/>
          </w:tcPr>
          <w:p w14:paraId="220791BC"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176EA919"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0B59E8B8"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13419D02"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5731181D"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5F1CFD" w:rsidRPr="00CF31E0" w14:paraId="12F00FF9" w14:textId="77777777" w:rsidTr="00C86BDA">
        <w:trPr>
          <w:cantSplit/>
        </w:trPr>
        <w:tc>
          <w:tcPr>
            <w:tcW w:w="1736" w:type="dxa"/>
            <w:tcBorders>
              <w:top w:val="single" w:sz="6" w:space="0" w:color="auto"/>
              <w:bottom w:val="nil"/>
            </w:tcBorders>
            <w:shd w:val="clear" w:color="auto" w:fill="FFFFFF"/>
          </w:tcPr>
          <w:p w14:paraId="19A87AF2"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6F8161F7" w14:textId="42A9AA1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2.637</w:t>
            </w:r>
          </w:p>
        </w:tc>
        <w:tc>
          <w:tcPr>
            <w:tcW w:w="820" w:type="dxa"/>
            <w:tcBorders>
              <w:top w:val="single" w:sz="6" w:space="0" w:color="auto"/>
              <w:bottom w:val="nil"/>
            </w:tcBorders>
            <w:shd w:val="clear" w:color="auto" w:fill="FFFFFF"/>
            <w:vAlign w:val="center"/>
          </w:tcPr>
          <w:p w14:paraId="51982895" w14:textId="4BBE1D4D"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w:t>
            </w:r>
          </w:p>
        </w:tc>
        <w:tc>
          <w:tcPr>
            <w:tcW w:w="1445" w:type="dxa"/>
            <w:tcBorders>
              <w:top w:val="single" w:sz="6" w:space="0" w:color="auto"/>
              <w:bottom w:val="nil"/>
            </w:tcBorders>
            <w:shd w:val="clear" w:color="auto" w:fill="FFFFFF"/>
            <w:vAlign w:val="center"/>
          </w:tcPr>
          <w:p w14:paraId="5559AC87" w14:textId="07D256F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.879</w:t>
            </w:r>
          </w:p>
        </w:tc>
        <w:tc>
          <w:tcPr>
            <w:tcW w:w="1030" w:type="dxa"/>
            <w:tcBorders>
              <w:top w:val="single" w:sz="6" w:space="0" w:color="auto"/>
              <w:bottom w:val="nil"/>
            </w:tcBorders>
            <w:shd w:val="clear" w:color="auto" w:fill="FFFFFF"/>
            <w:vAlign w:val="center"/>
          </w:tcPr>
          <w:p w14:paraId="6C3C8D0F" w14:textId="76E30D8D"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.603</w:t>
            </w:r>
          </w:p>
        </w:tc>
        <w:tc>
          <w:tcPr>
            <w:tcW w:w="674" w:type="dxa"/>
            <w:tcBorders>
              <w:top w:val="single" w:sz="6" w:space="0" w:color="auto"/>
              <w:bottom w:val="nil"/>
            </w:tcBorders>
            <w:shd w:val="clear" w:color="auto" w:fill="FFFFFF"/>
            <w:vAlign w:val="center"/>
          </w:tcPr>
          <w:p w14:paraId="69FC665E" w14:textId="2FDAA0B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.613</w:t>
            </w:r>
          </w:p>
        </w:tc>
      </w:tr>
      <w:tr w:rsidR="005F1CFD" w:rsidRPr="00CF31E0" w14:paraId="47799D98" w14:textId="77777777" w:rsidTr="00C86BDA">
        <w:trPr>
          <w:cantSplit/>
        </w:trPr>
        <w:tc>
          <w:tcPr>
            <w:tcW w:w="1736" w:type="dxa"/>
            <w:tcBorders>
              <w:top w:val="nil"/>
            </w:tcBorders>
            <w:shd w:val="clear" w:color="auto" w:fill="FFFFFF"/>
          </w:tcPr>
          <w:p w14:paraId="1EA1858C"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358D0747" w14:textId="4C7BF9C1"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939.875</w:t>
            </w:r>
          </w:p>
        </w:tc>
        <w:tc>
          <w:tcPr>
            <w:tcW w:w="820" w:type="dxa"/>
            <w:tcBorders>
              <w:top w:val="nil"/>
            </w:tcBorders>
            <w:shd w:val="clear" w:color="auto" w:fill="FFFFFF"/>
            <w:vAlign w:val="center"/>
          </w:tcPr>
          <w:p w14:paraId="7E5D0A34" w14:textId="7A63E4F9" w:rsidR="005F1CFD" w:rsidRPr="00CF31E0" w:rsidRDefault="00073750"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646</w:t>
            </w:r>
          </w:p>
        </w:tc>
        <w:tc>
          <w:tcPr>
            <w:tcW w:w="1445" w:type="dxa"/>
            <w:tcBorders>
              <w:top w:val="nil"/>
            </w:tcBorders>
            <w:shd w:val="clear" w:color="auto" w:fill="FFFFFF"/>
            <w:vAlign w:val="center"/>
          </w:tcPr>
          <w:p w14:paraId="525D5DCF" w14:textId="7F09F8B4"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1.457</w:t>
            </w:r>
          </w:p>
        </w:tc>
        <w:tc>
          <w:tcPr>
            <w:tcW w:w="1030" w:type="dxa"/>
            <w:tcBorders>
              <w:top w:val="nil"/>
            </w:tcBorders>
            <w:shd w:val="clear" w:color="auto" w:fill="FFFFFF"/>
            <w:vAlign w:val="center"/>
          </w:tcPr>
          <w:p w14:paraId="62E49DD9"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77886AE4"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r>
      <w:tr w:rsidR="005F1CFD" w:rsidRPr="00CF31E0" w14:paraId="23C88810" w14:textId="77777777" w:rsidTr="00C86BDA">
        <w:trPr>
          <w:cantSplit/>
        </w:trPr>
        <w:tc>
          <w:tcPr>
            <w:tcW w:w="1736" w:type="dxa"/>
            <w:shd w:val="clear" w:color="auto" w:fill="FFFFFF"/>
          </w:tcPr>
          <w:p w14:paraId="1F9FB84C"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D6DFA8C" w14:textId="0AB8C3E6"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942.512</w:t>
            </w:r>
          </w:p>
        </w:tc>
        <w:tc>
          <w:tcPr>
            <w:tcW w:w="820" w:type="dxa"/>
            <w:shd w:val="clear" w:color="auto" w:fill="FFFFFF"/>
            <w:vAlign w:val="center"/>
          </w:tcPr>
          <w:p w14:paraId="0F31BCE1" w14:textId="6873DE8D" w:rsidR="005F1CFD" w:rsidRPr="00CF31E0" w:rsidRDefault="00073750"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0227CC6C"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4BDA060D"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0627111F"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r>
    </w:tbl>
    <w:p w14:paraId="5F189152" w14:textId="77777777" w:rsidR="005F1CFD" w:rsidRPr="00CF31E0" w:rsidRDefault="005F1CFD" w:rsidP="005F1CFD">
      <w:pPr>
        <w:rPr>
          <w:rFonts w:asciiTheme="majorBidi" w:hAnsiTheme="majorBidi" w:cstheme="majorBidi"/>
          <w:b/>
          <w:bCs/>
          <w:color w:val="000000" w:themeColor="text1"/>
        </w:rPr>
      </w:pPr>
    </w:p>
    <w:p w14:paraId="4C8BE9E1" w14:textId="77777777" w:rsidR="005F1CFD" w:rsidRPr="00CF31E0" w:rsidRDefault="005F1CFD" w:rsidP="005F1CF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5F1CFD" w:rsidRPr="00CF31E0" w14:paraId="2FEC9CB3" w14:textId="77777777" w:rsidTr="00C86BDA">
        <w:trPr>
          <w:cantSplit/>
        </w:trPr>
        <w:tc>
          <w:tcPr>
            <w:tcW w:w="1736" w:type="dxa"/>
            <w:tcBorders>
              <w:top w:val="single" w:sz="8" w:space="0" w:color="auto"/>
              <w:bottom w:val="single" w:sz="6" w:space="0" w:color="auto"/>
            </w:tcBorders>
            <w:shd w:val="clear" w:color="auto" w:fill="FFFFFF"/>
            <w:vAlign w:val="bottom"/>
          </w:tcPr>
          <w:p w14:paraId="2E983694"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Marital status</w:t>
            </w:r>
          </w:p>
        </w:tc>
        <w:tc>
          <w:tcPr>
            <w:tcW w:w="1686" w:type="dxa"/>
            <w:tcBorders>
              <w:top w:val="single" w:sz="8" w:space="0" w:color="auto"/>
              <w:bottom w:val="single" w:sz="6" w:space="0" w:color="auto"/>
            </w:tcBorders>
            <w:shd w:val="clear" w:color="auto" w:fill="FFFFFF"/>
            <w:vAlign w:val="bottom"/>
          </w:tcPr>
          <w:p w14:paraId="20729D71"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680EAB13"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5C5EC7E"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650E6986"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74F32C04"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5F1CFD" w:rsidRPr="00CF31E0" w14:paraId="115D8B1E" w14:textId="77777777" w:rsidTr="00C86BDA">
        <w:trPr>
          <w:cantSplit/>
        </w:trPr>
        <w:tc>
          <w:tcPr>
            <w:tcW w:w="1736" w:type="dxa"/>
            <w:tcBorders>
              <w:top w:val="single" w:sz="6" w:space="0" w:color="auto"/>
              <w:bottom w:val="nil"/>
            </w:tcBorders>
            <w:shd w:val="clear" w:color="auto" w:fill="FFFFFF"/>
          </w:tcPr>
          <w:p w14:paraId="234453A0"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0F48D760" w14:textId="6F433061"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2.637</w:t>
            </w:r>
          </w:p>
        </w:tc>
        <w:tc>
          <w:tcPr>
            <w:tcW w:w="820" w:type="dxa"/>
            <w:tcBorders>
              <w:top w:val="single" w:sz="6" w:space="0" w:color="auto"/>
              <w:bottom w:val="nil"/>
            </w:tcBorders>
            <w:shd w:val="clear" w:color="auto" w:fill="FFFFFF"/>
            <w:vAlign w:val="center"/>
          </w:tcPr>
          <w:p w14:paraId="787B44D4" w14:textId="517FABF8"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w:t>
            </w:r>
          </w:p>
        </w:tc>
        <w:tc>
          <w:tcPr>
            <w:tcW w:w="1445" w:type="dxa"/>
            <w:tcBorders>
              <w:top w:val="single" w:sz="6" w:space="0" w:color="auto"/>
              <w:bottom w:val="nil"/>
            </w:tcBorders>
            <w:shd w:val="clear" w:color="auto" w:fill="FFFFFF"/>
            <w:vAlign w:val="center"/>
          </w:tcPr>
          <w:p w14:paraId="2C0C79BE" w14:textId="3C557BFB"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.879</w:t>
            </w:r>
          </w:p>
        </w:tc>
        <w:tc>
          <w:tcPr>
            <w:tcW w:w="1030" w:type="dxa"/>
            <w:tcBorders>
              <w:top w:val="single" w:sz="6" w:space="0" w:color="auto"/>
              <w:bottom w:val="nil"/>
            </w:tcBorders>
            <w:shd w:val="clear" w:color="auto" w:fill="FFFFFF"/>
            <w:vAlign w:val="center"/>
          </w:tcPr>
          <w:p w14:paraId="75A74A1B" w14:textId="376FE314"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.603</w:t>
            </w:r>
          </w:p>
        </w:tc>
        <w:tc>
          <w:tcPr>
            <w:tcW w:w="674" w:type="dxa"/>
            <w:tcBorders>
              <w:top w:val="single" w:sz="6" w:space="0" w:color="auto"/>
              <w:bottom w:val="nil"/>
            </w:tcBorders>
            <w:shd w:val="clear" w:color="auto" w:fill="FFFFFF"/>
            <w:vAlign w:val="center"/>
          </w:tcPr>
          <w:p w14:paraId="2DD2F714" w14:textId="49FFDBE4"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.613</w:t>
            </w:r>
          </w:p>
        </w:tc>
      </w:tr>
      <w:tr w:rsidR="005F1CFD" w:rsidRPr="00CF31E0" w14:paraId="587899D9" w14:textId="77777777" w:rsidTr="00C86BDA">
        <w:trPr>
          <w:cantSplit/>
        </w:trPr>
        <w:tc>
          <w:tcPr>
            <w:tcW w:w="1736" w:type="dxa"/>
            <w:tcBorders>
              <w:top w:val="nil"/>
            </w:tcBorders>
            <w:shd w:val="clear" w:color="auto" w:fill="FFFFFF"/>
          </w:tcPr>
          <w:p w14:paraId="4CAEB100"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64C92231" w14:textId="5B927FB4"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939.875</w:t>
            </w:r>
          </w:p>
        </w:tc>
        <w:tc>
          <w:tcPr>
            <w:tcW w:w="820" w:type="dxa"/>
            <w:tcBorders>
              <w:top w:val="nil"/>
            </w:tcBorders>
            <w:shd w:val="clear" w:color="auto" w:fill="FFFFFF"/>
            <w:vAlign w:val="center"/>
          </w:tcPr>
          <w:p w14:paraId="13319FCC" w14:textId="482CC20C" w:rsidR="005F1CFD" w:rsidRPr="00CF31E0" w:rsidRDefault="00073750"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646</w:t>
            </w:r>
          </w:p>
        </w:tc>
        <w:tc>
          <w:tcPr>
            <w:tcW w:w="1445" w:type="dxa"/>
            <w:tcBorders>
              <w:top w:val="nil"/>
            </w:tcBorders>
            <w:shd w:val="clear" w:color="auto" w:fill="FFFFFF"/>
            <w:vAlign w:val="center"/>
          </w:tcPr>
          <w:p w14:paraId="71CC2175" w14:textId="66F5F229"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1.457</w:t>
            </w:r>
          </w:p>
        </w:tc>
        <w:tc>
          <w:tcPr>
            <w:tcW w:w="1030" w:type="dxa"/>
            <w:tcBorders>
              <w:top w:val="nil"/>
            </w:tcBorders>
            <w:shd w:val="clear" w:color="auto" w:fill="FFFFFF"/>
            <w:vAlign w:val="center"/>
          </w:tcPr>
          <w:p w14:paraId="3F2C893A"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2A995C59"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r>
      <w:tr w:rsidR="005F1CFD" w:rsidRPr="00CF31E0" w14:paraId="5F20A066" w14:textId="77777777" w:rsidTr="00C86BDA">
        <w:trPr>
          <w:cantSplit/>
        </w:trPr>
        <w:tc>
          <w:tcPr>
            <w:tcW w:w="1736" w:type="dxa"/>
            <w:shd w:val="clear" w:color="auto" w:fill="FFFFFF"/>
          </w:tcPr>
          <w:p w14:paraId="25B2F9AB"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5E20D4CF" w14:textId="3F4E1A84"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942.512</w:t>
            </w:r>
          </w:p>
        </w:tc>
        <w:tc>
          <w:tcPr>
            <w:tcW w:w="820" w:type="dxa"/>
            <w:shd w:val="clear" w:color="auto" w:fill="FFFFFF"/>
            <w:vAlign w:val="center"/>
          </w:tcPr>
          <w:p w14:paraId="2C90F22D" w14:textId="24EFECE9" w:rsidR="005F1CFD" w:rsidRPr="00CF31E0" w:rsidRDefault="00073750"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4FA76E2E"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653ABFA3"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19D6C3C2"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r>
    </w:tbl>
    <w:p w14:paraId="01B6485E" w14:textId="77777777" w:rsidR="005F1CFD" w:rsidRPr="00CF31E0" w:rsidRDefault="005F1CFD" w:rsidP="005F1CFD">
      <w:pPr>
        <w:rPr>
          <w:rFonts w:asciiTheme="majorBidi" w:hAnsiTheme="majorBidi" w:cstheme="majorBidi"/>
          <w:b/>
          <w:bCs/>
          <w:color w:val="000000" w:themeColor="text1"/>
        </w:rPr>
      </w:pPr>
    </w:p>
    <w:p w14:paraId="4902F36C" w14:textId="77777777" w:rsidR="005F1CFD" w:rsidRPr="00CF31E0" w:rsidRDefault="005F1CFD" w:rsidP="005F1CF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5F1CFD" w:rsidRPr="00CF31E0" w14:paraId="0BD8D1F7" w14:textId="77777777" w:rsidTr="00C86BDA">
        <w:trPr>
          <w:cantSplit/>
        </w:trPr>
        <w:tc>
          <w:tcPr>
            <w:tcW w:w="1736" w:type="dxa"/>
            <w:tcBorders>
              <w:top w:val="single" w:sz="8" w:space="0" w:color="auto"/>
              <w:bottom w:val="single" w:sz="6" w:space="0" w:color="auto"/>
            </w:tcBorders>
            <w:shd w:val="clear" w:color="auto" w:fill="FFFFFF"/>
            <w:vAlign w:val="bottom"/>
          </w:tcPr>
          <w:p w14:paraId="114155B3"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Education</w:t>
            </w:r>
          </w:p>
        </w:tc>
        <w:tc>
          <w:tcPr>
            <w:tcW w:w="1686" w:type="dxa"/>
            <w:tcBorders>
              <w:top w:val="single" w:sz="8" w:space="0" w:color="auto"/>
              <w:bottom w:val="single" w:sz="6" w:space="0" w:color="auto"/>
            </w:tcBorders>
            <w:shd w:val="clear" w:color="auto" w:fill="FFFFFF"/>
            <w:vAlign w:val="bottom"/>
          </w:tcPr>
          <w:p w14:paraId="128167E1"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097AF0E4"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4C781F9D"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37619A22"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3662EADC"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5F1CFD" w:rsidRPr="00CF31E0" w14:paraId="4729EEEA" w14:textId="77777777" w:rsidTr="00C86BDA">
        <w:trPr>
          <w:cantSplit/>
        </w:trPr>
        <w:tc>
          <w:tcPr>
            <w:tcW w:w="1736" w:type="dxa"/>
            <w:tcBorders>
              <w:top w:val="single" w:sz="6" w:space="0" w:color="auto"/>
              <w:bottom w:val="nil"/>
            </w:tcBorders>
            <w:shd w:val="clear" w:color="auto" w:fill="FFFFFF"/>
          </w:tcPr>
          <w:p w14:paraId="17FBB49E"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556B318B" w14:textId="1E9578B4"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11.813</w:t>
            </w:r>
          </w:p>
        </w:tc>
        <w:tc>
          <w:tcPr>
            <w:tcW w:w="820" w:type="dxa"/>
            <w:tcBorders>
              <w:top w:val="single" w:sz="6" w:space="0" w:color="auto"/>
              <w:bottom w:val="nil"/>
            </w:tcBorders>
            <w:shd w:val="clear" w:color="auto" w:fill="FFFFFF"/>
            <w:vAlign w:val="center"/>
          </w:tcPr>
          <w:p w14:paraId="0C58750B" w14:textId="416BF1D0"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w:t>
            </w:r>
          </w:p>
        </w:tc>
        <w:tc>
          <w:tcPr>
            <w:tcW w:w="1445" w:type="dxa"/>
            <w:tcBorders>
              <w:top w:val="single" w:sz="6" w:space="0" w:color="auto"/>
              <w:bottom w:val="nil"/>
            </w:tcBorders>
            <w:shd w:val="clear" w:color="auto" w:fill="FFFFFF"/>
            <w:vAlign w:val="center"/>
          </w:tcPr>
          <w:p w14:paraId="388EEEC7" w14:textId="60C1A85F"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2.363</w:t>
            </w:r>
          </w:p>
        </w:tc>
        <w:tc>
          <w:tcPr>
            <w:tcW w:w="1030" w:type="dxa"/>
            <w:tcBorders>
              <w:top w:val="single" w:sz="6" w:space="0" w:color="auto"/>
              <w:bottom w:val="nil"/>
            </w:tcBorders>
            <w:shd w:val="clear" w:color="auto" w:fill="FFFFFF"/>
            <w:vAlign w:val="center"/>
          </w:tcPr>
          <w:p w14:paraId="5E6B2294" w14:textId="468023DF"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1.632</w:t>
            </w:r>
          </w:p>
        </w:tc>
        <w:tc>
          <w:tcPr>
            <w:tcW w:w="674" w:type="dxa"/>
            <w:tcBorders>
              <w:top w:val="single" w:sz="6" w:space="0" w:color="auto"/>
              <w:bottom w:val="nil"/>
            </w:tcBorders>
            <w:shd w:val="clear" w:color="auto" w:fill="FFFFFF"/>
            <w:vAlign w:val="center"/>
          </w:tcPr>
          <w:p w14:paraId="4F1A833F" w14:textId="68D4ADC8"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.149</w:t>
            </w:r>
          </w:p>
        </w:tc>
      </w:tr>
      <w:tr w:rsidR="005F1CFD" w:rsidRPr="00CF31E0" w14:paraId="4D156405" w14:textId="77777777" w:rsidTr="00C86BDA">
        <w:trPr>
          <w:cantSplit/>
        </w:trPr>
        <w:tc>
          <w:tcPr>
            <w:tcW w:w="1736" w:type="dxa"/>
            <w:tcBorders>
              <w:top w:val="nil"/>
            </w:tcBorders>
            <w:shd w:val="clear" w:color="auto" w:fill="FFFFFF"/>
          </w:tcPr>
          <w:p w14:paraId="2EBF577B"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7D8BE6AB" w14:textId="1FBFBFE4"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930.699</w:t>
            </w:r>
          </w:p>
        </w:tc>
        <w:tc>
          <w:tcPr>
            <w:tcW w:w="820" w:type="dxa"/>
            <w:tcBorders>
              <w:top w:val="nil"/>
            </w:tcBorders>
            <w:shd w:val="clear" w:color="auto" w:fill="FFFFFF"/>
            <w:vAlign w:val="center"/>
          </w:tcPr>
          <w:p w14:paraId="7B1D17EB" w14:textId="5FD3519B" w:rsidR="005F1CFD" w:rsidRPr="00CF31E0" w:rsidRDefault="00073750"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644</w:t>
            </w:r>
          </w:p>
        </w:tc>
        <w:tc>
          <w:tcPr>
            <w:tcW w:w="1445" w:type="dxa"/>
            <w:tcBorders>
              <w:top w:val="nil"/>
            </w:tcBorders>
            <w:shd w:val="clear" w:color="auto" w:fill="FFFFFF"/>
            <w:vAlign w:val="center"/>
          </w:tcPr>
          <w:p w14:paraId="262B7E7F" w14:textId="15553E5E"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1.447</w:t>
            </w:r>
          </w:p>
        </w:tc>
        <w:tc>
          <w:tcPr>
            <w:tcW w:w="1030" w:type="dxa"/>
            <w:tcBorders>
              <w:top w:val="nil"/>
            </w:tcBorders>
            <w:shd w:val="clear" w:color="auto" w:fill="FFFFFF"/>
            <w:vAlign w:val="center"/>
          </w:tcPr>
          <w:p w14:paraId="6DA085CE"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423A2E77"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r>
      <w:tr w:rsidR="005F1CFD" w:rsidRPr="00CF31E0" w14:paraId="170690F6" w14:textId="77777777" w:rsidTr="00C86BDA">
        <w:trPr>
          <w:cantSplit/>
        </w:trPr>
        <w:tc>
          <w:tcPr>
            <w:tcW w:w="1736" w:type="dxa"/>
            <w:shd w:val="clear" w:color="auto" w:fill="FFFFFF"/>
          </w:tcPr>
          <w:p w14:paraId="48AAF705"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61D36789" w14:textId="602CCA7E"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942.512</w:t>
            </w:r>
          </w:p>
        </w:tc>
        <w:tc>
          <w:tcPr>
            <w:tcW w:w="820" w:type="dxa"/>
            <w:shd w:val="clear" w:color="auto" w:fill="FFFFFF"/>
            <w:vAlign w:val="center"/>
          </w:tcPr>
          <w:p w14:paraId="0637E21E" w14:textId="0491F5CE" w:rsidR="005F1CFD" w:rsidRPr="00CF31E0" w:rsidRDefault="00073750"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28EA493B"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3F0815FB"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344004D8"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r>
    </w:tbl>
    <w:p w14:paraId="71F3F393" w14:textId="77777777" w:rsidR="005F1CFD" w:rsidRPr="00CF31E0" w:rsidRDefault="005F1CFD" w:rsidP="005F1CFD">
      <w:pPr>
        <w:rPr>
          <w:rFonts w:asciiTheme="majorBidi" w:hAnsiTheme="majorBidi" w:cstheme="majorBidi"/>
          <w:b/>
          <w:bCs/>
          <w:color w:val="000000" w:themeColor="text1"/>
        </w:rPr>
      </w:pPr>
    </w:p>
    <w:p w14:paraId="36D42FCF" w14:textId="77777777" w:rsidR="005F1CFD" w:rsidRPr="00CF31E0" w:rsidRDefault="005F1CFD" w:rsidP="005F1CFD">
      <w:pPr>
        <w:rPr>
          <w:rFonts w:asciiTheme="majorBidi" w:hAnsiTheme="majorBidi" w:cstheme="majorBidi"/>
          <w:b/>
          <w:bCs/>
          <w:color w:val="000000" w:themeColor="text1"/>
        </w:rPr>
      </w:pPr>
    </w:p>
    <w:p w14:paraId="466910E3" w14:textId="77777777" w:rsidR="005F1CFD" w:rsidRPr="00CF31E0" w:rsidRDefault="005F1CFD" w:rsidP="005F1CFD">
      <w:pPr>
        <w:rPr>
          <w:rFonts w:asciiTheme="majorBidi" w:hAnsiTheme="majorBidi" w:cstheme="majorBidi"/>
          <w:b/>
          <w:bCs/>
          <w:color w:val="000000" w:themeColor="text1"/>
        </w:rPr>
      </w:pPr>
    </w:p>
    <w:p w14:paraId="1A6646B5" w14:textId="77777777" w:rsidR="005F1CFD" w:rsidRPr="00CF31E0" w:rsidRDefault="005F1CFD" w:rsidP="005F1CFD">
      <w:pPr>
        <w:rPr>
          <w:rFonts w:asciiTheme="majorBidi" w:hAnsiTheme="majorBidi" w:cstheme="majorBidi"/>
          <w:b/>
          <w:bCs/>
          <w:color w:val="000000" w:themeColor="text1"/>
        </w:rPr>
      </w:pPr>
    </w:p>
    <w:p w14:paraId="72885E6B" w14:textId="77777777" w:rsidR="005F1CFD" w:rsidRPr="00CF31E0" w:rsidRDefault="005F1CFD" w:rsidP="005F1CFD">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5F1CFD" w:rsidRPr="00CF31E0" w14:paraId="7BF1D5B9" w14:textId="77777777" w:rsidTr="00C86BDA">
        <w:trPr>
          <w:cantSplit/>
        </w:trPr>
        <w:tc>
          <w:tcPr>
            <w:tcW w:w="1736" w:type="dxa"/>
            <w:tcBorders>
              <w:top w:val="single" w:sz="8" w:space="0" w:color="auto"/>
              <w:bottom w:val="single" w:sz="6" w:space="0" w:color="auto"/>
            </w:tcBorders>
            <w:shd w:val="clear" w:color="auto" w:fill="FFFFFF"/>
            <w:vAlign w:val="bottom"/>
          </w:tcPr>
          <w:p w14:paraId="053AF723" w14:textId="69346FC2"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Mother’s social group</w:t>
            </w:r>
          </w:p>
        </w:tc>
        <w:tc>
          <w:tcPr>
            <w:tcW w:w="1686" w:type="dxa"/>
            <w:tcBorders>
              <w:top w:val="single" w:sz="8" w:space="0" w:color="auto"/>
              <w:bottom w:val="single" w:sz="6" w:space="0" w:color="auto"/>
            </w:tcBorders>
            <w:shd w:val="clear" w:color="auto" w:fill="FFFFFF"/>
            <w:vAlign w:val="bottom"/>
          </w:tcPr>
          <w:p w14:paraId="4227B283"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07F8194B"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53EF1395"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15CF23F5"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46A325E6"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5F1CFD" w:rsidRPr="00CF31E0" w14:paraId="250E90DB" w14:textId="77777777" w:rsidTr="00C86BDA">
        <w:trPr>
          <w:cantSplit/>
        </w:trPr>
        <w:tc>
          <w:tcPr>
            <w:tcW w:w="1736" w:type="dxa"/>
            <w:tcBorders>
              <w:top w:val="single" w:sz="6" w:space="0" w:color="auto"/>
              <w:bottom w:val="nil"/>
            </w:tcBorders>
            <w:shd w:val="clear" w:color="auto" w:fill="FFFFFF"/>
          </w:tcPr>
          <w:p w14:paraId="07A10D00"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487C76F7" w14:textId="338FE0F2"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3.501</w:t>
            </w:r>
          </w:p>
        </w:tc>
        <w:tc>
          <w:tcPr>
            <w:tcW w:w="820" w:type="dxa"/>
            <w:tcBorders>
              <w:top w:val="single" w:sz="6" w:space="0" w:color="auto"/>
              <w:bottom w:val="nil"/>
            </w:tcBorders>
            <w:shd w:val="clear" w:color="auto" w:fill="FFFFFF"/>
            <w:vAlign w:val="center"/>
          </w:tcPr>
          <w:p w14:paraId="69ECC3E2" w14:textId="1B5E1E83"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w:t>
            </w:r>
          </w:p>
        </w:tc>
        <w:tc>
          <w:tcPr>
            <w:tcW w:w="1445" w:type="dxa"/>
            <w:tcBorders>
              <w:top w:val="single" w:sz="6" w:space="0" w:color="auto"/>
              <w:bottom w:val="nil"/>
            </w:tcBorders>
            <w:shd w:val="clear" w:color="auto" w:fill="FFFFFF"/>
            <w:vAlign w:val="center"/>
          </w:tcPr>
          <w:p w14:paraId="3B23B35B" w14:textId="1E1E8559"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1.751</w:t>
            </w:r>
          </w:p>
        </w:tc>
        <w:tc>
          <w:tcPr>
            <w:tcW w:w="1030" w:type="dxa"/>
            <w:tcBorders>
              <w:top w:val="single" w:sz="6" w:space="0" w:color="auto"/>
              <w:bottom w:val="nil"/>
            </w:tcBorders>
            <w:shd w:val="clear" w:color="auto" w:fill="FFFFFF"/>
            <w:vAlign w:val="center"/>
          </w:tcPr>
          <w:p w14:paraId="63A4865E" w14:textId="3E79D6B1"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1.203</w:t>
            </w:r>
          </w:p>
        </w:tc>
        <w:tc>
          <w:tcPr>
            <w:tcW w:w="674" w:type="dxa"/>
            <w:tcBorders>
              <w:top w:val="single" w:sz="6" w:space="0" w:color="auto"/>
              <w:bottom w:val="nil"/>
            </w:tcBorders>
            <w:shd w:val="clear" w:color="auto" w:fill="FFFFFF"/>
            <w:vAlign w:val="center"/>
          </w:tcPr>
          <w:p w14:paraId="39C3BBF6" w14:textId="7D0D4850"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.301</w:t>
            </w:r>
          </w:p>
        </w:tc>
      </w:tr>
      <w:tr w:rsidR="005F1CFD" w:rsidRPr="00CF31E0" w14:paraId="707AA7AB" w14:textId="77777777" w:rsidTr="00C86BDA">
        <w:trPr>
          <w:cantSplit/>
        </w:trPr>
        <w:tc>
          <w:tcPr>
            <w:tcW w:w="1736" w:type="dxa"/>
            <w:tcBorders>
              <w:top w:val="nil"/>
            </w:tcBorders>
            <w:shd w:val="clear" w:color="auto" w:fill="FFFFFF"/>
          </w:tcPr>
          <w:p w14:paraId="3AD7D5C9"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05314AA7" w14:textId="5E65726A"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938.868</w:t>
            </w:r>
          </w:p>
        </w:tc>
        <w:tc>
          <w:tcPr>
            <w:tcW w:w="820" w:type="dxa"/>
            <w:tcBorders>
              <w:top w:val="nil"/>
            </w:tcBorders>
            <w:shd w:val="clear" w:color="auto" w:fill="FFFFFF"/>
            <w:vAlign w:val="center"/>
          </w:tcPr>
          <w:p w14:paraId="4F0998D9" w14:textId="7417A8A3" w:rsidR="005F1CFD" w:rsidRPr="00CF31E0" w:rsidRDefault="00073750"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647</w:t>
            </w:r>
          </w:p>
        </w:tc>
        <w:tc>
          <w:tcPr>
            <w:tcW w:w="1445" w:type="dxa"/>
            <w:tcBorders>
              <w:top w:val="nil"/>
            </w:tcBorders>
            <w:shd w:val="clear" w:color="auto" w:fill="FFFFFF"/>
            <w:vAlign w:val="center"/>
          </w:tcPr>
          <w:p w14:paraId="3E398ECE" w14:textId="50689CD9"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1.456</w:t>
            </w:r>
          </w:p>
        </w:tc>
        <w:tc>
          <w:tcPr>
            <w:tcW w:w="1030" w:type="dxa"/>
            <w:tcBorders>
              <w:top w:val="nil"/>
            </w:tcBorders>
            <w:shd w:val="clear" w:color="auto" w:fill="FFFFFF"/>
            <w:vAlign w:val="center"/>
          </w:tcPr>
          <w:p w14:paraId="412843BC"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40BB6767"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r>
      <w:tr w:rsidR="005F1CFD" w:rsidRPr="00CF31E0" w14:paraId="6257D9BD" w14:textId="77777777" w:rsidTr="00C86BDA">
        <w:trPr>
          <w:cantSplit/>
        </w:trPr>
        <w:tc>
          <w:tcPr>
            <w:tcW w:w="1736" w:type="dxa"/>
            <w:shd w:val="clear" w:color="auto" w:fill="FFFFFF"/>
          </w:tcPr>
          <w:p w14:paraId="2C7F2F60"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26495111" w14:textId="7AF216FA"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942.369</w:t>
            </w:r>
          </w:p>
        </w:tc>
        <w:tc>
          <w:tcPr>
            <w:tcW w:w="820" w:type="dxa"/>
            <w:shd w:val="clear" w:color="auto" w:fill="FFFFFF"/>
            <w:vAlign w:val="center"/>
          </w:tcPr>
          <w:p w14:paraId="65B7AED3" w14:textId="7A170BDB" w:rsidR="005F1CFD" w:rsidRPr="00CF31E0" w:rsidRDefault="00073750"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52BAB097"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5F1565D3"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52F028BE"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r>
    </w:tbl>
    <w:p w14:paraId="564F4519" w14:textId="77777777" w:rsidR="005F1CFD" w:rsidRPr="00CF31E0" w:rsidRDefault="005F1CFD" w:rsidP="00603CB7">
      <w:pPr>
        <w:rPr>
          <w:rFonts w:asciiTheme="majorBidi" w:hAnsiTheme="majorBidi" w:cstheme="majorBidi"/>
          <w:b/>
          <w:bCs/>
          <w:color w:val="000000" w:themeColor="text1"/>
        </w:rPr>
      </w:pPr>
    </w:p>
    <w:p w14:paraId="12C5DE81" w14:textId="77777777" w:rsidR="007255CE" w:rsidRPr="00CF31E0" w:rsidRDefault="007255CE" w:rsidP="00C15345">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5F1CFD" w:rsidRPr="00CF31E0" w14:paraId="18E364F1" w14:textId="77777777" w:rsidTr="00C86BDA">
        <w:trPr>
          <w:cantSplit/>
        </w:trPr>
        <w:tc>
          <w:tcPr>
            <w:tcW w:w="1736" w:type="dxa"/>
            <w:tcBorders>
              <w:top w:val="single" w:sz="8" w:space="0" w:color="auto"/>
              <w:bottom w:val="single" w:sz="6" w:space="0" w:color="auto"/>
            </w:tcBorders>
            <w:shd w:val="clear" w:color="auto" w:fill="FFFFFF"/>
            <w:vAlign w:val="bottom"/>
          </w:tcPr>
          <w:p w14:paraId="688B3284" w14:textId="7F3C1F76"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Spouse’s social group</w:t>
            </w:r>
          </w:p>
        </w:tc>
        <w:tc>
          <w:tcPr>
            <w:tcW w:w="1686" w:type="dxa"/>
            <w:tcBorders>
              <w:top w:val="single" w:sz="8" w:space="0" w:color="auto"/>
              <w:bottom w:val="single" w:sz="6" w:space="0" w:color="auto"/>
            </w:tcBorders>
            <w:shd w:val="clear" w:color="auto" w:fill="FFFFFF"/>
            <w:vAlign w:val="bottom"/>
          </w:tcPr>
          <w:p w14:paraId="3F1DD89B"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770B864D"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02C2991"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0943613E"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78F63886"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5F1CFD" w:rsidRPr="00CF31E0" w14:paraId="1CCBE020" w14:textId="77777777" w:rsidTr="00C86BDA">
        <w:trPr>
          <w:cantSplit/>
        </w:trPr>
        <w:tc>
          <w:tcPr>
            <w:tcW w:w="1736" w:type="dxa"/>
            <w:tcBorders>
              <w:top w:val="single" w:sz="6" w:space="0" w:color="auto"/>
              <w:bottom w:val="nil"/>
            </w:tcBorders>
            <w:shd w:val="clear" w:color="auto" w:fill="FFFFFF"/>
          </w:tcPr>
          <w:p w14:paraId="66A4398E"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4540EBC8" w14:textId="4EB29551"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12.420</w:t>
            </w:r>
          </w:p>
        </w:tc>
        <w:tc>
          <w:tcPr>
            <w:tcW w:w="820" w:type="dxa"/>
            <w:tcBorders>
              <w:top w:val="single" w:sz="6" w:space="0" w:color="auto"/>
              <w:bottom w:val="nil"/>
            </w:tcBorders>
            <w:shd w:val="clear" w:color="auto" w:fill="FFFFFF"/>
            <w:vAlign w:val="center"/>
          </w:tcPr>
          <w:p w14:paraId="66A22069" w14:textId="791B83E7"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w:t>
            </w:r>
          </w:p>
        </w:tc>
        <w:tc>
          <w:tcPr>
            <w:tcW w:w="1445" w:type="dxa"/>
            <w:tcBorders>
              <w:top w:val="single" w:sz="6" w:space="0" w:color="auto"/>
              <w:bottom w:val="nil"/>
            </w:tcBorders>
            <w:shd w:val="clear" w:color="auto" w:fill="FFFFFF"/>
            <w:vAlign w:val="center"/>
          </w:tcPr>
          <w:p w14:paraId="74C2444B" w14:textId="2E624C2F"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3.105</w:t>
            </w:r>
          </w:p>
        </w:tc>
        <w:tc>
          <w:tcPr>
            <w:tcW w:w="1030" w:type="dxa"/>
            <w:tcBorders>
              <w:top w:val="single" w:sz="6" w:space="0" w:color="auto"/>
              <w:bottom w:val="nil"/>
            </w:tcBorders>
            <w:shd w:val="clear" w:color="auto" w:fill="FFFFFF"/>
            <w:vAlign w:val="center"/>
          </w:tcPr>
          <w:p w14:paraId="5BC2DD84" w14:textId="16210778"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2.156</w:t>
            </w:r>
          </w:p>
        </w:tc>
        <w:tc>
          <w:tcPr>
            <w:tcW w:w="674" w:type="dxa"/>
            <w:tcBorders>
              <w:top w:val="single" w:sz="6" w:space="0" w:color="auto"/>
              <w:bottom w:val="nil"/>
            </w:tcBorders>
            <w:shd w:val="clear" w:color="auto" w:fill="FFFFFF"/>
            <w:vAlign w:val="center"/>
          </w:tcPr>
          <w:p w14:paraId="5DB8FCEC" w14:textId="7E11F8AA"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.073</w:t>
            </w:r>
          </w:p>
        </w:tc>
      </w:tr>
      <w:tr w:rsidR="005F1CFD" w:rsidRPr="00CF31E0" w14:paraId="22D8D10A" w14:textId="77777777" w:rsidTr="00C86BDA">
        <w:trPr>
          <w:cantSplit/>
        </w:trPr>
        <w:tc>
          <w:tcPr>
            <w:tcW w:w="1736" w:type="dxa"/>
            <w:tcBorders>
              <w:top w:val="nil"/>
            </w:tcBorders>
            <w:shd w:val="clear" w:color="auto" w:fill="FFFFFF"/>
          </w:tcPr>
          <w:p w14:paraId="5461DECD"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49AD3AA2" w14:textId="76807A19"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921.757</w:t>
            </w:r>
          </w:p>
        </w:tc>
        <w:tc>
          <w:tcPr>
            <w:tcW w:w="820" w:type="dxa"/>
            <w:tcBorders>
              <w:top w:val="nil"/>
            </w:tcBorders>
            <w:shd w:val="clear" w:color="auto" w:fill="FFFFFF"/>
            <w:vAlign w:val="center"/>
          </w:tcPr>
          <w:p w14:paraId="15AF42BA" w14:textId="17246F14" w:rsidR="005F1CFD" w:rsidRPr="00CF31E0" w:rsidRDefault="00073750"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645</w:t>
            </w:r>
          </w:p>
        </w:tc>
        <w:tc>
          <w:tcPr>
            <w:tcW w:w="1445" w:type="dxa"/>
            <w:tcBorders>
              <w:top w:val="nil"/>
            </w:tcBorders>
            <w:shd w:val="clear" w:color="auto" w:fill="FFFFFF"/>
            <w:vAlign w:val="center"/>
          </w:tcPr>
          <w:p w14:paraId="7F9FA64B" w14:textId="1BFEA959"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1.440</w:t>
            </w:r>
          </w:p>
        </w:tc>
        <w:tc>
          <w:tcPr>
            <w:tcW w:w="1030" w:type="dxa"/>
            <w:tcBorders>
              <w:top w:val="nil"/>
            </w:tcBorders>
            <w:shd w:val="clear" w:color="auto" w:fill="FFFFFF"/>
            <w:vAlign w:val="center"/>
          </w:tcPr>
          <w:p w14:paraId="2ABB8B73"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77E18C85"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r>
      <w:tr w:rsidR="005F1CFD" w:rsidRPr="00CF31E0" w14:paraId="3157E9D4" w14:textId="77777777" w:rsidTr="00C86BDA">
        <w:trPr>
          <w:cantSplit/>
        </w:trPr>
        <w:tc>
          <w:tcPr>
            <w:tcW w:w="1736" w:type="dxa"/>
            <w:shd w:val="clear" w:color="auto" w:fill="FFFFFF"/>
          </w:tcPr>
          <w:p w14:paraId="72D836BC" w14:textId="77777777" w:rsidR="005F1CFD" w:rsidRPr="00CF31E0" w:rsidRDefault="005F1CFD" w:rsidP="00C86BDA">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6BB8BCC9" w14:textId="6536124D" w:rsidR="005F1CFD" w:rsidRPr="00CF31E0" w:rsidRDefault="005F1CFD"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934.177</w:t>
            </w:r>
          </w:p>
        </w:tc>
        <w:tc>
          <w:tcPr>
            <w:tcW w:w="820" w:type="dxa"/>
            <w:shd w:val="clear" w:color="auto" w:fill="FFFFFF"/>
            <w:vAlign w:val="center"/>
          </w:tcPr>
          <w:p w14:paraId="292F59D7" w14:textId="36AA93D8" w:rsidR="005F1CFD" w:rsidRPr="00CF31E0" w:rsidRDefault="00073750" w:rsidP="00C86BDA">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18965976"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5AF2BADD"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2CF79690" w14:textId="77777777" w:rsidR="005F1CFD" w:rsidRPr="00CF31E0" w:rsidRDefault="005F1CFD" w:rsidP="00C86BDA">
            <w:pPr>
              <w:spacing w:before="120" w:after="120" w:line="360" w:lineRule="auto"/>
              <w:jc w:val="right"/>
              <w:rPr>
                <w:rFonts w:eastAsia="Calibri" w:cs="Arial"/>
                <w:color w:val="000000" w:themeColor="text1"/>
                <w:sz w:val="22"/>
                <w:szCs w:val="22"/>
                <w:lang w:eastAsia="en-US"/>
              </w:rPr>
            </w:pPr>
          </w:p>
        </w:tc>
      </w:tr>
    </w:tbl>
    <w:p w14:paraId="33C6DFED" w14:textId="77777777" w:rsidR="005F1CFD" w:rsidRPr="00CF31E0" w:rsidRDefault="005F1CFD" w:rsidP="00C15345">
      <w:pPr>
        <w:rPr>
          <w:rFonts w:asciiTheme="majorBidi" w:hAnsiTheme="majorBidi" w:cstheme="majorBidi"/>
          <w:b/>
          <w:bCs/>
          <w:color w:val="000000" w:themeColor="text1"/>
        </w:rPr>
      </w:pPr>
    </w:p>
    <w:p w14:paraId="4EC98C50" w14:textId="77777777" w:rsidR="005F1CFD" w:rsidRPr="00CF31E0" w:rsidRDefault="005F1CFD" w:rsidP="00C15345">
      <w:pPr>
        <w:rPr>
          <w:rFonts w:asciiTheme="majorBidi" w:hAnsiTheme="majorBidi" w:cstheme="majorBidi"/>
          <w:b/>
          <w:bCs/>
          <w:color w:val="000000" w:themeColor="text1"/>
        </w:rPr>
      </w:pPr>
    </w:p>
    <w:p w14:paraId="658CA2C3" w14:textId="171A34CD" w:rsidR="007255CE" w:rsidRPr="00CF31E0" w:rsidRDefault="007255CE" w:rsidP="007255CE">
      <w:pPr>
        <w:pStyle w:val="ListParagraph"/>
        <w:numPr>
          <w:ilvl w:val="0"/>
          <w:numId w:val="74"/>
        </w:numPr>
        <w:rPr>
          <w:rFonts w:asciiTheme="majorBidi" w:hAnsiTheme="majorBidi" w:cstheme="majorBidi"/>
          <w:b/>
          <w:bCs/>
          <w:color w:val="000000" w:themeColor="text1"/>
          <w:sz w:val="28"/>
          <w:szCs w:val="28"/>
        </w:rPr>
      </w:pPr>
      <w:r w:rsidRPr="00CF31E0">
        <w:rPr>
          <w:rFonts w:asciiTheme="majorBidi" w:hAnsiTheme="majorBidi" w:cstheme="majorBidi"/>
          <w:b/>
          <w:bCs/>
          <w:color w:val="000000" w:themeColor="text1"/>
          <w:sz w:val="28"/>
          <w:szCs w:val="28"/>
        </w:rPr>
        <w:t>VS4</w:t>
      </w:r>
    </w:p>
    <w:p w14:paraId="5F4CF2D2" w14:textId="77777777" w:rsidR="007255CE" w:rsidRPr="00CF31E0" w:rsidRDefault="007255CE" w:rsidP="007255CE">
      <w:pPr>
        <w:pStyle w:val="ListParagraph"/>
        <w:ind w:left="0"/>
        <w:rPr>
          <w:rFonts w:asciiTheme="majorBidi" w:hAnsiTheme="majorBidi" w:cstheme="majorBidi"/>
          <w:b/>
          <w:bCs/>
          <w:color w:val="000000" w:themeColor="text1"/>
        </w:rPr>
      </w:pPr>
    </w:p>
    <w:p w14:paraId="260C5648" w14:textId="77777777" w:rsidR="007255CE" w:rsidRPr="00CF31E0" w:rsidRDefault="007255CE" w:rsidP="007255CE">
      <w:pPr>
        <w:pStyle w:val="ListParagraph"/>
        <w:numPr>
          <w:ilvl w:val="0"/>
          <w:numId w:val="71"/>
        </w:numPr>
        <w:rPr>
          <w:rFonts w:asciiTheme="majorBidi" w:hAnsiTheme="majorBidi" w:cstheme="majorBidi"/>
          <w:b/>
          <w:bCs/>
          <w:color w:val="000000" w:themeColor="text1"/>
          <w:sz w:val="28"/>
          <w:szCs w:val="28"/>
        </w:rPr>
      </w:pPr>
      <w:r w:rsidRPr="00CF31E0">
        <w:rPr>
          <w:rFonts w:asciiTheme="majorBidi" w:hAnsiTheme="majorBidi" w:cstheme="majorBidi"/>
          <w:b/>
          <w:bCs/>
          <w:color w:val="000000" w:themeColor="text1"/>
          <w:sz w:val="28"/>
          <w:szCs w:val="28"/>
        </w:rPr>
        <w:t>Serious scale</w:t>
      </w:r>
    </w:p>
    <w:p w14:paraId="4256C287" w14:textId="77777777" w:rsidR="007255CE" w:rsidRPr="00CF31E0" w:rsidRDefault="007255CE" w:rsidP="007255CE">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2"/>
        <w:gridCol w:w="1443"/>
        <w:gridCol w:w="1030"/>
        <w:gridCol w:w="674"/>
      </w:tblGrid>
      <w:tr w:rsidR="007255CE" w:rsidRPr="00CF31E0" w14:paraId="4FD59BDB" w14:textId="77777777" w:rsidTr="00073750">
        <w:trPr>
          <w:cantSplit/>
        </w:trPr>
        <w:tc>
          <w:tcPr>
            <w:tcW w:w="1736" w:type="dxa"/>
            <w:tcBorders>
              <w:top w:val="single" w:sz="8" w:space="0" w:color="auto"/>
              <w:bottom w:val="single" w:sz="6" w:space="0" w:color="auto"/>
            </w:tcBorders>
            <w:shd w:val="clear" w:color="auto" w:fill="FFFFFF"/>
            <w:vAlign w:val="bottom"/>
          </w:tcPr>
          <w:p w14:paraId="38120E94"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Age</w:t>
            </w:r>
          </w:p>
        </w:tc>
        <w:tc>
          <w:tcPr>
            <w:tcW w:w="1686" w:type="dxa"/>
            <w:tcBorders>
              <w:top w:val="single" w:sz="8" w:space="0" w:color="auto"/>
              <w:bottom w:val="single" w:sz="6" w:space="0" w:color="auto"/>
            </w:tcBorders>
            <w:shd w:val="clear" w:color="auto" w:fill="FFFFFF"/>
            <w:vAlign w:val="bottom"/>
          </w:tcPr>
          <w:p w14:paraId="27C6106B"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2" w:type="dxa"/>
            <w:tcBorders>
              <w:top w:val="single" w:sz="8" w:space="0" w:color="auto"/>
              <w:bottom w:val="single" w:sz="6" w:space="0" w:color="auto"/>
            </w:tcBorders>
            <w:shd w:val="clear" w:color="auto" w:fill="FFFFFF"/>
            <w:vAlign w:val="bottom"/>
          </w:tcPr>
          <w:p w14:paraId="7470ABBD"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3" w:type="dxa"/>
            <w:tcBorders>
              <w:top w:val="single" w:sz="8" w:space="0" w:color="auto"/>
              <w:bottom w:val="single" w:sz="6" w:space="0" w:color="auto"/>
            </w:tcBorders>
            <w:shd w:val="clear" w:color="auto" w:fill="FFFFFF"/>
            <w:vAlign w:val="bottom"/>
          </w:tcPr>
          <w:p w14:paraId="21796DD2"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4A76C404"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494AA62B"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255CE" w:rsidRPr="00CF31E0" w14:paraId="53C6CBB3" w14:textId="77777777" w:rsidTr="00073750">
        <w:trPr>
          <w:cantSplit/>
        </w:trPr>
        <w:tc>
          <w:tcPr>
            <w:tcW w:w="1736" w:type="dxa"/>
            <w:tcBorders>
              <w:top w:val="single" w:sz="6" w:space="0" w:color="auto"/>
              <w:bottom w:val="nil"/>
            </w:tcBorders>
            <w:shd w:val="clear" w:color="auto" w:fill="FFFFFF"/>
          </w:tcPr>
          <w:p w14:paraId="50C91166"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4CAD6506" w14:textId="738FE82A"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24.829</w:t>
            </w:r>
          </w:p>
        </w:tc>
        <w:tc>
          <w:tcPr>
            <w:tcW w:w="822" w:type="dxa"/>
            <w:tcBorders>
              <w:top w:val="single" w:sz="6" w:space="0" w:color="auto"/>
              <w:bottom w:val="nil"/>
            </w:tcBorders>
            <w:shd w:val="clear" w:color="auto" w:fill="FFFFFF"/>
            <w:vAlign w:val="center"/>
          </w:tcPr>
          <w:p w14:paraId="33097165" w14:textId="6153FE5B"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w:t>
            </w:r>
          </w:p>
        </w:tc>
        <w:tc>
          <w:tcPr>
            <w:tcW w:w="1443" w:type="dxa"/>
            <w:tcBorders>
              <w:top w:val="single" w:sz="6" w:space="0" w:color="auto"/>
              <w:bottom w:val="nil"/>
            </w:tcBorders>
            <w:shd w:val="clear" w:color="auto" w:fill="FFFFFF"/>
            <w:vAlign w:val="center"/>
          </w:tcPr>
          <w:p w14:paraId="0C4FFDD8" w14:textId="53C56B2C"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4.966</w:t>
            </w:r>
          </w:p>
        </w:tc>
        <w:tc>
          <w:tcPr>
            <w:tcW w:w="1030" w:type="dxa"/>
            <w:tcBorders>
              <w:top w:val="single" w:sz="6" w:space="0" w:color="auto"/>
              <w:bottom w:val="nil"/>
            </w:tcBorders>
            <w:shd w:val="clear" w:color="auto" w:fill="FFFFFF"/>
            <w:vAlign w:val="center"/>
          </w:tcPr>
          <w:p w14:paraId="73CA0C40" w14:textId="2F0DFFCF"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2.917</w:t>
            </w:r>
          </w:p>
        </w:tc>
        <w:tc>
          <w:tcPr>
            <w:tcW w:w="674" w:type="dxa"/>
            <w:tcBorders>
              <w:top w:val="single" w:sz="6" w:space="0" w:color="auto"/>
              <w:bottom w:val="nil"/>
            </w:tcBorders>
            <w:shd w:val="clear" w:color="auto" w:fill="FFFFFF"/>
            <w:vAlign w:val="center"/>
          </w:tcPr>
          <w:p w14:paraId="2944E9B7" w14:textId="02CEE889"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.113</w:t>
            </w:r>
          </w:p>
        </w:tc>
      </w:tr>
      <w:tr w:rsidR="007255CE" w:rsidRPr="00CF31E0" w14:paraId="2B08BBA9" w14:textId="77777777" w:rsidTr="00073750">
        <w:trPr>
          <w:cantSplit/>
        </w:trPr>
        <w:tc>
          <w:tcPr>
            <w:tcW w:w="1736" w:type="dxa"/>
            <w:tcBorders>
              <w:top w:val="nil"/>
            </w:tcBorders>
            <w:shd w:val="clear" w:color="auto" w:fill="FFFFFF"/>
          </w:tcPr>
          <w:p w14:paraId="0C81710A"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5CDA4C65" w14:textId="742DC7F8"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1091.359</w:t>
            </w:r>
          </w:p>
        </w:tc>
        <w:tc>
          <w:tcPr>
            <w:tcW w:w="822" w:type="dxa"/>
            <w:tcBorders>
              <w:top w:val="nil"/>
            </w:tcBorders>
            <w:shd w:val="clear" w:color="auto" w:fill="FFFFFF"/>
            <w:vAlign w:val="center"/>
          </w:tcPr>
          <w:p w14:paraId="3DB1AEA2" w14:textId="6972E6C0" w:rsidR="007255CE" w:rsidRPr="00CF31E0" w:rsidRDefault="00073750"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644</w:t>
            </w:r>
          </w:p>
        </w:tc>
        <w:tc>
          <w:tcPr>
            <w:tcW w:w="1443" w:type="dxa"/>
            <w:tcBorders>
              <w:top w:val="nil"/>
            </w:tcBorders>
            <w:shd w:val="clear" w:color="auto" w:fill="FFFFFF"/>
            <w:vAlign w:val="center"/>
          </w:tcPr>
          <w:p w14:paraId="648564ED" w14:textId="7C0073DA"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1.703</w:t>
            </w:r>
          </w:p>
        </w:tc>
        <w:tc>
          <w:tcPr>
            <w:tcW w:w="1030" w:type="dxa"/>
            <w:tcBorders>
              <w:top w:val="nil"/>
            </w:tcBorders>
            <w:shd w:val="clear" w:color="auto" w:fill="FFFFFF"/>
            <w:vAlign w:val="center"/>
          </w:tcPr>
          <w:p w14:paraId="6C7DBD66"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2ED7E213"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r>
      <w:tr w:rsidR="007255CE" w:rsidRPr="00CF31E0" w14:paraId="0BE19887" w14:textId="77777777" w:rsidTr="00073750">
        <w:trPr>
          <w:cantSplit/>
        </w:trPr>
        <w:tc>
          <w:tcPr>
            <w:tcW w:w="1736" w:type="dxa"/>
            <w:shd w:val="clear" w:color="auto" w:fill="FFFFFF"/>
          </w:tcPr>
          <w:p w14:paraId="0914042F"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5FF144FB" w14:textId="3E487C65"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1116.189</w:t>
            </w:r>
          </w:p>
        </w:tc>
        <w:tc>
          <w:tcPr>
            <w:tcW w:w="822" w:type="dxa"/>
            <w:shd w:val="clear" w:color="auto" w:fill="FFFFFF"/>
            <w:vAlign w:val="center"/>
          </w:tcPr>
          <w:p w14:paraId="45F03D15" w14:textId="35F1A667" w:rsidR="007255CE" w:rsidRPr="00CF31E0" w:rsidRDefault="00073750"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3" w:type="dxa"/>
            <w:shd w:val="clear" w:color="auto" w:fill="FFFFFF"/>
            <w:vAlign w:val="center"/>
          </w:tcPr>
          <w:p w14:paraId="2C6417AF"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16ED723D"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2E444396"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r>
    </w:tbl>
    <w:p w14:paraId="68A52E02" w14:textId="77777777" w:rsidR="007255CE" w:rsidRPr="00CF31E0" w:rsidRDefault="007255CE" w:rsidP="007255CE">
      <w:pPr>
        <w:rPr>
          <w:rFonts w:asciiTheme="majorBidi" w:hAnsiTheme="majorBidi" w:cstheme="majorBidi"/>
          <w:b/>
          <w:bCs/>
          <w:color w:val="000000" w:themeColor="text1"/>
        </w:rPr>
      </w:pPr>
    </w:p>
    <w:p w14:paraId="23E3010F" w14:textId="77777777" w:rsidR="007255CE" w:rsidRPr="00CF31E0" w:rsidRDefault="007255CE" w:rsidP="007255CE">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7255CE" w:rsidRPr="00CF31E0" w14:paraId="19EEF9DB" w14:textId="77777777" w:rsidTr="00CD755B">
        <w:trPr>
          <w:cantSplit/>
        </w:trPr>
        <w:tc>
          <w:tcPr>
            <w:tcW w:w="1736" w:type="dxa"/>
            <w:tcBorders>
              <w:top w:val="single" w:sz="8" w:space="0" w:color="auto"/>
              <w:bottom w:val="single" w:sz="6" w:space="0" w:color="auto"/>
            </w:tcBorders>
            <w:shd w:val="clear" w:color="auto" w:fill="FFFFFF"/>
            <w:vAlign w:val="bottom"/>
          </w:tcPr>
          <w:p w14:paraId="56AC595D"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 of birth</w:t>
            </w:r>
          </w:p>
        </w:tc>
        <w:tc>
          <w:tcPr>
            <w:tcW w:w="1686" w:type="dxa"/>
            <w:tcBorders>
              <w:top w:val="single" w:sz="8" w:space="0" w:color="auto"/>
              <w:bottom w:val="single" w:sz="6" w:space="0" w:color="auto"/>
            </w:tcBorders>
            <w:shd w:val="clear" w:color="auto" w:fill="FFFFFF"/>
            <w:vAlign w:val="bottom"/>
          </w:tcPr>
          <w:p w14:paraId="2CED387A"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239C652E"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41E26CC7"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2673EAAE"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47FEEDA0"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255CE" w:rsidRPr="00CF31E0" w14:paraId="3552DCD0" w14:textId="77777777" w:rsidTr="00CD755B">
        <w:trPr>
          <w:cantSplit/>
        </w:trPr>
        <w:tc>
          <w:tcPr>
            <w:tcW w:w="1736" w:type="dxa"/>
            <w:tcBorders>
              <w:top w:val="single" w:sz="6" w:space="0" w:color="auto"/>
              <w:bottom w:val="nil"/>
            </w:tcBorders>
            <w:shd w:val="clear" w:color="auto" w:fill="FFFFFF"/>
          </w:tcPr>
          <w:p w14:paraId="7FF3FB28"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4DF71B00" w14:textId="39880CBD"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.744</w:t>
            </w:r>
          </w:p>
        </w:tc>
        <w:tc>
          <w:tcPr>
            <w:tcW w:w="820" w:type="dxa"/>
            <w:tcBorders>
              <w:top w:val="single" w:sz="6" w:space="0" w:color="auto"/>
              <w:bottom w:val="nil"/>
            </w:tcBorders>
            <w:shd w:val="clear" w:color="auto" w:fill="FFFFFF"/>
            <w:vAlign w:val="center"/>
          </w:tcPr>
          <w:p w14:paraId="1BD3B761" w14:textId="25D48D7A"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242EB8B1" w14:textId="63EC0DC9"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.744</w:t>
            </w:r>
          </w:p>
        </w:tc>
        <w:tc>
          <w:tcPr>
            <w:tcW w:w="1030" w:type="dxa"/>
            <w:tcBorders>
              <w:top w:val="single" w:sz="6" w:space="0" w:color="auto"/>
              <w:bottom w:val="nil"/>
            </w:tcBorders>
            <w:shd w:val="clear" w:color="auto" w:fill="FFFFFF"/>
            <w:vAlign w:val="center"/>
          </w:tcPr>
          <w:p w14:paraId="2F701779" w14:textId="49D09C5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.430</w:t>
            </w:r>
          </w:p>
        </w:tc>
        <w:tc>
          <w:tcPr>
            <w:tcW w:w="674" w:type="dxa"/>
            <w:tcBorders>
              <w:top w:val="single" w:sz="6" w:space="0" w:color="auto"/>
              <w:bottom w:val="nil"/>
            </w:tcBorders>
            <w:shd w:val="clear" w:color="auto" w:fill="FFFFFF"/>
            <w:vAlign w:val="center"/>
          </w:tcPr>
          <w:p w14:paraId="7A414722" w14:textId="283C0DEE"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.512</w:t>
            </w:r>
          </w:p>
        </w:tc>
      </w:tr>
      <w:tr w:rsidR="007255CE" w:rsidRPr="00CF31E0" w14:paraId="6A879F21" w14:textId="77777777" w:rsidTr="00CD755B">
        <w:trPr>
          <w:cantSplit/>
        </w:trPr>
        <w:tc>
          <w:tcPr>
            <w:tcW w:w="1736" w:type="dxa"/>
            <w:tcBorders>
              <w:top w:val="nil"/>
            </w:tcBorders>
            <w:shd w:val="clear" w:color="auto" w:fill="FFFFFF"/>
          </w:tcPr>
          <w:p w14:paraId="46EDDBF9"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2E1CB314" w14:textId="4E6E8BE3"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1121.031</w:t>
            </w:r>
          </w:p>
        </w:tc>
        <w:tc>
          <w:tcPr>
            <w:tcW w:w="820" w:type="dxa"/>
            <w:tcBorders>
              <w:top w:val="nil"/>
            </w:tcBorders>
            <w:shd w:val="clear" w:color="auto" w:fill="FFFFFF"/>
            <w:vAlign w:val="center"/>
          </w:tcPr>
          <w:p w14:paraId="1E0ED505" w14:textId="64A0672A" w:rsidR="007255CE" w:rsidRPr="00CF31E0" w:rsidRDefault="00073750"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3A0ED09F" w14:textId="46D3B588"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1.733</w:t>
            </w:r>
          </w:p>
        </w:tc>
        <w:tc>
          <w:tcPr>
            <w:tcW w:w="1030" w:type="dxa"/>
            <w:tcBorders>
              <w:top w:val="nil"/>
            </w:tcBorders>
            <w:shd w:val="clear" w:color="auto" w:fill="FFFFFF"/>
            <w:vAlign w:val="center"/>
          </w:tcPr>
          <w:p w14:paraId="65663941"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1DAF561F"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r>
      <w:tr w:rsidR="007255CE" w:rsidRPr="00CF31E0" w14:paraId="72DCACDE" w14:textId="77777777" w:rsidTr="00CD755B">
        <w:trPr>
          <w:cantSplit/>
        </w:trPr>
        <w:tc>
          <w:tcPr>
            <w:tcW w:w="1736" w:type="dxa"/>
            <w:shd w:val="clear" w:color="auto" w:fill="FFFFFF"/>
          </w:tcPr>
          <w:p w14:paraId="6FF093D8"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B64C405" w14:textId="5A010055"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1121.775</w:t>
            </w:r>
          </w:p>
        </w:tc>
        <w:tc>
          <w:tcPr>
            <w:tcW w:w="820" w:type="dxa"/>
            <w:shd w:val="clear" w:color="auto" w:fill="FFFFFF"/>
            <w:vAlign w:val="center"/>
          </w:tcPr>
          <w:p w14:paraId="63C0EC13" w14:textId="404395C4" w:rsidR="007255CE" w:rsidRPr="00CF31E0" w:rsidRDefault="00073750"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7B2D8345"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1C11DD43"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74621C18"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r>
      <w:tr w:rsidR="007255CE" w:rsidRPr="00CF31E0" w14:paraId="606EE43A" w14:textId="77777777" w:rsidTr="00CD755B">
        <w:trPr>
          <w:cantSplit/>
        </w:trPr>
        <w:tc>
          <w:tcPr>
            <w:tcW w:w="1736" w:type="dxa"/>
            <w:tcBorders>
              <w:top w:val="single" w:sz="8" w:space="0" w:color="auto"/>
              <w:bottom w:val="single" w:sz="6" w:space="0" w:color="auto"/>
            </w:tcBorders>
            <w:shd w:val="clear" w:color="auto" w:fill="FFFFFF"/>
            <w:vAlign w:val="bottom"/>
          </w:tcPr>
          <w:p w14:paraId="4A2BC2FE"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Places lived</w:t>
            </w:r>
          </w:p>
        </w:tc>
        <w:tc>
          <w:tcPr>
            <w:tcW w:w="1686" w:type="dxa"/>
            <w:tcBorders>
              <w:top w:val="single" w:sz="8" w:space="0" w:color="auto"/>
              <w:bottom w:val="single" w:sz="6" w:space="0" w:color="auto"/>
            </w:tcBorders>
            <w:shd w:val="clear" w:color="auto" w:fill="FFFFFF"/>
            <w:vAlign w:val="bottom"/>
          </w:tcPr>
          <w:p w14:paraId="0BE463D1"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53D5FEB9"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5399E914"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28F975B"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69AE57E5"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255CE" w:rsidRPr="00CF31E0" w14:paraId="67D01C12" w14:textId="77777777" w:rsidTr="00CD755B">
        <w:trPr>
          <w:cantSplit/>
        </w:trPr>
        <w:tc>
          <w:tcPr>
            <w:tcW w:w="1736" w:type="dxa"/>
            <w:tcBorders>
              <w:top w:val="single" w:sz="6" w:space="0" w:color="auto"/>
              <w:bottom w:val="nil"/>
            </w:tcBorders>
            <w:shd w:val="clear" w:color="auto" w:fill="FFFFFF"/>
          </w:tcPr>
          <w:p w14:paraId="19365E76"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55D2A317" w14:textId="328DD06A"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.208</w:t>
            </w:r>
          </w:p>
        </w:tc>
        <w:tc>
          <w:tcPr>
            <w:tcW w:w="820" w:type="dxa"/>
            <w:tcBorders>
              <w:top w:val="single" w:sz="6" w:space="0" w:color="auto"/>
              <w:bottom w:val="nil"/>
            </w:tcBorders>
            <w:shd w:val="clear" w:color="auto" w:fill="FFFFFF"/>
            <w:vAlign w:val="center"/>
          </w:tcPr>
          <w:p w14:paraId="0CC79B7A" w14:textId="49B74265"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60A43CEF" w14:textId="07A6A1B1"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.208</w:t>
            </w:r>
          </w:p>
        </w:tc>
        <w:tc>
          <w:tcPr>
            <w:tcW w:w="1030" w:type="dxa"/>
            <w:tcBorders>
              <w:top w:val="single" w:sz="6" w:space="0" w:color="auto"/>
              <w:bottom w:val="nil"/>
            </w:tcBorders>
            <w:shd w:val="clear" w:color="auto" w:fill="FFFFFF"/>
            <w:vAlign w:val="center"/>
          </w:tcPr>
          <w:p w14:paraId="17C27DB6" w14:textId="71BF9462"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.120</w:t>
            </w:r>
          </w:p>
        </w:tc>
        <w:tc>
          <w:tcPr>
            <w:tcW w:w="674" w:type="dxa"/>
            <w:tcBorders>
              <w:top w:val="single" w:sz="6" w:space="0" w:color="auto"/>
              <w:bottom w:val="nil"/>
            </w:tcBorders>
            <w:shd w:val="clear" w:color="auto" w:fill="FFFFFF"/>
            <w:vAlign w:val="center"/>
          </w:tcPr>
          <w:p w14:paraId="1B5D5D47" w14:textId="3A372AC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.730</w:t>
            </w:r>
          </w:p>
        </w:tc>
      </w:tr>
      <w:tr w:rsidR="007255CE" w:rsidRPr="00CF31E0" w14:paraId="5C0A4A72" w14:textId="77777777" w:rsidTr="00CD755B">
        <w:trPr>
          <w:cantSplit/>
        </w:trPr>
        <w:tc>
          <w:tcPr>
            <w:tcW w:w="1736" w:type="dxa"/>
            <w:tcBorders>
              <w:top w:val="nil"/>
            </w:tcBorders>
            <w:shd w:val="clear" w:color="auto" w:fill="FFFFFF"/>
          </w:tcPr>
          <w:p w14:paraId="35D1CFFB"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4D24AA2C" w14:textId="1463C06A"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1106.453</w:t>
            </w:r>
          </w:p>
        </w:tc>
        <w:tc>
          <w:tcPr>
            <w:tcW w:w="820" w:type="dxa"/>
            <w:tcBorders>
              <w:top w:val="nil"/>
            </w:tcBorders>
            <w:shd w:val="clear" w:color="auto" w:fill="FFFFFF"/>
            <w:vAlign w:val="center"/>
          </w:tcPr>
          <w:p w14:paraId="12A13999" w14:textId="23CD9BDA" w:rsidR="007255CE" w:rsidRPr="00CF31E0" w:rsidRDefault="00073750"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4E2B4D5E" w14:textId="78FEE9F6"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1.737</w:t>
            </w:r>
          </w:p>
        </w:tc>
        <w:tc>
          <w:tcPr>
            <w:tcW w:w="1030" w:type="dxa"/>
            <w:tcBorders>
              <w:top w:val="nil"/>
            </w:tcBorders>
            <w:shd w:val="clear" w:color="auto" w:fill="FFFFFF"/>
            <w:vAlign w:val="center"/>
          </w:tcPr>
          <w:p w14:paraId="6E43DE1F"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3CAD3656"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r>
      <w:tr w:rsidR="007255CE" w:rsidRPr="00CF31E0" w14:paraId="57139617" w14:textId="77777777" w:rsidTr="00CD755B">
        <w:trPr>
          <w:cantSplit/>
        </w:trPr>
        <w:tc>
          <w:tcPr>
            <w:tcW w:w="1736" w:type="dxa"/>
            <w:shd w:val="clear" w:color="auto" w:fill="FFFFFF"/>
          </w:tcPr>
          <w:p w14:paraId="11D6E304"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BCFBDA2" w14:textId="6BE77068"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1106.660</w:t>
            </w:r>
          </w:p>
        </w:tc>
        <w:tc>
          <w:tcPr>
            <w:tcW w:w="820" w:type="dxa"/>
            <w:shd w:val="clear" w:color="auto" w:fill="FFFFFF"/>
            <w:vAlign w:val="center"/>
          </w:tcPr>
          <w:p w14:paraId="6BAADDFE" w14:textId="13B4D042" w:rsidR="007255CE" w:rsidRPr="00CF31E0" w:rsidRDefault="00073750"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151359EE"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226DAE4B"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64C43AE0"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r>
    </w:tbl>
    <w:p w14:paraId="2571CDB8" w14:textId="77777777" w:rsidR="007255CE" w:rsidRPr="00CF31E0" w:rsidRDefault="007255CE" w:rsidP="007255CE">
      <w:pPr>
        <w:rPr>
          <w:rFonts w:asciiTheme="majorBidi" w:hAnsiTheme="majorBidi" w:cstheme="majorBidi"/>
          <w:b/>
          <w:bCs/>
          <w:color w:val="000000" w:themeColor="text1"/>
        </w:rPr>
      </w:pPr>
    </w:p>
    <w:p w14:paraId="19EDCBC3" w14:textId="77777777" w:rsidR="007255CE" w:rsidRPr="00CF31E0" w:rsidRDefault="007255CE" w:rsidP="007255CE">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7255CE" w:rsidRPr="00CF31E0" w14:paraId="4FA5655F" w14:textId="77777777" w:rsidTr="00CD755B">
        <w:trPr>
          <w:cantSplit/>
        </w:trPr>
        <w:tc>
          <w:tcPr>
            <w:tcW w:w="1736" w:type="dxa"/>
            <w:tcBorders>
              <w:top w:val="single" w:sz="8" w:space="0" w:color="auto"/>
              <w:bottom w:val="single" w:sz="6" w:space="0" w:color="auto"/>
            </w:tcBorders>
            <w:shd w:val="clear" w:color="auto" w:fill="FFFFFF"/>
            <w:vAlign w:val="bottom"/>
          </w:tcPr>
          <w:p w14:paraId="52AEA8FE"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Marital status</w:t>
            </w:r>
          </w:p>
        </w:tc>
        <w:tc>
          <w:tcPr>
            <w:tcW w:w="1686" w:type="dxa"/>
            <w:tcBorders>
              <w:top w:val="single" w:sz="8" w:space="0" w:color="auto"/>
              <w:bottom w:val="single" w:sz="6" w:space="0" w:color="auto"/>
            </w:tcBorders>
            <w:shd w:val="clear" w:color="auto" w:fill="FFFFFF"/>
            <w:vAlign w:val="bottom"/>
          </w:tcPr>
          <w:p w14:paraId="1195F81C"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415C09DC"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02F325E7"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4501AE63"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6C8BF0E5"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255CE" w:rsidRPr="00CF31E0" w14:paraId="2A6C64E2" w14:textId="77777777" w:rsidTr="00CD755B">
        <w:trPr>
          <w:cantSplit/>
        </w:trPr>
        <w:tc>
          <w:tcPr>
            <w:tcW w:w="1736" w:type="dxa"/>
            <w:tcBorders>
              <w:top w:val="single" w:sz="6" w:space="0" w:color="auto"/>
              <w:bottom w:val="nil"/>
            </w:tcBorders>
            <w:shd w:val="clear" w:color="auto" w:fill="FFFFFF"/>
          </w:tcPr>
          <w:p w14:paraId="172EC1CF"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77CDE2EF" w14:textId="0B7D574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15.749</w:t>
            </w:r>
          </w:p>
        </w:tc>
        <w:tc>
          <w:tcPr>
            <w:tcW w:w="820" w:type="dxa"/>
            <w:tcBorders>
              <w:top w:val="single" w:sz="6" w:space="0" w:color="auto"/>
              <w:bottom w:val="nil"/>
            </w:tcBorders>
            <w:shd w:val="clear" w:color="auto" w:fill="FFFFFF"/>
            <w:vAlign w:val="center"/>
          </w:tcPr>
          <w:p w14:paraId="3087E8A1" w14:textId="5F51478F"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w:t>
            </w:r>
          </w:p>
        </w:tc>
        <w:tc>
          <w:tcPr>
            <w:tcW w:w="1445" w:type="dxa"/>
            <w:tcBorders>
              <w:top w:val="single" w:sz="6" w:space="0" w:color="auto"/>
              <w:bottom w:val="nil"/>
            </w:tcBorders>
            <w:shd w:val="clear" w:color="auto" w:fill="FFFFFF"/>
            <w:vAlign w:val="center"/>
          </w:tcPr>
          <w:p w14:paraId="68F4416D" w14:textId="60056E4D"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5.250</w:t>
            </w:r>
          </w:p>
        </w:tc>
        <w:tc>
          <w:tcPr>
            <w:tcW w:w="1030" w:type="dxa"/>
            <w:tcBorders>
              <w:top w:val="single" w:sz="6" w:space="0" w:color="auto"/>
              <w:bottom w:val="nil"/>
            </w:tcBorders>
            <w:shd w:val="clear" w:color="auto" w:fill="FFFFFF"/>
            <w:vAlign w:val="center"/>
          </w:tcPr>
          <w:p w14:paraId="7D7EE3BC" w14:textId="0C91D6F3"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3.061</w:t>
            </w:r>
          </w:p>
        </w:tc>
        <w:tc>
          <w:tcPr>
            <w:tcW w:w="674" w:type="dxa"/>
            <w:tcBorders>
              <w:top w:val="single" w:sz="6" w:space="0" w:color="auto"/>
              <w:bottom w:val="nil"/>
            </w:tcBorders>
            <w:shd w:val="clear" w:color="auto" w:fill="FFFFFF"/>
            <w:vAlign w:val="center"/>
          </w:tcPr>
          <w:p w14:paraId="07F3AE25" w14:textId="7BA89771"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.228</w:t>
            </w:r>
          </w:p>
        </w:tc>
      </w:tr>
      <w:tr w:rsidR="007255CE" w:rsidRPr="00CF31E0" w14:paraId="264FBC24" w14:textId="77777777" w:rsidTr="00CD755B">
        <w:trPr>
          <w:cantSplit/>
        </w:trPr>
        <w:tc>
          <w:tcPr>
            <w:tcW w:w="1736" w:type="dxa"/>
            <w:tcBorders>
              <w:top w:val="nil"/>
            </w:tcBorders>
            <w:shd w:val="clear" w:color="auto" w:fill="FFFFFF"/>
          </w:tcPr>
          <w:p w14:paraId="1B6708B9"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5AC653C8" w14:textId="1FCDFFD4"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1106.026</w:t>
            </w:r>
          </w:p>
        </w:tc>
        <w:tc>
          <w:tcPr>
            <w:tcW w:w="820" w:type="dxa"/>
            <w:tcBorders>
              <w:top w:val="nil"/>
            </w:tcBorders>
            <w:shd w:val="clear" w:color="auto" w:fill="FFFFFF"/>
            <w:vAlign w:val="center"/>
          </w:tcPr>
          <w:p w14:paraId="058910CD" w14:textId="48899374" w:rsidR="007255CE" w:rsidRPr="00CF31E0" w:rsidRDefault="00073750"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646</w:t>
            </w:r>
          </w:p>
        </w:tc>
        <w:tc>
          <w:tcPr>
            <w:tcW w:w="1445" w:type="dxa"/>
            <w:tcBorders>
              <w:top w:val="nil"/>
            </w:tcBorders>
            <w:shd w:val="clear" w:color="auto" w:fill="FFFFFF"/>
            <w:vAlign w:val="center"/>
          </w:tcPr>
          <w:p w14:paraId="76564696" w14:textId="4208378D"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1.715</w:t>
            </w:r>
          </w:p>
        </w:tc>
        <w:tc>
          <w:tcPr>
            <w:tcW w:w="1030" w:type="dxa"/>
            <w:tcBorders>
              <w:top w:val="nil"/>
            </w:tcBorders>
            <w:shd w:val="clear" w:color="auto" w:fill="FFFFFF"/>
            <w:vAlign w:val="center"/>
          </w:tcPr>
          <w:p w14:paraId="66DED895"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0E27C225"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r>
      <w:tr w:rsidR="007255CE" w:rsidRPr="00CF31E0" w14:paraId="4CACE960" w14:textId="77777777" w:rsidTr="00CD755B">
        <w:trPr>
          <w:cantSplit/>
        </w:trPr>
        <w:tc>
          <w:tcPr>
            <w:tcW w:w="1736" w:type="dxa"/>
            <w:shd w:val="clear" w:color="auto" w:fill="FFFFFF"/>
          </w:tcPr>
          <w:p w14:paraId="5BF17B7B"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5A1B05AF" w14:textId="726D045B"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1121.775</w:t>
            </w:r>
          </w:p>
        </w:tc>
        <w:tc>
          <w:tcPr>
            <w:tcW w:w="820" w:type="dxa"/>
            <w:shd w:val="clear" w:color="auto" w:fill="FFFFFF"/>
            <w:vAlign w:val="center"/>
          </w:tcPr>
          <w:p w14:paraId="59B5E8E8" w14:textId="33B98298"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shd w:val="clear" w:color="auto" w:fill="FFFFFF"/>
            <w:vAlign w:val="center"/>
          </w:tcPr>
          <w:p w14:paraId="32B5006C"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64DDF78A"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326E4DD6"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r>
    </w:tbl>
    <w:p w14:paraId="2081F187" w14:textId="77777777" w:rsidR="007255CE" w:rsidRPr="00CF31E0" w:rsidRDefault="007255CE" w:rsidP="007255CE">
      <w:pPr>
        <w:rPr>
          <w:rFonts w:asciiTheme="majorBidi" w:hAnsiTheme="majorBidi" w:cstheme="majorBidi"/>
          <w:b/>
          <w:bCs/>
          <w:color w:val="000000" w:themeColor="text1"/>
        </w:rPr>
      </w:pPr>
    </w:p>
    <w:p w14:paraId="341B7FDE" w14:textId="77777777" w:rsidR="007255CE" w:rsidRPr="00CF31E0" w:rsidRDefault="007255CE" w:rsidP="007255CE">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7255CE" w:rsidRPr="00CF31E0" w14:paraId="2C5C87DC" w14:textId="77777777" w:rsidTr="00CD755B">
        <w:trPr>
          <w:cantSplit/>
        </w:trPr>
        <w:tc>
          <w:tcPr>
            <w:tcW w:w="1736" w:type="dxa"/>
            <w:tcBorders>
              <w:top w:val="single" w:sz="8" w:space="0" w:color="auto"/>
              <w:bottom w:val="single" w:sz="6" w:space="0" w:color="auto"/>
            </w:tcBorders>
            <w:shd w:val="clear" w:color="auto" w:fill="FFFFFF"/>
            <w:vAlign w:val="bottom"/>
          </w:tcPr>
          <w:p w14:paraId="1E05277D"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Education</w:t>
            </w:r>
          </w:p>
        </w:tc>
        <w:tc>
          <w:tcPr>
            <w:tcW w:w="1686" w:type="dxa"/>
            <w:tcBorders>
              <w:top w:val="single" w:sz="8" w:space="0" w:color="auto"/>
              <w:bottom w:val="single" w:sz="6" w:space="0" w:color="auto"/>
            </w:tcBorders>
            <w:shd w:val="clear" w:color="auto" w:fill="FFFFFF"/>
            <w:vAlign w:val="bottom"/>
          </w:tcPr>
          <w:p w14:paraId="46C8B6F5"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1D1FB8F6"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650774AE"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6A1423B4"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21AAB132"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255CE" w:rsidRPr="00CF31E0" w14:paraId="2F234267" w14:textId="77777777" w:rsidTr="00CD755B">
        <w:trPr>
          <w:cantSplit/>
        </w:trPr>
        <w:tc>
          <w:tcPr>
            <w:tcW w:w="1736" w:type="dxa"/>
            <w:tcBorders>
              <w:top w:val="single" w:sz="6" w:space="0" w:color="auto"/>
              <w:bottom w:val="nil"/>
            </w:tcBorders>
            <w:shd w:val="clear" w:color="auto" w:fill="FFFFFF"/>
          </w:tcPr>
          <w:p w14:paraId="74D4BB57"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2023F031" w14:textId="2EB69038"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31.283</w:t>
            </w:r>
          </w:p>
        </w:tc>
        <w:tc>
          <w:tcPr>
            <w:tcW w:w="820" w:type="dxa"/>
            <w:tcBorders>
              <w:top w:val="single" w:sz="6" w:space="0" w:color="auto"/>
              <w:bottom w:val="nil"/>
            </w:tcBorders>
            <w:shd w:val="clear" w:color="auto" w:fill="FFFFFF"/>
            <w:vAlign w:val="center"/>
          </w:tcPr>
          <w:p w14:paraId="1DC25DBF" w14:textId="7E0B39BA"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w:t>
            </w:r>
          </w:p>
        </w:tc>
        <w:tc>
          <w:tcPr>
            <w:tcW w:w="1445" w:type="dxa"/>
            <w:tcBorders>
              <w:top w:val="single" w:sz="6" w:space="0" w:color="auto"/>
              <w:bottom w:val="nil"/>
            </w:tcBorders>
            <w:shd w:val="clear" w:color="auto" w:fill="FFFFFF"/>
            <w:vAlign w:val="center"/>
          </w:tcPr>
          <w:p w14:paraId="449328FA" w14:textId="4FCBCFA5"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6.257</w:t>
            </w:r>
          </w:p>
        </w:tc>
        <w:tc>
          <w:tcPr>
            <w:tcW w:w="1030" w:type="dxa"/>
            <w:tcBorders>
              <w:top w:val="single" w:sz="6" w:space="0" w:color="auto"/>
              <w:bottom w:val="nil"/>
            </w:tcBorders>
            <w:shd w:val="clear" w:color="auto" w:fill="FFFFFF"/>
            <w:vAlign w:val="center"/>
          </w:tcPr>
          <w:p w14:paraId="5C97C853" w14:textId="1A2B6776"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3.689</w:t>
            </w:r>
          </w:p>
        </w:tc>
        <w:tc>
          <w:tcPr>
            <w:tcW w:w="674" w:type="dxa"/>
            <w:tcBorders>
              <w:top w:val="single" w:sz="6" w:space="0" w:color="auto"/>
              <w:bottom w:val="nil"/>
            </w:tcBorders>
            <w:shd w:val="clear" w:color="auto" w:fill="FFFFFF"/>
            <w:vAlign w:val="center"/>
          </w:tcPr>
          <w:p w14:paraId="45ECF942" w14:textId="6B01B5C8"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.333</w:t>
            </w:r>
          </w:p>
        </w:tc>
      </w:tr>
      <w:tr w:rsidR="007255CE" w:rsidRPr="00CF31E0" w14:paraId="7CAB9621" w14:textId="77777777" w:rsidTr="00CD755B">
        <w:trPr>
          <w:cantSplit/>
        </w:trPr>
        <w:tc>
          <w:tcPr>
            <w:tcW w:w="1736" w:type="dxa"/>
            <w:tcBorders>
              <w:top w:val="nil"/>
            </w:tcBorders>
            <w:shd w:val="clear" w:color="auto" w:fill="FFFFFF"/>
          </w:tcPr>
          <w:p w14:paraId="76B732B2"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6D20C93A" w14:textId="28F7481C"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1090.492</w:t>
            </w:r>
          </w:p>
        </w:tc>
        <w:tc>
          <w:tcPr>
            <w:tcW w:w="820" w:type="dxa"/>
            <w:tcBorders>
              <w:top w:val="nil"/>
            </w:tcBorders>
            <w:shd w:val="clear" w:color="auto" w:fill="FFFFFF"/>
            <w:vAlign w:val="center"/>
          </w:tcPr>
          <w:p w14:paraId="1DD4ABEF" w14:textId="2443316F" w:rsidR="007255CE" w:rsidRPr="00CF31E0" w:rsidRDefault="00073750"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644</w:t>
            </w:r>
          </w:p>
        </w:tc>
        <w:tc>
          <w:tcPr>
            <w:tcW w:w="1445" w:type="dxa"/>
            <w:tcBorders>
              <w:top w:val="nil"/>
            </w:tcBorders>
            <w:shd w:val="clear" w:color="auto" w:fill="FFFFFF"/>
            <w:vAlign w:val="center"/>
          </w:tcPr>
          <w:p w14:paraId="02D4BF07" w14:textId="2B6EB0B6"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1.696</w:t>
            </w:r>
          </w:p>
        </w:tc>
        <w:tc>
          <w:tcPr>
            <w:tcW w:w="1030" w:type="dxa"/>
            <w:tcBorders>
              <w:top w:val="nil"/>
            </w:tcBorders>
            <w:shd w:val="clear" w:color="auto" w:fill="FFFFFF"/>
            <w:vAlign w:val="center"/>
          </w:tcPr>
          <w:p w14:paraId="36B122CB"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4490A8E1"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r>
      <w:tr w:rsidR="007255CE" w:rsidRPr="00CF31E0" w14:paraId="09976016" w14:textId="77777777" w:rsidTr="00CD755B">
        <w:trPr>
          <w:cantSplit/>
        </w:trPr>
        <w:tc>
          <w:tcPr>
            <w:tcW w:w="1736" w:type="dxa"/>
            <w:shd w:val="clear" w:color="auto" w:fill="FFFFFF"/>
          </w:tcPr>
          <w:p w14:paraId="5DAB5A63"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11B75F1C" w14:textId="0C657C24"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1121.775</w:t>
            </w:r>
          </w:p>
        </w:tc>
        <w:tc>
          <w:tcPr>
            <w:tcW w:w="820" w:type="dxa"/>
            <w:shd w:val="clear" w:color="auto" w:fill="FFFFFF"/>
            <w:vAlign w:val="center"/>
          </w:tcPr>
          <w:p w14:paraId="42C8722A" w14:textId="258C5C92" w:rsidR="007255CE" w:rsidRPr="00CF31E0" w:rsidRDefault="00073750"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1ED0898E"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4139CD53"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6186C098"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r>
    </w:tbl>
    <w:p w14:paraId="0F4DEFCE" w14:textId="77777777" w:rsidR="007255CE" w:rsidRPr="00CF31E0" w:rsidRDefault="007255CE" w:rsidP="007255CE">
      <w:pPr>
        <w:rPr>
          <w:rFonts w:asciiTheme="majorBidi" w:hAnsiTheme="majorBidi" w:cstheme="majorBidi"/>
          <w:b/>
          <w:bCs/>
          <w:color w:val="000000" w:themeColor="text1"/>
        </w:rPr>
      </w:pPr>
    </w:p>
    <w:p w14:paraId="3BF57413" w14:textId="77777777" w:rsidR="007255CE" w:rsidRPr="00CF31E0" w:rsidRDefault="007255CE" w:rsidP="007255CE">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7255CE" w:rsidRPr="00CF31E0" w14:paraId="3A653ED2" w14:textId="77777777" w:rsidTr="00CD755B">
        <w:trPr>
          <w:cantSplit/>
        </w:trPr>
        <w:tc>
          <w:tcPr>
            <w:tcW w:w="1736" w:type="dxa"/>
            <w:tcBorders>
              <w:top w:val="single" w:sz="8" w:space="0" w:color="auto"/>
              <w:bottom w:val="single" w:sz="6" w:space="0" w:color="auto"/>
            </w:tcBorders>
            <w:shd w:val="clear" w:color="auto" w:fill="FFFFFF"/>
            <w:vAlign w:val="bottom"/>
          </w:tcPr>
          <w:p w14:paraId="5272C642"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Social group</w:t>
            </w:r>
          </w:p>
        </w:tc>
        <w:tc>
          <w:tcPr>
            <w:tcW w:w="1686" w:type="dxa"/>
            <w:tcBorders>
              <w:top w:val="single" w:sz="8" w:space="0" w:color="auto"/>
              <w:bottom w:val="single" w:sz="6" w:space="0" w:color="auto"/>
            </w:tcBorders>
            <w:shd w:val="clear" w:color="auto" w:fill="FFFFFF"/>
            <w:vAlign w:val="bottom"/>
          </w:tcPr>
          <w:p w14:paraId="182CA526"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03C86E1D"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3B34F0B4"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7902FCA2"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02A2CB7D"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255CE" w:rsidRPr="00CF31E0" w14:paraId="405EE2ED" w14:textId="77777777" w:rsidTr="00CD755B">
        <w:trPr>
          <w:cantSplit/>
        </w:trPr>
        <w:tc>
          <w:tcPr>
            <w:tcW w:w="1736" w:type="dxa"/>
            <w:tcBorders>
              <w:top w:val="single" w:sz="6" w:space="0" w:color="auto"/>
              <w:bottom w:val="nil"/>
            </w:tcBorders>
            <w:shd w:val="clear" w:color="auto" w:fill="FFFFFF"/>
          </w:tcPr>
          <w:p w14:paraId="5927D1E9"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67ACBD65" w14:textId="686C82A5"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.701</w:t>
            </w:r>
          </w:p>
        </w:tc>
        <w:tc>
          <w:tcPr>
            <w:tcW w:w="820" w:type="dxa"/>
            <w:tcBorders>
              <w:top w:val="single" w:sz="6" w:space="0" w:color="auto"/>
              <w:bottom w:val="nil"/>
            </w:tcBorders>
            <w:shd w:val="clear" w:color="auto" w:fill="FFFFFF"/>
            <w:vAlign w:val="center"/>
          </w:tcPr>
          <w:p w14:paraId="68EABF27" w14:textId="2824B3C3"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10B437DA" w14:textId="5F94D69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.701</w:t>
            </w:r>
          </w:p>
        </w:tc>
        <w:tc>
          <w:tcPr>
            <w:tcW w:w="1030" w:type="dxa"/>
            <w:tcBorders>
              <w:top w:val="single" w:sz="6" w:space="0" w:color="auto"/>
              <w:bottom w:val="nil"/>
            </w:tcBorders>
            <w:shd w:val="clear" w:color="auto" w:fill="FFFFFF"/>
            <w:vAlign w:val="center"/>
          </w:tcPr>
          <w:p w14:paraId="6CCF6342" w14:textId="57CF1EFC"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.405</w:t>
            </w:r>
          </w:p>
        </w:tc>
        <w:tc>
          <w:tcPr>
            <w:tcW w:w="674" w:type="dxa"/>
            <w:tcBorders>
              <w:top w:val="single" w:sz="6" w:space="0" w:color="auto"/>
              <w:bottom w:val="nil"/>
            </w:tcBorders>
            <w:shd w:val="clear" w:color="auto" w:fill="FFFFFF"/>
            <w:vAlign w:val="center"/>
          </w:tcPr>
          <w:p w14:paraId="6B1FDC9A" w14:textId="3CA27DDC"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.525</w:t>
            </w:r>
          </w:p>
        </w:tc>
      </w:tr>
      <w:tr w:rsidR="007255CE" w:rsidRPr="00CF31E0" w14:paraId="3CFD1A8A" w14:textId="77777777" w:rsidTr="00CD755B">
        <w:trPr>
          <w:cantSplit/>
        </w:trPr>
        <w:tc>
          <w:tcPr>
            <w:tcW w:w="1736" w:type="dxa"/>
            <w:tcBorders>
              <w:top w:val="nil"/>
            </w:tcBorders>
            <w:shd w:val="clear" w:color="auto" w:fill="FFFFFF"/>
          </w:tcPr>
          <w:p w14:paraId="133475FE"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5E9F4738" w14:textId="1EAC05C1"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1121.074</w:t>
            </w:r>
          </w:p>
        </w:tc>
        <w:tc>
          <w:tcPr>
            <w:tcW w:w="820" w:type="dxa"/>
            <w:tcBorders>
              <w:top w:val="nil"/>
            </w:tcBorders>
            <w:shd w:val="clear" w:color="auto" w:fill="FFFFFF"/>
            <w:vAlign w:val="center"/>
          </w:tcPr>
          <w:p w14:paraId="1F7C2728" w14:textId="7E7FCED4" w:rsidR="007255CE" w:rsidRPr="00CF31E0" w:rsidRDefault="00073750"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78F6EE03" w14:textId="6B188F23"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1.733</w:t>
            </w:r>
          </w:p>
        </w:tc>
        <w:tc>
          <w:tcPr>
            <w:tcW w:w="1030" w:type="dxa"/>
            <w:tcBorders>
              <w:top w:val="nil"/>
            </w:tcBorders>
            <w:shd w:val="clear" w:color="auto" w:fill="FFFFFF"/>
            <w:vAlign w:val="center"/>
          </w:tcPr>
          <w:p w14:paraId="3415EA0B"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47C072B3"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r>
      <w:tr w:rsidR="007255CE" w:rsidRPr="00CF31E0" w14:paraId="4FC1A8D9" w14:textId="77777777" w:rsidTr="00CD755B">
        <w:trPr>
          <w:cantSplit/>
        </w:trPr>
        <w:tc>
          <w:tcPr>
            <w:tcW w:w="1736" w:type="dxa"/>
            <w:shd w:val="clear" w:color="auto" w:fill="FFFFFF"/>
          </w:tcPr>
          <w:p w14:paraId="54EFEDFB"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1389ABD3" w14:textId="0EA378C3"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1121.775</w:t>
            </w:r>
          </w:p>
        </w:tc>
        <w:tc>
          <w:tcPr>
            <w:tcW w:w="820" w:type="dxa"/>
            <w:shd w:val="clear" w:color="auto" w:fill="FFFFFF"/>
            <w:vAlign w:val="center"/>
          </w:tcPr>
          <w:p w14:paraId="239177E0" w14:textId="5C4945C4" w:rsidR="007255CE" w:rsidRPr="00CF31E0" w:rsidRDefault="00073750"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1EB08506"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74EBF6F1"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1B6D6B7F"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r>
    </w:tbl>
    <w:p w14:paraId="53777222" w14:textId="77777777" w:rsidR="007255CE" w:rsidRPr="00CF31E0" w:rsidRDefault="007255CE" w:rsidP="007255CE">
      <w:pPr>
        <w:rPr>
          <w:rFonts w:asciiTheme="majorBidi" w:hAnsiTheme="majorBidi" w:cstheme="majorBidi"/>
          <w:b/>
          <w:bCs/>
          <w:color w:val="000000" w:themeColor="text1"/>
        </w:rPr>
      </w:pPr>
    </w:p>
    <w:p w14:paraId="2862725F" w14:textId="77777777" w:rsidR="007255CE" w:rsidRPr="00CF31E0" w:rsidRDefault="007255CE" w:rsidP="007255CE">
      <w:pPr>
        <w:rPr>
          <w:rFonts w:asciiTheme="majorBidi" w:hAnsiTheme="majorBidi" w:cstheme="majorBidi"/>
          <w:b/>
          <w:bCs/>
          <w:color w:val="000000" w:themeColor="text1"/>
        </w:rPr>
      </w:pPr>
    </w:p>
    <w:p w14:paraId="75B071BD" w14:textId="77777777" w:rsidR="005F1CFD" w:rsidRPr="00CF31E0" w:rsidRDefault="005F1CFD" w:rsidP="007255CE">
      <w:pPr>
        <w:rPr>
          <w:rFonts w:asciiTheme="majorBidi" w:hAnsiTheme="majorBidi" w:cstheme="majorBidi"/>
          <w:b/>
          <w:bCs/>
          <w:color w:val="000000" w:themeColor="text1"/>
        </w:rPr>
      </w:pPr>
    </w:p>
    <w:p w14:paraId="50F70597" w14:textId="77777777" w:rsidR="005F1CFD" w:rsidRPr="00CF31E0" w:rsidRDefault="005F1CFD" w:rsidP="007255CE">
      <w:pPr>
        <w:rPr>
          <w:rFonts w:asciiTheme="majorBidi" w:hAnsiTheme="majorBidi" w:cstheme="majorBidi"/>
          <w:b/>
          <w:bCs/>
          <w:color w:val="000000" w:themeColor="text1"/>
        </w:rPr>
      </w:pPr>
    </w:p>
    <w:p w14:paraId="474A2B4F" w14:textId="77777777" w:rsidR="005F1CFD" w:rsidRPr="00CF31E0" w:rsidRDefault="005F1CFD" w:rsidP="007255CE">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7255CE" w:rsidRPr="00CF31E0" w14:paraId="4014CDAA" w14:textId="77777777" w:rsidTr="00CD755B">
        <w:trPr>
          <w:cantSplit/>
        </w:trPr>
        <w:tc>
          <w:tcPr>
            <w:tcW w:w="1736" w:type="dxa"/>
            <w:tcBorders>
              <w:top w:val="single" w:sz="8" w:space="0" w:color="auto"/>
              <w:bottom w:val="single" w:sz="6" w:space="0" w:color="auto"/>
            </w:tcBorders>
            <w:shd w:val="clear" w:color="auto" w:fill="FFFFFF"/>
            <w:vAlign w:val="bottom"/>
          </w:tcPr>
          <w:p w14:paraId="63CA6F31"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Mother’s social group</w:t>
            </w:r>
          </w:p>
        </w:tc>
        <w:tc>
          <w:tcPr>
            <w:tcW w:w="1686" w:type="dxa"/>
            <w:tcBorders>
              <w:top w:val="single" w:sz="8" w:space="0" w:color="auto"/>
              <w:bottom w:val="single" w:sz="6" w:space="0" w:color="auto"/>
            </w:tcBorders>
            <w:shd w:val="clear" w:color="auto" w:fill="FFFFFF"/>
            <w:vAlign w:val="bottom"/>
          </w:tcPr>
          <w:p w14:paraId="68188BFB"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10BF0C94"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0C524EEE"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4CAAA6AD"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49C906C0"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255CE" w:rsidRPr="00CF31E0" w14:paraId="4CA93096" w14:textId="77777777" w:rsidTr="00CD755B">
        <w:trPr>
          <w:cantSplit/>
        </w:trPr>
        <w:tc>
          <w:tcPr>
            <w:tcW w:w="1736" w:type="dxa"/>
            <w:tcBorders>
              <w:top w:val="single" w:sz="6" w:space="0" w:color="auto"/>
              <w:bottom w:val="nil"/>
            </w:tcBorders>
            <w:shd w:val="clear" w:color="auto" w:fill="FFFFFF"/>
          </w:tcPr>
          <w:p w14:paraId="7922CB65"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46E1DD53" w14:textId="4BE0659D"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2.780</w:t>
            </w:r>
          </w:p>
        </w:tc>
        <w:tc>
          <w:tcPr>
            <w:tcW w:w="820" w:type="dxa"/>
            <w:tcBorders>
              <w:top w:val="single" w:sz="6" w:space="0" w:color="auto"/>
              <w:bottom w:val="nil"/>
            </w:tcBorders>
            <w:shd w:val="clear" w:color="auto" w:fill="FFFFFF"/>
            <w:vAlign w:val="center"/>
          </w:tcPr>
          <w:p w14:paraId="61F487C0" w14:textId="79BE2981"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w:t>
            </w:r>
          </w:p>
        </w:tc>
        <w:tc>
          <w:tcPr>
            <w:tcW w:w="1445" w:type="dxa"/>
            <w:tcBorders>
              <w:top w:val="single" w:sz="6" w:space="0" w:color="auto"/>
              <w:bottom w:val="nil"/>
            </w:tcBorders>
            <w:shd w:val="clear" w:color="auto" w:fill="FFFFFF"/>
            <w:vAlign w:val="center"/>
          </w:tcPr>
          <w:p w14:paraId="7D08BF57" w14:textId="53DCF179"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1.390</w:t>
            </w:r>
          </w:p>
        </w:tc>
        <w:tc>
          <w:tcPr>
            <w:tcW w:w="1030" w:type="dxa"/>
            <w:tcBorders>
              <w:top w:val="single" w:sz="6" w:space="0" w:color="auto"/>
              <w:bottom w:val="nil"/>
            </w:tcBorders>
            <w:shd w:val="clear" w:color="auto" w:fill="FFFFFF"/>
            <w:vAlign w:val="center"/>
          </w:tcPr>
          <w:p w14:paraId="53A170B4" w14:textId="56B84D63"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.805</w:t>
            </w:r>
          </w:p>
        </w:tc>
        <w:tc>
          <w:tcPr>
            <w:tcW w:w="674" w:type="dxa"/>
            <w:tcBorders>
              <w:top w:val="single" w:sz="6" w:space="0" w:color="auto"/>
              <w:bottom w:val="nil"/>
            </w:tcBorders>
            <w:shd w:val="clear" w:color="auto" w:fill="FFFFFF"/>
            <w:vAlign w:val="center"/>
          </w:tcPr>
          <w:p w14:paraId="736D8C38" w14:textId="2F08E73C"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.447</w:t>
            </w:r>
          </w:p>
        </w:tc>
      </w:tr>
      <w:tr w:rsidR="007255CE" w:rsidRPr="00CF31E0" w14:paraId="1CB2CC46" w14:textId="77777777" w:rsidTr="00CD755B">
        <w:trPr>
          <w:cantSplit/>
        </w:trPr>
        <w:tc>
          <w:tcPr>
            <w:tcW w:w="1736" w:type="dxa"/>
            <w:tcBorders>
              <w:top w:val="nil"/>
            </w:tcBorders>
            <w:shd w:val="clear" w:color="auto" w:fill="FFFFFF"/>
          </w:tcPr>
          <w:p w14:paraId="11B9C815"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1F3D7C16" w14:textId="09E2B4C0"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1113.552</w:t>
            </w:r>
          </w:p>
        </w:tc>
        <w:tc>
          <w:tcPr>
            <w:tcW w:w="820" w:type="dxa"/>
            <w:tcBorders>
              <w:top w:val="nil"/>
            </w:tcBorders>
            <w:shd w:val="clear" w:color="auto" w:fill="FFFFFF"/>
            <w:vAlign w:val="center"/>
          </w:tcPr>
          <w:p w14:paraId="14CE2326" w14:textId="07EC57A1" w:rsidR="007255CE" w:rsidRPr="00CF31E0" w:rsidRDefault="00073750"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w:t>
            </w:r>
            <w:r w:rsidR="005F0DEE" w:rsidRPr="00CF31E0">
              <w:rPr>
                <w:rFonts w:asciiTheme="majorBidi" w:hAnsiTheme="majorBidi" w:cstheme="majorBidi"/>
                <w:color w:val="000000" w:themeColor="text1"/>
                <w:sz w:val="22"/>
                <w:szCs w:val="22"/>
              </w:rPr>
              <w:t>7</w:t>
            </w:r>
          </w:p>
        </w:tc>
        <w:tc>
          <w:tcPr>
            <w:tcW w:w="1445" w:type="dxa"/>
            <w:tcBorders>
              <w:top w:val="nil"/>
            </w:tcBorders>
            <w:shd w:val="clear" w:color="auto" w:fill="FFFFFF"/>
            <w:vAlign w:val="center"/>
          </w:tcPr>
          <w:p w14:paraId="43272366" w14:textId="521136EA"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1.726</w:t>
            </w:r>
          </w:p>
        </w:tc>
        <w:tc>
          <w:tcPr>
            <w:tcW w:w="1030" w:type="dxa"/>
            <w:tcBorders>
              <w:top w:val="nil"/>
            </w:tcBorders>
            <w:shd w:val="clear" w:color="auto" w:fill="FFFFFF"/>
            <w:vAlign w:val="center"/>
          </w:tcPr>
          <w:p w14:paraId="4F85DB8B"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5D443504"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r>
      <w:tr w:rsidR="007255CE" w:rsidRPr="00CF31E0" w14:paraId="565443F3" w14:textId="77777777" w:rsidTr="00CD755B">
        <w:trPr>
          <w:cantSplit/>
        </w:trPr>
        <w:tc>
          <w:tcPr>
            <w:tcW w:w="1736" w:type="dxa"/>
            <w:shd w:val="clear" w:color="auto" w:fill="FFFFFF"/>
          </w:tcPr>
          <w:p w14:paraId="12534989"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2038D7C6" w14:textId="053D0F52"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1116.332</w:t>
            </w:r>
          </w:p>
        </w:tc>
        <w:tc>
          <w:tcPr>
            <w:tcW w:w="820" w:type="dxa"/>
            <w:shd w:val="clear" w:color="auto" w:fill="FFFFFF"/>
            <w:vAlign w:val="center"/>
          </w:tcPr>
          <w:p w14:paraId="3FBA99F3" w14:textId="7EEE861F" w:rsidR="007255CE" w:rsidRPr="00CF31E0" w:rsidRDefault="00073750"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74B0E301"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41019480"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74AAC4FE"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r>
    </w:tbl>
    <w:p w14:paraId="79BFAEE5" w14:textId="77777777" w:rsidR="007255CE" w:rsidRPr="00CF31E0" w:rsidRDefault="007255CE" w:rsidP="007255CE">
      <w:pPr>
        <w:rPr>
          <w:rFonts w:asciiTheme="majorBidi" w:hAnsiTheme="majorBidi" w:cstheme="majorBidi"/>
          <w:b/>
          <w:bCs/>
          <w:color w:val="000000" w:themeColor="text1"/>
        </w:rPr>
      </w:pPr>
    </w:p>
    <w:p w14:paraId="49A57D6E" w14:textId="77777777" w:rsidR="007255CE" w:rsidRPr="00CF31E0" w:rsidRDefault="007255CE" w:rsidP="007255CE">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7255CE" w:rsidRPr="00CF31E0" w14:paraId="28877DF8" w14:textId="77777777" w:rsidTr="00CD755B">
        <w:trPr>
          <w:cantSplit/>
        </w:trPr>
        <w:tc>
          <w:tcPr>
            <w:tcW w:w="1736" w:type="dxa"/>
            <w:tcBorders>
              <w:top w:val="single" w:sz="8" w:space="0" w:color="auto"/>
              <w:bottom w:val="single" w:sz="6" w:space="0" w:color="auto"/>
            </w:tcBorders>
            <w:shd w:val="clear" w:color="auto" w:fill="FFFFFF"/>
            <w:vAlign w:val="bottom"/>
          </w:tcPr>
          <w:p w14:paraId="35C91D9B"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Spouse’s social group</w:t>
            </w:r>
          </w:p>
        </w:tc>
        <w:tc>
          <w:tcPr>
            <w:tcW w:w="1686" w:type="dxa"/>
            <w:tcBorders>
              <w:top w:val="single" w:sz="8" w:space="0" w:color="auto"/>
              <w:bottom w:val="single" w:sz="6" w:space="0" w:color="auto"/>
            </w:tcBorders>
            <w:shd w:val="clear" w:color="auto" w:fill="FFFFFF"/>
            <w:vAlign w:val="bottom"/>
          </w:tcPr>
          <w:p w14:paraId="7F819713"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298DB6F4"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3CB07CA4"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9AA7CCA"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7C8229B8"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255CE" w:rsidRPr="00CF31E0" w14:paraId="6D4DAA59" w14:textId="77777777" w:rsidTr="00CD755B">
        <w:trPr>
          <w:cantSplit/>
        </w:trPr>
        <w:tc>
          <w:tcPr>
            <w:tcW w:w="1736" w:type="dxa"/>
            <w:tcBorders>
              <w:top w:val="single" w:sz="6" w:space="0" w:color="auto"/>
              <w:bottom w:val="nil"/>
            </w:tcBorders>
            <w:shd w:val="clear" w:color="auto" w:fill="FFFFFF"/>
          </w:tcPr>
          <w:p w14:paraId="70F84BD0"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008157AA" w14:textId="0D5C89C2"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12.206</w:t>
            </w:r>
          </w:p>
        </w:tc>
        <w:tc>
          <w:tcPr>
            <w:tcW w:w="820" w:type="dxa"/>
            <w:tcBorders>
              <w:top w:val="single" w:sz="6" w:space="0" w:color="auto"/>
              <w:bottom w:val="nil"/>
            </w:tcBorders>
            <w:shd w:val="clear" w:color="auto" w:fill="FFFFFF"/>
            <w:vAlign w:val="center"/>
          </w:tcPr>
          <w:p w14:paraId="7D0CB3DA" w14:textId="31884E6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w:t>
            </w:r>
          </w:p>
        </w:tc>
        <w:tc>
          <w:tcPr>
            <w:tcW w:w="1445" w:type="dxa"/>
            <w:tcBorders>
              <w:top w:val="single" w:sz="6" w:space="0" w:color="auto"/>
              <w:bottom w:val="nil"/>
            </w:tcBorders>
            <w:shd w:val="clear" w:color="auto" w:fill="FFFFFF"/>
            <w:vAlign w:val="center"/>
          </w:tcPr>
          <w:p w14:paraId="6B5C9AA5" w14:textId="5B2B228C"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3.052</w:t>
            </w:r>
          </w:p>
        </w:tc>
        <w:tc>
          <w:tcPr>
            <w:tcW w:w="1030" w:type="dxa"/>
            <w:tcBorders>
              <w:top w:val="single" w:sz="6" w:space="0" w:color="auto"/>
              <w:bottom w:val="nil"/>
            </w:tcBorders>
            <w:shd w:val="clear" w:color="auto" w:fill="FFFFFF"/>
            <w:vAlign w:val="center"/>
          </w:tcPr>
          <w:p w14:paraId="5AA59943" w14:textId="4B706631"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1.768</w:t>
            </w:r>
          </w:p>
        </w:tc>
        <w:tc>
          <w:tcPr>
            <w:tcW w:w="674" w:type="dxa"/>
            <w:tcBorders>
              <w:top w:val="single" w:sz="6" w:space="0" w:color="auto"/>
              <w:bottom w:val="nil"/>
            </w:tcBorders>
            <w:shd w:val="clear" w:color="auto" w:fill="FFFFFF"/>
            <w:vAlign w:val="center"/>
          </w:tcPr>
          <w:p w14:paraId="1DF579C8" w14:textId="43772F6B"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.134</w:t>
            </w:r>
          </w:p>
        </w:tc>
      </w:tr>
      <w:tr w:rsidR="007255CE" w:rsidRPr="00CF31E0" w14:paraId="21F63BA5" w14:textId="77777777" w:rsidTr="00CD755B">
        <w:trPr>
          <w:cantSplit/>
        </w:trPr>
        <w:tc>
          <w:tcPr>
            <w:tcW w:w="1736" w:type="dxa"/>
            <w:tcBorders>
              <w:top w:val="nil"/>
            </w:tcBorders>
            <w:shd w:val="clear" w:color="auto" w:fill="FFFFFF"/>
          </w:tcPr>
          <w:p w14:paraId="578CF71D"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55F10B32" w14:textId="478FC0BC"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1104.454</w:t>
            </w:r>
          </w:p>
        </w:tc>
        <w:tc>
          <w:tcPr>
            <w:tcW w:w="820" w:type="dxa"/>
            <w:tcBorders>
              <w:top w:val="nil"/>
            </w:tcBorders>
            <w:shd w:val="clear" w:color="auto" w:fill="FFFFFF"/>
            <w:vAlign w:val="center"/>
          </w:tcPr>
          <w:p w14:paraId="1B475A14" w14:textId="1D9CF081" w:rsidR="007255CE" w:rsidRPr="00CF31E0" w:rsidRDefault="005F0DE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645</w:t>
            </w:r>
          </w:p>
        </w:tc>
        <w:tc>
          <w:tcPr>
            <w:tcW w:w="1445" w:type="dxa"/>
            <w:tcBorders>
              <w:top w:val="nil"/>
            </w:tcBorders>
            <w:shd w:val="clear" w:color="auto" w:fill="FFFFFF"/>
            <w:vAlign w:val="center"/>
          </w:tcPr>
          <w:p w14:paraId="1B576DBC" w14:textId="6D6BB318"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1.726</w:t>
            </w:r>
          </w:p>
        </w:tc>
        <w:tc>
          <w:tcPr>
            <w:tcW w:w="1030" w:type="dxa"/>
            <w:tcBorders>
              <w:top w:val="nil"/>
            </w:tcBorders>
            <w:shd w:val="clear" w:color="auto" w:fill="FFFFFF"/>
            <w:vAlign w:val="center"/>
          </w:tcPr>
          <w:p w14:paraId="04198F2E"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63968EEE"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r>
      <w:tr w:rsidR="007255CE" w:rsidRPr="00CF31E0" w14:paraId="496EABF0" w14:textId="77777777" w:rsidTr="00CD755B">
        <w:trPr>
          <w:cantSplit/>
        </w:trPr>
        <w:tc>
          <w:tcPr>
            <w:tcW w:w="1736" w:type="dxa"/>
            <w:shd w:val="clear" w:color="auto" w:fill="FFFFFF"/>
          </w:tcPr>
          <w:p w14:paraId="7E5AF417"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02531DAE" w14:textId="6360B226"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1116.660</w:t>
            </w:r>
          </w:p>
        </w:tc>
        <w:tc>
          <w:tcPr>
            <w:tcW w:w="820" w:type="dxa"/>
            <w:shd w:val="clear" w:color="auto" w:fill="FFFFFF"/>
            <w:vAlign w:val="center"/>
          </w:tcPr>
          <w:p w14:paraId="49A65156" w14:textId="64B40F02" w:rsidR="007255CE" w:rsidRPr="00CF31E0" w:rsidRDefault="005F0DE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0C8B21C5"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509B3EA9"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6EBFA6CB"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r>
    </w:tbl>
    <w:p w14:paraId="35C6E922" w14:textId="77777777" w:rsidR="007255CE" w:rsidRPr="00CF31E0" w:rsidRDefault="007255CE" w:rsidP="007255CE">
      <w:pPr>
        <w:rPr>
          <w:rFonts w:asciiTheme="majorBidi" w:hAnsiTheme="majorBidi" w:cstheme="majorBidi"/>
          <w:b/>
          <w:bCs/>
          <w:color w:val="000000" w:themeColor="text1"/>
        </w:rPr>
      </w:pPr>
    </w:p>
    <w:p w14:paraId="01473F4D" w14:textId="77777777" w:rsidR="007255CE" w:rsidRPr="00CF31E0" w:rsidRDefault="007255CE" w:rsidP="007255CE">
      <w:pPr>
        <w:rPr>
          <w:rFonts w:asciiTheme="majorBidi" w:hAnsiTheme="majorBidi" w:cstheme="majorBidi"/>
          <w:b/>
          <w:bCs/>
          <w:color w:val="000000" w:themeColor="text1"/>
        </w:rPr>
      </w:pPr>
    </w:p>
    <w:p w14:paraId="05271F6F" w14:textId="77777777" w:rsidR="007255CE" w:rsidRPr="00CF31E0" w:rsidRDefault="007255CE" w:rsidP="007255CE">
      <w:pPr>
        <w:pStyle w:val="ListParagraph"/>
        <w:numPr>
          <w:ilvl w:val="0"/>
          <w:numId w:val="71"/>
        </w:numPr>
        <w:rPr>
          <w:rFonts w:asciiTheme="majorBidi" w:hAnsiTheme="majorBidi" w:cstheme="majorBidi"/>
          <w:b/>
          <w:bCs/>
          <w:color w:val="000000" w:themeColor="text1"/>
          <w:sz w:val="28"/>
          <w:szCs w:val="28"/>
        </w:rPr>
      </w:pPr>
      <w:r w:rsidRPr="00CF31E0">
        <w:rPr>
          <w:rFonts w:asciiTheme="majorBidi" w:hAnsiTheme="majorBidi" w:cstheme="majorBidi"/>
          <w:b/>
          <w:bCs/>
          <w:color w:val="000000" w:themeColor="text1"/>
          <w:sz w:val="28"/>
          <w:szCs w:val="28"/>
        </w:rPr>
        <w:t>Similar to other Arabic dialects scale</w:t>
      </w:r>
    </w:p>
    <w:p w14:paraId="48ED9115" w14:textId="77777777" w:rsidR="007255CE" w:rsidRPr="00CF31E0" w:rsidRDefault="007255CE" w:rsidP="007255CE">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7255CE" w:rsidRPr="00CF31E0" w14:paraId="6949602C" w14:textId="77777777" w:rsidTr="00CD755B">
        <w:trPr>
          <w:cantSplit/>
        </w:trPr>
        <w:tc>
          <w:tcPr>
            <w:tcW w:w="1736" w:type="dxa"/>
            <w:tcBorders>
              <w:top w:val="single" w:sz="8" w:space="0" w:color="auto"/>
              <w:bottom w:val="single" w:sz="6" w:space="0" w:color="auto"/>
            </w:tcBorders>
            <w:shd w:val="clear" w:color="auto" w:fill="FFFFFF"/>
            <w:vAlign w:val="bottom"/>
          </w:tcPr>
          <w:p w14:paraId="25CF4418"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Gender</w:t>
            </w:r>
          </w:p>
        </w:tc>
        <w:tc>
          <w:tcPr>
            <w:tcW w:w="1686" w:type="dxa"/>
            <w:tcBorders>
              <w:top w:val="single" w:sz="8" w:space="0" w:color="auto"/>
              <w:bottom w:val="single" w:sz="6" w:space="0" w:color="auto"/>
            </w:tcBorders>
            <w:shd w:val="clear" w:color="auto" w:fill="FFFFFF"/>
            <w:vAlign w:val="bottom"/>
          </w:tcPr>
          <w:p w14:paraId="1B741AB9"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5031E20E"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24BA0B6E"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1055345C"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2FC66625"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255CE" w:rsidRPr="00CF31E0" w14:paraId="0EEC9AED" w14:textId="77777777" w:rsidTr="00CD755B">
        <w:trPr>
          <w:cantSplit/>
        </w:trPr>
        <w:tc>
          <w:tcPr>
            <w:tcW w:w="1736" w:type="dxa"/>
            <w:tcBorders>
              <w:top w:val="single" w:sz="6" w:space="0" w:color="auto"/>
              <w:bottom w:val="nil"/>
            </w:tcBorders>
            <w:shd w:val="clear" w:color="auto" w:fill="FFFFFF"/>
          </w:tcPr>
          <w:p w14:paraId="3EFB63CE"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4D30BE49" w14:textId="5955EABB"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1.861</w:t>
            </w:r>
          </w:p>
        </w:tc>
        <w:tc>
          <w:tcPr>
            <w:tcW w:w="820" w:type="dxa"/>
            <w:tcBorders>
              <w:top w:val="single" w:sz="6" w:space="0" w:color="auto"/>
              <w:bottom w:val="nil"/>
            </w:tcBorders>
            <w:shd w:val="clear" w:color="auto" w:fill="FFFFFF"/>
            <w:vAlign w:val="center"/>
          </w:tcPr>
          <w:p w14:paraId="6200D84D" w14:textId="34EC3CBA"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5576DD62" w14:textId="3F24B34F"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1.861</w:t>
            </w:r>
          </w:p>
        </w:tc>
        <w:tc>
          <w:tcPr>
            <w:tcW w:w="1030" w:type="dxa"/>
            <w:tcBorders>
              <w:top w:val="single" w:sz="6" w:space="0" w:color="auto"/>
              <w:bottom w:val="nil"/>
            </w:tcBorders>
            <w:shd w:val="clear" w:color="auto" w:fill="FFFFFF"/>
            <w:vAlign w:val="center"/>
          </w:tcPr>
          <w:p w14:paraId="4C17E985" w14:textId="52E6C0B2"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1.280</w:t>
            </w:r>
          </w:p>
        </w:tc>
        <w:tc>
          <w:tcPr>
            <w:tcW w:w="674" w:type="dxa"/>
            <w:tcBorders>
              <w:top w:val="single" w:sz="6" w:space="0" w:color="auto"/>
              <w:bottom w:val="nil"/>
            </w:tcBorders>
            <w:shd w:val="clear" w:color="auto" w:fill="FFFFFF"/>
            <w:vAlign w:val="center"/>
          </w:tcPr>
          <w:p w14:paraId="4C6662E4" w14:textId="0BF8B5C2"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.258</w:t>
            </w:r>
          </w:p>
        </w:tc>
      </w:tr>
      <w:tr w:rsidR="007255CE" w:rsidRPr="00CF31E0" w14:paraId="27C03048" w14:textId="77777777" w:rsidTr="00CD755B">
        <w:trPr>
          <w:cantSplit/>
        </w:trPr>
        <w:tc>
          <w:tcPr>
            <w:tcW w:w="1736" w:type="dxa"/>
            <w:tcBorders>
              <w:top w:val="nil"/>
            </w:tcBorders>
            <w:shd w:val="clear" w:color="auto" w:fill="FFFFFF"/>
          </w:tcPr>
          <w:p w14:paraId="26001E43"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6D95B19A" w14:textId="3DEFF461"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940.684</w:t>
            </w:r>
          </w:p>
        </w:tc>
        <w:tc>
          <w:tcPr>
            <w:tcW w:w="820" w:type="dxa"/>
            <w:tcBorders>
              <w:top w:val="nil"/>
            </w:tcBorders>
            <w:shd w:val="clear" w:color="auto" w:fill="FFFFFF"/>
            <w:vAlign w:val="center"/>
          </w:tcPr>
          <w:p w14:paraId="22CB42CE" w14:textId="0B933A79" w:rsidR="007255CE" w:rsidRPr="00CF31E0" w:rsidRDefault="005F0DE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6ACE94DA" w14:textId="0DE188B1"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1.454</w:t>
            </w:r>
          </w:p>
        </w:tc>
        <w:tc>
          <w:tcPr>
            <w:tcW w:w="1030" w:type="dxa"/>
            <w:tcBorders>
              <w:top w:val="nil"/>
            </w:tcBorders>
            <w:shd w:val="clear" w:color="auto" w:fill="FFFFFF"/>
            <w:vAlign w:val="center"/>
          </w:tcPr>
          <w:p w14:paraId="12315BFF"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0AA2EF3A"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r>
      <w:tr w:rsidR="007255CE" w:rsidRPr="00CF31E0" w14:paraId="2EE86A5A" w14:textId="77777777" w:rsidTr="00CD755B">
        <w:trPr>
          <w:cantSplit/>
        </w:trPr>
        <w:tc>
          <w:tcPr>
            <w:tcW w:w="1736" w:type="dxa"/>
            <w:shd w:val="clear" w:color="auto" w:fill="FFFFFF"/>
          </w:tcPr>
          <w:p w14:paraId="1308F414"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59886666" w14:textId="28CF72D0"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942.545</w:t>
            </w:r>
          </w:p>
        </w:tc>
        <w:tc>
          <w:tcPr>
            <w:tcW w:w="820" w:type="dxa"/>
            <w:shd w:val="clear" w:color="auto" w:fill="FFFFFF"/>
            <w:vAlign w:val="center"/>
          </w:tcPr>
          <w:p w14:paraId="60CD4DAA" w14:textId="168CA3FE" w:rsidR="007255CE" w:rsidRPr="00CF31E0" w:rsidRDefault="005F0DE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3F296134"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3182D7B1"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039965F0"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r>
    </w:tbl>
    <w:p w14:paraId="2544C115" w14:textId="77777777" w:rsidR="007255CE" w:rsidRPr="00CF31E0" w:rsidRDefault="007255CE" w:rsidP="007255CE">
      <w:pPr>
        <w:rPr>
          <w:rFonts w:asciiTheme="majorBidi" w:hAnsiTheme="majorBidi" w:cstheme="majorBidi"/>
          <w:b/>
          <w:bCs/>
          <w:color w:val="000000" w:themeColor="text1"/>
        </w:rPr>
      </w:pPr>
    </w:p>
    <w:p w14:paraId="59B019EB" w14:textId="77777777" w:rsidR="007255CE" w:rsidRPr="00CF31E0" w:rsidRDefault="007255CE" w:rsidP="007255CE">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7255CE" w:rsidRPr="00CF31E0" w14:paraId="0A1693F1" w14:textId="77777777" w:rsidTr="00CD755B">
        <w:trPr>
          <w:cantSplit/>
        </w:trPr>
        <w:tc>
          <w:tcPr>
            <w:tcW w:w="1736" w:type="dxa"/>
            <w:tcBorders>
              <w:top w:val="single" w:sz="8" w:space="0" w:color="auto"/>
              <w:bottom w:val="single" w:sz="6" w:space="0" w:color="auto"/>
            </w:tcBorders>
            <w:shd w:val="clear" w:color="auto" w:fill="FFFFFF"/>
            <w:vAlign w:val="bottom"/>
          </w:tcPr>
          <w:p w14:paraId="53DF3DA9"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Age</w:t>
            </w:r>
          </w:p>
        </w:tc>
        <w:tc>
          <w:tcPr>
            <w:tcW w:w="1686" w:type="dxa"/>
            <w:tcBorders>
              <w:top w:val="single" w:sz="8" w:space="0" w:color="auto"/>
              <w:bottom w:val="single" w:sz="6" w:space="0" w:color="auto"/>
            </w:tcBorders>
            <w:shd w:val="clear" w:color="auto" w:fill="FFFFFF"/>
            <w:vAlign w:val="bottom"/>
          </w:tcPr>
          <w:p w14:paraId="364D6ED0"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53A0E30D"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5E333A1F"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6E498D47"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16BDCAB7"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255CE" w:rsidRPr="00CF31E0" w14:paraId="6AE4FA0E" w14:textId="77777777" w:rsidTr="00CD755B">
        <w:trPr>
          <w:cantSplit/>
        </w:trPr>
        <w:tc>
          <w:tcPr>
            <w:tcW w:w="1736" w:type="dxa"/>
            <w:tcBorders>
              <w:top w:val="single" w:sz="6" w:space="0" w:color="auto"/>
              <w:bottom w:val="nil"/>
            </w:tcBorders>
            <w:shd w:val="clear" w:color="auto" w:fill="FFFFFF"/>
          </w:tcPr>
          <w:p w14:paraId="1F3646A4"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0040BD00" w14:textId="6F6EC1DC"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11.397</w:t>
            </w:r>
          </w:p>
        </w:tc>
        <w:tc>
          <w:tcPr>
            <w:tcW w:w="820" w:type="dxa"/>
            <w:tcBorders>
              <w:top w:val="single" w:sz="6" w:space="0" w:color="auto"/>
              <w:bottom w:val="nil"/>
            </w:tcBorders>
            <w:shd w:val="clear" w:color="auto" w:fill="FFFFFF"/>
            <w:vAlign w:val="center"/>
          </w:tcPr>
          <w:p w14:paraId="4E9F5E0C" w14:textId="0D3E32DD"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w:t>
            </w:r>
          </w:p>
        </w:tc>
        <w:tc>
          <w:tcPr>
            <w:tcW w:w="1445" w:type="dxa"/>
            <w:tcBorders>
              <w:top w:val="single" w:sz="6" w:space="0" w:color="auto"/>
              <w:bottom w:val="nil"/>
            </w:tcBorders>
            <w:shd w:val="clear" w:color="auto" w:fill="FFFFFF"/>
            <w:vAlign w:val="center"/>
          </w:tcPr>
          <w:p w14:paraId="52E7E347" w14:textId="66F8D4FC"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2.279</w:t>
            </w:r>
          </w:p>
        </w:tc>
        <w:tc>
          <w:tcPr>
            <w:tcW w:w="1030" w:type="dxa"/>
            <w:tcBorders>
              <w:top w:val="single" w:sz="6" w:space="0" w:color="auto"/>
              <w:bottom w:val="nil"/>
            </w:tcBorders>
            <w:shd w:val="clear" w:color="auto" w:fill="FFFFFF"/>
            <w:vAlign w:val="center"/>
          </w:tcPr>
          <w:p w14:paraId="2506F8C1" w14:textId="3AFF7582"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1.572</w:t>
            </w:r>
          </w:p>
        </w:tc>
        <w:tc>
          <w:tcPr>
            <w:tcW w:w="674" w:type="dxa"/>
            <w:tcBorders>
              <w:top w:val="single" w:sz="6" w:space="0" w:color="auto"/>
              <w:bottom w:val="nil"/>
            </w:tcBorders>
            <w:shd w:val="clear" w:color="auto" w:fill="FFFFFF"/>
            <w:vAlign w:val="center"/>
          </w:tcPr>
          <w:p w14:paraId="1781D56A" w14:textId="760D4220"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.166</w:t>
            </w:r>
          </w:p>
        </w:tc>
      </w:tr>
      <w:tr w:rsidR="007255CE" w:rsidRPr="00CF31E0" w14:paraId="757A0E95" w14:textId="77777777" w:rsidTr="00CD755B">
        <w:trPr>
          <w:cantSplit/>
        </w:trPr>
        <w:tc>
          <w:tcPr>
            <w:tcW w:w="1736" w:type="dxa"/>
            <w:tcBorders>
              <w:top w:val="nil"/>
            </w:tcBorders>
            <w:shd w:val="clear" w:color="auto" w:fill="FFFFFF"/>
          </w:tcPr>
          <w:p w14:paraId="6D59CDEA"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293D7A54" w14:textId="4BABF5FD"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929.716</w:t>
            </w:r>
          </w:p>
        </w:tc>
        <w:tc>
          <w:tcPr>
            <w:tcW w:w="820" w:type="dxa"/>
            <w:tcBorders>
              <w:top w:val="nil"/>
            </w:tcBorders>
            <w:shd w:val="clear" w:color="auto" w:fill="FFFFFF"/>
            <w:vAlign w:val="center"/>
          </w:tcPr>
          <w:p w14:paraId="368AA6C8" w14:textId="7C68B864" w:rsidR="007255CE" w:rsidRPr="00CF31E0" w:rsidRDefault="005F0DE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644</w:t>
            </w:r>
          </w:p>
        </w:tc>
        <w:tc>
          <w:tcPr>
            <w:tcW w:w="1445" w:type="dxa"/>
            <w:tcBorders>
              <w:top w:val="nil"/>
            </w:tcBorders>
            <w:shd w:val="clear" w:color="auto" w:fill="FFFFFF"/>
            <w:vAlign w:val="center"/>
          </w:tcPr>
          <w:p w14:paraId="002D1E54" w14:textId="61853222"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1.450</w:t>
            </w:r>
          </w:p>
        </w:tc>
        <w:tc>
          <w:tcPr>
            <w:tcW w:w="1030" w:type="dxa"/>
            <w:tcBorders>
              <w:top w:val="nil"/>
            </w:tcBorders>
            <w:shd w:val="clear" w:color="auto" w:fill="FFFFFF"/>
            <w:vAlign w:val="center"/>
          </w:tcPr>
          <w:p w14:paraId="5DF11D8F"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0607D4C4"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r>
      <w:tr w:rsidR="007255CE" w:rsidRPr="00CF31E0" w14:paraId="1C6C1142" w14:textId="77777777" w:rsidTr="00CD755B">
        <w:trPr>
          <w:cantSplit/>
        </w:trPr>
        <w:tc>
          <w:tcPr>
            <w:tcW w:w="1736" w:type="dxa"/>
            <w:shd w:val="clear" w:color="auto" w:fill="FFFFFF"/>
          </w:tcPr>
          <w:p w14:paraId="668E70D9"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018C254E" w14:textId="51118951"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941.113</w:t>
            </w:r>
          </w:p>
        </w:tc>
        <w:tc>
          <w:tcPr>
            <w:tcW w:w="820" w:type="dxa"/>
            <w:shd w:val="clear" w:color="auto" w:fill="FFFFFF"/>
            <w:vAlign w:val="center"/>
          </w:tcPr>
          <w:p w14:paraId="787FC719" w14:textId="2EC7A176" w:rsidR="007255CE" w:rsidRPr="00CF31E0" w:rsidRDefault="005F0DE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5905F8E7"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552A8DA8"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5C895AC5"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r>
    </w:tbl>
    <w:p w14:paraId="78DED4B5" w14:textId="77777777" w:rsidR="007255CE" w:rsidRPr="00CF31E0" w:rsidRDefault="007255CE" w:rsidP="007255CE">
      <w:pPr>
        <w:rPr>
          <w:rFonts w:asciiTheme="majorBidi" w:hAnsiTheme="majorBidi" w:cstheme="majorBidi"/>
          <w:b/>
          <w:bCs/>
          <w:color w:val="000000" w:themeColor="text1"/>
        </w:rPr>
      </w:pPr>
    </w:p>
    <w:p w14:paraId="17932BC0" w14:textId="77777777" w:rsidR="007255CE" w:rsidRPr="00CF31E0" w:rsidRDefault="007255CE" w:rsidP="007255CE">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7255CE" w:rsidRPr="00CF31E0" w14:paraId="620DBBA9" w14:textId="77777777" w:rsidTr="00CD755B">
        <w:trPr>
          <w:cantSplit/>
        </w:trPr>
        <w:tc>
          <w:tcPr>
            <w:tcW w:w="1736" w:type="dxa"/>
            <w:tcBorders>
              <w:top w:val="single" w:sz="8" w:space="0" w:color="auto"/>
              <w:bottom w:val="single" w:sz="6" w:space="0" w:color="auto"/>
            </w:tcBorders>
            <w:shd w:val="clear" w:color="auto" w:fill="FFFFFF"/>
            <w:vAlign w:val="bottom"/>
          </w:tcPr>
          <w:p w14:paraId="0402324E"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Place of birth</w:t>
            </w:r>
          </w:p>
        </w:tc>
        <w:tc>
          <w:tcPr>
            <w:tcW w:w="1686" w:type="dxa"/>
            <w:tcBorders>
              <w:top w:val="single" w:sz="8" w:space="0" w:color="auto"/>
              <w:bottom w:val="single" w:sz="6" w:space="0" w:color="auto"/>
            </w:tcBorders>
            <w:shd w:val="clear" w:color="auto" w:fill="FFFFFF"/>
            <w:vAlign w:val="bottom"/>
          </w:tcPr>
          <w:p w14:paraId="63508DBC"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245A565E"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38B00B4C"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4AE3075"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3985EE24"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255CE" w:rsidRPr="00CF31E0" w14:paraId="1BE754C4" w14:textId="77777777" w:rsidTr="00CD755B">
        <w:trPr>
          <w:cantSplit/>
        </w:trPr>
        <w:tc>
          <w:tcPr>
            <w:tcW w:w="1736" w:type="dxa"/>
            <w:tcBorders>
              <w:top w:val="single" w:sz="6" w:space="0" w:color="auto"/>
              <w:bottom w:val="nil"/>
            </w:tcBorders>
            <w:shd w:val="clear" w:color="auto" w:fill="FFFFFF"/>
          </w:tcPr>
          <w:p w14:paraId="43E52167"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483F528C" w14:textId="0E3641D8"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.001</w:t>
            </w:r>
          </w:p>
        </w:tc>
        <w:tc>
          <w:tcPr>
            <w:tcW w:w="820" w:type="dxa"/>
            <w:tcBorders>
              <w:top w:val="single" w:sz="6" w:space="0" w:color="auto"/>
              <w:bottom w:val="nil"/>
            </w:tcBorders>
            <w:shd w:val="clear" w:color="auto" w:fill="FFFFFF"/>
            <w:vAlign w:val="center"/>
          </w:tcPr>
          <w:p w14:paraId="404E8E70" w14:textId="61DFDDBF"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20BB46C4" w14:textId="25E13C06"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.001</w:t>
            </w:r>
          </w:p>
        </w:tc>
        <w:tc>
          <w:tcPr>
            <w:tcW w:w="1030" w:type="dxa"/>
            <w:tcBorders>
              <w:top w:val="single" w:sz="6" w:space="0" w:color="auto"/>
              <w:bottom w:val="nil"/>
            </w:tcBorders>
            <w:shd w:val="clear" w:color="auto" w:fill="FFFFFF"/>
            <w:vAlign w:val="center"/>
          </w:tcPr>
          <w:p w14:paraId="4B968C24" w14:textId="43999A08"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.001</w:t>
            </w:r>
          </w:p>
        </w:tc>
        <w:tc>
          <w:tcPr>
            <w:tcW w:w="674" w:type="dxa"/>
            <w:tcBorders>
              <w:top w:val="single" w:sz="6" w:space="0" w:color="auto"/>
              <w:bottom w:val="nil"/>
            </w:tcBorders>
            <w:shd w:val="clear" w:color="auto" w:fill="FFFFFF"/>
            <w:vAlign w:val="center"/>
          </w:tcPr>
          <w:p w14:paraId="698B3118" w14:textId="67B07C0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.976</w:t>
            </w:r>
          </w:p>
        </w:tc>
      </w:tr>
      <w:tr w:rsidR="007255CE" w:rsidRPr="00CF31E0" w14:paraId="2959AE60" w14:textId="77777777" w:rsidTr="00CD755B">
        <w:trPr>
          <w:cantSplit/>
        </w:trPr>
        <w:tc>
          <w:tcPr>
            <w:tcW w:w="1736" w:type="dxa"/>
            <w:tcBorders>
              <w:top w:val="nil"/>
            </w:tcBorders>
            <w:shd w:val="clear" w:color="auto" w:fill="FFFFFF"/>
          </w:tcPr>
          <w:p w14:paraId="14AB9E06"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16DA1636" w14:textId="3B82C794"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942.544</w:t>
            </w:r>
          </w:p>
        </w:tc>
        <w:tc>
          <w:tcPr>
            <w:tcW w:w="820" w:type="dxa"/>
            <w:tcBorders>
              <w:top w:val="nil"/>
            </w:tcBorders>
            <w:shd w:val="clear" w:color="auto" w:fill="FFFFFF"/>
            <w:vAlign w:val="center"/>
          </w:tcPr>
          <w:p w14:paraId="4792DAC7" w14:textId="602D9FFB" w:rsidR="007255CE" w:rsidRPr="00CF31E0" w:rsidRDefault="005F0DE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67DFD0DE" w14:textId="164273FD"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1.457</w:t>
            </w:r>
          </w:p>
        </w:tc>
        <w:tc>
          <w:tcPr>
            <w:tcW w:w="1030" w:type="dxa"/>
            <w:tcBorders>
              <w:top w:val="nil"/>
            </w:tcBorders>
            <w:shd w:val="clear" w:color="auto" w:fill="FFFFFF"/>
            <w:vAlign w:val="center"/>
          </w:tcPr>
          <w:p w14:paraId="105CC6EB"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5247D8EC"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r>
      <w:tr w:rsidR="007255CE" w:rsidRPr="00CF31E0" w14:paraId="18EC4A45" w14:textId="77777777" w:rsidTr="00CD755B">
        <w:trPr>
          <w:cantSplit/>
        </w:trPr>
        <w:tc>
          <w:tcPr>
            <w:tcW w:w="1736" w:type="dxa"/>
            <w:shd w:val="clear" w:color="auto" w:fill="FFFFFF"/>
          </w:tcPr>
          <w:p w14:paraId="70836E24"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D25500A" w14:textId="54F73D1D"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942.545</w:t>
            </w:r>
          </w:p>
        </w:tc>
        <w:tc>
          <w:tcPr>
            <w:tcW w:w="820" w:type="dxa"/>
            <w:shd w:val="clear" w:color="auto" w:fill="FFFFFF"/>
            <w:vAlign w:val="center"/>
          </w:tcPr>
          <w:p w14:paraId="1B7C7E4E" w14:textId="62179353" w:rsidR="007255CE" w:rsidRPr="00CF31E0" w:rsidRDefault="005F0DE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120634C1"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13228F5B"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2FE25539"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r>
    </w:tbl>
    <w:p w14:paraId="3BE9F562" w14:textId="77777777" w:rsidR="007255CE" w:rsidRPr="00CF31E0" w:rsidRDefault="007255CE" w:rsidP="007255CE">
      <w:pPr>
        <w:rPr>
          <w:rFonts w:asciiTheme="majorBidi" w:hAnsiTheme="majorBidi" w:cstheme="majorBidi"/>
          <w:b/>
          <w:bCs/>
          <w:color w:val="000000" w:themeColor="text1"/>
        </w:rPr>
      </w:pPr>
    </w:p>
    <w:p w14:paraId="197792E9" w14:textId="77777777" w:rsidR="007255CE" w:rsidRPr="00CF31E0" w:rsidRDefault="007255CE" w:rsidP="007255CE">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7255CE" w:rsidRPr="00CF31E0" w14:paraId="47E2BBFC" w14:textId="77777777" w:rsidTr="00CD755B">
        <w:trPr>
          <w:cantSplit/>
        </w:trPr>
        <w:tc>
          <w:tcPr>
            <w:tcW w:w="1736" w:type="dxa"/>
            <w:tcBorders>
              <w:top w:val="single" w:sz="8" w:space="0" w:color="auto"/>
              <w:bottom w:val="single" w:sz="6" w:space="0" w:color="auto"/>
            </w:tcBorders>
            <w:shd w:val="clear" w:color="auto" w:fill="FFFFFF"/>
            <w:vAlign w:val="bottom"/>
          </w:tcPr>
          <w:p w14:paraId="1B4BB41D"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Places lived</w:t>
            </w:r>
          </w:p>
        </w:tc>
        <w:tc>
          <w:tcPr>
            <w:tcW w:w="1686" w:type="dxa"/>
            <w:tcBorders>
              <w:top w:val="single" w:sz="8" w:space="0" w:color="auto"/>
              <w:bottom w:val="single" w:sz="6" w:space="0" w:color="auto"/>
            </w:tcBorders>
            <w:shd w:val="clear" w:color="auto" w:fill="FFFFFF"/>
            <w:vAlign w:val="bottom"/>
          </w:tcPr>
          <w:p w14:paraId="42496A3E"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157D9EB9"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0F3EDCA7"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79A3A40B"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15D92EBD"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255CE" w:rsidRPr="00CF31E0" w14:paraId="4DF90F6E" w14:textId="77777777" w:rsidTr="00CD755B">
        <w:trPr>
          <w:cantSplit/>
        </w:trPr>
        <w:tc>
          <w:tcPr>
            <w:tcW w:w="1736" w:type="dxa"/>
            <w:tcBorders>
              <w:top w:val="single" w:sz="6" w:space="0" w:color="auto"/>
              <w:bottom w:val="nil"/>
            </w:tcBorders>
            <w:shd w:val="clear" w:color="auto" w:fill="FFFFFF"/>
          </w:tcPr>
          <w:p w14:paraId="60529CA5"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5C504792" w14:textId="4D93A00C"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1.040</w:t>
            </w:r>
          </w:p>
        </w:tc>
        <w:tc>
          <w:tcPr>
            <w:tcW w:w="820" w:type="dxa"/>
            <w:tcBorders>
              <w:top w:val="single" w:sz="6" w:space="0" w:color="auto"/>
              <w:bottom w:val="nil"/>
            </w:tcBorders>
            <w:shd w:val="clear" w:color="auto" w:fill="FFFFFF"/>
            <w:vAlign w:val="center"/>
          </w:tcPr>
          <w:p w14:paraId="0ED69FE2" w14:textId="6494675C"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5AC04D88" w14:textId="49B6CFD0"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1.040</w:t>
            </w:r>
          </w:p>
        </w:tc>
        <w:tc>
          <w:tcPr>
            <w:tcW w:w="1030" w:type="dxa"/>
            <w:tcBorders>
              <w:top w:val="single" w:sz="6" w:space="0" w:color="auto"/>
              <w:bottom w:val="nil"/>
            </w:tcBorders>
            <w:shd w:val="clear" w:color="auto" w:fill="FFFFFF"/>
            <w:vAlign w:val="center"/>
          </w:tcPr>
          <w:p w14:paraId="1E6B4F99" w14:textId="4C222E5B"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.713</w:t>
            </w:r>
          </w:p>
        </w:tc>
        <w:tc>
          <w:tcPr>
            <w:tcW w:w="674" w:type="dxa"/>
            <w:tcBorders>
              <w:top w:val="single" w:sz="6" w:space="0" w:color="auto"/>
              <w:bottom w:val="nil"/>
            </w:tcBorders>
            <w:shd w:val="clear" w:color="auto" w:fill="FFFFFF"/>
            <w:vAlign w:val="center"/>
          </w:tcPr>
          <w:p w14:paraId="15D9575C" w14:textId="376CCE71"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.399</w:t>
            </w:r>
          </w:p>
        </w:tc>
      </w:tr>
      <w:tr w:rsidR="007255CE" w:rsidRPr="00CF31E0" w14:paraId="44D3C8F6" w14:textId="77777777" w:rsidTr="00CD755B">
        <w:trPr>
          <w:cantSplit/>
        </w:trPr>
        <w:tc>
          <w:tcPr>
            <w:tcW w:w="1736" w:type="dxa"/>
            <w:tcBorders>
              <w:top w:val="nil"/>
            </w:tcBorders>
            <w:shd w:val="clear" w:color="auto" w:fill="FFFFFF"/>
          </w:tcPr>
          <w:p w14:paraId="66D1D2D7"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1A9260D1" w14:textId="6B488198"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929.902</w:t>
            </w:r>
          </w:p>
        </w:tc>
        <w:tc>
          <w:tcPr>
            <w:tcW w:w="820" w:type="dxa"/>
            <w:tcBorders>
              <w:top w:val="nil"/>
            </w:tcBorders>
            <w:shd w:val="clear" w:color="auto" w:fill="FFFFFF"/>
            <w:vAlign w:val="center"/>
          </w:tcPr>
          <w:p w14:paraId="7C98FC2D" w14:textId="13ED26EB" w:rsidR="007255CE" w:rsidRPr="00CF31E0" w:rsidRDefault="005F0DE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140F4AC7" w14:textId="183A526E"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1.460</w:t>
            </w:r>
          </w:p>
        </w:tc>
        <w:tc>
          <w:tcPr>
            <w:tcW w:w="1030" w:type="dxa"/>
            <w:tcBorders>
              <w:top w:val="nil"/>
            </w:tcBorders>
            <w:shd w:val="clear" w:color="auto" w:fill="FFFFFF"/>
            <w:vAlign w:val="center"/>
          </w:tcPr>
          <w:p w14:paraId="29B47482"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0AE66C42"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r>
      <w:tr w:rsidR="007255CE" w:rsidRPr="00CF31E0" w14:paraId="1EFEC0B0" w14:textId="77777777" w:rsidTr="00CD755B">
        <w:trPr>
          <w:cantSplit/>
        </w:trPr>
        <w:tc>
          <w:tcPr>
            <w:tcW w:w="1736" w:type="dxa"/>
            <w:shd w:val="clear" w:color="auto" w:fill="FFFFFF"/>
          </w:tcPr>
          <w:p w14:paraId="0BD16CEC"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C4C4E41" w14:textId="0F0B4C93"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930.942</w:t>
            </w:r>
          </w:p>
        </w:tc>
        <w:tc>
          <w:tcPr>
            <w:tcW w:w="820" w:type="dxa"/>
            <w:shd w:val="clear" w:color="auto" w:fill="FFFFFF"/>
            <w:vAlign w:val="center"/>
          </w:tcPr>
          <w:p w14:paraId="1663207B" w14:textId="5246B823" w:rsidR="007255CE" w:rsidRPr="00CF31E0" w:rsidRDefault="005F0DE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73E1D4BD"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39AB507F"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7C3BD8F2"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r>
    </w:tbl>
    <w:p w14:paraId="2E32F4AF" w14:textId="77777777" w:rsidR="007255CE" w:rsidRPr="00CF31E0" w:rsidRDefault="007255CE" w:rsidP="007255CE">
      <w:pPr>
        <w:rPr>
          <w:rFonts w:asciiTheme="majorBidi" w:hAnsiTheme="majorBidi" w:cstheme="majorBidi"/>
          <w:b/>
          <w:bCs/>
          <w:color w:val="000000" w:themeColor="text1"/>
        </w:rPr>
      </w:pPr>
    </w:p>
    <w:p w14:paraId="73E1A1C2" w14:textId="77777777" w:rsidR="007255CE" w:rsidRPr="00CF31E0" w:rsidRDefault="007255CE" w:rsidP="007255CE">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7255CE" w:rsidRPr="00CF31E0" w14:paraId="3DC1FB3B" w14:textId="77777777" w:rsidTr="00CD755B">
        <w:trPr>
          <w:cantSplit/>
        </w:trPr>
        <w:tc>
          <w:tcPr>
            <w:tcW w:w="1736" w:type="dxa"/>
            <w:tcBorders>
              <w:top w:val="single" w:sz="8" w:space="0" w:color="auto"/>
              <w:bottom w:val="single" w:sz="6" w:space="0" w:color="auto"/>
            </w:tcBorders>
            <w:shd w:val="clear" w:color="auto" w:fill="FFFFFF"/>
            <w:vAlign w:val="bottom"/>
          </w:tcPr>
          <w:p w14:paraId="3207748E"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Marital status</w:t>
            </w:r>
          </w:p>
        </w:tc>
        <w:tc>
          <w:tcPr>
            <w:tcW w:w="1686" w:type="dxa"/>
            <w:tcBorders>
              <w:top w:val="single" w:sz="8" w:space="0" w:color="auto"/>
              <w:bottom w:val="single" w:sz="6" w:space="0" w:color="auto"/>
            </w:tcBorders>
            <w:shd w:val="clear" w:color="auto" w:fill="FFFFFF"/>
            <w:vAlign w:val="bottom"/>
          </w:tcPr>
          <w:p w14:paraId="630F46C6"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5C1AF5F1"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159FA7E"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43EB6261"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3829FC54"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7255CE" w:rsidRPr="00CF31E0" w14:paraId="2251B3E6" w14:textId="77777777" w:rsidTr="00CD755B">
        <w:trPr>
          <w:cantSplit/>
        </w:trPr>
        <w:tc>
          <w:tcPr>
            <w:tcW w:w="1736" w:type="dxa"/>
            <w:tcBorders>
              <w:top w:val="single" w:sz="6" w:space="0" w:color="auto"/>
              <w:bottom w:val="nil"/>
            </w:tcBorders>
            <w:shd w:val="clear" w:color="auto" w:fill="FFFFFF"/>
          </w:tcPr>
          <w:p w14:paraId="55CFE2AB"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2337AAF7" w14:textId="2ABCB6DF"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6.431</w:t>
            </w:r>
          </w:p>
        </w:tc>
        <w:tc>
          <w:tcPr>
            <w:tcW w:w="820" w:type="dxa"/>
            <w:tcBorders>
              <w:top w:val="single" w:sz="6" w:space="0" w:color="auto"/>
              <w:bottom w:val="nil"/>
            </w:tcBorders>
            <w:shd w:val="clear" w:color="auto" w:fill="FFFFFF"/>
            <w:vAlign w:val="center"/>
          </w:tcPr>
          <w:p w14:paraId="29A68E56" w14:textId="7F810632"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w:t>
            </w:r>
          </w:p>
        </w:tc>
        <w:tc>
          <w:tcPr>
            <w:tcW w:w="1445" w:type="dxa"/>
            <w:tcBorders>
              <w:top w:val="single" w:sz="6" w:space="0" w:color="auto"/>
              <w:bottom w:val="nil"/>
            </w:tcBorders>
            <w:shd w:val="clear" w:color="auto" w:fill="FFFFFF"/>
            <w:vAlign w:val="center"/>
          </w:tcPr>
          <w:p w14:paraId="75AF5374" w14:textId="55BCCFB8"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2.144</w:t>
            </w:r>
          </w:p>
        </w:tc>
        <w:tc>
          <w:tcPr>
            <w:tcW w:w="1030" w:type="dxa"/>
            <w:tcBorders>
              <w:top w:val="single" w:sz="6" w:space="0" w:color="auto"/>
              <w:bottom w:val="nil"/>
            </w:tcBorders>
            <w:shd w:val="clear" w:color="auto" w:fill="FFFFFF"/>
            <w:vAlign w:val="center"/>
          </w:tcPr>
          <w:p w14:paraId="62217DA7" w14:textId="224E52F6"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1.477</w:t>
            </w:r>
          </w:p>
        </w:tc>
        <w:tc>
          <w:tcPr>
            <w:tcW w:w="674" w:type="dxa"/>
            <w:tcBorders>
              <w:top w:val="single" w:sz="6" w:space="0" w:color="auto"/>
              <w:bottom w:val="nil"/>
            </w:tcBorders>
            <w:shd w:val="clear" w:color="auto" w:fill="FFFFFF"/>
            <w:vAlign w:val="center"/>
          </w:tcPr>
          <w:p w14:paraId="39DE5AE4" w14:textId="49712CCD"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.220</w:t>
            </w:r>
          </w:p>
        </w:tc>
      </w:tr>
      <w:tr w:rsidR="007255CE" w:rsidRPr="00CF31E0" w14:paraId="413EF047" w14:textId="77777777" w:rsidTr="00CD755B">
        <w:trPr>
          <w:cantSplit/>
        </w:trPr>
        <w:tc>
          <w:tcPr>
            <w:tcW w:w="1736" w:type="dxa"/>
            <w:tcBorders>
              <w:top w:val="nil"/>
            </w:tcBorders>
            <w:shd w:val="clear" w:color="auto" w:fill="FFFFFF"/>
          </w:tcPr>
          <w:p w14:paraId="336F3494"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4C40EA2E" w14:textId="7E747346"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936.115</w:t>
            </w:r>
          </w:p>
        </w:tc>
        <w:tc>
          <w:tcPr>
            <w:tcW w:w="820" w:type="dxa"/>
            <w:tcBorders>
              <w:top w:val="nil"/>
            </w:tcBorders>
            <w:shd w:val="clear" w:color="auto" w:fill="FFFFFF"/>
            <w:vAlign w:val="center"/>
          </w:tcPr>
          <w:p w14:paraId="7164CD6F" w14:textId="20D30CAC" w:rsidR="007255CE" w:rsidRPr="00CF31E0" w:rsidRDefault="005F0DE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646</w:t>
            </w:r>
          </w:p>
        </w:tc>
        <w:tc>
          <w:tcPr>
            <w:tcW w:w="1445" w:type="dxa"/>
            <w:tcBorders>
              <w:top w:val="nil"/>
            </w:tcBorders>
            <w:shd w:val="clear" w:color="auto" w:fill="FFFFFF"/>
            <w:vAlign w:val="center"/>
          </w:tcPr>
          <w:p w14:paraId="432A1CA7" w14:textId="703FBD6F"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1.451</w:t>
            </w:r>
          </w:p>
        </w:tc>
        <w:tc>
          <w:tcPr>
            <w:tcW w:w="1030" w:type="dxa"/>
            <w:tcBorders>
              <w:top w:val="nil"/>
            </w:tcBorders>
            <w:shd w:val="clear" w:color="auto" w:fill="FFFFFF"/>
            <w:vAlign w:val="center"/>
          </w:tcPr>
          <w:p w14:paraId="4199F9C6"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4B10093B"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r>
      <w:tr w:rsidR="007255CE" w:rsidRPr="00CF31E0" w14:paraId="0633F14E" w14:textId="77777777" w:rsidTr="00CD755B">
        <w:trPr>
          <w:cantSplit/>
        </w:trPr>
        <w:tc>
          <w:tcPr>
            <w:tcW w:w="1736" w:type="dxa"/>
            <w:shd w:val="clear" w:color="auto" w:fill="FFFFFF"/>
          </w:tcPr>
          <w:p w14:paraId="2694B773"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324E8095" w14:textId="0D3ABA9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942.545</w:t>
            </w:r>
          </w:p>
        </w:tc>
        <w:tc>
          <w:tcPr>
            <w:tcW w:w="820" w:type="dxa"/>
            <w:shd w:val="clear" w:color="auto" w:fill="FFFFFF"/>
            <w:vAlign w:val="center"/>
          </w:tcPr>
          <w:p w14:paraId="08A7AAC0" w14:textId="2F6C4DA8" w:rsidR="007255CE" w:rsidRPr="00CF31E0" w:rsidRDefault="005F0DE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234E3A54"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0B20734C"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76F3E8B9"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p>
        </w:tc>
      </w:tr>
    </w:tbl>
    <w:p w14:paraId="11BCE6A0" w14:textId="77777777" w:rsidR="007255CE" w:rsidRPr="00CF31E0" w:rsidRDefault="007255CE" w:rsidP="007255CE">
      <w:pPr>
        <w:rPr>
          <w:rFonts w:asciiTheme="majorBidi" w:hAnsiTheme="majorBidi" w:cstheme="majorBidi"/>
          <w:b/>
          <w:bCs/>
          <w:color w:val="000000" w:themeColor="text1"/>
        </w:rPr>
      </w:pPr>
    </w:p>
    <w:p w14:paraId="16E83ED3" w14:textId="77777777" w:rsidR="007255CE" w:rsidRPr="00CF31E0" w:rsidRDefault="007255CE" w:rsidP="007255CE">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7255CE" w:rsidRPr="00CF31E0" w14:paraId="7803A2BB" w14:textId="77777777" w:rsidTr="00CD755B">
        <w:trPr>
          <w:cantSplit/>
        </w:trPr>
        <w:tc>
          <w:tcPr>
            <w:tcW w:w="1736" w:type="dxa"/>
            <w:tcBorders>
              <w:top w:val="single" w:sz="8" w:space="0" w:color="auto"/>
              <w:bottom w:val="single" w:sz="6" w:space="0" w:color="auto"/>
            </w:tcBorders>
            <w:shd w:val="clear" w:color="auto" w:fill="FFFFFF"/>
            <w:vAlign w:val="bottom"/>
          </w:tcPr>
          <w:p w14:paraId="66BEEF0E" w14:textId="77777777" w:rsidR="007255CE" w:rsidRPr="00CF31E0" w:rsidRDefault="007255CE"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Education</w:t>
            </w:r>
          </w:p>
        </w:tc>
        <w:tc>
          <w:tcPr>
            <w:tcW w:w="1686" w:type="dxa"/>
            <w:tcBorders>
              <w:top w:val="single" w:sz="8" w:space="0" w:color="auto"/>
              <w:bottom w:val="single" w:sz="6" w:space="0" w:color="auto"/>
            </w:tcBorders>
            <w:shd w:val="clear" w:color="auto" w:fill="FFFFFF"/>
            <w:vAlign w:val="bottom"/>
          </w:tcPr>
          <w:p w14:paraId="45E5D416"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1D062E54"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12C1A4B"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63F9778D"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746C40EC"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D755B" w:rsidRPr="00CF31E0" w14:paraId="3F5F703C" w14:textId="77777777" w:rsidTr="00CD755B">
        <w:trPr>
          <w:cantSplit/>
        </w:trPr>
        <w:tc>
          <w:tcPr>
            <w:tcW w:w="1736" w:type="dxa"/>
            <w:tcBorders>
              <w:top w:val="single" w:sz="6" w:space="0" w:color="auto"/>
              <w:bottom w:val="nil"/>
            </w:tcBorders>
            <w:shd w:val="clear" w:color="auto" w:fill="FFFFFF"/>
          </w:tcPr>
          <w:p w14:paraId="3E86C9A8"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53F31742" w14:textId="171ADFCD"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6.925</w:t>
            </w:r>
          </w:p>
        </w:tc>
        <w:tc>
          <w:tcPr>
            <w:tcW w:w="820" w:type="dxa"/>
            <w:tcBorders>
              <w:top w:val="single" w:sz="6" w:space="0" w:color="auto"/>
              <w:bottom w:val="nil"/>
            </w:tcBorders>
            <w:shd w:val="clear" w:color="auto" w:fill="FFFFFF"/>
            <w:vAlign w:val="center"/>
          </w:tcPr>
          <w:p w14:paraId="2FD02807" w14:textId="47EB6E12"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w:t>
            </w:r>
          </w:p>
        </w:tc>
        <w:tc>
          <w:tcPr>
            <w:tcW w:w="1445" w:type="dxa"/>
            <w:tcBorders>
              <w:top w:val="single" w:sz="6" w:space="0" w:color="auto"/>
              <w:bottom w:val="nil"/>
            </w:tcBorders>
            <w:shd w:val="clear" w:color="auto" w:fill="FFFFFF"/>
            <w:vAlign w:val="center"/>
          </w:tcPr>
          <w:p w14:paraId="5F9C6158" w14:textId="173FA46F"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1.385</w:t>
            </w:r>
          </w:p>
        </w:tc>
        <w:tc>
          <w:tcPr>
            <w:tcW w:w="1030" w:type="dxa"/>
            <w:tcBorders>
              <w:top w:val="single" w:sz="6" w:space="0" w:color="auto"/>
              <w:bottom w:val="nil"/>
            </w:tcBorders>
            <w:shd w:val="clear" w:color="auto" w:fill="FFFFFF"/>
            <w:vAlign w:val="center"/>
          </w:tcPr>
          <w:p w14:paraId="0D4F4DC8" w14:textId="67CAF729"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.952</w:t>
            </w:r>
          </w:p>
        </w:tc>
        <w:tc>
          <w:tcPr>
            <w:tcW w:w="674" w:type="dxa"/>
            <w:tcBorders>
              <w:top w:val="single" w:sz="6" w:space="0" w:color="auto"/>
              <w:bottom w:val="nil"/>
            </w:tcBorders>
            <w:shd w:val="clear" w:color="auto" w:fill="FFFFFF"/>
            <w:vAlign w:val="center"/>
          </w:tcPr>
          <w:p w14:paraId="366798D8" w14:textId="66348808"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.447</w:t>
            </w:r>
          </w:p>
        </w:tc>
      </w:tr>
      <w:tr w:rsidR="00CD755B" w:rsidRPr="00CF31E0" w14:paraId="0729682B" w14:textId="77777777" w:rsidTr="00CD755B">
        <w:trPr>
          <w:cantSplit/>
        </w:trPr>
        <w:tc>
          <w:tcPr>
            <w:tcW w:w="1736" w:type="dxa"/>
            <w:tcBorders>
              <w:top w:val="nil"/>
            </w:tcBorders>
            <w:shd w:val="clear" w:color="auto" w:fill="FFFFFF"/>
          </w:tcPr>
          <w:p w14:paraId="4B617880"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7558A402" w14:textId="068FBF98"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935.620</w:t>
            </w:r>
          </w:p>
        </w:tc>
        <w:tc>
          <w:tcPr>
            <w:tcW w:w="820" w:type="dxa"/>
            <w:tcBorders>
              <w:top w:val="nil"/>
            </w:tcBorders>
            <w:shd w:val="clear" w:color="auto" w:fill="FFFFFF"/>
            <w:vAlign w:val="center"/>
          </w:tcPr>
          <w:p w14:paraId="6498D4F0" w14:textId="74C75DDC" w:rsidR="00CD755B"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644</w:t>
            </w:r>
          </w:p>
        </w:tc>
        <w:tc>
          <w:tcPr>
            <w:tcW w:w="1445" w:type="dxa"/>
            <w:tcBorders>
              <w:top w:val="nil"/>
            </w:tcBorders>
            <w:shd w:val="clear" w:color="auto" w:fill="FFFFFF"/>
            <w:vAlign w:val="center"/>
          </w:tcPr>
          <w:p w14:paraId="562DF0E6" w14:textId="277CB04D"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1.455</w:t>
            </w:r>
          </w:p>
        </w:tc>
        <w:tc>
          <w:tcPr>
            <w:tcW w:w="1030" w:type="dxa"/>
            <w:tcBorders>
              <w:top w:val="nil"/>
            </w:tcBorders>
            <w:shd w:val="clear" w:color="auto" w:fill="FFFFFF"/>
            <w:vAlign w:val="center"/>
          </w:tcPr>
          <w:p w14:paraId="3B7F8F1B"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27A1D9B3"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r>
      <w:tr w:rsidR="00CD755B" w:rsidRPr="00CF31E0" w14:paraId="2A6AA5FE" w14:textId="77777777" w:rsidTr="00CD755B">
        <w:trPr>
          <w:cantSplit/>
        </w:trPr>
        <w:tc>
          <w:tcPr>
            <w:tcW w:w="1736" w:type="dxa"/>
            <w:shd w:val="clear" w:color="auto" w:fill="FFFFFF"/>
          </w:tcPr>
          <w:p w14:paraId="5A8DFFAE"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149689AF" w14:textId="6C79D34E"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942.545</w:t>
            </w:r>
          </w:p>
        </w:tc>
        <w:tc>
          <w:tcPr>
            <w:tcW w:w="820" w:type="dxa"/>
            <w:shd w:val="clear" w:color="auto" w:fill="FFFFFF"/>
            <w:vAlign w:val="center"/>
          </w:tcPr>
          <w:p w14:paraId="6E2CBF62" w14:textId="3F0EF357" w:rsidR="00CD755B" w:rsidRPr="00CF31E0" w:rsidRDefault="005F0DEE"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45B71760"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1C08929F"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0FEDA1F3"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r>
    </w:tbl>
    <w:p w14:paraId="586EDC63" w14:textId="77777777" w:rsidR="007255CE" w:rsidRPr="00CF31E0" w:rsidRDefault="007255CE" w:rsidP="007255CE">
      <w:pPr>
        <w:rPr>
          <w:rFonts w:asciiTheme="majorBidi" w:hAnsiTheme="majorBidi" w:cstheme="majorBidi"/>
          <w:b/>
          <w:bCs/>
          <w:color w:val="000000" w:themeColor="text1"/>
        </w:rPr>
      </w:pPr>
    </w:p>
    <w:p w14:paraId="30099702" w14:textId="77777777" w:rsidR="007255CE" w:rsidRPr="00CF31E0" w:rsidRDefault="007255CE" w:rsidP="007255CE">
      <w:pPr>
        <w:rPr>
          <w:rFonts w:asciiTheme="majorBidi" w:hAnsiTheme="majorBidi" w:cstheme="majorBidi"/>
          <w:b/>
          <w:bCs/>
          <w:color w:val="000000" w:themeColor="text1"/>
        </w:rPr>
      </w:pPr>
    </w:p>
    <w:p w14:paraId="348AEBD6" w14:textId="77777777" w:rsidR="00674195" w:rsidRPr="00CF31E0" w:rsidRDefault="00674195" w:rsidP="007255CE">
      <w:pPr>
        <w:rPr>
          <w:rFonts w:asciiTheme="majorBidi" w:hAnsiTheme="majorBidi" w:cstheme="majorBidi"/>
          <w:b/>
          <w:bCs/>
          <w:color w:val="000000" w:themeColor="text1"/>
        </w:rPr>
      </w:pPr>
    </w:p>
    <w:p w14:paraId="72E5555B" w14:textId="77777777" w:rsidR="00674195" w:rsidRPr="00CF31E0" w:rsidRDefault="00674195" w:rsidP="007255CE">
      <w:pPr>
        <w:rPr>
          <w:rFonts w:asciiTheme="majorBidi" w:hAnsiTheme="majorBidi" w:cstheme="majorBidi"/>
          <w:b/>
          <w:bCs/>
          <w:color w:val="000000" w:themeColor="text1"/>
        </w:rPr>
      </w:pPr>
    </w:p>
    <w:p w14:paraId="6FCAC372" w14:textId="77777777" w:rsidR="00674195" w:rsidRPr="00CF31E0" w:rsidRDefault="00674195" w:rsidP="007255CE">
      <w:pPr>
        <w:rPr>
          <w:rFonts w:asciiTheme="majorBidi" w:hAnsiTheme="majorBidi" w:cstheme="majorBidi"/>
          <w:b/>
          <w:bCs/>
          <w:color w:val="000000" w:themeColor="text1"/>
        </w:rPr>
      </w:pPr>
    </w:p>
    <w:p w14:paraId="0BACAF9C" w14:textId="77777777" w:rsidR="00674195" w:rsidRPr="00CF31E0" w:rsidRDefault="00674195" w:rsidP="007255CE">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7255CE" w:rsidRPr="00CF31E0" w14:paraId="69842398" w14:textId="77777777" w:rsidTr="00CD755B">
        <w:trPr>
          <w:cantSplit/>
        </w:trPr>
        <w:tc>
          <w:tcPr>
            <w:tcW w:w="1736" w:type="dxa"/>
            <w:tcBorders>
              <w:top w:val="single" w:sz="8" w:space="0" w:color="auto"/>
              <w:bottom w:val="single" w:sz="6" w:space="0" w:color="auto"/>
            </w:tcBorders>
            <w:shd w:val="clear" w:color="auto" w:fill="FFFFFF"/>
            <w:vAlign w:val="bottom"/>
          </w:tcPr>
          <w:p w14:paraId="7AF307C8" w14:textId="06D4210C" w:rsidR="007255CE"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S</w:t>
            </w:r>
            <w:r w:rsidR="007255CE" w:rsidRPr="00CF31E0">
              <w:rPr>
                <w:rFonts w:eastAsia="Calibri" w:cs="Arial"/>
                <w:color w:val="000000" w:themeColor="text1"/>
                <w:sz w:val="22"/>
                <w:szCs w:val="22"/>
                <w:lang w:eastAsia="en-US"/>
              </w:rPr>
              <w:t>ocial group</w:t>
            </w:r>
          </w:p>
        </w:tc>
        <w:tc>
          <w:tcPr>
            <w:tcW w:w="1686" w:type="dxa"/>
            <w:tcBorders>
              <w:top w:val="single" w:sz="8" w:space="0" w:color="auto"/>
              <w:bottom w:val="single" w:sz="6" w:space="0" w:color="auto"/>
            </w:tcBorders>
            <w:shd w:val="clear" w:color="auto" w:fill="FFFFFF"/>
            <w:vAlign w:val="bottom"/>
          </w:tcPr>
          <w:p w14:paraId="587E7E9D"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07CC29BA"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3E696C22"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6D662A97"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037CE5AF" w14:textId="77777777" w:rsidR="007255CE" w:rsidRPr="00CF31E0" w:rsidRDefault="007255CE"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D755B" w:rsidRPr="00CF31E0" w14:paraId="035B0DAD" w14:textId="77777777" w:rsidTr="00CD755B">
        <w:trPr>
          <w:cantSplit/>
        </w:trPr>
        <w:tc>
          <w:tcPr>
            <w:tcW w:w="1736" w:type="dxa"/>
            <w:tcBorders>
              <w:top w:val="single" w:sz="6" w:space="0" w:color="auto"/>
              <w:bottom w:val="nil"/>
            </w:tcBorders>
            <w:shd w:val="clear" w:color="auto" w:fill="FFFFFF"/>
          </w:tcPr>
          <w:p w14:paraId="0D5660D4"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45CD59FD" w14:textId="2E5FABA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1.560</w:t>
            </w:r>
          </w:p>
        </w:tc>
        <w:tc>
          <w:tcPr>
            <w:tcW w:w="820" w:type="dxa"/>
            <w:tcBorders>
              <w:top w:val="single" w:sz="6" w:space="0" w:color="auto"/>
              <w:bottom w:val="nil"/>
            </w:tcBorders>
            <w:shd w:val="clear" w:color="auto" w:fill="FFFFFF"/>
            <w:vAlign w:val="center"/>
          </w:tcPr>
          <w:p w14:paraId="720228DB" w14:textId="319F680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57E6539E" w14:textId="3AFDD124"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1.560</w:t>
            </w:r>
          </w:p>
        </w:tc>
        <w:tc>
          <w:tcPr>
            <w:tcW w:w="1030" w:type="dxa"/>
            <w:tcBorders>
              <w:top w:val="single" w:sz="6" w:space="0" w:color="auto"/>
              <w:bottom w:val="nil"/>
            </w:tcBorders>
            <w:shd w:val="clear" w:color="auto" w:fill="FFFFFF"/>
            <w:vAlign w:val="center"/>
          </w:tcPr>
          <w:p w14:paraId="3A22AA31" w14:textId="46928AF6"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1.073</w:t>
            </w:r>
          </w:p>
        </w:tc>
        <w:tc>
          <w:tcPr>
            <w:tcW w:w="674" w:type="dxa"/>
            <w:tcBorders>
              <w:top w:val="single" w:sz="6" w:space="0" w:color="auto"/>
              <w:bottom w:val="nil"/>
            </w:tcBorders>
            <w:shd w:val="clear" w:color="auto" w:fill="FFFFFF"/>
            <w:vAlign w:val="center"/>
          </w:tcPr>
          <w:p w14:paraId="5EE7F2D0" w14:textId="6C331871"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.301</w:t>
            </w:r>
          </w:p>
        </w:tc>
      </w:tr>
      <w:tr w:rsidR="00CD755B" w:rsidRPr="00CF31E0" w14:paraId="57837ECA" w14:textId="77777777" w:rsidTr="00CD755B">
        <w:trPr>
          <w:cantSplit/>
        </w:trPr>
        <w:tc>
          <w:tcPr>
            <w:tcW w:w="1736" w:type="dxa"/>
            <w:tcBorders>
              <w:top w:val="nil"/>
            </w:tcBorders>
            <w:shd w:val="clear" w:color="auto" w:fill="FFFFFF"/>
          </w:tcPr>
          <w:p w14:paraId="57285FD7"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42F1AB93" w14:textId="77EDA0E5"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940.986</w:t>
            </w:r>
          </w:p>
        </w:tc>
        <w:tc>
          <w:tcPr>
            <w:tcW w:w="820" w:type="dxa"/>
            <w:tcBorders>
              <w:top w:val="nil"/>
            </w:tcBorders>
            <w:shd w:val="clear" w:color="auto" w:fill="FFFFFF"/>
            <w:vAlign w:val="center"/>
          </w:tcPr>
          <w:p w14:paraId="4C4FF287" w14:textId="79592B57" w:rsidR="00CD755B"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321813DD" w14:textId="509E1778"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1.454</w:t>
            </w:r>
          </w:p>
        </w:tc>
        <w:tc>
          <w:tcPr>
            <w:tcW w:w="1030" w:type="dxa"/>
            <w:tcBorders>
              <w:top w:val="nil"/>
            </w:tcBorders>
            <w:shd w:val="clear" w:color="auto" w:fill="FFFFFF"/>
            <w:vAlign w:val="center"/>
          </w:tcPr>
          <w:p w14:paraId="60BED18F"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137A57B5"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r>
      <w:tr w:rsidR="00CD755B" w:rsidRPr="00CF31E0" w14:paraId="73C4B540" w14:textId="77777777" w:rsidTr="00CD755B">
        <w:trPr>
          <w:cantSplit/>
        </w:trPr>
        <w:tc>
          <w:tcPr>
            <w:tcW w:w="1736" w:type="dxa"/>
            <w:shd w:val="clear" w:color="auto" w:fill="FFFFFF"/>
          </w:tcPr>
          <w:p w14:paraId="6AA3E286"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2C361209" w14:textId="358B3E2D"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942.545</w:t>
            </w:r>
          </w:p>
        </w:tc>
        <w:tc>
          <w:tcPr>
            <w:tcW w:w="820" w:type="dxa"/>
            <w:shd w:val="clear" w:color="auto" w:fill="FFFFFF"/>
            <w:vAlign w:val="center"/>
          </w:tcPr>
          <w:p w14:paraId="315EB791" w14:textId="02EC7130" w:rsidR="00CD755B"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19B4F66B"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4E5E17F3"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0AC99E25"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r>
    </w:tbl>
    <w:p w14:paraId="5C6A40D9" w14:textId="77777777" w:rsidR="007255CE" w:rsidRPr="00CF31E0" w:rsidRDefault="007255CE" w:rsidP="007255CE">
      <w:pPr>
        <w:rPr>
          <w:rFonts w:asciiTheme="majorBidi" w:hAnsiTheme="majorBidi" w:cstheme="majorBidi"/>
          <w:b/>
          <w:bCs/>
          <w:color w:val="000000" w:themeColor="text1"/>
        </w:rPr>
      </w:pPr>
    </w:p>
    <w:p w14:paraId="7346B48C" w14:textId="77777777" w:rsidR="007255CE" w:rsidRPr="00CF31E0" w:rsidRDefault="007255CE" w:rsidP="007255CE">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D755B" w:rsidRPr="00CF31E0" w14:paraId="2604BE0A" w14:textId="77777777" w:rsidTr="00CD755B">
        <w:trPr>
          <w:cantSplit/>
        </w:trPr>
        <w:tc>
          <w:tcPr>
            <w:tcW w:w="1736" w:type="dxa"/>
            <w:tcBorders>
              <w:top w:val="single" w:sz="8" w:space="0" w:color="auto"/>
              <w:bottom w:val="single" w:sz="6" w:space="0" w:color="auto"/>
            </w:tcBorders>
            <w:shd w:val="clear" w:color="auto" w:fill="FFFFFF"/>
            <w:vAlign w:val="bottom"/>
          </w:tcPr>
          <w:p w14:paraId="0AFFB70E" w14:textId="5A72B326"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Mother’s social group</w:t>
            </w:r>
          </w:p>
        </w:tc>
        <w:tc>
          <w:tcPr>
            <w:tcW w:w="1686" w:type="dxa"/>
            <w:tcBorders>
              <w:top w:val="single" w:sz="8" w:space="0" w:color="auto"/>
              <w:bottom w:val="single" w:sz="6" w:space="0" w:color="auto"/>
            </w:tcBorders>
            <w:shd w:val="clear" w:color="auto" w:fill="FFFFFF"/>
            <w:vAlign w:val="bottom"/>
          </w:tcPr>
          <w:p w14:paraId="0F1E47CA"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17B4D099"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0EB34A9D"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0F421206"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74BA315D"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D755B" w:rsidRPr="00CF31E0" w14:paraId="0815F63E" w14:textId="77777777" w:rsidTr="00CD755B">
        <w:trPr>
          <w:cantSplit/>
        </w:trPr>
        <w:tc>
          <w:tcPr>
            <w:tcW w:w="1736" w:type="dxa"/>
            <w:tcBorders>
              <w:top w:val="single" w:sz="6" w:space="0" w:color="auto"/>
              <w:bottom w:val="nil"/>
            </w:tcBorders>
            <w:shd w:val="clear" w:color="auto" w:fill="FFFFFF"/>
          </w:tcPr>
          <w:p w14:paraId="1EFB45D9"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28B362DC" w14:textId="0BB83A6E"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3.027</w:t>
            </w:r>
          </w:p>
        </w:tc>
        <w:tc>
          <w:tcPr>
            <w:tcW w:w="820" w:type="dxa"/>
            <w:tcBorders>
              <w:top w:val="single" w:sz="6" w:space="0" w:color="auto"/>
              <w:bottom w:val="nil"/>
            </w:tcBorders>
            <w:shd w:val="clear" w:color="auto" w:fill="FFFFFF"/>
            <w:vAlign w:val="center"/>
          </w:tcPr>
          <w:p w14:paraId="04E46146" w14:textId="4606B8E9"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w:t>
            </w:r>
          </w:p>
        </w:tc>
        <w:tc>
          <w:tcPr>
            <w:tcW w:w="1445" w:type="dxa"/>
            <w:tcBorders>
              <w:top w:val="single" w:sz="6" w:space="0" w:color="auto"/>
              <w:bottom w:val="nil"/>
            </w:tcBorders>
            <w:shd w:val="clear" w:color="auto" w:fill="FFFFFF"/>
            <w:vAlign w:val="center"/>
          </w:tcPr>
          <w:p w14:paraId="48747B9E" w14:textId="4D48405B"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1.513</w:t>
            </w:r>
          </w:p>
        </w:tc>
        <w:tc>
          <w:tcPr>
            <w:tcW w:w="1030" w:type="dxa"/>
            <w:tcBorders>
              <w:top w:val="single" w:sz="6" w:space="0" w:color="auto"/>
              <w:bottom w:val="nil"/>
            </w:tcBorders>
            <w:shd w:val="clear" w:color="auto" w:fill="FFFFFF"/>
            <w:vAlign w:val="center"/>
          </w:tcPr>
          <w:p w14:paraId="37B7374A" w14:textId="25A9A6D1"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1.040</w:t>
            </w:r>
          </w:p>
        </w:tc>
        <w:tc>
          <w:tcPr>
            <w:tcW w:w="674" w:type="dxa"/>
            <w:tcBorders>
              <w:top w:val="single" w:sz="6" w:space="0" w:color="auto"/>
              <w:bottom w:val="nil"/>
            </w:tcBorders>
            <w:shd w:val="clear" w:color="auto" w:fill="FFFFFF"/>
            <w:vAlign w:val="center"/>
          </w:tcPr>
          <w:p w14:paraId="0AD0D206" w14:textId="32090084"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.354</w:t>
            </w:r>
          </w:p>
        </w:tc>
      </w:tr>
      <w:tr w:rsidR="00CD755B" w:rsidRPr="00CF31E0" w14:paraId="382C3731" w14:textId="77777777" w:rsidTr="00CD755B">
        <w:trPr>
          <w:cantSplit/>
        </w:trPr>
        <w:tc>
          <w:tcPr>
            <w:tcW w:w="1736" w:type="dxa"/>
            <w:tcBorders>
              <w:top w:val="nil"/>
            </w:tcBorders>
            <w:shd w:val="clear" w:color="auto" w:fill="FFFFFF"/>
          </w:tcPr>
          <w:p w14:paraId="4D9455A1"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4EA5E8AA" w14:textId="3CA932A9"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938.848</w:t>
            </w:r>
          </w:p>
        </w:tc>
        <w:tc>
          <w:tcPr>
            <w:tcW w:w="820" w:type="dxa"/>
            <w:tcBorders>
              <w:top w:val="nil"/>
            </w:tcBorders>
            <w:shd w:val="clear" w:color="auto" w:fill="FFFFFF"/>
            <w:vAlign w:val="center"/>
          </w:tcPr>
          <w:p w14:paraId="4DDBA02B" w14:textId="0B228E7B" w:rsidR="00CD755B"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647</w:t>
            </w:r>
          </w:p>
        </w:tc>
        <w:tc>
          <w:tcPr>
            <w:tcW w:w="1445" w:type="dxa"/>
            <w:tcBorders>
              <w:top w:val="nil"/>
            </w:tcBorders>
            <w:shd w:val="clear" w:color="auto" w:fill="FFFFFF"/>
            <w:vAlign w:val="center"/>
          </w:tcPr>
          <w:p w14:paraId="7D9C665D" w14:textId="1F35806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1.456</w:t>
            </w:r>
          </w:p>
        </w:tc>
        <w:tc>
          <w:tcPr>
            <w:tcW w:w="1030" w:type="dxa"/>
            <w:tcBorders>
              <w:top w:val="nil"/>
            </w:tcBorders>
            <w:shd w:val="clear" w:color="auto" w:fill="FFFFFF"/>
            <w:vAlign w:val="center"/>
          </w:tcPr>
          <w:p w14:paraId="740FE855"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2150E9F6"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r>
      <w:tr w:rsidR="00CD755B" w:rsidRPr="00CF31E0" w14:paraId="654868BD" w14:textId="77777777" w:rsidTr="00CD755B">
        <w:trPr>
          <w:cantSplit/>
        </w:trPr>
        <w:tc>
          <w:tcPr>
            <w:tcW w:w="1736" w:type="dxa"/>
            <w:shd w:val="clear" w:color="auto" w:fill="FFFFFF"/>
          </w:tcPr>
          <w:p w14:paraId="134E2ED1"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3966BD80" w14:textId="23A70956"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941.875</w:t>
            </w:r>
          </w:p>
        </w:tc>
        <w:tc>
          <w:tcPr>
            <w:tcW w:w="820" w:type="dxa"/>
            <w:shd w:val="clear" w:color="auto" w:fill="FFFFFF"/>
            <w:vAlign w:val="center"/>
          </w:tcPr>
          <w:p w14:paraId="3580AC78" w14:textId="3D971FA0" w:rsidR="00CD755B"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246550AF"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5DD5224A"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54914D1E"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r>
    </w:tbl>
    <w:p w14:paraId="7A895864" w14:textId="77777777" w:rsidR="007255CE" w:rsidRPr="00CF31E0" w:rsidRDefault="007255CE" w:rsidP="007255CE">
      <w:pPr>
        <w:rPr>
          <w:rFonts w:asciiTheme="majorBidi" w:hAnsiTheme="majorBidi" w:cstheme="majorBidi"/>
          <w:b/>
          <w:bCs/>
          <w:color w:val="000000" w:themeColor="text1"/>
        </w:rPr>
      </w:pPr>
    </w:p>
    <w:p w14:paraId="0210E600" w14:textId="77777777" w:rsidR="007255CE" w:rsidRPr="00CF31E0" w:rsidRDefault="007255CE" w:rsidP="007255CE">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D755B" w:rsidRPr="00CF31E0" w14:paraId="513092A5" w14:textId="77777777" w:rsidTr="00CD755B">
        <w:trPr>
          <w:cantSplit/>
        </w:trPr>
        <w:tc>
          <w:tcPr>
            <w:tcW w:w="1736" w:type="dxa"/>
            <w:tcBorders>
              <w:top w:val="single" w:sz="8" w:space="0" w:color="auto"/>
              <w:bottom w:val="single" w:sz="6" w:space="0" w:color="auto"/>
            </w:tcBorders>
            <w:shd w:val="clear" w:color="auto" w:fill="FFFFFF"/>
            <w:vAlign w:val="bottom"/>
          </w:tcPr>
          <w:p w14:paraId="6733DD5B" w14:textId="58D473EC"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Spouse’s social group</w:t>
            </w:r>
          </w:p>
        </w:tc>
        <w:tc>
          <w:tcPr>
            <w:tcW w:w="1686" w:type="dxa"/>
            <w:tcBorders>
              <w:top w:val="single" w:sz="8" w:space="0" w:color="auto"/>
              <w:bottom w:val="single" w:sz="6" w:space="0" w:color="auto"/>
            </w:tcBorders>
            <w:shd w:val="clear" w:color="auto" w:fill="FFFFFF"/>
            <w:vAlign w:val="bottom"/>
          </w:tcPr>
          <w:p w14:paraId="4BBFD350"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191A6E8B"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260F931B"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3E8B26A9"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7B56EF8B"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D755B" w:rsidRPr="00CF31E0" w14:paraId="26F95CB3" w14:textId="77777777" w:rsidTr="00CD755B">
        <w:trPr>
          <w:cantSplit/>
        </w:trPr>
        <w:tc>
          <w:tcPr>
            <w:tcW w:w="1736" w:type="dxa"/>
            <w:tcBorders>
              <w:top w:val="single" w:sz="6" w:space="0" w:color="auto"/>
              <w:bottom w:val="nil"/>
            </w:tcBorders>
            <w:shd w:val="clear" w:color="auto" w:fill="FFFFFF"/>
          </w:tcPr>
          <w:p w14:paraId="4F76940A"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131A2425" w14:textId="1F754785"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4.084</w:t>
            </w:r>
          </w:p>
        </w:tc>
        <w:tc>
          <w:tcPr>
            <w:tcW w:w="820" w:type="dxa"/>
            <w:tcBorders>
              <w:top w:val="single" w:sz="6" w:space="0" w:color="auto"/>
              <w:bottom w:val="nil"/>
            </w:tcBorders>
            <w:shd w:val="clear" w:color="auto" w:fill="FFFFFF"/>
            <w:vAlign w:val="center"/>
          </w:tcPr>
          <w:p w14:paraId="6CE9511E" w14:textId="1037903D"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w:t>
            </w:r>
          </w:p>
        </w:tc>
        <w:tc>
          <w:tcPr>
            <w:tcW w:w="1445" w:type="dxa"/>
            <w:tcBorders>
              <w:top w:val="single" w:sz="6" w:space="0" w:color="auto"/>
              <w:bottom w:val="nil"/>
            </w:tcBorders>
            <w:shd w:val="clear" w:color="auto" w:fill="FFFFFF"/>
            <w:vAlign w:val="center"/>
          </w:tcPr>
          <w:p w14:paraId="4DD9D625" w14:textId="630511D5"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1.021</w:t>
            </w:r>
          </w:p>
        </w:tc>
        <w:tc>
          <w:tcPr>
            <w:tcW w:w="1030" w:type="dxa"/>
            <w:tcBorders>
              <w:top w:val="single" w:sz="6" w:space="0" w:color="auto"/>
              <w:bottom w:val="nil"/>
            </w:tcBorders>
            <w:shd w:val="clear" w:color="auto" w:fill="FFFFFF"/>
            <w:vAlign w:val="center"/>
          </w:tcPr>
          <w:p w14:paraId="38F93903" w14:textId="4B299F7F"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.706</w:t>
            </w:r>
          </w:p>
        </w:tc>
        <w:tc>
          <w:tcPr>
            <w:tcW w:w="674" w:type="dxa"/>
            <w:tcBorders>
              <w:top w:val="single" w:sz="6" w:space="0" w:color="auto"/>
              <w:bottom w:val="nil"/>
            </w:tcBorders>
            <w:shd w:val="clear" w:color="auto" w:fill="FFFFFF"/>
            <w:vAlign w:val="center"/>
          </w:tcPr>
          <w:p w14:paraId="4C0CED53" w14:textId="1373F782"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.588</w:t>
            </w:r>
          </w:p>
        </w:tc>
      </w:tr>
      <w:tr w:rsidR="00CD755B" w:rsidRPr="00CF31E0" w14:paraId="0DCCF0B4" w14:textId="77777777" w:rsidTr="00CD755B">
        <w:trPr>
          <w:cantSplit/>
        </w:trPr>
        <w:tc>
          <w:tcPr>
            <w:tcW w:w="1736" w:type="dxa"/>
            <w:tcBorders>
              <w:top w:val="nil"/>
            </w:tcBorders>
            <w:shd w:val="clear" w:color="auto" w:fill="FFFFFF"/>
          </w:tcPr>
          <w:p w14:paraId="476606CF"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30200D7D" w14:textId="6A9B5E79"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925.591</w:t>
            </w:r>
          </w:p>
        </w:tc>
        <w:tc>
          <w:tcPr>
            <w:tcW w:w="820" w:type="dxa"/>
            <w:tcBorders>
              <w:top w:val="nil"/>
            </w:tcBorders>
            <w:shd w:val="clear" w:color="auto" w:fill="FFFFFF"/>
            <w:vAlign w:val="center"/>
          </w:tcPr>
          <w:p w14:paraId="58B24987" w14:textId="555A2690" w:rsidR="00CD755B"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645</w:t>
            </w:r>
          </w:p>
        </w:tc>
        <w:tc>
          <w:tcPr>
            <w:tcW w:w="1445" w:type="dxa"/>
            <w:tcBorders>
              <w:top w:val="nil"/>
            </w:tcBorders>
            <w:shd w:val="clear" w:color="auto" w:fill="FFFFFF"/>
            <w:vAlign w:val="center"/>
          </w:tcPr>
          <w:p w14:paraId="4ABBA712" w14:textId="77220BEB"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1.446</w:t>
            </w:r>
          </w:p>
        </w:tc>
        <w:tc>
          <w:tcPr>
            <w:tcW w:w="1030" w:type="dxa"/>
            <w:tcBorders>
              <w:top w:val="nil"/>
            </w:tcBorders>
            <w:shd w:val="clear" w:color="auto" w:fill="FFFFFF"/>
            <w:vAlign w:val="center"/>
          </w:tcPr>
          <w:p w14:paraId="1C052E04"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0DC30614"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r>
      <w:tr w:rsidR="00CD755B" w:rsidRPr="00CF31E0" w14:paraId="76241F9C" w14:textId="77777777" w:rsidTr="00CD755B">
        <w:trPr>
          <w:cantSplit/>
        </w:trPr>
        <w:tc>
          <w:tcPr>
            <w:tcW w:w="1736" w:type="dxa"/>
            <w:shd w:val="clear" w:color="auto" w:fill="FFFFFF"/>
          </w:tcPr>
          <w:p w14:paraId="0A3AEF27"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11F562C5" w14:textId="03A7C2CB"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929.674</w:t>
            </w:r>
          </w:p>
        </w:tc>
        <w:tc>
          <w:tcPr>
            <w:tcW w:w="820" w:type="dxa"/>
            <w:shd w:val="clear" w:color="auto" w:fill="FFFFFF"/>
            <w:vAlign w:val="center"/>
          </w:tcPr>
          <w:p w14:paraId="0DDACA81" w14:textId="366FB336" w:rsidR="00CD755B"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1D976D6A"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554D37F9"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0E693BB4"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r>
    </w:tbl>
    <w:p w14:paraId="5D54303E" w14:textId="77777777" w:rsidR="007255CE" w:rsidRPr="00CF31E0" w:rsidRDefault="007255CE" w:rsidP="007255CE">
      <w:pPr>
        <w:rPr>
          <w:rFonts w:asciiTheme="majorBidi" w:hAnsiTheme="majorBidi" w:cstheme="majorBidi"/>
          <w:b/>
          <w:bCs/>
          <w:color w:val="000000" w:themeColor="text1"/>
        </w:rPr>
      </w:pPr>
    </w:p>
    <w:p w14:paraId="01CB94BE" w14:textId="77777777" w:rsidR="007255CE" w:rsidRPr="00CF31E0" w:rsidRDefault="007255CE" w:rsidP="007255CE">
      <w:pPr>
        <w:rPr>
          <w:rFonts w:asciiTheme="majorBidi" w:hAnsiTheme="majorBidi" w:cstheme="majorBidi"/>
          <w:b/>
          <w:bCs/>
          <w:color w:val="000000" w:themeColor="text1"/>
        </w:rPr>
      </w:pPr>
    </w:p>
    <w:p w14:paraId="34190E84" w14:textId="77777777" w:rsidR="00C15345" w:rsidRPr="00CF31E0" w:rsidRDefault="00C15345" w:rsidP="00C15345">
      <w:pPr>
        <w:pStyle w:val="ListParagraph"/>
        <w:numPr>
          <w:ilvl w:val="0"/>
          <w:numId w:val="71"/>
        </w:numPr>
        <w:rPr>
          <w:rFonts w:asciiTheme="majorBidi" w:hAnsiTheme="majorBidi" w:cstheme="majorBidi"/>
          <w:b/>
          <w:bCs/>
          <w:color w:val="000000" w:themeColor="text1"/>
          <w:sz w:val="28"/>
          <w:szCs w:val="28"/>
        </w:rPr>
      </w:pPr>
      <w:r w:rsidRPr="00CF31E0">
        <w:rPr>
          <w:rFonts w:asciiTheme="majorBidi" w:hAnsiTheme="majorBidi" w:cstheme="majorBidi"/>
          <w:b/>
          <w:bCs/>
          <w:color w:val="000000" w:themeColor="text1"/>
          <w:sz w:val="28"/>
          <w:szCs w:val="28"/>
        </w:rPr>
        <w:t>Traditional scale</w:t>
      </w:r>
    </w:p>
    <w:p w14:paraId="404E9ED7" w14:textId="77777777" w:rsidR="00C15345" w:rsidRPr="00CF31E0" w:rsidRDefault="00C15345" w:rsidP="00C15345">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15345" w:rsidRPr="00CF31E0" w14:paraId="145BB86B" w14:textId="77777777" w:rsidTr="00661DC9">
        <w:trPr>
          <w:cantSplit/>
        </w:trPr>
        <w:tc>
          <w:tcPr>
            <w:tcW w:w="1736" w:type="dxa"/>
            <w:tcBorders>
              <w:top w:val="single" w:sz="8" w:space="0" w:color="auto"/>
              <w:bottom w:val="single" w:sz="6" w:space="0" w:color="auto"/>
            </w:tcBorders>
            <w:shd w:val="clear" w:color="auto" w:fill="FFFFFF"/>
            <w:vAlign w:val="bottom"/>
          </w:tcPr>
          <w:p w14:paraId="1730FCAC" w14:textId="02ECCC9B" w:rsidR="00C15345"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Age</w:t>
            </w:r>
          </w:p>
        </w:tc>
        <w:tc>
          <w:tcPr>
            <w:tcW w:w="1686" w:type="dxa"/>
            <w:tcBorders>
              <w:top w:val="single" w:sz="8" w:space="0" w:color="auto"/>
              <w:bottom w:val="single" w:sz="6" w:space="0" w:color="auto"/>
            </w:tcBorders>
            <w:shd w:val="clear" w:color="auto" w:fill="FFFFFF"/>
            <w:vAlign w:val="bottom"/>
          </w:tcPr>
          <w:p w14:paraId="4D5A170B"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1432E28E"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7F2A2817"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0F50F7A4"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3038F6AB"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D755B" w:rsidRPr="00CF31E0" w14:paraId="4D566DF5" w14:textId="77777777" w:rsidTr="00661DC9">
        <w:trPr>
          <w:cantSplit/>
        </w:trPr>
        <w:tc>
          <w:tcPr>
            <w:tcW w:w="1736" w:type="dxa"/>
            <w:tcBorders>
              <w:top w:val="single" w:sz="6" w:space="0" w:color="auto"/>
              <w:bottom w:val="nil"/>
            </w:tcBorders>
            <w:shd w:val="clear" w:color="auto" w:fill="FFFFFF"/>
          </w:tcPr>
          <w:p w14:paraId="1DBEA07D" w14:textId="77777777" w:rsidR="00CD755B"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351F970E" w14:textId="7EAA798B"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11.185</w:t>
            </w:r>
          </w:p>
        </w:tc>
        <w:tc>
          <w:tcPr>
            <w:tcW w:w="820" w:type="dxa"/>
            <w:tcBorders>
              <w:top w:val="single" w:sz="6" w:space="0" w:color="auto"/>
              <w:bottom w:val="nil"/>
            </w:tcBorders>
            <w:shd w:val="clear" w:color="auto" w:fill="FFFFFF"/>
            <w:vAlign w:val="center"/>
          </w:tcPr>
          <w:p w14:paraId="17F2BE0B" w14:textId="120C2A4B"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w:t>
            </w:r>
          </w:p>
        </w:tc>
        <w:tc>
          <w:tcPr>
            <w:tcW w:w="1445" w:type="dxa"/>
            <w:tcBorders>
              <w:top w:val="single" w:sz="6" w:space="0" w:color="auto"/>
              <w:bottom w:val="nil"/>
            </w:tcBorders>
            <w:shd w:val="clear" w:color="auto" w:fill="FFFFFF"/>
            <w:vAlign w:val="center"/>
          </w:tcPr>
          <w:p w14:paraId="56716A2F" w14:textId="007F0D0D"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2.237</w:t>
            </w:r>
          </w:p>
        </w:tc>
        <w:tc>
          <w:tcPr>
            <w:tcW w:w="1030" w:type="dxa"/>
            <w:tcBorders>
              <w:top w:val="single" w:sz="6" w:space="0" w:color="auto"/>
              <w:bottom w:val="nil"/>
            </w:tcBorders>
            <w:shd w:val="clear" w:color="auto" w:fill="FFFFFF"/>
            <w:vAlign w:val="center"/>
          </w:tcPr>
          <w:p w14:paraId="58038422" w14:textId="7ED53FAA"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1.909</w:t>
            </w:r>
          </w:p>
        </w:tc>
        <w:tc>
          <w:tcPr>
            <w:tcW w:w="674" w:type="dxa"/>
            <w:tcBorders>
              <w:top w:val="single" w:sz="6" w:space="0" w:color="auto"/>
              <w:bottom w:val="nil"/>
            </w:tcBorders>
            <w:shd w:val="clear" w:color="auto" w:fill="FFFFFF"/>
            <w:vAlign w:val="center"/>
          </w:tcPr>
          <w:p w14:paraId="19F0FE3F" w14:textId="321D8192"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.091</w:t>
            </w:r>
          </w:p>
        </w:tc>
      </w:tr>
      <w:tr w:rsidR="00CD755B" w:rsidRPr="00CF31E0" w14:paraId="0504B26E" w14:textId="77777777" w:rsidTr="00661DC9">
        <w:trPr>
          <w:cantSplit/>
        </w:trPr>
        <w:tc>
          <w:tcPr>
            <w:tcW w:w="1736" w:type="dxa"/>
            <w:tcBorders>
              <w:top w:val="nil"/>
            </w:tcBorders>
            <w:shd w:val="clear" w:color="auto" w:fill="FFFFFF"/>
          </w:tcPr>
          <w:p w14:paraId="07C53D41" w14:textId="77777777" w:rsidR="00CD755B"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34CB93A5" w14:textId="7CC15C13"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751.343</w:t>
            </w:r>
          </w:p>
        </w:tc>
        <w:tc>
          <w:tcPr>
            <w:tcW w:w="820" w:type="dxa"/>
            <w:tcBorders>
              <w:top w:val="nil"/>
            </w:tcBorders>
            <w:shd w:val="clear" w:color="auto" w:fill="FFFFFF"/>
            <w:vAlign w:val="center"/>
          </w:tcPr>
          <w:p w14:paraId="00EC0127" w14:textId="0D591933" w:rsidR="00CD755B" w:rsidRPr="00CF31E0" w:rsidRDefault="00BC3BC3"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644</w:t>
            </w:r>
          </w:p>
        </w:tc>
        <w:tc>
          <w:tcPr>
            <w:tcW w:w="1445" w:type="dxa"/>
            <w:tcBorders>
              <w:top w:val="nil"/>
            </w:tcBorders>
            <w:shd w:val="clear" w:color="auto" w:fill="FFFFFF"/>
            <w:vAlign w:val="center"/>
          </w:tcPr>
          <w:p w14:paraId="78F4F155" w14:textId="4545F86D"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1.172</w:t>
            </w:r>
          </w:p>
        </w:tc>
        <w:tc>
          <w:tcPr>
            <w:tcW w:w="1030" w:type="dxa"/>
            <w:tcBorders>
              <w:top w:val="nil"/>
            </w:tcBorders>
            <w:shd w:val="clear" w:color="auto" w:fill="FFFFFF"/>
            <w:vAlign w:val="center"/>
          </w:tcPr>
          <w:p w14:paraId="67DB449C"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61E40E47"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r>
      <w:tr w:rsidR="00CD755B" w:rsidRPr="00CF31E0" w14:paraId="307AE386" w14:textId="77777777" w:rsidTr="00661DC9">
        <w:trPr>
          <w:cantSplit/>
        </w:trPr>
        <w:tc>
          <w:tcPr>
            <w:tcW w:w="1736" w:type="dxa"/>
            <w:shd w:val="clear" w:color="auto" w:fill="FFFFFF"/>
          </w:tcPr>
          <w:p w14:paraId="203DEA5F" w14:textId="77777777" w:rsidR="00CD755B"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02551223" w14:textId="5F2674EF"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762.529</w:t>
            </w:r>
          </w:p>
        </w:tc>
        <w:tc>
          <w:tcPr>
            <w:tcW w:w="820" w:type="dxa"/>
            <w:shd w:val="clear" w:color="auto" w:fill="FFFFFF"/>
            <w:vAlign w:val="center"/>
          </w:tcPr>
          <w:p w14:paraId="14A5711B" w14:textId="5E274556" w:rsidR="00CD755B" w:rsidRPr="00CF31E0" w:rsidRDefault="00BC3BC3"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29F0C89E"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154D1B89"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4A260AD8"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r>
    </w:tbl>
    <w:p w14:paraId="75776A76" w14:textId="77777777" w:rsidR="00C15345" w:rsidRPr="00CF31E0" w:rsidRDefault="00C15345" w:rsidP="00C15345">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15345" w:rsidRPr="00CF31E0" w14:paraId="3A826078" w14:textId="77777777" w:rsidTr="00661DC9">
        <w:trPr>
          <w:cantSplit/>
        </w:trPr>
        <w:tc>
          <w:tcPr>
            <w:tcW w:w="1736" w:type="dxa"/>
            <w:tcBorders>
              <w:top w:val="single" w:sz="8" w:space="0" w:color="auto"/>
              <w:bottom w:val="single" w:sz="6" w:space="0" w:color="auto"/>
            </w:tcBorders>
            <w:shd w:val="clear" w:color="auto" w:fill="FFFFFF"/>
            <w:vAlign w:val="bottom"/>
          </w:tcPr>
          <w:p w14:paraId="013C2875" w14:textId="77777777" w:rsidR="00C15345" w:rsidRPr="00CF31E0" w:rsidRDefault="00C15345"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Place of birth</w:t>
            </w:r>
          </w:p>
        </w:tc>
        <w:tc>
          <w:tcPr>
            <w:tcW w:w="1686" w:type="dxa"/>
            <w:tcBorders>
              <w:top w:val="single" w:sz="8" w:space="0" w:color="auto"/>
              <w:bottom w:val="single" w:sz="6" w:space="0" w:color="auto"/>
            </w:tcBorders>
            <w:shd w:val="clear" w:color="auto" w:fill="FFFFFF"/>
            <w:vAlign w:val="bottom"/>
          </w:tcPr>
          <w:p w14:paraId="7BE8C014"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2B1DCC95"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313E452C"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3CF0890B"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72C63F96"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D755B" w:rsidRPr="00CF31E0" w14:paraId="15CFC92A" w14:textId="77777777" w:rsidTr="00661DC9">
        <w:trPr>
          <w:cantSplit/>
        </w:trPr>
        <w:tc>
          <w:tcPr>
            <w:tcW w:w="1736" w:type="dxa"/>
            <w:tcBorders>
              <w:top w:val="single" w:sz="6" w:space="0" w:color="auto"/>
              <w:bottom w:val="nil"/>
            </w:tcBorders>
            <w:shd w:val="clear" w:color="auto" w:fill="FFFFFF"/>
          </w:tcPr>
          <w:p w14:paraId="36BBA28D" w14:textId="77777777" w:rsidR="00CD755B"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5757D596" w14:textId="035A61D8"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.692</w:t>
            </w:r>
          </w:p>
        </w:tc>
        <w:tc>
          <w:tcPr>
            <w:tcW w:w="820" w:type="dxa"/>
            <w:tcBorders>
              <w:top w:val="single" w:sz="6" w:space="0" w:color="auto"/>
              <w:bottom w:val="nil"/>
            </w:tcBorders>
            <w:shd w:val="clear" w:color="auto" w:fill="FFFFFF"/>
            <w:vAlign w:val="center"/>
          </w:tcPr>
          <w:p w14:paraId="5FA9B794" w14:textId="636A8573"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0CF48BAD" w14:textId="5CBB2DC6"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.692</w:t>
            </w:r>
          </w:p>
        </w:tc>
        <w:tc>
          <w:tcPr>
            <w:tcW w:w="1030" w:type="dxa"/>
            <w:tcBorders>
              <w:top w:val="single" w:sz="6" w:space="0" w:color="auto"/>
              <w:bottom w:val="nil"/>
            </w:tcBorders>
            <w:shd w:val="clear" w:color="auto" w:fill="FFFFFF"/>
            <w:vAlign w:val="center"/>
          </w:tcPr>
          <w:p w14:paraId="1C9F1656" w14:textId="5B7E7DC1"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.588</w:t>
            </w:r>
          </w:p>
        </w:tc>
        <w:tc>
          <w:tcPr>
            <w:tcW w:w="674" w:type="dxa"/>
            <w:tcBorders>
              <w:top w:val="single" w:sz="6" w:space="0" w:color="auto"/>
              <w:bottom w:val="nil"/>
            </w:tcBorders>
            <w:shd w:val="clear" w:color="auto" w:fill="FFFFFF"/>
            <w:vAlign w:val="center"/>
          </w:tcPr>
          <w:p w14:paraId="1E289458" w14:textId="2A9C3CA3"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.444</w:t>
            </w:r>
          </w:p>
        </w:tc>
      </w:tr>
      <w:tr w:rsidR="00CD755B" w:rsidRPr="00CF31E0" w14:paraId="25330F28" w14:textId="77777777" w:rsidTr="00661DC9">
        <w:trPr>
          <w:cantSplit/>
        </w:trPr>
        <w:tc>
          <w:tcPr>
            <w:tcW w:w="1736" w:type="dxa"/>
            <w:tcBorders>
              <w:top w:val="nil"/>
            </w:tcBorders>
            <w:shd w:val="clear" w:color="auto" w:fill="FFFFFF"/>
          </w:tcPr>
          <w:p w14:paraId="5F6517E3" w14:textId="77777777" w:rsidR="00CD755B"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4452522E" w14:textId="111AD1C3"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762.001</w:t>
            </w:r>
          </w:p>
        </w:tc>
        <w:tc>
          <w:tcPr>
            <w:tcW w:w="820" w:type="dxa"/>
            <w:tcBorders>
              <w:top w:val="nil"/>
            </w:tcBorders>
            <w:shd w:val="clear" w:color="auto" w:fill="FFFFFF"/>
            <w:vAlign w:val="center"/>
          </w:tcPr>
          <w:p w14:paraId="25278C13" w14:textId="24D03BDF" w:rsidR="00CD755B" w:rsidRPr="00CF31E0" w:rsidRDefault="00BC3BC3"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793574D0" w14:textId="7E92E0F6"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1.178</w:t>
            </w:r>
          </w:p>
        </w:tc>
        <w:tc>
          <w:tcPr>
            <w:tcW w:w="1030" w:type="dxa"/>
            <w:tcBorders>
              <w:top w:val="nil"/>
            </w:tcBorders>
            <w:shd w:val="clear" w:color="auto" w:fill="FFFFFF"/>
            <w:vAlign w:val="center"/>
          </w:tcPr>
          <w:p w14:paraId="12CF4D72"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35DAC7E3"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r>
      <w:tr w:rsidR="00CD755B" w:rsidRPr="00CF31E0" w14:paraId="0182E4A5" w14:textId="77777777" w:rsidTr="00661DC9">
        <w:trPr>
          <w:cantSplit/>
        </w:trPr>
        <w:tc>
          <w:tcPr>
            <w:tcW w:w="1736" w:type="dxa"/>
            <w:shd w:val="clear" w:color="auto" w:fill="FFFFFF"/>
          </w:tcPr>
          <w:p w14:paraId="32D93425" w14:textId="77777777" w:rsidR="00CD755B"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51B23546" w14:textId="54CE0FA1"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762.693</w:t>
            </w:r>
          </w:p>
        </w:tc>
        <w:tc>
          <w:tcPr>
            <w:tcW w:w="820" w:type="dxa"/>
            <w:shd w:val="clear" w:color="auto" w:fill="FFFFFF"/>
            <w:vAlign w:val="center"/>
          </w:tcPr>
          <w:p w14:paraId="3CB2A35C" w14:textId="3025F4C9" w:rsidR="00CD755B" w:rsidRPr="00CF31E0" w:rsidRDefault="00BC3BC3"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2C31CD99"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0DA943DF"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319D7AF5"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r>
    </w:tbl>
    <w:p w14:paraId="158A470A" w14:textId="77777777" w:rsidR="00C15345" w:rsidRPr="00CF31E0" w:rsidRDefault="00C15345" w:rsidP="00C15345">
      <w:pPr>
        <w:rPr>
          <w:rFonts w:asciiTheme="majorBidi" w:hAnsiTheme="majorBidi" w:cstheme="majorBidi"/>
          <w:b/>
          <w:bCs/>
          <w:color w:val="000000" w:themeColor="text1"/>
        </w:rPr>
      </w:pPr>
    </w:p>
    <w:p w14:paraId="74D40DD7" w14:textId="77777777" w:rsidR="00C15345" w:rsidRPr="00CF31E0" w:rsidRDefault="00C15345" w:rsidP="00C15345">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15345" w:rsidRPr="00CF31E0" w14:paraId="68BEDCB7" w14:textId="77777777" w:rsidTr="00661DC9">
        <w:trPr>
          <w:cantSplit/>
        </w:trPr>
        <w:tc>
          <w:tcPr>
            <w:tcW w:w="1736" w:type="dxa"/>
            <w:tcBorders>
              <w:top w:val="single" w:sz="8" w:space="0" w:color="auto"/>
              <w:bottom w:val="single" w:sz="6" w:space="0" w:color="auto"/>
            </w:tcBorders>
            <w:shd w:val="clear" w:color="auto" w:fill="FFFFFF"/>
            <w:vAlign w:val="bottom"/>
          </w:tcPr>
          <w:p w14:paraId="0623FA31" w14:textId="77777777" w:rsidR="00C15345" w:rsidRPr="00CF31E0" w:rsidRDefault="00C15345"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Places lived</w:t>
            </w:r>
          </w:p>
        </w:tc>
        <w:tc>
          <w:tcPr>
            <w:tcW w:w="1686" w:type="dxa"/>
            <w:tcBorders>
              <w:top w:val="single" w:sz="8" w:space="0" w:color="auto"/>
              <w:bottom w:val="single" w:sz="6" w:space="0" w:color="auto"/>
            </w:tcBorders>
            <w:shd w:val="clear" w:color="auto" w:fill="FFFFFF"/>
            <w:vAlign w:val="bottom"/>
          </w:tcPr>
          <w:p w14:paraId="2D41D616"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51BECAE1"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F79FF1E"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263CF286"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0B30C33E"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D755B" w:rsidRPr="00CF31E0" w14:paraId="08A1397D" w14:textId="77777777" w:rsidTr="00661DC9">
        <w:trPr>
          <w:cantSplit/>
        </w:trPr>
        <w:tc>
          <w:tcPr>
            <w:tcW w:w="1736" w:type="dxa"/>
            <w:tcBorders>
              <w:top w:val="single" w:sz="6" w:space="0" w:color="auto"/>
              <w:bottom w:val="nil"/>
            </w:tcBorders>
            <w:shd w:val="clear" w:color="auto" w:fill="FFFFFF"/>
          </w:tcPr>
          <w:p w14:paraId="7D264559" w14:textId="77777777" w:rsidR="00CD755B"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403F649D" w14:textId="6D7A0115"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.239</w:t>
            </w:r>
          </w:p>
        </w:tc>
        <w:tc>
          <w:tcPr>
            <w:tcW w:w="820" w:type="dxa"/>
            <w:tcBorders>
              <w:top w:val="single" w:sz="6" w:space="0" w:color="auto"/>
              <w:bottom w:val="nil"/>
            </w:tcBorders>
            <w:shd w:val="clear" w:color="auto" w:fill="FFFFFF"/>
            <w:vAlign w:val="center"/>
          </w:tcPr>
          <w:p w14:paraId="5B03A97C" w14:textId="1BB6DB10"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3689DAB5" w14:textId="56625B58"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.239</w:t>
            </w:r>
          </w:p>
        </w:tc>
        <w:tc>
          <w:tcPr>
            <w:tcW w:w="1030" w:type="dxa"/>
            <w:tcBorders>
              <w:top w:val="single" w:sz="6" w:space="0" w:color="auto"/>
              <w:bottom w:val="nil"/>
            </w:tcBorders>
            <w:shd w:val="clear" w:color="auto" w:fill="FFFFFF"/>
            <w:vAlign w:val="center"/>
          </w:tcPr>
          <w:p w14:paraId="6198115E" w14:textId="2881B64D"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.202</w:t>
            </w:r>
          </w:p>
        </w:tc>
        <w:tc>
          <w:tcPr>
            <w:tcW w:w="674" w:type="dxa"/>
            <w:tcBorders>
              <w:top w:val="single" w:sz="6" w:space="0" w:color="auto"/>
              <w:bottom w:val="nil"/>
            </w:tcBorders>
            <w:shd w:val="clear" w:color="auto" w:fill="FFFFFF"/>
            <w:vAlign w:val="center"/>
          </w:tcPr>
          <w:p w14:paraId="21DF2528" w14:textId="6A82F62B"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.653</w:t>
            </w:r>
          </w:p>
        </w:tc>
      </w:tr>
      <w:tr w:rsidR="00CD755B" w:rsidRPr="00CF31E0" w14:paraId="12544F81" w14:textId="77777777" w:rsidTr="00661DC9">
        <w:trPr>
          <w:cantSplit/>
        </w:trPr>
        <w:tc>
          <w:tcPr>
            <w:tcW w:w="1736" w:type="dxa"/>
            <w:tcBorders>
              <w:top w:val="nil"/>
            </w:tcBorders>
            <w:shd w:val="clear" w:color="auto" w:fill="FFFFFF"/>
          </w:tcPr>
          <w:p w14:paraId="2C272E9A" w14:textId="77777777" w:rsidR="00CD755B"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76339AA4" w14:textId="29CD98DE"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750.779</w:t>
            </w:r>
          </w:p>
        </w:tc>
        <w:tc>
          <w:tcPr>
            <w:tcW w:w="820" w:type="dxa"/>
            <w:tcBorders>
              <w:top w:val="nil"/>
            </w:tcBorders>
            <w:shd w:val="clear" w:color="auto" w:fill="FFFFFF"/>
            <w:vAlign w:val="center"/>
          </w:tcPr>
          <w:p w14:paraId="34C07778" w14:textId="2CE88781" w:rsidR="00CD755B" w:rsidRPr="00CF31E0" w:rsidRDefault="00BC3BC3"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56B41407" w14:textId="7EED03E7"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1.179</w:t>
            </w:r>
          </w:p>
        </w:tc>
        <w:tc>
          <w:tcPr>
            <w:tcW w:w="1030" w:type="dxa"/>
            <w:tcBorders>
              <w:top w:val="nil"/>
            </w:tcBorders>
            <w:shd w:val="clear" w:color="auto" w:fill="FFFFFF"/>
            <w:vAlign w:val="center"/>
          </w:tcPr>
          <w:p w14:paraId="55713DCA"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745C41C6"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r>
      <w:tr w:rsidR="00CD755B" w:rsidRPr="00CF31E0" w14:paraId="50128DF4" w14:textId="77777777" w:rsidTr="00661DC9">
        <w:trPr>
          <w:cantSplit/>
        </w:trPr>
        <w:tc>
          <w:tcPr>
            <w:tcW w:w="1736" w:type="dxa"/>
            <w:shd w:val="clear" w:color="auto" w:fill="FFFFFF"/>
          </w:tcPr>
          <w:p w14:paraId="477AC408" w14:textId="77777777" w:rsidR="00CD755B"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BBF3B46" w14:textId="6C70DFD2"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751.017</w:t>
            </w:r>
          </w:p>
        </w:tc>
        <w:tc>
          <w:tcPr>
            <w:tcW w:w="820" w:type="dxa"/>
            <w:shd w:val="clear" w:color="auto" w:fill="FFFFFF"/>
            <w:vAlign w:val="center"/>
          </w:tcPr>
          <w:p w14:paraId="0251DA81" w14:textId="39CC929F" w:rsidR="00CD755B" w:rsidRPr="00CF31E0" w:rsidRDefault="00BC3BC3"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193833D3"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1C28D889"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6607B0B2"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r>
    </w:tbl>
    <w:p w14:paraId="72DCBC0E" w14:textId="77777777" w:rsidR="00C15345" w:rsidRPr="00CF31E0" w:rsidRDefault="00C15345" w:rsidP="00C15345">
      <w:pPr>
        <w:rPr>
          <w:rFonts w:asciiTheme="majorBidi" w:hAnsiTheme="majorBidi" w:cstheme="majorBidi"/>
          <w:b/>
          <w:bCs/>
          <w:color w:val="000000" w:themeColor="text1"/>
        </w:rPr>
      </w:pPr>
    </w:p>
    <w:p w14:paraId="19274CF0" w14:textId="77777777" w:rsidR="00C15345" w:rsidRPr="00CF31E0" w:rsidRDefault="00C15345" w:rsidP="00C15345">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2"/>
        <w:gridCol w:w="1443"/>
        <w:gridCol w:w="1030"/>
        <w:gridCol w:w="674"/>
      </w:tblGrid>
      <w:tr w:rsidR="00C15345" w:rsidRPr="00CF31E0" w14:paraId="4686CA78" w14:textId="77777777" w:rsidTr="00BC3BC3">
        <w:trPr>
          <w:cantSplit/>
        </w:trPr>
        <w:tc>
          <w:tcPr>
            <w:tcW w:w="1736" w:type="dxa"/>
            <w:tcBorders>
              <w:top w:val="single" w:sz="8" w:space="0" w:color="auto"/>
              <w:bottom w:val="single" w:sz="6" w:space="0" w:color="auto"/>
            </w:tcBorders>
            <w:shd w:val="clear" w:color="auto" w:fill="FFFFFF"/>
            <w:vAlign w:val="bottom"/>
          </w:tcPr>
          <w:p w14:paraId="13BF6397" w14:textId="77777777" w:rsidR="00C15345" w:rsidRPr="00CF31E0" w:rsidRDefault="00C15345"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Marital status</w:t>
            </w:r>
          </w:p>
        </w:tc>
        <w:tc>
          <w:tcPr>
            <w:tcW w:w="1686" w:type="dxa"/>
            <w:tcBorders>
              <w:top w:val="single" w:sz="8" w:space="0" w:color="auto"/>
              <w:bottom w:val="single" w:sz="6" w:space="0" w:color="auto"/>
            </w:tcBorders>
            <w:shd w:val="clear" w:color="auto" w:fill="FFFFFF"/>
            <w:vAlign w:val="bottom"/>
          </w:tcPr>
          <w:p w14:paraId="305C4783"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2" w:type="dxa"/>
            <w:tcBorders>
              <w:top w:val="single" w:sz="8" w:space="0" w:color="auto"/>
              <w:bottom w:val="single" w:sz="6" w:space="0" w:color="auto"/>
            </w:tcBorders>
            <w:shd w:val="clear" w:color="auto" w:fill="FFFFFF"/>
            <w:vAlign w:val="bottom"/>
          </w:tcPr>
          <w:p w14:paraId="5F303425"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3" w:type="dxa"/>
            <w:tcBorders>
              <w:top w:val="single" w:sz="8" w:space="0" w:color="auto"/>
              <w:bottom w:val="single" w:sz="6" w:space="0" w:color="auto"/>
            </w:tcBorders>
            <w:shd w:val="clear" w:color="auto" w:fill="FFFFFF"/>
            <w:vAlign w:val="bottom"/>
          </w:tcPr>
          <w:p w14:paraId="574D5B30"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4DB021EB"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79121A45"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D755B" w:rsidRPr="00CF31E0" w14:paraId="16AA89FF" w14:textId="77777777" w:rsidTr="00BC3BC3">
        <w:trPr>
          <w:cantSplit/>
        </w:trPr>
        <w:tc>
          <w:tcPr>
            <w:tcW w:w="1736" w:type="dxa"/>
            <w:tcBorders>
              <w:top w:val="single" w:sz="6" w:space="0" w:color="auto"/>
              <w:bottom w:val="nil"/>
            </w:tcBorders>
            <w:shd w:val="clear" w:color="auto" w:fill="FFFFFF"/>
          </w:tcPr>
          <w:p w14:paraId="3C122BBF" w14:textId="77777777" w:rsidR="00CD755B"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2025032C" w14:textId="5B367485"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1.768</w:t>
            </w:r>
          </w:p>
        </w:tc>
        <w:tc>
          <w:tcPr>
            <w:tcW w:w="822" w:type="dxa"/>
            <w:tcBorders>
              <w:top w:val="single" w:sz="6" w:space="0" w:color="auto"/>
              <w:bottom w:val="nil"/>
            </w:tcBorders>
            <w:shd w:val="clear" w:color="auto" w:fill="FFFFFF"/>
            <w:vAlign w:val="center"/>
          </w:tcPr>
          <w:p w14:paraId="46F77F15" w14:textId="32863B64"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w:t>
            </w:r>
          </w:p>
        </w:tc>
        <w:tc>
          <w:tcPr>
            <w:tcW w:w="1443" w:type="dxa"/>
            <w:tcBorders>
              <w:top w:val="single" w:sz="6" w:space="0" w:color="auto"/>
              <w:bottom w:val="nil"/>
            </w:tcBorders>
            <w:shd w:val="clear" w:color="auto" w:fill="FFFFFF"/>
            <w:vAlign w:val="center"/>
          </w:tcPr>
          <w:p w14:paraId="1FD32924" w14:textId="6009D2BD"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.589</w:t>
            </w:r>
          </w:p>
        </w:tc>
        <w:tc>
          <w:tcPr>
            <w:tcW w:w="1030" w:type="dxa"/>
            <w:tcBorders>
              <w:top w:val="single" w:sz="6" w:space="0" w:color="auto"/>
              <w:bottom w:val="nil"/>
            </w:tcBorders>
            <w:shd w:val="clear" w:color="auto" w:fill="FFFFFF"/>
            <w:vAlign w:val="center"/>
          </w:tcPr>
          <w:p w14:paraId="02DDFBC2" w14:textId="6F61EFDF"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.500</w:t>
            </w:r>
          </w:p>
        </w:tc>
        <w:tc>
          <w:tcPr>
            <w:tcW w:w="674" w:type="dxa"/>
            <w:tcBorders>
              <w:top w:val="single" w:sz="6" w:space="0" w:color="auto"/>
              <w:bottom w:val="nil"/>
            </w:tcBorders>
            <w:shd w:val="clear" w:color="auto" w:fill="FFFFFF"/>
            <w:vAlign w:val="center"/>
          </w:tcPr>
          <w:p w14:paraId="1910055D" w14:textId="6E79B4C3"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.683</w:t>
            </w:r>
          </w:p>
        </w:tc>
      </w:tr>
      <w:tr w:rsidR="00CD755B" w:rsidRPr="00CF31E0" w14:paraId="513D0739" w14:textId="77777777" w:rsidTr="00BC3BC3">
        <w:trPr>
          <w:cantSplit/>
        </w:trPr>
        <w:tc>
          <w:tcPr>
            <w:tcW w:w="1736" w:type="dxa"/>
            <w:tcBorders>
              <w:top w:val="nil"/>
            </w:tcBorders>
            <w:shd w:val="clear" w:color="auto" w:fill="FFFFFF"/>
          </w:tcPr>
          <w:p w14:paraId="277CB183" w14:textId="77777777" w:rsidR="00CD755B"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75B2B911" w14:textId="2105A3E7"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760.925</w:t>
            </w:r>
          </w:p>
        </w:tc>
        <w:tc>
          <w:tcPr>
            <w:tcW w:w="822" w:type="dxa"/>
            <w:tcBorders>
              <w:top w:val="nil"/>
            </w:tcBorders>
            <w:shd w:val="clear" w:color="auto" w:fill="FFFFFF"/>
            <w:vAlign w:val="center"/>
          </w:tcPr>
          <w:p w14:paraId="6472B025" w14:textId="271100F3" w:rsidR="00CD755B" w:rsidRPr="00CF31E0" w:rsidRDefault="00BC3BC3"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646</w:t>
            </w:r>
          </w:p>
        </w:tc>
        <w:tc>
          <w:tcPr>
            <w:tcW w:w="1443" w:type="dxa"/>
            <w:tcBorders>
              <w:top w:val="nil"/>
            </w:tcBorders>
            <w:shd w:val="clear" w:color="auto" w:fill="FFFFFF"/>
            <w:vAlign w:val="center"/>
          </w:tcPr>
          <w:p w14:paraId="1EDC55BB" w14:textId="33F9C366"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1.180</w:t>
            </w:r>
          </w:p>
        </w:tc>
        <w:tc>
          <w:tcPr>
            <w:tcW w:w="1030" w:type="dxa"/>
            <w:tcBorders>
              <w:top w:val="nil"/>
            </w:tcBorders>
            <w:shd w:val="clear" w:color="auto" w:fill="FFFFFF"/>
            <w:vAlign w:val="center"/>
          </w:tcPr>
          <w:p w14:paraId="05D1BC0E"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5A2825BF"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r>
      <w:tr w:rsidR="00CD755B" w:rsidRPr="00CF31E0" w14:paraId="2FE9B368" w14:textId="77777777" w:rsidTr="00BC3BC3">
        <w:trPr>
          <w:cantSplit/>
        </w:trPr>
        <w:tc>
          <w:tcPr>
            <w:tcW w:w="1736" w:type="dxa"/>
            <w:shd w:val="clear" w:color="auto" w:fill="FFFFFF"/>
          </w:tcPr>
          <w:p w14:paraId="2D4AF2B2" w14:textId="77777777" w:rsidR="00CD755B"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2F4D5A1A" w14:textId="51AFE16F"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762.693</w:t>
            </w:r>
          </w:p>
        </w:tc>
        <w:tc>
          <w:tcPr>
            <w:tcW w:w="822" w:type="dxa"/>
            <w:shd w:val="clear" w:color="auto" w:fill="FFFFFF"/>
            <w:vAlign w:val="center"/>
          </w:tcPr>
          <w:p w14:paraId="45865D34" w14:textId="6226345D" w:rsidR="00CD755B" w:rsidRPr="00CF31E0" w:rsidRDefault="00BC3BC3"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3" w:type="dxa"/>
            <w:shd w:val="clear" w:color="auto" w:fill="FFFFFF"/>
            <w:vAlign w:val="center"/>
          </w:tcPr>
          <w:p w14:paraId="4EB271DA"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2EC6897E"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119583B0"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r>
    </w:tbl>
    <w:p w14:paraId="339466A9" w14:textId="77777777" w:rsidR="00C15345" w:rsidRPr="00CF31E0" w:rsidRDefault="00C15345" w:rsidP="00C15345">
      <w:pPr>
        <w:rPr>
          <w:rFonts w:asciiTheme="majorBidi" w:hAnsiTheme="majorBidi" w:cstheme="majorBidi"/>
          <w:b/>
          <w:bCs/>
          <w:color w:val="000000" w:themeColor="text1"/>
        </w:rPr>
      </w:pPr>
    </w:p>
    <w:p w14:paraId="5F333EFA" w14:textId="77777777" w:rsidR="00C15345" w:rsidRPr="00CF31E0" w:rsidRDefault="00C15345" w:rsidP="00C15345">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15345" w:rsidRPr="00CF31E0" w14:paraId="49C1BD60" w14:textId="77777777" w:rsidTr="00661DC9">
        <w:trPr>
          <w:cantSplit/>
        </w:trPr>
        <w:tc>
          <w:tcPr>
            <w:tcW w:w="1736" w:type="dxa"/>
            <w:tcBorders>
              <w:top w:val="single" w:sz="8" w:space="0" w:color="auto"/>
              <w:bottom w:val="single" w:sz="6" w:space="0" w:color="auto"/>
            </w:tcBorders>
            <w:shd w:val="clear" w:color="auto" w:fill="FFFFFF"/>
            <w:vAlign w:val="bottom"/>
          </w:tcPr>
          <w:p w14:paraId="4C03F801" w14:textId="77777777" w:rsidR="00C15345" w:rsidRPr="00CF31E0" w:rsidRDefault="00C15345"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Education</w:t>
            </w:r>
          </w:p>
        </w:tc>
        <w:tc>
          <w:tcPr>
            <w:tcW w:w="1686" w:type="dxa"/>
            <w:tcBorders>
              <w:top w:val="single" w:sz="8" w:space="0" w:color="auto"/>
              <w:bottom w:val="single" w:sz="6" w:space="0" w:color="auto"/>
            </w:tcBorders>
            <w:shd w:val="clear" w:color="auto" w:fill="FFFFFF"/>
            <w:vAlign w:val="bottom"/>
          </w:tcPr>
          <w:p w14:paraId="4F4E0984"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7FCFEDE8"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66E6DF21"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420AECF3"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3830F8B3"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D755B" w:rsidRPr="00CF31E0" w14:paraId="5D76494E" w14:textId="77777777" w:rsidTr="00661DC9">
        <w:trPr>
          <w:cantSplit/>
        </w:trPr>
        <w:tc>
          <w:tcPr>
            <w:tcW w:w="1736" w:type="dxa"/>
            <w:tcBorders>
              <w:top w:val="single" w:sz="6" w:space="0" w:color="auto"/>
              <w:bottom w:val="nil"/>
            </w:tcBorders>
            <w:shd w:val="clear" w:color="auto" w:fill="FFFFFF"/>
          </w:tcPr>
          <w:p w14:paraId="288AD741" w14:textId="77777777" w:rsidR="00CD755B"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7170A81C" w14:textId="3F432FB6"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15.597</w:t>
            </w:r>
          </w:p>
        </w:tc>
        <w:tc>
          <w:tcPr>
            <w:tcW w:w="820" w:type="dxa"/>
            <w:tcBorders>
              <w:top w:val="single" w:sz="6" w:space="0" w:color="auto"/>
              <w:bottom w:val="nil"/>
            </w:tcBorders>
            <w:shd w:val="clear" w:color="auto" w:fill="FFFFFF"/>
            <w:vAlign w:val="center"/>
          </w:tcPr>
          <w:p w14:paraId="09EE2FAA" w14:textId="418D0CCD"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w:t>
            </w:r>
          </w:p>
        </w:tc>
        <w:tc>
          <w:tcPr>
            <w:tcW w:w="1445" w:type="dxa"/>
            <w:tcBorders>
              <w:top w:val="single" w:sz="6" w:space="0" w:color="auto"/>
              <w:bottom w:val="nil"/>
            </w:tcBorders>
            <w:shd w:val="clear" w:color="auto" w:fill="FFFFFF"/>
            <w:vAlign w:val="center"/>
          </w:tcPr>
          <w:p w14:paraId="11A7390B" w14:textId="7D67596C"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3.119</w:t>
            </w:r>
          </w:p>
        </w:tc>
        <w:tc>
          <w:tcPr>
            <w:tcW w:w="1030" w:type="dxa"/>
            <w:tcBorders>
              <w:top w:val="single" w:sz="6" w:space="0" w:color="auto"/>
              <w:bottom w:val="nil"/>
            </w:tcBorders>
            <w:shd w:val="clear" w:color="auto" w:fill="FFFFFF"/>
            <w:vAlign w:val="center"/>
          </w:tcPr>
          <w:p w14:paraId="57441BE2" w14:textId="748E42CB"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2.685</w:t>
            </w:r>
          </w:p>
        </w:tc>
        <w:tc>
          <w:tcPr>
            <w:tcW w:w="674" w:type="dxa"/>
            <w:tcBorders>
              <w:top w:val="single" w:sz="6" w:space="0" w:color="auto"/>
              <w:bottom w:val="nil"/>
            </w:tcBorders>
            <w:shd w:val="clear" w:color="auto" w:fill="FFFFFF"/>
            <w:vAlign w:val="center"/>
          </w:tcPr>
          <w:p w14:paraId="6AEE927A" w14:textId="3167F978"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.221</w:t>
            </w:r>
          </w:p>
        </w:tc>
      </w:tr>
      <w:tr w:rsidR="00CD755B" w:rsidRPr="00CF31E0" w14:paraId="309716BA" w14:textId="77777777" w:rsidTr="00661DC9">
        <w:trPr>
          <w:cantSplit/>
        </w:trPr>
        <w:tc>
          <w:tcPr>
            <w:tcW w:w="1736" w:type="dxa"/>
            <w:tcBorders>
              <w:top w:val="nil"/>
            </w:tcBorders>
            <w:shd w:val="clear" w:color="auto" w:fill="FFFFFF"/>
          </w:tcPr>
          <w:p w14:paraId="1DE72043" w14:textId="77777777" w:rsidR="00CD755B"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46CD6588" w14:textId="59AEE0CD"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747.096</w:t>
            </w:r>
          </w:p>
        </w:tc>
        <w:tc>
          <w:tcPr>
            <w:tcW w:w="820" w:type="dxa"/>
            <w:tcBorders>
              <w:top w:val="nil"/>
            </w:tcBorders>
            <w:shd w:val="clear" w:color="auto" w:fill="FFFFFF"/>
            <w:vAlign w:val="center"/>
          </w:tcPr>
          <w:p w14:paraId="50BCFF47" w14:textId="3297D61A" w:rsidR="00CD755B" w:rsidRPr="00CF31E0" w:rsidRDefault="00BC3BC3"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644</w:t>
            </w:r>
          </w:p>
        </w:tc>
        <w:tc>
          <w:tcPr>
            <w:tcW w:w="1445" w:type="dxa"/>
            <w:tcBorders>
              <w:top w:val="nil"/>
            </w:tcBorders>
            <w:shd w:val="clear" w:color="auto" w:fill="FFFFFF"/>
            <w:vAlign w:val="center"/>
          </w:tcPr>
          <w:p w14:paraId="7D9A1DB5" w14:textId="6FA22FEF"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1.162</w:t>
            </w:r>
          </w:p>
        </w:tc>
        <w:tc>
          <w:tcPr>
            <w:tcW w:w="1030" w:type="dxa"/>
            <w:tcBorders>
              <w:top w:val="nil"/>
            </w:tcBorders>
            <w:shd w:val="clear" w:color="auto" w:fill="FFFFFF"/>
            <w:vAlign w:val="center"/>
          </w:tcPr>
          <w:p w14:paraId="1C729D92"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7413A468"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r>
      <w:tr w:rsidR="00CD755B" w:rsidRPr="00CF31E0" w14:paraId="7B8EC9D6" w14:textId="77777777" w:rsidTr="00661DC9">
        <w:trPr>
          <w:cantSplit/>
        </w:trPr>
        <w:tc>
          <w:tcPr>
            <w:tcW w:w="1736" w:type="dxa"/>
            <w:shd w:val="clear" w:color="auto" w:fill="FFFFFF"/>
          </w:tcPr>
          <w:p w14:paraId="2F4FBB75" w14:textId="77777777" w:rsidR="00CD755B"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20D741D6" w14:textId="2E7236F2"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762.693</w:t>
            </w:r>
          </w:p>
        </w:tc>
        <w:tc>
          <w:tcPr>
            <w:tcW w:w="820" w:type="dxa"/>
            <w:shd w:val="clear" w:color="auto" w:fill="FFFFFF"/>
            <w:vAlign w:val="center"/>
          </w:tcPr>
          <w:p w14:paraId="7D056968" w14:textId="0303AC28" w:rsidR="00CD755B" w:rsidRPr="00CF31E0" w:rsidRDefault="00BC3BC3"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53A9C399"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32C1B859"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4CC9FA29"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r>
    </w:tbl>
    <w:p w14:paraId="2FE219DE" w14:textId="77777777" w:rsidR="00C15345" w:rsidRPr="00CF31E0" w:rsidRDefault="00C15345" w:rsidP="00C15345">
      <w:pPr>
        <w:rPr>
          <w:rFonts w:asciiTheme="majorBidi" w:hAnsiTheme="majorBidi" w:cstheme="majorBidi"/>
          <w:b/>
          <w:bCs/>
          <w:color w:val="000000" w:themeColor="text1"/>
        </w:rPr>
      </w:pPr>
    </w:p>
    <w:p w14:paraId="608BE512" w14:textId="77777777" w:rsidR="00674195" w:rsidRPr="00CF31E0" w:rsidRDefault="00674195" w:rsidP="00C15345">
      <w:pPr>
        <w:rPr>
          <w:rFonts w:asciiTheme="majorBidi" w:hAnsiTheme="majorBidi" w:cstheme="majorBidi"/>
          <w:b/>
          <w:bCs/>
          <w:color w:val="000000" w:themeColor="text1"/>
        </w:rPr>
      </w:pPr>
    </w:p>
    <w:p w14:paraId="37CA582A" w14:textId="77777777" w:rsidR="00674195" w:rsidRPr="00CF31E0" w:rsidRDefault="00674195" w:rsidP="00C15345">
      <w:pPr>
        <w:rPr>
          <w:rFonts w:asciiTheme="majorBidi" w:hAnsiTheme="majorBidi" w:cstheme="majorBidi"/>
          <w:b/>
          <w:bCs/>
          <w:color w:val="000000" w:themeColor="text1"/>
        </w:rPr>
      </w:pPr>
    </w:p>
    <w:p w14:paraId="1131F354" w14:textId="77777777" w:rsidR="00674195" w:rsidRPr="00CF31E0" w:rsidRDefault="00674195" w:rsidP="00C15345">
      <w:pPr>
        <w:rPr>
          <w:rFonts w:asciiTheme="majorBidi" w:hAnsiTheme="majorBidi" w:cstheme="majorBidi"/>
          <w:b/>
          <w:bCs/>
          <w:color w:val="000000" w:themeColor="text1"/>
        </w:rPr>
      </w:pPr>
    </w:p>
    <w:p w14:paraId="6CD7A59B" w14:textId="77777777" w:rsidR="00674195" w:rsidRPr="00CF31E0" w:rsidRDefault="00674195" w:rsidP="00C15345">
      <w:pPr>
        <w:rPr>
          <w:rFonts w:asciiTheme="majorBidi" w:hAnsiTheme="majorBidi" w:cstheme="majorBidi"/>
          <w:b/>
          <w:bCs/>
          <w:color w:val="000000" w:themeColor="text1"/>
        </w:rPr>
      </w:pPr>
    </w:p>
    <w:p w14:paraId="01C35995" w14:textId="77777777" w:rsidR="00674195" w:rsidRPr="00CF31E0" w:rsidRDefault="00674195" w:rsidP="00C15345">
      <w:pPr>
        <w:rPr>
          <w:rFonts w:asciiTheme="majorBidi" w:hAnsiTheme="majorBidi" w:cstheme="majorBidi"/>
          <w:b/>
          <w:bCs/>
          <w:color w:val="000000" w:themeColor="text1"/>
        </w:rPr>
      </w:pPr>
    </w:p>
    <w:p w14:paraId="60B758A7" w14:textId="77777777" w:rsidR="00674195" w:rsidRPr="00CF31E0" w:rsidRDefault="00674195" w:rsidP="00C15345">
      <w:pPr>
        <w:rPr>
          <w:rFonts w:asciiTheme="majorBidi" w:hAnsiTheme="majorBidi" w:cstheme="majorBidi"/>
          <w:b/>
          <w:bCs/>
          <w:color w:val="000000" w:themeColor="text1"/>
        </w:rPr>
      </w:pPr>
    </w:p>
    <w:p w14:paraId="581580E5" w14:textId="77777777" w:rsidR="00C15345" w:rsidRPr="00CF31E0" w:rsidRDefault="00C15345" w:rsidP="00C15345">
      <w:pPr>
        <w:pStyle w:val="ListParagraph"/>
        <w:numPr>
          <w:ilvl w:val="0"/>
          <w:numId w:val="71"/>
        </w:numPr>
        <w:rPr>
          <w:rFonts w:asciiTheme="majorBidi" w:hAnsiTheme="majorBidi" w:cstheme="majorBidi"/>
          <w:b/>
          <w:bCs/>
          <w:color w:val="000000" w:themeColor="text1"/>
          <w:sz w:val="28"/>
          <w:szCs w:val="28"/>
        </w:rPr>
      </w:pPr>
      <w:r w:rsidRPr="00CF31E0">
        <w:rPr>
          <w:rFonts w:asciiTheme="majorBidi" w:hAnsiTheme="majorBidi" w:cstheme="majorBidi"/>
          <w:b/>
          <w:bCs/>
          <w:color w:val="000000" w:themeColor="text1"/>
          <w:sz w:val="28"/>
          <w:szCs w:val="28"/>
        </w:rPr>
        <w:lastRenderedPageBreak/>
        <w:t>Modern scale</w:t>
      </w:r>
    </w:p>
    <w:p w14:paraId="4BFEC2C8" w14:textId="77777777" w:rsidR="00C15345" w:rsidRPr="00CF31E0" w:rsidRDefault="00C15345" w:rsidP="00C15345">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15345" w:rsidRPr="00CF31E0" w14:paraId="534E9EA9" w14:textId="77777777" w:rsidTr="00661DC9">
        <w:trPr>
          <w:cantSplit/>
        </w:trPr>
        <w:tc>
          <w:tcPr>
            <w:tcW w:w="1736" w:type="dxa"/>
            <w:tcBorders>
              <w:top w:val="single" w:sz="8" w:space="0" w:color="auto"/>
              <w:bottom w:val="single" w:sz="6" w:space="0" w:color="auto"/>
            </w:tcBorders>
            <w:shd w:val="clear" w:color="auto" w:fill="FFFFFF"/>
            <w:vAlign w:val="bottom"/>
          </w:tcPr>
          <w:p w14:paraId="6C0A90DB" w14:textId="77777777" w:rsidR="00C15345" w:rsidRPr="00CF31E0" w:rsidRDefault="00C15345"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 of birth</w:t>
            </w:r>
          </w:p>
        </w:tc>
        <w:tc>
          <w:tcPr>
            <w:tcW w:w="1686" w:type="dxa"/>
            <w:tcBorders>
              <w:top w:val="single" w:sz="8" w:space="0" w:color="auto"/>
              <w:bottom w:val="single" w:sz="6" w:space="0" w:color="auto"/>
            </w:tcBorders>
            <w:shd w:val="clear" w:color="auto" w:fill="FFFFFF"/>
            <w:vAlign w:val="bottom"/>
          </w:tcPr>
          <w:p w14:paraId="6C6407AF"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5487B497"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7527F3F9"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18C77F9C"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38774995"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D755B" w:rsidRPr="00CF31E0" w14:paraId="3A53A5CB" w14:textId="77777777" w:rsidTr="00661DC9">
        <w:trPr>
          <w:cantSplit/>
        </w:trPr>
        <w:tc>
          <w:tcPr>
            <w:tcW w:w="1736" w:type="dxa"/>
            <w:tcBorders>
              <w:top w:val="single" w:sz="6" w:space="0" w:color="auto"/>
              <w:bottom w:val="nil"/>
            </w:tcBorders>
            <w:shd w:val="clear" w:color="auto" w:fill="FFFFFF"/>
          </w:tcPr>
          <w:p w14:paraId="0A29A8D1" w14:textId="77777777" w:rsidR="00CD755B"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7B3E1138" w14:textId="3DDF1265" w:rsidR="00CD755B" w:rsidRPr="00CF31E0" w:rsidRDefault="00CD755B"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4.965</w:t>
            </w:r>
          </w:p>
        </w:tc>
        <w:tc>
          <w:tcPr>
            <w:tcW w:w="820" w:type="dxa"/>
            <w:tcBorders>
              <w:top w:val="single" w:sz="6" w:space="0" w:color="auto"/>
              <w:bottom w:val="nil"/>
            </w:tcBorders>
            <w:shd w:val="clear" w:color="auto" w:fill="FFFFFF"/>
            <w:vAlign w:val="center"/>
          </w:tcPr>
          <w:p w14:paraId="1727937F" w14:textId="50450881" w:rsidR="00CD755B" w:rsidRPr="00CF31E0" w:rsidRDefault="00CD755B"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6452363E" w14:textId="351AA2C8" w:rsidR="00CD755B" w:rsidRPr="00CF31E0" w:rsidRDefault="00CD755B"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4.965</w:t>
            </w:r>
          </w:p>
        </w:tc>
        <w:tc>
          <w:tcPr>
            <w:tcW w:w="1030" w:type="dxa"/>
            <w:tcBorders>
              <w:top w:val="single" w:sz="6" w:space="0" w:color="auto"/>
              <w:bottom w:val="nil"/>
            </w:tcBorders>
            <w:shd w:val="clear" w:color="auto" w:fill="FFFFFF"/>
            <w:vAlign w:val="center"/>
          </w:tcPr>
          <w:p w14:paraId="40F7D0D3" w14:textId="0F770923" w:rsidR="00CD755B" w:rsidRPr="00CF31E0" w:rsidRDefault="00CD755B"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3.839</w:t>
            </w:r>
          </w:p>
        </w:tc>
        <w:tc>
          <w:tcPr>
            <w:tcW w:w="674" w:type="dxa"/>
            <w:tcBorders>
              <w:top w:val="single" w:sz="6" w:space="0" w:color="auto"/>
              <w:bottom w:val="nil"/>
            </w:tcBorders>
            <w:shd w:val="clear" w:color="auto" w:fill="FFFFFF"/>
            <w:vAlign w:val="center"/>
          </w:tcPr>
          <w:p w14:paraId="7E13027E" w14:textId="5A4685F3" w:rsidR="00CD755B" w:rsidRPr="00CF31E0" w:rsidRDefault="00CD755B"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.060</w:t>
            </w:r>
          </w:p>
        </w:tc>
      </w:tr>
      <w:tr w:rsidR="00CD755B" w:rsidRPr="00CF31E0" w14:paraId="5FF39BD7" w14:textId="77777777" w:rsidTr="00661DC9">
        <w:trPr>
          <w:cantSplit/>
        </w:trPr>
        <w:tc>
          <w:tcPr>
            <w:tcW w:w="1736" w:type="dxa"/>
            <w:tcBorders>
              <w:top w:val="nil"/>
            </w:tcBorders>
            <w:shd w:val="clear" w:color="auto" w:fill="FFFFFF"/>
          </w:tcPr>
          <w:p w14:paraId="360C268D" w14:textId="77777777" w:rsidR="00CD755B"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0B2FC5D8" w14:textId="5F229FC8" w:rsidR="00CD755B" w:rsidRPr="00CF31E0" w:rsidRDefault="00CD755B"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836.638</w:t>
            </w:r>
          </w:p>
        </w:tc>
        <w:tc>
          <w:tcPr>
            <w:tcW w:w="820" w:type="dxa"/>
            <w:tcBorders>
              <w:top w:val="nil"/>
            </w:tcBorders>
            <w:shd w:val="clear" w:color="auto" w:fill="FFFFFF"/>
            <w:vAlign w:val="center"/>
          </w:tcPr>
          <w:p w14:paraId="42C5A20C" w14:textId="576379E6" w:rsidR="00CD755B" w:rsidRPr="00CF31E0" w:rsidRDefault="00BC3BC3"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32E67124" w14:textId="111DFABC" w:rsidR="00CD755B" w:rsidRPr="00CF31E0" w:rsidRDefault="00CD755B"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1.293</w:t>
            </w:r>
          </w:p>
        </w:tc>
        <w:tc>
          <w:tcPr>
            <w:tcW w:w="1030" w:type="dxa"/>
            <w:tcBorders>
              <w:top w:val="nil"/>
            </w:tcBorders>
            <w:shd w:val="clear" w:color="auto" w:fill="FFFFFF"/>
            <w:vAlign w:val="center"/>
          </w:tcPr>
          <w:p w14:paraId="4D8F3031" w14:textId="77777777" w:rsidR="00CD755B" w:rsidRPr="00CF31E0" w:rsidRDefault="00CD755B" w:rsidP="00661DC9">
            <w:pPr>
              <w:spacing w:before="120" w:after="120" w:line="360" w:lineRule="auto"/>
              <w:jc w:val="right"/>
              <w:rPr>
                <w:rFonts w:asciiTheme="majorBidi" w:eastAsia="Calibri" w:hAnsiTheme="majorBidi" w:cstheme="majorBidi"/>
                <w:color w:val="000000" w:themeColor="text1"/>
                <w:sz w:val="22"/>
                <w:szCs w:val="22"/>
                <w:lang w:eastAsia="en-US"/>
              </w:rPr>
            </w:pPr>
          </w:p>
        </w:tc>
        <w:tc>
          <w:tcPr>
            <w:tcW w:w="674" w:type="dxa"/>
            <w:tcBorders>
              <w:top w:val="nil"/>
            </w:tcBorders>
            <w:shd w:val="clear" w:color="auto" w:fill="FFFFFF"/>
            <w:vAlign w:val="center"/>
          </w:tcPr>
          <w:p w14:paraId="0938B7E6" w14:textId="77777777" w:rsidR="00CD755B" w:rsidRPr="00CF31E0" w:rsidRDefault="00CD755B" w:rsidP="00661DC9">
            <w:pPr>
              <w:spacing w:before="120" w:after="120" w:line="360" w:lineRule="auto"/>
              <w:jc w:val="right"/>
              <w:rPr>
                <w:rFonts w:asciiTheme="majorBidi" w:eastAsia="Calibri" w:hAnsiTheme="majorBidi" w:cstheme="majorBidi"/>
                <w:color w:val="000000" w:themeColor="text1"/>
                <w:sz w:val="22"/>
                <w:szCs w:val="22"/>
                <w:lang w:eastAsia="en-US"/>
              </w:rPr>
            </w:pPr>
          </w:p>
        </w:tc>
      </w:tr>
      <w:tr w:rsidR="00CD755B" w:rsidRPr="00CF31E0" w14:paraId="7BDAF056" w14:textId="77777777" w:rsidTr="00661DC9">
        <w:trPr>
          <w:cantSplit/>
        </w:trPr>
        <w:tc>
          <w:tcPr>
            <w:tcW w:w="1736" w:type="dxa"/>
            <w:shd w:val="clear" w:color="auto" w:fill="FFFFFF"/>
          </w:tcPr>
          <w:p w14:paraId="1FAE642B" w14:textId="77777777" w:rsidR="00CD755B"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00459007" w14:textId="2307C14B" w:rsidR="00CD755B" w:rsidRPr="00CF31E0" w:rsidRDefault="00CD755B"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841.602</w:t>
            </w:r>
          </w:p>
        </w:tc>
        <w:tc>
          <w:tcPr>
            <w:tcW w:w="820" w:type="dxa"/>
            <w:shd w:val="clear" w:color="auto" w:fill="FFFFFF"/>
            <w:vAlign w:val="center"/>
          </w:tcPr>
          <w:p w14:paraId="07B31E2F" w14:textId="65833BCF" w:rsidR="00CD755B" w:rsidRPr="00CF31E0" w:rsidRDefault="00BC3BC3"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7D99A90B" w14:textId="77777777" w:rsidR="00CD755B" w:rsidRPr="00CF31E0" w:rsidRDefault="00CD755B" w:rsidP="00661DC9">
            <w:pPr>
              <w:spacing w:before="120" w:after="120" w:line="360" w:lineRule="auto"/>
              <w:jc w:val="right"/>
              <w:rPr>
                <w:rFonts w:asciiTheme="majorBidi" w:eastAsia="Calibri" w:hAnsiTheme="majorBidi" w:cstheme="majorBidi"/>
                <w:color w:val="000000" w:themeColor="text1"/>
                <w:sz w:val="22"/>
                <w:szCs w:val="22"/>
                <w:lang w:eastAsia="en-US"/>
              </w:rPr>
            </w:pPr>
          </w:p>
        </w:tc>
        <w:tc>
          <w:tcPr>
            <w:tcW w:w="1030" w:type="dxa"/>
            <w:shd w:val="clear" w:color="auto" w:fill="FFFFFF"/>
            <w:vAlign w:val="center"/>
          </w:tcPr>
          <w:p w14:paraId="0AF70D84" w14:textId="77777777" w:rsidR="00CD755B" w:rsidRPr="00CF31E0" w:rsidRDefault="00CD755B" w:rsidP="00661DC9">
            <w:pPr>
              <w:spacing w:before="120" w:after="120" w:line="360" w:lineRule="auto"/>
              <w:jc w:val="right"/>
              <w:rPr>
                <w:rFonts w:asciiTheme="majorBidi" w:eastAsia="Calibri" w:hAnsiTheme="majorBidi" w:cstheme="majorBidi"/>
                <w:color w:val="000000" w:themeColor="text1"/>
                <w:sz w:val="22"/>
                <w:szCs w:val="22"/>
                <w:lang w:eastAsia="en-US"/>
              </w:rPr>
            </w:pPr>
          </w:p>
        </w:tc>
        <w:tc>
          <w:tcPr>
            <w:tcW w:w="674" w:type="dxa"/>
            <w:shd w:val="clear" w:color="auto" w:fill="FFFFFF"/>
            <w:vAlign w:val="center"/>
          </w:tcPr>
          <w:p w14:paraId="42CE352E" w14:textId="77777777" w:rsidR="00CD755B" w:rsidRPr="00CF31E0" w:rsidRDefault="00CD755B" w:rsidP="00661DC9">
            <w:pPr>
              <w:spacing w:before="120" w:after="120" w:line="360" w:lineRule="auto"/>
              <w:jc w:val="right"/>
              <w:rPr>
                <w:rFonts w:asciiTheme="majorBidi" w:eastAsia="Calibri" w:hAnsiTheme="majorBidi" w:cstheme="majorBidi"/>
                <w:color w:val="000000" w:themeColor="text1"/>
                <w:sz w:val="22"/>
                <w:szCs w:val="22"/>
                <w:lang w:eastAsia="en-US"/>
              </w:rPr>
            </w:pPr>
          </w:p>
        </w:tc>
      </w:tr>
    </w:tbl>
    <w:p w14:paraId="19431026" w14:textId="77777777" w:rsidR="00C15345" w:rsidRPr="00CF31E0" w:rsidRDefault="00C15345" w:rsidP="00C15345">
      <w:pPr>
        <w:rPr>
          <w:rFonts w:asciiTheme="majorBidi" w:hAnsiTheme="majorBidi" w:cstheme="majorBidi"/>
          <w:b/>
          <w:bCs/>
          <w:color w:val="000000" w:themeColor="text1"/>
        </w:rPr>
      </w:pPr>
    </w:p>
    <w:p w14:paraId="4DEB5CF2" w14:textId="77777777" w:rsidR="007255CE" w:rsidRPr="00CF31E0" w:rsidRDefault="007255CE" w:rsidP="00C15345">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15345" w:rsidRPr="00CF31E0" w14:paraId="0D8FEE67" w14:textId="77777777" w:rsidTr="00661DC9">
        <w:trPr>
          <w:cantSplit/>
        </w:trPr>
        <w:tc>
          <w:tcPr>
            <w:tcW w:w="1736" w:type="dxa"/>
            <w:tcBorders>
              <w:top w:val="single" w:sz="8" w:space="0" w:color="auto"/>
              <w:bottom w:val="single" w:sz="6" w:space="0" w:color="auto"/>
            </w:tcBorders>
            <w:shd w:val="clear" w:color="auto" w:fill="FFFFFF"/>
            <w:vAlign w:val="bottom"/>
          </w:tcPr>
          <w:p w14:paraId="78D0A80F" w14:textId="77777777" w:rsidR="00C15345" w:rsidRPr="00CF31E0" w:rsidRDefault="00C15345"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Places lived</w:t>
            </w:r>
          </w:p>
        </w:tc>
        <w:tc>
          <w:tcPr>
            <w:tcW w:w="1686" w:type="dxa"/>
            <w:tcBorders>
              <w:top w:val="single" w:sz="8" w:space="0" w:color="auto"/>
              <w:bottom w:val="single" w:sz="6" w:space="0" w:color="auto"/>
            </w:tcBorders>
            <w:shd w:val="clear" w:color="auto" w:fill="FFFFFF"/>
            <w:vAlign w:val="bottom"/>
          </w:tcPr>
          <w:p w14:paraId="77CC4DCB"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73D158CF"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4148E4FA"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24851454"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20699543"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D755B" w:rsidRPr="00CF31E0" w14:paraId="3ABC738E" w14:textId="77777777" w:rsidTr="00661DC9">
        <w:trPr>
          <w:cantSplit/>
        </w:trPr>
        <w:tc>
          <w:tcPr>
            <w:tcW w:w="1736" w:type="dxa"/>
            <w:tcBorders>
              <w:top w:val="single" w:sz="6" w:space="0" w:color="auto"/>
              <w:bottom w:val="nil"/>
            </w:tcBorders>
            <w:shd w:val="clear" w:color="auto" w:fill="FFFFFF"/>
          </w:tcPr>
          <w:p w14:paraId="65B9AEB2" w14:textId="77777777" w:rsidR="00CD755B"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1F6FD53B" w14:textId="7211CBB8" w:rsidR="00CD755B" w:rsidRPr="00CF31E0" w:rsidRDefault="00CD755B"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.517</w:t>
            </w:r>
          </w:p>
        </w:tc>
        <w:tc>
          <w:tcPr>
            <w:tcW w:w="820" w:type="dxa"/>
            <w:tcBorders>
              <w:top w:val="single" w:sz="6" w:space="0" w:color="auto"/>
              <w:bottom w:val="nil"/>
            </w:tcBorders>
            <w:shd w:val="clear" w:color="auto" w:fill="FFFFFF"/>
            <w:vAlign w:val="center"/>
          </w:tcPr>
          <w:p w14:paraId="205407DC" w14:textId="24F7193C" w:rsidR="00CD755B" w:rsidRPr="00CF31E0" w:rsidRDefault="00CD755B"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52BE4B14" w14:textId="464B8ADE" w:rsidR="00CD755B" w:rsidRPr="00CF31E0" w:rsidRDefault="00CD755B"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.517</w:t>
            </w:r>
          </w:p>
        </w:tc>
        <w:tc>
          <w:tcPr>
            <w:tcW w:w="1030" w:type="dxa"/>
            <w:tcBorders>
              <w:top w:val="single" w:sz="6" w:space="0" w:color="auto"/>
              <w:bottom w:val="nil"/>
            </w:tcBorders>
            <w:shd w:val="clear" w:color="auto" w:fill="FFFFFF"/>
            <w:vAlign w:val="center"/>
          </w:tcPr>
          <w:p w14:paraId="69531508" w14:textId="3E9CF78F" w:rsidR="00CD755B" w:rsidRPr="00CF31E0" w:rsidRDefault="00CD755B"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.397</w:t>
            </w:r>
          </w:p>
        </w:tc>
        <w:tc>
          <w:tcPr>
            <w:tcW w:w="674" w:type="dxa"/>
            <w:tcBorders>
              <w:top w:val="single" w:sz="6" w:space="0" w:color="auto"/>
              <w:bottom w:val="nil"/>
            </w:tcBorders>
            <w:shd w:val="clear" w:color="auto" w:fill="FFFFFF"/>
            <w:vAlign w:val="center"/>
          </w:tcPr>
          <w:p w14:paraId="335ABAC9" w14:textId="5FF8C59E" w:rsidR="00CD755B" w:rsidRPr="00CF31E0" w:rsidRDefault="00CD755B"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.529</w:t>
            </w:r>
          </w:p>
        </w:tc>
      </w:tr>
      <w:tr w:rsidR="00CD755B" w:rsidRPr="00CF31E0" w14:paraId="5436625E" w14:textId="77777777" w:rsidTr="00661DC9">
        <w:trPr>
          <w:cantSplit/>
        </w:trPr>
        <w:tc>
          <w:tcPr>
            <w:tcW w:w="1736" w:type="dxa"/>
            <w:tcBorders>
              <w:top w:val="nil"/>
            </w:tcBorders>
            <w:shd w:val="clear" w:color="auto" w:fill="FFFFFF"/>
          </w:tcPr>
          <w:p w14:paraId="6AA9F3D0" w14:textId="77777777" w:rsidR="00CD755B"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14FB5B9D" w14:textId="628D494E" w:rsidR="00CD755B" w:rsidRPr="00CF31E0" w:rsidRDefault="00CD755B"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829.111</w:t>
            </w:r>
          </w:p>
        </w:tc>
        <w:tc>
          <w:tcPr>
            <w:tcW w:w="820" w:type="dxa"/>
            <w:tcBorders>
              <w:top w:val="nil"/>
            </w:tcBorders>
            <w:shd w:val="clear" w:color="auto" w:fill="FFFFFF"/>
            <w:vAlign w:val="center"/>
          </w:tcPr>
          <w:p w14:paraId="09F662D7" w14:textId="73B06547" w:rsidR="00CD755B" w:rsidRPr="00CF31E0" w:rsidRDefault="00BC3BC3"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4C3A8C8D" w14:textId="784A5733" w:rsidR="00CD755B" w:rsidRPr="00CF31E0" w:rsidRDefault="00CD755B"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1.302</w:t>
            </w:r>
          </w:p>
        </w:tc>
        <w:tc>
          <w:tcPr>
            <w:tcW w:w="1030" w:type="dxa"/>
            <w:tcBorders>
              <w:top w:val="nil"/>
            </w:tcBorders>
            <w:shd w:val="clear" w:color="auto" w:fill="FFFFFF"/>
            <w:vAlign w:val="center"/>
          </w:tcPr>
          <w:p w14:paraId="7D2ECAC5" w14:textId="77777777" w:rsidR="00CD755B" w:rsidRPr="00CF31E0" w:rsidRDefault="00CD755B" w:rsidP="00661DC9">
            <w:pPr>
              <w:spacing w:before="120" w:after="120" w:line="360" w:lineRule="auto"/>
              <w:jc w:val="right"/>
              <w:rPr>
                <w:rFonts w:asciiTheme="majorBidi" w:eastAsia="Calibri" w:hAnsiTheme="majorBidi" w:cstheme="majorBidi"/>
                <w:color w:val="000000" w:themeColor="text1"/>
                <w:sz w:val="22"/>
                <w:szCs w:val="22"/>
                <w:lang w:eastAsia="en-US"/>
              </w:rPr>
            </w:pPr>
          </w:p>
        </w:tc>
        <w:tc>
          <w:tcPr>
            <w:tcW w:w="674" w:type="dxa"/>
            <w:tcBorders>
              <w:top w:val="nil"/>
            </w:tcBorders>
            <w:shd w:val="clear" w:color="auto" w:fill="FFFFFF"/>
            <w:vAlign w:val="center"/>
          </w:tcPr>
          <w:p w14:paraId="0725E7B3" w14:textId="77777777" w:rsidR="00CD755B" w:rsidRPr="00CF31E0" w:rsidRDefault="00CD755B" w:rsidP="00661DC9">
            <w:pPr>
              <w:spacing w:before="120" w:after="120" w:line="360" w:lineRule="auto"/>
              <w:jc w:val="right"/>
              <w:rPr>
                <w:rFonts w:asciiTheme="majorBidi" w:eastAsia="Calibri" w:hAnsiTheme="majorBidi" w:cstheme="majorBidi"/>
                <w:color w:val="000000" w:themeColor="text1"/>
                <w:sz w:val="22"/>
                <w:szCs w:val="22"/>
                <w:lang w:eastAsia="en-US"/>
              </w:rPr>
            </w:pPr>
          </w:p>
        </w:tc>
      </w:tr>
      <w:tr w:rsidR="00CD755B" w:rsidRPr="00CF31E0" w14:paraId="420251D1" w14:textId="77777777" w:rsidTr="00661DC9">
        <w:trPr>
          <w:cantSplit/>
        </w:trPr>
        <w:tc>
          <w:tcPr>
            <w:tcW w:w="1736" w:type="dxa"/>
            <w:shd w:val="clear" w:color="auto" w:fill="FFFFFF"/>
          </w:tcPr>
          <w:p w14:paraId="45688DA9" w14:textId="77777777" w:rsidR="00CD755B"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570F5A3E" w14:textId="3EFBA1B8" w:rsidR="00CD755B" w:rsidRPr="00CF31E0" w:rsidRDefault="00CD755B"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829.628</w:t>
            </w:r>
          </w:p>
        </w:tc>
        <w:tc>
          <w:tcPr>
            <w:tcW w:w="820" w:type="dxa"/>
            <w:shd w:val="clear" w:color="auto" w:fill="FFFFFF"/>
            <w:vAlign w:val="center"/>
          </w:tcPr>
          <w:p w14:paraId="0305F22A" w14:textId="19D74A04" w:rsidR="00CD755B" w:rsidRPr="00CF31E0" w:rsidRDefault="00BC3BC3" w:rsidP="00661DC9">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1627EF7B" w14:textId="77777777" w:rsidR="00CD755B" w:rsidRPr="00CF31E0" w:rsidRDefault="00CD755B" w:rsidP="00661DC9">
            <w:pPr>
              <w:spacing w:before="120" w:after="120" w:line="360" w:lineRule="auto"/>
              <w:jc w:val="right"/>
              <w:rPr>
                <w:rFonts w:asciiTheme="majorBidi" w:eastAsia="Calibri" w:hAnsiTheme="majorBidi" w:cstheme="majorBidi"/>
                <w:color w:val="000000" w:themeColor="text1"/>
                <w:sz w:val="22"/>
                <w:szCs w:val="22"/>
                <w:lang w:eastAsia="en-US"/>
              </w:rPr>
            </w:pPr>
          </w:p>
        </w:tc>
        <w:tc>
          <w:tcPr>
            <w:tcW w:w="1030" w:type="dxa"/>
            <w:shd w:val="clear" w:color="auto" w:fill="FFFFFF"/>
            <w:vAlign w:val="center"/>
          </w:tcPr>
          <w:p w14:paraId="151AFA56" w14:textId="77777777" w:rsidR="00CD755B" w:rsidRPr="00CF31E0" w:rsidRDefault="00CD755B" w:rsidP="00661DC9">
            <w:pPr>
              <w:spacing w:before="120" w:after="120" w:line="360" w:lineRule="auto"/>
              <w:jc w:val="right"/>
              <w:rPr>
                <w:rFonts w:asciiTheme="majorBidi" w:eastAsia="Calibri" w:hAnsiTheme="majorBidi" w:cstheme="majorBidi"/>
                <w:color w:val="000000" w:themeColor="text1"/>
                <w:sz w:val="22"/>
                <w:szCs w:val="22"/>
                <w:lang w:eastAsia="en-US"/>
              </w:rPr>
            </w:pPr>
          </w:p>
        </w:tc>
        <w:tc>
          <w:tcPr>
            <w:tcW w:w="674" w:type="dxa"/>
            <w:shd w:val="clear" w:color="auto" w:fill="FFFFFF"/>
            <w:vAlign w:val="center"/>
          </w:tcPr>
          <w:p w14:paraId="470265A5" w14:textId="77777777" w:rsidR="00CD755B" w:rsidRPr="00CF31E0" w:rsidRDefault="00CD755B" w:rsidP="00661DC9">
            <w:pPr>
              <w:spacing w:before="120" w:after="120" w:line="360" w:lineRule="auto"/>
              <w:jc w:val="right"/>
              <w:rPr>
                <w:rFonts w:asciiTheme="majorBidi" w:eastAsia="Calibri" w:hAnsiTheme="majorBidi" w:cstheme="majorBidi"/>
                <w:color w:val="000000" w:themeColor="text1"/>
                <w:sz w:val="22"/>
                <w:szCs w:val="22"/>
                <w:lang w:eastAsia="en-US"/>
              </w:rPr>
            </w:pPr>
          </w:p>
        </w:tc>
      </w:tr>
    </w:tbl>
    <w:p w14:paraId="6E09A7D3" w14:textId="77777777" w:rsidR="00C15345" w:rsidRPr="00CF31E0" w:rsidRDefault="00C15345" w:rsidP="00C15345">
      <w:pPr>
        <w:rPr>
          <w:rFonts w:asciiTheme="majorBidi" w:hAnsiTheme="majorBidi" w:cstheme="majorBidi"/>
          <w:b/>
          <w:bCs/>
          <w:color w:val="000000" w:themeColor="text1"/>
        </w:rPr>
      </w:pPr>
    </w:p>
    <w:p w14:paraId="03782EE2" w14:textId="77777777" w:rsidR="00C15345" w:rsidRPr="00CF31E0" w:rsidRDefault="00C15345" w:rsidP="00C15345">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15345" w:rsidRPr="00CF31E0" w14:paraId="2F226536" w14:textId="77777777" w:rsidTr="00661DC9">
        <w:trPr>
          <w:cantSplit/>
        </w:trPr>
        <w:tc>
          <w:tcPr>
            <w:tcW w:w="1736" w:type="dxa"/>
            <w:tcBorders>
              <w:top w:val="single" w:sz="8" w:space="0" w:color="auto"/>
              <w:bottom w:val="single" w:sz="6" w:space="0" w:color="auto"/>
            </w:tcBorders>
            <w:shd w:val="clear" w:color="auto" w:fill="FFFFFF"/>
            <w:vAlign w:val="bottom"/>
          </w:tcPr>
          <w:p w14:paraId="34AB56DD" w14:textId="77777777" w:rsidR="00C15345" w:rsidRPr="00CF31E0" w:rsidRDefault="00C15345"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Marital status</w:t>
            </w:r>
          </w:p>
        </w:tc>
        <w:tc>
          <w:tcPr>
            <w:tcW w:w="1686" w:type="dxa"/>
            <w:tcBorders>
              <w:top w:val="single" w:sz="8" w:space="0" w:color="auto"/>
              <w:bottom w:val="single" w:sz="6" w:space="0" w:color="auto"/>
            </w:tcBorders>
            <w:shd w:val="clear" w:color="auto" w:fill="FFFFFF"/>
            <w:vAlign w:val="bottom"/>
          </w:tcPr>
          <w:p w14:paraId="2C30300E"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4FB065C6"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3D3D2ADB"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6EA1E9CC"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549339EF"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D755B" w:rsidRPr="00CF31E0" w14:paraId="14CF78AA" w14:textId="77777777" w:rsidTr="00661DC9">
        <w:trPr>
          <w:cantSplit/>
        </w:trPr>
        <w:tc>
          <w:tcPr>
            <w:tcW w:w="1736" w:type="dxa"/>
            <w:tcBorders>
              <w:top w:val="single" w:sz="6" w:space="0" w:color="auto"/>
              <w:bottom w:val="nil"/>
            </w:tcBorders>
            <w:shd w:val="clear" w:color="auto" w:fill="FFFFFF"/>
          </w:tcPr>
          <w:p w14:paraId="559184DC" w14:textId="77777777" w:rsidR="00CD755B"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4AA2C742" w14:textId="4B189ADF"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9.588</w:t>
            </w:r>
          </w:p>
        </w:tc>
        <w:tc>
          <w:tcPr>
            <w:tcW w:w="820" w:type="dxa"/>
            <w:tcBorders>
              <w:top w:val="single" w:sz="6" w:space="0" w:color="auto"/>
              <w:bottom w:val="nil"/>
            </w:tcBorders>
            <w:shd w:val="clear" w:color="auto" w:fill="FFFFFF"/>
            <w:vAlign w:val="center"/>
          </w:tcPr>
          <w:p w14:paraId="61C318EC" w14:textId="61E89A68"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w:t>
            </w:r>
          </w:p>
        </w:tc>
        <w:tc>
          <w:tcPr>
            <w:tcW w:w="1445" w:type="dxa"/>
            <w:tcBorders>
              <w:top w:val="single" w:sz="6" w:space="0" w:color="auto"/>
              <w:bottom w:val="nil"/>
            </w:tcBorders>
            <w:shd w:val="clear" w:color="auto" w:fill="FFFFFF"/>
            <w:vAlign w:val="center"/>
          </w:tcPr>
          <w:p w14:paraId="14A00FCC" w14:textId="2C6B40C1"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3.196</w:t>
            </w:r>
          </w:p>
        </w:tc>
        <w:tc>
          <w:tcPr>
            <w:tcW w:w="1030" w:type="dxa"/>
            <w:tcBorders>
              <w:top w:val="single" w:sz="6" w:space="0" w:color="auto"/>
              <w:bottom w:val="nil"/>
            </w:tcBorders>
            <w:shd w:val="clear" w:color="auto" w:fill="FFFFFF"/>
            <w:vAlign w:val="center"/>
          </w:tcPr>
          <w:p w14:paraId="5B8AB476" w14:textId="78B86E57"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2.478</w:t>
            </w:r>
          </w:p>
        </w:tc>
        <w:tc>
          <w:tcPr>
            <w:tcW w:w="674" w:type="dxa"/>
            <w:tcBorders>
              <w:top w:val="single" w:sz="6" w:space="0" w:color="auto"/>
              <w:bottom w:val="nil"/>
            </w:tcBorders>
            <w:shd w:val="clear" w:color="auto" w:fill="FFFFFF"/>
            <w:vAlign w:val="center"/>
          </w:tcPr>
          <w:p w14:paraId="733A0B46" w14:textId="51C27EFD"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.060</w:t>
            </w:r>
          </w:p>
        </w:tc>
      </w:tr>
      <w:tr w:rsidR="00CD755B" w:rsidRPr="00CF31E0" w14:paraId="4F2C97C5" w14:textId="77777777" w:rsidTr="00661DC9">
        <w:trPr>
          <w:cantSplit/>
        </w:trPr>
        <w:tc>
          <w:tcPr>
            <w:tcW w:w="1736" w:type="dxa"/>
            <w:tcBorders>
              <w:top w:val="nil"/>
            </w:tcBorders>
            <w:shd w:val="clear" w:color="auto" w:fill="FFFFFF"/>
          </w:tcPr>
          <w:p w14:paraId="7654CB60" w14:textId="77777777" w:rsidR="00CD755B"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2E0B15DE" w14:textId="4F3C0873"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832.014</w:t>
            </w:r>
          </w:p>
        </w:tc>
        <w:tc>
          <w:tcPr>
            <w:tcW w:w="820" w:type="dxa"/>
            <w:tcBorders>
              <w:top w:val="nil"/>
            </w:tcBorders>
            <w:shd w:val="clear" w:color="auto" w:fill="FFFFFF"/>
            <w:vAlign w:val="center"/>
          </w:tcPr>
          <w:p w14:paraId="7A52A004" w14:textId="67938FF5" w:rsidR="00CD755B" w:rsidRPr="00CF31E0" w:rsidRDefault="00BC3BC3"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646</w:t>
            </w:r>
          </w:p>
        </w:tc>
        <w:tc>
          <w:tcPr>
            <w:tcW w:w="1445" w:type="dxa"/>
            <w:tcBorders>
              <w:top w:val="nil"/>
            </w:tcBorders>
            <w:shd w:val="clear" w:color="auto" w:fill="FFFFFF"/>
            <w:vAlign w:val="center"/>
          </w:tcPr>
          <w:p w14:paraId="4ED1A666" w14:textId="4AD42D75"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1.290</w:t>
            </w:r>
          </w:p>
        </w:tc>
        <w:tc>
          <w:tcPr>
            <w:tcW w:w="1030" w:type="dxa"/>
            <w:tcBorders>
              <w:top w:val="nil"/>
            </w:tcBorders>
            <w:shd w:val="clear" w:color="auto" w:fill="FFFFFF"/>
            <w:vAlign w:val="center"/>
          </w:tcPr>
          <w:p w14:paraId="5BE974F0"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26380BE2"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r>
      <w:tr w:rsidR="00CD755B" w:rsidRPr="00CF31E0" w14:paraId="43B76589" w14:textId="77777777" w:rsidTr="00661DC9">
        <w:trPr>
          <w:cantSplit/>
        </w:trPr>
        <w:tc>
          <w:tcPr>
            <w:tcW w:w="1736" w:type="dxa"/>
            <w:shd w:val="clear" w:color="auto" w:fill="FFFFFF"/>
          </w:tcPr>
          <w:p w14:paraId="7CC74305" w14:textId="77777777" w:rsidR="00CD755B"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03630A96" w14:textId="6E71E84E"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841.602</w:t>
            </w:r>
          </w:p>
        </w:tc>
        <w:tc>
          <w:tcPr>
            <w:tcW w:w="820" w:type="dxa"/>
            <w:shd w:val="clear" w:color="auto" w:fill="FFFFFF"/>
            <w:vAlign w:val="center"/>
          </w:tcPr>
          <w:p w14:paraId="0999C209" w14:textId="59573960" w:rsidR="00CD755B" w:rsidRPr="00CF31E0" w:rsidRDefault="00BC3BC3"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6AB586D1"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5101FEEE"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549DC5BA"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r>
    </w:tbl>
    <w:p w14:paraId="6DBF00FF" w14:textId="77777777" w:rsidR="00C15345" w:rsidRPr="00CF31E0" w:rsidRDefault="00C15345" w:rsidP="00C15345">
      <w:pPr>
        <w:rPr>
          <w:rFonts w:asciiTheme="majorBidi" w:hAnsiTheme="majorBidi" w:cstheme="majorBidi"/>
          <w:b/>
          <w:bCs/>
          <w:color w:val="000000" w:themeColor="text1"/>
        </w:rPr>
      </w:pPr>
    </w:p>
    <w:p w14:paraId="60FBB8DE" w14:textId="77777777" w:rsidR="00C15345" w:rsidRPr="00CF31E0" w:rsidRDefault="00C15345" w:rsidP="00C15345">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21"/>
        <w:gridCol w:w="1701"/>
        <w:gridCol w:w="820"/>
        <w:gridCol w:w="1445"/>
        <w:gridCol w:w="1030"/>
        <w:gridCol w:w="674"/>
      </w:tblGrid>
      <w:tr w:rsidR="00C15345" w:rsidRPr="00CF31E0" w14:paraId="6B89120B" w14:textId="77777777" w:rsidTr="00603CB7">
        <w:trPr>
          <w:cantSplit/>
        </w:trPr>
        <w:tc>
          <w:tcPr>
            <w:tcW w:w="1721" w:type="dxa"/>
            <w:tcBorders>
              <w:top w:val="single" w:sz="8" w:space="0" w:color="auto"/>
              <w:bottom w:val="single" w:sz="6" w:space="0" w:color="auto"/>
            </w:tcBorders>
            <w:shd w:val="clear" w:color="auto" w:fill="FFFFFF"/>
            <w:vAlign w:val="bottom"/>
          </w:tcPr>
          <w:p w14:paraId="33EFFA3C" w14:textId="77777777" w:rsidR="00C15345" w:rsidRPr="00CF31E0" w:rsidRDefault="00C15345"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Education</w:t>
            </w:r>
          </w:p>
        </w:tc>
        <w:tc>
          <w:tcPr>
            <w:tcW w:w="1701" w:type="dxa"/>
            <w:tcBorders>
              <w:top w:val="single" w:sz="8" w:space="0" w:color="auto"/>
              <w:bottom w:val="single" w:sz="6" w:space="0" w:color="auto"/>
            </w:tcBorders>
            <w:shd w:val="clear" w:color="auto" w:fill="FFFFFF"/>
            <w:vAlign w:val="bottom"/>
          </w:tcPr>
          <w:p w14:paraId="185FA49E"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283B0C8E"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7C5D5E2D"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24F2E633"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15760421"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D755B" w:rsidRPr="00CF31E0" w14:paraId="06E160B1" w14:textId="77777777" w:rsidTr="00603CB7">
        <w:trPr>
          <w:cantSplit/>
        </w:trPr>
        <w:tc>
          <w:tcPr>
            <w:tcW w:w="1721" w:type="dxa"/>
            <w:tcBorders>
              <w:top w:val="single" w:sz="6" w:space="0" w:color="auto"/>
              <w:bottom w:val="nil"/>
            </w:tcBorders>
            <w:shd w:val="clear" w:color="auto" w:fill="FFFFFF"/>
          </w:tcPr>
          <w:p w14:paraId="048628B6" w14:textId="77777777" w:rsidR="00CD755B"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701" w:type="dxa"/>
            <w:tcBorders>
              <w:top w:val="single" w:sz="6" w:space="0" w:color="auto"/>
              <w:bottom w:val="nil"/>
            </w:tcBorders>
            <w:shd w:val="clear" w:color="auto" w:fill="FFFFFF"/>
            <w:vAlign w:val="center"/>
          </w:tcPr>
          <w:p w14:paraId="29D47335" w14:textId="780C9670"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14.423</w:t>
            </w:r>
          </w:p>
        </w:tc>
        <w:tc>
          <w:tcPr>
            <w:tcW w:w="820" w:type="dxa"/>
            <w:tcBorders>
              <w:top w:val="single" w:sz="6" w:space="0" w:color="auto"/>
              <w:bottom w:val="nil"/>
            </w:tcBorders>
            <w:shd w:val="clear" w:color="auto" w:fill="FFFFFF"/>
            <w:vAlign w:val="center"/>
          </w:tcPr>
          <w:p w14:paraId="56548EB8" w14:textId="564DB637"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5</w:t>
            </w:r>
          </w:p>
        </w:tc>
        <w:tc>
          <w:tcPr>
            <w:tcW w:w="1445" w:type="dxa"/>
            <w:tcBorders>
              <w:top w:val="single" w:sz="6" w:space="0" w:color="auto"/>
              <w:bottom w:val="nil"/>
            </w:tcBorders>
            <w:shd w:val="clear" w:color="auto" w:fill="FFFFFF"/>
            <w:vAlign w:val="center"/>
          </w:tcPr>
          <w:p w14:paraId="04F41A37" w14:textId="7EB2F5B1"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2.885</w:t>
            </w:r>
          </w:p>
        </w:tc>
        <w:tc>
          <w:tcPr>
            <w:tcW w:w="1030" w:type="dxa"/>
            <w:tcBorders>
              <w:top w:val="single" w:sz="6" w:space="0" w:color="auto"/>
              <w:bottom w:val="nil"/>
            </w:tcBorders>
            <w:shd w:val="clear" w:color="auto" w:fill="FFFFFF"/>
            <w:vAlign w:val="center"/>
          </w:tcPr>
          <w:p w14:paraId="239E5CA4" w14:textId="3A3937D2"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2.242</w:t>
            </w:r>
          </w:p>
        </w:tc>
        <w:tc>
          <w:tcPr>
            <w:tcW w:w="674" w:type="dxa"/>
            <w:tcBorders>
              <w:top w:val="single" w:sz="6" w:space="0" w:color="auto"/>
              <w:bottom w:val="nil"/>
            </w:tcBorders>
            <w:shd w:val="clear" w:color="auto" w:fill="FFFFFF"/>
            <w:vAlign w:val="center"/>
          </w:tcPr>
          <w:p w14:paraId="0D54BCF3" w14:textId="07FF0948"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.069</w:t>
            </w:r>
          </w:p>
        </w:tc>
      </w:tr>
      <w:tr w:rsidR="00CD755B" w:rsidRPr="00CF31E0" w14:paraId="492A8D7D" w14:textId="77777777" w:rsidTr="00603CB7">
        <w:trPr>
          <w:cantSplit/>
        </w:trPr>
        <w:tc>
          <w:tcPr>
            <w:tcW w:w="1721" w:type="dxa"/>
            <w:tcBorders>
              <w:top w:val="nil"/>
            </w:tcBorders>
            <w:shd w:val="clear" w:color="auto" w:fill="FFFFFF"/>
          </w:tcPr>
          <w:p w14:paraId="0F471270" w14:textId="77777777" w:rsidR="00CD755B"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701" w:type="dxa"/>
            <w:tcBorders>
              <w:top w:val="nil"/>
            </w:tcBorders>
            <w:shd w:val="clear" w:color="auto" w:fill="FFFFFF"/>
            <w:vAlign w:val="center"/>
          </w:tcPr>
          <w:p w14:paraId="349B05A4" w14:textId="37666F4B"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827.179</w:t>
            </w:r>
          </w:p>
        </w:tc>
        <w:tc>
          <w:tcPr>
            <w:tcW w:w="820" w:type="dxa"/>
            <w:tcBorders>
              <w:top w:val="nil"/>
            </w:tcBorders>
            <w:shd w:val="clear" w:color="auto" w:fill="FFFFFF"/>
            <w:vAlign w:val="center"/>
          </w:tcPr>
          <w:p w14:paraId="3A342BD6" w14:textId="2B775510" w:rsidR="00CD755B" w:rsidRPr="00CF31E0" w:rsidRDefault="00BC3BC3"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644</w:t>
            </w:r>
          </w:p>
        </w:tc>
        <w:tc>
          <w:tcPr>
            <w:tcW w:w="1445" w:type="dxa"/>
            <w:tcBorders>
              <w:top w:val="nil"/>
            </w:tcBorders>
            <w:shd w:val="clear" w:color="auto" w:fill="FFFFFF"/>
            <w:vAlign w:val="center"/>
          </w:tcPr>
          <w:p w14:paraId="7E82809D" w14:textId="76B18596"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1.286</w:t>
            </w:r>
          </w:p>
        </w:tc>
        <w:tc>
          <w:tcPr>
            <w:tcW w:w="1030" w:type="dxa"/>
            <w:tcBorders>
              <w:top w:val="nil"/>
            </w:tcBorders>
            <w:shd w:val="clear" w:color="auto" w:fill="FFFFFF"/>
            <w:vAlign w:val="center"/>
          </w:tcPr>
          <w:p w14:paraId="6F8CF900"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0E39597B"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r>
      <w:tr w:rsidR="00CD755B" w:rsidRPr="00CF31E0" w14:paraId="6C5631FF" w14:textId="77777777" w:rsidTr="00603CB7">
        <w:trPr>
          <w:cantSplit/>
        </w:trPr>
        <w:tc>
          <w:tcPr>
            <w:tcW w:w="1721" w:type="dxa"/>
            <w:shd w:val="clear" w:color="auto" w:fill="FFFFFF"/>
          </w:tcPr>
          <w:p w14:paraId="0082CB08" w14:textId="77777777" w:rsidR="00CD755B"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701" w:type="dxa"/>
            <w:shd w:val="clear" w:color="auto" w:fill="FFFFFF"/>
            <w:vAlign w:val="center"/>
          </w:tcPr>
          <w:p w14:paraId="34B3A47C" w14:textId="33B9BFDE"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841.602</w:t>
            </w:r>
          </w:p>
        </w:tc>
        <w:tc>
          <w:tcPr>
            <w:tcW w:w="820" w:type="dxa"/>
            <w:shd w:val="clear" w:color="auto" w:fill="FFFFFF"/>
            <w:vAlign w:val="center"/>
          </w:tcPr>
          <w:p w14:paraId="6AB9F3D3" w14:textId="10914AA3" w:rsidR="00CD755B" w:rsidRPr="00CF31E0" w:rsidRDefault="00BC3BC3"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7ACBD5A1"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78CF8044"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4B78976E"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r>
    </w:tbl>
    <w:p w14:paraId="41C8F813" w14:textId="77777777" w:rsidR="00C15345" w:rsidRPr="00CF31E0" w:rsidRDefault="00C15345" w:rsidP="00C15345">
      <w:pPr>
        <w:rPr>
          <w:rFonts w:asciiTheme="majorBidi" w:hAnsiTheme="majorBidi" w:cstheme="majorBidi"/>
          <w:b/>
          <w:bCs/>
          <w:color w:val="000000" w:themeColor="text1"/>
        </w:rPr>
      </w:pPr>
    </w:p>
    <w:p w14:paraId="55E1D515" w14:textId="77777777" w:rsidR="00C15345" w:rsidRPr="00CF31E0" w:rsidRDefault="00C15345" w:rsidP="00C15345">
      <w:pPr>
        <w:rPr>
          <w:rFonts w:asciiTheme="majorBidi" w:hAnsiTheme="majorBidi" w:cstheme="majorBidi"/>
          <w:b/>
          <w:bCs/>
          <w:color w:val="000000" w:themeColor="text1"/>
        </w:rPr>
      </w:pPr>
    </w:p>
    <w:p w14:paraId="03F0D073" w14:textId="77777777" w:rsidR="00674195" w:rsidRPr="00CF31E0" w:rsidRDefault="00674195" w:rsidP="00C15345">
      <w:pPr>
        <w:rPr>
          <w:rFonts w:asciiTheme="majorBidi" w:hAnsiTheme="majorBidi" w:cstheme="majorBidi"/>
          <w:b/>
          <w:bCs/>
          <w:color w:val="000000" w:themeColor="text1"/>
        </w:rPr>
      </w:pPr>
    </w:p>
    <w:p w14:paraId="035EF4D5" w14:textId="77777777" w:rsidR="00674195" w:rsidRPr="00CF31E0" w:rsidRDefault="00674195" w:rsidP="00C15345">
      <w:pPr>
        <w:rPr>
          <w:rFonts w:asciiTheme="majorBidi" w:hAnsiTheme="majorBidi" w:cstheme="majorBidi"/>
          <w:b/>
          <w:bCs/>
          <w:color w:val="000000" w:themeColor="text1"/>
        </w:rPr>
      </w:pPr>
    </w:p>
    <w:p w14:paraId="21E52EC0" w14:textId="77777777" w:rsidR="00674195" w:rsidRPr="00CF31E0" w:rsidRDefault="00674195" w:rsidP="00C15345">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D755B" w:rsidRPr="00CF31E0" w14:paraId="7191D037" w14:textId="77777777" w:rsidTr="00CD755B">
        <w:trPr>
          <w:cantSplit/>
        </w:trPr>
        <w:tc>
          <w:tcPr>
            <w:tcW w:w="1736" w:type="dxa"/>
            <w:tcBorders>
              <w:top w:val="single" w:sz="8" w:space="0" w:color="auto"/>
              <w:bottom w:val="single" w:sz="6" w:space="0" w:color="auto"/>
            </w:tcBorders>
            <w:shd w:val="clear" w:color="auto" w:fill="FFFFFF"/>
            <w:vAlign w:val="bottom"/>
          </w:tcPr>
          <w:p w14:paraId="23583098" w14:textId="29660CE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Social group</w:t>
            </w:r>
          </w:p>
        </w:tc>
        <w:tc>
          <w:tcPr>
            <w:tcW w:w="1686" w:type="dxa"/>
            <w:tcBorders>
              <w:top w:val="single" w:sz="8" w:space="0" w:color="auto"/>
              <w:bottom w:val="single" w:sz="6" w:space="0" w:color="auto"/>
            </w:tcBorders>
            <w:shd w:val="clear" w:color="auto" w:fill="FFFFFF"/>
            <w:vAlign w:val="bottom"/>
          </w:tcPr>
          <w:p w14:paraId="094CFD95"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69A8DFBE"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0E9C7915"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23DDD42D"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10218902"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D755B" w:rsidRPr="00CF31E0" w14:paraId="6BAB2385" w14:textId="77777777" w:rsidTr="00CD755B">
        <w:trPr>
          <w:cantSplit/>
        </w:trPr>
        <w:tc>
          <w:tcPr>
            <w:tcW w:w="1736" w:type="dxa"/>
            <w:tcBorders>
              <w:top w:val="single" w:sz="6" w:space="0" w:color="auto"/>
              <w:bottom w:val="nil"/>
            </w:tcBorders>
            <w:shd w:val="clear" w:color="auto" w:fill="FFFFFF"/>
          </w:tcPr>
          <w:p w14:paraId="01EDBA8E"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181A94B5" w14:textId="74AAABCA"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.068</w:t>
            </w:r>
          </w:p>
        </w:tc>
        <w:tc>
          <w:tcPr>
            <w:tcW w:w="820" w:type="dxa"/>
            <w:tcBorders>
              <w:top w:val="single" w:sz="6" w:space="0" w:color="auto"/>
              <w:bottom w:val="nil"/>
            </w:tcBorders>
            <w:shd w:val="clear" w:color="auto" w:fill="FFFFFF"/>
            <w:vAlign w:val="center"/>
          </w:tcPr>
          <w:p w14:paraId="4EC7A34B" w14:textId="1552E080"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w:t>
            </w:r>
          </w:p>
        </w:tc>
        <w:tc>
          <w:tcPr>
            <w:tcW w:w="1445" w:type="dxa"/>
            <w:tcBorders>
              <w:top w:val="single" w:sz="6" w:space="0" w:color="auto"/>
              <w:bottom w:val="nil"/>
            </w:tcBorders>
            <w:shd w:val="clear" w:color="auto" w:fill="FFFFFF"/>
            <w:vAlign w:val="center"/>
          </w:tcPr>
          <w:p w14:paraId="5BD06649" w14:textId="40D52C04"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.068</w:t>
            </w:r>
          </w:p>
        </w:tc>
        <w:tc>
          <w:tcPr>
            <w:tcW w:w="1030" w:type="dxa"/>
            <w:tcBorders>
              <w:top w:val="single" w:sz="6" w:space="0" w:color="auto"/>
              <w:bottom w:val="nil"/>
            </w:tcBorders>
            <w:shd w:val="clear" w:color="auto" w:fill="FFFFFF"/>
            <w:vAlign w:val="center"/>
          </w:tcPr>
          <w:p w14:paraId="64F0E9E4" w14:textId="09E88D6E"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.052</w:t>
            </w:r>
          </w:p>
        </w:tc>
        <w:tc>
          <w:tcPr>
            <w:tcW w:w="674" w:type="dxa"/>
            <w:tcBorders>
              <w:top w:val="single" w:sz="6" w:space="0" w:color="auto"/>
              <w:bottom w:val="nil"/>
            </w:tcBorders>
            <w:shd w:val="clear" w:color="auto" w:fill="FFFFFF"/>
            <w:vAlign w:val="center"/>
          </w:tcPr>
          <w:p w14:paraId="0949B4D6" w14:textId="62517816"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.819</w:t>
            </w:r>
          </w:p>
        </w:tc>
      </w:tr>
      <w:tr w:rsidR="00CD755B" w:rsidRPr="00CF31E0" w14:paraId="4C0B80EB" w14:textId="77777777" w:rsidTr="00CD755B">
        <w:trPr>
          <w:cantSplit/>
        </w:trPr>
        <w:tc>
          <w:tcPr>
            <w:tcW w:w="1736" w:type="dxa"/>
            <w:tcBorders>
              <w:top w:val="nil"/>
            </w:tcBorders>
            <w:shd w:val="clear" w:color="auto" w:fill="FFFFFF"/>
          </w:tcPr>
          <w:p w14:paraId="1F7EA4D9"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5886D227" w14:textId="37A108D3"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841.534</w:t>
            </w:r>
          </w:p>
        </w:tc>
        <w:tc>
          <w:tcPr>
            <w:tcW w:w="820" w:type="dxa"/>
            <w:tcBorders>
              <w:top w:val="nil"/>
            </w:tcBorders>
            <w:shd w:val="clear" w:color="auto" w:fill="FFFFFF"/>
            <w:vAlign w:val="center"/>
          </w:tcPr>
          <w:p w14:paraId="4738FA49" w14:textId="0B64593D" w:rsidR="00CD755B"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648</w:t>
            </w:r>
          </w:p>
        </w:tc>
        <w:tc>
          <w:tcPr>
            <w:tcW w:w="1445" w:type="dxa"/>
            <w:tcBorders>
              <w:top w:val="nil"/>
            </w:tcBorders>
            <w:shd w:val="clear" w:color="auto" w:fill="FFFFFF"/>
            <w:vAlign w:val="center"/>
          </w:tcPr>
          <w:p w14:paraId="6FE68D5F" w14:textId="2099300E"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1.301</w:t>
            </w:r>
          </w:p>
        </w:tc>
        <w:tc>
          <w:tcPr>
            <w:tcW w:w="1030" w:type="dxa"/>
            <w:tcBorders>
              <w:top w:val="nil"/>
            </w:tcBorders>
            <w:shd w:val="clear" w:color="auto" w:fill="FFFFFF"/>
            <w:vAlign w:val="center"/>
          </w:tcPr>
          <w:p w14:paraId="7ACA60F5"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40F682FA"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r>
      <w:tr w:rsidR="00CD755B" w:rsidRPr="00CF31E0" w14:paraId="74DA9B81" w14:textId="77777777" w:rsidTr="00CD755B">
        <w:trPr>
          <w:cantSplit/>
        </w:trPr>
        <w:tc>
          <w:tcPr>
            <w:tcW w:w="1736" w:type="dxa"/>
            <w:shd w:val="clear" w:color="auto" w:fill="FFFFFF"/>
          </w:tcPr>
          <w:p w14:paraId="705D97E0"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51986AC7" w14:textId="23C32380"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841.602</w:t>
            </w:r>
          </w:p>
        </w:tc>
        <w:tc>
          <w:tcPr>
            <w:tcW w:w="820" w:type="dxa"/>
            <w:shd w:val="clear" w:color="auto" w:fill="FFFFFF"/>
            <w:vAlign w:val="center"/>
          </w:tcPr>
          <w:p w14:paraId="5F453E9D" w14:textId="794F43FC" w:rsidR="00CD755B"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7E800391"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1015DF85"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322C9EF3"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r>
    </w:tbl>
    <w:p w14:paraId="2B48E266" w14:textId="77777777" w:rsidR="007255CE" w:rsidRPr="00CF31E0" w:rsidRDefault="007255CE" w:rsidP="00C15345">
      <w:pPr>
        <w:rPr>
          <w:rFonts w:asciiTheme="majorBidi" w:hAnsiTheme="majorBidi" w:cstheme="majorBidi"/>
          <w:b/>
          <w:bCs/>
          <w:color w:val="000000" w:themeColor="text1"/>
        </w:rPr>
      </w:pPr>
    </w:p>
    <w:p w14:paraId="256BD241" w14:textId="77777777" w:rsidR="007255CE" w:rsidRPr="00CF31E0" w:rsidRDefault="007255CE" w:rsidP="00C15345">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15345" w:rsidRPr="00CF31E0" w14:paraId="36B35BBB" w14:textId="77777777" w:rsidTr="00661DC9">
        <w:trPr>
          <w:cantSplit/>
        </w:trPr>
        <w:tc>
          <w:tcPr>
            <w:tcW w:w="1736" w:type="dxa"/>
            <w:tcBorders>
              <w:top w:val="single" w:sz="8" w:space="0" w:color="auto"/>
              <w:bottom w:val="single" w:sz="6" w:space="0" w:color="auto"/>
            </w:tcBorders>
            <w:shd w:val="clear" w:color="auto" w:fill="FFFFFF"/>
            <w:vAlign w:val="bottom"/>
          </w:tcPr>
          <w:p w14:paraId="4859D43E" w14:textId="77777777" w:rsidR="00C15345" w:rsidRPr="00CF31E0" w:rsidRDefault="00C15345"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Mother’s social group</w:t>
            </w:r>
          </w:p>
        </w:tc>
        <w:tc>
          <w:tcPr>
            <w:tcW w:w="1686" w:type="dxa"/>
            <w:tcBorders>
              <w:top w:val="single" w:sz="8" w:space="0" w:color="auto"/>
              <w:bottom w:val="single" w:sz="6" w:space="0" w:color="auto"/>
            </w:tcBorders>
            <w:shd w:val="clear" w:color="auto" w:fill="FFFFFF"/>
            <w:vAlign w:val="bottom"/>
          </w:tcPr>
          <w:p w14:paraId="3930357A"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098052D4"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AF649C3"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757880E6"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2AF5E733"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D755B" w:rsidRPr="00CF31E0" w14:paraId="02502DE1" w14:textId="77777777" w:rsidTr="00661DC9">
        <w:trPr>
          <w:cantSplit/>
        </w:trPr>
        <w:tc>
          <w:tcPr>
            <w:tcW w:w="1736" w:type="dxa"/>
            <w:tcBorders>
              <w:top w:val="single" w:sz="6" w:space="0" w:color="auto"/>
              <w:bottom w:val="nil"/>
            </w:tcBorders>
            <w:shd w:val="clear" w:color="auto" w:fill="FFFFFF"/>
          </w:tcPr>
          <w:p w14:paraId="19D2E45C" w14:textId="77777777" w:rsidR="00CD755B"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4A8F6594" w14:textId="71095635"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2.292</w:t>
            </w:r>
          </w:p>
        </w:tc>
        <w:tc>
          <w:tcPr>
            <w:tcW w:w="820" w:type="dxa"/>
            <w:tcBorders>
              <w:top w:val="single" w:sz="6" w:space="0" w:color="auto"/>
              <w:bottom w:val="nil"/>
            </w:tcBorders>
            <w:shd w:val="clear" w:color="auto" w:fill="FFFFFF"/>
            <w:vAlign w:val="center"/>
          </w:tcPr>
          <w:p w14:paraId="7A38B588" w14:textId="5A2A8614"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w:t>
            </w:r>
          </w:p>
        </w:tc>
        <w:tc>
          <w:tcPr>
            <w:tcW w:w="1445" w:type="dxa"/>
            <w:tcBorders>
              <w:top w:val="single" w:sz="6" w:space="0" w:color="auto"/>
              <w:bottom w:val="nil"/>
            </w:tcBorders>
            <w:shd w:val="clear" w:color="auto" w:fill="FFFFFF"/>
            <w:vAlign w:val="center"/>
          </w:tcPr>
          <w:p w14:paraId="6C990948" w14:textId="78EBD3D7"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1.146</w:t>
            </w:r>
          </w:p>
        </w:tc>
        <w:tc>
          <w:tcPr>
            <w:tcW w:w="1030" w:type="dxa"/>
            <w:tcBorders>
              <w:top w:val="single" w:sz="6" w:space="0" w:color="auto"/>
              <w:bottom w:val="nil"/>
            </w:tcBorders>
            <w:shd w:val="clear" w:color="auto" w:fill="FFFFFF"/>
            <w:vAlign w:val="center"/>
          </w:tcPr>
          <w:p w14:paraId="4605F821" w14:textId="2B4F79A8"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.881</w:t>
            </w:r>
          </w:p>
        </w:tc>
        <w:tc>
          <w:tcPr>
            <w:tcW w:w="674" w:type="dxa"/>
            <w:tcBorders>
              <w:top w:val="single" w:sz="6" w:space="0" w:color="auto"/>
              <w:bottom w:val="nil"/>
            </w:tcBorders>
            <w:shd w:val="clear" w:color="auto" w:fill="FFFFFF"/>
            <w:vAlign w:val="center"/>
          </w:tcPr>
          <w:p w14:paraId="6E0CF642" w14:textId="32A0A8BF"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.415</w:t>
            </w:r>
          </w:p>
        </w:tc>
      </w:tr>
      <w:tr w:rsidR="00CD755B" w:rsidRPr="00CF31E0" w14:paraId="413C054D" w14:textId="77777777" w:rsidTr="00661DC9">
        <w:trPr>
          <w:cantSplit/>
        </w:trPr>
        <w:tc>
          <w:tcPr>
            <w:tcW w:w="1736" w:type="dxa"/>
            <w:tcBorders>
              <w:top w:val="nil"/>
            </w:tcBorders>
            <w:shd w:val="clear" w:color="auto" w:fill="FFFFFF"/>
          </w:tcPr>
          <w:p w14:paraId="58FCB36E" w14:textId="77777777" w:rsidR="00CD755B"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717C609F" w14:textId="5598DC1F"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839.188</w:t>
            </w:r>
          </w:p>
        </w:tc>
        <w:tc>
          <w:tcPr>
            <w:tcW w:w="820" w:type="dxa"/>
            <w:tcBorders>
              <w:top w:val="nil"/>
            </w:tcBorders>
            <w:shd w:val="clear" w:color="auto" w:fill="FFFFFF"/>
            <w:vAlign w:val="center"/>
          </w:tcPr>
          <w:p w14:paraId="4B93A68D" w14:textId="74D3682F" w:rsidR="00CD755B" w:rsidRPr="00CF31E0" w:rsidRDefault="00BC3BC3"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647</w:t>
            </w:r>
          </w:p>
        </w:tc>
        <w:tc>
          <w:tcPr>
            <w:tcW w:w="1445" w:type="dxa"/>
            <w:tcBorders>
              <w:top w:val="nil"/>
            </w:tcBorders>
            <w:shd w:val="clear" w:color="auto" w:fill="FFFFFF"/>
            <w:vAlign w:val="center"/>
          </w:tcPr>
          <w:p w14:paraId="7A69538C" w14:textId="44938115"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1.301</w:t>
            </w:r>
          </w:p>
        </w:tc>
        <w:tc>
          <w:tcPr>
            <w:tcW w:w="1030" w:type="dxa"/>
            <w:tcBorders>
              <w:top w:val="nil"/>
            </w:tcBorders>
            <w:shd w:val="clear" w:color="auto" w:fill="FFFFFF"/>
            <w:vAlign w:val="center"/>
          </w:tcPr>
          <w:p w14:paraId="35B72A61"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4EE1A321"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r>
      <w:tr w:rsidR="00CD755B" w:rsidRPr="00CF31E0" w14:paraId="43C11F42" w14:textId="77777777" w:rsidTr="00661DC9">
        <w:trPr>
          <w:cantSplit/>
        </w:trPr>
        <w:tc>
          <w:tcPr>
            <w:tcW w:w="1736" w:type="dxa"/>
            <w:shd w:val="clear" w:color="auto" w:fill="FFFFFF"/>
          </w:tcPr>
          <w:p w14:paraId="36A42C6C" w14:textId="77777777" w:rsidR="00CD755B"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5348EFB8" w14:textId="4A409703"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841.480</w:t>
            </w:r>
          </w:p>
        </w:tc>
        <w:tc>
          <w:tcPr>
            <w:tcW w:w="820" w:type="dxa"/>
            <w:shd w:val="clear" w:color="auto" w:fill="FFFFFF"/>
            <w:vAlign w:val="center"/>
          </w:tcPr>
          <w:p w14:paraId="3021406F" w14:textId="466A27A2" w:rsidR="00CD755B" w:rsidRPr="00CF31E0" w:rsidRDefault="00BC3BC3"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06B1ACF5"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6944E32E"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12CC540D"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r>
    </w:tbl>
    <w:p w14:paraId="62D90B14" w14:textId="77777777" w:rsidR="00C15345" w:rsidRPr="00CF31E0" w:rsidRDefault="00C15345" w:rsidP="00C15345">
      <w:pPr>
        <w:rPr>
          <w:rFonts w:asciiTheme="majorBidi" w:hAnsiTheme="majorBidi" w:cstheme="majorBidi"/>
          <w:b/>
          <w:bCs/>
          <w:color w:val="000000" w:themeColor="text1"/>
        </w:rPr>
      </w:pPr>
    </w:p>
    <w:p w14:paraId="3B8AF1E1" w14:textId="77777777" w:rsidR="00C15345" w:rsidRPr="00CF31E0" w:rsidRDefault="00C15345" w:rsidP="00C15345">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2"/>
        <w:gridCol w:w="1443"/>
        <w:gridCol w:w="1030"/>
        <w:gridCol w:w="674"/>
      </w:tblGrid>
      <w:tr w:rsidR="00C15345" w:rsidRPr="00CF31E0" w14:paraId="52949A3E" w14:textId="77777777" w:rsidTr="00BC3BC3">
        <w:trPr>
          <w:cantSplit/>
        </w:trPr>
        <w:tc>
          <w:tcPr>
            <w:tcW w:w="1736" w:type="dxa"/>
            <w:tcBorders>
              <w:top w:val="single" w:sz="8" w:space="0" w:color="auto"/>
              <w:bottom w:val="single" w:sz="6" w:space="0" w:color="auto"/>
            </w:tcBorders>
            <w:shd w:val="clear" w:color="auto" w:fill="FFFFFF"/>
            <w:vAlign w:val="bottom"/>
          </w:tcPr>
          <w:p w14:paraId="5C6E28FE" w14:textId="77777777" w:rsidR="00C15345" w:rsidRPr="00CF31E0" w:rsidRDefault="00C15345"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Spouse’s social group</w:t>
            </w:r>
          </w:p>
        </w:tc>
        <w:tc>
          <w:tcPr>
            <w:tcW w:w="1686" w:type="dxa"/>
            <w:tcBorders>
              <w:top w:val="single" w:sz="8" w:space="0" w:color="auto"/>
              <w:bottom w:val="single" w:sz="6" w:space="0" w:color="auto"/>
            </w:tcBorders>
            <w:shd w:val="clear" w:color="auto" w:fill="FFFFFF"/>
            <w:vAlign w:val="bottom"/>
          </w:tcPr>
          <w:p w14:paraId="09277377"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2" w:type="dxa"/>
            <w:tcBorders>
              <w:top w:val="single" w:sz="8" w:space="0" w:color="auto"/>
              <w:bottom w:val="single" w:sz="6" w:space="0" w:color="auto"/>
            </w:tcBorders>
            <w:shd w:val="clear" w:color="auto" w:fill="FFFFFF"/>
            <w:vAlign w:val="bottom"/>
          </w:tcPr>
          <w:p w14:paraId="498551E1"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3" w:type="dxa"/>
            <w:tcBorders>
              <w:top w:val="single" w:sz="8" w:space="0" w:color="auto"/>
              <w:bottom w:val="single" w:sz="6" w:space="0" w:color="auto"/>
            </w:tcBorders>
            <w:shd w:val="clear" w:color="auto" w:fill="FFFFFF"/>
            <w:vAlign w:val="bottom"/>
          </w:tcPr>
          <w:p w14:paraId="1AA300AE"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7A5DC1D0"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79E14803" w14:textId="77777777" w:rsidR="00C15345" w:rsidRPr="00CF31E0" w:rsidRDefault="00C15345" w:rsidP="00661DC9">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D755B" w:rsidRPr="00CF31E0" w14:paraId="04C65ACB" w14:textId="77777777" w:rsidTr="00BC3BC3">
        <w:trPr>
          <w:cantSplit/>
        </w:trPr>
        <w:tc>
          <w:tcPr>
            <w:tcW w:w="1736" w:type="dxa"/>
            <w:tcBorders>
              <w:top w:val="single" w:sz="6" w:space="0" w:color="auto"/>
              <w:bottom w:val="nil"/>
            </w:tcBorders>
            <w:shd w:val="clear" w:color="auto" w:fill="FFFFFF"/>
          </w:tcPr>
          <w:p w14:paraId="29EE1FCE" w14:textId="77777777" w:rsidR="00CD755B"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2F46EF2A" w14:textId="2B9C7ADF"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10.563</w:t>
            </w:r>
          </w:p>
        </w:tc>
        <w:tc>
          <w:tcPr>
            <w:tcW w:w="822" w:type="dxa"/>
            <w:tcBorders>
              <w:top w:val="single" w:sz="6" w:space="0" w:color="auto"/>
              <w:bottom w:val="nil"/>
            </w:tcBorders>
            <w:shd w:val="clear" w:color="auto" w:fill="FFFFFF"/>
            <w:vAlign w:val="center"/>
          </w:tcPr>
          <w:p w14:paraId="4F51E31E" w14:textId="22FC3B21"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4</w:t>
            </w:r>
          </w:p>
        </w:tc>
        <w:tc>
          <w:tcPr>
            <w:tcW w:w="1443" w:type="dxa"/>
            <w:tcBorders>
              <w:top w:val="single" w:sz="6" w:space="0" w:color="auto"/>
              <w:bottom w:val="nil"/>
            </w:tcBorders>
            <w:shd w:val="clear" w:color="auto" w:fill="FFFFFF"/>
            <w:vAlign w:val="center"/>
          </w:tcPr>
          <w:p w14:paraId="1382CCF8" w14:textId="44C9DD74"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2.641</w:t>
            </w:r>
          </w:p>
        </w:tc>
        <w:tc>
          <w:tcPr>
            <w:tcW w:w="1030" w:type="dxa"/>
            <w:tcBorders>
              <w:top w:val="single" w:sz="6" w:space="0" w:color="auto"/>
              <w:bottom w:val="nil"/>
            </w:tcBorders>
            <w:shd w:val="clear" w:color="auto" w:fill="FFFFFF"/>
            <w:vAlign w:val="center"/>
          </w:tcPr>
          <w:p w14:paraId="1BFDFC1F" w14:textId="5E892F03"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2.054</w:t>
            </w:r>
          </w:p>
        </w:tc>
        <w:tc>
          <w:tcPr>
            <w:tcW w:w="674" w:type="dxa"/>
            <w:tcBorders>
              <w:top w:val="single" w:sz="6" w:space="0" w:color="auto"/>
              <w:bottom w:val="nil"/>
            </w:tcBorders>
            <w:shd w:val="clear" w:color="auto" w:fill="FFFFFF"/>
            <w:vAlign w:val="center"/>
          </w:tcPr>
          <w:p w14:paraId="79BDE350" w14:textId="7B347970"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.085</w:t>
            </w:r>
          </w:p>
        </w:tc>
      </w:tr>
      <w:tr w:rsidR="00CD755B" w:rsidRPr="00CF31E0" w14:paraId="4C5BC948" w14:textId="77777777" w:rsidTr="00BC3BC3">
        <w:trPr>
          <w:cantSplit/>
        </w:trPr>
        <w:tc>
          <w:tcPr>
            <w:tcW w:w="1736" w:type="dxa"/>
            <w:tcBorders>
              <w:top w:val="nil"/>
            </w:tcBorders>
            <w:shd w:val="clear" w:color="auto" w:fill="FFFFFF"/>
          </w:tcPr>
          <w:p w14:paraId="4895D26C" w14:textId="77777777" w:rsidR="00CD755B"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36B64750" w14:textId="22B9D43F"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822.841</w:t>
            </w:r>
          </w:p>
        </w:tc>
        <w:tc>
          <w:tcPr>
            <w:tcW w:w="822" w:type="dxa"/>
            <w:tcBorders>
              <w:top w:val="nil"/>
            </w:tcBorders>
            <w:shd w:val="clear" w:color="auto" w:fill="FFFFFF"/>
            <w:vAlign w:val="center"/>
          </w:tcPr>
          <w:p w14:paraId="09DA85E2" w14:textId="58F3186D" w:rsidR="00CD755B" w:rsidRPr="00CF31E0" w:rsidRDefault="00BC3BC3"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645</w:t>
            </w:r>
          </w:p>
        </w:tc>
        <w:tc>
          <w:tcPr>
            <w:tcW w:w="1443" w:type="dxa"/>
            <w:tcBorders>
              <w:top w:val="nil"/>
            </w:tcBorders>
            <w:shd w:val="clear" w:color="auto" w:fill="FFFFFF"/>
            <w:vAlign w:val="center"/>
          </w:tcPr>
          <w:p w14:paraId="1F4EDCF6" w14:textId="3A060DEA"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1.286</w:t>
            </w:r>
          </w:p>
        </w:tc>
        <w:tc>
          <w:tcPr>
            <w:tcW w:w="1030" w:type="dxa"/>
            <w:tcBorders>
              <w:top w:val="nil"/>
            </w:tcBorders>
            <w:shd w:val="clear" w:color="auto" w:fill="FFFFFF"/>
            <w:vAlign w:val="center"/>
          </w:tcPr>
          <w:p w14:paraId="2F7F8323"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49D6B147"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r>
      <w:tr w:rsidR="00CD755B" w:rsidRPr="00CF31E0" w14:paraId="73867972" w14:textId="77777777" w:rsidTr="00BC3BC3">
        <w:trPr>
          <w:cantSplit/>
        </w:trPr>
        <w:tc>
          <w:tcPr>
            <w:tcW w:w="1736" w:type="dxa"/>
            <w:shd w:val="clear" w:color="auto" w:fill="FFFFFF"/>
          </w:tcPr>
          <w:p w14:paraId="7845BCD9" w14:textId="77777777" w:rsidR="00CD755B" w:rsidRPr="00CF31E0" w:rsidRDefault="00CD755B" w:rsidP="00661DC9">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266ACE0A" w14:textId="52C440D4" w:rsidR="00CD755B" w:rsidRPr="00CF31E0" w:rsidRDefault="00CD755B"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833.405</w:t>
            </w:r>
          </w:p>
        </w:tc>
        <w:tc>
          <w:tcPr>
            <w:tcW w:w="822" w:type="dxa"/>
            <w:shd w:val="clear" w:color="auto" w:fill="FFFFFF"/>
            <w:vAlign w:val="center"/>
          </w:tcPr>
          <w:p w14:paraId="6A6F1D30" w14:textId="3A0C280B" w:rsidR="00CD755B" w:rsidRPr="00CF31E0" w:rsidRDefault="00BC3BC3" w:rsidP="00661DC9">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3" w:type="dxa"/>
            <w:shd w:val="clear" w:color="auto" w:fill="FFFFFF"/>
            <w:vAlign w:val="center"/>
          </w:tcPr>
          <w:p w14:paraId="43BFA62F"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2A573A8F"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6F6E3F7C" w14:textId="77777777" w:rsidR="00CD755B" w:rsidRPr="00CF31E0" w:rsidRDefault="00CD755B" w:rsidP="00661DC9">
            <w:pPr>
              <w:spacing w:before="120" w:after="120" w:line="360" w:lineRule="auto"/>
              <w:jc w:val="right"/>
              <w:rPr>
                <w:rFonts w:eastAsia="Calibri" w:cs="Arial"/>
                <w:color w:val="000000" w:themeColor="text1"/>
                <w:sz w:val="22"/>
                <w:szCs w:val="22"/>
                <w:lang w:eastAsia="en-US"/>
              </w:rPr>
            </w:pPr>
          </w:p>
        </w:tc>
      </w:tr>
    </w:tbl>
    <w:p w14:paraId="08EDFEEE" w14:textId="77777777" w:rsidR="00C15345" w:rsidRPr="00CF31E0" w:rsidRDefault="00C15345" w:rsidP="00C15345">
      <w:pPr>
        <w:rPr>
          <w:rFonts w:asciiTheme="majorBidi" w:hAnsiTheme="majorBidi" w:cstheme="majorBidi"/>
          <w:b/>
          <w:bCs/>
          <w:color w:val="000000" w:themeColor="text1"/>
        </w:rPr>
      </w:pPr>
    </w:p>
    <w:p w14:paraId="2D59B552" w14:textId="77777777" w:rsidR="00C15345" w:rsidRPr="00CF31E0" w:rsidRDefault="00C15345" w:rsidP="00C15345">
      <w:pPr>
        <w:rPr>
          <w:rFonts w:asciiTheme="majorBidi" w:hAnsiTheme="majorBidi" w:cstheme="majorBidi"/>
          <w:b/>
          <w:bCs/>
          <w:color w:val="000000" w:themeColor="text1"/>
        </w:rPr>
      </w:pPr>
    </w:p>
    <w:p w14:paraId="39188D80" w14:textId="64CF6AAA" w:rsidR="00CD755B" w:rsidRPr="00CF31E0" w:rsidRDefault="00CD755B" w:rsidP="00CD755B">
      <w:pPr>
        <w:pStyle w:val="ListParagraph"/>
        <w:numPr>
          <w:ilvl w:val="0"/>
          <w:numId w:val="74"/>
        </w:numPr>
        <w:rPr>
          <w:rFonts w:asciiTheme="majorBidi" w:hAnsiTheme="majorBidi" w:cstheme="majorBidi"/>
          <w:b/>
          <w:bCs/>
          <w:color w:val="000000" w:themeColor="text1"/>
          <w:sz w:val="28"/>
          <w:szCs w:val="28"/>
        </w:rPr>
      </w:pPr>
      <w:r w:rsidRPr="00CF31E0">
        <w:rPr>
          <w:rFonts w:asciiTheme="majorBidi" w:hAnsiTheme="majorBidi" w:cstheme="majorBidi"/>
          <w:b/>
          <w:bCs/>
          <w:color w:val="000000" w:themeColor="text1"/>
          <w:sz w:val="28"/>
          <w:szCs w:val="28"/>
        </w:rPr>
        <w:t>VS5</w:t>
      </w:r>
    </w:p>
    <w:p w14:paraId="7DF93F3D" w14:textId="77777777" w:rsidR="00CD755B" w:rsidRPr="00CF31E0" w:rsidRDefault="00CD755B" w:rsidP="00CD755B">
      <w:pPr>
        <w:pStyle w:val="ListParagraph"/>
        <w:ind w:left="0"/>
        <w:rPr>
          <w:rFonts w:asciiTheme="majorBidi" w:hAnsiTheme="majorBidi" w:cstheme="majorBidi"/>
          <w:b/>
          <w:bCs/>
          <w:color w:val="000000" w:themeColor="text1"/>
        </w:rPr>
      </w:pPr>
    </w:p>
    <w:p w14:paraId="5DFBFBE6" w14:textId="77777777" w:rsidR="00CD755B" w:rsidRPr="00CF31E0" w:rsidRDefault="00CD755B" w:rsidP="00CD755B">
      <w:pPr>
        <w:pStyle w:val="ListParagraph"/>
        <w:numPr>
          <w:ilvl w:val="0"/>
          <w:numId w:val="71"/>
        </w:numPr>
        <w:rPr>
          <w:rFonts w:asciiTheme="majorBidi" w:hAnsiTheme="majorBidi" w:cstheme="majorBidi"/>
          <w:b/>
          <w:bCs/>
          <w:color w:val="000000" w:themeColor="text1"/>
          <w:sz w:val="28"/>
          <w:szCs w:val="28"/>
        </w:rPr>
      </w:pPr>
      <w:r w:rsidRPr="00CF31E0">
        <w:rPr>
          <w:rFonts w:asciiTheme="majorBidi" w:hAnsiTheme="majorBidi" w:cstheme="majorBidi"/>
          <w:b/>
          <w:bCs/>
          <w:color w:val="000000" w:themeColor="text1"/>
          <w:sz w:val="28"/>
          <w:szCs w:val="28"/>
        </w:rPr>
        <w:t>Serious scale</w:t>
      </w:r>
    </w:p>
    <w:p w14:paraId="26FB803F" w14:textId="77777777" w:rsidR="00CD755B" w:rsidRPr="00CF31E0" w:rsidRDefault="00CD755B" w:rsidP="00CD755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D755B" w:rsidRPr="00CF31E0" w14:paraId="04277793" w14:textId="77777777" w:rsidTr="00CD755B">
        <w:trPr>
          <w:cantSplit/>
        </w:trPr>
        <w:tc>
          <w:tcPr>
            <w:tcW w:w="1736" w:type="dxa"/>
            <w:tcBorders>
              <w:top w:val="single" w:sz="8" w:space="0" w:color="auto"/>
              <w:bottom w:val="single" w:sz="6" w:space="0" w:color="auto"/>
            </w:tcBorders>
            <w:shd w:val="clear" w:color="auto" w:fill="FFFFFF"/>
            <w:vAlign w:val="bottom"/>
          </w:tcPr>
          <w:p w14:paraId="4FEFD35E" w14:textId="4D0FD766"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Gender</w:t>
            </w:r>
          </w:p>
        </w:tc>
        <w:tc>
          <w:tcPr>
            <w:tcW w:w="1686" w:type="dxa"/>
            <w:tcBorders>
              <w:top w:val="single" w:sz="8" w:space="0" w:color="auto"/>
              <w:bottom w:val="single" w:sz="6" w:space="0" w:color="auto"/>
            </w:tcBorders>
            <w:shd w:val="clear" w:color="auto" w:fill="FFFFFF"/>
            <w:vAlign w:val="bottom"/>
          </w:tcPr>
          <w:p w14:paraId="3E8C9903"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32D6D617"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76E00D90"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0C754C05"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0AF2154A"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D755B" w:rsidRPr="00CF31E0" w14:paraId="10487A6C" w14:textId="77777777" w:rsidTr="00CD755B">
        <w:trPr>
          <w:cantSplit/>
        </w:trPr>
        <w:tc>
          <w:tcPr>
            <w:tcW w:w="1736" w:type="dxa"/>
            <w:tcBorders>
              <w:top w:val="single" w:sz="6" w:space="0" w:color="auto"/>
              <w:bottom w:val="nil"/>
            </w:tcBorders>
            <w:shd w:val="clear" w:color="auto" w:fill="FFFFFF"/>
          </w:tcPr>
          <w:p w14:paraId="79230503"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4F843049" w14:textId="40524C26"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2.466</w:t>
            </w:r>
          </w:p>
        </w:tc>
        <w:tc>
          <w:tcPr>
            <w:tcW w:w="820" w:type="dxa"/>
            <w:tcBorders>
              <w:top w:val="single" w:sz="6" w:space="0" w:color="auto"/>
              <w:bottom w:val="nil"/>
            </w:tcBorders>
            <w:shd w:val="clear" w:color="auto" w:fill="FFFFFF"/>
            <w:vAlign w:val="center"/>
          </w:tcPr>
          <w:p w14:paraId="1D3D4573" w14:textId="2A010250"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w:t>
            </w:r>
          </w:p>
        </w:tc>
        <w:tc>
          <w:tcPr>
            <w:tcW w:w="1445" w:type="dxa"/>
            <w:tcBorders>
              <w:top w:val="single" w:sz="6" w:space="0" w:color="auto"/>
              <w:bottom w:val="nil"/>
            </w:tcBorders>
            <w:shd w:val="clear" w:color="auto" w:fill="FFFFFF"/>
            <w:vAlign w:val="center"/>
          </w:tcPr>
          <w:p w14:paraId="529E19F4" w14:textId="553319A8"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2.466</w:t>
            </w:r>
          </w:p>
        </w:tc>
        <w:tc>
          <w:tcPr>
            <w:tcW w:w="1030" w:type="dxa"/>
            <w:tcBorders>
              <w:top w:val="single" w:sz="6" w:space="0" w:color="auto"/>
              <w:bottom w:val="nil"/>
            </w:tcBorders>
            <w:shd w:val="clear" w:color="auto" w:fill="FFFFFF"/>
            <w:vAlign w:val="center"/>
          </w:tcPr>
          <w:p w14:paraId="165682EE" w14:textId="63BADD11"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1.347</w:t>
            </w:r>
          </w:p>
        </w:tc>
        <w:tc>
          <w:tcPr>
            <w:tcW w:w="674" w:type="dxa"/>
            <w:tcBorders>
              <w:top w:val="single" w:sz="6" w:space="0" w:color="auto"/>
              <w:bottom w:val="nil"/>
            </w:tcBorders>
            <w:shd w:val="clear" w:color="auto" w:fill="FFFFFF"/>
            <w:vAlign w:val="center"/>
          </w:tcPr>
          <w:p w14:paraId="0FE99D69" w14:textId="638C65DE"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.246</w:t>
            </w:r>
          </w:p>
        </w:tc>
      </w:tr>
      <w:tr w:rsidR="00CD755B" w:rsidRPr="00CF31E0" w14:paraId="4B5CA35D" w14:textId="77777777" w:rsidTr="00CD755B">
        <w:trPr>
          <w:cantSplit/>
        </w:trPr>
        <w:tc>
          <w:tcPr>
            <w:tcW w:w="1736" w:type="dxa"/>
            <w:tcBorders>
              <w:top w:val="nil"/>
            </w:tcBorders>
            <w:shd w:val="clear" w:color="auto" w:fill="FFFFFF"/>
          </w:tcPr>
          <w:p w14:paraId="478D3A54"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10039218" w14:textId="7F9F0EE1"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1184.736</w:t>
            </w:r>
          </w:p>
        </w:tc>
        <w:tc>
          <w:tcPr>
            <w:tcW w:w="820" w:type="dxa"/>
            <w:tcBorders>
              <w:top w:val="nil"/>
            </w:tcBorders>
            <w:shd w:val="clear" w:color="auto" w:fill="FFFFFF"/>
            <w:vAlign w:val="center"/>
          </w:tcPr>
          <w:p w14:paraId="74085392" w14:textId="2C6B8CB3" w:rsidR="00CD755B"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648</w:t>
            </w:r>
          </w:p>
        </w:tc>
        <w:tc>
          <w:tcPr>
            <w:tcW w:w="1445" w:type="dxa"/>
            <w:tcBorders>
              <w:top w:val="nil"/>
            </w:tcBorders>
            <w:shd w:val="clear" w:color="auto" w:fill="FFFFFF"/>
            <w:vAlign w:val="center"/>
          </w:tcPr>
          <w:p w14:paraId="7E7AF25C" w14:textId="3C4E9A49"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1.831</w:t>
            </w:r>
          </w:p>
        </w:tc>
        <w:tc>
          <w:tcPr>
            <w:tcW w:w="1030" w:type="dxa"/>
            <w:tcBorders>
              <w:top w:val="nil"/>
            </w:tcBorders>
            <w:shd w:val="clear" w:color="auto" w:fill="FFFFFF"/>
            <w:vAlign w:val="center"/>
          </w:tcPr>
          <w:p w14:paraId="4DB0AA08"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0D77E36E"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r>
      <w:tr w:rsidR="00CD755B" w:rsidRPr="00CF31E0" w14:paraId="4263B2BF" w14:textId="77777777" w:rsidTr="00CD755B">
        <w:trPr>
          <w:cantSplit/>
        </w:trPr>
        <w:tc>
          <w:tcPr>
            <w:tcW w:w="1736" w:type="dxa"/>
            <w:shd w:val="clear" w:color="auto" w:fill="FFFFFF"/>
          </w:tcPr>
          <w:p w14:paraId="3BF40DAA"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1CBCF54C" w14:textId="4049AA12"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1187.202</w:t>
            </w:r>
          </w:p>
        </w:tc>
        <w:tc>
          <w:tcPr>
            <w:tcW w:w="820" w:type="dxa"/>
            <w:shd w:val="clear" w:color="auto" w:fill="FFFFFF"/>
            <w:vAlign w:val="center"/>
          </w:tcPr>
          <w:p w14:paraId="181B237A" w14:textId="58900208" w:rsidR="00CD755B"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642CC201"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241B9388"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50F782DA"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r>
      <w:tr w:rsidR="00CD755B" w:rsidRPr="00CF31E0" w14:paraId="53F1D038" w14:textId="77777777" w:rsidTr="00CD755B">
        <w:trPr>
          <w:cantSplit/>
        </w:trPr>
        <w:tc>
          <w:tcPr>
            <w:tcW w:w="1736" w:type="dxa"/>
            <w:tcBorders>
              <w:top w:val="single" w:sz="8" w:space="0" w:color="auto"/>
              <w:bottom w:val="single" w:sz="6" w:space="0" w:color="auto"/>
            </w:tcBorders>
            <w:shd w:val="clear" w:color="auto" w:fill="FFFFFF"/>
            <w:vAlign w:val="bottom"/>
          </w:tcPr>
          <w:p w14:paraId="06E51966"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Age</w:t>
            </w:r>
          </w:p>
        </w:tc>
        <w:tc>
          <w:tcPr>
            <w:tcW w:w="1686" w:type="dxa"/>
            <w:tcBorders>
              <w:top w:val="single" w:sz="8" w:space="0" w:color="auto"/>
              <w:bottom w:val="single" w:sz="6" w:space="0" w:color="auto"/>
            </w:tcBorders>
            <w:shd w:val="clear" w:color="auto" w:fill="FFFFFF"/>
            <w:vAlign w:val="bottom"/>
          </w:tcPr>
          <w:p w14:paraId="1E0C052B"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4E2F156B"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7F5578B1"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0D0421CE"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729186EB"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D755B" w:rsidRPr="00CF31E0" w14:paraId="26ACDC62" w14:textId="77777777" w:rsidTr="00CD755B">
        <w:trPr>
          <w:cantSplit/>
        </w:trPr>
        <w:tc>
          <w:tcPr>
            <w:tcW w:w="1736" w:type="dxa"/>
            <w:tcBorders>
              <w:top w:val="single" w:sz="6" w:space="0" w:color="auto"/>
              <w:bottom w:val="nil"/>
            </w:tcBorders>
            <w:shd w:val="clear" w:color="auto" w:fill="FFFFFF"/>
          </w:tcPr>
          <w:p w14:paraId="7ECDCEEE"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38887174" w14:textId="6C4F5549"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15.570</w:t>
            </w:r>
          </w:p>
        </w:tc>
        <w:tc>
          <w:tcPr>
            <w:tcW w:w="820" w:type="dxa"/>
            <w:tcBorders>
              <w:top w:val="single" w:sz="6" w:space="0" w:color="auto"/>
              <w:bottom w:val="nil"/>
            </w:tcBorders>
            <w:shd w:val="clear" w:color="auto" w:fill="FFFFFF"/>
            <w:vAlign w:val="center"/>
          </w:tcPr>
          <w:p w14:paraId="657545AE" w14:textId="04AE389A"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5</w:t>
            </w:r>
          </w:p>
        </w:tc>
        <w:tc>
          <w:tcPr>
            <w:tcW w:w="1445" w:type="dxa"/>
            <w:tcBorders>
              <w:top w:val="single" w:sz="6" w:space="0" w:color="auto"/>
              <w:bottom w:val="nil"/>
            </w:tcBorders>
            <w:shd w:val="clear" w:color="auto" w:fill="FFFFFF"/>
            <w:vAlign w:val="center"/>
          </w:tcPr>
          <w:p w14:paraId="5EFF1C8B" w14:textId="5BBC98EA"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3.114</w:t>
            </w:r>
          </w:p>
        </w:tc>
        <w:tc>
          <w:tcPr>
            <w:tcW w:w="1030" w:type="dxa"/>
            <w:tcBorders>
              <w:top w:val="single" w:sz="6" w:space="0" w:color="auto"/>
              <w:bottom w:val="nil"/>
            </w:tcBorders>
            <w:shd w:val="clear" w:color="auto" w:fill="FFFFFF"/>
            <w:vAlign w:val="center"/>
          </w:tcPr>
          <w:p w14:paraId="7BF6F5C1" w14:textId="42CAD9F2"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1.704</w:t>
            </w:r>
          </w:p>
        </w:tc>
        <w:tc>
          <w:tcPr>
            <w:tcW w:w="674" w:type="dxa"/>
            <w:tcBorders>
              <w:top w:val="single" w:sz="6" w:space="0" w:color="auto"/>
              <w:bottom w:val="nil"/>
            </w:tcBorders>
            <w:shd w:val="clear" w:color="auto" w:fill="FFFFFF"/>
            <w:vAlign w:val="center"/>
          </w:tcPr>
          <w:p w14:paraId="4C3EF795" w14:textId="5FD172E8"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.131</w:t>
            </w:r>
          </w:p>
        </w:tc>
      </w:tr>
      <w:tr w:rsidR="00CD755B" w:rsidRPr="00CF31E0" w14:paraId="53BA56BE" w14:textId="77777777" w:rsidTr="00CD755B">
        <w:trPr>
          <w:cantSplit/>
        </w:trPr>
        <w:tc>
          <w:tcPr>
            <w:tcW w:w="1736" w:type="dxa"/>
            <w:tcBorders>
              <w:top w:val="nil"/>
            </w:tcBorders>
            <w:shd w:val="clear" w:color="auto" w:fill="FFFFFF"/>
          </w:tcPr>
          <w:p w14:paraId="508F597E"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266911F7" w14:textId="78BBCFEE"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1171.055</w:t>
            </w:r>
          </w:p>
        </w:tc>
        <w:tc>
          <w:tcPr>
            <w:tcW w:w="820" w:type="dxa"/>
            <w:tcBorders>
              <w:top w:val="nil"/>
            </w:tcBorders>
            <w:shd w:val="clear" w:color="auto" w:fill="FFFFFF"/>
            <w:vAlign w:val="center"/>
          </w:tcPr>
          <w:p w14:paraId="27E2E662" w14:textId="0830663E" w:rsidR="00CD755B"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644</w:t>
            </w:r>
          </w:p>
        </w:tc>
        <w:tc>
          <w:tcPr>
            <w:tcW w:w="1445" w:type="dxa"/>
            <w:tcBorders>
              <w:top w:val="nil"/>
            </w:tcBorders>
            <w:shd w:val="clear" w:color="auto" w:fill="FFFFFF"/>
            <w:vAlign w:val="center"/>
          </w:tcPr>
          <w:p w14:paraId="46ACF32D" w14:textId="5121D81F"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1.827</w:t>
            </w:r>
          </w:p>
        </w:tc>
        <w:tc>
          <w:tcPr>
            <w:tcW w:w="1030" w:type="dxa"/>
            <w:tcBorders>
              <w:top w:val="nil"/>
            </w:tcBorders>
            <w:shd w:val="clear" w:color="auto" w:fill="FFFFFF"/>
            <w:vAlign w:val="center"/>
          </w:tcPr>
          <w:p w14:paraId="73F9DA50"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53392E84"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r>
      <w:tr w:rsidR="00CD755B" w:rsidRPr="00CF31E0" w14:paraId="06F59137" w14:textId="77777777" w:rsidTr="00CD755B">
        <w:trPr>
          <w:cantSplit/>
        </w:trPr>
        <w:tc>
          <w:tcPr>
            <w:tcW w:w="1736" w:type="dxa"/>
            <w:shd w:val="clear" w:color="auto" w:fill="FFFFFF"/>
          </w:tcPr>
          <w:p w14:paraId="2E9E9A3B"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158F8FCB" w14:textId="63477B7C"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1186.624</w:t>
            </w:r>
          </w:p>
        </w:tc>
        <w:tc>
          <w:tcPr>
            <w:tcW w:w="820" w:type="dxa"/>
            <w:shd w:val="clear" w:color="auto" w:fill="FFFFFF"/>
            <w:vAlign w:val="center"/>
          </w:tcPr>
          <w:p w14:paraId="3F8C27BA" w14:textId="5E5AD643" w:rsidR="00CD755B"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7EDCE142"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7ABAA73F"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65AF08E8"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r>
    </w:tbl>
    <w:p w14:paraId="15D091CC" w14:textId="77777777" w:rsidR="00CD755B" w:rsidRPr="00CF31E0" w:rsidRDefault="00CD755B" w:rsidP="00CD755B">
      <w:pPr>
        <w:rPr>
          <w:rFonts w:asciiTheme="majorBidi" w:hAnsiTheme="majorBidi" w:cstheme="majorBidi"/>
          <w:b/>
          <w:bCs/>
          <w:color w:val="000000" w:themeColor="text1"/>
        </w:rPr>
      </w:pPr>
    </w:p>
    <w:p w14:paraId="7D75F607" w14:textId="77777777" w:rsidR="00CD755B" w:rsidRPr="00CF31E0" w:rsidRDefault="00CD755B" w:rsidP="00CD755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D755B" w:rsidRPr="00CF31E0" w14:paraId="5A725757" w14:textId="77777777" w:rsidTr="00CD755B">
        <w:trPr>
          <w:cantSplit/>
        </w:trPr>
        <w:tc>
          <w:tcPr>
            <w:tcW w:w="1736" w:type="dxa"/>
            <w:tcBorders>
              <w:top w:val="single" w:sz="8" w:space="0" w:color="auto"/>
              <w:bottom w:val="single" w:sz="6" w:space="0" w:color="auto"/>
            </w:tcBorders>
            <w:shd w:val="clear" w:color="auto" w:fill="FFFFFF"/>
            <w:vAlign w:val="bottom"/>
          </w:tcPr>
          <w:p w14:paraId="316C7037"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 of birth</w:t>
            </w:r>
          </w:p>
        </w:tc>
        <w:tc>
          <w:tcPr>
            <w:tcW w:w="1686" w:type="dxa"/>
            <w:tcBorders>
              <w:top w:val="single" w:sz="8" w:space="0" w:color="auto"/>
              <w:bottom w:val="single" w:sz="6" w:space="0" w:color="auto"/>
            </w:tcBorders>
            <w:shd w:val="clear" w:color="auto" w:fill="FFFFFF"/>
            <w:vAlign w:val="bottom"/>
          </w:tcPr>
          <w:p w14:paraId="2819C99F"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005891DC"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60E06822"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1C07B792"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6F1A2E62"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D755B" w:rsidRPr="00CF31E0" w14:paraId="60EE9B04" w14:textId="77777777" w:rsidTr="00CD755B">
        <w:trPr>
          <w:cantSplit/>
        </w:trPr>
        <w:tc>
          <w:tcPr>
            <w:tcW w:w="1736" w:type="dxa"/>
            <w:tcBorders>
              <w:top w:val="single" w:sz="6" w:space="0" w:color="auto"/>
              <w:bottom w:val="nil"/>
            </w:tcBorders>
            <w:shd w:val="clear" w:color="auto" w:fill="FFFFFF"/>
          </w:tcPr>
          <w:p w14:paraId="6F8D9A77"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266BBCB8" w14:textId="142B9120"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1.387</w:t>
            </w:r>
          </w:p>
        </w:tc>
        <w:tc>
          <w:tcPr>
            <w:tcW w:w="820" w:type="dxa"/>
            <w:tcBorders>
              <w:top w:val="single" w:sz="6" w:space="0" w:color="auto"/>
              <w:bottom w:val="nil"/>
            </w:tcBorders>
            <w:shd w:val="clear" w:color="auto" w:fill="FFFFFF"/>
            <w:vAlign w:val="center"/>
          </w:tcPr>
          <w:p w14:paraId="0E33B17E" w14:textId="3714E3CD"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w:t>
            </w:r>
          </w:p>
        </w:tc>
        <w:tc>
          <w:tcPr>
            <w:tcW w:w="1445" w:type="dxa"/>
            <w:tcBorders>
              <w:top w:val="single" w:sz="6" w:space="0" w:color="auto"/>
              <w:bottom w:val="nil"/>
            </w:tcBorders>
            <w:shd w:val="clear" w:color="auto" w:fill="FFFFFF"/>
            <w:vAlign w:val="center"/>
          </w:tcPr>
          <w:p w14:paraId="702CEFA9" w14:textId="78B2FDF3"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1.387</w:t>
            </w:r>
          </w:p>
        </w:tc>
        <w:tc>
          <w:tcPr>
            <w:tcW w:w="1030" w:type="dxa"/>
            <w:tcBorders>
              <w:top w:val="single" w:sz="6" w:space="0" w:color="auto"/>
              <w:bottom w:val="nil"/>
            </w:tcBorders>
            <w:shd w:val="clear" w:color="auto" w:fill="FFFFFF"/>
            <w:vAlign w:val="center"/>
          </w:tcPr>
          <w:p w14:paraId="06F30BC7" w14:textId="7B1B2A24"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.757</w:t>
            </w:r>
          </w:p>
        </w:tc>
        <w:tc>
          <w:tcPr>
            <w:tcW w:w="674" w:type="dxa"/>
            <w:tcBorders>
              <w:top w:val="single" w:sz="6" w:space="0" w:color="auto"/>
              <w:bottom w:val="nil"/>
            </w:tcBorders>
            <w:shd w:val="clear" w:color="auto" w:fill="FFFFFF"/>
            <w:vAlign w:val="center"/>
          </w:tcPr>
          <w:p w14:paraId="35177BA1" w14:textId="3770AE76"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.385</w:t>
            </w:r>
          </w:p>
        </w:tc>
      </w:tr>
      <w:tr w:rsidR="00CD755B" w:rsidRPr="00CF31E0" w14:paraId="1112F8FD" w14:textId="77777777" w:rsidTr="00CD755B">
        <w:trPr>
          <w:cantSplit/>
        </w:trPr>
        <w:tc>
          <w:tcPr>
            <w:tcW w:w="1736" w:type="dxa"/>
            <w:tcBorders>
              <w:top w:val="nil"/>
            </w:tcBorders>
            <w:shd w:val="clear" w:color="auto" w:fill="FFFFFF"/>
          </w:tcPr>
          <w:p w14:paraId="3CBDC5E4"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575D82B6" w14:textId="037E440C"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1185.815</w:t>
            </w:r>
          </w:p>
        </w:tc>
        <w:tc>
          <w:tcPr>
            <w:tcW w:w="820" w:type="dxa"/>
            <w:tcBorders>
              <w:top w:val="nil"/>
            </w:tcBorders>
            <w:shd w:val="clear" w:color="auto" w:fill="FFFFFF"/>
            <w:vAlign w:val="center"/>
          </w:tcPr>
          <w:p w14:paraId="396C5383" w14:textId="7144A83D" w:rsidR="00CD755B"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648</w:t>
            </w:r>
          </w:p>
        </w:tc>
        <w:tc>
          <w:tcPr>
            <w:tcW w:w="1445" w:type="dxa"/>
            <w:tcBorders>
              <w:top w:val="nil"/>
            </w:tcBorders>
            <w:shd w:val="clear" w:color="auto" w:fill="FFFFFF"/>
            <w:vAlign w:val="center"/>
          </w:tcPr>
          <w:p w14:paraId="0BCCA8CD" w14:textId="13E8940E"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1.833</w:t>
            </w:r>
          </w:p>
        </w:tc>
        <w:tc>
          <w:tcPr>
            <w:tcW w:w="1030" w:type="dxa"/>
            <w:tcBorders>
              <w:top w:val="nil"/>
            </w:tcBorders>
            <w:shd w:val="clear" w:color="auto" w:fill="FFFFFF"/>
            <w:vAlign w:val="center"/>
          </w:tcPr>
          <w:p w14:paraId="45747CA4"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20DE73F3"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r>
      <w:tr w:rsidR="00CD755B" w:rsidRPr="00CF31E0" w14:paraId="77634B5D" w14:textId="77777777" w:rsidTr="00CD755B">
        <w:trPr>
          <w:cantSplit/>
        </w:trPr>
        <w:tc>
          <w:tcPr>
            <w:tcW w:w="1736" w:type="dxa"/>
            <w:shd w:val="clear" w:color="auto" w:fill="FFFFFF"/>
          </w:tcPr>
          <w:p w14:paraId="1FE6AEDF"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6FCF53E3" w14:textId="6614E5B0"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1187.202</w:t>
            </w:r>
          </w:p>
        </w:tc>
        <w:tc>
          <w:tcPr>
            <w:tcW w:w="820" w:type="dxa"/>
            <w:shd w:val="clear" w:color="auto" w:fill="FFFFFF"/>
            <w:vAlign w:val="center"/>
          </w:tcPr>
          <w:p w14:paraId="7FD2121D" w14:textId="2B7AA31F" w:rsidR="00CD755B"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390DDCE5"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63E0087E"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24B2B8AB"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r>
    </w:tbl>
    <w:p w14:paraId="374F276C" w14:textId="77777777" w:rsidR="00CD755B" w:rsidRPr="00CF31E0" w:rsidRDefault="00CD755B" w:rsidP="00CD755B">
      <w:pPr>
        <w:rPr>
          <w:rFonts w:asciiTheme="majorBidi" w:hAnsiTheme="majorBidi" w:cstheme="majorBidi"/>
          <w:b/>
          <w:bCs/>
          <w:color w:val="000000" w:themeColor="text1"/>
        </w:rPr>
      </w:pPr>
    </w:p>
    <w:p w14:paraId="72A81EA4" w14:textId="77777777" w:rsidR="00CD755B" w:rsidRPr="00CF31E0" w:rsidRDefault="00CD755B" w:rsidP="00CD755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D755B" w:rsidRPr="00CF31E0" w14:paraId="62CB1FF4" w14:textId="77777777" w:rsidTr="00CD755B">
        <w:trPr>
          <w:cantSplit/>
        </w:trPr>
        <w:tc>
          <w:tcPr>
            <w:tcW w:w="1736" w:type="dxa"/>
            <w:tcBorders>
              <w:top w:val="single" w:sz="8" w:space="0" w:color="auto"/>
              <w:bottom w:val="single" w:sz="6" w:space="0" w:color="auto"/>
            </w:tcBorders>
            <w:shd w:val="clear" w:color="auto" w:fill="FFFFFF"/>
            <w:vAlign w:val="bottom"/>
          </w:tcPr>
          <w:p w14:paraId="36AC7390"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Places lived</w:t>
            </w:r>
          </w:p>
        </w:tc>
        <w:tc>
          <w:tcPr>
            <w:tcW w:w="1686" w:type="dxa"/>
            <w:tcBorders>
              <w:top w:val="single" w:sz="8" w:space="0" w:color="auto"/>
              <w:bottom w:val="single" w:sz="6" w:space="0" w:color="auto"/>
            </w:tcBorders>
            <w:shd w:val="clear" w:color="auto" w:fill="FFFFFF"/>
            <w:vAlign w:val="bottom"/>
          </w:tcPr>
          <w:p w14:paraId="10DA2A11"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1C8C7DFC"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54C9DBAD"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EFD5F5A"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393FE1ED"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D755B" w:rsidRPr="00CF31E0" w14:paraId="32500525" w14:textId="77777777" w:rsidTr="00CD755B">
        <w:trPr>
          <w:cantSplit/>
        </w:trPr>
        <w:tc>
          <w:tcPr>
            <w:tcW w:w="1736" w:type="dxa"/>
            <w:tcBorders>
              <w:top w:val="single" w:sz="6" w:space="0" w:color="auto"/>
              <w:bottom w:val="nil"/>
            </w:tcBorders>
            <w:shd w:val="clear" w:color="auto" w:fill="FFFFFF"/>
          </w:tcPr>
          <w:p w14:paraId="2595D232"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7FAD99FB" w14:textId="70E17A8E"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1.274</w:t>
            </w:r>
          </w:p>
        </w:tc>
        <w:tc>
          <w:tcPr>
            <w:tcW w:w="820" w:type="dxa"/>
            <w:tcBorders>
              <w:top w:val="single" w:sz="6" w:space="0" w:color="auto"/>
              <w:bottom w:val="nil"/>
            </w:tcBorders>
            <w:shd w:val="clear" w:color="auto" w:fill="FFFFFF"/>
            <w:vAlign w:val="center"/>
          </w:tcPr>
          <w:p w14:paraId="41F93FE0" w14:textId="2791F69B"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w:t>
            </w:r>
          </w:p>
        </w:tc>
        <w:tc>
          <w:tcPr>
            <w:tcW w:w="1445" w:type="dxa"/>
            <w:tcBorders>
              <w:top w:val="single" w:sz="6" w:space="0" w:color="auto"/>
              <w:bottom w:val="nil"/>
            </w:tcBorders>
            <w:shd w:val="clear" w:color="auto" w:fill="FFFFFF"/>
            <w:vAlign w:val="center"/>
          </w:tcPr>
          <w:p w14:paraId="12143A70" w14:textId="2C83F9D6"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1.274</w:t>
            </w:r>
          </w:p>
        </w:tc>
        <w:tc>
          <w:tcPr>
            <w:tcW w:w="1030" w:type="dxa"/>
            <w:tcBorders>
              <w:top w:val="single" w:sz="6" w:space="0" w:color="auto"/>
              <w:bottom w:val="nil"/>
            </w:tcBorders>
            <w:shd w:val="clear" w:color="auto" w:fill="FFFFFF"/>
            <w:vAlign w:val="center"/>
          </w:tcPr>
          <w:p w14:paraId="2D1287CC" w14:textId="4DD5B0CB"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.688</w:t>
            </w:r>
          </w:p>
        </w:tc>
        <w:tc>
          <w:tcPr>
            <w:tcW w:w="674" w:type="dxa"/>
            <w:tcBorders>
              <w:top w:val="single" w:sz="6" w:space="0" w:color="auto"/>
              <w:bottom w:val="nil"/>
            </w:tcBorders>
            <w:shd w:val="clear" w:color="auto" w:fill="FFFFFF"/>
            <w:vAlign w:val="center"/>
          </w:tcPr>
          <w:p w14:paraId="3AF05DEC" w14:textId="167FE54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.407</w:t>
            </w:r>
          </w:p>
        </w:tc>
      </w:tr>
      <w:tr w:rsidR="00CD755B" w:rsidRPr="00CF31E0" w14:paraId="537C84DE" w14:textId="77777777" w:rsidTr="00CD755B">
        <w:trPr>
          <w:cantSplit/>
        </w:trPr>
        <w:tc>
          <w:tcPr>
            <w:tcW w:w="1736" w:type="dxa"/>
            <w:tcBorders>
              <w:top w:val="nil"/>
            </w:tcBorders>
            <w:shd w:val="clear" w:color="auto" w:fill="FFFFFF"/>
          </w:tcPr>
          <w:p w14:paraId="42E2312F"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7A85C29E" w14:textId="5D7893E6"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1179.374</w:t>
            </w:r>
          </w:p>
        </w:tc>
        <w:tc>
          <w:tcPr>
            <w:tcW w:w="820" w:type="dxa"/>
            <w:tcBorders>
              <w:top w:val="nil"/>
            </w:tcBorders>
            <w:shd w:val="clear" w:color="auto" w:fill="FFFFFF"/>
            <w:vAlign w:val="center"/>
          </w:tcPr>
          <w:p w14:paraId="788832D6" w14:textId="5C643855" w:rsidR="00CD755B"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648</w:t>
            </w:r>
          </w:p>
        </w:tc>
        <w:tc>
          <w:tcPr>
            <w:tcW w:w="1445" w:type="dxa"/>
            <w:tcBorders>
              <w:top w:val="nil"/>
            </w:tcBorders>
            <w:shd w:val="clear" w:color="auto" w:fill="FFFFFF"/>
            <w:vAlign w:val="center"/>
          </w:tcPr>
          <w:p w14:paraId="1C133D4C" w14:textId="105E3352"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1.851</w:t>
            </w:r>
          </w:p>
        </w:tc>
        <w:tc>
          <w:tcPr>
            <w:tcW w:w="1030" w:type="dxa"/>
            <w:tcBorders>
              <w:top w:val="nil"/>
            </w:tcBorders>
            <w:shd w:val="clear" w:color="auto" w:fill="FFFFFF"/>
            <w:vAlign w:val="center"/>
          </w:tcPr>
          <w:p w14:paraId="29234256"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48B499C9"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r>
      <w:tr w:rsidR="00CD755B" w:rsidRPr="00CF31E0" w14:paraId="24367D0D" w14:textId="77777777" w:rsidTr="00CD755B">
        <w:trPr>
          <w:cantSplit/>
        </w:trPr>
        <w:tc>
          <w:tcPr>
            <w:tcW w:w="1736" w:type="dxa"/>
            <w:shd w:val="clear" w:color="auto" w:fill="FFFFFF"/>
          </w:tcPr>
          <w:p w14:paraId="6B02121C"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97DB7BA" w14:textId="1E4FB41B"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1180.648</w:t>
            </w:r>
          </w:p>
        </w:tc>
        <w:tc>
          <w:tcPr>
            <w:tcW w:w="820" w:type="dxa"/>
            <w:shd w:val="clear" w:color="auto" w:fill="FFFFFF"/>
            <w:vAlign w:val="center"/>
          </w:tcPr>
          <w:p w14:paraId="76FE48A3" w14:textId="5065FD77" w:rsidR="00CD755B"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14358EE7"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65B7E6CB"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5B1DE066"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r>
    </w:tbl>
    <w:p w14:paraId="596826F3" w14:textId="77777777" w:rsidR="00CD755B" w:rsidRPr="00CF31E0" w:rsidRDefault="00CD755B" w:rsidP="00CD755B">
      <w:pPr>
        <w:rPr>
          <w:rFonts w:asciiTheme="majorBidi" w:hAnsiTheme="majorBidi" w:cstheme="majorBidi"/>
          <w:b/>
          <w:bCs/>
          <w:color w:val="000000" w:themeColor="text1"/>
        </w:rPr>
      </w:pPr>
    </w:p>
    <w:p w14:paraId="0BAB2035" w14:textId="77777777" w:rsidR="00CD755B" w:rsidRPr="00CF31E0" w:rsidRDefault="00CD755B" w:rsidP="00CD755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D755B" w:rsidRPr="00CF31E0" w14:paraId="045C332D" w14:textId="77777777" w:rsidTr="00CD755B">
        <w:trPr>
          <w:cantSplit/>
        </w:trPr>
        <w:tc>
          <w:tcPr>
            <w:tcW w:w="1736" w:type="dxa"/>
            <w:tcBorders>
              <w:top w:val="single" w:sz="8" w:space="0" w:color="auto"/>
              <w:bottom w:val="single" w:sz="6" w:space="0" w:color="auto"/>
            </w:tcBorders>
            <w:shd w:val="clear" w:color="auto" w:fill="FFFFFF"/>
            <w:vAlign w:val="bottom"/>
          </w:tcPr>
          <w:p w14:paraId="3EFF4242"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Marital status</w:t>
            </w:r>
          </w:p>
        </w:tc>
        <w:tc>
          <w:tcPr>
            <w:tcW w:w="1686" w:type="dxa"/>
            <w:tcBorders>
              <w:top w:val="single" w:sz="8" w:space="0" w:color="auto"/>
              <w:bottom w:val="single" w:sz="6" w:space="0" w:color="auto"/>
            </w:tcBorders>
            <w:shd w:val="clear" w:color="auto" w:fill="FFFFFF"/>
            <w:vAlign w:val="bottom"/>
          </w:tcPr>
          <w:p w14:paraId="619DAFDF"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7970EC4E"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7C26548F"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6586E543"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03162A2A"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D755B" w:rsidRPr="00CF31E0" w14:paraId="0243ED77" w14:textId="77777777" w:rsidTr="00CD755B">
        <w:trPr>
          <w:cantSplit/>
        </w:trPr>
        <w:tc>
          <w:tcPr>
            <w:tcW w:w="1736" w:type="dxa"/>
            <w:tcBorders>
              <w:top w:val="single" w:sz="6" w:space="0" w:color="auto"/>
              <w:bottom w:val="nil"/>
            </w:tcBorders>
            <w:shd w:val="clear" w:color="auto" w:fill="FFFFFF"/>
          </w:tcPr>
          <w:p w14:paraId="6023F561"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5E896545" w14:textId="37D7812E"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12.585</w:t>
            </w:r>
          </w:p>
        </w:tc>
        <w:tc>
          <w:tcPr>
            <w:tcW w:w="820" w:type="dxa"/>
            <w:tcBorders>
              <w:top w:val="single" w:sz="6" w:space="0" w:color="auto"/>
              <w:bottom w:val="nil"/>
            </w:tcBorders>
            <w:shd w:val="clear" w:color="auto" w:fill="FFFFFF"/>
            <w:vAlign w:val="center"/>
          </w:tcPr>
          <w:p w14:paraId="57FEF4DC" w14:textId="0D754A1E"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3</w:t>
            </w:r>
          </w:p>
        </w:tc>
        <w:tc>
          <w:tcPr>
            <w:tcW w:w="1445" w:type="dxa"/>
            <w:tcBorders>
              <w:top w:val="single" w:sz="6" w:space="0" w:color="auto"/>
              <w:bottom w:val="nil"/>
            </w:tcBorders>
            <w:shd w:val="clear" w:color="auto" w:fill="FFFFFF"/>
            <w:vAlign w:val="center"/>
          </w:tcPr>
          <w:p w14:paraId="6B04923B" w14:textId="5EC6FE4B"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4.195</w:t>
            </w:r>
          </w:p>
        </w:tc>
        <w:tc>
          <w:tcPr>
            <w:tcW w:w="1030" w:type="dxa"/>
            <w:tcBorders>
              <w:top w:val="single" w:sz="6" w:space="0" w:color="auto"/>
              <w:bottom w:val="nil"/>
            </w:tcBorders>
            <w:shd w:val="clear" w:color="auto" w:fill="FFFFFF"/>
            <w:vAlign w:val="center"/>
          </w:tcPr>
          <w:p w14:paraId="296ADA5F" w14:textId="5D093AA3"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2.304</w:t>
            </w:r>
          </w:p>
        </w:tc>
        <w:tc>
          <w:tcPr>
            <w:tcW w:w="674" w:type="dxa"/>
            <w:tcBorders>
              <w:top w:val="single" w:sz="6" w:space="0" w:color="auto"/>
              <w:bottom w:val="nil"/>
            </w:tcBorders>
            <w:shd w:val="clear" w:color="auto" w:fill="FFFFFF"/>
            <w:vAlign w:val="center"/>
          </w:tcPr>
          <w:p w14:paraId="0348286F" w14:textId="5B3864F9"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.076</w:t>
            </w:r>
          </w:p>
        </w:tc>
      </w:tr>
      <w:tr w:rsidR="00CD755B" w:rsidRPr="00CF31E0" w14:paraId="176E7269" w14:textId="77777777" w:rsidTr="00CD755B">
        <w:trPr>
          <w:cantSplit/>
        </w:trPr>
        <w:tc>
          <w:tcPr>
            <w:tcW w:w="1736" w:type="dxa"/>
            <w:tcBorders>
              <w:top w:val="nil"/>
            </w:tcBorders>
            <w:shd w:val="clear" w:color="auto" w:fill="FFFFFF"/>
          </w:tcPr>
          <w:p w14:paraId="02F9981F"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3C4D95FA" w14:textId="4F9BCDC2"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1174.617</w:t>
            </w:r>
          </w:p>
        </w:tc>
        <w:tc>
          <w:tcPr>
            <w:tcW w:w="820" w:type="dxa"/>
            <w:tcBorders>
              <w:top w:val="nil"/>
            </w:tcBorders>
            <w:shd w:val="clear" w:color="auto" w:fill="FFFFFF"/>
            <w:vAlign w:val="center"/>
          </w:tcPr>
          <w:p w14:paraId="077F7D4B" w14:textId="5E697EB1" w:rsidR="00CD755B"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646</w:t>
            </w:r>
          </w:p>
        </w:tc>
        <w:tc>
          <w:tcPr>
            <w:tcW w:w="1445" w:type="dxa"/>
            <w:tcBorders>
              <w:top w:val="nil"/>
            </w:tcBorders>
            <w:shd w:val="clear" w:color="auto" w:fill="FFFFFF"/>
            <w:vAlign w:val="center"/>
          </w:tcPr>
          <w:p w14:paraId="40F65EF8" w14:textId="27E2B06F"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1.821</w:t>
            </w:r>
          </w:p>
        </w:tc>
        <w:tc>
          <w:tcPr>
            <w:tcW w:w="1030" w:type="dxa"/>
            <w:tcBorders>
              <w:top w:val="nil"/>
            </w:tcBorders>
            <w:shd w:val="clear" w:color="auto" w:fill="FFFFFF"/>
            <w:vAlign w:val="center"/>
          </w:tcPr>
          <w:p w14:paraId="46A616D3"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6CC68879"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r>
      <w:tr w:rsidR="00CD755B" w:rsidRPr="00CF31E0" w14:paraId="0A3F3766" w14:textId="77777777" w:rsidTr="00CD755B">
        <w:trPr>
          <w:cantSplit/>
        </w:trPr>
        <w:tc>
          <w:tcPr>
            <w:tcW w:w="1736" w:type="dxa"/>
            <w:shd w:val="clear" w:color="auto" w:fill="FFFFFF"/>
          </w:tcPr>
          <w:p w14:paraId="0327E191"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2C052CBA" w14:textId="4E7FC292"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1187.202</w:t>
            </w:r>
          </w:p>
        </w:tc>
        <w:tc>
          <w:tcPr>
            <w:tcW w:w="820" w:type="dxa"/>
            <w:shd w:val="clear" w:color="auto" w:fill="FFFFFF"/>
            <w:vAlign w:val="center"/>
          </w:tcPr>
          <w:p w14:paraId="5D91A620" w14:textId="34F15AD9" w:rsidR="00CD755B"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379F0034"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69D797EA"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0EEBE1B9"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r>
    </w:tbl>
    <w:p w14:paraId="363CF895" w14:textId="77777777" w:rsidR="00CD755B" w:rsidRPr="00CF31E0" w:rsidRDefault="00CD755B" w:rsidP="00CD755B">
      <w:pPr>
        <w:rPr>
          <w:rFonts w:asciiTheme="majorBidi" w:hAnsiTheme="majorBidi" w:cstheme="majorBidi"/>
          <w:b/>
          <w:bCs/>
          <w:color w:val="000000" w:themeColor="text1"/>
        </w:rPr>
      </w:pPr>
    </w:p>
    <w:p w14:paraId="5C192C44" w14:textId="77777777" w:rsidR="00CD755B" w:rsidRPr="00CF31E0" w:rsidRDefault="00CD755B" w:rsidP="00CD755B">
      <w:pPr>
        <w:rPr>
          <w:rFonts w:asciiTheme="majorBidi" w:hAnsiTheme="majorBidi" w:cstheme="majorBidi"/>
          <w:b/>
          <w:bCs/>
          <w:color w:val="000000" w:themeColor="text1"/>
        </w:rPr>
      </w:pPr>
    </w:p>
    <w:p w14:paraId="3D9BEE4E" w14:textId="77777777" w:rsidR="00674195" w:rsidRPr="00CF31E0" w:rsidRDefault="00674195" w:rsidP="00CD755B">
      <w:pPr>
        <w:rPr>
          <w:rFonts w:asciiTheme="majorBidi" w:hAnsiTheme="majorBidi" w:cstheme="majorBidi"/>
          <w:b/>
          <w:bCs/>
          <w:color w:val="000000" w:themeColor="text1"/>
        </w:rPr>
      </w:pPr>
    </w:p>
    <w:p w14:paraId="1AEAF9F0" w14:textId="77777777" w:rsidR="00674195" w:rsidRPr="00CF31E0" w:rsidRDefault="00674195" w:rsidP="00CD755B">
      <w:pPr>
        <w:rPr>
          <w:rFonts w:asciiTheme="majorBidi" w:hAnsiTheme="majorBidi" w:cstheme="majorBidi"/>
          <w:b/>
          <w:bCs/>
          <w:color w:val="000000" w:themeColor="text1"/>
        </w:rPr>
      </w:pPr>
    </w:p>
    <w:p w14:paraId="42C30625" w14:textId="77777777" w:rsidR="00674195" w:rsidRPr="00CF31E0" w:rsidRDefault="00674195" w:rsidP="00CD755B">
      <w:pPr>
        <w:rPr>
          <w:rFonts w:asciiTheme="majorBidi" w:hAnsiTheme="majorBidi" w:cstheme="majorBidi"/>
          <w:b/>
          <w:bCs/>
          <w:color w:val="000000" w:themeColor="text1"/>
        </w:rPr>
      </w:pPr>
    </w:p>
    <w:p w14:paraId="4ECBC9C8" w14:textId="77777777" w:rsidR="00674195" w:rsidRPr="00CF31E0" w:rsidRDefault="00674195" w:rsidP="00CD755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D755B" w:rsidRPr="00CF31E0" w14:paraId="5699C220" w14:textId="77777777" w:rsidTr="00CD755B">
        <w:trPr>
          <w:cantSplit/>
        </w:trPr>
        <w:tc>
          <w:tcPr>
            <w:tcW w:w="1736" w:type="dxa"/>
            <w:tcBorders>
              <w:top w:val="single" w:sz="8" w:space="0" w:color="auto"/>
              <w:bottom w:val="single" w:sz="6" w:space="0" w:color="auto"/>
            </w:tcBorders>
            <w:shd w:val="clear" w:color="auto" w:fill="FFFFFF"/>
            <w:vAlign w:val="bottom"/>
          </w:tcPr>
          <w:p w14:paraId="4CC41920"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Education</w:t>
            </w:r>
          </w:p>
        </w:tc>
        <w:tc>
          <w:tcPr>
            <w:tcW w:w="1686" w:type="dxa"/>
            <w:tcBorders>
              <w:top w:val="single" w:sz="8" w:space="0" w:color="auto"/>
              <w:bottom w:val="single" w:sz="6" w:space="0" w:color="auto"/>
            </w:tcBorders>
            <w:shd w:val="clear" w:color="auto" w:fill="FFFFFF"/>
            <w:vAlign w:val="bottom"/>
          </w:tcPr>
          <w:p w14:paraId="1A04B419"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417DE3E5"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59CA69B"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35B036B1"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442EE87C"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D755B" w:rsidRPr="00CF31E0" w14:paraId="19F1F763" w14:textId="77777777" w:rsidTr="00CD755B">
        <w:trPr>
          <w:cantSplit/>
        </w:trPr>
        <w:tc>
          <w:tcPr>
            <w:tcW w:w="1736" w:type="dxa"/>
            <w:tcBorders>
              <w:top w:val="single" w:sz="6" w:space="0" w:color="auto"/>
              <w:bottom w:val="nil"/>
            </w:tcBorders>
            <w:shd w:val="clear" w:color="auto" w:fill="FFFFFF"/>
          </w:tcPr>
          <w:p w14:paraId="63B920BC"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5029C7B4" w14:textId="1F88C895"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40.011</w:t>
            </w:r>
          </w:p>
        </w:tc>
        <w:tc>
          <w:tcPr>
            <w:tcW w:w="820" w:type="dxa"/>
            <w:tcBorders>
              <w:top w:val="single" w:sz="6" w:space="0" w:color="auto"/>
              <w:bottom w:val="nil"/>
            </w:tcBorders>
            <w:shd w:val="clear" w:color="auto" w:fill="FFFFFF"/>
            <w:vAlign w:val="center"/>
          </w:tcPr>
          <w:p w14:paraId="6DDF2472" w14:textId="24166F64"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5</w:t>
            </w:r>
          </w:p>
        </w:tc>
        <w:tc>
          <w:tcPr>
            <w:tcW w:w="1445" w:type="dxa"/>
            <w:tcBorders>
              <w:top w:val="single" w:sz="6" w:space="0" w:color="auto"/>
              <w:bottom w:val="nil"/>
            </w:tcBorders>
            <w:shd w:val="clear" w:color="auto" w:fill="FFFFFF"/>
            <w:vAlign w:val="center"/>
          </w:tcPr>
          <w:p w14:paraId="24862460" w14:textId="49650C3F"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8.002</w:t>
            </w:r>
          </w:p>
        </w:tc>
        <w:tc>
          <w:tcPr>
            <w:tcW w:w="1030" w:type="dxa"/>
            <w:tcBorders>
              <w:top w:val="single" w:sz="6" w:space="0" w:color="auto"/>
              <w:bottom w:val="nil"/>
            </w:tcBorders>
            <w:shd w:val="clear" w:color="auto" w:fill="FFFFFF"/>
            <w:vAlign w:val="center"/>
          </w:tcPr>
          <w:p w14:paraId="492E2D33" w14:textId="6E958912"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4.485</w:t>
            </w:r>
          </w:p>
        </w:tc>
        <w:tc>
          <w:tcPr>
            <w:tcW w:w="674" w:type="dxa"/>
            <w:tcBorders>
              <w:top w:val="single" w:sz="6" w:space="0" w:color="auto"/>
              <w:bottom w:val="nil"/>
            </w:tcBorders>
            <w:shd w:val="clear" w:color="auto" w:fill="FFFFFF"/>
            <w:vAlign w:val="center"/>
          </w:tcPr>
          <w:p w14:paraId="0B88CB75" w14:textId="31773274"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.091</w:t>
            </w:r>
          </w:p>
        </w:tc>
      </w:tr>
      <w:tr w:rsidR="00CD755B" w:rsidRPr="00CF31E0" w14:paraId="4B6DA40E" w14:textId="77777777" w:rsidTr="00CD755B">
        <w:trPr>
          <w:cantSplit/>
        </w:trPr>
        <w:tc>
          <w:tcPr>
            <w:tcW w:w="1736" w:type="dxa"/>
            <w:tcBorders>
              <w:top w:val="nil"/>
            </w:tcBorders>
            <w:shd w:val="clear" w:color="auto" w:fill="FFFFFF"/>
          </w:tcPr>
          <w:p w14:paraId="72AC470F"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562F1032" w14:textId="13C11EC4"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1147.191</w:t>
            </w:r>
          </w:p>
        </w:tc>
        <w:tc>
          <w:tcPr>
            <w:tcW w:w="820" w:type="dxa"/>
            <w:tcBorders>
              <w:top w:val="nil"/>
            </w:tcBorders>
            <w:shd w:val="clear" w:color="auto" w:fill="FFFFFF"/>
            <w:vAlign w:val="center"/>
          </w:tcPr>
          <w:p w14:paraId="668D30D8" w14:textId="7C2AA2DB" w:rsidR="00CD755B"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644</w:t>
            </w:r>
          </w:p>
        </w:tc>
        <w:tc>
          <w:tcPr>
            <w:tcW w:w="1445" w:type="dxa"/>
            <w:tcBorders>
              <w:top w:val="nil"/>
            </w:tcBorders>
            <w:shd w:val="clear" w:color="auto" w:fill="FFFFFF"/>
            <w:vAlign w:val="center"/>
          </w:tcPr>
          <w:p w14:paraId="5197B0C6" w14:textId="3BCE1B9C"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1.784</w:t>
            </w:r>
          </w:p>
        </w:tc>
        <w:tc>
          <w:tcPr>
            <w:tcW w:w="1030" w:type="dxa"/>
            <w:tcBorders>
              <w:top w:val="nil"/>
            </w:tcBorders>
            <w:shd w:val="clear" w:color="auto" w:fill="FFFFFF"/>
            <w:vAlign w:val="center"/>
          </w:tcPr>
          <w:p w14:paraId="436581C2"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282FC38C"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r>
      <w:tr w:rsidR="00CD755B" w:rsidRPr="00CF31E0" w14:paraId="7E2C99EE" w14:textId="77777777" w:rsidTr="00CD755B">
        <w:trPr>
          <w:cantSplit/>
        </w:trPr>
        <w:tc>
          <w:tcPr>
            <w:tcW w:w="1736" w:type="dxa"/>
            <w:shd w:val="clear" w:color="auto" w:fill="FFFFFF"/>
          </w:tcPr>
          <w:p w14:paraId="483B90E4"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30325292" w14:textId="18B6FCF8"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1187.202</w:t>
            </w:r>
          </w:p>
        </w:tc>
        <w:tc>
          <w:tcPr>
            <w:tcW w:w="820" w:type="dxa"/>
            <w:shd w:val="clear" w:color="auto" w:fill="FFFFFF"/>
            <w:vAlign w:val="center"/>
          </w:tcPr>
          <w:p w14:paraId="1596796B" w14:textId="195A1845" w:rsidR="00CD755B"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48BCB132"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09E6B544"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72C4ACF8"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r>
    </w:tbl>
    <w:p w14:paraId="101A38A0" w14:textId="77777777" w:rsidR="00CD755B" w:rsidRPr="00CF31E0" w:rsidRDefault="00CD755B" w:rsidP="00CD755B">
      <w:pPr>
        <w:rPr>
          <w:rFonts w:asciiTheme="majorBidi" w:hAnsiTheme="majorBidi" w:cstheme="majorBidi"/>
          <w:b/>
          <w:bCs/>
          <w:color w:val="000000" w:themeColor="text1"/>
        </w:rPr>
      </w:pPr>
    </w:p>
    <w:p w14:paraId="58FAFAA9" w14:textId="77777777" w:rsidR="00CD755B" w:rsidRPr="00CF31E0" w:rsidRDefault="00CD755B" w:rsidP="00CD755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D755B" w:rsidRPr="00CF31E0" w14:paraId="4BE9713F" w14:textId="77777777" w:rsidTr="00CD755B">
        <w:trPr>
          <w:cantSplit/>
        </w:trPr>
        <w:tc>
          <w:tcPr>
            <w:tcW w:w="1736" w:type="dxa"/>
            <w:tcBorders>
              <w:top w:val="single" w:sz="8" w:space="0" w:color="auto"/>
              <w:bottom w:val="single" w:sz="6" w:space="0" w:color="auto"/>
            </w:tcBorders>
            <w:shd w:val="clear" w:color="auto" w:fill="FFFFFF"/>
            <w:vAlign w:val="bottom"/>
          </w:tcPr>
          <w:p w14:paraId="0505D24C"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Mother’s social group</w:t>
            </w:r>
          </w:p>
        </w:tc>
        <w:tc>
          <w:tcPr>
            <w:tcW w:w="1686" w:type="dxa"/>
            <w:tcBorders>
              <w:top w:val="single" w:sz="8" w:space="0" w:color="auto"/>
              <w:bottom w:val="single" w:sz="6" w:space="0" w:color="auto"/>
            </w:tcBorders>
            <w:shd w:val="clear" w:color="auto" w:fill="FFFFFF"/>
            <w:vAlign w:val="bottom"/>
          </w:tcPr>
          <w:p w14:paraId="4B61583E"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708329EC"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72EC360C"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6AE2592D"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08840611"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D755B" w:rsidRPr="00CF31E0" w14:paraId="45CCB9D7" w14:textId="77777777" w:rsidTr="00CD755B">
        <w:trPr>
          <w:cantSplit/>
        </w:trPr>
        <w:tc>
          <w:tcPr>
            <w:tcW w:w="1736" w:type="dxa"/>
            <w:tcBorders>
              <w:top w:val="single" w:sz="6" w:space="0" w:color="auto"/>
              <w:bottom w:val="nil"/>
            </w:tcBorders>
            <w:shd w:val="clear" w:color="auto" w:fill="FFFFFF"/>
          </w:tcPr>
          <w:p w14:paraId="55AA6B22"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05DCCAC0" w14:textId="5C80EEF5"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9.994</w:t>
            </w:r>
          </w:p>
        </w:tc>
        <w:tc>
          <w:tcPr>
            <w:tcW w:w="820" w:type="dxa"/>
            <w:tcBorders>
              <w:top w:val="single" w:sz="6" w:space="0" w:color="auto"/>
              <w:bottom w:val="nil"/>
            </w:tcBorders>
            <w:shd w:val="clear" w:color="auto" w:fill="FFFFFF"/>
            <w:vAlign w:val="center"/>
          </w:tcPr>
          <w:p w14:paraId="025AE199" w14:textId="39F84438"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2</w:t>
            </w:r>
          </w:p>
        </w:tc>
        <w:tc>
          <w:tcPr>
            <w:tcW w:w="1445" w:type="dxa"/>
            <w:tcBorders>
              <w:top w:val="single" w:sz="6" w:space="0" w:color="auto"/>
              <w:bottom w:val="nil"/>
            </w:tcBorders>
            <w:shd w:val="clear" w:color="auto" w:fill="FFFFFF"/>
            <w:vAlign w:val="center"/>
          </w:tcPr>
          <w:p w14:paraId="738D66BF" w14:textId="2357644A"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4.997</w:t>
            </w:r>
          </w:p>
        </w:tc>
        <w:tc>
          <w:tcPr>
            <w:tcW w:w="1030" w:type="dxa"/>
            <w:tcBorders>
              <w:top w:val="single" w:sz="6" w:space="0" w:color="auto"/>
              <w:bottom w:val="nil"/>
            </w:tcBorders>
            <w:shd w:val="clear" w:color="auto" w:fill="FFFFFF"/>
            <w:vAlign w:val="center"/>
          </w:tcPr>
          <w:p w14:paraId="12ABA820" w14:textId="609EA25E"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2.750</w:t>
            </w:r>
          </w:p>
        </w:tc>
        <w:tc>
          <w:tcPr>
            <w:tcW w:w="674" w:type="dxa"/>
            <w:tcBorders>
              <w:top w:val="single" w:sz="6" w:space="0" w:color="auto"/>
              <w:bottom w:val="nil"/>
            </w:tcBorders>
            <w:shd w:val="clear" w:color="auto" w:fill="FFFFFF"/>
            <w:vAlign w:val="center"/>
          </w:tcPr>
          <w:p w14:paraId="5E5D8BE5" w14:textId="50B8A5BD"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.065</w:t>
            </w:r>
          </w:p>
        </w:tc>
      </w:tr>
      <w:tr w:rsidR="00CD755B" w:rsidRPr="00CF31E0" w14:paraId="6620FEB5" w14:textId="77777777" w:rsidTr="00CD755B">
        <w:trPr>
          <w:cantSplit/>
        </w:trPr>
        <w:tc>
          <w:tcPr>
            <w:tcW w:w="1736" w:type="dxa"/>
            <w:tcBorders>
              <w:top w:val="nil"/>
            </w:tcBorders>
            <w:shd w:val="clear" w:color="auto" w:fill="FFFFFF"/>
          </w:tcPr>
          <w:p w14:paraId="5A024B4A"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250F3C16" w14:textId="640B61CC"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1171.893</w:t>
            </w:r>
          </w:p>
        </w:tc>
        <w:tc>
          <w:tcPr>
            <w:tcW w:w="820" w:type="dxa"/>
            <w:tcBorders>
              <w:top w:val="nil"/>
            </w:tcBorders>
            <w:shd w:val="clear" w:color="auto" w:fill="FFFFFF"/>
            <w:vAlign w:val="center"/>
          </w:tcPr>
          <w:p w14:paraId="5480E88A" w14:textId="6C43162F" w:rsidR="00CD755B"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647</w:t>
            </w:r>
          </w:p>
        </w:tc>
        <w:tc>
          <w:tcPr>
            <w:tcW w:w="1445" w:type="dxa"/>
            <w:tcBorders>
              <w:top w:val="nil"/>
            </w:tcBorders>
            <w:shd w:val="clear" w:color="auto" w:fill="FFFFFF"/>
            <w:vAlign w:val="center"/>
          </w:tcPr>
          <w:p w14:paraId="7065DA16" w14:textId="3E052A2C"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1.817</w:t>
            </w:r>
          </w:p>
        </w:tc>
        <w:tc>
          <w:tcPr>
            <w:tcW w:w="1030" w:type="dxa"/>
            <w:tcBorders>
              <w:top w:val="nil"/>
            </w:tcBorders>
            <w:shd w:val="clear" w:color="auto" w:fill="FFFFFF"/>
            <w:vAlign w:val="center"/>
          </w:tcPr>
          <w:p w14:paraId="0E6C63AC"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6F3883B1"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r>
      <w:tr w:rsidR="00CD755B" w:rsidRPr="00CF31E0" w14:paraId="5D6418CB" w14:textId="77777777" w:rsidTr="00CD755B">
        <w:trPr>
          <w:cantSplit/>
        </w:trPr>
        <w:tc>
          <w:tcPr>
            <w:tcW w:w="1736" w:type="dxa"/>
            <w:shd w:val="clear" w:color="auto" w:fill="FFFFFF"/>
          </w:tcPr>
          <w:p w14:paraId="1AD844B1"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5CFF318" w14:textId="2BE19986"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1181.887</w:t>
            </w:r>
          </w:p>
        </w:tc>
        <w:tc>
          <w:tcPr>
            <w:tcW w:w="820" w:type="dxa"/>
            <w:shd w:val="clear" w:color="auto" w:fill="FFFFFF"/>
            <w:vAlign w:val="center"/>
          </w:tcPr>
          <w:p w14:paraId="45ADD3C8" w14:textId="31266388" w:rsidR="00CD755B"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38A2876F"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4E3276C1"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0102A442"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r>
    </w:tbl>
    <w:p w14:paraId="64181304" w14:textId="77777777" w:rsidR="00CD755B" w:rsidRPr="00CF31E0" w:rsidRDefault="00CD755B" w:rsidP="00CD755B">
      <w:pPr>
        <w:rPr>
          <w:rFonts w:asciiTheme="majorBidi" w:hAnsiTheme="majorBidi" w:cstheme="majorBidi"/>
          <w:b/>
          <w:bCs/>
          <w:color w:val="000000" w:themeColor="text1"/>
        </w:rPr>
      </w:pPr>
    </w:p>
    <w:p w14:paraId="4B619FA7" w14:textId="77777777" w:rsidR="00CD755B" w:rsidRPr="00CF31E0" w:rsidRDefault="00CD755B" w:rsidP="00CD755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D755B" w:rsidRPr="00CF31E0" w14:paraId="0D089A7E" w14:textId="77777777" w:rsidTr="00CD755B">
        <w:trPr>
          <w:cantSplit/>
        </w:trPr>
        <w:tc>
          <w:tcPr>
            <w:tcW w:w="1736" w:type="dxa"/>
            <w:tcBorders>
              <w:top w:val="single" w:sz="8" w:space="0" w:color="auto"/>
              <w:bottom w:val="single" w:sz="6" w:space="0" w:color="auto"/>
            </w:tcBorders>
            <w:shd w:val="clear" w:color="auto" w:fill="FFFFFF"/>
            <w:vAlign w:val="bottom"/>
          </w:tcPr>
          <w:p w14:paraId="782E7E96"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Spouse’s social group</w:t>
            </w:r>
          </w:p>
        </w:tc>
        <w:tc>
          <w:tcPr>
            <w:tcW w:w="1686" w:type="dxa"/>
            <w:tcBorders>
              <w:top w:val="single" w:sz="8" w:space="0" w:color="auto"/>
              <w:bottom w:val="single" w:sz="6" w:space="0" w:color="auto"/>
            </w:tcBorders>
            <w:shd w:val="clear" w:color="auto" w:fill="FFFFFF"/>
            <w:vAlign w:val="bottom"/>
          </w:tcPr>
          <w:p w14:paraId="2ABB42CB"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6CFE3ACA"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70223770"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6BB5BEA4"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365F9CA1"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CD755B" w:rsidRPr="00CF31E0" w14:paraId="614D0485" w14:textId="77777777" w:rsidTr="00CD755B">
        <w:trPr>
          <w:cantSplit/>
        </w:trPr>
        <w:tc>
          <w:tcPr>
            <w:tcW w:w="1736" w:type="dxa"/>
            <w:tcBorders>
              <w:top w:val="single" w:sz="6" w:space="0" w:color="auto"/>
              <w:bottom w:val="nil"/>
            </w:tcBorders>
            <w:shd w:val="clear" w:color="auto" w:fill="FFFFFF"/>
          </w:tcPr>
          <w:p w14:paraId="1E1B8AA0"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21A1CE1B" w14:textId="02987C81"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11.129</w:t>
            </w:r>
          </w:p>
        </w:tc>
        <w:tc>
          <w:tcPr>
            <w:tcW w:w="820" w:type="dxa"/>
            <w:tcBorders>
              <w:top w:val="single" w:sz="6" w:space="0" w:color="auto"/>
              <w:bottom w:val="nil"/>
            </w:tcBorders>
            <w:shd w:val="clear" w:color="auto" w:fill="FFFFFF"/>
            <w:vAlign w:val="center"/>
          </w:tcPr>
          <w:p w14:paraId="576C9B34" w14:textId="5571DEF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4</w:t>
            </w:r>
          </w:p>
        </w:tc>
        <w:tc>
          <w:tcPr>
            <w:tcW w:w="1445" w:type="dxa"/>
            <w:tcBorders>
              <w:top w:val="single" w:sz="6" w:space="0" w:color="auto"/>
              <w:bottom w:val="nil"/>
            </w:tcBorders>
            <w:shd w:val="clear" w:color="auto" w:fill="FFFFFF"/>
            <w:vAlign w:val="center"/>
          </w:tcPr>
          <w:p w14:paraId="7C8AF8F9" w14:textId="2BD14FEC"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2.782</w:t>
            </w:r>
          </w:p>
        </w:tc>
        <w:tc>
          <w:tcPr>
            <w:tcW w:w="1030" w:type="dxa"/>
            <w:tcBorders>
              <w:top w:val="single" w:sz="6" w:space="0" w:color="auto"/>
              <w:bottom w:val="nil"/>
            </w:tcBorders>
            <w:shd w:val="clear" w:color="auto" w:fill="FFFFFF"/>
            <w:vAlign w:val="center"/>
          </w:tcPr>
          <w:p w14:paraId="7A7E558D" w14:textId="7E8FD3B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1.522</w:t>
            </w:r>
          </w:p>
        </w:tc>
        <w:tc>
          <w:tcPr>
            <w:tcW w:w="674" w:type="dxa"/>
            <w:tcBorders>
              <w:top w:val="single" w:sz="6" w:space="0" w:color="auto"/>
              <w:bottom w:val="nil"/>
            </w:tcBorders>
            <w:shd w:val="clear" w:color="auto" w:fill="FFFFFF"/>
            <w:vAlign w:val="center"/>
          </w:tcPr>
          <w:p w14:paraId="5BA4EE0B" w14:textId="73CB6FBB"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.194</w:t>
            </w:r>
          </w:p>
        </w:tc>
      </w:tr>
      <w:tr w:rsidR="00CD755B" w:rsidRPr="00CF31E0" w14:paraId="3E1DC6E4" w14:textId="77777777" w:rsidTr="00CD755B">
        <w:trPr>
          <w:cantSplit/>
        </w:trPr>
        <w:tc>
          <w:tcPr>
            <w:tcW w:w="1736" w:type="dxa"/>
            <w:tcBorders>
              <w:top w:val="nil"/>
            </w:tcBorders>
            <w:shd w:val="clear" w:color="auto" w:fill="FFFFFF"/>
          </w:tcPr>
          <w:p w14:paraId="62B34B10"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1353A278" w14:textId="7CACE3E8"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1170.121</w:t>
            </w:r>
          </w:p>
        </w:tc>
        <w:tc>
          <w:tcPr>
            <w:tcW w:w="820" w:type="dxa"/>
            <w:tcBorders>
              <w:top w:val="nil"/>
            </w:tcBorders>
            <w:shd w:val="clear" w:color="auto" w:fill="FFFFFF"/>
            <w:vAlign w:val="center"/>
          </w:tcPr>
          <w:p w14:paraId="0A8CA087" w14:textId="298B73CE" w:rsidR="00CD755B"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645</w:t>
            </w:r>
          </w:p>
        </w:tc>
        <w:tc>
          <w:tcPr>
            <w:tcW w:w="1445" w:type="dxa"/>
            <w:tcBorders>
              <w:top w:val="nil"/>
            </w:tcBorders>
            <w:shd w:val="clear" w:color="auto" w:fill="FFFFFF"/>
            <w:vAlign w:val="center"/>
          </w:tcPr>
          <w:p w14:paraId="4FF700BB" w14:textId="611C28A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1.828</w:t>
            </w:r>
          </w:p>
        </w:tc>
        <w:tc>
          <w:tcPr>
            <w:tcW w:w="1030" w:type="dxa"/>
            <w:tcBorders>
              <w:top w:val="nil"/>
            </w:tcBorders>
            <w:shd w:val="clear" w:color="auto" w:fill="FFFFFF"/>
            <w:vAlign w:val="center"/>
          </w:tcPr>
          <w:p w14:paraId="51E3EDC9"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3026086B"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r>
      <w:tr w:rsidR="00CD755B" w:rsidRPr="00CF31E0" w14:paraId="341CD576" w14:textId="77777777" w:rsidTr="00CD755B">
        <w:trPr>
          <w:cantSplit/>
        </w:trPr>
        <w:tc>
          <w:tcPr>
            <w:tcW w:w="1736" w:type="dxa"/>
            <w:shd w:val="clear" w:color="auto" w:fill="FFFFFF"/>
          </w:tcPr>
          <w:p w14:paraId="1763E063"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6DA3FB59" w14:textId="791C2581"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1181.250</w:t>
            </w:r>
          </w:p>
        </w:tc>
        <w:tc>
          <w:tcPr>
            <w:tcW w:w="820" w:type="dxa"/>
            <w:shd w:val="clear" w:color="auto" w:fill="FFFFFF"/>
            <w:vAlign w:val="center"/>
          </w:tcPr>
          <w:p w14:paraId="46EE66D0" w14:textId="2EE37B0B" w:rsidR="00CD755B"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42EB1F8A"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5125D323"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3321D609"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p>
        </w:tc>
      </w:tr>
    </w:tbl>
    <w:p w14:paraId="5135E090" w14:textId="77777777" w:rsidR="00CD755B" w:rsidRPr="00CF31E0" w:rsidRDefault="00CD755B" w:rsidP="00CD755B">
      <w:pPr>
        <w:rPr>
          <w:rFonts w:asciiTheme="majorBidi" w:hAnsiTheme="majorBidi" w:cstheme="majorBidi"/>
          <w:b/>
          <w:bCs/>
          <w:color w:val="000000" w:themeColor="text1"/>
        </w:rPr>
      </w:pPr>
    </w:p>
    <w:p w14:paraId="1AF4E635" w14:textId="77777777" w:rsidR="00CD755B" w:rsidRPr="00CF31E0" w:rsidRDefault="00CD755B" w:rsidP="00CD755B">
      <w:pPr>
        <w:rPr>
          <w:rFonts w:asciiTheme="majorBidi" w:hAnsiTheme="majorBidi" w:cstheme="majorBidi"/>
          <w:b/>
          <w:bCs/>
          <w:color w:val="000000" w:themeColor="text1"/>
        </w:rPr>
      </w:pPr>
    </w:p>
    <w:p w14:paraId="7ED94B72" w14:textId="77777777" w:rsidR="00CD755B" w:rsidRPr="00CF31E0" w:rsidRDefault="00CD755B" w:rsidP="00CD755B">
      <w:pPr>
        <w:pStyle w:val="ListParagraph"/>
        <w:numPr>
          <w:ilvl w:val="0"/>
          <w:numId w:val="71"/>
        </w:numPr>
        <w:rPr>
          <w:rFonts w:asciiTheme="majorBidi" w:hAnsiTheme="majorBidi" w:cstheme="majorBidi"/>
          <w:b/>
          <w:bCs/>
          <w:color w:val="000000" w:themeColor="text1"/>
          <w:sz w:val="28"/>
          <w:szCs w:val="28"/>
        </w:rPr>
      </w:pPr>
      <w:r w:rsidRPr="00CF31E0">
        <w:rPr>
          <w:rFonts w:asciiTheme="majorBidi" w:hAnsiTheme="majorBidi" w:cstheme="majorBidi"/>
          <w:b/>
          <w:bCs/>
          <w:color w:val="000000" w:themeColor="text1"/>
          <w:sz w:val="28"/>
          <w:szCs w:val="28"/>
        </w:rPr>
        <w:t>Similar to other Arabic dialects scale</w:t>
      </w:r>
    </w:p>
    <w:p w14:paraId="71305AFC" w14:textId="77777777" w:rsidR="00CD755B" w:rsidRPr="00CF31E0" w:rsidRDefault="00CD755B" w:rsidP="00CD755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D755B" w:rsidRPr="00CF31E0" w14:paraId="5E9E8DBC" w14:textId="77777777" w:rsidTr="00CD755B">
        <w:trPr>
          <w:cantSplit/>
        </w:trPr>
        <w:tc>
          <w:tcPr>
            <w:tcW w:w="1736" w:type="dxa"/>
            <w:tcBorders>
              <w:top w:val="single" w:sz="8" w:space="0" w:color="auto"/>
              <w:bottom w:val="single" w:sz="6" w:space="0" w:color="auto"/>
            </w:tcBorders>
            <w:shd w:val="clear" w:color="auto" w:fill="FFFFFF"/>
            <w:vAlign w:val="bottom"/>
          </w:tcPr>
          <w:p w14:paraId="671F5813"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Gender</w:t>
            </w:r>
          </w:p>
        </w:tc>
        <w:tc>
          <w:tcPr>
            <w:tcW w:w="1686" w:type="dxa"/>
            <w:tcBorders>
              <w:top w:val="single" w:sz="8" w:space="0" w:color="auto"/>
              <w:bottom w:val="single" w:sz="6" w:space="0" w:color="auto"/>
            </w:tcBorders>
            <w:shd w:val="clear" w:color="auto" w:fill="FFFFFF"/>
            <w:vAlign w:val="bottom"/>
          </w:tcPr>
          <w:p w14:paraId="3882CBB6"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0CCDD3CC"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4F42E1F2"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3E2DA87"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40E6502C"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200D82" w:rsidRPr="00CF31E0" w14:paraId="5A3D577D" w14:textId="77777777" w:rsidTr="00CD755B">
        <w:trPr>
          <w:cantSplit/>
        </w:trPr>
        <w:tc>
          <w:tcPr>
            <w:tcW w:w="1736" w:type="dxa"/>
            <w:tcBorders>
              <w:top w:val="single" w:sz="6" w:space="0" w:color="auto"/>
              <w:bottom w:val="nil"/>
            </w:tcBorders>
            <w:shd w:val="clear" w:color="auto" w:fill="FFFFFF"/>
          </w:tcPr>
          <w:p w14:paraId="03B058C4"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1F4A0729" w14:textId="0A99134F"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5.592</w:t>
            </w:r>
          </w:p>
        </w:tc>
        <w:tc>
          <w:tcPr>
            <w:tcW w:w="820" w:type="dxa"/>
            <w:tcBorders>
              <w:top w:val="single" w:sz="6" w:space="0" w:color="auto"/>
              <w:bottom w:val="nil"/>
            </w:tcBorders>
            <w:shd w:val="clear" w:color="auto" w:fill="FFFFFF"/>
            <w:vAlign w:val="center"/>
          </w:tcPr>
          <w:p w14:paraId="76016CF5" w14:textId="1B48CAA8"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w:t>
            </w:r>
          </w:p>
        </w:tc>
        <w:tc>
          <w:tcPr>
            <w:tcW w:w="1445" w:type="dxa"/>
            <w:tcBorders>
              <w:top w:val="single" w:sz="6" w:space="0" w:color="auto"/>
              <w:bottom w:val="nil"/>
            </w:tcBorders>
            <w:shd w:val="clear" w:color="auto" w:fill="FFFFFF"/>
            <w:vAlign w:val="center"/>
          </w:tcPr>
          <w:p w14:paraId="2FBDF4A2" w14:textId="7AA41645"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5.592</w:t>
            </w:r>
          </w:p>
        </w:tc>
        <w:tc>
          <w:tcPr>
            <w:tcW w:w="1030" w:type="dxa"/>
            <w:tcBorders>
              <w:top w:val="single" w:sz="6" w:space="0" w:color="auto"/>
              <w:bottom w:val="nil"/>
            </w:tcBorders>
            <w:shd w:val="clear" w:color="auto" w:fill="FFFFFF"/>
            <w:vAlign w:val="center"/>
          </w:tcPr>
          <w:p w14:paraId="255EA778" w14:textId="403EE474"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3.776</w:t>
            </w:r>
          </w:p>
        </w:tc>
        <w:tc>
          <w:tcPr>
            <w:tcW w:w="674" w:type="dxa"/>
            <w:tcBorders>
              <w:top w:val="single" w:sz="6" w:space="0" w:color="auto"/>
              <w:bottom w:val="nil"/>
            </w:tcBorders>
            <w:shd w:val="clear" w:color="auto" w:fill="FFFFFF"/>
            <w:vAlign w:val="center"/>
          </w:tcPr>
          <w:p w14:paraId="3B4B7E69" w14:textId="6F5CAE11"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.072</w:t>
            </w:r>
          </w:p>
        </w:tc>
      </w:tr>
      <w:tr w:rsidR="00200D82" w:rsidRPr="00CF31E0" w14:paraId="794FCD0F" w14:textId="77777777" w:rsidTr="00CD755B">
        <w:trPr>
          <w:cantSplit/>
        </w:trPr>
        <w:tc>
          <w:tcPr>
            <w:tcW w:w="1736" w:type="dxa"/>
            <w:tcBorders>
              <w:top w:val="nil"/>
            </w:tcBorders>
            <w:shd w:val="clear" w:color="auto" w:fill="FFFFFF"/>
          </w:tcPr>
          <w:p w14:paraId="7E522BFA"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316E004B" w14:textId="6A319286"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958.275</w:t>
            </w:r>
          </w:p>
        </w:tc>
        <w:tc>
          <w:tcPr>
            <w:tcW w:w="820" w:type="dxa"/>
            <w:tcBorders>
              <w:top w:val="nil"/>
            </w:tcBorders>
            <w:shd w:val="clear" w:color="auto" w:fill="FFFFFF"/>
            <w:vAlign w:val="center"/>
          </w:tcPr>
          <w:p w14:paraId="640E1B6E" w14:textId="12F30B07" w:rsidR="00200D82"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648</w:t>
            </w:r>
          </w:p>
        </w:tc>
        <w:tc>
          <w:tcPr>
            <w:tcW w:w="1445" w:type="dxa"/>
            <w:tcBorders>
              <w:top w:val="nil"/>
            </w:tcBorders>
            <w:shd w:val="clear" w:color="auto" w:fill="FFFFFF"/>
            <w:vAlign w:val="center"/>
          </w:tcPr>
          <w:p w14:paraId="0C3F312B" w14:textId="30B94B3B"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1.481</w:t>
            </w:r>
          </w:p>
        </w:tc>
        <w:tc>
          <w:tcPr>
            <w:tcW w:w="1030" w:type="dxa"/>
            <w:tcBorders>
              <w:top w:val="nil"/>
            </w:tcBorders>
            <w:shd w:val="clear" w:color="auto" w:fill="FFFFFF"/>
            <w:vAlign w:val="center"/>
          </w:tcPr>
          <w:p w14:paraId="6F4DE8CE"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1AE90ACB"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r w:rsidR="00200D82" w:rsidRPr="00CF31E0" w14:paraId="6991A1B1" w14:textId="77777777" w:rsidTr="00CD755B">
        <w:trPr>
          <w:cantSplit/>
        </w:trPr>
        <w:tc>
          <w:tcPr>
            <w:tcW w:w="1736" w:type="dxa"/>
            <w:shd w:val="clear" w:color="auto" w:fill="FFFFFF"/>
          </w:tcPr>
          <w:p w14:paraId="057AA4F3"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D16B25A" w14:textId="2D1C5EF9"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963.867</w:t>
            </w:r>
          </w:p>
        </w:tc>
        <w:tc>
          <w:tcPr>
            <w:tcW w:w="820" w:type="dxa"/>
            <w:shd w:val="clear" w:color="auto" w:fill="FFFFFF"/>
            <w:vAlign w:val="center"/>
          </w:tcPr>
          <w:p w14:paraId="7AC509BF" w14:textId="11CDB94C" w:rsidR="00200D82"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7413E988"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3AF2FE11"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1709AF2A"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bl>
    <w:p w14:paraId="12F4EF6D" w14:textId="77777777" w:rsidR="00CD755B" w:rsidRPr="00CF31E0" w:rsidRDefault="00CD755B" w:rsidP="00CD755B">
      <w:pPr>
        <w:rPr>
          <w:rFonts w:asciiTheme="majorBidi" w:hAnsiTheme="majorBidi" w:cstheme="majorBidi"/>
          <w:b/>
          <w:bCs/>
          <w:color w:val="000000" w:themeColor="text1"/>
        </w:rPr>
      </w:pPr>
    </w:p>
    <w:p w14:paraId="5991E031" w14:textId="77777777" w:rsidR="00CD755B" w:rsidRPr="00CF31E0" w:rsidRDefault="00CD755B" w:rsidP="00CD755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D755B" w:rsidRPr="00CF31E0" w14:paraId="6AAF3EBC" w14:textId="77777777" w:rsidTr="00CD755B">
        <w:trPr>
          <w:cantSplit/>
        </w:trPr>
        <w:tc>
          <w:tcPr>
            <w:tcW w:w="1736" w:type="dxa"/>
            <w:tcBorders>
              <w:top w:val="single" w:sz="8" w:space="0" w:color="auto"/>
              <w:bottom w:val="single" w:sz="6" w:space="0" w:color="auto"/>
            </w:tcBorders>
            <w:shd w:val="clear" w:color="auto" w:fill="FFFFFF"/>
            <w:vAlign w:val="bottom"/>
          </w:tcPr>
          <w:p w14:paraId="4C52AF76"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Age</w:t>
            </w:r>
          </w:p>
        </w:tc>
        <w:tc>
          <w:tcPr>
            <w:tcW w:w="1686" w:type="dxa"/>
            <w:tcBorders>
              <w:top w:val="single" w:sz="8" w:space="0" w:color="auto"/>
              <w:bottom w:val="single" w:sz="6" w:space="0" w:color="auto"/>
            </w:tcBorders>
            <w:shd w:val="clear" w:color="auto" w:fill="FFFFFF"/>
            <w:vAlign w:val="bottom"/>
          </w:tcPr>
          <w:p w14:paraId="1B221EC8"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07039B21"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3062E481"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CE50673"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59353E98"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200D82" w:rsidRPr="00CF31E0" w14:paraId="3D35766A" w14:textId="77777777" w:rsidTr="00CD755B">
        <w:trPr>
          <w:cantSplit/>
        </w:trPr>
        <w:tc>
          <w:tcPr>
            <w:tcW w:w="1736" w:type="dxa"/>
            <w:tcBorders>
              <w:top w:val="single" w:sz="6" w:space="0" w:color="auto"/>
              <w:bottom w:val="nil"/>
            </w:tcBorders>
            <w:shd w:val="clear" w:color="auto" w:fill="FFFFFF"/>
          </w:tcPr>
          <w:p w14:paraId="60069341"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774C0019" w14:textId="6C5C9225"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11.017</w:t>
            </w:r>
          </w:p>
        </w:tc>
        <w:tc>
          <w:tcPr>
            <w:tcW w:w="820" w:type="dxa"/>
            <w:tcBorders>
              <w:top w:val="single" w:sz="6" w:space="0" w:color="auto"/>
              <w:bottom w:val="nil"/>
            </w:tcBorders>
            <w:shd w:val="clear" w:color="auto" w:fill="FFFFFF"/>
            <w:vAlign w:val="center"/>
          </w:tcPr>
          <w:p w14:paraId="39ACB6F8" w14:textId="0C97E5B5"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5</w:t>
            </w:r>
          </w:p>
        </w:tc>
        <w:tc>
          <w:tcPr>
            <w:tcW w:w="1445" w:type="dxa"/>
            <w:tcBorders>
              <w:top w:val="single" w:sz="6" w:space="0" w:color="auto"/>
              <w:bottom w:val="nil"/>
            </w:tcBorders>
            <w:shd w:val="clear" w:color="auto" w:fill="FFFFFF"/>
            <w:vAlign w:val="center"/>
          </w:tcPr>
          <w:p w14:paraId="31F4138C" w14:textId="465264AA"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2.203</w:t>
            </w:r>
          </w:p>
        </w:tc>
        <w:tc>
          <w:tcPr>
            <w:tcW w:w="1030" w:type="dxa"/>
            <w:tcBorders>
              <w:top w:val="single" w:sz="6" w:space="0" w:color="auto"/>
              <w:bottom w:val="nil"/>
            </w:tcBorders>
            <w:shd w:val="clear" w:color="auto" w:fill="FFFFFF"/>
            <w:vAlign w:val="center"/>
          </w:tcPr>
          <w:p w14:paraId="7B9EB853" w14:textId="4D179F13"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1.490</w:t>
            </w:r>
          </w:p>
        </w:tc>
        <w:tc>
          <w:tcPr>
            <w:tcW w:w="674" w:type="dxa"/>
            <w:tcBorders>
              <w:top w:val="single" w:sz="6" w:space="0" w:color="auto"/>
              <w:bottom w:val="nil"/>
            </w:tcBorders>
            <w:shd w:val="clear" w:color="auto" w:fill="FFFFFF"/>
            <w:vAlign w:val="center"/>
          </w:tcPr>
          <w:p w14:paraId="13123986" w14:textId="5ED898F1"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.191</w:t>
            </w:r>
          </w:p>
        </w:tc>
      </w:tr>
      <w:tr w:rsidR="00200D82" w:rsidRPr="00CF31E0" w14:paraId="796FFE9B" w14:textId="77777777" w:rsidTr="00CD755B">
        <w:trPr>
          <w:cantSplit/>
        </w:trPr>
        <w:tc>
          <w:tcPr>
            <w:tcW w:w="1736" w:type="dxa"/>
            <w:tcBorders>
              <w:top w:val="nil"/>
            </w:tcBorders>
            <w:shd w:val="clear" w:color="auto" w:fill="FFFFFF"/>
          </w:tcPr>
          <w:p w14:paraId="470C84D8"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46511F1F" w14:textId="0B3565B7"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947.802</w:t>
            </w:r>
          </w:p>
        </w:tc>
        <w:tc>
          <w:tcPr>
            <w:tcW w:w="820" w:type="dxa"/>
            <w:tcBorders>
              <w:top w:val="nil"/>
            </w:tcBorders>
            <w:shd w:val="clear" w:color="auto" w:fill="FFFFFF"/>
            <w:vAlign w:val="center"/>
          </w:tcPr>
          <w:p w14:paraId="3123BB22" w14:textId="7A7314D4" w:rsidR="00200D82"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644</w:t>
            </w:r>
          </w:p>
        </w:tc>
        <w:tc>
          <w:tcPr>
            <w:tcW w:w="1445" w:type="dxa"/>
            <w:tcBorders>
              <w:top w:val="nil"/>
            </w:tcBorders>
            <w:shd w:val="clear" w:color="auto" w:fill="FFFFFF"/>
            <w:vAlign w:val="center"/>
          </w:tcPr>
          <w:p w14:paraId="42CEDD25" w14:textId="6C4669D7"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1.479</w:t>
            </w:r>
          </w:p>
        </w:tc>
        <w:tc>
          <w:tcPr>
            <w:tcW w:w="1030" w:type="dxa"/>
            <w:tcBorders>
              <w:top w:val="nil"/>
            </w:tcBorders>
            <w:shd w:val="clear" w:color="auto" w:fill="FFFFFF"/>
            <w:vAlign w:val="center"/>
          </w:tcPr>
          <w:p w14:paraId="1506AD76"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3C393340"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r w:rsidR="00200D82" w:rsidRPr="00CF31E0" w14:paraId="62E8A782" w14:textId="77777777" w:rsidTr="00CD755B">
        <w:trPr>
          <w:cantSplit/>
        </w:trPr>
        <w:tc>
          <w:tcPr>
            <w:tcW w:w="1736" w:type="dxa"/>
            <w:shd w:val="clear" w:color="auto" w:fill="FFFFFF"/>
          </w:tcPr>
          <w:p w14:paraId="588770C6"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5EFE4E7E" w14:textId="0721EBC2"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958.819</w:t>
            </w:r>
          </w:p>
        </w:tc>
        <w:tc>
          <w:tcPr>
            <w:tcW w:w="820" w:type="dxa"/>
            <w:shd w:val="clear" w:color="auto" w:fill="FFFFFF"/>
            <w:vAlign w:val="center"/>
          </w:tcPr>
          <w:p w14:paraId="5D162D8F" w14:textId="692D7B79" w:rsidR="00200D82"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36DEB578"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18E4935D"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13F6174D"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bl>
    <w:p w14:paraId="126F0B75" w14:textId="77777777" w:rsidR="00CD755B" w:rsidRPr="00CF31E0" w:rsidRDefault="00CD755B" w:rsidP="00CD755B">
      <w:pPr>
        <w:rPr>
          <w:rFonts w:asciiTheme="majorBidi" w:hAnsiTheme="majorBidi" w:cstheme="majorBidi"/>
          <w:b/>
          <w:bCs/>
          <w:color w:val="000000" w:themeColor="text1"/>
        </w:rPr>
      </w:pPr>
    </w:p>
    <w:p w14:paraId="49174A31" w14:textId="77777777" w:rsidR="00CD755B" w:rsidRPr="00CF31E0" w:rsidRDefault="00CD755B" w:rsidP="00CD755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D755B" w:rsidRPr="00CF31E0" w14:paraId="39F99863" w14:textId="77777777" w:rsidTr="00CD755B">
        <w:trPr>
          <w:cantSplit/>
        </w:trPr>
        <w:tc>
          <w:tcPr>
            <w:tcW w:w="1736" w:type="dxa"/>
            <w:tcBorders>
              <w:top w:val="single" w:sz="8" w:space="0" w:color="auto"/>
              <w:bottom w:val="single" w:sz="6" w:space="0" w:color="auto"/>
            </w:tcBorders>
            <w:shd w:val="clear" w:color="auto" w:fill="FFFFFF"/>
            <w:vAlign w:val="bottom"/>
          </w:tcPr>
          <w:p w14:paraId="1D86069B"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 of birth</w:t>
            </w:r>
          </w:p>
        </w:tc>
        <w:tc>
          <w:tcPr>
            <w:tcW w:w="1686" w:type="dxa"/>
            <w:tcBorders>
              <w:top w:val="single" w:sz="8" w:space="0" w:color="auto"/>
              <w:bottom w:val="single" w:sz="6" w:space="0" w:color="auto"/>
            </w:tcBorders>
            <w:shd w:val="clear" w:color="auto" w:fill="FFFFFF"/>
            <w:vAlign w:val="bottom"/>
          </w:tcPr>
          <w:p w14:paraId="39B822C1"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681A13A9"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4B713A86"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1DEF162"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70DF1A1C"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200D82" w:rsidRPr="00CF31E0" w14:paraId="466D0134" w14:textId="77777777" w:rsidTr="00CD755B">
        <w:trPr>
          <w:cantSplit/>
        </w:trPr>
        <w:tc>
          <w:tcPr>
            <w:tcW w:w="1736" w:type="dxa"/>
            <w:tcBorders>
              <w:top w:val="single" w:sz="6" w:space="0" w:color="auto"/>
              <w:bottom w:val="nil"/>
            </w:tcBorders>
            <w:shd w:val="clear" w:color="auto" w:fill="FFFFFF"/>
          </w:tcPr>
          <w:p w14:paraId="3757DD51"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40D22D9D" w14:textId="2AAF6BD2"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.006</w:t>
            </w:r>
          </w:p>
        </w:tc>
        <w:tc>
          <w:tcPr>
            <w:tcW w:w="820" w:type="dxa"/>
            <w:tcBorders>
              <w:top w:val="single" w:sz="6" w:space="0" w:color="auto"/>
              <w:bottom w:val="nil"/>
            </w:tcBorders>
            <w:shd w:val="clear" w:color="auto" w:fill="FFFFFF"/>
            <w:vAlign w:val="center"/>
          </w:tcPr>
          <w:p w14:paraId="5A2CBAEC" w14:textId="63E74C26"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w:t>
            </w:r>
          </w:p>
        </w:tc>
        <w:tc>
          <w:tcPr>
            <w:tcW w:w="1445" w:type="dxa"/>
            <w:tcBorders>
              <w:top w:val="single" w:sz="6" w:space="0" w:color="auto"/>
              <w:bottom w:val="nil"/>
            </w:tcBorders>
            <w:shd w:val="clear" w:color="auto" w:fill="FFFFFF"/>
            <w:vAlign w:val="center"/>
          </w:tcPr>
          <w:p w14:paraId="010BD63E" w14:textId="1B8ADBFA"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.006</w:t>
            </w:r>
          </w:p>
        </w:tc>
        <w:tc>
          <w:tcPr>
            <w:tcW w:w="1030" w:type="dxa"/>
            <w:tcBorders>
              <w:top w:val="single" w:sz="6" w:space="0" w:color="auto"/>
              <w:bottom w:val="nil"/>
            </w:tcBorders>
            <w:shd w:val="clear" w:color="auto" w:fill="FFFFFF"/>
            <w:vAlign w:val="center"/>
          </w:tcPr>
          <w:p w14:paraId="3E26A838" w14:textId="76737397"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.004</w:t>
            </w:r>
          </w:p>
        </w:tc>
        <w:tc>
          <w:tcPr>
            <w:tcW w:w="674" w:type="dxa"/>
            <w:tcBorders>
              <w:top w:val="single" w:sz="6" w:space="0" w:color="auto"/>
              <w:bottom w:val="nil"/>
            </w:tcBorders>
            <w:shd w:val="clear" w:color="auto" w:fill="FFFFFF"/>
            <w:vAlign w:val="center"/>
          </w:tcPr>
          <w:p w14:paraId="6C103FD0" w14:textId="48DAAB8F"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.950</w:t>
            </w:r>
          </w:p>
        </w:tc>
      </w:tr>
      <w:tr w:rsidR="00200D82" w:rsidRPr="00CF31E0" w14:paraId="7C5E7C45" w14:textId="77777777" w:rsidTr="00CD755B">
        <w:trPr>
          <w:cantSplit/>
        </w:trPr>
        <w:tc>
          <w:tcPr>
            <w:tcW w:w="1736" w:type="dxa"/>
            <w:tcBorders>
              <w:top w:val="nil"/>
            </w:tcBorders>
            <w:shd w:val="clear" w:color="auto" w:fill="FFFFFF"/>
          </w:tcPr>
          <w:p w14:paraId="5ED3FE48"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05CEFA8F" w14:textId="4887E8FE"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963.862</w:t>
            </w:r>
          </w:p>
        </w:tc>
        <w:tc>
          <w:tcPr>
            <w:tcW w:w="820" w:type="dxa"/>
            <w:tcBorders>
              <w:top w:val="nil"/>
            </w:tcBorders>
            <w:shd w:val="clear" w:color="auto" w:fill="FFFFFF"/>
            <w:vAlign w:val="center"/>
          </w:tcPr>
          <w:p w14:paraId="706EF0BA" w14:textId="473C8016" w:rsidR="00200D82"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648</w:t>
            </w:r>
          </w:p>
        </w:tc>
        <w:tc>
          <w:tcPr>
            <w:tcW w:w="1445" w:type="dxa"/>
            <w:tcBorders>
              <w:top w:val="nil"/>
            </w:tcBorders>
            <w:shd w:val="clear" w:color="auto" w:fill="FFFFFF"/>
            <w:vAlign w:val="center"/>
          </w:tcPr>
          <w:p w14:paraId="6B15F2EC" w14:textId="3C162CB6"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1.490</w:t>
            </w:r>
          </w:p>
        </w:tc>
        <w:tc>
          <w:tcPr>
            <w:tcW w:w="1030" w:type="dxa"/>
            <w:tcBorders>
              <w:top w:val="nil"/>
            </w:tcBorders>
            <w:shd w:val="clear" w:color="auto" w:fill="FFFFFF"/>
            <w:vAlign w:val="center"/>
          </w:tcPr>
          <w:p w14:paraId="44154264"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7EA0DD80"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r w:rsidR="00200D82" w:rsidRPr="00CF31E0" w14:paraId="7C096C46" w14:textId="77777777" w:rsidTr="00CD755B">
        <w:trPr>
          <w:cantSplit/>
        </w:trPr>
        <w:tc>
          <w:tcPr>
            <w:tcW w:w="1736" w:type="dxa"/>
            <w:shd w:val="clear" w:color="auto" w:fill="FFFFFF"/>
          </w:tcPr>
          <w:p w14:paraId="4FD25E2C"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5473A89B" w14:textId="4BFE864A"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963.867</w:t>
            </w:r>
          </w:p>
        </w:tc>
        <w:tc>
          <w:tcPr>
            <w:tcW w:w="820" w:type="dxa"/>
            <w:shd w:val="clear" w:color="auto" w:fill="FFFFFF"/>
            <w:vAlign w:val="center"/>
          </w:tcPr>
          <w:p w14:paraId="74182E5A" w14:textId="7F078530" w:rsidR="00200D82"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5EB7300C"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34BB3838"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0D68797D"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bl>
    <w:p w14:paraId="108BBEA8" w14:textId="77777777" w:rsidR="00CD755B" w:rsidRPr="00CF31E0" w:rsidRDefault="00CD755B" w:rsidP="00CD755B">
      <w:pPr>
        <w:rPr>
          <w:rFonts w:asciiTheme="majorBidi" w:hAnsiTheme="majorBidi" w:cstheme="majorBidi"/>
          <w:b/>
          <w:bCs/>
          <w:color w:val="000000" w:themeColor="text1"/>
        </w:rPr>
      </w:pPr>
    </w:p>
    <w:p w14:paraId="5C1DE4DB" w14:textId="77777777" w:rsidR="00CD755B" w:rsidRPr="00CF31E0" w:rsidRDefault="00CD755B" w:rsidP="00CD755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D755B" w:rsidRPr="00CF31E0" w14:paraId="36B18603" w14:textId="77777777" w:rsidTr="00CD755B">
        <w:trPr>
          <w:cantSplit/>
        </w:trPr>
        <w:tc>
          <w:tcPr>
            <w:tcW w:w="1736" w:type="dxa"/>
            <w:tcBorders>
              <w:top w:val="single" w:sz="8" w:space="0" w:color="auto"/>
              <w:bottom w:val="single" w:sz="6" w:space="0" w:color="auto"/>
            </w:tcBorders>
            <w:shd w:val="clear" w:color="auto" w:fill="FFFFFF"/>
            <w:vAlign w:val="bottom"/>
          </w:tcPr>
          <w:p w14:paraId="01E19DBF"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Places lived</w:t>
            </w:r>
          </w:p>
        </w:tc>
        <w:tc>
          <w:tcPr>
            <w:tcW w:w="1686" w:type="dxa"/>
            <w:tcBorders>
              <w:top w:val="single" w:sz="8" w:space="0" w:color="auto"/>
              <w:bottom w:val="single" w:sz="6" w:space="0" w:color="auto"/>
            </w:tcBorders>
            <w:shd w:val="clear" w:color="auto" w:fill="FFFFFF"/>
            <w:vAlign w:val="bottom"/>
          </w:tcPr>
          <w:p w14:paraId="476D6959"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4B6F67AE"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0BE961B8"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13568BB7"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7A3AA3F9"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200D82" w:rsidRPr="00CF31E0" w14:paraId="0C99591E" w14:textId="77777777" w:rsidTr="00CD755B">
        <w:trPr>
          <w:cantSplit/>
        </w:trPr>
        <w:tc>
          <w:tcPr>
            <w:tcW w:w="1736" w:type="dxa"/>
            <w:tcBorders>
              <w:top w:val="single" w:sz="6" w:space="0" w:color="auto"/>
              <w:bottom w:val="nil"/>
            </w:tcBorders>
            <w:shd w:val="clear" w:color="auto" w:fill="FFFFFF"/>
          </w:tcPr>
          <w:p w14:paraId="536EF2FC"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626C9BD7" w14:textId="0DB7773A"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.077</w:t>
            </w:r>
          </w:p>
        </w:tc>
        <w:tc>
          <w:tcPr>
            <w:tcW w:w="820" w:type="dxa"/>
            <w:tcBorders>
              <w:top w:val="single" w:sz="6" w:space="0" w:color="auto"/>
              <w:bottom w:val="nil"/>
            </w:tcBorders>
            <w:shd w:val="clear" w:color="auto" w:fill="FFFFFF"/>
            <w:vAlign w:val="center"/>
          </w:tcPr>
          <w:p w14:paraId="7BA36F54" w14:textId="21CE76B4"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w:t>
            </w:r>
          </w:p>
        </w:tc>
        <w:tc>
          <w:tcPr>
            <w:tcW w:w="1445" w:type="dxa"/>
            <w:tcBorders>
              <w:top w:val="single" w:sz="6" w:space="0" w:color="auto"/>
              <w:bottom w:val="nil"/>
            </w:tcBorders>
            <w:shd w:val="clear" w:color="auto" w:fill="FFFFFF"/>
            <w:vAlign w:val="center"/>
          </w:tcPr>
          <w:p w14:paraId="47F2DCC1" w14:textId="606EE044"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.077</w:t>
            </w:r>
          </w:p>
        </w:tc>
        <w:tc>
          <w:tcPr>
            <w:tcW w:w="1030" w:type="dxa"/>
            <w:tcBorders>
              <w:top w:val="single" w:sz="6" w:space="0" w:color="auto"/>
              <w:bottom w:val="nil"/>
            </w:tcBorders>
            <w:shd w:val="clear" w:color="auto" w:fill="FFFFFF"/>
            <w:vAlign w:val="center"/>
          </w:tcPr>
          <w:p w14:paraId="4B0BBFE3" w14:textId="1075A7A7"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.051</w:t>
            </w:r>
          </w:p>
        </w:tc>
        <w:tc>
          <w:tcPr>
            <w:tcW w:w="674" w:type="dxa"/>
            <w:tcBorders>
              <w:top w:val="single" w:sz="6" w:space="0" w:color="auto"/>
              <w:bottom w:val="nil"/>
            </w:tcBorders>
            <w:shd w:val="clear" w:color="auto" w:fill="FFFFFF"/>
            <w:vAlign w:val="center"/>
          </w:tcPr>
          <w:p w14:paraId="1CCD5743" w14:textId="76442920"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.821</w:t>
            </w:r>
          </w:p>
        </w:tc>
      </w:tr>
      <w:tr w:rsidR="00200D82" w:rsidRPr="00CF31E0" w14:paraId="19771328" w14:textId="77777777" w:rsidTr="00CD755B">
        <w:trPr>
          <w:cantSplit/>
        </w:trPr>
        <w:tc>
          <w:tcPr>
            <w:tcW w:w="1736" w:type="dxa"/>
            <w:tcBorders>
              <w:top w:val="nil"/>
            </w:tcBorders>
            <w:shd w:val="clear" w:color="auto" w:fill="FFFFFF"/>
          </w:tcPr>
          <w:p w14:paraId="71FC9B14"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02D63D8A" w14:textId="5555B763"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953.645</w:t>
            </w:r>
          </w:p>
        </w:tc>
        <w:tc>
          <w:tcPr>
            <w:tcW w:w="820" w:type="dxa"/>
            <w:tcBorders>
              <w:top w:val="nil"/>
            </w:tcBorders>
            <w:shd w:val="clear" w:color="auto" w:fill="FFFFFF"/>
            <w:vAlign w:val="center"/>
          </w:tcPr>
          <w:p w14:paraId="70038091" w14:textId="6F2C29F6" w:rsidR="00200D82"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648</w:t>
            </w:r>
          </w:p>
        </w:tc>
        <w:tc>
          <w:tcPr>
            <w:tcW w:w="1445" w:type="dxa"/>
            <w:tcBorders>
              <w:top w:val="nil"/>
            </w:tcBorders>
            <w:shd w:val="clear" w:color="auto" w:fill="FFFFFF"/>
            <w:vAlign w:val="center"/>
          </w:tcPr>
          <w:p w14:paraId="516825AD" w14:textId="4803EBD1"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1.497</w:t>
            </w:r>
          </w:p>
        </w:tc>
        <w:tc>
          <w:tcPr>
            <w:tcW w:w="1030" w:type="dxa"/>
            <w:tcBorders>
              <w:top w:val="nil"/>
            </w:tcBorders>
            <w:shd w:val="clear" w:color="auto" w:fill="FFFFFF"/>
            <w:vAlign w:val="center"/>
          </w:tcPr>
          <w:p w14:paraId="237A36F1"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229A6DE8"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r w:rsidR="00200D82" w:rsidRPr="00CF31E0" w14:paraId="03D608DD" w14:textId="77777777" w:rsidTr="00CD755B">
        <w:trPr>
          <w:cantSplit/>
        </w:trPr>
        <w:tc>
          <w:tcPr>
            <w:tcW w:w="1736" w:type="dxa"/>
            <w:shd w:val="clear" w:color="auto" w:fill="FFFFFF"/>
          </w:tcPr>
          <w:p w14:paraId="0826B004"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F3B2BB2" w14:textId="4ED0DFDD"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953.721</w:t>
            </w:r>
          </w:p>
        </w:tc>
        <w:tc>
          <w:tcPr>
            <w:tcW w:w="820" w:type="dxa"/>
            <w:shd w:val="clear" w:color="auto" w:fill="FFFFFF"/>
            <w:vAlign w:val="center"/>
          </w:tcPr>
          <w:p w14:paraId="2C0825E1" w14:textId="7560E4C1" w:rsidR="00200D82"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4FA1F6E3"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13894D9E"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15735023"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bl>
    <w:p w14:paraId="451EB7F6" w14:textId="77777777" w:rsidR="00CD755B" w:rsidRPr="00CF31E0" w:rsidRDefault="00CD755B" w:rsidP="00CD755B">
      <w:pPr>
        <w:rPr>
          <w:rFonts w:asciiTheme="majorBidi" w:hAnsiTheme="majorBidi" w:cstheme="majorBidi"/>
          <w:b/>
          <w:bCs/>
          <w:color w:val="000000" w:themeColor="text1"/>
        </w:rPr>
      </w:pPr>
    </w:p>
    <w:p w14:paraId="4684429E" w14:textId="77777777" w:rsidR="00CD755B" w:rsidRPr="00CF31E0" w:rsidRDefault="00CD755B" w:rsidP="00CD755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D755B" w:rsidRPr="00CF31E0" w14:paraId="64893CAB" w14:textId="77777777" w:rsidTr="00CD755B">
        <w:trPr>
          <w:cantSplit/>
        </w:trPr>
        <w:tc>
          <w:tcPr>
            <w:tcW w:w="1736" w:type="dxa"/>
            <w:tcBorders>
              <w:top w:val="single" w:sz="8" w:space="0" w:color="auto"/>
              <w:bottom w:val="single" w:sz="6" w:space="0" w:color="auto"/>
            </w:tcBorders>
            <w:shd w:val="clear" w:color="auto" w:fill="FFFFFF"/>
            <w:vAlign w:val="bottom"/>
          </w:tcPr>
          <w:p w14:paraId="2DF33B0B"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Marital status</w:t>
            </w:r>
          </w:p>
        </w:tc>
        <w:tc>
          <w:tcPr>
            <w:tcW w:w="1686" w:type="dxa"/>
            <w:tcBorders>
              <w:top w:val="single" w:sz="8" w:space="0" w:color="auto"/>
              <w:bottom w:val="single" w:sz="6" w:space="0" w:color="auto"/>
            </w:tcBorders>
            <w:shd w:val="clear" w:color="auto" w:fill="FFFFFF"/>
            <w:vAlign w:val="bottom"/>
          </w:tcPr>
          <w:p w14:paraId="672CDCC6"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3F1E9895"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3D06140"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3C2F94EA"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0870A57C"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200D82" w:rsidRPr="00CF31E0" w14:paraId="0225758B" w14:textId="77777777" w:rsidTr="00CD755B">
        <w:trPr>
          <w:cantSplit/>
        </w:trPr>
        <w:tc>
          <w:tcPr>
            <w:tcW w:w="1736" w:type="dxa"/>
            <w:tcBorders>
              <w:top w:val="single" w:sz="6" w:space="0" w:color="auto"/>
              <w:bottom w:val="nil"/>
            </w:tcBorders>
            <w:shd w:val="clear" w:color="auto" w:fill="FFFFFF"/>
          </w:tcPr>
          <w:p w14:paraId="7FE955EB"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3592047E" w14:textId="1C60DEA3"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18.528</w:t>
            </w:r>
          </w:p>
        </w:tc>
        <w:tc>
          <w:tcPr>
            <w:tcW w:w="820" w:type="dxa"/>
            <w:tcBorders>
              <w:top w:val="single" w:sz="6" w:space="0" w:color="auto"/>
              <w:bottom w:val="nil"/>
            </w:tcBorders>
            <w:shd w:val="clear" w:color="auto" w:fill="FFFFFF"/>
            <w:vAlign w:val="center"/>
          </w:tcPr>
          <w:p w14:paraId="3DC333CF" w14:textId="69525AB8"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3</w:t>
            </w:r>
          </w:p>
        </w:tc>
        <w:tc>
          <w:tcPr>
            <w:tcW w:w="1445" w:type="dxa"/>
            <w:tcBorders>
              <w:top w:val="single" w:sz="6" w:space="0" w:color="auto"/>
              <w:bottom w:val="nil"/>
            </w:tcBorders>
            <w:shd w:val="clear" w:color="auto" w:fill="FFFFFF"/>
            <w:vAlign w:val="center"/>
          </w:tcPr>
          <w:p w14:paraId="04A76478" w14:textId="20AAA6B3"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6.176</w:t>
            </w:r>
          </w:p>
        </w:tc>
        <w:tc>
          <w:tcPr>
            <w:tcW w:w="1030" w:type="dxa"/>
            <w:tcBorders>
              <w:top w:val="single" w:sz="6" w:space="0" w:color="auto"/>
              <w:bottom w:val="nil"/>
            </w:tcBorders>
            <w:shd w:val="clear" w:color="auto" w:fill="FFFFFF"/>
            <w:vAlign w:val="center"/>
          </w:tcPr>
          <w:p w14:paraId="24C60206" w14:textId="56A19FBA"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4.214</w:t>
            </w:r>
          </w:p>
        </w:tc>
        <w:tc>
          <w:tcPr>
            <w:tcW w:w="674" w:type="dxa"/>
            <w:tcBorders>
              <w:top w:val="single" w:sz="6" w:space="0" w:color="auto"/>
              <w:bottom w:val="nil"/>
            </w:tcBorders>
            <w:shd w:val="clear" w:color="auto" w:fill="FFFFFF"/>
            <w:vAlign w:val="center"/>
          </w:tcPr>
          <w:p w14:paraId="5B485D05" w14:textId="7F21DD3B"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.066</w:t>
            </w:r>
          </w:p>
        </w:tc>
      </w:tr>
      <w:tr w:rsidR="00200D82" w:rsidRPr="00CF31E0" w14:paraId="22C39C18" w14:textId="77777777" w:rsidTr="00CD755B">
        <w:trPr>
          <w:cantSplit/>
        </w:trPr>
        <w:tc>
          <w:tcPr>
            <w:tcW w:w="1736" w:type="dxa"/>
            <w:tcBorders>
              <w:top w:val="nil"/>
            </w:tcBorders>
            <w:shd w:val="clear" w:color="auto" w:fill="FFFFFF"/>
          </w:tcPr>
          <w:p w14:paraId="721AF81C"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0FAD473C" w14:textId="662AEE76"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945.339</w:t>
            </w:r>
          </w:p>
        </w:tc>
        <w:tc>
          <w:tcPr>
            <w:tcW w:w="820" w:type="dxa"/>
            <w:tcBorders>
              <w:top w:val="nil"/>
            </w:tcBorders>
            <w:shd w:val="clear" w:color="auto" w:fill="FFFFFF"/>
            <w:vAlign w:val="center"/>
          </w:tcPr>
          <w:p w14:paraId="059272FC" w14:textId="72E832DD" w:rsidR="00200D82"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646</w:t>
            </w:r>
          </w:p>
        </w:tc>
        <w:tc>
          <w:tcPr>
            <w:tcW w:w="1445" w:type="dxa"/>
            <w:tcBorders>
              <w:top w:val="nil"/>
            </w:tcBorders>
            <w:shd w:val="clear" w:color="auto" w:fill="FFFFFF"/>
            <w:vAlign w:val="center"/>
          </w:tcPr>
          <w:p w14:paraId="5E51EB23" w14:textId="18541107"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1.466</w:t>
            </w:r>
          </w:p>
        </w:tc>
        <w:tc>
          <w:tcPr>
            <w:tcW w:w="1030" w:type="dxa"/>
            <w:tcBorders>
              <w:top w:val="nil"/>
            </w:tcBorders>
            <w:shd w:val="clear" w:color="auto" w:fill="FFFFFF"/>
            <w:vAlign w:val="center"/>
          </w:tcPr>
          <w:p w14:paraId="07B68365"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7FDB7FD2"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r w:rsidR="00200D82" w:rsidRPr="00CF31E0" w14:paraId="431F923F" w14:textId="77777777" w:rsidTr="00CD755B">
        <w:trPr>
          <w:cantSplit/>
        </w:trPr>
        <w:tc>
          <w:tcPr>
            <w:tcW w:w="1736" w:type="dxa"/>
            <w:shd w:val="clear" w:color="auto" w:fill="FFFFFF"/>
          </w:tcPr>
          <w:p w14:paraId="4548017C"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66DD7CC" w14:textId="5550F103"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963.867</w:t>
            </w:r>
          </w:p>
        </w:tc>
        <w:tc>
          <w:tcPr>
            <w:tcW w:w="820" w:type="dxa"/>
            <w:shd w:val="clear" w:color="auto" w:fill="FFFFFF"/>
            <w:vAlign w:val="center"/>
          </w:tcPr>
          <w:p w14:paraId="6EFCA092" w14:textId="7DEE2A2D" w:rsidR="00200D82"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6CA8FDCB"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2A1D3F39"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3F0F2587"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bl>
    <w:p w14:paraId="2D3A4B70" w14:textId="77777777" w:rsidR="00CD755B" w:rsidRPr="00CF31E0" w:rsidRDefault="00CD755B" w:rsidP="00CD755B">
      <w:pPr>
        <w:rPr>
          <w:rFonts w:asciiTheme="majorBidi" w:hAnsiTheme="majorBidi" w:cstheme="majorBidi"/>
          <w:b/>
          <w:bCs/>
          <w:color w:val="000000" w:themeColor="text1"/>
        </w:rPr>
      </w:pPr>
    </w:p>
    <w:p w14:paraId="306CC548" w14:textId="77777777" w:rsidR="00CD755B" w:rsidRPr="00CF31E0" w:rsidRDefault="00CD755B" w:rsidP="00CD755B">
      <w:pPr>
        <w:rPr>
          <w:rFonts w:asciiTheme="majorBidi" w:hAnsiTheme="majorBidi" w:cstheme="majorBidi"/>
          <w:b/>
          <w:bCs/>
          <w:color w:val="000000" w:themeColor="text1"/>
        </w:rPr>
      </w:pPr>
    </w:p>
    <w:p w14:paraId="76BBF4F2" w14:textId="77777777" w:rsidR="00674195" w:rsidRPr="00CF31E0" w:rsidRDefault="00674195" w:rsidP="00CD755B">
      <w:pPr>
        <w:rPr>
          <w:rFonts w:asciiTheme="majorBidi" w:hAnsiTheme="majorBidi" w:cstheme="majorBidi"/>
          <w:b/>
          <w:bCs/>
          <w:color w:val="000000" w:themeColor="text1"/>
        </w:rPr>
      </w:pPr>
    </w:p>
    <w:p w14:paraId="1391AE3C" w14:textId="77777777" w:rsidR="00674195" w:rsidRPr="00CF31E0" w:rsidRDefault="00674195" w:rsidP="00CD755B">
      <w:pPr>
        <w:rPr>
          <w:rFonts w:asciiTheme="majorBidi" w:hAnsiTheme="majorBidi" w:cstheme="majorBidi"/>
          <w:b/>
          <w:bCs/>
          <w:color w:val="000000" w:themeColor="text1"/>
        </w:rPr>
      </w:pPr>
    </w:p>
    <w:p w14:paraId="539205D3" w14:textId="77777777" w:rsidR="00674195" w:rsidRPr="00CF31E0" w:rsidRDefault="00674195" w:rsidP="00CD755B">
      <w:pPr>
        <w:rPr>
          <w:rFonts w:asciiTheme="majorBidi" w:hAnsiTheme="majorBidi" w:cstheme="majorBidi"/>
          <w:b/>
          <w:bCs/>
          <w:color w:val="000000" w:themeColor="text1"/>
        </w:rPr>
      </w:pPr>
    </w:p>
    <w:p w14:paraId="2136F7E6" w14:textId="77777777" w:rsidR="00674195" w:rsidRPr="00CF31E0" w:rsidRDefault="00674195" w:rsidP="00CD755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D755B" w:rsidRPr="00CF31E0" w14:paraId="44E1AE78" w14:textId="77777777" w:rsidTr="00CD755B">
        <w:trPr>
          <w:cantSplit/>
        </w:trPr>
        <w:tc>
          <w:tcPr>
            <w:tcW w:w="1736" w:type="dxa"/>
            <w:tcBorders>
              <w:top w:val="single" w:sz="8" w:space="0" w:color="auto"/>
              <w:bottom w:val="single" w:sz="6" w:space="0" w:color="auto"/>
            </w:tcBorders>
            <w:shd w:val="clear" w:color="auto" w:fill="FFFFFF"/>
            <w:vAlign w:val="bottom"/>
          </w:tcPr>
          <w:p w14:paraId="57D91A78"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Education</w:t>
            </w:r>
          </w:p>
        </w:tc>
        <w:tc>
          <w:tcPr>
            <w:tcW w:w="1686" w:type="dxa"/>
            <w:tcBorders>
              <w:top w:val="single" w:sz="8" w:space="0" w:color="auto"/>
              <w:bottom w:val="single" w:sz="6" w:space="0" w:color="auto"/>
            </w:tcBorders>
            <w:shd w:val="clear" w:color="auto" w:fill="FFFFFF"/>
            <w:vAlign w:val="bottom"/>
          </w:tcPr>
          <w:p w14:paraId="3ED95A17"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3361FECC"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517894CD"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19F15B42"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5B46C433"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200D82" w:rsidRPr="00CF31E0" w14:paraId="244FB11E" w14:textId="77777777" w:rsidTr="00CD755B">
        <w:trPr>
          <w:cantSplit/>
        </w:trPr>
        <w:tc>
          <w:tcPr>
            <w:tcW w:w="1736" w:type="dxa"/>
            <w:tcBorders>
              <w:top w:val="single" w:sz="6" w:space="0" w:color="auto"/>
              <w:bottom w:val="nil"/>
            </w:tcBorders>
            <w:shd w:val="clear" w:color="auto" w:fill="FFFFFF"/>
          </w:tcPr>
          <w:p w14:paraId="20EF188C"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0F8D7C5E" w14:textId="05D1CA68"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9.850</w:t>
            </w:r>
          </w:p>
        </w:tc>
        <w:tc>
          <w:tcPr>
            <w:tcW w:w="820" w:type="dxa"/>
            <w:tcBorders>
              <w:top w:val="single" w:sz="6" w:space="0" w:color="auto"/>
              <w:bottom w:val="nil"/>
            </w:tcBorders>
            <w:shd w:val="clear" w:color="auto" w:fill="FFFFFF"/>
            <w:vAlign w:val="center"/>
          </w:tcPr>
          <w:p w14:paraId="41E8DCE4" w14:textId="4E525413"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5</w:t>
            </w:r>
          </w:p>
        </w:tc>
        <w:tc>
          <w:tcPr>
            <w:tcW w:w="1445" w:type="dxa"/>
            <w:tcBorders>
              <w:top w:val="single" w:sz="6" w:space="0" w:color="auto"/>
              <w:bottom w:val="nil"/>
            </w:tcBorders>
            <w:shd w:val="clear" w:color="auto" w:fill="FFFFFF"/>
            <w:vAlign w:val="center"/>
          </w:tcPr>
          <w:p w14:paraId="1D6F0041" w14:textId="3778029E"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1.970</w:t>
            </w:r>
          </w:p>
        </w:tc>
        <w:tc>
          <w:tcPr>
            <w:tcW w:w="1030" w:type="dxa"/>
            <w:tcBorders>
              <w:top w:val="single" w:sz="6" w:space="0" w:color="auto"/>
              <w:bottom w:val="nil"/>
            </w:tcBorders>
            <w:shd w:val="clear" w:color="auto" w:fill="FFFFFF"/>
            <w:vAlign w:val="center"/>
          </w:tcPr>
          <w:p w14:paraId="466986E5" w14:textId="07BF76D8"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1.328</w:t>
            </w:r>
          </w:p>
        </w:tc>
        <w:tc>
          <w:tcPr>
            <w:tcW w:w="674" w:type="dxa"/>
            <w:tcBorders>
              <w:top w:val="single" w:sz="6" w:space="0" w:color="auto"/>
              <w:bottom w:val="nil"/>
            </w:tcBorders>
            <w:shd w:val="clear" w:color="auto" w:fill="FFFFFF"/>
            <w:vAlign w:val="center"/>
          </w:tcPr>
          <w:p w14:paraId="5968CB64" w14:textId="265C7382"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.250</w:t>
            </w:r>
          </w:p>
        </w:tc>
      </w:tr>
      <w:tr w:rsidR="00200D82" w:rsidRPr="00CF31E0" w14:paraId="39D6A340" w14:textId="77777777" w:rsidTr="00CD755B">
        <w:trPr>
          <w:cantSplit/>
        </w:trPr>
        <w:tc>
          <w:tcPr>
            <w:tcW w:w="1736" w:type="dxa"/>
            <w:tcBorders>
              <w:top w:val="nil"/>
            </w:tcBorders>
            <w:shd w:val="clear" w:color="auto" w:fill="FFFFFF"/>
          </w:tcPr>
          <w:p w14:paraId="204A940F"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681EB3DA" w14:textId="6BEA0C60"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954.017</w:t>
            </w:r>
          </w:p>
        </w:tc>
        <w:tc>
          <w:tcPr>
            <w:tcW w:w="820" w:type="dxa"/>
            <w:tcBorders>
              <w:top w:val="nil"/>
            </w:tcBorders>
            <w:shd w:val="clear" w:color="auto" w:fill="FFFFFF"/>
            <w:vAlign w:val="center"/>
          </w:tcPr>
          <w:p w14:paraId="7CE69912" w14:textId="07128894" w:rsidR="00200D82"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644</w:t>
            </w:r>
          </w:p>
        </w:tc>
        <w:tc>
          <w:tcPr>
            <w:tcW w:w="1445" w:type="dxa"/>
            <w:tcBorders>
              <w:top w:val="nil"/>
            </w:tcBorders>
            <w:shd w:val="clear" w:color="auto" w:fill="FFFFFF"/>
            <w:vAlign w:val="center"/>
          </w:tcPr>
          <w:p w14:paraId="358B3071" w14:textId="7420A4B8"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1.484</w:t>
            </w:r>
          </w:p>
        </w:tc>
        <w:tc>
          <w:tcPr>
            <w:tcW w:w="1030" w:type="dxa"/>
            <w:tcBorders>
              <w:top w:val="nil"/>
            </w:tcBorders>
            <w:shd w:val="clear" w:color="auto" w:fill="FFFFFF"/>
            <w:vAlign w:val="center"/>
          </w:tcPr>
          <w:p w14:paraId="37CE1DEB"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795E830E"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r w:rsidR="00200D82" w:rsidRPr="00CF31E0" w14:paraId="4E60B103" w14:textId="77777777" w:rsidTr="00CD755B">
        <w:trPr>
          <w:cantSplit/>
        </w:trPr>
        <w:tc>
          <w:tcPr>
            <w:tcW w:w="1736" w:type="dxa"/>
            <w:shd w:val="clear" w:color="auto" w:fill="FFFFFF"/>
          </w:tcPr>
          <w:p w14:paraId="7A41AF21"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4E87FDF" w14:textId="222A5F55"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963.867</w:t>
            </w:r>
          </w:p>
        </w:tc>
        <w:tc>
          <w:tcPr>
            <w:tcW w:w="820" w:type="dxa"/>
            <w:shd w:val="clear" w:color="auto" w:fill="FFFFFF"/>
            <w:vAlign w:val="center"/>
          </w:tcPr>
          <w:p w14:paraId="267E63A8" w14:textId="67A03447" w:rsidR="00200D82"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59C1EF1C"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7FFEDF28"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6FC40780"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bl>
    <w:p w14:paraId="6E738F23" w14:textId="77777777" w:rsidR="00CD755B" w:rsidRPr="00CF31E0" w:rsidRDefault="00CD755B" w:rsidP="00CD755B">
      <w:pPr>
        <w:rPr>
          <w:rFonts w:asciiTheme="majorBidi" w:hAnsiTheme="majorBidi" w:cstheme="majorBidi"/>
          <w:b/>
          <w:bCs/>
          <w:color w:val="000000" w:themeColor="text1"/>
        </w:rPr>
      </w:pPr>
    </w:p>
    <w:p w14:paraId="624723C1" w14:textId="77777777" w:rsidR="00CD755B" w:rsidRPr="00CF31E0" w:rsidRDefault="00CD755B" w:rsidP="00CD755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D755B" w:rsidRPr="00CF31E0" w14:paraId="1368706C" w14:textId="77777777" w:rsidTr="00CD755B">
        <w:trPr>
          <w:cantSplit/>
        </w:trPr>
        <w:tc>
          <w:tcPr>
            <w:tcW w:w="1736" w:type="dxa"/>
            <w:tcBorders>
              <w:top w:val="single" w:sz="8" w:space="0" w:color="auto"/>
              <w:bottom w:val="single" w:sz="6" w:space="0" w:color="auto"/>
            </w:tcBorders>
            <w:shd w:val="clear" w:color="auto" w:fill="FFFFFF"/>
            <w:vAlign w:val="bottom"/>
          </w:tcPr>
          <w:p w14:paraId="5E338E7C"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Social group</w:t>
            </w:r>
          </w:p>
        </w:tc>
        <w:tc>
          <w:tcPr>
            <w:tcW w:w="1686" w:type="dxa"/>
            <w:tcBorders>
              <w:top w:val="single" w:sz="8" w:space="0" w:color="auto"/>
              <w:bottom w:val="single" w:sz="6" w:space="0" w:color="auto"/>
            </w:tcBorders>
            <w:shd w:val="clear" w:color="auto" w:fill="FFFFFF"/>
            <w:vAlign w:val="bottom"/>
          </w:tcPr>
          <w:p w14:paraId="7AEE100C"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19EA96DF"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57AA9BE3"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472B3A1E"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606164E4"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200D82" w:rsidRPr="00CF31E0" w14:paraId="4FC5590E" w14:textId="77777777" w:rsidTr="00CD755B">
        <w:trPr>
          <w:cantSplit/>
        </w:trPr>
        <w:tc>
          <w:tcPr>
            <w:tcW w:w="1736" w:type="dxa"/>
            <w:tcBorders>
              <w:top w:val="single" w:sz="6" w:space="0" w:color="auto"/>
              <w:bottom w:val="nil"/>
            </w:tcBorders>
            <w:shd w:val="clear" w:color="auto" w:fill="FFFFFF"/>
          </w:tcPr>
          <w:p w14:paraId="28ADA0CC"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27FE897A" w14:textId="7E6E1E9F"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.042</w:t>
            </w:r>
          </w:p>
        </w:tc>
        <w:tc>
          <w:tcPr>
            <w:tcW w:w="820" w:type="dxa"/>
            <w:tcBorders>
              <w:top w:val="single" w:sz="6" w:space="0" w:color="auto"/>
              <w:bottom w:val="nil"/>
            </w:tcBorders>
            <w:shd w:val="clear" w:color="auto" w:fill="FFFFFF"/>
            <w:vAlign w:val="center"/>
          </w:tcPr>
          <w:p w14:paraId="6AECDF37" w14:textId="6057F7B9"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w:t>
            </w:r>
          </w:p>
        </w:tc>
        <w:tc>
          <w:tcPr>
            <w:tcW w:w="1445" w:type="dxa"/>
            <w:tcBorders>
              <w:top w:val="single" w:sz="6" w:space="0" w:color="auto"/>
              <w:bottom w:val="nil"/>
            </w:tcBorders>
            <w:shd w:val="clear" w:color="auto" w:fill="FFFFFF"/>
            <w:vAlign w:val="center"/>
          </w:tcPr>
          <w:p w14:paraId="1C3C2F47" w14:textId="5E57908A"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.042</w:t>
            </w:r>
          </w:p>
        </w:tc>
        <w:tc>
          <w:tcPr>
            <w:tcW w:w="1030" w:type="dxa"/>
            <w:tcBorders>
              <w:top w:val="single" w:sz="6" w:space="0" w:color="auto"/>
              <w:bottom w:val="nil"/>
            </w:tcBorders>
            <w:shd w:val="clear" w:color="auto" w:fill="FFFFFF"/>
            <w:vAlign w:val="center"/>
          </w:tcPr>
          <w:p w14:paraId="4BEE78A8" w14:textId="18FB9750"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.028</w:t>
            </w:r>
          </w:p>
        </w:tc>
        <w:tc>
          <w:tcPr>
            <w:tcW w:w="674" w:type="dxa"/>
            <w:tcBorders>
              <w:top w:val="single" w:sz="6" w:space="0" w:color="auto"/>
              <w:bottom w:val="nil"/>
            </w:tcBorders>
            <w:shd w:val="clear" w:color="auto" w:fill="FFFFFF"/>
            <w:vAlign w:val="center"/>
          </w:tcPr>
          <w:p w14:paraId="169791E9" w14:textId="23211497"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.866</w:t>
            </w:r>
          </w:p>
        </w:tc>
      </w:tr>
      <w:tr w:rsidR="00200D82" w:rsidRPr="00CF31E0" w14:paraId="57318BA5" w14:textId="77777777" w:rsidTr="00CD755B">
        <w:trPr>
          <w:cantSplit/>
        </w:trPr>
        <w:tc>
          <w:tcPr>
            <w:tcW w:w="1736" w:type="dxa"/>
            <w:tcBorders>
              <w:top w:val="nil"/>
            </w:tcBorders>
            <w:shd w:val="clear" w:color="auto" w:fill="FFFFFF"/>
          </w:tcPr>
          <w:p w14:paraId="60F65DE1"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667C5AE0" w14:textId="25068551"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963.825</w:t>
            </w:r>
          </w:p>
        </w:tc>
        <w:tc>
          <w:tcPr>
            <w:tcW w:w="820" w:type="dxa"/>
            <w:tcBorders>
              <w:top w:val="nil"/>
            </w:tcBorders>
            <w:shd w:val="clear" w:color="auto" w:fill="FFFFFF"/>
            <w:vAlign w:val="center"/>
          </w:tcPr>
          <w:p w14:paraId="4BB730EB" w14:textId="25B18C73" w:rsidR="00200D82"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648</w:t>
            </w:r>
          </w:p>
        </w:tc>
        <w:tc>
          <w:tcPr>
            <w:tcW w:w="1445" w:type="dxa"/>
            <w:tcBorders>
              <w:top w:val="nil"/>
            </w:tcBorders>
            <w:shd w:val="clear" w:color="auto" w:fill="FFFFFF"/>
            <w:vAlign w:val="center"/>
          </w:tcPr>
          <w:p w14:paraId="4DDC96A4" w14:textId="36E992A7"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1.490</w:t>
            </w:r>
          </w:p>
        </w:tc>
        <w:tc>
          <w:tcPr>
            <w:tcW w:w="1030" w:type="dxa"/>
            <w:tcBorders>
              <w:top w:val="nil"/>
            </w:tcBorders>
            <w:shd w:val="clear" w:color="auto" w:fill="FFFFFF"/>
            <w:vAlign w:val="center"/>
          </w:tcPr>
          <w:p w14:paraId="228BE14E"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6B4F2B00"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r w:rsidR="00200D82" w:rsidRPr="00CF31E0" w14:paraId="3827FBBE" w14:textId="77777777" w:rsidTr="00CD755B">
        <w:trPr>
          <w:cantSplit/>
        </w:trPr>
        <w:tc>
          <w:tcPr>
            <w:tcW w:w="1736" w:type="dxa"/>
            <w:shd w:val="clear" w:color="auto" w:fill="FFFFFF"/>
          </w:tcPr>
          <w:p w14:paraId="22C72152"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C55FB3D" w14:textId="0740FBED"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963.867</w:t>
            </w:r>
          </w:p>
        </w:tc>
        <w:tc>
          <w:tcPr>
            <w:tcW w:w="820" w:type="dxa"/>
            <w:shd w:val="clear" w:color="auto" w:fill="FFFFFF"/>
            <w:vAlign w:val="center"/>
          </w:tcPr>
          <w:p w14:paraId="199432B2" w14:textId="63EBB606" w:rsidR="00200D82"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6569A0D7"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204C5191"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2AE1EC03"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bl>
    <w:p w14:paraId="70F17AE4" w14:textId="77777777" w:rsidR="00CD755B" w:rsidRPr="00CF31E0" w:rsidRDefault="00CD755B" w:rsidP="00CD755B">
      <w:pPr>
        <w:rPr>
          <w:rFonts w:asciiTheme="majorBidi" w:hAnsiTheme="majorBidi" w:cstheme="majorBidi"/>
          <w:b/>
          <w:bCs/>
          <w:color w:val="000000" w:themeColor="text1"/>
        </w:rPr>
      </w:pPr>
    </w:p>
    <w:p w14:paraId="7B0478FB" w14:textId="77777777" w:rsidR="00CD755B" w:rsidRPr="00CF31E0" w:rsidRDefault="00CD755B" w:rsidP="00CD755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D755B" w:rsidRPr="00CF31E0" w14:paraId="17FD97DA" w14:textId="77777777" w:rsidTr="00CD755B">
        <w:trPr>
          <w:cantSplit/>
        </w:trPr>
        <w:tc>
          <w:tcPr>
            <w:tcW w:w="1736" w:type="dxa"/>
            <w:tcBorders>
              <w:top w:val="single" w:sz="8" w:space="0" w:color="auto"/>
              <w:bottom w:val="single" w:sz="6" w:space="0" w:color="auto"/>
            </w:tcBorders>
            <w:shd w:val="clear" w:color="auto" w:fill="FFFFFF"/>
            <w:vAlign w:val="bottom"/>
          </w:tcPr>
          <w:p w14:paraId="75A234A2"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Mother’s social group</w:t>
            </w:r>
          </w:p>
        </w:tc>
        <w:tc>
          <w:tcPr>
            <w:tcW w:w="1686" w:type="dxa"/>
            <w:tcBorders>
              <w:top w:val="single" w:sz="8" w:space="0" w:color="auto"/>
              <w:bottom w:val="single" w:sz="6" w:space="0" w:color="auto"/>
            </w:tcBorders>
            <w:shd w:val="clear" w:color="auto" w:fill="FFFFFF"/>
            <w:vAlign w:val="bottom"/>
          </w:tcPr>
          <w:p w14:paraId="6ACA2A01"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68BA4BA4"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4DF4C658"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4269E9CC"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743B0A0D"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200D82" w:rsidRPr="00CF31E0" w14:paraId="70E2300C" w14:textId="77777777" w:rsidTr="00CD755B">
        <w:trPr>
          <w:cantSplit/>
        </w:trPr>
        <w:tc>
          <w:tcPr>
            <w:tcW w:w="1736" w:type="dxa"/>
            <w:tcBorders>
              <w:top w:val="single" w:sz="6" w:space="0" w:color="auto"/>
              <w:bottom w:val="nil"/>
            </w:tcBorders>
            <w:shd w:val="clear" w:color="auto" w:fill="FFFFFF"/>
          </w:tcPr>
          <w:p w14:paraId="76B734B9"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6D6E95B0" w14:textId="442FA725"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.082</w:t>
            </w:r>
          </w:p>
        </w:tc>
        <w:tc>
          <w:tcPr>
            <w:tcW w:w="820" w:type="dxa"/>
            <w:tcBorders>
              <w:top w:val="single" w:sz="6" w:space="0" w:color="auto"/>
              <w:bottom w:val="nil"/>
            </w:tcBorders>
            <w:shd w:val="clear" w:color="auto" w:fill="FFFFFF"/>
            <w:vAlign w:val="center"/>
          </w:tcPr>
          <w:p w14:paraId="46718423" w14:textId="7E6D9552"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2</w:t>
            </w:r>
          </w:p>
        </w:tc>
        <w:tc>
          <w:tcPr>
            <w:tcW w:w="1445" w:type="dxa"/>
            <w:tcBorders>
              <w:top w:val="single" w:sz="6" w:space="0" w:color="auto"/>
              <w:bottom w:val="nil"/>
            </w:tcBorders>
            <w:shd w:val="clear" w:color="auto" w:fill="FFFFFF"/>
            <w:vAlign w:val="center"/>
          </w:tcPr>
          <w:p w14:paraId="0BE70EA8" w14:textId="0BF8505E"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.041</w:t>
            </w:r>
          </w:p>
        </w:tc>
        <w:tc>
          <w:tcPr>
            <w:tcW w:w="1030" w:type="dxa"/>
            <w:tcBorders>
              <w:top w:val="single" w:sz="6" w:space="0" w:color="auto"/>
              <w:bottom w:val="nil"/>
            </w:tcBorders>
            <w:shd w:val="clear" w:color="auto" w:fill="FFFFFF"/>
            <w:vAlign w:val="center"/>
          </w:tcPr>
          <w:p w14:paraId="3A29F1A3" w14:textId="55D3CB45"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.028</w:t>
            </w:r>
          </w:p>
        </w:tc>
        <w:tc>
          <w:tcPr>
            <w:tcW w:w="674" w:type="dxa"/>
            <w:tcBorders>
              <w:top w:val="single" w:sz="6" w:space="0" w:color="auto"/>
              <w:bottom w:val="nil"/>
            </w:tcBorders>
            <w:shd w:val="clear" w:color="auto" w:fill="FFFFFF"/>
            <w:vAlign w:val="center"/>
          </w:tcPr>
          <w:p w14:paraId="7627D34D" w14:textId="1CDC1B4E"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.973</w:t>
            </w:r>
          </w:p>
        </w:tc>
      </w:tr>
      <w:tr w:rsidR="00200D82" w:rsidRPr="00CF31E0" w14:paraId="17A63A29" w14:textId="77777777" w:rsidTr="00CD755B">
        <w:trPr>
          <w:cantSplit/>
        </w:trPr>
        <w:tc>
          <w:tcPr>
            <w:tcW w:w="1736" w:type="dxa"/>
            <w:tcBorders>
              <w:top w:val="nil"/>
            </w:tcBorders>
            <w:shd w:val="clear" w:color="auto" w:fill="FFFFFF"/>
          </w:tcPr>
          <w:p w14:paraId="305A3EF6"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112E2DED" w14:textId="5FDEC2B5"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963.731</w:t>
            </w:r>
          </w:p>
        </w:tc>
        <w:tc>
          <w:tcPr>
            <w:tcW w:w="820" w:type="dxa"/>
            <w:tcBorders>
              <w:top w:val="nil"/>
            </w:tcBorders>
            <w:shd w:val="clear" w:color="auto" w:fill="FFFFFF"/>
            <w:vAlign w:val="center"/>
          </w:tcPr>
          <w:p w14:paraId="33A4864F" w14:textId="171E6054" w:rsidR="00200D82"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647</w:t>
            </w:r>
          </w:p>
        </w:tc>
        <w:tc>
          <w:tcPr>
            <w:tcW w:w="1445" w:type="dxa"/>
            <w:tcBorders>
              <w:top w:val="nil"/>
            </w:tcBorders>
            <w:shd w:val="clear" w:color="auto" w:fill="FFFFFF"/>
            <w:vAlign w:val="center"/>
          </w:tcPr>
          <w:p w14:paraId="49C15ACB" w14:textId="1809C52A"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1.494</w:t>
            </w:r>
          </w:p>
        </w:tc>
        <w:tc>
          <w:tcPr>
            <w:tcW w:w="1030" w:type="dxa"/>
            <w:tcBorders>
              <w:top w:val="nil"/>
            </w:tcBorders>
            <w:shd w:val="clear" w:color="auto" w:fill="FFFFFF"/>
            <w:vAlign w:val="center"/>
          </w:tcPr>
          <w:p w14:paraId="19C4EC46"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32A8FAB2"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r w:rsidR="00200D82" w:rsidRPr="00CF31E0" w14:paraId="4998AD21" w14:textId="77777777" w:rsidTr="00CD755B">
        <w:trPr>
          <w:cantSplit/>
        </w:trPr>
        <w:tc>
          <w:tcPr>
            <w:tcW w:w="1736" w:type="dxa"/>
            <w:shd w:val="clear" w:color="auto" w:fill="FFFFFF"/>
          </w:tcPr>
          <w:p w14:paraId="5F11F2E9"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EA0C171" w14:textId="58637CFB"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963.813</w:t>
            </w:r>
          </w:p>
        </w:tc>
        <w:tc>
          <w:tcPr>
            <w:tcW w:w="820" w:type="dxa"/>
            <w:shd w:val="clear" w:color="auto" w:fill="FFFFFF"/>
            <w:vAlign w:val="center"/>
          </w:tcPr>
          <w:p w14:paraId="0829DC01" w14:textId="3E638753" w:rsidR="00200D82"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48E9BE92"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4A40C752"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322B7E4A"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bl>
    <w:p w14:paraId="0136B970" w14:textId="77777777" w:rsidR="00CD755B" w:rsidRPr="00CF31E0" w:rsidRDefault="00CD755B" w:rsidP="00CD755B">
      <w:pPr>
        <w:rPr>
          <w:rFonts w:asciiTheme="majorBidi" w:hAnsiTheme="majorBidi" w:cstheme="majorBidi"/>
          <w:b/>
          <w:bCs/>
          <w:color w:val="000000" w:themeColor="text1"/>
        </w:rPr>
      </w:pPr>
    </w:p>
    <w:p w14:paraId="2B74A720" w14:textId="77777777" w:rsidR="00CD755B" w:rsidRPr="00CF31E0" w:rsidRDefault="00CD755B" w:rsidP="00CD755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D755B" w:rsidRPr="00CF31E0" w14:paraId="00B1A279" w14:textId="77777777" w:rsidTr="00CD755B">
        <w:trPr>
          <w:cantSplit/>
        </w:trPr>
        <w:tc>
          <w:tcPr>
            <w:tcW w:w="1736" w:type="dxa"/>
            <w:tcBorders>
              <w:top w:val="single" w:sz="8" w:space="0" w:color="auto"/>
              <w:bottom w:val="single" w:sz="6" w:space="0" w:color="auto"/>
            </w:tcBorders>
            <w:shd w:val="clear" w:color="auto" w:fill="FFFFFF"/>
            <w:vAlign w:val="bottom"/>
          </w:tcPr>
          <w:p w14:paraId="5F289ACB"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Spouse’s social group</w:t>
            </w:r>
          </w:p>
        </w:tc>
        <w:tc>
          <w:tcPr>
            <w:tcW w:w="1686" w:type="dxa"/>
            <w:tcBorders>
              <w:top w:val="single" w:sz="8" w:space="0" w:color="auto"/>
              <w:bottom w:val="single" w:sz="6" w:space="0" w:color="auto"/>
            </w:tcBorders>
            <w:shd w:val="clear" w:color="auto" w:fill="FFFFFF"/>
            <w:vAlign w:val="bottom"/>
          </w:tcPr>
          <w:p w14:paraId="33C7527C"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00B438BD"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CF16E66"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7524FA52"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26A41B22"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200D82" w:rsidRPr="00CF31E0" w14:paraId="73ABCA47" w14:textId="77777777" w:rsidTr="00CD755B">
        <w:trPr>
          <w:cantSplit/>
        </w:trPr>
        <w:tc>
          <w:tcPr>
            <w:tcW w:w="1736" w:type="dxa"/>
            <w:tcBorders>
              <w:top w:val="single" w:sz="6" w:space="0" w:color="auto"/>
              <w:bottom w:val="nil"/>
            </w:tcBorders>
            <w:shd w:val="clear" w:color="auto" w:fill="FFFFFF"/>
          </w:tcPr>
          <w:p w14:paraId="39B2BB7F"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18CFD22E" w14:textId="10799AA9"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5.236</w:t>
            </w:r>
          </w:p>
        </w:tc>
        <w:tc>
          <w:tcPr>
            <w:tcW w:w="820" w:type="dxa"/>
            <w:tcBorders>
              <w:top w:val="single" w:sz="6" w:space="0" w:color="auto"/>
              <w:bottom w:val="nil"/>
            </w:tcBorders>
            <w:shd w:val="clear" w:color="auto" w:fill="FFFFFF"/>
            <w:vAlign w:val="center"/>
          </w:tcPr>
          <w:p w14:paraId="77BEE1E2" w14:textId="3CA90B2C"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4</w:t>
            </w:r>
          </w:p>
        </w:tc>
        <w:tc>
          <w:tcPr>
            <w:tcW w:w="1445" w:type="dxa"/>
            <w:tcBorders>
              <w:top w:val="single" w:sz="6" w:space="0" w:color="auto"/>
              <w:bottom w:val="nil"/>
            </w:tcBorders>
            <w:shd w:val="clear" w:color="auto" w:fill="FFFFFF"/>
            <w:vAlign w:val="center"/>
          </w:tcPr>
          <w:p w14:paraId="70EC9DA0" w14:textId="7403E10A"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1.309</w:t>
            </w:r>
          </w:p>
        </w:tc>
        <w:tc>
          <w:tcPr>
            <w:tcW w:w="1030" w:type="dxa"/>
            <w:tcBorders>
              <w:top w:val="single" w:sz="6" w:space="0" w:color="auto"/>
              <w:bottom w:val="nil"/>
            </w:tcBorders>
            <w:shd w:val="clear" w:color="auto" w:fill="FFFFFF"/>
            <w:vAlign w:val="center"/>
          </w:tcPr>
          <w:p w14:paraId="4067ED00" w14:textId="6A68046B"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.884</w:t>
            </w:r>
          </w:p>
        </w:tc>
        <w:tc>
          <w:tcPr>
            <w:tcW w:w="674" w:type="dxa"/>
            <w:tcBorders>
              <w:top w:val="single" w:sz="6" w:space="0" w:color="auto"/>
              <w:bottom w:val="nil"/>
            </w:tcBorders>
            <w:shd w:val="clear" w:color="auto" w:fill="FFFFFF"/>
            <w:vAlign w:val="center"/>
          </w:tcPr>
          <w:p w14:paraId="6DFBE5CD" w14:textId="15BF3D05"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.473</w:t>
            </w:r>
          </w:p>
        </w:tc>
      </w:tr>
      <w:tr w:rsidR="00200D82" w:rsidRPr="00CF31E0" w14:paraId="5D64F7CC" w14:textId="77777777" w:rsidTr="00CD755B">
        <w:trPr>
          <w:cantSplit/>
        </w:trPr>
        <w:tc>
          <w:tcPr>
            <w:tcW w:w="1736" w:type="dxa"/>
            <w:tcBorders>
              <w:top w:val="nil"/>
            </w:tcBorders>
            <w:shd w:val="clear" w:color="auto" w:fill="FFFFFF"/>
          </w:tcPr>
          <w:p w14:paraId="207BF9B6"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4F276E98" w14:textId="3342A62C"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947.344</w:t>
            </w:r>
          </w:p>
        </w:tc>
        <w:tc>
          <w:tcPr>
            <w:tcW w:w="820" w:type="dxa"/>
            <w:tcBorders>
              <w:top w:val="nil"/>
            </w:tcBorders>
            <w:shd w:val="clear" w:color="auto" w:fill="FFFFFF"/>
            <w:vAlign w:val="center"/>
          </w:tcPr>
          <w:p w14:paraId="36CA8EE4" w14:textId="43699A0B" w:rsidR="00200D82"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645</w:t>
            </w:r>
          </w:p>
        </w:tc>
        <w:tc>
          <w:tcPr>
            <w:tcW w:w="1445" w:type="dxa"/>
            <w:tcBorders>
              <w:top w:val="nil"/>
            </w:tcBorders>
            <w:shd w:val="clear" w:color="auto" w:fill="FFFFFF"/>
            <w:vAlign w:val="center"/>
          </w:tcPr>
          <w:p w14:paraId="13D89A38" w14:textId="48F0FD94"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1.480</w:t>
            </w:r>
          </w:p>
        </w:tc>
        <w:tc>
          <w:tcPr>
            <w:tcW w:w="1030" w:type="dxa"/>
            <w:tcBorders>
              <w:top w:val="nil"/>
            </w:tcBorders>
            <w:shd w:val="clear" w:color="auto" w:fill="FFFFFF"/>
            <w:vAlign w:val="center"/>
          </w:tcPr>
          <w:p w14:paraId="77A12491"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7C04C0CA"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r w:rsidR="00200D82" w:rsidRPr="00CF31E0" w14:paraId="08C36305" w14:textId="77777777" w:rsidTr="00CD755B">
        <w:trPr>
          <w:cantSplit/>
        </w:trPr>
        <w:tc>
          <w:tcPr>
            <w:tcW w:w="1736" w:type="dxa"/>
            <w:shd w:val="clear" w:color="auto" w:fill="FFFFFF"/>
          </w:tcPr>
          <w:p w14:paraId="0583350A"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159671A4" w14:textId="1C8B401F"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952.580</w:t>
            </w:r>
          </w:p>
        </w:tc>
        <w:tc>
          <w:tcPr>
            <w:tcW w:w="820" w:type="dxa"/>
            <w:shd w:val="clear" w:color="auto" w:fill="FFFFFF"/>
            <w:vAlign w:val="center"/>
          </w:tcPr>
          <w:p w14:paraId="47924C1D" w14:textId="6181A30B" w:rsidR="00200D82"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527EBC77"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63110974"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1FA49A62"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bl>
    <w:p w14:paraId="4ABA59E2" w14:textId="77777777" w:rsidR="00CD755B" w:rsidRPr="00CF31E0" w:rsidRDefault="00CD755B" w:rsidP="00CD755B">
      <w:pPr>
        <w:rPr>
          <w:rFonts w:asciiTheme="majorBidi" w:hAnsiTheme="majorBidi" w:cstheme="majorBidi"/>
          <w:b/>
          <w:bCs/>
          <w:color w:val="000000" w:themeColor="text1"/>
        </w:rPr>
      </w:pPr>
    </w:p>
    <w:p w14:paraId="6A170D3D" w14:textId="77777777" w:rsidR="00CD755B" w:rsidRPr="00CF31E0" w:rsidRDefault="00CD755B" w:rsidP="00CD755B">
      <w:pPr>
        <w:rPr>
          <w:rFonts w:asciiTheme="majorBidi" w:hAnsiTheme="majorBidi" w:cstheme="majorBidi"/>
          <w:b/>
          <w:bCs/>
          <w:color w:val="000000" w:themeColor="text1"/>
        </w:rPr>
      </w:pPr>
    </w:p>
    <w:p w14:paraId="0F39A060" w14:textId="77777777" w:rsidR="00674195" w:rsidRPr="00CF31E0" w:rsidRDefault="00674195" w:rsidP="00CD755B">
      <w:pPr>
        <w:rPr>
          <w:rFonts w:asciiTheme="majorBidi" w:hAnsiTheme="majorBidi" w:cstheme="majorBidi"/>
          <w:b/>
          <w:bCs/>
          <w:color w:val="000000" w:themeColor="text1"/>
        </w:rPr>
      </w:pPr>
    </w:p>
    <w:p w14:paraId="2121B909" w14:textId="77777777" w:rsidR="00674195" w:rsidRPr="00CF31E0" w:rsidRDefault="00674195" w:rsidP="00CD755B">
      <w:pPr>
        <w:rPr>
          <w:rFonts w:asciiTheme="majorBidi" w:hAnsiTheme="majorBidi" w:cstheme="majorBidi"/>
          <w:b/>
          <w:bCs/>
          <w:color w:val="000000" w:themeColor="text1"/>
        </w:rPr>
      </w:pPr>
    </w:p>
    <w:p w14:paraId="3B7FFA85" w14:textId="77777777" w:rsidR="00674195" w:rsidRPr="00CF31E0" w:rsidRDefault="00674195" w:rsidP="00CD755B">
      <w:pPr>
        <w:rPr>
          <w:rFonts w:asciiTheme="majorBidi" w:hAnsiTheme="majorBidi" w:cstheme="majorBidi"/>
          <w:b/>
          <w:bCs/>
          <w:color w:val="000000" w:themeColor="text1"/>
        </w:rPr>
      </w:pPr>
    </w:p>
    <w:p w14:paraId="1163CAB5" w14:textId="77777777" w:rsidR="00CD755B" w:rsidRPr="00CF31E0" w:rsidRDefault="00CD755B" w:rsidP="00CD755B">
      <w:pPr>
        <w:pStyle w:val="ListParagraph"/>
        <w:numPr>
          <w:ilvl w:val="0"/>
          <w:numId w:val="71"/>
        </w:numPr>
        <w:rPr>
          <w:rFonts w:asciiTheme="majorBidi" w:hAnsiTheme="majorBidi" w:cstheme="majorBidi"/>
          <w:b/>
          <w:bCs/>
          <w:color w:val="000000" w:themeColor="text1"/>
          <w:sz w:val="28"/>
          <w:szCs w:val="28"/>
        </w:rPr>
      </w:pPr>
      <w:r w:rsidRPr="00CF31E0">
        <w:rPr>
          <w:rFonts w:asciiTheme="majorBidi" w:hAnsiTheme="majorBidi" w:cstheme="majorBidi"/>
          <w:b/>
          <w:bCs/>
          <w:color w:val="000000" w:themeColor="text1"/>
          <w:sz w:val="28"/>
          <w:szCs w:val="28"/>
        </w:rPr>
        <w:lastRenderedPageBreak/>
        <w:t>Traditional scale</w:t>
      </w:r>
    </w:p>
    <w:p w14:paraId="3C644AA9" w14:textId="77777777" w:rsidR="00CD755B" w:rsidRPr="00CF31E0" w:rsidRDefault="00CD755B" w:rsidP="00CD755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D755B" w:rsidRPr="00CF31E0" w14:paraId="2D3CA77F" w14:textId="77777777" w:rsidTr="00CD755B">
        <w:trPr>
          <w:cantSplit/>
        </w:trPr>
        <w:tc>
          <w:tcPr>
            <w:tcW w:w="1736" w:type="dxa"/>
            <w:tcBorders>
              <w:top w:val="single" w:sz="8" w:space="0" w:color="auto"/>
              <w:bottom w:val="single" w:sz="6" w:space="0" w:color="auto"/>
            </w:tcBorders>
            <w:shd w:val="clear" w:color="auto" w:fill="FFFFFF"/>
            <w:vAlign w:val="bottom"/>
          </w:tcPr>
          <w:p w14:paraId="6E91051E" w14:textId="252B5574" w:rsidR="00CD755B"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Gender</w:t>
            </w:r>
          </w:p>
        </w:tc>
        <w:tc>
          <w:tcPr>
            <w:tcW w:w="1686" w:type="dxa"/>
            <w:tcBorders>
              <w:top w:val="single" w:sz="8" w:space="0" w:color="auto"/>
              <w:bottom w:val="single" w:sz="6" w:space="0" w:color="auto"/>
            </w:tcBorders>
            <w:shd w:val="clear" w:color="auto" w:fill="FFFFFF"/>
            <w:vAlign w:val="bottom"/>
          </w:tcPr>
          <w:p w14:paraId="4C7E33ED"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209AF7D2"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7421FC44"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6D7B9C2"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2CFE2776"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200D82" w:rsidRPr="00CF31E0" w14:paraId="57E4ABC9" w14:textId="77777777" w:rsidTr="00CD755B">
        <w:trPr>
          <w:cantSplit/>
        </w:trPr>
        <w:tc>
          <w:tcPr>
            <w:tcW w:w="1736" w:type="dxa"/>
            <w:tcBorders>
              <w:top w:val="single" w:sz="6" w:space="0" w:color="auto"/>
              <w:bottom w:val="nil"/>
            </w:tcBorders>
            <w:shd w:val="clear" w:color="auto" w:fill="FFFFFF"/>
          </w:tcPr>
          <w:p w14:paraId="0AF26D82"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115FDAD0" w14:textId="6CCA0FB8"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2.204</w:t>
            </w:r>
          </w:p>
        </w:tc>
        <w:tc>
          <w:tcPr>
            <w:tcW w:w="820" w:type="dxa"/>
            <w:tcBorders>
              <w:top w:val="single" w:sz="6" w:space="0" w:color="auto"/>
              <w:bottom w:val="nil"/>
            </w:tcBorders>
            <w:shd w:val="clear" w:color="auto" w:fill="FFFFFF"/>
            <w:vAlign w:val="center"/>
          </w:tcPr>
          <w:p w14:paraId="255A1516" w14:textId="47510C5D"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w:t>
            </w:r>
          </w:p>
        </w:tc>
        <w:tc>
          <w:tcPr>
            <w:tcW w:w="1445" w:type="dxa"/>
            <w:tcBorders>
              <w:top w:val="single" w:sz="6" w:space="0" w:color="auto"/>
              <w:bottom w:val="nil"/>
            </w:tcBorders>
            <w:shd w:val="clear" w:color="auto" w:fill="FFFFFF"/>
            <w:vAlign w:val="center"/>
          </w:tcPr>
          <w:p w14:paraId="0BE7B753" w14:textId="386A8352"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2.204</w:t>
            </w:r>
          </w:p>
        </w:tc>
        <w:tc>
          <w:tcPr>
            <w:tcW w:w="1030" w:type="dxa"/>
            <w:tcBorders>
              <w:top w:val="single" w:sz="6" w:space="0" w:color="auto"/>
              <w:bottom w:val="nil"/>
            </w:tcBorders>
            <w:shd w:val="clear" w:color="auto" w:fill="FFFFFF"/>
            <w:vAlign w:val="center"/>
          </w:tcPr>
          <w:p w14:paraId="5370A5D2" w14:textId="58D0AFAB"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1.704</w:t>
            </w:r>
          </w:p>
        </w:tc>
        <w:tc>
          <w:tcPr>
            <w:tcW w:w="674" w:type="dxa"/>
            <w:tcBorders>
              <w:top w:val="single" w:sz="6" w:space="0" w:color="auto"/>
              <w:bottom w:val="nil"/>
            </w:tcBorders>
            <w:shd w:val="clear" w:color="auto" w:fill="FFFFFF"/>
            <w:vAlign w:val="center"/>
          </w:tcPr>
          <w:p w14:paraId="23964BBF" w14:textId="0F55C6B4"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.192</w:t>
            </w:r>
          </w:p>
        </w:tc>
      </w:tr>
      <w:tr w:rsidR="00200D82" w:rsidRPr="00CF31E0" w14:paraId="6603E64C" w14:textId="77777777" w:rsidTr="00CD755B">
        <w:trPr>
          <w:cantSplit/>
        </w:trPr>
        <w:tc>
          <w:tcPr>
            <w:tcW w:w="1736" w:type="dxa"/>
            <w:tcBorders>
              <w:top w:val="nil"/>
            </w:tcBorders>
            <w:shd w:val="clear" w:color="auto" w:fill="FFFFFF"/>
          </w:tcPr>
          <w:p w14:paraId="7A9F3035"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48095A90" w14:textId="7283B561"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836.591</w:t>
            </w:r>
          </w:p>
        </w:tc>
        <w:tc>
          <w:tcPr>
            <w:tcW w:w="820" w:type="dxa"/>
            <w:tcBorders>
              <w:top w:val="nil"/>
            </w:tcBorders>
            <w:shd w:val="clear" w:color="auto" w:fill="FFFFFF"/>
            <w:vAlign w:val="center"/>
          </w:tcPr>
          <w:p w14:paraId="29E42326" w14:textId="3A900D75"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647</w:t>
            </w:r>
          </w:p>
        </w:tc>
        <w:tc>
          <w:tcPr>
            <w:tcW w:w="1445" w:type="dxa"/>
            <w:tcBorders>
              <w:top w:val="nil"/>
            </w:tcBorders>
            <w:shd w:val="clear" w:color="auto" w:fill="FFFFFF"/>
            <w:vAlign w:val="center"/>
          </w:tcPr>
          <w:p w14:paraId="302544AB" w14:textId="7ED5F6F9"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1.293</w:t>
            </w:r>
          </w:p>
        </w:tc>
        <w:tc>
          <w:tcPr>
            <w:tcW w:w="1030" w:type="dxa"/>
            <w:tcBorders>
              <w:top w:val="nil"/>
            </w:tcBorders>
            <w:shd w:val="clear" w:color="auto" w:fill="FFFFFF"/>
            <w:vAlign w:val="center"/>
          </w:tcPr>
          <w:p w14:paraId="20C82220"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38D1DC79"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r w:rsidR="00200D82" w:rsidRPr="00CF31E0" w14:paraId="2190A2AE" w14:textId="77777777" w:rsidTr="00CD755B">
        <w:trPr>
          <w:cantSplit/>
        </w:trPr>
        <w:tc>
          <w:tcPr>
            <w:tcW w:w="1736" w:type="dxa"/>
            <w:shd w:val="clear" w:color="auto" w:fill="FFFFFF"/>
          </w:tcPr>
          <w:p w14:paraId="3EA6D15E"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20BAE23C" w14:textId="0C5C2A63"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838.795</w:t>
            </w:r>
          </w:p>
        </w:tc>
        <w:tc>
          <w:tcPr>
            <w:tcW w:w="820" w:type="dxa"/>
            <w:shd w:val="clear" w:color="auto" w:fill="FFFFFF"/>
            <w:vAlign w:val="center"/>
          </w:tcPr>
          <w:p w14:paraId="3C85DE88" w14:textId="01369532" w:rsidR="00200D82"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76B6CCDD"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5DDE22BC"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2DE76814"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bl>
    <w:p w14:paraId="44BDB7C4" w14:textId="77777777" w:rsidR="00CD755B" w:rsidRPr="00CF31E0" w:rsidRDefault="00CD755B" w:rsidP="00CD755B">
      <w:pPr>
        <w:rPr>
          <w:rFonts w:asciiTheme="majorBidi" w:hAnsiTheme="majorBidi" w:cstheme="majorBidi"/>
          <w:b/>
          <w:bCs/>
          <w:color w:val="000000" w:themeColor="text1"/>
        </w:rPr>
      </w:pPr>
    </w:p>
    <w:p w14:paraId="0A43AC6F" w14:textId="77777777" w:rsidR="00200D82" w:rsidRPr="00CF31E0" w:rsidRDefault="00200D82" w:rsidP="00CD755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200D82" w:rsidRPr="00CF31E0" w14:paraId="436221C4" w14:textId="77777777" w:rsidTr="0086328B">
        <w:trPr>
          <w:cantSplit/>
        </w:trPr>
        <w:tc>
          <w:tcPr>
            <w:tcW w:w="1736" w:type="dxa"/>
            <w:tcBorders>
              <w:top w:val="single" w:sz="8" w:space="0" w:color="auto"/>
              <w:bottom w:val="single" w:sz="6" w:space="0" w:color="auto"/>
            </w:tcBorders>
            <w:shd w:val="clear" w:color="auto" w:fill="FFFFFF"/>
            <w:vAlign w:val="bottom"/>
          </w:tcPr>
          <w:p w14:paraId="35531F5B" w14:textId="1C004D87" w:rsidR="00200D82" w:rsidRPr="00CF31E0" w:rsidRDefault="00200D82" w:rsidP="0086328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Age</w:t>
            </w:r>
          </w:p>
        </w:tc>
        <w:tc>
          <w:tcPr>
            <w:tcW w:w="1686" w:type="dxa"/>
            <w:tcBorders>
              <w:top w:val="single" w:sz="8" w:space="0" w:color="auto"/>
              <w:bottom w:val="single" w:sz="6" w:space="0" w:color="auto"/>
            </w:tcBorders>
            <w:shd w:val="clear" w:color="auto" w:fill="FFFFFF"/>
            <w:vAlign w:val="bottom"/>
          </w:tcPr>
          <w:p w14:paraId="50E6C73D"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40765F8E"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83C8FBF"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66635EF6"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0D3EF5A3"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200D82" w:rsidRPr="00CF31E0" w14:paraId="25F23CDA" w14:textId="77777777" w:rsidTr="0086328B">
        <w:trPr>
          <w:cantSplit/>
        </w:trPr>
        <w:tc>
          <w:tcPr>
            <w:tcW w:w="1736" w:type="dxa"/>
            <w:tcBorders>
              <w:top w:val="single" w:sz="6" w:space="0" w:color="auto"/>
              <w:bottom w:val="nil"/>
            </w:tcBorders>
            <w:shd w:val="clear" w:color="auto" w:fill="FFFFFF"/>
          </w:tcPr>
          <w:p w14:paraId="26B634D8" w14:textId="77777777" w:rsidR="00200D82" w:rsidRPr="00CF31E0" w:rsidRDefault="00200D82" w:rsidP="0086328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371617BD" w14:textId="36E8B4D0"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7.705</w:t>
            </w:r>
          </w:p>
        </w:tc>
        <w:tc>
          <w:tcPr>
            <w:tcW w:w="820" w:type="dxa"/>
            <w:tcBorders>
              <w:top w:val="single" w:sz="6" w:space="0" w:color="auto"/>
              <w:bottom w:val="nil"/>
            </w:tcBorders>
            <w:shd w:val="clear" w:color="auto" w:fill="FFFFFF"/>
            <w:vAlign w:val="center"/>
          </w:tcPr>
          <w:p w14:paraId="65997C42" w14:textId="352CEBBA"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5</w:t>
            </w:r>
          </w:p>
        </w:tc>
        <w:tc>
          <w:tcPr>
            <w:tcW w:w="1445" w:type="dxa"/>
            <w:tcBorders>
              <w:top w:val="single" w:sz="6" w:space="0" w:color="auto"/>
              <w:bottom w:val="nil"/>
            </w:tcBorders>
            <w:shd w:val="clear" w:color="auto" w:fill="FFFFFF"/>
            <w:vAlign w:val="center"/>
          </w:tcPr>
          <w:p w14:paraId="4C40DE92" w14:textId="3ECE979B"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1.541</w:t>
            </w:r>
          </w:p>
        </w:tc>
        <w:tc>
          <w:tcPr>
            <w:tcW w:w="1030" w:type="dxa"/>
            <w:tcBorders>
              <w:top w:val="single" w:sz="6" w:space="0" w:color="auto"/>
              <w:bottom w:val="nil"/>
            </w:tcBorders>
            <w:shd w:val="clear" w:color="auto" w:fill="FFFFFF"/>
            <w:vAlign w:val="center"/>
          </w:tcPr>
          <w:p w14:paraId="6FA764C6" w14:textId="52D21F96"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1.189</w:t>
            </w:r>
          </w:p>
        </w:tc>
        <w:tc>
          <w:tcPr>
            <w:tcW w:w="674" w:type="dxa"/>
            <w:tcBorders>
              <w:top w:val="single" w:sz="6" w:space="0" w:color="auto"/>
              <w:bottom w:val="nil"/>
            </w:tcBorders>
            <w:shd w:val="clear" w:color="auto" w:fill="FFFFFF"/>
            <w:vAlign w:val="center"/>
          </w:tcPr>
          <w:p w14:paraId="03D1E2B0" w14:textId="7E1F0B3B"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.313</w:t>
            </w:r>
          </w:p>
        </w:tc>
      </w:tr>
      <w:tr w:rsidR="00200D82" w:rsidRPr="00CF31E0" w14:paraId="486EC343" w14:textId="77777777" w:rsidTr="0086328B">
        <w:trPr>
          <w:cantSplit/>
        </w:trPr>
        <w:tc>
          <w:tcPr>
            <w:tcW w:w="1736" w:type="dxa"/>
            <w:tcBorders>
              <w:top w:val="nil"/>
            </w:tcBorders>
            <w:shd w:val="clear" w:color="auto" w:fill="FFFFFF"/>
          </w:tcPr>
          <w:p w14:paraId="5915328A" w14:textId="77777777" w:rsidR="00200D82" w:rsidRPr="00CF31E0" w:rsidRDefault="00200D82" w:rsidP="0086328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1D40AC94" w14:textId="52F385A0"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830.756</w:t>
            </w:r>
          </w:p>
        </w:tc>
        <w:tc>
          <w:tcPr>
            <w:tcW w:w="820" w:type="dxa"/>
            <w:tcBorders>
              <w:top w:val="nil"/>
            </w:tcBorders>
            <w:shd w:val="clear" w:color="auto" w:fill="FFFFFF"/>
            <w:vAlign w:val="center"/>
          </w:tcPr>
          <w:p w14:paraId="55297870" w14:textId="134914EA"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641</w:t>
            </w:r>
          </w:p>
        </w:tc>
        <w:tc>
          <w:tcPr>
            <w:tcW w:w="1445" w:type="dxa"/>
            <w:tcBorders>
              <w:top w:val="nil"/>
            </w:tcBorders>
            <w:shd w:val="clear" w:color="auto" w:fill="FFFFFF"/>
            <w:vAlign w:val="center"/>
          </w:tcPr>
          <w:p w14:paraId="32FE5640" w14:textId="19DE0A61"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1.296</w:t>
            </w:r>
          </w:p>
        </w:tc>
        <w:tc>
          <w:tcPr>
            <w:tcW w:w="1030" w:type="dxa"/>
            <w:tcBorders>
              <w:top w:val="nil"/>
            </w:tcBorders>
            <w:shd w:val="clear" w:color="auto" w:fill="FFFFFF"/>
            <w:vAlign w:val="center"/>
          </w:tcPr>
          <w:p w14:paraId="623FAEDD"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4024376A"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p>
        </w:tc>
      </w:tr>
      <w:tr w:rsidR="00200D82" w:rsidRPr="00CF31E0" w14:paraId="052265B0" w14:textId="77777777" w:rsidTr="0086328B">
        <w:trPr>
          <w:cantSplit/>
        </w:trPr>
        <w:tc>
          <w:tcPr>
            <w:tcW w:w="1736" w:type="dxa"/>
            <w:shd w:val="clear" w:color="auto" w:fill="FFFFFF"/>
          </w:tcPr>
          <w:p w14:paraId="5C45AE71" w14:textId="77777777" w:rsidR="00200D82" w:rsidRPr="00CF31E0" w:rsidRDefault="00200D82" w:rsidP="0086328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841FB5D" w14:textId="364D2EDF"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838.461</w:t>
            </w:r>
          </w:p>
        </w:tc>
        <w:tc>
          <w:tcPr>
            <w:tcW w:w="820" w:type="dxa"/>
            <w:shd w:val="clear" w:color="auto" w:fill="FFFFFF"/>
            <w:vAlign w:val="center"/>
          </w:tcPr>
          <w:p w14:paraId="16552895" w14:textId="5B91AFC4" w:rsidR="00200D82" w:rsidRPr="00CF31E0" w:rsidRDefault="00BC3BC3"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5C02911A"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69857C64"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41020263"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p>
        </w:tc>
      </w:tr>
    </w:tbl>
    <w:p w14:paraId="50464F6C" w14:textId="77777777" w:rsidR="00200D82" w:rsidRPr="00CF31E0" w:rsidRDefault="00200D82" w:rsidP="00CD755B">
      <w:pPr>
        <w:rPr>
          <w:rFonts w:asciiTheme="majorBidi" w:hAnsiTheme="majorBidi" w:cstheme="majorBidi"/>
          <w:b/>
          <w:bCs/>
          <w:color w:val="000000" w:themeColor="text1"/>
        </w:rPr>
      </w:pPr>
    </w:p>
    <w:p w14:paraId="4FA193BB" w14:textId="77777777" w:rsidR="00200D82" w:rsidRPr="00CF31E0" w:rsidRDefault="00200D82" w:rsidP="00CD755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D755B" w:rsidRPr="00CF31E0" w14:paraId="473A01EC" w14:textId="77777777" w:rsidTr="00CD755B">
        <w:trPr>
          <w:cantSplit/>
        </w:trPr>
        <w:tc>
          <w:tcPr>
            <w:tcW w:w="1736" w:type="dxa"/>
            <w:tcBorders>
              <w:top w:val="single" w:sz="8" w:space="0" w:color="auto"/>
              <w:bottom w:val="single" w:sz="6" w:space="0" w:color="auto"/>
            </w:tcBorders>
            <w:shd w:val="clear" w:color="auto" w:fill="FFFFFF"/>
            <w:vAlign w:val="bottom"/>
          </w:tcPr>
          <w:p w14:paraId="3D3FA9C7"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 of birth</w:t>
            </w:r>
          </w:p>
        </w:tc>
        <w:tc>
          <w:tcPr>
            <w:tcW w:w="1686" w:type="dxa"/>
            <w:tcBorders>
              <w:top w:val="single" w:sz="8" w:space="0" w:color="auto"/>
              <w:bottom w:val="single" w:sz="6" w:space="0" w:color="auto"/>
            </w:tcBorders>
            <w:shd w:val="clear" w:color="auto" w:fill="FFFFFF"/>
            <w:vAlign w:val="bottom"/>
          </w:tcPr>
          <w:p w14:paraId="4E610D63"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7C4B5D7D"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724E6C09"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45937733"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4550C8F4"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200D82" w:rsidRPr="00CF31E0" w14:paraId="415F6CE0" w14:textId="77777777" w:rsidTr="00CD755B">
        <w:trPr>
          <w:cantSplit/>
        </w:trPr>
        <w:tc>
          <w:tcPr>
            <w:tcW w:w="1736" w:type="dxa"/>
            <w:tcBorders>
              <w:top w:val="single" w:sz="6" w:space="0" w:color="auto"/>
              <w:bottom w:val="nil"/>
            </w:tcBorders>
            <w:shd w:val="clear" w:color="auto" w:fill="FFFFFF"/>
          </w:tcPr>
          <w:p w14:paraId="176886F0"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200D749D" w14:textId="57F3305B"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.031</w:t>
            </w:r>
          </w:p>
        </w:tc>
        <w:tc>
          <w:tcPr>
            <w:tcW w:w="820" w:type="dxa"/>
            <w:tcBorders>
              <w:top w:val="single" w:sz="6" w:space="0" w:color="auto"/>
              <w:bottom w:val="nil"/>
            </w:tcBorders>
            <w:shd w:val="clear" w:color="auto" w:fill="FFFFFF"/>
            <w:vAlign w:val="center"/>
          </w:tcPr>
          <w:p w14:paraId="3F3F7331" w14:textId="4EA4B68A"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w:t>
            </w:r>
          </w:p>
        </w:tc>
        <w:tc>
          <w:tcPr>
            <w:tcW w:w="1445" w:type="dxa"/>
            <w:tcBorders>
              <w:top w:val="single" w:sz="6" w:space="0" w:color="auto"/>
              <w:bottom w:val="nil"/>
            </w:tcBorders>
            <w:shd w:val="clear" w:color="auto" w:fill="FFFFFF"/>
            <w:vAlign w:val="center"/>
          </w:tcPr>
          <w:p w14:paraId="0032F592" w14:textId="154EA54B"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.031</w:t>
            </w:r>
          </w:p>
        </w:tc>
        <w:tc>
          <w:tcPr>
            <w:tcW w:w="1030" w:type="dxa"/>
            <w:tcBorders>
              <w:top w:val="single" w:sz="6" w:space="0" w:color="auto"/>
              <w:bottom w:val="nil"/>
            </w:tcBorders>
            <w:shd w:val="clear" w:color="auto" w:fill="FFFFFF"/>
            <w:vAlign w:val="center"/>
          </w:tcPr>
          <w:p w14:paraId="3E03A28E" w14:textId="68E28728"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.024</w:t>
            </w:r>
          </w:p>
        </w:tc>
        <w:tc>
          <w:tcPr>
            <w:tcW w:w="674" w:type="dxa"/>
            <w:tcBorders>
              <w:top w:val="single" w:sz="6" w:space="0" w:color="auto"/>
              <w:bottom w:val="nil"/>
            </w:tcBorders>
            <w:shd w:val="clear" w:color="auto" w:fill="FFFFFF"/>
            <w:vAlign w:val="center"/>
          </w:tcPr>
          <w:p w14:paraId="2C7FE420" w14:textId="12336F84"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.877</w:t>
            </w:r>
          </w:p>
        </w:tc>
      </w:tr>
      <w:tr w:rsidR="00200D82" w:rsidRPr="00CF31E0" w14:paraId="35776216" w14:textId="77777777" w:rsidTr="00CD755B">
        <w:trPr>
          <w:cantSplit/>
        </w:trPr>
        <w:tc>
          <w:tcPr>
            <w:tcW w:w="1736" w:type="dxa"/>
            <w:tcBorders>
              <w:top w:val="nil"/>
            </w:tcBorders>
            <w:shd w:val="clear" w:color="auto" w:fill="FFFFFF"/>
          </w:tcPr>
          <w:p w14:paraId="04E0B1A2"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3B0B48AD" w14:textId="5ED9E89A"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838.764</w:t>
            </w:r>
          </w:p>
        </w:tc>
        <w:tc>
          <w:tcPr>
            <w:tcW w:w="820" w:type="dxa"/>
            <w:tcBorders>
              <w:top w:val="nil"/>
            </w:tcBorders>
            <w:shd w:val="clear" w:color="auto" w:fill="FFFFFF"/>
            <w:vAlign w:val="center"/>
          </w:tcPr>
          <w:p w14:paraId="3AEFF0DC" w14:textId="40DBAE21"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647</w:t>
            </w:r>
          </w:p>
        </w:tc>
        <w:tc>
          <w:tcPr>
            <w:tcW w:w="1445" w:type="dxa"/>
            <w:tcBorders>
              <w:top w:val="nil"/>
            </w:tcBorders>
            <w:shd w:val="clear" w:color="auto" w:fill="FFFFFF"/>
            <w:vAlign w:val="center"/>
          </w:tcPr>
          <w:p w14:paraId="21F803DC" w14:textId="7F897848"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1.296</w:t>
            </w:r>
          </w:p>
        </w:tc>
        <w:tc>
          <w:tcPr>
            <w:tcW w:w="1030" w:type="dxa"/>
            <w:tcBorders>
              <w:top w:val="nil"/>
            </w:tcBorders>
            <w:shd w:val="clear" w:color="auto" w:fill="FFFFFF"/>
            <w:vAlign w:val="center"/>
          </w:tcPr>
          <w:p w14:paraId="42B8E3E4"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4A0B7AEB"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r w:rsidR="00200D82" w:rsidRPr="00CF31E0" w14:paraId="6F70B8EF" w14:textId="77777777" w:rsidTr="00CD755B">
        <w:trPr>
          <w:cantSplit/>
        </w:trPr>
        <w:tc>
          <w:tcPr>
            <w:tcW w:w="1736" w:type="dxa"/>
            <w:shd w:val="clear" w:color="auto" w:fill="FFFFFF"/>
          </w:tcPr>
          <w:p w14:paraId="3FFAC23B"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11FA1BEA" w14:textId="257E3B5C"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838.795</w:t>
            </w:r>
          </w:p>
        </w:tc>
        <w:tc>
          <w:tcPr>
            <w:tcW w:w="820" w:type="dxa"/>
            <w:shd w:val="clear" w:color="auto" w:fill="FFFFFF"/>
            <w:vAlign w:val="center"/>
          </w:tcPr>
          <w:p w14:paraId="430DA89D" w14:textId="4690F42E" w:rsidR="00200D82"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7E0A693F"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70748A66"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41EE5647"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bl>
    <w:p w14:paraId="52738C2E" w14:textId="77777777" w:rsidR="00CD755B" w:rsidRPr="00CF31E0" w:rsidRDefault="00CD755B" w:rsidP="00CD755B">
      <w:pPr>
        <w:rPr>
          <w:rFonts w:asciiTheme="majorBidi" w:hAnsiTheme="majorBidi" w:cstheme="majorBidi"/>
          <w:b/>
          <w:bCs/>
          <w:color w:val="000000" w:themeColor="text1"/>
        </w:rPr>
      </w:pPr>
    </w:p>
    <w:p w14:paraId="35D59502" w14:textId="77777777" w:rsidR="00CD755B" w:rsidRPr="00CF31E0" w:rsidRDefault="00CD755B" w:rsidP="00CD755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D755B" w:rsidRPr="00CF31E0" w14:paraId="581F61BD" w14:textId="77777777" w:rsidTr="00CD755B">
        <w:trPr>
          <w:cantSplit/>
        </w:trPr>
        <w:tc>
          <w:tcPr>
            <w:tcW w:w="1736" w:type="dxa"/>
            <w:tcBorders>
              <w:top w:val="single" w:sz="8" w:space="0" w:color="auto"/>
              <w:bottom w:val="single" w:sz="6" w:space="0" w:color="auto"/>
            </w:tcBorders>
            <w:shd w:val="clear" w:color="auto" w:fill="FFFFFF"/>
            <w:vAlign w:val="bottom"/>
          </w:tcPr>
          <w:p w14:paraId="5DC22E77"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Places lived</w:t>
            </w:r>
          </w:p>
        </w:tc>
        <w:tc>
          <w:tcPr>
            <w:tcW w:w="1686" w:type="dxa"/>
            <w:tcBorders>
              <w:top w:val="single" w:sz="8" w:space="0" w:color="auto"/>
              <w:bottom w:val="single" w:sz="6" w:space="0" w:color="auto"/>
            </w:tcBorders>
            <w:shd w:val="clear" w:color="auto" w:fill="FFFFFF"/>
            <w:vAlign w:val="bottom"/>
          </w:tcPr>
          <w:p w14:paraId="7D7D62AB"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4E3F3959"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6A87F581"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7CE23E76"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0E832497"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200D82" w:rsidRPr="00CF31E0" w14:paraId="2E18F00A" w14:textId="77777777" w:rsidTr="00CD755B">
        <w:trPr>
          <w:cantSplit/>
        </w:trPr>
        <w:tc>
          <w:tcPr>
            <w:tcW w:w="1736" w:type="dxa"/>
            <w:tcBorders>
              <w:top w:val="single" w:sz="6" w:space="0" w:color="auto"/>
              <w:bottom w:val="nil"/>
            </w:tcBorders>
            <w:shd w:val="clear" w:color="auto" w:fill="FFFFFF"/>
          </w:tcPr>
          <w:p w14:paraId="46F561EE"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4EBAD23C" w14:textId="1D15120C"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.412</w:t>
            </w:r>
          </w:p>
        </w:tc>
        <w:tc>
          <w:tcPr>
            <w:tcW w:w="820" w:type="dxa"/>
            <w:tcBorders>
              <w:top w:val="single" w:sz="6" w:space="0" w:color="auto"/>
              <w:bottom w:val="nil"/>
            </w:tcBorders>
            <w:shd w:val="clear" w:color="auto" w:fill="FFFFFF"/>
            <w:vAlign w:val="center"/>
          </w:tcPr>
          <w:p w14:paraId="70201B6A" w14:textId="6C5617EA"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w:t>
            </w:r>
          </w:p>
        </w:tc>
        <w:tc>
          <w:tcPr>
            <w:tcW w:w="1445" w:type="dxa"/>
            <w:tcBorders>
              <w:top w:val="single" w:sz="6" w:space="0" w:color="auto"/>
              <w:bottom w:val="nil"/>
            </w:tcBorders>
            <w:shd w:val="clear" w:color="auto" w:fill="FFFFFF"/>
            <w:vAlign w:val="center"/>
          </w:tcPr>
          <w:p w14:paraId="1AC8A6A0" w14:textId="63F218D1"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.412</w:t>
            </w:r>
          </w:p>
        </w:tc>
        <w:tc>
          <w:tcPr>
            <w:tcW w:w="1030" w:type="dxa"/>
            <w:tcBorders>
              <w:top w:val="single" w:sz="6" w:space="0" w:color="auto"/>
              <w:bottom w:val="nil"/>
            </w:tcBorders>
            <w:shd w:val="clear" w:color="auto" w:fill="FFFFFF"/>
            <w:vAlign w:val="center"/>
          </w:tcPr>
          <w:p w14:paraId="1EACF802" w14:textId="26983A0A"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.315</w:t>
            </w:r>
          </w:p>
        </w:tc>
        <w:tc>
          <w:tcPr>
            <w:tcW w:w="674" w:type="dxa"/>
            <w:tcBorders>
              <w:top w:val="single" w:sz="6" w:space="0" w:color="auto"/>
              <w:bottom w:val="nil"/>
            </w:tcBorders>
            <w:shd w:val="clear" w:color="auto" w:fill="FFFFFF"/>
            <w:vAlign w:val="center"/>
          </w:tcPr>
          <w:p w14:paraId="6CB31AD3" w14:textId="03FA5421"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.575</w:t>
            </w:r>
          </w:p>
        </w:tc>
      </w:tr>
      <w:tr w:rsidR="00200D82" w:rsidRPr="00CF31E0" w14:paraId="6CF50834" w14:textId="77777777" w:rsidTr="00CD755B">
        <w:trPr>
          <w:cantSplit/>
        </w:trPr>
        <w:tc>
          <w:tcPr>
            <w:tcW w:w="1736" w:type="dxa"/>
            <w:tcBorders>
              <w:top w:val="nil"/>
            </w:tcBorders>
            <w:shd w:val="clear" w:color="auto" w:fill="FFFFFF"/>
          </w:tcPr>
          <w:p w14:paraId="0DBD6BF4"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36E32B96" w14:textId="297EB873"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831.798</w:t>
            </w:r>
          </w:p>
        </w:tc>
        <w:tc>
          <w:tcPr>
            <w:tcW w:w="820" w:type="dxa"/>
            <w:tcBorders>
              <w:top w:val="nil"/>
            </w:tcBorders>
            <w:shd w:val="clear" w:color="auto" w:fill="FFFFFF"/>
            <w:vAlign w:val="center"/>
          </w:tcPr>
          <w:p w14:paraId="440BD8F5" w14:textId="531F9F41"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647</w:t>
            </w:r>
          </w:p>
        </w:tc>
        <w:tc>
          <w:tcPr>
            <w:tcW w:w="1445" w:type="dxa"/>
            <w:tcBorders>
              <w:top w:val="nil"/>
            </w:tcBorders>
            <w:shd w:val="clear" w:color="auto" w:fill="FFFFFF"/>
            <w:vAlign w:val="center"/>
          </w:tcPr>
          <w:p w14:paraId="158F0314" w14:textId="0D0D421F"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1.306</w:t>
            </w:r>
          </w:p>
        </w:tc>
        <w:tc>
          <w:tcPr>
            <w:tcW w:w="1030" w:type="dxa"/>
            <w:tcBorders>
              <w:top w:val="nil"/>
            </w:tcBorders>
            <w:shd w:val="clear" w:color="auto" w:fill="FFFFFF"/>
            <w:vAlign w:val="center"/>
          </w:tcPr>
          <w:p w14:paraId="2A75C21A"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02A41CE4"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r w:rsidR="00200D82" w:rsidRPr="00CF31E0" w14:paraId="61BD3E53" w14:textId="77777777" w:rsidTr="00CD755B">
        <w:trPr>
          <w:cantSplit/>
        </w:trPr>
        <w:tc>
          <w:tcPr>
            <w:tcW w:w="1736" w:type="dxa"/>
            <w:shd w:val="clear" w:color="auto" w:fill="FFFFFF"/>
          </w:tcPr>
          <w:p w14:paraId="0F48A7A2"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153BC1A" w14:textId="4C9D17D4"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832.210</w:t>
            </w:r>
          </w:p>
        </w:tc>
        <w:tc>
          <w:tcPr>
            <w:tcW w:w="820" w:type="dxa"/>
            <w:shd w:val="clear" w:color="auto" w:fill="FFFFFF"/>
            <w:vAlign w:val="center"/>
          </w:tcPr>
          <w:p w14:paraId="346431E0" w14:textId="552B2747" w:rsidR="00200D82"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02DA1E98"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04D453E3"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60A2D474"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bl>
    <w:p w14:paraId="340CE6B2" w14:textId="77777777" w:rsidR="00CD755B" w:rsidRPr="00CF31E0" w:rsidRDefault="00CD755B" w:rsidP="00CD755B">
      <w:pPr>
        <w:rPr>
          <w:rFonts w:asciiTheme="majorBidi" w:hAnsiTheme="majorBidi" w:cstheme="majorBidi"/>
          <w:b/>
          <w:bCs/>
          <w:color w:val="000000" w:themeColor="text1"/>
        </w:rPr>
      </w:pPr>
    </w:p>
    <w:p w14:paraId="6DFB0DC2" w14:textId="77777777" w:rsidR="00CD755B" w:rsidRPr="00CF31E0" w:rsidRDefault="00CD755B" w:rsidP="00CD755B">
      <w:pPr>
        <w:rPr>
          <w:rFonts w:asciiTheme="majorBidi" w:hAnsiTheme="majorBidi" w:cstheme="majorBidi"/>
          <w:b/>
          <w:bCs/>
          <w:color w:val="000000" w:themeColor="text1"/>
        </w:rPr>
      </w:pPr>
    </w:p>
    <w:p w14:paraId="64946C1A" w14:textId="77777777" w:rsidR="00674195" w:rsidRPr="00CF31E0" w:rsidRDefault="00674195" w:rsidP="00CD755B">
      <w:pPr>
        <w:rPr>
          <w:rFonts w:asciiTheme="majorBidi" w:hAnsiTheme="majorBidi" w:cstheme="majorBidi"/>
          <w:b/>
          <w:bCs/>
          <w:color w:val="000000" w:themeColor="text1"/>
        </w:rPr>
      </w:pPr>
    </w:p>
    <w:p w14:paraId="231E9253" w14:textId="77777777" w:rsidR="00674195" w:rsidRPr="00CF31E0" w:rsidRDefault="00674195" w:rsidP="00CD755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D755B" w:rsidRPr="00CF31E0" w14:paraId="5C89E43F" w14:textId="77777777" w:rsidTr="00CD755B">
        <w:trPr>
          <w:cantSplit/>
        </w:trPr>
        <w:tc>
          <w:tcPr>
            <w:tcW w:w="1736" w:type="dxa"/>
            <w:tcBorders>
              <w:top w:val="single" w:sz="8" w:space="0" w:color="auto"/>
              <w:bottom w:val="single" w:sz="6" w:space="0" w:color="auto"/>
            </w:tcBorders>
            <w:shd w:val="clear" w:color="auto" w:fill="FFFFFF"/>
            <w:vAlign w:val="bottom"/>
          </w:tcPr>
          <w:p w14:paraId="6D9837DE"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Marital status</w:t>
            </w:r>
          </w:p>
        </w:tc>
        <w:tc>
          <w:tcPr>
            <w:tcW w:w="1686" w:type="dxa"/>
            <w:tcBorders>
              <w:top w:val="single" w:sz="8" w:space="0" w:color="auto"/>
              <w:bottom w:val="single" w:sz="6" w:space="0" w:color="auto"/>
            </w:tcBorders>
            <w:shd w:val="clear" w:color="auto" w:fill="FFFFFF"/>
            <w:vAlign w:val="bottom"/>
          </w:tcPr>
          <w:p w14:paraId="03A43BCF"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4E9726ED"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7BD2AD1"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4F2049CC"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24BC07F4"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200D82" w:rsidRPr="00CF31E0" w14:paraId="046CE930" w14:textId="77777777" w:rsidTr="00CD755B">
        <w:trPr>
          <w:cantSplit/>
        </w:trPr>
        <w:tc>
          <w:tcPr>
            <w:tcW w:w="1736" w:type="dxa"/>
            <w:tcBorders>
              <w:top w:val="single" w:sz="6" w:space="0" w:color="auto"/>
              <w:bottom w:val="nil"/>
            </w:tcBorders>
            <w:shd w:val="clear" w:color="auto" w:fill="FFFFFF"/>
          </w:tcPr>
          <w:p w14:paraId="31061F1A"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52E3F698" w14:textId="52098DD9"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2.316</w:t>
            </w:r>
          </w:p>
        </w:tc>
        <w:tc>
          <w:tcPr>
            <w:tcW w:w="820" w:type="dxa"/>
            <w:tcBorders>
              <w:top w:val="single" w:sz="6" w:space="0" w:color="auto"/>
              <w:bottom w:val="nil"/>
            </w:tcBorders>
            <w:shd w:val="clear" w:color="auto" w:fill="FFFFFF"/>
            <w:vAlign w:val="center"/>
          </w:tcPr>
          <w:p w14:paraId="0E78105F" w14:textId="5F487D80"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3</w:t>
            </w:r>
          </w:p>
        </w:tc>
        <w:tc>
          <w:tcPr>
            <w:tcW w:w="1445" w:type="dxa"/>
            <w:tcBorders>
              <w:top w:val="single" w:sz="6" w:space="0" w:color="auto"/>
              <w:bottom w:val="nil"/>
            </w:tcBorders>
            <w:shd w:val="clear" w:color="auto" w:fill="FFFFFF"/>
            <w:vAlign w:val="center"/>
          </w:tcPr>
          <w:p w14:paraId="2F18B640" w14:textId="517881BD"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.772</w:t>
            </w:r>
          </w:p>
        </w:tc>
        <w:tc>
          <w:tcPr>
            <w:tcW w:w="1030" w:type="dxa"/>
            <w:tcBorders>
              <w:top w:val="single" w:sz="6" w:space="0" w:color="auto"/>
              <w:bottom w:val="nil"/>
            </w:tcBorders>
            <w:shd w:val="clear" w:color="auto" w:fill="FFFFFF"/>
            <w:vAlign w:val="center"/>
          </w:tcPr>
          <w:p w14:paraId="62146F65" w14:textId="4354C6B9"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.595</w:t>
            </w:r>
          </w:p>
        </w:tc>
        <w:tc>
          <w:tcPr>
            <w:tcW w:w="674" w:type="dxa"/>
            <w:tcBorders>
              <w:top w:val="single" w:sz="6" w:space="0" w:color="auto"/>
              <w:bottom w:val="nil"/>
            </w:tcBorders>
            <w:shd w:val="clear" w:color="auto" w:fill="FFFFFF"/>
            <w:vAlign w:val="center"/>
          </w:tcPr>
          <w:p w14:paraId="45024DBB" w14:textId="2DF3A8AB"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.618</w:t>
            </w:r>
          </w:p>
        </w:tc>
      </w:tr>
      <w:tr w:rsidR="00200D82" w:rsidRPr="00CF31E0" w14:paraId="1D2BFDCF" w14:textId="77777777" w:rsidTr="00CD755B">
        <w:trPr>
          <w:cantSplit/>
        </w:trPr>
        <w:tc>
          <w:tcPr>
            <w:tcW w:w="1736" w:type="dxa"/>
            <w:tcBorders>
              <w:top w:val="nil"/>
            </w:tcBorders>
            <w:shd w:val="clear" w:color="auto" w:fill="FFFFFF"/>
          </w:tcPr>
          <w:p w14:paraId="613A7947"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1B4B8464" w14:textId="7BF19DA0"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836.479</w:t>
            </w:r>
          </w:p>
        </w:tc>
        <w:tc>
          <w:tcPr>
            <w:tcW w:w="820" w:type="dxa"/>
            <w:tcBorders>
              <w:top w:val="nil"/>
            </w:tcBorders>
            <w:shd w:val="clear" w:color="auto" w:fill="FFFFFF"/>
            <w:vAlign w:val="center"/>
          </w:tcPr>
          <w:p w14:paraId="3B22C3E0" w14:textId="46F159E7"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645</w:t>
            </w:r>
          </w:p>
        </w:tc>
        <w:tc>
          <w:tcPr>
            <w:tcW w:w="1445" w:type="dxa"/>
            <w:tcBorders>
              <w:top w:val="nil"/>
            </w:tcBorders>
            <w:shd w:val="clear" w:color="auto" w:fill="FFFFFF"/>
            <w:vAlign w:val="center"/>
          </w:tcPr>
          <w:p w14:paraId="3FC13028" w14:textId="5200AC3B"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1.297</w:t>
            </w:r>
          </w:p>
        </w:tc>
        <w:tc>
          <w:tcPr>
            <w:tcW w:w="1030" w:type="dxa"/>
            <w:tcBorders>
              <w:top w:val="nil"/>
            </w:tcBorders>
            <w:shd w:val="clear" w:color="auto" w:fill="FFFFFF"/>
            <w:vAlign w:val="center"/>
          </w:tcPr>
          <w:p w14:paraId="716148D1"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3C337568"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r w:rsidR="00200D82" w:rsidRPr="00CF31E0" w14:paraId="2F12DDEB" w14:textId="77777777" w:rsidTr="00CD755B">
        <w:trPr>
          <w:cantSplit/>
        </w:trPr>
        <w:tc>
          <w:tcPr>
            <w:tcW w:w="1736" w:type="dxa"/>
            <w:shd w:val="clear" w:color="auto" w:fill="FFFFFF"/>
          </w:tcPr>
          <w:p w14:paraId="3BB4BEAC"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2003A979" w14:textId="62510A9D"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838.795</w:t>
            </w:r>
          </w:p>
        </w:tc>
        <w:tc>
          <w:tcPr>
            <w:tcW w:w="820" w:type="dxa"/>
            <w:shd w:val="clear" w:color="auto" w:fill="FFFFFF"/>
            <w:vAlign w:val="center"/>
          </w:tcPr>
          <w:p w14:paraId="47894A64" w14:textId="425866FD" w:rsidR="00200D82"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78F7CA72"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551E7BBD"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0D7DD2F6"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bl>
    <w:p w14:paraId="01D83CD8" w14:textId="77777777" w:rsidR="00CD755B" w:rsidRPr="00CF31E0" w:rsidRDefault="00CD755B" w:rsidP="00CD755B">
      <w:pPr>
        <w:rPr>
          <w:rFonts w:asciiTheme="majorBidi" w:hAnsiTheme="majorBidi" w:cstheme="majorBidi"/>
          <w:b/>
          <w:bCs/>
          <w:color w:val="000000" w:themeColor="text1"/>
        </w:rPr>
      </w:pPr>
    </w:p>
    <w:p w14:paraId="5FA2CDFC" w14:textId="77777777" w:rsidR="00CD755B" w:rsidRPr="00CF31E0" w:rsidRDefault="00CD755B" w:rsidP="00CD755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D755B" w:rsidRPr="00CF31E0" w14:paraId="7CA7D5CD" w14:textId="77777777" w:rsidTr="00CD755B">
        <w:trPr>
          <w:cantSplit/>
        </w:trPr>
        <w:tc>
          <w:tcPr>
            <w:tcW w:w="1736" w:type="dxa"/>
            <w:tcBorders>
              <w:top w:val="single" w:sz="8" w:space="0" w:color="auto"/>
              <w:bottom w:val="single" w:sz="6" w:space="0" w:color="auto"/>
            </w:tcBorders>
            <w:shd w:val="clear" w:color="auto" w:fill="FFFFFF"/>
            <w:vAlign w:val="bottom"/>
          </w:tcPr>
          <w:p w14:paraId="03C51A23"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Education</w:t>
            </w:r>
          </w:p>
        </w:tc>
        <w:tc>
          <w:tcPr>
            <w:tcW w:w="1686" w:type="dxa"/>
            <w:tcBorders>
              <w:top w:val="single" w:sz="8" w:space="0" w:color="auto"/>
              <w:bottom w:val="single" w:sz="6" w:space="0" w:color="auto"/>
            </w:tcBorders>
            <w:shd w:val="clear" w:color="auto" w:fill="FFFFFF"/>
            <w:vAlign w:val="bottom"/>
          </w:tcPr>
          <w:p w14:paraId="3B88762D"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7D2A5E6E"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5D75AA1B"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060BA94D"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086A9A23"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200D82" w:rsidRPr="00CF31E0" w14:paraId="08DF5331" w14:textId="77777777" w:rsidTr="00CD755B">
        <w:trPr>
          <w:cantSplit/>
        </w:trPr>
        <w:tc>
          <w:tcPr>
            <w:tcW w:w="1736" w:type="dxa"/>
            <w:tcBorders>
              <w:top w:val="single" w:sz="6" w:space="0" w:color="auto"/>
              <w:bottom w:val="nil"/>
            </w:tcBorders>
            <w:shd w:val="clear" w:color="auto" w:fill="FFFFFF"/>
          </w:tcPr>
          <w:p w14:paraId="4DC2164D"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29DE7957" w14:textId="284043E6"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5.451</w:t>
            </w:r>
          </w:p>
        </w:tc>
        <w:tc>
          <w:tcPr>
            <w:tcW w:w="820" w:type="dxa"/>
            <w:tcBorders>
              <w:top w:val="single" w:sz="6" w:space="0" w:color="auto"/>
              <w:bottom w:val="nil"/>
            </w:tcBorders>
            <w:shd w:val="clear" w:color="auto" w:fill="FFFFFF"/>
            <w:vAlign w:val="center"/>
          </w:tcPr>
          <w:p w14:paraId="56E1D1A0" w14:textId="0988E484"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5</w:t>
            </w:r>
          </w:p>
        </w:tc>
        <w:tc>
          <w:tcPr>
            <w:tcW w:w="1445" w:type="dxa"/>
            <w:tcBorders>
              <w:top w:val="single" w:sz="6" w:space="0" w:color="auto"/>
              <w:bottom w:val="nil"/>
            </w:tcBorders>
            <w:shd w:val="clear" w:color="auto" w:fill="FFFFFF"/>
            <w:vAlign w:val="center"/>
          </w:tcPr>
          <w:p w14:paraId="3033CADB" w14:textId="6F93B0CC"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1.090</w:t>
            </w:r>
          </w:p>
        </w:tc>
        <w:tc>
          <w:tcPr>
            <w:tcW w:w="1030" w:type="dxa"/>
            <w:tcBorders>
              <w:top w:val="single" w:sz="6" w:space="0" w:color="auto"/>
              <w:bottom w:val="nil"/>
            </w:tcBorders>
            <w:shd w:val="clear" w:color="auto" w:fill="FFFFFF"/>
            <w:vAlign w:val="center"/>
          </w:tcPr>
          <w:p w14:paraId="4DFA0455" w14:textId="62228F67"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.841</w:t>
            </w:r>
          </w:p>
        </w:tc>
        <w:tc>
          <w:tcPr>
            <w:tcW w:w="674" w:type="dxa"/>
            <w:tcBorders>
              <w:top w:val="single" w:sz="6" w:space="0" w:color="auto"/>
              <w:bottom w:val="nil"/>
            </w:tcBorders>
            <w:shd w:val="clear" w:color="auto" w:fill="FFFFFF"/>
            <w:vAlign w:val="center"/>
          </w:tcPr>
          <w:p w14:paraId="0B850361" w14:textId="69869A89"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.521</w:t>
            </w:r>
          </w:p>
        </w:tc>
      </w:tr>
      <w:tr w:rsidR="00200D82" w:rsidRPr="00CF31E0" w14:paraId="1C29C9F5" w14:textId="77777777" w:rsidTr="00CD755B">
        <w:trPr>
          <w:cantSplit/>
        </w:trPr>
        <w:tc>
          <w:tcPr>
            <w:tcW w:w="1736" w:type="dxa"/>
            <w:tcBorders>
              <w:top w:val="nil"/>
            </w:tcBorders>
            <w:shd w:val="clear" w:color="auto" w:fill="FFFFFF"/>
          </w:tcPr>
          <w:p w14:paraId="7A87460E"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32977D53" w14:textId="0B81340B"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833.344</w:t>
            </w:r>
          </w:p>
        </w:tc>
        <w:tc>
          <w:tcPr>
            <w:tcW w:w="820" w:type="dxa"/>
            <w:tcBorders>
              <w:top w:val="nil"/>
            </w:tcBorders>
            <w:shd w:val="clear" w:color="auto" w:fill="FFFFFF"/>
            <w:vAlign w:val="center"/>
          </w:tcPr>
          <w:p w14:paraId="78AFA4C0" w14:textId="4BBF75D5"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643</w:t>
            </w:r>
          </w:p>
        </w:tc>
        <w:tc>
          <w:tcPr>
            <w:tcW w:w="1445" w:type="dxa"/>
            <w:tcBorders>
              <w:top w:val="nil"/>
            </w:tcBorders>
            <w:shd w:val="clear" w:color="auto" w:fill="FFFFFF"/>
            <w:vAlign w:val="center"/>
          </w:tcPr>
          <w:p w14:paraId="05506485" w14:textId="3BEBF3CB"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1.296</w:t>
            </w:r>
          </w:p>
        </w:tc>
        <w:tc>
          <w:tcPr>
            <w:tcW w:w="1030" w:type="dxa"/>
            <w:tcBorders>
              <w:top w:val="nil"/>
            </w:tcBorders>
            <w:shd w:val="clear" w:color="auto" w:fill="FFFFFF"/>
            <w:vAlign w:val="center"/>
          </w:tcPr>
          <w:p w14:paraId="782D0513"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7228A408"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r w:rsidR="00200D82" w:rsidRPr="00CF31E0" w14:paraId="373A71CE" w14:textId="77777777" w:rsidTr="00CD755B">
        <w:trPr>
          <w:cantSplit/>
        </w:trPr>
        <w:tc>
          <w:tcPr>
            <w:tcW w:w="1736" w:type="dxa"/>
            <w:shd w:val="clear" w:color="auto" w:fill="FFFFFF"/>
          </w:tcPr>
          <w:p w14:paraId="0A358A02"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2FC2593" w14:textId="724C21F4"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838.795</w:t>
            </w:r>
          </w:p>
        </w:tc>
        <w:tc>
          <w:tcPr>
            <w:tcW w:w="820" w:type="dxa"/>
            <w:shd w:val="clear" w:color="auto" w:fill="FFFFFF"/>
            <w:vAlign w:val="center"/>
          </w:tcPr>
          <w:p w14:paraId="5E3A50BE" w14:textId="7C536C9F" w:rsidR="00200D82"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7E3868C7"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55189FBD"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2CB502D5"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bl>
    <w:p w14:paraId="582CD02A" w14:textId="77777777" w:rsidR="00CD755B" w:rsidRPr="00CF31E0" w:rsidRDefault="00CD755B" w:rsidP="00CD755B">
      <w:pPr>
        <w:rPr>
          <w:rFonts w:asciiTheme="majorBidi" w:hAnsiTheme="majorBidi" w:cstheme="majorBidi"/>
          <w:b/>
          <w:bCs/>
          <w:color w:val="000000" w:themeColor="text1"/>
        </w:rPr>
      </w:pPr>
    </w:p>
    <w:p w14:paraId="7B8AEC7C" w14:textId="77777777" w:rsidR="00200D82" w:rsidRPr="00CF31E0" w:rsidRDefault="00200D82" w:rsidP="00CD755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200D82" w:rsidRPr="00CF31E0" w14:paraId="1269ECE4" w14:textId="77777777" w:rsidTr="0086328B">
        <w:trPr>
          <w:cantSplit/>
        </w:trPr>
        <w:tc>
          <w:tcPr>
            <w:tcW w:w="1736" w:type="dxa"/>
            <w:tcBorders>
              <w:top w:val="single" w:sz="8" w:space="0" w:color="auto"/>
              <w:bottom w:val="single" w:sz="6" w:space="0" w:color="auto"/>
            </w:tcBorders>
            <w:shd w:val="clear" w:color="auto" w:fill="FFFFFF"/>
            <w:vAlign w:val="bottom"/>
          </w:tcPr>
          <w:p w14:paraId="382A74CD" w14:textId="439E41D6" w:rsidR="00200D82" w:rsidRPr="00CF31E0" w:rsidRDefault="00200D82" w:rsidP="0086328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Social group</w:t>
            </w:r>
          </w:p>
        </w:tc>
        <w:tc>
          <w:tcPr>
            <w:tcW w:w="1686" w:type="dxa"/>
            <w:tcBorders>
              <w:top w:val="single" w:sz="8" w:space="0" w:color="auto"/>
              <w:bottom w:val="single" w:sz="6" w:space="0" w:color="auto"/>
            </w:tcBorders>
            <w:shd w:val="clear" w:color="auto" w:fill="FFFFFF"/>
            <w:vAlign w:val="bottom"/>
          </w:tcPr>
          <w:p w14:paraId="4FCFB32A"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6E19322A"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57A66247"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251522B9"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36E1E062"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200D82" w:rsidRPr="00CF31E0" w14:paraId="59FB4523" w14:textId="77777777" w:rsidTr="0086328B">
        <w:trPr>
          <w:cantSplit/>
        </w:trPr>
        <w:tc>
          <w:tcPr>
            <w:tcW w:w="1736" w:type="dxa"/>
            <w:tcBorders>
              <w:top w:val="single" w:sz="6" w:space="0" w:color="auto"/>
              <w:bottom w:val="nil"/>
            </w:tcBorders>
            <w:shd w:val="clear" w:color="auto" w:fill="FFFFFF"/>
          </w:tcPr>
          <w:p w14:paraId="04B19FC7" w14:textId="77777777" w:rsidR="00200D82" w:rsidRPr="00CF31E0" w:rsidRDefault="00200D82" w:rsidP="0086328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2D4B4A92" w14:textId="23D0BF04"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.018</w:t>
            </w:r>
          </w:p>
        </w:tc>
        <w:tc>
          <w:tcPr>
            <w:tcW w:w="820" w:type="dxa"/>
            <w:tcBorders>
              <w:top w:val="single" w:sz="6" w:space="0" w:color="auto"/>
              <w:bottom w:val="nil"/>
            </w:tcBorders>
            <w:shd w:val="clear" w:color="auto" w:fill="FFFFFF"/>
            <w:vAlign w:val="center"/>
          </w:tcPr>
          <w:p w14:paraId="3C787C23" w14:textId="25F0E6BA"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w:t>
            </w:r>
          </w:p>
        </w:tc>
        <w:tc>
          <w:tcPr>
            <w:tcW w:w="1445" w:type="dxa"/>
            <w:tcBorders>
              <w:top w:val="single" w:sz="6" w:space="0" w:color="auto"/>
              <w:bottom w:val="nil"/>
            </w:tcBorders>
            <w:shd w:val="clear" w:color="auto" w:fill="FFFFFF"/>
            <w:vAlign w:val="center"/>
          </w:tcPr>
          <w:p w14:paraId="753F0DEC" w14:textId="4258F86E"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.018</w:t>
            </w:r>
          </w:p>
        </w:tc>
        <w:tc>
          <w:tcPr>
            <w:tcW w:w="1030" w:type="dxa"/>
            <w:tcBorders>
              <w:top w:val="single" w:sz="6" w:space="0" w:color="auto"/>
              <w:bottom w:val="nil"/>
            </w:tcBorders>
            <w:shd w:val="clear" w:color="auto" w:fill="FFFFFF"/>
            <w:vAlign w:val="center"/>
          </w:tcPr>
          <w:p w14:paraId="0F061451" w14:textId="1C789943"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.014</w:t>
            </w:r>
          </w:p>
        </w:tc>
        <w:tc>
          <w:tcPr>
            <w:tcW w:w="674" w:type="dxa"/>
            <w:tcBorders>
              <w:top w:val="single" w:sz="6" w:space="0" w:color="auto"/>
              <w:bottom w:val="nil"/>
            </w:tcBorders>
            <w:shd w:val="clear" w:color="auto" w:fill="FFFFFF"/>
            <w:vAlign w:val="center"/>
          </w:tcPr>
          <w:p w14:paraId="77462B62" w14:textId="5F2FF5EE"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.906</w:t>
            </w:r>
          </w:p>
        </w:tc>
      </w:tr>
      <w:tr w:rsidR="00200D82" w:rsidRPr="00CF31E0" w14:paraId="5AFBF318" w14:textId="77777777" w:rsidTr="0086328B">
        <w:trPr>
          <w:cantSplit/>
        </w:trPr>
        <w:tc>
          <w:tcPr>
            <w:tcW w:w="1736" w:type="dxa"/>
            <w:tcBorders>
              <w:top w:val="nil"/>
            </w:tcBorders>
            <w:shd w:val="clear" w:color="auto" w:fill="FFFFFF"/>
          </w:tcPr>
          <w:p w14:paraId="17983732" w14:textId="77777777" w:rsidR="00200D82" w:rsidRPr="00CF31E0" w:rsidRDefault="00200D82" w:rsidP="0086328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458A26B8" w14:textId="20BE76CA"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838.777</w:t>
            </w:r>
          </w:p>
        </w:tc>
        <w:tc>
          <w:tcPr>
            <w:tcW w:w="820" w:type="dxa"/>
            <w:tcBorders>
              <w:top w:val="nil"/>
            </w:tcBorders>
            <w:shd w:val="clear" w:color="auto" w:fill="FFFFFF"/>
            <w:vAlign w:val="center"/>
          </w:tcPr>
          <w:p w14:paraId="5FFC4B77" w14:textId="3C0DF05F"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647</w:t>
            </w:r>
          </w:p>
        </w:tc>
        <w:tc>
          <w:tcPr>
            <w:tcW w:w="1445" w:type="dxa"/>
            <w:tcBorders>
              <w:top w:val="nil"/>
            </w:tcBorders>
            <w:shd w:val="clear" w:color="auto" w:fill="FFFFFF"/>
            <w:vAlign w:val="center"/>
          </w:tcPr>
          <w:p w14:paraId="6CE80046" w14:textId="7B06147A"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1.296</w:t>
            </w:r>
          </w:p>
        </w:tc>
        <w:tc>
          <w:tcPr>
            <w:tcW w:w="1030" w:type="dxa"/>
            <w:tcBorders>
              <w:top w:val="nil"/>
            </w:tcBorders>
            <w:shd w:val="clear" w:color="auto" w:fill="FFFFFF"/>
            <w:vAlign w:val="center"/>
          </w:tcPr>
          <w:p w14:paraId="1B5F7ACA"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38F64683"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p>
        </w:tc>
      </w:tr>
      <w:tr w:rsidR="00200D82" w:rsidRPr="00CF31E0" w14:paraId="35896883" w14:textId="77777777" w:rsidTr="0086328B">
        <w:trPr>
          <w:cantSplit/>
        </w:trPr>
        <w:tc>
          <w:tcPr>
            <w:tcW w:w="1736" w:type="dxa"/>
            <w:shd w:val="clear" w:color="auto" w:fill="FFFFFF"/>
          </w:tcPr>
          <w:p w14:paraId="0EA9C1F4" w14:textId="77777777" w:rsidR="00200D82" w:rsidRPr="00CF31E0" w:rsidRDefault="00200D82" w:rsidP="0086328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21826624" w14:textId="177BE7AD"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838.795</w:t>
            </w:r>
          </w:p>
        </w:tc>
        <w:tc>
          <w:tcPr>
            <w:tcW w:w="820" w:type="dxa"/>
            <w:shd w:val="clear" w:color="auto" w:fill="FFFFFF"/>
            <w:vAlign w:val="center"/>
          </w:tcPr>
          <w:p w14:paraId="229524E8" w14:textId="3867F9BC" w:rsidR="00200D82" w:rsidRPr="00CF31E0" w:rsidRDefault="00BC3BC3"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4EB5AA1A"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2A4B8EC6"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2FB107EA"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p>
        </w:tc>
      </w:tr>
    </w:tbl>
    <w:p w14:paraId="3DBF98DB" w14:textId="77777777" w:rsidR="00200D82" w:rsidRPr="00CF31E0" w:rsidRDefault="00200D82" w:rsidP="00CD755B">
      <w:pPr>
        <w:rPr>
          <w:rFonts w:asciiTheme="majorBidi" w:hAnsiTheme="majorBidi" w:cstheme="majorBidi"/>
          <w:b/>
          <w:bCs/>
          <w:color w:val="000000" w:themeColor="text1"/>
        </w:rPr>
      </w:pPr>
    </w:p>
    <w:p w14:paraId="3CDB65FA" w14:textId="77777777" w:rsidR="00200D82" w:rsidRPr="00CF31E0" w:rsidRDefault="00200D82" w:rsidP="00CD755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200D82" w:rsidRPr="00CF31E0" w14:paraId="0F2780D2" w14:textId="77777777" w:rsidTr="0086328B">
        <w:trPr>
          <w:cantSplit/>
        </w:trPr>
        <w:tc>
          <w:tcPr>
            <w:tcW w:w="1736" w:type="dxa"/>
            <w:tcBorders>
              <w:top w:val="single" w:sz="8" w:space="0" w:color="auto"/>
              <w:bottom w:val="single" w:sz="6" w:space="0" w:color="auto"/>
            </w:tcBorders>
            <w:shd w:val="clear" w:color="auto" w:fill="FFFFFF"/>
            <w:vAlign w:val="bottom"/>
          </w:tcPr>
          <w:p w14:paraId="29FA8276" w14:textId="579B66F8" w:rsidR="00200D82" w:rsidRPr="00CF31E0" w:rsidRDefault="00200D82" w:rsidP="0086328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Mother’s social group</w:t>
            </w:r>
          </w:p>
        </w:tc>
        <w:tc>
          <w:tcPr>
            <w:tcW w:w="1686" w:type="dxa"/>
            <w:tcBorders>
              <w:top w:val="single" w:sz="8" w:space="0" w:color="auto"/>
              <w:bottom w:val="single" w:sz="6" w:space="0" w:color="auto"/>
            </w:tcBorders>
            <w:shd w:val="clear" w:color="auto" w:fill="FFFFFF"/>
            <w:vAlign w:val="bottom"/>
          </w:tcPr>
          <w:p w14:paraId="0A6BA424"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5E84A030"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21024A99"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6FF49E67"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166DD8EC"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200D82" w:rsidRPr="00CF31E0" w14:paraId="3C4B48D1" w14:textId="77777777" w:rsidTr="0086328B">
        <w:trPr>
          <w:cantSplit/>
        </w:trPr>
        <w:tc>
          <w:tcPr>
            <w:tcW w:w="1736" w:type="dxa"/>
            <w:tcBorders>
              <w:top w:val="single" w:sz="6" w:space="0" w:color="auto"/>
              <w:bottom w:val="nil"/>
            </w:tcBorders>
            <w:shd w:val="clear" w:color="auto" w:fill="FFFFFF"/>
          </w:tcPr>
          <w:p w14:paraId="7985BCC5" w14:textId="77777777" w:rsidR="00200D82" w:rsidRPr="00CF31E0" w:rsidRDefault="00200D82" w:rsidP="0086328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1AA7D285" w14:textId="5561BE24"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.600</w:t>
            </w:r>
          </w:p>
        </w:tc>
        <w:tc>
          <w:tcPr>
            <w:tcW w:w="820" w:type="dxa"/>
            <w:tcBorders>
              <w:top w:val="single" w:sz="6" w:space="0" w:color="auto"/>
              <w:bottom w:val="nil"/>
            </w:tcBorders>
            <w:shd w:val="clear" w:color="auto" w:fill="FFFFFF"/>
            <w:vAlign w:val="center"/>
          </w:tcPr>
          <w:p w14:paraId="33440305" w14:textId="1A90027A"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2</w:t>
            </w:r>
          </w:p>
        </w:tc>
        <w:tc>
          <w:tcPr>
            <w:tcW w:w="1445" w:type="dxa"/>
            <w:tcBorders>
              <w:top w:val="single" w:sz="6" w:space="0" w:color="auto"/>
              <w:bottom w:val="nil"/>
            </w:tcBorders>
            <w:shd w:val="clear" w:color="auto" w:fill="FFFFFF"/>
            <w:vAlign w:val="center"/>
          </w:tcPr>
          <w:p w14:paraId="5334B453" w14:textId="3C1A03AD"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.300</w:t>
            </w:r>
          </w:p>
        </w:tc>
        <w:tc>
          <w:tcPr>
            <w:tcW w:w="1030" w:type="dxa"/>
            <w:tcBorders>
              <w:top w:val="single" w:sz="6" w:space="0" w:color="auto"/>
              <w:bottom w:val="nil"/>
            </w:tcBorders>
            <w:shd w:val="clear" w:color="auto" w:fill="FFFFFF"/>
            <w:vAlign w:val="center"/>
          </w:tcPr>
          <w:p w14:paraId="27F6C85E" w14:textId="58535C7E"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.231</w:t>
            </w:r>
          </w:p>
        </w:tc>
        <w:tc>
          <w:tcPr>
            <w:tcW w:w="674" w:type="dxa"/>
            <w:tcBorders>
              <w:top w:val="single" w:sz="6" w:space="0" w:color="auto"/>
              <w:bottom w:val="nil"/>
            </w:tcBorders>
            <w:shd w:val="clear" w:color="auto" w:fill="FFFFFF"/>
            <w:vAlign w:val="center"/>
          </w:tcPr>
          <w:p w14:paraId="41718D6C" w14:textId="348FFAEA"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.794</w:t>
            </w:r>
          </w:p>
        </w:tc>
      </w:tr>
      <w:tr w:rsidR="00200D82" w:rsidRPr="00CF31E0" w14:paraId="7D83410A" w14:textId="77777777" w:rsidTr="0086328B">
        <w:trPr>
          <w:cantSplit/>
        </w:trPr>
        <w:tc>
          <w:tcPr>
            <w:tcW w:w="1736" w:type="dxa"/>
            <w:tcBorders>
              <w:top w:val="nil"/>
            </w:tcBorders>
            <w:shd w:val="clear" w:color="auto" w:fill="FFFFFF"/>
          </w:tcPr>
          <w:p w14:paraId="2F3558F0" w14:textId="77777777" w:rsidR="00200D82" w:rsidRPr="00CF31E0" w:rsidRDefault="00200D82" w:rsidP="0086328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2CA1AEF4" w14:textId="2D1CF775"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838.028</w:t>
            </w:r>
          </w:p>
        </w:tc>
        <w:tc>
          <w:tcPr>
            <w:tcW w:w="820" w:type="dxa"/>
            <w:tcBorders>
              <w:top w:val="nil"/>
            </w:tcBorders>
            <w:shd w:val="clear" w:color="auto" w:fill="FFFFFF"/>
            <w:vAlign w:val="center"/>
          </w:tcPr>
          <w:p w14:paraId="51C19038" w14:textId="0B47B2FE"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645</w:t>
            </w:r>
          </w:p>
        </w:tc>
        <w:tc>
          <w:tcPr>
            <w:tcW w:w="1445" w:type="dxa"/>
            <w:tcBorders>
              <w:top w:val="nil"/>
            </w:tcBorders>
            <w:shd w:val="clear" w:color="auto" w:fill="FFFFFF"/>
            <w:vAlign w:val="center"/>
          </w:tcPr>
          <w:p w14:paraId="09C69C6C" w14:textId="2026CF0F"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1.299</w:t>
            </w:r>
          </w:p>
        </w:tc>
        <w:tc>
          <w:tcPr>
            <w:tcW w:w="1030" w:type="dxa"/>
            <w:tcBorders>
              <w:top w:val="nil"/>
            </w:tcBorders>
            <w:shd w:val="clear" w:color="auto" w:fill="FFFFFF"/>
            <w:vAlign w:val="center"/>
          </w:tcPr>
          <w:p w14:paraId="236B9A2D"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72067A00"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p>
        </w:tc>
      </w:tr>
      <w:tr w:rsidR="00200D82" w:rsidRPr="00CF31E0" w14:paraId="3D748B30" w14:textId="77777777" w:rsidTr="0086328B">
        <w:trPr>
          <w:cantSplit/>
        </w:trPr>
        <w:tc>
          <w:tcPr>
            <w:tcW w:w="1736" w:type="dxa"/>
            <w:shd w:val="clear" w:color="auto" w:fill="FFFFFF"/>
          </w:tcPr>
          <w:p w14:paraId="2F63242E" w14:textId="77777777" w:rsidR="00200D82" w:rsidRPr="00CF31E0" w:rsidRDefault="00200D82" w:rsidP="0086328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096FC2D2" w14:textId="7F6834A9"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838.628</w:t>
            </w:r>
          </w:p>
        </w:tc>
        <w:tc>
          <w:tcPr>
            <w:tcW w:w="820" w:type="dxa"/>
            <w:shd w:val="clear" w:color="auto" w:fill="FFFFFF"/>
            <w:vAlign w:val="center"/>
          </w:tcPr>
          <w:p w14:paraId="1F91980E" w14:textId="62E4A46E" w:rsidR="00200D82" w:rsidRPr="00CF31E0" w:rsidRDefault="00BC3BC3"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2F83198B"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5377B5C6"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32854353"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p>
        </w:tc>
      </w:tr>
    </w:tbl>
    <w:p w14:paraId="0E7DECC5" w14:textId="77777777" w:rsidR="00200D82" w:rsidRPr="00CF31E0" w:rsidRDefault="00200D82" w:rsidP="00CD755B">
      <w:pPr>
        <w:rPr>
          <w:rFonts w:asciiTheme="majorBidi" w:hAnsiTheme="majorBidi" w:cstheme="majorBidi"/>
          <w:b/>
          <w:bCs/>
          <w:color w:val="000000" w:themeColor="text1"/>
        </w:rPr>
      </w:pPr>
    </w:p>
    <w:p w14:paraId="54CB31B7" w14:textId="77777777" w:rsidR="00674195" w:rsidRPr="00CF31E0" w:rsidRDefault="00674195" w:rsidP="00CD755B">
      <w:pPr>
        <w:rPr>
          <w:rFonts w:asciiTheme="majorBidi" w:hAnsiTheme="majorBidi" w:cstheme="majorBidi"/>
          <w:b/>
          <w:bCs/>
          <w:color w:val="000000" w:themeColor="text1"/>
        </w:rPr>
      </w:pPr>
    </w:p>
    <w:p w14:paraId="358D0F23" w14:textId="77777777" w:rsidR="00674195" w:rsidRPr="00CF31E0" w:rsidRDefault="00674195" w:rsidP="00CD755B">
      <w:pPr>
        <w:rPr>
          <w:rFonts w:asciiTheme="majorBidi" w:hAnsiTheme="majorBidi" w:cstheme="majorBidi"/>
          <w:b/>
          <w:bCs/>
          <w:color w:val="000000" w:themeColor="text1"/>
        </w:rPr>
      </w:pPr>
    </w:p>
    <w:p w14:paraId="169CBAB8" w14:textId="77777777" w:rsidR="00674195" w:rsidRPr="00CF31E0" w:rsidRDefault="00674195" w:rsidP="00CD755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200D82" w:rsidRPr="00CF31E0" w14:paraId="715C4D2A" w14:textId="77777777" w:rsidTr="0086328B">
        <w:trPr>
          <w:cantSplit/>
        </w:trPr>
        <w:tc>
          <w:tcPr>
            <w:tcW w:w="1736" w:type="dxa"/>
            <w:tcBorders>
              <w:top w:val="single" w:sz="8" w:space="0" w:color="auto"/>
              <w:bottom w:val="single" w:sz="6" w:space="0" w:color="auto"/>
            </w:tcBorders>
            <w:shd w:val="clear" w:color="auto" w:fill="FFFFFF"/>
            <w:vAlign w:val="bottom"/>
          </w:tcPr>
          <w:p w14:paraId="5E719032" w14:textId="0BEF3F0F" w:rsidR="00200D82" w:rsidRPr="00CF31E0" w:rsidRDefault="00200D82" w:rsidP="0086328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Spouse’s social group</w:t>
            </w:r>
          </w:p>
        </w:tc>
        <w:tc>
          <w:tcPr>
            <w:tcW w:w="1686" w:type="dxa"/>
            <w:tcBorders>
              <w:top w:val="single" w:sz="8" w:space="0" w:color="auto"/>
              <w:bottom w:val="single" w:sz="6" w:space="0" w:color="auto"/>
            </w:tcBorders>
            <w:shd w:val="clear" w:color="auto" w:fill="FFFFFF"/>
            <w:vAlign w:val="bottom"/>
          </w:tcPr>
          <w:p w14:paraId="45B5C7D9"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69C0A912"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F22FE31"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1C7E71CC"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39E06A57"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200D82" w:rsidRPr="00CF31E0" w14:paraId="2B9CAA0B" w14:textId="77777777" w:rsidTr="0086328B">
        <w:trPr>
          <w:cantSplit/>
        </w:trPr>
        <w:tc>
          <w:tcPr>
            <w:tcW w:w="1736" w:type="dxa"/>
            <w:tcBorders>
              <w:top w:val="single" w:sz="6" w:space="0" w:color="auto"/>
              <w:bottom w:val="nil"/>
            </w:tcBorders>
            <w:shd w:val="clear" w:color="auto" w:fill="FFFFFF"/>
          </w:tcPr>
          <w:p w14:paraId="7D0941FC" w14:textId="77777777" w:rsidR="00200D82" w:rsidRPr="00CF31E0" w:rsidRDefault="00200D82" w:rsidP="0086328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673558CE" w14:textId="14D71EC0"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2.900</w:t>
            </w:r>
          </w:p>
        </w:tc>
        <w:tc>
          <w:tcPr>
            <w:tcW w:w="820" w:type="dxa"/>
            <w:tcBorders>
              <w:top w:val="single" w:sz="6" w:space="0" w:color="auto"/>
              <w:bottom w:val="nil"/>
            </w:tcBorders>
            <w:shd w:val="clear" w:color="auto" w:fill="FFFFFF"/>
            <w:vAlign w:val="center"/>
          </w:tcPr>
          <w:p w14:paraId="049CC536" w14:textId="3256D82A"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4</w:t>
            </w:r>
          </w:p>
        </w:tc>
        <w:tc>
          <w:tcPr>
            <w:tcW w:w="1445" w:type="dxa"/>
            <w:tcBorders>
              <w:top w:val="single" w:sz="6" w:space="0" w:color="auto"/>
              <w:bottom w:val="nil"/>
            </w:tcBorders>
            <w:shd w:val="clear" w:color="auto" w:fill="FFFFFF"/>
            <w:vAlign w:val="center"/>
          </w:tcPr>
          <w:p w14:paraId="0D464B16" w14:textId="127E4D07"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.725</w:t>
            </w:r>
          </w:p>
        </w:tc>
        <w:tc>
          <w:tcPr>
            <w:tcW w:w="1030" w:type="dxa"/>
            <w:tcBorders>
              <w:top w:val="single" w:sz="6" w:space="0" w:color="auto"/>
              <w:bottom w:val="nil"/>
            </w:tcBorders>
            <w:shd w:val="clear" w:color="auto" w:fill="FFFFFF"/>
            <w:vAlign w:val="center"/>
          </w:tcPr>
          <w:p w14:paraId="5CBB53BF" w14:textId="308726E1"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.561</w:t>
            </w:r>
          </w:p>
        </w:tc>
        <w:tc>
          <w:tcPr>
            <w:tcW w:w="674" w:type="dxa"/>
            <w:tcBorders>
              <w:top w:val="single" w:sz="6" w:space="0" w:color="auto"/>
              <w:bottom w:val="nil"/>
            </w:tcBorders>
            <w:shd w:val="clear" w:color="auto" w:fill="FFFFFF"/>
            <w:vAlign w:val="center"/>
          </w:tcPr>
          <w:p w14:paraId="1988AE8A" w14:textId="1BC7D018"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.691</w:t>
            </w:r>
          </w:p>
        </w:tc>
      </w:tr>
      <w:tr w:rsidR="00200D82" w:rsidRPr="00CF31E0" w14:paraId="19EB3620" w14:textId="77777777" w:rsidTr="0086328B">
        <w:trPr>
          <w:cantSplit/>
        </w:trPr>
        <w:tc>
          <w:tcPr>
            <w:tcW w:w="1736" w:type="dxa"/>
            <w:tcBorders>
              <w:top w:val="nil"/>
            </w:tcBorders>
            <w:shd w:val="clear" w:color="auto" w:fill="FFFFFF"/>
          </w:tcPr>
          <w:p w14:paraId="34342D88" w14:textId="77777777" w:rsidR="00200D82" w:rsidRPr="00CF31E0" w:rsidRDefault="00200D82" w:rsidP="0086328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50C38376" w14:textId="5F3321EA"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827.044</w:t>
            </w:r>
          </w:p>
        </w:tc>
        <w:tc>
          <w:tcPr>
            <w:tcW w:w="820" w:type="dxa"/>
            <w:tcBorders>
              <w:top w:val="nil"/>
            </w:tcBorders>
            <w:shd w:val="clear" w:color="auto" w:fill="FFFFFF"/>
            <w:vAlign w:val="center"/>
          </w:tcPr>
          <w:p w14:paraId="77972386" w14:textId="3609DF0C"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640</w:t>
            </w:r>
          </w:p>
        </w:tc>
        <w:tc>
          <w:tcPr>
            <w:tcW w:w="1445" w:type="dxa"/>
            <w:tcBorders>
              <w:top w:val="nil"/>
            </w:tcBorders>
            <w:shd w:val="clear" w:color="auto" w:fill="FFFFFF"/>
            <w:vAlign w:val="center"/>
          </w:tcPr>
          <w:p w14:paraId="7C3ACDD4" w14:textId="34203EB1"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1.292</w:t>
            </w:r>
          </w:p>
        </w:tc>
        <w:tc>
          <w:tcPr>
            <w:tcW w:w="1030" w:type="dxa"/>
            <w:tcBorders>
              <w:top w:val="nil"/>
            </w:tcBorders>
            <w:shd w:val="clear" w:color="auto" w:fill="FFFFFF"/>
            <w:vAlign w:val="center"/>
          </w:tcPr>
          <w:p w14:paraId="76F72B7C"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034C1C6D"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p>
        </w:tc>
      </w:tr>
      <w:tr w:rsidR="00200D82" w:rsidRPr="00CF31E0" w14:paraId="119CF60A" w14:textId="77777777" w:rsidTr="0086328B">
        <w:trPr>
          <w:cantSplit/>
        </w:trPr>
        <w:tc>
          <w:tcPr>
            <w:tcW w:w="1736" w:type="dxa"/>
            <w:shd w:val="clear" w:color="auto" w:fill="FFFFFF"/>
          </w:tcPr>
          <w:p w14:paraId="6F8829C3" w14:textId="77777777" w:rsidR="00200D82" w:rsidRPr="00CF31E0" w:rsidRDefault="00200D82" w:rsidP="0086328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55B72143" w14:textId="4D12EC1F"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829.944</w:t>
            </w:r>
          </w:p>
        </w:tc>
        <w:tc>
          <w:tcPr>
            <w:tcW w:w="820" w:type="dxa"/>
            <w:shd w:val="clear" w:color="auto" w:fill="FFFFFF"/>
            <w:vAlign w:val="center"/>
          </w:tcPr>
          <w:p w14:paraId="6D83F81B" w14:textId="1F0FC361" w:rsidR="00200D82" w:rsidRPr="00CF31E0" w:rsidRDefault="00BC3BC3" w:rsidP="0086328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7AD20BCE"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671BE288"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33CE6F9F"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p>
        </w:tc>
      </w:tr>
    </w:tbl>
    <w:p w14:paraId="57B0CC9E" w14:textId="77777777" w:rsidR="00200D82" w:rsidRPr="00CF31E0" w:rsidRDefault="00200D82" w:rsidP="00CD755B">
      <w:pPr>
        <w:rPr>
          <w:rFonts w:asciiTheme="majorBidi" w:hAnsiTheme="majorBidi" w:cstheme="majorBidi"/>
          <w:b/>
          <w:bCs/>
          <w:color w:val="000000" w:themeColor="text1"/>
        </w:rPr>
      </w:pPr>
    </w:p>
    <w:p w14:paraId="0FE5CA9A" w14:textId="77777777" w:rsidR="00200D82" w:rsidRPr="00CF31E0" w:rsidRDefault="00200D82" w:rsidP="00CD755B">
      <w:pPr>
        <w:rPr>
          <w:rFonts w:asciiTheme="majorBidi" w:hAnsiTheme="majorBidi" w:cstheme="majorBidi"/>
          <w:b/>
          <w:bCs/>
          <w:color w:val="000000" w:themeColor="text1"/>
        </w:rPr>
      </w:pPr>
    </w:p>
    <w:p w14:paraId="4A816366" w14:textId="77777777" w:rsidR="00CD755B" w:rsidRPr="00CF31E0" w:rsidRDefault="00CD755B" w:rsidP="00CD755B">
      <w:pPr>
        <w:pStyle w:val="ListParagraph"/>
        <w:numPr>
          <w:ilvl w:val="0"/>
          <w:numId w:val="71"/>
        </w:numPr>
        <w:rPr>
          <w:rFonts w:asciiTheme="majorBidi" w:hAnsiTheme="majorBidi" w:cstheme="majorBidi"/>
          <w:b/>
          <w:bCs/>
          <w:color w:val="000000" w:themeColor="text1"/>
          <w:sz w:val="28"/>
          <w:szCs w:val="28"/>
        </w:rPr>
      </w:pPr>
      <w:r w:rsidRPr="00CF31E0">
        <w:rPr>
          <w:rFonts w:asciiTheme="majorBidi" w:hAnsiTheme="majorBidi" w:cstheme="majorBidi"/>
          <w:b/>
          <w:bCs/>
          <w:color w:val="000000" w:themeColor="text1"/>
          <w:sz w:val="28"/>
          <w:szCs w:val="28"/>
        </w:rPr>
        <w:t>Modern scale</w:t>
      </w:r>
    </w:p>
    <w:p w14:paraId="60CF1C5D" w14:textId="77777777" w:rsidR="00CD755B" w:rsidRPr="00CF31E0" w:rsidRDefault="00CD755B" w:rsidP="00CD755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200D82" w:rsidRPr="00CF31E0" w14:paraId="7AE931C6" w14:textId="77777777" w:rsidTr="0086328B">
        <w:trPr>
          <w:cantSplit/>
        </w:trPr>
        <w:tc>
          <w:tcPr>
            <w:tcW w:w="1736" w:type="dxa"/>
            <w:tcBorders>
              <w:top w:val="single" w:sz="8" w:space="0" w:color="auto"/>
              <w:bottom w:val="single" w:sz="6" w:space="0" w:color="auto"/>
            </w:tcBorders>
            <w:shd w:val="clear" w:color="auto" w:fill="FFFFFF"/>
            <w:vAlign w:val="bottom"/>
          </w:tcPr>
          <w:p w14:paraId="3375645A" w14:textId="57509E2B" w:rsidR="00200D82" w:rsidRPr="00CF31E0" w:rsidRDefault="00200D82" w:rsidP="0086328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Age</w:t>
            </w:r>
          </w:p>
        </w:tc>
        <w:tc>
          <w:tcPr>
            <w:tcW w:w="1686" w:type="dxa"/>
            <w:tcBorders>
              <w:top w:val="single" w:sz="8" w:space="0" w:color="auto"/>
              <w:bottom w:val="single" w:sz="6" w:space="0" w:color="auto"/>
            </w:tcBorders>
            <w:shd w:val="clear" w:color="auto" w:fill="FFFFFF"/>
            <w:vAlign w:val="bottom"/>
          </w:tcPr>
          <w:p w14:paraId="3997AC2F"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0AB5589A"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6A14B108"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36D87CBD"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2A3629AA" w14:textId="77777777" w:rsidR="00200D82" w:rsidRPr="00CF31E0" w:rsidRDefault="00200D82" w:rsidP="0086328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200D82" w:rsidRPr="00CF31E0" w14:paraId="4EDCD3DC" w14:textId="77777777" w:rsidTr="0086328B">
        <w:trPr>
          <w:cantSplit/>
        </w:trPr>
        <w:tc>
          <w:tcPr>
            <w:tcW w:w="1736" w:type="dxa"/>
            <w:tcBorders>
              <w:top w:val="single" w:sz="6" w:space="0" w:color="auto"/>
              <w:bottom w:val="nil"/>
            </w:tcBorders>
            <w:shd w:val="clear" w:color="auto" w:fill="FFFFFF"/>
          </w:tcPr>
          <w:p w14:paraId="5F278305" w14:textId="77777777" w:rsidR="00200D82" w:rsidRPr="00CF31E0" w:rsidRDefault="00200D82" w:rsidP="0086328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09DA4E08" w14:textId="3D8D3AD9" w:rsidR="00200D82" w:rsidRPr="00CF31E0" w:rsidRDefault="00200D82" w:rsidP="0086328B">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15.470</w:t>
            </w:r>
          </w:p>
        </w:tc>
        <w:tc>
          <w:tcPr>
            <w:tcW w:w="820" w:type="dxa"/>
            <w:tcBorders>
              <w:top w:val="single" w:sz="6" w:space="0" w:color="auto"/>
              <w:bottom w:val="nil"/>
            </w:tcBorders>
            <w:shd w:val="clear" w:color="auto" w:fill="FFFFFF"/>
            <w:vAlign w:val="center"/>
          </w:tcPr>
          <w:p w14:paraId="16F03C03" w14:textId="15CE56B3" w:rsidR="00200D82" w:rsidRPr="00CF31E0" w:rsidRDefault="00200D82" w:rsidP="0086328B">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5</w:t>
            </w:r>
          </w:p>
        </w:tc>
        <w:tc>
          <w:tcPr>
            <w:tcW w:w="1445" w:type="dxa"/>
            <w:tcBorders>
              <w:top w:val="single" w:sz="6" w:space="0" w:color="auto"/>
              <w:bottom w:val="nil"/>
            </w:tcBorders>
            <w:shd w:val="clear" w:color="auto" w:fill="FFFFFF"/>
            <w:vAlign w:val="center"/>
          </w:tcPr>
          <w:p w14:paraId="193AEDEC" w14:textId="77ADFA33" w:rsidR="00200D82" w:rsidRPr="00CF31E0" w:rsidRDefault="00200D82" w:rsidP="0086328B">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3.094</w:t>
            </w:r>
          </w:p>
        </w:tc>
        <w:tc>
          <w:tcPr>
            <w:tcW w:w="1030" w:type="dxa"/>
            <w:tcBorders>
              <w:top w:val="single" w:sz="6" w:space="0" w:color="auto"/>
              <w:bottom w:val="nil"/>
            </w:tcBorders>
            <w:shd w:val="clear" w:color="auto" w:fill="FFFFFF"/>
            <w:vAlign w:val="center"/>
          </w:tcPr>
          <w:p w14:paraId="04C63E5F" w14:textId="71EF2CE2" w:rsidR="00200D82" w:rsidRPr="00CF31E0" w:rsidRDefault="00200D82" w:rsidP="0086328B">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2.109</w:t>
            </w:r>
          </w:p>
        </w:tc>
        <w:tc>
          <w:tcPr>
            <w:tcW w:w="674" w:type="dxa"/>
            <w:tcBorders>
              <w:top w:val="single" w:sz="6" w:space="0" w:color="auto"/>
              <w:bottom w:val="nil"/>
            </w:tcBorders>
            <w:shd w:val="clear" w:color="auto" w:fill="FFFFFF"/>
            <w:vAlign w:val="center"/>
          </w:tcPr>
          <w:p w14:paraId="44536880" w14:textId="4B925CEE" w:rsidR="00200D82" w:rsidRPr="00CF31E0" w:rsidRDefault="00200D82" w:rsidP="0086328B">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.063</w:t>
            </w:r>
          </w:p>
        </w:tc>
      </w:tr>
      <w:tr w:rsidR="00200D82" w:rsidRPr="00CF31E0" w14:paraId="58BBBCCC" w14:textId="77777777" w:rsidTr="0086328B">
        <w:trPr>
          <w:cantSplit/>
        </w:trPr>
        <w:tc>
          <w:tcPr>
            <w:tcW w:w="1736" w:type="dxa"/>
            <w:tcBorders>
              <w:top w:val="nil"/>
            </w:tcBorders>
            <w:shd w:val="clear" w:color="auto" w:fill="FFFFFF"/>
          </w:tcPr>
          <w:p w14:paraId="08B88534" w14:textId="77777777" w:rsidR="00200D82" w:rsidRPr="00CF31E0" w:rsidRDefault="00200D82" w:rsidP="0086328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29DACD0C" w14:textId="3976B101" w:rsidR="00200D82" w:rsidRPr="00CF31E0" w:rsidRDefault="00200D82" w:rsidP="0086328B">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940.307</w:t>
            </w:r>
          </w:p>
        </w:tc>
        <w:tc>
          <w:tcPr>
            <w:tcW w:w="820" w:type="dxa"/>
            <w:tcBorders>
              <w:top w:val="nil"/>
            </w:tcBorders>
            <w:shd w:val="clear" w:color="auto" w:fill="FFFFFF"/>
            <w:vAlign w:val="center"/>
          </w:tcPr>
          <w:p w14:paraId="49F8FED4" w14:textId="29DC9EE0" w:rsidR="00200D82" w:rsidRPr="00CF31E0" w:rsidRDefault="00200D82" w:rsidP="0086328B">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641</w:t>
            </w:r>
          </w:p>
        </w:tc>
        <w:tc>
          <w:tcPr>
            <w:tcW w:w="1445" w:type="dxa"/>
            <w:tcBorders>
              <w:top w:val="nil"/>
            </w:tcBorders>
            <w:shd w:val="clear" w:color="auto" w:fill="FFFFFF"/>
            <w:vAlign w:val="center"/>
          </w:tcPr>
          <w:p w14:paraId="7054F111" w14:textId="7E19CF03" w:rsidR="00200D82" w:rsidRPr="00CF31E0" w:rsidRDefault="00200D82" w:rsidP="0086328B">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1.467</w:t>
            </w:r>
          </w:p>
        </w:tc>
        <w:tc>
          <w:tcPr>
            <w:tcW w:w="1030" w:type="dxa"/>
            <w:tcBorders>
              <w:top w:val="nil"/>
            </w:tcBorders>
            <w:shd w:val="clear" w:color="auto" w:fill="FFFFFF"/>
            <w:vAlign w:val="center"/>
          </w:tcPr>
          <w:p w14:paraId="05B10227" w14:textId="77777777" w:rsidR="00200D82" w:rsidRPr="00CF31E0" w:rsidRDefault="00200D82" w:rsidP="0086328B">
            <w:pPr>
              <w:spacing w:before="120" w:after="120" w:line="360" w:lineRule="auto"/>
              <w:jc w:val="right"/>
              <w:rPr>
                <w:rFonts w:asciiTheme="majorBidi" w:eastAsia="Calibri" w:hAnsiTheme="majorBidi" w:cstheme="majorBidi"/>
                <w:color w:val="000000" w:themeColor="text1"/>
                <w:sz w:val="22"/>
                <w:szCs w:val="22"/>
                <w:lang w:eastAsia="en-US"/>
              </w:rPr>
            </w:pPr>
          </w:p>
        </w:tc>
        <w:tc>
          <w:tcPr>
            <w:tcW w:w="674" w:type="dxa"/>
            <w:tcBorders>
              <w:top w:val="nil"/>
            </w:tcBorders>
            <w:shd w:val="clear" w:color="auto" w:fill="FFFFFF"/>
            <w:vAlign w:val="center"/>
          </w:tcPr>
          <w:p w14:paraId="72AC5813" w14:textId="77777777" w:rsidR="00200D82" w:rsidRPr="00CF31E0" w:rsidRDefault="00200D82" w:rsidP="0086328B">
            <w:pPr>
              <w:spacing w:before="120" w:after="120" w:line="360" w:lineRule="auto"/>
              <w:jc w:val="right"/>
              <w:rPr>
                <w:rFonts w:asciiTheme="majorBidi" w:eastAsia="Calibri" w:hAnsiTheme="majorBidi" w:cstheme="majorBidi"/>
                <w:color w:val="000000" w:themeColor="text1"/>
                <w:sz w:val="22"/>
                <w:szCs w:val="22"/>
                <w:lang w:eastAsia="en-US"/>
              </w:rPr>
            </w:pPr>
          </w:p>
        </w:tc>
      </w:tr>
      <w:tr w:rsidR="00200D82" w:rsidRPr="00CF31E0" w14:paraId="735A558D" w14:textId="77777777" w:rsidTr="0086328B">
        <w:trPr>
          <w:cantSplit/>
        </w:trPr>
        <w:tc>
          <w:tcPr>
            <w:tcW w:w="1736" w:type="dxa"/>
            <w:shd w:val="clear" w:color="auto" w:fill="FFFFFF"/>
          </w:tcPr>
          <w:p w14:paraId="3546CD87" w14:textId="77777777" w:rsidR="00200D82" w:rsidRPr="00CF31E0" w:rsidRDefault="00200D82" w:rsidP="0086328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784791B3" w14:textId="7087CCF4" w:rsidR="00200D82" w:rsidRPr="00CF31E0" w:rsidRDefault="00200D82" w:rsidP="0086328B">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955.777</w:t>
            </w:r>
          </w:p>
        </w:tc>
        <w:tc>
          <w:tcPr>
            <w:tcW w:w="820" w:type="dxa"/>
            <w:shd w:val="clear" w:color="auto" w:fill="FFFFFF"/>
            <w:vAlign w:val="center"/>
          </w:tcPr>
          <w:p w14:paraId="6CAD822D" w14:textId="038856EE" w:rsidR="00200D82" w:rsidRPr="00CF31E0" w:rsidRDefault="00BC3BC3" w:rsidP="0086328B">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5767E5D1" w14:textId="77777777" w:rsidR="00200D82" w:rsidRPr="00CF31E0" w:rsidRDefault="00200D82" w:rsidP="0086328B">
            <w:pPr>
              <w:spacing w:before="120" w:after="120" w:line="360" w:lineRule="auto"/>
              <w:jc w:val="right"/>
              <w:rPr>
                <w:rFonts w:asciiTheme="majorBidi" w:eastAsia="Calibri" w:hAnsiTheme="majorBidi" w:cstheme="majorBidi"/>
                <w:color w:val="000000" w:themeColor="text1"/>
                <w:sz w:val="22"/>
                <w:szCs w:val="22"/>
                <w:lang w:eastAsia="en-US"/>
              </w:rPr>
            </w:pPr>
          </w:p>
        </w:tc>
        <w:tc>
          <w:tcPr>
            <w:tcW w:w="1030" w:type="dxa"/>
            <w:shd w:val="clear" w:color="auto" w:fill="FFFFFF"/>
            <w:vAlign w:val="center"/>
          </w:tcPr>
          <w:p w14:paraId="47E86B4D" w14:textId="77777777" w:rsidR="00200D82" w:rsidRPr="00CF31E0" w:rsidRDefault="00200D82" w:rsidP="0086328B">
            <w:pPr>
              <w:spacing w:before="120" w:after="120" w:line="360" w:lineRule="auto"/>
              <w:jc w:val="right"/>
              <w:rPr>
                <w:rFonts w:asciiTheme="majorBidi" w:eastAsia="Calibri" w:hAnsiTheme="majorBidi" w:cstheme="majorBidi"/>
                <w:color w:val="000000" w:themeColor="text1"/>
                <w:sz w:val="22"/>
                <w:szCs w:val="22"/>
                <w:lang w:eastAsia="en-US"/>
              </w:rPr>
            </w:pPr>
          </w:p>
        </w:tc>
        <w:tc>
          <w:tcPr>
            <w:tcW w:w="674" w:type="dxa"/>
            <w:shd w:val="clear" w:color="auto" w:fill="FFFFFF"/>
            <w:vAlign w:val="center"/>
          </w:tcPr>
          <w:p w14:paraId="3A6943C9" w14:textId="77777777" w:rsidR="00200D82" w:rsidRPr="00CF31E0" w:rsidRDefault="00200D82" w:rsidP="0086328B">
            <w:pPr>
              <w:spacing w:before="120" w:after="120" w:line="360" w:lineRule="auto"/>
              <w:jc w:val="right"/>
              <w:rPr>
                <w:rFonts w:asciiTheme="majorBidi" w:eastAsia="Calibri" w:hAnsiTheme="majorBidi" w:cstheme="majorBidi"/>
                <w:color w:val="000000" w:themeColor="text1"/>
                <w:sz w:val="22"/>
                <w:szCs w:val="22"/>
                <w:lang w:eastAsia="en-US"/>
              </w:rPr>
            </w:pPr>
          </w:p>
        </w:tc>
      </w:tr>
    </w:tbl>
    <w:p w14:paraId="199327A5" w14:textId="77777777" w:rsidR="00200D82" w:rsidRPr="00CF31E0" w:rsidRDefault="00200D82" w:rsidP="00CD755B">
      <w:pPr>
        <w:rPr>
          <w:rFonts w:asciiTheme="majorBidi" w:hAnsiTheme="majorBidi" w:cstheme="majorBidi"/>
          <w:b/>
          <w:bCs/>
          <w:color w:val="000000" w:themeColor="text1"/>
        </w:rPr>
      </w:pPr>
    </w:p>
    <w:p w14:paraId="41B2B258" w14:textId="77777777" w:rsidR="00200D82" w:rsidRPr="00CF31E0" w:rsidRDefault="00200D82" w:rsidP="00CD755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D755B" w:rsidRPr="00CF31E0" w14:paraId="00732287" w14:textId="77777777" w:rsidTr="00CD755B">
        <w:trPr>
          <w:cantSplit/>
        </w:trPr>
        <w:tc>
          <w:tcPr>
            <w:tcW w:w="1736" w:type="dxa"/>
            <w:tcBorders>
              <w:top w:val="single" w:sz="8" w:space="0" w:color="auto"/>
              <w:bottom w:val="single" w:sz="6" w:space="0" w:color="auto"/>
            </w:tcBorders>
            <w:shd w:val="clear" w:color="auto" w:fill="FFFFFF"/>
            <w:vAlign w:val="bottom"/>
          </w:tcPr>
          <w:p w14:paraId="04801399"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 of birth</w:t>
            </w:r>
          </w:p>
        </w:tc>
        <w:tc>
          <w:tcPr>
            <w:tcW w:w="1686" w:type="dxa"/>
            <w:tcBorders>
              <w:top w:val="single" w:sz="8" w:space="0" w:color="auto"/>
              <w:bottom w:val="single" w:sz="6" w:space="0" w:color="auto"/>
            </w:tcBorders>
            <w:shd w:val="clear" w:color="auto" w:fill="FFFFFF"/>
            <w:vAlign w:val="bottom"/>
          </w:tcPr>
          <w:p w14:paraId="407C9911"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0708FBC5"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7EAF58D4"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27EFB9EC"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32BC64C8"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200D82" w:rsidRPr="00CF31E0" w14:paraId="6EA5715A" w14:textId="77777777" w:rsidTr="00CD755B">
        <w:trPr>
          <w:cantSplit/>
        </w:trPr>
        <w:tc>
          <w:tcPr>
            <w:tcW w:w="1736" w:type="dxa"/>
            <w:tcBorders>
              <w:top w:val="single" w:sz="6" w:space="0" w:color="auto"/>
              <w:bottom w:val="nil"/>
            </w:tcBorders>
            <w:shd w:val="clear" w:color="auto" w:fill="FFFFFF"/>
          </w:tcPr>
          <w:p w14:paraId="5C004EA9"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12D69D63" w14:textId="3413E637" w:rsidR="00200D82" w:rsidRPr="00CF31E0" w:rsidRDefault="00200D82" w:rsidP="00CD755B">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1.698</w:t>
            </w:r>
          </w:p>
        </w:tc>
        <w:tc>
          <w:tcPr>
            <w:tcW w:w="820" w:type="dxa"/>
            <w:tcBorders>
              <w:top w:val="single" w:sz="6" w:space="0" w:color="auto"/>
              <w:bottom w:val="nil"/>
            </w:tcBorders>
            <w:shd w:val="clear" w:color="auto" w:fill="FFFFFF"/>
            <w:vAlign w:val="center"/>
          </w:tcPr>
          <w:p w14:paraId="4E60A4CC" w14:textId="40B04658" w:rsidR="00200D82" w:rsidRPr="00CF31E0" w:rsidRDefault="00200D82" w:rsidP="00CD755B">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w:t>
            </w:r>
          </w:p>
        </w:tc>
        <w:tc>
          <w:tcPr>
            <w:tcW w:w="1445" w:type="dxa"/>
            <w:tcBorders>
              <w:top w:val="single" w:sz="6" w:space="0" w:color="auto"/>
              <w:bottom w:val="nil"/>
            </w:tcBorders>
            <w:shd w:val="clear" w:color="auto" w:fill="FFFFFF"/>
            <w:vAlign w:val="center"/>
          </w:tcPr>
          <w:p w14:paraId="6C9F0B09" w14:textId="75D5F6DB" w:rsidR="00200D82" w:rsidRPr="00CF31E0" w:rsidRDefault="00200D82" w:rsidP="00CD755B">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1.698</w:t>
            </w:r>
          </w:p>
        </w:tc>
        <w:tc>
          <w:tcPr>
            <w:tcW w:w="1030" w:type="dxa"/>
            <w:tcBorders>
              <w:top w:val="single" w:sz="6" w:space="0" w:color="auto"/>
              <w:bottom w:val="nil"/>
            </w:tcBorders>
            <w:shd w:val="clear" w:color="auto" w:fill="FFFFFF"/>
            <w:vAlign w:val="center"/>
          </w:tcPr>
          <w:p w14:paraId="2C774BCF" w14:textId="4BC7B0BA" w:rsidR="00200D82" w:rsidRPr="00CF31E0" w:rsidRDefault="00200D82" w:rsidP="00CD755B">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1.150</w:t>
            </w:r>
          </w:p>
        </w:tc>
        <w:tc>
          <w:tcPr>
            <w:tcW w:w="674" w:type="dxa"/>
            <w:tcBorders>
              <w:top w:val="single" w:sz="6" w:space="0" w:color="auto"/>
              <w:bottom w:val="nil"/>
            </w:tcBorders>
            <w:shd w:val="clear" w:color="auto" w:fill="FFFFFF"/>
            <w:vAlign w:val="center"/>
          </w:tcPr>
          <w:p w14:paraId="77A4217B" w14:textId="417B8E4A" w:rsidR="00200D82" w:rsidRPr="00CF31E0" w:rsidRDefault="00200D82" w:rsidP="00CD755B">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.284</w:t>
            </w:r>
          </w:p>
        </w:tc>
      </w:tr>
      <w:tr w:rsidR="00200D82" w:rsidRPr="00CF31E0" w14:paraId="762BA651" w14:textId="77777777" w:rsidTr="00CD755B">
        <w:trPr>
          <w:cantSplit/>
        </w:trPr>
        <w:tc>
          <w:tcPr>
            <w:tcW w:w="1736" w:type="dxa"/>
            <w:tcBorders>
              <w:top w:val="nil"/>
            </w:tcBorders>
            <w:shd w:val="clear" w:color="auto" w:fill="FFFFFF"/>
          </w:tcPr>
          <w:p w14:paraId="5BFA8BB2"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35CE0B33" w14:textId="15A389C0" w:rsidR="00200D82" w:rsidRPr="00CF31E0" w:rsidRDefault="00200D82" w:rsidP="00CD755B">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955.042</w:t>
            </w:r>
          </w:p>
        </w:tc>
        <w:tc>
          <w:tcPr>
            <w:tcW w:w="820" w:type="dxa"/>
            <w:tcBorders>
              <w:top w:val="nil"/>
            </w:tcBorders>
            <w:shd w:val="clear" w:color="auto" w:fill="FFFFFF"/>
            <w:vAlign w:val="center"/>
          </w:tcPr>
          <w:p w14:paraId="3C906DB5" w14:textId="14120CF1" w:rsidR="00200D82" w:rsidRPr="00CF31E0" w:rsidRDefault="00200D82" w:rsidP="00CD755B">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647</w:t>
            </w:r>
          </w:p>
        </w:tc>
        <w:tc>
          <w:tcPr>
            <w:tcW w:w="1445" w:type="dxa"/>
            <w:tcBorders>
              <w:top w:val="nil"/>
            </w:tcBorders>
            <w:shd w:val="clear" w:color="auto" w:fill="FFFFFF"/>
            <w:vAlign w:val="center"/>
          </w:tcPr>
          <w:p w14:paraId="0BCD8BDA" w14:textId="43391E54" w:rsidR="00200D82" w:rsidRPr="00CF31E0" w:rsidRDefault="00200D82" w:rsidP="00CD755B">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1.476</w:t>
            </w:r>
          </w:p>
        </w:tc>
        <w:tc>
          <w:tcPr>
            <w:tcW w:w="1030" w:type="dxa"/>
            <w:tcBorders>
              <w:top w:val="nil"/>
            </w:tcBorders>
            <w:shd w:val="clear" w:color="auto" w:fill="FFFFFF"/>
            <w:vAlign w:val="center"/>
          </w:tcPr>
          <w:p w14:paraId="677AEE87" w14:textId="77777777" w:rsidR="00200D82" w:rsidRPr="00CF31E0" w:rsidRDefault="00200D82" w:rsidP="00CD755B">
            <w:pPr>
              <w:spacing w:before="120" w:after="120" w:line="360" w:lineRule="auto"/>
              <w:jc w:val="right"/>
              <w:rPr>
                <w:rFonts w:asciiTheme="majorBidi" w:eastAsia="Calibri" w:hAnsiTheme="majorBidi" w:cstheme="majorBidi"/>
                <w:color w:val="000000" w:themeColor="text1"/>
                <w:sz w:val="22"/>
                <w:szCs w:val="22"/>
                <w:lang w:eastAsia="en-US"/>
              </w:rPr>
            </w:pPr>
          </w:p>
        </w:tc>
        <w:tc>
          <w:tcPr>
            <w:tcW w:w="674" w:type="dxa"/>
            <w:tcBorders>
              <w:top w:val="nil"/>
            </w:tcBorders>
            <w:shd w:val="clear" w:color="auto" w:fill="FFFFFF"/>
            <w:vAlign w:val="center"/>
          </w:tcPr>
          <w:p w14:paraId="721DA40E" w14:textId="77777777" w:rsidR="00200D82" w:rsidRPr="00CF31E0" w:rsidRDefault="00200D82" w:rsidP="00CD755B">
            <w:pPr>
              <w:spacing w:before="120" w:after="120" w:line="360" w:lineRule="auto"/>
              <w:jc w:val="right"/>
              <w:rPr>
                <w:rFonts w:asciiTheme="majorBidi" w:eastAsia="Calibri" w:hAnsiTheme="majorBidi" w:cstheme="majorBidi"/>
                <w:color w:val="000000" w:themeColor="text1"/>
                <w:sz w:val="22"/>
                <w:szCs w:val="22"/>
                <w:lang w:eastAsia="en-US"/>
              </w:rPr>
            </w:pPr>
          </w:p>
        </w:tc>
      </w:tr>
      <w:tr w:rsidR="00200D82" w:rsidRPr="00CF31E0" w14:paraId="08B3AB8A" w14:textId="77777777" w:rsidTr="00CD755B">
        <w:trPr>
          <w:cantSplit/>
        </w:trPr>
        <w:tc>
          <w:tcPr>
            <w:tcW w:w="1736" w:type="dxa"/>
            <w:shd w:val="clear" w:color="auto" w:fill="FFFFFF"/>
          </w:tcPr>
          <w:p w14:paraId="03986D96"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09B0C639" w14:textId="0E5E5997" w:rsidR="00200D82" w:rsidRPr="00CF31E0" w:rsidRDefault="00200D82" w:rsidP="00CD755B">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956.740</w:t>
            </w:r>
          </w:p>
        </w:tc>
        <w:tc>
          <w:tcPr>
            <w:tcW w:w="820" w:type="dxa"/>
            <w:shd w:val="clear" w:color="auto" w:fill="FFFFFF"/>
            <w:vAlign w:val="center"/>
          </w:tcPr>
          <w:p w14:paraId="5DB12B0F" w14:textId="42170C7B" w:rsidR="00200D82" w:rsidRPr="00CF31E0" w:rsidRDefault="00BC3BC3" w:rsidP="00CD755B">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70CDBAAF" w14:textId="77777777" w:rsidR="00200D82" w:rsidRPr="00CF31E0" w:rsidRDefault="00200D82" w:rsidP="00CD755B">
            <w:pPr>
              <w:spacing w:before="120" w:after="120" w:line="360" w:lineRule="auto"/>
              <w:jc w:val="right"/>
              <w:rPr>
                <w:rFonts w:asciiTheme="majorBidi" w:eastAsia="Calibri" w:hAnsiTheme="majorBidi" w:cstheme="majorBidi"/>
                <w:color w:val="000000" w:themeColor="text1"/>
                <w:sz w:val="22"/>
                <w:szCs w:val="22"/>
                <w:lang w:eastAsia="en-US"/>
              </w:rPr>
            </w:pPr>
          </w:p>
        </w:tc>
        <w:tc>
          <w:tcPr>
            <w:tcW w:w="1030" w:type="dxa"/>
            <w:shd w:val="clear" w:color="auto" w:fill="FFFFFF"/>
            <w:vAlign w:val="center"/>
          </w:tcPr>
          <w:p w14:paraId="1F7FBC6B" w14:textId="77777777" w:rsidR="00200D82" w:rsidRPr="00CF31E0" w:rsidRDefault="00200D82" w:rsidP="00CD755B">
            <w:pPr>
              <w:spacing w:before="120" w:after="120" w:line="360" w:lineRule="auto"/>
              <w:jc w:val="right"/>
              <w:rPr>
                <w:rFonts w:asciiTheme="majorBidi" w:eastAsia="Calibri" w:hAnsiTheme="majorBidi" w:cstheme="majorBidi"/>
                <w:color w:val="000000" w:themeColor="text1"/>
                <w:sz w:val="22"/>
                <w:szCs w:val="22"/>
                <w:lang w:eastAsia="en-US"/>
              </w:rPr>
            </w:pPr>
          </w:p>
        </w:tc>
        <w:tc>
          <w:tcPr>
            <w:tcW w:w="674" w:type="dxa"/>
            <w:shd w:val="clear" w:color="auto" w:fill="FFFFFF"/>
            <w:vAlign w:val="center"/>
          </w:tcPr>
          <w:p w14:paraId="026C1D7B" w14:textId="77777777" w:rsidR="00200D82" w:rsidRPr="00CF31E0" w:rsidRDefault="00200D82" w:rsidP="00CD755B">
            <w:pPr>
              <w:spacing w:before="120" w:after="120" w:line="360" w:lineRule="auto"/>
              <w:jc w:val="right"/>
              <w:rPr>
                <w:rFonts w:asciiTheme="majorBidi" w:eastAsia="Calibri" w:hAnsiTheme="majorBidi" w:cstheme="majorBidi"/>
                <w:color w:val="000000" w:themeColor="text1"/>
                <w:sz w:val="22"/>
                <w:szCs w:val="22"/>
                <w:lang w:eastAsia="en-US"/>
              </w:rPr>
            </w:pPr>
          </w:p>
        </w:tc>
      </w:tr>
    </w:tbl>
    <w:p w14:paraId="6FC874EB" w14:textId="77777777" w:rsidR="00CD755B" w:rsidRPr="00CF31E0" w:rsidRDefault="00CD755B" w:rsidP="00CD755B">
      <w:pPr>
        <w:rPr>
          <w:rFonts w:asciiTheme="majorBidi" w:hAnsiTheme="majorBidi" w:cstheme="majorBidi"/>
          <w:b/>
          <w:bCs/>
          <w:color w:val="000000" w:themeColor="text1"/>
        </w:rPr>
      </w:pPr>
    </w:p>
    <w:p w14:paraId="783A5D82" w14:textId="77777777" w:rsidR="00CD755B" w:rsidRPr="00CF31E0" w:rsidRDefault="00CD755B" w:rsidP="00CD755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D755B" w:rsidRPr="00CF31E0" w14:paraId="0FA5BA3A" w14:textId="77777777" w:rsidTr="00CD755B">
        <w:trPr>
          <w:cantSplit/>
        </w:trPr>
        <w:tc>
          <w:tcPr>
            <w:tcW w:w="1736" w:type="dxa"/>
            <w:tcBorders>
              <w:top w:val="single" w:sz="8" w:space="0" w:color="auto"/>
              <w:bottom w:val="single" w:sz="6" w:space="0" w:color="auto"/>
            </w:tcBorders>
            <w:shd w:val="clear" w:color="auto" w:fill="FFFFFF"/>
            <w:vAlign w:val="bottom"/>
          </w:tcPr>
          <w:p w14:paraId="722248C6"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Places lived</w:t>
            </w:r>
          </w:p>
        </w:tc>
        <w:tc>
          <w:tcPr>
            <w:tcW w:w="1686" w:type="dxa"/>
            <w:tcBorders>
              <w:top w:val="single" w:sz="8" w:space="0" w:color="auto"/>
              <w:bottom w:val="single" w:sz="6" w:space="0" w:color="auto"/>
            </w:tcBorders>
            <w:shd w:val="clear" w:color="auto" w:fill="FFFFFF"/>
            <w:vAlign w:val="bottom"/>
          </w:tcPr>
          <w:p w14:paraId="284EBA35"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6F4A5AD8"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28BF746"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1E99F400"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133266FD"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200D82" w:rsidRPr="00CF31E0" w14:paraId="5D0A884D" w14:textId="77777777" w:rsidTr="00CD755B">
        <w:trPr>
          <w:cantSplit/>
        </w:trPr>
        <w:tc>
          <w:tcPr>
            <w:tcW w:w="1736" w:type="dxa"/>
            <w:tcBorders>
              <w:top w:val="single" w:sz="6" w:space="0" w:color="auto"/>
              <w:bottom w:val="nil"/>
            </w:tcBorders>
            <w:shd w:val="clear" w:color="auto" w:fill="FFFFFF"/>
          </w:tcPr>
          <w:p w14:paraId="63E5ED07"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06C31AF6" w14:textId="39E4A0E0" w:rsidR="00200D82" w:rsidRPr="00CF31E0" w:rsidRDefault="00200D82" w:rsidP="00CD755B">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.641</w:t>
            </w:r>
          </w:p>
        </w:tc>
        <w:tc>
          <w:tcPr>
            <w:tcW w:w="820" w:type="dxa"/>
            <w:tcBorders>
              <w:top w:val="single" w:sz="6" w:space="0" w:color="auto"/>
              <w:bottom w:val="nil"/>
            </w:tcBorders>
            <w:shd w:val="clear" w:color="auto" w:fill="FFFFFF"/>
            <w:vAlign w:val="center"/>
          </w:tcPr>
          <w:p w14:paraId="05EDF4AF" w14:textId="7C0B5EF2" w:rsidR="00200D82" w:rsidRPr="00CF31E0" w:rsidRDefault="00200D82" w:rsidP="00CD755B">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w:t>
            </w:r>
          </w:p>
        </w:tc>
        <w:tc>
          <w:tcPr>
            <w:tcW w:w="1445" w:type="dxa"/>
            <w:tcBorders>
              <w:top w:val="single" w:sz="6" w:space="0" w:color="auto"/>
              <w:bottom w:val="nil"/>
            </w:tcBorders>
            <w:shd w:val="clear" w:color="auto" w:fill="FFFFFF"/>
            <w:vAlign w:val="center"/>
          </w:tcPr>
          <w:p w14:paraId="14D0A296" w14:textId="34A47234" w:rsidR="00200D82" w:rsidRPr="00CF31E0" w:rsidRDefault="00200D82" w:rsidP="00CD755B">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.641</w:t>
            </w:r>
          </w:p>
        </w:tc>
        <w:tc>
          <w:tcPr>
            <w:tcW w:w="1030" w:type="dxa"/>
            <w:tcBorders>
              <w:top w:val="single" w:sz="6" w:space="0" w:color="auto"/>
              <w:bottom w:val="nil"/>
            </w:tcBorders>
            <w:shd w:val="clear" w:color="auto" w:fill="FFFFFF"/>
            <w:vAlign w:val="center"/>
          </w:tcPr>
          <w:p w14:paraId="22FA1322" w14:textId="49B8B69A" w:rsidR="00200D82" w:rsidRPr="00CF31E0" w:rsidRDefault="00200D82" w:rsidP="00CD755B">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.432</w:t>
            </w:r>
          </w:p>
        </w:tc>
        <w:tc>
          <w:tcPr>
            <w:tcW w:w="674" w:type="dxa"/>
            <w:tcBorders>
              <w:top w:val="single" w:sz="6" w:space="0" w:color="auto"/>
              <w:bottom w:val="nil"/>
            </w:tcBorders>
            <w:shd w:val="clear" w:color="auto" w:fill="FFFFFF"/>
            <w:vAlign w:val="center"/>
          </w:tcPr>
          <w:p w14:paraId="6EBCD37E" w14:textId="57074CF9" w:rsidR="00200D82" w:rsidRPr="00CF31E0" w:rsidRDefault="00200D82" w:rsidP="00CD755B">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.511</w:t>
            </w:r>
          </w:p>
        </w:tc>
      </w:tr>
      <w:tr w:rsidR="00200D82" w:rsidRPr="00CF31E0" w14:paraId="1F857B9C" w14:textId="77777777" w:rsidTr="00CD755B">
        <w:trPr>
          <w:cantSplit/>
        </w:trPr>
        <w:tc>
          <w:tcPr>
            <w:tcW w:w="1736" w:type="dxa"/>
            <w:tcBorders>
              <w:top w:val="nil"/>
            </w:tcBorders>
            <w:shd w:val="clear" w:color="auto" w:fill="FFFFFF"/>
          </w:tcPr>
          <w:p w14:paraId="781BD1A7"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5E46F225" w14:textId="5E9A12C8" w:rsidR="00200D82" w:rsidRPr="00CF31E0" w:rsidRDefault="00200D82" w:rsidP="00CD755B">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946.282</w:t>
            </w:r>
          </w:p>
        </w:tc>
        <w:tc>
          <w:tcPr>
            <w:tcW w:w="820" w:type="dxa"/>
            <w:tcBorders>
              <w:top w:val="nil"/>
            </w:tcBorders>
            <w:shd w:val="clear" w:color="auto" w:fill="FFFFFF"/>
            <w:vAlign w:val="center"/>
          </w:tcPr>
          <w:p w14:paraId="62C466A8" w14:textId="4D29F71F" w:rsidR="00200D82" w:rsidRPr="00CF31E0" w:rsidRDefault="00200D82" w:rsidP="00CD755B">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647</w:t>
            </w:r>
          </w:p>
        </w:tc>
        <w:tc>
          <w:tcPr>
            <w:tcW w:w="1445" w:type="dxa"/>
            <w:tcBorders>
              <w:top w:val="nil"/>
            </w:tcBorders>
            <w:shd w:val="clear" w:color="auto" w:fill="FFFFFF"/>
            <w:vAlign w:val="center"/>
          </w:tcPr>
          <w:p w14:paraId="23A3267B" w14:textId="64C75B47" w:rsidR="00200D82" w:rsidRPr="00CF31E0" w:rsidRDefault="00200D82" w:rsidP="00CD755B">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1.486</w:t>
            </w:r>
          </w:p>
        </w:tc>
        <w:tc>
          <w:tcPr>
            <w:tcW w:w="1030" w:type="dxa"/>
            <w:tcBorders>
              <w:top w:val="nil"/>
            </w:tcBorders>
            <w:shd w:val="clear" w:color="auto" w:fill="FFFFFF"/>
            <w:vAlign w:val="center"/>
          </w:tcPr>
          <w:p w14:paraId="4508024B" w14:textId="77777777" w:rsidR="00200D82" w:rsidRPr="00CF31E0" w:rsidRDefault="00200D82" w:rsidP="00CD755B">
            <w:pPr>
              <w:spacing w:before="120" w:after="120" w:line="360" w:lineRule="auto"/>
              <w:jc w:val="right"/>
              <w:rPr>
                <w:rFonts w:asciiTheme="majorBidi" w:eastAsia="Calibri" w:hAnsiTheme="majorBidi" w:cstheme="majorBidi"/>
                <w:color w:val="000000" w:themeColor="text1"/>
                <w:sz w:val="22"/>
                <w:szCs w:val="22"/>
                <w:lang w:eastAsia="en-US"/>
              </w:rPr>
            </w:pPr>
          </w:p>
        </w:tc>
        <w:tc>
          <w:tcPr>
            <w:tcW w:w="674" w:type="dxa"/>
            <w:tcBorders>
              <w:top w:val="nil"/>
            </w:tcBorders>
            <w:shd w:val="clear" w:color="auto" w:fill="FFFFFF"/>
            <w:vAlign w:val="center"/>
          </w:tcPr>
          <w:p w14:paraId="5F4CC745" w14:textId="77777777" w:rsidR="00200D82" w:rsidRPr="00CF31E0" w:rsidRDefault="00200D82" w:rsidP="00CD755B">
            <w:pPr>
              <w:spacing w:before="120" w:after="120" w:line="360" w:lineRule="auto"/>
              <w:jc w:val="right"/>
              <w:rPr>
                <w:rFonts w:asciiTheme="majorBidi" w:eastAsia="Calibri" w:hAnsiTheme="majorBidi" w:cstheme="majorBidi"/>
                <w:color w:val="000000" w:themeColor="text1"/>
                <w:sz w:val="22"/>
                <w:szCs w:val="22"/>
                <w:lang w:eastAsia="en-US"/>
              </w:rPr>
            </w:pPr>
          </w:p>
        </w:tc>
      </w:tr>
      <w:tr w:rsidR="00200D82" w:rsidRPr="00CF31E0" w14:paraId="10E13BBF" w14:textId="77777777" w:rsidTr="00CD755B">
        <w:trPr>
          <w:cantSplit/>
        </w:trPr>
        <w:tc>
          <w:tcPr>
            <w:tcW w:w="1736" w:type="dxa"/>
            <w:shd w:val="clear" w:color="auto" w:fill="FFFFFF"/>
          </w:tcPr>
          <w:p w14:paraId="5EE3C578"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631B7677" w14:textId="25C833CE" w:rsidR="00200D82" w:rsidRPr="00CF31E0" w:rsidRDefault="00200D82" w:rsidP="00CD755B">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lang w:eastAsia="en-US"/>
              </w:rPr>
              <w:t>946.923</w:t>
            </w:r>
          </w:p>
        </w:tc>
        <w:tc>
          <w:tcPr>
            <w:tcW w:w="820" w:type="dxa"/>
            <w:shd w:val="clear" w:color="auto" w:fill="FFFFFF"/>
            <w:vAlign w:val="center"/>
          </w:tcPr>
          <w:p w14:paraId="2F9CA652" w14:textId="73765921" w:rsidR="00200D82" w:rsidRPr="00CF31E0" w:rsidRDefault="00BC3BC3" w:rsidP="00CD755B">
            <w:pPr>
              <w:spacing w:before="120" w:after="120" w:line="360" w:lineRule="auto"/>
              <w:jc w:val="right"/>
              <w:rPr>
                <w:rFonts w:asciiTheme="majorBidi" w:eastAsia="Calibri" w:hAnsiTheme="majorBidi" w:cstheme="majorBidi"/>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27A571A1" w14:textId="77777777" w:rsidR="00200D82" w:rsidRPr="00CF31E0" w:rsidRDefault="00200D82" w:rsidP="00CD755B">
            <w:pPr>
              <w:spacing w:before="120" w:after="120" w:line="360" w:lineRule="auto"/>
              <w:jc w:val="right"/>
              <w:rPr>
                <w:rFonts w:asciiTheme="majorBidi" w:eastAsia="Calibri" w:hAnsiTheme="majorBidi" w:cstheme="majorBidi"/>
                <w:color w:val="000000" w:themeColor="text1"/>
                <w:sz w:val="22"/>
                <w:szCs w:val="22"/>
                <w:lang w:eastAsia="en-US"/>
              </w:rPr>
            </w:pPr>
          </w:p>
        </w:tc>
        <w:tc>
          <w:tcPr>
            <w:tcW w:w="1030" w:type="dxa"/>
            <w:shd w:val="clear" w:color="auto" w:fill="FFFFFF"/>
            <w:vAlign w:val="center"/>
          </w:tcPr>
          <w:p w14:paraId="1104FF2A" w14:textId="77777777" w:rsidR="00200D82" w:rsidRPr="00CF31E0" w:rsidRDefault="00200D82" w:rsidP="00CD755B">
            <w:pPr>
              <w:spacing w:before="120" w:after="120" w:line="360" w:lineRule="auto"/>
              <w:jc w:val="right"/>
              <w:rPr>
                <w:rFonts w:asciiTheme="majorBidi" w:eastAsia="Calibri" w:hAnsiTheme="majorBidi" w:cstheme="majorBidi"/>
                <w:color w:val="000000" w:themeColor="text1"/>
                <w:sz w:val="22"/>
                <w:szCs w:val="22"/>
                <w:lang w:eastAsia="en-US"/>
              </w:rPr>
            </w:pPr>
          </w:p>
        </w:tc>
        <w:tc>
          <w:tcPr>
            <w:tcW w:w="674" w:type="dxa"/>
            <w:shd w:val="clear" w:color="auto" w:fill="FFFFFF"/>
            <w:vAlign w:val="center"/>
          </w:tcPr>
          <w:p w14:paraId="07BDA14A" w14:textId="77777777" w:rsidR="00200D82" w:rsidRPr="00CF31E0" w:rsidRDefault="00200D82" w:rsidP="00CD755B">
            <w:pPr>
              <w:spacing w:before="120" w:after="120" w:line="360" w:lineRule="auto"/>
              <w:jc w:val="right"/>
              <w:rPr>
                <w:rFonts w:asciiTheme="majorBidi" w:eastAsia="Calibri" w:hAnsiTheme="majorBidi" w:cstheme="majorBidi"/>
                <w:color w:val="000000" w:themeColor="text1"/>
                <w:sz w:val="22"/>
                <w:szCs w:val="22"/>
                <w:lang w:eastAsia="en-US"/>
              </w:rPr>
            </w:pPr>
          </w:p>
        </w:tc>
      </w:tr>
    </w:tbl>
    <w:p w14:paraId="2BBDDA24" w14:textId="77777777" w:rsidR="00CD755B" w:rsidRPr="00CF31E0" w:rsidRDefault="00CD755B" w:rsidP="00CD755B">
      <w:pPr>
        <w:rPr>
          <w:rFonts w:asciiTheme="majorBidi" w:hAnsiTheme="majorBidi" w:cstheme="majorBidi"/>
          <w:b/>
          <w:bCs/>
          <w:color w:val="000000" w:themeColor="text1"/>
        </w:rPr>
      </w:pPr>
    </w:p>
    <w:p w14:paraId="42132E9D" w14:textId="77777777" w:rsidR="00CD755B" w:rsidRPr="00CF31E0" w:rsidRDefault="00CD755B" w:rsidP="00CD755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D755B" w:rsidRPr="00CF31E0" w14:paraId="1FB13B79" w14:textId="77777777" w:rsidTr="00CD755B">
        <w:trPr>
          <w:cantSplit/>
        </w:trPr>
        <w:tc>
          <w:tcPr>
            <w:tcW w:w="1736" w:type="dxa"/>
            <w:tcBorders>
              <w:top w:val="single" w:sz="8" w:space="0" w:color="auto"/>
              <w:bottom w:val="single" w:sz="6" w:space="0" w:color="auto"/>
            </w:tcBorders>
            <w:shd w:val="clear" w:color="auto" w:fill="FFFFFF"/>
            <w:vAlign w:val="bottom"/>
          </w:tcPr>
          <w:p w14:paraId="74F012AD"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Marital status</w:t>
            </w:r>
          </w:p>
        </w:tc>
        <w:tc>
          <w:tcPr>
            <w:tcW w:w="1686" w:type="dxa"/>
            <w:tcBorders>
              <w:top w:val="single" w:sz="8" w:space="0" w:color="auto"/>
              <w:bottom w:val="single" w:sz="6" w:space="0" w:color="auto"/>
            </w:tcBorders>
            <w:shd w:val="clear" w:color="auto" w:fill="FFFFFF"/>
            <w:vAlign w:val="bottom"/>
          </w:tcPr>
          <w:p w14:paraId="3909684A"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38F2B8DF"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52AB229F"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0A5BFEEA"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064EFF9F"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200D82" w:rsidRPr="00CF31E0" w14:paraId="7B6F7761" w14:textId="77777777" w:rsidTr="00CD755B">
        <w:trPr>
          <w:cantSplit/>
        </w:trPr>
        <w:tc>
          <w:tcPr>
            <w:tcW w:w="1736" w:type="dxa"/>
            <w:tcBorders>
              <w:top w:val="single" w:sz="6" w:space="0" w:color="auto"/>
              <w:bottom w:val="nil"/>
            </w:tcBorders>
            <w:shd w:val="clear" w:color="auto" w:fill="FFFFFF"/>
          </w:tcPr>
          <w:p w14:paraId="6D435A16"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4BE3E29F" w14:textId="522FC56B"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17.406</w:t>
            </w:r>
          </w:p>
        </w:tc>
        <w:tc>
          <w:tcPr>
            <w:tcW w:w="820" w:type="dxa"/>
            <w:tcBorders>
              <w:top w:val="single" w:sz="6" w:space="0" w:color="auto"/>
              <w:bottom w:val="nil"/>
            </w:tcBorders>
            <w:shd w:val="clear" w:color="auto" w:fill="FFFFFF"/>
            <w:vAlign w:val="center"/>
          </w:tcPr>
          <w:p w14:paraId="0079C582" w14:textId="0566FBD2"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3</w:t>
            </w:r>
          </w:p>
        </w:tc>
        <w:tc>
          <w:tcPr>
            <w:tcW w:w="1445" w:type="dxa"/>
            <w:tcBorders>
              <w:top w:val="single" w:sz="6" w:space="0" w:color="auto"/>
              <w:bottom w:val="nil"/>
            </w:tcBorders>
            <w:shd w:val="clear" w:color="auto" w:fill="FFFFFF"/>
            <w:vAlign w:val="center"/>
          </w:tcPr>
          <w:p w14:paraId="5A9AB43D" w14:textId="0FFBE2D2"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5.802</w:t>
            </w:r>
          </w:p>
        </w:tc>
        <w:tc>
          <w:tcPr>
            <w:tcW w:w="1030" w:type="dxa"/>
            <w:tcBorders>
              <w:top w:val="single" w:sz="6" w:space="0" w:color="auto"/>
              <w:bottom w:val="nil"/>
            </w:tcBorders>
            <w:shd w:val="clear" w:color="auto" w:fill="FFFFFF"/>
            <w:vAlign w:val="center"/>
          </w:tcPr>
          <w:p w14:paraId="7C0161D9" w14:textId="2C35BF59"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3.984</w:t>
            </w:r>
          </w:p>
        </w:tc>
        <w:tc>
          <w:tcPr>
            <w:tcW w:w="674" w:type="dxa"/>
            <w:tcBorders>
              <w:top w:val="single" w:sz="6" w:space="0" w:color="auto"/>
              <w:bottom w:val="nil"/>
            </w:tcBorders>
            <w:shd w:val="clear" w:color="auto" w:fill="FFFFFF"/>
            <w:vAlign w:val="center"/>
          </w:tcPr>
          <w:p w14:paraId="5C13B765" w14:textId="37F05E91"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.088</w:t>
            </w:r>
          </w:p>
        </w:tc>
      </w:tr>
      <w:tr w:rsidR="00200D82" w:rsidRPr="00CF31E0" w14:paraId="5C797115" w14:textId="77777777" w:rsidTr="00CD755B">
        <w:trPr>
          <w:cantSplit/>
        </w:trPr>
        <w:tc>
          <w:tcPr>
            <w:tcW w:w="1736" w:type="dxa"/>
            <w:tcBorders>
              <w:top w:val="nil"/>
            </w:tcBorders>
            <w:shd w:val="clear" w:color="auto" w:fill="FFFFFF"/>
          </w:tcPr>
          <w:p w14:paraId="7E43AE55"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0583FAE1" w14:textId="1C7D437B"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939.334</w:t>
            </w:r>
          </w:p>
        </w:tc>
        <w:tc>
          <w:tcPr>
            <w:tcW w:w="820" w:type="dxa"/>
            <w:tcBorders>
              <w:top w:val="nil"/>
            </w:tcBorders>
            <w:shd w:val="clear" w:color="auto" w:fill="FFFFFF"/>
            <w:vAlign w:val="center"/>
          </w:tcPr>
          <w:p w14:paraId="333C30ED" w14:textId="6B83BCF3"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645</w:t>
            </w:r>
          </w:p>
        </w:tc>
        <w:tc>
          <w:tcPr>
            <w:tcW w:w="1445" w:type="dxa"/>
            <w:tcBorders>
              <w:top w:val="nil"/>
            </w:tcBorders>
            <w:shd w:val="clear" w:color="auto" w:fill="FFFFFF"/>
            <w:vAlign w:val="center"/>
          </w:tcPr>
          <w:p w14:paraId="272DCDDD" w14:textId="5147C8DE"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1.456</w:t>
            </w:r>
          </w:p>
        </w:tc>
        <w:tc>
          <w:tcPr>
            <w:tcW w:w="1030" w:type="dxa"/>
            <w:tcBorders>
              <w:top w:val="nil"/>
            </w:tcBorders>
            <w:shd w:val="clear" w:color="auto" w:fill="FFFFFF"/>
            <w:vAlign w:val="center"/>
          </w:tcPr>
          <w:p w14:paraId="233F61FE"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519F046B"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r w:rsidR="00200D82" w:rsidRPr="00CF31E0" w14:paraId="067AA32A" w14:textId="77777777" w:rsidTr="00CD755B">
        <w:trPr>
          <w:cantSplit/>
        </w:trPr>
        <w:tc>
          <w:tcPr>
            <w:tcW w:w="1736" w:type="dxa"/>
            <w:shd w:val="clear" w:color="auto" w:fill="FFFFFF"/>
          </w:tcPr>
          <w:p w14:paraId="39F42844"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66B99949" w14:textId="5B07FEB4"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956.740</w:t>
            </w:r>
          </w:p>
        </w:tc>
        <w:tc>
          <w:tcPr>
            <w:tcW w:w="820" w:type="dxa"/>
            <w:shd w:val="clear" w:color="auto" w:fill="FFFFFF"/>
            <w:vAlign w:val="center"/>
          </w:tcPr>
          <w:p w14:paraId="793A6487" w14:textId="0696920A" w:rsidR="00200D82"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502F752B"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47AEE2A4"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1B397643"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bl>
    <w:p w14:paraId="29D225ED" w14:textId="77777777" w:rsidR="00CD755B" w:rsidRPr="00CF31E0" w:rsidRDefault="00CD755B" w:rsidP="00CD755B">
      <w:pPr>
        <w:rPr>
          <w:rFonts w:asciiTheme="majorBidi" w:hAnsiTheme="majorBidi" w:cstheme="majorBidi"/>
          <w:b/>
          <w:bCs/>
          <w:color w:val="000000" w:themeColor="text1"/>
        </w:rPr>
      </w:pPr>
    </w:p>
    <w:p w14:paraId="7E05BA41" w14:textId="77777777" w:rsidR="00CD755B" w:rsidRPr="00CF31E0" w:rsidRDefault="00CD755B" w:rsidP="00CD755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21"/>
        <w:gridCol w:w="1701"/>
        <w:gridCol w:w="820"/>
        <w:gridCol w:w="1445"/>
        <w:gridCol w:w="1030"/>
        <w:gridCol w:w="674"/>
      </w:tblGrid>
      <w:tr w:rsidR="00CD755B" w:rsidRPr="00CF31E0" w14:paraId="765FC850" w14:textId="77777777" w:rsidTr="00CD755B">
        <w:trPr>
          <w:cantSplit/>
        </w:trPr>
        <w:tc>
          <w:tcPr>
            <w:tcW w:w="1721" w:type="dxa"/>
            <w:tcBorders>
              <w:top w:val="single" w:sz="8" w:space="0" w:color="auto"/>
              <w:bottom w:val="single" w:sz="6" w:space="0" w:color="auto"/>
            </w:tcBorders>
            <w:shd w:val="clear" w:color="auto" w:fill="FFFFFF"/>
            <w:vAlign w:val="bottom"/>
          </w:tcPr>
          <w:p w14:paraId="3CC7428E"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Education</w:t>
            </w:r>
          </w:p>
        </w:tc>
        <w:tc>
          <w:tcPr>
            <w:tcW w:w="1701" w:type="dxa"/>
            <w:tcBorders>
              <w:top w:val="single" w:sz="8" w:space="0" w:color="auto"/>
              <w:bottom w:val="single" w:sz="6" w:space="0" w:color="auto"/>
            </w:tcBorders>
            <w:shd w:val="clear" w:color="auto" w:fill="FFFFFF"/>
            <w:vAlign w:val="bottom"/>
          </w:tcPr>
          <w:p w14:paraId="43510D7D"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177F4E54"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09EC9ECC"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594A703"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42D8130E"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200D82" w:rsidRPr="00CF31E0" w14:paraId="708FB6D2" w14:textId="77777777" w:rsidTr="00CD755B">
        <w:trPr>
          <w:cantSplit/>
        </w:trPr>
        <w:tc>
          <w:tcPr>
            <w:tcW w:w="1721" w:type="dxa"/>
            <w:tcBorders>
              <w:top w:val="single" w:sz="6" w:space="0" w:color="auto"/>
              <w:bottom w:val="nil"/>
            </w:tcBorders>
            <w:shd w:val="clear" w:color="auto" w:fill="FFFFFF"/>
          </w:tcPr>
          <w:p w14:paraId="5394A929"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701" w:type="dxa"/>
            <w:tcBorders>
              <w:top w:val="single" w:sz="6" w:space="0" w:color="auto"/>
              <w:bottom w:val="nil"/>
            </w:tcBorders>
            <w:shd w:val="clear" w:color="auto" w:fill="FFFFFF"/>
            <w:vAlign w:val="center"/>
          </w:tcPr>
          <w:p w14:paraId="092A6CBB" w14:textId="2BEA1AF3"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10.044</w:t>
            </w:r>
          </w:p>
        </w:tc>
        <w:tc>
          <w:tcPr>
            <w:tcW w:w="820" w:type="dxa"/>
            <w:tcBorders>
              <w:top w:val="single" w:sz="6" w:space="0" w:color="auto"/>
              <w:bottom w:val="nil"/>
            </w:tcBorders>
            <w:shd w:val="clear" w:color="auto" w:fill="FFFFFF"/>
            <w:vAlign w:val="center"/>
          </w:tcPr>
          <w:p w14:paraId="3B99E573" w14:textId="00E47C06"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5</w:t>
            </w:r>
          </w:p>
        </w:tc>
        <w:tc>
          <w:tcPr>
            <w:tcW w:w="1445" w:type="dxa"/>
            <w:tcBorders>
              <w:top w:val="single" w:sz="6" w:space="0" w:color="auto"/>
              <w:bottom w:val="nil"/>
            </w:tcBorders>
            <w:shd w:val="clear" w:color="auto" w:fill="FFFFFF"/>
            <w:vAlign w:val="center"/>
          </w:tcPr>
          <w:p w14:paraId="1A044A5E" w14:textId="5BA9A519"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2.009</w:t>
            </w:r>
          </w:p>
        </w:tc>
        <w:tc>
          <w:tcPr>
            <w:tcW w:w="1030" w:type="dxa"/>
            <w:tcBorders>
              <w:top w:val="single" w:sz="6" w:space="0" w:color="auto"/>
              <w:bottom w:val="nil"/>
            </w:tcBorders>
            <w:shd w:val="clear" w:color="auto" w:fill="FFFFFF"/>
            <w:vAlign w:val="center"/>
          </w:tcPr>
          <w:p w14:paraId="31A5A69B" w14:textId="3B8B34B9"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1.364</w:t>
            </w:r>
          </w:p>
        </w:tc>
        <w:tc>
          <w:tcPr>
            <w:tcW w:w="674" w:type="dxa"/>
            <w:tcBorders>
              <w:top w:val="single" w:sz="6" w:space="0" w:color="auto"/>
              <w:bottom w:val="nil"/>
            </w:tcBorders>
            <w:shd w:val="clear" w:color="auto" w:fill="FFFFFF"/>
            <w:vAlign w:val="center"/>
          </w:tcPr>
          <w:p w14:paraId="3AF55376" w14:textId="4E680EE3"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.236</w:t>
            </w:r>
          </w:p>
        </w:tc>
      </w:tr>
      <w:tr w:rsidR="00200D82" w:rsidRPr="00CF31E0" w14:paraId="67A9F7DB" w14:textId="77777777" w:rsidTr="00CD755B">
        <w:trPr>
          <w:cantSplit/>
        </w:trPr>
        <w:tc>
          <w:tcPr>
            <w:tcW w:w="1721" w:type="dxa"/>
            <w:tcBorders>
              <w:top w:val="nil"/>
            </w:tcBorders>
            <w:shd w:val="clear" w:color="auto" w:fill="FFFFFF"/>
          </w:tcPr>
          <w:p w14:paraId="54659824"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701" w:type="dxa"/>
            <w:tcBorders>
              <w:top w:val="nil"/>
            </w:tcBorders>
            <w:shd w:val="clear" w:color="auto" w:fill="FFFFFF"/>
            <w:vAlign w:val="center"/>
          </w:tcPr>
          <w:p w14:paraId="588A6EAD" w14:textId="44EDFC91"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946.695</w:t>
            </w:r>
          </w:p>
        </w:tc>
        <w:tc>
          <w:tcPr>
            <w:tcW w:w="820" w:type="dxa"/>
            <w:tcBorders>
              <w:top w:val="nil"/>
            </w:tcBorders>
            <w:shd w:val="clear" w:color="auto" w:fill="FFFFFF"/>
            <w:vAlign w:val="center"/>
          </w:tcPr>
          <w:p w14:paraId="51C4B545" w14:textId="6F66CFEC"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643</w:t>
            </w:r>
          </w:p>
        </w:tc>
        <w:tc>
          <w:tcPr>
            <w:tcW w:w="1445" w:type="dxa"/>
            <w:tcBorders>
              <w:top w:val="nil"/>
            </w:tcBorders>
            <w:shd w:val="clear" w:color="auto" w:fill="FFFFFF"/>
            <w:vAlign w:val="center"/>
          </w:tcPr>
          <w:p w14:paraId="026AEA6B" w14:textId="78BA5D54"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1.472</w:t>
            </w:r>
          </w:p>
        </w:tc>
        <w:tc>
          <w:tcPr>
            <w:tcW w:w="1030" w:type="dxa"/>
            <w:tcBorders>
              <w:top w:val="nil"/>
            </w:tcBorders>
            <w:shd w:val="clear" w:color="auto" w:fill="FFFFFF"/>
            <w:vAlign w:val="center"/>
          </w:tcPr>
          <w:p w14:paraId="5AAFAFE2"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20FB66F8"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r w:rsidR="00200D82" w:rsidRPr="00CF31E0" w14:paraId="158A7D59" w14:textId="77777777" w:rsidTr="00CD755B">
        <w:trPr>
          <w:cantSplit/>
        </w:trPr>
        <w:tc>
          <w:tcPr>
            <w:tcW w:w="1721" w:type="dxa"/>
            <w:shd w:val="clear" w:color="auto" w:fill="FFFFFF"/>
          </w:tcPr>
          <w:p w14:paraId="7E967C7F"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701" w:type="dxa"/>
            <w:shd w:val="clear" w:color="auto" w:fill="FFFFFF"/>
            <w:vAlign w:val="center"/>
          </w:tcPr>
          <w:p w14:paraId="6E332293" w14:textId="02AE534A"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956.740</w:t>
            </w:r>
          </w:p>
        </w:tc>
        <w:tc>
          <w:tcPr>
            <w:tcW w:w="820" w:type="dxa"/>
            <w:shd w:val="clear" w:color="auto" w:fill="FFFFFF"/>
            <w:vAlign w:val="center"/>
          </w:tcPr>
          <w:p w14:paraId="3AC246C8" w14:textId="4CDCE337" w:rsidR="00200D82"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4A22375B"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1DB26997"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60897CED"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bl>
    <w:p w14:paraId="7CF76C5C" w14:textId="77777777" w:rsidR="00CD755B" w:rsidRPr="00CF31E0" w:rsidRDefault="00CD755B" w:rsidP="00CD755B">
      <w:pPr>
        <w:rPr>
          <w:rFonts w:asciiTheme="majorBidi" w:hAnsiTheme="majorBidi" w:cstheme="majorBidi"/>
          <w:b/>
          <w:bCs/>
          <w:color w:val="000000" w:themeColor="text1"/>
        </w:rPr>
      </w:pPr>
    </w:p>
    <w:p w14:paraId="75F40E14" w14:textId="77777777" w:rsidR="00200D82" w:rsidRPr="00CF31E0" w:rsidRDefault="00200D82" w:rsidP="00CD755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D755B" w:rsidRPr="00CF31E0" w14:paraId="1A4A6DFF" w14:textId="77777777" w:rsidTr="00CD755B">
        <w:trPr>
          <w:cantSplit/>
        </w:trPr>
        <w:tc>
          <w:tcPr>
            <w:tcW w:w="1736" w:type="dxa"/>
            <w:tcBorders>
              <w:top w:val="single" w:sz="8" w:space="0" w:color="auto"/>
              <w:bottom w:val="single" w:sz="6" w:space="0" w:color="auto"/>
            </w:tcBorders>
            <w:shd w:val="clear" w:color="auto" w:fill="FFFFFF"/>
            <w:vAlign w:val="bottom"/>
          </w:tcPr>
          <w:p w14:paraId="4BA9F1CE"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Social group</w:t>
            </w:r>
          </w:p>
        </w:tc>
        <w:tc>
          <w:tcPr>
            <w:tcW w:w="1686" w:type="dxa"/>
            <w:tcBorders>
              <w:top w:val="single" w:sz="8" w:space="0" w:color="auto"/>
              <w:bottom w:val="single" w:sz="6" w:space="0" w:color="auto"/>
            </w:tcBorders>
            <w:shd w:val="clear" w:color="auto" w:fill="FFFFFF"/>
            <w:vAlign w:val="bottom"/>
          </w:tcPr>
          <w:p w14:paraId="51AE4034"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24E1F8F6"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0C18C8B1"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2DD7E12E"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4DE66200"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200D82" w:rsidRPr="00CF31E0" w14:paraId="7784570A" w14:textId="77777777" w:rsidTr="00CD755B">
        <w:trPr>
          <w:cantSplit/>
        </w:trPr>
        <w:tc>
          <w:tcPr>
            <w:tcW w:w="1736" w:type="dxa"/>
            <w:tcBorders>
              <w:top w:val="single" w:sz="6" w:space="0" w:color="auto"/>
              <w:bottom w:val="nil"/>
            </w:tcBorders>
            <w:shd w:val="clear" w:color="auto" w:fill="FFFFFF"/>
          </w:tcPr>
          <w:p w14:paraId="346A9ADE"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78C3F835" w14:textId="76B28E1D"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.014</w:t>
            </w:r>
          </w:p>
        </w:tc>
        <w:tc>
          <w:tcPr>
            <w:tcW w:w="820" w:type="dxa"/>
            <w:tcBorders>
              <w:top w:val="single" w:sz="6" w:space="0" w:color="auto"/>
              <w:bottom w:val="nil"/>
            </w:tcBorders>
            <w:shd w:val="clear" w:color="auto" w:fill="FFFFFF"/>
            <w:vAlign w:val="center"/>
          </w:tcPr>
          <w:p w14:paraId="111606FD" w14:textId="78267614"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w:t>
            </w:r>
          </w:p>
        </w:tc>
        <w:tc>
          <w:tcPr>
            <w:tcW w:w="1445" w:type="dxa"/>
            <w:tcBorders>
              <w:top w:val="single" w:sz="6" w:space="0" w:color="auto"/>
              <w:bottom w:val="nil"/>
            </w:tcBorders>
            <w:shd w:val="clear" w:color="auto" w:fill="FFFFFF"/>
            <w:vAlign w:val="center"/>
          </w:tcPr>
          <w:p w14:paraId="1516C372" w14:textId="1601EBCB"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.014</w:t>
            </w:r>
          </w:p>
        </w:tc>
        <w:tc>
          <w:tcPr>
            <w:tcW w:w="1030" w:type="dxa"/>
            <w:tcBorders>
              <w:top w:val="single" w:sz="6" w:space="0" w:color="auto"/>
              <w:bottom w:val="nil"/>
            </w:tcBorders>
            <w:shd w:val="clear" w:color="auto" w:fill="FFFFFF"/>
            <w:vAlign w:val="center"/>
          </w:tcPr>
          <w:p w14:paraId="2554B459" w14:textId="69038F3D"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.010</w:t>
            </w:r>
          </w:p>
        </w:tc>
        <w:tc>
          <w:tcPr>
            <w:tcW w:w="674" w:type="dxa"/>
            <w:tcBorders>
              <w:top w:val="single" w:sz="6" w:space="0" w:color="auto"/>
              <w:bottom w:val="nil"/>
            </w:tcBorders>
            <w:shd w:val="clear" w:color="auto" w:fill="FFFFFF"/>
            <w:vAlign w:val="center"/>
          </w:tcPr>
          <w:p w14:paraId="3D977C32" w14:textId="7BA098B8"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.922</w:t>
            </w:r>
          </w:p>
        </w:tc>
      </w:tr>
      <w:tr w:rsidR="00200D82" w:rsidRPr="00CF31E0" w14:paraId="3AF717B3" w14:textId="77777777" w:rsidTr="00CD755B">
        <w:trPr>
          <w:cantSplit/>
        </w:trPr>
        <w:tc>
          <w:tcPr>
            <w:tcW w:w="1736" w:type="dxa"/>
            <w:tcBorders>
              <w:top w:val="nil"/>
            </w:tcBorders>
            <w:shd w:val="clear" w:color="auto" w:fill="FFFFFF"/>
          </w:tcPr>
          <w:p w14:paraId="2B0C0269"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06C53FA7" w14:textId="08325A02"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956.726</w:t>
            </w:r>
          </w:p>
        </w:tc>
        <w:tc>
          <w:tcPr>
            <w:tcW w:w="820" w:type="dxa"/>
            <w:tcBorders>
              <w:top w:val="nil"/>
            </w:tcBorders>
            <w:shd w:val="clear" w:color="auto" w:fill="FFFFFF"/>
            <w:vAlign w:val="center"/>
          </w:tcPr>
          <w:p w14:paraId="5827A469" w14:textId="1C6F8198"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647</w:t>
            </w:r>
          </w:p>
        </w:tc>
        <w:tc>
          <w:tcPr>
            <w:tcW w:w="1445" w:type="dxa"/>
            <w:tcBorders>
              <w:top w:val="nil"/>
            </w:tcBorders>
            <w:shd w:val="clear" w:color="auto" w:fill="FFFFFF"/>
            <w:vAlign w:val="center"/>
          </w:tcPr>
          <w:p w14:paraId="03DB3993" w14:textId="2276DC3D"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1.479</w:t>
            </w:r>
          </w:p>
        </w:tc>
        <w:tc>
          <w:tcPr>
            <w:tcW w:w="1030" w:type="dxa"/>
            <w:tcBorders>
              <w:top w:val="nil"/>
            </w:tcBorders>
            <w:shd w:val="clear" w:color="auto" w:fill="FFFFFF"/>
            <w:vAlign w:val="center"/>
          </w:tcPr>
          <w:p w14:paraId="0C3C5F53"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032198FF"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r w:rsidR="00200D82" w:rsidRPr="00CF31E0" w14:paraId="385C44C0" w14:textId="77777777" w:rsidTr="00CD755B">
        <w:trPr>
          <w:cantSplit/>
        </w:trPr>
        <w:tc>
          <w:tcPr>
            <w:tcW w:w="1736" w:type="dxa"/>
            <w:shd w:val="clear" w:color="auto" w:fill="FFFFFF"/>
          </w:tcPr>
          <w:p w14:paraId="3454F630"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3A7556D8" w14:textId="28745F92"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956.740</w:t>
            </w:r>
          </w:p>
        </w:tc>
        <w:tc>
          <w:tcPr>
            <w:tcW w:w="820" w:type="dxa"/>
            <w:shd w:val="clear" w:color="auto" w:fill="FFFFFF"/>
            <w:vAlign w:val="center"/>
          </w:tcPr>
          <w:p w14:paraId="42917A47" w14:textId="608F1A11" w:rsidR="00200D82"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620CDF84"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22E7B01C"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2D5BDDE4"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bl>
    <w:p w14:paraId="46C65A2F" w14:textId="77777777" w:rsidR="00CD755B" w:rsidRPr="00CF31E0" w:rsidRDefault="00CD755B" w:rsidP="00CD755B">
      <w:pPr>
        <w:rPr>
          <w:rFonts w:asciiTheme="majorBidi" w:hAnsiTheme="majorBidi" w:cstheme="majorBidi"/>
          <w:b/>
          <w:bCs/>
          <w:color w:val="000000" w:themeColor="text1"/>
        </w:rPr>
      </w:pPr>
    </w:p>
    <w:p w14:paraId="427E8E26" w14:textId="77777777" w:rsidR="00CD755B" w:rsidRPr="00CF31E0" w:rsidRDefault="00CD755B" w:rsidP="00CD755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D755B" w:rsidRPr="00CF31E0" w14:paraId="7FBABC98" w14:textId="77777777" w:rsidTr="00CD755B">
        <w:trPr>
          <w:cantSplit/>
        </w:trPr>
        <w:tc>
          <w:tcPr>
            <w:tcW w:w="1736" w:type="dxa"/>
            <w:tcBorders>
              <w:top w:val="single" w:sz="8" w:space="0" w:color="auto"/>
              <w:bottom w:val="single" w:sz="6" w:space="0" w:color="auto"/>
            </w:tcBorders>
            <w:shd w:val="clear" w:color="auto" w:fill="FFFFFF"/>
            <w:vAlign w:val="bottom"/>
          </w:tcPr>
          <w:p w14:paraId="0C200FD0"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Mother’s social group</w:t>
            </w:r>
          </w:p>
        </w:tc>
        <w:tc>
          <w:tcPr>
            <w:tcW w:w="1686" w:type="dxa"/>
            <w:tcBorders>
              <w:top w:val="single" w:sz="8" w:space="0" w:color="auto"/>
              <w:bottom w:val="single" w:sz="6" w:space="0" w:color="auto"/>
            </w:tcBorders>
            <w:shd w:val="clear" w:color="auto" w:fill="FFFFFF"/>
            <w:vAlign w:val="bottom"/>
          </w:tcPr>
          <w:p w14:paraId="450B6765"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618A5672"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13233B91"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49B0EF95"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23E41307"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200D82" w:rsidRPr="00CF31E0" w14:paraId="2EECF5BF" w14:textId="77777777" w:rsidTr="00CD755B">
        <w:trPr>
          <w:cantSplit/>
        </w:trPr>
        <w:tc>
          <w:tcPr>
            <w:tcW w:w="1736" w:type="dxa"/>
            <w:tcBorders>
              <w:top w:val="single" w:sz="6" w:space="0" w:color="auto"/>
              <w:bottom w:val="nil"/>
            </w:tcBorders>
            <w:shd w:val="clear" w:color="auto" w:fill="FFFFFF"/>
          </w:tcPr>
          <w:p w14:paraId="39E2173E"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31A28150" w14:textId="74B931D9"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1.461</w:t>
            </w:r>
          </w:p>
        </w:tc>
        <w:tc>
          <w:tcPr>
            <w:tcW w:w="820" w:type="dxa"/>
            <w:tcBorders>
              <w:top w:val="single" w:sz="6" w:space="0" w:color="auto"/>
              <w:bottom w:val="nil"/>
            </w:tcBorders>
            <w:shd w:val="clear" w:color="auto" w:fill="FFFFFF"/>
            <w:vAlign w:val="center"/>
          </w:tcPr>
          <w:p w14:paraId="4247A118" w14:textId="26C5193B"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2</w:t>
            </w:r>
          </w:p>
        </w:tc>
        <w:tc>
          <w:tcPr>
            <w:tcW w:w="1445" w:type="dxa"/>
            <w:tcBorders>
              <w:top w:val="single" w:sz="6" w:space="0" w:color="auto"/>
              <w:bottom w:val="nil"/>
            </w:tcBorders>
            <w:shd w:val="clear" w:color="auto" w:fill="FFFFFF"/>
            <w:vAlign w:val="center"/>
          </w:tcPr>
          <w:p w14:paraId="50FBF70D" w14:textId="41246EC3"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.731</w:t>
            </w:r>
          </w:p>
        </w:tc>
        <w:tc>
          <w:tcPr>
            <w:tcW w:w="1030" w:type="dxa"/>
            <w:tcBorders>
              <w:top w:val="single" w:sz="6" w:space="0" w:color="auto"/>
              <w:bottom w:val="nil"/>
            </w:tcBorders>
            <w:shd w:val="clear" w:color="auto" w:fill="FFFFFF"/>
            <w:vAlign w:val="center"/>
          </w:tcPr>
          <w:p w14:paraId="6D4185B0" w14:textId="564A7D1B"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.493</w:t>
            </w:r>
          </w:p>
        </w:tc>
        <w:tc>
          <w:tcPr>
            <w:tcW w:w="674" w:type="dxa"/>
            <w:tcBorders>
              <w:top w:val="single" w:sz="6" w:space="0" w:color="auto"/>
              <w:bottom w:val="nil"/>
            </w:tcBorders>
            <w:shd w:val="clear" w:color="auto" w:fill="FFFFFF"/>
            <w:vAlign w:val="center"/>
          </w:tcPr>
          <w:p w14:paraId="05B29439" w14:textId="735F8FBC"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.611</w:t>
            </w:r>
          </w:p>
        </w:tc>
      </w:tr>
      <w:tr w:rsidR="00200D82" w:rsidRPr="00CF31E0" w14:paraId="4963BB07" w14:textId="77777777" w:rsidTr="00CD755B">
        <w:trPr>
          <w:cantSplit/>
        </w:trPr>
        <w:tc>
          <w:tcPr>
            <w:tcW w:w="1736" w:type="dxa"/>
            <w:tcBorders>
              <w:top w:val="nil"/>
            </w:tcBorders>
            <w:shd w:val="clear" w:color="auto" w:fill="FFFFFF"/>
          </w:tcPr>
          <w:p w14:paraId="539C6C37"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32F04CED" w14:textId="65F5BFAD"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955.278</w:t>
            </w:r>
          </w:p>
        </w:tc>
        <w:tc>
          <w:tcPr>
            <w:tcW w:w="820" w:type="dxa"/>
            <w:tcBorders>
              <w:top w:val="nil"/>
            </w:tcBorders>
            <w:shd w:val="clear" w:color="auto" w:fill="FFFFFF"/>
            <w:vAlign w:val="center"/>
          </w:tcPr>
          <w:p w14:paraId="47C3FCDC" w14:textId="3BC9FABB"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645</w:t>
            </w:r>
          </w:p>
        </w:tc>
        <w:tc>
          <w:tcPr>
            <w:tcW w:w="1445" w:type="dxa"/>
            <w:tcBorders>
              <w:top w:val="nil"/>
            </w:tcBorders>
            <w:shd w:val="clear" w:color="auto" w:fill="FFFFFF"/>
            <w:vAlign w:val="center"/>
          </w:tcPr>
          <w:p w14:paraId="44C858D1" w14:textId="20B799EC"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1.481</w:t>
            </w:r>
          </w:p>
        </w:tc>
        <w:tc>
          <w:tcPr>
            <w:tcW w:w="1030" w:type="dxa"/>
            <w:tcBorders>
              <w:top w:val="nil"/>
            </w:tcBorders>
            <w:shd w:val="clear" w:color="auto" w:fill="FFFFFF"/>
            <w:vAlign w:val="center"/>
          </w:tcPr>
          <w:p w14:paraId="55041C0C"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19B4D533"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r w:rsidR="00200D82" w:rsidRPr="00CF31E0" w14:paraId="395CE66A" w14:textId="77777777" w:rsidTr="00CD755B">
        <w:trPr>
          <w:cantSplit/>
        </w:trPr>
        <w:tc>
          <w:tcPr>
            <w:tcW w:w="1736" w:type="dxa"/>
            <w:shd w:val="clear" w:color="auto" w:fill="FFFFFF"/>
          </w:tcPr>
          <w:p w14:paraId="120AC98C"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42E2B6B5" w14:textId="01EDCEA1"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956.739</w:t>
            </w:r>
          </w:p>
        </w:tc>
        <w:tc>
          <w:tcPr>
            <w:tcW w:w="820" w:type="dxa"/>
            <w:shd w:val="clear" w:color="auto" w:fill="FFFFFF"/>
            <w:vAlign w:val="center"/>
          </w:tcPr>
          <w:p w14:paraId="0E881619" w14:textId="184AE11D" w:rsidR="00200D82"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15C4767B"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2D020568"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41962D84"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bl>
    <w:p w14:paraId="3C003298" w14:textId="77777777" w:rsidR="00CD755B" w:rsidRPr="00CF31E0" w:rsidRDefault="00CD755B" w:rsidP="00CD755B">
      <w:pPr>
        <w:rPr>
          <w:rFonts w:asciiTheme="majorBidi" w:hAnsiTheme="majorBidi" w:cstheme="majorBidi"/>
          <w:b/>
          <w:bCs/>
          <w:color w:val="000000" w:themeColor="text1"/>
        </w:rPr>
      </w:pPr>
    </w:p>
    <w:p w14:paraId="6EA1D2FF" w14:textId="77777777" w:rsidR="00CD755B" w:rsidRPr="00CF31E0" w:rsidRDefault="00CD755B" w:rsidP="00CD755B">
      <w:pPr>
        <w:rPr>
          <w:rFonts w:asciiTheme="majorBidi" w:hAnsiTheme="majorBidi" w:cstheme="majorBidi"/>
          <w:b/>
          <w:bCs/>
          <w:color w:val="000000" w:themeColor="text1"/>
        </w:rPr>
      </w:pPr>
    </w:p>
    <w:p w14:paraId="3B01ED0C" w14:textId="77777777" w:rsidR="00674195" w:rsidRPr="00CF31E0" w:rsidRDefault="00674195" w:rsidP="00CD755B">
      <w:pPr>
        <w:rPr>
          <w:rFonts w:asciiTheme="majorBidi" w:hAnsiTheme="majorBidi" w:cstheme="majorBidi"/>
          <w:b/>
          <w:bCs/>
          <w:color w:val="000000" w:themeColor="text1"/>
        </w:rPr>
      </w:pPr>
    </w:p>
    <w:tbl>
      <w:tblPr>
        <w:tblW w:w="7391" w:type="dxa"/>
        <w:tblInd w:w="-20" w:type="dxa"/>
        <w:tblBorders>
          <w:top w:val="single" w:sz="8" w:space="0" w:color="auto"/>
          <w:bottom w:val="single" w:sz="8" w:space="0" w:color="auto"/>
        </w:tblBorders>
        <w:tblLayout w:type="fixed"/>
        <w:tblCellMar>
          <w:left w:w="0" w:type="dxa"/>
          <w:right w:w="0" w:type="dxa"/>
        </w:tblCellMar>
        <w:tblLook w:val="0000" w:firstRow="0" w:lastRow="0" w:firstColumn="0" w:lastColumn="0" w:noHBand="0" w:noVBand="0"/>
      </w:tblPr>
      <w:tblGrid>
        <w:gridCol w:w="1736"/>
        <w:gridCol w:w="1686"/>
        <w:gridCol w:w="820"/>
        <w:gridCol w:w="1445"/>
        <w:gridCol w:w="1030"/>
        <w:gridCol w:w="674"/>
      </w:tblGrid>
      <w:tr w:rsidR="00CD755B" w:rsidRPr="00CF31E0" w14:paraId="78970D64" w14:textId="77777777" w:rsidTr="00CD755B">
        <w:trPr>
          <w:cantSplit/>
        </w:trPr>
        <w:tc>
          <w:tcPr>
            <w:tcW w:w="1736" w:type="dxa"/>
            <w:tcBorders>
              <w:top w:val="single" w:sz="8" w:space="0" w:color="auto"/>
              <w:bottom w:val="single" w:sz="6" w:space="0" w:color="auto"/>
            </w:tcBorders>
            <w:shd w:val="clear" w:color="auto" w:fill="FFFFFF"/>
            <w:vAlign w:val="bottom"/>
          </w:tcPr>
          <w:p w14:paraId="54F02063" w14:textId="77777777" w:rsidR="00CD755B" w:rsidRPr="00CF31E0" w:rsidRDefault="00CD755B"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lastRenderedPageBreak/>
              <w:t>Spouse’s social group</w:t>
            </w:r>
          </w:p>
        </w:tc>
        <w:tc>
          <w:tcPr>
            <w:tcW w:w="1686" w:type="dxa"/>
            <w:tcBorders>
              <w:top w:val="single" w:sz="8" w:space="0" w:color="auto"/>
              <w:bottom w:val="single" w:sz="6" w:space="0" w:color="auto"/>
            </w:tcBorders>
            <w:shd w:val="clear" w:color="auto" w:fill="FFFFFF"/>
            <w:vAlign w:val="bottom"/>
          </w:tcPr>
          <w:p w14:paraId="1B174C0F"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Sum of Squares</w:t>
            </w:r>
          </w:p>
        </w:tc>
        <w:tc>
          <w:tcPr>
            <w:tcW w:w="820" w:type="dxa"/>
            <w:tcBorders>
              <w:top w:val="single" w:sz="8" w:space="0" w:color="auto"/>
              <w:bottom w:val="single" w:sz="6" w:space="0" w:color="auto"/>
            </w:tcBorders>
            <w:shd w:val="clear" w:color="auto" w:fill="FFFFFF"/>
            <w:vAlign w:val="bottom"/>
          </w:tcPr>
          <w:p w14:paraId="67CDA9F9"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df</w:t>
            </w:r>
          </w:p>
        </w:tc>
        <w:tc>
          <w:tcPr>
            <w:tcW w:w="1445" w:type="dxa"/>
            <w:tcBorders>
              <w:top w:val="single" w:sz="8" w:space="0" w:color="auto"/>
              <w:bottom w:val="single" w:sz="6" w:space="0" w:color="auto"/>
            </w:tcBorders>
            <w:shd w:val="clear" w:color="auto" w:fill="FFFFFF"/>
            <w:vAlign w:val="bottom"/>
          </w:tcPr>
          <w:p w14:paraId="57FE9D15"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Mean Square</w:t>
            </w:r>
          </w:p>
        </w:tc>
        <w:tc>
          <w:tcPr>
            <w:tcW w:w="1030" w:type="dxa"/>
            <w:tcBorders>
              <w:top w:val="single" w:sz="8" w:space="0" w:color="auto"/>
              <w:bottom w:val="single" w:sz="6" w:space="0" w:color="auto"/>
            </w:tcBorders>
            <w:shd w:val="clear" w:color="auto" w:fill="FFFFFF"/>
            <w:vAlign w:val="bottom"/>
          </w:tcPr>
          <w:p w14:paraId="5DDD107C"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F</w:t>
            </w:r>
          </w:p>
        </w:tc>
        <w:tc>
          <w:tcPr>
            <w:tcW w:w="674" w:type="dxa"/>
            <w:tcBorders>
              <w:top w:val="single" w:sz="8" w:space="0" w:color="auto"/>
              <w:bottom w:val="single" w:sz="6" w:space="0" w:color="auto"/>
            </w:tcBorders>
            <w:shd w:val="clear" w:color="auto" w:fill="FFFFFF"/>
            <w:vAlign w:val="bottom"/>
          </w:tcPr>
          <w:p w14:paraId="04CE476F" w14:textId="77777777" w:rsidR="00CD755B" w:rsidRPr="00CF31E0" w:rsidRDefault="00CD755B" w:rsidP="00CD755B">
            <w:pPr>
              <w:spacing w:before="120" w:after="120" w:line="360" w:lineRule="auto"/>
              <w:jc w:val="right"/>
              <w:rPr>
                <w:rFonts w:eastAsia="Calibri" w:cs="Arial"/>
                <w:color w:val="000000" w:themeColor="text1"/>
                <w:sz w:val="22"/>
                <w:szCs w:val="22"/>
                <w:lang w:eastAsia="en-US"/>
              </w:rPr>
            </w:pPr>
            <w:r w:rsidRPr="00CF31E0">
              <w:rPr>
                <w:rFonts w:eastAsia="Calibri" w:cs="Arial"/>
                <w:color w:val="000000" w:themeColor="text1"/>
                <w:sz w:val="22"/>
                <w:szCs w:val="22"/>
                <w:lang w:eastAsia="en-US"/>
              </w:rPr>
              <w:t>Sig.</w:t>
            </w:r>
          </w:p>
        </w:tc>
      </w:tr>
      <w:tr w:rsidR="00200D82" w:rsidRPr="00CF31E0" w14:paraId="13B95F33" w14:textId="77777777" w:rsidTr="00CD755B">
        <w:trPr>
          <w:cantSplit/>
        </w:trPr>
        <w:tc>
          <w:tcPr>
            <w:tcW w:w="1736" w:type="dxa"/>
            <w:tcBorders>
              <w:top w:val="single" w:sz="6" w:space="0" w:color="auto"/>
              <w:bottom w:val="nil"/>
            </w:tcBorders>
            <w:shd w:val="clear" w:color="auto" w:fill="FFFFFF"/>
          </w:tcPr>
          <w:p w14:paraId="55E9ABA4"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Between Groups</w:t>
            </w:r>
          </w:p>
        </w:tc>
        <w:tc>
          <w:tcPr>
            <w:tcW w:w="1686" w:type="dxa"/>
            <w:tcBorders>
              <w:top w:val="single" w:sz="6" w:space="0" w:color="auto"/>
              <w:bottom w:val="nil"/>
            </w:tcBorders>
            <w:shd w:val="clear" w:color="auto" w:fill="FFFFFF"/>
            <w:vAlign w:val="center"/>
          </w:tcPr>
          <w:p w14:paraId="006A853A" w14:textId="52A61C7B"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11.958</w:t>
            </w:r>
          </w:p>
        </w:tc>
        <w:tc>
          <w:tcPr>
            <w:tcW w:w="820" w:type="dxa"/>
            <w:tcBorders>
              <w:top w:val="single" w:sz="6" w:space="0" w:color="auto"/>
              <w:bottom w:val="nil"/>
            </w:tcBorders>
            <w:shd w:val="clear" w:color="auto" w:fill="FFFFFF"/>
            <w:vAlign w:val="center"/>
          </w:tcPr>
          <w:p w14:paraId="1185C2F6" w14:textId="09455C51"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4</w:t>
            </w:r>
          </w:p>
        </w:tc>
        <w:tc>
          <w:tcPr>
            <w:tcW w:w="1445" w:type="dxa"/>
            <w:tcBorders>
              <w:top w:val="single" w:sz="6" w:space="0" w:color="auto"/>
              <w:bottom w:val="nil"/>
            </w:tcBorders>
            <w:shd w:val="clear" w:color="auto" w:fill="FFFFFF"/>
            <w:vAlign w:val="center"/>
          </w:tcPr>
          <w:p w14:paraId="53951662" w14:textId="41E4BA67"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2.989</w:t>
            </w:r>
          </w:p>
        </w:tc>
        <w:tc>
          <w:tcPr>
            <w:tcW w:w="1030" w:type="dxa"/>
            <w:tcBorders>
              <w:top w:val="single" w:sz="6" w:space="0" w:color="auto"/>
              <w:bottom w:val="nil"/>
            </w:tcBorders>
            <w:shd w:val="clear" w:color="auto" w:fill="FFFFFF"/>
            <w:vAlign w:val="center"/>
          </w:tcPr>
          <w:p w14:paraId="198889BB" w14:textId="06D647C2"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2.051</w:t>
            </w:r>
          </w:p>
        </w:tc>
        <w:tc>
          <w:tcPr>
            <w:tcW w:w="674" w:type="dxa"/>
            <w:tcBorders>
              <w:top w:val="single" w:sz="6" w:space="0" w:color="auto"/>
              <w:bottom w:val="nil"/>
            </w:tcBorders>
            <w:shd w:val="clear" w:color="auto" w:fill="FFFFFF"/>
            <w:vAlign w:val="center"/>
          </w:tcPr>
          <w:p w14:paraId="261877D1" w14:textId="33C68F06"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.086</w:t>
            </w:r>
          </w:p>
        </w:tc>
      </w:tr>
      <w:tr w:rsidR="00200D82" w:rsidRPr="00CF31E0" w14:paraId="57ACDE40" w14:textId="77777777" w:rsidTr="00CD755B">
        <w:trPr>
          <w:cantSplit/>
        </w:trPr>
        <w:tc>
          <w:tcPr>
            <w:tcW w:w="1736" w:type="dxa"/>
            <w:tcBorders>
              <w:top w:val="nil"/>
            </w:tcBorders>
            <w:shd w:val="clear" w:color="auto" w:fill="FFFFFF"/>
          </w:tcPr>
          <w:p w14:paraId="4985EBF0"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Within Groups</w:t>
            </w:r>
          </w:p>
        </w:tc>
        <w:tc>
          <w:tcPr>
            <w:tcW w:w="1686" w:type="dxa"/>
            <w:tcBorders>
              <w:top w:val="nil"/>
            </w:tcBorders>
            <w:shd w:val="clear" w:color="auto" w:fill="FFFFFF"/>
            <w:vAlign w:val="center"/>
          </w:tcPr>
          <w:p w14:paraId="31B929CF" w14:textId="68142359"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932.855</w:t>
            </w:r>
          </w:p>
        </w:tc>
        <w:tc>
          <w:tcPr>
            <w:tcW w:w="820" w:type="dxa"/>
            <w:tcBorders>
              <w:top w:val="nil"/>
            </w:tcBorders>
            <w:shd w:val="clear" w:color="auto" w:fill="FFFFFF"/>
            <w:vAlign w:val="center"/>
          </w:tcPr>
          <w:p w14:paraId="2785B8F3" w14:textId="0F2E51AB"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640</w:t>
            </w:r>
          </w:p>
        </w:tc>
        <w:tc>
          <w:tcPr>
            <w:tcW w:w="1445" w:type="dxa"/>
            <w:tcBorders>
              <w:top w:val="nil"/>
            </w:tcBorders>
            <w:shd w:val="clear" w:color="auto" w:fill="FFFFFF"/>
            <w:vAlign w:val="center"/>
          </w:tcPr>
          <w:p w14:paraId="50151872" w14:textId="3686687E"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1.458</w:t>
            </w:r>
          </w:p>
        </w:tc>
        <w:tc>
          <w:tcPr>
            <w:tcW w:w="1030" w:type="dxa"/>
            <w:tcBorders>
              <w:top w:val="nil"/>
            </w:tcBorders>
            <w:shd w:val="clear" w:color="auto" w:fill="FFFFFF"/>
            <w:vAlign w:val="center"/>
          </w:tcPr>
          <w:p w14:paraId="5457A2E8"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tcBorders>
              <w:top w:val="nil"/>
            </w:tcBorders>
            <w:shd w:val="clear" w:color="auto" w:fill="FFFFFF"/>
            <w:vAlign w:val="center"/>
          </w:tcPr>
          <w:p w14:paraId="411181C9"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r w:rsidR="00200D82" w:rsidRPr="00CF31E0" w14:paraId="61F843D7" w14:textId="77777777" w:rsidTr="00CD755B">
        <w:trPr>
          <w:cantSplit/>
        </w:trPr>
        <w:tc>
          <w:tcPr>
            <w:tcW w:w="1736" w:type="dxa"/>
            <w:shd w:val="clear" w:color="auto" w:fill="FFFFFF"/>
          </w:tcPr>
          <w:p w14:paraId="1DD71C1D" w14:textId="77777777" w:rsidR="00200D82" w:rsidRPr="00CF31E0" w:rsidRDefault="00200D82" w:rsidP="00CD755B">
            <w:pPr>
              <w:spacing w:before="120" w:after="120" w:line="360" w:lineRule="auto"/>
              <w:rPr>
                <w:rFonts w:eastAsia="Calibri" w:cs="Arial"/>
                <w:color w:val="000000" w:themeColor="text1"/>
                <w:sz w:val="22"/>
                <w:szCs w:val="22"/>
                <w:lang w:eastAsia="en-US"/>
              </w:rPr>
            </w:pPr>
            <w:r w:rsidRPr="00CF31E0">
              <w:rPr>
                <w:rFonts w:eastAsia="Calibri" w:cs="Arial"/>
                <w:color w:val="000000" w:themeColor="text1"/>
                <w:sz w:val="22"/>
                <w:szCs w:val="22"/>
                <w:lang w:eastAsia="en-US"/>
              </w:rPr>
              <w:t>Total</w:t>
            </w:r>
          </w:p>
        </w:tc>
        <w:tc>
          <w:tcPr>
            <w:tcW w:w="1686" w:type="dxa"/>
            <w:shd w:val="clear" w:color="auto" w:fill="FFFFFF"/>
            <w:vAlign w:val="center"/>
          </w:tcPr>
          <w:p w14:paraId="605E365C" w14:textId="4E35AA46" w:rsidR="00200D82" w:rsidRPr="00CF31E0" w:rsidRDefault="00200D82"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lang w:eastAsia="en-US"/>
              </w:rPr>
              <w:t>944.812</w:t>
            </w:r>
          </w:p>
        </w:tc>
        <w:tc>
          <w:tcPr>
            <w:tcW w:w="820" w:type="dxa"/>
            <w:shd w:val="clear" w:color="auto" w:fill="FFFFFF"/>
            <w:vAlign w:val="center"/>
          </w:tcPr>
          <w:p w14:paraId="19585F9C" w14:textId="362CD8E1" w:rsidR="00200D82" w:rsidRPr="00CF31E0" w:rsidRDefault="00BC3BC3" w:rsidP="00CD755B">
            <w:pPr>
              <w:spacing w:before="120" w:after="120" w:line="360" w:lineRule="auto"/>
              <w:jc w:val="right"/>
              <w:rPr>
                <w:rFonts w:eastAsia="Calibri" w:cs="Arial"/>
                <w:color w:val="000000" w:themeColor="text1"/>
                <w:sz w:val="22"/>
                <w:szCs w:val="22"/>
                <w:lang w:eastAsia="en-US"/>
              </w:rPr>
            </w:pPr>
            <w:r w:rsidRPr="00CF31E0">
              <w:rPr>
                <w:rFonts w:asciiTheme="majorBidi" w:hAnsiTheme="majorBidi" w:cstheme="majorBidi"/>
                <w:color w:val="000000" w:themeColor="text1"/>
                <w:sz w:val="22"/>
                <w:szCs w:val="22"/>
              </w:rPr>
              <w:t>649</w:t>
            </w:r>
          </w:p>
        </w:tc>
        <w:tc>
          <w:tcPr>
            <w:tcW w:w="1445" w:type="dxa"/>
            <w:shd w:val="clear" w:color="auto" w:fill="FFFFFF"/>
            <w:vAlign w:val="center"/>
          </w:tcPr>
          <w:p w14:paraId="6E58A4A2"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1030" w:type="dxa"/>
            <w:shd w:val="clear" w:color="auto" w:fill="FFFFFF"/>
            <w:vAlign w:val="center"/>
          </w:tcPr>
          <w:p w14:paraId="59B0C732"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c>
          <w:tcPr>
            <w:tcW w:w="674" w:type="dxa"/>
            <w:shd w:val="clear" w:color="auto" w:fill="FFFFFF"/>
            <w:vAlign w:val="center"/>
          </w:tcPr>
          <w:p w14:paraId="6DD6BC07" w14:textId="77777777" w:rsidR="00200D82" w:rsidRPr="00CF31E0" w:rsidRDefault="00200D82" w:rsidP="00CD755B">
            <w:pPr>
              <w:spacing w:before="120" w:after="120" w:line="360" w:lineRule="auto"/>
              <w:jc w:val="right"/>
              <w:rPr>
                <w:rFonts w:eastAsia="Calibri" w:cs="Arial"/>
                <w:color w:val="000000" w:themeColor="text1"/>
                <w:sz w:val="22"/>
                <w:szCs w:val="22"/>
                <w:lang w:eastAsia="en-US"/>
              </w:rPr>
            </w:pPr>
          </w:p>
        </w:tc>
      </w:tr>
    </w:tbl>
    <w:p w14:paraId="45E53DB1" w14:textId="77777777" w:rsidR="007055E2" w:rsidRDefault="007055E2" w:rsidP="00FA43BB">
      <w:pPr>
        <w:rPr>
          <w:rFonts w:asciiTheme="majorBidi" w:hAnsiTheme="majorBidi" w:cstheme="majorBidi"/>
          <w:b/>
          <w:bCs/>
          <w:color w:val="000000" w:themeColor="text1"/>
        </w:rPr>
      </w:pPr>
    </w:p>
    <w:p w14:paraId="6D5325A7" w14:textId="77777777" w:rsidR="00A84217" w:rsidRDefault="00A84217" w:rsidP="00FA43BB">
      <w:pPr>
        <w:rPr>
          <w:rFonts w:asciiTheme="majorBidi" w:hAnsiTheme="majorBidi" w:cstheme="majorBidi"/>
          <w:b/>
          <w:bCs/>
          <w:color w:val="000000" w:themeColor="text1"/>
        </w:rPr>
      </w:pPr>
    </w:p>
    <w:p w14:paraId="29D86D02" w14:textId="77777777" w:rsidR="00A84217" w:rsidRDefault="00A84217" w:rsidP="00FA43BB">
      <w:pPr>
        <w:rPr>
          <w:rFonts w:asciiTheme="majorBidi" w:hAnsiTheme="majorBidi" w:cstheme="majorBidi"/>
          <w:b/>
          <w:bCs/>
          <w:color w:val="000000" w:themeColor="text1"/>
        </w:rPr>
      </w:pPr>
    </w:p>
    <w:p w14:paraId="6EDAAA95" w14:textId="77777777" w:rsidR="00A84217" w:rsidRDefault="00A84217" w:rsidP="00FA43BB">
      <w:pPr>
        <w:rPr>
          <w:rFonts w:asciiTheme="majorBidi" w:hAnsiTheme="majorBidi" w:cstheme="majorBidi"/>
          <w:b/>
          <w:bCs/>
          <w:color w:val="000000" w:themeColor="text1"/>
        </w:rPr>
      </w:pPr>
    </w:p>
    <w:p w14:paraId="55CF138F" w14:textId="77777777" w:rsidR="00A84217" w:rsidRDefault="00A84217" w:rsidP="00FA43BB">
      <w:pPr>
        <w:rPr>
          <w:rFonts w:asciiTheme="majorBidi" w:hAnsiTheme="majorBidi" w:cstheme="majorBidi"/>
          <w:b/>
          <w:bCs/>
          <w:color w:val="000000" w:themeColor="text1"/>
        </w:rPr>
      </w:pPr>
    </w:p>
    <w:p w14:paraId="042E317D" w14:textId="77777777" w:rsidR="00A84217" w:rsidRDefault="00A84217" w:rsidP="00FA43BB">
      <w:pPr>
        <w:rPr>
          <w:rFonts w:asciiTheme="majorBidi" w:hAnsiTheme="majorBidi" w:cstheme="majorBidi"/>
          <w:b/>
          <w:bCs/>
          <w:color w:val="000000" w:themeColor="text1"/>
        </w:rPr>
      </w:pPr>
    </w:p>
    <w:p w14:paraId="7B2D4865" w14:textId="77777777" w:rsidR="00A84217" w:rsidRDefault="00A84217" w:rsidP="00FA43BB">
      <w:pPr>
        <w:rPr>
          <w:rFonts w:asciiTheme="majorBidi" w:hAnsiTheme="majorBidi" w:cstheme="majorBidi"/>
          <w:b/>
          <w:bCs/>
          <w:color w:val="000000" w:themeColor="text1"/>
        </w:rPr>
      </w:pPr>
    </w:p>
    <w:p w14:paraId="133F4F8B" w14:textId="77777777" w:rsidR="00A84217" w:rsidRDefault="00A84217" w:rsidP="00FA43BB">
      <w:pPr>
        <w:rPr>
          <w:rFonts w:asciiTheme="majorBidi" w:hAnsiTheme="majorBidi" w:cstheme="majorBidi"/>
          <w:b/>
          <w:bCs/>
          <w:color w:val="000000" w:themeColor="text1"/>
        </w:rPr>
      </w:pPr>
    </w:p>
    <w:p w14:paraId="7EDB3CEB" w14:textId="77777777" w:rsidR="00A84217" w:rsidRDefault="00A84217" w:rsidP="00FA43BB">
      <w:pPr>
        <w:rPr>
          <w:rFonts w:asciiTheme="majorBidi" w:hAnsiTheme="majorBidi" w:cstheme="majorBidi"/>
          <w:b/>
          <w:bCs/>
          <w:color w:val="000000" w:themeColor="text1"/>
        </w:rPr>
      </w:pPr>
    </w:p>
    <w:p w14:paraId="3BBCF0C4" w14:textId="77777777" w:rsidR="00A84217" w:rsidRDefault="00A84217" w:rsidP="00FA43BB">
      <w:pPr>
        <w:rPr>
          <w:rFonts w:asciiTheme="majorBidi" w:hAnsiTheme="majorBidi" w:cstheme="majorBidi"/>
          <w:b/>
          <w:bCs/>
          <w:color w:val="000000" w:themeColor="text1"/>
        </w:rPr>
      </w:pPr>
    </w:p>
    <w:p w14:paraId="5A6D7089" w14:textId="77777777" w:rsidR="00A84217" w:rsidRDefault="00A84217" w:rsidP="00FA43BB">
      <w:pPr>
        <w:rPr>
          <w:rFonts w:asciiTheme="majorBidi" w:hAnsiTheme="majorBidi" w:cstheme="majorBidi"/>
          <w:b/>
          <w:bCs/>
          <w:color w:val="000000" w:themeColor="text1"/>
        </w:rPr>
      </w:pPr>
    </w:p>
    <w:p w14:paraId="33830FBD" w14:textId="77777777" w:rsidR="00A84217" w:rsidRDefault="00A84217" w:rsidP="00FA43BB">
      <w:pPr>
        <w:rPr>
          <w:rFonts w:asciiTheme="majorBidi" w:hAnsiTheme="majorBidi" w:cstheme="majorBidi"/>
          <w:b/>
          <w:bCs/>
          <w:color w:val="000000" w:themeColor="text1"/>
        </w:rPr>
      </w:pPr>
    </w:p>
    <w:p w14:paraId="45FF8294" w14:textId="77777777" w:rsidR="00A84217" w:rsidRDefault="00A84217" w:rsidP="00FA43BB">
      <w:pPr>
        <w:rPr>
          <w:rFonts w:asciiTheme="majorBidi" w:hAnsiTheme="majorBidi" w:cstheme="majorBidi"/>
          <w:b/>
          <w:bCs/>
          <w:color w:val="000000" w:themeColor="text1"/>
        </w:rPr>
      </w:pPr>
    </w:p>
    <w:p w14:paraId="76413517" w14:textId="77777777" w:rsidR="00A84217" w:rsidRDefault="00A84217" w:rsidP="00FA43BB">
      <w:pPr>
        <w:rPr>
          <w:rFonts w:asciiTheme="majorBidi" w:hAnsiTheme="majorBidi" w:cstheme="majorBidi"/>
          <w:b/>
          <w:bCs/>
          <w:color w:val="000000" w:themeColor="text1"/>
        </w:rPr>
      </w:pPr>
    </w:p>
    <w:p w14:paraId="3E9E9E94" w14:textId="77777777" w:rsidR="00A84217" w:rsidRDefault="00A84217" w:rsidP="00FA43BB">
      <w:pPr>
        <w:rPr>
          <w:rFonts w:asciiTheme="majorBidi" w:hAnsiTheme="majorBidi" w:cstheme="majorBidi"/>
          <w:b/>
          <w:bCs/>
          <w:color w:val="000000" w:themeColor="text1"/>
        </w:rPr>
      </w:pPr>
    </w:p>
    <w:p w14:paraId="66366AE8" w14:textId="77777777" w:rsidR="00A84217" w:rsidRDefault="00A84217" w:rsidP="00FA43BB">
      <w:pPr>
        <w:rPr>
          <w:rFonts w:asciiTheme="majorBidi" w:hAnsiTheme="majorBidi" w:cstheme="majorBidi"/>
          <w:b/>
          <w:bCs/>
          <w:color w:val="000000" w:themeColor="text1"/>
        </w:rPr>
      </w:pPr>
    </w:p>
    <w:p w14:paraId="50B029A3" w14:textId="77777777" w:rsidR="00A84217" w:rsidRDefault="00A84217" w:rsidP="00FA43BB">
      <w:pPr>
        <w:rPr>
          <w:rFonts w:asciiTheme="majorBidi" w:hAnsiTheme="majorBidi" w:cstheme="majorBidi"/>
          <w:b/>
          <w:bCs/>
          <w:color w:val="000000" w:themeColor="text1"/>
        </w:rPr>
      </w:pPr>
    </w:p>
    <w:p w14:paraId="113A2683" w14:textId="77777777" w:rsidR="00A84217" w:rsidRDefault="00A84217" w:rsidP="00FA43BB">
      <w:pPr>
        <w:rPr>
          <w:rFonts w:asciiTheme="majorBidi" w:hAnsiTheme="majorBidi" w:cstheme="majorBidi"/>
          <w:b/>
          <w:bCs/>
          <w:color w:val="000000" w:themeColor="text1"/>
        </w:rPr>
      </w:pPr>
    </w:p>
    <w:p w14:paraId="7EE43053" w14:textId="77777777" w:rsidR="00A84217" w:rsidRDefault="00A84217" w:rsidP="00FA43BB">
      <w:pPr>
        <w:rPr>
          <w:rFonts w:asciiTheme="majorBidi" w:hAnsiTheme="majorBidi" w:cstheme="majorBidi"/>
          <w:b/>
          <w:bCs/>
          <w:color w:val="000000" w:themeColor="text1"/>
        </w:rPr>
      </w:pPr>
    </w:p>
    <w:p w14:paraId="131EDDF6" w14:textId="77777777" w:rsidR="00A84217" w:rsidRDefault="00A84217" w:rsidP="00FA43BB">
      <w:pPr>
        <w:rPr>
          <w:rFonts w:asciiTheme="majorBidi" w:hAnsiTheme="majorBidi" w:cstheme="majorBidi"/>
          <w:b/>
          <w:bCs/>
          <w:color w:val="000000" w:themeColor="text1"/>
        </w:rPr>
      </w:pPr>
    </w:p>
    <w:p w14:paraId="2235D8F2" w14:textId="77777777" w:rsidR="00A84217" w:rsidRDefault="00A84217" w:rsidP="00FA43BB">
      <w:pPr>
        <w:rPr>
          <w:rFonts w:asciiTheme="majorBidi" w:hAnsiTheme="majorBidi" w:cstheme="majorBidi"/>
          <w:b/>
          <w:bCs/>
          <w:color w:val="000000" w:themeColor="text1"/>
        </w:rPr>
      </w:pPr>
    </w:p>
    <w:p w14:paraId="06D086B2" w14:textId="77777777" w:rsidR="00A84217" w:rsidRDefault="00A84217" w:rsidP="00FA43BB">
      <w:pPr>
        <w:rPr>
          <w:rFonts w:asciiTheme="majorBidi" w:hAnsiTheme="majorBidi" w:cstheme="majorBidi"/>
          <w:b/>
          <w:bCs/>
          <w:color w:val="000000" w:themeColor="text1"/>
        </w:rPr>
      </w:pPr>
    </w:p>
    <w:p w14:paraId="08CC18C9" w14:textId="77777777" w:rsidR="00A84217" w:rsidRDefault="00A84217" w:rsidP="00FA43BB">
      <w:pPr>
        <w:rPr>
          <w:rFonts w:asciiTheme="majorBidi" w:hAnsiTheme="majorBidi" w:cstheme="majorBidi"/>
          <w:b/>
          <w:bCs/>
          <w:color w:val="000000" w:themeColor="text1"/>
        </w:rPr>
      </w:pPr>
    </w:p>
    <w:p w14:paraId="18DF7A63" w14:textId="77777777" w:rsidR="00A84217" w:rsidRDefault="00A84217" w:rsidP="00FA43BB">
      <w:pPr>
        <w:rPr>
          <w:rFonts w:asciiTheme="majorBidi" w:hAnsiTheme="majorBidi" w:cstheme="majorBidi"/>
          <w:b/>
          <w:bCs/>
          <w:color w:val="000000" w:themeColor="text1"/>
        </w:rPr>
      </w:pPr>
    </w:p>
    <w:p w14:paraId="5066F79D" w14:textId="77777777" w:rsidR="00A84217" w:rsidRDefault="00A84217" w:rsidP="00FA43BB">
      <w:pPr>
        <w:rPr>
          <w:rFonts w:asciiTheme="majorBidi" w:hAnsiTheme="majorBidi" w:cstheme="majorBidi"/>
          <w:b/>
          <w:bCs/>
          <w:color w:val="000000" w:themeColor="text1"/>
        </w:rPr>
      </w:pPr>
    </w:p>
    <w:p w14:paraId="19361F19" w14:textId="77777777" w:rsidR="00A84217" w:rsidRDefault="00A84217" w:rsidP="00FA43BB">
      <w:pPr>
        <w:rPr>
          <w:rFonts w:asciiTheme="majorBidi" w:hAnsiTheme="majorBidi" w:cstheme="majorBidi"/>
          <w:b/>
          <w:bCs/>
          <w:color w:val="000000" w:themeColor="text1"/>
        </w:rPr>
      </w:pPr>
    </w:p>
    <w:p w14:paraId="4C53CC7C" w14:textId="77777777" w:rsidR="00A84217" w:rsidRDefault="00A84217" w:rsidP="00FA43BB">
      <w:pPr>
        <w:rPr>
          <w:rFonts w:asciiTheme="majorBidi" w:hAnsiTheme="majorBidi" w:cstheme="majorBidi"/>
          <w:b/>
          <w:bCs/>
          <w:color w:val="000000" w:themeColor="text1"/>
        </w:rPr>
      </w:pPr>
    </w:p>
    <w:p w14:paraId="45D8990C" w14:textId="77777777" w:rsidR="00A84217" w:rsidRDefault="00A84217" w:rsidP="00FA43BB">
      <w:pPr>
        <w:rPr>
          <w:rFonts w:asciiTheme="majorBidi" w:hAnsiTheme="majorBidi" w:cstheme="majorBidi"/>
          <w:b/>
          <w:bCs/>
          <w:color w:val="000000" w:themeColor="text1"/>
        </w:rPr>
      </w:pPr>
    </w:p>
    <w:p w14:paraId="21743FB2" w14:textId="77777777" w:rsidR="00A84217" w:rsidRDefault="00A84217" w:rsidP="00FA43BB">
      <w:pPr>
        <w:rPr>
          <w:rFonts w:asciiTheme="majorBidi" w:hAnsiTheme="majorBidi" w:cstheme="majorBidi"/>
          <w:b/>
          <w:bCs/>
          <w:color w:val="000000" w:themeColor="text1"/>
        </w:rPr>
      </w:pPr>
    </w:p>
    <w:p w14:paraId="03BC5D72" w14:textId="77777777" w:rsidR="00A84217" w:rsidRDefault="00A84217" w:rsidP="00FA43BB">
      <w:pPr>
        <w:rPr>
          <w:rFonts w:asciiTheme="majorBidi" w:hAnsiTheme="majorBidi" w:cstheme="majorBidi"/>
          <w:b/>
          <w:bCs/>
          <w:color w:val="000000" w:themeColor="text1"/>
        </w:rPr>
      </w:pPr>
    </w:p>
    <w:p w14:paraId="6C59805B" w14:textId="77777777" w:rsidR="00A84217" w:rsidRDefault="00A84217" w:rsidP="00FA43BB">
      <w:pPr>
        <w:rPr>
          <w:rFonts w:asciiTheme="majorBidi" w:hAnsiTheme="majorBidi" w:cstheme="majorBidi"/>
          <w:b/>
          <w:bCs/>
          <w:color w:val="000000" w:themeColor="text1"/>
        </w:rPr>
      </w:pPr>
    </w:p>
    <w:p w14:paraId="409E07C3" w14:textId="77777777" w:rsidR="00A84217" w:rsidRDefault="00A84217" w:rsidP="00FA43BB">
      <w:pPr>
        <w:rPr>
          <w:rFonts w:asciiTheme="majorBidi" w:hAnsiTheme="majorBidi" w:cstheme="majorBidi"/>
          <w:b/>
          <w:bCs/>
          <w:color w:val="000000" w:themeColor="text1"/>
        </w:rPr>
      </w:pPr>
    </w:p>
    <w:p w14:paraId="099CA27A" w14:textId="77777777" w:rsidR="00A84217" w:rsidRDefault="00A84217" w:rsidP="00FA43BB">
      <w:pPr>
        <w:rPr>
          <w:rFonts w:asciiTheme="majorBidi" w:hAnsiTheme="majorBidi" w:cstheme="majorBidi"/>
          <w:b/>
          <w:bCs/>
          <w:color w:val="000000" w:themeColor="text1"/>
        </w:rPr>
      </w:pPr>
    </w:p>
    <w:p w14:paraId="5911E59B" w14:textId="77777777" w:rsidR="00A84217" w:rsidRDefault="00A84217" w:rsidP="00FA43BB">
      <w:pPr>
        <w:rPr>
          <w:rFonts w:asciiTheme="majorBidi" w:hAnsiTheme="majorBidi" w:cstheme="majorBidi"/>
          <w:b/>
          <w:bCs/>
          <w:color w:val="000000" w:themeColor="text1"/>
        </w:rPr>
      </w:pPr>
    </w:p>
    <w:p w14:paraId="1EA2497F" w14:textId="77777777" w:rsidR="00A84217" w:rsidRDefault="00A84217" w:rsidP="00FA43BB">
      <w:pPr>
        <w:rPr>
          <w:rFonts w:asciiTheme="majorBidi" w:hAnsiTheme="majorBidi" w:cstheme="majorBidi"/>
          <w:b/>
          <w:bCs/>
          <w:color w:val="000000" w:themeColor="text1"/>
        </w:rPr>
      </w:pPr>
    </w:p>
    <w:p w14:paraId="52EA4CFA" w14:textId="77777777" w:rsidR="00A84217" w:rsidRDefault="00A84217" w:rsidP="00FA43BB">
      <w:pPr>
        <w:rPr>
          <w:rFonts w:asciiTheme="majorBidi" w:hAnsiTheme="majorBidi" w:cstheme="majorBidi"/>
          <w:b/>
          <w:bCs/>
          <w:color w:val="000000" w:themeColor="text1"/>
        </w:rPr>
      </w:pPr>
    </w:p>
    <w:p w14:paraId="0197E35F" w14:textId="77777777" w:rsidR="00A84217" w:rsidRDefault="00A84217" w:rsidP="00FA43BB">
      <w:pPr>
        <w:rPr>
          <w:rFonts w:asciiTheme="majorBidi" w:hAnsiTheme="majorBidi" w:cstheme="majorBidi"/>
          <w:b/>
          <w:bCs/>
          <w:color w:val="000000" w:themeColor="text1"/>
        </w:rPr>
      </w:pPr>
    </w:p>
    <w:p w14:paraId="3AFA711A" w14:textId="77777777" w:rsidR="00A84217" w:rsidRDefault="00A84217" w:rsidP="00FA43BB">
      <w:pPr>
        <w:rPr>
          <w:rFonts w:asciiTheme="majorBidi" w:hAnsiTheme="majorBidi" w:cstheme="majorBidi"/>
          <w:b/>
          <w:bCs/>
          <w:color w:val="000000" w:themeColor="text1"/>
        </w:rPr>
      </w:pPr>
    </w:p>
    <w:p w14:paraId="34D1D820" w14:textId="77777777" w:rsidR="00A84217" w:rsidRDefault="00A84217" w:rsidP="00FA43BB">
      <w:pPr>
        <w:rPr>
          <w:rFonts w:asciiTheme="majorBidi" w:hAnsiTheme="majorBidi" w:cstheme="majorBidi"/>
          <w:b/>
          <w:bCs/>
          <w:color w:val="000000" w:themeColor="text1"/>
        </w:rPr>
      </w:pPr>
    </w:p>
    <w:p w14:paraId="715D1538" w14:textId="77777777" w:rsidR="00A84217" w:rsidRDefault="00A84217" w:rsidP="00FA43BB">
      <w:pPr>
        <w:rPr>
          <w:rFonts w:asciiTheme="majorBidi" w:hAnsiTheme="majorBidi" w:cstheme="majorBidi"/>
          <w:b/>
          <w:bCs/>
          <w:color w:val="000000" w:themeColor="text1"/>
        </w:rPr>
      </w:pPr>
    </w:p>
    <w:p w14:paraId="1BA242D2" w14:textId="3E2F86BA" w:rsidR="00A84217" w:rsidRPr="00232032" w:rsidRDefault="00A84217" w:rsidP="0034506C">
      <w:pPr>
        <w:pStyle w:val="Title"/>
      </w:pPr>
      <w:bookmarkStart w:id="1223" w:name="_Toc6472847"/>
      <w:r>
        <w:lastRenderedPageBreak/>
        <w:t>Appendix 6</w:t>
      </w:r>
      <w:r w:rsidR="0034506C">
        <w:t>:</w:t>
      </w:r>
      <w:r>
        <w:t xml:space="preserve"> </w:t>
      </w:r>
      <w:r w:rsidR="0034506C">
        <w:t>P</w:t>
      </w:r>
      <w:r w:rsidRPr="00232032">
        <w:t xml:space="preserve">honetic transcription </w:t>
      </w:r>
      <w:r w:rsidR="0034506C">
        <w:t>of</w:t>
      </w:r>
      <w:r w:rsidRPr="00232032">
        <w:t xml:space="preserve"> voice samples</w:t>
      </w:r>
      <w:bookmarkEnd w:id="1223"/>
    </w:p>
    <w:p w14:paraId="3AEA23BE" w14:textId="77777777" w:rsidR="00A84217" w:rsidRPr="0034506C" w:rsidRDefault="00A84217" w:rsidP="00A84217">
      <w:pPr>
        <w:spacing w:line="480" w:lineRule="auto"/>
        <w:rPr>
          <w:b/>
          <w:bCs/>
        </w:rPr>
      </w:pPr>
      <w:r w:rsidRPr="0034506C">
        <w:rPr>
          <w:b/>
          <w:bCs/>
        </w:rPr>
        <w:t>VS1</w:t>
      </w:r>
    </w:p>
    <w:p w14:paraId="76DF1352" w14:textId="139463E0" w:rsidR="00E314B9" w:rsidRPr="000E3509" w:rsidRDefault="00A84217" w:rsidP="00E314B9">
      <w:pPr>
        <w:spacing w:line="480" w:lineRule="auto"/>
        <w:rPr>
          <w:rFonts w:eastAsia="Times New Roman"/>
          <w:color w:val="000000" w:themeColor="text1"/>
        </w:rPr>
      </w:pPr>
      <w:r>
        <w:rPr>
          <w:rFonts w:eastAsia="Times New Roman"/>
        </w:rPr>
        <w:t>ʔsalaim ʕlykum wa rah̩matu all</w:t>
      </w:r>
      <w:r w:rsidRPr="005C0915">
        <w:rPr>
          <w:rFonts w:eastAsia="Times New Roman"/>
        </w:rPr>
        <w:t xml:space="preserve">aːh wa </w:t>
      </w:r>
      <w:r w:rsidRPr="000E3509">
        <w:rPr>
          <w:rFonts w:eastAsia="Times New Roman"/>
          <w:color w:val="000000" w:themeColor="text1"/>
        </w:rPr>
        <w:t>barakatuh</w:t>
      </w:r>
      <w:r w:rsidR="00E314B9" w:rsidRPr="000E3509">
        <w:rPr>
          <w:rFonts w:eastAsia="Times New Roman"/>
          <w:color w:val="000000" w:themeColor="text1"/>
        </w:rPr>
        <w:t xml:space="preserve"> (</w:t>
      </w:r>
      <w:r w:rsidR="00F03702" w:rsidRPr="000E3509">
        <w:rPr>
          <w:rFonts w:eastAsia="Times New Roman"/>
          <w:color w:val="000000" w:themeColor="text1"/>
        </w:rPr>
        <w:t>peace be upon you all)</w:t>
      </w:r>
    </w:p>
    <w:p w14:paraId="555CBCB7" w14:textId="6D67CCDC" w:rsidR="00A84217" w:rsidRDefault="00A84217" w:rsidP="00A84217">
      <w:pPr>
        <w:spacing w:line="480" w:lineRule="auto"/>
      </w:pPr>
      <w:r w:rsidRPr="00A86F75">
        <w:t>ʔ</w:t>
      </w:r>
      <w:r w:rsidRPr="007D5422">
        <w:t xml:space="preserve">ma </w:t>
      </w:r>
      <w:r w:rsidR="00E314B9">
        <w:t xml:space="preserve">(I) </w:t>
      </w:r>
      <w:r w:rsidRPr="007D5422">
        <w:t xml:space="preserve">ʃaifa </w:t>
      </w:r>
      <w:r w:rsidR="00E314B9">
        <w:t xml:space="preserve">(see) </w:t>
      </w:r>
      <w:r w:rsidRPr="00D23C1F">
        <w:rPr>
          <w:color w:val="000000" w:themeColor="text1"/>
        </w:rPr>
        <w:t>maːʃaː</w:t>
      </w:r>
      <w:r>
        <w:rPr>
          <w:color w:val="000000" w:themeColor="text1"/>
        </w:rPr>
        <w:t>ʔl</w:t>
      </w:r>
      <w:r w:rsidRPr="00D23C1F">
        <w:rPr>
          <w:color w:val="000000" w:themeColor="text1"/>
        </w:rPr>
        <w:t>aːh kut</w:t>
      </w:r>
      <w:r>
        <w:rPr>
          <w:color w:val="000000" w:themeColor="text1"/>
        </w:rPr>
        <w:t>l</w:t>
      </w:r>
      <w:r w:rsidRPr="00D23C1F">
        <w:rPr>
          <w:color w:val="000000" w:themeColor="text1"/>
        </w:rPr>
        <w:t xml:space="preserve">a </w:t>
      </w:r>
      <w:r w:rsidRPr="007D5422">
        <w:t>huaʔiaː</w:t>
      </w:r>
      <w:r w:rsidR="00E5231F">
        <w:t>(a mass of air)</w:t>
      </w:r>
      <w:r w:rsidRPr="007D5422">
        <w:t xml:space="preserve"> mum</w:t>
      </w:r>
      <w:r w:rsidRPr="00DF1728">
        <w:t>tˌ</w:t>
      </w:r>
      <w:r w:rsidRPr="001260DD">
        <w:t>i</w:t>
      </w:r>
      <w:r w:rsidRPr="00670A4F">
        <w:rPr>
          <w:b/>
          <w:bCs/>
          <w:color w:val="FF0000"/>
        </w:rPr>
        <w:t>ɾ</w:t>
      </w:r>
      <w:r w:rsidRPr="001260DD">
        <w:t>a</w:t>
      </w:r>
      <w:r w:rsidRPr="00847998">
        <w:t>h</w:t>
      </w:r>
      <w:r>
        <w:t xml:space="preserve"> </w:t>
      </w:r>
      <w:r w:rsidR="00E5231F">
        <w:t>(</w:t>
      </w:r>
      <w:r w:rsidR="00BA3E32">
        <w:t xml:space="preserve">which is </w:t>
      </w:r>
      <w:r w:rsidR="00E5231F">
        <w:t xml:space="preserve">rainy) </w:t>
      </w:r>
      <w:r w:rsidRPr="00BD77BC">
        <w:t>kuː</w:t>
      </w:r>
      <w:r>
        <w:rPr>
          <w:rFonts w:eastAsia="Times New Roman"/>
        </w:rPr>
        <w:t>l</w:t>
      </w:r>
      <w:r>
        <w:t xml:space="preserve">ha </w:t>
      </w:r>
      <w:r w:rsidR="00E5231F">
        <w:t xml:space="preserve">(all of it) </w:t>
      </w:r>
      <w:r>
        <w:t xml:space="preserve">jaiːa </w:t>
      </w:r>
      <w:r w:rsidR="00E5231F">
        <w:t xml:space="preserve">(coming) </w:t>
      </w:r>
      <w:r>
        <w:t>ʕl</w:t>
      </w:r>
      <w:r w:rsidRPr="00A90EED">
        <w:t>mammʈiɡa</w:t>
      </w:r>
      <w:r>
        <w:t xml:space="preserve"> </w:t>
      </w:r>
      <w:r w:rsidRPr="00BD77BC">
        <w:t xml:space="preserve"> a</w:t>
      </w:r>
      <w:r>
        <w:t>l</w:t>
      </w:r>
      <w:r w:rsidRPr="00BD77BC">
        <w:t>ɡˈa</w:t>
      </w:r>
      <w:r w:rsidRPr="00670A4F">
        <w:rPr>
          <w:b/>
          <w:bCs/>
          <w:color w:val="FF0000"/>
        </w:rPr>
        <w:t>ɾ</w:t>
      </w:r>
      <w:r w:rsidRPr="00BD77BC">
        <w:t>b</w:t>
      </w:r>
      <w:r w:rsidRPr="000461FB">
        <w:t>iaː</w:t>
      </w:r>
      <w:r>
        <w:t xml:space="preserve"> </w:t>
      </w:r>
      <w:r w:rsidR="00E5231F">
        <w:t>(towards the eastern region)</w:t>
      </w:r>
    </w:p>
    <w:p w14:paraId="61C0A2F4" w14:textId="2D6C56C8" w:rsidR="00A84217" w:rsidRDefault="00A84217" w:rsidP="00A84217">
      <w:pPr>
        <w:spacing w:line="480" w:lineRule="auto"/>
      </w:pPr>
      <w:r w:rsidRPr="00D23C1F">
        <w:t>aː</w:t>
      </w:r>
      <w:r>
        <w:t xml:space="preserve">laːh </w:t>
      </w:r>
      <w:r w:rsidR="00E5231F">
        <w:t xml:space="preserve">(may Allah) </w:t>
      </w:r>
      <w:r>
        <w:t>ydiːm</w:t>
      </w:r>
      <w:r w:rsidR="00E5231F">
        <w:t>a</w:t>
      </w:r>
      <w:r>
        <w:t xml:space="preserve"> </w:t>
      </w:r>
      <w:r w:rsidR="00E5231F">
        <w:t>(give</w:t>
      </w:r>
      <w:r w:rsidR="00BA3E32">
        <w:t>s</w:t>
      </w:r>
      <w:r w:rsidR="00E5231F">
        <w:t xml:space="preserve"> us) </w:t>
      </w:r>
      <w:r w:rsidRPr="00D23C1F">
        <w:t>xy</w:t>
      </w:r>
      <w:r w:rsidRPr="00670A4F">
        <w:rPr>
          <w:b/>
          <w:bCs/>
          <w:color w:val="FF0000"/>
        </w:rPr>
        <w:t>ɾ</w:t>
      </w:r>
      <w:r w:rsidRPr="00D23C1F">
        <w:t xml:space="preserve"> </w:t>
      </w:r>
      <w:r w:rsidR="00F03702">
        <w:t>(</w:t>
      </w:r>
      <w:r w:rsidR="00BA3E32">
        <w:t>goodness</w:t>
      </w:r>
      <w:r w:rsidR="00E5231F">
        <w:t xml:space="preserve">) </w:t>
      </w:r>
      <w:r w:rsidRPr="00D23C1F">
        <w:t>haː</w:t>
      </w:r>
      <w:r w:rsidRPr="00670A4F">
        <w:rPr>
          <w:b/>
          <w:bCs/>
          <w:color w:val="FF0000"/>
        </w:rPr>
        <w:t>d</w:t>
      </w:r>
      <w:r w:rsidRPr="00D23C1F">
        <w:t xml:space="preserve">a </w:t>
      </w:r>
      <w:r w:rsidR="00E5231F">
        <w:t xml:space="preserve">(of this) </w:t>
      </w:r>
      <w:r w:rsidRPr="00D23C1F">
        <w:t>a</w:t>
      </w:r>
      <w:r>
        <w:rPr>
          <w:rFonts w:eastAsia="Times New Roman"/>
        </w:rPr>
        <w:t>l</w:t>
      </w:r>
      <w:r>
        <w:t>ma</w:t>
      </w:r>
      <w:r w:rsidRPr="00DF1728">
        <w:t>tˌ</w:t>
      </w:r>
      <w:r w:rsidRPr="00D23C1F">
        <w:t xml:space="preserve">ar </w:t>
      </w:r>
      <w:r w:rsidR="00E5231F">
        <w:t xml:space="preserve">(rain) </w:t>
      </w:r>
      <w:r w:rsidRPr="00D23C1F">
        <w:t xml:space="preserve">wibʕid </w:t>
      </w:r>
      <w:r w:rsidR="00E5231F">
        <w:t xml:space="preserve">(and to keep away) </w:t>
      </w:r>
      <w:r w:rsidRPr="00D23C1F">
        <w:t xml:space="preserve">ʕaːma </w:t>
      </w:r>
      <w:r w:rsidR="00E5231F">
        <w:t xml:space="preserve">(from us) </w:t>
      </w:r>
      <w:r w:rsidRPr="00847998">
        <w:t>ʃa</w:t>
      </w:r>
      <w:r w:rsidRPr="00670A4F">
        <w:rPr>
          <w:b/>
          <w:bCs/>
          <w:color w:val="FF0000"/>
        </w:rPr>
        <w:t xml:space="preserve">ɾ </w:t>
      </w:r>
      <w:r w:rsidR="00BA3E32" w:rsidRPr="000E3509">
        <w:rPr>
          <w:color w:val="000000" w:themeColor="text1"/>
        </w:rPr>
        <w:t>(the worse of)</w:t>
      </w:r>
      <w:r w:rsidR="00BA3E32">
        <w:rPr>
          <w:b/>
          <w:bCs/>
          <w:color w:val="FF0000"/>
        </w:rPr>
        <w:t xml:space="preserve"> </w:t>
      </w:r>
      <w:r w:rsidRPr="00847998">
        <w:t>a</w:t>
      </w:r>
      <w:r>
        <w:t>l</w:t>
      </w:r>
      <w:r w:rsidRPr="00847998">
        <w:t>hwa wa a</w:t>
      </w:r>
      <w:r>
        <w:rPr>
          <w:rFonts w:eastAsia="Times New Roman"/>
        </w:rPr>
        <w:t>l</w:t>
      </w:r>
      <w:r>
        <w:t>ryaː</w:t>
      </w:r>
      <w:r w:rsidRPr="00F22633">
        <w:t>h̩</w:t>
      </w:r>
      <w:r w:rsidRPr="00847998">
        <w:t xml:space="preserve"> </w:t>
      </w:r>
      <w:r w:rsidR="00BA3E32">
        <w:t>(winds)</w:t>
      </w:r>
    </w:p>
    <w:p w14:paraId="363848C0" w14:textId="77ED4CC6" w:rsidR="00A84217" w:rsidRDefault="00A84217" w:rsidP="00A84217">
      <w:pPr>
        <w:spacing w:line="480" w:lineRule="auto"/>
      </w:pPr>
      <w:r w:rsidRPr="00847998">
        <w:t>wi ʔyj</w:t>
      </w:r>
      <w:r>
        <w:t>ʕ</w:t>
      </w:r>
      <w:r>
        <w:rPr>
          <w:rFonts w:eastAsia="Times New Roman"/>
        </w:rPr>
        <w:t>l</w:t>
      </w:r>
      <w:r w:rsidRPr="00847998">
        <w:t>ha</w:t>
      </w:r>
      <w:r w:rsidR="00BA3E32">
        <w:t xml:space="preserve"> (and may Allah makes it)</w:t>
      </w:r>
      <w:r w:rsidRPr="00847998">
        <w:t xml:space="preserve"> suɡyaː xy</w:t>
      </w:r>
      <w:r w:rsidRPr="00670A4F">
        <w:rPr>
          <w:b/>
          <w:bCs/>
          <w:color w:val="FF0000"/>
        </w:rPr>
        <w:t xml:space="preserve">ɾ </w:t>
      </w:r>
      <w:r w:rsidR="00447046" w:rsidRPr="00447046">
        <w:rPr>
          <w:b/>
          <w:bCs/>
          <w:color w:val="000000" w:themeColor="text1"/>
        </w:rPr>
        <w:t>(</w:t>
      </w:r>
      <w:r w:rsidR="00BA3E32" w:rsidRPr="00447046">
        <w:rPr>
          <w:color w:val="000000" w:themeColor="text1"/>
        </w:rPr>
        <w:t>good rain)</w:t>
      </w:r>
      <w:r w:rsidR="00447046" w:rsidRPr="00447046">
        <w:rPr>
          <w:color w:val="000000" w:themeColor="text1"/>
        </w:rPr>
        <w:t xml:space="preserve"> </w:t>
      </w:r>
      <w:r>
        <w:t>l</w:t>
      </w:r>
      <w:r w:rsidRPr="00847998">
        <w:t xml:space="preserve">aː suɡyaː </w:t>
      </w:r>
      <w:r w:rsidR="00BA3E32">
        <w:t xml:space="preserve">(not rains of) </w:t>
      </w:r>
      <w:r w:rsidRPr="00847998">
        <w:t>ʕa</w:t>
      </w:r>
      <w:r w:rsidRPr="00670A4F">
        <w:rPr>
          <w:b/>
          <w:bCs/>
          <w:color w:val="FF0000"/>
        </w:rPr>
        <w:t>z</w:t>
      </w:r>
      <w:r w:rsidRPr="00847998">
        <w:t>aːb</w:t>
      </w:r>
      <w:r w:rsidR="00BA3E32">
        <w:t xml:space="preserve"> (torment).</w:t>
      </w:r>
    </w:p>
    <w:p w14:paraId="284BCCFC" w14:textId="77777777" w:rsidR="00A84217" w:rsidRDefault="00A84217" w:rsidP="00A84217">
      <w:pPr>
        <w:spacing w:line="480" w:lineRule="auto"/>
      </w:pPr>
    </w:p>
    <w:p w14:paraId="7F03B436" w14:textId="77777777" w:rsidR="00A84217" w:rsidRPr="0034506C" w:rsidRDefault="00A84217" w:rsidP="00A84217">
      <w:pPr>
        <w:spacing w:line="480" w:lineRule="auto"/>
        <w:rPr>
          <w:b/>
          <w:bCs/>
        </w:rPr>
      </w:pPr>
      <w:r w:rsidRPr="0034506C">
        <w:rPr>
          <w:b/>
          <w:bCs/>
        </w:rPr>
        <w:t>VS2</w:t>
      </w:r>
    </w:p>
    <w:p w14:paraId="4C25858F" w14:textId="458764EA" w:rsidR="00A84217" w:rsidRDefault="00A84217" w:rsidP="00A84217">
      <w:pPr>
        <w:spacing w:line="480" w:lineRule="auto"/>
      </w:pPr>
      <w:r>
        <w:t>ʔ</w:t>
      </w:r>
      <w:r>
        <w:rPr>
          <w:rFonts w:eastAsia="Times New Roman"/>
        </w:rPr>
        <w:t>l</w:t>
      </w:r>
      <w:r w:rsidRPr="00A86F75">
        <w:t xml:space="preserve">h̩yim </w:t>
      </w:r>
      <w:r w:rsidR="00BA3E32">
        <w:t xml:space="preserve">(now) </w:t>
      </w:r>
      <w:r w:rsidRPr="00A86F75">
        <w:t xml:space="preserve">ʔh̩ma </w:t>
      </w:r>
      <w:r w:rsidR="00BA3E32">
        <w:t xml:space="preserve">(we) </w:t>
      </w:r>
      <w:r w:rsidRPr="00A86F75">
        <w:t>mabi</w:t>
      </w:r>
      <w:r w:rsidR="00BA3E32">
        <w:t xml:space="preserve"> (want)</w:t>
      </w:r>
      <w:r w:rsidRPr="00A86F75">
        <w:t xml:space="preserve"> mʃwuf</w:t>
      </w:r>
      <w:r>
        <w:t xml:space="preserve"> </w:t>
      </w:r>
      <w:r w:rsidR="00BA3E32">
        <w:t>(</w:t>
      </w:r>
      <w:r w:rsidR="00F03702">
        <w:t xml:space="preserve">to </w:t>
      </w:r>
      <w:r w:rsidR="00BA3E32">
        <w:t>see)</w:t>
      </w:r>
      <w:r>
        <w:rPr>
          <w:rFonts w:eastAsia="Times New Roman"/>
        </w:rPr>
        <w:t>ʔl</w:t>
      </w:r>
      <w:r w:rsidRPr="00DE5AEF">
        <w:rPr>
          <w:rFonts w:eastAsia="Times New Roman"/>
          <w:b/>
          <w:bCs/>
          <w:color w:val="FF0000"/>
        </w:rPr>
        <w:t>ðˤ</w:t>
      </w:r>
      <w:r>
        <w:rPr>
          <w:rFonts w:eastAsia="Times New Roman"/>
        </w:rPr>
        <w:t xml:space="preserve">rwuf </w:t>
      </w:r>
      <w:r w:rsidR="00F03702">
        <w:rPr>
          <w:rFonts w:eastAsia="Times New Roman"/>
        </w:rPr>
        <w:t xml:space="preserve">(conditions) </w:t>
      </w:r>
      <w:r>
        <w:rPr>
          <w:rFonts w:eastAsia="Times New Roman"/>
        </w:rPr>
        <w:t xml:space="preserve">aljawiyah </w:t>
      </w:r>
      <w:r w:rsidR="00F03702">
        <w:rPr>
          <w:rFonts w:eastAsia="Times New Roman"/>
        </w:rPr>
        <w:t>(climate</w:t>
      </w:r>
      <w:r w:rsidR="00BA3E32">
        <w:rPr>
          <w:rFonts w:eastAsia="Times New Roman"/>
        </w:rPr>
        <w:t xml:space="preserve">) </w:t>
      </w:r>
      <w:r>
        <w:rPr>
          <w:rFonts w:eastAsia="Times New Roman"/>
        </w:rPr>
        <w:t>bal</w:t>
      </w:r>
      <w:r w:rsidRPr="0073427B">
        <w:rPr>
          <w:rFonts w:eastAsia="Times New Roman"/>
        </w:rPr>
        <w:t>suʕudyah</w:t>
      </w:r>
      <w:r w:rsidR="00BA3E32">
        <w:rPr>
          <w:rFonts w:eastAsia="Times New Roman"/>
        </w:rPr>
        <w:t xml:space="preserve"> (in Saudi Arabia).</w:t>
      </w:r>
    </w:p>
    <w:p w14:paraId="5681A839" w14:textId="5B4BD71E" w:rsidR="00A84217" w:rsidRDefault="00A84217" w:rsidP="00A84217">
      <w:pPr>
        <w:spacing w:line="480" w:lineRule="auto"/>
        <w:rPr>
          <w:rFonts w:eastAsia="Times New Roman"/>
        </w:rPr>
      </w:pPr>
      <w:r w:rsidRPr="00DE5AEF">
        <w:rPr>
          <w:rFonts w:eastAsia="Times New Roman"/>
        </w:rPr>
        <w:t>ma</w:t>
      </w:r>
      <w:r w:rsidRPr="00DE5AEF">
        <w:rPr>
          <w:rFonts w:eastAsia="Times New Roman"/>
          <w:b/>
          <w:bCs/>
          <w:color w:val="FF0000"/>
        </w:rPr>
        <w:t>θ</w:t>
      </w:r>
      <w:r>
        <w:rPr>
          <w:rFonts w:eastAsia="Times New Roman"/>
        </w:rPr>
        <w:t>al</w:t>
      </w:r>
      <w:r w:rsidRPr="00DE5AEF">
        <w:rPr>
          <w:rFonts w:eastAsia="Times New Roman"/>
        </w:rPr>
        <w:t>am</w:t>
      </w:r>
      <w:r>
        <w:rPr>
          <w:rFonts w:eastAsia="Times New Roman"/>
        </w:rPr>
        <w:t xml:space="preserve"> </w:t>
      </w:r>
      <w:r w:rsidR="00BA3E32">
        <w:rPr>
          <w:rFonts w:eastAsia="Times New Roman"/>
        </w:rPr>
        <w:t xml:space="preserve">(for example) </w:t>
      </w:r>
      <w:r>
        <w:rPr>
          <w:rFonts w:eastAsia="Times New Roman"/>
        </w:rPr>
        <w:t xml:space="preserve">fi </w:t>
      </w:r>
      <w:r w:rsidR="00BA3E32">
        <w:rPr>
          <w:rFonts w:eastAsia="Times New Roman"/>
        </w:rPr>
        <w:t xml:space="preserve">( in ) </w:t>
      </w:r>
      <w:r>
        <w:rPr>
          <w:rFonts w:eastAsia="Times New Roman"/>
        </w:rPr>
        <w:t xml:space="preserve">ʔlmamt̩iɡah </w:t>
      </w:r>
      <w:r w:rsidR="00BA3E32">
        <w:rPr>
          <w:rFonts w:eastAsia="Times New Roman"/>
        </w:rPr>
        <w:t>(</w:t>
      </w:r>
      <w:r w:rsidR="00F03702">
        <w:rPr>
          <w:rFonts w:eastAsia="Times New Roman"/>
        </w:rPr>
        <w:t xml:space="preserve">the </w:t>
      </w:r>
      <w:r w:rsidR="00BA3E32">
        <w:rPr>
          <w:rFonts w:eastAsia="Times New Roman"/>
        </w:rPr>
        <w:t xml:space="preserve">region) </w:t>
      </w:r>
      <w:r>
        <w:rPr>
          <w:rFonts w:eastAsia="Times New Roman"/>
        </w:rPr>
        <w:t xml:space="preserve">alwustˌah </w:t>
      </w:r>
      <w:r w:rsidR="00BA3E32">
        <w:rPr>
          <w:rFonts w:eastAsia="Times New Roman"/>
        </w:rPr>
        <w:t xml:space="preserve">(central) </w:t>
      </w:r>
      <w:r>
        <w:rPr>
          <w:rFonts w:eastAsia="Times New Roman"/>
        </w:rPr>
        <w:t>ʔl</w:t>
      </w:r>
      <w:r w:rsidRPr="00C960A0">
        <w:rPr>
          <w:rFonts w:eastAsia="Times New Roman"/>
        </w:rPr>
        <w:t xml:space="preserve">ʔjwaʔ </w:t>
      </w:r>
      <w:r w:rsidR="00BA3E32">
        <w:rPr>
          <w:rFonts w:eastAsia="Times New Roman"/>
        </w:rPr>
        <w:t xml:space="preserve">(the weather) </w:t>
      </w:r>
      <w:r w:rsidRPr="00C960A0">
        <w:rPr>
          <w:rFonts w:eastAsia="Times New Roman"/>
        </w:rPr>
        <w:t>maːt̩i</w:t>
      </w:r>
      <w:r w:rsidRPr="002539AF">
        <w:rPr>
          <w:rFonts w:eastAsia="Times New Roman"/>
          <w:b/>
          <w:bCs/>
          <w:color w:val="FF0000"/>
        </w:rPr>
        <w:t>r</w:t>
      </w:r>
      <w:r w:rsidRPr="00C960A0">
        <w:rPr>
          <w:rFonts w:eastAsia="Times New Roman"/>
        </w:rPr>
        <w:t xml:space="preserve">ah </w:t>
      </w:r>
      <w:r w:rsidR="00F03702">
        <w:rPr>
          <w:rFonts w:eastAsia="Times New Roman"/>
        </w:rPr>
        <w:t>(rains</w:t>
      </w:r>
      <w:r w:rsidR="00BA3E32">
        <w:rPr>
          <w:rFonts w:eastAsia="Times New Roman"/>
        </w:rPr>
        <w:t xml:space="preserve">) </w:t>
      </w:r>
      <w:r w:rsidRPr="00C960A0">
        <w:rPr>
          <w:rFonts w:eastAsia="Times New Roman"/>
        </w:rPr>
        <w:t>ʔibɡˈazaː</w:t>
      </w:r>
      <w:r w:rsidRPr="002539AF">
        <w:rPr>
          <w:rFonts w:eastAsia="Times New Roman"/>
          <w:b/>
          <w:bCs/>
          <w:color w:val="FF0000"/>
        </w:rPr>
        <w:t>r</w:t>
      </w:r>
      <w:r w:rsidRPr="00C960A0">
        <w:rPr>
          <w:rFonts w:eastAsia="Times New Roman"/>
        </w:rPr>
        <w:t>ah</w:t>
      </w:r>
      <w:r w:rsidR="00BA3E32">
        <w:rPr>
          <w:rFonts w:eastAsia="Times New Roman"/>
        </w:rPr>
        <w:t xml:space="preserve"> (heavily) </w:t>
      </w:r>
    </w:p>
    <w:p w14:paraId="471F746A" w14:textId="11C17F89" w:rsidR="00A84217" w:rsidRPr="000E3509" w:rsidRDefault="00A84217" w:rsidP="00A84217">
      <w:pPr>
        <w:spacing w:line="480" w:lineRule="auto"/>
        <w:rPr>
          <w:rFonts w:eastAsia="Times New Roman"/>
          <w:color w:val="FF0000"/>
        </w:rPr>
      </w:pPr>
      <w:r>
        <w:rPr>
          <w:rFonts w:eastAsia="Times New Roman"/>
        </w:rPr>
        <w:t>ʔmma</w:t>
      </w:r>
      <w:r w:rsidR="00BA3E32">
        <w:rPr>
          <w:rFonts w:eastAsia="Times New Roman"/>
        </w:rPr>
        <w:t xml:space="preserve"> (while)</w:t>
      </w:r>
      <w:r>
        <w:rPr>
          <w:rFonts w:eastAsia="Times New Roman"/>
        </w:rPr>
        <w:t xml:space="preserve"> fal</w:t>
      </w:r>
      <w:r w:rsidRPr="00030BCE">
        <w:rPr>
          <w:rFonts w:eastAsia="Times New Roman"/>
        </w:rPr>
        <w:t xml:space="preserve">jumwub </w:t>
      </w:r>
      <w:r w:rsidR="00BA3E32">
        <w:rPr>
          <w:rFonts w:eastAsia="Times New Roman"/>
        </w:rPr>
        <w:t xml:space="preserve">(in the south) </w:t>
      </w:r>
      <w:r w:rsidRPr="00030BCE">
        <w:rPr>
          <w:rFonts w:eastAsia="Times New Roman"/>
        </w:rPr>
        <w:t xml:space="preserve">zaxaːt </w:t>
      </w:r>
      <w:r w:rsidR="003670F3">
        <w:rPr>
          <w:rFonts w:eastAsia="Times New Roman"/>
        </w:rPr>
        <w:t>(</w:t>
      </w:r>
      <w:r w:rsidR="00BA3E32">
        <w:rPr>
          <w:rFonts w:eastAsia="Times New Roman"/>
        </w:rPr>
        <w:t xml:space="preserve">drops) </w:t>
      </w:r>
      <w:r w:rsidRPr="00030BCE">
        <w:rPr>
          <w:rFonts w:eastAsia="Times New Roman"/>
        </w:rPr>
        <w:t>mitfa</w:t>
      </w:r>
      <w:r w:rsidRPr="00030BCE">
        <w:rPr>
          <w:rFonts w:eastAsia="Times New Roman"/>
          <w:b/>
          <w:bCs/>
          <w:color w:val="FF0000"/>
        </w:rPr>
        <w:t>r</w:t>
      </w:r>
      <w:r>
        <w:rPr>
          <w:rFonts w:eastAsia="Times New Roman"/>
        </w:rPr>
        <w:t xml:space="preserve">iɡah </w:t>
      </w:r>
      <w:r w:rsidR="003670F3">
        <w:rPr>
          <w:rFonts w:eastAsia="Times New Roman"/>
        </w:rPr>
        <w:t xml:space="preserve">(distributed) </w:t>
      </w:r>
      <w:r>
        <w:rPr>
          <w:rFonts w:eastAsia="Times New Roman"/>
        </w:rPr>
        <w:t xml:space="preserve">ʔimm </w:t>
      </w:r>
      <w:r w:rsidR="003670F3">
        <w:rPr>
          <w:rFonts w:eastAsia="Times New Roman"/>
        </w:rPr>
        <w:t xml:space="preserve">(from) </w:t>
      </w:r>
      <w:r>
        <w:rPr>
          <w:rFonts w:eastAsia="Times New Roman"/>
        </w:rPr>
        <w:t>ʔl</w:t>
      </w:r>
      <w:r w:rsidRPr="00030BCE">
        <w:rPr>
          <w:rFonts w:eastAsia="Times New Roman"/>
        </w:rPr>
        <w:t>mat̩a</w:t>
      </w:r>
      <w:r w:rsidRPr="00030BCE">
        <w:rPr>
          <w:rFonts w:eastAsia="Times New Roman"/>
          <w:b/>
          <w:bCs/>
          <w:color w:val="FF0000"/>
        </w:rPr>
        <w:t>r</w:t>
      </w:r>
      <w:r w:rsidR="003670F3">
        <w:rPr>
          <w:rFonts w:eastAsia="Times New Roman"/>
          <w:b/>
          <w:bCs/>
          <w:color w:val="FF0000"/>
        </w:rPr>
        <w:t xml:space="preserve"> </w:t>
      </w:r>
      <w:r w:rsidR="003670F3" w:rsidRPr="00447046">
        <w:rPr>
          <w:rFonts w:eastAsia="Times New Roman"/>
          <w:color w:val="000000" w:themeColor="text1"/>
        </w:rPr>
        <w:t xml:space="preserve">(the rain). </w:t>
      </w:r>
    </w:p>
    <w:p w14:paraId="1CC1DAF4" w14:textId="4E7B6D3A" w:rsidR="00A84217" w:rsidRDefault="00A84217" w:rsidP="00A84217">
      <w:pPr>
        <w:spacing w:line="480" w:lineRule="auto"/>
        <w:rPr>
          <w:rFonts w:eastAsia="Times New Roman"/>
        </w:rPr>
      </w:pPr>
      <w:r>
        <w:rPr>
          <w:rFonts w:eastAsia="Times New Roman"/>
        </w:rPr>
        <w:t xml:space="preserve">wi </w:t>
      </w:r>
      <w:r w:rsidR="003670F3">
        <w:rPr>
          <w:rFonts w:eastAsia="Times New Roman"/>
        </w:rPr>
        <w:t xml:space="preserve">(and) </w:t>
      </w:r>
      <w:r>
        <w:rPr>
          <w:rFonts w:eastAsia="Times New Roman"/>
        </w:rPr>
        <w:t xml:space="preserve">tijy </w:t>
      </w:r>
      <w:r w:rsidR="003670F3">
        <w:rPr>
          <w:rFonts w:eastAsia="Times New Roman"/>
        </w:rPr>
        <w:t xml:space="preserve">(coming) </w:t>
      </w:r>
      <w:r>
        <w:rPr>
          <w:rFonts w:eastAsia="Times New Roman"/>
        </w:rPr>
        <w:t>lil</w:t>
      </w:r>
      <w:r w:rsidRPr="004501C3">
        <w:rPr>
          <w:rFonts w:eastAsia="Times New Roman"/>
        </w:rPr>
        <w:t>suʕud</w:t>
      </w:r>
      <w:r>
        <w:rPr>
          <w:rFonts w:eastAsia="Times New Roman"/>
        </w:rPr>
        <w:t xml:space="preserve">yah </w:t>
      </w:r>
      <w:r w:rsidR="00F03702">
        <w:rPr>
          <w:rFonts w:eastAsia="Times New Roman"/>
        </w:rPr>
        <w:t>(</w:t>
      </w:r>
      <w:r w:rsidR="003670F3">
        <w:rPr>
          <w:rFonts w:eastAsia="Times New Roman"/>
        </w:rPr>
        <w:t xml:space="preserve">to Saudi Arabia) </w:t>
      </w:r>
      <w:r>
        <w:rPr>
          <w:rFonts w:eastAsia="Times New Roman"/>
        </w:rPr>
        <w:t>kutlah</w:t>
      </w:r>
      <w:r w:rsidR="003670F3">
        <w:rPr>
          <w:rFonts w:eastAsia="Times New Roman"/>
        </w:rPr>
        <w:t xml:space="preserve"> (a mass)</w:t>
      </w:r>
      <w:r>
        <w:rPr>
          <w:rFonts w:eastAsia="Times New Roman"/>
        </w:rPr>
        <w:t xml:space="preserve"> hwaʔiya </w:t>
      </w:r>
      <w:r w:rsidR="00F03702">
        <w:rPr>
          <w:rFonts w:eastAsia="Times New Roman"/>
        </w:rPr>
        <w:t>(</w:t>
      </w:r>
      <w:r w:rsidR="003670F3">
        <w:rPr>
          <w:rFonts w:eastAsia="Times New Roman"/>
        </w:rPr>
        <w:t xml:space="preserve">of air) </w:t>
      </w:r>
      <w:r>
        <w:rPr>
          <w:rFonts w:eastAsia="Times New Roman"/>
        </w:rPr>
        <w:t xml:space="preserve">dafyah </w:t>
      </w:r>
      <w:r w:rsidR="003670F3">
        <w:rPr>
          <w:rFonts w:eastAsia="Times New Roman"/>
        </w:rPr>
        <w:t xml:space="preserve">(warm) </w:t>
      </w:r>
      <w:r>
        <w:rPr>
          <w:rFonts w:eastAsia="Times New Roman"/>
        </w:rPr>
        <w:t>ʔmm</w:t>
      </w:r>
      <w:r w:rsidR="003670F3">
        <w:rPr>
          <w:rFonts w:eastAsia="Times New Roman"/>
        </w:rPr>
        <w:t xml:space="preserve"> (from)</w:t>
      </w:r>
      <w:r>
        <w:rPr>
          <w:rFonts w:eastAsia="Times New Roman"/>
        </w:rPr>
        <w:t xml:space="preserve"> ʔl</w:t>
      </w:r>
      <w:r w:rsidRPr="004501C3">
        <w:rPr>
          <w:rFonts w:eastAsia="Times New Roman"/>
        </w:rPr>
        <w:t xml:space="preserve">jamwb </w:t>
      </w:r>
      <w:r w:rsidR="003670F3">
        <w:rPr>
          <w:rFonts w:eastAsia="Times New Roman"/>
        </w:rPr>
        <w:t xml:space="preserve">(the south) </w:t>
      </w:r>
      <w:r w:rsidRPr="004501C3">
        <w:rPr>
          <w:rFonts w:eastAsia="Times New Roman"/>
        </w:rPr>
        <w:t xml:space="preserve">wi </w:t>
      </w:r>
      <w:r w:rsidR="003670F3">
        <w:rPr>
          <w:rFonts w:eastAsia="Times New Roman"/>
        </w:rPr>
        <w:t xml:space="preserve">(and) </w:t>
      </w:r>
      <w:r w:rsidRPr="004501C3">
        <w:rPr>
          <w:rFonts w:eastAsia="Times New Roman"/>
        </w:rPr>
        <w:t>k</w:t>
      </w:r>
      <w:r>
        <w:rPr>
          <w:rFonts w:eastAsia="Times New Roman"/>
        </w:rPr>
        <w:t xml:space="preserve">utlah </w:t>
      </w:r>
      <w:r w:rsidR="00F03702">
        <w:rPr>
          <w:rFonts w:eastAsia="Times New Roman"/>
        </w:rPr>
        <w:t>(</w:t>
      </w:r>
      <w:r w:rsidR="003670F3">
        <w:rPr>
          <w:rFonts w:eastAsia="Times New Roman"/>
        </w:rPr>
        <w:t xml:space="preserve">a mass) </w:t>
      </w:r>
      <w:r>
        <w:rPr>
          <w:rFonts w:eastAsia="Times New Roman"/>
        </w:rPr>
        <w:t xml:space="preserve">hwaʔiya </w:t>
      </w:r>
      <w:r w:rsidR="00F03702">
        <w:rPr>
          <w:rFonts w:eastAsia="Times New Roman"/>
        </w:rPr>
        <w:t>(</w:t>
      </w:r>
      <w:r w:rsidR="003670F3">
        <w:rPr>
          <w:rFonts w:eastAsia="Times New Roman"/>
        </w:rPr>
        <w:t xml:space="preserve">of air) </w:t>
      </w:r>
      <w:r>
        <w:rPr>
          <w:rFonts w:eastAsia="Times New Roman"/>
        </w:rPr>
        <w:t xml:space="preserve">dafyah </w:t>
      </w:r>
      <w:r w:rsidR="003670F3">
        <w:rPr>
          <w:rFonts w:eastAsia="Times New Roman"/>
        </w:rPr>
        <w:t xml:space="preserve">(warm) </w:t>
      </w:r>
      <w:r>
        <w:rPr>
          <w:rFonts w:eastAsia="Times New Roman"/>
        </w:rPr>
        <w:t>ʔmm</w:t>
      </w:r>
      <w:r w:rsidR="003670F3">
        <w:rPr>
          <w:rFonts w:eastAsia="Times New Roman"/>
        </w:rPr>
        <w:t xml:space="preserve"> (</w:t>
      </w:r>
      <w:r w:rsidR="00F03702">
        <w:rPr>
          <w:rFonts w:eastAsia="Times New Roman"/>
        </w:rPr>
        <w:t xml:space="preserve">coming </w:t>
      </w:r>
      <w:r w:rsidR="003670F3">
        <w:rPr>
          <w:rFonts w:eastAsia="Times New Roman"/>
        </w:rPr>
        <w:t>from)</w:t>
      </w:r>
      <w:r>
        <w:rPr>
          <w:rFonts w:eastAsia="Times New Roman"/>
        </w:rPr>
        <w:t xml:space="preserve"> ʔʃamaːl</w:t>
      </w:r>
      <w:r w:rsidR="00F03702">
        <w:rPr>
          <w:rFonts w:eastAsia="Times New Roman"/>
        </w:rPr>
        <w:t>(</w:t>
      </w:r>
      <w:r w:rsidR="003670F3">
        <w:rPr>
          <w:rFonts w:eastAsia="Times New Roman"/>
        </w:rPr>
        <w:t>the north).</w:t>
      </w:r>
    </w:p>
    <w:p w14:paraId="53F99150" w14:textId="5CBD1C95" w:rsidR="00A84217" w:rsidRDefault="00A84217" w:rsidP="00A84217">
      <w:pPr>
        <w:spacing w:line="480" w:lineRule="auto"/>
        <w:rPr>
          <w:rFonts w:eastAsia="Times New Roman"/>
        </w:rPr>
      </w:pPr>
      <w:r w:rsidRPr="0091392C">
        <w:rPr>
          <w:rFonts w:eastAsia="Times New Roman"/>
        </w:rPr>
        <w:lastRenderedPageBreak/>
        <w:t>ʕamatam</w:t>
      </w:r>
      <w:r w:rsidR="003670F3">
        <w:rPr>
          <w:rFonts w:eastAsia="Times New Roman"/>
        </w:rPr>
        <w:t xml:space="preserve"> (generally)</w:t>
      </w:r>
      <w:r>
        <w:rPr>
          <w:rFonts w:eastAsia="Times New Roman"/>
        </w:rPr>
        <w:t xml:space="preserve"> ʔl</w:t>
      </w:r>
      <w:r w:rsidRPr="00DE5AEF">
        <w:rPr>
          <w:rFonts w:eastAsia="Times New Roman"/>
          <w:b/>
          <w:bCs/>
          <w:color w:val="FF0000"/>
        </w:rPr>
        <w:t>ðˤ</w:t>
      </w:r>
      <w:r>
        <w:rPr>
          <w:rFonts w:eastAsia="Times New Roman"/>
        </w:rPr>
        <w:t xml:space="preserve">rwuf ʔɭmumaxyah </w:t>
      </w:r>
      <w:r w:rsidR="00F03702">
        <w:rPr>
          <w:rFonts w:eastAsia="Times New Roman"/>
        </w:rPr>
        <w:t>(</w:t>
      </w:r>
      <w:r w:rsidR="00F521AF">
        <w:rPr>
          <w:rFonts w:eastAsia="Times New Roman"/>
        </w:rPr>
        <w:t>climate conditions</w:t>
      </w:r>
      <w:r w:rsidR="003670F3">
        <w:rPr>
          <w:rFonts w:eastAsia="Times New Roman"/>
        </w:rPr>
        <w:t xml:space="preserve">) </w:t>
      </w:r>
      <w:r>
        <w:rPr>
          <w:rFonts w:eastAsia="Times New Roman"/>
        </w:rPr>
        <w:t xml:space="preserve">fi </w:t>
      </w:r>
      <w:r w:rsidR="003670F3">
        <w:rPr>
          <w:rFonts w:eastAsia="Times New Roman"/>
        </w:rPr>
        <w:t xml:space="preserve">(in) </w:t>
      </w:r>
      <w:r>
        <w:rPr>
          <w:rFonts w:eastAsia="Times New Roman"/>
        </w:rPr>
        <w:t xml:space="preserve">ʔlmamlakah </w:t>
      </w:r>
      <w:r w:rsidR="003670F3">
        <w:rPr>
          <w:rFonts w:eastAsia="Times New Roman"/>
        </w:rPr>
        <w:t>(</w:t>
      </w:r>
      <w:r w:rsidR="00F03702">
        <w:rPr>
          <w:rFonts w:eastAsia="Times New Roman"/>
        </w:rPr>
        <w:t xml:space="preserve">the </w:t>
      </w:r>
      <w:r w:rsidR="003670F3">
        <w:rPr>
          <w:rFonts w:eastAsia="Times New Roman"/>
        </w:rPr>
        <w:t xml:space="preserve">kingdom) </w:t>
      </w:r>
      <w:r>
        <w:rPr>
          <w:rFonts w:eastAsia="Times New Roman"/>
        </w:rPr>
        <w:t xml:space="preserve">ʔlʕarbyah </w:t>
      </w:r>
      <w:r w:rsidR="003670F3">
        <w:rPr>
          <w:rFonts w:eastAsia="Times New Roman"/>
        </w:rPr>
        <w:t xml:space="preserve">(Arabia) </w:t>
      </w:r>
      <w:r>
        <w:rPr>
          <w:rFonts w:eastAsia="Times New Roman"/>
        </w:rPr>
        <w:t>ʔ</w:t>
      </w:r>
      <w:r w:rsidRPr="0073427B">
        <w:rPr>
          <w:rFonts w:eastAsia="Times New Roman"/>
        </w:rPr>
        <w:t>suʕudyah</w:t>
      </w:r>
      <w:r w:rsidR="003670F3">
        <w:rPr>
          <w:rFonts w:eastAsia="Times New Roman"/>
        </w:rPr>
        <w:t xml:space="preserve"> (Saudi) </w:t>
      </w:r>
      <w:r>
        <w:rPr>
          <w:rFonts w:eastAsia="Times New Roman"/>
        </w:rPr>
        <w:t xml:space="preserve">taxtalif </w:t>
      </w:r>
      <w:r w:rsidR="003670F3">
        <w:rPr>
          <w:rFonts w:eastAsia="Times New Roman"/>
        </w:rPr>
        <w:t xml:space="preserve">(differ) </w:t>
      </w:r>
      <w:r>
        <w:rPr>
          <w:rFonts w:eastAsia="Times New Roman"/>
        </w:rPr>
        <w:t xml:space="preserve">ʕla </w:t>
      </w:r>
      <w:r w:rsidR="00F03702">
        <w:rPr>
          <w:rFonts w:eastAsia="Times New Roman"/>
        </w:rPr>
        <w:t>(</w:t>
      </w:r>
      <w:r w:rsidR="003670F3">
        <w:rPr>
          <w:rFonts w:eastAsia="Times New Roman"/>
        </w:rPr>
        <w:t xml:space="preserve">according) </w:t>
      </w:r>
      <w:r>
        <w:rPr>
          <w:rFonts w:eastAsia="Times New Roman"/>
        </w:rPr>
        <w:t xml:space="preserve">h̩asab </w:t>
      </w:r>
      <w:r w:rsidR="00F03702">
        <w:rPr>
          <w:rFonts w:eastAsia="Times New Roman"/>
        </w:rPr>
        <w:t>(</w:t>
      </w:r>
      <w:r w:rsidR="003670F3">
        <w:rPr>
          <w:rFonts w:eastAsia="Times New Roman"/>
        </w:rPr>
        <w:t xml:space="preserve">to) </w:t>
      </w:r>
      <w:r>
        <w:rPr>
          <w:rFonts w:eastAsia="Times New Roman"/>
        </w:rPr>
        <w:t>ʔl</w:t>
      </w:r>
      <w:r w:rsidRPr="00F22633">
        <w:rPr>
          <w:rFonts w:eastAsia="Times New Roman"/>
        </w:rPr>
        <w:t>mamt̩iɡa</w:t>
      </w:r>
      <w:r w:rsidR="003670F3">
        <w:rPr>
          <w:rFonts w:eastAsia="Times New Roman"/>
        </w:rPr>
        <w:t xml:space="preserve"> (the region). </w:t>
      </w:r>
    </w:p>
    <w:p w14:paraId="28489FA0" w14:textId="77777777" w:rsidR="00A84217" w:rsidRDefault="00A84217" w:rsidP="00A84217">
      <w:pPr>
        <w:spacing w:line="480" w:lineRule="auto"/>
        <w:rPr>
          <w:rFonts w:eastAsia="Times New Roman"/>
        </w:rPr>
      </w:pPr>
    </w:p>
    <w:p w14:paraId="052096BE" w14:textId="77777777" w:rsidR="00A84217" w:rsidRPr="000E3509" w:rsidRDefault="00A84217" w:rsidP="00A84217">
      <w:pPr>
        <w:spacing w:line="480" w:lineRule="auto"/>
        <w:rPr>
          <w:rFonts w:eastAsia="Times New Roman"/>
          <w:b/>
          <w:bCs/>
        </w:rPr>
      </w:pPr>
      <w:r w:rsidRPr="000E3509">
        <w:rPr>
          <w:rFonts w:eastAsia="Times New Roman"/>
          <w:b/>
          <w:bCs/>
        </w:rPr>
        <w:t>VS3</w:t>
      </w:r>
    </w:p>
    <w:p w14:paraId="4E43B3CA" w14:textId="1154E38D" w:rsidR="00A84217" w:rsidRPr="000E3509" w:rsidRDefault="00A84217" w:rsidP="00A84217">
      <w:pPr>
        <w:spacing w:line="480" w:lineRule="auto"/>
        <w:rPr>
          <w:rFonts w:eastAsia="Times New Roman"/>
        </w:rPr>
      </w:pPr>
      <w:r w:rsidRPr="000E3509">
        <w:rPr>
          <w:rFonts w:eastAsia="Times New Roman"/>
        </w:rPr>
        <w:t xml:space="preserve">ʔjaw </w:t>
      </w:r>
      <w:r w:rsidR="00F03702" w:rsidRPr="000E3509">
        <w:rPr>
          <w:rFonts w:eastAsia="Times New Roman"/>
        </w:rPr>
        <w:t>(</w:t>
      </w:r>
      <w:r w:rsidR="003670F3" w:rsidRPr="000E3509">
        <w:rPr>
          <w:rFonts w:eastAsia="Times New Roman"/>
        </w:rPr>
        <w:t xml:space="preserve">the weather) </w:t>
      </w:r>
      <w:r w:rsidRPr="000E3509">
        <w:rPr>
          <w:rFonts w:eastAsia="Times New Roman"/>
        </w:rPr>
        <w:t xml:space="preserve">ʕimdma </w:t>
      </w:r>
      <w:r w:rsidR="003670F3" w:rsidRPr="000E3509">
        <w:rPr>
          <w:rFonts w:eastAsia="Times New Roman"/>
        </w:rPr>
        <w:t xml:space="preserve">(in our country) </w:t>
      </w:r>
      <w:r w:rsidRPr="000E3509">
        <w:rPr>
          <w:rFonts w:eastAsia="Times New Roman"/>
        </w:rPr>
        <w:t xml:space="preserve">ya h̩abaybi </w:t>
      </w:r>
      <w:r w:rsidR="00F03702" w:rsidRPr="000E3509">
        <w:rPr>
          <w:rFonts w:eastAsia="Times New Roman"/>
        </w:rPr>
        <w:t>(</w:t>
      </w:r>
      <w:r w:rsidR="003670F3" w:rsidRPr="000E3509">
        <w:rPr>
          <w:rFonts w:eastAsia="Times New Roman"/>
        </w:rPr>
        <w:t xml:space="preserve">my dear) </w:t>
      </w:r>
      <w:r w:rsidRPr="000E3509">
        <w:rPr>
          <w:rFonts w:eastAsia="Times New Roman"/>
        </w:rPr>
        <w:t>mitɡalib</w:t>
      </w:r>
      <w:r w:rsidR="003670F3" w:rsidRPr="000E3509">
        <w:rPr>
          <w:rFonts w:eastAsia="Times New Roman"/>
        </w:rPr>
        <w:t xml:space="preserve"> (is varient) </w:t>
      </w:r>
    </w:p>
    <w:p w14:paraId="16553223" w14:textId="5ED44D15" w:rsidR="00A84217" w:rsidRPr="000E3509" w:rsidRDefault="00A84217" w:rsidP="00A84217">
      <w:pPr>
        <w:spacing w:line="480" w:lineRule="auto"/>
        <w:rPr>
          <w:rFonts w:eastAsia="Times New Roman"/>
          <w:b/>
          <w:bCs/>
          <w:color w:val="FF0000"/>
        </w:rPr>
      </w:pPr>
      <w:r w:rsidRPr="000E3509">
        <w:rPr>
          <w:rFonts w:eastAsia="Times New Roman"/>
        </w:rPr>
        <w:t>zay ma</w:t>
      </w:r>
      <w:r w:rsidRPr="000E3509">
        <w:rPr>
          <w:rFonts w:eastAsia="Times New Roman"/>
          <w:b/>
          <w:bCs/>
          <w:color w:val="FF0000"/>
        </w:rPr>
        <w:t>s</w:t>
      </w:r>
      <w:r w:rsidRPr="000E3509">
        <w:rPr>
          <w:rFonts w:eastAsia="Times New Roman"/>
        </w:rPr>
        <w:t xml:space="preserve">alam </w:t>
      </w:r>
      <w:r w:rsidR="003670F3" w:rsidRPr="000E3509">
        <w:rPr>
          <w:rFonts w:eastAsia="Times New Roman"/>
        </w:rPr>
        <w:t xml:space="preserve">(for example) </w:t>
      </w:r>
      <w:r w:rsidRPr="000E3509">
        <w:rPr>
          <w:rFonts w:eastAsia="Times New Roman"/>
        </w:rPr>
        <w:t xml:space="preserve">fiː </w:t>
      </w:r>
      <w:r w:rsidR="003670F3" w:rsidRPr="000E3509">
        <w:rPr>
          <w:rFonts w:eastAsia="Times New Roman"/>
        </w:rPr>
        <w:t xml:space="preserve">(in) </w:t>
      </w:r>
      <w:r w:rsidRPr="000E3509">
        <w:rPr>
          <w:rFonts w:eastAsia="Times New Roman"/>
        </w:rPr>
        <w:t xml:space="preserve">aʃamaːl </w:t>
      </w:r>
      <w:r w:rsidR="003670F3" w:rsidRPr="000E3509">
        <w:rPr>
          <w:rFonts w:eastAsia="Times New Roman"/>
        </w:rPr>
        <w:t xml:space="preserve">(the north) </w:t>
      </w:r>
      <w:r w:rsidRPr="000E3509">
        <w:rPr>
          <w:rFonts w:eastAsia="Times New Roman"/>
        </w:rPr>
        <w:t xml:space="preserve">aʃita </w:t>
      </w:r>
      <w:r w:rsidR="00F03702" w:rsidRPr="000E3509">
        <w:rPr>
          <w:rFonts w:eastAsia="Times New Roman"/>
        </w:rPr>
        <w:t>(w</w:t>
      </w:r>
      <w:r w:rsidR="003670F3" w:rsidRPr="000E3509">
        <w:rPr>
          <w:rFonts w:eastAsia="Times New Roman"/>
        </w:rPr>
        <w:t xml:space="preserve">inter) </w:t>
      </w:r>
      <w:r w:rsidRPr="000E3509">
        <w:rPr>
          <w:rFonts w:eastAsia="Times New Roman"/>
        </w:rPr>
        <w:t xml:space="preserve">ʕimdahum </w:t>
      </w:r>
      <w:r w:rsidR="00F03702" w:rsidRPr="000E3509">
        <w:rPr>
          <w:rFonts w:eastAsia="Times New Roman"/>
        </w:rPr>
        <w:t>(in their regio</w:t>
      </w:r>
      <w:r w:rsidR="003670F3" w:rsidRPr="000E3509">
        <w:rPr>
          <w:rFonts w:eastAsia="Times New Roman"/>
        </w:rPr>
        <w:t xml:space="preserve">n) </w:t>
      </w:r>
      <w:r w:rsidRPr="000E3509">
        <w:rPr>
          <w:rFonts w:eastAsia="Times New Roman"/>
        </w:rPr>
        <w:t>ba</w:t>
      </w:r>
      <w:r w:rsidRPr="000E3509">
        <w:rPr>
          <w:rFonts w:eastAsia="Times New Roman"/>
          <w:b/>
          <w:bCs/>
          <w:color w:val="FF0000"/>
        </w:rPr>
        <w:t>ɾ</w:t>
      </w:r>
      <w:r w:rsidRPr="000E3509">
        <w:rPr>
          <w:rFonts w:eastAsia="Times New Roman"/>
        </w:rPr>
        <w:t xml:space="preserve">d </w:t>
      </w:r>
      <w:r w:rsidR="003670F3" w:rsidRPr="000E3509">
        <w:rPr>
          <w:rFonts w:eastAsia="Times New Roman"/>
        </w:rPr>
        <w:t>(is cold)</w:t>
      </w:r>
    </w:p>
    <w:p w14:paraId="5D7135D1" w14:textId="19484460" w:rsidR="00A84217" w:rsidRPr="000E3509" w:rsidRDefault="00A84217" w:rsidP="00A84217">
      <w:pPr>
        <w:spacing w:line="480" w:lineRule="auto"/>
        <w:rPr>
          <w:rFonts w:eastAsia="Times New Roman"/>
          <w:color w:val="000000" w:themeColor="text1"/>
        </w:rPr>
      </w:pPr>
      <w:r w:rsidRPr="000E3509">
        <w:rPr>
          <w:rFonts w:eastAsia="Times New Roman"/>
          <w:color w:val="000000" w:themeColor="text1"/>
        </w:rPr>
        <w:t>wi</w:t>
      </w:r>
      <w:r w:rsidR="003670F3" w:rsidRPr="000E3509">
        <w:rPr>
          <w:rFonts w:eastAsia="Times New Roman"/>
          <w:color w:val="000000" w:themeColor="text1"/>
        </w:rPr>
        <w:t xml:space="preserve"> (and)</w:t>
      </w:r>
      <w:r w:rsidRPr="000E3509">
        <w:rPr>
          <w:rFonts w:eastAsia="Times New Roman"/>
          <w:color w:val="000000" w:themeColor="text1"/>
        </w:rPr>
        <w:t xml:space="preserve"> ma</w:t>
      </w:r>
      <w:r w:rsidRPr="000E3509">
        <w:rPr>
          <w:rFonts w:eastAsia="Times New Roman"/>
          <w:b/>
          <w:bCs/>
          <w:color w:val="FF0000"/>
        </w:rPr>
        <w:t>ɾ</w:t>
      </w:r>
      <w:r w:rsidRPr="000E3509">
        <w:rPr>
          <w:rFonts w:eastAsia="Times New Roman"/>
          <w:color w:val="000000" w:themeColor="text1"/>
        </w:rPr>
        <w:t>at</w:t>
      </w:r>
      <w:r w:rsidR="003670F3" w:rsidRPr="000E3509">
        <w:rPr>
          <w:rFonts w:eastAsia="Times New Roman"/>
          <w:color w:val="000000" w:themeColor="text1"/>
        </w:rPr>
        <w:t xml:space="preserve"> (sometimes)</w:t>
      </w:r>
      <w:r w:rsidRPr="000E3509">
        <w:rPr>
          <w:rFonts w:eastAsia="Times New Roman"/>
          <w:color w:val="000000" w:themeColor="text1"/>
        </w:rPr>
        <w:t xml:space="preserve"> ymzulahum </w:t>
      </w:r>
      <w:r w:rsidR="003670F3" w:rsidRPr="000E3509">
        <w:rPr>
          <w:rFonts w:eastAsia="Times New Roman"/>
          <w:color w:val="000000" w:themeColor="text1"/>
        </w:rPr>
        <w:t xml:space="preserve">(they have) </w:t>
      </w:r>
      <w:r w:rsidRPr="000E3509">
        <w:rPr>
          <w:rFonts w:eastAsia="Times New Roman"/>
          <w:b/>
          <w:bCs/>
          <w:color w:val="FF0000"/>
        </w:rPr>
        <w:t>t</w:t>
      </w:r>
      <w:r w:rsidRPr="000E3509">
        <w:rPr>
          <w:rFonts w:eastAsia="Times New Roman"/>
          <w:color w:val="000000" w:themeColor="text1"/>
        </w:rPr>
        <w:t>alj</w:t>
      </w:r>
      <w:r w:rsidR="003670F3" w:rsidRPr="000E3509">
        <w:rPr>
          <w:rFonts w:eastAsia="Times New Roman"/>
          <w:color w:val="000000" w:themeColor="text1"/>
        </w:rPr>
        <w:t xml:space="preserve"> (some snow)</w:t>
      </w:r>
    </w:p>
    <w:p w14:paraId="5B2A693E" w14:textId="0E7F5BB1" w:rsidR="00A84217" w:rsidRPr="000E3509" w:rsidRDefault="00A84217" w:rsidP="00A84217">
      <w:pPr>
        <w:spacing w:line="480" w:lineRule="auto"/>
        <w:rPr>
          <w:rFonts w:eastAsia="Times New Roman"/>
        </w:rPr>
      </w:pPr>
      <w:r w:rsidRPr="000E3509">
        <w:rPr>
          <w:rFonts w:eastAsia="Times New Roman"/>
        </w:rPr>
        <w:t xml:space="preserve">wa </w:t>
      </w:r>
      <w:r w:rsidR="008160A2" w:rsidRPr="000E3509">
        <w:rPr>
          <w:rFonts w:eastAsia="Times New Roman"/>
        </w:rPr>
        <w:t xml:space="preserve">(and) </w:t>
      </w:r>
      <w:r w:rsidRPr="000E3509">
        <w:rPr>
          <w:rFonts w:eastAsia="Times New Roman"/>
        </w:rPr>
        <w:t xml:space="preserve">ʔs̩yf </w:t>
      </w:r>
      <w:r w:rsidR="008160A2" w:rsidRPr="000E3509">
        <w:rPr>
          <w:rFonts w:eastAsia="Times New Roman"/>
        </w:rPr>
        <w:t xml:space="preserve">(summer) </w:t>
      </w:r>
      <w:r w:rsidRPr="000E3509">
        <w:rPr>
          <w:rFonts w:eastAsia="Times New Roman"/>
        </w:rPr>
        <w:t xml:space="preserve">ʕimdahm </w:t>
      </w:r>
      <w:r w:rsidR="008160A2" w:rsidRPr="000E3509">
        <w:rPr>
          <w:rFonts w:eastAsia="Times New Roman"/>
        </w:rPr>
        <w:t xml:space="preserve">(in their region) </w:t>
      </w:r>
      <w:r w:rsidRPr="000E3509">
        <w:rPr>
          <w:rFonts w:eastAsia="Times New Roman"/>
        </w:rPr>
        <w:t>dafa</w:t>
      </w:r>
      <w:r w:rsidR="008160A2" w:rsidRPr="000E3509">
        <w:rPr>
          <w:rFonts w:eastAsia="Times New Roman"/>
        </w:rPr>
        <w:t xml:space="preserve"> (warm)</w:t>
      </w:r>
    </w:p>
    <w:p w14:paraId="051452F5" w14:textId="797C1B0A" w:rsidR="00A84217" w:rsidRPr="000E3509" w:rsidRDefault="00A84217" w:rsidP="00A84217">
      <w:pPr>
        <w:spacing w:line="480" w:lineRule="auto"/>
        <w:rPr>
          <w:rFonts w:eastAsia="Times New Roman"/>
        </w:rPr>
      </w:pPr>
      <w:r w:rsidRPr="000E3509">
        <w:rPr>
          <w:rFonts w:eastAsia="Times New Roman"/>
        </w:rPr>
        <w:t xml:space="preserve">ʔma </w:t>
      </w:r>
      <w:r w:rsidR="008160A2" w:rsidRPr="000E3509">
        <w:rPr>
          <w:rFonts w:eastAsia="Times New Roman"/>
        </w:rPr>
        <w:t xml:space="preserve">(while) </w:t>
      </w:r>
      <w:r w:rsidRPr="000E3509">
        <w:rPr>
          <w:rFonts w:eastAsia="Times New Roman"/>
        </w:rPr>
        <w:t xml:space="preserve">ʔljamub </w:t>
      </w:r>
      <w:r w:rsidR="008160A2" w:rsidRPr="000E3509">
        <w:rPr>
          <w:rFonts w:eastAsia="Times New Roman"/>
        </w:rPr>
        <w:t xml:space="preserve">(the south) </w:t>
      </w:r>
      <w:r w:rsidRPr="000E3509">
        <w:rPr>
          <w:rFonts w:eastAsia="Times New Roman"/>
        </w:rPr>
        <w:t xml:space="preserve">jawahum </w:t>
      </w:r>
      <w:r w:rsidR="008160A2" w:rsidRPr="000E3509">
        <w:rPr>
          <w:rFonts w:eastAsia="Times New Roman"/>
        </w:rPr>
        <w:t xml:space="preserve">(their weather) </w:t>
      </w:r>
      <w:r w:rsidRPr="000E3509">
        <w:rPr>
          <w:rFonts w:eastAsia="Times New Roman"/>
        </w:rPr>
        <w:t xml:space="preserve">yiʃbah </w:t>
      </w:r>
      <w:r w:rsidR="008160A2" w:rsidRPr="000E3509">
        <w:rPr>
          <w:rFonts w:eastAsia="Times New Roman"/>
        </w:rPr>
        <w:t xml:space="preserve">(similar to) ʔʃamal (the noth) </w:t>
      </w:r>
      <w:r w:rsidRPr="000E3509">
        <w:rPr>
          <w:rFonts w:eastAsia="Times New Roman"/>
        </w:rPr>
        <w:t>ʃuwya</w:t>
      </w:r>
      <w:r w:rsidR="008160A2" w:rsidRPr="000E3509">
        <w:rPr>
          <w:rFonts w:eastAsia="Times New Roman"/>
        </w:rPr>
        <w:t xml:space="preserve"> (a bit)</w:t>
      </w:r>
    </w:p>
    <w:p w14:paraId="77BF35E6" w14:textId="4B0C49FC" w:rsidR="00A84217" w:rsidRPr="000E3509" w:rsidRDefault="00A84217" w:rsidP="00A84217">
      <w:pPr>
        <w:spacing w:line="480" w:lineRule="auto"/>
        <w:rPr>
          <w:rFonts w:eastAsia="Times New Roman"/>
        </w:rPr>
      </w:pPr>
      <w:r w:rsidRPr="000E3509">
        <w:rPr>
          <w:rFonts w:eastAsia="Times New Roman"/>
        </w:rPr>
        <w:t xml:space="preserve">ʔila ʔimu </w:t>
      </w:r>
      <w:r w:rsidR="008160A2" w:rsidRPr="000E3509">
        <w:rPr>
          <w:rFonts w:eastAsia="Times New Roman"/>
        </w:rPr>
        <w:t xml:space="preserve">(though) </w:t>
      </w:r>
      <w:r w:rsidRPr="000E3509">
        <w:rPr>
          <w:rFonts w:eastAsia="Times New Roman"/>
        </w:rPr>
        <w:t xml:space="preserve">yumzul lahum </w:t>
      </w:r>
      <w:r w:rsidR="00F03702" w:rsidRPr="000E3509">
        <w:rPr>
          <w:rFonts w:eastAsia="Times New Roman"/>
        </w:rPr>
        <w:t>(</w:t>
      </w:r>
      <w:r w:rsidR="008160A2" w:rsidRPr="000E3509">
        <w:rPr>
          <w:rFonts w:eastAsia="Times New Roman"/>
        </w:rPr>
        <w:t xml:space="preserve">they have) </w:t>
      </w:r>
      <w:r w:rsidRPr="000E3509">
        <w:rPr>
          <w:rFonts w:eastAsia="Times New Roman"/>
        </w:rPr>
        <w:t xml:space="preserve">ʔah̩yamam </w:t>
      </w:r>
      <w:r w:rsidR="00F03702" w:rsidRPr="000E3509">
        <w:rPr>
          <w:rFonts w:eastAsia="Times New Roman"/>
        </w:rPr>
        <w:t>(</w:t>
      </w:r>
      <w:r w:rsidR="008160A2" w:rsidRPr="000E3509">
        <w:rPr>
          <w:rFonts w:eastAsia="Times New Roman"/>
        </w:rPr>
        <w:t xml:space="preserve">sometimeas) </w:t>
      </w:r>
      <w:r w:rsidRPr="000E3509">
        <w:rPr>
          <w:rFonts w:eastAsia="Times New Roman"/>
        </w:rPr>
        <w:t>mat̩a</w:t>
      </w:r>
      <w:r w:rsidRPr="000E3509">
        <w:rPr>
          <w:rFonts w:eastAsia="Times New Roman"/>
          <w:b/>
          <w:bCs/>
          <w:color w:val="FF0000"/>
        </w:rPr>
        <w:t>ɾ</w:t>
      </w:r>
      <w:r w:rsidRPr="000E3509">
        <w:rPr>
          <w:rFonts w:eastAsia="Times New Roman"/>
        </w:rPr>
        <w:t xml:space="preserve"> </w:t>
      </w:r>
      <w:r w:rsidR="008160A2" w:rsidRPr="000E3509">
        <w:rPr>
          <w:rFonts w:eastAsia="Times New Roman"/>
        </w:rPr>
        <w:t xml:space="preserve">(rain) </w:t>
      </w:r>
      <w:r w:rsidRPr="000E3509">
        <w:rPr>
          <w:rFonts w:eastAsia="Times New Roman"/>
        </w:rPr>
        <w:t xml:space="preserve">fiː </w:t>
      </w:r>
      <w:r w:rsidR="008160A2" w:rsidRPr="000E3509">
        <w:rPr>
          <w:rFonts w:eastAsia="Times New Roman"/>
        </w:rPr>
        <w:t xml:space="preserve">(in) </w:t>
      </w:r>
      <w:r w:rsidRPr="000E3509">
        <w:rPr>
          <w:rFonts w:eastAsia="Times New Roman"/>
        </w:rPr>
        <w:t xml:space="preserve">fas̩l </w:t>
      </w:r>
      <w:r w:rsidR="008160A2" w:rsidRPr="000E3509">
        <w:rPr>
          <w:rFonts w:eastAsia="Times New Roman"/>
        </w:rPr>
        <w:t xml:space="preserve">(season) </w:t>
      </w:r>
      <w:r w:rsidRPr="000E3509">
        <w:rPr>
          <w:rFonts w:eastAsia="Times New Roman"/>
        </w:rPr>
        <w:t>ʔas̩yaf</w:t>
      </w:r>
      <w:r w:rsidR="008160A2" w:rsidRPr="000E3509">
        <w:rPr>
          <w:rFonts w:eastAsia="Times New Roman"/>
        </w:rPr>
        <w:t xml:space="preserve"> (summer). </w:t>
      </w:r>
    </w:p>
    <w:p w14:paraId="7D83C1E5" w14:textId="146B47B6" w:rsidR="00A84217" w:rsidRPr="00447046" w:rsidRDefault="00A84217" w:rsidP="00A84217">
      <w:pPr>
        <w:spacing w:line="480" w:lineRule="auto"/>
        <w:rPr>
          <w:rFonts w:eastAsia="Times New Roman"/>
          <w:color w:val="000000" w:themeColor="text1"/>
        </w:rPr>
      </w:pPr>
      <w:r w:rsidRPr="000E3509">
        <w:rPr>
          <w:rFonts w:eastAsia="Times New Roman"/>
        </w:rPr>
        <w:t xml:space="preserve">fiː </w:t>
      </w:r>
      <w:r w:rsidR="008160A2" w:rsidRPr="000E3509">
        <w:rPr>
          <w:rFonts w:eastAsia="Times New Roman"/>
        </w:rPr>
        <w:t xml:space="preserve">(in) </w:t>
      </w:r>
      <w:r w:rsidRPr="000E3509">
        <w:rPr>
          <w:rFonts w:eastAsia="Times New Roman"/>
        </w:rPr>
        <w:t xml:space="preserve">ʔlmamt̩iɡah </w:t>
      </w:r>
      <w:r w:rsidR="00F03702" w:rsidRPr="000E3509">
        <w:rPr>
          <w:rFonts w:eastAsia="Times New Roman"/>
        </w:rPr>
        <w:t>(the regio</w:t>
      </w:r>
      <w:r w:rsidR="008160A2" w:rsidRPr="000E3509">
        <w:rPr>
          <w:rFonts w:eastAsia="Times New Roman"/>
        </w:rPr>
        <w:t xml:space="preserve">n) </w:t>
      </w:r>
      <w:r w:rsidRPr="000E3509">
        <w:rPr>
          <w:rFonts w:eastAsia="Times New Roman"/>
        </w:rPr>
        <w:t>aʃa</w:t>
      </w:r>
      <w:r w:rsidRPr="000E3509">
        <w:rPr>
          <w:rFonts w:eastAsia="Times New Roman"/>
          <w:b/>
          <w:bCs/>
          <w:color w:val="FF0000"/>
        </w:rPr>
        <w:t>ɾ</w:t>
      </w:r>
      <w:r w:rsidRPr="000E3509">
        <w:rPr>
          <w:rFonts w:eastAsia="Times New Roman"/>
        </w:rPr>
        <w:t xml:space="preserve">ɡyah </w:t>
      </w:r>
      <w:r w:rsidR="008160A2" w:rsidRPr="000E3509">
        <w:rPr>
          <w:rFonts w:eastAsia="Times New Roman"/>
        </w:rPr>
        <w:t xml:space="preserve">(eastern) </w:t>
      </w:r>
      <w:r w:rsidRPr="000E3509">
        <w:rPr>
          <w:rFonts w:eastAsia="Times New Roman"/>
        </w:rPr>
        <w:t>ba</w:t>
      </w:r>
      <w:r w:rsidRPr="000E3509">
        <w:rPr>
          <w:rFonts w:eastAsia="Times New Roman"/>
          <w:b/>
          <w:bCs/>
          <w:color w:val="FF0000"/>
        </w:rPr>
        <w:t>ɾ</w:t>
      </w:r>
      <w:r w:rsidRPr="000E3509">
        <w:rPr>
          <w:rFonts w:eastAsia="Times New Roman"/>
        </w:rPr>
        <w:t xml:space="preserve">dahum </w:t>
      </w:r>
      <w:r w:rsidR="008160A2" w:rsidRPr="000E3509">
        <w:rPr>
          <w:rFonts w:eastAsia="Times New Roman"/>
        </w:rPr>
        <w:t xml:space="preserve">(their coldness) </w:t>
      </w:r>
      <w:r w:rsidRPr="000E3509">
        <w:rPr>
          <w:rFonts w:eastAsia="Times New Roman"/>
        </w:rPr>
        <w:t>ba</w:t>
      </w:r>
      <w:r w:rsidRPr="000E3509">
        <w:rPr>
          <w:rFonts w:eastAsia="Times New Roman"/>
          <w:b/>
          <w:bCs/>
          <w:color w:val="FF0000"/>
        </w:rPr>
        <w:t>ɾ</w:t>
      </w:r>
      <w:r w:rsidRPr="000E3509">
        <w:rPr>
          <w:rFonts w:eastAsia="Times New Roman"/>
        </w:rPr>
        <w:t xml:space="preserve">d </w:t>
      </w:r>
      <w:r w:rsidR="008160A2" w:rsidRPr="000E3509">
        <w:rPr>
          <w:rFonts w:eastAsia="Times New Roman"/>
        </w:rPr>
        <w:t xml:space="preserve">(is harsh) </w:t>
      </w:r>
      <w:r w:rsidRPr="000E3509">
        <w:rPr>
          <w:rFonts w:eastAsia="Times New Roman"/>
        </w:rPr>
        <w:t xml:space="preserve">wi </w:t>
      </w:r>
      <w:r w:rsidR="008160A2" w:rsidRPr="000E3509">
        <w:rPr>
          <w:rFonts w:eastAsia="Times New Roman"/>
        </w:rPr>
        <w:t xml:space="preserve">(and) </w:t>
      </w:r>
      <w:r w:rsidRPr="000E3509">
        <w:rPr>
          <w:rFonts w:eastAsia="Times New Roman"/>
        </w:rPr>
        <w:t>h̩a</w:t>
      </w:r>
      <w:r w:rsidRPr="000E3509">
        <w:rPr>
          <w:rFonts w:eastAsia="Times New Roman"/>
          <w:b/>
          <w:bCs/>
          <w:color w:val="FF0000"/>
        </w:rPr>
        <w:t>ɾ</w:t>
      </w:r>
      <w:r w:rsidRPr="000E3509">
        <w:rPr>
          <w:rFonts w:eastAsia="Times New Roman"/>
        </w:rPr>
        <w:t xml:space="preserve">ahum </w:t>
      </w:r>
      <w:r w:rsidR="008160A2" w:rsidRPr="000E3509">
        <w:rPr>
          <w:rFonts w:eastAsia="Times New Roman"/>
        </w:rPr>
        <w:t xml:space="preserve">(their hot weather) </w:t>
      </w:r>
      <w:r w:rsidRPr="000E3509">
        <w:rPr>
          <w:rFonts w:eastAsia="Times New Roman"/>
        </w:rPr>
        <w:t>h̩a</w:t>
      </w:r>
      <w:r w:rsidRPr="000E3509">
        <w:rPr>
          <w:rFonts w:eastAsia="Times New Roman"/>
          <w:b/>
          <w:bCs/>
          <w:color w:val="FF0000"/>
        </w:rPr>
        <w:t xml:space="preserve">ɾ </w:t>
      </w:r>
      <w:r w:rsidR="008160A2" w:rsidRPr="00447046">
        <w:rPr>
          <w:rFonts w:eastAsia="Times New Roman"/>
          <w:color w:val="000000" w:themeColor="text1"/>
        </w:rPr>
        <w:t>(is extremely hot)</w:t>
      </w:r>
    </w:p>
    <w:p w14:paraId="42B26C72" w14:textId="1411C7E1" w:rsidR="00A84217" w:rsidRPr="000E3509" w:rsidRDefault="00A84217" w:rsidP="00A84217">
      <w:pPr>
        <w:spacing w:line="480" w:lineRule="auto"/>
        <w:rPr>
          <w:rFonts w:eastAsia="Times New Roman"/>
        </w:rPr>
      </w:pPr>
      <w:r w:rsidRPr="000E3509">
        <w:rPr>
          <w:rFonts w:eastAsia="Times New Roman"/>
        </w:rPr>
        <w:t>yimxu</w:t>
      </w:r>
      <w:r w:rsidRPr="000E3509">
        <w:rPr>
          <w:rFonts w:eastAsia="Times New Roman"/>
          <w:b/>
          <w:bCs/>
          <w:color w:val="FF0000"/>
        </w:rPr>
        <w:t>ɾ</w:t>
      </w:r>
      <w:r w:rsidRPr="000E3509">
        <w:rPr>
          <w:rFonts w:eastAsia="Times New Roman"/>
          <w:b/>
          <w:bCs/>
        </w:rPr>
        <w:t xml:space="preserve"> </w:t>
      </w:r>
      <w:r w:rsidRPr="000E3509">
        <w:rPr>
          <w:rFonts w:eastAsia="Times New Roman"/>
        </w:rPr>
        <w:t>fiː ʔlʕa</w:t>
      </w:r>
      <w:r w:rsidRPr="000E3509">
        <w:rPr>
          <w:rFonts w:eastAsia="Calibri" w:cs="Arial"/>
          <w:color w:val="FF0000"/>
        </w:rPr>
        <w:t>dˤ</w:t>
      </w:r>
      <w:r w:rsidRPr="000E3509">
        <w:rPr>
          <w:rFonts w:eastAsia="Times New Roman"/>
        </w:rPr>
        <w:t>im</w:t>
      </w:r>
      <w:r w:rsidR="00F03702" w:rsidRPr="000E3509">
        <w:rPr>
          <w:rFonts w:eastAsia="Times New Roman"/>
        </w:rPr>
        <w:t xml:space="preserve"> (</w:t>
      </w:r>
      <w:r w:rsidR="008160A2" w:rsidRPr="000E3509">
        <w:rPr>
          <w:rFonts w:eastAsia="Times New Roman"/>
        </w:rPr>
        <w:t>it gets inside the b</w:t>
      </w:r>
      <w:r w:rsidR="00F03702" w:rsidRPr="000E3509">
        <w:rPr>
          <w:rFonts w:eastAsia="Times New Roman"/>
        </w:rPr>
        <w:t>o</w:t>
      </w:r>
      <w:r w:rsidR="008160A2" w:rsidRPr="000E3509">
        <w:rPr>
          <w:rFonts w:eastAsia="Times New Roman"/>
        </w:rPr>
        <w:t>dy)</w:t>
      </w:r>
      <w:r w:rsidRPr="000E3509">
        <w:rPr>
          <w:rFonts w:eastAsia="Times New Roman"/>
        </w:rPr>
        <w:t xml:space="preserve"> zy ma byiɡulu</w:t>
      </w:r>
      <w:r w:rsidR="008160A2" w:rsidRPr="000E3509">
        <w:rPr>
          <w:rFonts w:eastAsia="Times New Roman"/>
        </w:rPr>
        <w:t xml:space="preserve"> (as they say).</w:t>
      </w:r>
    </w:p>
    <w:p w14:paraId="51F72DCD" w14:textId="77777777" w:rsidR="00A84217" w:rsidRPr="000E3509" w:rsidRDefault="00A84217" w:rsidP="00A84217">
      <w:pPr>
        <w:spacing w:line="480" w:lineRule="auto"/>
      </w:pPr>
    </w:p>
    <w:p w14:paraId="12A4E9E4" w14:textId="77777777" w:rsidR="00A84217" w:rsidRPr="000E3509" w:rsidRDefault="00A84217" w:rsidP="00A84217">
      <w:pPr>
        <w:spacing w:line="480" w:lineRule="auto"/>
        <w:rPr>
          <w:b/>
          <w:bCs/>
        </w:rPr>
      </w:pPr>
      <w:r w:rsidRPr="000E3509">
        <w:rPr>
          <w:b/>
          <w:bCs/>
        </w:rPr>
        <w:t>VS4</w:t>
      </w:r>
    </w:p>
    <w:p w14:paraId="5BAD9031" w14:textId="23AFF081" w:rsidR="00A84217" w:rsidRPr="000E3509" w:rsidRDefault="00A84217" w:rsidP="00A84217">
      <w:pPr>
        <w:spacing w:line="480" w:lineRule="auto"/>
        <w:rPr>
          <w:rFonts w:eastAsia="Times New Roman"/>
        </w:rPr>
      </w:pPr>
      <w:r w:rsidRPr="000E3509">
        <w:rPr>
          <w:rFonts w:eastAsia="Times New Roman"/>
        </w:rPr>
        <w:t xml:space="preserve">raːh̩ </w:t>
      </w:r>
      <w:r w:rsidR="004F3FFD" w:rsidRPr="000E3509">
        <w:rPr>
          <w:rFonts w:eastAsia="Times New Roman"/>
        </w:rPr>
        <w:t xml:space="preserve">(we will) </w:t>
      </w:r>
      <w:r w:rsidRPr="000E3509">
        <w:rPr>
          <w:rFonts w:eastAsia="Times New Roman"/>
        </w:rPr>
        <w:t xml:space="preserve">mitkalam </w:t>
      </w:r>
      <w:r w:rsidR="004F3FFD" w:rsidRPr="000E3509">
        <w:rPr>
          <w:rFonts w:eastAsia="Times New Roman"/>
        </w:rPr>
        <w:t xml:space="preserve">(talk) </w:t>
      </w:r>
      <w:r w:rsidRPr="000E3509">
        <w:rPr>
          <w:rFonts w:eastAsia="Times New Roman"/>
        </w:rPr>
        <w:t xml:space="preserve">ʕam </w:t>
      </w:r>
      <w:r w:rsidR="004F3FFD" w:rsidRPr="000E3509">
        <w:rPr>
          <w:rFonts w:eastAsia="Times New Roman"/>
        </w:rPr>
        <w:t>(about)</w:t>
      </w:r>
      <w:r w:rsidRPr="000E3509">
        <w:rPr>
          <w:rFonts w:eastAsia="Times New Roman"/>
        </w:rPr>
        <w:t xml:space="preserve"> ʔl</w:t>
      </w:r>
      <w:r w:rsidRPr="000E3509">
        <w:rPr>
          <w:rFonts w:eastAsia="Times New Roman"/>
          <w:b/>
          <w:bCs/>
          <w:color w:val="FF0000"/>
        </w:rPr>
        <w:t>ðˤ</w:t>
      </w:r>
      <w:r w:rsidRPr="000E3509">
        <w:rPr>
          <w:rFonts w:eastAsia="Times New Roman"/>
        </w:rPr>
        <w:t xml:space="preserve">rwuf </w:t>
      </w:r>
      <w:r w:rsidR="00F521AF" w:rsidRPr="000E3509">
        <w:rPr>
          <w:rFonts w:eastAsia="Times New Roman"/>
        </w:rPr>
        <w:t xml:space="preserve">(conditions) </w:t>
      </w:r>
      <w:r w:rsidRPr="000E3509">
        <w:rPr>
          <w:rFonts w:eastAsia="Times New Roman"/>
        </w:rPr>
        <w:t>ʔlmumaxyah</w:t>
      </w:r>
      <w:r w:rsidR="00F521AF" w:rsidRPr="000E3509">
        <w:rPr>
          <w:rFonts w:eastAsia="Times New Roman"/>
        </w:rPr>
        <w:t xml:space="preserve"> (climate)</w:t>
      </w:r>
      <w:r w:rsidRPr="000E3509">
        <w:rPr>
          <w:rFonts w:eastAsia="Times New Roman"/>
        </w:rPr>
        <w:t xml:space="preserve"> fi </w:t>
      </w:r>
      <w:r w:rsidR="00F521AF" w:rsidRPr="000E3509">
        <w:rPr>
          <w:rFonts w:eastAsia="Times New Roman"/>
        </w:rPr>
        <w:t xml:space="preserve">(in) </w:t>
      </w:r>
      <w:r w:rsidRPr="000E3509">
        <w:rPr>
          <w:rFonts w:eastAsia="Times New Roman"/>
        </w:rPr>
        <w:t xml:space="preserve">ʔɭmamɭakah </w:t>
      </w:r>
      <w:r w:rsidR="00F521AF" w:rsidRPr="000E3509">
        <w:rPr>
          <w:rFonts w:eastAsia="Times New Roman"/>
        </w:rPr>
        <w:t xml:space="preserve">(kingdom) </w:t>
      </w:r>
      <w:r w:rsidRPr="000E3509">
        <w:rPr>
          <w:rFonts w:eastAsia="Times New Roman"/>
        </w:rPr>
        <w:t>ʔlʕarbyah</w:t>
      </w:r>
      <w:r w:rsidR="00F521AF" w:rsidRPr="000E3509">
        <w:rPr>
          <w:rFonts w:eastAsia="Times New Roman"/>
        </w:rPr>
        <w:t xml:space="preserve"> (Arabia)</w:t>
      </w:r>
      <w:r w:rsidRPr="000E3509">
        <w:rPr>
          <w:rFonts w:eastAsia="Times New Roman"/>
        </w:rPr>
        <w:t xml:space="preserve"> ʔlsuʕudyah</w:t>
      </w:r>
      <w:r w:rsidR="00F521AF" w:rsidRPr="000E3509">
        <w:rPr>
          <w:rFonts w:eastAsia="Times New Roman"/>
        </w:rPr>
        <w:t xml:space="preserve"> (Saudi)</w:t>
      </w:r>
    </w:p>
    <w:p w14:paraId="2C8182C4" w14:textId="0536C12D" w:rsidR="00A84217" w:rsidRPr="000E3509" w:rsidRDefault="00A84217" w:rsidP="00A84217">
      <w:pPr>
        <w:spacing w:line="480" w:lineRule="auto"/>
        <w:rPr>
          <w:rFonts w:eastAsia="Times New Roman"/>
        </w:rPr>
      </w:pPr>
      <w:r w:rsidRPr="000E3509">
        <w:rPr>
          <w:rFonts w:eastAsia="Times New Roman"/>
        </w:rPr>
        <w:lastRenderedPageBreak/>
        <w:t xml:space="preserve">ʕimdik </w:t>
      </w:r>
      <w:r w:rsidR="00F521AF" w:rsidRPr="000E3509">
        <w:rPr>
          <w:rFonts w:eastAsia="Times New Roman"/>
        </w:rPr>
        <w:t xml:space="preserve">(for example) </w:t>
      </w:r>
      <w:r w:rsidRPr="000E3509">
        <w:rPr>
          <w:rFonts w:eastAsia="Times New Roman"/>
        </w:rPr>
        <w:t xml:space="preserve">majd </w:t>
      </w:r>
      <w:r w:rsidR="00F521AF" w:rsidRPr="000E3509">
        <w:rPr>
          <w:rFonts w:eastAsia="Times New Roman"/>
        </w:rPr>
        <w:t>(the central re</w:t>
      </w:r>
      <w:r w:rsidR="00F03702" w:rsidRPr="000E3509">
        <w:rPr>
          <w:rFonts w:eastAsia="Times New Roman"/>
        </w:rPr>
        <w:t>gio</w:t>
      </w:r>
      <w:r w:rsidR="00F521AF" w:rsidRPr="000E3509">
        <w:rPr>
          <w:rFonts w:eastAsia="Times New Roman"/>
        </w:rPr>
        <w:t xml:space="preserve">n) </w:t>
      </w:r>
      <w:r w:rsidRPr="000E3509">
        <w:rPr>
          <w:rFonts w:eastAsia="Times New Roman"/>
        </w:rPr>
        <w:t>ʔjwaʔhaː</w:t>
      </w:r>
      <w:r w:rsidR="00126C10" w:rsidRPr="000E3509">
        <w:rPr>
          <w:rFonts w:eastAsia="Times New Roman"/>
        </w:rPr>
        <w:t>(their weather)</w:t>
      </w:r>
      <w:r w:rsidRPr="000E3509">
        <w:rPr>
          <w:rFonts w:eastAsia="Times New Roman"/>
        </w:rPr>
        <w:t xml:space="preserve"> matˌ</w:t>
      </w:r>
      <w:r w:rsidRPr="000E3509">
        <w:rPr>
          <w:rFonts w:eastAsia="Times New Roman"/>
          <w:b/>
          <w:bCs/>
          <w:color w:val="FF0000"/>
        </w:rPr>
        <w:t>r</w:t>
      </w:r>
      <w:r w:rsidRPr="000E3509">
        <w:rPr>
          <w:rFonts w:eastAsia="Times New Roman"/>
        </w:rPr>
        <w:t xml:space="preserve">ah </w:t>
      </w:r>
      <w:r w:rsidR="003E1743" w:rsidRPr="000E3509">
        <w:rPr>
          <w:rFonts w:eastAsia="Times New Roman"/>
        </w:rPr>
        <w:t xml:space="preserve">(rainy) </w:t>
      </w:r>
      <w:r w:rsidRPr="000E3509">
        <w:rPr>
          <w:rFonts w:eastAsia="Times New Roman"/>
        </w:rPr>
        <w:t xml:space="preserve">ʔu </w:t>
      </w:r>
      <w:r w:rsidR="003E1743" w:rsidRPr="000E3509">
        <w:rPr>
          <w:rFonts w:eastAsia="Times New Roman"/>
        </w:rPr>
        <w:t xml:space="preserve">(and) </w:t>
      </w:r>
      <w:r w:rsidRPr="000E3509">
        <w:rPr>
          <w:rFonts w:eastAsia="Times New Roman"/>
        </w:rPr>
        <w:t>ba</w:t>
      </w:r>
      <w:r w:rsidRPr="000E3509">
        <w:rPr>
          <w:rFonts w:eastAsia="Times New Roman"/>
          <w:b/>
          <w:bCs/>
          <w:color w:val="FF0000"/>
        </w:rPr>
        <w:t>r</w:t>
      </w:r>
      <w:r w:rsidRPr="000E3509">
        <w:rPr>
          <w:rFonts w:eastAsia="Times New Roman"/>
        </w:rPr>
        <w:t xml:space="preserve">dah </w:t>
      </w:r>
      <w:r w:rsidR="003E1743" w:rsidRPr="000E3509">
        <w:rPr>
          <w:rFonts w:eastAsia="Times New Roman"/>
        </w:rPr>
        <w:t xml:space="preserve">(cold) </w:t>
      </w:r>
      <w:r w:rsidRPr="000E3509">
        <w:rPr>
          <w:rFonts w:eastAsia="Times New Roman"/>
        </w:rPr>
        <w:t xml:space="preserve">ba </w:t>
      </w:r>
      <w:r w:rsidR="003E1743" w:rsidRPr="000E3509">
        <w:rPr>
          <w:rFonts w:eastAsia="Times New Roman"/>
        </w:rPr>
        <w:t xml:space="preserve">(in) </w:t>
      </w:r>
      <w:r w:rsidRPr="000E3509">
        <w:rPr>
          <w:rFonts w:eastAsia="Times New Roman"/>
        </w:rPr>
        <w:t xml:space="preserve">aʃita </w:t>
      </w:r>
      <w:r w:rsidR="003E1743" w:rsidRPr="000E3509">
        <w:rPr>
          <w:rFonts w:eastAsia="Times New Roman"/>
        </w:rPr>
        <w:t>(winter)</w:t>
      </w:r>
    </w:p>
    <w:p w14:paraId="7F82604E" w14:textId="766B2F77" w:rsidR="00A84217" w:rsidRPr="000E3509" w:rsidRDefault="00A84217" w:rsidP="00A84217">
      <w:pPr>
        <w:spacing w:line="480" w:lineRule="auto"/>
        <w:rPr>
          <w:rFonts w:eastAsia="Times New Roman"/>
        </w:rPr>
      </w:pPr>
      <w:r w:rsidRPr="000E3509">
        <w:rPr>
          <w:rFonts w:eastAsia="Times New Roman"/>
        </w:rPr>
        <w:t xml:space="preserve">ʔmma </w:t>
      </w:r>
      <w:r w:rsidR="003E1743" w:rsidRPr="000E3509">
        <w:rPr>
          <w:rFonts w:eastAsia="Times New Roman"/>
        </w:rPr>
        <w:t xml:space="preserve">(while) </w:t>
      </w:r>
      <w:r w:rsidRPr="000E3509">
        <w:rPr>
          <w:rFonts w:eastAsia="Times New Roman"/>
        </w:rPr>
        <w:t xml:space="preserve">as̩yf </w:t>
      </w:r>
      <w:r w:rsidR="003E1743" w:rsidRPr="000E3509">
        <w:rPr>
          <w:rFonts w:eastAsia="Times New Roman"/>
        </w:rPr>
        <w:t xml:space="preserve">(in the summer) </w:t>
      </w:r>
      <w:r w:rsidRPr="000E3509">
        <w:rPr>
          <w:rFonts w:eastAsia="Times New Roman"/>
        </w:rPr>
        <w:t xml:space="preserve">jaf </w:t>
      </w:r>
      <w:r w:rsidR="003E1743" w:rsidRPr="000E3509">
        <w:rPr>
          <w:rFonts w:eastAsia="Times New Roman"/>
        </w:rPr>
        <w:t xml:space="preserve">(dry) </w:t>
      </w:r>
      <w:r w:rsidRPr="000E3509">
        <w:rPr>
          <w:rFonts w:eastAsia="Times New Roman"/>
        </w:rPr>
        <w:t xml:space="preserve">wi </w:t>
      </w:r>
      <w:r w:rsidR="003E1743" w:rsidRPr="000E3509">
        <w:rPr>
          <w:rFonts w:eastAsia="Times New Roman"/>
        </w:rPr>
        <w:t xml:space="preserve">(and) </w:t>
      </w:r>
      <w:r w:rsidRPr="000E3509">
        <w:rPr>
          <w:rFonts w:eastAsia="Times New Roman"/>
        </w:rPr>
        <w:t>h̩a</w:t>
      </w:r>
      <w:r w:rsidRPr="000E3509">
        <w:rPr>
          <w:rFonts w:eastAsia="Times New Roman"/>
          <w:b/>
          <w:bCs/>
          <w:color w:val="FF0000"/>
        </w:rPr>
        <w:t>r</w:t>
      </w:r>
      <w:r w:rsidR="003E1743" w:rsidRPr="000E3509">
        <w:rPr>
          <w:rFonts w:eastAsia="Times New Roman"/>
          <w:b/>
          <w:bCs/>
          <w:color w:val="FF0000"/>
        </w:rPr>
        <w:t xml:space="preserve"> </w:t>
      </w:r>
      <w:r w:rsidR="003E1743" w:rsidRPr="0090420C">
        <w:rPr>
          <w:rFonts w:eastAsia="Times New Roman"/>
          <w:color w:val="000000" w:themeColor="text1"/>
        </w:rPr>
        <w:t>(hot)</w:t>
      </w:r>
    </w:p>
    <w:p w14:paraId="47B59F00" w14:textId="57210A76" w:rsidR="00A84217" w:rsidRPr="000E3509" w:rsidRDefault="00A84217" w:rsidP="00A84217">
      <w:pPr>
        <w:spacing w:line="480" w:lineRule="auto"/>
        <w:rPr>
          <w:rFonts w:eastAsia="Times New Roman"/>
        </w:rPr>
      </w:pPr>
      <w:r w:rsidRPr="000E3509">
        <w:rPr>
          <w:rFonts w:eastAsia="Times New Roman"/>
        </w:rPr>
        <w:t xml:space="preserve">ʔmma </w:t>
      </w:r>
      <w:r w:rsidR="003E1743" w:rsidRPr="000E3509">
        <w:rPr>
          <w:rFonts w:eastAsia="Times New Roman"/>
        </w:rPr>
        <w:t xml:space="preserve">(as for) </w:t>
      </w:r>
      <w:r w:rsidRPr="000E3509">
        <w:rPr>
          <w:rFonts w:eastAsia="Times New Roman"/>
        </w:rPr>
        <w:t xml:space="preserve">aljamwb </w:t>
      </w:r>
      <w:r w:rsidR="003E1743" w:rsidRPr="000E3509">
        <w:rPr>
          <w:rFonts w:eastAsia="Times New Roman"/>
        </w:rPr>
        <w:t xml:space="preserve">(the south) </w:t>
      </w:r>
      <w:r w:rsidRPr="000E3509">
        <w:rPr>
          <w:rFonts w:eastAsia="Times New Roman"/>
        </w:rPr>
        <w:t xml:space="preserve">daːfi </w:t>
      </w:r>
      <w:r w:rsidR="003E1743" w:rsidRPr="000E3509">
        <w:rPr>
          <w:rFonts w:eastAsia="Times New Roman"/>
        </w:rPr>
        <w:t xml:space="preserve">(warm) </w:t>
      </w:r>
      <w:r w:rsidRPr="000E3509">
        <w:rPr>
          <w:rFonts w:eastAsia="Times New Roman"/>
        </w:rPr>
        <w:t xml:space="preserve">wa </w:t>
      </w:r>
      <w:r w:rsidR="003E1743" w:rsidRPr="000E3509">
        <w:rPr>
          <w:rFonts w:eastAsia="Times New Roman"/>
        </w:rPr>
        <w:t xml:space="preserve">(and) </w:t>
      </w:r>
      <w:r w:rsidRPr="000E3509">
        <w:rPr>
          <w:rFonts w:eastAsia="Times New Roman"/>
        </w:rPr>
        <w:t xml:space="preserve">mumkim </w:t>
      </w:r>
      <w:r w:rsidR="003E1743" w:rsidRPr="000E3509">
        <w:rPr>
          <w:rFonts w:eastAsia="Times New Roman"/>
        </w:rPr>
        <w:t xml:space="preserve">(maybe) </w:t>
      </w:r>
      <w:r w:rsidRPr="000E3509">
        <w:rPr>
          <w:rFonts w:eastAsia="Times New Roman"/>
        </w:rPr>
        <w:t>yijih</w:t>
      </w:r>
      <w:r w:rsidR="003E1743" w:rsidRPr="000E3509">
        <w:rPr>
          <w:rFonts w:eastAsia="Times New Roman"/>
        </w:rPr>
        <w:t xml:space="preserve"> (it has)</w:t>
      </w:r>
      <w:r w:rsidRPr="000E3509">
        <w:rPr>
          <w:rFonts w:eastAsia="Times New Roman"/>
        </w:rPr>
        <w:t xml:space="preserve"> r</w:t>
      </w:r>
      <w:r w:rsidRPr="000E3509">
        <w:rPr>
          <w:rFonts w:eastAsia="Times New Roman"/>
          <w:b/>
          <w:bCs/>
          <w:color w:val="FF0000"/>
        </w:rPr>
        <w:t>ð</w:t>
      </w:r>
      <w:r w:rsidRPr="000E3509">
        <w:rPr>
          <w:rFonts w:eastAsia="Times New Roman"/>
        </w:rPr>
        <w:t>aː</w:t>
      </w:r>
      <w:r w:rsidRPr="000E3509">
        <w:rPr>
          <w:rFonts w:eastAsia="Times New Roman"/>
          <w:b/>
          <w:bCs/>
          <w:color w:val="FF0000"/>
        </w:rPr>
        <w:t>ð</w:t>
      </w:r>
      <w:r w:rsidRPr="000E3509">
        <w:rPr>
          <w:rFonts w:eastAsia="Times New Roman"/>
        </w:rPr>
        <w:t xml:space="preserve"> </w:t>
      </w:r>
      <w:r w:rsidR="003E1743" w:rsidRPr="000E3509">
        <w:rPr>
          <w:rFonts w:eastAsia="Times New Roman"/>
        </w:rPr>
        <w:t xml:space="preserve">( drops) </w:t>
      </w:r>
      <w:r w:rsidRPr="000E3509">
        <w:rPr>
          <w:rFonts w:eastAsia="Times New Roman"/>
        </w:rPr>
        <w:t xml:space="preserve">imm aɭmat̩ar </w:t>
      </w:r>
      <w:r w:rsidR="00F03702" w:rsidRPr="000E3509">
        <w:rPr>
          <w:rFonts w:eastAsia="Times New Roman"/>
        </w:rPr>
        <w:t>(</w:t>
      </w:r>
      <w:r w:rsidR="003E1743" w:rsidRPr="000E3509">
        <w:rPr>
          <w:rFonts w:eastAsia="Times New Roman"/>
        </w:rPr>
        <w:t xml:space="preserve">of rains) </w:t>
      </w:r>
      <w:r w:rsidRPr="000E3509">
        <w:rPr>
          <w:rFonts w:eastAsia="Times New Roman"/>
        </w:rPr>
        <w:t>bils̩yf</w:t>
      </w:r>
      <w:r w:rsidR="003E1743" w:rsidRPr="000E3509">
        <w:rPr>
          <w:rFonts w:eastAsia="Times New Roman"/>
        </w:rPr>
        <w:t xml:space="preserve"> (in the summer)</w:t>
      </w:r>
    </w:p>
    <w:p w14:paraId="1DA196D9" w14:textId="5DBDC556" w:rsidR="00A84217" w:rsidRPr="000E3509" w:rsidRDefault="00A84217" w:rsidP="00A84217">
      <w:pPr>
        <w:spacing w:line="480" w:lineRule="auto"/>
        <w:rPr>
          <w:rFonts w:eastAsia="Times New Roman"/>
        </w:rPr>
      </w:pPr>
      <w:r w:rsidRPr="000E3509">
        <w:rPr>
          <w:rFonts w:eastAsia="Times New Roman"/>
        </w:rPr>
        <w:t xml:space="preserve">wimʃuf </w:t>
      </w:r>
      <w:r w:rsidR="00F03702" w:rsidRPr="000E3509">
        <w:rPr>
          <w:rFonts w:eastAsia="Times New Roman"/>
        </w:rPr>
        <w:t>(</w:t>
      </w:r>
      <w:r w:rsidR="003E1743" w:rsidRPr="000E3509">
        <w:rPr>
          <w:rFonts w:eastAsia="Times New Roman"/>
        </w:rPr>
        <w:t xml:space="preserve">while when we see) </w:t>
      </w:r>
      <w:r w:rsidRPr="000E3509">
        <w:rPr>
          <w:rFonts w:eastAsia="Times New Roman"/>
        </w:rPr>
        <w:t xml:space="preserve">ʔʃamal </w:t>
      </w:r>
      <w:r w:rsidR="003E1743" w:rsidRPr="000E3509">
        <w:rPr>
          <w:rFonts w:eastAsia="Times New Roman"/>
        </w:rPr>
        <w:t xml:space="preserve">(the north) </w:t>
      </w:r>
      <w:r w:rsidRPr="000E3509">
        <w:rPr>
          <w:rFonts w:eastAsia="Times New Roman"/>
        </w:rPr>
        <w:t xml:space="preserve">ʔjwaʔh </w:t>
      </w:r>
      <w:r w:rsidR="003E1743" w:rsidRPr="000E3509">
        <w:rPr>
          <w:rFonts w:eastAsia="Times New Roman"/>
        </w:rPr>
        <w:t xml:space="preserve">(their weather) </w:t>
      </w:r>
      <w:r w:rsidRPr="000E3509">
        <w:rPr>
          <w:rFonts w:eastAsia="Times New Roman"/>
        </w:rPr>
        <w:t xml:space="preserve">jaːfah </w:t>
      </w:r>
      <w:r w:rsidR="00F03702" w:rsidRPr="000E3509">
        <w:rPr>
          <w:rFonts w:eastAsia="Times New Roman"/>
        </w:rPr>
        <w:t>(</w:t>
      </w:r>
      <w:r w:rsidR="003E1743" w:rsidRPr="000E3509">
        <w:rPr>
          <w:rFonts w:eastAsia="Times New Roman"/>
        </w:rPr>
        <w:t xml:space="preserve">dry) </w:t>
      </w:r>
      <w:r w:rsidRPr="000E3509">
        <w:rPr>
          <w:rFonts w:eastAsia="Times New Roman"/>
        </w:rPr>
        <w:t>biʃakil ʕaːm</w:t>
      </w:r>
      <w:r w:rsidR="003E1743" w:rsidRPr="000E3509">
        <w:rPr>
          <w:rFonts w:eastAsia="Times New Roman"/>
        </w:rPr>
        <w:t xml:space="preserve"> (generally)</w:t>
      </w:r>
    </w:p>
    <w:p w14:paraId="5B24C01F" w14:textId="77777777" w:rsidR="00A84217" w:rsidRPr="000E3509" w:rsidRDefault="00A84217" w:rsidP="00A84217">
      <w:pPr>
        <w:spacing w:line="480" w:lineRule="auto"/>
        <w:rPr>
          <w:rFonts w:eastAsia="Times New Roman"/>
        </w:rPr>
      </w:pPr>
    </w:p>
    <w:p w14:paraId="2BEB556E" w14:textId="77777777" w:rsidR="00A84217" w:rsidRPr="000E3509" w:rsidRDefault="00A84217" w:rsidP="00A84217">
      <w:pPr>
        <w:spacing w:line="480" w:lineRule="auto"/>
        <w:rPr>
          <w:rFonts w:eastAsia="Times New Roman"/>
          <w:b/>
          <w:bCs/>
        </w:rPr>
      </w:pPr>
      <w:r w:rsidRPr="000E3509">
        <w:rPr>
          <w:rFonts w:eastAsia="Times New Roman"/>
          <w:b/>
          <w:bCs/>
        </w:rPr>
        <w:t>VS5</w:t>
      </w:r>
    </w:p>
    <w:p w14:paraId="7E393393" w14:textId="518BB6D2" w:rsidR="00A84217" w:rsidRPr="000E3509" w:rsidRDefault="00A84217" w:rsidP="00A84217">
      <w:pPr>
        <w:spacing w:line="480" w:lineRule="auto"/>
        <w:rPr>
          <w:rFonts w:eastAsia="Times New Roman"/>
        </w:rPr>
      </w:pPr>
      <w:r w:rsidRPr="000E3509">
        <w:rPr>
          <w:rFonts w:eastAsia="Times New Roman"/>
        </w:rPr>
        <w:t>ʔsaɭaim ʕɭykum wa rah̩matu allaːh wa barakatuh</w:t>
      </w:r>
      <w:r w:rsidR="00F03702" w:rsidRPr="000E3509">
        <w:rPr>
          <w:rFonts w:eastAsia="Times New Roman"/>
        </w:rPr>
        <w:t xml:space="preserve"> (peace be upon you all</w:t>
      </w:r>
      <w:r w:rsidR="00BC5E8F" w:rsidRPr="000E3509">
        <w:rPr>
          <w:rFonts w:eastAsia="Times New Roman"/>
        </w:rPr>
        <w:t>)</w:t>
      </w:r>
    </w:p>
    <w:p w14:paraId="737C8DB4" w14:textId="0A61E599" w:rsidR="00A84217" w:rsidRPr="000E3509" w:rsidRDefault="00A84217" w:rsidP="00A84217">
      <w:pPr>
        <w:spacing w:line="480" w:lineRule="auto"/>
        <w:rPr>
          <w:rFonts w:eastAsia="Times New Roman"/>
        </w:rPr>
      </w:pPr>
      <w:r w:rsidRPr="000E3509">
        <w:rPr>
          <w:rFonts w:eastAsia="Times New Roman"/>
        </w:rPr>
        <w:t>haː</w:t>
      </w:r>
      <w:r w:rsidRPr="000E3509">
        <w:rPr>
          <w:rFonts w:eastAsia="Times New Roman"/>
          <w:b/>
          <w:bCs/>
          <w:color w:val="FF0000"/>
        </w:rPr>
        <w:t>ð</w:t>
      </w:r>
      <w:r w:rsidRPr="000E3509">
        <w:rPr>
          <w:rFonts w:eastAsia="Times New Roman"/>
        </w:rPr>
        <w:t xml:space="preserve">i </w:t>
      </w:r>
      <w:r w:rsidR="00BC5E8F" w:rsidRPr="000E3509">
        <w:rPr>
          <w:rFonts w:eastAsia="Times New Roman"/>
        </w:rPr>
        <w:t xml:space="preserve">(these) </w:t>
      </w:r>
      <w:r w:rsidRPr="000E3509">
        <w:rPr>
          <w:rFonts w:eastAsia="Times New Roman"/>
        </w:rPr>
        <w:t xml:space="preserve">alʔyaːm </w:t>
      </w:r>
      <w:r w:rsidR="00BC5E8F" w:rsidRPr="000E3509">
        <w:rPr>
          <w:rFonts w:eastAsia="Times New Roman"/>
        </w:rPr>
        <w:t xml:space="preserve">(days) </w:t>
      </w:r>
      <w:r w:rsidRPr="000E3509">
        <w:rPr>
          <w:rFonts w:eastAsia="Times New Roman"/>
        </w:rPr>
        <w:t xml:space="preserve">tamur </w:t>
      </w:r>
      <w:r w:rsidR="00BC5E8F" w:rsidRPr="000E3509">
        <w:rPr>
          <w:rFonts w:eastAsia="Times New Roman"/>
        </w:rPr>
        <w:t xml:space="preserve">(experience) </w:t>
      </w:r>
      <w:r w:rsidRPr="000E3509">
        <w:rPr>
          <w:rFonts w:eastAsia="Times New Roman"/>
        </w:rPr>
        <w:t xml:space="preserve">ʔsuʕudyah </w:t>
      </w:r>
      <w:r w:rsidR="00BC5E8F" w:rsidRPr="000E3509">
        <w:rPr>
          <w:rFonts w:eastAsia="Times New Roman"/>
        </w:rPr>
        <w:t xml:space="preserve">(Saudi Arabia) </w:t>
      </w:r>
      <w:r w:rsidRPr="000E3509">
        <w:rPr>
          <w:rFonts w:eastAsia="Times New Roman"/>
        </w:rPr>
        <w:t xml:space="preserve">biʔjwaʔ </w:t>
      </w:r>
      <w:r w:rsidR="00F03702" w:rsidRPr="000E3509">
        <w:rPr>
          <w:rFonts w:eastAsia="Times New Roman"/>
        </w:rPr>
        <w:t>(</w:t>
      </w:r>
      <w:r w:rsidR="00BC5E8F" w:rsidRPr="000E3509">
        <w:rPr>
          <w:rFonts w:eastAsia="Times New Roman"/>
        </w:rPr>
        <w:t xml:space="preserve">weather) </w:t>
      </w:r>
      <w:r w:rsidRPr="000E3509">
        <w:rPr>
          <w:rFonts w:eastAsia="Times New Roman"/>
        </w:rPr>
        <w:t xml:space="preserve">dafyah </w:t>
      </w:r>
      <w:r w:rsidR="00BC5E8F" w:rsidRPr="000E3509">
        <w:rPr>
          <w:rFonts w:eastAsia="Times New Roman"/>
        </w:rPr>
        <w:t xml:space="preserve">(warm) </w:t>
      </w:r>
      <w:r w:rsidRPr="000E3509">
        <w:rPr>
          <w:rFonts w:eastAsia="Times New Roman"/>
        </w:rPr>
        <w:t>tuʔ</w:t>
      </w:r>
      <w:r w:rsidRPr="003233A9">
        <w:rPr>
          <w:rFonts w:eastAsia="Times New Roman"/>
          <w:b/>
          <w:bCs/>
          <w:color w:val="FF0000"/>
        </w:rPr>
        <w:t>θ</w:t>
      </w:r>
      <w:r w:rsidRPr="000E3509">
        <w:rPr>
          <w:rFonts w:eastAsia="Times New Roman"/>
        </w:rPr>
        <w:t xml:space="preserve">ir </w:t>
      </w:r>
      <w:r w:rsidR="00BC5E8F" w:rsidRPr="000E3509">
        <w:rPr>
          <w:rFonts w:eastAsia="Times New Roman"/>
        </w:rPr>
        <w:t xml:space="preserve">(which affects) </w:t>
      </w:r>
      <w:r w:rsidRPr="000E3509">
        <w:rPr>
          <w:rFonts w:eastAsia="Times New Roman"/>
        </w:rPr>
        <w:t xml:space="preserve">ʕla </w:t>
      </w:r>
      <w:r w:rsidR="00BC5E8F" w:rsidRPr="000E3509">
        <w:rPr>
          <w:rFonts w:eastAsia="Times New Roman"/>
        </w:rPr>
        <w:t xml:space="preserve">(on) </w:t>
      </w:r>
      <w:r w:rsidRPr="000E3509">
        <w:rPr>
          <w:rFonts w:eastAsia="Times New Roman"/>
        </w:rPr>
        <w:t xml:space="preserve">mmaːt̩iɡ </w:t>
      </w:r>
      <w:r w:rsidR="00BC5E8F" w:rsidRPr="000E3509">
        <w:rPr>
          <w:rFonts w:eastAsia="Times New Roman"/>
        </w:rPr>
        <w:t>(</w:t>
      </w:r>
      <w:r w:rsidR="00F03702" w:rsidRPr="000E3509">
        <w:rPr>
          <w:rFonts w:eastAsia="Times New Roman"/>
        </w:rPr>
        <w:t xml:space="preserve">all </w:t>
      </w:r>
      <w:r w:rsidR="00BC5E8F" w:rsidRPr="000E3509">
        <w:rPr>
          <w:rFonts w:eastAsia="Times New Roman"/>
        </w:rPr>
        <w:t xml:space="preserve">regions) </w:t>
      </w:r>
      <w:r w:rsidRPr="000E3509">
        <w:rPr>
          <w:rFonts w:eastAsia="Times New Roman"/>
        </w:rPr>
        <w:t xml:space="preserve">ʔɭmamɭakah </w:t>
      </w:r>
      <w:r w:rsidR="00BC5E8F" w:rsidRPr="000E3509">
        <w:rPr>
          <w:rFonts w:eastAsia="Times New Roman"/>
        </w:rPr>
        <w:t xml:space="preserve">(of the kingdom) </w:t>
      </w:r>
      <w:r w:rsidRPr="000E3509">
        <w:rPr>
          <w:rFonts w:eastAsia="Times New Roman"/>
        </w:rPr>
        <w:t>biʃakil ʕaːm</w:t>
      </w:r>
      <w:r w:rsidR="00BC5E8F" w:rsidRPr="000E3509">
        <w:rPr>
          <w:rFonts w:eastAsia="Times New Roman"/>
        </w:rPr>
        <w:t xml:space="preserve"> (generally).</w:t>
      </w:r>
    </w:p>
    <w:p w14:paraId="0C55239C" w14:textId="2309C414" w:rsidR="00A84217" w:rsidRPr="000E3509" w:rsidRDefault="00A84217" w:rsidP="00A84217">
      <w:pPr>
        <w:spacing w:line="480" w:lineRule="auto"/>
        <w:rPr>
          <w:rFonts w:eastAsia="Times New Roman"/>
        </w:rPr>
      </w:pPr>
      <w:r w:rsidRPr="000E3509">
        <w:rPr>
          <w:rFonts w:eastAsia="Times New Roman"/>
        </w:rPr>
        <w:t xml:space="preserve">fyi baʕdˌ ʔlʔh̩yaːm </w:t>
      </w:r>
      <w:r w:rsidR="00BC5E8F" w:rsidRPr="000E3509">
        <w:rPr>
          <w:rFonts w:eastAsia="Times New Roman"/>
        </w:rPr>
        <w:t xml:space="preserve">(sometimes) </w:t>
      </w:r>
      <w:r w:rsidRPr="000E3509">
        <w:rPr>
          <w:rFonts w:eastAsia="Times New Roman"/>
        </w:rPr>
        <w:t xml:space="preserve">mamt̩iɡat </w:t>
      </w:r>
      <w:r w:rsidR="00BC5E8F" w:rsidRPr="000E3509">
        <w:rPr>
          <w:rFonts w:eastAsia="Times New Roman"/>
        </w:rPr>
        <w:t xml:space="preserve">(region) </w:t>
      </w:r>
      <w:r w:rsidRPr="000E3509">
        <w:rPr>
          <w:rFonts w:eastAsia="Times New Roman"/>
        </w:rPr>
        <w:t xml:space="preserve">ʔʃamal </w:t>
      </w:r>
      <w:r w:rsidR="00BC5E8F" w:rsidRPr="000E3509">
        <w:rPr>
          <w:rFonts w:eastAsia="Times New Roman"/>
        </w:rPr>
        <w:t xml:space="preserve">(nothern) </w:t>
      </w:r>
      <w:r w:rsidRPr="000E3509">
        <w:rPr>
          <w:rFonts w:eastAsia="Times New Roman"/>
        </w:rPr>
        <w:t xml:space="preserve">tkwum </w:t>
      </w:r>
      <w:r w:rsidR="00BC5E8F" w:rsidRPr="000E3509">
        <w:rPr>
          <w:rFonts w:eastAsia="Times New Roman"/>
        </w:rPr>
        <w:t xml:space="preserve">(becomes) </w:t>
      </w:r>
      <w:r w:rsidRPr="000E3509">
        <w:rPr>
          <w:rFonts w:eastAsia="Times New Roman"/>
        </w:rPr>
        <w:t>ʔbrad</w:t>
      </w:r>
      <w:r w:rsidR="00BC5E8F" w:rsidRPr="000E3509">
        <w:rPr>
          <w:rFonts w:eastAsia="Times New Roman"/>
        </w:rPr>
        <w:t xml:space="preserve"> (colder)</w:t>
      </w:r>
      <w:r w:rsidRPr="000E3509">
        <w:rPr>
          <w:rFonts w:eastAsia="Times New Roman"/>
        </w:rPr>
        <w:t xml:space="preserve"> mim</w:t>
      </w:r>
      <w:r w:rsidR="00BC5E8F" w:rsidRPr="000E3509">
        <w:rPr>
          <w:rFonts w:eastAsia="Times New Roman"/>
        </w:rPr>
        <w:t xml:space="preserve"> (than)</w:t>
      </w:r>
      <w:r w:rsidRPr="000E3509">
        <w:rPr>
          <w:rFonts w:eastAsia="Times New Roman"/>
        </w:rPr>
        <w:t xml:space="preserve"> mmt̩iɡat </w:t>
      </w:r>
      <w:r w:rsidR="00BC5E8F" w:rsidRPr="000E3509">
        <w:rPr>
          <w:rFonts w:eastAsia="Times New Roman"/>
        </w:rPr>
        <w:t xml:space="preserve">(region) </w:t>
      </w:r>
      <w:r w:rsidRPr="000E3509">
        <w:rPr>
          <w:rFonts w:eastAsia="Times New Roman"/>
        </w:rPr>
        <w:t xml:space="preserve">majd </w:t>
      </w:r>
      <w:r w:rsidR="00BC5E8F" w:rsidRPr="000E3509">
        <w:rPr>
          <w:rFonts w:eastAsia="Times New Roman"/>
        </w:rPr>
        <w:t xml:space="preserve">(the central </w:t>
      </w:r>
      <w:r w:rsidR="00F03702" w:rsidRPr="000E3509">
        <w:rPr>
          <w:rFonts w:eastAsia="Times New Roman"/>
        </w:rPr>
        <w:t>regio</w:t>
      </w:r>
      <w:r w:rsidR="00BC5E8F" w:rsidRPr="000E3509">
        <w:rPr>
          <w:rFonts w:eastAsia="Times New Roman"/>
        </w:rPr>
        <w:t xml:space="preserve">n) </w:t>
      </w:r>
      <w:r w:rsidRPr="000E3509">
        <w:rPr>
          <w:rFonts w:eastAsia="Times New Roman"/>
        </w:rPr>
        <w:t xml:space="preserve">wa </w:t>
      </w:r>
      <w:r w:rsidR="00BC5E8F" w:rsidRPr="000E3509">
        <w:rPr>
          <w:rFonts w:eastAsia="Times New Roman"/>
        </w:rPr>
        <w:t xml:space="preserve">(and) </w:t>
      </w:r>
      <w:r w:rsidRPr="000E3509">
        <w:rPr>
          <w:rFonts w:eastAsia="Times New Roman"/>
        </w:rPr>
        <w:t>ʔljamwb</w:t>
      </w:r>
      <w:r w:rsidR="00F03702" w:rsidRPr="000E3509">
        <w:rPr>
          <w:rFonts w:eastAsia="Times New Roman"/>
        </w:rPr>
        <w:t xml:space="preserve"> (the south</w:t>
      </w:r>
      <w:r w:rsidR="00BC5E8F" w:rsidRPr="000E3509">
        <w:rPr>
          <w:rFonts w:eastAsia="Times New Roman"/>
        </w:rPr>
        <w:t>)</w:t>
      </w:r>
    </w:p>
    <w:p w14:paraId="3943DCD5" w14:textId="278EB060" w:rsidR="00A84217" w:rsidRPr="000E3509" w:rsidRDefault="00A84217" w:rsidP="00A84217">
      <w:pPr>
        <w:spacing w:line="480" w:lineRule="auto"/>
        <w:rPr>
          <w:rFonts w:eastAsia="Times New Roman"/>
        </w:rPr>
      </w:pPr>
      <w:r w:rsidRPr="000E3509">
        <w:rPr>
          <w:rFonts w:eastAsia="Times New Roman"/>
        </w:rPr>
        <w:t>ʕamatam</w:t>
      </w:r>
      <w:r w:rsidR="00BC5E8F" w:rsidRPr="000E3509">
        <w:rPr>
          <w:rFonts w:eastAsia="Times New Roman"/>
        </w:rPr>
        <w:t xml:space="preserve"> (generally)</w:t>
      </w:r>
      <w:r w:rsidRPr="000E3509">
        <w:rPr>
          <w:rFonts w:eastAsia="Times New Roman"/>
        </w:rPr>
        <w:t xml:space="preserve"> ʔjwaːʔ </w:t>
      </w:r>
      <w:r w:rsidR="00BC5E8F" w:rsidRPr="000E3509">
        <w:rPr>
          <w:rFonts w:eastAsia="Times New Roman"/>
        </w:rPr>
        <w:t xml:space="preserve">(the weather) </w:t>
      </w:r>
      <w:r w:rsidRPr="000E3509">
        <w:rPr>
          <w:rFonts w:eastAsia="Times New Roman"/>
        </w:rPr>
        <w:t>ʔlmamlakah</w:t>
      </w:r>
      <w:r w:rsidR="00BC5E8F" w:rsidRPr="000E3509">
        <w:rPr>
          <w:rFonts w:eastAsia="Times New Roman"/>
        </w:rPr>
        <w:t xml:space="preserve"> (of the kingdom)</w:t>
      </w:r>
      <w:r w:rsidRPr="000E3509">
        <w:rPr>
          <w:rFonts w:eastAsia="Times New Roman"/>
        </w:rPr>
        <w:t xml:space="preserve"> daːfyah </w:t>
      </w:r>
      <w:r w:rsidR="00237280" w:rsidRPr="000E3509">
        <w:rPr>
          <w:rFonts w:eastAsia="Times New Roman"/>
        </w:rPr>
        <w:t xml:space="preserve">(warm) </w:t>
      </w:r>
      <w:r w:rsidRPr="000E3509">
        <w:rPr>
          <w:rFonts w:eastAsia="Times New Roman"/>
        </w:rPr>
        <w:t xml:space="preserve">fiː </w:t>
      </w:r>
      <w:r w:rsidR="00237280" w:rsidRPr="000E3509">
        <w:rPr>
          <w:rFonts w:eastAsia="Times New Roman"/>
        </w:rPr>
        <w:t xml:space="preserve">(during) </w:t>
      </w:r>
      <w:r w:rsidRPr="000E3509">
        <w:rPr>
          <w:rFonts w:eastAsia="Times New Roman"/>
        </w:rPr>
        <w:t xml:space="preserve">kil </w:t>
      </w:r>
      <w:r w:rsidR="00237280" w:rsidRPr="000E3509">
        <w:rPr>
          <w:rFonts w:eastAsia="Times New Roman"/>
        </w:rPr>
        <w:t xml:space="preserve">(all) </w:t>
      </w:r>
      <w:r w:rsidRPr="000E3509">
        <w:rPr>
          <w:rFonts w:eastAsia="Times New Roman"/>
        </w:rPr>
        <w:t>ʔlfus̩ul</w:t>
      </w:r>
      <w:r w:rsidR="00237280" w:rsidRPr="000E3509">
        <w:rPr>
          <w:rFonts w:eastAsia="Times New Roman"/>
        </w:rPr>
        <w:t xml:space="preserve"> (seasons). </w:t>
      </w:r>
    </w:p>
    <w:p w14:paraId="7B7BA3F4" w14:textId="77777777" w:rsidR="00A84217" w:rsidRPr="000E3509" w:rsidRDefault="00A84217" w:rsidP="00A84217">
      <w:pPr>
        <w:spacing w:line="480" w:lineRule="auto"/>
        <w:rPr>
          <w:rFonts w:eastAsia="Times New Roman"/>
        </w:rPr>
      </w:pPr>
    </w:p>
    <w:p w14:paraId="514DB9E8" w14:textId="77777777" w:rsidR="00A84217" w:rsidRPr="000E3509" w:rsidRDefault="00A84217" w:rsidP="00A84217">
      <w:pPr>
        <w:spacing w:line="480" w:lineRule="auto"/>
        <w:rPr>
          <w:rFonts w:eastAsia="Times New Roman"/>
        </w:rPr>
      </w:pPr>
    </w:p>
    <w:p w14:paraId="2DE1D346" w14:textId="77777777" w:rsidR="00A84217" w:rsidRPr="000E3509" w:rsidRDefault="00A84217" w:rsidP="00A84217">
      <w:pPr>
        <w:spacing w:line="480" w:lineRule="auto"/>
        <w:rPr>
          <w:rFonts w:eastAsia="Times New Roman"/>
        </w:rPr>
      </w:pPr>
    </w:p>
    <w:p w14:paraId="4B72DDAD" w14:textId="77777777" w:rsidR="00A84217" w:rsidRPr="000E3509" w:rsidRDefault="00A84217" w:rsidP="00A84217">
      <w:pPr>
        <w:spacing w:line="480" w:lineRule="auto"/>
        <w:rPr>
          <w:rFonts w:eastAsia="Times New Roman"/>
        </w:rPr>
      </w:pPr>
    </w:p>
    <w:p w14:paraId="10AF0700" w14:textId="77777777" w:rsidR="00A84217" w:rsidRPr="000E3509" w:rsidRDefault="00A84217" w:rsidP="00A84217">
      <w:pPr>
        <w:spacing w:line="480" w:lineRule="auto"/>
        <w:rPr>
          <w:rFonts w:eastAsia="Times New Roman"/>
        </w:rPr>
      </w:pPr>
    </w:p>
    <w:p w14:paraId="25AC339D" w14:textId="77777777" w:rsidR="00A84217" w:rsidRPr="000E3509" w:rsidRDefault="00A84217" w:rsidP="00A84217">
      <w:pPr>
        <w:spacing w:line="480" w:lineRule="auto"/>
        <w:rPr>
          <w:rFonts w:eastAsia="Times New Roman"/>
        </w:rPr>
      </w:pPr>
    </w:p>
    <w:p w14:paraId="6E6F24C0" w14:textId="77777777" w:rsidR="00A84217" w:rsidRPr="000E3509" w:rsidRDefault="00A84217" w:rsidP="00FA43BB">
      <w:pPr>
        <w:rPr>
          <w:rFonts w:asciiTheme="majorBidi" w:hAnsiTheme="majorBidi" w:cstheme="majorBidi"/>
          <w:b/>
          <w:bCs/>
          <w:color w:val="000000" w:themeColor="text1"/>
        </w:rPr>
      </w:pPr>
    </w:p>
    <w:sectPr w:rsidR="00A84217" w:rsidRPr="000E3509" w:rsidSect="00603CB7">
      <w:pgSz w:w="11900" w:h="16840"/>
      <w:pgMar w:top="1440" w:right="2268" w:bottom="1440" w:left="2268"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11" w:author="Chris Montgomery" w:date="2019-04-18T11:05:00Z" w:initials="CM">
    <w:p w14:paraId="06B705C8" w14:textId="77777777" w:rsidR="000E3509" w:rsidRPr="009F7F09" w:rsidRDefault="000E3509" w:rsidP="000B4835">
      <w:pPr>
        <w:pStyle w:val="CommentText"/>
        <w:rPr>
          <w:lang w:val="pl-PL"/>
        </w:rPr>
      </w:pPr>
      <w:r>
        <w:rPr>
          <w:rStyle w:val="CommentReference"/>
        </w:rPr>
        <w:annotationRef/>
      </w:r>
      <w:r w:rsidRPr="009F7F09">
        <w:rPr>
          <w:lang w:val="pl-PL"/>
        </w:rPr>
        <w:t xml:space="preserve">Maintain </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B705C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75E5C0" w16cid:durableId="207FDDDC"/>
  <w16cid:commentId w16cid:paraId="0CB89772" w16cid:durableId="207FDDDD"/>
  <w16cid:commentId w16cid:paraId="2F85089A" w16cid:durableId="207FDDDE"/>
  <w16cid:commentId w16cid:paraId="71E812C5" w16cid:durableId="207FDDDF"/>
  <w16cid:commentId w16cid:paraId="02A66C57" w16cid:durableId="207FDDE0"/>
  <w16cid:commentId w16cid:paraId="0D3F54A5" w16cid:durableId="207FDDE1"/>
  <w16cid:commentId w16cid:paraId="5A6DDDC4" w16cid:durableId="207FDDE2"/>
  <w16cid:commentId w16cid:paraId="304BF0BC" w16cid:durableId="207FDDE3"/>
  <w16cid:commentId w16cid:paraId="60A61963" w16cid:durableId="207FDDE4"/>
  <w16cid:commentId w16cid:paraId="430F5540" w16cid:durableId="207FDDE5"/>
  <w16cid:commentId w16cid:paraId="74FA6B56" w16cid:durableId="207FDDE6"/>
  <w16cid:commentId w16cid:paraId="72E05A28" w16cid:durableId="207FDDE7"/>
  <w16cid:commentId w16cid:paraId="30868CBB" w16cid:durableId="207FDDE8"/>
  <w16cid:commentId w16cid:paraId="44382DFD" w16cid:durableId="207FDDE9"/>
  <w16cid:commentId w16cid:paraId="64155BC1" w16cid:durableId="207FDDEA"/>
  <w16cid:commentId w16cid:paraId="115B209B" w16cid:durableId="207FDDEB"/>
  <w16cid:commentId w16cid:paraId="7C46C210" w16cid:durableId="207FDDEC"/>
  <w16cid:commentId w16cid:paraId="6CC68B93" w16cid:durableId="207FDDED"/>
  <w16cid:commentId w16cid:paraId="19336D63" w16cid:durableId="207FDDEE"/>
  <w16cid:commentId w16cid:paraId="7269D2B5" w16cid:durableId="207FDDEF"/>
  <w16cid:commentId w16cid:paraId="3095FCF8" w16cid:durableId="207FDEC7"/>
  <w16cid:commentId w16cid:paraId="51B1BE92" w16cid:durableId="207FDDF0"/>
  <w16cid:commentId w16cid:paraId="6C2C7A00" w16cid:durableId="207FDDF1"/>
  <w16cid:commentId w16cid:paraId="5A73C314" w16cid:durableId="207FDDF2"/>
  <w16cid:commentId w16cid:paraId="4D52F492" w16cid:durableId="207FDDF3"/>
  <w16cid:commentId w16cid:paraId="71726A73" w16cid:durableId="207FDDF4"/>
  <w16cid:commentId w16cid:paraId="5B944575" w16cid:durableId="207FDDF5"/>
  <w16cid:commentId w16cid:paraId="472457AB" w16cid:durableId="207FDDF6"/>
  <w16cid:commentId w16cid:paraId="659DF243" w16cid:durableId="207FDDF7"/>
  <w16cid:commentId w16cid:paraId="76CDD42A" w16cid:durableId="207FDDF8"/>
  <w16cid:commentId w16cid:paraId="771FE14E" w16cid:durableId="207FDDF9"/>
  <w16cid:commentId w16cid:paraId="7AEA2F3C" w16cid:durableId="207FDDFA"/>
  <w16cid:commentId w16cid:paraId="06191159" w16cid:durableId="207FDDFB"/>
  <w16cid:commentId w16cid:paraId="68DB8D4F" w16cid:durableId="207FDDFC"/>
  <w16cid:commentId w16cid:paraId="6D564D25" w16cid:durableId="207FDDFD"/>
  <w16cid:commentId w16cid:paraId="6DEC94B1" w16cid:durableId="207FDDFE"/>
  <w16cid:commentId w16cid:paraId="7F1F4963" w16cid:durableId="207FDDFF"/>
  <w16cid:commentId w16cid:paraId="779757C3" w16cid:durableId="207FDE00"/>
  <w16cid:commentId w16cid:paraId="53D612DC" w16cid:durableId="207FDE01"/>
  <w16cid:commentId w16cid:paraId="6058667A" w16cid:durableId="207FDE02"/>
  <w16cid:commentId w16cid:paraId="680459B5" w16cid:durableId="207FDE03"/>
  <w16cid:commentId w16cid:paraId="0CE20E60" w16cid:durableId="207FDE04"/>
  <w16cid:commentId w16cid:paraId="39504198" w16cid:durableId="207FDE05"/>
  <w16cid:commentId w16cid:paraId="3D30A68D" w16cid:durableId="207FDE06"/>
  <w16cid:commentId w16cid:paraId="74EB5A6E" w16cid:durableId="207FDE07"/>
  <w16cid:commentId w16cid:paraId="56DB519D" w16cid:durableId="207FDE08"/>
  <w16cid:commentId w16cid:paraId="16320BF0" w16cid:durableId="207FDE09"/>
  <w16cid:commentId w16cid:paraId="54DE089B" w16cid:durableId="207FDE0A"/>
  <w16cid:commentId w16cid:paraId="64DC186E" w16cid:durableId="207FDE0B"/>
  <w16cid:commentId w16cid:paraId="48ADF0CC" w16cid:durableId="207FDE0C"/>
  <w16cid:commentId w16cid:paraId="1886CD78" w16cid:durableId="207FDF16"/>
  <w16cid:commentId w16cid:paraId="33CA6D63" w16cid:durableId="207FDE0D"/>
  <w16cid:commentId w16cid:paraId="23F5D234" w16cid:durableId="207FDE0E"/>
  <w16cid:commentId w16cid:paraId="3C89EDE6" w16cid:durableId="207FDE0F"/>
  <w16cid:commentId w16cid:paraId="64B9CFEC" w16cid:durableId="207FDE10"/>
  <w16cid:commentId w16cid:paraId="573C41A5" w16cid:durableId="207FDE11"/>
  <w16cid:commentId w16cid:paraId="1D435CE0" w16cid:durableId="207FDE12"/>
  <w16cid:commentId w16cid:paraId="1C4016CB" w16cid:durableId="207FDE13"/>
  <w16cid:commentId w16cid:paraId="108A16D2" w16cid:durableId="207FDE14"/>
  <w16cid:commentId w16cid:paraId="06B705C8" w16cid:durableId="207FDE15"/>
  <w16cid:commentId w16cid:paraId="402796CF" w16cid:durableId="207FDE16"/>
  <w16cid:commentId w16cid:paraId="3D5F3D4A" w16cid:durableId="207FDE17"/>
  <w16cid:commentId w16cid:paraId="15CEFD3C" w16cid:durableId="207FDE18"/>
  <w16cid:commentId w16cid:paraId="71E35CA9" w16cid:durableId="207FDE19"/>
  <w16cid:commentId w16cid:paraId="2152290A" w16cid:durableId="207FDE1A"/>
  <w16cid:commentId w16cid:paraId="36C0E929" w16cid:durableId="207FDE1B"/>
  <w16cid:commentId w16cid:paraId="3B338F14" w16cid:durableId="207FDE1C"/>
  <w16cid:commentId w16cid:paraId="34098B86" w16cid:durableId="207FDE1D"/>
  <w16cid:commentId w16cid:paraId="04E6810A" w16cid:durableId="207FDE1E"/>
  <w16cid:commentId w16cid:paraId="4D317FF4" w16cid:durableId="207FDE1F"/>
  <w16cid:commentId w16cid:paraId="76EC7F29" w16cid:durableId="207FDE20"/>
  <w16cid:commentId w16cid:paraId="0C27946B" w16cid:durableId="207FDE21"/>
  <w16cid:commentId w16cid:paraId="4F8447DC" w16cid:durableId="207FDE22"/>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2EEEA0" w14:textId="77777777" w:rsidR="00F00455" w:rsidRDefault="00F00455">
      <w:r>
        <w:separator/>
      </w:r>
    </w:p>
  </w:endnote>
  <w:endnote w:type="continuationSeparator" w:id="0">
    <w:p w14:paraId="65B4C963" w14:textId="77777777" w:rsidR="00F00455" w:rsidRDefault="00F00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panose1 w:val="02010600030101010101"/>
    <w:charset w:val="86"/>
    <w:family w:val="script"/>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swiss"/>
    <w:pitch w:val="variable"/>
    <w:sig w:usb0="E00002FF" w:usb1="5000785B" w:usb2="00000000" w:usb3="00000000" w:csb0="0000019F" w:csb1="00000000"/>
  </w:font>
  <w:font w:name="TimesNewRomanPSMT">
    <w:altName w:val="Times New Roman"/>
    <w:charset w:val="00"/>
    <w:family w:val="roman"/>
    <w:pitch w:val="variable"/>
    <w:sig w:usb0="E0002AEF" w:usb1="C0007841" w:usb2="00000009" w:usb3="00000000" w:csb0="000001FF" w:csb1="00000000"/>
  </w:font>
  <w:font w:name="Times">
    <w:panose1 w:val="02000500000000000000"/>
    <w:charset w:val="00"/>
    <w:family w:val="roman"/>
    <w:pitch w:val="variable"/>
    <w:sig w:usb0="00000003" w:usb1="00000000" w:usb2="00000000" w:usb3="00000000" w:csb0="00000001" w:csb1="00000000"/>
  </w:font>
  <w:font w:name="SimSun">
    <w:panose1 w:val="02010600030101010101"/>
    <w:charset w:val="86"/>
    <w:family w:val="auto"/>
    <w:pitch w:val="variable"/>
    <w:sig w:usb0="00000003" w:usb1="288F0000" w:usb2="00000016" w:usb3="00000000" w:csb0="00040001" w:csb1="00000000"/>
  </w:font>
  <w:font w:name="TUOS Blake">
    <w:altName w:val="Cambria"/>
    <w:charset w:val="00"/>
    <w:family w:val="swiss"/>
    <w:pitch w:val="variable"/>
    <w:sig w:usb0="8000002F" w:usb1="4000004A" w:usb2="00000000" w:usb3="00000000" w:csb0="00000001" w:csb1="00000000"/>
  </w:font>
  <w:font w:name="TUOS Pro Blake">
    <w:altName w:val="Microsoft YaHei"/>
    <w:panose1 w:val="00000000000000000000"/>
    <w:charset w:val="4D"/>
    <w:family w:val="swiss"/>
    <w:notTrueType/>
    <w:pitch w:val="variable"/>
    <w:sig w:usb0="00000001" w:usb1="4000004A" w:usb2="00000000" w:usb3="00000000" w:csb0="00000011" w:csb1="00000000"/>
  </w:font>
  <w:font w:name="ﬂıø◊ÙÁ">
    <w:altName w:val="Cambria"/>
    <w:panose1 w:val="00000000000000000000"/>
    <w:charset w:val="4D"/>
    <w:family w:val="auto"/>
    <w:notTrueType/>
    <w:pitch w:val="default"/>
    <w:sig w:usb0="00000003" w:usb1="00000000" w:usb2="00000000" w:usb3="00000000" w:csb0="00000001" w:csb1="00000000"/>
  </w:font>
  <w:font w:name="MS Gothic">
    <w:panose1 w:val="020B0609070205080204"/>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59442" w14:textId="77777777" w:rsidR="000E3509" w:rsidRDefault="000E3509" w:rsidP="00880C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85741C" w14:textId="77777777" w:rsidR="000E3509" w:rsidRDefault="000E3509">
    <w:pPr>
      <w:pStyle w:val="Foote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03236" w14:textId="56E851D4" w:rsidR="000E3509" w:rsidRDefault="000E3509" w:rsidP="00160CC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92799">
      <w:rPr>
        <w:rStyle w:val="PageNumber"/>
        <w:noProof/>
      </w:rPr>
      <w:t>86</w:t>
    </w:r>
    <w:r>
      <w:rPr>
        <w:rStyle w:val="PageNumber"/>
      </w:rPr>
      <w:fldChar w:fldCharType="end"/>
    </w:r>
  </w:p>
  <w:p w14:paraId="7EE341F7" w14:textId="77777777" w:rsidR="000E3509" w:rsidRDefault="000E3509">
    <w:pPr>
      <w:pStyle w:val="Foote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84D43" w14:textId="2476DD58" w:rsidR="000E3509" w:rsidRDefault="000E3509" w:rsidP="00A23C2A">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92799">
      <w:rPr>
        <w:rStyle w:val="PageNumber"/>
        <w:noProof/>
      </w:rPr>
      <w:t>108</w:t>
    </w:r>
    <w:r>
      <w:rPr>
        <w:rStyle w:val="PageNumber"/>
      </w:rPr>
      <w:fldChar w:fldCharType="end"/>
    </w:r>
  </w:p>
  <w:p w14:paraId="0A88F828" w14:textId="77777777" w:rsidR="000E3509" w:rsidRDefault="000E3509">
    <w:pPr>
      <w:pStyle w:val="Footer"/>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A092C" w14:textId="1154DBD9" w:rsidR="000E3509" w:rsidRDefault="000E3509" w:rsidP="00A23C2A">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92799">
      <w:rPr>
        <w:rStyle w:val="PageNumber"/>
        <w:noProof/>
      </w:rPr>
      <w:t>118</w:t>
    </w:r>
    <w:r>
      <w:rPr>
        <w:rStyle w:val="PageNumber"/>
      </w:rPr>
      <w:fldChar w:fldCharType="end"/>
    </w:r>
  </w:p>
  <w:p w14:paraId="460E9F12" w14:textId="77777777" w:rsidR="000E3509" w:rsidRDefault="000E3509">
    <w:pPr>
      <w:pStyle w:val="Footer"/>
    </w:pP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E1920" w14:textId="77777777" w:rsidR="000E3509" w:rsidRDefault="000E3509" w:rsidP="00A23C2A">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CE6D3A5" w14:textId="77777777" w:rsidR="000E3509" w:rsidRDefault="000E3509">
    <w:pPr>
      <w:pStyle w:val="Footer"/>
    </w:pP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ACA91" w14:textId="2D468986" w:rsidR="000E3509" w:rsidRDefault="000E3509" w:rsidP="00A23C2A">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92799">
      <w:rPr>
        <w:rStyle w:val="PageNumber"/>
        <w:noProof/>
      </w:rPr>
      <w:t>125</w:t>
    </w:r>
    <w:r>
      <w:rPr>
        <w:rStyle w:val="PageNumber"/>
      </w:rPr>
      <w:fldChar w:fldCharType="end"/>
    </w:r>
  </w:p>
  <w:p w14:paraId="709A1C0D" w14:textId="77777777" w:rsidR="000E3509" w:rsidRDefault="000E3509">
    <w:pPr>
      <w:pStyle w:val="Footer"/>
    </w:pP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4234E" w14:textId="77777777" w:rsidR="000E3509" w:rsidRDefault="000E3509" w:rsidP="00A23C2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5B218E" w14:textId="77777777" w:rsidR="000E3509" w:rsidRDefault="000E3509" w:rsidP="00A23C2A">
    <w:pPr>
      <w:pStyle w:val="Footer"/>
      <w:ind w:right="360"/>
    </w:pP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1271166"/>
      <w:docPartObj>
        <w:docPartGallery w:val="Page Numbers (Bottom of Page)"/>
        <w:docPartUnique/>
      </w:docPartObj>
    </w:sdtPr>
    <w:sdtEndPr>
      <w:rPr>
        <w:noProof/>
      </w:rPr>
    </w:sdtEndPr>
    <w:sdtContent>
      <w:p w14:paraId="3F5B98E2" w14:textId="0A14C9EE" w:rsidR="000E3509" w:rsidRDefault="000E3509">
        <w:pPr>
          <w:pStyle w:val="Footer"/>
          <w:jc w:val="center"/>
        </w:pPr>
        <w:r>
          <w:fldChar w:fldCharType="begin"/>
        </w:r>
        <w:r>
          <w:instrText xml:space="preserve"> PAGE   \* MERGEFORMAT </w:instrText>
        </w:r>
        <w:r>
          <w:fldChar w:fldCharType="separate"/>
        </w:r>
        <w:r w:rsidR="00792799">
          <w:rPr>
            <w:noProof/>
          </w:rPr>
          <w:t>145</w:t>
        </w:r>
        <w:r>
          <w:rPr>
            <w:noProof/>
          </w:rPr>
          <w:fldChar w:fldCharType="end"/>
        </w:r>
      </w:p>
    </w:sdtContent>
  </w:sdt>
  <w:p w14:paraId="0D656224" w14:textId="77777777" w:rsidR="000E3509" w:rsidRDefault="000E3509" w:rsidP="00A23C2A">
    <w:pPr>
      <w:pStyle w:val="Footer"/>
      <w:ind w:right="360"/>
    </w:pP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779122"/>
      <w:docPartObj>
        <w:docPartGallery w:val="Page Numbers (Bottom of Page)"/>
        <w:docPartUnique/>
      </w:docPartObj>
    </w:sdtPr>
    <w:sdtEndPr>
      <w:rPr>
        <w:noProof/>
      </w:rPr>
    </w:sdtEndPr>
    <w:sdtContent>
      <w:p w14:paraId="16A1D27C" w14:textId="0DEEC290" w:rsidR="000E3509" w:rsidRDefault="000E3509">
        <w:pPr>
          <w:pStyle w:val="Footer"/>
          <w:jc w:val="center"/>
        </w:pPr>
        <w:r>
          <w:fldChar w:fldCharType="begin"/>
        </w:r>
        <w:r>
          <w:instrText xml:space="preserve"> PAGE   \* MERGEFORMAT </w:instrText>
        </w:r>
        <w:r>
          <w:fldChar w:fldCharType="separate"/>
        </w:r>
        <w:r w:rsidR="00792799">
          <w:rPr>
            <w:noProof/>
          </w:rPr>
          <w:t>161</w:t>
        </w:r>
        <w:r>
          <w:rPr>
            <w:noProof/>
          </w:rPr>
          <w:fldChar w:fldCharType="end"/>
        </w:r>
      </w:p>
    </w:sdtContent>
  </w:sdt>
  <w:p w14:paraId="59148B2E" w14:textId="77777777" w:rsidR="000E3509" w:rsidRDefault="000E3509">
    <w:pPr>
      <w:pStyle w:val="Footer"/>
    </w:pP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9660614"/>
      <w:docPartObj>
        <w:docPartGallery w:val="Page Numbers (Bottom of Page)"/>
        <w:docPartUnique/>
      </w:docPartObj>
    </w:sdtPr>
    <w:sdtEndPr>
      <w:rPr>
        <w:noProof/>
      </w:rPr>
    </w:sdtEndPr>
    <w:sdtContent>
      <w:p w14:paraId="187B3048" w14:textId="59167DD0" w:rsidR="000E3509" w:rsidRDefault="000E3509">
        <w:pPr>
          <w:pStyle w:val="Footer"/>
          <w:jc w:val="center"/>
        </w:pPr>
        <w:r>
          <w:fldChar w:fldCharType="begin"/>
        </w:r>
        <w:r>
          <w:instrText xml:space="preserve"> PAGE   \* MERGEFORMAT </w:instrText>
        </w:r>
        <w:r>
          <w:fldChar w:fldCharType="separate"/>
        </w:r>
        <w:r w:rsidR="00792799">
          <w:rPr>
            <w:noProof/>
          </w:rPr>
          <w:t>195</w:t>
        </w:r>
        <w:r>
          <w:rPr>
            <w:noProof/>
          </w:rPr>
          <w:fldChar w:fldCharType="end"/>
        </w:r>
      </w:p>
    </w:sdtContent>
  </w:sdt>
  <w:p w14:paraId="48F7ECE2" w14:textId="77777777" w:rsidR="000E3509" w:rsidRDefault="000E3509">
    <w:pPr>
      <w:pStyle w:val="Footer"/>
    </w:pP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58D05" w14:textId="77777777" w:rsidR="000E3509" w:rsidRDefault="000E3509" w:rsidP="000B483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DFB79B" w14:textId="77777777" w:rsidR="000E3509" w:rsidRDefault="000E3509" w:rsidP="000B483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814FC" w14:textId="2318011E" w:rsidR="000E3509" w:rsidRDefault="000E3509" w:rsidP="00880C1E">
    <w:pPr>
      <w:pStyle w:val="Footer"/>
      <w:framePr w:wrap="around" w:vAnchor="text" w:hAnchor="margin" w:xAlign="center" w:y="1"/>
      <w:rPr>
        <w:rStyle w:val="PageNumber"/>
      </w:rPr>
    </w:pPr>
  </w:p>
  <w:p w14:paraId="29E9B794" w14:textId="77777777" w:rsidR="000E3509" w:rsidRDefault="000E3509">
    <w:pPr>
      <w:pStyle w:val="Footer"/>
    </w:pP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4616875"/>
      <w:docPartObj>
        <w:docPartGallery w:val="Page Numbers (Bottom of Page)"/>
        <w:docPartUnique/>
      </w:docPartObj>
    </w:sdtPr>
    <w:sdtEndPr>
      <w:rPr>
        <w:noProof/>
      </w:rPr>
    </w:sdtEndPr>
    <w:sdtContent>
      <w:p w14:paraId="65440378" w14:textId="080D5047" w:rsidR="000E3509" w:rsidRDefault="000E3509">
        <w:pPr>
          <w:pStyle w:val="Footer"/>
          <w:jc w:val="center"/>
        </w:pPr>
        <w:r>
          <w:fldChar w:fldCharType="begin"/>
        </w:r>
        <w:r>
          <w:instrText xml:space="preserve"> PAGE   \* MERGEFORMAT </w:instrText>
        </w:r>
        <w:r>
          <w:fldChar w:fldCharType="separate"/>
        </w:r>
        <w:r w:rsidR="00792799">
          <w:rPr>
            <w:noProof/>
          </w:rPr>
          <w:t>212</w:t>
        </w:r>
        <w:r>
          <w:rPr>
            <w:noProof/>
          </w:rPr>
          <w:fldChar w:fldCharType="end"/>
        </w:r>
      </w:p>
    </w:sdtContent>
  </w:sdt>
  <w:p w14:paraId="40FD5F8E" w14:textId="77777777" w:rsidR="000E3509" w:rsidRDefault="000E3509" w:rsidP="000B4835">
    <w:pPr>
      <w:pStyle w:val="Footer"/>
      <w:ind w:right="360"/>
    </w:pP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91BCD" w14:textId="77777777" w:rsidR="000E3509" w:rsidRDefault="000E3509" w:rsidP="000B483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6C309B" w14:textId="77777777" w:rsidR="000E3509" w:rsidRDefault="000E3509" w:rsidP="000B4835">
    <w:pPr>
      <w:pStyle w:val="Footer"/>
      <w:ind w:right="360"/>
    </w:pP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2942266"/>
      <w:docPartObj>
        <w:docPartGallery w:val="Page Numbers (Bottom of Page)"/>
        <w:docPartUnique/>
      </w:docPartObj>
    </w:sdtPr>
    <w:sdtEndPr>
      <w:rPr>
        <w:noProof/>
      </w:rPr>
    </w:sdtEndPr>
    <w:sdtContent>
      <w:p w14:paraId="4007AB30" w14:textId="68379ACE" w:rsidR="000E3509" w:rsidRDefault="000E3509">
        <w:pPr>
          <w:pStyle w:val="Footer"/>
          <w:jc w:val="center"/>
        </w:pPr>
        <w:r>
          <w:fldChar w:fldCharType="begin"/>
        </w:r>
        <w:r>
          <w:instrText xml:space="preserve"> PAGE   \* MERGEFORMAT </w:instrText>
        </w:r>
        <w:r>
          <w:fldChar w:fldCharType="separate"/>
        </w:r>
        <w:r w:rsidR="00792799">
          <w:rPr>
            <w:noProof/>
          </w:rPr>
          <w:t>291</w:t>
        </w:r>
        <w:r>
          <w:rPr>
            <w:noProof/>
          </w:rPr>
          <w:fldChar w:fldCharType="end"/>
        </w:r>
      </w:p>
    </w:sdtContent>
  </w:sdt>
  <w:p w14:paraId="22838830" w14:textId="77777777" w:rsidR="000E3509" w:rsidRDefault="000E3509" w:rsidP="000B4835">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DBA8F" w14:textId="30585F07" w:rsidR="000E3509" w:rsidRDefault="000E3509" w:rsidP="000970BE">
    <w:pPr>
      <w:pStyle w:val="Footer"/>
      <w:jc w:val="center"/>
    </w:pPr>
  </w:p>
  <w:p w14:paraId="7117508F" w14:textId="77777777" w:rsidR="000E3509" w:rsidRDefault="000E3509">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975686"/>
      <w:docPartObj>
        <w:docPartGallery w:val="Page Numbers (Bottom of Page)"/>
        <w:docPartUnique/>
      </w:docPartObj>
    </w:sdtPr>
    <w:sdtEndPr>
      <w:rPr>
        <w:noProof/>
      </w:rPr>
    </w:sdtEndPr>
    <w:sdtContent>
      <w:p w14:paraId="4A67904F" w14:textId="7C78D185" w:rsidR="000E3509" w:rsidRDefault="000E3509">
        <w:pPr>
          <w:pStyle w:val="Footer"/>
          <w:jc w:val="center"/>
        </w:pPr>
        <w:r>
          <w:fldChar w:fldCharType="begin"/>
        </w:r>
        <w:r>
          <w:instrText xml:space="preserve"> PAGE   \* MERGEFORMAT </w:instrText>
        </w:r>
        <w:r>
          <w:fldChar w:fldCharType="separate"/>
        </w:r>
        <w:r w:rsidR="00AF0292">
          <w:rPr>
            <w:noProof/>
          </w:rPr>
          <w:t>ii</w:t>
        </w:r>
        <w:r>
          <w:rPr>
            <w:noProof/>
          </w:rPr>
          <w:fldChar w:fldCharType="end"/>
        </w:r>
      </w:p>
    </w:sdtContent>
  </w:sdt>
  <w:p w14:paraId="0217F3F4" w14:textId="77777777" w:rsidR="000E3509" w:rsidRDefault="000E3509">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3277183"/>
      <w:docPartObj>
        <w:docPartGallery w:val="Page Numbers (Bottom of Page)"/>
        <w:docPartUnique/>
      </w:docPartObj>
    </w:sdtPr>
    <w:sdtEndPr>
      <w:rPr>
        <w:noProof/>
      </w:rPr>
    </w:sdtEndPr>
    <w:sdtContent>
      <w:p w14:paraId="4DCD1CC5" w14:textId="52F1AC80" w:rsidR="000E3509" w:rsidRDefault="000E3509">
        <w:pPr>
          <w:pStyle w:val="Footer"/>
          <w:jc w:val="center"/>
        </w:pPr>
        <w:r>
          <w:fldChar w:fldCharType="begin"/>
        </w:r>
        <w:r>
          <w:instrText xml:space="preserve"> PAGE   \* MERGEFORMAT </w:instrText>
        </w:r>
        <w:r>
          <w:fldChar w:fldCharType="separate"/>
        </w:r>
        <w:r w:rsidR="00792799">
          <w:rPr>
            <w:noProof/>
          </w:rPr>
          <w:t>xx</w:t>
        </w:r>
        <w:r>
          <w:rPr>
            <w:noProof/>
          </w:rPr>
          <w:fldChar w:fldCharType="end"/>
        </w:r>
      </w:p>
    </w:sdtContent>
  </w:sdt>
  <w:p w14:paraId="50D58F4D" w14:textId="77777777" w:rsidR="000E3509" w:rsidRDefault="000E3509">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27FAF" w14:textId="77777777" w:rsidR="000E3509" w:rsidRDefault="000E3509" w:rsidP="00160CC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890E67" w14:textId="77777777" w:rsidR="000E3509" w:rsidRDefault="000E3509" w:rsidP="00160CC4">
    <w:pPr>
      <w:pStyle w:val="Footer"/>
      <w:ind w:right="360"/>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895686"/>
      <w:docPartObj>
        <w:docPartGallery w:val="Page Numbers (Bottom of Page)"/>
        <w:docPartUnique/>
      </w:docPartObj>
    </w:sdtPr>
    <w:sdtEndPr>
      <w:rPr>
        <w:noProof/>
      </w:rPr>
    </w:sdtEndPr>
    <w:sdtContent>
      <w:p w14:paraId="4863B023" w14:textId="24CCAC81" w:rsidR="000E3509" w:rsidRDefault="000E3509">
        <w:pPr>
          <w:pStyle w:val="Footer"/>
          <w:jc w:val="center"/>
        </w:pPr>
        <w:r>
          <w:fldChar w:fldCharType="begin"/>
        </w:r>
        <w:r>
          <w:instrText xml:space="preserve"> PAGE   \* MERGEFORMAT </w:instrText>
        </w:r>
        <w:r>
          <w:fldChar w:fldCharType="separate"/>
        </w:r>
        <w:r w:rsidR="00792799">
          <w:rPr>
            <w:noProof/>
          </w:rPr>
          <w:t>35</w:t>
        </w:r>
        <w:r>
          <w:rPr>
            <w:noProof/>
          </w:rPr>
          <w:fldChar w:fldCharType="end"/>
        </w:r>
      </w:p>
    </w:sdtContent>
  </w:sdt>
  <w:p w14:paraId="1B8CCF65" w14:textId="77777777" w:rsidR="000E3509" w:rsidRDefault="000E3509" w:rsidP="00160CC4">
    <w:pPr>
      <w:pStyle w:val="Footer"/>
      <w:ind w:right="360"/>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400C7" w14:textId="77777777" w:rsidR="000E3509" w:rsidRDefault="000E3509" w:rsidP="00160CC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AEC60F" w14:textId="77777777" w:rsidR="000E3509" w:rsidRDefault="000E3509" w:rsidP="00160CC4">
    <w:pPr>
      <w:pStyle w:val="Footer"/>
      <w:ind w:right="360"/>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9355461"/>
      <w:docPartObj>
        <w:docPartGallery w:val="Page Numbers (Bottom of Page)"/>
        <w:docPartUnique/>
      </w:docPartObj>
    </w:sdtPr>
    <w:sdtEndPr>
      <w:rPr>
        <w:noProof/>
      </w:rPr>
    </w:sdtEndPr>
    <w:sdtContent>
      <w:p w14:paraId="793E9EBE" w14:textId="5BAEFC8B" w:rsidR="000E3509" w:rsidRDefault="000E3509">
        <w:pPr>
          <w:pStyle w:val="Footer"/>
          <w:jc w:val="center"/>
        </w:pPr>
        <w:r>
          <w:fldChar w:fldCharType="begin"/>
        </w:r>
        <w:r>
          <w:instrText xml:space="preserve"> PAGE   \* MERGEFORMAT </w:instrText>
        </w:r>
        <w:r>
          <w:fldChar w:fldCharType="separate"/>
        </w:r>
        <w:r w:rsidR="00792799">
          <w:rPr>
            <w:noProof/>
          </w:rPr>
          <w:t>53</w:t>
        </w:r>
        <w:r>
          <w:rPr>
            <w:noProof/>
          </w:rPr>
          <w:fldChar w:fldCharType="end"/>
        </w:r>
      </w:p>
    </w:sdtContent>
  </w:sdt>
  <w:p w14:paraId="463B8E6C" w14:textId="77777777" w:rsidR="000E3509" w:rsidRDefault="000E3509" w:rsidP="00160CC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5740CC" w14:textId="77777777" w:rsidR="00F00455" w:rsidRDefault="00F00455">
      <w:r>
        <w:separator/>
      </w:r>
    </w:p>
  </w:footnote>
  <w:footnote w:type="continuationSeparator" w:id="0">
    <w:p w14:paraId="19FE4863" w14:textId="77777777" w:rsidR="00F00455" w:rsidRDefault="00F00455">
      <w:r>
        <w:continuationSeparator/>
      </w:r>
    </w:p>
  </w:footnote>
  <w:footnote w:id="1">
    <w:p w14:paraId="24CDE69A" w14:textId="318345E9" w:rsidR="000E3509" w:rsidRPr="002C445B" w:rsidRDefault="000E3509" w:rsidP="00AA1D5A">
      <w:pPr>
        <w:pStyle w:val="FootnoteText"/>
        <w:jc w:val="both"/>
        <w:rPr>
          <w:color w:val="000000" w:themeColor="text1"/>
          <w:sz w:val="20"/>
          <w:szCs w:val="20"/>
        </w:rPr>
      </w:pPr>
      <w:r w:rsidRPr="00B9622D">
        <w:rPr>
          <w:rStyle w:val="FootnoteReference"/>
        </w:rPr>
        <w:footnoteRef/>
      </w:r>
      <w:r w:rsidRPr="002C445B">
        <w:rPr>
          <w:color w:val="000000" w:themeColor="text1"/>
        </w:rPr>
        <w:t xml:space="preserve"> </w:t>
      </w:r>
      <w:r w:rsidRPr="002C445B">
        <w:rPr>
          <w:color w:val="000000" w:themeColor="text1"/>
          <w:sz w:val="20"/>
          <w:szCs w:val="20"/>
        </w:rPr>
        <w:t xml:space="preserve">According to the General Authority of Statistics in SA, the last updated statistics for the Mecca population were surveyed in 2010. Later, the authority published statistics for the Mecca population combined within the population of other cities within the Mecca district region, which includes other cities and towns around Mecca. Therefore, I could not find updated statistics for Mecca after 2010. </w:t>
      </w:r>
    </w:p>
  </w:footnote>
  <w:footnote w:id="2">
    <w:p w14:paraId="447BBF99" w14:textId="11C454A6" w:rsidR="000E3509" w:rsidRPr="002C445B" w:rsidRDefault="000E3509" w:rsidP="005F2CD6">
      <w:pPr>
        <w:pStyle w:val="FootnoteText"/>
        <w:jc w:val="both"/>
        <w:rPr>
          <w:color w:val="000000" w:themeColor="text1"/>
          <w:sz w:val="20"/>
          <w:szCs w:val="20"/>
        </w:rPr>
      </w:pPr>
      <w:r w:rsidRPr="00B9622D">
        <w:rPr>
          <w:rStyle w:val="FootnoteReference"/>
        </w:rPr>
        <w:footnoteRef/>
      </w:r>
      <w:r w:rsidRPr="002C445B">
        <w:rPr>
          <w:color w:val="000000" w:themeColor="text1"/>
          <w:sz w:val="20"/>
          <w:szCs w:val="20"/>
        </w:rPr>
        <w:t xml:space="preserve"> I could not find statistics and figures from the SA government specifying the population size in the past to compare the 2010 population with the population in the past. The reason for this is simply that the General Authority of Statistics in SA calculated the population size according to administrative district in the </w:t>
      </w:r>
      <w:r>
        <w:rPr>
          <w:color w:val="000000" w:themeColor="text1"/>
          <w:sz w:val="20"/>
          <w:szCs w:val="20"/>
        </w:rPr>
        <w:t>count</w:t>
      </w:r>
      <w:r w:rsidRPr="002C445B">
        <w:rPr>
          <w:color w:val="000000" w:themeColor="text1"/>
          <w:sz w:val="20"/>
          <w:szCs w:val="20"/>
        </w:rPr>
        <w:t xml:space="preserve">ry in the past rather than the city population. That is, the Mecca population was added to the population of other cities that fall into the same administrative region as Mecca. </w:t>
      </w:r>
    </w:p>
    <w:p w14:paraId="539E9538" w14:textId="7E7DCB83" w:rsidR="000E3509" w:rsidRPr="002C445B" w:rsidRDefault="000E3509" w:rsidP="005E353C">
      <w:pPr>
        <w:pStyle w:val="FootnoteText"/>
        <w:jc w:val="both"/>
        <w:rPr>
          <w:color w:val="000000" w:themeColor="text1"/>
          <w:sz w:val="20"/>
          <w:szCs w:val="20"/>
        </w:rPr>
      </w:pPr>
    </w:p>
  </w:footnote>
  <w:footnote w:id="3">
    <w:p w14:paraId="1B8D7DA1" w14:textId="34D90370" w:rsidR="000E3509" w:rsidRPr="00E545FD" w:rsidRDefault="000E3509">
      <w:pPr>
        <w:pStyle w:val="FootnoteText"/>
        <w:rPr>
          <w:color w:val="000000" w:themeColor="text1"/>
          <w:sz w:val="20"/>
          <w:szCs w:val="20"/>
        </w:rPr>
      </w:pPr>
      <w:r w:rsidRPr="00B9622D">
        <w:rPr>
          <w:rStyle w:val="FootnoteReference"/>
        </w:rPr>
        <w:footnoteRef/>
      </w:r>
      <w:r>
        <w:t xml:space="preserve"> </w:t>
      </w:r>
      <w:r w:rsidRPr="00E545FD">
        <w:rPr>
          <w:rFonts w:asciiTheme="majorBidi" w:hAnsiTheme="majorBidi" w:cstheme="majorBidi"/>
          <w:color w:val="000000" w:themeColor="text1"/>
          <w:sz w:val="20"/>
          <w:szCs w:val="20"/>
        </w:rPr>
        <w:t>Allah is the Arabic word for God</w:t>
      </w:r>
    </w:p>
  </w:footnote>
  <w:footnote w:id="4">
    <w:p w14:paraId="38674433" w14:textId="4E4C344F" w:rsidR="000E3509" w:rsidRPr="00DA44C6" w:rsidRDefault="000E3509" w:rsidP="00DA44C6">
      <w:pPr>
        <w:pStyle w:val="FootnoteText"/>
        <w:jc w:val="both"/>
        <w:rPr>
          <w:sz w:val="21"/>
          <w:szCs w:val="21"/>
        </w:rPr>
      </w:pPr>
      <w:r w:rsidRPr="00B9622D">
        <w:rPr>
          <w:rStyle w:val="FootnoteReference"/>
        </w:rPr>
        <w:footnoteRef/>
      </w:r>
      <w:r>
        <w:t xml:space="preserve"> </w:t>
      </w:r>
      <w:r w:rsidRPr="00DA44C6">
        <w:rPr>
          <w:rFonts w:asciiTheme="majorBidi" w:hAnsiTheme="majorBidi" w:cstheme="majorBidi"/>
          <w:sz w:val="21"/>
          <w:szCs w:val="21"/>
          <w:lang w:val="en-US"/>
        </w:rPr>
        <w:t xml:space="preserve">When Prophet Ibrahim was building the high side of the Kaaba, he brought a large stone and stood on it and his son Ismael handed him the stones for building the Kaaba </w:t>
      </w:r>
      <w:r w:rsidRPr="00DA44C6">
        <w:rPr>
          <w:rFonts w:asciiTheme="majorBidi" w:hAnsiTheme="majorBidi" w:cstheme="majorBidi"/>
          <w:sz w:val="21"/>
          <w:szCs w:val="21"/>
          <w:lang w:val="en-US"/>
        </w:rPr>
        <w:fldChar w:fldCharType="begin"/>
      </w:r>
      <w:r>
        <w:rPr>
          <w:rFonts w:asciiTheme="majorBidi" w:hAnsiTheme="majorBidi" w:cstheme="majorBidi"/>
          <w:sz w:val="21"/>
          <w:szCs w:val="21"/>
          <w:lang w:val="en-US"/>
        </w:rPr>
        <w:instrText xml:space="preserve"> ADDIN ZOTERO_ITEM CSL_CITATION {"citationID":"0x6EImf0","properties":{"formattedCitation":"(Bianchi, 2004; Peters, 1994)","plainCitation":"(Bianchi, 2004; Peters, 1994)","noteIndex":4},"citationItems":[{"id":364,"uris":["http://zotero.org/users/1939618/items/MPTGYXG9"],"uri":["http://zotero.org/users/1939618/items/MPTGYXG9"],"itemData":{"id":364,"type":"book","title":"Guests of God: pilgrimage and politics in the Islamic world","publisher":"Oxford University Press","publisher-place":"New York, NY","event-place":"New York, NY","shortTitle":"Guests of God","author":[{"family":"Bianchi","given":"Robert"}],"issued":{"date-parts":[["2004"]]}},"label":"page"},{"id":360,"uris":["http://zotero.org/users/1939618/items/SXW2WH5G"],"uri":["http://zotero.org/users/1939618/items/SXW2WH5G"],"itemData":{"id":360,"type":"book","title":"Mecca: A Literary History of the Muslim Holy Land","publisher":"Princeton University Press","publisher-place":"Princeton, New Jersey","number-of-pages":"521","source":"Google Books","event-place":"Princeton, New Jersey","abstract":"For the non-Muslim, Mecca is the most forbidden of Holy Cities--and yet, in many ways it is the best known. Muslim historians and geographers have studied it, and countless pilgrims and travelers--many of them European Christians in disguise--have left behind lively and well-publicized accounts of life in Mecca and its associated shrine-city of Medina, where the Prophet lies buried. The stories of all these figures, holy men and heathens alike, come together in this book to offer a remarkably revealing literary portrait of the city's traditions and urban life and of the surrounding area. Closely following the publication of F. E. Peters's The Hajj (Princeton, 1994), which describes the perilous pilgrimage itself from the travelers' perspectives, this collection of writings and commentary completes the historical travelogue. The accounts begin with the Muslims themselves, in the patriarchal age of Abraham and Ishmael, and trace the sometimes glorious and sometimes sad history of Islam's central shrine down to the last Grand Sharif of Mecca, Husayn ibn Ali, whose fragile kingdom was overtaken by the House of Sa`ud in 1926. Because of chronic flooding and constant rebuilding, there is little or no material evidence for the early history of Islam's holy cities. By assembling, analyzing, and fashioning these literary accounts of Mecca, however, Peters supplies us with a vivid sense of place and human interaction, much as he did in his widely acclaimed Jerusalem (Princeton, 1985).Originally published in 1994.The Princeton Legacy Library uses the latest print-on-demand technology to again make available previously out-of-print books from the distinguished backlist of Princeton University Press. These editions preserve the original texts of these important books while presenting them in durable paperback and hardcover editions. The goal of the Princeton Legacy Library is to vastly increase access to the rich scholarly heritage found in the thousands of books published by Princeton University Press since its founding in 1905.","ISBN":"978-1-4008-8736-1","note":"Google-Books-ID: E50rDgAAQBAJ","shortTitle":"Mecca","language":"en","author":[{"family":"Peters","given":"Francis E."}],"issued":{"date-parts":[["1994"]]}},"label":"page"}],"schema":"https://github.com/citation-style-language/schema/raw/master/csl-citation.json"} </w:instrText>
      </w:r>
      <w:r w:rsidRPr="00DA44C6">
        <w:rPr>
          <w:rFonts w:asciiTheme="majorBidi" w:hAnsiTheme="majorBidi" w:cstheme="majorBidi"/>
          <w:sz w:val="21"/>
          <w:szCs w:val="21"/>
          <w:lang w:val="en-US"/>
        </w:rPr>
        <w:fldChar w:fldCharType="separate"/>
      </w:r>
      <w:r>
        <w:rPr>
          <w:rFonts w:asciiTheme="majorBidi" w:hAnsiTheme="majorBidi" w:cstheme="majorBidi"/>
          <w:noProof/>
          <w:sz w:val="21"/>
          <w:szCs w:val="21"/>
          <w:lang w:val="en-US"/>
        </w:rPr>
        <w:t>(Bianchi, 2004; Peters, 1994)</w:t>
      </w:r>
      <w:r w:rsidRPr="00DA44C6">
        <w:rPr>
          <w:rFonts w:asciiTheme="majorBidi" w:hAnsiTheme="majorBidi" w:cstheme="majorBidi"/>
          <w:sz w:val="21"/>
          <w:szCs w:val="21"/>
          <w:lang w:val="en-US"/>
        </w:rPr>
        <w:fldChar w:fldCharType="end"/>
      </w:r>
      <w:r w:rsidRPr="00DA44C6">
        <w:rPr>
          <w:rFonts w:asciiTheme="majorBidi" w:hAnsiTheme="majorBidi" w:cstheme="majorBidi"/>
          <w:sz w:val="21"/>
          <w:szCs w:val="21"/>
          <w:lang w:val="en-US"/>
        </w:rPr>
        <w:t xml:space="preserve">. When Prophet Ibrahim stepped onto the large stone, his feet went inside </w:t>
      </w:r>
      <w:r w:rsidRPr="00DA44C6">
        <w:rPr>
          <w:rFonts w:asciiTheme="majorBidi" w:hAnsiTheme="majorBidi" w:cstheme="majorBidi"/>
          <w:sz w:val="21"/>
          <w:szCs w:val="21"/>
        </w:rPr>
        <w:t xml:space="preserve">it </w:t>
      </w:r>
      <w:r w:rsidRPr="00DA44C6">
        <w:rPr>
          <w:rFonts w:asciiTheme="majorBidi" w:hAnsiTheme="majorBidi" w:cstheme="majorBidi"/>
          <w:sz w:val="21"/>
          <w:szCs w:val="21"/>
          <w:lang w:val="en-US"/>
        </w:rPr>
        <w:t xml:space="preserve">because it was full of clay. “God made the stone underneath Ibrahim’s feet into something like clay so that his foot stuck on it. That was a miracle” </w:t>
      </w:r>
      <w:r w:rsidRPr="00DA44C6">
        <w:rPr>
          <w:rFonts w:asciiTheme="majorBidi" w:hAnsiTheme="majorBidi" w:cstheme="majorBidi"/>
          <w:sz w:val="21"/>
          <w:szCs w:val="21"/>
          <w:lang w:val="en-US"/>
        </w:rPr>
        <w:fldChar w:fldCharType="begin"/>
      </w:r>
      <w:r>
        <w:rPr>
          <w:rFonts w:asciiTheme="majorBidi" w:hAnsiTheme="majorBidi" w:cstheme="majorBidi"/>
          <w:sz w:val="21"/>
          <w:szCs w:val="21"/>
          <w:lang w:val="en-US"/>
        </w:rPr>
        <w:instrText xml:space="preserve"> ADDIN ZOTERO_ITEM CSL_CITATION {"citationID":"1oik7tinp8","properties":{"formattedCitation":"(Peters, 1996, p. 6)","plainCitation":"(Peters, 1996, p. 6)","noteIndex":4},"citationItems":[{"id":185,"uris":["http://zotero.org/users/1939618/items/FDJCCK2N"],"uri":["http://zotero.org/users/1939618/items/FDJCCK2N"],"itemData":{"id":185,"type":"book","title":"The Hajj: The Muslim pilgrimage to Mecca and the holy places","publisher":"Princeton University Press","publisher-place":"New Jersey","source":"Google Scholar","event-place":"New Jersey","URL":"https://books.google.co.uk/books?hl=en&amp;lr=&amp;id=EK5MqskDYC0C&amp;oi=fnd&amp;pg=PR9&amp;dq=The+Hajj:+The+Muslim+Pilgrimage+to+Mecca+and+the+Holy+Places++By+F.+E.+Peters&amp;ots=vm4g3Yvqlc&amp;sig=7vnrxFf7PiJD1XdpXkCktrWE7Tk","shortTitle":"The Hajj","author":[{"family":"Peters","given":"Francis E."}],"issued":{"date-parts":[["1996"]]},"accessed":{"date-parts":[["2016",1,28]]}},"locator":"6","label":"page"}],"schema":"https://github.com/citation-style-language/schema/raw/master/csl-citation.json"} </w:instrText>
      </w:r>
      <w:r w:rsidRPr="00DA44C6">
        <w:rPr>
          <w:rFonts w:asciiTheme="majorBidi" w:hAnsiTheme="majorBidi" w:cstheme="majorBidi"/>
          <w:sz w:val="21"/>
          <w:szCs w:val="21"/>
          <w:lang w:val="en-US"/>
        </w:rPr>
        <w:fldChar w:fldCharType="separate"/>
      </w:r>
      <w:r>
        <w:rPr>
          <w:rFonts w:asciiTheme="majorBidi" w:hAnsiTheme="majorBidi" w:cstheme="majorBidi"/>
          <w:noProof/>
          <w:sz w:val="21"/>
          <w:szCs w:val="21"/>
          <w:lang w:val="en-US"/>
        </w:rPr>
        <w:t>(Peters, 1996, p. 6)</w:t>
      </w:r>
      <w:r w:rsidRPr="00DA44C6">
        <w:rPr>
          <w:rFonts w:asciiTheme="majorBidi" w:hAnsiTheme="majorBidi" w:cstheme="majorBidi"/>
          <w:sz w:val="21"/>
          <w:szCs w:val="21"/>
          <w:lang w:val="en-US"/>
        </w:rPr>
        <w:fldChar w:fldCharType="end"/>
      </w:r>
      <w:r w:rsidRPr="00DA44C6">
        <w:rPr>
          <w:rFonts w:asciiTheme="majorBidi" w:hAnsiTheme="majorBidi" w:cstheme="majorBidi"/>
          <w:sz w:val="21"/>
          <w:szCs w:val="21"/>
          <w:lang w:val="en-US"/>
        </w:rPr>
        <w:t xml:space="preserve">. His footprints have been preserved in the stone until the present time. It was a miracle given to Ibrahim that his footprints </w:t>
      </w:r>
      <w:r w:rsidRPr="00DA44C6">
        <w:rPr>
          <w:rFonts w:asciiTheme="majorBidi" w:hAnsiTheme="majorBidi" w:cstheme="majorBidi"/>
          <w:sz w:val="21"/>
          <w:szCs w:val="21"/>
        </w:rPr>
        <w:t>would be</w:t>
      </w:r>
      <w:r w:rsidRPr="00DA44C6">
        <w:rPr>
          <w:rFonts w:asciiTheme="majorBidi" w:hAnsiTheme="majorBidi" w:cstheme="majorBidi"/>
          <w:sz w:val="21"/>
          <w:szCs w:val="21"/>
          <w:lang w:val="en-US"/>
        </w:rPr>
        <w:t xml:space="preserve"> preserved for people as a sign of his initial efforts in building the Kaaba </w:t>
      </w:r>
      <w:r w:rsidRPr="00DA44C6">
        <w:rPr>
          <w:rFonts w:asciiTheme="majorBidi" w:hAnsiTheme="majorBidi" w:cstheme="majorBidi"/>
          <w:sz w:val="21"/>
          <w:szCs w:val="21"/>
          <w:lang w:val="en-US"/>
        </w:rPr>
        <w:fldChar w:fldCharType="begin"/>
      </w:r>
      <w:r>
        <w:rPr>
          <w:rFonts w:asciiTheme="majorBidi" w:hAnsiTheme="majorBidi" w:cstheme="majorBidi"/>
          <w:sz w:val="21"/>
          <w:szCs w:val="21"/>
          <w:lang w:val="en-US"/>
        </w:rPr>
        <w:instrText xml:space="preserve"> ADDIN ZOTERO_ITEM CSL_CITATION {"citationID":"9aUoI0Ib","properties":{"formattedCitation":"(Peters, 1996, p. 6)","plainCitation":"(Peters, 1996, p. 6)","noteIndex":4},"citationItems":[{"id":185,"uris":["http://zotero.org/users/1939618/items/FDJCCK2N"],"uri":["http://zotero.org/users/1939618/items/FDJCCK2N"],"itemData":{"id":185,"type":"book","title":"The Hajj: The Muslim pilgrimage to Mecca and the holy places","publisher":"Princeton University Press","publisher-place":"New Jersey","source":"Google Scholar","event-place":"New Jersey","URL":"https://books.google.co.uk/books?hl=en&amp;lr=&amp;id=EK5MqskDYC0C&amp;oi=fnd&amp;pg=PR9&amp;dq=The+Hajj:+The+Muslim+Pilgrimage+to+Mecca+and+the+Holy+Places++By+F.+E.+Peters&amp;ots=vm4g3Yvqlc&amp;sig=7vnrxFf7PiJD1XdpXkCktrWE7Tk","shortTitle":"The Hajj","author":[{"family":"Peters","given":"Francis E."}],"issued":{"date-parts":[["1996"]]},"accessed":{"date-parts":[["2016",1,28]]}},"locator":"6","label":"page"}],"schema":"https://github.com/citation-style-language/schema/raw/master/csl-citation.json"} </w:instrText>
      </w:r>
      <w:r w:rsidRPr="00DA44C6">
        <w:rPr>
          <w:rFonts w:asciiTheme="majorBidi" w:hAnsiTheme="majorBidi" w:cstheme="majorBidi"/>
          <w:sz w:val="21"/>
          <w:szCs w:val="21"/>
          <w:lang w:val="en-US"/>
        </w:rPr>
        <w:fldChar w:fldCharType="separate"/>
      </w:r>
      <w:r>
        <w:rPr>
          <w:rFonts w:asciiTheme="majorBidi" w:hAnsiTheme="majorBidi" w:cstheme="majorBidi"/>
          <w:noProof/>
          <w:sz w:val="21"/>
          <w:szCs w:val="21"/>
          <w:lang w:val="en-US"/>
        </w:rPr>
        <w:t>(Peters, 1996, p. 6)</w:t>
      </w:r>
      <w:r w:rsidRPr="00DA44C6">
        <w:rPr>
          <w:rFonts w:asciiTheme="majorBidi" w:hAnsiTheme="majorBidi" w:cstheme="majorBidi"/>
          <w:sz w:val="21"/>
          <w:szCs w:val="21"/>
          <w:lang w:val="en-US"/>
        </w:rPr>
        <w:fldChar w:fldCharType="end"/>
      </w:r>
      <w:r w:rsidRPr="00DA44C6">
        <w:rPr>
          <w:rFonts w:asciiTheme="majorBidi" w:hAnsiTheme="majorBidi" w:cstheme="majorBidi"/>
          <w:sz w:val="21"/>
          <w:szCs w:val="21"/>
          <w:lang w:val="en-US"/>
        </w:rPr>
        <w:t>. The place where his footprints are kept is called “Maqam Ibrahim”. It is located a very short distance away from the Kaaba</w:t>
      </w:r>
      <w:r>
        <w:rPr>
          <w:rFonts w:asciiTheme="majorBidi" w:hAnsiTheme="majorBidi" w:cstheme="majorBidi"/>
          <w:sz w:val="21"/>
          <w:szCs w:val="21"/>
          <w:lang w:val="en-US"/>
        </w:rPr>
        <w:t>.</w:t>
      </w:r>
    </w:p>
  </w:footnote>
  <w:footnote w:id="5">
    <w:p w14:paraId="345A5EE1" w14:textId="69311840" w:rsidR="000E3509" w:rsidRPr="00130B9D" w:rsidRDefault="000E3509" w:rsidP="00E520C2">
      <w:pPr>
        <w:jc w:val="both"/>
        <w:rPr>
          <w:rFonts w:asciiTheme="majorBidi" w:hAnsiTheme="majorBidi" w:cstheme="majorBidi"/>
          <w:sz w:val="20"/>
          <w:szCs w:val="20"/>
          <w:lang w:val="en-US"/>
        </w:rPr>
      </w:pPr>
      <w:r w:rsidRPr="00B9622D">
        <w:rPr>
          <w:rStyle w:val="FootnoteReference"/>
        </w:rPr>
        <w:footnoteRef/>
      </w:r>
      <w:r>
        <w:t xml:space="preserve"> </w:t>
      </w:r>
      <w:r>
        <w:rPr>
          <w:sz w:val="20"/>
          <w:szCs w:val="20"/>
        </w:rPr>
        <w:t xml:space="preserve">The story begins when </w:t>
      </w:r>
      <w:r w:rsidRPr="00130B9D">
        <w:rPr>
          <w:rFonts w:asciiTheme="majorBidi" w:hAnsiTheme="majorBidi" w:cstheme="majorBidi"/>
          <w:sz w:val="20"/>
          <w:szCs w:val="20"/>
          <w:lang w:val="en-US"/>
        </w:rPr>
        <w:t xml:space="preserve">Allah ordered Ibrahim to leave his home and travel towards a sacred land called Becca; in old times Mecca was called Becca. His wife Hagar accompanied him on his journey, together with their little baby Ismael. When they reached Mecca, Allah asked Prophet Ibrahim to leave Hagar and their baby Ismael and he returned to Jerusalem </w:t>
      </w:r>
      <w:r w:rsidRPr="00130B9D">
        <w:rPr>
          <w:rFonts w:asciiTheme="majorBidi" w:hAnsiTheme="majorBidi" w:cstheme="majorBidi"/>
          <w:sz w:val="20"/>
          <w:szCs w:val="20"/>
        </w:rPr>
        <w:t xml:space="preserve"> </w:t>
      </w:r>
      <w:r w:rsidRPr="00130B9D">
        <w:rPr>
          <w:rFonts w:asciiTheme="majorBidi" w:hAnsiTheme="majorBidi" w:cstheme="majorBidi"/>
          <w:sz w:val="20"/>
          <w:szCs w:val="20"/>
          <w:lang w:val="en-US"/>
        </w:rPr>
        <w:fldChar w:fldCharType="begin"/>
      </w:r>
      <w:r>
        <w:rPr>
          <w:rFonts w:asciiTheme="majorBidi" w:hAnsiTheme="majorBidi" w:cstheme="majorBidi"/>
          <w:sz w:val="20"/>
          <w:szCs w:val="20"/>
          <w:lang w:val="en-US"/>
        </w:rPr>
        <w:instrText xml:space="preserve"> ADDIN ZOTERO_ITEM CSL_CITATION {"citationID":"IxcLu20R","properties":{"formattedCitation":"(Peters, 1996, p. 5,6)","plainCitation":"(Peters, 1996, p. 5,6)","dontUpdate":true,"noteIndex":5},"citationItems":[{"id":185,"uris":["http://zotero.org/users/1939618/items/FDJCCK2N"],"uri":["http://zotero.org/users/1939618/items/FDJCCK2N"],"itemData":{"id":185,"type":"book","title":"The Hajj: The Muslim pilgrimage to Mecca and the holy places","publisher":"Princeton University Press","publisher-place":"New Jersey","source":"Google Scholar","event-place":"New Jersey","URL":"https://books.google.co.uk/books?hl=en&amp;lr=&amp;id=EK5MqskDYC0C&amp;oi=fnd&amp;pg=PR9&amp;dq=The+Hajj:+The+Muslim+Pilgrimage+to+Mecca+and+the+Holy+Places++By+F.+E.+Peters&amp;ots=vm4g3Yvqlc&amp;sig=7vnrxFf7PiJD1XdpXkCktrWE7Tk","shortTitle":"The Hajj","author":[{"family":"Peters","given":"Francis E."}],"issued":{"date-parts":[["1996"]]},"accessed":{"date-parts":[["2016",1,28]]}},"locator":"5,6","label":"page"}],"schema":"https://github.com/citation-style-language/schema/raw/master/csl-citation.json"} </w:instrText>
      </w:r>
      <w:r w:rsidRPr="00130B9D">
        <w:rPr>
          <w:rFonts w:asciiTheme="majorBidi" w:hAnsiTheme="majorBidi" w:cstheme="majorBidi"/>
          <w:sz w:val="20"/>
          <w:szCs w:val="20"/>
          <w:lang w:val="en-US"/>
        </w:rPr>
        <w:fldChar w:fldCharType="separate"/>
      </w:r>
      <w:r>
        <w:rPr>
          <w:rFonts w:asciiTheme="majorBidi" w:hAnsiTheme="majorBidi" w:cstheme="majorBidi"/>
          <w:noProof/>
          <w:sz w:val="20"/>
          <w:szCs w:val="20"/>
          <w:lang w:val="en-US"/>
        </w:rPr>
        <w:t>(Peters, 1996, pp. 5–6)</w:t>
      </w:r>
      <w:r w:rsidRPr="00130B9D">
        <w:rPr>
          <w:rFonts w:asciiTheme="majorBidi" w:hAnsiTheme="majorBidi" w:cstheme="majorBidi"/>
          <w:sz w:val="20"/>
          <w:szCs w:val="20"/>
          <w:lang w:val="en-US"/>
        </w:rPr>
        <w:fldChar w:fldCharType="end"/>
      </w:r>
      <w:r w:rsidRPr="00130B9D">
        <w:rPr>
          <w:rFonts w:asciiTheme="majorBidi" w:hAnsiTheme="majorBidi" w:cstheme="majorBidi"/>
          <w:sz w:val="20"/>
          <w:szCs w:val="20"/>
          <w:lang w:val="en-US"/>
        </w:rPr>
        <w:t>. At that time, Mecca was more like a desert without water or plants. When Prophet Ibrahim left Mecca and was far away from his family, he looked back at Mecca and prayed: O Lord! I have settled some of my offspring in a barren valley by Your Sacred House so that they would perform the Prayer. O Lord, make the hearts of some people yearn towards them and provide them with fruits for which they would give thanks (Quran</w:t>
      </w:r>
      <w:r>
        <w:rPr>
          <w:rFonts w:asciiTheme="majorBidi" w:hAnsiTheme="majorBidi" w:cstheme="majorBidi"/>
          <w:sz w:val="20"/>
          <w:szCs w:val="20"/>
          <w:lang w:val="en-US"/>
        </w:rPr>
        <w:t xml:space="preserve"> </w:t>
      </w:r>
      <w:r w:rsidRPr="00130B9D">
        <w:rPr>
          <w:rFonts w:asciiTheme="majorBidi" w:hAnsiTheme="majorBidi" w:cstheme="majorBidi"/>
          <w:sz w:val="20"/>
          <w:szCs w:val="20"/>
          <w:lang w:val="en-US"/>
        </w:rPr>
        <w:t>14:</w:t>
      </w:r>
      <w:r>
        <w:rPr>
          <w:rFonts w:asciiTheme="majorBidi" w:hAnsiTheme="majorBidi" w:cstheme="majorBidi"/>
          <w:sz w:val="20"/>
          <w:szCs w:val="20"/>
          <w:lang w:val="en-US"/>
        </w:rPr>
        <w:t xml:space="preserve"> </w:t>
      </w:r>
      <w:r w:rsidRPr="00130B9D">
        <w:rPr>
          <w:rFonts w:asciiTheme="majorBidi" w:hAnsiTheme="majorBidi" w:cstheme="majorBidi"/>
          <w:sz w:val="20"/>
          <w:szCs w:val="20"/>
          <w:lang w:val="en-US"/>
        </w:rPr>
        <w:t>37). Ibrahim left a little food and drink with Hajar in the very barren area, but she shortly ran out of food and drink. She was breastfeeding her little baby so she needed water and food for them both to survive. In that wild place, Hagar felt desperate and started crying. She ran back and forth between two mountains in the holy mosque area, climbing a mountain and looking down in hope to find anyone who could help her and her little baby, who was extremely thirsty. On the seventh occasion she heard a voice in the holy mosque area. When she reached the area, she found the angel Gabriel hitting the ground until pure water came out, called Zam</w:t>
      </w:r>
      <w:r w:rsidRPr="00130B9D">
        <w:rPr>
          <w:rFonts w:asciiTheme="majorBidi" w:hAnsiTheme="majorBidi" w:cstheme="majorBidi"/>
          <w:sz w:val="20"/>
          <w:szCs w:val="20"/>
        </w:rPr>
        <w:t>zam</w:t>
      </w:r>
      <w:r w:rsidRPr="00130B9D">
        <w:rPr>
          <w:rFonts w:asciiTheme="majorBidi" w:hAnsiTheme="majorBidi" w:cstheme="majorBidi"/>
          <w:sz w:val="20"/>
          <w:szCs w:val="20"/>
          <w:lang w:val="en-US"/>
        </w:rPr>
        <w:t xml:space="preserve"> water. Zam</w:t>
      </w:r>
      <w:r w:rsidRPr="00130B9D">
        <w:rPr>
          <w:rFonts w:asciiTheme="majorBidi" w:hAnsiTheme="majorBidi" w:cstheme="majorBidi"/>
          <w:sz w:val="20"/>
          <w:szCs w:val="20"/>
        </w:rPr>
        <w:t>zam</w:t>
      </w:r>
      <w:r w:rsidRPr="00130B9D">
        <w:rPr>
          <w:rFonts w:asciiTheme="majorBidi" w:hAnsiTheme="majorBidi" w:cstheme="majorBidi"/>
          <w:sz w:val="20"/>
          <w:szCs w:val="20"/>
          <w:lang w:val="en-US"/>
        </w:rPr>
        <w:t xml:space="preserve"> water saved the lives of Hagar and her little baby </w:t>
      </w:r>
      <w:r w:rsidRPr="00130B9D">
        <w:rPr>
          <w:rFonts w:asciiTheme="majorBidi" w:hAnsiTheme="majorBidi" w:cstheme="majorBidi"/>
          <w:sz w:val="20"/>
          <w:szCs w:val="20"/>
          <w:lang w:val="en-US"/>
        </w:rPr>
        <w:fldChar w:fldCharType="begin"/>
      </w:r>
      <w:r>
        <w:rPr>
          <w:rFonts w:asciiTheme="majorBidi" w:hAnsiTheme="majorBidi" w:cstheme="majorBidi"/>
          <w:sz w:val="20"/>
          <w:szCs w:val="20"/>
          <w:lang w:val="en-US"/>
        </w:rPr>
        <w:instrText xml:space="preserve"> ADDIN ZOTERO_ITEM CSL_CITATION {"citationID":"kEpAicaQ","properties":{"formattedCitation":"(Campo, 2015)","plainCitation":"(Campo, 2015)","noteIndex":5},"citationItems":[{"id":375,"uris":["http://zotero.org/users/1939618/items/F65U9P7Z"],"uri":["http://zotero.org/users/1939618/items/F65U9P7Z"],"itemData":{"id":375,"type":"chapter","title":"Visualizing the Hajj: Representations of a Changing Sacred Landscape Past and Present","container-title":"The Hajj: Pilgrimage in Islam","publisher":"Cambridge University Press Cambridge","publisher-place":"Cambridge","page":"296-288","event-place":"Cambridge","author":[{"family":"Campo","given":"J."}],"editor":[{"family":"Tagliacozzo","given":"E."},{"family":"Toorawa","given":"S."}],"issued":{"date-parts":[["2015"]]}}}],"schema":"https://github.com/citation-style-language/schema/raw/master/csl-citation.json"} </w:instrText>
      </w:r>
      <w:r w:rsidRPr="00130B9D">
        <w:rPr>
          <w:rFonts w:asciiTheme="majorBidi" w:hAnsiTheme="majorBidi" w:cstheme="majorBidi"/>
          <w:sz w:val="20"/>
          <w:szCs w:val="20"/>
          <w:lang w:val="en-US"/>
        </w:rPr>
        <w:fldChar w:fldCharType="separate"/>
      </w:r>
      <w:r w:rsidRPr="00130B9D">
        <w:rPr>
          <w:rFonts w:asciiTheme="majorBidi" w:hAnsiTheme="majorBidi" w:cstheme="majorBidi"/>
          <w:noProof/>
          <w:sz w:val="20"/>
          <w:szCs w:val="20"/>
          <w:lang w:val="en-US"/>
        </w:rPr>
        <w:t>(Campo, 2015)</w:t>
      </w:r>
      <w:r w:rsidRPr="00130B9D">
        <w:rPr>
          <w:rFonts w:asciiTheme="majorBidi" w:hAnsiTheme="majorBidi" w:cstheme="majorBidi"/>
          <w:sz w:val="20"/>
          <w:szCs w:val="20"/>
          <w:lang w:val="en-US"/>
        </w:rPr>
        <w:fldChar w:fldCharType="end"/>
      </w:r>
      <w:r w:rsidRPr="00130B9D">
        <w:rPr>
          <w:rFonts w:asciiTheme="majorBidi" w:hAnsiTheme="majorBidi" w:cstheme="majorBidi"/>
          <w:sz w:val="20"/>
          <w:szCs w:val="20"/>
          <w:lang w:val="en-US"/>
        </w:rPr>
        <w:t xml:space="preserve">. In addition, the water turned the valley into a more fertile one, which led to people from the neighboring areas settling there. It is important to mention that part of the Hajj rites involves going back and forth between the two mountains in the holy mosque area; that is, Muslims were told to do so to remember the suffering and the absolute submission to Allah’s will of Ibrahim’s family </w:t>
      </w:r>
      <w:r w:rsidRPr="00130B9D">
        <w:rPr>
          <w:rFonts w:asciiTheme="majorBidi" w:hAnsiTheme="majorBidi" w:cstheme="majorBidi"/>
          <w:sz w:val="20"/>
          <w:szCs w:val="20"/>
          <w:lang w:val="en-US"/>
        </w:rPr>
        <w:fldChar w:fldCharType="begin"/>
      </w:r>
      <w:r>
        <w:rPr>
          <w:rFonts w:asciiTheme="majorBidi" w:hAnsiTheme="majorBidi" w:cstheme="majorBidi"/>
          <w:sz w:val="20"/>
          <w:szCs w:val="20"/>
          <w:lang w:val="en-US"/>
        </w:rPr>
        <w:instrText xml:space="preserve"> ADDIN ZOTERO_ITEM CSL_CITATION {"citationID":"pRXVDP8o","properties":{"formattedCitation":"(Peters, 1996, p. 4,5)","plainCitation":"(Peters, 1996, p. 4,5)","dontUpdate":true,"noteIndex":5},"citationItems":[{"id":185,"uris":["http://zotero.org/users/1939618/items/FDJCCK2N"],"uri":["http://zotero.org/users/1939618/items/FDJCCK2N"],"itemData":{"id":185,"type":"book","title":"The Hajj: The Muslim pilgrimage to Mecca and the holy places","publisher":"Princeton University Press","publisher-place":"New Jersey","source":"Google Scholar","event-place":"New Jersey","URL":"https://books.google.co.uk/books?hl=en&amp;lr=&amp;id=EK5MqskDYC0C&amp;oi=fnd&amp;pg=PR9&amp;dq=The+Hajj:+The+Muslim+Pilgrimage+to+Mecca+and+the+Holy+Places++By+F.+E.+Peters&amp;ots=vm4g3Yvqlc&amp;sig=7vnrxFf7PiJD1XdpXkCktrWE7Tk","shortTitle":"The Hajj","author":[{"family":"Peters","given":"Francis E."}],"issued":{"date-parts":[["1996"]]},"accessed":{"date-parts":[["2016",1,28]]}},"locator":"4,5","label":"page"}],"schema":"https://github.com/citation-style-language/schema/raw/master/csl-citation.json"} </w:instrText>
      </w:r>
      <w:r w:rsidRPr="00130B9D">
        <w:rPr>
          <w:rFonts w:asciiTheme="majorBidi" w:hAnsiTheme="majorBidi" w:cstheme="majorBidi"/>
          <w:sz w:val="20"/>
          <w:szCs w:val="20"/>
          <w:lang w:val="en-US"/>
        </w:rPr>
        <w:fldChar w:fldCharType="separate"/>
      </w:r>
      <w:r>
        <w:rPr>
          <w:rFonts w:asciiTheme="majorBidi" w:hAnsiTheme="majorBidi" w:cstheme="majorBidi"/>
          <w:noProof/>
          <w:sz w:val="20"/>
          <w:szCs w:val="20"/>
          <w:lang w:val="en-US"/>
        </w:rPr>
        <w:t>(Peters, 1996, pp. 4–5)</w:t>
      </w:r>
      <w:r w:rsidRPr="00130B9D">
        <w:rPr>
          <w:rFonts w:asciiTheme="majorBidi" w:hAnsiTheme="majorBidi" w:cstheme="majorBidi"/>
          <w:sz w:val="20"/>
          <w:szCs w:val="20"/>
          <w:lang w:val="en-US"/>
        </w:rPr>
        <w:fldChar w:fldCharType="end"/>
      </w:r>
      <w:r w:rsidRPr="00130B9D">
        <w:rPr>
          <w:rFonts w:asciiTheme="majorBidi" w:hAnsiTheme="majorBidi" w:cstheme="majorBidi"/>
          <w:sz w:val="20"/>
          <w:szCs w:val="20"/>
          <w:lang w:val="en-US"/>
        </w:rPr>
        <w:t xml:space="preserve">. Thus, when performing Hajj, Muslims every year remember the suffering of Prophet Ibrahim’s family and their submission to the will of God. Later on, when Ismael was young enough Ibrahim returned to Mecca because he was asked by Allah to build the Kaaba with the help of his young son </w:t>
      </w:r>
      <w:r w:rsidRPr="00130B9D">
        <w:rPr>
          <w:rFonts w:asciiTheme="majorBidi" w:hAnsiTheme="majorBidi" w:cstheme="majorBidi"/>
          <w:sz w:val="20"/>
          <w:szCs w:val="20"/>
          <w:lang w:val="en-US"/>
        </w:rPr>
        <w:fldChar w:fldCharType="begin"/>
      </w:r>
      <w:r>
        <w:rPr>
          <w:rFonts w:asciiTheme="majorBidi" w:hAnsiTheme="majorBidi" w:cstheme="majorBidi"/>
          <w:sz w:val="20"/>
          <w:szCs w:val="20"/>
          <w:lang w:val="en-US"/>
        </w:rPr>
        <w:instrText xml:space="preserve"> ADDIN ZOTERO_ITEM CSL_CITATION {"citationID":"MApiSWAq","properties":{"formattedCitation":"(Peters, 1996, p. 4,5)","plainCitation":"(Peters, 1996, p. 4,5)","dontUpdate":true,"noteIndex":5},"citationItems":[{"id":185,"uris":["http://zotero.org/users/1939618/items/FDJCCK2N"],"uri":["http://zotero.org/users/1939618/items/FDJCCK2N"],"itemData":{"id":185,"type":"book","title":"The Hajj: The Muslim pilgrimage to Mecca and the holy places","publisher":"Princeton University Press","publisher-place":"New Jersey","source":"Google Scholar","event-place":"New Jersey","URL":"https://books.google.co.uk/books?hl=en&amp;lr=&amp;id=EK5MqskDYC0C&amp;oi=fnd&amp;pg=PR9&amp;dq=The+Hajj:+The+Muslim+Pilgrimage+to+Mecca+and+the+Holy+Places++By+F.+E.+Peters&amp;ots=vm4g3Yvqlc&amp;sig=7vnrxFf7PiJD1XdpXkCktrWE7Tk","shortTitle":"The Hajj","author":[{"family":"Peters","given":"Francis E."}],"issued":{"date-parts":[["1996"]]},"accessed":{"date-parts":[["2016",1,28]]}},"locator":"4,5","label":"page"}],"schema":"https://github.com/citation-style-language/schema/raw/master/csl-citation.json"} </w:instrText>
      </w:r>
      <w:r w:rsidRPr="00130B9D">
        <w:rPr>
          <w:rFonts w:asciiTheme="majorBidi" w:hAnsiTheme="majorBidi" w:cstheme="majorBidi"/>
          <w:sz w:val="20"/>
          <w:szCs w:val="20"/>
          <w:lang w:val="en-US"/>
        </w:rPr>
        <w:fldChar w:fldCharType="separate"/>
      </w:r>
      <w:r>
        <w:rPr>
          <w:rFonts w:asciiTheme="majorBidi" w:hAnsiTheme="majorBidi" w:cstheme="majorBidi"/>
          <w:noProof/>
          <w:sz w:val="20"/>
          <w:szCs w:val="20"/>
          <w:lang w:val="en-US"/>
        </w:rPr>
        <w:t>(Peters, 1996, pp. 4–5)</w:t>
      </w:r>
      <w:r w:rsidRPr="00130B9D">
        <w:rPr>
          <w:rFonts w:asciiTheme="majorBidi" w:hAnsiTheme="majorBidi" w:cstheme="majorBidi"/>
          <w:sz w:val="20"/>
          <w:szCs w:val="20"/>
          <w:lang w:val="en-US"/>
        </w:rPr>
        <w:fldChar w:fldCharType="end"/>
      </w:r>
      <w:r w:rsidRPr="00130B9D">
        <w:rPr>
          <w:rFonts w:asciiTheme="majorBidi" w:hAnsiTheme="majorBidi" w:cstheme="majorBidi"/>
          <w:sz w:val="20"/>
          <w:szCs w:val="20"/>
          <w:lang w:val="en-US"/>
        </w:rPr>
        <w:t xml:space="preserve">. </w:t>
      </w:r>
    </w:p>
    <w:p w14:paraId="43554AA3" w14:textId="0B1EB6E0" w:rsidR="000E3509" w:rsidRPr="00130B9D" w:rsidRDefault="000E3509" w:rsidP="00130B9D">
      <w:pPr>
        <w:jc w:val="both"/>
        <w:rPr>
          <w:rFonts w:asciiTheme="majorBidi" w:hAnsiTheme="majorBidi" w:cstheme="majorBidi"/>
          <w:sz w:val="20"/>
          <w:szCs w:val="20"/>
          <w:lang w:val="en-US"/>
        </w:rPr>
      </w:pPr>
    </w:p>
    <w:p w14:paraId="29E5AFC9" w14:textId="6276D05A" w:rsidR="000E3509" w:rsidRPr="00130B9D" w:rsidRDefault="000E3509" w:rsidP="00130B9D">
      <w:pPr>
        <w:jc w:val="both"/>
        <w:rPr>
          <w:rFonts w:asciiTheme="majorBidi" w:hAnsiTheme="majorBidi" w:cstheme="majorBidi"/>
          <w:sz w:val="16"/>
          <w:szCs w:val="16"/>
          <w:lang w:val="en-US"/>
        </w:rPr>
      </w:pPr>
    </w:p>
    <w:p w14:paraId="5ECE3750" w14:textId="0B98766D" w:rsidR="000E3509" w:rsidRPr="00130B9D" w:rsidRDefault="000E3509" w:rsidP="00130B9D">
      <w:pPr>
        <w:spacing w:before="240"/>
        <w:jc w:val="both"/>
        <w:rPr>
          <w:rFonts w:asciiTheme="majorBidi" w:hAnsiTheme="majorBidi" w:cstheme="majorBidi"/>
          <w:sz w:val="16"/>
          <w:szCs w:val="16"/>
          <w:lang w:val="en-US"/>
        </w:rPr>
      </w:pPr>
    </w:p>
    <w:p w14:paraId="75D34BF2" w14:textId="77777777" w:rsidR="000E3509" w:rsidRPr="00130B9D" w:rsidRDefault="000E3509" w:rsidP="00130B9D">
      <w:pPr>
        <w:spacing w:before="240" w:line="360" w:lineRule="auto"/>
        <w:jc w:val="both"/>
        <w:rPr>
          <w:rFonts w:asciiTheme="majorBidi" w:hAnsiTheme="majorBidi" w:cstheme="majorBidi"/>
          <w:sz w:val="20"/>
          <w:szCs w:val="20"/>
          <w:lang w:val="en-US"/>
        </w:rPr>
      </w:pPr>
    </w:p>
    <w:p w14:paraId="282CCF6E" w14:textId="77777777" w:rsidR="000E3509" w:rsidRPr="00130B9D" w:rsidRDefault="000E3509" w:rsidP="00130B9D">
      <w:pPr>
        <w:spacing w:line="360" w:lineRule="auto"/>
        <w:jc w:val="both"/>
        <w:rPr>
          <w:rFonts w:asciiTheme="majorBidi" w:hAnsiTheme="majorBidi" w:cstheme="majorBidi"/>
          <w:sz w:val="20"/>
          <w:szCs w:val="20"/>
          <w:lang w:val="en-US"/>
        </w:rPr>
      </w:pPr>
    </w:p>
    <w:p w14:paraId="4B132F27" w14:textId="3A04D1D2" w:rsidR="000E3509" w:rsidRPr="00130B9D" w:rsidRDefault="000E3509" w:rsidP="00130B9D">
      <w:pPr>
        <w:spacing w:line="360" w:lineRule="auto"/>
        <w:jc w:val="both"/>
        <w:rPr>
          <w:rFonts w:asciiTheme="majorBidi" w:hAnsiTheme="majorBidi" w:cstheme="majorBidi"/>
          <w:sz w:val="20"/>
          <w:szCs w:val="20"/>
          <w:lang w:val="en-US"/>
        </w:rPr>
      </w:pPr>
    </w:p>
    <w:p w14:paraId="5D3B1EC3" w14:textId="74B44579" w:rsidR="000E3509" w:rsidRPr="00130B9D" w:rsidRDefault="000E3509">
      <w:pPr>
        <w:pStyle w:val="FootnoteText"/>
        <w:rPr>
          <w:sz w:val="21"/>
          <w:szCs w:val="21"/>
          <w:lang w:val="en-US"/>
        </w:rPr>
      </w:pPr>
    </w:p>
  </w:footnote>
  <w:footnote w:id="6">
    <w:p w14:paraId="6ED86577" w14:textId="2F7A9DFE" w:rsidR="000E3509" w:rsidRPr="00F74CDE" w:rsidRDefault="000E3509" w:rsidP="009258B3">
      <w:pPr>
        <w:pStyle w:val="FootnoteText"/>
        <w:rPr>
          <w:color w:val="000000" w:themeColor="text1"/>
          <w:sz w:val="20"/>
          <w:szCs w:val="20"/>
        </w:rPr>
      </w:pPr>
      <w:r w:rsidRPr="00B9622D">
        <w:rPr>
          <w:rStyle w:val="FootnoteReference"/>
        </w:rPr>
        <w:footnoteRef/>
      </w:r>
      <w:r>
        <w:t xml:space="preserve"> </w:t>
      </w:r>
      <w:r w:rsidRPr="00F74CDE">
        <w:rPr>
          <w:color w:val="000000" w:themeColor="text1"/>
          <w:sz w:val="20"/>
          <w:szCs w:val="20"/>
        </w:rPr>
        <w:t xml:space="preserve">Tribe means a social division of a large number of people who are connected with each other according to their genealogical ties; each tribe is ruled by a leader. They share the same customs and dialect. </w:t>
      </w:r>
    </w:p>
  </w:footnote>
  <w:footnote w:id="7">
    <w:p w14:paraId="735AE9FF" w14:textId="4E78A1C7" w:rsidR="000E3509" w:rsidRPr="00285B53" w:rsidRDefault="000E3509" w:rsidP="00F72404">
      <w:pPr>
        <w:pStyle w:val="FootnoteText"/>
        <w:rPr>
          <w:color w:val="000000" w:themeColor="text1"/>
          <w:sz w:val="20"/>
          <w:szCs w:val="20"/>
        </w:rPr>
      </w:pPr>
      <w:r w:rsidRPr="00B9622D">
        <w:rPr>
          <w:rStyle w:val="FootnoteReference"/>
        </w:rPr>
        <w:footnoteRef/>
      </w:r>
      <w:r>
        <w:t xml:space="preserve"> </w:t>
      </w:r>
      <w:r w:rsidRPr="00285B53">
        <w:rPr>
          <w:color w:val="000000" w:themeColor="text1"/>
          <w:sz w:val="20"/>
          <w:szCs w:val="20"/>
        </w:rPr>
        <w:t>The scope of the thesis is to investigate attitudes towards Hijazi dialects in urban centres; therefore, I am only going to focus on the societal make-up in cities within Hijaz.</w:t>
      </w:r>
    </w:p>
  </w:footnote>
  <w:footnote w:id="8">
    <w:p w14:paraId="28278CCE" w14:textId="2760164F" w:rsidR="000E3509" w:rsidRPr="00285B53" w:rsidRDefault="000E3509" w:rsidP="00F72262">
      <w:pPr>
        <w:pStyle w:val="FootnoteText"/>
        <w:jc w:val="both"/>
        <w:rPr>
          <w:color w:val="000000" w:themeColor="text1"/>
          <w:sz w:val="20"/>
          <w:szCs w:val="20"/>
        </w:rPr>
      </w:pPr>
      <w:r w:rsidRPr="00B9622D">
        <w:rPr>
          <w:rStyle w:val="FootnoteReference"/>
        </w:rPr>
        <w:footnoteRef/>
      </w:r>
      <w:r>
        <w:t xml:space="preserve"> </w:t>
      </w:r>
      <w:r w:rsidRPr="00285B53">
        <w:rPr>
          <w:rFonts w:asciiTheme="majorBidi" w:hAnsiTheme="majorBidi" w:cstheme="majorBidi"/>
          <w:color w:val="000000" w:themeColor="text1"/>
          <w:sz w:val="20"/>
          <w:szCs w:val="20"/>
        </w:rPr>
        <w:t xml:space="preserve">Following Prophet </w:t>
      </w:r>
      <w:r>
        <w:rPr>
          <w:rFonts w:asciiTheme="majorBidi" w:hAnsiTheme="majorBidi" w:cstheme="majorBidi"/>
          <w:color w:val="000000" w:themeColor="text1"/>
          <w:sz w:val="20"/>
          <w:szCs w:val="20"/>
        </w:rPr>
        <w:t>Muhammad</w:t>
      </w:r>
      <w:r w:rsidRPr="00285B53">
        <w:rPr>
          <w:rFonts w:asciiTheme="majorBidi" w:hAnsiTheme="majorBidi" w:cstheme="majorBidi"/>
          <w:color w:val="000000" w:themeColor="text1"/>
          <w:sz w:val="20"/>
          <w:szCs w:val="20"/>
        </w:rPr>
        <w:t xml:space="preserve">’s era, Hijaz </w:t>
      </w:r>
      <w:r w:rsidRPr="00285B53">
        <w:rPr>
          <w:rFonts w:asciiTheme="majorBidi" w:hAnsiTheme="majorBidi" w:cstheme="majorBidi"/>
          <w:color w:val="000000" w:themeColor="text1"/>
          <w:sz w:val="20"/>
          <w:szCs w:val="20"/>
          <w:lang w:val="en-US"/>
        </w:rPr>
        <w:t xml:space="preserve">was governed by Rashidun Caliphates, who were the companions and successors of Prophet </w:t>
      </w:r>
      <w:r>
        <w:rPr>
          <w:rFonts w:asciiTheme="majorBidi" w:hAnsiTheme="majorBidi" w:cstheme="majorBidi"/>
          <w:color w:val="000000" w:themeColor="text1"/>
          <w:sz w:val="20"/>
          <w:szCs w:val="20"/>
          <w:lang w:val="en-US"/>
        </w:rPr>
        <w:t>Muhammad</w:t>
      </w:r>
      <w:r w:rsidRPr="00285B53">
        <w:rPr>
          <w:rFonts w:asciiTheme="majorBidi" w:hAnsiTheme="majorBidi" w:cstheme="majorBidi"/>
          <w:color w:val="000000" w:themeColor="text1"/>
          <w:sz w:val="20"/>
          <w:szCs w:val="20"/>
          <w:lang w:val="en-US"/>
        </w:rPr>
        <w:t xml:space="preserve">, from 632 until 661. Then, it was ruled by the Umayyad Caliphates from 661 until 750. After the collapse of the Umayyad state, Hijaz was ruled by Abbasid Caliphates from 750 until 1258. Then, it was ruled by an Islamic </w:t>
      </w:r>
      <w:r>
        <w:rPr>
          <w:rFonts w:asciiTheme="majorBidi" w:hAnsiTheme="majorBidi" w:cstheme="majorBidi"/>
          <w:color w:val="000000" w:themeColor="text1"/>
          <w:sz w:val="20"/>
          <w:szCs w:val="20"/>
          <w:lang w:val="en-US"/>
        </w:rPr>
        <w:t>country</w:t>
      </w:r>
      <w:r w:rsidRPr="00285B53">
        <w:rPr>
          <w:rFonts w:asciiTheme="majorBidi" w:hAnsiTheme="majorBidi" w:cstheme="majorBidi"/>
          <w:color w:val="000000" w:themeColor="text1"/>
          <w:sz w:val="20"/>
          <w:szCs w:val="20"/>
          <w:lang w:val="en-US"/>
        </w:rPr>
        <w:t xml:space="preserve"> called Mamluk from 1425 until 1453 </w:t>
      </w:r>
      <w:r w:rsidRPr="00285B53">
        <w:rPr>
          <w:rFonts w:asciiTheme="majorBidi" w:hAnsiTheme="majorBidi" w:cstheme="majorBidi"/>
          <w:color w:val="000000" w:themeColor="text1"/>
          <w:sz w:val="20"/>
          <w:szCs w:val="20"/>
          <w:lang w:val="en-US"/>
        </w:rPr>
        <w:fldChar w:fldCharType="begin"/>
      </w:r>
      <w:r w:rsidRPr="00285B53">
        <w:rPr>
          <w:rFonts w:asciiTheme="majorBidi" w:hAnsiTheme="majorBidi" w:cstheme="majorBidi"/>
          <w:color w:val="000000" w:themeColor="text1"/>
          <w:sz w:val="20"/>
          <w:szCs w:val="20"/>
          <w:lang w:val="en-US"/>
        </w:rPr>
        <w:instrText xml:space="preserve"> ADDIN ZOTERO_ITEM CSL_CITATION {"citationID":"UgoLCAWZ","properties":{"formattedCitation":"(Ochsenwald, 1984)","plainCitation":"(Ochsenwald, 1984)","noteIndex":8},"citationItems":[{"id":101,"uris":["http://zotero.org/users/1939618/items/FUUT425D"],"uri":["http://zotero.org/users/1939618/items/FUUT425D"],"itemData":{"id":101,"type":"book","title":"Religion, society, and the state in Arabia: the Hijaz under Ottoman control, 1840-1908","publisher":"The Ohio State University Press","publisher-place":"Colombus","source":"kb.osu.edu","event-place":"Colombus","abstract":"(print) xiii, 241 p. : ill. ; 24 cm","URL":"http://hdl.handle.net/1811/24661","ISBN":"0814203663","note":"(print) xiii, 241 p. : ill. ; 24 cm","shortTitle":"Religion, society, and the state in Arabia","language":"en","author":[{"family":"Ochsenwald","given":"William"}],"issued":{"date-parts":[["1984"]]},"accessed":{"date-parts":[["2015",1,19]]}}}],"schema":"https://github.com/citation-style-language/schema/raw/master/csl-citation.json"} </w:instrText>
      </w:r>
      <w:r w:rsidRPr="00285B53">
        <w:rPr>
          <w:rFonts w:asciiTheme="majorBidi" w:hAnsiTheme="majorBidi" w:cstheme="majorBidi"/>
          <w:color w:val="000000" w:themeColor="text1"/>
          <w:sz w:val="20"/>
          <w:szCs w:val="20"/>
          <w:lang w:val="en-US"/>
        </w:rPr>
        <w:fldChar w:fldCharType="separate"/>
      </w:r>
      <w:r w:rsidRPr="00285B53">
        <w:rPr>
          <w:rFonts w:asciiTheme="majorBidi" w:hAnsiTheme="majorBidi" w:cstheme="majorBidi"/>
          <w:noProof/>
          <w:color w:val="000000" w:themeColor="text1"/>
          <w:sz w:val="20"/>
          <w:szCs w:val="20"/>
          <w:lang w:val="en-US"/>
        </w:rPr>
        <w:t>(Ochsenwald, 1984)</w:t>
      </w:r>
      <w:r w:rsidRPr="00285B53">
        <w:rPr>
          <w:rFonts w:asciiTheme="majorBidi" w:hAnsiTheme="majorBidi" w:cstheme="majorBidi"/>
          <w:color w:val="000000" w:themeColor="text1"/>
          <w:sz w:val="20"/>
          <w:szCs w:val="20"/>
          <w:lang w:val="en-US"/>
        </w:rPr>
        <w:fldChar w:fldCharType="end"/>
      </w:r>
      <w:r w:rsidRPr="00285B53">
        <w:rPr>
          <w:rFonts w:asciiTheme="majorBidi" w:hAnsiTheme="majorBidi" w:cstheme="majorBidi"/>
          <w:color w:val="000000" w:themeColor="text1"/>
          <w:sz w:val="20"/>
          <w:szCs w:val="20"/>
          <w:lang w:val="en-US"/>
        </w:rPr>
        <w:t>.</w:t>
      </w:r>
    </w:p>
  </w:footnote>
  <w:footnote w:id="9">
    <w:p w14:paraId="64A8B98B" w14:textId="01AF68C8" w:rsidR="000E3509" w:rsidRPr="00285B53" w:rsidRDefault="000E3509">
      <w:pPr>
        <w:pStyle w:val="FootnoteText"/>
        <w:rPr>
          <w:color w:val="000000" w:themeColor="text1"/>
          <w:sz w:val="20"/>
          <w:szCs w:val="20"/>
        </w:rPr>
      </w:pPr>
      <w:r w:rsidRPr="00B9622D">
        <w:rPr>
          <w:rStyle w:val="FootnoteReference"/>
        </w:rPr>
        <w:footnoteRef/>
      </w:r>
      <w:r w:rsidRPr="00285B53">
        <w:rPr>
          <w:color w:val="000000" w:themeColor="text1"/>
        </w:rPr>
        <w:t xml:space="preserve"> </w:t>
      </w:r>
      <w:r w:rsidRPr="00285B53">
        <w:rPr>
          <w:color w:val="000000" w:themeColor="text1"/>
          <w:sz w:val="20"/>
          <w:szCs w:val="20"/>
        </w:rPr>
        <w:t xml:space="preserve">See </w:t>
      </w:r>
      <w:r w:rsidRPr="00285B53">
        <w:rPr>
          <w:color w:val="000000" w:themeColor="text1"/>
          <w:sz w:val="20"/>
          <w:szCs w:val="20"/>
        </w:rPr>
        <w:fldChar w:fldCharType="begin"/>
      </w:r>
      <w:r>
        <w:rPr>
          <w:color w:val="000000" w:themeColor="text1"/>
          <w:sz w:val="20"/>
          <w:szCs w:val="20"/>
        </w:rPr>
        <w:instrText xml:space="preserve"> ADDIN ZOTERO_ITEM CSL_CITATION {"citationID":"tBjLzfsW","properties":{"formattedCitation":"(Alahmadi, 2015)","plainCitation":"(Alahmadi, 2015)","dontUpdate":true,"noteIndex":9},"citationItems":[{"id":476,"uris":["http://zotero.org/users/1939618/items/ZDMCRMJ9"],"uri":["http://zotero.org/users/1939618/items/ZDMCRMJ9"],"itemData":{"id":476,"type":"article-journal","title":"Loanwords in the Urban Meccan Hijazi Dialect: An Analysis of Lexical Variation according to Speakers’ Sex, Age and Education","container-title":"International Journal of English Linguistics","page":"34-58","volume":"5","issue":"6","source":"ResearchGate","abstract":"This study aims to investigate the degree of lexical variation in Urban Meccan Hijazi Arabic (UMH) by identifying the loan words that are commonly spoken in this dialect and determining from which languages they have been borrowed. Also, it explores the effect of social factors such as age, sex and educational level on the use of loan words by UMH speakers. For the purpose of the study, I designed a questionnaire and distributed it to eighty participants whose mother tongue is UMH. The sample consisted of three groups, namely, old and young, male and female and educated and uneducated participants. In order to provide answers to the research questions, the questionnaire was divided into two sections; section one investigates the participants’ background, i.e., their age, sex, educational level, how long have they been living in Mecca, etc., and section two examines their use of the loan words in UMH. The results revealed that in addition to some words that have been borrowed from Persian and Italian, most of the loan words found in UMH have been borrowed from Turkish. This could have resulted from the Ottoman occupation of Saudi Arabia for around 400 years, and the interaction with pilgrims who visit Mecca every year. Additionally, the results of the t-tests showed that the differences between the three groups (i.e., old vs. young, male vs. female and educated vs. uneducated) are statistically significant. This indicates that the three social factors play a crucial role in the participants’ use of the loan words in UMH. Finally, the study concludes with some recommendations for further research.","DOI":"10.5539/ijel.v5n6p3","shortTitle":"Loanwords in the Urban Meccan Hijazi Dialect","author":[{"family":"Alahmadi","given":"Sameeha"}],"issued":{"date-parts":[["2015",12,1]]}}}],"schema":"https://github.com/citation-style-language/schema/raw/master/csl-citation.json"} </w:instrText>
      </w:r>
      <w:r w:rsidRPr="00285B53">
        <w:rPr>
          <w:color w:val="000000" w:themeColor="text1"/>
          <w:sz w:val="20"/>
          <w:szCs w:val="20"/>
        </w:rPr>
        <w:fldChar w:fldCharType="separate"/>
      </w:r>
      <w:r w:rsidRPr="00285B53">
        <w:rPr>
          <w:noProof/>
          <w:color w:val="000000" w:themeColor="text1"/>
          <w:sz w:val="20"/>
          <w:szCs w:val="20"/>
        </w:rPr>
        <w:t>Alahmadi (2015)</w:t>
      </w:r>
      <w:r w:rsidRPr="00285B53">
        <w:rPr>
          <w:color w:val="000000" w:themeColor="text1"/>
          <w:sz w:val="20"/>
          <w:szCs w:val="20"/>
        </w:rPr>
        <w:fldChar w:fldCharType="end"/>
      </w:r>
      <w:r w:rsidRPr="00285B53">
        <w:rPr>
          <w:color w:val="000000" w:themeColor="text1"/>
          <w:sz w:val="20"/>
          <w:szCs w:val="20"/>
        </w:rPr>
        <w:t xml:space="preserve"> for a list of loan words from the Turkish language into Hijazi dialects.  </w:t>
      </w:r>
    </w:p>
  </w:footnote>
  <w:footnote w:id="10">
    <w:p w14:paraId="6B090BF5" w14:textId="10C10CF5" w:rsidR="000E3509" w:rsidRPr="002C445B" w:rsidRDefault="000E3509" w:rsidP="0058240D">
      <w:pPr>
        <w:pStyle w:val="FootnoteText"/>
        <w:rPr>
          <w:color w:val="000000" w:themeColor="text1"/>
          <w:sz w:val="20"/>
          <w:szCs w:val="20"/>
        </w:rPr>
      </w:pPr>
      <w:r w:rsidRPr="00B9622D">
        <w:rPr>
          <w:rStyle w:val="FootnoteReference"/>
        </w:rPr>
        <w:footnoteRef/>
      </w:r>
      <w:r>
        <w:t xml:space="preserve"> </w:t>
      </w:r>
      <w:r w:rsidRPr="002C445B">
        <w:rPr>
          <w:color w:val="000000" w:themeColor="text1"/>
          <w:sz w:val="20"/>
          <w:szCs w:val="20"/>
        </w:rPr>
        <w:t xml:space="preserve">Hard infrastructure refers to large physical networks such as roads, bridges etc. Soft infrastructure refers to the institutions needed to sustain quality of life such as universities, hospitals etc. </w:t>
      </w:r>
    </w:p>
  </w:footnote>
  <w:footnote w:id="11">
    <w:p w14:paraId="6BED287E" w14:textId="77777777" w:rsidR="000E3509" w:rsidRPr="0090223F" w:rsidRDefault="000E3509" w:rsidP="006D3401">
      <w:pPr>
        <w:pStyle w:val="FootnoteText"/>
        <w:rPr>
          <w:sz w:val="20"/>
          <w:szCs w:val="20"/>
        </w:rPr>
      </w:pPr>
      <w:r w:rsidRPr="00B9622D">
        <w:rPr>
          <w:rStyle w:val="FootnoteReference"/>
        </w:rPr>
        <w:footnoteRef/>
      </w:r>
      <w:r>
        <w:t xml:space="preserve"> </w:t>
      </w:r>
      <w:r>
        <w:rPr>
          <w:sz w:val="20"/>
          <w:szCs w:val="20"/>
        </w:rPr>
        <w:t xml:space="preserve">The linguistic description given in </w:t>
      </w:r>
      <w:r w:rsidRPr="0090223F">
        <w:rPr>
          <w:sz w:val="20"/>
          <w:szCs w:val="20"/>
        </w:rPr>
        <w:t xml:space="preserve">Omar </w:t>
      </w:r>
      <w:r>
        <w:rPr>
          <w:sz w:val="20"/>
          <w:szCs w:val="20"/>
        </w:rPr>
        <w:t>(</w:t>
      </w:r>
      <w:r w:rsidRPr="0090223F">
        <w:rPr>
          <w:sz w:val="20"/>
          <w:szCs w:val="20"/>
        </w:rPr>
        <w:t>1975)</w:t>
      </w:r>
      <w:r>
        <w:rPr>
          <w:sz w:val="20"/>
          <w:szCs w:val="20"/>
        </w:rPr>
        <w:t xml:space="preserve"> only applies to the HH dialect and the book did not include any linguistic illustration of the UBH dialect. </w:t>
      </w:r>
    </w:p>
  </w:footnote>
  <w:footnote w:id="12">
    <w:p w14:paraId="641C5552" w14:textId="787AF3BC" w:rsidR="000E3509" w:rsidRPr="00FC73C0" w:rsidRDefault="000E3509" w:rsidP="0074630B">
      <w:pPr>
        <w:pStyle w:val="FootnoteText"/>
        <w:rPr>
          <w:color w:val="000000" w:themeColor="text1"/>
          <w:sz w:val="20"/>
          <w:szCs w:val="20"/>
        </w:rPr>
      </w:pPr>
      <w:r w:rsidRPr="00B9622D">
        <w:rPr>
          <w:rStyle w:val="FootnoteReference"/>
        </w:rPr>
        <w:footnoteRef/>
      </w:r>
      <w:r w:rsidRPr="00FC73C0">
        <w:rPr>
          <w:color w:val="000000" w:themeColor="text1"/>
          <w:sz w:val="20"/>
          <w:szCs w:val="20"/>
        </w:rPr>
        <w:t xml:space="preserve"> This is anecdotal as, to my knowledge, </w:t>
      </w:r>
      <w:r w:rsidRPr="00FC73C0">
        <w:rPr>
          <w:rFonts w:asciiTheme="majorBidi" w:hAnsiTheme="majorBidi" w:cstheme="majorBidi"/>
          <w:color w:val="000000" w:themeColor="text1"/>
          <w:sz w:val="20"/>
          <w:szCs w:val="20"/>
          <w:lang w:val="en-US"/>
        </w:rPr>
        <w:t>no research has been conducted in this area.</w:t>
      </w:r>
    </w:p>
  </w:footnote>
  <w:footnote w:id="13">
    <w:p w14:paraId="621A32FA" w14:textId="1FE566D7" w:rsidR="000E3509" w:rsidRPr="00DF18DB" w:rsidRDefault="000E3509" w:rsidP="0074630B">
      <w:pPr>
        <w:pStyle w:val="FootnoteText"/>
        <w:rPr>
          <w:rFonts w:asciiTheme="majorBidi" w:hAnsiTheme="majorBidi" w:cstheme="majorBidi"/>
          <w:color w:val="000000" w:themeColor="text1"/>
          <w:sz w:val="20"/>
          <w:szCs w:val="20"/>
        </w:rPr>
      </w:pPr>
      <w:r w:rsidRPr="00B9622D">
        <w:rPr>
          <w:rStyle w:val="FootnoteReference"/>
        </w:rPr>
        <w:footnoteRef/>
      </w:r>
      <w:r w:rsidRPr="00DF18DB">
        <w:rPr>
          <w:color w:val="000000" w:themeColor="text1"/>
          <w:sz w:val="20"/>
          <w:szCs w:val="20"/>
        </w:rPr>
        <w:t xml:space="preserve"> </w:t>
      </w:r>
      <w:r w:rsidRPr="00DF18DB">
        <w:rPr>
          <w:rFonts w:asciiTheme="majorBidi" w:hAnsiTheme="majorBidi" w:cstheme="majorBidi"/>
          <w:color w:val="000000" w:themeColor="text1"/>
          <w:sz w:val="20"/>
          <w:szCs w:val="20"/>
        </w:rPr>
        <w:fldChar w:fldCharType="begin"/>
      </w:r>
      <w:r w:rsidRPr="00DF18DB">
        <w:rPr>
          <w:rFonts w:asciiTheme="majorBidi" w:hAnsiTheme="majorBidi" w:cstheme="majorBidi"/>
          <w:color w:val="000000" w:themeColor="text1"/>
          <w:sz w:val="20"/>
          <w:szCs w:val="20"/>
        </w:rPr>
        <w:instrText xml:space="preserve"> ADDIN ZOTERO_ITEM CSL_CITATION {"citationID":"Jj4sdY3f","properties":{"formattedCitation":"(Al-Jehani, 1985)","plainCitation":"(Al-Jehani, 1985)","dontUpdate":true,"noteIndex":12},"citationItems":[{"id":537,"uris":["http://zotero.org/users/1939618/items/CKTFSSZ4"],"uri":["http://zotero.org/users/1939618/items/CKTFSSZ4"],"itemData":{"id":537,"type":"thesis","title":"Sociostylistic stratification of Arabic in Makkah (doctoral dissertation)","publisher":"University of Michigan","URL":"https://www.researchgate.net/publication/36173456_SOCIOSTYLISTIC_STRATIFICATION_OF_ARABIC_IN_MAKKAH_SOCIOLINGUISTICS_VARIATION_SAUDI_ARABIA","language":"en","author":[{"family":"Al-Jehani","given":"Nassir"}],"issued":{"date-parts":[["1985"]]},"accessed":{"date-parts":[["2018",7,12]]}}}],"schema":"https://github.com/citation-style-language/schema/raw/master/csl-citation.json"} </w:instrText>
      </w:r>
      <w:r w:rsidRPr="00DF18DB">
        <w:rPr>
          <w:rFonts w:asciiTheme="majorBidi" w:hAnsiTheme="majorBidi" w:cstheme="majorBidi"/>
          <w:color w:val="000000" w:themeColor="text1"/>
          <w:sz w:val="20"/>
          <w:szCs w:val="20"/>
        </w:rPr>
        <w:fldChar w:fldCharType="separate"/>
      </w:r>
      <w:r w:rsidRPr="00DF18DB">
        <w:rPr>
          <w:rFonts w:asciiTheme="majorBidi" w:hAnsiTheme="majorBidi" w:cstheme="majorBidi"/>
          <w:noProof/>
          <w:color w:val="000000" w:themeColor="text1"/>
          <w:sz w:val="20"/>
          <w:szCs w:val="20"/>
        </w:rPr>
        <w:t>Al-Jehani (1985)</w:t>
      </w:r>
      <w:r w:rsidRPr="00DF18DB">
        <w:rPr>
          <w:rFonts w:asciiTheme="majorBidi" w:hAnsiTheme="majorBidi" w:cstheme="majorBidi"/>
          <w:color w:val="000000" w:themeColor="text1"/>
          <w:sz w:val="20"/>
          <w:szCs w:val="20"/>
        </w:rPr>
        <w:fldChar w:fldCharType="end"/>
      </w:r>
      <w:r w:rsidRPr="00DF18DB">
        <w:rPr>
          <w:rFonts w:asciiTheme="majorBidi" w:hAnsiTheme="majorBidi" w:cstheme="majorBidi"/>
          <w:color w:val="000000" w:themeColor="text1"/>
          <w:sz w:val="20"/>
          <w:szCs w:val="20"/>
        </w:rPr>
        <w:t xml:space="preserve"> referred to the two dialects as nomad and sedentary dialects, which are equivalent to the UBH and HH dialects, respectively, in the present study. </w:t>
      </w:r>
    </w:p>
  </w:footnote>
  <w:footnote w:id="14">
    <w:p w14:paraId="68D2F7AC" w14:textId="6B6B2F3F" w:rsidR="000E3509" w:rsidRPr="00435AB7" w:rsidRDefault="000E3509" w:rsidP="00A23C2A">
      <w:pPr>
        <w:pStyle w:val="FootnoteText"/>
        <w:rPr>
          <w:color w:val="000000" w:themeColor="text1"/>
          <w:sz w:val="20"/>
          <w:szCs w:val="20"/>
        </w:rPr>
      </w:pPr>
      <w:r w:rsidRPr="00B9622D">
        <w:rPr>
          <w:rStyle w:val="FootnoteReference"/>
        </w:rPr>
        <w:footnoteRef/>
      </w:r>
      <w:r w:rsidRPr="00435AB7">
        <w:rPr>
          <w:color w:val="000000" w:themeColor="text1"/>
          <w:sz w:val="20"/>
          <w:szCs w:val="20"/>
        </w:rPr>
        <w:t xml:space="preserve"> For more details on the linguistic </w:t>
      </w:r>
      <w:r>
        <w:rPr>
          <w:color w:val="000000" w:themeColor="text1"/>
          <w:sz w:val="20"/>
          <w:szCs w:val="20"/>
        </w:rPr>
        <w:t>similarities between the two Bedouin</w:t>
      </w:r>
      <w:r w:rsidRPr="00435AB7">
        <w:rPr>
          <w:color w:val="000000" w:themeColor="text1"/>
          <w:sz w:val="20"/>
          <w:szCs w:val="20"/>
        </w:rPr>
        <w:t xml:space="preserve"> dialects, see </w:t>
      </w:r>
      <w:r w:rsidRPr="00435AB7">
        <w:rPr>
          <w:color w:val="000000" w:themeColor="text1"/>
          <w:sz w:val="20"/>
          <w:szCs w:val="20"/>
        </w:rPr>
        <w:fldChar w:fldCharType="begin"/>
      </w:r>
      <w:r w:rsidRPr="00435AB7">
        <w:rPr>
          <w:color w:val="000000" w:themeColor="text1"/>
          <w:sz w:val="20"/>
          <w:szCs w:val="20"/>
        </w:rPr>
        <w:instrText xml:space="preserve"> ADDIN ZOTERO_ITEM CSL_CITATION {"citationID":"g5DBpRxu","properties":{"formattedCitation":"(Al-Hazmy, 1975)","plainCitation":"(Al-Hazmy, 1975)","noteIndex":1},"citationItems":[{"id":16,"uris":["http://zotero.org/users/1939618/items/HV4G7JNU"],"uri":["http://zotero.org/users/1939618/items/HV4G7JNU"],"itemData":{"id":16,"type":"thesis","title":"A critical and comparative study of the spoken dialect of the harb tribe in Saudi Arabia","publisher":"University of Leeds","source":"Google Scholar","URL":"http://etheses.whiterose.ac.uk/916/1/uk_bl_ethos_510015.pdf","author":[{"family":"Al-Hazmy","given":"Alayan Mohammed"}],"issued":{"date-parts":[["1975"]]},"accessed":{"date-parts":[["2014",6,4]]}}}],"schema":"https://github.com/citation-style-language/schema/raw/master/csl-citation.json"} </w:instrText>
      </w:r>
      <w:r w:rsidRPr="00435AB7">
        <w:rPr>
          <w:color w:val="000000" w:themeColor="text1"/>
          <w:sz w:val="20"/>
          <w:szCs w:val="20"/>
        </w:rPr>
        <w:fldChar w:fldCharType="separate"/>
      </w:r>
      <w:r w:rsidRPr="00435AB7">
        <w:rPr>
          <w:noProof/>
          <w:color w:val="000000" w:themeColor="text1"/>
          <w:sz w:val="20"/>
          <w:szCs w:val="20"/>
        </w:rPr>
        <w:t>Al-Hazmy's (1975)</w:t>
      </w:r>
      <w:r w:rsidRPr="00435AB7">
        <w:rPr>
          <w:color w:val="000000" w:themeColor="text1"/>
          <w:sz w:val="20"/>
          <w:szCs w:val="20"/>
        </w:rPr>
        <w:fldChar w:fldCharType="end"/>
      </w:r>
      <w:r w:rsidRPr="00435AB7">
        <w:rPr>
          <w:color w:val="000000" w:themeColor="text1"/>
          <w:sz w:val="20"/>
          <w:szCs w:val="20"/>
        </w:rPr>
        <w:t xml:space="preserve"> thesis, where he provided a detailed analysis on the similarities between the Harb dialect in Najd and Hijaz. </w:t>
      </w:r>
    </w:p>
  </w:footnote>
  <w:footnote w:id="15">
    <w:p w14:paraId="007475B4" w14:textId="77777777" w:rsidR="000E3509" w:rsidRPr="00DD182C" w:rsidRDefault="000E3509" w:rsidP="00A23C2A">
      <w:pPr>
        <w:pStyle w:val="FootnoteText"/>
        <w:rPr>
          <w:sz w:val="20"/>
          <w:szCs w:val="20"/>
        </w:rPr>
      </w:pPr>
      <w:r w:rsidRPr="00B9622D">
        <w:rPr>
          <w:rStyle w:val="FootnoteReference"/>
        </w:rPr>
        <w:footnoteRef/>
      </w:r>
      <w:r>
        <w:t xml:space="preserve"> </w:t>
      </w:r>
      <w:r w:rsidRPr="00DD182C">
        <w:rPr>
          <w:sz w:val="20"/>
          <w:szCs w:val="20"/>
        </w:rPr>
        <w:t xml:space="preserve">According to </w:t>
      </w:r>
      <w:r w:rsidRPr="00DD182C">
        <w:rPr>
          <w:sz w:val="20"/>
          <w:szCs w:val="20"/>
        </w:rPr>
        <w:fldChar w:fldCharType="begin"/>
      </w:r>
      <w:r w:rsidRPr="00DD182C">
        <w:rPr>
          <w:sz w:val="20"/>
          <w:szCs w:val="20"/>
        </w:rPr>
        <w:instrText xml:space="preserve"> ADDIN ZOTERO_ITEM CSL_CITATION {"citationID":"diJhhKmr","properties":{"formattedCitation":"(\\uc0\\u8216{}World Population Prospects - Population Division - United Nations\\uc0\\u8217{}, n.d.)","plainCitation":"(‘World Population Prospects - Population Division - United Nations’, n.d.)","noteIndex":0},"citationItems":[{"id":490,"uris":["http://zotero.org/users/1939618/items/SUJMLEEP"],"uri":["http://zotero.org/users/1939618/items/SUJMLEEP"],"itemData":{"id":490,"type":"article","title":"World Population Prospects - Population Division - United Nations","URL":"https://esa.un.org/unpd/wpp/Graphs/DemographicProfiles/","accessed":{"date-parts":[["2018",5,29]]}}}],"schema":"https://github.com/citation-style-language/schema/raw/master/csl-citation.json"} </w:instrText>
      </w:r>
      <w:r w:rsidRPr="00DD182C">
        <w:rPr>
          <w:sz w:val="20"/>
          <w:szCs w:val="20"/>
        </w:rPr>
        <w:fldChar w:fldCharType="separate"/>
      </w:r>
      <w:r w:rsidRPr="00DD182C">
        <w:rPr>
          <w:sz w:val="20"/>
          <w:szCs w:val="20"/>
        </w:rPr>
        <w:t>‘World Population Prospects - Population Division - United Nations’, n.d.</w:t>
      </w:r>
      <w:r w:rsidRPr="00DD182C">
        <w:rPr>
          <w:sz w:val="20"/>
          <w:szCs w:val="20"/>
        </w:rPr>
        <w:fldChar w:fldCharType="end"/>
      </w:r>
      <w:r w:rsidRPr="00DD182C">
        <w:rPr>
          <w:sz w:val="20"/>
          <w:szCs w:val="20"/>
        </w:rPr>
        <w:t xml:space="preserve">, Egypt is greatly overpopulated. The population was 44,099,142 in 1980. It reached 99,375,741 in 2018. The population is estimated to reach 153,433,492 in 2050. </w:t>
      </w:r>
    </w:p>
  </w:footnote>
  <w:footnote w:id="16">
    <w:p w14:paraId="7EA7056E" w14:textId="77777777" w:rsidR="000E3509" w:rsidRPr="006136D8" w:rsidRDefault="000E3509" w:rsidP="005F5FD3">
      <w:pPr>
        <w:pStyle w:val="FootnoteText"/>
        <w:rPr>
          <w:sz w:val="20"/>
          <w:szCs w:val="20"/>
        </w:rPr>
      </w:pPr>
      <w:r w:rsidRPr="00B9622D">
        <w:rPr>
          <w:rStyle w:val="FootnoteReference"/>
        </w:rPr>
        <w:footnoteRef/>
      </w:r>
      <w:r>
        <w:t xml:space="preserve"> </w:t>
      </w:r>
      <w:r>
        <w:rPr>
          <w:sz w:val="20"/>
          <w:szCs w:val="20"/>
        </w:rPr>
        <w:t xml:space="preserve">They were female participants around 18 year olds and were all from the UBH social group. I could not analyse the data obtained from them as I could not find potential participants from the HH social group at that time.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EE2638"/>
    <w:multiLevelType w:val="hybridMultilevel"/>
    <w:tmpl w:val="CD20E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23769A"/>
    <w:multiLevelType w:val="multilevel"/>
    <w:tmpl w:val="A6E62FE8"/>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40023ED"/>
    <w:multiLevelType w:val="multilevel"/>
    <w:tmpl w:val="E1AC4510"/>
    <w:styleLink w:val="Style13"/>
    <w:lvl w:ilvl="0">
      <w:start w:val="1"/>
      <w:numFmt w:val="decimal"/>
      <w:lvlText w:val="%1."/>
      <w:lvlJc w:val="left"/>
      <w:pPr>
        <w:ind w:left="900" w:hanging="900"/>
      </w:pPr>
      <w:rPr>
        <w:rFonts w:hint="default"/>
      </w:rPr>
    </w:lvl>
    <w:lvl w:ilvl="1">
      <w:start w:val="2"/>
      <w:numFmt w:val="decimal"/>
      <w:lvlText w:val="%1.%2."/>
      <w:lvlJc w:val="left"/>
      <w:pPr>
        <w:ind w:left="900" w:hanging="900"/>
      </w:pPr>
      <w:rPr>
        <w:rFonts w:hint="default"/>
      </w:rPr>
    </w:lvl>
    <w:lvl w:ilvl="2">
      <w:start w:val="2"/>
      <w:numFmt w:val="decimal"/>
      <w:lvlText w:val="%1.%2.%3."/>
      <w:lvlJc w:val="left"/>
      <w:pPr>
        <w:ind w:left="900" w:hanging="900"/>
      </w:pPr>
      <w:rPr>
        <w:rFonts w:hint="default"/>
      </w:rPr>
    </w:lvl>
    <w:lvl w:ilvl="3">
      <w:start w:val="1"/>
      <w:numFmt w:val="decimal"/>
      <w:lvlText w:val="%1.%2.%3.%4."/>
      <w:lvlJc w:val="left"/>
      <w:pPr>
        <w:ind w:left="900" w:hanging="90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F00922"/>
    <w:multiLevelType w:val="multilevel"/>
    <w:tmpl w:val="7362EC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07C843FC"/>
    <w:multiLevelType w:val="hybridMultilevel"/>
    <w:tmpl w:val="CCC65420"/>
    <w:lvl w:ilvl="0" w:tplc="E932CEC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8CC26A2"/>
    <w:multiLevelType w:val="hybridMultilevel"/>
    <w:tmpl w:val="F75C1E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AA05864"/>
    <w:multiLevelType w:val="hybridMultilevel"/>
    <w:tmpl w:val="EE4217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0C0269E0"/>
    <w:multiLevelType w:val="multilevel"/>
    <w:tmpl w:val="030A0B6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0E503F80"/>
    <w:multiLevelType w:val="hybridMultilevel"/>
    <w:tmpl w:val="C326F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700D4A"/>
    <w:multiLevelType w:val="hybridMultilevel"/>
    <w:tmpl w:val="F40AA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3A6480"/>
    <w:multiLevelType w:val="multilevel"/>
    <w:tmpl w:val="4CE8D28C"/>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154C2B90"/>
    <w:multiLevelType w:val="hybridMultilevel"/>
    <w:tmpl w:val="C6ECE602"/>
    <w:lvl w:ilvl="0" w:tplc="08090001">
      <w:start w:val="1"/>
      <w:numFmt w:val="bullet"/>
      <w:lvlText w:val=""/>
      <w:lvlJc w:val="left"/>
      <w:pPr>
        <w:ind w:left="717" w:hanging="360"/>
      </w:pPr>
      <w:rPr>
        <w:rFonts w:ascii="Symbol" w:hAnsi="Symbol" w:hint="default"/>
      </w:rPr>
    </w:lvl>
    <w:lvl w:ilvl="1" w:tplc="08090003">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3">
    <w:nsid w:val="177463D0"/>
    <w:multiLevelType w:val="hybridMultilevel"/>
    <w:tmpl w:val="F47A7C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A7537BB"/>
    <w:multiLevelType w:val="multilevel"/>
    <w:tmpl w:val="87EA91E2"/>
    <w:lvl w:ilvl="0">
      <w:start w:val="4"/>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nsid w:val="1ADD51D7"/>
    <w:multiLevelType w:val="hybridMultilevel"/>
    <w:tmpl w:val="B9464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C122387"/>
    <w:multiLevelType w:val="multilevel"/>
    <w:tmpl w:val="97784786"/>
    <w:styleLink w:val="Style16"/>
    <w:lvl w:ilvl="0">
      <w:start w:val="1"/>
      <w:numFmt w:val="decimal"/>
      <w:lvlText w:val="Chapter %1:"/>
      <w:lvlJc w:val="center"/>
      <w:pPr>
        <w:ind w:left="0" w:firstLine="0"/>
      </w:pPr>
      <w:rPr>
        <w:rFonts w:hint="default"/>
        <w:b/>
        <w:sz w:val="32"/>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7">
    <w:nsid w:val="1D451C61"/>
    <w:multiLevelType w:val="hybridMultilevel"/>
    <w:tmpl w:val="DA64A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EB7020F"/>
    <w:multiLevelType w:val="multilevel"/>
    <w:tmpl w:val="0809001D"/>
    <w:styleLink w:val="Style3"/>
    <w:lvl w:ilvl="0">
      <w:start w:val="6"/>
      <w:numFmt w:val="decimal"/>
      <w:lvlText w:val="%1)"/>
      <w:lvlJc w:val="left"/>
      <w:pPr>
        <w:ind w:left="360" w:hanging="360"/>
      </w:pPr>
      <w:rPr>
        <w:rFonts w:asciiTheme="majorBidi" w:hAnsiTheme="maj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179450B"/>
    <w:multiLevelType w:val="hybridMultilevel"/>
    <w:tmpl w:val="8DA203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21C4215"/>
    <w:multiLevelType w:val="hybridMultilevel"/>
    <w:tmpl w:val="F54876E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nsid w:val="238439A4"/>
    <w:multiLevelType w:val="multilevel"/>
    <w:tmpl w:val="8D8E2776"/>
    <w:lvl w:ilvl="0">
      <w:start w:val="3"/>
      <w:numFmt w:val="decimal"/>
      <w:lvlText w:val="%1"/>
      <w:lvlJc w:val="left"/>
      <w:pPr>
        <w:ind w:left="432" w:hanging="432"/>
      </w:pPr>
      <w:rPr>
        <w:rFonts w:asciiTheme="minorBidi" w:hAnsiTheme="minorBidi"/>
        <w:b/>
        <w:sz w:val="3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25585928"/>
    <w:multiLevelType w:val="multilevel"/>
    <w:tmpl w:val="0809001D"/>
    <w:numStyleLink w:val="Style3"/>
  </w:abstractNum>
  <w:abstractNum w:abstractNumId="23">
    <w:nsid w:val="27FA5D81"/>
    <w:multiLevelType w:val="hybridMultilevel"/>
    <w:tmpl w:val="EACE5E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29FC738F"/>
    <w:multiLevelType w:val="multilevel"/>
    <w:tmpl w:val="19F4ECEA"/>
    <w:lvl w:ilvl="0">
      <w:start w:val="5"/>
      <w:numFmt w:val="decimal"/>
      <w:lvlText w:val="%1."/>
      <w:lvlJc w:val="left"/>
      <w:pPr>
        <w:ind w:left="640" w:hanging="640"/>
      </w:pPr>
      <w:rPr>
        <w:rFonts w:hint="default"/>
        <w:b/>
        <w:sz w:val="32"/>
      </w:rPr>
    </w:lvl>
    <w:lvl w:ilvl="1">
      <w:start w:val="14"/>
      <w:numFmt w:val="decimal"/>
      <w:lvlText w:val="%1.%2."/>
      <w:lvlJc w:val="left"/>
      <w:pPr>
        <w:ind w:left="640" w:hanging="640"/>
      </w:pPr>
      <w:rPr>
        <w:rFonts w:hint="default"/>
        <w:b/>
        <w:sz w:val="32"/>
      </w:rPr>
    </w:lvl>
    <w:lvl w:ilvl="2">
      <w:start w:val="1"/>
      <w:numFmt w:val="decimal"/>
      <w:lvlText w:val="%1.%2.%3."/>
      <w:lvlJc w:val="left"/>
      <w:pPr>
        <w:ind w:left="720" w:hanging="720"/>
      </w:pPr>
      <w:rPr>
        <w:rFonts w:hint="default"/>
        <w:b/>
        <w:sz w:val="32"/>
      </w:rPr>
    </w:lvl>
    <w:lvl w:ilvl="3">
      <w:start w:val="1"/>
      <w:numFmt w:val="decimal"/>
      <w:lvlText w:val="%1.%2.%3.%4."/>
      <w:lvlJc w:val="left"/>
      <w:pPr>
        <w:ind w:left="720" w:hanging="720"/>
      </w:pPr>
      <w:rPr>
        <w:rFonts w:hint="default"/>
        <w:b/>
        <w:sz w:val="32"/>
      </w:rPr>
    </w:lvl>
    <w:lvl w:ilvl="4">
      <w:start w:val="1"/>
      <w:numFmt w:val="decimal"/>
      <w:lvlText w:val="%1.%2.%3.%4.%5."/>
      <w:lvlJc w:val="left"/>
      <w:pPr>
        <w:ind w:left="1080" w:hanging="1080"/>
      </w:pPr>
      <w:rPr>
        <w:rFonts w:hint="default"/>
        <w:b/>
        <w:sz w:val="32"/>
      </w:rPr>
    </w:lvl>
    <w:lvl w:ilvl="5">
      <w:start w:val="1"/>
      <w:numFmt w:val="decimal"/>
      <w:lvlText w:val="%1.%2.%3.%4.%5.%6."/>
      <w:lvlJc w:val="left"/>
      <w:pPr>
        <w:ind w:left="1080" w:hanging="1080"/>
      </w:pPr>
      <w:rPr>
        <w:rFonts w:hint="default"/>
        <w:b/>
        <w:sz w:val="32"/>
      </w:rPr>
    </w:lvl>
    <w:lvl w:ilvl="6">
      <w:start w:val="1"/>
      <w:numFmt w:val="decimal"/>
      <w:lvlText w:val="%1.%2.%3.%4.%5.%6.%7."/>
      <w:lvlJc w:val="left"/>
      <w:pPr>
        <w:ind w:left="1440" w:hanging="1440"/>
      </w:pPr>
      <w:rPr>
        <w:rFonts w:hint="default"/>
        <w:b/>
        <w:sz w:val="32"/>
      </w:rPr>
    </w:lvl>
    <w:lvl w:ilvl="7">
      <w:start w:val="1"/>
      <w:numFmt w:val="decimal"/>
      <w:lvlText w:val="%1.%2.%3.%4.%5.%6.%7.%8."/>
      <w:lvlJc w:val="left"/>
      <w:pPr>
        <w:ind w:left="1440" w:hanging="1440"/>
      </w:pPr>
      <w:rPr>
        <w:rFonts w:hint="default"/>
        <w:b/>
        <w:sz w:val="32"/>
      </w:rPr>
    </w:lvl>
    <w:lvl w:ilvl="8">
      <w:start w:val="1"/>
      <w:numFmt w:val="decimal"/>
      <w:lvlText w:val="%1.%2.%3.%4.%5.%6.%7.%8.%9."/>
      <w:lvlJc w:val="left"/>
      <w:pPr>
        <w:ind w:left="1800" w:hanging="1800"/>
      </w:pPr>
      <w:rPr>
        <w:rFonts w:hint="default"/>
        <w:b/>
        <w:sz w:val="32"/>
      </w:rPr>
    </w:lvl>
  </w:abstractNum>
  <w:abstractNum w:abstractNumId="25">
    <w:nsid w:val="2A261F7D"/>
    <w:multiLevelType w:val="hybridMultilevel"/>
    <w:tmpl w:val="83FAA0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A4316BB"/>
    <w:multiLevelType w:val="multilevel"/>
    <w:tmpl w:val="FBB86FAE"/>
    <w:lvl w:ilvl="0">
      <w:start w:val="4"/>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nsid w:val="2A762FC6"/>
    <w:multiLevelType w:val="hybridMultilevel"/>
    <w:tmpl w:val="E288F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B5C2989"/>
    <w:multiLevelType w:val="hybridMultilevel"/>
    <w:tmpl w:val="43A44CBE"/>
    <w:lvl w:ilvl="0" w:tplc="E098B954">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2BF50145"/>
    <w:multiLevelType w:val="hybridMultilevel"/>
    <w:tmpl w:val="82DA7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2CEF0A8B"/>
    <w:multiLevelType w:val="multilevel"/>
    <w:tmpl w:val="A9F6F41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2EE363B3"/>
    <w:multiLevelType w:val="multilevel"/>
    <w:tmpl w:val="34C6EC6A"/>
    <w:lvl w:ilvl="0">
      <w:start w:val="3"/>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nsid w:val="2F49361E"/>
    <w:multiLevelType w:val="hybridMultilevel"/>
    <w:tmpl w:val="93BAC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0C53E5D"/>
    <w:multiLevelType w:val="multilevel"/>
    <w:tmpl w:val="9B4AF608"/>
    <w:lvl w:ilvl="0">
      <w:start w:val="5"/>
      <w:numFmt w:val="decimal"/>
      <w:lvlText w:val="%1."/>
      <w:lvlJc w:val="left"/>
      <w:pPr>
        <w:ind w:left="885" w:hanging="885"/>
      </w:pPr>
      <w:rPr>
        <w:rFonts w:hint="default"/>
      </w:rPr>
    </w:lvl>
    <w:lvl w:ilvl="1">
      <w:start w:val="5"/>
      <w:numFmt w:val="decimal"/>
      <w:lvlText w:val="%1.%2."/>
      <w:lvlJc w:val="left"/>
      <w:pPr>
        <w:ind w:left="1245" w:hanging="885"/>
      </w:pPr>
      <w:rPr>
        <w:rFonts w:hint="default"/>
      </w:rPr>
    </w:lvl>
    <w:lvl w:ilvl="2">
      <w:start w:val="2"/>
      <w:numFmt w:val="decimal"/>
      <w:lvlText w:val="%1.%2.%3."/>
      <w:lvlJc w:val="left"/>
      <w:pPr>
        <w:ind w:left="1605" w:hanging="885"/>
      </w:pPr>
      <w:rPr>
        <w:rFonts w:hint="default"/>
      </w:rPr>
    </w:lvl>
    <w:lvl w:ilvl="3">
      <w:start w:val="3"/>
      <w:numFmt w:val="decimal"/>
      <w:lvlText w:val="%1.%2.%3.%4."/>
      <w:lvlJc w:val="left"/>
      <w:pPr>
        <w:ind w:left="2160" w:hanging="1080"/>
      </w:p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nsid w:val="313F77C2"/>
    <w:multiLevelType w:val="hybridMultilevel"/>
    <w:tmpl w:val="EE4217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32DA0BE1"/>
    <w:multiLevelType w:val="hybridMultilevel"/>
    <w:tmpl w:val="F202B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373B2310"/>
    <w:multiLevelType w:val="hybridMultilevel"/>
    <w:tmpl w:val="BF28E0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392623AD"/>
    <w:multiLevelType w:val="multilevel"/>
    <w:tmpl w:val="C554E0E4"/>
    <w:lvl w:ilvl="0">
      <w:start w:val="4"/>
      <w:numFmt w:val="decimal"/>
      <w:lvlText w:val="%1."/>
      <w:lvlJc w:val="left"/>
      <w:pPr>
        <w:ind w:left="675" w:hanging="6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3A237EB2"/>
    <w:multiLevelType w:val="hybridMultilevel"/>
    <w:tmpl w:val="B2B66D00"/>
    <w:lvl w:ilvl="0" w:tplc="951A7E7A">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3C862A53"/>
    <w:multiLevelType w:val="multilevel"/>
    <w:tmpl w:val="DE028C2A"/>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3F6E121D"/>
    <w:multiLevelType w:val="hybridMultilevel"/>
    <w:tmpl w:val="FB5EE6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427A7485"/>
    <w:multiLevelType w:val="multilevel"/>
    <w:tmpl w:val="D0B0A94E"/>
    <w:lvl w:ilvl="0">
      <w:start w:val="5"/>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43875265"/>
    <w:multiLevelType w:val="hybridMultilevel"/>
    <w:tmpl w:val="AA0E74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44AB0526"/>
    <w:multiLevelType w:val="hybridMultilevel"/>
    <w:tmpl w:val="6A9EB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747322A"/>
    <w:multiLevelType w:val="multilevel"/>
    <w:tmpl w:val="558A046C"/>
    <w:lvl w:ilvl="0">
      <w:start w:val="4"/>
      <w:numFmt w:val="decimal"/>
      <w:lvlText w:val="%1"/>
      <w:lvlJc w:val="left"/>
      <w:pPr>
        <w:ind w:left="600" w:hanging="600"/>
      </w:pPr>
      <w:rPr>
        <w:rFonts w:hint="default"/>
      </w:rPr>
    </w:lvl>
    <w:lvl w:ilvl="1">
      <w:start w:val="7"/>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nsid w:val="47F6643E"/>
    <w:multiLevelType w:val="hybridMultilevel"/>
    <w:tmpl w:val="C69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7FC4315"/>
    <w:multiLevelType w:val="hybridMultilevel"/>
    <w:tmpl w:val="8696BF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483E355B"/>
    <w:multiLevelType w:val="multilevel"/>
    <w:tmpl w:val="4ED48212"/>
    <w:lvl w:ilvl="0">
      <w:start w:val="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8">
    <w:nsid w:val="4DB43D7A"/>
    <w:multiLevelType w:val="multilevel"/>
    <w:tmpl w:val="545230A0"/>
    <w:lvl w:ilvl="0">
      <w:start w:val="4"/>
      <w:numFmt w:val="decimal"/>
      <w:lvlText w:val="%1."/>
      <w:lvlJc w:val="left"/>
      <w:pPr>
        <w:ind w:left="885" w:hanging="885"/>
      </w:pPr>
      <w:rPr>
        <w:rFonts w:hint="default"/>
      </w:rPr>
    </w:lvl>
    <w:lvl w:ilvl="1">
      <w:start w:val="5"/>
      <w:numFmt w:val="decimal"/>
      <w:lvlText w:val="%1.%2."/>
      <w:lvlJc w:val="left"/>
      <w:pPr>
        <w:ind w:left="885" w:hanging="885"/>
      </w:pPr>
      <w:rPr>
        <w:rFonts w:hint="default"/>
      </w:rPr>
    </w:lvl>
    <w:lvl w:ilvl="2">
      <w:start w:val="2"/>
      <w:numFmt w:val="decimal"/>
      <w:lvlText w:val="%1.%2.%3."/>
      <w:lvlJc w:val="left"/>
      <w:pPr>
        <w:ind w:left="885" w:hanging="885"/>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4E1A0E7C"/>
    <w:multiLevelType w:val="multilevel"/>
    <w:tmpl w:val="9F006C16"/>
    <w:lvl w:ilvl="0">
      <w:start w:val="6"/>
      <w:numFmt w:val="decimal"/>
      <w:lvlText w:val="%1."/>
      <w:lvlJc w:val="left"/>
      <w:pPr>
        <w:ind w:left="645" w:hanging="645"/>
      </w:pPr>
      <w:rPr>
        <w:rFonts w:hint="default"/>
        <w:b/>
        <w:sz w:val="32"/>
      </w:rPr>
    </w:lvl>
    <w:lvl w:ilvl="1">
      <w:start w:val="14"/>
      <w:numFmt w:val="decimal"/>
      <w:lvlText w:val="%1.%2."/>
      <w:lvlJc w:val="left"/>
      <w:pPr>
        <w:ind w:left="1285" w:hanging="645"/>
      </w:pPr>
      <w:rPr>
        <w:rFonts w:hint="default"/>
        <w:b/>
        <w:sz w:val="32"/>
      </w:rPr>
    </w:lvl>
    <w:lvl w:ilvl="2">
      <w:start w:val="1"/>
      <w:numFmt w:val="decimal"/>
      <w:lvlText w:val="%1.%2.%3."/>
      <w:lvlJc w:val="left"/>
      <w:pPr>
        <w:ind w:left="2000" w:hanging="720"/>
      </w:pPr>
      <w:rPr>
        <w:rFonts w:hint="default"/>
        <w:b/>
        <w:sz w:val="32"/>
      </w:rPr>
    </w:lvl>
    <w:lvl w:ilvl="3">
      <w:start w:val="1"/>
      <w:numFmt w:val="decimal"/>
      <w:lvlText w:val="%1.%2.%3.%4."/>
      <w:lvlJc w:val="left"/>
      <w:pPr>
        <w:ind w:left="2640" w:hanging="720"/>
      </w:pPr>
      <w:rPr>
        <w:rFonts w:hint="default"/>
        <w:b/>
        <w:sz w:val="32"/>
      </w:rPr>
    </w:lvl>
    <w:lvl w:ilvl="4">
      <w:start w:val="1"/>
      <w:numFmt w:val="decimal"/>
      <w:lvlText w:val="%1.%2.%3.%4.%5."/>
      <w:lvlJc w:val="left"/>
      <w:pPr>
        <w:ind w:left="3640" w:hanging="1080"/>
      </w:pPr>
      <w:rPr>
        <w:rFonts w:hint="default"/>
        <w:b/>
        <w:sz w:val="32"/>
      </w:rPr>
    </w:lvl>
    <w:lvl w:ilvl="5">
      <w:start w:val="1"/>
      <w:numFmt w:val="decimal"/>
      <w:lvlText w:val="%1.%2.%3.%4.%5.%6."/>
      <w:lvlJc w:val="left"/>
      <w:pPr>
        <w:ind w:left="4280" w:hanging="1080"/>
      </w:pPr>
      <w:rPr>
        <w:rFonts w:hint="default"/>
        <w:b/>
        <w:sz w:val="32"/>
      </w:rPr>
    </w:lvl>
    <w:lvl w:ilvl="6">
      <w:start w:val="1"/>
      <w:numFmt w:val="decimal"/>
      <w:lvlText w:val="%1.%2.%3.%4.%5.%6.%7."/>
      <w:lvlJc w:val="left"/>
      <w:pPr>
        <w:ind w:left="5280" w:hanging="1440"/>
      </w:pPr>
      <w:rPr>
        <w:rFonts w:hint="default"/>
        <w:b/>
        <w:sz w:val="32"/>
      </w:rPr>
    </w:lvl>
    <w:lvl w:ilvl="7">
      <w:start w:val="1"/>
      <w:numFmt w:val="decimal"/>
      <w:lvlText w:val="%1.%2.%3.%4.%5.%6.%7.%8."/>
      <w:lvlJc w:val="left"/>
      <w:pPr>
        <w:ind w:left="5920" w:hanging="1440"/>
      </w:pPr>
      <w:rPr>
        <w:rFonts w:hint="default"/>
        <w:b/>
        <w:sz w:val="32"/>
      </w:rPr>
    </w:lvl>
    <w:lvl w:ilvl="8">
      <w:start w:val="1"/>
      <w:numFmt w:val="decimal"/>
      <w:lvlText w:val="%1.%2.%3.%4.%5.%6.%7.%8.%9."/>
      <w:lvlJc w:val="left"/>
      <w:pPr>
        <w:ind w:left="6920" w:hanging="1800"/>
      </w:pPr>
      <w:rPr>
        <w:rFonts w:hint="default"/>
        <w:b/>
        <w:sz w:val="32"/>
      </w:rPr>
    </w:lvl>
  </w:abstractNum>
  <w:abstractNum w:abstractNumId="50">
    <w:nsid w:val="4F0400C9"/>
    <w:multiLevelType w:val="hybridMultilevel"/>
    <w:tmpl w:val="F73EA0B0"/>
    <w:lvl w:ilvl="0" w:tplc="6D20C1D6">
      <w:start w:val="1"/>
      <w:numFmt w:val="upperLetter"/>
      <w:lvlText w:val="(%1)"/>
      <w:lvlJc w:val="left"/>
      <w:pPr>
        <w:ind w:left="360" w:hanging="360"/>
      </w:pPr>
      <w:rPr>
        <w:rFonts w:hint="default"/>
      </w:rPr>
    </w:lvl>
    <w:lvl w:ilvl="1" w:tplc="0EBA79B6">
      <w:numFmt w:val="bullet"/>
      <w:lvlText w:val="•"/>
      <w:lvlJc w:val="left"/>
      <w:pPr>
        <w:ind w:left="1080" w:hanging="360"/>
      </w:pPr>
      <w:rPr>
        <w:rFonts w:ascii="Times New Roman" w:eastAsia="MS Mincho" w:hAnsi="Times New Roman" w:cs="Times New Roman"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4F111387"/>
    <w:multiLevelType w:val="hybridMultilevel"/>
    <w:tmpl w:val="8F40FA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53564BF3"/>
    <w:multiLevelType w:val="multilevel"/>
    <w:tmpl w:val="F6E0B03A"/>
    <w:lvl w:ilvl="0">
      <w:start w:val="3"/>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3">
    <w:nsid w:val="56DC0F9A"/>
    <w:multiLevelType w:val="hybridMultilevel"/>
    <w:tmpl w:val="B7DAC2BE"/>
    <w:lvl w:ilvl="0" w:tplc="76006106">
      <w:start w:val="1"/>
      <w:numFmt w:val="upperLetter"/>
      <w:lvlText w:val="(%1)"/>
      <w:lvlJc w:val="left"/>
      <w:pPr>
        <w:ind w:left="360" w:hanging="360"/>
      </w:pPr>
      <w:rPr>
        <w:rFonts w:hint="default"/>
      </w:rPr>
    </w:lvl>
    <w:lvl w:ilvl="1" w:tplc="0EBA79B6">
      <w:numFmt w:val="bullet"/>
      <w:lvlText w:val="•"/>
      <w:lvlJc w:val="left"/>
      <w:pPr>
        <w:ind w:left="1080" w:hanging="360"/>
      </w:pPr>
      <w:rPr>
        <w:rFonts w:ascii="Times New Roman" w:eastAsia="MS Mincho" w:hAnsi="Times New Roman" w:cs="Times New Roman"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nsid w:val="586D16BD"/>
    <w:multiLevelType w:val="hybridMultilevel"/>
    <w:tmpl w:val="303CF7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nsid w:val="58992C06"/>
    <w:multiLevelType w:val="multilevel"/>
    <w:tmpl w:val="19507356"/>
    <w:lvl w:ilvl="0">
      <w:start w:val="11"/>
      <w:numFmt w:val="decimal"/>
      <w:lvlText w:val="%1."/>
      <w:lvlJc w:val="left"/>
      <w:pPr>
        <w:ind w:left="915" w:hanging="915"/>
      </w:pPr>
      <w:rPr>
        <w:rFonts w:hint="default"/>
      </w:rPr>
    </w:lvl>
    <w:lvl w:ilvl="1">
      <w:start w:val="4"/>
      <w:numFmt w:val="decimal"/>
      <w:lvlText w:val="%1.%2."/>
      <w:lvlJc w:val="left"/>
      <w:pPr>
        <w:ind w:left="915" w:hanging="915"/>
      </w:pPr>
      <w:rPr>
        <w:rFonts w:hint="default"/>
      </w:rPr>
    </w:lvl>
    <w:lvl w:ilvl="2">
      <w:start w:val="2"/>
      <w:numFmt w:val="decimal"/>
      <w:lvlText w:val="%1.%2.%3."/>
      <w:lvlJc w:val="left"/>
      <w:pPr>
        <w:ind w:left="915" w:hanging="91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5A2A5691"/>
    <w:multiLevelType w:val="multilevel"/>
    <w:tmpl w:val="847E572C"/>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nsid w:val="5A4C704C"/>
    <w:multiLevelType w:val="hybridMultilevel"/>
    <w:tmpl w:val="DC16F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A885000"/>
    <w:multiLevelType w:val="hybridMultilevel"/>
    <w:tmpl w:val="BAA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D030AF8"/>
    <w:multiLevelType w:val="hybridMultilevel"/>
    <w:tmpl w:val="4FA044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5F9F1796"/>
    <w:multiLevelType w:val="multilevel"/>
    <w:tmpl w:val="1E0E8AD8"/>
    <w:lvl w:ilvl="0">
      <w:start w:val="13"/>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1">
    <w:nsid w:val="640A22CA"/>
    <w:multiLevelType w:val="hybridMultilevel"/>
    <w:tmpl w:val="C1EC0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8166B00"/>
    <w:multiLevelType w:val="multilevel"/>
    <w:tmpl w:val="6284CDE6"/>
    <w:lvl w:ilvl="0">
      <w:start w:val="3"/>
      <w:numFmt w:val="decimal"/>
      <w:lvlText w:val="%1."/>
      <w:lvlJc w:val="left"/>
      <w:pPr>
        <w:ind w:left="480" w:hanging="48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3">
    <w:nsid w:val="68FB372C"/>
    <w:multiLevelType w:val="multilevel"/>
    <w:tmpl w:val="EF46F902"/>
    <w:lvl w:ilvl="0">
      <w:start w:val="3"/>
      <w:numFmt w:val="decimal"/>
      <w:lvlText w:val="%1."/>
      <w:lvlJc w:val="left"/>
      <w:pPr>
        <w:ind w:left="420" w:hanging="42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nsid w:val="6A4B7E08"/>
    <w:multiLevelType w:val="hybridMultilevel"/>
    <w:tmpl w:val="BBD207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6B9204FC"/>
    <w:multiLevelType w:val="hybridMultilevel"/>
    <w:tmpl w:val="409604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6DFD495B"/>
    <w:multiLevelType w:val="multilevel"/>
    <w:tmpl w:val="D3A04D5A"/>
    <w:lvl w:ilvl="0">
      <w:start w:val="3"/>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7">
    <w:nsid w:val="6F76424C"/>
    <w:multiLevelType w:val="multilevel"/>
    <w:tmpl w:val="64CAF342"/>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8">
    <w:nsid w:val="71701831"/>
    <w:multiLevelType w:val="multilevel"/>
    <w:tmpl w:val="B86EEF9E"/>
    <w:lvl w:ilvl="0">
      <w:start w:val="1"/>
      <w:numFmt w:val="decimal"/>
      <w:suff w:val="space"/>
      <w:lvlText w:val="Chapter %1:"/>
      <w:lvlJc w:val="left"/>
      <w:pPr>
        <w:ind w:left="0" w:firstLine="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9">
    <w:nsid w:val="72957C1D"/>
    <w:multiLevelType w:val="hybridMultilevel"/>
    <w:tmpl w:val="6F6CFC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72B609A0"/>
    <w:multiLevelType w:val="hybridMultilevel"/>
    <w:tmpl w:val="E1D0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95F0DFC"/>
    <w:multiLevelType w:val="multilevel"/>
    <w:tmpl w:val="0809001D"/>
    <w:styleLink w:val="Style2"/>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nsid w:val="7979788C"/>
    <w:multiLevelType w:val="hybridMultilevel"/>
    <w:tmpl w:val="F1364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7AD75596"/>
    <w:multiLevelType w:val="multilevel"/>
    <w:tmpl w:val="0809001D"/>
    <w:styleLink w:val="Style14"/>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6"/>
  </w:num>
  <w:num w:numId="2">
    <w:abstractNumId w:val="11"/>
  </w:num>
  <w:num w:numId="3">
    <w:abstractNumId w:val="15"/>
  </w:num>
  <w:num w:numId="4">
    <w:abstractNumId w:val="3"/>
  </w:num>
  <w:num w:numId="5">
    <w:abstractNumId w:val="68"/>
  </w:num>
  <w:num w:numId="6">
    <w:abstractNumId w:val="0"/>
  </w:num>
  <w:num w:numId="7">
    <w:abstractNumId w:val="51"/>
  </w:num>
  <w:num w:numId="8">
    <w:abstractNumId w:val="42"/>
  </w:num>
  <w:num w:numId="9">
    <w:abstractNumId w:val="67"/>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4"/>
  </w:num>
  <w:num w:numId="12">
    <w:abstractNumId w:val="31"/>
  </w:num>
  <w:num w:numId="13">
    <w:abstractNumId w:val="6"/>
  </w:num>
  <w:num w:numId="14">
    <w:abstractNumId w:val="39"/>
  </w:num>
  <w:num w:numId="15">
    <w:abstractNumId w:val="41"/>
  </w:num>
  <w:num w:numId="16">
    <w:abstractNumId w:val="26"/>
  </w:num>
  <w:num w:numId="17">
    <w:abstractNumId w:val="47"/>
  </w:num>
  <w:num w:numId="18">
    <w:abstractNumId w:val="58"/>
  </w:num>
  <w:num w:numId="19">
    <w:abstractNumId w:val="63"/>
  </w:num>
  <w:num w:numId="20">
    <w:abstractNumId w:val="21"/>
  </w:num>
  <w:num w:numId="21">
    <w:abstractNumId w:val="73"/>
  </w:num>
  <w:num w:numId="22">
    <w:abstractNumId w:val="22"/>
  </w:num>
  <w:num w:numId="23">
    <w:abstractNumId w:val="71"/>
  </w:num>
  <w:num w:numId="24">
    <w:abstractNumId w:val="18"/>
  </w:num>
  <w:num w:numId="25">
    <w:abstractNumId w:val="2"/>
  </w:num>
  <w:num w:numId="26">
    <w:abstractNumId w:val="5"/>
  </w:num>
  <w:num w:numId="27">
    <w:abstractNumId w:val="30"/>
  </w:num>
  <w:num w:numId="28">
    <w:abstractNumId w:val="65"/>
  </w:num>
  <w:num w:numId="29">
    <w:abstractNumId w:val="43"/>
  </w:num>
  <w:num w:numId="30">
    <w:abstractNumId w:val="27"/>
  </w:num>
  <w:num w:numId="31">
    <w:abstractNumId w:val="56"/>
  </w:num>
  <w:num w:numId="32">
    <w:abstractNumId w:val="46"/>
  </w:num>
  <w:num w:numId="33">
    <w:abstractNumId w:val="55"/>
  </w:num>
  <w:num w:numId="34">
    <w:abstractNumId w:val="62"/>
  </w:num>
  <w:num w:numId="35">
    <w:abstractNumId w:val="52"/>
  </w:num>
  <w:num w:numId="36">
    <w:abstractNumId w:val="66"/>
  </w:num>
  <w:num w:numId="37">
    <w:abstractNumId w:val="14"/>
  </w:num>
  <w:num w:numId="38">
    <w:abstractNumId w:val="37"/>
  </w:num>
  <w:num w:numId="39">
    <w:abstractNumId w:val="48"/>
  </w:num>
  <w:num w:numId="40">
    <w:abstractNumId w:val="8"/>
  </w:num>
  <w:num w:numId="41">
    <w:abstractNumId w:val="24"/>
  </w:num>
  <w:num w:numId="42">
    <w:abstractNumId w:val="29"/>
  </w:num>
  <w:num w:numId="43">
    <w:abstractNumId w:val="44"/>
  </w:num>
  <w:num w:numId="44">
    <w:abstractNumId w:val="33"/>
  </w:num>
  <w:num w:numId="45">
    <w:abstractNumId w:val="49"/>
  </w:num>
  <w:num w:numId="46">
    <w:abstractNumId w:val="60"/>
  </w:num>
  <w:num w:numId="47">
    <w:abstractNumId w:val="1"/>
  </w:num>
  <w:num w:numId="48">
    <w:abstractNumId w:val="61"/>
  </w:num>
  <w:num w:numId="49">
    <w:abstractNumId w:val="70"/>
  </w:num>
  <w:num w:numId="50">
    <w:abstractNumId w:val="57"/>
  </w:num>
  <w:num w:numId="51">
    <w:abstractNumId w:val="17"/>
  </w:num>
  <w:num w:numId="52">
    <w:abstractNumId w:val="10"/>
  </w:num>
  <w:num w:numId="53">
    <w:abstractNumId w:val="32"/>
  </w:num>
  <w:num w:numId="54">
    <w:abstractNumId w:val="9"/>
  </w:num>
  <w:num w:numId="55">
    <w:abstractNumId w:val="45"/>
  </w:num>
  <w:num w:numId="56">
    <w:abstractNumId w:val="53"/>
  </w:num>
  <w:num w:numId="57">
    <w:abstractNumId w:val="36"/>
  </w:num>
  <w:num w:numId="58">
    <w:abstractNumId w:val="64"/>
  </w:num>
  <w:num w:numId="59">
    <w:abstractNumId w:val="23"/>
  </w:num>
  <w:num w:numId="60">
    <w:abstractNumId w:val="19"/>
  </w:num>
  <w:num w:numId="61">
    <w:abstractNumId w:val="25"/>
  </w:num>
  <w:num w:numId="62">
    <w:abstractNumId w:val="35"/>
  </w:num>
  <w:num w:numId="63">
    <w:abstractNumId w:val="13"/>
  </w:num>
  <w:num w:numId="64">
    <w:abstractNumId w:val="59"/>
  </w:num>
  <w:num w:numId="65">
    <w:abstractNumId w:val="69"/>
  </w:num>
  <w:num w:numId="66">
    <w:abstractNumId w:val="28"/>
  </w:num>
  <w:num w:numId="67">
    <w:abstractNumId w:val="12"/>
  </w:num>
  <w:num w:numId="68">
    <w:abstractNumId w:val="20"/>
  </w:num>
  <w:num w:numId="69">
    <w:abstractNumId w:val="72"/>
  </w:num>
  <w:num w:numId="70">
    <w:abstractNumId w:val="50"/>
  </w:num>
  <w:num w:numId="71">
    <w:abstractNumId w:val="40"/>
  </w:num>
  <w:num w:numId="72">
    <w:abstractNumId w:val="38"/>
  </w:num>
  <w:num w:numId="73">
    <w:abstractNumId w:val="34"/>
  </w:num>
  <w:num w:numId="74">
    <w:abstractNumId w:val="7"/>
  </w:num>
  <w:numIdMacAtCleanup w:val="73"/>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 Montgomery">
    <w15:presenceInfo w15:providerId="Windows Live" w15:userId="3faa6750fa1df4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it-IT" w:vendorID="64" w:dllVersion="0" w:nlCheck="1" w:checkStyle="0"/>
  <w:activeWritingStyle w:appName="MSWord" w:lang="fr-FR" w:vendorID="64" w:dllVersion="4096" w:nlCheck="1" w:checkStyle="0"/>
  <w:activeWritingStyle w:appName="MSWord" w:lang="sv-SE" w:vendorID="64" w:dllVersion="0" w:nlCheck="1" w:checkStyle="0"/>
  <w:activeWritingStyle w:appName="MSWord" w:lang="nl-NL" w:vendorID="64" w:dllVersion="0" w:nlCheck="1" w:checkStyle="0"/>
  <w:activeWritingStyle w:appName="MSWord" w:lang="de-DE" w:vendorID="64" w:dllVersion="4096" w:nlCheck="1" w:checkStyle="0"/>
  <w:activeWritingStyle w:appName="MSWord" w:lang="pl-PL" w:vendorID="64" w:dllVersion="0" w:nlCheck="1" w:checkStyle="0"/>
  <w:activeWritingStyle w:appName="MSWord" w:lang="ar-SA" w:vendorID="64" w:dllVersion="0" w:nlCheck="1" w:checkStyle="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aseTrack" w:val="-1"/>
    <w:docVar w:name="colNum" w:val="0"/>
    <w:docVar w:name="hColour" w:val="0"/>
    <w:docVar w:name="selEnd" w:val="77424"/>
    <w:docVar w:name="selStart" w:val="77418"/>
  </w:docVars>
  <w:rsids>
    <w:rsidRoot w:val="00D86F38"/>
    <w:rsid w:val="00001E61"/>
    <w:rsid w:val="00003A56"/>
    <w:rsid w:val="00005EF2"/>
    <w:rsid w:val="00007D5B"/>
    <w:rsid w:val="00010C82"/>
    <w:rsid w:val="00012750"/>
    <w:rsid w:val="000128EA"/>
    <w:rsid w:val="00012E0B"/>
    <w:rsid w:val="00012E4D"/>
    <w:rsid w:val="000144F0"/>
    <w:rsid w:val="00016598"/>
    <w:rsid w:val="000177AE"/>
    <w:rsid w:val="00017D27"/>
    <w:rsid w:val="00021F59"/>
    <w:rsid w:val="00023512"/>
    <w:rsid w:val="00027CBC"/>
    <w:rsid w:val="00027EF4"/>
    <w:rsid w:val="00030EEC"/>
    <w:rsid w:val="00031FEC"/>
    <w:rsid w:val="0003233A"/>
    <w:rsid w:val="00032E94"/>
    <w:rsid w:val="0003304A"/>
    <w:rsid w:val="00033BBC"/>
    <w:rsid w:val="00034F6C"/>
    <w:rsid w:val="00034F73"/>
    <w:rsid w:val="00036181"/>
    <w:rsid w:val="00036996"/>
    <w:rsid w:val="00037006"/>
    <w:rsid w:val="00037628"/>
    <w:rsid w:val="00037FCD"/>
    <w:rsid w:val="00040A3A"/>
    <w:rsid w:val="0004255F"/>
    <w:rsid w:val="00043291"/>
    <w:rsid w:val="000436C1"/>
    <w:rsid w:val="000451C3"/>
    <w:rsid w:val="00046867"/>
    <w:rsid w:val="00046AC9"/>
    <w:rsid w:val="00046CCB"/>
    <w:rsid w:val="00050E86"/>
    <w:rsid w:val="00051205"/>
    <w:rsid w:val="00051543"/>
    <w:rsid w:val="000522C7"/>
    <w:rsid w:val="00052329"/>
    <w:rsid w:val="00052CB9"/>
    <w:rsid w:val="00053BEB"/>
    <w:rsid w:val="00054069"/>
    <w:rsid w:val="00054902"/>
    <w:rsid w:val="00054D3B"/>
    <w:rsid w:val="00055334"/>
    <w:rsid w:val="000558E9"/>
    <w:rsid w:val="00057138"/>
    <w:rsid w:val="000571F5"/>
    <w:rsid w:val="00057779"/>
    <w:rsid w:val="000604AB"/>
    <w:rsid w:val="00060710"/>
    <w:rsid w:val="00060BDD"/>
    <w:rsid w:val="00060C92"/>
    <w:rsid w:val="00060EFF"/>
    <w:rsid w:val="000610A6"/>
    <w:rsid w:val="00061A8F"/>
    <w:rsid w:val="0006422B"/>
    <w:rsid w:val="000648A1"/>
    <w:rsid w:val="000661B2"/>
    <w:rsid w:val="00067160"/>
    <w:rsid w:val="000678ED"/>
    <w:rsid w:val="00067AAC"/>
    <w:rsid w:val="000701AB"/>
    <w:rsid w:val="000709A9"/>
    <w:rsid w:val="00070BDB"/>
    <w:rsid w:val="00071CD5"/>
    <w:rsid w:val="00072810"/>
    <w:rsid w:val="00072DD9"/>
    <w:rsid w:val="00072ED0"/>
    <w:rsid w:val="00073750"/>
    <w:rsid w:val="00074CE4"/>
    <w:rsid w:val="00074EA7"/>
    <w:rsid w:val="000759FB"/>
    <w:rsid w:val="00076560"/>
    <w:rsid w:val="0007702B"/>
    <w:rsid w:val="00077225"/>
    <w:rsid w:val="00077324"/>
    <w:rsid w:val="0007733A"/>
    <w:rsid w:val="00077D8C"/>
    <w:rsid w:val="000813EA"/>
    <w:rsid w:val="000823CE"/>
    <w:rsid w:val="00084D85"/>
    <w:rsid w:val="0008510E"/>
    <w:rsid w:val="000877A1"/>
    <w:rsid w:val="0008788E"/>
    <w:rsid w:val="00090D8C"/>
    <w:rsid w:val="0009259A"/>
    <w:rsid w:val="00092AFF"/>
    <w:rsid w:val="000934AC"/>
    <w:rsid w:val="00094BEA"/>
    <w:rsid w:val="000963ED"/>
    <w:rsid w:val="000970BE"/>
    <w:rsid w:val="0009795A"/>
    <w:rsid w:val="000A021C"/>
    <w:rsid w:val="000A1504"/>
    <w:rsid w:val="000A2879"/>
    <w:rsid w:val="000A2C02"/>
    <w:rsid w:val="000A3835"/>
    <w:rsid w:val="000A5766"/>
    <w:rsid w:val="000A5B24"/>
    <w:rsid w:val="000A620E"/>
    <w:rsid w:val="000B00DC"/>
    <w:rsid w:val="000B29BE"/>
    <w:rsid w:val="000B3A42"/>
    <w:rsid w:val="000B3AAD"/>
    <w:rsid w:val="000B4835"/>
    <w:rsid w:val="000B6CA0"/>
    <w:rsid w:val="000B79CD"/>
    <w:rsid w:val="000C03CB"/>
    <w:rsid w:val="000C1D59"/>
    <w:rsid w:val="000C20CB"/>
    <w:rsid w:val="000C2BA6"/>
    <w:rsid w:val="000C3139"/>
    <w:rsid w:val="000C33E0"/>
    <w:rsid w:val="000C43B1"/>
    <w:rsid w:val="000C593D"/>
    <w:rsid w:val="000C6490"/>
    <w:rsid w:val="000C6A9C"/>
    <w:rsid w:val="000D021A"/>
    <w:rsid w:val="000D0D4C"/>
    <w:rsid w:val="000D1B4C"/>
    <w:rsid w:val="000D1F73"/>
    <w:rsid w:val="000D217E"/>
    <w:rsid w:val="000D238B"/>
    <w:rsid w:val="000D28CA"/>
    <w:rsid w:val="000D4EF5"/>
    <w:rsid w:val="000D5898"/>
    <w:rsid w:val="000E0E79"/>
    <w:rsid w:val="000E1C3A"/>
    <w:rsid w:val="000E1EC4"/>
    <w:rsid w:val="000E260E"/>
    <w:rsid w:val="000E3509"/>
    <w:rsid w:val="000E35F4"/>
    <w:rsid w:val="000E590F"/>
    <w:rsid w:val="000E5FFA"/>
    <w:rsid w:val="000E6AF3"/>
    <w:rsid w:val="000E7C55"/>
    <w:rsid w:val="000F00EC"/>
    <w:rsid w:val="000F14FF"/>
    <w:rsid w:val="000F1FA7"/>
    <w:rsid w:val="000F2D34"/>
    <w:rsid w:val="000F33CB"/>
    <w:rsid w:val="000F34F4"/>
    <w:rsid w:val="000F44F7"/>
    <w:rsid w:val="000F4EC9"/>
    <w:rsid w:val="000F50E0"/>
    <w:rsid w:val="000F51C8"/>
    <w:rsid w:val="000F5A36"/>
    <w:rsid w:val="000F6895"/>
    <w:rsid w:val="000F6C1D"/>
    <w:rsid w:val="000F79C7"/>
    <w:rsid w:val="001001C3"/>
    <w:rsid w:val="0010043E"/>
    <w:rsid w:val="001011B3"/>
    <w:rsid w:val="0010199F"/>
    <w:rsid w:val="00101A8F"/>
    <w:rsid w:val="00101CE3"/>
    <w:rsid w:val="0010362D"/>
    <w:rsid w:val="00106FAF"/>
    <w:rsid w:val="00107162"/>
    <w:rsid w:val="0010784E"/>
    <w:rsid w:val="00107DB0"/>
    <w:rsid w:val="001131CF"/>
    <w:rsid w:val="001136D4"/>
    <w:rsid w:val="001149EB"/>
    <w:rsid w:val="00114AEE"/>
    <w:rsid w:val="00115053"/>
    <w:rsid w:val="0011649E"/>
    <w:rsid w:val="00116BC5"/>
    <w:rsid w:val="00116DBE"/>
    <w:rsid w:val="00117C0E"/>
    <w:rsid w:val="00122FC6"/>
    <w:rsid w:val="00123207"/>
    <w:rsid w:val="00123C65"/>
    <w:rsid w:val="00123E3A"/>
    <w:rsid w:val="0012407D"/>
    <w:rsid w:val="001253B8"/>
    <w:rsid w:val="0012555A"/>
    <w:rsid w:val="001255CD"/>
    <w:rsid w:val="00125C9E"/>
    <w:rsid w:val="00126542"/>
    <w:rsid w:val="00126C10"/>
    <w:rsid w:val="0012747F"/>
    <w:rsid w:val="0012782D"/>
    <w:rsid w:val="00130B9D"/>
    <w:rsid w:val="00130FDC"/>
    <w:rsid w:val="001312D3"/>
    <w:rsid w:val="00131798"/>
    <w:rsid w:val="00133B41"/>
    <w:rsid w:val="001358A1"/>
    <w:rsid w:val="00136200"/>
    <w:rsid w:val="00136BBF"/>
    <w:rsid w:val="00137FB7"/>
    <w:rsid w:val="00140CD5"/>
    <w:rsid w:val="00141854"/>
    <w:rsid w:val="001432A6"/>
    <w:rsid w:val="0014348B"/>
    <w:rsid w:val="00143809"/>
    <w:rsid w:val="00144854"/>
    <w:rsid w:val="001458D0"/>
    <w:rsid w:val="001469DC"/>
    <w:rsid w:val="00150341"/>
    <w:rsid w:val="001507DB"/>
    <w:rsid w:val="00151820"/>
    <w:rsid w:val="001523E3"/>
    <w:rsid w:val="0015491A"/>
    <w:rsid w:val="001554DE"/>
    <w:rsid w:val="0015593A"/>
    <w:rsid w:val="00155D2B"/>
    <w:rsid w:val="00155E22"/>
    <w:rsid w:val="0015785F"/>
    <w:rsid w:val="00157B05"/>
    <w:rsid w:val="00160232"/>
    <w:rsid w:val="00160CC4"/>
    <w:rsid w:val="00160D17"/>
    <w:rsid w:val="00161BE1"/>
    <w:rsid w:val="001628A3"/>
    <w:rsid w:val="0016358E"/>
    <w:rsid w:val="00163DCB"/>
    <w:rsid w:val="0016448C"/>
    <w:rsid w:val="00164AEA"/>
    <w:rsid w:val="0016705C"/>
    <w:rsid w:val="0016727D"/>
    <w:rsid w:val="00167B2F"/>
    <w:rsid w:val="00167D61"/>
    <w:rsid w:val="00167EBE"/>
    <w:rsid w:val="00170A98"/>
    <w:rsid w:val="001715B6"/>
    <w:rsid w:val="001757C0"/>
    <w:rsid w:val="001757EE"/>
    <w:rsid w:val="0017733E"/>
    <w:rsid w:val="0017758D"/>
    <w:rsid w:val="001779C1"/>
    <w:rsid w:val="00177B62"/>
    <w:rsid w:val="00180DA9"/>
    <w:rsid w:val="00181DEB"/>
    <w:rsid w:val="0018350D"/>
    <w:rsid w:val="001836BE"/>
    <w:rsid w:val="001837A3"/>
    <w:rsid w:val="00183876"/>
    <w:rsid w:val="0018396A"/>
    <w:rsid w:val="00184B8D"/>
    <w:rsid w:val="001856EF"/>
    <w:rsid w:val="00185AEC"/>
    <w:rsid w:val="00185C24"/>
    <w:rsid w:val="0018785C"/>
    <w:rsid w:val="00187FBF"/>
    <w:rsid w:val="00192A84"/>
    <w:rsid w:val="001931FC"/>
    <w:rsid w:val="001939CA"/>
    <w:rsid w:val="00193DDF"/>
    <w:rsid w:val="00194ECD"/>
    <w:rsid w:val="00195AD8"/>
    <w:rsid w:val="00195B07"/>
    <w:rsid w:val="00196564"/>
    <w:rsid w:val="001973F7"/>
    <w:rsid w:val="001A117E"/>
    <w:rsid w:val="001A1441"/>
    <w:rsid w:val="001A1AD2"/>
    <w:rsid w:val="001A1D2C"/>
    <w:rsid w:val="001A32B7"/>
    <w:rsid w:val="001A3F9F"/>
    <w:rsid w:val="001A4CC4"/>
    <w:rsid w:val="001A7B85"/>
    <w:rsid w:val="001B07C9"/>
    <w:rsid w:val="001B1085"/>
    <w:rsid w:val="001B1A67"/>
    <w:rsid w:val="001B2340"/>
    <w:rsid w:val="001B2E0A"/>
    <w:rsid w:val="001B324D"/>
    <w:rsid w:val="001B39C7"/>
    <w:rsid w:val="001B3A35"/>
    <w:rsid w:val="001B51F2"/>
    <w:rsid w:val="001B536A"/>
    <w:rsid w:val="001B7924"/>
    <w:rsid w:val="001C033F"/>
    <w:rsid w:val="001C0F0E"/>
    <w:rsid w:val="001C1AF3"/>
    <w:rsid w:val="001C2F07"/>
    <w:rsid w:val="001C3A88"/>
    <w:rsid w:val="001C6CB6"/>
    <w:rsid w:val="001C715F"/>
    <w:rsid w:val="001C78B8"/>
    <w:rsid w:val="001D00E6"/>
    <w:rsid w:val="001D01C5"/>
    <w:rsid w:val="001D0EB4"/>
    <w:rsid w:val="001D1548"/>
    <w:rsid w:val="001D1C63"/>
    <w:rsid w:val="001D1EF2"/>
    <w:rsid w:val="001D23A8"/>
    <w:rsid w:val="001D258D"/>
    <w:rsid w:val="001D3847"/>
    <w:rsid w:val="001D38DA"/>
    <w:rsid w:val="001D3FB8"/>
    <w:rsid w:val="001D474D"/>
    <w:rsid w:val="001D5721"/>
    <w:rsid w:val="001D6882"/>
    <w:rsid w:val="001D6EED"/>
    <w:rsid w:val="001D7ED9"/>
    <w:rsid w:val="001E0818"/>
    <w:rsid w:val="001E1BCB"/>
    <w:rsid w:val="001E1EDC"/>
    <w:rsid w:val="001E2E07"/>
    <w:rsid w:val="001E5562"/>
    <w:rsid w:val="001E562A"/>
    <w:rsid w:val="001E5DEC"/>
    <w:rsid w:val="001E691E"/>
    <w:rsid w:val="001E6A55"/>
    <w:rsid w:val="001E6BAC"/>
    <w:rsid w:val="001E6C95"/>
    <w:rsid w:val="001E77DF"/>
    <w:rsid w:val="001E78EC"/>
    <w:rsid w:val="001F037C"/>
    <w:rsid w:val="001F31C6"/>
    <w:rsid w:val="001F3FCB"/>
    <w:rsid w:val="001F4CBE"/>
    <w:rsid w:val="001F502C"/>
    <w:rsid w:val="001F510A"/>
    <w:rsid w:val="001F59C0"/>
    <w:rsid w:val="001F5F37"/>
    <w:rsid w:val="001F734D"/>
    <w:rsid w:val="00200075"/>
    <w:rsid w:val="00200D82"/>
    <w:rsid w:val="00202105"/>
    <w:rsid w:val="00202612"/>
    <w:rsid w:val="00202B1B"/>
    <w:rsid w:val="00203858"/>
    <w:rsid w:val="00203C2C"/>
    <w:rsid w:val="00205606"/>
    <w:rsid w:val="00205CB0"/>
    <w:rsid w:val="00207130"/>
    <w:rsid w:val="00210738"/>
    <w:rsid w:val="00211894"/>
    <w:rsid w:val="00211C89"/>
    <w:rsid w:val="002124ED"/>
    <w:rsid w:val="00212705"/>
    <w:rsid w:val="002129FB"/>
    <w:rsid w:val="0021328E"/>
    <w:rsid w:val="00213A56"/>
    <w:rsid w:val="00213B11"/>
    <w:rsid w:val="00214891"/>
    <w:rsid w:val="00214DBD"/>
    <w:rsid w:val="00216DD9"/>
    <w:rsid w:val="002176B3"/>
    <w:rsid w:val="002201C8"/>
    <w:rsid w:val="00220262"/>
    <w:rsid w:val="00220818"/>
    <w:rsid w:val="0022109D"/>
    <w:rsid w:val="0022168D"/>
    <w:rsid w:val="00221AF5"/>
    <w:rsid w:val="0022368A"/>
    <w:rsid w:val="002251B3"/>
    <w:rsid w:val="00225BF1"/>
    <w:rsid w:val="002262AC"/>
    <w:rsid w:val="002277D2"/>
    <w:rsid w:val="00227E19"/>
    <w:rsid w:val="00230207"/>
    <w:rsid w:val="002304BD"/>
    <w:rsid w:val="00230B04"/>
    <w:rsid w:val="002314F2"/>
    <w:rsid w:val="00231CA3"/>
    <w:rsid w:val="00232032"/>
    <w:rsid w:val="00232081"/>
    <w:rsid w:val="00232730"/>
    <w:rsid w:val="002327EF"/>
    <w:rsid w:val="00232A5B"/>
    <w:rsid w:val="00232F36"/>
    <w:rsid w:val="00233BF8"/>
    <w:rsid w:val="00233D23"/>
    <w:rsid w:val="002344A4"/>
    <w:rsid w:val="002344CB"/>
    <w:rsid w:val="0023471E"/>
    <w:rsid w:val="00234DB4"/>
    <w:rsid w:val="0023680E"/>
    <w:rsid w:val="00237280"/>
    <w:rsid w:val="00237D7F"/>
    <w:rsid w:val="00240DAC"/>
    <w:rsid w:val="00241288"/>
    <w:rsid w:val="00242170"/>
    <w:rsid w:val="002425D8"/>
    <w:rsid w:val="00243EB4"/>
    <w:rsid w:val="00244F6A"/>
    <w:rsid w:val="00245527"/>
    <w:rsid w:val="002463C9"/>
    <w:rsid w:val="002471FB"/>
    <w:rsid w:val="002505D7"/>
    <w:rsid w:val="00250706"/>
    <w:rsid w:val="002519A7"/>
    <w:rsid w:val="00251E67"/>
    <w:rsid w:val="00252CF4"/>
    <w:rsid w:val="00252D36"/>
    <w:rsid w:val="00255609"/>
    <w:rsid w:val="002559AB"/>
    <w:rsid w:val="00256226"/>
    <w:rsid w:val="0025627E"/>
    <w:rsid w:val="00256567"/>
    <w:rsid w:val="00256C3C"/>
    <w:rsid w:val="00257ADF"/>
    <w:rsid w:val="00257F70"/>
    <w:rsid w:val="00260433"/>
    <w:rsid w:val="0026086B"/>
    <w:rsid w:val="002611EB"/>
    <w:rsid w:val="0026194A"/>
    <w:rsid w:val="0026256C"/>
    <w:rsid w:val="00263552"/>
    <w:rsid w:val="0026385D"/>
    <w:rsid w:val="00263FC4"/>
    <w:rsid w:val="002640D1"/>
    <w:rsid w:val="00265733"/>
    <w:rsid w:val="00265D06"/>
    <w:rsid w:val="00265F23"/>
    <w:rsid w:val="00266034"/>
    <w:rsid w:val="00267486"/>
    <w:rsid w:val="002679E6"/>
    <w:rsid w:val="002702A0"/>
    <w:rsid w:val="00271029"/>
    <w:rsid w:val="00271812"/>
    <w:rsid w:val="0027190D"/>
    <w:rsid w:val="002719C8"/>
    <w:rsid w:val="00272043"/>
    <w:rsid w:val="00276AAE"/>
    <w:rsid w:val="002775F4"/>
    <w:rsid w:val="00277ECA"/>
    <w:rsid w:val="002808C0"/>
    <w:rsid w:val="00280A68"/>
    <w:rsid w:val="00280C9A"/>
    <w:rsid w:val="00281ACB"/>
    <w:rsid w:val="002832B4"/>
    <w:rsid w:val="002834DA"/>
    <w:rsid w:val="00283B28"/>
    <w:rsid w:val="00284111"/>
    <w:rsid w:val="00285132"/>
    <w:rsid w:val="00285B53"/>
    <w:rsid w:val="0028775B"/>
    <w:rsid w:val="002877AB"/>
    <w:rsid w:val="00292A11"/>
    <w:rsid w:val="00292F96"/>
    <w:rsid w:val="002940F0"/>
    <w:rsid w:val="0029486D"/>
    <w:rsid w:val="002948E0"/>
    <w:rsid w:val="00294EEC"/>
    <w:rsid w:val="0029590C"/>
    <w:rsid w:val="00295FAE"/>
    <w:rsid w:val="00296396"/>
    <w:rsid w:val="00297471"/>
    <w:rsid w:val="002A057C"/>
    <w:rsid w:val="002A0EF9"/>
    <w:rsid w:val="002A15EC"/>
    <w:rsid w:val="002A2D5D"/>
    <w:rsid w:val="002A2D8D"/>
    <w:rsid w:val="002A3022"/>
    <w:rsid w:val="002A3A47"/>
    <w:rsid w:val="002A457C"/>
    <w:rsid w:val="002A5315"/>
    <w:rsid w:val="002A5699"/>
    <w:rsid w:val="002A636D"/>
    <w:rsid w:val="002A6722"/>
    <w:rsid w:val="002A68D6"/>
    <w:rsid w:val="002B0CDB"/>
    <w:rsid w:val="002B0D89"/>
    <w:rsid w:val="002B17DE"/>
    <w:rsid w:val="002B3095"/>
    <w:rsid w:val="002B583D"/>
    <w:rsid w:val="002B5990"/>
    <w:rsid w:val="002B6AA6"/>
    <w:rsid w:val="002B6E52"/>
    <w:rsid w:val="002C0F8A"/>
    <w:rsid w:val="002C1126"/>
    <w:rsid w:val="002C19E2"/>
    <w:rsid w:val="002C33FF"/>
    <w:rsid w:val="002C4033"/>
    <w:rsid w:val="002C445B"/>
    <w:rsid w:val="002C54C9"/>
    <w:rsid w:val="002C58AE"/>
    <w:rsid w:val="002C5A6D"/>
    <w:rsid w:val="002C5DA8"/>
    <w:rsid w:val="002C5E01"/>
    <w:rsid w:val="002C5FC1"/>
    <w:rsid w:val="002C612C"/>
    <w:rsid w:val="002C6268"/>
    <w:rsid w:val="002C6372"/>
    <w:rsid w:val="002C7E51"/>
    <w:rsid w:val="002C7EA2"/>
    <w:rsid w:val="002D078A"/>
    <w:rsid w:val="002D0BB8"/>
    <w:rsid w:val="002D0C73"/>
    <w:rsid w:val="002D19C3"/>
    <w:rsid w:val="002D1BDF"/>
    <w:rsid w:val="002D1C3E"/>
    <w:rsid w:val="002D2941"/>
    <w:rsid w:val="002D320D"/>
    <w:rsid w:val="002D3A5E"/>
    <w:rsid w:val="002D4A0F"/>
    <w:rsid w:val="002D4F0F"/>
    <w:rsid w:val="002D580C"/>
    <w:rsid w:val="002D7C9F"/>
    <w:rsid w:val="002E07B7"/>
    <w:rsid w:val="002E2113"/>
    <w:rsid w:val="002E24DB"/>
    <w:rsid w:val="002E2A22"/>
    <w:rsid w:val="002E3462"/>
    <w:rsid w:val="002E4007"/>
    <w:rsid w:val="002E4549"/>
    <w:rsid w:val="002E4A31"/>
    <w:rsid w:val="002E4EC9"/>
    <w:rsid w:val="002E6A20"/>
    <w:rsid w:val="002E7A6A"/>
    <w:rsid w:val="002F14C8"/>
    <w:rsid w:val="002F4A81"/>
    <w:rsid w:val="002F4F32"/>
    <w:rsid w:val="002F4FA5"/>
    <w:rsid w:val="002F5AAC"/>
    <w:rsid w:val="002F60DC"/>
    <w:rsid w:val="002F6AF0"/>
    <w:rsid w:val="002F74EA"/>
    <w:rsid w:val="002F7B80"/>
    <w:rsid w:val="00300A34"/>
    <w:rsid w:val="003013BA"/>
    <w:rsid w:val="0030153C"/>
    <w:rsid w:val="00301AD4"/>
    <w:rsid w:val="00301BF9"/>
    <w:rsid w:val="0030245A"/>
    <w:rsid w:val="00302566"/>
    <w:rsid w:val="00303A80"/>
    <w:rsid w:val="00303A93"/>
    <w:rsid w:val="00303E7F"/>
    <w:rsid w:val="00304E99"/>
    <w:rsid w:val="003068BB"/>
    <w:rsid w:val="00307C97"/>
    <w:rsid w:val="003101EF"/>
    <w:rsid w:val="003102C9"/>
    <w:rsid w:val="0031183E"/>
    <w:rsid w:val="00312178"/>
    <w:rsid w:val="00312B28"/>
    <w:rsid w:val="00313B37"/>
    <w:rsid w:val="00314447"/>
    <w:rsid w:val="00316478"/>
    <w:rsid w:val="003164E7"/>
    <w:rsid w:val="003170AF"/>
    <w:rsid w:val="00317D36"/>
    <w:rsid w:val="003207DB"/>
    <w:rsid w:val="00320B93"/>
    <w:rsid w:val="003214BE"/>
    <w:rsid w:val="00321BC5"/>
    <w:rsid w:val="00324E88"/>
    <w:rsid w:val="00326AE7"/>
    <w:rsid w:val="00327162"/>
    <w:rsid w:val="003308BB"/>
    <w:rsid w:val="00330B2A"/>
    <w:rsid w:val="00332DB5"/>
    <w:rsid w:val="00333D92"/>
    <w:rsid w:val="00334626"/>
    <w:rsid w:val="00335AFF"/>
    <w:rsid w:val="0033653E"/>
    <w:rsid w:val="00340158"/>
    <w:rsid w:val="00341414"/>
    <w:rsid w:val="0034161B"/>
    <w:rsid w:val="0034202F"/>
    <w:rsid w:val="003423CA"/>
    <w:rsid w:val="00343705"/>
    <w:rsid w:val="003445DF"/>
    <w:rsid w:val="00344630"/>
    <w:rsid w:val="00344B8C"/>
    <w:rsid w:val="00344F3E"/>
    <w:rsid w:val="0034506C"/>
    <w:rsid w:val="003464AD"/>
    <w:rsid w:val="003478E7"/>
    <w:rsid w:val="00350F71"/>
    <w:rsid w:val="00351D0F"/>
    <w:rsid w:val="0035256A"/>
    <w:rsid w:val="00352672"/>
    <w:rsid w:val="00353083"/>
    <w:rsid w:val="0035341D"/>
    <w:rsid w:val="00353D20"/>
    <w:rsid w:val="00354305"/>
    <w:rsid w:val="00354400"/>
    <w:rsid w:val="003552F8"/>
    <w:rsid w:val="00355439"/>
    <w:rsid w:val="00355B64"/>
    <w:rsid w:val="00356696"/>
    <w:rsid w:val="003569E0"/>
    <w:rsid w:val="00357467"/>
    <w:rsid w:val="00357E32"/>
    <w:rsid w:val="00361ECA"/>
    <w:rsid w:val="00361EE8"/>
    <w:rsid w:val="00362197"/>
    <w:rsid w:val="00362213"/>
    <w:rsid w:val="00362622"/>
    <w:rsid w:val="00364AF3"/>
    <w:rsid w:val="00364FB5"/>
    <w:rsid w:val="00365B83"/>
    <w:rsid w:val="00365C20"/>
    <w:rsid w:val="003667C9"/>
    <w:rsid w:val="00366F75"/>
    <w:rsid w:val="003670F3"/>
    <w:rsid w:val="003677E5"/>
    <w:rsid w:val="00370C0F"/>
    <w:rsid w:val="00370C59"/>
    <w:rsid w:val="00372A87"/>
    <w:rsid w:val="00374520"/>
    <w:rsid w:val="00374582"/>
    <w:rsid w:val="003757FD"/>
    <w:rsid w:val="003758B1"/>
    <w:rsid w:val="00376401"/>
    <w:rsid w:val="00376DBC"/>
    <w:rsid w:val="00377E09"/>
    <w:rsid w:val="0038312A"/>
    <w:rsid w:val="00384EAD"/>
    <w:rsid w:val="003851FB"/>
    <w:rsid w:val="00385904"/>
    <w:rsid w:val="00385DEA"/>
    <w:rsid w:val="003867AE"/>
    <w:rsid w:val="00386A56"/>
    <w:rsid w:val="00387514"/>
    <w:rsid w:val="003879D2"/>
    <w:rsid w:val="003901D5"/>
    <w:rsid w:val="0039054F"/>
    <w:rsid w:val="0039109A"/>
    <w:rsid w:val="003910A0"/>
    <w:rsid w:val="00393AFB"/>
    <w:rsid w:val="00393D91"/>
    <w:rsid w:val="00393F8E"/>
    <w:rsid w:val="0039508B"/>
    <w:rsid w:val="00395454"/>
    <w:rsid w:val="003A0510"/>
    <w:rsid w:val="003A1331"/>
    <w:rsid w:val="003A2F79"/>
    <w:rsid w:val="003A5F28"/>
    <w:rsid w:val="003A6E19"/>
    <w:rsid w:val="003A7C48"/>
    <w:rsid w:val="003B0AE5"/>
    <w:rsid w:val="003B0B3D"/>
    <w:rsid w:val="003B1221"/>
    <w:rsid w:val="003B274C"/>
    <w:rsid w:val="003B3D16"/>
    <w:rsid w:val="003B3DC1"/>
    <w:rsid w:val="003B4490"/>
    <w:rsid w:val="003B4922"/>
    <w:rsid w:val="003B51C7"/>
    <w:rsid w:val="003B5990"/>
    <w:rsid w:val="003B615C"/>
    <w:rsid w:val="003B68A1"/>
    <w:rsid w:val="003C210A"/>
    <w:rsid w:val="003C3E06"/>
    <w:rsid w:val="003C49A2"/>
    <w:rsid w:val="003C5A3D"/>
    <w:rsid w:val="003C5E23"/>
    <w:rsid w:val="003C5E8B"/>
    <w:rsid w:val="003C72D4"/>
    <w:rsid w:val="003C7929"/>
    <w:rsid w:val="003D1080"/>
    <w:rsid w:val="003D12FA"/>
    <w:rsid w:val="003D1572"/>
    <w:rsid w:val="003D4014"/>
    <w:rsid w:val="003D42D3"/>
    <w:rsid w:val="003D46B1"/>
    <w:rsid w:val="003D4C4D"/>
    <w:rsid w:val="003D5965"/>
    <w:rsid w:val="003D6DB5"/>
    <w:rsid w:val="003D6EDA"/>
    <w:rsid w:val="003E120F"/>
    <w:rsid w:val="003E1743"/>
    <w:rsid w:val="003E2D59"/>
    <w:rsid w:val="003E50C8"/>
    <w:rsid w:val="003E5724"/>
    <w:rsid w:val="003E5D11"/>
    <w:rsid w:val="003E5F81"/>
    <w:rsid w:val="003E6106"/>
    <w:rsid w:val="003E652D"/>
    <w:rsid w:val="003E690F"/>
    <w:rsid w:val="003E6E8D"/>
    <w:rsid w:val="003E7CF1"/>
    <w:rsid w:val="003F06D9"/>
    <w:rsid w:val="003F0C18"/>
    <w:rsid w:val="003F1BE3"/>
    <w:rsid w:val="003F2B53"/>
    <w:rsid w:val="003F2ED7"/>
    <w:rsid w:val="003F2FAC"/>
    <w:rsid w:val="003F36BF"/>
    <w:rsid w:val="003F3B5D"/>
    <w:rsid w:val="003F45E8"/>
    <w:rsid w:val="003F4912"/>
    <w:rsid w:val="003F59D3"/>
    <w:rsid w:val="003F705C"/>
    <w:rsid w:val="003F7503"/>
    <w:rsid w:val="003F7A32"/>
    <w:rsid w:val="003F7E53"/>
    <w:rsid w:val="0040042A"/>
    <w:rsid w:val="004015F5"/>
    <w:rsid w:val="00403001"/>
    <w:rsid w:val="00404887"/>
    <w:rsid w:val="004053E9"/>
    <w:rsid w:val="004054FD"/>
    <w:rsid w:val="00405789"/>
    <w:rsid w:val="0040679D"/>
    <w:rsid w:val="00406DEC"/>
    <w:rsid w:val="004072CC"/>
    <w:rsid w:val="00407334"/>
    <w:rsid w:val="004109A5"/>
    <w:rsid w:val="0041107C"/>
    <w:rsid w:val="004111B1"/>
    <w:rsid w:val="004119D2"/>
    <w:rsid w:val="00411B2D"/>
    <w:rsid w:val="00412599"/>
    <w:rsid w:val="004134F1"/>
    <w:rsid w:val="0041475C"/>
    <w:rsid w:val="00414F5F"/>
    <w:rsid w:val="004154DB"/>
    <w:rsid w:val="00415AB6"/>
    <w:rsid w:val="0042116A"/>
    <w:rsid w:val="004221CE"/>
    <w:rsid w:val="00422793"/>
    <w:rsid w:val="00423434"/>
    <w:rsid w:val="00424796"/>
    <w:rsid w:val="00425CB2"/>
    <w:rsid w:val="004266E1"/>
    <w:rsid w:val="00426743"/>
    <w:rsid w:val="0042776A"/>
    <w:rsid w:val="00427BBF"/>
    <w:rsid w:val="00427F37"/>
    <w:rsid w:val="00430327"/>
    <w:rsid w:val="00430B88"/>
    <w:rsid w:val="00435AB7"/>
    <w:rsid w:val="00435DC0"/>
    <w:rsid w:val="004363CD"/>
    <w:rsid w:val="00440325"/>
    <w:rsid w:val="004403F8"/>
    <w:rsid w:val="004414F0"/>
    <w:rsid w:val="00441F61"/>
    <w:rsid w:val="00441F9F"/>
    <w:rsid w:val="00442D9B"/>
    <w:rsid w:val="00443601"/>
    <w:rsid w:val="0044384E"/>
    <w:rsid w:val="004456FE"/>
    <w:rsid w:val="00445CA3"/>
    <w:rsid w:val="00446ECF"/>
    <w:rsid w:val="00447046"/>
    <w:rsid w:val="00447DC5"/>
    <w:rsid w:val="004500FF"/>
    <w:rsid w:val="00450563"/>
    <w:rsid w:val="00451E64"/>
    <w:rsid w:val="00452881"/>
    <w:rsid w:val="00453E26"/>
    <w:rsid w:val="004542CD"/>
    <w:rsid w:val="0045436A"/>
    <w:rsid w:val="00455B4C"/>
    <w:rsid w:val="00455F01"/>
    <w:rsid w:val="0045626C"/>
    <w:rsid w:val="00456C4E"/>
    <w:rsid w:val="00460631"/>
    <w:rsid w:val="00460F8D"/>
    <w:rsid w:val="00461F12"/>
    <w:rsid w:val="0046502F"/>
    <w:rsid w:val="0046507D"/>
    <w:rsid w:val="004658C0"/>
    <w:rsid w:val="004658FC"/>
    <w:rsid w:val="00465A80"/>
    <w:rsid w:val="00465D95"/>
    <w:rsid w:val="0046654C"/>
    <w:rsid w:val="00466EE2"/>
    <w:rsid w:val="00467EF6"/>
    <w:rsid w:val="004714FF"/>
    <w:rsid w:val="00471BE8"/>
    <w:rsid w:val="004727CE"/>
    <w:rsid w:val="004729C4"/>
    <w:rsid w:val="00473526"/>
    <w:rsid w:val="0047397D"/>
    <w:rsid w:val="00473A7A"/>
    <w:rsid w:val="00474248"/>
    <w:rsid w:val="00474E05"/>
    <w:rsid w:val="00476BD2"/>
    <w:rsid w:val="0047795E"/>
    <w:rsid w:val="00480BFC"/>
    <w:rsid w:val="00481132"/>
    <w:rsid w:val="00481818"/>
    <w:rsid w:val="00482547"/>
    <w:rsid w:val="00483C79"/>
    <w:rsid w:val="00484898"/>
    <w:rsid w:val="0048547F"/>
    <w:rsid w:val="004859A5"/>
    <w:rsid w:val="00486EF2"/>
    <w:rsid w:val="004872D5"/>
    <w:rsid w:val="0049084A"/>
    <w:rsid w:val="00491738"/>
    <w:rsid w:val="00491EF7"/>
    <w:rsid w:val="0049248E"/>
    <w:rsid w:val="00494145"/>
    <w:rsid w:val="004953E1"/>
    <w:rsid w:val="00495AFC"/>
    <w:rsid w:val="004970AE"/>
    <w:rsid w:val="004A09F8"/>
    <w:rsid w:val="004A1909"/>
    <w:rsid w:val="004A20FE"/>
    <w:rsid w:val="004A2EFF"/>
    <w:rsid w:val="004A30FE"/>
    <w:rsid w:val="004A4152"/>
    <w:rsid w:val="004A4F80"/>
    <w:rsid w:val="004A5FD5"/>
    <w:rsid w:val="004A61DC"/>
    <w:rsid w:val="004A7814"/>
    <w:rsid w:val="004B2752"/>
    <w:rsid w:val="004B38E0"/>
    <w:rsid w:val="004B47E0"/>
    <w:rsid w:val="004B56EC"/>
    <w:rsid w:val="004B5A79"/>
    <w:rsid w:val="004B5BD4"/>
    <w:rsid w:val="004B6374"/>
    <w:rsid w:val="004B64BE"/>
    <w:rsid w:val="004B77E5"/>
    <w:rsid w:val="004B7D89"/>
    <w:rsid w:val="004C0219"/>
    <w:rsid w:val="004C147E"/>
    <w:rsid w:val="004C2C4B"/>
    <w:rsid w:val="004C40BF"/>
    <w:rsid w:val="004C5412"/>
    <w:rsid w:val="004C56F4"/>
    <w:rsid w:val="004C5C0C"/>
    <w:rsid w:val="004C5EE2"/>
    <w:rsid w:val="004C751F"/>
    <w:rsid w:val="004C7BD4"/>
    <w:rsid w:val="004C7BE0"/>
    <w:rsid w:val="004D10A8"/>
    <w:rsid w:val="004D1789"/>
    <w:rsid w:val="004D3C42"/>
    <w:rsid w:val="004D41AC"/>
    <w:rsid w:val="004D4447"/>
    <w:rsid w:val="004D5C2F"/>
    <w:rsid w:val="004E0035"/>
    <w:rsid w:val="004E0912"/>
    <w:rsid w:val="004E0A64"/>
    <w:rsid w:val="004E153F"/>
    <w:rsid w:val="004E19C3"/>
    <w:rsid w:val="004E1F10"/>
    <w:rsid w:val="004E208B"/>
    <w:rsid w:val="004E2707"/>
    <w:rsid w:val="004E432A"/>
    <w:rsid w:val="004E4466"/>
    <w:rsid w:val="004E49C0"/>
    <w:rsid w:val="004E4B0B"/>
    <w:rsid w:val="004E73D5"/>
    <w:rsid w:val="004E7D37"/>
    <w:rsid w:val="004E7E87"/>
    <w:rsid w:val="004F077D"/>
    <w:rsid w:val="004F24A4"/>
    <w:rsid w:val="004F2BBF"/>
    <w:rsid w:val="004F2BCD"/>
    <w:rsid w:val="004F37DF"/>
    <w:rsid w:val="004F39E3"/>
    <w:rsid w:val="004F3FFD"/>
    <w:rsid w:val="004F45D7"/>
    <w:rsid w:val="004F6023"/>
    <w:rsid w:val="004F60BA"/>
    <w:rsid w:val="004F62C1"/>
    <w:rsid w:val="004F6B22"/>
    <w:rsid w:val="004F7231"/>
    <w:rsid w:val="004F754A"/>
    <w:rsid w:val="004F77DA"/>
    <w:rsid w:val="005006F0"/>
    <w:rsid w:val="00501224"/>
    <w:rsid w:val="00503FFF"/>
    <w:rsid w:val="00505974"/>
    <w:rsid w:val="005104F7"/>
    <w:rsid w:val="005108F5"/>
    <w:rsid w:val="00511E1B"/>
    <w:rsid w:val="00512B9A"/>
    <w:rsid w:val="00512FFD"/>
    <w:rsid w:val="0051430F"/>
    <w:rsid w:val="005158C3"/>
    <w:rsid w:val="00515E30"/>
    <w:rsid w:val="00516C68"/>
    <w:rsid w:val="00516FA5"/>
    <w:rsid w:val="005173E9"/>
    <w:rsid w:val="00517B9F"/>
    <w:rsid w:val="00521091"/>
    <w:rsid w:val="0052281A"/>
    <w:rsid w:val="0052375A"/>
    <w:rsid w:val="005239CD"/>
    <w:rsid w:val="005251C4"/>
    <w:rsid w:val="005256C3"/>
    <w:rsid w:val="00526094"/>
    <w:rsid w:val="00527F29"/>
    <w:rsid w:val="00530465"/>
    <w:rsid w:val="00531165"/>
    <w:rsid w:val="005313BF"/>
    <w:rsid w:val="005326A0"/>
    <w:rsid w:val="00533110"/>
    <w:rsid w:val="0053311F"/>
    <w:rsid w:val="005336F2"/>
    <w:rsid w:val="005340A3"/>
    <w:rsid w:val="00537097"/>
    <w:rsid w:val="00540455"/>
    <w:rsid w:val="00540EFF"/>
    <w:rsid w:val="00541EC3"/>
    <w:rsid w:val="00542E3D"/>
    <w:rsid w:val="005436F5"/>
    <w:rsid w:val="00544499"/>
    <w:rsid w:val="00544EB0"/>
    <w:rsid w:val="00545871"/>
    <w:rsid w:val="005462F1"/>
    <w:rsid w:val="005467E8"/>
    <w:rsid w:val="00546CAF"/>
    <w:rsid w:val="00547D46"/>
    <w:rsid w:val="0055087E"/>
    <w:rsid w:val="00550F85"/>
    <w:rsid w:val="00551971"/>
    <w:rsid w:val="00552A4D"/>
    <w:rsid w:val="0055355E"/>
    <w:rsid w:val="00553F5A"/>
    <w:rsid w:val="005543BA"/>
    <w:rsid w:val="005556AC"/>
    <w:rsid w:val="00556E8A"/>
    <w:rsid w:val="005579A0"/>
    <w:rsid w:val="005612E5"/>
    <w:rsid w:val="005618A4"/>
    <w:rsid w:val="00562C16"/>
    <w:rsid w:val="0056343C"/>
    <w:rsid w:val="00563F85"/>
    <w:rsid w:val="00565147"/>
    <w:rsid w:val="00566FDA"/>
    <w:rsid w:val="00567966"/>
    <w:rsid w:val="005709F9"/>
    <w:rsid w:val="00570C47"/>
    <w:rsid w:val="00570EF0"/>
    <w:rsid w:val="00571355"/>
    <w:rsid w:val="005719F9"/>
    <w:rsid w:val="005735E5"/>
    <w:rsid w:val="005746E9"/>
    <w:rsid w:val="00575442"/>
    <w:rsid w:val="00576E0D"/>
    <w:rsid w:val="005772AE"/>
    <w:rsid w:val="00577B7D"/>
    <w:rsid w:val="0058240D"/>
    <w:rsid w:val="00584274"/>
    <w:rsid w:val="0058436B"/>
    <w:rsid w:val="0058464A"/>
    <w:rsid w:val="00584698"/>
    <w:rsid w:val="00585641"/>
    <w:rsid w:val="00585828"/>
    <w:rsid w:val="00585CC3"/>
    <w:rsid w:val="00586547"/>
    <w:rsid w:val="0058724F"/>
    <w:rsid w:val="005875CD"/>
    <w:rsid w:val="00590AAE"/>
    <w:rsid w:val="005920DE"/>
    <w:rsid w:val="00592677"/>
    <w:rsid w:val="00593774"/>
    <w:rsid w:val="005946F0"/>
    <w:rsid w:val="005948EE"/>
    <w:rsid w:val="00595B73"/>
    <w:rsid w:val="00596363"/>
    <w:rsid w:val="0059652A"/>
    <w:rsid w:val="00596ED9"/>
    <w:rsid w:val="005971F4"/>
    <w:rsid w:val="00597509"/>
    <w:rsid w:val="00597829"/>
    <w:rsid w:val="005A007A"/>
    <w:rsid w:val="005A045E"/>
    <w:rsid w:val="005A16AC"/>
    <w:rsid w:val="005A18A6"/>
    <w:rsid w:val="005A1942"/>
    <w:rsid w:val="005A1FA4"/>
    <w:rsid w:val="005A256A"/>
    <w:rsid w:val="005A3240"/>
    <w:rsid w:val="005A6DBE"/>
    <w:rsid w:val="005B04C2"/>
    <w:rsid w:val="005B1DAD"/>
    <w:rsid w:val="005B21F5"/>
    <w:rsid w:val="005B22A4"/>
    <w:rsid w:val="005B3EEC"/>
    <w:rsid w:val="005B4158"/>
    <w:rsid w:val="005B4EBD"/>
    <w:rsid w:val="005B7DDF"/>
    <w:rsid w:val="005C2CC0"/>
    <w:rsid w:val="005C33C7"/>
    <w:rsid w:val="005C3D95"/>
    <w:rsid w:val="005C44A0"/>
    <w:rsid w:val="005C5D67"/>
    <w:rsid w:val="005C6C1B"/>
    <w:rsid w:val="005C770C"/>
    <w:rsid w:val="005C7F3F"/>
    <w:rsid w:val="005D0802"/>
    <w:rsid w:val="005D0894"/>
    <w:rsid w:val="005D1004"/>
    <w:rsid w:val="005D1502"/>
    <w:rsid w:val="005D2716"/>
    <w:rsid w:val="005D3663"/>
    <w:rsid w:val="005D3C62"/>
    <w:rsid w:val="005D425C"/>
    <w:rsid w:val="005D6F37"/>
    <w:rsid w:val="005E01EE"/>
    <w:rsid w:val="005E144F"/>
    <w:rsid w:val="005E2A25"/>
    <w:rsid w:val="005E353C"/>
    <w:rsid w:val="005E4895"/>
    <w:rsid w:val="005E4DFC"/>
    <w:rsid w:val="005E6D7D"/>
    <w:rsid w:val="005E6E25"/>
    <w:rsid w:val="005E6E6E"/>
    <w:rsid w:val="005F0DEE"/>
    <w:rsid w:val="005F1CFD"/>
    <w:rsid w:val="005F21AC"/>
    <w:rsid w:val="005F2CD6"/>
    <w:rsid w:val="005F39B6"/>
    <w:rsid w:val="005F39F2"/>
    <w:rsid w:val="005F509E"/>
    <w:rsid w:val="005F5FD3"/>
    <w:rsid w:val="005F6C7C"/>
    <w:rsid w:val="006004DA"/>
    <w:rsid w:val="0060072F"/>
    <w:rsid w:val="00601127"/>
    <w:rsid w:val="00601D12"/>
    <w:rsid w:val="00603709"/>
    <w:rsid w:val="00603CB7"/>
    <w:rsid w:val="00603EBD"/>
    <w:rsid w:val="006042F1"/>
    <w:rsid w:val="006045D6"/>
    <w:rsid w:val="006056F8"/>
    <w:rsid w:val="00606B45"/>
    <w:rsid w:val="00612411"/>
    <w:rsid w:val="006127D8"/>
    <w:rsid w:val="00612A12"/>
    <w:rsid w:val="0061369D"/>
    <w:rsid w:val="006138B3"/>
    <w:rsid w:val="00614247"/>
    <w:rsid w:val="00615065"/>
    <w:rsid w:val="00615FEC"/>
    <w:rsid w:val="00616A52"/>
    <w:rsid w:val="0061736C"/>
    <w:rsid w:val="00621AE1"/>
    <w:rsid w:val="0062451A"/>
    <w:rsid w:val="00624C07"/>
    <w:rsid w:val="00626E89"/>
    <w:rsid w:val="00627FB8"/>
    <w:rsid w:val="006301BB"/>
    <w:rsid w:val="00630CE5"/>
    <w:rsid w:val="00630DDB"/>
    <w:rsid w:val="00631337"/>
    <w:rsid w:val="0063146C"/>
    <w:rsid w:val="00632481"/>
    <w:rsid w:val="006339DA"/>
    <w:rsid w:val="00633E81"/>
    <w:rsid w:val="00634E9C"/>
    <w:rsid w:val="00635DA8"/>
    <w:rsid w:val="00636102"/>
    <w:rsid w:val="006365FF"/>
    <w:rsid w:val="0064222B"/>
    <w:rsid w:val="00644120"/>
    <w:rsid w:val="00644902"/>
    <w:rsid w:val="006449C9"/>
    <w:rsid w:val="00645B00"/>
    <w:rsid w:val="00645D13"/>
    <w:rsid w:val="00645D56"/>
    <w:rsid w:val="00646434"/>
    <w:rsid w:val="00646A4A"/>
    <w:rsid w:val="00646E7C"/>
    <w:rsid w:val="006471AB"/>
    <w:rsid w:val="00647A86"/>
    <w:rsid w:val="006501F6"/>
    <w:rsid w:val="00652CD4"/>
    <w:rsid w:val="00652CDD"/>
    <w:rsid w:val="0065363B"/>
    <w:rsid w:val="00654F5A"/>
    <w:rsid w:val="0065549D"/>
    <w:rsid w:val="0065557B"/>
    <w:rsid w:val="006555E2"/>
    <w:rsid w:val="00655DEF"/>
    <w:rsid w:val="00655DFB"/>
    <w:rsid w:val="006566CD"/>
    <w:rsid w:val="0065690A"/>
    <w:rsid w:val="006571EA"/>
    <w:rsid w:val="006609DA"/>
    <w:rsid w:val="00661DC9"/>
    <w:rsid w:val="006623E4"/>
    <w:rsid w:val="00662DA2"/>
    <w:rsid w:val="00664AAE"/>
    <w:rsid w:val="006662BA"/>
    <w:rsid w:val="006668E0"/>
    <w:rsid w:val="006670E7"/>
    <w:rsid w:val="00667C36"/>
    <w:rsid w:val="006708F5"/>
    <w:rsid w:val="006709DE"/>
    <w:rsid w:val="00670A64"/>
    <w:rsid w:val="00671807"/>
    <w:rsid w:val="006725F4"/>
    <w:rsid w:val="006726CC"/>
    <w:rsid w:val="0067284B"/>
    <w:rsid w:val="0067402D"/>
    <w:rsid w:val="00674195"/>
    <w:rsid w:val="0067467E"/>
    <w:rsid w:val="00675D46"/>
    <w:rsid w:val="0067636F"/>
    <w:rsid w:val="0067770A"/>
    <w:rsid w:val="006805C0"/>
    <w:rsid w:val="00680717"/>
    <w:rsid w:val="0068097B"/>
    <w:rsid w:val="00682B5B"/>
    <w:rsid w:val="006830DE"/>
    <w:rsid w:val="00684CC7"/>
    <w:rsid w:val="00685392"/>
    <w:rsid w:val="00690282"/>
    <w:rsid w:val="0069253B"/>
    <w:rsid w:val="00692883"/>
    <w:rsid w:val="00692DA6"/>
    <w:rsid w:val="0069314B"/>
    <w:rsid w:val="0069594E"/>
    <w:rsid w:val="00695BC4"/>
    <w:rsid w:val="0069625E"/>
    <w:rsid w:val="006A135C"/>
    <w:rsid w:val="006A176D"/>
    <w:rsid w:val="006A2742"/>
    <w:rsid w:val="006A48CA"/>
    <w:rsid w:val="006A4C67"/>
    <w:rsid w:val="006A5DFB"/>
    <w:rsid w:val="006A5EAF"/>
    <w:rsid w:val="006A61D7"/>
    <w:rsid w:val="006A6C89"/>
    <w:rsid w:val="006A6D22"/>
    <w:rsid w:val="006A7EF4"/>
    <w:rsid w:val="006B10AC"/>
    <w:rsid w:val="006B200D"/>
    <w:rsid w:val="006B362C"/>
    <w:rsid w:val="006B5B7B"/>
    <w:rsid w:val="006B5FA9"/>
    <w:rsid w:val="006B7257"/>
    <w:rsid w:val="006B7883"/>
    <w:rsid w:val="006C0659"/>
    <w:rsid w:val="006C1E32"/>
    <w:rsid w:val="006C1FCB"/>
    <w:rsid w:val="006C2188"/>
    <w:rsid w:val="006C21A3"/>
    <w:rsid w:val="006C2BA6"/>
    <w:rsid w:val="006C2ED3"/>
    <w:rsid w:val="006C315D"/>
    <w:rsid w:val="006C48E3"/>
    <w:rsid w:val="006C642A"/>
    <w:rsid w:val="006C6A0B"/>
    <w:rsid w:val="006C75FE"/>
    <w:rsid w:val="006C7B3E"/>
    <w:rsid w:val="006C7EF6"/>
    <w:rsid w:val="006D1453"/>
    <w:rsid w:val="006D32AB"/>
    <w:rsid w:val="006D3401"/>
    <w:rsid w:val="006D382C"/>
    <w:rsid w:val="006D4A99"/>
    <w:rsid w:val="006D7155"/>
    <w:rsid w:val="006D71AB"/>
    <w:rsid w:val="006D7F77"/>
    <w:rsid w:val="006E02B4"/>
    <w:rsid w:val="006E1184"/>
    <w:rsid w:val="006E1E3F"/>
    <w:rsid w:val="006E2C66"/>
    <w:rsid w:val="006E4987"/>
    <w:rsid w:val="006E65FD"/>
    <w:rsid w:val="006F0C71"/>
    <w:rsid w:val="006F0D3F"/>
    <w:rsid w:val="006F23BB"/>
    <w:rsid w:val="006F38DF"/>
    <w:rsid w:val="006F4B92"/>
    <w:rsid w:val="006F5195"/>
    <w:rsid w:val="006F5903"/>
    <w:rsid w:val="006F6D73"/>
    <w:rsid w:val="007003C1"/>
    <w:rsid w:val="00702402"/>
    <w:rsid w:val="00703040"/>
    <w:rsid w:val="00703D4B"/>
    <w:rsid w:val="007045A7"/>
    <w:rsid w:val="0070472F"/>
    <w:rsid w:val="0070475F"/>
    <w:rsid w:val="00705517"/>
    <w:rsid w:val="007055E2"/>
    <w:rsid w:val="00705AB7"/>
    <w:rsid w:val="0070641B"/>
    <w:rsid w:val="007066FD"/>
    <w:rsid w:val="0071016E"/>
    <w:rsid w:val="0071058E"/>
    <w:rsid w:val="00710717"/>
    <w:rsid w:val="00710B8B"/>
    <w:rsid w:val="00711120"/>
    <w:rsid w:val="00711C48"/>
    <w:rsid w:val="00713058"/>
    <w:rsid w:val="00713954"/>
    <w:rsid w:val="00713A64"/>
    <w:rsid w:val="00713D62"/>
    <w:rsid w:val="00713F6B"/>
    <w:rsid w:val="007142EC"/>
    <w:rsid w:val="0071542A"/>
    <w:rsid w:val="00715A3B"/>
    <w:rsid w:val="00716AD5"/>
    <w:rsid w:val="007175D2"/>
    <w:rsid w:val="00717CA6"/>
    <w:rsid w:val="00720A6C"/>
    <w:rsid w:val="00721721"/>
    <w:rsid w:val="00721923"/>
    <w:rsid w:val="00722237"/>
    <w:rsid w:val="00723333"/>
    <w:rsid w:val="00723395"/>
    <w:rsid w:val="007234EF"/>
    <w:rsid w:val="0072434D"/>
    <w:rsid w:val="007253D1"/>
    <w:rsid w:val="007255CE"/>
    <w:rsid w:val="00725A63"/>
    <w:rsid w:val="007260FA"/>
    <w:rsid w:val="007274F6"/>
    <w:rsid w:val="007305CD"/>
    <w:rsid w:val="00730917"/>
    <w:rsid w:val="007313D3"/>
    <w:rsid w:val="00731641"/>
    <w:rsid w:val="007319C0"/>
    <w:rsid w:val="00732A2F"/>
    <w:rsid w:val="007333C8"/>
    <w:rsid w:val="00733B9C"/>
    <w:rsid w:val="00734310"/>
    <w:rsid w:val="007350D5"/>
    <w:rsid w:val="00735158"/>
    <w:rsid w:val="007353FC"/>
    <w:rsid w:val="00735B97"/>
    <w:rsid w:val="00737199"/>
    <w:rsid w:val="007376A7"/>
    <w:rsid w:val="00740970"/>
    <w:rsid w:val="00744EC9"/>
    <w:rsid w:val="00745597"/>
    <w:rsid w:val="00745ACE"/>
    <w:rsid w:val="00746118"/>
    <w:rsid w:val="0074630B"/>
    <w:rsid w:val="00750427"/>
    <w:rsid w:val="0075303D"/>
    <w:rsid w:val="00754628"/>
    <w:rsid w:val="007555C7"/>
    <w:rsid w:val="00755978"/>
    <w:rsid w:val="00755EB1"/>
    <w:rsid w:val="00756B74"/>
    <w:rsid w:val="0076111B"/>
    <w:rsid w:val="00761E2F"/>
    <w:rsid w:val="00761F9D"/>
    <w:rsid w:val="00764D01"/>
    <w:rsid w:val="007654A9"/>
    <w:rsid w:val="00765694"/>
    <w:rsid w:val="00765C34"/>
    <w:rsid w:val="007669D9"/>
    <w:rsid w:val="00767262"/>
    <w:rsid w:val="00767B5D"/>
    <w:rsid w:val="00767CCC"/>
    <w:rsid w:val="007702FA"/>
    <w:rsid w:val="00770C27"/>
    <w:rsid w:val="00771294"/>
    <w:rsid w:val="0077196E"/>
    <w:rsid w:val="0077243F"/>
    <w:rsid w:val="00773A31"/>
    <w:rsid w:val="007740CA"/>
    <w:rsid w:val="00776F37"/>
    <w:rsid w:val="007777C6"/>
    <w:rsid w:val="00777D9B"/>
    <w:rsid w:val="0078011A"/>
    <w:rsid w:val="00780AA8"/>
    <w:rsid w:val="00780FCB"/>
    <w:rsid w:val="007812FE"/>
    <w:rsid w:val="00781746"/>
    <w:rsid w:val="00781C62"/>
    <w:rsid w:val="007828F4"/>
    <w:rsid w:val="00783050"/>
    <w:rsid w:val="00783594"/>
    <w:rsid w:val="0078362E"/>
    <w:rsid w:val="007839B0"/>
    <w:rsid w:val="007851CB"/>
    <w:rsid w:val="0078593E"/>
    <w:rsid w:val="00785FED"/>
    <w:rsid w:val="00787557"/>
    <w:rsid w:val="007924EF"/>
    <w:rsid w:val="0079268C"/>
    <w:rsid w:val="00792799"/>
    <w:rsid w:val="00794717"/>
    <w:rsid w:val="00797461"/>
    <w:rsid w:val="007A163B"/>
    <w:rsid w:val="007A2511"/>
    <w:rsid w:val="007A372A"/>
    <w:rsid w:val="007A3E9B"/>
    <w:rsid w:val="007A44E8"/>
    <w:rsid w:val="007A495D"/>
    <w:rsid w:val="007A5968"/>
    <w:rsid w:val="007A6254"/>
    <w:rsid w:val="007A688F"/>
    <w:rsid w:val="007B1BD9"/>
    <w:rsid w:val="007B2E43"/>
    <w:rsid w:val="007B3589"/>
    <w:rsid w:val="007B3CDE"/>
    <w:rsid w:val="007B5385"/>
    <w:rsid w:val="007B54AE"/>
    <w:rsid w:val="007B74AC"/>
    <w:rsid w:val="007B7C1F"/>
    <w:rsid w:val="007B7E33"/>
    <w:rsid w:val="007B7FE3"/>
    <w:rsid w:val="007C1798"/>
    <w:rsid w:val="007C3473"/>
    <w:rsid w:val="007C3DFC"/>
    <w:rsid w:val="007C4AB8"/>
    <w:rsid w:val="007C4D83"/>
    <w:rsid w:val="007C5B2B"/>
    <w:rsid w:val="007C74D0"/>
    <w:rsid w:val="007C77D2"/>
    <w:rsid w:val="007D110D"/>
    <w:rsid w:val="007D1384"/>
    <w:rsid w:val="007D2016"/>
    <w:rsid w:val="007D397F"/>
    <w:rsid w:val="007D512A"/>
    <w:rsid w:val="007D532B"/>
    <w:rsid w:val="007D582C"/>
    <w:rsid w:val="007D5CD6"/>
    <w:rsid w:val="007D622D"/>
    <w:rsid w:val="007D674B"/>
    <w:rsid w:val="007D68A0"/>
    <w:rsid w:val="007D6CAE"/>
    <w:rsid w:val="007D73CD"/>
    <w:rsid w:val="007E0367"/>
    <w:rsid w:val="007E0D0D"/>
    <w:rsid w:val="007E15C3"/>
    <w:rsid w:val="007E19E4"/>
    <w:rsid w:val="007E2E76"/>
    <w:rsid w:val="007E351B"/>
    <w:rsid w:val="007E403E"/>
    <w:rsid w:val="007E41BE"/>
    <w:rsid w:val="007E4A40"/>
    <w:rsid w:val="007E546E"/>
    <w:rsid w:val="007F018F"/>
    <w:rsid w:val="007F25EF"/>
    <w:rsid w:val="007F2617"/>
    <w:rsid w:val="007F3BE4"/>
    <w:rsid w:val="007F47CD"/>
    <w:rsid w:val="007F4A8B"/>
    <w:rsid w:val="007F4FBF"/>
    <w:rsid w:val="007F50C4"/>
    <w:rsid w:val="007F5371"/>
    <w:rsid w:val="007F558A"/>
    <w:rsid w:val="007F5F65"/>
    <w:rsid w:val="007F6732"/>
    <w:rsid w:val="007F6C6D"/>
    <w:rsid w:val="00800C7A"/>
    <w:rsid w:val="00800CAC"/>
    <w:rsid w:val="00801AA9"/>
    <w:rsid w:val="00801C25"/>
    <w:rsid w:val="00802ABC"/>
    <w:rsid w:val="00802E85"/>
    <w:rsid w:val="00803124"/>
    <w:rsid w:val="008033A2"/>
    <w:rsid w:val="0080393C"/>
    <w:rsid w:val="008045F2"/>
    <w:rsid w:val="008046DE"/>
    <w:rsid w:val="0080553F"/>
    <w:rsid w:val="00807AB8"/>
    <w:rsid w:val="00810284"/>
    <w:rsid w:val="00810B18"/>
    <w:rsid w:val="00814987"/>
    <w:rsid w:val="008160A2"/>
    <w:rsid w:val="008219FB"/>
    <w:rsid w:val="00821E2E"/>
    <w:rsid w:val="008233D5"/>
    <w:rsid w:val="008235A3"/>
    <w:rsid w:val="00823A5A"/>
    <w:rsid w:val="008244DF"/>
    <w:rsid w:val="00825BC5"/>
    <w:rsid w:val="008266A2"/>
    <w:rsid w:val="00826872"/>
    <w:rsid w:val="00830031"/>
    <w:rsid w:val="0083332F"/>
    <w:rsid w:val="00836186"/>
    <w:rsid w:val="0084047B"/>
    <w:rsid w:val="00841BA0"/>
    <w:rsid w:val="00841D9D"/>
    <w:rsid w:val="0084308F"/>
    <w:rsid w:val="00843144"/>
    <w:rsid w:val="00844B92"/>
    <w:rsid w:val="00844F43"/>
    <w:rsid w:val="00845B7B"/>
    <w:rsid w:val="00846F98"/>
    <w:rsid w:val="00847047"/>
    <w:rsid w:val="008479D3"/>
    <w:rsid w:val="00847C29"/>
    <w:rsid w:val="008518A4"/>
    <w:rsid w:val="00852AD3"/>
    <w:rsid w:val="00853058"/>
    <w:rsid w:val="0085371C"/>
    <w:rsid w:val="00853DA5"/>
    <w:rsid w:val="0085645C"/>
    <w:rsid w:val="0085652A"/>
    <w:rsid w:val="00860DEE"/>
    <w:rsid w:val="00861AC6"/>
    <w:rsid w:val="0086328B"/>
    <w:rsid w:val="00863F77"/>
    <w:rsid w:val="00865A4F"/>
    <w:rsid w:val="0087042D"/>
    <w:rsid w:val="00871021"/>
    <w:rsid w:val="00874E07"/>
    <w:rsid w:val="0087529E"/>
    <w:rsid w:val="008753B9"/>
    <w:rsid w:val="00876C60"/>
    <w:rsid w:val="00876F1D"/>
    <w:rsid w:val="0087788A"/>
    <w:rsid w:val="00880551"/>
    <w:rsid w:val="00880C1E"/>
    <w:rsid w:val="00880C34"/>
    <w:rsid w:val="00881B84"/>
    <w:rsid w:val="00881D7E"/>
    <w:rsid w:val="008855A2"/>
    <w:rsid w:val="008861BC"/>
    <w:rsid w:val="0088773F"/>
    <w:rsid w:val="00890012"/>
    <w:rsid w:val="008919BA"/>
    <w:rsid w:val="00891EA2"/>
    <w:rsid w:val="00892491"/>
    <w:rsid w:val="0089309F"/>
    <w:rsid w:val="008935CA"/>
    <w:rsid w:val="008935F9"/>
    <w:rsid w:val="008937E9"/>
    <w:rsid w:val="008941A8"/>
    <w:rsid w:val="00894F45"/>
    <w:rsid w:val="008A0892"/>
    <w:rsid w:val="008A0939"/>
    <w:rsid w:val="008A0958"/>
    <w:rsid w:val="008A0A10"/>
    <w:rsid w:val="008A0EFD"/>
    <w:rsid w:val="008A10A8"/>
    <w:rsid w:val="008A1A4E"/>
    <w:rsid w:val="008A1C32"/>
    <w:rsid w:val="008A1FBF"/>
    <w:rsid w:val="008A2731"/>
    <w:rsid w:val="008A2A0D"/>
    <w:rsid w:val="008A3268"/>
    <w:rsid w:val="008A38AF"/>
    <w:rsid w:val="008A412B"/>
    <w:rsid w:val="008A447E"/>
    <w:rsid w:val="008A46B1"/>
    <w:rsid w:val="008A474A"/>
    <w:rsid w:val="008A59BF"/>
    <w:rsid w:val="008A63DA"/>
    <w:rsid w:val="008A6AD1"/>
    <w:rsid w:val="008B0485"/>
    <w:rsid w:val="008B0B3E"/>
    <w:rsid w:val="008B1535"/>
    <w:rsid w:val="008B1BDC"/>
    <w:rsid w:val="008B257B"/>
    <w:rsid w:val="008B2811"/>
    <w:rsid w:val="008B503D"/>
    <w:rsid w:val="008B5356"/>
    <w:rsid w:val="008B5676"/>
    <w:rsid w:val="008B59B7"/>
    <w:rsid w:val="008B67D2"/>
    <w:rsid w:val="008B70BB"/>
    <w:rsid w:val="008C00D8"/>
    <w:rsid w:val="008C0533"/>
    <w:rsid w:val="008C0785"/>
    <w:rsid w:val="008C0823"/>
    <w:rsid w:val="008C26B1"/>
    <w:rsid w:val="008C409E"/>
    <w:rsid w:val="008C40FD"/>
    <w:rsid w:val="008C45DB"/>
    <w:rsid w:val="008C5F95"/>
    <w:rsid w:val="008C6682"/>
    <w:rsid w:val="008D0E43"/>
    <w:rsid w:val="008D117A"/>
    <w:rsid w:val="008D1D09"/>
    <w:rsid w:val="008D1D2C"/>
    <w:rsid w:val="008D2D48"/>
    <w:rsid w:val="008D4446"/>
    <w:rsid w:val="008D498D"/>
    <w:rsid w:val="008D4C7C"/>
    <w:rsid w:val="008D5532"/>
    <w:rsid w:val="008D5D64"/>
    <w:rsid w:val="008D6409"/>
    <w:rsid w:val="008D65BE"/>
    <w:rsid w:val="008E0008"/>
    <w:rsid w:val="008E0653"/>
    <w:rsid w:val="008E0DFE"/>
    <w:rsid w:val="008E0FC8"/>
    <w:rsid w:val="008E1942"/>
    <w:rsid w:val="008E2010"/>
    <w:rsid w:val="008E2924"/>
    <w:rsid w:val="008E2D6B"/>
    <w:rsid w:val="008E52E3"/>
    <w:rsid w:val="008E540C"/>
    <w:rsid w:val="008E5A3A"/>
    <w:rsid w:val="008E5F99"/>
    <w:rsid w:val="008E5FC3"/>
    <w:rsid w:val="008E6212"/>
    <w:rsid w:val="008E6877"/>
    <w:rsid w:val="008E688D"/>
    <w:rsid w:val="008E6D16"/>
    <w:rsid w:val="008E7FE7"/>
    <w:rsid w:val="008F116F"/>
    <w:rsid w:val="008F19BD"/>
    <w:rsid w:val="008F2A8C"/>
    <w:rsid w:val="008F2AC2"/>
    <w:rsid w:val="008F3636"/>
    <w:rsid w:val="008F5427"/>
    <w:rsid w:val="008F6C5D"/>
    <w:rsid w:val="008F7854"/>
    <w:rsid w:val="009006CF"/>
    <w:rsid w:val="0090156C"/>
    <w:rsid w:val="00902438"/>
    <w:rsid w:val="009027FE"/>
    <w:rsid w:val="009035EF"/>
    <w:rsid w:val="0090420C"/>
    <w:rsid w:val="0090454E"/>
    <w:rsid w:val="00904F98"/>
    <w:rsid w:val="00905CB3"/>
    <w:rsid w:val="00906EE7"/>
    <w:rsid w:val="00907575"/>
    <w:rsid w:val="009108BC"/>
    <w:rsid w:val="00910B92"/>
    <w:rsid w:val="0091140B"/>
    <w:rsid w:val="00911DC6"/>
    <w:rsid w:val="009128FC"/>
    <w:rsid w:val="00913695"/>
    <w:rsid w:val="009136E1"/>
    <w:rsid w:val="00913982"/>
    <w:rsid w:val="009148C8"/>
    <w:rsid w:val="00914A02"/>
    <w:rsid w:val="00914A8F"/>
    <w:rsid w:val="00915B37"/>
    <w:rsid w:val="00916047"/>
    <w:rsid w:val="00916200"/>
    <w:rsid w:val="00917B88"/>
    <w:rsid w:val="00917C54"/>
    <w:rsid w:val="009202D2"/>
    <w:rsid w:val="009215A5"/>
    <w:rsid w:val="009218CD"/>
    <w:rsid w:val="009220CA"/>
    <w:rsid w:val="00922B1A"/>
    <w:rsid w:val="00922E56"/>
    <w:rsid w:val="00922F70"/>
    <w:rsid w:val="00923122"/>
    <w:rsid w:val="00924EFC"/>
    <w:rsid w:val="00925047"/>
    <w:rsid w:val="009258B3"/>
    <w:rsid w:val="009276B7"/>
    <w:rsid w:val="009277ED"/>
    <w:rsid w:val="00927E6F"/>
    <w:rsid w:val="00931497"/>
    <w:rsid w:val="0093176E"/>
    <w:rsid w:val="00932019"/>
    <w:rsid w:val="00932BAE"/>
    <w:rsid w:val="00932C0E"/>
    <w:rsid w:val="00933917"/>
    <w:rsid w:val="00933CDF"/>
    <w:rsid w:val="00934052"/>
    <w:rsid w:val="009341A8"/>
    <w:rsid w:val="009349F6"/>
    <w:rsid w:val="0093534F"/>
    <w:rsid w:val="009365BE"/>
    <w:rsid w:val="00936AB7"/>
    <w:rsid w:val="009371AE"/>
    <w:rsid w:val="00941940"/>
    <w:rsid w:val="009425F0"/>
    <w:rsid w:val="00942F0C"/>
    <w:rsid w:val="00944CCD"/>
    <w:rsid w:val="00944E1C"/>
    <w:rsid w:val="0094538D"/>
    <w:rsid w:val="00945F41"/>
    <w:rsid w:val="00946AE3"/>
    <w:rsid w:val="00946DC3"/>
    <w:rsid w:val="00947EC0"/>
    <w:rsid w:val="00950DE8"/>
    <w:rsid w:val="00951DD2"/>
    <w:rsid w:val="0095285F"/>
    <w:rsid w:val="00953B39"/>
    <w:rsid w:val="009541AC"/>
    <w:rsid w:val="009542A2"/>
    <w:rsid w:val="00954BE4"/>
    <w:rsid w:val="00954F16"/>
    <w:rsid w:val="00955436"/>
    <w:rsid w:val="00956167"/>
    <w:rsid w:val="00956585"/>
    <w:rsid w:val="00956B28"/>
    <w:rsid w:val="00956CCE"/>
    <w:rsid w:val="009578CA"/>
    <w:rsid w:val="00957D7B"/>
    <w:rsid w:val="009608A7"/>
    <w:rsid w:val="00960DFA"/>
    <w:rsid w:val="009612F5"/>
    <w:rsid w:val="009614E4"/>
    <w:rsid w:val="00962B4B"/>
    <w:rsid w:val="009639C8"/>
    <w:rsid w:val="00963B55"/>
    <w:rsid w:val="00963EAD"/>
    <w:rsid w:val="009677F5"/>
    <w:rsid w:val="00970A63"/>
    <w:rsid w:val="00970F2B"/>
    <w:rsid w:val="0097171A"/>
    <w:rsid w:val="00972DE5"/>
    <w:rsid w:val="00973445"/>
    <w:rsid w:val="00976708"/>
    <w:rsid w:val="00976A22"/>
    <w:rsid w:val="009809EE"/>
    <w:rsid w:val="00980C34"/>
    <w:rsid w:val="009818C5"/>
    <w:rsid w:val="00982638"/>
    <w:rsid w:val="00982A84"/>
    <w:rsid w:val="00982F84"/>
    <w:rsid w:val="00985AA1"/>
    <w:rsid w:val="00985E6A"/>
    <w:rsid w:val="00990216"/>
    <w:rsid w:val="00990DAF"/>
    <w:rsid w:val="00991142"/>
    <w:rsid w:val="00992222"/>
    <w:rsid w:val="00992986"/>
    <w:rsid w:val="00993592"/>
    <w:rsid w:val="009935E4"/>
    <w:rsid w:val="00994083"/>
    <w:rsid w:val="0099514E"/>
    <w:rsid w:val="0099522E"/>
    <w:rsid w:val="00995420"/>
    <w:rsid w:val="00995D3A"/>
    <w:rsid w:val="00996823"/>
    <w:rsid w:val="00996934"/>
    <w:rsid w:val="00997588"/>
    <w:rsid w:val="009A06D9"/>
    <w:rsid w:val="009A1976"/>
    <w:rsid w:val="009A19D8"/>
    <w:rsid w:val="009A1FA1"/>
    <w:rsid w:val="009A3B9C"/>
    <w:rsid w:val="009A40A2"/>
    <w:rsid w:val="009A4C9C"/>
    <w:rsid w:val="009A4DBC"/>
    <w:rsid w:val="009A4DD8"/>
    <w:rsid w:val="009A6D96"/>
    <w:rsid w:val="009A7E9D"/>
    <w:rsid w:val="009B02FA"/>
    <w:rsid w:val="009B05F9"/>
    <w:rsid w:val="009B061B"/>
    <w:rsid w:val="009B0A98"/>
    <w:rsid w:val="009B1030"/>
    <w:rsid w:val="009B1FC6"/>
    <w:rsid w:val="009B27CA"/>
    <w:rsid w:val="009B29AD"/>
    <w:rsid w:val="009B29E2"/>
    <w:rsid w:val="009B4377"/>
    <w:rsid w:val="009B45E7"/>
    <w:rsid w:val="009B5673"/>
    <w:rsid w:val="009B56D0"/>
    <w:rsid w:val="009B5B22"/>
    <w:rsid w:val="009B6018"/>
    <w:rsid w:val="009B6936"/>
    <w:rsid w:val="009B6FF6"/>
    <w:rsid w:val="009B706B"/>
    <w:rsid w:val="009C0B49"/>
    <w:rsid w:val="009C0CED"/>
    <w:rsid w:val="009C1CCE"/>
    <w:rsid w:val="009C1D42"/>
    <w:rsid w:val="009C1E3C"/>
    <w:rsid w:val="009C4EB2"/>
    <w:rsid w:val="009C5103"/>
    <w:rsid w:val="009C529A"/>
    <w:rsid w:val="009C7123"/>
    <w:rsid w:val="009C72F8"/>
    <w:rsid w:val="009C76CD"/>
    <w:rsid w:val="009D01FA"/>
    <w:rsid w:val="009D2BDB"/>
    <w:rsid w:val="009D3253"/>
    <w:rsid w:val="009D4D91"/>
    <w:rsid w:val="009D542D"/>
    <w:rsid w:val="009D6BD8"/>
    <w:rsid w:val="009D78CF"/>
    <w:rsid w:val="009E0A5B"/>
    <w:rsid w:val="009E1776"/>
    <w:rsid w:val="009E29BB"/>
    <w:rsid w:val="009E356D"/>
    <w:rsid w:val="009E3D50"/>
    <w:rsid w:val="009E4584"/>
    <w:rsid w:val="009E4728"/>
    <w:rsid w:val="009E4DC9"/>
    <w:rsid w:val="009E5CD5"/>
    <w:rsid w:val="009E600D"/>
    <w:rsid w:val="009E6308"/>
    <w:rsid w:val="009E6D52"/>
    <w:rsid w:val="009E75A2"/>
    <w:rsid w:val="009F10CB"/>
    <w:rsid w:val="009F2439"/>
    <w:rsid w:val="009F40B8"/>
    <w:rsid w:val="009F5019"/>
    <w:rsid w:val="009F5CFC"/>
    <w:rsid w:val="009F5EEB"/>
    <w:rsid w:val="009F7200"/>
    <w:rsid w:val="009F7F09"/>
    <w:rsid w:val="00A0037F"/>
    <w:rsid w:val="00A012A3"/>
    <w:rsid w:val="00A02F09"/>
    <w:rsid w:val="00A035D5"/>
    <w:rsid w:val="00A051E6"/>
    <w:rsid w:val="00A0529C"/>
    <w:rsid w:val="00A05673"/>
    <w:rsid w:val="00A06672"/>
    <w:rsid w:val="00A069FB"/>
    <w:rsid w:val="00A06DCF"/>
    <w:rsid w:val="00A07622"/>
    <w:rsid w:val="00A103E6"/>
    <w:rsid w:val="00A11282"/>
    <w:rsid w:val="00A13423"/>
    <w:rsid w:val="00A13686"/>
    <w:rsid w:val="00A13CD4"/>
    <w:rsid w:val="00A14430"/>
    <w:rsid w:val="00A1569B"/>
    <w:rsid w:val="00A16087"/>
    <w:rsid w:val="00A161F6"/>
    <w:rsid w:val="00A1775C"/>
    <w:rsid w:val="00A17F53"/>
    <w:rsid w:val="00A20411"/>
    <w:rsid w:val="00A207DD"/>
    <w:rsid w:val="00A21207"/>
    <w:rsid w:val="00A21B70"/>
    <w:rsid w:val="00A21FE4"/>
    <w:rsid w:val="00A2210C"/>
    <w:rsid w:val="00A22A92"/>
    <w:rsid w:val="00A23192"/>
    <w:rsid w:val="00A23C2A"/>
    <w:rsid w:val="00A245A0"/>
    <w:rsid w:val="00A25DDA"/>
    <w:rsid w:val="00A25EC7"/>
    <w:rsid w:val="00A261FB"/>
    <w:rsid w:val="00A265B9"/>
    <w:rsid w:val="00A26603"/>
    <w:rsid w:val="00A26A05"/>
    <w:rsid w:val="00A301F2"/>
    <w:rsid w:val="00A30428"/>
    <w:rsid w:val="00A312EF"/>
    <w:rsid w:val="00A31FC7"/>
    <w:rsid w:val="00A32835"/>
    <w:rsid w:val="00A3331C"/>
    <w:rsid w:val="00A33360"/>
    <w:rsid w:val="00A33E67"/>
    <w:rsid w:val="00A34BC8"/>
    <w:rsid w:val="00A364FC"/>
    <w:rsid w:val="00A365DC"/>
    <w:rsid w:val="00A36736"/>
    <w:rsid w:val="00A37AB6"/>
    <w:rsid w:val="00A41906"/>
    <w:rsid w:val="00A429BA"/>
    <w:rsid w:val="00A42A9F"/>
    <w:rsid w:val="00A4410D"/>
    <w:rsid w:val="00A44389"/>
    <w:rsid w:val="00A44C34"/>
    <w:rsid w:val="00A44D27"/>
    <w:rsid w:val="00A44F8C"/>
    <w:rsid w:val="00A4718B"/>
    <w:rsid w:val="00A473E3"/>
    <w:rsid w:val="00A47F58"/>
    <w:rsid w:val="00A50A4A"/>
    <w:rsid w:val="00A510A6"/>
    <w:rsid w:val="00A51EA2"/>
    <w:rsid w:val="00A52A7A"/>
    <w:rsid w:val="00A52CCA"/>
    <w:rsid w:val="00A53837"/>
    <w:rsid w:val="00A540F7"/>
    <w:rsid w:val="00A54129"/>
    <w:rsid w:val="00A549FA"/>
    <w:rsid w:val="00A54F7E"/>
    <w:rsid w:val="00A54FE7"/>
    <w:rsid w:val="00A557B5"/>
    <w:rsid w:val="00A56946"/>
    <w:rsid w:val="00A5787C"/>
    <w:rsid w:val="00A61670"/>
    <w:rsid w:val="00A62216"/>
    <w:rsid w:val="00A62A7A"/>
    <w:rsid w:val="00A62D07"/>
    <w:rsid w:val="00A633A9"/>
    <w:rsid w:val="00A64C93"/>
    <w:rsid w:val="00A650B3"/>
    <w:rsid w:val="00A66F0F"/>
    <w:rsid w:val="00A70351"/>
    <w:rsid w:val="00A70978"/>
    <w:rsid w:val="00A7236B"/>
    <w:rsid w:val="00A742A8"/>
    <w:rsid w:val="00A743FF"/>
    <w:rsid w:val="00A745F8"/>
    <w:rsid w:val="00A765CD"/>
    <w:rsid w:val="00A80E53"/>
    <w:rsid w:val="00A817E9"/>
    <w:rsid w:val="00A818E0"/>
    <w:rsid w:val="00A8255D"/>
    <w:rsid w:val="00A832D7"/>
    <w:rsid w:val="00A83451"/>
    <w:rsid w:val="00A83F8C"/>
    <w:rsid w:val="00A83FFE"/>
    <w:rsid w:val="00A84217"/>
    <w:rsid w:val="00A84734"/>
    <w:rsid w:val="00A84919"/>
    <w:rsid w:val="00A84AF6"/>
    <w:rsid w:val="00A85128"/>
    <w:rsid w:val="00A85991"/>
    <w:rsid w:val="00A86232"/>
    <w:rsid w:val="00A87888"/>
    <w:rsid w:val="00A90457"/>
    <w:rsid w:val="00A90A1D"/>
    <w:rsid w:val="00A92776"/>
    <w:rsid w:val="00A93A42"/>
    <w:rsid w:val="00A944CA"/>
    <w:rsid w:val="00A96908"/>
    <w:rsid w:val="00A969DC"/>
    <w:rsid w:val="00A97239"/>
    <w:rsid w:val="00A97F2A"/>
    <w:rsid w:val="00AA0DF3"/>
    <w:rsid w:val="00AA1D5A"/>
    <w:rsid w:val="00AA20E6"/>
    <w:rsid w:val="00AA246B"/>
    <w:rsid w:val="00AA3AF9"/>
    <w:rsid w:val="00AA4B6F"/>
    <w:rsid w:val="00AA5151"/>
    <w:rsid w:val="00AA58CC"/>
    <w:rsid w:val="00AA60BE"/>
    <w:rsid w:val="00AA7FA5"/>
    <w:rsid w:val="00AB00F3"/>
    <w:rsid w:val="00AB070F"/>
    <w:rsid w:val="00AB1132"/>
    <w:rsid w:val="00AB15BB"/>
    <w:rsid w:val="00AB1B7A"/>
    <w:rsid w:val="00AB1F69"/>
    <w:rsid w:val="00AB1FC9"/>
    <w:rsid w:val="00AB2209"/>
    <w:rsid w:val="00AB3C90"/>
    <w:rsid w:val="00AB3D7A"/>
    <w:rsid w:val="00AB53FC"/>
    <w:rsid w:val="00AB6574"/>
    <w:rsid w:val="00AB6710"/>
    <w:rsid w:val="00AB684B"/>
    <w:rsid w:val="00AB693B"/>
    <w:rsid w:val="00AB6DF5"/>
    <w:rsid w:val="00AB78DC"/>
    <w:rsid w:val="00AC0185"/>
    <w:rsid w:val="00AC0322"/>
    <w:rsid w:val="00AC0D49"/>
    <w:rsid w:val="00AC1B98"/>
    <w:rsid w:val="00AC1F48"/>
    <w:rsid w:val="00AC27C2"/>
    <w:rsid w:val="00AC3569"/>
    <w:rsid w:val="00AC4A35"/>
    <w:rsid w:val="00AC5A23"/>
    <w:rsid w:val="00AC68E6"/>
    <w:rsid w:val="00AC6EDC"/>
    <w:rsid w:val="00AC7562"/>
    <w:rsid w:val="00AC7DA5"/>
    <w:rsid w:val="00AD1200"/>
    <w:rsid w:val="00AD18C0"/>
    <w:rsid w:val="00AD45E4"/>
    <w:rsid w:val="00AD4678"/>
    <w:rsid w:val="00AD4854"/>
    <w:rsid w:val="00AD6653"/>
    <w:rsid w:val="00AD6B4B"/>
    <w:rsid w:val="00AE0143"/>
    <w:rsid w:val="00AE056B"/>
    <w:rsid w:val="00AE0C7C"/>
    <w:rsid w:val="00AE106D"/>
    <w:rsid w:val="00AE24A5"/>
    <w:rsid w:val="00AE350D"/>
    <w:rsid w:val="00AE3965"/>
    <w:rsid w:val="00AE3EF3"/>
    <w:rsid w:val="00AE4307"/>
    <w:rsid w:val="00AE45CF"/>
    <w:rsid w:val="00AE587D"/>
    <w:rsid w:val="00AE6581"/>
    <w:rsid w:val="00AE78AB"/>
    <w:rsid w:val="00AF0117"/>
    <w:rsid w:val="00AF0292"/>
    <w:rsid w:val="00AF0CA0"/>
    <w:rsid w:val="00AF1005"/>
    <w:rsid w:val="00AF111D"/>
    <w:rsid w:val="00AF11D4"/>
    <w:rsid w:val="00AF174C"/>
    <w:rsid w:val="00AF1E2F"/>
    <w:rsid w:val="00AF26FC"/>
    <w:rsid w:val="00AF28F1"/>
    <w:rsid w:val="00AF370B"/>
    <w:rsid w:val="00AF3861"/>
    <w:rsid w:val="00AF4060"/>
    <w:rsid w:val="00AF4A50"/>
    <w:rsid w:val="00AF4D60"/>
    <w:rsid w:val="00AF5385"/>
    <w:rsid w:val="00AF546E"/>
    <w:rsid w:val="00AF586C"/>
    <w:rsid w:val="00AF6327"/>
    <w:rsid w:val="00AF6C98"/>
    <w:rsid w:val="00AF7528"/>
    <w:rsid w:val="00B00858"/>
    <w:rsid w:val="00B01076"/>
    <w:rsid w:val="00B02800"/>
    <w:rsid w:val="00B045BE"/>
    <w:rsid w:val="00B0475B"/>
    <w:rsid w:val="00B05135"/>
    <w:rsid w:val="00B0552A"/>
    <w:rsid w:val="00B06738"/>
    <w:rsid w:val="00B107C6"/>
    <w:rsid w:val="00B108FD"/>
    <w:rsid w:val="00B10B89"/>
    <w:rsid w:val="00B10BE8"/>
    <w:rsid w:val="00B10F92"/>
    <w:rsid w:val="00B11B94"/>
    <w:rsid w:val="00B12032"/>
    <w:rsid w:val="00B12C97"/>
    <w:rsid w:val="00B12D33"/>
    <w:rsid w:val="00B15582"/>
    <w:rsid w:val="00B15905"/>
    <w:rsid w:val="00B17862"/>
    <w:rsid w:val="00B2058D"/>
    <w:rsid w:val="00B210EF"/>
    <w:rsid w:val="00B21C2C"/>
    <w:rsid w:val="00B22112"/>
    <w:rsid w:val="00B22B8A"/>
    <w:rsid w:val="00B22F97"/>
    <w:rsid w:val="00B22FC4"/>
    <w:rsid w:val="00B23274"/>
    <w:rsid w:val="00B2415C"/>
    <w:rsid w:val="00B25742"/>
    <w:rsid w:val="00B26756"/>
    <w:rsid w:val="00B27B53"/>
    <w:rsid w:val="00B30835"/>
    <w:rsid w:val="00B30A7E"/>
    <w:rsid w:val="00B31E38"/>
    <w:rsid w:val="00B321EC"/>
    <w:rsid w:val="00B322B7"/>
    <w:rsid w:val="00B3236E"/>
    <w:rsid w:val="00B33E71"/>
    <w:rsid w:val="00B34411"/>
    <w:rsid w:val="00B35725"/>
    <w:rsid w:val="00B359A7"/>
    <w:rsid w:val="00B36FA3"/>
    <w:rsid w:val="00B372CE"/>
    <w:rsid w:val="00B404B8"/>
    <w:rsid w:val="00B40E69"/>
    <w:rsid w:val="00B41FC9"/>
    <w:rsid w:val="00B424A4"/>
    <w:rsid w:val="00B42F1D"/>
    <w:rsid w:val="00B43DBF"/>
    <w:rsid w:val="00B44348"/>
    <w:rsid w:val="00B4491B"/>
    <w:rsid w:val="00B44F5D"/>
    <w:rsid w:val="00B45060"/>
    <w:rsid w:val="00B45F73"/>
    <w:rsid w:val="00B46118"/>
    <w:rsid w:val="00B46FBD"/>
    <w:rsid w:val="00B47DF8"/>
    <w:rsid w:val="00B5089C"/>
    <w:rsid w:val="00B5138E"/>
    <w:rsid w:val="00B52185"/>
    <w:rsid w:val="00B532E5"/>
    <w:rsid w:val="00B555EC"/>
    <w:rsid w:val="00B55D14"/>
    <w:rsid w:val="00B56940"/>
    <w:rsid w:val="00B569C4"/>
    <w:rsid w:val="00B56D76"/>
    <w:rsid w:val="00B56EA9"/>
    <w:rsid w:val="00B57389"/>
    <w:rsid w:val="00B57D7E"/>
    <w:rsid w:val="00B60F51"/>
    <w:rsid w:val="00B618CD"/>
    <w:rsid w:val="00B61F1F"/>
    <w:rsid w:val="00B62A18"/>
    <w:rsid w:val="00B6313F"/>
    <w:rsid w:val="00B633C7"/>
    <w:rsid w:val="00B649B7"/>
    <w:rsid w:val="00B64D9E"/>
    <w:rsid w:val="00B65167"/>
    <w:rsid w:val="00B656C7"/>
    <w:rsid w:val="00B66960"/>
    <w:rsid w:val="00B6782C"/>
    <w:rsid w:val="00B67959"/>
    <w:rsid w:val="00B71CAD"/>
    <w:rsid w:val="00B71FB6"/>
    <w:rsid w:val="00B728B1"/>
    <w:rsid w:val="00B74D37"/>
    <w:rsid w:val="00B75AB6"/>
    <w:rsid w:val="00B76281"/>
    <w:rsid w:val="00B76337"/>
    <w:rsid w:val="00B76399"/>
    <w:rsid w:val="00B77548"/>
    <w:rsid w:val="00B77F59"/>
    <w:rsid w:val="00B80305"/>
    <w:rsid w:val="00B8081B"/>
    <w:rsid w:val="00B817AA"/>
    <w:rsid w:val="00B828D2"/>
    <w:rsid w:val="00B851C4"/>
    <w:rsid w:val="00B86C13"/>
    <w:rsid w:val="00B86E83"/>
    <w:rsid w:val="00B914A2"/>
    <w:rsid w:val="00B9234D"/>
    <w:rsid w:val="00B9242D"/>
    <w:rsid w:val="00B93D84"/>
    <w:rsid w:val="00B94B48"/>
    <w:rsid w:val="00B9532F"/>
    <w:rsid w:val="00B954E9"/>
    <w:rsid w:val="00B956F0"/>
    <w:rsid w:val="00B96094"/>
    <w:rsid w:val="00B9622D"/>
    <w:rsid w:val="00B97DCD"/>
    <w:rsid w:val="00B97E48"/>
    <w:rsid w:val="00BA009A"/>
    <w:rsid w:val="00BA07D7"/>
    <w:rsid w:val="00BA0824"/>
    <w:rsid w:val="00BA0ABE"/>
    <w:rsid w:val="00BA0C6A"/>
    <w:rsid w:val="00BA1589"/>
    <w:rsid w:val="00BA24C9"/>
    <w:rsid w:val="00BA3E32"/>
    <w:rsid w:val="00BA3FEB"/>
    <w:rsid w:val="00BA47B6"/>
    <w:rsid w:val="00BA6288"/>
    <w:rsid w:val="00BA7F9C"/>
    <w:rsid w:val="00BB0A6E"/>
    <w:rsid w:val="00BB15FF"/>
    <w:rsid w:val="00BB23EF"/>
    <w:rsid w:val="00BB33AF"/>
    <w:rsid w:val="00BB38B5"/>
    <w:rsid w:val="00BB3C03"/>
    <w:rsid w:val="00BB5318"/>
    <w:rsid w:val="00BB60AA"/>
    <w:rsid w:val="00BB722F"/>
    <w:rsid w:val="00BB74BE"/>
    <w:rsid w:val="00BC1596"/>
    <w:rsid w:val="00BC2632"/>
    <w:rsid w:val="00BC35BF"/>
    <w:rsid w:val="00BC37E3"/>
    <w:rsid w:val="00BC3B2C"/>
    <w:rsid w:val="00BC3BC3"/>
    <w:rsid w:val="00BC546C"/>
    <w:rsid w:val="00BC55A5"/>
    <w:rsid w:val="00BC5C9C"/>
    <w:rsid w:val="00BC5CA9"/>
    <w:rsid w:val="00BC5E8F"/>
    <w:rsid w:val="00BC73A9"/>
    <w:rsid w:val="00BC7CEC"/>
    <w:rsid w:val="00BD070E"/>
    <w:rsid w:val="00BD0F2B"/>
    <w:rsid w:val="00BD1D22"/>
    <w:rsid w:val="00BD3DC4"/>
    <w:rsid w:val="00BD3FBE"/>
    <w:rsid w:val="00BD5450"/>
    <w:rsid w:val="00BD612C"/>
    <w:rsid w:val="00BD7815"/>
    <w:rsid w:val="00BD7CFB"/>
    <w:rsid w:val="00BD7CFE"/>
    <w:rsid w:val="00BD7D31"/>
    <w:rsid w:val="00BE0344"/>
    <w:rsid w:val="00BE0378"/>
    <w:rsid w:val="00BE0496"/>
    <w:rsid w:val="00BE1515"/>
    <w:rsid w:val="00BE2071"/>
    <w:rsid w:val="00BE24A5"/>
    <w:rsid w:val="00BE2C42"/>
    <w:rsid w:val="00BE32DA"/>
    <w:rsid w:val="00BE51ED"/>
    <w:rsid w:val="00BE5AEB"/>
    <w:rsid w:val="00BE5ED8"/>
    <w:rsid w:val="00BE64B4"/>
    <w:rsid w:val="00BE6962"/>
    <w:rsid w:val="00BF018C"/>
    <w:rsid w:val="00BF2B1D"/>
    <w:rsid w:val="00BF63F2"/>
    <w:rsid w:val="00BF76FF"/>
    <w:rsid w:val="00BF77CF"/>
    <w:rsid w:val="00C00074"/>
    <w:rsid w:val="00C00792"/>
    <w:rsid w:val="00C01D13"/>
    <w:rsid w:val="00C0233C"/>
    <w:rsid w:val="00C02D63"/>
    <w:rsid w:val="00C03B82"/>
    <w:rsid w:val="00C05031"/>
    <w:rsid w:val="00C05171"/>
    <w:rsid w:val="00C05270"/>
    <w:rsid w:val="00C052C4"/>
    <w:rsid w:val="00C05B28"/>
    <w:rsid w:val="00C06289"/>
    <w:rsid w:val="00C068F2"/>
    <w:rsid w:val="00C07543"/>
    <w:rsid w:val="00C104DB"/>
    <w:rsid w:val="00C11BAE"/>
    <w:rsid w:val="00C1210D"/>
    <w:rsid w:val="00C137CF"/>
    <w:rsid w:val="00C13EBE"/>
    <w:rsid w:val="00C13ECE"/>
    <w:rsid w:val="00C152A5"/>
    <w:rsid w:val="00C15345"/>
    <w:rsid w:val="00C1563C"/>
    <w:rsid w:val="00C15BF0"/>
    <w:rsid w:val="00C16AD3"/>
    <w:rsid w:val="00C16B03"/>
    <w:rsid w:val="00C174E3"/>
    <w:rsid w:val="00C200BE"/>
    <w:rsid w:val="00C20264"/>
    <w:rsid w:val="00C21754"/>
    <w:rsid w:val="00C22A1B"/>
    <w:rsid w:val="00C231DE"/>
    <w:rsid w:val="00C23501"/>
    <w:rsid w:val="00C265CF"/>
    <w:rsid w:val="00C26748"/>
    <w:rsid w:val="00C31953"/>
    <w:rsid w:val="00C32A00"/>
    <w:rsid w:val="00C32E37"/>
    <w:rsid w:val="00C332B3"/>
    <w:rsid w:val="00C36E16"/>
    <w:rsid w:val="00C37405"/>
    <w:rsid w:val="00C374EF"/>
    <w:rsid w:val="00C378CD"/>
    <w:rsid w:val="00C40289"/>
    <w:rsid w:val="00C427C0"/>
    <w:rsid w:val="00C4524B"/>
    <w:rsid w:val="00C455D9"/>
    <w:rsid w:val="00C45BA5"/>
    <w:rsid w:val="00C47028"/>
    <w:rsid w:val="00C47DE5"/>
    <w:rsid w:val="00C501C2"/>
    <w:rsid w:val="00C507B1"/>
    <w:rsid w:val="00C51CE0"/>
    <w:rsid w:val="00C52542"/>
    <w:rsid w:val="00C5259B"/>
    <w:rsid w:val="00C52891"/>
    <w:rsid w:val="00C54185"/>
    <w:rsid w:val="00C54293"/>
    <w:rsid w:val="00C54384"/>
    <w:rsid w:val="00C55D34"/>
    <w:rsid w:val="00C5650F"/>
    <w:rsid w:val="00C568F5"/>
    <w:rsid w:val="00C5771F"/>
    <w:rsid w:val="00C578A6"/>
    <w:rsid w:val="00C57F5F"/>
    <w:rsid w:val="00C603A8"/>
    <w:rsid w:val="00C617FE"/>
    <w:rsid w:val="00C62685"/>
    <w:rsid w:val="00C62EBA"/>
    <w:rsid w:val="00C63077"/>
    <w:rsid w:val="00C64F0C"/>
    <w:rsid w:val="00C65A2C"/>
    <w:rsid w:val="00C676BA"/>
    <w:rsid w:val="00C700AE"/>
    <w:rsid w:val="00C702BE"/>
    <w:rsid w:val="00C70383"/>
    <w:rsid w:val="00C72061"/>
    <w:rsid w:val="00C72D1E"/>
    <w:rsid w:val="00C7300D"/>
    <w:rsid w:val="00C730D2"/>
    <w:rsid w:val="00C73201"/>
    <w:rsid w:val="00C737A9"/>
    <w:rsid w:val="00C738B1"/>
    <w:rsid w:val="00C747D3"/>
    <w:rsid w:val="00C76142"/>
    <w:rsid w:val="00C769A3"/>
    <w:rsid w:val="00C76EDC"/>
    <w:rsid w:val="00C770F4"/>
    <w:rsid w:val="00C77B25"/>
    <w:rsid w:val="00C80DD4"/>
    <w:rsid w:val="00C810C1"/>
    <w:rsid w:val="00C8137A"/>
    <w:rsid w:val="00C82AAD"/>
    <w:rsid w:val="00C82F12"/>
    <w:rsid w:val="00C85621"/>
    <w:rsid w:val="00C85CDE"/>
    <w:rsid w:val="00C86BDA"/>
    <w:rsid w:val="00C86F26"/>
    <w:rsid w:val="00C87E02"/>
    <w:rsid w:val="00C901FA"/>
    <w:rsid w:val="00C90693"/>
    <w:rsid w:val="00C909FF"/>
    <w:rsid w:val="00C90CEE"/>
    <w:rsid w:val="00C92175"/>
    <w:rsid w:val="00C92D0B"/>
    <w:rsid w:val="00C931F7"/>
    <w:rsid w:val="00C94BD7"/>
    <w:rsid w:val="00C95689"/>
    <w:rsid w:val="00C95BFF"/>
    <w:rsid w:val="00C9622F"/>
    <w:rsid w:val="00C971B2"/>
    <w:rsid w:val="00C97AC2"/>
    <w:rsid w:val="00CA02F7"/>
    <w:rsid w:val="00CA0ADF"/>
    <w:rsid w:val="00CA0E34"/>
    <w:rsid w:val="00CA187F"/>
    <w:rsid w:val="00CA1F5C"/>
    <w:rsid w:val="00CA21D1"/>
    <w:rsid w:val="00CA2735"/>
    <w:rsid w:val="00CA31FC"/>
    <w:rsid w:val="00CA3D3B"/>
    <w:rsid w:val="00CA4C4E"/>
    <w:rsid w:val="00CA5ADC"/>
    <w:rsid w:val="00CA61D1"/>
    <w:rsid w:val="00CA638A"/>
    <w:rsid w:val="00CA67C2"/>
    <w:rsid w:val="00CA6CAC"/>
    <w:rsid w:val="00CB2457"/>
    <w:rsid w:val="00CB2A41"/>
    <w:rsid w:val="00CB34BB"/>
    <w:rsid w:val="00CB43C6"/>
    <w:rsid w:val="00CB48E1"/>
    <w:rsid w:val="00CB553B"/>
    <w:rsid w:val="00CB5F52"/>
    <w:rsid w:val="00CB6371"/>
    <w:rsid w:val="00CB6904"/>
    <w:rsid w:val="00CB7C7E"/>
    <w:rsid w:val="00CC2D0D"/>
    <w:rsid w:val="00CC2F6E"/>
    <w:rsid w:val="00CC31F7"/>
    <w:rsid w:val="00CC4457"/>
    <w:rsid w:val="00CC48DD"/>
    <w:rsid w:val="00CC53FA"/>
    <w:rsid w:val="00CC596A"/>
    <w:rsid w:val="00CC5995"/>
    <w:rsid w:val="00CC714C"/>
    <w:rsid w:val="00CD0348"/>
    <w:rsid w:val="00CD0E71"/>
    <w:rsid w:val="00CD167E"/>
    <w:rsid w:val="00CD1C25"/>
    <w:rsid w:val="00CD28C5"/>
    <w:rsid w:val="00CD32BF"/>
    <w:rsid w:val="00CD34CA"/>
    <w:rsid w:val="00CD3A05"/>
    <w:rsid w:val="00CD5059"/>
    <w:rsid w:val="00CD755B"/>
    <w:rsid w:val="00CE0412"/>
    <w:rsid w:val="00CE0ED9"/>
    <w:rsid w:val="00CE1768"/>
    <w:rsid w:val="00CE2B99"/>
    <w:rsid w:val="00CE3A1A"/>
    <w:rsid w:val="00CE47FB"/>
    <w:rsid w:val="00CE50BB"/>
    <w:rsid w:val="00CE50EA"/>
    <w:rsid w:val="00CE670C"/>
    <w:rsid w:val="00CE6ABD"/>
    <w:rsid w:val="00CE6ADD"/>
    <w:rsid w:val="00CE6EA8"/>
    <w:rsid w:val="00CF07AA"/>
    <w:rsid w:val="00CF1849"/>
    <w:rsid w:val="00CF1B53"/>
    <w:rsid w:val="00CF2DE0"/>
    <w:rsid w:val="00CF31E0"/>
    <w:rsid w:val="00CF3203"/>
    <w:rsid w:val="00CF3993"/>
    <w:rsid w:val="00CF3B0F"/>
    <w:rsid w:val="00CF582A"/>
    <w:rsid w:val="00CF6362"/>
    <w:rsid w:val="00CF6AB3"/>
    <w:rsid w:val="00CF77FF"/>
    <w:rsid w:val="00CF7C5A"/>
    <w:rsid w:val="00D00041"/>
    <w:rsid w:val="00D01077"/>
    <w:rsid w:val="00D0193D"/>
    <w:rsid w:val="00D0270E"/>
    <w:rsid w:val="00D0316A"/>
    <w:rsid w:val="00D05B1D"/>
    <w:rsid w:val="00D0602A"/>
    <w:rsid w:val="00D06EC1"/>
    <w:rsid w:val="00D073E5"/>
    <w:rsid w:val="00D07B44"/>
    <w:rsid w:val="00D10947"/>
    <w:rsid w:val="00D11D30"/>
    <w:rsid w:val="00D12517"/>
    <w:rsid w:val="00D12A5E"/>
    <w:rsid w:val="00D12C74"/>
    <w:rsid w:val="00D12E75"/>
    <w:rsid w:val="00D141C8"/>
    <w:rsid w:val="00D16D58"/>
    <w:rsid w:val="00D16E4E"/>
    <w:rsid w:val="00D17388"/>
    <w:rsid w:val="00D23EEC"/>
    <w:rsid w:val="00D24023"/>
    <w:rsid w:val="00D2523E"/>
    <w:rsid w:val="00D25EDB"/>
    <w:rsid w:val="00D30580"/>
    <w:rsid w:val="00D30640"/>
    <w:rsid w:val="00D306E1"/>
    <w:rsid w:val="00D30B2F"/>
    <w:rsid w:val="00D31059"/>
    <w:rsid w:val="00D32836"/>
    <w:rsid w:val="00D32B5E"/>
    <w:rsid w:val="00D3324D"/>
    <w:rsid w:val="00D335B7"/>
    <w:rsid w:val="00D3420D"/>
    <w:rsid w:val="00D3478D"/>
    <w:rsid w:val="00D34CBA"/>
    <w:rsid w:val="00D35726"/>
    <w:rsid w:val="00D36AC9"/>
    <w:rsid w:val="00D373FE"/>
    <w:rsid w:val="00D40C93"/>
    <w:rsid w:val="00D40C94"/>
    <w:rsid w:val="00D44245"/>
    <w:rsid w:val="00D44314"/>
    <w:rsid w:val="00D445B0"/>
    <w:rsid w:val="00D44730"/>
    <w:rsid w:val="00D449FD"/>
    <w:rsid w:val="00D4569D"/>
    <w:rsid w:val="00D45C31"/>
    <w:rsid w:val="00D46128"/>
    <w:rsid w:val="00D476D1"/>
    <w:rsid w:val="00D47E7C"/>
    <w:rsid w:val="00D50727"/>
    <w:rsid w:val="00D52458"/>
    <w:rsid w:val="00D53663"/>
    <w:rsid w:val="00D54F69"/>
    <w:rsid w:val="00D551B7"/>
    <w:rsid w:val="00D557EC"/>
    <w:rsid w:val="00D56CC2"/>
    <w:rsid w:val="00D6170C"/>
    <w:rsid w:val="00D61F7A"/>
    <w:rsid w:val="00D6286C"/>
    <w:rsid w:val="00D62B88"/>
    <w:rsid w:val="00D62E1E"/>
    <w:rsid w:val="00D63568"/>
    <w:rsid w:val="00D64561"/>
    <w:rsid w:val="00D65612"/>
    <w:rsid w:val="00D65BB8"/>
    <w:rsid w:val="00D65D02"/>
    <w:rsid w:val="00D70EF9"/>
    <w:rsid w:val="00D71471"/>
    <w:rsid w:val="00D71730"/>
    <w:rsid w:val="00D7203D"/>
    <w:rsid w:val="00D7324F"/>
    <w:rsid w:val="00D74279"/>
    <w:rsid w:val="00D7428F"/>
    <w:rsid w:val="00D74530"/>
    <w:rsid w:val="00D74542"/>
    <w:rsid w:val="00D76B3F"/>
    <w:rsid w:val="00D77105"/>
    <w:rsid w:val="00D773C5"/>
    <w:rsid w:val="00D77F81"/>
    <w:rsid w:val="00D81AAE"/>
    <w:rsid w:val="00D82AB0"/>
    <w:rsid w:val="00D838BE"/>
    <w:rsid w:val="00D84FC6"/>
    <w:rsid w:val="00D86F38"/>
    <w:rsid w:val="00D87D7E"/>
    <w:rsid w:val="00D9142A"/>
    <w:rsid w:val="00D924D2"/>
    <w:rsid w:val="00D94585"/>
    <w:rsid w:val="00D946B3"/>
    <w:rsid w:val="00D94D8E"/>
    <w:rsid w:val="00D94F7B"/>
    <w:rsid w:val="00D96F01"/>
    <w:rsid w:val="00D97A66"/>
    <w:rsid w:val="00DA0101"/>
    <w:rsid w:val="00DA1D9D"/>
    <w:rsid w:val="00DA1EA6"/>
    <w:rsid w:val="00DA2229"/>
    <w:rsid w:val="00DA222F"/>
    <w:rsid w:val="00DA22F3"/>
    <w:rsid w:val="00DA2702"/>
    <w:rsid w:val="00DA273F"/>
    <w:rsid w:val="00DA34D0"/>
    <w:rsid w:val="00DA3E7D"/>
    <w:rsid w:val="00DA3FC1"/>
    <w:rsid w:val="00DA430A"/>
    <w:rsid w:val="00DA44C6"/>
    <w:rsid w:val="00DA45CD"/>
    <w:rsid w:val="00DA4C64"/>
    <w:rsid w:val="00DA5E1F"/>
    <w:rsid w:val="00DA69AD"/>
    <w:rsid w:val="00DA6BEC"/>
    <w:rsid w:val="00DA704B"/>
    <w:rsid w:val="00DB0013"/>
    <w:rsid w:val="00DB00EA"/>
    <w:rsid w:val="00DB0990"/>
    <w:rsid w:val="00DB1388"/>
    <w:rsid w:val="00DB2210"/>
    <w:rsid w:val="00DB29EB"/>
    <w:rsid w:val="00DB469A"/>
    <w:rsid w:val="00DB4ACD"/>
    <w:rsid w:val="00DB68F5"/>
    <w:rsid w:val="00DB6FA6"/>
    <w:rsid w:val="00DB6FDB"/>
    <w:rsid w:val="00DB709C"/>
    <w:rsid w:val="00DB766A"/>
    <w:rsid w:val="00DB79F6"/>
    <w:rsid w:val="00DC0D62"/>
    <w:rsid w:val="00DC1835"/>
    <w:rsid w:val="00DC1E7C"/>
    <w:rsid w:val="00DC2A0E"/>
    <w:rsid w:val="00DC3628"/>
    <w:rsid w:val="00DC42D7"/>
    <w:rsid w:val="00DC4FC6"/>
    <w:rsid w:val="00DC65AB"/>
    <w:rsid w:val="00DC699C"/>
    <w:rsid w:val="00DC6E4B"/>
    <w:rsid w:val="00DD0DC2"/>
    <w:rsid w:val="00DD182C"/>
    <w:rsid w:val="00DD1ADC"/>
    <w:rsid w:val="00DD307E"/>
    <w:rsid w:val="00DD4437"/>
    <w:rsid w:val="00DD47E4"/>
    <w:rsid w:val="00DD48EA"/>
    <w:rsid w:val="00DD6874"/>
    <w:rsid w:val="00DE016D"/>
    <w:rsid w:val="00DE2742"/>
    <w:rsid w:val="00DE7711"/>
    <w:rsid w:val="00DE7BDA"/>
    <w:rsid w:val="00DF002B"/>
    <w:rsid w:val="00DF0824"/>
    <w:rsid w:val="00DF09D4"/>
    <w:rsid w:val="00DF1804"/>
    <w:rsid w:val="00DF18DB"/>
    <w:rsid w:val="00DF22FA"/>
    <w:rsid w:val="00DF33FC"/>
    <w:rsid w:val="00DF378C"/>
    <w:rsid w:val="00DF44B9"/>
    <w:rsid w:val="00DF5E2D"/>
    <w:rsid w:val="00DF7ED3"/>
    <w:rsid w:val="00E002BB"/>
    <w:rsid w:val="00E00C1E"/>
    <w:rsid w:val="00E010C7"/>
    <w:rsid w:val="00E01C55"/>
    <w:rsid w:val="00E01E05"/>
    <w:rsid w:val="00E0277F"/>
    <w:rsid w:val="00E02F8C"/>
    <w:rsid w:val="00E0336D"/>
    <w:rsid w:val="00E05ADA"/>
    <w:rsid w:val="00E0624E"/>
    <w:rsid w:val="00E070E7"/>
    <w:rsid w:val="00E0762F"/>
    <w:rsid w:val="00E07796"/>
    <w:rsid w:val="00E07CCF"/>
    <w:rsid w:val="00E10020"/>
    <w:rsid w:val="00E1031B"/>
    <w:rsid w:val="00E10395"/>
    <w:rsid w:val="00E108ED"/>
    <w:rsid w:val="00E10B83"/>
    <w:rsid w:val="00E11D1A"/>
    <w:rsid w:val="00E12BD7"/>
    <w:rsid w:val="00E13029"/>
    <w:rsid w:val="00E1400F"/>
    <w:rsid w:val="00E14A7F"/>
    <w:rsid w:val="00E14D33"/>
    <w:rsid w:val="00E1608E"/>
    <w:rsid w:val="00E16395"/>
    <w:rsid w:val="00E16C39"/>
    <w:rsid w:val="00E17513"/>
    <w:rsid w:val="00E17DE3"/>
    <w:rsid w:val="00E20460"/>
    <w:rsid w:val="00E2098A"/>
    <w:rsid w:val="00E21307"/>
    <w:rsid w:val="00E21E0A"/>
    <w:rsid w:val="00E226B1"/>
    <w:rsid w:val="00E22C0D"/>
    <w:rsid w:val="00E233BE"/>
    <w:rsid w:val="00E23D8C"/>
    <w:rsid w:val="00E24D76"/>
    <w:rsid w:val="00E2565F"/>
    <w:rsid w:val="00E25ADD"/>
    <w:rsid w:val="00E305B9"/>
    <w:rsid w:val="00E31120"/>
    <w:rsid w:val="00E314B9"/>
    <w:rsid w:val="00E318F5"/>
    <w:rsid w:val="00E3389C"/>
    <w:rsid w:val="00E348D2"/>
    <w:rsid w:val="00E34C71"/>
    <w:rsid w:val="00E37C56"/>
    <w:rsid w:val="00E37CB1"/>
    <w:rsid w:val="00E43850"/>
    <w:rsid w:val="00E44A3C"/>
    <w:rsid w:val="00E44DCD"/>
    <w:rsid w:val="00E474F1"/>
    <w:rsid w:val="00E509D3"/>
    <w:rsid w:val="00E517DE"/>
    <w:rsid w:val="00E520C2"/>
    <w:rsid w:val="00E5231F"/>
    <w:rsid w:val="00E52933"/>
    <w:rsid w:val="00E52BB8"/>
    <w:rsid w:val="00E52D2D"/>
    <w:rsid w:val="00E545FD"/>
    <w:rsid w:val="00E5521B"/>
    <w:rsid w:val="00E5590C"/>
    <w:rsid w:val="00E56CC4"/>
    <w:rsid w:val="00E57CC7"/>
    <w:rsid w:val="00E60B45"/>
    <w:rsid w:val="00E617F2"/>
    <w:rsid w:val="00E61E7F"/>
    <w:rsid w:val="00E629D5"/>
    <w:rsid w:val="00E629E6"/>
    <w:rsid w:val="00E647BD"/>
    <w:rsid w:val="00E64B64"/>
    <w:rsid w:val="00E64B6C"/>
    <w:rsid w:val="00E64D82"/>
    <w:rsid w:val="00E64F4F"/>
    <w:rsid w:val="00E65087"/>
    <w:rsid w:val="00E70311"/>
    <w:rsid w:val="00E716F1"/>
    <w:rsid w:val="00E72E23"/>
    <w:rsid w:val="00E73298"/>
    <w:rsid w:val="00E7541F"/>
    <w:rsid w:val="00E754FD"/>
    <w:rsid w:val="00E758E7"/>
    <w:rsid w:val="00E7614E"/>
    <w:rsid w:val="00E771D9"/>
    <w:rsid w:val="00E777CD"/>
    <w:rsid w:val="00E77B61"/>
    <w:rsid w:val="00E80C88"/>
    <w:rsid w:val="00E812EF"/>
    <w:rsid w:val="00E838CC"/>
    <w:rsid w:val="00E83BBF"/>
    <w:rsid w:val="00E83E40"/>
    <w:rsid w:val="00E84B0D"/>
    <w:rsid w:val="00E85225"/>
    <w:rsid w:val="00E87209"/>
    <w:rsid w:val="00E87B16"/>
    <w:rsid w:val="00E90269"/>
    <w:rsid w:val="00E903C7"/>
    <w:rsid w:val="00E90789"/>
    <w:rsid w:val="00E91CA5"/>
    <w:rsid w:val="00E93020"/>
    <w:rsid w:val="00E932DE"/>
    <w:rsid w:val="00E93BCC"/>
    <w:rsid w:val="00E93C31"/>
    <w:rsid w:val="00E95039"/>
    <w:rsid w:val="00E95706"/>
    <w:rsid w:val="00E96074"/>
    <w:rsid w:val="00E97710"/>
    <w:rsid w:val="00E97AC7"/>
    <w:rsid w:val="00E97FF2"/>
    <w:rsid w:val="00EA072B"/>
    <w:rsid w:val="00EA0B5C"/>
    <w:rsid w:val="00EA159E"/>
    <w:rsid w:val="00EA177E"/>
    <w:rsid w:val="00EA1EE8"/>
    <w:rsid w:val="00EA3D0B"/>
    <w:rsid w:val="00EA5B6D"/>
    <w:rsid w:val="00EA6491"/>
    <w:rsid w:val="00EA6E6B"/>
    <w:rsid w:val="00EA7FFD"/>
    <w:rsid w:val="00EB14C2"/>
    <w:rsid w:val="00EB2ECB"/>
    <w:rsid w:val="00EB3166"/>
    <w:rsid w:val="00EB37C4"/>
    <w:rsid w:val="00EB3E14"/>
    <w:rsid w:val="00EB4BAD"/>
    <w:rsid w:val="00EB4E04"/>
    <w:rsid w:val="00EB50E5"/>
    <w:rsid w:val="00EB6175"/>
    <w:rsid w:val="00EB7292"/>
    <w:rsid w:val="00EC0BEB"/>
    <w:rsid w:val="00EC2CB6"/>
    <w:rsid w:val="00EC3225"/>
    <w:rsid w:val="00EC4CB8"/>
    <w:rsid w:val="00EC54B6"/>
    <w:rsid w:val="00EC55BA"/>
    <w:rsid w:val="00EC5846"/>
    <w:rsid w:val="00EC66E2"/>
    <w:rsid w:val="00EC6A15"/>
    <w:rsid w:val="00EC722F"/>
    <w:rsid w:val="00EC7246"/>
    <w:rsid w:val="00EC7E12"/>
    <w:rsid w:val="00EC7EBF"/>
    <w:rsid w:val="00ED023B"/>
    <w:rsid w:val="00ED0803"/>
    <w:rsid w:val="00ED1840"/>
    <w:rsid w:val="00ED354E"/>
    <w:rsid w:val="00ED363C"/>
    <w:rsid w:val="00ED36F8"/>
    <w:rsid w:val="00ED36FE"/>
    <w:rsid w:val="00ED3DA5"/>
    <w:rsid w:val="00ED452B"/>
    <w:rsid w:val="00ED4A9A"/>
    <w:rsid w:val="00ED6E5F"/>
    <w:rsid w:val="00ED6FAC"/>
    <w:rsid w:val="00ED72C6"/>
    <w:rsid w:val="00EE0752"/>
    <w:rsid w:val="00EE138D"/>
    <w:rsid w:val="00EE1B5E"/>
    <w:rsid w:val="00EE2B86"/>
    <w:rsid w:val="00EE2FFB"/>
    <w:rsid w:val="00EE3134"/>
    <w:rsid w:val="00EE36E8"/>
    <w:rsid w:val="00EE3F36"/>
    <w:rsid w:val="00EE495C"/>
    <w:rsid w:val="00EE5086"/>
    <w:rsid w:val="00EE5B20"/>
    <w:rsid w:val="00EE6179"/>
    <w:rsid w:val="00EE65B1"/>
    <w:rsid w:val="00EE670E"/>
    <w:rsid w:val="00EE7A6B"/>
    <w:rsid w:val="00EE7DD3"/>
    <w:rsid w:val="00EE7EF2"/>
    <w:rsid w:val="00EF09F7"/>
    <w:rsid w:val="00EF0E42"/>
    <w:rsid w:val="00EF487D"/>
    <w:rsid w:val="00EF4BDA"/>
    <w:rsid w:val="00EF65DD"/>
    <w:rsid w:val="00EF67F3"/>
    <w:rsid w:val="00EF6F66"/>
    <w:rsid w:val="00F00455"/>
    <w:rsid w:val="00F0046F"/>
    <w:rsid w:val="00F00AAF"/>
    <w:rsid w:val="00F01C6F"/>
    <w:rsid w:val="00F01D57"/>
    <w:rsid w:val="00F02028"/>
    <w:rsid w:val="00F02AE8"/>
    <w:rsid w:val="00F035FB"/>
    <w:rsid w:val="00F03702"/>
    <w:rsid w:val="00F03BCF"/>
    <w:rsid w:val="00F03C9C"/>
    <w:rsid w:val="00F0401B"/>
    <w:rsid w:val="00F049BF"/>
    <w:rsid w:val="00F05850"/>
    <w:rsid w:val="00F05EF0"/>
    <w:rsid w:val="00F0603B"/>
    <w:rsid w:val="00F106E7"/>
    <w:rsid w:val="00F10BDB"/>
    <w:rsid w:val="00F1187F"/>
    <w:rsid w:val="00F12EB6"/>
    <w:rsid w:val="00F134AD"/>
    <w:rsid w:val="00F14DB5"/>
    <w:rsid w:val="00F153A5"/>
    <w:rsid w:val="00F16003"/>
    <w:rsid w:val="00F16E92"/>
    <w:rsid w:val="00F17792"/>
    <w:rsid w:val="00F210C9"/>
    <w:rsid w:val="00F22C21"/>
    <w:rsid w:val="00F231E2"/>
    <w:rsid w:val="00F233CD"/>
    <w:rsid w:val="00F2472B"/>
    <w:rsid w:val="00F24A35"/>
    <w:rsid w:val="00F2504B"/>
    <w:rsid w:val="00F2556B"/>
    <w:rsid w:val="00F25B85"/>
    <w:rsid w:val="00F2683C"/>
    <w:rsid w:val="00F27F59"/>
    <w:rsid w:val="00F30C5B"/>
    <w:rsid w:val="00F323FC"/>
    <w:rsid w:val="00F3269B"/>
    <w:rsid w:val="00F339FD"/>
    <w:rsid w:val="00F33A2B"/>
    <w:rsid w:val="00F3421A"/>
    <w:rsid w:val="00F35874"/>
    <w:rsid w:val="00F36534"/>
    <w:rsid w:val="00F373D8"/>
    <w:rsid w:val="00F40B6D"/>
    <w:rsid w:val="00F40B77"/>
    <w:rsid w:val="00F40D6C"/>
    <w:rsid w:val="00F43E9F"/>
    <w:rsid w:val="00F44105"/>
    <w:rsid w:val="00F442F9"/>
    <w:rsid w:val="00F44425"/>
    <w:rsid w:val="00F44566"/>
    <w:rsid w:val="00F44DB2"/>
    <w:rsid w:val="00F46DF0"/>
    <w:rsid w:val="00F4746E"/>
    <w:rsid w:val="00F506E9"/>
    <w:rsid w:val="00F50E67"/>
    <w:rsid w:val="00F51089"/>
    <w:rsid w:val="00F521AF"/>
    <w:rsid w:val="00F52DE1"/>
    <w:rsid w:val="00F52FBA"/>
    <w:rsid w:val="00F5350B"/>
    <w:rsid w:val="00F5378F"/>
    <w:rsid w:val="00F53FA7"/>
    <w:rsid w:val="00F55269"/>
    <w:rsid w:val="00F57424"/>
    <w:rsid w:val="00F60C91"/>
    <w:rsid w:val="00F60D26"/>
    <w:rsid w:val="00F61455"/>
    <w:rsid w:val="00F627DC"/>
    <w:rsid w:val="00F647AE"/>
    <w:rsid w:val="00F64C2C"/>
    <w:rsid w:val="00F66163"/>
    <w:rsid w:val="00F6645B"/>
    <w:rsid w:val="00F66E00"/>
    <w:rsid w:val="00F6743B"/>
    <w:rsid w:val="00F67814"/>
    <w:rsid w:val="00F7040A"/>
    <w:rsid w:val="00F72262"/>
    <w:rsid w:val="00F72404"/>
    <w:rsid w:val="00F734FF"/>
    <w:rsid w:val="00F738C2"/>
    <w:rsid w:val="00F744A2"/>
    <w:rsid w:val="00F74C38"/>
    <w:rsid w:val="00F74CDE"/>
    <w:rsid w:val="00F7542D"/>
    <w:rsid w:val="00F75B1B"/>
    <w:rsid w:val="00F7709A"/>
    <w:rsid w:val="00F80A19"/>
    <w:rsid w:val="00F8112F"/>
    <w:rsid w:val="00F81150"/>
    <w:rsid w:val="00F81D9E"/>
    <w:rsid w:val="00F81DC7"/>
    <w:rsid w:val="00F83240"/>
    <w:rsid w:val="00F86BCF"/>
    <w:rsid w:val="00F8740D"/>
    <w:rsid w:val="00F87472"/>
    <w:rsid w:val="00F90A89"/>
    <w:rsid w:val="00F90BDA"/>
    <w:rsid w:val="00F93D44"/>
    <w:rsid w:val="00F94099"/>
    <w:rsid w:val="00F945B1"/>
    <w:rsid w:val="00F94B4E"/>
    <w:rsid w:val="00F95838"/>
    <w:rsid w:val="00F97841"/>
    <w:rsid w:val="00F978A0"/>
    <w:rsid w:val="00FA02F5"/>
    <w:rsid w:val="00FA0B74"/>
    <w:rsid w:val="00FA0CD7"/>
    <w:rsid w:val="00FA0D32"/>
    <w:rsid w:val="00FA196E"/>
    <w:rsid w:val="00FA4311"/>
    <w:rsid w:val="00FA43BB"/>
    <w:rsid w:val="00FA47CD"/>
    <w:rsid w:val="00FA482A"/>
    <w:rsid w:val="00FA4D2F"/>
    <w:rsid w:val="00FA4E4E"/>
    <w:rsid w:val="00FA51CC"/>
    <w:rsid w:val="00FA5287"/>
    <w:rsid w:val="00FA5580"/>
    <w:rsid w:val="00FA5614"/>
    <w:rsid w:val="00FA5914"/>
    <w:rsid w:val="00FA5E89"/>
    <w:rsid w:val="00FA5F94"/>
    <w:rsid w:val="00FB004C"/>
    <w:rsid w:val="00FB08B5"/>
    <w:rsid w:val="00FB15DF"/>
    <w:rsid w:val="00FB1F81"/>
    <w:rsid w:val="00FB2428"/>
    <w:rsid w:val="00FB3BAA"/>
    <w:rsid w:val="00FB44A3"/>
    <w:rsid w:val="00FB67BD"/>
    <w:rsid w:val="00FB6EAB"/>
    <w:rsid w:val="00FB7059"/>
    <w:rsid w:val="00FB78C1"/>
    <w:rsid w:val="00FB79FF"/>
    <w:rsid w:val="00FC19EB"/>
    <w:rsid w:val="00FC2218"/>
    <w:rsid w:val="00FC2CAD"/>
    <w:rsid w:val="00FC3202"/>
    <w:rsid w:val="00FC4E35"/>
    <w:rsid w:val="00FC5002"/>
    <w:rsid w:val="00FC52C2"/>
    <w:rsid w:val="00FC5DF1"/>
    <w:rsid w:val="00FC5EA7"/>
    <w:rsid w:val="00FC66A2"/>
    <w:rsid w:val="00FC73C0"/>
    <w:rsid w:val="00FC7597"/>
    <w:rsid w:val="00FC79E4"/>
    <w:rsid w:val="00FC7BFB"/>
    <w:rsid w:val="00FD0D78"/>
    <w:rsid w:val="00FD2074"/>
    <w:rsid w:val="00FD3A42"/>
    <w:rsid w:val="00FD493F"/>
    <w:rsid w:val="00FD4BF9"/>
    <w:rsid w:val="00FD5533"/>
    <w:rsid w:val="00FD596F"/>
    <w:rsid w:val="00FD686B"/>
    <w:rsid w:val="00FD6C39"/>
    <w:rsid w:val="00FD6CCA"/>
    <w:rsid w:val="00FD764C"/>
    <w:rsid w:val="00FD7870"/>
    <w:rsid w:val="00FD7D3F"/>
    <w:rsid w:val="00FD7E98"/>
    <w:rsid w:val="00FD7F3A"/>
    <w:rsid w:val="00FE2F79"/>
    <w:rsid w:val="00FE3128"/>
    <w:rsid w:val="00FE5241"/>
    <w:rsid w:val="00FE5B75"/>
    <w:rsid w:val="00FE64B1"/>
    <w:rsid w:val="00FE6D1C"/>
    <w:rsid w:val="00FF08C0"/>
    <w:rsid w:val="00FF095C"/>
    <w:rsid w:val="00FF112F"/>
    <w:rsid w:val="00FF1384"/>
    <w:rsid w:val="00FF193E"/>
    <w:rsid w:val="00FF2038"/>
    <w:rsid w:val="00FF2BE3"/>
    <w:rsid w:val="00FF3261"/>
    <w:rsid w:val="00FF344B"/>
    <w:rsid w:val="00FF3458"/>
    <w:rsid w:val="00FF3870"/>
    <w:rsid w:val="00FF3F88"/>
    <w:rsid w:val="00FF4C1B"/>
    <w:rsid w:val="00FF4DC7"/>
    <w:rsid w:val="00FF50E9"/>
    <w:rsid w:val="00FF5758"/>
    <w:rsid w:val="00FF6FAE"/>
    <w:rsid w:val="00FF706C"/>
    <w:rsid w:val="00FF76E5"/>
    <w:rsid w:val="00FF7C8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3EB5A0"/>
  <w15:docId w15:val="{60FC4AE2-3810-4E91-BFF9-F35DE0691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E7BDA"/>
    <w:rPr>
      <w:rFonts w:ascii="Times New Roman" w:hAnsi="Times New Roman" w:cs="Times New Roman"/>
      <w:lang w:eastAsia="en-GB"/>
    </w:rPr>
  </w:style>
  <w:style w:type="paragraph" w:styleId="Heading1">
    <w:name w:val="heading 1"/>
    <w:basedOn w:val="Normal"/>
    <w:next w:val="Normal"/>
    <w:link w:val="Heading1Char"/>
    <w:autoRedefine/>
    <w:uiPriority w:val="9"/>
    <w:qFormat/>
    <w:rsid w:val="00B77F59"/>
    <w:pPr>
      <w:keepNext/>
      <w:keepLines/>
      <w:numPr>
        <w:numId w:val="2"/>
      </w:numPr>
      <w:spacing w:line="360" w:lineRule="auto"/>
      <w:ind w:left="432" w:hanging="432"/>
      <w:jc w:val="center"/>
      <w:outlineLvl w:val="0"/>
    </w:pPr>
    <w:rPr>
      <w:rFonts w:eastAsiaTheme="majorEastAsia" w:cstheme="majorBidi"/>
      <w:b/>
      <w:color w:val="000000" w:themeColor="text1"/>
      <w:sz w:val="32"/>
      <w:szCs w:val="32"/>
      <w:lang w:eastAsia="zh-CN"/>
    </w:rPr>
  </w:style>
  <w:style w:type="paragraph" w:styleId="Heading2">
    <w:name w:val="heading 2"/>
    <w:basedOn w:val="Normal"/>
    <w:next w:val="Normal"/>
    <w:link w:val="Heading2Char"/>
    <w:autoRedefine/>
    <w:uiPriority w:val="9"/>
    <w:unhideWhenUsed/>
    <w:qFormat/>
    <w:rsid w:val="00662DA2"/>
    <w:pPr>
      <w:keepNext/>
      <w:keepLines/>
      <w:spacing w:line="360" w:lineRule="auto"/>
      <w:outlineLvl w:val="1"/>
    </w:pPr>
    <w:rPr>
      <w:rFonts w:eastAsiaTheme="majorEastAsia" w:cstheme="majorBidi"/>
      <w:b/>
      <w:color w:val="000000" w:themeColor="text1"/>
      <w:sz w:val="32"/>
      <w:szCs w:val="26"/>
      <w:lang w:val="en-US" w:eastAsia="zh-CN"/>
    </w:rPr>
  </w:style>
  <w:style w:type="paragraph" w:styleId="Heading3">
    <w:name w:val="heading 3"/>
    <w:basedOn w:val="Normal"/>
    <w:next w:val="Normal"/>
    <w:link w:val="Heading3Char"/>
    <w:autoRedefine/>
    <w:uiPriority w:val="9"/>
    <w:unhideWhenUsed/>
    <w:qFormat/>
    <w:rsid w:val="00B77F59"/>
    <w:pPr>
      <w:keepNext/>
      <w:keepLines/>
      <w:spacing w:line="360" w:lineRule="auto"/>
      <w:outlineLvl w:val="2"/>
    </w:pPr>
    <w:rPr>
      <w:rFonts w:eastAsiaTheme="majorEastAsia" w:cstheme="majorBidi"/>
      <w:b/>
      <w:color w:val="000000" w:themeColor="text1"/>
      <w:sz w:val="28"/>
      <w:lang w:eastAsia="zh-CN"/>
    </w:rPr>
  </w:style>
  <w:style w:type="paragraph" w:styleId="Heading4">
    <w:name w:val="heading 4"/>
    <w:basedOn w:val="Normal"/>
    <w:next w:val="Normal"/>
    <w:link w:val="Heading4Char"/>
    <w:autoRedefine/>
    <w:uiPriority w:val="9"/>
    <w:unhideWhenUsed/>
    <w:qFormat/>
    <w:rsid w:val="008C0785"/>
    <w:pPr>
      <w:keepNext/>
      <w:keepLines/>
      <w:outlineLvl w:val="3"/>
    </w:pPr>
    <w:rPr>
      <w:rFonts w:eastAsiaTheme="majorEastAsia" w:cstheme="majorBidi"/>
      <w:b/>
      <w:iCs/>
      <w:color w:val="2F5496" w:themeColor="accent1" w:themeShade="BF"/>
      <w:szCs w:val="22"/>
      <w:lang w:eastAsia="zh-CN"/>
    </w:rPr>
  </w:style>
  <w:style w:type="paragraph" w:styleId="Heading5">
    <w:name w:val="heading 5"/>
    <w:basedOn w:val="Normal"/>
    <w:next w:val="Normal"/>
    <w:link w:val="Heading5Char"/>
    <w:uiPriority w:val="9"/>
    <w:unhideWhenUsed/>
    <w:qFormat/>
    <w:rsid w:val="00160CC4"/>
    <w:pPr>
      <w:keepNext/>
      <w:keepLines/>
      <w:spacing w:before="200"/>
      <w:outlineLvl w:val="4"/>
    </w:pPr>
    <w:rPr>
      <w:rFonts w:ascii="Calibri Light" w:eastAsia="Times New Roman" w:hAnsi="Calibri Light"/>
      <w:color w:val="2F5496"/>
      <w:szCs w:val="22"/>
      <w:lang w:eastAsia="zh-CN"/>
    </w:rPr>
  </w:style>
  <w:style w:type="paragraph" w:styleId="Heading6">
    <w:name w:val="heading 6"/>
    <w:basedOn w:val="Normal"/>
    <w:next w:val="Normal"/>
    <w:link w:val="Heading6Char"/>
    <w:uiPriority w:val="9"/>
    <w:unhideWhenUsed/>
    <w:qFormat/>
    <w:rsid w:val="00160CC4"/>
    <w:pPr>
      <w:keepNext/>
      <w:keepLines/>
      <w:spacing w:before="200"/>
      <w:outlineLvl w:val="5"/>
    </w:pPr>
    <w:rPr>
      <w:rFonts w:ascii="Calibri Light" w:eastAsia="Times New Roman" w:hAnsi="Calibri Light"/>
      <w:color w:val="1F3763"/>
      <w:szCs w:val="22"/>
      <w:lang w:eastAsia="zh-CN"/>
    </w:rPr>
  </w:style>
  <w:style w:type="paragraph" w:styleId="Heading7">
    <w:name w:val="heading 7"/>
    <w:basedOn w:val="Normal"/>
    <w:next w:val="Normal"/>
    <w:link w:val="Heading7Char"/>
    <w:uiPriority w:val="9"/>
    <w:unhideWhenUsed/>
    <w:qFormat/>
    <w:rsid w:val="00160CC4"/>
    <w:pPr>
      <w:keepNext/>
      <w:keepLines/>
      <w:spacing w:before="200"/>
      <w:outlineLvl w:val="6"/>
    </w:pPr>
    <w:rPr>
      <w:rFonts w:ascii="Calibri Light" w:eastAsia="Times New Roman" w:hAnsi="Calibri Light"/>
      <w:i/>
      <w:iCs/>
      <w:color w:val="1F3763"/>
      <w:szCs w:val="22"/>
      <w:lang w:eastAsia="zh-CN"/>
    </w:rPr>
  </w:style>
  <w:style w:type="paragraph" w:styleId="Heading8">
    <w:name w:val="heading 8"/>
    <w:basedOn w:val="Normal"/>
    <w:next w:val="Normal"/>
    <w:link w:val="Heading8Char"/>
    <w:uiPriority w:val="9"/>
    <w:unhideWhenUsed/>
    <w:qFormat/>
    <w:rsid w:val="00160CC4"/>
    <w:pPr>
      <w:keepNext/>
      <w:keepLines/>
      <w:spacing w:before="200"/>
      <w:outlineLvl w:val="7"/>
    </w:pPr>
    <w:rPr>
      <w:rFonts w:ascii="Calibri Light" w:eastAsia="Times New Roman" w:hAnsi="Calibri Light"/>
      <w:color w:val="272727"/>
      <w:sz w:val="21"/>
      <w:szCs w:val="21"/>
      <w:lang w:eastAsia="zh-CN"/>
    </w:rPr>
  </w:style>
  <w:style w:type="paragraph" w:styleId="Heading9">
    <w:name w:val="heading 9"/>
    <w:basedOn w:val="Normal"/>
    <w:next w:val="Normal"/>
    <w:link w:val="Heading9Char"/>
    <w:uiPriority w:val="9"/>
    <w:unhideWhenUsed/>
    <w:qFormat/>
    <w:rsid w:val="00160CC4"/>
    <w:pPr>
      <w:keepNext/>
      <w:keepLines/>
      <w:spacing w:before="200"/>
      <w:outlineLvl w:val="8"/>
    </w:pPr>
    <w:rPr>
      <w:rFonts w:ascii="Calibri Light" w:eastAsia="Times New Roman" w:hAnsi="Calibri Light"/>
      <w:i/>
      <w:iCs/>
      <w:color w:val="272727"/>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8C0785"/>
  </w:style>
  <w:style w:type="character" w:customStyle="1" w:styleId="Heading1Char">
    <w:name w:val="Heading 1 Char"/>
    <w:basedOn w:val="DefaultParagraphFont"/>
    <w:link w:val="Heading1"/>
    <w:uiPriority w:val="9"/>
    <w:rsid w:val="00B77F59"/>
    <w:rPr>
      <w:rFonts w:ascii="Times New Roman" w:eastAsiaTheme="majorEastAsia" w:hAnsi="Times New Roman" w:cstheme="majorBidi"/>
      <w:b/>
      <w:color w:val="000000" w:themeColor="text1"/>
      <w:sz w:val="32"/>
      <w:szCs w:val="32"/>
      <w:lang w:eastAsia="zh-CN"/>
    </w:rPr>
  </w:style>
  <w:style w:type="character" w:customStyle="1" w:styleId="Heading2Char">
    <w:name w:val="Heading 2 Char"/>
    <w:basedOn w:val="DefaultParagraphFont"/>
    <w:link w:val="Heading2"/>
    <w:uiPriority w:val="9"/>
    <w:rsid w:val="00662DA2"/>
    <w:rPr>
      <w:rFonts w:ascii="Times New Roman" w:eastAsiaTheme="majorEastAsia" w:hAnsi="Times New Roman" w:cstheme="majorBidi"/>
      <w:b/>
      <w:color w:val="000000" w:themeColor="text1"/>
      <w:sz w:val="32"/>
      <w:szCs w:val="26"/>
      <w:lang w:val="en-US" w:eastAsia="zh-CN"/>
    </w:rPr>
  </w:style>
  <w:style w:type="character" w:customStyle="1" w:styleId="Heading3Char">
    <w:name w:val="Heading 3 Char"/>
    <w:basedOn w:val="DefaultParagraphFont"/>
    <w:link w:val="Heading3"/>
    <w:uiPriority w:val="9"/>
    <w:rsid w:val="00B77F59"/>
    <w:rPr>
      <w:rFonts w:ascii="Times New Roman" w:eastAsiaTheme="majorEastAsia" w:hAnsi="Times New Roman" w:cstheme="majorBidi"/>
      <w:b/>
      <w:color w:val="000000" w:themeColor="text1"/>
      <w:sz w:val="28"/>
      <w:lang w:eastAsia="zh-CN"/>
    </w:rPr>
  </w:style>
  <w:style w:type="character" w:customStyle="1" w:styleId="Heading4Char">
    <w:name w:val="Heading 4 Char"/>
    <w:basedOn w:val="DefaultParagraphFont"/>
    <w:link w:val="Heading4"/>
    <w:uiPriority w:val="9"/>
    <w:rsid w:val="008C0785"/>
    <w:rPr>
      <w:rFonts w:asciiTheme="majorBidi" w:eastAsiaTheme="majorEastAsia" w:hAnsiTheme="majorBidi" w:cstheme="majorBidi"/>
      <w:b/>
      <w:iCs/>
      <w:color w:val="2F5496" w:themeColor="accent1" w:themeShade="BF"/>
      <w:szCs w:val="22"/>
      <w:lang w:eastAsia="zh-CN"/>
    </w:rPr>
  </w:style>
  <w:style w:type="paragraph" w:styleId="ListParagraph">
    <w:name w:val="List Paragraph"/>
    <w:basedOn w:val="Normal"/>
    <w:uiPriority w:val="34"/>
    <w:qFormat/>
    <w:rsid w:val="00D86F38"/>
    <w:pPr>
      <w:ind w:left="720"/>
      <w:contextualSpacing/>
    </w:pPr>
    <w:rPr>
      <w:rFonts w:asciiTheme="minorHAnsi" w:eastAsiaTheme="minorEastAsia" w:hAnsiTheme="minorHAnsi" w:cstheme="minorBidi"/>
      <w:lang w:eastAsia="en-US"/>
    </w:rPr>
  </w:style>
  <w:style w:type="character" w:styleId="Hyperlink">
    <w:name w:val="Hyperlink"/>
    <w:basedOn w:val="DefaultParagraphFont"/>
    <w:uiPriority w:val="99"/>
    <w:unhideWhenUsed/>
    <w:rsid w:val="00D86F38"/>
    <w:rPr>
      <w:color w:val="0563C1" w:themeColor="hyperlink"/>
      <w:u w:val="single"/>
    </w:rPr>
  </w:style>
  <w:style w:type="table" w:styleId="LightList">
    <w:name w:val="Light List"/>
    <w:basedOn w:val="TableNormal"/>
    <w:uiPriority w:val="61"/>
    <w:rsid w:val="00D86F38"/>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Footer">
    <w:name w:val="footer"/>
    <w:basedOn w:val="Normal"/>
    <w:link w:val="FooterChar"/>
    <w:uiPriority w:val="99"/>
    <w:unhideWhenUsed/>
    <w:rsid w:val="00D86F38"/>
    <w:pPr>
      <w:tabs>
        <w:tab w:val="center" w:pos="4320"/>
        <w:tab w:val="right" w:pos="8640"/>
      </w:tabs>
    </w:pPr>
    <w:rPr>
      <w:rFonts w:asciiTheme="minorHAnsi" w:eastAsiaTheme="minorEastAsia" w:hAnsiTheme="minorHAnsi" w:cstheme="minorBidi"/>
      <w:lang w:eastAsia="en-US"/>
    </w:rPr>
  </w:style>
  <w:style w:type="character" w:customStyle="1" w:styleId="FooterChar">
    <w:name w:val="Footer Char"/>
    <w:basedOn w:val="DefaultParagraphFont"/>
    <w:link w:val="Footer"/>
    <w:uiPriority w:val="99"/>
    <w:rsid w:val="00D86F38"/>
    <w:rPr>
      <w:rFonts w:eastAsiaTheme="minorEastAsia"/>
    </w:rPr>
  </w:style>
  <w:style w:type="character" w:styleId="PageNumber">
    <w:name w:val="page number"/>
    <w:basedOn w:val="DefaultParagraphFont"/>
    <w:uiPriority w:val="99"/>
    <w:semiHidden/>
    <w:unhideWhenUsed/>
    <w:rsid w:val="00D86F38"/>
  </w:style>
  <w:style w:type="character" w:styleId="FollowedHyperlink">
    <w:name w:val="FollowedHyperlink"/>
    <w:basedOn w:val="DefaultParagraphFont"/>
    <w:uiPriority w:val="99"/>
    <w:semiHidden/>
    <w:unhideWhenUsed/>
    <w:rsid w:val="005579A0"/>
    <w:rPr>
      <w:color w:val="954F72" w:themeColor="followedHyperlink"/>
      <w:u w:val="single"/>
    </w:rPr>
  </w:style>
  <w:style w:type="table" w:styleId="TableGrid">
    <w:name w:val="Table Grid"/>
    <w:basedOn w:val="TableNormal"/>
    <w:uiPriority w:val="59"/>
    <w:rsid w:val="00B404B8"/>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07AB8"/>
    <w:rPr>
      <w:sz w:val="16"/>
      <w:szCs w:val="16"/>
    </w:rPr>
  </w:style>
  <w:style w:type="paragraph" w:styleId="CommentText">
    <w:name w:val="annotation text"/>
    <w:basedOn w:val="Normal"/>
    <w:link w:val="CommentTextChar"/>
    <w:uiPriority w:val="99"/>
    <w:semiHidden/>
    <w:unhideWhenUsed/>
    <w:rsid w:val="00807AB8"/>
    <w:pPr>
      <w:spacing w:before="120" w:after="120"/>
    </w:pPr>
    <w:rPr>
      <w:rFonts w:asciiTheme="majorBidi" w:eastAsiaTheme="minorEastAsia" w:hAnsiTheme="majorBidi" w:cstheme="minorBidi"/>
      <w:sz w:val="20"/>
      <w:szCs w:val="20"/>
      <w:lang w:eastAsia="zh-CN"/>
    </w:rPr>
  </w:style>
  <w:style w:type="character" w:customStyle="1" w:styleId="CommentTextChar">
    <w:name w:val="Comment Text Char"/>
    <w:basedOn w:val="DefaultParagraphFont"/>
    <w:link w:val="CommentText"/>
    <w:uiPriority w:val="99"/>
    <w:semiHidden/>
    <w:rsid w:val="00807AB8"/>
    <w:rPr>
      <w:rFonts w:asciiTheme="majorBidi" w:eastAsiaTheme="minorEastAsia" w:hAnsiTheme="majorBidi"/>
      <w:sz w:val="20"/>
      <w:szCs w:val="20"/>
      <w:lang w:eastAsia="zh-CN"/>
    </w:rPr>
  </w:style>
  <w:style w:type="paragraph" w:styleId="BalloonText">
    <w:name w:val="Balloon Text"/>
    <w:basedOn w:val="Normal"/>
    <w:link w:val="BalloonTextChar"/>
    <w:uiPriority w:val="99"/>
    <w:semiHidden/>
    <w:unhideWhenUsed/>
    <w:rsid w:val="00807AB8"/>
    <w:rPr>
      <w:sz w:val="18"/>
      <w:szCs w:val="18"/>
    </w:rPr>
  </w:style>
  <w:style w:type="character" w:customStyle="1" w:styleId="BalloonTextChar">
    <w:name w:val="Balloon Text Char"/>
    <w:basedOn w:val="DefaultParagraphFont"/>
    <w:link w:val="BalloonText"/>
    <w:uiPriority w:val="99"/>
    <w:semiHidden/>
    <w:rsid w:val="00807AB8"/>
    <w:rPr>
      <w:rFonts w:ascii="Times New Roman" w:hAnsi="Times New Roman" w:cs="Times New Roman"/>
      <w:sz w:val="18"/>
      <w:szCs w:val="18"/>
      <w:lang w:eastAsia="en-GB"/>
    </w:rPr>
  </w:style>
  <w:style w:type="paragraph" w:customStyle="1" w:styleId="m2233375258081125681xmsonormal">
    <w:name w:val="m_2233375258081125681x_msonormal"/>
    <w:basedOn w:val="Normal"/>
    <w:rsid w:val="00B210EF"/>
    <w:pPr>
      <w:spacing w:before="100" w:beforeAutospacing="1" w:after="100" w:afterAutospacing="1"/>
    </w:pPr>
  </w:style>
  <w:style w:type="paragraph" w:styleId="Bibliography">
    <w:name w:val="Bibliography"/>
    <w:basedOn w:val="Normal"/>
    <w:next w:val="Normal"/>
    <w:uiPriority w:val="37"/>
    <w:unhideWhenUsed/>
    <w:rsid w:val="003569E0"/>
  </w:style>
  <w:style w:type="paragraph" w:styleId="Title">
    <w:name w:val="Title"/>
    <w:basedOn w:val="Normal"/>
    <w:next w:val="Normal"/>
    <w:link w:val="TitleChar"/>
    <w:uiPriority w:val="10"/>
    <w:qFormat/>
    <w:rsid w:val="00B77F59"/>
    <w:pPr>
      <w:spacing w:line="360" w:lineRule="auto"/>
      <w:contextualSpacing/>
      <w:jc w:val="center"/>
    </w:pPr>
    <w:rPr>
      <w:rFonts w:asciiTheme="majorBidi" w:eastAsiaTheme="majorEastAsia" w:hAnsiTheme="majorBidi" w:cstheme="majorBidi"/>
      <w:b/>
      <w:spacing w:val="-10"/>
      <w:kern w:val="28"/>
      <w:sz w:val="36"/>
      <w:szCs w:val="56"/>
    </w:rPr>
  </w:style>
  <w:style w:type="character" w:customStyle="1" w:styleId="TitleChar">
    <w:name w:val="Title Char"/>
    <w:basedOn w:val="DefaultParagraphFont"/>
    <w:link w:val="Title"/>
    <w:uiPriority w:val="10"/>
    <w:rsid w:val="00B77F59"/>
    <w:rPr>
      <w:rFonts w:asciiTheme="majorBidi" w:eastAsiaTheme="majorEastAsia" w:hAnsiTheme="majorBidi" w:cstheme="majorBidi"/>
      <w:b/>
      <w:spacing w:val="-10"/>
      <w:kern w:val="28"/>
      <w:sz w:val="36"/>
      <w:szCs w:val="56"/>
      <w:lang w:eastAsia="en-GB"/>
    </w:rPr>
  </w:style>
  <w:style w:type="paragraph" w:styleId="TOCHeading">
    <w:name w:val="TOC Heading"/>
    <w:basedOn w:val="Heading1"/>
    <w:next w:val="Normal"/>
    <w:uiPriority w:val="39"/>
    <w:unhideWhenUsed/>
    <w:qFormat/>
    <w:rsid w:val="006566CD"/>
    <w:pPr>
      <w:numPr>
        <w:numId w:val="0"/>
      </w:numPr>
      <w:spacing w:before="480" w:line="276" w:lineRule="auto"/>
      <w:jc w:val="left"/>
      <w:outlineLvl w:val="9"/>
    </w:pPr>
    <w:rPr>
      <w:rFonts w:asciiTheme="majorHAnsi" w:hAnsiTheme="majorHAnsi"/>
      <w:bCs/>
      <w:color w:val="2F5496" w:themeColor="accent1" w:themeShade="BF"/>
      <w:sz w:val="28"/>
      <w:szCs w:val="28"/>
      <w:lang w:val="en-US" w:eastAsia="en-US"/>
    </w:rPr>
  </w:style>
  <w:style w:type="paragraph" w:styleId="TOC2">
    <w:name w:val="toc 2"/>
    <w:basedOn w:val="Normal"/>
    <w:next w:val="Normal"/>
    <w:autoRedefine/>
    <w:uiPriority w:val="39"/>
    <w:unhideWhenUsed/>
    <w:rsid w:val="008A0EFD"/>
    <w:pPr>
      <w:tabs>
        <w:tab w:val="left" w:pos="1200"/>
        <w:tab w:val="right" w:leader="dot" w:pos="7371"/>
      </w:tabs>
      <w:ind w:left="1440" w:hanging="1202"/>
    </w:pPr>
    <w:rPr>
      <w:rFonts w:asciiTheme="majorBidi" w:hAnsiTheme="majorBidi"/>
      <w:bCs/>
      <w:szCs w:val="22"/>
    </w:rPr>
  </w:style>
  <w:style w:type="paragraph" w:styleId="TOC1">
    <w:name w:val="toc 1"/>
    <w:basedOn w:val="Normal"/>
    <w:next w:val="Normal"/>
    <w:autoRedefine/>
    <w:uiPriority w:val="39"/>
    <w:unhideWhenUsed/>
    <w:rsid w:val="007F2617"/>
    <w:pPr>
      <w:tabs>
        <w:tab w:val="left" w:pos="720"/>
        <w:tab w:val="right" w:leader="dot" w:pos="7371"/>
      </w:tabs>
      <w:spacing w:before="120"/>
      <w:ind w:left="720" w:hanging="720"/>
    </w:pPr>
    <w:rPr>
      <w:rFonts w:asciiTheme="majorBidi" w:hAnsiTheme="majorBidi"/>
      <w:bCs/>
      <w:noProof/>
    </w:rPr>
  </w:style>
  <w:style w:type="paragraph" w:styleId="TOC3">
    <w:name w:val="toc 3"/>
    <w:basedOn w:val="Normal"/>
    <w:next w:val="Normal"/>
    <w:autoRedefine/>
    <w:uiPriority w:val="39"/>
    <w:unhideWhenUsed/>
    <w:rsid w:val="008A0EFD"/>
    <w:pPr>
      <w:tabs>
        <w:tab w:val="left" w:pos="1418"/>
        <w:tab w:val="right" w:leader="dot" w:pos="7371"/>
      </w:tabs>
      <w:ind w:left="480"/>
    </w:pPr>
    <w:rPr>
      <w:rFonts w:asciiTheme="majorBidi" w:hAnsiTheme="majorBidi"/>
      <w:szCs w:val="22"/>
    </w:rPr>
  </w:style>
  <w:style w:type="paragraph" w:styleId="TOC4">
    <w:name w:val="toc 4"/>
    <w:basedOn w:val="Normal"/>
    <w:next w:val="Normal"/>
    <w:autoRedefine/>
    <w:uiPriority w:val="39"/>
    <w:unhideWhenUsed/>
    <w:rsid w:val="00D71730"/>
    <w:pPr>
      <w:tabs>
        <w:tab w:val="left" w:pos="1960"/>
        <w:tab w:val="right" w:leader="dot" w:pos="7371"/>
      </w:tabs>
      <w:ind w:left="720"/>
    </w:pPr>
    <w:rPr>
      <w:rFonts w:asciiTheme="majorBidi" w:hAnsiTheme="majorBidi"/>
      <w:szCs w:val="20"/>
    </w:rPr>
  </w:style>
  <w:style w:type="paragraph" w:styleId="TOC5">
    <w:name w:val="toc 5"/>
    <w:basedOn w:val="Normal"/>
    <w:next w:val="Normal"/>
    <w:autoRedefine/>
    <w:uiPriority w:val="39"/>
    <w:unhideWhenUsed/>
    <w:rsid w:val="006566CD"/>
    <w:pPr>
      <w:ind w:left="960"/>
    </w:pPr>
    <w:rPr>
      <w:rFonts w:asciiTheme="minorHAnsi" w:hAnsiTheme="minorHAnsi"/>
      <w:sz w:val="20"/>
      <w:szCs w:val="20"/>
    </w:rPr>
  </w:style>
  <w:style w:type="paragraph" w:styleId="TOC6">
    <w:name w:val="toc 6"/>
    <w:basedOn w:val="Normal"/>
    <w:next w:val="Normal"/>
    <w:autoRedefine/>
    <w:uiPriority w:val="39"/>
    <w:unhideWhenUsed/>
    <w:rsid w:val="005556AC"/>
    <w:pPr>
      <w:tabs>
        <w:tab w:val="right" w:leader="dot" w:pos="7371"/>
      </w:tabs>
      <w:spacing w:before="120"/>
      <w:ind w:left="1304" w:hanging="1304"/>
    </w:pPr>
    <w:rPr>
      <w:szCs w:val="20"/>
    </w:rPr>
  </w:style>
  <w:style w:type="paragraph" w:styleId="TOC7">
    <w:name w:val="toc 7"/>
    <w:basedOn w:val="Normal"/>
    <w:next w:val="Normal"/>
    <w:autoRedefine/>
    <w:uiPriority w:val="39"/>
    <w:unhideWhenUsed/>
    <w:rsid w:val="00D71730"/>
    <w:pPr>
      <w:tabs>
        <w:tab w:val="right" w:leader="dot" w:pos="7371"/>
      </w:tabs>
      <w:spacing w:before="120"/>
      <w:ind w:left="1304" w:hanging="1304"/>
    </w:pPr>
    <w:rPr>
      <w:rFonts w:asciiTheme="majorBidi" w:hAnsiTheme="majorBidi"/>
      <w:szCs w:val="20"/>
    </w:rPr>
  </w:style>
  <w:style w:type="paragraph" w:styleId="TOC8">
    <w:name w:val="toc 8"/>
    <w:basedOn w:val="Normal"/>
    <w:next w:val="Normal"/>
    <w:autoRedefine/>
    <w:uiPriority w:val="39"/>
    <w:unhideWhenUsed/>
    <w:rsid w:val="006566CD"/>
    <w:pPr>
      <w:ind w:left="1680"/>
    </w:pPr>
    <w:rPr>
      <w:rFonts w:asciiTheme="minorHAnsi" w:hAnsiTheme="minorHAnsi"/>
      <w:sz w:val="20"/>
      <w:szCs w:val="20"/>
    </w:rPr>
  </w:style>
  <w:style w:type="paragraph" w:styleId="TOC9">
    <w:name w:val="toc 9"/>
    <w:basedOn w:val="Normal"/>
    <w:next w:val="Normal"/>
    <w:autoRedefine/>
    <w:uiPriority w:val="39"/>
    <w:unhideWhenUsed/>
    <w:rsid w:val="006566CD"/>
    <w:pPr>
      <w:ind w:left="1920"/>
    </w:pPr>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DA2229"/>
    <w:pPr>
      <w:spacing w:before="0" w:after="0"/>
    </w:pPr>
    <w:rPr>
      <w:rFonts w:ascii="Times New Roman" w:eastAsiaTheme="minorHAnsi" w:hAnsi="Times New Roman" w:cs="Times New Roman"/>
      <w:b/>
      <w:bCs/>
      <w:lang w:eastAsia="en-GB"/>
    </w:rPr>
  </w:style>
  <w:style w:type="character" w:customStyle="1" w:styleId="CommentSubjectChar">
    <w:name w:val="Comment Subject Char"/>
    <w:basedOn w:val="CommentTextChar"/>
    <w:link w:val="CommentSubject"/>
    <w:uiPriority w:val="99"/>
    <w:semiHidden/>
    <w:rsid w:val="00DA2229"/>
    <w:rPr>
      <w:rFonts w:ascii="Times New Roman" w:eastAsiaTheme="minorEastAsia" w:hAnsi="Times New Roman" w:cs="Times New Roman"/>
      <w:b/>
      <w:bCs/>
      <w:sz w:val="20"/>
      <w:szCs w:val="20"/>
      <w:lang w:eastAsia="en-GB"/>
    </w:rPr>
  </w:style>
  <w:style w:type="paragraph" w:styleId="Revision">
    <w:name w:val="Revision"/>
    <w:hidden/>
    <w:uiPriority w:val="99"/>
    <w:semiHidden/>
    <w:rsid w:val="00DA2229"/>
    <w:rPr>
      <w:rFonts w:ascii="Times New Roman" w:hAnsi="Times New Roman" w:cs="Times New Roman"/>
      <w:lang w:eastAsia="en-GB"/>
    </w:rPr>
  </w:style>
  <w:style w:type="paragraph" w:styleId="FootnoteText">
    <w:name w:val="footnote text"/>
    <w:basedOn w:val="Normal"/>
    <w:link w:val="FootnoteTextChar"/>
    <w:uiPriority w:val="99"/>
    <w:unhideWhenUsed/>
    <w:rsid w:val="00AC1F48"/>
  </w:style>
  <w:style w:type="character" w:customStyle="1" w:styleId="FootnoteTextChar">
    <w:name w:val="Footnote Text Char"/>
    <w:basedOn w:val="DefaultParagraphFont"/>
    <w:link w:val="FootnoteText"/>
    <w:uiPriority w:val="99"/>
    <w:rsid w:val="00AC1F48"/>
    <w:rPr>
      <w:rFonts w:ascii="Times New Roman" w:hAnsi="Times New Roman" w:cs="Times New Roman"/>
      <w:lang w:eastAsia="en-GB"/>
    </w:rPr>
  </w:style>
  <w:style w:type="character" w:styleId="FootnoteReference">
    <w:name w:val="footnote reference"/>
    <w:basedOn w:val="DefaultParagraphFont"/>
    <w:uiPriority w:val="99"/>
    <w:unhideWhenUsed/>
    <w:rsid w:val="00AC1F48"/>
    <w:rPr>
      <w:vertAlign w:val="superscript"/>
    </w:rPr>
  </w:style>
  <w:style w:type="character" w:styleId="EndnoteReference">
    <w:name w:val="endnote reference"/>
    <w:basedOn w:val="DefaultParagraphFont"/>
    <w:uiPriority w:val="99"/>
    <w:semiHidden/>
    <w:unhideWhenUsed/>
    <w:rsid w:val="002F7B80"/>
    <w:rPr>
      <w:vertAlign w:val="superscript"/>
    </w:rPr>
  </w:style>
  <w:style w:type="character" w:customStyle="1" w:styleId="highlight">
    <w:name w:val="highlight"/>
    <w:basedOn w:val="DefaultParagraphFont"/>
    <w:rsid w:val="00FE64B1"/>
  </w:style>
  <w:style w:type="paragraph" w:styleId="Header">
    <w:name w:val="header"/>
    <w:basedOn w:val="Normal"/>
    <w:link w:val="HeaderChar"/>
    <w:uiPriority w:val="99"/>
    <w:unhideWhenUsed/>
    <w:rsid w:val="0085371C"/>
    <w:pPr>
      <w:tabs>
        <w:tab w:val="center" w:pos="4513"/>
        <w:tab w:val="right" w:pos="9026"/>
      </w:tabs>
    </w:pPr>
  </w:style>
  <w:style w:type="character" w:customStyle="1" w:styleId="HeaderChar">
    <w:name w:val="Header Char"/>
    <w:basedOn w:val="DefaultParagraphFont"/>
    <w:link w:val="Header"/>
    <w:uiPriority w:val="99"/>
    <w:rsid w:val="0085371C"/>
    <w:rPr>
      <w:rFonts w:ascii="Times New Roman" w:hAnsi="Times New Roman" w:cs="Times New Roman"/>
      <w:lang w:eastAsia="en-GB"/>
    </w:rPr>
  </w:style>
  <w:style w:type="character" w:customStyle="1" w:styleId="voiced">
    <w:name w:val="voiced"/>
    <w:basedOn w:val="DefaultParagraphFont"/>
    <w:rsid w:val="00B569C4"/>
  </w:style>
  <w:style w:type="character" w:customStyle="1" w:styleId="sc">
    <w:name w:val="sc"/>
    <w:basedOn w:val="DefaultParagraphFont"/>
    <w:rsid w:val="00157B05"/>
  </w:style>
  <w:style w:type="paragraph" w:customStyle="1" w:styleId="Heading51">
    <w:name w:val="Heading 51"/>
    <w:basedOn w:val="Normal"/>
    <w:next w:val="Normal"/>
    <w:uiPriority w:val="9"/>
    <w:semiHidden/>
    <w:unhideWhenUsed/>
    <w:qFormat/>
    <w:rsid w:val="00160CC4"/>
    <w:pPr>
      <w:keepNext/>
      <w:keepLines/>
      <w:spacing w:before="40" w:line="360" w:lineRule="auto"/>
      <w:ind w:left="1008" w:hanging="1008"/>
      <w:outlineLvl w:val="4"/>
    </w:pPr>
    <w:rPr>
      <w:rFonts w:ascii="Calibri Light" w:eastAsia="Times New Roman" w:hAnsi="Calibri Light"/>
      <w:color w:val="2F5496"/>
      <w:szCs w:val="22"/>
      <w:lang w:eastAsia="zh-CN"/>
    </w:rPr>
  </w:style>
  <w:style w:type="paragraph" w:customStyle="1" w:styleId="Heading61">
    <w:name w:val="Heading 61"/>
    <w:basedOn w:val="Normal"/>
    <w:next w:val="Normal"/>
    <w:uiPriority w:val="9"/>
    <w:semiHidden/>
    <w:unhideWhenUsed/>
    <w:qFormat/>
    <w:rsid w:val="00160CC4"/>
    <w:pPr>
      <w:keepNext/>
      <w:keepLines/>
      <w:spacing w:before="40" w:line="360" w:lineRule="auto"/>
      <w:ind w:left="1152" w:hanging="1152"/>
      <w:outlineLvl w:val="5"/>
    </w:pPr>
    <w:rPr>
      <w:rFonts w:ascii="Calibri Light" w:eastAsia="Times New Roman" w:hAnsi="Calibri Light"/>
      <w:color w:val="1F3763"/>
      <w:szCs w:val="22"/>
      <w:lang w:eastAsia="zh-CN"/>
    </w:rPr>
  </w:style>
  <w:style w:type="paragraph" w:customStyle="1" w:styleId="Heading71">
    <w:name w:val="Heading 71"/>
    <w:basedOn w:val="Normal"/>
    <w:next w:val="Normal"/>
    <w:uiPriority w:val="9"/>
    <w:semiHidden/>
    <w:unhideWhenUsed/>
    <w:qFormat/>
    <w:rsid w:val="00160CC4"/>
    <w:pPr>
      <w:keepNext/>
      <w:keepLines/>
      <w:spacing w:before="40" w:line="360" w:lineRule="auto"/>
      <w:ind w:left="1296" w:hanging="1296"/>
      <w:outlineLvl w:val="6"/>
    </w:pPr>
    <w:rPr>
      <w:rFonts w:ascii="Calibri Light" w:eastAsia="Times New Roman" w:hAnsi="Calibri Light"/>
      <w:i/>
      <w:iCs/>
      <w:color w:val="1F3763"/>
      <w:szCs w:val="22"/>
      <w:lang w:eastAsia="zh-CN"/>
    </w:rPr>
  </w:style>
  <w:style w:type="paragraph" w:customStyle="1" w:styleId="Heading81">
    <w:name w:val="Heading 81"/>
    <w:basedOn w:val="Normal"/>
    <w:next w:val="Normal"/>
    <w:uiPriority w:val="9"/>
    <w:semiHidden/>
    <w:unhideWhenUsed/>
    <w:qFormat/>
    <w:rsid w:val="00160CC4"/>
    <w:pPr>
      <w:keepNext/>
      <w:keepLines/>
      <w:spacing w:before="40" w:line="360" w:lineRule="auto"/>
      <w:ind w:left="1440" w:hanging="1440"/>
      <w:outlineLvl w:val="7"/>
    </w:pPr>
    <w:rPr>
      <w:rFonts w:ascii="Calibri Light" w:eastAsia="Times New Roman" w:hAnsi="Calibri Light"/>
      <w:color w:val="272727"/>
      <w:sz w:val="21"/>
      <w:szCs w:val="21"/>
      <w:lang w:eastAsia="zh-CN"/>
    </w:rPr>
  </w:style>
  <w:style w:type="paragraph" w:customStyle="1" w:styleId="Heading91">
    <w:name w:val="Heading 91"/>
    <w:basedOn w:val="Normal"/>
    <w:next w:val="Normal"/>
    <w:uiPriority w:val="9"/>
    <w:semiHidden/>
    <w:unhideWhenUsed/>
    <w:qFormat/>
    <w:rsid w:val="00160CC4"/>
    <w:pPr>
      <w:keepNext/>
      <w:keepLines/>
      <w:spacing w:before="40" w:line="360" w:lineRule="auto"/>
      <w:ind w:left="1584" w:hanging="1584"/>
      <w:outlineLvl w:val="8"/>
    </w:pPr>
    <w:rPr>
      <w:rFonts w:ascii="Calibri Light" w:eastAsia="Times New Roman" w:hAnsi="Calibri Light"/>
      <w:i/>
      <w:iCs/>
      <w:color w:val="272727"/>
      <w:sz w:val="21"/>
      <w:szCs w:val="21"/>
      <w:lang w:eastAsia="zh-CN"/>
    </w:rPr>
  </w:style>
  <w:style w:type="numbering" w:customStyle="1" w:styleId="NoList1">
    <w:name w:val="No List1"/>
    <w:next w:val="NoList"/>
    <w:uiPriority w:val="99"/>
    <w:semiHidden/>
    <w:unhideWhenUsed/>
    <w:rsid w:val="00160CC4"/>
  </w:style>
  <w:style w:type="character" w:customStyle="1" w:styleId="Heading5Char">
    <w:name w:val="Heading 5 Char"/>
    <w:basedOn w:val="DefaultParagraphFont"/>
    <w:link w:val="Heading5"/>
    <w:uiPriority w:val="9"/>
    <w:rsid w:val="00160CC4"/>
    <w:rPr>
      <w:rFonts w:ascii="Calibri Light" w:eastAsia="Times New Roman" w:hAnsi="Calibri Light" w:cs="Times New Roman"/>
      <w:color w:val="2F5496"/>
      <w:szCs w:val="22"/>
      <w:lang w:eastAsia="zh-CN"/>
    </w:rPr>
  </w:style>
  <w:style w:type="character" w:customStyle="1" w:styleId="Heading6Char">
    <w:name w:val="Heading 6 Char"/>
    <w:basedOn w:val="DefaultParagraphFont"/>
    <w:link w:val="Heading6"/>
    <w:uiPriority w:val="9"/>
    <w:rsid w:val="00160CC4"/>
    <w:rPr>
      <w:rFonts w:ascii="Calibri Light" w:eastAsia="Times New Roman" w:hAnsi="Calibri Light" w:cs="Times New Roman"/>
      <w:color w:val="1F3763"/>
      <w:szCs w:val="22"/>
      <w:lang w:eastAsia="zh-CN"/>
    </w:rPr>
  </w:style>
  <w:style w:type="character" w:customStyle="1" w:styleId="Heading7Char">
    <w:name w:val="Heading 7 Char"/>
    <w:basedOn w:val="DefaultParagraphFont"/>
    <w:link w:val="Heading7"/>
    <w:uiPriority w:val="9"/>
    <w:rsid w:val="00160CC4"/>
    <w:rPr>
      <w:rFonts w:ascii="Calibri Light" w:eastAsia="Times New Roman" w:hAnsi="Calibri Light" w:cs="Times New Roman"/>
      <w:i/>
      <w:iCs/>
      <w:color w:val="1F3763"/>
      <w:szCs w:val="22"/>
      <w:lang w:eastAsia="zh-CN"/>
    </w:rPr>
  </w:style>
  <w:style w:type="character" w:customStyle="1" w:styleId="Heading8Char">
    <w:name w:val="Heading 8 Char"/>
    <w:basedOn w:val="DefaultParagraphFont"/>
    <w:link w:val="Heading8"/>
    <w:uiPriority w:val="9"/>
    <w:rsid w:val="00160CC4"/>
    <w:rPr>
      <w:rFonts w:ascii="Calibri Light" w:eastAsia="Times New Roman" w:hAnsi="Calibri Light" w:cs="Times New Roman"/>
      <w:color w:val="272727"/>
      <w:sz w:val="21"/>
      <w:szCs w:val="21"/>
      <w:lang w:eastAsia="zh-CN"/>
    </w:rPr>
  </w:style>
  <w:style w:type="character" w:customStyle="1" w:styleId="Heading9Char">
    <w:name w:val="Heading 9 Char"/>
    <w:basedOn w:val="DefaultParagraphFont"/>
    <w:link w:val="Heading9"/>
    <w:uiPriority w:val="9"/>
    <w:rsid w:val="00160CC4"/>
    <w:rPr>
      <w:rFonts w:ascii="Calibri Light" w:eastAsia="Times New Roman" w:hAnsi="Calibri Light" w:cs="Times New Roman"/>
      <w:i/>
      <w:iCs/>
      <w:color w:val="272727"/>
      <w:sz w:val="21"/>
      <w:szCs w:val="21"/>
      <w:lang w:eastAsia="zh-CN"/>
    </w:rPr>
  </w:style>
  <w:style w:type="numbering" w:customStyle="1" w:styleId="Style11">
    <w:name w:val="Style11"/>
    <w:uiPriority w:val="99"/>
    <w:rsid w:val="00160CC4"/>
  </w:style>
  <w:style w:type="paragraph" w:customStyle="1" w:styleId="Level1heading">
    <w:name w:val="Level 1 heading"/>
    <w:basedOn w:val="Normal"/>
    <w:link w:val="Level1headingChar"/>
    <w:qFormat/>
    <w:rsid w:val="00160CC4"/>
    <w:pPr>
      <w:widowControl w:val="0"/>
      <w:tabs>
        <w:tab w:val="left" w:pos="357"/>
      </w:tabs>
      <w:autoSpaceDE w:val="0"/>
      <w:autoSpaceDN w:val="0"/>
      <w:adjustRightInd w:val="0"/>
      <w:spacing w:before="240" w:line="480" w:lineRule="auto"/>
      <w:jc w:val="both"/>
      <w:outlineLvl w:val="0"/>
    </w:pPr>
    <w:rPr>
      <w:rFonts w:eastAsia="Times New Roman"/>
      <w:b/>
      <w:color w:val="000000"/>
      <w:lang w:val="en-US" w:eastAsia="en-US"/>
    </w:rPr>
  </w:style>
  <w:style w:type="paragraph" w:customStyle="1" w:styleId="Figurecaption">
    <w:name w:val="Figure caption"/>
    <w:basedOn w:val="Normal"/>
    <w:link w:val="FigurecaptionChar"/>
    <w:qFormat/>
    <w:rsid w:val="00892491"/>
    <w:pPr>
      <w:tabs>
        <w:tab w:val="center" w:pos="1134"/>
      </w:tabs>
      <w:spacing w:line="480" w:lineRule="auto"/>
      <w:jc w:val="center"/>
    </w:pPr>
    <w:rPr>
      <w:rFonts w:eastAsia="Times New Roman"/>
      <w:sz w:val="22"/>
      <w:lang w:eastAsia="en-US"/>
    </w:rPr>
  </w:style>
  <w:style w:type="character" w:customStyle="1" w:styleId="Level1headingChar">
    <w:name w:val="Level 1 heading Char"/>
    <w:basedOn w:val="DefaultParagraphFont"/>
    <w:link w:val="Level1heading"/>
    <w:rsid w:val="00160CC4"/>
    <w:rPr>
      <w:rFonts w:ascii="Times New Roman" w:eastAsia="Times New Roman" w:hAnsi="Times New Roman" w:cs="Times New Roman"/>
      <w:b/>
      <w:color w:val="000000"/>
      <w:lang w:val="en-US"/>
    </w:rPr>
  </w:style>
  <w:style w:type="paragraph" w:customStyle="1" w:styleId="Level2heading">
    <w:name w:val="Level 2 heading"/>
    <w:basedOn w:val="Normal"/>
    <w:link w:val="Level2headingChar"/>
    <w:qFormat/>
    <w:rsid w:val="00160CC4"/>
    <w:pPr>
      <w:widowControl w:val="0"/>
      <w:autoSpaceDE w:val="0"/>
      <w:autoSpaceDN w:val="0"/>
      <w:adjustRightInd w:val="0"/>
      <w:spacing w:before="240" w:line="480" w:lineRule="auto"/>
      <w:jc w:val="both"/>
      <w:outlineLvl w:val="0"/>
    </w:pPr>
    <w:rPr>
      <w:rFonts w:eastAsia="Times New Roman"/>
      <w:b/>
      <w:color w:val="000000"/>
      <w:lang w:val="en-US" w:eastAsia="en-US"/>
    </w:rPr>
  </w:style>
  <w:style w:type="character" w:customStyle="1" w:styleId="FigurecaptionChar">
    <w:name w:val="Figure caption Char"/>
    <w:basedOn w:val="DefaultParagraphFont"/>
    <w:link w:val="Figurecaption"/>
    <w:rsid w:val="00892491"/>
    <w:rPr>
      <w:rFonts w:ascii="Times New Roman" w:eastAsia="Times New Roman" w:hAnsi="Times New Roman" w:cs="Times New Roman"/>
      <w:sz w:val="22"/>
    </w:rPr>
  </w:style>
  <w:style w:type="character" w:customStyle="1" w:styleId="Level2headingChar">
    <w:name w:val="Level 2 heading Char"/>
    <w:basedOn w:val="DefaultParagraphFont"/>
    <w:link w:val="Level2heading"/>
    <w:rsid w:val="00160CC4"/>
    <w:rPr>
      <w:rFonts w:ascii="Times New Roman" w:eastAsia="Times New Roman" w:hAnsi="Times New Roman" w:cs="Times New Roman"/>
      <w:b/>
      <w:color w:val="000000"/>
      <w:lang w:val="en-US"/>
    </w:rPr>
  </w:style>
  <w:style w:type="character" w:customStyle="1" w:styleId="Heading5Char1">
    <w:name w:val="Heading 5 Char1"/>
    <w:basedOn w:val="DefaultParagraphFont"/>
    <w:uiPriority w:val="9"/>
    <w:semiHidden/>
    <w:rsid w:val="00160CC4"/>
    <w:rPr>
      <w:rFonts w:asciiTheme="majorHAnsi" w:eastAsiaTheme="majorEastAsia" w:hAnsiTheme="majorHAnsi" w:cstheme="majorBidi"/>
      <w:color w:val="1F3763" w:themeColor="accent1" w:themeShade="7F"/>
      <w:lang w:eastAsia="en-GB"/>
    </w:rPr>
  </w:style>
  <w:style w:type="character" w:customStyle="1" w:styleId="Heading6Char1">
    <w:name w:val="Heading 6 Char1"/>
    <w:basedOn w:val="DefaultParagraphFont"/>
    <w:uiPriority w:val="9"/>
    <w:semiHidden/>
    <w:rsid w:val="00160CC4"/>
    <w:rPr>
      <w:rFonts w:asciiTheme="majorHAnsi" w:eastAsiaTheme="majorEastAsia" w:hAnsiTheme="majorHAnsi" w:cstheme="majorBidi"/>
      <w:i/>
      <w:iCs/>
      <w:color w:val="1F3763" w:themeColor="accent1" w:themeShade="7F"/>
      <w:lang w:eastAsia="en-GB"/>
    </w:rPr>
  </w:style>
  <w:style w:type="character" w:customStyle="1" w:styleId="Heading7Char1">
    <w:name w:val="Heading 7 Char1"/>
    <w:basedOn w:val="DefaultParagraphFont"/>
    <w:uiPriority w:val="9"/>
    <w:semiHidden/>
    <w:rsid w:val="00160CC4"/>
    <w:rPr>
      <w:rFonts w:asciiTheme="majorHAnsi" w:eastAsiaTheme="majorEastAsia" w:hAnsiTheme="majorHAnsi" w:cstheme="majorBidi"/>
      <w:i/>
      <w:iCs/>
      <w:color w:val="404040" w:themeColor="text1" w:themeTint="BF"/>
      <w:lang w:eastAsia="en-GB"/>
    </w:rPr>
  </w:style>
  <w:style w:type="character" w:customStyle="1" w:styleId="Heading8Char1">
    <w:name w:val="Heading 8 Char1"/>
    <w:basedOn w:val="DefaultParagraphFont"/>
    <w:uiPriority w:val="9"/>
    <w:semiHidden/>
    <w:rsid w:val="00160CC4"/>
    <w:rPr>
      <w:rFonts w:asciiTheme="majorHAnsi" w:eastAsiaTheme="majorEastAsia" w:hAnsiTheme="majorHAnsi" w:cstheme="majorBidi"/>
      <w:color w:val="404040" w:themeColor="text1" w:themeTint="BF"/>
      <w:sz w:val="20"/>
      <w:szCs w:val="20"/>
      <w:lang w:eastAsia="en-GB"/>
    </w:rPr>
  </w:style>
  <w:style w:type="character" w:customStyle="1" w:styleId="Heading9Char1">
    <w:name w:val="Heading 9 Char1"/>
    <w:basedOn w:val="DefaultParagraphFont"/>
    <w:uiPriority w:val="9"/>
    <w:semiHidden/>
    <w:rsid w:val="00160CC4"/>
    <w:rPr>
      <w:rFonts w:asciiTheme="majorHAnsi" w:eastAsiaTheme="majorEastAsia" w:hAnsiTheme="majorHAnsi" w:cstheme="majorBidi"/>
      <w:i/>
      <w:iCs/>
      <w:color w:val="404040" w:themeColor="text1" w:themeTint="BF"/>
      <w:sz w:val="20"/>
      <w:szCs w:val="20"/>
      <w:lang w:eastAsia="en-GB"/>
    </w:rPr>
  </w:style>
  <w:style w:type="table" w:customStyle="1" w:styleId="TableGrid1">
    <w:name w:val="Table Grid1"/>
    <w:basedOn w:val="TableNormal"/>
    <w:next w:val="TableGrid"/>
    <w:uiPriority w:val="59"/>
    <w:rsid w:val="00160CC4"/>
    <w:rPr>
      <w:rFonts w:eastAsia="Times New Roman"/>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60CC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A23C2A"/>
  </w:style>
  <w:style w:type="paragraph" w:customStyle="1" w:styleId="ColorfulShading-Accent11">
    <w:name w:val="Colorful Shading - Accent 11"/>
    <w:hidden/>
    <w:uiPriority w:val="71"/>
    <w:unhideWhenUsed/>
    <w:rsid w:val="00A23C2A"/>
    <w:rPr>
      <w:rFonts w:ascii="Times New Roman" w:eastAsia="Times New Roman" w:hAnsi="Times New Roman" w:cs="Courier New"/>
      <w:color w:val="000000"/>
      <w:szCs w:val="28"/>
      <w:lang w:eastAsia="en-GB"/>
    </w:rPr>
  </w:style>
  <w:style w:type="numbering" w:customStyle="1" w:styleId="NoList3">
    <w:name w:val="No List3"/>
    <w:next w:val="NoList"/>
    <w:uiPriority w:val="99"/>
    <w:semiHidden/>
    <w:unhideWhenUsed/>
    <w:rsid w:val="00A23C2A"/>
  </w:style>
  <w:style w:type="numbering" w:customStyle="1" w:styleId="Style12">
    <w:name w:val="Style12"/>
    <w:uiPriority w:val="99"/>
    <w:rsid w:val="00A23C2A"/>
  </w:style>
  <w:style w:type="character" w:styleId="Strong">
    <w:name w:val="Strong"/>
    <w:basedOn w:val="DefaultParagraphFont"/>
    <w:uiPriority w:val="22"/>
    <w:qFormat/>
    <w:rsid w:val="00A23C2A"/>
    <w:rPr>
      <w:b/>
      <w:bCs/>
    </w:rPr>
  </w:style>
  <w:style w:type="character" w:customStyle="1" w:styleId="current-selection">
    <w:name w:val="current-selection"/>
    <w:basedOn w:val="DefaultParagraphFont"/>
    <w:rsid w:val="00A23C2A"/>
  </w:style>
  <w:style w:type="character" w:customStyle="1" w:styleId="a">
    <w:name w:val="_"/>
    <w:basedOn w:val="DefaultParagraphFont"/>
    <w:rsid w:val="00A23C2A"/>
  </w:style>
  <w:style w:type="character" w:customStyle="1" w:styleId="enhanced-reference">
    <w:name w:val="enhanced-reference"/>
    <w:basedOn w:val="DefaultParagraphFont"/>
    <w:rsid w:val="00A23C2A"/>
  </w:style>
  <w:style w:type="numbering" w:customStyle="1" w:styleId="NoList4">
    <w:name w:val="No List4"/>
    <w:next w:val="NoList"/>
    <w:uiPriority w:val="99"/>
    <w:semiHidden/>
    <w:unhideWhenUsed/>
    <w:rsid w:val="00A23C2A"/>
  </w:style>
  <w:style w:type="table" w:customStyle="1" w:styleId="TableGrid3">
    <w:name w:val="Table Grid3"/>
    <w:basedOn w:val="TableColumns3"/>
    <w:next w:val="TableGrid"/>
    <w:uiPriority w:val="59"/>
    <w:rsid w:val="00A23C2A"/>
    <w:rPr>
      <w:rFonts w:ascii="Cambria" w:eastAsia="MS Mincho" w:hAnsi="Cambria" w:cs="Arial"/>
      <w:sz w:val="20"/>
      <w:szCs w:val="20"/>
      <w:lang w:eastAsia="en-GB"/>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A23C2A"/>
    <w:pPr>
      <w:spacing w:after="200" w:line="276" w:lineRule="auto"/>
    </w:pPr>
    <w:rPr>
      <w:rFonts w:eastAsia="Times New Roman"/>
      <w:b/>
      <w:bCs/>
      <w:sz w:val="22"/>
      <w:szCs w:val="22"/>
      <w:lang w:eastAsia="zh-CN"/>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p1">
    <w:name w:val="p1"/>
    <w:basedOn w:val="Normal"/>
    <w:rsid w:val="00A23C2A"/>
    <w:pPr>
      <w:spacing w:before="120"/>
    </w:pPr>
    <w:rPr>
      <w:rFonts w:ascii="Helvetica" w:eastAsia="Times New Roman" w:hAnsi="Helvetica"/>
      <w:sz w:val="18"/>
      <w:szCs w:val="18"/>
    </w:rPr>
  </w:style>
  <w:style w:type="paragraph" w:customStyle="1" w:styleId="p2">
    <w:name w:val="p2"/>
    <w:basedOn w:val="Normal"/>
    <w:rsid w:val="00A23C2A"/>
    <w:pPr>
      <w:spacing w:before="120" w:line="240" w:lineRule="atLeast"/>
      <w:ind w:left="45"/>
      <w:jc w:val="center"/>
    </w:pPr>
    <w:rPr>
      <w:rFonts w:ascii="Arial" w:eastAsia="Times New Roman" w:hAnsi="Arial" w:cs="Arial"/>
      <w:sz w:val="18"/>
      <w:szCs w:val="18"/>
    </w:rPr>
  </w:style>
  <w:style w:type="paragraph" w:customStyle="1" w:styleId="p3">
    <w:name w:val="p3"/>
    <w:basedOn w:val="Normal"/>
    <w:rsid w:val="00A23C2A"/>
    <w:pPr>
      <w:spacing w:before="120"/>
    </w:pPr>
    <w:rPr>
      <w:rFonts w:eastAsia="Times New Roman"/>
      <w:sz w:val="18"/>
      <w:szCs w:val="18"/>
    </w:rPr>
  </w:style>
  <w:style w:type="paragraph" w:customStyle="1" w:styleId="p4">
    <w:name w:val="p4"/>
    <w:basedOn w:val="Normal"/>
    <w:rsid w:val="00A23C2A"/>
    <w:pPr>
      <w:spacing w:before="120" w:line="240" w:lineRule="atLeast"/>
      <w:ind w:left="45"/>
    </w:pPr>
    <w:rPr>
      <w:rFonts w:ascii="Arial" w:eastAsia="Times New Roman" w:hAnsi="Arial" w:cs="Arial"/>
      <w:sz w:val="18"/>
      <w:szCs w:val="18"/>
    </w:rPr>
  </w:style>
  <w:style w:type="paragraph" w:customStyle="1" w:styleId="p5">
    <w:name w:val="p5"/>
    <w:basedOn w:val="Normal"/>
    <w:rsid w:val="00A23C2A"/>
    <w:pPr>
      <w:spacing w:before="120" w:line="240" w:lineRule="atLeast"/>
      <w:ind w:left="45"/>
      <w:jc w:val="right"/>
    </w:pPr>
    <w:rPr>
      <w:rFonts w:ascii="Arial" w:eastAsia="Times New Roman" w:hAnsi="Arial" w:cs="Arial"/>
      <w:sz w:val="18"/>
      <w:szCs w:val="18"/>
    </w:rPr>
  </w:style>
  <w:style w:type="paragraph" w:customStyle="1" w:styleId="p6">
    <w:name w:val="p6"/>
    <w:basedOn w:val="Normal"/>
    <w:rsid w:val="00A23C2A"/>
    <w:pPr>
      <w:spacing w:before="120" w:line="300" w:lineRule="atLeast"/>
    </w:pPr>
    <w:rPr>
      <w:rFonts w:eastAsia="Times New Roman"/>
      <w:sz w:val="18"/>
      <w:szCs w:val="18"/>
    </w:rPr>
  </w:style>
  <w:style w:type="character" w:customStyle="1" w:styleId="apple-converted-space">
    <w:name w:val="apple-converted-space"/>
    <w:basedOn w:val="DefaultParagraphFont"/>
    <w:rsid w:val="00A23C2A"/>
  </w:style>
  <w:style w:type="table" w:customStyle="1" w:styleId="TableGrid11">
    <w:name w:val="Table Grid11"/>
    <w:basedOn w:val="TableNormal"/>
    <w:next w:val="TableGrid"/>
    <w:uiPriority w:val="59"/>
    <w:rsid w:val="00A23C2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A23C2A"/>
    <w:rPr>
      <w:rFonts w:ascii="TimesNewRomanPSMT" w:hAnsi="TimesNewRomanPSMT" w:hint="default"/>
      <w:b w:val="0"/>
      <w:bCs w:val="0"/>
      <w:i w:val="0"/>
      <w:iCs w:val="0"/>
      <w:color w:val="000000"/>
      <w:sz w:val="20"/>
      <w:szCs w:val="20"/>
    </w:rPr>
  </w:style>
  <w:style w:type="table" w:customStyle="1" w:styleId="TableGrid21">
    <w:name w:val="Table Grid21"/>
    <w:basedOn w:val="TableNormal"/>
    <w:next w:val="TableGrid"/>
    <w:uiPriority w:val="39"/>
    <w:rsid w:val="00A23C2A"/>
    <w:pPr>
      <w:spacing w:after="200" w:line="276" w:lineRule="auto"/>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
    <w:name w:val="Light List1"/>
    <w:basedOn w:val="TableNormal"/>
    <w:next w:val="LightList"/>
    <w:uiPriority w:val="61"/>
    <w:rsid w:val="00A23C2A"/>
    <w:rPr>
      <w:rFonts w:eastAsia="Times New Roman"/>
      <w:sz w:val="22"/>
      <w:szCs w:val="22"/>
      <w:lang w:eastAsia="zh-C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CommentSubjectChar1">
    <w:name w:val="Comment Subject Char1"/>
    <w:basedOn w:val="CommentTextChar"/>
    <w:uiPriority w:val="99"/>
    <w:semiHidden/>
    <w:rsid w:val="00A23C2A"/>
    <w:rPr>
      <w:rFonts w:asciiTheme="majorBidi" w:eastAsiaTheme="minorEastAsia" w:hAnsiTheme="majorBidi"/>
      <w:b/>
      <w:bCs/>
      <w:sz w:val="20"/>
      <w:szCs w:val="20"/>
      <w:lang w:eastAsia="zh-CN"/>
    </w:rPr>
  </w:style>
  <w:style w:type="paragraph" w:customStyle="1" w:styleId="NormalWeb1">
    <w:name w:val="Normal (Web)1"/>
    <w:basedOn w:val="Normal"/>
    <w:next w:val="NormalWeb"/>
    <w:uiPriority w:val="99"/>
    <w:unhideWhenUsed/>
    <w:rsid w:val="00A23C2A"/>
    <w:pPr>
      <w:spacing w:before="100" w:beforeAutospacing="1" w:after="100" w:afterAutospacing="1"/>
    </w:pPr>
    <w:rPr>
      <w:rFonts w:ascii="Times" w:eastAsia="Times New Roman" w:hAnsi="Times"/>
      <w:sz w:val="20"/>
      <w:szCs w:val="20"/>
      <w:lang w:eastAsia="en-US"/>
    </w:rPr>
  </w:style>
  <w:style w:type="table" w:customStyle="1" w:styleId="TableGrid31">
    <w:name w:val="Table Grid31"/>
    <w:basedOn w:val="TableNormal"/>
    <w:next w:val="TableGrid"/>
    <w:uiPriority w:val="59"/>
    <w:rsid w:val="00A23C2A"/>
    <w:rPr>
      <w:rFonts w:eastAsia="Times New Roman"/>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1">
    <w:name w:val="Light List11"/>
    <w:basedOn w:val="TableNormal"/>
    <w:next w:val="LightList"/>
    <w:uiPriority w:val="61"/>
    <w:rsid w:val="00A23C2A"/>
    <w:rPr>
      <w:rFonts w:eastAsia="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PlainTable21">
    <w:name w:val="Plain Table 21"/>
    <w:basedOn w:val="TableNormal"/>
    <w:uiPriority w:val="42"/>
    <w:rsid w:val="00A23C2A"/>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Style13">
    <w:name w:val="Style13"/>
    <w:uiPriority w:val="99"/>
    <w:rsid w:val="00A23C2A"/>
    <w:pPr>
      <w:numPr>
        <w:numId w:val="4"/>
      </w:numPr>
    </w:pPr>
  </w:style>
  <w:style w:type="table" w:styleId="TableColumns3">
    <w:name w:val="Table Columns 3"/>
    <w:basedOn w:val="TableNormal"/>
    <w:uiPriority w:val="99"/>
    <w:semiHidden/>
    <w:unhideWhenUsed/>
    <w:rsid w:val="00A23C2A"/>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NormalWeb">
    <w:name w:val="Normal (Web)"/>
    <w:basedOn w:val="Normal"/>
    <w:uiPriority w:val="99"/>
    <w:semiHidden/>
    <w:unhideWhenUsed/>
    <w:rsid w:val="00A23C2A"/>
  </w:style>
  <w:style w:type="numbering" w:customStyle="1" w:styleId="NoList5">
    <w:name w:val="No List5"/>
    <w:next w:val="NoList"/>
    <w:uiPriority w:val="99"/>
    <w:semiHidden/>
    <w:unhideWhenUsed/>
    <w:rsid w:val="00A23C2A"/>
  </w:style>
  <w:style w:type="table" w:customStyle="1" w:styleId="TableGrid4">
    <w:name w:val="Table Grid4"/>
    <w:basedOn w:val="TableNormal"/>
    <w:next w:val="TableGrid"/>
    <w:uiPriority w:val="59"/>
    <w:rsid w:val="00A23C2A"/>
    <w:rPr>
      <w:rFonts w:eastAsia="SimSun"/>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A23C2A"/>
    <w:pPr>
      <w:numPr>
        <w:numId w:val="21"/>
      </w:numPr>
    </w:pPr>
  </w:style>
  <w:style w:type="numbering" w:customStyle="1" w:styleId="Style2">
    <w:name w:val="Style2"/>
    <w:uiPriority w:val="99"/>
    <w:rsid w:val="00A23C2A"/>
    <w:pPr>
      <w:numPr>
        <w:numId w:val="23"/>
      </w:numPr>
    </w:pPr>
  </w:style>
  <w:style w:type="numbering" w:customStyle="1" w:styleId="Style3">
    <w:name w:val="Style3"/>
    <w:uiPriority w:val="99"/>
    <w:rsid w:val="00A23C2A"/>
    <w:pPr>
      <w:numPr>
        <w:numId w:val="24"/>
      </w:numPr>
    </w:pPr>
  </w:style>
  <w:style w:type="numbering" w:customStyle="1" w:styleId="NoList6">
    <w:name w:val="No List6"/>
    <w:next w:val="NoList"/>
    <w:uiPriority w:val="99"/>
    <w:semiHidden/>
    <w:unhideWhenUsed/>
    <w:rsid w:val="000B4835"/>
  </w:style>
  <w:style w:type="numbering" w:customStyle="1" w:styleId="Style15">
    <w:name w:val="Style15"/>
    <w:uiPriority w:val="99"/>
    <w:rsid w:val="000B4835"/>
  </w:style>
  <w:style w:type="numbering" w:customStyle="1" w:styleId="NoList7">
    <w:name w:val="No List7"/>
    <w:next w:val="NoList"/>
    <w:uiPriority w:val="99"/>
    <w:semiHidden/>
    <w:unhideWhenUsed/>
    <w:rsid w:val="000B4835"/>
  </w:style>
  <w:style w:type="numbering" w:customStyle="1" w:styleId="Style16">
    <w:name w:val="Style16"/>
    <w:uiPriority w:val="99"/>
    <w:rsid w:val="000B4835"/>
    <w:pPr>
      <w:numPr>
        <w:numId w:val="1"/>
      </w:numPr>
    </w:pPr>
  </w:style>
  <w:style w:type="paragraph" w:customStyle="1" w:styleId="Figcaption">
    <w:name w:val="Fig caption"/>
    <w:basedOn w:val="Normal"/>
    <w:link w:val="FigcaptionChar"/>
    <w:qFormat/>
    <w:rsid w:val="00892491"/>
    <w:pPr>
      <w:tabs>
        <w:tab w:val="center" w:pos="1134"/>
      </w:tabs>
      <w:spacing w:before="200" w:line="360" w:lineRule="auto"/>
    </w:pPr>
    <w:rPr>
      <w:rFonts w:eastAsia="Times New Roman"/>
      <w:color w:val="000000"/>
      <w:sz w:val="22"/>
      <w:lang w:eastAsia="en-US"/>
    </w:rPr>
  </w:style>
  <w:style w:type="character" w:customStyle="1" w:styleId="FigcaptionChar">
    <w:name w:val="Fig caption Char"/>
    <w:basedOn w:val="DefaultParagraphFont"/>
    <w:link w:val="Figcaption"/>
    <w:rsid w:val="00892491"/>
    <w:rPr>
      <w:rFonts w:ascii="Times New Roman" w:eastAsia="Times New Roman" w:hAnsi="Times New Roman" w:cs="Times New Roman"/>
      <w:color w:val="000000"/>
      <w:sz w:val="22"/>
    </w:rPr>
  </w:style>
  <w:style w:type="paragraph" w:customStyle="1" w:styleId="Tablecaption">
    <w:name w:val="Table caption"/>
    <w:basedOn w:val="Normal"/>
    <w:link w:val="TablecaptionChar"/>
    <w:qFormat/>
    <w:rsid w:val="00892491"/>
    <w:pPr>
      <w:spacing w:before="200" w:after="200" w:line="360" w:lineRule="auto"/>
      <w:jc w:val="both"/>
    </w:pPr>
    <w:rPr>
      <w:rFonts w:asciiTheme="majorBidi" w:hAnsiTheme="majorBidi" w:cstheme="majorBidi"/>
      <w:color w:val="000000" w:themeColor="text1"/>
      <w:sz w:val="22"/>
      <w:lang w:val="en-US"/>
    </w:rPr>
  </w:style>
  <w:style w:type="character" w:styleId="SubtleEmphasis">
    <w:name w:val="Subtle Emphasis"/>
    <w:basedOn w:val="DefaultParagraphFont"/>
    <w:uiPriority w:val="19"/>
    <w:qFormat/>
    <w:rsid w:val="00556E8A"/>
    <w:rPr>
      <w:i/>
      <w:iCs/>
      <w:color w:val="808080" w:themeColor="text1" w:themeTint="7F"/>
    </w:rPr>
  </w:style>
  <w:style w:type="character" w:customStyle="1" w:styleId="TablecaptionChar">
    <w:name w:val="Table caption Char"/>
    <w:basedOn w:val="DefaultParagraphFont"/>
    <w:link w:val="Tablecaption"/>
    <w:rsid w:val="00892491"/>
    <w:rPr>
      <w:rFonts w:asciiTheme="majorBidi" w:hAnsiTheme="majorBidi" w:cstheme="majorBidi"/>
      <w:color w:val="000000" w:themeColor="text1"/>
      <w:sz w:val="22"/>
      <w:lang w:val="en-US" w:eastAsia="en-GB"/>
    </w:rPr>
  </w:style>
  <w:style w:type="paragraph" w:customStyle="1" w:styleId="Ahead">
    <w:name w:val="A head"/>
    <w:basedOn w:val="Heading2"/>
    <w:link w:val="AheadChar"/>
    <w:qFormat/>
    <w:rsid w:val="0061369D"/>
    <w:pPr>
      <w:spacing w:before="400" w:after="200"/>
      <w:ind w:left="680" w:hanging="680"/>
    </w:pPr>
  </w:style>
  <w:style w:type="paragraph" w:customStyle="1" w:styleId="Bhead">
    <w:name w:val="B head"/>
    <w:basedOn w:val="Ahead"/>
    <w:link w:val="BheadChar"/>
    <w:qFormat/>
    <w:rsid w:val="00DB2210"/>
    <w:pPr>
      <w:tabs>
        <w:tab w:val="left" w:pos="851"/>
      </w:tabs>
      <w:ind w:left="851" w:hanging="851"/>
    </w:pPr>
    <w:rPr>
      <w:rFonts w:eastAsia="Times New Roman"/>
      <w:sz w:val="28"/>
    </w:rPr>
  </w:style>
  <w:style w:type="character" w:customStyle="1" w:styleId="AheadChar">
    <w:name w:val="A head Char"/>
    <w:basedOn w:val="Heading2Char"/>
    <w:link w:val="Ahead"/>
    <w:rsid w:val="0061369D"/>
    <w:rPr>
      <w:rFonts w:ascii="Times New Roman" w:eastAsiaTheme="majorEastAsia" w:hAnsi="Times New Roman" w:cstheme="majorBidi"/>
      <w:b/>
      <w:color w:val="000000" w:themeColor="text1"/>
      <w:sz w:val="32"/>
      <w:szCs w:val="26"/>
      <w:lang w:val="en-US" w:eastAsia="zh-CN"/>
    </w:rPr>
  </w:style>
  <w:style w:type="paragraph" w:customStyle="1" w:styleId="Chead">
    <w:name w:val="C head"/>
    <w:basedOn w:val="Bhead"/>
    <w:link w:val="CheadChar"/>
    <w:qFormat/>
    <w:rsid w:val="00AE78AB"/>
    <w:pPr>
      <w:tabs>
        <w:tab w:val="clear" w:pos="851"/>
        <w:tab w:val="left" w:pos="1134"/>
      </w:tabs>
      <w:ind w:left="1134" w:hanging="1134"/>
    </w:pPr>
  </w:style>
  <w:style w:type="character" w:customStyle="1" w:styleId="BheadChar">
    <w:name w:val="B head Char"/>
    <w:basedOn w:val="AheadChar"/>
    <w:link w:val="Bhead"/>
    <w:rsid w:val="00DB2210"/>
    <w:rPr>
      <w:rFonts w:ascii="Times New Roman" w:eastAsia="Times New Roman" w:hAnsi="Times New Roman" w:cstheme="majorBidi"/>
      <w:b/>
      <w:color w:val="000000" w:themeColor="text1"/>
      <w:sz w:val="28"/>
      <w:szCs w:val="26"/>
      <w:lang w:val="en-US" w:eastAsia="zh-CN"/>
    </w:rPr>
  </w:style>
  <w:style w:type="paragraph" w:customStyle="1" w:styleId="Dhead">
    <w:name w:val="D head"/>
    <w:basedOn w:val="Chead"/>
    <w:link w:val="DheadChar"/>
    <w:qFormat/>
    <w:rsid w:val="00FA196E"/>
    <w:pPr>
      <w:tabs>
        <w:tab w:val="clear" w:pos="1134"/>
        <w:tab w:val="left" w:pos="1418"/>
      </w:tabs>
      <w:ind w:left="1418" w:hanging="1418"/>
    </w:pPr>
  </w:style>
  <w:style w:type="character" w:customStyle="1" w:styleId="CheadChar">
    <w:name w:val="C head Char"/>
    <w:basedOn w:val="BheadChar"/>
    <w:link w:val="Chead"/>
    <w:rsid w:val="00AE78AB"/>
    <w:rPr>
      <w:rFonts w:ascii="Times New Roman" w:eastAsia="Times New Roman" w:hAnsi="Times New Roman" w:cstheme="majorBidi"/>
      <w:b/>
      <w:color w:val="000000" w:themeColor="text1"/>
      <w:sz w:val="28"/>
      <w:szCs w:val="26"/>
      <w:lang w:val="en-US" w:eastAsia="zh-CN"/>
    </w:rPr>
  </w:style>
  <w:style w:type="character" w:customStyle="1" w:styleId="DheadChar">
    <w:name w:val="D head Char"/>
    <w:basedOn w:val="CheadChar"/>
    <w:link w:val="Dhead"/>
    <w:rsid w:val="00FA196E"/>
    <w:rPr>
      <w:rFonts w:ascii="Times New Roman" w:eastAsia="Times New Roman" w:hAnsi="Times New Roman" w:cstheme="majorBidi"/>
      <w:b/>
      <w:color w:val="000000" w:themeColor="text1"/>
      <w:sz w:val="28"/>
      <w:szCs w:val="26"/>
      <w:lang w:val="en-US" w:eastAsia="zh-CN"/>
    </w:rPr>
  </w:style>
  <w:style w:type="paragraph" w:customStyle="1" w:styleId="Paragraph">
    <w:name w:val="Paragraph"/>
    <w:basedOn w:val="Normal"/>
    <w:link w:val="ParagraphChar"/>
    <w:qFormat/>
    <w:rsid w:val="002B583D"/>
    <w:pPr>
      <w:spacing w:after="200" w:line="360" w:lineRule="auto"/>
      <w:jc w:val="both"/>
    </w:pPr>
    <w:rPr>
      <w:rFonts w:asciiTheme="majorBidi" w:hAnsiTheme="majorBidi" w:cstheme="majorBidi"/>
      <w:color w:val="000000" w:themeColor="text1"/>
    </w:rPr>
  </w:style>
  <w:style w:type="paragraph" w:customStyle="1" w:styleId="Extract">
    <w:name w:val="Extract"/>
    <w:basedOn w:val="Normal"/>
    <w:link w:val="ExtractChar"/>
    <w:qFormat/>
    <w:rsid w:val="00744EC9"/>
    <w:pPr>
      <w:spacing w:after="200" w:line="360" w:lineRule="auto"/>
      <w:ind w:left="720"/>
      <w:jc w:val="both"/>
    </w:pPr>
    <w:rPr>
      <w:rFonts w:asciiTheme="majorBidi" w:hAnsiTheme="majorBidi" w:cstheme="majorBidi"/>
      <w:color w:val="000000" w:themeColor="text1"/>
      <w:lang w:val="en-US"/>
    </w:rPr>
  </w:style>
  <w:style w:type="character" w:customStyle="1" w:styleId="ParagraphChar">
    <w:name w:val="Paragraph Char"/>
    <w:basedOn w:val="DefaultParagraphFont"/>
    <w:link w:val="Paragraph"/>
    <w:rsid w:val="002B583D"/>
    <w:rPr>
      <w:rFonts w:asciiTheme="majorBidi" w:hAnsiTheme="majorBidi" w:cstheme="majorBidi"/>
      <w:color w:val="000000" w:themeColor="text1"/>
      <w:lang w:eastAsia="en-GB"/>
    </w:rPr>
  </w:style>
  <w:style w:type="character" w:customStyle="1" w:styleId="ExtractChar">
    <w:name w:val="Extract Char"/>
    <w:basedOn w:val="DefaultParagraphFont"/>
    <w:link w:val="Extract"/>
    <w:rsid w:val="00744EC9"/>
    <w:rPr>
      <w:rFonts w:asciiTheme="majorBidi" w:hAnsiTheme="majorBidi" w:cstheme="majorBidi"/>
      <w:color w:val="000000" w:themeColor="text1"/>
      <w:lang w:val="en-US" w:eastAsia="en-GB"/>
    </w:rPr>
  </w:style>
  <w:style w:type="table" w:customStyle="1" w:styleId="TableGrid5">
    <w:name w:val="Table Grid5"/>
    <w:basedOn w:val="TableNormal"/>
    <w:next w:val="TableGrid"/>
    <w:uiPriority w:val="59"/>
    <w:rsid w:val="005A1942"/>
    <w:rPr>
      <w:rFonts w:ascii="Calibri" w:eastAsia="Times New Roma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A56946"/>
    <w:rPr>
      <w:rFonts w:ascii="Calibri" w:eastAsia="Times New Roma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2">
    <w:name w:val="Light List2"/>
    <w:basedOn w:val="TableNormal"/>
    <w:next w:val="LightList"/>
    <w:uiPriority w:val="61"/>
    <w:rsid w:val="008A38AF"/>
    <w:rPr>
      <w:rFonts w:ascii="Calibri" w:eastAsia="Times New Roman"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ablesource">
    <w:name w:val="Table_source"/>
    <w:basedOn w:val="Normal"/>
    <w:link w:val="TablesourceChar"/>
    <w:qFormat/>
    <w:rsid w:val="00892491"/>
    <w:pPr>
      <w:widowControl w:val="0"/>
      <w:autoSpaceDE w:val="0"/>
      <w:autoSpaceDN w:val="0"/>
      <w:adjustRightInd w:val="0"/>
      <w:spacing w:after="200" w:line="360" w:lineRule="auto"/>
      <w:jc w:val="both"/>
    </w:pPr>
    <w:rPr>
      <w:rFonts w:asciiTheme="majorBidi" w:hAnsiTheme="majorBidi" w:cstheme="majorBidi"/>
      <w:color w:val="000000" w:themeColor="text1"/>
      <w:sz w:val="22"/>
      <w:lang w:val="en-US"/>
    </w:rPr>
  </w:style>
  <w:style w:type="paragraph" w:customStyle="1" w:styleId="Figuresource">
    <w:name w:val="Figure_source"/>
    <w:basedOn w:val="Normal"/>
    <w:link w:val="FiguresourceChar"/>
    <w:qFormat/>
    <w:rsid w:val="0069253B"/>
    <w:pPr>
      <w:spacing w:after="200" w:line="360" w:lineRule="auto"/>
      <w:jc w:val="both"/>
    </w:pPr>
    <w:rPr>
      <w:rFonts w:asciiTheme="majorBidi" w:hAnsiTheme="majorBidi" w:cstheme="majorBidi"/>
      <w:color w:val="000000" w:themeColor="text1"/>
      <w:sz w:val="22"/>
      <w:lang w:val="en-US"/>
    </w:rPr>
  </w:style>
  <w:style w:type="character" w:customStyle="1" w:styleId="TablesourceChar">
    <w:name w:val="Table_source Char"/>
    <w:basedOn w:val="DefaultParagraphFont"/>
    <w:link w:val="Tablesource"/>
    <w:rsid w:val="00892491"/>
    <w:rPr>
      <w:rFonts w:asciiTheme="majorBidi" w:hAnsiTheme="majorBidi" w:cstheme="majorBidi"/>
      <w:color w:val="000000" w:themeColor="text1"/>
      <w:sz w:val="22"/>
      <w:lang w:val="en-US" w:eastAsia="en-GB"/>
    </w:rPr>
  </w:style>
  <w:style w:type="table" w:customStyle="1" w:styleId="LightList3">
    <w:name w:val="Light List3"/>
    <w:basedOn w:val="TableNormal"/>
    <w:next w:val="LightList"/>
    <w:uiPriority w:val="61"/>
    <w:rsid w:val="00384EAD"/>
    <w:rPr>
      <w:rFonts w:ascii="Calibri" w:eastAsia="Times New Roman"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FiguresourceChar">
    <w:name w:val="Figure_source Char"/>
    <w:basedOn w:val="DefaultParagraphFont"/>
    <w:link w:val="Figuresource"/>
    <w:rsid w:val="0069253B"/>
    <w:rPr>
      <w:rFonts w:asciiTheme="majorBidi" w:hAnsiTheme="majorBidi" w:cstheme="majorBidi"/>
      <w:color w:val="000000" w:themeColor="text1"/>
      <w:sz w:val="22"/>
      <w:lang w:val="en-US" w:eastAsia="en-GB"/>
    </w:rPr>
  </w:style>
  <w:style w:type="table" w:customStyle="1" w:styleId="LightList4">
    <w:name w:val="Light List4"/>
    <w:basedOn w:val="TableNormal"/>
    <w:next w:val="LightList"/>
    <w:uiPriority w:val="61"/>
    <w:rsid w:val="00C15BF0"/>
    <w:rPr>
      <w:rFonts w:ascii="Calibri" w:eastAsia="Times New Roman"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5">
    <w:name w:val="Light List5"/>
    <w:basedOn w:val="TableNormal"/>
    <w:next w:val="LightList"/>
    <w:uiPriority w:val="61"/>
    <w:rsid w:val="00EB7292"/>
    <w:rPr>
      <w:rFonts w:ascii="Calibri" w:eastAsia="Times New Roman"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6">
    <w:name w:val="Light List6"/>
    <w:basedOn w:val="TableNormal"/>
    <w:next w:val="LightList"/>
    <w:uiPriority w:val="61"/>
    <w:rsid w:val="00257ADF"/>
    <w:rPr>
      <w:rFonts w:ascii="Calibri" w:eastAsia="Times New Roman"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7">
    <w:name w:val="Light List7"/>
    <w:basedOn w:val="TableNormal"/>
    <w:next w:val="LightList"/>
    <w:uiPriority w:val="61"/>
    <w:rsid w:val="00E44DCD"/>
    <w:rPr>
      <w:rFonts w:ascii="Calibri" w:eastAsia="Times New Roman"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8">
    <w:name w:val="Light List8"/>
    <w:basedOn w:val="TableNormal"/>
    <w:next w:val="LightList"/>
    <w:uiPriority w:val="61"/>
    <w:rsid w:val="009C1E3C"/>
    <w:rPr>
      <w:rFonts w:ascii="Calibri" w:eastAsia="Times New Roman"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9">
    <w:name w:val="Light List9"/>
    <w:basedOn w:val="TableNormal"/>
    <w:next w:val="LightList"/>
    <w:uiPriority w:val="61"/>
    <w:rsid w:val="002E4007"/>
    <w:rPr>
      <w:rFonts w:ascii="Calibri" w:eastAsia="Times New Roman"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
    <w:name w:val="Light List10"/>
    <w:basedOn w:val="TableNormal"/>
    <w:next w:val="LightList"/>
    <w:uiPriority w:val="61"/>
    <w:rsid w:val="00BB60AA"/>
    <w:rPr>
      <w:rFonts w:ascii="Calibri" w:eastAsia="Times New Roman"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2">
    <w:name w:val="Light List12"/>
    <w:basedOn w:val="TableNormal"/>
    <w:next w:val="LightList"/>
    <w:uiPriority w:val="61"/>
    <w:rsid w:val="00BB60AA"/>
    <w:rPr>
      <w:rFonts w:ascii="Calibri" w:eastAsia="Times New Roman"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3">
    <w:name w:val="Light List13"/>
    <w:basedOn w:val="TableNormal"/>
    <w:next w:val="LightList"/>
    <w:uiPriority w:val="61"/>
    <w:rsid w:val="00BB60AA"/>
    <w:rPr>
      <w:rFonts w:ascii="Calibri" w:eastAsia="Times New Roman"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4">
    <w:name w:val="Light List14"/>
    <w:basedOn w:val="TableNormal"/>
    <w:next w:val="LightList"/>
    <w:uiPriority w:val="61"/>
    <w:rsid w:val="000759FB"/>
    <w:rPr>
      <w:rFonts w:ascii="Calibri" w:eastAsia="Times New Roman"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5">
    <w:name w:val="Light List15"/>
    <w:basedOn w:val="TableNormal"/>
    <w:next w:val="LightList"/>
    <w:uiPriority w:val="61"/>
    <w:rsid w:val="00284111"/>
    <w:rPr>
      <w:rFonts w:ascii="Calibri" w:eastAsia="Times New Roman"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6">
    <w:name w:val="Light List16"/>
    <w:basedOn w:val="TableNormal"/>
    <w:next w:val="LightList"/>
    <w:uiPriority w:val="61"/>
    <w:rsid w:val="00995420"/>
    <w:rPr>
      <w:rFonts w:ascii="Calibri" w:eastAsia="Times New Roman"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7">
    <w:name w:val="Light List17"/>
    <w:basedOn w:val="TableNormal"/>
    <w:next w:val="LightList"/>
    <w:uiPriority w:val="61"/>
    <w:rsid w:val="003214BE"/>
    <w:rPr>
      <w:rFonts w:ascii="Calibri" w:eastAsia="Times New Roman"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8">
    <w:name w:val="Light List18"/>
    <w:basedOn w:val="TableNormal"/>
    <w:next w:val="LightList"/>
    <w:uiPriority w:val="61"/>
    <w:rsid w:val="001D5721"/>
    <w:rPr>
      <w:rFonts w:ascii="Calibri" w:eastAsia="Times New Roman"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7">
    <w:name w:val="Table Grid7"/>
    <w:basedOn w:val="TableNormal"/>
    <w:next w:val="TableGrid"/>
    <w:uiPriority w:val="59"/>
    <w:rsid w:val="00453E26"/>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453E26"/>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0E260E"/>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3C210A"/>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16AD3"/>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16AD3"/>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F93D44"/>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F93D44"/>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F93D44"/>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FA02F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FA02F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FA02F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6642">
      <w:bodyDiv w:val="1"/>
      <w:marLeft w:val="0"/>
      <w:marRight w:val="0"/>
      <w:marTop w:val="0"/>
      <w:marBottom w:val="0"/>
      <w:divBdr>
        <w:top w:val="none" w:sz="0" w:space="0" w:color="auto"/>
        <w:left w:val="none" w:sz="0" w:space="0" w:color="auto"/>
        <w:bottom w:val="none" w:sz="0" w:space="0" w:color="auto"/>
        <w:right w:val="none" w:sz="0" w:space="0" w:color="auto"/>
      </w:divBdr>
      <w:divsChild>
        <w:div w:id="1996571125">
          <w:marLeft w:val="0"/>
          <w:marRight w:val="0"/>
          <w:marTop w:val="0"/>
          <w:marBottom w:val="0"/>
          <w:divBdr>
            <w:top w:val="none" w:sz="0" w:space="0" w:color="auto"/>
            <w:left w:val="none" w:sz="0" w:space="0" w:color="auto"/>
            <w:bottom w:val="none" w:sz="0" w:space="0" w:color="auto"/>
            <w:right w:val="none" w:sz="0" w:space="0" w:color="auto"/>
          </w:divBdr>
          <w:divsChild>
            <w:div w:id="48621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5895">
      <w:bodyDiv w:val="1"/>
      <w:marLeft w:val="0"/>
      <w:marRight w:val="0"/>
      <w:marTop w:val="0"/>
      <w:marBottom w:val="0"/>
      <w:divBdr>
        <w:top w:val="none" w:sz="0" w:space="0" w:color="auto"/>
        <w:left w:val="none" w:sz="0" w:space="0" w:color="auto"/>
        <w:bottom w:val="none" w:sz="0" w:space="0" w:color="auto"/>
        <w:right w:val="none" w:sz="0" w:space="0" w:color="auto"/>
      </w:divBdr>
    </w:div>
    <w:div w:id="105200870">
      <w:bodyDiv w:val="1"/>
      <w:marLeft w:val="0"/>
      <w:marRight w:val="0"/>
      <w:marTop w:val="0"/>
      <w:marBottom w:val="0"/>
      <w:divBdr>
        <w:top w:val="none" w:sz="0" w:space="0" w:color="auto"/>
        <w:left w:val="none" w:sz="0" w:space="0" w:color="auto"/>
        <w:bottom w:val="none" w:sz="0" w:space="0" w:color="auto"/>
        <w:right w:val="none" w:sz="0" w:space="0" w:color="auto"/>
      </w:divBdr>
    </w:div>
    <w:div w:id="110588727">
      <w:bodyDiv w:val="1"/>
      <w:marLeft w:val="0"/>
      <w:marRight w:val="0"/>
      <w:marTop w:val="0"/>
      <w:marBottom w:val="0"/>
      <w:divBdr>
        <w:top w:val="none" w:sz="0" w:space="0" w:color="auto"/>
        <w:left w:val="none" w:sz="0" w:space="0" w:color="auto"/>
        <w:bottom w:val="none" w:sz="0" w:space="0" w:color="auto"/>
        <w:right w:val="none" w:sz="0" w:space="0" w:color="auto"/>
      </w:divBdr>
    </w:div>
    <w:div w:id="118569793">
      <w:bodyDiv w:val="1"/>
      <w:marLeft w:val="0"/>
      <w:marRight w:val="0"/>
      <w:marTop w:val="0"/>
      <w:marBottom w:val="0"/>
      <w:divBdr>
        <w:top w:val="none" w:sz="0" w:space="0" w:color="auto"/>
        <w:left w:val="none" w:sz="0" w:space="0" w:color="auto"/>
        <w:bottom w:val="none" w:sz="0" w:space="0" w:color="auto"/>
        <w:right w:val="none" w:sz="0" w:space="0" w:color="auto"/>
      </w:divBdr>
    </w:div>
    <w:div w:id="153374283">
      <w:bodyDiv w:val="1"/>
      <w:marLeft w:val="0"/>
      <w:marRight w:val="0"/>
      <w:marTop w:val="0"/>
      <w:marBottom w:val="0"/>
      <w:divBdr>
        <w:top w:val="none" w:sz="0" w:space="0" w:color="auto"/>
        <w:left w:val="none" w:sz="0" w:space="0" w:color="auto"/>
        <w:bottom w:val="none" w:sz="0" w:space="0" w:color="auto"/>
        <w:right w:val="none" w:sz="0" w:space="0" w:color="auto"/>
      </w:divBdr>
    </w:div>
    <w:div w:id="261107145">
      <w:bodyDiv w:val="1"/>
      <w:marLeft w:val="0"/>
      <w:marRight w:val="0"/>
      <w:marTop w:val="0"/>
      <w:marBottom w:val="0"/>
      <w:divBdr>
        <w:top w:val="none" w:sz="0" w:space="0" w:color="auto"/>
        <w:left w:val="none" w:sz="0" w:space="0" w:color="auto"/>
        <w:bottom w:val="none" w:sz="0" w:space="0" w:color="auto"/>
        <w:right w:val="none" w:sz="0" w:space="0" w:color="auto"/>
      </w:divBdr>
      <w:divsChild>
        <w:div w:id="125005940">
          <w:marLeft w:val="0"/>
          <w:marRight w:val="0"/>
          <w:marTop w:val="0"/>
          <w:marBottom w:val="0"/>
          <w:divBdr>
            <w:top w:val="none" w:sz="0" w:space="0" w:color="auto"/>
            <w:left w:val="none" w:sz="0" w:space="0" w:color="auto"/>
            <w:bottom w:val="none" w:sz="0" w:space="0" w:color="auto"/>
            <w:right w:val="none" w:sz="0" w:space="0" w:color="auto"/>
          </w:divBdr>
        </w:div>
        <w:div w:id="1239825369">
          <w:marLeft w:val="0"/>
          <w:marRight w:val="0"/>
          <w:marTop w:val="0"/>
          <w:marBottom w:val="0"/>
          <w:divBdr>
            <w:top w:val="none" w:sz="0" w:space="0" w:color="auto"/>
            <w:left w:val="none" w:sz="0" w:space="0" w:color="auto"/>
            <w:bottom w:val="none" w:sz="0" w:space="0" w:color="auto"/>
            <w:right w:val="none" w:sz="0" w:space="0" w:color="auto"/>
          </w:divBdr>
        </w:div>
      </w:divsChild>
    </w:div>
    <w:div w:id="266042491">
      <w:bodyDiv w:val="1"/>
      <w:marLeft w:val="0"/>
      <w:marRight w:val="0"/>
      <w:marTop w:val="0"/>
      <w:marBottom w:val="0"/>
      <w:divBdr>
        <w:top w:val="none" w:sz="0" w:space="0" w:color="auto"/>
        <w:left w:val="none" w:sz="0" w:space="0" w:color="auto"/>
        <w:bottom w:val="none" w:sz="0" w:space="0" w:color="auto"/>
        <w:right w:val="none" w:sz="0" w:space="0" w:color="auto"/>
      </w:divBdr>
    </w:div>
    <w:div w:id="358241021">
      <w:bodyDiv w:val="1"/>
      <w:marLeft w:val="0"/>
      <w:marRight w:val="0"/>
      <w:marTop w:val="0"/>
      <w:marBottom w:val="0"/>
      <w:divBdr>
        <w:top w:val="none" w:sz="0" w:space="0" w:color="auto"/>
        <w:left w:val="none" w:sz="0" w:space="0" w:color="auto"/>
        <w:bottom w:val="none" w:sz="0" w:space="0" w:color="auto"/>
        <w:right w:val="none" w:sz="0" w:space="0" w:color="auto"/>
      </w:divBdr>
    </w:div>
    <w:div w:id="470489354">
      <w:bodyDiv w:val="1"/>
      <w:marLeft w:val="0"/>
      <w:marRight w:val="0"/>
      <w:marTop w:val="0"/>
      <w:marBottom w:val="0"/>
      <w:divBdr>
        <w:top w:val="none" w:sz="0" w:space="0" w:color="auto"/>
        <w:left w:val="none" w:sz="0" w:space="0" w:color="auto"/>
        <w:bottom w:val="none" w:sz="0" w:space="0" w:color="auto"/>
        <w:right w:val="none" w:sz="0" w:space="0" w:color="auto"/>
      </w:divBdr>
      <w:divsChild>
        <w:div w:id="403182479">
          <w:marLeft w:val="0"/>
          <w:marRight w:val="0"/>
          <w:marTop w:val="0"/>
          <w:marBottom w:val="0"/>
          <w:divBdr>
            <w:top w:val="none" w:sz="0" w:space="0" w:color="auto"/>
            <w:left w:val="none" w:sz="0" w:space="0" w:color="auto"/>
            <w:bottom w:val="none" w:sz="0" w:space="0" w:color="auto"/>
            <w:right w:val="none" w:sz="0" w:space="0" w:color="auto"/>
          </w:divBdr>
        </w:div>
        <w:div w:id="759791042">
          <w:marLeft w:val="0"/>
          <w:marRight w:val="0"/>
          <w:marTop w:val="0"/>
          <w:marBottom w:val="0"/>
          <w:divBdr>
            <w:top w:val="none" w:sz="0" w:space="0" w:color="auto"/>
            <w:left w:val="none" w:sz="0" w:space="0" w:color="auto"/>
            <w:bottom w:val="none" w:sz="0" w:space="0" w:color="auto"/>
            <w:right w:val="none" w:sz="0" w:space="0" w:color="auto"/>
          </w:divBdr>
        </w:div>
        <w:div w:id="1585914320">
          <w:marLeft w:val="0"/>
          <w:marRight w:val="0"/>
          <w:marTop w:val="0"/>
          <w:marBottom w:val="0"/>
          <w:divBdr>
            <w:top w:val="none" w:sz="0" w:space="0" w:color="auto"/>
            <w:left w:val="none" w:sz="0" w:space="0" w:color="auto"/>
            <w:bottom w:val="none" w:sz="0" w:space="0" w:color="auto"/>
            <w:right w:val="none" w:sz="0" w:space="0" w:color="auto"/>
          </w:divBdr>
        </w:div>
        <w:div w:id="1703089691">
          <w:marLeft w:val="0"/>
          <w:marRight w:val="0"/>
          <w:marTop w:val="0"/>
          <w:marBottom w:val="0"/>
          <w:divBdr>
            <w:top w:val="none" w:sz="0" w:space="0" w:color="auto"/>
            <w:left w:val="none" w:sz="0" w:space="0" w:color="auto"/>
            <w:bottom w:val="none" w:sz="0" w:space="0" w:color="auto"/>
            <w:right w:val="none" w:sz="0" w:space="0" w:color="auto"/>
          </w:divBdr>
        </w:div>
      </w:divsChild>
    </w:div>
    <w:div w:id="527136394">
      <w:bodyDiv w:val="1"/>
      <w:marLeft w:val="0"/>
      <w:marRight w:val="0"/>
      <w:marTop w:val="0"/>
      <w:marBottom w:val="0"/>
      <w:divBdr>
        <w:top w:val="none" w:sz="0" w:space="0" w:color="auto"/>
        <w:left w:val="none" w:sz="0" w:space="0" w:color="auto"/>
        <w:bottom w:val="none" w:sz="0" w:space="0" w:color="auto"/>
        <w:right w:val="none" w:sz="0" w:space="0" w:color="auto"/>
      </w:divBdr>
    </w:div>
    <w:div w:id="553467765">
      <w:bodyDiv w:val="1"/>
      <w:marLeft w:val="0"/>
      <w:marRight w:val="0"/>
      <w:marTop w:val="0"/>
      <w:marBottom w:val="0"/>
      <w:divBdr>
        <w:top w:val="none" w:sz="0" w:space="0" w:color="auto"/>
        <w:left w:val="none" w:sz="0" w:space="0" w:color="auto"/>
        <w:bottom w:val="none" w:sz="0" w:space="0" w:color="auto"/>
        <w:right w:val="none" w:sz="0" w:space="0" w:color="auto"/>
      </w:divBdr>
    </w:div>
    <w:div w:id="553977303">
      <w:bodyDiv w:val="1"/>
      <w:marLeft w:val="0"/>
      <w:marRight w:val="0"/>
      <w:marTop w:val="0"/>
      <w:marBottom w:val="0"/>
      <w:divBdr>
        <w:top w:val="none" w:sz="0" w:space="0" w:color="auto"/>
        <w:left w:val="none" w:sz="0" w:space="0" w:color="auto"/>
        <w:bottom w:val="none" w:sz="0" w:space="0" w:color="auto"/>
        <w:right w:val="none" w:sz="0" w:space="0" w:color="auto"/>
      </w:divBdr>
    </w:div>
    <w:div w:id="597449261">
      <w:bodyDiv w:val="1"/>
      <w:marLeft w:val="0"/>
      <w:marRight w:val="0"/>
      <w:marTop w:val="0"/>
      <w:marBottom w:val="0"/>
      <w:divBdr>
        <w:top w:val="none" w:sz="0" w:space="0" w:color="auto"/>
        <w:left w:val="none" w:sz="0" w:space="0" w:color="auto"/>
        <w:bottom w:val="none" w:sz="0" w:space="0" w:color="auto"/>
        <w:right w:val="none" w:sz="0" w:space="0" w:color="auto"/>
      </w:divBdr>
    </w:div>
    <w:div w:id="685906503">
      <w:bodyDiv w:val="1"/>
      <w:marLeft w:val="0"/>
      <w:marRight w:val="0"/>
      <w:marTop w:val="0"/>
      <w:marBottom w:val="0"/>
      <w:divBdr>
        <w:top w:val="none" w:sz="0" w:space="0" w:color="auto"/>
        <w:left w:val="none" w:sz="0" w:space="0" w:color="auto"/>
        <w:bottom w:val="none" w:sz="0" w:space="0" w:color="auto"/>
        <w:right w:val="none" w:sz="0" w:space="0" w:color="auto"/>
      </w:divBdr>
      <w:divsChild>
        <w:div w:id="540557875">
          <w:marLeft w:val="0"/>
          <w:marRight w:val="0"/>
          <w:marTop w:val="0"/>
          <w:marBottom w:val="0"/>
          <w:divBdr>
            <w:top w:val="none" w:sz="0" w:space="0" w:color="auto"/>
            <w:left w:val="none" w:sz="0" w:space="0" w:color="auto"/>
            <w:bottom w:val="none" w:sz="0" w:space="0" w:color="auto"/>
            <w:right w:val="none" w:sz="0" w:space="0" w:color="auto"/>
          </w:divBdr>
        </w:div>
        <w:div w:id="888296335">
          <w:marLeft w:val="0"/>
          <w:marRight w:val="0"/>
          <w:marTop w:val="0"/>
          <w:marBottom w:val="0"/>
          <w:divBdr>
            <w:top w:val="none" w:sz="0" w:space="0" w:color="auto"/>
            <w:left w:val="none" w:sz="0" w:space="0" w:color="auto"/>
            <w:bottom w:val="none" w:sz="0" w:space="0" w:color="auto"/>
            <w:right w:val="none" w:sz="0" w:space="0" w:color="auto"/>
          </w:divBdr>
        </w:div>
        <w:div w:id="1201741320">
          <w:marLeft w:val="0"/>
          <w:marRight w:val="0"/>
          <w:marTop w:val="0"/>
          <w:marBottom w:val="0"/>
          <w:divBdr>
            <w:top w:val="none" w:sz="0" w:space="0" w:color="auto"/>
            <w:left w:val="none" w:sz="0" w:space="0" w:color="auto"/>
            <w:bottom w:val="none" w:sz="0" w:space="0" w:color="auto"/>
            <w:right w:val="none" w:sz="0" w:space="0" w:color="auto"/>
          </w:divBdr>
        </w:div>
      </w:divsChild>
    </w:div>
    <w:div w:id="726492637">
      <w:bodyDiv w:val="1"/>
      <w:marLeft w:val="0"/>
      <w:marRight w:val="0"/>
      <w:marTop w:val="0"/>
      <w:marBottom w:val="0"/>
      <w:divBdr>
        <w:top w:val="none" w:sz="0" w:space="0" w:color="auto"/>
        <w:left w:val="none" w:sz="0" w:space="0" w:color="auto"/>
        <w:bottom w:val="none" w:sz="0" w:space="0" w:color="auto"/>
        <w:right w:val="none" w:sz="0" w:space="0" w:color="auto"/>
      </w:divBdr>
    </w:div>
    <w:div w:id="734426762">
      <w:bodyDiv w:val="1"/>
      <w:marLeft w:val="0"/>
      <w:marRight w:val="0"/>
      <w:marTop w:val="0"/>
      <w:marBottom w:val="0"/>
      <w:divBdr>
        <w:top w:val="none" w:sz="0" w:space="0" w:color="auto"/>
        <w:left w:val="none" w:sz="0" w:space="0" w:color="auto"/>
        <w:bottom w:val="none" w:sz="0" w:space="0" w:color="auto"/>
        <w:right w:val="none" w:sz="0" w:space="0" w:color="auto"/>
      </w:divBdr>
    </w:div>
    <w:div w:id="743137836">
      <w:bodyDiv w:val="1"/>
      <w:marLeft w:val="0"/>
      <w:marRight w:val="0"/>
      <w:marTop w:val="0"/>
      <w:marBottom w:val="0"/>
      <w:divBdr>
        <w:top w:val="none" w:sz="0" w:space="0" w:color="auto"/>
        <w:left w:val="none" w:sz="0" w:space="0" w:color="auto"/>
        <w:bottom w:val="none" w:sz="0" w:space="0" w:color="auto"/>
        <w:right w:val="none" w:sz="0" w:space="0" w:color="auto"/>
      </w:divBdr>
    </w:div>
    <w:div w:id="799491477">
      <w:bodyDiv w:val="1"/>
      <w:marLeft w:val="0"/>
      <w:marRight w:val="0"/>
      <w:marTop w:val="0"/>
      <w:marBottom w:val="0"/>
      <w:divBdr>
        <w:top w:val="none" w:sz="0" w:space="0" w:color="auto"/>
        <w:left w:val="none" w:sz="0" w:space="0" w:color="auto"/>
        <w:bottom w:val="none" w:sz="0" w:space="0" w:color="auto"/>
        <w:right w:val="none" w:sz="0" w:space="0" w:color="auto"/>
      </w:divBdr>
    </w:div>
    <w:div w:id="814878584">
      <w:bodyDiv w:val="1"/>
      <w:marLeft w:val="0"/>
      <w:marRight w:val="0"/>
      <w:marTop w:val="0"/>
      <w:marBottom w:val="0"/>
      <w:divBdr>
        <w:top w:val="none" w:sz="0" w:space="0" w:color="auto"/>
        <w:left w:val="none" w:sz="0" w:space="0" w:color="auto"/>
        <w:bottom w:val="none" w:sz="0" w:space="0" w:color="auto"/>
        <w:right w:val="none" w:sz="0" w:space="0" w:color="auto"/>
      </w:divBdr>
    </w:div>
    <w:div w:id="905533766">
      <w:bodyDiv w:val="1"/>
      <w:marLeft w:val="0"/>
      <w:marRight w:val="0"/>
      <w:marTop w:val="0"/>
      <w:marBottom w:val="0"/>
      <w:divBdr>
        <w:top w:val="none" w:sz="0" w:space="0" w:color="auto"/>
        <w:left w:val="none" w:sz="0" w:space="0" w:color="auto"/>
        <w:bottom w:val="none" w:sz="0" w:space="0" w:color="auto"/>
        <w:right w:val="none" w:sz="0" w:space="0" w:color="auto"/>
      </w:divBdr>
    </w:div>
    <w:div w:id="907574983">
      <w:bodyDiv w:val="1"/>
      <w:marLeft w:val="0"/>
      <w:marRight w:val="0"/>
      <w:marTop w:val="0"/>
      <w:marBottom w:val="0"/>
      <w:divBdr>
        <w:top w:val="none" w:sz="0" w:space="0" w:color="auto"/>
        <w:left w:val="none" w:sz="0" w:space="0" w:color="auto"/>
        <w:bottom w:val="none" w:sz="0" w:space="0" w:color="auto"/>
        <w:right w:val="none" w:sz="0" w:space="0" w:color="auto"/>
      </w:divBdr>
    </w:div>
    <w:div w:id="914120667">
      <w:bodyDiv w:val="1"/>
      <w:marLeft w:val="0"/>
      <w:marRight w:val="0"/>
      <w:marTop w:val="0"/>
      <w:marBottom w:val="0"/>
      <w:divBdr>
        <w:top w:val="none" w:sz="0" w:space="0" w:color="auto"/>
        <w:left w:val="none" w:sz="0" w:space="0" w:color="auto"/>
        <w:bottom w:val="none" w:sz="0" w:space="0" w:color="auto"/>
        <w:right w:val="none" w:sz="0" w:space="0" w:color="auto"/>
      </w:divBdr>
    </w:div>
    <w:div w:id="933443674">
      <w:bodyDiv w:val="1"/>
      <w:marLeft w:val="0"/>
      <w:marRight w:val="0"/>
      <w:marTop w:val="0"/>
      <w:marBottom w:val="0"/>
      <w:divBdr>
        <w:top w:val="none" w:sz="0" w:space="0" w:color="auto"/>
        <w:left w:val="none" w:sz="0" w:space="0" w:color="auto"/>
        <w:bottom w:val="none" w:sz="0" w:space="0" w:color="auto"/>
        <w:right w:val="none" w:sz="0" w:space="0" w:color="auto"/>
      </w:divBdr>
    </w:div>
    <w:div w:id="950355893">
      <w:bodyDiv w:val="1"/>
      <w:marLeft w:val="0"/>
      <w:marRight w:val="0"/>
      <w:marTop w:val="0"/>
      <w:marBottom w:val="0"/>
      <w:divBdr>
        <w:top w:val="none" w:sz="0" w:space="0" w:color="auto"/>
        <w:left w:val="none" w:sz="0" w:space="0" w:color="auto"/>
        <w:bottom w:val="none" w:sz="0" w:space="0" w:color="auto"/>
        <w:right w:val="none" w:sz="0" w:space="0" w:color="auto"/>
      </w:divBdr>
    </w:div>
    <w:div w:id="1001422104">
      <w:bodyDiv w:val="1"/>
      <w:marLeft w:val="0"/>
      <w:marRight w:val="0"/>
      <w:marTop w:val="0"/>
      <w:marBottom w:val="0"/>
      <w:divBdr>
        <w:top w:val="none" w:sz="0" w:space="0" w:color="auto"/>
        <w:left w:val="none" w:sz="0" w:space="0" w:color="auto"/>
        <w:bottom w:val="none" w:sz="0" w:space="0" w:color="auto"/>
        <w:right w:val="none" w:sz="0" w:space="0" w:color="auto"/>
      </w:divBdr>
    </w:div>
    <w:div w:id="1016078267">
      <w:bodyDiv w:val="1"/>
      <w:marLeft w:val="0"/>
      <w:marRight w:val="0"/>
      <w:marTop w:val="0"/>
      <w:marBottom w:val="0"/>
      <w:divBdr>
        <w:top w:val="none" w:sz="0" w:space="0" w:color="auto"/>
        <w:left w:val="none" w:sz="0" w:space="0" w:color="auto"/>
        <w:bottom w:val="none" w:sz="0" w:space="0" w:color="auto"/>
        <w:right w:val="none" w:sz="0" w:space="0" w:color="auto"/>
      </w:divBdr>
    </w:div>
    <w:div w:id="1065571773">
      <w:bodyDiv w:val="1"/>
      <w:marLeft w:val="0"/>
      <w:marRight w:val="0"/>
      <w:marTop w:val="0"/>
      <w:marBottom w:val="0"/>
      <w:divBdr>
        <w:top w:val="none" w:sz="0" w:space="0" w:color="auto"/>
        <w:left w:val="none" w:sz="0" w:space="0" w:color="auto"/>
        <w:bottom w:val="none" w:sz="0" w:space="0" w:color="auto"/>
        <w:right w:val="none" w:sz="0" w:space="0" w:color="auto"/>
      </w:divBdr>
    </w:div>
    <w:div w:id="1272739933">
      <w:bodyDiv w:val="1"/>
      <w:marLeft w:val="0"/>
      <w:marRight w:val="0"/>
      <w:marTop w:val="0"/>
      <w:marBottom w:val="0"/>
      <w:divBdr>
        <w:top w:val="none" w:sz="0" w:space="0" w:color="auto"/>
        <w:left w:val="none" w:sz="0" w:space="0" w:color="auto"/>
        <w:bottom w:val="none" w:sz="0" w:space="0" w:color="auto"/>
        <w:right w:val="none" w:sz="0" w:space="0" w:color="auto"/>
      </w:divBdr>
    </w:div>
    <w:div w:id="1374887119">
      <w:bodyDiv w:val="1"/>
      <w:marLeft w:val="0"/>
      <w:marRight w:val="0"/>
      <w:marTop w:val="0"/>
      <w:marBottom w:val="0"/>
      <w:divBdr>
        <w:top w:val="none" w:sz="0" w:space="0" w:color="auto"/>
        <w:left w:val="none" w:sz="0" w:space="0" w:color="auto"/>
        <w:bottom w:val="none" w:sz="0" w:space="0" w:color="auto"/>
        <w:right w:val="none" w:sz="0" w:space="0" w:color="auto"/>
      </w:divBdr>
      <w:divsChild>
        <w:div w:id="84690891">
          <w:marLeft w:val="0"/>
          <w:marRight w:val="0"/>
          <w:marTop w:val="0"/>
          <w:marBottom w:val="0"/>
          <w:divBdr>
            <w:top w:val="none" w:sz="0" w:space="0" w:color="auto"/>
            <w:left w:val="none" w:sz="0" w:space="0" w:color="auto"/>
            <w:bottom w:val="none" w:sz="0" w:space="0" w:color="auto"/>
            <w:right w:val="none" w:sz="0" w:space="0" w:color="auto"/>
          </w:divBdr>
        </w:div>
        <w:div w:id="310256651">
          <w:marLeft w:val="0"/>
          <w:marRight w:val="0"/>
          <w:marTop w:val="0"/>
          <w:marBottom w:val="0"/>
          <w:divBdr>
            <w:top w:val="none" w:sz="0" w:space="0" w:color="auto"/>
            <w:left w:val="none" w:sz="0" w:space="0" w:color="auto"/>
            <w:bottom w:val="none" w:sz="0" w:space="0" w:color="auto"/>
            <w:right w:val="none" w:sz="0" w:space="0" w:color="auto"/>
          </w:divBdr>
        </w:div>
        <w:div w:id="744185884">
          <w:marLeft w:val="0"/>
          <w:marRight w:val="0"/>
          <w:marTop w:val="0"/>
          <w:marBottom w:val="0"/>
          <w:divBdr>
            <w:top w:val="none" w:sz="0" w:space="0" w:color="auto"/>
            <w:left w:val="none" w:sz="0" w:space="0" w:color="auto"/>
            <w:bottom w:val="none" w:sz="0" w:space="0" w:color="auto"/>
            <w:right w:val="none" w:sz="0" w:space="0" w:color="auto"/>
          </w:divBdr>
        </w:div>
        <w:div w:id="1052341259">
          <w:marLeft w:val="0"/>
          <w:marRight w:val="0"/>
          <w:marTop w:val="0"/>
          <w:marBottom w:val="0"/>
          <w:divBdr>
            <w:top w:val="none" w:sz="0" w:space="0" w:color="auto"/>
            <w:left w:val="none" w:sz="0" w:space="0" w:color="auto"/>
            <w:bottom w:val="none" w:sz="0" w:space="0" w:color="auto"/>
            <w:right w:val="none" w:sz="0" w:space="0" w:color="auto"/>
          </w:divBdr>
        </w:div>
        <w:div w:id="1076777983">
          <w:marLeft w:val="0"/>
          <w:marRight w:val="0"/>
          <w:marTop w:val="0"/>
          <w:marBottom w:val="0"/>
          <w:divBdr>
            <w:top w:val="none" w:sz="0" w:space="0" w:color="auto"/>
            <w:left w:val="none" w:sz="0" w:space="0" w:color="auto"/>
            <w:bottom w:val="none" w:sz="0" w:space="0" w:color="auto"/>
            <w:right w:val="none" w:sz="0" w:space="0" w:color="auto"/>
          </w:divBdr>
        </w:div>
        <w:div w:id="1426076637">
          <w:marLeft w:val="0"/>
          <w:marRight w:val="0"/>
          <w:marTop w:val="0"/>
          <w:marBottom w:val="0"/>
          <w:divBdr>
            <w:top w:val="none" w:sz="0" w:space="0" w:color="auto"/>
            <w:left w:val="none" w:sz="0" w:space="0" w:color="auto"/>
            <w:bottom w:val="none" w:sz="0" w:space="0" w:color="auto"/>
            <w:right w:val="none" w:sz="0" w:space="0" w:color="auto"/>
          </w:divBdr>
        </w:div>
        <w:div w:id="1691836952">
          <w:marLeft w:val="0"/>
          <w:marRight w:val="0"/>
          <w:marTop w:val="0"/>
          <w:marBottom w:val="0"/>
          <w:divBdr>
            <w:top w:val="none" w:sz="0" w:space="0" w:color="auto"/>
            <w:left w:val="none" w:sz="0" w:space="0" w:color="auto"/>
            <w:bottom w:val="none" w:sz="0" w:space="0" w:color="auto"/>
            <w:right w:val="none" w:sz="0" w:space="0" w:color="auto"/>
          </w:divBdr>
        </w:div>
        <w:div w:id="1722054575">
          <w:marLeft w:val="0"/>
          <w:marRight w:val="0"/>
          <w:marTop w:val="0"/>
          <w:marBottom w:val="0"/>
          <w:divBdr>
            <w:top w:val="none" w:sz="0" w:space="0" w:color="auto"/>
            <w:left w:val="none" w:sz="0" w:space="0" w:color="auto"/>
            <w:bottom w:val="none" w:sz="0" w:space="0" w:color="auto"/>
            <w:right w:val="none" w:sz="0" w:space="0" w:color="auto"/>
          </w:divBdr>
        </w:div>
        <w:div w:id="1918201836">
          <w:marLeft w:val="0"/>
          <w:marRight w:val="0"/>
          <w:marTop w:val="0"/>
          <w:marBottom w:val="0"/>
          <w:divBdr>
            <w:top w:val="none" w:sz="0" w:space="0" w:color="auto"/>
            <w:left w:val="none" w:sz="0" w:space="0" w:color="auto"/>
            <w:bottom w:val="none" w:sz="0" w:space="0" w:color="auto"/>
            <w:right w:val="none" w:sz="0" w:space="0" w:color="auto"/>
          </w:divBdr>
        </w:div>
        <w:div w:id="2107727004">
          <w:marLeft w:val="0"/>
          <w:marRight w:val="0"/>
          <w:marTop w:val="0"/>
          <w:marBottom w:val="0"/>
          <w:divBdr>
            <w:top w:val="none" w:sz="0" w:space="0" w:color="auto"/>
            <w:left w:val="none" w:sz="0" w:space="0" w:color="auto"/>
            <w:bottom w:val="none" w:sz="0" w:space="0" w:color="auto"/>
            <w:right w:val="none" w:sz="0" w:space="0" w:color="auto"/>
          </w:divBdr>
        </w:div>
      </w:divsChild>
    </w:div>
    <w:div w:id="1420640939">
      <w:bodyDiv w:val="1"/>
      <w:marLeft w:val="0"/>
      <w:marRight w:val="0"/>
      <w:marTop w:val="0"/>
      <w:marBottom w:val="0"/>
      <w:divBdr>
        <w:top w:val="none" w:sz="0" w:space="0" w:color="auto"/>
        <w:left w:val="none" w:sz="0" w:space="0" w:color="auto"/>
        <w:bottom w:val="none" w:sz="0" w:space="0" w:color="auto"/>
        <w:right w:val="none" w:sz="0" w:space="0" w:color="auto"/>
      </w:divBdr>
    </w:div>
    <w:div w:id="1476337748">
      <w:bodyDiv w:val="1"/>
      <w:marLeft w:val="0"/>
      <w:marRight w:val="0"/>
      <w:marTop w:val="0"/>
      <w:marBottom w:val="0"/>
      <w:divBdr>
        <w:top w:val="none" w:sz="0" w:space="0" w:color="auto"/>
        <w:left w:val="none" w:sz="0" w:space="0" w:color="auto"/>
        <w:bottom w:val="none" w:sz="0" w:space="0" w:color="auto"/>
        <w:right w:val="none" w:sz="0" w:space="0" w:color="auto"/>
      </w:divBdr>
    </w:div>
    <w:div w:id="1485582809">
      <w:bodyDiv w:val="1"/>
      <w:marLeft w:val="0"/>
      <w:marRight w:val="0"/>
      <w:marTop w:val="0"/>
      <w:marBottom w:val="0"/>
      <w:divBdr>
        <w:top w:val="none" w:sz="0" w:space="0" w:color="auto"/>
        <w:left w:val="none" w:sz="0" w:space="0" w:color="auto"/>
        <w:bottom w:val="none" w:sz="0" w:space="0" w:color="auto"/>
        <w:right w:val="none" w:sz="0" w:space="0" w:color="auto"/>
      </w:divBdr>
    </w:div>
    <w:div w:id="1504541512">
      <w:bodyDiv w:val="1"/>
      <w:marLeft w:val="0"/>
      <w:marRight w:val="0"/>
      <w:marTop w:val="0"/>
      <w:marBottom w:val="0"/>
      <w:divBdr>
        <w:top w:val="none" w:sz="0" w:space="0" w:color="auto"/>
        <w:left w:val="none" w:sz="0" w:space="0" w:color="auto"/>
        <w:bottom w:val="none" w:sz="0" w:space="0" w:color="auto"/>
        <w:right w:val="none" w:sz="0" w:space="0" w:color="auto"/>
      </w:divBdr>
      <w:divsChild>
        <w:div w:id="89393526">
          <w:marLeft w:val="0"/>
          <w:marRight w:val="0"/>
          <w:marTop w:val="0"/>
          <w:marBottom w:val="0"/>
          <w:divBdr>
            <w:top w:val="none" w:sz="0" w:space="0" w:color="auto"/>
            <w:left w:val="none" w:sz="0" w:space="0" w:color="auto"/>
            <w:bottom w:val="none" w:sz="0" w:space="0" w:color="auto"/>
            <w:right w:val="none" w:sz="0" w:space="0" w:color="auto"/>
          </w:divBdr>
        </w:div>
        <w:div w:id="249124568">
          <w:marLeft w:val="0"/>
          <w:marRight w:val="0"/>
          <w:marTop w:val="0"/>
          <w:marBottom w:val="0"/>
          <w:divBdr>
            <w:top w:val="none" w:sz="0" w:space="0" w:color="auto"/>
            <w:left w:val="none" w:sz="0" w:space="0" w:color="auto"/>
            <w:bottom w:val="none" w:sz="0" w:space="0" w:color="auto"/>
            <w:right w:val="none" w:sz="0" w:space="0" w:color="auto"/>
          </w:divBdr>
        </w:div>
        <w:div w:id="648553947">
          <w:marLeft w:val="0"/>
          <w:marRight w:val="0"/>
          <w:marTop w:val="0"/>
          <w:marBottom w:val="0"/>
          <w:divBdr>
            <w:top w:val="none" w:sz="0" w:space="0" w:color="auto"/>
            <w:left w:val="none" w:sz="0" w:space="0" w:color="auto"/>
            <w:bottom w:val="none" w:sz="0" w:space="0" w:color="auto"/>
            <w:right w:val="none" w:sz="0" w:space="0" w:color="auto"/>
          </w:divBdr>
        </w:div>
        <w:div w:id="691229462">
          <w:marLeft w:val="0"/>
          <w:marRight w:val="0"/>
          <w:marTop w:val="0"/>
          <w:marBottom w:val="0"/>
          <w:divBdr>
            <w:top w:val="none" w:sz="0" w:space="0" w:color="auto"/>
            <w:left w:val="none" w:sz="0" w:space="0" w:color="auto"/>
            <w:bottom w:val="none" w:sz="0" w:space="0" w:color="auto"/>
            <w:right w:val="none" w:sz="0" w:space="0" w:color="auto"/>
          </w:divBdr>
        </w:div>
        <w:div w:id="897863508">
          <w:marLeft w:val="0"/>
          <w:marRight w:val="0"/>
          <w:marTop w:val="0"/>
          <w:marBottom w:val="0"/>
          <w:divBdr>
            <w:top w:val="none" w:sz="0" w:space="0" w:color="auto"/>
            <w:left w:val="none" w:sz="0" w:space="0" w:color="auto"/>
            <w:bottom w:val="none" w:sz="0" w:space="0" w:color="auto"/>
            <w:right w:val="none" w:sz="0" w:space="0" w:color="auto"/>
          </w:divBdr>
        </w:div>
        <w:div w:id="1460879941">
          <w:marLeft w:val="0"/>
          <w:marRight w:val="0"/>
          <w:marTop w:val="0"/>
          <w:marBottom w:val="0"/>
          <w:divBdr>
            <w:top w:val="none" w:sz="0" w:space="0" w:color="auto"/>
            <w:left w:val="none" w:sz="0" w:space="0" w:color="auto"/>
            <w:bottom w:val="none" w:sz="0" w:space="0" w:color="auto"/>
            <w:right w:val="none" w:sz="0" w:space="0" w:color="auto"/>
          </w:divBdr>
        </w:div>
        <w:div w:id="1636908578">
          <w:marLeft w:val="0"/>
          <w:marRight w:val="0"/>
          <w:marTop w:val="0"/>
          <w:marBottom w:val="0"/>
          <w:divBdr>
            <w:top w:val="none" w:sz="0" w:space="0" w:color="auto"/>
            <w:left w:val="none" w:sz="0" w:space="0" w:color="auto"/>
            <w:bottom w:val="none" w:sz="0" w:space="0" w:color="auto"/>
            <w:right w:val="none" w:sz="0" w:space="0" w:color="auto"/>
          </w:divBdr>
        </w:div>
        <w:div w:id="1858273830">
          <w:marLeft w:val="0"/>
          <w:marRight w:val="0"/>
          <w:marTop w:val="0"/>
          <w:marBottom w:val="0"/>
          <w:divBdr>
            <w:top w:val="none" w:sz="0" w:space="0" w:color="auto"/>
            <w:left w:val="none" w:sz="0" w:space="0" w:color="auto"/>
            <w:bottom w:val="none" w:sz="0" w:space="0" w:color="auto"/>
            <w:right w:val="none" w:sz="0" w:space="0" w:color="auto"/>
          </w:divBdr>
        </w:div>
        <w:div w:id="2072774075">
          <w:marLeft w:val="0"/>
          <w:marRight w:val="0"/>
          <w:marTop w:val="0"/>
          <w:marBottom w:val="0"/>
          <w:divBdr>
            <w:top w:val="none" w:sz="0" w:space="0" w:color="auto"/>
            <w:left w:val="none" w:sz="0" w:space="0" w:color="auto"/>
            <w:bottom w:val="none" w:sz="0" w:space="0" w:color="auto"/>
            <w:right w:val="none" w:sz="0" w:space="0" w:color="auto"/>
          </w:divBdr>
        </w:div>
      </w:divsChild>
    </w:div>
    <w:div w:id="1571112787">
      <w:bodyDiv w:val="1"/>
      <w:marLeft w:val="0"/>
      <w:marRight w:val="0"/>
      <w:marTop w:val="0"/>
      <w:marBottom w:val="0"/>
      <w:divBdr>
        <w:top w:val="none" w:sz="0" w:space="0" w:color="auto"/>
        <w:left w:val="none" w:sz="0" w:space="0" w:color="auto"/>
        <w:bottom w:val="none" w:sz="0" w:space="0" w:color="auto"/>
        <w:right w:val="none" w:sz="0" w:space="0" w:color="auto"/>
      </w:divBdr>
      <w:divsChild>
        <w:div w:id="292831865">
          <w:marLeft w:val="0"/>
          <w:marRight w:val="0"/>
          <w:marTop w:val="0"/>
          <w:marBottom w:val="0"/>
          <w:divBdr>
            <w:top w:val="none" w:sz="0" w:space="0" w:color="auto"/>
            <w:left w:val="none" w:sz="0" w:space="0" w:color="auto"/>
            <w:bottom w:val="none" w:sz="0" w:space="0" w:color="auto"/>
            <w:right w:val="none" w:sz="0" w:space="0" w:color="auto"/>
          </w:divBdr>
        </w:div>
        <w:div w:id="620108621">
          <w:marLeft w:val="0"/>
          <w:marRight w:val="0"/>
          <w:marTop w:val="0"/>
          <w:marBottom w:val="0"/>
          <w:divBdr>
            <w:top w:val="none" w:sz="0" w:space="0" w:color="auto"/>
            <w:left w:val="none" w:sz="0" w:space="0" w:color="auto"/>
            <w:bottom w:val="none" w:sz="0" w:space="0" w:color="auto"/>
            <w:right w:val="none" w:sz="0" w:space="0" w:color="auto"/>
          </w:divBdr>
        </w:div>
        <w:div w:id="1184974336">
          <w:marLeft w:val="0"/>
          <w:marRight w:val="0"/>
          <w:marTop w:val="0"/>
          <w:marBottom w:val="0"/>
          <w:divBdr>
            <w:top w:val="none" w:sz="0" w:space="0" w:color="auto"/>
            <w:left w:val="none" w:sz="0" w:space="0" w:color="auto"/>
            <w:bottom w:val="none" w:sz="0" w:space="0" w:color="auto"/>
            <w:right w:val="none" w:sz="0" w:space="0" w:color="auto"/>
          </w:divBdr>
        </w:div>
        <w:div w:id="1407609872">
          <w:marLeft w:val="0"/>
          <w:marRight w:val="0"/>
          <w:marTop w:val="0"/>
          <w:marBottom w:val="0"/>
          <w:divBdr>
            <w:top w:val="none" w:sz="0" w:space="0" w:color="auto"/>
            <w:left w:val="none" w:sz="0" w:space="0" w:color="auto"/>
            <w:bottom w:val="none" w:sz="0" w:space="0" w:color="auto"/>
            <w:right w:val="none" w:sz="0" w:space="0" w:color="auto"/>
          </w:divBdr>
        </w:div>
      </w:divsChild>
    </w:div>
    <w:div w:id="1571499205">
      <w:bodyDiv w:val="1"/>
      <w:marLeft w:val="0"/>
      <w:marRight w:val="0"/>
      <w:marTop w:val="0"/>
      <w:marBottom w:val="0"/>
      <w:divBdr>
        <w:top w:val="none" w:sz="0" w:space="0" w:color="auto"/>
        <w:left w:val="none" w:sz="0" w:space="0" w:color="auto"/>
        <w:bottom w:val="none" w:sz="0" w:space="0" w:color="auto"/>
        <w:right w:val="none" w:sz="0" w:space="0" w:color="auto"/>
      </w:divBdr>
    </w:div>
    <w:div w:id="1624001318">
      <w:bodyDiv w:val="1"/>
      <w:marLeft w:val="0"/>
      <w:marRight w:val="0"/>
      <w:marTop w:val="0"/>
      <w:marBottom w:val="0"/>
      <w:divBdr>
        <w:top w:val="none" w:sz="0" w:space="0" w:color="auto"/>
        <w:left w:val="none" w:sz="0" w:space="0" w:color="auto"/>
        <w:bottom w:val="none" w:sz="0" w:space="0" w:color="auto"/>
        <w:right w:val="none" w:sz="0" w:space="0" w:color="auto"/>
      </w:divBdr>
      <w:divsChild>
        <w:div w:id="205988035">
          <w:marLeft w:val="0"/>
          <w:marRight w:val="0"/>
          <w:marTop w:val="0"/>
          <w:marBottom w:val="0"/>
          <w:divBdr>
            <w:top w:val="none" w:sz="0" w:space="0" w:color="auto"/>
            <w:left w:val="none" w:sz="0" w:space="0" w:color="auto"/>
            <w:bottom w:val="none" w:sz="0" w:space="0" w:color="auto"/>
            <w:right w:val="none" w:sz="0" w:space="0" w:color="auto"/>
          </w:divBdr>
        </w:div>
        <w:div w:id="221647910">
          <w:marLeft w:val="0"/>
          <w:marRight w:val="0"/>
          <w:marTop w:val="0"/>
          <w:marBottom w:val="0"/>
          <w:divBdr>
            <w:top w:val="none" w:sz="0" w:space="0" w:color="auto"/>
            <w:left w:val="none" w:sz="0" w:space="0" w:color="auto"/>
            <w:bottom w:val="none" w:sz="0" w:space="0" w:color="auto"/>
            <w:right w:val="none" w:sz="0" w:space="0" w:color="auto"/>
          </w:divBdr>
        </w:div>
        <w:div w:id="290215133">
          <w:marLeft w:val="0"/>
          <w:marRight w:val="0"/>
          <w:marTop w:val="0"/>
          <w:marBottom w:val="0"/>
          <w:divBdr>
            <w:top w:val="none" w:sz="0" w:space="0" w:color="auto"/>
            <w:left w:val="none" w:sz="0" w:space="0" w:color="auto"/>
            <w:bottom w:val="none" w:sz="0" w:space="0" w:color="auto"/>
            <w:right w:val="none" w:sz="0" w:space="0" w:color="auto"/>
          </w:divBdr>
        </w:div>
        <w:div w:id="660740220">
          <w:marLeft w:val="0"/>
          <w:marRight w:val="0"/>
          <w:marTop w:val="0"/>
          <w:marBottom w:val="0"/>
          <w:divBdr>
            <w:top w:val="none" w:sz="0" w:space="0" w:color="auto"/>
            <w:left w:val="none" w:sz="0" w:space="0" w:color="auto"/>
            <w:bottom w:val="none" w:sz="0" w:space="0" w:color="auto"/>
            <w:right w:val="none" w:sz="0" w:space="0" w:color="auto"/>
          </w:divBdr>
        </w:div>
        <w:div w:id="879633618">
          <w:marLeft w:val="0"/>
          <w:marRight w:val="0"/>
          <w:marTop w:val="0"/>
          <w:marBottom w:val="0"/>
          <w:divBdr>
            <w:top w:val="none" w:sz="0" w:space="0" w:color="auto"/>
            <w:left w:val="none" w:sz="0" w:space="0" w:color="auto"/>
            <w:bottom w:val="none" w:sz="0" w:space="0" w:color="auto"/>
            <w:right w:val="none" w:sz="0" w:space="0" w:color="auto"/>
          </w:divBdr>
        </w:div>
        <w:div w:id="1164011885">
          <w:marLeft w:val="0"/>
          <w:marRight w:val="0"/>
          <w:marTop w:val="0"/>
          <w:marBottom w:val="0"/>
          <w:divBdr>
            <w:top w:val="none" w:sz="0" w:space="0" w:color="auto"/>
            <w:left w:val="none" w:sz="0" w:space="0" w:color="auto"/>
            <w:bottom w:val="none" w:sz="0" w:space="0" w:color="auto"/>
            <w:right w:val="none" w:sz="0" w:space="0" w:color="auto"/>
          </w:divBdr>
        </w:div>
        <w:div w:id="1913925055">
          <w:marLeft w:val="0"/>
          <w:marRight w:val="0"/>
          <w:marTop w:val="0"/>
          <w:marBottom w:val="0"/>
          <w:divBdr>
            <w:top w:val="none" w:sz="0" w:space="0" w:color="auto"/>
            <w:left w:val="none" w:sz="0" w:space="0" w:color="auto"/>
            <w:bottom w:val="none" w:sz="0" w:space="0" w:color="auto"/>
            <w:right w:val="none" w:sz="0" w:space="0" w:color="auto"/>
          </w:divBdr>
        </w:div>
        <w:div w:id="1967613385">
          <w:marLeft w:val="0"/>
          <w:marRight w:val="0"/>
          <w:marTop w:val="0"/>
          <w:marBottom w:val="0"/>
          <w:divBdr>
            <w:top w:val="none" w:sz="0" w:space="0" w:color="auto"/>
            <w:left w:val="none" w:sz="0" w:space="0" w:color="auto"/>
            <w:bottom w:val="none" w:sz="0" w:space="0" w:color="auto"/>
            <w:right w:val="none" w:sz="0" w:space="0" w:color="auto"/>
          </w:divBdr>
        </w:div>
        <w:div w:id="2006082742">
          <w:marLeft w:val="0"/>
          <w:marRight w:val="0"/>
          <w:marTop w:val="0"/>
          <w:marBottom w:val="0"/>
          <w:divBdr>
            <w:top w:val="none" w:sz="0" w:space="0" w:color="auto"/>
            <w:left w:val="none" w:sz="0" w:space="0" w:color="auto"/>
            <w:bottom w:val="none" w:sz="0" w:space="0" w:color="auto"/>
            <w:right w:val="none" w:sz="0" w:space="0" w:color="auto"/>
          </w:divBdr>
        </w:div>
      </w:divsChild>
    </w:div>
    <w:div w:id="1628313934">
      <w:bodyDiv w:val="1"/>
      <w:marLeft w:val="0"/>
      <w:marRight w:val="0"/>
      <w:marTop w:val="0"/>
      <w:marBottom w:val="0"/>
      <w:divBdr>
        <w:top w:val="none" w:sz="0" w:space="0" w:color="auto"/>
        <w:left w:val="none" w:sz="0" w:space="0" w:color="auto"/>
        <w:bottom w:val="none" w:sz="0" w:space="0" w:color="auto"/>
        <w:right w:val="none" w:sz="0" w:space="0" w:color="auto"/>
      </w:divBdr>
    </w:div>
    <w:div w:id="1675499493">
      <w:bodyDiv w:val="1"/>
      <w:marLeft w:val="0"/>
      <w:marRight w:val="0"/>
      <w:marTop w:val="0"/>
      <w:marBottom w:val="0"/>
      <w:divBdr>
        <w:top w:val="none" w:sz="0" w:space="0" w:color="auto"/>
        <w:left w:val="none" w:sz="0" w:space="0" w:color="auto"/>
        <w:bottom w:val="none" w:sz="0" w:space="0" w:color="auto"/>
        <w:right w:val="none" w:sz="0" w:space="0" w:color="auto"/>
      </w:divBdr>
    </w:div>
    <w:div w:id="1688408758">
      <w:bodyDiv w:val="1"/>
      <w:marLeft w:val="0"/>
      <w:marRight w:val="0"/>
      <w:marTop w:val="0"/>
      <w:marBottom w:val="0"/>
      <w:divBdr>
        <w:top w:val="none" w:sz="0" w:space="0" w:color="auto"/>
        <w:left w:val="none" w:sz="0" w:space="0" w:color="auto"/>
        <w:bottom w:val="none" w:sz="0" w:space="0" w:color="auto"/>
        <w:right w:val="none" w:sz="0" w:space="0" w:color="auto"/>
      </w:divBdr>
    </w:div>
    <w:div w:id="1698461241">
      <w:bodyDiv w:val="1"/>
      <w:marLeft w:val="0"/>
      <w:marRight w:val="0"/>
      <w:marTop w:val="0"/>
      <w:marBottom w:val="0"/>
      <w:divBdr>
        <w:top w:val="none" w:sz="0" w:space="0" w:color="auto"/>
        <w:left w:val="none" w:sz="0" w:space="0" w:color="auto"/>
        <w:bottom w:val="none" w:sz="0" w:space="0" w:color="auto"/>
        <w:right w:val="none" w:sz="0" w:space="0" w:color="auto"/>
      </w:divBdr>
    </w:div>
    <w:div w:id="1733388324">
      <w:bodyDiv w:val="1"/>
      <w:marLeft w:val="0"/>
      <w:marRight w:val="0"/>
      <w:marTop w:val="0"/>
      <w:marBottom w:val="0"/>
      <w:divBdr>
        <w:top w:val="none" w:sz="0" w:space="0" w:color="auto"/>
        <w:left w:val="none" w:sz="0" w:space="0" w:color="auto"/>
        <w:bottom w:val="none" w:sz="0" w:space="0" w:color="auto"/>
        <w:right w:val="none" w:sz="0" w:space="0" w:color="auto"/>
      </w:divBdr>
    </w:div>
    <w:div w:id="1760328443">
      <w:bodyDiv w:val="1"/>
      <w:marLeft w:val="0"/>
      <w:marRight w:val="0"/>
      <w:marTop w:val="0"/>
      <w:marBottom w:val="0"/>
      <w:divBdr>
        <w:top w:val="none" w:sz="0" w:space="0" w:color="auto"/>
        <w:left w:val="none" w:sz="0" w:space="0" w:color="auto"/>
        <w:bottom w:val="none" w:sz="0" w:space="0" w:color="auto"/>
        <w:right w:val="none" w:sz="0" w:space="0" w:color="auto"/>
      </w:divBdr>
    </w:div>
    <w:div w:id="1809515796">
      <w:bodyDiv w:val="1"/>
      <w:marLeft w:val="0"/>
      <w:marRight w:val="0"/>
      <w:marTop w:val="0"/>
      <w:marBottom w:val="0"/>
      <w:divBdr>
        <w:top w:val="none" w:sz="0" w:space="0" w:color="auto"/>
        <w:left w:val="none" w:sz="0" w:space="0" w:color="auto"/>
        <w:bottom w:val="none" w:sz="0" w:space="0" w:color="auto"/>
        <w:right w:val="none" w:sz="0" w:space="0" w:color="auto"/>
      </w:divBdr>
      <w:divsChild>
        <w:div w:id="616444790">
          <w:marLeft w:val="0"/>
          <w:marRight w:val="0"/>
          <w:marTop w:val="0"/>
          <w:marBottom w:val="0"/>
          <w:divBdr>
            <w:top w:val="none" w:sz="0" w:space="0" w:color="auto"/>
            <w:left w:val="none" w:sz="0" w:space="0" w:color="auto"/>
            <w:bottom w:val="none" w:sz="0" w:space="0" w:color="auto"/>
            <w:right w:val="none" w:sz="0" w:space="0" w:color="auto"/>
          </w:divBdr>
        </w:div>
        <w:div w:id="733895522">
          <w:marLeft w:val="0"/>
          <w:marRight w:val="0"/>
          <w:marTop w:val="0"/>
          <w:marBottom w:val="0"/>
          <w:divBdr>
            <w:top w:val="none" w:sz="0" w:space="0" w:color="auto"/>
            <w:left w:val="none" w:sz="0" w:space="0" w:color="auto"/>
            <w:bottom w:val="none" w:sz="0" w:space="0" w:color="auto"/>
            <w:right w:val="none" w:sz="0" w:space="0" w:color="auto"/>
          </w:divBdr>
        </w:div>
        <w:div w:id="1040784954">
          <w:marLeft w:val="0"/>
          <w:marRight w:val="0"/>
          <w:marTop w:val="0"/>
          <w:marBottom w:val="0"/>
          <w:divBdr>
            <w:top w:val="none" w:sz="0" w:space="0" w:color="auto"/>
            <w:left w:val="none" w:sz="0" w:space="0" w:color="auto"/>
            <w:bottom w:val="none" w:sz="0" w:space="0" w:color="auto"/>
            <w:right w:val="none" w:sz="0" w:space="0" w:color="auto"/>
          </w:divBdr>
        </w:div>
      </w:divsChild>
    </w:div>
    <w:div w:id="1833641616">
      <w:bodyDiv w:val="1"/>
      <w:marLeft w:val="0"/>
      <w:marRight w:val="0"/>
      <w:marTop w:val="0"/>
      <w:marBottom w:val="0"/>
      <w:divBdr>
        <w:top w:val="none" w:sz="0" w:space="0" w:color="auto"/>
        <w:left w:val="none" w:sz="0" w:space="0" w:color="auto"/>
        <w:bottom w:val="none" w:sz="0" w:space="0" w:color="auto"/>
        <w:right w:val="none" w:sz="0" w:space="0" w:color="auto"/>
      </w:divBdr>
    </w:div>
    <w:div w:id="1857116633">
      <w:bodyDiv w:val="1"/>
      <w:marLeft w:val="0"/>
      <w:marRight w:val="0"/>
      <w:marTop w:val="0"/>
      <w:marBottom w:val="0"/>
      <w:divBdr>
        <w:top w:val="none" w:sz="0" w:space="0" w:color="auto"/>
        <w:left w:val="none" w:sz="0" w:space="0" w:color="auto"/>
        <w:bottom w:val="none" w:sz="0" w:space="0" w:color="auto"/>
        <w:right w:val="none" w:sz="0" w:space="0" w:color="auto"/>
      </w:divBdr>
    </w:div>
    <w:div w:id="1896700653">
      <w:bodyDiv w:val="1"/>
      <w:marLeft w:val="0"/>
      <w:marRight w:val="0"/>
      <w:marTop w:val="0"/>
      <w:marBottom w:val="0"/>
      <w:divBdr>
        <w:top w:val="none" w:sz="0" w:space="0" w:color="auto"/>
        <w:left w:val="none" w:sz="0" w:space="0" w:color="auto"/>
        <w:bottom w:val="none" w:sz="0" w:space="0" w:color="auto"/>
        <w:right w:val="none" w:sz="0" w:space="0" w:color="auto"/>
      </w:divBdr>
    </w:div>
    <w:div w:id="1923487942">
      <w:bodyDiv w:val="1"/>
      <w:marLeft w:val="0"/>
      <w:marRight w:val="0"/>
      <w:marTop w:val="0"/>
      <w:marBottom w:val="0"/>
      <w:divBdr>
        <w:top w:val="none" w:sz="0" w:space="0" w:color="auto"/>
        <w:left w:val="none" w:sz="0" w:space="0" w:color="auto"/>
        <w:bottom w:val="none" w:sz="0" w:space="0" w:color="auto"/>
        <w:right w:val="none" w:sz="0" w:space="0" w:color="auto"/>
      </w:divBdr>
    </w:div>
    <w:div w:id="1978104173">
      <w:bodyDiv w:val="1"/>
      <w:marLeft w:val="0"/>
      <w:marRight w:val="0"/>
      <w:marTop w:val="0"/>
      <w:marBottom w:val="0"/>
      <w:divBdr>
        <w:top w:val="none" w:sz="0" w:space="0" w:color="auto"/>
        <w:left w:val="none" w:sz="0" w:space="0" w:color="auto"/>
        <w:bottom w:val="none" w:sz="0" w:space="0" w:color="auto"/>
        <w:right w:val="none" w:sz="0" w:space="0" w:color="auto"/>
      </w:divBdr>
    </w:div>
    <w:div w:id="1992247758">
      <w:bodyDiv w:val="1"/>
      <w:marLeft w:val="0"/>
      <w:marRight w:val="0"/>
      <w:marTop w:val="0"/>
      <w:marBottom w:val="0"/>
      <w:divBdr>
        <w:top w:val="none" w:sz="0" w:space="0" w:color="auto"/>
        <w:left w:val="none" w:sz="0" w:space="0" w:color="auto"/>
        <w:bottom w:val="none" w:sz="0" w:space="0" w:color="auto"/>
        <w:right w:val="none" w:sz="0" w:space="0" w:color="auto"/>
      </w:divBdr>
    </w:div>
    <w:div w:id="2043094112">
      <w:bodyDiv w:val="1"/>
      <w:marLeft w:val="0"/>
      <w:marRight w:val="0"/>
      <w:marTop w:val="0"/>
      <w:marBottom w:val="0"/>
      <w:divBdr>
        <w:top w:val="none" w:sz="0" w:space="0" w:color="auto"/>
        <w:left w:val="none" w:sz="0" w:space="0" w:color="auto"/>
        <w:bottom w:val="none" w:sz="0" w:space="0" w:color="auto"/>
        <w:right w:val="none" w:sz="0" w:space="0" w:color="auto"/>
      </w:divBdr>
    </w:div>
    <w:div w:id="2066562738">
      <w:bodyDiv w:val="1"/>
      <w:marLeft w:val="0"/>
      <w:marRight w:val="0"/>
      <w:marTop w:val="0"/>
      <w:marBottom w:val="0"/>
      <w:divBdr>
        <w:top w:val="none" w:sz="0" w:space="0" w:color="auto"/>
        <w:left w:val="none" w:sz="0" w:space="0" w:color="auto"/>
        <w:bottom w:val="none" w:sz="0" w:space="0" w:color="auto"/>
        <w:right w:val="none" w:sz="0" w:space="0" w:color="auto"/>
      </w:divBdr>
      <w:divsChild>
        <w:div w:id="49958157">
          <w:marLeft w:val="0"/>
          <w:marRight w:val="0"/>
          <w:marTop w:val="0"/>
          <w:marBottom w:val="0"/>
          <w:divBdr>
            <w:top w:val="none" w:sz="0" w:space="0" w:color="auto"/>
            <w:left w:val="none" w:sz="0" w:space="0" w:color="auto"/>
            <w:bottom w:val="none" w:sz="0" w:space="0" w:color="auto"/>
            <w:right w:val="none" w:sz="0" w:space="0" w:color="auto"/>
          </w:divBdr>
        </w:div>
        <w:div w:id="142278680">
          <w:marLeft w:val="0"/>
          <w:marRight w:val="0"/>
          <w:marTop w:val="0"/>
          <w:marBottom w:val="0"/>
          <w:divBdr>
            <w:top w:val="none" w:sz="0" w:space="0" w:color="auto"/>
            <w:left w:val="none" w:sz="0" w:space="0" w:color="auto"/>
            <w:bottom w:val="none" w:sz="0" w:space="0" w:color="auto"/>
            <w:right w:val="none" w:sz="0" w:space="0" w:color="auto"/>
          </w:divBdr>
        </w:div>
        <w:div w:id="143469135">
          <w:marLeft w:val="0"/>
          <w:marRight w:val="0"/>
          <w:marTop w:val="0"/>
          <w:marBottom w:val="0"/>
          <w:divBdr>
            <w:top w:val="none" w:sz="0" w:space="0" w:color="auto"/>
            <w:left w:val="none" w:sz="0" w:space="0" w:color="auto"/>
            <w:bottom w:val="none" w:sz="0" w:space="0" w:color="auto"/>
            <w:right w:val="none" w:sz="0" w:space="0" w:color="auto"/>
          </w:divBdr>
        </w:div>
        <w:div w:id="585580906">
          <w:marLeft w:val="0"/>
          <w:marRight w:val="0"/>
          <w:marTop w:val="0"/>
          <w:marBottom w:val="0"/>
          <w:divBdr>
            <w:top w:val="none" w:sz="0" w:space="0" w:color="auto"/>
            <w:left w:val="none" w:sz="0" w:space="0" w:color="auto"/>
            <w:bottom w:val="none" w:sz="0" w:space="0" w:color="auto"/>
            <w:right w:val="none" w:sz="0" w:space="0" w:color="auto"/>
          </w:divBdr>
        </w:div>
        <w:div w:id="634335185">
          <w:marLeft w:val="0"/>
          <w:marRight w:val="0"/>
          <w:marTop w:val="0"/>
          <w:marBottom w:val="0"/>
          <w:divBdr>
            <w:top w:val="none" w:sz="0" w:space="0" w:color="auto"/>
            <w:left w:val="none" w:sz="0" w:space="0" w:color="auto"/>
            <w:bottom w:val="none" w:sz="0" w:space="0" w:color="auto"/>
            <w:right w:val="none" w:sz="0" w:space="0" w:color="auto"/>
          </w:divBdr>
        </w:div>
        <w:div w:id="700933204">
          <w:marLeft w:val="0"/>
          <w:marRight w:val="0"/>
          <w:marTop w:val="0"/>
          <w:marBottom w:val="0"/>
          <w:divBdr>
            <w:top w:val="none" w:sz="0" w:space="0" w:color="auto"/>
            <w:left w:val="none" w:sz="0" w:space="0" w:color="auto"/>
            <w:bottom w:val="none" w:sz="0" w:space="0" w:color="auto"/>
            <w:right w:val="none" w:sz="0" w:space="0" w:color="auto"/>
          </w:divBdr>
        </w:div>
        <w:div w:id="787628760">
          <w:marLeft w:val="0"/>
          <w:marRight w:val="0"/>
          <w:marTop w:val="0"/>
          <w:marBottom w:val="0"/>
          <w:divBdr>
            <w:top w:val="none" w:sz="0" w:space="0" w:color="auto"/>
            <w:left w:val="none" w:sz="0" w:space="0" w:color="auto"/>
            <w:bottom w:val="none" w:sz="0" w:space="0" w:color="auto"/>
            <w:right w:val="none" w:sz="0" w:space="0" w:color="auto"/>
          </w:divBdr>
        </w:div>
        <w:div w:id="931356166">
          <w:marLeft w:val="0"/>
          <w:marRight w:val="0"/>
          <w:marTop w:val="0"/>
          <w:marBottom w:val="0"/>
          <w:divBdr>
            <w:top w:val="none" w:sz="0" w:space="0" w:color="auto"/>
            <w:left w:val="none" w:sz="0" w:space="0" w:color="auto"/>
            <w:bottom w:val="none" w:sz="0" w:space="0" w:color="auto"/>
            <w:right w:val="none" w:sz="0" w:space="0" w:color="auto"/>
          </w:divBdr>
        </w:div>
        <w:div w:id="934675294">
          <w:marLeft w:val="0"/>
          <w:marRight w:val="0"/>
          <w:marTop w:val="0"/>
          <w:marBottom w:val="0"/>
          <w:divBdr>
            <w:top w:val="none" w:sz="0" w:space="0" w:color="auto"/>
            <w:left w:val="none" w:sz="0" w:space="0" w:color="auto"/>
            <w:bottom w:val="none" w:sz="0" w:space="0" w:color="auto"/>
            <w:right w:val="none" w:sz="0" w:space="0" w:color="auto"/>
          </w:divBdr>
        </w:div>
      </w:divsChild>
    </w:div>
    <w:div w:id="2099710605">
      <w:bodyDiv w:val="1"/>
      <w:marLeft w:val="0"/>
      <w:marRight w:val="0"/>
      <w:marTop w:val="0"/>
      <w:marBottom w:val="0"/>
      <w:divBdr>
        <w:top w:val="none" w:sz="0" w:space="0" w:color="auto"/>
        <w:left w:val="none" w:sz="0" w:space="0" w:color="auto"/>
        <w:bottom w:val="none" w:sz="0" w:space="0" w:color="auto"/>
        <w:right w:val="none" w:sz="0" w:space="0" w:color="auto"/>
      </w:divBdr>
    </w:div>
    <w:div w:id="21140875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image" Target="media/image3.pn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png"/><Relationship Id="rId50" Type="http://schemas.openxmlformats.org/officeDocument/2006/relationships/hyperlink" Target="https://www.researchgate.net/publication/" TargetMode="External"/><Relationship Id="rId51" Type="http://schemas.openxmlformats.org/officeDocument/2006/relationships/hyperlink" Target="http://ethos.bl.uk/OrderDetails.do?uin=uk.bl.ethos.341805" TargetMode="External"/><Relationship Id="rId52" Type="http://schemas.openxmlformats.org/officeDocument/2006/relationships/hyperlink" Target="https://doi.org/10.1177/0261927X8400300401" TargetMode="External"/><Relationship Id="rId53" Type="http://schemas.openxmlformats.org/officeDocument/2006/relationships/hyperlink" Target="http://www.visualinformation.info/interactive-map-mapping-the-arab-world/" TargetMode="External"/><Relationship Id="rId54" Type="http://schemas.openxmlformats.org/officeDocument/2006/relationships/fontTable" Target="fontTable.xml"/><Relationship Id="rId55" Type="http://schemas.microsoft.com/office/2011/relationships/people" Target="people.xml"/><Relationship Id="rId56" Type="http://schemas.openxmlformats.org/officeDocument/2006/relationships/theme" Target="theme/theme1.xml"/><Relationship Id="rId57" Type="http://schemas.microsoft.com/office/2016/09/relationships/commentsIds" Target="commentsIds.xml"/><Relationship Id="rId40" Type="http://schemas.openxmlformats.org/officeDocument/2006/relationships/image" Target="media/image13.tiff"/><Relationship Id="rId41" Type="http://schemas.openxmlformats.org/officeDocument/2006/relationships/image" Target="media/image14.tiff"/><Relationship Id="rId42" Type="http://schemas.openxmlformats.org/officeDocument/2006/relationships/image" Target="media/image15.tiff"/><Relationship Id="rId43" Type="http://schemas.openxmlformats.org/officeDocument/2006/relationships/image" Target="media/image16.tiff"/><Relationship Id="rId44" Type="http://schemas.openxmlformats.org/officeDocument/2006/relationships/image" Target="media/image17.tiff"/><Relationship Id="rId45" Type="http://schemas.openxmlformats.org/officeDocument/2006/relationships/footer" Target="footer19.xml"/><Relationship Id="rId46" Type="http://schemas.openxmlformats.org/officeDocument/2006/relationships/footer" Target="footer20.xml"/><Relationship Id="rId47" Type="http://schemas.openxmlformats.org/officeDocument/2006/relationships/footer" Target="footer21.xml"/><Relationship Id="rId48" Type="http://schemas.openxmlformats.org/officeDocument/2006/relationships/footer" Target="footer22.xml"/><Relationship Id="rId49" Type="http://schemas.openxmlformats.org/officeDocument/2006/relationships/hyperlink" Target="https://doi.org/10.5539/ijel.v5n6p3"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footer" Target="footer1.xml"/><Relationship Id="rId30" Type="http://schemas.openxmlformats.org/officeDocument/2006/relationships/footer" Target="footer12.xml"/><Relationship Id="rId31" Type="http://schemas.openxmlformats.org/officeDocument/2006/relationships/footer" Target="footer13.xml"/><Relationship Id="rId32" Type="http://schemas.openxmlformats.org/officeDocument/2006/relationships/footer" Target="footer14.xml"/><Relationship Id="rId33" Type="http://schemas.openxmlformats.org/officeDocument/2006/relationships/footer" Target="footer15.xml"/><Relationship Id="rId34" Type="http://schemas.openxmlformats.org/officeDocument/2006/relationships/footer" Target="footer16.xml"/><Relationship Id="rId35" Type="http://schemas.openxmlformats.org/officeDocument/2006/relationships/image" Target="media/image12.png"/><Relationship Id="rId36" Type="http://schemas.openxmlformats.org/officeDocument/2006/relationships/footer" Target="footer17.xml"/><Relationship Id="rId37" Type="http://schemas.openxmlformats.org/officeDocument/2006/relationships/footer" Target="footer18.xml"/><Relationship Id="rId38" Type="http://schemas.openxmlformats.org/officeDocument/2006/relationships/comments" Target="comments.xml"/><Relationship Id="rId39" Type="http://schemas.microsoft.com/office/2011/relationships/commentsExtended" Target="commentsExtended.xml"/><Relationship Id="rId20" Type="http://schemas.openxmlformats.org/officeDocument/2006/relationships/image" Target="media/image8.jpeg"/><Relationship Id="rId21" Type="http://schemas.openxmlformats.org/officeDocument/2006/relationships/image" Target="media/image9.png"/><Relationship Id="rId22" Type="http://schemas.openxmlformats.org/officeDocument/2006/relationships/footer" Target="footer6.xml"/><Relationship Id="rId23" Type="http://schemas.openxmlformats.org/officeDocument/2006/relationships/footer" Target="footer7.xml"/><Relationship Id="rId24" Type="http://schemas.openxmlformats.org/officeDocument/2006/relationships/footer" Target="footer8.xml"/><Relationship Id="rId25" Type="http://schemas.openxmlformats.org/officeDocument/2006/relationships/footer" Target="footer9.xml"/><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footer" Target="footer10.xml"/><Relationship Id="rId29" Type="http://schemas.openxmlformats.org/officeDocument/2006/relationships/footer" Target="footer11.xml"/><Relationship Id="rId10" Type="http://schemas.openxmlformats.org/officeDocument/2006/relationships/footer" Target="footer2.xml"/><Relationship Id="rId11" Type="http://schemas.openxmlformats.org/officeDocument/2006/relationships/image" Target="media/image2.jpeg"/><Relationship Id="rId1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F68199A-1F32-EA4B-9863-3B30DA3A0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430</Pages>
  <Words>221414</Words>
  <Characters>1262063</Characters>
  <Application>Microsoft Macintosh Word</Application>
  <DocSecurity>0</DocSecurity>
  <Lines>10517</Lines>
  <Paragraphs>2961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1480516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Laila H</dc:creator>
  <cp:keywords/>
  <cp:lastModifiedBy>Laila H</cp:lastModifiedBy>
  <cp:revision>4</cp:revision>
  <cp:lastPrinted>2019-04-18T08:32:00Z</cp:lastPrinted>
  <dcterms:created xsi:type="dcterms:W3CDTF">2019-05-20T01:31:00Z</dcterms:created>
  <dcterms:modified xsi:type="dcterms:W3CDTF">2019-05-21T03:09:00Z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zotero-version="5.0.55"&gt;&lt;session id="bR5OAu0p"/&gt;&lt;style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